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B66BB" w14:textId="79B12D91" w:rsidR="009D2DF6" w:rsidRDefault="009D2DF6" w:rsidP="009D2DF6">
      <w:pPr>
        <w:jc w:val="center"/>
      </w:pPr>
      <w:bookmarkStart w:id="0" w:name="_GoBack"/>
      <w:bookmarkEnd w:id="0"/>
      <w:r>
        <w:rPr>
          <w:noProof/>
          <w:lang w:val="en-ZA" w:eastAsia="en-ZA"/>
        </w:rPr>
        <w:drawing>
          <wp:inline distT="0" distB="0" distL="0" distR="0" wp14:anchorId="1D2E1AC6" wp14:editId="0CC5E497">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651122F1" w14:textId="77777777" w:rsidR="009D2DF6" w:rsidRPr="00E44850" w:rsidRDefault="009D2DF6" w:rsidP="009D2DF6">
      <w:pPr>
        <w:spacing w:after="0" w:line="240" w:lineRule="auto"/>
        <w:jc w:val="center"/>
        <w:rPr>
          <w:rFonts w:ascii="Arial" w:eastAsia="Times New Roman" w:hAnsi="Arial" w:cs="Arial"/>
          <w:b/>
          <w:bCs/>
        </w:rPr>
      </w:pPr>
      <w:r w:rsidRPr="00E44850">
        <w:rPr>
          <w:rFonts w:ascii="Arial" w:eastAsia="Times New Roman" w:hAnsi="Arial" w:cs="Arial"/>
          <w:b/>
          <w:bCs/>
        </w:rPr>
        <w:t>IN THE HIGH COURT OF SOUTH AFRICA</w:t>
      </w:r>
    </w:p>
    <w:p w14:paraId="5D765F40" w14:textId="77777777" w:rsidR="009D2DF6" w:rsidRDefault="009D2DF6" w:rsidP="009D2DF6">
      <w:pPr>
        <w:rPr>
          <w:rFonts w:ascii="Arial" w:hAnsi="Arial" w:cs="Arial"/>
          <w:b/>
          <w:bCs/>
          <w:sz w:val="16"/>
          <w:szCs w:val="16"/>
        </w:rPr>
      </w:pPr>
      <w:r>
        <w:rPr>
          <w:rFonts w:ascii="Arial" w:hAnsi="Arial" w:cs="Arial"/>
          <w:b/>
          <w:bCs/>
        </w:rPr>
        <w:t xml:space="preserve">                                  </w:t>
      </w:r>
      <w:r w:rsidRPr="00E44850">
        <w:rPr>
          <w:rFonts w:ascii="Arial" w:hAnsi="Arial" w:cs="Arial"/>
          <w:b/>
          <w:bCs/>
        </w:rPr>
        <w:t>[WESTERN CAPE DIVISION, CAPE TOWN]</w:t>
      </w:r>
      <w:r>
        <w:rPr>
          <w:rFonts w:ascii="Arial" w:hAnsi="Arial" w:cs="Arial"/>
          <w:b/>
          <w:bCs/>
        </w:rPr>
        <w:t xml:space="preserve">              </w:t>
      </w:r>
    </w:p>
    <w:p w14:paraId="0C08D271" w14:textId="43FBFD81" w:rsidR="009D2DF6" w:rsidRPr="00E44850" w:rsidRDefault="009D2DF6" w:rsidP="009D2DF6">
      <w:pPr>
        <w:spacing w:after="0"/>
        <w:ind w:left="6480" w:firstLine="720"/>
        <w:rPr>
          <w:rFonts w:ascii="Arial" w:hAnsi="Arial" w:cs="Arial"/>
          <w:bCs/>
          <w:lang w:val="en-GB"/>
        </w:rPr>
      </w:pPr>
      <w:r w:rsidRPr="00E44850">
        <w:rPr>
          <w:rFonts w:ascii="Arial" w:hAnsi="Arial" w:cs="Arial"/>
          <w:bCs/>
          <w:lang w:val="en-GB"/>
        </w:rPr>
        <w:t xml:space="preserve">Case no: </w:t>
      </w:r>
      <w:r>
        <w:rPr>
          <w:rFonts w:ascii="Arial" w:hAnsi="Arial" w:cs="Arial"/>
          <w:bCs/>
          <w:lang w:val="en-GB"/>
        </w:rPr>
        <w:t>1365</w:t>
      </w:r>
      <w:r w:rsidRPr="00E44850">
        <w:rPr>
          <w:rFonts w:ascii="Arial" w:hAnsi="Arial" w:cs="Arial"/>
          <w:bCs/>
          <w:lang w:val="en-GB"/>
        </w:rPr>
        <w:t>/</w:t>
      </w:r>
      <w:r>
        <w:rPr>
          <w:rFonts w:ascii="Arial" w:hAnsi="Arial" w:cs="Arial"/>
          <w:bCs/>
          <w:lang w:val="en-GB"/>
        </w:rPr>
        <w:t>23</w:t>
      </w:r>
      <w:r w:rsidRPr="00E44850">
        <w:rPr>
          <w:rFonts w:ascii="Arial" w:hAnsi="Arial" w:cs="Arial"/>
          <w:bCs/>
          <w:lang w:val="en-GB"/>
        </w:rPr>
        <w:t xml:space="preserve">                                                                                             </w:t>
      </w:r>
    </w:p>
    <w:p w14:paraId="497E0241" w14:textId="77777777" w:rsidR="009D2DF6" w:rsidRPr="00E44850" w:rsidRDefault="009D2DF6" w:rsidP="009D2DF6">
      <w:pPr>
        <w:spacing w:line="240" w:lineRule="auto"/>
        <w:rPr>
          <w:rFonts w:ascii="Arial" w:hAnsi="Arial" w:cs="Arial"/>
          <w:bCs/>
          <w:lang w:val="en-GB"/>
        </w:rPr>
      </w:pPr>
      <w:r w:rsidRPr="00E44850">
        <w:rPr>
          <w:rFonts w:ascii="Arial" w:hAnsi="Arial" w:cs="Arial"/>
          <w:bCs/>
          <w:lang w:val="en-GB"/>
        </w:rPr>
        <w:t xml:space="preserve">                                                               </w:t>
      </w:r>
    </w:p>
    <w:p w14:paraId="02296337" w14:textId="77777777" w:rsidR="009D2DF6" w:rsidRDefault="009D2DF6" w:rsidP="009D2DF6">
      <w:pPr>
        <w:spacing w:after="0" w:line="240" w:lineRule="auto"/>
        <w:rPr>
          <w:rFonts w:ascii="Arial" w:hAnsi="Arial" w:cs="Arial"/>
          <w:lang w:val="en-GB"/>
        </w:rPr>
      </w:pPr>
      <w:r w:rsidRPr="00E44850">
        <w:rPr>
          <w:rFonts w:ascii="Arial" w:hAnsi="Arial" w:cs="Arial"/>
          <w:lang w:val="en-GB"/>
        </w:rPr>
        <w:t>In the matter between:</w:t>
      </w:r>
    </w:p>
    <w:p w14:paraId="08CFE22A" w14:textId="77777777" w:rsidR="009D2DF6" w:rsidRDefault="009D2DF6" w:rsidP="009D2DF6">
      <w:pPr>
        <w:spacing w:after="0" w:line="240" w:lineRule="auto"/>
        <w:rPr>
          <w:rFonts w:ascii="Arial" w:hAnsi="Arial" w:cs="Arial"/>
          <w:lang w:val="en-GB"/>
        </w:rPr>
      </w:pPr>
    </w:p>
    <w:p w14:paraId="50DF8290" w14:textId="77777777" w:rsidR="009D2DF6" w:rsidRDefault="009D2DF6" w:rsidP="009D2DF6">
      <w:pPr>
        <w:spacing w:after="0" w:line="240" w:lineRule="auto"/>
        <w:rPr>
          <w:rFonts w:ascii="Arial" w:hAnsi="Arial" w:cs="Arial"/>
          <w:b/>
          <w:bCs/>
          <w:lang w:val="en-GB"/>
        </w:rPr>
      </w:pPr>
      <w:r>
        <w:rPr>
          <w:rFonts w:ascii="Arial" w:hAnsi="Arial" w:cs="Arial"/>
          <w:b/>
          <w:bCs/>
          <w:lang w:val="en-GB"/>
        </w:rPr>
        <w:t>TMT SERVICES &amp; SUPPLIES (PTY) LTD</w:t>
      </w:r>
    </w:p>
    <w:p w14:paraId="2A242D0B" w14:textId="01240254" w:rsidR="009D2DF6" w:rsidRDefault="009D2DF6" w:rsidP="009D2DF6">
      <w:pPr>
        <w:spacing w:after="0" w:line="240" w:lineRule="auto"/>
        <w:rPr>
          <w:rFonts w:ascii="Arial" w:hAnsi="Arial" w:cs="Arial"/>
          <w:lang w:val="en-GB"/>
        </w:rPr>
      </w:pPr>
      <w:r>
        <w:rPr>
          <w:rFonts w:ascii="Arial" w:hAnsi="Arial" w:cs="Arial"/>
          <w:b/>
          <w:bCs/>
          <w:lang w:val="en-GB"/>
        </w:rPr>
        <w:t>t/a TRAFFIC MANAGEMENT TECHNOLOGIES</w:t>
      </w:r>
      <w:r w:rsidRPr="00E44850">
        <w:rPr>
          <w:rFonts w:ascii="Arial" w:hAnsi="Arial" w:cs="Arial"/>
          <w:b/>
          <w:bCs/>
          <w:lang w:val="en-GB"/>
        </w:rPr>
        <w:t xml:space="preserve">             </w:t>
      </w:r>
      <w:r>
        <w:rPr>
          <w:rFonts w:ascii="Arial" w:hAnsi="Arial" w:cs="Arial"/>
          <w:b/>
          <w:bCs/>
          <w:lang w:val="en-GB"/>
        </w:rPr>
        <w:t xml:space="preserve">                                  </w:t>
      </w:r>
      <w:r w:rsidRPr="009D2DF6">
        <w:rPr>
          <w:rFonts w:ascii="Arial" w:hAnsi="Arial" w:cs="Arial"/>
          <w:lang w:val="en-GB"/>
        </w:rPr>
        <w:t>A</w:t>
      </w:r>
      <w:r>
        <w:rPr>
          <w:rFonts w:ascii="Arial" w:hAnsi="Arial" w:cs="Arial"/>
          <w:lang w:val="en-GB"/>
        </w:rPr>
        <w:t xml:space="preserve">pplicant </w:t>
      </w:r>
    </w:p>
    <w:p w14:paraId="5DAB7ECC" w14:textId="1D9C74CB" w:rsidR="009D2DF6" w:rsidRDefault="009D2DF6" w:rsidP="009D2DF6">
      <w:pPr>
        <w:spacing w:after="0" w:line="240" w:lineRule="auto"/>
        <w:rPr>
          <w:rFonts w:ascii="Arial" w:hAnsi="Arial" w:cs="Arial"/>
          <w:lang w:val="en-GB"/>
        </w:rPr>
      </w:pPr>
      <w:r>
        <w:rPr>
          <w:rFonts w:ascii="Arial" w:hAnsi="Arial" w:cs="Arial"/>
          <w:lang w:val="en-GB"/>
        </w:rPr>
        <w:t>(Reg no. 2000/022850/07</w:t>
      </w:r>
    </w:p>
    <w:p w14:paraId="48E0C9EA" w14:textId="77777777" w:rsidR="009D2DF6" w:rsidRPr="00E44850" w:rsidRDefault="009D2DF6" w:rsidP="009D2DF6">
      <w:pPr>
        <w:spacing w:after="0" w:line="240" w:lineRule="auto"/>
        <w:rPr>
          <w:rFonts w:ascii="Arial" w:hAnsi="Arial" w:cs="Arial"/>
          <w:b/>
          <w:bCs/>
          <w:lang w:val="en-GB"/>
        </w:rPr>
      </w:pPr>
    </w:p>
    <w:p w14:paraId="596622B4" w14:textId="77777777" w:rsidR="009D2DF6" w:rsidRPr="00E44850" w:rsidRDefault="009D2DF6" w:rsidP="009D2DF6">
      <w:pPr>
        <w:spacing w:after="0" w:line="240" w:lineRule="auto"/>
        <w:rPr>
          <w:rFonts w:ascii="Arial" w:hAnsi="Arial" w:cs="Arial"/>
          <w:lang w:val="en-ZA"/>
        </w:rPr>
      </w:pPr>
      <w:r w:rsidRPr="00E44850">
        <w:rPr>
          <w:rFonts w:ascii="Arial" w:hAnsi="Arial" w:cs="Arial"/>
          <w:lang w:val="en-ZA"/>
        </w:rPr>
        <w:t>and</w:t>
      </w:r>
    </w:p>
    <w:p w14:paraId="3E4E3F23" w14:textId="77777777" w:rsidR="009D2DF6" w:rsidRPr="00E44850" w:rsidRDefault="009D2DF6" w:rsidP="009D2DF6">
      <w:pPr>
        <w:spacing w:after="0" w:line="240" w:lineRule="auto"/>
        <w:rPr>
          <w:rFonts w:ascii="Arial" w:hAnsi="Arial" w:cs="Arial"/>
          <w:b/>
        </w:rPr>
      </w:pPr>
    </w:p>
    <w:p w14:paraId="0002CF8D" w14:textId="77777777" w:rsidR="009D2DF6" w:rsidRDefault="009D2DF6" w:rsidP="009D2DF6">
      <w:pPr>
        <w:spacing w:after="0" w:line="240" w:lineRule="auto"/>
        <w:rPr>
          <w:rFonts w:ascii="Arial" w:hAnsi="Arial" w:cs="Arial"/>
          <w:b/>
          <w:bCs/>
          <w:lang w:val="en-GB"/>
        </w:rPr>
      </w:pPr>
      <w:r>
        <w:rPr>
          <w:rFonts w:ascii="Arial" w:hAnsi="Arial" w:cs="Arial"/>
          <w:b/>
          <w:bCs/>
          <w:lang w:val="en-GB"/>
        </w:rPr>
        <w:t>CITY OF JOHANNESBURG</w:t>
      </w:r>
    </w:p>
    <w:p w14:paraId="5AD90332" w14:textId="768CBFCF" w:rsidR="009D2DF6" w:rsidRPr="00E44850" w:rsidRDefault="009D2DF6" w:rsidP="009D2DF6">
      <w:pPr>
        <w:spacing w:after="0" w:line="240" w:lineRule="auto"/>
        <w:rPr>
          <w:rFonts w:ascii="Arial" w:hAnsi="Arial" w:cs="Arial"/>
          <w:lang w:val="en-GB"/>
        </w:rPr>
      </w:pPr>
      <w:r>
        <w:rPr>
          <w:rFonts w:ascii="Arial" w:hAnsi="Arial" w:cs="Arial"/>
          <w:b/>
          <w:bCs/>
          <w:lang w:val="en-GB"/>
        </w:rPr>
        <w:t xml:space="preserve">METROPOLITAN MUNICIPALITY      </w:t>
      </w:r>
      <w:r w:rsidRPr="00E44850">
        <w:rPr>
          <w:rFonts w:ascii="Arial" w:hAnsi="Arial" w:cs="Arial"/>
          <w:b/>
        </w:rPr>
        <w:t xml:space="preserve">                                                     </w:t>
      </w:r>
      <w:r w:rsidRPr="00E44850">
        <w:rPr>
          <w:rFonts w:ascii="Arial" w:hAnsi="Arial" w:cs="Arial"/>
          <w:lang w:val="en-GB"/>
        </w:rPr>
        <w:t xml:space="preserve">First </w:t>
      </w:r>
      <w:r>
        <w:rPr>
          <w:rFonts w:ascii="Arial" w:hAnsi="Arial" w:cs="Arial"/>
          <w:lang w:val="en-GB"/>
        </w:rPr>
        <w:t>respondent</w:t>
      </w:r>
    </w:p>
    <w:p w14:paraId="525C7B11" w14:textId="77777777" w:rsidR="009D2DF6" w:rsidRPr="00E44850" w:rsidRDefault="009D2DF6" w:rsidP="009D2DF6">
      <w:pPr>
        <w:spacing w:after="0" w:line="240" w:lineRule="auto"/>
        <w:rPr>
          <w:rFonts w:ascii="Arial" w:hAnsi="Arial" w:cs="Arial"/>
          <w:lang w:val="en-GB"/>
        </w:rPr>
      </w:pPr>
    </w:p>
    <w:p w14:paraId="5036C933" w14:textId="77777777" w:rsidR="009D2DF6" w:rsidRDefault="009D2DF6" w:rsidP="009D2DF6">
      <w:pPr>
        <w:spacing w:after="0" w:line="240" w:lineRule="auto"/>
        <w:rPr>
          <w:rFonts w:ascii="Arial" w:hAnsi="Arial" w:cs="Arial"/>
          <w:lang w:val="en-GB"/>
        </w:rPr>
      </w:pPr>
      <w:r>
        <w:rPr>
          <w:rFonts w:ascii="Arial" w:hAnsi="Arial" w:cs="Arial"/>
          <w:b/>
          <w:bCs/>
          <w:lang w:val="en-GB"/>
        </w:rPr>
        <w:t xml:space="preserve">SYNTELL (PTY) LTD                                            </w:t>
      </w:r>
      <w:r w:rsidRPr="00E44850">
        <w:rPr>
          <w:rFonts w:ascii="Arial" w:hAnsi="Arial" w:cs="Arial"/>
          <w:lang w:val="en-GB"/>
        </w:rPr>
        <w:t xml:space="preserve">                </w:t>
      </w:r>
      <w:r>
        <w:rPr>
          <w:rFonts w:ascii="Arial" w:hAnsi="Arial" w:cs="Arial"/>
          <w:lang w:val="en-GB"/>
        </w:rPr>
        <w:t xml:space="preserve">              </w:t>
      </w:r>
      <w:r w:rsidRPr="00E44850">
        <w:rPr>
          <w:rFonts w:ascii="Arial" w:hAnsi="Arial" w:cs="Arial"/>
          <w:lang w:val="en-GB"/>
        </w:rPr>
        <w:t xml:space="preserve">Second </w:t>
      </w:r>
      <w:r>
        <w:rPr>
          <w:rFonts w:ascii="Arial" w:hAnsi="Arial" w:cs="Arial"/>
          <w:lang w:val="en-GB"/>
        </w:rPr>
        <w:t>respondent</w:t>
      </w:r>
    </w:p>
    <w:p w14:paraId="40EA1637" w14:textId="3185AE9D" w:rsidR="009D2DF6" w:rsidRPr="00E44850" w:rsidRDefault="009D2DF6" w:rsidP="009D2DF6">
      <w:pPr>
        <w:spacing w:after="0" w:line="240" w:lineRule="auto"/>
        <w:rPr>
          <w:rFonts w:ascii="Arial" w:hAnsi="Arial" w:cs="Arial"/>
          <w:lang w:val="en-GB"/>
        </w:rPr>
      </w:pPr>
      <w:r>
        <w:rPr>
          <w:rFonts w:ascii="Arial" w:hAnsi="Arial" w:cs="Arial"/>
          <w:lang w:val="en-GB"/>
        </w:rPr>
        <w:t>(Reg no. 2003/022275/07)</w:t>
      </w:r>
      <w:r w:rsidRPr="00E44850">
        <w:rPr>
          <w:rFonts w:ascii="Arial" w:hAnsi="Arial" w:cs="Arial"/>
          <w:lang w:val="en-GB"/>
        </w:rPr>
        <w:t xml:space="preserve"> </w:t>
      </w:r>
    </w:p>
    <w:p w14:paraId="6F630A0E" w14:textId="77777777" w:rsidR="009D2DF6" w:rsidRPr="00E44850" w:rsidRDefault="009D2DF6" w:rsidP="009D2DF6">
      <w:pPr>
        <w:spacing w:after="0" w:line="240" w:lineRule="auto"/>
        <w:rPr>
          <w:rFonts w:ascii="Arial" w:hAnsi="Arial" w:cs="Arial"/>
          <w:b/>
          <w:bCs/>
          <w:lang w:val="en-GB"/>
        </w:rPr>
      </w:pPr>
    </w:p>
    <w:p w14:paraId="5EE7DC75" w14:textId="77777777" w:rsidR="009D2DF6" w:rsidRPr="00E44850" w:rsidRDefault="009D2DF6" w:rsidP="009D2DF6">
      <w:pPr>
        <w:pBdr>
          <w:bottom w:val="single" w:sz="12" w:space="1" w:color="auto"/>
        </w:pBdr>
        <w:adjustRightInd w:val="0"/>
        <w:spacing w:after="0" w:line="240" w:lineRule="auto"/>
        <w:jc w:val="both"/>
        <w:textAlignment w:val="baseline"/>
        <w:rPr>
          <w:rFonts w:ascii="Arial" w:eastAsia="Times New Roman" w:hAnsi="Arial" w:cs="Arial"/>
          <w:b/>
          <w:bCs/>
          <w:snapToGrid w:val="0"/>
          <w:lang w:val="en-GB"/>
        </w:rPr>
      </w:pPr>
    </w:p>
    <w:p w14:paraId="0001705D" w14:textId="77777777" w:rsidR="009D2DF6" w:rsidRPr="00E44850" w:rsidRDefault="009D2DF6" w:rsidP="009D2DF6">
      <w:pPr>
        <w:adjustRightInd w:val="0"/>
        <w:spacing w:after="0" w:line="240" w:lineRule="auto"/>
        <w:jc w:val="both"/>
        <w:textAlignment w:val="baseline"/>
        <w:rPr>
          <w:rFonts w:ascii="Arial" w:eastAsia="Times New Roman" w:hAnsi="Arial" w:cs="Arial"/>
          <w:b/>
          <w:bCs/>
          <w:snapToGrid w:val="0"/>
          <w:lang w:val="en-GB"/>
        </w:rPr>
      </w:pPr>
    </w:p>
    <w:p w14:paraId="52405CED" w14:textId="4A13F585" w:rsidR="009D2DF6" w:rsidRPr="00E44850" w:rsidRDefault="009D2DF6" w:rsidP="009D2DF6">
      <w:pPr>
        <w:adjustRightInd w:val="0"/>
        <w:spacing w:after="0" w:line="240" w:lineRule="auto"/>
        <w:jc w:val="center"/>
        <w:textAlignment w:val="baseline"/>
        <w:rPr>
          <w:rFonts w:ascii="Arial" w:eastAsia="Times New Roman" w:hAnsi="Arial" w:cs="Arial"/>
          <w:b/>
          <w:bCs/>
          <w:snapToGrid w:val="0"/>
          <w:lang w:val="en-GB"/>
        </w:rPr>
      </w:pPr>
      <w:r w:rsidRPr="00E44850">
        <w:rPr>
          <w:rFonts w:ascii="Arial" w:eastAsia="Times New Roman" w:hAnsi="Arial" w:cs="Arial"/>
          <w:b/>
          <w:bCs/>
          <w:snapToGrid w:val="0"/>
          <w:lang w:val="en-GB"/>
        </w:rPr>
        <w:t>JUDGMENT DELIVERED (VIA EMAIL) ON</w:t>
      </w:r>
      <w:r>
        <w:rPr>
          <w:rFonts w:ascii="Arial" w:eastAsia="Times New Roman" w:hAnsi="Arial" w:cs="Arial"/>
          <w:b/>
          <w:bCs/>
          <w:snapToGrid w:val="0"/>
          <w:lang w:val="en-GB"/>
        </w:rPr>
        <w:t xml:space="preserve"> </w:t>
      </w:r>
      <w:r w:rsidR="00A435F3">
        <w:rPr>
          <w:rFonts w:ascii="Arial" w:eastAsia="Times New Roman" w:hAnsi="Arial" w:cs="Arial"/>
          <w:b/>
          <w:bCs/>
          <w:snapToGrid w:val="0"/>
          <w:lang w:val="en-GB"/>
        </w:rPr>
        <w:t>27</w:t>
      </w:r>
      <w:r>
        <w:rPr>
          <w:rFonts w:ascii="Arial" w:eastAsia="Times New Roman" w:hAnsi="Arial" w:cs="Arial"/>
          <w:b/>
          <w:bCs/>
          <w:snapToGrid w:val="0"/>
          <w:lang w:val="en-GB"/>
        </w:rPr>
        <w:t xml:space="preserve"> MARCH</w:t>
      </w:r>
      <w:r w:rsidRPr="00E44850">
        <w:rPr>
          <w:rFonts w:ascii="Arial" w:eastAsia="Times New Roman" w:hAnsi="Arial" w:cs="Arial"/>
          <w:b/>
          <w:bCs/>
          <w:snapToGrid w:val="0"/>
          <w:lang w:val="en-GB"/>
        </w:rPr>
        <w:t xml:space="preserve"> 202</w:t>
      </w:r>
      <w:r>
        <w:rPr>
          <w:rFonts w:ascii="Arial" w:eastAsia="Times New Roman" w:hAnsi="Arial" w:cs="Arial"/>
          <w:b/>
          <w:bCs/>
          <w:snapToGrid w:val="0"/>
          <w:lang w:val="en-GB"/>
        </w:rPr>
        <w:t>4</w:t>
      </w:r>
      <w:r w:rsidRPr="00E44850">
        <w:rPr>
          <w:rFonts w:ascii="Arial" w:eastAsia="Times New Roman" w:hAnsi="Arial" w:cs="Arial"/>
          <w:b/>
          <w:bCs/>
          <w:snapToGrid w:val="0"/>
          <w:lang w:val="en-GB"/>
        </w:rPr>
        <w:t xml:space="preserve">   </w:t>
      </w:r>
    </w:p>
    <w:p w14:paraId="0A39D255" w14:textId="77777777" w:rsidR="009D2DF6" w:rsidRPr="00E44850" w:rsidRDefault="009D2DF6" w:rsidP="009D2DF6">
      <w:pPr>
        <w:adjustRightInd w:val="0"/>
        <w:spacing w:after="0" w:line="240" w:lineRule="auto"/>
        <w:jc w:val="both"/>
        <w:textAlignment w:val="baseline"/>
        <w:rPr>
          <w:rFonts w:ascii="Arial" w:eastAsia="Times New Roman" w:hAnsi="Arial" w:cs="Arial"/>
          <w:b/>
          <w:bCs/>
          <w:snapToGrid w:val="0"/>
          <w:lang w:val="en-GB"/>
        </w:rPr>
      </w:pPr>
      <w:r w:rsidRPr="00E44850">
        <w:rPr>
          <w:rFonts w:ascii="Arial" w:eastAsia="Times New Roman" w:hAnsi="Arial" w:cs="Arial"/>
          <w:b/>
          <w:bCs/>
          <w:snapToGrid w:val="0"/>
          <w:lang w:val="en-GB"/>
        </w:rPr>
        <w:t>______________________________________________________________________</w:t>
      </w:r>
    </w:p>
    <w:p w14:paraId="6746CD3C" w14:textId="77777777" w:rsidR="009D2DF6" w:rsidRDefault="009D2DF6" w:rsidP="009D2DF6">
      <w:pPr>
        <w:adjustRightInd w:val="0"/>
        <w:spacing w:line="360" w:lineRule="auto"/>
        <w:jc w:val="both"/>
        <w:textAlignment w:val="baseline"/>
        <w:rPr>
          <w:rFonts w:ascii="Arial" w:eastAsia="Times New Roman" w:hAnsi="Arial" w:cs="Arial"/>
          <w:b/>
          <w:bCs/>
          <w:lang w:val="en-GB"/>
        </w:rPr>
      </w:pPr>
    </w:p>
    <w:p w14:paraId="223C6624" w14:textId="77777777" w:rsidR="009D2DF6" w:rsidRPr="00E44850" w:rsidRDefault="009D2DF6" w:rsidP="009D2DF6">
      <w:pPr>
        <w:adjustRightInd w:val="0"/>
        <w:spacing w:line="360" w:lineRule="auto"/>
        <w:jc w:val="both"/>
        <w:textAlignment w:val="baseline"/>
        <w:rPr>
          <w:rFonts w:ascii="Arial" w:eastAsia="Times New Roman" w:hAnsi="Arial" w:cs="Arial"/>
          <w:b/>
          <w:bCs/>
          <w:lang w:val="en-GB"/>
        </w:rPr>
      </w:pPr>
      <w:r w:rsidRPr="00E44850">
        <w:rPr>
          <w:rFonts w:ascii="Arial" w:eastAsia="Times New Roman" w:hAnsi="Arial" w:cs="Arial"/>
          <w:b/>
          <w:bCs/>
          <w:lang w:val="en-GB"/>
        </w:rPr>
        <w:t>SHER, J:</w:t>
      </w:r>
    </w:p>
    <w:p w14:paraId="022749C6" w14:textId="2B1CE8B7" w:rsidR="009D2DF6" w:rsidRPr="0080198D" w:rsidRDefault="00A23655" w:rsidP="00A23655">
      <w:pPr>
        <w:adjustRightInd w:val="0"/>
        <w:spacing w:after="0" w:line="360" w:lineRule="auto"/>
        <w:ind w:left="720" w:hanging="720"/>
        <w:contextualSpacing/>
        <w:jc w:val="both"/>
        <w:textAlignment w:val="baseline"/>
        <w:rPr>
          <w:rFonts w:ascii="Arial" w:hAnsi="Arial" w:cs="Arial"/>
        </w:rPr>
      </w:pPr>
      <w:r w:rsidRPr="0080198D">
        <w:rPr>
          <w:rFonts w:ascii="Arial" w:hAnsi="Arial" w:cs="Arial"/>
        </w:rPr>
        <w:t>1.</w:t>
      </w:r>
      <w:r w:rsidRPr="0080198D">
        <w:rPr>
          <w:rFonts w:ascii="Arial" w:hAnsi="Arial" w:cs="Arial"/>
        </w:rPr>
        <w:tab/>
      </w:r>
      <w:r w:rsidR="00B65F76">
        <w:rPr>
          <w:rFonts w:ascii="Arial" w:eastAsia="Times New Roman" w:hAnsi="Arial" w:cs="Arial"/>
          <w:bCs/>
          <w:lang w:val="en-GB"/>
        </w:rPr>
        <w:t>T</w:t>
      </w:r>
      <w:r w:rsidR="00387DDC">
        <w:rPr>
          <w:rFonts w:ascii="Arial" w:eastAsia="Times New Roman" w:hAnsi="Arial" w:cs="Arial"/>
          <w:bCs/>
          <w:lang w:val="en-GB"/>
        </w:rPr>
        <w:t xml:space="preserve">his is an application to review and set aside </w:t>
      </w:r>
      <w:r w:rsidR="0011664D">
        <w:rPr>
          <w:rFonts w:ascii="Arial" w:eastAsia="Times New Roman" w:hAnsi="Arial" w:cs="Arial"/>
          <w:bCs/>
          <w:lang w:val="en-GB"/>
        </w:rPr>
        <w:t>an</w:t>
      </w:r>
      <w:r w:rsidR="00387DDC">
        <w:rPr>
          <w:rFonts w:ascii="Arial" w:eastAsia="Times New Roman" w:hAnsi="Arial" w:cs="Arial"/>
          <w:bCs/>
          <w:lang w:val="en-GB"/>
        </w:rPr>
        <w:t xml:space="preserve"> award </w:t>
      </w:r>
      <w:r w:rsidR="00B65F76">
        <w:rPr>
          <w:rFonts w:ascii="Arial" w:eastAsia="Times New Roman" w:hAnsi="Arial" w:cs="Arial"/>
          <w:bCs/>
          <w:lang w:val="en-GB"/>
        </w:rPr>
        <w:t>by the City of Johannesburg (‘the City’) to the 2</w:t>
      </w:r>
      <w:r w:rsidR="00B65F76" w:rsidRPr="00387DDC">
        <w:rPr>
          <w:rFonts w:ascii="Arial" w:eastAsia="Times New Roman" w:hAnsi="Arial" w:cs="Arial"/>
          <w:bCs/>
          <w:vertAlign w:val="superscript"/>
          <w:lang w:val="en-GB"/>
        </w:rPr>
        <w:t>nd</w:t>
      </w:r>
      <w:r w:rsidR="00B65F76">
        <w:rPr>
          <w:rFonts w:ascii="Arial" w:eastAsia="Times New Roman" w:hAnsi="Arial" w:cs="Arial"/>
          <w:bCs/>
          <w:lang w:val="en-GB"/>
        </w:rPr>
        <w:t xml:space="preserve"> respondent (‘Syntell’) on 2 December 2022, </w:t>
      </w:r>
      <w:r w:rsidR="00387DDC">
        <w:rPr>
          <w:rFonts w:ascii="Arial" w:eastAsia="Times New Roman" w:hAnsi="Arial" w:cs="Arial"/>
          <w:bCs/>
          <w:lang w:val="en-GB"/>
        </w:rPr>
        <w:t xml:space="preserve">of a </w:t>
      </w:r>
      <w:r w:rsidR="00B65F76">
        <w:rPr>
          <w:rFonts w:ascii="Arial" w:eastAsia="Times New Roman" w:hAnsi="Arial" w:cs="Arial"/>
          <w:bCs/>
          <w:lang w:val="en-GB"/>
        </w:rPr>
        <w:t>three-year</w:t>
      </w:r>
      <w:r w:rsidR="00387DDC">
        <w:rPr>
          <w:rFonts w:ascii="Arial" w:eastAsia="Times New Roman" w:hAnsi="Arial" w:cs="Arial"/>
          <w:bCs/>
          <w:lang w:val="en-GB"/>
        </w:rPr>
        <w:t xml:space="preserve"> tender </w:t>
      </w:r>
      <w:r w:rsidR="00A435F3">
        <w:rPr>
          <w:rFonts w:ascii="Arial" w:eastAsia="Times New Roman" w:hAnsi="Arial" w:cs="Arial"/>
          <w:bCs/>
          <w:lang w:val="en-GB"/>
        </w:rPr>
        <w:t xml:space="preserve">to the value of R 177.1 million odd, </w:t>
      </w:r>
      <w:r w:rsidR="00387DDC">
        <w:rPr>
          <w:rFonts w:ascii="Arial" w:eastAsia="Times New Roman" w:hAnsi="Arial" w:cs="Arial"/>
          <w:bCs/>
          <w:lang w:val="en-GB"/>
        </w:rPr>
        <w:t>for the provision of advanced law enforcement and ‘crash’ management services</w:t>
      </w:r>
      <w:r w:rsidR="009D2DF6">
        <w:rPr>
          <w:rFonts w:ascii="Arial" w:eastAsia="Times New Roman" w:hAnsi="Arial" w:cs="Arial"/>
          <w:bCs/>
          <w:lang w:val="en-GB"/>
        </w:rPr>
        <w:t xml:space="preserve">. </w:t>
      </w:r>
    </w:p>
    <w:p w14:paraId="3845EA7A" w14:textId="21E3616A" w:rsidR="009D2DF6" w:rsidRPr="00E54C48" w:rsidRDefault="00A23655" w:rsidP="00A23655">
      <w:pPr>
        <w:adjustRightInd w:val="0"/>
        <w:spacing w:after="0" w:line="360" w:lineRule="auto"/>
        <w:ind w:left="720" w:hanging="720"/>
        <w:contextualSpacing/>
        <w:jc w:val="both"/>
        <w:textAlignment w:val="baseline"/>
        <w:rPr>
          <w:rFonts w:ascii="Arial" w:hAnsi="Arial" w:cs="Arial"/>
        </w:rPr>
      </w:pPr>
      <w:r w:rsidRPr="00E54C48">
        <w:rPr>
          <w:rFonts w:ascii="Arial" w:hAnsi="Arial" w:cs="Arial"/>
        </w:rPr>
        <w:t>2.</w:t>
      </w:r>
      <w:r w:rsidRPr="00E54C48">
        <w:rPr>
          <w:rFonts w:ascii="Arial" w:hAnsi="Arial" w:cs="Arial"/>
        </w:rPr>
        <w:tab/>
      </w:r>
      <w:r w:rsidR="00387DDC">
        <w:rPr>
          <w:rFonts w:ascii="Arial" w:eastAsia="Times New Roman" w:hAnsi="Arial" w:cs="Arial"/>
          <w:bCs/>
          <w:lang w:val="en-GB"/>
        </w:rPr>
        <w:t xml:space="preserve">The applicant was </w:t>
      </w:r>
      <w:r w:rsidR="00B65F76">
        <w:rPr>
          <w:rFonts w:ascii="Arial" w:eastAsia="Times New Roman" w:hAnsi="Arial" w:cs="Arial"/>
          <w:bCs/>
          <w:lang w:val="en-GB"/>
        </w:rPr>
        <w:t xml:space="preserve">one </w:t>
      </w:r>
      <w:r w:rsidR="00387DDC">
        <w:rPr>
          <w:rFonts w:ascii="Arial" w:eastAsia="Times New Roman" w:hAnsi="Arial" w:cs="Arial"/>
          <w:bCs/>
          <w:lang w:val="en-GB"/>
        </w:rPr>
        <w:t xml:space="preserve">of 3 bidders for the tender. It was disqualified by the </w:t>
      </w:r>
      <w:r w:rsidR="00B65F76">
        <w:rPr>
          <w:rFonts w:ascii="Arial" w:eastAsia="Times New Roman" w:hAnsi="Arial" w:cs="Arial"/>
          <w:bCs/>
          <w:lang w:val="en-GB"/>
        </w:rPr>
        <w:t>City’s b</w:t>
      </w:r>
      <w:r w:rsidR="00387DDC">
        <w:rPr>
          <w:rFonts w:ascii="Arial" w:eastAsia="Times New Roman" w:hAnsi="Arial" w:cs="Arial"/>
          <w:bCs/>
          <w:lang w:val="en-GB"/>
        </w:rPr>
        <w:t>id evaluation committee</w:t>
      </w:r>
      <w:r w:rsidR="00B65F76">
        <w:rPr>
          <w:rFonts w:ascii="Arial" w:eastAsia="Times New Roman" w:hAnsi="Arial" w:cs="Arial"/>
          <w:bCs/>
          <w:lang w:val="en-GB"/>
        </w:rPr>
        <w:t xml:space="preserve"> (‘the BEC’)</w:t>
      </w:r>
      <w:r w:rsidR="00387DDC">
        <w:rPr>
          <w:rFonts w:ascii="Arial" w:eastAsia="Times New Roman" w:hAnsi="Arial" w:cs="Arial"/>
          <w:bCs/>
          <w:lang w:val="en-GB"/>
        </w:rPr>
        <w:t xml:space="preserve"> on 6 May 2022 on the grounds that its bid was non-responsive</w:t>
      </w:r>
      <w:r w:rsidR="00B65F76">
        <w:rPr>
          <w:rFonts w:ascii="Arial" w:eastAsia="Times New Roman" w:hAnsi="Arial" w:cs="Arial"/>
          <w:bCs/>
          <w:lang w:val="en-GB"/>
        </w:rPr>
        <w:t>,</w:t>
      </w:r>
      <w:r w:rsidR="00387DDC">
        <w:rPr>
          <w:rFonts w:ascii="Arial" w:eastAsia="Times New Roman" w:hAnsi="Arial" w:cs="Arial"/>
          <w:bCs/>
          <w:lang w:val="en-GB"/>
        </w:rPr>
        <w:t xml:space="preserve"> as it had failed to file certified copies of license certificates for the equipment it was to supply. A </w:t>
      </w:r>
      <w:r w:rsidR="00B65F76">
        <w:rPr>
          <w:rFonts w:ascii="Arial" w:eastAsia="Times New Roman" w:hAnsi="Arial" w:cs="Arial"/>
          <w:bCs/>
          <w:lang w:val="en-GB"/>
        </w:rPr>
        <w:t xml:space="preserve">second </w:t>
      </w:r>
      <w:r w:rsidR="00387DDC">
        <w:rPr>
          <w:rFonts w:ascii="Arial" w:eastAsia="Times New Roman" w:hAnsi="Arial" w:cs="Arial"/>
          <w:bCs/>
          <w:lang w:val="en-GB"/>
        </w:rPr>
        <w:t xml:space="preserve">bidder was disqualified for the same </w:t>
      </w:r>
      <w:r w:rsidR="00387DDC">
        <w:rPr>
          <w:rFonts w:ascii="Arial" w:eastAsia="Times New Roman" w:hAnsi="Arial" w:cs="Arial"/>
          <w:bCs/>
          <w:lang w:val="en-GB"/>
        </w:rPr>
        <w:lastRenderedPageBreak/>
        <w:t>reason</w:t>
      </w:r>
      <w:r w:rsidR="009D2DF6">
        <w:rPr>
          <w:rFonts w:ascii="Arial" w:eastAsia="Times New Roman" w:hAnsi="Arial" w:cs="Arial"/>
          <w:bCs/>
          <w:lang w:val="en-GB"/>
        </w:rPr>
        <w:t xml:space="preserve">. </w:t>
      </w:r>
      <w:r w:rsidR="00B65F76">
        <w:rPr>
          <w:rFonts w:ascii="Arial" w:eastAsia="Times New Roman" w:hAnsi="Arial" w:cs="Arial"/>
          <w:bCs/>
          <w:lang w:val="en-GB"/>
        </w:rPr>
        <w:t>According to the BEC</w:t>
      </w:r>
      <w:r w:rsidR="00F901A3">
        <w:rPr>
          <w:rFonts w:ascii="Arial" w:eastAsia="Times New Roman" w:hAnsi="Arial" w:cs="Arial"/>
          <w:bCs/>
          <w:lang w:val="en-GB"/>
        </w:rPr>
        <w:t>,</w:t>
      </w:r>
      <w:r w:rsidR="00B65F76">
        <w:rPr>
          <w:rFonts w:ascii="Arial" w:eastAsia="Times New Roman" w:hAnsi="Arial" w:cs="Arial"/>
          <w:bCs/>
          <w:lang w:val="en-GB"/>
        </w:rPr>
        <w:t xml:space="preserve"> Syntell was the only compliant and responsive bidder. </w:t>
      </w:r>
    </w:p>
    <w:p w14:paraId="743542AD" w14:textId="77777777" w:rsidR="009D2DF6" w:rsidRPr="00704588" w:rsidRDefault="009D2DF6" w:rsidP="009D2DF6">
      <w:pPr>
        <w:adjustRightInd w:val="0"/>
        <w:spacing w:after="0" w:line="360" w:lineRule="auto"/>
        <w:contextualSpacing/>
        <w:jc w:val="both"/>
        <w:textAlignment w:val="baseline"/>
        <w:rPr>
          <w:rFonts w:ascii="Arial" w:hAnsi="Arial" w:cs="Arial"/>
          <w:b/>
        </w:rPr>
      </w:pPr>
      <w:r w:rsidRPr="00704588">
        <w:rPr>
          <w:rFonts w:ascii="Arial" w:eastAsia="Times New Roman" w:hAnsi="Arial" w:cs="Arial"/>
          <w:b/>
          <w:lang w:val="en-GB"/>
        </w:rPr>
        <w:t xml:space="preserve">The </w:t>
      </w:r>
      <w:r>
        <w:rPr>
          <w:rFonts w:ascii="Arial" w:eastAsia="Times New Roman" w:hAnsi="Arial" w:cs="Arial"/>
          <w:b/>
          <w:lang w:val="en-GB"/>
        </w:rPr>
        <w:t>background</w:t>
      </w:r>
      <w:r w:rsidRPr="00704588">
        <w:rPr>
          <w:rFonts w:ascii="Arial" w:eastAsia="Times New Roman" w:hAnsi="Arial" w:cs="Arial"/>
          <w:b/>
          <w:lang w:val="en-GB"/>
        </w:rPr>
        <w:t xml:space="preserve"> </w:t>
      </w:r>
    </w:p>
    <w:p w14:paraId="73C1A389" w14:textId="0A094D33" w:rsidR="009D2DF6" w:rsidRPr="00387DDC" w:rsidRDefault="00A23655" w:rsidP="00A23655">
      <w:pPr>
        <w:adjustRightInd w:val="0"/>
        <w:spacing w:after="0" w:line="360" w:lineRule="auto"/>
        <w:ind w:left="720" w:hanging="720"/>
        <w:contextualSpacing/>
        <w:jc w:val="both"/>
        <w:textAlignment w:val="baseline"/>
      </w:pPr>
      <w:r w:rsidRPr="00387DDC">
        <w:rPr>
          <w:rFonts w:ascii="Arial" w:hAnsi="Arial" w:cs="Arial"/>
        </w:rPr>
        <w:t>3.</w:t>
      </w:r>
      <w:r w:rsidRPr="00387DDC">
        <w:rPr>
          <w:rFonts w:ascii="Arial" w:hAnsi="Arial" w:cs="Arial"/>
        </w:rPr>
        <w:tab/>
      </w:r>
      <w:r w:rsidR="009D2DF6" w:rsidRPr="00387DDC">
        <w:rPr>
          <w:rFonts w:ascii="Arial" w:eastAsia="Times New Roman" w:hAnsi="Arial" w:cs="Arial"/>
          <w:bCs/>
          <w:lang w:val="en-GB"/>
        </w:rPr>
        <w:t xml:space="preserve">The applicant is </w:t>
      </w:r>
      <w:r w:rsidR="00387DDC">
        <w:rPr>
          <w:rFonts w:ascii="Arial" w:eastAsia="Times New Roman" w:hAnsi="Arial" w:cs="Arial"/>
          <w:bCs/>
          <w:lang w:val="en-GB"/>
        </w:rPr>
        <w:t>in the business of providing traffic management services to state entities such as municipalities and provincial governments. These services comprise both so-called ‘front’ and ‘back’ office services. Front</w:t>
      </w:r>
      <w:r w:rsidR="0011664D">
        <w:rPr>
          <w:rFonts w:ascii="Arial" w:eastAsia="Times New Roman" w:hAnsi="Arial" w:cs="Arial"/>
          <w:bCs/>
          <w:lang w:val="en-GB"/>
        </w:rPr>
        <w:t>-</w:t>
      </w:r>
      <w:r w:rsidR="00387DDC">
        <w:rPr>
          <w:rFonts w:ascii="Arial" w:eastAsia="Times New Roman" w:hAnsi="Arial" w:cs="Arial"/>
          <w:bCs/>
          <w:lang w:val="en-GB"/>
        </w:rPr>
        <w:t>of</w:t>
      </w:r>
      <w:r w:rsidR="00B65F76">
        <w:rPr>
          <w:rFonts w:ascii="Arial" w:eastAsia="Times New Roman" w:hAnsi="Arial" w:cs="Arial"/>
          <w:bCs/>
          <w:lang w:val="en-GB"/>
        </w:rPr>
        <w:t>fice</w:t>
      </w:r>
      <w:r w:rsidR="00387DDC">
        <w:rPr>
          <w:rFonts w:ascii="Arial" w:eastAsia="Times New Roman" w:hAnsi="Arial" w:cs="Arial"/>
          <w:bCs/>
          <w:lang w:val="en-GB"/>
        </w:rPr>
        <w:t xml:space="preserve"> services involve capturing traffic </w:t>
      </w:r>
      <w:r w:rsidR="00D35045">
        <w:rPr>
          <w:rFonts w:ascii="Arial" w:eastAsia="Times New Roman" w:hAnsi="Arial" w:cs="Arial"/>
          <w:bCs/>
          <w:lang w:val="en-GB"/>
        </w:rPr>
        <w:t xml:space="preserve">violations or </w:t>
      </w:r>
      <w:r w:rsidR="00B65F76">
        <w:rPr>
          <w:rFonts w:ascii="Arial" w:eastAsia="Times New Roman" w:hAnsi="Arial" w:cs="Arial"/>
          <w:bCs/>
          <w:lang w:val="en-GB"/>
        </w:rPr>
        <w:t xml:space="preserve">‘infringements’ </w:t>
      </w:r>
      <w:r w:rsidR="00387DDC">
        <w:rPr>
          <w:rFonts w:ascii="Arial" w:eastAsia="Times New Roman" w:hAnsi="Arial" w:cs="Arial"/>
          <w:bCs/>
          <w:lang w:val="en-GB"/>
        </w:rPr>
        <w:t>with fixed or mobile cameras</w:t>
      </w:r>
      <w:r w:rsidR="00F901A3">
        <w:rPr>
          <w:rFonts w:ascii="Arial" w:eastAsia="Times New Roman" w:hAnsi="Arial" w:cs="Arial"/>
          <w:bCs/>
          <w:lang w:val="en-GB"/>
        </w:rPr>
        <w:t xml:space="preserve"> and equipment</w:t>
      </w:r>
      <w:r w:rsidR="00265997">
        <w:rPr>
          <w:rFonts w:ascii="Arial" w:eastAsia="Times New Roman" w:hAnsi="Arial" w:cs="Arial"/>
          <w:bCs/>
          <w:lang w:val="en-GB"/>
        </w:rPr>
        <w:t>.</w:t>
      </w:r>
      <w:r w:rsidR="0011664D">
        <w:rPr>
          <w:rFonts w:ascii="Arial" w:eastAsia="Times New Roman" w:hAnsi="Arial" w:cs="Arial"/>
          <w:bCs/>
          <w:lang w:val="en-GB"/>
        </w:rPr>
        <w:t xml:space="preserve"> </w:t>
      </w:r>
      <w:r w:rsidR="00265997">
        <w:rPr>
          <w:rFonts w:ascii="Arial" w:eastAsia="Times New Roman" w:hAnsi="Arial" w:cs="Arial"/>
          <w:bCs/>
          <w:lang w:val="en-GB"/>
        </w:rPr>
        <w:t>B</w:t>
      </w:r>
      <w:r w:rsidR="0011664D">
        <w:rPr>
          <w:rFonts w:ascii="Arial" w:eastAsia="Times New Roman" w:hAnsi="Arial" w:cs="Arial"/>
          <w:bCs/>
          <w:lang w:val="en-GB"/>
        </w:rPr>
        <w:t>ack-office</w:t>
      </w:r>
      <w:r w:rsidR="00387DDC">
        <w:rPr>
          <w:rFonts w:ascii="Arial" w:eastAsia="Times New Roman" w:hAnsi="Arial" w:cs="Arial"/>
          <w:bCs/>
          <w:lang w:val="en-GB"/>
        </w:rPr>
        <w:t xml:space="preserve"> services consist of processing </w:t>
      </w:r>
      <w:r w:rsidR="00B65F76">
        <w:rPr>
          <w:rFonts w:ascii="Arial" w:eastAsia="Times New Roman" w:hAnsi="Arial" w:cs="Arial"/>
          <w:bCs/>
          <w:lang w:val="en-GB"/>
        </w:rPr>
        <w:t xml:space="preserve">and </w:t>
      </w:r>
      <w:r w:rsidR="00265997">
        <w:rPr>
          <w:rFonts w:ascii="Arial" w:eastAsia="Times New Roman" w:hAnsi="Arial" w:cs="Arial"/>
          <w:bCs/>
          <w:lang w:val="en-GB"/>
        </w:rPr>
        <w:t>analysing</w:t>
      </w:r>
      <w:r w:rsidR="00B65F76">
        <w:rPr>
          <w:rFonts w:ascii="Arial" w:eastAsia="Times New Roman" w:hAnsi="Arial" w:cs="Arial"/>
          <w:bCs/>
          <w:lang w:val="en-GB"/>
        </w:rPr>
        <w:t xml:space="preserve"> </w:t>
      </w:r>
      <w:r w:rsidR="00387DDC">
        <w:rPr>
          <w:rFonts w:ascii="Arial" w:eastAsia="Times New Roman" w:hAnsi="Arial" w:cs="Arial"/>
          <w:bCs/>
          <w:lang w:val="en-GB"/>
        </w:rPr>
        <w:t xml:space="preserve">the </w:t>
      </w:r>
      <w:r w:rsidR="009659CD">
        <w:rPr>
          <w:rFonts w:ascii="Arial" w:eastAsia="Times New Roman" w:hAnsi="Arial" w:cs="Arial"/>
          <w:bCs/>
          <w:lang w:val="en-GB"/>
        </w:rPr>
        <w:t xml:space="preserve">data </w:t>
      </w:r>
      <w:r w:rsidR="00AE3922">
        <w:rPr>
          <w:rFonts w:ascii="Arial" w:eastAsia="Times New Roman" w:hAnsi="Arial" w:cs="Arial"/>
          <w:bCs/>
          <w:lang w:val="en-GB"/>
        </w:rPr>
        <w:t xml:space="preserve">captured </w:t>
      </w:r>
      <w:r w:rsidR="009659CD">
        <w:rPr>
          <w:rFonts w:ascii="Arial" w:eastAsia="Times New Roman" w:hAnsi="Arial" w:cs="Arial"/>
          <w:bCs/>
          <w:lang w:val="en-GB"/>
        </w:rPr>
        <w:t>and</w:t>
      </w:r>
      <w:r w:rsidR="00387DDC">
        <w:rPr>
          <w:rFonts w:ascii="Arial" w:eastAsia="Times New Roman" w:hAnsi="Arial" w:cs="Arial"/>
          <w:bCs/>
          <w:lang w:val="en-GB"/>
        </w:rPr>
        <w:t xml:space="preserve"> issuing fines</w:t>
      </w:r>
      <w:r w:rsidR="00B65F76">
        <w:rPr>
          <w:rFonts w:ascii="Arial" w:eastAsia="Times New Roman" w:hAnsi="Arial" w:cs="Arial"/>
          <w:bCs/>
          <w:lang w:val="en-GB"/>
        </w:rPr>
        <w:t xml:space="preserve"> and court process</w:t>
      </w:r>
      <w:r w:rsidR="00387DDC">
        <w:rPr>
          <w:rFonts w:ascii="Arial" w:eastAsia="Times New Roman" w:hAnsi="Arial" w:cs="Arial"/>
          <w:bCs/>
          <w:lang w:val="en-GB"/>
        </w:rPr>
        <w:t xml:space="preserve">. The applicant </w:t>
      </w:r>
      <w:r w:rsidR="0011664D">
        <w:rPr>
          <w:rFonts w:ascii="Arial" w:eastAsia="Times New Roman" w:hAnsi="Arial" w:cs="Arial"/>
          <w:bCs/>
          <w:lang w:val="en-GB"/>
        </w:rPr>
        <w:t>su</w:t>
      </w:r>
      <w:r w:rsidR="00387DDC">
        <w:rPr>
          <w:rFonts w:ascii="Arial" w:eastAsia="Times New Roman" w:hAnsi="Arial" w:cs="Arial"/>
          <w:bCs/>
          <w:lang w:val="en-GB"/>
        </w:rPr>
        <w:t xml:space="preserve">pplied these services to the City between 2015 and 2017 </w:t>
      </w:r>
      <w:r w:rsidR="00B65F76">
        <w:rPr>
          <w:rFonts w:ascii="Arial" w:eastAsia="Times New Roman" w:hAnsi="Arial" w:cs="Arial"/>
          <w:bCs/>
          <w:lang w:val="en-GB"/>
        </w:rPr>
        <w:t xml:space="preserve">in </w:t>
      </w:r>
      <w:r w:rsidR="00387DDC">
        <w:rPr>
          <w:rFonts w:ascii="Arial" w:eastAsia="Times New Roman" w:hAnsi="Arial" w:cs="Arial"/>
          <w:bCs/>
          <w:lang w:val="en-GB"/>
        </w:rPr>
        <w:t>terms of a previous tender</w:t>
      </w:r>
      <w:r w:rsidR="0011664D">
        <w:rPr>
          <w:rFonts w:ascii="Arial" w:eastAsia="Times New Roman" w:hAnsi="Arial" w:cs="Arial"/>
          <w:bCs/>
          <w:lang w:val="en-GB"/>
        </w:rPr>
        <w:t xml:space="preserve"> </w:t>
      </w:r>
      <w:r w:rsidR="00620570">
        <w:rPr>
          <w:rFonts w:ascii="Arial" w:eastAsia="Times New Roman" w:hAnsi="Arial" w:cs="Arial"/>
          <w:bCs/>
          <w:lang w:val="en-GB"/>
        </w:rPr>
        <w:t>which was</w:t>
      </w:r>
      <w:r w:rsidR="0011664D">
        <w:rPr>
          <w:rFonts w:ascii="Arial" w:eastAsia="Times New Roman" w:hAnsi="Arial" w:cs="Arial"/>
          <w:bCs/>
          <w:lang w:val="en-GB"/>
        </w:rPr>
        <w:t xml:space="preserve"> awarded</w:t>
      </w:r>
      <w:r w:rsidR="00620570">
        <w:rPr>
          <w:rFonts w:ascii="Arial" w:eastAsia="Times New Roman" w:hAnsi="Arial" w:cs="Arial"/>
          <w:bCs/>
          <w:lang w:val="en-GB"/>
        </w:rPr>
        <w:t xml:space="preserve"> to it</w:t>
      </w:r>
      <w:r w:rsidR="00387DDC">
        <w:rPr>
          <w:rFonts w:ascii="Arial" w:eastAsia="Times New Roman" w:hAnsi="Arial" w:cs="Arial"/>
          <w:bCs/>
          <w:lang w:val="en-GB"/>
        </w:rPr>
        <w:t xml:space="preserve">. The subsequent </w:t>
      </w:r>
      <w:r w:rsidR="00B65F76">
        <w:rPr>
          <w:rFonts w:ascii="Arial" w:eastAsia="Times New Roman" w:hAnsi="Arial" w:cs="Arial"/>
          <w:bCs/>
          <w:lang w:val="en-GB"/>
        </w:rPr>
        <w:t>3-year</w:t>
      </w:r>
      <w:r w:rsidR="00387DDC">
        <w:rPr>
          <w:rFonts w:ascii="Arial" w:eastAsia="Times New Roman" w:hAnsi="Arial" w:cs="Arial"/>
          <w:bCs/>
          <w:lang w:val="en-GB"/>
        </w:rPr>
        <w:t xml:space="preserve"> tender which ran from 2018 to 2021 was awarded to Syntell.</w:t>
      </w:r>
    </w:p>
    <w:p w14:paraId="2287BE35" w14:textId="18E7A749" w:rsidR="00620570"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4.</w:t>
      </w:r>
      <w:r>
        <w:rPr>
          <w:rFonts w:ascii="Arial" w:hAnsi="Arial" w:cs="Arial"/>
        </w:rPr>
        <w:tab/>
      </w:r>
      <w:r w:rsidR="00387DDC" w:rsidRPr="00230F27">
        <w:rPr>
          <w:rFonts w:ascii="Arial" w:hAnsi="Arial" w:cs="Arial"/>
        </w:rPr>
        <w:t>In 2018</w:t>
      </w:r>
      <w:r w:rsidR="00AE3922">
        <w:rPr>
          <w:rFonts w:ascii="Arial" w:hAnsi="Arial" w:cs="Arial"/>
        </w:rPr>
        <w:t>-2019</w:t>
      </w:r>
      <w:r w:rsidR="00387DDC" w:rsidRPr="00230F27">
        <w:rPr>
          <w:rFonts w:ascii="Arial" w:hAnsi="Arial" w:cs="Arial"/>
        </w:rPr>
        <w:t xml:space="preserve"> the </w:t>
      </w:r>
      <w:r w:rsidR="00B65F76">
        <w:rPr>
          <w:rFonts w:ascii="Arial" w:hAnsi="Arial" w:cs="Arial"/>
        </w:rPr>
        <w:t>C</w:t>
      </w:r>
      <w:r w:rsidR="00387DDC" w:rsidRPr="00230F27">
        <w:rPr>
          <w:rFonts w:ascii="Arial" w:hAnsi="Arial" w:cs="Arial"/>
        </w:rPr>
        <w:t xml:space="preserve">ity decided to review the </w:t>
      </w:r>
      <w:r w:rsidR="00B65F76">
        <w:rPr>
          <w:rFonts w:ascii="Arial" w:hAnsi="Arial" w:cs="Arial"/>
        </w:rPr>
        <w:t xml:space="preserve">operating </w:t>
      </w:r>
      <w:r w:rsidR="00387DDC" w:rsidRPr="00230F27">
        <w:rPr>
          <w:rFonts w:ascii="Arial" w:hAnsi="Arial" w:cs="Arial"/>
        </w:rPr>
        <w:t xml:space="preserve">model </w:t>
      </w:r>
      <w:r w:rsidR="00D35045">
        <w:rPr>
          <w:rFonts w:ascii="Arial" w:hAnsi="Arial" w:cs="Arial"/>
        </w:rPr>
        <w:t>in terms of which</w:t>
      </w:r>
      <w:r w:rsidR="00F901A3">
        <w:rPr>
          <w:rFonts w:ascii="Arial" w:hAnsi="Arial" w:cs="Arial"/>
        </w:rPr>
        <w:t xml:space="preserve"> </w:t>
      </w:r>
      <w:r w:rsidR="00387DDC" w:rsidRPr="00230F27">
        <w:rPr>
          <w:rFonts w:ascii="Arial" w:hAnsi="Arial" w:cs="Arial"/>
        </w:rPr>
        <w:t xml:space="preserve">these services </w:t>
      </w:r>
      <w:r w:rsidR="00B65F76">
        <w:rPr>
          <w:rFonts w:ascii="Arial" w:hAnsi="Arial" w:cs="Arial"/>
        </w:rPr>
        <w:t xml:space="preserve">were provided, </w:t>
      </w:r>
      <w:r w:rsidR="00F901A3">
        <w:rPr>
          <w:rFonts w:ascii="Arial" w:hAnsi="Arial" w:cs="Arial"/>
        </w:rPr>
        <w:t>wh</w:t>
      </w:r>
      <w:r w:rsidR="00892018">
        <w:rPr>
          <w:rFonts w:ascii="Arial" w:hAnsi="Arial" w:cs="Arial"/>
        </w:rPr>
        <w:t xml:space="preserve">ereby </w:t>
      </w:r>
      <w:r w:rsidR="00E96916">
        <w:rPr>
          <w:rFonts w:ascii="Arial" w:hAnsi="Arial" w:cs="Arial"/>
        </w:rPr>
        <w:t>the City</w:t>
      </w:r>
      <w:r w:rsidR="00F901A3">
        <w:rPr>
          <w:rFonts w:ascii="Arial" w:hAnsi="Arial" w:cs="Arial"/>
        </w:rPr>
        <w:t xml:space="preserve"> </w:t>
      </w:r>
      <w:r w:rsidR="00387DDC" w:rsidRPr="00230F27">
        <w:rPr>
          <w:rFonts w:ascii="Arial" w:hAnsi="Arial" w:cs="Arial"/>
        </w:rPr>
        <w:t>acquire</w:t>
      </w:r>
      <w:r w:rsidR="00892018">
        <w:rPr>
          <w:rFonts w:ascii="Arial" w:hAnsi="Arial" w:cs="Arial"/>
        </w:rPr>
        <w:t>d</w:t>
      </w:r>
      <w:r w:rsidR="00387DDC" w:rsidRPr="00230F27">
        <w:rPr>
          <w:rFonts w:ascii="Arial" w:hAnsi="Arial" w:cs="Arial"/>
        </w:rPr>
        <w:t xml:space="preserve"> the hardware and equipment </w:t>
      </w:r>
      <w:r w:rsidR="00620570">
        <w:rPr>
          <w:rFonts w:ascii="Arial" w:hAnsi="Arial" w:cs="Arial"/>
        </w:rPr>
        <w:t xml:space="preserve">which </w:t>
      </w:r>
      <w:r w:rsidR="00387DDC" w:rsidRPr="00230F27">
        <w:rPr>
          <w:rFonts w:ascii="Arial" w:hAnsi="Arial" w:cs="Arial"/>
        </w:rPr>
        <w:t>the service provider who was awarded the tender would operate</w:t>
      </w:r>
      <w:r w:rsidR="0011664D">
        <w:rPr>
          <w:rFonts w:ascii="Arial" w:hAnsi="Arial" w:cs="Arial"/>
        </w:rPr>
        <w:t>,</w:t>
      </w:r>
      <w:r w:rsidR="00387DDC" w:rsidRPr="00230F27">
        <w:rPr>
          <w:rFonts w:ascii="Arial" w:hAnsi="Arial" w:cs="Arial"/>
        </w:rPr>
        <w:t xml:space="preserve"> </w:t>
      </w:r>
      <w:r w:rsidR="00620570">
        <w:rPr>
          <w:rFonts w:ascii="Arial" w:hAnsi="Arial" w:cs="Arial"/>
        </w:rPr>
        <w:t>for which it</w:t>
      </w:r>
      <w:r w:rsidR="00387DDC" w:rsidRPr="00230F27">
        <w:rPr>
          <w:rFonts w:ascii="Arial" w:hAnsi="Arial" w:cs="Arial"/>
        </w:rPr>
        <w:t xml:space="preserve"> would be remunerated on the basis of the number of traffic violations </w:t>
      </w:r>
      <w:r w:rsidR="00115837">
        <w:rPr>
          <w:rFonts w:ascii="Arial" w:hAnsi="Arial" w:cs="Arial"/>
        </w:rPr>
        <w:t xml:space="preserve">that </w:t>
      </w:r>
      <w:r w:rsidR="00F901A3">
        <w:rPr>
          <w:rFonts w:ascii="Arial" w:hAnsi="Arial" w:cs="Arial"/>
        </w:rPr>
        <w:t>it</w:t>
      </w:r>
      <w:r w:rsidR="00115837">
        <w:rPr>
          <w:rFonts w:ascii="Arial" w:hAnsi="Arial" w:cs="Arial"/>
        </w:rPr>
        <w:t xml:space="preserve"> </w:t>
      </w:r>
      <w:r w:rsidR="00387DDC" w:rsidRPr="00230F27">
        <w:rPr>
          <w:rFonts w:ascii="Arial" w:hAnsi="Arial" w:cs="Arial"/>
        </w:rPr>
        <w:t>captured</w:t>
      </w:r>
      <w:r w:rsidR="00620570">
        <w:rPr>
          <w:rFonts w:ascii="Arial" w:hAnsi="Arial" w:cs="Arial"/>
        </w:rPr>
        <w:t xml:space="preserve"> and processed</w:t>
      </w:r>
      <w:r w:rsidR="00F901A3">
        <w:rPr>
          <w:rFonts w:ascii="Arial" w:hAnsi="Arial" w:cs="Arial"/>
        </w:rPr>
        <w:t>,</w:t>
      </w:r>
      <w:r w:rsidR="00387DDC" w:rsidRPr="00230F27">
        <w:rPr>
          <w:rFonts w:ascii="Arial" w:hAnsi="Arial" w:cs="Arial"/>
        </w:rPr>
        <w:t xml:space="preserve"> </w:t>
      </w:r>
      <w:r w:rsidR="00F901A3">
        <w:rPr>
          <w:rFonts w:ascii="Arial" w:hAnsi="Arial" w:cs="Arial"/>
        </w:rPr>
        <w:t xml:space="preserve">utilizing </w:t>
      </w:r>
      <w:r w:rsidR="00387DDC" w:rsidRPr="00230F27">
        <w:rPr>
          <w:rFonts w:ascii="Arial" w:hAnsi="Arial" w:cs="Arial"/>
        </w:rPr>
        <w:t xml:space="preserve">the </w:t>
      </w:r>
      <w:r w:rsidR="0011664D">
        <w:rPr>
          <w:rFonts w:ascii="Arial" w:hAnsi="Arial" w:cs="Arial"/>
        </w:rPr>
        <w:t xml:space="preserve">City’s </w:t>
      </w:r>
      <w:r w:rsidR="00115837">
        <w:rPr>
          <w:rFonts w:ascii="Arial" w:hAnsi="Arial" w:cs="Arial"/>
        </w:rPr>
        <w:t>equipment</w:t>
      </w:r>
      <w:r w:rsidR="00387DDC" w:rsidRPr="00230F27">
        <w:rPr>
          <w:rFonts w:ascii="Arial" w:hAnsi="Arial" w:cs="Arial"/>
        </w:rPr>
        <w:t xml:space="preserve">. </w:t>
      </w:r>
    </w:p>
    <w:p w14:paraId="3B8015A7" w14:textId="35FF297E" w:rsidR="00387DDC"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5.</w:t>
      </w:r>
      <w:r>
        <w:rPr>
          <w:rFonts w:ascii="Arial" w:hAnsi="Arial" w:cs="Arial"/>
        </w:rPr>
        <w:tab/>
      </w:r>
      <w:r w:rsidR="0011664D">
        <w:rPr>
          <w:rFonts w:ascii="Arial" w:hAnsi="Arial" w:cs="Arial"/>
        </w:rPr>
        <w:t>Due to financial constraints t</w:t>
      </w:r>
      <w:r w:rsidR="00387DDC" w:rsidRPr="00230F27">
        <w:rPr>
          <w:rFonts w:ascii="Arial" w:hAnsi="Arial" w:cs="Arial"/>
        </w:rPr>
        <w:t xml:space="preserve">he City proposed that </w:t>
      </w:r>
      <w:r w:rsidR="00115837">
        <w:rPr>
          <w:rFonts w:ascii="Arial" w:hAnsi="Arial" w:cs="Arial"/>
        </w:rPr>
        <w:t xml:space="preserve">in future </w:t>
      </w:r>
      <w:r w:rsidR="00212982">
        <w:rPr>
          <w:rFonts w:ascii="Arial" w:hAnsi="Arial" w:cs="Arial"/>
        </w:rPr>
        <w:t>the</w:t>
      </w:r>
      <w:r w:rsidR="00387DDC" w:rsidRPr="00230F27">
        <w:rPr>
          <w:rFonts w:ascii="Arial" w:hAnsi="Arial" w:cs="Arial"/>
        </w:rPr>
        <w:t xml:space="preserve"> hardware and equipment </w:t>
      </w:r>
      <w:r w:rsidR="0011664D">
        <w:rPr>
          <w:rFonts w:ascii="Arial" w:hAnsi="Arial" w:cs="Arial"/>
        </w:rPr>
        <w:t>sh</w:t>
      </w:r>
      <w:r w:rsidR="00387DDC" w:rsidRPr="00230F27">
        <w:rPr>
          <w:rFonts w:ascii="Arial" w:hAnsi="Arial" w:cs="Arial"/>
        </w:rPr>
        <w:t>ould be supplied by the service provider</w:t>
      </w:r>
      <w:r w:rsidR="00212982">
        <w:rPr>
          <w:rFonts w:ascii="Arial" w:hAnsi="Arial" w:cs="Arial"/>
        </w:rPr>
        <w:t>,</w:t>
      </w:r>
      <w:r w:rsidR="00387DDC" w:rsidRPr="00230F27">
        <w:rPr>
          <w:rFonts w:ascii="Arial" w:hAnsi="Arial" w:cs="Arial"/>
        </w:rPr>
        <w:t xml:space="preserve"> who </w:t>
      </w:r>
      <w:r w:rsidR="00115837">
        <w:rPr>
          <w:rFonts w:ascii="Arial" w:hAnsi="Arial" w:cs="Arial"/>
        </w:rPr>
        <w:t xml:space="preserve">would </w:t>
      </w:r>
      <w:r w:rsidR="00387DDC" w:rsidRPr="00230F27">
        <w:rPr>
          <w:rFonts w:ascii="Arial" w:hAnsi="Arial" w:cs="Arial"/>
        </w:rPr>
        <w:t>provide both front and back</w:t>
      </w:r>
      <w:r w:rsidR="0011664D">
        <w:rPr>
          <w:rFonts w:ascii="Arial" w:hAnsi="Arial" w:cs="Arial"/>
        </w:rPr>
        <w:t>-</w:t>
      </w:r>
      <w:r w:rsidR="00387DDC" w:rsidRPr="00230F27">
        <w:rPr>
          <w:rFonts w:ascii="Arial" w:hAnsi="Arial" w:cs="Arial"/>
        </w:rPr>
        <w:t xml:space="preserve">office services for the period the tender was to run, for a </w:t>
      </w:r>
      <w:r w:rsidR="00E1710A">
        <w:rPr>
          <w:rFonts w:ascii="Arial" w:hAnsi="Arial" w:cs="Arial"/>
        </w:rPr>
        <w:t xml:space="preserve">‘flat’ i.e. </w:t>
      </w:r>
      <w:r w:rsidR="00387DDC" w:rsidRPr="00230F27">
        <w:rPr>
          <w:rFonts w:ascii="Arial" w:hAnsi="Arial" w:cs="Arial"/>
        </w:rPr>
        <w:t xml:space="preserve">fixed monthly fee. </w:t>
      </w:r>
      <w:r w:rsidR="00115837">
        <w:rPr>
          <w:rFonts w:ascii="Arial" w:hAnsi="Arial" w:cs="Arial"/>
        </w:rPr>
        <w:t>As before, t</w:t>
      </w:r>
      <w:r w:rsidR="00387DDC" w:rsidRPr="00230F27">
        <w:rPr>
          <w:rFonts w:ascii="Arial" w:hAnsi="Arial" w:cs="Arial"/>
        </w:rPr>
        <w:t xml:space="preserve">he services would </w:t>
      </w:r>
      <w:r w:rsidR="00212982">
        <w:rPr>
          <w:rFonts w:ascii="Arial" w:hAnsi="Arial" w:cs="Arial"/>
        </w:rPr>
        <w:t xml:space="preserve">include </w:t>
      </w:r>
      <w:r w:rsidR="0011664D">
        <w:rPr>
          <w:rFonts w:ascii="Arial" w:hAnsi="Arial" w:cs="Arial"/>
        </w:rPr>
        <w:t>the capturing</w:t>
      </w:r>
      <w:r w:rsidR="00387DDC" w:rsidRPr="00230F27">
        <w:rPr>
          <w:rFonts w:ascii="Arial" w:hAnsi="Arial" w:cs="Arial"/>
        </w:rPr>
        <w:t>, process</w:t>
      </w:r>
      <w:r w:rsidR="0011664D">
        <w:rPr>
          <w:rFonts w:ascii="Arial" w:hAnsi="Arial" w:cs="Arial"/>
        </w:rPr>
        <w:t>ing</w:t>
      </w:r>
      <w:r w:rsidR="00387DDC" w:rsidRPr="00230F27">
        <w:rPr>
          <w:rFonts w:ascii="Arial" w:hAnsi="Arial" w:cs="Arial"/>
        </w:rPr>
        <w:t xml:space="preserve"> and analy</w:t>
      </w:r>
      <w:r w:rsidR="0011664D">
        <w:rPr>
          <w:rFonts w:ascii="Arial" w:hAnsi="Arial" w:cs="Arial"/>
        </w:rPr>
        <w:t>sis of</w:t>
      </w:r>
      <w:r w:rsidR="00387DDC" w:rsidRPr="00230F27">
        <w:rPr>
          <w:rFonts w:ascii="Arial" w:hAnsi="Arial" w:cs="Arial"/>
        </w:rPr>
        <w:t xml:space="preserve"> traffic infringement and accident data</w:t>
      </w:r>
      <w:r w:rsidR="00230F27" w:rsidRPr="00230F27">
        <w:rPr>
          <w:rFonts w:ascii="Arial" w:hAnsi="Arial" w:cs="Arial"/>
        </w:rPr>
        <w:t xml:space="preserve"> </w:t>
      </w:r>
      <w:r w:rsidR="00212982">
        <w:rPr>
          <w:rFonts w:ascii="Arial" w:hAnsi="Arial" w:cs="Arial"/>
        </w:rPr>
        <w:t>(</w:t>
      </w:r>
      <w:r w:rsidR="00230F27" w:rsidRPr="00230F27">
        <w:rPr>
          <w:rFonts w:ascii="Arial" w:hAnsi="Arial" w:cs="Arial"/>
        </w:rPr>
        <w:t>which would be in photographic, digital and/or documentary form</w:t>
      </w:r>
      <w:r w:rsidR="00212982">
        <w:rPr>
          <w:rFonts w:ascii="Arial" w:hAnsi="Arial" w:cs="Arial"/>
        </w:rPr>
        <w:t>)</w:t>
      </w:r>
      <w:r w:rsidR="0011664D">
        <w:rPr>
          <w:rFonts w:ascii="Arial" w:hAnsi="Arial" w:cs="Arial"/>
        </w:rPr>
        <w:t>, and would have to</w:t>
      </w:r>
      <w:r w:rsidR="00230F27" w:rsidRPr="00230F27">
        <w:rPr>
          <w:rFonts w:ascii="Arial" w:hAnsi="Arial" w:cs="Arial"/>
        </w:rPr>
        <w:t xml:space="preserve"> interface with </w:t>
      </w:r>
      <w:r w:rsidR="00265997">
        <w:rPr>
          <w:rFonts w:ascii="Arial" w:hAnsi="Arial" w:cs="Arial"/>
        </w:rPr>
        <w:t>several</w:t>
      </w:r>
      <w:r w:rsidR="00230F27" w:rsidRPr="00230F27">
        <w:rPr>
          <w:rFonts w:ascii="Arial" w:hAnsi="Arial" w:cs="Arial"/>
        </w:rPr>
        <w:t xml:space="preserve"> </w:t>
      </w:r>
      <w:r w:rsidR="0011664D">
        <w:rPr>
          <w:rFonts w:ascii="Arial" w:hAnsi="Arial" w:cs="Arial"/>
        </w:rPr>
        <w:t xml:space="preserve">electronic </w:t>
      </w:r>
      <w:r w:rsidR="00230F27" w:rsidRPr="00230F27">
        <w:rPr>
          <w:rFonts w:ascii="Arial" w:hAnsi="Arial" w:cs="Arial"/>
        </w:rPr>
        <w:t xml:space="preserve">platforms including </w:t>
      </w:r>
      <w:r w:rsidR="0011664D">
        <w:rPr>
          <w:rFonts w:ascii="Arial" w:hAnsi="Arial" w:cs="Arial"/>
        </w:rPr>
        <w:t xml:space="preserve">eNatis (the National Traffic Information System which contains </w:t>
      </w:r>
      <w:r w:rsidR="00620570">
        <w:rPr>
          <w:rFonts w:ascii="Arial" w:hAnsi="Arial" w:cs="Arial"/>
        </w:rPr>
        <w:t>the</w:t>
      </w:r>
      <w:r w:rsidR="0011664D">
        <w:rPr>
          <w:rFonts w:ascii="Arial" w:hAnsi="Arial" w:cs="Arial"/>
        </w:rPr>
        <w:t xml:space="preserve"> national register for all motor vehicle</w:t>
      </w:r>
      <w:r w:rsidR="00620570">
        <w:rPr>
          <w:rFonts w:ascii="Arial" w:hAnsi="Arial" w:cs="Arial"/>
        </w:rPr>
        <w:t xml:space="preserve"> licences and registrations</w:t>
      </w:r>
      <w:r w:rsidR="0011664D">
        <w:rPr>
          <w:rFonts w:ascii="Arial" w:hAnsi="Arial" w:cs="Arial"/>
        </w:rPr>
        <w:t>),</w:t>
      </w:r>
      <w:r w:rsidR="00230F27" w:rsidRPr="00230F27">
        <w:rPr>
          <w:rFonts w:ascii="Arial" w:hAnsi="Arial" w:cs="Arial"/>
        </w:rPr>
        <w:t xml:space="preserve"> AARTO</w:t>
      </w:r>
      <w:r w:rsidR="00620570">
        <w:rPr>
          <w:rFonts w:ascii="Arial" w:hAnsi="Arial" w:cs="Arial"/>
        </w:rPr>
        <w:t xml:space="preserve"> (the Administrative Adjudication of Road Traffic Offences system which provides for the administration and collection of fines related to road traffic infringements)</w:t>
      </w:r>
      <w:r w:rsidR="00212982">
        <w:rPr>
          <w:rFonts w:ascii="Arial" w:hAnsi="Arial" w:cs="Arial"/>
        </w:rPr>
        <w:t>,</w:t>
      </w:r>
      <w:r w:rsidR="00620570">
        <w:rPr>
          <w:rFonts w:ascii="Arial" w:hAnsi="Arial" w:cs="Arial"/>
        </w:rPr>
        <w:t xml:space="preserve"> </w:t>
      </w:r>
      <w:r w:rsidR="00230F27" w:rsidRPr="00230F27">
        <w:rPr>
          <w:rFonts w:ascii="Arial" w:hAnsi="Arial" w:cs="Arial"/>
        </w:rPr>
        <w:t xml:space="preserve">and the City’s </w:t>
      </w:r>
      <w:r w:rsidR="00620570">
        <w:rPr>
          <w:rFonts w:ascii="Arial" w:hAnsi="Arial" w:cs="Arial"/>
        </w:rPr>
        <w:t>O</w:t>
      </w:r>
      <w:r w:rsidR="00230F27" w:rsidRPr="00230F27">
        <w:rPr>
          <w:rFonts w:ascii="Arial" w:hAnsi="Arial" w:cs="Arial"/>
        </w:rPr>
        <w:t xml:space="preserve">ps </w:t>
      </w:r>
      <w:r w:rsidR="00620570">
        <w:rPr>
          <w:rFonts w:ascii="Arial" w:hAnsi="Arial" w:cs="Arial"/>
        </w:rPr>
        <w:t>C</w:t>
      </w:r>
      <w:r w:rsidR="00230F27" w:rsidRPr="00230F27">
        <w:rPr>
          <w:rFonts w:ascii="Arial" w:hAnsi="Arial" w:cs="Arial"/>
        </w:rPr>
        <w:t>entre</w:t>
      </w:r>
      <w:r w:rsidR="00230F27">
        <w:rPr>
          <w:rFonts w:ascii="Arial" w:hAnsi="Arial" w:cs="Arial"/>
        </w:rPr>
        <w:t>.</w:t>
      </w:r>
    </w:p>
    <w:p w14:paraId="4B92877B" w14:textId="51E0BEA9" w:rsidR="00212982"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6.</w:t>
      </w:r>
      <w:r>
        <w:rPr>
          <w:rFonts w:ascii="Arial" w:hAnsi="Arial" w:cs="Arial"/>
        </w:rPr>
        <w:tab/>
      </w:r>
      <w:r w:rsidR="00743C32">
        <w:rPr>
          <w:rFonts w:ascii="Arial" w:hAnsi="Arial" w:cs="Arial"/>
        </w:rPr>
        <w:t>To</w:t>
      </w:r>
      <w:r w:rsidR="00230F27">
        <w:rPr>
          <w:rFonts w:ascii="Arial" w:hAnsi="Arial" w:cs="Arial"/>
        </w:rPr>
        <w:t xml:space="preserve"> </w:t>
      </w:r>
      <w:r w:rsidR="00C832ED">
        <w:rPr>
          <w:rFonts w:ascii="Arial" w:hAnsi="Arial" w:cs="Arial"/>
        </w:rPr>
        <w:t xml:space="preserve">develop and </w:t>
      </w:r>
      <w:r w:rsidR="00B65F76">
        <w:rPr>
          <w:rFonts w:ascii="Arial" w:hAnsi="Arial" w:cs="Arial"/>
        </w:rPr>
        <w:t>comp</w:t>
      </w:r>
      <w:r w:rsidR="00D71486">
        <w:rPr>
          <w:rFonts w:ascii="Arial" w:hAnsi="Arial" w:cs="Arial"/>
        </w:rPr>
        <w:t xml:space="preserve">ile </w:t>
      </w:r>
      <w:r w:rsidR="00230F27">
        <w:rPr>
          <w:rFonts w:ascii="Arial" w:hAnsi="Arial" w:cs="Arial"/>
        </w:rPr>
        <w:t xml:space="preserve">the </w:t>
      </w:r>
      <w:r w:rsidR="00212982">
        <w:rPr>
          <w:rFonts w:ascii="Arial" w:hAnsi="Arial" w:cs="Arial"/>
        </w:rPr>
        <w:t xml:space="preserve">requisite </w:t>
      </w:r>
      <w:r w:rsidR="00230F27">
        <w:rPr>
          <w:rFonts w:ascii="Arial" w:hAnsi="Arial" w:cs="Arial"/>
        </w:rPr>
        <w:t xml:space="preserve">specifications for the new </w:t>
      </w:r>
      <w:r w:rsidR="00212982">
        <w:rPr>
          <w:rFonts w:ascii="Arial" w:hAnsi="Arial" w:cs="Arial"/>
        </w:rPr>
        <w:t xml:space="preserve">operating </w:t>
      </w:r>
      <w:r w:rsidR="00230F27">
        <w:rPr>
          <w:rFonts w:ascii="Arial" w:hAnsi="Arial" w:cs="Arial"/>
        </w:rPr>
        <w:t>model</w:t>
      </w:r>
      <w:r w:rsidR="00D71486">
        <w:rPr>
          <w:rFonts w:ascii="Arial" w:hAnsi="Arial" w:cs="Arial"/>
        </w:rPr>
        <w:t xml:space="preserve"> consul</w:t>
      </w:r>
      <w:r w:rsidR="00620570">
        <w:rPr>
          <w:rFonts w:ascii="Arial" w:hAnsi="Arial" w:cs="Arial"/>
        </w:rPr>
        <w:t>t</w:t>
      </w:r>
      <w:r w:rsidR="00D71486">
        <w:rPr>
          <w:rFonts w:ascii="Arial" w:hAnsi="Arial" w:cs="Arial"/>
        </w:rPr>
        <w:t xml:space="preserve">ations were held with a variety of </w:t>
      </w:r>
      <w:r w:rsidR="00620570">
        <w:rPr>
          <w:rFonts w:ascii="Arial" w:hAnsi="Arial" w:cs="Arial"/>
        </w:rPr>
        <w:t>roleplayers</w:t>
      </w:r>
      <w:r w:rsidR="00D71486">
        <w:rPr>
          <w:rFonts w:ascii="Arial" w:hAnsi="Arial" w:cs="Arial"/>
        </w:rPr>
        <w:t xml:space="preserve"> and technical experts and</w:t>
      </w:r>
      <w:r w:rsidR="00230F27">
        <w:rPr>
          <w:rFonts w:ascii="Arial" w:hAnsi="Arial" w:cs="Arial"/>
        </w:rPr>
        <w:t xml:space="preserve"> a </w:t>
      </w:r>
      <w:r w:rsidR="005C678C">
        <w:rPr>
          <w:rFonts w:ascii="Arial" w:hAnsi="Arial" w:cs="Arial"/>
        </w:rPr>
        <w:t>bid</w:t>
      </w:r>
      <w:r w:rsidR="00230F27">
        <w:rPr>
          <w:rFonts w:ascii="Arial" w:hAnsi="Arial" w:cs="Arial"/>
        </w:rPr>
        <w:t xml:space="preserve"> </w:t>
      </w:r>
      <w:r w:rsidR="005C678C">
        <w:rPr>
          <w:rFonts w:ascii="Arial" w:hAnsi="Arial" w:cs="Arial"/>
        </w:rPr>
        <w:t>specifications</w:t>
      </w:r>
      <w:r w:rsidR="00230F27">
        <w:rPr>
          <w:rFonts w:ascii="Arial" w:hAnsi="Arial" w:cs="Arial"/>
        </w:rPr>
        <w:t xml:space="preserve"> committee</w:t>
      </w:r>
      <w:r w:rsidR="00B65F76">
        <w:rPr>
          <w:rFonts w:ascii="Arial" w:hAnsi="Arial" w:cs="Arial"/>
        </w:rPr>
        <w:t xml:space="preserve"> (</w:t>
      </w:r>
      <w:r w:rsidR="00D71486">
        <w:rPr>
          <w:rFonts w:ascii="Arial" w:hAnsi="Arial" w:cs="Arial"/>
        </w:rPr>
        <w:t>‘BSC’)</w:t>
      </w:r>
      <w:r w:rsidR="00230F27">
        <w:rPr>
          <w:rFonts w:ascii="Arial" w:hAnsi="Arial" w:cs="Arial"/>
        </w:rPr>
        <w:t xml:space="preserve"> was established</w:t>
      </w:r>
      <w:r w:rsidR="005C678C">
        <w:rPr>
          <w:rFonts w:ascii="Arial" w:hAnsi="Arial" w:cs="Arial"/>
        </w:rPr>
        <w:t>,</w:t>
      </w:r>
      <w:r w:rsidR="00230F27">
        <w:rPr>
          <w:rFonts w:ascii="Arial" w:hAnsi="Arial" w:cs="Arial"/>
        </w:rPr>
        <w:t xml:space="preserve"> which met on </w:t>
      </w:r>
      <w:r w:rsidR="00620570">
        <w:rPr>
          <w:rFonts w:ascii="Arial" w:hAnsi="Arial" w:cs="Arial"/>
        </w:rPr>
        <w:t xml:space="preserve">numerous </w:t>
      </w:r>
      <w:r w:rsidR="00620570">
        <w:rPr>
          <w:rFonts w:ascii="Arial" w:hAnsi="Arial" w:cs="Arial"/>
        </w:rPr>
        <w:lastRenderedPageBreak/>
        <w:t>occasions</w:t>
      </w:r>
      <w:r w:rsidR="00230F27">
        <w:rPr>
          <w:rFonts w:ascii="Arial" w:hAnsi="Arial" w:cs="Arial"/>
        </w:rPr>
        <w:t xml:space="preserve"> during 2021</w:t>
      </w:r>
      <w:r w:rsidR="005C678C">
        <w:rPr>
          <w:rFonts w:ascii="Arial" w:hAnsi="Arial" w:cs="Arial"/>
        </w:rPr>
        <w:t xml:space="preserve"> </w:t>
      </w:r>
      <w:r w:rsidR="00115837">
        <w:rPr>
          <w:rFonts w:ascii="Arial" w:hAnsi="Arial" w:cs="Arial"/>
        </w:rPr>
        <w:t>to</w:t>
      </w:r>
      <w:r w:rsidR="005C678C">
        <w:rPr>
          <w:rFonts w:ascii="Arial" w:hAnsi="Arial" w:cs="Arial"/>
        </w:rPr>
        <w:t xml:space="preserve"> formulate specifications</w:t>
      </w:r>
      <w:r w:rsidR="00212982">
        <w:rPr>
          <w:rFonts w:ascii="Arial" w:hAnsi="Arial" w:cs="Arial"/>
        </w:rPr>
        <w:t xml:space="preserve"> for </w:t>
      </w:r>
      <w:r w:rsidR="00AE3922">
        <w:rPr>
          <w:rFonts w:ascii="Arial" w:hAnsi="Arial" w:cs="Arial"/>
        </w:rPr>
        <w:t>a</w:t>
      </w:r>
      <w:r w:rsidR="00212982">
        <w:rPr>
          <w:rFonts w:ascii="Arial" w:hAnsi="Arial" w:cs="Arial"/>
        </w:rPr>
        <w:t xml:space="preserve"> </w:t>
      </w:r>
      <w:r w:rsidR="00C832ED">
        <w:rPr>
          <w:rFonts w:ascii="Arial" w:hAnsi="Arial" w:cs="Arial"/>
        </w:rPr>
        <w:t xml:space="preserve">new </w:t>
      </w:r>
      <w:r w:rsidR="00212982">
        <w:rPr>
          <w:rFonts w:ascii="Arial" w:hAnsi="Arial" w:cs="Arial"/>
        </w:rPr>
        <w:t>tender</w:t>
      </w:r>
      <w:r w:rsidR="005C678C">
        <w:rPr>
          <w:rFonts w:ascii="Arial" w:hAnsi="Arial" w:cs="Arial"/>
        </w:rPr>
        <w:t xml:space="preserve">. </w:t>
      </w:r>
      <w:r w:rsidR="00212982">
        <w:rPr>
          <w:rFonts w:ascii="Arial" w:hAnsi="Arial" w:cs="Arial"/>
        </w:rPr>
        <w:t xml:space="preserve">Once these </w:t>
      </w:r>
      <w:r w:rsidR="00E1710A">
        <w:rPr>
          <w:rFonts w:ascii="Arial" w:hAnsi="Arial" w:cs="Arial"/>
        </w:rPr>
        <w:t>were</w:t>
      </w:r>
      <w:r w:rsidR="00212982">
        <w:rPr>
          <w:rFonts w:ascii="Arial" w:hAnsi="Arial" w:cs="Arial"/>
        </w:rPr>
        <w:t xml:space="preserve"> </w:t>
      </w:r>
      <w:r w:rsidR="00E1710A">
        <w:rPr>
          <w:rFonts w:ascii="Arial" w:hAnsi="Arial" w:cs="Arial"/>
        </w:rPr>
        <w:t>compiled,</w:t>
      </w:r>
      <w:r w:rsidR="00212982">
        <w:rPr>
          <w:rFonts w:ascii="Arial" w:hAnsi="Arial" w:cs="Arial"/>
        </w:rPr>
        <w:t xml:space="preserve"> they were</w:t>
      </w:r>
      <w:r w:rsidR="005C678C">
        <w:rPr>
          <w:rFonts w:ascii="Arial" w:hAnsi="Arial" w:cs="Arial"/>
        </w:rPr>
        <w:t xml:space="preserve"> </w:t>
      </w:r>
      <w:r w:rsidR="00212982">
        <w:rPr>
          <w:rFonts w:ascii="Arial" w:hAnsi="Arial" w:cs="Arial"/>
        </w:rPr>
        <w:t>review</w:t>
      </w:r>
      <w:r w:rsidR="00E1710A">
        <w:rPr>
          <w:rFonts w:ascii="Arial" w:hAnsi="Arial" w:cs="Arial"/>
        </w:rPr>
        <w:t>ed</w:t>
      </w:r>
      <w:r w:rsidR="004E018B">
        <w:rPr>
          <w:rFonts w:ascii="Arial" w:hAnsi="Arial" w:cs="Arial"/>
        </w:rPr>
        <w:t>,</w:t>
      </w:r>
      <w:r w:rsidR="005C678C">
        <w:rPr>
          <w:rFonts w:ascii="Arial" w:hAnsi="Arial" w:cs="Arial"/>
        </w:rPr>
        <w:t xml:space="preserve"> before being approved by the </w:t>
      </w:r>
      <w:r w:rsidR="00D71486">
        <w:rPr>
          <w:rFonts w:ascii="Arial" w:hAnsi="Arial" w:cs="Arial"/>
        </w:rPr>
        <w:t>C</w:t>
      </w:r>
      <w:r w:rsidR="005C678C">
        <w:rPr>
          <w:rFonts w:ascii="Arial" w:hAnsi="Arial" w:cs="Arial"/>
        </w:rPr>
        <w:t xml:space="preserve">ity </w:t>
      </w:r>
      <w:r w:rsidR="00D71486">
        <w:rPr>
          <w:rFonts w:ascii="Arial" w:hAnsi="Arial" w:cs="Arial"/>
        </w:rPr>
        <w:t>M</w:t>
      </w:r>
      <w:r w:rsidR="005C678C">
        <w:rPr>
          <w:rFonts w:ascii="Arial" w:hAnsi="Arial" w:cs="Arial"/>
        </w:rPr>
        <w:t xml:space="preserve">anager. </w:t>
      </w:r>
    </w:p>
    <w:p w14:paraId="184B63B0" w14:textId="35748360" w:rsidR="005C678C"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7.</w:t>
      </w:r>
      <w:r>
        <w:rPr>
          <w:rFonts w:ascii="Arial" w:hAnsi="Arial" w:cs="Arial"/>
        </w:rPr>
        <w:tab/>
      </w:r>
      <w:r w:rsidR="005C678C">
        <w:rPr>
          <w:rFonts w:ascii="Arial" w:hAnsi="Arial" w:cs="Arial"/>
        </w:rPr>
        <w:t xml:space="preserve">On 15 February 2022 the </w:t>
      </w:r>
      <w:r w:rsidR="00212982">
        <w:rPr>
          <w:rFonts w:ascii="Arial" w:hAnsi="Arial" w:cs="Arial"/>
        </w:rPr>
        <w:t>C</w:t>
      </w:r>
      <w:r w:rsidR="005C678C">
        <w:rPr>
          <w:rFonts w:ascii="Arial" w:hAnsi="Arial" w:cs="Arial"/>
        </w:rPr>
        <w:t xml:space="preserve">ity advertised </w:t>
      </w:r>
      <w:r w:rsidR="00D35045">
        <w:rPr>
          <w:rFonts w:ascii="Arial" w:hAnsi="Arial" w:cs="Arial"/>
        </w:rPr>
        <w:t>a</w:t>
      </w:r>
      <w:r w:rsidR="005C678C">
        <w:rPr>
          <w:rFonts w:ascii="Arial" w:hAnsi="Arial" w:cs="Arial"/>
        </w:rPr>
        <w:t xml:space="preserve"> new </w:t>
      </w:r>
      <w:r w:rsidR="00212982">
        <w:rPr>
          <w:rFonts w:ascii="Arial" w:hAnsi="Arial" w:cs="Arial"/>
        </w:rPr>
        <w:t xml:space="preserve">3-year </w:t>
      </w:r>
      <w:r w:rsidR="005C678C">
        <w:rPr>
          <w:rFonts w:ascii="Arial" w:hAnsi="Arial" w:cs="Arial"/>
        </w:rPr>
        <w:t>tender</w:t>
      </w:r>
      <w:r w:rsidR="004E018B">
        <w:rPr>
          <w:rFonts w:ascii="Arial" w:hAnsi="Arial" w:cs="Arial"/>
        </w:rPr>
        <w:t>,</w:t>
      </w:r>
      <w:r w:rsidR="005C678C">
        <w:rPr>
          <w:rFonts w:ascii="Arial" w:hAnsi="Arial" w:cs="Arial"/>
        </w:rPr>
        <w:t xml:space="preserve"> which required bids to be submitted by 22 March 2022. The tender documents </w:t>
      </w:r>
      <w:r w:rsidR="00212982">
        <w:rPr>
          <w:rFonts w:ascii="Arial" w:hAnsi="Arial" w:cs="Arial"/>
        </w:rPr>
        <w:t xml:space="preserve">contained </w:t>
      </w:r>
      <w:r w:rsidR="005C678C">
        <w:rPr>
          <w:rFonts w:ascii="Arial" w:hAnsi="Arial" w:cs="Arial"/>
        </w:rPr>
        <w:t>detailed specifications for the ‘front-</w:t>
      </w:r>
      <w:r w:rsidR="00212982">
        <w:rPr>
          <w:rFonts w:ascii="Arial" w:hAnsi="Arial" w:cs="Arial"/>
        </w:rPr>
        <w:t>office</w:t>
      </w:r>
      <w:r w:rsidR="0024727D">
        <w:rPr>
          <w:rFonts w:ascii="Arial" w:hAnsi="Arial" w:cs="Arial"/>
        </w:rPr>
        <w:t>’</w:t>
      </w:r>
      <w:r w:rsidR="00212982">
        <w:rPr>
          <w:rFonts w:ascii="Arial" w:hAnsi="Arial" w:cs="Arial"/>
        </w:rPr>
        <w:t xml:space="preserve"> </w:t>
      </w:r>
      <w:r w:rsidR="005C678C">
        <w:rPr>
          <w:rFonts w:ascii="Arial" w:hAnsi="Arial" w:cs="Arial"/>
        </w:rPr>
        <w:t>equipment which was to be supplied by the</w:t>
      </w:r>
      <w:r w:rsidR="00212982">
        <w:rPr>
          <w:rFonts w:ascii="Arial" w:hAnsi="Arial" w:cs="Arial"/>
        </w:rPr>
        <w:t xml:space="preserve"> successful</w:t>
      </w:r>
      <w:r w:rsidR="005C678C">
        <w:rPr>
          <w:rFonts w:ascii="Arial" w:hAnsi="Arial" w:cs="Arial"/>
        </w:rPr>
        <w:t xml:space="preserve"> bidder</w:t>
      </w:r>
      <w:r w:rsidR="00212982">
        <w:rPr>
          <w:rFonts w:ascii="Arial" w:hAnsi="Arial" w:cs="Arial"/>
        </w:rPr>
        <w:t>,</w:t>
      </w:r>
      <w:r w:rsidR="005C678C">
        <w:rPr>
          <w:rFonts w:ascii="Arial" w:hAnsi="Arial" w:cs="Arial"/>
        </w:rPr>
        <w:t xml:space="preserve"> which included </w:t>
      </w:r>
      <w:r w:rsidR="00892018">
        <w:rPr>
          <w:rFonts w:ascii="Arial" w:hAnsi="Arial" w:cs="Arial"/>
        </w:rPr>
        <w:t xml:space="preserve">a number of </w:t>
      </w:r>
      <w:r w:rsidR="0024727D">
        <w:rPr>
          <w:rFonts w:ascii="Arial" w:hAnsi="Arial" w:cs="Arial"/>
        </w:rPr>
        <w:t>f</w:t>
      </w:r>
      <w:r w:rsidR="005C678C">
        <w:rPr>
          <w:rFonts w:ascii="Arial" w:hAnsi="Arial" w:cs="Arial"/>
        </w:rPr>
        <w:t>ixed and mobile cameras with automatic number plate recognition, identity</w:t>
      </w:r>
      <w:r w:rsidR="00212982">
        <w:rPr>
          <w:rFonts w:ascii="Arial" w:hAnsi="Arial" w:cs="Arial"/>
        </w:rPr>
        <w:t>,</w:t>
      </w:r>
      <w:r w:rsidR="005C678C">
        <w:rPr>
          <w:rFonts w:ascii="Arial" w:hAnsi="Arial" w:cs="Arial"/>
        </w:rPr>
        <w:t xml:space="preserve"> photo scanning and </w:t>
      </w:r>
      <w:r w:rsidR="00D71486">
        <w:rPr>
          <w:rFonts w:ascii="Arial" w:hAnsi="Arial" w:cs="Arial"/>
        </w:rPr>
        <w:t xml:space="preserve">data </w:t>
      </w:r>
      <w:r w:rsidR="005C678C">
        <w:rPr>
          <w:rFonts w:ascii="Arial" w:hAnsi="Arial" w:cs="Arial"/>
        </w:rPr>
        <w:t>capturing facilities</w:t>
      </w:r>
      <w:r w:rsidR="0024727D">
        <w:rPr>
          <w:rFonts w:ascii="Arial" w:hAnsi="Arial" w:cs="Arial"/>
        </w:rPr>
        <w:t>, as well as other devices</w:t>
      </w:r>
      <w:r w:rsidR="005C678C">
        <w:rPr>
          <w:rFonts w:ascii="Arial" w:hAnsi="Arial" w:cs="Arial"/>
        </w:rPr>
        <w:t xml:space="preserve">. The </w:t>
      </w:r>
      <w:r w:rsidR="00D71486">
        <w:rPr>
          <w:rFonts w:ascii="Arial" w:hAnsi="Arial" w:cs="Arial"/>
        </w:rPr>
        <w:t>back-office</w:t>
      </w:r>
      <w:r w:rsidR="005C678C">
        <w:rPr>
          <w:rFonts w:ascii="Arial" w:hAnsi="Arial" w:cs="Arial"/>
        </w:rPr>
        <w:t xml:space="preserve"> system specifications included electronic </w:t>
      </w:r>
      <w:r w:rsidR="001C3517">
        <w:rPr>
          <w:rFonts w:ascii="Arial" w:hAnsi="Arial" w:cs="Arial"/>
        </w:rPr>
        <w:t>data and</w:t>
      </w:r>
      <w:r w:rsidR="005C678C">
        <w:rPr>
          <w:rFonts w:ascii="Arial" w:hAnsi="Arial" w:cs="Arial"/>
        </w:rPr>
        <w:t xml:space="preserve"> traffic </w:t>
      </w:r>
      <w:r w:rsidR="00D71486">
        <w:rPr>
          <w:rFonts w:ascii="Arial" w:hAnsi="Arial" w:cs="Arial"/>
        </w:rPr>
        <w:t>violation</w:t>
      </w:r>
      <w:r w:rsidR="00E96916">
        <w:rPr>
          <w:rFonts w:ascii="Arial" w:hAnsi="Arial" w:cs="Arial"/>
        </w:rPr>
        <w:t xml:space="preserve"> </w:t>
      </w:r>
      <w:r w:rsidR="00212982">
        <w:rPr>
          <w:rFonts w:ascii="Arial" w:hAnsi="Arial" w:cs="Arial"/>
        </w:rPr>
        <w:t xml:space="preserve">related </w:t>
      </w:r>
      <w:r w:rsidR="00D71486">
        <w:rPr>
          <w:rFonts w:ascii="Arial" w:hAnsi="Arial" w:cs="Arial"/>
        </w:rPr>
        <w:t>processing</w:t>
      </w:r>
      <w:r w:rsidR="00212982">
        <w:rPr>
          <w:rFonts w:ascii="Arial" w:hAnsi="Arial" w:cs="Arial"/>
        </w:rPr>
        <w:t xml:space="preserve"> </w:t>
      </w:r>
      <w:r w:rsidR="005C678C">
        <w:rPr>
          <w:rFonts w:ascii="Arial" w:hAnsi="Arial" w:cs="Arial"/>
        </w:rPr>
        <w:t>(</w:t>
      </w:r>
      <w:r w:rsidR="00212982">
        <w:rPr>
          <w:rFonts w:ascii="Arial" w:hAnsi="Arial" w:cs="Arial"/>
        </w:rPr>
        <w:t>including</w:t>
      </w:r>
      <w:r w:rsidR="00E96916">
        <w:rPr>
          <w:rFonts w:ascii="Arial" w:hAnsi="Arial" w:cs="Arial"/>
        </w:rPr>
        <w:t xml:space="preserve"> </w:t>
      </w:r>
      <w:r w:rsidR="005C678C">
        <w:rPr>
          <w:rFonts w:ascii="Arial" w:hAnsi="Arial" w:cs="Arial"/>
        </w:rPr>
        <w:t>notices, summonses</w:t>
      </w:r>
      <w:r w:rsidR="00212982">
        <w:rPr>
          <w:rFonts w:ascii="Arial" w:hAnsi="Arial" w:cs="Arial"/>
        </w:rPr>
        <w:t xml:space="preserve"> and</w:t>
      </w:r>
      <w:r w:rsidR="00D71486">
        <w:rPr>
          <w:rFonts w:ascii="Arial" w:hAnsi="Arial" w:cs="Arial"/>
        </w:rPr>
        <w:t xml:space="preserve"> </w:t>
      </w:r>
      <w:r w:rsidR="005C678C">
        <w:rPr>
          <w:rFonts w:ascii="Arial" w:hAnsi="Arial" w:cs="Arial"/>
        </w:rPr>
        <w:t>warrants</w:t>
      </w:r>
      <w:r w:rsidR="00212982">
        <w:rPr>
          <w:rFonts w:ascii="Arial" w:hAnsi="Arial" w:cs="Arial"/>
        </w:rPr>
        <w:t>)</w:t>
      </w:r>
      <w:r w:rsidR="00C832ED">
        <w:rPr>
          <w:rFonts w:ascii="Arial" w:hAnsi="Arial" w:cs="Arial"/>
        </w:rPr>
        <w:t>,</w:t>
      </w:r>
      <w:r w:rsidR="005C678C">
        <w:rPr>
          <w:rFonts w:ascii="Arial" w:hAnsi="Arial" w:cs="Arial"/>
        </w:rPr>
        <w:t xml:space="preserve"> </w:t>
      </w:r>
      <w:r w:rsidR="00212982">
        <w:rPr>
          <w:rFonts w:ascii="Arial" w:hAnsi="Arial" w:cs="Arial"/>
        </w:rPr>
        <w:t xml:space="preserve">and payment </w:t>
      </w:r>
      <w:r w:rsidR="005C678C">
        <w:rPr>
          <w:rFonts w:ascii="Arial" w:hAnsi="Arial" w:cs="Arial"/>
        </w:rPr>
        <w:t>systems.</w:t>
      </w:r>
      <w:r w:rsidR="00212982">
        <w:rPr>
          <w:rFonts w:ascii="Arial" w:hAnsi="Arial" w:cs="Arial"/>
        </w:rPr>
        <w:t xml:space="preserve"> </w:t>
      </w:r>
      <w:r w:rsidR="00D71486">
        <w:rPr>
          <w:rFonts w:ascii="Arial" w:hAnsi="Arial" w:cs="Arial"/>
        </w:rPr>
        <w:t xml:space="preserve">The </w:t>
      </w:r>
      <w:r w:rsidR="00212982">
        <w:rPr>
          <w:rFonts w:ascii="Arial" w:hAnsi="Arial" w:cs="Arial"/>
        </w:rPr>
        <w:t xml:space="preserve">bid </w:t>
      </w:r>
      <w:r w:rsidR="00D71486">
        <w:rPr>
          <w:rFonts w:ascii="Arial" w:hAnsi="Arial" w:cs="Arial"/>
        </w:rPr>
        <w:t xml:space="preserve">specifications also </w:t>
      </w:r>
      <w:r w:rsidR="00212982">
        <w:rPr>
          <w:rFonts w:ascii="Arial" w:hAnsi="Arial" w:cs="Arial"/>
        </w:rPr>
        <w:t xml:space="preserve">made provision for a host of new services to be provided in relation to </w:t>
      </w:r>
      <w:r w:rsidR="0024727D">
        <w:rPr>
          <w:rFonts w:ascii="Arial" w:hAnsi="Arial" w:cs="Arial"/>
        </w:rPr>
        <w:t xml:space="preserve">the </w:t>
      </w:r>
      <w:r w:rsidR="00212982">
        <w:rPr>
          <w:rFonts w:ascii="Arial" w:hAnsi="Arial" w:cs="Arial"/>
        </w:rPr>
        <w:t xml:space="preserve">capturing, processing and analysis of accident and </w:t>
      </w:r>
      <w:r w:rsidR="00E96916">
        <w:rPr>
          <w:rFonts w:ascii="Arial" w:hAnsi="Arial" w:cs="Arial"/>
        </w:rPr>
        <w:t xml:space="preserve">vehicle </w:t>
      </w:r>
      <w:r w:rsidR="00212982">
        <w:rPr>
          <w:rFonts w:ascii="Arial" w:hAnsi="Arial" w:cs="Arial"/>
        </w:rPr>
        <w:t>impounding</w:t>
      </w:r>
      <w:r w:rsidR="00E96916">
        <w:rPr>
          <w:rFonts w:ascii="Arial" w:hAnsi="Arial" w:cs="Arial"/>
        </w:rPr>
        <w:t xml:space="preserve"> </w:t>
      </w:r>
      <w:r w:rsidR="00212982">
        <w:rPr>
          <w:rFonts w:ascii="Arial" w:hAnsi="Arial" w:cs="Arial"/>
        </w:rPr>
        <w:t xml:space="preserve">related data.  </w:t>
      </w:r>
    </w:p>
    <w:p w14:paraId="63589D58" w14:textId="0ECBA48E" w:rsidR="00DE3BCC"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8.</w:t>
      </w:r>
      <w:r>
        <w:rPr>
          <w:rFonts w:ascii="Arial" w:hAnsi="Arial" w:cs="Arial"/>
        </w:rPr>
        <w:tab/>
      </w:r>
      <w:r w:rsidR="008A50B0">
        <w:rPr>
          <w:rFonts w:ascii="Arial" w:hAnsi="Arial" w:cs="Arial"/>
        </w:rPr>
        <w:t>T</w:t>
      </w:r>
      <w:r w:rsidR="005C678C" w:rsidRPr="00DE3BCC">
        <w:rPr>
          <w:rFonts w:ascii="Arial" w:hAnsi="Arial" w:cs="Arial"/>
        </w:rPr>
        <w:t xml:space="preserve">he </w:t>
      </w:r>
      <w:r w:rsidR="00212982" w:rsidRPr="00DE3BCC">
        <w:rPr>
          <w:rFonts w:ascii="Arial" w:hAnsi="Arial" w:cs="Arial"/>
        </w:rPr>
        <w:t>tender</w:t>
      </w:r>
      <w:r w:rsidR="005C678C" w:rsidRPr="00DE3BCC">
        <w:rPr>
          <w:rFonts w:ascii="Arial" w:hAnsi="Arial" w:cs="Arial"/>
        </w:rPr>
        <w:t xml:space="preserve"> documents </w:t>
      </w:r>
      <w:r w:rsidR="00DE3BCC" w:rsidRPr="00DE3BCC">
        <w:rPr>
          <w:rFonts w:ascii="Arial" w:hAnsi="Arial" w:cs="Arial"/>
        </w:rPr>
        <w:t>s</w:t>
      </w:r>
      <w:r w:rsidR="00C832ED">
        <w:rPr>
          <w:rFonts w:ascii="Arial" w:hAnsi="Arial" w:cs="Arial"/>
        </w:rPr>
        <w:t>pecified</w:t>
      </w:r>
      <w:r w:rsidR="00DE3BCC" w:rsidRPr="00DE3BCC">
        <w:rPr>
          <w:rFonts w:ascii="Arial" w:hAnsi="Arial" w:cs="Arial"/>
        </w:rPr>
        <w:t xml:space="preserve"> </w:t>
      </w:r>
      <w:r w:rsidR="005C678C" w:rsidRPr="00DE3BCC">
        <w:rPr>
          <w:rFonts w:ascii="Arial" w:hAnsi="Arial" w:cs="Arial"/>
        </w:rPr>
        <w:t>a list of returnable documents which had to be submitted by bidders which included valid, certified copies of OEM (‘original equipment manufacturer’) license</w:t>
      </w:r>
      <w:r w:rsidR="00DE3BCC" w:rsidRPr="00DE3BCC">
        <w:rPr>
          <w:rFonts w:ascii="Arial" w:hAnsi="Arial" w:cs="Arial"/>
        </w:rPr>
        <w:t xml:space="preserve"> </w:t>
      </w:r>
      <w:r w:rsidR="005C678C" w:rsidRPr="00DE3BCC">
        <w:rPr>
          <w:rFonts w:ascii="Arial" w:hAnsi="Arial" w:cs="Arial"/>
        </w:rPr>
        <w:t>certificates for all cameras</w:t>
      </w:r>
      <w:r w:rsidR="00DE3BCC" w:rsidRPr="00DE3BCC">
        <w:rPr>
          <w:rFonts w:ascii="Arial" w:hAnsi="Arial" w:cs="Arial"/>
        </w:rPr>
        <w:t xml:space="preserve"> and devices w</w:t>
      </w:r>
      <w:r w:rsidR="005C678C" w:rsidRPr="00DE3BCC">
        <w:rPr>
          <w:rFonts w:ascii="Arial" w:hAnsi="Arial" w:cs="Arial"/>
        </w:rPr>
        <w:t>hich were to be used</w:t>
      </w:r>
      <w:r w:rsidR="00DE3BCC" w:rsidRPr="00DE3BCC">
        <w:rPr>
          <w:rFonts w:ascii="Arial" w:hAnsi="Arial" w:cs="Arial"/>
        </w:rPr>
        <w:t xml:space="preserve">, </w:t>
      </w:r>
      <w:r w:rsidR="005C678C" w:rsidRPr="00DE3BCC">
        <w:rPr>
          <w:rFonts w:ascii="Arial" w:hAnsi="Arial" w:cs="Arial"/>
        </w:rPr>
        <w:t>issued by ICASA, the Independent Communications A</w:t>
      </w:r>
      <w:r w:rsidR="009845BB">
        <w:rPr>
          <w:rFonts w:ascii="Arial" w:hAnsi="Arial" w:cs="Arial"/>
        </w:rPr>
        <w:t>uthority</w:t>
      </w:r>
      <w:r w:rsidR="005C678C" w:rsidRPr="00DE3BCC">
        <w:rPr>
          <w:rFonts w:ascii="Arial" w:hAnsi="Arial" w:cs="Arial"/>
        </w:rPr>
        <w:t xml:space="preserve"> of SA</w:t>
      </w:r>
      <w:r w:rsidR="00230F27" w:rsidRPr="00DE3BCC">
        <w:rPr>
          <w:rFonts w:ascii="Arial" w:hAnsi="Arial" w:cs="Arial"/>
        </w:rPr>
        <w:t>.</w:t>
      </w:r>
      <w:r w:rsidR="005C678C" w:rsidRPr="00DE3BCC">
        <w:rPr>
          <w:rFonts w:ascii="Arial" w:hAnsi="Arial" w:cs="Arial"/>
        </w:rPr>
        <w:t xml:space="preserve"> These certificates were </w:t>
      </w:r>
      <w:r w:rsidR="009845BB">
        <w:rPr>
          <w:rFonts w:ascii="Arial" w:hAnsi="Arial" w:cs="Arial"/>
        </w:rPr>
        <w:t>necessary</w:t>
      </w:r>
      <w:r w:rsidR="008A50B0" w:rsidRPr="00DE3BCC">
        <w:rPr>
          <w:rFonts w:ascii="Arial" w:hAnsi="Arial" w:cs="Arial"/>
        </w:rPr>
        <w:t xml:space="preserve"> to</w:t>
      </w:r>
      <w:r w:rsidR="005C678C" w:rsidRPr="00DE3BCC">
        <w:rPr>
          <w:rFonts w:ascii="Arial" w:hAnsi="Arial" w:cs="Arial"/>
        </w:rPr>
        <w:t xml:space="preserve"> ensure that the hardware which was to be </w:t>
      </w:r>
      <w:r w:rsidR="001C3517">
        <w:rPr>
          <w:rFonts w:ascii="Arial" w:hAnsi="Arial" w:cs="Arial"/>
        </w:rPr>
        <w:t>provided</w:t>
      </w:r>
      <w:r w:rsidR="005C678C" w:rsidRPr="00DE3BCC">
        <w:rPr>
          <w:rFonts w:ascii="Arial" w:hAnsi="Arial" w:cs="Arial"/>
        </w:rPr>
        <w:t xml:space="preserve"> would be compatible with </w:t>
      </w:r>
      <w:r w:rsidR="00DE3BCC" w:rsidRPr="00DE3BCC">
        <w:rPr>
          <w:rFonts w:ascii="Arial" w:hAnsi="Arial" w:cs="Arial"/>
        </w:rPr>
        <w:t xml:space="preserve">the </w:t>
      </w:r>
      <w:r w:rsidR="005C678C" w:rsidRPr="00DE3BCC">
        <w:rPr>
          <w:rFonts w:ascii="Arial" w:hAnsi="Arial" w:cs="Arial"/>
        </w:rPr>
        <w:t>radio and telecommunications systems</w:t>
      </w:r>
      <w:r w:rsidR="00DE3BCC" w:rsidRPr="00DE3BCC">
        <w:rPr>
          <w:rFonts w:ascii="Arial" w:hAnsi="Arial" w:cs="Arial"/>
        </w:rPr>
        <w:t xml:space="preserve"> which were used by </w:t>
      </w:r>
      <w:r w:rsidR="00D30589">
        <w:rPr>
          <w:rFonts w:ascii="Arial" w:hAnsi="Arial" w:cs="Arial"/>
        </w:rPr>
        <w:t xml:space="preserve">the City’s </w:t>
      </w:r>
      <w:r w:rsidR="00DE3BCC" w:rsidRPr="00DE3BCC">
        <w:rPr>
          <w:rFonts w:ascii="Arial" w:hAnsi="Arial" w:cs="Arial"/>
        </w:rPr>
        <w:t>law enforcement</w:t>
      </w:r>
      <w:r w:rsidR="005C678C" w:rsidRPr="00DE3BCC">
        <w:rPr>
          <w:rFonts w:ascii="Arial" w:hAnsi="Arial" w:cs="Arial"/>
        </w:rPr>
        <w:t xml:space="preserve">. The </w:t>
      </w:r>
      <w:r w:rsidR="00DE3BCC" w:rsidRPr="00DE3BCC">
        <w:rPr>
          <w:rFonts w:ascii="Arial" w:hAnsi="Arial" w:cs="Arial"/>
        </w:rPr>
        <w:t>tender</w:t>
      </w:r>
      <w:r w:rsidR="005C678C" w:rsidRPr="00DE3BCC">
        <w:rPr>
          <w:rFonts w:ascii="Arial" w:hAnsi="Arial" w:cs="Arial"/>
        </w:rPr>
        <w:t xml:space="preserve"> documents clearly stipulated that a failure to provide </w:t>
      </w:r>
      <w:r w:rsidR="008A50B0">
        <w:rPr>
          <w:rFonts w:ascii="Arial" w:hAnsi="Arial" w:cs="Arial"/>
        </w:rPr>
        <w:t>these</w:t>
      </w:r>
      <w:r w:rsidR="005C678C" w:rsidRPr="00DE3BCC">
        <w:rPr>
          <w:rFonts w:ascii="Arial" w:hAnsi="Arial" w:cs="Arial"/>
        </w:rPr>
        <w:t xml:space="preserve"> certificates would result in disqualification. </w:t>
      </w:r>
    </w:p>
    <w:p w14:paraId="44CEF895" w14:textId="6B86006F" w:rsidR="00230F27" w:rsidRPr="00DE3BCC" w:rsidRDefault="00A23655" w:rsidP="00A23655">
      <w:pPr>
        <w:adjustRightInd w:val="0"/>
        <w:spacing w:after="0" w:line="360" w:lineRule="auto"/>
        <w:ind w:left="720" w:hanging="720"/>
        <w:contextualSpacing/>
        <w:jc w:val="both"/>
        <w:textAlignment w:val="baseline"/>
        <w:rPr>
          <w:rFonts w:ascii="Arial" w:hAnsi="Arial" w:cs="Arial"/>
        </w:rPr>
      </w:pPr>
      <w:r w:rsidRPr="00DE3BCC">
        <w:rPr>
          <w:rFonts w:ascii="Arial" w:hAnsi="Arial" w:cs="Arial"/>
        </w:rPr>
        <w:t>9.</w:t>
      </w:r>
      <w:r w:rsidRPr="00DE3BCC">
        <w:rPr>
          <w:rFonts w:ascii="Arial" w:hAnsi="Arial" w:cs="Arial"/>
        </w:rPr>
        <w:tab/>
      </w:r>
      <w:r w:rsidR="00DE3BCC">
        <w:rPr>
          <w:rFonts w:ascii="Arial" w:hAnsi="Arial" w:cs="Arial"/>
        </w:rPr>
        <w:t>To qualify for the tender b</w:t>
      </w:r>
      <w:r w:rsidR="005C678C" w:rsidRPr="00DE3BCC">
        <w:rPr>
          <w:rFonts w:ascii="Arial" w:hAnsi="Arial" w:cs="Arial"/>
        </w:rPr>
        <w:t xml:space="preserve">idders were also required to attend a compulsory briefing session, which took place on 25 February 2022. During the session the applicant’s </w:t>
      </w:r>
      <w:r w:rsidR="00DE3BCC">
        <w:rPr>
          <w:rFonts w:ascii="Arial" w:hAnsi="Arial" w:cs="Arial"/>
        </w:rPr>
        <w:t>G</w:t>
      </w:r>
      <w:r w:rsidR="005C678C" w:rsidRPr="00DE3BCC">
        <w:rPr>
          <w:rFonts w:ascii="Arial" w:hAnsi="Arial" w:cs="Arial"/>
        </w:rPr>
        <w:t xml:space="preserve">eneral </w:t>
      </w:r>
      <w:r w:rsidR="00DE3BCC">
        <w:rPr>
          <w:rFonts w:ascii="Arial" w:hAnsi="Arial" w:cs="Arial"/>
        </w:rPr>
        <w:t>M</w:t>
      </w:r>
      <w:r w:rsidR="005C678C" w:rsidRPr="00DE3BCC">
        <w:rPr>
          <w:rFonts w:ascii="Arial" w:hAnsi="Arial" w:cs="Arial"/>
        </w:rPr>
        <w:t>anager François</w:t>
      </w:r>
      <w:r w:rsidR="000E2C8B" w:rsidRPr="00DE3BCC">
        <w:rPr>
          <w:rFonts w:ascii="Arial" w:hAnsi="Arial" w:cs="Arial"/>
        </w:rPr>
        <w:t xml:space="preserve"> Du Toit enquired whether an indication could be given of the current monthly volume of </w:t>
      </w:r>
      <w:r w:rsidR="00DE3BCC">
        <w:rPr>
          <w:rFonts w:ascii="Arial" w:hAnsi="Arial" w:cs="Arial"/>
        </w:rPr>
        <w:t xml:space="preserve">traffic </w:t>
      </w:r>
      <w:r w:rsidR="000E2C8B" w:rsidRPr="00DE3BCC">
        <w:rPr>
          <w:rFonts w:ascii="Arial" w:hAnsi="Arial" w:cs="Arial"/>
        </w:rPr>
        <w:t>infringements that were being processed. The presiding official in</w:t>
      </w:r>
      <w:r w:rsidR="00DE3BCC">
        <w:rPr>
          <w:rFonts w:ascii="Arial" w:hAnsi="Arial" w:cs="Arial"/>
        </w:rPr>
        <w:t xml:space="preserve">timated </w:t>
      </w:r>
      <w:r w:rsidR="000E2C8B" w:rsidRPr="00DE3BCC">
        <w:rPr>
          <w:rFonts w:ascii="Arial" w:hAnsi="Arial" w:cs="Arial"/>
        </w:rPr>
        <w:t xml:space="preserve">that a </w:t>
      </w:r>
      <w:r w:rsidR="00DE3BCC">
        <w:rPr>
          <w:rFonts w:ascii="Arial" w:hAnsi="Arial" w:cs="Arial"/>
        </w:rPr>
        <w:t>‘</w:t>
      </w:r>
      <w:r w:rsidR="000E2C8B" w:rsidRPr="00DE3BCC">
        <w:rPr>
          <w:rFonts w:ascii="Arial" w:hAnsi="Arial" w:cs="Arial"/>
        </w:rPr>
        <w:t>figure</w:t>
      </w:r>
      <w:r w:rsidR="00DE3BCC">
        <w:rPr>
          <w:rFonts w:ascii="Arial" w:hAnsi="Arial" w:cs="Arial"/>
        </w:rPr>
        <w:t>’</w:t>
      </w:r>
      <w:r w:rsidR="000E2C8B" w:rsidRPr="00DE3BCC">
        <w:rPr>
          <w:rFonts w:ascii="Arial" w:hAnsi="Arial" w:cs="Arial"/>
        </w:rPr>
        <w:t xml:space="preserve"> could be provided but that he would have to consult his colleagues</w:t>
      </w:r>
      <w:r w:rsidR="00DE3BCC">
        <w:rPr>
          <w:rFonts w:ascii="Arial" w:hAnsi="Arial" w:cs="Arial"/>
        </w:rPr>
        <w:t>,</w:t>
      </w:r>
      <w:r w:rsidR="000E2C8B" w:rsidRPr="00DE3BCC">
        <w:rPr>
          <w:rFonts w:ascii="Arial" w:hAnsi="Arial" w:cs="Arial"/>
        </w:rPr>
        <w:t xml:space="preserve"> </w:t>
      </w:r>
      <w:r w:rsidR="009659CD">
        <w:rPr>
          <w:rFonts w:ascii="Arial" w:hAnsi="Arial" w:cs="Arial"/>
        </w:rPr>
        <w:t>upon</w:t>
      </w:r>
      <w:r w:rsidR="00DE3BCC">
        <w:rPr>
          <w:rFonts w:ascii="Arial" w:hAnsi="Arial" w:cs="Arial"/>
        </w:rPr>
        <w:t xml:space="preserve"> which he </w:t>
      </w:r>
      <w:r w:rsidR="00D30589">
        <w:rPr>
          <w:rFonts w:ascii="Arial" w:hAnsi="Arial" w:cs="Arial"/>
        </w:rPr>
        <w:t xml:space="preserve">immediately </w:t>
      </w:r>
      <w:r w:rsidR="007030CD">
        <w:rPr>
          <w:rFonts w:ascii="Arial" w:hAnsi="Arial" w:cs="Arial"/>
        </w:rPr>
        <w:t>indicated</w:t>
      </w:r>
      <w:r w:rsidR="00EB4EFF">
        <w:rPr>
          <w:rFonts w:ascii="Arial" w:hAnsi="Arial" w:cs="Arial"/>
        </w:rPr>
        <w:t xml:space="preserve"> </w:t>
      </w:r>
      <w:r w:rsidR="000E2C8B" w:rsidRPr="00DE3BCC">
        <w:rPr>
          <w:rFonts w:ascii="Arial" w:hAnsi="Arial" w:cs="Arial"/>
        </w:rPr>
        <w:t xml:space="preserve">that the information would not be </w:t>
      </w:r>
      <w:r w:rsidR="00C832ED">
        <w:rPr>
          <w:rFonts w:ascii="Arial" w:hAnsi="Arial" w:cs="Arial"/>
        </w:rPr>
        <w:t>supplied</w:t>
      </w:r>
      <w:r w:rsidR="000E2C8B" w:rsidRPr="00DE3BCC">
        <w:rPr>
          <w:rFonts w:ascii="Arial" w:hAnsi="Arial" w:cs="Arial"/>
        </w:rPr>
        <w:t xml:space="preserve"> as it would not be </w:t>
      </w:r>
      <w:r w:rsidR="00EB4EFF">
        <w:rPr>
          <w:rFonts w:ascii="Arial" w:hAnsi="Arial" w:cs="Arial"/>
        </w:rPr>
        <w:t>‘</w:t>
      </w:r>
      <w:r w:rsidR="000E2C8B" w:rsidRPr="00DE3BCC">
        <w:rPr>
          <w:rFonts w:ascii="Arial" w:hAnsi="Arial" w:cs="Arial"/>
        </w:rPr>
        <w:t>useful</w:t>
      </w:r>
      <w:r w:rsidR="00EB4EFF">
        <w:rPr>
          <w:rFonts w:ascii="Arial" w:hAnsi="Arial" w:cs="Arial"/>
        </w:rPr>
        <w:t>’</w:t>
      </w:r>
      <w:r w:rsidR="000E2C8B" w:rsidRPr="00DE3BCC">
        <w:rPr>
          <w:rFonts w:ascii="Arial" w:hAnsi="Arial" w:cs="Arial"/>
        </w:rPr>
        <w:t xml:space="preserve"> for the tender. The City’s head of ICT infrastructure </w:t>
      </w:r>
      <w:r w:rsidR="00743C32">
        <w:rPr>
          <w:rFonts w:ascii="Arial" w:hAnsi="Arial" w:cs="Arial"/>
        </w:rPr>
        <w:t>confirmed</w:t>
      </w:r>
      <w:r w:rsidR="000E2C8B" w:rsidRPr="00DE3BCC">
        <w:rPr>
          <w:rFonts w:ascii="Arial" w:hAnsi="Arial" w:cs="Arial"/>
        </w:rPr>
        <w:t xml:space="preserve"> that the information would not be provided. He pointed out that some of those who were in </w:t>
      </w:r>
      <w:r w:rsidR="000E2C8B" w:rsidRPr="00DE3BCC">
        <w:rPr>
          <w:rFonts w:ascii="Arial" w:hAnsi="Arial" w:cs="Arial"/>
        </w:rPr>
        <w:lastRenderedPageBreak/>
        <w:t xml:space="preserve">attendance had </w:t>
      </w:r>
      <w:r w:rsidR="00743C32">
        <w:rPr>
          <w:rFonts w:ascii="Arial" w:hAnsi="Arial" w:cs="Arial"/>
        </w:rPr>
        <w:t xml:space="preserve">previously </w:t>
      </w:r>
      <w:r w:rsidR="000E2C8B" w:rsidRPr="00DE3BCC">
        <w:rPr>
          <w:rFonts w:ascii="Arial" w:hAnsi="Arial" w:cs="Arial"/>
        </w:rPr>
        <w:t>provide</w:t>
      </w:r>
      <w:r w:rsidR="00743C32">
        <w:rPr>
          <w:rFonts w:ascii="Arial" w:hAnsi="Arial" w:cs="Arial"/>
        </w:rPr>
        <w:t xml:space="preserve">d the services which were </w:t>
      </w:r>
      <w:r w:rsidR="00D30589">
        <w:rPr>
          <w:rFonts w:ascii="Arial" w:hAnsi="Arial" w:cs="Arial"/>
        </w:rPr>
        <w:t>on tender</w:t>
      </w:r>
      <w:r w:rsidR="007030CD">
        <w:rPr>
          <w:rFonts w:ascii="Arial" w:hAnsi="Arial" w:cs="Arial"/>
        </w:rPr>
        <w:t>,</w:t>
      </w:r>
      <w:r w:rsidR="00EB4EFF">
        <w:rPr>
          <w:rFonts w:ascii="Arial" w:hAnsi="Arial" w:cs="Arial"/>
        </w:rPr>
        <w:t xml:space="preserve"> and </w:t>
      </w:r>
      <w:r w:rsidR="000E2C8B" w:rsidRPr="00DE3BCC">
        <w:rPr>
          <w:rFonts w:ascii="Arial" w:hAnsi="Arial" w:cs="Arial"/>
        </w:rPr>
        <w:t xml:space="preserve">if they considered the bid </w:t>
      </w:r>
      <w:r w:rsidR="009659CD" w:rsidRPr="00DE3BCC">
        <w:rPr>
          <w:rFonts w:ascii="Arial" w:hAnsi="Arial" w:cs="Arial"/>
        </w:rPr>
        <w:t>specifications</w:t>
      </w:r>
      <w:r w:rsidR="000E2C8B" w:rsidRPr="00DE3BCC">
        <w:rPr>
          <w:rFonts w:ascii="Arial" w:hAnsi="Arial" w:cs="Arial"/>
        </w:rPr>
        <w:t xml:space="preserve"> they would be able to ‘come up with something’ i.e. to put in </w:t>
      </w:r>
      <w:r w:rsidR="00743C32">
        <w:rPr>
          <w:rFonts w:ascii="Arial" w:hAnsi="Arial" w:cs="Arial"/>
        </w:rPr>
        <w:t xml:space="preserve">a </w:t>
      </w:r>
      <w:r w:rsidR="000E2C8B" w:rsidRPr="00DE3BCC">
        <w:rPr>
          <w:rFonts w:ascii="Arial" w:hAnsi="Arial" w:cs="Arial"/>
        </w:rPr>
        <w:t>bid</w:t>
      </w:r>
      <w:r w:rsidR="00EB4EFF">
        <w:rPr>
          <w:rFonts w:ascii="Arial" w:hAnsi="Arial" w:cs="Arial"/>
        </w:rPr>
        <w:t xml:space="preserve">. </w:t>
      </w:r>
      <w:r w:rsidR="00D35045">
        <w:rPr>
          <w:rFonts w:ascii="Arial" w:hAnsi="Arial" w:cs="Arial"/>
        </w:rPr>
        <w:t>He said t</w:t>
      </w:r>
      <w:r w:rsidR="000E2C8B" w:rsidRPr="00DE3BCC">
        <w:rPr>
          <w:rFonts w:ascii="Arial" w:hAnsi="Arial" w:cs="Arial"/>
        </w:rPr>
        <w:t>he City did not w</w:t>
      </w:r>
      <w:r w:rsidR="00C643AE">
        <w:rPr>
          <w:rFonts w:ascii="Arial" w:hAnsi="Arial" w:cs="Arial"/>
        </w:rPr>
        <w:t>ish</w:t>
      </w:r>
      <w:r w:rsidR="000E2C8B" w:rsidRPr="00DE3BCC">
        <w:rPr>
          <w:rFonts w:ascii="Arial" w:hAnsi="Arial" w:cs="Arial"/>
        </w:rPr>
        <w:t xml:space="preserve"> </w:t>
      </w:r>
      <w:r w:rsidR="00EB4EFF">
        <w:rPr>
          <w:rFonts w:ascii="Arial" w:hAnsi="Arial" w:cs="Arial"/>
        </w:rPr>
        <w:t xml:space="preserve">to entertain the request for </w:t>
      </w:r>
      <w:r w:rsidR="001A160F" w:rsidRPr="00DE3BCC">
        <w:rPr>
          <w:rFonts w:ascii="Arial" w:hAnsi="Arial" w:cs="Arial"/>
        </w:rPr>
        <w:t>informatio</w:t>
      </w:r>
      <w:r w:rsidR="001A160F">
        <w:rPr>
          <w:rFonts w:ascii="Arial" w:hAnsi="Arial" w:cs="Arial"/>
        </w:rPr>
        <w:t xml:space="preserve">n </w:t>
      </w:r>
      <w:r w:rsidR="00EB4EFF">
        <w:rPr>
          <w:rFonts w:ascii="Arial" w:hAnsi="Arial" w:cs="Arial"/>
        </w:rPr>
        <w:t>as it would</w:t>
      </w:r>
      <w:r w:rsidR="000E2C8B" w:rsidRPr="00DE3BCC">
        <w:rPr>
          <w:rFonts w:ascii="Arial" w:hAnsi="Arial" w:cs="Arial"/>
        </w:rPr>
        <w:t xml:space="preserve"> delay </w:t>
      </w:r>
      <w:r w:rsidR="00743C32">
        <w:rPr>
          <w:rFonts w:ascii="Arial" w:hAnsi="Arial" w:cs="Arial"/>
        </w:rPr>
        <w:t>the process</w:t>
      </w:r>
      <w:r w:rsidR="000E2C8B" w:rsidRPr="00DE3BCC">
        <w:rPr>
          <w:rFonts w:ascii="Arial" w:hAnsi="Arial" w:cs="Arial"/>
        </w:rPr>
        <w:t>.</w:t>
      </w:r>
    </w:p>
    <w:p w14:paraId="59035FAF" w14:textId="50050462" w:rsidR="000E2C8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10.</w:t>
      </w:r>
      <w:r>
        <w:rPr>
          <w:rFonts w:ascii="Arial" w:hAnsi="Arial" w:cs="Arial"/>
        </w:rPr>
        <w:tab/>
      </w:r>
      <w:r w:rsidR="000E2C8B">
        <w:rPr>
          <w:rFonts w:ascii="Arial" w:hAnsi="Arial" w:cs="Arial"/>
        </w:rPr>
        <w:t xml:space="preserve">At the conclusion of the </w:t>
      </w:r>
      <w:r w:rsidR="00743C32">
        <w:rPr>
          <w:rFonts w:ascii="Arial" w:hAnsi="Arial" w:cs="Arial"/>
        </w:rPr>
        <w:t>session</w:t>
      </w:r>
      <w:r w:rsidR="000E2C8B">
        <w:rPr>
          <w:rFonts w:ascii="Arial" w:hAnsi="Arial" w:cs="Arial"/>
        </w:rPr>
        <w:t xml:space="preserve"> bidders were invited to submit any further questions they </w:t>
      </w:r>
      <w:r w:rsidR="00EB4EFF">
        <w:rPr>
          <w:rFonts w:ascii="Arial" w:hAnsi="Arial" w:cs="Arial"/>
        </w:rPr>
        <w:t>might have</w:t>
      </w:r>
      <w:r w:rsidR="000E2C8B">
        <w:rPr>
          <w:rFonts w:ascii="Arial" w:hAnsi="Arial" w:cs="Arial"/>
        </w:rPr>
        <w:t xml:space="preserve">, in writing. On 2 March 2022 Du Toit submitted </w:t>
      </w:r>
      <w:r w:rsidR="00743C32">
        <w:rPr>
          <w:rFonts w:ascii="Arial" w:hAnsi="Arial" w:cs="Arial"/>
        </w:rPr>
        <w:t xml:space="preserve">a </w:t>
      </w:r>
      <w:r w:rsidR="000E2C8B">
        <w:rPr>
          <w:rFonts w:ascii="Arial" w:hAnsi="Arial" w:cs="Arial"/>
        </w:rPr>
        <w:t xml:space="preserve">detailed list of questions </w:t>
      </w:r>
      <w:r w:rsidR="00DA3317">
        <w:rPr>
          <w:rFonts w:ascii="Arial" w:hAnsi="Arial" w:cs="Arial"/>
        </w:rPr>
        <w:t>in relation</w:t>
      </w:r>
      <w:r w:rsidR="000E2C8B">
        <w:rPr>
          <w:rFonts w:ascii="Arial" w:hAnsi="Arial" w:cs="Arial"/>
        </w:rPr>
        <w:t xml:space="preserve"> to several </w:t>
      </w:r>
      <w:r w:rsidR="00743C32">
        <w:rPr>
          <w:rFonts w:ascii="Arial" w:hAnsi="Arial" w:cs="Arial"/>
        </w:rPr>
        <w:t>aspects of</w:t>
      </w:r>
      <w:r w:rsidR="000E2C8B">
        <w:rPr>
          <w:rFonts w:ascii="Arial" w:hAnsi="Arial" w:cs="Arial"/>
        </w:rPr>
        <w:t xml:space="preserve"> the bid specifications. At the end </w:t>
      </w:r>
      <w:r w:rsidR="006F5BE0">
        <w:rPr>
          <w:rFonts w:ascii="Arial" w:hAnsi="Arial" w:cs="Arial"/>
        </w:rPr>
        <w:t>there</w:t>
      </w:r>
      <w:r w:rsidR="000E2C8B">
        <w:rPr>
          <w:rFonts w:ascii="Arial" w:hAnsi="Arial" w:cs="Arial"/>
        </w:rPr>
        <w:t xml:space="preserve">of he asked the City to indicate the </w:t>
      </w:r>
      <w:r w:rsidR="00743C32">
        <w:rPr>
          <w:rFonts w:ascii="Arial" w:hAnsi="Arial" w:cs="Arial"/>
        </w:rPr>
        <w:t>‘</w:t>
      </w:r>
      <w:r w:rsidR="000E2C8B">
        <w:rPr>
          <w:rFonts w:ascii="Arial" w:hAnsi="Arial" w:cs="Arial"/>
        </w:rPr>
        <w:t>amount of mobile, fixed-si</w:t>
      </w:r>
      <w:r w:rsidR="00C832ED">
        <w:rPr>
          <w:rFonts w:ascii="Arial" w:hAnsi="Arial" w:cs="Arial"/>
        </w:rPr>
        <w:t>t</w:t>
      </w:r>
      <w:r w:rsidR="000E2C8B">
        <w:rPr>
          <w:rFonts w:ascii="Arial" w:hAnsi="Arial" w:cs="Arial"/>
        </w:rPr>
        <w:t xml:space="preserve">e </w:t>
      </w:r>
      <w:r w:rsidR="00DA3317">
        <w:rPr>
          <w:rFonts w:ascii="Arial" w:hAnsi="Arial" w:cs="Arial"/>
        </w:rPr>
        <w:t>and handwritten</w:t>
      </w:r>
      <w:r w:rsidR="00743C32">
        <w:rPr>
          <w:rFonts w:ascii="Arial" w:hAnsi="Arial" w:cs="Arial"/>
        </w:rPr>
        <w:t>’</w:t>
      </w:r>
      <w:r w:rsidR="000E2C8B">
        <w:rPr>
          <w:rFonts w:ascii="Arial" w:hAnsi="Arial" w:cs="Arial"/>
        </w:rPr>
        <w:t xml:space="preserve"> infringements which were currently being generated on a monthly and/or annual basis, as this information</w:t>
      </w:r>
      <w:r w:rsidR="00C832ED">
        <w:rPr>
          <w:rFonts w:ascii="Arial" w:hAnsi="Arial" w:cs="Arial"/>
        </w:rPr>
        <w:t xml:space="preserve"> would</w:t>
      </w:r>
      <w:r w:rsidR="000E2C8B">
        <w:rPr>
          <w:rFonts w:ascii="Arial" w:hAnsi="Arial" w:cs="Arial"/>
        </w:rPr>
        <w:t xml:space="preserve"> ‘significantly influence</w:t>
      </w:r>
      <w:r w:rsidR="00743C32">
        <w:rPr>
          <w:rFonts w:ascii="Arial" w:hAnsi="Arial" w:cs="Arial"/>
        </w:rPr>
        <w:t>’</w:t>
      </w:r>
      <w:r w:rsidR="000E2C8B">
        <w:rPr>
          <w:rFonts w:ascii="Arial" w:hAnsi="Arial" w:cs="Arial"/>
        </w:rPr>
        <w:t xml:space="preserve"> the price which would be submitted. In a note on the </w:t>
      </w:r>
      <w:r w:rsidR="00C832ED">
        <w:rPr>
          <w:rFonts w:ascii="Arial" w:hAnsi="Arial" w:cs="Arial"/>
        </w:rPr>
        <w:t>side,</w:t>
      </w:r>
      <w:r w:rsidR="000E2C8B">
        <w:rPr>
          <w:rFonts w:ascii="Arial" w:hAnsi="Arial" w:cs="Arial"/>
        </w:rPr>
        <w:t xml:space="preserve"> he </w:t>
      </w:r>
      <w:r w:rsidR="00743C32">
        <w:rPr>
          <w:rFonts w:ascii="Arial" w:hAnsi="Arial" w:cs="Arial"/>
        </w:rPr>
        <w:t>sa</w:t>
      </w:r>
      <w:r w:rsidR="0051270B">
        <w:rPr>
          <w:rFonts w:ascii="Arial" w:hAnsi="Arial" w:cs="Arial"/>
        </w:rPr>
        <w:t>i</w:t>
      </w:r>
      <w:r w:rsidR="00743C32">
        <w:rPr>
          <w:rFonts w:ascii="Arial" w:hAnsi="Arial" w:cs="Arial"/>
        </w:rPr>
        <w:t>d</w:t>
      </w:r>
      <w:r w:rsidR="000E2C8B">
        <w:rPr>
          <w:rFonts w:ascii="Arial" w:hAnsi="Arial" w:cs="Arial"/>
        </w:rPr>
        <w:t xml:space="preserve"> that it was the duty of the invitee to ensure that the tender was not void for vagueness and that all participants were placed on an </w:t>
      </w:r>
      <w:r w:rsidR="00743C32">
        <w:rPr>
          <w:rFonts w:ascii="Arial" w:hAnsi="Arial" w:cs="Arial"/>
        </w:rPr>
        <w:t>‘</w:t>
      </w:r>
      <w:r w:rsidR="000E2C8B">
        <w:rPr>
          <w:rFonts w:ascii="Arial" w:hAnsi="Arial" w:cs="Arial"/>
        </w:rPr>
        <w:t>equal footing</w:t>
      </w:r>
      <w:r w:rsidR="00743C32">
        <w:rPr>
          <w:rFonts w:ascii="Arial" w:hAnsi="Arial" w:cs="Arial"/>
        </w:rPr>
        <w:t>’</w:t>
      </w:r>
      <w:r w:rsidR="000E2C8B">
        <w:rPr>
          <w:rFonts w:ascii="Arial" w:hAnsi="Arial" w:cs="Arial"/>
        </w:rPr>
        <w:t>.</w:t>
      </w:r>
    </w:p>
    <w:p w14:paraId="7B5328F9" w14:textId="5ACEF11E" w:rsidR="000E2C8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11.</w:t>
      </w:r>
      <w:r>
        <w:rPr>
          <w:rFonts w:ascii="Arial" w:hAnsi="Arial" w:cs="Arial"/>
        </w:rPr>
        <w:tab/>
      </w:r>
      <w:r w:rsidR="004C7312">
        <w:rPr>
          <w:rFonts w:ascii="Arial" w:hAnsi="Arial" w:cs="Arial"/>
        </w:rPr>
        <w:t xml:space="preserve">On 22 March 2022 bidders who had attended the briefing were informed that </w:t>
      </w:r>
      <w:r w:rsidR="000E2C8B">
        <w:rPr>
          <w:rFonts w:ascii="Arial" w:hAnsi="Arial" w:cs="Arial"/>
        </w:rPr>
        <w:t xml:space="preserve">the bid specifications </w:t>
      </w:r>
      <w:r w:rsidR="004C7312">
        <w:rPr>
          <w:rFonts w:ascii="Arial" w:hAnsi="Arial" w:cs="Arial"/>
        </w:rPr>
        <w:t>had been</w:t>
      </w:r>
      <w:r w:rsidR="000E2C8B">
        <w:rPr>
          <w:rFonts w:ascii="Arial" w:hAnsi="Arial" w:cs="Arial"/>
        </w:rPr>
        <w:t xml:space="preserve"> amended in some respects </w:t>
      </w:r>
      <w:r w:rsidR="00743C32">
        <w:rPr>
          <w:rFonts w:ascii="Arial" w:hAnsi="Arial" w:cs="Arial"/>
        </w:rPr>
        <w:t>and</w:t>
      </w:r>
      <w:r w:rsidR="004C7312">
        <w:rPr>
          <w:rFonts w:ascii="Arial" w:hAnsi="Arial" w:cs="Arial"/>
        </w:rPr>
        <w:t>.</w:t>
      </w:r>
      <w:r w:rsidR="00743C32">
        <w:rPr>
          <w:rFonts w:ascii="Arial" w:hAnsi="Arial" w:cs="Arial"/>
        </w:rPr>
        <w:t xml:space="preserve"> as a result</w:t>
      </w:r>
      <w:r w:rsidR="0051270B">
        <w:rPr>
          <w:rFonts w:ascii="Arial" w:hAnsi="Arial" w:cs="Arial"/>
        </w:rPr>
        <w:t>,</w:t>
      </w:r>
      <w:r w:rsidR="00743C32">
        <w:rPr>
          <w:rFonts w:ascii="Arial" w:hAnsi="Arial" w:cs="Arial"/>
        </w:rPr>
        <w:t xml:space="preserve"> </w:t>
      </w:r>
      <w:r w:rsidR="000E2C8B">
        <w:rPr>
          <w:rFonts w:ascii="Arial" w:hAnsi="Arial" w:cs="Arial"/>
        </w:rPr>
        <w:t>the closing date w</w:t>
      </w:r>
      <w:r w:rsidR="008567E2">
        <w:rPr>
          <w:rFonts w:ascii="Arial" w:hAnsi="Arial" w:cs="Arial"/>
        </w:rPr>
        <w:t>ould be</w:t>
      </w:r>
      <w:r w:rsidR="000E2C8B">
        <w:rPr>
          <w:rFonts w:ascii="Arial" w:hAnsi="Arial" w:cs="Arial"/>
        </w:rPr>
        <w:t xml:space="preserve"> extended</w:t>
      </w:r>
      <w:r w:rsidR="008567E2">
        <w:rPr>
          <w:rFonts w:ascii="Arial" w:hAnsi="Arial" w:cs="Arial"/>
        </w:rPr>
        <w:t xml:space="preserve"> to 13 April 2022</w:t>
      </w:r>
      <w:r w:rsidR="000E2C8B">
        <w:rPr>
          <w:rFonts w:ascii="Arial" w:hAnsi="Arial" w:cs="Arial"/>
        </w:rPr>
        <w:t>.</w:t>
      </w:r>
    </w:p>
    <w:p w14:paraId="6ECB4EAB" w14:textId="341D1582" w:rsidR="000A7DE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12.</w:t>
      </w:r>
      <w:r>
        <w:rPr>
          <w:rFonts w:ascii="Arial" w:hAnsi="Arial" w:cs="Arial"/>
        </w:rPr>
        <w:tab/>
      </w:r>
      <w:r w:rsidR="000E2C8B">
        <w:rPr>
          <w:rFonts w:ascii="Arial" w:hAnsi="Arial" w:cs="Arial"/>
        </w:rPr>
        <w:t xml:space="preserve">On 16 March 2022 </w:t>
      </w:r>
      <w:r w:rsidR="006F5BE0">
        <w:rPr>
          <w:rFonts w:ascii="Arial" w:hAnsi="Arial" w:cs="Arial"/>
        </w:rPr>
        <w:t xml:space="preserve">the applicant sent an email to City officials in which it pointed out that a response to the questions which had been submitted by bidders had not yet been provided. On the same day </w:t>
      </w:r>
      <w:r w:rsidR="000E2C8B">
        <w:rPr>
          <w:rFonts w:ascii="Arial" w:hAnsi="Arial" w:cs="Arial"/>
        </w:rPr>
        <w:t xml:space="preserve">the </w:t>
      </w:r>
      <w:r w:rsidR="006F5BE0">
        <w:rPr>
          <w:rFonts w:ascii="Arial" w:hAnsi="Arial" w:cs="Arial"/>
        </w:rPr>
        <w:t>C</w:t>
      </w:r>
      <w:r w:rsidR="000E2C8B">
        <w:rPr>
          <w:rFonts w:ascii="Arial" w:hAnsi="Arial" w:cs="Arial"/>
        </w:rPr>
        <w:t xml:space="preserve">ity addressed a letter to all prospective bidders in which it sought to </w:t>
      </w:r>
      <w:r w:rsidR="00D35045">
        <w:rPr>
          <w:rFonts w:ascii="Arial" w:hAnsi="Arial" w:cs="Arial"/>
        </w:rPr>
        <w:t>supply</w:t>
      </w:r>
      <w:r w:rsidR="000E2C8B">
        <w:rPr>
          <w:rFonts w:ascii="Arial" w:hAnsi="Arial" w:cs="Arial"/>
        </w:rPr>
        <w:t xml:space="preserve"> </w:t>
      </w:r>
      <w:r w:rsidR="009659CD">
        <w:rPr>
          <w:rFonts w:ascii="Arial" w:hAnsi="Arial" w:cs="Arial"/>
        </w:rPr>
        <w:t xml:space="preserve">the requisite </w:t>
      </w:r>
      <w:r w:rsidR="000E2C8B">
        <w:rPr>
          <w:rFonts w:ascii="Arial" w:hAnsi="Arial" w:cs="Arial"/>
        </w:rPr>
        <w:t xml:space="preserve">answers. The letter did not </w:t>
      </w:r>
      <w:r w:rsidR="006F5BE0">
        <w:rPr>
          <w:rFonts w:ascii="Arial" w:hAnsi="Arial" w:cs="Arial"/>
        </w:rPr>
        <w:t xml:space="preserve">pertinently </w:t>
      </w:r>
      <w:r w:rsidR="000E2C8B">
        <w:rPr>
          <w:rFonts w:ascii="Arial" w:hAnsi="Arial" w:cs="Arial"/>
        </w:rPr>
        <w:t xml:space="preserve">deal with </w:t>
      </w:r>
      <w:r w:rsidR="006F5BE0">
        <w:rPr>
          <w:rFonts w:ascii="Arial" w:hAnsi="Arial" w:cs="Arial"/>
        </w:rPr>
        <w:t xml:space="preserve">the questions which had been posed by the applicant in its list, </w:t>
      </w:r>
      <w:r w:rsidR="000A65C5">
        <w:rPr>
          <w:rFonts w:ascii="Arial" w:hAnsi="Arial" w:cs="Arial"/>
        </w:rPr>
        <w:t>or</w:t>
      </w:r>
      <w:r w:rsidR="006F5BE0">
        <w:rPr>
          <w:rFonts w:ascii="Arial" w:hAnsi="Arial" w:cs="Arial"/>
        </w:rPr>
        <w:t xml:space="preserve"> its </w:t>
      </w:r>
      <w:r w:rsidR="000E2C8B">
        <w:rPr>
          <w:rFonts w:ascii="Arial" w:hAnsi="Arial" w:cs="Arial"/>
        </w:rPr>
        <w:t xml:space="preserve">request for information pertaining to the volume of traffic infringements. </w:t>
      </w:r>
      <w:r w:rsidR="006F5BE0">
        <w:rPr>
          <w:rFonts w:ascii="Arial" w:hAnsi="Arial" w:cs="Arial"/>
        </w:rPr>
        <w:t>T</w:t>
      </w:r>
      <w:r w:rsidR="000E2C8B">
        <w:rPr>
          <w:rFonts w:ascii="Arial" w:hAnsi="Arial" w:cs="Arial"/>
        </w:rPr>
        <w:t xml:space="preserve">he applicant </w:t>
      </w:r>
      <w:r w:rsidR="000A7DEB">
        <w:rPr>
          <w:rFonts w:ascii="Arial" w:hAnsi="Arial" w:cs="Arial"/>
        </w:rPr>
        <w:t>noted</w:t>
      </w:r>
      <w:r w:rsidR="000E2C8B">
        <w:rPr>
          <w:rFonts w:ascii="Arial" w:hAnsi="Arial" w:cs="Arial"/>
        </w:rPr>
        <w:t xml:space="preserve"> this in a response which </w:t>
      </w:r>
      <w:r w:rsidR="006F5BE0">
        <w:rPr>
          <w:rFonts w:ascii="Arial" w:hAnsi="Arial" w:cs="Arial"/>
        </w:rPr>
        <w:t>it</w:t>
      </w:r>
      <w:r w:rsidR="000E2C8B">
        <w:rPr>
          <w:rFonts w:ascii="Arial" w:hAnsi="Arial" w:cs="Arial"/>
        </w:rPr>
        <w:t xml:space="preserve"> sent the following day, in which </w:t>
      </w:r>
      <w:r w:rsidR="006F5BE0">
        <w:rPr>
          <w:rFonts w:ascii="Arial" w:hAnsi="Arial" w:cs="Arial"/>
        </w:rPr>
        <w:t>it</w:t>
      </w:r>
      <w:r w:rsidR="000E2C8B">
        <w:rPr>
          <w:rFonts w:ascii="Arial" w:hAnsi="Arial" w:cs="Arial"/>
        </w:rPr>
        <w:t xml:space="preserve"> enquired whether there was a reason for this and whether an answer </w:t>
      </w:r>
      <w:r w:rsidR="006F5BE0">
        <w:rPr>
          <w:rFonts w:ascii="Arial" w:hAnsi="Arial" w:cs="Arial"/>
        </w:rPr>
        <w:t>w</w:t>
      </w:r>
      <w:r w:rsidR="000E2C8B">
        <w:rPr>
          <w:rFonts w:ascii="Arial" w:hAnsi="Arial" w:cs="Arial"/>
        </w:rPr>
        <w:t>ould be provided</w:t>
      </w:r>
      <w:r w:rsidR="009659CD">
        <w:rPr>
          <w:rFonts w:ascii="Arial" w:hAnsi="Arial" w:cs="Arial"/>
        </w:rPr>
        <w:t xml:space="preserve"> to it</w:t>
      </w:r>
      <w:r w:rsidR="000E2C8B">
        <w:rPr>
          <w:rFonts w:ascii="Arial" w:hAnsi="Arial" w:cs="Arial"/>
        </w:rPr>
        <w:t xml:space="preserve">. </w:t>
      </w:r>
      <w:r w:rsidR="006F5BE0">
        <w:rPr>
          <w:rFonts w:ascii="Arial" w:hAnsi="Arial" w:cs="Arial"/>
        </w:rPr>
        <w:t>T</w:t>
      </w:r>
      <w:r w:rsidR="000E2C8B">
        <w:rPr>
          <w:rFonts w:ascii="Arial" w:hAnsi="Arial" w:cs="Arial"/>
        </w:rPr>
        <w:t xml:space="preserve">he City never responded to this </w:t>
      </w:r>
      <w:r w:rsidR="005275B9">
        <w:rPr>
          <w:rFonts w:ascii="Arial" w:hAnsi="Arial" w:cs="Arial"/>
        </w:rPr>
        <w:t>communication</w:t>
      </w:r>
      <w:r w:rsidR="000E2C8B">
        <w:rPr>
          <w:rFonts w:ascii="Arial" w:hAnsi="Arial" w:cs="Arial"/>
        </w:rPr>
        <w:t xml:space="preserve">. </w:t>
      </w:r>
    </w:p>
    <w:p w14:paraId="5B2A56B8" w14:textId="4A6231CB" w:rsidR="008567E2"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13.</w:t>
      </w:r>
      <w:r>
        <w:rPr>
          <w:rFonts w:ascii="Arial" w:hAnsi="Arial" w:cs="Arial"/>
        </w:rPr>
        <w:tab/>
      </w:r>
      <w:r w:rsidR="005275B9">
        <w:rPr>
          <w:rFonts w:ascii="Arial" w:hAnsi="Arial" w:cs="Arial"/>
        </w:rPr>
        <w:t xml:space="preserve">Notwithstanding </w:t>
      </w:r>
      <w:r w:rsidR="000A7DEB">
        <w:rPr>
          <w:rFonts w:ascii="Arial" w:hAnsi="Arial" w:cs="Arial"/>
        </w:rPr>
        <w:t>the City’s</w:t>
      </w:r>
      <w:r w:rsidR="005275B9">
        <w:rPr>
          <w:rFonts w:ascii="Arial" w:hAnsi="Arial" w:cs="Arial"/>
        </w:rPr>
        <w:t xml:space="preserve"> failure to do so and its failure to provide any data pertaining to traffic infringement volumes, </w:t>
      </w:r>
      <w:r w:rsidR="000E2C8B">
        <w:rPr>
          <w:rFonts w:ascii="Arial" w:hAnsi="Arial" w:cs="Arial"/>
        </w:rPr>
        <w:t xml:space="preserve">the applicant </w:t>
      </w:r>
      <w:r w:rsidR="005275B9">
        <w:rPr>
          <w:rFonts w:ascii="Arial" w:hAnsi="Arial" w:cs="Arial"/>
        </w:rPr>
        <w:t xml:space="preserve">nonetheless </w:t>
      </w:r>
      <w:r w:rsidR="000E2C8B">
        <w:rPr>
          <w:rFonts w:ascii="Arial" w:hAnsi="Arial" w:cs="Arial"/>
        </w:rPr>
        <w:t>proceeded to submit a bid</w:t>
      </w:r>
      <w:r w:rsidR="005275B9">
        <w:rPr>
          <w:rFonts w:ascii="Arial" w:hAnsi="Arial" w:cs="Arial"/>
        </w:rPr>
        <w:t xml:space="preserve"> </w:t>
      </w:r>
      <w:r w:rsidR="000E2C8B">
        <w:rPr>
          <w:rFonts w:ascii="Arial" w:hAnsi="Arial" w:cs="Arial"/>
        </w:rPr>
        <w:t xml:space="preserve">before the closing date </w:t>
      </w:r>
      <w:r w:rsidR="008567E2">
        <w:rPr>
          <w:rFonts w:ascii="Arial" w:hAnsi="Arial" w:cs="Arial"/>
        </w:rPr>
        <w:t xml:space="preserve">of </w:t>
      </w:r>
      <w:r w:rsidR="000E2C8B">
        <w:rPr>
          <w:rFonts w:ascii="Arial" w:hAnsi="Arial" w:cs="Arial"/>
        </w:rPr>
        <w:t>13 April 2022</w:t>
      </w:r>
      <w:r w:rsidR="005275B9">
        <w:rPr>
          <w:rFonts w:ascii="Arial" w:hAnsi="Arial" w:cs="Arial"/>
        </w:rPr>
        <w:t>.</w:t>
      </w:r>
    </w:p>
    <w:p w14:paraId="7B9C1008" w14:textId="374E1AAD" w:rsidR="000A7DE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14.</w:t>
      </w:r>
      <w:r>
        <w:rPr>
          <w:rFonts w:ascii="Arial" w:hAnsi="Arial" w:cs="Arial"/>
        </w:rPr>
        <w:tab/>
      </w:r>
      <w:r w:rsidR="008567E2">
        <w:rPr>
          <w:rFonts w:ascii="Arial" w:hAnsi="Arial" w:cs="Arial"/>
        </w:rPr>
        <w:t xml:space="preserve">The </w:t>
      </w:r>
      <w:r w:rsidR="005275B9">
        <w:rPr>
          <w:rFonts w:ascii="Arial" w:hAnsi="Arial" w:cs="Arial"/>
        </w:rPr>
        <w:t>first</w:t>
      </w:r>
      <w:r w:rsidR="008567E2">
        <w:rPr>
          <w:rFonts w:ascii="Arial" w:hAnsi="Arial" w:cs="Arial"/>
        </w:rPr>
        <w:t xml:space="preserve"> meeting of the </w:t>
      </w:r>
      <w:r w:rsidR="005275B9">
        <w:rPr>
          <w:rFonts w:ascii="Arial" w:hAnsi="Arial" w:cs="Arial"/>
        </w:rPr>
        <w:t>BEC</w:t>
      </w:r>
      <w:r w:rsidR="008567E2">
        <w:rPr>
          <w:rFonts w:ascii="Arial" w:hAnsi="Arial" w:cs="Arial"/>
        </w:rPr>
        <w:t xml:space="preserve"> </w:t>
      </w:r>
      <w:r w:rsidR="004C7312">
        <w:rPr>
          <w:rFonts w:ascii="Arial" w:hAnsi="Arial" w:cs="Arial"/>
        </w:rPr>
        <w:t>(</w:t>
      </w:r>
      <w:r w:rsidR="008567E2">
        <w:rPr>
          <w:rFonts w:ascii="Arial" w:hAnsi="Arial" w:cs="Arial"/>
        </w:rPr>
        <w:t xml:space="preserve">which consisted of 9 officials from various departments/sections of the municipality including the Metro </w:t>
      </w:r>
      <w:r w:rsidR="005275B9">
        <w:rPr>
          <w:rFonts w:ascii="Arial" w:hAnsi="Arial" w:cs="Arial"/>
        </w:rPr>
        <w:t>P</w:t>
      </w:r>
      <w:r w:rsidR="008567E2">
        <w:rPr>
          <w:rFonts w:ascii="Arial" w:hAnsi="Arial" w:cs="Arial"/>
        </w:rPr>
        <w:t xml:space="preserve">olice Department, </w:t>
      </w:r>
      <w:r w:rsidR="005275B9">
        <w:rPr>
          <w:rFonts w:ascii="Arial" w:hAnsi="Arial" w:cs="Arial"/>
        </w:rPr>
        <w:t>P</w:t>
      </w:r>
      <w:r w:rsidR="008567E2">
        <w:rPr>
          <w:rFonts w:ascii="Arial" w:hAnsi="Arial" w:cs="Arial"/>
        </w:rPr>
        <w:t xml:space="preserve">ublic </w:t>
      </w:r>
      <w:r w:rsidR="005275B9">
        <w:rPr>
          <w:rFonts w:ascii="Arial" w:hAnsi="Arial" w:cs="Arial"/>
        </w:rPr>
        <w:t>S</w:t>
      </w:r>
      <w:r w:rsidR="008567E2">
        <w:rPr>
          <w:rFonts w:ascii="Arial" w:hAnsi="Arial" w:cs="Arial"/>
        </w:rPr>
        <w:t xml:space="preserve">afety, </w:t>
      </w:r>
      <w:r w:rsidR="005275B9">
        <w:rPr>
          <w:rFonts w:ascii="Arial" w:hAnsi="Arial" w:cs="Arial"/>
        </w:rPr>
        <w:t>G</w:t>
      </w:r>
      <w:r w:rsidR="008567E2">
        <w:rPr>
          <w:rFonts w:ascii="Arial" w:hAnsi="Arial" w:cs="Arial"/>
        </w:rPr>
        <w:t xml:space="preserve">roup </w:t>
      </w:r>
      <w:r w:rsidR="005275B9">
        <w:rPr>
          <w:rFonts w:ascii="Arial" w:hAnsi="Arial" w:cs="Arial"/>
        </w:rPr>
        <w:t>L</w:t>
      </w:r>
      <w:r w:rsidR="008567E2">
        <w:rPr>
          <w:rFonts w:ascii="Arial" w:hAnsi="Arial" w:cs="Arial"/>
        </w:rPr>
        <w:t>egal</w:t>
      </w:r>
      <w:r w:rsidR="00C643AE">
        <w:rPr>
          <w:rFonts w:ascii="Arial" w:hAnsi="Arial" w:cs="Arial"/>
        </w:rPr>
        <w:t>,</w:t>
      </w:r>
      <w:r w:rsidR="005275B9">
        <w:rPr>
          <w:rFonts w:ascii="Arial" w:hAnsi="Arial" w:cs="Arial"/>
        </w:rPr>
        <w:t xml:space="preserve"> </w:t>
      </w:r>
      <w:r w:rsidR="000A65C5">
        <w:rPr>
          <w:rFonts w:ascii="Arial" w:hAnsi="Arial" w:cs="Arial"/>
        </w:rPr>
        <w:t>and Group</w:t>
      </w:r>
      <w:r w:rsidR="008567E2">
        <w:rPr>
          <w:rFonts w:ascii="Arial" w:hAnsi="Arial" w:cs="Arial"/>
        </w:rPr>
        <w:t xml:space="preserve"> </w:t>
      </w:r>
      <w:r w:rsidR="005275B9">
        <w:rPr>
          <w:rFonts w:ascii="Arial" w:hAnsi="Arial" w:cs="Arial"/>
        </w:rPr>
        <w:t>S</w:t>
      </w:r>
      <w:r w:rsidR="008567E2">
        <w:rPr>
          <w:rFonts w:ascii="Arial" w:hAnsi="Arial" w:cs="Arial"/>
        </w:rPr>
        <w:t xml:space="preserve">trategic </w:t>
      </w:r>
      <w:r w:rsidR="005275B9">
        <w:rPr>
          <w:rFonts w:ascii="Arial" w:hAnsi="Arial" w:cs="Arial"/>
        </w:rPr>
        <w:t>S</w:t>
      </w:r>
      <w:r w:rsidR="008567E2">
        <w:rPr>
          <w:rFonts w:ascii="Arial" w:hAnsi="Arial" w:cs="Arial"/>
        </w:rPr>
        <w:t xml:space="preserve">upply </w:t>
      </w:r>
      <w:r w:rsidR="005275B9">
        <w:rPr>
          <w:rFonts w:ascii="Arial" w:hAnsi="Arial" w:cs="Arial"/>
        </w:rPr>
        <w:t>C</w:t>
      </w:r>
      <w:r w:rsidR="008567E2">
        <w:rPr>
          <w:rFonts w:ascii="Arial" w:hAnsi="Arial" w:cs="Arial"/>
        </w:rPr>
        <w:t xml:space="preserve">hain </w:t>
      </w:r>
      <w:r w:rsidR="005275B9">
        <w:rPr>
          <w:rFonts w:ascii="Arial" w:hAnsi="Arial" w:cs="Arial"/>
        </w:rPr>
        <w:t>M</w:t>
      </w:r>
      <w:r w:rsidR="008567E2">
        <w:rPr>
          <w:rFonts w:ascii="Arial" w:hAnsi="Arial" w:cs="Arial"/>
        </w:rPr>
        <w:t>anagement</w:t>
      </w:r>
      <w:r w:rsidR="005275B9">
        <w:rPr>
          <w:rFonts w:ascii="Arial" w:hAnsi="Arial" w:cs="Arial"/>
        </w:rPr>
        <w:t xml:space="preserve"> </w:t>
      </w:r>
      <w:r w:rsidR="005275B9">
        <w:rPr>
          <w:rFonts w:ascii="Arial" w:hAnsi="Arial" w:cs="Arial"/>
        </w:rPr>
        <w:lastRenderedPageBreak/>
        <w:t>(GSSCM)</w:t>
      </w:r>
      <w:r w:rsidR="004C7312">
        <w:rPr>
          <w:rFonts w:ascii="Arial" w:hAnsi="Arial" w:cs="Arial"/>
        </w:rPr>
        <w:t>)</w:t>
      </w:r>
      <w:r w:rsidR="000A65C5">
        <w:rPr>
          <w:rFonts w:ascii="Arial" w:hAnsi="Arial" w:cs="Arial"/>
        </w:rPr>
        <w:t>,</w:t>
      </w:r>
      <w:r w:rsidR="008567E2">
        <w:rPr>
          <w:rFonts w:ascii="Arial" w:hAnsi="Arial" w:cs="Arial"/>
        </w:rPr>
        <w:t xml:space="preserve"> took place on 5 May 2022, at which time it was noted that 3 bids had been received</w:t>
      </w:r>
      <w:r w:rsidR="005275B9">
        <w:rPr>
          <w:rFonts w:ascii="Arial" w:hAnsi="Arial" w:cs="Arial"/>
        </w:rPr>
        <w:t>,</w:t>
      </w:r>
      <w:r w:rsidR="008567E2">
        <w:rPr>
          <w:rFonts w:ascii="Arial" w:hAnsi="Arial" w:cs="Arial"/>
        </w:rPr>
        <w:t xml:space="preserve"> which </w:t>
      </w:r>
      <w:r w:rsidR="00D35045">
        <w:rPr>
          <w:rFonts w:ascii="Arial" w:hAnsi="Arial" w:cs="Arial"/>
        </w:rPr>
        <w:t>had been</w:t>
      </w:r>
      <w:r w:rsidR="008567E2">
        <w:rPr>
          <w:rFonts w:ascii="Arial" w:hAnsi="Arial" w:cs="Arial"/>
        </w:rPr>
        <w:t xml:space="preserve"> opened in public on 13 April 2022. </w:t>
      </w:r>
    </w:p>
    <w:p w14:paraId="289CC8DB" w14:textId="134ACAAD" w:rsidR="000E2C8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15.</w:t>
      </w:r>
      <w:r>
        <w:rPr>
          <w:rFonts w:ascii="Arial" w:hAnsi="Arial" w:cs="Arial"/>
        </w:rPr>
        <w:tab/>
      </w:r>
      <w:r w:rsidR="008567E2">
        <w:rPr>
          <w:rFonts w:ascii="Arial" w:hAnsi="Arial" w:cs="Arial"/>
        </w:rPr>
        <w:t xml:space="preserve">The BEC </w:t>
      </w:r>
      <w:r w:rsidR="005275B9">
        <w:rPr>
          <w:rFonts w:ascii="Arial" w:hAnsi="Arial" w:cs="Arial"/>
        </w:rPr>
        <w:t xml:space="preserve">then </w:t>
      </w:r>
      <w:r w:rsidR="008567E2">
        <w:rPr>
          <w:rFonts w:ascii="Arial" w:hAnsi="Arial" w:cs="Arial"/>
        </w:rPr>
        <w:t xml:space="preserve">dealt with </w:t>
      </w:r>
      <w:r w:rsidR="000A65C5">
        <w:rPr>
          <w:rFonts w:ascii="Arial" w:hAnsi="Arial" w:cs="Arial"/>
        </w:rPr>
        <w:t>several</w:t>
      </w:r>
      <w:r w:rsidR="008567E2">
        <w:rPr>
          <w:rFonts w:ascii="Arial" w:hAnsi="Arial" w:cs="Arial"/>
        </w:rPr>
        <w:t xml:space="preserve"> preliminary issues before adjourn</w:t>
      </w:r>
      <w:r w:rsidR="005275B9">
        <w:rPr>
          <w:rFonts w:ascii="Arial" w:hAnsi="Arial" w:cs="Arial"/>
        </w:rPr>
        <w:t>ing</w:t>
      </w:r>
      <w:r w:rsidR="008567E2">
        <w:rPr>
          <w:rFonts w:ascii="Arial" w:hAnsi="Arial" w:cs="Arial"/>
        </w:rPr>
        <w:t xml:space="preserve"> to the following day, at which time </w:t>
      </w:r>
      <w:r w:rsidR="005275B9">
        <w:rPr>
          <w:rFonts w:ascii="Arial" w:hAnsi="Arial" w:cs="Arial"/>
        </w:rPr>
        <w:t xml:space="preserve">it </w:t>
      </w:r>
      <w:r w:rsidR="008567E2">
        <w:rPr>
          <w:rFonts w:ascii="Arial" w:hAnsi="Arial" w:cs="Arial"/>
        </w:rPr>
        <w:t>proceeded to go through the bids to determine whether they were responsive i.e. whether they complied with the qualifying criteria which had been stipulated. During this process</w:t>
      </w:r>
      <w:r w:rsidR="000A65C5">
        <w:rPr>
          <w:rFonts w:ascii="Arial" w:hAnsi="Arial" w:cs="Arial"/>
        </w:rPr>
        <w:t xml:space="preserve"> it found </w:t>
      </w:r>
      <w:r w:rsidR="008567E2">
        <w:rPr>
          <w:rFonts w:ascii="Arial" w:hAnsi="Arial" w:cs="Arial"/>
        </w:rPr>
        <w:t xml:space="preserve">that only Syntell’s bid was properly </w:t>
      </w:r>
      <w:r w:rsidR="00400CAE">
        <w:rPr>
          <w:rFonts w:ascii="Arial" w:hAnsi="Arial" w:cs="Arial"/>
        </w:rPr>
        <w:t>compliant,</w:t>
      </w:r>
      <w:r w:rsidR="000A65C5">
        <w:rPr>
          <w:rFonts w:ascii="Arial" w:hAnsi="Arial" w:cs="Arial"/>
        </w:rPr>
        <w:t xml:space="preserve"> and </w:t>
      </w:r>
      <w:r w:rsidR="008567E2">
        <w:rPr>
          <w:rFonts w:ascii="Arial" w:hAnsi="Arial" w:cs="Arial"/>
        </w:rPr>
        <w:t xml:space="preserve">the bids of the </w:t>
      </w:r>
      <w:r w:rsidR="000A65C5">
        <w:rPr>
          <w:rFonts w:ascii="Arial" w:hAnsi="Arial" w:cs="Arial"/>
        </w:rPr>
        <w:t>remaining</w:t>
      </w:r>
      <w:r w:rsidR="008567E2">
        <w:rPr>
          <w:rFonts w:ascii="Arial" w:hAnsi="Arial" w:cs="Arial"/>
        </w:rPr>
        <w:t xml:space="preserve"> bidders were not</w:t>
      </w:r>
      <w:r w:rsidR="000A65C5">
        <w:rPr>
          <w:rFonts w:ascii="Arial" w:hAnsi="Arial" w:cs="Arial"/>
        </w:rPr>
        <w:t xml:space="preserve">, as they </w:t>
      </w:r>
      <w:r w:rsidR="008567E2">
        <w:rPr>
          <w:rFonts w:ascii="Arial" w:hAnsi="Arial" w:cs="Arial"/>
        </w:rPr>
        <w:t>had</w:t>
      </w:r>
      <w:r w:rsidR="000A65C5">
        <w:rPr>
          <w:rFonts w:ascii="Arial" w:hAnsi="Arial" w:cs="Arial"/>
        </w:rPr>
        <w:t xml:space="preserve"> </w:t>
      </w:r>
      <w:r w:rsidR="008567E2">
        <w:rPr>
          <w:rFonts w:ascii="Arial" w:hAnsi="Arial" w:cs="Arial"/>
        </w:rPr>
        <w:t>supplied copies of ICAS</w:t>
      </w:r>
      <w:r w:rsidR="000A65C5">
        <w:rPr>
          <w:rFonts w:ascii="Arial" w:hAnsi="Arial" w:cs="Arial"/>
        </w:rPr>
        <w:t>A</w:t>
      </w:r>
      <w:r w:rsidR="008567E2">
        <w:rPr>
          <w:rFonts w:ascii="Arial" w:hAnsi="Arial" w:cs="Arial"/>
        </w:rPr>
        <w:t xml:space="preserve"> license certificates for their equipment</w:t>
      </w:r>
      <w:r w:rsidR="000A65C5">
        <w:rPr>
          <w:rFonts w:ascii="Arial" w:hAnsi="Arial" w:cs="Arial"/>
        </w:rPr>
        <w:t xml:space="preserve"> which </w:t>
      </w:r>
      <w:r w:rsidR="00D35045">
        <w:rPr>
          <w:rFonts w:ascii="Arial" w:hAnsi="Arial" w:cs="Arial"/>
        </w:rPr>
        <w:t xml:space="preserve">were not </w:t>
      </w:r>
      <w:r w:rsidR="008567E2">
        <w:rPr>
          <w:rFonts w:ascii="Arial" w:hAnsi="Arial" w:cs="Arial"/>
        </w:rPr>
        <w:t xml:space="preserve">certified. As a result, they were </w:t>
      </w:r>
      <w:r w:rsidR="006A50B6">
        <w:rPr>
          <w:rFonts w:ascii="Arial" w:hAnsi="Arial" w:cs="Arial"/>
        </w:rPr>
        <w:t>treated as</w:t>
      </w:r>
      <w:r w:rsidR="008567E2">
        <w:rPr>
          <w:rFonts w:ascii="Arial" w:hAnsi="Arial" w:cs="Arial"/>
        </w:rPr>
        <w:t xml:space="preserve"> non-responsive and were disqualified.</w:t>
      </w:r>
    </w:p>
    <w:p w14:paraId="0A6F718B" w14:textId="637ED1FD" w:rsidR="00C52DE2" w:rsidRPr="00A72B12" w:rsidRDefault="00A23655" w:rsidP="00A23655">
      <w:pPr>
        <w:adjustRightInd w:val="0"/>
        <w:spacing w:after="0" w:line="360" w:lineRule="auto"/>
        <w:ind w:left="720" w:hanging="720"/>
        <w:contextualSpacing/>
        <w:jc w:val="both"/>
        <w:textAlignment w:val="baseline"/>
        <w:rPr>
          <w:rFonts w:ascii="Arial" w:hAnsi="Arial" w:cs="Arial"/>
        </w:rPr>
      </w:pPr>
      <w:r w:rsidRPr="00A72B12">
        <w:rPr>
          <w:rFonts w:ascii="Arial" w:hAnsi="Arial" w:cs="Arial"/>
        </w:rPr>
        <w:t>16.</w:t>
      </w:r>
      <w:r w:rsidRPr="00A72B12">
        <w:rPr>
          <w:rFonts w:ascii="Arial" w:hAnsi="Arial" w:cs="Arial"/>
        </w:rPr>
        <w:tab/>
      </w:r>
      <w:r w:rsidR="008567E2" w:rsidRPr="00A72B12">
        <w:rPr>
          <w:rFonts w:ascii="Arial" w:hAnsi="Arial" w:cs="Arial"/>
        </w:rPr>
        <w:t xml:space="preserve">The BEC thereafter met on a further 5 occasions between 9 May and 23 June 2022 </w:t>
      </w:r>
      <w:r w:rsidR="000A65C5" w:rsidRPr="00A72B12">
        <w:rPr>
          <w:rFonts w:ascii="Arial" w:hAnsi="Arial" w:cs="Arial"/>
        </w:rPr>
        <w:t>to</w:t>
      </w:r>
      <w:r w:rsidR="008567E2" w:rsidRPr="00A72B12">
        <w:rPr>
          <w:rFonts w:ascii="Arial" w:hAnsi="Arial" w:cs="Arial"/>
        </w:rPr>
        <w:t xml:space="preserve"> consider various aspects </w:t>
      </w:r>
      <w:r w:rsidR="00C71420" w:rsidRPr="00A72B12">
        <w:rPr>
          <w:rFonts w:ascii="Arial" w:hAnsi="Arial" w:cs="Arial"/>
        </w:rPr>
        <w:t xml:space="preserve">and after attending a ‘live simulated’ demonstration of </w:t>
      </w:r>
      <w:r w:rsidR="000A65C5" w:rsidRPr="00A72B12">
        <w:rPr>
          <w:rFonts w:ascii="Arial" w:hAnsi="Arial" w:cs="Arial"/>
        </w:rPr>
        <w:t>Syntell’s</w:t>
      </w:r>
      <w:r w:rsidR="00C71420" w:rsidRPr="00A72B12">
        <w:rPr>
          <w:rFonts w:ascii="Arial" w:hAnsi="Arial" w:cs="Arial"/>
        </w:rPr>
        <w:t xml:space="preserve"> system</w:t>
      </w:r>
      <w:r w:rsidR="000A65C5" w:rsidRPr="00A72B12">
        <w:rPr>
          <w:rFonts w:ascii="Arial" w:hAnsi="Arial" w:cs="Arial"/>
        </w:rPr>
        <w:t xml:space="preserve">s it </w:t>
      </w:r>
      <w:r w:rsidR="00C71420" w:rsidRPr="00A72B12">
        <w:rPr>
          <w:rFonts w:ascii="Arial" w:hAnsi="Arial" w:cs="Arial"/>
        </w:rPr>
        <w:t xml:space="preserve">concluded that the </w:t>
      </w:r>
      <w:r w:rsidR="000A65C5" w:rsidRPr="00A72B12">
        <w:rPr>
          <w:rFonts w:ascii="Arial" w:hAnsi="Arial" w:cs="Arial"/>
        </w:rPr>
        <w:t>tender</w:t>
      </w:r>
      <w:r w:rsidR="00C71420" w:rsidRPr="00A72B12">
        <w:rPr>
          <w:rFonts w:ascii="Arial" w:hAnsi="Arial" w:cs="Arial"/>
        </w:rPr>
        <w:t xml:space="preserve"> should be awarded to </w:t>
      </w:r>
      <w:r w:rsidR="000A65C5" w:rsidRPr="00A72B12">
        <w:rPr>
          <w:rFonts w:ascii="Arial" w:hAnsi="Arial" w:cs="Arial"/>
        </w:rPr>
        <w:t>it</w:t>
      </w:r>
      <w:r w:rsidR="008567E2" w:rsidRPr="00A72B12">
        <w:rPr>
          <w:rFonts w:ascii="Arial" w:hAnsi="Arial" w:cs="Arial"/>
        </w:rPr>
        <w:t xml:space="preserve">. At the instance of the </w:t>
      </w:r>
      <w:r w:rsidR="000A65C5" w:rsidRPr="00A72B12">
        <w:rPr>
          <w:rFonts w:ascii="Arial" w:hAnsi="Arial" w:cs="Arial"/>
        </w:rPr>
        <w:t>H</w:t>
      </w:r>
      <w:r w:rsidR="008567E2" w:rsidRPr="00A72B12">
        <w:rPr>
          <w:rFonts w:ascii="Arial" w:hAnsi="Arial" w:cs="Arial"/>
        </w:rPr>
        <w:t xml:space="preserve">ead: </w:t>
      </w:r>
      <w:r w:rsidR="000A65C5" w:rsidRPr="00A72B12">
        <w:rPr>
          <w:rFonts w:ascii="Arial" w:hAnsi="Arial" w:cs="Arial"/>
        </w:rPr>
        <w:t>G</w:t>
      </w:r>
      <w:r w:rsidR="008567E2" w:rsidRPr="00A72B12">
        <w:rPr>
          <w:rFonts w:ascii="Arial" w:hAnsi="Arial" w:cs="Arial"/>
        </w:rPr>
        <w:t xml:space="preserve">roup </w:t>
      </w:r>
      <w:r w:rsidR="000A65C5" w:rsidRPr="00A72B12">
        <w:rPr>
          <w:rFonts w:ascii="Arial" w:hAnsi="Arial" w:cs="Arial"/>
        </w:rPr>
        <w:t>I</w:t>
      </w:r>
      <w:r w:rsidR="008567E2" w:rsidRPr="00A72B12">
        <w:rPr>
          <w:rFonts w:ascii="Arial" w:hAnsi="Arial" w:cs="Arial"/>
        </w:rPr>
        <w:t xml:space="preserve">nternal </w:t>
      </w:r>
      <w:r w:rsidR="000A65C5" w:rsidRPr="00A72B12">
        <w:rPr>
          <w:rFonts w:ascii="Arial" w:hAnsi="Arial" w:cs="Arial"/>
        </w:rPr>
        <w:t>A</w:t>
      </w:r>
      <w:r w:rsidR="008567E2" w:rsidRPr="00A72B12">
        <w:rPr>
          <w:rFonts w:ascii="Arial" w:hAnsi="Arial" w:cs="Arial"/>
        </w:rPr>
        <w:t xml:space="preserve">udit </w:t>
      </w:r>
      <w:r w:rsidR="000A65C5" w:rsidRPr="00A72B12">
        <w:rPr>
          <w:rFonts w:ascii="Arial" w:hAnsi="Arial" w:cs="Arial"/>
        </w:rPr>
        <w:t>S</w:t>
      </w:r>
      <w:r w:rsidR="008567E2" w:rsidRPr="00A72B12">
        <w:rPr>
          <w:rFonts w:ascii="Arial" w:hAnsi="Arial" w:cs="Arial"/>
        </w:rPr>
        <w:t>ervices an independent firm of attorneys</w:t>
      </w:r>
      <w:r w:rsidR="000A65C5" w:rsidRPr="00A72B12">
        <w:rPr>
          <w:rFonts w:ascii="Arial" w:hAnsi="Arial" w:cs="Arial"/>
        </w:rPr>
        <w:t>,</w:t>
      </w:r>
      <w:r w:rsidR="008567E2" w:rsidRPr="00A72B12">
        <w:rPr>
          <w:rFonts w:ascii="Arial" w:hAnsi="Arial" w:cs="Arial"/>
        </w:rPr>
        <w:t xml:space="preserve"> Prince M</w:t>
      </w:r>
      <w:r w:rsidR="000A65C5" w:rsidRPr="00A72B12">
        <w:rPr>
          <w:rFonts w:ascii="Arial" w:hAnsi="Arial" w:cs="Arial"/>
        </w:rPr>
        <w:t>udau</w:t>
      </w:r>
      <w:r w:rsidR="008567E2" w:rsidRPr="00A72B12">
        <w:rPr>
          <w:rFonts w:ascii="Arial" w:hAnsi="Arial" w:cs="Arial"/>
        </w:rPr>
        <w:t xml:space="preserve"> </w:t>
      </w:r>
      <w:r w:rsidR="000A65C5" w:rsidRPr="00A72B12">
        <w:rPr>
          <w:rFonts w:ascii="Arial" w:hAnsi="Arial" w:cs="Arial"/>
        </w:rPr>
        <w:t>&amp;</w:t>
      </w:r>
      <w:r w:rsidR="008567E2" w:rsidRPr="00A72B12">
        <w:rPr>
          <w:rFonts w:ascii="Arial" w:hAnsi="Arial" w:cs="Arial"/>
        </w:rPr>
        <w:t xml:space="preserve"> </w:t>
      </w:r>
      <w:r w:rsidR="000A65C5" w:rsidRPr="00A72B12">
        <w:rPr>
          <w:rFonts w:ascii="Arial" w:hAnsi="Arial" w:cs="Arial"/>
        </w:rPr>
        <w:t>A</w:t>
      </w:r>
      <w:r w:rsidR="008567E2" w:rsidRPr="00A72B12">
        <w:rPr>
          <w:rFonts w:ascii="Arial" w:hAnsi="Arial" w:cs="Arial"/>
        </w:rPr>
        <w:t>ssociates</w:t>
      </w:r>
      <w:r w:rsidR="000A65C5" w:rsidRPr="00A72B12">
        <w:rPr>
          <w:rFonts w:ascii="Arial" w:hAnsi="Arial" w:cs="Arial"/>
        </w:rPr>
        <w:t>,</w:t>
      </w:r>
      <w:r w:rsidR="008567E2" w:rsidRPr="00A72B12">
        <w:rPr>
          <w:rFonts w:ascii="Arial" w:hAnsi="Arial" w:cs="Arial"/>
        </w:rPr>
        <w:t xml:space="preserve"> w</w:t>
      </w:r>
      <w:r w:rsidR="00C643AE" w:rsidRPr="00A72B12">
        <w:rPr>
          <w:rFonts w:ascii="Arial" w:hAnsi="Arial" w:cs="Arial"/>
        </w:rPr>
        <w:t>as</w:t>
      </w:r>
      <w:r w:rsidR="008567E2" w:rsidRPr="00A72B12">
        <w:rPr>
          <w:rFonts w:ascii="Arial" w:hAnsi="Arial" w:cs="Arial"/>
        </w:rPr>
        <w:t xml:space="preserve"> commissioned to conduct a probity assessment into whether the</w:t>
      </w:r>
      <w:r w:rsidR="000A65C5" w:rsidRPr="00A72B12">
        <w:rPr>
          <w:rFonts w:ascii="Arial" w:hAnsi="Arial" w:cs="Arial"/>
        </w:rPr>
        <w:t>re</w:t>
      </w:r>
      <w:r w:rsidR="008567E2" w:rsidRPr="00A72B12">
        <w:rPr>
          <w:rFonts w:ascii="Arial" w:hAnsi="Arial" w:cs="Arial"/>
        </w:rPr>
        <w:t xml:space="preserve"> had been compliance by the BEC with the </w:t>
      </w:r>
      <w:r w:rsidR="000A65C5" w:rsidRPr="00A72B12">
        <w:rPr>
          <w:rFonts w:ascii="Arial" w:hAnsi="Arial" w:cs="Arial"/>
        </w:rPr>
        <w:t xml:space="preserve">requisite </w:t>
      </w:r>
      <w:r w:rsidR="008567E2" w:rsidRPr="00A72B12">
        <w:rPr>
          <w:rFonts w:ascii="Arial" w:hAnsi="Arial" w:cs="Arial"/>
        </w:rPr>
        <w:t>legal prescripts during the evaluation process</w:t>
      </w:r>
      <w:r w:rsidR="00400CAE" w:rsidRPr="00A72B12">
        <w:rPr>
          <w:rFonts w:ascii="Arial" w:hAnsi="Arial" w:cs="Arial"/>
        </w:rPr>
        <w:t>,</w:t>
      </w:r>
      <w:r w:rsidR="008567E2" w:rsidRPr="00A72B12">
        <w:rPr>
          <w:rFonts w:ascii="Arial" w:hAnsi="Arial" w:cs="Arial"/>
        </w:rPr>
        <w:t xml:space="preserve"> and whether the </w:t>
      </w:r>
      <w:r w:rsidR="00C71420" w:rsidRPr="00A72B12">
        <w:rPr>
          <w:rFonts w:ascii="Arial" w:hAnsi="Arial" w:cs="Arial"/>
        </w:rPr>
        <w:t xml:space="preserve">preferred bidder had been correctly selected. </w:t>
      </w:r>
      <w:r w:rsidR="00A72B12">
        <w:rPr>
          <w:rFonts w:ascii="Arial" w:hAnsi="Arial" w:cs="Arial"/>
        </w:rPr>
        <w:t>As part of</w:t>
      </w:r>
      <w:r w:rsidR="00C71420" w:rsidRPr="00A72B12">
        <w:rPr>
          <w:rFonts w:ascii="Arial" w:hAnsi="Arial" w:cs="Arial"/>
        </w:rPr>
        <w:t xml:space="preserve"> </w:t>
      </w:r>
      <w:r w:rsidR="00C52DE2" w:rsidRPr="00A72B12">
        <w:rPr>
          <w:rFonts w:ascii="Arial" w:hAnsi="Arial" w:cs="Arial"/>
        </w:rPr>
        <w:t>their</w:t>
      </w:r>
      <w:r w:rsidR="00C71420" w:rsidRPr="00A72B12">
        <w:rPr>
          <w:rFonts w:ascii="Arial" w:hAnsi="Arial" w:cs="Arial"/>
        </w:rPr>
        <w:t xml:space="preserve"> </w:t>
      </w:r>
      <w:r w:rsidR="00C52DE2" w:rsidRPr="00A72B12">
        <w:rPr>
          <w:rFonts w:ascii="Arial" w:hAnsi="Arial" w:cs="Arial"/>
        </w:rPr>
        <w:t>assessment</w:t>
      </w:r>
      <w:r w:rsidR="00C71420" w:rsidRPr="00A72B12">
        <w:rPr>
          <w:rFonts w:ascii="Arial" w:hAnsi="Arial" w:cs="Arial"/>
        </w:rPr>
        <w:t xml:space="preserve"> </w:t>
      </w:r>
      <w:r w:rsidR="00C52DE2" w:rsidRPr="00A72B12">
        <w:rPr>
          <w:rFonts w:ascii="Arial" w:hAnsi="Arial" w:cs="Arial"/>
        </w:rPr>
        <w:t>the</w:t>
      </w:r>
      <w:r w:rsidR="00D41D41" w:rsidRPr="00A72B12">
        <w:rPr>
          <w:rFonts w:ascii="Arial" w:hAnsi="Arial" w:cs="Arial"/>
        </w:rPr>
        <w:t xml:space="preserve"> attorneys</w:t>
      </w:r>
      <w:r w:rsidR="00C71420" w:rsidRPr="00A72B12">
        <w:rPr>
          <w:rFonts w:ascii="Arial" w:hAnsi="Arial" w:cs="Arial"/>
        </w:rPr>
        <w:t xml:space="preserve"> reviewed the tender and bid documents. </w:t>
      </w:r>
      <w:r w:rsidR="00C52DE2" w:rsidRPr="00A72B12">
        <w:rPr>
          <w:rFonts w:ascii="Arial" w:hAnsi="Arial" w:cs="Arial"/>
        </w:rPr>
        <w:t>After</w:t>
      </w:r>
      <w:r w:rsidR="00C71420" w:rsidRPr="00A72B12">
        <w:rPr>
          <w:rFonts w:ascii="Arial" w:hAnsi="Arial" w:cs="Arial"/>
        </w:rPr>
        <w:t xml:space="preserve"> doing so </w:t>
      </w:r>
      <w:r w:rsidR="00C52DE2" w:rsidRPr="00A72B12">
        <w:rPr>
          <w:rFonts w:ascii="Arial" w:hAnsi="Arial" w:cs="Arial"/>
        </w:rPr>
        <w:t>they were</w:t>
      </w:r>
      <w:r w:rsidR="00C71420" w:rsidRPr="00A72B12">
        <w:rPr>
          <w:rFonts w:ascii="Arial" w:hAnsi="Arial" w:cs="Arial"/>
        </w:rPr>
        <w:t xml:space="preserve"> satisfied that </w:t>
      </w:r>
      <w:r w:rsidR="00D41D41" w:rsidRPr="00A72B12">
        <w:rPr>
          <w:rFonts w:ascii="Arial" w:hAnsi="Arial" w:cs="Arial"/>
        </w:rPr>
        <w:t>two</w:t>
      </w:r>
      <w:r w:rsidR="00C71420" w:rsidRPr="00A72B12">
        <w:rPr>
          <w:rFonts w:ascii="Arial" w:hAnsi="Arial" w:cs="Arial"/>
        </w:rPr>
        <w:t xml:space="preserve"> of the bids had been correctly disqualified as non-responsive</w:t>
      </w:r>
      <w:r w:rsidR="00D41D41" w:rsidRPr="00A72B12">
        <w:rPr>
          <w:rFonts w:ascii="Arial" w:hAnsi="Arial" w:cs="Arial"/>
        </w:rPr>
        <w:t>,</w:t>
      </w:r>
      <w:r w:rsidR="00C71420" w:rsidRPr="00A72B12">
        <w:rPr>
          <w:rFonts w:ascii="Arial" w:hAnsi="Arial" w:cs="Arial"/>
        </w:rPr>
        <w:t xml:space="preserve"> for </w:t>
      </w:r>
      <w:r w:rsidR="00C52DE2" w:rsidRPr="00A72B12">
        <w:rPr>
          <w:rFonts w:ascii="Arial" w:hAnsi="Arial" w:cs="Arial"/>
        </w:rPr>
        <w:t xml:space="preserve">their </w:t>
      </w:r>
      <w:r w:rsidR="00C71420" w:rsidRPr="00A72B12">
        <w:rPr>
          <w:rFonts w:ascii="Arial" w:hAnsi="Arial" w:cs="Arial"/>
        </w:rPr>
        <w:t>failure to fi</w:t>
      </w:r>
      <w:r w:rsidR="00C52DE2" w:rsidRPr="00A72B12">
        <w:rPr>
          <w:rFonts w:ascii="Arial" w:hAnsi="Arial" w:cs="Arial"/>
        </w:rPr>
        <w:t>le</w:t>
      </w:r>
      <w:r w:rsidR="00C71420" w:rsidRPr="00A72B12">
        <w:rPr>
          <w:rFonts w:ascii="Arial" w:hAnsi="Arial" w:cs="Arial"/>
        </w:rPr>
        <w:t xml:space="preserve"> certified copies of the </w:t>
      </w:r>
      <w:r w:rsidR="00C52DE2" w:rsidRPr="00A72B12">
        <w:rPr>
          <w:rFonts w:ascii="Arial" w:hAnsi="Arial" w:cs="Arial"/>
        </w:rPr>
        <w:t>required</w:t>
      </w:r>
      <w:r w:rsidR="00C71420" w:rsidRPr="00A72B12">
        <w:rPr>
          <w:rFonts w:ascii="Arial" w:hAnsi="Arial" w:cs="Arial"/>
        </w:rPr>
        <w:t xml:space="preserve"> licence certificates. </w:t>
      </w:r>
    </w:p>
    <w:p w14:paraId="6C8FB7D6" w14:textId="233C831E" w:rsidR="008567E2"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17.</w:t>
      </w:r>
      <w:r>
        <w:rPr>
          <w:rFonts w:ascii="Arial" w:hAnsi="Arial" w:cs="Arial"/>
        </w:rPr>
        <w:tab/>
      </w:r>
      <w:r w:rsidR="00C52DE2">
        <w:rPr>
          <w:rFonts w:ascii="Arial" w:hAnsi="Arial" w:cs="Arial"/>
        </w:rPr>
        <w:t xml:space="preserve">After </w:t>
      </w:r>
      <w:r w:rsidR="00C71420">
        <w:rPr>
          <w:rFonts w:ascii="Arial" w:hAnsi="Arial" w:cs="Arial"/>
        </w:rPr>
        <w:t>review</w:t>
      </w:r>
      <w:r w:rsidR="00C52DE2">
        <w:rPr>
          <w:rFonts w:ascii="Arial" w:hAnsi="Arial" w:cs="Arial"/>
        </w:rPr>
        <w:t>ing</w:t>
      </w:r>
      <w:r w:rsidR="00C71420">
        <w:rPr>
          <w:rFonts w:ascii="Arial" w:hAnsi="Arial" w:cs="Arial"/>
        </w:rPr>
        <w:t xml:space="preserve"> the process that had been </w:t>
      </w:r>
      <w:r w:rsidR="00C52DE2">
        <w:rPr>
          <w:rFonts w:ascii="Arial" w:hAnsi="Arial" w:cs="Arial"/>
        </w:rPr>
        <w:t>followed</w:t>
      </w:r>
      <w:r w:rsidR="00C71420">
        <w:rPr>
          <w:rFonts w:ascii="Arial" w:hAnsi="Arial" w:cs="Arial"/>
        </w:rPr>
        <w:t xml:space="preserve"> </w:t>
      </w:r>
      <w:r w:rsidR="00D0226C">
        <w:rPr>
          <w:rFonts w:ascii="Arial" w:hAnsi="Arial" w:cs="Arial"/>
        </w:rPr>
        <w:t>in</w:t>
      </w:r>
      <w:r w:rsidR="00C71420">
        <w:rPr>
          <w:rFonts w:ascii="Arial" w:hAnsi="Arial" w:cs="Arial"/>
        </w:rPr>
        <w:t xml:space="preserve"> evaluatin</w:t>
      </w:r>
      <w:r w:rsidR="00C52DE2">
        <w:rPr>
          <w:rFonts w:ascii="Arial" w:hAnsi="Arial" w:cs="Arial"/>
        </w:rPr>
        <w:t>g</w:t>
      </w:r>
      <w:r w:rsidR="00C71420">
        <w:rPr>
          <w:rFonts w:ascii="Arial" w:hAnsi="Arial" w:cs="Arial"/>
        </w:rPr>
        <w:t xml:space="preserve"> the remaining bidder</w:t>
      </w:r>
      <w:r w:rsidR="00C52DE2">
        <w:rPr>
          <w:rFonts w:ascii="Arial" w:hAnsi="Arial" w:cs="Arial"/>
        </w:rPr>
        <w:t>’</w:t>
      </w:r>
      <w:r w:rsidR="00C71420">
        <w:rPr>
          <w:rFonts w:ascii="Arial" w:hAnsi="Arial" w:cs="Arial"/>
        </w:rPr>
        <w:t xml:space="preserve">s </w:t>
      </w:r>
      <w:r w:rsidR="00B42BF0">
        <w:rPr>
          <w:rFonts w:ascii="Arial" w:hAnsi="Arial" w:cs="Arial"/>
        </w:rPr>
        <w:t>submission,</w:t>
      </w:r>
      <w:r w:rsidR="00C71420">
        <w:rPr>
          <w:rFonts w:ascii="Arial" w:hAnsi="Arial" w:cs="Arial"/>
        </w:rPr>
        <w:t xml:space="preserve"> </w:t>
      </w:r>
      <w:r w:rsidR="00C52DE2">
        <w:rPr>
          <w:rFonts w:ascii="Arial" w:hAnsi="Arial" w:cs="Arial"/>
        </w:rPr>
        <w:t>the</w:t>
      </w:r>
      <w:r w:rsidR="00A72B12">
        <w:rPr>
          <w:rFonts w:ascii="Arial" w:hAnsi="Arial" w:cs="Arial"/>
        </w:rPr>
        <w:t>y</w:t>
      </w:r>
      <w:r w:rsidR="00C52DE2">
        <w:rPr>
          <w:rFonts w:ascii="Arial" w:hAnsi="Arial" w:cs="Arial"/>
        </w:rPr>
        <w:t xml:space="preserve"> </w:t>
      </w:r>
      <w:r w:rsidR="00C71420">
        <w:rPr>
          <w:rFonts w:ascii="Arial" w:hAnsi="Arial" w:cs="Arial"/>
        </w:rPr>
        <w:t>concluded that it had been correctly and fairly scored by the BEC</w:t>
      </w:r>
      <w:r w:rsidR="00C52DE2">
        <w:rPr>
          <w:rFonts w:ascii="Arial" w:hAnsi="Arial" w:cs="Arial"/>
        </w:rPr>
        <w:t xml:space="preserve">, and </w:t>
      </w:r>
      <w:r w:rsidR="00C71420">
        <w:rPr>
          <w:rFonts w:ascii="Arial" w:hAnsi="Arial" w:cs="Arial"/>
        </w:rPr>
        <w:t>accordingly advised that</w:t>
      </w:r>
      <w:r w:rsidR="00A72B12">
        <w:rPr>
          <w:rFonts w:ascii="Arial" w:hAnsi="Arial" w:cs="Arial"/>
        </w:rPr>
        <w:t xml:space="preserve"> </w:t>
      </w:r>
      <w:r w:rsidR="00E90A30">
        <w:rPr>
          <w:rFonts w:ascii="Arial" w:hAnsi="Arial" w:cs="Arial"/>
        </w:rPr>
        <w:t xml:space="preserve">it </w:t>
      </w:r>
      <w:r w:rsidR="00C71420">
        <w:rPr>
          <w:rFonts w:ascii="Arial" w:hAnsi="Arial" w:cs="Arial"/>
        </w:rPr>
        <w:t xml:space="preserve">should proceed with its recommendation that the tender be awarded to </w:t>
      </w:r>
      <w:r w:rsidR="009659CD">
        <w:rPr>
          <w:rFonts w:ascii="Arial" w:hAnsi="Arial" w:cs="Arial"/>
        </w:rPr>
        <w:t>Syntell</w:t>
      </w:r>
      <w:r w:rsidR="00C71420">
        <w:rPr>
          <w:rFonts w:ascii="Arial" w:hAnsi="Arial" w:cs="Arial"/>
        </w:rPr>
        <w:t>. The BEC met on 2 further occasions</w:t>
      </w:r>
      <w:r w:rsidR="00D0226C">
        <w:rPr>
          <w:rFonts w:ascii="Arial" w:hAnsi="Arial" w:cs="Arial"/>
        </w:rPr>
        <w:t xml:space="preserve"> thereafter</w:t>
      </w:r>
      <w:r w:rsidR="00C52DE2">
        <w:rPr>
          <w:rFonts w:ascii="Arial" w:hAnsi="Arial" w:cs="Arial"/>
        </w:rPr>
        <w:t>:</w:t>
      </w:r>
      <w:r w:rsidR="00C71420">
        <w:rPr>
          <w:rFonts w:ascii="Arial" w:hAnsi="Arial" w:cs="Arial"/>
        </w:rPr>
        <w:t xml:space="preserve"> on 7 November </w:t>
      </w:r>
      <w:r w:rsidR="00E3130B">
        <w:rPr>
          <w:rFonts w:ascii="Arial" w:hAnsi="Arial" w:cs="Arial"/>
        </w:rPr>
        <w:t>to consider the probity report a</w:t>
      </w:r>
      <w:r w:rsidR="00C71420">
        <w:rPr>
          <w:rFonts w:ascii="Arial" w:hAnsi="Arial" w:cs="Arial"/>
        </w:rPr>
        <w:t>nd again on 22 November 2022</w:t>
      </w:r>
      <w:r w:rsidR="00C52DE2">
        <w:rPr>
          <w:rFonts w:ascii="Arial" w:hAnsi="Arial" w:cs="Arial"/>
        </w:rPr>
        <w:t>,</w:t>
      </w:r>
      <w:r w:rsidR="00C71420">
        <w:rPr>
          <w:rFonts w:ascii="Arial" w:hAnsi="Arial" w:cs="Arial"/>
        </w:rPr>
        <w:t xml:space="preserve"> at which time it formally resolved to recommend that the tender be awarded to Syntell.</w:t>
      </w:r>
    </w:p>
    <w:p w14:paraId="68013DC5" w14:textId="37F73F19" w:rsidR="00C71420"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18.</w:t>
      </w:r>
      <w:r>
        <w:rPr>
          <w:rFonts w:ascii="Arial" w:hAnsi="Arial" w:cs="Arial"/>
        </w:rPr>
        <w:tab/>
      </w:r>
      <w:r w:rsidR="00C71420">
        <w:rPr>
          <w:rFonts w:ascii="Arial" w:hAnsi="Arial" w:cs="Arial"/>
        </w:rPr>
        <w:t xml:space="preserve">Pursuant to this </w:t>
      </w:r>
      <w:r w:rsidR="00C52DE2">
        <w:rPr>
          <w:rFonts w:ascii="Arial" w:hAnsi="Arial" w:cs="Arial"/>
        </w:rPr>
        <w:t>GCSCM</w:t>
      </w:r>
      <w:r w:rsidR="00C71420">
        <w:rPr>
          <w:rFonts w:ascii="Arial" w:hAnsi="Arial" w:cs="Arial"/>
        </w:rPr>
        <w:t xml:space="preserve"> gave notice that a meeting of the executive adjudication committee </w:t>
      </w:r>
      <w:r w:rsidR="00C52DE2">
        <w:rPr>
          <w:rFonts w:ascii="Arial" w:hAnsi="Arial" w:cs="Arial"/>
        </w:rPr>
        <w:t xml:space="preserve">(‘the EAC’) </w:t>
      </w:r>
      <w:r w:rsidR="00C71420">
        <w:rPr>
          <w:rFonts w:ascii="Arial" w:hAnsi="Arial" w:cs="Arial"/>
        </w:rPr>
        <w:t>w</w:t>
      </w:r>
      <w:r w:rsidR="00A72B12">
        <w:rPr>
          <w:rFonts w:ascii="Arial" w:hAnsi="Arial" w:cs="Arial"/>
        </w:rPr>
        <w:t>as to</w:t>
      </w:r>
      <w:r w:rsidR="00C71420">
        <w:rPr>
          <w:rFonts w:ascii="Arial" w:hAnsi="Arial" w:cs="Arial"/>
        </w:rPr>
        <w:t xml:space="preserve"> take place on 24 November 2022 for the purpose </w:t>
      </w:r>
      <w:r w:rsidR="00C71420">
        <w:rPr>
          <w:rFonts w:ascii="Arial" w:hAnsi="Arial" w:cs="Arial"/>
        </w:rPr>
        <w:lastRenderedPageBreak/>
        <w:t xml:space="preserve">of </w:t>
      </w:r>
      <w:r w:rsidR="00C52DE2">
        <w:rPr>
          <w:rFonts w:ascii="Arial" w:hAnsi="Arial" w:cs="Arial"/>
        </w:rPr>
        <w:t>the</w:t>
      </w:r>
      <w:r w:rsidR="00C71420">
        <w:rPr>
          <w:rFonts w:ascii="Arial" w:hAnsi="Arial" w:cs="Arial"/>
        </w:rPr>
        <w:t xml:space="preserve"> adjudication</w:t>
      </w:r>
      <w:r w:rsidR="00C52DE2">
        <w:rPr>
          <w:rFonts w:ascii="Arial" w:hAnsi="Arial" w:cs="Arial"/>
        </w:rPr>
        <w:t>, in</w:t>
      </w:r>
      <w:r w:rsidR="00C71420">
        <w:rPr>
          <w:rFonts w:ascii="Arial" w:hAnsi="Arial" w:cs="Arial"/>
        </w:rPr>
        <w:t xml:space="preserve"> </w:t>
      </w:r>
      <w:r w:rsidR="00C52DE2">
        <w:rPr>
          <w:rFonts w:ascii="Arial" w:hAnsi="Arial" w:cs="Arial"/>
        </w:rPr>
        <w:t xml:space="preserve">public, </w:t>
      </w:r>
      <w:r w:rsidR="00C71420">
        <w:rPr>
          <w:rFonts w:ascii="Arial" w:hAnsi="Arial" w:cs="Arial"/>
        </w:rPr>
        <w:t xml:space="preserve">of the award of the tender. </w:t>
      </w:r>
      <w:r w:rsidR="00C52DE2">
        <w:rPr>
          <w:rFonts w:ascii="Arial" w:hAnsi="Arial" w:cs="Arial"/>
        </w:rPr>
        <w:t>To this end</w:t>
      </w:r>
      <w:r w:rsidR="00C71420">
        <w:rPr>
          <w:rFonts w:ascii="Arial" w:hAnsi="Arial" w:cs="Arial"/>
        </w:rPr>
        <w:t xml:space="preserve"> the BEC provided a detailed report to the EAC in su</w:t>
      </w:r>
      <w:r w:rsidR="00012997">
        <w:rPr>
          <w:rFonts w:ascii="Arial" w:hAnsi="Arial" w:cs="Arial"/>
        </w:rPr>
        <w:t>pport</w:t>
      </w:r>
      <w:r w:rsidR="00C71420">
        <w:rPr>
          <w:rFonts w:ascii="Arial" w:hAnsi="Arial" w:cs="Arial"/>
        </w:rPr>
        <w:t xml:space="preserve"> of its recommendation that the bid </w:t>
      </w:r>
      <w:r w:rsidR="00C52DE2">
        <w:rPr>
          <w:rFonts w:ascii="Arial" w:hAnsi="Arial" w:cs="Arial"/>
        </w:rPr>
        <w:t xml:space="preserve">should be awarded to </w:t>
      </w:r>
      <w:r w:rsidR="00C71420">
        <w:rPr>
          <w:rFonts w:ascii="Arial" w:hAnsi="Arial" w:cs="Arial"/>
        </w:rPr>
        <w:t>Syntell for its bid price of R177</w:t>
      </w:r>
      <w:r w:rsidR="00C52DE2">
        <w:rPr>
          <w:rFonts w:ascii="Arial" w:hAnsi="Arial" w:cs="Arial"/>
        </w:rPr>
        <w:t>.1</w:t>
      </w:r>
      <w:r w:rsidR="00C71420">
        <w:rPr>
          <w:rFonts w:ascii="Arial" w:hAnsi="Arial" w:cs="Arial"/>
        </w:rPr>
        <w:t xml:space="preserve"> million odd. In </w:t>
      </w:r>
      <w:r w:rsidR="00012997">
        <w:rPr>
          <w:rFonts w:ascii="Arial" w:hAnsi="Arial" w:cs="Arial"/>
        </w:rPr>
        <w:t>the</w:t>
      </w:r>
      <w:r w:rsidR="00C71420">
        <w:rPr>
          <w:rFonts w:ascii="Arial" w:hAnsi="Arial" w:cs="Arial"/>
        </w:rPr>
        <w:t xml:space="preserve"> report it confirmed that the other bidders had been disqualified </w:t>
      </w:r>
      <w:r w:rsidR="00A72B12">
        <w:rPr>
          <w:rFonts w:ascii="Arial" w:hAnsi="Arial" w:cs="Arial"/>
        </w:rPr>
        <w:t>because</w:t>
      </w:r>
      <w:r w:rsidR="00C71420">
        <w:rPr>
          <w:rFonts w:ascii="Arial" w:hAnsi="Arial" w:cs="Arial"/>
        </w:rPr>
        <w:t xml:space="preserve"> they had not complied with the qualifying criteria</w:t>
      </w:r>
      <w:r w:rsidR="00C52DE2">
        <w:rPr>
          <w:rFonts w:ascii="Arial" w:hAnsi="Arial" w:cs="Arial"/>
        </w:rPr>
        <w:t>, as</w:t>
      </w:r>
      <w:r w:rsidR="00C71420">
        <w:rPr>
          <w:rFonts w:ascii="Arial" w:hAnsi="Arial" w:cs="Arial"/>
        </w:rPr>
        <w:t xml:space="preserve"> they had not supplied certified copies of </w:t>
      </w:r>
      <w:r w:rsidR="00C52DE2">
        <w:rPr>
          <w:rFonts w:ascii="Arial" w:hAnsi="Arial" w:cs="Arial"/>
        </w:rPr>
        <w:t xml:space="preserve">their </w:t>
      </w:r>
      <w:r w:rsidR="00C71420">
        <w:rPr>
          <w:rFonts w:ascii="Arial" w:hAnsi="Arial" w:cs="Arial"/>
        </w:rPr>
        <w:t>licence certificates.</w:t>
      </w:r>
    </w:p>
    <w:p w14:paraId="49EB2662" w14:textId="1354D189" w:rsidR="00C71420"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19.</w:t>
      </w:r>
      <w:r>
        <w:rPr>
          <w:rFonts w:ascii="Arial" w:hAnsi="Arial" w:cs="Arial"/>
        </w:rPr>
        <w:tab/>
      </w:r>
      <w:r w:rsidR="00C71420">
        <w:rPr>
          <w:rFonts w:ascii="Arial" w:hAnsi="Arial" w:cs="Arial"/>
        </w:rPr>
        <w:t xml:space="preserve">After considering the report which had been submitted to it the EAC </w:t>
      </w:r>
      <w:r w:rsidR="00012997">
        <w:rPr>
          <w:rFonts w:ascii="Arial" w:hAnsi="Arial" w:cs="Arial"/>
        </w:rPr>
        <w:t xml:space="preserve">duly </w:t>
      </w:r>
      <w:r w:rsidR="00C71420">
        <w:rPr>
          <w:rFonts w:ascii="Arial" w:hAnsi="Arial" w:cs="Arial"/>
        </w:rPr>
        <w:t>resolved</w:t>
      </w:r>
      <w:r w:rsidR="00C52DE2">
        <w:rPr>
          <w:rFonts w:ascii="Arial" w:hAnsi="Arial" w:cs="Arial"/>
        </w:rPr>
        <w:t>,</w:t>
      </w:r>
      <w:r w:rsidR="00C71420">
        <w:rPr>
          <w:rFonts w:ascii="Arial" w:hAnsi="Arial" w:cs="Arial"/>
        </w:rPr>
        <w:t xml:space="preserve"> on 2 December 2022</w:t>
      </w:r>
      <w:r w:rsidR="00C52DE2">
        <w:rPr>
          <w:rFonts w:ascii="Arial" w:hAnsi="Arial" w:cs="Arial"/>
        </w:rPr>
        <w:t>,</w:t>
      </w:r>
      <w:r w:rsidR="00C71420">
        <w:rPr>
          <w:rFonts w:ascii="Arial" w:hAnsi="Arial" w:cs="Arial"/>
        </w:rPr>
        <w:t xml:space="preserve"> to recommend that the tender </w:t>
      </w:r>
      <w:r w:rsidR="006B2F74">
        <w:rPr>
          <w:rFonts w:ascii="Arial" w:hAnsi="Arial" w:cs="Arial"/>
        </w:rPr>
        <w:t xml:space="preserve">should </w:t>
      </w:r>
      <w:r w:rsidR="00C71420">
        <w:rPr>
          <w:rFonts w:ascii="Arial" w:hAnsi="Arial" w:cs="Arial"/>
        </w:rPr>
        <w:t xml:space="preserve">be awarded </w:t>
      </w:r>
      <w:r w:rsidR="00012997">
        <w:rPr>
          <w:rFonts w:ascii="Arial" w:hAnsi="Arial" w:cs="Arial"/>
        </w:rPr>
        <w:t>to Syntell</w:t>
      </w:r>
      <w:r w:rsidR="00E11861">
        <w:rPr>
          <w:rFonts w:ascii="Arial" w:hAnsi="Arial" w:cs="Arial"/>
        </w:rPr>
        <w:t>,</w:t>
      </w:r>
      <w:r w:rsidR="00012997">
        <w:rPr>
          <w:rFonts w:ascii="Arial" w:hAnsi="Arial" w:cs="Arial"/>
        </w:rPr>
        <w:t xml:space="preserve"> </w:t>
      </w:r>
      <w:r w:rsidR="00C71420">
        <w:rPr>
          <w:rFonts w:ascii="Arial" w:hAnsi="Arial" w:cs="Arial"/>
        </w:rPr>
        <w:t xml:space="preserve">and the </w:t>
      </w:r>
      <w:r w:rsidR="006B2F74">
        <w:rPr>
          <w:rFonts w:ascii="Arial" w:hAnsi="Arial" w:cs="Arial"/>
        </w:rPr>
        <w:t>H</w:t>
      </w:r>
      <w:r w:rsidR="00C71420">
        <w:rPr>
          <w:rFonts w:ascii="Arial" w:hAnsi="Arial" w:cs="Arial"/>
        </w:rPr>
        <w:t>ead</w:t>
      </w:r>
      <w:r w:rsidR="006B2F74">
        <w:rPr>
          <w:rFonts w:ascii="Arial" w:hAnsi="Arial" w:cs="Arial"/>
        </w:rPr>
        <w:t>:</w:t>
      </w:r>
      <w:r w:rsidR="00C71420">
        <w:rPr>
          <w:rFonts w:ascii="Arial" w:hAnsi="Arial" w:cs="Arial"/>
        </w:rPr>
        <w:t xml:space="preserve"> Public Safety in consultation with </w:t>
      </w:r>
      <w:r w:rsidR="006B2F74">
        <w:rPr>
          <w:rFonts w:ascii="Arial" w:hAnsi="Arial" w:cs="Arial"/>
        </w:rPr>
        <w:t>G</w:t>
      </w:r>
      <w:r w:rsidR="00C71420">
        <w:rPr>
          <w:rFonts w:ascii="Arial" w:hAnsi="Arial" w:cs="Arial"/>
        </w:rPr>
        <w:t xml:space="preserve">roup </w:t>
      </w:r>
      <w:r w:rsidR="006B2F74">
        <w:rPr>
          <w:rFonts w:ascii="Arial" w:hAnsi="Arial" w:cs="Arial"/>
        </w:rPr>
        <w:t>L</w:t>
      </w:r>
      <w:r w:rsidR="00C71420">
        <w:rPr>
          <w:rFonts w:ascii="Arial" w:hAnsi="Arial" w:cs="Arial"/>
        </w:rPr>
        <w:t xml:space="preserve">egal </w:t>
      </w:r>
      <w:r w:rsidR="006B2F74">
        <w:rPr>
          <w:rFonts w:ascii="Arial" w:hAnsi="Arial" w:cs="Arial"/>
        </w:rPr>
        <w:t xml:space="preserve">Services </w:t>
      </w:r>
      <w:r w:rsidR="00012997">
        <w:rPr>
          <w:rFonts w:ascii="Arial" w:hAnsi="Arial" w:cs="Arial"/>
        </w:rPr>
        <w:t>sh</w:t>
      </w:r>
      <w:r w:rsidR="00C71420">
        <w:rPr>
          <w:rFonts w:ascii="Arial" w:hAnsi="Arial" w:cs="Arial"/>
        </w:rPr>
        <w:t xml:space="preserve">ould be </w:t>
      </w:r>
      <w:r w:rsidR="006B2F74">
        <w:rPr>
          <w:rFonts w:ascii="Arial" w:hAnsi="Arial" w:cs="Arial"/>
        </w:rPr>
        <w:t>authorized</w:t>
      </w:r>
      <w:r w:rsidR="00C71420">
        <w:rPr>
          <w:rFonts w:ascii="Arial" w:hAnsi="Arial" w:cs="Arial"/>
        </w:rPr>
        <w:t xml:space="preserve"> to negotiate, </w:t>
      </w:r>
      <w:r w:rsidR="009659CD">
        <w:rPr>
          <w:rFonts w:ascii="Arial" w:hAnsi="Arial" w:cs="Arial"/>
        </w:rPr>
        <w:t>conclude,</w:t>
      </w:r>
      <w:r w:rsidR="00C71420">
        <w:rPr>
          <w:rFonts w:ascii="Arial" w:hAnsi="Arial" w:cs="Arial"/>
        </w:rPr>
        <w:t xml:space="preserve"> and sign the necessary service level agreement </w:t>
      </w:r>
      <w:r w:rsidR="006B2F74">
        <w:rPr>
          <w:rFonts w:ascii="Arial" w:hAnsi="Arial" w:cs="Arial"/>
        </w:rPr>
        <w:t xml:space="preserve">(‘SLA’) </w:t>
      </w:r>
      <w:r w:rsidR="00C71420">
        <w:rPr>
          <w:rFonts w:ascii="Arial" w:hAnsi="Arial" w:cs="Arial"/>
        </w:rPr>
        <w:t xml:space="preserve">with Syntell. The </w:t>
      </w:r>
      <w:r w:rsidR="006B2F74">
        <w:rPr>
          <w:rFonts w:ascii="Arial" w:hAnsi="Arial" w:cs="Arial"/>
        </w:rPr>
        <w:t>A</w:t>
      </w:r>
      <w:r w:rsidR="00C71420">
        <w:rPr>
          <w:rFonts w:ascii="Arial" w:hAnsi="Arial" w:cs="Arial"/>
        </w:rPr>
        <w:t xml:space="preserve">cting </w:t>
      </w:r>
      <w:r w:rsidR="006B2F74">
        <w:rPr>
          <w:rFonts w:ascii="Arial" w:hAnsi="Arial" w:cs="Arial"/>
        </w:rPr>
        <w:t>C</w:t>
      </w:r>
      <w:r w:rsidR="00C71420">
        <w:rPr>
          <w:rFonts w:ascii="Arial" w:hAnsi="Arial" w:cs="Arial"/>
        </w:rPr>
        <w:t xml:space="preserve">ity </w:t>
      </w:r>
      <w:r w:rsidR="006B2F74">
        <w:rPr>
          <w:rFonts w:ascii="Arial" w:hAnsi="Arial" w:cs="Arial"/>
        </w:rPr>
        <w:t>M</w:t>
      </w:r>
      <w:r w:rsidR="00C71420">
        <w:rPr>
          <w:rFonts w:ascii="Arial" w:hAnsi="Arial" w:cs="Arial"/>
        </w:rPr>
        <w:t xml:space="preserve">anager </w:t>
      </w:r>
      <w:r w:rsidR="006B2F74">
        <w:rPr>
          <w:rFonts w:ascii="Arial" w:hAnsi="Arial" w:cs="Arial"/>
        </w:rPr>
        <w:t>duly</w:t>
      </w:r>
      <w:r w:rsidR="00C71420">
        <w:rPr>
          <w:rFonts w:ascii="Arial" w:hAnsi="Arial" w:cs="Arial"/>
        </w:rPr>
        <w:t xml:space="preserve"> accepted the</w:t>
      </w:r>
      <w:r w:rsidR="00012997">
        <w:rPr>
          <w:rFonts w:ascii="Arial" w:hAnsi="Arial" w:cs="Arial"/>
        </w:rPr>
        <w:t>se</w:t>
      </w:r>
      <w:r w:rsidR="00C71420">
        <w:rPr>
          <w:rFonts w:ascii="Arial" w:hAnsi="Arial" w:cs="Arial"/>
        </w:rPr>
        <w:t xml:space="preserve"> recommendation</w:t>
      </w:r>
      <w:r w:rsidR="00012997">
        <w:rPr>
          <w:rFonts w:ascii="Arial" w:hAnsi="Arial" w:cs="Arial"/>
        </w:rPr>
        <w:t>s</w:t>
      </w:r>
      <w:r w:rsidR="00C71420">
        <w:rPr>
          <w:rFonts w:ascii="Arial" w:hAnsi="Arial" w:cs="Arial"/>
        </w:rPr>
        <w:t xml:space="preserve"> and awarded the tender on the same day.</w:t>
      </w:r>
    </w:p>
    <w:p w14:paraId="493D5722" w14:textId="31187BDE" w:rsidR="00C71420"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20.</w:t>
      </w:r>
      <w:r>
        <w:rPr>
          <w:rFonts w:ascii="Arial" w:hAnsi="Arial" w:cs="Arial"/>
        </w:rPr>
        <w:tab/>
      </w:r>
      <w:r w:rsidR="00C71420">
        <w:rPr>
          <w:rFonts w:ascii="Arial" w:hAnsi="Arial" w:cs="Arial"/>
        </w:rPr>
        <w:t xml:space="preserve">On 13 December 2022 the </w:t>
      </w:r>
      <w:r w:rsidR="00D1213F">
        <w:rPr>
          <w:rFonts w:ascii="Arial" w:hAnsi="Arial" w:cs="Arial"/>
        </w:rPr>
        <w:t>G</w:t>
      </w:r>
      <w:r w:rsidR="00C71420">
        <w:rPr>
          <w:rFonts w:ascii="Arial" w:hAnsi="Arial" w:cs="Arial"/>
        </w:rPr>
        <w:t xml:space="preserve">roup </w:t>
      </w:r>
      <w:r w:rsidR="00D1213F">
        <w:rPr>
          <w:rFonts w:ascii="Arial" w:hAnsi="Arial" w:cs="Arial"/>
        </w:rPr>
        <w:t>H</w:t>
      </w:r>
      <w:r w:rsidR="00C71420">
        <w:rPr>
          <w:rFonts w:ascii="Arial" w:hAnsi="Arial" w:cs="Arial"/>
        </w:rPr>
        <w:t xml:space="preserve">ead: </w:t>
      </w:r>
      <w:r w:rsidR="00D1213F">
        <w:rPr>
          <w:rFonts w:ascii="Arial" w:hAnsi="Arial" w:cs="Arial"/>
        </w:rPr>
        <w:t>GSSCM</w:t>
      </w:r>
      <w:r w:rsidR="00C71420">
        <w:rPr>
          <w:rFonts w:ascii="Arial" w:hAnsi="Arial" w:cs="Arial"/>
        </w:rPr>
        <w:t xml:space="preserve"> sent a letter of ‘regret’ to the applicant’s </w:t>
      </w:r>
      <w:r w:rsidR="00DF3606">
        <w:rPr>
          <w:rFonts w:ascii="Arial" w:hAnsi="Arial" w:cs="Arial"/>
        </w:rPr>
        <w:t xml:space="preserve">tender </w:t>
      </w:r>
      <w:r w:rsidR="00C71420">
        <w:rPr>
          <w:rFonts w:ascii="Arial" w:hAnsi="Arial" w:cs="Arial"/>
        </w:rPr>
        <w:t xml:space="preserve">email address advising it that its bid had been unsuccessful. The applicant claims not to have received this notification and avers that it was </w:t>
      </w:r>
      <w:r w:rsidR="00D1213F">
        <w:rPr>
          <w:rFonts w:ascii="Arial" w:hAnsi="Arial" w:cs="Arial"/>
        </w:rPr>
        <w:t>‘</w:t>
      </w:r>
      <w:r w:rsidR="00C71420">
        <w:rPr>
          <w:rFonts w:ascii="Arial" w:hAnsi="Arial" w:cs="Arial"/>
        </w:rPr>
        <w:t>oblivious</w:t>
      </w:r>
      <w:r w:rsidR="00D1213F">
        <w:rPr>
          <w:rFonts w:ascii="Arial" w:hAnsi="Arial" w:cs="Arial"/>
        </w:rPr>
        <w:t>’</w:t>
      </w:r>
      <w:r w:rsidR="00C71420">
        <w:rPr>
          <w:rFonts w:ascii="Arial" w:hAnsi="Arial" w:cs="Arial"/>
        </w:rPr>
        <w:t xml:space="preserve"> to the steps that </w:t>
      </w:r>
      <w:r w:rsidR="00E90A30">
        <w:rPr>
          <w:rFonts w:ascii="Arial" w:hAnsi="Arial" w:cs="Arial"/>
        </w:rPr>
        <w:t xml:space="preserve">were </w:t>
      </w:r>
      <w:r w:rsidR="00C71420">
        <w:rPr>
          <w:rFonts w:ascii="Arial" w:hAnsi="Arial" w:cs="Arial"/>
        </w:rPr>
        <w:t xml:space="preserve">taken by the </w:t>
      </w:r>
      <w:r w:rsidR="00D1213F">
        <w:rPr>
          <w:rFonts w:ascii="Arial" w:hAnsi="Arial" w:cs="Arial"/>
        </w:rPr>
        <w:t>C</w:t>
      </w:r>
      <w:r w:rsidR="00C71420">
        <w:rPr>
          <w:rFonts w:ascii="Arial" w:hAnsi="Arial" w:cs="Arial"/>
        </w:rPr>
        <w:t>ity prior thereto, in the process le</w:t>
      </w:r>
      <w:r w:rsidR="00DF3606">
        <w:rPr>
          <w:rFonts w:ascii="Arial" w:hAnsi="Arial" w:cs="Arial"/>
        </w:rPr>
        <w:t>a</w:t>
      </w:r>
      <w:r w:rsidR="00C71420">
        <w:rPr>
          <w:rFonts w:ascii="Arial" w:hAnsi="Arial" w:cs="Arial"/>
        </w:rPr>
        <w:t>d</w:t>
      </w:r>
      <w:r w:rsidR="00DF3606">
        <w:rPr>
          <w:rFonts w:ascii="Arial" w:hAnsi="Arial" w:cs="Arial"/>
        </w:rPr>
        <w:t>ing</w:t>
      </w:r>
      <w:r w:rsidR="00C71420">
        <w:rPr>
          <w:rFonts w:ascii="Arial" w:hAnsi="Arial" w:cs="Arial"/>
        </w:rPr>
        <w:t xml:space="preserve"> up to the award, even though, as previously pointed out the adjudication of the tender took place in public on 24 November 2022. The applicant avers that it only heard about the award of the tender from a newspaper report that was published on 22 December 2022</w:t>
      </w:r>
      <w:r w:rsidR="004F1928">
        <w:rPr>
          <w:rFonts w:ascii="Arial" w:hAnsi="Arial" w:cs="Arial"/>
        </w:rPr>
        <w:t>. According to it, at that stage it had ‘absolutely no knowledge of anything concerning’ its bid</w:t>
      </w:r>
      <w:r w:rsidR="00D1213F">
        <w:rPr>
          <w:rFonts w:ascii="Arial" w:hAnsi="Arial" w:cs="Arial"/>
        </w:rPr>
        <w:t>. Notably, in its founding affidavit it</w:t>
      </w:r>
      <w:r w:rsidR="004F1928">
        <w:rPr>
          <w:rFonts w:ascii="Arial" w:hAnsi="Arial" w:cs="Arial"/>
        </w:rPr>
        <w:t xml:space="preserve"> did acknowledge that it was aware of the announcement that was made when the bids were opened on 13 April 2022 that Syntell’s bid </w:t>
      </w:r>
      <w:r w:rsidR="007E1BD6">
        <w:rPr>
          <w:rFonts w:ascii="Arial" w:hAnsi="Arial" w:cs="Arial"/>
        </w:rPr>
        <w:t>was</w:t>
      </w:r>
      <w:r w:rsidR="004F1928">
        <w:rPr>
          <w:rFonts w:ascii="Arial" w:hAnsi="Arial" w:cs="Arial"/>
        </w:rPr>
        <w:t xml:space="preserve"> R</w:t>
      </w:r>
      <w:r w:rsidR="00D1213F">
        <w:rPr>
          <w:rFonts w:ascii="Arial" w:hAnsi="Arial" w:cs="Arial"/>
        </w:rPr>
        <w:t xml:space="preserve"> </w:t>
      </w:r>
      <w:r w:rsidR="004F1928">
        <w:rPr>
          <w:rFonts w:ascii="Arial" w:hAnsi="Arial" w:cs="Arial"/>
        </w:rPr>
        <w:t>177</w:t>
      </w:r>
      <w:r w:rsidR="00956DB9">
        <w:rPr>
          <w:rFonts w:ascii="Arial" w:hAnsi="Arial" w:cs="Arial"/>
        </w:rPr>
        <w:t xml:space="preserve"> </w:t>
      </w:r>
      <w:r w:rsidR="004F1928">
        <w:rPr>
          <w:rFonts w:ascii="Arial" w:hAnsi="Arial" w:cs="Arial"/>
        </w:rPr>
        <w:t>109</w:t>
      </w:r>
      <w:r w:rsidR="00D1213F">
        <w:rPr>
          <w:rFonts w:ascii="Arial" w:hAnsi="Arial" w:cs="Arial"/>
        </w:rPr>
        <w:t xml:space="preserve"> </w:t>
      </w:r>
      <w:r w:rsidR="004F1928">
        <w:rPr>
          <w:rFonts w:ascii="Arial" w:hAnsi="Arial" w:cs="Arial"/>
        </w:rPr>
        <w:t>884</w:t>
      </w:r>
      <w:r w:rsidR="007E1BD6">
        <w:rPr>
          <w:rFonts w:ascii="Arial" w:hAnsi="Arial" w:cs="Arial"/>
        </w:rPr>
        <w:t>, which</w:t>
      </w:r>
      <w:r w:rsidR="004F1928">
        <w:rPr>
          <w:rFonts w:ascii="Arial" w:hAnsi="Arial" w:cs="Arial"/>
        </w:rPr>
        <w:t xml:space="preserve"> was lower than its bid of R</w:t>
      </w:r>
      <w:r w:rsidR="00D1213F">
        <w:rPr>
          <w:rFonts w:ascii="Arial" w:hAnsi="Arial" w:cs="Arial"/>
        </w:rPr>
        <w:t xml:space="preserve"> </w:t>
      </w:r>
      <w:r w:rsidR="004F1928">
        <w:rPr>
          <w:rFonts w:ascii="Arial" w:hAnsi="Arial" w:cs="Arial"/>
        </w:rPr>
        <w:t>190</w:t>
      </w:r>
      <w:r w:rsidR="00D1213F">
        <w:rPr>
          <w:rFonts w:ascii="Arial" w:hAnsi="Arial" w:cs="Arial"/>
        </w:rPr>
        <w:t xml:space="preserve"> </w:t>
      </w:r>
      <w:r w:rsidR="004F1928">
        <w:rPr>
          <w:rFonts w:ascii="Arial" w:hAnsi="Arial" w:cs="Arial"/>
        </w:rPr>
        <w:t>720</w:t>
      </w:r>
      <w:r w:rsidR="00D1213F">
        <w:rPr>
          <w:rFonts w:ascii="Arial" w:hAnsi="Arial" w:cs="Arial"/>
        </w:rPr>
        <w:t xml:space="preserve"> </w:t>
      </w:r>
      <w:r w:rsidR="004F1928">
        <w:rPr>
          <w:rFonts w:ascii="Arial" w:hAnsi="Arial" w:cs="Arial"/>
        </w:rPr>
        <w:t xml:space="preserve">851. </w:t>
      </w:r>
      <w:r w:rsidR="00207DDE">
        <w:rPr>
          <w:rFonts w:ascii="Arial" w:hAnsi="Arial" w:cs="Arial"/>
        </w:rPr>
        <w:t>As the 3</w:t>
      </w:r>
      <w:r w:rsidR="00207DDE" w:rsidRPr="004F1928">
        <w:rPr>
          <w:rFonts w:ascii="Arial" w:hAnsi="Arial" w:cs="Arial"/>
          <w:vertAlign w:val="superscript"/>
        </w:rPr>
        <w:t>rd</w:t>
      </w:r>
      <w:r w:rsidR="00207DDE">
        <w:rPr>
          <w:rFonts w:ascii="Arial" w:hAnsi="Arial" w:cs="Arial"/>
        </w:rPr>
        <w:t xml:space="preserve"> bidder’s announced price was R508.1 million odd the applicant</w:t>
      </w:r>
      <w:r w:rsidR="004F1928">
        <w:rPr>
          <w:rFonts w:ascii="Arial" w:hAnsi="Arial" w:cs="Arial"/>
        </w:rPr>
        <w:t xml:space="preserve"> must have known that </w:t>
      </w:r>
      <w:r w:rsidR="001D1040">
        <w:rPr>
          <w:rFonts w:ascii="Arial" w:hAnsi="Arial" w:cs="Arial"/>
        </w:rPr>
        <w:t xml:space="preserve">as </w:t>
      </w:r>
      <w:r w:rsidR="004F1928">
        <w:rPr>
          <w:rFonts w:ascii="Arial" w:hAnsi="Arial" w:cs="Arial"/>
        </w:rPr>
        <w:t xml:space="preserve">Syntell’s bid was the lowest </w:t>
      </w:r>
      <w:r w:rsidR="00E90A30">
        <w:rPr>
          <w:rFonts w:ascii="Arial" w:hAnsi="Arial" w:cs="Arial"/>
        </w:rPr>
        <w:t xml:space="preserve">of the three </w:t>
      </w:r>
      <w:r w:rsidR="004F1928">
        <w:rPr>
          <w:rFonts w:ascii="Arial" w:hAnsi="Arial" w:cs="Arial"/>
        </w:rPr>
        <w:t xml:space="preserve">it was </w:t>
      </w:r>
      <w:r w:rsidR="00207DDE">
        <w:rPr>
          <w:rFonts w:ascii="Arial" w:hAnsi="Arial" w:cs="Arial"/>
        </w:rPr>
        <w:t xml:space="preserve">therefore </w:t>
      </w:r>
      <w:r w:rsidR="004F1928">
        <w:rPr>
          <w:rFonts w:ascii="Arial" w:hAnsi="Arial" w:cs="Arial"/>
        </w:rPr>
        <w:t xml:space="preserve">in ‘pole position’ to be awarded the </w:t>
      </w:r>
      <w:r w:rsidR="007E1BD6">
        <w:rPr>
          <w:rFonts w:ascii="Arial" w:hAnsi="Arial" w:cs="Arial"/>
        </w:rPr>
        <w:t>tender</w:t>
      </w:r>
      <w:r w:rsidR="004F1928">
        <w:rPr>
          <w:rFonts w:ascii="Arial" w:hAnsi="Arial" w:cs="Arial"/>
        </w:rPr>
        <w:t>.</w:t>
      </w:r>
      <w:r w:rsidR="00D1213F">
        <w:rPr>
          <w:rFonts w:ascii="Arial" w:hAnsi="Arial" w:cs="Arial"/>
        </w:rPr>
        <w:t xml:space="preserve"> </w:t>
      </w:r>
      <w:r w:rsidR="001D1040">
        <w:rPr>
          <w:rFonts w:ascii="Arial" w:hAnsi="Arial" w:cs="Arial"/>
        </w:rPr>
        <w:t>Curiously, d</w:t>
      </w:r>
      <w:r w:rsidR="00D1213F">
        <w:rPr>
          <w:rFonts w:ascii="Arial" w:hAnsi="Arial" w:cs="Arial"/>
        </w:rPr>
        <w:t xml:space="preserve">espite this </w:t>
      </w:r>
      <w:r w:rsidR="00207DDE">
        <w:rPr>
          <w:rFonts w:ascii="Arial" w:hAnsi="Arial" w:cs="Arial"/>
        </w:rPr>
        <w:t>the applicant</w:t>
      </w:r>
      <w:r w:rsidR="00D1213F">
        <w:rPr>
          <w:rFonts w:ascii="Arial" w:hAnsi="Arial" w:cs="Arial"/>
        </w:rPr>
        <w:t xml:space="preserve"> made no attempt to communicate with </w:t>
      </w:r>
      <w:r w:rsidR="00DF3606">
        <w:rPr>
          <w:rFonts w:ascii="Arial" w:hAnsi="Arial" w:cs="Arial"/>
        </w:rPr>
        <w:t xml:space="preserve">the </w:t>
      </w:r>
      <w:r w:rsidR="00D1213F">
        <w:rPr>
          <w:rFonts w:ascii="Arial" w:hAnsi="Arial" w:cs="Arial"/>
        </w:rPr>
        <w:t xml:space="preserve">City thereafter, in order to ascertain what </w:t>
      </w:r>
      <w:r w:rsidR="00207DDE">
        <w:rPr>
          <w:rFonts w:ascii="Arial" w:hAnsi="Arial" w:cs="Arial"/>
        </w:rPr>
        <w:t>was going on and</w:t>
      </w:r>
      <w:r w:rsidR="00D1213F">
        <w:rPr>
          <w:rFonts w:ascii="Arial" w:hAnsi="Arial" w:cs="Arial"/>
        </w:rPr>
        <w:t xml:space="preserve"> whether the tender had been awarded to Syntell. Instead, it remained s</w:t>
      </w:r>
      <w:r w:rsidR="00E90A30">
        <w:rPr>
          <w:rFonts w:ascii="Arial" w:hAnsi="Arial" w:cs="Arial"/>
        </w:rPr>
        <w:t>upine</w:t>
      </w:r>
      <w:r w:rsidR="00D1213F">
        <w:rPr>
          <w:rFonts w:ascii="Arial" w:hAnsi="Arial" w:cs="Arial"/>
        </w:rPr>
        <w:t xml:space="preserve"> until publication of the report in the newspaper, </w:t>
      </w:r>
      <w:r w:rsidR="00DF3606">
        <w:rPr>
          <w:rFonts w:ascii="Arial" w:hAnsi="Arial" w:cs="Arial"/>
        </w:rPr>
        <w:t xml:space="preserve">in </w:t>
      </w:r>
      <w:r w:rsidR="00D1213F">
        <w:rPr>
          <w:rFonts w:ascii="Arial" w:hAnsi="Arial" w:cs="Arial"/>
        </w:rPr>
        <w:t xml:space="preserve">which </w:t>
      </w:r>
      <w:r w:rsidR="00DF3606">
        <w:rPr>
          <w:rFonts w:ascii="Arial" w:hAnsi="Arial" w:cs="Arial"/>
        </w:rPr>
        <w:t xml:space="preserve">it was </w:t>
      </w:r>
      <w:r w:rsidR="00207DDE">
        <w:rPr>
          <w:rFonts w:ascii="Arial" w:hAnsi="Arial" w:cs="Arial"/>
        </w:rPr>
        <w:t>reported</w:t>
      </w:r>
      <w:r w:rsidR="00D1213F">
        <w:rPr>
          <w:rFonts w:ascii="Arial" w:hAnsi="Arial" w:cs="Arial"/>
        </w:rPr>
        <w:t xml:space="preserve"> not only that the tender </w:t>
      </w:r>
      <w:r w:rsidR="00D1213F">
        <w:rPr>
          <w:rFonts w:ascii="Arial" w:hAnsi="Arial" w:cs="Arial"/>
        </w:rPr>
        <w:lastRenderedPageBreak/>
        <w:t xml:space="preserve">had been awarded to Syntell, but that it was in the process of being implemented.      </w:t>
      </w:r>
    </w:p>
    <w:p w14:paraId="2AF30CD5" w14:textId="34DD83DD" w:rsidR="004F1928"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21.</w:t>
      </w:r>
      <w:r>
        <w:rPr>
          <w:rFonts w:ascii="Arial" w:hAnsi="Arial" w:cs="Arial"/>
        </w:rPr>
        <w:tab/>
      </w:r>
      <w:r w:rsidR="004F1928">
        <w:rPr>
          <w:rFonts w:ascii="Arial" w:hAnsi="Arial" w:cs="Arial"/>
        </w:rPr>
        <w:t xml:space="preserve">On </w:t>
      </w:r>
      <w:r w:rsidR="007E1BD6">
        <w:rPr>
          <w:rFonts w:ascii="Arial" w:hAnsi="Arial" w:cs="Arial"/>
        </w:rPr>
        <w:t xml:space="preserve">the same day, </w:t>
      </w:r>
      <w:r w:rsidR="004F1928">
        <w:rPr>
          <w:rFonts w:ascii="Arial" w:hAnsi="Arial" w:cs="Arial"/>
        </w:rPr>
        <w:t>22 December 2022</w:t>
      </w:r>
      <w:r w:rsidR="007E1BD6">
        <w:rPr>
          <w:rFonts w:ascii="Arial" w:hAnsi="Arial" w:cs="Arial"/>
        </w:rPr>
        <w:t>,</w:t>
      </w:r>
      <w:r w:rsidR="004F1928">
        <w:rPr>
          <w:rFonts w:ascii="Arial" w:hAnsi="Arial" w:cs="Arial"/>
        </w:rPr>
        <w:t xml:space="preserve"> the applicant’s attorney addressed a letter to the </w:t>
      </w:r>
      <w:r w:rsidR="007E1BD6">
        <w:rPr>
          <w:rFonts w:ascii="Arial" w:hAnsi="Arial" w:cs="Arial"/>
        </w:rPr>
        <w:t>C</w:t>
      </w:r>
      <w:r w:rsidR="004F1928">
        <w:rPr>
          <w:rFonts w:ascii="Arial" w:hAnsi="Arial" w:cs="Arial"/>
        </w:rPr>
        <w:t xml:space="preserve">ity </w:t>
      </w:r>
      <w:r w:rsidR="007E1BD6">
        <w:rPr>
          <w:rFonts w:ascii="Arial" w:hAnsi="Arial" w:cs="Arial"/>
        </w:rPr>
        <w:t>M</w:t>
      </w:r>
      <w:r w:rsidR="004F1928">
        <w:rPr>
          <w:rFonts w:ascii="Arial" w:hAnsi="Arial" w:cs="Arial"/>
        </w:rPr>
        <w:t xml:space="preserve">anager in which </w:t>
      </w:r>
      <w:r w:rsidR="00DF3606">
        <w:rPr>
          <w:rFonts w:ascii="Arial" w:hAnsi="Arial" w:cs="Arial"/>
        </w:rPr>
        <w:t>he</w:t>
      </w:r>
      <w:r w:rsidR="004F1928">
        <w:rPr>
          <w:rFonts w:ascii="Arial" w:hAnsi="Arial" w:cs="Arial"/>
        </w:rPr>
        <w:t xml:space="preserve"> </w:t>
      </w:r>
      <w:r w:rsidR="00E90A30">
        <w:rPr>
          <w:rFonts w:ascii="Arial" w:hAnsi="Arial" w:cs="Arial"/>
        </w:rPr>
        <w:t>sought</w:t>
      </w:r>
      <w:r w:rsidR="004F1928">
        <w:rPr>
          <w:rFonts w:ascii="Arial" w:hAnsi="Arial" w:cs="Arial"/>
        </w:rPr>
        <w:t xml:space="preserve"> confirmation that the tender had been awarded to Syntell and requested certain information</w:t>
      </w:r>
      <w:r w:rsidR="007E1BD6">
        <w:rPr>
          <w:rFonts w:ascii="Arial" w:hAnsi="Arial" w:cs="Arial"/>
        </w:rPr>
        <w:t>,</w:t>
      </w:r>
      <w:r w:rsidR="004F1928">
        <w:rPr>
          <w:rFonts w:ascii="Arial" w:hAnsi="Arial" w:cs="Arial"/>
        </w:rPr>
        <w:t xml:space="preserve"> including copies of Syntell’s bid </w:t>
      </w:r>
      <w:r w:rsidR="00D1213F">
        <w:rPr>
          <w:rFonts w:ascii="Arial" w:hAnsi="Arial" w:cs="Arial"/>
        </w:rPr>
        <w:t>and</w:t>
      </w:r>
      <w:r w:rsidR="004F1928">
        <w:rPr>
          <w:rFonts w:ascii="Arial" w:hAnsi="Arial" w:cs="Arial"/>
        </w:rPr>
        <w:t xml:space="preserve"> the decisions of the </w:t>
      </w:r>
      <w:r w:rsidR="00D1213F">
        <w:rPr>
          <w:rFonts w:ascii="Arial" w:hAnsi="Arial" w:cs="Arial"/>
        </w:rPr>
        <w:t>BSC</w:t>
      </w:r>
      <w:r w:rsidR="004F1928">
        <w:rPr>
          <w:rFonts w:ascii="Arial" w:hAnsi="Arial" w:cs="Arial"/>
        </w:rPr>
        <w:t xml:space="preserve">, </w:t>
      </w:r>
      <w:r w:rsidR="00D1213F">
        <w:rPr>
          <w:rFonts w:ascii="Arial" w:hAnsi="Arial" w:cs="Arial"/>
        </w:rPr>
        <w:t>BEC</w:t>
      </w:r>
      <w:r w:rsidR="004F1928">
        <w:rPr>
          <w:rFonts w:ascii="Arial" w:hAnsi="Arial" w:cs="Arial"/>
        </w:rPr>
        <w:t xml:space="preserve"> and </w:t>
      </w:r>
      <w:r w:rsidR="00D1213F">
        <w:rPr>
          <w:rFonts w:ascii="Arial" w:hAnsi="Arial" w:cs="Arial"/>
        </w:rPr>
        <w:t>EAC</w:t>
      </w:r>
      <w:r w:rsidR="004F1928">
        <w:rPr>
          <w:rFonts w:ascii="Arial" w:hAnsi="Arial" w:cs="Arial"/>
        </w:rPr>
        <w:t>.</w:t>
      </w:r>
    </w:p>
    <w:p w14:paraId="1965AA28" w14:textId="64809B95" w:rsidR="002C7D3D"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22.</w:t>
      </w:r>
      <w:r>
        <w:rPr>
          <w:rFonts w:ascii="Arial" w:hAnsi="Arial" w:cs="Arial"/>
        </w:rPr>
        <w:tab/>
      </w:r>
      <w:r w:rsidR="00DF3606">
        <w:rPr>
          <w:rFonts w:ascii="Arial" w:hAnsi="Arial" w:cs="Arial"/>
        </w:rPr>
        <w:t>The City responded o</w:t>
      </w:r>
      <w:r w:rsidR="004F1928">
        <w:rPr>
          <w:rFonts w:ascii="Arial" w:hAnsi="Arial" w:cs="Arial"/>
        </w:rPr>
        <w:t xml:space="preserve">n </w:t>
      </w:r>
      <w:r w:rsidR="00114DDD">
        <w:rPr>
          <w:rFonts w:ascii="Arial" w:hAnsi="Arial" w:cs="Arial"/>
        </w:rPr>
        <w:t>2</w:t>
      </w:r>
      <w:r w:rsidR="004F1928">
        <w:rPr>
          <w:rFonts w:ascii="Arial" w:hAnsi="Arial" w:cs="Arial"/>
        </w:rPr>
        <w:t>4 December 202</w:t>
      </w:r>
      <w:r w:rsidR="00E90A30">
        <w:rPr>
          <w:rFonts w:ascii="Arial" w:hAnsi="Arial" w:cs="Arial"/>
        </w:rPr>
        <w:t>2</w:t>
      </w:r>
      <w:r w:rsidR="004F1928">
        <w:rPr>
          <w:rFonts w:ascii="Arial" w:hAnsi="Arial" w:cs="Arial"/>
        </w:rPr>
        <w:t xml:space="preserve"> in a letter in which it confirmed that </w:t>
      </w:r>
      <w:r w:rsidR="00E90A30">
        <w:rPr>
          <w:rFonts w:ascii="Arial" w:hAnsi="Arial" w:cs="Arial"/>
        </w:rPr>
        <w:t xml:space="preserve">Syntell </w:t>
      </w:r>
      <w:r w:rsidR="004F1928">
        <w:rPr>
          <w:rFonts w:ascii="Arial" w:hAnsi="Arial" w:cs="Arial"/>
        </w:rPr>
        <w:t xml:space="preserve">had been awarded </w:t>
      </w:r>
      <w:r w:rsidR="00E90A30">
        <w:rPr>
          <w:rFonts w:ascii="Arial" w:hAnsi="Arial" w:cs="Arial"/>
        </w:rPr>
        <w:t xml:space="preserve">the tender </w:t>
      </w:r>
      <w:r w:rsidR="004F1928">
        <w:rPr>
          <w:rFonts w:ascii="Arial" w:hAnsi="Arial" w:cs="Arial"/>
        </w:rPr>
        <w:t xml:space="preserve">and pointed out that the decision to recommend the award </w:t>
      </w:r>
      <w:r w:rsidR="00E90A30">
        <w:rPr>
          <w:rFonts w:ascii="Arial" w:hAnsi="Arial" w:cs="Arial"/>
        </w:rPr>
        <w:t>to it was</w:t>
      </w:r>
      <w:r w:rsidR="004F1928">
        <w:rPr>
          <w:rFonts w:ascii="Arial" w:hAnsi="Arial" w:cs="Arial"/>
        </w:rPr>
        <w:t xml:space="preserve"> made at the adjudication which had taken place in public </w:t>
      </w:r>
      <w:r w:rsidR="00114DDD">
        <w:rPr>
          <w:rFonts w:ascii="Arial" w:hAnsi="Arial" w:cs="Arial"/>
        </w:rPr>
        <w:t>a month earlier</w:t>
      </w:r>
      <w:r w:rsidR="004F1928">
        <w:rPr>
          <w:rFonts w:ascii="Arial" w:hAnsi="Arial" w:cs="Arial"/>
        </w:rPr>
        <w:t xml:space="preserve">. It </w:t>
      </w:r>
      <w:r w:rsidR="008A7515">
        <w:rPr>
          <w:rFonts w:ascii="Arial" w:hAnsi="Arial" w:cs="Arial"/>
        </w:rPr>
        <w:t xml:space="preserve">also </w:t>
      </w:r>
      <w:r w:rsidR="00E90A30">
        <w:rPr>
          <w:rFonts w:ascii="Arial" w:hAnsi="Arial" w:cs="Arial"/>
        </w:rPr>
        <w:t>indicated</w:t>
      </w:r>
      <w:r w:rsidR="004F1928">
        <w:rPr>
          <w:rFonts w:ascii="Arial" w:hAnsi="Arial" w:cs="Arial"/>
        </w:rPr>
        <w:t xml:space="preserve"> that a</w:t>
      </w:r>
      <w:r w:rsidR="00114DDD">
        <w:rPr>
          <w:rFonts w:ascii="Arial" w:hAnsi="Arial" w:cs="Arial"/>
        </w:rPr>
        <w:t>n</w:t>
      </w:r>
      <w:r w:rsidR="004F1928">
        <w:rPr>
          <w:rFonts w:ascii="Arial" w:hAnsi="Arial" w:cs="Arial"/>
        </w:rPr>
        <w:t xml:space="preserve"> SLA </w:t>
      </w:r>
      <w:r w:rsidR="00E90A30">
        <w:rPr>
          <w:rFonts w:ascii="Arial" w:hAnsi="Arial" w:cs="Arial"/>
        </w:rPr>
        <w:t>had been</w:t>
      </w:r>
      <w:r w:rsidR="004F1928">
        <w:rPr>
          <w:rFonts w:ascii="Arial" w:hAnsi="Arial" w:cs="Arial"/>
        </w:rPr>
        <w:t xml:space="preserve"> entered into with Syntell </w:t>
      </w:r>
      <w:r w:rsidR="00E90A30">
        <w:rPr>
          <w:rFonts w:ascii="Arial" w:hAnsi="Arial" w:cs="Arial"/>
        </w:rPr>
        <w:t>the same day</w:t>
      </w:r>
      <w:r w:rsidR="004F1928">
        <w:rPr>
          <w:rFonts w:ascii="Arial" w:hAnsi="Arial" w:cs="Arial"/>
        </w:rPr>
        <w:t xml:space="preserve">. </w:t>
      </w:r>
    </w:p>
    <w:p w14:paraId="605B9771" w14:textId="71A1BA9A" w:rsidR="004F1928"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23.</w:t>
      </w:r>
      <w:r>
        <w:rPr>
          <w:rFonts w:ascii="Arial" w:hAnsi="Arial" w:cs="Arial"/>
        </w:rPr>
        <w:tab/>
      </w:r>
      <w:r w:rsidR="004F1928">
        <w:rPr>
          <w:rFonts w:ascii="Arial" w:hAnsi="Arial" w:cs="Arial"/>
        </w:rPr>
        <w:t xml:space="preserve">In response to a </w:t>
      </w:r>
      <w:r w:rsidR="00E90A30">
        <w:rPr>
          <w:rFonts w:ascii="Arial" w:hAnsi="Arial" w:cs="Arial"/>
        </w:rPr>
        <w:t>request</w:t>
      </w:r>
      <w:r w:rsidR="004F1928">
        <w:rPr>
          <w:rFonts w:ascii="Arial" w:hAnsi="Arial" w:cs="Arial"/>
        </w:rPr>
        <w:t xml:space="preserve"> from applicant’s attorney on 10 January 2023 the City </w:t>
      </w:r>
      <w:r w:rsidR="00114DDD">
        <w:rPr>
          <w:rFonts w:ascii="Arial" w:hAnsi="Arial" w:cs="Arial"/>
        </w:rPr>
        <w:t>indicated that</w:t>
      </w:r>
      <w:r w:rsidR="004F1928">
        <w:rPr>
          <w:rFonts w:ascii="Arial" w:hAnsi="Arial" w:cs="Arial"/>
        </w:rPr>
        <w:t xml:space="preserve"> it was not prepared to halt the implementation of the SLA</w:t>
      </w:r>
      <w:r w:rsidR="00114DDD">
        <w:rPr>
          <w:rFonts w:ascii="Arial" w:hAnsi="Arial" w:cs="Arial"/>
        </w:rPr>
        <w:t>,</w:t>
      </w:r>
      <w:r w:rsidR="004F1928">
        <w:rPr>
          <w:rFonts w:ascii="Arial" w:hAnsi="Arial" w:cs="Arial"/>
        </w:rPr>
        <w:t xml:space="preserve"> as this would be detrimental to residents and would </w:t>
      </w:r>
      <w:r w:rsidR="008A7515">
        <w:rPr>
          <w:rFonts w:ascii="Arial" w:hAnsi="Arial" w:cs="Arial"/>
        </w:rPr>
        <w:t>impact</w:t>
      </w:r>
      <w:r w:rsidR="004F1928">
        <w:rPr>
          <w:rFonts w:ascii="Arial" w:hAnsi="Arial" w:cs="Arial"/>
        </w:rPr>
        <w:t xml:space="preserve"> negative</w:t>
      </w:r>
      <w:r w:rsidR="008A7515">
        <w:rPr>
          <w:rFonts w:ascii="Arial" w:hAnsi="Arial" w:cs="Arial"/>
        </w:rPr>
        <w:t>ly</w:t>
      </w:r>
      <w:r w:rsidR="004F1928">
        <w:rPr>
          <w:rFonts w:ascii="Arial" w:hAnsi="Arial" w:cs="Arial"/>
        </w:rPr>
        <w:t xml:space="preserve"> on service delivery.</w:t>
      </w:r>
    </w:p>
    <w:p w14:paraId="446E58A8" w14:textId="503AF4C8" w:rsidR="00DF3606" w:rsidRPr="00DF3606" w:rsidRDefault="00DF3606" w:rsidP="00DF3606">
      <w:pPr>
        <w:adjustRightInd w:val="0"/>
        <w:spacing w:after="0" w:line="360" w:lineRule="auto"/>
        <w:contextualSpacing/>
        <w:jc w:val="both"/>
        <w:textAlignment w:val="baseline"/>
        <w:rPr>
          <w:rFonts w:ascii="Arial" w:hAnsi="Arial" w:cs="Arial"/>
          <w:b/>
          <w:bCs/>
        </w:rPr>
      </w:pPr>
      <w:r w:rsidRPr="00DF3606">
        <w:rPr>
          <w:rFonts w:ascii="Arial" w:hAnsi="Arial" w:cs="Arial"/>
          <w:b/>
          <w:bCs/>
        </w:rPr>
        <w:t>The applicant’s case</w:t>
      </w:r>
    </w:p>
    <w:p w14:paraId="268BEA51" w14:textId="158A31B5" w:rsidR="007B56BC"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24.</w:t>
      </w:r>
      <w:r>
        <w:rPr>
          <w:rFonts w:ascii="Arial" w:hAnsi="Arial" w:cs="Arial"/>
        </w:rPr>
        <w:tab/>
      </w:r>
      <w:r w:rsidR="004F1928">
        <w:rPr>
          <w:rFonts w:ascii="Arial" w:hAnsi="Arial" w:cs="Arial"/>
        </w:rPr>
        <w:t xml:space="preserve">The applicants entire </w:t>
      </w:r>
      <w:r w:rsidR="00DF3606">
        <w:rPr>
          <w:rFonts w:ascii="Arial" w:hAnsi="Arial" w:cs="Arial"/>
        </w:rPr>
        <w:t>40-page</w:t>
      </w:r>
      <w:r w:rsidR="004F1928">
        <w:rPr>
          <w:rFonts w:ascii="Arial" w:hAnsi="Arial" w:cs="Arial"/>
        </w:rPr>
        <w:t xml:space="preserve"> founding affidavit was devoted to setting out its case for urgent interim relief </w:t>
      </w:r>
      <w:r w:rsidR="002C7D3D">
        <w:rPr>
          <w:rFonts w:ascii="Arial" w:hAnsi="Arial" w:cs="Arial"/>
        </w:rPr>
        <w:t>(</w:t>
      </w:r>
      <w:r w:rsidR="004F1928">
        <w:rPr>
          <w:rFonts w:ascii="Arial" w:hAnsi="Arial" w:cs="Arial"/>
        </w:rPr>
        <w:t xml:space="preserve">whereby </w:t>
      </w:r>
      <w:r w:rsidR="007B3C8B">
        <w:rPr>
          <w:rFonts w:ascii="Arial" w:hAnsi="Arial" w:cs="Arial"/>
        </w:rPr>
        <w:t xml:space="preserve">immediate </w:t>
      </w:r>
      <w:r w:rsidR="004F1928">
        <w:rPr>
          <w:rFonts w:ascii="Arial" w:hAnsi="Arial" w:cs="Arial"/>
        </w:rPr>
        <w:t>implementation of the award was to be interdicted</w:t>
      </w:r>
      <w:r w:rsidR="007B3C8B">
        <w:rPr>
          <w:rFonts w:ascii="Arial" w:hAnsi="Arial" w:cs="Arial"/>
        </w:rPr>
        <w:t xml:space="preserve"> pending the outcome of the </w:t>
      </w:r>
      <w:r w:rsidR="00114DDD">
        <w:rPr>
          <w:rFonts w:ascii="Arial" w:hAnsi="Arial" w:cs="Arial"/>
        </w:rPr>
        <w:t>review</w:t>
      </w:r>
      <w:r w:rsidR="002C7D3D">
        <w:rPr>
          <w:rFonts w:ascii="Arial" w:hAnsi="Arial" w:cs="Arial"/>
        </w:rPr>
        <w:t>)</w:t>
      </w:r>
      <w:r w:rsidR="00114DDD">
        <w:rPr>
          <w:rFonts w:ascii="Arial" w:hAnsi="Arial" w:cs="Arial"/>
        </w:rPr>
        <w:t>,</w:t>
      </w:r>
      <w:r w:rsidR="004F1928">
        <w:rPr>
          <w:rFonts w:ascii="Arial" w:hAnsi="Arial" w:cs="Arial"/>
        </w:rPr>
        <w:t xml:space="preserve"> and the requirements for such relief. </w:t>
      </w:r>
    </w:p>
    <w:p w14:paraId="01E186F8" w14:textId="2192BDDB" w:rsidR="00712338" w:rsidRPr="00114DDD" w:rsidRDefault="00A23655" w:rsidP="00A23655">
      <w:pPr>
        <w:adjustRightInd w:val="0"/>
        <w:spacing w:after="0" w:line="360" w:lineRule="auto"/>
        <w:ind w:left="720" w:hanging="720"/>
        <w:contextualSpacing/>
        <w:jc w:val="both"/>
        <w:textAlignment w:val="baseline"/>
        <w:rPr>
          <w:rFonts w:ascii="Arial" w:hAnsi="Arial" w:cs="Arial"/>
        </w:rPr>
      </w:pPr>
      <w:r w:rsidRPr="00114DDD">
        <w:rPr>
          <w:rFonts w:ascii="Arial" w:hAnsi="Arial" w:cs="Arial"/>
        </w:rPr>
        <w:t>25.</w:t>
      </w:r>
      <w:r w:rsidRPr="00114DDD">
        <w:rPr>
          <w:rFonts w:ascii="Arial" w:hAnsi="Arial" w:cs="Arial"/>
        </w:rPr>
        <w:tab/>
      </w:r>
      <w:r w:rsidR="00114DDD" w:rsidRPr="00114DDD">
        <w:rPr>
          <w:rFonts w:ascii="Arial" w:hAnsi="Arial" w:cs="Arial"/>
        </w:rPr>
        <w:t>T</w:t>
      </w:r>
      <w:r w:rsidR="007B3C8B" w:rsidRPr="00114DDD">
        <w:rPr>
          <w:rFonts w:ascii="Arial" w:hAnsi="Arial" w:cs="Arial"/>
        </w:rPr>
        <w:t>he applicant</w:t>
      </w:r>
      <w:r w:rsidR="004F1928" w:rsidRPr="00114DDD">
        <w:rPr>
          <w:rFonts w:ascii="Arial" w:hAnsi="Arial" w:cs="Arial"/>
        </w:rPr>
        <w:t xml:space="preserve"> contended that its clear </w:t>
      </w:r>
      <w:r w:rsidR="004F1928" w:rsidRPr="00114DDD">
        <w:rPr>
          <w:rFonts w:ascii="Arial" w:hAnsi="Arial" w:cs="Arial"/>
          <w:u w:val="single"/>
        </w:rPr>
        <w:t>alternatively</w:t>
      </w:r>
      <w:r w:rsidR="004F1928" w:rsidRPr="00114DDD">
        <w:rPr>
          <w:rFonts w:ascii="Arial" w:hAnsi="Arial" w:cs="Arial"/>
        </w:rPr>
        <w:t xml:space="preserve"> </w:t>
      </w:r>
      <w:r w:rsidR="004F1928" w:rsidRPr="00114DDD">
        <w:rPr>
          <w:rFonts w:ascii="Arial" w:hAnsi="Arial" w:cs="Arial"/>
          <w:i/>
          <w:iCs/>
        </w:rPr>
        <w:t>prima facie</w:t>
      </w:r>
      <w:r w:rsidR="004F1928" w:rsidRPr="00114DDD">
        <w:rPr>
          <w:rFonts w:ascii="Arial" w:hAnsi="Arial" w:cs="Arial"/>
        </w:rPr>
        <w:t xml:space="preserve"> right to procedural fairness in terms of </w:t>
      </w:r>
      <w:r w:rsidR="00CE0A21" w:rsidRPr="00114DDD">
        <w:rPr>
          <w:rFonts w:ascii="Arial" w:hAnsi="Arial" w:cs="Arial"/>
        </w:rPr>
        <w:t xml:space="preserve">s </w:t>
      </w:r>
      <w:r w:rsidR="004F1928" w:rsidRPr="00114DDD">
        <w:rPr>
          <w:rFonts w:ascii="Arial" w:hAnsi="Arial" w:cs="Arial"/>
        </w:rPr>
        <w:t>6(2)</w:t>
      </w:r>
      <w:r w:rsidR="007B3C8B" w:rsidRPr="00114DDD">
        <w:rPr>
          <w:rFonts w:ascii="Arial" w:hAnsi="Arial" w:cs="Arial"/>
        </w:rPr>
        <w:t xml:space="preserve"> </w:t>
      </w:r>
      <w:r w:rsidR="004F1928" w:rsidRPr="00114DDD">
        <w:rPr>
          <w:rFonts w:ascii="Arial" w:hAnsi="Arial" w:cs="Arial"/>
        </w:rPr>
        <w:t xml:space="preserve">of </w:t>
      </w:r>
      <w:r w:rsidR="00CE0A21" w:rsidRPr="00114DDD">
        <w:rPr>
          <w:rFonts w:ascii="Arial" w:hAnsi="Arial" w:cs="Arial"/>
        </w:rPr>
        <w:t>the Promotion of Administrative Justice Act</w:t>
      </w:r>
      <w:r w:rsidR="00CE0A21">
        <w:rPr>
          <w:rStyle w:val="FootnoteReference"/>
          <w:rFonts w:ascii="Arial" w:hAnsi="Arial" w:cs="Arial"/>
        </w:rPr>
        <w:footnoteReference w:id="1"/>
      </w:r>
      <w:r w:rsidR="00CE0A21" w:rsidRPr="00114DDD">
        <w:rPr>
          <w:rFonts w:ascii="Arial" w:hAnsi="Arial" w:cs="Arial"/>
        </w:rPr>
        <w:t xml:space="preserve"> (‘PAJA’)</w:t>
      </w:r>
      <w:r w:rsidR="004F1928" w:rsidRPr="00114DDD">
        <w:rPr>
          <w:rFonts w:ascii="Arial" w:hAnsi="Arial" w:cs="Arial"/>
        </w:rPr>
        <w:t xml:space="preserve"> had been infringed in a variety of ways.</w:t>
      </w:r>
      <w:r w:rsidR="007B56BC" w:rsidRPr="00114DDD">
        <w:rPr>
          <w:rFonts w:ascii="Arial" w:hAnsi="Arial" w:cs="Arial"/>
        </w:rPr>
        <w:t xml:space="preserve"> </w:t>
      </w:r>
      <w:r w:rsidR="00CE0A21" w:rsidRPr="00114DDD">
        <w:rPr>
          <w:rFonts w:ascii="Arial" w:hAnsi="Arial" w:cs="Arial"/>
        </w:rPr>
        <w:t>Th</w:t>
      </w:r>
      <w:r w:rsidR="00B23CDB" w:rsidRPr="00114DDD">
        <w:rPr>
          <w:rFonts w:ascii="Arial" w:hAnsi="Arial" w:cs="Arial"/>
        </w:rPr>
        <w:t>e</w:t>
      </w:r>
      <w:r w:rsidR="00CE0A21" w:rsidRPr="00114DDD">
        <w:rPr>
          <w:rFonts w:ascii="Arial" w:hAnsi="Arial" w:cs="Arial"/>
        </w:rPr>
        <w:t xml:space="preserve"> City</w:t>
      </w:r>
      <w:r w:rsidR="004F1928" w:rsidRPr="00114DDD">
        <w:rPr>
          <w:rFonts w:ascii="Arial" w:hAnsi="Arial" w:cs="Arial"/>
        </w:rPr>
        <w:t xml:space="preserve"> had allowed Syntell to compete against other bidders with an unfair advantage</w:t>
      </w:r>
      <w:r w:rsidR="00CE0A21" w:rsidRPr="00114DDD">
        <w:rPr>
          <w:rFonts w:ascii="Arial" w:hAnsi="Arial" w:cs="Arial"/>
        </w:rPr>
        <w:t>, as</w:t>
      </w:r>
      <w:r w:rsidR="004F1928" w:rsidRPr="00114DDD">
        <w:rPr>
          <w:rFonts w:ascii="Arial" w:hAnsi="Arial" w:cs="Arial"/>
        </w:rPr>
        <w:t xml:space="preserve"> the bid spec</w:t>
      </w:r>
      <w:r w:rsidR="00CE0A21" w:rsidRPr="00114DDD">
        <w:rPr>
          <w:rFonts w:ascii="Arial" w:hAnsi="Arial" w:cs="Arial"/>
        </w:rPr>
        <w:t>ifications</w:t>
      </w:r>
      <w:r w:rsidR="004F1928" w:rsidRPr="00114DDD">
        <w:rPr>
          <w:rFonts w:ascii="Arial" w:hAnsi="Arial" w:cs="Arial"/>
        </w:rPr>
        <w:t xml:space="preserve"> favoured </w:t>
      </w:r>
      <w:r w:rsidR="00CE0A21" w:rsidRPr="00114DDD">
        <w:rPr>
          <w:rFonts w:ascii="Arial" w:hAnsi="Arial" w:cs="Arial"/>
        </w:rPr>
        <w:t>it</w:t>
      </w:r>
      <w:r w:rsidR="004F1928" w:rsidRPr="00114DDD">
        <w:rPr>
          <w:rFonts w:ascii="Arial" w:hAnsi="Arial" w:cs="Arial"/>
        </w:rPr>
        <w:t xml:space="preserve"> over other bidders.</w:t>
      </w:r>
      <w:r w:rsidR="000D04D5">
        <w:rPr>
          <w:rFonts w:ascii="Arial" w:hAnsi="Arial" w:cs="Arial"/>
        </w:rPr>
        <w:t xml:space="preserve"> </w:t>
      </w:r>
      <w:r w:rsidR="00CE0A21" w:rsidRPr="00114DDD">
        <w:rPr>
          <w:rFonts w:ascii="Arial" w:hAnsi="Arial" w:cs="Arial"/>
        </w:rPr>
        <w:t xml:space="preserve">The City </w:t>
      </w:r>
      <w:r w:rsidR="004F1928" w:rsidRPr="00114DDD">
        <w:rPr>
          <w:rFonts w:ascii="Arial" w:hAnsi="Arial" w:cs="Arial"/>
        </w:rPr>
        <w:t xml:space="preserve">had treated the applicant unfairly and in a biased manner </w:t>
      </w:r>
      <w:r w:rsidR="00CE0A21" w:rsidRPr="00114DDD">
        <w:rPr>
          <w:rFonts w:ascii="Arial" w:hAnsi="Arial" w:cs="Arial"/>
        </w:rPr>
        <w:t xml:space="preserve">during the course of the briefing, </w:t>
      </w:r>
      <w:r w:rsidR="004F1928" w:rsidRPr="00114DDD">
        <w:rPr>
          <w:rFonts w:ascii="Arial" w:hAnsi="Arial" w:cs="Arial"/>
        </w:rPr>
        <w:t>as a bidder who w</w:t>
      </w:r>
      <w:r w:rsidR="00CE0A21" w:rsidRPr="00114DDD">
        <w:rPr>
          <w:rFonts w:ascii="Arial" w:hAnsi="Arial" w:cs="Arial"/>
        </w:rPr>
        <w:t>as</w:t>
      </w:r>
      <w:r w:rsidR="004F1928" w:rsidRPr="00114DDD">
        <w:rPr>
          <w:rFonts w:ascii="Arial" w:hAnsi="Arial" w:cs="Arial"/>
        </w:rPr>
        <w:t xml:space="preserve"> seeking merely to delay the process, when </w:t>
      </w:r>
      <w:r w:rsidR="00B23CDB" w:rsidRPr="00114DDD">
        <w:rPr>
          <w:rFonts w:ascii="Arial" w:hAnsi="Arial" w:cs="Arial"/>
        </w:rPr>
        <w:t>it</w:t>
      </w:r>
      <w:r w:rsidR="004F1928" w:rsidRPr="00114DDD">
        <w:rPr>
          <w:rFonts w:ascii="Arial" w:hAnsi="Arial" w:cs="Arial"/>
        </w:rPr>
        <w:t xml:space="preserve"> had </w:t>
      </w:r>
      <w:r w:rsidR="00114DDD">
        <w:rPr>
          <w:rFonts w:ascii="Arial" w:hAnsi="Arial" w:cs="Arial"/>
        </w:rPr>
        <w:t xml:space="preserve">fairly </w:t>
      </w:r>
      <w:r w:rsidR="004F1928" w:rsidRPr="00114DDD">
        <w:rPr>
          <w:rFonts w:ascii="Arial" w:hAnsi="Arial" w:cs="Arial"/>
        </w:rPr>
        <w:t>sought</w:t>
      </w:r>
      <w:r w:rsidR="00B23CDB" w:rsidRPr="00114DDD">
        <w:rPr>
          <w:rFonts w:ascii="Arial" w:hAnsi="Arial" w:cs="Arial"/>
        </w:rPr>
        <w:t xml:space="preserve"> </w:t>
      </w:r>
      <w:r w:rsidR="004F1928" w:rsidRPr="00114DDD">
        <w:rPr>
          <w:rFonts w:ascii="Arial" w:hAnsi="Arial" w:cs="Arial"/>
        </w:rPr>
        <w:t xml:space="preserve">information </w:t>
      </w:r>
      <w:r w:rsidR="00CE0A21" w:rsidRPr="00114DDD">
        <w:rPr>
          <w:rFonts w:ascii="Arial" w:hAnsi="Arial" w:cs="Arial"/>
        </w:rPr>
        <w:t xml:space="preserve">pertaining </w:t>
      </w:r>
      <w:r w:rsidR="008A6206" w:rsidRPr="00114DDD">
        <w:rPr>
          <w:rFonts w:ascii="Arial" w:hAnsi="Arial" w:cs="Arial"/>
        </w:rPr>
        <w:t>to infringement</w:t>
      </w:r>
      <w:r w:rsidR="004F1928" w:rsidRPr="00114DDD">
        <w:rPr>
          <w:rFonts w:ascii="Arial" w:hAnsi="Arial" w:cs="Arial"/>
        </w:rPr>
        <w:t xml:space="preserve"> volumes. </w:t>
      </w:r>
      <w:r w:rsidR="00B515BD">
        <w:rPr>
          <w:rFonts w:ascii="Arial" w:hAnsi="Arial" w:cs="Arial"/>
        </w:rPr>
        <w:t>The City’s</w:t>
      </w:r>
      <w:r w:rsidR="004F1928" w:rsidRPr="00114DDD">
        <w:rPr>
          <w:rFonts w:ascii="Arial" w:hAnsi="Arial" w:cs="Arial"/>
        </w:rPr>
        <w:t xml:space="preserve"> failure to provide the information because it thought it was </w:t>
      </w:r>
      <w:r w:rsidR="00CE0A21" w:rsidRPr="00114DDD">
        <w:rPr>
          <w:rFonts w:ascii="Arial" w:hAnsi="Arial" w:cs="Arial"/>
        </w:rPr>
        <w:t>un</w:t>
      </w:r>
      <w:r w:rsidR="004F1928" w:rsidRPr="00114DDD">
        <w:rPr>
          <w:rFonts w:ascii="Arial" w:hAnsi="Arial" w:cs="Arial"/>
        </w:rPr>
        <w:t xml:space="preserve">important </w:t>
      </w:r>
      <w:r w:rsidR="00CE0A21" w:rsidRPr="00114DDD">
        <w:rPr>
          <w:rFonts w:ascii="Arial" w:hAnsi="Arial" w:cs="Arial"/>
        </w:rPr>
        <w:t xml:space="preserve">or irrelevant </w:t>
      </w:r>
      <w:r w:rsidR="004F1928" w:rsidRPr="00114DDD">
        <w:rPr>
          <w:rFonts w:ascii="Arial" w:hAnsi="Arial" w:cs="Arial"/>
        </w:rPr>
        <w:t xml:space="preserve">resulted in it acting in an arbitrary </w:t>
      </w:r>
      <w:r w:rsidR="00B515BD">
        <w:rPr>
          <w:rFonts w:ascii="Arial" w:hAnsi="Arial" w:cs="Arial"/>
        </w:rPr>
        <w:t>fashion</w:t>
      </w:r>
      <w:r w:rsidR="00B23CDB" w:rsidRPr="00114DDD">
        <w:rPr>
          <w:rFonts w:ascii="Arial" w:hAnsi="Arial" w:cs="Arial"/>
        </w:rPr>
        <w:t xml:space="preserve"> and </w:t>
      </w:r>
      <w:r w:rsidR="004F1928" w:rsidRPr="00114DDD">
        <w:rPr>
          <w:rFonts w:ascii="Arial" w:hAnsi="Arial" w:cs="Arial"/>
        </w:rPr>
        <w:t>taking irrelevant considerations into account</w:t>
      </w:r>
      <w:r w:rsidR="00B515BD">
        <w:rPr>
          <w:rFonts w:ascii="Arial" w:hAnsi="Arial" w:cs="Arial"/>
        </w:rPr>
        <w:t>.</w:t>
      </w:r>
      <w:r w:rsidR="004F1928" w:rsidRPr="00114DDD">
        <w:rPr>
          <w:rFonts w:ascii="Arial" w:hAnsi="Arial" w:cs="Arial"/>
        </w:rPr>
        <w:t xml:space="preserve"> </w:t>
      </w:r>
      <w:r w:rsidR="008A6206">
        <w:rPr>
          <w:rFonts w:ascii="Arial" w:hAnsi="Arial" w:cs="Arial"/>
        </w:rPr>
        <w:t>And n</w:t>
      </w:r>
      <w:r w:rsidR="000D04D5" w:rsidRPr="00114DDD">
        <w:rPr>
          <w:rFonts w:ascii="Arial" w:hAnsi="Arial" w:cs="Arial"/>
        </w:rPr>
        <w:t xml:space="preserve">ot providing </w:t>
      </w:r>
      <w:r w:rsidR="000D04D5">
        <w:rPr>
          <w:rFonts w:ascii="Arial" w:hAnsi="Arial" w:cs="Arial"/>
        </w:rPr>
        <w:t>the applicant</w:t>
      </w:r>
      <w:r w:rsidR="000D04D5" w:rsidRPr="00114DDD">
        <w:rPr>
          <w:rFonts w:ascii="Arial" w:hAnsi="Arial" w:cs="Arial"/>
        </w:rPr>
        <w:t xml:space="preserve"> with the </w:t>
      </w:r>
      <w:r w:rsidR="000D04D5" w:rsidRPr="00114DDD">
        <w:rPr>
          <w:rFonts w:ascii="Arial" w:hAnsi="Arial" w:cs="Arial"/>
        </w:rPr>
        <w:lastRenderedPageBreak/>
        <w:t xml:space="preserve">infringement </w:t>
      </w:r>
      <w:r w:rsidR="00B515BD">
        <w:rPr>
          <w:rFonts w:ascii="Arial" w:hAnsi="Arial" w:cs="Arial"/>
        </w:rPr>
        <w:t>‘</w:t>
      </w:r>
      <w:r w:rsidR="000D04D5" w:rsidRPr="00114DDD">
        <w:rPr>
          <w:rFonts w:ascii="Arial" w:hAnsi="Arial" w:cs="Arial"/>
        </w:rPr>
        <w:t>numbers</w:t>
      </w:r>
      <w:r w:rsidR="00B515BD">
        <w:rPr>
          <w:rFonts w:ascii="Arial" w:hAnsi="Arial" w:cs="Arial"/>
        </w:rPr>
        <w:t>’</w:t>
      </w:r>
      <w:r w:rsidR="000D04D5" w:rsidRPr="00114DDD">
        <w:rPr>
          <w:rFonts w:ascii="Arial" w:hAnsi="Arial" w:cs="Arial"/>
        </w:rPr>
        <w:t xml:space="preserve"> had resulted in an irrational process which undermined the constitutional requirements of transparency, competitiveness, fairness, equitableness and cost effectiveness</w:t>
      </w:r>
      <w:r w:rsidR="008A6206">
        <w:rPr>
          <w:rFonts w:ascii="Arial" w:hAnsi="Arial" w:cs="Arial"/>
        </w:rPr>
        <w:t>.</w:t>
      </w:r>
    </w:p>
    <w:p w14:paraId="481BA3A4" w14:textId="677F815D" w:rsidR="00B23CD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26.</w:t>
      </w:r>
      <w:r>
        <w:rPr>
          <w:rFonts w:ascii="Arial" w:hAnsi="Arial" w:cs="Arial"/>
        </w:rPr>
        <w:tab/>
      </w:r>
      <w:r w:rsidR="004F1928">
        <w:rPr>
          <w:rFonts w:ascii="Arial" w:hAnsi="Arial" w:cs="Arial"/>
        </w:rPr>
        <w:t xml:space="preserve">No case was set out </w:t>
      </w:r>
      <w:r w:rsidR="00B23CDB">
        <w:rPr>
          <w:rFonts w:ascii="Arial" w:hAnsi="Arial" w:cs="Arial"/>
        </w:rPr>
        <w:t xml:space="preserve">or </w:t>
      </w:r>
      <w:r w:rsidR="004F1928">
        <w:rPr>
          <w:rFonts w:ascii="Arial" w:hAnsi="Arial" w:cs="Arial"/>
        </w:rPr>
        <w:t>pleaded</w:t>
      </w:r>
      <w:r w:rsidR="00B515BD">
        <w:rPr>
          <w:rFonts w:ascii="Arial" w:hAnsi="Arial" w:cs="Arial"/>
        </w:rPr>
        <w:t xml:space="preserve"> by the applicant</w:t>
      </w:r>
      <w:r w:rsidR="004F1928">
        <w:rPr>
          <w:rFonts w:ascii="Arial" w:hAnsi="Arial" w:cs="Arial"/>
        </w:rPr>
        <w:t xml:space="preserve"> in respect of the principal relief which was sought in terms of part </w:t>
      </w:r>
      <w:r w:rsidR="00B23CDB">
        <w:rPr>
          <w:rFonts w:ascii="Arial" w:hAnsi="Arial" w:cs="Arial"/>
        </w:rPr>
        <w:t>B</w:t>
      </w:r>
      <w:r w:rsidR="004F1928">
        <w:rPr>
          <w:rFonts w:ascii="Arial" w:hAnsi="Arial" w:cs="Arial"/>
        </w:rPr>
        <w:t xml:space="preserve"> of the notice of motion i.e. the review. Notwithstanding this deficiency a month later the applicant filed a supplementary founding affidavit in which it sought to supplement the grounds of review it claimed to have set out in its founding affidavit, by the addition of a further ground</w:t>
      </w:r>
      <w:r w:rsidR="00712338">
        <w:rPr>
          <w:rFonts w:ascii="Arial" w:hAnsi="Arial" w:cs="Arial"/>
        </w:rPr>
        <w:t xml:space="preserve"> which it said had become apparent after it had considered the record which had been filed by the </w:t>
      </w:r>
      <w:r w:rsidR="00B23CDB">
        <w:rPr>
          <w:rFonts w:ascii="Arial" w:hAnsi="Arial" w:cs="Arial"/>
        </w:rPr>
        <w:t>City,</w:t>
      </w:r>
      <w:r w:rsidR="00712338">
        <w:rPr>
          <w:rFonts w:ascii="Arial" w:hAnsi="Arial" w:cs="Arial"/>
        </w:rPr>
        <w:t xml:space="preserve"> in terms of rule 53. </w:t>
      </w:r>
      <w:r w:rsidR="00B23CDB">
        <w:rPr>
          <w:rFonts w:ascii="Arial" w:hAnsi="Arial" w:cs="Arial"/>
        </w:rPr>
        <w:t>I</w:t>
      </w:r>
      <w:r w:rsidR="007B56BC">
        <w:rPr>
          <w:rFonts w:ascii="Arial" w:hAnsi="Arial" w:cs="Arial"/>
        </w:rPr>
        <w:t>n this regard i</w:t>
      </w:r>
      <w:r w:rsidR="00712338">
        <w:rPr>
          <w:rFonts w:ascii="Arial" w:hAnsi="Arial" w:cs="Arial"/>
        </w:rPr>
        <w:t xml:space="preserve">t </w:t>
      </w:r>
      <w:r w:rsidR="007B56BC">
        <w:rPr>
          <w:rFonts w:ascii="Arial" w:hAnsi="Arial" w:cs="Arial"/>
        </w:rPr>
        <w:t xml:space="preserve">said that it </w:t>
      </w:r>
      <w:r w:rsidR="00712338">
        <w:rPr>
          <w:rFonts w:ascii="Arial" w:hAnsi="Arial" w:cs="Arial"/>
        </w:rPr>
        <w:t xml:space="preserve">was </w:t>
      </w:r>
      <w:r w:rsidR="00B23CDB">
        <w:rPr>
          <w:rFonts w:ascii="Arial" w:hAnsi="Arial" w:cs="Arial"/>
        </w:rPr>
        <w:t>evident from the</w:t>
      </w:r>
      <w:r w:rsidR="00712338">
        <w:rPr>
          <w:rFonts w:ascii="Arial" w:hAnsi="Arial" w:cs="Arial"/>
        </w:rPr>
        <w:t xml:space="preserve"> </w:t>
      </w:r>
      <w:r w:rsidR="00B23CDB">
        <w:rPr>
          <w:rFonts w:ascii="Arial" w:hAnsi="Arial" w:cs="Arial"/>
        </w:rPr>
        <w:t xml:space="preserve">copies of the licence equipment certificates which had been filed </w:t>
      </w:r>
      <w:r w:rsidR="00712338">
        <w:rPr>
          <w:rFonts w:ascii="Arial" w:hAnsi="Arial" w:cs="Arial"/>
        </w:rPr>
        <w:t>that th</w:t>
      </w:r>
      <w:r w:rsidR="00B23CDB">
        <w:rPr>
          <w:rFonts w:ascii="Arial" w:hAnsi="Arial" w:cs="Arial"/>
        </w:rPr>
        <w:t xml:space="preserve">ose which belonged to </w:t>
      </w:r>
      <w:r w:rsidR="00712338">
        <w:rPr>
          <w:rFonts w:ascii="Arial" w:hAnsi="Arial" w:cs="Arial"/>
        </w:rPr>
        <w:t>Syntell had also not been certified, contrary to the BEC minute</w:t>
      </w:r>
      <w:r w:rsidR="00B23CDB">
        <w:rPr>
          <w:rFonts w:ascii="Arial" w:hAnsi="Arial" w:cs="Arial"/>
        </w:rPr>
        <w:t>s</w:t>
      </w:r>
      <w:r w:rsidR="00712338">
        <w:rPr>
          <w:rFonts w:ascii="Arial" w:hAnsi="Arial" w:cs="Arial"/>
        </w:rPr>
        <w:t xml:space="preserve"> of 6 May 2022. Thus, Syntell had also been non-responsive and should also have been disqualified.</w:t>
      </w:r>
    </w:p>
    <w:p w14:paraId="1234A6A8" w14:textId="76BB0CE6" w:rsidR="00712338" w:rsidRPr="00B23CDB" w:rsidRDefault="00B23CDB" w:rsidP="00B23CDB">
      <w:pPr>
        <w:adjustRightInd w:val="0"/>
        <w:spacing w:after="0" w:line="360" w:lineRule="auto"/>
        <w:contextualSpacing/>
        <w:jc w:val="both"/>
        <w:textAlignment w:val="baseline"/>
        <w:rPr>
          <w:rFonts w:ascii="Arial" w:hAnsi="Arial" w:cs="Arial"/>
          <w:b/>
          <w:bCs/>
        </w:rPr>
      </w:pPr>
      <w:r w:rsidRPr="00B23CDB">
        <w:rPr>
          <w:rFonts w:ascii="Arial" w:hAnsi="Arial" w:cs="Arial"/>
          <w:b/>
          <w:bCs/>
        </w:rPr>
        <w:t xml:space="preserve">The </w:t>
      </w:r>
      <w:r w:rsidR="00CA2A47">
        <w:rPr>
          <w:rFonts w:ascii="Arial" w:hAnsi="Arial" w:cs="Arial"/>
          <w:b/>
          <w:bCs/>
        </w:rPr>
        <w:t>respondents’</w:t>
      </w:r>
      <w:r w:rsidRPr="00B23CDB">
        <w:rPr>
          <w:rFonts w:ascii="Arial" w:hAnsi="Arial" w:cs="Arial"/>
          <w:b/>
          <w:bCs/>
        </w:rPr>
        <w:t xml:space="preserve"> case</w:t>
      </w:r>
      <w:r w:rsidR="00712338" w:rsidRPr="00B23CDB">
        <w:rPr>
          <w:rFonts w:ascii="Arial" w:hAnsi="Arial" w:cs="Arial"/>
          <w:b/>
          <w:bCs/>
        </w:rPr>
        <w:t xml:space="preserve"> </w:t>
      </w:r>
    </w:p>
    <w:p w14:paraId="025FE5B2" w14:textId="60C45862" w:rsidR="00712338"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27.</w:t>
      </w:r>
      <w:r>
        <w:rPr>
          <w:rFonts w:ascii="Arial" w:hAnsi="Arial" w:cs="Arial"/>
        </w:rPr>
        <w:tab/>
      </w:r>
      <w:r w:rsidR="00712338">
        <w:rPr>
          <w:rFonts w:ascii="Arial" w:hAnsi="Arial" w:cs="Arial"/>
        </w:rPr>
        <w:t xml:space="preserve">In its answering affidavit the City’s </w:t>
      </w:r>
      <w:bookmarkStart w:id="1" w:name="_Hlk162335314"/>
      <w:r w:rsidR="00712338">
        <w:rPr>
          <w:rFonts w:ascii="Arial" w:hAnsi="Arial" w:cs="Arial"/>
        </w:rPr>
        <w:t xml:space="preserve">Acting </w:t>
      </w:r>
      <w:r w:rsidR="00B23CDB">
        <w:rPr>
          <w:rFonts w:ascii="Arial" w:hAnsi="Arial" w:cs="Arial"/>
        </w:rPr>
        <w:t>G</w:t>
      </w:r>
      <w:r w:rsidR="00712338">
        <w:rPr>
          <w:rFonts w:ascii="Arial" w:hAnsi="Arial" w:cs="Arial"/>
        </w:rPr>
        <w:t xml:space="preserve">roup </w:t>
      </w:r>
      <w:r w:rsidR="00B23CDB">
        <w:rPr>
          <w:rFonts w:ascii="Arial" w:hAnsi="Arial" w:cs="Arial"/>
        </w:rPr>
        <w:t>H</w:t>
      </w:r>
      <w:r w:rsidR="00712338">
        <w:rPr>
          <w:rFonts w:ascii="Arial" w:hAnsi="Arial" w:cs="Arial"/>
        </w:rPr>
        <w:t xml:space="preserve">ead: </w:t>
      </w:r>
      <w:r w:rsidR="00B23CDB">
        <w:rPr>
          <w:rFonts w:ascii="Arial" w:hAnsi="Arial" w:cs="Arial"/>
        </w:rPr>
        <w:t>L</w:t>
      </w:r>
      <w:r w:rsidR="00712338">
        <w:rPr>
          <w:rFonts w:ascii="Arial" w:hAnsi="Arial" w:cs="Arial"/>
        </w:rPr>
        <w:t xml:space="preserve">egal Services </w:t>
      </w:r>
      <w:bookmarkEnd w:id="1"/>
      <w:r w:rsidR="00712338">
        <w:rPr>
          <w:rFonts w:ascii="Arial" w:hAnsi="Arial" w:cs="Arial"/>
        </w:rPr>
        <w:t>contended that the review had no basis in law and the City had scrupulously followed the requisite legal prescripts.</w:t>
      </w:r>
    </w:p>
    <w:p w14:paraId="2625EF4B" w14:textId="3FB6BED9" w:rsidR="00C04DD0"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28.</w:t>
      </w:r>
      <w:r>
        <w:rPr>
          <w:rFonts w:ascii="Arial" w:hAnsi="Arial" w:cs="Arial"/>
        </w:rPr>
        <w:tab/>
      </w:r>
      <w:r w:rsidR="00B23CDB">
        <w:rPr>
          <w:rFonts w:ascii="Arial" w:hAnsi="Arial" w:cs="Arial"/>
        </w:rPr>
        <w:t>He</w:t>
      </w:r>
      <w:r w:rsidR="00712338">
        <w:rPr>
          <w:rFonts w:ascii="Arial" w:hAnsi="Arial" w:cs="Arial"/>
        </w:rPr>
        <w:t xml:space="preserve"> detailed the process that had been followed </w:t>
      </w:r>
      <w:r w:rsidR="00B23CDB">
        <w:rPr>
          <w:rFonts w:ascii="Arial" w:hAnsi="Arial" w:cs="Arial"/>
        </w:rPr>
        <w:t xml:space="preserve">by the City </w:t>
      </w:r>
      <w:r w:rsidR="00712338">
        <w:rPr>
          <w:rFonts w:ascii="Arial" w:hAnsi="Arial" w:cs="Arial"/>
        </w:rPr>
        <w:t>and emphasised that the tender sought to introduce a new model for the provision of the required services whereby the equipment</w:t>
      </w:r>
      <w:r w:rsidR="007B56BC">
        <w:rPr>
          <w:rFonts w:ascii="Arial" w:hAnsi="Arial" w:cs="Arial"/>
        </w:rPr>
        <w:t>,</w:t>
      </w:r>
      <w:r w:rsidR="00712338">
        <w:rPr>
          <w:rFonts w:ascii="Arial" w:hAnsi="Arial" w:cs="Arial"/>
        </w:rPr>
        <w:t xml:space="preserve"> including both hardware and software</w:t>
      </w:r>
      <w:r w:rsidR="007B56BC">
        <w:rPr>
          <w:rFonts w:ascii="Arial" w:hAnsi="Arial" w:cs="Arial"/>
        </w:rPr>
        <w:t>,</w:t>
      </w:r>
      <w:r w:rsidR="00712338">
        <w:rPr>
          <w:rFonts w:ascii="Arial" w:hAnsi="Arial" w:cs="Arial"/>
        </w:rPr>
        <w:t xml:space="preserve"> was to be acquired by the service provider and not the City, which would effectively remunerate the provider for the services which </w:t>
      </w:r>
      <w:r w:rsidR="00C04DD0">
        <w:rPr>
          <w:rFonts w:ascii="Arial" w:hAnsi="Arial" w:cs="Arial"/>
        </w:rPr>
        <w:t>were</w:t>
      </w:r>
      <w:r w:rsidR="00712338">
        <w:rPr>
          <w:rFonts w:ascii="Arial" w:hAnsi="Arial" w:cs="Arial"/>
        </w:rPr>
        <w:t xml:space="preserve"> rendered on a monthly basis, in contrast to the previous model </w:t>
      </w:r>
      <w:r w:rsidR="00C04DD0">
        <w:rPr>
          <w:rFonts w:ascii="Arial" w:hAnsi="Arial" w:cs="Arial"/>
        </w:rPr>
        <w:t>where its</w:t>
      </w:r>
      <w:r w:rsidR="00712338">
        <w:rPr>
          <w:rFonts w:ascii="Arial" w:hAnsi="Arial" w:cs="Arial"/>
        </w:rPr>
        <w:t xml:space="preserve"> remuneration </w:t>
      </w:r>
      <w:r w:rsidR="00C04DD0">
        <w:rPr>
          <w:rFonts w:ascii="Arial" w:hAnsi="Arial" w:cs="Arial"/>
        </w:rPr>
        <w:t xml:space="preserve">was </w:t>
      </w:r>
      <w:r w:rsidR="00712338">
        <w:rPr>
          <w:rFonts w:ascii="Arial" w:hAnsi="Arial" w:cs="Arial"/>
        </w:rPr>
        <w:t xml:space="preserve">based on the number of infringements which were captured and processed. </w:t>
      </w:r>
    </w:p>
    <w:p w14:paraId="0BEF1D3C" w14:textId="7CE030A2" w:rsidR="00C04DD0"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29.</w:t>
      </w:r>
      <w:r>
        <w:rPr>
          <w:rFonts w:ascii="Arial" w:hAnsi="Arial" w:cs="Arial"/>
        </w:rPr>
        <w:tab/>
      </w:r>
      <w:r w:rsidR="00712338">
        <w:rPr>
          <w:rFonts w:ascii="Arial" w:hAnsi="Arial" w:cs="Arial"/>
        </w:rPr>
        <w:t>He explained what transpired at the compulsory briefing session and how bidders were given an opportunity to submit any further questions they may have had</w:t>
      </w:r>
      <w:r w:rsidR="00C04DD0">
        <w:rPr>
          <w:rFonts w:ascii="Arial" w:hAnsi="Arial" w:cs="Arial"/>
        </w:rPr>
        <w:t>,</w:t>
      </w:r>
      <w:r w:rsidR="00712338">
        <w:rPr>
          <w:rFonts w:ascii="Arial" w:hAnsi="Arial" w:cs="Arial"/>
        </w:rPr>
        <w:t xml:space="preserve"> in writing. He pointed out that</w:t>
      </w:r>
      <w:r w:rsidR="00C04DD0" w:rsidRPr="00C04DD0">
        <w:rPr>
          <w:rFonts w:ascii="Arial" w:hAnsi="Arial" w:cs="Arial"/>
        </w:rPr>
        <w:t xml:space="preserve"> </w:t>
      </w:r>
      <w:r w:rsidR="00C04DD0">
        <w:rPr>
          <w:rFonts w:ascii="Arial" w:hAnsi="Arial" w:cs="Arial"/>
        </w:rPr>
        <w:t>it had been made clear to the applicant at the briefing that the infringement information it sought would not be provided as it was considered to be irrelevant</w:t>
      </w:r>
      <w:r w:rsidR="0022000C">
        <w:rPr>
          <w:rFonts w:ascii="Arial" w:hAnsi="Arial" w:cs="Arial"/>
        </w:rPr>
        <w:t>,</w:t>
      </w:r>
      <w:r w:rsidR="00C04DD0">
        <w:rPr>
          <w:rFonts w:ascii="Arial" w:hAnsi="Arial" w:cs="Arial"/>
        </w:rPr>
        <w:t xml:space="preserve"> and that is why the City did not respond </w:t>
      </w:r>
      <w:r w:rsidR="00712338">
        <w:rPr>
          <w:rFonts w:ascii="Arial" w:hAnsi="Arial" w:cs="Arial"/>
        </w:rPr>
        <w:t>to the applicant’s request</w:t>
      </w:r>
      <w:r w:rsidR="00C04DD0">
        <w:rPr>
          <w:rFonts w:ascii="Arial" w:hAnsi="Arial" w:cs="Arial"/>
        </w:rPr>
        <w:t xml:space="preserve"> for the selfsame information in its</w:t>
      </w:r>
      <w:r w:rsidR="00712338">
        <w:rPr>
          <w:rFonts w:ascii="Arial" w:hAnsi="Arial" w:cs="Arial"/>
        </w:rPr>
        <w:t xml:space="preserve"> email of 16 March 2022</w:t>
      </w:r>
      <w:r w:rsidR="00C04DD0">
        <w:rPr>
          <w:rFonts w:ascii="Arial" w:hAnsi="Arial" w:cs="Arial"/>
        </w:rPr>
        <w:t>.</w:t>
      </w:r>
      <w:r w:rsidR="00712338">
        <w:rPr>
          <w:rFonts w:ascii="Arial" w:hAnsi="Arial" w:cs="Arial"/>
        </w:rPr>
        <w:t xml:space="preserve"> In </w:t>
      </w:r>
      <w:r w:rsidR="00712338">
        <w:rPr>
          <w:rFonts w:ascii="Arial" w:hAnsi="Arial" w:cs="Arial"/>
        </w:rPr>
        <w:lastRenderedPageBreak/>
        <w:t>requesting this information for</w:t>
      </w:r>
      <w:r w:rsidR="00C04DD0">
        <w:rPr>
          <w:rFonts w:ascii="Arial" w:hAnsi="Arial" w:cs="Arial"/>
        </w:rPr>
        <w:t xml:space="preserve"> the</w:t>
      </w:r>
      <w:r w:rsidR="00712338">
        <w:rPr>
          <w:rFonts w:ascii="Arial" w:hAnsi="Arial" w:cs="Arial"/>
        </w:rPr>
        <w:t xml:space="preserve"> 2</w:t>
      </w:r>
      <w:r w:rsidR="00712338" w:rsidRPr="00712338">
        <w:rPr>
          <w:rFonts w:ascii="Arial" w:hAnsi="Arial" w:cs="Arial"/>
          <w:vertAlign w:val="superscript"/>
        </w:rPr>
        <w:t>nd</w:t>
      </w:r>
      <w:r w:rsidR="00712338">
        <w:rPr>
          <w:rFonts w:ascii="Arial" w:hAnsi="Arial" w:cs="Arial"/>
        </w:rPr>
        <w:t xml:space="preserve"> </w:t>
      </w:r>
      <w:r w:rsidR="007B56BC">
        <w:rPr>
          <w:rFonts w:ascii="Arial" w:hAnsi="Arial" w:cs="Arial"/>
        </w:rPr>
        <w:t>time</w:t>
      </w:r>
      <w:r w:rsidR="00712338">
        <w:rPr>
          <w:rFonts w:ascii="Arial" w:hAnsi="Arial" w:cs="Arial"/>
        </w:rPr>
        <w:t xml:space="preserve"> the applicant </w:t>
      </w:r>
      <w:r w:rsidR="0022000C">
        <w:rPr>
          <w:rFonts w:ascii="Arial" w:hAnsi="Arial" w:cs="Arial"/>
        </w:rPr>
        <w:t xml:space="preserve">clearly </w:t>
      </w:r>
      <w:r w:rsidR="00C04DD0">
        <w:rPr>
          <w:rFonts w:ascii="Arial" w:hAnsi="Arial" w:cs="Arial"/>
        </w:rPr>
        <w:t xml:space="preserve">still </w:t>
      </w:r>
      <w:r w:rsidR="00712338">
        <w:rPr>
          <w:rFonts w:ascii="Arial" w:hAnsi="Arial" w:cs="Arial"/>
        </w:rPr>
        <w:t>laboured under the misapprehension that traffic infringement volumes were critical for the provision of the service</w:t>
      </w:r>
      <w:r w:rsidR="00C04DD0">
        <w:rPr>
          <w:rFonts w:ascii="Arial" w:hAnsi="Arial" w:cs="Arial"/>
        </w:rPr>
        <w:t>s</w:t>
      </w:r>
      <w:r w:rsidR="00712338">
        <w:rPr>
          <w:rFonts w:ascii="Arial" w:hAnsi="Arial" w:cs="Arial"/>
        </w:rPr>
        <w:t xml:space="preserve"> which w</w:t>
      </w:r>
      <w:r w:rsidR="00C04DD0">
        <w:rPr>
          <w:rFonts w:ascii="Arial" w:hAnsi="Arial" w:cs="Arial"/>
        </w:rPr>
        <w:t>ere</w:t>
      </w:r>
      <w:r w:rsidR="00712338">
        <w:rPr>
          <w:rFonts w:ascii="Arial" w:hAnsi="Arial" w:cs="Arial"/>
        </w:rPr>
        <w:t xml:space="preserve"> the subject of the tender. This was not correct</w:t>
      </w:r>
      <w:r w:rsidR="00C04DD0">
        <w:rPr>
          <w:rFonts w:ascii="Arial" w:hAnsi="Arial" w:cs="Arial"/>
        </w:rPr>
        <w:t>,</w:t>
      </w:r>
      <w:r w:rsidR="00712338">
        <w:rPr>
          <w:rFonts w:ascii="Arial" w:hAnsi="Arial" w:cs="Arial"/>
        </w:rPr>
        <w:t xml:space="preserve"> as the tender envisaged a complete shift from the former operating model which had been followed in previous tenders. </w:t>
      </w:r>
    </w:p>
    <w:p w14:paraId="1E324C94" w14:textId="4061A413" w:rsidR="00712338"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30.</w:t>
      </w:r>
      <w:r>
        <w:rPr>
          <w:rFonts w:ascii="Arial" w:hAnsi="Arial" w:cs="Arial"/>
        </w:rPr>
        <w:tab/>
      </w:r>
      <w:r w:rsidR="00C04DD0">
        <w:rPr>
          <w:rFonts w:ascii="Arial" w:hAnsi="Arial" w:cs="Arial"/>
        </w:rPr>
        <w:t>The Acting Head</w:t>
      </w:r>
      <w:r w:rsidR="00712338">
        <w:rPr>
          <w:rFonts w:ascii="Arial" w:hAnsi="Arial" w:cs="Arial"/>
        </w:rPr>
        <w:t xml:space="preserve"> reiterated that </w:t>
      </w:r>
      <w:r w:rsidR="00C04DD0">
        <w:rPr>
          <w:rFonts w:ascii="Arial" w:hAnsi="Arial" w:cs="Arial"/>
        </w:rPr>
        <w:t xml:space="preserve">when </w:t>
      </w:r>
      <w:r w:rsidR="00712338">
        <w:rPr>
          <w:rFonts w:ascii="Arial" w:hAnsi="Arial" w:cs="Arial"/>
        </w:rPr>
        <w:t xml:space="preserve">the bid was evaluated by the BEC </w:t>
      </w:r>
      <w:r w:rsidR="00C04DD0">
        <w:rPr>
          <w:rFonts w:ascii="Arial" w:hAnsi="Arial" w:cs="Arial"/>
        </w:rPr>
        <w:t xml:space="preserve">it </w:t>
      </w:r>
      <w:r w:rsidR="007B56BC">
        <w:rPr>
          <w:rFonts w:ascii="Arial" w:hAnsi="Arial" w:cs="Arial"/>
        </w:rPr>
        <w:t>was</w:t>
      </w:r>
      <w:r w:rsidR="00712338">
        <w:rPr>
          <w:rFonts w:ascii="Arial" w:hAnsi="Arial" w:cs="Arial"/>
        </w:rPr>
        <w:t xml:space="preserve"> apparent that both the applicant and a 2</w:t>
      </w:r>
      <w:r w:rsidR="00712338" w:rsidRPr="00712338">
        <w:rPr>
          <w:rFonts w:ascii="Arial" w:hAnsi="Arial" w:cs="Arial"/>
          <w:vertAlign w:val="superscript"/>
        </w:rPr>
        <w:t>nd</w:t>
      </w:r>
      <w:r w:rsidR="00712338">
        <w:rPr>
          <w:rFonts w:ascii="Arial" w:hAnsi="Arial" w:cs="Arial"/>
        </w:rPr>
        <w:t xml:space="preserve"> b</w:t>
      </w:r>
      <w:r w:rsidR="007B56BC">
        <w:rPr>
          <w:rFonts w:ascii="Arial" w:hAnsi="Arial" w:cs="Arial"/>
        </w:rPr>
        <w:t>idder</w:t>
      </w:r>
      <w:r w:rsidR="00712338">
        <w:rPr>
          <w:rFonts w:ascii="Arial" w:hAnsi="Arial" w:cs="Arial"/>
        </w:rPr>
        <w:t xml:space="preserve"> had failed to comply with the qualifying criteria as they had failed to submit certified copies of the licence certificates for their equipment</w:t>
      </w:r>
      <w:r w:rsidR="007B56BC">
        <w:rPr>
          <w:rFonts w:ascii="Arial" w:hAnsi="Arial" w:cs="Arial"/>
        </w:rPr>
        <w:t>,</w:t>
      </w:r>
      <w:r w:rsidR="00712338">
        <w:rPr>
          <w:rFonts w:ascii="Arial" w:hAnsi="Arial" w:cs="Arial"/>
        </w:rPr>
        <w:t xml:space="preserve"> and they had therefore been correctly and properly disqualified on the grounds that the</w:t>
      </w:r>
      <w:r w:rsidR="007B56BC">
        <w:rPr>
          <w:rFonts w:ascii="Arial" w:hAnsi="Arial" w:cs="Arial"/>
        </w:rPr>
        <w:t>ir</w:t>
      </w:r>
      <w:r w:rsidR="00712338">
        <w:rPr>
          <w:rFonts w:ascii="Arial" w:hAnsi="Arial" w:cs="Arial"/>
        </w:rPr>
        <w:t xml:space="preserve"> b</w:t>
      </w:r>
      <w:r w:rsidR="007B56BC">
        <w:rPr>
          <w:rFonts w:ascii="Arial" w:hAnsi="Arial" w:cs="Arial"/>
        </w:rPr>
        <w:t>i</w:t>
      </w:r>
      <w:r w:rsidR="00712338">
        <w:rPr>
          <w:rFonts w:ascii="Arial" w:hAnsi="Arial" w:cs="Arial"/>
        </w:rPr>
        <w:t>ds were non-responsive. As to the contention</w:t>
      </w:r>
      <w:r w:rsidR="002C7D3D">
        <w:rPr>
          <w:rFonts w:ascii="Arial" w:hAnsi="Arial" w:cs="Arial"/>
        </w:rPr>
        <w:t>,</w:t>
      </w:r>
      <w:r w:rsidR="00712338">
        <w:rPr>
          <w:rFonts w:ascii="Arial" w:hAnsi="Arial" w:cs="Arial"/>
        </w:rPr>
        <w:t xml:space="preserve"> in the supplementary founding affidavit</w:t>
      </w:r>
      <w:r w:rsidR="002C7D3D">
        <w:rPr>
          <w:rFonts w:ascii="Arial" w:hAnsi="Arial" w:cs="Arial"/>
        </w:rPr>
        <w:t>,</w:t>
      </w:r>
      <w:r w:rsidR="00712338">
        <w:rPr>
          <w:rFonts w:ascii="Arial" w:hAnsi="Arial" w:cs="Arial"/>
        </w:rPr>
        <w:t xml:space="preserve"> that Syntell should also have been disqualified on this basis as it</w:t>
      </w:r>
      <w:r w:rsidR="007B56BC">
        <w:rPr>
          <w:rFonts w:ascii="Arial" w:hAnsi="Arial" w:cs="Arial"/>
        </w:rPr>
        <w:t>s</w:t>
      </w:r>
      <w:r w:rsidR="00712338">
        <w:rPr>
          <w:rFonts w:ascii="Arial" w:hAnsi="Arial" w:cs="Arial"/>
        </w:rPr>
        <w:t xml:space="preserve"> certificates were also not certified</w:t>
      </w:r>
      <w:r w:rsidR="007B56BC">
        <w:rPr>
          <w:rFonts w:ascii="Arial" w:hAnsi="Arial" w:cs="Arial"/>
        </w:rPr>
        <w:t>,</w:t>
      </w:r>
      <w:r w:rsidR="00712338">
        <w:rPr>
          <w:rFonts w:ascii="Arial" w:hAnsi="Arial" w:cs="Arial"/>
        </w:rPr>
        <w:t xml:space="preserve"> he explained that the</w:t>
      </w:r>
      <w:r w:rsidR="007B56BC">
        <w:rPr>
          <w:rFonts w:ascii="Arial" w:hAnsi="Arial" w:cs="Arial"/>
        </w:rPr>
        <w:t>re</w:t>
      </w:r>
      <w:r w:rsidR="00712338">
        <w:rPr>
          <w:rFonts w:ascii="Arial" w:hAnsi="Arial" w:cs="Arial"/>
        </w:rPr>
        <w:t xml:space="preserve"> had been a mix</w:t>
      </w:r>
      <w:r w:rsidR="007B56BC">
        <w:rPr>
          <w:rFonts w:ascii="Arial" w:hAnsi="Arial" w:cs="Arial"/>
        </w:rPr>
        <w:t>-</w:t>
      </w:r>
      <w:r w:rsidR="00712338">
        <w:rPr>
          <w:rFonts w:ascii="Arial" w:hAnsi="Arial" w:cs="Arial"/>
        </w:rPr>
        <w:t>up in the filing of the record</w:t>
      </w:r>
      <w:r w:rsidR="007B56BC">
        <w:rPr>
          <w:rFonts w:ascii="Arial" w:hAnsi="Arial" w:cs="Arial"/>
        </w:rPr>
        <w:t>,</w:t>
      </w:r>
      <w:r w:rsidR="00712338">
        <w:rPr>
          <w:rFonts w:ascii="Arial" w:hAnsi="Arial" w:cs="Arial"/>
        </w:rPr>
        <w:t xml:space="preserve"> which had </w:t>
      </w:r>
      <w:r w:rsidR="0022000C">
        <w:rPr>
          <w:rFonts w:ascii="Arial" w:hAnsi="Arial" w:cs="Arial"/>
        </w:rPr>
        <w:t xml:space="preserve">caused </w:t>
      </w:r>
      <w:r w:rsidR="00712338">
        <w:rPr>
          <w:rFonts w:ascii="Arial" w:hAnsi="Arial" w:cs="Arial"/>
        </w:rPr>
        <w:t>confusion. The</w:t>
      </w:r>
      <w:r w:rsidR="007B56BC">
        <w:rPr>
          <w:rFonts w:ascii="Arial" w:hAnsi="Arial" w:cs="Arial"/>
        </w:rPr>
        <w:t xml:space="preserve"> </w:t>
      </w:r>
      <w:r w:rsidR="0022000C">
        <w:rPr>
          <w:rFonts w:ascii="Arial" w:hAnsi="Arial" w:cs="Arial"/>
        </w:rPr>
        <w:t xml:space="preserve">City’s </w:t>
      </w:r>
      <w:r w:rsidR="007B56BC">
        <w:rPr>
          <w:rFonts w:ascii="Arial" w:hAnsi="Arial" w:cs="Arial"/>
        </w:rPr>
        <w:t xml:space="preserve">attorneys </w:t>
      </w:r>
      <w:r w:rsidR="00712338">
        <w:rPr>
          <w:rFonts w:ascii="Arial" w:hAnsi="Arial" w:cs="Arial"/>
        </w:rPr>
        <w:t xml:space="preserve">had been provided </w:t>
      </w:r>
      <w:r w:rsidR="0022000C">
        <w:rPr>
          <w:rFonts w:ascii="Arial" w:hAnsi="Arial" w:cs="Arial"/>
        </w:rPr>
        <w:t xml:space="preserve">by City officials </w:t>
      </w:r>
      <w:r w:rsidR="00712338">
        <w:rPr>
          <w:rFonts w:ascii="Arial" w:hAnsi="Arial" w:cs="Arial"/>
        </w:rPr>
        <w:t xml:space="preserve">with files containing hard copies of the bid documents. </w:t>
      </w:r>
      <w:r w:rsidR="00394B25">
        <w:rPr>
          <w:rFonts w:ascii="Arial" w:hAnsi="Arial" w:cs="Arial"/>
        </w:rPr>
        <w:t xml:space="preserve">As </w:t>
      </w:r>
      <w:r w:rsidR="00712338">
        <w:rPr>
          <w:rFonts w:ascii="Arial" w:hAnsi="Arial" w:cs="Arial"/>
        </w:rPr>
        <w:t>the files had gone through various processes and committees for evaluation and adjudication</w:t>
      </w:r>
      <w:r w:rsidR="007B56BC">
        <w:rPr>
          <w:rFonts w:ascii="Arial" w:hAnsi="Arial" w:cs="Arial"/>
        </w:rPr>
        <w:t>,</w:t>
      </w:r>
      <w:r w:rsidR="00712338">
        <w:rPr>
          <w:rFonts w:ascii="Arial" w:hAnsi="Arial" w:cs="Arial"/>
        </w:rPr>
        <w:t xml:space="preserve"> </w:t>
      </w:r>
      <w:r w:rsidR="00394B25">
        <w:rPr>
          <w:rFonts w:ascii="Arial" w:hAnsi="Arial" w:cs="Arial"/>
        </w:rPr>
        <w:t>they</w:t>
      </w:r>
      <w:r w:rsidR="007B56BC">
        <w:rPr>
          <w:rFonts w:ascii="Arial" w:hAnsi="Arial" w:cs="Arial"/>
        </w:rPr>
        <w:t xml:space="preserve"> had been jumbled </w:t>
      </w:r>
      <w:r w:rsidR="00C110C7">
        <w:rPr>
          <w:rFonts w:ascii="Arial" w:hAnsi="Arial" w:cs="Arial"/>
        </w:rPr>
        <w:t>up, and</w:t>
      </w:r>
      <w:r w:rsidR="0022000C">
        <w:rPr>
          <w:rFonts w:ascii="Arial" w:hAnsi="Arial" w:cs="Arial"/>
        </w:rPr>
        <w:t xml:space="preserve"> </w:t>
      </w:r>
      <w:r w:rsidR="00712338">
        <w:rPr>
          <w:rFonts w:ascii="Arial" w:hAnsi="Arial" w:cs="Arial"/>
        </w:rPr>
        <w:t xml:space="preserve">the papers had not been properly ‘repackaged’ in the correct order in which they had </w:t>
      </w:r>
      <w:r w:rsidR="00C110C7">
        <w:rPr>
          <w:rFonts w:ascii="Arial" w:hAnsi="Arial" w:cs="Arial"/>
        </w:rPr>
        <w:t xml:space="preserve">originally </w:t>
      </w:r>
      <w:r w:rsidR="00712338">
        <w:rPr>
          <w:rFonts w:ascii="Arial" w:hAnsi="Arial" w:cs="Arial"/>
        </w:rPr>
        <w:t>been submitted</w:t>
      </w:r>
      <w:r w:rsidR="00394B25">
        <w:rPr>
          <w:rFonts w:ascii="Arial" w:hAnsi="Arial" w:cs="Arial"/>
        </w:rPr>
        <w:t>,</w:t>
      </w:r>
      <w:r w:rsidR="002C7D3D">
        <w:rPr>
          <w:rFonts w:ascii="Arial" w:hAnsi="Arial" w:cs="Arial"/>
        </w:rPr>
        <w:t xml:space="preserve"> </w:t>
      </w:r>
      <w:r w:rsidR="00CD6429">
        <w:rPr>
          <w:rFonts w:ascii="Arial" w:hAnsi="Arial" w:cs="Arial"/>
        </w:rPr>
        <w:t>before</w:t>
      </w:r>
      <w:r w:rsidR="002C7D3D">
        <w:rPr>
          <w:rFonts w:ascii="Arial" w:hAnsi="Arial" w:cs="Arial"/>
        </w:rPr>
        <w:t xml:space="preserve"> they were provided to the attorneys,</w:t>
      </w:r>
      <w:r w:rsidR="00C110C7">
        <w:rPr>
          <w:rFonts w:ascii="Arial" w:hAnsi="Arial" w:cs="Arial"/>
        </w:rPr>
        <w:t xml:space="preserve"> and i</w:t>
      </w:r>
      <w:r w:rsidR="007B56BC">
        <w:rPr>
          <w:rFonts w:ascii="Arial" w:hAnsi="Arial" w:cs="Arial"/>
        </w:rPr>
        <w:t xml:space="preserve">n </w:t>
      </w:r>
      <w:r w:rsidR="00712338">
        <w:rPr>
          <w:rFonts w:ascii="Arial" w:hAnsi="Arial" w:cs="Arial"/>
        </w:rPr>
        <w:t xml:space="preserve">certain instances the </w:t>
      </w:r>
      <w:r w:rsidR="007B56BC">
        <w:rPr>
          <w:rFonts w:ascii="Arial" w:hAnsi="Arial" w:cs="Arial"/>
        </w:rPr>
        <w:t xml:space="preserve">contents of the </w:t>
      </w:r>
      <w:r w:rsidR="00712338">
        <w:rPr>
          <w:rFonts w:ascii="Arial" w:hAnsi="Arial" w:cs="Arial"/>
        </w:rPr>
        <w:t xml:space="preserve">files were </w:t>
      </w:r>
      <w:r w:rsidR="00394B25">
        <w:rPr>
          <w:rFonts w:ascii="Arial" w:hAnsi="Arial" w:cs="Arial"/>
        </w:rPr>
        <w:t>in</w:t>
      </w:r>
      <w:r w:rsidR="00712338">
        <w:rPr>
          <w:rFonts w:ascii="Arial" w:hAnsi="Arial" w:cs="Arial"/>
        </w:rPr>
        <w:t>complete. It appear</w:t>
      </w:r>
      <w:r w:rsidR="00C110C7">
        <w:rPr>
          <w:rFonts w:ascii="Arial" w:hAnsi="Arial" w:cs="Arial"/>
        </w:rPr>
        <w:t>ed</w:t>
      </w:r>
      <w:r w:rsidR="00712338">
        <w:rPr>
          <w:rFonts w:ascii="Arial" w:hAnsi="Arial" w:cs="Arial"/>
        </w:rPr>
        <w:t xml:space="preserve"> that</w:t>
      </w:r>
      <w:r w:rsidR="007B56BC">
        <w:rPr>
          <w:rFonts w:ascii="Arial" w:hAnsi="Arial" w:cs="Arial"/>
        </w:rPr>
        <w:t>,</w:t>
      </w:r>
      <w:r w:rsidR="00712338">
        <w:rPr>
          <w:rFonts w:ascii="Arial" w:hAnsi="Arial" w:cs="Arial"/>
        </w:rPr>
        <w:t xml:space="preserve"> as the </w:t>
      </w:r>
      <w:r w:rsidR="00C110C7">
        <w:rPr>
          <w:rFonts w:ascii="Arial" w:hAnsi="Arial" w:cs="Arial"/>
        </w:rPr>
        <w:t xml:space="preserve">licence </w:t>
      </w:r>
      <w:r w:rsidR="00712338">
        <w:rPr>
          <w:rFonts w:ascii="Arial" w:hAnsi="Arial" w:cs="Arial"/>
        </w:rPr>
        <w:t xml:space="preserve">certificates were all issued by </w:t>
      </w:r>
      <w:r w:rsidR="007B56BC">
        <w:rPr>
          <w:rFonts w:ascii="Arial" w:hAnsi="Arial" w:cs="Arial"/>
        </w:rPr>
        <w:t xml:space="preserve">ICASA </w:t>
      </w:r>
      <w:r w:rsidR="00712338">
        <w:rPr>
          <w:rFonts w:ascii="Arial" w:hAnsi="Arial" w:cs="Arial"/>
        </w:rPr>
        <w:t xml:space="preserve">and bore the names of </w:t>
      </w:r>
      <w:r w:rsidR="00394B25">
        <w:rPr>
          <w:rFonts w:ascii="Arial" w:hAnsi="Arial" w:cs="Arial"/>
        </w:rPr>
        <w:t>common</w:t>
      </w:r>
      <w:r w:rsidR="007B56BC">
        <w:rPr>
          <w:rFonts w:ascii="Arial" w:hAnsi="Arial" w:cs="Arial"/>
        </w:rPr>
        <w:t xml:space="preserve"> </w:t>
      </w:r>
      <w:r w:rsidR="00712338">
        <w:rPr>
          <w:rFonts w:ascii="Arial" w:hAnsi="Arial" w:cs="Arial"/>
        </w:rPr>
        <w:t xml:space="preserve">equipment providers, when compiling the rule 53 record the clerks had simply made copies of </w:t>
      </w:r>
      <w:r w:rsidR="007B56BC">
        <w:rPr>
          <w:rFonts w:ascii="Arial" w:hAnsi="Arial" w:cs="Arial"/>
        </w:rPr>
        <w:t>one</w:t>
      </w:r>
      <w:r w:rsidR="00712338">
        <w:rPr>
          <w:rFonts w:ascii="Arial" w:hAnsi="Arial" w:cs="Arial"/>
        </w:rPr>
        <w:t xml:space="preserve"> of the sets of certificates which </w:t>
      </w:r>
      <w:r w:rsidR="00CD6429">
        <w:rPr>
          <w:rFonts w:ascii="Arial" w:hAnsi="Arial" w:cs="Arial"/>
        </w:rPr>
        <w:t>had been</w:t>
      </w:r>
      <w:r w:rsidR="00712338">
        <w:rPr>
          <w:rFonts w:ascii="Arial" w:hAnsi="Arial" w:cs="Arial"/>
        </w:rPr>
        <w:t xml:space="preserve"> submitted </w:t>
      </w:r>
      <w:r w:rsidR="007B56BC">
        <w:rPr>
          <w:rFonts w:ascii="Arial" w:hAnsi="Arial" w:cs="Arial"/>
        </w:rPr>
        <w:t>(</w:t>
      </w:r>
      <w:r w:rsidR="00712338">
        <w:rPr>
          <w:rFonts w:ascii="Arial" w:hAnsi="Arial" w:cs="Arial"/>
        </w:rPr>
        <w:t>by a non-compliant bidder</w:t>
      </w:r>
      <w:r w:rsidR="007B56BC">
        <w:rPr>
          <w:rFonts w:ascii="Arial" w:hAnsi="Arial" w:cs="Arial"/>
        </w:rPr>
        <w:t>)</w:t>
      </w:r>
      <w:r w:rsidR="00712338">
        <w:rPr>
          <w:rFonts w:ascii="Arial" w:hAnsi="Arial" w:cs="Arial"/>
        </w:rPr>
        <w:t xml:space="preserve">, instead of copies of the actual certificates which </w:t>
      </w:r>
      <w:r w:rsidR="00C110C7">
        <w:rPr>
          <w:rFonts w:ascii="Arial" w:hAnsi="Arial" w:cs="Arial"/>
        </w:rPr>
        <w:t>had been</w:t>
      </w:r>
      <w:r w:rsidR="00712338">
        <w:rPr>
          <w:rFonts w:ascii="Arial" w:hAnsi="Arial" w:cs="Arial"/>
        </w:rPr>
        <w:t xml:space="preserve"> lodged by</w:t>
      </w:r>
      <w:r w:rsidR="00C110C7">
        <w:rPr>
          <w:rFonts w:ascii="Arial" w:hAnsi="Arial" w:cs="Arial"/>
        </w:rPr>
        <w:t xml:space="preserve"> each of</w:t>
      </w:r>
      <w:r w:rsidR="00712338">
        <w:rPr>
          <w:rFonts w:ascii="Arial" w:hAnsi="Arial" w:cs="Arial"/>
        </w:rPr>
        <w:t xml:space="preserve"> the 3 bidders.</w:t>
      </w:r>
    </w:p>
    <w:p w14:paraId="77E8BD9F" w14:textId="12FE49CB" w:rsidR="00712338"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31.</w:t>
      </w:r>
      <w:r>
        <w:rPr>
          <w:rFonts w:ascii="Arial" w:hAnsi="Arial" w:cs="Arial"/>
        </w:rPr>
        <w:tab/>
      </w:r>
      <w:r w:rsidR="004934EB">
        <w:rPr>
          <w:rFonts w:ascii="Arial" w:hAnsi="Arial" w:cs="Arial"/>
        </w:rPr>
        <w:t xml:space="preserve">After a query </w:t>
      </w:r>
      <w:r w:rsidR="007B56BC">
        <w:rPr>
          <w:rFonts w:ascii="Arial" w:hAnsi="Arial" w:cs="Arial"/>
        </w:rPr>
        <w:t>was</w:t>
      </w:r>
      <w:r w:rsidR="004934EB">
        <w:rPr>
          <w:rFonts w:ascii="Arial" w:hAnsi="Arial" w:cs="Arial"/>
        </w:rPr>
        <w:t xml:space="preserve"> raised </w:t>
      </w:r>
      <w:r w:rsidR="007B56BC">
        <w:rPr>
          <w:rFonts w:ascii="Arial" w:hAnsi="Arial" w:cs="Arial"/>
        </w:rPr>
        <w:t>about the certificates</w:t>
      </w:r>
      <w:r w:rsidR="004934EB">
        <w:rPr>
          <w:rFonts w:ascii="Arial" w:hAnsi="Arial" w:cs="Arial"/>
        </w:rPr>
        <w:t xml:space="preserve"> the </w:t>
      </w:r>
      <w:r w:rsidR="007B56BC">
        <w:rPr>
          <w:rFonts w:ascii="Arial" w:hAnsi="Arial" w:cs="Arial"/>
        </w:rPr>
        <w:t>City’s</w:t>
      </w:r>
      <w:r w:rsidR="004934EB">
        <w:rPr>
          <w:rFonts w:ascii="Arial" w:hAnsi="Arial" w:cs="Arial"/>
        </w:rPr>
        <w:t xml:space="preserve"> attorneys attended on the </w:t>
      </w:r>
      <w:r w:rsidR="007B56BC">
        <w:rPr>
          <w:rFonts w:ascii="Arial" w:hAnsi="Arial" w:cs="Arial"/>
        </w:rPr>
        <w:t>C</w:t>
      </w:r>
      <w:r w:rsidR="004934EB">
        <w:rPr>
          <w:rFonts w:ascii="Arial" w:hAnsi="Arial" w:cs="Arial"/>
        </w:rPr>
        <w:t>ity’s offices where they were furnished with the original</w:t>
      </w:r>
      <w:r w:rsidR="004F4122">
        <w:rPr>
          <w:rFonts w:ascii="Arial" w:hAnsi="Arial" w:cs="Arial"/>
        </w:rPr>
        <w:t>,</w:t>
      </w:r>
      <w:r w:rsidR="004F4122" w:rsidRPr="004F4122">
        <w:rPr>
          <w:rFonts w:ascii="Arial" w:hAnsi="Arial" w:cs="Arial"/>
        </w:rPr>
        <w:t xml:space="preserve"> </w:t>
      </w:r>
      <w:r w:rsidR="004F4122">
        <w:rPr>
          <w:rFonts w:ascii="Arial" w:hAnsi="Arial" w:cs="Arial"/>
        </w:rPr>
        <w:t>complete</w:t>
      </w:r>
      <w:r w:rsidR="004934EB">
        <w:rPr>
          <w:rFonts w:ascii="Arial" w:hAnsi="Arial" w:cs="Arial"/>
        </w:rPr>
        <w:t xml:space="preserve"> bid</w:t>
      </w:r>
      <w:r w:rsidR="00CD6429">
        <w:rPr>
          <w:rFonts w:ascii="Arial" w:hAnsi="Arial" w:cs="Arial"/>
        </w:rPr>
        <w:t>s</w:t>
      </w:r>
      <w:r w:rsidR="004934EB">
        <w:rPr>
          <w:rFonts w:ascii="Arial" w:hAnsi="Arial" w:cs="Arial"/>
        </w:rPr>
        <w:t xml:space="preserve"> which had been lodged by the 3 bidders</w:t>
      </w:r>
      <w:r w:rsidR="004F4122">
        <w:rPr>
          <w:rFonts w:ascii="Arial" w:hAnsi="Arial" w:cs="Arial"/>
        </w:rPr>
        <w:t>,</w:t>
      </w:r>
      <w:r w:rsidR="004934EB">
        <w:rPr>
          <w:rFonts w:ascii="Arial" w:hAnsi="Arial" w:cs="Arial"/>
        </w:rPr>
        <w:t xml:space="preserve"> in their proper order</w:t>
      </w:r>
      <w:r w:rsidR="004F4122">
        <w:rPr>
          <w:rFonts w:ascii="Arial" w:hAnsi="Arial" w:cs="Arial"/>
        </w:rPr>
        <w:t>, together with</w:t>
      </w:r>
      <w:r w:rsidR="004934EB">
        <w:rPr>
          <w:rFonts w:ascii="Arial" w:hAnsi="Arial" w:cs="Arial"/>
        </w:rPr>
        <w:t xml:space="preserve"> digital copies </w:t>
      </w:r>
      <w:r w:rsidR="004F4122">
        <w:rPr>
          <w:rFonts w:ascii="Arial" w:hAnsi="Arial" w:cs="Arial"/>
        </w:rPr>
        <w:t xml:space="preserve">which had been made </w:t>
      </w:r>
      <w:r w:rsidR="004934EB">
        <w:rPr>
          <w:rFonts w:ascii="Arial" w:hAnsi="Arial" w:cs="Arial"/>
        </w:rPr>
        <w:t>thereof. From these documents the</w:t>
      </w:r>
      <w:r w:rsidR="004F4122">
        <w:rPr>
          <w:rFonts w:ascii="Arial" w:hAnsi="Arial" w:cs="Arial"/>
        </w:rPr>
        <w:t>y</w:t>
      </w:r>
      <w:r w:rsidR="004934EB">
        <w:rPr>
          <w:rFonts w:ascii="Arial" w:hAnsi="Arial" w:cs="Arial"/>
        </w:rPr>
        <w:t xml:space="preserve"> were able to draw the </w:t>
      </w:r>
      <w:r w:rsidR="004F4122">
        <w:rPr>
          <w:rFonts w:ascii="Arial" w:hAnsi="Arial" w:cs="Arial"/>
        </w:rPr>
        <w:t xml:space="preserve">actual </w:t>
      </w:r>
      <w:r w:rsidR="004934EB">
        <w:rPr>
          <w:rFonts w:ascii="Arial" w:hAnsi="Arial" w:cs="Arial"/>
        </w:rPr>
        <w:t>certificates which had been filed by each bidder</w:t>
      </w:r>
      <w:r w:rsidR="004F4122">
        <w:rPr>
          <w:rFonts w:ascii="Arial" w:hAnsi="Arial" w:cs="Arial"/>
        </w:rPr>
        <w:t>,</w:t>
      </w:r>
      <w:r w:rsidR="004934EB">
        <w:rPr>
          <w:rFonts w:ascii="Arial" w:hAnsi="Arial" w:cs="Arial"/>
        </w:rPr>
        <w:t xml:space="preserve"> which were then </w:t>
      </w:r>
      <w:r w:rsidR="004F4122">
        <w:rPr>
          <w:rFonts w:ascii="Arial" w:hAnsi="Arial" w:cs="Arial"/>
        </w:rPr>
        <w:t>filed as a</w:t>
      </w:r>
      <w:r w:rsidR="004934EB">
        <w:rPr>
          <w:rFonts w:ascii="Arial" w:hAnsi="Arial" w:cs="Arial"/>
        </w:rPr>
        <w:t xml:space="preserve"> supplementary record</w:t>
      </w:r>
      <w:r w:rsidR="004F4122">
        <w:rPr>
          <w:rFonts w:ascii="Arial" w:hAnsi="Arial" w:cs="Arial"/>
        </w:rPr>
        <w:t>,</w:t>
      </w:r>
      <w:r w:rsidR="004934EB">
        <w:rPr>
          <w:rFonts w:ascii="Arial" w:hAnsi="Arial" w:cs="Arial"/>
        </w:rPr>
        <w:t xml:space="preserve"> on 6 March 2023. From these </w:t>
      </w:r>
      <w:r w:rsidR="002C7D3D">
        <w:rPr>
          <w:rFonts w:ascii="Arial" w:hAnsi="Arial" w:cs="Arial"/>
        </w:rPr>
        <w:t xml:space="preserve">documents </w:t>
      </w:r>
      <w:r w:rsidR="004934EB">
        <w:rPr>
          <w:rFonts w:ascii="Arial" w:hAnsi="Arial" w:cs="Arial"/>
        </w:rPr>
        <w:t>it was clear that the ICA</w:t>
      </w:r>
      <w:r w:rsidR="004F4122">
        <w:rPr>
          <w:rFonts w:ascii="Arial" w:hAnsi="Arial" w:cs="Arial"/>
        </w:rPr>
        <w:t>SA</w:t>
      </w:r>
      <w:r w:rsidR="004934EB">
        <w:rPr>
          <w:rFonts w:ascii="Arial" w:hAnsi="Arial" w:cs="Arial"/>
        </w:rPr>
        <w:t xml:space="preserve"> certificates which had been filed by </w:t>
      </w:r>
      <w:r w:rsidR="004934EB">
        <w:rPr>
          <w:rFonts w:ascii="Arial" w:hAnsi="Arial" w:cs="Arial"/>
        </w:rPr>
        <w:lastRenderedPageBreak/>
        <w:t xml:space="preserve">Syntell </w:t>
      </w:r>
      <w:r w:rsidR="00C110C7">
        <w:rPr>
          <w:rFonts w:ascii="Arial" w:hAnsi="Arial" w:cs="Arial"/>
        </w:rPr>
        <w:t>had been</w:t>
      </w:r>
      <w:r w:rsidR="004934EB">
        <w:rPr>
          <w:rFonts w:ascii="Arial" w:hAnsi="Arial" w:cs="Arial"/>
        </w:rPr>
        <w:t xml:space="preserve"> certified</w:t>
      </w:r>
      <w:r w:rsidR="004F4122">
        <w:rPr>
          <w:rFonts w:ascii="Arial" w:hAnsi="Arial" w:cs="Arial"/>
        </w:rPr>
        <w:t>,</w:t>
      </w:r>
      <w:r w:rsidR="004934EB">
        <w:rPr>
          <w:rFonts w:ascii="Arial" w:hAnsi="Arial" w:cs="Arial"/>
        </w:rPr>
        <w:t xml:space="preserve"> whereas those which had been filed by the other 2 bidders </w:t>
      </w:r>
      <w:r w:rsidR="00C110C7">
        <w:rPr>
          <w:rFonts w:ascii="Arial" w:hAnsi="Arial" w:cs="Arial"/>
        </w:rPr>
        <w:t>had</w:t>
      </w:r>
      <w:r w:rsidR="004934EB">
        <w:rPr>
          <w:rFonts w:ascii="Arial" w:hAnsi="Arial" w:cs="Arial"/>
        </w:rPr>
        <w:t xml:space="preserve"> not.</w:t>
      </w:r>
      <w:r w:rsidR="004F4122">
        <w:rPr>
          <w:rFonts w:ascii="Arial" w:hAnsi="Arial" w:cs="Arial"/>
        </w:rPr>
        <w:t xml:space="preserve"> </w:t>
      </w:r>
      <w:r w:rsidR="00CD6429">
        <w:rPr>
          <w:rFonts w:ascii="Arial" w:hAnsi="Arial" w:cs="Arial"/>
        </w:rPr>
        <w:t>In support of these averments r</w:t>
      </w:r>
      <w:r w:rsidR="004F4122">
        <w:rPr>
          <w:rFonts w:ascii="Arial" w:hAnsi="Arial" w:cs="Arial"/>
        </w:rPr>
        <w:t xml:space="preserve">eference to the actual certificates </w:t>
      </w:r>
      <w:r w:rsidR="00C110C7">
        <w:rPr>
          <w:rFonts w:ascii="Arial" w:hAnsi="Arial" w:cs="Arial"/>
        </w:rPr>
        <w:t>that were</w:t>
      </w:r>
      <w:r w:rsidR="004F4122">
        <w:rPr>
          <w:rFonts w:ascii="Arial" w:hAnsi="Arial" w:cs="Arial"/>
        </w:rPr>
        <w:t xml:space="preserve"> filed in the supplementary record was made in </w:t>
      </w:r>
      <w:r w:rsidR="00C110C7">
        <w:rPr>
          <w:rFonts w:ascii="Arial" w:hAnsi="Arial" w:cs="Arial"/>
        </w:rPr>
        <w:t xml:space="preserve">confirmatory </w:t>
      </w:r>
      <w:r w:rsidR="004F4122">
        <w:rPr>
          <w:rFonts w:ascii="Arial" w:hAnsi="Arial" w:cs="Arial"/>
        </w:rPr>
        <w:t xml:space="preserve">affidavits which were </w:t>
      </w:r>
      <w:r w:rsidR="00CD6429">
        <w:rPr>
          <w:rFonts w:ascii="Arial" w:hAnsi="Arial" w:cs="Arial"/>
        </w:rPr>
        <w:t>lodged</w:t>
      </w:r>
      <w:r w:rsidR="004F4122">
        <w:rPr>
          <w:rFonts w:ascii="Arial" w:hAnsi="Arial" w:cs="Arial"/>
        </w:rPr>
        <w:t xml:space="preserve"> by the </w:t>
      </w:r>
      <w:r w:rsidR="002C7D3D">
        <w:rPr>
          <w:rFonts w:ascii="Arial" w:hAnsi="Arial" w:cs="Arial"/>
        </w:rPr>
        <w:t xml:space="preserve">City’s </w:t>
      </w:r>
      <w:r w:rsidR="004F4122">
        <w:rPr>
          <w:rFonts w:ascii="Arial" w:hAnsi="Arial" w:cs="Arial"/>
        </w:rPr>
        <w:t xml:space="preserve">attorneys.   </w:t>
      </w:r>
    </w:p>
    <w:p w14:paraId="3DC6B4BA" w14:textId="17CF9E72" w:rsidR="004934E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32.</w:t>
      </w:r>
      <w:r>
        <w:rPr>
          <w:rFonts w:ascii="Arial" w:hAnsi="Arial" w:cs="Arial"/>
        </w:rPr>
        <w:tab/>
      </w:r>
      <w:r w:rsidR="004934EB">
        <w:rPr>
          <w:rFonts w:ascii="Arial" w:hAnsi="Arial" w:cs="Arial"/>
        </w:rPr>
        <w:t xml:space="preserve">As to the applicant’s principal complaint that it had not been provided with traffic infringement statistics the </w:t>
      </w:r>
      <w:r w:rsidR="00C110C7">
        <w:rPr>
          <w:rFonts w:ascii="Arial" w:hAnsi="Arial" w:cs="Arial"/>
        </w:rPr>
        <w:t>Acting Group Head: Legal Services</w:t>
      </w:r>
      <w:r w:rsidR="004934EB">
        <w:rPr>
          <w:rFonts w:ascii="Arial" w:hAnsi="Arial" w:cs="Arial"/>
        </w:rPr>
        <w:t xml:space="preserve"> </w:t>
      </w:r>
      <w:r w:rsidR="00CD6429">
        <w:rPr>
          <w:rFonts w:ascii="Arial" w:hAnsi="Arial" w:cs="Arial"/>
        </w:rPr>
        <w:t>restated</w:t>
      </w:r>
      <w:r w:rsidR="004934EB">
        <w:rPr>
          <w:rFonts w:ascii="Arial" w:hAnsi="Arial" w:cs="Arial"/>
        </w:rPr>
        <w:t xml:space="preserve"> that whilst the previous model was based on a fee per infringement that was captured</w:t>
      </w:r>
      <w:r w:rsidR="002C7D3D">
        <w:rPr>
          <w:rFonts w:ascii="Arial" w:hAnsi="Arial" w:cs="Arial"/>
        </w:rPr>
        <w:t>,</w:t>
      </w:r>
      <w:r w:rsidR="004934EB">
        <w:rPr>
          <w:rFonts w:ascii="Arial" w:hAnsi="Arial" w:cs="Arial"/>
        </w:rPr>
        <w:t xml:space="preserve"> the tender proposed a service </w:t>
      </w:r>
      <w:r w:rsidR="004F4122">
        <w:rPr>
          <w:rFonts w:ascii="Arial" w:hAnsi="Arial" w:cs="Arial"/>
        </w:rPr>
        <w:t xml:space="preserve">contract </w:t>
      </w:r>
      <w:r w:rsidR="004934EB">
        <w:rPr>
          <w:rFonts w:ascii="Arial" w:hAnsi="Arial" w:cs="Arial"/>
        </w:rPr>
        <w:t xml:space="preserve">in terms of which a flat monthly </w:t>
      </w:r>
      <w:r w:rsidR="00C110C7">
        <w:rPr>
          <w:rFonts w:ascii="Arial" w:hAnsi="Arial" w:cs="Arial"/>
        </w:rPr>
        <w:t xml:space="preserve">service </w:t>
      </w:r>
      <w:r w:rsidR="004934EB">
        <w:rPr>
          <w:rFonts w:ascii="Arial" w:hAnsi="Arial" w:cs="Arial"/>
        </w:rPr>
        <w:t>fee would be paid</w:t>
      </w:r>
      <w:r w:rsidR="004F4122">
        <w:rPr>
          <w:rFonts w:ascii="Arial" w:hAnsi="Arial" w:cs="Arial"/>
        </w:rPr>
        <w:t xml:space="preserve"> by the City,</w:t>
      </w:r>
      <w:r w:rsidR="004934EB">
        <w:rPr>
          <w:rFonts w:ascii="Arial" w:hAnsi="Arial" w:cs="Arial"/>
        </w:rPr>
        <w:t xml:space="preserve"> irrespective of the number of infringements captured and processed</w:t>
      </w:r>
      <w:r w:rsidR="004F4122">
        <w:rPr>
          <w:rFonts w:ascii="Arial" w:hAnsi="Arial" w:cs="Arial"/>
        </w:rPr>
        <w:t>, or</w:t>
      </w:r>
      <w:r w:rsidR="004934EB">
        <w:rPr>
          <w:rFonts w:ascii="Arial" w:hAnsi="Arial" w:cs="Arial"/>
        </w:rPr>
        <w:t xml:space="preserve"> the fines generated pursuant thereto. Thus, as far as the City was concerned </w:t>
      </w:r>
      <w:r w:rsidR="004F4122">
        <w:rPr>
          <w:rFonts w:ascii="Arial" w:hAnsi="Arial" w:cs="Arial"/>
        </w:rPr>
        <w:t xml:space="preserve">the </w:t>
      </w:r>
      <w:r w:rsidR="004934EB">
        <w:rPr>
          <w:rFonts w:ascii="Arial" w:hAnsi="Arial" w:cs="Arial"/>
        </w:rPr>
        <w:t xml:space="preserve">information that was sought by the applicant </w:t>
      </w:r>
      <w:r w:rsidR="004F4122">
        <w:rPr>
          <w:rFonts w:ascii="Arial" w:hAnsi="Arial" w:cs="Arial"/>
        </w:rPr>
        <w:t xml:space="preserve">in relation to the </w:t>
      </w:r>
      <w:r w:rsidR="002C7D3D">
        <w:rPr>
          <w:rFonts w:ascii="Arial" w:hAnsi="Arial" w:cs="Arial"/>
        </w:rPr>
        <w:t xml:space="preserve">volume of </w:t>
      </w:r>
      <w:r w:rsidR="004F4122">
        <w:rPr>
          <w:rFonts w:ascii="Arial" w:hAnsi="Arial" w:cs="Arial"/>
        </w:rPr>
        <w:t xml:space="preserve">infringements </w:t>
      </w:r>
      <w:r w:rsidR="004934EB">
        <w:rPr>
          <w:rFonts w:ascii="Arial" w:hAnsi="Arial" w:cs="Arial"/>
        </w:rPr>
        <w:t xml:space="preserve">was </w:t>
      </w:r>
      <w:r w:rsidR="002C7D3D">
        <w:rPr>
          <w:rFonts w:ascii="Arial" w:hAnsi="Arial" w:cs="Arial"/>
        </w:rPr>
        <w:t xml:space="preserve">unnecessary and </w:t>
      </w:r>
      <w:r w:rsidR="004934EB">
        <w:rPr>
          <w:rFonts w:ascii="Arial" w:hAnsi="Arial" w:cs="Arial"/>
        </w:rPr>
        <w:t>irrelevant.</w:t>
      </w:r>
    </w:p>
    <w:p w14:paraId="3F43F3BC" w14:textId="0C258E45" w:rsidR="002E7054"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33.</w:t>
      </w:r>
      <w:r>
        <w:rPr>
          <w:rFonts w:ascii="Arial" w:hAnsi="Arial" w:cs="Arial"/>
        </w:rPr>
        <w:tab/>
      </w:r>
      <w:r w:rsidR="004934EB">
        <w:rPr>
          <w:rFonts w:ascii="Arial" w:hAnsi="Arial" w:cs="Arial"/>
        </w:rPr>
        <w:t xml:space="preserve">In the answering affidavit which </w:t>
      </w:r>
      <w:r w:rsidR="004F4122">
        <w:rPr>
          <w:rFonts w:ascii="Arial" w:hAnsi="Arial" w:cs="Arial"/>
        </w:rPr>
        <w:t xml:space="preserve">Syntell </w:t>
      </w:r>
      <w:r w:rsidR="004934EB">
        <w:rPr>
          <w:rFonts w:ascii="Arial" w:hAnsi="Arial" w:cs="Arial"/>
        </w:rPr>
        <w:t>filed</w:t>
      </w:r>
      <w:r w:rsidR="004F4122">
        <w:rPr>
          <w:rFonts w:ascii="Arial" w:hAnsi="Arial" w:cs="Arial"/>
        </w:rPr>
        <w:t>,</w:t>
      </w:r>
      <w:r w:rsidR="004934EB">
        <w:rPr>
          <w:rFonts w:ascii="Arial" w:hAnsi="Arial" w:cs="Arial"/>
        </w:rPr>
        <w:t xml:space="preserve"> it to</w:t>
      </w:r>
      <w:r w:rsidR="004F4122">
        <w:rPr>
          <w:rFonts w:ascii="Arial" w:hAnsi="Arial" w:cs="Arial"/>
        </w:rPr>
        <w:t>o</w:t>
      </w:r>
      <w:r w:rsidR="004934EB">
        <w:rPr>
          <w:rFonts w:ascii="Arial" w:hAnsi="Arial" w:cs="Arial"/>
        </w:rPr>
        <w:t xml:space="preserve"> contended that historic traffic infringement </w:t>
      </w:r>
      <w:r w:rsidR="00C110C7">
        <w:rPr>
          <w:rFonts w:ascii="Arial" w:hAnsi="Arial" w:cs="Arial"/>
        </w:rPr>
        <w:t>data was</w:t>
      </w:r>
      <w:r w:rsidR="004934EB">
        <w:rPr>
          <w:rFonts w:ascii="Arial" w:hAnsi="Arial" w:cs="Arial"/>
        </w:rPr>
        <w:t xml:space="preserve"> irrelevant for the tender and its pricing</w:t>
      </w:r>
      <w:r w:rsidR="004F4122">
        <w:rPr>
          <w:rFonts w:ascii="Arial" w:hAnsi="Arial" w:cs="Arial"/>
        </w:rPr>
        <w:t>,</w:t>
      </w:r>
      <w:r w:rsidR="004934EB">
        <w:rPr>
          <w:rFonts w:ascii="Arial" w:hAnsi="Arial" w:cs="Arial"/>
        </w:rPr>
        <w:t xml:space="preserve"> although </w:t>
      </w:r>
      <w:r w:rsidR="00C110C7">
        <w:rPr>
          <w:rFonts w:ascii="Arial" w:hAnsi="Arial" w:cs="Arial"/>
        </w:rPr>
        <w:t>it</w:t>
      </w:r>
      <w:r w:rsidR="004934EB">
        <w:rPr>
          <w:rFonts w:ascii="Arial" w:hAnsi="Arial" w:cs="Arial"/>
        </w:rPr>
        <w:t xml:space="preserve"> could serve as an estimation of future traffic infringement volumes. It pointed out that </w:t>
      </w:r>
      <w:r w:rsidR="007E5501">
        <w:rPr>
          <w:rFonts w:ascii="Arial" w:hAnsi="Arial" w:cs="Arial"/>
        </w:rPr>
        <w:t xml:space="preserve">during 2 </w:t>
      </w:r>
      <w:r w:rsidR="004934EB">
        <w:rPr>
          <w:rFonts w:ascii="Arial" w:hAnsi="Arial" w:cs="Arial"/>
        </w:rPr>
        <w:t>of the 3 years between 2018 and 202</w:t>
      </w:r>
      <w:r w:rsidR="004F4122">
        <w:rPr>
          <w:rFonts w:ascii="Arial" w:hAnsi="Arial" w:cs="Arial"/>
        </w:rPr>
        <w:t>1</w:t>
      </w:r>
      <w:r w:rsidR="004934EB">
        <w:rPr>
          <w:rFonts w:ascii="Arial" w:hAnsi="Arial" w:cs="Arial"/>
        </w:rPr>
        <w:t xml:space="preserve"> when it </w:t>
      </w:r>
      <w:r w:rsidR="004F4122">
        <w:rPr>
          <w:rFonts w:ascii="Arial" w:hAnsi="Arial" w:cs="Arial"/>
        </w:rPr>
        <w:t xml:space="preserve">had been </w:t>
      </w:r>
      <w:r w:rsidR="004934EB">
        <w:rPr>
          <w:rFonts w:ascii="Arial" w:hAnsi="Arial" w:cs="Arial"/>
        </w:rPr>
        <w:t>the incumbent service provider</w:t>
      </w:r>
      <w:r w:rsidR="002C7D3D">
        <w:rPr>
          <w:rFonts w:ascii="Arial" w:hAnsi="Arial" w:cs="Arial"/>
        </w:rPr>
        <w:t>,</w:t>
      </w:r>
      <w:r w:rsidR="004934EB">
        <w:rPr>
          <w:rFonts w:ascii="Arial" w:hAnsi="Arial" w:cs="Arial"/>
        </w:rPr>
        <w:t xml:space="preserve"> </w:t>
      </w:r>
      <w:r w:rsidR="004F4122">
        <w:rPr>
          <w:rFonts w:ascii="Arial" w:hAnsi="Arial" w:cs="Arial"/>
        </w:rPr>
        <w:t>traffic volumes and infringements had been significantly depressed</w:t>
      </w:r>
      <w:r w:rsidR="007E5501">
        <w:rPr>
          <w:rFonts w:ascii="Arial" w:hAnsi="Arial" w:cs="Arial"/>
        </w:rPr>
        <w:t xml:space="preserve"> </w:t>
      </w:r>
      <w:r w:rsidR="00CD6429">
        <w:rPr>
          <w:rFonts w:ascii="Arial" w:hAnsi="Arial" w:cs="Arial"/>
        </w:rPr>
        <w:t>because of</w:t>
      </w:r>
      <w:r w:rsidR="004F4122">
        <w:rPr>
          <w:rFonts w:ascii="Arial" w:hAnsi="Arial" w:cs="Arial"/>
        </w:rPr>
        <w:t xml:space="preserve"> the COVID-19</w:t>
      </w:r>
      <w:r w:rsidR="004934EB">
        <w:rPr>
          <w:rFonts w:ascii="Arial" w:hAnsi="Arial" w:cs="Arial"/>
        </w:rPr>
        <w:t xml:space="preserve"> pandemic</w:t>
      </w:r>
      <w:r w:rsidR="004F4122">
        <w:rPr>
          <w:rFonts w:ascii="Arial" w:hAnsi="Arial" w:cs="Arial"/>
        </w:rPr>
        <w:t>,</w:t>
      </w:r>
      <w:r w:rsidR="004934EB">
        <w:rPr>
          <w:rFonts w:ascii="Arial" w:hAnsi="Arial" w:cs="Arial"/>
        </w:rPr>
        <w:t xml:space="preserve"> and the </w:t>
      </w:r>
      <w:r w:rsidR="004F4122">
        <w:rPr>
          <w:rFonts w:ascii="Arial" w:hAnsi="Arial" w:cs="Arial"/>
        </w:rPr>
        <w:t>number</w:t>
      </w:r>
      <w:r w:rsidR="004934EB">
        <w:rPr>
          <w:rFonts w:ascii="Arial" w:hAnsi="Arial" w:cs="Arial"/>
        </w:rPr>
        <w:t xml:space="preserve"> of traffic infringements during </w:t>
      </w:r>
      <w:r w:rsidR="007E5501">
        <w:rPr>
          <w:rFonts w:ascii="Arial" w:hAnsi="Arial" w:cs="Arial"/>
        </w:rPr>
        <w:t>th</w:t>
      </w:r>
      <w:r w:rsidR="002C7D3D">
        <w:rPr>
          <w:rFonts w:ascii="Arial" w:hAnsi="Arial" w:cs="Arial"/>
        </w:rPr>
        <w:t>is</w:t>
      </w:r>
      <w:r w:rsidR="007E5501">
        <w:rPr>
          <w:rFonts w:ascii="Arial" w:hAnsi="Arial" w:cs="Arial"/>
        </w:rPr>
        <w:t xml:space="preserve"> </w:t>
      </w:r>
      <w:r w:rsidR="004934EB">
        <w:rPr>
          <w:rFonts w:ascii="Arial" w:hAnsi="Arial" w:cs="Arial"/>
        </w:rPr>
        <w:t xml:space="preserve">period </w:t>
      </w:r>
      <w:r w:rsidR="002C7D3D">
        <w:rPr>
          <w:rFonts w:ascii="Arial" w:hAnsi="Arial" w:cs="Arial"/>
        </w:rPr>
        <w:t>c</w:t>
      </w:r>
      <w:r w:rsidR="004934EB">
        <w:rPr>
          <w:rFonts w:ascii="Arial" w:hAnsi="Arial" w:cs="Arial"/>
        </w:rPr>
        <w:t xml:space="preserve">ould accordingly not serve as an accurate basis to forecast infringement volumes for the </w:t>
      </w:r>
      <w:r w:rsidR="004F4122">
        <w:rPr>
          <w:rFonts w:ascii="Arial" w:hAnsi="Arial" w:cs="Arial"/>
        </w:rPr>
        <w:t>following</w:t>
      </w:r>
      <w:r w:rsidR="004934EB">
        <w:rPr>
          <w:rFonts w:ascii="Arial" w:hAnsi="Arial" w:cs="Arial"/>
        </w:rPr>
        <w:t xml:space="preserve"> 3 years. </w:t>
      </w:r>
      <w:r w:rsidR="002C7D3D">
        <w:rPr>
          <w:rFonts w:ascii="Arial" w:hAnsi="Arial" w:cs="Arial"/>
        </w:rPr>
        <w:t>If anything, the data for the previous 3-year period up to 2018, when the applicant was the service provide</w:t>
      </w:r>
      <w:r w:rsidR="00CD6429">
        <w:rPr>
          <w:rFonts w:ascii="Arial" w:hAnsi="Arial" w:cs="Arial"/>
        </w:rPr>
        <w:t>r,</w:t>
      </w:r>
      <w:r w:rsidR="00664F58">
        <w:rPr>
          <w:rFonts w:ascii="Arial" w:hAnsi="Arial" w:cs="Arial"/>
        </w:rPr>
        <w:t xml:space="preserve"> would provide a more accurate and realistic picture of the volume of infringements that could be expected for the 2022-2025 period.</w:t>
      </w:r>
      <w:r w:rsidR="002C7D3D">
        <w:rPr>
          <w:rFonts w:ascii="Arial" w:hAnsi="Arial" w:cs="Arial"/>
        </w:rPr>
        <w:t xml:space="preserve"> </w:t>
      </w:r>
      <w:r w:rsidR="004934EB">
        <w:rPr>
          <w:rFonts w:ascii="Arial" w:hAnsi="Arial" w:cs="Arial"/>
        </w:rPr>
        <w:t>What further skewed the potential value of any historic data was that th</w:t>
      </w:r>
      <w:r w:rsidR="004F4122">
        <w:rPr>
          <w:rFonts w:ascii="Arial" w:hAnsi="Arial" w:cs="Arial"/>
        </w:rPr>
        <w:t>e</w:t>
      </w:r>
      <w:r w:rsidR="004934EB">
        <w:rPr>
          <w:rFonts w:ascii="Arial" w:hAnsi="Arial" w:cs="Arial"/>
        </w:rPr>
        <w:t xml:space="preserve"> tender specifications envisaged </w:t>
      </w:r>
      <w:r w:rsidR="007E5501">
        <w:rPr>
          <w:rFonts w:ascii="Arial" w:hAnsi="Arial" w:cs="Arial"/>
        </w:rPr>
        <w:t xml:space="preserve">the deployment of </w:t>
      </w:r>
      <w:r w:rsidR="004934EB">
        <w:rPr>
          <w:rFonts w:ascii="Arial" w:hAnsi="Arial" w:cs="Arial"/>
        </w:rPr>
        <w:t xml:space="preserve">a significantly higher number of </w:t>
      </w:r>
      <w:r w:rsidR="004F4122">
        <w:rPr>
          <w:rFonts w:ascii="Arial" w:hAnsi="Arial" w:cs="Arial"/>
        </w:rPr>
        <w:t>infringement</w:t>
      </w:r>
      <w:r w:rsidR="004934EB">
        <w:rPr>
          <w:rFonts w:ascii="Arial" w:hAnsi="Arial" w:cs="Arial"/>
        </w:rPr>
        <w:t xml:space="preserve"> ‘capturing devices’</w:t>
      </w:r>
      <w:r w:rsidR="007E5501">
        <w:rPr>
          <w:rFonts w:ascii="Arial" w:hAnsi="Arial" w:cs="Arial"/>
        </w:rPr>
        <w:t xml:space="preserve"> than </w:t>
      </w:r>
      <w:r w:rsidR="0059437D">
        <w:rPr>
          <w:rFonts w:ascii="Arial" w:hAnsi="Arial" w:cs="Arial"/>
        </w:rPr>
        <w:t xml:space="preserve">had </w:t>
      </w:r>
      <w:r w:rsidR="007E5501">
        <w:rPr>
          <w:rFonts w:ascii="Arial" w:hAnsi="Arial" w:cs="Arial"/>
        </w:rPr>
        <w:t>previously</w:t>
      </w:r>
      <w:r w:rsidR="004934EB">
        <w:rPr>
          <w:rFonts w:ascii="Arial" w:hAnsi="Arial" w:cs="Arial"/>
        </w:rPr>
        <w:t xml:space="preserve"> </w:t>
      </w:r>
      <w:r w:rsidR="0059437D">
        <w:rPr>
          <w:rFonts w:ascii="Arial" w:hAnsi="Arial" w:cs="Arial"/>
        </w:rPr>
        <w:t xml:space="preserve">been </w:t>
      </w:r>
      <w:r w:rsidR="004934EB">
        <w:rPr>
          <w:rFonts w:ascii="Arial" w:hAnsi="Arial" w:cs="Arial"/>
        </w:rPr>
        <w:t>deployed. In this regard</w:t>
      </w:r>
      <w:r w:rsidR="004F4122">
        <w:rPr>
          <w:rFonts w:ascii="Arial" w:hAnsi="Arial" w:cs="Arial"/>
        </w:rPr>
        <w:t>,</w:t>
      </w:r>
      <w:r w:rsidR="004934EB">
        <w:rPr>
          <w:rFonts w:ascii="Arial" w:hAnsi="Arial" w:cs="Arial"/>
        </w:rPr>
        <w:t xml:space="preserve"> </w:t>
      </w:r>
      <w:r w:rsidR="007E5501">
        <w:rPr>
          <w:rFonts w:ascii="Arial" w:hAnsi="Arial" w:cs="Arial"/>
        </w:rPr>
        <w:t xml:space="preserve">as </w:t>
      </w:r>
      <w:r w:rsidR="004934EB">
        <w:rPr>
          <w:rFonts w:ascii="Arial" w:hAnsi="Arial" w:cs="Arial"/>
        </w:rPr>
        <w:t>at May 2021</w:t>
      </w:r>
      <w:r w:rsidR="004F4122">
        <w:rPr>
          <w:rFonts w:ascii="Arial" w:hAnsi="Arial" w:cs="Arial"/>
        </w:rPr>
        <w:t xml:space="preserve"> only</w:t>
      </w:r>
      <w:r w:rsidR="004934EB">
        <w:rPr>
          <w:rFonts w:ascii="Arial" w:hAnsi="Arial" w:cs="Arial"/>
        </w:rPr>
        <w:t xml:space="preserve"> 33 </w:t>
      </w:r>
      <w:r w:rsidR="002E7054">
        <w:rPr>
          <w:rFonts w:ascii="Arial" w:hAnsi="Arial" w:cs="Arial"/>
        </w:rPr>
        <w:t>‘</w:t>
      </w:r>
      <w:r w:rsidR="004934EB">
        <w:rPr>
          <w:rFonts w:ascii="Arial" w:hAnsi="Arial" w:cs="Arial"/>
        </w:rPr>
        <w:t>speed</w:t>
      </w:r>
      <w:r w:rsidR="002E7054">
        <w:rPr>
          <w:rFonts w:ascii="Arial" w:hAnsi="Arial" w:cs="Arial"/>
        </w:rPr>
        <w:t>’</w:t>
      </w:r>
      <w:r w:rsidR="004934EB">
        <w:rPr>
          <w:rFonts w:ascii="Arial" w:hAnsi="Arial" w:cs="Arial"/>
        </w:rPr>
        <w:t xml:space="preserve"> cameras (fixed and mobile) </w:t>
      </w:r>
      <w:r w:rsidR="00BD4BA8">
        <w:rPr>
          <w:rFonts w:ascii="Arial" w:hAnsi="Arial" w:cs="Arial"/>
        </w:rPr>
        <w:t>were</w:t>
      </w:r>
      <w:r w:rsidR="004934EB">
        <w:rPr>
          <w:rFonts w:ascii="Arial" w:hAnsi="Arial" w:cs="Arial"/>
        </w:rPr>
        <w:t xml:space="preserve"> deployed whereas the tender envisaged the deployment of 110 such cameras. In addition, the tender </w:t>
      </w:r>
      <w:r w:rsidR="0059437D">
        <w:rPr>
          <w:rFonts w:ascii="Arial" w:hAnsi="Arial" w:cs="Arial"/>
        </w:rPr>
        <w:t xml:space="preserve">specifications </w:t>
      </w:r>
      <w:r w:rsidR="004934EB">
        <w:rPr>
          <w:rFonts w:ascii="Arial" w:hAnsi="Arial" w:cs="Arial"/>
        </w:rPr>
        <w:t>provided for</w:t>
      </w:r>
      <w:r w:rsidR="007E5501">
        <w:rPr>
          <w:rFonts w:ascii="Arial" w:hAnsi="Arial" w:cs="Arial"/>
        </w:rPr>
        <w:t xml:space="preserve"> </w:t>
      </w:r>
      <w:r w:rsidR="004934EB">
        <w:rPr>
          <w:rFonts w:ascii="Arial" w:hAnsi="Arial" w:cs="Arial"/>
        </w:rPr>
        <w:t>an additional 6 average</w:t>
      </w:r>
      <w:r w:rsidR="007E5501">
        <w:rPr>
          <w:rFonts w:ascii="Arial" w:hAnsi="Arial" w:cs="Arial"/>
        </w:rPr>
        <w:t>-</w:t>
      </w:r>
      <w:r w:rsidR="004934EB">
        <w:rPr>
          <w:rFonts w:ascii="Arial" w:hAnsi="Arial" w:cs="Arial"/>
        </w:rPr>
        <w:t>speed</w:t>
      </w:r>
      <w:r w:rsidR="007E5501">
        <w:rPr>
          <w:rFonts w:ascii="Arial" w:hAnsi="Arial" w:cs="Arial"/>
        </w:rPr>
        <w:t>-</w:t>
      </w:r>
      <w:r w:rsidR="002E7054">
        <w:rPr>
          <w:rFonts w:ascii="Arial" w:hAnsi="Arial" w:cs="Arial"/>
        </w:rPr>
        <w:t>over</w:t>
      </w:r>
      <w:r w:rsidR="007E5501">
        <w:rPr>
          <w:rFonts w:ascii="Arial" w:hAnsi="Arial" w:cs="Arial"/>
        </w:rPr>
        <w:t>-</w:t>
      </w:r>
      <w:r w:rsidR="004934EB">
        <w:rPr>
          <w:rFonts w:ascii="Arial" w:hAnsi="Arial" w:cs="Arial"/>
        </w:rPr>
        <w:t>distance cameras</w:t>
      </w:r>
      <w:r w:rsidR="00664F58">
        <w:rPr>
          <w:rFonts w:ascii="Arial" w:hAnsi="Arial" w:cs="Arial"/>
        </w:rPr>
        <w:t xml:space="preserve">, </w:t>
      </w:r>
      <w:r w:rsidR="004934EB">
        <w:rPr>
          <w:rFonts w:ascii="Arial" w:hAnsi="Arial" w:cs="Arial"/>
        </w:rPr>
        <w:t xml:space="preserve">1500 handheld </w:t>
      </w:r>
      <w:r w:rsidR="002E7054">
        <w:rPr>
          <w:rFonts w:ascii="Arial" w:hAnsi="Arial" w:cs="Arial"/>
        </w:rPr>
        <w:t xml:space="preserve">camera </w:t>
      </w:r>
      <w:r w:rsidR="004934EB">
        <w:rPr>
          <w:rFonts w:ascii="Arial" w:hAnsi="Arial" w:cs="Arial"/>
        </w:rPr>
        <w:t>units</w:t>
      </w:r>
      <w:r w:rsidR="00664F58">
        <w:rPr>
          <w:rFonts w:ascii="Arial" w:hAnsi="Arial" w:cs="Arial"/>
        </w:rPr>
        <w:t>,</w:t>
      </w:r>
      <w:r w:rsidR="004934EB">
        <w:rPr>
          <w:rFonts w:ascii="Arial" w:hAnsi="Arial" w:cs="Arial"/>
        </w:rPr>
        <w:t xml:space="preserve"> and 5 portable weighbridge instruments/devices, the use of which would </w:t>
      </w:r>
      <w:r w:rsidR="007E5501">
        <w:rPr>
          <w:rFonts w:ascii="Arial" w:hAnsi="Arial" w:cs="Arial"/>
        </w:rPr>
        <w:t>result in a significant</w:t>
      </w:r>
      <w:r w:rsidR="004934EB">
        <w:rPr>
          <w:rFonts w:ascii="Arial" w:hAnsi="Arial" w:cs="Arial"/>
        </w:rPr>
        <w:t xml:space="preserve"> increase</w:t>
      </w:r>
      <w:r w:rsidR="002E7054">
        <w:rPr>
          <w:rFonts w:ascii="Arial" w:hAnsi="Arial" w:cs="Arial"/>
        </w:rPr>
        <w:t xml:space="preserve"> in the</w:t>
      </w:r>
      <w:r w:rsidR="004934EB">
        <w:rPr>
          <w:rFonts w:ascii="Arial" w:hAnsi="Arial" w:cs="Arial"/>
        </w:rPr>
        <w:t xml:space="preserve"> </w:t>
      </w:r>
      <w:r w:rsidR="004934EB">
        <w:rPr>
          <w:rFonts w:ascii="Arial" w:hAnsi="Arial" w:cs="Arial"/>
        </w:rPr>
        <w:lastRenderedPageBreak/>
        <w:t xml:space="preserve">volume of </w:t>
      </w:r>
      <w:r w:rsidR="002E7054">
        <w:rPr>
          <w:rFonts w:ascii="Arial" w:hAnsi="Arial" w:cs="Arial"/>
        </w:rPr>
        <w:t xml:space="preserve">recorded </w:t>
      </w:r>
      <w:r w:rsidR="004934EB">
        <w:rPr>
          <w:rFonts w:ascii="Arial" w:hAnsi="Arial" w:cs="Arial"/>
        </w:rPr>
        <w:t>infringements</w:t>
      </w:r>
      <w:r w:rsidR="00664F58">
        <w:rPr>
          <w:rFonts w:ascii="Arial" w:hAnsi="Arial" w:cs="Arial"/>
        </w:rPr>
        <w:t xml:space="preserve"> for the 2022-2025 period</w:t>
      </w:r>
      <w:r w:rsidR="004934EB">
        <w:rPr>
          <w:rFonts w:ascii="Arial" w:hAnsi="Arial" w:cs="Arial"/>
        </w:rPr>
        <w:t xml:space="preserve">. </w:t>
      </w:r>
      <w:r w:rsidR="0059437D">
        <w:rPr>
          <w:rFonts w:ascii="Arial" w:hAnsi="Arial" w:cs="Arial"/>
        </w:rPr>
        <w:t>T</w:t>
      </w:r>
      <w:r w:rsidR="004934EB">
        <w:rPr>
          <w:rFonts w:ascii="Arial" w:hAnsi="Arial" w:cs="Arial"/>
        </w:rPr>
        <w:t xml:space="preserve">he tender specifications </w:t>
      </w:r>
      <w:r w:rsidR="0059437D">
        <w:rPr>
          <w:rFonts w:ascii="Arial" w:hAnsi="Arial" w:cs="Arial"/>
        </w:rPr>
        <w:t xml:space="preserve">also </w:t>
      </w:r>
      <w:r w:rsidR="00D1736A">
        <w:rPr>
          <w:rFonts w:ascii="Arial" w:hAnsi="Arial" w:cs="Arial"/>
        </w:rPr>
        <w:t>required</w:t>
      </w:r>
      <w:r w:rsidR="004934EB">
        <w:rPr>
          <w:rFonts w:ascii="Arial" w:hAnsi="Arial" w:cs="Arial"/>
        </w:rPr>
        <w:t xml:space="preserve"> new </w:t>
      </w:r>
      <w:r w:rsidR="00D1736A">
        <w:rPr>
          <w:rFonts w:ascii="Arial" w:hAnsi="Arial" w:cs="Arial"/>
        </w:rPr>
        <w:t xml:space="preserve">service </w:t>
      </w:r>
      <w:r w:rsidR="004934EB">
        <w:rPr>
          <w:rFonts w:ascii="Arial" w:hAnsi="Arial" w:cs="Arial"/>
        </w:rPr>
        <w:t>mod</w:t>
      </w:r>
      <w:r w:rsidR="002E7054">
        <w:rPr>
          <w:rFonts w:ascii="Arial" w:hAnsi="Arial" w:cs="Arial"/>
        </w:rPr>
        <w:t>ules</w:t>
      </w:r>
      <w:r w:rsidR="004934EB">
        <w:rPr>
          <w:rFonts w:ascii="Arial" w:hAnsi="Arial" w:cs="Arial"/>
        </w:rPr>
        <w:t xml:space="preserve"> </w:t>
      </w:r>
      <w:r w:rsidR="00664F58">
        <w:rPr>
          <w:rFonts w:ascii="Arial" w:hAnsi="Arial" w:cs="Arial"/>
        </w:rPr>
        <w:t xml:space="preserve">to be supplied </w:t>
      </w:r>
      <w:r w:rsidR="004934EB">
        <w:rPr>
          <w:rFonts w:ascii="Arial" w:hAnsi="Arial" w:cs="Arial"/>
        </w:rPr>
        <w:t>as part of the back</w:t>
      </w:r>
      <w:r w:rsidR="00D1736A">
        <w:rPr>
          <w:rFonts w:ascii="Arial" w:hAnsi="Arial" w:cs="Arial"/>
        </w:rPr>
        <w:t>-</w:t>
      </w:r>
      <w:r w:rsidR="004934EB">
        <w:rPr>
          <w:rFonts w:ascii="Arial" w:hAnsi="Arial" w:cs="Arial"/>
        </w:rPr>
        <w:t>of</w:t>
      </w:r>
      <w:r w:rsidR="00D1736A">
        <w:rPr>
          <w:rFonts w:ascii="Arial" w:hAnsi="Arial" w:cs="Arial"/>
        </w:rPr>
        <w:t>fice</w:t>
      </w:r>
      <w:r w:rsidR="004934EB">
        <w:rPr>
          <w:rFonts w:ascii="Arial" w:hAnsi="Arial" w:cs="Arial"/>
        </w:rPr>
        <w:t xml:space="preserve"> services</w:t>
      </w:r>
      <w:r w:rsidR="00664F58">
        <w:rPr>
          <w:rFonts w:ascii="Arial" w:hAnsi="Arial" w:cs="Arial"/>
        </w:rPr>
        <w:t xml:space="preserve">, which </w:t>
      </w:r>
      <w:r w:rsidR="004934EB">
        <w:rPr>
          <w:rFonts w:ascii="Arial" w:hAnsi="Arial" w:cs="Arial"/>
        </w:rPr>
        <w:t>pertain</w:t>
      </w:r>
      <w:r w:rsidR="00664F58">
        <w:rPr>
          <w:rFonts w:ascii="Arial" w:hAnsi="Arial" w:cs="Arial"/>
        </w:rPr>
        <w:t xml:space="preserve">ed to </w:t>
      </w:r>
      <w:r w:rsidR="00D1736A">
        <w:rPr>
          <w:rFonts w:ascii="Arial" w:hAnsi="Arial" w:cs="Arial"/>
        </w:rPr>
        <w:t xml:space="preserve">statutory </w:t>
      </w:r>
      <w:r w:rsidR="004934EB">
        <w:rPr>
          <w:rFonts w:ascii="Arial" w:hAnsi="Arial" w:cs="Arial"/>
        </w:rPr>
        <w:t>contraventions, accidents and impounds, which were not dependent on traffic volume</w:t>
      </w:r>
      <w:r w:rsidR="00D1736A">
        <w:rPr>
          <w:rFonts w:ascii="Arial" w:hAnsi="Arial" w:cs="Arial"/>
        </w:rPr>
        <w:t>s</w:t>
      </w:r>
      <w:r w:rsidR="004934EB">
        <w:rPr>
          <w:rFonts w:ascii="Arial" w:hAnsi="Arial" w:cs="Arial"/>
        </w:rPr>
        <w:t>.</w:t>
      </w:r>
    </w:p>
    <w:p w14:paraId="2D22227C" w14:textId="784F0FFE" w:rsidR="004934E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34.</w:t>
      </w:r>
      <w:r>
        <w:rPr>
          <w:rFonts w:ascii="Arial" w:hAnsi="Arial" w:cs="Arial"/>
        </w:rPr>
        <w:tab/>
      </w:r>
      <w:r w:rsidR="002E7054">
        <w:rPr>
          <w:rFonts w:ascii="Arial" w:hAnsi="Arial" w:cs="Arial"/>
        </w:rPr>
        <w:t>Lastly, Syntell</w:t>
      </w:r>
      <w:r w:rsidR="004934EB">
        <w:rPr>
          <w:rFonts w:ascii="Arial" w:hAnsi="Arial" w:cs="Arial"/>
        </w:rPr>
        <w:t xml:space="preserve"> </w:t>
      </w:r>
      <w:r w:rsidR="00D1736A">
        <w:rPr>
          <w:rFonts w:ascii="Arial" w:hAnsi="Arial" w:cs="Arial"/>
        </w:rPr>
        <w:t>submitted</w:t>
      </w:r>
      <w:r w:rsidR="004934EB">
        <w:rPr>
          <w:rFonts w:ascii="Arial" w:hAnsi="Arial" w:cs="Arial"/>
        </w:rPr>
        <w:t xml:space="preserve"> that if the applicant had an issue with the lack </w:t>
      </w:r>
      <w:r w:rsidR="002E7054">
        <w:rPr>
          <w:rFonts w:ascii="Arial" w:hAnsi="Arial" w:cs="Arial"/>
        </w:rPr>
        <w:t>of infringement in</w:t>
      </w:r>
      <w:r w:rsidR="004934EB">
        <w:rPr>
          <w:rFonts w:ascii="Arial" w:hAnsi="Arial" w:cs="Arial"/>
        </w:rPr>
        <w:t xml:space="preserve">formation </w:t>
      </w:r>
      <w:r w:rsidR="002E7054">
        <w:rPr>
          <w:rFonts w:ascii="Arial" w:hAnsi="Arial" w:cs="Arial"/>
        </w:rPr>
        <w:t xml:space="preserve">which it </w:t>
      </w:r>
      <w:r w:rsidR="00D1736A">
        <w:rPr>
          <w:rFonts w:ascii="Arial" w:hAnsi="Arial" w:cs="Arial"/>
        </w:rPr>
        <w:t xml:space="preserve">had requested it </w:t>
      </w:r>
      <w:r w:rsidR="004934EB">
        <w:rPr>
          <w:rFonts w:ascii="Arial" w:hAnsi="Arial" w:cs="Arial"/>
        </w:rPr>
        <w:t>should have launched</w:t>
      </w:r>
      <w:r w:rsidR="002E7054">
        <w:rPr>
          <w:rFonts w:ascii="Arial" w:hAnsi="Arial" w:cs="Arial"/>
        </w:rPr>
        <w:t xml:space="preserve"> a</w:t>
      </w:r>
      <w:r w:rsidR="004934EB">
        <w:rPr>
          <w:rFonts w:ascii="Arial" w:hAnsi="Arial" w:cs="Arial"/>
        </w:rPr>
        <w:t xml:space="preserve"> challenge</w:t>
      </w:r>
      <w:r w:rsidR="002E7054">
        <w:rPr>
          <w:rFonts w:ascii="Arial" w:hAnsi="Arial" w:cs="Arial"/>
        </w:rPr>
        <w:t xml:space="preserve"> in this regard</w:t>
      </w:r>
      <w:r w:rsidR="004934EB">
        <w:rPr>
          <w:rFonts w:ascii="Arial" w:hAnsi="Arial" w:cs="Arial"/>
        </w:rPr>
        <w:t xml:space="preserve"> at the time i.e. in February-March 2022 and should not have waited until after the tender </w:t>
      </w:r>
      <w:r w:rsidR="00DD13B5">
        <w:rPr>
          <w:rFonts w:ascii="Arial" w:hAnsi="Arial" w:cs="Arial"/>
        </w:rPr>
        <w:t>had been</w:t>
      </w:r>
      <w:r w:rsidR="004934EB">
        <w:rPr>
          <w:rFonts w:ascii="Arial" w:hAnsi="Arial" w:cs="Arial"/>
        </w:rPr>
        <w:t xml:space="preserve"> awarded in December 2022</w:t>
      </w:r>
      <w:r w:rsidR="002E7054">
        <w:rPr>
          <w:rFonts w:ascii="Arial" w:hAnsi="Arial" w:cs="Arial"/>
        </w:rPr>
        <w:t>,</w:t>
      </w:r>
      <w:r w:rsidR="004934EB">
        <w:rPr>
          <w:rFonts w:ascii="Arial" w:hAnsi="Arial" w:cs="Arial"/>
        </w:rPr>
        <w:t xml:space="preserve"> </w:t>
      </w:r>
      <w:r w:rsidR="002E7054">
        <w:rPr>
          <w:rFonts w:ascii="Arial" w:hAnsi="Arial" w:cs="Arial"/>
        </w:rPr>
        <w:t>4 months later than the 6 month</w:t>
      </w:r>
      <w:r w:rsidR="00AB4BE0">
        <w:rPr>
          <w:rFonts w:ascii="Arial" w:hAnsi="Arial" w:cs="Arial"/>
        </w:rPr>
        <w:t>s</w:t>
      </w:r>
      <w:r w:rsidR="002E7054">
        <w:rPr>
          <w:rFonts w:ascii="Arial" w:hAnsi="Arial" w:cs="Arial"/>
        </w:rPr>
        <w:t>/1</w:t>
      </w:r>
      <w:r w:rsidR="004934EB">
        <w:rPr>
          <w:rFonts w:ascii="Arial" w:hAnsi="Arial" w:cs="Arial"/>
        </w:rPr>
        <w:t xml:space="preserve">80 days period provided for in </w:t>
      </w:r>
      <w:r w:rsidR="002E7054">
        <w:rPr>
          <w:rFonts w:ascii="Arial" w:hAnsi="Arial" w:cs="Arial"/>
        </w:rPr>
        <w:t xml:space="preserve">PAJA, </w:t>
      </w:r>
      <w:r w:rsidR="004934EB">
        <w:rPr>
          <w:rFonts w:ascii="Arial" w:hAnsi="Arial" w:cs="Arial"/>
        </w:rPr>
        <w:t>to do so.</w:t>
      </w:r>
      <w:r w:rsidR="00664F58">
        <w:rPr>
          <w:rFonts w:ascii="Arial" w:hAnsi="Arial" w:cs="Arial"/>
        </w:rPr>
        <w:t xml:space="preserve"> Its review was accordingly out of time.</w:t>
      </w:r>
    </w:p>
    <w:p w14:paraId="0CDF5612" w14:textId="34901171" w:rsidR="00D1736A" w:rsidRPr="00D1736A" w:rsidRDefault="00D1736A" w:rsidP="00D1736A">
      <w:pPr>
        <w:adjustRightInd w:val="0"/>
        <w:spacing w:after="0" w:line="360" w:lineRule="auto"/>
        <w:contextualSpacing/>
        <w:jc w:val="both"/>
        <w:textAlignment w:val="baseline"/>
        <w:rPr>
          <w:rFonts w:ascii="Arial" w:hAnsi="Arial" w:cs="Arial"/>
          <w:b/>
          <w:bCs/>
        </w:rPr>
      </w:pPr>
      <w:r w:rsidRPr="00D1736A">
        <w:rPr>
          <w:rFonts w:ascii="Arial" w:hAnsi="Arial" w:cs="Arial"/>
          <w:b/>
          <w:bCs/>
        </w:rPr>
        <w:t>The applications to strike out</w:t>
      </w:r>
    </w:p>
    <w:p w14:paraId="4DB82D1E" w14:textId="3AB97876" w:rsidR="004934E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35.</w:t>
      </w:r>
      <w:r>
        <w:rPr>
          <w:rFonts w:ascii="Arial" w:hAnsi="Arial" w:cs="Arial"/>
        </w:rPr>
        <w:tab/>
      </w:r>
      <w:r w:rsidR="002E7054">
        <w:rPr>
          <w:rFonts w:ascii="Arial" w:hAnsi="Arial" w:cs="Arial"/>
        </w:rPr>
        <w:t>Syntell made</w:t>
      </w:r>
      <w:r w:rsidR="004934EB">
        <w:rPr>
          <w:rFonts w:ascii="Arial" w:hAnsi="Arial" w:cs="Arial"/>
        </w:rPr>
        <w:t xml:space="preserve"> application to strike out certain material </w:t>
      </w:r>
      <w:r w:rsidR="00BC19C3">
        <w:rPr>
          <w:rFonts w:ascii="Arial" w:hAnsi="Arial" w:cs="Arial"/>
        </w:rPr>
        <w:t>in the applicant’s replying affidavit,</w:t>
      </w:r>
      <w:r w:rsidR="004934EB">
        <w:rPr>
          <w:rFonts w:ascii="Arial" w:hAnsi="Arial" w:cs="Arial"/>
        </w:rPr>
        <w:t xml:space="preserve"> on the grounds that </w:t>
      </w:r>
      <w:r w:rsidR="002E7054">
        <w:rPr>
          <w:rFonts w:ascii="Arial" w:hAnsi="Arial" w:cs="Arial"/>
        </w:rPr>
        <w:t>i</w:t>
      </w:r>
      <w:r w:rsidR="004934EB">
        <w:rPr>
          <w:rFonts w:ascii="Arial" w:hAnsi="Arial" w:cs="Arial"/>
        </w:rPr>
        <w:t>t had sought to make out a new case in reply. In the alternative</w:t>
      </w:r>
      <w:r w:rsidR="002E7054">
        <w:rPr>
          <w:rFonts w:ascii="Arial" w:hAnsi="Arial" w:cs="Arial"/>
        </w:rPr>
        <w:t>,</w:t>
      </w:r>
      <w:r w:rsidR="004934EB">
        <w:rPr>
          <w:rFonts w:ascii="Arial" w:hAnsi="Arial" w:cs="Arial"/>
        </w:rPr>
        <w:t xml:space="preserve"> it contended that it </w:t>
      </w:r>
      <w:r w:rsidR="008F3BA2">
        <w:rPr>
          <w:rFonts w:ascii="Arial" w:hAnsi="Arial" w:cs="Arial"/>
        </w:rPr>
        <w:t>should be allowed</w:t>
      </w:r>
      <w:r w:rsidR="004934EB">
        <w:rPr>
          <w:rFonts w:ascii="Arial" w:hAnsi="Arial" w:cs="Arial"/>
        </w:rPr>
        <w:t xml:space="preserve"> to file a further affidavit in relation to traffic infringement statistics which</w:t>
      </w:r>
      <w:r w:rsidR="008F3BA2">
        <w:rPr>
          <w:rFonts w:ascii="Arial" w:hAnsi="Arial" w:cs="Arial"/>
        </w:rPr>
        <w:t>,</w:t>
      </w:r>
      <w:r w:rsidR="004934EB">
        <w:rPr>
          <w:rFonts w:ascii="Arial" w:hAnsi="Arial" w:cs="Arial"/>
        </w:rPr>
        <w:t xml:space="preserve"> it said</w:t>
      </w:r>
      <w:r w:rsidR="008F3BA2">
        <w:rPr>
          <w:rFonts w:ascii="Arial" w:hAnsi="Arial" w:cs="Arial"/>
        </w:rPr>
        <w:t>,</w:t>
      </w:r>
      <w:r w:rsidR="004934EB">
        <w:rPr>
          <w:rFonts w:ascii="Arial" w:hAnsi="Arial" w:cs="Arial"/>
        </w:rPr>
        <w:t xml:space="preserve"> were publicly available in annual reports which were filed by the </w:t>
      </w:r>
      <w:r w:rsidR="008F3BA2">
        <w:rPr>
          <w:rFonts w:ascii="Arial" w:hAnsi="Arial" w:cs="Arial"/>
        </w:rPr>
        <w:t>R</w:t>
      </w:r>
      <w:r w:rsidR="004934EB">
        <w:rPr>
          <w:rFonts w:ascii="Arial" w:hAnsi="Arial" w:cs="Arial"/>
        </w:rPr>
        <w:t xml:space="preserve">oad </w:t>
      </w:r>
      <w:r w:rsidR="008F3BA2">
        <w:rPr>
          <w:rFonts w:ascii="Arial" w:hAnsi="Arial" w:cs="Arial"/>
        </w:rPr>
        <w:t>T</w:t>
      </w:r>
      <w:r w:rsidR="004934EB">
        <w:rPr>
          <w:rFonts w:ascii="Arial" w:hAnsi="Arial" w:cs="Arial"/>
        </w:rPr>
        <w:t xml:space="preserve">raffic </w:t>
      </w:r>
      <w:r w:rsidR="008F3BA2">
        <w:rPr>
          <w:rFonts w:ascii="Arial" w:hAnsi="Arial" w:cs="Arial"/>
        </w:rPr>
        <w:t>I</w:t>
      </w:r>
      <w:r w:rsidR="004934EB">
        <w:rPr>
          <w:rFonts w:ascii="Arial" w:hAnsi="Arial" w:cs="Arial"/>
        </w:rPr>
        <w:t xml:space="preserve">nfringement </w:t>
      </w:r>
      <w:r w:rsidR="008F3BA2">
        <w:rPr>
          <w:rFonts w:ascii="Arial" w:hAnsi="Arial" w:cs="Arial"/>
        </w:rPr>
        <w:t>A</w:t>
      </w:r>
      <w:r w:rsidR="004934EB">
        <w:rPr>
          <w:rFonts w:ascii="Arial" w:hAnsi="Arial" w:cs="Arial"/>
        </w:rPr>
        <w:t>gency</w:t>
      </w:r>
      <w:r w:rsidR="00DD13B5">
        <w:rPr>
          <w:rFonts w:ascii="Arial" w:hAnsi="Arial" w:cs="Arial"/>
        </w:rPr>
        <w:t xml:space="preserve"> (‘RTIA’)</w:t>
      </w:r>
      <w:r w:rsidR="00A61613">
        <w:rPr>
          <w:rFonts w:ascii="Arial" w:hAnsi="Arial" w:cs="Arial"/>
        </w:rPr>
        <w:t>, from 2015 onwards. The statistics for the 2020-2021 year were contained in a report dated 31 October 2021.</w:t>
      </w:r>
    </w:p>
    <w:p w14:paraId="48347E84" w14:textId="2334C6C0" w:rsidR="00A61613"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36.</w:t>
      </w:r>
      <w:r>
        <w:rPr>
          <w:rFonts w:ascii="Arial" w:hAnsi="Arial" w:cs="Arial"/>
        </w:rPr>
        <w:tab/>
      </w:r>
      <w:r w:rsidR="00A61613">
        <w:rPr>
          <w:rFonts w:ascii="Arial" w:hAnsi="Arial" w:cs="Arial"/>
        </w:rPr>
        <w:t xml:space="preserve">The applicant opposed the striking </w:t>
      </w:r>
      <w:r w:rsidR="002E7054">
        <w:rPr>
          <w:rFonts w:ascii="Arial" w:hAnsi="Arial" w:cs="Arial"/>
        </w:rPr>
        <w:t xml:space="preserve">out </w:t>
      </w:r>
      <w:r w:rsidR="00A61613">
        <w:rPr>
          <w:rFonts w:ascii="Arial" w:hAnsi="Arial" w:cs="Arial"/>
        </w:rPr>
        <w:t xml:space="preserve">application and the introduction of </w:t>
      </w:r>
      <w:r w:rsidR="002E7054">
        <w:rPr>
          <w:rFonts w:ascii="Arial" w:hAnsi="Arial" w:cs="Arial"/>
        </w:rPr>
        <w:t>a</w:t>
      </w:r>
      <w:r w:rsidR="00A61613">
        <w:rPr>
          <w:rFonts w:ascii="Arial" w:hAnsi="Arial" w:cs="Arial"/>
        </w:rPr>
        <w:t xml:space="preserve"> </w:t>
      </w:r>
      <w:r w:rsidR="008F3BA2">
        <w:rPr>
          <w:rFonts w:ascii="Arial" w:hAnsi="Arial" w:cs="Arial"/>
        </w:rPr>
        <w:t xml:space="preserve">further affidavit in relation to the </w:t>
      </w:r>
      <w:r w:rsidR="00A61613">
        <w:rPr>
          <w:rFonts w:ascii="Arial" w:hAnsi="Arial" w:cs="Arial"/>
        </w:rPr>
        <w:t>RTI</w:t>
      </w:r>
      <w:r w:rsidR="008F3BA2">
        <w:rPr>
          <w:rFonts w:ascii="Arial" w:hAnsi="Arial" w:cs="Arial"/>
        </w:rPr>
        <w:t>A</w:t>
      </w:r>
      <w:r w:rsidR="00A61613">
        <w:rPr>
          <w:rFonts w:ascii="Arial" w:hAnsi="Arial" w:cs="Arial"/>
        </w:rPr>
        <w:t xml:space="preserve"> report</w:t>
      </w:r>
      <w:r w:rsidR="008F3BA2">
        <w:rPr>
          <w:rFonts w:ascii="Arial" w:hAnsi="Arial" w:cs="Arial"/>
        </w:rPr>
        <w:t>s,</w:t>
      </w:r>
      <w:r w:rsidR="00A61613">
        <w:rPr>
          <w:rFonts w:ascii="Arial" w:hAnsi="Arial" w:cs="Arial"/>
        </w:rPr>
        <w:t xml:space="preserve"> on the basis that </w:t>
      </w:r>
      <w:r w:rsidR="002E7054">
        <w:rPr>
          <w:rFonts w:ascii="Arial" w:hAnsi="Arial" w:cs="Arial"/>
        </w:rPr>
        <w:t>they</w:t>
      </w:r>
      <w:r w:rsidR="00A61613">
        <w:rPr>
          <w:rFonts w:ascii="Arial" w:hAnsi="Arial" w:cs="Arial"/>
        </w:rPr>
        <w:t xml:space="preserve"> </w:t>
      </w:r>
      <w:r w:rsidR="002E7054">
        <w:rPr>
          <w:rFonts w:ascii="Arial" w:hAnsi="Arial" w:cs="Arial"/>
        </w:rPr>
        <w:t>were</w:t>
      </w:r>
      <w:r w:rsidR="00A61613">
        <w:rPr>
          <w:rFonts w:ascii="Arial" w:hAnsi="Arial" w:cs="Arial"/>
        </w:rPr>
        <w:t xml:space="preserve"> not part of the rule 53 record</w:t>
      </w:r>
      <w:r w:rsidR="008F3BA2">
        <w:rPr>
          <w:rFonts w:ascii="Arial" w:hAnsi="Arial" w:cs="Arial"/>
        </w:rPr>
        <w:t>,</w:t>
      </w:r>
      <w:r w:rsidR="00A61613">
        <w:rPr>
          <w:rFonts w:ascii="Arial" w:hAnsi="Arial" w:cs="Arial"/>
        </w:rPr>
        <w:t xml:space="preserve"> and it similarly </w:t>
      </w:r>
      <w:r w:rsidR="002E7054">
        <w:rPr>
          <w:rFonts w:ascii="Arial" w:hAnsi="Arial" w:cs="Arial"/>
        </w:rPr>
        <w:t>made application to</w:t>
      </w:r>
      <w:r w:rsidR="00A61613">
        <w:rPr>
          <w:rFonts w:ascii="Arial" w:hAnsi="Arial" w:cs="Arial"/>
        </w:rPr>
        <w:t xml:space="preserve"> strike </w:t>
      </w:r>
      <w:r w:rsidR="002E7054">
        <w:rPr>
          <w:rFonts w:ascii="Arial" w:hAnsi="Arial" w:cs="Arial"/>
        </w:rPr>
        <w:t xml:space="preserve">the further affidavit </w:t>
      </w:r>
      <w:r w:rsidR="00A61613">
        <w:rPr>
          <w:rFonts w:ascii="Arial" w:hAnsi="Arial" w:cs="Arial"/>
        </w:rPr>
        <w:t xml:space="preserve">out. It contended that any new material which </w:t>
      </w:r>
      <w:r w:rsidR="002E7054">
        <w:rPr>
          <w:rFonts w:ascii="Arial" w:hAnsi="Arial" w:cs="Arial"/>
        </w:rPr>
        <w:t xml:space="preserve">was </w:t>
      </w:r>
      <w:r w:rsidR="00A61613">
        <w:rPr>
          <w:rFonts w:ascii="Arial" w:hAnsi="Arial" w:cs="Arial"/>
        </w:rPr>
        <w:t xml:space="preserve">contained in its replying affidavit </w:t>
      </w:r>
      <w:r w:rsidR="00664F58">
        <w:rPr>
          <w:rFonts w:ascii="Arial" w:hAnsi="Arial" w:cs="Arial"/>
        </w:rPr>
        <w:t xml:space="preserve">was </w:t>
      </w:r>
      <w:r w:rsidR="00A61613">
        <w:rPr>
          <w:rFonts w:ascii="Arial" w:hAnsi="Arial" w:cs="Arial"/>
        </w:rPr>
        <w:t xml:space="preserve">occasioned by the contradictory </w:t>
      </w:r>
      <w:r w:rsidR="00DD13B5">
        <w:rPr>
          <w:rFonts w:ascii="Arial" w:hAnsi="Arial" w:cs="Arial"/>
        </w:rPr>
        <w:t xml:space="preserve">and deficient </w:t>
      </w:r>
      <w:r w:rsidR="002E7054">
        <w:rPr>
          <w:rFonts w:ascii="Arial" w:hAnsi="Arial" w:cs="Arial"/>
        </w:rPr>
        <w:t xml:space="preserve">supplementary rule 53 </w:t>
      </w:r>
      <w:r w:rsidR="00A61613">
        <w:rPr>
          <w:rFonts w:ascii="Arial" w:hAnsi="Arial" w:cs="Arial"/>
        </w:rPr>
        <w:t>records which had been filed by the City on 14</w:t>
      </w:r>
      <w:r w:rsidR="002E7054">
        <w:rPr>
          <w:rFonts w:ascii="Arial" w:hAnsi="Arial" w:cs="Arial"/>
        </w:rPr>
        <w:t xml:space="preserve"> and</w:t>
      </w:r>
      <w:r w:rsidR="00A61613">
        <w:rPr>
          <w:rFonts w:ascii="Arial" w:hAnsi="Arial" w:cs="Arial"/>
        </w:rPr>
        <w:t xml:space="preserve"> 21 February</w:t>
      </w:r>
      <w:r w:rsidR="002E7054">
        <w:rPr>
          <w:rFonts w:ascii="Arial" w:hAnsi="Arial" w:cs="Arial"/>
        </w:rPr>
        <w:t xml:space="preserve"> 2023,</w:t>
      </w:r>
      <w:r w:rsidR="00A61613">
        <w:rPr>
          <w:rFonts w:ascii="Arial" w:hAnsi="Arial" w:cs="Arial"/>
        </w:rPr>
        <w:t xml:space="preserve"> and 6 March 2023</w:t>
      </w:r>
      <w:r w:rsidR="002E7054">
        <w:rPr>
          <w:rFonts w:ascii="Arial" w:hAnsi="Arial" w:cs="Arial"/>
        </w:rPr>
        <w:t>,</w:t>
      </w:r>
      <w:r w:rsidR="00A61613">
        <w:rPr>
          <w:rFonts w:ascii="Arial" w:hAnsi="Arial" w:cs="Arial"/>
        </w:rPr>
        <w:t xml:space="preserve"> and was aimed at responding thereto.</w:t>
      </w:r>
      <w:r w:rsidR="002E7054">
        <w:rPr>
          <w:rFonts w:ascii="Arial" w:hAnsi="Arial" w:cs="Arial"/>
        </w:rPr>
        <w:t xml:space="preserve"> </w:t>
      </w:r>
    </w:p>
    <w:p w14:paraId="30EE4E2F" w14:textId="462C0E7E" w:rsidR="008F3BA2"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37.</w:t>
      </w:r>
      <w:r>
        <w:rPr>
          <w:rFonts w:ascii="Arial" w:hAnsi="Arial" w:cs="Arial"/>
        </w:rPr>
        <w:tab/>
      </w:r>
      <w:r w:rsidR="008F3BA2">
        <w:rPr>
          <w:rFonts w:ascii="Arial" w:hAnsi="Arial" w:cs="Arial"/>
        </w:rPr>
        <w:t xml:space="preserve">At the commencement of </w:t>
      </w:r>
      <w:r w:rsidR="00664F58">
        <w:rPr>
          <w:rFonts w:ascii="Arial" w:hAnsi="Arial" w:cs="Arial"/>
        </w:rPr>
        <w:t>argument,</w:t>
      </w:r>
      <w:r w:rsidR="008F3BA2">
        <w:rPr>
          <w:rFonts w:ascii="Arial" w:hAnsi="Arial" w:cs="Arial"/>
        </w:rPr>
        <w:t xml:space="preserve"> I was informed that the parties had agreed to withdraw their respective striking applications on condition that both the applicant’s replying </w:t>
      </w:r>
      <w:r w:rsidR="006425F2">
        <w:rPr>
          <w:rFonts w:ascii="Arial" w:hAnsi="Arial" w:cs="Arial"/>
        </w:rPr>
        <w:t xml:space="preserve">affidavit </w:t>
      </w:r>
      <w:r w:rsidR="008F3BA2">
        <w:rPr>
          <w:rFonts w:ascii="Arial" w:hAnsi="Arial" w:cs="Arial"/>
        </w:rPr>
        <w:t xml:space="preserve">and the </w:t>
      </w:r>
      <w:r w:rsidR="007B56BC">
        <w:rPr>
          <w:rFonts w:ascii="Arial" w:hAnsi="Arial" w:cs="Arial"/>
        </w:rPr>
        <w:t>respondent’s further affidavit were before the Court.</w:t>
      </w:r>
      <w:r w:rsidR="008F3BA2">
        <w:rPr>
          <w:rFonts w:ascii="Arial" w:hAnsi="Arial" w:cs="Arial"/>
        </w:rPr>
        <w:t xml:space="preserve"> </w:t>
      </w:r>
    </w:p>
    <w:p w14:paraId="464B6FED" w14:textId="16A22070" w:rsidR="00B03BC6" w:rsidRPr="00B03BC6" w:rsidRDefault="00B03BC6" w:rsidP="00B03BC6">
      <w:pPr>
        <w:adjustRightInd w:val="0"/>
        <w:spacing w:after="0" w:line="360" w:lineRule="auto"/>
        <w:contextualSpacing/>
        <w:jc w:val="both"/>
        <w:textAlignment w:val="baseline"/>
        <w:rPr>
          <w:rFonts w:ascii="Arial" w:hAnsi="Arial" w:cs="Arial"/>
          <w:b/>
          <w:bCs/>
        </w:rPr>
      </w:pPr>
      <w:r w:rsidRPr="00B03BC6">
        <w:rPr>
          <w:rFonts w:ascii="Arial" w:hAnsi="Arial" w:cs="Arial"/>
          <w:b/>
          <w:bCs/>
        </w:rPr>
        <w:t>An assessment</w:t>
      </w:r>
    </w:p>
    <w:p w14:paraId="6B392A59" w14:textId="2F32AD38" w:rsidR="00B03BC6" w:rsidRPr="00A23655" w:rsidRDefault="00A23655" w:rsidP="00A23655">
      <w:pPr>
        <w:spacing w:line="360" w:lineRule="auto"/>
        <w:ind w:left="720" w:hanging="720"/>
        <w:jc w:val="both"/>
        <w:rPr>
          <w:rFonts w:ascii="Arial" w:eastAsia="Times New Roman" w:hAnsi="Arial" w:cs="Arial"/>
          <w:bCs/>
          <w:lang w:val="en-GB"/>
        </w:rPr>
      </w:pPr>
      <w:r>
        <w:rPr>
          <w:rFonts w:ascii="Arial" w:eastAsia="Times New Roman" w:hAnsi="Arial" w:cs="Arial"/>
          <w:bCs/>
          <w:lang w:val="en-GB"/>
        </w:rPr>
        <w:lastRenderedPageBreak/>
        <w:t>38.</w:t>
      </w:r>
      <w:r>
        <w:rPr>
          <w:rFonts w:ascii="Arial" w:eastAsia="Times New Roman" w:hAnsi="Arial" w:cs="Arial"/>
          <w:bCs/>
          <w:lang w:val="en-GB"/>
        </w:rPr>
        <w:tab/>
      </w:r>
      <w:r w:rsidR="00B03BC6" w:rsidRPr="00A23655">
        <w:rPr>
          <w:rFonts w:ascii="Arial" w:eastAsia="Times New Roman" w:hAnsi="Arial" w:cs="Arial"/>
          <w:bCs/>
          <w:lang w:val="en-GB"/>
        </w:rPr>
        <w:t xml:space="preserve">Section 217(1) of the Constitution </w:t>
      </w:r>
      <w:r w:rsidR="00740297" w:rsidRPr="00A23655">
        <w:rPr>
          <w:rFonts w:ascii="Arial" w:eastAsia="Times New Roman" w:hAnsi="Arial" w:cs="Arial"/>
          <w:bCs/>
          <w:lang w:val="en-GB"/>
        </w:rPr>
        <w:t>provides</w:t>
      </w:r>
      <w:r w:rsidR="00B03BC6" w:rsidRPr="00A23655">
        <w:rPr>
          <w:rFonts w:ascii="Arial" w:eastAsia="Times New Roman" w:hAnsi="Arial" w:cs="Arial"/>
          <w:bCs/>
          <w:lang w:val="en-GB"/>
        </w:rPr>
        <w:t xml:space="preserve"> that when an organ of state contracts for goods or services it must do so in accordance with a system which is fair, equitable, transparent, </w:t>
      </w:r>
      <w:r w:rsidR="000F2A58" w:rsidRPr="00A23655">
        <w:rPr>
          <w:rFonts w:ascii="Arial" w:eastAsia="Times New Roman" w:hAnsi="Arial" w:cs="Arial"/>
          <w:bCs/>
          <w:lang w:val="en-GB"/>
        </w:rPr>
        <w:t>competitive,</w:t>
      </w:r>
      <w:r w:rsidR="00B03BC6" w:rsidRPr="00A23655">
        <w:rPr>
          <w:rFonts w:ascii="Arial" w:eastAsia="Times New Roman" w:hAnsi="Arial" w:cs="Arial"/>
          <w:bCs/>
          <w:lang w:val="en-GB"/>
        </w:rPr>
        <w:t xml:space="preserve"> and cost-effective. </w:t>
      </w:r>
      <w:r w:rsidR="00740297" w:rsidRPr="00A23655">
        <w:rPr>
          <w:rFonts w:ascii="Arial" w:eastAsia="Times New Roman" w:hAnsi="Arial" w:cs="Arial"/>
          <w:bCs/>
          <w:lang w:val="en-GB"/>
        </w:rPr>
        <w:t xml:space="preserve">The express inclusion of these principes is aimed at safeguarding the integrity of state procurement processes, the prudent use of public resources and </w:t>
      </w:r>
      <w:r w:rsidR="000F2A58" w:rsidRPr="00A23655">
        <w:rPr>
          <w:rFonts w:ascii="Arial" w:eastAsia="Times New Roman" w:hAnsi="Arial" w:cs="Arial"/>
          <w:bCs/>
          <w:lang w:val="en-GB"/>
        </w:rPr>
        <w:t xml:space="preserve">the </w:t>
      </w:r>
      <w:r w:rsidR="00740297" w:rsidRPr="00A23655">
        <w:rPr>
          <w:rFonts w:ascii="Arial" w:eastAsia="Times New Roman" w:hAnsi="Arial" w:cs="Arial"/>
          <w:bCs/>
          <w:lang w:val="en-GB"/>
        </w:rPr>
        <w:t>preventi</w:t>
      </w:r>
      <w:r w:rsidR="000F2A58" w:rsidRPr="00A23655">
        <w:rPr>
          <w:rFonts w:ascii="Arial" w:eastAsia="Times New Roman" w:hAnsi="Arial" w:cs="Arial"/>
          <w:bCs/>
          <w:lang w:val="en-GB"/>
        </w:rPr>
        <w:t>on of</w:t>
      </w:r>
      <w:r w:rsidR="00740297" w:rsidRPr="00A23655">
        <w:rPr>
          <w:rFonts w:ascii="Arial" w:eastAsia="Times New Roman" w:hAnsi="Arial" w:cs="Arial"/>
          <w:bCs/>
          <w:lang w:val="en-GB"/>
        </w:rPr>
        <w:t xml:space="preserve"> corruption.</w:t>
      </w:r>
      <w:r w:rsidR="00740297">
        <w:rPr>
          <w:rStyle w:val="FootnoteReference"/>
          <w:rFonts w:ascii="Arial" w:eastAsia="Times New Roman" w:hAnsi="Arial" w:cs="Arial"/>
          <w:bCs/>
          <w:lang w:val="en-GB"/>
        </w:rPr>
        <w:footnoteReference w:id="2"/>
      </w:r>
      <w:r w:rsidR="00740297" w:rsidRPr="00A23655">
        <w:rPr>
          <w:rFonts w:ascii="Arial" w:eastAsia="Times New Roman" w:hAnsi="Arial" w:cs="Arial"/>
          <w:bCs/>
          <w:lang w:val="en-GB"/>
        </w:rPr>
        <w:t xml:space="preserve"> </w:t>
      </w:r>
      <w:r w:rsidR="00B03BC6" w:rsidRPr="00A23655">
        <w:rPr>
          <w:rFonts w:ascii="Arial" w:eastAsia="Times New Roman" w:hAnsi="Arial" w:cs="Arial"/>
          <w:bCs/>
          <w:lang w:val="en-GB"/>
        </w:rPr>
        <w:t xml:space="preserve">These constitutional imperatives </w:t>
      </w:r>
      <w:r w:rsidR="00740297" w:rsidRPr="00A23655">
        <w:rPr>
          <w:rFonts w:ascii="Arial" w:eastAsia="Times New Roman" w:hAnsi="Arial" w:cs="Arial"/>
          <w:bCs/>
          <w:lang w:val="en-GB"/>
        </w:rPr>
        <w:t>are</w:t>
      </w:r>
      <w:r w:rsidR="00B03BC6" w:rsidRPr="00A23655">
        <w:rPr>
          <w:rFonts w:ascii="Arial" w:eastAsia="Times New Roman" w:hAnsi="Arial" w:cs="Arial"/>
          <w:bCs/>
          <w:lang w:val="en-GB"/>
        </w:rPr>
        <w:t xml:space="preserve"> reiterated and given substance to in several legislative instruments, including the Preferential Procurement Policy Framework Act,</w:t>
      </w:r>
      <w:r w:rsidR="00BC19C3" w:rsidRPr="00A23655">
        <w:rPr>
          <w:rFonts w:ascii="Arial" w:eastAsia="Times New Roman" w:hAnsi="Arial" w:cs="Arial"/>
          <w:bCs/>
          <w:lang w:val="en-GB"/>
        </w:rPr>
        <w:t xml:space="preserve"> </w:t>
      </w:r>
      <w:r w:rsidR="00B03BC6">
        <w:rPr>
          <w:rStyle w:val="FootnoteReference"/>
          <w:rFonts w:ascii="Arial" w:eastAsia="Times New Roman" w:hAnsi="Arial" w:cs="Arial"/>
          <w:bCs/>
          <w:lang w:val="en-GB"/>
        </w:rPr>
        <w:footnoteReference w:id="3"/>
      </w:r>
      <w:r w:rsidR="00B03BC6" w:rsidRPr="00A23655">
        <w:rPr>
          <w:rFonts w:ascii="Arial" w:eastAsia="Times New Roman" w:hAnsi="Arial" w:cs="Arial"/>
          <w:bCs/>
          <w:lang w:val="en-GB"/>
        </w:rPr>
        <w:t xml:space="preserve"> the Public Finance Management Act,</w:t>
      </w:r>
      <w:r w:rsidR="00BC19C3" w:rsidRPr="00A23655">
        <w:rPr>
          <w:rFonts w:ascii="Arial" w:eastAsia="Times New Roman" w:hAnsi="Arial" w:cs="Arial"/>
          <w:bCs/>
          <w:lang w:val="en-GB"/>
        </w:rPr>
        <w:t xml:space="preserve"> </w:t>
      </w:r>
      <w:r w:rsidR="00B03BC6">
        <w:rPr>
          <w:rStyle w:val="FootnoteReference"/>
          <w:rFonts w:ascii="Arial" w:eastAsia="Times New Roman" w:hAnsi="Arial" w:cs="Arial"/>
          <w:bCs/>
          <w:lang w:val="en-GB"/>
        </w:rPr>
        <w:footnoteReference w:id="4"/>
      </w:r>
      <w:r w:rsidR="00B03BC6" w:rsidRPr="00A23655">
        <w:rPr>
          <w:rFonts w:ascii="Arial" w:eastAsia="Times New Roman" w:hAnsi="Arial" w:cs="Arial"/>
          <w:bCs/>
          <w:lang w:val="en-GB"/>
        </w:rPr>
        <w:t xml:space="preserve"> the Local Government: Municipal Systems Act</w:t>
      </w:r>
      <w:r w:rsidR="00B03BC6">
        <w:rPr>
          <w:rStyle w:val="FootnoteReference"/>
          <w:rFonts w:ascii="Arial" w:eastAsia="Times New Roman" w:hAnsi="Arial" w:cs="Arial"/>
          <w:bCs/>
          <w:lang w:val="en-GB"/>
        </w:rPr>
        <w:footnoteReference w:id="5"/>
      </w:r>
      <w:r w:rsidR="00B03BC6" w:rsidRPr="00A23655">
        <w:rPr>
          <w:rFonts w:ascii="Arial" w:eastAsia="Times New Roman" w:hAnsi="Arial" w:cs="Arial"/>
          <w:bCs/>
          <w:lang w:val="en-GB"/>
        </w:rPr>
        <w:t xml:space="preserve"> and the Local Government: Municipal Finance Management Act</w:t>
      </w:r>
      <w:r w:rsidR="00BC19C3" w:rsidRPr="00A23655">
        <w:rPr>
          <w:rFonts w:ascii="Arial" w:eastAsia="Times New Roman" w:hAnsi="Arial" w:cs="Arial"/>
          <w:bCs/>
          <w:lang w:val="en-GB"/>
        </w:rPr>
        <w:t xml:space="preserve"> </w:t>
      </w:r>
      <w:r w:rsidR="00B03BC6">
        <w:rPr>
          <w:rStyle w:val="FootnoteReference"/>
          <w:rFonts w:ascii="Arial" w:eastAsia="Times New Roman" w:hAnsi="Arial" w:cs="Arial"/>
          <w:bCs/>
          <w:lang w:val="en-GB"/>
        </w:rPr>
        <w:footnoteReference w:id="6"/>
      </w:r>
      <w:r w:rsidR="00B03BC6" w:rsidRPr="00A23655">
        <w:rPr>
          <w:rFonts w:ascii="Arial" w:eastAsia="Times New Roman" w:hAnsi="Arial" w:cs="Arial"/>
          <w:bCs/>
          <w:lang w:val="en-GB"/>
        </w:rPr>
        <w:t xml:space="preserve"> and various regulations which have been promulgated in terms </w:t>
      </w:r>
      <w:r w:rsidR="00BC19C3" w:rsidRPr="00A23655">
        <w:rPr>
          <w:rFonts w:ascii="Arial" w:eastAsia="Times New Roman" w:hAnsi="Arial" w:cs="Arial"/>
          <w:bCs/>
          <w:lang w:val="en-GB"/>
        </w:rPr>
        <w:t>there</w:t>
      </w:r>
      <w:r w:rsidR="00B03BC6" w:rsidRPr="00A23655">
        <w:rPr>
          <w:rFonts w:ascii="Arial" w:eastAsia="Times New Roman" w:hAnsi="Arial" w:cs="Arial"/>
          <w:bCs/>
          <w:lang w:val="en-GB"/>
        </w:rPr>
        <w:t>of.</w:t>
      </w:r>
      <w:r w:rsidR="00B03BC6">
        <w:rPr>
          <w:rStyle w:val="FootnoteReference"/>
          <w:rFonts w:ascii="Arial" w:eastAsia="Times New Roman" w:hAnsi="Arial" w:cs="Arial"/>
          <w:bCs/>
          <w:lang w:val="en-GB"/>
        </w:rPr>
        <w:footnoteReference w:id="7"/>
      </w:r>
      <w:r w:rsidR="00B03BC6" w:rsidRPr="00A23655">
        <w:rPr>
          <w:rFonts w:ascii="Arial" w:eastAsia="Times New Roman" w:hAnsi="Arial" w:cs="Arial"/>
          <w:bCs/>
          <w:lang w:val="en-GB"/>
        </w:rPr>
        <w:t xml:space="preserve"> </w:t>
      </w:r>
    </w:p>
    <w:p w14:paraId="624E0D97" w14:textId="5BA834A7" w:rsidR="000D6BE5" w:rsidRPr="00A23655" w:rsidRDefault="00A23655" w:rsidP="00A23655">
      <w:pPr>
        <w:spacing w:line="360" w:lineRule="auto"/>
        <w:ind w:left="720" w:hanging="720"/>
        <w:jc w:val="both"/>
        <w:rPr>
          <w:rFonts w:ascii="Arial" w:eastAsia="Times New Roman" w:hAnsi="Arial" w:cs="Arial"/>
          <w:bCs/>
          <w:lang w:val="en-GB"/>
        </w:rPr>
      </w:pPr>
      <w:r>
        <w:rPr>
          <w:rFonts w:ascii="Arial" w:eastAsia="Times New Roman" w:hAnsi="Arial" w:cs="Arial"/>
          <w:bCs/>
          <w:lang w:val="en-GB"/>
        </w:rPr>
        <w:t>39.</w:t>
      </w:r>
      <w:r>
        <w:rPr>
          <w:rFonts w:ascii="Arial" w:eastAsia="Times New Roman" w:hAnsi="Arial" w:cs="Arial"/>
          <w:bCs/>
          <w:lang w:val="en-GB"/>
        </w:rPr>
        <w:tab/>
      </w:r>
      <w:r w:rsidR="00B03BC6" w:rsidRPr="00A23655">
        <w:rPr>
          <w:rFonts w:ascii="Arial" w:eastAsia="Times New Roman" w:hAnsi="Arial" w:cs="Arial"/>
          <w:bCs/>
          <w:lang w:val="en-GB"/>
        </w:rPr>
        <w:t xml:space="preserve">In </w:t>
      </w:r>
      <w:r w:rsidR="00B03BC6" w:rsidRPr="00A23655">
        <w:rPr>
          <w:rFonts w:ascii="Arial" w:eastAsia="Times New Roman" w:hAnsi="Arial" w:cs="Arial"/>
          <w:bCs/>
          <w:i/>
          <w:iCs/>
          <w:lang w:val="en-GB"/>
        </w:rPr>
        <w:t>Tetra Mobile</w:t>
      </w:r>
      <w:r w:rsidR="00B03BC6">
        <w:rPr>
          <w:rStyle w:val="FootnoteReference"/>
          <w:rFonts w:ascii="Arial" w:eastAsia="Times New Roman" w:hAnsi="Arial" w:cs="Arial"/>
          <w:bCs/>
          <w:lang w:val="en-GB"/>
        </w:rPr>
        <w:footnoteReference w:id="8"/>
      </w:r>
      <w:r w:rsidR="00B03BC6" w:rsidRPr="00A23655">
        <w:rPr>
          <w:rFonts w:ascii="Arial" w:eastAsia="Times New Roman" w:hAnsi="Arial" w:cs="Arial"/>
          <w:bCs/>
          <w:lang w:val="en-GB"/>
        </w:rPr>
        <w:t xml:space="preserve"> the Supreme Court of Appeal emphasised the importance of fairness and transparency and how these values ‘permeate’ the entire </w:t>
      </w:r>
      <w:r w:rsidR="00BC19C3" w:rsidRPr="00A23655">
        <w:rPr>
          <w:rFonts w:ascii="Arial" w:eastAsia="Times New Roman" w:hAnsi="Arial" w:cs="Arial"/>
          <w:bCs/>
          <w:lang w:val="en-GB"/>
        </w:rPr>
        <w:t xml:space="preserve">tender </w:t>
      </w:r>
      <w:r w:rsidR="00B03BC6" w:rsidRPr="00A23655">
        <w:rPr>
          <w:rFonts w:ascii="Arial" w:eastAsia="Times New Roman" w:hAnsi="Arial" w:cs="Arial"/>
          <w:bCs/>
          <w:lang w:val="en-GB"/>
        </w:rPr>
        <w:t xml:space="preserve">process. </w:t>
      </w:r>
    </w:p>
    <w:p w14:paraId="61A8481A" w14:textId="32EDDDE9" w:rsidR="000F2A58" w:rsidRPr="00A23655" w:rsidRDefault="00A23655" w:rsidP="00A23655">
      <w:pPr>
        <w:spacing w:line="360" w:lineRule="auto"/>
        <w:ind w:left="720" w:hanging="720"/>
        <w:jc w:val="both"/>
        <w:rPr>
          <w:rFonts w:ascii="Arial" w:eastAsia="Times New Roman" w:hAnsi="Arial" w:cs="Arial"/>
          <w:bCs/>
          <w:lang w:val="en-GB"/>
        </w:rPr>
      </w:pPr>
      <w:r>
        <w:rPr>
          <w:rFonts w:ascii="Arial" w:eastAsia="Times New Roman" w:hAnsi="Arial" w:cs="Arial"/>
          <w:bCs/>
          <w:lang w:val="en-GB"/>
        </w:rPr>
        <w:t>40.</w:t>
      </w:r>
      <w:r>
        <w:rPr>
          <w:rFonts w:ascii="Arial" w:eastAsia="Times New Roman" w:hAnsi="Arial" w:cs="Arial"/>
          <w:bCs/>
          <w:lang w:val="en-GB"/>
        </w:rPr>
        <w:tab/>
      </w:r>
      <w:r w:rsidR="00740297" w:rsidRPr="00A23655">
        <w:rPr>
          <w:rFonts w:ascii="Arial" w:eastAsia="Times New Roman" w:hAnsi="Arial" w:cs="Arial"/>
          <w:bCs/>
          <w:lang w:val="en-GB"/>
        </w:rPr>
        <w:t>In assessing whether the award of a tender has been fair the primary focus is on the process and not on the substantive outcome i.e. the result.</w:t>
      </w:r>
      <w:r w:rsidR="00740297">
        <w:rPr>
          <w:rStyle w:val="FootnoteReference"/>
          <w:rFonts w:ascii="Arial" w:eastAsia="Times New Roman" w:hAnsi="Arial" w:cs="Arial"/>
          <w:bCs/>
          <w:lang w:val="en-GB"/>
        </w:rPr>
        <w:footnoteReference w:id="9"/>
      </w:r>
      <w:r w:rsidR="00740297" w:rsidRPr="00A23655">
        <w:rPr>
          <w:rFonts w:ascii="Arial" w:eastAsia="Times New Roman" w:hAnsi="Arial" w:cs="Arial"/>
          <w:bCs/>
          <w:lang w:val="en-GB"/>
        </w:rPr>
        <w:t xml:space="preserve"> </w:t>
      </w:r>
      <w:r w:rsidR="000F2A58" w:rsidRPr="00A23655">
        <w:rPr>
          <w:rFonts w:ascii="Arial" w:eastAsia="Times New Roman" w:hAnsi="Arial" w:cs="Arial"/>
          <w:bCs/>
          <w:lang w:val="en-GB"/>
        </w:rPr>
        <w:t>The purpose of having a fair process is to arrive at the ‘best’ outcome.</w:t>
      </w:r>
      <w:r w:rsidR="000F2A58">
        <w:rPr>
          <w:rStyle w:val="FootnoteReference"/>
          <w:rFonts w:ascii="Arial" w:eastAsia="Times New Roman" w:hAnsi="Arial" w:cs="Arial"/>
          <w:bCs/>
          <w:lang w:val="en-GB"/>
        </w:rPr>
        <w:footnoteReference w:id="10"/>
      </w:r>
    </w:p>
    <w:p w14:paraId="1607D867" w14:textId="4A3F53EE" w:rsidR="000D6BE5" w:rsidRPr="00A23655" w:rsidRDefault="00A23655" w:rsidP="00A23655">
      <w:pPr>
        <w:spacing w:line="360" w:lineRule="auto"/>
        <w:ind w:left="720" w:hanging="720"/>
        <w:jc w:val="both"/>
        <w:rPr>
          <w:rFonts w:ascii="Arial" w:eastAsia="Times New Roman" w:hAnsi="Arial" w:cs="Arial"/>
          <w:bCs/>
          <w:lang w:val="en-GB"/>
        </w:rPr>
      </w:pPr>
      <w:r>
        <w:rPr>
          <w:rFonts w:ascii="Arial" w:eastAsia="Times New Roman" w:hAnsi="Arial" w:cs="Arial"/>
          <w:bCs/>
          <w:lang w:val="en-GB"/>
        </w:rPr>
        <w:t>41.</w:t>
      </w:r>
      <w:r>
        <w:rPr>
          <w:rFonts w:ascii="Arial" w:eastAsia="Times New Roman" w:hAnsi="Arial" w:cs="Arial"/>
          <w:bCs/>
          <w:lang w:val="en-GB"/>
        </w:rPr>
        <w:tab/>
      </w:r>
      <w:r w:rsidR="000F2A58" w:rsidRPr="00A23655">
        <w:rPr>
          <w:rFonts w:ascii="Arial" w:eastAsia="Times New Roman" w:hAnsi="Arial" w:cs="Arial"/>
          <w:bCs/>
          <w:lang w:val="en-GB"/>
        </w:rPr>
        <w:t xml:space="preserve">Thus, fairness is a procedural requirement </w:t>
      </w:r>
      <w:r w:rsidR="00DD13B5" w:rsidRPr="00A23655">
        <w:rPr>
          <w:rFonts w:ascii="Arial" w:eastAsia="Times New Roman" w:hAnsi="Arial" w:cs="Arial"/>
          <w:bCs/>
          <w:lang w:val="en-GB"/>
        </w:rPr>
        <w:t>which</w:t>
      </w:r>
      <w:r w:rsidR="000F2A58" w:rsidRPr="00A23655">
        <w:rPr>
          <w:rFonts w:ascii="Arial" w:eastAsia="Times New Roman" w:hAnsi="Arial" w:cs="Arial"/>
          <w:bCs/>
          <w:lang w:val="en-GB"/>
        </w:rPr>
        <w:t xml:space="preserve"> is aimed at ensuring</w:t>
      </w:r>
      <w:r w:rsidR="00126354" w:rsidRPr="00A23655">
        <w:rPr>
          <w:rFonts w:ascii="Arial" w:eastAsia="Times New Roman" w:hAnsi="Arial" w:cs="Arial"/>
          <w:bCs/>
          <w:lang w:val="en-GB"/>
        </w:rPr>
        <w:t xml:space="preserve"> the</w:t>
      </w:r>
      <w:r w:rsidR="000F2A58" w:rsidRPr="00A23655">
        <w:rPr>
          <w:rFonts w:ascii="Arial" w:eastAsia="Times New Roman" w:hAnsi="Arial" w:cs="Arial"/>
          <w:bCs/>
          <w:lang w:val="en-GB"/>
        </w:rPr>
        <w:t xml:space="preserve"> ‘even</w:t>
      </w:r>
      <w:r w:rsidR="00913C81" w:rsidRPr="00A23655">
        <w:rPr>
          <w:rFonts w:ascii="Arial" w:eastAsia="Times New Roman" w:hAnsi="Arial" w:cs="Arial"/>
          <w:bCs/>
          <w:lang w:val="en-GB"/>
        </w:rPr>
        <w:t>’ treatment</w:t>
      </w:r>
      <w:r w:rsidR="000F2A58" w:rsidRPr="00A23655">
        <w:rPr>
          <w:rFonts w:ascii="Arial" w:eastAsia="Times New Roman" w:hAnsi="Arial" w:cs="Arial"/>
          <w:bCs/>
          <w:lang w:val="en-GB"/>
        </w:rPr>
        <w:t xml:space="preserve"> of all bidders to a tender.</w:t>
      </w:r>
      <w:r w:rsidR="000F2A58">
        <w:rPr>
          <w:rStyle w:val="FootnoteReference"/>
          <w:rFonts w:ascii="Arial" w:eastAsia="Times New Roman" w:hAnsi="Arial" w:cs="Arial"/>
          <w:bCs/>
          <w:lang w:val="en-GB"/>
        </w:rPr>
        <w:footnoteReference w:id="11"/>
      </w:r>
      <w:r w:rsidR="00740297" w:rsidRPr="00A23655">
        <w:rPr>
          <w:rFonts w:ascii="Arial" w:eastAsia="Times New Roman" w:hAnsi="Arial" w:cs="Arial"/>
          <w:bCs/>
          <w:lang w:val="en-GB"/>
        </w:rPr>
        <w:t xml:space="preserve"> </w:t>
      </w:r>
      <w:r w:rsidR="00913C81" w:rsidRPr="00A23655">
        <w:rPr>
          <w:rFonts w:ascii="Arial" w:eastAsia="Times New Roman" w:hAnsi="Arial" w:cs="Arial"/>
          <w:bCs/>
          <w:lang w:val="en-GB"/>
        </w:rPr>
        <w:t xml:space="preserve">As </w:t>
      </w:r>
      <w:r w:rsidR="00DD13B5" w:rsidRPr="00A23655">
        <w:rPr>
          <w:rFonts w:ascii="Arial" w:eastAsia="Times New Roman" w:hAnsi="Arial" w:cs="Arial"/>
          <w:bCs/>
          <w:lang w:val="en-GB"/>
        </w:rPr>
        <w:t xml:space="preserve">they are </w:t>
      </w:r>
      <w:r w:rsidR="00913C81" w:rsidRPr="00A23655">
        <w:rPr>
          <w:rFonts w:ascii="Arial" w:eastAsia="Times New Roman" w:hAnsi="Arial" w:cs="Arial"/>
          <w:bCs/>
          <w:lang w:val="en-GB"/>
        </w:rPr>
        <w:t xml:space="preserve">competitors, they </w:t>
      </w:r>
      <w:r w:rsidR="00DD13B5" w:rsidRPr="00A23655">
        <w:rPr>
          <w:rFonts w:ascii="Arial" w:eastAsia="Times New Roman" w:hAnsi="Arial" w:cs="Arial"/>
          <w:bCs/>
          <w:lang w:val="en-GB"/>
        </w:rPr>
        <w:t>are required to</w:t>
      </w:r>
      <w:r w:rsidR="00126354" w:rsidRPr="00A23655">
        <w:rPr>
          <w:rFonts w:ascii="Arial" w:eastAsia="Times New Roman" w:hAnsi="Arial" w:cs="Arial"/>
          <w:bCs/>
          <w:lang w:val="en-GB"/>
        </w:rPr>
        <w:t xml:space="preserve"> </w:t>
      </w:r>
      <w:r w:rsidR="00913C81" w:rsidRPr="00A23655">
        <w:rPr>
          <w:rFonts w:ascii="Arial" w:eastAsia="Times New Roman" w:hAnsi="Arial" w:cs="Arial"/>
          <w:bCs/>
          <w:lang w:val="en-GB"/>
        </w:rPr>
        <w:t>be treated equally.</w:t>
      </w:r>
      <w:r w:rsidR="00913C81">
        <w:rPr>
          <w:rStyle w:val="FootnoteReference"/>
          <w:rFonts w:ascii="Arial" w:eastAsia="Times New Roman" w:hAnsi="Arial" w:cs="Arial"/>
          <w:bCs/>
          <w:lang w:val="en-GB"/>
        </w:rPr>
        <w:footnoteReference w:id="12"/>
      </w:r>
      <w:r w:rsidR="000D6BE5" w:rsidRPr="00A23655">
        <w:rPr>
          <w:rFonts w:ascii="Arial" w:eastAsia="Times New Roman" w:hAnsi="Arial" w:cs="Arial"/>
          <w:bCs/>
          <w:lang w:val="en-GB"/>
        </w:rPr>
        <w:t xml:space="preserve"> </w:t>
      </w:r>
      <w:r w:rsidR="00DD13B5" w:rsidRPr="00A23655">
        <w:rPr>
          <w:rFonts w:ascii="Arial" w:eastAsia="Times New Roman" w:hAnsi="Arial" w:cs="Arial"/>
          <w:bCs/>
          <w:lang w:val="en-GB"/>
        </w:rPr>
        <w:t>I</w:t>
      </w:r>
      <w:r w:rsidR="00913C81" w:rsidRPr="00A23655">
        <w:rPr>
          <w:rFonts w:ascii="Arial" w:eastAsia="Times New Roman" w:hAnsi="Arial" w:cs="Arial"/>
          <w:bCs/>
          <w:lang w:val="en-GB"/>
        </w:rPr>
        <w:t xml:space="preserve">n </w:t>
      </w:r>
      <w:r w:rsidR="00913C81" w:rsidRPr="00A23655">
        <w:rPr>
          <w:rFonts w:ascii="Arial" w:eastAsia="Times New Roman" w:hAnsi="Arial" w:cs="Arial"/>
          <w:bCs/>
          <w:i/>
          <w:iCs/>
          <w:lang w:val="en-GB"/>
        </w:rPr>
        <w:t>Firechem</w:t>
      </w:r>
      <w:r w:rsidR="000D6BE5" w:rsidRPr="00A23655">
        <w:rPr>
          <w:rFonts w:ascii="Arial" w:eastAsia="Times New Roman" w:hAnsi="Arial" w:cs="Arial"/>
          <w:bCs/>
          <w:i/>
          <w:iCs/>
          <w:lang w:val="en-GB"/>
        </w:rPr>
        <w:t xml:space="preserve"> </w:t>
      </w:r>
      <w:r w:rsidR="00913C81">
        <w:rPr>
          <w:rStyle w:val="FootnoteReference"/>
          <w:rFonts w:ascii="Arial" w:eastAsia="Times New Roman" w:hAnsi="Arial" w:cs="Arial"/>
          <w:bCs/>
          <w:lang w:val="en-GB"/>
        </w:rPr>
        <w:footnoteReference w:id="13"/>
      </w:r>
      <w:r w:rsidR="00913C81" w:rsidRPr="00A23655">
        <w:rPr>
          <w:rFonts w:ascii="Arial" w:eastAsia="Times New Roman" w:hAnsi="Arial" w:cs="Arial"/>
          <w:bCs/>
          <w:lang w:val="en-GB"/>
        </w:rPr>
        <w:t xml:space="preserve"> </w:t>
      </w:r>
      <w:r w:rsidR="000D6BE5" w:rsidRPr="00A23655">
        <w:rPr>
          <w:rFonts w:ascii="Arial" w:eastAsia="Times New Roman" w:hAnsi="Arial" w:cs="Arial"/>
          <w:bCs/>
          <w:lang w:val="en-GB"/>
        </w:rPr>
        <w:t xml:space="preserve">the SCA held that </w:t>
      </w:r>
      <w:r w:rsidR="00DD13B5" w:rsidRPr="00A23655">
        <w:rPr>
          <w:rFonts w:ascii="Arial" w:eastAsia="Times New Roman" w:hAnsi="Arial" w:cs="Arial"/>
          <w:bCs/>
          <w:lang w:val="en-GB"/>
        </w:rPr>
        <w:t>bidders</w:t>
      </w:r>
      <w:r w:rsidR="000D6BE5" w:rsidRPr="00A23655">
        <w:rPr>
          <w:rFonts w:ascii="Arial" w:eastAsia="Times New Roman" w:hAnsi="Arial" w:cs="Arial"/>
          <w:bCs/>
          <w:lang w:val="en-GB"/>
        </w:rPr>
        <w:t xml:space="preserve"> should all be entitled to tender for the ‘same thing’ and c</w:t>
      </w:r>
      <w:r w:rsidR="00913C81" w:rsidRPr="00A23655">
        <w:rPr>
          <w:rFonts w:ascii="Arial" w:eastAsia="Times New Roman" w:hAnsi="Arial" w:cs="Arial"/>
          <w:bCs/>
          <w:lang w:val="en-GB"/>
        </w:rPr>
        <w:t>ompetitiveness is not served by only one or more of the</w:t>
      </w:r>
      <w:r w:rsidR="000D6BE5" w:rsidRPr="00A23655">
        <w:rPr>
          <w:rFonts w:ascii="Arial" w:eastAsia="Times New Roman" w:hAnsi="Arial" w:cs="Arial"/>
          <w:bCs/>
          <w:lang w:val="en-GB"/>
        </w:rPr>
        <w:t xml:space="preserve">m </w:t>
      </w:r>
      <w:r w:rsidR="00913C81" w:rsidRPr="00A23655">
        <w:rPr>
          <w:rFonts w:ascii="Arial" w:eastAsia="Times New Roman" w:hAnsi="Arial" w:cs="Arial"/>
          <w:bCs/>
          <w:lang w:val="en-GB"/>
        </w:rPr>
        <w:t>knowing what the</w:t>
      </w:r>
      <w:r w:rsidR="000D6BE5" w:rsidRPr="00A23655">
        <w:rPr>
          <w:rFonts w:ascii="Arial" w:eastAsia="Times New Roman" w:hAnsi="Arial" w:cs="Arial"/>
          <w:bCs/>
          <w:lang w:val="en-GB"/>
        </w:rPr>
        <w:t xml:space="preserve"> ‘true subject’ of the tender is.</w:t>
      </w:r>
    </w:p>
    <w:p w14:paraId="261241BB" w14:textId="58C6CF1E" w:rsidR="00B03BC6" w:rsidRPr="00A23655" w:rsidRDefault="00A23655" w:rsidP="00A23655">
      <w:pPr>
        <w:spacing w:line="360" w:lineRule="auto"/>
        <w:ind w:left="720" w:hanging="720"/>
        <w:jc w:val="both"/>
        <w:rPr>
          <w:rFonts w:ascii="Arial" w:eastAsia="Times New Roman" w:hAnsi="Arial" w:cs="Arial"/>
          <w:bCs/>
          <w:lang w:val="en-GB"/>
        </w:rPr>
      </w:pPr>
      <w:r w:rsidRPr="000D6BE5">
        <w:rPr>
          <w:rFonts w:ascii="Arial" w:eastAsia="Times New Roman" w:hAnsi="Arial" w:cs="Arial"/>
          <w:bCs/>
          <w:lang w:val="en-GB"/>
        </w:rPr>
        <w:lastRenderedPageBreak/>
        <w:t>42.</w:t>
      </w:r>
      <w:r w:rsidRPr="000D6BE5">
        <w:rPr>
          <w:rFonts w:ascii="Arial" w:eastAsia="Times New Roman" w:hAnsi="Arial" w:cs="Arial"/>
          <w:bCs/>
          <w:lang w:val="en-GB"/>
        </w:rPr>
        <w:tab/>
      </w:r>
      <w:r w:rsidR="000D6BE5" w:rsidRPr="00A23655">
        <w:rPr>
          <w:rFonts w:ascii="Arial" w:eastAsia="Times New Roman" w:hAnsi="Arial" w:cs="Arial"/>
          <w:bCs/>
          <w:lang w:val="en-GB"/>
        </w:rPr>
        <w:t>Whether a tender process has been fair is a matter that must be determined on the facts of each case.</w:t>
      </w:r>
      <w:r w:rsidR="000D6BE5">
        <w:rPr>
          <w:rStyle w:val="FootnoteReference"/>
          <w:rFonts w:ascii="Arial" w:eastAsia="Times New Roman" w:hAnsi="Arial" w:cs="Arial"/>
          <w:bCs/>
          <w:lang w:val="en-GB"/>
        </w:rPr>
        <w:footnoteReference w:id="14"/>
      </w:r>
      <w:r w:rsidR="00913C81" w:rsidRPr="00A23655">
        <w:rPr>
          <w:rFonts w:ascii="Arial" w:eastAsia="Times New Roman" w:hAnsi="Arial" w:cs="Arial"/>
          <w:bCs/>
          <w:lang w:val="en-GB"/>
        </w:rPr>
        <w:t xml:space="preserve"> </w:t>
      </w:r>
      <w:r w:rsidR="000D6BE5" w:rsidRPr="00A23655">
        <w:rPr>
          <w:rFonts w:ascii="Arial" w:eastAsia="Times New Roman" w:hAnsi="Arial" w:cs="Arial"/>
          <w:bCs/>
          <w:lang w:val="en-GB"/>
        </w:rPr>
        <w:t xml:space="preserve">The facts will determine whether any ‘shortfall’ in any of the constitutional requirements </w:t>
      </w:r>
      <w:r w:rsidR="008861E6" w:rsidRPr="00A23655">
        <w:rPr>
          <w:rFonts w:ascii="Arial" w:eastAsia="Times New Roman" w:hAnsi="Arial" w:cs="Arial"/>
          <w:bCs/>
          <w:lang w:val="en-GB"/>
        </w:rPr>
        <w:t>listed in s 217 of the Constitution establishes procedural unfairness, irrationality, unreasonableness, or any of the other review</w:t>
      </w:r>
      <w:r w:rsidR="000D6BE5" w:rsidRPr="00A23655">
        <w:rPr>
          <w:rFonts w:ascii="Arial" w:eastAsia="Times New Roman" w:hAnsi="Arial" w:cs="Arial"/>
          <w:bCs/>
          <w:lang w:val="en-GB"/>
        </w:rPr>
        <w:t xml:space="preserve"> </w:t>
      </w:r>
      <w:r w:rsidR="008861E6" w:rsidRPr="00A23655">
        <w:rPr>
          <w:rFonts w:ascii="Arial" w:eastAsia="Times New Roman" w:hAnsi="Arial" w:cs="Arial"/>
          <w:bCs/>
          <w:lang w:val="en-GB"/>
        </w:rPr>
        <w:t>grounds set out in PAJA.</w:t>
      </w:r>
      <w:r w:rsidR="008861E6">
        <w:rPr>
          <w:rStyle w:val="FootnoteReference"/>
          <w:rFonts w:ascii="Arial" w:eastAsia="Times New Roman" w:hAnsi="Arial" w:cs="Arial"/>
          <w:bCs/>
          <w:lang w:val="en-GB"/>
        </w:rPr>
        <w:footnoteReference w:id="15"/>
      </w:r>
      <w:r w:rsidR="00740297" w:rsidRPr="00A23655">
        <w:rPr>
          <w:rFonts w:ascii="Arial" w:eastAsia="Times New Roman" w:hAnsi="Arial" w:cs="Arial"/>
          <w:bCs/>
          <w:lang w:val="en-GB"/>
        </w:rPr>
        <w:t xml:space="preserve">   </w:t>
      </w:r>
    </w:p>
    <w:p w14:paraId="0FE17A0E" w14:textId="691AC202" w:rsidR="00740297" w:rsidRPr="00A23655" w:rsidRDefault="00A23655" w:rsidP="00A23655">
      <w:pPr>
        <w:spacing w:line="360" w:lineRule="auto"/>
        <w:ind w:left="720" w:hanging="720"/>
        <w:jc w:val="both"/>
        <w:rPr>
          <w:rFonts w:ascii="Arial" w:eastAsia="Times New Roman" w:hAnsi="Arial" w:cs="Arial"/>
          <w:bCs/>
          <w:lang w:val="en-GB"/>
        </w:rPr>
      </w:pPr>
      <w:r>
        <w:rPr>
          <w:rFonts w:ascii="Arial" w:eastAsia="Times New Roman" w:hAnsi="Arial" w:cs="Arial"/>
          <w:bCs/>
          <w:lang w:val="en-GB"/>
        </w:rPr>
        <w:t>43.</w:t>
      </w:r>
      <w:r>
        <w:rPr>
          <w:rFonts w:ascii="Arial" w:eastAsia="Times New Roman" w:hAnsi="Arial" w:cs="Arial"/>
          <w:bCs/>
          <w:lang w:val="en-GB"/>
        </w:rPr>
        <w:tab/>
      </w:r>
      <w:r w:rsidR="007E3DE3" w:rsidRPr="00A23655">
        <w:rPr>
          <w:rFonts w:ascii="Arial" w:eastAsia="Times New Roman" w:hAnsi="Arial" w:cs="Arial"/>
          <w:bCs/>
          <w:lang w:val="en-GB"/>
        </w:rPr>
        <w:t>The applicant contends that even though the tender is predicated on an operating model which differs from the one which was previously in place, the information which it sought pertaining to traffic infringement volumes was still relevant for the purpose of the bid it wished to submit. The fact that the successful bidder would no longer be remunerated on a per infringement basis and would instead be paid a fixed monthly fee to provide the services did not render such information meaningless. The information was necessary for the applicant so that it could properly price its bid, given that it would be required to acquire the equipment specified in the bid specifications. It needed the infringement statistics as these would enable it to arrive at a determination of what it should charge as a monthly fee in order not only to cover its running and operational expenses but also to make a reasonable profit.</w:t>
      </w:r>
      <w:r w:rsidR="00155E54" w:rsidRPr="00A23655">
        <w:rPr>
          <w:rFonts w:ascii="Arial" w:eastAsia="Times New Roman" w:hAnsi="Arial" w:cs="Arial"/>
          <w:bCs/>
          <w:lang w:val="en-GB"/>
        </w:rPr>
        <w:t xml:space="preserve"> The greater the number of infringements the higher the running costs (including staff, software and printing costs). </w:t>
      </w:r>
    </w:p>
    <w:p w14:paraId="10E008D6" w14:textId="7B38C88C" w:rsidR="00155E54" w:rsidRPr="00A23655" w:rsidRDefault="00A23655" w:rsidP="00A23655">
      <w:pPr>
        <w:spacing w:line="360" w:lineRule="auto"/>
        <w:ind w:left="720" w:hanging="720"/>
        <w:jc w:val="both"/>
        <w:rPr>
          <w:rFonts w:ascii="Arial" w:eastAsia="Times New Roman" w:hAnsi="Arial" w:cs="Arial"/>
          <w:bCs/>
          <w:lang w:val="en-GB"/>
        </w:rPr>
      </w:pPr>
      <w:r>
        <w:rPr>
          <w:rFonts w:ascii="Arial" w:eastAsia="Times New Roman" w:hAnsi="Arial" w:cs="Arial"/>
          <w:bCs/>
          <w:lang w:val="en-GB"/>
        </w:rPr>
        <w:t>44.</w:t>
      </w:r>
      <w:r>
        <w:rPr>
          <w:rFonts w:ascii="Arial" w:eastAsia="Times New Roman" w:hAnsi="Arial" w:cs="Arial"/>
          <w:bCs/>
          <w:lang w:val="en-GB"/>
        </w:rPr>
        <w:tab/>
      </w:r>
      <w:r w:rsidR="007E3DE3" w:rsidRPr="00A23655">
        <w:rPr>
          <w:rFonts w:ascii="Arial" w:eastAsia="Times New Roman" w:hAnsi="Arial" w:cs="Arial"/>
          <w:bCs/>
          <w:lang w:val="en-GB"/>
        </w:rPr>
        <w:t xml:space="preserve">The </w:t>
      </w:r>
      <w:r w:rsidR="00155E54" w:rsidRPr="00A23655">
        <w:rPr>
          <w:rFonts w:ascii="Arial" w:eastAsia="Times New Roman" w:hAnsi="Arial" w:cs="Arial"/>
          <w:bCs/>
          <w:lang w:val="en-GB"/>
        </w:rPr>
        <w:t>historic data which it had in respect of traffic infringements during the time that it had been the service provider, was 5 years old. It needed the current data as the COVID-19 pandemic had ‘radically altered socio-e</w:t>
      </w:r>
      <w:r w:rsidR="0099161D" w:rsidRPr="00A23655">
        <w:rPr>
          <w:rFonts w:ascii="Arial" w:eastAsia="Times New Roman" w:hAnsi="Arial" w:cs="Arial"/>
          <w:bCs/>
          <w:lang w:val="en-GB"/>
        </w:rPr>
        <w:t>c</w:t>
      </w:r>
      <w:r w:rsidR="00155E54" w:rsidRPr="00A23655">
        <w:rPr>
          <w:rFonts w:ascii="Arial" w:eastAsia="Times New Roman" w:hAnsi="Arial" w:cs="Arial"/>
          <w:bCs/>
          <w:lang w:val="en-GB"/>
        </w:rPr>
        <w:t>onomic patterns of movement’, and had vastly reduced traffic volumes, as many people had resorted to working from home and it was difficult to know whether drivers had returned to pre-COVID patterns.</w:t>
      </w:r>
    </w:p>
    <w:p w14:paraId="20826346" w14:textId="768A6966" w:rsidR="009804F6" w:rsidRPr="00A23655" w:rsidRDefault="00A23655" w:rsidP="00A23655">
      <w:pPr>
        <w:spacing w:line="360" w:lineRule="auto"/>
        <w:ind w:left="720" w:hanging="720"/>
        <w:jc w:val="both"/>
        <w:rPr>
          <w:rFonts w:ascii="Arial" w:eastAsia="Times New Roman" w:hAnsi="Arial" w:cs="Arial"/>
          <w:bCs/>
          <w:lang w:val="en-GB"/>
        </w:rPr>
      </w:pPr>
      <w:r>
        <w:rPr>
          <w:rFonts w:ascii="Arial" w:eastAsia="Times New Roman" w:hAnsi="Arial" w:cs="Arial"/>
          <w:bCs/>
          <w:lang w:val="en-GB"/>
        </w:rPr>
        <w:t>45.</w:t>
      </w:r>
      <w:r>
        <w:rPr>
          <w:rFonts w:ascii="Arial" w:eastAsia="Times New Roman" w:hAnsi="Arial" w:cs="Arial"/>
          <w:bCs/>
          <w:lang w:val="en-GB"/>
        </w:rPr>
        <w:tab/>
      </w:r>
      <w:r w:rsidR="00387328" w:rsidRPr="00A23655">
        <w:rPr>
          <w:rFonts w:ascii="Arial" w:eastAsia="Times New Roman" w:hAnsi="Arial" w:cs="Arial"/>
          <w:bCs/>
          <w:lang w:val="en-GB"/>
        </w:rPr>
        <w:t xml:space="preserve">I have my doubts about whether the applicant really required </w:t>
      </w:r>
      <w:r w:rsidR="009804F6" w:rsidRPr="00A23655">
        <w:rPr>
          <w:rFonts w:ascii="Arial" w:eastAsia="Times New Roman" w:hAnsi="Arial" w:cs="Arial"/>
          <w:bCs/>
          <w:lang w:val="en-GB"/>
        </w:rPr>
        <w:t xml:space="preserve">or needed </w:t>
      </w:r>
      <w:r w:rsidR="00387328" w:rsidRPr="00A23655">
        <w:rPr>
          <w:rFonts w:ascii="Arial" w:eastAsia="Times New Roman" w:hAnsi="Arial" w:cs="Arial"/>
          <w:bCs/>
          <w:lang w:val="en-GB"/>
        </w:rPr>
        <w:t>the information it sought in relation to the</w:t>
      </w:r>
      <w:r w:rsidR="0057041D" w:rsidRPr="00A23655">
        <w:rPr>
          <w:rFonts w:ascii="Arial" w:eastAsia="Times New Roman" w:hAnsi="Arial" w:cs="Arial"/>
          <w:bCs/>
          <w:lang w:val="en-GB"/>
        </w:rPr>
        <w:t xml:space="preserve"> current </w:t>
      </w:r>
      <w:r w:rsidR="00387328" w:rsidRPr="00A23655">
        <w:rPr>
          <w:rFonts w:ascii="Arial" w:eastAsia="Times New Roman" w:hAnsi="Arial" w:cs="Arial"/>
          <w:bCs/>
          <w:lang w:val="en-GB"/>
        </w:rPr>
        <w:t>traffic infringement volumes and whether it was materially prejudiced in any way, by not having them</w:t>
      </w:r>
      <w:r w:rsidR="009804F6" w:rsidRPr="00A23655">
        <w:rPr>
          <w:rFonts w:ascii="Arial" w:eastAsia="Times New Roman" w:hAnsi="Arial" w:cs="Arial"/>
          <w:bCs/>
          <w:lang w:val="en-GB"/>
        </w:rPr>
        <w:t>,</w:t>
      </w:r>
      <w:r w:rsidR="00387328" w:rsidRPr="00A23655">
        <w:rPr>
          <w:rFonts w:ascii="Arial" w:eastAsia="Times New Roman" w:hAnsi="Arial" w:cs="Arial"/>
          <w:bCs/>
          <w:lang w:val="en-GB"/>
        </w:rPr>
        <w:t xml:space="preserve"> at the time when it put in its bid. I say this because despite not having this information the </w:t>
      </w:r>
      <w:r w:rsidR="00387328" w:rsidRPr="00A23655">
        <w:rPr>
          <w:rFonts w:ascii="Arial" w:eastAsia="Times New Roman" w:hAnsi="Arial" w:cs="Arial"/>
          <w:bCs/>
          <w:lang w:val="en-GB"/>
        </w:rPr>
        <w:lastRenderedPageBreak/>
        <w:t>bid price which the applicant put up was</w:t>
      </w:r>
      <w:r w:rsidR="009804F6" w:rsidRPr="00A23655">
        <w:rPr>
          <w:rFonts w:ascii="Arial" w:eastAsia="Times New Roman" w:hAnsi="Arial" w:cs="Arial"/>
          <w:bCs/>
          <w:lang w:val="en-GB"/>
        </w:rPr>
        <w:t xml:space="preserve">, remarkably, </w:t>
      </w:r>
      <w:r w:rsidR="00387328" w:rsidRPr="00A23655">
        <w:rPr>
          <w:rFonts w:ascii="Arial" w:eastAsia="Times New Roman" w:hAnsi="Arial" w:cs="Arial"/>
          <w:bCs/>
          <w:lang w:val="en-GB"/>
        </w:rPr>
        <w:t>only</w:t>
      </w:r>
      <w:r w:rsidR="009804F6" w:rsidRPr="00A23655">
        <w:rPr>
          <w:rFonts w:ascii="Arial" w:eastAsia="Times New Roman" w:hAnsi="Arial" w:cs="Arial"/>
          <w:bCs/>
          <w:lang w:val="en-GB"/>
        </w:rPr>
        <w:t xml:space="preserve"> R 13.6 million or 7.6% more than that which was put by Syntell. Given the numbers involved that </w:t>
      </w:r>
      <w:r w:rsidR="005E18E7" w:rsidRPr="00A23655">
        <w:rPr>
          <w:rFonts w:ascii="Arial" w:eastAsia="Times New Roman" w:hAnsi="Arial" w:cs="Arial"/>
          <w:bCs/>
          <w:lang w:val="en-GB"/>
        </w:rPr>
        <w:t>indicates a very</w:t>
      </w:r>
      <w:r w:rsidR="009804F6" w:rsidRPr="00A23655">
        <w:rPr>
          <w:rFonts w:ascii="Arial" w:eastAsia="Times New Roman" w:hAnsi="Arial" w:cs="Arial"/>
          <w:bCs/>
          <w:lang w:val="en-GB"/>
        </w:rPr>
        <w:t xml:space="preserve"> accurate pricing, which was very close to that which Syntell adopted, with the benefit of up-to-date information, as the incumbent service provider.</w:t>
      </w:r>
    </w:p>
    <w:p w14:paraId="48D1E815" w14:textId="1B9E5694" w:rsidR="00DD13B5" w:rsidRPr="00A23655" w:rsidRDefault="00A23655" w:rsidP="00A23655">
      <w:pPr>
        <w:spacing w:line="360" w:lineRule="auto"/>
        <w:ind w:left="720" w:hanging="720"/>
        <w:jc w:val="both"/>
        <w:rPr>
          <w:rFonts w:ascii="Arial" w:eastAsia="Times New Roman" w:hAnsi="Arial" w:cs="Arial"/>
          <w:bCs/>
          <w:lang w:val="en-GB"/>
        </w:rPr>
      </w:pPr>
      <w:r>
        <w:rPr>
          <w:rFonts w:ascii="Arial" w:eastAsia="Times New Roman" w:hAnsi="Arial" w:cs="Arial"/>
          <w:bCs/>
          <w:lang w:val="en-GB"/>
        </w:rPr>
        <w:t>46.</w:t>
      </w:r>
      <w:r>
        <w:rPr>
          <w:rFonts w:ascii="Arial" w:eastAsia="Times New Roman" w:hAnsi="Arial" w:cs="Arial"/>
          <w:bCs/>
          <w:lang w:val="en-GB"/>
        </w:rPr>
        <w:tab/>
      </w:r>
      <w:r w:rsidR="009804F6" w:rsidRPr="00A23655">
        <w:rPr>
          <w:rFonts w:ascii="Arial" w:eastAsia="Times New Roman" w:hAnsi="Arial" w:cs="Arial"/>
          <w:bCs/>
          <w:lang w:val="en-GB"/>
        </w:rPr>
        <w:t xml:space="preserve">Be that as it may, for the purposes of the judgment </w:t>
      </w:r>
      <w:r w:rsidR="00155E54" w:rsidRPr="00A23655">
        <w:rPr>
          <w:rFonts w:ascii="Arial" w:eastAsia="Times New Roman" w:hAnsi="Arial" w:cs="Arial"/>
          <w:bCs/>
          <w:lang w:val="en-GB"/>
        </w:rPr>
        <w:t xml:space="preserve">I accept the </w:t>
      </w:r>
      <w:r w:rsidR="009804F6" w:rsidRPr="00A23655">
        <w:rPr>
          <w:rFonts w:ascii="Arial" w:eastAsia="Times New Roman" w:hAnsi="Arial" w:cs="Arial"/>
          <w:bCs/>
          <w:lang w:val="en-GB"/>
        </w:rPr>
        <w:t xml:space="preserve">applicant’s </w:t>
      </w:r>
      <w:r w:rsidR="00155E54" w:rsidRPr="00A23655">
        <w:rPr>
          <w:rFonts w:ascii="Arial" w:eastAsia="Times New Roman" w:hAnsi="Arial" w:cs="Arial"/>
          <w:bCs/>
          <w:lang w:val="en-GB"/>
        </w:rPr>
        <w:t>submissions</w:t>
      </w:r>
      <w:r w:rsidR="009804F6" w:rsidRPr="00A23655">
        <w:rPr>
          <w:rFonts w:ascii="Arial" w:eastAsia="Times New Roman" w:hAnsi="Arial" w:cs="Arial"/>
          <w:bCs/>
          <w:lang w:val="en-GB"/>
        </w:rPr>
        <w:t xml:space="preserve"> as to why it required the information it sought. </w:t>
      </w:r>
      <w:r w:rsidR="00126354" w:rsidRPr="00A23655">
        <w:rPr>
          <w:rFonts w:ascii="Arial" w:eastAsia="Times New Roman" w:hAnsi="Arial" w:cs="Arial"/>
          <w:bCs/>
          <w:lang w:val="en-GB"/>
        </w:rPr>
        <w:t>That said,</w:t>
      </w:r>
      <w:r w:rsidR="00155E54" w:rsidRPr="00A23655">
        <w:rPr>
          <w:rFonts w:ascii="Arial" w:eastAsia="Times New Roman" w:hAnsi="Arial" w:cs="Arial"/>
          <w:bCs/>
          <w:lang w:val="en-GB"/>
        </w:rPr>
        <w:t xml:space="preserve"> it does not necessarily follow that the City’s refusal/failure to provide the </w:t>
      </w:r>
      <w:r w:rsidR="00126354" w:rsidRPr="00A23655">
        <w:rPr>
          <w:rFonts w:ascii="Arial" w:eastAsia="Times New Roman" w:hAnsi="Arial" w:cs="Arial"/>
          <w:bCs/>
          <w:lang w:val="en-GB"/>
        </w:rPr>
        <w:t>information qualifies</w:t>
      </w:r>
      <w:r w:rsidR="00155E54" w:rsidRPr="00A23655">
        <w:rPr>
          <w:rFonts w:ascii="Arial" w:eastAsia="Times New Roman" w:hAnsi="Arial" w:cs="Arial"/>
          <w:bCs/>
          <w:lang w:val="en-GB"/>
        </w:rPr>
        <w:t xml:space="preserve"> as unfairness, </w:t>
      </w:r>
      <w:r w:rsidR="0099161D" w:rsidRPr="00A23655">
        <w:rPr>
          <w:rFonts w:ascii="Arial" w:eastAsia="Times New Roman" w:hAnsi="Arial" w:cs="Arial"/>
          <w:bCs/>
          <w:lang w:val="en-GB"/>
        </w:rPr>
        <w:t>s</w:t>
      </w:r>
      <w:r w:rsidR="003142D3" w:rsidRPr="00A23655">
        <w:rPr>
          <w:rFonts w:ascii="Arial" w:eastAsia="Times New Roman" w:hAnsi="Arial" w:cs="Arial"/>
          <w:bCs/>
          <w:lang w:val="en-GB"/>
        </w:rPr>
        <w:t>o as</w:t>
      </w:r>
      <w:r w:rsidR="0099161D" w:rsidRPr="00A23655">
        <w:rPr>
          <w:rFonts w:ascii="Arial" w:eastAsia="Times New Roman" w:hAnsi="Arial" w:cs="Arial"/>
          <w:bCs/>
          <w:lang w:val="en-GB"/>
        </w:rPr>
        <w:t xml:space="preserve"> to allow for the process to be set aside on review</w:t>
      </w:r>
      <w:r w:rsidR="00140EB5" w:rsidRPr="00A23655">
        <w:rPr>
          <w:rFonts w:ascii="Arial" w:eastAsia="Times New Roman" w:hAnsi="Arial" w:cs="Arial"/>
          <w:bCs/>
          <w:lang w:val="en-GB"/>
        </w:rPr>
        <w:t>,</w:t>
      </w:r>
      <w:r w:rsidR="0099161D" w:rsidRPr="00A23655">
        <w:rPr>
          <w:rFonts w:ascii="Arial" w:eastAsia="Times New Roman" w:hAnsi="Arial" w:cs="Arial"/>
          <w:bCs/>
          <w:lang w:val="en-GB"/>
        </w:rPr>
        <w:t xml:space="preserve"> on one or more of the established grounds set out in PAJA, on which the applicant seeks to rely. </w:t>
      </w:r>
    </w:p>
    <w:p w14:paraId="355140FB" w14:textId="3E37DE8B" w:rsidR="00B86415" w:rsidRPr="00A23655" w:rsidRDefault="00A23655" w:rsidP="00A23655">
      <w:pPr>
        <w:spacing w:line="360" w:lineRule="auto"/>
        <w:ind w:left="720" w:hanging="720"/>
        <w:jc w:val="both"/>
        <w:rPr>
          <w:rFonts w:ascii="Arial" w:eastAsia="Times New Roman" w:hAnsi="Arial" w:cs="Arial"/>
          <w:bCs/>
          <w:lang w:val="en-GB"/>
        </w:rPr>
      </w:pPr>
      <w:r>
        <w:rPr>
          <w:rFonts w:ascii="Arial" w:eastAsia="Times New Roman" w:hAnsi="Arial" w:cs="Arial"/>
          <w:bCs/>
          <w:lang w:val="en-GB"/>
        </w:rPr>
        <w:t>47.</w:t>
      </w:r>
      <w:r>
        <w:rPr>
          <w:rFonts w:ascii="Arial" w:eastAsia="Times New Roman" w:hAnsi="Arial" w:cs="Arial"/>
          <w:bCs/>
          <w:lang w:val="en-GB"/>
        </w:rPr>
        <w:tab/>
      </w:r>
      <w:r w:rsidR="00140EB5" w:rsidRPr="00A23655">
        <w:rPr>
          <w:rFonts w:ascii="Arial" w:eastAsia="Times New Roman" w:hAnsi="Arial" w:cs="Arial"/>
          <w:bCs/>
          <w:lang w:val="en-GB"/>
        </w:rPr>
        <w:t xml:space="preserve">It is not only the applicant’s simple complaint of unfairness that is to be put into the scale and weighed. </w:t>
      </w:r>
      <w:r w:rsidR="003142D3" w:rsidRPr="00A23655">
        <w:rPr>
          <w:rFonts w:ascii="Arial" w:eastAsia="Times New Roman" w:hAnsi="Arial" w:cs="Arial"/>
          <w:bCs/>
          <w:lang w:val="en-GB"/>
        </w:rPr>
        <w:t>As t</w:t>
      </w:r>
      <w:r w:rsidR="0099161D" w:rsidRPr="00A23655">
        <w:rPr>
          <w:rFonts w:ascii="Arial" w:eastAsia="Times New Roman" w:hAnsi="Arial" w:cs="Arial"/>
          <w:bCs/>
          <w:lang w:val="en-GB"/>
        </w:rPr>
        <w:t>he respondents point out</w:t>
      </w:r>
      <w:r w:rsidR="003142D3" w:rsidRPr="00A23655">
        <w:rPr>
          <w:rFonts w:ascii="Arial" w:eastAsia="Times New Roman" w:hAnsi="Arial" w:cs="Arial"/>
          <w:bCs/>
          <w:lang w:val="en-GB"/>
        </w:rPr>
        <w:t>,</w:t>
      </w:r>
      <w:r w:rsidR="0099161D" w:rsidRPr="00A23655">
        <w:rPr>
          <w:rFonts w:ascii="Arial" w:eastAsia="Times New Roman" w:hAnsi="Arial" w:cs="Arial"/>
          <w:bCs/>
          <w:lang w:val="en-GB"/>
        </w:rPr>
        <w:t xml:space="preserve"> annual traffic infringement statistics were publicly available from the RTIA, and its latest report of October 2021 reflected figures for the 2020-2021 years. The applicant does not deny that it could have obtained these statistics from the RTIA reports</w:t>
      </w:r>
      <w:r w:rsidR="00140EB5" w:rsidRPr="00A23655">
        <w:rPr>
          <w:rFonts w:ascii="Arial" w:eastAsia="Times New Roman" w:hAnsi="Arial" w:cs="Arial"/>
          <w:bCs/>
          <w:lang w:val="en-GB"/>
        </w:rPr>
        <w:t xml:space="preserve"> and it does not say whether it did, or did not, do so and if not, why not.</w:t>
      </w:r>
      <w:r w:rsidR="0099161D" w:rsidRPr="00A23655">
        <w:rPr>
          <w:rFonts w:ascii="Arial" w:eastAsia="Times New Roman" w:hAnsi="Arial" w:cs="Arial"/>
          <w:bCs/>
          <w:lang w:val="en-GB"/>
        </w:rPr>
        <w:t xml:space="preserve"> In addition, the applicant has not provided any explanation for why, in the event that it required statistics/figures </w:t>
      </w:r>
      <w:r w:rsidR="00B86415" w:rsidRPr="00A23655">
        <w:rPr>
          <w:rFonts w:ascii="Arial" w:eastAsia="Times New Roman" w:hAnsi="Arial" w:cs="Arial"/>
          <w:bCs/>
          <w:lang w:val="en-GB"/>
        </w:rPr>
        <w:t xml:space="preserve">from the City instead of, or in addition to </w:t>
      </w:r>
      <w:r w:rsidR="005E18E7" w:rsidRPr="00A23655">
        <w:rPr>
          <w:rFonts w:ascii="Arial" w:eastAsia="Times New Roman" w:hAnsi="Arial" w:cs="Arial"/>
          <w:bCs/>
          <w:lang w:val="en-GB"/>
        </w:rPr>
        <w:t xml:space="preserve">those from </w:t>
      </w:r>
      <w:r w:rsidR="00B86415" w:rsidRPr="00A23655">
        <w:rPr>
          <w:rFonts w:ascii="Arial" w:eastAsia="Times New Roman" w:hAnsi="Arial" w:cs="Arial"/>
          <w:bCs/>
          <w:lang w:val="en-GB"/>
        </w:rPr>
        <w:t xml:space="preserve">the RTIA, </w:t>
      </w:r>
      <w:r w:rsidR="0099161D" w:rsidRPr="00A23655">
        <w:rPr>
          <w:rFonts w:ascii="Arial" w:eastAsia="Times New Roman" w:hAnsi="Arial" w:cs="Arial"/>
          <w:bCs/>
          <w:lang w:val="en-GB"/>
        </w:rPr>
        <w:t xml:space="preserve">in order to submit a properly competitive bid, it failed either to take any steps to compel </w:t>
      </w:r>
      <w:r w:rsidR="00B86415" w:rsidRPr="00A23655">
        <w:rPr>
          <w:rFonts w:ascii="Arial" w:eastAsia="Times New Roman" w:hAnsi="Arial" w:cs="Arial"/>
          <w:bCs/>
          <w:lang w:val="en-GB"/>
        </w:rPr>
        <w:t>the City</w:t>
      </w:r>
      <w:r w:rsidR="0099161D" w:rsidRPr="00A23655">
        <w:rPr>
          <w:rFonts w:ascii="Arial" w:eastAsia="Times New Roman" w:hAnsi="Arial" w:cs="Arial"/>
          <w:bCs/>
          <w:lang w:val="en-GB"/>
        </w:rPr>
        <w:t xml:space="preserve"> to provide or disclose them or to challenge the tender specifications</w:t>
      </w:r>
      <w:r w:rsidR="00B86415" w:rsidRPr="00A23655">
        <w:rPr>
          <w:rFonts w:ascii="Arial" w:eastAsia="Times New Roman" w:hAnsi="Arial" w:cs="Arial"/>
          <w:bCs/>
          <w:lang w:val="en-GB"/>
        </w:rPr>
        <w:t xml:space="preserve">, or the process whereby </w:t>
      </w:r>
      <w:r w:rsidR="004B0F84" w:rsidRPr="00A23655">
        <w:rPr>
          <w:rFonts w:ascii="Arial" w:eastAsia="Times New Roman" w:hAnsi="Arial" w:cs="Arial"/>
          <w:bCs/>
          <w:lang w:val="en-GB"/>
        </w:rPr>
        <w:t xml:space="preserve">the </w:t>
      </w:r>
      <w:r w:rsidR="00B86415" w:rsidRPr="00A23655">
        <w:rPr>
          <w:rFonts w:ascii="Arial" w:eastAsia="Times New Roman" w:hAnsi="Arial" w:cs="Arial"/>
          <w:bCs/>
          <w:lang w:val="en-GB"/>
        </w:rPr>
        <w:t>matter was put out to tender without such information being supplied</w:t>
      </w:r>
      <w:r w:rsidR="00140EB5" w:rsidRPr="00A23655">
        <w:rPr>
          <w:rFonts w:ascii="Arial" w:eastAsia="Times New Roman" w:hAnsi="Arial" w:cs="Arial"/>
          <w:bCs/>
          <w:lang w:val="en-GB"/>
        </w:rPr>
        <w:t>, before submitting its bid</w:t>
      </w:r>
      <w:r w:rsidR="00B86415" w:rsidRPr="00A23655">
        <w:rPr>
          <w:rFonts w:ascii="Arial" w:eastAsia="Times New Roman" w:hAnsi="Arial" w:cs="Arial"/>
          <w:bCs/>
          <w:lang w:val="en-GB"/>
        </w:rPr>
        <w:t xml:space="preserve">. </w:t>
      </w:r>
    </w:p>
    <w:p w14:paraId="3DA88E82" w14:textId="0B6A5004" w:rsidR="00705621" w:rsidRPr="00A23655" w:rsidRDefault="00A23655" w:rsidP="00A23655">
      <w:pPr>
        <w:adjustRightInd w:val="0"/>
        <w:spacing w:after="0" w:line="360" w:lineRule="auto"/>
        <w:ind w:left="720" w:hanging="720"/>
        <w:jc w:val="both"/>
        <w:textAlignment w:val="baseline"/>
        <w:rPr>
          <w:rFonts w:ascii="Arial" w:hAnsi="Arial" w:cs="Arial"/>
        </w:rPr>
      </w:pPr>
      <w:r w:rsidRPr="00705621">
        <w:rPr>
          <w:rFonts w:ascii="Arial" w:hAnsi="Arial" w:cs="Arial"/>
        </w:rPr>
        <w:t>48.</w:t>
      </w:r>
      <w:r w:rsidRPr="00705621">
        <w:rPr>
          <w:rFonts w:ascii="Arial" w:hAnsi="Arial" w:cs="Arial"/>
        </w:rPr>
        <w:tab/>
      </w:r>
      <w:r w:rsidR="00B86415" w:rsidRPr="00A23655">
        <w:rPr>
          <w:rFonts w:ascii="Arial" w:eastAsia="Times New Roman" w:hAnsi="Arial" w:cs="Arial"/>
          <w:bCs/>
          <w:lang w:val="en-GB"/>
        </w:rPr>
        <w:t xml:space="preserve">As was pointed out by </w:t>
      </w:r>
      <w:r w:rsidR="004E14E7" w:rsidRPr="00A23655">
        <w:rPr>
          <w:rFonts w:ascii="Arial" w:eastAsia="Times New Roman" w:hAnsi="Arial" w:cs="Arial"/>
          <w:bCs/>
          <w:lang w:val="en-GB"/>
        </w:rPr>
        <w:t xml:space="preserve">in </w:t>
      </w:r>
      <w:r w:rsidR="004E14E7" w:rsidRPr="00A23655">
        <w:rPr>
          <w:rFonts w:ascii="Arial" w:eastAsia="Times New Roman" w:hAnsi="Arial" w:cs="Arial"/>
          <w:bCs/>
          <w:i/>
          <w:iCs/>
          <w:lang w:val="en-GB"/>
        </w:rPr>
        <w:t xml:space="preserve">Airports Company </w:t>
      </w:r>
      <w:r w:rsidR="004E14E7">
        <w:rPr>
          <w:rStyle w:val="FootnoteReference"/>
          <w:rFonts w:ascii="Arial" w:eastAsia="Times New Roman" w:hAnsi="Arial" w:cs="Arial"/>
          <w:bCs/>
          <w:lang w:val="en-GB"/>
        </w:rPr>
        <w:footnoteReference w:id="16"/>
      </w:r>
      <w:r w:rsidR="004E14E7" w:rsidRPr="00A23655">
        <w:rPr>
          <w:rFonts w:ascii="Arial" w:eastAsia="Times New Roman" w:hAnsi="Arial" w:cs="Arial"/>
          <w:bCs/>
          <w:lang w:val="en-GB"/>
        </w:rPr>
        <w:t xml:space="preserve"> </w:t>
      </w:r>
      <w:r w:rsidR="0068046D" w:rsidRPr="00A23655">
        <w:rPr>
          <w:rFonts w:ascii="Arial" w:eastAsia="Times New Roman" w:hAnsi="Arial" w:cs="Arial"/>
          <w:bCs/>
          <w:lang w:val="en-GB"/>
        </w:rPr>
        <w:t xml:space="preserve">where a bidder considers that a decision to go out to tender </w:t>
      </w:r>
      <w:r w:rsidR="004E14E7" w:rsidRPr="00A23655">
        <w:rPr>
          <w:rFonts w:ascii="Arial" w:eastAsia="Times New Roman" w:hAnsi="Arial" w:cs="Arial"/>
          <w:bCs/>
          <w:lang w:val="en-GB"/>
        </w:rPr>
        <w:t xml:space="preserve">was taken was </w:t>
      </w:r>
      <w:r w:rsidR="0068046D" w:rsidRPr="00A23655">
        <w:rPr>
          <w:rFonts w:ascii="Arial" w:eastAsia="Times New Roman" w:hAnsi="Arial" w:cs="Arial"/>
          <w:bCs/>
          <w:lang w:val="en-GB"/>
        </w:rPr>
        <w:t xml:space="preserve">on terms which </w:t>
      </w:r>
      <w:r w:rsidR="00126354" w:rsidRPr="00A23655">
        <w:rPr>
          <w:rFonts w:ascii="Arial" w:eastAsia="Times New Roman" w:hAnsi="Arial" w:cs="Arial"/>
          <w:bCs/>
          <w:lang w:val="en-GB"/>
        </w:rPr>
        <w:t>we</w:t>
      </w:r>
      <w:r w:rsidR="0068046D" w:rsidRPr="00A23655">
        <w:rPr>
          <w:rFonts w:ascii="Arial" w:eastAsia="Times New Roman" w:hAnsi="Arial" w:cs="Arial"/>
          <w:bCs/>
          <w:lang w:val="en-GB"/>
        </w:rPr>
        <w:t>re unlawful</w:t>
      </w:r>
      <w:r w:rsidR="004E14E7" w:rsidRPr="00A23655">
        <w:rPr>
          <w:rFonts w:ascii="Arial" w:eastAsia="Times New Roman" w:hAnsi="Arial" w:cs="Arial"/>
          <w:bCs/>
          <w:lang w:val="en-GB"/>
        </w:rPr>
        <w:t xml:space="preserve"> or unconstitutional</w:t>
      </w:r>
      <w:r w:rsidR="00126354" w:rsidRPr="00A23655">
        <w:rPr>
          <w:rFonts w:ascii="Arial" w:eastAsia="Times New Roman" w:hAnsi="Arial" w:cs="Arial"/>
          <w:bCs/>
          <w:lang w:val="en-GB"/>
        </w:rPr>
        <w:t>,</w:t>
      </w:r>
      <w:r w:rsidR="004E14E7" w:rsidRPr="00A23655">
        <w:rPr>
          <w:rFonts w:ascii="Arial" w:eastAsia="Times New Roman" w:hAnsi="Arial" w:cs="Arial"/>
          <w:bCs/>
          <w:lang w:val="en-GB"/>
        </w:rPr>
        <w:t xml:space="preserve"> in that they were in breach of the prescripts of s 217 of the Constitution</w:t>
      </w:r>
      <w:r w:rsidR="0068046D" w:rsidRPr="00A23655">
        <w:rPr>
          <w:rFonts w:ascii="Arial" w:eastAsia="Times New Roman" w:hAnsi="Arial" w:cs="Arial"/>
          <w:bCs/>
          <w:lang w:val="en-GB"/>
        </w:rPr>
        <w:t xml:space="preserve">, or </w:t>
      </w:r>
      <w:r w:rsidR="004E14E7" w:rsidRPr="00A23655">
        <w:rPr>
          <w:rFonts w:ascii="Arial" w:eastAsia="Times New Roman" w:hAnsi="Arial" w:cs="Arial"/>
          <w:bCs/>
          <w:lang w:val="en-GB"/>
        </w:rPr>
        <w:t xml:space="preserve">the tender specifications are assailable on the grounds that they are unlawful or unfair, </w:t>
      </w:r>
      <w:r w:rsidR="00FD6F67" w:rsidRPr="00A23655">
        <w:rPr>
          <w:rFonts w:ascii="Arial" w:eastAsia="Times New Roman" w:hAnsi="Arial" w:cs="Arial"/>
          <w:bCs/>
          <w:lang w:val="en-GB"/>
        </w:rPr>
        <w:t xml:space="preserve">or </w:t>
      </w:r>
      <w:r w:rsidR="004E14E7" w:rsidRPr="00A23655">
        <w:rPr>
          <w:rFonts w:ascii="Arial" w:eastAsia="Times New Roman" w:hAnsi="Arial" w:cs="Arial"/>
          <w:bCs/>
          <w:lang w:val="en-GB"/>
        </w:rPr>
        <w:t>irrational or unreasonable</w:t>
      </w:r>
      <w:r w:rsidR="00FD6F67" w:rsidRPr="00A23655">
        <w:rPr>
          <w:rFonts w:ascii="Arial" w:eastAsia="Times New Roman" w:hAnsi="Arial" w:cs="Arial"/>
          <w:bCs/>
          <w:lang w:val="en-GB"/>
        </w:rPr>
        <w:t>,</w:t>
      </w:r>
      <w:r w:rsidR="004E14E7" w:rsidRPr="00A23655">
        <w:rPr>
          <w:rFonts w:ascii="Arial" w:eastAsia="Times New Roman" w:hAnsi="Arial" w:cs="Arial"/>
          <w:bCs/>
          <w:lang w:val="en-GB"/>
        </w:rPr>
        <w:t xml:space="preserve"> they may be challenged on </w:t>
      </w:r>
      <w:r w:rsidR="004E14E7" w:rsidRPr="00A23655">
        <w:rPr>
          <w:rFonts w:ascii="Arial" w:eastAsia="Times New Roman" w:hAnsi="Arial" w:cs="Arial"/>
          <w:bCs/>
          <w:lang w:val="en-GB"/>
        </w:rPr>
        <w:lastRenderedPageBreak/>
        <w:t xml:space="preserve">review. In </w:t>
      </w:r>
      <w:r w:rsidR="004E14E7" w:rsidRPr="00A23655">
        <w:rPr>
          <w:rFonts w:ascii="Arial" w:eastAsia="Times New Roman" w:hAnsi="Arial" w:cs="Arial"/>
          <w:bCs/>
          <w:i/>
          <w:iCs/>
          <w:lang w:val="en-GB"/>
        </w:rPr>
        <w:t>SMEC</w:t>
      </w:r>
      <w:r w:rsidR="004E14E7">
        <w:rPr>
          <w:rStyle w:val="FootnoteReference"/>
          <w:rFonts w:ascii="Arial" w:eastAsia="Times New Roman" w:hAnsi="Arial" w:cs="Arial"/>
          <w:bCs/>
          <w:lang w:val="en-GB"/>
        </w:rPr>
        <w:footnoteReference w:id="17"/>
      </w:r>
      <w:r w:rsidR="004E14E7" w:rsidRPr="00A23655">
        <w:rPr>
          <w:rFonts w:ascii="Arial" w:eastAsia="Times New Roman" w:hAnsi="Arial" w:cs="Arial"/>
          <w:bCs/>
          <w:lang w:val="en-GB"/>
        </w:rPr>
        <w:t xml:space="preserve"> Rogers J </w:t>
      </w:r>
      <w:r w:rsidR="00FD6F67" w:rsidRPr="00A23655">
        <w:rPr>
          <w:rFonts w:ascii="Arial" w:eastAsia="Times New Roman" w:hAnsi="Arial" w:cs="Arial"/>
          <w:bCs/>
          <w:lang w:val="en-GB"/>
        </w:rPr>
        <w:t>expressed the view (</w:t>
      </w:r>
      <w:r w:rsidR="00FD6F67" w:rsidRPr="00A23655">
        <w:rPr>
          <w:rFonts w:ascii="Arial" w:eastAsia="Times New Roman" w:hAnsi="Arial" w:cs="Arial"/>
          <w:bCs/>
          <w:i/>
          <w:iCs/>
          <w:lang w:val="en-GB"/>
        </w:rPr>
        <w:t>obiter</w:t>
      </w:r>
      <w:r w:rsidR="00FD6F67" w:rsidRPr="00A23655">
        <w:rPr>
          <w:rFonts w:ascii="Arial" w:eastAsia="Times New Roman" w:hAnsi="Arial" w:cs="Arial"/>
          <w:bCs/>
          <w:lang w:val="en-GB"/>
        </w:rPr>
        <w:t xml:space="preserve">) </w:t>
      </w:r>
      <w:r w:rsidR="004E14E7" w:rsidRPr="00A23655">
        <w:rPr>
          <w:rFonts w:ascii="Arial" w:eastAsia="Times New Roman" w:hAnsi="Arial" w:cs="Arial"/>
          <w:bCs/>
          <w:lang w:val="en-GB"/>
        </w:rPr>
        <w:t xml:space="preserve">that in such cases it </w:t>
      </w:r>
      <w:r w:rsidR="00387328" w:rsidRPr="00A23655">
        <w:rPr>
          <w:rFonts w:ascii="Arial" w:eastAsia="Times New Roman" w:hAnsi="Arial" w:cs="Arial"/>
          <w:bCs/>
          <w:lang w:val="en-GB"/>
        </w:rPr>
        <w:t>i</w:t>
      </w:r>
      <w:r w:rsidR="004E14E7" w:rsidRPr="00A23655">
        <w:rPr>
          <w:rFonts w:ascii="Arial" w:eastAsia="Times New Roman" w:hAnsi="Arial" w:cs="Arial"/>
          <w:bCs/>
          <w:lang w:val="en-GB"/>
        </w:rPr>
        <w:t xml:space="preserve">s, in principle, undesirable that a bidder should be at liberty not to do so and should </w:t>
      </w:r>
      <w:r w:rsidR="00932746" w:rsidRPr="00A23655">
        <w:rPr>
          <w:rFonts w:ascii="Arial" w:eastAsia="Times New Roman" w:hAnsi="Arial" w:cs="Arial"/>
          <w:bCs/>
          <w:lang w:val="en-GB"/>
        </w:rPr>
        <w:t>take a chance in the hope that it w</w:t>
      </w:r>
      <w:r w:rsidR="00387328" w:rsidRPr="00A23655">
        <w:rPr>
          <w:rFonts w:ascii="Arial" w:eastAsia="Times New Roman" w:hAnsi="Arial" w:cs="Arial"/>
          <w:bCs/>
          <w:lang w:val="en-GB"/>
        </w:rPr>
        <w:t>ill</w:t>
      </w:r>
      <w:r w:rsidR="00932746" w:rsidRPr="00A23655">
        <w:rPr>
          <w:rFonts w:ascii="Arial" w:eastAsia="Times New Roman" w:hAnsi="Arial" w:cs="Arial"/>
          <w:bCs/>
          <w:lang w:val="en-GB"/>
        </w:rPr>
        <w:t xml:space="preserve"> be awarded the tender, and </w:t>
      </w:r>
      <w:r w:rsidR="00FD6F67" w:rsidRPr="00A23655">
        <w:rPr>
          <w:rFonts w:ascii="Arial" w:eastAsia="Times New Roman" w:hAnsi="Arial" w:cs="Arial"/>
          <w:bCs/>
          <w:lang w:val="en-GB"/>
        </w:rPr>
        <w:t xml:space="preserve">thereby </w:t>
      </w:r>
      <w:r w:rsidR="00932746" w:rsidRPr="00A23655">
        <w:rPr>
          <w:rFonts w:ascii="Arial" w:eastAsia="Times New Roman" w:hAnsi="Arial" w:cs="Arial"/>
          <w:bCs/>
          <w:lang w:val="en-GB"/>
        </w:rPr>
        <w:t>keep ‘in reserve’ an attack on the validity of the tender or its specifications, should it be unsuccessful</w:t>
      </w:r>
      <w:r w:rsidR="00FD6F67" w:rsidRPr="00A23655">
        <w:rPr>
          <w:rFonts w:ascii="Arial" w:eastAsia="Times New Roman" w:hAnsi="Arial" w:cs="Arial"/>
          <w:bCs/>
          <w:lang w:val="en-GB"/>
        </w:rPr>
        <w:t xml:space="preserve"> in winning the bid. These comments were endorsed</w:t>
      </w:r>
      <w:r w:rsidR="00C05D0D" w:rsidRPr="00A23655">
        <w:rPr>
          <w:rFonts w:ascii="Arial" w:eastAsia="Times New Roman" w:hAnsi="Arial" w:cs="Arial"/>
          <w:bCs/>
          <w:lang w:val="en-GB"/>
        </w:rPr>
        <w:t xml:space="preserve"> </w:t>
      </w:r>
      <w:r w:rsidR="00C05D0D" w:rsidRPr="00A23655">
        <w:rPr>
          <w:rFonts w:ascii="Arial" w:eastAsia="Times New Roman" w:hAnsi="Arial" w:cs="Arial"/>
          <w:bCs/>
          <w:i/>
          <w:iCs/>
          <w:lang w:val="en-GB"/>
        </w:rPr>
        <w:t>en passant</w:t>
      </w:r>
      <w:r w:rsidR="00FD6F67" w:rsidRPr="00A23655">
        <w:rPr>
          <w:rFonts w:ascii="Arial" w:eastAsia="Times New Roman" w:hAnsi="Arial" w:cs="Arial"/>
          <w:bCs/>
          <w:lang w:val="en-GB"/>
        </w:rPr>
        <w:t xml:space="preserve"> by the </w:t>
      </w:r>
      <w:r w:rsidR="004B0F84" w:rsidRPr="00A23655">
        <w:rPr>
          <w:rFonts w:ascii="Arial" w:eastAsia="Times New Roman" w:hAnsi="Arial" w:cs="Arial"/>
          <w:bCs/>
          <w:lang w:val="en-GB"/>
        </w:rPr>
        <w:t xml:space="preserve">Gauteng </w:t>
      </w:r>
      <w:r w:rsidR="00FD6F67" w:rsidRPr="00A23655">
        <w:rPr>
          <w:rFonts w:ascii="Arial" w:eastAsia="Times New Roman" w:hAnsi="Arial" w:cs="Arial"/>
          <w:bCs/>
          <w:lang w:val="en-GB"/>
        </w:rPr>
        <w:t xml:space="preserve">full court in </w:t>
      </w:r>
      <w:r w:rsidR="004B0F84" w:rsidRPr="00A23655">
        <w:rPr>
          <w:rFonts w:ascii="Arial" w:eastAsia="Times New Roman" w:hAnsi="Arial" w:cs="Arial"/>
          <w:bCs/>
          <w:i/>
          <w:iCs/>
          <w:lang w:val="en-GB"/>
        </w:rPr>
        <w:t>IN2IT Tech.</w:t>
      </w:r>
      <w:r w:rsidR="004B0F84">
        <w:rPr>
          <w:rStyle w:val="FootnoteReference"/>
          <w:rFonts w:ascii="Arial" w:eastAsia="Times New Roman" w:hAnsi="Arial" w:cs="Arial"/>
          <w:bCs/>
          <w:lang w:val="en-GB"/>
        </w:rPr>
        <w:footnoteReference w:id="18"/>
      </w:r>
      <w:r w:rsidR="00932746" w:rsidRPr="00A23655">
        <w:rPr>
          <w:rFonts w:ascii="Arial" w:eastAsia="Times New Roman" w:hAnsi="Arial" w:cs="Arial"/>
          <w:bCs/>
          <w:lang w:val="en-GB"/>
        </w:rPr>
        <w:t xml:space="preserve"> </w:t>
      </w:r>
    </w:p>
    <w:p w14:paraId="088E891D" w14:textId="6A009E3D" w:rsidR="00140EB5" w:rsidRPr="00A23655" w:rsidRDefault="00A23655" w:rsidP="00A23655">
      <w:pPr>
        <w:adjustRightInd w:val="0"/>
        <w:spacing w:after="0" w:line="360" w:lineRule="auto"/>
        <w:ind w:left="720" w:hanging="720"/>
        <w:jc w:val="both"/>
        <w:textAlignment w:val="baseline"/>
        <w:rPr>
          <w:rFonts w:ascii="Arial" w:hAnsi="Arial" w:cs="Arial"/>
        </w:rPr>
      </w:pPr>
      <w:r w:rsidRPr="00140EB5">
        <w:rPr>
          <w:rFonts w:ascii="Arial" w:hAnsi="Arial" w:cs="Arial"/>
        </w:rPr>
        <w:t>49.</w:t>
      </w:r>
      <w:r w:rsidRPr="00140EB5">
        <w:rPr>
          <w:rFonts w:ascii="Arial" w:hAnsi="Arial" w:cs="Arial"/>
        </w:rPr>
        <w:tab/>
      </w:r>
      <w:r w:rsidR="00126354" w:rsidRPr="00A23655">
        <w:rPr>
          <w:rFonts w:ascii="Arial" w:eastAsia="Times New Roman" w:hAnsi="Arial" w:cs="Arial"/>
          <w:bCs/>
          <w:lang w:val="en-GB"/>
        </w:rPr>
        <w:t>In my view in such circumstances unless the process can otherwise be found to have been unlawful a bidder should not be allowed to participate in a tender only to challenge it when the decision goes against it. I say this because</w:t>
      </w:r>
      <w:r w:rsidR="00293B1A" w:rsidRPr="00A23655">
        <w:rPr>
          <w:rFonts w:ascii="Arial" w:eastAsia="Times New Roman" w:hAnsi="Arial" w:cs="Arial"/>
          <w:bCs/>
          <w:lang w:val="en-GB"/>
        </w:rPr>
        <w:t>, to my mind,</w:t>
      </w:r>
      <w:r w:rsidR="00126354" w:rsidRPr="00A23655">
        <w:rPr>
          <w:rFonts w:ascii="Arial" w:eastAsia="Times New Roman" w:hAnsi="Arial" w:cs="Arial"/>
          <w:bCs/>
          <w:lang w:val="en-GB"/>
        </w:rPr>
        <w:t xml:space="preserve"> </w:t>
      </w:r>
      <w:r w:rsidR="00140EB5" w:rsidRPr="00A23655">
        <w:rPr>
          <w:rFonts w:ascii="Arial" w:eastAsia="Times New Roman" w:hAnsi="Arial" w:cs="Arial"/>
          <w:bCs/>
          <w:lang w:val="en-GB"/>
        </w:rPr>
        <w:t xml:space="preserve">the need to be </w:t>
      </w:r>
      <w:r w:rsidR="00126354" w:rsidRPr="00A23655">
        <w:rPr>
          <w:rFonts w:ascii="Arial" w:eastAsia="Times New Roman" w:hAnsi="Arial" w:cs="Arial"/>
          <w:bCs/>
          <w:lang w:val="en-GB"/>
        </w:rPr>
        <w:t xml:space="preserve">fair is a requirement of the process that cuts both ways: it applies not only to the state organ which puts out </w:t>
      </w:r>
      <w:r w:rsidR="00293B1A" w:rsidRPr="00A23655">
        <w:rPr>
          <w:rFonts w:ascii="Arial" w:eastAsia="Times New Roman" w:hAnsi="Arial" w:cs="Arial"/>
          <w:bCs/>
          <w:lang w:val="en-GB"/>
        </w:rPr>
        <w:t xml:space="preserve">a </w:t>
      </w:r>
      <w:r w:rsidR="00126354" w:rsidRPr="00A23655">
        <w:rPr>
          <w:rFonts w:ascii="Arial" w:eastAsia="Times New Roman" w:hAnsi="Arial" w:cs="Arial"/>
          <w:bCs/>
          <w:lang w:val="en-GB"/>
        </w:rPr>
        <w:t xml:space="preserve">tender but also to the bidders who participate therein. </w:t>
      </w:r>
      <w:r w:rsidR="00293B1A" w:rsidRPr="00A23655">
        <w:rPr>
          <w:rFonts w:ascii="Arial" w:eastAsia="Times New Roman" w:hAnsi="Arial" w:cs="Arial"/>
          <w:bCs/>
          <w:lang w:val="en-GB"/>
        </w:rPr>
        <w:t xml:space="preserve">If it was unfair for the applicant not to have been in possession of the current traffic infringement statistics at the time when the tender was advertised it was equally unfair towards its competitors and the City for it to have acquiesced in the tender process instead of challenging it on this basis, and only seeking to raise the unfairness after the award went against it. In my view, bidders who adopt such a strategy must not be allowed to raise unfairness as a ground by way of a subsequent challenge which is brought more than </w:t>
      </w:r>
      <w:r w:rsidR="003142D3" w:rsidRPr="00A23655">
        <w:rPr>
          <w:rFonts w:ascii="Arial" w:eastAsia="Times New Roman" w:hAnsi="Arial" w:cs="Arial"/>
          <w:bCs/>
          <w:lang w:val="en-GB"/>
        </w:rPr>
        <w:t xml:space="preserve">the PAJA requirement of </w:t>
      </w:r>
      <w:r w:rsidR="00293B1A" w:rsidRPr="00A23655">
        <w:rPr>
          <w:rFonts w:ascii="Arial" w:eastAsia="Times New Roman" w:hAnsi="Arial" w:cs="Arial"/>
          <w:bCs/>
          <w:lang w:val="en-GB"/>
        </w:rPr>
        <w:t>180 days i.e. 6 months</w:t>
      </w:r>
      <w:r w:rsidR="006A337E" w:rsidRPr="00A23655">
        <w:rPr>
          <w:rFonts w:ascii="Arial" w:eastAsia="Times New Roman" w:hAnsi="Arial" w:cs="Arial"/>
          <w:bCs/>
          <w:lang w:val="en-GB"/>
        </w:rPr>
        <w:t xml:space="preserve"> after </w:t>
      </w:r>
      <w:r w:rsidR="00293B1A" w:rsidRPr="00A23655">
        <w:rPr>
          <w:rFonts w:ascii="Arial" w:eastAsia="Times New Roman" w:hAnsi="Arial" w:cs="Arial"/>
          <w:bCs/>
          <w:lang w:val="en-GB"/>
        </w:rPr>
        <w:t>the time when the</w:t>
      </w:r>
      <w:r w:rsidR="006A337E" w:rsidRPr="00A23655">
        <w:rPr>
          <w:rFonts w:ascii="Arial" w:eastAsia="Times New Roman" w:hAnsi="Arial" w:cs="Arial"/>
          <w:bCs/>
          <w:lang w:val="en-GB"/>
        </w:rPr>
        <w:t>y first</w:t>
      </w:r>
      <w:r w:rsidR="00293B1A" w:rsidRPr="00A23655">
        <w:rPr>
          <w:rFonts w:ascii="Arial" w:eastAsia="Times New Roman" w:hAnsi="Arial" w:cs="Arial"/>
          <w:bCs/>
          <w:lang w:val="en-GB"/>
        </w:rPr>
        <w:t xml:space="preserve"> became aware of the unfairness</w:t>
      </w:r>
      <w:r w:rsidR="006A337E" w:rsidRPr="00A23655">
        <w:rPr>
          <w:rFonts w:ascii="Arial" w:eastAsia="Times New Roman" w:hAnsi="Arial" w:cs="Arial"/>
          <w:bCs/>
          <w:lang w:val="en-GB"/>
        </w:rPr>
        <w:t xml:space="preserve"> </w:t>
      </w:r>
      <w:r w:rsidR="003142D3" w:rsidRPr="00A23655">
        <w:rPr>
          <w:rFonts w:ascii="Arial" w:eastAsia="Times New Roman" w:hAnsi="Arial" w:cs="Arial"/>
          <w:bCs/>
          <w:lang w:val="en-GB"/>
        </w:rPr>
        <w:t xml:space="preserve">in </w:t>
      </w:r>
      <w:r w:rsidR="006A337E" w:rsidRPr="00A23655">
        <w:rPr>
          <w:rFonts w:ascii="Arial" w:eastAsia="Times New Roman" w:hAnsi="Arial" w:cs="Arial"/>
          <w:bCs/>
          <w:lang w:val="en-GB"/>
        </w:rPr>
        <w:t xml:space="preserve">the basis </w:t>
      </w:r>
      <w:r w:rsidR="003142D3" w:rsidRPr="00A23655">
        <w:rPr>
          <w:rFonts w:ascii="Arial" w:eastAsia="Times New Roman" w:hAnsi="Arial" w:cs="Arial"/>
          <w:bCs/>
          <w:lang w:val="en-GB"/>
        </w:rPr>
        <w:t>of</w:t>
      </w:r>
      <w:r w:rsidR="006A337E" w:rsidRPr="00A23655">
        <w:rPr>
          <w:rFonts w:ascii="Arial" w:eastAsia="Times New Roman" w:hAnsi="Arial" w:cs="Arial"/>
          <w:bCs/>
          <w:lang w:val="en-GB"/>
        </w:rPr>
        <w:t xml:space="preserve"> a tender or its specifications</w:t>
      </w:r>
      <w:r w:rsidR="00293B1A" w:rsidRPr="00A23655">
        <w:rPr>
          <w:rFonts w:ascii="Arial" w:eastAsia="Times New Roman" w:hAnsi="Arial" w:cs="Arial"/>
          <w:bCs/>
          <w:lang w:val="en-GB"/>
        </w:rPr>
        <w:t>.</w:t>
      </w:r>
    </w:p>
    <w:p w14:paraId="2ECCCD31" w14:textId="7B4A5C5D" w:rsidR="0072657E" w:rsidRPr="00A23655" w:rsidRDefault="00A23655" w:rsidP="00A23655">
      <w:pPr>
        <w:adjustRightInd w:val="0"/>
        <w:spacing w:after="0" w:line="360" w:lineRule="auto"/>
        <w:ind w:left="720" w:hanging="720"/>
        <w:jc w:val="both"/>
        <w:textAlignment w:val="baseline"/>
        <w:rPr>
          <w:rFonts w:ascii="Arial" w:hAnsi="Arial" w:cs="Arial"/>
        </w:rPr>
      </w:pPr>
      <w:r w:rsidRPr="0072657E">
        <w:rPr>
          <w:rFonts w:ascii="Arial" w:hAnsi="Arial" w:cs="Arial"/>
        </w:rPr>
        <w:t>50.</w:t>
      </w:r>
      <w:r w:rsidRPr="0072657E">
        <w:rPr>
          <w:rFonts w:ascii="Arial" w:hAnsi="Arial" w:cs="Arial"/>
        </w:rPr>
        <w:tab/>
      </w:r>
      <w:r w:rsidR="00293B1A" w:rsidRPr="00A23655">
        <w:rPr>
          <w:rFonts w:ascii="Arial" w:eastAsia="Times New Roman" w:hAnsi="Arial" w:cs="Arial"/>
          <w:bCs/>
          <w:lang w:val="en-GB"/>
        </w:rPr>
        <w:t>I share the respondent’s sentiments that the time for raising a challenge based on unfairness in relation to the playing field on which bidders are to compete</w:t>
      </w:r>
      <w:r w:rsidR="006A337E" w:rsidRPr="00A23655">
        <w:rPr>
          <w:rFonts w:ascii="Arial" w:eastAsia="Times New Roman" w:hAnsi="Arial" w:cs="Arial"/>
          <w:bCs/>
          <w:lang w:val="en-GB"/>
        </w:rPr>
        <w:t>,</w:t>
      </w:r>
      <w:r w:rsidR="00293B1A" w:rsidRPr="00A23655">
        <w:rPr>
          <w:rFonts w:ascii="Arial" w:eastAsia="Times New Roman" w:hAnsi="Arial" w:cs="Arial"/>
          <w:bCs/>
          <w:lang w:val="en-GB"/>
        </w:rPr>
        <w:t xml:space="preserve"> is when the tender is advertised</w:t>
      </w:r>
      <w:r w:rsidR="006A337E" w:rsidRPr="00A23655">
        <w:rPr>
          <w:rFonts w:ascii="Arial" w:eastAsia="Times New Roman" w:hAnsi="Arial" w:cs="Arial"/>
          <w:bCs/>
          <w:lang w:val="en-GB"/>
        </w:rPr>
        <w:t>,</w:t>
      </w:r>
      <w:r w:rsidR="00293B1A" w:rsidRPr="00A23655">
        <w:rPr>
          <w:rFonts w:ascii="Arial" w:eastAsia="Times New Roman" w:hAnsi="Arial" w:cs="Arial"/>
          <w:bCs/>
          <w:lang w:val="en-GB"/>
        </w:rPr>
        <w:t xml:space="preserve"> and </w:t>
      </w:r>
      <w:r w:rsidR="006A337E" w:rsidRPr="00A23655">
        <w:rPr>
          <w:rFonts w:ascii="Arial" w:eastAsia="Times New Roman" w:hAnsi="Arial" w:cs="Arial"/>
          <w:bCs/>
          <w:lang w:val="en-GB"/>
        </w:rPr>
        <w:t xml:space="preserve">in my view </w:t>
      </w:r>
      <w:r w:rsidR="00293B1A" w:rsidRPr="00A23655">
        <w:rPr>
          <w:rFonts w:ascii="Arial" w:eastAsia="Times New Roman" w:hAnsi="Arial" w:cs="Arial"/>
          <w:bCs/>
          <w:lang w:val="en-GB"/>
        </w:rPr>
        <w:t xml:space="preserve">the applicant’s failure to take up the challenge at the time is good and sufficient reason </w:t>
      </w:r>
      <w:r w:rsidR="006A337E" w:rsidRPr="00A23655">
        <w:rPr>
          <w:rFonts w:ascii="Arial" w:eastAsia="Times New Roman" w:hAnsi="Arial" w:cs="Arial"/>
          <w:bCs/>
          <w:lang w:val="en-GB"/>
        </w:rPr>
        <w:t>not to allow it to do so now</w:t>
      </w:r>
      <w:r w:rsidR="00293B1A" w:rsidRPr="00A23655">
        <w:rPr>
          <w:rFonts w:ascii="Arial" w:eastAsia="Times New Roman" w:hAnsi="Arial" w:cs="Arial"/>
          <w:bCs/>
          <w:lang w:val="en-GB"/>
        </w:rPr>
        <w:t>.</w:t>
      </w:r>
      <w:r w:rsidR="006A337E" w:rsidRPr="00A23655">
        <w:rPr>
          <w:rFonts w:ascii="Arial" w:eastAsia="Times New Roman" w:hAnsi="Arial" w:cs="Arial"/>
          <w:bCs/>
          <w:lang w:val="en-GB"/>
        </w:rPr>
        <w:t xml:space="preserve"> Insisting that a bidder should raise any issue it may have pertaining to an alleged unfairness, before a tender process unfolds, will ensure that it is resolved for the benefit of all bidders</w:t>
      </w:r>
      <w:r w:rsidR="003142D3" w:rsidRPr="00A23655">
        <w:rPr>
          <w:rFonts w:ascii="Arial" w:eastAsia="Times New Roman" w:hAnsi="Arial" w:cs="Arial"/>
          <w:bCs/>
          <w:lang w:val="en-GB"/>
        </w:rPr>
        <w:t xml:space="preserve"> before they gird up and compete with one another</w:t>
      </w:r>
      <w:r w:rsidR="006A337E" w:rsidRPr="00A23655">
        <w:rPr>
          <w:rFonts w:ascii="Arial" w:eastAsia="Times New Roman" w:hAnsi="Arial" w:cs="Arial"/>
          <w:bCs/>
          <w:lang w:val="en-GB"/>
        </w:rPr>
        <w:t xml:space="preserve">, thereby avoiding the incurring of unnecessary expense and effort in relation to the preparation and submission of bids, their laborious evaluation and </w:t>
      </w:r>
      <w:r w:rsidR="006A337E" w:rsidRPr="00A23655">
        <w:rPr>
          <w:rFonts w:ascii="Arial" w:eastAsia="Times New Roman" w:hAnsi="Arial" w:cs="Arial"/>
          <w:bCs/>
          <w:lang w:val="en-GB"/>
        </w:rPr>
        <w:lastRenderedPageBreak/>
        <w:t>adjudication by committees of state officials, and a subsequent legal challenge after the tender has been awarded and is in the process of being implemented</w:t>
      </w:r>
      <w:r w:rsidR="003142D3" w:rsidRPr="00A23655">
        <w:rPr>
          <w:rFonts w:ascii="Arial" w:eastAsia="Times New Roman" w:hAnsi="Arial" w:cs="Arial"/>
          <w:bCs/>
          <w:lang w:val="en-GB"/>
        </w:rPr>
        <w:t xml:space="preserve">, </w:t>
      </w:r>
      <w:r w:rsidR="00033D2E" w:rsidRPr="00A23655">
        <w:rPr>
          <w:rFonts w:ascii="Arial" w:eastAsia="Times New Roman" w:hAnsi="Arial" w:cs="Arial"/>
          <w:bCs/>
          <w:lang w:val="en-GB"/>
        </w:rPr>
        <w:t xml:space="preserve">when </w:t>
      </w:r>
      <w:r w:rsidR="003142D3" w:rsidRPr="00A23655">
        <w:rPr>
          <w:rFonts w:ascii="Arial" w:eastAsia="Times New Roman" w:hAnsi="Arial" w:cs="Arial"/>
          <w:bCs/>
          <w:lang w:val="en-GB"/>
        </w:rPr>
        <w:t>services are being delivered in terms thereof</w:t>
      </w:r>
      <w:r w:rsidR="006A337E" w:rsidRPr="00A23655">
        <w:rPr>
          <w:rFonts w:ascii="Arial" w:eastAsia="Times New Roman" w:hAnsi="Arial" w:cs="Arial"/>
          <w:bCs/>
          <w:lang w:val="en-GB"/>
        </w:rPr>
        <w:t>.</w:t>
      </w:r>
      <w:r w:rsidR="003142D3" w:rsidRPr="00A23655">
        <w:rPr>
          <w:rFonts w:ascii="Arial" w:eastAsia="Times New Roman" w:hAnsi="Arial" w:cs="Arial"/>
          <w:bCs/>
          <w:lang w:val="en-GB"/>
        </w:rPr>
        <w:t xml:space="preserve"> The prejudice which is suffered by all parties</w:t>
      </w:r>
      <w:r w:rsidR="00140EB5" w:rsidRPr="00A23655">
        <w:rPr>
          <w:rFonts w:ascii="Arial" w:eastAsia="Times New Roman" w:hAnsi="Arial" w:cs="Arial"/>
          <w:bCs/>
          <w:lang w:val="en-GB"/>
        </w:rPr>
        <w:t xml:space="preserve"> </w:t>
      </w:r>
      <w:r w:rsidR="002502BA" w:rsidRPr="00A23655">
        <w:rPr>
          <w:rFonts w:ascii="Arial" w:eastAsia="Times New Roman" w:hAnsi="Arial" w:cs="Arial"/>
          <w:bCs/>
          <w:lang w:val="en-GB"/>
        </w:rPr>
        <w:t>(</w:t>
      </w:r>
      <w:r w:rsidR="00140EB5" w:rsidRPr="00A23655">
        <w:rPr>
          <w:rFonts w:ascii="Arial" w:eastAsia="Times New Roman" w:hAnsi="Arial" w:cs="Arial"/>
          <w:bCs/>
          <w:lang w:val="en-GB"/>
        </w:rPr>
        <w:t>including taxpayers</w:t>
      </w:r>
      <w:r w:rsidR="002502BA" w:rsidRPr="00A23655">
        <w:rPr>
          <w:rFonts w:ascii="Arial" w:eastAsia="Times New Roman" w:hAnsi="Arial" w:cs="Arial"/>
          <w:bCs/>
          <w:lang w:val="en-GB"/>
        </w:rPr>
        <w:t>)</w:t>
      </w:r>
      <w:r w:rsidR="00564C12" w:rsidRPr="00A23655">
        <w:rPr>
          <w:rFonts w:ascii="Arial" w:eastAsia="Times New Roman" w:hAnsi="Arial" w:cs="Arial"/>
          <w:bCs/>
          <w:lang w:val="en-GB"/>
        </w:rPr>
        <w:t>,</w:t>
      </w:r>
      <w:r w:rsidR="003142D3" w:rsidRPr="00A23655">
        <w:rPr>
          <w:rFonts w:ascii="Arial" w:eastAsia="Times New Roman" w:hAnsi="Arial" w:cs="Arial"/>
          <w:bCs/>
          <w:lang w:val="en-GB"/>
        </w:rPr>
        <w:t xml:space="preserve"> when a legal challenge is brought after a tender has been awarded, which may result in the award thereof being set aside, is manifestly greater than any prejudice which might eventuate were the challenge to be brought to the basis of the proposed tender or its specifications, before it is awarded. </w:t>
      </w:r>
      <w:r w:rsidR="00033D2E" w:rsidRPr="00A23655">
        <w:rPr>
          <w:rFonts w:ascii="Arial" w:eastAsia="Times New Roman" w:hAnsi="Arial" w:cs="Arial"/>
          <w:bCs/>
          <w:lang w:val="en-GB"/>
        </w:rPr>
        <w:t xml:space="preserve">Insisting that any challenge to the basis of a tender or its specifications on the grounds of unfairness is brought at the time when it is advertised will promote and foster adherence to the other constitutional values of transparency, cost-effectiveness, competitivity and equitableness, </w:t>
      </w:r>
      <w:r w:rsidR="00140EB5" w:rsidRPr="00A23655">
        <w:rPr>
          <w:rFonts w:ascii="Arial" w:eastAsia="Times New Roman" w:hAnsi="Arial" w:cs="Arial"/>
          <w:bCs/>
          <w:lang w:val="en-GB"/>
        </w:rPr>
        <w:t xml:space="preserve">as </w:t>
      </w:r>
      <w:r w:rsidR="00033D2E" w:rsidRPr="00A23655">
        <w:rPr>
          <w:rFonts w:ascii="Arial" w:eastAsia="Times New Roman" w:hAnsi="Arial" w:cs="Arial"/>
          <w:bCs/>
          <w:lang w:val="en-GB"/>
        </w:rPr>
        <w:t xml:space="preserve">required by s 217 of the Constitution. </w:t>
      </w:r>
      <w:r w:rsidR="00564C12" w:rsidRPr="00A23655">
        <w:rPr>
          <w:rFonts w:ascii="Arial" w:eastAsia="Times New Roman" w:hAnsi="Arial" w:cs="Arial"/>
          <w:bCs/>
          <w:lang w:val="en-GB"/>
        </w:rPr>
        <w:t xml:space="preserve">Allowing it to be brought after a tender has been awarded defeats the objective of ensuring that effect is given to these values </w:t>
      </w:r>
      <w:r w:rsidR="00564C12" w:rsidRPr="00A23655">
        <w:rPr>
          <w:rFonts w:ascii="Arial" w:eastAsia="Times New Roman" w:hAnsi="Arial" w:cs="Arial"/>
          <w:bCs/>
          <w:i/>
          <w:iCs/>
          <w:lang w:val="en-GB"/>
        </w:rPr>
        <w:t>during</w:t>
      </w:r>
      <w:r w:rsidR="00564C12" w:rsidRPr="00A23655">
        <w:rPr>
          <w:rFonts w:ascii="Arial" w:eastAsia="Times New Roman" w:hAnsi="Arial" w:cs="Arial"/>
          <w:bCs/>
          <w:lang w:val="en-GB"/>
        </w:rPr>
        <w:t xml:space="preserve"> the process. </w:t>
      </w:r>
    </w:p>
    <w:p w14:paraId="3B0B821D" w14:textId="7B5ECAAA" w:rsidR="004F1928" w:rsidRPr="0072657E" w:rsidRDefault="0072657E" w:rsidP="0072657E">
      <w:pPr>
        <w:adjustRightInd w:val="0"/>
        <w:spacing w:after="0" w:line="360" w:lineRule="auto"/>
        <w:jc w:val="both"/>
        <w:textAlignment w:val="baseline"/>
        <w:rPr>
          <w:rFonts w:ascii="Arial" w:hAnsi="Arial" w:cs="Arial"/>
          <w:b/>
        </w:rPr>
      </w:pPr>
      <w:r w:rsidRPr="0072657E">
        <w:rPr>
          <w:rFonts w:ascii="Arial" w:eastAsia="Times New Roman" w:hAnsi="Arial" w:cs="Arial"/>
          <w:b/>
          <w:lang w:val="en-GB"/>
        </w:rPr>
        <w:t>Conclusion</w:t>
      </w:r>
      <w:r w:rsidR="00564C12" w:rsidRPr="0072657E">
        <w:rPr>
          <w:rFonts w:ascii="Arial" w:eastAsia="Times New Roman" w:hAnsi="Arial" w:cs="Arial"/>
          <w:b/>
          <w:lang w:val="en-GB"/>
        </w:rPr>
        <w:t xml:space="preserve"> </w:t>
      </w:r>
      <w:r w:rsidR="003142D3" w:rsidRPr="0072657E">
        <w:rPr>
          <w:rFonts w:ascii="Arial" w:eastAsia="Times New Roman" w:hAnsi="Arial" w:cs="Arial"/>
          <w:b/>
          <w:lang w:val="en-GB"/>
        </w:rPr>
        <w:t xml:space="preserve"> </w:t>
      </w:r>
      <w:r w:rsidR="006A337E" w:rsidRPr="0072657E">
        <w:rPr>
          <w:rFonts w:ascii="Arial" w:eastAsia="Times New Roman" w:hAnsi="Arial" w:cs="Arial"/>
          <w:b/>
          <w:lang w:val="en-GB"/>
        </w:rPr>
        <w:t xml:space="preserve">         </w:t>
      </w:r>
      <w:r w:rsidR="00126354" w:rsidRPr="0072657E">
        <w:rPr>
          <w:rFonts w:ascii="Arial" w:eastAsia="Times New Roman" w:hAnsi="Arial" w:cs="Arial"/>
          <w:b/>
          <w:lang w:val="en-GB"/>
        </w:rPr>
        <w:t xml:space="preserve">    </w:t>
      </w:r>
      <w:r w:rsidR="00932746" w:rsidRPr="0072657E">
        <w:rPr>
          <w:rFonts w:ascii="Arial" w:eastAsia="Times New Roman" w:hAnsi="Arial" w:cs="Arial"/>
          <w:b/>
          <w:lang w:val="en-GB"/>
        </w:rPr>
        <w:t xml:space="preserve"> </w:t>
      </w:r>
      <w:r w:rsidR="004E14E7" w:rsidRPr="0072657E">
        <w:rPr>
          <w:rFonts w:ascii="Arial" w:eastAsia="Times New Roman" w:hAnsi="Arial" w:cs="Arial"/>
          <w:b/>
          <w:lang w:val="en-GB"/>
        </w:rPr>
        <w:t xml:space="preserve">   </w:t>
      </w:r>
    </w:p>
    <w:p w14:paraId="0BCDC6D7" w14:textId="55491041" w:rsidR="002502BA"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51.</w:t>
      </w:r>
      <w:r>
        <w:rPr>
          <w:rFonts w:ascii="Arial" w:hAnsi="Arial" w:cs="Arial"/>
        </w:rPr>
        <w:tab/>
      </w:r>
      <w:r w:rsidR="002502BA">
        <w:rPr>
          <w:rFonts w:ascii="Arial" w:hAnsi="Arial" w:cs="Arial"/>
        </w:rPr>
        <w:t>For these reasons the application must fail. I point out, in closing, that although other grounds of review were raised in the founding papers (which were largely procedural in nature) they were rightly not proceeded with during argument, and it is accordingly not necessary for me to traverse them.</w:t>
      </w:r>
    </w:p>
    <w:p w14:paraId="20BCE6C6" w14:textId="07AB64DC" w:rsidR="008C1A4B"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52.</w:t>
      </w:r>
      <w:r>
        <w:rPr>
          <w:rFonts w:ascii="Arial" w:hAnsi="Arial" w:cs="Arial"/>
        </w:rPr>
        <w:tab/>
      </w:r>
      <w:r w:rsidR="002502BA">
        <w:rPr>
          <w:rFonts w:ascii="Arial" w:hAnsi="Arial" w:cs="Arial"/>
        </w:rPr>
        <w:t xml:space="preserve">As </w:t>
      </w:r>
      <w:r w:rsidR="008C1A4B">
        <w:rPr>
          <w:rFonts w:ascii="Arial" w:hAnsi="Arial" w:cs="Arial"/>
        </w:rPr>
        <w:t xml:space="preserve">far as costs are concerned the applicant conceded that, save for one caveat, there was no reason why, in accordance with accepted principles, these should not follow the event as this was essentially a commercial dispute and not an instance where the </w:t>
      </w:r>
      <w:r w:rsidR="008C1A4B" w:rsidRPr="008C1A4B">
        <w:rPr>
          <w:rFonts w:ascii="Arial" w:hAnsi="Arial" w:cs="Arial"/>
          <w:i/>
          <w:iCs/>
        </w:rPr>
        <w:t>Biowatch</w:t>
      </w:r>
      <w:r w:rsidR="008C1A4B">
        <w:rPr>
          <w:rFonts w:ascii="Arial" w:hAnsi="Arial" w:cs="Arial"/>
        </w:rPr>
        <w:t xml:space="preserve"> exception applied.  </w:t>
      </w:r>
    </w:p>
    <w:p w14:paraId="034EB471" w14:textId="2CF9D69F" w:rsidR="00FD23E7"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53.</w:t>
      </w:r>
      <w:r>
        <w:rPr>
          <w:rFonts w:ascii="Arial" w:hAnsi="Arial" w:cs="Arial"/>
        </w:rPr>
        <w:tab/>
      </w:r>
      <w:r w:rsidR="008C1A4B">
        <w:rPr>
          <w:rFonts w:ascii="Arial" w:hAnsi="Arial" w:cs="Arial"/>
        </w:rPr>
        <w:t>Both the applicant and Syntell complained that the City’s failure to file a proper record at the outset as required in terms of rule 53 had increased costs unnecessarily, as it only managed to have a complete and true record before the Court on its 3</w:t>
      </w:r>
      <w:r w:rsidR="008C1A4B" w:rsidRPr="008C1A4B">
        <w:rPr>
          <w:rFonts w:ascii="Arial" w:hAnsi="Arial" w:cs="Arial"/>
          <w:vertAlign w:val="superscript"/>
        </w:rPr>
        <w:t>rd</w:t>
      </w:r>
      <w:r w:rsidR="008C1A4B">
        <w:rPr>
          <w:rFonts w:ascii="Arial" w:hAnsi="Arial" w:cs="Arial"/>
        </w:rPr>
        <w:t xml:space="preserve"> attempt, in March 2023, when it filed a further supplementary record. As a result of the City’s remissness both parties had lodged unnecessary interlocutory striking out applications</w:t>
      </w:r>
      <w:r w:rsidR="00FD23E7">
        <w:rPr>
          <w:rFonts w:ascii="Arial" w:hAnsi="Arial" w:cs="Arial"/>
        </w:rPr>
        <w:t xml:space="preserve"> </w:t>
      </w:r>
      <w:r w:rsidR="008C1A4B">
        <w:rPr>
          <w:rFonts w:ascii="Arial" w:hAnsi="Arial" w:cs="Arial"/>
        </w:rPr>
        <w:t>-</w:t>
      </w:r>
      <w:r w:rsidR="00FD23E7">
        <w:rPr>
          <w:rFonts w:ascii="Arial" w:hAnsi="Arial" w:cs="Arial"/>
        </w:rPr>
        <w:t xml:space="preserve"> </w:t>
      </w:r>
      <w:r w:rsidR="008C1A4B">
        <w:rPr>
          <w:rFonts w:ascii="Arial" w:hAnsi="Arial" w:cs="Arial"/>
        </w:rPr>
        <w:t>Syntell in response to the applicant’s additional contentions as to the state of the record in its replying affidavit, and the applicant in response thereto</w:t>
      </w:r>
      <w:r w:rsidR="00FD23E7">
        <w:rPr>
          <w:rFonts w:ascii="Arial" w:hAnsi="Arial" w:cs="Arial"/>
        </w:rPr>
        <w:t xml:space="preserve">, in respect of its alternative prayer for the </w:t>
      </w:r>
      <w:r w:rsidR="00FD23E7">
        <w:rPr>
          <w:rFonts w:ascii="Arial" w:hAnsi="Arial" w:cs="Arial"/>
        </w:rPr>
        <w:lastRenderedPageBreak/>
        <w:t xml:space="preserve">admission of an additional affidavit (albeit that it dealt primarily with the RTIA reports, a new issue which had not been dealt with in Syntell’s answering affidavit). Both parties contended that the City should pay for its failures by being mulcted for the costs of these applications. The City’s counsel conceded that it had made a hash, initially, of its duty to file a proper record which had increased the costs unnecessarily. </w:t>
      </w:r>
    </w:p>
    <w:p w14:paraId="08A490F2" w14:textId="5DEB7524" w:rsidR="00FD23E7" w:rsidRDefault="00A23655" w:rsidP="00A23655">
      <w:pPr>
        <w:adjustRightInd w:val="0"/>
        <w:spacing w:after="0" w:line="360" w:lineRule="auto"/>
        <w:ind w:left="720" w:hanging="720"/>
        <w:contextualSpacing/>
        <w:jc w:val="both"/>
        <w:textAlignment w:val="baseline"/>
        <w:rPr>
          <w:rFonts w:ascii="Arial" w:hAnsi="Arial" w:cs="Arial"/>
        </w:rPr>
      </w:pPr>
      <w:r>
        <w:rPr>
          <w:rFonts w:ascii="Arial" w:hAnsi="Arial" w:cs="Arial"/>
        </w:rPr>
        <w:t>54.</w:t>
      </w:r>
      <w:r>
        <w:rPr>
          <w:rFonts w:ascii="Arial" w:hAnsi="Arial" w:cs="Arial"/>
        </w:rPr>
        <w:tab/>
      </w:r>
      <w:r w:rsidR="00FD23E7">
        <w:rPr>
          <w:rFonts w:ascii="Arial" w:hAnsi="Arial" w:cs="Arial"/>
        </w:rPr>
        <w:t xml:space="preserve">In the circumstances, I make the following </w:t>
      </w:r>
      <w:r w:rsidR="00E56E8A">
        <w:rPr>
          <w:rFonts w:ascii="Arial" w:hAnsi="Arial" w:cs="Arial"/>
        </w:rPr>
        <w:t>O</w:t>
      </w:r>
      <w:r w:rsidR="00FD23E7">
        <w:rPr>
          <w:rFonts w:ascii="Arial" w:hAnsi="Arial" w:cs="Arial"/>
        </w:rPr>
        <w:t>rder:</w:t>
      </w:r>
    </w:p>
    <w:p w14:paraId="45B39F29" w14:textId="44F2131E" w:rsidR="00FD23E7" w:rsidRDefault="00FD23E7" w:rsidP="00FD23E7">
      <w:pPr>
        <w:adjustRightInd w:val="0"/>
        <w:spacing w:after="0" w:line="360" w:lineRule="auto"/>
        <w:ind w:left="1440" w:hanging="720"/>
        <w:contextualSpacing/>
        <w:jc w:val="both"/>
        <w:textAlignment w:val="baseline"/>
        <w:rPr>
          <w:rFonts w:ascii="Arial" w:hAnsi="Arial" w:cs="Arial"/>
        </w:rPr>
      </w:pPr>
      <w:r>
        <w:rPr>
          <w:rFonts w:ascii="Arial" w:hAnsi="Arial" w:cs="Arial"/>
        </w:rPr>
        <w:t>54.1</w:t>
      </w:r>
      <w:r>
        <w:rPr>
          <w:rFonts w:ascii="Arial" w:hAnsi="Arial" w:cs="Arial"/>
        </w:rPr>
        <w:tab/>
        <w:t xml:space="preserve">The application for the review of the decision by the City of Johannesburg on 2 December 2022, to award tender A907 for the provision of advanced law enforcement and ‘crash’ management services for a period </w:t>
      </w:r>
      <w:r w:rsidR="00E56E8A">
        <w:rPr>
          <w:rFonts w:ascii="Arial" w:hAnsi="Arial" w:cs="Arial"/>
        </w:rPr>
        <w:t>of 3 years, to the second respondent, is dismissed.</w:t>
      </w:r>
      <w:r>
        <w:rPr>
          <w:rFonts w:ascii="Arial" w:hAnsi="Arial" w:cs="Arial"/>
        </w:rPr>
        <w:t xml:space="preserve">  </w:t>
      </w:r>
    </w:p>
    <w:p w14:paraId="0FC32379" w14:textId="0A50888E" w:rsidR="00E56E8A" w:rsidRDefault="00FD23E7" w:rsidP="00E56E8A">
      <w:pPr>
        <w:adjustRightInd w:val="0"/>
        <w:spacing w:after="0" w:line="360" w:lineRule="auto"/>
        <w:ind w:left="1440" w:hanging="720"/>
        <w:contextualSpacing/>
        <w:jc w:val="both"/>
        <w:textAlignment w:val="baseline"/>
        <w:rPr>
          <w:rFonts w:ascii="Arial" w:hAnsi="Arial" w:cs="Arial"/>
        </w:rPr>
      </w:pPr>
      <w:r>
        <w:rPr>
          <w:rFonts w:ascii="Arial" w:hAnsi="Arial" w:cs="Arial"/>
        </w:rPr>
        <w:t>54.2</w:t>
      </w:r>
      <w:r>
        <w:rPr>
          <w:rFonts w:ascii="Arial" w:hAnsi="Arial" w:cs="Arial"/>
        </w:rPr>
        <w:tab/>
        <w:t>Save for the costs referred to in paragraph 54.</w:t>
      </w:r>
      <w:r w:rsidR="00E56E8A">
        <w:rPr>
          <w:rFonts w:ascii="Arial" w:hAnsi="Arial" w:cs="Arial"/>
        </w:rPr>
        <w:t>3</w:t>
      </w:r>
      <w:r>
        <w:rPr>
          <w:rFonts w:ascii="Arial" w:hAnsi="Arial" w:cs="Arial"/>
        </w:rPr>
        <w:t xml:space="preserve"> </w:t>
      </w:r>
      <w:r w:rsidR="00E56E8A">
        <w:rPr>
          <w:rFonts w:ascii="Arial" w:hAnsi="Arial" w:cs="Arial"/>
        </w:rPr>
        <w:t>t</w:t>
      </w:r>
      <w:r>
        <w:rPr>
          <w:rFonts w:ascii="Arial" w:hAnsi="Arial" w:cs="Arial"/>
        </w:rPr>
        <w:t>he</w:t>
      </w:r>
      <w:r w:rsidR="00E56E8A">
        <w:rPr>
          <w:rFonts w:ascii="Arial" w:hAnsi="Arial" w:cs="Arial"/>
        </w:rPr>
        <w:t xml:space="preserve"> applicant shall be liable for the costs of the application, including the costs of two counsel where so employed.</w:t>
      </w:r>
    </w:p>
    <w:p w14:paraId="340C7979" w14:textId="77777777" w:rsidR="005A08C3" w:rsidRDefault="00E56E8A" w:rsidP="005A08C3">
      <w:pPr>
        <w:adjustRightInd w:val="0"/>
        <w:spacing w:after="0" w:line="360" w:lineRule="auto"/>
        <w:ind w:left="1440" w:hanging="720"/>
        <w:contextualSpacing/>
        <w:jc w:val="both"/>
        <w:textAlignment w:val="baseline"/>
        <w:rPr>
          <w:rFonts w:ascii="Arial" w:hAnsi="Arial" w:cs="Arial"/>
        </w:rPr>
      </w:pPr>
      <w:r>
        <w:rPr>
          <w:rFonts w:ascii="Arial" w:hAnsi="Arial" w:cs="Arial"/>
        </w:rPr>
        <w:t>54.3</w:t>
      </w:r>
      <w:r>
        <w:rPr>
          <w:rFonts w:ascii="Arial" w:hAnsi="Arial" w:cs="Arial"/>
        </w:rPr>
        <w:tab/>
        <w:t xml:space="preserve">The first respondent shall be liable for the costs of the striking out </w:t>
      </w:r>
      <w:r w:rsidR="005A08C3">
        <w:rPr>
          <w:rFonts w:ascii="Arial" w:hAnsi="Arial" w:cs="Arial"/>
        </w:rPr>
        <w:t>applications which were lodged by the applicant and the second respondent,</w:t>
      </w:r>
      <w:r>
        <w:rPr>
          <w:rFonts w:ascii="Arial" w:hAnsi="Arial" w:cs="Arial"/>
        </w:rPr>
        <w:t xml:space="preserve"> </w:t>
      </w:r>
      <w:r w:rsidR="005A08C3">
        <w:rPr>
          <w:rFonts w:ascii="Arial" w:hAnsi="Arial" w:cs="Arial"/>
        </w:rPr>
        <w:t>including the costs of two counsel where so employed.</w:t>
      </w:r>
    </w:p>
    <w:p w14:paraId="7B7B6543" w14:textId="77777777" w:rsidR="005A08C3" w:rsidRDefault="005A08C3" w:rsidP="00E56E8A">
      <w:pPr>
        <w:adjustRightInd w:val="0"/>
        <w:spacing w:after="0" w:line="360" w:lineRule="auto"/>
        <w:ind w:left="1440" w:hanging="720"/>
        <w:contextualSpacing/>
        <w:jc w:val="both"/>
        <w:textAlignment w:val="baseline"/>
        <w:rPr>
          <w:rFonts w:ascii="Arial" w:hAnsi="Arial" w:cs="Arial"/>
        </w:rPr>
      </w:pPr>
    </w:p>
    <w:p w14:paraId="44954AA8" w14:textId="77777777" w:rsidR="005A08C3" w:rsidRDefault="005A08C3" w:rsidP="00E56E8A">
      <w:pPr>
        <w:adjustRightInd w:val="0"/>
        <w:spacing w:after="0" w:line="360" w:lineRule="auto"/>
        <w:ind w:left="1440" w:hanging="720"/>
        <w:contextualSpacing/>
        <w:jc w:val="both"/>
        <w:textAlignment w:val="baseline"/>
        <w:rPr>
          <w:rFonts w:ascii="Arial" w:hAnsi="Arial" w:cs="Arial"/>
        </w:rPr>
      </w:pPr>
    </w:p>
    <w:p w14:paraId="3DD8A813" w14:textId="77777777" w:rsidR="005A08C3" w:rsidRDefault="005A08C3" w:rsidP="00E56E8A">
      <w:pPr>
        <w:adjustRightInd w:val="0"/>
        <w:spacing w:after="0" w:line="360" w:lineRule="auto"/>
        <w:ind w:left="1440" w:hanging="720"/>
        <w:contextualSpacing/>
        <w:jc w:val="both"/>
        <w:textAlignment w:val="baseline"/>
        <w:rPr>
          <w:rFonts w:ascii="Arial" w:hAnsi="Arial" w:cs="Arial"/>
        </w:rPr>
      </w:pPr>
    </w:p>
    <w:p w14:paraId="1C3101F2" w14:textId="0B765069" w:rsidR="005A08C3" w:rsidRDefault="005A08C3" w:rsidP="00E56E8A">
      <w:pPr>
        <w:adjustRightInd w:val="0"/>
        <w:spacing w:after="0" w:line="360" w:lineRule="auto"/>
        <w:ind w:left="1440" w:hanging="720"/>
        <w:contextualSpacing/>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lang w:val="en-ZA" w:eastAsia="en-ZA"/>
        </w:rPr>
        <w:drawing>
          <wp:inline distT="0" distB="0" distL="0" distR="0" wp14:anchorId="54F7871D" wp14:editId="1EEDD5B1">
            <wp:extent cx="1368796" cy="1552415"/>
            <wp:effectExtent l="0" t="0" r="0" b="0"/>
            <wp:docPr id="1946809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809192" name="Picture 1946809192"/>
                    <pic:cNvPicPr/>
                  </pic:nvPicPr>
                  <pic:blipFill>
                    <a:blip r:embed="rId8">
                      <a:extLst>
                        <a:ext uri="{28A0092B-C50C-407E-A947-70E740481C1C}">
                          <a14:useLocalDpi xmlns:a14="http://schemas.microsoft.com/office/drawing/2010/main" val="0"/>
                        </a:ext>
                      </a:extLst>
                    </a:blip>
                    <a:stretch>
                      <a:fillRect/>
                    </a:stretch>
                  </pic:blipFill>
                  <pic:spPr>
                    <a:xfrm>
                      <a:off x="0" y="0"/>
                      <a:ext cx="1386647" cy="1572660"/>
                    </a:xfrm>
                    <a:prstGeom prst="rect">
                      <a:avLst/>
                    </a:prstGeom>
                  </pic:spPr>
                </pic:pic>
              </a:graphicData>
            </a:graphic>
          </wp:inline>
        </w:drawing>
      </w:r>
    </w:p>
    <w:p w14:paraId="4F5916EA" w14:textId="77777777" w:rsidR="005A08C3" w:rsidRDefault="005A08C3" w:rsidP="00E56E8A">
      <w:pPr>
        <w:adjustRightInd w:val="0"/>
        <w:spacing w:after="0" w:line="360" w:lineRule="auto"/>
        <w:ind w:left="1440" w:hanging="720"/>
        <w:contextualSpacing/>
        <w:jc w:val="both"/>
        <w:textAlignment w:val="baseline"/>
        <w:rPr>
          <w:rFonts w:ascii="Arial" w:hAnsi="Arial" w:cs="Arial"/>
        </w:rPr>
      </w:pPr>
    </w:p>
    <w:p w14:paraId="14E919DA" w14:textId="77777777" w:rsidR="005A08C3" w:rsidRDefault="005A08C3" w:rsidP="00E56E8A">
      <w:pPr>
        <w:adjustRightInd w:val="0"/>
        <w:spacing w:after="0" w:line="360" w:lineRule="auto"/>
        <w:ind w:left="1440" w:hanging="720"/>
        <w:contextualSpacing/>
        <w:jc w:val="both"/>
        <w:textAlignment w:val="baseline"/>
        <w:rPr>
          <w:rFonts w:ascii="Arial" w:hAnsi="Arial" w:cs="Arial"/>
        </w:rPr>
      </w:pPr>
    </w:p>
    <w:p w14:paraId="520E44C7" w14:textId="247899D3" w:rsidR="005A08C3" w:rsidRPr="005A08C3" w:rsidRDefault="005A08C3" w:rsidP="00E56E8A">
      <w:pPr>
        <w:adjustRightInd w:val="0"/>
        <w:spacing w:after="0" w:line="360" w:lineRule="auto"/>
        <w:ind w:left="1440" w:hanging="720"/>
        <w:contextualSpacing/>
        <w:jc w:val="both"/>
        <w:textAlignment w:val="baseline"/>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A08C3">
        <w:rPr>
          <w:rFonts w:ascii="Arial" w:hAnsi="Arial" w:cs="Arial"/>
          <w:b/>
          <w:bCs/>
        </w:rPr>
        <w:t>M SHER</w:t>
      </w:r>
    </w:p>
    <w:p w14:paraId="505B705C" w14:textId="41B20B05" w:rsidR="005A08C3" w:rsidRPr="005A08C3" w:rsidRDefault="005A08C3" w:rsidP="00E56E8A">
      <w:pPr>
        <w:adjustRightInd w:val="0"/>
        <w:spacing w:after="0" w:line="360" w:lineRule="auto"/>
        <w:ind w:left="1440" w:hanging="720"/>
        <w:contextualSpacing/>
        <w:jc w:val="both"/>
        <w:textAlignment w:val="baseline"/>
        <w:rPr>
          <w:rFonts w:ascii="Arial" w:hAnsi="Arial" w:cs="Arial"/>
          <w:b/>
          <w:bCs/>
        </w:rPr>
      </w:pPr>
      <w:r w:rsidRPr="005A08C3">
        <w:rPr>
          <w:rFonts w:ascii="Arial" w:hAnsi="Arial" w:cs="Arial"/>
          <w:b/>
          <w:bCs/>
        </w:rPr>
        <w:tab/>
      </w:r>
      <w:r w:rsidRPr="005A08C3">
        <w:rPr>
          <w:rFonts w:ascii="Arial" w:hAnsi="Arial" w:cs="Arial"/>
          <w:b/>
          <w:bCs/>
        </w:rPr>
        <w:tab/>
      </w:r>
      <w:r w:rsidRPr="005A08C3">
        <w:rPr>
          <w:rFonts w:ascii="Arial" w:hAnsi="Arial" w:cs="Arial"/>
          <w:b/>
          <w:bCs/>
        </w:rPr>
        <w:tab/>
      </w:r>
      <w:r w:rsidRPr="005A08C3">
        <w:rPr>
          <w:rFonts w:ascii="Arial" w:hAnsi="Arial" w:cs="Arial"/>
          <w:b/>
          <w:bCs/>
        </w:rPr>
        <w:tab/>
      </w:r>
      <w:r w:rsidRPr="005A08C3">
        <w:rPr>
          <w:rFonts w:ascii="Arial" w:hAnsi="Arial" w:cs="Arial"/>
          <w:b/>
          <w:bCs/>
        </w:rPr>
        <w:tab/>
      </w:r>
      <w:r w:rsidRPr="005A08C3">
        <w:rPr>
          <w:rFonts w:ascii="Arial" w:hAnsi="Arial" w:cs="Arial"/>
          <w:b/>
          <w:bCs/>
        </w:rPr>
        <w:tab/>
      </w:r>
      <w:r w:rsidRPr="005A08C3">
        <w:rPr>
          <w:rFonts w:ascii="Arial" w:hAnsi="Arial" w:cs="Arial"/>
          <w:b/>
          <w:bCs/>
        </w:rPr>
        <w:tab/>
        <w:t>Judge of the High Court</w:t>
      </w:r>
    </w:p>
    <w:p w14:paraId="137844E4" w14:textId="77777777" w:rsidR="00F758B4" w:rsidRDefault="005A08C3" w:rsidP="005A08C3">
      <w:pPr>
        <w:adjustRightInd w:val="0"/>
        <w:spacing w:after="0" w:line="360" w:lineRule="auto"/>
        <w:ind w:left="2880" w:hanging="720"/>
        <w:contextualSpacing/>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appended digitally)</w:t>
      </w:r>
      <w:r w:rsidR="00E56E8A">
        <w:rPr>
          <w:rFonts w:ascii="Arial" w:hAnsi="Arial" w:cs="Arial"/>
        </w:rPr>
        <w:t xml:space="preserve"> </w:t>
      </w:r>
      <w:r w:rsidR="00FD23E7">
        <w:rPr>
          <w:rFonts w:ascii="Arial" w:hAnsi="Arial" w:cs="Arial"/>
        </w:rPr>
        <w:t xml:space="preserve"> </w:t>
      </w:r>
    </w:p>
    <w:p w14:paraId="2497AC97" w14:textId="2A2EF133" w:rsidR="005828DF" w:rsidRPr="005E0BF1" w:rsidRDefault="005828DF" w:rsidP="005828DF">
      <w:pPr>
        <w:spacing w:after="0"/>
        <w:rPr>
          <w:rFonts w:ascii="Arial" w:hAnsi="Arial" w:cs="Arial"/>
          <w:sz w:val="18"/>
          <w:szCs w:val="18"/>
          <w:u w:val="single"/>
        </w:rPr>
      </w:pPr>
      <w:r w:rsidRPr="005E0BF1">
        <w:rPr>
          <w:rFonts w:ascii="Arial" w:hAnsi="Arial" w:cs="Arial"/>
          <w:b/>
          <w:bCs/>
          <w:sz w:val="18"/>
          <w:szCs w:val="18"/>
          <w:u w:val="single"/>
        </w:rPr>
        <w:lastRenderedPageBreak/>
        <w:t>Appearances</w:t>
      </w:r>
      <w:r w:rsidRPr="005E0BF1">
        <w:rPr>
          <w:rFonts w:ascii="Arial" w:hAnsi="Arial" w:cs="Arial"/>
          <w:sz w:val="18"/>
          <w:szCs w:val="18"/>
          <w:u w:val="single"/>
        </w:rPr>
        <w:t xml:space="preserve">: </w:t>
      </w:r>
    </w:p>
    <w:p w14:paraId="69C4ED1A" w14:textId="06C07470" w:rsidR="005828DF" w:rsidRPr="005E0BF1" w:rsidRDefault="005828DF" w:rsidP="005828DF">
      <w:pPr>
        <w:spacing w:after="0"/>
        <w:rPr>
          <w:rFonts w:ascii="Arial" w:hAnsi="Arial" w:cs="Arial"/>
          <w:sz w:val="18"/>
          <w:szCs w:val="18"/>
        </w:rPr>
      </w:pPr>
      <w:r w:rsidRPr="005E0BF1">
        <w:rPr>
          <w:rFonts w:ascii="Arial" w:hAnsi="Arial" w:cs="Arial"/>
          <w:sz w:val="18"/>
          <w:szCs w:val="18"/>
        </w:rPr>
        <w:t>Applicant</w:t>
      </w:r>
      <w:r>
        <w:rPr>
          <w:rFonts w:ascii="Arial" w:hAnsi="Arial" w:cs="Arial"/>
          <w:sz w:val="18"/>
          <w:szCs w:val="18"/>
        </w:rPr>
        <w:t>’</w:t>
      </w:r>
      <w:r w:rsidRPr="005E0BF1">
        <w:rPr>
          <w:rFonts w:ascii="Arial" w:hAnsi="Arial" w:cs="Arial"/>
          <w:sz w:val="18"/>
          <w:szCs w:val="18"/>
        </w:rPr>
        <w:t xml:space="preserve">s counsel: </w:t>
      </w:r>
      <w:r>
        <w:rPr>
          <w:rFonts w:ascii="Arial" w:hAnsi="Arial" w:cs="Arial"/>
          <w:sz w:val="18"/>
          <w:szCs w:val="18"/>
        </w:rPr>
        <w:t>LW Ackermann</w:t>
      </w:r>
      <w:r w:rsidRPr="005E0BF1">
        <w:rPr>
          <w:rFonts w:ascii="Arial" w:hAnsi="Arial" w:cs="Arial"/>
          <w:sz w:val="18"/>
          <w:szCs w:val="18"/>
        </w:rPr>
        <w:t xml:space="preserve">  </w:t>
      </w:r>
    </w:p>
    <w:p w14:paraId="42C8ECE4" w14:textId="3478EB64" w:rsidR="005828DF" w:rsidRPr="005E0BF1" w:rsidRDefault="005828DF" w:rsidP="005828DF">
      <w:pPr>
        <w:spacing w:after="0"/>
        <w:rPr>
          <w:rFonts w:ascii="Arial" w:hAnsi="Arial" w:cs="Arial"/>
          <w:sz w:val="18"/>
          <w:szCs w:val="18"/>
        </w:rPr>
      </w:pPr>
      <w:r w:rsidRPr="005E0BF1">
        <w:rPr>
          <w:rFonts w:ascii="Arial" w:hAnsi="Arial" w:cs="Arial"/>
          <w:sz w:val="18"/>
          <w:szCs w:val="18"/>
        </w:rPr>
        <w:t>Applicant</w:t>
      </w:r>
      <w:r>
        <w:rPr>
          <w:rFonts w:ascii="Arial" w:hAnsi="Arial" w:cs="Arial"/>
          <w:sz w:val="18"/>
          <w:szCs w:val="18"/>
        </w:rPr>
        <w:t>’</w:t>
      </w:r>
      <w:r w:rsidRPr="005E0BF1">
        <w:rPr>
          <w:rFonts w:ascii="Arial" w:hAnsi="Arial" w:cs="Arial"/>
          <w:sz w:val="18"/>
          <w:szCs w:val="18"/>
        </w:rPr>
        <w:t xml:space="preserve">s attorneys: </w:t>
      </w:r>
      <w:r w:rsidR="009B1CE9">
        <w:rPr>
          <w:rFonts w:ascii="Arial" w:hAnsi="Arial" w:cs="Arial"/>
          <w:sz w:val="18"/>
          <w:szCs w:val="18"/>
        </w:rPr>
        <w:t>Pepler O’Kennedy (Tygervalley)</w:t>
      </w:r>
      <w:r w:rsidRPr="005E0BF1">
        <w:rPr>
          <w:rFonts w:ascii="Arial" w:hAnsi="Arial" w:cs="Arial"/>
          <w:sz w:val="18"/>
          <w:szCs w:val="18"/>
        </w:rPr>
        <w:t xml:space="preserve"> </w:t>
      </w:r>
    </w:p>
    <w:p w14:paraId="3134B6A1" w14:textId="122EA3EC" w:rsidR="005828DF" w:rsidRPr="005E0BF1" w:rsidRDefault="005828DF" w:rsidP="005828DF">
      <w:pPr>
        <w:spacing w:after="0"/>
        <w:rPr>
          <w:rFonts w:ascii="Arial" w:hAnsi="Arial" w:cs="Arial"/>
          <w:sz w:val="18"/>
          <w:szCs w:val="18"/>
        </w:rPr>
      </w:pPr>
      <w:r w:rsidRPr="005E0BF1">
        <w:rPr>
          <w:rFonts w:ascii="Arial" w:hAnsi="Arial" w:cs="Arial"/>
          <w:sz w:val="18"/>
          <w:szCs w:val="18"/>
        </w:rPr>
        <w:t>First respondent</w:t>
      </w:r>
      <w:r>
        <w:rPr>
          <w:rFonts w:ascii="Arial" w:hAnsi="Arial" w:cs="Arial"/>
          <w:sz w:val="18"/>
          <w:szCs w:val="18"/>
        </w:rPr>
        <w:t>’</w:t>
      </w:r>
      <w:r w:rsidRPr="005E0BF1">
        <w:rPr>
          <w:rFonts w:ascii="Arial" w:hAnsi="Arial" w:cs="Arial"/>
          <w:sz w:val="18"/>
          <w:szCs w:val="18"/>
        </w:rPr>
        <w:t>s counsel:</w:t>
      </w:r>
      <w:r>
        <w:rPr>
          <w:rFonts w:ascii="Arial" w:hAnsi="Arial" w:cs="Arial"/>
          <w:sz w:val="18"/>
          <w:szCs w:val="18"/>
        </w:rPr>
        <w:t xml:space="preserve"> F Nalane </w:t>
      </w:r>
      <w:r w:rsidRPr="005E0BF1">
        <w:rPr>
          <w:rFonts w:ascii="Arial" w:hAnsi="Arial" w:cs="Arial"/>
          <w:sz w:val="18"/>
          <w:szCs w:val="18"/>
        </w:rPr>
        <w:t xml:space="preserve">SC &amp; </w:t>
      </w:r>
      <w:r>
        <w:rPr>
          <w:rFonts w:ascii="Arial" w:hAnsi="Arial" w:cs="Arial"/>
          <w:sz w:val="18"/>
          <w:szCs w:val="18"/>
        </w:rPr>
        <w:t xml:space="preserve">N </w:t>
      </w:r>
      <w:r w:rsidRPr="005E0BF1">
        <w:rPr>
          <w:rFonts w:ascii="Arial" w:hAnsi="Arial" w:cs="Arial"/>
          <w:sz w:val="18"/>
          <w:szCs w:val="18"/>
        </w:rPr>
        <w:t>R</w:t>
      </w:r>
      <w:r>
        <w:rPr>
          <w:rFonts w:ascii="Arial" w:hAnsi="Arial" w:cs="Arial"/>
          <w:sz w:val="18"/>
          <w:szCs w:val="18"/>
        </w:rPr>
        <w:t>alikhuvhala</w:t>
      </w:r>
      <w:r w:rsidRPr="005E0BF1">
        <w:rPr>
          <w:rFonts w:ascii="Arial" w:hAnsi="Arial" w:cs="Arial"/>
          <w:sz w:val="18"/>
          <w:szCs w:val="18"/>
        </w:rPr>
        <w:t xml:space="preserve"> </w:t>
      </w:r>
    </w:p>
    <w:p w14:paraId="4E4F031F" w14:textId="7B39F7EC" w:rsidR="005828DF" w:rsidRPr="005E0BF1" w:rsidRDefault="005828DF" w:rsidP="005828DF">
      <w:pPr>
        <w:spacing w:after="0"/>
        <w:rPr>
          <w:rFonts w:ascii="Arial" w:hAnsi="Arial" w:cs="Arial"/>
          <w:sz w:val="18"/>
          <w:szCs w:val="18"/>
        </w:rPr>
      </w:pPr>
      <w:r w:rsidRPr="005E0BF1">
        <w:rPr>
          <w:rFonts w:ascii="Arial" w:hAnsi="Arial" w:cs="Arial"/>
          <w:sz w:val="18"/>
          <w:szCs w:val="18"/>
        </w:rPr>
        <w:t>First respondent</w:t>
      </w:r>
      <w:r>
        <w:rPr>
          <w:rFonts w:ascii="Arial" w:hAnsi="Arial" w:cs="Arial"/>
          <w:sz w:val="18"/>
          <w:szCs w:val="18"/>
        </w:rPr>
        <w:t>’</w:t>
      </w:r>
      <w:r w:rsidRPr="005E0BF1">
        <w:rPr>
          <w:rFonts w:ascii="Arial" w:hAnsi="Arial" w:cs="Arial"/>
          <w:sz w:val="18"/>
          <w:szCs w:val="18"/>
        </w:rPr>
        <w:t xml:space="preserve">s attorneys:  </w:t>
      </w:r>
      <w:r w:rsidR="003B3ECD">
        <w:rPr>
          <w:rFonts w:ascii="Arial" w:hAnsi="Arial" w:cs="Arial"/>
          <w:sz w:val="18"/>
          <w:szCs w:val="18"/>
        </w:rPr>
        <w:t xml:space="preserve">Mncedisi Ndlovu &amp; Sedumedi </w:t>
      </w:r>
      <w:r w:rsidRPr="005E0BF1">
        <w:rPr>
          <w:rFonts w:ascii="Arial" w:hAnsi="Arial" w:cs="Arial"/>
          <w:sz w:val="18"/>
          <w:szCs w:val="18"/>
        </w:rPr>
        <w:t>(</w:t>
      </w:r>
      <w:r w:rsidR="003B3ECD">
        <w:rPr>
          <w:rFonts w:ascii="Arial" w:hAnsi="Arial" w:cs="Arial"/>
          <w:sz w:val="18"/>
          <w:szCs w:val="18"/>
        </w:rPr>
        <w:t>Johannesburg</w:t>
      </w:r>
      <w:r w:rsidRPr="005E0BF1">
        <w:rPr>
          <w:rFonts w:ascii="Arial" w:hAnsi="Arial" w:cs="Arial"/>
          <w:sz w:val="18"/>
          <w:szCs w:val="18"/>
        </w:rPr>
        <w:t>)</w:t>
      </w:r>
    </w:p>
    <w:p w14:paraId="4837A4C9" w14:textId="7F46C3CF" w:rsidR="005828DF" w:rsidRDefault="005828DF" w:rsidP="005828DF">
      <w:pPr>
        <w:spacing w:after="0"/>
        <w:rPr>
          <w:rFonts w:ascii="Arial" w:hAnsi="Arial" w:cs="Arial"/>
          <w:sz w:val="18"/>
          <w:szCs w:val="18"/>
        </w:rPr>
      </w:pPr>
      <w:r>
        <w:rPr>
          <w:rFonts w:ascii="Arial" w:hAnsi="Arial" w:cs="Arial"/>
          <w:sz w:val="18"/>
          <w:szCs w:val="18"/>
        </w:rPr>
        <w:t>Second responden</w:t>
      </w:r>
      <w:r w:rsidRPr="005E0BF1">
        <w:rPr>
          <w:rFonts w:ascii="Arial" w:hAnsi="Arial" w:cs="Arial"/>
          <w:sz w:val="18"/>
          <w:szCs w:val="18"/>
        </w:rPr>
        <w:t xml:space="preserve">t’s counsel: </w:t>
      </w:r>
      <w:r>
        <w:rPr>
          <w:rFonts w:ascii="Arial" w:hAnsi="Arial" w:cs="Arial"/>
          <w:sz w:val="18"/>
          <w:szCs w:val="18"/>
        </w:rPr>
        <w:t>M O’Sullivan SC &amp; T Sarkas</w:t>
      </w:r>
    </w:p>
    <w:p w14:paraId="19B99BC6" w14:textId="011A886C" w:rsidR="005828DF" w:rsidRPr="00B65918" w:rsidRDefault="005828DF" w:rsidP="005828DF">
      <w:pPr>
        <w:spacing w:after="0"/>
        <w:rPr>
          <w:rFonts w:ascii="Arial" w:hAnsi="Arial" w:cs="Arial"/>
          <w:b/>
          <w:bCs/>
        </w:rPr>
      </w:pPr>
      <w:r>
        <w:rPr>
          <w:rFonts w:ascii="Arial" w:hAnsi="Arial" w:cs="Arial"/>
          <w:sz w:val="18"/>
          <w:szCs w:val="18"/>
        </w:rPr>
        <w:t>Second responden</w:t>
      </w:r>
      <w:r w:rsidRPr="005E0BF1">
        <w:rPr>
          <w:rFonts w:ascii="Arial" w:hAnsi="Arial" w:cs="Arial"/>
          <w:sz w:val="18"/>
          <w:szCs w:val="18"/>
        </w:rPr>
        <w:t xml:space="preserve">t’s attorneys: </w:t>
      </w:r>
      <w:r w:rsidR="003B3ECD">
        <w:rPr>
          <w:rFonts w:ascii="Arial" w:hAnsi="Arial" w:cs="Arial"/>
          <w:sz w:val="18"/>
          <w:szCs w:val="18"/>
        </w:rPr>
        <w:t>Hayes Inc</w:t>
      </w:r>
      <w:r w:rsidRPr="005E0BF1">
        <w:rPr>
          <w:rFonts w:ascii="Arial" w:hAnsi="Arial" w:cs="Arial"/>
          <w:sz w:val="18"/>
          <w:szCs w:val="18"/>
        </w:rPr>
        <w:t xml:space="preserve"> (</w:t>
      </w:r>
      <w:r w:rsidR="003B3ECD">
        <w:rPr>
          <w:rFonts w:ascii="Arial" w:hAnsi="Arial" w:cs="Arial"/>
          <w:sz w:val="18"/>
          <w:szCs w:val="18"/>
        </w:rPr>
        <w:t>Cape Town</w:t>
      </w:r>
      <w:r>
        <w:rPr>
          <w:rFonts w:ascii="Arial" w:hAnsi="Arial" w:cs="Arial"/>
          <w:sz w:val="20"/>
          <w:szCs w:val="20"/>
        </w:rPr>
        <w:t>)</w:t>
      </w:r>
      <w:r w:rsidRPr="00C14221">
        <w:rPr>
          <w:rFonts w:ascii="Arial" w:hAnsi="Arial" w:cs="Arial"/>
          <w:sz w:val="20"/>
          <w:szCs w:val="20"/>
        </w:rPr>
        <w:t xml:space="preserve"> </w:t>
      </w:r>
    </w:p>
    <w:p w14:paraId="6CD19766" w14:textId="0099ABDD" w:rsidR="004934EB" w:rsidRPr="00230F27" w:rsidRDefault="008C1A4B" w:rsidP="00F758B4">
      <w:pPr>
        <w:adjustRightInd w:val="0"/>
        <w:spacing w:after="0" w:line="360" w:lineRule="auto"/>
        <w:contextualSpacing/>
        <w:textAlignment w:val="baseline"/>
        <w:rPr>
          <w:rFonts w:ascii="Arial" w:hAnsi="Arial" w:cs="Arial"/>
        </w:rPr>
      </w:pPr>
      <w:r>
        <w:rPr>
          <w:rFonts w:ascii="Arial" w:hAnsi="Arial" w:cs="Arial"/>
        </w:rPr>
        <w:t xml:space="preserve">    </w:t>
      </w:r>
      <w:r w:rsidR="002502BA">
        <w:rPr>
          <w:rFonts w:ascii="Arial" w:hAnsi="Arial" w:cs="Arial"/>
        </w:rPr>
        <w:t xml:space="preserve">    </w:t>
      </w:r>
    </w:p>
    <w:sectPr w:rsidR="004934EB" w:rsidRPr="00230F27" w:rsidSect="00D94A8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2BF8" w14:textId="77777777" w:rsidR="00473985" w:rsidRDefault="00473985" w:rsidP="009D2DF6">
      <w:pPr>
        <w:spacing w:after="0" w:line="240" w:lineRule="auto"/>
      </w:pPr>
      <w:r>
        <w:separator/>
      </w:r>
    </w:p>
  </w:endnote>
  <w:endnote w:type="continuationSeparator" w:id="0">
    <w:p w14:paraId="411E37FC" w14:textId="77777777" w:rsidR="00473985" w:rsidRDefault="00473985" w:rsidP="009D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4E3C7" w14:textId="77777777" w:rsidR="00473985" w:rsidRDefault="00473985" w:rsidP="009D2DF6">
      <w:pPr>
        <w:spacing w:after="0" w:line="240" w:lineRule="auto"/>
      </w:pPr>
      <w:r>
        <w:separator/>
      </w:r>
    </w:p>
  </w:footnote>
  <w:footnote w:type="continuationSeparator" w:id="0">
    <w:p w14:paraId="35CFAD8D" w14:textId="77777777" w:rsidR="00473985" w:rsidRDefault="00473985" w:rsidP="009D2DF6">
      <w:pPr>
        <w:spacing w:after="0" w:line="240" w:lineRule="auto"/>
      </w:pPr>
      <w:r>
        <w:continuationSeparator/>
      </w:r>
    </w:p>
  </w:footnote>
  <w:footnote w:id="1">
    <w:p w14:paraId="7D0B575B" w14:textId="0DF5978D" w:rsidR="00CE0A21" w:rsidRPr="00CE0A21" w:rsidRDefault="00CE0A21">
      <w:pPr>
        <w:pStyle w:val="FootnoteText"/>
        <w:rPr>
          <w:lang w:val="en-ZA"/>
        </w:rPr>
      </w:pPr>
      <w:r>
        <w:rPr>
          <w:rStyle w:val="FootnoteReference"/>
        </w:rPr>
        <w:footnoteRef/>
      </w:r>
      <w:r>
        <w:t xml:space="preserve"> </w:t>
      </w:r>
      <w:r>
        <w:rPr>
          <w:lang w:val="en-ZA"/>
        </w:rPr>
        <w:t>Act 3 of 2000.</w:t>
      </w:r>
    </w:p>
  </w:footnote>
  <w:footnote w:id="2">
    <w:p w14:paraId="01A43D9B" w14:textId="1F070127" w:rsidR="00740297" w:rsidRPr="00740297" w:rsidRDefault="00740297">
      <w:pPr>
        <w:pStyle w:val="FootnoteText"/>
        <w:rPr>
          <w:lang w:val="en-ZA"/>
        </w:rPr>
      </w:pPr>
      <w:r>
        <w:rPr>
          <w:rStyle w:val="FootnoteReference"/>
        </w:rPr>
        <w:footnoteRef/>
      </w:r>
      <w:r>
        <w:t xml:space="preserve"> </w:t>
      </w:r>
      <w:r>
        <w:rPr>
          <w:lang w:val="en-ZA"/>
        </w:rPr>
        <w:t xml:space="preserve">Bolton </w:t>
      </w:r>
      <w:r w:rsidRPr="00740297">
        <w:rPr>
          <w:i/>
          <w:iCs/>
          <w:lang w:val="en-ZA"/>
        </w:rPr>
        <w:t>The Law of Government Procurement in South Africa</w:t>
      </w:r>
      <w:r>
        <w:rPr>
          <w:lang w:val="en-ZA"/>
        </w:rPr>
        <w:t xml:space="preserve"> (2007) at 57. </w:t>
      </w:r>
    </w:p>
  </w:footnote>
  <w:footnote w:id="3">
    <w:p w14:paraId="0B1A8309" w14:textId="77777777" w:rsidR="00B03BC6" w:rsidRDefault="00B03BC6" w:rsidP="00B03BC6">
      <w:pPr>
        <w:pStyle w:val="FootnoteText"/>
      </w:pPr>
      <w:r>
        <w:rPr>
          <w:rStyle w:val="FootnoteReference"/>
        </w:rPr>
        <w:footnoteRef/>
      </w:r>
      <w:r>
        <w:t xml:space="preserve"> Act 5 of 2008.</w:t>
      </w:r>
    </w:p>
  </w:footnote>
  <w:footnote w:id="4">
    <w:p w14:paraId="13219690" w14:textId="77777777" w:rsidR="00B03BC6" w:rsidRDefault="00B03BC6" w:rsidP="00B03BC6">
      <w:pPr>
        <w:pStyle w:val="FootnoteText"/>
      </w:pPr>
      <w:r>
        <w:rPr>
          <w:rStyle w:val="FootnoteReference"/>
        </w:rPr>
        <w:footnoteRef/>
      </w:r>
      <w:r>
        <w:t xml:space="preserve"> Act 1 of 1999.</w:t>
      </w:r>
    </w:p>
  </w:footnote>
  <w:footnote w:id="5">
    <w:p w14:paraId="0A99BED3" w14:textId="77777777" w:rsidR="00B03BC6" w:rsidRDefault="00B03BC6" w:rsidP="00B03BC6">
      <w:pPr>
        <w:pStyle w:val="FootnoteText"/>
      </w:pPr>
      <w:r>
        <w:rPr>
          <w:rStyle w:val="FootnoteReference"/>
        </w:rPr>
        <w:footnoteRef/>
      </w:r>
      <w:r>
        <w:t xml:space="preserve"> Act 32 of 2000.</w:t>
      </w:r>
    </w:p>
  </w:footnote>
  <w:footnote w:id="6">
    <w:p w14:paraId="473A5415" w14:textId="77777777" w:rsidR="00B03BC6" w:rsidRDefault="00B03BC6" w:rsidP="00B03BC6">
      <w:pPr>
        <w:pStyle w:val="FootnoteText"/>
      </w:pPr>
      <w:r>
        <w:rPr>
          <w:rStyle w:val="FootnoteReference"/>
        </w:rPr>
        <w:footnoteRef/>
      </w:r>
      <w:r>
        <w:t xml:space="preserve"> Act 56 of 2003. </w:t>
      </w:r>
    </w:p>
  </w:footnote>
  <w:footnote w:id="7">
    <w:p w14:paraId="23B882A5" w14:textId="614190A9" w:rsidR="00B03BC6" w:rsidRPr="005E6B3F" w:rsidRDefault="00B03BC6" w:rsidP="00B03BC6">
      <w:pPr>
        <w:pStyle w:val="FootnoteText"/>
        <w:rPr>
          <w:lang w:val="en-ZA"/>
        </w:rPr>
      </w:pPr>
      <w:r>
        <w:rPr>
          <w:rStyle w:val="FootnoteReference"/>
        </w:rPr>
        <w:footnoteRef/>
      </w:r>
      <w:r>
        <w:t xml:space="preserve"> These include the Preferential Procurement Regulations promulgated in terms of the PPFA, the Treasury regulations promulgated in terms of the PFMA, and the </w:t>
      </w:r>
      <w:r w:rsidR="00A30926">
        <w:t>M</w:t>
      </w:r>
      <w:r>
        <w:t>unicipal Supply Chain Management Regulations promulgated in terms of the MFMA.</w:t>
      </w:r>
    </w:p>
  </w:footnote>
  <w:footnote w:id="8">
    <w:p w14:paraId="25705F8D" w14:textId="5F02DB76" w:rsidR="00B03BC6" w:rsidRPr="00CA33B0" w:rsidRDefault="00B03BC6" w:rsidP="00B03BC6">
      <w:pPr>
        <w:pStyle w:val="FootnoteText"/>
        <w:rPr>
          <w:lang w:val="en-ZA"/>
        </w:rPr>
      </w:pPr>
      <w:r>
        <w:rPr>
          <w:rStyle w:val="FootnoteReference"/>
        </w:rPr>
        <w:footnoteRef/>
      </w:r>
      <w:r>
        <w:t xml:space="preserve"> </w:t>
      </w:r>
      <w:r w:rsidRPr="00CA33B0">
        <w:rPr>
          <w:i/>
          <w:iCs/>
        </w:rPr>
        <w:t>Tetra Mobile Radio (Pty) Ltd v MEC, Department of Works &amp; Ors</w:t>
      </w:r>
      <w:r>
        <w:rPr>
          <w:i/>
          <w:iCs/>
        </w:rPr>
        <w:t xml:space="preserve"> </w:t>
      </w:r>
      <w:r>
        <w:t xml:space="preserve">2008 (1) SA 438 (SCA) para </w:t>
      </w:r>
      <w:r w:rsidR="00A30926">
        <w:t>10</w:t>
      </w:r>
      <w:r>
        <w:t>.</w:t>
      </w:r>
    </w:p>
  </w:footnote>
  <w:footnote w:id="9">
    <w:p w14:paraId="7652C8B5" w14:textId="709BD627" w:rsidR="00740297" w:rsidRPr="00740297" w:rsidRDefault="00740297">
      <w:pPr>
        <w:pStyle w:val="FootnoteText"/>
        <w:rPr>
          <w:lang w:val="en-ZA"/>
        </w:rPr>
      </w:pPr>
      <w:r>
        <w:rPr>
          <w:rStyle w:val="FootnoteReference"/>
        </w:rPr>
        <w:footnoteRef/>
      </w:r>
      <w:r>
        <w:t xml:space="preserve"> </w:t>
      </w:r>
      <w:r w:rsidRPr="000F2A58">
        <w:rPr>
          <w:i/>
          <w:iCs/>
          <w:lang w:val="en-ZA"/>
        </w:rPr>
        <w:t>AllPay Cons</w:t>
      </w:r>
      <w:r w:rsidR="000F2A58" w:rsidRPr="000F2A58">
        <w:rPr>
          <w:i/>
          <w:iCs/>
          <w:lang w:val="en-ZA"/>
        </w:rPr>
        <w:t>olidated Investment Holdings (Pty) Ltd &amp; Ors v Chief Executive Officer, South African Social Security Agency &amp; Ors</w:t>
      </w:r>
      <w:r w:rsidR="000F2A58">
        <w:rPr>
          <w:lang w:val="en-ZA"/>
        </w:rPr>
        <w:t xml:space="preserve"> 2014 (1) SA 604 (CC) para 42. </w:t>
      </w:r>
    </w:p>
  </w:footnote>
  <w:footnote w:id="10">
    <w:p w14:paraId="10791A0E" w14:textId="0AA80CA7" w:rsidR="000F2A58" w:rsidRPr="000F2A58" w:rsidRDefault="000F2A58">
      <w:pPr>
        <w:pStyle w:val="FootnoteText"/>
        <w:rPr>
          <w:lang w:val="en-ZA"/>
        </w:rPr>
      </w:pPr>
      <w:r>
        <w:rPr>
          <w:rStyle w:val="FootnoteReference"/>
        </w:rPr>
        <w:footnoteRef/>
      </w:r>
      <w:r>
        <w:t xml:space="preserve"> </w:t>
      </w:r>
      <w:r>
        <w:rPr>
          <w:lang w:val="en-ZA"/>
        </w:rPr>
        <w:t>Id, para 24.</w:t>
      </w:r>
    </w:p>
  </w:footnote>
  <w:footnote w:id="11">
    <w:p w14:paraId="400E9166" w14:textId="65D1E519" w:rsidR="000F2A58" w:rsidRPr="000F2A58" w:rsidRDefault="000F2A58">
      <w:pPr>
        <w:pStyle w:val="FootnoteText"/>
        <w:rPr>
          <w:lang w:val="en-ZA"/>
        </w:rPr>
      </w:pPr>
      <w:r>
        <w:rPr>
          <w:rStyle w:val="FootnoteReference"/>
        </w:rPr>
        <w:footnoteRef/>
      </w:r>
      <w:r>
        <w:t xml:space="preserve"> </w:t>
      </w:r>
      <w:r>
        <w:rPr>
          <w:lang w:val="en-ZA"/>
        </w:rPr>
        <w:t>Id.</w:t>
      </w:r>
    </w:p>
  </w:footnote>
  <w:footnote w:id="12">
    <w:p w14:paraId="7B531236" w14:textId="5D0F3D95" w:rsidR="00913C81" w:rsidRPr="00913C81" w:rsidRDefault="00913C81">
      <w:pPr>
        <w:pStyle w:val="FootnoteText"/>
        <w:rPr>
          <w:lang w:val="en-ZA"/>
        </w:rPr>
      </w:pPr>
      <w:r>
        <w:rPr>
          <w:rStyle w:val="FootnoteReference"/>
        </w:rPr>
        <w:footnoteRef/>
      </w:r>
      <w:r>
        <w:t xml:space="preserve"> </w:t>
      </w:r>
      <w:r>
        <w:rPr>
          <w:lang w:val="en-ZA"/>
        </w:rPr>
        <w:t>Id, para 40.</w:t>
      </w:r>
    </w:p>
  </w:footnote>
  <w:footnote w:id="13">
    <w:p w14:paraId="685A4957" w14:textId="33066085" w:rsidR="00913C81" w:rsidRPr="00913C81" w:rsidRDefault="00913C81">
      <w:pPr>
        <w:pStyle w:val="FootnoteText"/>
        <w:rPr>
          <w:lang w:val="en-ZA"/>
        </w:rPr>
      </w:pPr>
      <w:r>
        <w:rPr>
          <w:rStyle w:val="FootnoteReference"/>
        </w:rPr>
        <w:footnoteRef/>
      </w:r>
      <w:r>
        <w:t xml:space="preserve"> </w:t>
      </w:r>
      <w:r w:rsidRPr="00913C81">
        <w:rPr>
          <w:i/>
          <w:iCs/>
        </w:rPr>
        <w:t xml:space="preserve">Premier, Free State &amp; Ors v </w:t>
      </w:r>
      <w:r w:rsidRPr="00913C81">
        <w:rPr>
          <w:i/>
          <w:iCs/>
          <w:lang w:val="en-ZA"/>
        </w:rPr>
        <w:t>Firechem Free State (Pty) Ltd</w:t>
      </w:r>
      <w:r>
        <w:rPr>
          <w:lang w:val="en-ZA"/>
        </w:rPr>
        <w:t xml:space="preserve"> 2000 (4) SA 413 (SCA) para 30.</w:t>
      </w:r>
    </w:p>
  </w:footnote>
  <w:footnote w:id="14">
    <w:p w14:paraId="142C31FE" w14:textId="158D91AD" w:rsidR="000D6BE5" w:rsidRPr="000D6BE5" w:rsidRDefault="000D6BE5">
      <w:pPr>
        <w:pStyle w:val="FootnoteText"/>
        <w:rPr>
          <w:lang w:val="en-ZA"/>
        </w:rPr>
      </w:pPr>
      <w:r>
        <w:rPr>
          <w:rStyle w:val="FootnoteReference"/>
        </w:rPr>
        <w:footnoteRef/>
      </w:r>
      <w:r>
        <w:t xml:space="preserve"> </w:t>
      </w:r>
      <w:r w:rsidRPr="000D6BE5">
        <w:rPr>
          <w:i/>
          <w:iCs/>
          <w:lang w:val="en-ZA"/>
        </w:rPr>
        <w:t>Metro Projects CC &amp; Ano v Klerksdorp Local Municipality &amp; Ors</w:t>
      </w:r>
      <w:r>
        <w:rPr>
          <w:lang w:val="en-ZA"/>
        </w:rPr>
        <w:t xml:space="preserve"> 2004 (1) SA 16 (SCA) para 13.</w:t>
      </w:r>
    </w:p>
  </w:footnote>
  <w:footnote w:id="15">
    <w:p w14:paraId="15532260" w14:textId="1EB69846" w:rsidR="008861E6" w:rsidRPr="008861E6" w:rsidRDefault="008861E6">
      <w:pPr>
        <w:pStyle w:val="FootnoteText"/>
        <w:rPr>
          <w:lang w:val="en-ZA"/>
        </w:rPr>
      </w:pPr>
      <w:r>
        <w:rPr>
          <w:rStyle w:val="FootnoteReference"/>
        </w:rPr>
        <w:footnoteRef/>
      </w:r>
      <w:r>
        <w:t xml:space="preserve"> </w:t>
      </w:r>
      <w:r w:rsidRPr="008861E6">
        <w:rPr>
          <w:i/>
          <w:iCs/>
          <w:lang w:val="en-ZA"/>
        </w:rPr>
        <w:t xml:space="preserve">AllPay </w:t>
      </w:r>
      <w:r>
        <w:rPr>
          <w:lang w:val="en-ZA"/>
        </w:rPr>
        <w:t>n 9 para 43.</w:t>
      </w:r>
    </w:p>
  </w:footnote>
  <w:footnote w:id="16">
    <w:p w14:paraId="497C5C80" w14:textId="6A299D47" w:rsidR="004E14E7" w:rsidRPr="004E14E7" w:rsidRDefault="004E14E7">
      <w:pPr>
        <w:pStyle w:val="FootnoteText"/>
        <w:rPr>
          <w:lang w:val="en-ZA"/>
        </w:rPr>
      </w:pPr>
      <w:r>
        <w:rPr>
          <w:rStyle w:val="FootnoteReference"/>
        </w:rPr>
        <w:footnoteRef/>
      </w:r>
      <w:r>
        <w:t xml:space="preserve"> </w:t>
      </w:r>
      <w:r w:rsidRPr="00FD6F67">
        <w:rPr>
          <w:i/>
          <w:iCs/>
          <w:lang w:val="en-ZA"/>
        </w:rPr>
        <w:t>Airports Company South Africa SOC Ltd v Imperial Group Ltd</w:t>
      </w:r>
      <w:r>
        <w:rPr>
          <w:lang w:val="en-ZA"/>
        </w:rPr>
        <w:t xml:space="preserve"> 2020 (4) SA 17 (SCA)</w:t>
      </w:r>
      <w:r w:rsidR="004B0F84">
        <w:rPr>
          <w:lang w:val="en-ZA"/>
        </w:rPr>
        <w:t>.</w:t>
      </w:r>
      <w:r>
        <w:rPr>
          <w:lang w:val="en-ZA"/>
        </w:rPr>
        <w:t xml:space="preserve"> </w:t>
      </w:r>
    </w:p>
  </w:footnote>
  <w:footnote w:id="17">
    <w:p w14:paraId="1CAE7CD7" w14:textId="557BFF71" w:rsidR="004E14E7" w:rsidRPr="00B86415" w:rsidRDefault="004E14E7" w:rsidP="004E14E7">
      <w:pPr>
        <w:pStyle w:val="FootnoteText"/>
        <w:rPr>
          <w:lang w:val="en-ZA"/>
        </w:rPr>
      </w:pPr>
      <w:r>
        <w:rPr>
          <w:rStyle w:val="FootnoteReference"/>
        </w:rPr>
        <w:footnoteRef/>
      </w:r>
      <w:r>
        <w:t xml:space="preserve"> </w:t>
      </w:r>
      <w:r w:rsidRPr="00B86415">
        <w:rPr>
          <w:i/>
          <w:iCs/>
          <w:lang w:val="en-ZA"/>
        </w:rPr>
        <w:t>SMEC South Africa (Pty) Ltd v The City of Cape Town &amp; Ors</w:t>
      </w:r>
      <w:r>
        <w:rPr>
          <w:lang w:val="en-ZA"/>
        </w:rPr>
        <w:t xml:space="preserve"> (WCD 8277/21,14097</w:t>
      </w:r>
      <w:r w:rsidR="004B0F84">
        <w:rPr>
          <w:lang w:val="en-ZA"/>
        </w:rPr>
        <w:t>/</w:t>
      </w:r>
      <w:r>
        <w:rPr>
          <w:lang w:val="en-ZA"/>
        </w:rPr>
        <w:t>21) [</w:t>
      </w:r>
      <w:r w:rsidR="004B0F84">
        <w:rPr>
          <w:lang w:val="en-ZA"/>
        </w:rPr>
        <w:t>2022</w:t>
      </w:r>
      <w:r>
        <w:rPr>
          <w:lang w:val="en-ZA"/>
        </w:rPr>
        <w:t xml:space="preserve">] </w:t>
      </w:r>
      <w:r w:rsidR="004B0F84">
        <w:rPr>
          <w:lang w:val="en-ZA"/>
        </w:rPr>
        <w:t xml:space="preserve">ZAWCHC 131 </w:t>
      </w:r>
      <w:r>
        <w:rPr>
          <w:lang w:val="en-ZA"/>
        </w:rPr>
        <w:t>para 9</w:t>
      </w:r>
      <w:r w:rsidR="00932746">
        <w:rPr>
          <w:lang w:val="en-ZA"/>
        </w:rPr>
        <w:t>2</w:t>
      </w:r>
      <w:r>
        <w:rPr>
          <w:lang w:val="en-ZA"/>
        </w:rPr>
        <w:t xml:space="preserve">.   </w:t>
      </w:r>
    </w:p>
  </w:footnote>
  <w:footnote w:id="18">
    <w:p w14:paraId="2BDDD245" w14:textId="7CA1D6B1" w:rsidR="004B0F84" w:rsidRPr="004B0F84" w:rsidRDefault="004B0F84">
      <w:pPr>
        <w:pStyle w:val="FootnoteText"/>
        <w:rPr>
          <w:lang w:val="en-ZA"/>
        </w:rPr>
      </w:pPr>
      <w:r>
        <w:rPr>
          <w:rStyle w:val="FootnoteReference"/>
        </w:rPr>
        <w:footnoteRef/>
      </w:r>
      <w:r>
        <w:t xml:space="preserve"> </w:t>
      </w:r>
      <w:r w:rsidRPr="004B0F84">
        <w:rPr>
          <w:i/>
          <w:iCs/>
          <w:lang w:val="en-ZA"/>
        </w:rPr>
        <w:t>IN2IT Tech (Pty) Ltd v Gijima Holdings (Pty) Ltd &amp; Ors</w:t>
      </w:r>
      <w:r>
        <w:rPr>
          <w:lang w:val="en-ZA"/>
        </w:rPr>
        <w:t xml:space="preserve"> [2023] ZAGPJHC 478 para </w:t>
      </w:r>
      <w:r w:rsidR="00791E97">
        <w:rPr>
          <w:lang w:val="en-ZA"/>
        </w:rPr>
        <w:t>39</w:t>
      </w:r>
      <w:r>
        <w:rPr>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33087"/>
      <w:docPartObj>
        <w:docPartGallery w:val="Page Numbers (Top of Page)"/>
        <w:docPartUnique/>
      </w:docPartObj>
    </w:sdtPr>
    <w:sdtEndPr>
      <w:rPr>
        <w:noProof/>
      </w:rPr>
    </w:sdtEndPr>
    <w:sdtContent>
      <w:p w14:paraId="7BFF2441" w14:textId="6B73EB70" w:rsidR="00A61613" w:rsidRDefault="00A61613">
        <w:pPr>
          <w:pStyle w:val="Header"/>
          <w:jc w:val="right"/>
        </w:pPr>
        <w:r>
          <w:fldChar w:fldCharType="begin"/>
        </w:r>
        <w:r>
          <w:instrText xml:space="preserve"> PAGE   \* MERGEFORMAT </w:instrText>
        </w:r>
        <w:r>
          <w:fldChar w:fldCharType="separate"/>
        </w:r>
        <w:r w:rsidR="00A23655">
          <w:rPr>
            <w:noProof/>
          </w:rPr>
          <w:t>2</w:t>
        </w:r>
        <w:r>
          <w:rPr>
            <w:noProof/>
          </w:rPr>
          <w:fldChar w:fldCharType="end"/>
        </w:r>
      </w:p>
    </w:sdtContent>
  </w:sdt>
  <w:p w14:paraId="5F2124FF" w14:textId="77777777" w:rsidR="00A61613" w:rsidRDefault="00A616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F6890"/>
    <w:multiLevelType w:val="multilevel"/>
    <w:tmpl w:val="AAE80A9E"/>
    <w:lvl w:ilvl="0">
      <w:start w:val="1"/>
      <w:numFmt w:val="decimal"/>
      <w:lvlText w:val="%1."/>
      <w:lvlJc w:val="left"/>
      <w:pPr>
        <w:ind w:left="720" w:hanging="360"/>
      </w:pPr>
      <w:rPr>
        <w:rFonts w:ascii="Arial" w:hAnsi="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DF6"/>
    <w:rsid w:val="00012997"/>
    <w:rsid w:val="00033D2E"/>
    <w:rsid w:val="000346EF"/>
    <w:rsid w:val="000A65C5"/>
    <w:rsid w:val="000A7DEB"/>
    <w:rsid w:val="000D04D5"/>
    <w:rsid w:val="000D6BE5"/>
    <w:rsid w:val="000E2C8B"/>
    <w:rsid w:val="000F2A58"/>
    <w:rsid w:val="00114DDD"/>
    <w:rsid w:val="00115837"/>
    <w:rsid w:val="0011664D"/>
    <w:rsid w:val="00126354"/>
    <w:rsid w:val="00126A82"/>
    <w:rsid w:val="00140EB5"/>
    <w:rsid w:val="00142C87"/>
    <w:rsid w:val="00155E54"/>
    <w:rsid w:val="001A160F"/>
    <w:rsid w:val="001B2A90"/>
    <w:rsid w:val="001C3517"/>
    <w:rsid w:val="001D1040"/>
    <w:rsid w:val="001D13A0"/>
    <w:rsid w:val="001F55D5"/>
    <w:rsid w:val="00207DDE"/>
    <w:rsid w:val="00212982"/>
    <w:rsid w:val="0021601E"/>
    <w:rsid w:val="0022000C"/>
    <w:rsid w:val="00230F27"/>
    <w:rsid w:val="0024727D"/>
    <w:rsid w:val="002502BA"/>
    <w:rsid w:val="00265997"/>
    <w:rsid w:val="002756B8"/>
    <w:rsid w:val="00281D48"/>
    <w:rsid w:val="00293B1A"/>
    <w:rsid w:val="002B047A"/>
    <w:rsid w:val="002C7D3D"/>
    <w:rsid w:val="002E7054"/>
    <w:rsid w:val="002E71A0"/>
    <w:rsid w:val="003142D3"/>
    <w:rsid w:val="00387328"/>
    <w:rsid w:val="00387DDC"/>
    <w:rsid w:val="00394B25"/>
    <w:rsid w:val="003B3ECD"/>
    <w:rsid w:val="003D5F0A"/>
    <w:rsid w:val="00400CAE"/>
    <w:rsid w:val="00412869"/>
    <w:rsid w:val="00435A5E"/>
    <w:rsid w:val="00447127"/>
    <w:rsid w:val="00473985"/>
    <w:rsid w:val="004934EB"/>
    <w:rsid w:val="004B0F84"/>
    <w:rsid w:val="004C7312"/>
    <w:rsid w:val="004E018B"/>
    <w:rsid w:val="004E14E7"/>
    <w:rsid w:val="004F1928"/>
    <w:rsid w:val="004F4122"/>
    <w:rsid w:val="0051270B"/>
    <w:rsid w:val="005275B9"/>
    <w:rsid w:val="00564C12"/>
    <w:rsid w:val="0057041D"/>
    <w:rsid w:val="005828DF"/>
    <w:rsid w:val="0059437D"/>
    <w:rsid w:val="005A08C3"/>
    <w:rsid w:val="005C678C"/>
    <w:rsid w:val="005E18E7"/>
    <w:rsid w:val="00620570"/>
    <w:rsid w:val="006425F2"/>
    <w:rsid w:val="00664F58"/>
    <w:rsid w:val="0068046D"/>
    <w:rsid w:val="006A337E"/>
    <w:rsid w:val="006A50B6"/>
    <w:rsid w:val="006A62C2"/>
    <w:rsid w:val="006B2F74"/>
    <w:rsid w:val="006F5BE0"/>
    <w:rsid w:val="007030CD"/>
    <w:rsid w:val="00705621"/>
    <w:rsid w:val="00712338"/>
    <w:rsid w:val="00723FB7"/>
    <w:rsid w:val="0072657E"/>
    <w:rsid w:val="00733F1F"/>
    <w:rsid w:val="00740297"/>
    <w:rsid w:val="00743C32"/>
    <w:rsid w:val="00755E57"/>
    <w:rsid w:val="00791E97"/>
    <w:rsid w:val="007A5458"/>
    <w:rsid w:val="007B3C8B"/>
    <w:rsid w:val="007B56BC"/>
    <w:rsid w:val="007E1BD6"/>
    <w:rsid w:val="007E3DE3"/>
    <w:rsid w:val="007E5501"/>
    <w:rsid w:val="007E7EE9"/>
    <w:rsid w:val="008230EF"/>
    <w:rsid w:val="00836E4B"/>
    <w:rsid w:val="008567E2"/>
    <w:rsid w:val="008861E6"/>
    <w:rsid w:val="00892018"/>
    <w:rsid w:val="008A50B0"/>
    <w:rsid w:val="008A6206"/>
    <w:rsid w:val="008A7515"/>
    <w:rsid w:val="008B3A15"/>
    <w:rsid w:val="008C1A4B"/>
    <w:rsid w:val="008E7B94"/>
    <w:rsid w:val="008F3BA2"/>
    <w:rsid w:val="00913C81"/>
    <w:rsid w:val="00932746"/>
    <w:rsid w:val="00956DB9"/>
    <w:rsid w:val="009659CD"/>
    <w:rsid w:val="009804F6"/>
    <w:rsid w:val="009845BB"/>
    <w:rsid w:val="0099161D"/>
    <w:rsid w:val="00993B96"/>
    <w:rsid w:val="009963CA"/>
    <w:rsid w:val="009B1CE9"/>
    <w:rsid w:val="009D2DF6"/>
    <w:rsid w:val="00A06842"/>
    <w:rsid w:val="00A23655"/>
    <w:rsid w:val="00A30926"/>
    <w:rsid w:val="00A435F3"/>
    <w:rsid w:val="00A61613"/>
    <w:rsid w:val="00A72B12"/>
    <w:rsid w:val="00AB4BE0"/>
    <w:rsid w:val="00AE3922"/>
    <w:rsid w:val="00B03BC6"/>
    <w:rsid w:val="00B23CDB"/>
    <w:rsid w:val="00B42BF0"/>
    <w:rsid w:val="00B515BD"/>
    <w:rsid w:val="00B65F76"/>
    <w:rsid w:val="00B76079"/>
    <w:rsid w:val="00B86415"/>
    <w:rsid w:val="00BB2E90"/>
    <w:rsid w:val="00BC19C3"/>
    <w:rsid w:val="00BD4BA8"/>
    <w:rsid w:val="00BF3BBF"/>
    <w:rsid w:val="00C04DD0"/>
    <w:rsid w:val="00C05D0D"/>
    <w:rsid w:val="00C110C7"/>
    <w:rsid w:val="00C52DE2"/>
    <w:rsid w:val="00C643AE"/>
    <w:rsid w:val="00C71420"/>
    <w:rsid w:val="00C832ED"/>
    <w:rsid w:val="00CA2A47"/>
    <w:rsid w:val="00CD6429"/>
    <w:rsid w:val="00CE0A21"/>
    <w:rsid w:val="00D0226C"/>
    <w:rsid w:val="00D1213F"/>
    <w:rsid w:val="00D1736A"/>
    <w:rsid w:val="00D30589"/>
    <w:rsid w:val="00D35045"/>
    <w:rsid w:val="00D41D41"/>
    <w:rsid w:val="00D71486"/>
    <w:rsid w:val="00D8129D"/>
    <w:rsid w:val="00D94A86"/>
    <w:rsid w:val="00DA3317"/>
    <w:rsid w:val="00DD13B5"/>
    <w:rsid w:val="00DE3BCC"/>
    <w:rsid w:val="00DF3606"/>
    <w:rsid w:val="00E11861"/>
    <w:rsid w:val="00E1710A"/>
    <w:rsid w:val="00E3130B"/>
    <w:rsid w:val="00E56E8A"/>
    <w:rsid w:val="00E90A30"/>
    <w:rsid w:val="00E96916"/>
    <w:rsid w:val="00EB4EFF"/>
    <w:rsid w:val="00EF4D3D"/>
    <w:rsid w:val="00F0452F"/>
    <w:rsid w:val="00F758B4"/>
    <w:rsid w:val="00F80BA8"/>
    <w:rsid w:val="00F901A3"/>
    <w:rsid w:val="00FD23E7"/>
    <w:rsid w:val="00FD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ADCB"/>
  <w15:docId w15:val="{8AD21C4F-44DB-4056-9F2F-C2D687A0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D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2D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2D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2D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2D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2D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2D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2D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2D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D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2D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2D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2D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2D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2D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2D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2D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2DF6"/>
    <w:rPr>
      <w:rFonts w:eastAsiaTheme="majorEastAsia" w:cstheme="majorBidi"/>
      <w:color w:val="272727" w:themeColor="text1" w:themeTint="D8"/>
    </w:rPr>
  </w:style>
  <w:style w:type="paragraph" w:styleId="Title">
    <w:name w:val="Title"/>
    <w:basedOn w:val="Normal"/>
    <w:next w:val="Normal"/>
    <w:link w:val="TitleChar"/>
    <w:uiPriority w:val="10"/>
    <w:qFormat/>
    <w:rsid w:val="009D2D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D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2D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2D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2DF6"/>
    <w:pPr>
      <w:spacing w:before="160"/>
      <w:jc w:val="center"/>
    </w:pPr>
    <w:rPr>
      <w:i/>
      <w:iCs/>
      <w:color w:val="404040" w:themeColor="text1" w:themeTint="BF"/>
    </w:rPr>
  </w:style>
  <w:style w:type="character" w:customStyle="1" w:styleId="QuoteChar">
    <w:name w:val="Quote Char"/>
    <w:basedOn w:val="DefaultParagraphFont"/>
    <w:link w:val="Quote"/>
    <w:uiPriority w:val="29"/>
    <w:rsid w:val="009D2DF6"/>
    <w:rPr>
      <w:i/>
      <w:iCs/>
      <w:color w:val="404040" w:themeColor="text1" w:themeTint="BF"/>
    </w:rPr>
  </w:style>
  <w:style w:type="paragraph" w:styleId="ListParagraph">
    <w:name w:val="List Paragraph"/>
    <w:basedOn w:val="Normal"/>
    <w:uiPriority w:val="34"/>
    <w:qFormat/>
    <w:rsid w:val="009D2DF6"/>
    <w:pPr>
      <w:ind w:left="720"/>
      <w:contextualSpacing/>
    </w:pPr>
  </w:style>
  <w:style w:type="character" w:styleId="IntenseEmphasis">
    <w:name w:val="Intense Emphasis"/>
    <w:basedOn w:val="DefaultParagraphFont"/>
    <w:uiPriority w:val="21"/>
    <w:qFormat/>
    <w:rsid w:val="009D2DF6"/>
    <w:rPr>
      <w:i/>
      <w:iCs/>
      <w:color w:val="0F4761" w:themeColor="accent1" w:themeShade="BF"/>
    </w:rPr>
  </w:style>
  <w:style w:type="paragraph" w:styleId="IntenseQuote">
    <w:name w:val="Intense Quote"/>
    <w:basedOn w:val="Normal"/>
    <w:next w:val="Normal"/>
    <w:link w:val="IntenseQuoteChar"/>
    <w:uiPriority w:val="30"/>
    <w:qFormat/>
    <w:rsid w:val="009D2D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2DF6"/>
    <w:rPr>
      <w:i/>
      <w:iCs/>
      <w:color w:val="0F4761" w:themeColor="accent1" w:themeShade="BF"/>
    </w:rPr>
  </w:style>
  <w:style w:type="character" w:styleId="IntenseReference">
    <w:name w:val="Intense Reference"/>
    <w:basedOn w:val="DefaultParagraphFont"/>
    <w:uiPriority w:val="32"/>
    <w:qFormat/>
    <w:rsid w:val="009D2DF6"/>
    <w:rPr>
      <w:b/>
      <w:bCs/>
      <w:smallCaps/>
      <w:color w:val="0F4761" w:themeColor="accent1" w:themeShade="BF"/>
      <w:spacing w:val="5"/>
    </w:rPr>
  </w:style>
  <w:style w:type="paragraph" w:styleId="FootnoteText">
    <w:name w:val="footnote text"/>
    <w:basedOn w:val="Normal"/>
    <w:link w:val="FootnoteTextChar"/>
    <w:uiPriority w:val="99"/>
    <w:semiHidden/>
    <w:unhideWhenUsed/>
    <w:rsid w:val="009D2DF6"/>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9D2DF6"/>
    <w:rPr>
      <w:kern w:val="0"/>
      <w:sz w:val="20"/>
      <w:szCs w:val="20"/>
      <w14:ligatures w14:val="none"/>
    </w:rPr>
  </w:style>
  <w:style w:type="character" w:styleId="FootnoteReference">
    <w:name w:val="footnote reference"/>
    <w:basedOn w:val="DefaultParagraphFont"/>
    <w:uiPriority w:val="99"/>
    <w:unhideWhenUsed/>
    <w:rsid w:val="009D2DF6"/>
    <w:rPr>
      <w:vertAlign w:val="superscript"/>
    </w:rPr>
  </w:style>
  <w:style w:type="paragraph" w:styleId="Header">
    <w:name w:val="header"/>
    <w:basedOn w:val="Normal"/>
    <w:link w:val="HeaderChar"/>
    <w:uiPriority w:val="99"/>
    <w:unhideWhenUsed/>
    <w:rsid w:val="00A6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13"/>
  </w:style>
  <w:style w:type="paragraph" w:styleId="Footer">
    <w:name w:val="footer"/>
    <w:basedOn w:val="Normal"/>
    <w:link w:val="FooterChar"/>
    <w:uiPriority w:val="99"/>
    <w:unhideWhenUsed/>
    <w:rsid w:val="00A6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5406</Words>
  <Characters>30816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Mary Bruce</cp:lastModifiedBy>
  <cp:revision>3</cp:revision>
  <dcterms:created xsi:type="dcterms:W3CDTF">2024-03-27T07:57:00Z</dcterms:created>
  <dcterms:modified xsi:type="dcterms:W3CDTF">2024-03-28T15:55:00Z</dcterms:modified>
</cp:coreProperties>
</file>