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1D8" w14:textId="06F73FF3" w:rsidR="00DA0FA6" w:rsidRDefault="009A2D87" w:rsidP="00E5680E">
      <w:pPr>
        <w:spacing w:line="360" w:lineRule="auto"/>
        <w:jc w:val="center"/>
        <w:rPr>
          <w:rFonts w:ascii="Century Gothic" w:eastAsia="Arial" w:hAnsi="Century Gothic" w:cs="Arial"/>
          <w:b/>
          <w:bCs/>
          <w:sz w:val="28"/>
          <w:szCs w:val="28"/>
          <w:lang w:val="en-ZA"/>
        </w:rPr>
      </w:pPr>
      <w:r>
        <w:rPr>
          <w:noProof/>
        </w:rPr>
        <w:object w:dxaOrig="2267" w:dyaOrig="2267" w14:anchorId="6A6A316E">
          <v:rect id="rectole0000000000" o:spid="_x0000_i1025" alt="" style="width:116pt;height:116pt;mso-width-percent:0;mso-height-percent:0;mso-width-percent:0;mso-height-percent:0" o:ole="" o:preferrelative="t" stroked="f">
            <v:imagedata r:id="rId8" o:title=""/>
          </v:rect>
          <o:OLEObject Type="Embed" ProgID="StaticMetafile" ShapeID="rectole0000000000" DrawAspect="Content" ObjectID="_1775991401" r:id="rId9"/>
        </w:object>
      </w:r>
    </w:p>
    <w:p w14:paraId="2241D5FC" w14:textId="485327EE" w:rsidR="00E5680E" w:rsidRPr="003F0C79" w:rsidRDefault="00E5680E" w:rsidP="00E5680E">
      <w:pPr>
        <w:spacing w:line="360" w:lineRule="auto"/>
        <w:jc w:val="center"/>
        <w:rPr>
          <w:rFonts w:ascii="Century Gothic" w:eastAsia="Arial" w:hAnsi="Century Gothic" w:cs="Arial"/>
          <w:b/>
          <w:bCs/>
          <w:sz w:val="28"/>
          <w:szCs w:val="28"/>
          <w:lang w:val="en-ZA"/>
        </w:rPr>
      </w:pPr>
      <w:r w:rsidRPr="003F0C79">
        <w:rPr>
          <w:rFonts w:ascii="Century Gothic" w:eastAsia="Arial" w:hAnsi="Century Gothic" w:cs="Arial"/>
          <w:b/>
          <w:bCs/>
          <w:sz w:val="28"/>
          <w:szCs w:val="28"/>
          <w:lang w:val="en-ZA"/>
        </w:rPr>
        <w:t>IN THE HIGH COURT OF SOUTH AFRICA</w:t>
      </w:r>
    </w:p>
    <w:p w14:paraId="52BAEA4E" w14:textId="77777777" w:rsidR="00E5680E" w:rsidRPr="003F0C79" w:rsidRDefault="00E5680E" w:rsidP="00E5680E">
      <w:pPr>
        <w:spacing w:line="360" w:lineRule="auto"/>
        <w:jc w:val="center"/>
        <w:rPr>
          <w:rFonts w:ascii="Century Gothic" w:eastAsia="Arial" w:hAnsi="Century Gothic" w:cs="Arial"/>
          <w:b/>
          <w:bCs/>
          <w:lang w:val="en-ZA"/>
        </w:rPr>
      </w:pPr>
      <w:r w:rsidRPr="003F0C79">
        <w:rPr>
          <w:rFonts w:ascii="Century Gothic" w:eastAsia="Arial" w:hAnsi="Century Gothic" w:cs="Arial"/>
          <w:b/>
          <w:bCs/>
          <w:sz w:val="28"/>
          <w:szCs w:val="28"/>
          <w:lang w:val="en-ZA"/>
        </w:rPr>
        <w:t>(WESTERN CAPE DIVISION, CAPE TOWN</w:t>
      </w:r>
      <w:r w:rsidRPr="003F0C79">
        <w:rPr>
          <w:rFonts w:ascii="Century Gothic" w:eastAsia="Arial" w:hAnsi="Century Gothic" w:cs="Arial"/>
          <w:b/>
          <w:bCs/>
          <w:lang w:val="en-ZA"/>
        </w:rPr>
        <w:t>)</w:t>
      </w:r>
    </w:p>
    <w:p w14:paraId="67BB904B" w14:textId="77777777" w:rsidR="00E5680E" w:rsidRPr="003F0C79" w:rsidRDefault="00E5680E" w:rsidP="00E5680E">
      <w:pPr>
        <w:spacing w:line="360" w:lineRule="auto"/>
        <w:jc w:val="center"/>
        <w:rPr>
          <w:rFonts w:ascii="Century Gothic" w:eastAsia="Arial" w:hAnsi="Century Gothic" w:cs="Arial"/>
          <w:b/>
          <w:bCs/>
          <w:lang w:val="en-ZA"/>
        </w:rPr>
      </w:pPr>
    </w:p>
    <w:tbl>
      <w:tblPr>
        <w:tblW w:w="0" w:type="auto"/>
        <w:tblLook w:val="04A0" w:firstRow="1" w:lastRow="0" w:firstColumn="1" w:lastColumn="0" w:noHBand="0" w:noVBand="1"/>
      </w:tblPr>
      <w:tblGrid>
        <w:gridCol w:w="5392"/>
        <w:gridCol w:w="589"/>
        <w:gridCol w:w="3045"/>
      </w:tblGrid>
      <w:tr w:rsidR="00E5680E" w:rsidRPr="003F0C79" w14:paraId="3CD65BA2" w14:textId="77777777" w:rsidTr="00EC5A09">
        <w:tc>
          <w:tcPr>
            <w:tcW w:w="5495" w:type="dxa"/>
          </w:tcPr>
          <w:p w14:paraId="219B84E9" w14:textId="77777777" w:rsidR="00E5680E" w:rsidRPr="003F0C79" w:rsidRDefault="00E5680E" w:rsidP="00EC5A09">
            <w:pPr>
              <w:spacing w:line="276" w:lineRule="auto"/>
              <w:jc w:val="right"/>
              <w:rPr>
                <w:rFonts w:ascii="Century Gothic" w:hAnsi="Century Gothic" w:cs="Arial"/>
                <w:b/>
                <w:lang w:val="en-ZA"/>
              </w:rPr>
            </w:pPr>
          </w:p>
        </w:tc>
        <w:tc>
          <w:tcPr>
            <w:tcW w:w="3685" w:type="dxa"/>
            <w:gridSpan w:val="2"/>
            <w:hideMark/>
          </w:tcPr>
          <w:p w14:paraId="66469531" w14:textId="77777777" w:rsidR="00E5680E" w:rsidRPr="003F0C79" w:rsidRDefault="00E5680E" w:rsidP="00EC5A09">
            <w:pPr>
              <w:spacing w:line="276" w:lineRule="auto"/>
              <w:jc w:val="right"/>
              <w:rPr>
                <w:rFonts w:ascii="Century Gothic" w:hAnsi="Century Gothic" w:cs="Arial"/>
                <w:lang w:val="en-ZA"/>
              </w:rPr>
            </w:pPr>
            <w:r w:rsidRPr="003F0C79">
              <w:rPr>
                <w:rFonts w:ascii="Century Gothic" w:hAnsi="Century Gothic" w:cs="Arial"/>
                <w:lang w:val="en-ZA"/>
              </w:rPr>
              <w:t xml:space="preserve">Case Number: </w:t>
            </w:r>
            <w:r w:rsidRPr="003F0C79">
              <w:rPr>
                <w:rFonts w:ascii="Century Gothic" w:hAnsi="Century Gothic" w:cs="Arial"/>
                <w:b/>
                <w:lang w:val="en-ZA"/>
              </w:rPr>
              <w:t xml:space="preserve"> 20345/2022</w:t>
            </w:r>
          </w:p>
        </w:tc>
      </w:tr>
      <w:tr w:rsidR="00E5680E" w:rsidRPr="003F0C79" w14:paraId="4FDE9122" w14:textId="77777777" w:rsidTr="00EC5A09">
        <w:tc>
          <w:tcPr>
            <w:tcW w:w="6096" w:type="dxa"/>
            <w:gridSpan w:val="2"/>
            <w:hideMark/>
          </w:tcPr>
          <w:p w14:paraId="06861FBC" w14:textId="77777777" w:rsidR="00E5680E" w:rsidRPr="003F0C79" w:rsidRDefault="00E5680E" w:rsidP="00EC5A09">
            <w:pPr>
              <w:spacing w:line="276" w:lineRule="auto"/>
              <w:rPr>
                <w:rFonts w:ascii="Century Gothic" w:hAnsi="Century Gothic" w:cs="Arial"/>
                <w:lang w:val="en-ZA"/>
              </w:rPr>
            </w:pPr>
            <w:r w:rsidRPr="003F0C79">
              <w:rPr>
                <w:rFonts w:ascii="Century Gothic" w:hAnsi="Century Gothic" w:cs="Arial"/>
                <w:lang w:val="en-ZA"/>
              </w:rPr>
              <w:t>In the matter between:</w:t>
            </w:r>
          </w:p>
        </w:tc>
        <w:tc>
          <w:tcPr>
            <w:tcW w:w="3084" w:type="dxa"/>
          </w:tcPr>
          <w:p w14:paraId="627C2684" w14:textId="77777777" w:rsidR="00E5680E" w:rsidRPr="003F0C79" w:rsidRDefault="00E5680E" w:rsidP="00EC5A09">
            <w:pPr>
              <w:spacing w:line="276" w:lineRule="auto"/>
              <w:jc w:val="right"/>
              <w:rPr>
                <w:rFonts w:ascii="Century Gothic" w:hAnsi="Century Gothic" w:cs="Arial"/>
                <w:lang w:val="en-ZA"/>
              </w:rPr>
            </w:pPr>
          </w:p>
        </w:tc>
      </w:tr>
      <w:tr w:rsidR="00E5680E" w:rsidRPr="003F0C79" w14:paraId="10D46CCD" w14:textId="77777777" w:rsidTr="00EC5A09">
        <w:tc>
          <w:tcPr>
            <w:tcW w:w="6096" w:type="dxa"/>
            <w:gridSpan w:val="2"/>
          </w:tcPr>
          <w:p w14:paraId="2872B6DF" w14:textId="77777777" w:rsidR="00E5680E" w:rsidRPr="003F0C79" w:rsidRDefault="00E5680E" w:rsidP="00EC5A09">
            <w:pPr>
              <w:spacing w:line="276" w:lineRule="auto"/>
              <w:jc w:val="right"/>
              <w:rPr>
                <w:rFonts w:ascii="Century Gothic" w:hAnsi="Century Gothic" w:cs="Arial"/>
                <w:b/>
                <w:lang w:val="en-ZA"/>
              </w:rPr>
            </w:pPr>
          </w:p>
        </w:tc>
        <w:tc>
          <w:tcPr>
            <w:tcW w:w="3084" w:type="dxa"/>
          </w:tcPr>
          <w:p w14:paraId="53DE439B" w14:textId="77777777" w:rsidR="00E5680E" w:rsidRPr="003F0C79" w:rsidRDefault="00E5680E" w:rsidP="00EC5A09">
            <w:pPr>
              <w:spacing w:line="276" w:lineRule="auto"/>
              <w:jc w:val="right"/>
              <w:rPr>
                <w:rFonts w:ascii="Century Gothic" w:hAnsi="Century Gothic" w:cs="Arial"/>
                <w:lang w:val="en-ZA"/>
              </w:rPr>
            </w:pPr>
          </w:p>
        </w:tc>
      </w:tr>
      <w:tr w:rsidR="00E5680E" w:rsidRPr="003F0C79" w14:paraId="7EE9E7CD" w14:textId="77777777" w:rsidTr="00EC5A09">
        <w:tc>
          <w:tcPr>
            <w:tcW w:w="6096" w:type="dxa"/>
            <w:gridSpan w:val="2"/>
            <w:hideMark/>
          </w:tcPr>
          <w:p w14:paraId="405E9FA2" w14:textId="1E1224C2" w:rsidR="00E5680E" w:rsidRPr="003F0C79" w:rsidRDefault="00E5680E" w:rsidP="00EC5A09">
            <w:pPr>
              <w:spacing w:line="276" w:lineRule="auto"/>
              <w:rPr>
                <w:rFonts w:ascii="Century Gothic" w:hAnsi="Century Gothic" w:cs="Arial"/>
                <w:b/>
                <w:lang w:val="en-ZA"/>
              </w:rPr>
            </w:pPr>
            <w:r w:rsidRPr="003F0C79">
              <w:rPr>
                <w:rFonts w:ascii="Century Gothic" w:hAnsi="Century Gothic" w:cs="Arial"/>
                <w:b/>
                <w:lang w:val="en-ZA"/>
              </w:rPr>
              <w:t>DARK FIBRE AFRICA (PTY) LTD</w:t>
            </w:r>
          </w:p>
        </w:tc>
        <w:tc>
          <w:tcPr>
            <w:tcW w:w="3084" w:type="dxa"/>
            <w:hideMark/>
          </w:tcPr>
          <w:p w14:paraId="091ED54F" w14:textId="77777777" w:rsidR="00E5680E" w:rsidRPr="003F0C79" w:rsidRDefault="00E5680E" w:rsidP="00EC5A09">
            <w:pPr>
              <w:spacing w:line="276" w:lineRule="auto"/>
              <w:jc w:val="right"/>
              <w:rPr>
                <w:rFonts w:ascii="Century Gothic" w:hAnsi="Century Gothic" w:cs="Arial"/>
                <w:lang w:val="en-ZA"/>
              </w:rPr>
            </w:pPr>
            <w:r w:rsidRPr="003F0C79">
              <w:rPr>
                <w:rFonts w:ascii="Century Gothic" w:hAnsi="Century Gothic" w:cs="Arial"/>
                <w:lang w:val="en-ZA"/>
              </w:rPr>
              <w:t>Applicant</w:t>
            </w:r>
          </w:p>
        </w:tc>
      </w:tr>
      <w:tr w:rsidR="00E5680E" w:rsidRPr="003F0C79" w14:paraId="21CEB0F8" w14:textId="77777777" w:rsidTr="00EC5A09">
        <w:tc>
          <w:tcPr>
            <w:tcW w:w="6096" w:type="dxa"/>
            <w:gridSpan w:val="2"/>
          </w:tcPr>
          <w:p w14:paraId="6E6E94D6" w14:textId="77777777" w:rsidR="00E5680E" w:rsidRPr="003F0C79" w:rsidRDefault="00E5680E" w:rsidP="00EC5A09">
            <w:pPr>
              <w:spacing w:line="256" w:lineRule="auto"/>
              <w:jc w:val="right"/>
              <w:rPr>
                <w:rFonts w:ascii="Century Gothic" w:hAnsi="Century Gothic" w:cs="Arial"/>
                <w:lang w:val="en-ZA"/>
              </w:rPr>
            </w:pPr>
          </w:p>
          <w:p w14:paraId="2350CF34" w14:textId="77777777" w:rsidR="00E5680E" w:rsidRPr="003F0C79" w:rsidRDefault="00E5680E" w:rsidP="00EC5A09">
            <w:pPr>
              <w:spacing w:line="256" w:lineRule="auto"/>
              <w:rPr>
                <w:rFonts w:ascii="Century Gothic" w:hAnsi="Century Gothic" w:cs="Arial"/>
                <w:lang w:val="en-ZA"/>
              </w:rPr>
            </w:pPr>
            <w:r w:rsidRPr="003F0C79">
              <w:rPr>
                <w:rFonts w:ascii="Century Gothic" w:hAnsi="Century Gothic" w:cs="Arial"/>
                <w:lang w:val="en-ZA"/>
              </w:rPr>
              <w:t>and</w:t>
            </w:r>
          </w:p>
          <w:p w14:paraId="6E29C24C" w14:textId="77777777" w:rsidR="00E5680E" w:rsidRPr="003F0C79" w:rsidRDefault="00E5680E" w:rsidP="00EC5A09">
            <w:pPr>
              <w:spacing w:line="256" w:lineRule="auto"/>
              <w:jc w:val="right"/>
              <w:rPr>
                <w:rFonts w:ascii="Century Gothic" w:hAnsi="Century Gothic" w:cs="Arial"/>
                <w:lang w:val="en-ZA"/>
              </w:rPr>
            </w:pPr>
          </w:p>
        </w:tc>
        <w:tc>
          <w:tcPr>
            <w:tcW w:w="3084" w:type="dxa"/>
          </w:tcPr>
          <w:p w14:paraId="530FD797" w14:textId="77777777" w:rsidR="00E5680E" w:rsidRPr="003F0C79" w:rsidRDefault="00E5680E" w:rsidP="00EC5A09">
            <w:pPr>
              <w:spacing w:line="256" w:lineRule="auto"/>
              <w:jc w:val="right"/>
              <w:rPr>
                <w:rFonts w:ascii="Century Gothic" w:hAnsi="Century Gothic" w:cs="Arial"/>
                <w:lang w:val="en-ZA"/>
              </w:rPr>
            </w:pPr>
          </w:p>
        </w:tc>
      </w:tr>
      <w:tr w:rsidR="00E5680E" w:rsidRPr="003F0C79" w14:paraId="04295D56" w14:textId="77777777" w:rsidTr="00EC5A09">
        <w:tc>
          <w:tcPr>
            <w:tcW w:w="6096" w:type="dxa"/>
            <w:gridSpan w:val="2"/>
            <w:hideMark/>
          </w:tcPr>
          <w:p w14:paraId="1167F044" w14:textId="77777777" w:rsidR="00E5680E" w:rsidRPr="003F0C79" w:rsidRDefault="00E5680E" w:rsidP="00EC5A09">
            <w:pPr>
              <w:spacing w:line="276" w:lineRule="auto"/>
              <w:rPr>
                <w:rFonts w:ascii="Century Gothic" w:hAnsi="Century Gothic" w:cs="Arial"/>
                <w:b/>
                <w:bCs/>
                <w:lang w:val="en-ZA"/>
              </w:rPr>
            </w:pPr>
            <w:r w:rsidRPr="003F0C79">
              <w:rPr>
                <w:rFonts w:ascii="Century Gothic" w:hAnsi="Century Gothic" w:cs="Arial"/>
                <w:b/>
                <w:bCs/>
                <w:lang w:val="en-ZA"/>
              </w:rPr>
              <w:t>BLUECENTRIX (PTY) LTD T/A</w:t>
            </w:r>
          </w:p>
          <w:p w14:paraId="5B790FD5" w14:textId="77777777" w:rsidR="00E5680E" w:rsidRPr="003F0C79" w:rsidRDefault="00E5680E" w:rsidP="00EC5A09">
            <w:pPr>
              <w:spacing w:line="276" w:lineRule="auto"/>
              <w:rPr>
                <w:rFonts w:ascii="Century Gothic" w:hAnsi="Century Gothic" w:cs="Arial"/>
                <w:lang w:val="en-ZA"/>
              </w:rPr>
            </w:pPr>
            <w:r w:rsidRPr="003F0C79">
              <w:rPr>
                <w:rFonts w:ascii="Century Gothic" w:hAnsi="Century Gothic" w:cs="Arial"/>
                <w:b/>
                <w:bCs/>
                <w:lang w:val="en-ZA"/>
              </w:rPr>
              <w:t>SMARTSWITCH</w:t>
            </w:r>
          </w:p>
        </w:tc>
        <w:tc>
          <w:tcPr>
            <w:tcW w:w="3084" w:type="dxa"/>
            <w:hideMark/>
          </w:tcPr>
          <w:p w14:paraId="4E6141E2" w14:textId="76117350" w:rsidR="00E5680E" w:rsidRPr="003F0C79" w:rsidRDefault="00295F9C" w:rsidP="00EC5A09">
            <w:pPr>
              <w:spacing w:line="276" w:lineRule="auto"/>
              <w:jc w:val="right"/>
              <w:rPr>
                <w:rFonts w:ascii="Century Gothic" w:hAnsi="Century Gothic" w:cs="Arial"/>
                <w:lang w:val="en-ZA"/>
              </w:rPr>
            </w:pPr>
            <w:r>
              <w:rPr>
                <w:rFonts w:ascii="Century Gothic" w:hAnsi="Century Gothic" w:cs="Arial"/>
                <w:lang w:val="en-ZA"/>
              </w:rPr>
              <w:t>Respondent</w:t>
            </w:r>
          </w:p>
        </w:tc>
      </w:tr>
      <w:tr w:rsidR="00E5680E" w:rsidRPr="003F0C79" w14:paraId="755E4304" w14:textId="77777777" w:rsidTr="00EC5A09">
        <w:tc>
          <w:tcPr>
            <w:tcW w:w="6096" w:type="dxa"/>
            <w:gridSpan w:val="2"/>
          </w:tcPr>
          <w:p w14:paraId="41EE64BD" w14:textId="77777777" w:rsidR="00E5680E" w:rsidRPr="003F0C79" w:rsidRDefault="00E5680E" w:rsidP="00EC5A09">
            <w:pPr>
              <w:spacing w:line="276" w:lineRule="auto"/>
              <w:jc w:val="both"/>
              <w:rPr>
                <w:rFonts w:ascii="Century Gothic" w:hAnsi="Century Gothic" w:cs="Arial"/>
                <w:b/>
                <w:lang w:val="en-ZA"/>
              </w:rPr>
            </w:pPr>
          </w:p>
        </w:tc>
        <w:tc>
          <w:tcPr>
            <w:tcW w:w="3084" w:type="dxa"/>
          </w:tcPr>
          <w:p w14:paraId="719B7ED9" w14:textId="77777777" w:rsidR="00E5680E" w:rsidRPr="003F0C79" w:rsidRDefault="00E5680E" w:rsidP="00EC5A09">
            <w:pPr>
              <w:spacing w:line="276" w:lineRule="auto"/>
              <w:jc w:val="right"/>
              <w:rPr>
                <w:rFonts w:ascii="Century Gothic" w:hAnsi="Century Gothic" w:cs="Arial"/>
                <w:lang w:val="en-ZA"/>
              </w:rPr>
            </w:pPr>
          </w:p>
        </w:tc>
      </w:tr>
      <w:tr w:rsidR="00E5680E" w:rsidRPr="003F0C79" w14:paraId="491045F1" w14:textId="77777777" w:rsidTr="00EC5A09">
        <w:tc>
          <w:tcPr>
            <w:tcW w:w="6096" w:type="dxa"/>
            <w:gridSpan w:val="2"/>
            <w:vAlign w:val="center"/>
          </w:tcPr>
          <w:p w14:paraId="3C3DD7C8" w14:textId="77777777" w:rsidR="00E5680E" w:rsidRPr="003F0C79" w:rsidRDefault="00E5680E" w:rsidP="00EC5A09">
            <w:pPr>
              <w:spacing w:line="276" w:lineRule="auto"/>
              <w:rPr>
                <w:rFonts w:ascii="Century Gothic" w:hAnsi="Century Gothic" w:cs="Arial"/>
                <w:bCs/>
                <w:lang w:val="en-ZA"/>
              </w:rPr>
            </w:pPr>
            <w:r w:rsidRPr="003F0C79">
              <w:rPr>
                <w:rFonts w:ascii="Century Gothic" w:hAnsi="Century Gothic" w:cs="Arial"/>
                <w:bCs/>
                <w:lang w:val="en-ZA"/>
              </w:rPr>
              <w:t>Bench: H.C. Schreuder, AJ</w:t>
            </w:r>
          </w:p>
          <w:p w14:paraId="2B8BD9B7" w14:textId="77777777" w:rsidR="00E5680E" w:rsidRPr="003F0C79" w:rsidRDefault="00E5680E" w:rsidP="00EC5A09">
            <w:pPr>
              <w:spacing w:line="276" w:lineRule="auto"/>
              <w:rPr>
                <w:rFonts w:ascii="Century Gothic" w:hAnsi="Century Gothic" w:cs="Arial"/>
                <w:bCs/>
                <w:lang w:val="en-ZA"/>
              </w:rPr>
            </w:pPr>
          </w:p>
          <w:p w14:paraId="2F2C14F4" w14:textId="77777777" w:rsidR="00E5680E" w:rsidRPr="003F0C79" w:rsidRDefault="00E5680E" w:rsidP="00EC5A09">
            <w:pPr>
              <w:spacing w:line="276" w:lineRule="auto"/>
              <w:rPr>
                <w:rFonts w:ascii="Century Gothic" w:hAnsi="Century Gothic" w:cs="Arial"/>
                <w:bCs/>
                <w:lang w:val="en-ZA"/>
              </w:rPr>
            </w:pPr>
            <w:r w:rsidRPr="003F0C79">
              <w:rPr>
                <w:rFonts w:ascii="Century Gothic" w:hAnsi="Century Gothic" w:cs="Arial"/>
                <w:bCs/>
                <w:lang w:val="en-ZA"/>
              </w:rPr>
              <w:t>Heard: 26 February 2024</w:t>
            </w:r>
          </w:p>
          <w:p w14:paraId="492C9574" w14:textId="77777777" w:rsidR="00E5680E" w:rsidRPr="003F0C79" w:rsidRDefault="00E5680E" w:rsidP="00EC5A09">
            <w:pPr>
              <w:spacing w:line="276" w:lineRule="auto"/>
              <w:rPr>
                <w:rFonts w:ascii="Century Gothic" w:hAnsi="Century Gothic" w:cs="Arial"/>
                <w:bCs/>
                <w:lang w:val="en-ZA"/>
              </w:rPr>
            </w:pPr>
          </w:p>
          <w:p w14:paraId="4E6E618D" w14:textId="1DD5CD08" w:rsidR="00E5680E" w:rsidRPr="003F0C79" w:rsidRDefault="00E5680E" w:rsidP="00EC5A09">
            <w:pPr>
              <w:spacing w:line="276" w:lineRule="auto"/>
              <w:rPr>
                <w:rFonts w:ascii="Century Gothic" w:hAnsi="Century Gothic" w:cs="Arial"/>
                <w:bCs/>
                <w:lang w:val="en-ZA"/>
              </w:rPr>
            </w:pPr>
            <w:r w:rsidRPr="003F0C79">
              <w:rPr>
                <w:rFonts w:ascii="Century Gothic" w:hAnsi="Century Gothic" w:cs="Arial"/>
                <w:bCs/>
                <w:lang w:val="en-ZA"/>
              </w:rPr>
              <w:t xml:space="preserve">Delivered: </w:t>
            </w:r>
            <w:r w:rsidR="008859ED">
              <w:rPr>
                <w:rFonts w:ascii="Century Gothic" w:hAnsi="Century Gothic" w:cs="Arial"/>
                <w:bCs/>
                <w:lang w:val="en-ZA"/>
              </w:rPr>
              <w:t>Monday,</w:t>
            </w:r>
            <w:r w:rsidR="00B4253C">
              <w:rPr>
                <w:rFonts w:ascii="Century Gothic" w:hAnsi="Century Gothic" w:cs="Arial"/>
                <w:bCs/>
                <w:lang w:val="en-ZA"/>
              </w:rPr>
              <w:t xml:space="preserve"> </w:t>
            </w:r>
            <w:r w:rsidR="001026E6">
              <w:rPr>
                <w:rFonts w:ascii="Century Gothic" w:hAnsi="Century Gothic" w:cs="Arial"/>
                <w:bCs/>
                <w:lang w:val="en-ZA"/>
              </w:rPr>
              <w:t>9</w:t>
            </w:r>
            <w:r w:rsidR="008F1149">
              <w:rPr>
                <w:rFonts w:ascii="Century Gothic" w:hAnsi="Century Gothic" w:cs="Arial"/>
                <w:bCs/>
                <w:lang w:val="en-ZA"/>
              </w:rPr>
              <w:t xml:space="preserve"> April</w:t>
            </w:r>
            <w:r w:rsidRPr="003F0C79">
              <w:rPr>
                <w:rFonts w:ascii="Century Gothic" w:hAnsi="Century Gothic" w:cs="Arial"/>
                <w:bCs/>
                <w:lang w:val="en-ZA"/>
              </w:rPr>
              <w:t xml:space="preserve"> 2024</w:t>
            </w:r>
          </w:p>
          <w:p w14:paraId="7BA132F7" w14:textId="77777777" w:rsidR="00E5680E" w:rsidRPr="003F0C79" w:rsidRDefault="00E5680E" w:rsidP="00EC5A09">
            <w:pPr>
              <w:spacing w:line="276" w:lineRule="auto"/>
              <w:rPr>
                <w:rFonts w:ascii="Century Gothic" w:hAnsi="Century Gothic" w:cs="Arial"/>
                <w:bCs/>
                <w:lang w:val="en-ZA"/>
              </w:rPr>
            </w:pPr>
          </w:p>
          <w:p w14:paraId="722D1847" w14:textId="77777777" w:rsidR="00E5680E" w:rsidRPr="003F0C79" w:rsidRDefault="00E5680E" w:rsidP="00EC5A09">
            <w:pPr>
              <w:spacing w:line="276" w:lineRule="auto"/>
              <w:rPr>
                <w:rFonts w:ascii="Century Gothic" w:hAnsi="Century Gothic" w:cs="Arial"/>
                <w:bCs/>
                <w:lang w:val="en-ZA"/>
              </w:rPr>
            </w:pPr>
          </w:p>
        </w:tc>
        <w:tc>
          <w:tcPr>
            <w:tcW w:w="3084" w:type="dxa"/>
          </w:tcPr>
          <w:p w14:paraId="47094105" w14:textId="77777777" w:rsidR="00E5680E" w:rsidRPr="003F0C79" w:rsidRDefault="00E5680E" w:rsidP="00EC5A09">
            <w:pPr>
              <w:spacing w:line="276" w:lineRule="auto"/>
              <w:jc w:val="right"/>
              <w:rPr>
                <w:rFonts w:ascii="Century Gothic" w:hAnsi="Century Gothic" w:cs="Arial"/>
                <w:lang w:val="en-ZA"/>
              </w:rPr>
            </w:pPr>
          </w:p>
        </w:tc>
      </w:tr>
    </w:tbl>
    <w:p w14:paraId="10580253" w14:textId="77777777" w:rsidR="00E5680E" w:rsidRPr="003F0C79" w:rsidRDefault="00E5680E" w:rsidP="00E5680E">
      <w:pPr>
        <w:rPr>
          <w:rFonts w:ascii="Century Gothic" w:hAnsi="Century Gothic"/>
          <w:b/>
          <w:lang w:val="en-ZA"/>
        </w:rPr>
      </w:pPr>
    </w:p>
    <w:p w14:paraId="1B5DE07A" w14:textId="1589AF94" w:rsidR="00E5680E" w:rsidRPr="003F0C79" w:rsidRDefault="00E5680E" w:rsidP="00E5680E">
      <w:pPr>
        <w:pBdr>
          <w:bottom w:val="single" w:sz="12" w:space="1" w:color="auto"/>
        </w:pBdr>
        <w:spacing w:line="360" w:lineRule="auto"/>
        <w:jc w:val="both"/>
        <w:rPr>
          <w:rFonts w:ascii="Century Gothic" w:hAnsi="Century Gothic" w:cs="Arial"/>
          <w:bCs/>
          <w:lang w:val="en-ZA"/>
        </w:rPr>
      </w:pPr>
      <w:r w:rsidRPr="003F0C79">
        <w:rPr>
          <w:rFonts w:ascii="Century Gothic" w:hAnsi="Century Gothic" w:cs="Arial"/>
          <w:bCs/>
          <w:lang w:val="en-ZA"/>
        </w:rPr>
        <w:t>The date and time for hand-down is deemed to be 1</w:t>
      </w:r>
      <w:r w:rsidR="001026E6">
        <w:rPr>
          <w:rFonts w:ascii="Century Gothic" w:hAnsi="Century Gothic" w:cs="Arial"/>
          <w:bCs/>
          <w:lang w:val="en-ZA"/>
        </w:rPr>
        <w:t>4h30</w:t>
      </w:r>
      <w:r w:rsidRPr="003F0C79">
        <w:rPr>
          <w:rFonts w:ascii="Century Gothic" w:hAnsi="Century Gothic" w:cs="Arial"/>
          <w:bCs/>
          <w:lang w:val="en-ZA"/>
        </w:rPr>
        <w:t xml:space="preserve"> on </w:t>
      </w:r>
      <w:r w:rsidR="00761CB5">
        <w:rPr>
          <w:rFonts w:ascii="Century Gothic" w:hAnsi="Century Gothic" w:cs="Arial"/>
          <w:bCs/>
          <w:lang w:val="en-ZA"/>
        </w:rPr>
        <w:t>9</w:t>
      </w:r>
      <w:r w:rsidR="00455649">
        <w:rPr>
          <w:rFonts w:ascii="Century Gothic" w:hAnsi="Century Gothic" w:cs="Arial"/>
          <w:bCs/>
          <w:lang w:val="en-ZA"/>
        </w:rPr>
        <w:t xml:space="preserve"> April</w:t>
      </w:r>
      <w:r w:rsidRPr="003F0C79">
        <w:rPr>
          <w:rFonts w:ascii="Century Gothic" w:hAnsi="Century Gothic" w:cs="Arial"/>
          <w:bCs/>
          <w:lang w:val="en-ZA"/>
        </w:rPr>
        <w:t xml:space="preserve"> 2024</w:t>
      </w:r>
      <w:r w:rsidR="000F3020">
        <w:rPr>
          <w:rFonts w:ascii="Century Gothic" w:hAnsi="Century Gothic" w:cs="Arial"/>
          <w:bCs/>
          <w:lang w:val="en-ZA"/>
        </w:rPr>
        <w:t>.</w:t>
      </w:r>
    </w:p>
    <w:p w14:paraId="7B79763E" w14:textId="77777777" w:rsidR="00E5680E" w:rsidRPr="003F0C79" w:rsidRDefault="00E5680E" w:rsidP="00E5680E">
      <w:pPr>
        <w:pBdr>
          <w:bottom w:val="single" w:sz="12" w:space="1" w:color="auto"/>
        </w:pBdr>
        <w:spacing w:line="360" w:lineRule="auto"/>
        <w:jc w:val="both"/>
        <w:rPr>
          <w:rFonts w:ascii="Century Gothic" w:eastAsia="Arial" w:hAnsi="Century Gothic" w:cs="Arial"/>
          <w:lang w:val="en-ZA"/>
        </w:rPr>
      </w:pPr>
    </w:p>
    <w:p w14:paraId="7DBA2520" w14:textId="77777777" w:rsidR="00E5680E" w:rsidRPr="003F0C79" w:rsidRDefault="00E5680E" w:rsidP="00E5680E">
      <w:pPr>
        <w:jc w:val="center"/>
        <w:rPr>
          <w:rFonts w:ascii="Century Gothic" w:hAnsi="Century Gothic"/>
          <w:b/>
          <w:lang w:val="en-ZA"/>
        </w:rPr>
      </w:pPr>
    </w:p>
    <w:p w14:paraId="692F3F86" w14:textId="77777777" w:rsidR="00E5680E" w:rsidRPr="003F0C79" w:rsidRDefault="00E5680E" w:rsidP="00E5680E">
      <w:pPr>
        <w:jc w:val="center"/>
        <w:rPr>
          <w:rFonts w:ascii="Century Gothic" w:hAnsi="Century Gothic"/>
          <w:b/>
          <w:lang w:val="en-ZA"/>
        </w:rPr>
      </w:pPr>
    </w:p>
    <w:p w14:paraId="54A4DE1B" w14:textId="09431942" w:rsidR="00E5680E" w:rsidRPr="003F0C79" w:rsidRDefault="00E5680E" w:rsidP="00E5680E">
      <w:pPr>
        <w:jc w:val="center"/>
        <w:rPr>
          <w:rFonts w:ascii="Century Gothic" w:hAnsi="Century Gothic"/>
          <w:b/>
          <w:sz w:val="28"/>
          <w:szCs w:val="28"/>
          <w:lang w:val="en-ZA"/>
        </w:rPr>
      </w:pPr>
      <w:r w:rsidRPr="003F0C79">
        <w:rPr>
          <w:rFonts w:ascii="Century Gothic" w:hAnsi="Century Gothic"/>
          <w:b/>
          <w:sz w:val="28"/>
          <w:szCs w:val="28"/>
          <w:lang w:val="en-ZA"/>
        </w:rPr>
        <w:t xml:space="preserve">JUDGMENT </w:t>
      </w:r>
    </w:p>
    <w:p w14:paraId="53E99743" w14:textId="77777777" w:rsidR="00E5680E" w:rsidRPr="003F0C79" w:rsidRDefault="00E5680E" w:rsidP="00E5680E">
      <w:pPr>
        <w:jc w:val="center"/>
        <w:rPr>
          <w:rFonts w:ascii="Century Gothic" w:hAnsi="Century Gothic"/>
          <w:b/>
          <w:lang w:val="en-ZA"/>
        </w:rPr>
      </w:pPr>
    </w:p>
    <w:p w14:paraId="435CBCEE" w14:textId="77777777" w:rsidR="00E5680E" w:rsidRPr="003F0C79" w:rsidRDefault="00E5680E" w:rsidP="00E5680E">
      <w:pPr>
        <w:pBdr>
          <w:bottom w:val="single" w:sz="12" w:space="1" w:color="auto"/>
        </w:pBdr>
        <w:jc w:val="center"/>
        <w:rPr>
          <w:rFonts w:ascii="Century Gothic" w:hAnsi="Century Gothic"/>
          <w:b/>
          <w:lang w:val="en-ZA"/>
        </w:rPr>
      </w:pPr>
    </w:p>
    <w:p w14:paraId="67D99BFB" w14:textId="77777777" w:rsidR="00E5680E" w:rsidRPr="003F0C79" w:rsidRDefault="00E5680E" w:rsidP="004E3235">
      <w:pPr>
        <w:spacing w:line="360" w:lineRule="auto"/>
        <w:jc w:val="both"/>
        <w:rPr>
          <w:rFonts w:ascii="Century Gothic" w:eastAsia="Arial" w:hAnsi="Century Gothic" w:cs="Arial"/>
          <w:sz w:val="28"/>
          <w:szCs w:val="28"/>
          <w:lang w:val="en-ZA"/>
        </w:rPr>
      </w:pPr>
    </w:p>
    <w:p w14:paraId="779309CE" w14:textId="77777777" w:rsidR="003F0C79" w:rsidRPr="003F0C79" w:rsidRDefault="003F0C79" w:rsidP="003F0C79">
      <w:pPr>
        <w:spacing w:line="480" w:lineRule="auto"/>
        <w:jc w:val="both"/>
        <w:rPr>
          <w:rFonts w:ascii="Century Gothic" w:hAnsi="Century Gothic"/>
          <w:b/>
          <w:bCs/>
          <w:lang w:val="en-ZA"/>
        </w:rPr>
      </w:pPr>
      <w:r w:rsidRPr="003F0C79">
        <w:rPr>
          <w:rFonts w:ascii="Century Gothic" w:hAnsi="Century Gothic"/>
          <w:b/>
          <w:bCs/>
          <w:lang w:val="en-ZA"/>
        </w:rPr>
        <w:t>SCHREUDER, AJ:</w:t>
      </w:r>
    </w:p>
    <w:p w14:paraId="5EEC1DAB" w14:textId="77777777" w:rsidR="003F0C79" w:rsidRPr="003F0C79" w:rsidRDefault="003F0C79" w:rsidP="003F0C79">
      <w:pPr>
        <w:spacing w:line="480" w:lineRule="auto"/>
        <w:jc w:val="both"/>
        <w:rPr>
          <w:rFonts w:ascii="Century Gothic" w:hAnsi="Century Gothic"/>
          <w:b/>
          <w:bCs/>
          <w:lang w:val="en-ZA"/>
        </w:rPr>
      </w:pPr>
    </w:p>
    <w:p w14:paraId="233B1073" w14:textId="77777777" w:rsidR="003F0C79" w:rsidRPr="003F0C79" w:rsidRDefault="003F0C79" w:rsidP="003F0C79">
      <w:pPr>
        <w:spacing w:line="480" w:lineRule="auto"/>
        <w:jc w:val="both"/>
        <w:rPr>
          <w:rFonts w:ascii="Century Gothic" w:hAnsi="Century Gothic"/>
          <w:lang w:val="en-ZA"/>
        </w:rPr>
      </w:pPr>
      <w:r w:rsidRPr="003F0C79">
        <w:rPr>
          <w:rFonts w:ascii="Century Gothic" w:hAnsi="Century Gothic"/>
          <w:lang w:val="en-ZA"/>
        </w:rPr>
        <w:lastRenderedPageBreak/>
        <w:t>INTRODUCTION</w:t>
      </w:r>
    </w:p>
    <w:p w14:paraId="2BF2D1C3" w14:textId="77777777" w:rsidR="003F0C79" w:rsidRPr="003F0C79" w:rsidRDefault="003F0C79" w:rsidP="003F0C79">
      <w:pPr>
        <w:spacing w:line="480" w:lineRule="auto"/>
        <w:jc w:val="both"/>
        <w:rPr>
          <w:rFonts w:ascii="Century Gothic" w:hAnsi="Century Gothic"/>
          <w:lang w:val="en-ZA"/>
        </w:rPr>
      </w:pPr>
    </w:p>
    <w:p w14:paraId="1D65F258" w14:textId="74982247" w:rsidR="003F0C79" w:rsidRPr="00170E73" w:rsidRDefault="00170E73" w:rsidP="0028705D">
      <w:pPr>
        <w:spacing w:line="480" w:lineRule="auto"/>
        <w:ind w:left="567" w:hanging="567"/>
        <w:jc w:val="both"/>
        <w:rPr>
          <w:rFonts w:ascii="Century Gothic" w:hAnsi="Century Gothic"/>
          <w:lang w:val="en-ZA"/>
        </w:rPr>
      </w:pPr>
      <w:r>
        <w:rPr>
          <w:rFonts w:ascii="Century Gothic" w:hAnsi="Century Gothic"/>
          <w:lang w:val="en-ZA"/>
        </w:rPr>
        <w:t>[1]</w:t>
      </w:r>
      <w:r>
        <w:rPr>
          <w:rFonts w:ascii="Century Gothic" w:hAnsi="Century Gothic"/>
          <w:lang w:val="en-ZA"/>
        </w:rPr>
        <w:tab/>
      </w:r>
      <w:r w:rsidR="003F0C79" w:rsidRPr="00170E73">
        <w:rPr>
          <w:rFonts w:ascii="Century Gothic" w:hAnsi="Century Gothic"/>
          <w:lang w:val="en-ZA"/>
        </w:rPr>
        <w:t xml:space="preserve">The </w:t>
      </w:r>
      <w:r w:rsidR="00295F9C" w:rsidRPr="00170E73">
        <w:rPr>
          <w:rFonts w:ascii="Century Gothic" w:hAnsi="Century Gothic"/>
          <w:lang w:val="en-ZA"/>
        </w:rPr>
        <w:t>respondent</w:t>
      </w:r>
      <w:r w:rsidR="003F0C79" w:rsidRPr="00170E73">
        <w:rPr>
          <w:rFonts w:ascii="Century Gothic" w:hAnsi="Century Gothic"/>
          <w:lang w:val="en-ZA"/>
        </w:rPr>
        <w:t>, B</w:t>
      </w:r>
      <w:r w:rsidR="0079046C" w:rsidRPr="00170E73">
        <w:rPr>
          <w:rFonts w:ascii="Century Gothic" w:hAnsi="Century Gothic"/>
          <w:lang w:val="en-ZA"/>
        </w:rPr>
        <w:t>luecentrix</w:t>
      </w:r>
      <w:r w:rsidR="003F0C79" w:rsidRPr="00170E73">
        <w:rPr>
          <w:rFonts w:ascii="Century Gothic" w:hAnsi="Century Gothic"/>
          <w:lang w:val="en-ZA"/>
        </w:rPr>
        <w:t xml:space="preserve"> (</w:t>
      </w:r>
      <w:r w:rsidR="0079046C" w:rsidRPr="00170E73">
        <w:rPr>
          <w:rFonts w:ascii="Century Gothic" w:hAnsi="Century Gothic"/>
          <w:lang w:val="en-ZA"/>
        </w:rPr>
        <w:t>Pty</w:t>
      </w:r>
      <w:r w:rsidR="003F0C79" w:rsidRPr="00170E73">
        <w:rPr>
          <w:rFonts w:ascii="Century Gothic" w:hAnsi="Century Gothic"/>
          <w:lang w:val="en-ZA"/>
        </w:rPr>
        <w:t xml:space="preserve">) </w:t>
      </w:r>
      <w:r w:rsidR="0079046C" w:rsidRPr="00170E73">
        <w:rPr>
          <w:rFonts w:ascii="Century Gothic" w:hAnsi="Century Gothic"/>
          <w:lang w:val="en-ZA"/>
        </w:rPr>
        <w:t>Ltd</w:t>
      </w:r>
      <w:r w:rsidR="003F0C79" w:rsidRPr="00170E73">
        <w:rPr>
          <w:rFonts w:ascii="Century Gothic" w:hAnsi="Century Gothic"/>
          <w:lang w:val="en-ZA"/>
        </w:rPr>
        <w:t xml:space="preserve"> </w:t>
      </w:r>
      <w:r w:rsidR="00941454" w:rsidRPr="00170E73">
        <w:rPr>
          <w:rFonts w:ascii="Century Gothic" w:hAnsi="Century Gothic"/>
          <w:lang w:val="en-ZA"/>
        </w:rPr>
        <w:t>t/a</w:t>
      </w:r>
      <w:r w:rsidR="003F0C79" w:rsidRPr="00170E73">
        <w:rPr>
          <w:rFonts w:ascii="Century Gothic" w:hAnsi="Century Gothic"/>
          <w:lang w:val="en-ZA"/>
        </w:rPr>
        <w:t xml:space="preserve"> S</w:t>
      </w:r>
      <w:r w:rsidR="00941454" w:rsidRPr="00170E73">
        <w:rPr>
          <w:rFonts w:ascii="Century Gothic" w:hAnsi="Century Gothic"/>
          <w:lang w:val="en-ZA"/>
        </w:rPr>
        <w:t>martswitch</w:t>
      </w:r>
      <w:r w:rsidR="003F0C79" w:rsidRPr="00170E73">
        <w:rPr>
          <w:rFonts w:ascii="Century Gothic" w:hAnsi="Century Gothic"/>
          <w:lang w:val="en-ZA"/>
        </w:rPr>
        <w:t xml:space="preserve"> (</w:t>
      </w:r>
      <w:r w:rsidR="00725168">
        <w:rPr>
          <w:rFonts w:ascii="Century Gothic" w:hAnsi="Century Gothic"/>
          <w:lang w:val="en-ZA"/>
        </w:rPr>
        <w:t>hereinafter referred to as “Bluecentrix”</w:t>
      </w:r>
      <w:r w:rsidR="003F0C79" w:rsidRPr="00170E73">
        <w:rPr>
          <w:rFonts w:ascii="Century Gothic" w:hAnsi="Century Gothic"/>
          <w:lang w:val="en-ZA"/>
        </w:rPr>
        <w:t>) was placed under a provisional order of liquidation in the hands of the Master of this court in terms of a judgment delivered on 27 July 2023</w:t>
      </w:r>
      <w:r w:rsidR="0005490D" w:rsidRPr="00170E73">
        <w:rPr>
          <w:rFonts w:ascii="Century Gothic" w:hAnsi="Century Gothic"/>
          <w:lang w:val="en-ZA"/>
        </w:rPr>
        <w:t xml:space="preserve"> by Gamble, J</w:t>
      </w:r>
      <w:r w:rsidR="003F0C79" w:rsidRPr="00170E73">
        <w:rPr>
          <w:rFonts w:ascii="Century Gothic" w:hAnsi="Century Gothic"/>
          <w:lang w:val="en-ZA"/>
        </w:rPr>
        <w:t>.</w:t>
      </w:r>
    </w:p>
    <w:p w14:paraId="6B0EDEE7" w14:textId="77777777" w:rsidR="003F0C79" w:rsidRPr="003F0C79" w:rsidRDefault="003F0C79" w:rsidP="0028705D">
      <w:pPr>
        <w:pStyle w:val="ListParagraph"/>
        <w:spacing w:line="480" w:lineRule="auto"/>
        <w:ind w:left="567" w:hanging="567"/>
        <w:jc w:val="both"/>
        <w:rPr>
          <w:rFonts w:ascii="Century Gothic" w:hAnsi="Century Gothic"/>
          <w:lang w:val="en-ZA"/>
        </w:rPr>
      </w:pPr>
    </w:p>
    <w:p w14:paraId="348A21F4" w14:textId="75B7A6E2" w:rsidR="003F0C79" w:rsidRPr="00170E73" w:rsidRDefault="00170E73" w:rsidP="0028705D">
      <w:pPr>
        <w:spacing w:line="480" w:lineRule="auto"/>
        <w:ind w:left="567" w:hanging="567"/>
        <w:jc w:val="both"/>
        <w:rPr>
          <w:rFonts w:ascii="Century Gothic" w:hAnsi="Century Gothic"/>
          <w:lang w:val="en-ZA"/>
        </w:rPr>
      </w:pPr>
      <w:r>
        <w:rPr>
          <w:rFonts w:ascii="Century Gothic" w:hAnsi="Century Gothic"/>
          <w:lang w:val="en-ZA"/>
        </w:rPr>
        <w:t>[2]</w:t>
      </w:r>
      <w:r>
        <w:rPr>
          <w:rFonts w:ascii="Century Gothic" w:hAnsi="Century Gothic"/>
          <w:lang w:val="en-ZA"/>
        </w:rPr>
        <w:tab/>
      </w:r>
      <w:r w:rsidR="003F0C79" w:rsidRPr="00170E73">
        <w:rPr>
          <w:rFonts w:ascii="Century Gothic" w:hAnsi="Century Gothic"/>
          <w:lang w:val="en-ZA"/>
        </w:rPr>
        <w:t>The application</w:t>
      </w:r>
      <w:r w:rsidR="00941454" w:rsidRPr="00170E73">
        <w:rPr>
          <w:rFonts w:ascii="Century Gothic" w:hAnsi="Century Gothic"/>
          <w:lang w:val="en-ZA"/>
        </w:rPr>
        <w:t xml:space="preserve"> for </w:t>
      </w:r>
      <w:r w:rsidR="009579D9">
        <w:rPr>
          <w:rFonts w:ascii="Century Gothic" w:hAnsi="Century Gothic"/>
          <w:lang w:val="en-ZA"/>
        </w:rPr>
        <w:t xml:space="preserve">the </w:t>
      </w:r>
      <w:r w:rsidR="00941454" w:rsidRPr="00170E73">
        <w:rPr>
          <w:rFonts w:ascii="Century Gothic" w:hAnsi="Century Gothic"/>
          <w:lang w:val="en-ZA"/>
        </w:rPr>
        <w:t>winding-up of Bluecentrix</w:t>
      </w:r>
      <w:r w:rsidR="003F0C79" w:rsidRPr="00170E73">
        <w:rPr>
          <w:rFonts w:ascii="Century Gothic" w:hAnsi="Century Gothic"/>
          <w:lang w:val="en-ZA"/>
        </w:rPr>
        <w:t xml:space="preserve"> is brought in terms of </w:t>
      </w:r>
      <w:r w:rsidR="00454551" w:rsidRPr="00170E73">
        <w:rPr>
          <w:rFonts w:ascii="Century Gothic" w:hAnsi="Century Gothic"/>
          <w:lang w:val="en-ZA"/>
        </w:rPr>
        <w:t xml:space="preserve">s </w:t>
      </w:r>
      <w:r w:rsidR="003F0C79" w:rsidRPr="00170E73">
        <w:rPr>
          <w:rFonts w:ascii="Century Gothic" w:hAnsi="Century Gothic"/>
          <w:lang w:val="en-ZA"/>
        </w:rPr>
        <w:t xml:space="preserve">344(f) read with </w:t>
      </w:r>
      <w:r w:rsidR="0005490D" w:rsidRPr="00170E73">
        <w:rPr>
          <w:rFonts w:ascii="Century Gothic" w:hAnsi="Century Gothic"/>
          <w:lang w:val="en-ZA"/>
        </w:rPr>
        <w:t>s</w:t>
      </w:r>
      <w:r w:rsidR="003F0C79" w:rsidRPr="00170E73">
        <w:rPr>
          <w:rFonts w:ascii="Century Gothic" w:hAnsi="Century Gothic"/>
          <w:lang w:val="en-ZA"/>
        </w:rPr>
        <w:t>ections 345(1)(a) and 345(1)(c) of the Companies Act, 61 of 1973 (as amended) as read with Item 9 of Schedule 5 of the Companies Act, 71 of 2008.</w:t>
      </w:r>
    </w:p>
    <w:p w14:paraId="324565FB" w14:textId="77777777" w:rsidR="003F0C79" w:rsidRPr="003F0C79" w:rsidRDefault="003F0C79" w:rsidP="0028705D">
      <w:pPr>
        <w:pStyle w:val="ListParagraph"/>
        <w:ind w:left="567" w:hanging="567"/>
        <w:rPr>
          <w:rFonts w:ascii="Century Gothic" w:hAnsi="Century Gothic"/>
          <w:lang w:val="en-ZA"/>
        </w:rPr>
      </w:pPr>
    </w:p>
    <w:p w14:paraId="2B662DF2" w14:textId="77777777" w:rsidR="003F0C79" w:rsidRPr="003F0C79" w:rsidRDefault="003F0C79" w:rsidP="0028705D">
      <w:pPr>
        <w:pStyle w:val="ListParagraph"/>
        <w:spacing w:line="480" w:lineRule="auto"/>
        <w:ind w:left="567" w:hanging="567"/>
        <w:jc w:val="both"/>
        <w:rPr>
          <w:rFonts w:ascii="Century Gothic" w:hAnsi="Century Gothic"/>
          <w:lang w:val="en-ZA"/>
        </w:rPr>
      </w:pPr>
    </w:p>
    <w:p w14:paraId="09FD55A3" w14:textId="642DAA22" w:rsidR="003F0C79" w:rsidRPr="003F0C79" w:rsidRDefault="003F0C79" w:rsidP="0028705D">
      <w:pPr>
        <w:ind w:left="567" w:hanging="567"/>
        <w:rPr>
          <w:rFonts w:ascii="Century Gothic" w:hAnsi="Century Gothic"/>
          <w:u w:val="single"/>
          <w:lang w:val="en-ZA"/>
        </w:rPr>
      </w:pPr>
      <w:r w:rsidRPr="003F0C79">
        <w:rPr>
          <w:rFonts w:ascii="Century Gothic" w:hAnsi="Century Gothic"/>
          <w:u w:val="single"/>
          <w:lang w:val="en-ZA"/>
        </w:rPr>
        <w:t xml:space="preserve">The </w:t>
      </w:r>
      <w:r w:rsidR="00AE3F9B">
        <w:rPr>
          <w:rFonts w:ascii="Century Gothic" w:hAnsi="Century Gothic"/>
          <w:u w:val="single"/>
          <w:lang w:val="en-ZA"/>
        </w:rPr>
        <w:t>provisional liquidation stage</w:t>
      </w:r>
    </w:p>
    <w:p w14:paraId="56CB14F2" w14:textId="77777777" w:rsidR="003F0C79" w:rsidRPr="003F0C79" w:rsidRDefault="003F0C79" w:rsidP="0028705D">
      <w:pPr>
        <w:ind w:left="567" w:hanging="567"/>
        <w:rPr>
          <w:rFonts w:ascii="Century Gothic" w:hAnsi="Century Gothic"/>
          <w:u w:val="single"/>
          <w:lang w:val="en-ZA"/>
        </w:rPr>
      </w:pPr>
    </w:p>
    <w:p w14:paraId="47EF73BC" w14:textId="77777777" w:rsidR="003F0C79" w:rsidRPr="003F0C79" w:rsidRDefault="003F0C79" w:rsidP="0028705D">
      <w:pPr>
        <w:ind w:left="567" w:hanging="567"/>
        <w:rPr>
          <w:rFonts w:ascii="Century Gothic" w:hAnsi="Century Gothic"/>
          <w:u w:val="single"/>
          <w:lang w:val="en-ZA"/>
        </w:rPr>
      </w:pPr>
    </w:p>
    <w:p w14:paraId="4837DBBF" w14:textId="69FB46C3" w:rsidR="003F0C79" w:rsidRPr="00170E73" w:rsidRDefault="00170E73" w:rsidP="0028705D">
      <w:pPr>
        <w:spacing w:line="480" w:lineRule="auto"/>
        <w:ind w:left="567" w:hanging="567"/>
        <w:jc w:val="both"/>
        <w:rPr>
          <w:rFonts w:ascii="Century Gothic" w:hAnsi="Century Gothic"/>
          <w:lang w:val="en-ZA"/>
        </w:rPr>
      </w:pPr>
      <w:r>
        <w:rPr>
          <w:rFonts w:ascii="Century Gothic" w:hAnsi="Century Gothic"/>
          <w:lang w:val="en-ZA"/>
        </w:rPr>
        <w:t>[3]</w:t>
      </w:r>
      <w:r>
        <w:rPr>
          <w:rFonts w:ascii="Century Gothic" w:hAnsi="Century Gothic"/>
          <w:lang w:val="en-ZA"/>
        </w:rPr>
        <w:tab/>
      </w:r>
      <w:r w:rsidR="009579D9">
        <w:rPr>
          <w:rFonts w:ascii="Century Gothic" w:hAnsi="Century Gothic"/>
          <w:lang w:val="en-ZA"/>
        </w:rPr>
        <w:t xml:space="preserve">The applicant, </w:t>
      </w:r>
      <w:r w:rsidR="003F0C79" w:rsidRPr="00170E73">
        <w:rPr>
          <w:rFonts w:ascii="Century Gothic" w:hAnsi="Century Gothic"/>
          <w:lang w:val="en-ZA"/>
        </w:rPr>
        <w:t>Dark Fibre Africa (Pty) Ltd (</w:t>
      </w:r>
      <w:r w:rsidR="00AE3F9B" w:rsidRPr="00170E73">
        <w:rPr>
          <w:rFonts w:ascii="Century Gothic" w:hAnsi="Century Gothic"/>
          <w:lang w:val="en-ZA"/>
        </w:rPr>
        <w:t xml:space="preserve">hereafter referred to as </w:t>
      </w:r>
      <w:r w:rsidR="003F0C79" w:rsidRPr="00170E73">
        <w:rPr>
          <w:rFonts w:ascii="Century Gothic" w:hAnsi="Century Gothic"/>
          <w:lang w:val="en-ZA"/>
        </w:rPr>
        <w:t>“DFA”) alleged that it provided</w:t>
      </w:r>
      <w:r w:rsidR="00AE3F9B" w:rsidRPr="00170E73">
        <w:rPr>
          <w:rFonts w:ascii="Century Gothic" w:hAnsi="Century Gothic"/>
          <w:lang w:val="en-ZA"/>
        </w:rPr>
        <w:t xml:space="preserve"> services</w:t>
      </w:r>
      <w:r w:rsidR="003F0C79" w:rsidRPr="00170E73">
        <w:rPr>
          <w:rFonts w:ascii="Century Gothic" w:hAnsi="Century Gothic"/>
          <w:lang w:val="en-ZA"/>
        </w:rPr>
        <w:t xml:space="preserve"> to Bluecentrix for the period August 2018 to July 2021</w:t>
      </w:r>
      <w:r w:rsidR="009579D9">
        <w:rPr>
          <w:rFonts w:ascii="Century Gothic" w:hAnsi="Century Gothic"/>
          <w:lang w:val="en-ZA"/>
        </w:rPr>
        <w:t>,</w:t>
      </w:r>
      <w:r w:rsidR="003F0C79" w:rsidRPr="00170E73">
        <w:rPr>
          <w:rFonts w:ascii="Century Gothic" w:hAnsi="Century Gothic"/>
          <w:lang w:val="en-ZA"/>
        </w:rPr>
        <w:t xml:space="preserve"> for which it rendered invoices. Bluecentrix</w:t>
      </w:r>
      <w:r w:rsidR="002B7001" w:rsidRPr="00170E73">
        <w:rPr>
          <w:rFonts w:ascii="Century Gothic" w:hAnsi="Century Gothic"/>
          <w:lang w:val="en-ZA"/>
        </w:rPr>
        <w:t xml:space="preserve"> allegedly</w:t>
      </w:r>
      <w:r w:rsidR="003F0C79" w:rsidRPr="00170E73">
        <w:rPr>
          <w:rFonts w:ascii="Century Gothic" w:hAnsi="Century Gothic"/>
          <w:lang w:val="en-ZA"/>
        </w:rPr>
        <w:t xml:space="preserve"> fell behind on making payments as a consequence of which the parties engaged in negotiations over a lengthy period to reach a payment arrangement acceptable to DFA.  However, on 24 February 2021, Bluecentrix’s Mr Mau van der Mescht (“van der Mescht”) wrote to DFA in an email on which he copied in, </w:t>
      </w:r>
      <w:r w:rsidR="003F0C79" w:rsidRPr="00170E73">
        <w:rPr>
          <w:rFonts w:ascii="Century Gothic" w:hAnsi="Century Gothic"/>
          <w:i/>
          <w:iCs/>
          <w:lang w:val="en-ZA"/>
        </w:rPr>
        <w:t>inter alia,</w:t>
      </w:r>
      <w:r w:rsidR="003F0C79" w:rsidRPr="00170E73">
        <w:rPr>
          <w:rFonts w:ascii="Century Gothic" w:hAnsi="Century Gothic"/>
          <w:lang w:val="en-ZA"/>
        </w:rPr>
        <w:t xml:space="preserve"> Bluecentrix’s only director Mr </w:t>
      </w:r>
      <w:r w:rsidR="004C3B1D">
        <w:rPr>
          <w:rFonts w:ascii="Century Gothic" w:hAnsi="Century Gothic"/>
          <w:lang w:val="en-ZA"/>
        </w:rPr>
        <w:t>Johan</w:t>
      </w:r>
      <w:r w:rsidR="00EA78EF">
        <w:rPr>
          <w:rFonts w:ascii="Century Gothic" w:hAnsi="Century Gothic"/>
          <w:lang w:val="en-ZA"/>
        </w:rPr>
        <w:t xml:space="preserve"> Frederick </w:t>
      </w:r>
      <w:r w:rsidR="003F0C79" w:rsidRPr="00170E73">
        <w:rPr>
          <w:rFonts w:ascii="Century Gothic" w:hAnsi="Century Gothic"/>
          <w:lang w:val="en-ZA"/>
        </w:rPr>
        <w:t>van Rooyen (“</w:t>
      </w:r>
      <w:r w:rsidR="00B90E7A">
        <w:rPr>
          <w:rFonts w:ascii="Century Gothic" w:hAnsi="Century Gothic"/>
          <w:lang w:val="en-ZA"/>
        </w:rPr>
        <w:t>V</w:t>
      </w:r>
      <w:r w:rsidR="003F0C79" w:rsidRPr="00170E73">
        <w:rPr>
          <w:rFonts w:ascii="Century Gothic" w:hAnsi="Century Gothic"/>
          <w:lang w:val="en-ZA"/>
        </w:rPr>
        <w:t xml:space="preserve">an Rooyen”), stating amongst others that Smartswitch (Bluecentrix’s trading name), was not in a financial position </w:t>
      </w:r>
      <w:r w:rsidR="003F0C79" w:rsidRPr="00170E73">
        <w:rPr>
          <w:rFonts w:ascii="Century Gothic" w:hAnsi="Century Gothic"/>
          <w:lang w:val="en-ZA"/>
        </w:rPr>
        <w:lastRenderedPageBreak/>
        <w:t xml:space="preserve">to repay its debt at the rate of R250,000-00 a month and that they will make DFA an offer by 31 March 2021 to settle its debt with a lump sum. During July 2021, DFA caused a notice in terms of </w:t>
      </w:r>
      <w:r w:rsidR="00454551" w:rsidRPr="00170E73">
        <w:rPr>
          <w:rFonts w:ascii="Century Gothic" w:hAnsi="Century Gothic"/>
          <w:lang w:val="en-ZA"/>
        </w:rPr>
        <w:t xml:space="preserve">s </w:t>
      </w:r>
      <w:r w:rsidR="003F0C79" w:rsidRPr="00170E73">
        <w:rPr>
          <w:rFonts w:ascii="Century Gothic" w:hAnsi="Century Gothic"/>
          <w:lang w:val="en-ZA"/>
        </w:rPr>
        <w:t>345(1) of the</w:t>
      </w:r>
      <w:r w:rsidR="004D66E7">
        <w:rPr>
          <w:rFonts w:ascii="Century Gothic" w:hAnsi="Century Gothic"/>
          <w:lang w:val="en-ZA"/>
        </w:rPr>
        <w:t xml:space="preserve"> </w:t>
      </w:r>
      <w:r w:rsidR="003F0C79" w:rsidRPr="00170E73">
        <w:rPr>
          <w:rFonts w:ascii="Century Gothic" w:hAnsi="Century Gothic"/>
          <w:lang w:val="en-ZA"/>
        </w:rPr>
        <w:t>Companies Act</w:t>
      </w:r>
      <w:r w:rsidR="004D66E7">
        <w:rPr>
          <w:rFonts w:ascii="Century Gothic" w:hAnsi="Century Gothic"/>
          <w:lang w:val="en-ZA"/>
        </w:rPr>
        <w:t>, 61 of 1973</w:t>
      </w:r>
      <w:r w:rsidR="003F0C79" w:rsidRPr="00170E73">
        <w:rPr>
          <w:rFonts w:ascii="Century Gothic" w:hAnsi="Century Gothic"/>
          <w:lang w:val="en-ZA"/>
        </w:rPr>
        <w:t xml:space="preserve"> to be served on </w:t>
      </w:r>
      <w:r w:rsidR="00536E5E" w:rsidRPr="00170E73">
        <w:rPr>
          <w:rFonts w:ascii="Century Gothic" w:hAnsi="Century Gothic"/>
          <w:lang w:val="en-ZA"/>
        </w:rPr>
        <w:t>Bluecentrix</w:t>
      </w:r>
      <w:r w:rsidR="003F0C79" w:rsidRPr="00170E73">
        <w:rPr>
          <w:rFonts w:ascii="Century Gothic" w:hAnsi="Century Gothic"/>
          <w:lang w:val="en-ZA"/>
        </w:rPr>
        <w:t xml:space="preserve">, demanding repayment of the outstanding amount of R1,388,434-06.  Bluecentrix neglected to pay the amount stated in terms of the </w:t>
      </w:r>
      <w:r w:rsidR="00536E5E" w:rsidRPr="00170E73">
        <w:rPr>
          <w:rFonts w:ascii="Century Gothic" w:hAnsi="Century Gothic"/>
          <w:lang w:val="en-ZA"/>
        </w:rPr>
        <w:t xml:space="preserve">s </w:t>
      </w:r>
      <w:r w:rsidR="003F0C79" w:rsidRPr="00170E73">
        <w:rPr>
          <w:rFonts w:ascii="Century Gothic" w:hAnsi="Century Gothic"/>
          <w:lang w:val="en-ZA"/>
        </w:rPr>
        <w:t xml:space="preserve">345 notice or to secure or compound for it to the reasonable satisfaction of DFA, as a consequence of which DFA seeks the final winding up of </w:t>
      </w:r>
      <w:proofErr w:type="spellStart"/>
      <w:r w:rsidR="003F0C79" w:rsidRPr="00170E73">
        <w:rPr>
          <w:rFonts w:ascii="Century Gothic" w:hAnsi="Century Gothic"/>
          <w:lang w:val="en-ZA"/>
        </w:rPr>
        <w:t>Bluecentrix</w:t>
      </w:r>
      <w:proofErr w:type="spellEnd"/>
      <w:r w:rsidR="003F0C79" w:rsidRPr="00170E73">
        <w:rPr>
          <w:rFonts w:ascii="Century Gothic" w:hAnsi="Century Gothic"/>
          <w:lang w:val="en-ZA"/>
        </w:rPr>
        <w:t xml:space="preserve"> </w:t>
      </w:r>
      <w:r w:rsidR="006C44C0">
        <w:rPr>
          <w:rFonts w:ascii="Century Gothic" w:hAnsi="Century Gothic"/>
          <w:lang w:val="en-ZA"/>
        </w:rPr>
        <w:t>based on</w:t>
      </w:r>
      <w:r w:rsidR="003F0C79" w:rsidRPr="00170E73">
        <w:rPr>
          <w:rFonts w:ascii="Century Gothic" w:hAnsi="Century Gothic"/>
          <w:lang w:val="en-ZA"/>
        </w:rPr>
        <w:t xml:space="preserve"> its deemed inability to pay its debts.</w:t>
      </w:r>
    </w:p>
    <w:p w14:paraId="21F6102C" w14:textId="77777777" w:rsidR="003F0C79" w:rsidRPr="003F0C79" w:rsidRDefault="003F0C79" w:rsidP="0028705D">
      <w:pPr>
        <w:pStyle w:val="ListParagraph"/>
        <w:ind w:left="567" w:hanging="567"/>
        <w:rPr>
          <w:rFonts w:ascii="Century Gothic" w:hAnsi="Century Gothic"/>
          <w:lang w:val="en-ZA"/>
        </w:rPr>
      </w:pPr>
    </w:p>
    <w:p w14:paraId="30C91DB0" w14:textId="6EA97533" w:rsidR="0028705D" w:rsidRDefault="0028705D" w:rsidP="0028705D">
      <w:pPr>
        <w:spacing w:line="480" w:lineRule="auto"/>
        <w:ind w:left="567" w:hanging="567"/>
        <w:jc w:val="both"/>
        <w:rPr>
          <w:rFonts w:ascii="Century Gothic" w:hAnsi="Century Gothic"/>
          <w:lang w:val="en-ZA"/>
        </w:rPr>
      </w:pPr>
      <w:r>
        <w:rPr>
          <w:rFonts w:ascii="Century Gothic" w:hAnsi="Century Gothic"/>
          <w:lang w:val="en-ZA"/>
        </w:rPr>
        <w:t>[4]</w:t>
      </w:r>
      <w:r>
        <w:rPr>
          <w:rFonts w:ascii="Century Gothic" w:hAnsi="Century Gothic"/>
          <w:lang w:val="en-ZA"/>
        </w:rPr>
        <w:tab/>
      </w:r>
      <w:r w:rsidR="003F0C79" w:rsidRPr="0028705D">
        <w:rPr>
          <w:rFonts w:ascii="Century Gothic" w:hAnsi="Century Gothic"/>
          <w:lang w:val="en-ZA"/>
        </w:rPr>
        <w:t xml:space="preserve">Gamble, J found at the provisional liquidation </w:t>
      </w:r>
      <w:r w:rsidR="006C44C0">
        <w:rPr>
          <w:rFonts w:ascii="Century Gothic" w:hAnsi="Century Gothic"/>
          <w:lang w:val="en-ZA"/>
        </w:rPr>
        <w:t>i</w:t>
      </w:r>
      <w:r w:rsidR="003F0C79" w:rsidRPr="0028705D">
        <w:rPr>
          <w:rFonts w:ascii="Century Gothic" w:hAnsi="Century Gothic"/>
          <w:lang w:val="en-ZA"/>
        </w:rPr>
        <w:t xml:space="preserve">nquiry stage that DFA’s founding papers made out a </w:t>
      </w:r>
      <w:r w:rsidR="003F0C79" w:rsidRPr="0028705D">
        <w:rPr>
          <w:rFonts w:ascii="Century Gothic" w:hAnsi="Century Gothic"/>
          <w:i/>
          <w:iCs/>
          <w:lang w:val="en-ZA"/>
        </w:rPr>
        <w:t>prima facie</w:t>
      </w:r>
      <w:r w:rsidR="003F0C79" w:rsidRPr="0028705D">
        <w:rPr>
          <w:rFonts w:ascii="Century Gothic" w:hAnsi="Century Gothic"/>
          <w:lang w:val="en-ZA"/>
        </w:rPr>
        <w:t xml:space="preserve"> case for a provisional winding-up order under s</w:t>
      </w:r>
      <w:r w:rsidR="003D557F" w:rsidRPr="0028705D">
        <w:rPr>
          <w:rFonts w:ascii="Century Gothic" w:hAnsi="Century Gothic"/>
          <w:lang w:val="en-ZA"/>
        </w:rPr>
        <w:t xml:space="preserve"> </w:t>
      </w:r>
      <w:r w:rsidR="003F0C79" w:rsidRPr="0028705D">
        <w:rPr>
          <w:rFonts w:ascii="Century Gothic" w:hAnsi="Century Gothic"/>
          <w:lang w:val="en-ZA"/>
        </w:rPr>
        <w:t>344(f) by alleging the elements of</w:t>
      </w:r>
      <w:r w:rsidR="00C51CD7" w:rsidRPr="0028705D">
        <w:rPr>
          <w:rFonts w:ascii="Century Gothic" w:hAnsi="Century Gothic"/>
          <w:lang w:val="en-ZA"/>
        </w:rPr>
        <w:t>:-</w:t>
      </w:r>
      <w:r w:rsidR="003F0C79" w:rsidRPr="0028705D">
        <w:rPr>
          <w:rFonts w:ascii="Century Gothic" w:hAnsi="Century Gothic"/>
          <w:lang w:val="en-ZA"/>
        </w:rPr>
        <w:t xml:space="preserve"> an indebtedness by </w:t>
      </w:r>
      <w:r w:rsidR="00E3438E">
        <w:rPr>
          <w:rFonts w:ascii="Century Gothic" w:hAnsi="Century Gothic"/>
          <w:lang w:val="en-ZA"/>
        </w:rPr>
        <w:t>Bluecentrix</w:t>
      </w:r>
      <w:r w:rsidR="003F0C79" w:rsidRPr="0028705D">
        <w:rPr>
          <w:rFonts w:ascii="Century Gothic" w:hAnsi="Century Gothic"/>
          <w:lang w:val="en-ZA"/>
        </w:rPr>
        <w:t xml:space="preserve"> in the sum of R1,388,434-06</w:t>
      </w:r>
      <w:r w:rsidR="00C51CD7" w:rsidRPr="0028705D">
        <w:rPr>
          <w:rFonts w:ascii="Century Gothic" w:hAnsi="Century Gothic"/>
          <w:lang w:val="en-ZA"/>
        </w:rPr>
        <w:t>;</w:t>
      </w:r>
      <w:r w:rsidR="003F0C79" w:rsidRPr="0028705D">
        <w:rPr>
          <w:rFonts w:ascii="Century Gothic" w:hAnsi="Century Gothic"/>
          <w:lang w:val="en-ZA"/>
        </w:rPr>
        <w:t xml:space="preserve"> </w:t>
      </w:r>
      <w:r w:rsidR="009579D9">
        <w:rPr>
          <w:rFonts w:ascii="Century Gothic" w:hAnsi="Century Gothic"/>
          <w:lang w:val="en-ZA"/>
        </w:rPr>
        <w:t xml:space="preserve">- </w:t>
      </w:r>
      <w:r w:rsidR="003F0C79" w:rsidRPr="0028705D">
        <w:rPr>
          <w:rFonts w:ascii="Century Gothic" w:hAnsi="Century Gothic"/>
          <w:lang w:val="en-ZA"/>
        </w:rPr>
        <w:t xml:space="preserve">an admission by </w:t>
      </w:r>
      <w:r w:rsidR="00E3438E">
        <w:rPr>
          <w:rFonts w:ascii="Century Gothic" w:hAnsi="Century Gothic"/>
          <w:lang w:val="en-ZA"/>
        </w:rPr>
        <w:t>Bluecentrix</w:t>
      </w:r>
      <w:r w:rsidR="00E3438E" w:rsidRPr="0028705D">
        <w:rPr>
          <w:rFonts w:ascii="Century Gothic" w:hAnsi="Century Gothic"/>
          <w:lang w:val="en-ZA"/>
        </w:rPr>
        <w:t xml:space="preserve"> </w:t>
      </w:r>
      <w:r w:rsidR="003F0C79" w:rsidRPr="0028705D">
        <w:rPr>
          <w:rFonts w:ascii="Century Gothic" w:hAnsi="Century Gothic"/>
          <w:lang w:val="en-ZA"/>
        </w:rPr>
        <w:t>that it is indebted to DFA</w:t>
      </w:r>
      <w:r w:rsidR="00DC0198" w:rsidRPr="0028705D">
        <w:rPr>
          <w:rFonts w:ascii="Century Gothic" w:hAnsi="Century Gothic"/>
          <w:lang w:val="en-ZA"/>
        </w:rPr>
        <w:t>;</w:t>
      </w:r>
      <w:r w:rsidR="0096291C" w:rsidRPr="0028705D">
        <w:rPr>
          <w:rFonts w:ascii="Century Gothic" w:hAnsi="Century Gothic"/>
          <w:lang w:val="en-ZA"/>
        </w:rPr>
        <w:t xml:space="preserve"> -</w:t>
      </w:r>
      <w:r w:rsidR="003F0C79" w:rsidRPr="0028705D">
        <w:rPr>
          <w:rFonts w:ascii="Century Gothic" w:hAnsi="Century Gothic"/>
          <w:lang w:val="en-ZA"/>
        </w:rPr>
        <w:t xml:space="preserve"> the failure by </w:t>
      </w:r>
      <w:r w:rsidR="00E3438E">
        <w:rPr>
          <w:rFonts w:ascii="Century Gothic" w:hAnsi="Century Gothic"/>
          <w:lang w:val="en-ZA"/>
        </w:rPr>
        <w:t>Bluecentrix</w:t>
      </w:r>
      <w:r w:rsidR="00E3438E" w:rsidRPr="0028705D">
        <w:rPr>
          <w:rFonts w:ascii="Century Gothic" w:hAnsi="Century Gothic"/>
          <w:lang w:val="en-ZA"/>
        </w:rPr>
        <w:t xml:space="preserve"> </w:t>
      </w:r>
      <w:r w:rsidR="003F0C79" w:rsidRPr="0028705D">
        <w:rPr>
          <w:rFonts w:ascii="Century Gothic" w:hAnsi="Century Gothic"/>
          <w:lang w:val="en-ZA"/>
        </w:rPr>
        <w:t>to settle the debt when it was due and payable</w:t>
      </w:r>
      <w:r w:rsidR="00DC0198" w:rsidRPr="0028705D">
        <w:rPr>
          <w:rFonts w:ascii="Century Gothic" w:hAnsi="Century Gothic"/>
          <w:lang w:val="en-ZA"/>
        </w:rPr>
        <w:t>;</w:t>
      </w:r>
      <w:r w:rsidR="003F0C79" w:rsidRPr="0028705D">
        <w:rPr>
          <w:rFonts w:ascii="Century Gothic" w:hAnsi="Century Gothic"/>
          <w:lang w:val="en-ZA"/>
        </w:rPr>
        <w:t xml:space="preserve"> and</w:t>
      </w:r>
      <w:r w:rsidR="0096291C" w:rsidRPr="0028705D">
        <w:rPr>
          <w:rFonts w:ascii="Century Gothic" w:hAnsi="Century Gothic"/>
          <w:lang w:val="en-ZA"/>
        </w:rPr>
        <w:t>, -</w:t>
      </w:r>
      <w:r w:rsidR="003F0C79" w:rsidRPr="0028705D">
        <w:rPr>
          <w:rFonts w:ascii="Century Gothic" w:hAnsi="Century Gothic"/>
          <w:lang w:val="en-ZA"/>
        </w:rPr>
        <w:t xml:space="preserve"> an admission by </w:t>
      </w:r>
      <w:r w:rsidR="00E3438E">
        <w:rPr>
          <w:rFonts w:ascii="Century Gothic" w:hAnsi="Century Gothic"/>
          <w:lang w:val="en-ZA"/>
        </w:rPr>
        <w:t>Bluecentrix</w:t>
      </w:r>
      <w:r w:rsidR="00E3438E" w:rsidRPr="0028705D">
        <w:rPr>
          <w:rFonts w:ascii="Century Gothic" w:hAnsi="Century Gothic"/>
          <w:lang w:val="en-ZA"/>
        </w:rPr>
        <w:t xml:space="preserve"> </w:t>
      </w:r>
      <w:r w:rsidR="003F0C79" w:rsidRPr="0028705D">
        <w:rPr>
          <w:rFonts w:ascii="Century Gothic" w:hAnsi="Century Gothic"/>
          <w:lang w:val="en-ZA"/>
        </w:rPr>
        <w:t>that it was unable to pay the debt which was due to DFA in the ordinary course of its business.</w:t>
      </w:r>
    </w:p>
    <w:p w14:paraId="75F03749" w14:textId="77777777" w:rsidR="0028705D" w:rsidRDefault="0028705D" w:rsidP="0028705D">
      <w:pPr>
        <w:spacing w:line="480" w:lineRule="auto"/>
        <w:jc w:val="both"/>
        <w:rPr>
          <w:rFonts w:ascii="Century Gothic" w:hAnsi="Century Gothic"/>
          <w:lang w:val="en-ZA"/>
        </w:rPr>
      </w:pPr>
    </w:p>
    <w:p w14:paraId="13CFEA4E" w14:textId="58ECEED9" w:rsidR="003F0C79" w:rsidRPr="0028705D" w:rsidRDefault="0028705D" w:rsidP="0028705D">
      <w:pPr>
        <w:spacing w:line="480" w:lineRule="auto"/>
        <w:ind w:left="567" w:hanging="567"/>
        <w:jc w:val="both"/>
        <w:rPr>
          <w:rFonts w:ascii="Century Gothic" w:hAnsi="Century Gothic"/>
          <w:lang w:val="en-ZA"/>
        </w:rPr>
      </w:pPr>
      <w:r>
        <w:rPr>
          <w:rFonts w:ascii="Century Gothic" w:hAnsi="Century Gothic"/>
          <w:lang w:val="en-ZA"/>
        </w:rPr>
        <w:t>[5]</w:t>
      </w:r>
      <w:r>
        <w:rPr>
          <w:rFonts w:ascii="Century Gothic" w:hAnsi="Century Gothic"/>
          <w:lang w:val="en-ZA"/>
        </w:rPr>
        <w:tab/>
      </w:r>
      <w:r w:rsidR="003F0C79" w:rsidRPr="0028705D">
        <w:rPr>
          <w:rFonts w:ascii="Century Gothic" w:hAnsi="Century Gothic"/>
          <w:lang w:val="en-ZA"/>
        </w:rPr>
        <w:t xml:space="preserve">Having found that the onus shifted to </w:t>
      </w:r>
      <w:r w:rsidR="007D7D54">
        <w:rPr>
          <w:rFonts w:ascii="Century Gothic" w:hAnsi="Century Gothic"/>
          <w:lang w:val="en-ZA"/>
        </w:rPr>
        <w:t>Bluecentrix</w:t>
      </w:r>
      <w:r w:rsidR="007D7D54" w:rsidRPr="0028705D">
        <w:rPr>
          <w:rFonts w:ascii="Century Gothic" w:hAnsi="Century Gothic"/>
          <w:lang w:val="en-ZA"/>
        </w:rPr>
        <w:t xml:space="preserve"> </w:t>
      </w:r>
      <w:r w:rsidR="003F0C79" w:rsidRPr="0028705D">
        <w:rPr>
          <w:rFonts w:ascii="Century Gothic" w:hAnsi="Century Gothic"/>
          <w:lang w:val="en-ZA"/>
        </w:rPr>
        <w:t xml:space="preserve">to show that the debt upon which DFA relied is </w:t>
      </w:r>
      <w:r w:rsidR="003F0C79" w:rsidRPr="0028705D">
        <w:rPr>
          <w:rFonts w:ascii="Century Gothic" w:hAnsi="Century Gothic"/>
          <w:i/>
          <w:iCs/>
          <w:lang w:val="en-ZA"/>
        </w:rPr>
        <w:t xml:space="preserve">bona fide </w:t>
      </w:r>
      <w:r w:rsidR="003F0C79" w:rsidRPr="0028705D">
        <w:rPr>
          <w:rFonts w:ascii="Century Gothic" w:hAnsi="Century Gothic"/>
          <w:lang w:val="en-ZA"/>
        </w:rPr>
        <w:t xml:space="preserve">disputed on reasonable grounds, as made plain in cases such as </w:t>
      </w:r>
      <w:r w:rsidR="003F0C79" w:rsidRPr="0028705D">
        <w:rPr>
          <w:rFonts w:ascii="Century Gothic" w:hAnsi="Century Gothic"/>
          <w:i/>
          <w:iCs/>
          <w:u w:val="single"/>
          <w:lang w:val="en-ZA"/>
        </w:rPr>
        <w:t>Hulse-Reutter</w:t>
      </w:r>
      <w:r w:rsidR="003F0C79" w:rsidRPr="003F0C79">
        <w:rPr>
          <w:rStyle w:val="FootnoteReference"/>
          <w:rFonts w:ascii="Century Gothic" w:hAnsi="Century Gothic"/>
          <w:lang w:val="en-ZA"/>
        </w:rPr>
        <w:footnoteReference w:id="1"/>
      </w:r>
      <w:r w:rsidR="003F0C79" w:rsidRPr="0028705D">
        <w:rPr>
          <w:rFonts w:ascii="Century Gothic" w:hAnsi="Century Gothic"/>
          <w:i/>
          <w:iCs/>
          <w:lang w:val="en-ZA"/>
        </w:rPr>
        <w:t xml:space="preserve">, </w:t>
      </w:r>
      <w:r w:rsidR="003F0C79" w:rsidRPr="0028705D">
        <w:rPr>
          <w:rFonts w:ascii="Century Gothic" w:hAnsi="Century Gothic"/>
          <w:lang w:val="en-ZA"/>
        </w:rPr>
        <w:t xml:space="preserve">Gamble, J considered what </w:t>
      </w:r>
      <w:r w:rsidR="003F0C79" w:rsidRPr="0028705D">
        <w:rPr>
          <w:rFonts w:ascii="Century Gothic" w:hAnsi="Century Gothic"/>
          <w:lang w:val="en-ZA"/>
        </w:rPr>
        <w:lastRenderedPageBreak/>
        <w:t xml:space="preserve">was revealed by Bluecentrix’s answering affidavit.  Gamble, J rejected </w:t>
      </w:r>
      <w:r w:rsidR="006C44C0">
        <w:rPr>
          <w:rFonts w:ascii="Century Gothic" w:hAnsi="Century Gothic"/>
          <w:lang w:val="en-ZA"/>
        </w:rPr>
        <w:t>several</w:t>
      </w:r>
      <w:r w:rsidR="003F0C79" w:rsidRPr="0028705D">
        <w:rPr>
          <w:rFonts w:ascii="Century Gothic" w:hAnsi="Century Gothic"/>
          <w:lang w:val="en-ZA"/>
        </w:rPr>
        <w:t xml:space="preserve"> </w:t>
      </w:r>
      <w:r w:rsidR="003F0C79" w:rsidRPr="0028705D">
        <w:rPr>
          <w:rFonts w:ascii="Century Gothic" w:hAnsi="Century Gothic"/>
          <w:i/>
          <w:iCs/>
          <w:lang w:val="en-ZA"/>
        </w:rPr>
        <w:t>in limine</w:t>
      </w:r>
      <w:r w:rsidR="003F0C79" w:rsidRPr="0028705D">
        <w:rPr>
          <w:rFonts w:ascii="Century Gothic" w:hAnsi="Century Gothic"/>
          <w:lang w:val="en-ZA"/>
        </w:rPr>
        <w:t xml:space="preserve"> points raised by Bluecentrix, </w:t>
      </w:r>
      <w:r w:rsidR="003F0C79" w:rsidRPr="0028705D">
        <w:rPr>
          <w:rFonts w:ascii="Century Gothic" w:hAnsi="Century Gothic"/>
          <w:i/>
          <w:iCs/>
          <w:lang w:val="en-ZA"/>
        </w:rPr>
        <w:t>inter alia,</w:t>
      </w:r>
      <w:r w:rsidR="003F0C79" w:rsidRPr="0028705D">
        <w:rPr>
          <w:rFonts w:ascii="Century Gothic" w:hAnsi="Century Gothic"/>
          <w:lang w:val="en-ZA"/>
        </w:rPr>
        <w:t xml:space="preserve"> on the basis</w:t>
      </w:r>
      <w:r w:rsidR="008A0BA4">
        <w:rPr>
          <w:rFonts w:ascii="Century Gothic" w:hAnsi="Century Gothic"/>
          <w:lang w:val="en-ZA"/>
        </w:rPr>
        <w:t xml:space="preserve"> that</w:t>
      </w:r>
      <w:r w:rsidR="003F0C79" w:rsidRPr="0028705D">
        <w:rPr>
          <w:rFonts w:ascii="Century Gothic" w:hAnsi="Century Gothic"/>
          <w:lang w:val="en-ZA"/>
        </w:rPr>
        <w:t xml:space="preserve"> it was not in dispute that the </w:t>
      </w:r>
      <w:r w:rsidR="0096291C" w:rsidRPr="0028705D">
        <w:rPr>
          <w:rFonts w:ascii="Century Gothic" w:hAnsi="Century Gothic"/>
          <w:lang w:val="en-ZA"/>
        </w:rPr>
        <w:t xml:space="preserve">s </w:t>
      </w:r>
      <w:r w:rsidR="003F0C79" w:rsidRPr="0028705D">
        <w:rPr>
          <w:rFonts w:ascii="Century Gothic" w:hAnsi="Century Gothic"/>
          <w:lang w:val="en-ZA"/>
        </w:rPr>
        <w:t>345 letter had been sent to the correct entity at the right address</w:t>
      </w:r>
      <w:r w:rsidR="00A11DD6">
        <w:rPr>
          <w:rFonts w:ascii="Century Gothic" w:hAnsi="Century Gothic"/>
          <w:lang w:val="en-ZA"/>
        </w:rPr>
        <w:t>.</w:t>
      </w:r>
      <w:r w:rsidR="003F0C79" w:rsidRPr="0028705D">
        <w:rPr>
          <w:rFonts w:ascii="Century Gothic" w:hAnsi="Century Gothic"/>
          <w:lang w:val="en-ZA"/>
        </w:rPr>
        <w:t xml:space="preserve"> </w:t>
      </w:r>
      <w:r w:rsidR="00A11DD6">
        <w:rPr>
          <w:rFonts w:ascii="Century Gothic" w:hAnsi="Century Gothic"/>
          <w:lang w:val="en-ZA"/>
        </w:rPr>
        <w:t>T</w:t>
      </w:r>
      <w:r w:rsidR="003F0C79" w:rsidRPr="0028705D">
        <w:rPr>
          <w:rFonts w:ascii="Century Gothic" w:hAnsi="Century Gothic"/>
          <w:lang w:val="en-ZA"/>
        </w:rPr>
        <w:t xml:space="preserve">he </w:t>
      </w:r>
      <w:r w:rsidR="009579D9">
        <w:rPr>
          <w:rFonts w:ascii="Century Gothic" w:hAnsi="Century Gothic"/>
          <w:lang w:val="en-ZA"/>
        </w:rPr>
        <w:t>dispositive</w:t>
      </w:r>
      <w:r w:rsidR="003F0C79" w:rsidRPr="0028705D">
        <w:rPr>
          <w:rFonts w:ascii="Century Gothic" w:hAnsi="Century Gothic"/>
          <w:lang w:val="en-ZA"/>
        </w:rPr>
        <w:t xml:space="preserve"> effect of the following introductory averment in Bluecentrix’s answering affidavit, which precedes the </w:t>
      </w:r>
      <w:r w:rsidR="003F0C79" w:rsidRPr="0028705D">
        <w:rPr>
          <w:rFonts w:ascii="Century Gothic" w:hAnsi="Century Gothic"/>
          <w:i/>
          <w:iCs/>
          <w:lang w:val="en-ZA"/>
        </w:rPr>
        <w:t xml:space="preserve">ad seriatim </w:t>
      </w:r>
      <w:r w:rsidR="003F0C79" w:rsidRPr="0028705D">
        <w:rPr>
          <w:rFonts w:ascii="Century Gothic" w:hAnsi="Century Gothic"/>
          <w:lang w:val="en-ZA"/>
        </w:rPr>
        <w:t>response to the founding affidavit</w:t>
      </w:r>
      <w:r w:rsidR="00A11DD6">
        <w:rPr>
          <w:rFonts w:ascii="Century Gothic" w:hAnsi="Century Gothic"/>
          <w:lang w:val="en-ZA"/>
        </w:rPr>
        <w:t xml:space="preserve">, also weighed </w:t>
      </w:r>
      <w:r w:rsidR="00C00D40">
        <w:rPr>
          <w:rFonts w:ascii="Century Gothic" w:hAnsi="Century Gothic"/>
          <w:lang w:val="en-ZA"/>
        </w:rPr>
        <w:t xml:space="preserve">conclusively </w:t>
      </w:r>
      <w:r w:rsidR="00A11DD6">
        <w:rPr>
          <w:rFonts w:ascii="Century Gothic" w:hAnsi="Century Gothic"/>
          <w:lang w:val="en-ZA"/>
        </w:rPr>
        <w:t xml:space="preserve"> with Gamble, J</w:t>
      </w:r>
      <w:r w:rsidR="003F0C79" w:rsidRPr="0028705D">
        <w:rPr>
          <w:rFonts w:ascii="Century Gothic" w:hAnsi="Century Gothic"/>
          <w:lang w:val="en-ZA"/>
        </w:rPr>
        <w:t xml:space="preserve">: </w:t>
      </w:r>
    </w:p>
    <w:p w14:paraId="2A5C6909" w14:textId="77777777" w:rsidR="003F0C79" w:rsidRPr="003F0C79" w:rsidRDefault="003F0C79" w:rsidP="0028705D">
      <w:pPr>
        <w:pStyle w:val="ListParagraph"/>
        <w:ind w:left="567" w:hanging="567"/>
        <w:rPr>
          <w:rFonts w:ascii="Century Gothic" w:hAnsi="Century Gothic"/>
          <w:lang w:val="en-ZA"/>
        </w:rPr>
      </w:pPr>
    </w:p>
    <w:p w14:paraId="363648AD" w14:textId="7A93184C" w:rsidR="003F0C79" w:rsidRPr="003F0C79" w:rsidRDefault="003F0C79" w:rsidP="0028705D">
      <w:pPr>
        <w:pStyle w:val="ListParagraph"/>
        <w:spacing w:line="480" w:lineRule="auto"/>
        <w:ind w:left="1134" w:hanging="567"/>
        <w:jc w:val="both"/>
        <w:rPr>
          <w:rFonts w:ascii="Century Gothic" w:hAnsi="Century Gothic"/>
          <w:i/>
          <w:iCs/>
          <w:lang w:val="en-ZA"/>
        </w:rPr>
      </w:pPr>
      <w:r w:rsidRPr="003F0C79">
        <w:rPr>
          <w:rFonts w:ascii="Century Gothic" w:hAnsi="Century Gothic"/>
          <w:lang w:val="en-ZA"/>
        </w:rPr>
        <w:t>“</w:t>
      </w:r>
      <w:r w:rsidRPr="003F0C79">
        <w:rPr>
          <w:rFonts w:ascii="Century Gothic" w:hAnsi="Century Gothic"/>
          <w:i/>
          <w:iCs/>
          <w:lang w:val="en-ZA"/>
        </w:rPr>
        <w:t>21.</w:t>
      </w:r>
      <w:r w:rsidRPr="003F0C79">
        <w:rPr>
          <w:rFonts w:ascii="Century Gothic" w:hAnsi="Century Gothic"/>
          <w:i/>
          <w:iCs/>
          <w:lang w:val="en-ZA"/>
        </w:rPr>
        <w:tab/>
        <w:t xml:space="preserve">I note that notwithstanding the above point in limine, the </w:t>
      </w:r>
      <w:r w:rsidR="0096291C">
        <w:rPr>
          <w:rFonts w:ascii="Century Gothic" w:hAnsi="Century Gothic"/>
          <w:i/>
          <w:iCs/>
          <w:lang w:val="en-ZA"/>
        </w:rPr>
        <w:t>a</w:t>
      </w:r>
      <w:r w:rsidRPr="003F0C79">
        <w:rPr>
          <w:rFonts w:ascii="Century Gothic" w:hAnsi="Century Gothic"/>
          <w:i/>
          <w:iCs/>
          <w:lang w:val="en-ZA"/>
        </w:rPr>
        <w:t>pplicant and Bluecentrix have done business together and there is a dispute between them relating to the amounts purportedly owed to the Applicant.”</w:t>
      </w:r>
    </w:p>
    <w:p w14:paraId="5B8ED67C" w14:textId="77777777" w:rsidR="003F0C79" w:rsidRPr="003F0C79" w:rsidRDefault="003F0C79" w:rsidP="0028705D">
      <w:pPr>
        <w:pStyle w:val="ListParagraph"/>
        <w:ind w:left="567" w:hanging="567"/>
        <w:rPr>
          <w:rFonts w:ascii="Century Gothic" w:hAnsi="Century Gothic"/>
          <w:lang w:val="en-ZA"/>
        </w:rPr>
      </w:pPr>
    </w:p>
    <w:p w14:paraId="11C73162" w14:textId="14D278B3" w:rsidR="003F0C79" w:rsidRPr="0028705D" w:rsidRDefault="0028705D" w:rsidP="0028705D">
      <w:pPr>
        <w:spacing w:line="480" w:lineRule="auto"/>
        <w:ind w:left="567" w:hanging="567"/>
        <w:jc w:val="both"/>
        <w:rPr>
          <w:rFonts w:ascii="Century Gothic" w:hAnsi="Century Gothic"/>
          <w:lang w:val="en-ZA"/>
        </w:rPr>
      </w:pPr>
      <w:r>
        <w:rPr>
          <w:rFonts w:ascii="Century Gothic" w:hAnsi="Century Gothic"/>
          <w:lang w:val="en-ZA"/>
        </w:rPr>
        <w:t>[6]</w:t>
      </w:r>
      <w:r>
        <w:rPr>
          <w:rFonts w:ascii="Century Gothic" w:hAnsi="Century Gothic"/>
          <w:lang w:val="en-ZA"/>
        </w:rPr>
        <w:tab/>
      </w:r>
      <w:r w:rsidR="003F0C79" w:rsidRPr="0028705D">
        <w:rPr>
          <w:rFonts w:ascii="Century Gothic" w:hAnsi="Century Gothic"/>
          <w:lang w:val="en-ZA"/>
        </w:rPr>
        <w:t>Th</w:t>
      </w:r>
      <w:r w:rsidR="00CD7C1B">
        <w:rPr>
          <w:rFonts w:ascii="Century Gothic" w:hAnsi="Century Gothic"/>
          <w:lang w:val="en-ZA"/>
        </w:rPr>
        <w:t xml:space="preserve">is statement in </w:t>
      </w:r>
      <w:r w:rsidR="003F0C79" w:rsidRPr="0028705D">
        <w:rPr>
          <w:rFonts w:ascii="Century Gothic" w:hAnsi="Century Gothic"/>
          <w:lang w:val="en-ZA"/>
        </w:rPr>
        <w:t xml:space="preserve">paragraph 21 of Bluecentrix’s answering affidavit </w:t>
      </w:r>
      <w:r w:rsidR="00A11DD6">
        <w:rPr>
          <w:rFonts w:ascii="Century Gothic" w:hAnsi="Century Gothic"/>
          <w:lang w:val="en-ZA"/>
        </w:rPr>
        <w:t>wa</w:t>
      </w:r>
      <w:r w:rsidR="003F0C79" w:rsidRPr="0028705D">
        <w:rPr>
          <w:rFonts w:ascii="Century Gothic" w:hAnsi="Century Gothic"/>
          <w:lang w:val="en-ZA"/>
        </w:rPr>
        <w:t xml:space="preserve">s interpreted by Gamble, J as an admission by Bluecentrix that it owes DFA a lesser amount than claimed, thus limiting the dispute between the parties to only the </w:t>
      </w:r>
      <w:r w:rsidR="0096291C" w:rsidRPr="0028705D">
        <w:rPr>
          <w:rFonts w:ascii="Century Gothic" w:hAnsi="Century Gothic"/>
          <w:lang w:val="en-ZA"/>
        </w:rPr>
        <w:t>extent</w:t>
      </w:r>
      <w:r w:rsidR="003F0C79" w:rsidRPr="0028705D">
        <w:rPr>
          <w:rFonts w:ascii="Century Gothic" w:hAnsi="Century Gothic"/>
          <w:lang w:val="en-ZA"/>
        </w:rPr>
        <w:t xml:space="preserve"> of that indebtedness and that it is not an issue that such indebtedness exceeds the statutory minimum of</w:t>
      </w:r>
      <w:r w:rsidR="0096291C" w:rsidRPr="0028705D">
        <w:rPr>
          <w:rFonts w:ascii="Century Gothic" w:hAnsi="Century Gothic"/>
          <w:lang w:val="en-ZA"/>
        </w:rPr>
        <w:t xml:space="preserve"> R100.00</w:t>
      </w:r>
      <w:r w:rsidR="003F0C79" w:rsidRPr="0028705D">
        <w:rPr>
          <w:rFonts w:ascii="Century Gothic" w:hAnsi="Century Gothic"/>
          <w:lang w:val="en-ZA"/>
        </w:rPr>
        <w:t xml:space="preserve"> set in </w:t>
      </w:r>
      <w:r w:rsidR="0096291C" w:rsidRPr="0028705D">
        <w:rPr>
          <w:rFonts w:ascii="Century Gothic" w:hAnsi="Century Gothic"/>
          <w:lang w:val="en-ZA"/>
        </w:rPr>
        <w:t xml:space="preserve">s </w:t>
      </w:r>
      <w:r w:rsidR="003F0C79" w:rsidRPr="0028705D">
        <w:rPr>
          <w:rFonts w:ascii="Century Gothic" w:hAnsi="Century Gothic"/>
          <w:lang w:val="en-ZA"/>
        </w:rPr>
        <w:t>345. Accordingly, Gamble, J found that this allegation sounds the death</w:t>
      </w:r>
      <w:r w:rsidR="006C44C0">
        <w:rPr>
          <w:rFonts w:ascii="Century Gothic" w:hAnsi="Century Gothic"/>
          <w:lang w:val="en-ZA"/>
        </w:rPr>
        <w:t xml:space="preserve"> </w:t>
      </w:r>
      <w:r w:rsidR="003F0C79" w:rsidRPr="0028705D">
        <w:rPr>
          <w:rFonts w:ascii="Century Gothic" w:hAnsi="Century Gothic"/>
          <w:lang w:val="en-ZA"/>
        </w:rPr>
        <w:t xml:space="preserve">knell for </w:t>
      </w:r>
      <w:proofErr w:type="spellStart"/>
      <w:r w:rsidR="007D7D54">
        <w:rPr>
          <w:rFonts w:ascii="Century Gothic" w:hAnsi="Century Gothic"/>
          <w:lang w:val="en-ZA"/>
        </w:rPr>
        <w:t>Bluecentrix’s</w:t>
      </w:r>
      <w:proofErr w:type="spellEnd"/>
      <w:r w:rsidR="007D7D54" w:rsidRPr="0028705D">
        <w:rPr>
          <w:rFonts w:ascii="Century Gothic" w:hAnsi="Century Gothic"/>
          <w:lang w:val="en-ZA"/>
        </w:rPr>
        <w:t xml:space="preserve"> </w:t>
      </w:r>
      <w:r w:rsidR="003F0C79" w:rsidRPr="0028705D">
        <w:rPr>
          <w:rFonts w:ascii="Century Gothic" w:hAnsi="Century Gothic"/>
          <w:lang w:val="en-ZA"/>
        </w:rPr>
        <w:t>attempt to avoid the inevitable</w:t>
      </w:r>
      <w:r w:rsidR="00431CE3">
        <w:rPr>
          <w:rFonts w:ascii="Century Gothic" w:hAnsi="Century Gothic"/>
          <w:lang w:val="en-ZA"/>
        </w:rPr>
        <w:t xml:space="preserve"> conclusion</w:t>
      </w:r>
      <w:r w:rsidR="003F0C79" w:rsidRPr="0028705D">
        <w:rPr>
          <w:rFonts w:ascii="Century Gothic" w:hAnsi="Century Gothic"/>
          <w:lang w:val="en-ZA"/>
        </w:rPr>
        <w:t xml:space="preserve">, namely that its case is not about whether it is indebted to DFA or not, but rather the </w:t>
      </w:r>
      <w:r w:rsidR="00454E6D" w:rsidRPr="0028705D">
        <w:rPr>
          <w:rFonts w:ascii="Century Gothic" w:hAnsi="Century Gothic"/>
          <w:lang w:val="en-ZA"/>
        </w:rPr>
        <w:t>extent</w:t>
      </w:r>
      <w:r w:rsidR="003F0C79" w:rsidRPr="0028705D">
        <w:rPr>
          <w:rFonts w:ascii="Century Gothic" w:hAnsi="Century Gothic"/>
          <w:lang w:val="en-ZA"/>
        </w:rPr>
        <w:t xml:space="preserve"> of the indebtedness.  This being its case, </w:t>
      </w:r>
      <w:r w:rsidR="007D7D54">
        <w:rPr>
          <w:rFonts w:ascii="Century Gothic" w:hAnsi="Century Gothic"/>
          <w:lang w:val="en-ZA"/>
        </w:rPr>
        <w:t>Bluecentrix</w:t>
      </w:r>
      <w:r w:rsidR="007D7D54" w:rsidRPr="0028705D">
        <w:rPr>
          <w:rFonts w:ascii="Century Gothic" w:hAnsi="Century Gothic"/>
          <w:lang w:val="en-ZA"/>
        </w:rPr>
        <w:t xml:space="preserve"> </w:t>
      </w:r>
      <w:r w:rsidR="003F0C79" w:rsidRPr="0028705D">
        <w:rPr>
          <w:rFonts w:ascii="Century Gothic" w:hAnsi="Century Gothic"/>
          <w:lang w:val="en-ZA"/>
        </w:rPr>
        <w:t xml:space="preserve">was deprived of an opportunity to mount some resistance to the attack on its </w:t>
      </w:r>
      <w:r w:rsidR="003F0C79" w:rsidRPr="0028705D">
        <w:rPr>
          <w:rFonts w:ascii="Century Gothic" w:hAnsi="Century Gothic"/>
          <w:lang w:val="en-ZA"/>
        </w:rPr>
        <w:lastRenderedPageBreak/>
        <w:t xml:space="preserve">insolvency </w:t>
      </w:r>
      <w:r w:rsidR="006C44C0">
        <w:rPr>
          <w:rFonts w:ascii="Century Gothic" w:hAnsi="Century Gothic"/>
          <w:lang w:val="en-ZA"/>
        </w:rPr>
        <w:t>based on</w:t>
      </w:r>
      <w:r w:rsidR="003F0C79" w:rsidRPr="0028705D">
        <w:rPr>
          <w:rFonts w:ascii="Century Gothic" w:hAnsi="Century Gothic"/>
          <w:lang w:val="en-ZA"/>
        </w:rPr>
        <w:t xml:space="preserve"> the </w:t>
      </w:r>
      <w:proofErr w:type="spellStart"/>
      <w:r w:rsidR="003F0C79" w:rsidRPr="0028705D">
        <w:rPr>
          <w:rFonts w:ascii="Century Gothic" w:hAnsi="Century Gothic"/>
          <w:i/>
          <w:iCs/>
          <w:u w:val="single"/>
          <w:lang w:val="en-ZA"/>
        </w:rPr>
        <w:t>Badenhorst</w:t>
      </w:r>
      <w:proofErr w:type="spellEnd"/>
      <w:r w:rsidR="00454E6D" w:rsidRPr="0028705D">
        <w:rPr>
          <w:rFonts w:ascii="Century Gothic" w:hAnsi="Century Gothic"/>
          <w:i/>
          <w:iCs/>
          <w:u w:val="single"/>
          <w:lang w:val="en-ZA"/>
        </w:rPr>
        <w:t xml:space="preserve"> </w:t>
      </w:r>
      <w:r w:rsidR="00454E6D" w:rsidRPr="00EC66F6">
        <w:rPr>
          <w:rFonts w:ascii="Century Gothic" w:hAnsi="Century Gothic"/>
          <w:u w:val="single"/>
          <w:lang w:val="en-ZA"/>
        </w:rPr>
        <w:t>rule</w:t>
      </w:r>
      <w:r w:rsidR="003F0C79" w:rsidRPr="00AE24FD">
        <w:rPr>
          <w:rStyle w:val="FootnoteReference"/>
          <w:rFonts w:ascii="Century Gothic" w:hAnsi="Century Gothic"/>
          <w:i/>
          <w:iCs/>
          <w:lang w:val="en-ZA"/>
        </w:rPr>
        <w:footnoteReference w:id="2"/>
      </w:r>
      <w:r w:rsidR="003F0C79" w:rsidRPr="0028705D">
        <w:rPr>
          <w:rFonts w:ascii="Century Gothic" w:hAnsi="Century Gothic"/>
          <w:lang w:val="en-ZA"/>
        </w:rPr>
        <w:t xml:space="preserve"> as referred to in paragraph 8 of </w:t>
      </w:r>
      <w:proofErr w:type="spellStart"/>
      <w:r w:rsidR="003F0C79" w:rsidRPr="0028705D">
        <w:rPr>
          <w:rFonts w:ascii="Century Gothic" w:hAnsi="Century Gothic"/>
          <w:i/>
          <w:iCs/>
          <w:u w:val="single"/>
          <w:lang w:val="en-ZA"/>
        </w:rPr>
        <w:t>Orestisolve</w:t>
      </w:r>
      <w:proofErr w:type="spellEnd"/>
      <w:r w:rsidR="003F0C79" w:rsidRPr="0028705D">
        <w:rPr>
          <w:rFonts w:ascii="Century Gothic" w:hAnsi="Century Gothic"/>
          <w:i/>
          <w:iCs/>
          <w:lang w:val="en-ZA"/>
        </w:rPr>
        <w:t>.</w:t>
      </w:r>
      <w:r w:rsidR="003F0C79" w:rsidRPr="003F0C79">
        <w:rPr>
          <w:rStyle w:val="FootnoteReference"/>
          <w:rFonts w:ascii="Century Gothic" w:hAnsi="Century Gothic"/>
          <w:i/>
          <w:iCs/>
          <w:lang w:val="en-ZA"/>
        </w:rPr>
        <w:footnoteReference w:id="3"/>
      </w:r>
      <w:r w:rsidR="003F0C79" w:rsidRPr="0028705D">
        <w:rPr>
          <w:rFonts w:ascii="Century Gothic" w:hAnsi="Century Gothic"/>
          <w:lang w:val="en-ZA"/>
        </w:rPr>
        <w:t xml:space="preserve"> </w:t>
      </w:r>
    </w:p>
    <w:p w14:paraId="21BE4A61" w14:textId="77777777" w:rsidR="003F0C79" w:rsidRPr="003F0C79" w:rsidRDefault="003F0C79" w:rsidP="0028705D">
      <w:pPr>
        <w:pStyle w:val="ListParagraph"/>
        <w:spacing w:line="480" w:lineRule="auto"/>
        <w:ind w:left="567" w:hanging="567"/>
        <w:jc w:val="both"/>
        <w:rPr>
          <w:rFonts w:ascii="Century Gothic" w:hAnsi="Century Gothic"/>
          <w:lang w:val="en-ZA"/>
        </w:rPr>
      </w:pPr>
    </w:p>
    <w:p w14:paraId="514AC2B8" w14:textId="77777777" w:rsidR="00EF7EC6" w:rsidRDefault="0028705D" w:rsidP="0028705D">
      <w:pPr>
        <w:spacing w:line="480" w:lineRule="auto"/>
        <w:ind w:left="567" w:hanging="567"/>
        <w:jc w:val="both"/>
        <w:rPr>
          <w:rFonts w:ascii="Century Gothic" w:hAnsi="Century Gothic"/>
          <w:lang w:val="en-ZA"/>
        </w:rPr>
      </w:pPr>
      <w:r>
        <w:rPr>
          <w:rFonts w:ascii="Century Gothic" w:hAnsi="Century Gothic"/>
          <w:lang w:val="en-ZA"/>
        </w:rPr>
        <w:t>[7]</w:t>
      </w:r>
      <w:r>
        <w:rPr>
          <w:rFonts w:ascii="Century Gothic" w:hAnsi="Century Gothic"/>
          <w:lang w:val="en-ZA"/>
        </w:rPr>
        <w:tab/>
      </w:r>
      <w:r w:rsidR="00EA78EF">
        <w:rPr>
          <w:rFonts w:ascii="Century Gothic" w:hAnsi="Century Gothic"/>
          <w:lang w:val="en-ZA"/>
        </w:rPr>
        <w:t>During argument</w:t>
      </w:r>
      <w:r w:rsidR="003F0C79" w:rsidRPr="0028705D">
        <w:rPr>
          <w:rFonts w:ascii="Century Gothic" w:hAnsi="Century Gothic"/>
          <w:lang w:val="en-ZA"/>
        </w:rPr>
        <w:t xml:space="preserve"> presented before me at </w:t>
      </w:r>
      <w:r w:rsidR="00431CE3">
        <w:rPr>
          <w:rFonts w:ascii="Century Gothic" w:hAnsi="Century Gothic"/>
          <w:lang w:val="en-ZA"/>
        </w:rPr>
        <w:t xml:space="preserve">the </w:t>
      </w:r>
      <w:r w:rsidR="003F0C79" w:rsidRPr="0028705D">
        <w:rPr>
          <w:rFonts w:ascii="Century Gothic" w:hAnsi="Century Gothic"/>
          <w:lang w:val="en-ZA"/>
        </w:rPr>
        <w:t xml:space="preserve">final liquidation stage, Bluecentrix’s counsel insisted that the statement in paragraph 21 of </w:t>
      </w:r>
      <w:r w:rsidR="00767F2C" w:rsidRPr="0028705D">
        <w:rPr>
          <w:rFonts w:ascii="Century Gothic" w:hAnsi="Century Gothic"/>
          <w:lang w:val="en-ZA"/>
        </w:rPr>
        <w:t xml:space="preserve">Bluecentrix’s </w:t>
      </w:r>
      <w:r w:rsidR="003F0C79" w:rsidRPr="0028705D">
        <w:rPr>
          <w:rFonts w:ascii="Century Gothic" w:hAnsi="Century Gothic"/>
          <w:lang w:val="en-ZA"/>
        </w:rPr>
        <w:t xml:space="preserve">answering affidavit does not constitute an admission that any amount is owed by Bluecentrix to DFA, and emphasised the use of the word “purportedly”.  </w:t>
      </w:r>
    </w:p>
    <w:p w14:paraId="3BBC39E5" w14:textId="77777777" w:rsidR="00EF7EC6" w:rsidRDefault="00EF7EC6" w:rsidP="0028705D">
      <w:pPr>
        <w:spacing w:line="480" w:lineRule="auto"/>
        <w:ind w:left="567" w:hanging="567"/>
        <w:jc w:val="both"/>
        <w:rPr>
          <w:rFonts w:ascii="Century Gothic" w:hAnsi="Century Gothic"/>
          <w:lang w:val="en-ZA"/>
        </w:rPr>
      </w:pPr>
    </w:p>
    <w:p w14:paraId="1AB0BA26" w14:textId="77777777" w:rsidR="00EF7EC6" w:rsidRDefault="00EF7EC6" w:rsidP="0028705D">
      <w:pPr>
        <w:spacing w:line="480" w:lineRule="auto"/>
        <w:ind w:left="567" w:hanging="567"/>
        <w:jc w:val="both"/>
        <w:rPr>
          <w:rFonts w:ascii="Century Gothic" w:hAnsi="Century Gothic"/>
          <w:lang w:val="en-ZA"/>
        </w:rPr>
      </w:pPr>
      <w:r>
        <w:rPr>
          <w:rFonts w:ascii="Century Gothic" w:hAnsi="Century Gothic"/>
          <w:lang w:val="en-ZA"/>
        </w:rPr>
        <w:t>[8]</w:t>
      </w:r>
      <w:r>
        <w:rPr>
          <w:rFonts w:ascii="Century Gothic" w:hAnsi="Century Gothic"/>
          <w:lang w:val="en-ZA"/>
        </w:rPr>
        <w:tab/>
      </w:r>
      <w:r w:rsidR="003F0C79" w:rsidRPr="0028705D">
        <w:rPr>
          <w:rFonts w:ascii="Century Gothic" w:hAnsi="Century Gothic"/>
          <w:lang w:val="en-ZA"/>
        </w:rPr>
        <w:t>I have considered</w:t>
      </w:r>
      <w:r w:rsidR="00CC0315" w:rsidRPr="0028705D">
        <w:rPr>
          <w:rFonts w:ascii="Century Gothic" w:hAnsi="Century Gothic"/>
          <w:lang w:val="en-ZA"/>
        </w:rPr>
        <w:t xml:space="preserve">, </w:t>
      </w:r>
      <w:r w:rsidR="00CC0315" w:rsidRPr="0028705D">
        <w:rPr>
          <w:rFonts w:ascii="Century Gothic" w:hAnsi="Century Gothic"/>
          <w:i/>
          <w:iCs/>
          <w:lang w:val="en-ZA"/>
        </w:rPr>
        <w:t>inter alia:</w:t>
      </w:r>
      <w:r w:rsidR="003F0C79" w:rsidRPr="0028705D">
        <w:rPr>
          <w:rFonts w:ascii="Century Gothic" w:hAnsi="Century Gothic"/>
          <w:lang w:val="en-ZA"/>
        </w:rPr>
        <w:t xml:space="preserve"> </w:t>
      </w:r>
      <w:r w:rsidR="00767F2C">
        <w:rPr>
          <w:rFonts w:ascii="Century Gothic" w:hAnsi="Century Gothic"/>
          <w:lang w:val="en-ZA"/>
        </w:rPr>
        <w:t xml:space="preserve">- </w:t>
      </w:r>
      <w:r w:rsidR="003F0C79" w:rsidRPr="0028705D">
        <w:rPr>
          <w:rFonts w:ascii="Century Gothic" w:hAnsi="Century Gothic"/>
          <w:lang w:val="en-ZA"/>
        </w:rPr>
        <w:t>this argument as well as the question whether Bluecentrix ha</w:t>
      </w:r>
      <w:r w:rsidR="00CC0315" w:rsidRPr="0028705D">
        <w:rPr>
          <w:rFonts w:ascii="Century Gothic" w:hAnsi="Century Gothic"/>
          <w:lang w:val="en-ZA"/>
        </w:rPr>
        <w:t>s</w:t>
      </w:r>
      <w:r w:rsidR="003F0C79" w:rsidRPr="0028705D">
        <w:rPr>
          <w:rFonts w:ascii="Century Gothic" w:hAnsi="Century Gothic"/>
          <w:lang w:val="en-ZA"/>
        </w:rPr>
        <w:t xml:space="preserve"> mounted any resistance to the attack on its insolvency</w:t>
      </w:r>
      <w:r w:rsidR="00CC0315" w:rsidRPr="0028705D">
        <w:rPr>
          <w:rFonts w:ascii="Century Gothic" w:hAnsi="Century Gothic"/>
          <w:lang w:val="en-ZA"/>
        </w:rPr>
        <w:t>;</w:t>
      </w:r>
      <w:r w:rsidR="003F0C79" w:rsidRPr="0028705D">
        <w:rPr>
          <w:rFonts w:ascii="Century Gothic" w:hAnsi="Century Gothic"/>
          <w:lang w:val="en-ZA"/>
        </w:rPr>
        <w:t xml:space="preserve"> </w:t>
      </w:r>
      <w:r w:rsidR="00226C45" w:rsidRPr="0028705D">
        <w:rPr>
          <w:rFonts w:ascii="Century Gothic" w:hAnsi="Century Gothic"/>
          <w:lang w:val="en-ZA"/>
        </w:rPr>
        <w:t xml:space="preserve">- </w:t>
      </w:r>
      <w:r w:rsidR="003F0C79" w:rsidRPr="0028705D">
        <w:rPr>
          <w:rFonts w:ascii="Century Gothic" w:hAnsi="Century Gothic"/>
          <w:lang w:val="en-ZA"/>
        </w:rPr>
        <w:t xml:space="preserve">whether DFA has violated the </w:t>
      </w:r>
      <w:r w:rsidR="003F0C79" w:rsidRPr="0028705D">
        <w:rPr>
          <w:rFonts w:ascii="Century Gothic" w:hAnsi="Century Gothic"/>
          <w:i/>
          <w:iCs/>
          <w:u w:val="single"/>
          <w:lang w:val="en-ZA"/>
        </w:rPr>
        <w:t>Badenhors</w:t>
      </w:r>
      <w:r w:rsidR="00604F44" w:rsidRPr="0028705D">
        <w:rPr>
          <w:rFonts w:ascii="Century Gothic" w:hAnsi="Century Gothic"/>
          <w:i/>
          <w:iCs/>
          <w:u w:val="single"/>
          <w:lang w:val="en-ZA"/>
        </w:rPr>
        <w:t xml:space="preserve">t </w:t>
      </w:r>
      <w:r w:rsidR="00604F44" w:rsidRPr="00EC66F6">
        <w:rPr>
          <w:rFonts w:ascii="Century Gothic" w:hAnsi="Century Gothic"/>
          <w:u w:val="single"/>
          <w:lang w:val="en-ZA"/>
        </w:rPr>
        <w:t>rule</w:t>
      </w:r>
      <w:r w:rsidR="003F0C79" w:rsidRPr="0028705D">
        <w:rPr>
          <w:rFonts w:ascii="Century Gothic" w:hAnsi="Century Gothic"/>
          <w:lang w:val="en-ZA"/>
        </w:rPr>
        <w:t xml:space="preserve"> that winding-up proceedings should not be resorted to as a means of enforcing payment of a debt</w:t>
      </w:r>
      <w:r w:rsidR="00767F2C">
        <w:rPr>
          <w:rFonts w:ascii="Century Gothic" w:hAnsi="Century Gothic"/>
          <w:lang w:val="en-ZA"/>
        </w:rPr>
        <w:t xml:space="preserve">, </w:t>
      </w:r>
      <w:r w:rsidR="003F0C79" w:rsidRPr="0028705D">
        <w:rPr>
          <w:rFonts w:ascii="Century Gothic" w:hAnsi="Century Gothic"/>
          <w:lang w:val="en-ZA"/>
        </w:rPr>
        <w:t xml:space="preserve">the existence of which is </w:t>
      </w:r>
      <w:r w:rsidR="003F0C79" w:rsidRPr="0028705D">
        <w:rPr>
          <w:rFonts w:ascii="Century Gothic" w:hAnsi="Century Gothic"/>
          <w:i/>
          <w:iCs/>
          <w:lang w:val="en-ZA"/>
        </w:rPr>
        <w:t>bona fide</w:t>
      </w:r>
      <w:r w:rsidR="003F0C79" w:rsidRPr="0028705D">
        <w:rPr>
          <w:rFonts w:ascii="Century Gothic" w:hAnsi="Century Gothic"/>
          <w:lang w:val="en-ZA"/>
        </w:rPr>
        <w:t xml:space="preserve"> disputed on reasonable grounds</w:t>
      </w:r>
      <w:r w:rsidR="00370F3F" w:rsidRPr="0028705D">
        <w:rPr>
          <w:rFonts w:ascii="Century Gothic" w:hAnsi="Century Gothic"/>
          <w:lang w:val="en-ZA"/>
        </w:rPr>
        <w:t xml:space="preserve">; </w:t>
      </w:r>
      <w:r w:rsidR="003F0C79" w:rsidRPr="0028705D">
        <w:rPr>
          <w:rFonts w:ascii="Century Gothic" w:hAnsi="Century Gothic"/>
          <w:lang w:val="en-ZA"/>
        </w:rPr>
        <w:t>and</w:t>
      </w:r>
      <w:r w:rsidR="00370F3F" w:rsidRPr="0028705D">
        <w:rPr>
          <w:rFonts w:ascii="Century Gothic" w:hAnsi="Century Gothic"/>
          <w:lang w:val="en-ZA"/>
        </w:rPr>
        <w:t xml:space="preserve">, - </w:t>
      </w:r>
      <w:r w:rsidR="003F0C79" w:rsidRPr="0028705D">
        <w:rPr>
          <w:rFonts w:ascii="Century Gothic" w:hAnsi="Century Gothic"/>
          <w:lang w:val="en-ZA"/>
        </w:rPr>
        <w:t>in so doing,</w:t>
      </w:r>
      <w:r w:rsidR="00767F2C">
        <w:rPr>
          <w:rFonts w:ascii="Century Gothic" w:hAnsi="Century Gothic"/>
          <w:lang w:val="en-ZA"/>
        </w:rPr>
        <w:t xml:space="preserve"> whether DFA</w:t>
      </w:r>
      <w:r w:rsidR="003F0C79" w:rsidRPr="0028705D">
        <w:rPr>
          <w:rFonts w:ascii="Century Gothic" w:hAnsi="Century Gothic"/>
          <w:lang w:val="en-ZA"/>
        </w:rPr>
        <w:t xml:space="preserve"> also violated the broader principle that the court’s processes should not be abused.</w:t>
      </w:r>
      <w:r w:rsidR="007C4B84">
        <w:rPr>
          <w:rFonts w:ascii="Century Gothic" w:hAnsi="Century Gothic"/>
          <w:lang w:val="en-ZA"/>
        </w:rPr>
        <w:t xml:space="preserve"> </w:t>
      </w:r>
    </w:p>
    <w:p w14:paraId="61AFC19E" w14:textId="77777777" w:rsidR="00EF7EC6" w:rsidRDefault="00EF7EC6" w:rsidP="0028705D">
      <w:pPr>
        <w:spacing w:line="480" w:lineRule="auto"/>
        <w:ind w:left="567" w:hanging="567"/>
        <w:jc w:val="both"/>
        <w:rPr>
          <w:rFonts w:ascii="Century Gothic" w:hAnsi="Century Gothic"/>
          <w:lang w:val="en-ZA"/>
        </w:rPr>
      </w:pPr>
    </w:p>
    <w:p w14:paraId="1C38338C" w14:textId="730782F1" w:rsidR="003F0C79" w:rsidRPr="00BD49A6" w:rsidRDefault="00EF7EC6" w:rsidP="0028705D">
      <w:pPr>
        <w:spacing w:line="480" w:lineRule="auto"/>
        <w:ind w:left="567" w:hanging="567"/>
        <w:jc w:val="both"/>
        <w:rPr>
          <w:rFonts w:ascii="Century Gothic" w:hAnsi="Century Gothic"/>
          <w:lang w:val="en-ZA"/>
        </w:rPr>
      </w:pPr>
      <w:r>
        <w:rPr>
          <w:rFonts w:ascii="Century Gothic" w:hAnsi="Century Gothic"/>
          <w:lang w:val="en-ZA"/>
        </w:rPr>
        <w:t>[9]</w:t>
      </w:r>
      <w:r>
        <w:rPr>
          <w:rFonts w:ascii="Century Gothic" w:hAnsi="Century Gothic"/>
          <w:lang w:val="en-ZA"/>
        </w:rPr>
        <w:tab/>
      </w:r>
      <w:r w:rsidR="007C4B84">
        <w:rPr>
          <w:rFonts w:ascii="Century Gothic" w:hAnsi="Century Gothic"/>
          <w:lang w:val="en-ZA"/>
        </w:rPr>
        <w:t xml:space="preserve">I </w:t>
      </w:r>
      <w:r w:rsidR="009B2B89">
        <w:rPr>
          <w:rFonts w:ascii="Century Gothic" w:hAnsi="Century Gothic"/>
          <w:lang w:val="en-ZA"/>
        </w:rPr>
        <w:t>have co</w:t>
      </w:r>
      <w:r w:rsidR="006C44C0">
        <w:rPr>
          <w:rFonts w:ascii="Century Gothic" w:hAnsi="Century Gothic"/>
          <w:lang w:val="en-ZA"/>
        </w:rPr>
        <w:t>ncluded</w:t>
      </w:r>
      <w:r w:rsidR="009B2B89">
        <w:rPr>
          <w:rFonts w:ascii="Century Gothic" w:hAnsi="Century Gothic"/>
          <w:lang w:val="en-ZA"/>
        </w:rPr>
        <w:t xml:space="preserve"> </w:t>
      </w:r>
      <w:r w:rsidR="007C4B84">
        <w:rPr>
          <w:rFonts w:ascii="Century Gothic" w:hAnsi="Century Gothic"/>
          <w:lang w:val="en-ZA"/>
        </w:rPr>
        <w:t xml:space="preserve">that </w:t>
      </w:r>
      <w:proofErr w:type="spellStart"/>
      <w:r w:rsidR="007C4B84">
        <w:rPr>
          <w:rFonts w:ascii="Century Gothic" w:hAnsi="Century Gothic"/>
          <w:lang w:val="en-ZA"/>
        </w:rPr>
        <w:t>Bluecentrix</w:t>
      </w:r>
      <w:proofErr w:type="spellEnd"/>
      <w:r w:rsidR="007C4B84">
        <w:rPr>
          <w:rFonts w:ascii="Century Gothic" w:hAnsi="Century Gothic"/>
          <w:lang w:val="en-ZA"/>
        </w:rPr>
        <w:t xml:space="preserve"> </w:t>
      </w:r>
      <w:r w:rsidR="009B2B89">
        <w:rPr>
          <w:rFonts w:ascii="Century Gothic" w:hAnsi="Century Gothic"/>
          <w:lang w:val="en-ZA"/>
        </w:rPr>
        <w:t>has</w:t>
      </w:r>
      <w:r w:rsidR="007C4B84">
        <w:rPr>
          <w:rFonts w:ascii="Century Gothic" w:hAnsi="Century Gothic"/>
          <w:lang w:val="en-ZA"/>
        </w:rPr>
        <w:t xml:space="preserve"> </w:t>
      </w:r>
      <w:r w:rsidR="0001443F">
        <w:rPr>
          <w:rFonts w:ascii="Century Gothic" w:hAnsi="Century Gothic"/>
          <w:lang w:val="en-ZA"/>
        </w:rPr>
        <w:t>done nothing since the granting of the provisional liquidation order by Gamble, J to show that it is indeed solvent. In addition, Bluecentrix</w:t>
      </w:r>
      <w:r w:rsidR="00476B76">
        <w:rPr>
          <w:rFonts w:ascii="Century Gothic" w:hAnsi="Century Gothic"/>
          <w:lang w:val="en-ZA"/>
        </w:rPr>
        <w:t xml:space="preserve"> has advanced no evidence upon which I could find that DFA has violate</w:t>
      </w:r>
      <w:r w:rsidR="00CC0FE8">
        <w:rPr>
          <w:rFonts w:ascii="Century Gothic" w:hAnsi="Century Gothic"/>
          <w:lang w:val="en-ZA"/>
        </w:rPr>
        <w:t>d</w:t>
      </w:r>
      <w:r w:rsidR="00476B76">
        <w:rPr>
          <w:rFonts w:ascii="Century Gothic" w:hAnsi="Century Gothic"/>
          <w:lang w:val="en-ZA"/>
        </w:rPr>
        <w:t xml:space="preserve"> the </w:t>
      </w:r>
      <w:proofErr w:type="spellStart"/>
      <w:r w:rsidR="00476B76">
        <w:rPr>
          <w:rFonts w:ascii="Century Gothic" w:hAnsi="Century Gothic"/>
          <w:i/>
          <w:iCs/>
          <w:u w:val="single"/>
          <w:lang w:val="en-ZA"/>
        </w:rPr>
        <w:t>Badenhorst</w:t>
      </w:r>
      <w:proofErr w:type="spellEnd"/>
      <w:r w:rsidR="00476B76">
        <w:rPr>
          <w:rFonts w:ascii="Century Gothic" w:hAnsi="Century Gothic"/>
          <w:i/>
          <w:iCs/>
          <w:u w:val="single"/>
          <w:lang w:val="en-ZA"/>
        </w:rPr>
        <w:t xml:space="preserve"> </w:t>
      </w:r>
      <w:r w:rsidR="00EC66F6">
        <w:rPr>
          <w:rFonts w:ascii="Century Gothic" w:hAnsi="Century Gothic"/>
          <w:u w:val="single"/>
          <w:lang w:val="en-ZA"/>
        </w:rPr>
        <w:t>rule</w:t>
      </w:r>
      <w:r w:rsidR="00476B76">
        <w:rPr>
          <w:rFonts w:ascii="Century Gothic" w:hAnsi="Century Gothic"/>
          <w:lang w:val="en-ZA"/>
        </w:rPr>
        <w:t xml:space="preserve"> or the broader principle that the court’s processes should </w:t>
      </w:r>
      <w:r w:rsidR="00B403F6">
        <w:rPr>
          <w:rFonts w:ascii="Century Gothic" w:hAnsi="Century Gothic"/>
          <w:lang w:val="en-ZA"/>
        </w:rPr>
        <w:t xml:space="preserve">not </w:t>
      </w:r>
      <w:r w:rsidR="00476B76">
        <w:rPr>
          <w:rFonts w:ascii="Century Gothic" w:hAnsi="Century Gothic"/>
          <w:lang w:val="en-ZA"/>
        </w:rPr>
        <w:t>be abused</w:t>
      </w:r>
      <w:r w:rsidR="00040EE8">
        <w:rPr>
          <w:rFonts w:ascii="Century Gothic" w:hAnsi="Century Gothic"/>
          <w:lang w:val="en-ZA"/>
        </w:rPr>
        <w:t>. F</w:t>
      </w:r>
      <w:r w:rsidR="00476B76">
        <w:rPr>
          <w:rFonts w:ascii="Century Gothic" w:hAnsi="Century Gothic"/>
          <w:lang w:val="en-ZA"/>
        </w:rPr>
        <w:t>inally,</w:t>
      </w:r>
      <w:r w:rsidR="00040EE8">
        <w:rPr>
          <w:rFonts w:ascii="Century Gothic" w:hAnsi="Century Gothic"/>
          <w:lang w:val="en-ZA"/>
        </w:rPr>
        <w:t xml:space="preserve"> </w:t>
      </w:r>
      <w:r w:rsidR="00040EE8">
        <w:rPr>
          <w:rFonts w:ascii="Century Gothic" w:hAnsi="Century Gothic"/>
          <w:lang w:val="en-ZA"/>
        </w:rPr>
        <w:lastRenderedPageBreak/>
        <w:t xml:space="preserve">Bluecentrix has done nothing since being placed under provisional liquidation </w:t>
      </w:r>
      <w:r w:rsidR="00BD49A6">
        <w:rPr>
          <w:rFonts w:ascii="Century Gothic" w:hAnsi="Century Gothic"/>
          <w:lang w:val="en-ZA"/>
        </w:rPr>
        <w:t xml:space="preserve">to show that it </w:t>
      </w:r>
      <w:r w:rsidR="00BD49A6">
        <w:rPr>
          <w:rFonts w:ascii="Century Gothic" w:hAnsi="Century Gothic"/>
          <w:i/>
          <w:iCs/>
          <w:lang w:val="en-ZA"/>
        </w:rPr>
        <w:t>bona fide</w:t>
      </w:r>
      <w:r w:rsidR="00BD49A6">
        <w:rPr>
          <w:rFonts w:ascii="Century Gothic" w:hAnsi="Century Gothic"/>
          <w:lang w:val="en-ZA"/>
        </w:rPr>
        <w:t xml:space="preserve"> disputed the existence of a debt towards DFA.</w:t>
      </w:r>
    </w:p>
    <w:p w14:paraId="331E4033" w14:textId="77777777" w:rsidR="003F0C79" w:rsidRPr="003F0C79" w:rsidRDefault="003F0C79" w:rsidP="0028705D">
      <w:pPr>
        <w:pStyle w:val="ListParagraph"/>
        <w:ind w:left="567" w:hanging="567"/>
        <w:rPr>
          <w:rFonts w:ascii="Century Gothic" w:hAnsi="Century Gothic"/>
          <w:lang w:val="en-ZA"/>
        </w:rPr>
      </w:pPr>
    </w:p>
    <w:p w14:paraId="2A91C32A" w14:textId="5A63E845" w:rsidR="003F0C79" w:rsidRPr="0028705D" w:rsidRDefault="002A243F" w:rsidP="002A243F">
      <w:pPr>
        <w:spacing w:line="480" w:lineRule="auto"/>
        <w:ind w:left="567" w:hanging="567"/>
        <w:jc w:val="both"/>
        <w:rPr>
          <w:rFonts w:ascii="Century Gothic" w:hAnsi="Century Gothic"/>
          <w:lang w:val="en-ZA"/>
        </w:rPr>
      </w:pPr>
      <w:r>
        <w:rPr>
          <w:rFonts w:ascii="Century Gothic" w:hAnsi="Century Gothic"/>
          <w:lang w:val="en-ZA"/>
        </w:rPr>
        <w:t>[</w:t>
      </w:r>
      <w:r w:rsidR="008C25B5">
        <w:rPr>
          <w:rFonts w:ascii="Century Gothic" w:hAnsi="Century Gothic"/>
          <w:lang w:val="en-ZA"/>
        </w:rPr>
        <w:t>10</w:t>
      </w:r>
      <w:r>
        <w:rPr>
          <w:rFonts w:ascii="Century Gothic" w:hAnsi="Century Gothic"/>
          <w:lang w:val="en-ZA"/>
        </w:rPr>
        <w:t>]</w:t>
      </w:r>
      <w:r>
        <w:rPr>
          <w:rFonts w:ascii="Century Gothic" w:hAnsi="Century Gothic"/>
          <w:lang w:val="en-ZA"/>
        </w:rPr>
        <w:tab/>
      </w:r>
      <w:r w:rsidR="003F0C79" w:rsidRPr="0028705D">
        <w:rPr>
          <w:rFonts w:ascii="Century Gothic" w:hAnsi="Century Gothic"/>
          <w:lang w:val="en-ZA"/>
        </w:rPr>
        <w:t xml:space="preserve">It was further found by Gamble, J that </w:t>
      </w:r>
      <w:r w:rsidR="007D7D54">
        <w:rPr>
          <w:rFonts w:ascii="Century Gothic" w:hAnsi="Century Gothic"/>
          <w:lang w:val="en-ZA"/>
        </w:rPr>
        <w:t>Bluecentrix</w:t>
      </w:r>
      <w:r w:rsidR="00502CA0" w:rsidRPr="0028705D">
        <w:rPr>
          <w:rFonts w:ascii="Century Gothic" w:hAnsi="Century Gothic"/>
          <w:lang w:val="en-ZA"/>
        </w:rPr>
        <w:t xml:space="preserve">: - </w:t>
      </w:r>
      <w:r w:rsidR="003F0C79" w:rsidRPr="0028705D">
        <w:rPr>
          <w:rFonts w:ascii="Century Gothic" w:hAnsi="Century Gothic"/>
          <w:lang w:val="en-ZA"/>
        </w:rPr>
        <w:t xml:space="preserve">made bald, generalised denials in its answering affidavit regarding, </w:t>
      </w:r>
      <w:r w:rsidR="003F0C79" w:rsidRPr="0028705D">
        <w:rPr>
          <w:rFonts w:ascii="Century Gothic" w:hAnsi="Century Gothic"/>
          <w:i/>
          <w:iCs/>
          <w:lang w:val="en-ZA"/>
        </w:rPr>
        <w:t>inter alia,</w:t>
      </w:r>
      <w:r w:rsidR="003F0C79" w:rsidRPr="0028705D">
        <w:rPr>
          <w:rFonts w:ascii="Century Gothic" w:hAnsi="Century Gothic"/>
          <w:lang w:val="en-ZA"/>
        </w:rPr>
        <w:t xml:space="preserve"> the exten</w:t>
      </w:r>
      <w:r w:rsidR="00576385" w:rsidRPr="0028705D">
        <w:rPr>
          <w:rFonts w:ascii="Century Gothic" w:hAnsi="Century Gothic"/>
          <w:lang w:val="en-ZA"/>
        </w:rPr>
        <w:t>t</w:t>
      </w:r>
      <w:r w:rsidR="003F0C79" w:rsidRPr="0028705D">
        <w:rPr>
          <w:rFonts w:ascii="Century Gothic" w:hAnsi="Century Gothic"/>
          <w:lang w:val="en-ZA"/>
        </w:rPr>
        <w:t xml:space="preserve"> of its indebtedness to DFA</w:t>
      </w:r>
      <w:r w:rsidR="00502CA0" w:rsidRPr="0028705D">
        <w:rPr>
          <w:rFonts w:ascii="Century Gothic" w:hAnsi="Century Gothic"/>
          <w:lang w:val="en-ZA"/>
        </w:rPr>
        <w:t xml:space="preserve">. </w:t>
      </w:r>
      <w:r w:rsidR="00D66044">
        <w:rPr>
          <w:rFonts w:ascii="Century Gothic" w:hAnsi="Century Gothic"/>
          <w:lang w:val="en-ZA"/>
        </w:rPr>
        <w:t>T</w:t>
      </w:r>
      <w:r w:rsidR="00E221C5" w:rsidRPr="0028705D">
        <w:rPr>
          <w:rFonts w:ascii="Century Gothic" w:hAnsi="Century Gothic"/>
          <w:lang w:val="en-ZA"/>
        </w:rPr>
        <w:t xml:space="preserve">he </w:t>
      </w:r>
      <w:r w:rsidR="003F0C79" w:rsidRPr="0028705D">
        <w:rPr>
          <w:rFonts w:ascii="Century Gothic" w:hAnsi="Century Gothic"/>
          <w:lang w:val="en-ZA"/>
        </w:rPr>
        <w:t>various reasons</w:t>
      </w:r>
      <w:r w:rsidR="00E221C5" w:rsidRPr="0028705D">
        <w:rPr>
          <w:rFonts w:ascii="Century Gothic" w:hAnsi="Century Gothic"/>
          <w:lang w:val="en-ZA"/>
        </w:rPr>
        <w:t xml:space="preserve"> put up by </w:t>
      </w:r>
      <w:r w:rsidR="007D7D54">
        <w:rPr>
          <w:rFonts w:ascii="Century Gothic" w:hAnsi="Century Gothic"/>
          <w:lang w:val="en-ZA"/>
        </w:rPr>
        <w:t>Bluecentrix</w:t>
      </w:r>
      <w:r w:rsidR="007D7D54" w:rsidRPr="0028705D">
        <w:rPr>
          <w:rFonts w:ascii="Century Gothic" w:hAnsi="Century Gothic"/>
          <w:lang w:val="en-ZA"/>
        </w:rPr>
        <w:t xml:space="preserve"> </w:t>
      </w:r>
      <w:r w:rsidR="003F0C79" w:rsidRPr="0028705D">
        <w:rPr>
          <w:rFonts w:ascii="Century Gothic" w:hAnsi="Century Gothic"/>
          <w:lang w:val="en-ZA"/>
        </w:rPr>
        <w:t>for its contention that it is not indebted in the amount alleged including the defence of prescription</w:t>
      </w:r>
      <w:r w:rsidR="00D66044">
        <w:rPr>
          <w:rFonts w:ascii="Century Gothic" w:hAnsi="Century Gothic"/>
          <w:lang w:val="en-ZA"/>
        </w:rPr>
        <w:t>, were also considered</w:t>
      </w:r>
      <w:r w:rsidR="003F0C79" w:rsidRPr="0028705D">
        <w:rPr>
          <w:rFonts w:ascii="Century Gothic" w:hAnsi="Century Gothic"/>
          <w:lang w:val="en-ZA"/>
        </w:rPr>
        <w:t xml:space="preserve">.  However, it was found by </w:t>
      </w:r>
      <w:r w:rsidR="00D66044">
        <w:rPr>
          <w:rFonts w:ascii="Century Gothic" w:hAnsi="Century Gothic"/>
          <w:lang w:val="en-ZA"/>
        </w:rPr>
        <w:t>Gamble, J</w:t>
      </w:r>
      <w:r w:rsidR="003F0C79" w:rsidRPr="0028705D">
        <w:rPr>
          <w:rFonts w:ascii="Century Gothic" w:hAnsi="Century Gothic"/>
          <w:lang w:val="en-ZA"/>
        </w:rPr>
        <w:t xml:space="preserve"> that the issue of prescription was not adequately address</w:t>
      </w:r>
      <w:r w:rsidR="00506CBF">
        <w:rPr>
          <w:rFonts w:ascii="Century Gothic" w:hAnsi="Century Gothic"/>
          <w:lang w:val="en-ZA"/>
        </w:rPr>
        <w:t>ed</w:t>
      </w:r>
      <w:r w:rsidR="003F0C79" w:rsidRPr="0028705D">
        <w:rPr>
          <w:rFonts w:ascii="Century Gothic" w:hAnsi="Century Gothic"/>
          <w:lang w:val="en-ZA"/>
        </w:rPr>
        <w:t xml:space="preserve"> to enable the court to assess the veracity or exten</w:t>
      </w:r>
      <w:r w:rsidR="00E221C5" w:rsidRPr="0028705D">
        <w:rPr>
          <w:rFonts w:ascii="Century Gothic" w:hAnsi="Century Gothic"/>
          <w:lang w:val="en-ZA"/>
        </w:rPr>
        <w:t>t</w:t>
      </w:r>
      <w:r w:rsidR="003F0C79" w:rsidRPr="0028705D">
        <w:rPr>
          <w:rFonts w:ascii="Century Gothic" w:hAnsi="Century Gothic"/>
          <w:lang w:val="en-ZA"/>
        </w:rPr>
        <w:t xml:space="preserve"> of the allegation and, most importantly, </w:t>
      </w:r>
      <w:r w:rsidR="007D7D54">
        <w:rPr>
          <w:rFonts w:ascii="Century Gothic" w:hAnsi="Century Gothic"/>
          <w:lang w:val="en-ZA"/>
        </w:rPr>
        <w:t xml:space="preserve">Bluecentrix </w:t>
      </w:r>
      <w:r w:rsidR="00767F2C">
        <w:rPr>
          <w:rFonts w:ascii="Century Gothic" w:hAnsi="Century Gothic"/>
          <w:lang w:val="en-ZA"/>
        </w:rPr>
        <w:t>did</w:t>
      </w:r>
      <w:r w:rsidR="003F0C79" w:rsidRPr="0028705D">
        <w:rPr>
          <w:rFonts w:ascii="Century Gothic" w:hAnsi="Century Gothic"/>
          <w:lang w:val="en-ZA"/>
        </w:rPr>
        <w:t xml:space="preserve"> not take the court into his confidence and </w:t>
      </w:r>
      <w:r w:rsidR="00767F2C">
        <w:rPr>
          <w:rFonts w:ascii="Century Gothic" w:hAnsi="Century Gothic"/>
          <w:lang w:val="en-ZA"/>
        </w:rPr>
        <w:t xml:space="preserve">did not </w:t>
      </w:r>
      <w:r w:rsidR="003F0C79" w:rsidRPr="0028705D">
        <w:rPr>
          <w:rFonts w:ascii="Century Gothic" w:hAnsi="Century Gothic"/>
          <w:lang w:val="en-ZA"/>
        </w:rPr>
        <w:t xml:space="preserve">allege what it says is owed and how the amount </w:t>
      </w:r>
      <w:r w:rsidR="006057B2">
        <w:rPr>
          <w:rFonts w:ascii="Century Gothic" w:hAnsi="Century Gothic"/>
          <w:lang w:val="en-ZA"/>
        </w:rPr>
        <w:t>ought to be</w:t>
      </w:r>
      <w:r w:rsidR="003F0C79" w:rsidRPr="0028705D">
        <w:rPr>
          <w:rFonts w:ascii="Century Gothic" w:hAnsi="Century Gothic"/>
          <w:lang w:val="en-ZA"/>
        </w:rPr>
        <w:t xml:space="preserve"> calculated. </w:t>
      </w:r>
      <w:r w:rsidR="000D2CBF">
        <w:rPr>
          <w:rFonts w:ascii="Century Gothic" w:hAnsi="Century Gothic"/>
          <w:lang w:val="en-ZA"/>
        </w:rPr>
        <w:t>I have co</w:t>
      </w:r>
      <w:r w:rsidR="006C44C0">
        <w:rPr>
          <w:rFonts w:ascii="Century Gothic" w:hAnsi="Century Gothic"/>
          <w:lang w:val="en-ZA"/>
        </w:rPr>
        <w:t>ncluded</w:t>
      </w:r>
      <w:r w:rsidR="000D2CBF">
        <w:rPr>
          <w:rFonts w:ascii="Century Gothic" w:hAnsi="Century Gothic"/>
          <w:lang w:val="en-ZA"/>
        </w:rPr>
        <w:t xml:space="preserve"> that i</w:t>
      </w:r>
      <w:r w:rsidR="00506CBF">
        <w:rPr>
          <w:rFonts w:ascii="Century Gothic" w:hAnsi="Century Gothic"/>
          <w:lang w:val="en-ZA"/>
        </w:rPr>
        <w:t xml:space="preserve">t is an unfortunate feature of </w:t>
      </w:r>
      <w:r w:rsidR="000C2BB1">
        <w:rPr>
          <w:rFonts w:ascii="Century Gothic" w:hAnsi="Century Gothic"/>
          <w:lang w:val="en-ZA"/>
        </w:rPr>
        <w:t>Bluecentrix’s approach in this application for its winding-up that</w:t>
      </w:r>
      <w:r w:rsidR="000D2CBF">
        <w:rPr>
          <w:rFonts w:ascii="Century Gothic" w:hAnsi="Century Gothic"/>
          <w:lang w:val="en-ZA"/>
        </w:rPr>
        <w:t xml:space="preserve"> since it was placed under provisional liquidation,</w:t>
      </w:r>
      <w:r w:rsidR="000C2BB1">
        <w:rPr>
          <w:rFonts w:ascii="Century Gothic" w:hAnsi="Century Gothic"/>
          <w:lang w:val="en-ZA"/>
        </w:rPr>
        <w:t xml:space="preserve"> it perpetuated its </w:t>
      </w:r>
      <w:r w:rsidR="002D3AAE">
        <w:rPr>
          <w:rFonts w:ascii="Century Gothic" w:hAnsi="Century Gothic"/>
          <w:lang w:val="en-ZA"/>
        </w:rPr>
        <w:t>pertinacity to refuse to take the court into its confidence regarding what it says is owed to DFA</w:t>
      </w:r>
      <w:r w:rsidR="00E569AB">
        <w:rPr>
          <w:rFonts w:ascii="Century Gothic" w:hAnsi="Century Gothic"/>
          <w:lang w:val="en-ZA"/>
        </w:rPr>
        <w:t xml:space="preserve">, as well as what was to be made of the exchanges regarding Bluecentrix’s indebtedness in the string of emails, right up to the hearing in the final liquidation stage. </w:t>
      </w:r>
    </w:p>
    <w:p w14:paraId="34F8E58B" w14:textId="77777777" w:rsidR="003F0C79" w:rsidRPr="003F0C79" w:rsidRDefault="003F0C79" w:rsidP="0028705D">
      <w:pPr>
        <w:pStyle w:val="ListParagraph"/>
        <w:ind w:left="567" w:hanging="567"/>
        <w:rPr>
          <w:rFonts w:ascii="Century Gothic" w:hAnsi="Century Gothic"/>
          <w:lang w:val="en-ZA"/>
        </w:rPr>
      </w:pPr>
    </w:p>
    <w:p w14:paraId="4B8AE3AE" w14:textId="05EFD5B8" w:rsidR="003F0C79" w:rsidRPr="002A243F" w:rsidRDefault="002A243F" w:rsidP="002A243F">
      <w:pPr>
        <w:spacing w:line="480" w:lineRule="auto"/>
        <w:ind w:left="567" w:hanging="567"/>
        <w:jc w:val="both"/>
        <w:rPr>
          <w:rFonts w:ascii="Century Gothic" w:hAnsi="Century Gothic"/>
          <w:lang w:val="en-ZA"/>
        </w:rPr>
      </w:pPr>
      <w:r>
        <w:rPr>
          <w:rFonts w:ascii="Century Gothic" w:hAnsi="Century Gothic"/>
          <w:lang w:val="en-ZA"/>
        </w:rPr>
        <w:t>[</w:t>
      </w:r>
      <w:r w:rsidR="008C25B5">
        <w:rPr>
          <w:rFonts w:ascii="Century Gothic" w:hAnsi="Century Gothic"/>
          <w:lang w:val="en-ZA"/>
        </w:rPr>
        <w:t>11</w:t>
      </w:r>
      <w:r>
        <w:rPr>
          <w:rFonts w:ascii="Century Gothic" w:hAnsi="Century Gothic"/>
          <w:lang w:val="en-ZA"/>
        </w:rPr>
        <w:t>]</w:t>
      </w:r>
      <w:r>
        <w:rPr>
          <w:rFonts w:ascii="Century Gothic" w:hAnsi="Century Gothic"/>
          <w:lang w:val="en-ZA"/>
        </w:rPr>
        <w:tab/>
      </w:r>
      <w:r w:rsidR="007D3D2B">
        <w:rPr>
          <w:rFonts w:ascii="Century Gothic" w:hAnsi="Century Gothic"/>
          <w:lang w:val="en-ZA"/>
        </w:rPr>
        <w:t>T</w:t>
      </w:r>
      <w:r w:rsidR="003F0C79" w:rsidRPr="002A243F">
        <w:rPr>
          <w:rFonts w:ascii="Century Gothic" w:hAnsi="Century Gothic"/>
          <w:lang w:val="en-ZA"/>
        </w:rPr>
        <w:t xml:space="preserve">he issues surrounding the defence of prescription </w:t>
      </w:r>
      <w:r w:rsidR="00003688">
        <w:rPr>
          <w:rFonts w:ascii="Century Gothic" w:hAnsi="Century Gothic"/>
          <w:lang w:val="en-ZA"/>
        </w:rPr>
        <w:t xml:space="preserve">as well as </w:t>
      </w:r>
      <w:r w:rsidR="003F0C79" w:rsidRPr="002A243F">
        <w:rPr>
          <w:rFonts w:ascii="Century Gothic" w:hAnsi="Century Gothic"/>
          <w:lang w:val="en-ZA"/>
        </w:rPr>
        <w:t xml:space="preserve">the question whether </w:t>
      </w:r>
      <w:r w:rsidR="007D7D54">
        <w:rPr>
          <w:rFonts w:ascii="Century Gothic" w:hAnsi="Century Gothic"/>
          <w:lang w:val="en-ZA"/>
        </w:rPr>
        <w:t>Bluecentrix</w:t>
      </w:r>
      <w:r w:rsidR="007D7D54" w:rsidRPr="002A243F">
        <w:rPr>
          <w:rFonts w:ascii="Century Gothic" w:hAnsi="Century Gothic"/>
          <w:lang w:val="en-ZA"/>
        </w:rPr>
        <w:t xml:space="preserve"> </w:t>
      </w:r>
      <w:r w:rsidR="003F0C79" w:rsidRPr="002A243F">
        <w:rPr>
          <w:rFonts w:ascii="Century Gothic" w:hAnsi="Century Gothic"/>
          <w:lang w:val="en-ZA"/>
        </w:rPr>
        <w:t>failed to take the court into its confidence have been fully argued before me</w:t>
      </w:r>
      <w:r w:rsidR="00A540C7" w:rsidRPr="002A243F">
        <w:rPr>
          <w:rFonts w:ascii="Century Gothic" w:hAnsi="Century Gothic"/>
          <w:lang w:val="en-ZA"/>
        </w:rPr>
        <w:t xml:space="preserve"> and accordingly </w:t>
      </w:r>
      <w:r w:rsidR="003F0C79" w:rsidRPr="002A243F">
        <w:rPr>
          <w:rFonts w:ascii="Century Gothic" w:hAnsi="Century Gothic"/>
          <w:lang w:val="en-ZA"/>
        </w:rPr>
        <w:t xml:space="preserve">considered at </w:t>
      </w:r>
      <w:r w:rsidR="006C44C0">
        <w:rPr>
          <w:rFonts w:ascii="Century Gothic" w:hAnsi="Century Gothic"/>
          <w:lang w:val="en-ZA"/>
        </w:rPr>
        <w:t xml:space="preserve">the </w:t>
      </w:r>
      <w:r w:rsidR="003F0C79" w:rsidRPr="002A243F">
        <w:rPr>
          <w:rFonts w:ascii="Century Gothic" w:hAnsi="Century Gothic"/>
          <w:lang w:val="en-ZA"/>
        </w:rPr>
        <w:t xml:space="preserve">final liquidation stage, particularly in view of the entire string of emails </w:t>
      </w:r>
      <w:r w:rsidR="003F0C79" w:rsidRPr="002A243F">
        <w:rPr>
          <w:rFonts w:ascii="Century Gothic" w:hAnsi="Century Gothic"/>
          <w:lang w:val="en-ZA"/>
        </w:rPr>
        <w:lastRenderedPageBreak/>
        <w:t xml:space="preserve">attached to the replying affidavit, </w:t>
      </w:r>
      <w:r w:rsidR="00A540C7" w:rsidRPr="002A243F">
        <w:rPr>
          <w:rFonts w:ascii="Century Gothic" w:hAnsi="Century Gothic"/>
          <w:lang w:val="en-ZA"/>
        </w:rPr>
        <w:t xml:space="preserve">of </w:t>
      </w:r>
      <w:r w:rsidR="003F0C79" w:rsidRPr="002A243F">
        <w:rPr>
          <w:rFonts w:ascii="Century Gothic" w:hAnsi="Century Gothic"/>
          <w:lang w:val="en-ZA"/>
        </w:rPr>
        <w:t xml:space="preserve">which the van der Mescht email of 24 February 2021 is part. </w:t>
      </w:r>
    </w:p>
    <w:p w14:paraId="2A4D706A" w14:textId="77777777" w:rsidR="003F0C79" w:rsidRPr="003F0C79" w:rsidRDefault="003F0C79" w:rsidP="0028705D">
      <w:pPr>
        <w:pStyle w:val="ListParagraph"/>
        <w:ind w:left="567" w:hanging="567"/>
        <w:rPr>
          <w:rFonts w:ascii="Century Gothic" w:hAnsi="Century Gothic"/>
          <w:lang w:val="en-ZA"/>
        </w:rPr>
      </w:pPr>
    </w:p>
    <w:p w14:paraId="77DE630D" w14:textId="5CE6B9D3" w:rsidR="003F0C79" w:rsidRPr="002A243F" w:rsidRDefault="002A243F" w:rsidP="002A243F">
      <w:pPr>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2</w:t>
      </w:r>
      <w:r>
        <w:rPr>
          <w:rFonts w:ascii="Century Gothic" w:hAnsi="Century Gothic"/>
          <w:lang w:val="en-ZA"/>
        </w:rPr>
        <w:t>]</w:t>
      </w:r>
      <w:r>
        <w:rPr>
          <w:rFonts w:ascii="Century Gothic" w:hAnsi="Century Gothic"/>
          <w:lang w:val="en-ZA"/>
        </w:rPr>
        <w:tab/>
      </w:r>
      <w:r w:rsidR="003F0C79" w:rsidRPr="002A243F">
        <w:rPr>
          <w:rFonts w:ascii="Century Gothic" w:hAnsi="Century Gothic"/>
          <w:lang w:val="en-ZA"/>
        </w:rPr>
        <w:t xml:space="preserve">Bluecentrix’s application to strike out the entire string of emails and the passages in the replying affidavit referring thereto was dismissed by Gamble, J on the basis that they were </w:t>
      </w:r>
      <w:r w:rsidR="00285EA5" w:rsidRPr="002A243F">
        <w:rPr>
          <w:rFonts w:ascii="Century Gothic" w:hAnsi="Century Gothic"/>
          <w:lang w:val="en-ZA"/>
        </w:rPr>
        <w:t xml:space="preserve">a </w:t>
      </w:r>
      <w:r w:rsidR="003F0C79" w:rsidRPr="002A243F">
        <w:rPr>
          <w:rFonts w:ascii="Century Gothic" w:hAnsi="Century Gothic"/>
          <w:lang w:val="en-ZA"/>
        </w:rPr>
        <w:t>continuation of the narrative commencing in the founding affidavit and constituted a direct response to the purported denials and the case generally put up in the answering affidavit. It was pertinently found that these allegations were not to be struck out as DFA was not introducing new matter</w:t>
      </w:r>
      <w:r w:rsidR="007D3D2B">
        <w:rPr>
          <w:rFonts w:ascii="Century Gothic" w:hAnsi="Century Gothic"/>
          <w:lang w:val="en-ZA"/>
        </w:rPr>
        <w:t>, did not</w:t>
      </w:r>
      <w:r w:rsidR="00AC5E59">
        <w:rPr>
          <w:rFonts w:ascii="Century Gothic" w:hAnsi="Century Gothic"/>
          <w:lang w:val="en-ZA"/>
        </w:rPr>
        <w:t xml:space="preserve"> attempt</w:t>
      </w:r>
      <w:r w:rsidR="003F0C79" w:rsidRPr="002A243F">
        <w:rPr>
          <w:rFonts w:ascii="Century Gothic" w:hAnsi="Century Gothic"/>
          <w:lang w:val="en-ZA"/>
        </w:rPr>
        <w:t xml:space="preserve"> to make out a case in reply</w:t>
      </w:r>
      <w:r w:rsidR="006C44C0">
        <w:rPr>
          <w:rFonts w:ascii="Century Gothic" w:hAnsi="Century Gothic"/>
          <w:lang w:val="en-ZA"/>
        </w:rPr>
        <w:t>,</w:t>
      </w:r>
      <w:r w:rsidR="003F0C79" w:rsidRPr="002A243F">
        <w:rPr>
          <w:rFonts w:ascii="Century Gothic" w:hAnsi="Century Gothic"/>
          <w:lang w:val="en-ZA"/>
        </w:rPr>
        <w:t xml:space="preserve"> and that </w:t>
      </w:r>
      <w:proofErr w:type="spellStart"/>
      <w:r w:rsidR="00CA73DF">
        <w:rPr>
          <w:rFonts w:ascii="Century Gothic" w:hAnsi="Century Gothic"/>
          <w:lang w:val="en-ZA"/>
        </w:rPr>
        <w:t>Bluecentrix</w:t>
      </w:r>
      <w:proofErr w:type="spellEnd"/>
      <w:r w:rsidR="00CA73DF" w:rsidRPr="002A243F">
        <w:rPr>
          <w:rFonts w:ascii="Century Gothic" w:hAnsi="Century Gothic"/>
          <w:lang w:val="en-ZA"/>
        </w:rPr>
        <w:t xml:space="preserve"> </w:t>
      </w:r>
      <w:r w:rsidR="003F0C79" w:rsidRPr="002A243F">
        <w:rPr>
          <w:rFonts w:ascii="Century Gothic" w:hAnsi="Century Gothic"/>
          <w:lang w:val="en-ZA"/>
        </w:rPr>
        <w:t xml:space="preserve">would not suffer any prejudice if the matter is not struck out as </w:t>
      </w:r>
      <w:r w:rsidR="00CA73DF">
        <w:rPr>
          <w:rFonts w:ascii="Century Gothic" w:hAnsi="Century Gothic"/>
          <w:lang w:val="en-ZA"/>
        </w:rPr>
        <w:t>Bluecentrix</w:t>
      </w:r>
      <w:r w:rsidR="00CA73DF" w:rsidRPr="002A243F">
        <w:rPr>
          <w:rFonts w:ascii="Century Gothic" w:hAnsi="Century Gothic"/>
          <w:lang w:val="en-ZA"/>
        </w:rPr>
        <w:t xml:space="preserve"> </w:t>
      </w:r>
      <w:r w:rsidR="003F0C79" w:rsidRPr="002A243F">
        <w:rPr>
          <w:rFonts w:ascii="Century Gothic" w:hAnsi="Century Gothic"/>
          <w:lang w:val="en-ZA"/>
        </w:rPr>
        <w:t>spurned the reasonable invitation by DFA to file a fourth set of affidavits, thus preferring rather to press on</w:t>
      </w:r>
      <w:r w:rsidR="00285EA5" w:rsidRPr="002A243F">
        <w:rPr>
          <w:rFonts w:ascii="Century Gothic" w:hAnsi="Century Gothic"/>
          <w:lang w:val="en-ZA"/>
        </w:rPr>
        <w:t xml:space="preserve"> with</w:t>
      </w:r>
      <w:r w:rsidR="003F0C79" w:rsidRPr="002A243F">
        <w:rPr>
          <w:rFonts w:ascii="Century Gothic" w:hAnsi="Century Gothic"/>
          <w:lang w:val="en-ZA"/>
        </w:rPr>
        <w:t xml:space="preserve"> the matter </w:t>
      </w:r>
      <w:r w:rsidR="00285EA5" w:rsidRPr="002A243F">
        <w:rPr>
          <w:rFonts w:ascii="Century Gothic" w:hAnsi="Century Gothic"/>
          <w:lang w:val="en-ZA"/>
        </w:rPr>
        <w:t>on</w:t>
      </w:r>
      <w:r w:rsidR="003F0C79" w:rsidRPr="002A243F">
        <w:rPr>
          <w:rFonts w:ascii="Century Gothic" w:hAnsi="Century Gothic"/>
          <w:lang w:val="en-ZA"/>
        </w:rPr>
        <w:t xml:space="preserve"> the papers as they stood. </w:t>
      </w:r>
    </w:p>
    <w:p w14:paraId="298AF40B" w14:textId="77777777" w:rsidR="003F0C79" w:rsidRPr="003F0C79" w:rsidRDefault="003F0C79" w:rsidP="0028705D">
      <w:pPr>
        <w:pStyle w:val="ListParagraph"/>
        <w:ind w:left="567" w:hanging="567"/>
        <w:rPr>
          <w:rFonts w:ascii="Century Gothic" w:hAnsi="Century Gothic"/>
          <w:lang w:val="en-ZA"/>
        </w:rPr>
      </w:pPr>
    </w:p>
    <w:p w14:paraId="52C10976" w14:textId="0EA435EF" w:rsidR="003F0C79" w:rsidRDefault="002A243F" w:rsidP="002A243F">
      <w:pPr>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3</w:t>
      </w:r>
      <w:r>
        <w:rPr>
          <w:rFonts w:ascii="Century Gothic" w:hAnsi="Century Gothic"/>
          <w:lang w:val="en-ZA"/>
        </w:rPr>
        <w:t>]</w:t>
      </w:r>
      <w:r>
        <w:rPr>
          <w:rFonts w:ascii="Century Gothic" w:hAnsi="Century Gothic"/>
          <w:lang w:val="en-ZA"/>
        </w:rPr>
        <w:tab/>
      </w:r>
      <w:r w:rsidR="003F0C79" w:rsidRPr="002A243F">
        <w:rPr>
          <w:rFonts w:ascii="Century Gothic" w:hAnsi="Century Gothic"/>
          <w:lang w:val="en-ZA"/>
        </w:rPr>
        <w:t xml:space="preserve">I requested the parties to address me on why I should not have regard to the entire string of emails, seeing that Bluecentrix’s application to strike </w:t>
      </w:r>
      <w:r w:rsidR="00CE1FE9">
        <w:rPr>
          <w:rFonts w:ascii="Century Gothic" w:hAnsi="Century Gothic"/>
          <w:lang w:val="en-ZA"/>
        </w:rPr>
        <w:t>was</w:t>
      </w:r>
      <w:r w:rsidR="003F0C79" w:rsidRPr="002A243F">
        <w:rPr>
          <w:rFonts w:ascii="Century Gothic" w:hAnsi="Century Gothic"/>
          <w:lang w:val="en-ZA"/>
        </w:rPr>
        <w:t xml:space="preserve"> dismissed by Gamble, J</w:t>
      </w:r>
      <w:r w:rsidR="00172152">
        <w:rPr>
          <w:rFonts w:ascii="Century Gothic" w:hAnsi="Century Gothic"/>
          <w:lang w:val="en-ZA"/>
        </w:rPr>
        <w:t>. Bluecentrix’s counsel concede</w:t>
      </w:r>
      <w:r w:rsidR="00B865B7">
        <w:rPr>
          <w:rFonts w:ascii="Century Gothic" w:hAnsi="Century Gothic"/>
          <w:lang w:val="en-ZA"/>
        </w:rPr>
        <w:t>d</w:t>
      </w:r>
      <w:r w:rsidR="00172152">
        <w:rPr>
          <w:rFonts w:ascii="Century Gothic" w:hAnsi="Century Gothic"/>
          <w:lang w:val="en-ZA"/>
        </w:rPr>
        <w:t xml:space="preserve"> that the string of emails remained part of the evidence before me at final liquidation stage, but urged me </w:t>
      </w:r>
      <w:r w:rsidR="00A449E9">
        <w:rPr>
          <w:rFonts w:ascii="Century Gothic" w:hAnsi="Century Gothic"/>
          <w:lang w:val="en-ZA"/>
        </w:rPr>
        <w:t xml:space="preserve">not to consider them as they did not form part of the case that DFA made out in its founding papers, an </w:t>
      </w:r>
      <w:r w:rsidR="00950054">
        <w:rPr>
          <w:rFonts w:ascii="Century Gothic" w:hAnsi="Century Gothic"/>
          <w:lang w:val="en-ZA"/>
        </w:rPr>
        <w:t>argument which I find surprising and untenable, seeing that it was previously rejected by Gamble, J</w:t>
      </w:r>
      <w:r w:rsidR="00FD7CDD">
        <w:rPr>
          <w:rFonts w:ascii="Century Gothic" w:hAnsi="Century Gothic"/>
          <w:lang w:val="en-ZA"/>
        </w:rPr>
        <w:t>.</w:t>
      </w:r>
      <w:r w:rsidR="003F0C79" w:rsidRPr="002A243F">
        <w:rPr>
          <w:rFonts w:ascii="Century Gothic" w:hAnsi="Century Gothic"/>
          <w:lang w:val="en-ZA"/>
        </w:rPr>
        <w:t xml:space="preserve"> </w:t>
      </w:r>
    </w:p>
    <w:p w14:paraId="72AFDC11" w14:textId="77777777" w:rsidR="00C7374F" w:rsidRDefault="00C7374F" w:rsidP="002A243F">
      <w:pPr>
        <w:spacing w:line="480" w:lineRule="auto"/>
        <w:ind w:left="567" w:hanging="567"/>
        <w:jc w:val="both"/>
        <w:rPr>
          <w:rFonts w:ascii="Century Gothic" w:hAnsi="Century Gothic"/>
          <w:lang w:val="en-ZA"/>
        </w:rPr>
      </w:pPr>
    </w:p>
    <w:p w14:paraId="428AA443" w14:textId="00D758D2" w:rsidR="00C7374F" w:rsidRPr="00C7374F" w:rsidRDefault="00C7374F" w:rsidP="002A243F">
      <w:pPr>
        <w:spacing w:line="480" w:lineRule="auto"/>
        <w:ind w:left="567" w:hanging="567"/>
        <w:jc w:val="both"/>
        <w:rPr>
          <w:rFonts w:ascii="Century Gothic" w:hAnsi="Century Gothic"/>
          <w:u w:val="single"/>
          <w:lang w:val="en-ZA"/>
        </w:rPr>
      </w:pPr>
      <w:r>
        <w:rPr>
          <w:rFonts w:ascii="Century Gothic" w:hAnsi="Century Gothic"/>
          <w:u w:val="single"/>
          <w:lang w:val="en-ZA"/>
        </w:rPr>
        <w:t xml:space="preserve">The final liquidation </w:t>
      </w:r>
      <w:r w:rsidR="0065767F">
        <w:rPr>
          <w:rFonts w:ascii="Century Gothic" w:hAnsi="Century Gothic"/>
          <w:u w:val="single"/>
          <w:lang w:val="en-ZA"/>
        </w:rPr>
        <w:t>stage</w:t>
      </w:r>
    </w:p>
    <w:p w14:paraId="5294C7F0" w14:textId="77777777" w:rsidR="003F0C79" w:rsidRPr="003F0C79" w:rsidRDefault="003F0C79" w:rsidP="0028705D">
      <w:pPr>
        <w:pStyle w:val="ListParagraph"/>
        <w:ind w:left="567" w:hanging="567"/>
        <w:rPr>
          <w:rFonts w:ascii="Century Gothic" w:hAnsi="Century Gothic"/>
          <w:lang w:val="en-ZA"/>
        </w:rPr>
      </w:pPr>
    </w:p>
    <w:p w14:paraId="349DEDA8" w14:textId="1A73C685" w:rsidR="006A6A6C" w:rsidRDefault="002A243F" w:rsidP="006A6A6C">
      <w:pPr>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4</w:t>
      </w:r>
      <w:r>
        <w:rPr>
          <w:rFonts w:ascii="Century Gothic" w:hAnsi="Century Gothic"/>
          <w:lang w:val="en-ZA"/>
        </w:rPr>
        <w:t>]</w:t>
      </w:r>
      <w:r>
        <w:rPr>
          <w:rFonts w:ascii="Century Gothic" w:hAnsi="Century Gothic"/>
          <w:lang w:val="en-ZA"/>
        </w:rPr>
        <w:tab/>
      </w:r>
      <w:r w:rsidR="0065767F">
        <w:rPr>
          <w:rFonts w:ascii="Century Gothic" w:hAnsi="Century Gothic"/>
          <w:lang w:val="en-ZA"/>
        </w:rPr>
        <w:t xml:space="preserve">Since 7 August 2023 when the judgment of Gamble, J was handed down, dismissing Bluecentrix’s application </w:t>
      </w:r>
      <w:r w:rsidR="0082656E">
        <w:rPr>
          <w:rFonts w:ascii="Century Gothic" w:hAnsi="Century Gothic"/>
          <w:lang w:val="en-ZA"/>
        </w:rPr>
        <w:t xml:space="preserve">to strike with costs and placing </w:t>
      </w:r>
      <w:proofErr w:type="spellStart"/>
      <w:r w:rsidR="0082656E">
        <w:rPr>
          <w:rFonts w:ascii="Century Gothic" w:hAnsi="Century Gothic"/>
          <w:lang w:val="en-ZA"/>
        </w:rPr>
        <w:t>Bluecentrix</w:t>
      </w:r>
      <w:proofErr w:type="spellEnd"/>
      <w:r w:rsidR="0082656E">
        <w:rPr>
          <w:rFonts w:ascii="Century Gothic" w:hAnsi="Century Gothic"/>
          <w:lang w:val="en-ZA"/>
        </w:rPr>
        <w:t xml:space="preserve"> under a provisional order of liquidation, in the hands of the Master of</w:t>
      </w:r>
      <w:r w:rsidR="006A6A6C">
        <w:rPr>
          <w:rFonts w:ascii="Century Gothic" w:hAnsi="Century Gothic"/>
          <w:lang w:val="en-ZA"/>
        </w:rPr>
        <w:t xml:space="preserve"> this court, the following occurred procedurally before this matter was heard in respect of the final liquidation order sought by DFA:</w:t>
      </w:r>
    </w:p>
    <w:p w14:paraId="73216FD4" w14:textId="77777777" w:rsidR="00111704" w:rsidRDefault="003F0C79" w:rsidP="00111704">
      <w:pPr>
        <w:tabs>
          <w:tab w:val="left" w:pos="567"/>
        </w:tabs>
        <w:spacing w:line="480" w:lineRule="auto"/>
        <w:ind w:left="1440" w:hanging="1440"/>
        <w:jc w:val="both"/>
        <w:rPr>
          <w:rFonts w:ascii="Century Gothic" w:hAnsi="Century Gothic"/>
          <w:lang w:val="en-ZA"/>
        </w:rPr>
      </w:pPr>
      <w:r w:rsidRPr="002A243F">
        <w:rPr>
          <w:rFonts w:ascii="Century Gothic" w:hAnsi="Century Gothic"/>
          <w:lang w:val="en-ZA"/>
        </w:rPr>
        <w:t xml:space="preserve"> </w:t>
      </w:r>
      <w:r w:rsidR="006A6A6C">
        <w:rPr>
          <w:rFonts w:ascii="Century Gothic" w:hAnsi="Century Gothic"/>
          <w:lang w:val="en-ZA"/>
        </w:rPr>
        <w:tab/>
        <w:t>(a)</w:t>
      </w:r>
      <w:r w:rsidR="006A6A6C">
        <w:rPr>
          <w:rFonts w:ascii="Century Gothic" w:hAnsi="Century Gothic"/>
          <w:lang w:val="en-ZA"/>
        </w:rPr>
        <w:tab/>
      </w:r>
      <w:r w:rsidR="00111704">
        <w:rPr>
          <w:rFonts w:ascii="Century Gothic" w:hAnsi="Century Gothic"/>
          <w:lang w:val="en-ZA"/>
        </w:rPr>
        <w:t>On 28 August 2023, Bluecentrix filed a notice of application to appeal the judgment of Gamble, J in respect of the dismissal of its striking application;</w:t>
      </w:r>
    </w:p>
    <w:p w14:paraId="57FC0E33" w14:textId="7BCC083C" w:rsidR="00B00DC6" w:rsidRDefault="00111704" w:rsidP="00111704">
      <w:pPr>
        <w:tabs>
          <w:tab w:val="left" w:pos="567"/>
        </w:tabs>
        <w:spacing w:line="480" w:lineRule="auto"/>
        <w:ind w:left="1440" w:hanging="1440"/>
        <w:jc w:val="both"/>
        <w:rPr>
          <w:rFonts w:ascii="Century Gothic" w:hAnsi="Century Gothic"/>
          <w:lang w:val="en-ZA"/>
        </w:rPr>
      </w:pPr>
      <w:r>
        <w:rPr>
          <w:rFonts w:ascii="Century Gothic" w:hAnsi="Century Gothic"/>
          <w:lang w:val="en-ZA"/>
        </w:rPr>
        <w:tab/>
        <w:t>(b)</w:t>
      </w:r>
      <w:r>
        <w:rPr>
          <w:rFonts w:ascii="Century Gothic" w:hAnsi="Century Gothic"/>
          <w:lang w:val="en-ZA"/>
        </w:rPr>
        <w:tab/>
      </w:r>
      <w:r w:rsidR="00B00DC6">
        <w:rPr>
          <w:rFonts w:ascii="Century Gothic" w:hAnsi="Century Gothic"/>
          <w:lang w:val="en-ZA"/>
        </w:rPr>
        <w:t xml:space="preserve">On 29 August 2023, Bluecentrix filed a notice to withdraw </w:t>
      </w:r>
      <w:r w:rsidR="00003688">
        <w:rPr>
          <w:rFonts w:ascii="Century Gothic" w:hAnsi="Century Gothic"/>
          <w:lang w:val="en-ZA"/>
        </w:rPr>
        <w:t>its</w:t>
      </w:r>
      <w:r w:rsidR="00B00DC6">
        <w:rPr>
          <w:rFonts w:ascii="Century Gothic" w:hAnsi="Century Gothic"/>
          <w:lang w:val="en-ZA"/>
        </w:rPr>
        <w:t xml:space="preserve"> application for leave to appeal;</w:t>
      </w:r>
    </w:p>
    <w:p w14:paraId="690A8047" w14:textId="6D0B848C" w:rsidR="00C603EF" w:rsidRDefault="00B00DC6" w:rsidP="00111704">
      <w:pPr>
        <w:tabs>
          <w:tab w:val="left" w:pos="567"/>
        </w:tabs>
        <w:spacing w:line="480" w:lineRule="auto"/>
        <w:ind w:left="1440" w:hanging="1440"/>
        <w:jc w:val="both"/>
        <w:rPr>
          <w:rFonts w:ascii="Century Gothic" w:hAnsi="Century Gothic"/>
          <w:lang w:val="en-ZA"/>
        </w:rPr>
      </w:pPr>
      <w:r>
        <w:rPr>
          <w:rFonts w:ascii="Century Gothic" w:hAnsi="Century Gothic"/>
          <w:lang w:val="en-ZA"/>
        </w:rPr>
        <w:tab/>
        <w:t>(c)</w:t>
      </w:r>
      <w:r>
        <w:rPr>
          <w:rFonts w:ascii="Century Gothic" w:hAnsi="Century Gothic"/>
          <w:lang w:val="en-ZA"/>
        </w:rPr>
        <w:tab/>
      </w:r>
      <w:r w:rsidR="00795C7E">
        <w:rPr>
          <w:rFonts w:ascii="Century Gothic" w:hAnsi="Century Gothic"/>
          <w:lang w:val="en-ZA"/>
        </w:rPr>
        <w:t xml:space="preserve">On 11 September 2023, Bluecentrix filed a counter application for the delivery of documents referred to in DFA’s founding affidavit along with an </w:t>
      </w:r>
      <w:r w:rsidR="000860BC">
        <w:rPr>
          <w:rFonts w:ascii="Century Gothic" w:hAnsi="Century Gothic"/>
          <w:lang w:val="en-ZA"/>
        </w:rPr>
        <w:t xml:space="preserve">“AFFIDAVIT OPPOSING </w:t>
      </w:r>
      <w:r w:rsidR="000860BC" w:rsidRPr="000860BC">
        <w:rPr>
          <w:rFonts w:ascii="Century Gothic" w:hAnsi="Century Gothic"/>
          <w:lang w:val="en-ZA"/>
        </w:rPr>
        <w:t>RULE</w:t>
      </w:r>
      <w:r w:rsidR="000860BC">
        <w:rPr>
          <w:rFonts w:ascii="Century Gothic" w:hAnsi="Century Gothic"/>
          <w:i/>
          <w:iCs/>
          <w:lang w:val="en-ZA"/>
        </w:rPr>
        <w:t xml:space="preserve"> NISI”</w:t>
      </w:r>
      <w:r w:rsidR="00C603EF">
        <w:rPr>
          <w:rFonts w:ascii="Century Gothic" w:hAnsi="Century Gothic"/>
          <w:i/>
          <w:iCs/>
          <w:lang w:val="en-ZA"/>
        </w:rPr>
        <w:t xml:space="preserve"> </w:t>
      </w:r>
      <w:r w:rsidR="00C603EF">
        <w:rPr>
          <w:rFonts w:ascii="Century Gothic" w:hAnsi="Century Gothic"/>
          <w:lang w:val="en-ZA"/>
        </w:rPr>
        <w:t>granted by Gamble, J;</w:t>
      </w:r>
    </w:p>
    <w:p w14:paraId="551A3F5E" w14:textId="4FA65CA0" w:rsidR="006A6A6C" w:rsidRDefault="00C603EF" w:rsidP="00111704">
      <w:pPr>
        <w:tabs>
          <w:tab w:val="left" w:pos="567"/>
        </w:tabs>
        <w:spacing w:line="480" w:lineRule="auto"/>
        <w:ind w:left="1440" w:hanging="1440"/>
        <w:jc w:val="both"/>
        <w:rPr>
          <w:rFonts w:ascii="Century Gothic" w:hAnsi="Century Gothic"/>
          <w:lang w:val="en-ZA"/>
        </w:rPr>
      </w:pPr>
      <w:r>
        <w:rPr>
          <w:rFonts w:ascii="Century Gothic" w:hAnsi="Century Gothic"/>
          <w:lang w:val="en-ZA"/>
        </w:rPr>
        <w:tab/>
        <w:t>(d)</w:t>
      </w:r>
      <w:r>
        <w:rPr>
          <w:rFonts w:ascii="Century Gothic" w:hAnsi="Century Gothic"/>
          <w:lang w:val="en-ZA"/>
        </w:rPr>
        <w:tab/>
      </w:r>
      <w:r w:rsidR="00041904">
        <w:rPr>
          <w:rFonts w:ascii="Century Gothic" w:hAnsi="Century Gothic"/>
          <w:lang w:val="en-ZA"/>
        </w:rPr>
        <w:t>On 13 September 2023 T</w:t>
      </w:r>
      <w:r w:rsidR="00F72D19">
        <w:rPr>
          <w:rFonts w:ascii="Century Gothic" w:hAnsi="Century Gothic"/>
          <w:lang w:val="en-ZA"/>
        </w:rPr>
        <w:t>h</w:t>
      </w:r>
      <w:r w:rsidR="00041904">
        <w:rPr>
          <w:rFonts w:ascii="Century Gothic" w:hAnsi="Century Gothic"/>
          <w:lang w:val="en-ZA"/>
        </w:rPr>
        <w:t>ulare, J</w:t>
      </w:r>
      <w:r w:rsidR="00111704">
        <w:rPr>
          <w:rFonts w:ascii="Century Gothic" w:hAnsi="Century Gothic"/>
          <w:lang w:val="en-ZA"/>
        </w:rPr>
        <w:t xml:space="preserve"> </w:t>
      </w:r>
      <w:r w:rsidR="00041904">
        <w:rPr>
          <w:rFonts w:ascii="Century Gothic" w:hAnsi="Century Gothic"/>
          <w:lang w:val="en-ZA"/>
        </w:rPr>
        <w:t xml:space="preserve">granted an order by agreement between the parties postponing the hearing for the final liquidation to the semi-urgent roll </w:t>
      </w:r>
      <w:r w:rsidR="00FF79D7">
        <w:rPr>
          <w:rFonts w:ascii="Century Gothic" w:hAnsi="Century Gothic"/>
          <w:lang w:val="en-ZA"/>
        </w:rPr>
        <w:t>of this court on 26 February 2024 and allowing for the filing of a supplementary affidavit by Bluecentrix by 6 October 2023 and for DFA to file its answering affidavit to Bluecentrix’s supplementary affidavit by 3 November 2023;</w:t>
      </w:r>
    </w:p>
    <w:p w14:paraId="481AE45A" w14:textId="2A680B84" w:rsidR="00FF79D7" w:rsidRDefault="00FF79D7" w:rsidP="00111704">
      <w:pPr>
        <w:tabs>
          <w:tab w:val="left" w:pos="567"/>
        </w:tabs>
        <w:spacing w:line="480" w:lineRule="auto"/>
        <w:ind w:left="1440" w:hanging="1440"/>
        <w:jc w:val="both"/>
        <w:rPr>
          <w:rFonts w:ascii="Century Gothic" w:hAnsi="Century Gothic"/>
          <w:lang w:val="en-ZA"/>
        </w:rPr>
      </w:pPr>
      <w:r>
        <w:rPr>
          <w:rFonts w:ascii="Century Gothic" w:hAnsi="Century Gothic"/>
          <w:lang w:val="en-ZA"/>
        </w:rPr>
        <w:tab/>
        <w:t>(e)</w:t>
      </w:r>
      <w:r>
        <w:rPr>
          <w:rFonts w:ascii="Century Gothic" w:hAnsi="Century Gothic"/>
          <w:lang w:val="en-ZA"/>
        </w:rPr>
        <w:tab/>
        <w:t xml:space="preserve">Bluecentrix </w:t>
      </w:r>
      <w:r w:rsidR="00E422BB">
        <w:rPr>
          <w:rFonts w:ascii="Century Gothic" w:hAnsi="Century Gothic"/>
          <w:lang w:val="en-ZA"/>
        </w:rPr>
        <w:t xml:space="preserve">filed a further supplementary affidavit in terms of </w:t>
      </w:r>
      <w:r w:rsidR="006017C8">
        <w:rPr>
          <w:rFonts w:ascii="Century Gothic" w:hAnsi="Century Gothic"/>
          <w:lang w:val="en-ZA"/>
        </w:rPr>
        <w:t>R</w:t>
      </w:r>
      <w:r w:rsidR="00E422BB">
        <w:rPr>
          <w:rFonts w:ascii="Century Gothic" w:hAnsi="Century Gothic"/>
          <w:lang w:val="en-ZA"/>
        </w:rPr>
        <w:t xml:space="preserve">ule 6(5)(e), making various allegations against DFA and the </w:t>
      </w:r>
      <w:r w:rsidR="00E422BB">
        <w:rPr>
          <w:rFonts w:ascii="Century Gothic" w:hAnsi="Century Gothic"/>
          <w:lang w:val="en-ZA"/>
        </w:rPr>
        <w:lastRenderedPageBreak/>
        <w:t>provisional liquidators. Nothing relevant turns on the allegations in this supplementary affidavit insofar as the merits of this matter at the final liquidation stage are concerned;</w:t>
      </w:r>
    </w:p>
    <w:p w14:paraId="48BFB65F" w14:textId="0E495171" w:rsidR="00E422BB" w:rsidRDefault="00E422BB" w:rsidP="00111704">
      <w:pPr>
        <w:tabs>
          <w:tab w:val="left" w:pos="567"/>
        </w:tabs>
        <w:spacing w:line="480" w:lineRule="auto"/>
        <w:ind w:left="1440" w:hanging="1440"/>
        <w:jc w:val="both"/>
        <w:rPr>
          <w:rFonts w:ascii="Century Gothic" w:hAnsi="Century Gothic"/>
          <w:lang w:val="en-ZA"/>
        </w:rPr>
      </w:pPr>
      <w:r>
        <w:rPr>
          <w:rFonts w:ascii="Century Gothic" w:hAnsi="Century Gothic"/>
          <w:lang w:val="en-ZA"/>
        </w:rPr>
        <w:tab/>
        <w:t>(f)</w:t>
      </w:r>
      <w:r>
        <w:rPr>
          <w:rFonts w:ascii="Century Gothic" w:hAnsi="Century Gothic"/>
          <w:lang w:val="en-ZA"/>
        </w:rPr>
        <w:tab/>
        <w:t>On 20 September 2023, provisional liquidators were appointed by the Master of this court</w:t>
      </w:r>
      <w:r w:rsidR="008F017D">
        <w:rPr>
          <w:rFonts w:ascii="Century Gothic" w:hAnsi="Century Gothic"/>
          <w:lang w:val="en-ZA"/>
        </w:rPr>
        <w:t xml:space="preserve">; </w:t>
      </w:r>
    </w:p>
    <w:p w14:paraId="20EA0FC1" w14:textId="05F88779" w:rsidR="008F017D" w:rsidRPr="00916A1E" w:rsidRDefault="008F017D" w:rsidP="00111704">
      <w:pPr>
        <w:tabs>
          <w:tab w:val="left" w:pos="567"/>
        </w:tabs>
        <w:spacing w:line="480" w:lineRule="auto"/>
        <w:ind w:left="1440" w:hanging="1440"/>
        <w:jc w:val="both"/>
        <w:rPr>
          <w:rFonts w:ascii="Century Gothic" w:hAnsi="Century Gothic"/>
          <w:lang w:val="en-ZA"/>
        </w:rPr>
      </w:pPr>
      <w:r>
        <w:rPr>
          <w:rFonts w:ascii="Century Gothic" w:hAnsi="Century Gothic"/>
          <w:lang w:val="en-ZA"/>
        </w:rPr>
        <w:tab/>
        <w:t>(h)</w:t>
      </w:r>
      <w:r>
        <w:rPr>
          <w:rFonts w:ascii="Century Gothic" w:hAnsi="Century Gothic"/>
          <w:lang w:val="en-ZA"/>
        </w:rPr>
        <w:tab/>
        <w:t>On 30 January 2024, the provisional liquidators filed a preliminary report. Bluecentrix opposed th</w:t>
      </w:r>
      <w:r w:rsidR="00215449">
        <w:rPr>
          <w:rFonts w:ascii="Century Gothic" w:hAnsi="Century Gothic"/>
          <w:lang w:val="en-ZA"/>
        </w:rPr>
        <w:t>e filing of this preliminary report and urged me not to consider it.</w:t>
      </w:r>
      <w:r w:rsidR="00F72D19">
        <w:rPr>
          <w:rFonts w:ascii="Century Gothic" w:hAnsi="Century Gothic"/>
          <w:lang w:val="en-ZA"/>
        </w:rPr>
        <w:t xml:space="preserve"> </w:t>
      </w:r>
      <w:r w:rsidR="00916A1E">
        <w:rPr>
          <w:rFonts w:ascii="Century Gothic" w:hAnsi="Century Gothic"/>
          <w:lang w:val="en-ZA"/>
        </w:rPr>
        <w:t xml:space="preserve">I did not find it necessary to consider the provisional liquidators’ preliminary </w:t>
      </w:r>
      <w:r w:rsidR="00AF1426">
        <w:rPr>
          <w:rFonts w:ascii="Century Gothic" w:hAnsi="Century Gothic"/>
          <w:lang w:val="en-ZA"/>
        </w:rPr>
        <w:t>report for purposes of determining whether the requirements have been met for a final order of winding</w:t>
      </w:r>
      <w:r w:rsidR="00EB5DA0">
        <w:rPr>
          <w:rFonts w:ascii="Century Gothic" w:hAnsi="Century Gothic"/>
          <w:lang w:val="en-ZA"/>
        </w:rPr>
        <w:t xml:space="preserve"> </w:t>
      </w:r>
      <w:r w:rsidR="00AF1426">
        <w:rPr>
          <w:rFonts w:ascii="Century Gothic" w:hAnsi="Century Gothic"/>
          <w:lang w:val="en-ZA"/>
        </w:rPr>
        <w:t xml:space="preserve">up of </w:t>
      </w:r>
      <w:proofErr w:type="spellStart"/>
      <w:r w:rsidR="00AF1426" w:rsidRPr="0028705D">
        <w:rPr>
          <w:rFonts w:ascii="Century Gothic" w:hAnsi="Century Gothic"/>
          <w:lang w:val="en-ZA"/>
        </w:rPr>
        <w:t>Bluecentrix</w:t>
      </w:r>
      <w:proofErr w:type="spellEnd"/>
      <w:r w:rsidR="00AF1426">
        <w:rPr>
          <w:rFonts w:ascii="Century Gothic" w:hAnsi="Century Gothic"/>
          <w:lang w:val="en-ZA"/>
        </w:rPr>
        <w:t>.</w:t>
      </w:r>
      <w:r w:rsidR="00327512">
        <w:rPr>
          <w:rFonts w:ascii="Century Gothic" w:hAnsi="Century Gothic"/>
          <w:lang w:val="en-ZA"/>
        </w:rPr>
        <w:t xml:space="preserve"> Accordingly, I </w:t>
      </w:r>
      <w:r w:rsidR="00EB5DA0">
        <w:rPr>
          <w:rFonts w:ascii="Century Gothic" w:hAnsi="Century Gothic"/>
          <w:lang w:val="en-ZA"/>
        </w:rPr>
        <w:t>do not decide</w:t>
      </w:r>
      <w:r w:rsidR="00327512">
        <w:rPr>
          <w:rFonts w:ascii="Century Gothic" w:hAnsi="Century Gothic"/>
          <w:lang w:val="en-ZA"/>
        </w:rPr>
        <w:t xml:space="preserve"> the admissibility of the provisional liquidators’ report.</w:t>
      </w:r>
    </w:p>
    <w:p w14:paraId="47C97B4C" w14:textId="77777777" w:rsidR="00215449" w:rsidRDefault="00215449" w:rsidP="00111704">
      <w:pPr>
        <w:tabs>
          <w:tab w:val="left" w:pos="567"/>
        </w:tabs>
        <w:spacing w:line="480" w:lineRule="auto"/>
        <w:ind w:left="1440" w:hanging="1440"/>
        <w:jc w:val="both"/>
        <w:rPr>
          <w:rFonts w:ascii="Century Gothic" w:hAnsi="Century Gothic"/>
          <w:lang w:val="en-ZA"/>
        </w:rPr>
      </w:pPr>
    </w:p>
    <w:p w14:paraId="3FA8970F" w14:textId="6C0407C8" w:rsidR="00F845C2" w:rsidRDefault="00AD250F"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5</w:t>
      </w:r>
      <w:r>
        <w:rPr>
          <w:rFonts w:ascii="Century Gothic" w:hAnsi="Century Gothic"/>
          <w:lang w:val="en-ZA"/>
        </w:rPr>
        <w:t>]</w:t>
      </w:r>
      <w:r>
        <w:rPr>
          <w:rFonts w:ascii="Century Gothic" w:hAnsi="Century Gothic"/>
          <w:lang w:val="en-ZA"/>
        </w:rPr>
        <w:tab/>
        <w:t xml:space="preserve">The rule </w:t>
      </w:r>
      <w:r>
        <w:rPr>
          <w:rFonts w:ascii="Century Gothic" w:hAnsi="Century Gothic"/>
          <w:i/>
          <w:iCs/>
          <w:lang w:val="en-ZA"/>
        </w:rPr>
        <w:t>nisi</w:t>
      </w:r>
      <w:r>
        <w:rPr>
          <w:rFonts w:ascii="Century Gothic" w:hAnsi="Century Gothic"/>
          <w:lang w:val="en-ZA"/>
        </w:rPr>
        <w:t xml:space="preserve"> order by Gamble, J </w:t>
      </w:r>
      <w:r w:rsidR="00123B4C">
        <w:rPr>
          <w:rFonts w:ascii="Century Gothic" w:hAnsi="Century Gothic"/>
          <w:lang w:val="en-ZA"/>
        </w:rPr>
        <w:t xml:space="preserve">called </w:t>
      </w:r>
      <w:r>
        <w:rPr>
          <w:rFonts w:ascii="Century Gothic" w:hAnsi="Century Gothic"/>
          <w:lang w:val="en-ZA"/>
        </w:rPr>
        <w:t xml:space="preserve">on all persons interested and </w:t>
      </w:r>
      <w:r w:rsidR="00636E99">
        <w:rPr>
          <w:rFonts w:ascii="Century Gothic" w:hAnsi="Century Gothic"/>
          <w:lang w:val="en-ZA"/>
        </w:rPr>
        <w:t>provide</w:t>
      </w:r>
      <w:r w:rsidR="00592C5D">
        <w:rPr>
          <w:rFonts w:ascii="Century Gothic" w:hAnsi="Century Gothic"/>
          <w:lang w:val="en-ZA"/>
        </w:rPr>
        <w:t>d</w:t>
      </w:r>
      <w:r w:rsidR="00636E99">
        <w:rPr>
          <w:rFonts w:ascii="Century Gothic" w:hAnsi="Century Gothic"/>
          <w:lang w:val="en-ZA"/>
        </w:rPr>
        <w:t xml:space="preserve"> the opportunity </w:t>
      </w:r>
      <w:r w:rsidR="00EB5DA0">
        <w:rPr>
          <w:rFonts w:ascii="Century Gothic" w:hAnsi="Century Gothic"/>
          <w:lang w:val="en-ZA"/>
        </w:rPr>
        <w:t>for</w:t>
      </w:r>
      <w:r w:rsidR="00636E99">
        <w:rPr>
          <w:rFonts w:ascii="Century Gothic" w:hAnsi="Century Gothic"/>
          <w:lang w:val="en-ZA"/>
        </w:rPr>
        <w:t xml:space="preserve"> such persons to appear and show </w:t>
      </w:r>
      <w:r w:rsidR="00123B4C">
        <w:rPr>
          <w:rFonts w:ascii="Century Gothic" w:hAnsi="Century Gothic"/>
          <w:lang w:val="en-ZA"/>
        </w:rPr>
        <w:t>cause</w:t>
      </w:r>
      <w:r w:rsidR="00636E99">
        <w:rPr>
          <w:rFonts w:ascii="Century Gothic" w:hAnsi="Century Gothic"/>
          <w:lang w:val="en-ZA"/>
        </w:rPr>
        <w:t xml:space="preserve"> why Bluecentrix</w:t>
      </w:r>
      <w:r w:rsidR="00F845C2">
        <w:rPr>
          <w:rFonts w:ascii="Century Gothic" w:hAnsi="Century Gothic"/>
          <w:lang w:val="en-ZA"/>
        </w:rPr>
        <w:t xml:space="preserve"> should not be placed under a final order of liquidation.</w:t>
      </w:r>
    </w:p>
    <w:p w14:paraId="793496C2" w14:textId="3DBABB1A" w:rsidR="00AD250F" w:rsidRDefault="00F845C2"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 xml:space="preserve"> </w:t>
      </w:r>
    </w:p>
    <w:p w14:paraId="42B4869D" w14:textId="3EF122F4" w:rsidR="00067EAC" w:rsidRDefault="00F845C2"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6</w:t>
      </w:r>
      <w:r>
        <w:rPr>
          <w:rFonts w:ascii="Century Gothic" w:hAnsi="Century Gothic"/>
          <w:lang w:val="en-ZA"/>
        </w:rPr>
        <w:t>]</w:t>
      </w:r>
      <w:r>
        <w:rPr>
          <w:rFonts w:ascii="Century Gothic" w:hAnsi="Century Gothic"/>
          <w:lang w:val="en-ZA"/>
        </w:rPr>
        <w:tab/>
        <w:t xml:space="preserve">Apart from arguing that the documents provided to it by DFA </w:t>
      </w:r>
      <w:r w:rsidR="00EB5DA0">
        <w:rPr>
          <w:rFonts w:ascii="Century Gothic" w:hAnsi="Century Gothic"/>
          <w:lang w:val="en-ZA"/>
        </w:rPr>
        <w:t>under</w:t>
      </w:r>
      <w:r>
        <w:rPr>
          <w:rFonts w:ascii="Century Gothic" w:hAnsi="Century Gothic"/>
          <w:lang w:val="en-ZA"/>
        </w:rPr>
        <w:t xml:space="preserve"> </w:t>
      </w:r>
      <w:r w:rsidR="009D7A8D">
        <w:rPr>
          <w:rFonts w:ascii="Century Gothic" w:hAnsi="Century Gothic"/>
          <w:lang w:val="en-ZA"/>
        </w:rPr>
        <w:t xml:space="preserve">the counter application did not reveal a contractual relationship between Bluecentrix and DFA and that these documents </w:t>
      </w:r>
      <w:r w:rsidR="00067EAC">
        <w:rPr>
          <w:rFonts w:ascii="Century Gothic" w:hAnsi="Century Gothic"/>
          <w:lang w:val="en-ZA"/>
        </w:rPr>
        <w:t>supported its contention that it owed no debt to DFA</w:t>
      </w:r>
      <w:r w:rsidR="00176A66">
        <w:rPr>
          <w:rFonts w:ascii="Century Gothic" w:hAnsi="Century Gothic"/>
          <w:lang w:val="en-ZA"/>
        </w:rPr>
        <w:t xml:space="preserve">, </w:t>
      </w:r>
      <w:r w:rsidR="00067EAC">
        <w:rPr>
          <w:rFonts w:ascii="Century Gothic" w:hAnsi="Century Gothic"/>
          <w:lang w:val="en-ZA"/>
        </w:rPr>
        <w:t xml:space="preserve"> Bluecentrix in its </w:t>
      </w:r>
      <w:r w:rsidR="00BA40D5">
        <w:rPr>
          <w:rFonts w:ascii="Century Gothic" w:hAnsi="Century Gothic"/>
          <w:lang w:val="en-ZA"/>
        </w:rPr>
        <w:t xml:space="preserve">“AFFIDAVIT OPPOSING RULE </w:t>
      </w:r>
      <w:r w:rsidR="00BA40D5">
        <w:rPr>
          <w:rFonts w:ascii="Century Gothic" w:hAnsi="Century Gothic"/>
          <w:i/>
          <w:iCs/>
          <w:lang w:val="en-ZA"/>
        </w:rPr>
        <w:t>NISI</w:t>
      </w:r>
      <w:r w:rsidR="00BA40D5">
        <w:rPr>
          <w:rFonts w:ascii="Century Gothic" w:hAnsi="Century Gothic"/>
          <w:lang w:val="en-ZA"/>
        </w:rPr>
        <w:t>”</w:t>
      </w:r>
      <w:r w:rsidR="002666AC">
        <w:rPr>
          <w:rFonts w:ascii="Century Gothic" w:hAnsi="Century Gothic"/>
          <w:lang w:val="en-ZA"/>
        </w:rPr>
        <w:t xml:space="preserve"> of 8 September 2023</w:t>
      </w:r>
      <w:r w:rsidR="00067EAC">
        <w:rPr>
          <w:rFonts w:ascii="Century Gothic" w:hAnsi="Century Gothic"/>
          <w:lang w:val="en-ZA"/>
        </w:rPr>
        <w:t xml:space="preserve"> </w:t>
      </w:r>
      <w:r w:rsidR="00AC7692">
        <w:rPr>
          <w:rFonts w:ascii="Century Gothic" w:hAnsi="Century Gothic"/>
          <w:lang w:val="en-ZA"/>
        </w:rPr>
        <w:t xml:space="preserve"> adopted the approach that it </w:t>
      </w:r>
      <w:r w:rsidR="00AC7692" w:rsidRPr="0025454D">
        <w:rPr>
          <w:rFonts w:ascii="Century Gothic" w:hAnsi="Century Gothic"/>
          <w:i/>
          <w:iCs/>
          <w:lang w:val="en-ZA"/>
        </w:rPr>
        <w:t xml:space="preserve">“……will focus on what I have been advised appeared to be the main issues in this matter, primarily based on Gamble, J’s </w:t>
      </w:r>
      <w:r w:rsidR="00EE1DAE" w:rsidRPr="0025454D">
        <w:rPr>
          <w:rFonts w:ascii="Century Gothic" w:hAnsi="Century Gothic"/>
          <w:i/>
          <w:iCs/>
          <w:lang w:val="en-ZA"/>
        </w:rPr>
        <w:t xml:space="preserve">judgment of 7 August 2023 (“the </w:t>
      </w:r>
      <w:r w:rsidR="00EE1DAE" w:rsidRPr="0025454D">
        <w:rPr>
          <w:rFonts w:ascii="Century Gothic" w:hAnsi="Century Gothic"/>
          <w:i/>
          <w:iCs/>
          <w:lang w:val="en-ZA"/>
        </w:rPr>
        <w:lastRenderedPageBreak/>
        <w:t>Judgment”), which, I am of the respectful view was wrong</w:t>
      </w:r>
      <w:r w:rsidR="00EE1DAE">
        <w:rPr>
          <w:rFonts w:ascii="Century Gothic" w:hAnsi="Century Gothic"/>
          <w:lang w:val="en-ZA"/>
        </w:rPr>
        <w:t>”  and</w:t>
      </w:r>
      <w:r w:rsidR="00AC7692">
        <w:rPr>
          <w:rFonts w:ascii="Century Gothic" w:hAnsi="Century Gothic"/>
          <w:lang w:val="en-ZA"/>
        </w:rPr>
        <w:t xml:space="preserve"> </w:t>
      </w:r>
      <w:r w:rsidR="00176A66">
        <w:rPr>
          <w:rFonts w:ascii="Century Gothic" w:hAnsi="Century Gothic"/>
          <w:lang w:val="en-ZA"/>
        </w:rPr>
        <w:t>merely</w:t>
      </w:r>
      <w:r w:rsidR="00067EAC">
        <w:rPr>
          <w:rFonts w:ascii="Century Gothic" w:hAnsi="Century Gothic"/>
          <w:lang w:val="en-ZA"/>
        </w:rPr>
        <w:t xml:space="preserve"> persisted with the same points argued before Gamble, J that DFA failed to make out a case in its founding papers and that any claims that it may have had against Bluecentrix have become prescribed.</w:t>
      </w:r>
    </w:p>
    <w:p w14:paraId="23090833" w14:textId="77777777" w:rsidR="00BC525E" w:rsidRDefault="00BC525E" w:rsidP="00636E99">
      <w:pPr>
        <w:tabs>
          <w:tab w:val="left" w:pos="567"/>
        </w:tabs>
        <w:spacing w:line="480" w:lineRule="auto"/>
        <w:ind w:left="567" w:hanging="567"/>
        <w:jc w:val="both"/>
        <w:rPr>
          <w:rFonts w:ascii="Century Gothic" w:hAnsi="Century Gothic"/>
          <w:lang w:val="en-ZA"/>
        </w:rPr>
      </w:pPr>
    </w:p>
    <w:p w14:paraId="15980524" w14:textId="597049B8" w:rsidR="00BD6389" w:rsidRDefault="00BC525E"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7</w:t>
      </w:r>
      <w:r>
        <w:rPr>
          <w:rFonts w:ascii="Century Gothic" w:hAnsi="Century Gothic"/>
          <w:lang w:val="en-ZA"/>
        </w:rPr>
        <w:t>]</w:t>
      </w:r>
      <w:r>
        <w:rPr>
          <w:rFonts w:ascii="Century Gothic" w:hAnsi="Century Gothic"/>
          <w:lang w:val="en-ZA"/>
        </w:rPr>
        <w:tab/>
        <w:t xml:space="preserve">Insofar as the alleged absence of a contractual relationship between </w:t>
      </w:r>
      <w:r w:rsidR="007B5537">
        <w:rPr>
          <w:rFonts w:ascii="Century Gothic" w:hAnsi="Century Gothic"/>
          <w:lang w:val="en-ZA"/>
        </w:rPr>
        <w:t xml:space="preserve">DFA and </w:t>
      </w:r>
      <w:r>
        <w:rPr>
          <w:rFonts w:ascii="Century Gothic" w:hAnsi="Century Gothic"/>
          <w:lang w:val="en-ZA"/>
        </w:rPr>
        <w:t>Bluecentrix</w:t>
      </w:r>
      <w:r w:rsidR="009D7A8D">
        <w:rPr>
          <w:rFonts w:ascii="Century Gothic" w:hAnsi="Century Gothic"/>
          <w:lang w:val="en-ZA"/>
        </w:rPr>
        <w:t xml:space="preserve"> </w:t>
      </w:r>
      <w:r w:rsidR="007B5537">
        <w:rPr>
          <w:rFonts w:ascii="Century Gothic" w:hAnsi="Century Gothic"/>
          <w:lang w:val="en-ZA"/>
        </w:rPr>
        <w:t xml:space="preserve">is concerned, the finding by Gamble, J that these contentions by Bluecentrix </w:t>
      </w:r>
      <w:r w:rsidR="00E559CC">
        <w:rPr>
          <w:rFonts w:ascii="Century Gothic" w:hAnsi="Century Gothic"/>
          <w:lang w:val="en-ZA"/>
        </w:rPr>
        <w:t>were</w:t>
      </w:r>
      <w:r w:rsidR="007B5537">
        <w:rPr>
          <w:rFonts w:ascii="Century Gothic" w:hAnsi="Century Gothic"/>
          <w:lang w:val="en-ZA"/>
        </w:rPr>
        <w:t xml:space="preserve"> nothing more than “</w:t>
      </w:r>
      <w:r w:rsidR="007B5537" w:rsidRPr="00FC5B01">
        <w:rPr>
          <w:rFonts w:ascii="Century Gothic" w:hAnsi="Century Gothic"/>
          <w:i/>
          <w:iCs/>
          <w:lang w:val="en-ZA"/>
        </w:rPr>
        <w:t>smoke and mirrors</w:t>
      </w:r>
      <w:r w:rsidR="007B5537">
        <w:rPr>
          <w:rFonts w:ascii="Century Gothic" w:hAnsi="Century Gothic"/>
          <w:lang w:val="en-ZA"/>
        </w:rPr>
        <w:t>”</w:t>
      </w:r>
      <w:r w:rsidR="00FC5B01">
        <w:rPr>
          <w:rFonts w:ascii="Century Gothic" w:hAnsi="Century Gothic"/>
          <w:lang w:val="en-ZA"/>
        </w:rPr>
        <w:t xml:space="preserve">, namely attempts to evade the simple fact that the parties did business together and </w:t>
      </w:r>
      <w:r w:rsidR="00AA098A">
        <w:rPr>
          <w:rFonts w:ascii="Century Gothic" w:hAnsi="Century Gothic"/>
          <w:lang w:val="en-ZA"/>
        </w:rPr>
        <w:t xml:space="preserve">that </w:t>
      </w:r>
      <w:proofErr w:type="spellStart"/>
      <w:r w:rsidR="00AA098A">
        <w:rPr>
          <w:rFonts w:ascii="Century Gothic" w:hAnsi="Century Gothic"/>
          <w:lang w:val="en-ZA"/>
        </w:rPr>
        <w:t>Bluecentrix</w:t>
      </w:r>
      <w:proofErr w:type="spellEnd"/>
      <w:r w:rsidR="00AA098A">
        <w:rPr>
          <w:rFonts w:ascii="Century Gothic" w:hAnsi="Century Gothic"/>
          <w:lang w:val="en-ZA"/>
        </w:rPr>
        <w:t xml:space="preserve"> acknowledge</w:t>
      </w:r>
      <w:r w:rsidR="00EB5DA0">
        <w:rPr>
          <w:rFonts w:ascii="Century Gothic" w:hAnsi="Century Gothic"/>
          <w:lang w:val="en-ZA"/>
        </w:rPr>
        <w:t>s</w:t>
      </w:r>
      <w:r w:rsidR="00AA098A">
        <w:rPr>
          <w:rFonts w:ascii="Century Gothic" w:hAnsi="Century Gothic"/>
          <w:lang w:val="en-ZA"/>
        </w:rPr>
        <w:t xml:space="preserve"> its indebtedness to DFA on multiple occasions, cannot be faulted.  </w:t>
      </w:r>
      <w:r w:rsidR="00494C1D">
        <w:rPr>
          <w:rFonts w:ascii="Century Gothic" w:hAnsi="Century Gothic"/>
          <w:lang w:val="en-ZA"/>
        </w:rPr>
        <w:t>A</w:t>
      </w:r>
      <w:r w:rsidR="00FB4565">
        <w:rPr>
          <w:rFonts w:ascii="Century Gothic" w:hAnsi="Century Gothic"/>
          <w:lang w:val="en-ZA"/>
        </w:rPr>
        <w:t>n analys</w:t>
      </w:r>
      <w:r w:rsidR="00E559CC">
        <w:rPr>
          <w:rFonts w:ascii="Century Gothic" w:hAnsi="Century Gothic"/>
          <w:lang w:val="en-ZA"/>
        </w:rPr>
        <w:t>i</w:t>
      </w:r>
      <w:r w:rsidR="00FB4565">
        <w:rPr>
          <w:rFonts w:ascii="Century Gothic" w:hAnsi="Century Gothic"/>
          <w:lang w:val="en-ZA"/>
        </w:rPr>
        <w:t xml:space="preserve">s of the string of emails of which the van der Mescht email of </w:t>
      </w:r>
      <w:r w:rsidR="004D6294">
        <w:rPr>
          <w:rFonts w:ascii="Century Gothic" w:hAnsi="Century Gothic"/>
          <w:lang w:val="en-ZA"/>
        </w:rPr>
        <w:t>24</w:t>
      </w:r>
      <w:r w:rsidR="00FB4565">
        <w:rPr>
          <w:rFonts w:ascii="Century Gothic" w:hAnsi="Century Gothic"/>
          <w:lang w:val="en-ZA"/>
        </w:rPr>
        <w:t xml:space="preserve"> February 2021 is part, </w:t>
      </w:r>
      <w:r w:rsidR="001E77DF">
        <w:rPr>
          <w:rFonts w:ascii="Century Gothic" w:hAnsi="Century Gothic"/>
          <w:lang w:val="en-ZA"/>
        </w:rPr>
        <w:t xml:space="preserve">shows, in my view, that </w:t>
      </w:r>
      <w:r w:rsidR="00435682">
        <w:rPr>
          <w:rFonts w:ascii="Century Gothic" w:hAnsi="Century Gothic"/>
          <w:lang w:val="en-ZA"/>
        </w:rPr>
        <w:t xml:space="preserve">the response of </w:t>
      </w:r>
      <w:r w:rsidR="00AD216B">
        <w:rPr>
          <w:rFonts w:ascii="Century Gothic" w:hAnsi="Century Gothic"/>
          <w:lang w:val="en-ZA"/>
        </w:rPr>
        <w:t xml:space="preserve">Van Rooyen, </w:t>
      </w:r>
      <w:r w:rsidR="00435682">
        <w:rPr>
          <w:rFonts w:ascii="Century Gothic" w:hAnsi="Century Gothic"/>
          <w:lang w:val="en-ZA"/>
        </w:rPr>
        <w:t>Bluecentrix’s only director and deponent</w:t>
      </w:r>
      <w:r w:rsidR="00E559CC">
        <w:rPr>
          <w:rFonts w:ascii="Century Gothic" w:hAnsi="Century Gothic"/>
          <w:lang w:val="en-ZA"/>
        </w:rPr>
        <w:t xml:space="preserve">, </w:t>
      </w:r>
      <w:r w:rsidR="00435682">
        <w:rPr>
          <w:rFonts w:ascii="Century Gothic" w:hAnsi="Century Gothic"/>
          <w:lang w:val="en-ZA"/>
        </w:rPr>
        <w:t xml:space="preserve">is </w:t>
      </w:r>
      <w:r w:rsidR="004C0459">
        <w:rPr>
          <w:rFonts w:ascii="Century Gothic" w:hAnsi="Century Gothic"/>
          <w:lang w:val="en-ZA"/>
        </w:rPr>
        <w:t xml:space="preserve">obfuscatory and </w:t>
      </w:r>
      <w:r w:rsidR="00BD6389">
        <w:rPr>
          <w:rFonts w:ascii="Century Gothic" w:hAnsi="Century Gothic"/>
          <w:lang w:val="en-ZA"/>
        </w:rPr>
        <w:t xml:space="preserve">indubitably </w:t>
      </w:r>
      <w:r w:rsidR="004C0459">
        <w:rPr>
          <w:rFonts w:ascii="Century Gothic" w:hAnsi="Century Gothic"/>
          <w:lang w:val="en-ZA"/>
        </w:rPr>
        <w:t>dishonest.</w:t>
      </w:r>
    </w:p>
    <w:p w14:paraId="0D2EE8CB" w14:textId="77777777" w:rsidR="00BD6389" w:rsidRDefault="00BD6389" w:rsidP="00636E99">
      <w:pPr>
        <w:tabs>
          <w:tab w:val="left" w:pos="567"/>
        </w:tabs>
        <w:spacing w:line="480" w:lineRule="auto"/>
        <w:ind w:left="567" w:hanging="567"/>
        <w:jc w:val="both"/>
        <w:rPr>
          <w:rFonts w:ascii="Century Gothic" w:hAnsi="Century Gothic"/>
          <w:lang w:val="en-ZA"/>
        </w:rPr>
      </w:pPr>
    </w:p>
    <w:p w14:paraId="7E0EE4E5" w14:textId="3A2C11CC" w:rsidR="00BD6389" w:rsidRDefault="00BD6389"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8</w:t>
      </w:r>
      <w:r>
        <w:rPr>
          <w:rFonts w:ascii="Century Gothic" w:hAnsi="Century Gothic"/>
          <w:lang w:val="en-ZA"/>
        </w:rPr>
        <w:t>]</w:t>
      </w:r>
      <w:r>
        <w:rPr>
          <w:rFonts w:ascii="Century Gothic" w:hAnsi="Century Gothic"/>
          <w:lang w:val="en-ZA"/>
        </w:rPr>
        <w:tab/>
      </w:r>
      <w:r w:rsidR="00B75FCF">
        <w:rPr>
          <w:rFonts w:ascii="Century Gothic" w:hAnsi="Century Gothic"/>
          <w:lang w:val="en-ZA"/>
        </w:rPr>
        <w:t xml:space="preserve">It is common cause that DFA issued a s 345 notice to Bluecentrix, based on the </w:t>
      </w:r>
      <w:r w:rsidR="00E559CC">
        <w:rPr>
          <w:rFonts w:ascii="Century Gothic" w:hAnsi="Century Gothic"/>
          <w:lang w:val="en-ZA"/>
        </w:rPr>
        <w:t>V</w:t>
      </w:r>
      <w:r w:rsidR="00B75FCF">
        <w:rPr>
          <w:rFonts w:ascii="Century Gothic" w:hAnsi="Century Gothic"/>
          <w:lang w:val="en-ZA"/>
        </w:rPr>
        <w:t>an der Mescht email of 24 February 2021</w:t>
      </w:r>
      <w:r w:rsidR="00302F25">
        <w:rPr>
          <w:rFonts w:ascii="Century Gothic" w:hAnsi="Century Gothic"/>
          <w:lang w:val="en-ZA"/>
        </w:rPr>
        <w:t xml:space="preserve"> and that this notice was duly served on the correct address of Bluecentrix.  </w:t>
      </w:r>
    </w:p>
    <w:p w14:paraId="28C85F0C" w14:textId="77777777" w:rsidR="00302F25" w:rsidRDefault="00302F25" w:rsidP="00636E99">
      <w:pPr>
        <w:tabs>
          <w:tab w:val="left" w:pos="567"/>
        </w:tabs>
        <w:spacing w:line="480" w:lineRule="auto"/>
        <w:ind w:left="567" w:hanging="567"/>
        <w:jc w:val="both"/>
        <w:rPr>
          <w:rFonts w:ascii="Century Gothic" w:hAnsi="Century Gothic"/>
          <w:lang w:val="en-ZA"/>
        </w:rPr>
      </w:pPr>
    </w:p>
    <w:p w14:paraId="708A6ABE" w14:textId="0FFDABF7" w:rsidR="00302F25" w:rsidRDefault="00222B0E"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[1</w:t>
      </w:r>
      <w:r w:rsidR="008C25B5">
        <w:rPr>
          <w:rFonts w:ascii="Century Gothic" w:hAnsi="Century Gothic"/>
          <w:lang w:val="en-ZA"/>
        </w:rPr>
        <w:t>9</w:t>
      </w:r>
      <w:r>
        <w:rPr>
          <w:rFonts w:ascii="Century Gothic" w:hAnsi="Century Gothic"/>
          <w:lang w:val="en-ZA"/>
        </w:rPr>
        <w:t>]</w:t>
      </w:r>
      <w:r>
        <w:rPr>
          <w:rFonts w:ascii="Century Gothic" w:hAnsi="Century Gothic"/>
          <w:lang w:val="en-ZA"/>
        </w:rPr>
        <w:tab/>
      </w:r>
      <w:r w:rsidR="00AD216B">
        <w:rPr>
          <w:rFonts w:ascii="Century Gothic" w:hAnsi="Century Gothic"/>
          <w:lang w:val="en-ZA"/>
        </w:rPr>
        <w:t xml:space="preserve">As noted, </w:t>
      </w:r>
      <w:r w:rsidR="00F206D8">
        <w:rPr>
          <w:rFonts w:ascii="Century Gothic" w:hAnsi="Century Gothic"/>
          <w:lang w:val="en-ZA"/>
        </w:rPr>
        <w:t xml:space="preserve">Bluecentrix’s counsel urged me to not have regard to </w:t>
      </w:r>
      <w:r w:rsidR="00AD216B">
        <w:rPr>
          <w:rFonts w:ascii="Century Gothic" w:hAnsi="Century Gothic"/>
          <w:lang w:val="en-ZA"/>
        </w:rPr>
        <w:t>the</w:t>
      </w:r>
      <w:r w:rsidR="00F206D8">
        <w:rPr>
          <w:rFonts w:ascii="Century Gothic" w:hAnsi="Century Gothic"/>
          <w:lang w:val="en-ZA"/>
        </w:rPr>
        <w:t xml:space="preserve"> string of emails </w:t>
      </w:r>
      <w:r w:rsidR="00AD216B">
        <w:rPr>
          <w:rFonts w:ascii="Century Gothic" w:hAnsi="Century Gothic"/>
          <w:lang w:val="en-ZA"/>
        </w:rPr>
        <w:t>from 18 December 2020 to 4 May 202</w:t>
      </w:r>
      <w:r w:rsidR="000A6587">
        <w:rPr>
          <w:rFonts w:ascii="Century Gothic" w:hAnsi="Century Gothic"/>
          <w:lang w:val="en-ZA"/>
        </w:rPr>
        <w:t>1,</w:t>
      </w:r>
      <w:r w:rsidR="005862D5">
        <w:rPr>
          <w:rFonts w:ascii="Century Gothic" w:hAnsi="Century Gothic"/>
          <w:lang w:val="en-ZA"/>
        </w:rPr>
        <w:t xml:space="preserve"> of which the Van der Mescht email of </w:t>
      </w:r>
      <w:r w:rsidR="003517D5">
        <w:rPr>
          <w:rFonts w:ascii="Century Gothic" w:hAnsi="Century Gothic"/>
          <w:lang w:val="en-ZA"/>
        </w:rPr>
        <w:t xml:space="preserve">24 February 2021 was part, </w:t>
      </w:r>
      <w:r w:rsidR="000A6587">
        <w:rPr>
          <w:rFonts w:ascii="Century Gothic" w:hAnsi="Century Gothic"/>
          <w:lang w:val="en-ZA"/>
        </w:rPr>
        <w:t xml:space="preserve"> which it unsuccessfully sought to have struck </w:t>
      </w:r>
      <w:r w:rsidR="00494C1D">
        <w:rPr>
          <w:rFonts w:ascii="Century Gothic" w:hAnsi="Century Gothic"/>
          <w:lang w:val="en-ZA"/>
        </w:rPr>
        <w:t>based on</w:t>
      </w:r>
      <w:r w:rsidR="00F206D8">
        <w:rPr>
          <w:rFonts w:ascii="Century Gothic" w:hAnsi="Century Gothic"/>
          <w:lang w:val="en-ZA"/>
        </w:rPr>
        <w:t xml:space="preserve"> its argument</w:t>
      </w:r>
      <w:r w:rsidR="00751BCC">
        <w:rPr>
          <w:rFonts w:ascii="Century Gothic" w:hAnsi="Century Gothic"/>
          <w:lang w:val="en-ZA"/>
        </w:rPr>
        <w:t xml:space="preserve">, first, </w:t>
      </w:r>
      <w:r w:rsidR="00F206D8">
        <w:rPr>
          <w:rFonts w:ascii="Century Gothic" w:hAnsi="Century Gothic"/>
          <w:lang w:val="en-ZA"/>
        </w:rPr>
        <w:t xml:space="preserve">that </w:t>
      </w:r>
      <w:r w:rsidR="00BF41F1">
        <w:rPr>
          <w:rFonts w:ascii="Century Gothic" w:hAnsi="Century Gothic"/>
          <w:lang w:val="en-ZA"/>
        </w:rPr>
        <w:t xml:space="preserve">DFA, being </w:t>
      </w:r>
      <w:r w:rsidR="00F206D8">
        <w:rPr>
          <w:rFonts w:ascii="Century Gothic" w:hAnsi="Century Gothic"/>
          <w:lang w:val="en-ZA"/>
        </w:rPr>
        <w:t xml:space="preserve">the applicant in this matter, ought to have made out its case in its founding papers and, </w:t>
      </w:r>
      <w:r w:rsidR="00F206D8">
        <w:rPr>
          <w:rFonts w:ascii="Century Gothic" w:hAnsi="Century Gothic"/>
          <w:lang w:val="en-ZA"/>
        </w:rPr>
        <w:lastRenderedPageBreak/>
        <w:t xml:space="preserve">second, that the </w:t>
      </w:r>
      <w:r w:rsidR="00F76BB1" w:rsidRPr="00112D7A">
        <w:rPr>
          <w:rFonts w:ascii="Century Gothic" w:hAnsi="Century Gothic"/>
          <w:i/>
          <w:iCs/>
          <w:lang w:val="en-ZA"/>
        </w:rPr>
        <w:t xml:space="preserve">Plascon – Evans </w:t>
      </w:r>
      <w:r w:rsidR="00112D7A" w:rsidRPr="00112D7A">
        <w:rPr>
          <w:rFonts w:ascii="Century Gothic" w:hAnsi="Century Gothic"/>
          <w:lang w:val="en-ZA"/>
        </w:rPr>
        <w:t>test</w:t>
      </w:r>
      <w:r w:rsidR="00F76BB1">
        <w:rPr>
          <w:rFonts w:ascii="Century Gothic" w:hAnsi="Century Gothic"/>
          <w:lang w:val="en-ZA"/>
        </w:rPr>
        <w:t xml:space="preserve"> ought to be applied against the applicant </w:t>
      </w:r>
      <w:r w:rsidR="00AF2336">
        <w:rPr>
          <w:rFonts w:ascii="Century Gothic" w:hAnsi="Century Gothic"/>
          <w:lang w:val="en-ZA"/>
        </w:rPr>
        <w:t>and that the applicant’s version on the papers ought to be rejected.</w:t>
      </w:r>
      <w:r w:rsidR="00E42E74">
        <w:rPr>
          <w:rFonts w:ascii="Century Gothic" w:hAnsi="Century Gothic"/>
          <w:lang w:val="en-ZA"/>
        </w:rPr>
        <w:t xml:space="preserve"> </w:t>
      </w:r>
    </w:p>
    <w:p w14:paraId="270B868C" w14:textId="77777777" w:rsidR="00AF2336" w:rsidRDefault="00AF2336" w:rsidP="00636E99">
      <w:pPr>
        <w:tabs>
          <w:tab w:val="left" w:pos="567"/>
        </w:tabs>
        <w:spacing w:line="480" w:lineRule="auto"/>
        <w:ind w:left="567" w:hanging="567"/>
        <w:jc w:val="both"/>
        <w:rPr>
          <w:rFonts w:ascii="Century Gothic" w:hAnsi="Century Gothic"/>
          <w:lang w:val="en-ZA"/>
        </w:rPr>
      </w:pPr>
    </w:p>
    <w:p w14:paraId="1A9FBB5B" w14:textId="3BAEF3A0" w:rsidR="00AF2336" w:rsidRDefault="00AF2336"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w:t>
      </w:r>
      <w:r w:rsidR="008C25B5">
        <w:rPr>
          <w:rFonts w:ascii="Century Gothic" w:hAnsi="Century Gothic"/>
          <w:lang w:val="en-ZA"/>
        </w:rPr>
        <w:t>20</w:t>
      </w:r>
      <w:r>
        <w:rPr>
          <w:rFonts w:ascii="Century Gothic" w:hAnsi="Century Gothic"/>
          <w:lang w:val="en-ZA"/>
        </w:rPr>
        <w:t>]</w:t>
      </w:r>
      <w:r>
        <w:rPr>
          <w:rFonts w:ascii="Century Gothic" w:hAnsi="Century Gothic"/>
          <w:lang w:val="en-ZA"/>
        </w:rPr>
        <w:tab/>
        <w:t xml:space="preserve">The first obvious </w:t>
      </w:r>
      <w:r w:rsidR="00A66705">
        <w:rPr>
          <w:rFonts w:ascii="Century Gothic" w:hAnsi="Century Gothic"/>
          <w:lang w:val="en-ZA"/>
        </w:rPr>
        <w:t xml:space="preserve">stumbling block in the way of Bluecentrix’s arguments in these regards is the fact that these same arguments, </w:t>
      </w:r>
      <w:r w:rsidR="00494C1D">
        <w:rPr>
          <w:rFonts w:ascii="Century Gothic" w:hAnsi="Century Gothic"/>
          <w:lang w:val="en-ZA"/>
        </w:rPr>
        <w:t>concerning</w:t>
      </w:r>
      <w:r w:rsidR="003E2162">
        <w:rPr>
          <w:rFonts w:ascii="Century Gothic" w:hAnsi="Century Gothic"/>
          <w:lang w:val="en-ZA"/>
        </w:rPr>
        <w:t xml:space="preserve"> the same papers filed by Bluecentrix, failed at the provisional liquidation stage before Gamble, J. </w:t>
      </w:r>
    </w:p>
    <w:p w14:paraId="252C4215" w14:textId="77777777" w:rsidR="003E2162" w:rsidRDefault="003E2162" w:rsidP="00636E99">
      <w:pPr>
        <w:tabs>
          <w:tab w:val="left" w:pos="567"/>
        </w:tabs>
        <w:spacing w:line="480" w:lineRule="auto"/>
        <w:ind w:left="567" w:hanging="567"/>
        <w:jc w:val="both"/>
        <w:rPr>
          <w:rFonts w:ascii="Century Gothic" w:hAnsi="Century Gothic"/>
          <w:lang w:val="en-ZA"/>
        </w:rPr>
      </w:pPr>
    </w:p>
    <w:p w14:paraId="33CAF96B" w14:textId="3F6F2102" w:rsidR="00803443" w:rsidRDefault="003E2162"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w:t>
      </w:r>
      <w:r w:rsidR="008C25B5">
        <w:rPr>
          <w:rFonts w:ascii="Century Gothic" w:hAnsi="Century Gothic"/>
          <w:lang w:val="en-ZA"/>
        </w:rPr>
        <w:t>21</w:t>
      </w:r>
      <w:r>
        <w:rPr>
          <w:rFonts w:ascii="Century Gothic" w:hAnsi="Century Gothic"/>
          <w:lang w:val="en-ZA"/>
        </w:rPr>
        <w:t>]</w:t>
      </w:r>
      <w:r>
        <w:rPr>
          <w:rFonts w:ascii="Century Gothic" w:hAnsi="Century Gothic"/>
          <w:lang w:val="en-ZA"/>
        </w:rPr>
        <w:tab/>
        <w:t xml:space="preserve">Nevertheless, </w:t>
      </w:r>
      <w:r w:rsidR="00A17832">
        <w:rPr>
          <w:rFonts w:ascii="Century Gothic" w:hAnsi="Century Gothic"/>
          <w:lang w:val="en-ZA"/>
        </w:rPr>
        <w:t xml:space="preserve">I have considered Bluecentrix’s arguments in the context of the entire string of emails of which the </w:t>
      </w:r>
      <w:r w:rsidR="00751BCC">
        <w:rPr>
          <w:rFonts w:ascii="Century Gothic" w:hAnsi="Century Gothic"/>
          <w:lang w:val="en-ZA"/>
        </w:rPr>
        <w:t>V</w:t>
      </w:r>
      <w:r w:rsidR="00A17832">
        <w:rPr>
          <w:rFonts w:ascii="Century Gothic" w:hAnsi="Century Gothic"/>
          <w:lang w:val="en-ZA"/>
        </w:rPr>
        <w:t>an der Mescht email is part, as I</w:t>
      </w:r>
      <w:r w:rsidR="00751BCC">
        <w:rPr>
          <w:rFonts w:ascii="Century Gothic" w:hAnsi="Century Gothic"/>
          <w:lang w:val="en-ZA"/>
        </w:rPr>
        <w:t xml:space="preserve">, first, </w:t>
      </w:r>
      <w:r w:rsidR="00A17832">
        <w:rPr>
          <w:rFonts w:ascii="Century Gothic" w:hAnsi="Century Gothic"/>
          <w:lang w:val="en-ZA"/>
        </w:rPr>
        <w:t xml:space="preserve">am not convinced that I have </w:t>
      </w:r>
      <w:r w:rsidR="00EC040B">
        <w:rPr>
          <w:rFonts w:ascii="Century Gothic" w:hAnsi="Century Gothic"/>
          <w:lang w:val="en-ZA"/>
        </w:rPr>
        <w:t xml:space="preserve">the </w:t>
      </w:r>
      <w:r w:rsidR="00A17832">
        <w:rPr>
          <w:rFonts w:ascii="Century Gothic" w:hAnsi="Century Gothic"/>
          <w:lang w:val="en-ZA"/>
        </w:rPr>
        <w:t xml:space="preserve">power to revisit </w:t>
      </w:r>
      <w:r w:rsidR="002F5E2B">
        <w:rPr>
          <w:rFonts w:ascii="Century Gothic" w:hAnsi="Century Gothic"/>
          <w:lang w:val="en-ZA"/>
        </w:rPr>
        <w:t>the admissibility finding of Gamble, J</w:t>
      </w:r>
      <w:r w:rsidR="00217992">
        <w:rPr>
          <w:rFonts w:ascii="Century Gothic" w:hAnsi="Century Gothic"/>
          <w:lang w:val="en-ZA"/>
        </w:rPr>
        <w:t>. S</w:t>
      </w:r>
      <w:r w:rsidR="00751BCC">
        <w:rPr>
          <w:rFonts w:ascii="Century Gothic" w:hAnsi="Century Gothic"/>
          <w:lang w:val="en-ZA"/>
        </w:rPr>
        <w:t>econd,</w:t>
      </w:r>
      <w:r w:rsidR="002F5E2B">
        <w:rPr>
          <w:rFonts w:ascii="Century Gothic" w:hAnsi="Century Gothic"/>
          <w:lang w:val="en-ZA"/>
        </w:rPr>
        <w:t xml:space="preserve"> even if I was so empowered</w:t>
      </w:r>
      <w:r w:rsidR="00751BCC">
        <w:rPr>
          <w:rFonts w:ascii="Century Gothic" w:hAnsi="Century Gothic"/>
          <w:lang w:val="en-ZA"/>
        </w:rPr>
        <w:t>,</w:t>
      </w:r>
      <w:r w:rsidR="002F5E2B">
        <w:rPr>
          <w:rFonts w:ascii="Century Gothic" w:hAnsi="Century Gothic"/>
          <w:lang w:val="en-ZA"/>
        </w:rPr>
        <w:t xml:space="preserve"> I am unable to see any reason why </w:t>
      </w:r>
      <w:r w:rsidR="00093675">
        <w:rPr>
          <w:rFonts w:ascii="Century Gothic" w:hAnsi="Century Gothic"/>
          <w:lang w:val="en-ZA"/>
        </w:rPr>
        <w:t xml:space="preserve">the general rule that an applicant should make out its case in the founding papers or the </w:t>
      </w:r>
      <w:r w:rsidR="00093675" w:rsidRPr="00112D7A">
        <w:rPr>
          <w:rFonts w:ascii="Century Gothic" w:hAnsi="Century Gothic"/>
          <w:i/>
          <w:iCs/>
          <w:lang w:val="en-ZA"/>
        </w:rPr>
        <w:t xml:space="preserve">Plascon – Evans </w:t>
      </w:r>
      <w:r w:rsidR="00112D7A">
        <w:rPr>
          <w:rFonts w:ascii="Century Gothic" w:hAnsi="Century Gothic"/>
          <w:lang w:val="en-ZA"/>
        </w:rPr>
        <w:t>test</w:t>
      </w:r>
      <w:r w:rsidR="00093675">
        <w:rPr>
          <w:rFonts w:ascii="Century Gothic" w:hAnsi="Century Gothic"/>
          <w:lang w:val="en-ZA"/>
        </w:rPr>
        <w:t xml:space="preserve">, </w:t>
      </w:r>
      <w:r w:rsidR="001C48A5">
        <w:rPr>
          <w:rFonts w:ascii="Century Gothic" w:hAnsi="Century Gothic"/>
          <w:lang w:val="en-ZA"/>
        </w:rPr>
        <w:t>assist Bluecentrix in this matter at all</w:t>
      </w:r>
      <w:r w:rsidR="00EC040B">
        <w:rPr>
          <w:rFonts w:ascii="Century Gothic" w:hAnsi="Century Gothic"/>
          <w:lang w:val="en-ZA"/>
        </w:rPr>
        <w:t xml:space="preserve">, particularly </w:t>
      </w:r>
      <w:r w:rsidR="00494C1D">
        <w:rPr>
          <w:rFonts w:ascii="Century Gothic" w:hAnsi="Century Gothic"/>
          <w:lang w:val="en-ZA"/>
        </w:rPr>
        <w:t>given</w:t>
      </w:r>
      <w:r w:rsidR="00EC040B">
        <w:rPr>
          <w:rFonts w:ascii="Century Gothic" w:hAnsi="Century Gothic"/>
          <w:lang w:val="en-ZA"/>
        </w:rPr>
        <w:t xml:space="preserve"> the concession by</w:t>
      </w:r>
      <w:r w:rsidR="008039BB">
        <w:rPr>
          <w:rFonts w:ascii="Century Gothic" w:hAnsi="Century Gothic"/>
          <w:lang w:val="en-ZA"/>
        </w:rPr>
        <w:t xml:space="preserve"> Bluecentrix’s counsel</w:t>
      </w:r>
      <w:r w:rsidR="00EC040B">
        <w:rPr>
          <w:rFonts w:ascii="Century Gothic" w:hAnsi="Century Gothic"/>
          <w:lang w:val="en-ZA"/>
        </w:rPr>
        <w:t xml:space="preserve"> </w:t>
      </w:r>
      <w:r w:rsidR="001C48A5">
        <w:rPr>
          <w:rFonts w:ascii="Century Gothic" w:hAnsi="Century Gothic"/>
          <w:lang w:val="en-ZA"/>
        </w:rPr>
        <w:t>during argument that the string of emails forms part of the record and evidence before me following the dismissal of Bluecentrix’s s</w:t>
      </w:r>
      <w:r w:rsidR="00341B10">
        <w:rPr>
          <w:rFonts w:ascii="Century Gothic" w:hAnsi="Century Gothic"/>
          <w:lang w:val="en-ZA"/>
        </w:rPr>
        <w:t xml:space="preserve">triking application before Gamble, J.  </w:t>
      </w:r>
    </w:p>
    <w:p w14:paraId="06D55047" w14:textId="77777777" w:rsidR="00803443" w:rsidRDefault="00803443" w:rsidP="00636E99">
      <w:pPr>
        <w:tabs>
          <w:tab w:val="left" w:pos="567"/>
        </w:tabs>
        <w:spacing w:line="480" w:lineRule="auto"/>
        <w:ind w:left="567" w:hanging="567"/>
        <w:jc w:val="both"/>
        <w:rPr>
          <w:rFonts w:ascii="Century Gothic" w:hAnsi="Century Gothic"/>
          <w:lang w:val="en-ZA"/>
        </w:rPr>
      </w:pPr>
    </w:p>
    <w:p w14:paraId="67BE5F3C" w14:textId="6032889C" w:rsidR="003E2162" w:rsidRDefault="00803443"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[2</w:t>
      </w:r>
      <w:r w:rsidR="008C25B5">
        <w:rPr>
          <w:rFonts w:ascii="Century Gothic" w:hAnsi="Century Gothic"/>
          <w:lang w:val="en-ZA"/>
        </w:rPr>
        <w:t>2</w:t>
      </w:r>
      <w:r>
        <w:rPr>
          <w:rFonts w:ascii="Century Gothic" w:hAnsi="Century Gothic"/>
          <w:lang w:val="en-ZA"/>
        </w:rPr>
        <w:t>]</w:t>
      </w:r>
      <w:r>
        <w:rPr>
          <w:rFonts w:ascii="Century Gothic" w:hAnsi="Century Gothic"/>
          <w:lang w:val="en-ZA"/>
        </w:rPr>
        <w:tab/>
      </w:r>
      <w:r w:rsidR="003E2162">
        <w:rPr>
          <w:rFonts w:ascii="Century Gothic" w:hAnsi="Century Gothic"/>
          <w:lang w:val="en-ZA"/>
        </w:rPr>
        <w:t xml:space="preserve"> </w:t>
      </w:r>
      <w:r w:rsidR="00142D9D">
        <w:rPr>
          <w:rFonts w:ascii="Century Gothic" w:hAnsi="Century Gothic"/>
          <w:lang w:val="en-ZA"/>
        </w:rPr>
        <w:t xml:space="preserve">The string of emails exchanged between various representatives of DFA and </w:t>
      </w:r>
      <w:r w:rsidR="00142D9D" w:rsidRPr="0028705D">
        <w:rPr>
          <w:rFonts w:ascii="Century Gothic" w:hAnsi="Century Gothic"/>
          <w:lang w:val="en-ZA"/>
        </w:rPr>
        <w:t>Bluecentrix</w:t>
      </w:r>
      <w:r w:rsidR="00142D9D">
        <w:rPr>
          <w:rFonts w:ascii="Century Gothic" w:hAnsi="Century Gothic"/>
          <w:lang w:val="en-ZA"/>
        </w:rPr>
        <w:t>, which followed after the Van der Mescht email of 24 February 2021 and which was allowed by Gamble, J must be considered against Van Rooyen’s bald denial</w:t>
      </w:r>
      <w:r w:rsidR="00D71D16">
        <w:rPr>
          <w:rFonts w:ascii="Century Gothic" w:hAnsi="Century Gothic"/>
          <w:lang w:val="en-ZA"/>
        </w:rPr>
        <w:t>s</w:t>
      </w:r>
      <w:r w:rsidR="00142D9D">
        <w:rPr>
          <w:rFonts w:ascii="Century Gothic" w:hAnsi="Century Gothic"/>
          <w:lang w:val="en-ZA"/>
        </w:rPr>
        <w:t xml:space="preserve"> in the answering affidavit that: - </w:t>
      </w:r>
      <w:r w:rsidR="00A558A9" w:rsidRPr="0028705D">
        <w:rPr>
          <w:rFonts w:ascii="Century Gothic" w:hAnsi="Century Gothic"/>
          <w:lang w:val="en-ZA"/>
        </w:rPr>
        <w:lastRenderedPageBreak/>
        <w:t>Bluecentrix</w:t>
      </w:r>
      <w:r w:rsidR="00A558A9">
        <w:rPr>
          <w:rFonts w:ascii="Century Gothic" w:hAnsi="Century Gothic"/>
          <w:lang w:val="en-ZA"/>
        </w:rPr>
        <w:t xml:space="preserve"> had ever been a party to a contractual relationship with DFA; - that </w:t>
      </w:r>
      <w:r w:rsidR="00A558A9" w:rsidRPr="0028705D">
        <w:rPr>
          <w:rFonts w:ascii="Century Gothic" w:hAnsi="Century Gothic"/>
          <w:lang w:val="en-ZA"/>
        </w:rPr>
        <w:t>Bluecentrix</w:t>
      </w:r>
      <w:r w:rsidR="00A558A9">
        <w:rPr>
          <w:rFonts w:ascii="Century Gothic" w:hAnsi="Century Gothic"/>
          <w:lang w:val="en-ZA"/>
        </w:rPr>
        <w:t xml:space="preserve"> is indebted to DFA in any amount and</w:t>
      </w:r>
      <w:r w:rsidR="009C4979">
        <w:rPr>
          <w:rFonts w:ascii="Century Gothic" w:hAnsi="Century Gothic"/>
          <w:lang w:val="en-ZA"/>
        </w:rPr>
        <w:t xml:space="preserve">, in his affidavit “opposing rule </w:t>
      </w:r>
      <w:r w:rsidR="009C4979">
        <w:rPr>
          <w:rFonts w:ascii="Century Gothic" w:hAnsi="Century Gothic"/>
          <w:i/>
          <w:iCs/>
          <w:lang w:val="en-ZA"/>
        </w:rPr>
        <w:t>nisi</w:t>
      </w:r>
      <w:r w:rsidR="009C4979">
        <w:rPr>
          <w:rFonts w:ascii="Century Gothic" w:hAnsi="Century Gothic"/>
          <w:lang w:val="en-ZA"/>
        </w:rPr>
        <w:t xml:space="preserve">” (which was filed after the replying affidavit with the string of emails and </w:t>
      </w:r>
      <w:r w:rsidR="00840BEE">
        <w:rPr>
          <w:rFonts w:ascii="Century Gothic" w:hAnsi="Century Gothic"/>
          <w:lang w:val="en-ZA"/>
        </w:rPr>
        <w:t>the judgment of Gamble, J)</w:t>
      </w:r>
      <w:r w:rsidR="0048607C">
        <w:rPr>
          <w:rFonts w:ascii="Century Gothic" w:hAnsi="Century Gothic"/>
          <w:lang w:val="en-ZA"/>
        </w:rPr>
        <w:t>;</w:t>
      </w:r>
      <w:r w:rsidR="00840BEE">
        <w:rPr>
          <w:rFonts w:ascii="Century Gothic" w:hAnsi="Century Gothic"/>
          <w:lang w:val="en-ZA"/>
        </w:rPr>
        <w:t xml:space="preserve"> </w:t>
      </w:r>
      <w:r w:rsidR="00607CE9">
        <w:rPr>
          <w:rFonts w:ascii="Century Gothic" w:hAnsi="Century Gothic"/>
          <w:lang w:val="en-ZA"/>
        </w:rPr>
        <w:t xml:space="preserve">- </w:t>
      </w:r>
      <w:r w:rsidR="00F63799">
        <w:rPr>
          <w:rFonts w:ascii="Century Gothic" w:hAnsi="Century Gothic"/>
          <w:lang w:val="en-ZA"/>
        </w:rPr>
        <w:t>and</w:t>
      </w:r>
      <w:r w:rsidR="007966FF">
        <w:rPr>
          <w:rFonts w:ascii="Century Gothic" w:hAnsi="Century Gothic"/>
          <w:lang w:val="en-ZA"/>
        </w:rPr>
        <w:t>,</w:t>
      </w:r>
      <w:r w:rsidR="00F63799">
        <w:rPr>
          <w:rFonts w:ascii="Century Gothic" w:hAnsi="Century Gothic"/>
          <w:lang w:val="en-ZA"/>
        </w:rPr>
        <w:t xml:space="preserve"> - </w:t>
      </w:r>
      <w:r w:rsidR="00840BEE">
        <w:rPr>
          <w:rFonts w:ascii="Century Gothic" w:hAnsi="Century Gothic"/>
          <w:lang w:val="en-ZA"/>
        </w:rPr>
        <w:t xml:space="preserve">that Van der Mescht had the authority to bind </w:t>
      </w:r>
      <w:r w:rsidR="00840BEE" w:rsidRPr="0028705D">
        <w:rPr>
          <w:rFonts w:ascii="Century Gothic" w:hAnsi="Century Gothic"/>
          <w:lang w:val="en-ZA"/>
        </w:rPr>
        <w:t>Bluecentrix</w:t>
      </w:r>
      <w:r w:rsidR="00840BEE">
        <w:rPr>
          <w:rFonts w:ascii="Century Gothic" w:hAnsi="Century Gothic"/>
          <w:lang w:val="en-ZA"/>
        </w:rPr>
        <w:t xml:space="preserve"> when he sent the email of 24 February 2021.</w:t>
      </w:r>
    </w:p>
    <w:p w14:paraId="1A056E7A" w14:textId="77777777" w:rsidR="00840BEE" w:rsidRDefault="00840BEE" w:rsidP="00636E99">
      <w:pPr>
        <w:tabs>
          <w:tab w:val="left" w:pos="567"/>
        </w:tabs>
        <w:spacing w:line="480" w:lineRule="auto"/>
        <w:ind w:left="567" w:hanging="567"/>
        <w:jc w:val="both"/>
        <w:rPr>
          <w:rFonts w:ascii="Century Gothic" w:hAnsi="Century Gothic"/>
          <w:lang w:val="en-ZA"/>
        </w:rPr>
      </w:pPr>
    </w:p>
    <w:p w14:paraId="10A6969B" w14:textId="2F8B6F9A" w:rsidR="00840BEE" w:rsidRDefault="00840BEE" w:rsidP="00636E99">
      <w:pPr>
        <w:tabs>
          <w:tab w:val="left" w:pos="567"/>
        </w:tabs>
        <w:spacing w:line="480" w:lineRule="auto"/>
        <w:ind w:left="567" w:hanging="567"/>
        <w:jc w:val="both"/>
        <w:rPr>
          <w:rFonts w:ascii="Century Gothic" w:hAnsi="Century Gothic"/>
          <w:lang w:val="en-ZA"/>
        </w:rPr>
      </w:pPr>
      <w:r>
        <w:rPr>
          <w:rFonts w:ascii="Century Gothic" w:hAnsi="Century Gothic"/>
          <w:lang w:val="en-ZA"/>
        </w:rPr>
        <w:t>[2</w:t>
      </w:r>
      <w:r w:rsidR="008C25B5">
        <w:rPr>
          <w:rFonts w:ascii="Century Gothic" w:hAnsi="Century Gothic"/>
          <w:lang w:val="en-ZA"/>
        </w:rPr>
        <w:t>3</w:t>
      </w:r>
      <w:r>
        <w:rPr>
          <w:rFonts w:ascii="Century Gothic" w:hAnsi="Century Gothic"/>
          <w:lang w:val="en-ZA"/>
        </w:rPr>
        <w:t>]</w:t>
      </w:r>
      <w:r>
        <w:rPr>
          <w:rFonts w:ascii="Century Gothic" w:hAnsi="Century Gothic"/>
          <w:lang w:val="en-ZA"/>
        </w:rPr>
        <w:tab/>
        <w:t xml:space="preserve">When Van Rooyen deposed to his </w:t>
      </w:r>
      <w:r w:rsidR="007B1A6F">
        <w:rPr>
          <w:rFonts w:ascii="Century Gothic" w:hAnsi="Century Gothic"/>
          <w:lang w:val="en-ZA"/>
        </w:rPr>
        <w:t xml:space="preserve">“AFFIDAVIT OPPOSING RULE </w:t>
      </w:r>
      <w:r w:rsidR="007B1A6F">
        <w:rPr>
          <w:rFonts w:ascii="Century Gothic" w:hAnsi="Century Gothic"/>
          <w:i/>
          <w:iCs/>
          <w:lang w:val="en-ZA"/>
        </w:rPr>
        <w:t>NISI</w:t>
      </w:r>
      <w:r w:rsidR="00CA28AD">
        <w:rPr>
          <w:rFonts w:ascii="Century Gothic" w:hAnsi="Century Gothic"/>
          <w:i/>
          <w:iCs/>
          <w:lang w:val="en-ZA"/>
        </w:rPr>
        <w:t>”</w:t>
      </w:r>
      <w:r w:rsidR="00CA28AD">
        <w:rPr>
          <w:rFonts w:ascii="Century Gothic" w:hAnsi="Century Gothic"/>
          <w:lang w:val="en-ZA"/>
        </w:rPr>
        <w:t xml:space="preserve"> on 8 September 2023, he </w:t>
      </w:r>
      <w:r w:rsidR="00F054E1">
        <w:rPr>
          <w:rFonts w:ascii="Century Gothic" w:hAnsi="Century Gothic"/>
          <w:lang w:val="en-ZA"/>
        </w:rPr>
        <w:t xml:space="preserve">criticised </w:t>
      </w:r>
      <w:r w:rsidR="00CA28AD">
        <w:rPr>
          <w:rFonts w:ascii="Century Gothic" w:hAnsi="Century Gothic"/>
          <w:lang w:val="en-ZA"/>
        </w:rPr>
        <w:t xml:space="preserve">the judgment of Gamble, J </w:t>
      </w:r>
      <w:r w:rsidR="006A49BD">
        <w:rPr>
          <w:rFonts w:ascii="Century Gothic" w:hAnsi="Century Gothic"/>
          <w:lang w:val="en-ZA"/>
        </w:rPr>
        <w:t xml:space="preserve">and the dismissal of </w:t>
      </w:r>
      <w:r w:rsidR="006A49BD" w:rsidRPr="0028705D">
        <w:rPr>
          <w:rFonts w:ascii="Century Gothic" w:hAnsi="Century Gothic"/>
          <w:lang w:val="en-ZA"/>
        </w:rPr>
        <w:t>Bluecentrix’s</w:t>
      </w:r>
      <w:r w:rsidR="006A49BD">
        <w:rPr>
          <w:rFonts w:ascii="Century Gothic" w:hAnsi="Century Gothic"/>
          <w:lang w:val="en-ZA"/>
        </w:rPr>
        <w:t xml:space="preserve"> striking application. </w:t>
      </w:r>
    </w:p>
    <w:p w14:paraId="3519FDFE" w14:textId="77777777" w:rsidR="006A49BD" w:rsidRDefault="006A49BD" w:rsidP="00636E99">
      <w:pPr>
        <w:tabs>
          <w:tab w:val="left" w:pos="567"/>
        </w:tabs>
        <w:spacing w:line="480" w:lineRule="auto"/>
        <w:ind w:left="567" w:hanging="567"/>
        <w:jc w:val="both"/>
        <w:rPr>
          <w:rFonts w:ascii="Century Gothic" w:hAnsi="Century Gothic"/>
          <w:lang w:val="en-ZA"/>
        </w:rPr>
      </w:pPr>
    </w:p>
    <w:p w14:paraId="317528D5" w14:textId="69CEDE95" w:rsidR="00BD7C16" w:rsidRDefault="006A49BD" w:rsidP="00BD7C16">
      <w:pPr>
        <w:tabs>
          <w:tab w:val="left" w:pos="567"/>
        </w:tabs>
        <w:spacing w:line="480" w:lineRule="auto"/>
        <w:ind w:left="567" w:hanging="567"/>
        <w:jc w:val="both"/>
        <w:rPr>
          <w:rFonts w:ascii="Century Gothic" w:hAnsi="Century Gothic"/>
          <w:lang w:val="en-ZA"/>
        </w:rPr>
      </w:pPr>
      <w:r>
        <w:rPr>
          <w:rFonts w:ascii="Century Gothic" w:hAnsi="Century Gothic"/>
          <w:lang w:val="en-ZA"/>
        </w:rPr>
        <w:t>[2</w:t>
      </w:r>
      <w:r w:rsidR="008C25B5">
        <w:rPr>
          <w:rFonts w:ascii="Century Gothic" w:hAnsi="Century Gothic"/>
          <w:lang w:val="en-ZA"/>
        </w:rPr>
        <w:t>4</w:t>
      </w:r>
      <w:r>
        <w:rPr>
          <w:rFonts w:ascii="Century Gothic" w:hAnsi="Century Gothic"/>
          <w:lang w:val="en-ZA"/>
        </w:rPr>
        <w:t>]</w:t>
      </w:r>
      <w:r>
        <w:rPr>
          <w:rFonts w:ascii="Century Gothic" w:hAnsi="Century Gothic"/>
          <w:lang w:val="en-ZA"/>
        </w:rPr>
        <w:tab/>
      </w:r>
      <w:r w:rsidR="00CB0059">
        <w:rPr>
          <w:rFonts w:ascii="Century Gothic" w:hAnsi="Century Gothic"/>
          <w:lang w:val="en-ZA"/>
        </w:rPr>
        <w:t>Despite its criticism</w:t>
      </w:r>
      <w:r w:rsidR="00494C1D">
        <w:rPr>
          <w:rFonts w:ascii="Century Gothic" w:hAnsi="Century Gothic"/>
          <w:lang w:val="en-ZA"/>
        </w:rPr>
        <w:t>,</w:t>
      </w:r>
      <w:r w:rsidR="00CB0059">
        <w:rPr>
          <w:rFonts w:ascii="Century Gothic" w:hAnsi="Century Gothic"/>
          <w:lang w:val="en-ZA"/>
        </w:rPr>
        <w:t xml:space="preserve"> </w:t>
      </w:r>
      <w:proofErr w:type="spellStart"/>
      <w:r w:rsidRPr="0028705D">
        <w:rPr>
          <w:rFonts w:ascii="Century Gothic" w:hAnsi="Century Gothic"/>
          <w:lang w:val="en-ZA"/>
        </w:rPr>
        <w:t>Bluecentrix</w:t>
      </w:r>
      <w:proofErr w:type="spellEnd"/>
      <w:r>
        <w:rPr>
          <w:rFonts w:ascii="Century Gothic" w:hAnsi="Century Gothic"/>
          <w:lang w:val="en-ZA"/>
        </w:rPr>
        <w:t xml:space="preserve"> nevertheless chose not to explain the content and obvious factual conclusions to be drawn from the string of emails in its </w:t>
      </w:r>
      <w:r w:rsidR="00C95A3E">
        <w:rPr>
          <w:rFonts w:ascii="Century Gothic" w:hAnsi="Century Gothic"/>
          <w:lang w:val="en-ZA"/>
        </w:rPr>
        <w:t>“</w:t>
      </w:r>
      <w:r w:rsidR="009D6108">
        <w:rPr>
          <w:rFonts w:ascii="Century Gothic" w:hAnsi="Century Gothic"/>
          <w:lang w:val="en-ZA"/>
        </w:rPr>
        <w:t xml:space="preserve">So-called </w:t>
      </w:r>
      <w:r w:rsidR="0046187E">
        <w:rPr>
          <w:rFonts w:ascii="Century Gothic" w:hAnsi="Century Gothic"/>
          <w:lang w:val="en-ZA"/>
        </w:rPr>
        <w:t xml:space="preserve">AFFIDAVIT OPPOSING RULE </w:t>
      </w:r>
      <w:r w:rsidR="0046187E">
        <w:rPr>
          <w:rFonts w:ascii="Century Gothic" w:hAnsi="Century Gothic"/>
          <w:i/>
          <w:iCs/>
          <w:lang w:val="en-ZA"/>
        </w:rPr>
        <w:t>NISI</w:t>
      </w:r>
      <w:r w:rsidR="00C95A3E">
        <w:rPr>
          <w:rFonts w:ascii="Century Gothic" w:hAnsi="Century Gothic"/>
          <w:lang w:val="en-ZA"/>
        </w:rPr>
        <w:t xml:space="preserve">” of 18 September 2023 but instead </w:t>
      </w:r>
      <w:r w:rsidR="00B8763B">
        <w:rPr>
          <w:rFonts w:ascii="Century Gothic" w:hAnsi="Century Gothic"/>
          <w:lang w:val="en-ZA"/>
        </w:rPr>
        <w:t>persisted</w:t>
      </w:r>
      <w:r w:rsidR="00C95A3E">
        <w:rPr>
          <w:rFonts w:ascii="Century Gothic" w:hAnsi="Century Gothic"/>
          <w:lang w:val="en-ZA"/>
        </w:rPr>
        <w:t xml:space="preserve"> with a bald denial that Van der Mescht had authority to bind </w:t>
      </w:r>
      <w:r w:rsidR="00C95A3E" w:rsidRPr="0028705D">
        <w:rPr>
          <w:rFonts w:ascii="Century Gothic" w:hAnsi="Century Gothic"/>
          <w:lang w:val="en-ZA"/>
        </w:rPr>
        <w:t>Bluecentrix</w:t>
      </w:r>
      <w:r w:rsidR="00C95A3E">
        <w:rPr>
          <w:rFonts w:ascii="Century Gothic" w:hAnsi="Century Gothic"/>
          <w:lang w:val="en-ZA"/>
        </w:rPr>
        <w:t xml:space="preserve"> and </w:t>
      </w:r>
      <w:r w:rsidR="00585EFF">
        <w:rPr>
          <w:rFonts w:ascii="Century Gothic" w:hAnsi="Century Gothic"/>
          <w:lang w:val="en-ZA"/>
        </w:rPr>
        <w:t>by reaffirming</w:t>
      </w:r>
      <w:r w:rsidR="00BD7C16">
        <w:rPr>
          <w:rFonts w:ascii="Century Gothic" w:hAnsi="Century Gothic"/>
          <w:lang w:val="en-ZA"/>
        </w:rPr>
        <w:t xml:space="preserve"> -</w:t>
      </w:r>
    </w:p>
    <w:p w14:paraId="6FBC64B7" w14:textId="75EAE864" w:rsidR="00FD30A5" w:rsidRPr="0057654A" w:rsidRDefault="00BD7C16" w:rsidP="00BD7C16">
      <w:pPr>
        <w:tabs>
          <w:tab w:val="left" w:pos="567"/>
        </w:tabs>
        <w:spacing w:line="480" w:lineRule="auto"/>
        <w:ind w:left="1440" w:hanging="567"/>
        <w:jc w:val="both"/>
        <w:rPr>
          <w:rFonts w:ascii="Century Gothic" w:hAnsi="Century Gothic"/>
          <w:i/>
          <w:iCs/>
          <w:lang w:val="en-ZA"/>
        </w:rPr>
      </w:pPr>
      <w:r>
        <w:rPr>
          <w:rFonts w:ascii="Century Gothic" w:hAnsi="Century Gothic"/>
          <w:lang w:val="en-ZA"/>
        </w:rPr>
        <w:tab/>
      </w:r>
      <w:r w:rsidR="00585EFF">
        <w:rPr>
          <w:rFonts w:ascii="Century Gothic" w:hAnsi="Century Gothic"/>
          <w:lang w:val="en-ZA"/>
        </w:rPr>
        <w:t xml:space="preserve"> </w:t>
      </w:r>
      <w:r w:rsidR="00585EFF" w:rsidRPr="0057654A">
        <w:rPr>
          <w:rFonts w:ascii="Century Gothic" w:hAnsi="Century Gothic"/>
          <w:i/>
          <w:iCs/>
          <w:lang w:val="en-ZA"/>
        </w:rPr>
        <w:t xml:space="preserve">“….that Bluecentrix does not agree with the Judgment (of Gamble, J) and will seek, at the opposed hearing of this </w:t>
      </w:r>
      <w:r w:rsidR="006F5D50" w:rsidRPr="0057654A">
        <w:rPr>
          <w:rFonts w:ascii="Century Gothic" w:hAnsi="Century Gothic"/>
          <w:i/>
          <w:iCs/>
          <w:lang w:val="en-ZA"/>
        </w:rPr>
        <w:t>matter, to rely, again on its answering affidavit and the points in limine therein, which, I have</w:t>
      </w:r>
      <w:r w:rsidR="00FD30A5" w:rsidRPr="0057654A">
        <w:rPr>
          <w:rFonts w:ascii="Century Gothic" w:hAnsi="Century Gothic"/>
          <w:i/>
          <w:iCs/>
          <w:lang w:val="en-ZA"/>
        </w:rPr>
        <w:t xml:space="preserve"> been advised are strong and should have led to a dismissal of the applicant’s case which must I understand, be made out in its founding affidavit.</w:t>
      </w:r>
    </w:p>
    <w:p w14:paraId="2CCAF03F" w14:textId="2DD2DE68" w:rsidR="006A49BD" w:rsidRDefault="00FD30A5" w:rsidP="003B2E24">
      <w:pPr>
        <w:tabs>
          <w:tab w:val="left" w:pos="567"/>
        </w:tabs>
        <w:spacing w:line="480" w:lineRule="auto"/>
        <w:ind w:left="1440" w:hanging="1440"/>
        <w:jc w:val="both"/>
        <w:rPr>
          <w:rFonts w:ascii="Century Gothic" w:hAnsi="Century Gothic"/>
          <w:lang w:val="en-ZA"/>
        </w:rPr>
      </w:pPr>
      <w:r>
        <w:rPr>
          <w:rFonts w:ascii="Century Gothic" w:hAnsi="Century Gothic"/>
          <w:lang w:val="en-ZA"/>
        </w:rPr>
        <w:tab/>
      </w:r>
      <w:r w:rsidRPr="00934B8D">
        <w:rPr>
          <w:rFonts w:ascii="Century Gothic" w:hAnsi="Century Gothic"/>
          <w:i/>
          <w:iCs/>
          <w:lang w:val="en-ZA"/>
        </w:rPr>
        <w:t>10</w:t>
      </w:r>
      <w:r>
        <w:rPr>
          <w:rFonts w:ascii="Century Gothic" w:hAnsi="Century Gothic"/>
          <w:lang w:val="en-ZA"/>
        </w:rPr>
        <w:t>.</w:t>
      </w:r>
      <w:r>
        <w:rPr>
          <w:rFonts w:ascii="Century Gothic" w:hAnsi="Century Gothic"/>
          <w:lang w:val="en-ZA"/>
        </w:rPr>
        <w:tab/>
      </w:r>
      <w:r w:rsidR="00DC45A3" w:rsidRPr="002D57AD">
        <w:rPr>
          <w:rFonts w:ascii="Century Gothic" w:hAnsi="Century Gothic"/>
          <w:i/>
          <w:iCs/>
          <w:lang w:val="en-ZA"/>
        </w:rPr>
        <w:t xml:space="preserve">I have further been advised that a court at the final stage of winding-up proceedings is obliged to apply </w:t>
      </w:r>
      <w:r w:rsidR="00DB7F65">
        <w:rPr>
          <w:rFonts w:ascii="Century Gothic" w:hAnsi="Century Gothic"/>
          <w:i/>
          <w:iCs/>
          <w:lang w:val="en-ZA"/>
        </w:rPr>
        <w:t xml:space="preserve">a </w:t>
      </w:r>
      <w:r w:rsidR="00DC45A3" w:rsidRPr="002D57AD">
        <w:rPr>
          <w:rFonts w:ascii="Century Gothic" w:hAnsi="Century Gothic"/>
          <w:i/>
          <w:iCs/>
          <w:lang w:val="en-ZA"/>
        </w:rPr>
        <w:t xml:space="preserve">different evidentiary </w:t>
      </w:r>
      <w:r w:rsidR="003B2E24" w:rsidRPr="002D57AD">
        <w:rPr>
          <w:rFonts w:ascii="Century Gothic" w:hAnsi="Century Gothic"/>
          <w:i/>
          <w:iCs/>
          <w:lang w:val="en-ZA"/>
        </w:rPr>
        <w:lastRenderedPageBreak/>
        <w:t xml:space="preserve">test to the papers and that the </w:t>
      </w:r>
      <w:r w:rsidR="003B2E24" w:rsidRPr="002D57AD">
        <w:rPr>
          <w:rFonts w:ascii="Century Gothic" w:hAnsi="Century Gothic"/>
          <w:i/>
          <w:iCs/>
          <w:u w:val="single"/>
          <w:lang w:val="en-ZA"/>
        </w:rPr>
        <w:t>Plascon – Evans rule</w:t>
      </w:r>
      <w:r w:rsidR="003B2E24" w:rsidRPr="002D57AD">
        <w:rPr>
          <w:rFonts w:ascii="Century Gothic" w:hAnsi="Century Gothic"/>
          <w:i/>
          <w:iCs/>
          <w:lang w:val="en-ZA"/>
        </w:rPr>
        <w:t xml:space="preserve"> applies. </w:t>
      </w:r>
      <w:r w:rsidR="002E7D35" w:rsidRPr="002D57AD">
        <w:rPr>
          <w:rFonts w:ascii="Century Gothic" w:hAnsi="Century Gothic"/>
          <w:i/>
          <w:iCs/>
          <w:lang w:val="en-ZA"/>
        </w:rPr>
        <w:t>That being the case, I confirm the contents of the answering affidavit and Bluecentrix’s reliance thereon.</w:t>
      </w:r>
      <w:r w:rsidR="002E7D35">
        <w:rPr>
          <w:rFonts w:ascii="Century Gothic" w:hAnsi="Century Gothic"/>
          <w:lang w:val="en-ZA"/>
        </w:rPr>
        <w:t>”</w:t>
      </w:r>
      <w:r w:rsidR="006F5D50">
        <w:rPr>
          <w:rFonts w:ascii="Century Gothic" w:hAnsi="Century Gothic"/>
          <w:i/>
          <w:iCs/>
          <w:lang w:val="en-ZA"/>
        </w:rPr>
        <w:t xml:space="preserve"> </w:t>
      </w:r>
    </w:p>
    <w:p w14:paraId="55E6F418" w14:textId="77777777" w:rsidR="00BD7C16" w:rsidRDefault="00BD7C16" w:rsidP="003B2E24">
      <w:pPr>
        <w:tabs>
          <w:tab w:val="left" w:pos="567"/>
        </w:tabs>
        <w:spacing w:line="480" w:lineRule="auto"/>
        <w:ind w:left="1440" w:hanging="1440"/>
        <w:jc w:val="both"/>
        <w:rPr>
          <w:rFonts w:ascii="Century Gothic" w:hAnsi="Century Gothic"/>
          <w:lang w:val="en-ZA"/>
        </w:rPr>
      </w:pPr>
    </w:p>
    <w:p w14:paraId="63196B41" w14:textId="35ADD200" w:rsidR="00BD7C16" w:rsidRDefault="00BD7C16" w:rsidP="00BF37E0">
      <w:pPr>
        <w:tabs>
          <w:tab w:val="left" w:pos="567"/>
        </w:tabs>
        <w:spacing w:line="480" w:lineRule="auto"/>
        <w:ind w:left="567" w:hanging="567"/>
        <w:jc w:val="both"/>
        <w:rPr>
          <w:rFonts w:ascii="Century Gothic" w:hAnsi="Century Gothic"/>
          <w:lang w:val="en-ZA"/>
        </w:rPr>
      </w:pPr>
      <w:r>
        <w:rPr>
          <w:rFonts w:ascii="Century Gothic" w:hAnsi="Century Gothic"/>
          <w:lang w:val="en-ZA"/>
        </w:rPr>
        <w:t>[2</w:t>
      </w:r>
      <w:r w:rsidR="008C25B5">
        <w:rPr>
          <w:rFonts w:ascii="Century Gothic" w:hAnsi="Century Gothic"/>
          <w:lang w:val="en-ZA"/>
        </w:rPr>
        <w:t>5</w:t>
      </w:r>
      <w:r>
        <w:rPr>
          <w:rFonts w:ascii="Century Gothic" w:hAnsi="Century Gothic"/>
          <w:lang w:val="en-ZA"/>
        </w:rPr>
        <w:t>]</w:t>
      </w:r>
      <w:r>
        <w:rPr>
          <w:rFonts w:ascii="Century Gothic" w:hAnsi="Century Gothic"/>
          <w:lang w:val="en-ZA"/>
        </w:rPr>
        <w:tab/>
      </w:r>
      <w:r w:rsidR="00BF37E0">
        <w:rPr>
          <w:rFonts w:ascii="Century Gothic" w:hAnsi="Century Gothic"/>
          <w:lang w:val="en-ZA"/>
        </w:rPr>
        <w:t xml:space="preserve">This course adopted by </w:t>
      </w:r>
      <w:r w:rsidR="00BF37E0" w:rsidRPr="0028705D">
        <w:rPr>
          <w:rFonts w:ascii="Century Gothic" w:hAnsi="Century Gothic"/>
          <w:lang w:val="en-ZA"/>
        </w:rPr>
        <w:t>Bluecentrix</w:t>
      </w:r>
      <w:r w:rsidR="00BF37E0">
        <w:rPr>
          <w:rFonts w:ascii="Century Gothic" w:hAnsi="Century Gothic"/>
          <w:lang w:val="en-ZA"/>
        </w:rPr>
        <w:t xml:space="preserve"> in my view ignores the onus on it to </w:t>
      </w:r>
      <w:r w:rsidR="00064C10">
        <w:rPr>
          <w:rFonts w:ascii="Century Gothic" w:hAnsi="Century Gothic"/>
          <w:lang w:val="en-ZA"/>
        </w:rPr>
        <w:t>show that it is indeed able to pay its debts, or that it is not indebted to DFA at all in an amount not exceeding R100-00.  The string of emails show</w:t>
      </w:r>
      <w:r w:rsidR="00BD6102">
        <w:rPr>
          <w:rFonts w:ascii="Century Gothic" w:hAnsi="Century Gothic"/>
          <w:lang w:val="en-ZA"/>
        </w:rPr>
        <w:t>s</w:t>
      </w:r>
      <w:r w:rsidR="00064C10">
        <w:rPr>
          <w:rFonts w:ascii="Century Gothic" w:hAnsi="Century Gothic"/>
          <w:lang w:val="en-ZA"/>
        </w:rPr>
        <w:t xml:space="preserve">, </w:t>
      </w:r>
      <w:r w:rsidR="00064C10">
        <w:rPr>
          <w:rFonts w:ascii="Century Gothic" w:hAnsi="Century Gothic"/>
          <w:i/>
          <w:iCs/>
          <w:lang w:val="en-ZA"/>
        </w:rPr>
        <w:t>inter alia,</w:t>
      </w:r>
      <w:r w:rsidR="00064C10">
        <w:rPr>
          <w:rFonts w:ascii="Century Gothic" w:hAnsi="Century Gothic"/>
          <w:lang w:val="en-ZA"/>
        </w:rPr>
        <w:t xml:space="preserve"> the following:</w:t>
      </w:r>
      <w:r w:rsidR="005853C8">
        <w:rPr>
          <w:rFonts w:ascii="Century Gothic" w:hAnsi="Century Gothic"/>
          <w:lang w:val="en-ZA"/>
        </w:rPr>
        <w:t xml:space="preserve"> </w:t>
      </w:r>
      <w:r w:rsidR="00064C10">
        <w:rPr>
          <w:rFonts w:ascii="Century Gothic" w:hAnsi="Century Gothic"/>
          <w:lang w:val="en-ZA"/>
        </w:rPr>
        <w:t>-</w:t>
      </w:r>
    </w:p>
    <w:p w14:paraId="7A4BDF0F" w14:textId="77777777" w:rsidR="00F653B3" w:rsidRDefault="00F653B3" w:rsidP="00BF37E0">
      <w:pPr>
        <w:tabs>
          <w:tab w:val="left" w:pos="567"/>
        </w:tabs>
        <w:spacing w:line="480" w:lineRule="auto"/>
        <w:ind w:left="567" w:hanging="567"/>
        <w:jc w:val="both"/>
        <w:rPr>
          <w:rFonts w:ascii="Century Gothic" w:hAnsi="Century Gothic"/>
          <w:lang w:val="en-ZA"/>
        </w:rPr>
      </w:pPr>
    </w:p>
    <w:p w14:paraId="219E72E8" w14:textId="3E178060" w:rsidR="00064C10" w:rsidRDefault="00064C10" w:rsidP="00582C9D">
      <w:pPr>
        <w:tabs>
          <w:tab w:val="left" w:pos="567"/>
        </w:tabs>
        <w:spacing w:line="480" w:lineRule="auto"/>
        <w:ind w:left="1440" w:hanging="1440"/>
        <w:jc w:val="both"/>
        <w:rPr>
          <w:rFonts w:ascii="Century Gothic" w:hAnsi="Century Gothic"/>
          <w:lang w:val="en-ZA"/>
        </w:rPr>
      </w:pPr>
      <w:r>
        <w:rPr>
          <w:rFonts w:ascii="Century Gothic" w:hAnsi="Century Gothic"/>
          <w:lang w:val="en-ZA"/>
        </w:rPr>
        <w:tab/>
      </w:r>
      <w:r w:rsidR="00582C9D">
        <w:rPr>
          <w:rFonts w:ascii="Century Gothic" w:hAnsi="Century Gothic"/>
          <w:lang w:val="en-ZA"/>
        </w:rPr>
        <w:t>[</w:t>
      </w:r>
      <w:r w:rsidR="0017178A">
        <w:rPr>
          <w:rFonts w:ascii="Century Gothic" w:hAnsi="Century Gothic"/>
          <w:lang w:val="en-ZA"/>
        </w:rPr>
        <w:t>a</w:t>
      </w:r>
      <w:r w:rsidR="00582C9D">
        <w:rPr>
          <w:rFonts w:ascii="Century Gothic" w:hAnsi="Century Gothic"/>
          <w:lang w:val="en-ZA"/>
        </w:rPr>
        <w:t>]</w:t>
      </w:r>
      <w:r w:rsidR="00582C9D">
        <w:rPr>
          <w:rFonts w:ascii="Century Gothic" w:hAnsi="Century Gothic"/>
          <w:lang w:val="en-ZA"/>
        </w:rPr>
        <w:tab/>
      </w:r>
      <w:r w:rsidR="00180A9F">
        <w:rPr>
          <w:rFonts w:ascii="Century Gothic" w:hAnsi="Century Gothic"/>
          <w:lang w:val="en-ZA"/>
        </w:rPr>
        <w:t>t</w:t>
      </w:r>
      <w:r w:rsidR="00582C9D">
        <w:rPr>
          <w:rFonts w:ascii="Century Gothic" w:hAnsi="Century Gothic"/>
          <w:lang w:val="en-ZA"/>
        </w:rPr>
        <w:t>hat Van Rooyen and Andr</w:t>
      </w:r>
      <w:r w:rsidR="0088480A">
        <w:rPr>
          <w:rFonts w:ascii="Century Gothic" w:hAnsi="Century Gothic"/>
          <w:lang w:val="en-ZA"/>
        </w:rPr>
        <w:t>è</w:t>
      </w:r>
      <w:r w:rsidR="00582C9D">
        <w:rPr>
          <w:rFonts w:ascii="Century Gothic" w:hAnsi="Century Gothic"/>
          <w:lang w:val="en-ZA"/>
        </w:rPr>
        <w:t xml:space="preserve"> </w:t>
      </w:r>
      <w:r w:rsidR="00A654D6">
        <w:rPr>
          <w:rFonts w:ascii="Century Gothic" w:hAnsi="Century Gothic"/>
          <w:lang w:val="en-ZA"/>
        </w:rPr>
        <w:t>Pretorius</w:t>
      </w:r>
      <w:r w:rsidR="00582C9D">
        <w:rPr>
          <w:rFonts w:ascii="Century Gothic" w:hAnsi="Century Gothic"/>
          <w:lang w:val="en-ZA"/>
        </w:rPr>
        <w:t xml:space="preserve"> (who </w:t>
      </w:r>
      <w:r w:rsidR="0088480A">
        <w:rPr>
          <w:rFonts w:ascii="Century Gothic" w:hAnsi="Century Gothic"/>
          <w:lang w:val="en-ZA"/>
        </w:rPr>
        <w:t>Van Rooyen</w:t>
      </w:r>
      <w:r w:rsidR="00582C9D">
        <w:rPr>
          <w:rFonts w:ascii="Century Gothic" w:hAnsi="Century Gothic"/>
          <w:lang w:val="en-ZA"/>
        </w:rPr>
        <w:t xml:space="preserve"> alleged was a director of another company, also</w:t>
      </w:r>
      <w:r w:rsidR="00C02491">
        <w:rPr>
          <w:rFonts w:ascii="Century Gothic" w:hAnsi="Century Gothic"/>
          <w:lang w:val="en-ZA"/>
        </w:rPr>
        <w:t xml:space="preserve"> </w:t>
      </w:r>
      <w:r w:rsidR="00F107FC">
        <w:rPr>
          <w:rFonts w:ascii="Century Gothic" w:hAnsi="Century Gothic"/>
          <w:lang w:val="en-ZA"/>
        </w:rPr>
        <w:t xml:space="preserve">purportedly </w:t>
      </w:r>
      <w:r w:rsidR="00C02491">
        <w:rPr>
          <w:rFonts w:ascii="Century Gothic" w:hAnsi="Century Gothic"/>
          <w:lang w:val="en-ZA"/>
        </w:rPr>
        <w:t>trading</w:t>
      </w:r>
      <w:r w:rsidR="00582C9D">
        <w:rPr>
          <w:rFonts w:ascii="Century Gothic" w:hAnsi="Century Gothic"/>
          <w:lang w:val="en-ZA"/>
        </w:rPr>
        <w:t xml:space="preserve"> under the name “Smartswitch”) </w:t>
      </w:r>
      <w:r w:rsidR="00CA7570">
        <w:rPr>
          <w:rFonts w:ascii="Century Gothic" w:hAnsi="Century Gothic"/>
          <w:lang w:val="en-ZA"/>
        </w:rPr>
        <w:t xml:space="preserve">were copied in on </w:t>
      </w:r>
      <w:r w:rsidR="0017178A">
        <w:rPr>
          <w:rFonts w:ascii="Century Gothic" w:hAnsi="Century Gothic"/>
          <w:lang w:val="en-ZA"/>
        </w:rPr>
        <w:t xml:space="preserve">emails sent by Van der Mescht </w:t>
      </w:r>
      <w:r w:rsidR="00607CE9">
        <w:rPr>
          <w:rFonts w:ascii="Century Gothic" w:hAnsi="Century Gothic"/>
          <w:lang w:val="en-ZA"/>
        </w:rPr>
        <w:t xml:space="preserve">of Bluecentrix </w:t>
      </w:r>
      <w:r w:rsidR="0017178A">
        <w:rPr>
          <w:rFonts w:ascii="Century Gothic" w:hAnsi="Century Gothic"/>
          <w:lang w:val="en-ZA"/>
        </w:rPr>
        <w:t xml:space="preserve">and Roelien </w:t>
      </w:r>
      <w:r w:rsidR="005B5599">
        <w:rPr>
          <w:rFonts w:ascii="Century Gothic" w:hAnsi="Century Gothic"/>
          <w:lang w:val="en-ZA"/>
        </w:rPr>
        <w:t xml:space="preserve">Nieuwoudt </w:t>
      </w:r>
      <w:r w:rsidR="00F0153B">
        <w:rPr>
          <w:rFonts w:ascii="Century Gothic" w:hAnsi="Century Gothic"/>
          <w:lang w:val="en-ZA"/>
        </w:rPr>
        <w:t>of D</w:t>
      </w:r>
      <w:r w:rsidR="0017178A">
        <w:rPr>
          <w:rFonts w:ascii="Century Gothic" w:hAnsi="Century Gothic"/>
          <w:lang w:val="en-ZA"/>
        </w:rPr>
        <w:t>FA wherein the outstanding amounts due to DFA were discussed and payment arrangements addressed;</w:t>
      </w:r>
    </w:p>
    <w:p w14:paraId="35C80E9A" w14:textId="77777777" w:rsidR="00934B8D" w:rsidRDefault="00934B8D" w:rsidP="00934B8D">
      <w:pPr>
        <w:tabs>
          <w:tab w:val="left" w:pos="567"/>
        </w:tabs>
        <w:spacing w:line="480" w:lineRule="auto"/>
        <w:jc w:val="both"/>
        <w:rPr>
          <w:rFonts w:ascii="Century Gothic" w:hAnsi="Century Gothic"/>
          <w:lang w:val="en-ZA"/>
        </w:rPr>
      </w:pPr>
    </w:p>
    <w:p w14:paraId="6EA88536" w14:textId="00F0702E" w:rsidR="00AB5C65" w:rsidRDefault="0017178A" w:rsidP="00582C9D">
      <w:pPr>
        <w:tabs>
          <w:tab w:val="left" w:pos="567"/>
        </w:tabs>
        <w:spacing w:line="480" w:lineRule="auto"/>
        <w:ind w:left="1440" w:hanging="1440"/>
        <w:jc w:val="both"/>
        <w:rPr>
          <w:rFonts w:ascii="Century Gothic" w:hAnsi="Century Gothic"/>
          <w:lang w:val="en-ZA"/>
        </w:rPr>
      </w:pPr>
      <w:r>
        <w:rPr>
          <w:rFonts w:ascii="Century Gothic" w:hAnsi="Century Gothic"/>
          <w:lang w:val="en-ZA"/>
        </w:rPr>
        <w:tab/>
      </w:r>
      <w:r w:rsidR="004273F0">
        <w:rPr>
          <w:rFonts w:ascii="Century Gothic" w:hAnsi="Century Gothic"/>
          <w:lang w:val="en-ZA"/>
        </w:rPr>
        <w:t>[</w:t>
      </w:r>
      <w:r w:rsidR="00764256">
        <w:rPr>
          <w:rFonts w:ascii="Century Gothic" w:hAnsi="Century Gothic"/>
          <w:lang w:val="en-ZA"/>
        </w:rPr>
        <w:t>b</w:t>
      </w:r>
      <w:r w:rsidR="004273F0">
        <w:rPr>
          <w:rFonts w:ascii="Century Gothic" w:hAnsi="Century Gothic"/>
          <w:lang w:val="en-ZA"/>
        </w:rPr>
        <w:t>]</w:t>
      </w:r>
      <w:r w:rsidR="004273F0">
        <w:rPr>
          <w:rFonts w:ascii="Century Gothic" w:hAnsi="Century Gothic"/>
          <w:lang w:val="en-ZA"/>
        </w:rPr>
        <w:tab/>
      </w:r>
      <w:r w:rsidR="00180A9F">
        <w:rPr>
          <w:rFonts w:ascii="Century Gothic" w:hAnsi="Century Gothic"/>
          <w:lang w:val="en-ZA"/>
        </w:rPr>
        <w:t xml:space="preserve">that </w:t>
      </w:r>
      <w:r w:rsidR="004273F0">
        <w:rPr>
          <w:rFonts w:ascii="Century Gothic" w:hAnsi="Century Gothic"/>
          <w:lang w:val="en-ZA"/>
        </w:rPr>
        <w:t>Van Rooyen i</w:t>
      </w:r>
      <w:r w:rsidR="00AB5C65">
        <w:rPr>
          <w:rFonts w:ascii="Century Gothic" w:hAnsi="Century Gothic"/>
          <w:lang w:val="en-ZA"/>
        </w:rPr>
        <w:t>n an email of 18 December 2020</w:t>
      </w:r>
      <w:r w:rsidR="00F653B3">
        <w:rPr>
          <w:rFonts w:ascii="Century Gothic" w:hAnsi="Century Gothic"/>
          <w:lang w:val="en-ZA"/>
        </w:rPr>
        <w:t>, which was addressed to</w:t>
      </w:r>
      <w:r w:rsidR="00025FE8">
        <w:rPr>
          <w:rFonts w:ascii="Century Gothic" w:hAnsi="Century Gothic"/>
          <w:lang w:val="en-ZA"/>
        </w:rPr>
        <w:t xml:space="preserve">, </w:t>
      </w:r>
      <w:r w:rsidR="00025FE8">
        <w:rPr>
          <w:rFonts w:ascii="Century Gothic" w:hAnsi="Century Gothic"/>
          <w:i/>
          <w:iCs/>
          <w:lang w:val="en-ZA"/>
        </w:rPr>
        <w:t>inter alia,</w:t>
      </w:r>
      <w:r w:rsidR="00025FE8">
        <w:rPr>
          <w:rFonts w:ascii="Century Gothic" w:hAnsi="Century Gothic"/>
          <w:lang w:val="en-ZA"/>
        </w:rPr>
        <w:t xml:space="preserve"> Roelien Nieuwoudt of DFA and Andrè Pretorius</w:t>
      </w:r>
      <w:r w:rsidR="002F4833">
        <w:rPr>
          <w:rFonts w:ascii="Century Gothic" w:hAnsi="Century Gothic"/>
          <w:lang w:val="en-ZA"/>
        </w:rPr>
        <w:t xml:space="preserve">, </w:t>
      </w:r>
      <w:r w:rsidR="00AB5C65">
        <w:rPr>
          <w:rFonts w:ascii="Century Gothic" w:hAnsi="Century Gothic"/>
          <w:lang w:val="en-ZA"/>
        </w:rPr>
        <w:t>calculated the total amount outstanding to DFA in the amount of R1,094,155.87</w:t>
      </w:r>
      <w:r w:rsidR="00F7398E">
        <w:rPr>
          <w:rFonts w:ascii="Century Gothic" w:hAnsi="Century Gothic"/>
          <w:lang w:val="en-ZA"/>
        </w:rPr>
        <w:t>, as set out in a schedule attached to this email</w:t>
      </w:r>
      <w:r w:rsidR="00AB5C65">
        <w:rPr>
          <w:rFonts w:ascii="Century Gothic" w:hAnsi="Century Gothic"/>
          <w:lang w:val="en-ZA"/>
        </w:rPr>
        <w:t>;</w:t>
      </w:r>
    </w:p>
    <w:p w14:paraId="27C9CA7B" w14:textId="77777777" w:rsidR="00934B8D" w:rsidRDefault="00934B8D" w:rsidP="00934B8D">
      <w:pPr>
        <w:tabs>
          <w:tab w:val="left" w:pos="567"/>
        </w:tabs>
        <w:spacing w:line="480" w:lineRule="auto"/>
        <w:jc w:val="both"/>
        <w:rPr>
          <w:rFonts w:ascii="Century Gothic" w:hAnsi="Century Gothic"/>
          <w:lang w:val="en-ZA"/>
        </w:rPr>
      </w:pPr>
    </w:p>
    <w:p w14:paraId="42E33512" w14:textId="4A92B1F4" w:rsidR="00764256" w:rsidRDefault="00764256" w:rsidP="00764256">
      <w:pPr>
        <w:tabs>
          <w:tab w:val="left" w:pos="567"/>
        </w:tabs>
        <w:spacing w:line="480" w:lineRule="auto"/>
        <w:ind w:left="1440" w:hanging="1440"/>
        <w:jc w:val="both"/>
        <w:rPr>
          <w:rFonts w:ascii="Century Gothic" w:hAnsi="Century Gothic"/>
          <w:lang w:val="en-ZA"/>
        </w:rPr>
      </w:pPr>
      <w:r>
        <w:rPr>
          <w:rFonts w:ascii="Century Gothic" w:hAnsi="Century Gothic"/>
          <w:lang w:val="en-ZA"/>
        </w:rPr>
        <w:tab/>
        <w:t>[c]</w:t>
      </w:r>
      <w:r>
        <w:rPr>
          <w:rFonts w:ascii="Century Gothic" w:hAnsi="Century Gothic"/>
          <w:lang w:val="en-ZA"/>
        </w:rPr>
        <w:tab/>
        <w:t xml:space="preserve">that </w:t>
      </w:r>
      <w:r w:rsidR="00AD7100">
        <w:rPr>
          <w:rFonts w:ascii="Century Gothic" w:hAnsi="Century Gothic"/>
          <w:lang w:val="en-ZA"/>
        </w:rPr>
        <w:t xml:space="preserve">Van der Mescht on behalf of Bluecentrix made </w:t>
      </w:r>
      <w:r>
        <w:rPr>
          <w:rFonts w:ascii="Century Gothic" w:hAnsi="Century Gothic"/>
          <w:lang w:val="en-ZA"/>
        </w:rPr>
        <w:t>a lumpsum offer in an amount of R900,000-00</w:t>
      </w:r>
      <w:r w:rsidR="00661814">
        <w:rPr>
          <w:rFonts w:ascii="Century Gothic" w:hAnsi="Century Gothic"/>
          <w:lang w:val="en-ZA"/>
        </w:rPr>
        <w:t xml:space="preserve">, which was rejected by Roelien </w:t>
      </w:r>
      <w:r w:rsidR="00661814">
        <w:rPr>
          <w:rFonts w:ascii="Century Gothic" w:hAnsi="Century Gothic"/>
          <w:lang w:val="en-ZA"/>
        </w:rPr>
        <w:lastRenderedPageBreak/>
        <w:t xml:space="preserve">Nieuwoudt of DFA in an email of 3 March 2021, which was copied, </w:t>
      </w:r>
      <w:r w:rsidR="00661814">
        <w:rPr>
          <w:rFonts w:ascii="Century Gothic" w:hAnsi="Century Gothic"/>
          <w:i/>
          <w:iCs/>
          <w:lang w:val="en-ZA"/>
        </w:rPr>
        <w:t>inter alia,</w:t>
      </w:r>
      <w:r w:rsidR="00661814">
        <w:rPr>
          <w:rFonts w:ascii="Century Gothic" w:hAnsi="Century Gothic"/>
          <w:lang w:val="en-ZA"/>
        </w:rPr>
        <w:t xml:space="preserve"> to Van Rooyen and Andrè Pretorius;</w:t>
      </w:r>
    </w:p>
    <w:p w14:paraId="07160FFC" w14:textId="77777777" w:rsidR="00934B8D" w:rsidRDefault="00934B8D" w:rsidP="00934B8D">
      <w:pPr>
        <w:tabs>
          <w:tab w:val="left" w:pos="567"/>
        </w:tabs>
        <w:spacing w:line="480" w:lineRule="auto"/>
        <w:jc w:val="both"/>
        <w:rPr>
          <w:rFonts w:ascii="Century Gothic" w:hAnsi="Century Gothic"/>
          <w:lang w:val="en-ZA"/>
        </w:rPr>
      </w:pPr>
    </w:p>
    <w:p w14:paraId="7169B57F" w14:textId="4F1A2AB2" w:rsidR="005F26CA" w:rsidRDefault="00AB5C65" w:rsidP="00582C9D">
      <w:pPr>
        <w:tabs>
          <w:tab w:val="left" w:pos="567"/>
        </w:tabs>
        <w:spacing w:line="480" w:lineRule="auto"/>
        <w:ind w:left="1440" w:hanging="1440"/>
        <w:jc w:val="both"/>
        <w:rPr>
          <w:rFonts w:ascii="Century Gothic" w:hAnsi="Century Gothic"/>
          <w:lang w:val="en-ZA"/>
        </w:rPr>
      </w:pPr>
      <w:r>
        <w:rPr>
          <w:rFonts w:ascii="Century Gothic" w:hAnsi="Century Gothic"/>
          <w:lang w:val="en-ZA"/>
        </w:rPr>
        <w:tab/>
        <w:t>[d]</w:t>
      </w:r>
      <w:r>
        <w:rPr>
          <w:rFonts w:ascii="Century Gothic" w:hAnsi="Century Gothic"/>
          <w:lang w:val="en-ZA"/>
        </w:rPr>
        <w:tab/>
      </w:r>
      <w:r w:rsidR="00180A9F">
        <w:rPr>
          <w:rFonts w:ascii="Century Gothic" w:hAnsi="Century Gothic"/>
          <w:lang w:val="en-ZA"/>
        </w:rPr>
        <w:t xml:space="preserve">that </w:t>
      </w:r>
      <w:r>
        <w:rPr>
          <w:rFonts w:ascii="Century Gothic" w:hAnsi="Century Gothic"/>
          <w:lang w:val="en-ZA"/>
        </w:rPr>
        <w:t>Andr</w:t>
      </w:r>
      <w:r w:rsidR="00180A9F">
        <w:rPr>
          <w:rFonts w:ascii="Century Gothic" w:hAnsi="Century Gothic"/>
          <w:lang w:val="en-ZA"/>
        </w:rPr>
        <w:t>è</w:t>
      </w:r>
      <w:r>
        <w:rPr>
          <w:rFonts w:ascii="Century Gothic" w:hAnsi="Century Gothic"/>
          <w:lang w:val="en-ZA"/>
        </w:rPr>
        <w:t xml:space="preserve"> Pretorius </w:t>
      </w:r>
      <w:r w:rsidR="005E0BE9">
        <w:rPr>
          <w:rFonts w:ascii="Century Gothic" w:hAnsi="Century Gothic"/>
          <w:lang w:val="en-ZA"/>
        </w:rPr>
        <w:t xml:space="preserve">of Smartswitch in an email of 4 May 2021 addressed to Roelien </w:t>
      </w:r>
      <w:r w:rsidR="005B5599">
        <w:rPr>
          <w:rFonts w:ascii="Century Gothic" w:hAnsi="Century Gothic"/>
          <w:lang w:val="en-ZA"/>
        </w:rPr>
        <w:t>Nieuwoudt</w:t>
      </w:r>
      <w:r w:rsidR="00186B2E">
        <w:rPr>
          <w:rFonts w:ascii="Century Gothic" w:hAnsi="Century Gothic"/>
          <w:lang w:val="en-ZA"/>
        </w:rPr>
        <w:t xml:space="preserve"> of DFA and copied, </w:t>
      </w:r>
      <w:r w:rsidR="00186B2E">
        <w:rPr>
          <w:rFonts w:ascii="Century Gothic" w:hAnsi="Century Gothic"/>
          <w:i/>
          <w:iCs/>
          <w:lang w:val="en-ZA"/>
        </w:rPr>
        <w:t>inter alia,</w:t>
      </w:r>
      <w:r w:rsidR="00186B2E">
        <w:rPr>
          <w:rFonts w:ascii="Century Gothic" w:hAnsi="Century Gothic"/>
          <w:lang w:val="en-ZA"/>
        </w:rPr>
        <w:t xml:space="preserve"> to Van der Mescht and Van Rooyen under the heading “</w:t>
      </w:r>
      <w:r w:rsidR="00186B2E" w:rsidRPr="00D57770">
        <w:rPr>
          <w:rFonts w:ascii="Century Gothic" w:hAnsi="Century Gothic"/>
          <w:i/>
          <w:iCs/>
          <w:lang w:val="en-ZA"/>
        </w:rPr>
        <w:t>RE: Acknowledgement of Debt</w:t>
      </w:r>
      <w:r w:rsidR="00186B2E">
        <w:rPr>
          <w:rFonts w:ascii="Century Gothic" w:hAnsi="Century Gothic"/>
          <w:lang w:val="en-ZA"/>
        </w:rPr>
        <w:t xml:space="preserve">” for all </w:t>
      </w:r>
      <w:r w:rsidR="00934B8D">
        <w:rPr>
          <w:rFonts w:ascii="Century Gothic" w:hAnsi="Century Gothic"/>
          <w:lang w:val="en-ZA"/>
        </w:rPr>
        <w:t>intents</w:t>
      </w:r>
      <w:r w:rsidR="00A209AC">
        <w:rPr>
          <w:rFonts w:ascii="Century Gothic" w:hAnsi="Century Gothic"/>
          <w:lang w:val="en-ZA"/>
        </w:rPr>
        <w:t xml:space="preserve"> and</w:t>
      </w:r>
      <w:r w:rsidR="00186B2E">
        <w:rPr>
          <w:rFonts w:ascii="Century Gothic" w:hAnsi="Century Gothic"/>
          <w:lang w:val="en-ZA"/>
        </w:rPr>
        <w:t xml:space="preserve"> purposes acknowledge</w:t>
      </w:r>
      <w:r w:rsidR="009E367B">
        <w:rPr>
          <w:rFonts w:ascii="Century Gothic" w:hAnsi="Century Gothic"/>
          <w:lang w:val="en-ZA"/>
        </w:rPr>
        <w:t>d</w:t>
      </w:r>
      <w:r w:rsidR="00186B2E">
        <w:rPr>
          <w:rFonts w:ascii="Century Gothic" w:hAnsi="Century Gothic"/>
          <w:lang w:val="en-ZA"/>
        </w:rPr>
        <w:t xml:space="preserve"> indebtedness to DFA</w:t>
      </w:r>
      <w:r w:rsidR="00382A60">
        <w:rPr>
          <w:rFonts w:ascii="Century Gothic" w:hAnsi="Century Gothic"/>
          <w:lang w:val="en-ZA"/>
        </w:rPr>
        <w:t>, agreed that a “payment plan” which had to be affordable for Smartswitch had to be signed</w:t>
      </w:r>
      <w:r w:rsidR="00D57770">
        <w:rPr>
          <w:rFonts w:ascii="Century Gothic" w:hAnsi="Century Gothic"/>
          <w:lang w:val="en-ZA"/>
        </w:rPr>
        <w:t>,</w:t>
      </w:r>
      <w:r w:rsidR="00382A60">
        <w:rPr>
          <w:rFonts w:ascii="Century Gothic" w:hAnsi="Century Gothic"/>
          <w:lang w:val="en-ZA"/>
        </w:rPr>
        <w:t xml:space="preserve"> and urged DFA not to proceed with the disconnection of services to</w:t>
      </w:r>
      <w:r w:rsidR="005F26CA">
        <w:rPr>
          <w:rFonts w:ascii="Century Gothic" w:hAnsi="Century Gothic"/>
          <w:lang w:val="en-ZA"/>
        </w:rPr>
        <w:t xml:space="preserve"> </w:t>
      </w:r>
      <w:r w:rsidR="005F26CA" w:rsidRPr="0028705D">
        <w:rPr>
          <w:rFonts w:ascii="Century Gothic" w:hAnsi="Century Gothic"/>
          <w:lang w:val="en-ZA"/>
        </w:rPr>
        <w:t>Bluecentrix</w:t>
      </w:r>
      <w:r w:rsidR="005F26CA">
        <w:rPr>
          <w:rFonts w:ascii="Century Gothic" w:hAnsi="Century Gothic"/>
          <w:lang w:val="en-ZA"/>
        </w:rPr>
        <w:t>.</w:t>
      </w:r>
    </w:p>
    <w:p w14:paraId="55FA9E0B" w14:textId="77777777" w:rsidR="005F26CA" w:rsidRDefault="005F26CA" w:rsidP="00582C9D">
      <w:pPr>
        <w:tabs>
          <w:tab w:val="left" w:pos="567"/>
        </w:tabs>
        <w:spacing w:line="480" w:lineRule="auto"/>
        <w:ind w:left="1440" w:hanging="1440"/>
        <w:jc w:val="both"/>
        <w:rPr>
          <w:rFonts w:ascii="Century Gothic" w:hAnsi="Century Gothic"/>
          <w:lang w:val="en-ZA"/>
        </w:rPr>
      </w:pPr>
    </w:p>
    <w:p w14:paraId="02EB4773" w14:textId="0DAB1759" w:rsidR="00C95EB0" w:rsidRDefault="005F26CA" w:rsidP="005F26CA">
      <w:pPr>
        <w:tabs>
          <w:tab w:val="left" w:pos="567"/>
        </w:tabs>
        <w:spacing w:line="480" w:lineRule="auto"/>
        <w:ind w:left="567" w:hanging="567"/>
        <w:jc w:val="both"/>
        <w:rPr>
          <w:rFonts w:ascii="Century Gothic" w:hAnsi="Century Gothic"/>
          <w:lang w:val="en-ZA"/>
        </w:rPr>
      </w:pPr>
      <w:r>
        <w:rPr>
          <w:rFonts w:ascii="Century Gothic" w:hAnsi="Century Gothic"/>
          <w:lang w:val="en-ZA"/>
        </w:rPr>
        <w:t>[2</w:t>
      </w:r>
      <w:r w:rsidR="0089710C">
        <w:rPr>
          <w:rFonts w:ascii="Century Gothic" w:hAnsi="Century Gothic"/>
          <w:lang w:val="en-ZA"/>
        </w:rPr>
        <w:t>6</w:t>
      </w:r>
      <w:r>
        <w:rPr>
          <w:rFonts w:ascii="Century Gothic" w:hAnsi="Century Gothic"/>
          <w:lang w:val="en-ZA"/>
        </w:rPr>
        <w:t>]</w:t>
      </w:r>
      <w:r>
        <w:rPr>
          <w:rFonts w:ascii="Century Gothic" w:hAnsi="Century Gothic"/>
          <w:lang w:val="en-ZA"/>
        </w:rPr>
        <w:tab/>
        <w:t xml:space="preserve">It follows </w:t>
      </w:r>
      <w:r w:rsidR="00E95F1B">
        <w:rPr>
          <w:rFonts w:ascii="Century Gothic" w:hAnsi="Century Gothic"/>
          <w:lang w:val="en-ZA"/>
        </w:rPr>
        <w:t xml:space="preserve">from a consideration of </w:t>
      </w:r>
      <w:r w:rsidR="00573A65">
        <w:rPr>
          <w:rFonts w:ascii="Century Gothic" w:hAnsi="Century Gothic"/>
          <w:lang w:val="en-ZA"/>
        </w:rPr>
        <w:t>the string of emails that</w:t>
      </w:r>
      <w:r>
        <w:rPr>
          <w:rFonts w:ascii="Century Gothic" w:hAnsi="Century Gothic"/>
          <w:lang w:val="en-ZA"/>
        </w:rPr>
        <w:t xml:space="preserve"> </w:t>
      </w:r>
      <w:r w:rsidR="00E95F1B">
        <w:rPr>
          <w:rFonts w:ascii="Century Gothic" w:hAnsi="Century Gothic"/>
          <w:lang w:val="en-ZA"/>
        </w:rPr>
        <w:t>Van Rooyen’s bald denial</w:t>
      </w:r>
      <w:r w:rsidR="00573A65">
        <w:rPr>
          <w:rFonts w:ascii="Century Gothic" w:hAnsi="Century Gothic"/>
          <w:lang w:val="en-ZA"/>
        </w:rPr>
        <w:t xml:space="preserve"> that Van der Mescht had been authorised </w:t>
      </w:r>
      <w:r w:rsidR="00C24DB2">
        <w:rPr>
          <w:rFonts w:ascii="Century Gothic" w:hAnsi="Century Gothic"/>
          <w:lang w:val="en-ZA"/>
        </w:rPr>
        <w:t xml:space="preserve">by </w:t>
      </w:r>
      <w:r w:rsidR="00C24DB2" w:rsidRPr="0028705D">
        <w:rPr>
          <w:rFonts w:ascii="Century Gothic" w:hAnsi="Century Gothic"/>
          <w:lang w:val="en-ZA"/>
        </w:rPr>
        <w:t>Bluecentrix</w:t>
      </w:r>
      <w:r w:rsidR="00C24DB2">
        <w:rPr>
          <w:rFonts w:ascii="Century Gothic" w:hAnsi="Century Gothic"/>
          <w:lang w:val="en-ZA"/>
        </w:rPr>
        <w:t xml:space="preserve"> </w:t>
      </w:r>
      <w:r w:rsidR="00573A65">
        <w:rPr>
          <w:rFonts w:ascii="Century Gothic" w:hAnsi="Century Gothic"/>
          <w:lang w:val="en-ZA"/>
        </w:rPr>
        <w:t xml:space="preserve">to </w:t>
      </w:r>
      <w:r w:rsidR="004F2EA4">
        <w:rPr>
          <w:rFonts w:ascii="Century Gothic" w:hAnsi="Century Gothic"/>
          <w:lang w:val="en-ZA"/>
        </w:rPr>
        <w:t>write and send</w:t>
      </w:r>
      <w:r w:rsidR="00573A65">
        <w:rPr>
          <w:rFonts w:ascii="Century Gothic" w:hAnsi="Century Gothic"/>
          <w:lang w:val="en-ZA"/>
        </w:rPr>
        <w:t xml:space="preserve"> the email of </w:t>
      </w:r>
      <w:r w:rsidR="00C24DB2">
        <w:rPr>
          <w:rFonts w:ascii="Century Gothic" w:hAnsi="Century Gothic"/>
          <w:lang w:val="en-ZA"/>
        </w:rPr>
        <w:t xml:space="preserve">24 February 2021, as well as his bald denial that </w:t>
      </w:r>
      <w:r w:rsidR="00C24DB2" w:rsidRPr="0028705D">
        <w:rPr>
          <w:rFonts w:ascii="Century Gothic" w:hAnsi="Century Gothic"/>
          <w:lang w:val="en-ZA"/>
        </w:rPr>
        <w:t>Bluecentrix</w:t>
      </w:r>
      <w:r w:rsidR="00C24DB2">
        <w:rPr>
          <w:rFonts w:ascii="Century Gothic" w:hAnsi="Century Gothic"/>
          <w:lang w:val="en-ZA"/>
        </w:rPr>
        <w:t xml:space="preserve"> is indebted to DFA in any amount, fall to be categorically rejected. </w:t>
      </w:r>
      <w:r w:rsidR="00DF6FAF">
        <w:rPr>
          <w:rFonts w:ascii="Century Gothic" w:hAnsi="Century Gothic"/>
          <w:lang w:val="en-ZA"/>
        </w:rPr>
        <w:t>Furthermore, Van Rooyen’s allegation that Andr</w:t>
      </w:r>
      <w:r w:rsidR="00A209AC">
        <w:rPr>
          <w:rFonts w:ascii="Century Gothic" w:hAnsi="Century Gothic"/>
          <w:lang w:val="en-ZA"/>
        </w:rPr>
        <w:t>è</w:t>
      </w:r>
      <w:r w:rsidR="00DF6FAF">
        <w:rPr>
          <w:rFonts w:ascii="Century Gothic" w:hAnsi="Century Gothic"/>
          <w:lang w:val="en-ZA"/>
        </w:rPr>
        <w:t xml:space="preserve"> </w:t>
      </w:r>
      <w:r w:rsidR="00A654D6">
        <w:rPr>
          <w:rFonts w:ascii="Century Gothic" w:hAnsi="Century Gothic"/>
          <w:lang w:val="en-ZA"/>
        </w:rPr>
        <w:t>Pretorius</w:t>
      </w:r>
      <w:r w:rsidR="00DF6FAF">
        <w:rPr>
          <w:rFonts w:ascii="Century Gothic" w:hAnsi="Century Gothic"/>
          <w:lang w:val="en-ZA"/>
        </w:rPr>
        <w:t xml:space="preserve"> was a director of another company and </w:t>
      </w:r>
      <w:r w:rsidR="005028DF">
        <w:rPr>
          <w:rFonts w:ascii="Century Gothic" w:hAnsi="Century Gothic"/>
          <w:lang w:val="en-ZA"/>
        </w:rPr>
        <w:t xml:space="preserve">therefore </w:t>
      </w:r>
      <w:r w:rsidR="00DF6FAF">
        <w:rPr>
          <w:rFonts w:ascii="Century Gothic" w:hAnsi="Century Gothic"/>
          <w:lang w:val="en-ZA"/>
        </w:rPr>
        <w:t xml:space="preserve">could not speak for </w:t>
      </w:r>
      <w:proofErr w:type="spellStart"/>
      <w:r w:rsidR="00DF6FAF" w:rsidRPr="0028705D">
        <w:rPr>
          <w:rFonts w:ascii="Century Gothic" w:hAnsi="Century Gothic"/>
          <w:lang w:val="en-ZA"/>
        </w:rPr>
        <w:t>Bluecentrix</w:t>
      </w:r>
      <w:proofErr w:type="spellEnd"/>
      <w:r w:rsidR="00D87FF3">
        <w:rPr>
          <w:rFonts w:ascii="Century Gothic" w:hAnsi="Century Gothic"/>
          <w:lang w:val="en-ZA"/>
        </w:rPr>
        <w:t xml:space="preserve"> t/a </w:t>
      </w:r>
      <w:proofErr w:type="spellStart"/>
      <w:r w:rsidR="00D87FF3">
        <w:rPr>
          <w:rFonts w:ascii="Century Gothic" w:hAnsi="Century Gothic"/>
          <w:lang w:val="en-ZA"/>
        </w:rPr>
        <w:t>Smartswitch</w:t>
      </w:r>
      <w:proofErr w:type="spellEnd"/>
      <w:r w:rsidR="00D87FF3">
        <w:rPr>
          <w:rFonts w:ascii="Century Gothic" w:hAnsi="Century Gothic"/>
          <w:lang w:val="en-ZA"/>
        </w:rPr>
        <w:t xml:space="preserve"> is likewise rejected</w:t>
      </w:r>
      <w:r w:rsidR="00C95EB0">
        <w:rPr>
          <w:rFonts w:ascii="Century Gothic" w:hAnsi="Century Gothic"/>
          <w:lang w:val="en-ZA"/>
        </w:rPr>
        <w:t xml:space="preserve">, for the reasons that I have </w:t>
      </w:r>
      <w:r w:rsidR="00B60D57">
        <w:rPr>
          <w:rFonts w:ascii="Century Gothic" w:hAnsi="Century Gothic"/>
          <w:lang w:val="en-ZA"/>
        </w:rPr>
        <w:t xml:space="preserve">already </w:t>
      </w:r>
      <w:r w:rsidR="00C95EB0">
        <w:rPr>
          <w:rFonts w:ascii="Century Gothic" w:hAnsi="Century Gothic"/>
          <w:lang w:val="en-ZA"/>
        </w:rPr>
        <w:t>elaborated on.</w:t>
      </w:r>
      <w:r w:rsidR="00660E98">
        <w:rPr>
          <w:rFonts w:ascii="Century Gothic" w:hAnsi="Century Gothic"/>
          <w:lang w:val="en-ZA"/>
        </w:rPr>
        <w:t xml:space="preserve"> Van Rooyen, Pretorius and Van der Mesch all partook in the narrative of acknowledgements of debt and offers of payment that flowed from the string of emails. </w:t>
      </w:r>
    </w:p>
    <w:p w14:paraId="5E091C1D" w14:textId="77777777" w:rsidR="00C95EB0" w:rsidRDefault="00C95EB0" w:rsidP="005F26CA">
      <w:pPr>
        <w:tabs>
          <w:tab w:val="left" w:pos="567"/>
        </w:tabs>
        <w:spacing w:line="480" w:lineRule="auto"/>
        <w:ind w:left="567" w:hanging="567"/>
        <w:jc w:val="both"/>
        <w:rPr>
          <w:rFonts w:ascii="Century Gothic" w:hAnsi="Century Gothic"/>
          <w:lang w:val="en-ZA"/>
        </w:rPr>
      </w:pPr>
    </w:p>
    <w:p w14:paraId="7883995E" w14:textId="7F28C2EB" w:rsidR="002D1235" w:rsidRDefault="00C95EB0" w:rsidP="005F26CA">
      <w:pPr>
        <w:tabs>
          <w:tab w:val="left" w:pos="567"/>
        </w:tabs>
        <w:spacing w:line="480" w:lineRule="auto"/>
        <w:ind w:left="567" w:hanging="567"/>
        <w:jc w:val="both"/>
        <w:rPr>
          <w:rFonts w:ascii="Century Gothic" w:hAnsi="Century Gothic"/>
          <w:lang w:val="en-ZA"/>
        </w:rPr>
      </w:pPr>
      <w:r>
        <w:rPr>
          <w:rFonts w:ascii="Century Gothic" w:hAnsi="Century Gothic"/>
          <w:lang w:val="en-ZA"/>
        </w:rPr>
        <w:lastRenderedPageBreak/>
        <w:t>[2</w:t>
      </w:r>
      <w:r w:rsidR="0089710C">
        <w:rPr>
          <w:rFonts w:ascii="Century Gothic" w:hAnsi="Century Gothic"/>
          <w:lang w:val="en-ZA"/>
        </w:rPr>
        <w:t>7</w:t>
      </w:r>
      <w:r w:rsidR="00B376F3">
        <w:rPr>
          <w:rFonts w:ascii="Century Gothic" w:hAnsi="Century Gothic"/>
          <w:lang w:val="en-ZA"/>
        </w:rPr>
        <w:t>]</w:t>
      </w:r>
      <w:r w:rsidR="00B376F3">
        <w:rPr>
          <w:rFonts w:ascii="Century Gothic" w:hAnsi="Century Gothic"/>
          <w:lang w:val="en-ZA"/>
        </w:rPr>
        <w:tab/>
      </w:r>
      <w:r w:rsidR="00F45B79">
        <w:rPr>
          <w:rFonts w:ascii="Century Gothic" w:hAnsi="Century Gothic"/>
          <w:lang w:val="en-ZA"/>
        </w:rPr>
        <w:t>In my view, the various acknowledgements of debt</w:t>
      </w:r>
      <w:r w:rsidR="00D87FF3">
        <w:rPr>
          <w:rFonts w:ascii="Century Gothic" w:hAnsi="Century Gothic"/>
          <w:lang w:val="en-ZA"/>
        </w:rPr>
        <w:t xml:space="preserve"> </w:t>
      </w:r>
      <w:r w:rsidR="00F45B79">
        <w:rPr>
          <w:rFonts w:ascii="Century Gothic" w:hAnsi="Century Gothic"/>
          <w:lang w:val="en-ZA"/>
        </w:rPr>
        <w:t xml:space="preserve">by Bluecentrix in the string of emails called for a convincing explanation </w:t>
      </w:r>
      <w:r w:rsidR="00341961">
        <w:rPr>
          <w:rFonts w:ascii="Century Gothic" w:hAnsi="Century Gothic"/>
          <w:lang w:val="en-ZA"/>
        </w:rPr>
        <w:t xml:space="preserve">to destroy the inevitable conclusion, not only that the debt was </w:t>
      </w:r>
      <w:r w:rsidR="00586E47">
        <w:rPr>
          <w:rFonts w:ascii="Century Gothic" w:hAnsi="Century Gothic"/>
          <w:lang w:val="en-ZA"/>
        </w:rPr>
        <w:t xml:space="preserve">not </w:t>
      </w:r>
      <w:r w:rsidR="00341961">
        <w:rPr>
          <w:rFonts w:ascii="Century Gothic" w:hAnsi="Century Gothic"/>
          <w:lang w:val="en-ZA"/>
        </w:rPr>
        <w:t xml:space="preserve">genuinely disputed, but also the ineluctable </w:t>
      </w:r>
      <w:r w:rsidR="00027564">
        <w:rPr>
          <w:rFonts w:ascii="Century Gothic" w:hAnsi="Century Gothic"/>
          <w:lang w:val="en-ZA"/>
        </w:rPr>
        <w:t>conclusion that Bluecentrix is commercially insolvent</w:t>
      </w:r>
      <w:r w:rsidR="00BB6701">
        <w:rPr>
          <w:rFonts w:ascii="Century Gothic" w:hAnsi="Century Gothic"/>
          <w:lang w:val="en-ZA"/>
        </w:rPr>
        <w:t xml:space="preserve">. (see in this regard the similar conclusion drawn </w:t>
      </w:r>
      <w:r w:rsidR="00027564">
        <w:rPr>
          <w:rFonts w:ascii="Century Gothic" w:hAnsi="Century Gothic"/>
          <w:lang w:val="en-ZA"/>
        </w:rPr>
        <w:t xml:space="preserve">by Francis, J, in </w:t>
      </w:r>
      <w:r w:rsidR="00027564">
        <w:rPr>
          <w:rFonts w:ascii="Century Gothic" w:hAnsi="Century Gothic"/>
          <w:b/>
          <w:bCs/>
          <w:i/>
          <w:iCs/>
          <w:lang w:val="en-ZA"/>
        </w:rPr>
        <w:t xml:space="preserve">Electrolux South Africa (Pty) Ltd vs </w:t>
      </w:r>
      <w:proofErr w:type="spellStart"/>
      <w:r w:rsidR="00027564">
        <w:rPr>
          <w:rFonts w:ascii="Century Gothic" w:hAnsi="Century Gothic"/>
          <w:b/>
          <w:bCs/>
          <w:i/>
          <w:iCs/>
          <w:lang w:val="en-ZA"/>
        </w:rPr>
        <w:t>Rente</w:t>
      </w:r>
      <w:r w:rsidR="00C342C4">
        <w:rPr>
          <w:rFonts w:ascii="Century Gothic" w:hAnsi="Century Gothic"/>
          <w:b/>
          <w:bCs/>
          <w:i/>
          <w:iCs/>
          <w:lang w:val="en-ZA"/>
        </w:rPr>
        <w:t>k</w:t>
      </w:r>
      <w:proofErr w:type="spellEnd"/>
      <w:r w:rsidR="00C342C4">
        <w:rPr>
          <w:rFonts w:ascii="Century Gothic" w:hAnsi="Century Gothic"/>
          <w:b/>
          <w:bCs/>
          <w:i/>
          <w:iCs/>
          <w:lang w:val="en-ZA"/>
        </w:rPr>
        <w:t xml:space="preserve"> Consulting (Pty) Ltd</w:t>
      </w:r>
      <w:r w:rsidR="00C342C4">
        <w:rPr>
          <w:rStyle w:val="FootnoteReference"/>
          <w:rFonts w:ascii="Century Gothic" w:hAnsi="Century Gothic"/>
          <w:b/>
          <w:bCs/>
          <w:i/>
          <w:iCs/>
          <w:lang w:val="en-ZA"/>
        </w:rPr>
        <w:footnoteReference w:id="4"/>
      </w:r>
      <w:r w:rsidR="00C82E8B">
        <w:rPr>
          <w:rFonts w:ascii="Century Gothic" w:hAnsi="Century Gothic"/>
          <w:lang w:val="en-ZA"/>
        </w:rPr>
        <w:t xml:space="preserve"> with reference to </w:t>
      </w:r>
      <w:r w:rsidR="00BB6701" w:rsidRPr="00BB6701">
        <w:rPr>
          <w:rFonts w:ascii="Century Gothic" w:hAnsi="Century Gothic"/>
          <w:b/>
          <w:bCs/>
          <w:i/>
          <w:iCs/>
          <w:lang w:val="en-ZA"/>
        </w:rPr>
        <w:t>B</w:t>
      </w:r>
      <w:r w:rsidR="00E55C80" w:rsidRPr="00BB6701">
        <w:rPr>
          <w:rFonts w:ascii="Century Gothic" w:hAnsi="Century Gothic"/>
          <w:b/>
          <w:bCs/>
          <w:i/>
          <w:iCs/>
          <w:lang w:val="en-ZA"/>
        </w:rPr>
        <w:t xml:space="preserve">ody </w:t>
      </w:r>
      <w:r w:rsidR="00BB6701" w:rsidRPr="00BB6701">
        <w:rPr>
          <w:rFonts w:ascii="Century Gothic" w:hAnsi="Century Gothic"/>
          <w:b/>
          <w:bCs/>
          <w:i/>
          <w:iCs/>
          <w:lang w:val="en-ZA"/>
        </w:rPr>
        <w:t>C</w:t>
      </w:r>
      <w:r w:rsidR="00E55C80" w:rsidRPr="00BB6701">
        <w:rPr>
          <w:rFonts w:ascii="Century Gothic" w:hAnsi="Century Gothic"/>
          <w:b/>
          <w:bCs/>
          <w:i/>
          <w:iCs/>
          <w:lang w:val="en-ZA"/>
        </w:rPr>
        <w:t>orporate</w:t>
      </w:r>
      <w:r w:rsidR="00E55C80" w:rsidRPr="00BB6701">
        <w:rPr>
          <w:rFonts w:ascii="Century Gothic" w:hAnsi="Century Gothic"/>
          <w:i/>
          <w:iCs/>
          <w:lang w:val="en-ZA"/>
        </w:rPr>
        <w:t xml:space="preserve"> </w:t>
      </w:r>
      <w:r w:rsidR="00E55C80" w:rsidRPr="00BB6701">
        <w:rPr>
          <w:rFonts w:ascii="Century Gothic" w:hAnsi="Century Gothic"/>
          <w:b/>
          <w:bCs/>
          <w:i/>
          <w:iCs/>
          <w:lang w:val="en-ZA"/>
        </w:rPr>
        <w:t>of</w:t>
      </w:r>
      <w:r w:rsidR="00E55C80">
        <w:rPr>
          <w:rFonts w:ascii="Century Gothic" w:hAnsi="Century Gothic"/>
          <w:lang w:val="en-ZA"/>
        </w:rPr>
        <w:t xml:space="preserve"> </w:t>
      </w:r>
      <w:r w:rsidR="00E55C80">
        <w:rPr>
          <w:rFonts w:ascii="Century Gothic" w:hAnsi="Century Gothic"/>
          <w:b/>
          <w:bCs/>
          <w:i/>
          <w:iCs/>
          <w:lang w:val="en-ZA"/>
        </w:rPr>
        <w:t xml:space="preserve">Fish Eagle vs Group </w:t>
      </w:r>
      <w:r w:rsidR="00BB6701">
        <w:rPr>
          <w:rFonts w:ascii="Century Gothic" w:hAnsi="Century Gothic"/>
          <w:b/>
          <w:bCs/>
          <w:i/>
          <w:iCs/>
          <w:lang w:val="en-ZA"/>
        </w:rPr>
        <w:t>Twelve</w:t>
      </w:r>
      <w:r w:rsidR="00102E77">
        <w:rPr>
          <w:rFonts w:ascii="Century Gothic" w:hAnsi="Century Gothic"/>
          <w:b/>
          <w:bCs/>
          <w:i/>
          <w:iCs/>
          <w:lang w:val="en-ZA"/>
        </w:rPr>
        <w:t xml:space="preserve"> Investments</w:t>
      </w:r>
      <w:r w:rsidR="00102E77">
        <w:rPr>
          <w:rStyle w:val="FootnoteReference"/>
          <w:rFonts w:ascii="Century Gothic" w:hAnsi="Century Gothic"/>
          <w:b/>
          <w:bCs/>
          <w:i/>
          <w:iCs/>
          <w:lang w:val="en-ZA"/>
        </w:rPr>
        <w:footnoteReference w:id="5"/>
      </w:r>
      <w:r w:rsidR="00BB6701">
        <w:rPr>
          <w:rFonts w:ascii="Century Gothic" w:hAnsi="Century Gothic"/>
          <w:lang w:val="en-ZA"/>
        </w:rPr>
        <w:t>)</w:t>
      </w:r>
      <w:r w:rsidR="00EF276E">
        <w:rPr>
          <w:rFonts w:ascii="Century Gothic" w:hAnsi="Century Gothic"/>
          <w:lang w:val="en-ZA"/>
        </w:rPr>
        <w:t>.</w:t>
      </w:r>
      <w:r w:rsidR="001F6FFA">
        <w:rPr>
          <w:rFonts w:ascii="Century Gothic" w:hAnsi="Century Gothic"/>
          <w:lang w:val="en-ZA"/>
        </w:rPr>
        <w:t xml:space="preserve"> It has been reiterated by the SCA in </w:t>
      </w:r>
      <w:proofErr w:type="spellStart"/>
      <w:r w:rsidR="001F6FFA">
        <w:rPr>
          <w:rFonts w:ascii="Century Gothic" w:hAnsi="Century Gothic"/>
          <w:b/>
          <w:bCs/>
          <w:i/>
          <w:iCs/>
          <w:lang w:val="en-ZA"/>
        </w:rPr>
        <w:t>Afgri</w:t>
      </w:r>
      <w:proofErr w:type="spellEnd"/>
      <w:r w:rsidR="001F6FFA">
        <w:rPr>
          <w:rFonts w:ascii="Century Gothic" w:hAnsi="Century Gothic"/>
          <w:b/>
          <w:bCs/>
          <w:i/>
          <w:iCs/>
          <w:lang w:val="en-ZA"/>
        </w:rPr>
        <w:t xml:space="preserve"> Operations Ltd vs Ham</w:t>
      </w:r>
      <w:r w:rsidR="00C77162">
        <w:rPr>
          <w:rFonts w:ascii="Century Gothic" w:hAnsi="Century Gothic"/>
          <w:b/>
          <w:bCs/>
          <w:i/>
          <w:iCs/>
          <w:lang w:val="en-ZA"/>
        </w:rPr>
        <w:t>ba Fleet (Pty) Ltd</w:t>
      </w:r>
      <w:r w:rsidR="00C77162">
        <w:rPr>
          <w:rStyle w:val="FootnoteReference"/>
          <w:rFonts w:ascii="Century Gothic" w:hAnsi="Century Gothic"/>
          <w:b/>
          <w:bCs/>
          <w:i/>
          <w:iCs/>
          <w:lang w:val="en-ZA"/>
        </w:rPr>
        <w:footnoteReference w:id="6"/>
      </w:r>
      <w:r w:rsidR="00165CF3">
        <w:rPr>
          <w:rFonts w:ascii="Century Gothic" w:hAnsi="Century Gothic"/>
          <w:lang w:val="en-ZA"/>
        </w:rPr>
        <w:t xml:space="preserve"> that where the respondent’s indebtedness has </w:t>
      </w:r>
      <w:r w:rsidR="00165CF3">
        <w:rPr>
          <w:rFonts w:ascii="Century Gothic" w:hAnsi="Century Gothic"/>
          <w:i/>
          <w:iCs/>
          <w:lang w:val="en-ZA"/>
        </w:rPr>
        <w:t>prima faci</w:t>
      </w:r>
      <w:r w:rsidR="005827CB">
        <w:rPr>
          <w:rFonts w:ascii="Century Gothic" w:hAnsi="Century Gothic"/>
          <w:i/>
          <w:iCs/>
          <w:lang w:val="en-ZA"/>
        </w:rPr>
        <w:t>e</w:t>
      </w:r>
      <w:r w:rsidR="00165CF3">
        <w:rPr>
          <w:rFonts w:ascii="Century Gothic" w:hAnsi="Century Gothic"/>
          <w:lang w:val="en-ZA"/>
        </w:rPr>
        <w:t xml:space="preserve">, been established, the onus is on </w:t>
      </w:r>
      <w:r w:rsidR="00F90A5F">
        <w:rPr>
          <w:rFonts w:ascii="Century Gothic" w:hAnsi="Century Gothic"/>
          <w:lang w:val="en-ZA"/>
        </w:rPr>
        <w:t xml:space="preserve">it to show that this indebtedness is indeed disputed on </w:t>
      </w:r>
      <w:r w:rsidR="00F90A5F">
        <w:rPr>
          <w:rFonts w:ascii="Century Gothic" w:hAnsi="Century Gothic"/>
          <w:i/>
          <w:iCs/>
          <w:lang w:val="en-ZA"/>
        </w:rPr>
        <w:t>bona fide</w:t>
      </w:r>
      <w:r w:rsidR="00F90A5F">
        <w:rPr>
          <w:rFonts w:ascii="Century Gothic" w:hAnsi="Century Gothic"/>
          <w:lang w:val="en-ZA"/>
        </w:rPr>
        <w:t xml:space="preserve"> and reasonable grounds. </w:t>
      </w:r>
    </w:p>
    <w:p w14:paraId="66E7F42A" w14:textId="77777777" w:rsidR="002D1235" w:rsidRDefault="002D1235" w:rsidP="005F26CA">
      <w:pPr>
        <w:tabs>
          <w:tab w:val="left" w:pos="567"/>
        </w:tabs>
        <w:spacing w:line="480" w:lineRule="auto"/>
        <w:ind w:left="567" w:hanging="567"/>
        <w:jc w:val="both"/>
        <w:rPr>
          <w:rFonts w:ascii="Century Gothic" w:hAnsi="Century Gothic"/>
          <w:lang w:val="en-ZA"/>
        </w:rPr>
      </w:pPr>
    </w:p>
    <w:p w14:paraId="72AEB648" w14:textId="05136D34" w:rsidR="00467C65" w:rsidRDefault="002D1235" w:rsidP="005F26CA">
      <w:pPr>
        <w:tabs>
          <w:tab w:val="left" w:pos="567"/>
        </w:tabs>
        <w:spacing w:line="480" w:lineRule="auto"/>
        <w:ind w:left="567" w:hanging="567"/>
        <w:jc w:val="both"/>
        <w:rPr>
          <w:rFonts w:ascii="Century Gothic" w:hAnsi="Century Gothic"/>
          <w:lang w:val="en-ZA"/>
        </w:rPr>
      </w:pPr>
      <w:r>
        <w:rPr>
          <w:rFonts w:ascii="Century Gothic" w:hAnsi="Century Gothic"/>
          <w:lang w:val="en-ZA"/>
        </w:rPr>
        <w:t>[2</w:t>
      </w:r>
      <w:r w:rsidR="0089710C">
        <w:rPr>
          <w:rFonts w:ascii="Century Gothic" w:hAnsi="Century Gothic"/>
          <w:lang w:val="en-ZA"/>
        </w:rPr>
        <w:t>8</w:t>
      </w:r>
      <w:r>
        <w:rPr>
          <w:rFonts w:ascii="Century Gothic" w:hAnsi="Century Gothic"/>
          <w:lang w:val="en-ZA"/>
        </w:rPr>
        <w:t>]</w:t>
      </w:r>
      <w:r>
        <w:rPr>
          <w:rFonts w:ascii="Century Gothic" w:hAnsi="Century Gothic"/>
          <w:lang w:val="en-ZA"/>
        </w:rPr>
        <w:tab/>
        <w:t>Bluecentrix sought to rely on the</w:t>
      </w:r>
      <w:r>
        <w:rPr>
          <w:rFonts w:ascii="Century Gothic" w:hAnsi="Century Gothic"/>
          <w:b/>
          <w:bCs/>
          <w:i/>
          <w:iCs/>
          <w:lang w:val="en-ZA"/>
        </w:rPr>
        <w:t xml:space="preserve"> Plascon – Evans</w:t>
      </w:r>
      <w:r>
        <w:rPr>
          <w:rFonts w:ascii="Century Gothic" w:hAnsi="Century Gothic"/>
          <w:lang w:val="en-ZA"/>
        </w:rPr>
        <w:t xml:space="preserve"> </w:t>
      </w:r>
      <w:r w:rsidR="005C6167" w:rsidRPr="006C2A20">
        <w:rPr>
          <w:rFonts w:ascii="Century Gothic" w:hAnsi="Century Gothic"/>
          <w:lang w:val="en-ZA"/>
        </w:rPr>
        <w:t>test</w:t>
      </w:r>
      <w:r>
        <w:rPr>
          <w:rFonts w:ascii="Century Gothic" w:hAnsi="Century Gothic"/>
          <w:lang w:val="en-ZA"/>
        </w:rPr>
        <w:t xml:space="preserve"> and the </w:t>
      </w:r>
      <w:r>
        <w:rPr>
          <w:rFonts w:ascii="Century Gothic" w:hAnsi="Century Gothic"/>
          <w:b/>
          <w:bCs/>
          <w:i/>
          <w:iCs/>
          <w:lang w:val="en-ZA"/>
        </w:rPr>
        <w:t>Badenhorst</w:t>
      </w:r>
      <w:r>
        <w:rPr>
          <w:rFonts w:ascii="Century Gothic" w:hAnsi="Century Gothic"/>
          <w:lang w:val="en-ZA"/>
        </w:rPr>
        <w:t xml:space="preserve"> </w:t>
      </w:r>
      <w:r w:rsidR="0054423D" w:rsidRPr="0054423D">
        <w:rPr>
          <w:rFonts w:ascii="Century Gothic" w:hAnsi="Century Gothic"/>
          <w:lang w:val="en-ZA"/>
        </w:rPr>
        <w:t>rule</w:t>
      </w:r>
      <w:r w:rsidR="0054423D">
        <w:rPr>
          <w:rFonts w:ascii="Century Gothic" w:hAnsi="Century Gothic"/>
          <w:lang w:val="en-ZA"/>
        </w:rPr>
        <w:t xml:space="preserve"> to convince me that </w:t>
      </w:r>
      <w:r w:rsidR="005A6B66">
        <w:rPr>
          <w:rFonts w:ascii="Century Gothic" w:hAnsi="Century Gothic"/>
          <w:lang w:val="en-ZA"/>
        </w:rPr>
        <w:t>at</w:t>
      </w:r>
      <w:r w:rsidR="0054423D">
        <w:rPr>
          <w:rFonts w:ascii="Century Gothic" w:hAnsi="Century Gothic"/>
          <w:lang w:val="en-ZA"/>
        </w:rPr>
        <w:t xml:space="preserve"> the final liquidation stage, I must accept the version of the respondent, </w:t>
      </w:r>
      <w:proofErr w:type="spellStart"/>
      <w:r w:rsidR="0054423D">
        <w:rPr>
          <w:rFonts w:ascii="Century Gothic" w:hAnsi="Century Gothic"/>
          <w:lang w:val="en-ZA"/>
        </w:rPr>
        <w:t>Bluecentrix</w:t>
      </w:r>
      <w:proofErr w:type="spellEnd"/>
      <w:r w:rsidR="00841EDD">
        <w:rPr>
          <w:rFonts w:ascii="Century Gothic" w:hAnsi="Century Gothic"/>
          <w:lang w:val="en-ZA"/>
        </w:rPr>
        <w:t xml:space="preserve"> unless its version is far-fetched and untenable.</w:t>
      </w:r>
      <w:r w:rsidR="000B4451">
        <w:rPr>
          <w:rFonts w:ascii="Century Gothic" w:hAnsi="Century Gothic"/>
          <w:lang w:val="en-ZA"/>
        </w:rPr>
        <w:t xml:space="preserve"> </w:t>
      </w:r>
      <w:r w:rsidR="000B4451" w:rsidRPr="000B4451">
        <w:rPr>
          <w:rFonts w:ascii="Century Gothic" w:hAnsi="Century Gothic"/>
        </w:rPr>
        <w:t xml:space="preserve">As pointed out by Francis, J in </w:t>
      </w:r>
      <w:r w:rsidR="000B4451" w:rsidRPr="000B4451">
        <w:rPr>
          <w:rFonts w:ascii="Century Gothic" w:hAnsi="Century Gothic"/>
          <w:b/>
          <w:bCs/>
          <w:i/>
          <w:iCs/>
        </w:rPr>
        <w:t>Electrolux (para 27)</w:t>
      </w:r>
      <w:r w:rsidR="000B4451" w:rsidRPr="000B4451">
        <w:rPr>
          <w:rFonts w:ascii="Century Gothic" w:hAnsi="Century Gothic"/>
          <w:i/>
          <w:iCs/>
        </w:rPr>
        <w:t>,</w:t>
      </w:r>
      <w:r w:rsidR="000B4451" w:rsidRPr="000B4451">
        <w:rPr>
          <w:rFonts w:ascii="Century Gothic" w:hAnsi="Century Gothic"/>
        </w:rPr>
        <w:t xml:space="preserve"> “</w:t>
      </w:r>
      <w:r w:rsidR="000B4451" w:rsidRPr="00DB4FCB">
        <w:rPr>
          <w:rFonts w:ascii="Century Gothic" w:hAnsi="Century Gothic"/>
          <w:i/>
          <w:iCs/>
        </w:rPr>
        <w:t xml:space="preserve">Rodgers, J expressed the view </w:t>
      </w:r>
      <w:r w:rsidR="00AB5419" w:rsidRPr="00DB4FCB">
        <w:rPr>
          <w:rFonts w:ascii="Century Gothic" w:hAnsi="Century Gothic"/>
          <w:i/>
          <w:iCs/>
        </w:rPr>
        <w:t xml:space="preserve">(in </w:t>
      </w:r>
      <w:proofErr w:type="spellStart"/>
      <w:r w:rsidR="00AB5419" w:rsidRPr="00DB4FCB">
        <w:rPr>
          <w:rFonts w:ascii="Century Gothic" w:hAnsi="Century Gothic"/>
          <w:b/>
          <w:bCs/>
          <w:i/>
          <w:iCs/>
        </w:rPr>
        <w:t>Orestisolve</w:t>
      </w:r>
      <w:proofErr w:type="spellEnd"/>
      <w:r w:rsidR="00AB5419" w:rsidRPr="00DB4FCB">
        <w:rPr>
          <w:rFonts w:ascii="Century Gothic" w:hAnsi="Century Gothic"/>
          <w:i/>
          <w:iCs/>
        </w:rPr>
        <w:t xml:space="preserve">) </w:t>
      </w:r>
      <w:r w:rsidR="000B4451" w:rsidRPr="00DB4FCB">
        <w:rPr>
          <w:rFonts w:ascii="Century Gothic" w:hAnsi="Century Gothic"/>
          <w:i/>
          <w:iCs/>
        </w:rPr>
        <w:t xml:space="preserve">that the </w:t>
      </w:r>
      <w:proofErr w:type="spellStart"/>
      <w:r w:rsidR="000B4451" w:rsidRPr="00DB4FCB">
        <w:rPr>
          <w:rFonts w:ascii="Century Gothic" w:hAnsi="Century Gothic"/>
          <w:b/>
          <w:bCs/>
          <w:i/>
          <w:iCs/>
        </w:rPr>
        <w:t>Badenhorst</w:t>
      </w:r>
      <w:proofErr w:type="spellEnd"/>
      <w:r w:rsidR="000B4451" w:rsidRPr="00DB4FCB">
        <w:rPr>
          <w:rFonts w:ascii="Century Gothic" w:hAnsi="Century Gothic"/>
          <w:b/>
          <w:bCs/>
          <w:i/>
          <w:iCs/>
        </w:rPr>
        <w:t xml:space="preserve"> </w:t>
      </w:r>
      <w:r w:rsidR="000B4451" w:rsidRPr="00DB4FCB">
        <w:rPr>
          <w:rFonts w:ascii="Century Gothic" w:hAnsi="Century Gothic"/>
          <w:i/>
          <w:iCs/>
        </w:rPr>
        <w:t xml:space="preserve">rule only applied at the provision stage of liquidation proceedings where there was a factual dispute relating to the Respondent’s liability to the Applicant, and the test to be applied for a final liquidation order where material facts are in dispute is the </w:t>
      </w:r>
      <w:r w:rsidR="000B4451" w:rsidRPr="00DB4FCB">
        <w:rPr>
          <w:rFonts w:ascii="Century Gothic" w:hAnsi="Century Gothic"/>
          <w:b/>
          <w:bCs/>
          <w:i/>
          <w:iCs/>
        </w:rPr>
        <w:t>Plascon – Evans</w:t>
      </w:r>
      <w:r w:rsidR="000B4451" w:rsidRPr="00DB4FCB">
        <w:rPr>
          <w:rFonts w:ascii="Century Gothic" w:hAnsi="Century Gothic"/>
          <w:i/>
          <w:iCs/>
        </w:rPr>
        <w:t xml:space="preserve"> test, as expressed in </w:t>
      </w:r>
      <w:r w:rsidR="000B4451" w:rsidRPr="00DB4FCB">
        <w:rPr>
          <w:rFonts w:ascii="Century Gothic" w:hAnsi="Century Gothic"/>
          <w:b/>
          <w:bCs/>
          <w:i/>
          <w:iCs/>
        </w:rPr>
        <w:t xml:space="preserve">Plascon Evans Paints Ltd vs Van </w:t>
      </w:r>
      <w:proofErr w:type="spellStart"/>
      <w:r w:rsidR="000B4451" w:rsidRPr="00DB4FCB">
        <w:rPr>
          <w:rFonts w:ascii="Century Gothic" w:hAnsi="Century Gothic"/>
          <w:b/>
          <w:bCs/>
          <w:i/>
          <w:iCs/>
        </w:rPr>
        <w:t>Riebeeck</w:t>
      </w:r>
      <w:proofErr w:type="spellEnd"/>
      <w:r w:rsidR="000B4451" w:rsidRPr="00DB4FCB">
        <w:rPr>
          <w:rFonts w:ascii="Century Gothic" w:hAnsi="Century Gothic"/>
          <w:b/>
          <w:bCs/>
          <w:i/>
          <w:iCs/>
        </w:rPr>
        <w:t xml:space="preserve"> Paints (Pty) Ltd 1984 (3) SA 623 (A)</w:t>
      </w:r>
      <w:r w:rsidR="000B4451" w:rsidRPr="00DB4FCB">
        <w:rPr>
          <w:rFonts w:ascii="Century Gothic" w:hAnsi="Century Gothic"/>
          <w:i/>
          <w:iCs/>
        </w:rPr>
        <w:t xml:space="preserve">.  Thus, where an </w:t>
      </w:r>
      <w:r w:rsidR="000B4451" w:rsidRPr="00DB4FCB">
        <w:rPr>
          <w:rFonts w:ascii="Century Gothic" w:hAnsi="Century Gothic"/>
          <w:i/>
          <w:iCs/>
        </w:rPr>
        <w:lastRenderedPageBreak/>
        <w:t xml:space="preserve">Applicant seeks final relief in liquidation proceedings and there are conflicting versions of fact, the court must accept the version of the Respondent together with any facts admitted in the Applicant’s papers, unless the Respondent’s version is far-fetched and clearly untenable. With respect, I am of the view that both the </w:t>
      </w:r>
      <w:r w:rsidR="000B4451" w:rsidRPr="00DB4FCB">
        <w:rPr>
          <w:rFonts w:ascii="Century Gothic" w:hAnsi="Century Gothic"/>
          <w:b/>
          <w:bCs/>
          <w:i/>
          <w:iCs/>
        </w:rPr>
        <w:t xml:space="preserve">Badenhorst </w:t>
      </w:r>
      <w:r w:rsidR="000B4451" w:rsidRPr="00DB4FCB">
        <w:rPr>
          <w:rFonts w:ascii="Century Gothic" w:hAnsi="Century Gothic"/>
          <w:i/>
          <w:iCs/>
        </w:rPr>
        <w:t xml:space="preserve">rule and </w:t>
      </w:r>
      <w:r w:rsidR="000B4451" w:rsidRPr="00DB4FCB">
        <w:rPr>
          <w:rFonts w:ascii="Century Gothic" w:hAnsi="Century Gothic"/>
          <w:b/>
          <w:bCs/>
          <w:i/>
          <w:iCs/>
        </w:rPr>
        <w:t>Plascon-Evans</w:t>
      </w:r>
      <w:r w:rsidR="000B4451" w:rsidRPr="00DB4FCB">
        <w:rPr>
          <w:rFonts w:ascii="Century Gothic" w:hAnsi="Century Gothic"/>
          <w:i/>
          <w:iCs/>
        </w:rPr>
        <w:t xml:space="preserve"> test must be applied where there is a factual dispute in respect of a Respondent’s indebtedness in an application for a liquidation order:  Quite simply, the </w:t>
      </w:r>
      <w:r w:rsidR="000B4451" w:rsidRPr="00DB4FCB">
        <w:rPr>
          <w:rFonts w:ascii="Century Gothic" w:hAnsi="Century Gothic"/>
          <w:b/>
          <w:bCs/>
          <w:i/>
          <w:iCs/>
        </w:rPr>
        <w:t>Badenhorst</w:t>
      </w:r>
      <w:r w:rsidR="000B4451" w:rsidRPr="00DB4FCB">
        <w:rPr>
          <w:rFonts w:ascii="Century Gothic" w:hAnsi="Century Gothic"/>
          <w:i/>
          <w:iCs/>
        </w:rPr>
        <w:t xml:space="preserve"> rule and </w:t>
      </w:r>
      <w:r w:rsidR="000B4451" w:rsidRPr="00DB4FCB">
        <w:rPr>
          <w:rFonts w:ascii="Century Gothic" w:hAnsi="Century Gothic"/>
          <w:b/>
          <w:bCs/>
          <w:i/>
          <w:iCs/>
        </w:rPr>
        <w:t>Plascon-Evans</w:t>
      </w:r>
      <w:r w:rsidR="000B4451" w:rsidRPr="00DB4FCB">
        <w:rPr>
          <w:rFonts w:ascii="Century Gothic" w:hAnsi="Century Gothic"/>
          <w:i/>
          <w:iCs/>
        </w:rPr>
        <w:t xml:space="preserve"> test serve different purposes.”</w:t>
      </w:r>
      <w:r w:rsidR="00DC40A3">
        <w:rPr>
          <w:rFonts w:ascii="Century Gothic" w:hAnsi="Century Gothic"/>
          <w:lang w:val="en-ZA"/>
        </w:rPr>
        <w:t xml:space="preserve"> </w:t>
      </w:r>
    </w:p>
    <w:p w14:paraId="4A4BF9EE" w14:textId="77777777" w:rsidR="00467C65" w:rsidRDefault="00467C65" w:rsidP="005F26CA">
      <w:pPr>
        <w:tabs>
          <w:tab w:val="left" w:pos="567"/>
        </w:tabs>
        <w:spacing w:line="480" w:lineRule="auto"/>
        <w:ind w:left="567" w:hanging="567"/>
        <w:jc w:val="both"/>
        <w:rPr>
          <w:rFonts w:ascii="Century Gothic" w:hAnsi="Century Gothic"/>
          <w:lang w:val="en-ZA"/>
        </w:rPr>
      </w:pPr>
    </w:p>
    <w:p w14:paraId="52AA2412" w14:textId="1493ED1A" w:rsidR="0017178A" w:rsidRPr="00FC6862" w:rsidRDefault="00467C65" w:rsidP="005F26CA">
      <w:pPr>
        <w:tabs>
          <w:tab w:val="left" w:pos="567"/>
        </w:tabs>
        <w:spacing w:line="480" w:lineRule="auto"/>
        <w:ind w:left="567" w:hanging="567"/>
        <w:jc w:val="both"/>
        <w:rPr>
          <w:rFonts w:ascii="Century Gothic" w:hAnsi="Century Gothic"/>
          <w:b/>
          <w:bCs/>
          <w:lang w:val="en-ZA"/>
        </w:rPr>
      </w:pPr>
      <w:r>
        <w:rPr>
          <w:rFonts w:ascii="Century Gothic" w:hAnsi="Century Gothic"/>
          <w:lang w:val="en-ZA"/>
        </w:rPr>
        <w:t>[29]</w:t>
      </w:r>
      <w:r>
        <w:rPr>
          <w:rFonts w:ascii="Century Gothic" w:hAnsi="Century Gothic"/>
          <w:lang w:val="en-ZA"/>
        </w:rPr>
        <w:tab/>
      </w:r>
      <w:r w:rsidR="00DC40A3">
        <w:rPr>
          <w:rFonts w:ascii="Century Gothic" w:hAnsi="Century Gothic"/>
          <w:lang w:val="en-ZA"/>
        </w:rPr>
        <w:t xml:space="preserve">It is not necessary for me to express a view on whether </w:t>
      </w:r>
      <w:r w:rsidR="00002591">
        <w:rPr>
          <w:rFonts w:ascii="Century Gothic" w:hAnsi="Century Gothic"/>
          <w:lang w:val="en-ZA"/>
        </w:rPr>
        <w:t xml:space="preserve">both the </w:t>
      </w:r>
      <w:r w:rsidR="00002591" w:rsidRPr="00002591">
        <w:rPr>
          <w:rFonts w:ascii="Century Gothic" w:hAnsi="Century Gothic"/>
          <w:b/>
          <w:bCs/>
          <w:i/>
          <w:iCs/>
          <w:lang w:val="en-ZA"/>
        </w:rPr>
        <w:t xml:space="preserve">Badenhorst </w:t>
      </w:r>
      <w:r w:rsidR="00002591">
        <w:rPr>
          <w:rFonts w:ascii="Century Gothic" w:hAnsi="Century Gothic"/>
          <w:lang w:val="en-ZA"/>
        </w:rPr>
        <w:t xml:space="preserve">rule and </w:t>
      </w:r>
      <w:r w:rsidR="00002591">
        <w:rPr>
          <w:rFonts w:ascii="Century Gothic" w:hAnsi="Century Gothic"/>
          <w:b/>
          <w:bCs/>
          <w:i/>
          <w:iCs/>
          <w:lang w:val="en-ZA"/>
        </w:rPr>
        <w:t>Plascon – Evans</w:t>
      </w:r>
      <w:r w:rsidR="00002591">
        <w:rPr>
          <w:rFonts w:ascii="Century Gothic" w:hAnsi="Century Gothic"/>
          <w:lang w:val="en-ZA"/>
        </w:rPr>
        <w:t xml:space="preserve"> test must be applied </w:t>
      </w:r>
      <w:r w:rsidR="00B82477">
        <w:rPr>
          <w:rFonts w:ascii="Century Gothic" w:hAnsi="Century Gothic"/>
          <w:lang w:val="en-ZA"/>
        </w:rPr>
        <w:t xml:space="preserve">where there is a factual dispute in respect of a respondent’s indebtedness in an application for a final liquidation order, as in this matter I find that </w:t>
      </w:r>
      <w:r w:rsidR="00B82357">
        <w:rPr>
          <w:rFonts w:ascii="Century Gothic" w:hAnsi="Century Gothic"/>
          <w:lang w:val="en-ZA"/>
        </w:rPr>
        <w:t xml:space="preserve">there is no </w:t>
      </w:r>
      <w:r w:rsidR="00112A58">
        <w:rPr>
          <w:rFonts w:ascii="Century Gothic" w:hAnsi="Century Gothic"/>
          <w:lang w:val="en-ZA"/>
        </w:rPr>
        <w:t>genuine</w:t>
      </w:r>
      <w:r w:rsidR="00B82357">
        <w:rPr>
          <w:rFonts w:ascii="Century Gothic" w:hAnsi="Century Gothic"/>
          <w:lang w:val="en-ZA"/>
        </w:rPr>
        <w:t xml:space="preserve"> factual dispute on the papers</w:t>
      </w:r>
      <w:r w:rsidR="003453D1">
        <w:rPr>
          <w:rFonts w:ascii="Century Gothic" w:hAnsi="Century Gothic"/>
          <w:lang w:val="en-ZA"/>
        </w:rPr>
        <w:t xml:space="preserve"> before me at final liquidation stage. </w:t>
      </w:r>
      <w:r w:rsidR="00841EDD">
        <w:rPr>
          <w:rFonts w:ascii="Century Gothic" w:hAnsi="Century Gothic"/>
          <w:lang w:val="en-ZA"/>
        </w:rPr>
        <w:t>Bluecentrix failed, as noted, to provide a convincing explanation for the various acknowledgements of debt that one finds in the string of emails</w:t>
      </w:r>
      <w:r w:rsidR="00292D88">
        <w:rPr>
          <w:rFonts w:ascii="Century Gothic" w:hAnsi="Century Gothic"/>
          <w:lang w:val="en-ZA"/>
        </w:rPr>
        <w:t>. Despite having availed itself of the opportunity</w:t>
      </w:r>
      <w:r w:rsidR="00EE6176">
        <w:rPr>
          <w:rFonts w:ascii="Century Gothic" w:hAnsi="Century Gothic"/>
          <w:lang w:val="en-ZA"/>
        </w:rPr>
        <w:t>,</w:t>
      </w:r>
      <w:r w:rsidR="00292D88">
        <w:rPr>
          <w:rFonts w:ascii="Century Gothic" w:hAnsi="Century Gothic"/>
          <w:lang w:val="en-ZA"/>
        </w:rPr>
        <w:t xml:space="preserve"> after being placed under provisional liquidation, to file </w:t>
      </w:r>
      <w:r w:rsidR="00EE6176">
        <w:rPr>
          <w:rFonts w:ascii="Century Gothic" w:hAnsi="Century Gothic"/>
          <w:lang w:val="en-ZA"/>
        </w:rPr>
        <w:t>a so-called “</w:t>
      </w:r>
      <w:r w:rsidR="00292D88" w:rsidRPr="00666F9F">
        <w:rPr>
          <w:rFonts w:ascii="Century Gothic" w:hAnsi="Century Gothic"/>
          <w:lang w:val="en-ZA"/>
        </w:rPr>
        <w:t>affidavit</w:t>
      </w:r>
      <w:r w:rsidR="00666F9F" w:rsidRPr="00666F9F">
        <w:rPr>
          <w:rFonts w:ascii="Century Gothic" w:hAnsi="Century Gothic"/>
          <w:lang w:val="en-ZA"/>
        </w:rPr>
        <w:t xml:space="preserve"> opposing rule </w:t>
      </w:r>
      <w:r w:rsidR="00666F9F" w:rsidRPr="00666F9F">
        <w:rPr>
          <w:rFonts w:ascii="Century Gothic" w:hAnsi="Century Gothic"/>
          <w:i/>
          <w:iCs/>
          <w:lang w:val="en-ZA"/>
        </w:rPr>
        <w:t>nisi</w:t>
      </w:r>
      <w:r w:rsidR="007B40C7">
        <w:rPr>
          <w:rFonts w:ascii="Century Gothic" w:hAnsi="Century Gothic"/>
          <w:i/>
          <w:iCs/>
          <w:lang w:val="en-ZA"/>
        </w:rPr>
        <w:t>”</w:t>
      </w:r>
      <w:r w:rsidR="00666F9F" w:rsidRPr="00666F9F">
        <w:rPr>
          <w:rFonts w:ascii="Century Gothic" w:hAnsi="Century Gothic"/>
          <w:lang w:val="en-ZA"/>
        </w:rPr>
        <w:t>, a supplementary affidavit as well as a further supplementary affidavit,</w:t>
      </w:r>
      <w:r w:rsidR="008D1AD1">
        <w:rPr>
          <w:rFonts w:ascii="Century Gothic" w:hAnsi="Century Gothic"/>
          <w:lang w:val="en-ZA"/>
        </w:rPr>
        <w:t xml:space="preserve"> Bluecentrix, as the respondent in this matter never put up a factual version which upon the application of the </w:t>
      </w:r>
      <w:r w:rsidR="008D1AD1">
        <w:rPr>
          <w:rFonts w:ascii="Century Gothic" w:hAnsi="Century Gothic"/>
          <w:b/>
          <w:bCs/>
          <w:i/>
          <w:iCs/>
          <w:lang w:val="en-ZA"/>
        </w:rPr>
        <w:t xml:space="preserve">Plascon – Evans </w:t>
      </w:r>
      <w:r w:rsidR="005C6167" w:rsidRPr="006C2A20">
        <w:rPr>
          <w:rFonts w:ascii="Century Gothic" w:hAnsi="Century Gothic"/>
          <w:lang w:val="en-ZA"/>
        </w:rPr>
        <w:t>test</w:t>
      </w:r>
      <w:r w:rsidR="008D1AD1">
        <w:rPr>
          <w:rFonts w:ascii="Century Gothic" w:hAnsi="Century Gothic"/>
          <w:lang w:val="en-ZA"/>
        </w:rPr>
        <w:t xml:space="preserve"> ought to be accepted by </w:t>
      </w:r>
      <w:r w:rsidR="00AB3F9C">
        <w:rPr>
          <w:rFonts w:ascii="Century Gothic" w:hAnsi="Century Gothic"/>
          <w:lang w:val="en-ZA"/>
        </w:rPr>
        <w:t>this</w:t>
      </w:r>
      <w:r w:rsidR="008D1AD1">
        <w:rPr>
          <w:rFonts w:ascii="Century Gothic" w:hAnsi="Century Gothic"/>
          <w:lang w:val="en-ZA"/>
        </w:rPr>
        <w:t xml:space="preserve"> court</w:t>
      </w:r>
      <w:r w:rsidR="00AB3F9C">
        <w:rPr>
          <w:rFonts w:ascii="Century Gothic" w:hAnsi="Century Gothic"/>
          <w:lang w:val="en-ZA"/>
        </w:rPr>
        <w:t xml:space="preserve"> at the final liquidation stage.  Instead, </w:t>
      </w:r>
      <w:r w:rsidR="00FC6862">
        <w:rPr>
          <w:rFonts w:ascii="Century Gothic" w:hAnsi="Century Gothic"/>
          <w:lang w:val="en-ZA"/>
        </w:rPr>
        <w:t>Bluecentrix’s explanation boiled down to</w:t>
      </w:r>
      <w:r w:rsidR="003B7149">
        <w:rPr>
          <w:rFonts w:ascii="Century Gothic" w:hAnsi="Century Gothic"/>
          <w:lang w:val="en-ZA"/>
        </w:rPr>
        <w:t xml:space="preserve"> the same</w:t>
      </w:r>
      <w:r w:rsidR="00FC6862">
        <w:rPr>
          <w:rFonts w:ascii="Century Gothic" w:hAnsi="Century Gothic"/>
          <w:lang w:val="en-ZA"/>
        </w:rPr>
        <w:t xml:space="preserve"> bald denials </w:t>
      </w:r>
      <w:r w:rsidR="003B7149">
        <w:rPr>
          <w:rFonts w:ascii="Century Gothic" w:hAnsi="Century Gothic"/>
          <w:lang w:val="en-ZA"/>
        </w:rPr>
        <w:t xml:space="preserve">(which </w:t>
      </w:r>
      <w:r w:rsidR="003B7149">
        <w:rPr>
          <w:rFonts w:ascii="Century Gothic" w:hAnsi="Century Gothic"/>
          <w:lang w:val="en-ZA"/>
        </w:rPr>
        <w:lastRenderedPageBreak/>
        <w:t xml:space="preserve">were rejected by Gamble, J at </w:t>
      </w:r>
      <w:r w:rsidR="00D160F9">
        <w:rPr>
          <w:rFonts w:ascii="Century Gothic" w:hAnsi="Century Gothic"/>
          <w:lang w:val="en-ZA"/>
        </w:rPr>
        <w:t xml:space="preserve">the </w:t>
      </w:r>
      <w:r w:rsidR="003B7149">
        <w:rPr>
          <w:rFonts w:ascii="Century Gothic" w:hAnsi="Century Gothic"/>
          <w:lang w:val="en-ZA"/>
        </w:rPr>
        <w:t xml:space="preserve">provisional liquidation stage) </w:t>
      </w:r>
      <w:r w:rsidR="00FC6862">
        <w:rPr>
          <w:rFonts w:ascii="Century Gothic" w:hAnsi="Century Gothic"/>
          <w:lang w:val="en-ZA"/>
        </w:rPr>
        <w:t xml:space="preserve">that </w:t>
      </w:r>
      <w:r w:rsidR="00A654D6">
        <w:rPr>
          <w:rFonts w:ascii="Century Gothic" w:hAnsi="Century Gothic"/>
          <w:lang w:val="en-ZA"/>
        </w:rPr>
        <w:t>Pretorius</w:t>
      </w:r>
      <w:r w:rsidR="00FC6862">
        <w:rPr>
          <w:rFonts w:ascii="Century Gothic" w:hAnsi="Century Gothic"/>
          <w:lang w:val="en-ZA"/>
        </w:rPr>
        <w:t xml:space="preserve"> and Van der </w:t>
      </w:r>
      <w:proofErr w:type="spellStart"/>
      <w:r w:rsidR="00FC6862">
        <w:rPr>
          <w:rFonts w:ascii="Century Gothic" w:hAnsi="Century Gothic"/>
          <w:lang w:val="en-ZA"/>
        </w:rPr>
        <w:t>Mescht</w:t>
      </w:r>
      <w:proofErr w:type="spellEnd"/>
      <w:r w:rsidR="00FC6862">
        <w:rPr>
          <w:rFonts w:ascii="Century Gothic" w:hAnsi="Century Gothic"/>
          <w:lang w:val="en-ZA"/>
        </w:rPr>
        <w:t xml:space="preserve"> had </w:t>
      </w:r>
      <w:r w:rsidR="00D160F9">
        <w:rPr>
          <w:rFonts w:ascii="Century Gothic" w:hAnsi="Century Gothic"/>
          <w:lang w:val="en-ZA"/>
        </w:rPr>
        <w:t xml:space="preserve">the </w:t>
      </w:r>
      <w:r w:rsidR="00FC6862">
        <w:rPr>
          <w:rFonts w:ascii="Century Gothic" w:hAnsi="Century Gothic"/>
          <w:lang w:val="en-ZA"/>
        </w:rPr>
        <w:t xml:space="preserve">authority to bind </w:t>
      </w:r>
      <w:proofErr w:type="spellStart"/>
      <w:r w:rsidR="00FC6862">
        <w:rPr>
          <w:rFonts w:ascii="Century Gothic" w:hAnsi="Century Gothic"/>
          <w:lang w:val="en-ZA"/>
        </w:rPr>
        <w:t>Bluecentrix</w:t>
      </w:r>
      <w:proofErr w:type="spellEnd"/>
      <w:r w:rsidR="005B19BA">
        <w:rPr>
          <w:rFonts w:ascii="Century Gothic" w:hAnsi="Century Gothic"/>
          <w:lang w:val="en-ZA"/>
        </w:rPr>
        <w:t xml:space="preserve"> on the basis that neither was a director</w:t>
      </w:r>
      <w:r w:rsidR="00D70623">
        <w:rPr>
          <w:rFonts w:ascii="Century Gothic" w:hAnsi="Century Gothic"/>
          <w:lang w:val="en-ZA"/>
        </w:rPr>
        <w:t xml:space="preserve"> of Bluecentrix</w:t>
      </w:r>
      <w:r w:rsidR="00182B8D">
        <w:rPr>
          <w:rFonts w:ascii="Century Gothic" w:hAnsi="Century Gothic"/>
          <w:lang w:val="en-ZA"/>
        </w:rPr>
        <w:t>.</w:t>
      </w:r>
      <w:r w:rsidR="00D70623">
        <w:rPr>
          <w:rFonts w:ascii="Century Gothic" w:hAnsi="Century Gothic"/>
          <w:lang w:val="en-ZA"/>
        </w:rPr>
        <w:t xml:space="preserve"> </w:t>
      </w:r>
      <w:r w:rsidR="00182B8D">
        <w:rPr>
          <w:rFonts w:ascii="Century Gothic" w:hAnsi="Century Gothic"/>
          <w:lang w:val="en-ZA"/>
        </w:rPr>
        <w:t>During argument</w:t>
      </w:r>
      <w:r w:rsidR="00C00D40">
        <w:rPr>
          <w:rFonts w:ascii="Century Gothic" w:hAnsi="Century Gothic"/>
          <w:lang w:val="en-ZA"/>
        </w:rPr>
        <w:t>,</w:t>
      </w:r>
      <w:r w:rsidR="00182B8D">
        <w:rPr>
          <w:rFonts w:ascii="Century Gothic" w:hAnsi="Century Gothic"/>
          <w:lang w:val="en-ZA"/>
        </w:rPr>
        <w:t xml:space="preserve"> I asked </w:t>
      </w:r>
      <w:proofErr w:type="spellStart"/>
      <w:r w:rsidR="00182B8D">
        <w:rPr>
          <w:rFonts w:ascii="Century Gothic" w:hAnsi="Century Gothic"/>
          <w:lang w:val="en-ZA"/>
        </w:rPr>
        <w:t>Bluecentrix’s</w:t>
      </w:r>
      <w:proofErr w:type="spellEnd"/>
      <w:r w:rsidR="00182B8D">
        <w:rPr>
          <w:rFonts w:ascii="Century Gothic" w:hAnsi="Century Gothic"/>
          <w:lang w:val="en-ZA"/>
        </w:rPr>
        <w:t xml:space="preserve"> counsel why Van Rooyen never explained the true factual context of the string of emails from Bluecentrix’s viewpoint as well as his own involvement </w:t>
      </w:r>
      <w:r w:rsidR="000D1B17">
        <w:rPr>
          <w:rFonts w:ascii="Century Gothic" w:hAnsi="Century Gothic"/>
          <w:lang w:val="en-ZA"/>
        </w:rPr>
        <w:t xml:space="preserve">as is evident from the string of emails, </w:t>
      </w:r>
      <w:r w:rsidR="004B5F92">
        <w:rPr>
          <w:rFonts w:ascii="Century Gothic" w:hAnsi="Century Gothic"/>
          <w:lang w:val="en-ZA"/>
        </w:rPr>
        <w:t xml:space="preserve">in </w:t>
      </w:r>
      <w:r w:rsidR="000D1B17">
        <w:rPr>
          <w:rFonts w:ascii="Century Gothic" w:hAnsi="Century Gothic"/>
          <w:lang w:val="en-ZA"/>
        </w:rPr>
        <w:t>acknowledging Bluecentrix’s debt and formulating an offer to DFA</w:t>
      </w:r>
      <w:r w:rsidR="00E50702">
        <w:rPr>
          <w:rFonts w:ascii="Century Gothic" w:hAnsi="Century Gothic"/>
          <w:lang w:val="en-ZA"/>
        </w:rPr>
        <w:t>. The response</w:t>
      </w:r>
      <w:r w:rsidR="00A138FB">
        <w:rPr>
          <w:rFonts w:ascii="Century Gothic" w:hAnsi="Century Gothic"/>
          <w:lang w:val="en-ZA"/>
        </w:rPr>
        <w:t xml:space="preserve"> proffered to me</w:t>
      </w:r>
      <w:r w:rsidR="00E50702">
        <w:rPr>
          <w:rFonts w:ascii="Century Gothic" w:hAnsi="Century Gothic"/>
          <w:lang w:val="en-ZA"/>
        </w:rPr>
        <w:t xml:space="preserve"> was to the effect that Bluecentrix had no obligation to do so </w:t>
      </w:r>
      <w:r w:rsidR="00EC6EC4">
        <w:rPr>
          <w:rFonts w:ascii="Century Gothic" w:hAnsi="Century Gothic"/>
          <w:lang w:val="en-ZA"/>
        </w:rPr>
        <w:t xml:space="preserve">because it only had to respond to the case that DFA made out in its founding papers. </w:t>
      </w:r>
      <w:r w:rsidR="00D70623">
        <w:rPr>
          <w:rFonts w:ascii="Century Gothic" w:hAnsi="Century Gothic"/>
          <w:lang w:val="en-ZA"/>
        </w:rPr>
        <w:t xml:space="preserve">I find Bluecentrix’s explanation </w:t>
      </w:r>
      <w:r w:rsidR="006D73BA">
        <w:rPr>
          <w:rFonts w:ascii="Century Gothic" w:hAnsi="Century Gothic"/>
          <w:lang w:val="en-ZA"/>
        </w:rPr>
        <w:t>far-fetched and clearly untenable.</w:t>
      </w:r>
    </w:p>
    <w:p w14:paraId="2A3C6ED1" w14:textId="77777777" w:rsidR="008C67C0" w:rsidRDefault="008C67C0" w:rsidP="005F26CA">
      <w:pPr>
        <w:tabs>
          <w:tab w:val="left" w:pos="567"/>
        </w:tabs>
        <w:spacing w:line="480" w:lineRule="auto"/>
        <w:ind w:left="567" w:hanging="567"/>
        <w:jc w:val="both"/>
        <w:rPr>
          <w:rFonts w:ascii="Century Gothic" w:hAnsi="Century Gothic"/>
          <w:lang w:val="en-ZA"/>
        </w:rPr>
      </w:pPr>
    </w:p>
    <w:p w14:paraId="0AE306F3" w14:textId="232EC4A6" w:rsidR="007D6239" w:rsidRDefault="008C67C0" w:rsidP="005F26CA">
      <w:pPr>
        <w:tabs>
          <w:tab w:val="left" w:pos="567"/>
        </w:tabs>
        <w:spacing w:line="480" w:lineRule="auto"/>
        <w:ind w:left="567" w:hanging="567"/>
        <w:jc w:val="both"/>
        <w:rPr>
          <w:rFonts w:ascii="Century Gothic" w:hAnsi="Century Gothic"/>
          <w:lang w:val="en-ZA"/>
        </w:rPr>
      </w:pPr>
      <w:r>
        <w:rPr>
          <w:rFonts w:ascii="Century Gothic" w:hAnsi="Century Gothic"/>
          <w:lang w:val="en-ZA"/>
        </w:rPr>
        <w:t>[</w:t>
      </w:r>
      <w:r w:rsidR="000A366B">
        <w:rPr>
          <w:rFonts w:ascii="Century Gothic" w:hAnsi="Century Gothic"/>
          <w:lang w:val="en-ZA"/>
        </w:rPr>
        <w:t>30</w:t>
      </w:r>
      <w:r>
        <w:rPr>
          <w:rFonts w:ascii="Century Gothic" w:hAnsi="Century Gothic"/>
          <w:lang w:val="en-ZA"/>
        </w:rPr>
        <w:t>]</w:t>
      </w:r>
      <w:r>
        <w:rPr>
          <w:rFonts w:ascii="Century Gothic" w:hAnsi="Century Gothic"/>
          <w:lang w:val="en-ZA"/>
        </w:rPr>
        <w:tab/>
      </w:r>
      <w:r w:rsidR="001E2F27">
        <w:rPr>
          <w:rFonts w:ascii="Century Gothic" w:hAnsi="Century Gothic"/>
          <w:lang w:val="en-ZA"/>
        </w:rPr>
        <w:t xml:space="preserve">I accordingly find that Bluecentrix has not </w:t>
      </w:r>
      <w:r w:rsidR="001E2F27">
        <w:rPr>
          <w:rFonts w:ascii="Century Gothic" w:hAnsi="Century Gothic"/>
          <w:i/>
          <w:iCs/>
          <w:lang w:val="en-ZA"/>
        </w:rPr>
        <w:t>bona fide</w:t>
      </w:r>
      <w:r w:rsidR="001E2F27">
        <w:rPr>
          <w:rFonts w:ascii="Century Gothic" w:hAnsi="Century Gothic"/>
          <w:lang w:val="en-ZA"/>
        </w:rPr>
        <w:t xml:space="preserve"> disputed its indebtedness to DFA and that </w:t>
      </w:r>
      <w:r w:rsidR="00F76CB6">
        <w:rPr>
          <w:rFonts w:ascii="Century Gothic" w:hAnsi="Century Gothic"/>
          <w:lang w:val="en-ZA"/>
        </w:rPr>
        <w:t xml:space="preserve">it </w:t>
      </w:r>
      <w:r w:rsidR="001E2F27">
        <w:rPr>
          <w:rFonts w:ascii="Century Gothic" w:hAnsi="Century Gothic"/>
          <w:lang w:val="en-ZA"/>
        </w:rPr>
        <w:t>failed to</w:t>
      </w:r>
      <w:r w:rsidR="007D6239">
        <w:rPr>
          <w:rFonts w:ascii="Century Gothic" w:hAnsi="Century Gothic"/>
          <w:lang w:val="en-ZA"/>
        </w:rPr>
        <w:t xml:space="preserve"> acquit itself of the onus to show that it is able to pay its debts. </w:t>
      </w:r>
    </w:p>
    <w:p w14:paraId="67C93F1C" w14:textId="77777777" w:rsidR="007D6239" w:rsidRDefault="007D6239" w:rsidP="005F26CA">
      <w:pPr>
        <w:tabs>
          <w:tab w:val="left" w:pos="567"/>
        </w:tabs>
        <w:spacing w:line="480" w:lineRule="auto"/>
        <w:ind w:left="567" w:hanging="567"/>
        <w:jc w:val="both"/>
        <w:rPr>
          <w:rFonts w:ascii="Century Gothic" w:hAnsi="Century Gothic"/>
          <w:lang w:val="en-ZA"/>
        </w:rPr>
      </w:pPr>
    </w:p>
    <w:p w14:paraId="610C7033" w14:textId="0D4736EA" w:rsidR="008C67C0" w:rsidRPr="001E2F27" w:rsidRDefault="007D6239" w:rsidP="005F26CA">
      <w:pPr>
        <w:tabs>
          <w:tab w:val="left" w:pos="567"/>
        </w:tabs>
        <w:spacing w:line="480" w:lineRule="auto"/>
        <w:ind w:left="567" w:hanging="567"/>
        <w:jc w:val="both"/>
        <w:rPr>
          <w:rFonts w:ascii="Century Gothic" w:hAnsi="Century Gothic"/>
          <w:lang w:val="en-ZA"/>
        </w:rPr>
      </w:pPr>
      <w:r>
        <w:rPr>
          <w:rFonts w:ascii="Century Gothic" w:hAnsi="Century Gothic"/>
          <w:lang w:val="en-ZA"/>
        </w:rPr>
        <w:t>[</w:t>
      </w:r>
      <w:r w:rsidR="000A366B">
        <w:rPr>
          <w:rFonts w:ascii="Century Gothic" w:hAnsi="Century Gothic"/>
          <w:lang w:val="en-ZA"/>
        </w:rPr>
        <w:t>31</w:t>
      </w:r>
      <w:r>
        <w:rPr>
          <w:rFonts w:ascii="Century Gothic" w:hAnsi="Century Gothic"/>
          <w:lang w:val="en-ZA"/>
        </w:rPr>
        <w:t>]</w:t>
      </w:r>
      <w:r>
        <w:rPr>
          <w:rFonts w:ascii="Century Gothic" w:hAnsi="Century Gothic"/>
          <w:lang w:val="en-ZA"/>
        </w:rPr>
        <w:tab/>
      </w:r>
      <w:r w:rsidR="00EB22EC">
        <w:rPr>
          <w:rFonts w:ascii="Century Gothic" w:hAnsi="Century Gothic"/>
          <w:lang w:val="en-ZA"/>
        </w:rPr>
        <w:t xml:space="preserve">As noted, </w:t>
      </w:r>
      <w:r>
        <w:rPr>
          <w:rFonts w:ascii="Century Gothic" w:hAnsi="Century Gothic"/>
          <w:lang w:val="en-ZA"/>
        </w:rPr>
        <w:t xml:space="preserve">I do not find it necessary to determine the </w:t>
      </w:r>
      <w:r w:rsidR="00225ACB">
        <w:rPr>
          <w:rFonts w:ascii="Century Gothic" w:hAnsi="Century Gothic"/>
          <w:lang w:val="en-ZA"/>
        </w:rPr>
        <w:t xml:space="preserve">admissibility of the provisional liquidators’ preliminary report as it is not necessary for me to have regard thereto to </w:t>
      </w:r>
      <w:r w:rsidR="0075372D">
        <w:rPr>
          <w:rFonts w:ascii="Century Gothic" w:hAnsi="Century Gothic"/>
          <w:lang w:val="en-ZA"/>
        </w:rPr>
        <w:t>reach a finding on Bluecentrix’s solvency</w:t>
      </w:r>
      <w:r w:rsidR="004F2EA4">
        <w:rPr>
          <w:rFonts w:ascii="Century Gothic" w:hAnsi="Century Gothic"/>
          <w:lang w:val="en-ZA"/>
        </w:rPr>
        <w:t xml:space="preserve"> and whether a final winding-up order should be granted</w:t>
      </w:r>
      <w:r w:rsidR="0075372D">
        <w:rPr>
          <w:rFonts w:ascii="Century Gothic" w:hAnsi="Century Gothic"/>
          <w:lang w:val="en-ZA"/>
        </w:rPr>
        <w:t>.</w:t>
      </w:r>
      <w:r>
        <w:rPr>
          <w:rFonts w:ascii="Century Gothic" w:hAnsi="Century Gothic"/>
          <w:lang w:val="en-ZA"/>
        </w:rPr>
        <w:t xml:space="preserve"> </w:t>
      </w:r>
    </w:p>
    <w:p w14:paraId="66DF7136" w14:textId="77777777" w:rsidR="0017178A" w:rsidRDefault="0017178A" w:rsidP="00582C9D">
      <w:pPr>
        <w:tabs>
          <w:tab w:val="left" w:pos="567"/>
        </w:tabs>
        <w:spacing w:line="480" w:lineRule="auto"/>
        <w:ind w:left="1440" w:hanging="1440"/>
        <w:jc w:val="both"/>
        <w:rPr>
          <w:rFonts w:ascii="Century Gothic" w:hAnsi="Century Gothic"/>
          <w:lang w:val="en-ZA"/>
        </w:rPr>
      </w:pPr>
    </w:p>
    <w:p w14:paraId="1D5E9D58" w14:textId="7B8871AF" w:rsidR="004F0B69" w:rsidRPr="00A00493" w:rsidRDefault="004F0B69" w:rsidP="004F0B69">
      <w:pPr>
        <w:spacing w:line="360" w:lineRule="auto"/>
        <w:jc w:val="both"/>
        <w:rPr>
          <w:rFonts w:ascii="Century Gothic" w:eastAsia="Arial" w:hAnsi="Century Gothic" w:cs="Arial"/>
          <w:u w:val="single"/>
          <w:lang w:val="en-ZA"/>
        </w:rPr>
      </w:pPr>
      <w:r w:rsidRPr="00A00493">
        <w:rPr>
          <w:rFonts w:ascii="Century Gothic" w:eastAsia="Arial" w:hAnsi="Century Gothic" w:cs="Arial"/>
          <w:u w:val="single"/>
          <w:lang w:val="en-ZA"/>
        </w:rPr>
        <w:t>Prescription</w:t>
      </w:r>
    </w:p>
    <w:p w14:paraId="51C707B8" w14:textId="77777777" w:rsidR="004F0B69" w:rsidRPr="0051789D" w:rsidRDefault="004F0B69" w:rsidP="004F0B69">
      <w:pPr>
        <w:spacing w:line="360" w:lineRule="auto"/>
        <w:jc w:val="center"/>
        <w:rPr>
          <w:rFonts w:ascii="Century Gothic" w:eastAsia="Arial" w:hAnsi="Century Gothic" w:cs="Arial"/>
          <w:b/>
          <w:bCs/>
          <w:sz w:val="28"/>
          <w:szCs w:val="28"/>
          <w:lang w:val="en-ZA"/>
        </w:rPr>
      </w:pPr>
    </w:p>
    <w:p w14:paraId="5B7FF403" w14:textId="26ACFBCB" w:rsidR="004F0B69" w:rsidRPr="004F0B69" w:rsidRDefault="004F0B69" w:rsidP="004F0B69">
      <w:pPr>
        <w:spacing w:line="480" w:lineRule="auto"/>
        <w:ind w:left="567" w:hanging="567"/>
        <w:jc w:val="both"/>
        <w:rPr>
          <w:rFonts w:ascii="Century Gothic" w:hAnsi="Century Gothic"/>
          <w:i/>
          <w:iCs/>
          <w:u w:val="single"/>
          <w:lang w:val="en-ZA"/>
        </w:rPr>
      </w:pPr>
      <w:r>
        <w:rPr>
          <w:rFonts w:ascii="Century Gothic" w:hAnsi="Century Gothic"/>
          <w:lang w:val="en-ZA"/>
        </w:rPr>
        <w:lastRenderedPageBreak/>
        <w:t>[</w:t>
      </w:r>
      <w:r w:rsidR="0089710C">
        <w:rPr>
          <w:rFonts w:ascii="Century Gothic" w:hAnsi="Century Gothic"/>
          <w:lang w:val="en-ZA"/>
        </w:rPr>
        <w:t>3</w:t>
      </w:r>
      <w:r w:rsidR="000A366B">
        <w:rPr>
          <w:rFonts w:ascii="Century Gothic" w:hAnsi="Century Gothic"/>
          <w:lang w:val="en-ZA"/>
        </w:rPr>
        <w:t>2</w:t>
      </w:r>
      <w:r>
        <w:rPr>
          <w:rFonts w:ascii="Century Gothic" w:hAnsi="Century Gothic"/>
          <w:lang w:val="en-ZA"/>
        </w:rPr>
        <w:t>]</w:t>
      </w:r>
      <w:r>
        <w:rPr>
          <w:rFonts w:ascii="Century Gothic" w:hAnsi="Century Gothic"/>
          <w:lang w:val="en-ZA"/>
        </w:rPr>
        <w:tab/>
      </w:r>
      <w:r w:rsidRPr="004F0B69">
        <w:rPr>
          <w:rFonts w:ascii="Century Gothic" w:hAnsi="Century Gothic"/>
          <w:lang w:val="en-ZA"/>
        </w:rPr>
        <w:t xml:space="preserve">It was argued on behalf of </w:t>
      </w:r>
      <w:r w:rsidR="00AE3797">
        <w:rPr>
          <w:rFonts w:ascii="Century Gothic" w:hAnsi="Century Gothic"/>
          <w:lang w:val="en-ZA"/>
        </w:rPr>
        <w:t>Bluecentrix</w:t>
      </w:r>
      <w:r w:rsidRPr="004F0B69">
        <w:rPr>
          <w:rFonts w:ascii="Century Gothic" w:hAnsi="Century Gothic"/>
          <w:lang w:val="en-ZA"/>
        </w:rPr>
        <w:t xml:space="preserve"> that the email sent by A</w:t>
      </w:r>
      <w:r w:rsidR="00316691">
        <w:rPr>
          <w:rFonts w:ascii="Century Gothic" w:hAnsi="Century Gothic"/>
          <w:lang w:val="en-ZA"/>
        </w:rPr>
        <w:t>ndrè</w:t>
      </w:r>
      <w:r w:rsidRPr="004F0B69">
        <w:rPr>
          <w:rFonts w:ascii="Century Gothic" w:hAnsi="Century Gothic"/>
          <w:lang w:val="en-ZA"/>
        </w:rPr>
        <w:t xml:space="preserve"> Pretorius</w:t>
      </w:r>
      <w:r w:rsidR="003D0CC9">
        <w:rPr>
          <w:rFonts w:ascii="Century Gothic" w:hAnsi="Century Gothic"/>
          <w:lang w:val="en-ZA"/>
        </w:rPr>
        <w:t xml:space="preserve"> to Roelien Nieuwoudt of DFA</w:t>
      </w:r>
      <w:r w:rsidR="002E7299">
        <w:rPr>
          <w:rFonts w:ascii="Century Gothic" w:hAnsi="Century Gothic"/>
          <w:lang w:val="en-ZA"/>
        </w:rPr>
        <w:t xml:space="preserve"> and copied, </w:t>
      </w:r>
      <w:r w:rsidR="002E7299">
        <w:rPr>
          <w:rFonts w:ascii="Century Gothic" w:hAnsi="Century Gothic"/>
          <w:i/>
          <w:iCs/>
          <w:lang w:val="en-ZA"/>
        </w:rPr>
        <w:t>inter alia,</w:t>
      </w:r>
      <w:r w:rsidR="002E7299">
        <w:rPr>
          <w:rFonts w:ascii="Century Gothic" w:hAnsi="Century Gothic"/>
          <w:lang w:val="en-ZA"/>
        </w:rPr>
        <w:t xml:space="preserve"> to Van der Mescht and Van Rooyen,</w:t>
      </w:r>
      <w:r w:rsidRPr="004F0B69">
        <w:rPr>
          <w:rFonts w:ascii="Century Gothic" w:hAnsi="Century Gothic"/>
          <w:lang w:val="en-ZA"/>
        </w:rPr>
        <w:t xml:space="preserve"> on </w:t>
      </w:r>
      <w:r w:rsidRPr="004F0B69">
        <w:rPr>
          <w:rFonts w:ascii="Century Gothic" w:hAnsi="Century Gothic"/>
          <w:b/>
          <w:bCs/>
          <w:lang w:val="en-ZA"/>
        </w:rPr>
        <w:t xml:space="preserve">4 May </w:t>
      </w:r>
      <w:r w:rsidR="00316691">
        <w:rPr>
          <w:rFonts w:ascii="Century Gothic" w:hAnsi="Century Gothic"/>
          <w:b/>
          <w:bCs/>
          <w:lang w:val="en-ZA"/>
        </w:rPr>
        <w:t>2021</w:t>
      </w:r>
      <w:r w:rsidRPr="004F0B69">
        <w:rPr>
          <w:rFonts w:ascii="Century Gothic" w:hAnsi="Century Gothic"/>
          <w:lang w:val="en-ZA"/>
        </w:rPr>
        <w:t>,</w:t>
      </w:r>
      <w:r w:rsidR="00316691">
        <w:rPr>
          <w:rFonts w:ascii="Century Gothic" w:hAnsi="Century Gothic"/>
          <w:lang w:val="en-ZA"/>
        </w:rPr>
        <w:t xml:space="preserve"> with the subject heading: “</w:t>
      </w:r>
      <w:r w:rsidR="00AD0316" w:rsidRPr="00AD0316">
        <w:rPr>
          <w:rFonts w:ascii="Century Gothic" w:hAnsi="Century Gothic"/>
          <w:i/>
          <w:iCs/>
          <w:lang w:val="en-ZA"/>
        </w:rPr>
        <w:t>R</w:t>
      </w:r>
      <w:r w:rsidR="00AD0316">
        <w:rPr>
          <w:rFonts w:ascii="Century Gothic" w:hAnsi="Century Gothic"/>
          <w:i/>
          <w:iCs/>
          <w:lang w:val="en-ZA"/>
        </w:rPr>
        <w:t>e:  Acknowledgement of Debt”</w:t>
      </w:r>
      <w:r w:rsidRPr="004F0B69">
        <w:rPr>
          <w:rFonts w:ascii="Century Gothic" w:hAnsi="Century Gothic"/>
          <w:lang w:val="en-ZA"/>
        </w:rPr>
        <w:t xml:space="preserve"> does not constitute “</w:t>
      </w:r>
      <w:r w:rsidRPr="004F0B69">
        <w:rPr>
          <w:rFonts w:ascii="Century Gothic" w:hAnsi="Century Gothic"/>
          <w:i/>
          <w:iCs/>
          <w:lang w:val="en-ZA"/>
        </w:rPr>
        <w:t>an acknowledgement of liability”</w:t>
      </w:r>
      <w:r w:rsidRPr="004F0B69">
        <w:rPr>
          <w:rFonts w:ascii="Century Gothic" w:hAnsi="Century Gothic"/>
          <w:lang w:val="en-ZA"/>
        </w:rPr>
        <w:t xml:space="preserve"> as contemplated by section 14 of the Prescription Act, as A</w:t>
      </w:r>
      <w:r w:rsidR="002E0C75">
        <w:rPr>
          <w:rFonts w:ascii="Century Gothic" w:hAnsi="Century Gothic"/>
          <w:lang w:val="en-ZA"/>
        </w:rPr>
        <w:t>ndrè</w:t>
      </w:r>
      <w:r w:rsidRPr="004F0B69">
        <w:rPr>
          <w:rFonts w:ascii="Century Gothic" w:hAnsi="Century Gothic"/>
          <w:lang w:val="en-ZA"/>
        </w:rPr>
        <w:t xml:space="preserve"> Pretorius does not work for, nor is a director of, </w:t>
      </w:r>
      <w:proofErr w:type="spellStart"/>
      <w:r w:rsidR="00D26F36">
        <w:rPr>
          <w:rFonts w:ascii="Century Gothic" w:hAnsi="Century Gothic"/>
          <w:lang w:val="en-ZA"/>
        </w:rPr>
        <w:t>Bluecentrix</w:t>
      </w:r>
      <w:proofErr w:type="spellEnd"/>
      <w:r w:rsidRPr="004F0B69">
        <w:rPr>
          <w:rFonts w:ascii="Century Gothic" w:hAnsi="Century Gothic"/>
          <w:lang w:val="en-ZA"/>
        </w:rPr>
        <w:t>, but is</w:t>
      </w:r>
      <w:r w:rsidR="00D160F9">
        <w:rPr>
          <w:rFonts w:ascii="Century Gothic" w:hAnsi="Century Gothic"/>
          <w:lang w:val="en-ZA"/>
        </w:rPr>
        <w:t>, in fact,</w:t>
      </w:r>
      <w:r w:rsidRPr="004F0B69">
        <w:rPr>
          <w:rFonts w:ascii="Century Gothic" w:hAnsi="Century Gothic"/>
          <w:lang w:val="en-ZA"/>
        </w:rPr>
        <w:t xml:space="preserve"> the sole director of a different company with the name </w:t>
      </w:r>
      <w:proofErr w:type="spellStart"/>
      <w:r w:rsidRPr="004F0B69">
        <w:rPr>
          <w:rFonts w:ascii="Century Gothic" w:hAnsi="Century Gothic"/>
          <w:lang w:val="en-ZA"/>
        </w:rPr>
        <w:t>S</w:t>
      </w:r>
      <w:r w:rsidR="008F1149">
        <w:rPr>
          <w:rFonts w:ascii="Century Gothic" w:hAnsi="Century Gothic"/>
          <w:lang w:val="en-ZA"/>
        </w:rPr>
        <w:t>martswitch</w:t>
      </w:r>
      <w:proofErr w:type="spellEnd"/>
      <w:r w:rsidRPr="004F0B69">
        <w:rPr>
          <w:rFonts w:ascii="Century Gothic" w:hAnsi="Century Gothic"/>
          <w:lang w:val="en-ZA"/>
        </w:rPr>
        <w:t xml:space="preserve"> (Pty) Ltd.  </w:t>
      </w:r>
      <w:r w:rsidR="00D26F36">
        <w:rPr>
          <w:rFonts w:ascii="Century Gothic" w:hAnsi="Century Gothic"/>
          <w:lang w:val="en-ZA"/>
        </w:rPr>
        <w:t>Bluecentrix</w:t>
      </w:r>
      <w:r w:rsidRPr="004F0B69">
        <w:rPr>
          <w:rFonts w:ascii="Century Gothic" w:hAnsi="Century Gothic"/>
          <w:lang w:val="en-ZA"/>
        </w:rPr>
        <w:t xml:space="preserve"> invited this court to find that</w:t>
      </w:r>
      <w:r w:rsidR="00D26F36">
        <w:rPr>
          <w:rFonts w:ascii="Century Gothic" w:hAnsi="Century Gothic"/>
          <w:lang w:val="en-ZA"/>
        </w:rPr>
        <w:t xml:space="preserve"> DFA’s</w:t>
      </w:r>
      <w:r w:rsidRPr="004F0B69">
        <w:rPr>
          <w:rFonts w:ascii="Century Gothic" w:hAnsi="Century Gothic"/>
          <w:lang w:val="en-ZA"/>
        </w:rPr>
        <w:t xml:space="preserve"> contentions regarding Pretorius’ authority to acknowledge liability on the part of the </w:t>
      </w:r>
      <w:r w:rsidR="00D26F36">
        <w:rPr>
          <w:rFonts w:ascii="Century Gothic" w:hAnsi="Century Gothic"/>
          <w:lang w:val="en-ZA"/>
        </w:rPr>
        <w:t>Bluecentrix</w:t>
      </w:r>
      <w:r w:rsidR="00D26F36" w:rsidRPr="004F0B69">
        <w:rPr>
          <w:rFonts w:ascii="Century Gothic" w:hAnsi="Century Gothic"/>
          <w:lang w:val="en-ZA"/>
        </w:rPr>
        <w:t xml:space="preserve"> </w:t>
      </w:r>
      <w:r w:rsidRPr="004F0B69">
        <w:rPr>
          <w:rFonts w:ascii="Century Gothic" w:hAnsi="Century Gothic"/>
          <w:lang w:val="en-ZA"/>
        </w:rPr>
        <w:t xml:space="preserve">ought to be rejected upon application of the </w:t>
      </w:r>
      <w:r w:rsidRPr="004F0B69">
        <w:rPr>
          <w:rFonts w:ascii="Century Gothic" w:hAnsi="Century Gothic"/>
          <w:b/>
          <w:bCs/>
          <w:i/>
          <w:iCs/>
          <w:lang w:val="en-ZA"/>
        </w:rPr>
        <w:t>Plascon – Evans</w:t>
      </w:r>
      <w:r w:rsidRPr="004F0B69">
        <w:rPr>
          <w:rFonts w:ascii="Century Gothic" w:hAnsi="Century Gothic"/>
          <w:lang w:val="en-ZA"/>
        </w:rPr>
        <w:t xml:space="preserve"> </w:t>
      </w:r>
      <w:r w:rsidR="005C6167" w:rsidRPr="006C2A20">
        <w:rPr>
          <w:rFonts w:ascii="Century Gothic" w:hAnsi="Century Gothic"/>
          <w:lang w:val="en-ZA"/>
        </w:rPr>
        <w:t>test</w:t>
      </w:r>
      <w:r w:rsidRPr="004F0B69">
        <w:rPr>
          <w:rFonts w:ascii="Century Gothic" w:hAnsi="Century Gothic"/>
          <w:lang w:val="en-ZA"/>
        </w:rPr>
        <w:t xml:space="preserve">.  I disagree. </w:t>
      </w:r>
      <w:r w:rsidR="00D26F36">
        <w:rPr>
          <w:rFonts w:ascii="Century Gothic" w:hAnsi="Century Gothic"/>
          <w:lang w:val="en-ZA"/>
        </w:rPr>
        <w:t>Bluecentrix</w:t>
      </w:r>
      <w:r w:rsidRPr="004F0B69">
        <w:rPr>
          <w:rFonts w:ascii="Century Gothic" w:hAnsi="Century Gothic"/>
          <w:lang w:val="en-ZA"/>
        </w:rPr>
        <w:t>’s version in respect of the authority of both Pretorius and Mau van der Mescht is not only far-fetched but borders on disingenuity.  I have de</w:t>
      </w:r>
      <w:r w:rsidR="00F54DF9">
        <w:rPr>
          <w:rFonts w:ascii="Century Gothic" w:hAnsi="Century Gothic"/>
          <w:lang w:val="en-ZA"/>
        </w:rPr>
        <w:t>a</w:t>
      </w:r>
      <w:r w:rsidRPr="004F0B69">
        <w:rPr>
          <w:rFonts w:ascii="Century Gothic" w:hAnsi="Century Gothic"/>
          <w:lang w:val="en-ZA"/>
        </w:rPr>
        <w:t xml:space="preserve">lt with this feature of the respondent’s case hereinabove.  </w:t>
      </w:r>
    </w:p>
    <w:p w14:paraId="56C0EC95" w14:textId="77777777" w:rsidR="004F0B69" w:rsidRPr="005E288D" w:rsidRDefault="004F0B69" w:rsidP="004F0B69">
      <w:pPr>
        <w:pStyle w:val="ListParagraph"/>
        <w:spacing w:line="480" w:lineRule="auto"/>
        <w:ind w:left="567"/>
        <w:jc w:val="both"/>
        <w:rPr>
          <w:rFonts w:ascii="Century Gothic" w:hAnsi="Century Gothic"/>
          <w:i/>
          <w:iCs/>
          <w:u w:val="single"/>
          <w:lang w:val="en-ZA"/>
        </w:rPr>
      </w:pPr>
    </w:p>
    <w:p w14:paraId="4240F3A2" w14:textId="4294FFE3" w:rsidR="004F0B69" w:rsidRPr="00D22B89" w:rsidRDefault="004F0B69" w:rsidP="00D22B89">
      <w:pPr>
        <w:spacing w:line="480" w:lineRule="auto"/>
        <w:ind w:left="567" w:hanging="567"/>
        <w:jc w:val="both"/>
        <w:rPr>
          <w:rFonts w:ascii="Century Gothic" w:hAnsi="Century Gothic"/>
          <w:lang w:val="en-ZA"/>
        </w:rPr>
      </w:pPr>
      <w:r>
        <w:rPr>
          <w:rFonts w:ascii="Century Gothic" w:hAnsi="Century Gothic"/>
          <w:lang w:val="en-ZA"/>
        </w:rPr>
        <w:t>[</w:t>
      </w:r>
      <w:r w:rsidR="000A366B">
        <w:rPr>
          <w:rFonts w:ascii="Century Gothic" w:hAnsi="Century Gothic"/>
          <w:lang w:val="en-ZA"/>
        </w:rPr>
        <w:t>33</w:t>
      </w:r>
      <w:r>
        <w:rPr>
          <w:rFonts w:ascii="Century Gothic" w:hAnsi="Century Gothic"/>
          <w:lang w:val="en-ZA"/>
        </w:rPr>
        <w:t>]</w:t>
      </w:r>
      <w:r>
        <w:rPr>
          <w:rFonts w:ascii="Century Gothic" w:hAnsi="Century Gothic"/>
          <w:lang w:val="en-ZA"/>
        </w:rPr>
        <w:tab/>
      </w:r>
      <w:r w:rsidRPr="004F0B69">
        <w:rPr>
          <w:rFonts w:ascii="Century Gothic" w:hAnsi="Century Gothic"/>
          <w:lang w:val="en-ZA"/>
        </w:rPr>
        <w:t xml:space="preserve">This court invited both the counsel for </w:t>
      </w:r>
      <w:r w:rsidR="00D26F36">
        <w:rPr>
          <w:rFonts w:ascii="Century Gothic" w:hAnsi="Century Gothic"/>
          <w:lang w:val="en-ZA"/>
        </w:rPr>
        <w:t>DFA</w:t>
      </w:r>
      <w:r w:rsidRPr="004F0B69">
        <w:rPr>
          <w:rFonts w:ascii="Century Gothic" w:hAnsi="Century Gothic"/>
          <w:lang w:val="en-ZA"/>
        </w:rPr>
        <w:t xml:space="preserve"> and </w:t>
      </w:r>
      <w:r w:rsidR="00D26F36">
        <w:rPr>
          <w:rFonts w:ascii="Century Gothic" w:hAnsi="Century Gothic"/>
          <w:lang w:val="en-ZA"/>
        </w:rPr>
        <w:t>Bluecentrix</w:t>
      </w:r>
      <w:r w:rsidRPr="004F0B69">
        <w:rPr>
          <w:rFonts w:ascii="Century Gothic" w:hAnsi="Century Gothic"/>
          <w:lang w:val="en-ZA"/>
        </w:rPr>
        <w:t xml:space="preserve"> to make submissions on the narrow issue regarding </w:t>
      </w:r>
      <w:r w:rsidR="00455649">
        <w:rPr>
          <w:rFonts w:ascii="Century Gothic" w:hAnsi="Century Gothic"/>
          <w:lang w:val="en-ZA"/>
        </w:rPr>
        <w:t xml:space="preserve">the </w:t>
      </w:r>
      <w:r w:rsidRPr="004F0B69">
        <w:rPr>
          <w:rFonts w:ascii="Century Gothic" w:hAnsi="Century Gothic"/>
          <w:lang w:val="en-ZA"/>
        </w:rPr>
        <w:t xml:space="preserve">interruption of prescription and whether the string of emails between </w:t>
      </w:r>
      <w:r w:rsidR="00D26F36">
        <w:rPr>
          <w:rFonts w:ascii="Century Gothic" w:hAnsi="Century Gothic"/>
          <w:lang w:val="en-ZA"/>
        </w:rPr>
        <w:t>DFA</w:t>
      </w:r>
      <w:r w:rsidRPr="004F0B69">
        <w:rPr>
          <w:rFonts w:ascii="Century Gothic" w:hAnsi="Century Gothic"/>
          <w:lang w:val="en-ZA"/>
        </w:rPr>
        <w:t xml:space="preserve"> and </w:t>
      </w:r>
      <w:r w:rsidR="00D26F36">
        <w:rPr>
          <w:rFonts w:ascii="Century Gothic" w:hAnsi="Century Gothic"/>
          <w:lang w:val="en-ZA"/>
        </w:rPr>
        <w:t>Bluecentrix</w:t>
      </w:r>
      <w:r w:rsidR="00D26F36" w:rsidRPr="004F0B69">
        <w:rPr>
          <w:rFonts w:ascii="Century Gothic" w:hAnsi="Century Gothic"/>
          <w:lang w:val="en-ZA"/>
        </w:rPr>
        <w:t xml:space="preserve"> </w:t>
      </w:r>
      <w:r w:rsidRPr="004F0B69">
        <w:rPr>
          <w:rFonts w:ascii="Century Gothic" w:hAnsi="Century Gothic"/>
          <w:lang w:val="en-ZA"/>
        </w:rPr>
        <w:t xml:space="preserve">that began on </w:t>
      </w:r>
      <w:r w:rsidRPr="004F0B69">
        <w:rPr>
          <w:rFonts w:ascii="Century Gothic" w:hAnsi="Century Gothic"/>
          <w:b/>
          <w:bCs/>
          <w:lang w:val="en-ZA"/>
        </w:rPr>
        <w:t>14 December 2020</w:t>
      </w:r>
      <w:r w:rsidRPr="004F0B69">
        <w:rPr>
          <w:rFonts w:ascii="Century Gothic" w:hAnsi="Century Gothic"/>
          <w:lang w:val="en-ZA"/>
        </w:rPr>
        <w:t xml:space="preserve"> and ended on </w:t>
      </w:r>
      <w:r w:rsidRPr="004F0B69">
        <w:rPr>
          <w:rFonts w:ascii="Century Gothic" w:hAnsi="Century Gothic"/>
          <w:b/>
          <w:bCs/>
          <w:lang w:val="en-ZA"/>
        </w:rPr>
        <w:t xml:space="preserve">4 May </w:t>
      </w:r>
      <w:r w:rsidR="00763146">
        <w:rPr>
          <w:rFonts w:ascii="Century Gothic" w:hAnsi="Century Gothic"/>
          <w:b/>
          <w:bCs/>
          <w:lang w:val="en-ZA"/>
        </w:rPr>
        <w:t>2021</w:t>
      </w:r>
      <w:r>
        <w:rPr>
          <w:rStyle w:val="FootnoteReference"/>
          <w:rFonts w:ascii="Century Gothic" w:hAnsi="Century Gothic"/>
          <w:b/>
          <w:bCs/>
          <w:lang w:val="en-ZA"/>
        </w:rPr>
        <w:footnoteReference w:id="7"/>
      </w:r>
      <w:r w:rsidRPr="004F0B69">
        <w:rPr>
          <w:rFonts w:ascii="Century Gothic" w:hAnsi="Century Gothic"/>
          <w:b/>
          <w:bCs/>
          <w:lang w:val="en-ZA"/>
        </w:rPr>
        <w:t xml:space="preserve">, </w:t>
      </w:r>
      <w:r w:rsidRPr="004F0B69">
        <w:rPr>
          <w:rFonts w:ascii="Century Gothic" w:hAnsi="Century Gothic"/>
          <w:lang w:val="en-ZA"/>
        </w:rPr>
        <w:t xml:space="preserve">should all be read together, or whether the court may only take into account those emails that fell within </w:t>
      </w:r>
      <w:r w:rsidR="00D160F9">
        <w:rPr>
          <w:rFonts w:ascii="Century Gothic" w:hAnsi="Century Gothic"/>
          <w:lang w:val="en-ZA"/>
        </w:rPr>
        <w:t>three years</w:t>
      </w:r>
      <w:r w:rsidRPr="004F0B69">
        <w:rPr>
          <w:rFonts w:ascii="Century Gothic" w:hAnsi="Century Gothic"/>
          <w:lang w:val="en-ZA"/>
        </w:rPr>
        <w:t xml:space="preserve"> from the date of the hearing, for purposes of determining whether prescription was interrupted. </w:t>
      </w:r>
    </w:p>
    <w:p w14:paraId="50CF7015" w14:textId="77777777" w:rsidR="004F0B69" w:rsidRPr="006B4FBC" w:rsidRDefault="004F0B69" w:rsidP="004F0B69">
      <w:pPr>
        <w:pStyle w:val="ListParagraph"/>
        <w:spacing w:line="480" w:lineRule="auto"/>
        <w:rPr>
          <w:rFonts w:ascii="Century Gothic" w:hAnsi="Century Gothic"/>
          <w:i/>
          <w:iCs/>
          <w:u w:val="single"/>
          <w:lang w:val="en-ZA"/>
        </w:rPr>
      </w:pPr>
    </w:p>
    <w:p w14:paraId="410BB47D" w14:textId="7D05DDBC" w:rsidR="004F0B69" w:rsidRPr="004F0B69" w:rsidRDefault="004F0B69" w:rsidP="004F0B69">
      <w:pPr>
        <w:spacing w:line="480" w:lineRule="auto"/>
        <w:ind w:left="567" w:hanging="567"/>
        <w:jc w:val="both"/>
        <w:rPr>
          <w:rFonts w:ascii="Century Gothic" w:hAnsi="Century Gothic"/>
          <w:i/>
          <w:iCs/>
          <w:u w:val="single"/>
          <w:lang w:val="en-ZA"/>
        </w:rPr>
      </w:pPr>
      <w:r>
        <w:rPr>
          <w:rFonts w:ascii="Century Gothic" w:hAnsi="Century Gothic"/>
          <w:lang w:val="en-ZA"/>
        </w:rPr>
        <w:t>[</w:t>
      </w:r>
      <w:r w:rsidR="000A366B">
        <w:rPr>
          <w:rFonts w:ascii="Century Gothic" w:hAnsi="Century Gothic"/>
          <w:lang w:val="en-ZA"/>
        </w:rPr>
        <w:t>34</w:t>
      </w:r>
      <w:r>
        <w:rPr>
          <w:rFonts w:ascii="Century Gothic" w:hAnsi="Century Gothic"/>
          <w:lang w:val="en-ZA"/>
        </w:rPr>
        <w:t>]</w:t>
      </w:r>
      <w:r>
        <w:rPr>
          <w:rFonts w:ascii="Century Gothic" w:hAnsi="Century Gothic"/>
          <w:lang w:val="en-ZA"/>
        </w:rPr>
        <w:tab/>
      </w:r>
      <w:r w:rsidRPr="004F0B69">
        <w:rPr>
          <w:rFonts w:ascii="Century Gothic" w:hAnsi="Century Gothic"/>
          <w:lang w:val="en-ZA"/>
        </w:rPr>
        <w:t xml:space="preserve">On behalf of </w:t>
      </w:r>
      <w:r w:rsidR="00D26F36">
        <w:rPr>
          <w:rFonts w:ascii="Century Gothic" w:hAnsi="Century Gothic"/>
          <w:lang w:val="en-ZA"/>
        </w:rPr>
        <w:t>Bluecentrix</w:t>
      </w:r>
      <w:r w:rsidRPr="004F0B69">
        <w:rPr>
          <w:rFonts w:ascii="Century Gothic" w:hAnsi="Century Gothic"/>
          <w:lang w:val="en-ZA"/>
        </w:rPr>
        <w:t>, it was argued that Pretorius</w:t>
      </w:r>
      <w:r w:rsidR="00D22B89">
        <w:rPr>
          <w:rFonts w:ascii="Century Gothic" w:hAnsi="Century Gothic"/>
          <w:lang w:val="en-ZA"/>
        </w:rPr>
        <w:t xml:space="preserve">’ </w:t>
      </w:r>
      <w:r w:rsidRPr="004F0B69">
        <w:rPr>
          <w:rFonts w:ascii="Century Gothic" w:hAnsi="Century Gothic"/>
          <w:lang w:val="en-ZA"/>
        </w:rPr>
        <w:t xml:space="preserve">email of </w:t>
      </w:r>
      <w:r w:rsidR="00DB6D5A">
        <w:rPr>
          <w:rFonts w:ascii="Century Gothic" w:hAnsi="Century Gothic"/>
          <w:b/>
          <w:bCs/>
          <w:lang w:val="en-ZA"/>
        </w:rPr>
        <w:t>4 May</w:t>
      </w:r>
      <w:r w:rsidRPr="004F0B69">
        <w:rPr>
          <w:rFonts w:ascii="Century Gothic" w:hAnsi="Century Gothic"/>
          <w:b/>
          <w:bCs/>
          <w:lang w:val="en-ZA"/>
        </w:rPr>
        <w:t xml:space="preserve"> 2021</w:t>
      </w:r>
      <w:r w:rsidRPr="004F0B69">
        <w:rPr>
          <w:rFonts w:ascii="Century Gothic" w:hAnsi="Century Gothic"/>
          <w:lang w:val="en-ZA"/>
        </w:rPr>
        <w:t xml:space="preserve"> did not by itself interrupt prescription as the interruption of prescription ought to occur at a specific point in time and that it is not a “</w:t>
      </w:r>
      <w:r w:rsidRPr="004F0B69">
        <w:rPr>
          <w:rFonts w:ascii="Century Gothic" w:hAnsi="Century Gothic"/>
          <w:i/>
          <w:iCs/>
          <w:lang w:val="en-ZA"/>
        </w:rPr>
        <w:t>cumulative act”</w:t>
      </w:r>
      <w:r w:rsidRPr="004F0B69">
        <w:rPr>
          <w:rFonts w:ascii="Century Gothic" w:hAnsi="Century Gothic"/>
          <w:lang w:val="en-ZA"/>
        </w:rPr>
        <w:t>.</w:t>
      </w:r>
    </w:p>
    <w:p w14:paraId="7917F799" w14:textId="77777777" w:rsidR="004F0B69" w:rsidRPr="004F2A09" w:rsidRDefault="004F0B69" w:rsidP="004F0B69">
      <w:pPr>
        <w:pStyle w:val="ListParagraph"/>
        <w:spacing w:line="480" w:lineRule="auto"/>
        <w:rPr>
          <w:rFonts w:ascii="Century Gothic" w:hAnsi="Century Gothic"/>
          <w:lang w:val="en-ZA"/>
        </w:rPr>
      </w:pPr>
    </w:p>
    <w:p w14:paraId="2782A0C5" w14:textId="2D77C755" w:rsidR="004F0B69" w:rsidRPr="004F0B69" w:rsidRDefault="004F0B69" w:rsidP="004F0B69">
      <w:pPr>
        <w:spacing w:line="480" w:lineRule="auto"/>
        <w:ind w:left="567" w:hanging="567"/>
        <w:jc w:val="both"/>
        <w:rPr>
          <w:rFonts w:ascii="Century Gothic" w:hAnsi="Century Gothic"/>
          <w:i/>
          <w:iCs/>
          <w:u w:val="single"/>
          <w:lang w:val="en-ZA"/>
        </w:rPr>
      </w:pPr>
      <w:r>
        <w:rPr>
          <w:rFonts w:ascii="Century Gothic" w:hAnsi="Century Gothic"/>
          <w:lang w:val="en-ZA"/>
        </w:rPr>
        <w:t>[</w:t>
      </w:r>
      <w:r w:rsidR="000A366B">
        <w:rPr>
          <w:rFonts w:ascii="Century Gothic" w:hAnsi="Century Gothic"/>
          <w:lang w:val="en-ZA"/>
        </w:rPr>
        <w:t>35</w:t>
      </w:r>
      <w:r>
        <w:rPr>
          <w:rFonts w:ascii="Century Gothic" w:hAnsi="Century Gothic"/>
          <w:lang w:val="en-ZA"/>
        </w:rPr>
        <w:t>]</w:t>
      </w:r>
      <w:r>
        <w:rPr>
          <w:rFonts w:ascii="Century Gothic" w:hAnsi="Century Gothic"/>
          <w:lang w:val="en-ZA"/>
        </w:rPr>
        <w:tab/>
      </w:r>
      <w:r w:rsidR="00D26F36">
        <w:rPr>
          <w:rFonts w:ascii="Century Gothic" w:hAnsi="Century Gothic"/>
          <w:lang w:val="en-ZA"/>
        </w:rPr>
        <w:t>Bluecentrix</w:t>
      </w:r>
      <w:r w:rsidRPr="004F0B69">
        <w:rPr>
          <w:rFonts w:ascii="Century Gothic" w:hAnsi="Century Gothic"/>
          <w:lang w:val="en-ZA"/>
        </w:rPr>
        <w:t>’s argument loses sight of section 14(1) of the Prescription Act, which determines that the running of prescription “</w:t>
      </w:r>
      <w:r w:rsidRPr="004F0B69">
        <w:rPr>
          <w:rFonts w:ascii="Century Gothic" w:hAnsi="Century Gothic"/>
          <w:i/>
          <w:iCs/>
          <w:lang w:val="en-ZA"/>
        </w:rPr>
        <w:t xml:space="preserve">shall be interrupted by an express or </w:t>
      </w:r>
      <w:r w:rsidRPr="004F0B69">
        <w:rPr>
          <w:rFonts w:ascii="Century Gothic" w:hAnsi="Century Gothic"/>
          <w:i/>
          <w:iCs/>
          <w:u w:val="single"/>
          <w:lang w:val="en-ZA"/>
        </w:rPr>
        <w:t>tacit</w:t>
      </w:r>
      <w:r w:rsidRPr="004F0B69">
        <w:rPr>
          <w:rFonts w:ascii="Century Gothic" w:hAnsi="Century Gothic"/>
          <w:i/>
          <w:iCs/>
          <w:lang w:val="en-ZA"/>
        </w:rPr>
        <w:t xml:space="preserve"> acknowledgement of liability by the debtor.”</w:t>
      </w:r>
      <w:r w:rsidRPr="004F0B69">
        <w:rPr>
          <w:rFonts w:ascii="Century Gothic" w:hAnsi="Century Gothic"/>
          <w:lang w:val="en-ZA"/>
        </w:rPr>
        <w:t xml:space="preserve"> (emphasis provided)</w:t>
      </w:r>
    </w:p>
    <w:p w14:paraId="595E6687" w14:textId="77777777" w:rsidR="004F0B69" w:rsidRPr="001C1250" w:rsidRDefault="004F0B69" w:rsidP="004F0B69">
      <w:pPr>
        <w:pStyle w:val="ListParagraph"/>
        <w:spacing w:line="480" w:lineRule="auto"/>
        <w:rPr>
          <w:rFonts w:ascii="Century Gothic" w:hAnsi="Century Gothic"/>
          <w:i/>
          <w:iCs/>
          <w:u w:val="single"/>
          <w:lang w:val="en-ZA"/>
        </w:rPr>
      </w:pPr>
    </w:p>
    <w:p w14:paraId="15903564" w14:textId="3DD2B7FE" w:rsidR="004F0B69" w:rsidRPr="004F0B69" w:rsidRDefault="004F0B69" w:rsidP="004F0B69">
      <w:pPr>
        <w:spacing w:line="480" w:lineRule="auto"/>
        <w:ind w:left="567" w:hanging="567"/>
        <w:jc w:val="both"/>
        <w:rPr>
          <w:rFonts w:ascii="Century Gothic" w:hAnsi="Century Gothic"/>
          <w:i/>
          <w:iCs/>
          <w:u w:val="single"/>
          <w:lang w:val="en-ZA"/>
        </w:rPr>
      </w:pPr>
      <w:r>
        <w:rPr>
          <w:rFonts w:ascii="Century Gothic" w:hAnsi="Century Gothic"/>
          <w:lang w:val="en-ZA"/>
        </w:rPr>
        <w:t>[</w:t>
      </w:r>
      <w:r w:rsidR="000A366B">
        <w:rPr>
          <w:rFonts w:ascii="Century Gothic" w:hAnsi="Century Gothic"/>
          <w:lang w:val="en-ZA"/>
        </w:rPr>
        <w:t>36</w:t>
      </w:r>
      <w:r>
        <w:rPr>
          <w:rFonts w:ascii="Century Gothic" w:hAnsi="Century Gothic"/>
          <w:lang w:val="en-ZA"/>
        </w:rPr>
        <w:t>]</w:t>
      </w:r>
      <w:r>
        <w:rPr>
          <w:rFonts w:ascii="Century Gothic" w:hAnsi="Century Gothic"/>
          <w:lang w:val="en-ZA"/>
        </w:rPr>
        <w:tab/>
      </w:r>
      <w:r w:rsidRPr="004F0B69">
        <w:rPr>
          <w:rFonts w:ascii="Century Gothic" w:hAnsi="Century Gothic"/>
          <w:lang w:val="en-ZA"/>
        </w:rPr>
        <w:t xml:space="preserve">The following extract from </w:t>
      </w:r>
      <w:r w:rsidRPr="004F0B69">
        <w:rPr>
          <w:rFonts w:ascii="Century Gothic" w:hAnsi="Century Gothic"/>
          <w:b/>
          <w:bCs/>
          <w:i/>
          <w:iCs/>
          <w:lang w:val="en-ZA"/>
        </w:rPr>
        <w:t>Cape Town Municipality vs Allie N.O.</w:t>
      </w:r>
      <w:r>
        <w:rPr>
          <w:rStyle w:val="FootnoteReference"/>
          <w:rFonts w:ascii="Century Gothic" w:hAnsi="Century Gothic"/>
          <w:b/>
          <w:bCs/>
          <w:i/>
          <w:iCs/>
          <w:lang w:val="en-ZA"/>
        </w:rPr>
        <w:footnoteReference w:id="8"/>
      </w:r>
      <w:r w:rsidRPr="004F0B69">
        <w:rPr>
          <w:rFonts w:ascii="Century Gothic" w:hAnsi="Century Gothic"/>
          <w:b/>
          <w:bCs/>
          <w:lang w:val="en-ZA"/>
        </w:rPr>
        <w:t xml:space="preserve"> </w:t>
      </w:r>
      <w:r w:rsidRPr="004F0B69">
        <w:rPr>
          <w:rFonts w:ascii="Century Gothic" w:hAnsi="Century Gothic"/>
          <w:lang w:val="en-ZA"/>
        </w:rPr>
        <w:t>which was quoted with the approval by the SCA</w:t>
      </w:r>
      <w:r>
        <w:rPr>
          <w:rStyle w:val="FootnoteReference"/>
          <w:rFonts w:ascii="Century Gothic" w:hAnsi="Century Gothic"/>
          <w:lang w:val="en-ZA"/>
        </w:rPr>
        <w:footnoteReference w:id="9"/>
      </w:r>
      <w:r w:rsidRPr="004F0B69">
        <w:rPr>
          <w:rFonts w:ascii="Century Gothic" w:hAnsi="Century Gothic"/>
          <w:lang w:val="en-ZA"/>
        </w:rPr>
        <w:t>, elucidates the meaning of the word “</w:t>
      </w:r>
      <w:r w:rsidRPr="004F0B69">
        <w:rPr>
          <w:rFonts w:ascii="Century Gothic" w:hAnsi="Century Gothic"/>
          <w:i/>
          <w:iCs/>
          <w:lang w:val="en-ZA"/>
        </w:rPr>
        <w:t>tacit”</w:t>
      </w:r>
      <w:r w:rsidRPr="004F0B69">
        <w:rPr>
          <w:rFonts w:ascii="Century Gothic" w:hAnsi="Century Gothic"/>
          <w:lang w:val="en-ZA"/>
        </w:rPr>
        <w:t xml:space="preserve"> in section 14 of the Prescription Act:</w:t>
      </w:r>
    </w:p>
    <w:p w14:paraId="585D09D4" w14:textId="77777777" w:rsidR="004F0B69" w:rsidRPr="0086134B" w:rsidRDefault="004F0B69" w:rsidP="004F0B69">
      <w:pPr>
        <w:pStyle w:val="ListParagraph"/>
        <w:spacing w:line="480" w:lineRule="auto"/>
        <w:rPr>
          <w:rFonts w:ascii="Century Gothic" w:hAnsi="Century Gothic"/>
          <w:lang w:val="en-ZA"/>
        </w:rPr>
      </w:pPr>
    </w:p>
    <w:p w14:paraId="044EF551" w14:textId="612DFBEA" w:rsidR="004F0B69" w:rsidRPr="00A81F97" w:rsidRDefault="004F0B69" w:rsidP="004F0B69">
      <w:pPr>
        <w:pStyle w:val="ListParagraph"/>
        <w:spacing w:line="480" w:lineRule="auto"/>
        <w:ind w:left="567"/>
        <w:jc w:val="both"/>
        <w:rPr>
          <w:rFonts w:ascii="Century Gothic" w:hAnsi="Century Gothic"/>
          <w:i/>
          <w:iCs/>
          <w:u w:val="single"/>
          <w:lang w:val="en-ZA"/>
        </w:rPr>
      </w:pPr>
      <w:r>
        <w:rPr>
          <w:rFonts w:ascii="Century Gothic" w:hAnsi="Century Gothic"/>
          <w:lang w:val="en-ZA"/>
        </w:rPr>
        <w:t>“</w:t>
      </w:r>
      <w:r w:rsidRPr="00A81F97">
        <w:rPr>
          <w:rFonts w:ascii="Century Gothic" w:hAnsi="Century Gothic"/>
          <w:i/>
          <w:iCs/>
          <w:lang w:val="en-ZA"/>
        </w:rPr>
        <w:t>Secondly, full weight must be given to the Legislature</w:t>
      </w:r>
      <w:r w:rsidR="00EB22EC" w:rsidRPr="00A81F97">
        <w:rPr>
          <w:rFonts w:ascii="Century Gothic" w:hAnsi="Century Gothic"/>
          <w:i/>
          <w:iCs/>
          <w:lang w:val="en-ZA"/>
        </w:rPr>
        <w:t>’</w:t>
      </w:r>
      <w:r w:rsidRPr="00A81F97">
        <w:rPr>
          <w:rFonts w:ascii="Century Gothic" w:hAnsi="Century Gothic"/>
          <w:i/>
          <w:iCs/>
          <w:lang w:val="en-ZA"/>
        </w:rPr>
        <w:t xml:space="preserve">s use of the word “tacit” in S14(1) of the Act.  In other words, one must have regard not only to the debtor’s word but also to his conduct, in one’s quest for an acknowledgement of liability. That, in turn, opens the door to various possibilities.  One may have a case in which the act of the debtor which is said to be an acknowledgement of liability is plain and unambiguous.  His prior conduct would then be academic. On the other hand, one may </w:t>
      </w:r>
      <w:r w:rsidRPr="00A81F97">
        <w:rPr>
          <w:rFonts w:ascii="Century Gothic" w:hAnsi="Century Gothic"/>
          <w:i/>
          <w:iCs/>
          <w:lang w:val="en-ZA"/>
        </w:rPr>
        <w:lastRenderedPageBreak/>
        <w:t xml:space="preserve">have a case where the particular act or conduct which is said to be an acknowledgement of liability is not as plain and unambiguous. In that event, I see no reason why it should be regarded in </w:t>
      </w:r>
      <w:r w:rsidR="00771908" w:rsidRPr="00A81F97">
        <w:rPr>
          <w:rFonts w:ascii="Century Gothic" w:hAnsi="Century Gothic"/>
          <w:i/>
          <w:iCs/>
          <w:lang w:val="en-ZA"/>
        </w:rPr>
        <w:t>vacuo</w:t>
      </w:r>
      <w:r w:rsidRPr="00A81F97">
        <w:rPr>
          <w:rFonts w:ascii="Century Gothic" w:hAnsi="Century Gothic"/>
          <w:i/>
          <w:iCs/>
          <w:lang w:val="en-ZA"/>
        </w:rPr>
        <w:t xml:space="preserve"> and without taking into account the conduct of the debtor which </w:t>
      </w:r>
      <w:r w:rsidR="00E345C5" w:rsidRPr="00A81F97">
        <w:rPr>
          <w:rFonts w:ascii="Century Gothic" w:hAnsi="Century Gothic"/>
          <w:i/>
          <w:iCs/>
          <w:lang w:val="en-ZA"/>
        </w:rPr>
        <w:t>preceded</w:t>
      </w:r>
      <w:r w:rsidRPr="00A81F97">
        <w:rPr>
          <w:rFonts w:ascii="Century Gothic" w:hAnsi="Century Gothic"/>
          <w:i/>
          <w:iCs/>
          <w:lang w:val="en-ZA"/>
        </w:rPr>
        <w:t xml:space="preserve"> it. If the preceding conduct </w:t>
      </w:r>
      <w:r w:rsidR="0032722A" w:rsidRPr="00A81F97">
        <w:rPr>
          <w:rFonts w:ascii="Century Gothic" w:hAnsi="Century Gothic"/>
          <w:i/>
          <w:iCs/>
          <w:lang w:val="en-ZA"/>
        </w:rPr>
        <w:t>throws</w:t>
      </w:r>
      <w:r w:rsidRPr="00A81F97">
        <w:rPr>
          <w:rFonts w:ascii="Century Gothic" w:hAnsi="Century Gothic"/>
          <w:i/>
          <w:iCs/>
          <w:lang w:val="en-ZA"/>
        </w:rPr>
        <w:t xml:space="preserve"> light upon the interpretation which should be accorded to the later act or conduct which is said to be an acknowledgement of liability, it would be wrong to insist upon the later act or conduct being viewed in isolation. In the end, of course, one must also be able to say when the acknowledgement of liability was made, for otherwise it would not be possible to say from what day prescription commenced to run afresh.</w:t>
      </w:r>
    </w:p>
    <w:p w14:paraId="6425DC18" w14:textId="77777777" w:rsidR="004F0B69" w:rsidRPr="00A81F97" w:rsidRDefault="004F0B69" w:rsidP="004F0B69">
      <w:pPr>
        <w:pStyle w:val="ListParagraph"/>
        <w:spacing w:line="480" w:lineRule="auto"/>
        <w:ind w:left="567"/>
        <w:jc w:val="both"/>
        <w:rPr>
          <w:rFonts w:ascii="Century Gothic" w:hAnsi="Century Gothic"/>
          <w:i/>
          <w:iCs/>
          <w:lang w:val="en-ZA"/>
        </w:rPr>
      </w:pPr>
    </w:p>
    <w:p w14:paraId="1B79835A" w14:textId="1DEB1DCC" w:rsidR="004F0B69" w:rsidRDefault="004F0B69" w:rsidP="004F0B69">
      <w:pPr>
        <w:pStyle w:val="ListParagraph"/>
        <w:spacing w:line="480" w:lineRule="auto"/>
        <w:ind w:left="567"/>
        <w:jc w:val="both"/>
        <w:rPr>
          <w:rFonts w:ascii="Century Gothic" w:hAnsi="Century Gothic"/>
          <w:lang w:val="en-ZA"/>
        </w:rPr>
      </w:pPr>
      <w:r w:rsidRPr="00A81F97">
        <w:rPr>
          <w:rFonts w:ascii="Century Gothic" w:hAnsi="Century Gothic"/>
          <w:i/>
          <w:iCs/>
          <w:lang w:val="en-ZA"/>
        </w:rPr>
        <w:t>Thirdly, the test is objective. What did the debtor</w:t>
      </w:r>
      <w:r w:rsidR="00CC224F" w:rsidRPr="00A81F97">
        <w:rPr>
          <w:rFonts w:ascii="Century Gothic" w:hAnsi="Century Gothic"/>
          <w:i/>
          <w:iCs/>
          <w:lang w:val="en-ZA"/>
        </w:rPr>
        <w:t>’</w:t>
      </w:r>
      <w:r w:rsidRPr="00A81F97">
        <w:rPr>
          <w:rFonts w:ascii="Century Gothic" w:hAnsi="Century Gothic"/>
          <w:i/>
          <w:iCs/>
          <w:lang w:val="en-ZA"/>
        </w:rPr>
        <w:t xml:space="preserve">s conduct convey outwardly?  I think that this must be so because the concept of a tacit acknowledgement of liability is irreconcilable with the debtor being permitted to negate or nullify the impression </w:t>
      </w:r>
      <w:r w:rsidR="00D160F9">
        <w:rPr>
          <w:rFonts w:ascii="Century Gothic" w:hAnsi="Century Gothic"/>
          <w:i/>
          <w:iCs/>
          <w:lang w:val="en-ZA"/>
        </w:rPr>
        <w:t>that</w:t>
      </w:r>
      <w:r w:rsidRPr="00A81F97">
        <w:rPr>
          <w:rFonts w:ascii="Century Gothic" w:hAnsi="Century Gothic"/>
          <w:i/>
          <w:iCs/>
          <w:lang w:val="en-ZA"/>
        </w:rPr>
        <w:t xml:space="preserve"> his outward conduct conveyed, by claiming ex post facto to have had a subjective intent which is at odds with his outward conduct……</w:t>
      </w:r>
      <w:r>
        <w:rPr>
          <w:rFonts w:ascii="Century Gothic" w:hAnsi="Century Gothic"/>
          <w:lang w:val="en-ZA"/>
        </w:rPr>
        <w:t>”</w:t>
      </w:r>
    </w:p>
    <w:p w14:paraId="1FB0C620" w14:textId="77777777" w:rsidR="004F0B69" w:rsidRPr="0083102E" w:rsidRDefault="004F0B69" w:rsidP="004F0B69">
      <w:pPr>
        <w:pStyle w:val="ListParagraph"/>
        <w:spacing w:line="480" w:lineRule="auto"/>
        <w:ind w:left="567"/>
        <w:jc w:val="both"/>
        <w:rPr>
          <w:rFonts w:ascii="Century Gothic" w:hAnsi="Century Gothic"/>
          <w:u w:val="single"/>
          <w:lang w:val="en-ZA"/>
        </w:rPr>
      </w:pPr>
    </w:p>
    <w:p w14:paraId="5BAD7677" w14:textId="5FE2E5A9" w:rsidR="004F0B69" w:rsidRPr="004F0B69" w:rsidRDefault="004F0B69" w:rsidP="004F0B69">
      <w:pPr>
        <w:spacing w:line="480" w:lineRule="auto"/>
        <w:ind w:left="567" w:hanging="567"/>
        <w:jc w:val="both"/>
        <w:rPr>
          <w:rFonts w:ascii="Century Gothic" w:hAnsi="Century Gothic"/>
          <w:i/>
          <w:iCs/>
          <w:u w:val="single"/>
          <w:lang w:val="en-ZA"/>
        </w:rPr>
      </w:pPr>
      <w:r>
        <w:rPr>
          <w:rFonts w:ascii="Century Gothic" w:hAnsi="Century Gothic"/>
          <w:lang w:val="en-ZA"/>
        </w:rPr>
        <w:t>[</w:t>
      </w:r>
      <w:r w:rsidR="0089710C">
        <w:rPr>
          <w:rFonts w:ascii="Century Gothic" w:hAnsi="Century Gothic"/>
          <w:lang w:val="en-ZA"/>
        </w:rPr>
        <w:t>3</w:t>
      </w:r>
      <w:r w:rsidR="000A366B">
        <w:rPr>
          <w:rFonts w:ascii="Century Gothic" w:hAnsi="Century Gothic"/>
          <w:lang w:val="en-ZA"/>
        </w:rPr>
        <w:t>7</w:t>
      </w:r>
      <w:r>
        <w:rPr>
          <w:rFonts w:ascii="Century Gothic" w:hAnsi="Century Gothic"/>
          <w:lang w:val="en-ZA"/>
        </w:rPr>
        <w:t>]</w:t>
      </w:r>
      <w:r>
        <w:rPr>
          <w:rFonts w:ascii="Century Gothic" w:hAnsi="Century Gothic"/>
          <w:lang w:val="en-ZA"/>
        </w:rPr>
        <w:tab/>
      </w:r>
      <w:r w:rsidRPr="004F0B69">
        <w:rPr>
          <w:rFonts w:ascii="Century Gothic" w:hAnsi="Century Gothic"/>
          <w:lang w:val="en-ZA"/>
        </w:rPr>
        <w:t xml:space="preserve">Accordingly, the email of Pretorius of </w:t>
      </w:r>
      <w:r w:rsidRPr="004F0B69">
        <w:rPr>
          <w:rFonts w:ascii="Century Gothic" w:hAnsi="Century Gothic"/>
          <w:b/>
          <w:bCs/>
          <w:lang w:val="en-ZA"/>
        </w:rPr>
        <w:t>4 May 2021</w:t>
      </w:r>
      <w:r w:rsidR="008216FA">
        <w:rPr>
          <w:rFonts w:ascii="Century Gothic" w:hAnsi="Century Gothic"/>
          <w:b/>
          <w:bCs/>
          <w:lang w:val="en-ZA"/>
        </w:rPr>
        <w:t xml:space="preserve"> </w:t>
      </w:r>
      <w:r w:rsidRPr="004F0B69">
        <w:rPr>
          <w:rFonts w:ascii="Century Gothic" w:hAnsi="Century Gothic"/>
          <w:lang w:val="en-ZA"/>
        </w:rPr>
        <w:t xml:space="preserve">should not be regarded </w:t>
      </w:r>
      <w:r w:rsidRPr="004F0B69">
        <w:rPr>
          <w:rFonts w:ascii="Century Gothic" w:hAnsi="Century Gothic"/>
          <w:i/>
          <w:iCs/>
          <w:lang w:val="en-ZA"/>
        </w:rPr>
        <w:t>in vac</w:t>
      </w:r>
      <w:r w:rsidR="00771908">
        <w:rPr>
          <w:rFonts w:ascii="Century Gothic" w:hAnsi="Century Gothic"/>
          <w:i/>
          <w:iCs/>
          <w:lang w:val="en-ZA"/>
        </w:rPr>
        <w:t>u</w:t>
      </w:r>
      <w:r w:rsidRPr="004F0B69">
        <w:rPr>
          <w:rFonts w:ascii="Century Gothic" w:hAnsi="Century Gothic"/>
          <w:i/>
          <w:iCs/>
          <w:lang w:val="en-ZA"/>
        </w:rPr>
        <w:t>o</w:t>
      </w:r>
      <w:r w:rsidRPr="004F0B69">
        <w:rPr>
          <w:rFonts w:ascii="Century Gothic" w:hAnsi="Century Gothic"/>
          <w:lang w:val="en-ZA"/>
        </w:rPr>
        <w:t xml:space="preserve"> without taking into account the conduct of the debtor which preceded it, including the string of emails before and after </w:t>
      </w:r>
      <w:r w:rsidRPr="004F0B69">
        <w:rPr>
          <w:rFonts w:ascii="Century Gothic" w:hAnsi="Century Gothic"/>
          <w:b/>
          <w:bCs/>
          <w:lang w:val="en-ZA"/>
        </w:rPr>
        <w:t>4 May 2021</w:t>
      </w:r>
      <w:r w:rsidRPr="004F0B69">
        <w:rPr>
          <w:rFonts w:ascii="Century Gothic" w:hAnsi="Century Gothic"/>
          <w:lang w:val="en-ZA"/>
        </w:rPr>
        <w:t>.</w:t>
      </w:r>
      <w:r w:rsidR="00771908">
        <w:rPr>
          <w:rFonts w:ascii="Century Gothic" w:hAnsi="Century Gothic"/>
          <w:lang w:val="en-ZA"/>
        </w:rPr>
        <w:t xml:space="preserve"> I find Bluecentrix’s </w:t>
      </w:r>
      <w:r w:rsidR="00F22805">
        <w:rPr>
          <w:rFonts w:ascii="Century Gothic" w:hAnsi="Century Gothic"/>
          <w:lang w:val="en-ZA"/>
        </w:rPr>
        <w:t xml:space="preserve">contention that Pretorius could not have bound Bluecentrix with this email, as utterly implausible. </w:t>
      </w:r>
      <w:r w:rsidR="008216FA">
        <w:rPr>
          <w:rFonts w:ascii="Century Gothic" w:hAnsi="Century Gothic"/>
          <w:lang w:val="en-ZA"/>
        </w:rPr>
        <w:t xml:space="preserve">Van Rooyen, </w:t>
      </w:r>
      <w:r w:rsidR="00F22805">
        <w:rPr>
          <w:rFonts w:ascii="Century Gothic" w:hAnsi="Century Gothic"/>
          <w:lang w:val="en-ZA"/>
        </w:rPr>
        <w:lastRenderedPageBreak/>
        <w:t xml:space="preserve">Bluecentrix’s only director and deponent to its papers filed in this matter, never explained why </w:t>
      </w:r>
      <w:r w:rsidR="00A473EC">
        <w:rPr>
          <w:rFonts w:ascii="Century Gothic" w:hAnsi="Century Gothic"/>
          <w:lang w:val="en-ZA"/>
        </w:rPr>
        <w:t>he was copied in on this email and why he did not distance himself and Bluecentrix from this email if he seriously believed that Pretorius was acting without any authority</w:t>
      </w:r>
      <w:r w:rsidR="004124AF">
        <w:rPr>
          <w:rFonts w:ascii="Century Gothic" w:hAnsi="Century Gothic"/>
          <w:lang w:val="en-ZA"/>
        </w:rPr>
        <w:t xml:space="preserve"> when he sent the email to DFA. </w:t>
      </w:r>
    </w:p>
    <w:p w14:paraId="28A69FF4" w14:textId="77777777" w:rsidR="004F0B69" w:rsidRPr="00B61B81" w:rsidRDefault="004F0B69" w:rsidP="004F0B69">
      <w:pPr>
        <w:pStyle w:val="ListParagraph"/>
        <w:spacing w:line="480" w:lineRule="auto"/>
        <w:ind w:left="567"/>
        <w:jc w:val="both"/>
        <w:rPr>
          <w:rFonts w:ascii="Century Gothic" w:hAnsi="Century Gothic"/>
          <w:i/>
          <w:iCs/>
          <w:u w:val="single"/>
          <w:lang w:val="en-ZA"/>
        </w:rPr>
      </w:pPr>
      <w:r>
        <w:rPr>
          <w:rFonts w:ascii="Century Gothic" w:hAnsi="Century Gothic"/>
          <w:lang w:val="en-ZA"/>
        </w:rPr>
        <w:t xml:space="preserve"> </w:t>
      </w:r>
    </w:p>
    <w:p w14:paraId="1B531CA0" w14:textId="50E06ECF" w:rsidR="004F0B69" w:rsidRDefault="0019375E" w:rsidP="0019375E">
      <w:pPr>
        <w:spacing w:line="480" w:lineRule="auto"/>
        <w:ind w:left="567" w:hanging="567"/>
        <w:jc w:val="both"/>
        <w:rPr>
          <w:rFonts w:ascii="Century Gothic" w:hAnsi="Century Gothic"/>
          <w:lang w:val="en-ZA"/>
        </w:rPr>
      </w:pPr>
      <w:r>
        <w:rPr>
          <w:rFonts w:ascii="Century Gothic" w:hAnsi="Century Gothic"/>
          <w:lang w:val="en-ZA"/>
        </w:rPr>
        <w:t>[</w:t>
      </w:r>
      <w:r w:rsidR="0089710C">
        <w:rPr>
          <w:rFonts w:ascii="Century Gothic" w:hAnsi="Century Gothic"/>
          <w:lang w:val="en-ZA"/>
        </w:rPr>
        <w:t>3</w:t>
      </w:r>
      <w:r w:rsidR="000A366B">
        <w:rPr>
          <w:rFonts w:ascii="Century Gothic" w:hAnsi="Century Gothic"/>
          <w:lang w:val="en-ZA"/>
        </w:rPr>
        <w:t>8</w:t>
      </w:r>
      <w:r>
        <w:rPr>
          <w:rFonts w:ascii="Century Gothic" w:hAnsi="Century Gothic"/>
          <w:lang w:val="en-ZA"/>
        </w:rPr>
        <w:t>]</w:t>
      </w:r>
      <w:r>
        <w:rPr>
          <w:rFonts w:ascii="Century Gothic" w:hAnsi="Century Gothic"/>
          <w:lang w:val="en-ZA"/>
        </w:rPr>
        <w:tab/>
      </w:r>
      <w:r w:rsidR="00D26F36">
        <w:rPr>
          <w:rFonts w:ascii="Century Gothic" w:hAnsi="Century Gothic"/>
          <w:lang w:val="en-ZA"/>
        </w:rPr>
        <w:t>Bluecentrix</w:t>
      </w:r>
      <w:r w:rsidR="004F0B69" w:rsidRPr="0019375E">
        <w:rPr>
          <w:rFonts w:ascii="Century Gothic" w:hAnsi="Century Gothic"/>
          <w:lang w:val="en-ZA"/>
        </w:rPr>
        <w:t xml:space="preserve"> raised prescription as </w:t>
      </w:r>
      <w:r w:rsidR="00D160F9">
        <w:rPr>
          <w:rFonts w:ascii="Century Gothic" w:hAnsi="Century Gothic"/>
          <w:lang w:val="en-ZA"/>
        </w:rPr>
        <w:t xml:space="preserve">a </w:t>
      </w:r>
      <w:r w:rsidR="004F0B69" w:rsidRPr="0019375E">
        <w:rPr>
          <w:rFonts w:ascii="Century Gothic" w:hAnsi="Century Gothic"/>
          <w:lang w:val="en-ZA"/>
        </w:rPr>
        <w:t xml:space="preserve">defence for the first time in its answering papers. </w:t>
      </w:r>
      <w:r w:rsidR="00D26F36">
        <w:rPr>
          <w:rFonts w:ascii="Century Gothic" w:hAnsi="Century Gothic"/>
          <w:lang w:val="en-ZA"/>
        </w:rPr>
        <w:t>DFA</w:t>
      </w:r>
      <w:r w:rsidR="004F0B69" w:rsidRPr="0019375E">
        <w:rPr>
          <w:rFonts w:ascii="Century Gothic" w:hAnsi="Century Gothic"/>
          <w:lang w:val="en-ZA"/>
        </w:rPr>
        <w:t xml:space="preserve"> was therefore entitled to respond thereto in its replying papers. In this regard</w:t>
      </w:r>
      <w:r w:rsidR="00D160F9">
        <w:rPr>
          <w:rFonts w:ascii="Century Gothic" w:hAnsi="Century Gothic"/>
          <w:lang w:val="en-ZA"/>
        </w:rPr>
        <w:t>,</w:t>
      </w:r>
      <w:r w:rsidR="004F0B69" w:rsidRPr="0019375E">
        <w:rPr>
          <w:rFonts w:ascii="Century Gothic" w:hAnsi="Century Gothic"/>
          <w:lang w:val="en-ZA"/>
        </w:rPr>
        <w:t xml:space="preserve"> it was in my view permissible for </w:t>
      </w:r>
      <w:r w:rsidR="00D26F36">
        <w:rPr>
          <w:rFonts w:ascii="Century Gothic" w:hAnsi="Century Gothic"/>
          <w:lang w:val="en-ZA"/>
        </w:rPr>
        <w:t>DFA</w:t>
      </w:r>
      <w:r w:rsidR="004F0B69" w:rsidRPr="0019375E">
        <w:rPr>
          <w:rFonts w:ascii="Century Gothic" w:hAnsi="Century Gothic"/>
          <w:lang w:val="en-ZA"/>
        </w:rPr>
        <w:t xml:space="preserve"> to introduce the string of emails in its replying papers, not only in response to prescription raised by </w:t>
      </w:r>
      <w:proofErr w:type="spellStart"/>
      <w:r w:rsidR="00D26F36">
        <w:rPr>
          <w:rFonts w:ascii="Century Gothic" w:hAnsi="Century Gothic"/>
          <w:lang w:val="en-ZA"/>
        </w:rPr>
        <w:t>Bluecentrix</w:t>
      </w:r>
      <w:proofErr w:type="spellEnd"/>
      <w:r w:rsidR="004F0B69" w:rsidRPr="0019375E">
        <w:rPr>
          <w:rFonts w:ascii="Century Gothic" w:hAnsi="Century Gothic"/>
          <w:lang w:val="en-ZA"/>
        </w:rPr>
        <w:t xml:space="preserve"> but also to place Van der Mesch’s email of </w:t>
      </w:r>
      <w:r w:rsidR="004F0B69" w:rsidRPr="0019375E">
        <w:rPr>
          <w:rFonts w:ascii="Century Gothic" w:hAnsi="Century Gothic"/>
          <w:b/>
          <w:bCs/>
          <w:lang w:val="en-ZA"/>
        </w:rPr>
        <w:t>24 February 2021</w:t>
      </w:r>
      <w:r w:rsidR="004F0B69" w:rsidRPr="0019375E">
        <w:rPr>
          <w:rFonts w:ascii="Century Gothic" w:hAnsi="Century Gothic"/>
          <w:lang w:val="en-ZA"/>
        </w:rPr>
        <w:t xml:space="preserve"> and his authority to make statements regarding </w:t>
      </w:r>
      <w:r w:rsidR="00D26F36">
        <w:rPr>
          <w:rFonts w:ascii="Century Gothic" w:hAnsi="Century Gothic"/>
          <w:lang w:val="en-ZA"/>
        </w:rPr>
        <w:t>Bluecentrix</w:t>
      </w:r>
      <w:r w:rsidR="004F0B69" w:rsidRPr="0019375E">
        <w:rPr>
          <w:rFonts w:ascii="Century Gothic" w:hAnsi="Century Gothic"/>
          <w:lang w:val="en-ZA"/>
        </w:rPr>
        <w:t xml:space="preserve">’s financial inability to repay its debt into context.  </w:t>
      </w:r>
      <w:r w:rsidR="00D26F36">
        <w:rPr>
          <w:rFonts w:ascii="Century Gothic" w:hAnsi="Century Gothic"/>
          <w:lang w:val="en-ZA"/>
        </w:rPr>
        <w:t>Bluecentrix</w:t>
      </w:r>
      <w:r w:rsidR="004F0B69" w:rsidRPr="0019375E">
        <w:rPr>
          <w:rFonts w:ascii="Century Gothic" w:hAnsi="Century Gothic"/>
          <w:lang w:val="en-ZA"/>
        </w:rPr>
        <w:t>’</w:t>
      </w:r>
      <w:r w:rsidR="00D26F36">
        <w:rPr>
          <w:rFonts w:ascii="Century Gothic" w:hAnsi="Century Gothic"/>
          <w:lang w:val="en-ZA"/>
        </w:rPr>
        <w:t>s</w:t>
      </w:r>
      <w:r w:rsidR="004F0B69" w:rsidRPr="0019375E">
        <w:rPr>
          <w:rFonts w:ascii="Century Gothic" w:hAnsi="Century Gothic"/>
          <w:lang w:val="en-ZA"/>
        </w:rPr>
        <w:t xml:space="preserve"> resort to bald denials and </w:t>
      </w:r>
      <w:r w:rsidR="004F0B69" w:rsidRPr="003860F5">
        <w:rPr>
          <w:rFonts w:ascii="Century Gothic" w:hAnsi="Century Gothic"/>
          <w:lang w:val="en-ZA"/>
        </w:rPr>
        <w:t>taciturnity</w:t>
      </w:r>
      <w:r w:rsidR="004F0B69" w:rsidRPr="0019375E">
        <w:rPr>
          <w:rFonts w:ascii="Century Gothic" w:hAnsi="Century Gothic"/>
          <w:i/>
          <w:iCs/>
          <w:lang w:val="en-ZA"/>
        </w:rPr>
        <w:t xml:space="preserve"> </w:t>
      </w:r>
      <w:r w:rsidR="004F0B69" w:rsidRPr="0019375E">
        <w:rPr>
          <w:rFonts w:ascii="Century Gothic" w:hAnsi="Century Gothic"/>
          <w:lang w:val="en-ZA"/>
        </w:rPr>
        <w:t xml:space="preserve">regarding the various engagements between </w:t>
      </w:r>
      <w:r w:rsidR="00DD2522">
        <w:rPr>
          <w:rFonts w:ascii="Century Gothic" w:hAnsi="Century Gothic"/>
          <w:lang w:val="en-ZA"/>
        </w:rPr>
        <w:t>DFA</w:t>
      </w:r>
      <w:r w:rsidR="004F0B69" w:rsidRPr="0019375E">
        <w:rPr>
          <w:rFonts w:ascii="Century Gothic" w:hAnsi="Century Gothic"/>
          <w:lang w:val="en-ZA"/>
        </w:rPr>
        <w:t xml:space="preserve"> and </w:t>
      </w:r>
      <w:r w:rsidR="00DD2522">
        <w:rPr>
          <w:rFonts w:ascii="Century Gothic" w:hAnsi="Century Gothic"/>
          <w:lang w:val="en-ZA"/>
        </w:rPr>
        <w:t>Bluecentrix</w:t>
      </w:r>
      <w:r w:rsidR="004F0B69" w:rsidRPr="0019375E">
        <w:rPr>
          <w:rFonts w:ascii="Century Gothic" w:hAnsi="Century Gothic"/>
          <w:lang w:val="en-ZA"/>
        </w:rPr>
        <w:t xml:space="preserve"> as alleged in </w:t>
      </w:r>
      <w:r w:rsidR="00DD2522">
        <w:rPr>
          <w:rFonts w:ascii="Century Gothic" w:hAnsi="Century Gothic"/>
          <w:lang w:val="en-ZA"/>
        </w:rPr>
        <w:t>DFA</w:t>
      </w:r>
      <w:r w:rsidR="004F0B69" w:rsidRPr="0019375E">
        <w:rPr>
          <w:rFonts w:ascii="Century Gothic" w:hAnsi="Century Gothic"/>
          <w:lang w:val="en-ZA"/>
        </w:rPr>
        <w:t xml:space="preserve">’s founding affidavit, caused </w:t>
      </w:r>
      <w:r w:rsidR="00DD2522">
        <w:rPr>
          <w:rFonts w:ascii="Century Gothic" w:hAnsi="Century Gothic"/>
          <w:lang w:val="en-ZA"/>
        </w:rPr>
        <w:t>Bluecentrix</w:t>
      </w:r>
      <w:r w:rsidR="004F0B69" w:rsidRPr="0019375E">
        <w:rPr>
          <w:rFonts w:ascii="Century Gothic" w:hAnsi="Century Gothic"/>
          <w:lang w:val="en-ZA"/>
        </w:rPr>
        <w:t xml:space="preserve"> to be hung by its own petard.</w:t>
      </w:r>
    </w:p>
    <w:p w14:paraId="50E08A8C" w14:textId="77777777" w:rsidR="00724C6E" w:rsidRDefault="00724C6E" w:rsidP="0019375E">
      <w:pPr>
        <w:spacing w:line="480" w:lineRule="auto"/>
        <w:ind w:left="567" w:hanging="567"/>
        <w:jc w:val="both"/>
        <w:rPr>
          <w:rFonts w:ascii="Century Gothic" w:hAnsi="Century Gothic"/>
          <w:lang w:val="en-ZA"/>
        </w:rPr>
      </w:pPr>
    </w:p>
    <w:p w14:paraId="364EF743" w14:textId="0E70A1CE" w:rsidR="00724C6E" w:rsidRDefault="00724C6E">
      <w:pPr>
        <w:spacing w:after="160" w:line="259" w:lineRule="auto"/>
        <w:rPr>
          <w:rFonts w:ascii="Century Gothic" w:hAnsi="Century Gothic"/>
          <w:lang w:val="en-ZA"/>
        </w:rPr>
      </w:pPr>
      <w:r>
        <w:rPr>
          <w:rFonts w:ascii="Century Gothic" w:hAnsi="Century Gothic"/>
          <w:lang w:val="en-ZA"/>
        </w:rPr>
        <w:br w:type="page"/>
      </w:r>
    </w:p>
    <w:p w14:paraId="11FC14DC" w14:textId="3525852B" w:rsidR="00724C6E" w:rsidRPr="007B7993" w:rsidRDefault="00724C6E" w:rsidP="007B7993">
      <w:pPr>
        <w:spacing w:line="480" w:lineRule="auto"/>
        <w:ind w:left="1287" w:firstLine="153"/>
        <w:jc w:val="both"/>
        <w:rPr>
          <w:rFonts w:ascii="Century Gothic" w:hAnsi="Century Gothic"/>
          <w:u w:val="single"/>
          <w:lang w:val="en-ZA"/>
        </w:rPr>
      </w:pPr>
      <w:r w:rsidRPr="007B7993">
        <w:rPr>
          <w:rFonts w:ascii="Century Gothic" w:hAnsi="Century Gothic"/>
          <w:u w:val="single"/>
          <w:lang w:val="en-ZA"/>
        </w:rPr>
        <w:lastRenderedPageBreak/>
        <w:t>ORDER</w:t>
      </w:r>
    </w:p>
    <w:p w14:paraId="5E7DD674" w14:textId="05103D2D" w:rsidR="004F0B69" w:rsidRDefault="004814C9" w:rsidP="004F0B69">
      <w:pPr>
        <w:pStyle w:val="ListParagraph"/>
        <w:spacing w:line="480" w:lineRule="auto"/>
        <w:ind w:left="567"/>
        <w:jc w:val="both"/>
        <w:rPr>
          <w:rFonts w:ascii="Century Gothic" w:hAnsi="Century Gothic"/>
          <w:lang w:val="en-ZA"/>
        </w:rPr>
      </w:pPr>
      <w:r>
        <w:rPr>
          <w:rFonts w:ascii="Century Gothic" w:hAnsi="Century Gothic"/>
          <w:lang w:val="en-ZA"/>
        </w:rPr>
        <w:t>[3</w:t>
      </w:r>
      <w:r w:rsidR="000A366B">
        <w:rPr>
          <w:rFonts w:ascii="Century Gothic" w:hAnsi="Century Gothic"/>
          <w:lang w:val="en-ZA"/>
        </w:rPr>
        <w:t>9</w:t>
      </w:r>
      <w:r>
        <w:rPr>
          <w:rFonts w:ascii="Century Gothic" w:hAnsi="Century Gothic"/>
          <w:lang w:val="en-ZA"/>
        </w:rPr>
        <w:t>]</w:t>
      </w:r>
      <w:r>
        <w:rPr>
          <w:rFonts w:ascii="Century Gothic" w:hAnsi="Century Gothic"/>
          <w:lang w:val="en-ZA"/>
        </w:rPr>
        <w:tab/>
        <w:t>Accordingly, the following order is granted:</w:t>
      </w:r>
    </w:p>
    <w:p w14:paraId="403A6973" w14:textId="77777777" w:rsidR="004814C9" w:rsidRDefault="004814C9" w:rsidP="004F0B69">
      <w:pPr>
        <w:pStyle w:val="ListParagraph"/>
        <w:spacing w:line="480" w:lineRule="auto"/>
        <w:ind w:left="567"/>
        <w:jc w:val="both"/>
        <w:rPr>
          <w:rFonts w:ascii="Century Gothic" w:hAnsi="Century Gothic"/>
          <w:lang w:val="en-ZA"/>
        </w:rPr>
      </w:pPr>
    </w:p>
    <w:p w14:paraId="510D2B82" w14:textId="4F60B017" w:rsidR="004814C9" w:rsidRDefault="004814C9" w:rsidP="00F07904">
      <w:pPr>
        <w:pStyle w:val="ListParagraph"/>
        <w:spacing w:line="480" w:lineRule="auto"/>
        <w:ind w:left="2160" w:hanging="723"/>
        <w:jc w:val="both"/>
        <w:rPr>
          <w:rFonts w:ascii="Century Gothic" w:hAnsi="Century Gothic"/>
          <w:lang w:val="en-ZA"/>
        </w:rPr>
      </w:pPr>
      <w:r>
        <w:rPr>
          <w:rFonts w:ascii="Century Gothic" w:hAnsi="Century Gothic"/>
          <w:lang w:val="en-ZA"/>
        </w:rPr>
        <w:t>[3</w:t>
      </w:r>
      <w:r w:rsidR="000A366B">
        <w:rPr>
          <w:rFonts w:ascii="Century Gothic" w:hAnsi="Century Gothic"/>
          <w:lang w:val="en-ZA"/>
        </w:rPr>
        <w:t>9</w:t>
      </w:r>
      <w:r>
        <w:rPr>
          <w:rFonts w:ascii="Century Gothic" w:hAnsi="Century Gothic"/>
          <w:lang w:val="en-ZA"/>
        </w:rPr>
        <w:t>.1</w:t>
      </w:r>
      <w:r w:rsidR="00F07904">
        <w:rPr>
          <w:rFonts w:ascii="Century Gothic" w:hAnsi="Century Gothic"/>
          <w:lang w:val="en-ZA"/>
        </w:rPr>
        <w:t>]</w:t>
      </w:r>
      <w:r w:rsidR="00F07904">
        <w:rPr>
          <w:rFonts w:ascii="Century Gothic" w:hAnsi="Century Gothic"/>
          <w:lang w:val="en-ZA"/>
        </w:rPr>
        <w:tab/>
        <w:t>The Respondent, Bluecentrix (Pty) Ltd t/a Smartswitch, is placed under final liquidation.</w:t>
      </w:r>
    </w:p>
    <w:p w14:paraId="31920213" w14:textId="77777777" w:rsidR="00F07904" w:rsidRDefault="00F07904" w:rsidP="00F07904">
      <w:pPr>
        <w:pStyle w:val="ListParagraph"/>
        <w:spacing w:line="480" w:lineRule="auto"/>
        <w:ind w:left="2160" w:hanging="723"/>
        <w:jc w:val="both"/>
        <w:rPr>
          <w:rFonts w:ascii="Century Gothic" w:hAnsi="Century Gothic"/>
          <w:lang w:val="en-ZA"/>
        </w:rPr>
      </w:pPr>
    </w:p>
    <w:p w14:paraId="7A049F94" w14:textId="5F39464F" w:rsidR="00F07904" w:rsidRDefault="00F07904" w:rsidP="00F07904">
      <w:pPr>
        <w:pStyle w:val="ListParagraph"/>
        <w:spacing w:line="480" w:lineRule="auto"/>
        <w:ind w:left="2160" w:hanging="723"/>
        <w:jc w:val="both"/>
        <w:rPr>
          <w:rFonts w:ascii="Century Gothic" w:hAnsi="Century Gothic"/>
          <w:lang w:val="en-ZA"/>
        </w:rPr>
      </w:pPr>
      <w:r>
        <w:rPr>
          <w:rFonts w:ascii="Century Gothic" w:hAnsi="Century Gothic"/>
          <w:lang w:val="en-ZA"/>
        </w:rPr>
        <w:t>[3</w:t>
      </w:r>
      <w:r w:rsidR="000A366B">
        <w:rPr>
          <w:rFonts w:ascii="Century Gothic" w:hAnsi="Century Gothic"/>
          <w:lang w:val="en-ZA"/>
        </w:rPr>
        <w:t>9</w:t>
      </w:r>
      <w:r>
        <w:rPr>
          <w:rFonts w:ascii="Century Gothic" w:hAnsi="Century Gothic"/>
          <w:lang w:val="en-ZA"/>
        </w:rPr>
        <w:t>.2]</w:t>
      </w:r>
      <w:r>
        <w:rPr>
          <w:rFonts w:ascii="Century Gothic" w:hAnsi="Century Gothic"/>
          <w:lang w:val="en-ZA"/>
        </w:rPr>
        <w:tab/>
      </w:r>
      <w:r w:rsidR="00496574">
        <w:rPr>
          <w:rFonts w:ascii="Century Gothic" w:hAnsi="Century Gothic"/>
          <w:lang w:val="en-ZA"/>
        </w:rPr>
        <w:t>The costs of the Applicant, Dark Fibre Africa (Pty) Ltd, are to be costs in the liquidation of the Respondent.</w:t>
      </w:r>
    </w:p>
    <w:p w14:paraId="67DC2FFF" w14:textId="77777777" w:rsidR="00F07904" w:rsidRDefault="00F07904" w:rsidP="004F0B69">
      <w:pPr>
        <w:pStyle w:val="ListParagraph"/>
        <w:spacing w:line="480" w:lineRule="auto"/>
        <w:ind w:left="567"/>
        <w:jc w:val="both"/>
        <w:rPr>
          <w:rFonts w:ascii="Century Gothic" w:hAnsi="Century Gothic"/>
          <w:lang w:val="en-ZA"/>
        </w:rPr>
      </w:pPr>
    </w:p>
    <w:p w14:paraId="34A3B962" w14:textId="00272EED" w:rsidR="004F0B69" w:rsidRDefault="00643365" w:rsidP="004F0B69">
      <w:pPr>
        <w:pStyle w:val="ListParagraph"/>
        <w:spacing w:line="480" w:lineRule="auto"/>
        <w:ind w:left="567"/>
        <w:jc w:val="both"/>
        <w:rPr>
          <w:rFonts w:ascii="Century Gothic" w:hAnsi="Century Gothic"/>
          <w:i/>
          <w:iCs/>
          <w:u w:val="single"/>
          <w:lang w:val="en-ZA"/>
        </w:rPr>
      </w:pPr>
      <w:r>
        <w:rPr>
          <w:rFonts w:ascii="Century Gothic" w:hAnsi="Century Gothic"/>
          <w:i/>
          <w:iCs/>
          <w:lang w:val="en-ZA"/>
        </w:rPr>
        <w:tab/>
      </w:r>
      <w:r>
        <w:rPr>
          <w:rFonts w:ascii="Century Gothic" w:hAnsi="Century Gothic"/>
          <w:i/>
          <w:iCs/>
          <w:lang w:val="en-ZA"/>
        </w:rPr>
        <w:tab/>
      </w:r>
      <w:r>
        <w:rPr>
          <w:rFonts w:ascii="Century Gothic" w:hAnsi="Century Gothic"/>
          <w:i/>
          <w:iCs/>
          <w:lang w:val="en-ZA"/>
        </w:rPr>
        <w:tab/>
      </w:r>
      <w:r>
        <w:rPr>
          <w:rFonts w:ascii="Century Gothic" w:hAnsi="Century Gothic"/>
          <w:i/>
          <w:iCs/>
          <w:lang w:val="en-ZA"/>
        </w:rPr>
        <w:tab/>
      </w:r>
      <w:r>
        <w:rPr>
          <w:rFonts w:ascii="Century Gothic" w:hAnsi="Century Gothic"/>
          <w:i/>
          <w:iCs/>
          <w:lang w:val="en-ZA"/>
        </w:rPr>
        <w:tab/>
      </w:r>
      <w:r>
        <w:rPr>
          <w:rFonts w:ascii="Century Gothic" w:hAnsi="Century Gothic"/>
          <w:i/>
          <w:iCs/>
          <w:lang w:val="en-ZA"/>
        </w:rPr>
        <w:tab/>
      </w:r>
      <w:r>
        <w:rPr>
          <w:rFonts w:ascii="Century Gothic" w:hAnsi="Century Gothic"/>
          <w:i/>
          <w:iCs/>
          <w:lang w:val="en-ZA"/>
        </w:rPr>
        <w:tab/>
      </w:r>
      <w:r>
        <w:rPr>
          <w:rFonts w:ascii="Century Gothic" w:hAnsi="Century Gothic"/>
          <w:i/>
          <w:iCs/>
          <w:lang w:val="en-ZA"/>
        </w:rPr>
        <w:tab/>
      </w:r>
    </w:p>
    <w:p w14:paraId="0C1430C5" w14:textId="2C67E5A8" w:rsidR="00643365" w:rsidRPr="00683BFF" w:rsidRDefault="00643365" w:rsidP="00643365">
      <w:pPr>
        <w:pStyle w:val="ListParagraph"/>
        <w:spacing w:line="480" w:lineRule="auto"/>
        <w:ind w:left="567"/>
        <w:jc w:val="right"/>
        <w:rPr>
          <w:rFonts w:ascii="Century Gothic" w:hAnsi="Century Gothic"/>
          <w:i/>
          <w:iCs/>
          <w:u w:val="single"/>
          <w:lang w:val="en-ZA"/>
        </w:rPr>
      </w:pPr>
      <w:r>
        <w:rPr>
          <w:rFonts w:ascii="Century Gothic" w:hAnsi="Century Gothic"/>
          <w:i/>
          <w:iCs/>
          <w:u w:val="single"/>
          <w:lang w:val="en-ZA"/>
        </w:rPr>
        <w:t>_____________________________</w:t>
      </w:r>
    </w:p>
    <w:p w14:paraId="080BA318" w14:textId="6C29DB61" w:rsidR="004F0B69" w:rsidRPr="00A75501" w:rsidRDefault="00496574" w:rsidP="004F0B69">
      <w:pPr>
        <w:pStyle w:val="ListParagraph"/>
        <w:spacing w:line="480" w:lineRule="auto"/>
        <w:ind w:left="6480"/>
        <w:jc w:val="both"/>
        <w:rPr>
          <w:rFonts w:ascii="Century Gothic" w:hAnsi="Century Gothic"/>
          <w:i/>
          <w:iCs/>
          <w:u w:val="single"/>
          <w:lang w:val="en-ZA"/>
        </w:rPr>
      </w:pPr>
      <w:r>
        <w:rPr>
          <w:rFonts w:ascii="Century Gothic" w:hAnsi="Century Gothic"/>
          <w:lang w:val="en-ZA"/>
        </w:rPr>
        <w:t>SCHREUDER, AJ</w:t>
      </w:r>
    </w:p>
    <w:p w14:paraId="1A03C30E" w14:textId="77777777" w:rsidR="004F0B69" w:rsidRPr="00064C10" w:rsidRDefault="004F0B69" w:rsidP="004F0B69">
      <w:pPr>
        <w:tabs>
          <w:tab w:val="left" w:pos="567"/>
        </w:tabs>
        <w:spacing w:line="480" w:lineRule="auto"/>
        <w:ind w:left="1440" w:hanging="1440"/>
        <w:jc w:val="both"/>
        <w:rPr>
          <w:rFonts w:ascii="Century Gothic" w:hAnsi="Century Gothic"/>
          <w:lang w:val="en-ZA"/>
        </w:rPr>
      </w:pPr>
    </w:p>
    <w:p w14:paraId="25E84592" w14:textId="0409F5FF" w:rsidR="00F845C2" w:rsidRPr="00636E99" w:rsidRDefault="004C0459" w:rsidP="004F0B69">
      <w:pPr>
        <w:tabs>
          <w:tab w:val="left" w:pos="567"/>
        </w:tabs>
        <w:spacing w:line="480" w:lineRule="auto"/>
        <w:ind w:left="567" w:hanging="567"/>
        <w:jc w:val="both"/>
        <w:rPr>
          <w:rFonts w:ascii="Century Gothic" w:hAnsi="Century Gothic"/>
          <w:b/>
          <w:bCs/>
          <w:lang w:val="en-ZA"/>
        </w:rPr>
      </w:pPr>
      <w:r>
        <w:rPr>
          <w:rFonts w:ascii="Century Gothic" w:hAnsi="Century Gothic"/>
          <w:lang w:val="en-ZA"/>
        </w:rPr>
        <w:t xml:space="preserve"> </w:t>
      </w:r>
    </w:p>
    <w:p w14:paraId="3F572399" w14:textId="77777777" w:rsidR="00111704" w:rsidRPr="002A243F" w:rsidRDefault="00111704" w:rsidP="004F0B69">
      <w:pPr>
        <w:tabs>
          <w:tab w:val="left" w:pos="567"/>
        </w:tabs>
        <w:spacing w:line="480" w:lineRule="auto"/>
        <w:jc w:val="both"/>
        <w:rPr>
          <w:rFonts w:ascii="Century Gothic" w:hAnsi="Century Gothic"/>
          <w:lang w:val="en-ZA"/>
        </w:rPr>
      </w:pPr>
    </w:p>
    <w:p w14:paraId="46C6E0B4" w14:textId="77777777" w:rsidR="000418E8" w:rsidRPr="003F0C79" w:rsidRDefault="000418E8" w:rsidP="004F0B69">
      <w:pPr>
        <w:spacing w:line="480" w:lineRule="auto"/>
        <w:ind w:left="567" w:hanging="567"/>
        <w:rPr>
          <w:rFonts w:ascii="Century Gothic" w:eastAsia="Arial" w:hAnsi="Century Gothic" w:cs="Arial"/>
          <w:b/>
          <w:bCs/>
          <w:sz w:val="28"/>
          <w:szCs w:val="28"/>
          <w:lang w:val="en-ZA"/>
        </w:rPr>
      </w:pPr>
    </w:p>
    <w:sectPr w:rsidR="000418E8" w:rsidRPr="003F0C79" w:rsidSect="003016C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2AB5" w14:textId="77777777" w:rsidR="009A2D87" w:rsidRDefault="009A2D87" w:rsidP="005107B8">
      <w:r>
        <w:separator/>
      </w:r>
    </w:p>
  </w:endnote>
  <w:endnote w:type="continuationSeparator" w:id="0">
    <w:p w14:paraId="45761440" w14:textId="77777777" w:rsidR="009A2D87" w:rsidRDefault="009A2D87" w:rsidP="0051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48D2" w14:textId="77777777" w:rsidR="009A2D87" w:rsidRDefault="009A2D87" w:rsidP="005107B8">
      <w:r>
        <w:separator/>
      </w:r>
    </w:p>
  </w:footnote>
  <w:footnote w:type="continuationSeparator" w:id="0">
    <w:p w14:paraId="5F862442" w14:textId="77777777" w:rsidR="009A2D87" w:rsidRDefault="009A2D87" w:rsidP="005107B8">
      <w:r>
        <w:continuationSeparator/>
      </w:r>
    </w:p>
  </w:footnote>
  <w:footnote w:id="1">
    <w:p w14:paraId="3E058886" w14:textId="77777777" w:rsidR="003F0C79" w:rsidRPr="00D97137" w:rsidRDefault="003F0C79" w:rsidP="003F0C79">
      <w:pPr>
        <w:pStyle w:val="FootnoteText"/>
        <w:rPr>
          <w:i/>
          <w:iCs/>
        </w:rPr>
      </w:pPr>
      <w:r w:rsidRPr="009F4D6F">
        <w:rPr>
          <w:rStyle w:val="FootnoteReference"/>
        </w:rPr>
        <w:footnoteRef/>
      </w:r>
      <w:r w:rsidRPr="009F4D6F">
        <w:t xml:space="preserve"> </w:t>
      </w:r>
      <w:r w:rsidRPr="006A6AE0">
        <w:rPr>
          <w:b/>
          <w:bCs/>
          <w:i/>
          <w:iCs/>
          <w:u w:val="single"/>
        </w:rPr>
        <w:t>Hulse-Reutter &amp; Another vs HEG Consulting Enterprises (Pty) Ltd (Lane and Fey N.N.O. intervening)</w:t>
      </w:r>
      <w:r w:rsidRPr="009F4D6F">
        <w:rPr>
          <w:b/>
          <w:bCs/>
          <w:i/>
          <w:iCs/>
        </w:rPr>
        <w:t xml:space="preserve"> 1998 (2) SA 208 (C) at 218 D – 219 C</w:t>
      </w:r>
      <w:r w:rsidRPr="009F4D6F">
        <w:rPr>
          <w:i/>
          <w:iCs/>
        </w:rPr>
        <w:t xml:space="preserve"> </w:t>
      </w:r>
    </w:p>
  </w:footnote>
  <w:footnote w:id="2">
    <w:p w14:paraId="75534B0D" w14:textId="77777777" w:rsidR="003F0C79" w:rsidRPr="00F96BE8" w:rsidRDefault="003F0C79" w:rsidP="003F0C79">
      <w:pPr>
        <w:pStyle w:val="FootnoteText"/>
        <w:rPr>
          <w:b/>
          <w:bCs/>
          <w:i/>
          <w:iCs/>
        </w:rPr>
      </w:pPr>
      <w:r>
        <w:rPr>
          <w:rStyle w:val="FootnoteReference"/>
        </w:rPr>
        <w:footnoteRef/>
      </w:r>
      <w:r>
        <w:t xml:space="preserve"> </w:t>
      </w:r>
      <w:r w:rsidRPr="00F96BE8">
        <w:t>See:</w:t>
      </w:r>
      <w:r w:rsidRPr="00AE24FD">
        <w:rPr>
          <w:b/>
          <w:bCs/>
          <w:i/>
          <w:iCs/>
          <w:u w:val="single"/>
        </w:rPr>
        <w:t>Badenhorst vs Northern Construction Enterprises (Pty) Ltd</w:t>
      </w:r>
      <w:r>
        <w:rPr>
          <w:b/>
          <w:bCs/>
          <w:i/>
          <w:iCs/>
        </w:rPr>
        <w:t xml:space="preserve"> 1956 (2) SA 346 (T) at 347 H – 348 C</w:t>
      </w:r>
    </w:p>
  </w:footnote>
  <w:footnote w:id="3">
    <w:p w14:paraId="177331C7" w14:textId="4D7B3716" w:rsidR="003F0C79" w:rsidRPr="007B36B6" w:rsidRDefault="003F0C79" w:rsidP="003F0C79">
      <w:pPr>
        <w:pStyle w:val="FootnoteText"/>
        <w:rPr>
          <w:b/>
          <w:bCs/>
          <w:i/>
          <w:iCs/>
        </w:rPr>
      </w:pPr>
      <w:r>
        <w:rPr>
          <w:rStyle w:val="FootnoteReference"/>
        </w:rPr>
        <w:footnoteRef/>
      </w:r>
      <w:r>
        <w:t xml:space="preserve"> </w:t>
      </w:r>
      <w:r w:rsidRPr="00AE24FD">
        <w:rPr>
          <w:b/>
          <w:bCs/>
          <w:i/>
          <w:iCs/>
          <w:u w:val="single"/>
        </w:rPr>
        <w:t>Orestisolve (Pty) Ltd t/a E</w:t>
      </w:r>
      <w:r w:rsidR="00AE24FD" w:rsidRPr="00AE24FD">
        <w:rPr>
          <w:b/>
          <w:bCs/>
          <w:i/>
          <w:iCs/>
          <w:u w:val="single"/>
        </w:rPr>
        <w:t>ssa</w:t>
      </w:r>
      <w:r w:rsidRPr="00AE24FD">
        <w:rPr>
          <w:b/>
          <w:bCs/>
          <w:i/>
          <w:iCs/>
          <w:u w:val="single"/>
        </w:rPr>
        <w:t xml:space="preserve"> Investments vs NDFT Investment Holdings (Pty) Ltd &amp; </w:t>
      </w:r>
      <w:r w:rsidR="00AE24FD" w:rsidRPr="00AE24FD">
        <w:rPr>
          <w:b/>
          <w:bCs/>
          <w:i/>
          <w:iCs/>
          <w:u w:val="single"/>
        </w:rPr>
        <w:t>a</w:t>
      </w:r>
      <w:r w:rsidRPr="00AE24FD">
        <w:rPr>
          <w:b/>
          <w:bCs/>
          <w:i/>
          <w:iCs/>
          <w:u w:val="single"/>
        </w:rPr>
        <w:t>nother</w:t>
      </w:r>
      <w:r>
        <w:rPr>
          <w:b/>
          <w:bCs/>
          <w:i/>
          <w:iCs/>
        </w:rPr>
        <w:t xml:space="preserve"> 2015 (4) SA 449 (WCC)</w:t>
      </w:r>
    </w:p>
  </w:footnote>
  <w:footnote w:id="4">
    <w:p w14:paraId="2D323F7A" w14:textId="6EFECC9C" w:rsidR="00C342C4" w:rsidRDefault="00C342C4">
      <w:pPr>
        <w:pStyle w:val="FootnoteText"/>
      </w:pPr>
      <w:r>
        <w:rPr>
          <w:rStyle w:val="FootnoteReference"/>
        </w:rPr>
        <w:footnoteRef/>
      </w:r>
      <w:r>
        <w:t xml:space="preserve"> </w:t>
      </w:r>
      <w:r w:rsidRPr="00C82E8B">
        <w:rPr>
          <w:b/>
          <w:bCs/>
          <w:i/>
          <w:iCs/>
        </w:rPr>
        <w:t>2023 (6) SA</w:t>
      </w:r>
      <w:r w:rsidR="00C82E8B" w:rsidRPr="00C82E8B">
        <w:rPr>
          <w:b/>
          <w:bCs/>
          <w:i/>
          <w:iCs/>
        </w:rPr>
        <w:t xml:space="preserve"> 452 (WCC)</w:t>
      </w:r>
      <w:r w:rsidR="00C82E8B">
        <w:rPr>
          <w:b/>
          <w:bCs/>
          <w:i/>
          <w:iCs/>
        </w:rPr>
        <w:t>, para 32 and 33</w:t>
      </w:r>
    </w:p>
  </w:footnote>
  <w:footnote w:id="5">
    <w:p w14:paraId="0DF3A8D1" w14:textId="4678C2DF" w:rsidR="00102E77" w:rsidRPr="00102E77" w:rsidRDefault="00102E77">
      <w:pPr>
        <w:pStyle w:val="FootnoteText"/>
        <w:rPr>
          <w:b/>
          <w:bCs/>
          <w:i/>
          <w:iCs/>
        </w:rPr>
      </w:pPr>
      <w:r>
        <w:rPr>
          <w:rStyle w:val="FootnoteReference"/>
        </w:rPr>
        <w:footnoteRef/>
      </w:r>
      <w:r>
        <w:t xml:space="preserve"> </w:t>
      </w:r>
      <w:r>
        <w:rPr>
          <w:b/>
          <w:bCs/>
          <w:i/>
          <w:iCs/>
        </w:rPr>
        <w:t>2003 (5) SA 414 (W) at 424 B - C</w:t>
      </w:r>
    </w:p>
  </w:footnote>
  <w:footnote w:id="6">
    <w:p w14:paraId="482C64DC" w14:textId="2BCFC64C" w:rsidR="00C77162" w:rsidRPr="00C77162" w:rsidRDefault="00C77162">
      <w:pPr>
        <w:pStyle w:val="FootnoteText"/>
        <w:rPr>
          <w:b/>
          <w:bCs/>
          <w:i/>
          <w:iCs/>
        </w:rPr>
      </w:pPr>
      <w:r>
        <w:rPr>
          <w:rStyle w:val="FootnoteReference"/>
        </w:rPr>
        <w:footnoteRef/>
      </w:r>
      <w:r>
        <w:t xml:space="preserve"> </w:t>
      </w:r>
      <w:r>
        <w:rPr>
          <w:b/>
          <w:bCs/>
          <w:i/>
          <w:iCs/>
        </w:rPr>
        <w:t xml:space="preserve">2022 (1) SA 91 (SCA), para </w:t>
      </w:r>
      <w:r w:rsidR="00165CF3">
        <w:rPr>
          <w:b/>
          <w:bCs/>
          <w:i/>
          <w:iCs/>
        </w:rPr>
        <w:t>[6]</w:t>
      </w:r>
    </w:p>
  </w:footnote>
  <w:footnote w:id="7">
    <w:p w14:paraId="417C95ED" w14:textId="77777777" w:rsidR="004F0B69" w:rsidRDefault="004F0B69" w:rsidP="004F0B69">
      <w:pPr>
        <w:pStyle w:val="FootnoteText"/>
      </w:pPr>
      <w:r>
        <w:rPr>
          <w:rStyle w:val="FootnoteReference"/>
        </w:rPr>
        <w:footnoteRef/>
      </w:r>
      <w:r>
        <w:t xml:space="preserve"> Annexures RA1 to RA3 to the Applicant’s replying affidavit</w:t>
      </w:r>
    </w:p>
  </w:footnote>
  <w:footnote w:id="8">
    <w:p w14:paraId="63908681" w14:textId="77777777" w:rsidR="004F0B69" w:rsidRPr="00D236C8" w:rsidRDefault="004F0B69" w:rsidP="004F0B69">
      <w:pPr>
        <w:pStyle w:val="FootnoteText"/>
        <w:rPr>
          <w:i/>
          <w:iCs/>
        </w:rPr>
      </w:pPr>
      <w:r>
        <w:rPr>
          <w:rStyle w:val="FootnoteReference"/>
        </w:rPr>
        <w:footnoteRef/>
      </w:r>
      <w:r>
        <w:t xml:space="preserve"> </w:t>
      </w:r>
      <w:r w:rsidRPr="00CD1743">
        <w:rPr>
          <w:b/>
          <w:bCs/>
          <w:i/>
          <w:iCs/>
          <w:u w:val="single"/>
        </w:rPr>
        <w:t>Cape Town Municipality vs Allie N.O.</w:t>
      </w:r>
      <w:r w:rsidRPr="00F9393C">
        <w:rPr>
          <w:b/>
          <w:bCs/>
          <w:i/>
          <w:iCs/>
        </w:rPr>
        <w:t xml:space="preserve"> 1981 (2) SA 1 (C) at 7 B – 8 G</w:t>
      </w:r>
      <w:r>
        <w:rPr>
          <w:i/>
          <w:iCs/>
        </w:rPr>
        <w:t xml:space="preserve">, </w:t>
      </w:r>
    </w:p>
  </w:footnote>
  <w:footnote w:id="9">
    <w:p w14:paraId="3A84E1CC" w14:textId="77777777" w:rsidR="004F0B69" w:rsidRPr="00574853" w:rsidRDefault="004F0B69" w:rsidP="004F0B69">
      <w:pPr>
        <w:pStyle w:val="FootnoteText"/>
        <w:rPr>
          <w:b/>
          <w:bCs/>
          <w:i/>
          <w:iCs/>
        </w:rPr>
      </w:pPr>
      <w:r>
        <w:rPr>
          <w:rStyle w:val="FootnoteReference"/>
        </w:rPr>
        <w:footnoteRef/>
      </w:r>
      <w:r>
        <w:t xml:space="preserve"> </w:t>
      </w:r>
      <w:r w:rsidRPr="00CD1743">
        <w:rPr>
          <w:b/>
          <w:bCs/>
          <w:i/>
          <w:iCs/>
          <w:u w:val="single"/>
        </w:rPr>
        <w:t>Investec Bank Limited vs Erf 436 Elandspoort (Pty) Ltd &amp; Others</w:t>
      </w:r>
      <w:r>
        <w:rPr>
          <w:b/>
          <w:bCs/>
          <w:i/>
          <w:iCs/>
        </w:rPr>
        <w:t xml:space="preserve"> 2021 (1) SA 28 (SCA), para [29];  </w:t>
      </w:r>
      <w:r w:rsidRPr="00CD1743">
        <w:rPr>
          <w:b/>
          <w:bCs/>
          <w:i/>
          <w:iCs/>
          <w:u w:val="single"/>
        </w:rPr>
        <w:t>Madibeng Local Municipality vs Public Investment Corporation Ltd</w:t>
      </w:r>
      <w:r>
        <w:rPr>
          <w:b/>
          <w:bCs/>
          <w:i/>
          <w:iCs/>
        </w:rPr>
        <w:t xml:space="preserve"> 2018(6) SA 55 (SCA),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Content>
      <w:p w14:paraId="73770818" w14:textId="77777777" w:rsidR="00202F0C" w:rsidRDefault="00202F0C" w:rsidP="005107B8">
        <w:pPr>
          <w:pStyle w:val="Header"/>
          <w:jc w:val="right"/>
        </w:pPr>
        <w:r>
          <w:t xml:space="preserve">Page </w:t>
        </w:r>
        <w:r>
          <w:rPr>
            <w:b/>
            <w:bCs/>
          </w:rPr>
          <w:fldChar w:fldCharType="begin"/>
        </w:r>
        <w:r>
          <w:rPr>
            <w:b/>
            <w:bCs/>
          </w:rPr>
          <w:instrText xml:space="preserve"> PAGE </w:instrText>
        </w:r>
        <w:r>
          <w:rPr>
            <w:b/>
            <w:bCs/>
          </w:rPr>
          <w:fldChar w:fldCharType="separate"/>
        </w:r>
        <w:r w:rsidR="004C7D03">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C7D03">
          <w:rPr>
            <w:b/>
            <w:bCs/>
            <w:noProof/>
          </w:rPr>
          <w:t>7</w:t>
        </w:r>
        <w:r>
          <w:rPr>
            <w:b/>
            <w:bCs/>
          </w:rPr>
          <w:fldChar w:fldCharType="end"/>
        </w:r>
      </w:p>
    </w:sdtContent>
  </w:sdt>
  <w:p w14:paraId="387E7682" w14:textId="77777777" w:rsidR="00202F0C" w:rsidRDefault="00202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126"/>
    <w:multiLevelType w:val="multilevel"/>
    <w:tmpl w:val="22F8DB7E"/>
    <w:lvl w:ilvl="0">
      <w:start w:val="28"/>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2E45C2D"/>
    <w:multiLevelType w:val="hybridMultilevel"/>
    <w:tmpl w:val="13421C5E"/>
    <w:lvl w:ilvl="0" w:tplc="8E9ECC16">
      <w:start w:val="1"/>
      <w:numFmt w:val="lowerLetter"/>
      <w:lvlText w:val="(%1)"/>
      <w:lvlJc w:val="left"/>
      <w:pPr>
        <w:ind w:left="927" w:hanging="360"/>
      </w:pPr>
      <w:rPr>
        <w:rFonts w:hint="default"/>
        <w:b/>
        <w:i w:val="0"/>
        <w:u w:val="none"/>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14886330"/>
    <w:multiLevelType w:val="multilevel"/>
    <w:tmpl w:val="D7D0D0AA"/>
    <w:lvl w:ilvl="0">
      <w:start w:val="3"/>
      <w:numFmt w:val="decimal"/>
      <w:lvlText w:val="%1"/>
      <w:lvlJc w:val="left"/>
      <w:pPr>
        <w:ind w:left="360" w:hanging="360"/>
      </w:pPr>
      <w:rPr>
        <w:rFonts w:hint="default"/>
        <w:b/>
        <w:i w:val="0"/>
        <w:u w:val="none"/>
      </w:rPr>
    </w:lvl>
    <w:lvl w:ilvl="1">
      <w:start w:val="1"/>
      <w:numFmt w:val="decimal"/>
      <w:lvlText w:val="%1.%2"/>
      <w:lvlJc w:val="left"/>
      <w:pPr>
        <w:ind w:left="1287" w:hanging="720"/>
      </w:pPr>
      <w:rPr>
        <w:rFonts w:hint="default"/>
        <w:b/>
        <w:i w:val="0"/>
        <w:u w:val="none"/>
      </w:rPr>
    </w:lvl>
    <w:lvl w:ilvl="2">
      <w:start w:val="1"/>
      <w:numFmt w:val="decimal"/>
      <w:lvlText w:val="%1.%2.%3"/>
      <w:lvlJc w:val="left"/>
      <w:pPr>
        <w:ind w:left="1854" w:hanging="720"/>
      </w:pPr>
      <w:rPr>
        <w:rFonts w:hint="default"/>
        <w:b/>
        <w:i w:val="0"/>
        <w:u w:val="none"/>
      </w:rPr>
    </w:lvl>
    <w:lvl w:ilvl="3">
      <w:start w:val="1"/>
      <w:numFmt w:val="decimal"/>
      <w:lvlText w:val="%1.%2.%3.%4"/>
      <w:lvlJc w:val="left"/>
      <w:pPr>
        <w:ind w:left="2781" w:hanging="1080"/>
      </w:pPr>
      <w:rPr>
        <w:rFonts w:hint="default"/>
        <w:b/>
        <w:i w:val="0"/>
        <w:u w:val="none"/>
      </w:rPr>
    </w:lvl>
    <w:lvl w:ilvl="4">
      <w:start w:val="1"/>
      <w:numFmt w:val="decimal"/>
      <w:lvlText w:val="%1.%2.%3.%4.%5"/>
      <w:lvlJc w:val="left"/>
      <w:pPr>
        <w:ind w:left="3708" w:hanging="1440"/>
      </w:pPr>
      <w:rPr>
        <w:rFonts w:hint="default"/>
        <w:b/>
        <w:i w:val="0"/>
        <w:u w:val="none"/>
      </w:rPr>
    </w:lvl>
    <w:lvl w:ilvl="5">
      <w:start w:val="1"/>
      <w:numFmt w:val="decimal"/>
      <w:lvlText w:val="%1.%2.%3.%4.%5.%6"/>
      <w:lvlJc w:val="left"/>
      <w:pPr>
        <w:ind w:left="4275" w:hanging="1440"/>
      </w:pPr>
      <w:rPr>
        <w:rFonts w:hint="default"/>
        <w:b/>
        <w:i w:val="0"/>
        <w:u w:val="none"/>
      </w:rPr>
    </w:lvl>
    <w:lvl w:ilvl="6">
      <w:start w:val="1"/>
      <w:numFmt w:val="decimal"/>
      <w:lvlText w:val="%1.%2.%3.%4.%5.%6.%7"/>
      <w:lvlJc w:val="left"/>
      <w:pPr>
        <w:ind w:left="5202" w:hanging="1800"/>
      </w:pPr>
      <w:rPr>
        <w:rFonts w:hint="default"/>
        <w:b/>
        <w:i w:val="0"/>
        <w:u w:val="none"/>
      </w:rPr>
    </w:lvl>
    <w:lvl w:ilvl="7">
      <w:start w:val="1"/>
      <w:numFmt w:val="decimal"/>
      <w:lvlText w:val="%1.%2.%3.%4.%5.%6.%7.%8"/>
      <w:lvlJc w:val="left"/>
      <w:pPr>
        <w:ind w:left="6129" w:hanging="2160"/>
      </w:pPr>
      <w:rPr>
        <w:rFonts w:hint="default"/>
        <w:b/>
        <w:i w:val="0"/>
        <w:u w:val="none"/>
      </w:rPr>
    </w:lvl>
    <w:lvl w:ilvl="8">
      <w:start w:val="1"/>
      <w:numFmt w:val="decimal"/>
      <w:lvlText w:val="%1.%2.%3.%4.%5.%6.%7.%8.%9"/>
      <w:lvlJc w:val="left"/>
      <w:pPr>
        <w:ind w:left="6696" w:hanging="2160"/>
      </w:pPr>
      <w:rPr>
        <w:rFonts w:hint="default"/>
        <w:b/>
        <w:i w:val="0"/>
        <w:u w:val="none"/>
      </w:rPr>
    </w:lvl>
  </w:abstractNum>
  <w:abstractNum w:abstractNumId="3" w15:restartNumberingAfterBreak="0">
    <w:nsid w:val="18483F0C"/>
    <w:multiLevelType w:val="hybridMultilevel"/>
    <w:tmpl w:val="C7628E46"/>
    <w:lvl w:ilvl="0" w:tplc="62B4F53C">
      <w:numFmt w:val="bullet"/>
      <w:lvlText w:val=""/>
      <w:lvlJc w:val="left"/>
      <w:pPr>
        <w:ind w:left="1778" w:hanging="360"/>
      </w:pPr>
      <w:rPr>
        <w:rFonts w:ascii="Symbol" w:eastAsia="Times New Roman" w:hAnsi="Symbol" w:cs="Times New Roman"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4" w15:restartNumberingAfterBreak="0">
    <w:nsid w:val="18F22D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A10DB4"/>
    <w:multiLevelType w:val="hybridMultilevel"/>
    <w:tmpl w:val="BB8EE946"/>
    <w:lvl w:ilvl="0" w:tplc="16FC10B2">
      <w:numFmt w:val="bullet"/>
      <w:lvlText w:val=""/>
      <w:lvlJc w:val="left"/>
      <w:pPr>
        <w:ind w:left="1778" w:hanging="360"/>
      </w:pPr>
      <w:rPr>
        <w:rFonts w:ascii="Symbol" w:eastAsia="Times New Roman" w:hAnsi="Symbol" w:cs="Times New Roman"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6" w15:restartNumberingAfterBreak="0">
    <w:nsid w:val="32471E00"/>
    <w:multiLevelType w:val="multilevel"/>
    <w:tmpl w:val="301E36E8"/>
    <w:lvl w:ilvl="0">
      <w:start w:val="34"/>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6EF01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092C46"/>
    <w:multiLevelType w:val="hybridMultilevel"/>
    <w:tmpl w:val="A2E6F658"/>
    <w:lvl w:ilvl="0" w:tplc="D3DC5CC0">
      <w:numFmt w:val="bullet"/>
      <w:lvlText w:val=""/>
      <w:lvlJc w:val="left"/>
      <w:pPr>
        <w:ind w:left="1778" w:hanging="360"/>
      </w:pPr>
      <w:rPr>
        <w:rFonts w:ascii="Symbol" w:eastAsia="Times New Roman" w:hAnsi="Symbol" w:cs="Times New Roman"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9" w15:restartNumberingAfterBreak="0">
    <w:nsid w:val="53440BF1"/>
    <w:multiLevelType w:val="multilevel"/>
    <w:tmpl w:val="B97EC78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A3C5A41"/>
    <w:multiLevelType w:val="multilevel"/>
    <w:tmpl w:val="87C29B20"/>
    <w:lvl w:ilvl="0">
      <w:start w:val="12"/>
      <w:numFmt w:val="decimal"/>
      <w:lvlText w:val="%1"/>
      <w:lvlJc w:val="left"/>
      <w:pPr>
        <w:ind w:left="465" w:hanging="465"/>
      </w:pPr>
      <w:rPr>
        <w:rFonts w:hint="default"/>
        <w:u w:val="none"/>
      </w:rPr>
    </w:lvl>
    <w:lvl w:ilvl="1">
      <w:start w:val="3"/>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11" w15:restartNumberingAfterBreak="0">
    <w:nsid w:val="6E766793"/>
    <w:multiLevelType w:val="multilevel"/>
    <w:tmpl w:val="6DEC6B6C"/>
    <w:lvl w:ilvl="0">
      <w:start w:val="30"/>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0AA023B"/>
    <w:multiLevelType w:val="multilevel"/>
    <w:tmpl w:val="A5C636A4"/>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4836490">
    <w:abstractNumId w:val="12"/>
  </w:num>
  <w:num w:numId="2" w16cid:durableId="1832523234">
    <w:abstractNumId w:val="7"/>
  </w:num>
  <w:num w:numId="3" w16cid:durableId="141586460">
    <w:abstractNumId w:val="9"/>
  </w:num>
  <w:num w:numId="4" w16cid:durableId="932588094">
    <w:abstractNumId w:val="5"/>
  </w:num>
  <w:num w:numId="5" w16cid:durableId="2064058924">
    <w:abstractNumId w:val="3"/>
  </w:num>
  <w:num w:numId="6" w16cid:durableId="255476690">
    <w:abstractNumId w:val="8"/>
  </w:num>
  <w:num w:numId="7" w16cid:durableId="549535771">
    <w:abstractNumId w:val="10"/>
  </w:num>
  <w:num w:numId="8" w16cid:durableId="140541880">
    <w:abstractNumId w:val="0"/>
  </w:num>
  <w:num w:numId="9" w16cid:durableId="689255142">
    <w:abstractNumId w:val="6"/>
  </w:num>
  <w:num w:numId="10" w16cid:durableId="378601571">
    <w:abstractNumId w:val="11"/>
  </w:num>
  <w:num w:numId="11" w16cid:durableId="915936018">
    <w:abstractNumId w:val="2"/>
  </w:num>
  <w:num w:numId="12" w16cid:durableId="2026051324">
    <w:abstractNumId w:val="1"/>
  </w:num>
  <w:num w:numId="13" w16cid:durableId="677081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E8"/>
    <w:rsid w:val="00001DC2"/>
    <w:rsid w:val="00002591"/>
    <w:rsid w:val="00003688"/>
    <w:rsid w:val="00006558"/>
    <w:rsid w:val="0001443F"/>
    <w:rsid w:val="000202B9"/>
    <w:rsid w:val="00022FC2"/>
    <w:rsid w:val="00025FE8"/>
    <w:rsid w:val="000270FA"/>
    <w:rsid w:val="00027564"/>
    <w:rsid w:val="000276D6"/>
    <w:rsid w:val="00032BD8"/>
    <w:rsid w:val="0003524D"/>
    <w:rsid w:val="00040EE8"/>
    <w:rsid w:val="000418E8"/>
    <w:rsid w:val="00041904"/>
    <w:rsid w:val="000457E3"/>
    <w:rsid w:val="00052823"/>
    <w:rsid w:val="000531B6"/>
    <w:rsid w:val="00053B58"/>
    <w:rsid w:val="0005490D"/>
    <w:rsid w:val="00056115"/>
    <w:rsid w:val="00057E93"/>
    <w:rsid w:val="00057F1A"/>
    <w:rsid w:val="00060F10"/>
    <w:rsid w:val="0006206E"/>
    <w:rsid w:val="00062C5B"/>
    <w:rsid w:val="0006306E"/>
    <w:rsid w:val="00064C10"/>
    <w:rsid w:val="0006772A"/>
    <w:rsid w:val="00067EAC"/>
    <w:rsid w:val="00070C92"/>
    <w:rsid w:val="00073B32"/>
    <w:rsid w:val="00073C5B"/>
    <w:rsid w:val="00077D42"/>
    <w:rsid w:val="00080103"/>
    <w:rsid w:val="00081945"/>
    <w:rsid w:val="000827CE"/>
    <w:rsid w:val="0008437B"/>
    <w:rsid w:val="00084CDA"/>
    <w:rsid w:val="000860BC"/>
    <w:rsid w:val="00090F79"/>
    <w:rsid w:val="00093675"/>
    <w:rsid w:val="00097151"/>
    <w:rsid w:val="00097A7B"/>
    <w:rsid w:val="000A366B"/>
    <w:rsid w:val="000A5682"/>
    <w:rsid w:val="000A6587"/>
    <w:rsid w:val="000B0354"/>
    <w:rsid w:val="000B1DD9"/>
    <w:rsid w:val="000B25F5"/>
    <w:rsid w:val="000B4451"/>
    <w:rsid w:val="000B4B4A"/>
    <w:rsid w:val="000B7576"/>
    <w:rsid w:val="000C0D1F"/>
    <w:rsid w:val="000C163A"/>
    <w:rsid w:val="000C2BB1"/>
    <w:rsid w:val="000C3991"/>
    <w:rsid w:val="000C45DD"/>
    <w:rsid w:val="000D1164"/>
    <w:rsid w:val="000D1B17"/>
    <w:rsid w:val="000D2CBF"/>
    <w:rsid w:val="000D3AC1"/>
    <w:rsid w:val="000D580E"/>
    <w:rsid w:val="000D5860"/>
    <w:rsid w:val="000D7A5D"/>
    <w:rsid w:val="000E5E11"/>
    <w:rsid w:val="000F3020"/>
    <w:rsid w:val="000F4572"/>
    <w:rsid w:val="000F73A1"/>
    <w:rsid w:val="001026E6"/>
    <w:rsid w:val="00102E77"/>
    <w:rsid w:val="00103659"/>
    <w:rsid w:val="0010431B"/>
    <w:rsid w:val="00105E4D"/>
    <w:rsid w:val="00106BEC"/>
    <w:rsid w:val="00106FC9"/>
    <w:rsid w:val="00111704"/>
    <w:rsid w:val="001118B3"/>
    <w:rsid w:val="00112A58"/>
    <w:rsid w:val="00112D7A"/>
    <w:rsid w:val="001138F6"/>
    <w:rsid w:val="0011486B"/>
    <w:rsid w:val="00120330"/>
    <w:rsid w:val="0012331B"/>
    <w:rsid w:val="00123B4C"/>
    <w:rsid w:val="00127613"/>
    <w:rsid w:val="00134CB6"/>
    <w:rsid w:val="0014058B"/>
    <w:rsid w:val="00142D9D"/>
    <w:rsid w:val="00143FBF"/>
    <w:rsid w:val="00147216"/>
    <w:rsid w:val="00150F94"/>
    <w:rsid w:val="00152B51"/>
    <w:rsid w:val="00155DBF"/>
    <w:rsid w:val="00157EF2"/>
    <w:rsid w:val="001607E5"/>
    <w:rsid w:val="00162084"/>
    <w:rsid w:val="001647EF"/>
    <w:rsid w:val="00165CF3"/>
    <w:rsid w:val="00166482"/>
    <w:rsid w:val="0016680B"/>
    <w:rsid w:val="00170E73"/>
    <w:rsid w:val="0017178A"/>
    <w:rsid w:val="00172152"/>
    <w:rsid w:val="00174F2A"/>
    <w:rsid w:val="00176A66"/>
    <w:rsid w:val="00180A9F"/>
    <w:rsid w:val="00181982"/>
    <w:rsid w:val="00182B8D"/>
    <w:rsid w:val="0018378C"/>
    <w:rsid w:val="00186B2E"/>
    <w:rsid w:val="00186F07"/>
    <w:rsid w:val="001878BA"/>
    <w:rsid w:val="0019067C"/>
    <w:rsid w:val="0019375E"/>
    <w:rsid w:val="00195920"/>
    <w:rsid w:val="001962F7"/>
    <w:rsid w:val="0019685A"/>
    <w:rsid w:val="001A01D5"/>
    <w:rsid w:val="001A052F"/>
    <w:rsid w:val="001A1310"/>
    <w:rsid w:val="001A1330"/>
    <w:rsid w:val="001A26AB"/>
    <w:rsid w:val="001A27F1"/>
    <w:rsid w:val="001A59D4"/>
    <w:rsid w:val="001A5F8F"/>
    <w:rsid w:val="001A7755"/>
    <w:rsid w:val="001B0143"/>
    <w:rsid w:val="001B125E"/>
    <w:rsid w:val="001B5B21"/>
    <w:rsid w:val="001B5DD6"/>
    <w:rsid w:val="001C1250"/>
    <w:rsid w:val="001C46B3"/>
    <w:rsid w:val="001C48A5"/>
    <w:rsid w:val="001D08D1"/>
    <w:rsid w:val="001D1EE1"/>
    <w:rsid w:val="001D33ED"/>
    <w:rsid w:val="001D5786"/>
    <w:rsid w:val="001D69C7"/>
    <w:rsid w:val="001E140C"/>
    <w:rsid w:val="001E2F27"/>
    <w:rsid w:val="001E45AF"/>
    <w:rsid w:val="001E665C"/>
    <w:rsid w:val="001E77DF"/>
    <w:rsid w:val="001F5AB0"/>
    <w:rsid w:val="001F5E9B"/>
    <w:rsid w:val="001F67F0"/>
    <w:rsid w:val="001F6FFA"/>
    <w:rsid w:val="001F728B"/>
    <w:rsid w:val="00202F0C"/>
    <w:rsid w:val="00203E2E"/>
    <w:rsid w:val="00205E76"/>
    <w:rsid w:val="0020605A"/>
    <w:rsid w:val="00207479"/>
    <w:rsid w:val="00207C23"/>
    <w:rsid w:val="00213011"/>
    <w:rsid w:val="00215449"/>
    <w:rsid w:val="002176B0"/>
    <w:rsid w:val="00217992"/>
    <w:rsid w:val="00222B0E"/>
    <w:rsid w:val="00222DB4"/>
    <w:rsid w:val="00223FCF"/>
    <w:rsid w:val="00225ACB"/>
    <w:rsid w:val="00226C45"/>
    <w:rsid w:val="00231C1D"/>
    <w:rsid w:val="002323DC"/>
    <w:rsid w:val="00232E5A"/>
    <w:rsid w:val="00236659"/>
    <w:rsid w:val="002524C6"/>
    <w:rsid w:val="002537B6"/>
    <w:rsid w:val="0025454D"/>
    <w:rsid w:val="00254887"/>
    <w:rsid w:val="00255CF8"/>
    <w:rsid w:val="00257DDE"/>
    <w:rsid w:val="002666AC"/>
    <w:rsid w:val="0027266A"/>
    <w:rsid w:val="00275A41"/>
    <w:rsid w:val="00281497"/>
    <w:rsid w:val="002814D0"/>
    <w:rsid w:val="00285EA5"/>
    <w:rsid w:val="0028705D"/>
    <w:rsid w:val="00287D1D"/>
    <w:rsid w:val="002902D7"/>
    <w:rsid w:val="00292D88"/>
    <w:rsid w:val="00295F9C"/>
    <w:rsid w:val="002A0ABB"/>
    <w:rsid w:val="002A243F"/>
    <w:rsid w:val="002A7D10"/>
    <w:rsid w:val="002B051C"/>
    <w:rsid w:val="002B3470"/>
    <w:rsid w:val="002B351F"/>
    <w:rsid w:val="002B47E6"/>
    <w:rsid w:val="002B4BCA"/>
    <w:rsid w:val="002B4D65"/>
    <w:rsid w:val="002B5A44"/>
    <w:rsid w:val="002B7001"/>
    <w:rsid w:val="002C1105"/>
    <w:rsid w:val="002C2BC7"/>
    <w:rsid w:val="002C7AEF"/>
    <w:rsid w:val="002D1235"/>
    <w:rsid w:val="002D3AAE"/>
    <w:rsid w:val="002D57AD"/>
    <w:rsid w:val="002D66AF"/>
    <w:rsid w:val="002E0C75"/>
    <w:rsid w:val="002E488C"/>
    <w:rsid w:val="002E7299"/>
    <w:rsid w:val="002E7D35"/>
    <w:rsid w:val="002F1DD6"/>
    <w:rsid w:val="002F386B"/>
    <w:rsid w:val="002F4833"/>
    <w:rsid w:val="002F5E2B"/>
    <w:rsid w:val="002F5EBE"/>
    <w:rsid w:val="003016C0"/>
    <w:rsid w:val="00301921"/>
    <w:rsid w:val="0030264D"/>
    <w:rsid w:val="00302F25"/>
    <w:rsid w:val="003049A5"/>
    <w:rsid w:val="003128D8"/>
    <w:rsid w:val="00314A68"/>
    <w:rsid w:val="003155B0"/>
    <w:rsid w:val="00316691"/>
    <w:rsid w:val="00320459"/>
    <w:rsid w:val="0032184B"/>
    <w:rsid w:val="00326FFC"/>
    <w:rsid w:val="0032722A"/>
    <w:rsid w:val="00327512"/>
    <w:rsid w:val="00331926"/>
    <w:rsid w:val="00331DB4"/>
    <w:rsid w:val="0033337A"/>
    <w:rsid w:val="00334BE4"/>
    <w:rsid w:val="00336267"/>
    <w:rsid w:val="00337D3A"/>
    <w:rsid w:val="00341961"/>
    <w:rsid w:val="00341B10"/>
    <w:rsid w:val="00343742"/>
    <w:rsid w:val="003453D1"/>
    <w:rsid w:val="00345DDE"/>
    <w:rsid w:val="003517D5"/>
    <w:rsid w:val="00353C25"/>
    <w:rsid w:val="00353EDD"/>
    <w:rsid w:val="003567BE"/>
    <w:rsid w:val="00357C6B"/>
    <w:rsid w:val="0036149E"/>
    <w:rsid w:val="003626AE"/>
    <w:rsid w:val="0036383F"/>
    <w:rsid w:val="003638D6"/>
    <w:rsid w:val="00366742"/>
    <w:rsid w:val="0037035B"/>
    <w:rsid w:val="00370915"/>
    <w:rsid w:val="00370E15"/>
    <w:rsid w:val="00370F3F"/>
    <w:rsid w:val="0037283D"/>
    <w:rsid w:val="00373DC9"/>
    <w:rsid w:val="003766BB"/>
    <w:rsid w:val="00381583"/>
    <w:rsid w:val="00382A60"/>
    <w:rsid w:val="00384010"/>
    <w:rsid w:val="00384171"/>
    <w:rsid w:val="003848BC"/>
    <w:rsid w:val="00384FAF"/>
    <w:rsid w:val="003858C8"/>
    <w:rsid w:val="003860F5"/>
    <w:rsid w:val="00386F07"/>
    <w:rsid w:val="003913CA"/>
    <w:rsid w:val="00392103"/>
    <w:rsid w:val="00393F74"/>
    <w:rsid w:val="00396B7F"/>
    <w:rsid w:val="00396D43"/>
    <w:rsid w:val="003976BA"/>
    <w:rsid w:val="0039780C"/>
    <w:rsid w:val="003A0C8F"/>
    <w:rsid w:val="003A10FC"/>
    <w:rsid w:val="003A57A4"/>
    <w:rsid w:val="003A61C0"/>
    <w:rsid w:val="003A6ABC"/>
    <w:rsid w:val="003B021B"/>
    <w:rsid w:val="003B0AA3"/>
    <w:rsid w:val="003B15C6"/>
    <w:rsid w:val="003B2E24"/>
    <w:rsid w:val="003B7149"/>
    <w:rsid w:val="003C34D1"/>
    <w:rsid w:val="003C5B44"/>
    <w:rsid w:val="003C6F42"/>
    <w:rsid w:val="003C799C"/>
    <w:rsid w:val="003C7BC6"/>
    <w:rsid w:val="003D05EE"/>
    <w:rsid w:val="003D0CC9"/>
    <w:rsid w:val="003D0FC3"/>
    <w:rsid w:val="003D2734"/>
    <w:rsid w:val="003D2783"/>
    <w:rsid w:val="003D557F"/>
    <w:rsid w:val="003D7892"/>
    <w:rsid w:val="003E2162"/>
    <w:rsid w:val="003E5B2B"/>
    <w:rsid w:val="003F0368"/>
    <w:rsid w:val="003F0C79"/>
    <w:rsid w:val="003F1202"/>
    <w:rsid w:val="004007F1"/>
    <w:rsid w:val="00400BAE"/>
    <w:rsid w:val="004058B9"/>
    <w:rsid w:val="00407440"/>
    <w:rsid w:val="004078CE"/>
    <w:rsid w:val="00411BED"/>
    <w:rsid w:val="004124AF"/>
    <w:rsid w:val="0041266D"/>
    <w:rsid w:val="00413C99"/>
    <w:rsid w:val="00414440"/>
    <w:rsid w:val="0042135C"/>
    <w:rsid w:val="004244C2"/>
    <w:rsid w:val="004273F0"/>
    <w:rsid w:val="00430F68"/>
    <w:rsid w:val="00431CE3"/>
    <w:rsid w:val="00435682"/>
    <w:rsid w:val="004364A3"/>
    <w:rsid w:val="00440DEE"/>
    <w:rsid w:val="00444122"/>
    <w:rsid w:val="00446214"/>
    <w:rsid w:val="00447A44"/>
    <w:rsid w:val="00454551"/>
    <w:rsid w:val="0045474D"/>
    <w:rsid w:val="00454BAB"/>
    <w:rsid w:val="00454E6D"/>
    <w:rsid w:val="00455649"/>
    <w:rsid w:val="004556EA"/>
    <w:rsid w:val="00455C70"/>
    <w:rsid w:val="00456B2A"/>
    <w:rsid w:val="00460042"/>
    <w:rsid w:val="0046019A"/>
    <w:rsid w:val="0046187E"/>
    <w:rsid w:val="00461E4B"/>
    <w:rsid w:val="004631DF"/>
    <w:rsid w:val="00463DF8"/>
    <w:rsid w:val="00465EF2"/>
    <w:rsid w:val="00467C65"/>
    <w:rsid w:val="00474AC5"/>
    <w:rsid w:val="004756D7"/>
    <w:rsid w:val="00476B76"/>
    <w:rsid w:val="0047790C"/>
    <w:rsid w:val="00480002"/>
    <w:rsid w:val="00480862"/>
    <w:rsid w:val="004814C9"/>
    <w:rsid w:val="00481752"/>
    <w:rsid w:val="0048607C"/>
    <w:rsid w:val="0049051A"/>
    <w:rsid w:val="00494C1D"/>
    <w:rsid w:val="00496574"/>
    <w:rsid w:val="00497C91"/>
    <w:rsid w:val="004A1A15"/>
    <w:rsid w:val="004A2F26"/>
    <w:rsid w:val="004B205C"/>
    <w:rsid w:val="004B4370"/>
    <w:rsid w:val="004B5F92"/>
    <w:rsid w:val="004C0459"/>
    <w:rsid w:val="004C1F15"/>
    <w:rsid w:val="004C34C0"/>
    <w:rsid w:val="004C3B1D"/>
    <w:rsid w:val="004C530D"/>
    <w:rsid w:val="004C59FC"/>
    <w:rsid w:val="004C7D03"/>
    <w:rsid w:val="004D55F3"/>
    <w:rsid w:val="004D6294"/>
    <w:rsid w:val="004D66E7"/>
    <w:rsid w:val="004E3235"/>
    <w:rsid w:val="004E4471"/>
    <w:rsid w:val="004E5D41"/>
    <w:rsid w:val="004E713D"/>
    <w:rsid w:val="004F0B69"/>
    <w:rsid w:val="004F18E8"/>
    <w:rsid w:val="004F2A09"/>
    <w:rsid w:val="004F2EA4"/>
    <w:rsid w:val="004F6948"/>
    <w:rsid w:val="005028DF"/>
    <w:rsid w:val="00502CA0"/>
    <w:rsid w:val="00503D06"/>
    <w:rsid w:val="005040D4"/>
    <w:rsid w:val="00505FFD"/>
    <w:rsid w:val="00506CBF"/>
    <w:rsid w:val="00507422"/>
    <w:rsid w:val="00510601"/>
    <w:rsid w:val="005107B8"/>
    <w:rsid w:val="00515022"/>
    <w:rsid w:val="0051789D"/>
    <w:rsid w:val="0052026B"/>
    <w:rsid w:val="00521868"/>
    <w:rsid w:val="00522C18"/>
    <w:rsid w:val="00524F33"/>
    <w:rsid w:val="00525DBF"/>
    <w:rsid w:val="00530655"/>
    <w:rsid w:val="00533E35"/>
    <w:rsid w:val="00536E5E"/>
    <w:rsid w:val="00542E17"/>
    <w:rsid w:val="0054423D"/>
    <w:rsid w:val="005505BC"/>
    <w:rsid w:val="00553C2D"/>
    <w:rsid w:val="00555D52"/>
    <w:rsid w:val="0056037E"/>
    <w:rsid w:val="0056626B"/>
    <w:rsid w:val="005676AE"/>
    <w:rsid w:val="00567AE8"/>
    <w:rsid w:val="005704ED"/>
    <w:rsid w:val="00573A65"/>
    <w:rsid w:val="00574853"/>
    <w:rsid w:val="00576385"/>
    <w:rsid w:val="0057654A"/>
    <w:rsid w:val="005770DB"/>
    <w:rsid w:val="005827CB"/>
    <w:rsid w:val="00582C9D"/>
    <w:rsid w:val="00583575"/>
    <w:rsid w:val="00583E83"/>
    <w:rsid w:val="005853C8"/>
    <w:rsid w:val="00585EFF"/>
    <w:rsid w:val="005862D5"/>
    <w:rsid w:val="00586E47"/>
    <w:rsid w:val="00592C5D"/>
    <w:rsid w:val="00594828"/>
    <w:rsid w:val="005967AF"/>
    <w:rsid w:val="005A01C0"/>
    <w:rsid w:val="005A429D"/>
    <w:rsid w:val="005A5288"/>
    <w:rsid w:val="005A6B66"/>
    <w:rsid w:val="005B1181"/>
    <w:rsid w:val="005B19BA"/>
    <w:rsid w:val="005B1FCB"/>
    <w:rsid w:val="005B263A"/>
    <w:rsid w:val="005B2A88"/>
    <w:rsid w:val="005B5599"/>
    <w:rsid w:val="005B7670"/>
    <w:rsid w:val="005C6167"/>
    <w:rsid w:val="005D0B59"/>
    <w:rsid w:val="005D1ABE"/>
    <w:rsid w:val="005E0BE9"/>
    <w:rsid w:val="005E288D"/>
    <w:rsid w:val="005E6F03"/>
    <w:rsid w:val="005E76B3"/>
    <w:rsid w:val="005F258D"/>
    <w:rsid w:val="005F26CA"/>
    <w:rsid w:val="005F2D3D"/>
    <w:rsid w:val="005F420F"/>
    <w:rsid w:val="006017C8"/>
    <w:rsid w:val="00604D1B"/>
    <w:rsid w:val="00604F44"/>
    <w:rsid w:val="006057B2"/>
    <w:rsid w:val="0060745A"/>
    <w:rsid w:val="00607CE9"/>
    <w:rsid w:val="00616564"/>
    <w:rsid w:val="0062044E"/>
    <w:rsid w:val="006206DF"/>
    <w:rsid w:val="0062626C"/>
    <w:rsid w:val="00636E99"/>
    <w:rsid w:val="00637306"/>
    <w:rsid w:val="00637B5F"/>
    <w:rsid w:val="00643365"/>
    <w:rsid w:val="00652FBF"/>
    <w:rsid w:val="00655779"/>
    <w:rsid w:val="00655C81"/>
    <w:rsid w:val="00656F2D"/>
    <w:rsid w:val="00657674"/>
    <w:rsid w:val="0065767F"/>
    <w:rsid w:val="00657828"/>
    <w:rsid w:val="00657988"/>
    <w:rsid w:val="00660D40"/>
    <w:rsid w:val="00660E98"/>
    <w:rsid w:val="00661233"/>
    <w:rsid w:val="00661814"/>
    <w:rsid w:val="00661D6C"/>
    <w:rsid w:val="00666F9F"/>
    <w:rsid w:val="00676AB8"/>
    <w:rsid w:val="00677003"/>
    <w:rsid w:val="00683BFF"/>
    <w:rsid w:val="00684655"/>
    <w:rsid w:val="006856C0"/>
    <w:rsid w:val="00687394"/>
    <w:rsid w:val="00691FFF"/>
    <w:rsid w:val="00693F55"/>
    <w:rsid w:val="006A1940"/>
    <w:rsid w:val="006A4470"/>
    <w:rsid w:val="006A49BD"/>
    <w:rsid w:val="006A4C26"/>
    <w:rsid w:val="006A6A6C"/>
    <w:rsid w:val="006A6AE0"/>
    <w:rsid w:val="006A7059"/>
    <w:rsid w:val="006B2FA8"/>
    <w:rsid w:val="006B33C0"/>
    <w:rsid w:val="006B38AE"/>
    <w:rsid w:val="006B4FBC"/>
    <w:rsid w:val="006B5E0A"/>
    <w:rsid w:val="006B77CB"/>
    <w:rsid w:val="006C01FE"/>
    <w:rsid w:val="006C2A20"/>
    <w:rsid w:val="006C44C0"/>
    <w:rsid w:val="006C6639"/>
    <w:rsid w:val="006C77CE"/>
    <w:rsid w:val="006D0312"/>
    <w:rsid w:val="006D2317"/>
    <w:rsid w:val="006D29FA"/>
    <w:rsid w:val="006D4912"/>
    <w:rsid w:val="006D5D20"/>
    <w:rsid w:val="006D6E00"/>
    <w:rsid w:val="006D73BA"/>
    <w:rsid w:val="006E5B0C"/>
    <w:rsid w:val="006E7BE1"/>
    <w:rsid w:val="006F30B2"/>
    <w:rsid w:val="006F3EC7"/>
    <w:rsid w:val="006F4F63"/>
    <w:rsid w:val="006F5D50"/>
    <w:rsid w:val="007030B2"/>
    <w:rsid w:val="00703ACA"/>
    <w:rsid w:val="00705EB3"/>
    <w:rsid w:val="00711AF3"/>
    <w:rsid w:val="0071376C"/>
    <w:rsid w:val="007167EC"/>
    <w:rsid w:val="0072015D"/>
    <w:rsid w:val="007225E5"/>
    <w:rsid w:val="00724C6E"/>
    <w:rsid w:val="00725168"/>
    <w:rsid w:val="00726DBB"/>
    <w:rsid w:val="00726EE1"/>
    <w:rsid w:val="00727E6A"/>
    <w:rsid w:val="00735665"/>
    <w:rsid w:val="00736BA2"/>
    <w:rsid w:val="00740030"/>
    <w:rsid w:val="0074168F"/>
    <w:rsid w:val="007427F2"/>
    <w:rsid w:val="00742CF0"/>
    <w:rsid w:val="00743947"/>
    <w:rsid w:val="0075087D"/>
    <w:rsid w:val="00751BCC"/>
    <w:rsid w:val="0075370C"/>
    <w:rsid w:val="0075372D"/>
    <w:rsid w:val="00753CB3"/>
    <w:rsid w:val="00755BE9"/>
    <w:rsid w:val="00756646"/>
    <w:rsid w:val="00761AB0"/>
    <w:rsid w:val="00761CB5"/>
    <w:rsid w:val="00763146"/>
    <w:rsid w:val="0076332D"/>
    <w:rsid w:val="00764256"/>
    <w:rsid w:val="00766943"/>
    <w:rsid w:val="007678E2"/>
    <w:rsid w:val="00767F2C"/>
    <w:rsid w:val="007704BD"/>
    <w:rsid w:val="00770E09"/>
    <w:rsid w:val="00771908"/>
    <w:rsid w:val="00773277"/>
    <w:rsid w:val="00776819"/>
    <w:rsid w:val="00782C55"/>
    <w:rsid w:val="007848B5"/>
    <w:rsid w:val="00786103"/>
    <w:rsid w:val="00786FB9"/>
    <w:rsid w:val="0078782B"/>
    <w:rsid w:val="0079046C"/>
    <w:rsid w:val="00791964"/>
    <w:rsid w:val="00794F92"/>
    <w:rsid w:val="00795C7E"/>
    <w:rsid w:val="007966FF"/>
    <w:rsid w:val="007969A7"/>
    <w:rsid w:val="007A008C"/>
    <w:rsid w:val="007A1ED7"/>
    <w:rsid w:val="007A2C14"/>
    <w:rsid w:val="007A50A3"/>
    <w:rsid w:val="007A6758"/>
    <w:rsid w:val="007A6962"/>
    <w:rsid w:val="007B0C8E"/>
    <w:rsid w:val="007B1A6F"/>
    <w:rsid w:val="007B36E8"/>
    <w:rsid w:val="007B3CFF"/>
    <w:rsid w:val="007B40C7"/>
    <w:rsid w:val="007B457E"/>
    <w:rsid w:val="007B5537"/>
    <w:rsid w:val="007B6BC5"/>
    <w:rsid w:val="007B7993"/>
    <w:rsid w:val="007B7A91"/>
    <w:rsid w:val="007C3DEE"/>
    <w:rsid w:val="007C4458"/>
    <w:rsid w:val="007C4B84"/>
    <w:rsid w:val="007C5170"/>
    <w:rsid w:val="007D3D2B"/>
    <w:rsid w:val="007D5EFB"/>
    <w:rsid w:val="007D6239"/>
    <w:rsid w:val="007D6D43"/>
    <w:rsid w:val="007D7D54"/>
    <w:rsid w:val="007E4328"/>
    <w:rsid w:val="007E58BB"/>
    <w:rsid w:val="007E6628"/>
    <w:rsid w:val="007F1A53"/>
    <w:rsid w:val="007F2672"/>
    <w:rsid w:val="007F43CC"/>
    <w:rsid w:val="00800883"/>
    <w:rsid w:val="00803443"/>
    <w:rsid w:val="008039BB"/>
    <w:rsid w:val="00805701"/>
    <w:rsid w:val="0081276C"/>
    <w:rsid w:val="0081473E"/>
    <w:rsid w:val="008216FA"/>
    <w:rsid w:val="00822306"/>
    <w:rsid w:val="008228AA"/>
    <w:rsid w:val="00822BEB"/>
    <w:rsid w:val="0082656E"/>
    <w:rsid w:val="00830BF3"/>
    <w:rsid w:val="0083102E"/>
    <w:rsid w:val="00832EBD"/>
    <w:rsid w:val="00833CE5"/>
    <w:rsid w:val="008346E9"/>
    <w:rsid w:val="00835052"/>
    <w:rsid w:val="00840BEE"/>
    <w:rsid w:val="00841EDD"/>
    <w:rsid w:val="00842461"/>
    <w:rsid w:val="00846C44"/>
    <w:rsid w:val="00847248"/>
    <w:rsid w:val="00851030"/>
    <w:rsid w:val="00860974"/>
    <w:rsid w:val="0086134B"/>
    <w:rsid w:val="0086657D"/>
    <w:rsid w:val="0087273C"/>
    <w:rsid w:val="0087515C"/>
    <w:rsid w:val="00877A70"/>
    <w:rsid w:val="00881EB5"/>
    <w:rsid w:val="008823CE"/>
    <w:rsid w:val="00882B82"/>
    <w:rsid w:val="00882BB1"/>
    <w:rsid w:val="00882FCA"/>
    <w:rsid w:val="0088480A"/>
    <w:rsid w:val="00885246"/>
    <w:rsid w:val="008859ED"/>
    <w:rsid w:val="008866CF"/>
    <w:rsid w:val="008867A3"/>
    <w:rsid w:val="008933D0"/>
    <w:rsid w:val="00893D52"/>
    <w:rsid w:val="00896D69"/>
    <w:rsid w:val="0089710C"/>
    <w:rsid w:val="008A0BA4"/>
    <w:rsid w:val="008A0BFF"/>
    <w:rsid w:val="008A5ACB"/>
    <w:rsid w:val="008A5BC2"/>
    <w:rsid w:val="008A79D3"/>
    <w:rsid w:val="008B26A9"/>
    <w:rsid w:val="008B4764"/>
    <w:rsid w:val="008B4D2F"/>
    <w:rsid w:val="008C1B59"/>
    <w:rsid w:val="008C25B5"/>
    <w:rsid w:val="008C2F2A"/>
    <w:rsid w:val="008C3285"/>
    <w:rsid w:val="008C67C0"/>
    <w:rsid w:val="008D1AD1"/>
    <w:rsid w:val="008D470D"/>
    <w:rsid w:val="008D69A6"/>
    <w:rsid w:val="008D7ED7"/>
    <w:rsid w:val="008E1608"/>
    <w:rsid w:val="008E16B7"/>
    <w:rsid w:val="008E6BEE"/>
    <w:rsid w:val="008F017D"/>
    <w:rsid w:val="008F103E"/>
    <w:rsid w:val="008F1149"/>
    <w:rsid w:val="008F1D8D"/>
    <w:rsid w:val="008F348F"/>
    <w:rsid w:val="009003D2"/>
    <w:rsid w:val="00900886"/>
    <w:rsid w:val="009048BC"/>
    <w:rsid w:val="00904F35"/>
    <w:rsid w:val="00906880"/>
    <w:rsid w:val="0090716B"/>
    <w:rsid w:val="0090731C"/>
    <w:rsid w:val="0090753C"/>
    <w:rsid w:val="0091187A"/>
    <w:rsid w:val="009147D9"/>
    <w:rsid w:val="00916627"/>
    <w:rsid w:val="00916A1E"/>
    <w:rsid w:val="00917263"/>
    <w:rsid w:val="00925D6D"/>
    <w:rsid w:val="00932759"/>
    <w:rsid w:val="00933EFE"/>
    <w:rsid w:val="00934B8D"/>
    <w:rsid w:val="009371B4"/>
    <w:rsid w:val="009400F4"/>
    <w:rsid w:val="00941454"/>
    <w:rsid w:val="00950054"/>
    <w:rsid w:val="00950791"/>
    <w:rsid w:val="00951303"/>
    <w:rsid w:val="00951E55"/>
    <w:rsid w:val="00952675"/>
    <w:rsid w:val="00952DC4"/>
    <w:rsid w:val="00954578"/>
    <w:rsid w:val="00954C04"/>
    <w:rsid w:val="009557C6"/>
    <w:rsid w:val="009559A4"/>
    <w:rsid w:val="009577F2"/>
    <w:rsid w:val="009579D9"/>
    <w:rsid w:val="00960872"/>
    <w:rsid w:val="0096291C"/>
    <w:rsid w:val="0096297F"/>
    <w:rsid w:val="009633CB"/>
    <w:rsid w:val="00964C8C"/>
    <w:rsid w:val="009654E1"/>
    <w:rsid w:val="00971189"/>
    <w:rsid w:val="00972C66"/>
    <w:rsid w:val="00980207"/>
    <w:rsid w:val="00982053"/>
    <w:rsid w:val="0099014F"/>
    <w:rsid w:val="009906A7"/>
    <w:rsid w:val="009919C9"/>
    <w:rsid w:val="00992405"/>
    <w:rsid w:val="009A0E46"/>
    <w:rsid w:val="009A1860"/>
    <w:rsid w:val="009A2BD8"/>
    <w:rsid w:val="009A2D87"/>
    <w:rsid w:val="009A4812"/>
    <w:rsid w:val="009B2AD1"/>
    <w:rsid w:val="009B2B89"/>
    <w:rsid w:val="009C1900"/>
    <w:rsid w:val="009C4979"/>
    <w:rsid w:val="009C4A54"/>
    <w:rsid w:val="009C5636"/>
    <w:rsid w:val="009C581C"/>
    <w:rsid w:val="009C7085"/>
    <w:rsid w:val="009C77DD"/>
    <w:rsid w:val="009D4C6E"/>
    <w:rsid w:val="009D6108"/>
    <w:rsid w:val="009D6484"/>
    <w:rsid w:val="009D7A8D"/>
    <w:rsid w:val="009E0DA2"/>
    <w:rsid w:val="009E367B"/>
    <w:rsid w:val="009F2FE4"/>
    <w:rsid w:val="009F51D4"/>
    <w:rsid w:val="009F5A87"/>
    <w:rsid w:val="00A0042A"/>
    <w:rsid w:val="00A00493"/>
    <w:rsid w:val="00A04951"/>
    <w:rsid w:val="00A0684E"/>
    <w:rsid w:val="00A11DD6"/>
    <w:rsid w:val="00A13410"/>
    <w:rsid w:val="00A138FB"/>
    <w:rsid w:val="00A1731F"/>
    <w:rsid w:val="00A17832"/>
    <w:rsid w:val="00A17F08"/>
    <w:rsid w:val="00A209AC"/>
    <w:rsid w:val="00A2445E"/>
    <w:rsid w:val="00A24B93"/>
    <w:rsid w:val="00A261D1"/>
    <w:rsid w:val="00A32571"/>
    <w:rsid w:val="00A351A2"/>
    <w:rsid w:val="00A40A3F"/>
    <w:rsid w:val="00A41060"/>
    <w:rsid w:val="00A449E9"/>
    <w:rsid w:val="00A462B8"/>
    <w:rsid w:val="00A47057"/>
    <w:rsid w:val="00A473EC"/>
    <w:rsid w:val="00A47CBB"/>
    <w:rsid w:val="00A538FC"/>
    <w:rsid w:val="00A53950"/>
    <w:rsid w:val="00A540C7"/>
    <w:rsid w:val="00A54B8D"/>
    <w:rsid w:val="00A558A9"/>
    <w:rsid w:val="00A60531"/>
    <w:rsid w:val="00A6347B"/>
    <w:rsid w:val="00A654D6"/>
    <w:rsid w:val="00A6562C"/>
    <w:rsid w:val="00A66705"/>
    <w:rsid w:val="00A70BF7"/>
    <w:rsid w:val="00A70D38"/>
    <w:rsid w:val="00A71CF5"/>
    <w:rsid w:val="00A72ADC"/>
    <w:rsid w:val="00A75501"/>
    <w:rsid w:val="00A7618F"/>
    <w:rsid w:val="00A81F97"/>
    <w:rsid w:val="00A82A3F"/>
    <w:rsid w:val="00A83F73"/>
    <w:rsid w:val="00A9116C"/>
    <w:rsid w:val="00A97B30"/>
    <w:rsid w:val="00AA083A"/>
    <w:rsid w:val="00AA098A"/>
    <w:rsid w:val="00AA3700"/>
    <w:rsid w:val="00AA4DD4"/>
    <w:rsid w:val="00AA5278"/>
    <w:rsid w:val="00AA6DD9"/>
    <w:rsid w:val="00AA7C6F"/>
    <w:rsid w:val="00AB0D93"/>
    <w:rsid w:val="00AB3F9C"/>
    <w:rsid w:val="00AB5419"/>
    <w:rsid w:val="00AB5C65"/>
    <w:rsid w:val="00AC0F41"/>
    <w:rsid w:val="00AC16CA"/>
    <w:rsid w:val="00AC5E59"/>
    <w:rsid w:val="00AC6B12"/>
    <w:rsid w:val="00AC7692"/>
    <w:rsid w:val="00AD0316"/>
    <w:rsid w:val="00AD216B"/>
    <w:rsid w:val="00AD250F"/>
    <w:rsid w:val="00AD52F0"/>
    <w:rsid w:val="00AD6CEB"/>
    <w:rsid w:val="00AD7100"/>
    <w:rsid w:val="00AD7467"/>
    <w:rsid w:val="00AD7854"/>
    <w:rsid w:val="00AE0690"/>
    <w:rsid w:val="00AE24FD"/>
    <w:rsid w:val="00AE27DB"/>
    <w:rsid w:val="00AE3544"/>
    <w:rsid w:val="00AE3797"/>
    <w:rsid w:val="00AE3F9B"/>
    <w:rsid w:val="00AE4938"/>
    <w:rsid w:val="00AE4CAE"/>
    <w:rsid w:val="00AE7629"/>
    <w:rsid w:val="00AF1426"/>
    <w:rsid w:val="00AF2336"/>
    <w:rsid w:val="00AF3482"/>
    <w:rsid w:val="00AF37B4"/>
    <w:rsid w:val="00AF3D07"/>
    <w:rsid w:val="00AF679D"/>
    <w:rsid w:val="00AF7BFE"/>
    <w:rsid w:val="00B00627"/>
    <w:rsid w:val="00B00DC6"/>
    <w:rsid w:val="00B12C4C"/>
    <w:rsid w:val="00B14A37"/>
    <w:rsid w:val="00B151A8"/>
    <w:rsid w:val="00B1558B"/>
    <w:rsid w:val="00B21EE7"/>
    <w:rsid w:val="00B25AC6"/>
    <w:rsid w:val="00B2793F"/>
    <w:rsid w:val="00B308C7"/>
    <w:rsid w:val="00B31437"/>
    <w:rsid w:val="00B314F7"/>
    <w:rsid w:val="00B36510"/>
    <w:rsid w:val="00B376F3"/>
    <w:rsid w:val="00B403F6"/>
    <w:rsid w:val="00B4253C"/>
    <w:rsid w:val="00B47E85"/>
    <w:rsid w:val="00B5358F"/>
    <w:rsid w:val="00B56FBF"/>
    <w:rsid w:val="00B60D57"/>
    <w:rsid w:val="00B61B81"/>
    <w:rsid w:val="00B62E6B"/>
    <w:rsid w:val="00B75FCF"/>
    <w:rsid w:val="00B822C7"/>
    <w:rsid w:val="00B82357"/>
    <w:rsid w:val="00B82477"/>
    <w:rsid w:val="00B82EA8"/>
    <w:rsid w:val="00B82FF3"/>
    <w:rsid w:val="00B8429E"/>
    <w:rsid w:val="00B84C32"/>
    <w:rsid w:val="00B86114"/>
    <w:rsid w:val="00B865B7"/>
    <w:rsid w:val="00B8763B"/>
    <w:rsid w:val="00B87E9A"/>
    <w:rsid w:val="00B90E7A"/>
    <w:rsid w:val="00B95787"/>
    <w:rsid w:val="00BA40D5"/>
    <w:rsid w:val="00BA4D97"/>
    <w:rsid w:val="00BA4F2B"/>
    <w:rsid w:val="00BB5749"/>
    <w:rsid w:val="00BB6701"/>
    <w:rsid w:val="00BB6B7C"/>
    <w:rsid w:val="00BC2476"/>
    <w:rsid w:val="00BC2C50"/>
    <w:rsid w:val="00BC3FCC"/>
    <w:rsid w:val="00BC525E"/>
    <w:rsid w:val="00BC5885"/>
    <w:rsid w:val="00BD1C79"/>
    <w:rsid w:val="00BD236B"/>
    <w:rsid w:val="00BD2916"/>
    <w:rsid w:val="00BD341D"/>
    <w:rsid w:val="00BD438D"/>
    <w:rsid w:val="00BD49A6"/>
    <w:rsid w:val="00BD6102"/>
    <w:rsid w:val="00BD6389"/>
    <w:rsid w:val="00BD7C16"/>
    <w:rsid w:val="00BE013F"/>
    <w:rsid w:val="00BE17BD"/>
    <w:rsid w:val="00BE24CD"/>
    <w:rsid w:val="00BE3FE9"/>
    <w:rsid w:val="00BE465C"/>
    <w:rsid w:val="00BE6A39"/>
    <w:rsid w:val="00BE6B6C"/>
    <w:rsid w:val="00BE787F"/>
    <w:rsid w:val="00BF0F14"/>
    <w:rsid w:val="00BF1E4A"/>
    <w:rsid w:val="00BF2697"/>
    <w:rsid w:val="00BF37E0"/>
    <w:rsid w:val="00BF41F1"/>
    <w:rsid w:val="00BF486B"/>
    <w:rsid w:val="00C00D40"/>
    <w:rsid w:val="00C02491"/>
    <w:rsid w:val="00C032B0"/>
    <w:rsid w:val="00C0402A"/>
    <w:rsid w:val="00C05E60"/>
    <w:rsid w:val="00C156C4"/>
    <w:rsid w:val="00C22016"/>
    <w:rsid w:val="00C249DC"/>
    <w:rsid w:val="00C24DB2"/>
    <w:rsid w:val="00C33CAF"/>
    <w:rsid w:val="00C342C4"/>
    <w:rsid w:val="00C34710"/>
    <w:rsid w:val="00C3731F"/>
    <w:rsid w:val="00C37E98"/>
    <w:rsid w:val="00C430AD"/>
    <w:rsid w:val="00C44D9F"/>
    <w:rsid w:val="00C51CD7"/>
    <w:rsid w:val="00C54751"/>
    <w:rsid w:val="00C57532"/>
    <w:rsid w:val="00C603EF"/>
    <w:rsid w:val="00C62120"/>
    <w:rsid w:val="00C707C5"/>
    <w:rsid w:val="00C7374F"/>
    <w:rsid w:val="00C77162"/>
    <w:rsid w:val="00C77378"/>
    <w:rsid w:val="00C81382"/>
    <w:rsid w:val="00C81F1F"/>
    <w:rsid w:val="00C82E8B"/>
    <w:rsid w:val="00C82F08"/>
    <w:rsid w:val="00C847FE"/>
    <w:rsid w:val="00C95A3E"/>
    <w:rsid w:val="00C95EB0"/>
    <w:rsid w:val="00C969B4"/>
    <w:rsid w:val="00CA1169"/>
    <w:rsid w:val="00CA1BEF"/>
    <w:rsid w:val="00CA28AD"/>
    <w:rsid w:val="00CA72D5"/>
    <w:rsid w:val="00CA73DF"/>
    <w:rsid w:val="00CA7570"/>
    <w:rsid w:val="00CB0059"/>
    <w:rsid w:val="00CB17AF"/>
    <w:rsid w:val="00CB31BE"/>
    <w:rsid w:val="00CC0315"/>
    <w:rsid w:val="00CC0FE8"/>
    <w:rsid w:val="00CC224F"/>
    <w:rsid w:val="00CC3016"/>
    <w:rsid w:val="00CC33B1"/>
    <w:rsid w:val="00CC69EA"/>
    <w:rsid w:val="00CD7C1B"/>
    <w:rsid w:val="00CE0014"/>
    <w:rsid w:val="00CE1D69"/>
    <w:rsid w:val="00CE1FE9"/>
    <w:rsid w:val="00CE3D0A"/>
    <w:rsid w:val="00CE4DEA"/>
    <w:rsid w:val="00CE4EAE"/>
    <w:rsid w:val="00CE54CE"/>
    <w:rsid w:val="00CE5877"/>
    <w:rsid w:val="00CE5D70"/>
    <w:rsid w:val="00CF052F"/>
    <w:rsid w:val="00CF16A6"/>
    <w:rsid w:val="00CF1E97"/>
    <w:rsid w:val="00CF21BA"/>
    <w:rsid w:val="00CF36C4"/>
    <w:rsid w:val="00D00B97"/>
    <w:rsid w:val="00D0459F"/>
    <w:rsid w:val="00D06A6D"/>
    <w:rsid w:val="00D06BED"/>
    <w:rsid w:val="00D074DB"/>
    <w:rsid w:val="00D10E24"/>
    <w:rsid w:val="00D140D3"/>
    <w:rsid w:val="00D144FA"/>
    <w:rsid w:val="00D14BC0"/>
    <w:rsid w:val="00D151B5"/>
    <w:rsid w:val="00D15B67"/>
    <w:rsid w:val="00D160E4"/>
    <w:rsid w:val="00D160F9"/>
    <w:rsid w:val="00D170A0"/>
    <w:rsid w:val="00D20627"/>
    <w:rsid w:val="00D21889"/>
    <w:rsid w:val="00D22B89"/>
    <w:rsid w:val="00D236C8"/>
    <w:rsid w:val="00D23E25"/>
    <w:rsid w:val="00D24D41"/>
    <w:rsid w:val="00D25389"/>
    <w:rsid w:val="00D26F36"/>
    <w:rsid w:val="00D31A51"/>
    <w:rsid w:val="00D3291B"/>
    <w:rsid w:val="00D35F03"/>
    <w:rsid w:val="00D43D9D"/>
    <w:rsid w:val="00D475BB"/>
    <w:rsid w:val="00D545AA"/>
    <w:rsid w:val="00D57770"/>
    <w:rsid w:val="00D60D60"/>
    <w:rsid w:val="00D65EE1"/>
    <w:rsid w:val="00D66044"/>
    <w:rsid w:val="00D6712C"/>
    <w:rsid w:val="00D671F1"/>
    <w:rsid w:val="00D70623"/>
    <w:rsid w:val="00D71D16"/>
    <w:rsid w:val="00D735A3"/>
    <w:rsid w:val="00D77E0F"/>
    <w:rsid w:val="00D875C9"/>
    <w:rsid w:val="00D877BA"/>
    <w:rsid w:val="00D87C9A"/>
    <w:rsid w:val="00D87FF3"/>
    <w:rsid w:val="00D90D21"/>
    <w:rsid w:val="00D90E96"/>
    <w:rsid w:val="00D931AB"/>
    <w:rsid w:val="00DA0FA6"/>
    <w:rsid w:val="00DA1B8A"/>
    <w:rsid w:val="00DA4EE7"/>
    <w:rsid w:val="00DA5F6D"/>
    <w:rsid w:val="00DA6191"/>
    <w:rsid w:val="00DB4FCB"/>
    <w:rsid w:val="00DB52F0"/>
    <w:rsid w:val="00DB6D5A"/>
    <w:rsid w:val="00DB706E"/>
    <w:rsid w:val="00DB7F65"/>
    <w:rsid w:val="00DC0198"/>
    <w:rsid w:val="00DC1E67"/>
    <w:rsid w:val="00DC40A3"/>
    <w:rsid w:val="00DC45A3"/>
    <w:rsid w:val="00DC46DA"/>
    <w:rsid w:val="00DC5D3F"/>
    <w:rsid w:val="00DC7B65"/>
    <w:rsid w:val="00DD0C04"/>
    <w:rsid w:val="00DD2522"/>
    <w:rsid w:val="00DD317E"/>
    <w:rsid w:val="00DD458A"/>
    <w:rsid w:val="00DD7DD2"/>
    <w:rsid w:val="00DF1C46"/>
    <w:rsid w:val="00DF5F58"/>
    <w:rsid w:val="00DF6FAF"/>
    <w:rsid w:val="00DF7B2F"/>
    <w:rsid w:val="00E06091"/>
    <w:rsid w:val="00E10AE4"/>
    <w:rsid w:val="00E1204B"/>
    <w:rsid w:val="00E12481"/>
    <w:rsid w:val="00E15498"/>
    <w:rsid w:val="00E167C6"/>
    <w:rsid w:val="00E220D6"/>
    <w:rsid w:val="00E221C5"/>
    <w:rsid w:val="00E2347C"/>
    <w:rsid w:val="00E30761"/>
    <w:rsid w:val="00E30BD0"/>
    <w:rsid w:val="00E32F8B"/>
    <w:rsid w:val="00E33CB6"/>
    <w:rsid w:val="00E3438E"/>
    <w:rsid w:val="00E345C5"/>
    <w:rsid w:val="00E369C2"/>
    <w:rsid w:val="00E40EFA"/>
    <w:rsid w:val="00E4139A"/>
    <w:rsid w:val="00E422BB"/>
    <w:rsid w:val="00E42E74"/>
    <w:rsid w:val="00E43574"/>
    <w:rsid w:val="00E462F1"/>
    <w:rsid w:val="00E46931"/>
    <w:rsid w:val="00E46AF9"/>
    <w:rsid w:val="00E50702"/>
    <w:rsid w:val="00E5113C"/>
    <w:rsid w:val="00E53E4D"/>
    <w:rsid w:val="00E54D63"/>
    <w:rsid w:val="00E559CC"/>
    <w:rsid w:val="00E55C80"/>
    <w:rsid w:val="00E5680E"/>
    <w:rsid w:val="00E569AB"/>
    <w:rsid w:val="00E572EC"/>
    <w:rsid w:val="00E57DD6"/>
    <w:rsid w:val="00E6026D"/>
    <w:rsid w:val="00E62BFE"/>
    <w:rsid w:val="00E638B4"/>
    <w:rsid w:val="00E67D05"/>
    <w:rsid w:val="00E70C05"/>
    <w:rsid w:val="00E71085"/>
    <w:rsid w:val="00E7136A"/>
    <w:rsid w:val="00E713B4"/>
    <w:rsid w:val="00E8730F"/>
    <w:rsid w:val="00E939E5"/>
    <w:rsid w:val="00E948CA"/>
    <w:rsid w:val="00E95F1B"/>
    <w:rsid w:val="00E971F6"/>
    <w:rsid w:val="00EA483C"/>
    <w:rsid w:val="00EA5881"/>
    <w:rsid w:val="00EA6524"/>
    <w:rsid w:val="00EA6F2D"/>
    <w:rsid w:val="00EA78EF"/>
    <w:rsid w:val="00EB08B8"/>
    <w:rsid w:val="00EB09A3"/>
    <w:rsid w:val="00EB22EC"/>
    <w:rsid w:val="00EB5DA0"/>
    <w:rsid w:val="00EB6D58"/>
    <w:rsid w:val="00EB786A"/>
    <w:rsid w:val="00EB7E84"/>
    <w:rsid w:val="00EC040B"/>
    <w:rsid w:val="00EC128D"/>
    <w:rsid w:val="00EC3D40"/>
    <w:rsid w:val="00EC42CE"/>
    <w:rsid w:val="00EC66F6"/>
    <w:rsid w:val="00EC6EC4"/>
    <w:rsid w:val="00EC7378"/>
    <w:rsid w:val="00ED1BAD"/>
    <w:rsid w:val="00ED2EC3"/>
    <w:rsid w:val="00ED3F31"/>
    <w:rsid w:val="00ED6C32"/>
    <w:rsid w:val="00EE1DAE"/>
    <w:rsid w:val="00EE366D"/>
    <w:rsid w:val="00EE6176"/>
    <w:rsid w:val="00EE7AA8"/>
    <w:rsid w:val="00EF0E97"/>
    <w:rsid w:val="00EF276E"/>
    <w:rsid w:val="00EF2B85"/>
    <w:rsid w:val="00EF7EC6"/>
    <w:rsid w:val="00F01489"/>
    <w:rsid w:val="00F0153B"/>
    <w:rsid w:val="00F04695"/>
    <w:rsid w:val="00F054E1"/>
    <w:rsid w:val="00F06DBD"/>
    <w:rsid w:val="00F07331"/>
    <w:rsid w:val="00F07904"/>
    <w:rsid w:val="00F107FC"/>
    <w:rsid w:val="00F1122C"/>
    <w:rsid w:val="00F158D0"/>
    <w:rsid w:val="00F206D8"/>
    <w:rsid w:val="00F22805"/>
    <w:rsid w:val="00F25071"/>
    <w:rsid w:val="00F25550"/>
    <w:rsid w:val="00F25B76"/>
    <w:rsid w:val="00F31C71"/>
    <w:rsid w:val="00F36DA3"/>
    <w:rsid w:val="00F40A2A"/>
    <w:rsid w:val="00F4147B"/>
    <w:rsid w:val="00F4178A"/>
    <w:rsid w:val="00F44991"/>
    <w:rsid w:val="00F45B79"/>
    <w:rsid w:val="00F4708D"/>
    <w:rsid w:val="00F527DD"/>
    <w:rsid w:val="00F54DF9"/>
    <w:rsid w:val="00F61552"/>
    <w:rsid w:val="00F63799"/>
    <w:rsid w:val="00F640D7"/>
    <w:rsid w:val="00F653B3"/>
    <w:rsid w:val="00F72D19"/>
    <w:rsid w:val="00F7398E"/>
    <w:rsid w:val="00F739F4"/>
    <w:rsid w:val="00F73DFD"/>
    <w:rsid w:val="00F76BB1"/>
    <w:rsid w:val="00F76CB6"/>
    <w:rsid w:val="00F7705B"/>
    <w:rsid w:val="00F7716A"/>
    <w:rsid w:val="00F83D86"/>
    <w:rsid w:val="00F845C2"/>
    <w:rsid w:val="00F876CF"/>
    <w:rsid w:val="00F90A5F"/>
    <w:rsid w:val="00F9393C"/>
    <w:rsid w:val="00F9457D"/>
    <w:rsid w:val="00F95410"/>
    <w:rsid w:val="00FA0B5D"/>
    <w:rsid w:val="00FA2591"/>
    <w:rsid w:val="00FA334F"/>
    <w:rsid w:val="00FA452C"/>
    <w:rsid w:val="00FA4EC9"/>
    <w:rsid w:val="00FB2D8E"/>
    <w:rsid w:val="00FB4565"/>
    <w:rsid w:val="00FB50AB"/>
    <w:rsid w:val="00FB54AB"/>
    <w:rsid w:val="00FC029D"/>
    <w:rsid w:val="00FC0639"/>
    <w:rsid w:val="00FC0FAF"/>
    <w:rsid w:val="00FC5B01"/>
    <w:rsid w:val="00FC6018"/>
    <w:rsid w:val="00FC6862"/>
    <w:rsid w:val="00FC6EA9"/>
    <w:rsid w:val="00FD30A5"/>
    <w:rsid w:val="00FD441B"/>
    <w:rsid w:val="00FD4552"/>
    <w:rsid w:val="00FD7CDD"/>
    <w:rsid w:val="00FE2764"/>
    <w:rsid w:val="00FE36BB"/>
    <w:rsid w:val="00FE3D4E"/>
    <w:rsid w:val="00FE7E8F"/>
    <w:rsid w:val="00FF372B"/>
    <w:rsid w:val="00FF55A0"/>
    <w:rsid w:val="00FF63C1"/>
    <w:rsid w:val="00FF6472"/>
    <w:rsid w:val="00FF79D7"/>
    <w:rsid w:val="00FF7EE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7ACE3"/>
  <w15:docId w15:val="{B6E0FFE1-6014-E249-ADC0-0631CA6D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03"/>
    <w:pPr>
      <w:ind w:left="720"/>
      <w:contextualSpacing/>
    </w:pPr>
  </w:style>
  <w:style w:type="paragraph" w:customStyle="1" w:styleId="BodyTextIndent1">
    <w:name w:val="Body Text Indent1"/>
    <w:rsid w:val="000F4572"/>
    <w:pPr>
      <w:spacing w:after="0" w:line="240" w:lineRule="auto"/>
      <w:ind w:left="720" w:hanging="720"/>
      <w:jc w:val="both"/>
    </w:pPr>
    <w:rPr>
      <w:rFonts w:ascii="Times New Roman" w:eastAsia="ヒラギノ角ゴ Pro W3" w:hAnsi="Times New Roman" w:cs="Times New Roman"/>
      <w:color w:val="000000"/>
      <w:sz w:val="24"/>
      <w:szCs w:val="20"/>
      <w:lang w:val="en-US" w:eastAsia="en-ZA"/>
    </w:rPr>
  </w:style>
  <w:style w:type="paragraph" w:styleId="Header">
    <w:name w:val="header"/>
    <w:basedOn w:val="Normal"/>
    <w:link w:val="HeaderChar"/>
    <w:uiPriority w:val="99"/>
    <w:unhideWhenUsed/>
    <w:rsid w:val="005107B8"/>
    <w:pPr>
      <w:tabs>
        <w:tab w:val="center" w:pos="4513"/>
        <w:tab w:val="right" w:pos="9026"/>
      </w:tabs>
    </w:pPr>
  </w:style>
  <w:style w:type="character" w:customStyle="1" w:styleId="HeaderChar">
    <w:name w:val="Header Char"/>
    <w:basedOn w:val="DefaultParagraphFont"/>
    <w:link w:val="Header"/>
    <w:uiPriority w:val="99"/>
    <w:rsid w:val="005107B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07B8"/>
    <w:pPr>
      <w:tabs>
        <w:tab w:val="center" w:pos="4513"/>
        <w:tab w:val="right" w:pos="9026"/>
      </w:tabs>
    </w:pPr>
  </w:style>
  <w:style w:type="character" w:customStyle="1" w:styleId="FooterChar">
    <w:name w:val="Footer Char"/>
    <w:basedOn w:val="DefaultParagraphFont"/>
    <w:link w:val="Footer"/>
    <w:uiPriority w:val="99"/>
    <w:rsid w:val="005107B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0042A"/>
    <w:rPr>
      <w:sz w:val="20"/>
      <w:szCs w:val="20"/>
    </w:rPr>
  </w:style>
  <w:style w:type="character" w:customStyle="1" w:styleId="FootnoteTextChar">
    <w:name w:val="Footnote Text Char"/>
    <w:basedOn w:val="DefaultParagraphFont"/>
    <w:link w:val="FootnoteText"/>
    <w:uiPriority w:val="99"/>
    <w:semiHidden/>
    <w:rsid w:val="00A004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0042A"/>
    <w:rPr>
      <w:vertAlign w:val="superscript"/>
    </w:rPr>
  </w:style>
  <w:style w:type="character" w:styleId="Hyperlink">
    <w:name w:val="Hyperlink"/>
    <w:basedOn w:val="DefaultParagraphFont"/>
    <w:uiPriority w:val="99"/>
    <w:unhideWhenUsed/>
    <w:rsid w:val="00392103"/>
    <w:rPr>
      <w:color w:val="0563C1" w:themeColor="hyperlink"/>
      <w:u w:val="single"/>
    </w:rPr>
  </w:style>
  <w:style w:type="character" w:styleId="UnresolvedMention">
    <w:name w:val="Unresolved Mention"/>
    <w:basedOn w:val="DefaultParagraphFont"/>
    <w:uiPriority w:val="99"/>
    <w:semiHidden/>
    <w:unhideWhenUsed/>
    <w:rsid w:val="0039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451">
      <w:bodyDiv w:val="1"/>
      <w:marLeft w:val="0"/>
      <w:marRight w:val="0"/>
      <w:marTop w:val="0"/>
      <w:marBottom w:val="0"/>
      <w:divBdr>
        <w:top w:val="none" w:sz="0" w:space="0" w:color="auto"/>
        <w:left w:val="none" w:sz="0" w:space="0" w:color="auto"/>
        <w:bottom w:val="none" w:sz="0" w:space="0" w:color="auto"/>
        <w:right w:val="none" w:sz="0" w:space="0" w:color="auto"/>
      </w:divBdr>
    </w:div>
    <w:div w:id="633870000">
      <w:bodyDiv w:val="1"/>
      <w:marLeft w:val="0"/>
      <w:marRight w:val="0"/>
      <w:marTop w:val="0"/>
      <w:marBottom w:val="0"/>
      <w:divBdr>
        <w:top w:val="none" w:sz="0" w:space="0" w:color="auto"/>
        <w:left w:val="none" w:sz="0" w:space="0" w:color="auto"/>
        <w:bottom w:val="none" w:sz="0" w:space="0" w:color="auto"/>
        <w:right w:val="none" w:sz="0" w:space="0" w:color="auto"/>
      </w:divBdr>
    </w:div>
    <w:div w:id="670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CF14-B9D0-4C11-B9F1-C66AB5E1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Loekie</dc:creator>
  <cp:lastModifiedBy>Hermias Schreuder</cp:lastModifiedBy>
  <cp:revision>2</cp:revision>
  <cp:lastPrinted>2024-04-09T11:26:00Z</cp:lastPrinted>
  <dcterms:created xsi:type="dcterms:W3CDTF">2024-04-30T12:10:00Z</dcterms:created>
  <dcterms:modified xsi:type="dcterms:W3CDTF">2024-04-30T12:10:00Z</dcterms:modified>
</cp:coreProperties>
</file>