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4F189" w14:textId="77777777" w:rsidR="00255800" w:rsidRPr="00B70E14" w:rsidRDefault="00255800" w:rsidP="00255800">
      <w:pPr>
        <w:jc w:val="center"/>
        <w:rPr>
          <w:rFonts w:eastAsia="Calibri"/>
        </w:rPr>
      </w:pPr>
      <w:bookmarkStart w:id="0" w:name="_GoBack"/>
      <w:bookmarkEnd w:id="0"/>
      <w:r w:rsidRPr="00B70E14">
        <w:rPr>
          <w:rFonts w:ascii="Calibri" w:eastAsia="Calibri" w:hAnsi="Calibri" w:cs="Times New Roman"/>
          <w:noProof/>
          <w:lang w:val="en-ZA" w:eastAsia="en-ZA"/>
        </w:rPr>
        <w:drawing>
          <wp:inline distT="0" distB="0" distL="0" distR="0" wp14:anchorId="3FDAE732" wp14:editId="4BE44075">
            <wp:extent cx="1200150" cy="1609725"/>
            <wp:effectExtent l="0" t="0" r="0" b="9525"/>
            <wp:docPr id="1" name="Picture 1" descr="Description: cid:image001.png@01D297F1.1FEB9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297F1.1FEB9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609725"/>
                    </a:xfrm>
                    <a:prstGeom prst="rect">
                      <a:avLst/>
                    </a:prstGeom>
                    <a:noFill/>
                    <a:ln>
                      <a:noFill/>
                    </a:ln>
                  </pic:spPr>
                </pic:pic>
              </a:graphicData>
            </a:graphic>
          </wp:inline>
        </w:drawing>
      </w:r>
    </w:p>
    <w:p w14:paraId="499305B0" w14:textId="77777777" w:rsidR="00255800" w:rsidRPr="00A22D9D" w:rsidRDefault="00255800" w:rsidP="00255800">
      <w:pPr>
        <w:spacing w:line="360" w:lineRule="auto"/>
        <w:jc w:val="center"/>
        <w:rPr>
          <w:rFonts w:ascii="Arial" w:eastAsia="Calibri" w:hAnsi="Arial" w:cs="Arial"/>
          <w:b/>
          <w:sz w:val="24"/>
          <w:szCs w:val="24"/>
          <w:lang w:val="en-GB"/>
        </w:rPr>
      </w:pPr>
      <w:r w:rsidRPr="00A22D9D">
        <w:rPr>
          <w:rFonts w:ascii="Arial" w:eastAsia="Calibri" w:hAnsi="Arial" w:cs="Arial"/>
          <w:sz w:val="24"/>
          <w:szCs w:val="24"/>
          <w:lang w:val="en-GB"/>
        </w:rPr>
        <w:t xml:space="preserve">     </w:t>
      </w:r>
      <w:r w:rsidRPr="00A22D9D">
        <w:rPr>
          <w:rFonts w:ascii="Arial" w:eastAsia="Calibri" w:hAnsi="Arial" w:cs="Arial"/>
          <w:b/>
          <w:sz w:val="24"/>
          <w:szCs w:val="24"/>
          <w:lang w:val="en-GB"/>
        </w:rPr>
        <w:t xml:space="preserve">   IN THE HIGH COURT OF SOUTH AFRICA</w:t>
      </w:r>
    </w:p>
    <w:p w14:paraId="284E0083" w14:textId="77777777" w:rsidR="00255800" w:rsidRDefault="00255800" w:rsidP="00255800">
      <w:pPr>
        <w:tabs>
          <w:tab w:val="center" w:pos="4513"/>
          <w:tab w:val="right" w:pos="9026"/>
        </w:tabs>
        <w:spacing w:line="360" w:lineRule="auto"/>
        <w:jc w:val="center"/>
        <w:rPr>
          <w:rFonts w:ascii="Arial" w:eastAsia="Calibri" w:hAnsi="Arial" w:cs="Arial"/>
          <w:b/>
          <w:sz w:val="24"/>
          <w:szCs w:val="24"/>
          <w:lang w:val="en-GB"/>
        </w:rPr>
      </w:pPr>
      <w:r w:rsidRPr="00A22D9D">
        <w:rPr>
          <w:rFonts w:ascii="Arial" w:eastAsia="Calibri" w:hAnsi="Arial" w:cs="Arial"/>
          <w:b/>
          <w:sz w:val="24"/>
          <w:szCs w:val="24"/>
          <w:lang w:val="en-GB"/>
        </w:rPr>
        <w:t xml:space="preserve">      (WESTERN CAPE DIVISION, CAPE TOWN)</w:t>
      </w:r>
    </w:p>
    <w:p w14:paraId="537677AE" w14:textId="43D2F55A" w:rsidR="00255800" w:rsidRDefault="00255800" w:rsidP="00255800">
      <w:pPr>
        <w:tabs>
          <w:tab w:val="center" w:pos="4513"/>
          <w:tab w:val="right" w:pos="9026"/>
        </w:tabs>
        <w:spacing w:line="360" w:lineRule="auto"/>
        <w:jc w:val="center"/>
        <w:rPr>
          <w:rFonts w:ascii="Arial" w:eastAsia="Calibri" w:hAnsi="Arial" w:cs="Arial"/>
          <w:b/>
          <w:sz w:val="24"/>
          <w:szCs w:val="24"/>
          <w:lang w:val="en-GB"/>
        </w:rPr>
      </w:pPr>
    </w:p>
    <w:p w14:paraId="0F1B4721" w14:textId="51F3F639" w:rsidR="00E222FC" w:rsidRPr="00A22D9D" w:rsidRDefault="00E222FC" w:rsidP="00255800">
      <w:pPr>
        <w:tabs>
          <w:tab w:val="center" w:pos="4513"/>
          <w:tab w:val="right" w:pos="9026"/>
        </w:tabs>
        <w:spacing w:line="360" w:lineRule="auto"/>
        <w:jc w:val="center"/>
        <w:rPr>
          <w:rFonts w:ascii="Arial" w:eastAsia="Calibri" w:hAnsi="Arial" w:cs="Arial"/>
          <w:b/>
          <w:sz w:val="24"/>
          <w:szCs w:val="24"/>
          <w:lang w:val="en-GB"/>
        </w:rPr>
      </w:pPr>
      <w:r>
        <w:rPr>
          <w:rFonts w:ascii="Arial" w:eastAsia="Calibri" w:hAnsi="Arial" w:cs="Arial"/>
          <w:b/>
          <w:sz w:val="24"/>
          <w:szCs w:val="24"/>
          <w:lang w:val="en-GB"/>
        </w:rPr>
        <w:tab/>
        <w:t xml:space="preserve">                                                                               REPORTABLE </w:t>
      </w:r>
    </w:p>
    <w:p w14:paraId="02DA431A" w14:textId="304DEF59" w:rsidR="00255800" w:rsidRPr="00A22D9D" w:rsidRDefault="00255800" w:rsidP="00255800">
      <w:pPr>
        <w:tabs>
          <w:tab w:val="center" w:pos="4513"/>
          <w:tab w:val="right" w:pos="9026"/>
        </w:tabs>
        <w:spacing w:line="480" w:lineRule="auto"/>
        <w:rPr>
          <w:rFonts w:ascii="Arial" w:eastAsia="Calibri" w:hAnsi="Arial" w:cs="Arial"/>
          <w:b/>
          <w:sz w:val="24"/>
          <w:szCs w:val="24"/>
          <w:lang w:val="en-GB"/>
        </w:rPr>
      </w:pPr>
      <w:r w:rsidRPr="00A22D9D">
        <w:rPr>
          <w:rFonts w:ascii="Arial" w:eastAsia="Calibri" w:hAnsi="Arial" w:cs="Arial"/>
          <w:sz w:val="24"/>
          <w:szCs w:val="24"/>
          <w:lang w:val="en-GB"/>
        </w:rPr>
        <w:tab/>
      </w:r>
      <w:r w:rsidRPr="00A22D9D">
        <w:rPr>
          <w:rFonts w:ascii="Arial" w:eastAsia="Calibri" w:hAnsi="Arial" w:cs="Arial"/>
          <w:sz w:val="24"/>
          <w:szCs w:val="24"/>
          <w:lang w:val="en-GB"/>
        </w:rPr>
        <w:tab/>
        <w:t xml:space="preserve">Case No.: </w:t>
      </w:r>
      <w:r w:rsidR="00D9469D">
        <w:rPr>
          <w:rFonts w:ascii="Arial" w:eastAsia="Calibri" w:hAnsi="Arial" w:cs="Arial"/>
          <w:b/>
          <w:sz w:val="24"/>
          <w:szCs w:val="24"/>
          <w:lang w:val="en-GB"/>
        </w:rPr>
        <w:t>A08/2024</w:t>
      </w:r>
    </w:p>
    <w:p w14:paraId="0A4CFDB6" w14:textId="77777777" w:rsidR="00255800" w:rsidRPr="00A22D9D" w:rsidRDefault="00255800" w:rsidP="00255800">
      <w:pPr>
        <w:tabs>
          <w:tab w:val="center" w:pos="4513"/>
          <w:tab w:val="right" w:pos="9026"/>
        </w:tabs>
        <w:spacing w:line="480" w:lineRule="auto"/>
        <w:rPr>
          <w:rFonts w:ascii="Arial" w:eastAsia="Calibri" w:hAnsi="Arial" w:cs="Arial"/>
          <w:sz w:val="24"/>
          <w:szCs w:val="24"/>
          <w:lang w:val="en-GB"/>
        </w:rPr>
      </w:pPr>
      <w:r w:rsidRPr="00A22D9D">
        <w:rPr>
          <w:rFonts w:ascii="Arial" w:eastAsia="Calibri" w:hAnsi="Arial" w:cs="Arial"/>
          <w:sz w:val="24"/>
          <w:szCs w:val="24"/>
          <w:lang w:val="en-GB"/>
        </w:rPr>
        <w:t xml:space="preserve">In the matter between:  </w:t>
      </w:r>
    </w:p>
    <w:p w14:paraId="1063AAA5" w14:textId="77777777" w:rsidR="008B4C0E" w:rsidRDefault="008B4C0E" w:rsidP="00255800">
      <w:pPr>
        <w:spacing w:after="200" w:line="480" w:lineRule="auto"/>
        <w:jc w:val="both"/>
        <w:rPr>
          <w:rFonts w:ascii="Arial" w:eastAsia="Calibri" w:hAnsi="Arial" w:cs="Arial"/>
          <w:b/>
          <w:sz w:val="24"/>
          <w:szCs w:val="24"/>
          <w:lang w:val="en-GB"/>
        </w:rPr>
      </w:pPr>
    </w:p>
    <w:p w14:paraId="46ADEA9D" w14:textId="386EDEBC" w:rsidR="00255800" w:rsidRPr="00A22D9D" w:rsidRDefault="00255800" w:rsidP="00255800">
      <w:pPr>
        <w:spacing w:after="200" w:line="480" w:lineRule="auto"/>
        <w:jc w:val="both"/>
        <w:rPr>
          <w:rFonts w:ascii="Arial" w:eastAsia="Calibri" w:hAnsi="Arial" w:cs="Arial"/>
          <w:sz w:val="24"/>
          <w:szCs w:val="24"/>
          <w:lang w:val="en-GB"/>
        </w:rPr>
      </w:pPr>
      <w:r>
        <w:rPr>
          <w:rFonts w:ascii="Arial" w:eastAsia="Calibri" w:hAnsi="Arial" w:cs="Arial"/>
          <w:b/>
          <w:sz w:val="24"/>
          <w:szCs w:val="24"/>
          <w:lang w:val="en-GB"/>
        </w:rPr>
        <w:t>ROBARTS FLAGSHIP TRUST</w:t>
      </w:r>
      <w:r>
        <w:rPr>
          <w:rFonts w:ascii="Arial" w:eastAsia="Calibri" w:hAnsi="Arial" w:cs="Arial"/>
          <w:b/>
          <w:sz w:val="24"/>
          <w:szCs w:val="24"/>
          <w:lang w:val="en-GB"/>
        </w:rPr>
        <w:tab/>
      </w:r>
      <w:r>
        <w:rPr>
          <w:rFonts w:ascii="Arial" w:eastAsia="Calibri" w:hAnsi="Arial" w:cs="Arial"/>
          <w:b/>
          <w:sz w:val="24"/>
          <w:szCs w:val="24"/>
          <w:lang w:val="en-GB"/>
        </w:rPr>
        <w:tab/>
      </w:r>
      <w:r w:rsidRPr="00A22D9D">
        <w:rPr>
          <w:rFonts w:ascii="Arial" w:eastAsia="Calibri" w:hAnsi="Arial" w:cs="Arial"/>
          <w:b/>
          <w:sz w:val="24"/>
          <w:szCs w:val="24"/>
          <w:lang w:val="en-GB"/>
        </w:rPr>
        <w:tab/>
      </w:r>
      <w:r w:rsidRPr="00A22D9D">
        <w:rPr>
          <w:rFonts w:ascii="Arial" w:eastAsia="Calibri" w:hAnsi="Arial" w:cs="Arial"/>
          <w:b/>
          <w:sz w:val="24"/>
          <w:szCs w:val="24"/>
          <w:lang w:val="en-GB"/>
        </w:rPr>
        <w:tab/>
        <w:t xml:space="preserve"> </w:t>
      </w:r>
      <w:r w:rsidRPr="00A22D9D">
        <w:rPr>
          <w:rFonts w:ascii="Arial" w:eastAsia="Calibri" w:hAnsi="Arial" w:cs="Arial"/>
          <w:b/>
          <w:sz w:val="24"/>
          <w:szCs w:val="24"/>
          <w:lang w:val="en-GB"/>
        </w:rPr>
        <w:tab/>
      </w:r>
      <w:r>
        <w:rPr>
          <w:rFonts w:ascii="Arial" w:eastAsia="Calibri" w:hAnsi="Arial" w:cs="Arial"/>
          <w:b/>
          <w:sz w:val="24"/>
          <w:szCs w:val="24"/>
          <w:lang w:val="en-GB"/>
        </w:rPr>
        <w:tab/>
      </w:r>
      <w:r>
        <w:rPr>
          <w:rFonts w:ascii="Arial" w:hAnsi="Arial" w:cs="Arial"/>
          <w:sz w:val="24"/>
          <w:szCs w:val="24"/>
        </w:rPr>
        <w:t>Appellant</w:t>
      </w:r>
    </w:p>
    <w:p w14:paraId="3E3564D3" w14:textId="77777777" w:rsidR="00255800" w:rsidRDefault="00255800" w:rsidP="00255800">
      <w:pPr>
        <w:spacing w:after="200" w:line="480" w:lineRule="auto"/>
        <w:jc w:val="both"/>
        <w:rPr>
          <w:rFonts w:ascii="Arial" w:hAnsi="Arial" w:cs="Arial"/>
          <w:sz w:val="24"/>
          <w:szCs w:val="24"/>
        </w:rPr>
      </w:pPr>
    </w:p>
    <w:p w14:paraId="7D9DDFFE" w14:textId="41E66174" w:rsidR="00255800" w:rsidRDefault="00255800" w:rsidP="00255800">
      <w:pPr>
        <w:spacing w:after="200" w:line="480" w:lineRule="auto"/>
        <w:jc w:val="both"/>
        <w:rPr>
          <w:rFonts w:ascii="Arial" w:hAnsi="Arial" w:cs="Arial"/>
          <w:sz w:val="24"/>
          <w:szCs w:val="24"/>
        </w:rPr>
      </w:pPr>
      <w:r>
        <w:rPr>
          <w:rFonts w:ascii="Arial" w:hAnsi="Arial" w:cs="Arial"/>
          <w:sz w:val="24"/>
          <w:szCs w:val="24"/>
        </w:rPr>
        <w:t>v</w:t>
      </w:r>
    </w:p>
    <w:p w14:paraId="7269945B" w14:textId="77777777" w:rsidR="00255800" w:rsidRDefault="00255800" w:rsidP="00255800">
      <w:pPr>
        <w:spacing w:after="0" w:line="240" w:lineRule="auto"/>
        <w:jc w:val="both"/>
        <w:rPr>
          <w:rFonts w:ascii="Arial" w:hAnsi="Arial" w:cs="Arial"/>
          <w:b/>
          <w:sz w:val="24"/>
          <w:szCs w:val="24"/>
        </w:rPr>
      </w:pPr>
    </w:p>
    <w:p w14:paraId="2CA71CC5" w14:textId="1B3B3B64" w:rsidR="00255800" w:rsidRDefault="00255800" w:rsidP="00255800">
      <w:pPr>
        <w:spacing w:after="0" w:line="240" w:lineRule="auto"/>
        <w:jc w:val="both"/>
        <w:rPr>
          <w:rFonts w:ascii="Arial" w:hAnsi="Arial" w:cs="Arial"/>
          <w:b/>
          <w:sz w:val="24"/>
          <w:szCs w:val="24"/>
        </w:rPr>
      </w:pPr>
      <w:r>
        <w:rPr>
          <w:rFonts w:ascii="Arial" w:hAnsi="Arial" w:cs="Arial"/>
          <w:b/>
          <w:sz w:val="24"/>
          <w:szCs w:val="24"/>
        </w:rPr>
        <w:t>DRAKENSTEIN MUNICIPALITY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Respondent</w:t>
      </w:r>
      <w:r w:rsidRPr="004D5121">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p>
    <w:p w14:paraId="2BD1FF1D" w14:textId="77777777" w:rsidR="00255800" w:rsidRPr="00397BD3" w:rsidRDefault="00255800" w:rsidP="00255800">
      <w:pPr>
        <w:pBdr>
          <w:bottom w:val="single" w:sz="12" w:space="1" w:color="auto"/>
        </w:pBdr>
        <w:spacing w:after="200" w:line="480" w:lineRule="auto"/>
        <w:jc w:val="both"/>
        <w:rPr>
          <w:rFonts w:ascii="Arial" w:eastAsia="Calibri" w:hAnsi="Arial" w:cs="Arial"/>
          <w:sz w:val="24"/>
          <w:szCs w:val="24"/>
          <w:lang w:val="en-GB"/>
        </w:rPr>
      </w:pPr>
    </w:p>
    <w:p w14:paraId="3234CE55" w14:textId="77777777" w:rsidR="00255800" w:rsidRPr="00397BD3" w:rsidRDefault="00255800" w:rsidP="00255800">
      <w:pPr>
        <w:spacing w:after="0" w:line="240" w:lineRule="auto"/>
        <w:jc w:val="both"/>
        <w:rPr>
          <w:rFonts w:ascii="Arial" w:eastAsia="Calibri" w:hAnsi="Arial" w:cs="Arial"/>
          <w:sz w:val="24"/>
          <w:szCs w:val="24"/>
          <w:lang w:val="en-GB"/>
        </w:rPr>
      </w:pPr>
    </w:p>
    <w:p w14:paraId="2D29B457" w14:textId="77777777" w:rsidR="00255800" w:rsidRDefault="00255800" w:rsidP="00255800">
      <w:pPr>
        <w:spacing w:after="0" w:line="240" w:lineRule="auto"/>
        <w:jc w:val="both"/>
        <w:rPr>
          <w:rFonts w:ascii="Arial" w:eastAsia="Calibri" w:hAnsi="Arial" w:cs="Arial"/>
          <w:sz w:val="24"/>
          <w:szCs w:val="24"/>
          <w:lang w:val="en-GB"/>
        </w:rPr>
      </w:pPr>
    </w:p>
    <w:p w14:paraId="2EDC61B4" w14:textId="3252CA5A" w:rsidR="00255800" w:rsidRPr="00397BD3" w:rsidRDefault="00255800" w:rsidP="00255800">
      <w:pPr>
        <w:spacing w:after="200" w:line="480" w:lineRule="auto"/>
        <w:jc w:val="both"/>
        <w:rPr>
          <w:rFonts w:ascii="Arial" w:eastAsia="Calibri" w:hAnsi="Arial" w:cs="Arial"/>
          <w:sz w:val="24"/>
          <w:szCs w:val="24"/>
          <w:lang w:val="en-GB"/>
        </w:rPr>
      </w:pPr>
      <w:r w:rsidRPr="00397BD3">
        <w:rPr>
          <w:rFonts w:ascii="Arial" w:eastAsia="Calibri" w:hAnsi="Arial" w:cs="Arial"/>
          <w:sz w:val="24"/>
          <w:szCs w:val="24"/>
          <w:lang w:val="en-GB"/>
        </w:rPr>
        <w:t>Coram</w:t>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r>
      <w:r>
        <w:rPr>
          <w:rFonts w:ascii="Arial" w:eastAsia="Calibri" w:hAnsi="Arial" w:cs="Arial"/>
          <w:sz w:val="24"/>
          <w:szCs w:val="24"/>
          <w:lang w:val="en-GB"/>
        </w:rPr>
        <w:tab/>
      </w:r>
      <w:r w:rsidRPr="00397BD3">
        <w:rPr>
          <w:rFonts w:ascii="Arial" w:eastAsia="Calibri" w:hAnsi="Arial" w:cs="Arial"/>
          <w:sz w:val="24"/>
          <w:szCs w:val="24"/>
          <w:lang w:val="en-GB"/>
        </w:rPr>
        <w:t>:</w:t>
      </w:r>
      <w:r w:rsidRPr="00397BD3">
        <w:rPr>
          <w:rFonts w:ascii="Arial" w:eastAsia="Calibri" w:hAnsi="Arial" w:cs="Arial"/>
          <w:sz w:val="24"/>
          <w:szCs w:val="24"/>
          <w:lang w:val="en-GB"/>
        </w:rPr>
        <w:tab/>
      </w:r>
      <w:proofErr w:type="spellStart"/>
      <w:r>
        <w:rPr>
          <w:rFonts w:ascii="Arial" w:eastAsia="Calibri" w:hAnsi="Arial" w:cs="Arial"/>
          <w:sz w:val="24"/>
          <w:szCs w:val="24"/>
          <w:lang w:val="en-GB"/>
        </w:rPr>
        <w:t>Salie</w:t>
      </w:r>
      <w:proofErr w:type="spellEnd"/>
      <w:r w:rsidRPr="00397BD3">
        <w:rPr>
          <w:rFonts w:ascii="Arial" w:eastAsia="Calibri" w:hAnsi="Arial" w:cs="Arial"/>
          <w:sz w:val="24"/>
          <w:szCs w:val="24"/>
          <w:lang w:val="en-GB"/>
        </w:rPr>
        <w:t>, J</w:t>
      </w:r>
      <w:r>
        <w:rPr>
          <w:rFonts w:ascii="Arial" w:eastAsia="Calibri" w:hAnsi="Arial" w:cs="Arial"/>
          <w:sz w:val="24"/>
          <w:szCs w:val="24"/>
          <w:lang w:val="en-GB"/>
        </w:rPr>
        <w:t xml:space="preserve"> et </w:t>
      </w:r>
      <w:proofErr w:type="spellStart"/>
      <w:r>
        <w:rPr>
          <w:rFonts w:ascii="Arial" w:eastAsia="Calibri" w:hAnsi="Arial" w:cs="Arial"/>
          <w:sz w:val="24"/>
          <w:szCs w:val="24"/>
          <w:lang w:val="en-GB"/>
        </w:rPr>
        <w:t>Kusevitsky</w:t>
      </w:r>
      <w:proofErr w:type="spellEnd"/>
      <w:r>
        <w:rPr>
          <w:rFonts w:ascii="Arial" w:eastAsia="Calibri" w:hAnsi="Arial" w:cs="Arial"/>
          <w:sz w:val="24"/>
          <w:szCs w:val="24"/>
          <w:lang w:val="en-GB"/>
        </w:rPr>
        <w:t>, J</w:t>
      </w:r>
      <w:r w:rsidRPr="00397BD3">
        <w:rPr>
          <w:rFonts w:ascii="Arial" w:eastAsia="Calibri" w:hAnsi="Arial" w:cs="Arial"/>
          <w:sz w:val="24"/>
          <w:szCs w:val="24"/>
          <w:lang w:val="en-GB"/>
        </w:rPr>
        <w:t xml:space="preserve"> </w:t>
      </w:r>
    </w:p>
    <w:p w14:paraId="579D1386" w14:textId="77E0EFE5" w:rsidR="00255800" w:rsidRPr="00397BD3" w:rsidRDefault="00255800" w:rsidP="00255800">
      <w:pPr>
        <w:spacing w:after="200" w:line="480" w:lineRule="auto"/>
        <w:jc w:val="both"/>
        <w:rPr>
          <w:rFonts w:ascii="Arial" w:eastAsia="Calibri" w:hAnsi="Arial" w:cs="Arial"/>
          <w:sz w:val="24"/>
          <w:szCs w:val="24"/>
          <w:lang w:val="en-GB"/>
        </w:rPr>
      </w:pPr>
      <w:r w:rsidRPr="00397BD3">
        <w:rPr>
          <w:rFonts w:ascii="Arial" w:eastAsia="Calibri" w:hAnsi="Arial" w:cs="Arial"/>
          <w:sz w:val="24"/>
          <w:szCs w:val="24"/>
          <w:lang w:val="en-GB"/>
        </w:rPr>
        <w:t>Date of Hearing</w:t>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r>
      <w:r>
        <w:rPr>
          <w:rFonts w:ascii="Arial" w:eastAsia="Calibri" w:hAnsi="Arial" w:cs="Arial"/>
          <w:sz w:val="24"/>
          <w:szCs w:val="24"/>
          <w:lang w:val="en-GB"/>
        </w:rPr>
        <w:tab/>
      </w:r>
      <w:r w:rsidRPr="00397BD3">
        <w:rPr>
          <w:rFonts w:ascii="Arial" w:eastAsia="Calibri" w:hAnsi="Arial" w:cs="Arial"/>
          <w:sz w:val="24"/>
          <w:szCs w:val="24"/>
          <w:lang w:val="en-GB"/>
        </w:rPr>
        <w:t>:</w:t>
      </w:r>
      <w:r w:rsidRPr="00397BD3">
        <w:rPr>
          <w:rFonts w:ascii="Arial" w:eastAsia="Calibri" w:hAnsi="Arial" w:cs="Arial"/>
          <w:sz w:val="24"/>
          <w:szCs w:val="24"/>
          <w:lang w:val="en-GB"/>
        </w:rPr>
        <w:tab/>
      </w:r>
      <w:r>
        <w:rPr>
          <w:rFonts w:ascii="Arial" w:eastAsia="Calibri" w:hAnsi="Arial" w:cs="Arial"/>
          <w:sz w:val="24"/>
          <w:szCs w:val="24"/>
          <w:lang w:val="en-GB"/>
        </w:rPr>
        <w:t>24 May 2024</w:t>
      </w:r>
    </w:p>
    <w:p w14:paraId="4002F36A" w14:textId="1D4C4CD1" w:rsidR="00255800" w:rsidRPr="00397BD3" w:rsidRDefault="00255800" w:rsidP="00255800">
      <w:pPr>
        <w:spacing w:after="200" w:line="480" w:lineRule="auto"/>
        <w:jc w:val="both"/>
        <w:rPr>
          <w:rFonts w:ascii="Arial" w:eastAsia="Calibri" w:hAnsi="Arial" w:cs="Arial"/>
          <w:sz w:val="24"/>
          <w:szCs w:val="24"/>
          <w:lang w:val="en-GB"/>
        </w:rPr>
      </w:pPr>
      <w:r>
        <w:rPr>
          <w:rFonts w:ascii="Arial" w:eastAsia="Calibri" w:hAnsi="Arial" w:cs="Arial"/>
          <w:sz w:val="24"/>
          <w:szCs w:val="24"/>
          <w:lang w:val="en-GB"/>
        </w:rPr>
        <w:lastRenderedPageBreak/>
        <w:t>Written Judgment delivered</w:t>
      </w:r>
      <w:r w:rsidRPr="00397BD3">
        <w:rPr>
          <w:rFonts w:ascii="Arial" w:eastAsia="Calibri" w:hAnsi="Arial" w:cs="Arial"/>
          <w:sz w:val="24"/>
          <w:szCs w:val="24"/>
          <w:lang w:val="en-GB"/>
        </w:rPr>
        <w:tab/>
      </w:r>
      <w:r w:rsidRPr="00397BD3">
        <w:rPr>
          <w:rFonts w:ascii="Arial" w:eastAsia="Calibri" w:hAnsi="Arial" w:cs="Arial"/>
          <w:sz w:val="24"/>
          <w:szCs w:val="24"/>
          <w:lang w:val="en-GB"/>
        </w:rPr>
        <w:tab/>
      </w:r>
      <w:r>
        <w:rPr>
          <w:rFonts w:ascii="Arial" w:eastAsia="Calibri" w:hAnsi="Arial" w:cs="Arial"/>
          <w:sz w:val="24"/>
          <w:szCs w:val="24"/>
          <w:lang w:val="en-GB"/>
        </w:rPr>
        <w:tab/>
      </w:r>
      <w:r w:rsidRPr="00397BD3">
        <w:rPr>
          <w:rFonts w:ascii="Arial" w:eastAsia="Calibri" w:hAnsi="Arial" w:cs="Arial"/>
          <w:sz w:val="24"/>
          <w:szCs w:val="24"/>
          <w:lang w:val="en-GB"/>
        </w:rPr>
        <w:t>:</w:t>
      </w:r>
      <w:r w:rsidRPr="00397BD3">
        <w:rPr>
          <w:rFonts w:ascii="Arial" w:eastAsia="Calibri" w:hAnsi="Arial" w:cs="Arial"/>
          <w:sz w:val="24"/>
          <w:szCs w:val="24"/>
          <w:lang w:val="en-GB"/>
        </w:rPr>
        <w:tab/>
      </w:r>
      <w:r>
        <w:rPr>
          <w:rFonts w:ascii="Arial" w:eastAsia="Calibri" w:hAnsi="Arial" w:cs="Arial"/>
          <w:sz w:val="24"/>
          <w:szCs w:val="24"/>
          <w:lang w:val="en-GB"/>
        </w:rPr>
        <w:t>2</w:t>
      </w:r>
      <w:r w:rsidR="00D9469D">
        <w:rPr>
          <w:rFonts w:ascii="Arial" w:eastAsia="Calibri" w:hAnsi="Arial" w:cs="Arial"/>
          <w:sz w:val="24"/>
          <w:szCs w:val="24"/>
          <w:lang w:val="en-GB"/>
        </w:rPr>
        <w:t>7</w:t>
      </w:r>
      <w:r>
        <w:rPr>
          <w:rFonts w:ascii="Arial" w:eastAsia="Calibri" w:hAnsi="Arial" w:cs="Arial"/>
          <w:sz w:val="24"/>
          <w:szCs w:val="24"/>
          <w:lang w:val="en-GB"/>
        </w:rPr>
        <w:t xml:space="preserve"> May 2024</w:t>
      </w:r>
    </w:p>
    <w:p w14:paraId="0DB8EC8B" w14:textId="5EBB2B1F" w:rsidR="00255800" w:rsidRDefault="00255800" w:rsidP="00255800">
      <w:pPr>
        <w:spacing w:after="200" w:line="480" w:lineRule="auto"/>
        <w:jc w:val="both"/>
        <w:rPr>
          <w:rFonts w:ascii="Arial" w:eastAsia="Calibri" w:hAnsi="Arial" w:cs="Arial"/>
          <w:sz w:val="24"/>
          <w:szCs w:val="24"/>
          <w:lang w:val="en-GB"/>
        </w:rPr>
      </w:pPr>
      <w:r>
        <w:rPr>
          <w:rFonts w:ascii="Arial" w:eastAsia="Calibri" w:hAnsi="Arial" w:cs="Arial"/>
          <w:sz w:val="24"/>
          <w:szCs w:val="24"/>
          <w:lang w:val="en-GB"/>
        </w:rPr>
        <w:t>Attorney f</w:t>
      </w:r>
      <w:r w:rsidRPr="00397BD3">
        <w:rPr>
          <w:rFonts w:ascii="Arial" w:eastAsia="Calibri" w:hAnsi="Arial" w:cs="Arial"/>
          <w:sz w:val="24"/>
          <w:szCs w:val="24"/>
          <w:lang w:val="en-GB"/>
        </w:rPr>
        <w:t xml:space="preserve">or </w:t>
      </w:r>
      <w:r>
        <w:rPr>
          <w:rFonts w:ascii="Arial" w:eastAsia="Calibri" w:hAnsi="Arial" w:cs="Arial"/>
          <w:sz w:val="24"/>
          <w:szCs w:val="24"/>
          <w:lang w:val="en-GB"/>
        </w:rPr>
        <w:t>Appellant</w:t>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r>
      <w:r>
        <w:rPr>
          <w:rFonts w:ascii="Arial" w:eastAsia="Calibri" w:hAnsi="Arial" w:cs="Arial"/>
          <w:sz w:val="24"/>
          <w:szCs w:val="24"/>
          <w:lang w:val="en-GB"/>
        </w:rPr>
        <w:tab/>
      </w:r>
      <w:r w:rsidRPr="00397BD3">
        <w:rPr>
          <w:rFonts w:ascii="Arial" w:eastAsia="Calibri" w:hAnsi="Arial" w:cs="Arial"/>
          <w:sz w:val="24"/>
          <w:szCs w:val="24"/>
          <w:lang w:val="en-GB"/>
        </w:rPr>
        <w:t>:</w:t>
      </w:r>
      <w:r w:rsidRPr="00397BD3">
        <w:rPr>
          <w:rFonts w:ascii="Arial" w:eastAsia="Calibri" w:hAnsi="Arial" w:cs="Arial"/>
          <w:sz w:val="24"/>
          <w:szCs w:val="24"/>
          <w:lang w:val="en-GB"/>
        </w:rPr>
        <w:tab/>
      </w:r>
      <w:r>
        <w:rPr>
          <w:rFonts w:ascii="Arial" w:eastAsia="Calibri" w:hAnsi="Arial" w:cs="Arial"/>
          <w:sz w:val="24"/>
          <w:szCs w:val="24"/>
          <w:lang w:val="en-GB"/>
        </w:rPr>
        <w:t>NGH Attorneys</w:t>
      </w:r>
    </w:p>
    <w:p w14:paraId="4C410D63" w14:textId="794B2DB5" w:rsidR="00255800" w:rsidRPr="00397BD3" w:rsidRDefault="00F93BEE" w:rsidP="00255800">
      <w:pPr>
        <w:spacing w:after="200" w:line="480" w:lineRule="auto"/>
        <w:ind w:left="5040" w:firstLine="720"/>
        <w:jc w:val="both"/>
        <w:rPr>
          <w:rFonts w:ascii="Arial" w:eastAsia="Calibri" w:hAnsi="Arial" w:cs="Arial"/>
          <w:sz w:val="24"/>
          <w:szCs w:val="24"/>
          <w:lang w:val="en-GB"/>
        </w:rPr>
      </w:pPr>
      <w:r>
        <w:rPr>
          <w:rFonts w:ascii="Arial" w:eastAsia="Calibri" w:hAnsi="Arial" w:cs="Arial"/>
          <w:sz w:val="24"/>
          <w:szCs w:val="24"/>
          <w:lang w:val="en-GB"/>
        </w:rPr>
        <w:t xml:space="preserve">Ref: </w:t>
      </w:r>
      <w:r w:rsidR="00255800">
        <w:rPr>
          <w:rFonts w:ascii="Arial" w:eastAsia="Calibri" w:hAnsi="Arial" w:cs="Arial"/>
          <w:sz w:val="24"/>
          <w:szCs w:val="24"/>
          <w:lang w:val="en-GB"/>
        </w:rPr>
        <w:t>Mr N G Haupt</w:t>
      </w:r>
    </w:p>
    <w:p w14:paraId="76AB6DAC" w14:textId="3554F790" w:rsidR="00255800" w:rsidRPr="00397BD3" w:rsidRDefault="00255800" w:rsidP="00255800">
      <w:pPr>
        <w:spacing w:after="200" w:line="480" w:lineRule="auto"/>
        <w:jc w:val="both"/>
        <w:rPr>
          <w:rFonts w:ascii="Arial" w:eastAsia="Calibri" w:hAnsi="Arial" w:cs="Arial"/>
          <w:sz w:val="24"/>
          <w:szCs w:val="24"/>
          <w:lang w:val="en-GB"/>
        </w:rPr>
      </w:pPr>
      <w:r w:rsidRPr="00397BD3">
        <w:rPr>
          <w:rFonts w:ascii="Arial" w:eastAsia="Calibri" w:hAnsi="Arial" w:cs="Arial"/>
          <w:sz w:val="24"/>
          <w:szCs w:val="24"/>
          <w:lang w:val="en-GB"/>
        </w:rPr>
        <w:t>Counsel for Respondent</w:t>
      </w:r>
      <w:r>
        <w:rPr>
          <w:rFonts w:ascii="Arial" w:eastAsia="Calibri" w:hAnsi="Arial" w:cs="Arial"/>
          <w:sz w:val="24"/>
          <w:szCs w:val="24"/>
          <w:lang w:val="en-GB"/>
        </w:rPr>
        <w:tab/>
      </w:r>
      <w:r>
        <w:rPr>
          <w:rFonts w:ascii="Arial" w:eastAsia="Calibri" w:hAnsi="Arial" w:cs="Arial"/>
          <w:sz w:val="24"/>
          <w:szCs w:val="24"/>
          <w:lang w:val="en-GB"/>
        </w:rPr>
        <w:tab/>
      </w:r>
      <w:r w:rsidRPr="00397BD3">
        <w:rPr>
          <w:rFonts w:ascii="Arial" w:eastAsia="Calibri" w:hAnsi="Arial" w:cs="Arial"/>
          <w:sz w:val="24"/>
          <w:szCs w:val="24"/>
          <w:lang w:val="en-GB"/>
        </w:rPr>
        <w:tab/>
      </w:r>
      <w:r>
        <w:rPr>
          <w:rFonts w:ascii="Arial" w:eastAsia="Calibri" w:hAnsi="Arial" w:cs="Arial"/>
          <w:sz w:val="24"/>
          <w:szCs w:val="24"/>
          <w:lang w:val="en-GB"/>
        </w:rPr>
        <w:tab/>
      </w:r>
      <w:r w:rsidRPr="00397BD3">
        <w:rPr>
          <w:rFonts w:ascii="Arial" w:eastAsia="Calibri" w:hAnsi="Arial" w:cs="Arial"/>
          <w:sz w:val="24"/>
          <w:szCs w:val="24"/>
          <w:lang w:val="en-GB"/>
        </w:rPr>
        <w:t>:</w:t>
      </w:r>
      <w:r w:rsidRPr="00397BD3">
        <w:rPr>
          <w:rFonts w:ascii="Arial" w:eastAsia="Calibri" w:hAnsi="Arial" w:cs="Arial"/>
          <w:sz w:val="24"/>
          <w:szCs w:val="24"/>
          <w:lang w:val="en-GB"/>
        </w:rPr>
        <w:tab/>
      </w:r>
      <w:r w:rsidR="00D9469D">
        <w:rPr>
          <w:rFonts w:ascii="Arial" w:eastAsia="Calibri" w:hAnsi="Arial" w:cs="Arial"/>
          <w:sz w:val="24"/>
          <w:szCs w:val="24"/>
          <w:lang w:val="en-GB"/>
        </w:rPr>
        <w:t>Adv. M Roman</w:t>
      </w:r>
    </w:p>
    <w:p w14:paraId="299B501A" w14:textId="587D6F55" w:rsidR="00255800" w:rsidRDefault="008B4C0E" w:rsidP="00255800">
      <w:pPr>
        <w:spacing w:after="200" w:line="480" w:lineRule="auto"/>
        <w:jc w:val="both"/>
        <w:rPr>
          <w:rFonts w:ascii="Arial" w:eastAsia="Calibri" w:hAnsi="Arial" w:cs="Arial"/>
          <w:sz w:val="24"/>
          <w:szCs w:val="24"/>
          <w:lang w:val="en-GB"/>
        </w:rPr>
      </w:pPr>
      <w:r>
        <w:rPr>
          <w:rFonts w:ascii="Arial" w:eastAsia="Calibri" w:hAnsi="Arial" w:cs="Arial"/>
          <w:sz w:val="24"/>
          <w:szCs w:val="24"/>
          <w:lang w:val="en-GB"/>
        </w:rPr>
        <w:t>Attorney for Respondent</w:t>
      </w:r>
      <w:r>
        <w:rPr>
          <w:rFonts w:ascii="Arial" w:eastAsia="Calibri" w:hAnsi="Arial" w:cs="Arial"/>
          <w:sz w:val="24"/>
          <w:szCs w:val="24"/>
          <w:lang w:val="en-GB"/>
        </w:rPr>
        <w:tab/>
      </w:r>
      <w:r>
        <w:rPr>
          <w:rFonts w:ascii="Arial" w:eastAsia="Calibri" w:hAnsi="Arial" w:cs="Arial"/>
          <w:sz w:val="24"/>
          <w:szCs w:val="24"/>
          <w:lang w:val="en-GB"/>
        </w:rPr>
        <w:tab/>
      </w:r>
      <w:r w:rsidR="00255800">
        <w:rPr>
          <w:rFonts w:ascii="Arial" w:eastAsia="Calibri" w:hAnsi="Arial" w:cs="Arial"/>
          <w:sz w:val="24"/>
          <w:szCs w:val="24"/>
          <w:lang w:val="en-GB"/>
        </w:rPr>
        <w:tab/>
      </w:r>
      <w:r w:rsidR="00255800" w:rsidRPr="00397BD3">
        <w:rPr>
          <w:rFonts w:ascii="Arial" w:eastAsia="Calibri" w:hAnsi="Arial" w:cs="Arial"/>
          <w:sz w:val="24"/>
          <w:szCs w:val="24"/>
          <w:lang w:val="en-GB"/>
        </w:rPr>
        <w:tab/>
        <w:t>:</w:t>
      </w:r>
      <w:r w:rsidR="00255800" w:rsidRPr="00397BD3">
        <w:rPr>
          <w:rFonts w:ascii="Arial" w:eastAsia="Calibri" w:hAnsi="Arial" w:cs="Arial"/>
          <w:sz w:val="24"/>
          <w:szCs w:val="24"/>
          <w:lang w:val="en-GB"/>
        </w:rPr>
        <w:tab/>
      </w:r>
      <w:r w:rsidR="00F93BEE">
        <w:rPr>
          <w:rFonts w:ascii="Arial" w:eastAsia="Calibri" w:hAnsi="Arial" w:cs="Arial"/>
          <w:sz w:val="24"/>
          <w:szCs w:val="24"/>
          <w:lang w:val="en-GB"/>
        </w:rPr>
        <w:t>Marlo Laubscher Attorneys</w:t>
      </w:r>
    </w:p>
    <w:p w14:paraId="2788999C" w14:textId="5BB8C885" w:rsidR="00F93BEE" w:rsidRPr="00397BD3" w:rsidRDefault="00F93BEE" w:rsidP="00255800">
      <w:pPr>
        <w:spacing w:after="200" w:line="480" w:lineRule="auto"/>
        <w:jc w:val="both"/>
        <w:rPr>
          <w:rFonts w:ascii="Arial" w:eastAsia="Calibri" w:hAnsi="Arial" w:cs="Arial"/>
          <w:sz w:val="24"/>
          <w:szCs w:val="24"/>
          <w:lang w:val="en-GB"/>
        </w:rPr>
      </w:pP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t>Ref: Mr M Laubscher</w:t>
      </w:r>
    </w:p>
    <w:p w14:paraId="465CCF96" w14:textId="77777777" w:rsidR="00255800" w:rsidRPr="00A22D9D" w:rsidRDefault="00255800" w:rsidP="00255800">
      <w:pPr>
        <w:pBdr>
          <w:bottom w:val="single" w:sz="12" w:space="1" w:color="auto"/>
        </w:pBdr>
        <w:spacing w:after="0" w:line="240" w:lineRule="auto"/>
        <w:jc w:val="both"/>
        <w:rPr>
          <w:rFonts w:ascii="Arial" w:eastAsia="Calibri" w:hAnsi="Arial" w:cs="Arial"/>
          <w:sz w:val="24"/>
          <w:szCs w:val="24"/>
          <w:lang w:val="en-GB"/>
        </w:rPr>
      </w:pPr>
    </w:p>
    <w:p w14:paraId="719474AC" w14:textId="77777777" w:rsidR="00255800" w:rsidRPr="00A22D9D" w:rsidRDefault="00255800" w:rsidP="00255800">
      <w:pPr>
        <w:spacing w:after="0" w:line="240" w:lineRule="auto"/>
        <w:jc w:val="center"/>
        <w:rPr>
          <w:rFonts w:ascii="Arial" w:eastAsia="Calibri" w:hAnsi="Arial" w:cs="Arial"/>
          <w:b/>
          <w:sz w:val="24"/>
          <w:szCs w:val="24"/>
          <w:lang w:val="en-GB"/>
        </w:rPr>
      </w:pPr>
    </w:p>
    <w:p w14:paraId="674CD9C0" w14:textId="665F91BA" w:rsidR="00255800" w:rsidRDefault="00255800" w:rsidP="00255800">
      <w:pPr>
        <w:pBdr>
          <w:bottom w:val="single" w:sz="12" w:space="1" w:color="auto"/>
        </w:pBdr>
        <w:spacing w:after="0" w:line="240" w:lineRule="auto"/>
        <w:jc w:val="center"/>
        <w:rPr>
          <w:rFonts w:ascii="Arial" w:eastAsia="Calibri" w:hAnsi="Arial" w:cs="Arial"/>
          <w:b/>
          <w:sz w:val="24"/>
          <w:szCs w:val="24"/>
          <w:lang w:val="en-GB"/>
        </w:rPr>
      </w:pPr>
      <w:r>
        <w:rPr>
          <w:rFonts w:ascii="Arial" w:eastAsia="Calibri" w:hAnsi="Arial" w:cs="Arial"/>
          <w:b/>
          <w:sz w:val="24"/>
          <w:szCs w:val="24"/>
          <w:lang w:val="en-GB"/>
        </w:rPr>
        <w:t xml:space="preserve">JUDGMENT DELIVERED </w:t>
      </w:r>
      <w:r w:rsidR="00D9469D">
        <w:rPr>
          <w:rFonts w:ascii="Arial" w:eastAsia="Calibri" w:hAnsi="Arial" w:cs="Arial"/>
          <w:b/>
          <w:sz w:val="24"/>
          <w:szCs w:val="24"/>
          <w:lang w:val="en-GB"/>
        </w:rPr>
        <w:t>ELECTRONICALLY ON 27</w:t>
      </w:r>
      <w:r w:rsidR="00F93BEE">
        <w:rPr>
          <w:rFonts w:ascii="Arial" w:eastAsia="Calibri" w:hAnsi="Arial" w:cs="Arial"/>
          <w:b/>
          <w:sz w:val="24"/>
          <w:szCs w:val="24"/>
          <w:lang w:val="en-GB"/>
        </w:rPr>
        <w:t xml:space="preserve"> MAY</w:t>
      </w:r>
      <w:r w:rsidRPr="00A22D9D">
        <w:rPr>
          <w:rFonts w:ascii="Arial" w:eastAsia="Calibri" w:hAnsi="Arial" w:cs="Arial"/>
          <w:b/>
          <w:sz w:val="24"/>
          <w:szCs w:val="24"/>
          <w:lang w:val="en-GB"/>
        </w:rPr>
        <w:t xml:space="preserve"> 2024</w:t>
      </w:r>
    </w:p>
    <w:p w14:paraId="0A4A90EA" w14:textId="77777777" w:rsidR="00255800" w:rsidRPr="00A22D9D" w:rsidRDefault="00255800" w:rsidP="00255800">
      <w:pPr>
        <w:pBdr>
          <w:bottom w:val="single" w:sz="12" w:space="1" w:color="auto"/>
        </w:pBdr>
        <w:spacing w:after="0" w:line="480" w:lineRule="auto"/>
        <w:jc w:val="center"/>
        <w:rPr>
          <w:rFonts w:ascii="Arial" w:eastAsia="Calibri" w:hAnsi="Arial" w:cs="Arial"/>
          <w:b/>
          <w:sz w:val="24"/>
          <w:szCs w:val="24"/>
          <w:lang w:val="en-GB"/>
        </w:rPr>
      </w:pPr>
    </w:p>
    <w:p w14:paraId="69A625A4" w14:textId="77777777" w:rsidR="00255800" w:rsidRPr="00A22D9D" w:rsidRDefault="00255800" w:rsidP="00255800">
      <w:pPr>
        <w:spacing w:after="0" w:line="480" w:lineRule="auto"/>
        <w:rPr>
          <w:rFonts w:ascii="Arial" w:eastAsia="Calibri" w:hAnsi="Arial" w:cs="Arial"/>
          <w:sz w:val="24"/>
          <w:szCs w:val="24"/>
          <w:lang w:val="en-GB"/>
        </w:rPr>
      </w:pPr>
    </w:p>
    <w:p w14:paraId="2F732CBD" w14:textId="13000496" w:rsidR="0035184E" w:rsidRDefault="00DD2345" w:rsidP="00DD2345">
      <w:pPr>
        <w:spacing w:line="480" w:lineRule="auto"/>
        <w:rPr>
          <w:rFonts w:ascii="Arial" w:hAnsi="Arial" w:cs="Arial"/>
          <w:b/>
          <w:sz w:val="24"/>
          <w:szCs w:val="24"/>
          <w:u w:val="single"/>
        </w:rPr>
      </w:pPr>
      <w:r w:rsidRPr="00DD2345">
        <w:rPr>
          <w:rFonts w:ascii="Arial" w:hAnsi="Arial" w:cs="Arial"/>
          <w:b/>
          <w:sz w:val="24"/>
          <w:szCs w:val="24"/>
          <w:u w:val="single"/>
        </w:rPr>
        <w:t>SALIE, J:</w:t>
      </w:r>
    </w:p>
    <w:p w14:paraId="70881A43" w14:textId="77777777" w:rsidR="00DD2345" w:rsidRDefault="00DD2345" w:rsidP="00DD2345">
      <w:pPr>
        <w:spacing w:line="480" w:lineRule="auto"/>
        <w:rPr>
          <w:rFonts w:ascii="Arial" w:hAnsi="Arial" w:cs="Arial"/>
          <w:b/>
          <w:sz w:val="24"/>
          <w:szCs w:val="24"/>
          <w:u w:val="single"/>
        </w:rPr>
      </w:pPr>
    </w:p>
    <w:p w14:paraId="306460BF" w14:textId="0DC0FD42" w:rsidR="00DD2345" w:rsidRDefault="00DD2345" w:rsidP="003A5BC6">
      <w:pPr>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4259F4">
        <w:rPr>
          <w:rFonts w:ascii="Arial" w:hAnsi="Arial" w:cs="Arial"/>
          <w:sz w:val="24"/>
          <w:szCs w:val="24"/>
        </w:rPr>
        <w:t xml:space="preserve">This is an appeal against an order by the Paarl Magistrate’s Court on 1 December 2023 which granted judgment against the appellant for payment of </w:t>
      </w:r>
      <w:r w:rsidR="00393FA0">
        <w:rPr>
          <w:rFonts w:ascii="Arial" w:hAnsi="Arial" w:cs="Arial"/>
          <w:sz w:val="24"/>
          <w:szCs w:val="24"/>
        </w:rPr>
        <w:t xml:space="preserve">prepaid meter </w:t>
      </w:r>
      <w:r w:rsidR="004259F4">
        <w:rPr>
          <w:rFonts w:ascii="Arial" w:hAnsi="Arial" w:cs="Arial"/>
          <w:sz w:val="24"/>
          <w:szCs w:val="24"/>
        </w:rPr>
        <w:t xml:space="preserve">electricity charges provided by the municipality and levied to commercial property situate at </w:t>
      </w:r>
      <w:r w:rsidR="00C95DA2">
        <w:rPr>
          <w:rFonts w:ascii="Arial" w:hAnsi="Arial" w:cs="Arial"/>
          <w:sz w:val="24"/>
          <w:szCs w:val="24"/>
        </w:rPr>
        <w:t xml:space="preserve">348A </w:t>
      </w:r>
      <w:r w:rsidR="004259F4">
        <w:rPr>
          <w:rFonts w:ascii="Arial" w:hAnsi="Arial" w:cs="Arial"/>
          <w:sz w:val="24"/>
          <w:szCs w:val="24"/>
        </w:rPr>
        <w:t>Main Road, Paarl.</w:t>
      </w:r>
    </w:p>
    <w:p w14:paraId="15E04227" w14:textId="77777777" w:rsidR="004259F4" w:rsidRDefault="004259F4" w:rsidP="003A5BC6">
      <w:pPr>
        <w:spacing w:line="480" w:lineRule="auto"/>
        <w:jc w:val="both"/>
        <w:rPr>
          <w:rFonts w:ascii="Arial" w:hAnsi="Arial" w:cs="Arial"/>
          <w:sz w:val="24"/>
          <w:szCs w:val="24"/>
        </w:rPr>
      </w:pPr>
    </w:p>
    <w:p w14:paraId="57567F93" w14:textId="77777777" w:rsidR="00130F39" w:rsidRDefault="004259F4" w:rsidP="003A5BC6">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factual background which forms the matrix of this appeal </w:t>
      </w:r>
      <w:r w:rsidR="00130F39">
        <w:rPr>
          <w:rFonts w:ascii="Arial" w:hAnsi="Arial" w:cs="Arial"/>
          <w:sz w:val="24"/>
          <w:szCs w:val="24"/>
        </w:rPr>
        <w:t>is briefly summarized as follows:</w:t>
      </w:r>
    </w:p>
    <w:p w14:paraId="2C690717" w14:textId="77777777" w:rsidR="00130F39" w:rsidRDefault="00130F39" w:rsidP="003A5BC6">
      <w:pPr>
        <w:spacing w:line="480" w:lineRule="auto"/>
        <w:jc w:val="both"/>
        <w:rPr>
          <w:rFonts w:ascii="Arial" w:hAnsi="Arial" w:cs="Arial"/>
          <w:sz w:val="24"/>
          <w:szCs w:val="24"/>
        </w:rPr>
      </w:pPr>
    </w:p>
    <w:p w14:paraId="5441CB48" w14:textId="56D50A3C" w:rsidR="00130F39" w:rsidRDefault="00130F39" w:rsidP="003A5BC6">
      <w:pPr>
        <w:spacing w:line="480" w:lineRule="auto"/>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t>T</w:t>
      </w:r>
      <w:r w:rsidR="004259F4">
        <w:rPr>
          <w:rFonts w:ascii="Arial" w:hAnsi="Arial" w:cs="Arial"/>
          <w:sz w:val="24"/>
          <w:szCs w:val="24"/>
        </w:rPr>
        <w:t>he appellant is the register</w:t>
      </w:r>
      <w:r w:rsidR="00CC2452">
        <w:rPr>
          <w:rFonts w:ascii="Arial" w:hAnsi="Arial" w:cs="Arial"/>
          <w:sz w:val="24"/>
          <w:szCs w:val="24"/>
        </w:rPr>
        <w:t xml:space="preserve">ed owner of Erf 31339, Paarl, represented by the trustee, Mr. Robarts.  (“Robarts”). </w:t>
      </w:r>
      <w:r w:rsidR="004259F4">
        <w:rPr>
          <w:rFonts w:ascii="Arial" w:hAnsi="Arial" w:cs="Arial"/>
          <w:sz w:val="24"/>
          <w:szCs w:val="24"/>
        </w:rPr>
        <w:t>The pro</w:t>
      </w:r>
      <w:r>
        <w:rPr>
          <w:rFonts w:ascii="Arial" w:hAnsi="Arial" w:cs="Arial"/>
          <w:sz w:val="24"/>
          <w:szCs w:val="24"/>
        </w:rPr>
        <w:t xml:space="preserve">perty is divided into six </w:t>
      </w:r>
      <w:r w:rsidR="004259F4">
        <w:rPr>
          <w:rFonts w:ascii="Arial" w:hAnsi="Arial" w:cs="Arial"/>
          <w:sz w:val="24"/>
          <w:szCs w:val="24"/>
        </w:rPr>
        <w:t xml:space="preserve">units which are rented out to different tenants.  </w:t>
      </w:r>
      <w:r w:rsidR="00FA173D">
        <w:rPr>
          <w:rFonts w:ascii="Arial" w:hAnsi="Arial" w:cs="Arial"/>
          <w:sz w:val="24"/>
          <w:szCs w:val="24"/>
        </w:rPr>
        <w:t xml:space="preserve">A prepaid electrical meter was installed in one of the shops on the property in 2009 which accrued arrear charges from 2012.  </w:t>
      </w:r>
      <w:r w:rsidR="00393FA0">
        <w:rPr>
          <w:rFonts w:ascii="Arial" w:hAnsi="Arial" w:cs="Arial"/>
          <w:sz w:val="24"/>
          <w:szCs w:val="24"/>
        </w:rPr>
        <w:t>Summons was issued in October 2021 and served on the appellant in February 2022</w:t>
      </w:r>
      <w:r w:rsidR="00FA173D">
        <w:rPr>
          <w:rFonts w:ascii="Arial" w:hAnsi="Arial" w:cs="Arial"/>
          <w:sz w:val="24"/>
          <w:szCs w:val="24"/>
        </w:rPr>
        <w:t xml:space="preserve"> for the arrears which had accrued from </w:t>
      </w:r>
      <w:r>
        <w:rPr>
          <w:rFonts w:ascii="Arial" w:hAnsi="Arial" w:cs="Arial"/>
          <w:sz w:val="24"/>
          <w:szCs w:val="24"/>
        </w:rPr>
        <w:t xml:space="preserve">2012 to 2021 in the amount of </w:t>
      </w:r>
      <w:r w:rsidR="00FA173D">
        <w:rPr>
          <w:rFonts w:ascii="Arial" w:hAnsi="Arial" w:cs="Arial"/>
          <w:sz w:val="24"/>
          <w:szCs w:val="24"/>
        </w:rPr>
        <w:t xml:space="preserve">R71 052,68. </w:t>
      </w:r>
      <w:r w:rsidR="00C95DA2">
        <w:rPr>
          <w:rFonts w:ascii="Arial" w:hAnsi="Arial" w:cs="Arial"/>
          <w:sz w:val="24"/>
          <w:szCs w:val="24"/>
        </w:rPr>
        <w:t>I shall refer to the respondent as the municipality unless the context indicate otherwise.</w:t>
      </w:r>
    </w:p>
    <w:p w14:paraId="7B205F65" w14:textId="77777777" w:rsidR="00130F39" w:rsidRDefault="00130F39" w:rsidP="003A5BC6">
      <w:pPr>
        <w:spacing w:line="480" w:lineRule="auto"/>
        <w:jc w:val="both"/>
        <w:rPr>
          <w:rFonts w:ascii="Arial" w:hAnsi="Arial" w:cs="Arial"/>
          <w:sz w:val="24"/>
          <w:szCs w:val="24"/>
        </w:rPr>
      </w:pPr>
    </w:p>
    <w:p w14:paraId="1565AF7D" w14:textId="24228F2F" w:rsidR="00130F39" w:rsidRPr="00393FA0" w:rsidRDefault="00393FA0" w:rsidP="00393FA0">
      <w:pPr>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The particulars of claim set out the claim as an amount for outstanding electricity prepaid fixed charges levied against business consumers for the property in question.  The amount outstanding had accrued between the period of 2012 and 2021.  From the schedule annexed to the particulars the charges are described as a fixed daily charge reconciled at the end of each financial year commencing 2012 until 2021.  </w:t>
      </w:r>
      <w:r w:rsidR="00FA5251">
        <w:rPr>
          <w:rFonts w:ascii="Arial" w:hAnsi="Arial" w:cs="Arial"/>
          <w:sz w:val="24"/>
          <w:szCs w:val="24"/>
        </w:rPr>
        <w:t xml:space="preserve">The unpaid amount had evidently accrued over the </w:t>
      </w:r>
      <w:proofErr w:type="gramStart"/>
      <w:r w:rsidR="00FA5251">
        <w:rPr>
          <w:rFonts w:ascii="Arial" w:hAnsi="Arial" w:cs="Arial"/>
          <w:sz w:val="24"/>
          <w:szCs w:val="24"/>
        </w:rPr>
        <w:t>9 year</w:t>
      </w:r>
      <w:proofErr w:type="gramEnd"/>
      <w:r w:rsidR="00FA5251">
        <w:rPr>
          <w:rFonts w:ascii="Arial" w:hAnsi="Arial" w:cs="Arial"/>
          <w:sz w:val="24"/>
          <w:szCs w:val="24"/>
        </w:rPr>
        <w:t xml:space="preserve"> period as a result of the fact that no prepaid electricity purchases were made during this period against which the daily fixed charge could be set off.</w:t>
      </w:r>
    </w:p>
    <w:p w14:paraId="790A1896" w14:textId="77777777" w:rsidR="00130F39" w:rsidRDefault="00130F39" w:rsidP="003A5BC6">
      <w:pPr>
        <w:spacing w:line="480" w:lineRule="auto"/>
        <w:ind w:left="720" w:firstLine="60"/>
        <w:jc w:val="both"/>
        <w:rPr>
          <w:rFonts w:ascii="Arial" w:hAnsi="Arial" w:cs="Arial"/>
          <w:i/>
          <w:sz w:val="24"/>
          <w:szCs w:val="24"/>
        </w:rPr>
      </w:pPr>
    </w:p>
    <w:p w14:paraId="135E2BF4" w14:textId="70156BC6" w:rsidR="00104234" w:rsidRDefault="00130F39" w:rsidP="003A5BC6">
      <w:pPr>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CC2452">
        <w:rPr>
          <w:rFonts w:ascii="Arial" w:hAnsi="Arial" w:cs="Arial"/>
          <w:sz w:val="24"/>
          <w:szCs w:val="24"/>
        </w:rPr>
        <w:t xml:space="preserve"> The version of Robarts</w:t>
      </w:r>
      <w:r>
        <w:rPr>
          <w:rFonts w:ascii="Arial" w:hAnsi="Arial" w:cs="Arial"/>
          <w:sz w:val="24"/>
          <w:szCs w:val="24"/>
        </w:rPr>
        <w:t xml:space="preserve"> is that he had no knowledge of the installa</w:t>
      </w:r>
      <w:r w:rsidR="00CC2452">
        <w:rPr>
          <w:rFonts w:ascii="Arial" w:hAnsi="Arial" w:cs="Arial"/>
          <w:sz w:val="24"/>
          <w:szCs w:val="24"/>
        </w:rPr>
        <w:t>tion of the prepaid meter as the</w:t>
      </w:r>
      <w:r>
        <w:rPr>
          <w:rFonts w:ascii="Arial" w:hAnsi="Arial" w:cs="Arial"/>
          <w:sz w:val="24"/>
          <w:szCs w:val="24"/>
        </w:rPr>
        <w:t xml:space="preserve"> tenants </w:t>
      </w:r>
      <w:r w:rsidR="00CC2452">
        <w:rPr>
          <w:rFonts w:ascii="Arial" w:hAnsi="Arial" w:cs="Arial"/>
          <w:sz w:val="24"/>
          <w:szCs w:val="24"/>
        </w:rPr>
        <w:t xml:space="preserve">of the trust </w:t>
      </w:r>
      <w:r>
        <w:rPr>
          <w:rFonts w:ascii="Arial" w:hAnsi="Arial" w:cs="Arial"/>
          <w:sz w:val="24"/>
          <w:szCs w:val="24"/>
        </w:rPr>
        <w:t xml:space="preserve">were liable for their own electrical consumption. </w:t>
      </w:r>
      <w:r w:rsidR="008B6850">
        <w:rPr>
          <w:rFonts w:ascii="Arial" w:hAnsi="Arial" w:cs="Arial"/>
          <w:sz w:val="24"/>
          <w:szCs w:val="24"/>
        </w:rPr>
        <w:t>He testified that his lease agreement with his tenant</w:t>
      </w:r>
      <w:r w:rsidR="00FA5251">
        <w:rPr>
          <w:rFonts w:ascii="Arial" w:hAnsi="Arial" w:cs="Arial"/>
          <w:sz w:val="24"/>
          <w:szCs w:val="24"/>
        </w:rPr>
        <w:t xml:space="preserve">s operated on the basis that </w:t>
      </w:r>
      <w:r w:rsidR="008B6850">
        <w:rPr>
          <w:rFonts w:ascii="Arial" w:hAnsi="Arial" w:cs="Arial"/>
          <w:sz w:val="24"/>
          <w:szCs w:val="24"/>
        </w:rPr>
        <w:t>the tenants had their own prepaid meter for their unit/shop</w:t>
      </w:r>
      <w:r w:rsidR="00104234">
        <w:rPr>
          <w:rFonts w:ascii="Arial" w:hAnsi="Arial" w:cs="Arial"/>
          <w:sz w:val="24"/>
          <w:szCs w:val="24"/>
        </w:rPr>
        <w:t xml:space="preserve">.  At record page 68, line 520, Robarts testified in regard to the trust tenants:  </w:t>
      </w:r>
      <w:r w:rsidR="008B6850">
        <w:rPr>
          <w:rFonts w:ascii="Arial" w:hAnsi="Arial" w:cs="Arial"/>
          <w:sz w:val="24"/>
          <w:szCs w:val="24"/>
        </w:rPr>
        <w:t xml:space="preserve"> </w:t>
      </w:r>
    </w:p>
    <w:p w14:paraId="1EC8F40D" w14:textId="77777777" w:rsidR="004514BE" w:rsidRDefault="004514BE" w:rsidP="00104234">
      <w:pPr>
        <w:spacing w:line="480" w:lineRule="auto"/>
        <w:ind w:left="720"/>
        <w:rPr>
          <w:rFonts w:ascii="Arial" w:hAnsi="Arial" w:cs="Arial"/>
          <w:i/>
          <w:sz w:val="24"/>
          <w:szCs w:val="24"/>
        </w:rPr>
      </w:pPr>
    </w:p>
    <w:p w14:paraId="1E476A58" w14:textId="334D747E" w:rsidR="008B6850" w:rsidRDefault="00FD01AE" w:rsidP="003A5BC6">
      <w:pPr>
        <w:spacing w:line="480" w:lineRule="auto"/>
        <w:ind w:left="720"/>
        <w:jc w:val="both"/>
        <w:rPr>
          <w:rFonts w:ascii="Arial" w:hAnsi="Arial" w:cs="Arial"/>
          <w:sz w:val="24"/>
          <w:szCs w:val="24"/>
        </w:rPr>
      </w:pPr>
      <w:r>
        <w:rPr>
          <w:rFonts w:ascii="Arial" w:hAnsi="Arial" w:cs="Arial"/>
          <w:i/>
          <w:sz w:val="24"/>
          <w:szCs w:val="24"/>
        </w:rPr>
        <w:t xml:space="preserve">“But when the tenants have got their own meter for the internal shop, </w:t>
      </w:r>
      <w:r w:rsidRPr="00FD01AE">
        <w:rPr>
          <w:rFonts w:ascii="Arial" w:hAnsi="Arial" w:cs="Arial"/>
          <w:i/>
          <w:sz w:val="24"/>
          <w:szCs w:val="24"/>
          <w:u w:val="single"/>
        </w:rPr>
        <w:t>that</w:t>
      </w:r>
      <w:r w:rsidR="008B6850" w:rsidRPr="00FD01AE">
        <w:rPr>
          <w:rFonts w:ascii="Arial" w:hAnsi="Arial" w:cs="Arial"/>
          <w:i/>
          <w:sz w:val="24"/>
          <w:szCs w:val="24"/>
          <w:u w:val="single"/>
        </w:rPr>
        <w:t xml:space="preserve"> is their problem</w:t>
      </w:r>
      <w:r w:rsidR="008B6850" w:rsidRPr="008B6850">
        <w:rPr>
          <w:rFonts w:ascii="Arial" w:hAnsi="Arial" w:cs="Arial"/>
          <w:i/>
          <w:sz w:val="24"/>
          <w:szCs w:val="24"/>
        </w:rPr>
        <w:t xml:space="preserve">.  I only charge operational costs which include electricity for the common areas, for the lighting, for the security fencing…”  </w:t>
      </w:r>
      <w:r w:rsidRPr="00FD01AE">
        <w:rPr>
          <w:rFonts w:ascii="Arial" w:hAnsi="Arial" w:cs="Arial"/>
          <w:sz w:val="24"/>
          <w:szCs w:val="24"/>
        </w:rPr>
        <w:t>(emphasis own)</w:t>
      </w:r>
    </w:p>
    <w:p w14:paraId="3D7AD5A6" w14:textId="77777777" w:rsidR="00FA5251" w:rsidRPr="00FD01AE" w:rsidRDefault="00FA5251" w:rsidP="003A5BC6">
      <w:pPr>
        <w:spacing w:line="480" w:lineRule="auto"/>
        <w:ind w:left="720"/>
        <w:jc w:val="both"/>
        <w:rPr>
          <w:rFonts w:ascii="Arial" w:hAnsi="Arial" w:cs="Arial"/>
          <w:sz w:val="24"/>
          <w:szCs w:val="24"/>
        </w:rPr>
      </w:pPr>
    </w:p>
    <w:p w14:paraId="64A1E902" w14:textId="47F2FCFE" w:rsidR="002D6275" w:rsidRDefault="008B6850" w:rsidP="003A5BC6">
      <w:pPr>
        <w:spacing w:line="480" w:lineRule="auto"/>
        <w:jc w:val="both"/>
        <w:rPr>
          <w:rFonts w:ascii="Arial" w:hAnsi="Arial" w:cs="Arial"/>
          <w:sz w:val="24"/>
          <w:szCs w:val="24"/>
        </w:rPr>
      </w:pPr>
      <w:r w:rsidRPr="00104234">
        <w:rPr>
          <w:rFonts w:ascii="Arial" w:hAnsi="Arial" w:cs="Arial"/>
          <w:sz w:val="24"/>
          <w:szCs w:val="24"/>
        </w:rPr>
        <w:t>2.4]</w:t>
      </w:r>
      <w:r>
        <w:rPr>
          <w:rFonts w:ascii="Arial" w:hAnsi="Arial" w:cs="Arial"/>
          <w:i/>
          <w:sz w:val="24"/>
          <w:szCs w:val="24"/>
        </w:rPr>
        <w:tab/>
      </w:r>
      <w:r w:rsidR="00130F39">
        <w:rPr>
          <w:rFonts w:ascii="Arial" w:hAnsi="Arial" w:cs="Arial"/>
          <w:sz w:val="24"/>
          <w:szCs w:val="24"/>
        </w:rPr>
        <w:t>T</w:t>
      </w:r>
      <w:r>
        <w:rPr>
          <w:rFonts w:ascii="Arial" w:hAnsi="Arial" w:cs="Arial"/>
          <w:sz w:val="24"/>
          <w:szCs w:val="24"/>
        </w:rPr>
        <w:t>hat t</w:t>
      </w:r>
      <w:r w:rsidR="00130F39">
        <w:rPr>
          <w:rFonts w:ascii="Arial" w:hAnsi="Arial" w:cs="Arial"/>
          <w:sz w:val="24"/>
          <w:szCs w:val="24"/>
        </w:rPr>
        <w:t xml:space="preserve">he prepaid meter </w:t>
      </w:r>
      <w:r w:rsidR="00104234">
        <w:rPr>
          <w:rFonts w:ascii="Arial" w:hAnsi="Arial" w:cs="Arial"/>
          <w:sz w:val="24"/>
          <w:szCs w:val="24"/>
        </w:rPr>
        <w:t xml:space="preserve">for this unit </w:t>
      </w:r>
      <w:r w:rsidR="00130F39">
        <w:rPr>
          <w:rFonts w:ascii="Arial" w:hAnsi="Arial" w:cs="Arial"/>
          <w:sz w:val="24"/>
          <w:szCs w:val="24"/>
        </w:rPr>
        <w:t xml:space="preserve">had been installed at the behest of </w:t>
      </w:r>
      <w:r w:rsidR="00862195">
        <w:rPr>
          <w:rFonts w:ascii="Arial" w:hAnsi="Arial" w:cs="Arial"/>
          <w:sz w:val="24"/>
          <w:szCs w:val="24"/>
        </w:rPr>
        <w:t>one,</w:t>
      </w:r>
      <w:r w:rsidR="00130F39">
        <w:rPr>
          <w:rFonts w:ascii="Arial" w:hAnsi="Arial" w:cs="Arial"/>
          <w:sz w:val="24"/>
          <w:szCs w:val="24"/>
        </w:rPr>
        <w:t xml:space="preserve"> Mr. </w:t>
      </w:r>
      <w:r w:rsidR="00FA5251">
        <w:rPr>
          <w:rFonts w:ascii="Arial" w:hAnsi="Arial" w:cs="Arial"/>
          <w:sz w:val="24"/>
          <w:szCs w:val="24"/>
        </w:rPr>
        <w:t xml:space="preserve">W.J. </w:t>
      </w:r>
      <w:r w:rsidR="00130F39">
        <w:rPr>
          <w:rFonts w:ascii="Arial" w:hAnsi="Arial" w:cs="Arial"/>
          <w:sz w:val="24"/>
          <w:szCs w:val="24"/>
        </w:rPr>
        <w:t xml:space="preserve">Swart </w:t>
      </w:r>
      <w:r w:rsidR="00FA5251">
        <w:rPr>
          <w:rFonts w:ascii="Arial" w:hAnsi="Arial" w:cs="Arial"/>
          <w:sz w:val="24"/>
          <w:szCs w:val="24"/>
        </w:rPr>
        <w:t xml:space="preserve">(“Swart”) </w:t>
      </w:r>
      <w:r w:rsidR="00130F39">
        <w:rPr>
          <w:rFonts w:ascii="Arial" w:hAnsi="Arial" w:cs="Arial"/>
          <w:sz w:val="24"/>
          <w:szCs w:val="24"/>
        </w:rPr>
        <w:t xml:space="preserve">in 2009, was in all probability on behalf of the tenant whom leased and occupied the premises at that time.  </w:t>
      </w:r>
      <w:r>
        <w:rPr>
          <w:rFonts w:ascii="Arial" w:hAnsi="Arial" w:cs="Arial"/>
          <w:sz w:val="24"/>
          <w:szCs w:val="24"/>
        </w:rPr>
        <w:t xml:space="preserve">The latter conclusion had not been placed in dispute. </w:t>
      </w:r>
      <w:r w:rsidR="00FA5251">
        <w:rPr>
          <w:rFonts w:ascii="Arial" w:hAnsi="Arial" w:cs="Arial"/>
          <w:sz w:val="24"/>
          <w:szCs w:val="24"/>
        </w:rPr>
        <w:t xml:space="preserve">Robarts however took issue with the fact that he gave no authorization for the prepaid meter installation and that Swart would have done so as an agent or representative of the appellant’s tenant.  </w:t>
      </w:r>
      <w:r w:rsidR="00862195">
        <w:rPr>
          <w:rFonts w:ascii="Arial" w:hAnsi="Arial" w:cs="Arial"/>
          <w:sz w:val="24"/>
          <w:szCs w:val="24"/>
        </w:rPr>
        <w:t xml:space="preserve">The costs levied in respect of the prepaid meter was maintained through the consumption of prepaid usage until the </w:t>
      </w:r>
      <w:r w:rsidR="00104234">
        <w:rPr>
          <w:rFonts w:ascii="Arial" w:hAnsi="Arial" w:cs="Arial"/>
          <w:sz w:val="24"/>
          <w:szCs w:val="24"/>
        </w:rPr>
        <w:t xml:space="preserve">said </w:t>
      </w:r>
      <w:r w:rsidR="00862195">
        <w:rPr>
          <w:rFonts w:ascii="Arial" w:hAnsi="Arial" w:cs="Arial"/>
          <w:sz w:val="24"/>
          <w:szCs w:val="24"/>
        </w:rPr>
        <w:t xml:space="preserve">tenant vacated in and during 2012. </w:t>
      </w:r>
      <w:r w:rsidR="002D6275">
        <w:rPr>
          <w:rFonts w:ascii="Arial" w:hAnsi="Arial" w:cs="Arial"/>
          <w:sz w:val="24"/>
          <w:szCs w:val="24"/>
        </w:rPr>
        <w:t xml:space="preserve">The tenant vacated the premises sometime during 2012 without informing the appellant as the landlord. </w:t>
      </w:r>
      <w:r w:rsidR="0026327F">
        <w:rPr>
          <w:rFonts w:ascii="Arial" w:hAnsi="Arial" w:cs="Arial"/>
          <w:sz w:val="24"/>
          <w:szCs w:val="24"/>
        </w:rPr>
        <w:t xml:space="preserve"> </w:t>
      </w:r>
    </w:p>
    <w:p w14:paraId="3274ED96" w14:textId="77777777" w:rsidR="002D6275" w:rsidRDefault="002D6275" w:rsidP="003A5BC6">
      <w:pPr>
        <w:spacing w:line="480" w:lineRule="auto"/>
        <w:jc w:val="both"/>
        <w:rPr>
          <w:rFonts w:ascii="Arial" w:hAnsi="Arial" w:cs="Arial"/>
          <w:sz w:val="24"/>
          <w:szCs w:val="24"/>
        </w:rPr>
      </w:pPr>
    </w:p>
    <w:p w14:paraId="4ACB50A2" w14:textId="79485902" w:rsidR="00FD01AE" w:rsidRDefault="002D6275" w:rsidP="003A5BC6">
      <w:pPr>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104234">
        <w:rPr>
          <w:rFonts w:ascii="Arial" w:hAnsi="Arial" w:cs="Arial"/>
          <w:sz w:val="24"/>
          <w:szCs w:val="24"/>
        </w:rPr>
        <w:t xml:space="preserve">Robarts </w:t>
      </w:r>
      <w:r w:rsidR="00CC2452">
        <w:rPr>
          <w:rFonts w:ascii="Arial" w:hAnsi="Arial" w:cs="Arial"/>
          <w:sz w:val="24"/>
          <w:szCs w:val="24"/>
        </w:rPr>
        <w:t>attended at the m</w:t>
      </w:r>
      <w:r w:rsidR="00FA5251">
        <w:rPr>
          <w:rFonts w:ascii="Arial" w:hAnsi="Arial" w:cs="Arial"/>
          <w:sz w:val="24"/>
          <w:szCs w:val="24"/>
        </w:rPr>
        <w:t xml:space="preserve">unicipal offices in 2018, after </w:t>
      </w:r>
      <w:r w:rsidR="00CC2452">
        <w:rPr>
          <w:rFonts w:ascii="Arial" w:hAnsi="Arial" w:cs="Arial"/>
          <w:sz w:val="24"/>
          <w:szCs w:val="24"/>
        </w:rPr>
        <w:t>his discovery of the prepaid meter, and requested its removal</w:t>
      </w:r>
      <w:r w:rsidR="00145167">
        <w:rPr>
          <w:rFonts w:ascii="Arial" w:hAnsi="Arial" w:cs="Arial"/>
          <w:sz w:val="24"/>
          <w:szCs w:val="24"/>
        </w:rPr>
        <w:t xml:space="preserve">, </w:t>
      </w:r>
      <w:r w:rsidR="00CC2452">
        <w:rPr>
          <w:rFonts w:ascii="Arial" w:hAnsi="Arial" w:cs="Arial"/>
          <w:sz w:val="24"/>
          <w:szCs w:val="24"/>
        </w:rPr>
        <w:t>however the municipality refused to remove it until the debt in respect thereof had been paid by the trust as the registered owner.  He maintained however that as the trust had not applied for the meter, it is not responsible for the costs levied in respect of the said prepaid meter.</w:t>
      </w:r>
      <w:r w:rsidR="008B6850">
        <w:rPr>
          <w:rFonts w:ascii="Arial" w:hAnsi="Arial" w:cs="Arial"/>
          <w:sz w:val="24"/>
          <w:szCs w:val="24"/>
        </w:rPr>
        <w:t xml:space="preserve">  </w:t>
      </w:r>
      <w:r w:rsidR="00104234">
        <w:rPr>
          <w:rFonts w:ascii="Arial" w:hAnsi="Arial" w:cs="Arial"/>
          <w:sz w:val="24"/>
          <w:szCs w:val="24"/>
        </w:rPr>
        <w:t>During his testimony (at record page 70, line</w:t>
      </w:r>
      <w:r w:rsidR="00FD01AE">
        <w:rPr>
          <w:rFonts w:ascii="Arial" w:hAnsi="Arial" w:cs="Arial"/>
          <w:sz w:val="24"/>
          <w:szCs w:val="24"/>
        </w:rPr>
        <w:t xml:space="preserve"> </w:t>
      </w:r>
      <w:r w:rsidR="00104234">
        <w:rPr>
          <w:rFonts w:ascii="Arial" w:hAnsi="Arial" w:cs="Arial"/>
          <w:sz w:val="24"/>
          <w:szCs w:val="24"/>
        </w:rPr>
        <w:t xml:space="preserve">599) </w:t>
      </w:r>
      <w:r w:rsidR="00FD01AE">
        <w:rPr>
          <w:rFonts w:ascii="Arial" w:hAnsi="Arial" w:cs="Arial"/>
          <w:sz w:val="24"/>
          <w:szCs w:val="24"/>
        </w:rPr>
        <w:t>he stated that:</w:t>
      </w:r>
    </w:p>
    <w:p w14:paraId="74E13914" w14:textId="77777777" w:rsidR="00FD01AE" w:rsidRPr="00FD01AE" w:rsidRDefault="00FD01AE" w:rsidP="003A5BC6">
      <w:pPr>
        <w:spacing w:line="480" w:lineRule="auto"/>
        <w:ind w:left="720"/>
        <w:jc w:val="both"/>
        <w:rPr>
          <w:rFonts w:ascii="Arial" w:hAnsi="Arial" w:cs="Arial"/>
          <w:i/>
          <w:sz w:val="24"/>
          <w:szCs w:val="24"/>
        </w:rPr>
      </w:pPr>
      <w:r>
        <w:rPr>
          <w:rFonts w:ascii="Arial" w:hAnsi="Arial" w:cs="Arial"/>
          <w:sz w:val="24"/>
          <w:szCs w:val="24"/>
        </w:rPr>
        <w:lastRenderedPageBreak/>
        <w:t>“</w:t>
      </w:r>
      <w:r w:rsidRPr="00FD01AE">
        <w:rPr>
          <w:rFonts w:ascii="Arial" w:hAnsi="Arial" w:cs="Arial"/>
          <w:i/>
          <w:sz w:val="24"/>
          <w:szCs w:val="24"/>
        </w:rPr>
        <w:t xml:space="preserve">They all have prepaid meters.  They would have their </w:t>
      </w:r>
      <w:r w:rsidR="00104234" w:rsidRPr="00FD01AE">
        <w:rPr>
          <w:rFonts w:ascii="Arial" w:hAnsi="Arial" w:cs="Arial"/>
          <w:i/>
          <w:sz w:val="24"/>
          <w:szCs w:val="24"/>
        </w:rPr>
        <w:t>own arrangement with the municipalit</w:t>
      </w:r>
      <w:r w:rsidRPr="00FD01AE">
        <w:rPr>
          <w:rFonts w:ascii="Arial" w:hAnsi="Arial" w:cs="Arial"/>
          <w:i/>
          <w:sz w:val="24"/>
          <w:szCs w:val="24"/>
        </w:rPr>
        <w:t>y.”</w:t>
      </w:r>
    </w:p>
    <w:p w14:paraId="7F57B97C" w14:textId="77777777" w:rsidR="00FD01AE" w:rsidRDefault="00FD01AE" w:rsidP="00130F39">
      <w:pPr>
        <w:spacing w:line="480" w:lineRule="auto"/>
        <w:rPr>
          <w:rFonts w:ascii="Arial" w:hAnsi="Arial" w:cs="Arial"/>
          <w:sz w:val="24"/>
          <w:szCs w:val="24"/>
        </w:rPr>
      </w:pPr>
    </w:p>
    <w:p w14:paraId="6373C8C0" w14:textId="77C8834D" w:rsidR="00862195" w:rsidRDefault="002D6275" w:rsidP="003A5BC6">
      <w:pPr>
        <w:spacing w:line="480" w:lineRule="auto"/>
        <w:jc w:val="both"/>
        <w:rPr>
          <w:rFonts w:ascii="Arial" w:hAnsi="Arial" w:cs="Arial"/>
          <w:sz w:val="24"/>
          <w:szCs w:val="24"/>
        </w:rPr>
      </w:pPr>
      <w:r>
        <w:rPr>
          <w:rFonts w:ascii="Arial" w:hAnsi="Arial" w:cs="Arial"/>
          <w:sz w:val="24"/>
          <w:szCs w:val="24"/>
        </w:rPr>
        <w:t>2.6</w:t>
      </w:r>
      <w:r w:rsidR="00FD01AE">
        <w:rPr>
          <w:rFonts w:ascii="Arial" w:hAnsi="Arial" w:cs="Arial"/>
          <w:sz w:val="24"/>
          <w:szCs w:val="24"/>
        </w:rPr>
        <w:t>]</w:t>
      </w:r>
      <w:r w:rsidR="00FD01AE">
        <w:rPr>
          <w:rFonts w:ascii="Arial" w:hAnsi="Arial" w:cs="Arial"/>
          <w:sz w:val="24"/>
          <w:szCs w:val="24"/>
        </w:rPr>
        <w:tab/>
        <w:t>T</w:t>
      </w:r>
      <w:r w:rsidR="00104234">
        <w:rPr>
          <w:rFonts w:ascii="Arial" w:hAnsi="Arial" w:cs="Arial"/>
          <w:sz w:val="24"/>
          <w:szCs w:val="24"/>
        </w:rPr>
        <w:t xml:space="preserve">he point of departure </w:t>
      </w:r>
      <w:r w:rsidR="004514BE">
        <w:rPr>
          <w:rFonts w:ascii="Arial" w:hAnsi="Arial" w:cs="Arial"/>
          <w:sz w:val="24"/>
          <w:szCs w:val="24"/>
        </w:rPr>
        <w:t>for the appellant is that on the basis that</w:t>
      </w:r>
      <w:r w:rsidR="00104234">
        <w:rPr>
          <w:rFonts w:ascii="Arial" w:hAnsi="Arial" w:cs="Arial"/>
          <w:sz w:val="24"/>
          <w:szCs w:val="24"/>
        </w:rPr>
        <w:t xml:space="preserve"> he was not aware of the installation of this prepaid meter</w:t>
      </w:r>
      <w:r w:rsidR="004514BE">
        <w:rPr>
          <w:rFonts w:ascii="Arial" w:hAnsi="Arial" w:cs="Arial"/>
          <w:sz w:val="24"/>
          <w:szCs w:val="24"/>
        </w:rPr>
        <w:t xml:space="preserve"> (</w:t>
      </w:r>
      <w:r w:rsidR="0026327F">
        <w:rPr>
          <w:rFonts w:ascii="Arial" w:hAnsi="Arial" w:cs="Arial"/>
          <w:sz w:val="24"/>
          <w:szCs w:val="24"/>
        </w:rPr>
        <w:t xml:space="preserve">nor gave his consent or as per his testimony </w:t>
      </w:r>
      <w:r w:rsidR="0026327F" w:rsidRPr="0026327F">
        <w:rPr>
          <w:rFonts w:ascii="Arial" w:hAnsi="Arial" w:cs="Arial"/>
          <w:i/>
          <w:sz w:val="24"/>
          <w:szCs w:val="24"/>
        </w:rPr>
        <w:t>“deleg</w:t>
      </w:r>
      <w:r w:rsidR="004514BE" w:rsidRPr="0026327F">
        <w:rPr>
          <w:rFonts w:ascii="Arial" w:hAnsi="Arial" w:cs="Arial"/>
          <w:i/>
          <w:sz w:val="24"/>
          <w:szCs w:val="24"/>
        </w:rPr>
        <w:t>ated authority</w:t>
      </w:r>
      <w:r w:rsidR="0026327F" w:rsidRPr="0026327F">
        <w:rPr>
          <w:rFonts w:ascii="Arial" w:hAnsi="Arial" w:cs="Arial"/>
          <w:i/>
          <w:sz w:val="24"/>
          <w:szCs w:val="24"/>
        </w:rPr>
        <w:t>”</w:t>
      </w:r>
      <w:r w:rsidR="0026327F" w:rsidRPr="0026327F">
        <w:rPr>
          <w:rFonts w:ascii="Arial" w:hAnsi="Arial" w:cs="Arial"/>
          <w:sz w:val="24"/>
          <w:szCs w:val="24"/>
        </w:rPr>
        <w:t xml:space="preserve"> </w:t>
      </w:r>
      <w:r w:rsidR="0026327F">
        <w:rPr>
          <w:rFonts w:ascii="Arial" w:hAnsi="Arial" w:cs="Arial"/>
          <w:sz w:val="24"/>
          <w:szCs w:val="24"/>
        </w:rPr>
        <w:t>(record page 67, line 468)</w:t>
      </w:r>
      <w:r w:rsidR="00104234">
        <w:rPr>
          <w:rFonts w:ascii="Arial" w:hAnsi="Arial" w:cs="Arial"/>
          <w:sz w:val="24"/>
          <w:szCs w:val="24"/>
        </w:rPr>
        <w:t>, he was not apprised of the accruing costs in respect thereof after the tenant had vacated</w:t>
      </w:r>
      <w:r w:rsidR="00FD01AE">
        <w:rPr>
          <w:rFonts w:ascii="Arial" w:hAnsi="Arial" w:cs="Arial"/>
          <w:sz w:val="24"/>
          <w:szCs w:val="24"/>
        </w:rPr>
        <w:t xml:space="preserve"> </w:t>
      </w:r>
      <w:r w:rsidR="004514BE">
        <w:rPr>
          <w:rFonts w:ascii="Arial" w:hAnsi="Arial" w:cs="Arial"/>
          <w:sz w:val="24"/>
          <w:szCs w:val="24"/>
        </w:rPr>
        <w:t xml:space="preserve">in 2012 </w:t>
      </w:r>
      <w:r w:rsidR="00FD01AE">
        <w:rPr>
          <w:rFonts w:ascii="Arial" w:hAnsi="Arial" w:cs="Arial"/>
          <w:sz w:val="24"/>
          <w:szCs w:val="24"/>
        </w:rPr>
        <w:t>and disputes the liability for and on behalf of the trust as the registered owner</w:t>
      </w:r>
      <w:r w:rsidR="00104234">
        <w:rPr>
          <w:rFonts w:ascii="Arial" w:hAnsi="Arial" w:cs="Arial"/>
          <w:sz w:val="24"/>
          <w:szCs w:val="24"/>
        </w:rPr>
        <w:t xml:space="preserve">.  </w:t>
      </w:r>
      <w:r w:rsidR="0026327F">
        <w:rPr>
          <w:rFonts w:ascii="Arial" w:hAnsi="Arial" w:cs="Arial"/>
          <w:sz w:val="24"/>
          <w:szCs w:val="24"/>
        </w:rPr>
        <w:t xml:space="preserve">An amount in lieu of the unpaid prepaid meter costs was added to his monthly municipal account </w:t>
      </w:r>
      <w:r w:rsidR="002B2567">
        <w:rPr>
          <w:rFonts w:ascii="Arial" w:hAnsi="Arial" w:cs="Arial"/>
          <w:sz w:val="24"/>
          <w:szCs w:val="24"/>
        </w:rPr>
        <w:t xml:space="preserve">in March 2021 </w:t>
      </w:r>
      <w:r w:rsidR="0026327F">
        <w:rPr>
          <w:rFonts w:ascii="Arial" w:hAnsi="Arial" w:cs="Arial"/>
          <w:sz w:val="24"/>
          <w:szCs w:val="24"/>
        </w:rPr>
        <w:t xml:space="preserve">under the heading </w:t>
      </w:r>
      <w:r w:rsidR="0026327F" w:rsidRPr="0026327F">
        <w:rPr>
          <w:rFonts w:ascii="Arial" w:hAnsi="Arial" w:cs="Arial"/>
          <w:i/>
          <w:sz w:val="24"/>
          <w:szCs w:val="24"/>
        </w:rPr>
        <w:t>“Sundry Services ADJ Daily fixed charges”</w:t>
      </w:r>
      <w:r w:rsidR="0026327F">
        <w:rPr>
          <w:rFonts w:ascii="Arial" w:hAnsi="Arial" w:cs="Arial"/>
          <w:sz w:val="24"/>
          <w:szCs w:val="24"/>
        </w:rPr>
        <w:t xml:space="preserve"> and summons issued in respect thereof.  (Record page 65, line 420).  </w:t>
      </w:r>
      <w:r w:rsidR="00FA5251">
        <w:rPr>
          <w:rFonts w:ascii="Arial" w:hAnsi="Arial" w:cs="Arial"/>
          <w:sz w:val="24"/>
          <w:szCs w:val="24"/>
        </w:rPr>
        <w:t>T</w:t>
      </w:r>
      <w:r w:rsidR="00C95DA2">
        <w:rPr>
          <w:rFonts w:ascii="Arial" w:hAnsi="Arial" w:cs="Arial"/>
          <w:sz w:val="24"/>
          <w:szCs w:val="24"/>
        </w:rPr>
        <w:t>his amount was R73</w:t>
      </w:r>
      <w:r w:rsidR="00145167">
        <w:rPr>
          <w:rFonts w:ascii="Arial" w:hAnsi="Arial" w:cs="Arial"/>
          <w:sz w:val="24"/>
          <w:szCs w:val="24"/>
        </w:rPr>
        <w:t xml:space="preserve"> </w:t>
      </w:r>
      <w:r w:rsidR="00C95DA2">
        <w:rPr>
          <w:rFonts w:ascii="Arial" w:hAnsi="Arial" w:cs="Arial"/>
          <w:sz w:val="24"/>
          <w:szCs w:val="24"/>
        </w:rPr>
        <w:t>963.25</w:t>
      </w:r>
      <w:r w:rsidR="00FA5251">
        <w:rPr>
          <w:rFonts w:ascii="Arial" w:hAnsi="Arial" w:cs="Arial"/>
          <w:sz w:val="24"/>
          <w:szCs w:val="24"/>
        </w:rPr>
        <w:t>, later adjusted on the account</w:t>
      </w:r>
      <w:r w:rsidR="00145167">
        <w:rPr>
          <w:rFonts w:ascii="Arial" w:hAnsi="Arial" w:cs="Arial"/>
          <w:sz w:val="24"/>
          <w:szCs w:val="24"/>
        </w:rPr>
        <w:t xml:space="preserve"> by the municipality to R71 052.</w:t>
      </w:r>
      <w:r w:rsidR="00FA5251">
        <w:rPr>
          <w:rFonts w:ascii="Arial" w:hAnsi="Arial" w:cs="Arial"/>
          <w:sz w:val="24"/>
          <w:szCs w:val="24"/>
        </w:rPr>
        <w:t xml:space="preserve">68 as the exact amount due for the period and in accordance with the aforesaid schedule.  </w:t>
      </w:r>
      <w:r w:rsidR="00104234">
        <w:rPr>
          <w:rFonts w:ascii="Arial" w:hAnsi="Arial" w:cs="Arial"/>
          <w:sz w:val="24"/>
          <w:szCs w:val="24"/>
        </w:rPr>
        <w:t xml:space="preserve">I shall deal with this aspect </w:t>
      </w:r>
      <w:r w:rsidR="00FD01AE">
        <w:rPr>
          <w:rFonts w:ascii="Arial" w:hAnsi="Arial" w:cs="Arial"/>
          <w:sz w:val="24"/>
          <w:szCs w:val="24"/>
        </w:rPr>
        <w:t xml:space="preserve">in more detail </w:t>
      </w:r>
      <w:r w:rsidR="00104234">
        <w:rPr>
          <w:rFonts w:ascii="Arial" w:hAnsi="Arial" w:cs="Arial"/>
          <w:sz w:val="24"/>
          <w:szCs w:val="24"/>
        </w:rPr>
        <w:t>later.</w:t>
      </w:r>
      <w:r w:rsidR="00FA5251">
        <w:rPr>
          <w:rFonts w:ascii="Arial" w:hAnsi="Arial" w:cs="Arial"/>
          <w:sz w:val="24"/>
          <w:szCs w:val="24"/>
        </w:rPr>
        <w:t xml:space="preserve">  </w:t>
      </w:r>
    </w:p>
    <w:p w14:paraId="6BE94D95" w14:textId="77777777" w:rsidR="00862195" w:rsidRDefault="00862195" w:rsidP="003A5BC6">
      <w:pPr>
        <w:spacing w:line="480" w:lineRule="auto"/>
        <w:jc w:val="both"/>
        <w:rPr>
          <w:rFonts w:ascii="Arial" w:hAnsi="Arial" w:cs="Arial"/>
          <w:sz w:val="24"/>
          <w:szCs w:val="24"/>
        </w:rPr>
      </w:pPr>
    </w:p>
    <w:p w14:paraId="7052332E" w14:textId="11E3CA39" w:rsidR="004259F4" w:rsidRDefault="002D6275" w:rsidP="003A5BC6">
      <w:pPr>
        <w:spacing w:line="480" w:lineRule="auto"/>
        <w:jc w:val="both"/>
        <w:rPr>
          <w:rFonts w:ascii="Arial" w:hAnsi="Arial" w:cs="Arial"/>
          <w:sz w:val="24"/>
          <w:szCs w:val="24"/>
        </w:rPr>
      </w:pPr>
      <w:r>
        <w:rPr>
          <w:rFonts w:ascii="Arial" w:hAnsi="Arial" w:cs="Arial"/>
          <w:sz w:val="24"/>
          <w:szCs w:val="24"/>
        </w:rPr>
        <w:t>2.7</w:t>
      </w:r>
      <w:r w:rsidR="00862195">
        <w:rPr>
          <w:rFonts w:ascii="Arial" w:hAnsi="Arial" w:cs="Arial"/>
          <w:sz w:val="24"/>
          <w:szCs w:val="24"/>
        </w:rPr>
        <w:t>]</w:t>
      </w:r>
      <w:r w:rsidR="00862195">
        <w:rPr>
          <w:rFonts w:ascii="Arial" w:hAnsi="Arial" w:cs="Arial"/>
          <w:sz w:val="24"/>
          <w:szCs w:val="24"/>
        </w:rPr>
        <w:tab/>
        <w:t xml:space="preserve">Mr. Brandt </w:t>
      </w:r>
      <w:r w:rsidR="009570CD">
        <w:rPr>
          <w:rFonts w:ascii="Arial" w:hAnsi="Arial" w:cs="Arial"/>
          <w:sz w:val="24"/>
          <w:szCs w:val="24"/>
        </w:rPr>
        <w:t>(“Brandt”)</w:t>
      </w:r>
      <w:r w:rsidR="00AB44B3">
        <w:rPr>
          <w:rFonts w:ascii="Arial" w:hAnsi="Arial" w:cs="Arial"/>
          <w:sz w:val="24"/>
          <w:szCs w:val="24"/>
        </w:rPr>
        <w:t xml:space="preserve">, senior accountant at Drakenstein Municipality, </w:t>
      </w:r>
      <w:r w:rsidR="009570CD">
        <w:rPr>
          <w:rFonts w:ascii="Arial" w:hAnsi="Arial" w:cs="Arial"/>
          <w:sz w:val="24"/>
          <w:szCs w:val="24"/>
        </w:rPr>
        <w:t xml:space="preserve">testified as a witness for the municipality regarding </w:t>
      </w:r>
      <w:r w:rsidR="00862195">
        <w:rPr>
          <w:rFonts w:ascii="Arial" w:hAnsi="Arial" w:cs="Arial"/>
          <w:sz w:val="24"/>
          <w:szCs w:val="24"/>
        </w:rPr>
        <w:t xml:space="preserve">the functioning of prepaid electricity meter systems. </w:t>
      </w:r>
      <w:r w:rsidR="009570CD">
        <w:rPr>
          <w:rFonts w:ascii="Arial" w:hAnsi="Arial" w:cs="Arial"/>
          <w:sz w:val="24"/>
          <w:szCs w:val="24"/>
        </w:rPr>
        <w:t>He explained that t</w:t>
      </w:r>
      <w:r w:rsidR="00862195">
        <w:rPr>
          <w:rFonts w:ascii="Arial" w:hAnsi="Arial" w:cs="Arial"/>
          <w:sz w:val="24"/>
          <w:szCs w:val="24"/>
        </w:rPr>
        <w:t xml:space="preserve">he basic daily charge of the prepaid </w:t>
      </w:r>
      <w:r w:rsidR="009570CD">
        <w:rPr>
          <w:rFonts w:ascii="Arial" w:hAnsi="Arial" w:cs="Arial"/>
          <w:sz w:val="24"/>
          <w:szCs w:val="24"/>
        </w:rPr>
        <w:t xml:space="preserve">meter had </w:t>
      </w:r>
      <w:r w:rsidR="00862195">
        <w:rPr>
          <w:rFonts w:ascii="Arial" w:hAnsi="Arial" w:cs="Arial"/>
          <w:sz w:val="24"/>
          <w:szCs w:val="24"/>
        </w:rPr>
        <w:t xml:space="preserve">accrued and could not be set off against the prepaid purchase of electricity as no electricity had been purchased </w:t>
      </w:r>
      <w:r w:rsidR="009570CD">
        <w:rPr>
          <w:rFonts w:ascii="Arial" w:hAnsi="Arial" w:cs="Arial"/>
          <w:sz w:val="24"/>
          <w:szCs w:val="24"/>
        </w:rPr>
        <w:t xml:space="preserve">during the period 2009 until 2021.  </w:t>
      </w:r>
      <w:r w:rsidR="00862195">
        <w:rPr>
          <w:rFonts w:ascii="Arial" w:hAnsi="Arial" w:cs="Arial"/>
          <w:sz w:val="24"/>
          <w:szCs w:val="24"/>
        </w:rPr>
        <w:t>Accord</w:t>
      </w:r>
      <w:r w:rsidR="00FA5251">
        <w:rPr>
          <w:rFonts w:ascii="Arial" w:hAnsi="Arial" w:cs="Arial"/>
          <w:sz w:val="24"/>
          <w:szCs w:val="24"/>
        </w:rPr>
        <w:t>ingly, the interval between 2012</w:t>
      </w:r>
      <w:r w:rsidR="00862195">
        <w:rPr>
          <w:rFonts w:ascii="Arial" w:hAnsi="Arial" w:cs="Arial"/>
          <w:sz w:val="24"/>
          <w:szCs w:val="24"/>
        </w:rPr>
        <w:t xml:space="preserve"> and 2021 accumulated the arrear amount which forms the subject of the dispute.  The municipality does not generate invoices for the prepaid meters, so </w:t>
      </w:r>
      <w:r w:rsidR="009570CD">
        <w:rPr>
          <w:rFonts w:ascii="Arial" w:hAnsi="Arial" w:cs="Arial"/>
          <w:sz w:val="24"/>
          <w:szCs w:val="24"/>
        </w:rPr>
        <w:t xml:space="preserve">no </w:t>
      </w:r>
      <w:r w:rsidR="00FA5251">
        <w:rPr>
          <w:rFonts w:ascii="Arial" w:hAnsi="Arial" w:cs="Arial"/>
          <w:sz w:val="24"/>
          <w:szCs w:val="24"/>
        </w:rPr>
        <w:t xml:space="preserve">monthly </w:t>
      </w:r>
      <w:r w:rsidR="009570CD">
        <w:rPr>
          <w:rFonts w:ascii="Arial" w:hAnsi="Arial" w:cs="Arial"/>
          <w:sz w:val="24"/>
          <w:szCs w:val="24"/>
        </w:rPr>
        <w:t xml:space="preserve">accounts are sent out in respect of the accruing costs. At the time when this meter was installed, the municipality </w:t>
      </w:r>
      <w:r w:rsidR="009570CD">
        <w:rPr>
          <w:rFonts w:ascii="Arial" w:hAnsi="Arial" w:cs="Arial"/>
          <w:sz w:val="24"/>
          <w:szCs w:val="24"/>
        </w:rPr>
        <w:lastRenderedPageBreak/>
        <w:t xml:space="preserve">accepted instructions from tenants to install a prepaid meter on presentation of a lease agreement.  However, since July 2013 the municipality adopted the policy that it would no longer engage with tenants as it resulted </w:t>
      </w:r>
      <w:r w:rsidR="00CC2452">
        <w:rPr>
          <w:rFonts w:ascii="Arial" w:hAnsi="Arial" w:cs="Arial"/>
          <w:sz w:val="24"/>
          <w:szCs w:val="24"/>
        </w:rPr>
        <w:t xml:space="preserve">in the possibility of </w:t>
      </w:r>
      <w:r w:rsidR="009570CD">
        <w:rPr>
          <w:rFonts w:ascii="Arial" w:hAnsi="Arial" w:cs="Arial"/>
          <w:sz w:val="24"/>
          <w:szCs w:val="24"/>
        </w:rPr>
        <w:t>prepaid meter debt accruing without the owner’s knowledge</w:t>
      </w:r>
      <w:r w:rsidR="00FA5251">
        <w:rPr>
          <w:rFonts w:ascii="Arial" w:hAnsi="Arial" w:cs="Arial"/>
          <w:sz w:val="24"/>
          <w:szCs w:val="24"/>
        </w:rPr>
        <w:t xml:space="preserve"> but in respect of which the owner is </w:t>
      </w:r>
      <w:r w:rsidR="00104234">
        <w:rPr>
          <w:rFonts w:ascii="Arial" w:hAnsi="Arial" w:cs="Arial"/>
          <w:sz w:val="24"/>
          <w:szCs w:val="24"/>
        </w:rPr>
        <w:t>liable</w:t>
      </w:r>
      <w:r w:rsidR="009570CD">
        <w:rPr>
          <w:rFonts w:ascii="Arial" w:hAnsi="Arial" w:cs="Arial"/>
          <w:sz w:val="24"/>
          <w:szCs w:val="24"/>
        </w:rPr>
        <w:t xml:space="preserve">.   </w:t>
      </w:r>
    </w:p>
    <w:p w14:paraId="1C8254D6" w14:textId="77777777" w:rsidR="009570CD" w:rsidRDefault="009570CD" w:rsidP="003A5BC6">
      <w:pPr>
        <w:spacing w:line="480" w:lineRule="auto"/>
        <w:jc w:val="both"/>
        <w:rPr>
          <w:rFonts w:ascii="Arial" w:hAnsi="Arial" w:cs="Arial"/>
          <w:sz w:val="24"/>
          <w:szCs w:val="24"/>
        </w:rPr>
      </w:pPr>
    </w:p>
    <w:p w14:paraId="4EFD6996" w14:textId="7588391F" w:rsidR="009570CD" w:rsidRDefault="002D6275" w:rsidP="003A5BC6">
      <w:pPr>
        <w:spacing w:line="480" w:lineRule="auto"/>
        <w:jc w:val="both"/>
        <w:rPr>
          <w:rFonts w:ascii="Arial" w:hAnsi="Arial" w:cs="Arial"/>
          <w:sz w:val="24"/>
          <w:szCs w:val="24"/>
        </w:rPr>
      </w:pPr>
      <w:r>
        <w:rPr>
          <w:rFonts w:ascii="Arial" w:hAnsi="Arial" w:cs="Arial"/>
          <w:sz w:val="24"/>
          <w:szCs w:val="24"/>
        </w:rPr>
        <w:t>2.8</w:t>
      </w:r>
      <w:r w:rsidR="009570CD">
        <w:rPr>
          <w:rFonts w:ascii="Arial" w:hAnsi="Arial" w:cs="Arial"/>
          <w:sz w:val="24"/>
          <w:szCs w:val="24"/>
        </w:rPr>
        <w:t>]</w:t>
      </w:r>
      <w:r w:rsidR="009570CD">
        <w:rPr>
          <w:rFonts w:ascii="Arial" w:hAnsi="Arial" w:cs="Arial"/>
          <w:sz w:val="24"/>
          <w:szCs w:val="24"/>
        </w:rPr>
        <w:tab/>
        <w:t xml:space="preserve">Brandt testified further that a request for a removal of a meter would only be done if the costs levied to the prepaid meter had been settled.  </w:t>
      </w:r>
      <w:r w:rsidR="00CC2452">
        <w:rPr>
          <w:rFonts w:ascii="Arial" w:hAnsi="Arial" w:cs="Arial"/>
          <w:sz w:val="24"/>
          <w:szCs w:val="24"/>
        </w:rPr>
        <w:t>This method had been implemented by the municipality a</w:t>
      </w:r>
      <w:r w:rsidR="004514BE">
        <w:rPr>
          <w:rFonts w:ascii="Arial" w:hAnsi="Arial" w:cs="Arial"/>
          <w:sz w:val="24"/>
          <w:szCs w:val="24"/>
        </w:rPr>
        <w:t>s a means to collect outstanding</w:t>
      </w:r>
      <w:r w:rsidR="00CC2452">
        <w:rPr>
          <w:rFonts w:ascii="Arial" w:hAnsi="Arial" w:cs="Arial"/>
          <w:sz w:val="24"/>
          <w:szCs w:val="24"/>
        </w:rPr>
        <w:t xml:space="preserve"> debt.  </w:t>
      </w:r>
      <w:r w:rsidR="008B6850">
        <w:rPr>
          <w:rFonts w:ascii="Arial" w:hAnsi="Arial" w:cs="Arial"/>
          <w:sz w:val="24"/>
          <w:szCs w:val="24"/>
        </w:rPr>
        <w:t xml:space="preserve">On this basis, Robarts’ request for the removal was met with the same policy, that being, that the meter could only be removed upon full settlement of </w:t>
      </w:r>
      <w:r w:rsidR="00DD6AC5">
        <w:rPr>
          <w:rFonts w:ascii="Arial" w:hAnsi="Arial" w:cs="Arial"/>
          <w:sz w:val="24"/>
          <w:szCs w:val="24"/>
        </w:rPr>
        <w:t xml:space="preserve">the cost due in respect thereof, which Robarts refused to do.  In the result, </w:t>
      </w:r>
      <w:r w:rsidR="00C95DA2">
        <w:rPr>
          <w:rFonts w:ascii="Arial" w:hAnsi="Arial" w:cs="Arial"/>
          <w:sz w:val="24"/>
          <w:szCs w:val="24"/>
        </w:rPr>
        <w:t xml:space="preserve">the </w:t>
      </w:r>
      <w:r w:rsidR="00DD6AC5">
        <w:rPr>
          <w:rFonts w:ascii="Arial" w:hAnsi="Arial" w:cs="Arial"/>
          <w:sz w:val="24"/>
          <w:szCs w:val="24"/>
        </w:rPr>
        <w:t>municipality issued this action for the recovery of the amount so due.</w:t>
      </w:r>
    </w:p>
    <w:p w14:paraId="35406D4F" w14:textId="77777777" w:rsidR="00DD6AC5" w:rsidRDefault="00DD6AC5" w:rsidP="003A5BC6">
      <w:pPr>
        <w:spacing w:line="480" w:lineRule="auto"/>
        <w:jc w:val="both"/>
        <w:rPr>
          <w:rFonts w:ascii="Arial" w:hAnsi="Arial" w:cs="Arial"/>
          <w:sz w:val="24"/>
          <w:szCs w:val="24"/>
        </w:rPr>
      </w:pPr>
    </w:p>
    <w:p w14:paraId="295C129C" w14:textId="77777777" w:rsidR="002B2567" w:rsidRDefault="0026327F" w:rsidP="003A5BC6">
      <w:pPr>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w:t>
      </w:r>
      <w:r w:rsidR="002B2567">
        <w:rPr>
          <w:rFonts w:ascii="Arial" w:hAnsi="Arial" w:cs="Arial"/>
          <w:sz w:val="24"/>
          <w:szCs w:val="24"/>
        </w:rPr>
        <w:t xml:space="preserve">he amended plea set out a main </w:t>
      </w:r>
      <w:proofErr w:type="spellStart"/>
      <w:r w:rsidR="002B2567">
        <w:rPr>
          <w:rFonts w:ascii="Arial" w:hAnsi="Arial" w:cs="Arial"/>
          <w:sz w:val="24"/>
          <w:szCs w:val="24"/>
        </w:rPr>
        <w:t>defence</w:t>
      </w:r>
      <w:proofErr w:type="spellEnd"/>
      <w:r w:rsidR="002B2567">
        <w:rPr>
          <w:rFonts w:ascii="Arial" w:hAnsi="Arial" w:cs="Arial"/>
          <w:sz w:val="24"/>
          <w:szCs w:val="24"/>
        </w:rPr>
        <w:t xml:space="preserve"> and two special </w:t>
      </w:r>
      <w:proofErr w:type="spellStart"/>
      <w:r w:rsidR="002B2567">
        <w:rPr>
          <w:rFonts w:ascii="Arial" w:hAnsi="Arial" w:cs="Arial"/>
          <w:sz w:val="24"/>
          <w:szCs w:val="24"/>
        </w:rPr>
        <w:t>defences</w:t>
      </w:r>
      <w:proofErr w:type="spellEnd"/>
      <w:r w:rsidR="002B2567">
        <w:rPr>
          <w:rFonts w:ascii="Arial" w:hAnsi="Arial" w:cs="Arial"/>
          <w:sz w:val="24"/>
          <w:szCs w:val="24"/>
        </w:rPr>
        <w:t xml:space="preserve">:  </w:t>
      </w:r>
    </w:p>
    <w:p w14:paraId="4C42C15D" w14:textId="77777777" w:rsidR="002B2567" w:rsidRDefault="002B2567" w:rsidP="003A5BC6">
      <w:pPr>
        <w:spacing w:line="480" w:lineRule="auto"/>
        <w:jc w:val="both"/>
        <w:rPr>
          <w:rFonts w:ascii="Arial" w:hAnsi="Arial" w:cs="Arial"/>
          <w:sz w:val="24"/>
          <w:szCs w:val="24"/>
        </w:rPr>
      </w:pPr>
    </w:p>
    <w:p w14:paraId="3800ECB2" w14:textId="27E5FCED" w:rsidR="0026327F" w:rsidRDefault="002B2567" w:rsidP="003A5BC6">
      <w:pPr>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The appellant denied that it was liable to the respondent in respect of any prepaid meter charges on the basis that the appellant did not request the installation thereof, nor did it bear any knowledge of the meter prior to October 2018</w:t>
      </w:r>
      <w:r w:rsidR="00DD6AC5">
        <w:rPr>
          <w:rFonts w:ascii="Arial" w:hAnsi="Arial" w:cs="Arial"/>
          <w:sz w:val="24"/>
          <w:szCs w:val="24"/>
        </w:rPr>
        <w:t>.  F</w:t>
      </w:r>
      <w:r w:rsidR="002D6275">
        <w:rPr>
          <w:rFonts w:ascii="Arial" w:hAnsi="Arial" w:cs="Arial"/>
          <w:sz w:val="24"/>
          <w:szCs w:val="24"/>
        </w:rPr>
        <w:t>urthermore</w:t>
      </w:r>
      <w:r w:rsidR="00DD6AC5">
        <w:rPr>
          <w:rFonts w:ascii="Arial" w:hAnsi="Arial" w:cs="Arial"/>
          <w:sz w:val="24"/>
          <w:szCs w:val="24"/>
        </w:rPr>
        <w:t>,</w:t>
      </w:r>
      <w:r w:rsidR="002D6275">
        <w:rPr>
          <w:rFonts w:ascii="Arial" w:hAnsi="Arial" w:cs="Arial"/>
          <w:sz w:val="24"/>
          <w:szCs w:val="24"/>
        </w:rPr>
        <w:t xml:space="preserve"> </w:t>
      </w:r>
      <w:r w:rsidR="00DD6AC5">
        <w:rPr>
          <w:rFonts w:ascii="Arial" w:hAnsi="Arial" w:cs="Arial"/>
          <w:sz w:val="24"/>
          <w:szCs w:val="24"/>
        </w:rPr>
        <w:t xml:space="preserve">it pleaded </w:t>
      </w:r>
      <w:r>
        <w:rPr>
          <w:rFonts w:ascii="Arial" w:hAnsi="Arial" w:cs="Arial"/>
          <w:sz w:val="24"/>
          <w:szCs w:val="24"/>
        </w:rPr>
        <w:t>that it had no use for the meter.  In amplification</w:t>
      </w:r>
      <w:r w:rsidR="002D6275">
        <w:rPr>
          <w:rFonts w:ascii="Arial" w:hAnsi="Arial" w:cs="Arial"/>
          <w:sz w:val="24"/>
          <w:szCs w:val="24"/>
        </w:rPr>
        <w:t>,</w:t>
      </w:r>
      <w:r>
        <w:rPr>
          <w:rFonts w:ascii="Arial" w:hAnsi="Arial" w:cs="Arial"/>
          <w:sz w:val="24"/>
          <w:szCs w:val="24"/>
        </w:rPr>
        <w:t xml:space="preserve"> the appellant pleaded that one</w:t>
      </w:r>
      <w:r w:rsidR="002D6275">
        <w:rPr>
          <w:rFonts w:ascii="Arial" w:hAnsi="Arial" w:cs="Arial"/>
          <w:sz w:val="24"/>
          <w:szCs w:val="24"/>
        </w:rPr>
        <w:t>,</w:t>
      </w:r>
      <w:r>
        <w:rPr>
          <w:rFonts w:ascii="Arial" w:hAnsi="Arial" w:cs="Arial"/>
          <w:sz w:val="24"/>
          <w:szCs w:val="24"/>
        </w:rPr>
        <w:t xml:space="preserve"> WJ Swart</w:t>
      </w:r>
      <w:r w:rsidR="002D6275">
        <w:rPr>
          <w:rFonts w:ascii="Arial" w:hAnsi="Arial" w:cs="Arial"/>
          <w:sz w:val="24"/>
          <w:szCs w:val="24"/>
        </w:rPr>
        <w:t>,</w:t>
      </w:r>
      <w:r>
        <w:rPr>
          <w:rFonts w:ascii="Arial" w:hAnsi="Arial" w:cs="Arial"/>
          <w:sz w:val="24"/>
          <w:szCs w:val="24"/>
        </w:rPr>
        <w:t xml:space="preserve"> (upon whose instruction the municipality attended to installation of the meter) had no authority t</w:t>
      </w:r>
      <w:r w:rsidR="00DD6AC5">
        <w:rPr>
          <w:rFonts w:ascii="Arial" w:hAnsi="Arial" w:cs="Arial"/>
          <w:sz w:val="24"/>
          <w:szCs w:val="24"/>
        </w:rPr>
        <w:t xml:space="preserve">o act on behalf of the registered owner and placed the municipality </w:t>
      </w:r>
      <w:r>
        <w:rPr>
          <w:rFonts w:ascii="Arial" w:hAnsi="Arial" w:cs="Arial"/>
          <w:sz w:val="24"/>
          <w:szCs w:val="24"/>
        </w:rPr>
        <w:t>to the proof thereof.</w:t>
      </w:r>
    </w:p>
    <w:p w14:paraId="0E7541A5" w14:textId="77777777" w:rsidR="002B2567" w:rsidRDefault="002B2567" w:rsidP="003A5BC6">
      <w:pPr>
        <w:spacing w:line="480" w:lineRule="auto"/>
        <w:jc w:val="both"/>
        <w:rPr>
          <w:rFonts w:ascii="Arial" w:hAnsi="Arial" w:cs="Arial"/>
          <w:sz w:val="24"/>
          <w:szCs w:val="24"/>
        </w:rPr>
      </w:pPr>
      <w:r>
        <w:rPr>
          <w:rFonts w:ascii="Arial" w:hAnsi="Arial" w:cs="Arial"/>
          <w:sz w:val="24"/>
          <w:szCs w:val="24"/>
        </w:rPr>
        <w:lastRenderedPageBreak/>
        <w:t>3.2]</w:t>
      </w:r>
      <w:r>
        <w:rPr>
          <w:rFonts w:ascii="Arial" w:hAnsi="Arial" w:cs="Arial"/>
          <w:sz w:val="24"/>
          <w:szCs w:val="24"/>
        </w:rPr>
        <w:tab/>
        <w:t>In respect of the special pleas, the appellant pleaded that</w:t>
      </w:r>
      <w:r w:rsidR="00D459B1">
        <w:rPr>
          <w:rFonts w:ascii="Arial" w:hAnsi="Arial" w:cs="Arial"/>
          <w:sz w:val="24"/>
          <w:szCs w:val="24"/>
        </w:rPr>
        <w:t>, in the event that it be found that the trust is indebted to the municipality</w:t>
      </w:r>
      <w:r>
        <w:rPr>
          <w:rFonts w:ascii="Arial" w:hAnsi="Arial" w:cs="Arial"/>
          <w:sz w:val="24"/>
          <w:szCs w:val="24"/>
        </w:rPr>
        <w:t>:</w:t>
      </w:r>
    </w:p>
    <w:p w14:paraId="43641D26" w14:textId="77777777" w:rsidR="002B2567" w:rsidRDefault="002B2567" w:rsidP="003A5BC6">
      <w:pPr>
        <w:spacing w:line="480" w:lineRule="auto"/>
        <w:jc w:val="both"/>
        <w:rPr>
          <w:rFonts w:ascii="Arial" w:hAnsi="Arial" w:cs="Arial"/>
          <w:sz w:val="24"/>
          <w:szCs w:val="24"/>
        </w:rPr>
      </w:pPr>
    </w:p>
    <w:p w14:paraId="72BF1C35" w14:textId="010EC7DF" w:rsidR="002B2567" w:rsidRDefault="002B2567" w:rsidP="003A5BC6">
      <w:pPr>
        <w:spacing w:line="480" w:lineRule="auto"/>
        <w:jc w:val="both"/>
        <w:rPr>
          <w:rFonts w:ascii="Arial" w:hAnsi="Arial" w:cs="Arial"/>
          <w:sz w:val="24"/>
          <w:szCs w:val="24"/>
        </w:rPr>
      </w:pPr>
      <w:r>
        <w:rPr>
          <w:rFonts w:ascii="Arial" w:hAnsi="Arial" w:cs="Arial"/>
          <w:sz w:val="24"/>
          <w:szCs w:val="24"/>
        </w:rPr>
        <w:t>3.2.1]</w:t>
      </w:r>
      <w:r>
        <w:rPr>
          <w:rFonts w:ascii="Arial" w:hAnsi="Arial" w:cs="Arial"/>
          <w:sz w:val="24"/>
          <w:szCs w:val="24"/>
        </w:rPr>
        <w:tab/>
      </w:r>
      <w:r>
        <w:rPr>
          <w:rFonts w:ascii="Arial" w:hAnsi="Arial" w:cs="Arial"/>
          <w:sz w:val="24"/>
          <w:szCs w:val="24"/>
        </w:rPr>
        <w:tab/>
        <w:t>The municipality failed to mitigate its losses when in and during October 2018 the appellant, through Robarts, notified it that the appellant had not authorized the installation of the meter, denied liability and reques</w:t>
      </w:r>
      <w:r w:rsidR="002D6275">
        <w:rPr>
          <w:rFonts w:ascii="Arial" w:hAnsi="Arial" w:cs="Arial"/>
          <w:sz w:val="24"/>
          <w:szCs w:val="24"/>
        </w:rPr>
        <w:t xml:space="preserve">ted that the meter be removed. In light of </w:t>
      </w:r>
      <w:r>
        <w:rPr>
          <w:rFonts w:ascii="Arial" w:hAnsi="Arial" w:cs="Arial"/>
          <w:sz w:val="24"/>
          <w:szCs w:val="24"/>
        </w:rPr>
        <w:t xml:space="preserve">the refusal of the municipality to remove the meter, </w:t>
      </w:r>
      <w:r w:rsidR="00DD6AC5">
        <w:rPr>
          <w:rFonts w:ascii="Arial" w:hAnsi="Arial" w:cs="Arial"/>
          <w:sz w:val="24"/>
          <w:szCs w:val="24"/>
        </w:rPr>
        <w:t xml:space="preserve">the appellant raised the special plea that </w:t>
      </w:r>
      <w:r>
        <w:rPr>
          <w:rFonts w:ascii="Arial" w:hAnsi="Arial" w:cs="Arial"/>
          <w:sz w:val="24"/>
          <w:szCs w:val="24"/>
        </w:rPr>
        <w:t>the costs accruing from October 2018 ought not to be for the account o</w:t>
      </w:r>
      <w:r w:rsidR="00D459B1">
        <w:rPr>
          <w:rFonts w:ascii="Arial" w:hAnsi="Arial" w:cs="Arial"/>
          <w:sz w:val="24"/>
          <w:szCs w:val="24"/>
        </w:rPr>
        <w:t>f the appellant;</w:t>
      </w:r>
    </w:p>
    <w:p w14:paraId="28AA228E" w14:textId="77777777" w:rsidR="00D459B1" w:rsidRDefault="00D459B1" w:rsidP="003A5BC6">
      <w:pPr>
        <w:spacing w:line="480" w:lineRule="auto"/>
        <w:jc w:val="both"/>
        <w:rPr>
          <w:rFonts w:ascii="Arial" w:hAnsi="Arial" w:cs="Arial"/>
          <w:sz w:val="24"/>
          <w:szCs w:val="24"/>
        </w:rPr>
      </w:pPr>
    </w:p>
    <w:p w14:paraId="21FC5A75" w14:textId="0858D2AA" w:rsidR="00D459B1" w:rsidRDefault="00D459B1" w:rsidP="003A5BC6">
      <w:pPr>
        <w:spacing w:line="480" w:lineRule="auto"/>
        <w:jc w:val="both"/>
        <w:rPr>
          <w:rFonts w:ascii="Arial" w:hAnsi="Arial" w:cs="Arial"/>
          <w:sz w:val="24"/>
          <w:szCs w:val="24"/>
        </w:rPr>
      </w:pPr>
      <w:r>
        <w:rPr>
          <w:rFonts w:ascii="Arial" w:hAnsi="Arial" w:cs="Arial"/>
          <w:sz w:val="24"/>
          <w:szCs w:val="24"/>
        </w:rPr>
        <w:t>3.2.2]</w:t>
      </w:r>
      <w:r>
        <w:rPr>
          <w:rFonts w:ascii="Arial" w:hAnsi="Arial" w:cs="Arial"/>
          <w:sz w:val="24"/>
          <w:szCs w:val="24"/>
        </w:rPr>
        <w:tab/>
      </w:r>
      <w:r>
        <w:rPr>
          <w:rFonts w:ascii="Arial" w:hAnsi="Arial" w:cs="Arial"/>
          <w:sz w:val="24"/>
          <w:szCs w:val="24"/>
        </w:rPr>
        <w:tab/>
        <w:t xml:space="preserve">The second special plea raised the </w:t>
      </w:r>
      <w:proofErr w:type="spellStart"/>
      <w:r>
        <w:rPr>
          <w:rFonts w:ascii="Arial" w:hAnsi="Arial" w:cs="Arial"/>
          <w:sz w:val="24"/>
          <w:szCs w:val="24"/>
        </w:rPr>
        <w:t>defence</w:t>
      </w:r>
      <w:proofErr w:type="spellEnd"/>
      <w:r>
        <w:rPr>
          <w:rFonts w:ascii="Arial" w:hAnsi="Arial" w:cs="Arial"/>
          <w:sz w:val="24"/>
          <w:szCs w:val="24"/>
        </w:rPr>
        <w:t xml:space="preserve"> of prescription on the basis that the debt claimed by the municipality commenced during November 2012.  Summons commencing action to recover the debt was only served on the appellant during February 2022.  On the basis that the service of summons interrupted prescription, any debt due to the municipality for the</w:t>
      </w:r>
      <w:r w:rsidR="00DD6AC5">
        <w:rPr>
          <w:rFonts w:ascii="Arial" w:hAnsi="Arial" w:cs="Arial"/>
          <w:sz w:val="24"/>
          <w:szCs w:val="24"/>
        </w:rPr>
        <w:t xml:space="preserve"> period prior to March 2019 had</w:t>
      </w:r>
      <w:r>
        <w:rPr>
          <w:rFonts w:ascii="Arial" w:hAnsi="Arial" w:cs="Arial"/>
          <w:sz w:val="24"/>
          <w:szCs w:val="24"/>
        </w:rPr>
        <w:t xml:space="preserve"> prescribed in terms of the </w:t>
      </w:r>
      <w:r w:rsidRPr="003D234B">
        <w:rPr>
          <w:rFonts w:ascii="Arial" w:hAnsi="Arial" w:cs="Arial"/>
          <w:b/>
          <w:i/>
          <w:sz w:val="24"/>
          <w:szCs w:val="24"/>
        </w:rPr>
        <w:t>Prescription Act No 68 of 1969</w:t>
      </w:r>
      <w:r>
        <w:rPr>
          <w:rFonts w:ascii="Arial" w:hAnsi="Arial" w:cs="Arial"/>
          <w:sz w:val="24"/>
          <w:szCs w:val="24"/>
        </w:rPr>
        <w:t>.</w:t>
      </w:r>
    </w:p>
    <w:p w14:paraId="69270F2C" w14:textId="77777777" w:rsidR="00D459B1" w:rsidRDefault="00D459B1" w:rsidP="003A5BC6">
      <w:pPr>
        <w:spacing w:line="480" w:lineRule="auto"/>
        <w:jc w:val="both"/>
        <w:rPr>
          <w:rFonts w:ascii="Arial" w:hAnsi="Arial" w:cs="Arial"/>
          <w:sz w:val="24"/>
          <w:szCs w:val="24"/>
        </w:rPr>
      </w:pPr>
    </w:p>
    <w:p w14:paraId="1A7DEE91" w14:textId="77777777" w:rsidR="00D459B1" w:rsidRPr="00D459B1" w:rsidRDefault="00D459B1" w:rsidP="003A5BC6">
      <w:pPr>
        <w:spacing w:line="480" w:lineRule="auto"/>
        <w:jc w:val="both"/>
        <w:rPr>
          <w:rFonts w:ascii="Arial" w:hAnsi="Arial" w:cs="Arial"/>
          <w:sz w:val="24"/>
          <w:szCs w:val="24"/>
          <w:u w:val="single"/>
        </w:rPr>
      </w:pPr>
      <w:r w:rsidRPr="00D459B1">
        <w:rPr>
          <w:rFonts w:ascii="Arial" w:hAnsi="Arial" w:cs="Arial"/>
          <w:i/>
          <w:sz w:val="24"/>
          <w:szCs w:val="24"/>
          <w:u w:val="single"/>
        </w:rPr>
        <w:t>Judgment a quo</w:t>
      </w:r>
      <w:r w:rsidRPr="00D459B1">
        <w:rPr>
          <w:rFonts w:ascii="Arial" w:hAnsi="Arial" w:cs="Arial"/>
          <w:sz w:val="24"/>
          <w:szCs w:val="24"/>
          <w:u w:val="single"/>
        </w:rPr>
        <w:t>:</w:t>
      </w:r>
    </w:p>
    <w:p w14:paraId="6C35F382" w14:textId="2DCC2A81" w:rsidR="00D459B1" w:rsidRDefault="00D459B1" w:rsidP="003A5BC6">
      <w:pPr>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magistrate reasoned </w:t>
      </w:r>
      <w:r w:rsidR="00DD6AC5">
        <w:rPr>
          <w:rFonts w:ascii="Arial" w:hAnsi="Arial" w:cs="Arial"/>
          <w:sz w:val="24"/>
          <w:szCs w:val="24"/>
        </w:rPr>
        <w:t>(</w:t>
      </w:r>
      <w:r>
        <w:rPr>
          <w:rFonts w:ascii="Arial" w:hAnsi="Arial" w:cs="Arial"/>
          <w:sz w:val="24"/>
          <w:szCs w:val="24"/>
        </w:rPr>
        <w:t>at paragraph 12</w:t>
      </w:r>
      <w:r w:rsidR="00DD6AC5">
        <w:rPr>
          <w:rFonts w:ascii="Arial" w:hAnsi="Arial" w:cs="Arial"/>
          <w:sz w:val="24"/>
          <w:szCs w:val="24"/>
        </w:rPr>
        <w:t>)</w:t>
      </w:r>
      <w:r w:rsidR="00C95DA2">
        <w:rPr>
          <w:rFonts w:ascii="Arial" w:hAnsi="Arial" w:cs="Arial"/>
          <w:sz w:val="24"/>
          <w:szCs w:val="24"/>
        </w:rPr>
        <w:t xml:space="preserve"> thereof that</w:t>
      </w:r>
      <w:r>
        <w:rPr>
          <w:rFonts w:ascii="Arial" w:hAnsi="Arial" w:cs="Arial"/>
          <w:sz w:val="24"/>
          <w:szCs w:val="24"/>
        </w:rPr>
        <w:t xml:space="preserve"> he was not persuaded by the appellant’s evidence</w:t>
      </w:r>
      <w:r w:rsidR="00DD6AC5">
        <w:rPr>
          <w:rFonts w:ascii="Arial" w:hAnsi="Arial" w:cs="Arial"/>
          <w:sz w:val="24"/>
          <w:szCs w:val="24"/>
        </w:rPr>
        <w:t xml:space="preserve">. On the basis that he found that the parties’ versions amount to two mutually destructive versions, he found that he was not persuaded by the evidence </w:t>
      </w:r>
      <w:r w:rsidR="00DD6AC5">
        <w:rPr>
          <w:rFonts w:ascii="Arial" w:hAnsi="Arial" w:cs="Arial"/>
          <w:sz w:val="24"/>
          <w:szCs w:val="24"/>
        </w:rPr>
        <w:lastRenderedPageBreak/>
        <w:t>of the appellant [defendant a quo]. In the result</w:t>
      </w:r>
      <w:r>
        <w:rPr>
          <w:rFonts w:ascii="Arial" w:hAnsi="Arial" w:cs="Arial"/>
          <w:sz w:val="24"/>
          <w:szCs w:val="24"/>
        </w:rPr>
        <w:t xml:space="preserve"> </w:t>
      </w:r>
      <w:r w:rsidR="00DD6AC5">
        <w:rPr>
          <w:rFonts w:ascii="Arial" w:hAnsi="Arial" w:cs="Arial"/>
          <w:sz w:val="24"/>
          <w:szCs w:val="24"/>
        </w:rPr>
        <w:t xml:space="preserve">it was held that </w:t>
      </w:r>
      <w:r w:rsidR="00C95DA2">
        <w:rPr>
          <w:rFonts w:ascii="Arial" w:hAnsi="Arial" w:cs="Arial"/>
          <w:sz w:val="24"/>
          <w:szCs w:val="24"/>
        </w:rPr>
        <w:t xml:space="preserve">the </w:t>
      </w:r>
      <w:r w:rsidR="00DD6AC5">
        <w:rPr>
          <w:rFonts w:ascii="Arial" w:hAnsi="Arial" w:cs="Arial"/>
          <w:sz w:val="24"/>
          <w:szCs w:val="24"/>
        </w:rPr>
        <w:t>defen</w:t>
      </w:r>
      <w:r>
        <w:rPr>
          <w:rFonts w:ascii="Arial" w:hAnsi="Arial" w:cs="Arial"/>
          <w:sz w:val="24"/>
          <w:szCs w:val="24"/>
        </w:rPr>
        <w:t>s</w:t>
      </w:r>
      <w:r w:rsidR="00DD6AC5">
        <w:rPr>
          <w:rFonts w:ascii="Arial" w:hAnsi="Arial" w:cs="Arial"/>
          <w:sz w:val="24"/>
          <w:szCs w:val="24"/>
        </w:rPr>
        <w:t>es raised were baseless, lacked merit and th</w:t>
      </w:r>
      <w:r>
        <w:rPr>
          <w:rFonts w:ascii="Arial" w:hAnsi="Arial" w:cs="Arial"/>
          <w:sz w:val="24"/>
          <w:szCs w:val="24"/>
        </w:rPr>
        <w:t xml:space="preserve">at in its determination no </w:t>
      </w:r>
      <w:r w:rsidRPr="00DD6AC5">
        <w:rPr>
          <w:rFonts w:ascii="Arial" w:hAnsi="Arial" w:cs="Arial"/>
          <w:i/>
          <w:sz w:val="24"/>
          <w:szCs w:val="24"/>
        </w:rPr>
        <w:t>bona fide</w:t>
      </w:r>
      <w:r w:rsidR="002D6275">
        <w:rPr>
          <w:rFonts w:ascii="Arial" w:hAnsi="Arial" w:cs="Arial"/>
          <w:sz w:val="24"/>
          <w:szCs w:val="24"/>
        </w:rPr>
        <w:t xml:space="preserve"> defenses were raised, dismissing the version by the appe</w:t>
      </w:r>
      <w:r w:rsidR="00DD6AC5">
        <w:rPr>
          <w:rFonts w:ascii="Arial" w:hAnsi="Arial" w:cs="Arial"/>
          <w:sz w:val="24"/>
          <w:szCs w:val="24"/>
        </w:rPr>
        <w:t>llant as a fabrication and which fell</w:t>
      </w:r>
      <w:r w:rsidR="002D6275">
        <w:rPr>
          <w:rFonts w:ascii="Arial" w:hAnsi="Arial" w:cs="Arial"/>
          <w:sz w:val="24"/>
          <w:szCs w:val="24"/>
        </w:rPr>
        <w:t xml:space="preserve"> to be rejected.  It conclude</w:t>
      </w:r>
      <w:r w:rsidR="00C95DA2">
        <w:rPr>
          <w:rFonts w:ascii="Arial" w:hAnsi="Arial" w:cs="Arial"/>
          <w:sz w:val="24"/>
          <w:szCs w:val="24"/>
        </w:rPr>
        <w:t xml:space="preserve">d that the claim had to succeed and granted judgment in </w:t>
      </w:r>
      <w:proofErr w:type="spellStart"/>
      <w:r w:rsidR="00C95DA2">
        <w:rPr>
          <w:rFonts w:ascii="Arial" w:hAnsi="Arial" w:cs="Arial"/>
          <w:sz w:val="24"/>
          <w:szCs w:val="24"/>
        </w:rPr>
        <w:t>favour</w:t>
      </w:r>
      <w:proofErr w:type="spellEnd"/>
      <w:r w:rsidR="00C95DA2">
        <w:rPr>
          <w:rFonts w:ascii="Arial" w:hAnsi="Arial" w:cs="Arial"/>
          <w:sz w:val="24"/>
          <w:szCs w:val="24"/>
        </w:rPr>
        <w:t xml:space="preserve"> of the municipality for the full amount together with 7% interest calculated from 18 February 2022 and costs.</w:t>
      </w:r>
    </w:p>
    <w:p w14:paraId="6CCBC353" w14:textId="77777777" w:rsidR="00AB44B3" w:rsidRDefault="00AB44B3" w:rsidP="003A5BC6">
      <w:pPr>
        <w:spacing w:line="480" w:lineRule="auto"/>
        <w:jc w:val="both"/>
        <w:rPr>
          <w:rFonts w:ascii="Arial" w:hAnsi="Arial" w:cs="Arial"/>
          <w:i/>
          <w:sz w:val="24"/>
          <w:szCs w:val="24"/>
          <w:u w:val="single"/>
        </w:rPr>
      </w:pPr>
    </w:p>
    <w:p w14:paraId="461C1025" w14:textId="41015BC8" w:rsidR="00075D7A" w:rsidRDefault="002D6275" w:rsidP="00075D7A">
      <w:pPr>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 find the magistrate’s reasoning in the judgment highly problematic.  The finding of the court a quo amounts to a blanket conclusion of the merits of the matter without considering the three </w:t>
      </w:r>
      <w:proofErr w:type="spellStart"/>
      <w:r>
        <w:rPr>
          <w:rFonts w:ascii="Arial" w:hAnsi="Arial" w:cs="Arial"/>
          <w:sz w:val="24"/>
          <w:szCs w:val="24"/>
        </w:rPr>
        <w:t>defences</w:t>
      </w:r>
      <w:proofErr w:type="spellEnd"/>
      <w:r>
        <w:rPr>
          <w:rFonts w:ascii="Arial" w:hAnsi="Arial" w:cs="Arial"/>
          <w:sz w:val="24"/>
          <w:szCs w:val="24"/>
        </w:rPr>
        <w:t xml:space="preserve"> raised.  </w:t>
      </w:r>
      <w:r w:rsidR="00075D7A">
        <w:rPr>
          <w:rFonts w:ascii="Arial" w:hAnsi="Arial" w:cs="Arial"/>
          <w:sz w:val="24"/>
          <w:szCs w:val="24"/>
        </w:rPr>
        <w:t xml:space="preserve">Adjudication of the matter by mere </w:t>
      </w:r>
      <w:r w:rsidR="00C11B0D">
        <w:rPr>
          <w:rFonts w:ascii="Arial" w:hAnsi="Arial" w:cs="Arial"/>
          <w:sz w:val="24"/>
          <w:szCs w:val="24"/>
        </w:rPr>
        <w:t xml:space="preserve">finding that the versions are mutually destructive was misdirected. </w:t>
      </w:r>
      <w:r w:rsidR="00075D7A">
        <w:rPr>
          <w:rFonts w:ascii="Arial" w:hAnsi="Arial" w:cs="Arial"/>
          <w:sz w:val="24"/>
          <w:szCs w:val="24"/>
        </w:rPr>
        <w:t xml:space="preserve">It bears mentioning, for the reasons I set out below, that the testimony of Robarts in respect of the </w:t>
      </w:r>
      <w:r w:rsidR="00C95DA2">
        <w:rPr>
          <w:rFonts w:ascii="Arial" w:hAnsi="Arial" w:cs="Arial"/>
          <w:sz w:val="24"/>
          <w:szCs w:val="24"/>
        </w:rPr>
        <w:t>prepaid meter installation had an</w:t>
      </w:r>
      <w:r w:rsidR="00075D7A">
        <w:rPr>
          <w:rFonts w:ascii="Arial" w:hAnsi="Arial" w:cs="Arial"/>
          <w:sz w:val="24"/>
          <w:szCs w:val="24"/>
        </w:rPr>
        <w:t xml:space="preserve"> inherent contradiction.  </w:t>
      </w:r>
      <w:r w:rsidR="00C95DA2">
        <w:rPr>
          <w:rFonts w:ascii="Arial" w:hAnsi="Arial" w:cs="Arial"/>
          <w:sz w:val="24"/>
          <w:szCs w:val="24"/>
        </w:rPr>
        <w:t xml:space="preserve">In the premise, the dispute regarding the installation of the meter could and ought to have been determined by a critical evaluation of Robart’s testimony.  However, that finding would not be dispositive of the matter and it is of no consequence.  For the reasons set out below the magistrate did not apply his mind to the various applicable legal principles and the facts relevant to the determination of the dispute.  </w:t>
      </w:r>
    </w:p>
    <w:p w14:paraId="6C2AD5CE" w14:textId="53C9834B" w:rsidR="00C95DA2" w:rsidRDefault="00C95DA2" w:rsidP="00075D7A">
      <w:pPr>
        <w:spacing w:line="480" w:lineRule="auto"/>
        <w:jc w:val="both"/>
        <w:rPr>
          <w:rFonts w:ascii="Arial" w:hAnsi="Arial" w:cs="Arial"/>
          <w:sz w:val="24"/>
          <w:szCs w:val="24"/>
        </w:rPr>
      </w:pPr>
    </w:p>
    <w:p w14:paraId="74BEC6A9" w14:textId="3B399804" w:rsidR="00C95DA2" w:rsidRDefault="00C95DA2" w:rsidP="00075D7A">
      <w:pPr>
        <w:spacing w:line="480" w:lineRule="auto"/>
        <w:jc w:val="both"/>
        <w:rPr>
          <w:rFonts w:ascii="Arial" w:hAnsi="Arial" w:cs="Arial"/>
          <w:sz w:val="24"/>
          <w:szCs w:val="24"/>
        </w:rPr>
      </w:pPr>
    </w:p>
    <w:p w14:paraId="2B89ABE5" w14:textId="0ABB5E2C" w:rsidR="00C95DA2" w:rsidRDefault="00C95DA2" w:rsidP="00075D7A">
      <w:pPr>
        <w:spacing w:line="480" w:lineRule="auto"/>
        <w:jc w:val="both"/>
        <w:rPr>
          <w:rFonts w:ascii="Arial" w:hAnsi="Arial" w:cs="Arial"/>
          <w:sz w:val="24"/>
          <w:szCs w:val="24"/>
        </w:rPr>
      </w:pPr>
    </w:p>
    <w:p w14:paraId="51188324" w14:textId="77777777" w:rsidR="00C95DA2" w:rsidRDefault="00C95DA2" w:rsidP="00075D7A">
      <w:pPr>
        <w:spacing w:line="480" w:lineRule="auto"/>
        <w:jc w:val="both"/>
        <w:rPr>
          <w:rFonts w:ascii="Arial" w:hAnsi="Arial" w:cs="Arial"/>
          <w:i/>
          <w:sz w:val="24"/>
          <w:szCs w:val="24"/>
          <w:u w:val="single"/>
        </w:rPr>
      </w:pPr>
    </w:p>
    <w:p w14:paraId="054F4CDA" w14:textId="3D2B6DB2" w:rsidR="00075D7A" w:rsidRPr="00AB44B3" w:rsidRDefault="00075D7A" w:rsidP="00075D7A">
      <w:pPr>
        <w:spacing w:line="480" w:lineRule="auto"/>
        <w:jc w:val="both"/>
        <w:rPr>
          <w:rFonts w:ascii="Arial" w:hAnsi="Arial" w:cs="Arial"/>
          <w:i/>
          <w:sz w:val="24"/>
          <w:szCs w:val="24"/>
          <w:u w:val="single"/>
        </w:rPr>
      </w:pPr>
      <w:r>
        <w:rPr>
          <w:rFonts w:ascii="Arial" w:hAnsi="Arial" w:cs="Arial"/>
          <w:i/>
          <w:sz w:val="24"/>
          <w:szCs w:val="24"/>
          <w:u w:val="single"/>
        </w:rPr>
        <w:lastRenderedPageBreak/>
        <w:t>Discussion of the applicable legal principles:</w:t>
      </w:r>
    </w:p>
    <w:p w14:paraId="5F6C3373" w14:textId="77777777" w:rsidR="00C11B0D" w:rsidRDefault="00C11B0D" w:rsidP="003A5BC6">
      <w:pPr>
        <w:spacing w:line="480" w:lineRule="auto"/>
        <w:jc w:val="both"/>
        <w:rPr>
          <w:rFonts w:ascii="Arial" w:hAnsi="Arial" w:cs="Arial"/>
          <w:sz w:val="24"/>
          <w:szCs w:val="24"/>
        </w:rPr>
      </w:pPr>
    </w:p>
    <w:p w14:paraId="11BD41E1" w14:textId="15EA796E" w:rsidR="002D6275" w:rsidRDefault="00C11B0D" w:rsidP="003A5BC6">
      <w:pPr>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AB44B3">
        <w:rPr>
          <w:rFonts w:ascii="Arial" w:hAnsi="Arial" w:cs="Arial"/>
          <w:sz w:val="24"/>
          <w:szCs w:val="24"/>
        </w:rPr>
        <w:t>I</w:t>
      </w:r>
      <w:r w:rsidR="00075D7A">
        <w:rPr>
          <w:rFonts w:ascii="Arial" w:hAnsi="Arial" w:cs="Arial"/>
          <w:sz w:val="24"/>
          <w:szCs w:val="24"/>
        </w:rPr>
        <w:t>n</w:t>
      </w:r>
      <w:r w:rsidR="00AB44B3">
        <w:rPr>
          <w:rFonts w:ascii="Arial" w:hAnsi="Arial" w:cs="Arial"/>
          <w:sz w:val="24"/>
          <w:szCs w:val="24"/>
        </w:rPr>
        <w:t xml:space="preserve"> </w:t>
      </w:r>
      <w:r w:rsidR="008D4B16">
        <w:rPr>
          <w:rFonts w:ascii="Arial" w:hAnsi="Arial" w:cs="Arial"/>
          <w:sz w:val="24"/>
          <w:szCs w:val="24"/>
        </w:rPr>
        <w:t xml:space="preserve">the consideration of the matter and in particular the basis upon which liability is denied, I </w:t>
      </w:r>
      <w:r w:rsidR="00AB44B3">
        <w:rPr>
          <w:rFonts w:ascii="Arial" w:hAnsi="Arial" w:cs="Arial"/>
          <w:sz w:val="24"/>
          <w:szCs w:val="24"/>
        </w:rPr>
        <w:t>proceed to set out the applicable legal principles:</w:t>
      </w:r>
    </w:p>
    <w:p w14:paraId="2F3A429D" w14:textId="77777777" w:rsidR="00DD6AC5" w:rsidRDefault="00DD6AC5" w:rsidP="00DD6AC5">
      <w:pPr>
        <w:spacing w:line="480" w:lineRule="auto"/>
        <w:jc w:val="both"/>
        <w:rPr>
          <w:rFonts w:ascii="Arial" w:hAnsi="Arial" w:cs="Arial"/>
          <w:i/>
          <w:sz w:val="24"/>
          <w:szCs w:val="24"/>
          <w:u w:val="single"/>
        </w:rPr>
      </w:pPr>
    </w:p>
    <w:p w14:paraId="03C51F07" w14:textId="6EB5BEB8" w:rsidR="001C5BB0" w:rsidRDefault="00075D7A" w:rsidP="003A5BC6">
      <w:pPr>
        <w:spacing w:line="480" w:lineRule="auto"/>
        <w:jc w:val="both"/>
        <w:rPr>
          <w:rFonts w:ascii="Arial" w:hAnsi="Arial" w:cs="Arial"/>
          <w:sz w:val="24"/>
          <w:szCs w:val="24"/>
        </w:rPr>
      </w:pPr>
      <w:r>
        <w:rPr>
          <w:rFonts w:ascii="Arial" w:hAnsi="Arial" w:cs="Arial"/>
          <w:sz w:val="24"/>
          <w:szCs w:val="24"/>
        </w:rPr>
        <w:t>6</w:t>
      </w:r>
      <w:r w:rsidR="00AB44B3">
        <w:rPr>
          <w:rFonts w:ascii="Arial" w:hAnsi="Arial" w:cs="Arial"/>
          <w:sz w:val="24"/>
          <w:szCs w:val="24"/>
        </w:rPr>
        <w:t>.1]</w:t>
      </w:r>
      <w:r w:rsidR="00AB44B3">
        <w:rPr>
          <w:rFonts w:ascii="Arial" w:hAnsi="Arial" w:cs="Arial"/>
          <w:sz w:val="24"/>
          <w:szCs w:val="24"/>
        </w:rPr>
        <w:tab/>
      </w:r>
      <w:r w:rsidR="008D4B16">
        <w:rPr>
          <w:rFonts w:ascii="Arial" w:hAnsi="Arial" w:cs="Arial"/>
          <w:sz w:val="24"/>
          <w:szCs w:val="24"/>
        </w:rPr>
        <w:t xml:space="preserve">The </w:t>
      </w:r>
      <w:r w:rsidR="008D4B16" w:rsidRPr="003D234B">
        <w:rPr>
          <w:rFonts w:ascii="Arial" w:hAnsi="Arial" w:cs="Arial"/>
          <w:b/>
          <w:i/>
          <w:sz w:val="24"/>
          <w:szCs w:val="24"/>
        </w:rPr>
        <w:t xml:space="preserve">Local Government Municipal Systems Act 31 of 2000 </w:t>
      </w:r>
      <w:r w:rsidR="001C5BB0">
        <w:rPr>
          <w:rFonts w:ascii="Arial" w:hAnsi="Arial" w:cs="Arial"/>
          <w:sz w:val="24"/>
          <w:szCs w:val="24"/>
        </w:rPr>
        <w:t xml:space="preserve">(“the Act”) </w:t>
      </w:r>
      <w:r w:rsidR="008D4B16">
        <w:rPr>
          <w:rFonts w:ascii="Arial" w:hAnsi="Arial" w:cs="Arial"/>
          <w:sz w:val="24"/>
          <w:szCs w:val="24"/>
        </w:rPr>
        <w:t xml:space="preserve">places a statutory duty upon municipalities to provide services to the whole of the community within their jurisdictions.  The municipalities achieve this Constitutional prerogative through generation of revenue from the provision of the services that they are in turn mandated to provide. </w:t>
      </w:r>
    </w:p>
    <w:p w14:paraId="3C44074A" w14:textId="77777777" w:rsidR="001C5BB0" w:rsidRDefault="001C5BB0" w:rsidP="003A5BC6">
      <w:pPr>
        <w:spacing w:line="480" w:lineRule="auto"/>
        <w:jc w:val="both"/>
        <w:rPr>
          <w:rFonts w:ascii="Arial" w:hAnsi="Arial" w:cs="Arial"/>
          <w:sz w:val="24"/>
          <w:szCs w:val="24"/>
        </w:rPr>
      </w:pPr>
    </w:p>
    <w:p w14:paraId="18D8811F" w14:textId="3FE68257" w:rsidR="00684BFD" w:rsidRDefault="00075D7A" w:rsidP="003A5BC6">
      <w:pPr>
        <w:spacing w:line="480" w:lineRule="auto"/>
        <w:jc w:val="both"/>
        <w:rPr>
          <w:rFonts w:ascii="Arial" w:hAnsi="Arial" w:cs="Arial"/>
          <w:sz w:val="24"/>
          <w:szCs w:val="24"/>
        </w:rPr>
      </w:pPr>
      <w:r>
        <w:rPr>
          <w:rFonts w:ascii="Arial" w:hAnsi="Arial" w:cs="Arial"/>
          <w:sz w:val="24"/>
          <w:szCs w:val="24"/>
        </w:rPr>
        <w:t>6</w:t>
      </w:r>
      <w:r w:rsidR="001C5BB0">
        <w:rPr>
          <w:rFonts w:ascii="Arial" w:hAnsi="Arial" w:cs="Arial"/>
          <w:sz w:val="24"/>
          <w:szCs w:val="24"/>
        </w:rPr>
        <w:t>.2]</w:t>
      </w:r>
      <w:r w:rsidR="001C5BB0">
        <w:rPr>
          <w:rFonts w:ascii="Arial" w:hAnsi="Arial" w:cs="Arial"/>
          <w:sz w:val="24"/>
          <w:szCs w:val="24"/>
        </w:rPr>
        <w:tab/>
        <w:t>Section 118</w:t>
      </w:r>
      <w:r w:rsidR="008D4B16">
        <w:rPr>
          <w:rFonts w:ascii="Arial" w:hAnsi="Arial" w:cs="Arial"/>
          <w:sz w:val="24"/>
          <w:szCs w:val="24"/>
        </w:rPr>
        <w:t xml:space="preserve"> </w:t>
      </w:r>
      <w:r w:rsidR="001C5BB0">
        <w:rPr>
          <w:rFonts w:ascii="Arial" w:hAnsi="Arial" w:cs="Arial"/>
          <w:sz w:val="24"/>
          <w:szCs w:val="24"/>
        </w:rPr>
        <w:t xml:space="preserve">of the Act creates the amounts so due to the municipality over the immovable property as security for the payment of the monies due to it </w:t>
      </w:r>
      <w:r w:rsidR="001C5BB0" w:rsidRPr="00075D7A">
        <w:rPr>
          <w:rFonts w:ascii="Arial" w:hAnsi="Arial" w:cs="Arial"/>
          <w:b/>
          <w:sz w:val="24"/>
          <w:szCs w:val="24"/>
        </w:rPr>
        <w:t>by an owner</w:t>
      </w:r>
      <w:r w:rsidR="001C5BB0">
        <w:rPr>
          <w:rFonts w:ascii="Arial" w:hAnsi="Arial" w:cs="Arial"/>
          <w:sz w:val="24"/>
          <w:szCs w:val="24"/>
        </w:rPr>
        <w:t xml:space="preserve"> of an immovable property for rates, taxes, services and consumption cha</w:t>
      </w:r>
      <w:r>
        <w:rPr>
          <w:rFonts w:ascii="Arial" w:hAnsi="Arial" w:cs="Arial"/>
          <w:sz w:val="24"/>
          <w:szCs w:val="24"/>
        </w:rPr>
        <w:t>rges and deemed as a right of preference.  In context of this case, the municipal charges relate to electricity consumption</w:t>
      </w:r>
      <w:r w:rsidR="001C5BB0">
        <w:rPr>
          <w:rFonts w:ascii="Arial" w:hAnsi="Arial" w:cs="Arial"/>
          <w:sz w:val="24"/>
          <w:szCs w:val="24"/>
        </w:rPr>
        <w:t xml:space="preserve">.  In </w:t>
      </w:r>
      <w:r w:rsidR="001C5BB0" w:rsidRPr="003D234B">
        <w:rPr>
          <w:rFonts w:ascii="Arial" w:hAnsi="Arial" w:cs="Arial"/>
          <w:b/>
          <w:i/>
          <w:sz w:val="24"/>
          <w:szCs w:val="24"/>
        </w:rPr>
        <w:t>BOE Bank v City of Tshwane Metropolitan Municipality 2005 (4) SA 336 (SCA)</w:t>
      </w:r>
      <w:r w:rsidR="001C5BB0">
        <w:rPr>
          <w:rFonts w:ascii="Arial" w:hAnsi="Arial" w:cs="Arial"/>
          <w:sz w:val="24"/>
          <w:szCs w:val="24"/>
        </w:rPr>
        <w:t xml:space="preserve"> it was held, inter alia, that </w:t>
      </w:r>
      <w:r w:rsidR="001C5BB0" w:rsidRPr="00285350">
        <w:rPr>
          <w:rFonts w:ascii="Arial" w:hAnsi="Arial" w:cs="Arial"/>
          <w:i/>
          <w:sz w:val="24"/>
          <w:szCs w:val="24"/>
        </w:rPr>
        <w:t>“preference”</w:t>
      </w:r>
      <w:r w:rsidR="001C5BB0">
        <w:rPr>
          <w:rFonts w:ascii="Arial" w:hAnsi="Arial" w:cs="Arial"/>
          <w:sz w:val="24"/>
          <w:szCs w:val="24"/>
        </w:rPr>
        <w:t xml:space="preserve"> extends to all debts owed to the municipality which have not prescribed.  Furthermore, it held that the municipality may thus enforce its preferent right on municipal rates and taxes accumulating for a period of 30 years and in respect of services and consumption charges, a period of 3 years.  </w:t>
      </w:r>
      <w:r w:rsidR="00684BFD">
        <w:rPr>
          <w:rFonts w:ascii="Arial" w:hAnsi="Arial" w:cs="Arial"/>
          <w:sz w:val="24"/>
          <w:szCs w:val="24"/>
        </w:rPr>
        <w:t xml:space="preserve">On appeal to the Constitutional Court it was held that the section does not survive the debt to accrue to the new owner. </w:t>
      </w:r>
    </w:p>
    <w:p w14:paraId="1AFA0E42" w14:textId="60179C87" w:rsidR="00AB44B3" w:rsidRDefault="00075D7A" w:rsidP="003A5BC6">
      <w:pPr>
        <w:spacing w:line="480" w:lineRule="auto"/>
        <w:jc w:val="both"/>
        <w:rPr>
          <w:rFonts w:ascii="Arial" w:hAnsi="Arial" w:cs="Arial"/>
          <w:sz w:val="24"/>
          <w:szCs w:val="24"/>
        </w:rPr>
      </w:pPr>
      <w:r>
        <w:rPr>
          <w:rFonts w:ascii="Arial" w:hAnsi="Arial" w:cs="Arial"/>
          <w:sz w:val="24"/>
          <w:szCs w:val="24"/>
        </w:rPr>
        <w:lastRenderedPageBreak/>
        <w:t>6.3]</w:t>
      </w:r>
      <w:r>
        <w:rPr>
          <w:rFonts w:ascii="Arial" w:hAnsi="Arial" w:cs="Arial"/>
          <w:sz w:val="24"/>
          <w:szCs w:val="24"/>
        </w:rPr>
        <w:tab/>
        <w:t>The issue relevant to the</w:t>
      </w:r>
      <w:r w:rsidR="00684BFD">
        <w:rPr>
          <w:rFonts w:ascii="Arial" w:hAnsi="Arial" w:cs="Arial"/>
          <w:sz w:val="24"/>
          <w:szCs w:val="24"/>
        </w:rPr>
        <w:t xml:space="preserve"> subject of this matter is that it is the owne</w:t>
      </w:r>
      <w:r>
        <w:rPr>
          <w:rFonts w:ascii="Arial" w:hAnsi="Arial" w:cs="Arial"/>
          <w:sz w:val="24"/>
          <w:szCs w:val="24"/>
        </w:rPr>
        <w:t>r of the immovable property who</w:t>
      </w:r>
      <w:r w:rsidR="00684BFD">
        <w:rPr>
          <w:rFonts w:ascii="Arial" w:hAnsi="Arial" w:cs="Arial"/>
          <w:sz w:val="24"/>
          <w:szCs w:val="24"/>
        </w:rPr>
        <w:t xml:space="preserve"> is liable for the consumption costs due to the municipality.  This would be in line with a purposive interpretation of the enabling legislation given that municipalities have an obligation to service the community within its jurisdiction and concomitant duties to collect all money due and payable to it and must implement credit control and debt collection policies consistent with the act.   In </w:t>
      </w:r>
      <w:r w:rsidR="00684BFD" w:rsidRPr="003D234B">
        <w:rPr>
          <w:rFonts w:ascii="Arial" w:hAnsi="Arial" w:cs="Arial"/>
          <w:b/>
          <w:i/>
          <w:sz w:val="24"/>
          <w:szCs w:val="24"/>
        </w:rPr>
        <w:t>Mkontwana v Nelson Mandela M</w:t>
      </w:r>
      <w:r w:rsidR="003D234B" w:rsidRPr="003D234B">
        <w:rPr>
          <w:rFonts w:ascii="Arial" w:hAnsi="Arial" w:cs="Arial"/>
          <w:b/>
          <w:i/>
          <w:sz w:val="24"/>
          <w:szCs w:val="24"/>
        </w:rPr>
        <w:t>etropolitan Municipality (CCT 57/03) [2004] ZACC 9; 2005 (1) SA 530 (CC); 2005 (2) BCLR 150 (CC)</w:t>
      </w:r>
      <w:r w:rsidR="00285350" w:rsidRPr="003D234B">
        <w:rPr>
          <w:rFonts w:ascii="Arial" w:hAnsi="Arial" w:cs="Arial"/>
          <w:i/>
          <w:sz w:val="24"/>
          <w:szCs w:val="24"/>
        </w:rPr>
        <w:t xml:space="preserve"> </w:t>
      </w:r>
      <w:r w:rsidR="00285350">
        <w:rPr>
          <w:rFonts w:ascii="Arial" w:hAnsi="Arial" w:cs="Arial"/>
          <w:sz w:val="24"/>
          <w:szCs w:val="24"/>
        </w:rPr>
        <w:t>the court held that (paragraph 41):</w:t>
      </w:r>
    </w:p>
    <w:p w14:paraId="0601BCD1" w14:textId="77777777" w:rsidR="00285350" w:rsidRDefault="00285350" w:rsidP="003A5BC6">
      <w:pPr>
        <w:spacing w:line="480" w:lineRule="auto"/>
        <w:jc w:val="both"/>
        <w:rPr>
          <w:rFonts w:ascii="Arial" w:hAnsi="Arial" w:cs="Arial"/>
          <w:sz w:val="24"/>
          <w:szCs w:val="24"/>
        </w:rPr>
      </w:pPr>
    </w:p>
    <w:p w14:paraId="0BB5524E" w14:textId="3A2797F9" w:rsidR="00285350" w:rsidRDefault="00285350" w:rsidP="003A5BC6">
      <w:pPr>
        <w:spacing w:line="480" w:lineRule="auto"/>
        <w:ind w:left="720"/>
        <w:jc w:val="both"/>
        <w:rPr>
          <w:rFonts w:ascii="Arial" w:hAnsi="Arial" w:cs="Arial"/>
          <w:i/>
          <w:sz w:val="24"/>
          <w:szCs w:val="24"/>
        </w:rPr>
      </w:pPr>
      <w:r w:rsidRPr="005C58D8">
        <w:rPr>
          <w:rFonts w:ascii="Arial" w:hAnsi="Arial" w:cs="Arial"/>
          <w:i/>
          <w:sz w:val="24"/>
          <w:szCs w:val="24"/>
        </w:rPr>
        <w:t xml:space="preserve">“It is </w:t>
      </w:r>
      <w:proofErr w:type="spellStart"/>
      <w:r w:rsidRPr="005C58D8">
        <w:rPr>
          <w:rFonts w:ascii="Arial" w:hAnsi="Arial" w:cs="Arial"/>
          <w:i/>
          <w:sz w:val="24"/>
          <w:szCs w:val="24"/>
        </w:rPr>
        <w:t>self evident</w:t>
      </w:r>
      <w:proofErr w:type="spellEnd"/>
      <w:r w:rsidRPr="005C58D8">
        <w:rPr>
          <w:rFonts w:ascii="Arial" w:hAnsi="Arial" w:cs="Arial"/>
          <w:i/>
          <w:sz w:val="24"/>
          <w:szCs w:val="24"/>
        </w:rPr>
        <w:t xml:space="preserve"> that the exact character of the relationship between the owner and the consum</w:t>
      </w:r>
      <w:r w:rsidR="005C58D8">
        <w:rPr>
          <w:rFonts w:ascii="Arial" w:hAnsi="Arial" w:cs="Arial"/>
          <w:i/>
          <w:sz w:val="24"/>
          <w:szCs w:val="24"/>
        </w:rPr>
        <w:t>p</w:t>
      </w:r>
      <w:r w:rsidRPr="005C58D8">
        <w:rPr>
          <w:rFonts w:ascii="Arial" w:hAnsi="Arial" w:cs="Arial"/>
          <w:i/>
          <w:sz w:val="24"/>
          <w:szCs w:val="24"/>
        </w:rPr>
        <w:t xml:space="preserve">tion charge will vary depending on whether the property is occupied by </w:t>
      </w:r>
      <w:r w:rsidR="005C58D8">
        <w:rPr>
          <w:rFonts w:ascii="Arial" w:hAnsi="Arial" w:cs="Arial"/>
          <w:i/>
          <w:sz w:val="24"/>
          <w:szCs w:val="24"/>
        </w:rPr>
        <w:t>the owner, a tenant, a usufructu</w:t>
      </w:r>
      <w:r w:rsidRPr="005C58D8">
        <w:rPr>
          <w:rFonts w:ascii="Arial" w:hAnsi="Arial" w:cs="Arial"/>
          <w:i/>
          <w:sz w:val="24"/>
          <w:szCs w:val="24"/>
        </w:rPr>
        <w:t xml:space="preserve">ary, a fiduciary or an unlawful occupier.  However, there is a level at which the owner and the debt are usually connected or related regardless of the nature of the relationship between the owner and the occupier and of whether the property is lawfully occupied.  </w:t>
      </w:r>
      <w:r w:rsidRPr="00075D7A">
        <w:rPr>
          <w:rFonts w:ascii="Arial" w:hAnsi="Arial" w:cs="Arial"/>
          <w:i/>
          <w:sz w:val="24"/>
          <w:szCs w:val="24"/>
          <w:u w:val="single"/>
        </w:rPr>
        <w:t>This is because the owner is bound to the property by reason</w:t>
      </w:r>
      <w:r w:rsidR="005C58D8" w:rsidRPr="00075D7A">
        <w:rPr>
          <w:rFonts w:ascii="Arial" w:hAnsi="Arial" w:cs="Arial"/>
          <w:i/>
          <w:sz w:val="24"/>
          <w:szCs w:val="24"/>
          <w:u w:val="single"/>
        </w:rPr>
        <w:t xml:space="preserve"> of the fact of ownership</w:t>
      </w:r>
      <w:r w:rsidR="005C58D8" w:rsidRPr="005C58D8">
        <w:rPr>
          <w:rFonts w:ascii="Arial" w:hAnsi="Arial" w:cs="Arial"/>
          <w:i/>
          <w:sz w:val="24"/>
          <w:szCs w:val="24"/>
        </w:rPr>
        <w:t xml:space="preserve"> which….</w:t>
      </w:r>
      <w:r w:rsidR="005C58D8">
        <w:rPr>
          <w:rFonts w:ascii="Arial" w:hAnsi="Arial" w:cs="Arial"/>
          <w:i/>
          <w:sz w:val="24"/>
          <w:szCs w:val="24"/>
        </w:rPr>
        <w:t xml:space="preserve"> </w:t>
      </w:r>
      <w:r w:rsidR="005C58D8" w:rsidRPr="005C58D8">
        <w:rPr>
          <w:rFonts w:ascii="Arial" w:hAnsi="Arial" w:cs="Arial"/>
          <w:i/>
          <w:sz w:val="24"/>
          <w:szCs w:val="24"/>
        </w:rPr>
        <w:t>entails certain rights and responsibilities.  Both the owner and the consumption charge are closely related to the property and the property is always the link between the owner on the one hand and the consumption charge in respect of water and electricity provided by the municipality on the other.”</w:t>
      </w:r>
      <w:r w:rsidR="00075D7A">
        <w:rPr>
          <w:rFonts w:ascii="Arial" w:hAnsi="Arial" w:cs="Arial"/>
          <w:i/>
          <w:sz w:val="24"/>
          <w:szCs w:val="24"/>
        </w:rPr>
        <w:t xml:space="preserve"> </w:t>
      </w:r>
      <w:r w:rsidR="00075D7A" w:rsidRPr="00075D7A">
        <w:rPr>
          <w:rFonts w:ascii="Arial" w:hAnsi="Arial" w:cs="Arial"/>
          <w:sz w:val="24"/>
          <w:szCs w:val="24"/>
        </w:rPr>
        <w:t>(emphasis own)</w:t>
      </w:r>
    </w:p>
    <w:p w14:paraId="46232C8A" w14:textId="77777777" w:rsidR="005C58D8" w:rsidRDefault="005C58D8" w:rsidP="003A5BC6">
      <w:pPr>
        <w:spacing w:line="480" w:lineRule="auto"/>
        <w:jc w:val="both"/>
        <w:rPr>
          <w:rFonts w:ascii="Arial" w:hAnsi="Arial" w:cs="Arial"/>
          <w:sz w:val="24"/>
          <w:szCs w:val="24"/>
        </w:rPr>
      </w:pPr>
    </w:p>
    <w:p w14:paraId="4E70786F" w14:textId="5510A427" w:rsidR="005C58D8" w:rsidRDefault="00BC00B4" w:rsidP="003A5BC6">
      <w:pPr>
        <w:spacing w:line="480" w:lineRule="auto"/>
        <w:jc w:val="both"/>
        <w:rPr>
          <w:rFonts w:ascii="Arial" w:hAnsi="Arial" w:cs="Arial"/>
          <w:sz w:val="24"/>
          <w:szCs w:val="24"/>
        </w:rPr>
      </w:pPr>
      <w:r>
        <w:rPr>
          <w:rFonts w:ascii="Arial" w:hAnsi="Arial" w:cs="Arial"/>
          <w:sz w:val="24"/>
          <w:szCs w:val="24"/>
        </w:rPr>
        <w:lastRenderedPageBreak/>
        <w:t>6</w:t>
      </w:r>
      <w:r w:rsidR="005C58D8">
        <w:rPr>
          <w:rFonts w:ascii="Arial" w:hAnsi="Arial" w:cs="Arial"/>
          <w:sz w:val="24"/>
          <w:szCs w:val="24"/>
        </w:rPr>
        <w:t>.4]</w:t>
      </w:r>
      <w:r w:rsidR="005C58D8">
        <w:rPr>
          <w:rFonts w:ascii="Arial" w:hAnsi="Arial" w:cs="Arial"/>
          <w:sz w:val="24"/>
          <w:szCs w:val="24"/>
        </w:rPr>
        <w:tab/>
        <w:t xml:space="preserve">At paragraph 53 </w:t>
      </w:r>
      <w:r w:rsidR="00075D7A">
        <w:rPr>
          <w:rFonts w:ascii="Arial" w:hAnsi="Arial" w:cs="Arial"/>
          <w:sz w:val="24"/>
          <w:szCs w:val="24"/>
        </w:rPr>
        <w:t xml:space="preserve">of </w:t>
      </w:r>
      <w:r w:rsidR="00075D7A" w:rsidRPr="00075D7A">
        <w:rPr>
          <w:rFonts w:ascii="Arial" w:hAnsi="Arial" w:cs="Arial"/>
          <w:b/>
          <w:i/>
          <w:sz w:val="24"/>
          <w:szCs w:val="24"/>
        </w:rPr>
        <w:t xml:space="preserve">Mkontwana </w:t>
      </w:r>
      <w:r w:rsidR="005C58D8">
        <w:rPr>
          <w:rFonts w:ascii="Arial" w:hAnsi="Arial" w:cs="Arial"/>
          <w:sz w:val="24"/>
          <w:szCs w:val="24"/>
        </w:rPr>
        <w:t>the Court deals with occupation and consumption by tenants,</w:t>
      </w:r>
      <w:r w:rsidR="00075D7A">
        <w:rPr>
          <w:rFonts w:ascii="Arial" w:hAnsi="Arial" w:cs="Arial"/>
          <w:sz w:val="24"/>
          <w:szCs w:val="24"/>
        </w:rPr>
        <w:t xml:space="preserve"> as well as </w:t>
      </w:r>
      <w:r w:rsidR="007C00B9">
        <w:rPr>
          <w:rFonts w:ascii="Arial" w:hAnsi="Arial" w:cs="Arial"/>
          <w:sz w:val="24"/>
          <w:szCs w:val="24"/>
        </w:rPr>
        <w:t>other category of occupiers, i</w:t>
      </w:r>
      <w:r w:rsidR="00075D7A">
        <w:rPr>
          <w:rFonts w:ascii="Arial" w:hAnsi="Arial" w:cs="Arial"/>
          <w:sz w:val="24"/>
          <w:szCs w:val="24"/>
        </w:rPr>
        <w:t xml:space="preserve">nter alia unlawful occupiers.  The </w:t>
      </w:r>
      <w:r>
        <w:rPr>
          <w:rFonts w:ascii="Arial" w:hAnsi="Arial" w:cs="Arial"/>
          <w:sz w:val="24"/>
          <w:szCs w:val="24"/>
        </w:rPr>
        <w:t>Court’s discussion regarding consumption costs relating</w:t>
      </w:r>
      <w:r w:rsidR="00075D7A">
        <w:rPr>
          <w:rFonts w:ascii="Arial" w:hAnsi="Arial" w:cs="Arial"/>
          <w:sz w:val="24"/>
          <w:szCs w:val="24"/>
        </w:rPr>
        <w:t xml:space="preserve"> to landlord and tenant </w:t>
      </w:r>
      <w:r>
        <w:rPr>
          <w:rFonts w:ascii="Arial" w:hAnsi="Arial" w:cs="Arial"/>
          <w:sz w:val="24"/>
          <w:szCs w:val="24"/>
        </w:rPr>
        <w:t>is particularly relevant in this matter.</w:t>
      </w:r>
    </w:p>
    <w:p w14:paraId="4BC90D0B" w14:textId="77777777" w:rsidR="005C58D8" w:rsidRDefault="005C58D8" w:rsidP="003A5BC6">
      <w:pPr>
        <w:spacing w:line="480" w:lineRule="auto"/>
        <w:jc w:val="both"/>
        <w:rPr>
          <w:rFonts w:ascii="Arial" w:hAnsi="Arial" w:cs="Arial"/>
          <w:sz w:val="24"/>
          <w:szCs w:val="24"/>
        </w:rPr>
      </w:pPr>
    </w:p>
    <w:p w14:paraId="7B064D36" w14:textId="77777777" w:rsidR="005C58D8" w:rsidRPr="00BC00B4" w:rsidRDefault="005C58D8" w:rsidP="003A5BC6">
      <w:pPr>
        <w:spacing w:line="480" w:lineRule="auto"/>
        <w:ind w:left="720"/>
        <w:jc w:val="both"/>
        <w:rPr>
          <w:rFonts w:ascii="Arial" w:hAnsi="Arial" w:cs="Arial"/>
          <w:sz w:val="24"/>
          <w:szCs w:val="24"/>
        </w:rPr>
      </w:pPr>
      <w:r w:rsidRPr="007C00B9">
        <w:rPr>
          <w:rFonts w:ascii="Arial" w:hAnsi="Arial" w:cs="Arial"/>
          <w:i/>
          <w:sz w:val="24"/>
          <w:szCs w:val="24"/>
        </w:rPr>
        <w:t xml:space="preserve">“The relationship between the owner and the consumption charge is so close as to justify a reasonable expectation that the owner would choose a responsible tenant, monitor payment by the tenant of consumption charges that are due and ensure that the agreement of tenancy is appropriately crafted.  </w:t>
      </w:r>
      <w:r w:rsidR="007C00B9" w:rsidRPr="007C00B9">
        <w:rPr>
          <w:rFonts w:ascii="Arial" w:hAnsi="Arial" w:cs="Arial"/>
          <w:i/>
          <w:sz w:val="24"/>
          <w:szCs w:val="24"/>
        </w:rPr>
        <w:t>An agreement could provide, for example, that the consumption charges must be regularly paid by the tenant, that proof of payment is given to the ow</w:t>
      </w:r>
      <w:r w:rsidR="007C00B9">
        <w:rPr>
          <w:rFonts w:ascii="Arial" w:hAnsi="Arial" w:cs="Arial"/>
          <w:i/>
          <w:sz w:val="24"/>
          <w:szCs w:val="24"/>
        </w:rPr>
        <w:t>n</w:t>
      </w:r>
      <w:r w:rsidR="007C00B9" w:rsidRPr="007C00B9">
        <w:rPr>
          <w:rFonts w:ascii="Arial" w:hAnsi="Arial" w:cs="Arial"/>
          <w:i/>
          <w:sz w:val="24"/>
          <w:szCs w:val="24"/>
        </w:rPr>
        <w:t xml:space="preserve">er and that eviction or other consequences would follow if there is non-payment.  </w:t>
      </w:r>
      <w:r w:rsidR="007C00B9" w:rsidRPr="007C00B9">
        <w:rPr>
          <w:rFonts w:ascii="Arial" w:hAnsi="Arial" w:cs="Arial"/>
          <w:i/>
          <w:sz w:val="24"/>
          <w:szCs w:val="24"/>
          <w:u w:val="single"/>
        </w:rPr>
        <w:t>There is therefore no basis to suggest that it would be unreasonable for the owner to bear the risk.</w:t>
      </w:r>
      <w:r w:rsidR="007C00B9" w:rsidRPr="007C00B9">
        <w:rPr>
          <w:rFonts w:ascii="Arial" w:hAnsi="Arial" w:cs="Arial"/>
          <w:i/>
          <w:sz w:val="24"/>
          <w:szCs w:val="24"/>
        </w:rPr>
        <w:t>”</w:t>
      </w:r>
      <w:r w:rsidR="007C00B9">
        <w:rPr>
          <w:rFonts w:ascii="Arial" w:hAnsi="Arial" w:cs="Arial"/>
          <w:i/>
          <w:sz w:val="24"/>
          <w:szCs w:val="24"/>
        </w:rPr>
        <w:t xml:space="preserve"> </w:t>
      </w:r>
      <w:r w:rsidR="007C00B9" w:rsidRPr="00BC00B4">
        <w:rPr>
          <w:rFonts w:ascii="Arial" w:hAnsi="Arial" w:cs="Arial"/>
          <w:sz w:val="24"/>
          <w:szCs w:val="24"/>
        </w:rPr>
        <w:t>(emphasis own)</w:t>
      </w:r>
    </w:p>
    <w:p w14:paraId="3BCD183D" w14:textId="77777777" w:rsidR="007C00B9" w:rsidRDefault="007C00B9" w:rsidP="003A5BC6">
      <w:pPr>
        <w:spacing w:line="480" w:lineRule="auto"/>
        <w:jc w:val="both"/>
        <w:rPr>
          <w:rFonts w:ascii="Arial" w:hAnsi="Arial" w:cs="Arial"/>
          <w:i/>
          <w:sz w:val="24"/>
          <w:szCs w:val="24"/>
        </w:rPr>
      </w:pPr>
    </w:p>
    <w:p w14:paraId="4627AD4F" w14:textId="47C0F3FB" w:rsidR="00574EAC" w:rsidRDefault="00BC00B4" w:rsidP="003A5BC6">
      <w:pPr>
        <w:spacing w:line="480" w:lineRule="auto"/>
        <w:jc w:val="both"/>
        <w:rPr>
          <w:rFonts w:ascii="Arial" w:hAnsi="Arial" w:cs="Arial"/>
          <w:sz w:val="24"/>
          <w:szCs w:val="24"/>
        </w:rPr>
      </w:pPr>
      <w:r>
        <w:rPr>
          <w:rFonts w:ascii="Arial" w:hAnsi="Arial" w:cs="Arial"/>
          <w:sz w:val="24"/>
          <w:szCs w:val="24"/>
        </w:rPr>
        <w:t>6</w:t>
      </w:r>
      <w:r w:rsidR="007C00B9">
        <w:rPr>
          <w:rFonts w:ascii="Arial" w:hAnsi="Arial" w:cs="Arial"/>
          <w:sz w:val="24"/>
          <w:szCs w:val="24"/>
        </w:rPr>
        <w:t>.5]</w:t>
      </w:r>
      <w:r w:rsidR="007C00B9">
        <w:rPr>
          <w:rFonts w:ascii="Arial" w:hAnsi="Arial" w:cs="Arial"/>
          <w:sz w:val="24"/>
          <w:szCs w:val="24"/>
        </w:rPr>
        <w:tab/>
        <w:t>It follows that for the appellant herein as the owner of the property, the consumpti</w:t>
      </w:r>
      <w:r w:rsidR="00C03A20">
        <w:rPr>
          <w:rFonts w:ascii="Arial" w:hAnsi="Arial" w:cs="Arial"/>
          <w:sz w:val="24"/>
          <w:szCs w:val="24"/>
        </w:rPr>
        <w:t>on costs stemming from the prepa</w:t>
      </w:r>
      <w:r>
        <w:rPr>
          <w:rFonts w:ascii="Arial" w:hAnsi="Arial" w:cs="Arial"/>
          <w:sz w:val="24"/>
          <w:szCs w:val="24"/>
        </w:rPr>
        <w:t xml:space="preserve">id electricity </w:t>
      </w:r>
      <w:r w:rsidR="00C03A20">
        <w:rPr>
          <w:rFonts w:ascii="Arial" w:hAnsi="Arial" w:cs="Arial"/>
          <w:sz w:val="24"/>
          <w:szCs w:val="24"/>
        </w:rPr>
        <w:t xml:space="preserve">installed </w:t>
      </w:r>
      <w:r w:rsidR="007C00B9">
        <w:rPr>
          <w:rFonts w:ascii="Arial" w:hAnsi="Arial" w:cs="Arial"/>
          <w:sz w:val="24"/>
          <w:szCs w:val="24"/>
        </w:rPr>
        <w:t xml:space="preserve">by or on behalf of </w:t>
      </w:r>
      <w:r w:rsidR="00C03A20">
        <w:rPr>
          <w:rFonts w:ascii="Arial" w:hAnsi="Arial" w:cs="Arial"/>
          <w:sz w:val="24"/>
          <w:szCs w:val="24"/>
        </w:rPr>
        <w:t xml:space="preserve">the appellant’s </w:t>
      </w:r>
      <w:r w:rsidR="007C00B9">
        <w:rPr>
          <w:rFonts w:ascii="Arial" w:hAnsi="Arial" w:cs="Arial"/>
          <w:sz w:val="24"/>
          <w:szCs w:val="24"/>
        </w:rPr>
        <w:t>tenant</w:t>
      </w:r>
      <w:r w:rsidR="00C03A20">
        <w:rPr>
          <w:rFonts w:ascii="Arial" w:hAnsi="Arial" w:cs="Arial"/>
          <w:sz w:val="24"/>
          <w:szCs w:val="24"/>
        </w:rPr>
        <w:t xml:space="preserve">, remains the ultimate responsibility of the appellant as the owner.  The evidence of Robarts was that all the units functioned with a prepaid meter and he adopted an approach that the tenants would have their own arrangement with the municipality.  Clearly Robarts was not unaware of the installation </w:t>
      </w:r>
      <w:r>
        <w:rPr>
          <w:rFonts w:ascii="Arial" w:hAnsi="Arial" w:cs="Arial"/>
          <w:sz w:val="24"/>
          <w:szCs w:val="24"/>
        </w:rPr>
        <w:t xml:space="preserve">of the prepaid meter, which contradicts the basis of his denial of liability, that being that he </w:t>
      </w:r>
      <w:r w:rsidR="00145167">
        <w:rPr>
          <w:rFonts w:ascii="Arial" w:hAnsi="Arial" w:cs="Arial"/>
          <w:sz w:val="24"/>
          <w:szCs w:val="24"/>
        </w:rPr>
        <w:t xml:space="preserve">did not authorize nor did </w:t>
      </w:r>
      <w:r w:rsidR="00145167">
        <w:rPr>
          <w:rFonts w:ascii="Arial" w:hAnsi="Arial" w:cs="Arial"/>
          <w:sz w:val="24"/>
          <w:szCs w:val="24"/>
        </w:rPr>
        <w:lastRenderedPageBreak/>
        <w:t>he kno</w:t>
      </w:r>
      <w:r>
        <w:rPr>
          <w:rFonts w:ascii="Arial" w:hAnsi="Arial" w:cs="Arial"/>
          <w:sz w:val="24"/>
          <w:szCs w:val="24"/>
        </w:rPr>
        <w:t xml:space="preserve">w about the prepaid meter installation by the tenant of this unit.  </w:t>
      </w:r>
      <w:r w:rsidR="00C03A20">
        <w:rPr>
          <w:rFonts w:ascii="Arial" w:hAnsi="Arial" w:cs="Arial"/>
          <w:sz w:val="24"/>
          <w:szCs w:val="24"/>
        </w:rPr>
        <w:t xml:space="preserve">However, even if he was not aware and had not authorized the installation of the meter, the responsibility of the consumption costs would ultimately rest on him.  In any event, the issue herein is not that the consumption cost during the occupation of the tenant was unpaid.  It is common cause that the costs mounted only from November 2012 when the tenant had vacated from the property.  </w:t>
      </w:r>
      <w:r>
        <w:rPr>
          <w:rFonts w:ascii="Arial" w:hAnsi="Arial" w:cs="Arial"/>
          <w:sz w:val="24"/>
          <w:szCs w:val="24"/>
        </w:rPr>
        <w:t xml:space="preserve">The amount in question relates to costs which had accrued after the tenant had vacated.  </w:t>
      </w:r>
    </w:p>
    <w:p w14:paraId="7B307EAC" w14:textId="77777777" w:rsidR="00574EAC" w:rsidRDefault="00574EAC" w:rsidP="003A5BC6">
      <w:pPr>
        <w:spacing w:line="480" w:lineRule="auto"/>
        <w:jc w:val="both"/>
        <w:rPr>
          <w:rFonts w:ascii="Arial" w:hAnsi="Arial" w:cs="Arial"/>
          <w:sz w:val="24"/>
          <w:szCs w:val="24"/>
        </w:rPr>
      </w:pPr>
    </w:p>
    <w:p w14:paraId="0E78778F" w14:textId="4BA6CD60" w:rsidR="007C00B9" w:rsidRPr="003C2420" w:rsidRDefault="009B5188" w:rsidP="003A5BC6">
      <w:pPr>
        <w:spacing w:line="480" w:lineRule="auto"/>
        <w:jc w:val="both"/>
        <w:rPr>
          <w:rFonts w:ascii="Arial" w:hAnsi="Arial" w:cs="Arial"/>
          <w:sz w:val="24"/>
          <w:szCs w:val="24"/>
        </w:rPr>
      </w:pPr>
      <w:r>
        <w:rPr>
          <w:rFonts w:ascii="Arial" w:hAnsi="Arial" w:cs="Arial"/>
          <w:sz w:val="24"/>
          <w:szCs w:val="24"/>
        </w:rPr>
        <w:t>6</w:t>
      </w:r>
      <w:r w:rsidR="00574EAC">
        <w:rPr>
          <w:rFonts w:ascii="Arial" w:hAnsi="Arial" w:cs="Arial"/>
          <w:sz w:val="24"/>
          <w:szCs w:val="24"/>
        </w:rPr>
        <w:t>.6]</w:t>
      </w:r>
      <w:r w:rsidR="00574EAC">
        <w:rPr>
          <w:rFonts w:ascii="Arial" w:hAnsi="Arial" w:cs="Arial"/>
          <w:sz w:val="24"/>
          <w:szCs w:val="24"/>
        </w:rPr>
        <w:tab/>
      </w:r>
      <w:r w:rsidR="00C03A20">
        <w:rPr>
          <w:rFonts w:ascii="Arial" w:hAnsi="Arial" w:cs="Arial"/>
          <w:sz w:val="24"/>
          <w:szCs w:val="24"/>
        </w:rPr>
        <w:t>It do</w:t>
      </w:r>
      <w:r w:rsidR="00BC00B4">
        <w:rPr>
          <w:rFonts w:ascii="Arial" w:hAnsi="Arial" w:cs="Arial"/>
          <w:sz w:val="24"/>
          <w:szCs w:val="24"/>
        </w:rPr>
        <w:t xml:space="preserve">es not behoove </w:t>
      </w:r>
      <w:r w:rsidR="00C03A20">
        <w:rPr>
          <w:rFonts w:ascii="Arial" w:hAnsi="Arial" w:cs="Arial"/>
          <w:sz w:val="24"/>
          <w:szCs w:val="24"/>
        </w:rPr>
        <w:t xml:space="preserve">the appellant as the owner to adopt an attitude that it was not aware of the prepaid meter, that it had no use of the prepaid meter and is accordingly not liable.  The appellant as the owner bears the incidental risks </w:t>
      </w:r>
      <w:r w:rsidR="00574EAC">
        <w:rPr>
          <w:rFonts w:ascii="Arial" w:hAnsi="Arial" w:cs="Arial"/>
          <w:sz w:val="24"/>
          <w:szCs w:val="24"/>
        </w:rPr>
        <w:t>to its property.  This would be similar to where the property is d</w:t>
      </w:r>
      <w:r w:rsidR="003C2420">
        <w:rPr>
          <w:rFonts w:ascii="Arial" w:hAnsi="Arial" w:cs="Arial"/>
          <w:sz w:val="24"/>
          <w:szCs w:val="24"/>
        </w:rPr>
        <w:t>amaged or destroyed.  In any event</w:t>
      </w:r>
      <w:r w:rsidR="00574EAC">
        <w:rPr>
          <w:rFonts w:ascii="Arial" w:hAnsi="Arial" w:cs="Arial"/>
          <w:sz w:val="24"/>
          <w:szCs w:val="24"/>
        </w:rPr>
        <w:t xml:space="preserve">, in my view, it is evident that the appellant had the responsibility to inspect the premises after its tenant vacated and engage the municipality regarding the prepaid meter so as to ensure that it be removed should it not wish to incur further costs. </w:t>
      </w:r>
      <w:r w:rsidR="003C2420">
        <w:rPr>
          <w:rFonts w:ascii="Arial" w:hAnsi="Arial" w:cs="Arial"/>
          <w:sz w:val="24"/>
          <w:szCs w:val="24"/>
        </w:rPr>
        <w:t xml:space="preserve">In </w:t>
      </w:r>
      <w:proofErr w:type="spellStart"/>
      <w:r w:rsidR="003C2420" w:rsidRPr="003C2420">
        <w:rPr>
          <w:rFonts w:ascii="Arial" w:hAnsi="Arial" w:cs="Arial"/>
          <w:b/>
          <w:i/>
          <w:sz w:val="24"/>
          <w:szCs w:val="24"/>
        </w:rPr>
        <w:t>Mkwontana</w:t>
      </w:r>
      <w:proofErr w:type="spellEnd"/>
      <w:r w:rsidR="003C2420">
        <w:rPr>
          <w:rFonts w:ascii="Arial" w:hAnsi="Arial" w:cs="Arial"/>
          <w:b/>
          <w:i/>
          <w:sz w:val="24"/>
          <w:szCs w:val="24"/>
        </w:rPr>
        <w:t xml:space="preserve"> </w:t>
      </w:r>
      <w:r w:rsidR="003C2420">
        <w:rPr>
          <w:rFonts w:ascii="Arial" w:hAnsi="Arial" w:cs="Arial"/>
          <w:sz w:val="24"/>
          <w:szCs w:val="24"/>
        </w:rPr>
        <w:t xml:space="preserve">it was held (at paragraph 101) thereof that by keeping a close eye on the extent of service charges, owners can take timely steps to ensure that indebtedness does not get out of hand.  </w:t>
      </w:r>
    </w:p>
    <w:p w14:paraId="3E8F7228" w14:textId="77777777" w:rsidR="00574EAC" w:rsidRDefault="00574EAC" w:rsidP="003A5BC6">
      <w:pPr>
        <w:spacing w:line="480" w:lineRule="auto"/>
        <w:jc w:val="both"/>
        <w:rPr>
          <w:rFonts w:ascii="Arial" w:hAnsi="Arial" w:cs="Arial"/>
          <w:sz w:val="24"/>
          <w:szCs w:val="24"/>
        </w:rPr>
      </w:pPr>
    </w:p>
    <w:p w14:paraId="36E77106" w14:textId="6E4F4191" w:rsidR="00F80427" w:rsidRDefault="009B5188" w:rsidP="00F80427">
      <w:pPr>
        <w:spacing w:line="480" w:lineRule="auto"/>
        <w:jc w:val="both"/>
        <w:rPr>
          <w:rFonts w:ascii="Arial" w:hAnsi="Arial" w:cs="Arial"/>
          <w:sz w:val="24"/>
          <w:szCs w:val="24"/>
        </w:rPr>
      </w:pPr>
      <w:r>
        <w:rPr>
          <w:rFonts w:ascii="Arial" w:hAnsi="Arial" w:cs="Arial"/>
          <w:sz w:val="24"/>
          <w:szCs w:val="24"/>
        </w:rPr>
        <w:t>6</w:t>
      </w:r>
      <w:r w:rsidR="00574EAC">
        <w:rPr>
          <w:rFonts w:ascii="Arial" w:hAnsi="Arial" w:cs="Arial"/>
          <w:sz w:val="24"/>
          <w:szCs w:val="24"/>
        </w:rPr>
        <w:t>.7]</w:t>
      </w:r>
      <w:r w:rsidR="00574EAC">
        <w:rPr>
          <w:rFonts w:ascii="Arial" w:hAnsi="Arial" w:cs="Arial"/>
          <w:sz w:val="24"/>
          <w:szCs w:val="24"/>
        </w:rPr>
        <w:tab/>
        <w:t xml:space="preserve">The </w:t>
      </w:r>
      <w:r w:rsidR="00574EAC" w:rsidRPr="003D234B">
        <w:rPr>
          <w:rFonts w:ascii="Arial" w:hAnsi="Arial" w:cs="Arial"/>
          <w:b/>
          <w:i/>
          <w:sz w:val="24"/>
          <w:szCs w:val="24"/>
        </w:rPr>
        <w:t>Drakenstein Municipality Electricity Supply By-law, 2014</w:t>
      </w:r>
      <w:r w:rsidR="00574EAC">
        <w:rPr>
          <w:rFonts w:ascii="Arial" w:hAnsi="Arial" w:cs="Arial"/>
          <w:sz w:val="24"/>
          <w:szCs w:val="24"/>
        </w:rPr>
        <w:t xml:space="preserve"> enacted under the provisions of section 156 of the Constitution defines </w:t>
      </w:r>
      <w:r w:rsidR="00574EAC" w:rsidRPr="003D234B">
        <w:rPr>
          <w:rFonts w:ascii="Arial" w:hAnsi="Arial" w:cs="Arial"/>
          <w:b/>
          <w:sz w:val="24"/>
          <w:szCs w:val="24"/>
        </w:rPr>
        <w:t>“customer”</w:t>
      </w:r>
      <w:r w:rsidR="003D234B">
        <w:rPr>
          <w:rFonts w:ascii="Arial" w:hAnsi="Arial" w:cs="Arial"/>
          <w:sz w:val="24"/>
          <w:szCs w:val="24"/>
        </w:rPr>
        <w:t xml:space="preserve"> as the occupier, a person who has a valid existing agreement with the municipality for supply to such premises or if there is no such person or occupier, </w:t>
      </w:r>
      <w:r w:rsidR="003D234B" w:rsidRPr="003D234B">
        <w:rPr>
          <w:rFonts w:ascii="Arial" w:hAnsi="Arial" w:cs="Arial"/>
          <w:sz w:val="24"/>
          <w:szCs w:val="24"/>
          <w:u w:val="single"/>
        </w:rPr>
        <w:t>the owner of the premises</w:t>
      </w:r>
      <w:r w:rsidR="003D234B">
        <w:rPr>
          <w:rFonts w:ascii="Arial" w:hAnsi="Arial" w:cs="Arial"/>
          <w:sz w:val="24"/>
          <w:szCs w:val="24"/>
        </w:rPr>
        <w:t xml:space="preserve">. (emphasis </w:t>
      </w:r>
      <w:r w:rsidR="003D234B">
        <w:rPr>
          <w:rFonts w:ascii="Arial" w:hAnsi="Arial" w:cs="Arial"/>
          <w:sz w:val="24"/>
          <w:szCs w:val="24"/>
        </w:rPr>
        <w:lastRenderedPageBreak/>
        <w:t xml:space="preserve">own).  </w:t>
      </w:r>
      <w:r w:rsidR="00F80427">
        <w:rPr>
          <w:rFonts w:ascii="Arial" w:hAnsi="Arial" w:cs="Arial"/>
          <w:sz w:val="24"/>
          <w:szCs w:val="24"/>
        </w:rPr>
        <w:t xml:space="preserve">In any event, absent an occupier, the owner is defined as the customer in the by-law and under an obligation to give notice to the municipality in terms of section 42 of the by-law titled: </w:t>
      </w:r>
      <w:r w:rsidR="00F80427" w:rsidRPr="00BC00B4">
        <w:rPr>
          <w:rFonts w:ascii="Arial" w:hAnsi="Arial" w:cs="Arial"/>
          <w:i/>
          <w:sz w:val="24"/>
          <w:szCs w:val="24"/>
        </w:rPr>
        <w:t>“Change of Occupier”</w:t>
      </w:r>
    </w:p>
    <w:p w14:paraId="2828A281" w14:textId="77777777" w:rsidR="00F80427" w:rsidRDefault="00F80427" w:rsidP="003A5BC6">
      <w:pPr>
        <w:spacing w:line="480" w:lineRule="auto"/>
        <w:jc w:val="both"/>
        <w:rPr>
          <w:rFonts w:ascii="Arial" w:hAnsi="Arial" w:cs="Arial"/>
          <w:sz w:val="24"/>
          <w:szCs w:val="24"/>
        </w:rPr>
      </w:pPr>
    </w:p>
    <w:p w14:paraId="201B2DC4" w14:textId="73CFF8A8" w:rsidR="00574EAC" w:rsidRDefault="009B5188" w:rsidP="003A5BC6">
      <w:pPr>
        <w:spacing w:line="480" w:lineRule="auto"/>
        <w:jc w:val="both"/>
        <w:rPr>
          <w:rFonts w:ascii="Arial" w:hAnsi="Arial" w:cs="Arial"/>
          <w:sz w:val="24"/>
          <w:szCs w:val="24"/>
        </w:rPr>
      </w:pPr>
      <w:r>
        <w:rPr>
          <w:rFonts w:ascii="Arial" w:hAnsi="Arial" w:cs="Arial"/>
          <w:sz w:val="24"/>
          <w:szCs w:val="24"/>
        </w:rPr>
        <w:t>6</w:t>
      </w:r>
      <w:r w:rsidR="00F80427">
        <w:rPr>
          <w:rFonts w:ascii="Arial" w:hAnsi="Arial" w:cs="Arial"/>
          <w:sz w:val="24"/>
          <w:szCs w:val="24"/>
        </w:rPr>
        <w:t>.8]</w:t>
      </w:r>
      <w:r w:rsidR="00F80427">
        <w:rPr>
          <w:rFonts w:ascii="Arial" w:hAnsi="Arial" w:cs="Arial"/>
          <w:sz w:val="24"/>
          <w:szCs w:val="24"/>
        </w:rPr>
        <w:tab/>
      </w:r>
      <w:r w:rsidR="003D234B">
        <w:rPr>
          <w:rFonts w:ascii="Arial" w:hAnsi="Arial" w:cs="Arial"/>
          <w:sz w:val="24"/>
          <w:szCs w:val="24"/>
        </w:rPr>
        <w:t>I understand from the facts of this matter th</w:t>
      </w:r>
      <w:r w:rsidR="00F80427">
        <w:rPr>
          <w:rFonts w:ascii="Arial" w:hAnsi="Arial" w:cs="Arial"/>
          <w:sz w:val="24"/>
          <w:szCs w:val="24"/>
        </w:rPr>
        <w:t>at the prepaid meter levies had</w:t>
      </w:r>
      <w:r w:rsidR="003D234B">
        <w:rPr>
          <w:rFonts w:ascii="Arial" w:hAnsi="Arial" w:cs="Arial"/>
          <w:sz w:val="24"/>
          <w:szCs w:val="24"/>
        </w:rPr>
        <w:t xml:space="preserve"> acc</w:t>
      </w:r>
      <w:r w:rsidR="00F80427">
        <w:rPr>
          <w:rFonts w:ascii="Arial" w:hAnsi="Arial" w:cs="Arial"/>
          <w:sz w:val="24"/>
          <w:szCs w:val="24"/>
        </w:rPr>
        <w:t xml:space="preserve">rued from the period after </w:t>
      </w:r>
      <w:r w:rsidR="003D234B">
        <w:rPr>
          <w:rFonts w:ascii="Arial" w:hAnsi="Arial" w:cs="Arial"/>
          <w:sz w:val="24"/>
          <w:szCs w:val="24"/>
        </w:rPr>
        <w:t>the last purchase of prepaid electricity was made by the tenant.  Simultaneous to the tenant’s vacation, no further electricity purchases were made and in the result the daily levies charged in respect of the meter had accrued for the account of the appellant as the owner of the premises</w:t>
      </w:r>
      <w:r w:rsidR="00F80427">
        <w:rPr>
          <w:rFonts w:ascii="Arial" w:hAnsi="Arial" w:cs="Arial"/>
          <w:sz w:val="24"/>
          <w:szCs w:val="24"/>
        </w:rPr>
        <w:t xml:space="preserve"> and as the customer</w:t>
      </w:r>
      <w:r w:rsidR="003D234B">
        <w:rPr>
          <w:rFonts w:ascii="Arial" w:hAnsi="Arial" w:cs="Arial"/>
          <w:sz w:val="24"/>
          <w:szCs w:val="24"/>
        </w:rPr>
        <w:t xml:space="preserve">.  </w:t>
      </w:r>
      <w:r w:rsidR="00EC1839">
        <w:rPr>
          <w:rFonts w:ascii="Arial" w:hAnsi="Arial" w:cs="Arial"/>
          <w:sz w:val="24"/>
          <w:szCs w:val="24"/>
        </w:rPr>
        <w:t>It follows that the appell</w:t>
      </w:r>
      <w:r w:rsidR="00F80427">
        <w:rPr>
          <w:rFonts w:ascii="Arial" w:hAnsi="Arial" w:cs="Arial"/>
          <w:sz w:val="24"/>
          <w:szCs w:val="24"/>
        </w:rPr>
        <w:t xml:space="preserve">ant would </w:t>
      </w:r>
      <w:r w:rsidR="0027493F">
        <w:rPr>
          <w:rFonts w:ascii="Arial" w:hAnsi="Arial" w:cs="Arial"/>
          <w:sz w:val="24"/>
          <w:szCs w:val="24"/>
        </w:rPr>
        <w:t>have incurred liability</w:t>
      </w:r>
      <w:r w:rsidR="00F80427">
        <w:rPr>
          <w:rFonts w:ascii="Arial" w:hAnsi="Arial" w:cs="Arial"/>
          <w:sz w:val="24"/>
          <w:szCs w:val="24"/>
        </w:rPr>
        <w:t xml:space="preserve"> for prepaid meter daily charges</w:t>
      </w:r>
      <w:r w:rsidR="00EC1839">
        <w:rPr>
          <w:rFonts w:ascii="Arial" w:hAnsi="Arial" w:cs="Arial"/>
          <w:sz w:val="24"/>
          <w:szCs w:val="24"/>
        </w:rPr>
        <w:t xml:space="preserve"> which had been levied in respect of the prepaid meter</w:t>
      </w:r>
      <w:r w:rsidR="00F80427">
        <w:rPr>
          <w:rFonts w:ascii="Arial" w:hAnsi="Arial" w:cs="Arial"/>
          <w:sz w:val="24"/>
          <w:szCs w:val="24"/>
        </w:rPr>
        <w:t xml:space="preserve"> from 2012</w:t>
      </w:r>
      <w:r w:rsidR="0027493F">
        <w:rPr>
          <w:rFonts w:ascii="Arial" w:hAnsi="Arial" w:cs="Arial"/>
          <w:sz w:val="24"/>
          <w:szCs w:val="24"/>
        </w:rPr>
        <w:t>, subject to what is stated hereafter in this judgment.</w:t>
      </w:r>
    </w:p>
    <w:p w14:paraId="4DB78BBF" w14:textId="20E828AA" w:rsidR="00EC1839" w:rsidRDefault="00EC1839" w:rsidP="003A5BC6">
      <w:pPr>
        <w:spacing w:line="480" w:lineRule="auto"/>
        <w:jc w:val="both"/>
        <w:rPr>
          <w:rFonts w:ascii="Arial" w:hAnsi="Arial" w:cs="Arial"/>
          <w:sz w:val="24"/>
          <w:szCs w:val="24"/>
        </w:rPr>
      </w:pPr>
    </w:p>
    <w:p w14:paraId="056CCFFD" w14:textId="7BF77A73" w:rsidR="00F80427" w:rsidRPr="00F80427" w:rsidRDefault="00F80427" w:rsidP="003A5BC6">
      <w:pPr>
        <w:spacing w:line="480" w:lineRule="auto"/>
        <w:jc w:val="both"/>
        <w:rPr>
          <w:rFonts w:ascii="Arial" w:hAnsi="Arial" w:cs="Arial"/>
          <w:i/>
          <w:sz w:val="24"/>
          <w:szCs w:val="24"/>
          <w:u w:val="single"/>
        </w:rPr>
      </w:pPr>
      <w:r w:rsidRPr="00F80427">
        <w:rPr>
          <w:rFonts w:ascii="Arial" w:hAnsi="Arial" w:cs="Arial"/>
          <w:i/>
          <w:sz w:val="24"/>
          <w:szCs w:val="24"/>
          <w:u w:val="single"/>
        </w:rPr>
        <w:t>Special Plea: Mitigation of loss</w:t>
      </w:r>
    </w:p>
    <w:p w14:paraId="15790C89" w14:textId="7661C9B5" w:rsidR="00EC1839" w:rsidRDefault="009B5188" w:rsidP="003A5BC6">
      <w:pPr>
        <w:spacing w:line="480" w:lineRule="auto"/>
        <w:jc w:val="both"/>
        <w:rPr>
          <w:rFonts w:ascii="Arial" w:hAnsi="Arial" w:cs="Arial"/>
          <w:sz w:val="24"/>
          <w:szCs w:val="24"/>
        </w:rPr>
      </w:pPr>
      <w:r>
        <w:rPr>
          <w:rFonts w:ascii="Arial" w:hAnsi="Arial" w:cs="Arial"/>
          <w:sz w:val="24"/>
          <w:szCs w:val="24"/>
        </w:rPr>
        <w:t>6</w:t>
      </w:r>
      <w:r w:rsidR="00F80427">
        <w:rPr>
          <w:rFonts w:ascii="Arial" w:hAnsi="Arial" w:cs="Arial"/>
          <w:sz w:val="24"/>
          <w:szCs w:val="24"/>
        </w:rPr>
        <w:t>.9</w:t>
      </w:r>
      <w:r w:rsidR="00EC1839">
        <w:rPr>
          <w:rFonts w:ascii="Arial" w:hAnsi="Arial" w:cs="Arial"/>
          <w:sz w:val="24"/>
          <w:szCs w:val="24"/>
        </w:rPr>
        <w:t>]</w:t>
      </w:r>
      <w:r w:rsidR="00EC1839">
        <w:rPr>
          <w:rFonts w:ascii="Arial" w:hAnsi="Arial" w:cs="Arial"/>
          <w:sz w:val="24"/>
          <w:szCs w:val="24"/>
        </w:rPr>
        <w:tab/>
        <w:t xml:space="preserve">As regards the special plea raised that the municipality ought to be held liable for the costs accrued after October 2018 when the appellant requested the meter’s removal, my considered view is that the municipality is under the obligation to collect all money due and payable to it. It follows that it is an incidental power to its credit control and debt collection obligation that it is authorized to adopt policies in line with this obligation.  The municipality’s refusal to remove the prepaid meter upon the appellant’s request cannot be faulted.  I consider this policy to be consistent with </w:t>
      </w:r>
      <w:r w:rsidR="00F80427">
        <w:rPr>
          <w:rFonts w:ascii="Arial" w:hAnsi="Arial" w:cs="Arial"/>
          <w:sz w:val="24"/>
          <w:szCs w:val="24"/>
        </w:rPr>
        <w:t xml:space="preserve">both its constitutional obligation and the act as well as being consistent with policy implementation </w:t>
      </w:r>
      <w:r w:rsidR="00EC1839">
        <w:rPr>
          <w:rFonts w:ascii="Arial" w:hAnsi="Arial" w:cs="Arial"/>
          <w:sz w:val="24"/>
          <w:szCs w:val="24"/>
        </w:rPr>
        <w:t xml:space="preserve">to collect amounts due </w:t>
      </w:r>
      <w:r w:rsidR="00EC1839">
        <w:rPr>
          <w:rFonts w:ascii="Arial" w:hAnsi="Arial" w:cs="Arial"/>
          <w:sz w:val="24"/>
          <w:szCs w:val="24"/>
        </w:rPr>
        <w:lastRenderedPageBreak/>
        <w:t xml:space="preserve">to the municipality.  That the municipality is empowered to disconnect services in terms of </w:t>
      </w:r>
      <w:r w:rsidR="008E719A">
        <w:rPr>
          <w:rFonts w:ascii="Arial" w:hAnsi="Arial" w:cs="Arial"/>
          <w:sz w:val="24"/>
          <w:szCs w:val="24"/>
        </w:rPr>
        <w:t xml:space="preserve">section 19 of the by-law must be given a purposive interpretation. The section empowers the municipality with the election to disconnect the supply of electricity with reasonable written notice (s19(b)) where a customer fails to pay any amounts due to the municipality in connection with electricity supply.  </w:t>
      </w:r>
      <w:proofErr w:type="gramStart"/>
      <w:r w:rsidR="0027493F">
        <w:rPr>
          <w:rFonts w:ascii="Arial" w:hAnsi="Arial" w:cs="Arial"/>
          <w:sz w:val="24"/>
          <w:szCs w:val="24"/>
        </w:rPr>
        <w:t>However</w:t>
      </w:r>
      <w:proofErr w:type="gramEnd"/>
      <w:r w:rsidR="0027493F">
        <w:rPr>
          <w:rFonts w:ascii="Arial" w:hAnsi="Arial" w:cs="Arial"/>
          <w:sz w:val="24"/>
          <w:szCs w:val="24"/>
        </w:rPr>
        <w:t xml:space="preserve"> each case should be based on its own merits.</w:t>
      </w:r>
    </w:p>
    <w:p w14:paraId="5FE297B1" w14:textId="77777777" w:rsidR="008E719A" w:rsidRDefault="008E719A" w:rsidP="003A5BC6">
      <w:pPr>
        <w:spacing w:line="480" w:lineRule="auto"/>
        <w:jc w:val="both"/>
        <w:rPr>
          <w:rFonts w:ascii="Arial" w:hAnsi="Arial" w:cs="Arial"/>
          <w:sz w:val="24"/>
          <w:szCs w:val="24"/>
        </w:rPr>
      </w:pPr>
    </w:p>
    <w:p w14:paraId="12E25CC9" w14:textId="7A56513E" w:rsidR="008E719A" w:rsidRDefault="009B5188" w:rsidP="003A5BC6">
      <w:pPr>
        <w:spacing w:line="480" w:lineRule="auto"/>
        <w:jc w:val="both"/>
        <w:rPr>
          <w:rFonts w:ascii="Arial" w:hAnsi="Arial" w:cs="Arial"/>
          <w:sz w:val="24"/>
          <w:szCs w:val="24"/>
        </w:rPr>
      </w:pPr>
      <w:r>
        <w:rPr>
          <w:rFonts w:ascii="Arial" w:hAnsi="Arial" w:cs="Arial"/>
          <w:sz w:val="24"/>
          <w:szCs w:val="24"/>
        </w:rPr>
        <w:t>6</w:t>
      </w:r>
      <w:r w:rsidR="00F80427">
        <w:rPr>
          <w:rFonts w:ascii="Arial" w:hAnsi="Arial" w:cs="Arial"/>
          <w:sz w:val="24"/>
          <w:szCs w:val="24"/>
        </w:rPr>
        <w:t>.10</w:t>
      </w:r>
      <w:r w:rsidR="008E719A">
        <w:rPr>
          <w:rFonts w:ascii="Arial" w:hAnsi="Arial" w:cs="Arial"/>
          <w:sz w:val="24"/>
          <w:szCs w:val="24"/>
        </w:rPr>
        <w:t>]</w:t>
      </w:r>
      <w:r w:rsidR="008E719A">
        <w:rPr>
          <w:rFonts w:ascii="Arial" w:hAnsi="Arial" w:cs="Arial"/>
          <w:sz w:val="24"/>
          <w:szCs w:val="24"/>
        </w:rPr>
        <w:tab/>
        <w:t>I find the appellant’s submission that the above provision places an obligation upon the municipality to disconnect supply or remove the prepaid meter misguided.  This provision is to protect the municipality from supply where it may pose risk if the supply is not disconnected; in circumstances of tampering; non-payment of service; contravention of the by-law and refusal of access by the customer to the municipality to inspect the metering equipment.  The</w:t>
      </w:r>
      <w:r w:rsidR="00145167">
        <w:rPr>
          <w:rFonts w:ascii="Arial" w:hAnsi="Arial" w:cs="Arial"/>
          <w:sz w:val="24"/>
          <w:szCs w:val="24"/>
        </w:rPr>
        <w:t xml:space="preserve"> purpose of the provision is </w:t>
      </w:r>
      <w:r w:rsidR="008E719A">
        <w:rPr>
          <w:rFonts w:ascii="Arial" w:hAnsi="Arial" w:cs="Arial"/>
          <w:sz w:val="24"/>
          <w:szCs w:val="24"/>
        </w:rPr>
        <w:t xml:space="preserve">clearly to protect the municipality in its supply of services to the community and protection in the event of non-payment.  </w:t>
      </w:r>
      <w:r w:rsidR="00196D01">
        <w:rPr>
          <w:rFonts w:ascii="Arial" w:hAnsi="Arial" w:cs="Arial"/>
          <w:sz w:val="24"/>
          <w:szCs w:val="24"/>
        </w:rPr>
        <w:t xml:space="preserve">The same reasoning applies to the provisions under section 42 of the by-law titled: </w:t>
      </w:r>
      <w:r w:rsidR="00196D01" w:rsidRPr="00196D01">
        <w:rPr>
          <w:rFonts w:ascii="Arial" w:hAnsi="Arial" w:cs="Arial"/>
          <w:i/>
          <w:sz w:val="24"/>
          <w:szCs w:val="24"/>
        </w:rPr>
        <w:t>“Change of Occupier</w:t>
      </w:r>
      <w:r w:rsidR="00196D01">
        <w:rPr>
          <w:rFonts w:ascii="Arial" w:hAnsi="Arial" w:cs="Arial"/>
          <w:sz w:val="24"/>
          <w:szCs w:val="24"/>
        </w:rPr>
        <w:t xml:space="preserve">”.  The sections </w:t>
      </w:r>
      <w:r w:rsidR="008E719A">
        <w:rPr>
          <w:rFonts w:ascii="Arial" w:hAnsi="Arial" w:cs="Arial"/>
          <w:sz w:val="24"/>
          <w:szCs w:val="24"/>
        </w:rPr>
        <w:t xml:space="preserve">cannot be seen to remove </w:t>
      </w:r>
      <w:r w:rsidR="00196D01">
        <w:rPr>
          <w:rFonts w:ascii="Arial" w:hAnsi="Arial" w:cs="Arial"/>
          <w:sz w:val="24"/>
          <w:szCs w:val="24"/>
        </w:rPr>
        <w:t xml:space="preserve">or limit the municipality’s </w:t>
      </w:r>
      <w:r w:rsidR="008E719A">
        <w:rPr>
          <w:rFonts w:ascii="Arial" w:hAnsi="Arial" w:cs="Arial"/>
          <w:sz w:val="24"/>
          <w:szCs w:val="24"/>
        </w:rPr>
        <w:t xml:space="preserve">incidental power to ensure payment of arrear costs such as in the case herein. </w:t>
      </w:r>
      <w:r w:rsidR="00F80427">
        <w:rPr>
          <w:rFonts w:ascii="Arial" w:hAnsi="Arial" w:cs="Arial"/>
          <w:sz w:val="24"/>
          <w:szCs w:val="24"/>
        </w:rPr>
        <w:t>The law</w:t>
      </w:r>
      <w:r w:rsidR="003C2420">
        <w:rPr>
          <w:rFonts w:ascii="Arial" w:hAnsi="Arial" w:cs="Arial"/>
          <w:sz w:val="24"/>
          <w:szCs w:val="24"/>
        </w:rPr>
        <w:t xml:space="preserve"> afford</w:t>
      </w:r>
      <w:r w:rsidR="00F80427">
        <w:rPr>
          <w:rFonts w:ascii="Arial" w:hAnsi="Arial" w:cs="Arial"/>
          <w:sz w:val="24"/>
          <w:szCs w:val="24"/>
        </w:rPr>
        <w:t>s</w:t>
      </w:r>
      <w:r w:rsidR="003C2420">
        <w:rPr>
          <w:rFonts w:ascii="Arial" w:hAnsi="Arial" w:cs="Arial"/>
          <w:sz w:val="24"/>
          <w:szCs w:val="24"/>
        </w:rPr>
        <w:t xml:space="preserve"> municipalities a range of tools to ensure that charges are paid.  </w:t>
      </w:r>
      <w:r w:rsidR="008E719A">
        <w:rPr>
          <w:rFonts w:ascii="Arial" w:hAnsi="Arial" w:cs="Arial"/>
          <w:sz w:val="24"/>
          <w:szCs w:val="24"/>
        </w:rPr>
        <w:t xml:space="preserve"> </w:t>
      </w:r>
      <w:r w:rsidR="004B6C9F">
        <w:rPr>
          <w:rFonts w:ascii="Arial" w:hAnsi="Arial" w:cs="Arial"/>
          <w:sz w:val="24"/>
          <w:szCs w:val="24"/>
        </w:rPr>
        <w:t xml:space="preserve">Section 156(5) of the Constitution gives the municipality the right to exercise any power concerning a matter reasonably necessary for, or incidental to, the effective performance of its functions.  The dictionary meaning of </w:t>
      </w:r>
      <w:r w:rsidR="004B6C9F" w:rsidRPr="004B6C9F">
        <w:rPr>
          <w:rFonts w:ascii="Arial" w:hAnsi="Arial" w:cs="Arial"/>
          <w:i/>
          <w:sz w:val="24"/>
          <w:szCs w:val="24"/>
        </w:rPr>
        <w:t>“incidental power”</w:t>
      </w:r>
      <w:r w:rsidR="004B6C9F">
        <w:rPr>
          <w:rFonts w:ascii="Arial" w:hAnsi="Arial" w:cs="Arial"/>
          <w:sz w:val="24"/>
          <w:szCs w:val="24"/>
        </w:rPr>
        <w:t xml:space="preserve"> defines same as a type of power that is necessary to achieve a specific goal, even though it may not be explicitly granted.  Clearly the municipality is constitutionally empowered to implement the policy against removal of </w:t>
      </w:r>
      <w:r w:rsidR="004B6C9F">
        <w:rPr>
          <w:rFonts w:ascii="Arial" w:hAnsi="Arial" w:cs="Arial"/>
          <w:sz w:val="24"/>
          <w:szCs w:val="24"/>
        </w:rPr>
        <w:lastRenderedPageBreak/>
        <w:t xml:space="preserve">prepaid systems until the outstanding payment is due so as to achieve its debt collection imperative subject to the proviso that the arrear amount debt must still be valid in law.   </w:t>
      </w:r>
      <w:r w:rsidR="008E719A">
        <w:rPr>
          <w:rFonts w:ascii="Arial" w:hAnsi="Arial" w:cs="Arial"/>
          <w:sz w:val="24"/>
          <w:szCs w:val="24"/>
        </w:rPr>
        <w:t xml:space="preserve">For this reason, it follows that the special plea </w:t>
      </w:r>
      <w:r w:rsidR="00F80427">
        <w:rPr>
          <w:rFonts w:ascii="Arial" w:hAnsi="Arial" w:cs="Arial"/>
          <w:sz w:val="24"/>
          <w:szCs w:val="24"/>
        </w:rPr>
        <w:t xml:space="preserve">denying liability from October 2018 on the basis that the municipality failed to </w:t>
      </w:r>
      <w:r w:rsidR="008E719A">
        <w:rPr>
          <w:rFonts w:ascii="Arial" w:hAnsi="Arial" w:cs="Arial"/>
          <w:sz w:val="24"/>
          <w:szCs w:val="24"/>
        </w:rPr>
        <w:t xml:space="preserve">mitigate </w:t>
      </w:r>
      <w:r w:rsidR="00F80427">
        <w:rPr>
          <w:rFonts w:ascii="Arial" w:hAnsi="Arial" w:cs="Arial"/>
          <w:sz w:val="24"/>
          <w:szCs w:val="24"/>
        </w:rPr>
        <w:t xml:space="preserve">its </w:t>
      </w:r>
      <w:r w:rsidR="008E719A">
        <w:rPr>
          <w:rFonts w:ascii="Arial" w:hAnsi="Arial" w:cs="Arial"/>
          <w:sz w:val="24"/>
          <w:szCs w:val="24"/>
        </w:rPr>
        <w:t>loss must fail.</w:t>
      </w:r>
    </w:p>
    <w:p w14:paraId="110E4BB0" w14:textId="77777777" w:rsidR="008E719A" w:rsidRDefault="008E719A" w:rsidP="003A5BC6">
      <w:pPr>
        <w:spacing w:line="480" w:lineRule="auto"/>
        <w:jc w:val="both"/>
        <w:rPr>
          <w:rFonts w:ascii="Arial" w:hAnsi="Arial" w:cs="Arial"/>
          <w:sz w:val="24"/>
          <w:szCs w:val="24"/>
        </w:rPr>
      </w:pPr>
    </w:p>
    <w:p w14:paraId="6C7A490B" w14:textId="3D812C30" w:rsidR="00196D01" w:rsidRDefault="009B5188" w:rsidP="003A5BC6">
      <w:pPr>
        <w:spacing w:line="480" w:lineRule="auto"/>
        <w:jc w:val="both"/>
        <w:rPr>
          <w:rFonts w:ascii="Arial" w:hAnsi="Arial" w:cs="Arial"/>
          <w:sz w:val="24"/>
          <w:szCs w:val="24"/>
        </w:rPr>
      </w:pPr>
      <w:r>
        <w:rPr>
          <w:rFonts w:ascii="Arial" w:hAnsi="Arial" w:cs="Arial"/>
          <w:sz w:val="24"/>
          <w:szCs w:val="24"/>
        </w:rPr>
        <w:t>6</w:t>
      </w:r>
      <w:r w:rsidR="00F80427">
        <w:rPr>
          <w:rFonts w:ascii="Arial" w:hAnsi="Arial" w:cs="Arial"/>
          <w:sz w:val="24"/>
          <w:szCs w:val="24"/>
        </w:rPr>
        <w:t>.11</w:t>
      </w:r>
      <w:r w:rsidR="008E719A">
        <w:rPr>
          <w:rFonts w:ascii="Arial" w:hAnsi="Arial" w:cs="Arial"/>
          <w:sz w:val="24"/>
          <w:szCs w:val="24"/>
        </w:rPr>
        <w:t>]</w:t>
      </w:r>
      <w:r w:rsidR="008E719A">
        <w:rPr>
          <w:rFonts w:ascii="Arial" w:hAnsi="Arial" w:cs="Arial"/>
          <w:sz w:val="24"/>
          <w:szCs w:val="24"/>
        </w:rPr>
        <w:tab/>
      </w:r>
      <w:r w:rsidR="00196D01">
        <w:rPr>
          <w:rFonts w:ascii="Arial" w:hAnsi="Arial" w:cs="Arial"/>
          <w:sz w:val="24"/>
          <w:szCs w:val="24"/>
        </w:rPr>
        <w:t xml:space="preserve">In terms of the </w:t>
      </w:r>
      <w:r w:rsidR="00196D01" w:rsidRPr="00F80427">
        <w:rPr>
          <w:rFonts w:ascii="Arial" w:hAnsi="Arial" w:cs="Arial"/>
          <w:b/>
          <w:i/>
          <w:sz w:val="24"/>
          <w:szCs w:val="24"/>
        </w:rPr>
        <w:t xml:space="preserve">Prescription Act </w:t>
      </w:r>
      <w:r w:rsidR="00F80427" w:rsidRPr="00F80427">
        <w:rPr>
          <w:rFonts w:ascii="Arial" w:hAnsi="Arial" w:cs="Arial"/>
          <w:b/>
          <w:i/>
          <w:sz w:val="24"/>
          <w:szCs w:val="24"/>
        </w:rPr>
        <w:t>68 of 1969</w:t>
      </w:r>
      <w:r w:rsidR="00F80427">
        <w:rPr>
          <w:rFonts w:ascii="Arial" w:hAnsi="Arial" w:cs="Arial"/>
          <w:sz w:val="24"/>
          <w:szCs w:val="24"/>
        </w:rPr>
        <w:t xml:space="preserve"> </w:t>
      </w:r>
      <w:r w:rsidR="00196D01">
        <w:rPr>
          <w:rFonts w:ascii="Arial" w:hAnsi="Arial" w:cs="Arial"/>
          <w:sz w:val="24"/>
          <w:szCs w:val="24"/>
        </w:rPr>
        <w:t xml:space="preserve">and related case law, rates and sewage costs prescribes after 30 years.  In the case of water and electricity charges, the debt so due is extinguished after the lapse of 3 years.  Prescription starts to run as soon as the debt is due.  The prepaid meter accrues a </w:t>
      </w:r>
      <w:r w:rsidR="00196D01" w:rsidRPr="00196D01">
        <w:rPr>
          <w:rFonts w:ascii="Arial" w:hAnsi="Arial" w:cs="Arial"/>
          <w:b/>
          <w:sz w:val="24"/>
          <w:szCs w:val="24"/>
        </w:rPr>
        <w:t>daily</w:t>
      </w:r>
      <w:r w:rsidR="00196D01">
        <w:rPr>
          <w:rFonts w:ascii="Arial" w:hAnsi="Arial" w:cs="Arial"/>
          <w:sz w:val="24"/>
          <w:szCs w:val="24"/>
        </w:rPr>
        <w:t xml:space="preserve"> tariff from the last date of purchase. </w:t>
      </w:r>
      <w:r w:rsidR="00D568F0">
        <w:rPr>
          <w:rFonts w:ascii="Arial" w:hAnsi="Arial" w:cs="Arial"/>
          <w:sz w:val="24"/>
          <w:szCs w:val="24"/>
        </w:rPr>
        <w:t xml:space="preserve">It follows that as the charge levied in respect of the meter falls due on a daily basis, prescription starts to run daily from each and every date.  </w:t>
      </w:r>
    </w:p>
    <w:p w14:paraId="2A512E59" w14:textId="77777777" w:rsidR="00196D01" w:rsidRDefault="00196D01" w:rsidP="003A5BC6">
      <w:pPr>
        <w:spacing w:line="480" w:lineRule="auto"/>
        <w:jc w:val="both"/>
        <w:rPr>
          <w:rFonts w:ascii="Arial" w:hAnsi="Arial" w:cs="Arial"/>
          <w:sz w:val="24"/>
          <w:szCs w:val="24"/>
        </w:rPr>
      </w:pPr>
    </w:p>
    <w:p w14:paraId="076BCFD9" w14:textId="4A6AE09A" w:rsidR="008E719A" w:rsidRDefault="009B5188" w:rsidP="003A5BC6">
      <w:pPr>
        <w:spacing w:line="480" w:lineRule="auto"/>
        <w:jc w:val="both"/>
        <w:rPr>
          <w:rFonts w:ascii="Arial" w:hAnsi="Arial" w:cs="Arial"/>
          <w:sz w:val="24"/>
          <w:szCs w:val="24"/>
        </w:rPr>
      </w:pPr>
      <w:r>
        <w:rPr>
          <w:rFonts w:ascii="Arial" w:hAnsi="Arial" w:cs="Arial"/>
          <w:sz w:val="24"/>
          <w:szCs w:val="24"/>
        </w:rPr>
        <w:t>6.12</w:t>
      </w:r>
      <w:r w:rsidR="00196D01">
        <w:rPr>
          <w:rFonts w:ascii="Arial" w:hAnsi="Arial" w:cs="Arial"/>
          <w:sz w:val="24"/>
          <w:szCs w:val="24"/>
        </w:rPr>
        <w:t>]</w:t>
      </w:r>
      <w:r w:rsidR="00196D01">
        <w:rPr>
          <w:rFonts w:ascii="Arial" w:hAnsi="Arial" w:cs="Arial"/>
          <w:sz w:val="24"/>
          <w:szCs w:val="24"/>
        </w:rPr>
        <w:tab/>
        <w:t xml:space="preserve">In </w:t>
      </w:r>
      <w:r w:rsidR="00196D01" w:rsidRPr="00196D01">
        <w:rPr>
          <w:rFonts w:ascii="Arial" w:hAnsi="Arial" w:cs="Arial"/>
          <w:b/>
          <w:i/>
          <w:sz w:val="24"/>
          <w:szCs w:val="24"/>
        </w:rPr>
        <w:t>Argent Industrial Investment (Pty) Ltd v Ekurhuleni Metropolitan Municipality (17808/2016) [2017] ZAGPJHC 14; 2017 (3) SA 146 (GJ)</w:t>
      </w:r>
      <w:r w:rsidR="00196D01">
        <w:rPr>
          <w:rFonts w:ascii="Arial" w:hAnsi="Arial" w:cs="Arial"/>
          <w:sz w:val="24"/>
          <w:szCs w:val="24"/>
        </w:rPr>
        <w:t xml:space="preserve"> the court had to consider whether the municipality’s claim for water consumption had prescribed.   </w:t>
      </w:r>
      <w:r w:rsidR="003C2420">
        <w:rPr>
          <w:rFonts w:ascii="Arial" w:hAnsi="Arial" w:cs="Arial"/>
          <w:sz w:val="24"/>
          <w:szCs w:val="24"/>
        </w:rPr>
        <w:t xml:space="preserve">It was held that a consumer who receives a bill for municipal charges for electricity or water for any period older than 3 years cannot be held liable for the amounts older than 3 years because same had prescribed.  </w:t>
      </w:r>
    </w:p>
    <w:p w14:paraId="4E115E32" w14:textId="77777777" w:rsidR="00B12272" w:rsidRDefault="00B12272" w:rsidP="003A5BC6">
      <w:pPr>
        <w:spacing w:line="480" w:lineRule="auto"/>
        <w:jc w:val="both"/>
        <w:rPr>
          <w:rFonts w:ascii="Arial" w:hAnsi="Arial" w:cs="Arial"/>
          <w:sz w:val="24"/>
          <w:szCs w:val="24"/>
        </w:rPr>
      </w:pPr>
    </w:p>
    <w:p w14:paraId="28C20F73" w14:textId="382AE6CD" w:rsidR="00041F1F" w:rsidRDefault="009B5188" w:rsidP="003A5BC6">
      <w:pPr>
        <w:spacing w:line="480" w:lineRule="auto"/>
        <w:jc w:val="both"/>
        <w:rPr>
          <w:rFonts w:ascii="Arial" w:hAnsi="Arial" w:cs="Arial"/>
          <w:sz w:val="24"/>
          <w:szCs w:val="24"/>
        </w:rPr>
      </w:pPr>
      <w:r>
        <w:rPr>
          <w:rFonts w:ascii="Arial" w:hAnsi="Arial" w:cs="Arial"/>
          <w:sz w:val="24"/>
          <w:szCs w:val="24"/>
        </w:rPr>
        <w:t>6.13</w:t>
      </w:r>
      <w:r w:rsidR="00B12272">
        <w:rPr>
          <w:rFonts w:ascii="Arial" w:hAnsi="Arial" w:cs="Arial"/>
          <w:sz w:val="24"/>
          <w:szCs w:val="24"/>
        </w:rPr>
        <w:t>]</w:t>
      </w:r>
      <w:r w:rsidR="00B12272">
        <w:rPr>
          <w:rFonts w:ascii="Arial" w:hAnsi="Arial" w:cs="Arial"/>
          <w:sz w:val="24"/>
          <w:szCs w:val="24"/>
        </w:rPr>
        <w:tab/>
        <w:t>T</w:t>
      </w:r>
      <w:r w:rsidR="00041F1F">
        <w:rPr>
          <w:rFonts w:ascii="Arial" w:hAnsi="Arial" w:cs="Arial"/>
          <w:sz w:val="24"/>
          <w:szCs w:val="24"/>
        </w:rPr>
        <w:t>he principle of prescription</w:t>
      </w:r>
      <w:r w:rsidR="00B12272">
        <w:rPr>
          <w:rFonts w:ascii="Arial" w:hAnsi="Arial" w:cs="Arial"/>
          <w:sz w:val="24"/>
          <w:szCs w:val="24"/>
        </w:rPr>
        <w:t xml:space="preserve"> </w:t>
      </w:r>
      <w:r w:rsidR="00041F1F">
        <w:rPr>
          <w:rFonts w:ascii="Arial" w:hAnsi="Arial" w:cs="Arial"/>
          <w:sz w:val="24"/>
          <w:szCs w:val="24"/>
        </w:rPr>
        <w:t xml:space="preserve">is </w:t>
      </w:r>
      <w:r w:rsidR="00B12272">
        <w:rPr>
          <w:rFonts w:ascii="Arial" w:hAnsi="Arial" w:cs="Arial"/>
          <w:sz w:val="24"/>
          <w:szCs w:val="24"/>
        </w:rPr>
        <w:t xml:space="preserve">trite law and I view the municipality’s claim for the prepaid meter consumption for the whole of the period of 2012 to 2021 opportunistic. </w:t>
      </w:r>
      <w:r w:rsidR="00D568F0">
        <w:rPr>
          <w:rFonts w:ascii="Arial" w:hAnsi="Arial" w:cs="Arial"/>
          <w:sz w:val="24"/>
          <w:szCs w:val="24"/>
        </w:rPr>
        <w:t xml:space="preserve">I pause to mention that even on a cursory glance, the municipality would have appreciated </w:t>
      </w:r>
      <w:r w:rsidR="00D568F0">
        <w:rPr>
          <w:rFonts w:ascii="Arial" w:hAnsi="Arial" w:cs="Arial"/>
          <w:sz w:val="24"/>
          <w:szCs w:val="24"/>
        </w:rPr>
        <w:lastRenderedPageBreak/>
        <w:t>that billing for costs spanning just under a period of a decade cannot be valid claim.  The municipality simply mounted this cost to the appellant’s municipal costs and demanded payment.  In line with the principle of good governance and credit control policy which it is constitutionally mandated to do, this act was abusing its positions t</w:t>
      </w:r>
      <w:r w:rsidR="00845368">
        <w:rPr>
          <w:rFonts w:ascii="Arial" w:hAnsi="Arial" w:cs="Arial"/>
          <w:sz w:val="24"/>
          <w:szCs w:val="24"/>
        </w:rPr>
        <w:t>owards its customer/ consumer, the appellant.</w:t>
      </w:r>
      <w:r w:rsidR="00B12272">
        <w:rPr>
          <w:rFonts w:ascii="Arial" w:hAnsi="Arial" w:cs="Arial"/>
          <w:sz w:val="24"/>
          <w:szCs w:val="24"/>
        </w:rPr>
        <w:t xml:space="preserve"> </w:t>
      </w:r>
      <w:r w:rsidR="00845368">
        <w:rPr>
          <w:rFonts w:ascii="Arial" w:hAnsi="Arial" w:cs="Arial"/>
          <w:sz w:val="24"/>
          <w:szCs w:val="24"/>
        </w:rPr>
        <w:t>A simple journal entry, adjusting the amounts for the preceding 6 years, thereby holding the appellant</w:t>
      </w:r>
      <w:r w:rsidR="008B3B4F">
        <w:rPr>
          <w:rFonts w:ascii="Arial" w:hAnsi="Arial" w:cs="Arial"/>
          <w:sz w:val="24"/>
          <w:szCs w:val="24"/>
        </w:rPr>
        <w:t xml:space="preserve"> liable for the preceding </w:t>
      </w:r>
      <w:r w:rsidR="00845368">
        <w:rPr>
          <w:rFonts w:ascii="Arial" w:hAnsi="Arial" w:cs="Arial"/>
          <w:sz w:val="24"/>
          <w:szCs w:val="24"/>
        </w:rPr>
        <w:t xml:space="preserve">period </w:t>
      </w:r>
      <w:r w:rsidR="008B3B4F">
        <w:rPr>
          <w:rFonts w:ascii="Arial" w:hAnsi="Arial" w:cs="Arial"/>
          <w:sz w:val="24"/>
          <w:szCs w:val="24"/>
        </w:rPr>
        <w:t xml:space="preserve">of 3 years </w:t>
      </w:r>
      <w:r w:rsidR="00845368">
        <w:rPr>
          <w:rFonts w:ascii="Arial" w:hAnsi="Arial" w:cs="Arial"/>
          <w:sz w:val="24"/>
          <w:szCs w:val="24"/>
        </w:rPr>
        <w:t xml:space="preserve">would have been appropriate and in fact it had been incumbent on the municipality to do.  Instead it maintained a proverbial </w:t>
      </w:r>
      <w:r w:rsidR="00845368" w:rsidRPr="00845368">
        <w:rPr>
          <w:rFonts w:ascii="Arial" w:hAnsi="Arial" w:cs="Arial"/>
          <w:i/>
          <w:sz w:val="24"/>
          <w:szCs w:val="24"/>
        </w:rPr>
        <w:t>“David and Goliath”</w:t>
      </w:r>
      <w:r w:rsidR="00845368">
        <w:rPr>
          <w:rFonts w:ascii="Arial" w:hAnsi="Arial" w:cs="Arial"/>
          <w:sz w:val="24"/>
          <w:szCs w:val="24"/>
        </w:rPr>
        <w:t xml:space="preserve"> position by summarily billing the </w:t>
      </w:r>
      <w:r w:rsidR="008B3B4F">
        <w:rPr>
          <w:rFonts w:ascii="Arial" w:hAnsi="Arial" w:cs="Arial"/>
          <w:sz w:val="24"/>
          <w:szCs w:val="24"/>
        </w:rPr>
        <w:t xml:space="preserve">appellant for the full </w:t>
      </w:r>
      <w:r w:rsidR="00845368">
        <w:rPr>
          <w:rFonts w:ascii="Arial" w:hAnsi="Arial" w:cs="Arial"/>
          <w:sz w:val="24"/>
          <w:szCs w:val="24"/>
        </w:rPr>
        <w:t>period</w:t>
      </w:r>
      <w:r w:rsidR="008B3B4F">
        <w:rPr>
          <w:rFonts w:ascii="Arial" w:hAnsi="Arial" w:cs="Arial"/>
          <w:sz w:val="24"/>
          <w:szCs w:val="24"/>
        </w:rPr>
        <w:t xml:space="preserve"> of 9 years</w:t>
      </w:r>
      <w:r w:rsidR="00845368">
        <w:rPr>
          <w:rFonts w:ascii="Arial" w:hAnsi="Arial" w:cs="Arial"/>
          <w:sz w:val="24"/>
          <w:szCs w:val="24"/>
        </w:rPr>
        <w:t xml:space="preserve">.  Whilst </w:t>
      </w:r>
      <w:r w:rsidR="00145167">
        <w:rPr>
          <w:rFonts w:ascii="Arial" w:hAnsi="Arial" w:cs="Arial"/>
          <w:sz w:val="24"/>
          <w:szCs w:val="24"/>
        </w:rPr>
        <w:t xml:space="preserve">the municipality </w:t>
      </w:r>
      <w:r w:rsidR="00845368">
        <w:rPr>
          <w:rFonts w:ascii="Arial" w:hAnsi="Arial" w:cs="Arial"/>
          <w:sz w:val="24"/>
          <w:szCs w:val="24"/>
        </w:rPr>
        <w:t xml:space="preserve">does not issue monthly accounts for the prepaid meter system as per the testimony of Brandt, it does not alleviate the municipality from its obligation to assess the costs running and accruing on a prepaid meter over an </w:t>
      </w:r>
      <w:r w:rsidR="008B3B4F">
        <w:rPr>
          <w:rFonts w:ascii="Arial" w:hAnsi="Arial" w:cs="Arial"/>
          <w:sz w:val="24"/>
          <w:szCs w:val="24"/>
        </w:rPr>
        <w:t>unduly long period, as</w:t>
      </w:r>
      <w:r w:rsidR="00845368">
        <w:rPr>
          <w:rFonts w:ascii="Arial" w:hAnsi="Arial" w:cs="Arial"/>
          <w:sz w:val="24"/>
          <w:szCs w:val="24"/>
        </w:rPr>
        <w:t xml:space="preserve"> in this case, for almost a decade.  It is untenable a position </w:t>
      </w:r>
      <w:r w:rsidR="008B3B4F">
        <w:rPr>
          <w:rFonts w:ascii="Arial" w:hAnsi="Arial" w:cs="Arial"/>
          <w:sz w:val="24"/>
          <w:szCs w:val="24"/>
        </w:rPr>
        <w:t xml:space="preserve">(particularly so </w:t>
      </w:r>
      <w:r w:rsidR="00845368">
        <w:rPr>
          <w:rFonts w:ascii="Arial" w:hAnsi="Arial" w:cs="Arial"/>
          <w:sz w:val="24"/>
          <w:szCs w:val="24"/>
        </w:rPr>
        <w:t>in the light of its duty to maintain good governance and credit control policies</w:t>
      </w:r>
      <w:r w:rsidR="008B3B4F">
        <w:rPr>
          <w:rFonts w:ascii="Arial" w:hAnsi="Arial" w:cs="Arial"/>
          <w:sz w:val="24"/>
          <w:szCs w:val="24"/>
        </w:rPr>
        <w:t>)</w:t>
      </w:r>
      <w:r w:rsidR="00845368">
        <w:rPr>
          <w:rFonts w:ascii="Arial" w:hAnsi="Arial" w:cs="Arial"/>
          <w:sz w:val="24"/>
          <w:szCs w:val="24"/>
        </w:rPr>
        <w:t xml:space="preserve"> to one day, after almost a decade, arbitrarily add the costs of the </w:t>
      </w:r>
      <w:r w:rsidR="008B3B4F">
        <w:rPr>
          <w:rFonts w:ascii="Arial" w:hAnsi="Arial" w:cs="Arial"/>
          <w:sz w:val="24"/>
          <w:szCs w:val="24"/>
        </w:rPr>
        <w:t>past decade</w:t>
      </w:r>
      <w:r w:rsidR="00845368">
        <w:rPr>
          <w:rFonts w:ascii="Arial" w:hAnsi="Arial" w:cs="Arial"/>
          <w:sz w:val="24"/>
          <w:szCs w:val="24"/>
        </w:rPr>
        <w:t xml:space="preserve"> </w:t>
      </w:r>
      <w:r w:rsidR="00145167">
        <w:rPr>
          <w:rFonts w:ascii="Arial" w:hAnsi="Arial" w:cs="Arial"/>
          <w:sz w:val="24"/>
          <w:szCs w:val="24"/>
        </w:rPr>
        <w:t xml:space="preserve">of a prepaid meter </w:t>
      </w:r>
      <w:r w:rsidR="00845368">
        <w:rPr>
          <w:rFonts w:ascii="Arial" w:hAnsi="Arial" w:cs="Arial"/>
          <w:sz w:val="24"/>
          <w:szCs w:val="24"/>
        </w:rPr>
        <w:t xml:space="preserve">for payment. </w:t>
      </w:r>
      <w:r w:rsidR="008B3B4F">
        <w:rPr>
          <w:rFonts w:ascii="Arial" w:hAnsi="Arial" w:cs="Arial"/>
          <w:sz w:val="24"/>
          <w:szCs w:val="24"/>
        </w:rPr>
        <w:t xml:space="preserve">The account issued for March 2021 adds the costs headed as </w:t>
      </w:r>
      <w:r w:rsidR="008B3B4F" w:rsidRPr="00041F1F">
        <w:rPr>
          <w:rFonts w:ascii="Arial" w:hAnsi="Arial" w:cs="Arial"/>
          <w:i/>
          <w:sz w:val="24"/>
          <w:szCs w:val="24"/>
        </w:rPr>
        <w:t xml:space="preserve">“Sundry Services” </w:t>
      </w:r>
      <w:r w:rsidR="008B3B4F">
        <w:rPr>
          <w:rFonts w:ascii="Arial" w:hAnsi="Arial" w:cs="Arial"/>
          <w:sz w:val="24"/>
          <w:szCs w:val="24"/>
        </w:rPr>
        <w:t>at R73 963.25 due and payable on 15 April 2021.</w:t>
      </w:r>
      <w:r w:rsidR="00845368">
        <w:rPr>
          <w:rFonts w:ascii="Arial" w:hAnsi="Arial" w:cs="Arial"/>
          <w:sz w:val="24"/>
          <w:szCs w:val="24"/>
        </w:rPr>
        <w:t xml:space="preserve"> The municipality has a litany of measures available to it to ensure payment of the services due to it.  However, such protection and power must be exercised i</w:t>
      </w:r>
      <w:r w:rsidR="0027493F">
        <w:rPr>
          <w:rFonts w:ascii="Arial" w:hAnsi="Arial" w:cs="Arial"/>
          <w:sz w:val="24"/>
          <w:szCs w:val="24"/>
        </w:rPr>
        <w:t xml:space="preserve">n a manner which is reasonable and constitutional, taking appropriate, reasonable and lawful </w:t>
      </w:r>
      <w:r w:rsidR="00845368">
        <w:rPr>
          <w:rFonts w:ascii="Arial" w:hAnsi="Arial" w:cs="Arial"/>
          <w:sz w:val="24"/>
          <w:szCs w:val="24"/>
        </w:rPr>
        <w:t xml:space="preserve">steps to collect amounts due.  </w:t>
      </w:r>
    </w:p>
    <w:p w14:paraId="4AB8D08F" w14:textId="77777777" w:rsidR="00041F1F" w:rsidRDefault="00041F1F" w:rsidP="003A5BC6">
      <w:pPr>
        <w:spacing w:line="480" w:lineRule="auto"/>
        <w:jc w:val="both"/>
        <w:rPr>
          <w:rFonts w:ascii="Arial" w:hAnsi="Arial" w:cs="Arial"/>
          <w:sz w:val="24"/>
          <w:szCs w:val="24"/>
        </w:rPr>
      </w:pPr>
    </w:p>
    <w:p w14:paraId="08EE7181" w14:textId="1E03A882" w:rsidR="008B3B4F" w:rsidRDefault="00041F1F" w:rsidP="003A5BC6">
      <w:pPr>
        <w:spacing w:line="480" w:lineRule="auto"/>
        <w:jc w:val="both"/>
        <w:rPr>
          <w:rFonts w:ascii="Arial" w:hAnsi="Arial" w:cs="Arial"/>
          <w:sz w:val="24"/>
          <w:szCs w:val="24"/>
        </w:rPr>
      </w:pPr>
      <w:r>
        <w:rPr>
          <w:rFonts w:ascii="Arial" w:hAnsi="Arial" w:cs="Arial"/>
          <w:sz w:val="24"/>
          <w:szCs w:val="24"/>
        </w:rPr>
        <w:t>6.14]</w:t>
      </w:r>
      <w:r>
        <w:rPr>
          <w:rFonts w:ascii="Arial" w:hAnsi="Arial" w:cs="Arial"/>
          <w:sz w:val="24"/>
          <w:szCs w:val="24"/>
        </w:rPr>
        <w:tab/>
      </w:r>
      <w:r w:rsidR="00845368">
        <w:rPr>
          <w:rFonts w:ascii="Arial" w:hAnsi="Arial" w:cs="Arial"/>
          <w:sz w:val="24"/>
          <w:szCs w:val="24"/>
        </w:rPr>
        <w:t xml:space="preserve">It follows that the municipality cannot sit on its laurels for years without notifying </w:t>
      </w:r>
      <w:r w:rsidR="008B3B4F">
        <w:rPr>
          <w:rFonts w:ascii="Arial" w:hAnsi="Arial" w:cs="Arial"/>
          <w:sz w:val="24"/>
          <w:szCs w:val="24"/>
        </w:rPr>
        <w:t>the owner of the accruing costs, follo</w:t>
      </w:r>
      <w:r w:rsidR="00CF5C59">
        <w:rPr>
          <w:rFonts w:ascii="Arial" w:hAnsi="Arial" w:cs="Arial"/>
          <w:sz w:val="24"/>
          <w:szCs w:val="24"/>
        </w:rPr>
        <w:t xml:space="preserve">wed by an invoice for </w:t>
      </w:r>
      <w:r w:rsidR="00A810B3">
        <w:rPr>
          <w:rFonts w:ascii="Arial" w:hAnsi="Arial" w:cs="Arial"/>
          <w:sz w:val="24"/>
          <w:szCs w:val="24"/>
        </w:rPr>
        <w:t xml:space="preserve">almost immediate </w:t>
      </w:r>
      <w:r w:rsidR="008B3B4F">
        <w:rPr>
          <w:rFonts w:ascii="Arial" w:hAnsi="Arial" w:cs="Arial"/>
          <w:sz w:val="24"/>
          <w:szCs w:val="24"/>
        </w:rPr>
        <w:t xml:space="preserve">payment </w:t>
      </w:r>
      <w:r w:rsidR="008B3B4F">
        <w:rPr>
          <w:rFonts w:ascii="Arial" w:hAnsi="Arial" w:cs="Arial"/>
          <w:sz w:val="24"/>
          <w:szCs w:val="24"/>
        </w:rPr>
        <w:lastRenderedPageBreak/>
        <w:t>after a</w:t>
      </w:r>
      <w:r w:rsidR="0045589F">
        <w:rPr>
          <w:rFonts w:ascii="Arial" w:hAnsi="Arial" w:cs="Arial"/>
          <w:sz w:val="24"/>
          <w:szCs w:val="24"/>
        </w:rPr>
        <w:t xml:space="preserve">lmost a </w:t>
      </w:r>
      <w:r w:rsidR="008B3B4F">
        <w:rPr>
          <w:rFonts w:ascii="Arial" w:hAnsi="Arial" w:cs="Arial"/>
          <w:sz w:val="24"/>
          <w:szCs w:val="24"/>
        </w:rPr>
        <w:t xml:space="preserve">decade of accruing daily charges.  </w:t>
      </w:r>
      <w:r w:rsidR="00145167">
        <w:rPr>
          <w:rFonts w:ascii="Arial" w:hAnsi="Arial" w:cs="Arial"/>
          <w:sz w:val="24"/>
          <w:szCs w:val="24"/>
        </w:rPr>
        <w:t>Whilst I set out above that the municipality ought to have adjusted their invoice and deman</w:t>
      </w:r>
      <w:r w:rsidR="0045589F">
        <w:rPr>
          <w:rFonts w:ascii="Arial" w:hAnsi="Arial" w:cs="Arial"/>
          <w:sz w:val="24"/>
          <w:szCs w:val="24"/>
        </w:rPr>
        <w:t xml:space="preserve">ded payment only for the </w:t>
      </w:r>
      <w:r w:rsidR="00145167">
        <w:rPr>
          <w:rFonts w:ascii="Arial" w:hAnsi="Arial" w:cs="Arial"/>
          <w:sz w:val="24"/>
          <w:szCs w:val="24"/>
        </w:rPr>
        <w:t xml:space="preserve">period </w:t>
      </w:r>
      <w:r w:rsidR="0045589F">
        <w:rPr>
          <w:rFonts w:ascii="Arial" w:hAnsi="Arial" w:cs="Arial"/>
          <w:sz w:val="24"/>
          <w:szCs w:val="24"/>
        </w:rPr>
        <w:t xml:space="preserve">of 3 years </w:t>
      </w:r>
      <w:r w:rsidR="00145167">
        <w:rPr>
          <w:rFonts w:ascii="Arial" w:hAnsi="Arial" w:cs="Arial"/>
          <w:sz w:val="24"/>
          <w:szCs w:val="24"/>
        </w:rPr>
        <w:t>prior March 2021 as the amounts before then March 2019 had clearly prescribed, t</w:t>
      </w:r>
      <w:r w:rsidR="008B3B4F">
        <w:rPr>
          <w:rFonts w:ascii="Arial" w:hAnsi="Arial" w:cs="Arial"/>
          <w:sz w:val="24"/>
          <w:szCs w:val="24"/>
        </w:rPr>
        <w:t xml:space="preserve">he municipality </w:t>
      </w:r>
      <w:r w:rsidR="00145167">
        <w:rPr>
          <w:rFonts w:ascii="Arial" w:hAnsi="Arial" w:cs="Arial"/>
          <w:sz w:val="24"/>
          <w:szCs w:val="24"/>
        </w:rPr>
        <w:t xml:space="preserve">was once again confronted with a special plea raising this issue.  It </w:t>
      </w:r>
      <w:r w:rsidR="008B3B4F">
        <w:rPr>
          <w:rFonts w:ascii="Arial" w:hAnsi="Arial" w:cs="Arial"/>
          <w:sz w:val="24"/>
          <w:szCs w:val="24"/>
        </w:rPr>
        <w:t>ought to have readily conceded the special plea of prescription.  It had not done so and maintained its steadfast position to hold the appel</w:t>
      </w:r>
      <w:r w:rsidR="009B5188">
        <w:rPr>
          <w:rFonts w:ascii="Arial" w:hAnsi="Arial" w:cs="Arial"/>
          <w:sz w:val="24"/>
          <w:szCs w:val="24"/>
        </w:rPr>
        <w:t xml:space="preserve">lant liable for the full </w:t>
      </w:r>
      <w:r w:rsidR="008B3B4F">
        <w:rPr>
          <w:rFonts w:ascii="Arial" w:hAnsi="Arial" w:cs="Arial"/>
          <w:sz w:val="24"/>
          <w:szCs w:val="24"/>
        </w:rPr>
        <w:t>period</w:t>
      </w:r>
      <w:r w:rsidR="009B5188">
        <w:rPr>
          <w:rFonts w:ascii="Arial" w:hAnsi="Arial" w:cs="Arial"/>
          <w:sz w:val="24"/>
          <w:szCs w:val="24"/>
        </w:rPr>
        <w:t xml:space="preserve"> of 9 years. This leaves a consumer in the untenable position to pay the </w:t>
      </w:r>
      <w:r w:rsidR="00A810B3">
        <w:rPr>
          <w:rFonts w:ascii="Arial" w:hAnsi="Arial" w:cs="Arial"/>
          <w:sz w:val="24"/>
          <w:szCs w:val="24"/>
        </w:rPr>
        <w:t xml:space="preserve">full </w:t>
      </w:r>
      <w:r w:rsidR="009B5188">
        <w:rPr>
          <w:rFonts w:ascii="Arial" w:hAnsi="Arial" w:cs="Arial"/>
          <w:sz w:val="24"/>
          <w:szCs w:val="24"/>
        </w:rPr>
        <w:t>amount as invoiced alternatively face the risk and consequences of disconnection of services in respect of all or other municipal services to which</w:t>
      </w:r>
      <w:r w:rsidR="00145167">
        <w:rPr>
          <w:rFonts w:ascii="Arial" w:hAnsi="Arial" w:cs="Arial"/>
          <w:sz w:val="24"/>
          <w:szCs w:val="24"/>
        </w:rPr>
        <w:t xml:space="preserve"> the consumer is accounted for, legal action and </w:t>
      </w:r>
      <w:r w:rsidR="0045589F">
        <w:rPr>
          <w:rFonts w:ascii="Arial" w:hAnsi="Arial" w:cs="Arial"/>
          <w:sz w:val="24"/>
          <w:szCs w:val="24"/>
        </w:rPr>
        <w:t xml:space="preserve">other debt collection measures which in this case included a substantial pro rata amount for the prescribed period of 6 years.  </w:t>
      </w:r>
      <w:r w:rsidR="0084233A">
        <w:rPr>
          <w:rFonts w:ascii="Arial" w:hAnsi="Arial" w:cs="Arial"/>
          <w:sz w:val="24"/>
          <w:szCs w:val="24"/>
        </w:rPr>
        <w:t>The municipality is obliged to give effect to its Credit P</w:t>
      </w:r>
      <w:r w:rsidR="00A810B3">
        <w:rPr>
          <w:rFonts w:ascii="Arial" w:hAnsi="Arial" w:cs="Arial"/>
          <w:sz w:val="24"/>
          <w:szCs w:val="24"/>
        </w:rPr>
        <w:t>olicy which</w:t>
      </w:r>
      <w:r w:rsidR="0084233A">
        <w:rPr>
          <w:rFonts w:ascii="Arial" w:hAnsi="Arial" w:cs="Arial"/>
          <w:sz w:val="24"/>
          <w:szCs w:val="24"/>
        </w:rPr>
        <w:t xml:space="preserve"> must be int</w:t>
      </w:r>
      <w:r w:rsidR="00A810B3">
        <w:rPr>
          <w:rFonts w:ascii="Arial" w:hAnsi="Arial" w:cs="Arial"/>
          <w:sz w:val="24"/>
          <w:szCs w:val="24"/>
        </w:rPr>
        <w:t>erpreted with the values enshrined in</w:t>
      </w:r>
      <w:r w:rsidR="0084233A">
        <w:rPr>
          <w:rFonts w:ascii="Arial" w:hAnsi="Arial" w:cs="Arial"/>
          <w:sz w:val="24"/>
          <w:szCs w:val="24"/>
        </w:rPr>
        <w:t xml:space="preserve"> our Constitution, the Promotion of Administrative Justice Act and good governance as it is required to do in the Municipal Act.  The municipality’s silence on the </w:t>
      </w:r>
      <w:proofErr w:type="spellStart"/>
      <w:r w:rsidR="0084233A">
        <w:rPr>
          <w:rFonts w:ascii="Arial" w:hAnsi="Arial" w:cs="Arial"/>
          <w:sz w:val="24"/>
          <w:szCs w:val="24"/>
        </w:rPr>
        <w:t>defence</w:t>
      </w:r>
      <w:proofErr w:type="spellEnd"/>
      <w:r w:rsidR="0084233A">
        <w:rPr>
          <w:rFonts w:ascii="Arial" w:hAnsi="Arial" w:cs="Arial"/>
          <w:sz w:val="24"/>
          <w:szCs w:val="24"/>
        </w:rPr>
        <w:t xml:space="preserve"> of prescription is telling both in the trial court as well as this appeal.  The heads of argument </w:t>
      </w:r>
      <w:r w:rsidR="00A810B3">
        <w:rPr>
          <w:rFonts w:ascii="Arial" w:hAnsi="Arial" w:cs="Arial"/>
          <w:sz w:val="24"/>
          <w:szCs w:val="24"/>
        </w:rPr>
        <w:t xml:space="preserve">filed in this appeal for the respondent </w:t>
      </w:r>
      <w:r w:rsidR="0084233A">
        <w:rPr>
          <w:rFonts w:ascii="Arial" w:hAnsi="Arial" w:cs="Arial"/>
          <w:sz w:val="24"/>
          <w:szCs w:val="24"/>
        </w:rPr>
        <w:t>make</w:t>
      </w:r>
      <w:r w:rsidR="00A810B3">
        <w:rPr>
          <w:rFonts w:ascii="Arial" w:hAnsi="Arial" w:cs="Arial"/>
          <w:sz w:val="24"/>
          <w:szCs w:val="24"/>
        </w:rPr>
        <w:t>s</w:t>
      </w:r>
      <w:r w:rsidR="0045589F">
        <w:rPr>
          <w:rFonts w:ascii="Arial" w:hAnsi="Arial" w:cs="Arial"/>
          <w:sz w:val="24"/>
          <w:szCs w:val="24"/>
        </w:rPr>
        <w:t xml:space="preserve"> no reference to the </w:t>
      </w:r>
      <w:proofErr w:type="spellStart"/>
      <w:r w:rsidR="0045589F">
        <w:rPr>
          <w:rFonts w:ascii="Arial" w:hAnsi="Arial" w:cs="Arial"/>
          <w:sz w:val="24"/>
          <w:szCs w:val="24"/>
        </w:rPr>
        <w:t>defence</w:t>
      </w:r>
      <w:proofErr w:type="spellEnd"/>
      <w:r w:rsidR="0045589F">
        <w:rPr>
          <w:rFonts w:ascii="Arial" w:hAnsi="Arial" w:cs="Arial"/>
          <w:sz w:val="24"/>
          <w:szCs w:val="24"/>
        </w:rPr>
        <w:t xml:space="preserve"> </w:t>
      </w:r>
      <w:r w:rsidR="0084233A">
        <w:rPr>
          <w:rFonts w:ascii="Arial" w:hAnsi="Arial" w:cs="Arial"/>
          <w:sz w:val="24"/>
          <w:szCs w:val="24"/>
        </w:rPr>
        <w:t xml:space="preserve">on prescription.  </w:t>
      </w:r>
      <w:r w:rsidR="009B5188">
        <w:rPr>
          <w:rFonts w:ascii="Arial" w:hAnsi="Arial" w:cs="Arial"/>
          <w:sz w:val="24"/>
          <w:szCs w:val="24"/>
        </w:rPr>
        <w:t>T</w:t>
      </w:r>
      <w:r w:rsidR="0084233A">
        <w:rPr>
          <w:rFonts w:ascii="Arial" w:hAnsi="Arial" w:cs="Arial"/>
          <w:sz w:val="24"/>
          <w:szCs w:val="24"/>
        </w:rPr>
        <w:t xml:space="preserve">he </w:t>
      </w:r>
      <w:r w:rsidR="009B5188">
        <w:rPr>
          <w:rFonts w:ascii="Arial" w:hAnsi="Arial" w:cs="Arial"/>
          <w:sz w:val="24"/>
          <w:szCs w:val="24"/>
        </w:rPr>
        <w:t xml:space="preserve">conduct </w:t>
      </w:r>
      <w:r w:rsidR="0084233A">
        <w:rPr>
          <w:rFonts w:ascii="Arial" w:hAnsi="Arial" w:cs="Arial"/>
          <w:sz w:val="24"/>
          <w:szCs w:val="24"/>
        </w:rPr>
        <w:t xml:space="preserve">on the part of the municipality </w:t>
      </w:r>
      <w:r w:rsidR="00A810B3">
        <w:rPr>
          <w:rFonts w:ascii="Arial" w:hAnsi="Arial" w:cs="Arial"/>
          <w:sz w:val="24"/>
          <w:szCs w:val="24"/>
        </w:rPr>
        <w:t xml:space="preserve">is remiss and a </w:t>
      </w:r>
      <w:r w:rsidR="0045589F">
        <w:rPr>
          <w:rFonts w:ascii="Arial" w:hAnsi="Arial" w:cs="Arial"/>
          <w:sz w:val="24"/>
          <w:szCs w:val="24"/>
        </w:rPr>
        <w:t xml:space="preserve">relevant fact in </w:t>
      </w:r>
      <w:r w:rsidR="009B5188">
        <w:rPr>
          <w:rFonts w:ascii="Arial" w:hAnsi="Arial" w:cs="Arial"/>
          <w:sz w:val="24"/>
          <w:szCs w:val="24"/>
        </w:rPr>
        <w:t>the consideration of costs, which I deal with hereunder.</w:t>
      </w:r>
    </w:p>
    <w:p w14:paraId="4C843FD4" w14:textId="77777777" w:rsidR="008B3B4F" w:rsidRDefault="008B3B4F" w:rsidP="003A5BC6">
      <w:pPr>
        <w:spacing w:line="480" w:lineRule="auto"/>
        <w:jc w:val="both"/>
        <w:rPr>
          <w:rFonts w:ascii="Arial" w:hAnsi="Arial" w:cs="Arial"/>
          <w:sz w:val="24"/>
          <w:szCs w:val="24"/>
        </w:rPr>
      </w:pPr>
    </w:p>
    <w:p w14:paraId="3BB547A9" w14:textId="2847FCC2" w:rsidR="00145AE0" w:rsidRDefault="0084233A" w:rsidP="003A5BC6">
      <w:pPr>
        <w:spacing w:line="480" w:lineRule="auto"/>
        <w:jc w:val="both"/>
        <w:rPr>
          <w:rFonts w:ascii="Arial" w:hAnsi="Arial" w:cs="Arial"/>
          <w:sz w:val="24"/>
          <w:szCs w:val="24"/>
        </w:rPr>
      </w:pPr>
      <w:r>
        <w:rPr>
          <w:rFonts w:ascii="Arial" w:hAnsi="Arial" w:cs="Arial"/>
          <w:sz w:val="24"/>
          <w:szCs w:val="24"/>
        </w:rPr>
        <w:t>6.15]</w:t>
      </w:r>
      <w:r>
        <w:rPr>
          <w:rFonts w:ascii="Arial" w:hAnsi="Arial" w:cs="Arial"/>
          <w:sz w:val="24"/>
          <w:szCs w:val="24"/>
        </w:rPr>
        <w:tab/>
      </w:r>
      <w:r w:rsidR="009B5188">
        <w:rPr>
          <w:rFonts w:ascii="Arial" w:hAnsi="Arial" w:cs="Arial"/>
          <w:sz w:val="24"/>
          <w:szCs w:val="24"/>
        </w:rPr>
        <w:t xml:space="preserve"> </w:t>
      </w:r>
      <w:r w:rsidR="00B12272">
        <w:rPr>
          <w:rFonts w:ascii="Arial" w:hAnsi="Arial" w:cs="Arial"/>
          <w:sz w:val="24"/>
          <w:szCs w:val="24"/>
        </w:rPr>
        <w:t xml:space="preserve">In the circumstances taking into account the trite principles of prescription, I am satisfied that </w:t>
      </w:r>
      <w:r w:rsidR="00D568F0">
        <w:rPr>
          <w:rFonts w:ascii="Arial" w:hAnsi="Arial" w:cs="Arial"/>
          <w:sz w:val="24"/>
          <w:szCs w:val="24"/>
        </w:rPr>
        <w:t xml:space="preserve">the appellant could only be held liable for amounts which had not yet prescribed. </w:t>
      </w:r>
      <w:r w:rsidR="0045589F">
        <w:rPr>
          <w:rFonts w:ascii="Arial" w:hAnsi="Arial" w:cs="Arial"/>
          <w:sz w:val="24"/>
          <w:szCs w:val="24"/>
        </w:rPr>
        <w:t xml:space="preserve">  </w:t>
      </w:r>
      <w:r w:rsidR="00D568F0">
        <w:rPr>
          <w:rFonts w:ascii="Arial" w:hAnsi="Arial" w:cs="Arial"/>
          <w:sz w:val="24"/>
          <w:szCs w:val="24"/>
        </w:rPr>
        <w:t xml:space="preserve">In </w:t>
      </w:r>
      <w:r w:rsidR="0045589F">
        <w:rPr>
          <w:rFonts w:ascii="Arial" w:hAnsi="Arial" w:cs="Arial"/>
          <w:sz w:val="24"/>
          <w:szCs w:val="24"/>
        </w:rPr>
        <w:t>the premise,</w:t>
      </w:r>
      <w:r w:rsidR="00B12272">
        <w:rPr>
          <w:rFonts w:ascii="Arial" w:hAnsi="Arial" w:cs="Arial"/>
          <w:sz w:val="24"/>
          <w:szCs w:val="24"/>
        </w:rPr>
        <w:t xml:space="preserve"> the special plea of prescription must succeed.  The remaining issues on appeal must fail.</w:t>
      </w:r>
      <w:r>
        <w:rPr>
          <w:rFonts w:ascii="Arial" w:hAnsi="Arial" w:cs="Arial"/>
          <w:sz w:val="24"/>
          <w:szCs w:val="24"/>
        </w:rPr>
        <w:t xml:space="preserve">  </w:t>
      </w:r>
    </w:p>
    <w:p w14:paraId="4BB849BE" w14:textId="429E7107" w:rsidR="00145AE0" w:rsidRDefault="00145AE0" w:rsidP="00145AE0">
      <w:pPr>
        <w:spacing w:line="480" w:lineRule="auto"/>
        <w:jc w:val="both"/>
        <w:rPr>
          <w:rFonts w:ascii="Arial" w:hAnsi="Arial" w:cs="Arial"/>
          <w:sz w:val="24"/>
          <w:szCs w:val="24"/>
        </w:rPr>
      </w:pPr>
      <w:r>
        <w:rPr>
          <w:rFonts w:ascii="Arial" w:hAnsi="Arial" w:cs="Arial"/>
          <w:sz w:val="24"/>
          <w:szCs w:val="24"/>
        </w:rPr>
        <w:lastRenderedPageBreak/>
        <w:t>6.16]</w:t>
      </w:r>
      <w:r>
        <w:rPr>
          <w:rFonts w:ascii="Arial" w:hAnsi="Arial" w:cs="Arial"/>
          <w:sz w:val="24"/>
          <w:szCs w:val="24"/>
        </w:rPr>
        <w:tab/>
        <w:t xml:space="preserve">The municipal manager is the head of the administration of a municipality and has various duties, inter alia, giving guidance and advice to the municipality and also acts as the accounting officer.  I am fortified by the conduct of the municipality </w:t>
      </w:r>
      <w:r w:rsidRPr="00A810B3">
        <w:rPr>
          <w:rFonts w:ascii="Arial" w:hAnsi="Arial" w:cs="Arial"/>
          <w:i/>
          <w:sz w:val="24"/>
          <w:szCs w:val="24"/>
        </w:rPr>
        <w:t>apropos</w:t>
      </w:r>
      <w:r>
        <w:rPr>
          <w:rFonts w:ascii="Arial" w:hAnsi="Arial" w:cs="Arial"/>
          <w:sz w:val="24"/>
          <w:szCs w:val="24"/>
        </w:rPr>
        <w:t xml:space="preserve"> the prescribed period of 6 years and its persistence in invoicing the appellant in respect there</w:t>
      </w:r>
      <w:r w:rsidR="003F6815">
        <w:rPr>
          <w:rFonts w:ascii="Arial" w:hAnsi="Arial" w:cs="Arial"/>
          <w:sz w:val="24"/>
          <w:szCs w:val="24"/>
        </w:rPr>
        <w:t>o</w:t>
      </w:r>
      <w:r>
        <w:rPr>
          <w:rFonts w:ascii="Arial" w:hAnsi="Arial" w:cs="Arial"/>
          <w:sz w:val="24"/>
          <w:szCs w:val="24"/>
        </w:rPr>
        <w:t xml:space="preserve">f as well as the prevalence of these type of municipal conduct in the management of prepaid electricity meters, that a copy of this judgment be placed with the Drakenstein Municipality Manager.  </w:t>
      </w:r>
    </w:p>
    <w:p w14:paraId="53630118" w14:textId="03EE960C" w:rsidR="0027493F" w:rsidRDefault="0027493F" w:rsidP="00145AE0">
      <w:pPr>
        <w:spacing w:line="480" w:lineRule="auto"/>
        <w:jc w:val="both"/>
        <w:rPr>
          <w:rFonts w:ascii="Arial" w:hAnsi="Arial" w:cs="Arial"/>
          <w:sz w:val="24"/>
          <w:szCs w:val="24"/>
        </w:rPr>
      </w:pPr>
    </w:p>
    <w:p w14:paraId="72FEF4B1" w14:textId="61506A42" w:rsidR="0027493F" w:rsidRDefault="0027493F" w:rsidP="00145AE0">
      <w:pPr>
        <w:spacing w:line="480" w:lineRule="auto"/>
        <w:jc w:val="both"/>
        <w:rPr>
          <w:rFonts w:ascii="Arial" w:hAnsi="Arial" w:cs="Arial"/>
          <w:sz w:val="24"/>
          <w:szCs w:val="24"/>
        </w:rPr>
      </w:pPr>
      <w:r>
        <w:rPr>
          <w:rFonts w:ascii="Arial" w:hAnsi="Arial" w:cs="Arial"/>
          <w:sz w:val="24"/>
          <w:szCs w:val="24"/>
        </w:rPr>
        <w:t>6.17]</w:t>
      </w:r>
      <w:r>
        <w:rPr>
          <w:rFonts w:ascii="Arial" w:hAnsi="Arial" w:cs="Arial"/>
          <w:sz w:val="24"/>
          <w:szCs w:val="24"/>
        </w:rPr>
        <w:tab/>
        <w:t xml:space="preserve">At the completion of the submissions made by counsel for the municipality in respect of the special </w:t>
      </w:r>
      <w:proofErr w:type="spellStart"/>
      <w:r>
        <w:rPr>
          <w:rFonts w:ascii="Arial" w:hAnsi="Arial" w:cs="Arial"/>
          <w:sz w:val="24"/>
          <w:szCs w:val="24"/>
        </w:rPr>
        <w:t>defence</w:t>
      </w:r>
      <w:proofErr w:type="spellEnd"/>
      <w:r>
        <w:rPr>
          <w:rFonts w:ascii="Arial" w:hAnsi="Arial" w:cs="Arial"/>
          <w:sz w:val="24"/>
          <w:szCs w:val="24"/>
        </w:rPr>
        <w:t xml:space="preserve"> of prescription, an adjournment was requested by counsel to consult with his instructing attorney who was present in Court.  After the adjournment, counsel informed the Court that in the premise where the Court uphold the prescription point, that the municipality makes the concession that it could only claim for the prepaid meter expenses which had not prescribed, in other words, for costs levied after February 2019, representing 3 years prior to the service of the summons in February 2021.  I am of the view that the concession was properly made.  The</w:t>
      </w:r>
      <w:r w:rsidR="00E22CF0">
        <w:rPr>
          <w:rFonts w:ascii="Arial" w:hAnsi="Arial" w:cs="Arial"/>
          <w:sz w:val="24"/>
          <w:szCs w:val="24"/>
        </w:rPr>
        <w:t xml:space="preserve"> parties also agreed that if this</w:t>
      </w:r>
      <w:r>
        <w:rPr>
          <w:rFonts w:ascii="Arial" w:hAnsi="Arial" w:cs="Arial"/>
          <w:sz w:val="24"/>
          <w:szCs w:val="24"/>
        </w:rPr>
        <w:t xml:space="preserve"> Court is to uphold the prescription </w:t>
      </w:r>
      <w:proofErr w:type="spellStart"/>
      <w:r>
        <w:rPr>
          <w:rFonts w:ascii="Arial" w:hAnsi="Arial" w:cs="Arial"/>
          <w:sz w:val="24"/>
          <w:szCs w:val="24"/>
        </w:rPr>
        <w:t>defence</w:t>
      </w:r>
      <w:proofErr w:type="spellEnd"/>
      <w:r w:rsidR="00E22CF0">
        <w:rPr>
          <w:rFonts w:ascii="Arial" w:hAnsi="Arial" w:cs="Arial"/>
          <w:sz w:val="24"/>
          <w:szCs w:val="24"/>
        </w:rPr>
        <w:t xml:space="preserve"> on appeal</w:t>
      </w:r>
      <w:r>
        <w:rPr>
          <w:rFonts w:ascii="Arial" w:hAnsi="Arial" w:cs="Arial"/>
          <w:sz w:val="24"/>
          <w:szCs w:val="24"/>
        </w:rPr>
        <w:t xml:space="preserve">, that the municipality would present an invoice to the appellant for electricity consumed in respect of the meter for the period 28 October 2019 until 29 October 2021.  </w:t>
      </w:r>
      <w:r w:rsidR="00E22CF0">
        <w:rPr>
          <w:rFonts w:ascii="Arial" w:hAnsi="Arial" w:cs="Arial"/>
          <w:sz w:val="24"/>
          <w:szCs w:val="24"/>
        </w:rPr>
        <w:t>A draft order to that effect was submitted to the Registrar after the hearing of the matter.  I include the terms thereof in the order below.</w:t>
      </w:r>
    </w:p>
    <w:p w14:paraId="77F1ECD7" w14:textId="77777777" w:rsidR="00145AE0" w:rsidRDefault="00145AE0" w:rsidP="00145AE0">
      <w:pPr>
        <w:spacing w:line="480" w:lineRule="auto"/>
        <w:jc w:val="both"/>
        <w:rPr>
          <w:rFonts w:ascii="Arial" w:hAnsi="Arial" w:cs="Arial"/>
          <w:sz w:val="24"/>
          <w:szCs w:val="24"/>
        </w:rPr>
      </w:pPr>
    </w:p>
    <w:p w14:paraId="2B02E7F9" w14:textId="77777777" w:rsidR="00A31AA4" w:rsidRDefault="00A31AA4" w:rsidP="00145AE0">
      <w:pPr>
        <w:spacing w:line="480" w:lineRule="auto"/>
        <w:jc w:val="both"/>
        <w:rPr>
          <w:rFonts w:ascii="Arial" w:hAnsi="Arial" w:cs="Arial"/>
          <w:sz w:val="24"/>
          <w:szCs w:val="24"/>
        </w:rPr>
      </w:pPr>
    </w:p>
    <w:p w14:paraId="3689BE09" w14:textId="7A43F798" w:rsidR="00B12272" w:rsidRPr="009B5188" w:rsidRDefault="009B5188" w:rsidP="003A5BC6">
      <w:pPr>
        <w:spacing w:line="480" w:lineRule="auto"/>
        <w:jc w:val="both"/>
        <w:rPr>
          <w:rFonts w:ascii="Arial" w:hAnsi="Arial" w:cs="Arial"/>
          <w:i/>
          <w:sz w:val="24"/>
          <w:szCs w:val="24"/>
          <w:u w:val="single"/>
        </w:rPr>
      </w:pPr>
      <w:r w:rsidRPr="009B5188">
        <w:rPr>
          <w:rFonts w:ascii="Arial" w:hAnsi="Arial" w:cs="Arial"/>
          <w:i/>
          <w:sz w:val="24"/>
          <w:szCs w:val="24"/>
          <w:u w:val="single"/>
        </w:rPr>
        <w:lastRenderedPageBreak/>
        <w:t>Costs:</w:t>
      </w:r>
    </w:p>
    <w:p w14:paraId="51535816" w14:textId="025FF1CB" w:rsidR="004843FC" w:rsidRDefault="00CF5C59" w:rsidP="003A5BC6">
      <w:pPr>
        <w:spacing w:line="480" w:lineRule="auto"/>
        <w:jc w:val="both"/>
        <w:rPr>
          <w:rFonts w:ascii="Arial" w:hAnsi="Arial" w:cs="Arial"/>
          <w:sz w:val="24"/>
          <w:szCs w:val="24"/>
        </w:rPr>
      </w:pPr>
      <w:r>
        <w:rPr>
          <w:rFonts w:ascii="Arial" w:hAnsi="Arial" w:cs="Arial"/>
          <w:sz w:val="24"/>
          <w:szCs w:val="24"/>
        </w:rPr>
        <w:t>7</w:t>
      </w:r>
      <w:r w:rsidR="00B12272">
        <w:rPr>
          <w:rFonts w:ascii="Arial" w:hAnsi="Arial" w:cs="Arial"/>
          <w:sz w:val="24"/>
          <w:szCs w:val="24"/>
        </w:rPr>
        <w:t>]</w:t>
      </w:r>
      <w:r w:rsidR="00B12272">
        <w:rPr>
          <w:rFonts w:ascii="Arial" w:hAnsi="Arial" w:cs="Arial"/>
          <w:sz w:val="24"/>
          <w:szCs w:val="24"/>
        </w:rPr>
        <w:tab/>
      </w:r>
      <w:r w:rsidR="009B5188">
        <w:rPr>
          <w:rFonts w:ascii="Arial" w:hAnsi="Arial" w:cs="Arial"/>
          <w:sz w:val="24"/>
          <w:szCs w:val="24"/>
        </w:rPr>
        <w:t xml:space="preserve">In light of the fact that the appellant </w:t>
      </w:r>
      <w:r w:rsidR="00A810B3">
        <w:rPr>
          <w:rFonts w:ascii="Arial" w:hAnsi="Arial" w:cs="Arial"/>
          <w:sz w:val="24"/>
          <w:szCs w:val="24"/>
        </w:rPr>
        <w:t xml:space="preserve">only </w:t>
      </w:r>
      <w:r w:rsidR="009B5188">
        <w:rPr>
          <w:rFonts w:ascii="Arial" w:hAnsi="Arial" w:cs="Arial"/>
          <w:sz w:val="24"/>
          <w:szCs w:val="24"/>
        </w:rPr>
        <w:t>remains liable for the debt over</w:t>
      </w:r>
      <w:r w:rsidR="00A810B3">
        <w:rPr>
          <w:rFonts w:ascii="Arial" w:hAnsi="Arial" w:cs="Arial"/>
          <w:sz w:val="24"/>
          <w:szCs w:val="24"/>
        </w:rPr>
        <w:t xml:space="preserve"> a period of 3 years </w:t>
      </w:r>
      <w:r w:rsidR="009B5188">
        <w:rPr>
          <w:rFonts w:ascii="Arial" w:hAnsi="Arial" w:cs="Arial"/>
          <w:sz w:val="24"/>
          <w:szCs w:val="24"/>
        </w:rPr>
        <w:t xml:space="preserve">as opposed to 9 years, it follows that the appellant is substantially successful in this appeal.  </w:t>
      </w:r>
      <w:r w:rsidR="004843FC">
        <w:rPr>
          <w:rFonts w:ascii="Arial" w:hAnsi="Arial" w:cs="Arial"/>
          <w:sz w:val="24"/>
          <w:szCs w:val="24"/>
        </w:rPr>
        <w:t>Tog</w:t>
      </w:r>
      <w:r w:rsidR="003F6815">
        <w:rPr>
          <w:rFonts w:ascii="Arial" w:hAnsi="Arial" w:cs="Arial"/>
          <w:sz w:val="24"/>
          <w:szCs w:val="24"/>
        </w:rPr>
        <w:t>ether with my reasoning as</w:t>
      </w:r>
      <w:r w:rsidR="004843FC">
        <w:rPr>
          <w:rFonts w:ascii="Arial" w:hAnsi="Arial" w:cs="Arial"/>
          <w:sz w:val="24"/>
          <w:szCs w:val="24"/>
        </w:rPr>
        <w:t xml:space="preserve"> set out in paragraph </w:t>
      </w:r>
      <w:r w:rsidR="0084233A">
        <w:rPr>
          <w:rFonts w:ascii="Arial" w:hAnsi="Arial" w:cs="Arial"/>
          <w:sz w:val="24"/>
          <w:szCs w:val="24"/>
        </w:rPr>
        <w:t>6.14</w:t>
      </w:r>
      <w:r w:rsidR="004843FC">
        <w:rPr>
          <w:rFonts w:ascii="Arial" w:hAnsi="Arial" w:cs="Arial"/>
          <w:sz w:val="24"/>
          <w:szCs w:val="24"/>
        </w:rPr>
        <w:t xml:space="preserve"> </w:t>
      </w:r>
      <w:r w:rsidR="003F6815">
        <w:rPr>
          <w:rFonts w:ascii="Arial" w:hAnsi="Arial" w:cs="Arial"/>
          <w:sz w:val="24"/>
          <w:szCs w:val="24"/>
        </w:rPr>
        <w:t>to 6.16</w:t>
      </w:r>
      <w:r w:rsidR="00A810B3">
        <w:rPr>
          <w:rFonts w:ascii="Arial" w:hAnsi="Arial" w:cs="Arial"/>
          <w:sz w:val="24"/>
          <w:szCs w:val="24"/>
        </w:rPr>
        <w:t xml:space="preserve"> </w:t>
      </w:r>
      <w:r w:rsidR="004843FC">
        <w:rPr>
          <w:rFonts w:ascii="Arial" w:hAnsi="Arial" w:cs="Arial"/>
          <w:sz w:val="24"/>
          <w:szCs w:val="24"/>
        </w:rPr>
        <w:t xml:space="preserve">above, I am satisfied that the municipality be ordered to pay the costs of the appellant on scale A. </w:t>
      </w:r>
    </w:p>
    <w:p w14:paraId="00E31A6A" w14:textId="4C2E21E7" w:rsidR="0084233A" w:rsidRDefault="0084233A" w:rsidP="003A5BC6">
      <w:pPr>
        <w:spacing w:line="480" w:lineRule="auto"/>
        <w:jc w:val="both"/>
        <w:rPr>
          <w:rFonts w:ascii="Arial" w:hAnsi="Arial" w:cs="Arial"/>
          <w:sz w:val="24"/>
          <w:szCs w:val="24"/>
        </w:rPr>
      </w:pPr>
    </w:p>
    <w:p w14:paraId="20D77E80" w14:textId="3166C959" w:rsidR="0045589F" w:rsidRPr="0045589F" w:rsidRDefault="0045589F" w:rsidP="003A5BC6">
      <w:pPr>
        <w:spacing w:line="480" w:lineRule="auto"/>
        <w:jc w:val="both"/>
        <w:rPr>
          <w:rFonts w:ascii="Arial" w:hAnsi="Arial" w:cs="Arial"/>
          <w:i/>
          <w:sz w:val="24"/>
          <w:szCs w:val="24"/>
          <w:u w:val="single"/>
        </w:rPr>
      </w:pPr>
      <w:r w:rsidRPr="0045589F">
        <w:rPr>
          <w:rFonts w:ascii="Arial" w:hAnsi="Arial" w:cs="Arial"/>
          <w:i/>
          <w:sz w:val="24"/>
          <w:szCs w:val="24"/>
          <w:u w:val="single"/>
        </w:rPr>
        <w:t>Order:</w:t>
      </w:r>
    </w:p>
    <w:p w14:paraId="31450261" w14:textId="7620FD49" w:rsidR="004911EA" w:rsidRDefault="00CF5C59" w:rsidP="003A5BC6">
      <w:pPr>
        <w:spacing w:line="480" w:lineRule="auto"/>
        <w:jc w:val="both"/>
        <w:rPr>
          <w:rFonts w:ascii="Arial" w:hAnsi="Arial" w:cs="Arial"/>
          <w:sz w:val="24"/>
          <w:szCs w:val="24"/>
        </w:rPr>
      </w:pPr>
      <w:r>
        <w:rPr>
          <w:rFonts w:ascii="Arial" w:hAnsi="Arial" w:cs="Arial"/>
          <w:sz w:val="24"/>
          <w:szCs w:val="24"/>
        </w:rPr>
        <w:t>8</w:t>
      </w:r>
      <w:r w:rsidR="004843FC">
        <w:rPr>
          <w:rFonts w:ascii="Arial" w:hAnsi="Arial" w:cs="Arial"/>
          <w:sz w:val="24"/>
          <w:szCs w:val="24"/>
        </w:rPr>
        <w:t>]</w:t>
      </w:r>
      <w:r w:rsidR="004843FC">
        <w:rPr>
          <w:rFonts w:ascii="Arial" w:hAnsi="Arial" w:cs="Arial"/>
          <w:sz w:val="24"/>
          <w:szCs w:val="24"/>
        </w:rPr>
        <w:tab/>
      </w:r>
      <w:r w:rsidR="00B12272">
        <w:rPr>
          <w:rFonts w:ascii="Arial" w:hAnsi="Arial" w:cs="Arial"/>
          <w:sz w:val="24"/>
          <w:szCs w:val="24"/>
        </w:rPr>
        <w:t>For the reasons aforesaid and in a</w:t>
      </w:r>
      <w:r w:rsidR="004911EA">
        <w:rPr>
          <w:rFonts w:ascii="Arial" w:hAnsi="Arial" w:cs="Arial"/>
          <w:sz w:val="24"/>
          <w:szCs w:val="24"/>
        </w:rPr>
        <w:t>ll circums</w:t>
      </w:r>
      <w:r w:rsidR="00E22CF0">
        <w:rPr>
          <w:rFonts w:ascii="Arial" w:hAnsi="Arial" w:cs="Arial"/>
          <w:sz w:val="24"/>
          <w:szCs w:val="24"/>
        </w:rPr>
        <w:t xml:space="preserve">tances of this appeal, I make the following </w:t>
      </w:r>
      <w:r w:rsidR="004911EA">
        <w:rPr>
          <w:rFonts w:ascii="Arial" w:hAnsi="Arial" w:cs="Arial"/>
          <w:sz w:val="24"/>
          <w:szCs w:val="24"/>
        </w:rPr>
        <w:t>order:</w:t>
      </w:r>
    </w:p>
    <w:p w14:paraId="777AEF11" w14:textId="77777777" w:rsidR="005039E2" w:rsidRDefault="005039E2" w:rsidP="005039E2">
      <w:pPr>
        <w:spacing w:line="480" w:lineRule="auto"/>
        <w:ind w:left="1440" w:hanging="720"/>
        <w:jc w:val="both"/>
        <w:rPr>
          <w:rFonts w:ascii="Arial" w:hAnsi="Arial" w:cs="Arial"/>
          <w:b/>
          <w:i/>
          <w:sz w:val="24"/>
          <w:szCs w:val="24"/>
        </w:rPr>
      </w:pPr>
    </w:p>
    <w:p w14:paraId="5CD4CF7D" w14:textId="266A9968" w:rsidR="004911EA" w:rsidRPr="00245E7E" w:rsidRDefault="00245E7E" w:rsidP="00245E7E">
      <w:pPr>
        <w:spacing w:line="480" w:lineRule="auto"/>
        <w:ind w:left="1440" w:hanging="720"/>
        <w:jc w:val="both"/>
        <w:rPr>
          <w:rFonts w:ascii="Arial" w:hAnsi="Arial" w:cs="Arial"/>
          <w:b/>
          <w:i/>
          <w:sz w:val="24"/>
          <w:szCs w:val="24"/>
        </w:rPr>
      </w:pPr>
      <w:r w:rsidRPr="0045589F">
        <w:rPr>
          <w:rFonts w:ascii="Arial" w:hAnsi="Arial" w:cs="Arial"/>
          <w:b/>
          <w:i/>
          <w:sz w:val="24"/>
          <w:szCs w:val="24"/>
        </w:rPr>
        <w:t>(a)</w:t>
      </w:r>
      <w:r w:rsidRPr="0045589F">
        <w:rPr>
          <w:rFonts w:ascii="Arial" w:hAnsi="Arial" w:cs="Arial"/>
          <w:b/>
          <w:i/>
          <w:sz w:val="24"/>
          <w:szCs w:val="24"/>
        </w:rPr>
        <w:tab/>
      </w:r>
      <w:r w:rsidR="004911EA" w:rsidRPr="00245E7E">
        <w:rPr>
          <w:rFonts w:ascii="Arial" w:hAnsi="Arial" w:cs="Arial"/>
          <w:b/>
          <w:i/>
          <w:sz w:val="24"/>
          <w:szCs w:val="24"/>
        </w:rPr>
        <w:t xml:space="preserve">The appeal is upheld to the extent of the order set out </w:t>
      </w:r>
      <w:r w:rsidR="005039E2" w:rsidRPr="00245E7E">
        <w:rPr>
          <w:rFonts w:ascii="Arial" w:hAnsi="Arial" w:cs="Arial"/>
          <w:b/>
          <w:i/>
          <w:sz w:val="24"/>
          <w:szCs w:val="24"/>
        </w:rPr>
        <w:t xml:space="preserve">in paragraph (b) </w:t>
      </w:r>
      <w:r w:rsidR="004911EA" w:rsidRPr="00245E7E">
        <w:rPr>
          <w:rFonts w:ascii="Arial" w:hAnsi="Arial" w:cs="Arial"/>
          <w:b/>
          <w:i/>
          <w:sz w:val="24"/>
          <w:szCs w:val="24"/>
        </w:rPr>
        <w:t xml:space="preserve">below </w:t>
      </w:r>
      <w:r w:rsidR="004843FC" w:rsidRPr="00245E7E">
        <w:rPr>
          <w:rFonts w:ascii="Arial" w:hAnsi="Arial" w:cs="Arial"/>
          <w:b/>
          <w:i/>
          <w:sz w:val="24"/>
          <w:szCs w:val="24"/>
        </w:rPr>
        <w:t>with costs to be paid by the respondent</w:t>
      </w:r>
      <w:r w:rsidR="004911EA" w:rsidRPr="00245E7E">
        <w:rPr>
          <w:rFonts w:ascii="Arial" w:hAnsi="Arial" w:cs="Arial"/>
          <w:b/>
          <w:i/>
          <w:sz w:val="24"/>
          <w:szCs w:val="24"/>
        </w:rPr>
        <w:t xml:space="preserve"> on scale A</w:t>
      </w:r>
      <w:r w:rsidR="0045589F" w:rsidRPr="00245E7E">
        <w:rPr>
          <w:rFonts w:ascii="Arial" w:hAnsi="Arial" w:cs="Arial"/>
          <w:b/>
          <w:i/>
          <w:sz w:val="24"/>
          <w:szCs w:val="24"/>
        </w:rPr>
        <w:t>.</w:t>
      </w:r>
      <w:r w:rsidR="004911EA" w:rsidRPr="00245E7E">
        <w:rPr>
          <w:rFonts w:ascii="Arial" w:hAnsi="Arial" w:cs="Arial"/>
          <w:b/>
          <w:i/>
          <w:sz w:val="24"/>
          <w:szCs w:val="24"/>
        </w:rPr>
        <w:t xml:space="preserve">”  </w:t>
      </w:r>
    </w:p>
    <w:p w14:paraId="46A843C0" w14:textId="77777777" w:rsidR="0045589F" w:rsidRPr="0045589F" w:rsidRDefault="0045589F" w:rsidP="0045589F">
      <w:pPr>
        <w:pStyle w:val="ListParagraph"/>
        <w:spacing w:line="480" w:lineRule="auto"/>
        <w:ind w:left="1440"/>
        <w:jc w:val="both"/>
        <w:rPr>
          <w:rFonts w:ascii="Arial" w:hAnsi="Arial" w:cs="Arial"/>
          <w:b/>
          <w:i/>
          <w:sz w:val="24"/>
          <w:szCs w:val="24"/>
        </w:rPr>
      </w:pPr>
    </w:p>
    <w:p w14:paraId="2BC2F727" w14:textId="2B198D44" w:rsidR="004843FC" w:rsidRPr="005039E2" w:rsidRDefault="005039E2" w:rsidP="005039E2">
      <w:pPr>
        <w:spacing w:line="480" w:lineRule="auto"/>
        <w:ind w:left="1440" w:hanging="720"/>
        <w:jc w:val="both"/>
        <w:rPr>
          <w:rFonts w:ascii="Arial" w:hAnsi="Arial" w:cs="Arial"/>
          <w:b/>
          <w:i/>
          <w:sz w:val="24"/>
          <w:szCs w:val="24"/>
        </w:rPr>
      </w:pPr>
      <w:r w:rsidRPr="005039E2">
        <w:rPr>
          <w:rFonts w:ascii="Arial" w:hAnsi="Arial" w:cs="Arial"/>
          <w:b/>
          <w:i/>
          <w:sz w:val="24"/>
          <w:szCs w:val="24"/>
        </w:rPr>
        <w:t>(b)</w:t>
      </w:r>
      <w:r w:rsidRPr="005039E2">
        <w:rPr>
          <w:rFonts w:ascii="Arial" w:hAnsi="Arial" w:cs="Arial"/>
          <w:b/>
          <w:i/>
          <w:sz w:val="24"/>
          <w:szCs w:val="24"/>
        </w:rPr>
        <w:tab/>
      </w:r>
      <w:r w:rsidR="004911EA" w:rsidRPr="005039E2">
        <w:rPr>
          <w:rFonts w:ascii="Arial" w:hAnsi="Arial" w:cs="Arial"/>
          <w:b/>
          <w:i/>
          <w:sz w:val="24"/>
          <w:szCs w:val="24"/>
        </w:rPr>
        <w:t>The order of the magistrate’s court dated 1 December 2023 is herewith set aside and substituted as follows:</w:t>
      </w:r>
    </w:p>
    <w:p w14:paraId="246BA12F" w14:textId="396B133B" w:rsidR="004843FC" w:rsidRPr="005039E2" w:rsidRDefault="004843FC" w:rsidP="003A5BC6">
      <w:pPr>
        <w:spacing w:line="480" w:lineRule="auto"/>
        <w:jc w:val="both"/>
        <w:rPr>
          <w:rFonts w:ascii="Arial" w:hAnsi="Arial" w:cs="Arial"/>
          <w:b/>
          <w:i/>
          <w:sz w:val="24"/>
          <w:szCs w:val="24"/>
        </w:rPr>
      </w:pPr>
    </w:p>
    <w:p w14:paraId="5BCD9666" w14:textId="690E6E9D" w:rsidR="004843FC" w:rsidRPr="0045589F" w:rsidRDefault="004843FC" w:rsidP="003A5BC6">
      <w:pPr>
        <w:spacing w:line="480" w:lineRule="auto"/>
        <w:jc w:val="both"/>
        <w:rPr>
          <w:rFonts w:ascii="Arial" w:hAnsi="Arial" w:cs="Arial"/>
          <w:sz w:val="24"/>
          <w:szCs w:val="24"/>
        </w:rPr>
      </w:pPr>
      <w:r w:rsidRPr="005039E2">
        <w:rPr>
          <w:rFonts w:ascii="Arial" w:hAnsi="Arial" w:cs="Arial"/>
          <w:b/>
          <w:i/>
          <w:sz w:val="24"/>
          <w:szCs w:val="24"/>
        </w:rPr>
        <w:tab/>
      </w:r>
      <w:r w:rsidR="00CF5C59">
        <w:rPr>
          <w:rFonts w:ascii="Arial" w:hAnsi="Arial" w:cs="Arial"/>
          <w:b/>
          <w:i/>
          <w:sz w:val="24"/>
          <w:szCs w:val="24"/>
        </w:rPr>
        <w:tab/>
      </w:r>
      <w:r w:rsidRPr="0045589F">
        <w:rPr>
          <w:rFonts w:ascii="Arial" w:hAnsi="Arial" w:cs="Arial"/>
          <w:sz w:val="24"/>
          <w:szCs w:val="24"/>
        </w:rPr>
        <w:t>“T</w:t>
      </w:r>
      <w:r w:rsidR="004911EA" w:rsidRPr="0045589F">
        <w:rPr>
          <w:rFonts w:ascii="Arial" w:hAnsi="Arial" w:cs="Arial"/>
          <w:sz w:val="24"/>
          <w:szCs w:val="24"/>
        </w:rPr>
        <w:t>he plaintiff</w:t>
      </w:r>
      <w:r w:rsidRPr="0045589F">
        <w:rPr>
          <w:rFonts w:ascii="Arial" w:hAnsi="Arial" w:cs="Arial"/>
          <w:sz w:val="24"/>
          <w:szCs w:val="24"/>
        </w:rPr>
        <w:t xml:space="preserve"> is ordered to:</w:t>
      </w:r>
    </w:p>
    <w:p w14:paraId="41B5097B" w14:textId="59C68CD6" w:rsidR="004843FC" w:rsidRPr="00245E7E" w:rsidRDefault="00245E7E" w:rsidP="00245E7E">
      <w:pPr>
        <w:spacing w:line="480" w:lineRule="auto"/>
        <w:ind w:left="2160" w:hanging="720"/>
        <w:jc w:val="both"/>
        <w:rPr>
          <w:rFonts w:ascii="Arial" w:hAnsi="Arial" w:cs="Arial"/>
          <w:sz w:val="24"/>
          <w:szCs w:val="24"/>
        </w:rPr>
      </w:pPr>
      <w:r w:rsidRPr="0045589F">
        <w:rPr>
          <w:rFonts w:ascii="Arial" w:hAnsi="Arial" w:cs="Arial"/>
          <w:sz w:val="24"/>
          <w:szCs w:val="24"/>
        </w:rPr>
        <w:t>(</w:t>
      </w:r>
      <w:proofErr w:type="spellStart"/>
      <w:r w:rsidRPr="0045589F">
        <w:rPr>
          <w:rFonts w:ascii="Arial" w:hAnsi="Arial" w:cs="Arial"/>
          <w:sz w:val="24"/>
          <w:szCs w:val="24"/>
        </w:rPr>
        <w:t>i</w:t>
      </w:r>
      <w:proofErr w:type="spellEnd"/>
      <w:r w:rsidRPr="0045589F">
        <w:rPr>
          <w:rFonts w:ascii="Arial" w:hAnsi="Arial" w:cs="Arial"/>
          <w:sz w:val="24"/>
          <w:szCs w:val="24"/>
        </w:rPr>
        <w:t>)</w:t>
      </w:r>
      <w:r w:rsidRPr="0045589F">
        <w:rPr>
          <w:rFonts w:ascii="Arial" w:hAnsi="Arial" w:cs="Arial"/>
          <w:sz w:val="24"/>
          <w:szCs w:val="24"/>
        </w:rPr>
        <w:tab/>
      </w:r>
      <w:r w:rsidR="004843FC" w:rsidRPr="00245E7E">
        <w:rPr>
          <w:rFonts w:ascii="Arial" w:hAnsi="Arial" w:cs="Arial"/>
          <w:sz w:val="24"/>
          <w:szCs w:val="24"/>
        </w:rPr>
        <w:t>R</w:t>
      </w:r>
      <w:r w:rsidR="00D93096" w:rsidRPr="00245E7E">
        <w:rPr>
          <w:rFonts w:ascii="Arial" w:hAnsi="Arial" w:cs="Arial"/>
          <w:sz w:val="24"/>
          <w:szCs w:val="24"/>
        </w:rPr>
        <w:t>everse all amounts</w:t>
      </w:r>
      <w:r w:rsidR="004843FC" w:rsidRPr="00245E7E">
        <w:rPr>
          <w:rFonts w:ascii="Arial" w:hAnsi="Arial" w:cs="Arial"/>
          <w:sz w:val="24"/>
          <w:szCs w:val="24"/>
        </w:rPr>
        <w:t xml:space="preserve"> for the electricity prepaid fixed charges added to Municipal Account </w:t>
      </w:r>
      <w:r w:rsidR="00D93096" w:rsidRPr="00245E7E">
        <w:rPr>
          <w:rFonts w:ascii="Arial" w:hAnsi="Arial" w:cs="Arial"/>
          <w:sz w:val="24"/>
          <w:szCs w:val="24"/>
        </w:rPr>
        <w:t xml:space="preserve">093133900002 (“the </w:t>
      </w:r>
      <w:r w:rsidR="004911EA" w:rsidRPr="00245E7E">
        <w:rPr>
          <w:rFonts w:ascii="Arial" w:hAnsi="Arial" w:cs="Arial"/>
          <w:sz w:val="24"/>
          <w:szCs w:val="24"/>
        </w:rPr>
        <w:t>defendant’s</w:t>
      </w:r>
      <w:r w:rsidR="00D93096" w:rsidRPr="00245E7E">
        <w:rPr>
          <w:rFonts w:ascii="Arial" w:hAnsi="Arial" w:cs="Arial"/>
          <w:sz w:val="24"/>
          <w:szCs w:val="24"/>
        </w:rPr>
        <w:t xml:space="preserve"> account”) on </w:t>
      </w:r>
      <w:r w:rsidR="00D93096" w:rsidRPr="00245E7E">
        <w:rPr>
          <w:rFonts w:ascii="Arial" w:hAnsi="Arial" w:cs="Arial"/>
          <w:sz w:val="24"/>
          <w:szCs w:val="24"/>
        </w:rPr>
        <w:lastRenderedPageBreak/>
        <w:t>the invoice dated 26 March 2021 (“the invoice”) and in respect of meter number: 04185967835 (“the meter”);</w:t>
      </w:r>
    </w:p>
    <w:p w14:paraId="78D93241" w14:textId="5F622AF1" w:rsidR="00D93096" w:rsidRPr="00245E7E" w:rsidRDefault="00245E7E" w:rsidP="00245E7E">
      <w:pPr>
        <w:spacing w:line="480" w:lineRule="auto"/>
        <w:ind w:left="2160" w:hanging="720"/>
        <w:jc w:val="both"/>
        <w:rPr>
          <w:rFonts w:ascii="Arial" w:hAnsi="Arial" w:cs="Arial"/>
          <w:sz w:val="24"/>
          <w:szCs w:val="24"/>
        </w:rPr>
      </w:pPr>
      <w:r w:rsidRPr="0045589F">
        <w:rPr>
          <w:rFonts w:ascii="Arial" w:hAnsi="Arial" w:cs="Arial"/>
          <w:sz w:val="24"/>
          <w:szCs w:val="24"/>
        </w:rPr>
        <w:t>(ii)</w:t>
      </w:r>
      <w:r w:rsidRPr="0045589F">
        <w:rPr>
          <w:rFonts w:ascii="Arial" w:hAnsi="Arial" w:cs="Arial"/>
          <w:sz w:val="24"/>
          <w:szCs w:val="24"/>
        </w:rPr>
        <w:tab/>
      </w:r>
      <w:r w:rsidR="00E22CF0" w:rsidRPr="00245E7E">
        <w:rPr>
          <w:rFonts w:ascii="Arial" w:hAnsi="Arial" w:cs="Arial"/>
          <w:sz w:val="24"/>
          <w:szCs w:val="24"/>
        </w:rPr>
        <w:t>The plaintiff is directed to present an invoice to the defendant for electricity consumed in respect of the meter, for the period as from 28 October 2019 until 29 October 2021;</w:t>
      </w:r>
    </w:p>
    <w:p w14:paraId="48444AE2" w14:textId="77777777" w:rsidR="004911EA" w:rsidRPr="0045589F" w:rsidRDefault="004911EA" w:rsidP="00E1200D">
      <w:pPr>
        <w:pStyle w:val="ListParagraph"/>
        <w:spacing w:after="0" w:line="240" w:lineRule="auto"/>
        <w:ind w:left="2160"/>
        <w:jc w:val="both"/>
        <w:rPr>
          <w:rFonts w:ascii="Arial" w:hAnsi="Arial" w:cs="Arial"/>
          <w:sz w:val="24"/>
          <w:szCs w:val="24"/>
        </w:rPr>
      </w:pPr>
    </w:p>
    <w:p w14:paraId="021EAB1C" w14:textId="507526F3" w:rsidR="00D93096" w:rsidRPr="00245E7E" w:rsidRDefault="00245E7E" w:rsidP="00245E7E">
      <w:pPr>
        <w:spacing w:line="480" w:lineRule="auto"/>
        <w:ind w:left="2160" w:hanging="720"/>
        <w:jc w:val="both"/>
        <w:rPr>
          <w:rFonts w:ascii="Arial" w:hAnsi="Arial" w:cs="Arial"/>
          <w:sz w:val="24"/>
          <w:szCs w:val="24"/>
        </w:rPr>
      </w:pPr>
      <w:r w:rsidRPr="0045589F">
        <w:rPr>
          <w:rFonts w:ascii="Arial" w:hAnsi="Arial" w:cs="Arial"/>
          <w:sz w:val="24"/>
          <w:szCs w:val="24"/>
        </w:rPr>
        <w:t>(iii)</w:t>
      </w:r>
      <w:r w:rsidRPr="0045589F">
        <w:rPr>
          <w:rFonts w:ascii="Arial" w:hAnsi="Arial" w:cs="Arial"/>
          <w:sz w:val="24"/>
          <w:szCs w:val="24"/>
        </w:rPr>
        <w:tab/>
      </w:r>
      <w:r w:rsidR="00E22CF0" w:rsidRPr="00245E7E">
        <w:rPr>
          <w:rFonts w:ascii="Arial" w:hAnsi="Arial" w:cs="Arial"/>
          <w:sz w:val="24"/>
          <w:szCs w:val="24"/>
        </w:rPr>
        <w:t xml:space="preserve">The defendant is held liable for the amount due and payable in the </w:t>
      </w:r>
      <w:r w:rsidR="004911EA" w:rsidRPr="00245E7E">
        <w:rPr>
          <w:rFonts w:ascii="Arial" w:hAnsi="Arial" w:cs="Arial"/>
          <w:sz w:val="24"/>
          <w:szCs w:val="24"/>
        </w:rPr>
        <w:t xml:space="preserve">invoice </w:t>
      </w:r>
      <w:r w:rsidR="00E22CF0" w:rsidRPr="00245E7E">
        <w:rPr>
          <w:rFonts w:ascii="Arial" w:hAnsi="Arial" w:cs="Arial"/>
          <w:sz w:val="24"/>
          <w:szCs w:val="24"/>
        </w:rPr>
        <w:t>in (ii) above, payable within 21 days from date of presentation of the invoice.</w:t>
      </w:r>
    </w:p>
    <w:p w14:paraId="306CC81A" w14:textId="77777777" w:rsidR="004911EA" w:rsidRPr="0045589F" w:rsidRDefault="004911EA" w:rsidP="00E1200D">
      <w:pPr>
        <w:spacing w:after="0" w:line="240" w:lineRule="auto"/>
        <w:jc w:val="both"/>
        <w:rPr>
          <w:rFonts w:ascii="Arial" w:hAnsi="Arial" w:cs="Arial"/>
          <w:sz w:val="24"/>
          <w:szCs w:val="24"/>
        </w:rPr>
      </w:pPr>
    </w:p>
    <w:p w14:paraId="4D9DDA52" w14:textId="6AD6B70E" w:rsidR="004911EA" w:rsidRPr="00245E7E" w:rsidRDefault="00245E7E" w:rsidP="00245E7E">
      <w:pPr>
        <w:spacing w:line="480" w:lineRule="auto"/>
        <w:ind w:left="2160" w:hanging="720"/>
        <w:jc w:val="both"/>
        <w:rPr>
          <w:rFonts w:ascii="Arial" w:hAnsi="Arial" w:cs="Arial"/>
          <w:sz w:val="24"/>
          <w:szCs w:val="24"/>
        </w:rPr>
      </w:pPr>
      <w:r w:rsidRPr="0045589F">
        <w:rPr>
          <w:rFonts w:ascii="Arial" w:hAnsi="Arial" w:cs="Arial"/>
          <w:sz w:val="24"/>
          <w:szCs w:val="24"/>
        </w:rPr>
        <w:t>(iv)</w:t>
      </w:r>
      <w:r w:rsidRPr="0045589F">
        <w:rPr>
          <w:rFonts w:ascii="Arial" w:hAnsi="Arial" w:cs="Arial"/>
          <w:sz w:val="24"/>
          <w:szCs w:val="24"/>
        </w:rPr>
        <w:tab/>
      </w:r>
      <w:r w:rsidR="00E22CF0" w:rsidRPr="00245E7E">
        <w:rPr>
          <w:rFonts w:ascii="Arial" w:hAnsi="Arial" w:cs="Arial"/>
          <w:sz w:val="24"/>
          <w:szCs w:val="24"/>
        </w:rPr>
        <w:t>The plaintiff is ordered to p</w:t>
      </w:r>
      <w:r w:rsidR="004911EA" w:rsidRPr="00245E7E">
        <w:rPr>
          <w:rFonts w:ascii="Arial" w:hAnsi="Arial" w:cs="Arial"/>
          <w:sz w:val="24"/>
          <w:szCs w:val="24"/>
        </w:rPr>
        <w:t>ay</w:t>
      </w:r>
      <w:r w:rsidR="0045589F" w:rsidRPr="00245E7E">
        <w:rPr>
          <w:rFonts w:ascii="Arial" w:hAnsi="Arial" w:cs="Arial"/>
          <w:sz w:val="24"/>
          <w:szCs w:val="24"/>
        </w:rPr>
        <w:t xml:space="preserve"> the defendant’s costs of suit.”</w:t>
      </w:r>
    </w:p>
    <w:p w14:paraId="039257EF" w14:textId="77777777" w:rsidR="008E719A" w:rsidRDefault="008E719A" w:rsidP="00E1200D">
      <w:pPr>
        <w:spacing w:after="0" w:line="240" w:lineRule="auto"/>
        <w:jc w:val="both"/>
        <w:rPr>
          <w:rFonts w:ascii="Arial" w:hAnsi="Arial" w:cs="Arial"/>
          <w:sz w:val="24"/>
          <w:szCs w:val="24"/>
        </w:rPr>
      </w:pPr>
    </w:p>
    <w:p w14:paraId="2044267F" w14:textId="0E5B1783" w:rsidR="008E719A" w:rsidRPr="00245E7E" w:rsidRDefault="00245E7E" w:rsidP="00245E7E">
      <w:pPr>
        <w:spacing w:line="480" w:lineRule="auto"/>
        <w:ind w:left="1440" w:hanging="720"/>
        <w:jc w:val="both"/>
        <w:rPr>
          <w:rFonts w:ascii="Arial" w:hAnsi="Arial" w:cs="Arial"/>
          <w:b/>
          <w:i/>
          <w:sz w:val="24"/>
          <w:szCs w:val="24"/>
        </w:rPr>
      </w:pPr>
      <w:r w:rsidRPr="0045589F">
        <w:rPr>
          <w:rFonts w:ascii="Arial" w:hAnsi="Arial" w:cs="Arial"/>
          <w:b/>
          <w:i/>
          <w:sz w:val="24"/>
          <w:szCs w:val="24"/>
        </w:rPr>
        <w:t>(c)</w:t>
      </w:r>
      <w:r w:rsidRPr="0045589F">
        <w:rPr>
          <w:rFonts w:ascii="Arial" w:hAnsi="Arial" w:cs="Arial"/>
          <w:b/>
          <w:i/>
          <w:sz w:val="24"/>
          <w:szCs w:val="24"/>
        </w:rPr>
        <w:tab/>
      </w:r>
      <w:r w:rsidR="00CF5C59" w:rsidRPr="00245E7E">
        <w:rPr>
          <w:rFonts w:ascii="Arial" w:hAnsi="Arial" w:cs="Arial"/>
          <w:b/>
          <w:i/>
          <w:sz w:val="24"/>
          <w:szCs w:val="24"/>
        </w:rPr>
        <w:t xml:space="preserve">The Chief Registrar </w:t>
      </w:r>
      <w:r w:rsidR="00E22CF0" w:rsidRPr="00245E7E">
        <w:rPr>
          <w:rFonts w:ascii="Arial" w:hAnsi="Arial" w:cs="Arial"/>
          <w:b/>
          <w:i/>
          <w:sz w:val="24"/>
          <w:szCs w:val="24"/>
        </w:rPr>
        <w:t xml:space="preserve">of this Court </w:t>
      </w:r>
      <w:r w:rsidR="00CF5C59" w:rsidRPr="00245E7E">
        <w:rPr>
          <w:rFonts w:ascii="Arial" w:hAnsi="Arial" w:cs="Arial"/>
          <w:b/>
          <w:i/>
          <w:sz w:val="24"/>
          <w:szCs w:val="24"/>
        </w:rPr>
        <w:t>is herewith d</w:t>
      </w:r>
      <w:r w:rsidR="00E22CF0" w:rsidRPr="00245E7E">
        <w:rPr>
          <w:rFonts w:ascii="Arial" w:hAnsi="Arial" w:cs="Arial"/>
          <w:b/>
          <w:i/>
          <w:sz w:val="24"/>
          <w:szCs w:val="24"/>
        </w:rPr>
        <w:t xml:space="preserve">irected to serve a copy of this </w:t>
      </w:r>
      <w:r w:rsidR="00A810B3" w:rsidRPr="00245E7E">
        <w:rPr>
          <w:rFonts w:ascii="Arial" w:hAnsi="Arial" w:cs="Arial"/>
          <w:b/>
          <w:i/>
          <w:sz w:val="24"/>
          <w:szCs w:val="24"/>
        </w:rPr>
        <w:t xml:space="preserve">judgment on </w:t>
      </w:r>
      <w:r w:rsidR="00CF5C59" w:rsidRPr="00245E7E">
        <w:rPr>
          <w:rFonts w:ascii="Arial" w:hAnsi="Arial" w:cs="Arial"/>
          <w:b/>
          <w:i/>
          <w:sz w:val="24"/>
          <w:szCs w:val="24"/>
        </w:rPr>
        <w:t>the Dra</w:t>
      </w:r>
      <w:r w:rsidR="0045589F" w:rsidRPr="00245E7E">
        <w:rPr>
          <w:rFonts w:ascii="Arial" w:hAnsi="Arial" w:cs="Arial"/>
          <w:b/>
          <w:i/>
          <w:sz w:val="24"/>
          <w:szCs w:val="24"/>
        </w:rPr>
        <w:t xml:space="preserve">kenstein Municipality </w:t>
      </w:r>
      <w:r w:rsidR="00CF5C59" w:rsidRPr="00245E7E">
        <w:rPr>
          <w:rFonts w:ascii="Arial" w:hAnsi="Arial" w:cs="Arial"/>
          <w:b/>
          <w:i/>
          <w:sz w:val="24"/>
          <w:szCs w:val="24"/>
        </w:rPr>
        <w:t>Manager</w:t>
      </w:r>
      <w:r w:rsidR="0045589F" w:rsidRPr="00245E7E">
        <w:rPr>
          <w:rFonts w:ascii="Arial" w:hAnsi="Arial" w:cs="Arial"/>
          <w:b/>
          <w:i/>
          <w:sz w:val="24"/>
          <w:szCs w:val="24"/>
        </w:rPr>
        <w:t xml:space="preserve"> within 7 days hereof</w:t>
      </w:r>
      <w:r w:rsidR="00CF5C59" w:rsidRPr="00245E7E">
        <w:rPr>
          <w:rFonts w:ascii="Arial" w:hAnsi="Arial" w:cs="Arial"/>
          <w:b/>
          <w:i/>
          <w:sz w:val="24"/>
          <w:szCs w:val="24"/>
        </w:rPr>
        <w:t>.</w:t>
      </w:r>
      <w:r w:rsidR="0045589F" w:rsidRPr="00245E7E">
        <w:rPr>
          <w:rFonts w:ascii="Arial" w:hAnsi="Arial" w:cs="Arial"/>
          <w:b/>
          <w:i/>
          <w:sz w:val="24"/>
          <w:szCs w:val="24"/>
        </w:rPr>
        <w:t>”</w:t>
      </w:r>
    </w:p>
    <w:p w14:paraId="20E9A77B" w14:textId="03F9A61F" w:rsidR="00CF5C59" w:rsidRDefault="00B03C91" w:rsidP="00130F39">
      <w:pPr>
        <w:spacing w:line="480" w:lineRule="auto"/>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p>
    <w:p w14:paraId="1B66AC0F" w14:textId="77777777" w:rsidR="00E22CF0" w:rsidRDefault="00E22CF0" w:rsidP="00E1200D">
      <w:pPr>
        <w:spacing w:after="0" w:line="276" w:lineRule="auto"/>
        <w:rPr>
          <w:rFonts w:ascii="Arial" w:hAnsi="Arial" w:cs="Arial"/>
          <w:iCs/>
          <w:sz w:val="24"/>
          <w:szCs w:val="24"/>
        </w:rPr>
      </w:pPr>
    </w:p>
    <w:p w14:paraId="5FC1E0F3" w14:textId="505D288E" w:rsidR="00B03C91" w:rsidRDefault="00B03C91" w:rsidP="00CF5C59">
      <w:pPr>
        <w:spacing w:line="480" w:lineRule="auto"/>
        <w:ind w:left="4320" w:firstLine="720"/>
        <w:rPr>
          <w:rFonts w:ascii="Arial" w:hAnsi="Arial" w:cs="Arial"/>
          <w:iCs/>
          <w:sz w:val="24"/>
          <w:szCs w:val="24"/>
        </w:rPr>
      </w:pPr>
      <w:r>
        <w:rPr>
          <w:rFonts w:ascii="Arial" w:hAnsi="Arial" w:cs="Arial"/>
          <w:iCs/>
          <w:sz w:val="24"/>
          <w:szCs w:val="24"/>
        </w:rPr>
        <w:t>________________________________</w:t>
      </w:r>
    </w:p>
    <w:p w14:paraId="73956FDA" w14:textId="59173074" w:rsidR="00B03C91" w:rsidRDefault="00B03C91" w:rsidP="00B03C91">
      <w:pPr>
        <w:spacing w:line="276" w:lineRule="auto"/>
        <w:rPr>
          <w:rFonts w:ascii="Arial" w:hAnsi="Arial" w:cs="Arial"/>
          <w:b/>
          <w:bCs/>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b/>
          <w:bCs/>
          <w:iCs/>
          <w:sz w:val="24"/>
          <w:szCs w:val="24"/>
        </w:rPr>
        <w:t>SALIE, J</w:t>
      </w:r>
    </w:p>
    <w:p w14:paraId="55BF54E5" w14:textId="29DD5AC4" w:rsidR="00B03C91" w:rsidRDefault="00B03C91" w:rsidP="00B03C91">
      <w:pPr>
        <w:spacing w:line="276" w:lineRule="auto"/>
        <w:rPr>
          <w:rFonts w:ascii="Arial" w:hAnsi="Arial" w:cs="Arial"/>
          <w:b/>
          <w:bCs/>
          <w:iCs/>
          <w:sz w:val="24"/>
          <w:szCs w:val="24"/>
        </w:rPr>
      </w:pP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t>JUDGE OF THE HIGH COURT</w:t>
      </w:r>
    </w:p>
    <w:p w14:paraId="2941EE69" w14:textId="75515078" w:rsidR="00B03C91" w:rsidRDefault="00B03C91" w:rsidP="00B03C91">
      <w:pPr>
        <w:spacing w:line="276" w:lineRule="auto"/>
        <w:rPr>
          <w:rFonts w:ascii="Arial" w:hAnsi="Arial" w:cs="Arial"/>
          <w:b/>
          <w:bCs/>
          <w:iCs/>
          <w:sz w:val="24"/>
          <w:szCs w:val="24"/>
        </w:rPr>
      </w:pP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t>WESTERN CAPE</w:t>
      </w:r>
    </w:p>
    <w:p w14:paraId="61DBB6C5" w14:textId="77777777" w:rsidR="00B03C91" w:rsidRDefault="00B03C91" w:rsidP="00E1200D">
      <w:pPr>
        <w:spacing w:after="0" w:line="240" w:lineRule="auto"/>
        <w:rPr>
          <w:rFonts w:ascii="Arial" w:hAnsi="Arial" w:cs="Arial"/>
          <w:b/>
          <w:bCs/>
          <w:iCs/>
          <w:sz w:val="24"/>
          <w:szCs w:val="24"/>
        </w:rPr>
      </w:pPr>
    </w:p>
    <w:p w14:paraId="3C7BB302" w14:textId="782103BE" w:rsidR="00B03C91" w:rsidRDefault="005039E2" w:rsidP="00130F39">
      <w:pPr>
        <w:spacing w:line="480" w:lineRule="auto"/>
        <w:rPr>
          <w:rFonts w:ascii="Arial" w:hAnsi="Arial" w:cs="Arial"/>
          <w:iCs/>
          <w:sz w:val="24"/>
          <w:szCs w:val="24"/>
        </w:rPr>
      </w:pPr>
      <w:r>
        <w:rPr>
          <w:rFonts w:ascii="Arial" w:hAnsi="Arial" w:cs="Arial"/>
          <w:iCs/>
          <w:sz w:val="24"/>
          <w:szCs w:val="24"/>
        </w:rPr>
        <w:t>I agree</w:t>
      </w:r>
      <w:r w:rsidR="00CF5C59">
        <w:rPr>
          <w:rFonts w:ascii="Arial" w:hAnsi="Arial" w:cs="Arial"/>
          <w:iCs/>
          <w:sz w:val="24"/>
          <w:szCs w:val="24"/>
        </w:rPr>
        <w:t>:</w:t>
      </w:r>
    </w:p>
    <w:p w14:paraId="47B9147F" w14:textId="21D000CE" w:rsidR="00B03C91" w:rsidRDefault="00B03C91" w:rsidP="00130F39">
      <w:pPr>
        <w:spacing w:line="480" w:lineRule="auto"/>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________________________________</w:t>
      </w:r>
    </w:p>
    <w:p w14:paraId="0E36753F" w14:textId="53213E41" w:rsidR="00B03C91" w:rsidRPr="00B03C91" w:rsidRDefault="00B03C91" w:rsidP="00B03C91">
      <w:pPr>
        <w:spacing w:line="276" w:lineRule="auto"/>
        <w:rPr>
          <w:rFonts w:ascii="Arial" w:hAnsi="Arial" w:cs="Arial"/>
          <w:b/>
          <w:bCs/>
          <w:iCs/>
          <w:sz w:val="24"/>
          <w:szCs w:val="24"/>
        </w:rPr>
      </w:pPr>
      <w:r>
        <w:rPr>
          <w:rFonts w:ascii="Arial" w:hAnsi="Arial" w:cs="Arial"/>
          <w:iCs/>
          <w:sz w:val="24"/>
          <w:szCs w:val="24"/>
        </w:rPr>
        <w:lastRenderedPageBreak/>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B03C91">
        <w:rPr>
          <w:rFonts w:ascii="Arial" w:hAnsi="Arial" w:cs="Arial"/>
          <w:b/>
          <w:bCs/>
          <w:iCs/>
          <w:sz w:val="24"/>
          <w:szCs w:val="24"/>
        </w:rPr>
        <w:t>KUSEVITSKY, J</w:t>
      </w:r>
    </w:p>
    <w:p w14:paraId="5F299679" w14:textId="7D2F8262" w:rsidR="00B03C91" w:rsidRPr="00B03C91" w:rsidRDefault="00B03C91" w:rsidP="00B03C91">
      <w:pPr>
        <w:spacing w:line="276" w:lineRule="auto"/>
        <w:rPr>
          <w:rFonts w:ascii="Arial" w:hAnsi="Arial" w:cs="Arial"/>
          <w:b/>
          <w:bCs/>
          <w:iCs/>
          <w:sz w:val="24"/>
          <w:szCs w:val="24"/>
        </w:rPr>
      </w:pPr>
      <w:r w:rsidRPr="00B03C91">
        <w:rPr>
          <w:rFonts w:ascii="Arial" w:hAnsi="Arial" w:cs="Arial"/>
          <w:b/>
          <w:bCs/>
          <w:iCs/>
          <w:sz w:val="24"/>
          <w:szCs w:val="24"/>
        </w:rPr>
        <w:tab/>
      </w:r>
      <w:r w:rsidRPr="00B03C91">
        <w:rPr>
          <w:rFonts w:ascii="Arial" w:hAnsi="Arial" w:cs="Arial"/>
          <w:b/>
          <w:bCs/>
          <w:iCs/>
          <w:sz w:val="24"/>
          <w:szCs w:val="24"/>
        </w:rPr>
        <w:tab/>
      </w:r>
      <w:r w:rsidRPr="00B03C91">
        <w:rPr>
          <w:rFonts w:ascii="Arial" w:hAnsi="Arial" w:cs="Arial"/>
          <w:b/>
          <w:bCs/>
          <w:iCs/>
          <w:sz w:val="24"/>
          <w:szCs w:val="24"/>
        </w:rPr>
        <w:tab/>
      </w:r>
      <w:r w:rsidRPr="00B03C91">
        <w:rPr>
          <w:rFonts w:ascii="Arial" w:hAnsi="Arial" w:cs="Arial"/>
          <w:b/>
          <w:bCs/>
          <w:iCs/>
          <w:sz w:val="24"/>
          <w:szCs w:val="24"/>
        </w:rPr>
        <w:tab/>
      </w:r>
      <w:r w:rsidRPr="00B03C91">
        <w:rPr>
          <w:rFonts w:ascii="Arial" w:hAnsi="Arial" w:cs="Arial"/>
          <w:b/>
          <w:bCs/>
          <w:iCs/>
          <w:sz w:val="24"/>
          <w:szCs w:val="24"/>
        </w:rPr>
        <w:tab/>
      </w:r>
      <w:r w:rsidRPr="00B03C91">
        <w:rPr>
          <w:rFonts w:ascii="Arial" w:hAnsi="Arial" w:cs="Arial"/>
          <w:b/>
          <w:bCs/>
          <w:iCs/>
          <w:sz w:val="24"/>
          <w:szCs w:val="24"/>
        </w:rPr>
        <w:tab/>
      </w:r>
      <w:r w:rsidRPr="00B03C91">
        <w:rPr>
          <w:rFonts w:ascii="Arial" w:hAnsi="Arial" w:cs="Arial"/>
          <w:b/>
          <w:bCs/>
          <w:iCs/>
          <w:sz w:val="24"/>
          <w:szCs w:val="24"/>
        </w:rPr>
        <w:tab/>
        <w:t>JUDGE OF THE HIGH COURT</w:t>
      </w:r>
    </w:p>
    <w:p w14:paraId="24FD7ADB" w14:textId="2F190C01" w:rsidR="00862195" w:rsidRDefault="00B03C91" w:rsidP="00B03C91">
      <w:pPr>
        <w:spacing w:line="276" w:lineRule="auto"/>
        <w:rPr>
          <w:rFonts w:ascii="Arial" w:hAnsi="Arial" w:cs="Arial"/>
          <w:b/>
          <w:bCs/>
          <w:iCs/>
          <w:sz w:val="24"/>
          <w:szCs w:val="24"/>
        </w:rPr>
      </w:pPr>
      <w:r w:rsidRPr="00B03C91">
        <w:rPr>
          <w:rFonts w:ascii="Arial" w:hAnsi="Arial" w:cs="Arial"/>
          <w:b/>
          <w:bCs/>
          <w:iCs/>
          <w:sz w:val="24"/>
          <w:szCs w:val="24"/>
        </w:rPr>
        <w:tab/>
      </w:r>
      <w:r w:rsidRPr="00B03C91">
        <w:rPr>
          <w:rFonts w:ascii="Arial" w:hAnsi="Arial" w:cs="Arial"/>
          <w:b/>
          <w:bCs/>
          <w:iCs/>
          <w:sz w:val="24"/>
          <w:szCs w:val="24"/>
        </w:rPr>
        <w:tab/>
      </w:r>
      <w:r w:rsidRPr="00B03C91">
        <w:rPr>
          <w:rFonts w:ascii="Arial" w:hAnsi="Arial" w:cs="Arial"/>
          <w:b/>
          <w:bCs/>
          <w:iCs/>
          <w:sz w:val="24"/>
          <w:szCs w:val="24"/>
        </w:rPr>
        <w:tab/>
      </w:r>
      <w:r w:rsidRPr="00B03C91">
        <w:rPr>
          <w:rFonts w:ascii="Arial" w:hAnsi="Arial" w:cs="Arial"/>
          <w:b/>
          <w:bCs/>
          <w:iCs/>
          <w:sz w:val="24"/>
          <w:szCs w:val="24"/>
        </w:rPr>
        <w:tab/>
      </w:r>
      <w:r w:rsidRPr="00B03C91">
        <w:rPr>
          <w:rFonts w:ascii="Arial" w:hAnsi="Arial" w:cs="Arial"/>
          <w:b/>
          <w:bCs/>
          <w:iCs/>
          <w:sz w:val="24"/>
          <w:szCs w:val="24"/>
        </w:rPr>
        <w:tab/>
      </w:r>
      <w:r w:rsidRPr="00B03C91">
        <w:rPr>
          <w:rFonts w:ascii="Arial" w:hAnsi="Arial" w:cs="Arial"/>
          <w:b/>
          <w:bCs/>
          <w:iCs/>
          <w:sz w:val="24"/>
          <w:szCs w:val="24"/>
        </w:rPr>
        <w:tab/>
      </w:r>
      <w:r w:rsidRPr="00B03C91">
        <w:rPr>
          <w:rFonts w:ascii="Arial" w:hAnsi="Arial" w:cs="Arial"/>
          <w:b/>
          <w:bCs/>
          <w:iCs/>
          <w:sz w:val="24"/>
          <w:szCs w:val="24"/>
        </w:rPr>
        <w:tab/>
        <w:t>WESTERN CAPE</w:t>
      </w:r>
    </w:p>
    <w:sectPr w:rsidR="0086219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FAE70" w14:textId="77777777" w:rsidR="000D51ED" w:rsidRDefault="000D51ED" w:rsidP="00130F39">
      <w:pPr>
        <w:spacing w:after="0" w:line="240" w:lineRule="auto"/>
      </w:pPr>
      <w:r>
        <w:separator/>
      </w:r>
    </w:p>
  </w:endnote>
  <w:endnote w:type="continuationSeparator" w:id="0">
    <w:p w14:paraId="4C178E07" w14:textId="77777777" w:rsidR="000D51ED" w:rsidRDefault="000D51ED" w:rsidP="0013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7D9F0" w14:textId="77777777" w:rsidR="000D51ED" w:rsidRDefault="000D51ED" w:rsidP="00130F39">
      <w:pPr>
        <w:spacing w:after="0" w:line="240" w:lineRule="auto"/>
      </w:pPr>
      <w:r>
        <w:separator/>
      </w:r>
    </w:p>
  </w:footnote>
  <w:footnote w:type="continuationSeparator" w:id="0">
    <w:p w14:paraId="5A96ECEF" w14:textId="77777777" w:rsidR="000D51ED" w:rsidRDefault="000D51ED" w:rsidP="00130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840930224"/>
      <w:docPartObj>
        <w:docPartGallery w:val="Page Numbers (Top of Page)"/>
        <w:docPartUnique/>
      </w:docPartObj>
    </w:sdtPr>
    <w:sdtEndPr>
      <w:rPr>
        <w:b/>
        <w:bCs/>
        <w:noProof/>
        <w:color w:val="auto"/>
        <w:spacing w:val="0"/>
      </w:rPr>
    </w:sdtEndPr>
    <w:sdtContent>
      <w:p w14:paraId="252E9808" w14:textId="35B342FD" w:rsidR="008E719A" w:rsidRDefault="008E719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45E7E" w:rsidRPr="00245E7E">
          <w:rPr>
            <w:b/>
            <w:bCs/>
            <w:noProof/>
          </w:rPr>
          <w:t>21</w:t>
        </w:r>
        <w:r>
          <w:rPr>
            <w:b/>
            <w:bCs/>
            <w:noProof/>
          </w:rPr>
          <w:fldChar w:fldCharType="end"/>
        </w:r>
      </w:p>
    </w:sdtContent>
  </w:sdt>
  <w:p w14:paraId="078B2880" w14:textId="77777777" w:rsidR="008E719A" w:rsidRDefault="008E71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5AA2"/>
    <w:multiLevelType w:val="hybridMultilevel"/>
    <w:tmpl w:val="C99CDFAE"/>
    <w:lvl w:ilvl="0" w:tplc="227C722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0358D1"/>
    <w:multiLevelType w:val="hybridMultilevel"/>
    <w:tmpl w:val="FBAEF844"/>
    <w:lvl w:ilvl="0" w:tplc="C9EE4E3E">
      <w:start w:val="1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09060C"/>
    <w:multiLevelType w:val="hybridMultilevel"/>
    <w:tmpl w:val="1B027338"/>
    <w:lvl w:ilvl="0" w:tplc="499A0A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577860"/>
    <w:multiLevelType w:val="hybridMultilevel"/>
    <w:tmpl w:val="60DC6852"/>
    <w:lvl w:ilvl="0" w:tplc="5AA25294">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997490"/>
    <w:multiLevelType w:val="hybridMultilevel"/>
    <w:tmpl w:val="A050C860"/>
    <w:lvl w:ilvl="0" w:tplc="30F0E6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5"/>
    <w:rsid w:val="00041F1F"/>
    <w:rsid w:val="00075D7A"/>
    <w:rsid w:val="000D00A4"/>
    <w:rsid w:val="000D51ED"/>
    <w:rsid w:val="000E103D"/>
    <w:rsid w:val="00104234"/>
    <w:rsid w:val="00130F39"/>
    <w:rsid w:val="00145167"/>
    <w:rsid w:val="00145AE0"/>
    <w:rsid w:val="00196D01"/>
    <w:rsid w:val="001C5BB0"/>
    <w:rsid w:val="00204431"/>
    <w:rsid w:val="00245E7E"/>
    <w:rsid w:val="00255800"/>
    <w:rsid w:val="0026327F"/>
    <w:rsid w:val="0027493F"/>
    <w:rsid w:val="00285350"/>
    <w:rsid w:val="002B2567"/>
    <w:rsid w:val="002D5397"/>
    <w:rsid w:val="002D6275"/>
    <w:rsid w:val="002E295E"/>
    <w:rsid w:val="0030289A"/>
    <w:rsid w:val="003104B6"/>
    <w:rsid w:val="0031081A"/>
    <w:rsid w:val="00337979"/>
    <w:rsid w:val="0035184E"/>
    <w:rsid w:val="00393FA0"/>
    <w:rsid w:val="003A5BC6"/>
    <w:rsid w:val="003B1E8B"/>
    <w:rsid w:val="003C2420"/>
    <w:rsid w:val="003D234B"/>
    <w:rsid w:val="003F6815"/>
    <w:rsid w:val="0041528D"/>
    <w:rsid w:val="004259F4"/>
    <w:rsid w:val="004514BE"/>
    <w:rsid w:val="0045589F"/>
    <w:rsid w:val="004843FC"/>
    <w:rsid w:val="004911EA"/>
    <w:rsid w:val="004B6C9F"/>
    <w:rsid w:val="005039E2"/>
    <w:rsid w:val="0056729D"/>
    <w:rsid w:val="00574EAC"/>
    <w:rsid w:val="005C58D8"/>
    <w:rsid w:val="006032B1"/>
    <w:rsid w:val="00675204"/>
    <w:rsid w:val="00684BFD"/>
    <w:rsid w:val="007C00B9"/>
    <w:rsid w:val="008125E9"/>
    <w:rsid w:val="0084233A"/>
    <w:rsid w:val="00845368"/>
    <w:rsid w:val="00862195"/>
    <w:rsid w:val="008654E4"/>
    <w:rsid w:val="00873087"/>
    <w:rsid w:val="008B3B4F"/>
    <w:rsid w:val="008B4C0E"/>
    <w:rsid w:val="008B6850"/>
    <w:rsid w:val="008C6D12"/>
    <w:rsid w:val="008D4B16"/>
    <w:rsid w:val="008E719A"/>
    <w:rsid w:val="00915BFD"/>
    <w:rsid w:val="009570CD"/>
    <w:rsid w:val="00977C23"/>
    <w:rsid w:val="00990F6B"/>
    <w:rsid w:val="009B4C22"/>
    <w:rsid w:val="009B5188"/>
    <w:rsid w:val="009D29E4"/>
    <w:rsid w:val="00A31AA4"/>
    <w:rsid w:val="00A810B3"/>
    <w:rsid w:val="00AB44B3"/>
    <w:rsid w:val="00AE7019"/>
    <w:rsid w:val="00B03C91"/>
    <w:rsid w:val="00B076CF"/>
    <w:rsid w:val="00B12272"/>
    <w:rsid w:val="00BA0E5F"/>
    <w:rsid w:val="00BB3B68"/>
    <w:rsid w:val="00BB5E6D"/>
    <w:rsid w:val="00BC00B4"/>
    <w:rsid w:val="00BC4C12"/>
    <w:rsid w:val="00BF3224"/>
    <w:rsid w:val="00C03A20"/>
    <w:rsid w:val="00C04DF8"/>
    <w:rsid w:val="00C11B0D"/>
    <w:rsid w:val="00C30064"/>
    <w:rsid w:val="00C51955"/>
    <w:rsid w:val="00C95DA2"/>
    <w:rsid w:val="00CC2452"/>
    <w:rsid w:val="00CD157A"/>
    <w:rsid w:val="00CF5C59"/>
    <w:rsid w:val="00D459B1"/>
    <w:rsid w:val="00D568F0"/>
    <w:rsid w:val="00D83A0D"/>
    <w:rsid w:val="00D93096"/>
    <w:rsid w:val="00D9469D"/>
    <w:rsid w:val="00DD2345"/>
    <w:rsid w:val="00DD6AC5"/>
    <w:rsid w:val="00E1200D"/>
    <w:rsid w:val="00E222FC"/>
    <w:rsid w:val="00E22CF0"/>
    <w:rsid w:val="00EC1839"/>
    <w:rsid w:val="00F310BA"/>
    <w:rsid w:val="00F80427"/>
    <w:rsid w:val="00F93BEE"/>
    <w:rsid w:val="00FA173D"/>
    <w:rsid w:val="00FA5251"/>
    <w:rsid w:val="00FC4592"/>
    <w:rsid w:val="00FD01AE"/>
    <w:rsid w:val="00FD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2905"/>
  <w15:chartTrackingRefBased/>
  <w15:docId w15:val="{9AB9D35E-E34A-4DA9-8DB4-F216C103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F39"/>
  </w:style>
  <w:style w:type="paragraph" w:styleId="Footer">
    <w:name w:val="footer"/>
    <w:basedOn w:val="Normal"/>
    <w:link w:val="FooterChar"/>
    <w:uiPriority w:val="99"/>
    <w:unhideWhenUsed/>
    <w:rsid w:val="00130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F39"/>
  </w:style>
  <w:style w:type="paragraph" w:styleId="BalloonText">
    <w:name w:val="Balloon Text"/>
    <w:basedOn w:val="Normal"/>
    <w:link w:val="BalloonTextChar"/>
    <w:uiPriority w:val="99"/>
    <w:semiHidden/>
    <w:unhideWhenUsed/>
    <w:rsid w:val="00204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31"/>
    <w:rPr>
      <w:rFonts w:ascii="Segoe UI" w:hAnsi="Segoe UI" w:cs="Segoe UI"/>
      <w:sz w:val="18"/>
      <w:szCs w:val="18"/>
    </w:rPr>
  </w:style>
  <w:style w:type="paragraph" w:styleId="ListParagraph">
    <w:name w:val="List Paragraph"/>
    <w:basedOn w:val="Normal"/>
    <w:uiPriority w:val="34"/>
    <w:qFormat/>
    <w:rsid w:val="00484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52994">
      <w:bodyDiv w:val="1"/>
      <w:marLeft w:val="0"/>
      <w:marRight w:val="0"/>
      <w:marTop w:val="0"/>
      <w:marBottom w:val="0"/>
      <w:divBdr>
        <w:top w:val="none" w:sz="0" w:space="0" w:color="auto"/>
        <w:left w:val="none" w:sz="0" w:space="0" w:color="auto"/>
        <w:bottom w:val="none" w:sz="0" w:space="0" w:color="auto"/>
        <w:right w:val="none" w:sz="0" w:space="0" w:color="auto"/>
      </w:divBdr>
    </w:div>
    <w:div w:id="18436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DBD2F-084B-44E3-8E57-A468191A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4251</Words>
  <Characters>24234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Gayaat  Salie</dc:creator>
  <cp:keywords/>
  <dc:description/>
  <cp:lastModifiedBy>Mary Bruce</cp:lastModifiedBy>
  <cp:revision>3</cp:revision>
  <cp:lastPrinted>2024-05-28T08:49:00Z</cp:lastPrinted>
  <dcterms:created xsi:type="dcterms:W3CDTF">2024-05-28T08:51:00Z</dcterms:created>
  <dcterms:modified xsi:type="dcterms:W3CDTF">2024-05-28T13:12:00Z</dcterms:modified>
</cp:coreProperties>
</file>