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57C6" w14:textId="77777777" w:rsidR="00A97482" w:rsidRPr="000A0ADE" w:rsidRDefault="00A97482" w:rsidP="0054355B">
      <w:pPr>
        <w:pStyle w:val="Title"/>
        <w:jc w:val="center"/>
        <w:rPr>
          <w:rFonts w:ascii="Arial" w:hAnsi="Arial" w:cs="Arial"/>
          <w:b/>
          <w:bCs/>
          <w:sz w:val="24"/>
          <w:szCs w:val="24"/>
          <w:lang w:val="en-GB"/>
        </w:rPr>
      </w:pPr>
      <w:bookmarkStart w:id="0" w:name="_GoBack"/>
      <w:bookmarkEnd w:id="0"/>
    </w:p>
    <w:p w14:paraId="3275AE97" w14:textId="77777777" w:rsidR="00A97482" w:rsidRPr="000A0ADE" w:rsidRDefault="00A97482" w:rsidP="0054355B">
      <w:pPr>
        <w:pStyle w:val="Title"/>
        <w:jc w:val="center"/>
        <w:rPr>
          <w:rFonts w:ascii="Arial" w:hAnsi="Arial" w:cs="Arial"/>
          <w:b/>
          <w:bCs/>
          <w:sz w:val="24"/>
          <w:szCs w:val="24"/>
          <w:lang w:val="en-GB"/>
        </w:rPr>
      </w:pPr>
    </w:p>
    <w:p w14:paraId="0CCEB0AB" w14:textId="77777777" w:rsidR="00A97482" w:rsidRPr="000A0ADE" w:rsidRDefault="00A97482" w:rsidP="0054355B">
      <w:pPr>
        <w:pStyle w:val="Title"/>
        <w:jc w:val="center"/>
        <w:rPr>
          <w:rFonts w:ascii="Arial" w:hAnsi="Arial" w:cs="Arial"/>
          <w:b/>
          <w:bCs/>
          <w:sz w:val="24"/>
          <w:szCs w:val="24"/>
          <w:lang w:val="en-GB"/>
        </w:rPr>
      </w:pPr>
    </w:p>
    <w:p w14:paraId="1E271B6E" w14:textId="77777777" w:rsidR="00A97482" w:rsidRPr="000A0ADE" w:rsidRDefault="00A97482" w:rsidP="0054355B">
      <w:pPr>
        <w:pStyle w:val="Title"/>
        <w:jc w:val="center"/>
        <w:rPr>
          <w:rFonts w:ascii="Arial" w:hAnsi="Arial" w:cs="Arial"/>
          <w:b/>
          <w:bCs/>
          <w:sz w:val="24"/>
          <w:szCs w:val="24"/>
          <w:lang w:val="en-GB"/>
        </w:rPr>
      </w:pPr>
    </w:p>
    <w:p w14:paraId="7BFE4D37" w14:textId="77777777" w:rsidR="00A97482" w:rsidRPr="000A0ADE" w:rsidRDefault="00A97482" w:rsidP="0054355B">
      <w:pPr>
        <w:pStyle w:val="Title"/>
        <w:jc w:val="center"/>
        <w:rPr>
          <w:rFonts w:ascii="Arial" w:hAnsi="Arial" w:cs="Arial"/>
          <w:b/>
          <w:bCs/>
          <w:sz w:val="24"/>
          <w:szCs w:val="24"/>
          <w:lang w:val="en-GB"/>
        </w:rPr>
      </w:pPr>
    </w:p>
    <w:p w14:paraId="260711E0" w14:textId="77777777" w:rsidR="00A97482" w:rsidRPr="000A0ADE" w:rsidRDefault="00A97482" w:rsidP="0054355B">
      <w:pPr>
        <w:pStyle w:val="Title"/>
        <w:jc w:val="center"/>
        <w:rPr>
          <w:rFonts w:ascii="Arial" w:hAnsi="Arial" w:cs="Arial"/>
          <w:b/>
          <w:bCs/>
          <w:sz w:val="24"/>
          <w:szCs w:val="24"/>
          <w:lang w:val="en-GB"/>
        </w:rPr>
      </w:pPr>
    </w:p>
    <w:p w14:paraId="1C7DDABD" w14:textId="77777777" w:rsidR="00A97482" w:rsidRPr="000A0ADE" w:rsidRDefault="00A97482" w:rsidP="0054355B">
      <w:pPr>
        <w:pStyle w:val="Title"/>
        <w:jc w:val="center"/>
        <w:rPr>
          <w:rFonts w:ascii="Arial" w:hAnsi="Arial" w:cs="Arial"/>
          <w:b/>
          <w:bCs/>
          <w:sz w:val="24"/>
          <w:szCs w:val="24"/>
          <w:lang w:val="en-GB"/>
        </w:rPr>
      </w:pPr>
    </w:p>
    <w:p w14:paraId="7649CFA6" w14:textId="78457A9D" w:rsidR="0054355B" w:rsidRPr="000A0ADE" w:rsidRDefault="0054355B" w:rsidP="0054355B">
      <w:pPr>
        <w:pStyle w:val="Title"/>
        <w:jc w:val="center"/>
        <w:rPr>
          <w:rFonts w:ascii="Arial" w:hAnsi="Arial" w:cs="Arial"/>
          <w:b/>
          <w:bCs/>
          <w:sz w:val="24"/>
          <w:szCs w:val="24"/>
          <w:lang w:val="en-GB"/>
        </w:rPr>
      </w:pPr>
      <w:r w:rsidRPr="000A0ADE">
        <w:rPr>
          <w:rFonts w:ascii="Arial" w:hAnsi="Arial" w:cs="Arial"/>
          <w:b/>
          <w:bCs/>
          <w:sz w:val="24"/>
          <w:szCs w:val="24"/>
          <w:lang w:val="en-GB"/>
        </w:rPr>
        <w:t>IN THE HIGH COURT OF SOUTH AFRICA</w:t>
      </w:r>
    </w:p>
    <w:p w14:paraId="08B005B9" w14:textId="77777777" w:rsidR="0054355B" w:rsidRPr="000A0ADE" w:rsidRDefault="0054355B" w:rsidP="0054355B">
      <w:pPr>
        <w:jc w:val="center"/>
        <w:rPr>
          <w:rFonts w:cs="Arial"/>
          <w:b/>
          <w:bCs/>
          <w:lang w:val="en-GB"/>
        </w:rPr>
      </w:pPr>
      <w:r w:rsidRPr="000A0ADE">
        <w:rPr>
          <w:rFonts w:cs="Arial"/>
          <w:b/>
          <w:bCs/>
          <w:lang w:val="en-GB"/>
        </w:rPr>
        <w:t>(WESTERN CAPE HIGH COURT, CAPE TOWN)</w:t>
      </w:r>
    </w:p>
    <w:p w14:paraId="0B775816" w14:textId="77777777" w:rsidR="00A97482" w:rsidRPr="000A0ADE" w:rsidRDefault="00A97482" w:rsidP="0054355B">
      <w:pPr>
        <w:jc w:val="center"/>
        <w:rPr>
          <w:rFonts w:cs="Arial"/>
          <w:b/>
          <w:bCs/>
          <w:lang w:val="en-GB"/>
        </w:rPr>
      </w:pPr>
    </w:p>
    <w:p w14:paraId="7BDF9BEE" w14:textId="77777777" w:rsidR="0054355B" w:rsidRPr="000A0ADE" w:rsidRDefault="0054355B" w:rsidP="0054355B">
      <w:pPr>
        <w:jc w:val="both"/>
        <w:rPr>
          <w:rFonts w:cs="Arial"/>
          <w:lang w:val="en-GB"/>
        </w:rPr>
      </w:pPr>
    </w:p>
    <w:p w14:paraId="4C6DF1B8" w14:textId="09D77FF2" w:rsidR="0054355B" w:rsidRPr="000A0ADE" w:rsidRDefault="0054355B" w:rsidP="0054355B">
      <w:pPr>
        <w:tabs>
          <w:tab w:val="left" w:pos="7830"/>
        </w:tabs>
        <w:ind w:left="5566" w:firstLine="914"/>
        <w:jc w:val="both"/>
        <w:rPr>
          <w:rFonts w:cs="Arial"/>
          <w:b/>
          <w:lang w:val="en-GB"/>
        </w:rPr>
      </w:pPr>
      <w:r w:rsidRPr="000A0ADE">
        <w:rPr>
          <w:rFonts w:cs="Arial"/>
          <w:bCs/>
          <w:lang w:val="en-GB"/>
        </w:rPr>
        <w:t>Case No:</w:t>
      </w:r>
      <w:r w:rsidRPr="000A0ADE">
        <w:rPr>
          <w:rFonts w:cs="Arial"/>
          <w:b/>
          <w:lang w:val="en-GB"/>
        </w:rPr>
        <w:tab/>
      </w:r>
      <w:r w:rsidR="002F365A" w:rsidRPr="000A0ADE">
        <w:rPr>
          <w:rFonts w:cs="Arial"/>
          <w:b/>
          <w:lang w:val="en-GB"/>
        </w:rPr>
        <w:t>662/2024</w:t>
      </w:r>
    </w:p>
    <w:p w14:paraId="30DF0E37" w14:textId="77777777" w:rsidR="0054355B" w:rsidRPr="000A0ADE" w:rsidRDefault="0054355B" w:rsidP="0054355B">
      <w:pPr>
        <w:jc w:val="both"/>
        <w:rPr>
          <w:rFonts w:cs="Arial"/>
          <w:lang w:val="en-GB"/>
        </w:rPr>
      </w:pPr>
    </w:p>
    <w:p w14:paraId="78311CCF" w14:textId="77777777" w:rsidR="0054355B" w:rsidRPr="000A0ADE" w:rsidRDefault="0054355B" w:rsidP="0054355B">
      <w:pPr>
        <w:jc w:val="both"/>
        <w:rPr>
          <w:rFonts w:cs="Arial"/>
          <w:lang w:val="en-GB"/>
        </w:rPr>
      </w:pPr>
      <w:r w:rsidRPr="000A0ADE">
        <w:rPr>
          <w:rFonts w:cs="Arial"/>
          <w:lang w:val="en-GB"/>
        </w:rPr>
        <w:t>In the matter between:</w:t>
      </w:r>
    </w:p>
    <w:p w14:paraId="0F2B2052" w14:textId="77777777" w:rsidR="0054355B" w:rsidRPr="000A0ADE" w:rsidRDefault="0054355B" w:rsidP="0054355B">
      <w:pPr>
        <w:jc w:val="both"/>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327FBF" w:rsidRPr="000A0ADE" w14:paraId="19B601C4" w14:textId="77777777" w:rsidTr="00752FE4">
        <w:tc>
          <w:tcPr>
            <w:tcW w:w="5807" w:type="dxa"/>
          </w:tcPr>
          <w:p w14:paraId="3DE7B188" w14:textId="55C81F92" w:rsidR="00327FBF" w:rsidRPr="000A0ADE" w:rsidRDefault="00327FBF" w:rsidP="00D6009F">
            <w:pPr>
              <w:spacing w:before="120" w:after="120" w:line="360" w:lineRule="auto"/>
              <w:jc w:val="both"/>
              <w:rPr>
                <w:rFonts w:cs="Arial"/>
                <w:b/>
                <w:lang w:val="en-GB"/>
              </w:rPr>
            </w:pPr>
            <w:r w:rsidRPr="000A0ADE">
              <w:rPr>
                <w:rFonts w:cs="Arial"/>
                <w:b/>
                <w:lang w:val="en-GB"/>
              </w:rPr>
              <w:t>ELIZABETH DIPUO PETERS</w:t>
            </w:r>
          </w:p>
        </w:tc>
        <w:tc>
          <w:tcPr>
            <w:tcW w:w="3209" w:type="dxa"/>
          </w:tcPr>
          <w:p w14:paraId="7C927596" w14:textId="2100E82F" w:rsidR="00327FBF" w:rsidRPr="000A0ADE" w:rsidRDefault="00327FBF" w:rsidP="00752FE4">
            <w:pPr>
              <w:tabs>
                <w:tab w:val="left" w:pos="6660"/>
              </w:tabs>
              <w:spacing w:before="120" w:after="120" w:line="360" w:lineRule="auto"/>
              <w:jc w:val="right"/>
              <w:rPr>
                <w:rFonts w:cs="Arial"/>
                <w:b/>
                <w:lang w:val="en-GB"/>
              </w:rPr>
            </w:pPr>
            <w:r w:rsidRPr="000A0ADE">
              <w:rPr>
                <w:rFonts w:cs="Arial"/>
                <w:b/>
                <w:lang w:val="en-GB"/>
              </w:rPr>
              <w:t>Applicant</w:t>
            </w:r>
          </w:p>
        </w:tc>
      </w:tr>
      <w:tr w:rsidR="00327FBF" w:rsidRPr="000A0ADE" w14:paraId="5A3996A6" w14:textId="77777777" w:rsidTr="00752FE4">
        <w:tc>
          <w:tcPr>
            <w:tcW w:w="5807" w:type="dxa"/>
          </w:tcPr>
          <w:p w14:paraId="36ECC387" w14:textId="77777777" w:rsidR="00327FBF" w:rsidRPr="000A0ADE" w:rsidRDefault="00327FBF" w:rsidP="00752FE4">
            <w:pPr>
              <w:tabs>
                <w:tab w:val="left" w:pos="6660"/>
                <w:tab w:val="left" w:pos="7655"/>
              </w:tabs>
              <w:spacing w:before="120" w:after="120"/>
              <w:jc w:val="both"/>
              <w:rPr>
                <w:rFonts w:cs="Arial"/>
                <w:b/>
                <w:lang w:val="en-GB"/>
              </w:rPr>
            </w:pPr>
          </w:p>
          <w:p w14:paraId="3415E6CA" w14:textId="77777777" w:rsidR="00327FBF" w:rsidRPr="000A0ADE" w:rsidRDefault="00327FBF" w:rsidP="00752FE4">
            <w:pPr>
              <w:tabs>
                <w:tab w:val="left" w:pos="6660"/>
                <w:tab w:val="left" w:pos="7371"/>
              </w:tabs>
              <w:spacing w:before="120" w:after="120"/>
              <w:jc w:val="both"/>
              <w:rPr>
                <w:rFonts w:cs="Arial"/>
                <w:b/>
                <w:lang w:val="en-GB"/>
              </w:rPr>
            </w:pPr>
            <w:r w:rsidRPr="000A0ADE">
              <w:rPr>
                <w:rFonts w:cs="Arial"/>
                <w:b/>
                <w:lang w:val="en-GB"/>
              </w:rPr>
              <w:t>versus</w:t>
            </w:r>
          </w:p>
          <w:p w14:paraId="766E82DC" w14:textId="77777777" w:rsidR="00327FBF" w:rsidRPr="000A0ADE" w:rsidRDefault="00327FBF" w:rsidP="00752FE4">
            <w:pPr>
              <w:spacing w:before="120" w:after="120"/>
              <w:jc w:val="both"/>
              <w:rPr>
                <w:rFonts w:cs="Arial"/>
                <w:b/>
                <w:lang w:val="en-GB"/>
              </w:rPr>
            </w:pPr>
          </w:p>
        </w:tc>
        <w:tc>
          <w:tcPr>
            <w:tcW w:w="3209" w:type="dxa"/>
          </w:tcPr>
          <w:p w14:paraId="089F16C7" w14:textId="77777777" w:rsidR="00327FBF" w:rsidRPr="000A0ADE" w:rsidRDefault="00327FBF" w:rsidP="00752FE4">
            <w:pPr>
              <w:spacing w:before="120" w:after="120"/>
              <w:jc w:val="right"/>
              <w:rPr>
                <w:rFonts w:cs="Arial"/>
                <w:b/>
                <w:lang w:val="en-GB"/>
              </w:rPr>
            </w:pPr>
          </w:p>
        </w:tc>
      </w:tr>
      <w:tr w:rsidR="00327FBF" w:rsidRPr="000A0ADE" w14:paraId="3B14EC1D" w14:textId="77777777" w:rsidTr="00752FE4">
        <w:tc>
          <w:tcPr>
            <w:tcW w:w="5807" w:type="dxa"/>
          </w:tcPr>
          <w:p w14:paraId="15BFC34F" w14:textId="047C15AA" w:rsidR="00327FBF" w:rsidRPr="000A0ADE" w:rsidRDefault="00327FBF" w:rsidP="00D6009F">
            <w:pPr>
              <w:tabs>
                <w:tab w:val="left" w:pos="6660"/>
                <w:tab w:val="left" w:pos="7655"/>
              </w:tabs>
              <w:spacing w:before="120" w:after="120" w:line="360" w:lineRule="auto"/>
              <w:jc w:val="both"/>
              <w:rPr>
                <w:rFonts w:cs="Arial"/>
                <w:b/>
                <w:lang w:val="en-GB"/>
              </w:rPr>
            </w:pPr>
            <w:r w:rsidRPr="000A0ADE">
              <w:rPr>
                <w:rFonts w:cs="Arial"/>
                <w:b/>
                <w:lang w:val="en-GB"/>
              </w:rPr>
              <w:t>THE SPEAKER OF THE NATIONAL ASSEMBLY</w:t>
            </w:r>
          </w:p>
        </w:tc>
        <w:tc>
          <w:tcPr>
            <w:tcW w:w="3209" w:type="dxa"/>
          </w:tcPr>
          <w:p w14:paraId="78B461B2" w14:textId="01D81F86" w:rsidR="00327FBF" w:rsidRPr="000A0ADE" w:rsidRDefault="00D6009F" w:rsidP="00D6009F">
            <w:pPr>
              <w:spacing w:before="120" w:after="120" w:line="360" w:lineRule="auto"/>
              <w:jc w:val="right"/>
              <w:rPr>
                <w:rFonts w:cs="Arial"/>
                <w:b/>
                <w:lang w:val="en-GB"/>
              </w:rPr>
            </w:pPr>
            <w:r w:rsidRPr="000A0ADE">
              <w:rPr>
                <w:rFonts w:cs="Arial"/>
                <w:b/>
                <w:lang w:val="en-GB"/>
              </w:rPr>
              <w:t>First Respondent</w:t>
            </w:r>
          </w:p>
        </w:tc>
      </w:tr>
      <w:tr w:rsidR="00327FBF" w:rsidRPr="000A0ADE" w14:paraId="40F82E17" w14:textId="77777777" w:rsidTr="00752FE4">
        <w:tc>
          <w:tcPr>
            <w:tcW w:w="5807" w:type="dxa"/>
          </w:tcPr>
          <w:p w14:paraId="4F7D0CE9" w14:textId="6C286A27" w:rsidR="00327FBF" w:rsidRPr="000A0ADE" w:rsidRDefault="00D6009F" w:rsidP="00D6009F">
            <w:pPr>
              <w:tabs>
                <w:tab w:val="left" w:pos="6660"/>
                <w:tab w:val="left" w:pos="7655"/>
              </w:tabs>
              <w:spacing w:before="120" w:after="120" w:line="360" w:lineRule="auto"/>
              <w:jc w:val="both"/>
              <w:rPr>
                <w:rFonts w:cs="Arial"/>
                <w:b/>
                <w:lang w:val="en-GB"/>
              </w:rPr>
            </w:pPr>
            <w:r w:rsidRPr="000A0ADE">
              <w:rPr>
                <w:rFonts w:cs="Arial"/>
                <w:b/>
                <w:lang w:val="en-GB"/>
              </w:rPr>
              <w:t>THE CO-CHAIRPERSONS OF THE NATIONAL COUNCIL OF PROVINCES</w:t>
            </w:r>
          </w:p>
        </w:tc>
        <w:tc>
          <w:tcPr>
            <w:tcW w:w="3209" w:type="dxa"/>
          </w:tcPr>
          <w:p w14:paraId="0B651C37" w14:textId="63B241F1" w:rsidR="00327FBF" w:rsidRPr="000A0ADE" w:rsidRDefault="00D6009F" w:rsidP="00D6009F">
            <w:pPr>
              <w:spacing w:before="120" w:after="120" w:line="360" w:lineRule="auto"/>
              <w:jc w:val="right"/>
              <w:rPr>
                <w:rFonts w:cs="Arial"/>
                <w:b/>
                <w:lang w:val="en-GB"/>
              </w:rPr>
            </w:pPr>
            <w:r w:rsidRPr="000A0ADE">
              <w:rPr>
                <w:rFonts w:cs="Arial"/>
                <w:b/>
                <w:lang w:val="en-GB"/>
              </w:rPr>
              <w:t>Second Respondent</w:t>
            </w:r>
          </w:p>
        </w:tc>
      </w:tr>
      <w:tr w:rsidR="00327FBF" w:rsidRPr="000A0ADE" w14:paraId="3BE52B8D" w14:textId="77777777" w:rsidTr="00752FE4">
        <w:tc>
          <w:tcPr>
            <w:tcW w:w="5807" w:type="dxa"/>
          </w:tcPr>
          <w:p w14:paraId="11A5C3E7" w14:textId="324F26DD" w:rsidR="00327FBF" w:rsidRPr="000A0ADE" w:rsidRDefault="00752FE4" w:rsidP="00752FE4">
            <w:pPr>
              <w:autoSpaceDE w:val="0"/>
              <w:autoSpaceDN w:val="0"/>
              <w:adjustRightInd w:val="0"/>
              <w:rPr>
                <w:rFonts w:cs="Arial"/>
                <w:b/>
                <w:lang w:val="en-GB"/>
              </w:rPr>
            </w:pPr>
            <w:r w:rsidRPr="000A0ADE">
              <w:rPr>
                <w:rFonts w:cs="Arial"/>
                <w:b/>
                <w:lang w:val="en-GB"/>
              </w:rPr>
              <w:t>ACTING REGISRAR OF MEMBERS INTERESTS ADV A GORDON N.O.</w:t>
            </w:r>
          </w:p>
        </w:tc>
        <w:tc>
          <w:tcPr>
            <w:tcW w:w="3209" w:type="dxa"/>
          </w:tcPr>
          <w:p w14:paraId="1F593223" w14:textId="19888860" w:rsidR="00327FBF" w:rsidRPr="000A0ADE" w:rsidRDefault="00D6009F" w:rsidP="00D6009F">
            <w:pPr>
              <w:spacing w:before="120" w:after="120" w:line="360" w:lineRule="auto"/>
              <w:jc w:val="right"/>
              <w:rPr>
                <w:rFonts w:cs="Arial"/>
                <w:b/>
                <w:lang w:val="en-GB"/>
              </w:rPr>
            </w:pPr>
            <w:r w:rsidRPr="000A0ADE">
              <w:rPr>
                <w:rFonts w:cs="Arial"/>
                <w:b/>
                <w:lang w:val="en-GB"/>
              </w:rPr>
              <w:t>Third Respondent</w:t>
            </w:r>
          </w:p>
        </w:tc>
      </w:tr>
      <w:tr w:rsidR="00D6009F" w:rsidRPr="000A0ADE" w14:paraId="539F6EA4" w14:textId="77777777" w:rsidTr="00752FE4">
        <w:tc>
          <w:tcPr>
            <w:tcW w:w="5807" w:type="dxa"/>
          </w:tcPr>
          <w:p w14:paraId="4388D422" w14:textId="5AED9350" w:rsidR="00D6009F" w:rsidRPr="000A0ADE" w:rsidRDefault="00752FE4" w:rsidP="00D6009F">
            <w:pPr>
              <w:tabs>
                <w:tab w:val="left" w:pos="6660"/>
                <w:tab w:val="left" w:pos="7655"/>
              </w:tabs>
              <w:spacing w:before="120" w:after="120" w:line="360" w:lineRule="auto"/>
              <w:jc w:val="both"/>
              <w:rPr>
                <w:rFonts w:cs="Arial"/>
                <w:b/>
                <w:lang w:val="en-GB"/>
              </w:rPr>
            </w:pPr>
            <w:r w:rsidRPr="000A0ADE">
              <w:rPr>
                <w:rFonts w:cs="Arial"/>
                <w:b/>
                <w:lang w:val="en-GB"/>
              </w:rPr>
              <w:t>The CHAIRPERSON OF THE JOINT COMMITTEE ON ETHICS AND MEMBERS INTERESTS</w:t>
            </w:r>
          </w:p>
        </w:tc>
        <w:tc>
          <w:tcPr>
            <w:tcW w:w="3209" w:type="dxa"/>
          </w:tcPr>
          <w:p w14:paraId="733F0493" w14:textId="23629CF9" w:rsidR="00D6009F" w:rsidRPr="000A0ADE" w:rsidRDefault="00D6009F" w:rsidP="00D6009F">
            <w:pPr>
              <w:spacing w:before="120" w:after="120" w:line="360" w:lineRule="auto"/>
              <w:jc w:val="right"/>
              <w:rPr>
                <w:rFonts w:cs="Arial"/>
                <w:b/>
                <w:lang w:val="en-GB"/>
              </w:rPr>
            </w:pPr>
            <w:r w:rsidRPr="000A0ADE">
              <w:rPr>
                <w:rFonts w:cs="Arial"/>
                <w:b/>
                <w:lang w:val="en-GB"/>
              </w:rPr>
              <w:t>Fourth Respondent</w:t>
            </w:r>
          </w:p>
        </w:tc>
      </w:tr>
      <w:tr w:rsidR="00D6009F" w:rsidRPr="000A0ADE" w14:paraId="654A8F4B" w14:textId="77777777" w:rsidTr="00752FE4">
        <w:tc>
          <w:tcPr>
            <w:tcW w:w="5807" w:type="dxa"/>
          </w:tcPr>
          <w:p w14:paraId="57975E54" w14:textId="666B69D4" w:rsidR="00D6009F" w:rsidRPr="000A0ADE" w:rsidRDefault="00752FE4" w:rsidP="00D6009F">
            <w:pPr>
              <w:tabs>
                <w:tab w:val="left" w:pos="6660"/>
                <w:tab w:val="left" w:pos="7655"/>
              </w:tabs>
              <w:spacing w:before="120" w:after="120" w:line="360" w:lineRule="auto"/>
              <w:jc w:val="both"/>
              <w:rPr>
                <w:rFonts w:cs="Arial"/>
                <w:b/>
                <w:lang w:val="en-GB"/>
              </w:rPr>
            </w:pPr>
            <w:r w:rsidRPr="000A0ADE">
              <w:rPr>
                <w:rFonts w:cs="Arial"/>
                <w:b/>
                <w:lang w:val="en-GB"/>
              </w:rPr>
              <w:t>THE PRESIDENT OF THE REPUBLIC OF SOUTH AFRICA</w:t>
            </w:r>
          </w:p>
        </w:tc>
        <w:tc>
          <w:tcPr>
            <w:tcW w:w="3209" w:type="dxa"/>
          </w:tcPr>
          <w:p w14:paraId="650AAAE2" w14:textId="7B18DE82" w:rsidR="00D6009F" w:rsidRPr="000A0ADE" w:rsidRDefault="00D6009F" w:rsidP="00D6009F">
            <w:pPr>
              <w:spacing w:before="120" w:after="120" w:line="360" w:lineRule="auto"/>
              <w:jc w:val="right"/>
              <w:rPr>
                <w:rFonts w:cs="Arial"/>
                <w:b/>
                <w:lang w:val="en-GB"/>
              </w:rPr>
            </w:pPr>
            <w:r w:rsidRPr="000A0ADE">
              <w:rPr>
                <w:rFonts w:cs="Arial"/>
                <w:b/>
                <w:lang w:val="en-GB"/>
              </w:rPr>
              <w:t>Fifth Respondent</w:t>
            </w:r>
          </w:p>
        </w:tc>
      </w:tr>
      <w:tr w:rsidR="00D6009F" w:rsidRPr="000A0ADE" w14:paraId="5E0F2562" w14:textId="77777777" w:rsidTr="00752FE4">
        <w:tc>
          <w:tcPr>
            <w:tcW w:w="5807" w:type="dxa"/>
          </w:tcPr>
          <w:p w14:paraId="797E2F3E" w14:textId="3A7963B1" w:rsidR="00D6009F" w:rsidRPr="000A0ADE" w:rsidRDefault="00752FE4" w:rsidP="00D6009F">
            <w:pPr>
              <w:tabs>
                <w:tab w:val="left" w:pos="6660"/>
                <w:tab w:val="left" w:pos="7655"/>
              </w:tabs>
              <w:spacing w:before="120" w:after="120" w:line="360" w:lineRule="auto"/>
              <w:jc w:val="both"/>
              <w:rPr>
                <w:rFonts w:cs="Arial"/>
                <w:b/>
                <w:lang w:val="en-GB"/>
              </w:rPr>
            </w:pPr>
            <w:r w:rsidRPr="000A0ADE">
              <w:rPr>
                <w:rFonts w:cs="Arial"/>
                <w:b/>
                <w:lang w:val="en-GB"/>
              </w:rPr>
              <w:t>#UNITEBEHIND NPC</w:t>
            </w:r>
          </w:p>
        </w:tc>
        <w:tc>
          <w:tcPr>
            <w:tcW w:w="3209" w:type="dxa"/>
          </w:tcPr>
          <w:p w14:paraId="78E7575B" w14:textId="1D6B3E0B" w:rsidR="00D6009F" w:rsidRPr="000A0ADE" w:rsidRDefault="00D6009F" w:rsidP="00D6009F">
            <w:pPr>
              <w:spacing w:before="120" w:after="120" w:line="360" w:lineRule="auto"/>
              <w:jc w:val="right"/>
              <w:rPr>
                <w:rFonts w:cs="Arial"/>
                <w:b/>
                <w:lang w:val="en-GB"/>
              </w:rPr>
            </w:pPr>
            <w:r w:rsidRPr="000A0ADE">
              <w:rPr>
                <w:rFonts w:cs="Arial"/>
                <w:b/>
                <w:lang w:val="en-GB"/>
              </w:rPr>
              <w:t>Sixth Respondent</w:t>
            </w:r>
          </w:p>
        </w:tc>
      </w:tr>
      <w:tr w:rsidR="00D6009F" w:rsidRPr="000A0ADE" w14:paraId="670A1C9A" w14:textId="77777777" w:rsidTr="00752FE4">
        <w:tc>
          <w:tcPr>
            <w:tcW w:w="5807" w:type="dxa"/>
          </w:tcPr>
          <w:p w14:paraId="24329C6B" w14:textId="3D7CEEDA" w:rsidR="00D6009F" w:rsidRPr="000A0ADE" w:rsidRDefault="00752FE4" w:rsidP="00752FE4">
            <w:pPr>
              <w:autoSpaceDE w:val="0"/>
              <w:autoSpaceDN w:val="0"/>
              <w:adjustRightInd w:val="0"/>
              <w:rPr>
                <w:rFonts w:cs="Arial"/>
                <w:b/>
                <w:lang w:val="en-GB"/>
              </w:rPr>
            </w:pPr>
            <w:r w:rsidRPr="000A0ADE">
              <w:rPr>
                <w:rFonts w:cs="Arial"/>
                <w:b/>
                <w:lang w:val="en-GB"/>
              </w:rPr>
              <w:t>ABDURRAZACK “ZACKIE” ACHMAT</w:t>
            </w:r>
          </w:p>
        </w:tc>
        <w:tc>
          <w:tcPr>
            <w:tcW w:w="3209" w:type="dxa"/>
          </w:tcPr>
          <w:p w14:paraId="44A77396" w14:textId="53D28319" w:rsidR="00D6009F" w:rsidRPr="000A0ADE" w:rsidRDefault="00D6009F" w:rsidP="00D6009F">
            <w:pPr>
              <w:spacing w:before="120" w:after="120" w:line="360" w:lineRule="auto"/>
              <w:jc w:val="right"/>
              <w:rPr>
                <w:rFonts w:cs="Arial"/>
                <w:b/>
                <w:lang w:val="en-GB"/>
              </w:rPr>
            </w:pPr>
            <w:r w:rsidRPr="000A0ADE">
              <w:rPr>
                <w:rFonts w:cs="Arial"/>
                <w:b/>
                <w:lang w:val="en-GB"/>
              </w:rPr>
              <w:t>Seventh Respondent</w:t>
            </w:r>
          </w:p>
        </w:tc>
      </w:tr>
      <w:tr w:rsidR="00D6009F" w:rsidRPr="000A0ADE" w14:paraId="0C136C2F" w14:textId="77777777" w:rsidTr="00752FE4">
        <w:tc>
          <w:tcPr>
            <w:tcW w:w="5807" w:type="dxa"/>
          </w:tcPr>
          <w:p w14:paraId="7947B942" w14:textId="5F37E872" w:rsidR="00D6009F" w:rsidRPr="000A0ADE" w:rsidRDefault="00752FE4" w:rsidP="00752FE4">
            <w:pPr>
              <w:jc w:val="both"/>
              <w:rPr>
                <w:rFonts w:cs="Arial"/>
                <w:b/>
                <w:lang w:val="en-GB"/>
              </w:rPr>
            </w:pPr>
            <w:r w:rsidRPr="000A0ADE">
              <w:rPr>
                <w:rFonts w:cs="Arial"/>
                <w:b/>
                <w:lang w:val="en-GB"/>
              </w:rPr>
              <w:t>ZUKISWA “VUKA” FOKAZI</w:t>
            </w:r>
          </w:p>
        </w:tc>
        <w:tc>
          <w:tcPr>
            <w:tcW w:w="3209" w:type="dxa"/>
          </w:tcPr>
          <w:p w14:paraId="4F9B18CE" w14:textId="25AFCA1E" w:rsidR="00D6009F" w:rsidRPr="000A0ADE" w:rsidRDefault="00D6009F" w:rsidP="00D6009F">
            <w:pPr>
              <w:spacing w:before="120" w:after="120" w:line="360" w:lineRule="auto"/>
              <w:jc w:val="right"/>
              <w:rPr>
                <w:rFonts w:cs="Arial"/>
                <w:b/>
                <w:lang w:val="en-GB"/>
              </w:rPr>
            </w:pPr>
            <w:r w:rsidRPr="000A0ADE">
              <w:rPr>
                <w:rFonts w:cs="Arial"/>
                <w:b/>
                <w:lang w:val="en-GB"/>
              </w:rPr>
              <w:t>Eighth Respondent</w:t>
            </w:r>
          </w:p>
        </w:tc>
      </w:tr>
    </w:tbl>
    <w:p w14:paraId="651FE708" w14:textId="77777777" w:rsidR="0054355B" w:rsidRPr="000A0ADE" w:rsidRDefault="0054355B" w:rsidP="0054355B">
      <w:pPr>
        <w:pBdr>
          <w:bottom w:val="single" w:sz="12" w:space="1" w:color="auto"/>
        </w:pBdr>
        <w:rPr>
          <w:rFonts w:cs="Arial"/>
          <w:lang w:val="en-GB"/>
        </w:rPr>
      </w:pPr>
    </w:p>
    <w:p w14:paraId="150CE16A" w14:textId="77777777" w:rsidR="00A97482" w:rsidRPr="000A0ADE" w:rsidRDefault="00A97482" w:rsidP="0054355B">
      <w:pPr>
        <w:pBdr>
          <w:bottom w:val="single" w:sz="12" w:space="1" w:color="auto"/>
        </w:pBdr>
        <w:rPr>
          <w:rFonts w:cs="Arial"/>
          <w:lang w:val="en-GB"/>
        </w:rPr>
      </w:pPr>
    </w:p>
    <w:p w14:paraId="1CA14B90" w14:textId="77777777" w:rsidR="00A97482" w:rsidRPr="000A0ADE" w:rsidRDefault="00A97482" w:rsidP="0054355B">
      <w:pPr>
        <w:pBdr>
          <w:bottom w:val="single" w:sz="12" w:space="1" w:color="auto"/>
        </w:pBdr>
        <w:rPr>
          <w:rFonts w:cs="Arial"/>
          <w:lang w:val="en-GB"/>
        </w:rPr>
      </w:pPr>
    </w:p>
    <w:p w14:paraId="14F75958" w14:textId="77777777" w:rsidR="00A97482" w:rsidRPr="000A0ADE" w:rsidRDefault="00A97482" w:rsidP="0054355B">
      <w:pPr>
        <w:pBdr>
          <w:bottom w:val="single" w:sz="12" w:space="1" w:color="auto"/>
        </w:pBdr>
        <w:rPr>
          <w:rFonts w:cs="Arial"/>
          <w:lang w:val="en-GB"/>
        </w:rPr>
      </w:pPr>
    </w:p>
    <w:p w14:paraId="49099215" w14:textId="77777777" w:rsidR="00A97482" w:rsidRPr="000A0ADE" w:rsidRDefault="00A97482" w:rsidP="0054355B">
      <w:pPr>
        <w:pBdr>
          <w:bottom w:val="single" w:sz="12" w:space="1" w:color="auto"/>
        </w:pBdr>
        <w:rPr>
          <w:rFonts w:cs="Arial"/>
          <w:lang w:val="en-GB"/>
        </w:rPr>
      </w:pPr>
    </w:p>
    <w:p w14:paraId="24D72C22" w14:textId="77777777" w:rsidR="00A97482" w:rsidRPr="000A0ADE" w:rsidRDefault="00A97482" w:rsidP="0054355B">
      <w:pPr>
        <w:pBdr>
          <w:bottom w:val="single" w:sz="12" w:space="1" w:color="auto"/>
        </w:pBdr>
        <w:rPr>
          <w:rFonts w:cs="Arial"/>
          <w:lang w:val="en-GB"/>
        </w:rPr>
      </w:pPr>
    </w:p>
    <w:p w14:paraId="13EF0F33" w14:textId="77777777" w:rsidR="0054355B" w:rsidRPr="000A0ADE" w:rsidRDefault="0054355B" w:rsidP="0054355B">
      <w:pPr>
        <w:rPr>
          <w:rFonts w:cs="Arial"/>
          <w:lang w:val="en-GB"/>
        </w:rPr>
      </w:pPr>
    </w:p>
    <w:p w14:paraId="5526E394" w14:textId="77777777" w:rsidR="0054355B" w:rsidRPr="000A0ADE" w:rsidRDefault="0054355B" w:rsidP="0054355B">
      <w:pPr>
        <w:rPr>
          <w:rFonts w:cs="Arial"/>
          <w:lang w:val="en-GB"/>
        </w:rPr>
      </w:pPr>
    </w:p>
    <w:p w14:paraId="4FF58C9E" w14:textId="1E9935FA" w:rsidR="0054355B" w:rsidRPr="000A0ADE" w:rsidRDefault="0054355B" w:rsidP="0054355B">
      <w:pPr>
        <w:tabs>
          <w:tab w:val="left" w:pos="3544"/>
          <w:tab w:val="left" w:pos="3828"/>
        </w:tabs>
        <w:jc w:val="center"/>
        <w:rPr>
          <w:rFonts w:cs="Arial"/>
          <w:b/>
          <w:lang w:val="en-GB"/>
        </w:rPr>
      </w:pPr>
      <w:r w:rsidRPr="000A0ADE">
        <w:rPr>
          <w:rFonts w:cs="Arial"/>
          <w:b/>
          <w:lang w:val="en-GB"/>
        </w:rPr>
        <w:t xml:space="preserve">JUDGMENT DELIVERED ELECTRONICALLY ON </w:t>
      </w:r>
      <w:r w:rsidR="00752FE4" w:rsidRPr="000A0ADE">
        <w:rPr>
          <w:rFonts w:cs="Arial"/>
          <w:b/>
          <w:lang w:val="en-GB"/>
        </w:rPr>
        <w:t>29 JANUARY </w:t>
      </w:r>
      <w:r w:rsidRPr="000A0ADE">
        <w:rPr>
          <w:rFonts w:cs="Arial"/>
          <w:b/>
          <w:lang w:val="en-GB"/>
        </w:rPr>
        <w:t>202</w:t>
      </w:r>
      <w:r w:rsidR="00752FE4" w:rsidRPr="000A0ADE">
        <w:rPr>
          <w:rFonts w:cs="Arial"/>
          <w:b/>
          <w:lang w:val="en-GB"/>
        </w:rPr>
        <w:t>4</w:t>
      </w:r>
    </w:p>
    <w:p w14:paraId="1A2059CD" w14:textId="77777777" w:rsidR="0054355B" w:rsidRPr="000A0ADE" w:rsidRDefault="0054355B" w:rsidP="0054355B">
      <w:pPr>
        <w:rPr>
          <w:rFonts w:cs="Arial"/>
          <w:lang w:val="en-GB"/>
        </w:rPr>
      </w:pPr>
    </w:p>
    <w:p w14:paraId="6621BD20" w14:textId="77777777" w:rsidR="0054355B" w:rsidRPr="000A0ADE" w:rsidRDefault="0054355B" w:rsidP="0054355B">
      <w:pPr>
        <w:pBdr>
          <w:bottom w:val="single" w:sz="12" w:space="1" w:color="auto"/>
        </w:pBdr>
        <w:rPr>
          <w:rFonts w:cs="Arial"/>
          <w:lang w:val="en-GB"/>
        </w:rPr>
      </w:pPr>
    </w:p>
    <w:p w14:paraId="3761628C" w14:textId="77777777" w:rsidR="0054355B" w:rsidRPr="000A0ADE" w:rsidRDefault="0054355B" w:rsidP="0054355B">
      <w:pPr>
        <w:rPr>
          <w:rFonts w:cs="Arial"/>
          <w:lang w:val="en-GB"/>
        </w:rPr>
      </w:pPr>
    </w:p>
    <w:p w14:paraId="5890774F" w14:textId="77777777" w:rsidR="00B622B4" w:rsidRPr="000A0ADE" w:rsidRDefault="00B622B4" w:rsidP="0054355B">
      <w:pPr>
        <w:rPr>
          <w:rFonts w:cs="Arial"/>
          <w:lang w:val="en-GB"/>
        </w:rPr>
      </w:pPr>
    </w:p>
    <w:p w14:paraId="1AB7F9D2" w14:textId="2B5A1520" w:rsidR="00B622B4" w:rsidRPr="000A0ADE" w:rsidRDefault="00B622B4" w:rsidP="00B622B4">
      <w:pPr>
        <w:jc w:val="both"/>
        <w:rPr>
          <w:rFonts w:cs="Arial"/>
          <w:lang w:val="en-GB"/>
        </w:rPr>
      </w:pPr>
      <w:r w:rsidRPr="000A0ADE">
        <w:rPr>
          <w:rFonts w:cs="Arial"/>
          <w:b/>
          <w:bCs/>
          <w:lang w:val="en-GB"/>
        </w:rPr>
        <w:t xml:space="preserve">Delivered:   This judgment was handed down electronically by circulation to the parties' legal representatives by email. </w:t>
      </w:r>
      <w:r w:rsidR="00907FA9" w:rsidRPr="000A0ADE">
        <w:rPr>
          <w:rFonts w:cs="Arial"/>
          <w:b/>
          <w:bCs/>
          <w:lang w:val="en-GB"/>
        </w:rPr>
        <w:t xml:space="preserve"> </w:t>
      </w:r>
      <w:r w:rsidRPr="000A0ADE">
        <w:rPr>
          <w:rFonts w:cs="Arial"/>
          <w:b/>
          <w:bCs/>
          <w:lang w:val="en-GB"/>
        </w:rPr>
        <w:t>The date for the hand-down is deemed to be on 29 January 202</w:t>
      </w:r>
      <w:r w:rsidR="00E07643" w:rsidRPr="000A0ADE">
        <w:rPr>
          <w:rFonts w:cs="Arial"/>
          <w:b/>
          <w:bCs/>
          <w:lang w:val="en-GB"/>
        </w:rPr>
        <w:t>4.</w:t>
      </w:r>
    </w:p>
    <w:p w14:paraId="7A7AB2AF" w14:textId="77777777" w:rsidR="00C52EED" w:rsidRPr="000A0ADE" w:rsidRDefault="00C52EED" w:rsidP="0054355B">
      <w:pPr>
        <w:spacing w:before="120" w:after="360" w:line="480" w:lineRule="auto"/>
        <w:jc w:val="both"/>
        <w:rPr>
          <w:rFonts w:cs="Arial"/>
          <w:b/>
          <w:lang w:val="en-GB"/>
        </w:rPr>
      </w:pPr>
    </w:p>
    <w:p w14:paraId="2E0E5A3F" w14:textId="1B67DC4A" w:rsidR="0054355B" w:rsidRPr="000A0ADE" w:rsidRDefault="0054355B" w:rsidP="0054355B">
      <w:pPr>
        <w:spacing w:before="120" w:after="360" w:line="480" w:lineRule="auto"/>
        <w:jc w:val="both"/>
        <w:rPr>
          <w:rFonts w:cs="Arial"/>
          <w:b/>
          <w:lang w:val="en-GB"/>
        </w:rPr>
      </w:pPr>
      <w:r w:rsidRPr="000A0ADE">
        <w:rPr>
          <w:rFonts w:cs="Arial"/>
          <w:b/>
          <w:lang w:val="en-GB"/>
        </w:rPr>
        <w:t>ADHIKARI, AJ</w:t>
      </w:r>
    </w:p>
    <w:p w14:paraId="44CD0ABC" w14:textId="04CA0B66" w:rsidR="007834B5" w:rsidRPr="000A0ADE" w:rsidRDefault="00B94719" w:rsidP="00B94719">
      <w:pPr>
        <w:snapToGrid w:val="0"/>
        <w:spacing w:before="120" w:after="240" w:line="480" w:lineRule="auto"/>
        <w:ind w:hanging="6"/>
        <w:jc w:val="both"/>
        <w:rPr>
          <w:rFonts w:cs="Arial"/>
          <w:lang w:val="en-GB"/>
        </w:rPr>
      </w:pPr>
      <w:r w:rsidRPr="000A0ADE">
        <w:rPr>
          <w:rFonts w:cs="Arial"/>
          <w:lang w:val="en-GB"/>
        </w:rPr>
        <w:t>[1]</w:t>
      </w:r>
      <w:r w:rsidRPr="000A0ADE">
        <w:rPr>
          <w:rFonts w:cs="Arial"/>
          <w:lang w:val="en-GB"/>
        </w:rPr>
        <w:tab/>
      </w:r>
      <w:r w:rsidR="007834B5" w:rsidRPr="000A0ADE">
        <w:rPr>
          <w:rFonts w:cs="Arial"/>
          <w:lang w:val="en-GB"/>
        </w:rPr>
        <w:t>This is an urgent application for an interdict</w:t>
      </w:r>
      <w:r w:rsidR="003173C0" w:rsidRPr="000A0ADE">
        <w:rPr>
          <w:rFonts w:cs="Arial"/>
          <w:lang w:val="en-GB"/>
        </w:rPr>
        <w:t>,</w:t>
      </w:r>
      <w:r w:rsidR="007834B5" w:rsidRPr="000A0ADE">
        <w:rPr>
          <w:rFonts w:cs="Arial"/>
          <w:lang w:val="en-GB"/>
        </w:rPr>
        <w:t xml:space="preserve"> pending the outcome of judicial review proceedings instituted under Part B of the Notice of Motion</w:t>
      </w:r>
      <w:r w:rsidR="007B4619" w:rsidRPr="000A0ADE">
        <w:rPr>
          <w:rFonts w:cs="Arial"/>
          <w:lang w:val="en-GB"/>
        </w:rPr>
        <w:t xml:space="preserve"> (‘Part</w:t>
      </w:r>
      <w:r w:rsidR="007B4619" w:rsidRPr="000A0ADE">
        <w:rPr>
          <w:rFonts w:cs="Arial"/>
          <w:b/>
          <w:lang w:val="en-GB"/>
        </w:rPr>
        <w:t> </w:t>
      </w:r>
      <w:r w:rsidR="007B4619" w:rsidRPr="000A0ADE">
        <w:rPr>
          <w:rFonts w:cs="Arial"/>
          <w:bCs/>
          <w:lang w:val="en-GB"/>
        </w:rPr>
        <w:t>B</w:t>
      </w:r>
      <w:r w:rsidR="007B4619" w:rsidRPr="000A0ADE">
        <w:rPr>
          <w:rFonts w:cs="Arial"/>
          <w:lang w:val="en-GB"/>
        </w:rPr>
        <w:t>’).</w:t>
      </w:r>
    </w:p>
    <w:p w14:paraId="62345393" w14:textId="6DBCF32E" w:rsidR="00506CCA" w:rsidRPr="000A0ADE" w:rsidRDefault="00B94719" w:rsidP="00B94719">
      <w:pPr>
        <w:snapToGrid w:val="0"/>
        <w:spacing w:before="120" w:after="240" w:line="480" w:lineRule="auto"/>
        <w:ind w:hanging="6"/>
        <w:jc w:val="both"/>
        <w:rPr>
          <w:rFonts w:cs="Arial"/>
          <w:lang w:val="en-GB"/>
        </w:rPr>
      </w:pPr>
      <w:r w:rsidRPr="000A0ADE">
        <w:rPr>
          <w:rFonts w:cs="Arial"/>
          <w:lang w:val="en-GB"/>
        </w:rPr>
        <w:t>[2]</w:t>
      </w:r>
      <w:r w:rsidRPr="000A0ADE">
        <w:rPr>
          <w:rFonts w:cs="Arial"/>
          <w:lang w:val="en-GB"/>
        </w:rPr>
        <w:tab/>
      </w:r>
      <w:r w:rsidR="001A6FC8" w:rsidRPr="000A0ADE">
        <w:rPr>
          <w:rFonts w:cs="Arial"/>
          <w:lang w:val="en-GB"/>
        </w:rPr>
        <w:t xml:space="preserve">The applicant is </w:t>
      </w:r>
      <w:r w:rsidR="001965B7" w:rsidRPr="000A0ADE">
        <w:rPr>
          <w:rFonts w:cs="Arial"/>
          <w:lang w:val="en-GB"/>
        </w:rPr>
        <w:t xml:space="preserve">a member of parliament and the Deputy Minister of Small Business Development. </w:t>
      </w:r>
      <w:r w:rsidR="001A6FC8" w:rsidRPr="000A0ADE">
        <w:rPr>
          <w:rFonts w:cs="Arial"/>
          <w:lang w:val="en-GB"/>
        </w:rPr>
        <w:t xml:space="preserve"> </w:t>
      </w:r>
      <w:r w:rsidR="00197EA7" w:rsidRPr="000A0ADE">
        <w:rPr>
          <w:rFonts w:cs="Arial"/>
          <w:lang w:val="en-GB"/>
        </w:rPr>
        <w:t>In her capacity as the former Minister of Transport, the applicant was the executive authority responsible for Passenger Rail Agency of South Africa (‘PRASA’).</w:t>
      </w:r>
    </w:p>
    <w:p w14:paraId="58BEAD3E" w14:textId="528259D4" w:rsidR="00657BBA" w:rsidRPr="000A0ADE" w:rsidRDefault="00B94719" w:rsidP="00B94719">
      <w:pPr>
        <w:snapToGrid w:val="0"/>
        <w:spacing w:before="120" w:after="240" w:line="480" w:lineRule="auto"/>
        <w:ind w:hanging="6"/>
        <w:jc w:val="both"/>
        <w:rPr>
          <w:rFonts w:cs="Arial"/>
          <w:lang w:val="en-GB"/>
        </w:rPr>
      </w:pPr>
      <w:r w:rsidRPr="000A0ADE">
        <w:rPr>
          <w:rFonts w:cs="Arial"/>
          <w:lang w:val="en-GB"/>
        </w:rPr>
        <w:t>[3]</w:t>
      </w:r>
      <w:r w:rsidRPr="000A0ADE">
        <w:rPr>
          <w:rFonts w:cs="Arial"/>
          <w:lang w:val="en-GB"/>
        </w:rPr>
        <w:tab/>
      </w:r>
      <w:r w:rsidR="005C4740" w:rsidRPr="000A0ADE">
        <w:rPr>
          <w:rFonts w:cs="Arial"/>
          <w:lang w:val="en-GB"/>
        </w:rPr>
        <w:t>In these proceedings, t</w:t>
      </w:r>
      <w:r w:rsidR="00676089" w:rsidRPr="000A0ADE">
        <w:rPr>
          <w:rFonts w:cs="Arial"/>
          <w:lang w:val="en-GB"/>
        </w:rPr>
        <w:t xml:space="preserve">he applicant </w:t>
      </w:r>
      <w:r w:rsidR="00A423EF" w:rsidRPr="000A0ADE">
        <w:rPr>
          <w:rFonts w:cs="Arial"/>
          <w:lang w:val="en-GB"/>
        </w:rPr>
        <w:t>seeks an interim interdict</w:t>
      </w:r>
      <w:r w:rsidR="003173C0" w:rsidRPr="000A0ADE">
        <w:rPr>
          <w:rFonts w:cs="Arial"/>
          <w:lang w:val="en-GB"/>
        </w:rPr>
        <w:t>,</w:t>
      </w:r>
      <w:r w:rsidR="00A423EF" w:rsidRPr="000A0ADE">
        <w:rPr>
          <w:rFonts w:cs="Arial"/>
          <w:lang w:val="en-GB"/>
        </w:rPr>
        <w:t xml:space="preserve"> restraining the first respondent (</w:t>
      </w:r>
      <w:r w:rsidR="004950E8" w:rsidRPr="000A0ADE">
        <w:rPr>
          <w:rFonts w:cs="Arial"/>
          <w:lang w:val="en-GB"/>
        </w:rPr>
        <w:t>‘</w:t>
      </w:r>
      <w:r w:rsidR="00A423EF" w:rsidRPr="000A0ADE">
        <w:rPr>
          <w:rFonts w:cs="Arial"/>
          <w:lang w:val="en-GB"/>
        </w:rPr>
        <w:t>the</w:t>
      </w:r>
      <w:r w:rsidR="00115562" w:rsidRPr="000A0ADE">
        <w:rPr>
          <w:rFonts w:cs="Arial"/>
          <w:lang w:val="en-GB"/>
        </w:rPr>
        <w:t> S</w:t>
      </w:r>
      <w:r w:rsidR="00A423EF" w:rsidRPr="000A0ADE">
        <w:rPr>
          <w:rFonts w:cs="Arial"/>
          <w:lang w:val="en-GB"/>
        </w:rPr>
        <w:t>peaker</w:t>
      </w:r>
      <w:r w:rsidR="004950E8" w:rsidRPr="000A0ADE">
        <w:rPr>
          <w:rFonts w:cs="Arial"/>
          <w:lang w:val="en-GB"/>
        </w:rPr>
        <w:t>’</w:t>
      </w:r>
      <w:r w:rsidR="00A423EF" w:rsidRPr="000A0ADE">
        <w:rPr>
          <w:rFonts w:cs="Arial"/>
          <w:lang w:val="en-GB"/>
        </w:rPr>
        <w:t xml:space="preserve">) from implementing the sanction imposed on her by a resolution of the </w:t>
      </w:r>
      <w:r w:rsidR="0034693E" w:rsidRPr="000A0ADE">
        <w:rPr>
          <w:rFonts w:cs="Arial"/>
          <w:lang w:val="en-GB"/>
        </w:rPr>
        <w:t>N</w:t>
      </w:r>
      <w:r w:rsidR="00A423EF" w:rsidRPr="000A0ADE">
        <w:rPr>
          <w:rFonts w:cs="Arial"/>
          <w:lang w:val="en-GB"/>
        </w:rPr>
        <w:t xml:space="preserve">ational </w:t>
      </w:r>
      <w:r w:rsidR="0034693E" w:rsidRPr="000A0ADE">
        <w:rPr>
          <w:rFonts w:cs="Arial"/>
          <w:lang w:val="en-GB"/>
        </w:rPr>
        <w:t>A</w:t>
      </w:r>
      <w:r w:rsidR="00A423EF" w:rsidRPr="000A0ADE">
        <w:rPr>
          <w:rFonts w:cs="Arial"/>
          <w:lang w:val="en-GB"/>
        </w:rPr>
        <w:t>ssembly</w:t>
      </w:r>
      <w:r w:rsidR="0034693E" w:rsidRPr="000A0ADE">
        <w:rPr>
          <w:rFonts w:cs="Arial"/>
          <w:lang w:val="en-GB"/>
        </w:rPr>
        <w:t xml:space="preserve"> </w:t>
      </w:r>
      <w:r w:rsidR="003173C0" w:rsidRPr="000A0ADE">
        <w:rPr>
          <w:rFonts w:cs="Arial"/>
          <w:lang w:val="en-GB"/>
        </w:rPr>
        <w:t xml:space="preserve">which was </w:t>
      </w:r>
      <w:r w:rsidR="00A423EF" w:rsidRPr="000A0ADE">
        <w:rPr>
          <w:rFonts w:cs="Arial"/>
          <w:lang w:val="en-GB"/>
        </w:rPr>
        <w:t>adopted on 28</w:t>
      </w:r>
      <w:r w:rsidR="0034693E" w:rsidRPr="000A0ADE">
        <w:rPr>
          <w:rFonts w:cs="Arial"/>
          <w:lang w:val="en-GB"/>
        </w:rPr>
        <w:t> </w:t>
      </w:r>
      <w:r w:rsidR="00A423EF" w:rsidRPr="000A0ADE">
        <w:rPr>
          <w:rFonts w:cs="Arial"/>
          <w:lang w:val="en-GB"/>
        </w:rPr>
        <w:t>November</w:t>
      </w:r>
      <w:r w:rsidR="0034693E" w:rsidRPr="000A0ADE">
        <w:rPr>
          <w:rFonts w:cs="Arial"/>
          <w:lang w:val="en-GB"/>
        </w:rPr>
        <w:t> </w:t>
      </w:r>
      <w:r w:rsidR="00A423EF" w:rsidRPr="000A0ADE">
        <w:rPr>
          <w:rFonts w:cs="Arial"/>
          <w:lang w:val="en-GB"/>
        </w:rPr>
        <w:t>2023</w:t>
      </w:r>
      <w:r w:rsidR="003173C0" w:rsidRPr="000A0ADE">
        <w:rPr>
          <w:rFonts w:cs="Arial"/>
          <w:lang w:val="en-GB"/>
        </w:rPr>
        <w:t>,</w:t>
      </w:r>
      <w:r w:rsidR="00A423EF" w:rsidRPr="000A0ADE">
        <w:rPr>
          <w:rFonts w:cs="Arial"/>
          <w:lang w:val="en-GB"/>
        </w:rPr>
        <w:t xml:space="preserve"> in terms of which </w:t>
      </w:r>
      <w:r w:rsidR="00CF0773" w:rsidRPr="000A0ADE">
        <w:rPr>
          <w:rFonts w:cs="Arial"/>
          <w:lang w:val="en-GB"/>
        </w:rPr>
        <w:t>the applicant</w:t>
      </w:r>
      <w:r w:rsidR="00A423EF" w:rsidRPr="000A0ADE">
        <w:rPr>
          <w:rFonts w:cs="Arial"/>
          <w:lang w:val="en-GB"/>
        </w:rPr>
        <w:t xml:space="preserve"> </w:t>
      </w:r>
      <w:r w:rsidR="003173C0" w:rsidRPr="000A0ADE">
        <w:rPr>
          <w:rFonts w:cs="Arial"/>
          <w:lang w:val="en-GB"/>
        </w:rPr>
        <w:t>is</w:t>
      </w:r>
      <w:r w:rsidR="00CF63B1" w:rsidRPr="000A0ADE">
        <w:rPr>
          <w:rFonts w:cs="Arial"/>
          <w:lang w:val="en-GB"/>
        </w:rPr>
        <w:t xml:space="preserve"> </w:t>
      </w:r>
      <w:r w:rsidR="00A423EF" w:rsidRPr="000A0ADE">
        <w:rPr>
          <w:rFonts w:cs="Arial"/>
          <w:lang w:val="en-GB"/>
        </w:rPr>
        <w:t>suspended from her seat in all Parliamentary debates and sittings and from committee meetings and committee related functions</w:t>
      </w:r>
      <w:r w:rsidR="003173C0" w:rsidRPr="000A0ADE">
        <w:rPr>
          <w:rFonts w:cs="Arial"/>
          <w:lang w:val="en-GB"/>
        </w:rPr>
        <w:t>,</w:t>
      </w:r>
      <w:r w:rsidR="00A423EF" w:rsidRPr="000A0ADE">
        <w:rPr>
          <w:rFonts w:cs="Arial"/>
          <w:lang w:val="en-GB"/>
        </w:rPr>
        <w:t xml:space="preserve"> for one term of the </w:t>
      </w:r>
      <w:r w:rsidR="003B4A01" w:rsidRPr="000A0ADE">
        <w:rPr>
          <w:rFonts w:cs="Arial"/>
          <w:lang w:val="en-GB"/>
        </w:rPr>
        <w:t xml:space="preserve">2024 </w:t>
      </w:r>
      <w:r w:rsidR="00A423EF" w:rsidRPr="000A0ADE">
        <w:rPr>
          <w:rFonts w:cs="Arial"/>
          <w:lang w:val="en-GB"/>
        </w:rPr>
        <w:t>Parliamentary program</w:t>
      </w:r>
      <w:r w:rsidR="003173C0" w:rsidRPr="000A0ADE">
        <w:rPr>
          <w:rFonts w:cs="Arial"/>
          <w:lang w:val="en-GB"/>
        </w:rPr>
        <w:t>,</w:t>
      </w:r>
      <w:r w:rsidR="00A423EF" w:rsidRPr="000A0ADE">
        <w:rPr>
          <w:rFonts w:cs="Arial"/>
          <w:lang w:val="en-GB"/>
        </w:rPr>
        <w:t xml:space="preserve"> which commences on 30</w:t>
      </w:r>
      <w:r w:rsidR="005C4740" w:rsidRPr="000A0ADE">
        <w:rPr>
          <w:rFonts w:cs="Arial"/>
          <w:lang w:val="en-GB"/>
        </w:rPr>
        <w:t> </w:t>
      </w:r>
      <w:r w:rsidR="00A423EF" w:rsidRPr="000A0ADE">
        <w:rPr>
          <w:rFonts w:cs="Arial"/>
          <w:lang w:val="en-GB"/>
        </w:rPr>
        <w:t>January</w:t>
      </w:r>
      <w:r w:rsidR="005C4740" w:rsidRPr="000A0ADE">
        <w:rPr>
          <w:rFonts w:cs="Arial"/>
          <w:lang w:val="en-GB"/>
        </w:rPr>
        <w:t> </w:t>
      </w:r>
      <w:r w:rsidR="00A423EF" w:rsidRPr="000A0ADE">
        <w:rPr>
          <w:rFonts w:cs="Arial"/>
          <w:lang w:val="en-GB"/>
        </w:rPr>
        <w:t>2024 (</w:t>
      </w:r>
      <w:r w:rsidR="00115562" w:rsidRPr="000A0ADE">
        <w:rPr>
          <w:rFonts w:cs="Arial"/>
          <w:lang w:val="en-GB"/>
        </w:rPr>
        <w:t>‘</w:t>
      </w:r>
      <w:r w:rsidR="00A423EF" w:rsidRPr="000A0ADE">
        <w:rPr>
          <w:rFonts w:cs="Arial"/>
          <w:lang w:val="en-GB"/>
        </w:rPr>
        <w:t>the</w:t>
      </w:r>
      <w:r w:rsidR="005C4740" w:rsidRPr="000A0ADE">
        <w:rPr>
          <w:rFonts w:cs="Arial"/>
          <w:lang w:val="en-GB"/>
        </w:rPr>
        <w:t> </w:t>
      </w:r>
      <w:r w:rsidR="00A423EF" w:rsidRPr="000A0ADE">
        <w:rPr>
          <w:rFonts w:cs="Arial"/>
          <w:lang w:val="en-GB"/>
        </w:rPr>
        <w:t>s</w:t>
      </w:r>
      <w:r w:rsidR="00115562" w:rsidRPr="000A0ADE">
        <w:rPr>
          <w:rFonts w:cs="Arial"/>
          <w:lang w:val="en-GB"/>
        </w:rPr>
        <w:t>anction’</w:t>
      </w:r>
      <w:r w:rsidR="00991958" w:rsidRPr="000A0ADE">
        <w:rPr>
          <w:rFonts w:cs="Arial"/>
          <w:lang w:val="en-GB"/>
        </w:rPr>
        <w:t>)</w:t>
      </w:r>
      <w:r w:rsidR="00115562" w:rsidRPr="000A0ADE">
        <w:rPr>
          <w:rFonts w:cs="Arial"/>
          <w:lang w:val="en-GB"/>
        </w:rPr>
        <w:t>.</w:t>
      </w:r>
    </w:p>
    <w:p w14:paraId="524B8374" w14:textId="43B0037B" w:rsidR="000C15A2" w:rsidRPr="000A0ADE" w:rsidRDefault="00B94719" w:rsidP="00B94719">
      <w:pPr>
        <w:snapToGrid w:val="0"/>
        <w:spacing w:before="120" w:after="240" w:line="480" w:lineRule="auto"/>
        <w:ind w:hanging="6"/>
        <w:jc w:val="both"/>
        <w:rPr>
          <w:rFonts w:cs="Arial"/>
          <w:lang w:val="en-GB"/>
        </w:rPr>
      </w:pPr>
      <w:r w:rsidRPr="000A0ADE">
        <w:rPr>
          <w:rFonts w:cs="Arial"/>
          <w:lang w:val="en-GB"/>
        </w:rPr>
        <w:lastRenderedPageBreak/>
        <w:t>[4]</w:t>
      </w:r>
      <w:r w:rsidRPr="000A0ADE">
        <w:rPr>
          <w:rFonts w:cs="Arial"/>
          <w:lang w:val="en-GB"/>
        </w:rPr>
        <w:tab/>
      </w:r>
      <w:r w:rsidR="00F43854" w:rsidRPr="000A0ADE">
        <w:rPr>
          <w:rFonts w:cs="Arial"/>
          <w:lang w:val="en-GB"/>
        </w:rPr>
        <w:t>The genesis of this matter is a complaint</w:t>
      </w:r>
      <w:r w:rsidR="00336740" w:rsidRPr="000A0ADE">
        <w:rPr>
          <w:rFonts w:cs="Arial"/>
          <w:lang w:val="en-GB"/>
        </w:rPr>
        <w:t xml:space="preserve"> (‘the complaint’)</w:t>
      </w:r>
      <w:r w:rsidR="00F43854" w:rsidRPr="000A0ADE">
        <w:rPr>
          <w:rFonts w:cs="Arial"/>
          <w:lang w:val="en-GB"/>
        </w:rPr>
        <w:t xml:space="preserve"> </w:t>
      </w:r>
      <w:r w:rsidR="00D735B4" w:rsidRPr="000A0ADE">
        <w:rPr>
          <w:rFonts w:cs="Arial"/>
          <w:lang w:val="en-GB"/>
        </w:rPr>
        <w:t xml:space="preserve">lodged </w:t>
      </w:r>
      <w:r w:rsidR="00F47F70" w:rsidRPr="000A0ADE">
        <w:rPr>
          <w:rFonts w:cs="Arial"/>
          <w:lang w:val="en-GB"/>
        </w:rPr>
        <w:t xml:space="preserve">against the applicant by </w:t>
      </w:r>
      <w:r w:rsidR="00336740" w:rsidRPr="000A0ADE">
        <w:rPr>
          <w:rFonts w:cs="Arial"/>
          <w:lang w:val="en-GB"/>
        </w:rPr>
        <w:t>#UniteBehind</w:t>
      </w:r>
      <w:r w:rsidR="00445BBC" w:rsidRPr="000A0ADE">
        <w:rPr>
          <w:rFonts w:cs="Arial"/>
          <w:lang w:val="en-GB"/>
        </w:rPr>
        <w:t>, on 12 September 2022</w:t>
      </w:r>
      <w:r w:rsidR="00657BBA" w:rsidRPr="000A0ADE">
        <w:rPr>
          <w:rFonts w:cs="Arial"/>
          <w:lang w:val="en-GB"/>
        </w:rPr>
        <w:t xml:space="preserve"> with the Joint Committee on Ethics and Members’ Interest</w:t>
      </w:r>
      <w:r w:rsidR="004176D8" w:rsidRPr="000A0ADE">
        <w:rPr>
          <w:rFonts w:cs="Arial"/>
          <w:lang w:val="en-GB"/>
        </w:rPr>
        <w:t>s</w:t>
      </w:r>
      <w:r w:rsidR="00657BBA" w:rsidRPr="000A0ADE">
        <w:rPr>
          <w:rFonts w:cs="Arial"/>
          <w:lang w:val="en-GB"/>
        </w:rPr>
        <w:t xml:space="preserve"> (‘the</w:t>
      </w:r>
      <w:r w:rsidR="00860E6B" w:rsidRPr="000A0ADE">
        <w:rPr>
          <w:rFonts w:cs="Arial"/>
          <w:lang w:val="en-GB"/>
        </w:rPr>
        <w:t> </w:t>
      </w:r>
      <w:r w:rsidR="00657BBA" w:rsidRPr="000A0ADE">
        <w:rPr>
          <w:rFonts w:cs="Arial"/>
          <w:lang w:val="en-GB"/>
        </w:rPr>
        <w:t>Committee’)</w:t>
      </w:r>
      <w:r w:rsidR="009C1949" w:rsidRPr="000A0ADE">
        <w:rPr>
          <w:rFonts w:cs="Arial"/>
          <w:lang w:val="en-GB"/>
        </w:rPr>
        <w:t>.</w:t>
      </w:r>
      <w:r w:rsidR="009C1949" w:rsidRPr="000A0ADE">
        <w:rPr>
          <w:rStyle w:val="FootnoteReference"/>
          <w:rFonts w:cs="Arial"/>
          <w:lang w:val="en-GB"/>
        </w:rPr>
        <w:footnoteReference w:id="1"/>
      </w:r>
      <w:r w:rsidR="00FA23FC" w:rsidRPr="000A0ADE">
        <w:rPr>
          <w:rFonts w:cs="Arial"/>
          <w:lang w:val="en-GB"/>
        </w:rPr>
        <w:t xml:space="preserve">  </w:t>
      </w:r>
    </w:p>
    <w:p w14:paraId="57AB009D" w14:textId="0CA57CC3" w:rsidR="003C2ACA" w:rsidRPr="000A0ADE" w:rsidRDefault="00B94719" w:rsidP="00B94719">
      <w:pPr>
        <w:snapToGrid w:val="0"/>
        <w:spacing w:before="120" w:after="240" w:line="480" w:lineRule="auto"/>
        <w:ind w:hanging="6"/>
        <w:jc w:val="both"/>
        <w:rPr>
          <w:rFonts w:cs="Arial"/>
          <w:lang w:val="en-GB"/>
        </w:rPr>
      </w:pPr>
      <w:r w:rsidRPr="000A0ADE">
        <w:rPr>
          <w:rFonts w:cs="Arial"/>
          <w:lang w:val="en-GB"/>
        </w:rPr>
        <w:t>[5]</w:t>
      </w:r>
      <w:r w:rsidRPr="000A0ADE">
        <w:rPr>
          <w:rFonts w:cs="Arial"/>
          <w:lang w:val="en-GB"/>
        </w:rPr>
        <w:tab/>
      </w:r>
      <w:r w:rsidR="00DC55D8" w:rsidRPr="000A0ADE">
        <w:rPr>
          <w:rFonts w:cs="Arial"/>
          <w:lang w:val="en-GB"/>
        </w:rPr>
        <w:t xml:space="preserve">The complaint </w:t>
      </w:r>
      <w:r w:rsidR="00B532E4" w:rsidRPr="000A0ADE">
        <w:rPr>
          <w:rFonts w:cs="Arial"/>
          <w:lang w:val="en-GB"/>
        </w:rPr>
        <w:t>s</w:t>
      </w:r>
      <w:r w:rsidR="004950E8" w:rsidRPr="000A0ADE">
        <w:rPr>
          <w:rFonts w:cs="Arial"/>
          <w:lang w:val="en-GB"/>
        </w:rPr>
        <w:t>ought</w:t>
      </w:r>
      <w:r w:rsidR="00B532E4" w:rsidRPr="000A0ADE">
        <w:rPr>
          <w:rFonts w:cs="Arial"/>
          <w:lang w:val="en-GB"/>
        </w:rPr>
        <w:t xml:space="preserve"> to hold the applicant to account for </w:t>
      </w:r>
      <w:r w:rsidR="0045045D" w:rsidRPr="000A0ADE">
        <w:rPr>
          <w:rFonts w:cs="Arial"/>
          <w:lang w:val="en-GB"/>
        </w:rPr>
        <w:t>what #UniteBehind terms “</w:t>
      </w:r>
      <w:r w:rsidR="0045045D" w:rsidRPr="000A0ADE">
        <w:rPr>
          <w:rFonts w:cs="Arial"/>
          <w:i/>
          <w:iCs/>
          <w:lang w:val="en-GB"/>
        </w:rPr>
        <w:t xml:space="preserve">serious cases of failing in her Parliamentary duties, maladministration, and taking </w:t>
      </w:r>
      <w:r w:rsidR="00FD3CA6" w:rsidRPr="000A0ADE">
        <w:rPr>
          <w:rFonts w:cs="Arial"/>
          <w:i/>
          <w:iCs/>
          <w:lang w:val="en-GB"/>
        </w:rPr>
        <w:t xml:space="preserve">[an] </w:t>
      </w:r>
      <w:r w:rsidR="0045045D" w:rsidRPr="000A0ADE">
        <w:rPr>
          <w:rFonts w:cs="Arial"/>
          <w:i/>
          <w:iCs/>
          <w:lang w:val="en-GB"/>
        </w:rPr>
        <w:t xml:space="preserve">active role in inhibiting the work of ensuring that corruption and </w:t>
      </w:r>
      <w:r w:rsidR="00FD3CA6" w:rsidRPr="000A0ADE">
        <w:rPr>
          <w:rFonts w:cs="Arial"/>
          <w:i/>
          <w:iCs/>
          <w:lang w:val="en-GB"/>
        </w:rPr>
        <w:t>malad</w:t>
      </w:r>
      <w:r w:rsidR="0045045D" w:rsidRPr="000A0ADE">
        <w:rPr>
          <w:rFonts w:cs="Arial"/>
          <w:i/>
          <w:iCs/>
          <w:lang w:val="en-GB"/>
        </w:rPr>
        <w:t>ministration be arrested at PRASA”</w:t>
      </w:r>
      <w:r w:rsidR="000C15A2" w:rsidRPr="000A0ADE">
        <w:rPr>
          <w:rFonts w:cs="Arial"/>
          <w:lang w:val="en-GB"/>
        </w:rPr>
        <w:t xml:space="preserve">.  </w:t>
      </w:r>
    </w:p>
    <w:p w14:paraId="25C64928" w14:textId="4D889ABF" w:rsidR="00360603" w:rsidRPr="000A0ADE" w:rsidRDefault="00B94719" w:rsidP="00B94719">
      <w:pPr>
        <w:snapToGrid w:val="0"/>
        <w:spacing w:before="120" w:after="240" w:line="480" w:lineRule="auto"/>
        <w:ind w:hanging="6"/>
        <w:jc w:val="both"/>
        <w:rPr>
          <w:rFonts w:cs="Arial"/>
          <w:lang w:val="en-GB"/>
        </w:rPr>
      </w:pPr>
      <w:r w:rsidRPr="000A0ADE">
        <w:rPr>
          <w:rFonts w:cs="Arial"/>
          <w:lang w:val="en-GB"/>
        </w:rPr>
        <w:t>[6]</w:t>
      </w:r>
      <w:r w:rsidRPr="000A0ADE">
        <w:rPr>
          <w:rFonts w:cs="Arial"/>
          <w:lang w:val="en-GB"/>
        </w:rPr>
        <w:tab/>
      </w:r>
      <w:r w:rsidR="00360603" w:rsidRPr="000A0ADE">
        <w:rPr>
          <w:rFonts w:cs="Arial"/>
          <w:lang w:val="en-GB"/>
        </w:rPr>
        <w:t>In essence</w:t>
      </w:r>
      <w:r w:rsidR="003C2ACA" w:rsidRPr="000A0ADE">
        <w:rPr>
          <w:rFonts w:cs="Arial"/>
          <w:lang w:val="en-GB"/>
        </w:rPr>
        <w:t>:</w:t>
      </w:r>
    </w:p>
    <w:p w14:paraId="357FC3A3" w14:textId="0711B63B" w:rsidR="001474E5"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[6.1]</w:t>
      </w:r>
      <w:r w:rsidRPr="000A0ADE">
        <w:rPr>
          <w:rFonts w:cs="Arial"/>
          <w:lang w:val="en-GB"/>
        </w:rPr>
        <w:tab/>
      </w:r>
      <w:r w:rsidR="001474E5" w:rsidRPr="000A0ADE">
        <w:rPr>
          <w:rFonts w:cs="Arial"/>
          <w:lang w:val="en-GB"/>
        </w:rPr>
        <w:t>The complaint alleges that t</w:t>
      </w:r>
      <w:r w:rsidR="00360603" w:rsidRPr="000A0ADE">
        <w:rPr>
          <w:rFonts w:cs="Arial"/>
          <w:lang w:val="en-GB"/>
        </w:rPr>
        <w:t xml:space="preserve">he applicant was neglectful in her previous portfolio as </w:t>
      </w:r>
      <w:r w:rsidR="001474E5" w:rsidRPr="000A0ADE">
        <w:rPr>
          <w:rFonts w:cs="Arial"/>
          <w:lang w:val="en-GB"/>
        </w:rPr>
        <w:t>M</w:t>
      </w:r>
      <w:r w:rsidR="00360603" w:rsidRPr="000A0ADE">
        <w:rPr>
          <w:rFonts w:cs="Arial"/>
          <w:lang w:val="en-GB"/>
        </w:rPr>
        <w:t xml:space="preserve">inister of </w:t>
      </w:r>
      <w:r w:rsidR="001474E5" w:rsidRPr="000A0ADE">
        <w:rPr>
          <w:rFonts w:cs="Arial"/>
          <w:lang w:val="en-GB"/>
        </w:rPr>
        <w:t>T</w:t>
      </w:r>
      <w:r w:rsidR="00360603" w:rsidRPr="000A0ADE">
        <w:rPr>
          <w:rFonts w:cs="Arial"/>
          <w:lang w:val="en-GB"/>
        </w:rPr>
        <w:t>ransport</w:t>
      </w:r>
      <w:r w:rsidR="003173C0" w:rsidRPr="000A0ADE">
        <w:rPr>
          <w:rFonts w:cs="Arial"/>
          <w:lang w:val="en-GB"/>
        </w:rPr>
        <w:t>,</w:t>
      </w:r>
      <w:r w:rsidR="00360603" w:rsidRPr="000A0ADE">
        <w:rPr>
          <w:rFonts w:cs="Arial"/>
          <w:lang w:val="en-GB"/>
        </w:rPr>
        <w:t xml:space="preserve"> by failing to appoint the </w:t>
      </w:r>
      <w:r w:rsidR="00725E3F" w:rsidRPr="000A0ADE">
        <w:rPr>
          <w:rFonts w:cs="Arial"/>
          <w:lang w:val="en-GB"/>
        </w:rPr>
        <w:t>G</w:t>
      </w:r>
      <w:r w:rsidR="00360603" w:rsidRPr="000A0ADE">
        <w:rPr>
          <w:rFonts w:cs="Arial"/>
          <w:lang w:val="en-GB"/>
        </w:rPr>
        <w:t xml:space="preserve">roup </w:t>
      </w:r>
      <w:r w:rsidR="00725E3F" w:rsidRPr="000A0ADE">
        <w:rPr>
          <w:rFonts w:cs="Arial"/>
          <w:lang w:val="en-GB"/>
        </w:rPr>
        <w:t>C</w:t>
      </w:r>
      <w:r w:rsidR="00360603" w:rsidRPr="000A0ADE">
        <w:rPr>
          <w:rFonts w:cs="Arial"/>
          <w:lang w:val="en-GB"/>
        </w:rPr>
        <w:t xml:space="preserve">hief </w:t>
      </w:r>
      <w:r w:rsidR="00725E3F" w:rsidRPr="000A0ADE">
        <w:rPr>
          <w:rFonts w:cs="Arial"/>
          <w:lang w:val="en-GB"/>
        </w:rPr>
        <w:t>E</w:t>
      </w:r>
      <w:r w:rsidR="00360603" w:rsidRPr="000A0ADE">
        <w:rPr>
          <w:rFonts w:cs="Arial"/>
          <w:lang w:val="en-GB"/>
        </w:rPr>
        <w:t xml:space="preserve">xecutive </w:t>
      </w:r>
      <w:r w:rsidR="00725E3F" w:rsidRPr="000A0ADE">
        <w:rPr>
          <w:rFonts w:cs="Arial"/>
          <w:lang w:val="en-GB"/>
        </w:rPr>
        <w:t>O</w:t>
      </w:r>
      <w:r w:rsidR="00360603" w:rsidRPr="000A0ADE">
        <w:rPr>
          <w:rFonts w:cs="Arial"/>
          <w:lang w:val="en-GB"/>
        </w:rPr>
        <w:t>fficer (</w:t>
      </w:r>
      <w:r w:rsidR="00725E3F" w:rsidRPr="000A0ADE">
        <w:rPr>
          <w:rFonts w:cs="Arial"/>
          <w:lang w:val="en-GB"/>
        </w:rPr>
        <w:t xml:space="preserve">‘CEO’) of PRASA.  </w:t>
      </w:r>
    </w:p>
    <w:p w14:paraId="0219E12F" w14:textId="61D01710" w:rsidR="008F45DF"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[6.2]</w:t>
      </w:r>
      <w:r w:rsidRPr="000A0ADE">
        <w:rPr>
          <w:rFonts w:cs="Arial"/>
          <w:lang w:val="en-GB"/>
        </w:rPr>
        <w:tab/>
      </w:r>
      <w:r w:rsidR="00F66637" w:rsidRPr="000A0ADE">
        <w:rPr>
          <w:rFonts w:cs="Arial"/>
          <w:lang w:val="en-GB"/>
        </w:rPr>
        <w:t>The complainant alleges that the applicant stated in her testimony before the State Capture Commission that she did not appoint a permanent CEO because PRASA was not ready for one</w:t>
      </w:r>
      <w:r w:rsidR="003173C0" w:rsidRPr="000A0ADE">
        <w:rPr>
          <w:rFonts w:cs="Arial"/>
          <w:lang w:val="en-GB"/>
        </w:rPr>
        <w:t>,</w:t>
      </w:r>
      <w:r w:rsidR="00F66637" w:rsidRPr="000A0ADE">
        <w:rPr>
          <w:rFonts w:cs="Arial"/>
          <w:lang w:val="en-GB"/>
        </w:rPr>
        <w:t xml:space="preserve"> and that her failure to act on the recommendation of the PRASA </w:t>
      </w:r>
      <w:r w:rsidR="00D8718E" w:rsidRPr="000A0ADE">
        <w:rPr>
          <w:rFonts w:cs="Arial"/>
          <w:lang w:val="en-GB"/>
        </w:rPr>
        <w:t>b</w:t>
      </w:r>
      <w:r w:rsidR="00F66637" w:rsidRPr="000A0ADE">
        <w:rPr>
          <w:rFonts w:cs="Arial"/>
          <w:lang w:val="en-GB"/>
        </w:rPr>
        <w:t>oard to appoint a CEO resulted in a loss of R1 767 000 that was paid by PRASA to a recruitment company.</w:t>
      </w:r>
    </w:p>
    <w:p w14:paraId="3E95BF77" w14:textId="70C8C8E6" w:rsidR="00D8718E"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[6.3]</w:t>
      </w:r>
      <w:r w:rsidRPr="000A0ADE">
        <w:rPr>
          <w:rFonts w:cs="Arial"/>
          <w:lang w:val="en-GB"/>
        </w:rPr>
        <w:tab/>
      </w:r>
      <w:r w:rsidR="003173C0" w:rsidRPr="000A0ADE">
        <w:rPr>
          <w:rFonts w:cs="Arial"/>
          <w:lang w:val="en-GB"/>
        </w:rPr>
        <w:t>The complainant alleges that t</w:t>
      </w:r>
      <w:r w:rsidR="00134A77" w:rsidRPr="000A0ADE">
        <w:rPr>
          <w:rFonts w:cs="Arial"/>
          <w:lang w:val="en-GB"/>
        </w:rPr>
        <w:t>he applicant dismiss</w:t>
      </w:r>
      <w:r w:rsidR="003173C0" w:rsidRPr="000A0ADE">
        <w:rPr>
          <w:rFonts w:cs="Arial"/>
          <w:lang w:val="en-GB"/>
        </w:rPr>
        <w:t>ed</w:t>
      </w:r>
      <w:r w:rsidR="00134A77" w:rsidRPr="000A0ADE">
        <w:rPr>
          <w:rFonts w:cs="Arial"/>
          <w:lang w:val="en-GB"/>
        </w:rPr>
        <w:t xml:space="preserve"> the </w:t>
      </w:r>
      <w:r w:rsidR="003173C0" w:rsidRPr="000A0ADE">
        <w:rPr>
          <w:rFonts w:cs="Arial"/>
          <w:lang w:val="en-GB"/>
        </w:rPr>
        <w:t xml:space="preserve">PRASA </w:t>
      </w:r>
      <w:r w:rsidR="00134A77" w:rsidRPr="000A0ADE">
        <w:rPr>
          <w:rFonts w:cs="Arial"/>
          <w:lang w:val="en-GB"/>
        </w:rPr>
        <w:t xml:space="preserve">board that was chaired by </w:t>
      </w:r>
      <w:r w:rsidR="00D602ED" w:rsidRPr="000A0ADE">
        <w:rPr>
          <w:rFonts w:cs="Arial"/>
          <w:lang w:val="en-GB"/>
        </w:rPr>
        <w:t>Mr Popo Molefe</w:t>
      </w:r>
      <w:r w:rsidR="003173C0" w:rsidRPr="000A0ADE">
        <w:rPr>
          <w:rFonts w:cs="Arial"/>
          <w:lang w:val="en-GB"/>
        </w:rPr>
        <w:t>,</w:t>
      </w:r>
      <w:r w:rsidR="00134A77" w:rsidRPr="000A0ADE">
        <w:rPr>
          <w:rFonts w:cs="Arial"/>
          <w:lang w:val="en-GB"/>
        </w:rPr>
        <w:t xml:space="preserve"> because </w:t>
      </w:r>
      <w:r w:rsidR="003173C0" w:rsidRPr="000A0ADE">
        <w:rPr>
          <w:rFonts w:cs="Arial"/>
          <w:lang w:val="en-GB"/>
        </w:rPr>
        <w:t xml:space="preserve">the PRASA board </w:t>
      </w:r>
      <w:r w:rsidR="00134A77" w:rsidRPr="000A0ADE">
        <w:rPr>
          <w:rFonts w:cs="Arial"/>
          <w:lang w:val="en-GB"/>
        </w:rPr>
        <w:t xml:space="preserve">had uncovered </w:t>
      </w:r>
      <w:r w:rsidR="00D602ED" w:rsidRPr="000A0ADE">
        <w:rPr>
          <w:rFonts w:cs="Arial"/>
          <w:lang w:val="en-GB"/>
        </w:rPr>
        <w:t>R14</w:t>
      </w:r>
      <w:r w:rsidR="002101F1" w:rsidRPr="000A0ADE">
        <w:rPr>
          <w:rFonts w:cs="Arial"/>
          <w:lang w:val="en-GB"/>
        </w:rPr>
        <w:t> </w:t>
      </w:r>
      <w:r w:rsidR="003173C0" w:rsidRPr="000A0ADE">
        <w:rPr>
          <w:rFonts w:cs="Arial"/>
          <w:lang w:val="en-GB"/>
        </w:rPr>
        <w:t>billion</w:t>
      </w:r>
      <w:r w:rsidR="00134A77" w:rsidRPr="000A0ADE">
        <w:rPr>
          <w:rFonts w:cs="Arial"/>
          <w:lang w:val="en-GB"/>
        </w:rPr>
        <w:t xml:space="preserve"> of irregular expenditure</w:t>
      </w:r>
      <w:r w:rsidR="003173C0" w:rsidRPr="000A0ADE">
        <w:rPr>
          <w:rFonts w:cs="Arial"/>
          <w:lang w:val="en-GB"/>
        </w:rPr>
        <w:t>,</w:t>
      </w:r>
      <w:r w:rsidR="00134A77" w:rsidRPr="000A0ADE">
        <w:rPr>
          <w:rFonts w:cs="Arial"/>
          <w:lang w:val="en-GB"/>
        </w:rPr>
        <w:t xml:space="preserve"> and it had instituted investigations into corruption at </w:t>
      </w:r>
      <w:r w:rsidR="00435B33" w:rsidRPr="000A0ADE">
        <w:rPr>
          <w:rFonts w:cs="Arial"/>
          <w:lang w:val="en-GB"/>
        </w:rPr>
        <w:t>PRASA.</w:t>
      </w:r>
      <w:r w:rsidR="00134A77" w:rsidRPr="000A0ADE">
        <w:rPr>
          <w:rFonts w:cs="Arial"/>
          <w:lang w:val="en-GB"/>
        </w:rPr>
        <w:t xml:space="preserve"> </w:t>
      </w:r>
    </w:p>
    <w:p w14:paraId="28D8DF9E" w14:textId="212703C8" w:rsidR="004F663C"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lastRenderedPageBreak/>
        <w:t>[6.4]</w:t>
      </w:r>
      <w:r w:rsidRPr="000A0ADE">
        <w:rPr>
          <w:rFonts w:cs="Arial"/>
          <w:lang w:val="en-GB"/>
        </w:rPr>
        <w:tab/>
      </w:r>
      <w:r w:rsidR="00435B33" w:rsidRPr="000A0ADE">
        <w:rPr>
          <w:rFonts w:cs="Arial"/>
          <w:lang w:val="en-GB"/>
        </w:rPr>
        <w:t>T</w:t>
      </w:r>
      <w:r w:rsidR="00134A77" w:rsidRPr="000A0ADE">
        <w:rPr>
          <w:rFonts w:cs="Arial"/>
          <w:lang w:val="en-GB"/>
        </w:rPr>
        <w:t xml:space="preserve">he complaint </w:t>
      </w:r>
      <w:r w:rsidR="00D8718E" w:rsidRPr="000A0ADE">
        <w:rPr>
          <w:rFonts w:cs="Arial"/>
          <w:lang w:val="en-GB"/>
        </w:rPr>
        <w:t>alleges</w:t>
      </w:r>
      <w:r w:rsidR="00134A77" w:rsidRPr="000A0ADE">
        <w:rPr>
          <w:rFonts w:cs="Arial"/>
          <w:lang w:val="en-GB"/>
        </w:rPr>
        <w:t xml:space="preserve"> that the High Court </w:t>
      </w:r>
      <w:r w:rsidR="00254079" w:rsidRPr="000A0ADE">
        <w:rPr>
          <w:rFonts w:cs="Arial"/>
          <w:lang w:val="en-GB"/>
        </w:rPr>
        <w:t xml:space="preserve">in </w:t>
      </w:r>
      <w:r w:rsidR="00734C6A" w:rsidRPr="000A0ADE">
        <w:rPr>
          <w:rStyle w:val="Emphasis"/>
          <w:lang w:val="en-GB"/>
        </w:rPr>
        <w:t>Molefe and Others v Minister of Transport and Others (17748/17)[2017]ZAGPPHC</w:t>
      </w:r>
      <w:r w:rsidR="00186902" w:rsidRPr="000A0ADE">
        <w:rPr>
          <w:rStyle w:val="Emphasis"/>
          <w:i w:val="0"/>
          <w:iCs w:val="0"/>
          <w:lang w:val="en-GB"/>
        </w:rPr>
        <w:t xml:space="preserve"> (‘</w:t>
      </w:r>
      <w:r w:rsidR="00186902" w:rsidRPr="000A0ADE">
        <w:rPr>
          <w:rStyle w:val="Emphasis"/>
          <w:lang w:val="en-GB"/>
        </w:rPr>
        <w:t>Molefe v Minister of Transport</w:t>
      </w:r>
      <w:r w:rsidR="00186902" w:rsidRPr="000A0ADE">
        <w:rPr>
          <w:rStyle w:val="Emphasis"/>
          <w:i w:val="0"/>
          <w:iCs w:val="0"/>
          <w:lang w:val="en-GB"/>
        </w:rPr>
        <w:t>’)</w:t>
      </w:r>
      <w:r w:rsidR="00734C6A" w:rsidRPr="000A0ADE">
        <w:rPr>
          <w:rStyle w:val="Emphasis"/>
          <w:lang w:val="en-GB"/>
        </w:rPr>
        <w:t xml:space="preserve"> </w:t>
      </w:r>
      <w:r w:rsidR="00134A77" w:rsidRPr="000A0ADE">
        <w:rPr>
          <w:rFonts w:cs="Arial"/>
          <w:lang w:val="en-GB"/>
        </w:rPr>
        <w:t>found that the applicant</w:t>
      </w:r>
      <w:r w:rsidR="00734C6A" w:rsidRPr="000A0ADE">
        <w:rPr>
          <w:rFonts w:cs="Arial"/>
          <w:lang w:val="en-GB"/>
        </w:rPr>
        <w:t>’</w:t>
      </w:r>
      <w:r w:rsidR="00134A77" w:rsidRPr="000A0ADE">
        <w:rPr>
          <w:rFonts w:cs="Arial"/>
          <w:lang w:val="en-GB"/>
        </w:rPr>
        <w:t xml:space="preserve">s conduct in dismissing the </w:t>
      </w:r>
      <w:r w:rsidR="003173C0" w:rsidRPr="000A0ADE">
        <w:rPr>
          <w:rFonts w:cs="Arial"/>
          <w:lang w:val="en-GB"/>
        </w:rPr>
        <w:t>PRASA b</w:t>
      </w:r>
      <w:r w:rsidR="00134A77" w:rsidRPr="000A0ADE">
        <w:rPr>
          <w:rFonts w:cs="Arial"/>
          <w:lang w:val="en-GB"/>
        </w:rPr>
        <w:t>oard was irrational</w:t>
      </w:r>
      <w:r w:rsidR="00734C6A" w:rsidRPr="000A0ADE">
        <w:rPr>
          <w:rFonts w:cs="Arial"/>
          <w:lang w:val="en-GB"/>
        </w:rPr>
        <w:t xml:space="preserve">, </w:t>
      </w:r>
      <w:r w:rsidR="00134A77" w:rsidRPr="000A0ADE">
        <w:rPr>
          <w:rFonts w:cs="Arial"/>
          <w:lang w:val="en-GB"/>
        </w:rPr>
        <w:t>unreasonable and unlawful</w:t>
      </w:r>
      <w:r w:rsidR="004F663C" w:rsidRPr="000A0ADE">
        <w:rPr>
          <w:rFonts w:cs="Arial"/>
          <w:lang w:val="en-GB"/>
        </w:rPr>
        <w:t>.</w:t>
      </w:r>
    </w:p>
    <w:p w14:paraId="09FD1055" w14:textId="25A76053" w:rsidR="00F66637"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[6.5]</w:t>
      </w:r>
      <w:r w:rsidRPr="000A0ADE">
        <w:rPr>
          <w:rFonts w:cs="Arial"/>
          <w:lang w:val="en-GB"/>
        </w:rPr>
        <w:tab/>
      </w:r>
      <w:r w:rsidR="004F663C" w:rsidRPr="000A0ADE">
        <w:rPr>
          <w:rFonts w:cs="Arial"/>
          <w:lang w:val="en-GB"/>
        </w:rPr>
        <w:t>The complaint</w:t>
      </w:r>
      <w:r w:rsidR="00134A77" w:rsidRPr="000A0ADE">
        <w:rPr>
          <w:rFonts w:cs="Arial"/>
          <w:lang w:val="en-GB"/>
        </w:rPr>
        <w:t xml:space="preserve"> further allege</w:t>
      </w:r>
      <w:r w:rsidR="00D12D3B" w:rsidRPr="000A0ADE">
        <w:rPr>
          <w:rFonts w:cs="Arial"/>
          <w:lang w:val="en-GB"/>
        </w:rPr>
        <w:t>s</w:t>
      </w:r>
      <w:r w:rsidR="00134A77" w:rsidRPr="000A0ADE">
        <w:rPr>
          <w:rFonts w:cs="Arial"/>
          <w:lang w:val="en-GB"/>
        </w:rPr>
        <w:t xml:space="preserve"> that the applicant failed to investigate an allegation </w:t>
      </w:r>
      <w:r w:rsidR="004F663C" w:rsidRPr="000A0ADE">
        <w:rPr>
          <w:rFonts w:cs="Arial"/>
          <w:lang w:val="en-GB"/>
        </w:rPr>
        <w:t>that</w:t>
      </w:r>
      <w:r w:rsidR="00134A77" w:rsidRPr="000A0ADE">
        <w:rPr>
          <w:rFonts w:cs="Arial"/>
          <w:lang w:val="en-GB"/>
        </w:rPr>
        <w:t xml:space="preserve"> </w:t>
      </w:r>
      <w:r w:rsidR="00DA3F4C" w:rsidRPr="000A0ADE">
        <w:rPr>
          <w:rFonts w:cs="Arial"/>
          <w:lang w:val="en-GB"/>
        </w:rPr>
        <w:t>R79</w:t>
      </w:r>
      <w:r w:rsidR="004F663C" w:rsidRPr="000A0ADE">
        <w:rPr>
          <w:rFonts w:cs="Arial"/>
          <w:lang w:val="en-GB"/>
        </w:rPr>
        <w:t> </w:t>
      </w:r>
      <w:r w:rsidR="003173C0" w:rsidRPr="000A0ADE">
        <w:rPr>
          <w:rFonts w:cs="Arial"/>
          <w:lang w:val="en-GB"/>
        </w:rPr>
        <w:t>billion</w:t>
      </w:r>
      <w:r w:rsidR="00DA3F4C" w:rsidRPr="000A0ADE">
        <w:rPr>
          <w:rFonts w:cs="Arial"/>
          <w:lang w:val="en-GB"/>
        </w:rPr>
        <w:t xml:space="preserve"> of PRASA </w:t>
      </w:r>
      <w:r w:rsidR="003173C0" w:rsidRPr="000A0ADE">
        <w:rPr>
          <w:rFonts w:cs="Arial"/>
          <w:lang w:val="en-GB"/>
        </w:rPr>
        <w:t xml:space="preserve">funds </w:t>
      </w:r>
      <w:r w:rsidR="004F663C" w:rsidRPr="000A0ADE">
        <w:rPr>
          <w:rFonts w:cs="Arial"/>
          <w:lang w:val="en-GB"/>
        </w:rPr>
        <w:t>was</w:t>
      </w:r>
      <w:r w:rsidR="003173C0" w:rsidRPr="000A0ADE">
        <w:rPr>
          <w:rFonts w:cs="Arial"/>
          <w:lang w:val="en-GB"/>
        </w:rPr>
        <w:t xml:space="preserve"> </w:t>
      </w:r>
      <w:r w:rsidR="00DA3F4C" w:rsidRPr="000A0ADE">
        <w:rPr>
          <w:rFonts w:cs="Arial"/>
          <w:lang w:val="en-GB"/>
        </w:rPr>
        <w:t xml:space="preserve">paid to Swifambo and </w:t>
      </w:r>
      <w:r w:rsidR="00D36586" w:rsidRPr="000A0ADE">
        <w:rPr>
          <w:rFonts w:cs="Arial"/>
          <w:lang w:val="en-GB"/>
        </w:rPr>
        <w:t xml:space="preserve">to </w:t>
      </w:r>
      <w:r w:rsidR="003977E4" w:rsidRPr="000A0ADE">
        <w:rPr>
          <w:rFonts w:cs="Arial"/>
          <w:lang w:val="en-GB"/>
        </w:rPr>
        <w:t xml:space="preserve">other persons </w:t>
      </w:r>
      <w:r w:rsidR="00134A77" w:rsidRPr="000A0ADE">
        <w:rPr>
          <w:rFonts w:cs="Arial"/>
          <w:lang w:val="en-GB"/>
        </w:rPr>
        <w:t xml:space="preserve">for distribution to the African </w:t>
      </w:r>
      <w:r w:rsidR="003977E4" w:rsidRPr="000A0ADE">
        <w:rPr>
          <w:rFonts w:cs="Arial"/>
          <w:lang w:val="en-GB"/>
        </w:rPr>
        <w:t>N</w:t>
      </w:r>
      <w:r w:rsidR="00134A77" w:rsidRPr="000A0ADE">
        <w:rPr>
          <w:rFonts w:cs="Arial"/>
          <w:lang w:val="en-GB"/>
        </w:rPr>
        <w:t>ational</w:t>
      </w:r>
      <w:r w:rsidR="00D602ED" w:rsidRPr="000A0ADE">
        <w:rPr>
          <w:rFonts w:cs="Arial"/>
          <w:lang w:val="en-GB"/>
        </w:rPr>
        <w:t xml:space="preserve"> </w:t>
      </w:r>
      <w:r w:rsidR="003977E4" w:rsidRPr="000A0ADE">
        <w:rPr>
          <w:rFonts w:cs="Arial"/>
          <w:lang w:val="en-GB"/>
        </w:rPr>
        <w:t>Congress (‘the</w:t>
      </w:r>
      <w:r w:rsidR="00D36586" w:rsidRPr="000A0ADE">
        <w:rPr>
          <w:rFonts w:cs="Arial"/>
          <w:lang w:val="en-GB"/>
        </w:rPr>
        <w:t> </w:t>
      </w:r>
      <w:r w:rsidR="003977E4" w:rsidRPr="000A0ADE">
        <w:rPr>
          <w:rFonts w:cs="Arial"/>
          <w:lang w:val="en-GB"/>
        </w:rPr>
        <w:t>ANC’)</w:t>
      </w:r>
      <w:r w:rsidR="00D602ED" w:rsidRPr="000A0ADE">
        <w:rPr>
          <w:rFonts w:cs="Arial"/>
          <w:lang w:val="en-GB"/>
        </w:rPr>
        <w:t xml:space="preserve"> while she was under a duty to ensure that corruption </w:t>
      </w:r>
      <w:r w:rsidR="003977E4" w:rsidRPr="000A0ADE">
        <w:rPr>
          <w:rFonts w:cs="Arial"/>
          <w:lang w:val="en-GB"/>
        </w:rPr>
        <w:t>was</w:t>
      </w:r>
      <w:r w:rsidR="00D602ED" w:rsidRPr="000A0ADE">
        <w:rPr>
          <w:rFonts w:cs="Arial"/>
          <w:lang w:val="en-GB"/>
        </w:rPr>
        <w:t xml:space="preserve"> rooted out from public entit</w:t>
      </w:r>
      <w:r w:rsidR="003977E4" w:rsidRPr="000A0ADE">
        <w:rPr>
          <w:rFonts w:cs="Arial"/>
          <w:lang w:val="en-GB"/>
        </w:rPr>
        <w:t>ies</w:t>
      </w:r>
      <w:r w:rsidR="00D602ED" w:rsidRPr="000A0ADE">
        <w:rPr>
          <w:rFonts w:cs="Arial"/>
          <w:lang w:val="en-GB"/>
        </w:rPr>
        <w:t xml:space="preserve"> falling under the </w:t>
      </w:r>
      <w:r w:rsidR="003977E4" w:rsidRPr="000A0ADE">
        <w:rPr>
          <w:rFonts w:cs="Arial"/>
          <w:lang w:val="en-GB"/>
        </w:rPr>
        <w:t xml:space="preserve">auspices of the </w:t>
      </w:r>
      <w:r w:rsidR="00D602ED" w:rsidRPr="000A0ADE">
        <w:rPr>
          <w:rFonts w:cs="Arial"/>
          <w:lang w:val="en-GB"/>
        </w:rPr>
        <w:t xml:space="preserve">Department of </w:t>
      </w:r>
      <w:r w:rsidR="003977E4" w:rsidRPr="000A0ADE">
        <w:rPr>
          <w:rFonts w:cs="Arial"/>
          <w:lang w:val="en-GB"/>
        </w:rPr>
        <w:t>T</w:t>
      </w:r>
      <w:r w:rsidR="00D602ED" w:rsidRPr="000A0ADE">
        <w:rPr>
          <w:rFonts w:cs="Arial"/>
          <w:lang w:val="en-GB"/>
        </w:rPr>
        <w:t>ransport.</w:t>
      </w:r>
    </w:p>
    <w:p w14:paraId="7D007E6B" w14:textId="5E455A55" w:rsidR="00B54046"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[6.6]</w:t>
      </w:r>
      <w:r w:rsidRPr="000A0ADE">
        <w:rPr>
          <w:rFonts w:cs="Arial"/>
          <w:lang w:val="en-GB"/>
        </w:rPr>
        <w:tab/>
      </w:r>
      <w:r w:rsidR="003173C0" w:rsidRPr="000A0ADE">
        <w:rPr>
          <w:rFonts w:cs="Arial"/>
          <w:lang w:val="en-GB"/>
        </w:rPr>
        <w:t>The complain</w:t>
      </w:r>
      <w:r w:rsidR="00C52EED" w:rsidRPr="000A0ADE">
        <w:rPr>
          <w:rFonts w:cs="Arial"/>
          <w:lang w:val="en-GB"/>
        </w:rPr>
        <w:t>t</w:t>
      </w:r>
      <w:r w:rsidR="003173C0" w:rsidRPr="000A0ADE">
        <w:rPr>
          <w:rFonts w:cs="Arial"/>
          <w:lang w:val="en-GB"/>
        </w:rPr>
        <w:t xml:space="preserve"> alleges that b</w:t>
      </w:r>
      <w:r w:rsidR="00225146" w:rsidRPr="000A0ADE">
        <w:rPr>
          <w:rFonts w:cs="Arial"/>
          <w:lang w:val="en-GB"/>
        </w:rPr>
        <w:t>etween 2014 and 2015</w:t>
      </w:r>
      <w:r w:rsidR="003173C0" w:rsidRPr="000A0ADE">
        <w:rPr>
          <w:rFonts w:cs="Arial"/>
          <w:lang w:val="en-GB"/>
        </w:rPr>
        <w:t>,</w:t>
      </w:r>
      <w:r w:rsidR="00225146" w:rsidRPr="000A0ADE">
        <w:rPr>
          <w:rFonts w:cs="Arial"/>
          <w:lang w:val="en-GB"/>
        </w:rPr>
        <w:t xml:space="preserve"> the applicant utilised </w:t>
      </w:r>
      <w:r w:rsidR="00B9624D" w:rsidRPr="000A0ADE">
        <w:rPr>
          <w:rFonts w:cs="Arial"/>
          <w:lang w:val="en-GB"/>
        </w:rPr>
        <w:t>PRASA</w:t>
      </w:r>
      <w:r w:rsidR="00225146" w:rsidRPr="000A0ADE">
        <w:rPr>
          <w:rFonts w:cs="Arial"/>
          <w:lang w:val="en-GB"/>
        </w:rPr>
        <w:t xml:space="preserve"> buses for ANC events without ensuring that there was a payment from the ANC</w:t>
      </w:r>
      <w:r w:rsidR="00B9624D" w:rsidRPr="000A0ADE">
        <w:rPr>
          <w:rFonts w:cs="Arial"/>
          <w:lang w:val="en-GB"/>
        </w:rPr>
        <w:t xml:space="preserve">.  </w:t>
      </w:r>
    </w:p>
    <w:p w14:paraId="15D2F5D7" w14:textId="2234CA65" w:rsidR="003977E4"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[6.7]</w:t>
      </w:r>
      <w:r w:rsidRPr="000A0ADE">
        <w:rPr>
          <w:rFonts w:cs="Arial"/>
          <w:lang w:val="en-GB"/>
        </w:rPr>
        <w:tab/>
      </w:r>
      <w:r w:rsidR="00B9624D" w:rsidRPr="000A0ADE">
        <w:rPr>
          <w:rFonts w:cs="Arial"/>
          <w:lang w:val="en-GB"/>
        </w:rPr>
        <w:t>The complaint further alleges</w:t>
      </w:r>
      <w:r w:rsidR="00225146" w:rsidRPr="000A0ADE">
        <w:rPr>
          <w:rFonts w:cs="Arial"/>
          <w:lang w:val="en-GB"/>
        </w:rPr>
        <w:t xml:space="preserve"> that </w:t>
      </w:r>
      <w:r w:rsidR="003173C0" w:rsidRPr="000A0ADE">
        <w:rPr>
          <w:rFonts w:cs="Arial"/>
          <w:lang w:val="en-GB"/>
        </w:rPr>
        <w:t xml:space="preserve">the applicant </w:t>
      </w:r>
      <w:r w:rsidR="00225146" w:rsidRPr="000A0ADE">
        <w:rPr>
          <w:rFonts w:cs="Arial"/>
          <w:lang w:val="en-GB"/>
        </w:rPr>
        <w:t xml:space="preserve">influenced procurement processes </w:t>
      </w:r>
      <w:r w:rsidR="00B9624D" w:rsidRPr="000A0ADE">
        <w:rPr>
          <w:rFonts w:cs="Arial"/>
          <w:lang w:val="en-GB"/>
        </w:rPr>
        <w:t xml:space="preserve">by </w:t>
      </w:r>
      <w:r w:rsidR="00225146" w:rsidRPr="000A0ADE">
        <w:rPr>
          <w:rFonts w:cs="Arial"/>
          <w:lang w:val="en-GB"/>
        </w:rPr>
        <w:t xml:space="preserve">pressuring the </w:t>
      </w:r>
      <w:r w:rsidR="00B9624D" w:rsidRPr="000A0ADE">
        <w:rPr>
          <w:rFonts w:cs="Arial"/>
          <w:lang w:val="en-GB"/>
        </w:rPr>
        <w:t xml:space="preserve">PRASA </w:t>
      </w:r>
      <w:r w:rsidR="00225146" w:rsidRPr="000A0ADE">
        <w:rPr>
          <w:rFonts w:cs="Arial"/>
          <w:lang w:val="en-GB"/>
        </w:rPr>
        <w:t xml:space="preserve">CEO and </w:t>
      </w:r>
      <w:r w:rsidR="003173C0" w:rsidRPr="000A0ADE">
        <w:rPr>
          <w:rFonts w:cs="Arial"/>
          <w:lang w:val="en-GB"/>
        </w:rPr>
        <w:t>the PRASA b</w:t>
      </w:r>
      <w:r w:rsidR="00225146" w:rsidRPr="000A0ADE">
        <w:rPr>
          <w:rFonts w:cs="Arial"/>
          <w:lang w:val="en-GB"/>
        </w:rPr>
        <w:t>oard</w:t>
      </w:r>
      <w:r w:rsidR="00B9624D" w:rsidRPr="000A0ADE">
        <w:rPr>
          <w:rFonts w:cs="Arial"/>
          <w:lang w:val="en-GB"/>
        </w:rPr>
        <w:t>,</w:t>
      </w:r>
      <w:r w:rsidR="00225146" w:rsidRPr="000A0ADE">
        <w:rPr>
          <w:rFonts w:cs="Arial"/>
          <w:lang w:val="en-GB"/>
        </w:rPr>
        <w:t xml:space="preserve"> based on the nationality of the tender applicant</w:t>
      </w:r>
      <w:r w:rsidR="003173C0" w:rsidRPr="000A0ADE">
        <w:rPr>
          <w:rFonts w:cs="Arial"/>
          <w:lang w:val="en-GB"/>
        </w:rPr>
        <w:t>,</w:t>
      </w:r>
      <w:r w:rsidR="00225146" w:rsidRPr="000A0ADE">
        <w:rPr>
          <w:rFonts w:cs="Arial"/>
          <w:lang w:val="en-GB"/>
        </w:rPr>
        <w:t xml:space="preserve"> and that she demanded a change of the procurement </w:t>
      </w:r>
      <w:r w:rsidR="00B9624D" w:rsidRPr="000A0ADE">
        <w:rPr>
          <w:rFonts w:cs="Arial"/>
          <w:lang w:val="en-GB"/>
        </w:rPr>
        <w:t>pre</w:t>
      </w:r>
      <w:r w:rsidR="00507200" w:rsidRPr="000A0ADE">
        <w:rPr>
          <w:rFonts w:cs="Arial"/>
          <w:lang w:val="en-GB"/>
        </w:rPr>
        <w:t>scripts</w:t>
      </w:r>
      <w:r w:rsidR="002872CF" w:rsidRPr="000A0ADE">
        <w:rPr>
          <w:rFonts w:cs="Arial"/>
          <w:lang w:val="en-GB"/>
        </w:rPr>
        <w:t>,</w:t>
      </w:r>
      <w:r w:rsidR="00225146" w:rsidRPr="000A0ADE">
        <w:rPr>
          <w:rFonts w:cs="Arial"/>
          <w:lang w:val="en-GB"/>
        </w:rPr>
        <w:t xml:space="preserve"> despite </w:t>
      </w:r>
      <w:r w:rsidR="00B54046" w:rsidRPr="000A0ADE">
        <w:rPr>
          <w:rFonts w:cs="Arial"/>
          <w:lang w:val="en-GB"/>
        </w:rPr>
        <w:t xml:space="preserve">a </w:t>
      </w:r>
      <w:r w:rsidR="00225146" w:rsidRPr="000A0ADE">
        <w:rPr>
          <w:rFonts w:cs="Arial"/>
          <w:lang w:val="en-GB"/>
        </w:rPr>
        <w:t xml:space="preserve">legal opinion </w:t>
      </w:r>
      <w:r w:rsidR="00507200" w:rsidRPr="000A0ADE">
        <w:rPr>
          <w:rFonts w:cs="Arial"/>
          <w:lang w:val="en-GB"/>
        </w:rPr>
        <w:t>which noted</w:t>
      </w:r>
      <w:r w:rsidR="00B9624D" w:rsidRPr="000A0ADE">
        <w:rPr>
          <w:rFonts w:cs="Arial"/>
          <w:lang w:val="en-GB"/>
        </w:rPr>
        <w:t xml:space="preserve"> that such changes would be unlawful</w:t>
      </w:r>
      <w:r w:rsidR="00507200" w:rsidRPr="000A0ADE">
        <w:rPr>
          <w:rFonts w:cs="Arial"/>
          <w:lang w:val="en-GB"/>
        </w:rPr>
        <w:t>.</w:t>
      </w:r>
    </w:p>
    <w:p w14:paraId="6E78AF0E" w14:textId="6F36BE70" w:rsidR="008F45DF" w:rsidRPr="000A0ADE" w:rsidRDefault="00B94719" w:rsidP="00B94719">
      <w:pPr>
        <w:snapToGrid w:val="0"/>
        <w:spacing w:before="120" w:after="240" w:line="480" w:lineRule="auto"/>
        <w:ind w:hanging="6"/>
        <w:jc w:val="both"/>
        <w:rPr>
          <w:rFonts w:cs="Arial"/>
          <w:lang w:val="en-GB"/>
        </w:rPr>
      </w:pPr>
      <w:r w:rsidRPr="000A0ADE">
        <w:rPr>
          <w:rFonts w:cs="Arial"/>
          <w:lang w:val="en-GB"/>
        </w:rPr>
        <w:t>[7]</w:t>
      </w:r>
      <w:r w:rsidRPr="000A0ADE">
        <w:rPr>
          <w:rFonts w:cs="Arial"/>
          <w:lang w:val="en-GB"/>
        </w:rPr>
        <w:tab/>
      </w:r>
      <w:r w:rsidR="006276FF" w:rsidRPr="000A0ADE">
        <w:rPr>
          <w:rFonts w:cs="Arial"/>
          <w:lang w:val="en-GB"/>
        </w:rPr>
        <w:t>It is common cause that on receipt of the complaint</w:t>
      </w:r>
      <w:r w:rsidR="002872CF" w:rsidRPr="000A0ADE">
        <w:rPr>
          <w:rFonts w:cs="Arial"/>
          <w:lang w:val="en-GB"/>
        </w:rPr>
        <w:t>,</w:t>
      </w:r>
      <w:r w:rsidR="006276FF" w:rsidRPr="000A0ADE">
        <w:rPr>
          <w:rFonts w:cs="Arial"/>
          <w:lang w:val="en-GB"/>
        </w:rPr>
        <w:t xml:space="preserve"> the third respondent (</w:t>
      </w:r>
      <w:r w:rsidR="00E44DEB" w:rsidRPr="000A0ADE">
        <w:rPr>
          <w:rFonts w:cs="Arial"/>
          <w:lang w:val="en-GB"/>
        </w:rPr>
        <w:t>‘</w:t>
      </w:r>
      <w:r w:rsidR="006276FF" w:rsidRPr="000A0ADE">
        <w:rPr>
          <w:rFonts w:cs="Arial"/>
          <w:lang w:val="en-GB"/>
        </w:rPr>
        <w:t>the Registrar</w:t>
      </w:r>
      <w:r w:rsidR="00E44DEB" w:rsidRPr="000A0ADE">
        <w:rPr>
          <w:rFonts w:cs="Arial"/>
          <w:lang w:val="en-GB"/>
        </w:rPr>
        <w:t>’</w:t>
      </w:r>
      <w:r w:rsidR="006276FF" w:rsidRPr="000A0ADE">
        <w:rPr>
          <w:rFonts w:cs="Arial"/>
          <w:lang w:val="en-GB"/>
        </w:rPr>
        <w:t>) on 15 September 2022</w:t>
      </w:r>
      <w:r w:rsidR="001E01DF" w:rsidRPr="000A0ADE">
        <w:rPr>
          <w:rFonts w:cs="Arial"/>
          <w:lang w:val="en-GB"/>
        </w:rPr>
        <w:t>,</w:t>
      </w:r>
      <w:r w:rsidR="006276FF" w:rsidRPr="000A0ADE">
        <w:rPr>
          <w:rFonts w:cs="Arial"/>
          <w:lang w:val="en-GB"/>
        </w:rPr>
        <w:t xml:space="preserve"> furnished the applicant with the complaint and </w:t>
      </w:r>
      <w:r w:rsidR="001E01DF" w:rsidRPr="000A0ADE">
        <w:rPr>
          <w:rFonts w:cs="Arial"/>
          <w:lang w:val="en-GB"/>
        </w:rPr>
        <w:t>afforded her an</w:t>
      </w:r>
      <w:r w:rsidR="006276FF" w:rsidRPr="000A0ADE">
        <w:rPr>
          <w:rFonts w:cs="Arial"/>
          <w:lang w:val="en-GB"/>
        </w:rPr>
        <w:t xml:space="preserve"> opportunity to make representations and to respond there</w:t>
      </w:r>
      <w:r w:rsidR="001E01DF" w:rsidRPr="000A0ADE">
        <w:rPr>
          <w:rFonts w:cs="Arial"/>
          <w:lang w:val="en-GB"/>
        </w:rPr>
        <w:t>to.</w:t>
      </w:r>
    </w:p>
    <w:p w14:paraId="39F911EB" w14:textId="4AD1D720" w:rsidR="004C316A" w:rsidRPr="000A0ADE" w:rsidRDefault="00B94719" w:rsidP="00B94719">
      <w:pPr>
        <w:keepNext/>
        <w:keepLines/>
        <w:snapToGrid w:val="0"/>
        <w:spacing w:before="120" w:after="240" w:line="480" w:lineRule="auto"/>
        <w:ind w:hanging="6"/>
        <w:jc w:val="both"/>
        <w:rPr>
          <w:rFonts w:cs="Arial"/>
          <w:lang w:val="en-GB"/>
        </w:rPr>
      </w:pPr>
      <w:r w:rsidRPr="000A0ADE">
        <w:rPr>
          <w:rFonts w:cs="Arial"/>
          <w:lang w:val="en-GB"/>
        </w:rPr>
        <w:lastRenderedPageBreak/>
        <w:t>[8]</w:t>
      </w:r>
      <w:r w:rsidRPr="000A0ADE">
        <w:rPr>
          <w:rFonts w:cs="Arial"/>
          <w:lang w:val="en-GB"/>
        </w:rPr>
        <w:tab/>
      </w:r>
      <w:r w:rsidR="000D7206" w:rsidRPr="000A0ADE">
        <w:rPr>
          <w:rFonts w:cs="Arial"/>
          <w:lang w:val="en-GB"/>
        </w:rPr>
        <w:t>The applicant</w:t>
      </w:r>
      <w:r w:rsidR="00882BF9" w:rsidRPr="000A0ADE">
        <w:rPr>
          <w:rFonts w:cs="Arial"/>
          <w:lang w:val="en-GB"/>
        </w:rPr>
        <w:t>,</w:t>
      </w:r>
      <w:r w:rsidR="000D7206" w:rsidRPr="000A0ADE">
        <w:rPr>
          <w:rFonts w:cs="Arial"/>
          <w:lang w:val="en-GB"/>
        </w:rPr>
        <w:t xml:space="preserve"> through her attorneys</w:t>
      </w:r>
      <w:r w:rsidR="00882BF9" w:rsidRPr="000A0ADE">
        <w:rPr>
          <w:rFonts w:cs="Arial"/>
          <w:lang w:val="en-GB"/>
        </w:rPr>
        <w:t>,</w:t>
      </w:r>
      <w:r w:rsidR="000D7206" w:rsidRPr="000A0ADE">
        <w:rPr>
          <w:rFonts w:cs="Arial"/>
          <w:lang w:val="en-GB"/>
        </w:rPr>
        <w:t xml:space="preserve"> responded to the complaint on 29</w:t>
      </w:r>
      <w:r w:rsidR="00882BF9" w:rsidRPr="000A0ADE">
        <w:rPr>
          <w:rFonts w:cs="Arial"/>
          <w:lang w:val="en-GB"/>
        </w:rPr>
        <w:t> </w:t>
      </w:r>
      <w:r w:rsidR="000D7206" w:rsidRPr="000A0ADE">
        <w:rPr>
          <w:rFonts w:cs="Arial"/>
          <w:lang w:val="en-GB"/>
        </w:rPr>
        <w:t>September</w:t>
      </w:r>
      <w:r w:rsidR="00882BF9" w:rsidRPr="000A0ADE">
        <w:rPr>
          <w:rFonts w:cs="Arial"/>
          <w:lang w:val="en-GB"/>
        </w:rPr>
        <w:t> </w:t>
      </w:r>
      <w:r w:rsidR="000D7206" w:rsidRPr="000A0ADE">
        <w:rPr>
          <w:rFonts w:cs="Arial"/>
          <w:lang w:val="en-GB"/>
        </w:rPr>
        <w:t>2022 as follows:</w:t>
      </w:r>
    </w:p>
    <w:p w14:paraId="5417938A" w14:textId="51C69869"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[8.1]</w:t>
      </w:r>
      <w:r w:rsidRPr="000A0ADE">
        <w:rPr>
          <w:rFonts w:cs="Arial"/>
          <w:lang w:val="en-GB"/>
        </w:rPr>
        <w:tab/>
      </w:r>
      <w:r w:rsidR="004C316A" w:rsidRPr="000A0ADE">
        <w:rPr>
          <w:rFonts w:cs="Arial"/>
          <w:lang w:val="en-GB"/>
        </w:rPr>
        <w:t>The applicant contended in her response that the complaint regurgitate</w:t>
      </w:r>
      <w:r w:rsidR="002872CF" w:rsidRPr="000A0ADE">
        <w:rPr>
          <w:rFonts w:cs="Arial"/>
          <w:lang w:val="en-GB"/>
        </w:rPr>
        <w:t>d</w:t>
      </w:r>
      <w:r w:rsidR="004C316A" w:rsidRPr="000A0ADE">
        <w:rPr>
          <w:rFonts w:cs="Arial"/>
          <w:lang w:val="en-GB"/>
        </w:rPr>
        <w:t xml:space="preserve"> the findings and recommendations of the State Capture Report;</w:t>
      </w:r>
    </w:p>
    <w:p w14:paraId="2783F2A5" w14:textId="4871D35E"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[8.2]</w:t>
      </w:r>
      <w:r w:rsidRPr="000A0ADE">
        <w:rPr>
          <w:rFonts w:cs="Arial"/>
          <w:lang w:val="en-GB"/>
        </w:rPr>
        <w:tab/>
      </w:r>
      <w:r w:rsidR="004C316A" w:rsidRPr="000A0ADE">
        <w:rPr>
          <w:rFonts w:cs="Arial"/>
          <w:lang w:val="en-GB"/>
        </w:rPr>
        <w:t>The applicant stated that she was taking legal advice on the possible remedies available to her and that she intended to take the State Capture Report on review judicial review to the extent that the report related to her;</w:t>
      </w:r>
    </w:p>
    <w:p w14:paraId="0C0071CC" w14:textId="46ABD0B0"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[8.3]</w:t>
      </w:r>
      <w:r w:rsidRPr="000A0ADE">
        <w:rPr>
          <w:rFonts w:cs="Arial"/>
          <w:lang w:val="en-GB"/>
        </w:rPr>
        <w:tab/>
      </w:r>
      <w:r w:rsidR="004C316A" w:rsidRPr="000A0ADE">
        <w:rPr>
          <w:rFonts w:cs="Arial"/>
          <w:lang w:val="en-GB"/>
        </w:rPr>
        <w:t>The applicant further stated that she was awaiting the President of the Republic of South Africa (‘the President’) taking steps to put in place an implementation plan on how the state capture matters would be dealt with by Parliament</w:t>
      </w:r>
      <w:r w:rsidR="002872CF" w:rsidRPr="000A0ADE">
        <w:rPr>
          <w:rFonts w:cs="Arial"/>
          <w:lang w:val="en-GB"/>
        </w:rPr>
        <w:t>;</w:t>
      </w:r>
    </w:p>
    <w:p w14:paraId="081A4806" w14:textId="57C89FEB"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[8.4]</w:t>
      </w:r>
      <w:r w:rsidRPr="000A0ADE">
        <w:rPr>
          <w:rFonts w:cs="Arial"/>
          <w:lang w:val="en-GB"/>
        </w:rPr>
        <w:tab/>
      </w:r>
      <w:r w:rsidR="004C316A" w:rsidRPr="000A0ADE">
        <w:rPr>
          <w:rFonts w:cs="Arial"/>
          <w:lang w:val="en-GB"/>
        </w:rPr>
        <w:t>The applicant further stated that she would deal with the complaint in a holistic manner and not in a piecemeal fashion, and that she therefore would await the President’s implementation plan</w:t>
      </w:r>
      <w:r w:rsidR="002872CF" w:rsidRPr="000A0ADE">
        <w:rPr>
          <w:rFonts w:cs="Arial"/>
          <w:lang w:val="en-GB"/>
        </w:rPr>
        <w:t>;</w:t>
      </w:r>
    </w:p>
    <w:p w14:paraId="7349C865" w14:textId="51702F04"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[8.5]</w:t>
      </w:r>
      <w:r w:rsidRPr="000A0ADE">
        <w:rPr>
          <w:rFonts w:cs="Arial"/>
          <w:lang w:val="en-GB"/>
        </w:rPr>
        <w:tab/>
      </w:r>
      <w:r w:rsidR="004C316A" w:rsidRPr="000A0ADE">
        <w:rPr>
          <w:rFonts w:cs="Arial"/>
          <w:lang w:val="en-GB"/>
        </w:rPr>
        <w:t>The applicant requested that any further processes by the Committee be held in abeyance until the President’s implementation plan was put in place</w:t>
      </w:r>
      <w:r w:rsidR="0080280E" w:rsidRPr="000A0ADE">
        <w:rPr>
          <w:rFonts w:cs="Arial"/>
          <w:lang w:val="en-GB"/>
        </w:rPr>
        <w:t>;</w:t>
      </w:r>
    </w:p>
    <w:p w14:paraId="7099D010" w14:textId="3408D215"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[8.6]</w:t>
      </w:r>
      <w:r w:rsidRPr="000A0ADE">
        <w:rPr>
          <w:rFonts w:cs="Arial"/>
          <w:lang w:val="en-GB"/>
        </w:rPr>
        <w:tab/>
      </w:r>
      <w:r w:rsidR="004C316A" w:rsidRPr="000A0ADE">
        <w:rPr>
          <w:rFonts w:cs="Arial"/>
          <w:lang w:val="en-GB"/>
        </w:rPr>
        <w:t>The applicant indicated in her response that she elected not to engage further with the conclusions in the State Capture Report at that stage</w:t>
      </w:r>
      <w:r w:rsidR="002872CF" w:rsidRPr="000A0ADE">
        <w:rPr>
          <w:rFonts w:cs="Arial"/>
          <w:lang w:val="en-GB"/>
        </w:rPr>
        <w:t>; and</w:t>
      </w:r>
    </w:p>
    <w:p w14:paraId="4CC8F2CD" w14:textId="32F67590"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lastRenderedPageBreak/>
        <w:t>[8.7]</w:t>
      </w:r>
      <w:r w:rsidRPr="000A0ADE">
        <w:rPr>
          <w:rFonts w:cs="Arial"/>
          <w:lang w:val="en-GB"/>
        </w:rPr>
        <w:tab/>
      </w:r>
      <w:r w:rsidR="004C316A" w:rsidRPr="000A0ADE">
        <w:rPr>
          <w:rFonts w:cs="Arial"/>
          <w:lang w:val="en-GB"/>
        </w:rPr>
        <w:t>The applicant further stated that she remained available and willing to engage with the office of the Registrar and the Committee.</w:t>
      </w:r>
    </w:p>
    <w:p w14:paraId="31551C89" w14:textId="13E4289B" w:rsidR="004C316A" w:rsidRPr="000A0ADE" w:rsidRDefault="00B94719" w:rsidP="00B94719">
      <w:pPr>
        <w:snapToGrid w:val="0"/>
        <w:spacing w:before="120" w:after="240" w:line="480" w:lineRule="auto"/>
        <w:ind w:hanging="6"/>
        <w:jc w:val="both"/>
        <w:rPr>
          <w:rStyle w:val="Emphasis"/>
          <w:rFonts w:cs="Arial"/>
          <w:i w:val="0"/>
          <w:iCs w:val="0"/>
          <w:lang w:val="en-GB"/>
        </w:rPr>
      </w:pPr>
      <w:r w:rsidRPr="000A0ADE">
        <w:rPr>
          <w:rStyle w:val="Emphasis"/>
          <w:rFonts w:cs="Arial"/>
          <w:i w:val="0"/>
          <w:iCs w:val="0"/>
          <w:lang w:val="en-GB"/>
        </w:rPr>
        <w:t>[9]</w:t>
      </w:r>
      <w:r w:rsidRPr="000A0ADE">
        <w:rPr>
          <w:rStyle w:val="Emphasis"/>
          <w:rFonts w:cs="Arial"/>
          <w:i w:val="0"/>
          <w:iCs w:val="0"/>
          <w:lang w:val="en-GB"/>
        </w:rPr>
        <w:tab/>
      </w:r>
      <w:r w:rsidR="006B6E14" w:rsidRPr="000A0ADE">
        <w:rPr>
          <w:rFonts w:cs="Arial"/>
          <w:lang w:val="en-GB"/>
        </w:rPr>
        <w:t xml:space="preserve">The </w:t>
      </w:r>
      <w:r w:rsidR="00186902" w:rsidRPr="000A0ADE">
        <w:rPr>
          <w:rFonts w:cs="Arial"/>
          <w:lang w:val="en-GB"/>
        </w:rPr>
        <w:t>C</w:t>
      </w:r>
      <w:r w:rsidR="006B6E14" w:rsidRPr="000A0ADE">
        <w:rPr>
          <w:rFonts w:cs="Arial"/>
          <w:lang w:val="en-GB"/>
        </w:rPr>
        <w:t>ommittee on 17</w:t>
      </w:r>
      <w:r w:rsidR="0080280E" w:rsidRPr="000A0ADE">
        <w:rPr>
          <w:rFonts w:cs="Arial"/>
          <w:lang w:val="en-GB"/>
        </w:rPr>
        <w:t> </w:t>
      </w:r>
      <w:r w:rsidR="006B6E14" w:rsidRPr="000A0ADE">
        <w:rPr>
          <w:rFonts w:cs="Arial"/>
          <w:lang w:val="en-GB"/>
        </w:rPr>
        <w:t>April</w:t>
      </w:r>
      <w:r w:rsidR="0080280E" w:rsidRPr="000A0ADE">
        <w:rPr>
          <w:rFonts w:cs="Arial"/>
          <w:lang w:val="en-GB"/>
        </w:rPr>
        <w:t> </w:t>
      </w:r>
      <w:r w:rsidR="006B6E14" w:rsidRPr="000A0ADE">
        <w:rPr>
          <w:rFonts w:cs="Arial"/>
          <w:lang w:val="en-GB"/>
        </w:rPr>
        <w:t xml:space="preserve">2023 deliberated on the complaint.  </w:t>
      </w:r>
      <w:r w:rsidR="00254079" w:rsidRPr="000A0ADE">
        <w:rPr>
          <w:rFonts w:cs="Arial"/>
          <w:lang w:val="en-GB"/>
        </w:rPr>
        <w:t xml:space="preserve">The </w:t>
      </w:r>
      <w:r w:rsidR="00186902" w:rsidRPr="000A0ADE">
        <w:rPr>
          <w:rFonts w:cs="Arial"/>
          <w:lang w:val="en-GB"/>
        </w:rPr>
        <w:t>S</w:t>
      </w:r>
      <w:r w:rsidR="00254079" w:rsidRPr="000A0ADE">
        <w:rPr>
          <w:rFonts w:cs="Arial"/>
          <w:lang w:val="en-GB"/>
        </w:rPr>
        <w:t xml:space="preserve">peaker in her answering affidavit states that the </w:t>
      </w:r>
      <w:r w:rsidR="00186902" w:rsidRPr="000A0ADE">
        <w:rPr>
          <w:rFonts w:cs="Arial"/>
          <w:lang w:val="en-GB"/>
        </w:rPr>
        <w:t>C</w:t>
      </w:r>
      <w:r w:rsidR="00254079" w:rsidRPr="000A0ADE">
        <w:rPr>
          <w:rFonts w:cs="Arial"/>
          <w:lang w:val="en-GB"/>
        </w:rPr>
        <w:t xml:space="preserve">ommittee considered all relevant documents including the </w:t>
      </w:r>
      <w:r w:rsidR="00186902" w:rsidRPr="000A0ADE">
        <w:rPr>
          <w:rFonts w:cs="Arial"/>
          <w:lang w:val="en-GB"/>
        </w:rPr>
        <w:t>S</w:t>
      </w:r>
      <w:r w:rsidR="00254079" w:rsidRPr="000A0ADE">
        <w:rPr>
          <w:rFonts w:cs="Arial"/>
          <w:lang w:val="en-GB"/>
        </w:rPr>
        <w:t xml:space="preserve">tate </w:t>
      </w:r>
      <w:r w:rsidR="00186902" w:rsidRPr="000A0ADE">
        <w:rPr>
          <w:rFonts w:cs="Arial"/>
          <w:lang w:val="en-GB"/>
        </w:rPr>
        <w:t>C</w:t>
      </w:r>
      <w:r w:rsidR="00254079" w:rsidRPr="000A0ADE">
        <w:rPr>
          <w:rFonts w:cs="Arial"/>
          <w:lang w:val="en-GB"/>
        </w:rPr>
        <w:t xml:space="preserve">apture </w:t>
      </w:r>
      <w:r w:rsidR="00186902" w:rsidRPr="000A0ADE">
        <w:rPr>
          <w:rFonts w:cs="Arial"/>
          <w:lang w:val="en-GB"/>
        </w:rPr>
        <w:t>R</w:t>
      </w:r>
      <w:r w:rsidR="00254079" w:rsidRPr="000A0ADE">
        <w:rPr>
          <w:rFonts w:cs="Arial"/>
          <w:lang w:val="en-GB"/>
        </w:rPr>
        <w:t>eport and the judgment of the High Court in</w:t>
      </w:r>
      <w:r w:rsidR="00186902" w:rsidRPr="000A0ADE">
        <w:rPr>
          <w:rFonts w:cs="Arial"/>
          <w:lang w:val="en-GB"/>
        </w:rPr>
        <w:t xml:space="preserve"> </w:t>
      </w:r>
      <w:r w:rsidR="00186902" w:rsidRPr="000A0ADE">
        <w:rPr>
          <w:rStyle w:val="Emphasis"/>
          <w:lang w:val="en-GB"/>
        </w:rPr>
        <w:t>Molefe v Minister of Transport.</w:t>
      </w:r>
    </w:p>
    <w:p w14:paraId="0EA8D278" w14:textId="06CD7A94" w:rsidR="004C316A" w:rsidRPr="000A0ADE" w:rsidRDefault="00B94719" w:rsidP="00B94719">
      <w:pPr>
        <w:snapToGrid w:val="0"/>
        <w:spacing w:before="120" w:after="240" w:line="480" w:lineRule="auto"/>
        <w:ind w:hanging="6"/>
        <w:jc w:val="both"/>
        <w:rPr>
          <w:rStyle w:val="Emphasis"/>
          <w:rFonts w:cs="Arial"/>
          <w:i w:val="0"/>
          <w:iCs w:val="0"/>
          <w:lang w:val="en-GB"/>
        </w:rPr>
      </w:pPr>
      <w:r w:rsidRPr="000A0ADE">
        <w:rPr>
          <w:rStyle w:val="Emphasis"/>
          <w:rFonts w:cs="Arial"/>
          <w:i w:val="0"/>
          <w:iCs w:val="0"/>
          <w:lang w:val="en-GB"/>
        </w:rPr>
        <w:t>[10]</w:t>
      </w:r>
      <w:r w:rsidRPr="000A0ADE">
        <w:rPr>
          <w:rStyle w:val="Emphasis"/>
          <w:rFonts w:cs="Arial"/>
          <w:i w:val="0"/>
          <w:iCs w:val="0"/>
          <w:lang w:val="en-GB"/>
        </w:rPr>
        <w:tab/>
      </w:r>
      <w:r w:rsidR="003917CC" w:rsidRPr="000A0ADE">
        <w:rPr>
          <w:rStyle w:val="Emphasis"/>
          <w:i w:val="0"/>
          <w:iCs w:val="0"/>
          <w:lang w:val="en-GB"/>
        </w:rPr>
        <w:t xml:space="preserve">The </w:t>
      </w:r>
      <w:r w:rsidR="002B2E49" w:rsidRPr="000A0ADE">
        <w:rPr>
          <w:rStyle w:val="Emphasis"/>
          <w:i w:val="0"/>
          <w:iCs w:val="0"/>
          <w:lang w:val="en-GB"/>
        </w:rPr>
        <w:t>C</w:t>
      </w:r>
      <w:r w:rsidR="003917CC" w:rsidRPr="000A0ADE">
        <w:rPr>
          <w:rStyle w:val="Emphasis"/>
          <w:i w:val="0"/>
          <w:iCs w:val="0"/>
          <w:lang w:val="en-GB"/>
        </w:rPr>
        <w:t>ommittee dealt with three aspects of the complaint</w:t>
      </w:r>
      <w:r w:rsidR="004C316A" w:rsidRPr="000A0ADE">
        <w:rPr>
          <w:rStyle w:val="Emphasis"/>
          <w:i w:val="0"/>
          <w:iCs w:val="0"/>
          <w:lang w:val="en-GB"/>
        </w:rPr>
        <w:t xml:space="preserve">.  First, </w:t>
      </w:r>
      <w:r w:rsidR="004C316A" w:rsidRPr="000A0ADE">
        <w:rPr>
          <w:rStyle w:val="Emphasis"/>
          <w:rFonts w:cs="Arial"/>
          <w:i w:val="0"/>
          <w:iCs w:val="0"/>
          <w:lang w:val="en-GB"/>
        </w:rPr>
        <w:t>t</w:t>
      </w:r>
      <w:r w:rsidR="00DA3D7D" w:rsidRPr="000A0ADE">
        <w:rPr>
          <w:rStyle w:val="Emphasis"/>
          <w:rFonts w:cs="Arial"/>
          <w:i w:val="0"/>
          <w:iCs w:val="0"/>
          <w:lang w:val="en-GB"/>
        </w:rPr>
        <w:t xml:space="preserve">hat the applicant </w:t>
      </w:r>
      <w:r w:rsidR="0080280E" w:rsidRPr="000A0ADE">
        <w:rPr>
          <w:rStyle w:val="Emphasis"/>
          <w:rFonts w:cs="Arial"/>
          <w:i w:val="0"/>
          <w:iCs w:val="0"/>
          <w:lang w:val="en-GB"/>
        </w:rPr>
        <w:t xml:space="preserve">had </w:t>
      </w:r>
      <w:r w:rsidR="00DA3D7D" w:rsidRPr="000A0ADE">
        <w:rPr>
          <w:rStyle w:val="Emphasis"/>
          <w:rFonts w:cs="Arial"/>
          <w:i w:val="0"/>
          <w:iCs w:val="0"/>
          <w:lang w:val="en-GB"/>
        </w:rPr>
        <w:t>failed to appoint a CEO of PRASA which resulted in R1 76</w:t>
      </w:r>
      <w:r w:rsidR="00691974" w:rsidRPr="000A0ADE">
        <w:rPr>
          <w:rStyle w:val="Emphasis"/>
          <w:rFonts w:cs="Arial"/>
          <w:i w:val="0"/>
          <w:iCs w:val="0"/>
          <w:lang w:val="en-GB"/>
        </w:rPr>
        <w:t>7</w:t>
      </w:r>
      <w:r w:rsidR="00DA3D7D" w:rsidRPr="000A0ADE">
        <w:rPr>
          <w:rStyle w:val="Emphasis"/>
          <w:rFonts w:cs="Arial"/>
          <w:i w:val="0"/>
          <w:iCs w:val="0"/>
          <w:lang w:val="en-GB"/>
        </w:rPr>
        <w:t> 000 of fruitless and wasteful expenditure</w:t>
      </w:r>
      <w:r w:rsidR="00691974" w:rsidRPr="000A0ADE">
        <w:rPr>
          <w:rStyle w:val="Emphasis"/>
          <w:rFonts w:cs="Arial"/>
          <w:i w:val="0"/>
          <w:iCs w:val="0"/>
          <w:lang w:val="en-GB"/>
        </w:rPr>
        <w:t xml:space="preserve"> for PRASA</w:t>
      </w:r>
      <w:r w:rsidR="004C316A" w:rsidRPr="000A0ADE">
        <w:rPr>
          <w:rStyle w:val="Emphasis"/>
          <w:rFonts w:cs="Arial"/>
          <w:i w:val="0"/>
          <w:iCs w:val="0"/>
          <w:lang w:val="en-GB"/>
        </w:rPr>
        <w:t>.  Second, t</w:t>
      </w:r>
      <w:r w:rsidR="00691974" w:rsidRPr="000A0ADE">
        <w:rPr>
          <w:rStyle w:val="Emphasis"/>
          <w:rFonts w:cs="Arial"/>
          <w:i w:val="0"/>
          <w:iCs w:val="0"/>
          <w:lang w:val="en-GB"/>
        </w:rPr>
        <w:t xml:space="preserve">hat the applicant had irrationally dismissed </w:t>
      </w:r>
      <w:r w:rsidR="002872CF" w:rsidRPr="000A0ADE">
        <w:rPr>
          <w:rStyle w:val="Emphasis"/>
          <w:rFonts w:cs="Arial"/>
          <w:i w:val="0"/>
          <w:iCs w:val="0"/>
          <w:lang w:val="en-GB"/>
        </w:rPr>
        <w:t xml:space="preserve">the </w:t>
      </w:r>
      <w:r w:rsidR="00691974" w:rsidRPr="000A0ADE">
        <w:rPr>
          <w:rStyle w:val="Emphasis"/>
          <w:rFonts w:cs="Arial"/>
          <w:i w:val="0"/>
          <w:iCs w:val="0"/>
          <w:lang w:val="en-GB"/>
        </w:rPr>
        <w:t xml:space="preserve">PRASA </w:t>
      </w:r>
      <w:r w:rsidR="0080280E" w:rsidRPr="000A0ADE">
        <w:rPr>
          <w:rStyle w:val="Emphasis"/>
          <w:rFonts w:cs="Arial"/>
          <w:i w:val="0"/>
          <w:iCs w:val="0"/>
          <w:lang w:val="en-GB"/>
        </w:rPr>
        <w:t>b</w:t>
      </w:r>
      <w:r w:rsidR="00691974" w:rsidRPr="000A0ADE">
        <w:rPr>
          <w:rStyle w:val="Emphasis"/>
          <w:rFonts w:cs="Arial"/>
          <w:i w:val="0"/>
          <w:iCs w:val="0"/>
          <w:lang w:val="en-GB"/>
        </w:rPr>
        <w:t>oard</w:t>
      </w:r>
      <w:r w:rsidR="004C316A" w:rsidRPr="000A0ADE">
        <w:rPr>
          <w:rStyle w:val="Emphasis"/>
          <w:rFonts w:cs="Arial"/>
          <w:i w:val="0"/>
          <w:iCs w:val="0"/>
          <w:lang w:val="en-GB"/>
        </w:rPr>
        <w:t>.</w:t>
      </w:r>
      <w:r w:rsidR="00691974" w:rsidRPr="000A0ADE">
        <w:rPr>
          <w:rStyle w:val="Emphasis"/>
          <w:rFonts w:cs="Arial"/>
          <w:i w:val="0"/>
          <w:iCs w:val="0"/>
          <w:lang w:val="en-GB"/>
        </w:rPr>
        <w:t xml:space="preserve"> </w:t>
      </w:r>
      <w:r w:rsidR="004C316A" w:rsidRPr="000A0ADE">
        <w:rPr>
          <w:rStyle w:val="Emphasis"/>
          <w:rFonts w:cs="Arial"/>
          <w:i w:val="0"/>
          <w:iCs w:val="0"/>
          <w:lang w:val="en-GB"/>
        </w:rPr>
        <w:t xml:space="preserve"> Third,</w:t>
      </w:r>
      <w:r w:rsidR="00691974" w:rsidRPr="000A0ADE">
        <w:rPr>
          <w:rStyle w:val="Emphasis"/>
          <w:rFonts w:cs="Arial"/>
          <w:i w:val="0"/>
          <w:iCs w:val="0"/>
          <w:lang w:val="en-GB"/>
        </w:rPr>
        <w:t xml:space="preserve"> </w:t>
      </w:r>
      <w:r w:rsidR="004C316A" w:rsidRPr="000A0ADE">
        <w:rPr>
          <w:rStyle w:val="Emphasis"/>
          <w:rFonts w:cs="Arial"/>
          <w:i w:val="0"/>
          <w:iCs w:val="0"/>
          <w:lang w:val="en-GB"/>
        </w:rPr>
        <w:t>that t</w:t>
      </w:r>
      <w:r w:rsidR="001727D6" w:rsidRPr="000A0ADE">
        <w:rPr>
          <w:rStyle w:val="Emphasis"/>
          <w:rFonts w:cs="Arial"/>
          <w:i w:val="0"/>
          <w:iCs w:val="0"/>
          <w:lang w:val="en-GB"/>
        </w:rPr>
        <w:t>he applicant had misused PRASA assets, in the form of bus services to the ANC</w:t>
      </w:r>
      <w:r w:rsidR="002872CF" w:rsidRPr="000A0ADE">
        <w:rPr>
          <w:rStyle w:val="Emphasis"/>
          <w:rFonts w:cs="Arial"/>
          <w:i w:val="0"/>
          <w:iCs w:val="0"/>
          <w:lang w:val="en-GB"/>
        </w:rPr>
        <w:t>,</w:t>
      </w:r>
      <w:r w:rsidR="001727D6" w:rsidRPr="000A0ADE">
        <w:rPr>
          <w:rStyle w:val="Emphasis"/>
          <w:rFonts w:cs="Arial"/>
          <w:i w:val="0"/>
          <w:iCs w:val="0"/>
          <w:lang w:val="en-GB"/>
        </w:rPr>
        <w:t xml:space="preserve"> which services were not paid for by the ANC.</w:t>
      </w:r>
    </w:p>
    <w:p w14:paraId="5C63C254" w14:textId="1AF0111E" w:rsidR="004C316A" w:rsidRPr="000A0ADE" w:rsidRDefault="00B94719" w:rsidP="00B94719">
      <w:pPr>
        <w:snapToGrid w:val="0"/>
        <w:spacing w:before="120" w:after="240" w:line="480" w:lineRule="auto"/>
        <w:ind w:hanging="6"/>
        <w:jc w:val="both"/>
        <w:rPr>
          <w:rFonts w:cs="Arial"/>
          <w:lang w:val="en-GB"/>
        </w:rPr>
      </w:pPr>
      <w:r w:rsidRPr="000A0ADE">
        <w:rPr>
          <w:rFonts w:cs="Arial"/>
          <w:lang w:val="en-GB"/>
        </w:rPr>
        <w:t>[11]</w:t>
      </w:r>
      <w:r w:rsidRPr="000A0ADE">
        <w:rPr>
          <w:rFonts w:cs="Arial"/>
          <w:lang w:val="en-GB"/>
        </w:rPr>
        <w:tab/>
      </w:r>
      <w:r w:rsidR="002872CF" w:rsidRPr="000A0ADE">
        <w:rPr>
          <w:rStyle w:val="Emphasis"/>
          <w:rFonts w:cs="Arial"/>
          <w:i w:val="0"/>
          <w:iCs w:val="0"/>
          <w:lang w:val="en-GB"/>
        </w:rPr>
        <w:t>Firstly, i</w:t>
      </w:r>
      <w:r w:rsidR="00B67271" w:rsidRPr="000A0ADE">
        <w:rPr>
          <w:rStyle w:val="Emphasis"/>
          <w:rFonts w:cs="Arial"/>
          <w:i w:val="0"/>
          <w:iCs w:val="0"/>
          <w:lang w:val="en-GB"/>
        </w:rPr>
        <w:t>n respect of the failure to appoint a CEO</w:t>
      </w:r>
      <w:r w:rsidR="004E349C" w:rsidRPr="000A0ADE">
        <w:rPr>
          <w:rStyle w:val="Emphasis"/>
          <w:rFonts w:cs="Arial"/>
          <w:i w:val="0"/>
          <w:iCs w:val="0"/>
          <w:lang w:val="en-GB"/>
        </w:rPr>
        <w:t>,</w:t>
      </w:r>
      <w:r w:rsidR="00AF0161" w:rsidRPr="000A0ADE">
        <w:rPr>
          <w:rStyle w:val="Emphasis"/>
          <w:rFonts w:cs="Arial"/>
          <w:i w:val="0"/>
          <w:iCs w:val="0"/>
          <w:lang w:val="en-GB"/>
        </w:rPr>
        <w:t xml:space="preserve"> </w:t>
      </w:r>
      <w:r w:rsidR="004E349C" w:rsidRPr="000A0ADE">
        <w:rPr>
          <w:lang w:val="en-GB"/>
        </w:rPr>
        <w:t>t</w:t>
      </w:r>
      <w:r w:rsidR="00AF0161" w:rsidRPr="000A0ADE">
        <w:rPr>
          <w:lang w:val="en-GB"/>
        </w:rPr>
        <w:t xml:space="preserve">he Committee found that the applicant had breached </w:t>
      </w:r>
      <w:r w:rsidR="000F52FC" w:rsidRPr="000A0ADE">
        <w:rPr>
          <w:lang w:val="en-GB"/>
        </w:rPr>
        <w:t>clause</w:t>
      </w:r>
      <w:r w:rsidR="00AF0161" w:rsidRPr="000A0ADE">
        <w:rPr>
          <w:lang w:val="en-GB"/>
        </w:rPr>
        <w:t xml:space="preserve"> 10.1.1.3 of </w:t>
      </w:r>
      <w:r w:rsidR="004C54D8">
        <w:rPr>
          <w:lang w:val="en-GB"/>
        </w:rPr>
        <w:t xml:space="preserve">the </w:t>
      </w:r>
      <w:r w:rsidR="004C54D8">
        <w:t>Code of Ethical Conduct and Disclosure of Members’ Interests for Assembly and Permanent Council Members</w:t>
      </w:r>
      <w:r w:rsidR="004C54D8" w:rsidRPr="000A0ADE">
        <w:rPr>
          <w:lang w:val="en-GB"/>
        </w:rPr>
        <w:t xml:space="preserve"> </w:t>
      </w:r>
      <w:r w:rsidR="004C54D8">
        <w:rPr>
          <w:lang w:val="en-GB"/>
        </w:rPr>
        <w:t>(‘</w:t>
      </w:r>
      <w:r w:rsidR="00AF0161" w:rsidRPr="000A0ADE">
        <w:rPr>
          <w:lang w:val="en-GB"/>
        </w:rPr>
        <w:t>the Code</w:t>
      </w:r>
      <w:r w:rsidR="004C54D8">
        <w:rPr>
          <w:lang w:val="en-GB"/>
        </w:rPr>
        <w:t>’)</w:t>
      </w:r>
      <w:r w:rsidR="00AF0161" w:rsidRPr="000A0ADE">
        <w:rPr>
          <w:lang w:val="en-GB"/>
        </w:rPr>
        <w:t xml:space="preserve">, read with </w:t>
      </w:r>
      <w:r w:rsidR="000F52FC" w:rsidRPr="000A0ADE">
        <w:rPr>
          <w:lang w:val="en-GB"/>
        </w:rPr>
        <w:t>clauses </w:t>
      </w:r>
      <w:r w:rsidR="00AF0161" w:rsidRPr="000A0ADE">
        <w:rPr>
          <w:lang w:val="en-GB"/>
        </w:rPr>
        <w:t>4.1.3 and 4.1.4 of the Code, in that:</w:t>
      </w:r>
    </w:p>
    <w:p w14:paraId="09955CD3" w14:textId="27058C9C"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[11.1]</w:t>
      </w:r>
      <w:r w:rsidRPr="000A0ADE">
        <w:rPr>
          <w:rFonts w:cs="Arial"/>
          <w:lang w:val="en-GB"/>
        </w:rPr>
        <w:tab/>
      </w:r>
      <w:r w:rsidR="004C316A" w:rsidRPr="000A0ADE">
        <w:rPr>
          <w:lang w:val="en-GB"/>
        </w:rPr>
        <w:t xml:space="preserve">she had failed to act on all occasions in accordance with the public trust placed in her; and </w:t>
      </w:r>
    </w:p>
    <w:p w14:paraId="4216B49D" w14:textId="74381835"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[11.2]</w:t>
      </w:r>
      <w:r w:rsidRPr="000A0ADE">
        <w:rPr>
          <w:rFonts w:cs="Arial"/>
          <w:lang w:val="en-GB"/>
        </w:rPr>
        <w:tab/>
      </w:r>
      <w:r w:rsidR="004C316A" w:rsidRPr="000A0ADE">
        <w:rPr>
          <w:lang w:val="en-GB"/>
        </w:rPr>
        <w:t>she had failed to discharge her obligations, in terms of the Constitution, to Parliament and the public at large, by placing the public interest above her own interests,</w:t>
      </w:r>
    </w:p>
    <w:p w14:paraId="2860186A" w14:textId="182E6229" w:rsidR="004C316A" w:rsidRPr="000A0ADE" w:rsidRDefault="004C316A" w:rsidP="003C2ACA">
      <w:pPr>
        <w:snapToGrid w:val="0"/>
        <w:spacing w:before="120" w:after="240" w:line="480" w:lineRule="auto"/>
        <w:ind w:left="360"/>
        <w:jc w:val="both"/>
        <w:rPr>
          <w:rStyle w:val="Emphasis"/>
          <w:rFonts w:cs="Arial"/>
          <w:i w:val="0"/>
          <w:iCs w:val="0"/>
          <w:lang w:val="en-GB"/>
        </w:rPr>
      </w:pPr>
      <w:r w:rsidRPr="000A0ADE">
        <w:rPr>
          <w:lang w:val="en-GB"/>
        </w:rPr>
        <w:t>when she failed to appoint a CEO</w:t>
      </w:r>
      <w:r w:rsidR="00575C3E" w:rsidRPr="000A0ADE">
        <w:rPr>
          <w:lang w:val="en-GB"/>
        </w:rPr>
        <w:t>,</w:t>
      </w:r>
      <w:r w:rsidRPr="000A0ADE">
        <w:rPr>
          <w:lang w:val="en-GB"/>
        </w:rPr>
        <w:t xml:space="preserve"> after the PRASA </w:t>
      </w:r>
      <w:r w:rsidR="00575C3E" w:rsidRPr="000A0ADE">
        <w:rPr>
          <w:lang w:val="en-GB"/>
        </w:rPr>
        <w:t>b</w:t>
      </w:r>
      <w:r w:rsidRPr="000A0ADE">
        <w:rPr>
          <w:lang w:val="en-GB"/>
        </w:rPr>
        <w:t>oard had commissioned a recruitment process, which resulted in a financial loss</w:t>
      </w:r>
      <w:r w:rsidR="00BF62E2">
        <w:rPr>
          <w:lang w:val="en-GB"/>
        </w:rPr>
        <w:t xml:space="preserve"> to PRASA </w:t>
      </w:r>
      <w:r w:rsidRPr="000A0ADE">
        <w:rPr>
          <w:lang w:val="en-GB"/>
        </w:rPr>
        <w:t>of R1 767 000.</w:t>
      </w:r>
    </w:p>
    <w:p w14:paraId="181D7CC3" w14:textId="6081F245" w:rsidR="004C316A" w:rsidRPr="000A0ADE" w:rsidRDefault="00B94719" w:rsidP="00B94719">
      <w:pPr>
        <w:snapToGrid w:val="0"/>
        <w:spacing w:before="120" w:after="240" w:line="480" w:lineRule="auto"/>
        <w:ind w:hanging="6"/>
        <w:jc w:val="both"/>
        <w:rPr>
          <w:rFonts w:cs="Arial"/>
          <w:lang w:val="en-GB"/>
        </w:rPr>
      </w:pPr>
      <w:r w:rsidRPr="000A0ADE">
        <w:rPr>
          <w:rFonts w:cs="Arial"/>
          <w:lang w:val="en-GB"/>
        </w:rPr>
        <w:lastRenderedPageBreak/>
        <w:t>[12]</w:t>
      </w:r>
      <w:r w:rsidRPr="000A0ADE">
        <w:rPr>
          <w:rFonts w:cs="Arial"/>
          <w:lang w:val="en-GB"/>
        </w:rPr>
        <w:tab/>
      </w:r>
      <w:r w:rsidR="002872CF" w:rsidRPr="000A0ADE">
        <w:rPr>
          <w:lang w:val="en-GB"/>
        </w:rPr>
        <w:t>Secondly, i</w:t>
      </w:r>
      <w:r w:rsidR="00671C60" w:rsidRPr="000A0ADE">
        <w:rPr>
          <w:lang w:val="en-GB"/>
        </w:rPr>
        <w:t xml:space="preserve">n respect of the dismissal of the </w:t>
      </w:r>
      <w:r w:rsidR="002872CF" w:rsidRPr="000A0ADE">
        <w:rPr>
          <w:lang w:val="en-GB"/>
        </w:rPr>
        <w:t>PRASA b</w:t>
      </w:r>
      <w:r w:rsidR="00671C60" w:rsidRPr="000A0ADE">
        <w:rPr>
          <w:lang w:val="en-GB"/>
        </w:rPr>
        <w:t>oard</w:t>
      </w:r>
      <w:r w:rsidR="004E349C" w:rsidRPr="000A0ADE">
        <w:rPr>
          <w:lang w:val="en-GB"/>
        </w:rPr>
        <w:t xml:space="preserve">, </w:t>
      </w:r>
      <w:r w:rsidR="004E349C" w:rsidRPr="000A0ADE">
        <w:rPr>
          <w:rFonts w:cs="Arial"/>
          <w:lang w:val="en-GB"/>
        </w:rPr>
        <w:t>t</w:t>
      </w:r>
      <w:r w:rsidR="00671C60" w:rsidRPr="000A0ADE">
        <w:rPr>
          <w:lang w:val="en-GB"/>
        </w:rPr>
        <w:t xml:space="preserve">he Committee found that the applicant had breached </w:t>
      </w:r>
      <w:r w:rsidR="00575C3E" w:rsidRPr="000A0ADE">
        <w:rPr>
          <w:lang w:val="en-GB"/>
        </w:rPr>
        <w:t>clause </w:t>
      </w:r>
      <w:r w:rsidR="00B67271" w:rsidRPr="000A0ADE">
        <w:rPr>
          <w:lang w:val="en-GB"/>
        </w:rPr>
        <w:t xml:space="preserve">10.1.1.3 of the Code, </w:t>
      </w:r>
      <w:r w:rsidR="00671C60" w:rsidRPr="000A0ADE">
        <w:rPr>
          <w:lang w:val="en-GB"/>
        </w:rPr>
        <w:t xml:space="preserve">read with </w:t>
      </w:r>
      <w:r w:rsidR="00575C3E" w:rsidRPr="000A0ADE">
        <w:rPr>
          <w:lang w:val="en-GB"/>
        </w:rPr>
        <w:t>clauses 4</w:t>
      </w:r>
      <w:r w:rsidR="00B67271" w:rsidRPr="000A0ADE">
        <w:rPr>
          <w:lang w:val="en-GB"/>
        </w:rPr>
        <w:t xml:space="preserve">.1.3, 4.1.4 and 4.1.5 of the Code, </w:t>
      </w:r>
      <w:r w:rsidR="00671C60" w:rsidRPr="000A0ADE">
        <w:rPr>
          <w:lang w:val="en-GB"/>
        </w:rPr>
        <w:t>in that</w:t>
      </w:r>
      <w:r w:rsidR="004E349C" w:rsidRPr="000A0ADE">
        <w:rPr>
          <w:lang w:val="en-GB"/>
        </w:rPr>
        <w:t>:</w:t>
      </w:r>
      <w:r w:rsidR="00B67271" w:rsidRPr="000A0ADE">
        <w:rPr>
          <w:lang w:val="en-GB"/>
        </w:rPr>
        <w:t xml:space="preserve"> </w:t>
      </w:r>
    </w:p>
    <w:p w14:paraId="7A773323" w14:textId="7277298D"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[12.1]</w:t>
      </w:r>
      <w:r w:rsidRPr="000A0ADE">
        <w:rPr>
          <w:rFonts w:cs="Arial"/>
          <w:lang w:val="en-GB"/>
        </w:rPr>
        <w:tab/>
      </w:r>
      <w:r w:rsidR="004C316A" w:rsidRPr="000A0ADE">
        <w:rPr>
          <w:lang w:val="en-GB"/>
        </w:rPr>
        <w:t xml:space="preserve">she had failed to act on all occasions in accordance with the public trust placed in her; </w:t>
      </w:r>
    </w:p>
    <w:p w14:paraId="49F1BCED" w14:textId="5A2FAFC6"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[12.2]</w:t>
      </w:r>
      <w:r w:rsidRPr="000A0ADE">
        <w:rPr>
          <w:rFonts w:cs="Arial"/>
          <w:lang w:val="en-GB"/>
        </w:rPr>
        <w:tab/>
      </w:r>
      <w:r w:rsidR="004C316A" w:rsidRPr="000A0ADE">
        <w:rPr>
          <w:lang w:val="en-GB"/>
        </w:rPr>
        <w:t xml:space="preserve">she had failed to discharge her obligations, in terms of the Constitution, to Parliament and the public at large, by placing the public interest above her own interests; and </w:t>
      </w:r>
    </w:p>
    <w:p w14:paraId="59E9A9A3" w14:textId="7A4F95B8" w:rsidR="004C316A"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[12.3]</w:t>
      </w:r>
      <w:r w:rsidRPr="000A0ADE">
        <w:rPr>
          <w:rFonts w:cs="Arial"/>
          <w:lang w:val="en-GB"/>
        </w:rPr>
        <w:tab/>
      </w:r>
      <w:r w:rsidR="004C316A" w:rsidRPr="000A0ADE">
        <w:rPr>
          <w:lang w:val="en-GB"/>
        </w:rPr>
        <w:t xml:space="preserve">she had failed to maintain public confidence and trust in the integrity of Parliament and thereby engender the respect and confidence that society needs to have in Parliament as a representative institution, </w:t>
      </w:r>
    </w:p>
    <w:p w14:paraId="6D94A47D" w14:textId="0C4B244F" w:rsidR="004C316A" w:rsidRPr="000A0ADE" w:rsidRDefault="004C316A" w:rsidP="003C2ACA">
      <w:pPr>
        <w:snapToGrid w:val="0"/>
        <w:spacing w:before="120" w:after="240" w:line="480" w:lineRule="auto"/>
        <w:ind w:left="360"/>
        <w:jc w:val="both"/>
        <w:rPr>
          <w:rFonts w:cs="Arial"/>
          <w:lang w:val="en-GB"/>
        </w:rPr>
      </w:pPr>
      <w:r w:rsidRPr="000A0ADE">
        <w:rPr>
          <w:lang w:val="en-GB"/>
        </w:rPr>
        <w:t xml:space="preserve">when she dismissed the PRASA </w:t>
      </w:r>
      <w:r w:rsidR="002872CF" w:rsidRPr="000A0ADE">
        <w:rPr>
          <w:lang w:val="en-GB"/>
        </w:rPr>
        <w:t>b</w:t>
      </w:r>
      <w:r w:rsidRPr="000A0ADE">
        <w:rPr>
          <w:lang w:val="en-GB"/>
        </w:rPr>
        <w:t>oard on the same day when Mr</w:t>
      </w:r>
      <w:r w:rsidR="00087FE3" w:rsidRPr="000A0ADE">
        <w:rPr>
          <w:lang w:val="en-GB"/>
        </w:rPr>
        <w:t> </w:t>
      </w:r>
      <w:r w:rsidRPr="000A0ADE">
        <w:rPr>
          <w:lang w:val="en-GB"/>
        </w:rPr>
        <w:t xml:space="preserve">Molefe wrote to the Portfolio Committee on Transport, which dismissal was ruled by the High Court in </w:t>
      </w:r>
      <w:r w:rsidRPr="000A0ADE">
        <w:rPr>
          <w:rStyle w:val="Emphasis"/>
          <w:rFonts w:eastAsiaTheme="majorEastAsia"/>
          <w:lang w:val="en-GB"/>
        </w:rPr>
        <w:t xml:space="preserve">Molefe v Minister of Transport </w:t>
      </w:r>
      <w:r w:rsidRPr="000A0ADE">
        <w:rPr>
          <w:lang w:val="en-GB"/>
        </w:rPr>
        <w:t>to be irrational, unreasonable and unlawful.</w:t>
      </w:r>
    </w:p>
    <w:p w14:paraId="7F77CA72" w14:textId="5336D9D5" w:rsidR="004C316A" w:rsidRPr="000A0ADE" w:rsidRDefault="00B94719" w:rsidP="00B94719">
      <w:pPr>
        <w:snapToGrid w:val="0"/>
        <w:spacing w:before="120" w:after="240" w:line="480" w:lineRule="auto"/>
        <w:ind w:hanging="6"/>
        <w:jc w:val="both"/>
        <w:rPr>
          <w:rFonts w:cs="Arial"/>
          <w:lang w:val="en-GB"/>
        </w:rPr>
      </w:pPr>
      <w:r w:rsidRPr="000A0ADE">
        <w:rPr>
          <w:rFonts w:cs="Arial"/>
          <w:lang w:val="en-GB"/>
        </w:rPr>
        <w:t>[13]</w:t>
      </w:r>
      <w:r w:rsidRPr="000A0ADE">
        <w:rPr>
          <w:rFonts w:cs="Arial"/>
          <w:lang w:val="en-GB"/>
        </w:rPr>
        <w:tab/>
      </w:r>
      <w:r w:rsidR="002872CF" w:rsidRPr="000A0ADE">
        <w:rPr>
          <w:lang w:val="en-GB"/>
        </w:rPr>
        <w:t>Thirdly, i</w:t>
      </w:r>
      <w:r w:rsidR="00A20226" w:rsidRPr="000A0ADE">
        <w:rPr>
          <w:lang w:val="en-GB"/>
        </w:rPr>
        <w:t>n respect of the misuse of PRASA assets</w:t>
      </w:r>
      <w:r w:rsidR="002872CF" w:rsidRPr="000A0ADE">
        <w:rPr>
          <w:lang w:val="en-GB"/>
        </w:rPr>
        <w:t>,</w:t>
      </w:r>
      <w:r w:rsidR="004E349C" w:rsidRPr="000A0ADE">
        <w:rPr>
          <w:lang w:val="en-GB"/>
        </w:rPr>
        <w:t xml:space="preserve"> the Committee found that the applicant had breached</w:t>
      </w:r>
      <w:r w:rsidR="00E02FB2" w:rsidRPr="000A0ADE">
        <w:rPr>
          <w:lang w:val="en-GB"/>
        </w:rPr>
        <w:t xml:space="preserve"> </w:t>
      </w:r>
      <w:r w:rsidR="004F2332" w:rsidRPr="000A0ADE">
        <w:rPr>
          <w:lang w:val="en-GB"/>
        </w:rPr>
        <w:t>clause </w:t>
      </w:r>
      <w:r w:rsidR="00B67271" w:rsidRPr="000A0ADE">
        <w:rPr>
          <w:lang w:val="en-GB"/>
        </w:rPr>
        <w:t xml:space="preserve">10.1.1.3 of the Code, </w:t>
      </w:r>
      <w:r w:rsidR="00E02FB2" w:rsidRPr="000A0ADE">
        <w:rPr>
          <w:lang w:val="en-GB"/>
        </w:rPr>
        <w:t>read with</w:t>
      </w:r>
      <w:r w:rsidR="00B67271" w:rsidRPr="000A0ADE">
        <w:rPr>
          <w:lang w:val="en-GB"/>
        </w:rPr>
        <w:t xml:space="preserve"> </w:t>
      </w:r>
      <w:r w:rsidR="004F2332" w:rsidRPr="000A0ADE">
        <w:rPr>
          <w:lang w:val="en-GB"/>
        </w:rPr>
        <w:t>clause </w:t>
      </w:r>
      <w:r w:rsidR="00B67271" w:rsidRPr="000A0ADE">
        <w:rPr>
          <w:lang w:val="en-GB"/>
        </w:rPr>
        <w:t xml:space="preserve">4.1.4 of the Code, </w:t>
      </w:r>
      <w:r w:rsidR="00E02FB2" w:rsidRPr="000A0ADE">
        <w:rPr>
          <w:lang w:val="en-GB"/>
        </w:rPr>
        <w:t>in that she had</w:t>
      </w:r>
      <w:r w:rsidR="00B67271" w:rsidRPr="000A0ADE">
        <w:rPr>
          <w:lang w:val="en-GB"/>
        </w:rPr>
        <w:t xml:space="preserve"> failed to discharge her obligations, in terms of the Constitution, to Parliament and the public at large, by placing the public interest above her own interests</w:t>
      </w:r>
      <w:r w:rsidR="00E02FB2" w:rsidRPr="000A0ADE">
        <w:rPr>
          <w:lang w:val="en-GB"/>
        </w:rPr>
        <w:t xml:space="preserve">, </w:t>
      </w:r>
      <w:r w:rsidR="00B67271" w:rsidRPr="000A0ADE">
        <w:rPr>
          <w:lang w:val="en-GB"/>
        </w:rPr>
        <w:t>when she requested buses from PRASA to be used for the ANC 2015, January 8th celebrations</w:t>
      </w:r>
      <w:r w:rsidR="002872CF" w:rsidRPr="000A0ADE">
        <w:rPr>
          <w:lang w:val="en-GB"/>
        </w:rPr>
        <w:t>,</w:t>
      </w:r>
      <w:r w:rsidR="00B67271" w:rsidRPr="000A0ADE">
        <w:rPr>
          <w:lang w:val="en-GB"/>
        </w:rPr>
        <w:t xml:space="preserve"> that w</w:t>
      </w:r>
      <w:r w:rsidR="00460158" w:rsidRPr="000A0ADE">
        <w:rPr>
          <w:lang w:val="en-GB"/>
        </w:rPr>
        <w:t>ere</w:t>
      </w:r>
      <w:r w:rsidR="00B67271" w:rsidRPr="000A0ADE">
        <w:rPr>
          <w:lang w:val="en-GB"/>
        </w:rPr>
        <w:t xml:space="preserve"> not paid for</w:t>
      </w:r>
      <w:r w:rsidR="002872CF" w:rsidRPr="000A0ADE">
        <w:rPr>
          <w:lang w:val="en-GB"/>
        </w:rPr>
        <w:t xml:space="preserve"> by the ANC</w:t>
      </w:r>
      <w:r w:rsidR="00B67271" w:rsidRPr="000A0ADE">
        <w:rPr>
          <w:lang w:val="en-GB"/>
        </w:rPr>
        <w:t>.</w:t>
      </w:r>
    </w:p>
    <w:p w14:paraId="50F5D479" w14:textId="724B70E4" w:rsidR="009944EC" w:rsidRPr="000A0ADE" w:rsidRDefault="00B94719" w:rsidP="00B94719">
      <w:pPr>
        <w:snapToGrid w:val="0"/>
        <w:spacing w:before="120" w:after="240" w:line="480" w:lineRule="auto"/>
        <w:ind w:hanging="6"/>
        <w:jc w:val="both"/>
        <w:rPr>
          <w:rStyle w:val="Emphasis"/>
          <w:rFonts w:cs="Arial"/>
          <w:i w:val="0"/>
          <w:iCs w:val="0"/>
          <w:lang w:val="en-GB"/>
        </w:rPr>
      </w:pPr>
      <w:r w:rsidRPr="000A0ADE">
        <w:rPr>
          <w:rStyle w:val="Emphasis"/>
          <w:rFonts w:cs="Arial"/>
          <w:i w:val="0"/>
          <w:iCs w:val="0"/>
          <w:lang w:val="en-GB"/>
        </w:rPr>
        <w:t>[14]</w:t>
      </w:r>
      <w:r w:rsidRPr="000A0ADE">
        <w:rPr>
          <w:rStyle w:val="Emphasis"/>
          <w:rFonts w:cs="Arial"/>
          <w:i w:val="0"/>
          <w:iCs w:val="0"/>
          <w:lang w:val="en-GB"/>
        </w:rPr>
        <w:tab/>
      </w:r>
      <w:r w:rsidR="008B4302" w:rsidRPr="000A0ADE">
        <w:rPr>
          <w:rStyle w:val="Emphasis"/>
          <w:i w:val="0"/>
          <w:iCs w:val="0"/>
          <w:lang w:val="en-GB"/>
        </w:rPr>
        <w:t>On 18</w:t>
      </w:r>
      <w:r w:rsidR="008A264B" w:rsidRPr="000A0ADE">
        <w:rPr>
          <w:rStyle w:val="Emphasis"/>
          <w:i w:val="0"/>
          <w:iCs w:val="0"/>
          <w:lang w:val="en-GB"/>
        </w:rPr>
        <w:t> </w:t>
      </w:r>
      <w:r w:rsidR="008B4302" w:rsidRPr="000A0ADE">
        <w:rPr>
          <w:rStyle w:val="Emphasis"/>
          <w:i w:val="0"/>
          <w:iCs w:val="0"/>
          <w:lang w:val="en-GB"/>
        </w:rPr>
        <w:t>April</w:t>
      </w:r>
      <w:r w:rsidR="008A264B" w:rsidRPr="000A0ADE">
        <w:rPr>
          <w:rStyle w:val="Emphasis"/>
          <w:i w:val="0"/>
          <w:iCs w:val="0"/>
          <w:lang w:val="en-GB"/>
        </w:rPr>
        <w:t> </w:t>
      </w:r>
      <w:r w:rsidR="008B4302" w:rsidRPr="000A0ADE">
        <w:rPr>
          <w:rStyle w:val="Emphasis"/>
          <w:i w:val="0"/>
          <w:iCs w:val="0"/>
          <w:lang w:val="en-GB"/>
        </w:rPr>
        <w:t>2023</w:t>
      </w:r>
      <w:r w:rsidR="002872CF" w:rsidRPr="000A0ADE">
        <w:rPr>
          <w:rStyle w:val="Emphasis"/>
          <w:i w:val="0"/>
          <w:iCs w:val="0"/>
          <w:lang w:val="en-GB"/>
        </w:rPr>
        <w:t>,</w:t>
      </w:r>
      <w:r w:rsidR="008B4302" w:rsidRPr="000A0ADE">
        <w:rPr>
          <w:rStyle w:val="Emphasis"/>
          <w:i w:val="0"/>
          <w:iCs w:val="0"/>
          <w:lang w:val="en-GB"/>
        </w:rPr>
        <w:t xml:space="preserve"> the Committee informed the applicant that it had finalised its deliberations on the complaint.</w:t>
      </w:r>
      <w:r w:rsidR="002767C3" w:rsidRPr="000A0ADE">
        <w:rPr>
          <w:rStyle w:val="Emphasis"/>
          <w:i w:val="0"/>
          <w:iCs w:val="0"/>
          <w:lang w:val="en-GB"/>
        </w:rPr>
        <w:t xml:space="preserve">  </w:t>
      </w:r>
      <w:r w:rsidR="00947880" w:rsidRPr="000A0ADE">
        <w:rPr>
          <w:rStyle w:val="Emphasis"/>
          <w:i w:val="0"/>
          <w:iCs w:val="0"/>
          <w:lang w:val="en-GB"/>
        </w:rPr>
        <w:t xml:space="preserve">It does not appear to be in dispute that the applicant was </w:t>
      </w:r>
      <w:r w:rsidR="00936171" w:rsidRPr="000A0ADE">
        <w:rPr>
          <w:rStyle w:val="Emphasis"/>
          <w:i w:val="0"/>
          <w:iCs w:val="0"/>
          <w:lang w:val="en-GB"/>
        </w:rPr>
        <w:t>invited to make written representations on the sanction to be imposed.</w:t>
      </w:r>
    </w:p>
    <w:p w14:paraId="0D0B54D5" w14:textId="77AE3C47" w:rsidR="000A134D" w:rsidRPr="005703D1" w:rsidRDefault="00B94719" w:rsidP="00B94719">
      <w:pPr>
        <w:snapToGrid w:val="0"/>
        <w:spacing w:before="120" w:after="240" w:line="480" w:lineRule="auto"/>
        <w:ind w:hanging="6"/>
        <w:jc w:val="both"/>
        <w:rPr>
          <w:rStyle w:val="Emphasis"/>
          <w:rFonts w:cs="Arial"/>
          <w:i w:val="0"/>
          <w:iCs w:val="0"/>
          <w:lang w:val="en-GB"/>
        </w:rPr>
      </w:pPr>
      <w:r w:rsidRPr="005703D1">
        <w:rPr>
          <w:rStyle w:val="Emphasis"/>
          <w:rFonts w:cs="Arial"/>
          <w:i w:val="0"/>
          <w:iCs w:val="0"/>
          <w:lang w:val="en-GB"/>
        </w:rPr>
        <w:lastRenderedPageBreak/>
        <w:t>[15]</w:t>
      </w:r>
      <w:r w:rsidRPr="005703D1">
        <w:rPr>
          <w:rStyle w:val="Emphasis"/>
          <w:rFonts w:cs="Arial"/>
          <w:i w:val="0"/>
          <w:iCs w:val="0"/>
          <w:lang w:val="en-GB"/>
        </w:rPr>
        <w:tab/>
      </w:r>
      <w:r w:rsidR="006D6E11" w:rsidRPr="000A0ADE">
        <w:rPr>
          <w:rStyle w:val="Emphasis"/>
          <w:i w:val="0"/>
          <w:iCs w:val="0"/>
          <w:lang w:val="en-GB"/>
        </w:rPr>
        <w:t>On 18</w:t>
      </w:r>
      <w:r w:rsidR="00936171" w:rsidRPr="000A0ADE">
        <w:rPr>
          <w:rStyle w:val="Emphasis"/>
          <w:i w:val="0"/>
          <w:iCs w:val="0"/>
          <w:lang w:val="en-GB"/>
        </w:rPr>
        <w:t> </w:t>
      </w:r>
      <w:r w:rsidR="006D6E11" w:rsidRPr="000A0ADE">
        <w:rPr>
          <w:rStyle w:val="Emphasis"/>
          <w:i w:val="0"/>
          <w:iCs w:val="0"/>
          <w:lang w:val="en-GB"/>
        </w:rPr>
        <w:t>May</w:t>
      </w:r>
      <w:r w:rsidR="008A264B" w:rsidRPr="000A0ADE">
        <w:rPr>
          <w:rStyle w:val="Emphasis"/>
          <w:i w:val="0"/>
          <w:iCs w:val="0"/>
          <w:lang w:val="en-GB"/>
        </w:rPr>
        <w:t> </w:t>
      </w:r>
      <w:r w:rsidR="006D6E11" w:rsidRPr="000A0ADE">
        <w:rPr>
          <w:rStyle w:val="Emphasis"/>
          <w:i w:val="0"/>
          <w:iCs w:val="0"/>
          <w:lang w:val="en-GB"/>
        </w:rPr>
        <w:t>2023</w:t>
      </w:r>
      <w:r w:rsidR="002872CF" w:rsidRPr="000A0ADE">
        <w:rPr>
          <w:rStyle w:val="Emphasis"/>
          <w:i w:val="0"/>
          <w:iCs w:val="0"/>
          <w:lang w:val="en-GB"/>
        </w:rPr>
        <w:t>,</w:t>
      </w:r>
      <w:r w:rsidR="009944EC" w:rsidRPr="000A0ADE">
        <w:rPr>
          <w:rStyle w:val="Emphasis"/>
          <w:i w:val="0"/>
          <w:iCs w:val="0"/>
          <w:lang w:val="en-GB"/>
        </w:rPr>
        <w:t xml:space="preserve"> </w:t>
      </w:r>
      <w:r w:rsidR="006D6E11" w:rsidRPr="000A0ADE">
        <w:rPr>
          <w:rStyle w:val="Emphasis"/>
          <w:i w:val="0"/>
          <w:iCs w:val="0"/>
          <w:lang w:val="en-GB"/>
        </w:rPr>
        <w:t xml:space="preserve">the applicant submitted written representations to the </w:t>
      </w:r>
      <w:r w:rsidR="001B218E" w:rsidRPr="000A0ADE">
        <w:rPr>
          <w:rStyle w:val="Emphasis"/>
          <w:i w:val="0"/>
          <w:iCs w:val="0"/>
          <w:lang w:val="en-GB"/>
        </w:rPr>
        <w:t>C</w:t>
      </w:r>
      <w:r w:rsidR="006D6E11" w:rsidRPr="000A0ADE">
        <w:rPr>
          <w:rStyle w:val="Emphasis"/>
          <w:i w:val="0"/>
          <w:iCs w:val="0"/>
          <w:lang w:val="en-GB"/>
        </w:rPr>
        <w:t>ommittee in respect of sanction</w:t>
      </w:r>
      <w:r w:rsidR="001B218E" w:rsidRPr="000A0ADE">
        <w:rPr>
          <w:rStyle w:val="Emphasis"/>
          <w:i w:val="0"/>
          <w:iCs w:val="0"/>
          <w:lang w:val="en-GB"/>
        </w:rPr>
        <w:t>.</w:t>
      </w:r>
      <w:r w:rsidR="006D6E11" w:rsidRPr="000A0ADE">
        <w:rPr>
          <w:rStyle w:val="Emphasis"/>
          <w:i w:val="0"/>
          <w:iCs w:val="0"/>
          <w:lang w:val="en-GB"/>
        </w:rPr>
        <w:t xml:space="preserve"> </w:t>
      </w:r>
      <w:r w:rsidR="009944EC" w:rsidRPr="000A0ADE">
        <w:rPr>
          <w:rStyle w:val="Emphasis"/>
          <w:i w:val="0"/>
          <w:iCs w:val="0"/>
          <w:lang w:val="en-GB"/>
        </w:rPr>
        <w:t xml:space="preserve"> </w:t>
      </w:r>
      <w:r w:rsidR="001B218E" w:rsidRPr="000A0ADE">
        <w:rPr>
          <w:rStyle w:val="Emphasis"/>
          <w:i w:val="0"/>
          <w:iCs w:val="0"/>
          <w:lang w:val="en-GB"/>
        </w:rPr>
        <w:t>I</w:t>
      </w:r>
      <w:r w:rsidR="006D6E11" w:rsidRPr="000A0ADE">
        <w:rPr>
          <w:rStyle w:val="Emphasis"/>
          <w:i w:val="0"/>
          <w:iCs w:val="0"/>
          <w:lang w:val="en-GB"/>
        </w:rPr>
        <w:t>n the applicant</w:t>
      </w:r>
      <w:r w:rsidR="00936171" w:rsidRPr="000A0ADE">
        <w:rPr>
          <w:rStyle w:val="Emphasis"/>
          <w:i w:val="0"/>
          <w:iCs w:val="0"/>
          <w:lang w:val="en-GB"/>
        </w:rPr>
        <w:t>’</w:t>
      </w:r>
      <w:r w:rsidR="006D6E11" w:rsidRPr="000A0ADE">
        <w:rPr>
          <w:rStyle w:val="Emphasis"/>
          <w:i w:val="0"/>
          <w:iCs w:val="0"/>
          <w:lang w:val="en-GB"/>
        </w:rPr>
        <w:t xml:space="preserve">s </w:t>
      </w:r>
      <w:r w:rsidR="001B218E" w:rsidRPr="000A0ADE">
        <w:rPr>
          <w:rStyle w:val="Emphasis"/>
          <w:i w:val="0"/>
          <w:iCs w:val="0"/>
          <w:lang w:val="en-GB"/>
        </w:rPr>
        <w:t>representations</w:t>
      </w:r>
      <w:r w:rsidR="002872CF" w:rsidRPr="000A0ADE">
        <w:rPr>
          <w:rStyle w:val="Emphasis"/>
          <w:i w:val="0"/>
          <w:iCs w:val="0"/>
          <w:lang w:val="en-GB"/>
        </w:rPr>
        <w:t>,</w:t>
      </w:r>
      <w:r w:rsidR="001B218E" w:rsidRPr="000A0ADE">
        <w:rPr>
          <w:rStyle w:val="Emphasis"/>
          <w:i w:val="0"/>
          <w:iCs w:val="0"/>
          <w:lang w:val="en-GB"/>
        </w:rPr>
        <w:t xml:space="preserve"> </w:t>
      </w:r>
      <w:r w:rsidR="006D6E11" w:rsidRPr="000A0ADE">
        <w:rPr>
          <w:rStyle w:val="Emphasis"/>
          <w:i w:val="0"/>
          <w:iCs w:val="0"/>
          <w:lang w:val="en-GB"/>
        </w:rPr>
        <w:t>she requested that she be given the opportunity to</w:t>
      </w:r>
      <w:r w:rsidR="001B218E" w:rsidRPr="000A0ADE">
        <w:rPr>
          <w:rStyle w:val="Emphasis"/>
          <w:i w:val="0"/>
          <w:iCs w:val="0"/>
          <w:lang w:val="en-GB"/>
        </w:rPr>
        <w:t xml:space="preserve"> make oral </w:t>
      </w:r>
      <w:r w:rsidR="009944EC" w:rsidRPr="000A0ADE">
        <w:rPr>
          <w:rStyle w:val="Emphasis"/>
          <w:i w:val="0"/>
          <w:iCs w:val="0"/>
          <w:lang w:val="en-GB"/>
        </w:rPr>
        <w:t>representations to</w:t>
      </w:r>
      <w:r w:rsidR="006D6E11" w:rsidRPr="000A0ADE">
        <w:rPr>
          <w:rStyle w:val="Emphasis"/>
          <w:i w:val="0"/>
          <w:iCs w:val="0"/>
          <w:lang w:val="en-GB"/>
        </w:rPr>
        <w:t xml:space="preserve"> the </w:t>
      </w:r>
      <w:r w:rsidR="001B218E" w:rsidRPr="000A0ADE">
        <w:rPr>
          <w:rStyle w:val="Emphasis"/>
          <w:i w:val="0"/>
          <w:iCs w:val="0"/>
          <w:lang w:val="en-GB"/>
        </w:rPr>
        <w:t>C</w:t>
      </w:r>
      <w:r w:rsidR="006D6E11" w:rsidRPr="000A0ADE">
        <w:rPr>
          <w:rStyle w:val="Emphasis"/>
          <w:i w:val="0"/>
          <w:iCs w:val="0"/>
          <w:lang w:val="en-GB"/>
        </w:rPr>
        <w:t>ommittee.</w:t>
      </w:r>
      <w:r w:rsidR="005703D1">
        <w:rPr>
          <w:rStyle w:val="Emphasis"/>
          <w:rFonts w:cs="Arial"/>
          <w:i w:val="0"/>
          <w:iCs w:val="0"/>
          <w:lang w:val="en-GB"/>
        </w:rPr>
        <w:t xml:space="preserve">  </w:t>
      </w:r>
      <w:r w:rsidR="001B218E" w:rsidRPr="005703D1">
        <w:rPr>
          <w:rStyle w:val="Emphasis"/>
          <w:i w:val="0"/>
          <w:iCs w:val="0"/>
          <w:lang w:val="en-GB"/>
        </w:rPr>
        <w:t xml:space="preserve">The Committee granted the applicant </w:t>
      </w:r>
      <w:r w:rsidR="002872CF" w:rsidRPr="005703D1">
        <w:rPr>
          <w:rStyle w:val="Emphasis"/>
          <w:i w:val="0"/>
          <w:iCs w:val="0"/>
          <w:lang w:val="en-GB"/>
        </w:rPr>
        <w:t xml:space="preserve">that </w:t>
      </w:r>
      <w:r w:rsidR="001B218E" w:rsidRPr="005703D1">
        <w:rPr>
          <w:rStyle w:val="Emphasis"/>
          <w:i w:val="0"/>
          <w:iCs w:val="0"/>
          <w:lang w:val="en-GB"/>
        </w:rPr>
        <w:t xml:space="preserve">opportunity, and the applicant </w:t>
      </w:r>
      <w:r w:rsidR="002872CF" w:rsidRPr="005703D1">
        <w:rPr>
          <w:rStyle w:val="Emphasis"/>
          <w:i w:val="0"/>
          <w:iCs w:val="0"/>
          <w:lang w:val="en-GB"/>
        </w:rPr>
        <w:t xml:space="preserve">duly </w:t>
      </w:r>
      <w:r w:rsidR="001B218E" w:rsidRPr="005703D1">
        <w:rPr>
          <w:rStyle w:val="Emphasis"/>
          <w:i w:val="0"/>
          <w:iCs w:val="0"/>
          <w:lang w:val="en-GB"/>
        </w:rPr>
        <w:t>made oral representations to the Committee on the issue of sanction on 28 September 2023.</w:t>
      </w:r>
    </w:p>
    <w:p w14:paraId="16CF42EF" w14:textId="793EC23B" w:rsidR="00EE06F9" w:rsidRPr="000A0ADE" w:rsidRDefault="00B94719" w:rsidP="00B94719">
      <w:pPr>
        <w:snapToGrid w:val="0"/>
        <w:spacing w:before="120" w:after="240" w:line="480" w:lineRule="auto"/>
        <w:ind w:hanging="6"/>
        <w:jc w:val="both"/>
        <w:rPr>
          <w:rStyle w:val="Emphasis"/>
          <w:rFonts w:cs="Arial"/>
          <w:i w:val="0"/>
          <w:iCs w:val="0"/>
          <w:lang w:val="en-GB"/>
        </w:rPr>
      </w:pPr>
      <w:r w:rsidRPr="000A0ADE">
        <w:rPr>
          <w:rStyle w:val="Emphasis"/>
          <w:rFonts w:cs="Arial"/>
          <w:i w:val="0"/>
          <w:iCs w:val="0"/>
          <w:lang w:val="en-GB"/>
        </w:rPr>
        <w:t>[16]</w:t>
      </w:r>
      <w:r w:rsidRPr="000A0ADE">
        <w:rPr>
          <w:rStyle w:val="Emphasis"/>
          <w:rFonts w:cs="Arial"/>
          <w:i w:val="0"/>
          <w:iCs w:val="0"/>
          <w:lang w:val="en-GB"/>
        </w:rPr>
        <w:tab/>
      </w:r>
      <w:r w:rsidR="00EE06F9" w:rsidRPr="000A0ADE">
        <w:rPr>
          <w:rStyle w:val="Emphasis"/>
          <w:i w:val="0"/>
          <w:iCs w:val="0"/>
          <w:lang w:val="en-GB"/>
        </w:rPr>
        <w:t>On 20</w:t>
      </w:r>
      <w:r w:rsidR="00756853" w:rsidRPr="000A0ADE">
        <w:rPr>
          <w:rStyle w:val="Emphasis"/>
          <w:i w:val="0"/>
          <w:iCs w:val="0"/>
          <w:lang w:val="en-GB"/>
        </w:rPr>
        <w:t> </w:t>
      </w:r>
      <w:r w:rsidR="00EE06F9" w:rsidRPr="000A0ADE">
        <w:rPr>
          <w:rStyle w:val="Emphasis"/>
          <w:i w:val="0"/>
          <w:iCs w:val="0"/>
          <w:lang w:val="en-GB"/>
        </w:rPr>
        <w:t>October</w:t>
      </w:r>
      <w:r w:rsidR="00756853" w:rsidRPr="000A0ADE">
        <w:rPr>
          <w:rStyle w:val="Emphasis"/>
          <w:i w:val="0"/>
          <w:iCs w:val="0"/>
          <w:lang w:val="en-GB"/>
        </w:rPr>
        <w:t> </w:t>
      </w:r>
      <w:r w:rsidR="00EE06F9" w:rsidRPr="000A0ADE">
        <w:rPr>
          <w:rStyle w:val="Emphasis"/>
          <w:i w:val="0"/>
          <w:iCs w:val="0"/>
          <w:lang w:val="en-GB"/>
        </w:rPr>
        <w:t xml:space="preserve">2023 the Committee met to finalise its deliberations on the complaint.  </w:t>
      </w:r>
      <w:r w:rsidR="00AB30A1" w:rsidRPr="000A0ADE">
        <w:rPr>
          <w:rStyle w:val="Emphasis"/>
          <w:i w:val="0"/>
          <w:iCs w:val="0"/>
          <w:lang w:val="en-GB"/>
        </w:rPr>
        <w:t>On 24</w:t>
      </w:r>
      <w:r w:rsidR="00756853" w:rsidRPr="000A0ADE">
        <w:rPr>
          <w:rStyle w:val="Emphasis"/>
          <w:i w:val="0"/>
          <w:iCs w:val="0"/>
          <w:lang w:val="en-GB"/>
        </w:rPr>
        <w:t> </w:t>
      </w:r>
      <w:r w:rsidR="00AB30A1" w:rsidRPr="000A0ADE">
        <w:rPr>
          <w:rStyle w:val="Emphasis"/>
          <w:i w:val="0"/>
          <w:iCs w:val="0"/>
          <w:lang w:val="en-GB"/>
        </w:rPr>
        <w:t>October</w:t>
      </w:r>
      <w:r w:rsidR="00756853" w:rsidRPr="000A0ADE">
        <w:rPr>
          <w:rStyle w:val="Emphasis"/>
          <w:i w:val="0"/>
          <w:iCs w:val="0"/>
          <w:lang w:val="en-GB"/>
        </w:rPr>
        <w:t> </w:t>
      </w:r>
      <w:r w:rsidR="00AB30A1" w:rsidRPr="000A0ADE">
        <w:rPr>
          <w:rStyle w:val="Emphasis"/>
          <w:i w:val="0"/>
          <w:iCs w:val="0"/>
          <w:lang w:val="en-GB"/>
        </w:rPr>
        <w:t xml:space="preserve">2023 the Committee informed the applicant that it </w:t>
      </w:r>
      <w:r w:rsidR="002872CF" w:rsidRPr="000A0ADE">
        <w:rPr>
          <w:rStyle w:val="Emphasis"/>
          <w:i w:val="0"/>
          <w:iCs w:val="0"/>
          <w:lang w:val="en-GB"/>
        </w:rPr>
        <w:t xml:space="preserve">had </w:t>
      </w:r>
      <w:r w:rsidR="00AB30A1" w:rsidRPr="000A0ADE">
        <w:rPr>
          <w:rStyle w:val="Emphasis"/>
          <w:i w:val="0"/>
          <w:iCs w:val="0"/>
          <w:lang w:val="en-GB"/>
        </w:rPr>
        <w:t xml:space="preserve">finalised </w:t>
      </w:r>
      <w:r w:rsidR="00735EB8" w:rsidRPr="000A0ADE">
        <w:rPr>
          <w:rStyle w:val="Emphasis"/>
          <w:i w:val="0"/>
          <w:iCs w:val="0"/>
          <w:lang w:val="en-GB"/>
        </w:rPr>
        <w:t>its</w:t>
      </w:r>
      <w:r w:rsidR="002872CF" w:rsidRPr="000A0ADE">
        <w:rPr>
          <w:rStyle w:val="Emphasis"/>
          <w:i w:val="0"/>
          <w:iCs w:val="0"/>
          <w:lang w:val="en-GB"/>
        </w:rPr>
        <w:t xml:space="preserve"> </w:t>
      </w:r>
      <w:r w:rsidR="00AB30A1" w:rsidRPr="000A0ADE">
        <w:rPr>
          <w:rStyle w:val="Emphasis"/>
          <w:i w:val="0"/>
          <w:iCs w:val="0"/>
          <w:lang w:val="en-GB"/>
        </w:rPr>
        <w:t>deliberations</w:t>
      </w:r>
      <w:r w:rsidR="002872CF" w:rsidRPr="000A0ADE">
        <w:rPr>
          <w:rStyle w:val="Emphasis"/>
          <w:i w:val="0"/>
          <w:iCs w:val="0"/>
          <w:lang w:val="en-GB"/>
        </w:rPr>
        <w:t>,</w:t>
      </w:r>
      <w:r w:rsidR="00AB30A1" w:rsidRPr="000A0ADE">
        <w:rPr>
          <w:rStyle w:val="Emphasis"/>
          <w:i w:val="0"/>
          <w:iCs w:val="0"/>
          <w:lang w:val="en-GB"/>
        </w:rPr>
        <w:t xml:space="preserve"> and that it had made recommendations to the </w:t>
      </w:r>
      <w:r w:rsidR="000A134D" w:rsidRPr="000A0ADE">
        <w:rPr>
          <w:rStyle w:val="Emphasis"/>
          <w:i w:val="0"/>
          <w:iCs w:val="0"/>
          <w:lang w:val="en-GB"/>
        </w:rPr>
        <w:t>N</w:t>
      </w:r>
      <w:r w:rsidR="00AB30A1" w:rsidRPr="000A0ADE">
        <w:rPr>
          <w:rStyle w:val="Emphasis"/>
          <w:i w:val="0"/>
          <w:iCs w:val="0"/>
          <w:lang w:val="en-GB"/>
        </w:rPr>
        <w:t xml:space="preserve">ational Assembly. </w:t>
      </w:r>
      <w:r w:rsidR="001124EC" w:rsidRPr="000A0ADE">
        <w:rPr>
          <w:rStyle w:val="Emphasis"/>
          <w:i w:val="0"/>
          <w:iCs w:val="0"/>
          <w:lang w:val="en-GB"/>
        </w:rPr>
        <w:t xml:space="preserve"> </w:t>
      </w:r>
    </w:p>
    <w:p w14:paraId="4BB880B1" w14:textId="0E51F55E" w:rsidR="001124EC" w:rsidRPr="000A0ADE" w:rsidRDefault="00B94719" w:rsidP="00B94719">
      <w:pPr>
        <w:snapToGrid w:val="0"/>
        <w:spacing w:before="120" w:after="240" w:line="480" w:lineRule="auto"/>
        <w:ind w:hanging="6"/>
        <w:jc w:val="both"/>
        <w:rPr>
          <w:rStyle w:val="Emphasis"/>
          <w:rFonts w:cs="Arial"/>
          <w:i w:val="0"/>
          <w:iCs w:val="0"/>
          <w:lang w:val="en-GB"/>
        </w:rPr>
      </w:pPr>
      <w:r w:rsidRPr="000A0ADE">
        <w:rPr>
          <w:rStyle w:val="Emphasis"/>
          <w:rFonts w:cs="Arial"/>
          <w:i w:val="0"/>
          <w:iCs w:val="0"/>
          <w:lang w:val="en-GB"/>
        </w:rPr>
        <w:t>[17]</w:t>
      </w:r>
      <w:r w:rsidRPr="000A0ADE">
        <w:rPr>
          <w:rStyle w:val="Emphasis"/>
          <w:rFonts w:cs="Arial"/>
          <w:i w:val="0"/>
          <w:iCs w:val="0"/>
          <w:lang w:val="en-GB"/>
        </w:rPr>
        <w:tab/>
      </w:r>
      <w:r w:rsidR="001124EC" w:rsidRPr="000A0ADE">
        <w:rPr>
          <w:lang w:val="en-GB"/>
        </w:rPr>
        <w:t xml:space="preserve">The Committee recommended to the National Assembly, that in respect of each of the three breaches found, the applicant be suspended from her seat in all Parliamentary debates and sittings, and from committee meetings and committee related functions and operations for one term of the Parliamentary program.  The Committee further recommended that the suspension in respect of all three breaches run concurrently during a term of the Parliamentary program as determined by the National Assembly. </w:t>
      </w:r>
    </w:p>
    <w:p w14:paraId="1AFBDF76" w14:textId="332E3271" w:rsidR="001124EC" w:rsidRPr="000A0ADE" w:rsidRDefault="00B94719" w:rsidP="00B94719">
      <w:pPr>
        <w:snapToGrid w:val="0"/>
        <w:spacing w:before="120" w:after="240" w:line="480" w:lineRule="auto"/>
        <w:ind w:hanging="6"/>
        <w:jc w:val="both"/>
        <w:rPr>
          <w:rFonts w:cs="Arial"/>
          <w:lang w:val="en-GB"/>
        </w:rPr>
      </w:pPr>
      <w:r w:rsidRPr="000A0ADE">
        <w:rPr>
          <w:rFonts w:cs="Arial"/>
          <w:lang w:val="en-GB"/>
        </w:rPr>
        <w:t>[18]</w:t>
      </w:r>
      <w:r w:rsidRPr="000A0ADE">
        <w:rPr>
          <w:rFonts w:cs="Arial"/>
          <w:lang w:val="en-GB"/>
        </w:rPr>
        <w:tab/>
      </w:r>
      <w:r w:rsidR="00BF1BC5" w:rsidRPr="000A0ADE">
        <w:rPr>
          <w:rFonts w:cs="Arial"/>
          <w:lang w:val="en-GB"/>
        </w:rPr>
        <w:t>On 26</w:t>
      </w:r>
      <w:r w:rsidR="004142A7" w:rsidRPr="000A0ADE">
        <w:rPr>
          <w:rFonts w:cs="Arial"/>
          <w:lang w:val="en-GB"/>
        </w:rPr>
        <w:t> </w:t>
      </w:r>
      <w:r w:rsidR="00BF1BC5" w:rsidRPr="000A0ADE">
        <w:rPr>
          <w:rFonts w:cs="Arial"/>
          <w:lang w:val="en-GB"/>
        </w:rPr>
        <w:t>October</w:t>
      </w:r>
      <w:r w:rsidR="004142A7" w:rsidRPr="000A0ADE">
        <w:rPr>
          <w:rFonts w:cs="Arial"/>
          <w:lang w:val="en-GB"/>
        </w:rPr>
        <w:t> </w:t>
      </w:r>
      <w:r w:rsidR="00BF1BC5" w:rsidRPr="000A0ADE">
        <w:rPr>
          <w:rFonts w:cs="Arial"/>
          <w:lang w:val="en-GB"/>
        </w:rPr>
        <w:t>2023</w:t>
      </w:r>
      <w:r w:rsidR="002872CF" w:rsidRPr="000A0ADE">
        <w:rPr>
          <w:rFonts w:cs="Arial"/>
          <w:lang w:val="en-GB"/>
        </w:rPr>
        <w:t>,</w:t>
      </w:r>
      <w:r w:rsidR="00BF1BC5" w:rsidRPr="000A0ADE">
        <w:rPr>
          <w:rFonts w:cs="Arial"/>
          <w:lang w:val="en-GB"/>
        </w:rPr>
        <w:t xml:space="preserve"> the applicant received the report of the Committee</w:t>
      </w:r>
      <w:r w:rsidR="004142A7" w:rsidRPr="000A0ADE">
        <w:rPr>
          <w:rFonts w:cs="Arial"/>
          <w:lang w:val="en-GB"/>
        </w:rPr>
        <w:t xml:space="preserve"> in respect of the complaint.</w:t>
      </w:r>
    </w:p>
    <w:p w14:paraId="54CB1F2D" w14:textId="300461F1" w:rsidR="00A01BFE" w:rsidRPr="000A0ADE" w:rsidRDefault="00B94719" w:rsidP="00B94719">
      <w:pPr>
        <w:snapToGrid w:val="0"/>
        <w:spacing w:before="120" w:after="240" w:line="480" w:lineRule="auto"/>
        <w:ind w:hanging="6"/>
        <w:jc w:val="both"/>
        <w:rPr>
          <w:rFonts w:cs="Arial"/>
          <w:lang w:val="en-GB"/>
        </w:rPr>
      </w:pPr>
      <w:r w:rsidRPr="000A0ADE">
        <w:rPr>
          <w:rFonts w:cs="Arial"/>
          <w:lang w:val="en-GB"/>
        </w:rPr>
        <w:t>[19]</w:t>
      </w:r>
      <w:r w:rsidRPr="000A0ADE">
        <w:rPr>
          <w:rFonts w:cs="Arial"/>
          <w:lang w:val="en-GB"/>
        </w:rPr>
        <w:tab/>
      </w:r>
      <w:r w:rsidR="00B94673" w:rsidRPr="000A0ADE">
        <w:rPr>
          <w:rFonts w:cs="Arial"/>
          <w:lang w:val="en-GB"/>
        </w:rPr>
        <w:t>The National Assembly placed the matter on its agenda for 28</w:t>
      </w:r>
      <w:r w:rsidR="00B94673" w:rsidRPr="000A0ADE">
        <w:rPr>
          <w:rFonts w:cs="Arial"/>
          <w:vertAlign w:val="superscript"/>
          <w:lang w:val="en-GB"/>
        </w:rPr>
        <w:t> </w:t>
      </w:r>
      <w:r w:rsidR="00B94673" w:rsidRPr="000A0ADE">
        <w:rPr>
          <w:rFonts w:cs="Arial"/>
          <w:lang w:val="en-GB"/>
        </w:rPr>
        <w:t>November 2023.</w:t>
      </w:r>
      <w:r w:rsidR="00B9729F" w:rsidRPr="000A0ADE">
        <w:rPr>
          <w:rFonts w:cs="Arial"/>
          <w:lang w:val="en-GB"/>
        </w:rPr>
        <w:t xml:space="preserve">  </w:t>
      </w:r>
      <w:r w:rsidR="00136506" w:rsidRPr="000A0ADE">
        <w:rPr>
          <w:rFonts w:cs="Arial"/>
          <w:lang w:val="en-GB"/>
        </w:rPr>
        <w:t>It appears from a letter dated 28</w:t>
      </w:r>
      <w:r w:rsidR="0060166D" w:rsidRPr="000A0ADE">
        <w:rPr>
          <w:rFonts w:cs="Arial"/>
          <w:lang w:val="en-GB"/>
        </w:rPr>
        <w:t> </w:t>
      </w:r>
      <w:r w:rsidR="00136506" w:rsidRPr="000A0ADE">
        <w:rPr>
          <w:rFonts w:cs="Arial"/>
          <w:lang w:val="en-GB"/>
        </w:rPr>
        <w:t>November</w:t>
      </w:r>
      <w:r w:rsidR="0060166D" w:rsidRPr="000A0ADE">
        <w:rPr>
          <w:rFonts w:cs="Arial"/>
          <w:lang w:val="en-GB"/>
        </w:rPr>
        <w:t> </w:t>
      </w:r>
      <w:r w:rsidR="00136506" w:rsidRPr="000A0ADE">
        <w:rPr>
          <w:rFonts w:cs="Arial"/>
          <w:lang w:val="en-GB"/>
        </w:rPr>
        <w:t>2023</w:t>
      </w:r>
      <w:r w:rsidR="00735EB8" w:rsidRPr="000A0ADE">
        <w:rPr>
          <w:rFonts w:cs="Arial"/>
          <w:lang w:val="en-GB"/>
        </w:rPr>
        <w:t>,</w:t>
      </w:r>
      <w:r w:rsidR="00136506" w:rsidRPr="000A0ADE">
        <w:rPr>
          <w:rFonts w:cs="Arial"/>
          <w:lang w:val="en-GB"/>
        </w:rPr>
        <w:t xml:space="preserve"> from the applicants</w:t>
      </w:r>
      <w:r w:rsidR="0060166D" w:rsidRPr="000A0ADE">
        <w:rPr>
          <w:rFonts w:cs="Arial"/>
          <w:lang w:val="en-GB"/>
        </w:rPr>
        <w:t>’</w:t>
      </w:r>
      <w:r w:rsidR="00136506" w:rsidRPr="000A0ADE">
        <w:rPr>
          <w:rFonts w:cs="Arial"/>
          <w:lang w:val="en-GB"/>
        </w:rPr>
        <w:t xml:space="preserve"> erstwhile attorney</w:t>
      </w:r>
      <w:r w:rsidR="00C26C39" w:rsidRPr="000A0ADE">
        <w:rPr>
          <w:rFonts w:cs="Arial"/>
          <w:lang w:val="en-GB"/>
        </w:rPr>
        <w:t>s,</w:t>
      </w:r>
      <w:r w:rsidR="00136506" w:rsidRPr="000A0ADE">
        <w:rPr>
          <w:rFonts w:cs="Arial"/>
          <w:lang w:val="en-GB"/>
        </w:rPr>
        <w:t xml:space="preserve"> </w:t>
      </w:r>
      <w:r w:rsidR="0060166D" w:rsidRPr="000A0ADE">
        <w:rPr>
          <w:rFonts w:cs="Arial"/>
          <w:lang w:val="en-GB"/>
        </w:rPr>
        <w:t>which is annexed</w:t>
      </w:r>
      <w:r w:rsidR="00136506" w:rsidRPr="000A0ADE">
        <w:rPr>
          <w:rFonts w:cs="Arial"/>
          <w:lang w:val="en-GB"/>
        </w:rPr>
        <w:t xml:space="preserve"> to the </w:t>
      </w:r>
      <w:r w:rsidR="0060166D" w:rsidRPr="000A0ADE">
        <w:rPr>
          <w:rFonts w:cs="Arial"/>
          <w:lang w:val="en-GB"/>
        </w:rPr>
        <w:t>S</w:t>
      </w:r>
      <w:r w:rsidR="00136506" w:rsidRPr="000A0ADE">
        <w:rPr>
          <w:rFonts w:cs="Arial"/>
          <w:lang w:val="en-GB"/>
        </w:rPr>
        <w:t>peaker</w:t>
      </w:r>
      <w:r w:rsidR="0060166D" w:rsidRPr="000A0ADE">
        <w:rPr>
          <w:rFonts w:cs="Arial"/>
          <w:lang w:val="en-GB"/>
        </w:rPr>
        <w:t>’</w:t>
      </w:r>
      <w:r w:rsidR="00136506" w:rsidRPr="000A0ADE">
        <w:rPr>
          <w:rFonts w:cs="Arial"/>
          <w:lang w:val="en-GB"/>
        </w:rPr>
        <w:t>s answering affidavit</w:t>
      </w:r>
      <w:r w:rsidR="00390F6C" w:rsidRPr="000A0ADE">
        <w:rPr>
          <w:rFonts w:cs="Arial"/>
          <w:lang w:val="en-GB"/>
        </w:rPr>
        <w:t>, that the applicant was notified of</w:t>
      </w:r>
      <w:r w:rsidR="00D909FD" w:rsidRPr="000A0ADE">
        <w:rPr>
          <w:rFonts w:cs="Arial"/>
          <w:lang w:val="en-GB"/>
        </w:rPr>
        <w:t xml:space="preserve"> </w:t>
      </w:r>
      <w:r w:rsidR="00C95950">
        <w:rPr>
          <w:rFonts w:cs="Arial"/>
          <w:lang w:val="en-GB"/>
        </w:rPr>
        <w:t xml:space="preserve">the </w:t>
      </w:r>
      <w:r w:rsidR="0060166D" w:rsidRPr="000A0ADE">
        <w:rPr>
          <w:rFonts w:cs="Arial"/>
          <w:lang w:val="en-GB"/>
        </w:rPr>
        <w:t xml:space="preserve">28 November 2023 </w:t>
      </w:r>
      <w:r w:rsidR="00D909FD" w:rsidRPr="000A0ADE">
        <w:rPr>
          <w:rFonts w:cs="Arial"/>
          <w:lang w:val="en-GB"/>
        </w:rPr>
        <w:t>s</w:t>
      </w:r>
      <w:r w:rsidR="0060166D" w:rsidRPr="000A0ADE">
        <w:rPr>
          <w:rFonts w:cs="Arial"/>
          <w:lang w:val="en-GB"/>
        </w:rPr>
        <w:t>i</w:t>
      </w:r>
      <w:r w:rsidR="00D909FD" w:rsidRPr="000A0ADE">
        <w:rPr>
          <w:rFonts w:cs="Arial"/>
          <w:lang w:val="en-GB"/>
        </w:rPr>
        <w:t xml:space="preserve">tting of the </w:t>
      </w:r>
      <w:r w:rsidR="0060166D" w:rsidRPr="000A0ADE">
        <w:rPr>
          <w:rFonts w:cs="Arial"/>
          <w:lang w:val="en-GB"/>
        </w:rPr>
        <w:t>N</w:t>
      </w:r>
      <w:r w:rsidR="00D909FD" w:rsidRPr="000A0ADE">
        <w:rPr>
          <w:rFonts w:cs="Arial"/>
          <w:lang w:val="en-GB"/>
        </w:rPr>
        <w:t xml:space="preserve">ational </w:t>
      </w:r>
      <w:r w:rsidR="0060166D" w:rsidRPr="000A0ADE">
        <w:rPr>
          <w:rFonts w:cs="Arial"/>
          <w:lang w:val="en-GB"/>
        </w:rPr>
        <w:t>A</w:t>
      </w:r>
      <w:r w:rsidR="00D909FD" w:rsidRPr="000A0ADE">
        <w:rPr>
          <w:rFonts w:cs="Arial"/>
          <w:lang w:val="en-GB"/>
        </w:rPr>
        <w:t xml:space="preserve">ssembly and </w:t>
      </w:r>
      <w:r w:rsidR="00390F6C" w:rsidRPr="000A0ADE">
        <w:rPr>
          <w:rFonts w:cs="Arial"/>
          <w:lang w:val="en-GB"/>
        </w:rPr>
        <w:t xml:space="preserve">of </w:t>
      </w:r>
      <w:r w:rsidR="00D909FD" w:rsidRPr="000A0ADE">
        <w:rPr>
          <w:rFonts w:cs="Arial"/>
          <w:lang w:val="en-GB"/>
        </w:rPr>
        <w:t>the agenda</w:t>
      </w:r>
      <w:r w:rsidR="0060166D" w:rsidRPr="000A0ADE">
        <w:rPr>
          <w:rFonts w:cs="Arial"/>
          <w:lang w:val="en-GB"/>
        </w:rPr>
        <w:t>.</w:t>
      </w:r>
      <w:r w:rsidR="00695074" w:rsidRPr="000A0ADE">
        <w:rPr>
          <w:rFonts w:cs="Arial"/>
          <w:lang w:val="en-GB"/>
        </w:rPr>
        <w:t xml:space="preserve">  </w:t>
      </w:r>
    </w:p>
    <w:p w14:paraId="400A32D1" w14:textId="34D6D05D" w:rsidR="00E14116" w:rsidRPr="000A0ADE" w:rsidRDefault="00B94719" w:rsidP="00B94719">
      <w:pPr>
        <w:keepNext/>
        <w:keepLines/>
        <w:snapToGrid w:val="0"/>
        <w:spacing w:before="120" w:after="240" w:line="480" w:lineRule="auto"/>
        <w:ind w:hanging="6"/>
        <w:jc w:val="both"/>
        <w:rPr>
          <w:rFonts w:cs="Arial"/>
          <w:lang w:val="en-GB"/>
        </w:rPr>
      </w:pPr>
      <w:r w:rsidRPr="000A0ADE">
        <w:rPr>
          <w:rFonts w:cs="Arial"/>
          <w:lang w:val="en-GB"/>
        </w:rPr>
        <w:lastRenderedPageBreak/>
        <w:t>[20]</w:t>
      </w:r>
      <w:r w:rsidRPr="000A0ADE">
        <w:rPr>
          <w:rFonts w:cs="Arial"/>
          <w:lang w:val="en-GB"/>
        </w:rPr>
        <w:tab/>
      </w:r>
      <w:r w:rsidR="00E14116" w:rsidRPr="000A0ADE">
        <w:rPr>
          <w:rFonts w:cs="Arial"/>
          <w:lang w:val="en-GB"/>
        </w:rPr>
        <w:t>In that letter</w:t>
      </w:r>
      <w:r w:rsidR="00B951EA" w:rsidRPr="000A0ADE">
        <w:rPr>
          <w:rFonts w:cs="Arial"/>
          <w:lang w:val="en-GB"/>
        </w:rPr>
        <w:t xml:space="preserve"> of the 28 November 2023</w:t>
      </w:r>
      <w:r w:rsidR="00E14116" w:rsidRPr="000A0ADE">
        <w:rPr>
          <w:rFonts w:cs="Arial"/>
          <w:lang w:val="en-GB"/>
        </w:rPr>
        <w:t xml:space="preserve"> the applicant</w:t>
      </w:r>
      <w:r w:rsidR="00CD67D1" w:rsidRPr="000A0ADE">
        <w:rPr>
          <w:rFonts w:cs="Arial"/>
          <w:lang w:val="en-GB"/>
        </w:rPr>
        <w:t xml:space="preserve"> through her</w:t>
      </w:r>
      <w:r w:rsidR="00E14116" w:rsidRPr="000A0ADE">
        <w:rPr>
          <w:rFonts w:cs="Arial"/>
          <w:lang w:val="en-GB"/>
        </w:rPr>
        <w:t xml:space="preserve"> erstwhile attorneys</w:t>
      </w:r>
      <w:r w:rsidR="008F3D5E" w:rsidRPr="000A0ADE">
        <w:rPr>
          <w:rFonts w:cs="Arial"/>
          <w:lang w:val="en-GB"/>
        </w:rPr>
        <w:t>,</w:t>
      </w:r>
      <w:r w:rsidR="0070643E" w:rsidRPr="000A0ADE">
        <w:rPr>
          <w:rFonts w:cs="Arial"/>
          <w:lang w:val="en-GB"/>
        </w:rPr>
        <w:t xml:space="preserve"> advised</w:t>
      </w:r>
      <w:r w:rsidR="008F3D5E" w:rsidRPr="000A0ADE">
        <w:rPr>
          <w:rFonts w:cs="Arial"/>
          <w:lang w:val="en-GB"/>
        </w:rPr>
        <w:t xml:space="preserve"> </w:t>
      </w:r>
      <w:r w:rsidR="008F3D5E" w:rsidRPr="000A0ADE">
        <w:rPr>
          <w:rFonts w:cs="Arial"/>
          <w:i/>
          <w:iCs/>
          <w:lang w:val="en-GB"/>
        </w:rPr>
        <w:t>inter alia</w:t>
      </w:r>
      <w:r w:rsidR="008F3D5E" w:rsidRPr="000A0ADE">
        <w:rPr>
          <w:rFonts w:cs="Arial"/>
          <w:lang w:val="en-GB"/>
        </w:rPr>
        <w:t xml:space="preserve">, the Speaker that </w:t>
      </w:r>
      <w:r w:rsidR="00695074" w:rsidRPr="000A0ADE">
        <w:rPr>
          <w:rFonts w:cs="Arial"/>
          <w:lang w:val="en-GB"/>
        </w:rPr>
        <w:t>she</w:t>
      </w:r>
      <w:r w:rsidR="003E0703" w:rsidRPr="000A0ADE">
        <w:rPr>
          <w:rFonts w:cs="Arial"/>
          <w:lang w:val="en-GB"/>
        </w:rPr>
        <w:t xml:space="preserve"> was of the view that the State Capture Commission process as well as the process of the Committee </w:t>
      </w:r>
      <w:r w:rsidR="00744B3A" w:rsidRPr="000A0ADE">
        <w:rPr>
          <w:rFonts w:cs="Arial"/>
          <w:lang w:val="en-GB"/>
        </w:rPr>
        <w:t>ha</w:t>
      </w:r>
      <w:r w:rsidR="00695074" w:rsidRPr="000A0ADE">
        <w:rPr>
          <w:rFonts w:cs="Arial"/>
          <w:lang w:val="en-GB"/>
        </w:rPr>
        <w:t>d</w:t>
      </w:r>
      <w:r w:rsidR="00744B3A" w:rsidRPr="000A0ADE">
        <w:rPr>
          <w:rFonts w:cs="Arial"/>
          <w:lang w:val="en-GB"/>
        </w:rPr>
        <w:t xml:space="preserve"> </w:t>
      </w:r>
      <w:r w:rsidR="00744B3A" w:rsidRPr="000A0ADE">
        <w:rPr>
          <w:rFonts w:cs="Arial"/>
          <w:i/>
          <w:iCs/>
          <w:lang w:val="en-GB"/>
        </w:rPr>
        <w:t>“violated her rights to a fair quasi judicial process”</w:t>
      </w:r>
      <w:r w:rsidR="008252BB" w:rsidRPr="000A0ADE">
        <w:rPr>
          <w:rFonts w:cs="Arial"/>
          <w:i/>
          <w:iCs/>
          <w:lang w:val="en-GB"/>
        </w:rPr>
        <w:t>.</w:t>
      </w:r>
      <w:r w:rsidR="008F3D5E" w:rsidRPr="000A0ADE">
        <w:rPr>
          <w:rFonts w:cs="Arial"/>
          <w:lang w:val="en-GB"/>
        </w:rPr>
        <w:t xml:space="preserve"> </w:t>
      </w:r>
      <w:r w:rsidR="008252BB" w:rsidRPr="000A0ADE">
        <w:rPr>
          <w:rFonts w:cs="Arial"/>
          <w:lang w:val="en-GB"/>
        </w:rPr>
        <w:t xml:space="preserve"> The applicant’s erstwhile attorneys </w:t>
      </w:r>
      <w:r w:rsidR="00A01BFE" w:rsidRPr="000A0ADE">
        <w:rPr>
          <w:rFonts w:cs="Arial"/>
          <w:lang w:val="en-GB"/>
        </w:rPr>
        <w:t xml:space="preserve">state in the letter </w:t>
      </w:r>
      <w:r w:rsidR="00C06815" w:rsidRPr="000A0ADE">
        <w:rPr>
          <w:rFonts w:cs="Arial"/>
          <w:lang w:val="en-GB"/>
        </w:rPr>
        <w:t xml:space="preserve">that they had been instructed to </w:t>
      </w:r>
      <w:r w:rsidR="00C06815" w:rsidRPr="000A0ADE">
        <w:rPr>
          <w:rFonts w:cs="Arial"/>
          <w:i/>
          <w:iCs/>
          <w:lang w:val="en-GB"/>
        </w:rPr>
        <w:t>“take the matter and in particular the Joint Committee on Ethics matter, to court to set aside the findings and sanction</w:t>
      </w:r>
      <w:r w:rsidR="00A01BFE" w:rsidRPr="000A0ADE">
        <w:rPr>
          <w:rFonts w:cs="Arial"/>
          <w:i/>
          <w:iCs/>
          <w:lang w:val="en-GB"/>
        </w:rPr>
        <w:t>”</w:t>
      </w:r>
      <w:r w:rsidR="008D5FD6" w:rsidRPr="000A0ADE">
        <w:rPr>
          <w:rFonts w:cs="Arial"/>
          <w:lang w:val="en-GB"/>
        </w:rPr>
        <w:t xml:space="preserve"> </w:t>
      </w:r>
      <w:r w:rsidR="00A01BFE" w:rsidRPr="000A0ADE">
        <w:rPr>
          <w:rFonts w:cs="Arial"/>
          <w:lang w:val="en-GB"/>
        </w:rPr>
        <w:t xml:space="preserve">and </w:t>
      </w:r>
      <w:r w:rsidR="00CD67D1" w:rsidRPr="000A0ADE">
        <w:rPr>
          <w:rFonts w:cs="Arial"/>
          <w:lang w:val="en-GB"/>
        </w:rPr>
        <w:t xml:space="preserve">that </w:t>
      </w:r>
      <w:r w:rsidR="008D5FD6" w:rsidRPr="000A0ADE">
        <w:rPr>
          <w:rFonts w:cs="Arial"/>
          <w:i/>
          <w:iCs/>
          <w:lang w:val="en-GB"/>
        </w:rPr>
        <w:t>“the court papers will be launched next week by 6 December 2023”</w:t>
      </w:r>
      <w:r w:rsidR="008D5FD6" w:rsidRPr="000A0ADE">
        <w:rPr>
          <w:rFonts w:cs="Arial"/>
          <w:lang w:val="en-GB"/>
        </w:rPr>
        <w:t>.</w:t>
      </w:r>
    </w:p>
    <w:p w14:paraId="08C97625" w14:textId="5DEBA99D" w:rsidR="00390F6C" w:rsidRPr="000A0ADE" w:rsidRDefault="00B94719" w:rsidP="00B94719">
      <w:pPr>
        <w:snapToGrid w:val="0"/>
        <w:spacing w:before="120" w:after="240" w:line="480" w:lineRule="auto"/>
        <w:ind w:hanging="6"/>
        <w:jc w:val="both"/>
        <w:rPr>
          <w:rFonts w:cs="Arial"/>
          <w:lang w:val="en-GB"/>
        </w:rPr>
      </w:pPr>
      <w:r w:rsidRPr="000A0ADE">
        <w:rPr>
          <w:rFonts w:cs="Arial"/>
          <w:lang w:val="en-GB"/>
        </w:rPr>
        <w:t>[21]</w:t>
      </w:r>
      <w:r w:rsidRPr="000A0ADE">
        <w:rPr>
          <w:rFonts w:cs="Arial"/>
          <w:lang w:val="en-GB"/>
        </w:rPr>
        <w:tab/>
      </w:r>
      <w:r w:rsidR="00C26C39" w:rsidRPr="000A0ADE">
        <w:rPr>
          <w:rFonts w:cs="Arial"/>
          <w:lang w:val="en-GB"/>
        </w:rPr>
        <w:t>On 28</w:t>
      </w:r>
      <w:r w:rsidR="00C26C39" w:rsidRPr="000A0ADE">
        <w:rPr>
          <w:rFonts w:cs="Arial"/>
          <w:vertAlign w:val="superscript"/>
          <w:lang w:val="en-GB"/>
        </w:rPr>
        <w:t> </w:t>
      </w:r>
      <w:r w:rsidR="00C26C39" w:rsidRPr="000A0ADE">
        <w:rPr>
          <w:rFonts w:cs="Arial"/>
          <w:lang w:val="en-GB"/>
        </w:rPr>
        <w:t>November 2023</w:t>
      </w:r>
      <w:r w:rsidR="002872CF" w:rsidRPr="000A0ADE">
        <w:rPr>
          <w:rFonts w:cs="Arial"/>
          <w:lang w:val="en-GB"/>
        </w:rPr>
        <w:t>,</w:t>
      </w:r>
      <w:r w:rsidR="00CF2716" w:rsidRPr="000A0ADE">
        <w:rPr>
          <w:rFonts w:cs="Arial"/>
          <w:lang w:val="en-GB"/>
        </w:rPr>
        <w:t xml:space="preserve"> the </w:t>
      </w:r>
      <w:r w:rsidR="00D436DB" w:rsidRPr="000A0ADE">
        <w:rPr>
          <w:rFonts w:cs="Arial"/>
          <w:lang w:val="en-GB"/>
        </w:rPr>
        <w:t>N</w:t>
      </w:r>
      <w:r w:rsidR="00CF2716" w:rsidRPr="000A0ADE">
        <w:rPr>
          <w:rFonts w:cs="Arial"/>
          <w:lang w:val="en-GB"/>
        </w:rPr>
        <w:t xml:space="preserve">ational </w:t>
      </w:r>
      <w:r w:rsidR="00D436DB" w:rsidRPr="000A0ADE">
        <w:rPr>
          <w:rFonts w:cs="Arial"/>
          <w:lang w:val="en-GB"/>
        </w:rPr>
        <w:t>A</w:t>
      </w:r>
      <w:r w:rsidR="00CF2716" w:rsidRPr="000A0ADE">
        <w:rPr>
          <w:rFonts w:cs="Arial"/>
          <w:lang w:val="en-GB"/>
        </w:rPr>
        <w:t xml:space="preserve">ssembly adopted the report of the </w:t>
      </w:r>
      <w:r w:rsidR="00D436DB" w:rsidRPr="000A0ADE">
        <w:rPr>
          <w:rFonts w:cs="Arial"/>
          <w:lang w:val="en-GB"/>
        </w:rPr>
        <w:t>C</w:t>
      </w:r>
      <w:r w:rsidR="00CF2716" w:rsidRPr="000A0ADE">
        <w:rPr>
          <w:rFonts w:cs="Arial"/>
          <w:lang w:val="en-GB"/>
        </w:rPr>
        <w:t xml:space="preserve">ommittee with its findings and recommendations. </w:t>
      </w:r>
      <w:r w:rsidR="00DE7EBD" w:rsidRPr="000A0ADE">
        <w:rPr>
          <w:rFonts w:cs="Arial"/>
          <w:lang w:val="en-GB"/>
        </w:rPr>
        <w:t xml:space="preserve"> </w:t>
      </w:r>
      <w:r w:rsidR="00CF2716" w:rsidRPr="000A0ADE">
        <w:rPr>
          <w:rFonts w:cs="Arial"/>
          <w:lang w:val="en-GB"/>
        </w:rPr>
        <w:t xml:space="preserve">The sanction recommended by the </w:t>
      </w:r>
      <w:r w:rsidR="00DE7EBD" w:rsidRPr="000A0ADE">
        <w:rPr>
          <w:rFonts w:cs="Arial"/>
          <w:lang w:val="en-GB"/>
        </w:rPr>
        <w:t>C</w:t>
      </w:r>
      <w:r w:rsidR="00CF2716" w:rsidRPr="000A0ADE">
        <w:rPr>
          <w:rFonts w:cs="Arial"/>
          <w:lang w:val="en-GB"/>
        </w:rPr>
        <w:t xml:space="preserve">ommittee was approved and adopted as a decision of the </w:t>
      </w:r>
      <w:r w:rsidR="00DE7EBD" w:rsidRPr="000A0ADE">
        <w:rPr>
          <w:rFonts w:cs="Arial"/>
          <w:lang w:val="en-GB"/>
        </w:rPr>
        <w:t>N</w:t>
      </w:r>
      <w:r w:rsidR="00CF2716" w:rsidRPr="000A0ADE">
        <w:rPr>
          <w:rFonts w:cs="Arial"/>
          <w:lang w:val="en-GB"/>
        </w:rPr>
        <w:t xml:space="preserve">ational </w:t>
      </w:r>
      <w:r w:rsidR="00DE7EBD" w:rsidRPr="000A0ADE">
        <w:rPr>
          <w:rFonts w:cs="Arial"/>
          <w:lang w:val="en-GB"/>
        </w:rPr>
        <w:t>A</w:t>
      </w:r>
      <w:r w:rsidR="00CF2716" w:rsidRPr="000A0ADE">
        <w:rPr>
          <w:rFonts w:cs="Arial"/>
          <w:lang w:val="en-GB"/>
        </w:rPr>
        <w:t>ssembly</w:t>
      </w:r>
      <w:r w:rsidR="007D2764" w:rsidRPr="000A0ADE">
        <w:rPr>
          <w:rFonts w:cs="Arial"/>
          <w:lang w:val="en-GB"/>
        </w:rPr>
        <w:t xml:space="preserve">.  The </w:t>
      </w:r>
      <w:r w:rsidR="00D436DB" w:rsidRPr="000A0ADE">
        <w:rPr>
          <w:rFonts w:cs="Arial"/>
          <w:lang w:val="en-GB"/>
        </w:rPr>
        <w:t>N</w:t>
      </w:r>
      <w:r w:rsidR="007D2764" w:rsidRPr="000A0ADE">
        <w:rPr>
          <w:rFonts w:cs="Arial"/>
          <w:lang w:val="en-GB"/>
        </w:rPr>
        <w:t xml:space="preserve">ational </w:t>
      </w:r>
      <w:r w:rsidR="00D436DB" w:rsidRPr="000A0ADE">
        <w:rPr>
          <w:rFonts w:cs="Arial"/>
          <w:lang w:val="en-GB"/>
        </w:rPr>
        <w:t>A</w:t>
      </w:r>
      <w:r w:rsidR="007D2764" w:rsidRPr="000A0ADE">
        <w:rPr>
          <w:rFonts w:cs="Arial"/>
          <w:lang w:val="en-GB"/>
        </w:rPr>
        <w:t xml:space="preserve">ssembly imposed the sanction for the first term of the 2024 Parliamentary </w:t>
      </w:r>
      <w:r w:rsidR="00851092" w:rsidRPr="000A0ADE">
        <w:rPr>
          <w:rFonts w:cs="Arial"/>
          <w:lang w:val="en-GB"/>
        </w:rPr>
        <w:t>session</w:t>
      </w:r>
      <w:r w:rsidR="00D436DB" w:rsidRPr="000A0ADE">
        <w:rPr>
          <w:rFonts w:cs="Arial"/>
          <w:lang w:val="en-GB"/>
        </w:rPr>
        <w:t>.</w:t>
      </w:r>
    </w:p>
    <w:p w14:paraId="0364EE03" w14:textId="5B6C1EEF" w:rsidR="004C1566" w:rsidRPr="000A0ADE" w:rsidRDefault="00B94719" w:rsidP="00B94719">
      <w:pPr>
        <w:snapToGrid w:val="0"/>
        <w:spacing w:before="120" w:after="240" w:line="480" w:lineRule="auto"/>
        <w:ind w:hanging="6"/>
        <w:jc w:val="both"/>
        <w:rPr>
          <w:rFonts w:cs="Arial"/>
          <w:lang w:val="en-GB"/>
        </w:rPr>
      </w:pPr>
      <w:r w:rsidRPr="000A0ADE">
        <w:rPr>
          <w:rFonts w:cs="Arial"/>
          <w:lang w:val="en-GB"/>
        </w:rPr>
        <w:t>[22]</w:t>
      </w:r>
      <w:r w:rsidRPr="000A0ADE">
        <w:rPr>
          <w:rFonts w:cs="Arial"/>
          <w:lang w:val="en-GB"/>
        </w:rPr>
        <w:tab/>
      </w:r>
      <w:r w:rsidR="00812E7D" w:rsidRPr="000A0ADE">
        <w:rPr>
          <w:rFonts w:cs="Arial"/>
          <w:lang w:val="en-GB"/>
        </w:rPr>
        <w:t>On 6</w:t>
      </w:r>
      <w:r w:rsidR="00AF274E" w:rsidRPr="000A0ADE">
        <w:rPr>
          <w:rFonts w:cs="Arial"/>
          <w:lang w:val="en-GB"/>
        </w:rPr>
        <w:t> </w:t>
      </w:r>
      <w:r w:rsidR="00812E7D" w:rsidRPr="000A0ADE">
        <w:rPr>
          <w:rFonts w:cs="Arial"/>
          <w:lang w:val="en-GB"/>
        </w:rPr>
        <w:t>December</w:t>
      </w:r>
      <w:r w:rsidR="002872CF" w:rsidRPr="000A0ADE">
        <w:rPr>
          <w:rFonts w:cs="Arial"/>
          <w:lang w:val="en-GB"/>
        </w:rPr>
        <w:t xml:space="preserve"> </w:t>
      </w:r>
      <w:r w:rsidR="00812E7D" w:rsidRPr="000A0ADE">
        <w:rPr>
          <w:rFonts w:cs="Arial"/>
          <w:lang w:val="en-GB"/>
        </w:rPr>
        <w:t>2023</w:t>
      </w:r>
      <w:r w:rsidR="002872CF" w:rsidRPr="000A0ADE">
        <w:rPr>
          <w:rFonts w:cs="Arial"/>
          <w:lang w:val="en-GB"/>
        </w:rPr>
        <w:t>,</w:t>
      </w:r>
      <w:r w:rsidR="00812E7D" w:rsidRPr="000A0ADE">
        <w:rPr>
          <w:rFonts w:cs="Arial"/>
          <w:lang w:val="en-GB"/>
        </w:rPr>
        <w:t xml:space="preserve"> the applicant was notified in writing of the decision of the </w:t>
      </w:r>
      <w:r w:rsidR="006B34A1" w:rsidRPr="000A0ADE">
        <w:rPr>
          <w:rFonts w:cs="Arial"/>
          <w:lang w:val="en-GB"/>
        </w:rPr>
        <w:t>N</w:t>
      </w:r>
      <w:r w:rsidR="00812E7D" w:rsidRPr="000A0ADE">
        <w:rPr>
          <w:rFonts w:cs="Arial"/>
          <w:lang w:val="en-GB"/>
        </w:rPr>
        <w:t xml:space="preserve">ational </w:t>
      </w:r>
      <w:r w:rsidR="006B34A1" w:rsidRPr="000A0ADE">
        <w:rPr>
          <w:rFonts w:cs="Arial"/>
          <w:lang w:val="en-GB"/>
        </w:rPr>
        <w:t>A</w:t>
      </w:r>
      <w:r w:rsidR="00812E7D" w:rsidRPr="000A0ADE">
        <w:rPr>
          <w:rFonts w:cs="Arial"/>
          <w:lang w:val="en-GB"/>
        </w:rPr>
        <w:t>ssembly and</w:t>
      </w:r>
      <w:r w:rsidR="002872CF" w:rsidRPr="000A0ADE">
        <w:rPr>
          <w:rFonts w:cs="Arial"/>
          <w:lang w:val="en-GB"/>
        </w:rPr>
        <w:t>,</w:t>
      </w:r>
      <w:r w:rsidR="00812E7D" w:rsidRPr="000A0ADE">
        <w:rPr>
          <w:rFonts w:cs="Arial"/>
          <w:lang w:val="en-GB"/>
        </w:rPr>
        <w:t xml:space="preserve"> in particular</w:t>
      </w:r>
      <w:r w:rsidR="002872CF" w:rsidRPr="000A0ADE">
        <w:rPr>
          <w:rFonts w:cs="Arial"/>
          <w:lang w:val="en-GB"/>
        </w:rPr>
        <w:t>,</w:t>
      </w:r>
      <w:r w:rsidR="00812E7D" w:rsidRPr="000A0ADE">
        <w:rPr>
          <w:rFonts w:cs="Arial"/>
          <w:lang w:val="en-GB"/>
        </w:rPr>
        <w:t xml:space="preserve"> </w:t>
      </w:r>
      <w:r w:rsidR="0081165E" w:rsidRPr="000A0ADE">
        <w:rPr>
          <w:rFonts w:cs="Arial"/>
          <w:lang w:val="en-GB"/>
        </w:rPr>
        <w:t>the applicant was notified that the sanction</w:t>
      </w:r>
      <w:r w:rsidR="004E3246" w:rsidRPr="000A0ADE">
        <w:rPr>
          <w:rFonts w:cs="Arial"/>
          <w:lang w:val="en-GB"/>
        </w:rPr>
        <w:t xml:space="preserve"> had been imposed for the first term of the 2024 Parliamentary session.  </w:t>
      </w:r>
    </w:p>
    <w:p w14:paraId="523961B0" w14:textId="1254D495" w:rsidR="00701C03" w:rsidRPr="000A0ADE" w:rsidRDefault="00B94719" w:rsidP="00B94719">
      <w:pPr>
        <w:snapToGrid w:val="0"/>
        <w:spacing w:before="120" w:after="240" w:line="480" w:lineRule="auto"/>
        <w:ind w:hanging="6"/>
        <w:jc w:val="both"/>
        <w:rPr>
          <w:rFonts w:cs="Arial"/>
          <w:lang w:val="en-GB"/>
        </w:rPr>
      </w:pPr>
      <w:r w:rsidRPr="000A0ADE">
        <w:rPr>
          <w:rFonts w:cs="Arial"/>
          <w:lang w:val="en-GB"/>
        </w:rPr>
        <w:t>[23]</w:t>
      </w:r>
      <w:r w:rsidRPr="000A0ADE">
        <w:rPr>
          <w:rFonts w:cs="Arial"/>
          <w:lang w:val="en-GB"/>
        </w:rPr>
        <w:tab/>
      </w:r>
      <w:r w:rsidR="00701C03" w:rsidRPr="000A0ADE">
        <w:rPr>
          <w:rFonts w:cs="Arial"/>
          <w:lang w:val="en-GB"/>
        </w:rPr>
        <w:t>Both the Speaker and #UniteBehind contend that the application is not urgent</w:t>
      </w:r>
      <w:r w:rsidR="002872CF" w:rsidRPr="000A0ADE">
        <w:rPr>
          <w:rFonts w:cs="Arial"/>
          <w:lang w:val="en-GB"/>
        </w:rPr>
        <w:t>,</w:t>
      </w:r>
      <w:r w:rsidR="00701C03" w:rsidRPr="000A0ADE">
        <w:rPr>
          <w:rFonts w:cs="Arial"/>
          <w:lang w:val="en-GB"/>
        </w:rPr>
        <w:t xml:space="preserve"> alternatively that any urgency that may exist is self-created and that the application should be struck from the roll with costs for this reason alone, and further that the applicant has failed to make out a case for interim relief in any event.  Consequently both the Speaker and #UniteBehind contend that if the application is not struck from the roll for lack of urgency, the application for interim relief should be dismissed on the merits.</w:t>
      </w:r>
    </w:p>
    <w:p w14:paraId="118EF4AC" w14:textId="5B95867A" w:rsidR="00F53328" w:rsidRPr="000A0ADE" w:rsidRDefault="00B94719" w:rsidP="00B94719">
      <w:pPr>
        <w:snapToGrid w:val="0"/>
        <w:spacing w:before="120" w:after="240" w:line="480" w:lineRule="auto"/>
        <w:ind w:hanging="6"/>
        <w:jc w:val="both"/>
        <w:rPr>
          <w:rFonts w:cs="Arial"/>
          <w:lang w:val="en-GB"/>
        </w:rPr>
      </w:pPr>
      <w:r w:rsidRPr="000A0ADE">
        <w:rPr>
          <w:rFonts w:cs="Arial"/>
          <w:lang w:val="en-GB"/>
        </w:rPr>
        <w:lastRenderedPageBreak/>
        <w:t>[24]</w:t>
      </w:r>
      <w:r w:rsidRPr="000A0ADE">
        <w:rPr>
          <w:rFonts w:cs="Arial"/>
          <w:lang w:val="en-GB"/>
        </w:rPr>
        <w:tab/>
      </w:r>
      <w:r w:rsidR="000620EE" w:rsidRPr="000A0ADE">
        <w:rPr>
          <w:rFonts w:cs="Arial"/>
          <w:lang w:val="en-GB"/>
        </w:rPr>
        <w:t>It is well settled that the question as to whether this application warrants this Court’s urgent attention is to be determined on the facts.</w:t>
      </w:r>
      <w:r w:rsidR="000620EE" w:rsidRPr="000A0ADE">
        <w:rPr>
          <w:rStyle w:val="FootnoteReference"/>
          <w:rFonts w:cs="Arial"/>
          <w:lang w:val="en-GB"/>
        </w:rPr>
        <w:footnoteReference w:id="2"/>
      </w:r>
      <w:r w:rsidR="000620EE" w:rsidRPr="000A0ADE">
        <w:rPr>
          <w:rFonts w:cs="Arial"/>
          <w:lang w:val="en-GB"/>
        </w:rPr>
        <w:t xml:space="preserve">  Where an application lacks the requisite element or degree of urgency, the </w:t>
      </w:r>
      <w:r w:rsidR="002567DB" w:rsidRPr="000A0ADE">
        <w:rPr>
          <w:rFonts w:cs="Arial"/>
          <w:lang w:val="en-GB"/>
        </w:rPr>
        <w:t>C</w:t>
      </w:r>
      <w:r w:rsidR="000620EE" w:rsidRPr="000A0ADE">
        <w:rPr>
          <w:rFonts w:cs="Arial"/>
          <w:lang w:val="en-GB"/>
        </w:rPr>
        <w:t>ourt can for that reason decline to exercise its powers under Rule 6(12).  The matter is then not properly on the Court’s roll, and it declines to hear it.  The appropriate order is generally to strike the application from the roll.</w:t>
      </w:r>
      <w:r w:rsidR="000620EE" w:rsidRPr="000A0ADE">
        <w:rPr>
          <w:rStyle w:val="FootnoteReference"/>
          <w:rFonts w:cs="Arial"/>
          <w:lang w:val="en-GB"/>
        </w:rPr>
        <w:footnoteReference w:id="3"/>
      </w:r>
      <w:r w:rsidR="000620EE" w:rsidRPr="000A0ADE">
        <w:rPr>
          <w:rFonts w:cs="Arial"/>
          <w:lang w:val="en-GB"/>
        </w:rPr>
        <w:t xml:space="preserve"> </w:t>
      </w:r>
      <w:r w:rsidR="00F87AFD" w:rsidRPr="000A0ADE">
        <w:rPr>
          <w:rFonts w:cs="Arial"/>
          <w:lang w:val="en-GB"/>
        </w:rPr>
        <w:t xml:space="preserve"> </w:t>
      </w:r>
      <w:r w:rsidR="00F53328" w:rsidRPr="000A0ADE">
        <w:rPr>
          <w:rFonts w:cs="Arial"/>
          <w:color w:val="000000"/>
          <w:szCs w:val="26"/>
          <w:shd w:val="clear" w:color="auto" w:fill="FFFFFF"/>
          <w:lang w:val="en-GB"/>
        </w:rPr>
        <w:t>An applicant may not create its own urgency</w:t>
      </w:r>
      <w:r w:rsidR="00F53328" w:rsidRPr="000A0ADE">
        <w:rPr>
          <w:rStyle w:val="FootnoteReference"/>
          <w:rFonts w:cs="Arial"/>
          <w:color w:val="000000"/>
          <w:szCs w:val="26"/>
          <w:shd w:val="clear" w:color="auto" w:fill="FFFFFF"/>
          <w:lang w:val="en-GB"/>
        </w:rPr>
        <w:footnoteReference w:id="4"/>
      </w:r>
      <w:r w:rsidR="00F53328" w:rsidRPr="000A0ADE">
        <w:rPr>
          <w:rFonts w:cs="Arial"/>
          <w:color w:val="000000"/>
          <w:szCs w:val="26"/>
          <w:shd w:val="clear" w:color="auto" w:fill="FFFFFF"/>
          <w:lang w:val="en-GB"/>
        </w:rPr>
        <w:t xml:space="preserve"> and must bring an application at the first available opportunity, since the longer it takes to do so may have the effect of diminishing urgency.</w:t>
      </w:r>
      <w:r w:rsidR="00F53328" w:rsidRPr="000A0ADE">
        <w:rPr>
          <w:rStyle w:val="FootnoteReference"/>
          <w:rFonts w:cs="Arial"/>
          <w:color w:val="000000"/>
          <w:szCs w:val="26"/>
          <w:shd w:val="clear" w:color="auto" w:fill="FFFFFF"/>
          <w:lang w:val="en-GB"/>
        </w:rPr>
        <w:footnoteReference w:id="5"/>
      </w:r>
      <w:r w:rsidR="00F53328" w:rsidRPr="000A0ADE">
        <w:rPr>
          <w:rFonts w:cs="Arial"/>
          <w:color w:val="000000"/>
          <w:szCs w:val="26"/>
          <w:shd w:val="clear" w:color="auto" w:fill="FFFFFF"/>
          <w:lang w:val="en-GB"/>
        </w:rPr>
        <w:t xml:space="preserve">  </w:t>
      </w:r>
      <w:r w:rsidR="00F83975" w:rsidRPr="000A0ADE">
        <w:rPr>
          <w:rFonts w:cs="Arial"/>
          <w:color w:val="000000"/>
          <w:szCs w:val="26"/>
          <w:shd w:val="clear" w:color="auto" w:fill="FFFFFF"/>
          <w:lang w:val="en-GB"/>
        </w:rPr>
        <w:t>A</w:t>
      </w:r>
      <w:r w:rsidR="00F83975" w:rsidRPr="000A0ADE">
        <w:rPr>
          <w:lang w:val="en-GB"/>
        </w:rPr>
        <w:t xml:space="preserve">n application for an interdict </w:t>
      </w:r>
      <w:r w:rsidR="00F83975" w:rsidRPr="000A0ADE">
        <w:rPr>
          <w:i/>
          <w:iCs/>
          <w:lang w:val="en-GB"/>
        </w:rPr>
        <w:t>pendente lite</w:t>
      </w:r>
      <w:r w:rsidR="00F83975" w:rsidRPr="000A0ADE">
        <w:rPr>
          <w:lang w:val="en-GB"/>
        </w:rPr>
        <w:t>, from its very nature, requires the maximum expedition on the part of an applicant</w:t>
      </w:r>
      <w:r w:rsidR="00FC0C88" w:rsidRPr="000A0ADE">
        <w:rPr>
          <w:lang w:val="en-GB"/>
        </w:rPr>
        <w:t>,</w:t>
      </w:r>
      <w:r w:rsidR="00F83975" w:rsidRPr="000A0ADE">
        <w:rPr>
          <w:rStyle w:val="FootnoteReference"/>
          <w:rFonts w:cs="Arial"/>
          <w:bCs/>
          <w:lang w:val="en-GB"/>
        </w:rPr>
        <w:footnoteReference w:id="6"/>
      </w:r>
      <w:r w:rsidR="009071B4" w:rsidRPr="000A0ADE">
        <w:rPr>
          <w:rFonts w:cs="Arial"/>
          <w:lang w:val="en-GB"/>
        </w:rPr>
        <w:t xml:space="preserve"> </w:t>
      </w:r>
      <w:r w:rsidR="00FC0C88" w:rsidRPr="000A0ADE">
        <w:rPr>
          <w:rFonts w:cs="Arial"/>
          <w:bCs/>
          <w:lang w:val="en-GB"/>
        </w:rPr>
        <w:t xml:space="preserve">and an </w:t>
      </w:r>
      <w:r w:rsidR="00F53328" w:rsidRPr="000A0ADE">
        <w:rPr>
          <w:rFonts w:cs="Arial"/>
          <w:bCs/>
          <w:iCs/>
          <w:lang w:val="en-GB"/>
        </w:rPr>
        <w:t>unexplained delay has as its consequence a forfeiture of any right to temporary relief.</w:t>
      </w:r>
      <w:r w:rsidR="00F53328" w:rsidRPr="000A0ADE">
        <w:rPr>
          <w:rStyle w:val="FootnoteReference"/>
          <w:rFonts w:cs="Arial"/>
          <w:bCs/>
          <w:lang w:val="en-GB"/>
        </w:rPr>
        <w:footnoteReference w:id="7"/>
      </w:r>
      <w:r w:rsidR="00F83975" w:rsidRPr="000A0ADE">
        <w:rPr>
          <w:rFonts w:cs="Arial"/>
          <w:bCs/>
          <w:iCs/>
          <w:lang w:val="en-GB"/>
        </w:rPr>
        <w:t xml:space="preserve">  </w:t>
      </w:r>
    </w:p>
    <w:p w14:paraId="00199028" w14:textId="679F0BD3" w:rsidR="007730F3" w:rsidRPr="000A0ADE" w:rsidRDefault="00B94719" w:rsidP="00B94719">
      <w:pPr>
        <w:snapToGrid w:val="0"/>
        <w:spacing w:before="120" w:after="240" w:line="480" w:lineRule="auto"/>
        <w:ind w:hanging="6"/>
        <w:jc w:val="both"/>
        <w:rPr>
          <w:rFonts w:cs="Arial"/>
          <w:lang w:val="en-GB"/>
        </w:rPr>
      </w:pPr>
      <w:r w:rsidRPr="000A0ADE">
        <w:rPr>
          <w:rFonts w:cs="Arial"/>
          <w:lang w:val="en-GB"/>
        </w:rPr>
        <w:t>[25]</w:t>
      </w:r>
      <w:r w:rsidRPr="000A0ADE">
        <w:rPr>
          <w:rFonts w:cs="Arial"/>
          <w:lang w:val="en-GB"/>
        </w:rPr>
        <w:tab/>
      </w:r>
      <w:r w:rsidR="00D30567" w:rsidRPr="000A0ADE">
        <w:rPr>
          <w:rFonts w:cs="Arial"/>
          <w:bCs/>
          <w:iCs/>
          <w:lang w:val="en-GB"/>
        </w:rPr>
        <w:t xml:space="preserve">Both the Speaker and </w:t>
      </w:r>
      <w:r w:rsidR="00D30567" w:rsidRPr="000A0ADE">
        <w:rPr>
          <w:rFonts w:cs="Arial"/>
          <w:lang w:val="en-GB"/>
        </w:rPr>
        <w:t>#UniteBehind in essence contend that if this Court were to grant the applicant the interim relief that she seeks, it would effectively render the sanction imposed on her nugatory because the sanction is time-bound</w:t>
      </w:r>
      <w:r w:rsidR="007730F3" w:rsidRPr="000A0ADE">
        <w:rPr>
          <w:rFonts w:cs="Arial"/>
          <w:lang w:val="en-GB"/>
        </w:rPr>
        <w:t xml:space="preserve">, having been imposed </w:t>
      </w:r>
      <w:r w:rsidR="002872CF" w:rsidRPr="000A0ADE">
        <w:rPr>
          <w:rFonts w:cs="Arial"/>
          <w:lang w:val="en-GB"/>
        </w:rPr>
        <w:t xml:space="preserve">only </w:t>
      </w:r>
      <w:r w:rsidR="007730F3" w:rsidRPr="000A0ADE">
        <w:rPr>
          <w:rFonts w:cs="Arial"/>
          <w:lang w:val="en-GB"/>
        </w:rPr>
        <w:t>for the first term of 2024 Parliamentary session</w:t>
      </w:r>
      <w:r w:rsidR="002872CF" w:rsidRPr="000A0ADE">
        <w:rPr>
          <w:rFonts w:cs="Arial"/>
          <w:lang w:val="en-GB"/>
        </w:rPr>
        <w:t>,</w:t>
      </w:r>
      <w:r w:rsidR="007730F3" w:rsidRPr="000A0ADE">
        <w:rPr>
          <w:rFonts w:cs="Arial"/>
          <w:lang w:val="en-GB"/>
        </w:rPr>
        <w:t xml:space="preserve"> which terminates on </w:t>
      </w:r>
      <w:r w:rsidR="00D631B1" w:rsidRPr="000A0ADE">
        <w:rPr>
          <w:rFonts w:cs="Arial"/>
          <w:lang w:val="en-GB"/>
        </w:rPr>
        <w:t>28</w:t>
      </w:r>
      <w:r w:rsidR="007730F3" w:rsidRPr="000A0ADE">
        <w:rPr>
          <w:rFonts w:cs="Arial"/>
          <w:lang w:val="en-GB"/>
        </w:rPr>
        <w:t> March 2024, and that by the time the review is heard, the first term of 2024 Parliamentary session would have come and gone.</w:t>
      </w:r>
    </w:p>
    <w:p w14:paraId="1FBB69E1" w14:textId="6E0241B1" w:rsidR="00542C14" w:rsidRPr="000A0ADE" w:rsidRDefault="00B94719" w:rsidP="00B94719">
      <w:pPr>
        <w:snapToGrid w:val="0"/>
        <w:spacing w:before="120" w:after="240" w:line="480" w:lineRule="auto"/>
        <w:ind w:hanging="6"/>
        <w:jc w:val="both"/>
        <w:rPr>
          <w:rFonts w:cs="Arial"/>
          <w:lang w:val="en-GB"/>
        </w:rPr>
      </w:pPr>
      <w:r w:rsidRPr="000A0ADE">
        <w:rPr>
          <w:rFonts w:cs="Arial"/>
          <w:lang w:val="en-GB"/>
        </w:rPr>
        <w:lastRenderedPageBreak/>
        <w:t>[26]</w:t>
      </w:r>
      <w:r w:rsidRPr="000A0ADE">
        <w:rPr>
          <w:rFonts w:cs="Arial"/>
          <w:lang w:val="en-GB"/>
        </w:rPr>
        <w:tab/>
      </w:r>
      <w:r w:rsidR="007730F3" w:rsidRPr="000A0ADE">
        <w:rPr>
          <w:rFonts w:cs="Arial"/>
          <w:lang w:val="en-GB"/>
        </w:rPr>
        <w:t xml:space="preserve"> </w:t>
      </w:r>
      <w:r w:rsidR="009841D1" w:rsidRPr="000A0ADE">
        <w:rPr>
          <w:rFonts w:cs="Arial"/>
          <w:lang w:val="en-GB"/>
        </w:rPr>
        <w:t xml:space="preserve">The applicant contends that </w:t>
      </w:r>
      <w:r w:rsidR="00542C14" w:rsidRPr="000A0ADE">
        <w:rPr>
          <w:rFonts w:cs="Arial"/>
          <w:lang w:val="en-GB"/>
        </w:rPr>
        <w:t xml:space="preserve">while the sanction was imposed on 28 November 2023, </w:t>
      </w:r>
      <w:r w:rsidR="009841D1" w:rsidRPr="000A0ADE">
        <w:rPr>
          <w:rFonts w:cs="Arial"/>
          <w:lang w:val="en-GB"/>
        </w:rPr>
        <w:t xml:space="preserve">she </w:t>
      </w:r>
      <w:r w:rsidR="00542C14" w:rsidRPr="000A0ADE">
        <w:rPr>
          <w:rFonts w:cs="Arial"/>
          <w:lang w:val="en-GB"/>
        </w:rPr>
        <w:t xml:space="preserve">only became aware, </w:t>
      </w:r>
      <w:r w:rsidR="002872CF" w:rsidRPr="000A0ADE">
        <w:rPr>
          <w:rFonts w:cs="Arial"/>
          <w:lang w:val="en-GB"/>
        </w:rPr>
        <w:t xml:space="preserve">on </w:t>
      </w:r>
      <w:r w:rsidR="00542C14" w:rsidRPr="000A0ADE">
        <w:rPr>
          <w:rFonts w:cs="Arial"/>
          <w:lang w:val="en-GB"/>
        </w:rPr>
        <w:t xml:space="preserve">6 December 2023 of the fact that the sanction would commence on 30 January 2024.  </w:t>
      </w:r>
    </w:p>
    <w:p w14:paraId="730E6C36" w14:textId="1915A25B" w:rsidR="00542C14" w:rsidRPr="000A0ADE" w:rsidRDefault="00B94719" w:rsidP="00B94719">
      <w:pPr>
        <w:snapToGrid w:val="0"/>
        <w:spacing w:before="120" w:after="240" w:line="480" w:lineRule="auto"/>
        <w:ind w:hanging="6"/>
        <w:jc w:val="both"/>
        <w:rPr>
          <w:rFonts w:cs="Arial"/>
          <w:lang w:val="en-GB"/>
        </w:rPr>
      </w:pPr>
      <w:r w:rsidRPr="000A0ADE">
        <w:rPr>
          <w:rFonts w:cs="Arial"/>
          <w:lang w:val="en-GB"/>
        </w:rPr>
        <w:t>[27]</w:t>
      </w:r>
      <w:r w:rsidRPr="000A0ADE">
        <w:rPr>
          <w:rFonts w:cs="Arial"/>
          <w:lang w:val="en-GB"/>
        </w:rPr>
        <w:tab/>
      </w:r>
      <w:r w:rsidR="00542C14" w:rsidRPr="000A0ADE">
        <w:rPr>
          <w:rFonts w:cs="Arial"/>
          <w:lang w:val="en-GB"/>
        </w:rPr>
        <w:t xml:space="preserve">The applicant states in her founding affidavit that this application was ready to be launched on 17 December 2023 but that she was advised by the Registrar of this Court (‘the Court Registrar’) </w:t>
      </w:r>
      <w:r w:rsidR="00542C14" w:rsidRPr="000A0ADE">
        <w:rPr>
          <w:rFonts w:cs="Arial"/>
          <w:i/>
          <w:iCs/>
          <w:lang w:val="en-GB"/>
        </w:rPr>
        <w:t>“that if this application was launched during the December break…, the application would have had to be heard within a two weeks (sic) thus first week of January 2024”.</w:t>
      </w:r>
    </w:p>
    <w:p w14:paraId="0B5A430A" w14:textId="550417E5" w:rsidR="00542C14" w:rsidRPr="000A0ADE" w:rsidRDefault="00B94719" w:rsidP="00B94719">
      <w:pPr>
        <w:snapToGrid w:val="0"/>
        <w:spacing w:before="120" w:after="240" w:line="480" w:lineRule="auto"/>
        <w:ind w:hanging="6"/>
        <w:jc w:val="both"/>
        <w:rPr>
          <w:rFonts w:cs="Arial"/>
          <w:lang w:val="en-GB"/>
        </w:rPr>
      </w:pPr>
      <w:r w:rsidRPr="000A0ADE">
        <w:rPr>
          <w:rFonts w:cs="Arial"/>
          <w:lang w:val="en-GB"/>
        </w:rPr>
        <w:t>[28]</w:t>
      </w:r>
      <w:r w:rsidRPr="000A0ADE">
        <w:rPr>
          <w:rFonts w:cs="Arial"/>
          <w:lang w:val="en-GB"/>
        </w:rPr>
        <w:tab/>
      </w:r>
      <w:r w:rsidR="00542C14" w:rsidRPr="000A0ADE">
        <w:rPr>
          <w:rFonts w:cs="Arial"/>
          <w:lang w:val="en-GB"/>
        </w:rPr>
        <w:t xml:space="preserve">The applicant further states in her founding affidavit that the exigencies of the matter </w:t>
      </w:r>
      <w:r w:rsidR="00542C14" w:rsidRPr="000A0ADE">
        <w:rPr>
          <w:rFonts w:cs="Arial"/>
          <w:i/>
          <w:iCs/>
          <w:lang w:val="en-GB"/>
        </w:rPr>
        <w:t>“did not call for such super-urgency given that [she seeks] to suspend the sanction which effectively kicks in on 30 January 2024”</w:t>
      </w:r>
      <w:r w:rsidR="00542C14" w:rsidRPr="000A0ADE">
        <w:rPr>
          <w:rFonts w:cs="Arial"/>
          <w:lang w:val="en-GB"/>
        </w:rPr>
        <w:t xml:space="preserve"> and that </w:t>
      </w:r>
      <w:r w:rsidR="00DA48D5" w:rsidRPr="000A0ADE">
        <w:rPr>
          <w:rFonts w:cs="Arial"/>
          <w:lang w:val="en-GB"/>
        </w:rPr>
        <w:t>the applicant</w:t>
      </w:r>
      <w:r w:rsidR="00542C14" w:rsidRPr="000A0ADE">
        <w:rPr>
          <w:rFonts w:cs="Arial"/>
          <w:lang w:val="en-GB"/>
        </w:rPr>
        <w:t xml:space="preserve"> had </w:t>
      </w:r>
      <w:r w:rsidR="00542C14" w:rsidRPr="000A0ADE">
        <w:rPr>
          <w:rFonts w:cs="Arial"/>
          <w:i/>
          <w:iCs/>
          <w:lang w:val="en-GB"/>
        </w:rPr>
        <w:t>“sought to comply with the directive advised by the [Court] Registrar.”</w:t>
      </w:r>
      <w:r w:rsidR="00756100" w:rsidRPr="000A0ADE">
        <w:rPr>
          <w:rFonts w:cs="Arial"/>
          <w:i/>
          <w:iCs/>
          <w:lang w:val="en-GB"/>
        </w:rPr>
        <w:t xml:space="preserve">  </w:t>
      </w:r>
      <w:r w:rsidR="00756100" w:rsidRPr="000A0ADE">
        <w:rPr>
          <w:rFonts w:cs="Arial"/>
          <w:lang w:val="en-GB"/>
        </w:rPr>
        <w:t xml:space="preserve">In </w:t>
      </w:r>
      <w:r w:rsidR="002872CF" w:rsidRPr="000A0ADE">
        <w:rPr>
          <w:rFonts w:cs="Arial"/>
          <w:lang w:val="en-GB"/>
        </w:rPr>
        <w:t xml:space="preserve">her </w:t>
      </w:r>
      <w:r w:rsidR="00756100" w:rsidRPr="000A0ADE">
        <w:rPr>
          <w:rFonts w:cs="Arial"/>
          <w:lang w:val="en-GB"/>
        </w:rPr>
        <w:t>replying affidavit</w:t>
      </w:r>
      <w:r w:rsidR="002872CF" w:rsidRPr="000A0ADE">
        <w:rPr>
          <w:rFonts w:cs="Arial"/>
          <w:lang w:val="en-GB"/>
        </w:rPr>
        <w:t>,</w:t>
      </w:r>
      <w:r w:rsidR="00756100" w:rsidRPr="000A0ADE">
        <w:rPr>
          <w:rFonts w:cs="Arial"/>
          <w:lang w:val="en-GB"/>
        </w:rPr>
        <w:t xml:space="preserve"> the applicant states that because the sanction </w:t>
      </w:r>
      <w:r w:rsidR="00FD3E8A" w:rsidRPr="000A0ADE">
        <w:rPr>
          <w:rFonts w:cs="Arial"/>
          <w:lang w:val="en-GB"/>
        </w:rPr>
        <w:t>would only commence on 30</w:t>
      </w:r>
      <w:r w:rsidR="00FD3E8A" w:rsidRPr="000A0ADE">
        <w:rPr>
          <w:lang w:val="en-GB"/>
        </w:rPr>
        <w:t xml:space="preserve"> January 2024, and in light of the </w:t>
      </w:r>
      <w:r w:rsidR="00FD3E8A" w:rsidRPr="000A0ADE">
        <w:rPr>
          <w:i/>
          <w:iCs/>
          <w:lang w:val="en-GB"/>
        </w:rPr>
        <w:t>“directive”</w:t>
      </w:r>
      <w:r w:rsidR="00FD3E8A" w:rsidRPr="000A0ADE">
        <w:rPr>
          <w:lang w:val="en-GB"/>
        </w:rPr>
        <w:t xml:space="preserve"> of the Court Registrar that urgent matters must be</w:t>
      </w:r>
      <w:r w:rsidR="00DA48D5" w:rsidRPr="000A0ADE">
        <w:rPr>
          <w:lang w:val="en-GB"/>
        </w:rPr>
        <w:t xml:space="preserve"> </w:t>
      </w:r>
      <w:r w:rsidR="00FD3E8A" w:rsidRPr="000A0ADE">
        <w:rPr>
          <w:lang w:val="en-GB"/>
        </w:rPr>
        <w:t xml:space="preserve">heard within two weeks of being instituted, </w:t>
      </w:r>
      <w:r w:rsidR="00C859BC" w:rsidRPr="000A0ADE">
        <w:rPr>
          <w:lang w:val="en-GB"/>
        </w:rPr>
        <w:t>she was compelled to launch this application in the second week of January</w:t>
      </w:r>
      <w:r w:rsidR="00DA48D5" w:rsidRPr="000A0ADE">
        <w:rPr>
          <w:lang w:val="en-GB"/>
        </w:rPr>
        <w:t> </w:t>
      </w:r>
      <w:r w:rsidR="00C859BC" w:rsidRPr="000A0ADE">
        <w:rPr>
          <w:lang w:val="en-GB"/>
        </w:rPr>
        <w:t xml:space="preserve">2024. </w:t>
      </w:r>
    </w:p>
    <w:p w14:paraId="686ABCE0" w14:textId="6347D004" w:rsidR="00732549" w:rsidRPr="000A0ADE" w:rsidRDefault="00B94719" w:rsidP="00B94719">
      <w:pPr>
        <w:snapToGrid w:val="0"/>
        <w:spacing w:before="120" w:after="240" w:line="480" w:lineRule="auto"/>
        <w:ind w:hanging="6"/>
        <w:jc w:val="both"/>
        <w:rPr>
          <w:rFonts w:cs="Arial"/>
          <w:lang w:val="en-GB"/>
        </w:rPr>
      </w:pPr>
      <w:r w:rsidRPr="000A0ADE">
        <w:rPr>
          <w:rFonts w:cs="Arial"/>
          <w:lang w:val="en-GB"/>
        </w:rPr>
        <w:t>[29]</w:t>
      </w:r>
      <w:r w:rsidRPr="000A0ADE">
        <w:rPr>
          <w:rFonts w:cs="Arial"/>
          <w:lang w:val="en-GB"/>
        </w:rPr>
        <w:tab/>
      </w:r>
      <w:r w:rsidR="00C859BC" w:rsidRPr="000A0ADE">
        <w:rPr>
          <w:lang w:val="en-GB"/>
        </w:rPr>
        <w:t xml:space="preserve">I am not aware of any </w:t>
      </w:r>
      <w:r w:rsidR="00423371" w:rsidRPr="000A0ADE">
        <w:rPr>
          <w:lang w:val="en-GB"/>
        </w:rPr>
        <w:t>P</w:t>
      </w:r>
      <w:r w:rsidR="00C859BC" w:rsidRPr="000A0ADE">
        <w:rPr>
          <w:lang w:val="en-GB"/>
        </w:rPr>
        <w:t xml:space="preserve">ractice Directive of this Court that </w:t>
      </w:r>
      <w:r w:rsidR="00F160FA" w:rsidRPr="000A0ADE">
        <w:rPr>
          <w:lang w:val="en-GB"/>
        </w:rPr>
        <w:t xml:space="preserve">required or </w:t>
      </w:r>
      <w:r w:rsidR="00C859BC" w:rsidRPr="000A0ADE">
        <w:rPr>
          <w:lang w:val="en-GB"/>
        </w:rPr>
        <w:t xml:space="preserve">requires urgent applications to be instituted and </w:t>
      </w:r>
      <w:r w:rsidR="00423371" w:rsidRPr="000A0ADE">
        <w:rPr>
          <w:lang w:val="en-GB"/>
        </w:rPr>
        <w:t xml:space="preserve">disposed of within two weeks.  Counsel for the Speaker and #UniteBehind, both </w:t>
      </w:r>
      <w:r w:rsidR="00F160FA" w:rsidRPr="000A0ADE">
        <w:rPr>
          <w:lang w:val="en-GB"/>
        </w:rPr>
        <w:t xml:space="preserve">of whom </w:t>
      </w:r>
      <w:r w:rsidR="00423371" w:rsidRPr="000A0ADE">
        <w:rPr>
          <w:lang w:val="en-GB"/>
        </w:rPr>
        <w:t>practice in this Division</w:t>
      </w:r>
      <w:r w:rsidR="00F160FA" w:rsidRPr="000A0ADE">
        <w:rPr>
          <w:lang w:val="en-GB"/>
        </w:rPr>
        <w:t>,</w:t>
      </w:r>
      <w:r w:rsidR="00423371" w:rsidRPr="000A0ADE">
        <w:rPr>
          <w:lang w:val="en-GB"/>
        </w:rPr>
        <w:t xml:space="preserve"> confirmed that they too are unaware of any such Practice Directive.  </w:t>
      </w:r>
    </w:p>
    <w:p w14:paraId="53C54EA6" w14:textId="3A68D889" w:rsidR="00E510C4" w:rsidRPr="000A0ADE" w:rsidRDefault="00B94719" w:rsidP="00B94719">
      <w:pPr>
        <w:snapToGrid w:val="0"/>
        <w:spacing w:before="120" w:after="240" w:line="480" w:lineRule="auto"/>
        <w:ind w:hanging="6"/>
        <w:jc w:val="both"/>
        <w:rPr>
          <w:rFonts w:cs="Arial"/>
          <w:lang w:val="en-GB"/>
        </w:rPr>
      </w:pPr>
      <w:r w:rsidRPr="000A0ADE">
        <w:rPr>
          <w:rFonts w:cs="Arial"/>
          <w:lang w:val="en-GB"/>
        </w:rPr>
        <w:t>[30]</w:t>
      </w:r>
      <w:r w:rsidRPr="000A0ADE">
        <w:rPr>
          <w:rFonts w:cs="Arial"/>
          <w:lang w:val="en-GB"/>
        </w:rPr>
        <w:tab/>
      </w:r>
      <w:r w:rsidR="007474C0" w:rsidRPr="000A0ADE">
        <w:rPr>
          <w:rFonts w:cs="Arial"/>
          <w:lang w:val="en-GB"/>
        </w:rPr>
        <w:t xml:space="preserve">In any event, the applicant makes it clear in </w:t>
      </w:r>
      <w:r w:rsidR="00F160FA" w:rsidRPr="000A0ADE">
        <w:rPr>
          <w:rFonts w:cs="Arial"/>
          <w:lang w:val="en-GB"/>
        </w:rPr>
        <w:t xml:space="preserve">her </w:t>
      </w:r>
      <w:r w:rsidR="007474C0" w:rsidRPr="000A0ADE">
        <w:rPr>
          <w:rFonts w:cs="Arial"/>
          <w:lang w:val="en-GB"/>
        </w:rPr>
        <w:t xml:space="preserve">replying affidavit that she was not prevented from launching this application </w:t>
      </w:r>
      <w:r w:rsidR="0040223B" w:rsidRPr="000A0ADE">
        <w:rPr>
          <w:rFonts w:cs="Arial"/>
          <w:lang w:val="en-GB"/>
        </w:rPr>
        <w:t xml:space="preserve">in </w:t>
      </w:r>
      <w:r w:rsidR="007474C0" w:rsidRPr="000A0ADE">
        <w:rPr>
          <w:rFonts w:cs="Arial"/>
          <w:lang w:val="en-GB"/>
        </w:rPr>
        <w:t>December 2023</w:t>
      </w:r>
      <w:r w:rsidR="0040223B" w:rsidRPr="000A0ADE">
        <w:rPr>
          <w:rFonts w:cs="Arial"/>
          <w:lang w:val="en-GB"/>
        </w:rPr>
        <w:t xml:space="preserve">, but that </w:t>
      </w:r>
      <w:r w:rsidR="00E510C4" w:rsidRPr="000A0ADE">
        <w:rPr>
          <w:rFonts w:cs="Arial"/>
          <w:lang w:val="en-GB"/>
        </w:rPr>
        <w:t xml:space="preserve">she chose </w:t>
      </w:r>
      <w:r w:rsidR="00DF7136" w:rsidRPr="000A0ADE">
        <w:rPr>
          <w:rFonts w:cs="Arial"/>
          <w:lang w:val="en-GB"/>
        </w:rPr>
        <w:t xml:space="preserve">not </w:t>
      </w:r>
      <w:r w:rsidR="00E510C4" w:rsidRPr="000A0ADE">
        <w:rPr>
          <w:rFonts w:cs="Arial"/>
          <w:lang w:val="en-GB"/>
        </w:rPr>
        <w:t>to do so because</w:t>
      </w:r>
      <w:r w:rsidR="001C5300" w:rsidRPr="000A0ADE">
        <w:rPr>
          <w:rFonts w:cs="Arial"/>
          <w:lang w:val="en-GB"/>
        </w:rPr>
        <w:t xml:space="preserve"> if she had launched the application on 17 December 2023,</w:t>
      </w:r>
      <w:r w:rsidR="00EE16A1" w:rsidRPr="000A0ADE">
        <w:rPr>
          <w:rFonts w:cs="Arial"/>
          <w:lang w:val="en-GB"/>
        </w:rPr>
        <w:t xml:space="preserve"> “</w:t>
      </w:r>
      <w:r w:rsidR="00EE16A1" w:rsidRPr="000A0ADE">
        <w:rPr>
          <w:rFonts w:cs="Arial"/>
          <w:i/>
          <w:iCs/>
          <w:lang w:val="en-GB"/>
        </w:rPr>
        <w:t xml:space="preserve">that would have meant that the matter </w:t>
      </w:r>
      <w:r w:rsidR="00C45791" w:rsidRPr="000A0ADE">
        <w:rPr>
          <w:rFonts w:cs="Arial"/>
          <w:i/>
          <w:iCs/>
          <w:lang w:val="en-GB"/>
        </w:rPr>
        <w:t xml:space="preserve">would be heard </w:t>
      </w:r>
      <w:r w:rsidR="0040223B" w:rsidRPr="000A0ADE">
        <w:rPr>
          <w:rFonts w:cs="Arial"/>
          <w:i/>
          <w:iCs/>
          <w:lang w:val="en-GB"/>
        </w:rPr>
        <w:t>in the first week of January 2024</w:t>
      </w:r>
      <w:r w:rsidR="00C45791" w:rsidRPr="000A0ADE">
        <w:rPr>
          <w:rFonts w:cs="Arial"/>
          <w:lang w:val="en-GB"/>
        </w:rPr>
        <w:t>”</w:t>
      </w:r>
      <w:r w:rsidR="0040223B" w:rsidRPr="000A0ADE">
        <w:rPr>
          <w:rFonts w:cs="Arial"/>
          <w:lang w:val="en-GB"/>
        </w:rPr>
        <w:t>.</w:t>
      </w:r>
      <w:r w:rsidR="00E510C4" w:rsidRPr="000A0ADE">
        <w:rPr>
          <w:rFonts w:cs="Arial"/>
          <w:lang w:val="en-GB"/>
        </w:rPr>
        <w:t xml:space="preserve">  </w:t>
      </w:r>
    </w:p>
    <w:p w14:paraId="544D4E81" w14:textId="623F889D" w:rsidR="005C346D" w:rsidRPr="000A0ADE" w:rsidRDefault="00B94719" w:rsidP="00B94719">
      <w:pPr>
        <w:snapToGrid w:val="0"/>
        <w:spacing w:before="120" w:after="240" w:line="480" w:lineRule="auto"/>
        <w:ind w:hanging="6"/>
        <w:jc w:val="both"/>
        <w:rPr>
          <w:rFonts w:cs="Arial"/>
          <w:lang w:val="en-GB"/>
        </w:rPr>
      </w:pPr>
      <w:r w:rsidRPr="000A0ADE">
        <w:rPr>
          <w:rFonts w:cs="Arial"/>
          <w:lang w:val="en-GB"/>
        </w:rPr>
        <w:lastRenderedPageBreak/>
        <w:t>[31]</w:t>
      </w:r>
      <w:r w:rsidRPr="000A0ADE">
        <w:rPr>
          <w:rFonts w:cs="Arial"/>
          <w:lang w:val="en-GB"/>
        </w:rPr>
        <w:tab/>
      </w:r>
      <w:r w:rsidR="00EE7A6B" w:rsidRPr="000A0ADE">
        <w:rPr>
          <w:rFonts w:cs="Arial"/>
          <w:lang w:val="en-GB"/>
        </w:rPr>
        <w:t xml:space="preserve">#UniteBehind quite fairly </w:t>
      </w:r>
      <w:r w:rsidR="001C5300" w:rsidRPr="000A0ADE">
        <w:rPr>
          <w:rFonts w:cs="Arial"/>
          <w:lang w:val="en-GB"/>
        </w:rPr>
        <w:t xml:space="preserve">asks </w:t>
      </w:r>
      <w:r w:rsidR="00AB057E" w:rsidRPr="000A0ADE">
        <w:rPr>
          <w:rFonts w:cs="Arial"/>
          <w:lang w:val="en-GB"/>
        </w:rPr>
        <w:t>why,</w:t>
      </w:r>
      <w:r w:rsidR="00EE7A6B" w:rsidRPr="000A0ADE">
        <w:rPr>
          <w:rFonts w:cs="Arial"/>
          <w:lang w:val="en-GB"/>
        </w:rPr>
        <w:t xml:space="preserve"> despite the fact that the application was </w:t>
      </w:r>
      <w:r w:rsidR="00EE7A6B" w:rsidRPr="000A0ADE">
        <w:rPr>
          <w:rFonts w:cs="Arial"/>
          <w:i/>
          <w:iCs/>
          <w:lang w:val="en-GB"/>
        </w:rPr>
        <w:t>“ready”</w:t>
      </w:r>
      <w:r w:rsidR="00EE7A6B" w:rsidRPr="000A0ADE">
        <w:rPr>
          <w:rFonts w:cs="Arial"/>
          <w:lang w:val="en-GB"/>
        </w:rPr>
        <w:t xml:space="preserve"> </w:t>
      </w:r>
      <w:r w:rsidR="00F160FA" w:rsidRPr="000A0ADE">
        <w:rPr>
          <w:rFonts w:cs="Arial"/>
          <w:lang w:val="en-GB"/>
        </w:rPr>
        <w:t>(</w:t>
      </w:r>
      <w:r w:rsidR="00EE7A6B" w:rsidRPr="000A0ADE">
        <w:rPr>
          <w:rFonts w:cs="Arial"/>
          <w:lang w:val="en-GB"/>
        </w:rPr>
        <w:t>in the applicant’s words</w:t>
      </w:r>
      <w:r w:rsidR="00F160FA" w:rsidRPr="000A0ADE">
        <w:rPr>
          <w:rFonts w:cs="Arial"/>
          <w:lang w:val="en-GB"/>
        </w:rPr>
        <w:t>)</w:t>
      </w:r>
      <w:r w:rsidR="00EE7A6B" w:rsidRPr="000A0ADE">
        <w:rPr>
          <w:rFonts w:cs="Arial"/>
          <w:lang w:val="en-GB"/>
        </w:rPr>
        <w:t xml:space="preserve"> on 17 December 2023</w:t>
      </w:r>
      <w:r w:rsidR="00F160FA" w:rsidRPr="000A0ADE">
        <w:rPr>
          <w:rFonts w:cs="Arial"/>
          <w:lang w:val="en-GB"/>
        </w:rPr>
        <w:t>,</w:t>
      </w:r>
      <w:r w:rsidR="00EE7A6B" w:rsidRPr="000A0ADE">
        <w:rPr>
          <w:rFonts w:cs="Arial"/>
          <w:lang w:val="en-GB"/>
        </w:rPr>
        <w:t xml:space="preserve"> </w:t>
      </w:r>
      <w:r w:rsidR="00F160FA" w:rsidRPr="000A0ADE">
        <w:rPr>
          <w:rFonts w:cs="Arial"/>
          <w:lang w:val="en-GB"/>
        </w:rPr>
        <w:t xml:space="preserve">the application </w:t>
      </w:r>
      <w:r w:rsidR="00EE7A6B" w:rsidRPr="000A0ADE">
        <w:rPr>
          <w:rFonts w:cs="Arial"/>
          <w:lang w:val="en-GB"/>
        </w:rPr>
        <w:t>was not brought to the attention of the respondents until it was served (on or about 10 January).</w:t>
      </w:r>
      <w:r w:rsidR="00EE7A6B" w:rsidRPr="000A0ADE">
        <w:rPr>
          <w:rStyle w:val="FootnoteReference"/>
          <w:rFonts w:cs="Arial"/>
          <w:lang w:val="en-GB"/>
        </w:rPr>
        <w:footnoteReference w:id="8"/>
      </w:r>
      <w:r w:rsidR="004840CF" w:rsidRPr="000A0ADE">
        <w:rPr>
          <w:rFonts w:cs="Arial"/>
          <w:lang w:val="en-GB"/>
        </w:rPr>
        <w:t xml:space="preserve">  </w:t>
      </w:r>
      <w:r w:rsidR="00332489" w:rsidRPr="000A0ADE">
        <w:rPr>
          <w:rFonts w:cs="Arial"/>
          <w:lang w:val="en-GB"/>
        </w:rPr>
        <w:t>I</w:t>
      </w:r>
      <w:r w:rsidR="004738B6" w:rsidRPr="000A0ADE">
        <w:rPr>
          <w:rFonts w:cs="Arial"/>
          <w:lang w:val="en-GB"/>
        </w:rPr>
        <w:t>n response</w:t>
      </w:r>
      <w:r w:rsidR="00111C5B" w:rsidRPr="000A0ADE">
        <w:rPr>
          <w:rFonts w:cs="Arial"/>
          <w:lang w:val="en-GB"/>
        </w:rPr>
        <w:t xml:space="preserve">, </w:t>
      </w:r>
      <w:r w:rsidR="00323835" w:rsidRPr="000A0ADE">
        <w:rPr>
          <w:rFonts w:cs="Arial"/>
          <w:lang w:val="en-GB"/>
        </w:rPr>
        <w:t>the applicant states in her replying affidavit</w:t>
      </w:r>
      <w:r w:rsidR="00AB057E" w:rsidRPr="000A0ADE">
        <w:rPr>
          <w:rFonts w:cs="Arial"/>
          <w:lang w:val="en-GB"/>
        </w:rPr>
        <w:t xml:space="preserve"> that</w:t>
      </w:r>
      <w:r w:rsidR="00323835" w:rsidRPr="000A0ADE">
        <w:rPr>
          <w:rFonts w:cs="Arial"/>
          <w:lang w:val="en-GB"/>
        </w:rPr>
        <w:t xml:space="preserve"> </w:t>
      </w:r>
      <w:r w:rsidR="00A356F8" w:rsidRPr="000A0ADE">
        <w:rPr>
          <w:rFonts w:cs="Arial"/>
          <w:i/>
          <w:iCs/>
          <w:lang w:val="en-GB"/>
        </w:rPr>
        <w:t>“[t]here was no obligation on me or my legal team to advise the respondents that I had papers ready but could not launch them.  It sufficed that I launch</w:t>
      </w:r>
      <w:r w:rsidR="00EE7A6B" w:rsidRPr="000A0ADE">
        <w:rPr>
          <w:rFonts w:cs="Arial"/>
          <w:i/>
          <w:iCs/>
          <w:lang w:val="en-GB"/>
        </w:rPr>
        <w:t>ed</w:t>
      </w:r>
      <w:r w:rsidR="00A356F8" w:rsidRPr="000A0ADE">
        <w:rPr>
          <w:rFonts w:cs="Arial"/>
          <w:i/>
          <w:iCs/>
          <w:lang w:val="en-GB"/>
        </w:rPr>
        <w:t xml:space="preserve"> them at </w:t>
      </w:r>
      <w:r w:rsidR="00EE7A6B" w:rsidRPr="000A0ADE">
        <w:rPr>
          <w:rFonts w:cs="Arial"/>
          <w:i/>
          <w:iCs/>
          <w:lang w:val="en-GB"/>
        </w:rPr>
        <w:t>the correct time”</w:t>
      </w:r>
      <w:r w:rsidR="00EE7A6B" w:rsidRPr="000A0ADE">
        <w:rPr>
          <w:rFonts w:cs="Arial"/>
          <w:lang w:val="en-GB"/>
        </w:rPr>
        <w:t>.</w:t>
      </w:r>
      <w:r w:rsidR="004855D6" w:rsidRPr="000A0ADE">
        <w:rPr>
          <w:rFonts w:cs="Arial"/>
          <w:lang w:val="en-GB"/>
        </w:rPr>
        <w:t xml:space="preserve">  </w:t>
      </w:r>
    </w:p>
    <w:p w14:paraId="2FC86A63" w14:textId="60817A59" w:rsidR="00C24B0A" w:rsidRPr="000A0ADE" w:rsidRDefault="00B94719" w:rsidP="00B94719">
      <w:pPr>
        <w:snapToGrid w:val="0"/>
        <w:spacing w:before="120" w:after="240" w:line="480" w:lineRule="auto"/>
        <w:ind w:hanging="6"/>
        <w:jc w:val="both"/>
        <w:rPr>
          <w:rFonts w:cs="Arial"/>
          <w:lang w:val="en-GB"/>
        </w:rPr>
      </w:pPr>
      <w:r w:rsidRPr="000A0ADE">
        <w:rPr>
          <w:rFonts w:cs="Arial"/>
          <w:lang w:val="en-GB"/>
        </w:rPr>
        <w:t>[32]</w:t>
      </w:r>
      <w:r w:rsidRPr="000A0ADE">
        <w:rPr>
          <w:rFonts w:cs="Arial"/>
          <w:lang w:val="en-GB"/>
        </w:rPr>
        <w:tab/>
      </w:r>
      <w:r w:rsidR="00C24B0A" w:rsidRPr="000A0ADE">
        <w:rPr>
          <w:rFonts w:cs="Arial"/>
          <w:lang w:val="en-GB"/>
        </w:rPr>
        <w:t>The applicant’s stance in this regard is quite unfortunate.  The applicant would have suffered no prejudice at all</w:t>
      </w:r>
      <w:r w:rsidR="005C346D" w:rsidRPr="000A0ADE">
        <w:rPr>
          <w:rFonts w:cs="Arial"/>
          <w:lang w:val="en-GB"/>
        </w:rPr>
        <w:t xml:space="preserve"> (and alleges none)</w:t>
      </w:r>
      <w:r w:rsidR="00C24B0A" w:rsidRPr="000A0ADE">
        <w:rPr>
          <w:rFonts w:cs="Arial"/>
          <w:lang w:val="en-GB"/>
        </w:rPr>
        <w:t xml:space="preserve"> if a copy </w:t>
      </w:r>
      <w:r w:rsidR="007B6B59">
        <w:rPr>
          <w:rFonts w:cs="Arial"/>
          <w:lang w:val="en-GB"/>
        </w:rPr>
        <w:t>o</w:t>
      </w:r>
      <w:r w:rsidR="00C24B0A" w:rsidRPr="000A0ADE">
        <w:rPr>
          <w:rFonts w:cs="Arial"/>
          <w:lang w:val="en-GB"/>
        </w:rPr>
        <w:t xml:space="preserve">f the </w:t>
      </w:r>
      <w:r w:rsidR="003660E5" w:rsidRPr="000A0ADE">
        <w:rPr>
          <w:rFonts w:cs="Arial"/>
          <w:lang w:val="en-GB"/>
        </w:rPr>
        <w:t>unissued,</w:t>
      </w:r>
      <w:r w:rsidR="00C24B0A" w:rsidRPr="000A0ADE">
        <w:rPr>
          <w:rFonts w:cs="Arial"/>
          <w:lang w:val="en-GB"/>
        </w:rPr>
        <w:t xml:space="preserve"> </w:t>
      </w:r>
      <w:r w:rsidR="00F160FA" w:rsidRPr="000A0ADE">
        <w:rPr>
          <w:rFonts w:cs="Arial"/>
          <w:lang w:val="en-GB"/>
        </w:rPr>
        <w:t xml:space="preserve">yet finalised </w:t>
      </w:r>
      <w:r w:rsidR="00C24B0A" w:rsidRPr="000A0ADE">
        <w:rPr>
          <w:rFonts w:cs="Arial"/>
          <w:lang w:val="en-GB"/>
        </w:rPr>
        <w:t xml:space="preserve">application had been provided to the respondents on 17 December 2023.  </w:t>
      </w:r>
      <w:r w:rsidR="00782B06" w:rsidRPr="000A0ADE">
        <w:rPr>
          <w:rFonts w:cs="Arial"/>
          <w:lang w:val="en-GB"/>
        </w:rPr>
        <w:t xml:space="preserve">The informal exchange of papers at the earliest possible </w:t>
      </w:r>
      <w:r w:rsidR="003660E5" w:rsidRPr="000A0ADE">
        <w:rPr>
          <w:rFonts w:cs="Arial"/>
          <w:lang w:val="en-GB"/>
        </w:rPr>
        <w:t>opportunity</w:t>
      </w:r>
      <w:r w:rsidR="00782B06" w:rsidRPr="000A0ADE">
        <w:rPr>
          <w:rFonts w:cs="Arial"/>
          <w:lang w:val="en-GB"/>
        </w:rPr>
        <w:t xml:space="preserve"> in urgent proceedings of this nature, where the papers are voluminous and where issues of some </w:t>
      </w:r>
      <w:r w:rsidR="006F0EC2" w:rsidRPr="000A0ADE">
        <w:rPr>
          <w:rFonts w:cs="Arial"/>
          <w:lang w:val="en-GB"/>
        </w:rPr>
        <w:t xml:space="preserve">degree of </w:t>
      </w:r>
      <w:r w:rsidR="00782B06" w:rsidRPr="000A0ADE">
        <w:rPr>
          <w:rFonts w:cs="Arial"/>
          <w:lang w:val="en-GB"/>
        </w:rPr>
        <w:t>complexity are raised</w:t>
      </w:r>
      <w:r w:rsidR="00F160FA" w:rsidRPr="000A0ADE">
        <w:rPr>
          <w:rFonts w:cs="Arial"/>
          <w:lang w:val="en-GB"/>
        </w:rPr>
        <w:t>,</w:t>
      </w:r>
      <w:r w:rsidR="00782B06" w:rsidRPr="000A0ADE">
        <w:rPr>
          <w:rFonts w:cs="Arial"/>
          <w:lang w:val="en-GB"/>
        </w:rPr>
        <w:t xml:space="preserve"> is</w:t>
      </w:r>
      <w:r w:rsidR="00F160FA" w:rsidRPr="000A0ADE">
        <w:rPr>
          <w:rFonts w:cs="Arial"/>
          <w:lang w:val="en-GB"/>
        </w:rPr>
        <w:t xml:space="preserve"> not uncommon in practice, and is</w:t>
      </w:r>
      <w:r w:rsidR="00782B06" w:rsidRPr="000A0ADE">
        <w:rPr>
          <w:rFonts w:cs="Arial"/>
          <w:lang w:val="en-GB"/>
        </w:rPr>
        <w:t xml:space="preserve"> to be encouraged.  </w:t>
      </w:r>
    </w:p>
    <w:p w14:paraId="604967E6" w14:textId="28625C73" w:rsidR="00713C69" w:rsidRPr="000A0ADE" w:rsidRDefault="00B94719" w:rsidP="00B94719">
      <w:pPr>
        <w:snapToGrid w:val="0"/>
        <w:spacing w:before="120" w:after="240" w:line="480" w:lineRule="auto"/>
        <w:ind w:hanging="6"/>
        <w:jc w:val="both"/>
        <w:rPr>
          <w:rFonts w:cs="Arial"/>
          <w:lang w:val="en-GB"/>
        </w:rPr>
      </w:pPr>
      <w:r w:rsidRPr="000A0ADE">
        <w:rPr>
          <w:rFonts w:cs="Arial"/>
          <w:lang w:val="en-GB"/>
        </w:rPr>
        <w:t>[33]</w:t>
      </w:r>
      <w:r w:rsidRPr="000A0ADE">
        <w:rPr>
          <w:rFonts w:cs="Arial"/>
          <w:lang w:val="en-GB"/>
        </w:rPr>
        <w:tab/>
      </w:r>
      <w:r w:rsidR="006A45CB" w:rsidRPr="000A0ADE">
        <w:rPr>
          <w:rFonts w:cs="Arial"/>
          <w:lang w:val="en-GB"/>
        </w:rPr>
        <w:t>I</w:t>
      </w:r>
      <w:r w:rsidR="00545113" w:rsidRPr="000A0ADE">
        <w:rPr>
          <w:rFonts w:cs="Arial"/>
          <w:lang w:val="en-GB"/>
        </w:rPr>
        <w:t>t is well settled that while the procedure set out in Rule</w:t>
      </w:r>
      <w:r w:rsidR="006F0EC2" w:rsidRPr="000A0ADE">
        <w:rPr>
          <w:rFonts w:cs="Arial"/>
          <w:lang w:val="en-GB"/>
        </w:rPr>
        <w:t> </w:t>
      </w:r>
      <w:r w:rsidR="00545113" w:rsidRPr="000A0ADE">
        <w:rPr>
          <w:rFonts w:cs="Arial"/>
          <w:lang w:val="en-GB"/>
        </w:rPr>
        <w:t>6(12) is not there for the taking, the question of whether a matter is sufficiently urgent to be enrolled and heard as an urgent application is underpinned by the issue of absence of substantial redress in the application in due course</w:t>
      </w:r>
      <w:r w:rsidR="008230C1" w:rsidRPr="000A0ADE">
        <w:rPr>
          <w:rFonts w:cs="Arial"/>
          <w:lang w:val="en-GB"/>
        </w:rPr>
        <w:t>, which</w:t>
      </w:r>
      <w:r w:rsidR="00371CCC" w:rsidRPr="000A0ADE">
        <w:rPr>
          <w:rFonts w:cs="Arial"/>
          <w:lang w:val="en-GB"/>
        </w:rPr>
        <w:t xml:space="preserve"> is something less than the</w:t>
      </w:r>
      <w:r w:rsidR="008230C1" w:rsidRPr="000A0ADE">
        <w:rPr>
          <w:rFonts w:cs="Arial"/>
          <w:lang w:val="en-GB"/>
        </w:rPr>
        <w:t xml:space="preserve"> irreparable harm that is required before the granting of an interim relief</w:t>
      </w:r>
      <w:r w:rsidR="00053DE0" w:rsidRPr="000A0ADE">
        <w:rPr>
          <w:rFonts w:cs="Arial"/>
          <w:lang w:val="en-GB"/>
        </w:rPr>
        <w:t>.</w:t>
      </w:r>
      <w:r w:rsidR="00053DE0" w:rsidRPr="000A0ADE">
        <w:rPr>
          <w:rStyle w:val="FootnoteReference"/>
          <w:rFonts w:cs="Arial"/>
          <w:lang w:val="en-GB"/>
        </w:rPr>
        <w:footnoteReference w:id="9"/>
      </w:r>
      <w:r w:rsidR="00AF3C59" w:rsidRPr="000A0ADE">
        <w:rPr>
          <w:rFonts w:cs="Arial"/>
          <w:lang w:val="en-GB"/>
        </w:rPr>
        <w:t xml:space="preserve">  Rule 6(12) confers a general discretion on a </w:t>
      </w:r>
      <w:r w:rsidR="00B47999" w:rsidRPr="000A0ADE">
        <w:rPr>
          <w:rFonts w:cs="Arial"/>
          <w:lang w:val="en-GB"/>
        </w:rPr>
        <w:t>C</w:t>
      </w:r>
      <w:r w:rsidR="00AF3C59" w:rsidRPr="000A0ADE">
        <w:rPr>
          <w:rFonts w:cs="Arial"/>
          <w:lang w:val="en-GB"/>
        </w:rPr>
        <w:t>ourt to hear a matter urgently - when urgency is an issue the primary investigation should be to determine whether the applicant will be afforded substantial redress at a hearing in due course.</w:t>
      </w:r>
      <w:r w:rsidR="00A15449" w:rsidRPr="000A0ADE">
        <w:rPr>
          <w:rFonts w:cs="Arial"/>
          <w:lang w:val="en-GB"/>
        </w:rPr>
        <w:t xml:space="preserve"> </w:t>
      </w:r>
    </w:p>
    <w:p w14:paraId="329CE2FC" w14:textId="19A9F680" w:rsidR="00545113" w:rsidRPr="000A0ADE" w:rsidRDefault="00B94719" w:rsidP="00B94719">
      <w:pPr>
        <w:snapToGrid w:val="0"/>
        <w:spacing w:before="120" w:after="240" w:line="480" w:lineRule="auto"/>
        <w:ind w:hanging="6"/>
        <w:jc w:val="both"/>
        <w:rPr>
          <w:rFonts w:cs="Arial"/>
          <w:lang w:val="en-GB"/>
        </w:rPr>
      </w:pPr>
      <w:r w:rsidRPr="000A0ADE">
        <w:rPr>
          <w:rFonts w:cs="Arial"/>
          <w:lang w:val="en-GB"/>
        </w:rPr>
        <w:lastRenderedPageBreak/>
        <w:t>[34]</w:t>
      </w:r>
      <w:r w:rsidRPr="000A0ADE">
        <w:rPr>
          <w:rFonts w:cs="Arial"/>
          <w:lang w:val="en-GB"/>
        </w:rPr>
        <w:tab/>
      </w:r>
      <w:r w:rsidR="001D37E1" w:rsidRPr="000A0ADE">
        <w:rPr>
          <w:rFonts w:cs="Arial"/>
          <w:lang w:val="en-GB"/>
        </w:rPr>
        <w:t xml:space="preserve"> </w:t>
      </w:r>
      <w:r w:rsidR="00545113" w:rsidRPr="000A0ADE">
        <w:rPr>
          <w:rFonts w:cs="Arial"/>
          <w:lang w:val="en-GB"/>
        </w:rPr>
        <w:t>If the applicant cannot establish prejudice in this sense, the application cannot be urgent</w:t>
      </w:r>
      <w:r w:rsidR="00A15449" w:rsidRPr="000A0ADE">
        <w:rPr>
          <w:rFonts w:cs="Arial"/>
          <w:lang w:val="en-GB"/>
        </w:rPr>
        <w:t xml:space="preserve"> but o</w:t>
      </w:r>
      <w:r w:rsidR="00545113" w:rsidRPr="000A0ADE">
        <w:rPr>
          <w:rFonts w:cs="Arial"/>
          <w:lang w:val="en-GB"/>
        </w:rPr>
        <w:t>nce such prejudice is established, other factors come into consideration</w:t>
      </w:r>
      <w:r w:rsidR="00A15449" w:rsidRPr="000A0ADE">
        <w:rPr>
          <w:rFonts w:cs="Arial"/>
          <w:lang w:val="en-GB"/>
        </w:rPr>
        <w:t xml:space="preserve">, including, </w:t>
      </w:r>
      <w:r w:rsidR="00A15449" w:rsidRPr="000A0ADE">
        <w:rPr>
          <w:rFonts w:cs="Arial"/>
          <w:i/>
          <w:iCs/>
          <w:lang w:val="en-GB"/>
        </w:rPr>
        <w:t>inter alia</w:t>
      </w:r>
      <w:r w:rsidR="00A15449" w:rsidRPr="000A0ADE">
        <w:rPr>
          <w:rFonts w:cs="Arial"/>
          <w:lang w:val="en-GB"/>
        </w:rPr>
        <w:t>, w</w:t>
      </w:r>
      <w:r w:rsidR="00545113" w:rsidRPr="000A0ADE">
        <w:rPr>
          <w:rFonts w:cs="Arial"/>
          <w:lang w:val="en-GB"/>
        </w:rPr>
        <w:t>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w:t>
      </w:r>
      <w:r w:rsidR="00C34646" w:rsidRPr="000A0ADE">
        <w:rPr>
          <w:rFonts w:cs="Arial"/>
          <w:lang w:val="en-GB"/>
        </w:rPr>
        <w:t xml:space="preserve"> (that is, </w:t>
      </w:r>
      <w:r w:rsidR="00545113" w:rsidRPr="000A0ADE">
        <w:rPr>
          <w:rFonts w:cs="Arial"/>
          <w:lang w:val="en-GB"/>
        </w:rPr>
        <w:t>self-created urgency</w:t>
      </w:r>
      <w:r w:rsidR="00C34646" w:rsidRPr="000A0ADE">
        <w:rPr>
          <w:rFonts w:cs="Arial"/>
          <w:lang w:val="en-GB"/>
        </w:rPr>
        <w:t>).</w:t>
      </w:r>
    </w:p>
    <w:p w14:paraId="45AA2269" w14:textId="20DEAD45" w:rsidR="00143CE4" w:rsidRPr="000A0ADE" w:rsidRDefault="00B94719" w:rsidP="00B94719">
      <w:pPr>
        <w:snapToGrid w:val="0"/>
        <w:spacing w:before="120" w:after="240" w:line="480" w:lineRule="auto"/>
        <w:ind w:hanging="6"/>
        <w:jc w:val="both"/>
        <w:rPr>
          <w:rFonts w:cs="Arial"/>
          <w:lang w:val="en-GB"/>
        </w:rPr>
      </w:pPr>
      <w:r w:rsidRPr="000A0ADE">
        <w:rPr>
          <w:rFonts w:cs="Arial"/>
          <w:lang w:val="en-GB"/>
        </w:rPr>
        <w:t>[35]</w:t>
      </w:r>
      <w:r w:rsidRPr="000A0ADE">
        <w:rPr>
          <w:rFonts w:cs="Arial"/>
          <w:lang w:val="en-GB"/>
        </w:rPr>
        <w:tab/>
      </w:r>
      <w:r w:rsidR="00143CE4" w:rsidRPr="000A0ADE">
        <w:rPr>
          <w:rFonts w:cs="Arial"/>
          <w:lang w:val="en-GB"/>
        </w:rPr>
        <w:t xml:space="preserve">Both the Speaker and </w:t>
      </w:r>
      <w:r w:rsidR="00143CE4" w:rsidRPr="000A0ADE">
        <w:rPr>
          <w:lang w:val="en-GB"/>
        </w:rPr>
        <w:t xml:space="preserve">#UniteBehind raised legitimate concerns about the short period of time that that they have been afforded to respond to this application.  </w:t>
      </w:r>
    </w:p>
    <w:p w14:paraId="2AF6E366" w14:textId="18702240" w:rsidR="00143CE4" w:rsidRPr="000A0ADE" w:rsidRDefault="00B94719" w:rsidP="00B94719">
      <w:pPr>
        <w:snapToGrid w:val="0"/>
        <w:spacing w:before="120" w:after="240" w:line="480" w:lineRule="auto"/>
        <w:ind w:hanging="6"/>
        <w:jc w:val="both"/>
        <w:rPr>
          <w:rFonts w:cs="Arial"/>
          <w:lang w:val="en-GB"/>
        </w:rPr>
      </w:pPr>
      <w:r w:rsidRPr="000A0ADE">
        <w:rPr>
          <w:rFonts w:cs="Arial"/>
          <w:lang w:val="en-GB"/>
        </w:rPr>
        <w:t>[36]</w:t>
      </w:r>
      <w:r w:rsidRPr="000A0ADE">
        <w:rPr>
          <w:rFonts w:cs="Arial"/>
          <w:lang w:val="en-GB"/>
        </w:rPr>
        <w:tab/>
      </w:r>
      <w:r w:rsidR="00143CE4" w:rsidRPr="000A0ADE">
        <w:rPr>
          <w:lang w:val="en-GB"/>
        </w:rPr>
        <w:t>#UniteBehind was served with the application on 10 January 2024.  There is a dispute about when the first to fourth respondents</w:t>
      </w:r>
      <w:r w:rsidR="001409FD" w:rsidRPr="000A0ADE">
        <w:rPr>
          <w:lang w:val="en-GB"/>
        </w:rPr>
        <w:t xml:space="preserve"> (‘the</w:t>
      </w:r>
      <w:r w:rsidR="001505E2" w:rsidRPr="000A0ADE">
        <w:rPr>
          <w:lang w:val="en-GB"/>
        </w:rPr>
        <w:t> </w:t>
      </w:r>
      <w:r w:rsidR="001409FD" w:rsidRPr="000A0ADE">
        <w:rPr>
          <w:lang w:val="en-GB"/>
        </w:rPr>
        <w:t>Parliamentary</w:t>
      </w:r>
      <w:r w:rsidR="001505E2" w:rsidRPr="000A0ADE">
        <w:rPr>
          <w:lang w:val="en-GB"/>
        </w:rPr>
        <w:t> </w:t>
      </w:r>
      <w:r w:rsidR="001409FD" w:rsidRPr="000A0ADE">
        <w:rPr>
          <w:lang w:val="en-GB"/>
        </w:rPr>
        <w:t>respondents’)</w:t>
      </w:r>
      <w:r w:rsidR="00143CE4" w:rsidRPr="000A0ADE">
        <w:rPr>
          <w:lang w:val="en-GB"/>
        </w:rPr>
        <w:t xml:space="preserve"> were served with the application.  The Sheriff’s return</w:t>
      </w:r>
      <w:r w:rsidR="001505E2" w:rsidRPr="000A0ADE">
        <w:rPr>
          <w:lang w:val="en-GB"/>
        </w:rPr>
        <w:t>s</w:t>
      </w:r>
      <w:r w:rsidR="00143CE4" w:rsidRPr="000A0ADE">
        <w:rPr>
          <w:lang w:val="en-GB"/>
        </w:rPr>
        <w:t xml:space="preserve"> of service on which the applicant seeks to rely </w:t>
      </w:r>
      <w:r w:rsidR="001505E2" w:rsidRPr="000A0ADE">
        <w:rPr>
          <w:lang w:val="en-GB"/>
        </w:rPr>
        <w:t>are</w:t>
      </w:r>
      <w:r w:rsidR="00143CE4" w:rsidRPr="000A0ADE">
        <w:rPr>
          <w:lang w:val="en-GB"/>
        </w:rPr>
        <w:t xml:space="preserve"> not a model of clarity.  On the one hand the return</w:t>
      </w:r>
      <w:r w:rsidR="001409FD" w:rsidRPr="000A0ADE">
        <w:rPr>
          <w:lang w:val="en-GB"/>
        </w:rPr>
        <w:t>s</w:t>
      </w:r>
      <w:r w:rsidR="00143CE4" w:rsidRPr="000A0ADE">
        <w:rPr>
          <w:lang w:val="en-GB"/>
        </w:rPr>
        <w:t xml:space="preserve"> of service state that the application was served on the </w:t>
      </w:r>
      <w:r w:rsidR="001505E2" w:rsidRPr="000A0ADE">
        <w:rPr>
          <w:lang w:val="en-GB"/>
        </w:rPr>
        <w:t xml:space="preserve">Parliamentary respondents </w:t>
      </w:r>
      <w:r w:rsidR="00143CE4" w:rsidRPr="000A0ADE">
        <w:rPr>
          <w:lang w:val="en-GB"/>
        </w:rPr>
        <w:t xml:space="preserve">on 10 January 2024, but at the same time states that service was done electronically due to restricted access to the Parliament precinct and that confirmation of receipt of service was only received on 17 January 2024.  The Speaker in her answering affidavit states that the application papers were only served in Parliament on 15 January 2024.  </w:t>
      </w:r>
    </w:p>
    <w:p w14:paraId="5C7E7DF2" w14:textId="3276F3B5" w:rsidR="00143CE4" w:rsidRPr="000A0ADE" w:rsidRDefault="00B94719" w:rsidP="00B94719">
      <w:pPr>
        <w:snapToGrid w:val="0"/>
        <w:spacing w:before="120" w:after="240" w:line="480" w:lineRule="auto"/>
        <w:ind w:hanging="6"/>
        <w:jc w:val="both"/>
        <w:rPr>
          <w:rFonts w:cs="Arial"/>
          <w:lang w:val="en-GB"/>
        </w:rPr>
      </w:pPr>
      <w:r w:rsidRPr="000A0ADE">
        <w:rPr>
          <w:rFonts w:cs="Arial"/>
          <w:lang w:val="en-GB"/>
        </w:rPr>
        <w:t>[37]</w:t>
      </w:r>
      <w:r w:rsidRPr="000A0ADE">
        <w:rPr>
          <w:rFonts w:cs="Arial"/>
          <w:lang w:val="en-GB"/>
        </w:rPr>
        <w:tab/>
      </w:r>
      <w:r w:rsidR="00143CE4" w:rsidRPr="000A0ADE">
        <w:rPr>
          <w:lang w:val="en-GB"/>
        </w:rPr>
        <w:t xml:space="preserve">In terms of the timetable set by the applicant, the respondents were expected to deliver notices of intention to oppose on 10 January 2024, the same date on which the applicant contends that #UniteBehind and the </w:t>
      </w:r>
      <w:r w:rsidR="004476ED" w:rsidRPr="000A0ADE">
        <w:rPr>
          <w:lang w:val="en-GB"/>
        </w:rPr>
        <w:t>Parliamentary respondents</w:t>
      </w:r>
      <w:r w:rsidR="00143CE4" w:rsidRPr="000A0ADE">
        <w:rPr>
          <w:lang w:val="en-GB"/>
        </w:rPr>
        <w:t xml:space="preserve"> were served, and to deliver their answering </w:t>
      </w:r>
      <w:r w:rsidR="004476ED" w:rsidRPr="000A0ADE">
        <w:rPr>
          <w:lang w:val="en-GB"/>
        </w:rPr>
        <w:t>affidavits</w:t>
      </w:r>
      <w:r w:rsidR="00143CE4" w:rsidRPr="000A0ADE">
        <w:rPr>
          <w:lang w:val="en-GB"/>
        </w:rPr>
        <w:t xml:space="preserve"> four court days later.  There is no justification on the papers for</w:t>
      </w:r>
      <w:r w:rsidR="004476ED" w:rsidRPr="000A0ADE">
        <w:rPr>
          <w:lang w:val="en-GB"/>
        </w:rPr>
        <w:t xml:space="preserve"> such </w:t>
      </w:r>
      <w:r w:rsidR="00D94385" w:rsidRPr="000A0ADE">
        <w:rPr>
          <w:lang w:val="en-GB"/>
        </w:rPr>
        <w:t>extremely</w:t>
      </w:r>
      <w:r w:rsidR="00143CE4" w:rsidRPr="000A0ADE">
        <w:rPr>
          <w:lang w:val="en-GB"/>
        </w:rPr>
        <w:t xml:space="preserve"> truncated time periods.  Bearing in mind the voluminous nature of the papers and the complexity of the issues involved, the </w:t>
      </w:r>
      <w:r w:rsidR="00143CE4" w:rsidRPr="000A0ADE">
        <w:rPr>
          <w:lang w:val="en-GB"/>
        </w:rPr>
        <w:lastRenderedPageBreak/>
        <w:t>unreasonableness of the timetable imposed by the applicant is made more stark</w:t>
      </w:r>
      <w:r w:rsidR="00EE63F6" w:rsidRPr="000A0ADE">
        <w:rPr>
          <w:lang w:val="en-GB"/>
        </w:rPr>
        <w:t>,</w:t>
      </w:r>
      <w:r w:rsidR="00143CE4" w:rsidRPr="000A0ADE">
        <w:rPr>
          <w:lang w:val="en-GB"/>
        </w:rPr>
        <w:t xml:space="preserve"> in</w:t>
      </w:r>
      <w:r w:rsidR="00EE63F6" w:rsidRPr="000A0ADE">
        <w:rPr>
          <w:lang w:val="en-GB"/>
        </w:rPr>
        <w:t xml:space="preserve"> particular if regard is</w:t>
      </w:r>
      <w:r w:rsidR="00143CE4" w:rsidRPr="000A0ADE">
        <w:rPr>
          <w:lang w:val="en-GB"/>
        </w:rPr>
        <w:t xml:space="preserve"> </w:t>
      </w:r>
      <w:r w:rsidR="00EE63F6" w:rsidRPr="000A0ADE">
        <w:rPr>
          <w:lang w:val="en-GB"/>
        </w:rPr>
        <w:t>had to</w:t>
      </w:r>
      <w:r w:rsidR="00143CE4" w:rsidRPr="000A0ADE">
        <w:rPr>
          <w:lang w:val="en-GB"/>
        </w:rPr>
        <w:t xml:space="preserve"> the fact that the application papers </w:t>
      </w:r>
      <w:r w:rsidR="00EE63F6" w:rsidRPr="000A0ADE">
        <w:rPr>
          <w:lang w:val="en-GB"/>
        </w:rPr>
        <w:t xml:space="preserve">were ready to be issued </w:t>
      </w:r>
      <w:r w:rsidR="00143CE4" w:rsidRPr="000A0ADE">
        <w:rPr>
          <w:lang w:val="en-GB"/>
        </w:rPr>
        <w:t xml:space="preserve">by 17 December 2023 and </w:t>
      </w:r>
      <w:r w:rsidR="00201D41" w:rsidRPr="000A0ADE">
        <w:rPr>
          <w:lang w:val="en-GB"/>
        </w:rPr>
        <w:t xml:space="preserve">the applicant </w:t>
      </w:r>
      <w:r w:rsidR="00143CE4" w:rsidRPr="000A0ADE">
        <w:rPr>
          <w:lang w:val="en-GB"/>
        </w:rPr>
        <w:t>elected to hold off on providing the papers to the respondents until</w:t>
      </w:r>
      <w:r w:rsidR="00201D41" w:rsidRPr="000A0ADE">
        <w:rPr>
          <w:lang w:val="en-GB"/>
        </w:rPr>
        <w:t>,</w:t>
      </w:r>
      <w:r w:rsidR="00143CE4" w:rsidRPr="000A0ADE">
        <w:rPr>
          <w:lang w:val="en-GB"/>
        </w:rPr>
        <w:t xml:space="preserve"> on her version</w:t>
      </w:r>
      <w:r w:rsidR="00201D41" w:rsidRPr="000A0ADE">
        <w:rPr>
          <w:lang w:val="en-GB"/>
        </w:rPr>
        <w:t>,</w:t>
      </w:r>
      <w:r w:rsidR="00143CE4" w:rsidRPr="000A0ADE">
        <w:rPr>
          <w:lang w:val="en-GB"/>
        </w:rPr>
        <w:t xml:space="preserve"> almost a month later on 10 January 2024.  There is no justification for the applicant’s conduct in this regard.</w:t>
      </w:r>
    </w:p>
    <w:p w14:paraId="0B1C2976" w14:textId="0E7ED325" w:rsidR="00143CE4" w:rsidRPr="000A0ADE" w:rsidRDefault="00B94719" w:rsidP="00B94719">
      <w:pPr>
        <w:snapToGrid w:val="0"/>
        <w:spacing w:before="120" w:after="240" w:line="480" w:lineRule="auto"/>
        <w:ind w:hanging="6"/>
        <w:jc w:val="both"/>
        <w:rPr>
          <w:rFonts w:cs="Arial"/>
          <w:lang w:val="en-GB"/>
        </w:rPr>
      </w:pPr>
      <w:r w:rsidRPr="000A0ADE">
        <w:rPr>
          <w:rFonts w:cs="Arial"/>
          <w:lang w:val="en-GB"/>
        </w:rPr>
        <w:t>[38]</w:t>
      </w:r>
      <w:r w:rsidRPr="000A0ADE">
        <w:rPr>
          <w:rFonts w:cs="Arial"/>
          <w:lang w:val="en-GB"/>
        </w:rPr>
        <w:tab/>
      </w:r>
      <w:r w:rsidR="00143CE4" w:rsidRPr="000A0ADE">
        <w:rPr>
          <w:lang w:val="en-GB"/>
        </w:rPr>
        <w:t xml:space="preserve">The respondents have not been able to engage in detail with the grounds on which the interim relief has been sought.  In this regard it must be recalled that </w:t>
      </w:r>
      <w:r w:rsidR="00143CE4" w:rsidRPr="000A0ADE">
        <w:rPr>
          <w:rFonts w:cs="Arial"/>
          <w:lang w:val="en-GB"/>
        </w:rPr>
        <w:t xml:space="preserve">the </w:t>
      </w:r>
      <w:r w:rsidR="00143CE4" w:rsidRPr="000A0ADE">
        <w:rPr>
          <w:lang w:val="en-GB"/>
        </w:rPr>
        <w:t xml:space="preserve">well-established requisites for interim interdict, (being a </w:t>
      </w:r>
      <w:r w:rsidR="00143CE4" w:rsidRPr="000A0ADE">
        <w:rPr>
          <w:i/>
          <w:lang w:val="en-GB"/>
        </w:rPr>
        <w:t xml:space="preserve">prima facie </w:t>
      </w:r>
      <w:r w:rsidR="00143CE4" w:rsidRPr="000A0ADE">
        <w:rPr>
          <w:lang w:val="en-GB"/>
        </w:rPr>
        <w:t>right</w:t>
      </w:r>
      <w:r w:rsidR="00AF0442" w:rsidRPr="000A0ADE">
        <w:rPr>
          <w:lang w:val="en-GB"/>
        </w:rPr>
        <w:t>;</w:t>
      </w:r>
      <w:r w:rsidR="00143CE4" w:rsidRPr="000A0ADE">
        <w:rPr>
          <w:rFonts w:cs="Arial"/>
          <w:lang w:val="en-GB"/>
        </w:rPr>
        <w:t xml:space="preserve"> </w:t>
      </w:r>
      <w:r w:rsidR="00143CE4" w:rsidRPr="000A0ADE">
        <w:rPr>
          <w:lang w:val="en-GB"/>
        </w:rPr>
        <w:t>a well-grounded apprehension of irreparable harm if the interim relief is not granted, and the ultimate relief is eventually granted; that the balance of convenience favours the granting of an interim interdict; and</w:t>
      </w:r>
      <w:r w:rsidR="00143CE4" w:rsidRPr="000A0ADE">
        <w:rPr>
          <w:rFonts w:cs="Arial"/>
          <w:lang w:val="en-GB"/>
        </w:rPr>
        <w:t xml:space="preserve"> </w:t>
      </w:r>
      <w:r w:rsidR="00143CE4" w:rsidRPr="000A0ADE">
        <w:rPr>
          <w:lang w:val="en-GB"/>
        </w:rPr>
        <w:t>that the applicant has no other satisfactory remedy) must not be considered in isolation, but in conjunction with one another in order to determine whether the Court should exercise its discretion in favour of granting interim relief.</w:t>
      </w:r>
      <w:r w:rsidR="00143CE4" w:rsidRPr="000A0ADE">
        <w:rPr>
          <w:rStyle w:val="FootnoteReference"/>
          <w:lang w:val="en-GB"/>
        </w:rPr>
        <w:footnoteReference w:id="10"/>
      </w:r>
      <w:r w:rsidR="00143CE4" w:rsidRPr="000A0ADE">
        <w:rPr>
          <w:lang w:val="en-GB"/>
        </w:rPr>
        <w:t xml:space="preserve">  </w:t>
      </w:r>
    </w:p>
    <w:p w14:paraId="526F4971" w14:textId="32F8D136" w:rsidR="00143CE4" w:rsidRPr="000A0ADE" w:rsidRDefault="00B94719" w:rsidP="00B94719">
      <w:pPr>
        <w:snapToGrid w:val="0"/>
        <w:spacing w:before="120" w:after="240" w:line="480" w:lineRule="auto"/>
        <w:ind w:hanging="6"/>
        <w:jc w:val="both"/>
        <w:rPr>
          <w:rStyle w:val="markedcontent"/>
          <w:rFonts w:cs="Arial"/>
          <w:lang w:val="en-GB"/>
        </w:rPr>
      </w:pPr>
      <w:r w:rsidRPr="000A0ADE">
        <w:rPr>
          <w:rStyle w:val="markedcontent"/>
          <w:rFonts w:cs="Arial"/>
          <w:lang w:val="en-GB"/>
        </w:rPr>
        <w:t>[39]</w:t>
      </w:r>
      <w:r w:rsidRPr="000A0ADE">
        <w:rPr>
          <w:rStyle w:val="markedcontent"/>
          <w:rFonts w:cs="Arial"/>
          <w:lang w:val="en-GB"/>
        </w:rPr>
        <w:tab/>
      </w:r>
      <w:r w:rsidR="00143CE4" w:rsidRPr="000A0ADE">
        <w:rPr>
          <w:lang w:val="en-GB"/>
        </w:rPr>
        <w:t xml:space="preserve">Prospects of success </w:t>
      </w:r>
      <w:r w:rsidR="00920863" w:rsidRPr="000A0ADE">
        <w:rPr>
          <w:lang w:val="en-GB"/>
        </w:rPr>
        <w:t xml:space="preserve">in the main application </w:t>
      </w:r>
      <w:r w:rsidR="00143CE4" w:rsidRPr="000A0ADE">
        <w:rPr>
          <w:lang w:val="en-GB"/>
        </w:rPr>
        <w:t xml:space="preserve">is a key factor in determining whether interim relief </w:t>
      </w:r>
      <w:r w:rsidR="00920863" w:rsidRPr="000A0ADE">
        <w:rPr>
          <w:i/>
          <w:iCs/>
          <w:lang w:val="en-GB"/>
        </w:rPr>
        <w:t>pendente lite</w:t>
      </w:r>
      <w:r w:rsidR="00920863" w:rsidRPr="000A0ADE">
        <w:rPr>
          <w:lang w:val="en-GB"/>
        </w:rPr>
        <w:t xml:space="preserve"> </w:t>
      </w:r>
      <w:r w:rsidR="00143CE4" w:rsidRPr="000A0ADE">
        <w:rPr>
          <w:lang w:val="en-GB"/>
        </w:rPr>
        <w:t xml:space="preserve">should be granted, in that the stronger the prospects of success, the less the need for the balance of convenience to favour the applicant, and </w:t>
      </w:r>
      <w:r w:rsidR="00143CE4" w:rsidRPr="000A0ADE">
        <w:rPr>
          <w:i/>
          <w:iCs/>
          <w:lang w:val="en-GB"/>
        </w:rPr>
        <w:t>vice versa</w:t>
      </w:r>
      <w:r w:rsidR="00143CE4" w:rsidRPr="000A0ADE">
        <w:rPr>
          <w:lang w:val="en-GB"/>
        </w:rPr>
        <w:t>.</w:t>
      </w:r>
      <w:r w:rsidR="00143CE4" w:rsidRPr="000A0ADE">
        <w:rPr>
          <w:rStyle w:val="FootnoteReference"/>
          <w:lang w:val="en-GB"/>
        </w:rPr>
        <w:t xml:space="preserve">  </w:t>
      </w:r>
      <w:r w:rsidR="00143CE4" w:rsidRPr="000A0ADE">
        <w:rPr>
          <w:color w:val="000000" w:themeColor="text1"/>
          <w:lang w:val="en-GB"/>
        </w:rPr>
        <w:t xml:space="preserve"> Further where a </w:t>
      </w:r>
      <w:r w:rsidR="00143CE4" w:rsidRPr="000A0ADE">
        <w:rPr>
          <w:rStyle w:val="markedcontent"/>
          <w:color w:val="000000" w:themeColor="text1"/>
          <w:lang w:val="en-GB"/>
        </w:rPr>
        <w:t>Court is asked to grant a temporary restraining order against the exercise of</w:t>
      </w:r>
      <w:r w:rsidR="00143CE4" w:rsidRPr="000A0ADE">
        <w:rPr>
          <w:color w:val="000000" w:themeColor="text1"/>
          <w:lang w:val="en-GB"/>
        </w:rPr>
        <w:t xml:space="preserve"> </w:t>
      </w:r>
      <w:r w:rsidR="00143CE4" w:rsidRPr="000A0ADE">
        <w:rPr>
          <w:rStyle w:val="markedcontent"/>
          <w:color w:val="000000" w:themeColor="text1"/>
          <w:lang w:val="en-GB"/>
        </w:rPr>
        <w:t>statutory power</w:t>
      </w:r>
      <w:r w:rsidR="005B342B" w:rsidRPr="000A0ADE">
        <w:rPr>
          <w:rStyle w:val="markedcontent"/>
          <w:color w:val="000000" w:themeColor="text1"/>
          <w:lang w:val="en-GB"/>
        </w:rPr>
        <w:t xml:space="preserve"> (or as in this case a constitutional oversight function)</w:t>
      </w:r>
      <w:r w:rsidR="00143CE4" w:rsidRPr="000A0ADE">
        <w:rPr>
          <w:rStyle w:val="markedcontent"/>
          <w:color w:val="000000" w:themeColor="text1"/>
          <w:lang w:val="en-GB"/>
        </w:rPr>
        <w:t>, it may only do so in exceptional cases and when a strong case for that relief has</w:t>
      </w:r>
      <w:r w:rsidR="00143CE4" w:rsidRPr="000A0ADE">
        <w:rPr>
          <w:color w:val="000000" w:themeColor="text1"/>
          <w:lang w:val="en-GB"/>
        </w:rPr>
        <w:t xml:space="preserve"> </w:t>
      </w:r>
      <w:r w:rsidR="00143CE4" w:rsidRPr="000A0ADE">
        <w:rPr>
          <w:rStyle w:val="markedcontent"/>
          <w:color w:val="000000" w:themeColor="text1"/>
          <w:lang w:val="en-GB"/>
        </w:rPr>
        <w:t>been made out.</w:t>
      </w:r>
      <w:r w:rsidR="00143CE4" w:rsidRPr="000A0ADE">
        <w:rPr>
          <w:rStyle w:val="FootnoteReference"/>
          <w:color w:val="000000" w:themeColor="text1"/>
          <w:lang w:val="en-GB"/>
        </w:rPr>
        <w:footnoteReference w:id="11"/>
      </w:r>
      <w:r w:rsidR="00143CE4" w:rsidRPr="000A0ADE">
        <w:rPr>
          <w:rStyle w:val="markedcontent"/>
          <w:color w:val="000000" w:themeColor="text1"/>
          <w:lang w:val="en-GB"/>
        </w:rPr>
        <w:t xml:space="preserve">  It must be satisfied that the applicant </w:t>
      </w:r>
      <w:r w:rsidR="00143CE4" w:rsidRPr="000A0ADE">
        <w:rPr>
          <w:rStyle w:val="markedcontent"/>
          <w:color w:val="000000" w:themeColor="text1"/>
          <w:lang w:val="en-GB"/>
        </w:rPr>
        <w:lastRenderedPageBreak/>
        <w:t>for an interdict has good prospects of success in the main review, based on strong grounds which are likely to</w:t>
      </w:r>
      <w:r w:rsidR="00143CE4" w:rsidRPr="000A0ADE">
        <w:rPr>
          <w:color w:val="000000" w:themeColor="text1"/>
          <w:lang w:val="en-GB"/>
        </w:rPr>
        <w:t xml:space="preserve"> </w:t>
      </w:r>
      <w:r w:rsidR="00143CE4" w:rsidRPr="000A0ADE">
        <w:rPr>
          <w:rStyle w:val="markedcontent"/>
          <w:color w:val="000000" w:themeColor="text1"/>
          <w:lang w:val="en-GB"/>
        </w:rPr>
        <w:t>succeed.</w:t>
      </w:r>
      <w:r w:rsidR="00143CE4" w:rsidRPr="000A0ADE">
        <w:rPr>
          <w:rStyle w:val="FootnoteReference"/>
          <w:color w:val="000000" w:themeColor="text1"/>
          <w:lang w:val="en-GB"/>
        </w:rPr>
        <w:footnoteReference w:id="12"/>
      </w:r>
      <w:r w:rsidR="00143CE4" w:rsidRPr="000A0ADE">
        <w:rPr>
          <w:rStyle w:val="markedcontent"/>
          <w:color w:val="000000" w:themeColor="text1"/>
          <w:lang w:val="en-GB"/>
        </w:rPr>
        <w:t xml:space="preserve">  </w:t>
      </w:r>
    </w:p>
    <w:p w14:paraId="12614906" w14:textId="0BFE39B7" w:rsidR="00143CE4" w:rsidRPr="000A0ADE" w:rsidRDefault="00B94719" w:rsidP="00B94719">
      <w:pPr>
        <w:snapToGrid w:val="0"/>
        <w:spacing w:before="120" w:after="240" w:line="480" w:lineRule="auto"/>
        <w:ind w:hanging="6"/>
        <w:jc w:val="both"/>
        <w:rPr>
          <w:rStyle w:val="markedcontent"/>
          <w:rFonts w:cs="Arial"/>
          <w:lang w:val="en-GB"/>
        </w:rPr>
      </w:pPr>
      <w:r w:rsidRPr="000A0ADE">
        <w:rPr>
          <w:rStyle w:val="markedcontent"/>
          <w:rFonts w:cs="Arial"/>
          <w:lang w:val="en-GB"/>
        </w:rPr>
        <w:t>[40]</w:t>
      </w:r>
      <w:r w:rsidRPr="000A0ADE">
        <w:rPr>
          <w:rStyle w:val="markedcontent"/>
          <w:rFonts w:cs="Arial"/>
          <w:lang w:val="en-GB"/>
        </w:rPr>
        <w:tab/>
      </w:r>
      <w:r w:rsidR="00143CE4" w:rsidRPr="000A0ADE">
        <w:rPr>
          <w:rFonts w:cs="Arial"/>
          <w:lang w:val="en-GB"/>
        </w:rPr>
        <w:t xml:space="preserve">It is thus imperative in matters where interdictory relief of the nature sought in this matter are at issue, that opposing parties are given a fair and reasonable opportunity to engage with the issues arising in the </w:t>
      </w:r>
      <w:r w:rsidR="00143CE4" w:rsidRPr="000A0ADE">
        <w:rPr>
          <w:rStyle w:val="markedcontent"/>
          <w:color w:val="000000" w:themeColor="text1"/>
          <w:lang w:val="en-GB"/>
        </w:rPr>
        <w:t xml:space="preserve">main review so that the Court has before it </w:t>
      </w:r>
      <w:r w:rsidR="00962C95" w:rsidRPr="000A0ADE">
        <w:rPr>
          <w:rStyle w:val="markedcontent"/>
          <w:color w:val="000000" w:themeColor="text1"/>
          <w:lang w:val="en-GB"/>
        </w:rPr>
        <w:t xml:space="preserve">sufficiently </w:t>
      </w:r>
      <w:r w:rsidR="00143CE4" w:rsidRPr="000A0ADE">
        <w:rPr>
          <w:rStyle w:val="markedcontent"/>
          <w:color w:val="000000" w:themeColor="text1"/>
          <w:lang w:val="en-GB"/>
        </w:rPr>
        <w:t>comprehensive submissions on the relief sought</w:t>
      </w:r>
      <w:r w:rsidR="00962C95" w:rsidRPr="000A0ADE">
        <w:rPr>
          <w:rStyle w:val="markedcontent"/>
          <w:color w:val="000000" w:themeColor="text1"/>
          <w:lang w:val="en-GB"/>
        </w:rPr>
        <w:t xml:space="preserve"> for the purposes of determining whether interim relief falls to be granted</w:t>
      </w:r>
      <w:r w:rsidR="00241661" w:rsidRPr="000A0ADE">
        <w:rPr>
          <w:rStyle w:val="markedcontent"/>
          <w:color w:val="000000" w:themeColor="text1"/>
          <w:lang w:val="en-GB"/>
        </w:rPr>
        <w:t xml:space="preserve">, having </w:t>
      </w:r>
      <w:r w:rsidR="00E3344F" w:rsidRPr="000A0ADE">
        <w:rPr>
          <w:lang w:val="en-GB"/>
        </w:rPr>
        <w:t xml:space="preserve">regard to whether the interim interdict sought will impermissibly trench upon the constitutional tenet of separation of powers - what has been called the </w:t>
      </w:r>
      <w:r w:rsidR="00E3344F" w:rsidRPr="000A0ADE">
        <w:rPr>
          <w:i/>
          <w:iCs/>
          <w:lang w:val="en-GB"/>
        </w:rPr>
        <w:t>“separation of powers harm”</w:t>
      </w:r>
      <w:r w:rsidR="00E3344F" w:rsidRPr="000A0ADE">
        <w:rPr>
          <w:lang w:val="en-GB"/>
        </w:rPr>
        <w:t>.</w:t>
      </w:r>
      <w:r w:rsidR="00E3344F" w:rsidRPr="000A0ADE">
        <w:rPr>
          <w:rStyle w:val="FootnoteReference"/>
          <w:lang w:val="en-GB"/>
        </w:rPr>
        <w:footnoteReference w:id="13"/>
      </w:r>
    </w:p>
    <w:p w14:paraId="78D52161" w14:textId="7E43D98F" w:rsidR="00143CE4" w:rsidRPr="000A0ADE" w:rsidRDefault="00B94719" w:rsidP="00B94719">
      <w:pPr>
        <w:snapToGrid w:val="0"/>
        <w:spacing w:before="120" w:after="240" w:line="480" w:lineRule="auto"/>
        <w:ind w:hanging="6"/>
        <w:jc w:val="both"/>
        <w:rPr>
          <w:rFonts w:cs="Arial"/>
          <w:lang w:val="en-GB"/>
        </w:rPr>
      </w:pPr>
      <w:r w:rsidRPr="000A0ADE">
        <w:rPr>
          <w:rFonts w:cs="Arial"/>
          <w:lang w:val="en-GB"/>
        </w:rPr>
        <w:t>[41]</w:t>
      </w:r>
      <w:r w:rsidRPr="000A0ADE">
        <w:rPr>
          <w:rFonts w:cs="Arial"/>
          <w:lang w:val="en-GB"/>
        </w:rPr>
        <w:tab/>
      </w:r>
      <w:r w:rsidR="0034356F" w:rsidRPr="000A0ADE">
        <w:rPr>
          <w:lang w:val="en-GB"/>
        </w:rPr>
        <w:t xml:space="preserve">In the circumstances, the respondents’ complaint that they have been prejudiced by the applicant’s failure to set a reasonable timetable is well made. </w:t>
      </w:r>
      <w:r w:rsidR="0034356F" w:rsidRPr="000A0ADE">
        <w:rPr>
          <w:rStyle w:val="markedcontent"/>
          <w:rFonts w:cs="Arial"/>
          <w:lang w:val="en-GB"/>
        </w:rPr>
        <w:t xml:space="preserve"> </w:t>
      </w:r>
      <w:r w:rsidR="00143CE4" w:rsidRPr="000A0ADE">
        <w:rPr>
          <w:rFonts w:cs="Arial"/>
          <w:lang w:val="en-GB"/>
        </w:rPr>
        <w:t xml:space="preserve">The manifestly unreasonable timetable imposed on the parties by the applicant has prejudiced the respondents by depriving them of a proper opportunity to respond fully to the applicant’s case, in circumstances where there is no justification on the papers for any such prejudice. </w:t>
      </w:r>
    </w:p>
    <w:p w14:paraId="2A8BBDA9" w14:textId="5535712E" w:rsidR="008E764C" w:rsidRPr="000A0ADE" w:rsidRDefault="00B94719" w:rsidP="00B94719">
      <w:pPr>
        <w:snapToGrid w:val="0"/>
        <w:spacing w:before="120" w:after="240" w:line="480" w:lineRule="auto"/>
        <w:ind w:hanging="6"/>
        <w:jc w:val="both"/>
        <w:rPr>
          <w:rFonts w:cs="Arial"/>
          <w:lang w:val="en-GB"/>
        </w:rPr>
      </w:pPr>
      <w:r w:rsidRPr="000A0ADE">
        <w:rPr>
          <w:rFonts w:cs="Arial"/>
          <w:lang w:val="en-GB"/>
        </w:rPr>
        <w:t>[42]</w:t>
      </w:r>
      <w:r w:rsidRPr="000A0ADE">
        <w:rPr>
          <w:rFonts w:cs="Arial"/>
          <w:lang w:val="en-GB"/>
        </w:rPr>
        <w:tab/>
      </w:r>
      <w:r w:rsidR="00D25793" w:rsidRPr="000A0ADE">
        <w:rPr>
          <w:rFonts w:cs="Arial"/>
          <w:lang w:val="en-GB"/>
        </w:rPr>
        <w:t xml:space="preserve">Further, </w:t>
      </w:r>
      <w:r w:rsidR="00A0485F" w:rsidRPr="000A0ADE">
        <w:rPr>
          <w:rFonts w:cs="Arial"/>
          <w:lang w:val="en-GB"/>
        </w:rPr>
        <w:t xml:space="preserve">it is apparent from the common cause facts that the applicant was aware of the </w:t>
      </w:r>
      <w:r w:rsidR="00684D4B" w:rsidRPr="000A0ADE">
        <w:rPr>
          <w:rFonts w:cs="Arial"/>
          <w:lang w:val="en-GB"/>
        </w:rPr>
        <w:t xml:space="preserve">Committee’s </w:t>
      </w:r>
      <w:r w:rsidR="00D22057" w:rsidRPr="000A0ADE">
        <w:rPr>
          <w:rFonts w:cs="Arial"/>
          <w:lang w:val="en-GB"/>
        </w:rPr>
        <w:t xml:space="preserve">findings and </w:t>
      </w:r>
      <w:r w:rsidR="00684D4B" w:rsidRPr="000A0ADE">
        <w:rPr>
          <w:rFonts w:cs="Arial"/>
          <w:lang w:val="en-GB"/>
        </w:rPr>
        <w:t xml:space="preserve">the </w:t>
      </w:r>
      <w:r w:rsidR="00D22057" w:rsidRPr="000A0ADE">
        <w:rPr>
          <w:rFonts w:cs="Arial"/>
          <w:lang w:val="en-GB"/>
        </w:rPr>
        <w:t>sanction</w:t>
      </w:r>
      <w:r w:rsidR="00684D4B" w:rsidRPr="000A0ADE">
        <w:rPr>
          <w:rFonts w:cs="Arial"/>
          <w:lang w:val="en-GB"/>
        </w:rPr>
        <w:t xml:space="preserve"> recommended by</w:t>
      </w:r>
      <w:r w:rsidR="00D22057" w:rsidRPr="000A0ADE">
        <w:rPr>
          <w:rFonts w:cs="Arial"/>
          <w:lang w:val="en-GB"/>
        </w:rPr>
        <w:t xml:space="preserve"> the</w:t>
      </w:r>
      <w:r w:rsidR="00D95711" w:rsidRPr="000A0ADE">
        <w:rPr>
          <w:rFonts w:cs="Arial"/>
          <w:lang w:val="en-GB"/>
        </w:rPr>
        <w:t xml:space="preserve"> Committee </w:t>
      </w:r>
      <w:r w:rsidR="00D22057" w:rsidRPr="000A0ADE">
        <w:rPr>
          <w:rFonts w:cs="Arial"/>
          <w:lang w:val="en-GB"/>
        </w:rPr>
        <w:t xml:space="preserve">on 26 October 2023 when she says that she received the report of the Committee.  Further, the applicant had by 28 November 2023 decided that she would seek to challenge the </w:t>
      </w:r>
      <w:r w:rsidR="00684D4B" w:rsidRPr="000A0ADE">
        <w:rPr>
          <w:rFonts w:cs="Arial"/>
          <w:lang w:val="en-GB"/>
        </w:rPr>
        <w:t xml:space="preserve">Committee’s </w:t>
      </w:r>
      <w:r w:rsidR="00D22057" w:rsidRPr="000A0ADE">
        <w:rPr>
          <w:rFonts w:cs="Arial"/>
          <w:lang w:val="en-GB"/>
        </w:rPr>
        <w:t>findings as well as the sanction</w:t>
      </w:r>
      <w:r w:rsidR="00684D4B" w:rsidRPr="000A0ADE">
        <w:rPr>
          <w:rFonts w:cs="Arial"/>
          <w:lang w:val="en-GB"/>
        </w:rPr>
        <w:t xml:space="preserve"> recommended by the Committee</w:t>
      </w:r>
      <w:r w:rsidR="00276434" w:rsidRPr="000A0ADE">
        <w:rPr>
          <w:rFonts w:cs="Arial"/>
          <w:lang w:val="en-GB"/>
        </w:rPr>
        <w:t>,</w:t>
      </w:r>
      <w:r w:rsidR="00684D4B" w:rsidRPr="000A0ADE">
        <w:rPr>
          <w:rFonts w:cs="Arial"/>
          <w:lang w:val="en-GB"/>
        </w:rPr>
        <w:t xml:space="preserve"> and she informed the Speaker that she would do so by 6 December 2023.  </w:t>
      </w:r>
      <w:r w:rsidR="000E5C3E" w:rsidRPr="000A0ADE">
        <w:rPr>
          <w:rFonts w:cs="Arial"/>
          <w:lang w:val="en-GB"/>
        </w:rPr>
        <w:lastRenderedPageBreak/>
        <w:t xml:space="preserve">Ultimately, the applicant was in a position to institute this application by 17 December 2023.  </w:t>
      </w:r>
    </w:p>
    <w:p w14:paraId="4D3A2156" w14:textId="14748595" w:rsidR="00D25793" w:rsidRPr="000A0ADE" w:rsidRDefault="00B94719" w:rsidP="00B94719">
      <w:pPr>
        <w:snapToGrid w:val="0"/>
        <w:spacing w:before="120" w:after="240" w:line="480" w:lineRule="auto"/>
        <w:ind w:hanging="6"/>
        <w:jc w:val="both"/>
        <w:rPr>
          <w:rFonts w:cs="Arial"/>
          <w:lang w:val="en-GB"/>
        </w:rPr>
      </w:pPr>
      <w:r w:rsidRPr="000A0ADE">
        <w:rPr>
          <w:rFonts w:cs="Arial"/>
          <w:lang w:val="en-GB"/>
        </w:rPr>
        <w:t>[43]</w:t>
      </w:r>
      <w:r w:rsidRPr="000A0ADE">
        <w:rPr>
          <w:rFonts w:cs="Arial"/>
          <w:lang w:val="en-GB"/>
        </w:rPr>
        <w:tab/>
      </w:r>
      <w:r w:rsidR="000E5C3E" w:rsidRPr="000A0ADE">
        <w:rPr>
          <w:rFonts w:cs="Arial"/>
          <w:lang w:val="en-GB"/>
        </w:rPr>
        <w:t xml:space="preserve">Her explanation for failing to do so </w:t>
      </w:r>
      <w:r w:rsidR="008E764C" w:rsidRPr="000A0ADE">
        <w:rPr>
          <w:rFonts w:cs="Arial"/>
          <w:lang w:val="en-GB"/>
        </w:rPr>
        <w:t xml:space="preserve">does not withstand scrutiny.  The applicant states that she did not institute these proceedings in December 2023 because if she had done so the matter would have had to be heard within two weeks and the matter </w:t>
      </w:r>
      <w:r w:rsidR="00E310F8" w:rsidRPr="000A0ADE">
        <w:rPr>
          <w:rFonts w:cs="Arial"/>
          <w:i/>
          <w:iCs/>
          <w:lang w:val="en-GB"/>
        </w:rPr>
        <w:t>“did not call for such super-urgency”</w:t>
      </w:r>
      <w:r w:rsidR="00E517FB" w:rsidRPr="000A0ADE">
        <w:rPr>
          <w:rFonts w:cs="Arial"/>
          <w:lang w:val="en-GB"/>
        </w:rPr>
        <w:t>, because the sanction w</w:t>
      </w:r>
      <w:r w:rsidR="003D5A40">
        <w:rPr>
          <w:rFonts w:cs="Arial"/>
          <w:lang w:val="en-GB"/>
        </w:rPr>
        <w:t>ill</w:t>
      </w:r>
      <w:r w:rsidR="00E517FB" w:rsidRPr="000A0ADE">
        <w:rPr>
          <w:rFonts w:cs="Arial"/>
          <w:lang w:val="en-GB"/>
        </w:rPr>
        <w:t xml:space="preserve"> only </w:t>
      </w:r>
      <w:r w:rsidR="003D5A40">
        <w:rPr>
          <w:rFonts w:cs="Arial"/>
          <w:lang w:val="en-GB"/>
        </w:rPr>
        <w:t>commence</w:t>
      </w:r>
      <w:r w:rsidR="00E517FB" w:rsidRPr="000A0ADE">
        <w:rPr>
          <w:rFonts w:cs="Arial"/>
          <w:lang w:val="en-GB"/>
        </w:rPr>
        <w:t xml:space="preserve"> </w:t>
      </w:r>
      <w:r w:rsidR="00B355F9">
        <w:rPr>
          <w:rFonts w:cs="Arial"/>
          <w:lang w:val="en-GB"/>
        </w:rPr>
        <w:t xml:space="preserve">on </w:t>
      </w:r>
      <w:r w:rsidR="00E517FB" w:rsidRPr="000A0ADE">
        <w:rPr>
          <w:rFonts w:cs="Arial"/>
          <w:lang w:val="en-GB"/>
        </w:rPr>
        <w:t>30 January 2024.</w:t>
      </w:r>
      <w:r w:rsidR="00E310F8" w:rsidRPr="000A0ADE">
        <w:rPr>
          <w:rFonts w:cs="Arial"/>
          <w:lang w:val="en-GB"/>
        </w:rPr>
        <w:t xml:space="preserve"> </w:t>
      </w:r>
      <w:r w:rsidR="00FF684D" w:rsidRPr="000A0ADE">
        <w:rPr>
          <w:rFonts w:cs="Arial"/>
          <w:lang w:val="en-GB"/>
        </w:rPr>
        <w:t xml:space="preserve"> However, given that the applicant instituted these proceedings on 10 January 2024</w:t>
      </w:r>
      <w:r w:rsidR="00DB1EC3" w:rsidRPr="000A0ADE">
        <w:rPr>
          <w:rFonts w:cs="Arial"/>
          <w:lang w:val="en-GB"/>
        </w:rPr>
        <w:t xml:space="preserve"> to be heard on 26 January 2024, she </w:t>
      </w:r>
      <w:r w:rsidR="00C81496" w:rsidRPr="000A0ADE">
        <w:rPr>
          <w:rFonts w:cs="Arial"/>
          <w:lang w:val="en-GB"/>
        </w:rPr>
        <w:t>effectively</w:t>
      </w:r>
      <w:r w:rsidR="000A5738" w:rsidRPr="000A0ADE">
        <w:rPr>
          <w:rFonts w:cs="Arial"/>
          <w:lang w:val="en-GB"/>
        </w:rPr>
        <w:t xml:space="preserve"> </w:t>
      </w:r>
      <w:r w:rsidR="00776AFA" w:rsidRPr="000A0ADE">
        <w:rPr>
          <w:rFonts w:cs="Arial"/>
          <w:lang w:val="en-GB"/>
        </w:rPr>
        <w:t>set</w:t>
      </w:r>
      <w:r w:rsidR="000A5738" w:rsidRPr="000A0ADE">
        <w:rPr>
          <w:rFonts w:cs="Arial"/>
          <w:lang w:val="en-GB"/>
        </w:rPr>
        <w:t xml:space="preserve"> the matter </w:t>
      </w:r>
      <w:r w:rsidR="008D34F3" w:rsidRPr="000A0ADE">
        <w:rPr>
          <w:rFonts w:cs="Arial"/>
          <w:lang w:val="en-GB"/>
        </w:rPr>
        <w:t xml:space="preserve">down </w:t>
      </w:r>
      <w:r w:rsidR="000A5738" w:rsidRPr="000A0ADE">
        <w:rPr>
          <w:rFonts w:cs="Arial"/>
          <w:lang w:val="en-GB"/>
        </w:rPr>
        <w:t xml:space="preserve">to be </w:t>
      </w:r>
      <w:r w:rsidR="00776AFA" w:rsidRPr="000A0ADE">
        <w:rPr>
          <w:rFonts w:cs="Arial"/>
          <w:lang w:val="en-GB"/>
        </w:rPr>
        <w:t xml:space="preserve">down to </w:t>
      </w:r>
      <w:r w:rsidR="000A5738" w:rsidRPr="000A0ADE">
        <w:rPr>
          <w:rFonts w:cs="Arial"/>
          <w:lang w:val="en-GB"/>
        </w:rPr>
        <w:t xml:space="preserve">heard </w:t>
      </w:r>
      <w:r w:rsidR="00776AFA" w:rsidRPr="000A0ADE">
        <w:rPr>
          <w:rFonts w:cs="Arial"/>
          <w:lang w:val="en-GB"/>
        </w:rPr>
        <w:t xml:space="preserve">within two weeks from when the application was instituted </w:t>
      </w:r>
      <w:r w:rsidR="00C05F08" w:rsidRPr="000A0ADE">
        <w:rPr>
          <w:rFonts w:cs="Arial"/>
          <w:lang w:val="en-GB"/>
        </w:rPr>
        <w:t>in any event</w:t>
      </w:r>
      <w:r w:rsidR="008D34F3" w:rsidRPr="000A0ADE">
        <w:rPr>
          <w:rFonts w:cs="Arial"/>
          <w:lang w:val="en-GB"/>
        </w:rPr>
        <w:t>,</w:t>
      </w:r>
      <w:r w:rsidR="00C05F08" w:rsidRPr="000A0ADE">
        <w:rPr>
          <w:rFonts w:cs="Arial"/>
          <w:lang w:val="en-GB"/>
        </w:rPr>
        <w:t xml:space="preserve"> and</w:t>
      </w:r>
      <w:r w:rsidR="008D34F3" w:rsidRPr="000A0ADE">
        <w:rPr>
          <w:rFonts w:cs="Arial"/>
          <w:lang w:val="en-GB"/>
        </w:rPr>
        <w:t xml:space="preserve"> chose to do so</w:t>
      </w:r>
      <w:r w:rsidR="00C05F08" w:rsidRPr="000A0ADE">
        <w:rPr>
          <w:rFonts w:cs="Arial"/>
          <w:lang w:val="en-GB"/>
        </w:rPr>
        <w:t xml:space="preserve"> some </w:t>
      </w:r>
      <w:r w:rsidR="00FC1619" w:rsidRPr="000A0ADE">
        <w:rPr>
          <w:rFonts w:cs="Arial"/>
          <w:lang w:val="en-GB"/>
        </w:rPr>
        <w:t xml:space="preserve">four days before the sanction is due to commence.  There is simply no reasonable explanation for the applicant’s conduct in this regard.  </w:t>
      </w:r>
    </w:p>
    <w:p w14:paraId="13D3F6A7" w14:textId="6E2ECCD2" w:rsidR="00143CE4" w:rsidRPr="000A0ADE" w:rsidRDefault="00B94719" w:rsidP="00B94719">
      <w:pPr>
        <w:snapToGrid w:val="0"/>
        <w:spacing w:before="120" w:after="240" w:line="480" w:lineRule="auto"/>
        <w:ind w:hanging="6"/>
        <w:jc w:val="both"/>
        <w:rPr>
          <w:rFonts w:cs="Arial"/>
          <w:lang w:val="en-GB"/>
        </w:rPr>
      </w:pPr>
      <w:r w:rsidRPr="000A0ADE">
        <w:rPr>
          <w:rFonts w:cs="Arial"/>
          <w:lang w:val="en-GB"/>
        </w:rPr>
        <w:t>[44]</w:t>
      </w:r>
      <w:r w:rsidRPr="000A0ADE">
        <w:rPr>
          <w:rFonts w:cs="Arial"/>
          <w:lang w:val="en-GB"/>
        </w:rPr>
        <w:tab/>
      </w:r>
      <w:r w:rsidR="00143CE4" w:rsidRPr="000A0ADE">
        <w:rPr>
          <w:rFonts w:cs="Arial"/>
          <w:lang w:val="en-GB"/>
        </w:rPr>
        <w:t>For these reasons I am not satisfied that the application warrants an urgent hearing.</w:t>
      </w:r>
      <w:r w:rsidR="00FC1619" w:rsidRPr="000A0ADE">
        <w:rPr>
          <w:rFonts w:cs="Arial"/>
          <w:lang w:val="en-GB"/>
        </w:rPr>
        <w:t xml:space="preserve">  </w:t>
      </w:r>
      <w:r w:rsidR="00143CE4" w:rsidRPr="000A0ADE">
        <w:rPr>
          <w:rFonts w:cs="Arial"/>
          <w:lang w:val="en-GB"/>
        </w:rPr>
        <w:t>However, a further issue arises from the applicant’s delay in instituting these proceedings.</w:t>
      </w:r>
    </w:p>
    <w:p w14:paraId="0783DE68" w14:textId="44FE6328" w:rsidR="00713C69" w:rsidRPr="000A0ADE" w:rsidRDefault="00B94719" w:rsidP="00B94719">
      <w:pPr>
        <w:snapToGrid w:val="0"/>
        <w:spacing w:before="120" w:after="240" w:line="480" w:lineRule="auto"/>
        <w:ind w:hanging="6"/>
        <w:jc w:val="both"/>
        <w:rPr>
          <w:rFonts w:cs="Arial"/>
          <w:lang w:val="en-GB"/>
        </w:rPr>
      </w:pPr>
      <w:r w:rsidRPr="000A0ADE">
        <w:rPr>
          <w:rFonts w:cs="Arial"/>
          <w:lang w:val="en-GB"/>
        </w:rPr>
        <w:t>[45]</w:t>
      </w:r>
      <w:r w:rsidRPr="000A0ADE">
        <w:rPr>
          <w:rFonts w:cs="Arial"/>
          <w:lang w:val="en-GB"/>
        </w:rPr>
        <w:tab/>
      </w:r>
      <w:r w:rsidR="00F25BEF" w:rsidRPr="000A0ADE">
        <w:rPr>
          <w:rFonts w:cs="Arial"/>
          <w:lang w:val="en-GB"/>
        </w:rPr>
        <w:t>Having regard to the Notice of Motion, i</w:t>
      </w:r>
      <w:r w:rsidR="00713C69" w:rsidRPr="000A0ADE">
        <w:rPr>
          <w:rFonts w:cs="Arial"/>
          <w:lang w:val="en-GB"/>
        </w:rPr>
        <w:t>n Part</w:t>
      </w:r>
      <w:r w:rsidR="00713C69" w:rsidRPr="000A0ADE">
        <w:rPr>
          <w:rFonts w:cs="Arial"/>
          <w:b/>
          <w:lang w:val="en-GB"/>
        </w:rPr>
        <w:t> </w:t>
      </w:r>
      <w:r w:rsidR="00713C69" w:rsidRPr="000A0ADE">
        <w:rPr>
          <w:rFonts w:cs="Arial"/>
          <w:bCs/>
          <w:lang w:val="en-GB"/>
        </w:rPr>
        <w:t>B the applicant seeks to review and set aside:</w:t>
      </w:r>
    </w:p>
    <w:p w14:paraId="68F7F3AD" w14:textId="682DED88" w:rsidR="00713C69"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[45.1]</w:t>
      </w:r>
      <w:r w:rsidRPr="000A0ADE">
        <w:rPr>
          <w:rFonts w:cs="Arial"/>
          <w:lang w:val="en-GB"/>
        </w:rPr>
        <w:tab/>
      </w:r>
      <w:r w:rsidR="00713C69" w:rsidRPr="000A0ADE">
        <w:rPr>
          <w:rFonts w:cs="Arial"/>
          <w:lang w:val="en-GB"/>
        </w:rPr>
        <w:t>The decision of the National Assembly taken on 28 November 2023</w:t>
      </w:r>
      <w:r w:rsidR="00F62E3D" w:rsidRPr="000A0ADE">
        <w:rPr>
          <w:rFonts w:cs="Arial"/>
          <w:lang w:val="en-GB"/>
        </w:rPr>
        <w:t xml:space="preserve"> </w:t>
      </w:r>
      <w:r w:rsidR="00713C69" w:rsidRPr="000A0ADE">
        <w:rPr>
          <w:rFonts w:cs="Arial"/>
          <w:lang w:val="en-GB"/>
        </w:rPr>
        <w:t xml:space="preserve">to adopt the report and accept the recommendations of the Committee and </w:t>
      </w:r>
      <w:r w:rsidR="008B3384">
        <w:rPr>
          <w:rFonts w:cs="Arial"/>
          <w:lang w:val="en-GB"/>
        </w:rPr>
        <w:t xml:space="preserve">to impose </w:t>
      </w:r>
      <w:r w:rsidR="000277A0" w:rsidRPr="000A0ADE">
        <w:rPr>
          <w:rFonts w:cs="Arial"/>
          <w:lang w:val="en-GB"/>
        </w:rPr>
        <w:t>th</w:t>
      </w:r>
      <w:r w:rsidR="00E322B0" w:rsidRPr="000A0ADE">
        <w:rPr>
          <w:rFonts w:cs="Arial"/>
          <w:lang w:val="en-GB"/>
        </w:rPr>
        <w:t xml:space="preserve">e </w:t>
      </w:r>
      <w:r w:rsidR="00713C69" w:rsidRPr="000A0ADE">
        <w:rPr>
          <w:rFonts w:cs="Arial"/>
          <w:lang w:val="en-GB"/>
        </w:rPr>
        <w:t>sanction that applicant be suspended for the first term of 2024 Parliamentary session</w:t>
      </w:r>
      <w:r w:rsidR="00080660">
        <w:rPr>
          <w:rFonts w:cs="Arial"/>
          <w:lang w:val="en-GB"/>
        </w:rPr>
        <w:t xml:space="preserve"> </w:t>
      </w:r>
      <w:r w:rsidR="00080660" w:rsidRPr="000A0ADE">
        <w:rPr>
          <w:rFonts w:cs="Arial"/>
          <w:lang w:val="en-GB"/>
        </w:rPr>
        <w:t>(‘the NA decision’)</w:t>
      </w:r>
      <w:r w:rsidR="00713C69" w:rsidRPr="000A0ADE">
        <w:rPr>
          <w:rFonts w:cs="Arial"/>
          <w:lang w:val="en-GB"/>
        </w:rPr>
        <w:t>;</w:t>
      </w:r>
      <w:r w:rsidR="00D27EF0" w:rsidRPr="000A0ADE">
        <w:rPr>
          <w:rFonts w:cs="Arial"/>
          <w:lang w:val="en-GB"/>
        </w:rPr>
        <w:t xml:space="preserve"> and</w:t>
      </w:r>
    </w:p>
    <w:p w14:paraId="48382C47" w14:textId="5EAE84EA" w:rsidR="00D27EF0"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[45.2]</w:t>
      </w:r>
      <w:r w:rsidRPr="000A0ADE">
        <w:rPr>
          <w:rFonts w:cs="Arial"/>
          <w:lang w:val="en-GB"/>
        </w:rPr>
        <w:tab/>
      </w:r>
      <w:r w:rsidR="00D27EF0" w:rsidRPr="000A0ADE">
        <w:rPr>
          <w:rFonts w:cs="Arial"/>
          <w:lang w:val="en-GB"/>
        </w:rPr>
        <w:t>To the extent necessary</w:t>
      </w:r>
      <w:r w:rsidR="00B97A72" w:rsidRPr="000A0ADE">
        <w:rPr>
          <w:rFonts w:cs="Arial"/>
          <w:lang w:val="en-GB"/>
        </w:rPr>
        <w:t xml:space="preserve"> the decisions of the Committee:</w:t>
      </w:r>
    </w:p>
    <w:p w14:paraId="5649D8C3" w14:textId="34132CE8" w:rsidR="00B97A72" w:rsidRPr="000A0ADE" w:rsidRDefault="00B94719" w:rsidP="00B94719">
      <w:pPr>
        <w:snapToGrid w:val="0"/>
        <w:spacing w:before="120" w:after="240" w:line="480" w:lineRule="auto"/>
        <w:ind w:left="2835" w:hanging="1275"/>
        <w:jc w:val="both"/>
        <w:rPr>
          <w:rFonts w:cs="Arial"/>
          <w:lang w:val="en-GB"/>
        </w:rPr>
      </w:pPr>
      <w:r w:rsidRPr="000A0ADE">
        <w:rPr>
          <w:rFonts w:cs="Arial"/>
          <w:lang w:val="en-GB"/>
        </w:rPr>
        <w:t>[45.2.1]</w:t>
      </w:r>
      <w:r w:rsidRPr="000A0ADE">
        <w:rPr>
          <w:rFonts w:cs="Arial"/>
          <w:lang w:val="en-GB"/>
        </w:rPr>
        <w:tab/>
      </w:r>
      <w:r w:rsidR="00B97A72" w:rsidRPr="000A0ADE">
        <w:rPr>
          <w:rFonts w:cs="Arial"/>
          <w:lang w:val="en-GB"/>
        </w:rPr>
        <w:t>To</w:t>
      </w:r>
      <w:r w:rsidR="00713C69" w:rsidRPr="000A0ADE">
        <w:rPr>
          <w:rFonts w:cs="Arial"/>
          <w:lang w:val="en-GB"/>
        </w:rPr>
        <w:t xml:space="preserve"> consider the complaint;</w:t>
      </w:r>
    </w:p>
    <w:p w14:paraId="147D4381" w14:textId="073269D8" w:rsidR="00B97A72" w:rsidRPr="000A0ADE" w:rsidRDefault="00B94719" w:rsidP="00B94719">
      <w:pPr>
        <w:snapToGrid w:val="0"/>
        <w:spacing w:before="120" w:after="240" w:line="480" w:lineRule="auto"/>
        <w:ind w:left="2835" w:hanging="1275"/>
        <w:jc w:val="both"/>
        <w:rPr>
          <w:rFonts w:cs="Arial"/>
          <w:lang w:val="en-GB"/>
        </w:rPr>
      </w:pPr>
      <w:r w:rsidRPr="000A0ADE">
        <w:rPr>
          <w:rFonts w:cs="Arial"/>
          <w:lang w:val="en-GB"/>
        </w:rPr>
        <w:lastRenderedPageBreak/>
        <w:t>[45.2.2]</w:t>
      </w:r>
      <w:r w:rsidRPr="000A0ADE">
        <w:rPr>
          <w:rFonts w:cs="Arial"/>
          <w:lang w:val="en-GB"/>
        </w:rPr>
        <w:tab/>
      </w:r>
      <w:r w:rsidR="00B97A72" w:rsidRPr="000A0ADE">
        <w:rPr>
          <w:rFonts w:cs="Arial"/>
          <w:lang w:val="en-GB"/>
        </w:rPr>
        <w:t>Not t</w:t>
      </w:r>
      <w:r w:rsidR="00713C69" w:rsidRPr="000A0ADE">
        <w:rPr>
          <w:rFonts w:cs="Arial"/>
          <w:lang w:val="en-GB"/>
        </w:rPr>
        <w:t xml:space="preserve">o conduct a further investigation into the complaint in terms of </w:t>
      </w:r>
      <w:r w:rsidR="00E322B0" w:rsidRPr="000A0ADE">
        <w:rPr>
          <w:rFonts w:cs="Arial"/>
          <w:lang w:val="en-GB"/>
        </w:rPr>
        <w:t>clause </w:t>
      </w:r>
      <w:r w:rsidR="00713C69" w:rsidRPr="000A0ADE">
        <w:rPr>
          <w:rFonts w:cs="Arial"/>
          <w:lang w:val="en-GB"/>
        </w:rPr>
        <w:t>10.4.3 of the Code;</w:t>
      </w:r>
    </w:p>
    <w:p w14:paraId="23ECF3DB" w14:textId="0E2A48AA" w:rsidR="00713C69" w:rsidRPr="000A0ADE" w:rsidRDefault="00B94719" w:rsidP="00B94719">
      <w:pPr>
        <w:snapToGrid w:val="0"/>
        <w:spacing w:before="120" w:after="240" w:line="480" w:lineRule="auto"/>
        <w:ind w:left="2835" w:hanging="1275"/>
        <w:jc w:val="both"/>
        <w:rPr>
          <w:rFonts w:cs="Arial"/>
          <w:lang w:val="en-GB"/>
        </w:rPr>
      </w:pPr>
      <w:r w:rsidRPr="000A0ADE">
        <w:rPr>
          <w:rFonts w:cs="Arial"/>
          <w:lang w:val="en-GB"/>
        </w:rPr>
        <w:t>[45.2.3]</w:t>
      </w:r>
      <w:r w:rsidRPr="000A0ADE">
        <w:rPr>
          <w:rFonts w:cs="Arial"/>
          <w:lang w:val="en-GB"/>
        </w:rPr>
        <w:tab/>
      </w:r>
      <w:r w:rsidR="00B97A72" w:rsidRPr="000A0ADE">
        <w:rPr>
          <w:rFonts w:cs="Arial"/>
          <w:lang w:val="en-GB"/>
        </w:rPr>
        <w:t>T</w:t>
      </w:r>
      <w:r w:rsidR="00713C69" w:rsidRPr="000A0ADE">
        <w:rPr>
          <w:rFonts w:cs="Arial"/>
          <w:lang w:val="en-GB"/>
        </w:rPr>
        <w:t xml:space="preserve">hat the applicant had breached the Code in the </w:t>
      </w:r>
      <w:r w:rsidR="00386E89" w:rsidRPr="000A0ADE">
        <w:rPr>
          <w:rFonts w:cs="Arial"/>
          <w:lang w:val="en-GB"/>
        </w:rPr>
        <w:t xml:space="preserve">three </w:t>
      </w:r>
      <w:r w:rsidR="00713C69" w:rsidRPr="000A0ADE">
        <w:rPr>
          <w:rFonts w:cs="Arial"/>
          <w:lang w:val="en-GB"/>
        </w:rPr>
        <w:t>respects described above; and</w:t>
      </w:r>
    </w:p>
    <w:p w14:paraId="5BA29E0B" w14:textId="4F51BF72" w:rsidR="00C65A2C" w:rsidRPr="000A0ADE" w:rsidRDefault="00B94719" w:rsidP="00B94719">
      <w:pPr>
        <w:snapToGrid w:val="0"/>
        <w:spacing w:before="120" w:after="240" w:line="480" w:lineRule="auto"/>
        <w:ind w:left="1418" w:hanging="1058"/>
        <w:jc w:val="both"/>
        <w:rPr>
          <w:rFonts w:cs="Arial"/>
          <w:lang w:val="en-GB"/>
        </w:rPr>
      </w:pPr>
      <w:r w:rsidRPr="000A0ADE">
        <w:rPr>
          <w:rFonts w:cs="Arial"/>
          <w:lang w:val="en-GB"/>
        </w:rPr>
        <w:t>[45.3]</w:t>
      </w:r>
      <w:r w:rsidRPr="000A0ADE">
        <w:rPr>
          <w:rFonts w:cs="Arial"/>
          <w:lang w:val="en-GB"/>
        </w:rPr>
        <w:tab/>
      </w:r>
      <w:r w:rsidR="00F25BEF" w:rsidRPr="000A0ADE">
        <w:rPr>
          <w:rFonts w:cs="Arial"/>
          <w:lang w:val="en-GB"/>
        </w:rPr>
        <w:t>To the extent necessary, t</w:t>
      </w:r>
      <w:r w:rsidR="00713C69" w:rsidRPr="000A0ADE">
        <w:rPr>
          <w:rFonts w:cs="Arial"/>
          <w:lang w:val="en-GB"/>
        </w:rPr>
        <w:t xml:space="preserve">he report, recommendations and sanction of the </w:t>
      </w:r>
      <w:r w:rsidR="00C65A2C" w:rsidRPr="000A0ADE">
        <w:rPr>
          <w:rFonts w:cs="Arial"/>
          <w:lang w:val="en-GB"/>
        </w:rPr>
        <w:t>C</w:t>
      </w:r>
      <w:r w:rsidR="00713C69" w:rsidRPr="000A0ADE">
        <w:rPr>
          <w:rFonts w:cs="Arial"/>
          <w:lang w:val="en-GB"/>
        </w:rPr>
        <w:t>ommittee</w:t>
      </w:r>
      <w:r w:rsidR="00EE5CCA" w:rsidRPr="000A0ADE">
        <w:rPr>
          <w:rFonts w:cs="Arial"/>
          <w:lang w:val="en-GB"/>
        </w:rPr>
        <w:t>.</w:t>
      </w:r>
    </w:p>
    <w:p w14:paraId="051BBBDC" w14:textId="7244AA9A" w:rsidR="00106BFE" w:rsidRPr="000A0ADE" w:rsidRDefault="00B94719" w:rsidP="00B94719">
      <w:pPr>
        <w:snapToGrid w:val="0"/>
        <w:spacing w:before="120" w:after="240" w:line="480" w:lineRule="auto"/>
        <w:ind w:hanging="6"/>
        <w:jc w:val="both"/>
        <w:rPr>
          <w:rFonts w:cs="Arial"/>
          <w:lang w:val="en-GB"/>
        </w:rPr>
      </w:pPr>
      <w:r w:rsidRPr="000A0ADE">
        <w:rPr>
          <w:rFonts w:cs="Arial"/>
          <w:lang w:val="en-GB"/>
        </w:rPr>
        <w:t>[46]</w:t>
      </w:r>
      <w:r w:rsidRPr="000A0ADE">
        <w:rPr>
          <w:rFonts w:cs="Arial"/>
          <w:lang w:val="en-GB"/>
        </w:rPr>
        <w:tab/>
      </w:r>
      <w:r w:rsidR="00F62E3D" w:rsidRPr="000A0ADE">
        <w:rPr>
          <w:rFonts w:cs="Arial"/>
          <w:lang w:val="en-GB"/>
        </w:rPr>
        <w:t>It bears emphasis that the NA decision that the applicant seeks to review</w:t>
      </w:r>
      <w:r w:rsidR="00515473" w:rsidRPr="000A0ADE">
        <w:rPr>
          <w:rFonts w:cs="Arial"/>
          <w:lang w:val="en-GB"/>
        </w:rPr>
        <w:t>,</w:t>
      </w:r>
      <w:r w:rsidR="00317A82" w:rsidRPr="000A0ADE">
        <w:rPr>
          <w:rFonts w:cs="Arial"/>
          <w:lang w:val="en-GB"/>
        </w:rPr>
        <w:t xml:space="preserve"> is </w:t>
      </w:r>
      <w:r w:rsidR="001521D2" w:rsidRPr="000A0ADE">
        <w:rPr>
          <w:rFonts w:cs="Arial"/>
          <w:lang w:val="en-GB"/>
        </w:rPr>
        <w:t>in effect a</w:t>
      </w:r>
      <w:r w:rsidR="00317A82" w:rsidRPr="000A0ADE">
        <w:rPr>
          <w:rFonts w:cs="Arial"/>
          <w:lang w:val="en-GB"/>
        </w:rPr>
        <w:t xml:space="preserve"> decision </w:t>
      </w:r>
      <w:r w:rsidR="008038A3" w:rsidRPr="000A0ADE">
        <w:rPr>
          <w:rFonts w:cs="Arial"/>
          <w:lang w:val="en-GB"/>
        </w:rPr>
        <w:t xml:space="preserve">that she is suspended </w:t>
      </w:r>
      <w:r w:rsidR="005032A0" w:rsidRPr="000A0ADE">
        <w:rPr>
          <w:rFonts w:cs="Arial"/>
          <w:lang w:val="en-GB"/>
        </w:rPr>
        <w:t xml:space="preserve">for first term of the 2024 Parliamentary session. </w:t>
      </w:r>
      <w:r w:rsidR="00527C99" w:rsidRPr="000A0ADE">
        <w:rPr>
          <w:rFonts w:cs="Arial"/>
          <w:lang w:val="en-GB"/>
        </w:rPr>
        <w:t xml:space="preserve"> </w:t>
      </w:r>
    </w:p>
    <w:p w14:paraId="02785C76" w14:textId="0A1F6A7B" w:rsidR="00CF1A40" w:rsidRPr="000A0ADE" w:rsidRDefault="00B94719" w:rsidP="00B94719">
      <w:pPr>
        <w:snapToGrid w:val="0"/>
        <w:spacing w:before="120" w:after="240" w:line="480" w:lineRule="auto"/>
        <w:ind w:hanging="6"/>
        <w:jc w:val="both"/>
        <w:rPr>
          <w:rFonts w:cs="Arial"/>
          <w:lang w:val="en-GB"/>
        </w:rPr>
      </w:pPr>
      <w:r w:rsidRPr="000A0ADE">
        <w:rPr>
          <w:rFonts w:cs="Arial"/>
          <w:lang w:val="en-GB"/>
        </w:rPr>
        <w:t>[47]</w:t>
      </w:r>
      <w:r w:rsidRPr="000A0ADE">
        <w:rPr>
          <w:rFonts w:cs="Arial"/>
          <w:lang w:val="en-GB"/>
        </w:rPr>
        <w:tab/>
      </w:r>
      <w:r w:rsidR="009F34DB" w:rsidRPr="000A0ADE">
        <w:rPr>
          <w:rFonts w:cs="Arial"/>
          <w:lang w:val="en-GB"/>
        </w:rPr>
        <w:t>The applicant is at pains to point out that if she does not get an order suspending the implementation of the sanction</w:t>
      </w:r>
      <w:r w:rsidR="001521D2" w:rsidRPr="000A0ADE">
        <w:rPr>
          <w:rFonts w:cs="Arial"/>
          <w:lang w:val="en-GB"/>
        </w:rPr>
        <w:t xml:space="preserve"> imposed by the N</w:t>
      </w:r>
      <w:r w:rsidR="0038353A">
        <w:rPr>
          <w:rFonts w:cs="Arial"/>
          <w:lang w:val="en-GB"/>
        </w:rPr>
        <w:t>ational Assembly</w:t>
      </w:r>
      <w:r w:rsidR="00640F62" w:rsidRPr="000A0ADE">
        <w:rPr>
          <w:rFonts w:cs="Arial"/>
          <w:lang w:val="en-GB"/>
        </w:rPr>
        <w:t>,</w:t>
      </w:r>
      <w:r w:rsidR="009F34DB" w:rsidRPr="000A0ADE">
        <w:rPr>
          <w:rFonts w:cs="Arial"/>
          <w:lang w:val="en-GB"/>
        </w:rPr>
        <w:t xml:space="preserve"> before it commences on 30 January 2024, she will not be able to obtain substantial redress if the review application were to be heard in </w:t>
      </w:r>
      <w:r w:rsidR="00F0513B" w:rsidRPr="000A0ADE">
        <w:rPr>
          <w:rFonts w:cs="Arial"/>
          <w:lang w:val="en-GB"/>
        </w:rPr>
        <w:t>the ordinary</w:t>
      </w:r>
      <w:r w:rsidR="009F34DB" w:rsidRPr="000A0ADE">
        <w:rPr>
          <w:rFonts w:cs="Arial"/>
          <w:lang w:val="en-GB"/>
        </w:rPr>
        <w:t xml:space="preserve"> course.  </w:t>
      </w:r>
    </w:p>
    <w:p w14:paraId="32E2D08D" w14:textId="14D6A909" w:rsidR="009F34DB" w:rsidRPr="000A0ADE" w:rsidRDefault="00B94719" w:rsidP="00B94719">
      <w:pPr>
        <w:snapToGrid w:val="0"/>
        <w:spacing w:before="120" w:after="240" w:line="480" w:lineRule="auto"/>
        <w:ind w:hanging="6"/>
        <w:jc w:val="both"/>
        <w:rPr>
          <w:rFonts w:cs="Arial"/>
          <w:lang w:val="en-GB"/>
        </w:rPr>
      </w:pPr>
      <w:r w:rsidRPr="000A0ADE">
        <w:rPr>
          <w:rFonts w:cs="Arial"/>
          <w:lang w:val="en-GB"/>
        </w:rPr>
        <w:t>[48]</w:t>
      </w:r>
      <w:r w:rsidRPr="000A0ADE">
        <w:rPr>
          <w:rFonts w:cs="Arial"/>
          <w:lang w:val="en-GB"/>
        </w:rPr>
        <w:tab/>
      </w:r>
      <w:r w:rsidR="009F34DB" w:rsidRPr="000A0ADE">
        <w:rPr>
          <w:rFonts w:cs="Arial"/>
          <w:lang w:val="en-GB"/>
        </w:rPr>
        <w:t xml:space="preserve">What the applicant fails to appreciate, however, </w:t>
      </w:r>
      <w:r w:rsidR="00F160FA" w:rsidRPr="000A0ADE">
        <w:rPr>
          <w:rFonts w:cs="Arial"/>
          <w:lang w:val="en-GB"/>
        </w:rPr>
        <w:t xml:space="preserve">is that </w:t>
      </w:r>
      <w:r w:rsidR="009F34DB" w:rsidRPr="000A0ADE">
        <w:rPr>
          <w:rFonts w:cs="Arial"/>
          <w:lang w:val="en-GB"/>
        </w:rPr>
        <w:t xml:space="preserve">the NA decision that she seeks to review, is time-bound as Mr Solik for #UniteBehind correctly submitted.  </w:t>
      </w:r>
      <w:r w:rsidR="00CF1A40" w:rsidRPr="000A0ADE">
        <w:rPr>
          <w:rFonts w:cs="Arial"/>
          <w:lang w:val="en-GB"/>
        </w:rPr>
        <w:t>Consequently, i</w:t>
      </w:r>
      <w:r w:rsidR="00DB6AB3" w:rsidRPr="000A0ADE">
        <w:rPr>
          <w:rFonts w:cs="Arial"/>
          <w:lang w:val="en-GB"/>
        </w:rPr>
        <w:t>f the applicant</w:t>
      </w:r>
      <w:r w:rsidR="009F34DB" w:rsidRPr="000A0ADE">
        <w:rPr>
          <w:rFonts w:cs="Arial"/>
          <w:lang w:val="en-GB"/>
        </w:rPr>
        <w:t xml:space="preserve"> does not </w:t>
      </w:r>
      <w:r w:rsidR="001B7AE6" w:rsidRPr="000A0ADE">
        <w:rPr>
          <w:rFonts w:cs="Arial"/>
          <w:lang w:val="en-GB"/>
        </w:rPr>
        <w:t xml:space="preserve">urgently </w:t>
      </w:r>
      <w:r w:rsidR="009F34DB" w:rsidRPr="000A0ADE">
        <w:rPr>
          <w:rFonts w:cs="Arial"/>
          <w:lang w:val="en-GB"/>
        </w:rPr>
        <w:t xml:space="preserve">obtain an order reviewing and setting aside the NA decision (that she is suspended for first term of the 2024 Parliamentary session), the review relief sought in respect of that decision will be rendered moot, as the first term of the 2024 Parliamentary </w:t>
      </w:r>
      <w:r w:rsidR="00EE3D28" w:rsidRPr="000A0ADE">
        <w:rPr>
          <w:rFonts w:cs="Arial"/>
          <w:lang w:val="en-GB"/>
        </w:rPr>
        <w:t>session</w:t>
      </w:r>
      <w:r w:rsidR="009F34DB" w:rsidRPr="000A0ADE">
        <w:rPr>
          <w:rFonts w:cs="Arial"/>
          <w:lang w:val="en-GB"/>
        </w:rPr>
        <w:t xml:space="preserve"> will have run its course by the time the review is heard in the ordinary course.  </w:t>
      </w:r>
    </w:p>
    <w:p w14:paraId="51466D57" w14:textId="6908E218" w:rsidR="005B7662" w:rsidRPr="000A0ADE" w:rsidRDefault="00B94719" w:rsidP="00B94719">
      <w:pPr>
        <w:snapToGrid w:val="0"/>
        <w:spacing w:before="120" w:after="240" w:line="480" w:lineRule="auto"/>
        <w:ind w:hanging="6"/>
        <w:jc w:val="both"/>
        <w:rPr>
          <w:rFonts w:cs="Arial"/>
          <w:lang w:val="en-GB"/>
        </w:rPr>
      </w:pPr>
      <w:r w:rsidRPr="000A0ADE">
        <w:rPr>
          <w:rFonts w:cs="Arial"/>
          <w:lang w:val="en-GB"/>
        </w:rPr>
        <w:t>[49]</w:t>
      </w:r>
      <w:r w:rsidRPr="000A0ADE">
        <w:rPr>
          <w:rFonts w:cs="Arial"/>
          <w:lang w:val="en-GB"/>
        </w:rPr>
        <w:tab/>
      </w:r>
      <w:r w:rsidR="005B7662" w:rsidRPr="000A0ADE">
        <w:rPr>
          <w:lang w:val="en-GB"/>
        </w:rPr>
        <w:t xml:space="preserve">In this matter, the sanction was imposed by the National Assembly as contemplated by clause 10.7.7.2 of the Code, which provides that in the event of the Committee finding that a member is guilty of contravening, </w:t>
      </w:r>
      <w:r w:rsidR="005B7662" w:rsidRPr="000A0ADE">
        <w:rPr>
          <w:i/>
          <w:iCs/>
          <w:lang w:val="en-GB"/>
        </w:rPr>
        <w:t>inter alia</w:t>
      </w:r>
      <w:r w:rsidR="005B7662" w:rsidRPr="000A0ADE">
        <w:rPr>
          <w:lang w:val="en-GB"/>
        </w:rPr>
        <w:t xml:space="preserve">, clause 10.1.1.3 of the Code, the Committee shall not impose any of the sanctions in clause 10.7.7.1, </w:t>
      </w:r>
      <w:r w:rsidR="005B7662" w:rsidRPr="000A0ADE">
        <w:rPr>
          <w:lang w:val="en-GB"/>
        </w:rPr>
        <w:lastRenderedPageBreak/>
        <w:t>but shall recommend any greater sanction it deems appropriate to the National Assembly, and the National Assembly shall decide on the appropriate sanction to be imposed, after consideration of the recommendation of the Committee.  Consequently, the findings and recommendations of the Committee are not the operative decisions for the purposes of the review relief sought by the applicant in Part B.  The operative decision in this case is the decision of the National Assembly to impose a particular sanction on the applicant</w:t>
      </w:r>
      <w:r w:rsidR="00F12C35">
        <w:rPr>
          <w:lang w:val="en-GB"/>
        </w:rPr>
        <w:t xml:space="preserve"> (that is the NA decision)</w:t>
      </w:r>
      <w:r w:rsidR="005B7662" w:rsidRPr="000A0ADE">
        <w:rPr>
          <w:lang w:val="en-GB"/>
        </w:rPr>
        <w:t>.</w:t>
      </w:r>
    </w:p>
    <w:p w14:paraId="2E78093B" w14:textId="6E3E59D3" w:rsidR="00E3452A" w:rsidRDefault="00B94719" w:rsidP="00B94719">
      <w:pPr>
        <w:snapToGrid w:val="0"/>
        <w:spacing w:before="120" w:after="240" w:line="480" w:lineRule="auto"/>
        <w:ind w:hanging="6"/>
        <w:jc w:val="both"/>
        <w:rPr>
          <w:rFonts w:cs="Arial"/>
          <w:lang w:val="en-GB"/>
        </w:rPr>
      </w:pPr>
      <w:r>
        <w:rPr>
          <w:rFonts w:cs="Arial"/>
          <w:lang w:val="en-GB"/>
        </w:rPr>
        <w:t>[50]</w:t>
      </w:r>
      <w:r>
        <w:rPr>
          <w:rFonts w:cs="Arial"/>
          <w:lang w:val="en-GB"/>
        </w:rPr>
        <w:tab/>
      </w:r>
      <w:r w:rsidR="00E3378C" w:rsidRPr="000A0ADE">
        <w:rPr>
          <w:rFonts w:cs="Arial"/>
          <w:lang w:val="en-GB"/>
        </w:rPr>
        <w:t>T</w:t>
      </w:r>
      <w:r w:rsidR="009F34DB" w:rsidRPr="000A0ADE">
        <w:rPr>
          <w:rFonts w:cs="Arial"/>
          <w:lang w:val="en-GB"/>
        </w:rPr>
        <w:t>he applicant</w:t>
      </w:r>
      <w:r w:rsidR="00D9536F" w:rsidRPr="000A0ADE">
        <w:rPr>
          <w:rFonts w:cs="Arial"/>
          <w:lang w:val="en-GB"/>
        </w:rPr>
        <w:t xml:space="preserve"> </w:t>
      </w:r>
      <w:r w:rsidR="009F34DB" w:rsidRPr="000A0ADE">
        <w:rPr>
          <w:rFonts w:cs="Arial"/>
          <w:lang w:val="en-GB"/>
        </w:rPr>
        <w:t>does not</w:t>
      </w:r>
      <w:r w:rsidR="007142A1">
        <w:rPr>
          <w:rFonts w:cs="Arial"/>
          <w:lang w:val="en-GB"/>
        </w:rPr>
        <w:t>, in the application before me,</w:t>
      </w:r>
      <w:r w:rsidR="009F34DB" w:rsidRPr="000A0ADE">
        <w:rPr>
          <w:rFonts w:cs="Arial"/>
          <w:lang w:val="en-GB"/>
        </w:rPr>
        <w:t xml:space="preserve"> seek an urgent review of the NA decision.  </w:t>
      </w:r>
      <w:r w:rsidR="00C75055" w:rsidRPr="000A0ADE">
        <w:rPr>
          <w:rFonts w:cs="Arial"/>
          <w:lang w:val="en-GB"/>
        </w:rPr>
        <w:t>Instead, the applicant seeks</w:t>
      </w:r>
      <w:r w:rsidR="00D06F20">
        <w:rPr>
          <w:rFonts w:cs="Arial"/>
          <w:lang w:val="en-GB"/>
        </w:rPr>
        <w:t>, at this stage,</w:t>
      </w:r>
      <w:r w:rsidR="00C75055" w:rsidRPr="000A0ADE">
        <w:rPr>
          <w:rFonts w:cs="Arial"/>
          <w:lang w:val="en-GB"/>
        </w:rPr>
        <w:t xml:space="preserve"> </w:t>
      </w:r>
      <w:r w:rsidR="00B30F02" w:rsidRPr="000A0ADE">
        <w:rPr>
          <w:rFonts w:cs="Arial"/>
          <w:lang w:val="en-GB"/>
        </w:rPr>
        <w:t>only to</w:t>
      </w:r>
      <w:r w:rsidR="007F19EC" w:rsidRPr="000A0ADE">
        <w:rPr>
          <w:rFonts w:cs="Arial"/>
          <w:lang w:val="en-GB"/>
        </w:rPr>
        <w:t xml:space="preserve"> interdict the sanction from coming into operation. </w:t>
      </w:r>
      <w:r w:rsidR="00E3452A">
        <w:rPr>
          <w:rFonts w:cs="Arial"/>
          <w:lang w:val="en-GB"/>
        </w:rPr>
        <w:t xml:space="preserve"> </w:t>
      </w:r>
    </w:p>
    <w:p w14:paraId="1C267F67" w14:textId="49416EA4" w:rsidR="00733060" w:rsidRPr="000A0ADE" w:rsidRDefault="00B94719" w:rsidP="00B94719">
      <w:pPr>
        <w:snapToGrid w:val="0"/>
        <w:spacing w:before="120" w:after="240" w:line="480" w:lineRule="auto"/>
        <w:ind w:hanging="6"/>
        <w:jc w:val="both"/>
        <w:rPr>
          <w:rFonts w:cs="Arial"/>
          <w:lang w:val="en-GB"/>
        </w:rPr>
      </w:pPr>
      <w:r w:rsidRPr="000A0ADE">
        <w:rPr>
          <w:rFonts w:cs="Arial"/>
          <w:lang w:val="en-GB"/>
        </w:rPr>
        <w:t>[51]</w:t>
      </w:r>
      <w:r w:rsidRPr="000A0ADE">
        <w:rPr>
          <w:rFonts w:cs="Arial"/>
          <w:lang w:val="en-GB"/>
        </w:rPr>
        <w:tab/>
      </w:r>
      <w:r w:rsidR="008E5DF5" w:rsidRPr="000A0ADE">
        <w:rPr>
          <w:rFonts w:cs="Arial"/>
          <w:lang w:val="en-GB"/>
        </w:rPr>
        <w:t xml:space="preserve">However, if I were to grant an </w:t>
      </w:r>
      <w:r w:rsidR="00F160FA" w:rsidRPr="000A0ADE">
        <w:rPr>
          <w:rFonts w:cs="Arial"/>
          <w:lang w:val="en-GB"/>
        </w:rPr>
        <w:t xml:space="preserve">interim </w:t>
      </w:r>
      <w:r w:rsidR="008E5DF5" w:rsidRPr="000A0ADE">
        <w:rPr>
          <w:rFonts w:cs="Arial"/>
          <w:lang w:val="en-GB"/>
        </w:rPr>
        <w:t>interdict as sought by the applicant,</w:t>
      </w:r>
      <w:r w:rsidR="007F19EC" w:rsidRPr="000A0ADE">
        <w:rPr>
          <w:rFonts w:cs="Arial"/>
          <w:lang w:val="en-GB"/>
        </w:rPr>
        <w:t xml:space="preserve"> by the time that the review is heard</w:t>
      </w:r>
      <w:r w:rsidR="008E5DF5" w:rsidRPr="000A0ADE">
        <w:rPr>
          <w:rFonts w:cs="Arial"/>
          <w:lang w:val="en-GB"/>
        </w:rPr>
        <w:t xml:space="preserve"> in the ordinary course</w:t>
      </w:r>
      <w:r w:rsidR="007F19EC" w:rsidRPr="000A0ADE">
        <w:rPr>
          <w:rFonts w:cs="Arial"/>
          <w:lang w:val="en-GB"/>
        </w:rPr>
        <w:t xml:space="preserve">, </w:t>
      </w:r>
      <w:r w:rsidR="006A15DF" w:rsidRPr="000A0ADE">
        <w:rPr>
          <w:rFonts w:cs="Arial"/>
          <w:lang w:val="en-GB"/>
        </w:rPr>
        <w:t xml:space="preserve">the time </w:t>
      </w:r>
      <w:r w:rsidR="0033048F" w:rsidRPr="000A0ADE">
        <w:rPr>
          <w:rFonts w:cs="Arial"/>
          <w:lang w:val="en-GB"/>
        </w:rPr>
        <w:t xml:space="preserve">period </w:t>
      </w:r>
      <w:r w:rsidR="006A15DF" w:rsidRPr="000A0ADE">
        <w:rPr>
          <w:rFonts w:cs="Arial"/>
          <w:lang w:val="en-GB"/>
        </w:rPr>
        <w:t>withi</w:t>
      </w:r>
      <w:r w:rsidR="0033048F" w:rsidRPr="000A0ADE">
        <w:rPr>
          <w:rFonts w:cs="Arial"/>
          <w:lang w:val="en-GB"/>
        </w:rPr>
        <w:t xml:space="preserve">n which </w:t>
      </w:r>
      <w:r w:rsidR="007F19EC" w:rsidRPr="000A0ADE">
        <w:rPr>
          <w:rFonts w:cs="Arial"/>
          <w:lang w:val="en-GB"/>
        </w:rPr>
        <w:t xml:space="preserve">the NA decision </w:t>
      </w:r>
      <w:r w:rsidR="00D11DB4" w:rsidRPr="000A0ADE">
        <w:rPr>
          <w:rFonts w:cs="Arial"/>
          <w:lang w:val="en-GB"/>
        </w:rPr>
        <w:t>was to have run</w:t>
      </w:r>
      <w:r w:rsidR="00CE3BC8" w:rsidRPr="000A0ADE">
        <w:rPr>
          <w:rFonts w:cs="Arial"/>
          <w:lang w:val="en-GB"/>
        </w:rPr>
        <w:t xml:space="preserve"> (30 January </w:t>
      </w:r>
      <w:r w:rsidR="000F2C67" w:rsidRPr="000A0ADE">
        <w:rPr>
          <w:rFonts w:cs="Arial"/>
          <w:lang w:val="en-GB"/>
        </w:rPr>
        <w:t>2024 to</w:t>
      </w:r>
      <w:r w:rsidR="00CE3BC8" w:rsidRPr="000A0ADE">
        <w:rPr>
          <w:rFonts w:cs="Arial"/>
          <w:lang w:val="en-GB"/>
        </w:rPr>
        <w:t xml:space="preserve"> 28 March 2024)</w:t>
      </w:r>
      <w:r w:rsidR="00394627" w:rsidRPr="000A0ADE">
        <w:rPr>
          <w:rFonts w:cs="Arial"/>
          <w:lang w:val="en-GB"/>
        </w:rPr>
        <w:t>,</w:t>
      </w:r>
      <w:r w:rsidR="00D11DB4" w:rsidRPr="000A0ADE">
        <w:rPr>
          <w:rFonts w:cs="Arial"/>
          <w:lang w:val="en-GB"/>
        </w:rPr>
        <w:t xml:space="preserve"> would have expired</w:t>
      </w:r>
      <w:r w:rsidR="008C24FF" w:rsidRPr="000A0ADE">
        <w:rPr>
          <w:rFonts w:cs="Arial"/>
          <w:lang w:val="en-GB"/>
        </w:rPr>
        <w:t xml:space="preserve">, </w:t>
      </w:r>
      <w:r w:rsidR="00394627" w:rsidRPr="000A0ADE">
        <w:rPr>
          <w:rFonts w:cs="Arial"/>
          <w:lang w:val="en-GB"/>
        </w:rPr>
        <w:t>rendering the review moot</w:t>
      </w:r>
      <w:r w:rsidR="00537F4C" w:rsidRPr="000A0ADE">
        <w:rPr>
          <w:rFonts w:cs="Arial"/>
          <w:lang w:val="en-GB"/>
        </w:rPr>
        <w:t xml:space="preserve">. </w:t>
      </w:r>
      <w:r w:rsidR="008C24FF" w:rsidRPr="000A0ADE">
        <w:rPr>
          <w:rFonts w:cs="Arial"/>
          <w:lang w:val="en-GB"/>
        </w:rPr>
        <w:t xml:space="preserve"> </w:t>
      </w:r>
      <w:r w:rsidR="00262429" w:rsidRPr="000A0ADE">
        <w:rPr>
          <w:rFonts w:cs="Arial"/>
          <w:lang w:val="en-GB"/>
        </w:rPr>
        <w:t>As</w:t>
      </w:r>
      <w:r w:rsidR="008C24FF" w:rsidRPr="000A0ADE">
        <w:rPr>
          <w:rFonts w:cs="Arial"/>
          <w:lang w:val="en-GB"/>
        </w:rPr>
        <w:t xml:space="preserve"> </w:t>
      </w:r>
      <w:r w:rsidR="00573FCB" w:rsidRPr="000A0ADE">
        <w:rPr>
          <w:rFonts w:cs="Arial"/>
          <w:lang w:val="en-GB"/>
        </w:rPr>
        <w:t xml:space="preserve">High Courts </w:t>
      </w:r>
      <w:r w:rsidR="002834BD" w:rsidRPr="000A0ADE">
        <w:rPr>
          <w:rFonts w:cs="Arial"/>
          <w:lang w:val="en-GB"/>
        </w:rPr>
        <w:t xml:space="preserve">are </w:t>
      </w:r>
      <w:r w:rsidR="002834BD" w:rsidRPr="000A0ADE">
        <w:rPr>
          <w:lang w:val="en-GB"/>
        </w:rPr>
        <w:t>not vested with similar powers to those of the Supreme Court of Appeal or the Constitutional Court to decide a case notwithstanding that it has become moot</w:t>
      </w:r>
      <w:r w:rsidR="00DE635B" w:rsidRPr="000A0ADE">
        <w:rPr>
          <w:lang w:val="en-GB"/>
        </w:rPr>
        <w:t>,</w:t>
      </w:r>
      <w:r w:rsidR="00DE635B" w:rsidRPr="000A0ADE">
        <w:rPr>
          <w:rStyle w:val="FootnoteReference"/>
          <w:lang w:val="en-GB"/>
        </w:rPr>
        <w:footnoteReference w:id="14"/>
      </w:r>
      <w:r w:rsidR="000E6FC0" w:rsidRPr="000A0ADE">
        <w:rPr>
          <w:lang w:val="en-GB"/>
        </w:rPr>
        <w:t xml:space="preserve"> </w:t>
      </w:r>
      <w:r w:rsidR="005A0947" w:rsidRPr="000A0ADE">
        <w:rPr>
          <w:lang w:val="en-GB"/>
        </w:rPr>
        <w:t xml:space="preserve">the </w:t>
      </w:r>
      <w:r w:rsidR="00551A3D" w:rsidRPr="000A0ADE">
        <w:rPr>
          <w:lang w:val="en-GB"/>
        </w:rPr>
        <w:t xml:space="preserve">review </w:t>
      </w:r>
      <w:r w:rsidR="005A0947" w:rsidRPr="000A0ADE">
        <w:rPr>
          <w:lang w:val="en-GB"/>
        </w:rPr>
        <w:t xml:space="preserve">court would </w:t>
      </w:r>
      <w:r w:rsidR="00551A3D" w:rsidRPr="000A0ADE">
        <w:rPr>
          <w:lang w:val="en-GB"/>
        </w:rPr>
        <w:t xml:space="preserve">not </w:t>
      </w:r>
      <w:r w:rsidR="005A0947" w:rsidRPr="000A0ADE">
        <w:rPr>
          <w:lang w:val="en-GB"/>
        </w:rPr>
        <w:t xml:space="preserve">be empowered to </w:t>
      </w:r>
      <w:r w:rsidR="00EF2037" w:rsidRPr="000A0ADE">
        <w:rPr>
          <w:lang w:val="en-GB"/>
        </w:rPr>
        <w:t>hear</w:t>
      </w:r>
      <w:r w:rsidR="005A0947" w:rsidRPr="000A0ADE">
        <w:rPr>
          <w:lang w:val="en-GB"/>
        </w:rPr>
        <w:t xml:space="preserve"> the </w:t>
      </w:r>
      <w:r w:rsidR="00EF2037" w:rsidRPr="000A0ADE">
        <w:rPr>
          <w:lang w:val="en-GB"/>
        </w:rPr>
        <w:t>Part</w:t>
      </w:r>
      <w:r w:rsidR="000A6EC4" w:rsidRPr="000A0ADE">
        <w:rPr>
          <w:lang w:val="en-GB"/>
        </w:rPr>
        <w:t> </w:t>
      </w:r>
      <w:r w:rsidR="00EF2037" w:rsidRPr="000A0ADE">
        <w:rPr>
          <w:lang w:val="en-GB"/>
        </w:rPr>
        <w:t xml:space="preserve">B </w:t>
      </w:r>
      <w:r w:rsidR="005A0947" w:rsidRPr="000A0ADE">
        <w:rPr>
          <w:lang w:val="en-GB"/>
        </w:rPr>
        <w:t xml:space="preserve">review </w:t>
      </w:r>
      <w:r w:rsidR="00EF2037" w:rsidRPr="000A0ADE">
        <w:rPr>
          <w:lang w:val="en-GB"/>
        </w:rPr>
        <w:t>relief in due course</w:t>
      </w:r>
      <w:r w:rsidR="00551A3D" w:rsidRPr="000A0ADE">
        <w:rPr>
          <w:lang w:val="en-GB"/>
        </w:rPr>
        <w:t>.</w:t>
      </w:r>
      <w:r w:rsidR="0078097C" w:rsidRPr="000A0ADE">
        <w:rPr>
          <w:rFonts w:cs="Arial"/>
          <w:lang w:val="en-GB"/>
        </w:rPr>
        <w:t xml:space="preserve">  Further, </w:t>
      </w:r>
      <w:r w:rsidR="0078097C" w:rsidRPr="000A0ADE">
        <w:rPr>
          <w:lang w:val="en-GB"/>
        </w:rPr>
        <w:t>w</w:t>
      </w:r>
      <w:r w:rsidR="00CC0AA3" w:rsidRPr="000A0ADE">
        <w:rPr>
          <w:lang w:val="en-GB"/>
        </w:rPr>
        <w:t xml:space="preserve">here the operative decision has been rendered moot, it is unclear on what basis a review court could </w:t>
      </w:r>
      <w:r w:rsidR="001D6D25" w:rsidRPr="000A0ADE">
        <w:rPr>
          <w:lang w:val="en-GB"/>
        </w:rPr>
        <w:t xml:space="preserve">nonetheless </w:t>
      </w:r>
      <w:r w:rsidR="00CC0AA3" w:rsidRPr="000A0ADE">
        <w:rPr>
          <w:lang w:val="en-GB"/>
        </w:rPr>
        <w:t>entertain a challenge to the underlying decisions of the Committee</w:t>
      </w:r>
      <w:r w:rsidR="00FC7E50" w:rsidRPr="000A0ADE">
        <w:rPr>
          <w:lang w:val="en-GB"/>
        </w:rPr>
        <w:t>.</w:t>
      </w:r>
      <w:r w:rsidR="00FC7E50" w:rsidRPr="000A0ADE">
        <w:rPr>
          <w:rStyle w:val="FootnoteReference"/>
          <w:lang w:val="en-GB"/>
        </w:rPr>
        <w:footnoteReference w:id="15"/>
      </w:r>
    </w:p>
    <w:p w14:paraId="1956EFBE" w14:textId="79839D96" w:rsidR="000C04A8" w:rsidRPr="000A0ADE" w:rsidRDefault="00B94719" w:rsidP="00B94719">
      <w:pPr>
        <w:snapToGrid w:val="0"/>
        <w:spacing w:before="120" w:after="240" w:line="480" w:lineRule="auto"/>
        <w:ind w:hanging="6"/>
        <w:jc w:val="both"/>
        <w:rPr>
          <w:rFonts w:cs="Arial"/>
          <w:lang w:val="en-GB"/>
        </w:rPr>
      </w:pPr>
      <w:r w:rsidRPr="000A0ADE">
        <w:rPr>
          <w:rFonts w:cs="Arial"/>
          <w:lang w:val="en-GB"/>
        </w:rPr>
        <w:lastRenderedPageBreak/>
        <w:t>[52]</w:t>
      </w:r>
      <w:r w:rsidRPr="000A0ADE">
        <w:rPr>
          <w:rFonts w:cs="Arial"/>
          <w:lang w:val="en-GB"/>
        </w:rPr>
        <w:tab/>
      </w:r>
      <w:r w:rsidR="00FB28B7" w:rsidRPr="000A0ADE">
        <w:rPr>
          <w:rFonts w:cs="Arial"/>
          <w:lang w:val="en-GB"/>
        </w:rPr>
        <w:t xml:space="preserve">Thus, </w:t>
      </w:r>
      <w:r w:rsidR="00FB28B7" w:rsidRPr="000A0ADE">
        <w:rPr>
          <w:lang w:val="en-GB"/>
        </w:rPr>
        <w:t xml:space="preserve">the effect of granting an interim interdict suspending the implementation of the sanction would be to render the sanction nugatory for all intents and purposes. </w:t>
      </w:r>
      <w:r w:rsidR="00CB5307" w:rsidRPr="000A0ADE">
        <w:rPr>
          <w:lang w:val="en-GB"/>
        </w:rPr>
        <w:t xml:space="preserve">I am in effect being asked to grant an order that would </w:t>
      </w:r>
      <w:r w:rsidR="005128D4" w:rsidRPr="000A0ADE">
        <w:rPr>
          <w:lang w:val="en-GB"/>
        </w:rPr>
        <w:t>have the effect of</w:t>
      </w:r>
      <w:r w:rsidR="00CB5307" w:rsidRPr="000A0ADE">
        <w:rPr>
          <w:lang w:val="en-GB"/>
        </w:rPr>
        <w:t xml:space="preserve"> set</w:t>
      </w:r>
      <w:r w:rsidR="00F160FA" w:rsidRPr="000A0ADE">
        <w:rPr>
          <w:lang w:val="en-GB"/>
        </w:rPr>
        <w:t>ting</w:t>
      </w:r>
      <w:r w:rsidR="00CB5307" w:rsidRPr="000A0ADE">
        <w:rPr>
          <w:lang w:val="en-GB"/>
        </w:rPr>
        <w:t xml:space="preserve"> aside the sanction imposed by the National Assembly</w:t>
      </w:r>
      <w:r w:rsidR="00F160FA" w:rsidRPr="000A0ADE">
        <w:rPr>
          <w:lang w:val="en-GB"/>
        </w:rPr>
        <w:t>,</w:t>
      </w:r>
      <w:r w:rsidR="00CB5307" w:rsidRPr="000A0ADE">
        <w:rPr>
          <w:lang w:val="en-GB"/>
        </w:rPr>
        <w:t xml:space="preserve"> in circumstances where </w:t>
      </w:r>
      <w:r w:rsidR="00AD0EDA" w:rsidRPr="000A0ADE">
        <w:rPr>
          <w:lang w:val="en-GB"/>
        </w:rPr>
        <w:t xml:space="preserve">I am not </w:t>
      </w:r>
      <w:r w:rsidR="005128D4" w:rsidRPr="000A0ADE">
        <w:rPr>
          <w:lang w:val="en-GB"/>
        </w:rPr>
        <w:t>seized with the review</w:t>
      </w:r>
      <w:r w:rsidR="00AD0EDA" w:rsidRPr="000A0ADE">
        <w:rPr>
          <w:lang w:val="en-GB"/>
        </w:rPr>
        <w:t xml:space="preserve">. </w:t>
      </w:r>
      <w:r w:rsidR="001F1DA3" w:rsidRPr="000A0ADE">
        <w:rPr>
          <w:lang w:val="en-GB"/>
        </w:rPr>
        <w:t xml:space="preserve"> </w:t>
      </w:r>
      <w:r w:rsidR="00E306D5" w:rsidRPr="000A0ADE">
        <w:rPr>
          <w:lang w:val="en-GB"/>
        </w:rPr>
        <w:t xml:space="preserve">There is no basis in law for me to grant such relief. </w:t>
      </w:r>
      <w:r w:rsidR="00E74599" w:rsidRPr="000A0ADE">
        <w:rPr>
          <w:lang w:val="en-GB"/>
        </w:rPr>
        <w:t xml:space="preserve"> </w:t>
      </w:r>
      <w:r w:rsidR="004D5FF1" w:rsidRPr="000A0ADE">
        <w:rPr>
          <w:lang w:val="en-GB"/>
        </w:rPr>
        <w:t>Further, t</w:t>
      </w:r>
      <w:r w:rsidR="008D7620" w:rsidRPr="000A0ADE">
        <w:rPr>
          <w:lang w:val="en-GB"/>
        </w:rPr>
        <w:t xml:space="preserve">he effect of the </w:t>
      </w:r>
      <w:r w:rsidR="00E7252F" w:rsidRPr="000A0ADE">
        <w:rPr>
          <w:lang w:val="en-GB"/>
        </w:rPr>
        <w:t xml:space="preserve">interim </w:t>
      </w:r>
      <w:r w:rsidR="008D7620" w:rsidRPr="000A0ADE">
        <w:rPr>
          <w:lang w:val="en-GB"/>
        </w:rPr>
        <w:t xml:space="preserve">relief sought by the applicant has serious implications for the separation of powers.  </w:t>
      </w:r>
      <w:r w:rsidR="00146ED7" w:rsidRPr="000A0ADE">
        <w:rPr>
          <w:lang w:val="en-GB"/>
        </w:rPr>
        <w:t xml:space="preserve">A </w:t>
      </w:r>
      <w:r w:rsidR="00E7252F" w:rsidRPr="000A0ADE">
        <w:rPr>
          <w:lang w:val="en-GB"/>
        </w:rPr>
        <w:t>C</w:t>
      </w:r>
      <w:r w:rsidR="00146ED7" w:rsidRPr="000A0ADE">
        <w:rPr>
          <w:lang w:val="en-GB"/>
        </w:rPr>
        <w:t>ourt is effectively being asked to grant an order that would undermine and render nugatory a sanction imposed by a</w:t>
      </w:r>
      <w:r w:rsidR="00D226B0" w:rsidRPr="000A0ADE">
        <w:rPr>
          <w:lang w:val="en-GB"/>
        </w:rPr>
        <w:t>nother branch of government exercising its constitutionally mandated oversight powers</w:t>
      </w:r>
      <w:r w:rsidR="00F86C38" w:rsidRPr="000A0ADE">
        <w:rPr>
          <w:lang w:val="en-GB"/>
        </w:rPr>
        <w:t xml:space="preserve">, in the absence of any legal </w:t>
      </w:r>
      <w:r w:rsidR="000C04A8" w:rsidRPr="000A0ADE">
        <w:rPr>
          <w:lang w:val="en-GB"/>
        </w:rPr>
        <w:t>basis</w:t>
      </w:r>
      <w:r w:rsidR="00F86C38" w:rsidRPr="000A0ADE">
        <w:rPr>
          <w:lang w:val="en-GB"/>
        </w:rPr>
        <w:t xml:space="preserve"> for such interference</w:t>
      </w:r>
      <w:r w:rsidR="00746838" w:rsidRPr="000A0ADE">
        <w:rPr>
          <w:lang w:val="en-GB"/>
        </w:rPr>
        <w:t xml:space="preserve">, </w:t>
      </w:r>
      <w:r w:rsidR="000C04A8" w:rsidRPr="000A0ADE">
        <w:rPr>
          <w:lang w:val="en-GB"/>
        </w:rPr>
        <w:t>given that th</w:t>
      </w:r>
      <w:r w:rsidR="004E79B6" w:rsidRPr="000A0ADE">
        <w:rPr>
          <w:lang w:val="en-GB"/>
        </w:rPr>
        <w:t>e</w:t>
      </w:r>
      <w:r w:rsidR="000C04A8" w:rsidRPr="000A0ADE">
        <w:rPr>
          <w:lang w:val="en-GB"/>
        </w:rPr>
        <w:t xml:space="preserve"> Court is not seized with the review application</w:t>
      </w:r>
      <w:r w:rsidR="00F86C38" w:rsidRPr="000A0ADE">
        <w:rPr>
          <w:lang w:val="en-GB"/>
        </w:rPr>
        <w:t xml:space="preserve">.  </w:t>
      </w:r>
    </w:p>
    <w:p w14:paraId="15A6AA75" w14:textId="1A383630" w:rsidR="00306783" w:rsidRPr="000A0ADE" w:rsidRDefault="00B94719" w:rsidP="00B94719">
      <w:pPr>
        <w:snapToGrid w:val="0"/>
        <w:spacing w:before="120" w:after="240" w:line="480" w:lineRule="auto"/>
        <w:ind w:hanging="6"/>
        <w:jc w:val="both"/>
        <w:rPr>
          <w:rFonts w:cs="Arial"/>
          <w:lang w:val="en-GB"/>
        </w:rPr>
      </w:pPr>
      <w:r w:rsidRPr="000A0ADE">
        <w:rPr>
          <w:rFonts w:cs="Arial"/>
          <w:lang w:val="en-GB"/>
        </w:rPr>
        <w:t>[53]</w:t>
      </w:r>
      <w:r w:rsidRPr="000A0ADE">
        <w:rPr>
          <w:rFonts w:cs="Arial"/>
          <w:lang w:val="en-GB"/>
        </w:rPr>
        <w:tab/>
      </w:r>
      <w:r w:rsidR="00347F13" w:rsidRPr="000A0ADE">
        <w:rPr>
          <w:lang w:val="en-GB"/>
        </w:rPr>
        <w:t xml:space="preserve">As pointed out by #UniteBehind, the appropriate course of action would have been for the applicant to </w:t>
      </w:r>
      <w:r w:rsidR="00EF7B1E" w:rsidRPr="000A0ADE">
        <w:rPr>
          <w:lang w:val="en-GB"/>
        </w:rPr>
        <w:t xml:space="preserve">have </w:t>
      </w:r>
      <w:r w:rsidR="00347F13" w:rsidRPr="000A0ADE">
        <w:rPr>
          <w:lang w:val="en-GB"/>
        </w:rPr>
        <w:t>approach</w:t>
      </w:r>
      <w:r w:rsidR="00EF7B1E" w:rsidRPr="000A0ADE">
        <w:rPr>
          <w:lang w:val="en-GB"/>
        </w:rPr>
        <w:t>ed</w:t>
      </w:r>
      <w:r w:rsidR="00347F13" w:rsidRPr="000A0ADE">
        <w:rPr>
          <w:lang w:val="en-GB"/>
        </w:rPr>
        <w:t xml:space="preserve"> this Court on an urgent basis to</w:t>
      </w:r>
      <w:r w:rsidR="00384050" w:rsidRPr="000A0ADE">
        <w:rPr>
          <w:lang w:val="en-GB"/>
        </w:rPr>
        <w:t xml:space="preserve"> </w:t>
      </w:r>
      <w:r w:rsidR="00347F13" w:rsidRPr="000A0ADE">
        <w:rPr>
          <w:lang w:val="en-GB"/>
        </w:rPr>
        <w:t xml:space="preserve">review and </w:t>
      </w:r>
      <w:r w:rsidR="00384050" w:rsidRPr="000A0ADE">
        <w:rPr>
          <w:lang w:val="en-GB"/>
        </w:rPr>
        <w:t xml:space="preserve">set aside </w:t>
      </w:r>
      <w:r w:rsidR="00AB17C7" w:rsidRPr="000A0ADE">
        <w:rPr>
          <w:lang w:val="en-GB"/>
        </w:rPr>
        <w:t>the decisions</w:t>
      </w:r>
      <w:r w:rsidR="00040526">
        <w:rPr>
          <w:lang w:val="en-GB"/>
        </w:rPr>
        <w:t xml:space="preserve"> which she seeks to review in Part B</w:t>
      </w:r>
      <w:r w:rsidR="00347F13" w:rsidRPr="000A0ADE">
        <w:rPr>
          <w:lang w:val="en-GB"/>
        </w:rPr>
        <w:t xml:space="preserve">.  </w:t>
      </w:r>
      <w:r w:rsidR="003A2CE2" w:rsidRPr="000A0ADE">
        <w:rPr>
          <w:lang w:val="en-GB"/>
        </w:rPr>
        <w:t>She chose not to do so and must live with the consequences of her election.</w:t>
      </w:r>
      <w:r w:rsidR="00553F0F" w:rsidRPr="000A0ADE">
        <w:rPr>
          <w:lang w:val="en-GB"/>
        </w:rPr>
        <w:t xml:space="preserve">  </w:t>
      </w:r>
    </w:p>
    <w:p w14:paraId="53A21B6D" w14:textId="6D6A186E" w:rsidR="00CC386A" w:rsidRPr="000A0ADE" w:rsidRDefault="00B94719" w:rsidP="00B94719">
      <w:pPr>
        <w:snapToGrid w:val="0"/>
        <w:spacing w:before="120" w:after="240" w:line="480" w:lineRule="auto"/>
        <w:ind w:hanging="6"/>
        <w:jc w:val="both"/>
        <w:rPr>
          <w:rFonts w:cs="Arial"/>
          <w:lang w:val="en-GB"/>
        </w:rPr>
      </w:pPr>
      <w:r w:rsidRPr="000A0ADE">
        <w:rPr>
          <w:rFonts w:cs="Arial"/>
          <w:lang w:val="en-GB"/>
        </w:rPr>
        <w:t>[54]</w:t>
      </w:r>
      <w:r w:rsidRPr="000A0ADE">
        <w:rPr>
          <w:rFonts w:cs="Arial"/>
          <w:lang w:val="en-GB"/>
        </w:rPr>
        <w:tab/>
      </w:r>
      <w:r w:rsidR="00D41532" w:rsidRPr="000A0ADE">
        <w:rPr>
          <w:rFonts w:cs="Arial"/>
          <w:lang w:val="en-GB"/>
        </w:rPr>
        <w:t>W</w:t>
      </w:r>
      <w:r w:rsidR="00455B0E" w:rsidRPr="000A0ADE">
        <w:rPr>
          <w:rFonts w:cs="Arial"/>
          <w:lang w:val="en-GB"/>
        </w:rPr>
        <w:t xml:space="preserve">here matters are not urgent, </w:t>
      </w:r>
      <w:r w:rsidR="00D41532" w:rsidRPr="000A0ADE">
        <w:rPr>
          <w:rFonts w:cs="Arial"/>
          <w:lang w:val="en-GB"/>
        </w:rPr>
        <w:t>t</w:t>
      </w:r>
      <w:r w:rsidR="00455B0E" w:rsidRPr="000A0ADE">
        <w:rPr>
          <w:lang w:val="en-GB"/>
        </w:rPr>
        <w:t>he appropriate order is generally to strike the application from the roll</w:t>
      </w:r>
      <w:r w:rsidR="00D41532" w:rsidRPr="000A0ADE">
        <w:rPr>
          <w:lang w:val="en-GB"/>
        </w:rPr>
        <w:t xml:space="preserve"> as</w:t>
      </w:r>
      <w:r w:rsidR="00FC01C9" w:rsidRPr="000A0ADE">
        <w:rPr>
          <w:lang w:val="en-GB"/>
        </w:rPr>
        <w:t xml:space="preserve"> this </w:t>
      </w:r>
      <w:r w:rsidR="00455B0E" w:rsidRPr="000A0ADE">
        <w:rPr>
          <w:lang w:val="en-GB"/>
        </w:rPr>
        <w:t>enables the applicant to set the matter down again, on proper notice and compliance</w:t>
      </w:r>
      <w:r w:rsidR="00EC4ECF" w:rsidRPr="000A0ADE">
        <w:rPr>
          <w:lang w:val="en-GB"/>
        </w:rPr>
        <w:t>.</w:t>
      </w:r>
      <w:r w:rsidR="00FC01C9" w:rsidRPr="000A0ADE">
        <w:rPr>
          <w:rStyle w:val="FootnoteReference"/>
          <w:lang w:val="en-GB"/>
        </w:rPr>
        <w:footnoteReference w:id="16"/>
      </w:r>
      <w:r w:rsidR="00FC01C9" w:rsidRPr="000A0ADE">
        <w:rPr>
          <w:lang w:val="en-GB"/>
        </w:rPr>
        <w:t xml:space="preserve"> </w:t>
      </w:r>
      <w:r w:rsidR="00EC4ECF" w:rsidRPr="000A0ADE">
        <w:rPr>
          <w:lang w:val="en-GB"/>
        </w:rPr>
        <w:t xml:space="preserve"> H</w:t>
      </w:r>
      <w:r w:rsidR="00FC01C9" w:rsidRPr="000A0ADE">
        <w:rPr>
          <w:lang w:val="en-GB"/>
        </w:rPr>
        <w:t xml:space="preserve">owever, </w:t>
      </w:r>
      <w:r w:rsidR="00306783" w:rsidRPr="000A0ADE">
        <w:rPr>
          <w:lang w:val="en-GB"/>
        </w:rPr>
        <w:t>for the reasons</w:t>
      </w:r>
      <w:r w:rsidR="00D36305" w:rsidRPr="000A0ADE">
        <w:rPr>
          <w:lang w:val="en-GB"/>
        </w:rPr>
        <w:t xml:space="preserve"> already</w:t>
      </w:r>
      <w:r w:rsidR="00306783" w:rsidRPr="000A0ADE">
        <w:rPr>
          <w:lang w:val="en-GB"/>
        </w:rPr>
        <w:t xml:space="preserve"> </w:t>
      </w:r>
      <w:r w:rsidR="00D36305" w:rsidRPr="000A0ADE">
        <w:rPr>
          <w:lang w:val="en-GB"/>
        </w:rPr>
        <w:t>addressed</w:t>
      </w:r>
      <w:r w:rsidR="00306783" w:rsidRPr="000A0ADE">
        <w:rPr>
          <w:lang w:val="en-GB"/>
        </w:rPr>
        <w:t xml:space="preserve">, </w:t>
      </w:r>
      <w:r w:rsidR="00D36305" w:rsidRPr="000A0ADE">
        <w:rPr>
          <w:lang w:val="en-GB"/>
        </w:rPr>
        <w:t>the</w:t>
      </w:r>
      <w:r w:rsidR="00306783" w:rsidRPr="000A0ADE">
        <w:rPr>
          <w:lang w:val="en-GB"/>
        </w:rPr>
        <w:t xml:space="preserve"> effect</w:t>
      </w:r>
      <w:r w:rsidR="00D36305" w:rsidRPr="000A0ADE">
        <w:rPr>
          <w:lang w:val="en-GB"/>
        </w:rPr>
        <w:t xml:space="preserve"> of</w:t>
      </w:r>
      <w:r w:rsidR="00306783" w:rsidRPr="000A0ADE">
        <w:rPr>
          <w:lang w:val="en-GB"/>
        </w:rPr>
        <w:t xml:space="preserve"> the applicant’s delay in instituting these proceedings </w:t>
      </w:r>
      <w:r w:rsidR="00D36305" w:rsidRPr="000A0ADE">
        <w:rPr>
          <w:lang w:val="en-GB"/>
        </w:rPr>
        <w:t>is</w:t>
      </w:r>
      <w:r w:rsidR="00306783" w:rsidRPr="000A0ADE">
        <w:rPr>
          <w:lang w:val="en-GB"/>
        </w:rPr>
        <w:t xml:space="preserve"> that by time the review is heard in due course, the review relief will </w:t>
      </w:r>
      <w:r w:rsidR="00D36305" w:rsidRPr="000A0ADE">
        <w:rPr>
          <w:lang w:val="en-GB"/>
        </w:rPr>
        <w:t xml:space="preserve">have been </w:t>
      </w:r>
      <w:r w:rsidR="00306783" w:rsidRPr="000A0ADE">
        <w:rPr>
          <w:lang w:val="en-GB"/>
        </w:rPr>
        <w:t xml:space="preserve">rendered moot.  </w:t>
      </w:r>
      <w:r w:rsidR="009E7904" w:rsidRPr="000A0ADE">
        <w:rPr>
          <w:lang w:val="en-GB"/>
        </w:rPr>
        <w:t xml:space="preserve">Given that </w:t>
      </w:r>
      <w:r w:rsidR="00CC386A" w:rsidRPr="000A0ADE">
        <w:rPr>
          <w:lang w:val="en-GB"/>
        </w:rPr>
        <w:t xml:space="preserve">the review court would not </w:t>
      </w:r>
      <w:r w:rsidR="001B2E0F" w:rsidRPr="000A0ADE">
        <w:rPr>
          <w:lang w:val="en-GB"/>
        </w:rPr>
        <w:t>be empowered to</w:t>
      </w:r>
      <w:r w:rsidR="00EC4ECF" w:rsidRPr="000A0ADE">
        <w:rPr>
          <w:lang w:val="en-GB"/>
        </w:rPr>
        <w:t xml:space="preserve"> decide</w:t>
      </w:r>
      <w:r w:rsidR="001B2E0F" w:rsidRPr="000A0ADE">
        <w:rPr>
          <w:lang w:val="en-GB"/>
        </w:rPr>
        <w:t xml:space="preserve"> the Part B review relief</w:t>
      </w:r>
      <w:r w:rsidR="00D36305" w:rsidRPr="000A0ADE">
        <w:rPr>
          <w:lang w:val="en-GB"/>
        </w:rPr>
        <w:t xml:space="preserve"> </w:t>
      </w:r>
      <w:r w:rsidR="00EC4ECF" w:rsidRPr="000A0ADE">
        <w:rPr>
          <w:lang w:val="en-GB"/>
        </w:rPr>
        <w:t>notwithstanding that it has become moot</w:t>
      </w:r>
      <w:r w:rsidR="001B2E0F" w:rsidRPr="000A0ADE">
        <w:rPr>
          <w:lang w:val="en-GB"/>
        </w:rPr>
        <w:t xml:space="preserve">, </w:t>
      </w:r>
      <w:r w:rsidR="0040747E" w:rsidRPr="000A0ADE">
        <w:rPr>
          <w:lang w:val="en-GB"/>
        </w:rPr>
        <w:t xml:space="preserve">no purpose would be served in striking the </w:t>
      </w:r>
      <w:r w:rsidR="0040747E" w:rsidRPr="000A0ADE">
        <w:rPr>
          <w:lang w:val="en-GB"/>
        </w:rPr>
        <w:lastRenderedPageBreak/>
        <w:t xml:space="preserve">matter from the roll and, in the circumstances of this matter </w:t>
      </w:r>
      <w:r w:rsidR="00306783" w:rsidRPr="000A0ADE">
        <w:rPr>
          <w:lang w:val="en-GB"/>
        </w:rPr>
        <w:t xml:space="preserve">the appropriate order </w:t>
      </w:r>
      <w:r w:rsidR="00980AC2" w:rsidRPr="000A0ADE">
        <w:rPr>
          <w:lang w:val="en-GB"/>
        </w:rPr>
        <w:t>is to dismiss the application in its entirety</w:t>
      </w:r>
      <w:r w:rsidR="001B2E0F" w:rsidRPr="000A0ADE">
        <w:rPr>
          <w:lang w:val="en-GB"/>
        </w:rPr>
        <w:t>.</w:t>
      </w:r>
    </w:p>
    <w:p w14:paraId="4A9F26EF" w14:textId="4797C0EF" w:rsidR="00952FF1" w:rsidRPr="000A0ADE" w:rsidRDefault="00B94719" w:rsidP="00B94719">
      <w:pPr>
        <w:snapToGrid w:val="0"/>
        <w:spacing w:before="120" w:after="240" w:line="480" w:lineRule="auto"/>
        <w:ind w:hanging="6"/>
        <w:jc w:val="both"/>
        <w:rPr>
          <w:rFonts w:cs="Arial"/>
          <w:lang w:val="en-GB"/>
        </w:rPr>
      </w:pPr>
      <w:r w:rsidRPr="000A0ADE">
        <w:rPr>
          <w:rFonts w:cs="Arial"/>
          <w:lang w:val="en-GB"/>
        </w:rPr>
        <w:t>[55]</w:t>
      </w:r>
      <w:r w:rsidRPr="000A0ADE">
        <w:rPr>
          <w:rFonts w:cs="Arial"/>
          <w:lang w:val="en-GB"/>
        </w:rPr>
        <w:tab/>
      </w:r>
      <w:r w:rsidR="001B2E0F" w:rsidRPr="000A0ADE">
        <w:rPr>
          <w:lang w:val="en-GB"/>
        </w:rPr>
        <w:t>As to costs, t</w:t>
      </w:r>
      <w:r w:rsidR="004A392F" w:rsidRPr="000A0ADE">
        <w:rPr>
          <w:lang w:val="en-GB"/>
        </w:rPr>
        <w:t xml:space="preserve">here is no reason why costs ought not to follow the result.  Ms Samkange for the Speaker submitted that this </w:t>
      </w:r>
      <w:r w:rsidR="008F33B4" w:rsidRPr="000A0ADE">
        <w:rPr>
          <w:lang w:val="en-GB"/>
        </w:rPr>
        <w:t>i</w:t>
      </w:r>
      <w:r w:rsidR="004A392F" w:rsidRPr="000A0ADE">
        <w:rPr>
          <w:lang w:val="en-GB"/>
        </w:rPr>
        <w:t>s a matter which warrant</w:t>
      </w:r>
      <w:r w:rsidR="008F33B4" w:rsidRPr="000A0ADE">
        <w:rPr>
          <w:lang w:val="en-GB"/>
        </w:rPr>
        <w:t>s</w:t>
      </w:r>
      <w:r w:rsidR="004A392F" w:rsidRPr="000A0ADE">
        <w:rPr>
          <w:lang w:val="en-GB"/>
        </w:rPr>
        <w:t xml:space="preserve"> the attention of two counsel</w:t>
      </w:r>
      <w:r w:rsidR="005057C0" w:rsidRPr="000A0ADE">
        <w:rPr>
          <w:lang w:val="en-GB"/>
        </w:rPr>
        <w:t xml:space="preserve">.  She further submitted that senior counsel had been briefed and had been involved in the preparation of the Speaker’s papers, but due to the urgency of the matter was unable to </w:t>
      </w:r>
      <w:r w:rsidR="00055342" w:rsidRPr="000A0ADE">
        <w:rPr>
          <w:lang w:val="en-GB"/>
        </w:rPr>
        <w:t xml:space="preserve">appear at the hearing.  </w:t>
      </w:r>
      <w:r w:rsidR="00055342" w:rsidRPr="000A0ADE">
        <w:rPr>
          <w:rFonts w:cs="Arial"/>
          <w:color w:val="000000"/>
          <w:lang w:val="en-GB"/>
        </w:rPr>
        <w:t xml:space="preserve">In view of the complexity of the matter and the importance of the issues, I am satisfied that the costs of two counsel </w:t>
      </w:r>
      <w:r w:rsidR="00E11ED0" w:rsidRPr="000A0ADE">
        <w:rPr>
          <w:rFonts w:cs="Arial"/>
          <w:color w:val="000000"/>
          <w:lang w:val="en-GB"/>
        </w:rPr>
        <w:t>is</w:t>
      </w:r>
      <w:r w:rsidR="00055342" w:rsidRPr="000A0ADE">
        <w:rPr>
          <w:rFonts w:cs="Arial"/>
          <w:color w:val="000000"/>
          <w:lang w:val="en-GB"/>
        </w:rPr>
        <w:t xml:space="preserve"> warranted.  </w:t>
      </w:r>
    </w:p>
    <w:p w14:paraId="025025F2" w14:textId="77777777" w:rsidR="00E11ED0" w:rsidRPr="000A0ADE" w:rsidRDefault="00E11ED0" w:rsidP="00E11ED0">
      <w:pPr>
        <w:snapToGrid w:val="0"/>
        <w:spacing w:before="120" w:after="240" w:line="480" w:lineRule="auto"/>
        <w:jc w:val="both"/>
        <w:rPr>
          <w:rFonts w:cs="Arial"/>
          <w:lang w:val="en-GB"/>
        </w:rPr>
      </w:pPr>
    </w:p>
    <w:p w14:paraId="5AA29C7F" w14:textId="79CC72EA" w:rsidR="00412683" w:rsidRPr="000A0ADE" w:rsidRDefault="00412683" w:rsidP="003C2ACA">
      <w:pPr>
        <w:snapToGrid w:val="0"/>
        <w:spacing w:before="120" w:after="240" w:line="480" w:lineRule="auto"/>
        <w:jc w:val="both"/>
        <w:rPr>
          <w:rFonts w:cs="Arial"/>
          <w:b/>
          <w:bCs/>
          <w:lang w:val="en-GB"/>
        </w:rPr>
      </w:pPr>
      <w:r w:rsidRPr="000A0ADE">
        <w:rPr>
          <w:rFonts w:cs="Arial"/>
          <w:b/>
          <w:bCs/>
          <w:lang w:val="en-GB"/>
        </w:rPr>
        <w:t>In the result I make the following order:</w:t>
      </w:r>
    </w:p>
    <w:p w14:paraId="2B5AAC2C" w14:textId="26A94A65" w:rsidR="00412683" w:rsidRPr="00B94719" w:rsidRDefault="00B94719" w:rsidP="00B94719">
      <w:pPr>
        <w:snapToGrid w:val="0"/>
        <w:spacing w:before="120" w:after="240" w:line="480" w:lineRule="auto"/>
        <w:ind w:left="360" w:hanging="360"/>
        <w:jc w:val="both"/>
        <w:rPr>
          <w:rFonts w:cs="Arial"/>
          <w:lang w:val="en-GB"/>
        </w:rPr>
      </w:pPr>
      <w:r w:rsidRPr="000A0ADE">
        <w:rPr>
          <w:rFonts w:cs="Arial"/>
          <w:lang w:val="en-GB"/>
        </w:rPr>
        <w:t>1.</w:t>
      </w:r>
      <w:r w:rsidRPr="000A0ADE">
        <w:rPr>
          <w:rFonts w:cs="Arial"/>
          <w:lang w:val="en-GB"/>
        </w:rPr>
        <w:tab/>
      </w:r>
      <w:r w:rsidR="00412683" w:rsidRPr="00B94719">
        <w:rPr>
          <w:rFonts w:cs="Arial"/>
          <w:lang w:val="en-GB"/>
        </w:rPr>
        <w:t xml:space="preserve">The application is </w:t>
      </w:r>
      <w:r w:rsidR="009E7904" w:rsidRPr="00B94719">
        <w:rPr>
          <w:rFonts w:cs="Arial"/>
          <w:lang w:val="en-GB"/>
        </w:rPr>
        <w:t>dismissed</w:t>
      </w:r>
      <w:r w:rsidR="00412683" w:rsidRPr="00B94719">
        <w:rPr>
          <w:rFonts w:cs="Arial"/>
          <w:lang w:val="en-GB"/>
        </w:rPr>
        <w:t>.</w:t>
      </w:r>
    </w:p>
    <w:p w14:paraId="1774B761" w14:textId="1A1B7DA0" w:rsidR="00D660F2" w:rsidRPr="00B94719" w:rsidRDefault="00B94719" w:rsidP="00B94719">
      <w:pPr>
        <w:snapToGrid w:val="0"/>
        <w:spacing w:before="120" w:after="240" w:line="480" w:lineRule="auto"/>
        <w:ind w:left="360" w:hanging="360"/>
        <w:jc w:val="both"/>
        <w:rPr>
          <w:rFonts w:cs="Arial"/>
          <w:lang w:val="en-GB"/>
        </w:rPr>
      </w:pPr>
      <w:r w:rsidRPr="000A0ADE">
        <w:rPr>
          <w:rFonts w:cs="Arial"/>
          <w:lang w:val="en-GB"/>
        </w:rPr>
        <w:t>2.</w:t>
      </w:r>
      <w:r w:rsidRPr="000A0ADE">
        <w:rPr>
          <w:rFonts w:cs="Arial"/>
          <w:lang w:val="en-GB"/>
        </w:rPr>
        <w:tab/>
      </w:r>
      <w:r w:rsidR="00412683" w:rsidRPr="00B94719">
        <w:rPr>
          <w:rFonts w:cs="Arial"/>
          <w:lang w:val="en-GB"/>
        </w:rPr>
        <w:t xml:space="preserve">The applicant is to pay the costs of the </w:t>
      </w:r>
      <w:r w:rsidR="00495444" w:rsidRPr="00B94719">
        <w:rPr>
          <w:rFonts w:cs="Arial"/>
          <w:lang w:val="en-GB"/>
        </w:rPr>
        <w:t xml:space="preserve">first to fourth </w:t>
      </w:r>
      <w:r w:rsidR="00952FF1" w:rsidRPr="00B94719">
        <w:rPr>
          <w:rFonts w:cs="Arial"/>
          <w:lang w:val="en-GB"/>
        </w:rPr>
        <w:t xml:space="preserve">and sixth to eighth respondents, </w:t>
      </w:r>
      <w:r w:rsidR="00F03BBC" w:rsidRPr="00B94719">
        <w:rPr>
          <w:rFonts w:cs="Arial"/>
          <w:lang w:val="en-GB"/>
        </w:rPr>
        <w:t>such costs to include the costs of two counsel where so employed, on a party and party scale.</w:t>
      </w:r>
    </w:p>
    <w:sectPr w:rsidR="00D660F2" w:rsidRPr="00B94719" w:rsidSect="0025220D">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D25C" w14:textId="77777777" w:rsidR="00F364EE" w:rsidRDefault="00F364EE" w:rsidP="0054355B">
      <w:r>
        <w:separator/>
      </w:r>
    </w:p>
  </w:endnote>
  <w:endnote w:type="continuationSeparator" w:id="0">
    <w:p w14:paraId="197EB198" w14:textId="77777777" w:rsidR="00F364EE" w:rsidRDefault="00F364EE" w:rsidP="0054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Headings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70A3" w14:textId="77777777" w:rsidR="00F364EE" w:rsidRDefault="00F364EE" w:rsidP="0054355B">
      <w:r>
        <w:separator/>
      </w:r>
    </w:p>
  </w:footnote>
  <w:footnote w:type="continuationSeparator" w:id="0">
    <w:p w14:paraId="272DAF21" w14:textId="77777777" w:rsidR="00F364EE" w:rsidRDefault="00F364EE" w:rsidP="0054355B">
      <w:r>
        <w:continuationSeparator/>
      </w:r>
    </w:p>
  </w:footnote>
  <w:footnote w:id="1">
    <w:p w14:paraId="7B5BEFB3" w14:textId="2A5F0AB2" w:rsidR="009C1949" w:rsidRPr="00D23BE8" w:rsidRDefault="009C1949" w:rsidP="00FC77FA">
      <w:pPr>
        <w:pStyle w:val="FootnoteText"/>
        <w:spacing w:before="120" w:after="120"/>
        <w:ind w:left="284" w:hanging="284"/>
        <w:jc w:val="both"/>
        <w:rPr>
          <w:rFonts w:cs="Arial"/>
          <w:lang w:val="en-US"/>
        </w:rPr>
      </w:pPr>
      <w:r w:rsidRPr="00D23BE8">
        <w:rPr>
          <w:rStyle w:val="FootnoteReference"/>
          <w:rFonts w:cs="Arial"/>
        </w:rPr>
        <w:footnoteRef/>
      </w:r>
      <w:r w:rsidRPr="00D23BE8">
        <w:rPr>
          <w:rFonts w:cs="Arial"/>
        </w:rPr>
        <w:t xml:space="preserve"> </w:t>
      </w:r>
      <w:r w:rsidRPr="00D23BE8">
        <w:rPr>
          <w:rFonts w:cs="Arial"/>
          <w:lang w:val="en-US"/>
        </w:rPr>
        <w:tab/>
        <w:t xml:space="preserve">For convenience I refer to the sixth to eighth respondents collectively as </w:t>
      </w:r>
      <w:r w:rsidRPr="00D23BE8">
        <w:rPr>
          <w:rFonts w:cs="Arial"/>
          <w:i/>
          <w:iCs/>
          <w:lang w:val="en-US"/>
        </w:rPr>
        <w:t>‘#UniteBehind’</w:t>
      </w:r>
      <w:r w:rsidRPr="00D23BE8">
        <w:rPr>
          <w:rFonts w:cs="Arial"/>
          <w:lang w:val="en-US"/>
        </w:rPr>
        <w:t>.</w:t>
      </w:r>
    </w:p>
  </w:footnote>
  <w:footnote w:id="2">
    <w:p w14:paraId="14EDB33C" w14:textId="0EB247EF" w:rsidR="000620EE" w:rsidRPr="00D23BE8" w:rsidRDefault="000620EE" w:rsidP="00FC77FA">
      <w:pPr>
        <w:pStyle w:val="FootnoteText"/>
        <w:spacing w:before="120" w:after="120"/>
        <w:ind w:left="284" w:hanging="284"/>
        <w:jc w:val="both"/>
        <w:rPr>
          <w:rFonts w:cs="Arial"/>
          <w:lang w:val="en-US"/>
        </w:rPr>
      </w:pPr>
      <w:r w:rsidRPr="00D23BE8">
        <w:rPr>
          <w:rStyle w:val="FootnoteReference"/>
          <w:rFonts w:cs="Arial"/>
        </w:rPr>
        <w:footnoteRef/>
      </w:r>
      <w:r w:rsidRPr="00D23BE8">
        <w:rPr>
          <w:rFonts w:cs="Arial"/>
        </w:rPr>
        <w:t xml:space="preserve"> </w:t>
      </w:r>
      <w:r w:rsidRPr="00D23BE8">
        <w:rPr>
          <w:rFonts w:cs="Arial"/>
          <w:lang w:val="en-US"/>
        </w:rPr>
        <w:tab/>
      </w:r>
      <w:r w:rsidRPr="00D23BE8">
        <w:rPr>
          <w:rFonts w:cs="Arial"/>
          <w:i/>
        </w:rPr>
        <w:t>Commissioner for South African Revenue Service v Hawker Air Services (Pty) Ltd; Commissioner for South African Revenue Service v Hawker Aviation Services Partnership and Others</w:t>
      </w:r>
      <w:r w:rsidRPr="00D23BE8">
        <w:rPr>
          <w:rFonts w:cs="Arial"/>
        </w:rPr>
        <w:t xml:space="preserve"> 2006 (4) SA 292 (SCA) at para [9].</w:t>
      </w:r>
    </w:p>
  </w:footnote>
  <w:footnote w:id="3">
    <w:p w14:paraId="7E01B8A5" w14:textId="5102C0B1" w:rsidR="000620EE" w:rsidRPr="00D23BE8" w:rsidRDefault="000620EE" w:rsidP="00FC77FA">
      <w:pPr>
        <w:pStyle w:val="FootnoteText"/>
        <w:spacing w:before="120" w:after="120"/>
        <w:ind w:left="284" w:hanging="284"/>
        <w:jc w:val="both"/>
        <w:rPr>
          <w:rFonts w:cs="Arial"/>
          <w:lang w:val="en-US"/>
        </w:rPr>
      </w:pPr>
      <w:r w:rsidRPr="00D23BE8">
        <w:rPr>
          <w:rStyle w:val="FootnoteReference"/>
          <w:rFonts w:cs="Arial"/>
        </w:rPr>
        <w:footnoteRef/>
      </w:r>
      <w:r w:rsidRPr="00D23BE8">
        <w:rPr>
          <w:rFonts w:cs="Arial"/>
        </w:rPr>
        <w:t xml:space="preserve"> </w:t>
      </w:r>
      <w:r w:rsidRPr="00D23BE8">
        <w:rPr>
          <w:rFonts w:cs="Arial"/>
          <w:lang w:val="en-US"/>
        </w:rPr>
        <w:tab/>
      </w:r>
      <w:r w:rsidR="00287ABB" w:rsidRPr="00D23BE8">
        <w:rPr>
          <w:rFonts w:cs="Arial"/>
          <w:i/>
        </w:rPr>
        <w:t>Id</w:t>
      </w:r>
      <w:r w:rsidRPr="00D23BE8">
        <w:rPr>
          <w:rFonts w:cs="Arial"/>
        </w:rPr>
        <w:t>.</w:t>
      </w:r>
    </w:p>
  </w:footnote>
  <w:footnote w:id="4">
    <w:p w14:paraId="0E85EC67" w14:textId="3C1F269D" w:rsidR="00F53328" w:rsidRPr="00D23BE8" w:rsidRDefault="00F53328" w:rsidP="00FC77FA">
      <w:pPr>
        <w:pStyle w:val="FootnoteText"/>
        <w:snapToGrid w:val="0"/>
        <w:spacing w:before="120" w:after="120"/>
        <w:ind w:left="284" w:hanging="284"/>
        <w:jc w:val="both"/>
        <w:rPr>
          <w:rFonts w:cs="Arial"/>
        </w:rPr>
      </w:pPr>
      <w:r w:rsidRPr="00D23BE8">
        <w:rPr>
          <w:rStyle w:val="FootnoteReference"/>
          <w:rFonts w:cs="Arial"/>
          <w:color w:val="000000"/>
        </w:rPr>
        <w:footnoteRef/>
      </w:r>
      <w:r w:rsidRPr="00D23BE8">
        <w:rPr>
          <w:rFonts w:cs="Arial"/>
          <w:color w:val="000000"/>
        </w:rPr>
        <w:t xml:space="preserve"> </w:t>
      </w:r>
      <w:r w:rsidRPr="00D23BE8">
        <w:rPr>
          <w:rFonts w:cs="Arial"/>
          <w:color w:val="000000"/>
        </w:rPr>
        <w:tab/>
      </w:r>
      <w:r w:rsidRPr="00D23BE8">
        <w:rPr>
          <w:rFonts w:cs="Arial"/>
          <w:i/>
          <w:color w:val="000000"/>
          <w:lang w:val="en-US"/>
        </w:rPr>
        <w:t>East Rock Trading 7 (Pty) Ltd v Eagle Valley Granite (Pty) Ltd</w:t>
      </w:r>
      <w:r w:rsidRPr="00D23BE8">
        <w:rPr>
          <w:rFonts w:cs="Arial"/>
          <w:color w:val="000000"/>
          <w:lang w:val="en-US"/>
        </w:rPr>
        <w:t xml:space="preserve"> [2012] JOL 28244 (GSJ) at para </w:t>
      </w:r>
      <w:r w:rsidR="007C4475" w:rsidRPr="00D23BE8">
        <w:rPr>
          <w:rFonts w:cs="Arial"/>
          <w:color w:val="000000"/>
          <w:lang w:val="en-US"/>
        </w:rPr>
        <w:t>[</w:t>
      </w:r>
      <w:r w:rsidRPr="00D23BE8">
        <w:rPr>
          <w:rFonts w:cs="Arial"/>
          <w:color w:val="000000"/>
          <w:lang w:val="en-US"/>
        </w:rPr>
        <w:t>7</w:t>
      </w:r>
      <w:r w:rsidR="007C4475" w:rsidRPr="00D23BE8">
        <w:rPr>
          <w:rFonts w:cs="Arial"/>
          <w:color w:val="000000"/>
          <w:lang w:val="en-US"/>
        </w:rPr>
        <w:t>]</w:t>
      </w:r>
      <w:r w:rsidRPr="00D23BE8">
        <w:rPr>
          <w:rFonts w:cs="Arial"/>
          <w:color w:val="000000"/>
          <w:lang w:val="en-US"/>
        </w:rPr>
        <w:t>.</w:t>
      </w:r>
    </w:p>
  </w:footnote>
  <w:footnote w:id="5">
    <w:p w14:paraId="42CAEB2F" w14:textId="6108D134" w:rsidR="00F53328" w:rsidRPr="00D23BE8" w:rsidRDefault="00F53328" w:rsidP="00FC77FA">
      <w:pPr>
        <w:pStyle w:val="FootnoteText"/>
        <w:snapToGrid w:val="0"/>
        <w:spacing w:before="120" w:after="120"/>
        <w:ind w:left="284" w:hanging="284"/>
        <w:jc w:val="both"/>
        <w:rPr>
          <w:rFonts w:cs="Arial"/>
        </w:rPr>
      </w:pPr>
      <w:r w:rsidRPr="00D23BE8">
        <w:rPr>
          <w:rStyle w:val="FootnoteReference"/>
          <w:rFonts w:cs="Arial"/>
          <w:color w:val="000000"/>
        </w:rPr>
        <w:footnoteRef/>
      </w:r>
      <w:r w:rsidRPr="00D23BE8">
        <w:rPr>
          <w:rFonts w:cs="Arial"/>
          <w:color w:val="000000"/>
        </w:rPr>
        <w:t xml:space="preserve"> </w:t>
      </w:r>
      <w:r w:rsidRPr="00D23BE8">
        <w:rPr>
          <w:rFonts w:cs="Arial"/>
          <w:color w:val="000000"/>
        </w:rPr>
        <w:tab/>
      </w:r>
      <w:r w:rsidRPr="00D23BE8">
        <w:rPr>
          <w:rFonts w:cs="Arial"/>
          <w:i/>
          <w:color w:val="000000"/>
        </w:rPr>
        <w:t>Collins t/a Waterkloof Farm v Bernickow NO and Another</w:t>
      </w:r>
      <w:r w:rsidRPr="00D23BE8">
        <w:rPr>
          <w:rFonts w:cs="Arial"/>
          <w:color w:val="000000"/>
        </w:rPr>
        <w:t xml:space="preserve"> [2001] ZALC 223</w:t>
      </w:r>
      <w:r w:rsidR="00322EFE" w:rsidRPr="00D23BE8">
        <w:rPr>
          <w:rFonts w:cs="Arial"/>
          <w:color w:val="000000"/>
        </w:rPr>
        <w:t xml:space="preserve"> at para [8] and [9].</w:t>
      </w:r>
    </w:p>
  </w:footnote>
  <w:footnote w:id="6">
    <w:p w14:paraId="111C6691" w14:textId="18EFD0C2" w:rsidR="00F83975" w:rsidRPr="00D23BE8" w:rsidRDefault="00F83975" w:rsidP="00FC77FA">
      <w:pPr>
        <w:pStyle w:val="FootnoteText"/>
        <w:spacing w:before="120" w:after="120"/>
        <w:ind w:left="284" w:hanging="284"/>
        <w:jc w:val="both"/>
        <w:rPr>
          <w:rFonts w:cs="Arial"/>
        </w:rPr>
      </w:pPr>
      <w:r w:rsidRPr="00D23BE8">
        <w:rPr>
          <w:rStyle w:val="FootnoteReference"/>
          <w:rFonts w:cs="Arial"/>
        </w:rPr>
        <w:footnoteRef/>
      </w:r>
      <w:r w:rsidRPr="00D23BE8">
        <w:rPr>
          <w:rFonts w:cs="Arial"/>
        </w:rPr>
        <w:t xml:space="preserve"> </w:t>
      </w:r>
      <w:r w:rsidRPr="00D23BE8">
        <w:rPr>
          <w:rFonts w:cs="Arial"/>
        </w:rPr>
        <w:tab/>
      </w:r>
      <w:r w:rsidRPr="00D23BE8">
        <w:rPr>
          <w:rFonts w:cs="Arial"/>
          <w:i/>
        </w:rPr>
        <w:t>Juta &amp; Co. Limited v Legal &amp; Financial Publishing Co, Limited</w:t>
      </w:r>
      <w:r w:rsidRPr="00D23BE8">
        <w:rPr>
          <w:rFonts w:cs="Arial"/>
        </w:rPr>
        <w:t xml:space="preserve"> 1969 (4) SA 443 (C) at 445E-F.</w:t>
      </w:r>
    </w:p>
  </w:footnote>
  <w:footnote w:id="7">
    <w:p w14:paraId="179711B8" w14:textId="43287280" w:rsidR="00F53328" w:rsidRPr="00D23BE8" w:rsidRDefault="00F53328" w:rsidP="00FC77FA">
      <w:pPr>
        <w:pStyle w:val="FootnoteText"/>
        <w:spacing w:before="120" w:after="120"/>
        <w:ind w:left="284" w:hanging="284"/>
        <w:jc w:val="both"/>
        <w:rPr>
          <w:rFonts w:cs="Arial"/>
        </w:rPr>
      </w:pPr>
      <w:r w:rsidRPr="00D23BE8">
        <w:rPr>
          <w:rStyle w:val="FootnoteReference"/>
          <w:rFonts w:cs="Arial"/>
        </w:rPr>
        <w:footnoteRef/>
      </w:r>
      <w:r w:rsidRPr="00D23BE8">
        <w:rPr>
          <w:rFonts w:cs="Arial"/>
        </w:rPr>
        <w:t xml:space="preserve"> </w:t>
      </w:r>
      <w:r w:rsidRPr="00D23BE8">
        <w:rPr>
          <w:rFonts w:cs="Arial"/>
        </w:rPr>
        <w:tab/>
      </w:r>
      <w:r w:rsidR="00287ABB" w:rsidRPr="00D23BE8">
        <w:rPr>
          <w:rFonts w:cs="Arial"/>
          <w:i/>
        </w:rPr>
        <w:t>Id</w:t>
      </w:r>
      <w:r w:rsidR="008921E0" w:rsidRPr="00D23BE8">
        <w:rPr>
          <w:rFonts w:cs="Arial"/>
        </w:rPr>
        <w:t xml:space="preserve"> at 445D-E.</w:t>
      </w:r>
    </w:p>
  </w:footnote>
  <w:footnote w:id="8">
    <w:p w14:paraId="120C8EF5" w14:textId="7BBEE79F" w:rsidR="00EE7A6B" w:rsidRPr="00D23BE8" w:rsidRDefault="00EE7A6B" w:rsidP="00FC77FA">
      <w:pPr>
        <w:pStyle w:val="FootnoteText"/>
        <w:spacing w:before="120" w:after="120"/>
        <w:ind w:left="284" w:hanging="284"/>
        <w:jc w:val="both"/>
        <w:rPr>
          <w:lang w:val="en-US"/>
        </w:rPr>
      </w:pPr>
      <w:r w:rsidRPr="00D23BE8">
        <w:rPr>
          <w:rStyle w:val="FootnoteReference"/>
        </w:rPr>
        <w:footnoteRef/>
      </w:r>
      <w:r w:rsidRPr="00D23BE8">
        <w:t xml:space="preserve"> </w:t>
      </w:r>
      <w:r w:rsidRPr="00D23BE8">
        <w:rPr>
          <w:lang w:val="en-US"/>
        </w:rPr>
        <w:tab/>
      </w:r>
      <w:r w:rsidR="00732549">
        <w:rPr>
          <w:lang w:val="en-US"/>
        </w:rPr>
        <w:t xml:space="preserve">There is a dispute as to when the application was served on the first to </w:t>
      </w:r>
      <w:r w:rsidR="00FC77FA">
        <w:rPr>
          <w:lang w:val="en-US"/>
        </w:rPr>
        <w:t>fourth respondents.  I deal with the dispute in this regard later in the judgment.</w:t>
      </w:r>
    </w:p>
  </w:footnote>
  <w:footnote w:id="9">
    <w:p w14:paraId="0FD3709F" w14:textId="12D74108" w:rsidR="00053DE0" w:rsidRPr="00D23BE8" w:rsidRDefault="00053DE0" w:rsidP="00FC77FA">
      <w:pPr>
        <w:pStyle w:val="FootnoteText"/>
        <w:spacing w:before="120" w:after="120"/>
        <w:ind w:left="284" w:hanging="284"/>
        <w:jc w:val="both"/>
        <w:rPr>
          <w:lang w:val="en-US"/>
        </w:rPr>
      </w:pPr>
      <w:r w:rsidRPr="00D23BE8">
        <w:rPr>
          <w:rStyle w:val="FootnoteReference"/>
        </w:rPr>
        <w:footnoteRef/>
      </w:r>
      <w:r w:rsidRPr="00D23BE8">
        <w:t xml:space="preserve"> </w:t>
      </w:r>
      <w:r w:rsidRPr="00D23BE8">
        <w:tab/>
      </w:r>
      <w:r w:rsidRPr="00D23BE8">
        <w:rPr>
          <w:rFonts w:cs="Arial"/>
          <w:i/>
          <w:color w:val="000000"/>
          <w:lang w:val="en-US"/>
        </w:rPr>
        <w:t xml:space="preserve">East Rock Trading </w:t>
      </w:r>
      <w:r w:rsidRPr="00D23BE8">
        <w:rPr>
          <w:rFonts w:cs="Arial"/>
        </w:rPr>
        <w:t>at para [6] and [7].</w:t>
      </w:r>
    </w:p>
  </w:footnote>
  <w:footnote w:id="10">
    <w:p w14:paraId="27C4F2DB" w14:textId="77777777" w:rsidR="00143CE4" w:rsidRPr="00894A78" w:rsidRDefault="00143CE4" w:rsidP="00143CE4">
      <w:pPr>
        <w:pStyle w:val="FootnoteText"/>
        <w:spacing w:before="120" w:after="120"/>
        <w:ind w:left="284" w:hanging="284"/>
        <w:jc w:val="both"/>
        <w:rPr>
          <w:rFonts w:cs="Arial"/>
        </w:rPr>
      </w:pPr>
      <w:r w:rsidRPr="00894A78">
        <w:rPr>
          <w:rStyle w:val="FootnoteReference"/>
          <w:rFonts w:cs="Arial"/>
        </w:rPr>
        <w:footnoteRef/>
      </w:r>
      <w:r w:rsidRPr="00894A78">
        <w:rPr>
          <w:rFonts w:cs="Arial"/>
        </w:rPr>
        <w:t xml:space="preserve"> </w:t>
      </w:r>
      <w:r w:rsidRPr="00894A78">
        <w:rPr>
          <w:rFonts w:cs="Arial"/>
        </w:rPr>
        <w:tab/>
      </w:r>
      <w:r w:rsidRPr="00894A78">
        <w:rPr>
          <w:rFonts w:cs="Arial"/>
          <w:i/>
          <w:iCs/>
        </w:rPr>
        <w:t>Olympic Passenger Services (Pty) Ltd v Ramlaga</w:t>
      </w:r>
      <w:r w:rsidRPr="00894A78">
        <w:rPr>
          <w:rFonts w:cs="Arial"/>
        </w:rPr>
        <w:t xml:space="preserve"> 1957 (2) SA 382 (D) at 383E-F.</w:t>
      </w:r>
    </w:p>
  </w:footnote>
  <w:footnote w:id="11">
    <w:p w14:paraId="49A5842A" w14:textId="77777777" w:rsidR="00143CE4" w:rsidRPr="00894A78" w:rsidRDefault="00143CE4" w:rsidP="00143CE4">
      <w:pPr>
        <w:pStyle w:val="FootnoteText"/>
        <w:spacing w:before="120" w:after="120"/>
        <w:ind w:left="284" w:hanging="284"/>
        <w:jc w:val="both"/>
        <w:rPr>
          <w:rFonts w:cs="Arial"/>
          <w:lang w:val="en-CA"/>
        </w:rPr>
      </w:pPr>
      <w:r w:rsidRPr="00894A78">
        <w:rPr>
          <w:rStyle w:val="FootnoteReference"/>
          <w:rFonts w:cs="Arial"/>
        </w:rPr>
        <w:footnoteRef/>
      </w:r>
      <w:r w:rsidRPr="00894A78">
        <w:rPr>
          <w:rFonts w:cs="Arial"/>
        </w:rPr>
        <w:t xml:space="preserve"> </w:t>
      </w:r>
      <w:r w:rsidRPr="00894A78">
        <w:rPr>
          <w:rFonts w:cs="Arial"/>
          <w:lang w:val="en-CA"/>
        </w:rPr>
        <w:tab/>
      </w:r>
      <w:r w:rsidRPr="00894A78">
        <w:rPr>
          <w:rStyle w:val="markedcontent"/>
          <w:rFonts w:cs="Arial"/>
          <w:i/>
          <w:iCs/>
        </w:rPr>
        <w:t>National Treasury and Others v Opposition to Urban</w:t>
      </w:r>
      <w:r w:rsidRPr="00894A78">
        <w:rPr>
          <w:rFonts w:cs="Arial"/>
          <w:i/>
          <w:iCs/>
        </w:rPr>
        <w:t xml:space="preserve"> </w:t>
      </w:r>
      <w:r w:rsidRPr="00894A78">
        <w:rPr>
          <w:rStyle w:val="markedcontent"/>
          <w:rFonts w:cs="Arial"/>
          <w:i/>
          <w:iCs/>
        </w:rPr>
        <w:t>Tolling Alliance and Others</w:t>
      </w:r>
      <w:r w:rsidRPr="00894A78">
        <w:rPr>
          <w:rStyle w:val="markedcontent"/>
          <w:rFonts w:cs="Arial"/>
        </w:rPr>
        <w:t xml:space="preserve">  2012 (6) SA 223 (CC) at paras [41] – [45].</w:t>
      </w:r>
    </w:p>
  </w:footnote>
  <w:footnote w:id="12">
    <w:p w14:paraId="6DCC1978" w14:textId="77777777" w:rsidR="00143CE4" w:rsidRPr="00894A78" w:rsidRDefault="00143CE4" w:rsidP="00143CE4">
      <w:pPr>
        <w:pStyle w:val="FootnoteText"/>
        <w:spacing w:before="120" w:after="120"/>
        <w:ind w:left="284" w:hanging="284"/>
        <w:jc w:val="both"/>
        <w:rPr>
          <w:rFonts w:cs="Arial"/>
          <w:lang w:val="en-CA"/>
        </w:rPr>
      </w:pPr>
      <w:r w:rsidRPr="00894A78">
        <w:rPr>
          <w:rStyle w:val="FootnoteReference"/>
          <w:rFonts w:cs="Arial"/>
        </w:rPr>
        <w:footnoteRef/>
      </w:r>
      <w:r w:rsidRPr="00894A78">
        <w:rPr>
          <w:rFonts w:cs="Arial"/>
        </w:rPr>
        <w:t xml:space="preserve"> </w:t>
      </w:r>
      <w:r w:rsidRPr="00894A78">
        <w:rPr>
          <w:rFonts w:cs="Arial"/>
          <w:lang w:val="en-CA"/>
        </w:rPr>
        <w:tab/>
      </w:r>
      <w:r w:rsidRPr="00894A78">
        <w:rPr>
          <w:rStyle w:val="markedcontent"/>
          <w:rFonts w:cs="Arial"/>
          <w:i/>
          <w:iCs/>
        </w:rPr>
        <w:t xml:space="preserve">Economic Freedom Fighters v Gordhan and Others; Public Protector and Another v Gordhan and </w:t>
      </w:r>
      <w:r w:rsidRPr="00894A78">
        <w:rPr>
          <w:rStyle w:val="markedcontent"/>
          <w:rFonts w:cs="Arial"/>
        </w:rPr>
        <w:t>2020 (6) SA 325 (CC) (29 May 2020)</w:t>
      </w:r>
      <w:r w:rsidRPr="00894A78">
        <w:rPr>
          <w:rFonts w:cs="Arial"/>
          <w:lang w:val="en-CA"/>
        </w:rPr>
        <w:t xml:space="preserve"> at </w:t>
      </w:r>
      <w:r w:rsidRPr="00894A78">
        <w:rPr>
          <w:rStyle w:val="markedcontent"/>
          <w:rFonts w:cs="Arial"/>
        </w:rPr>
        <w:t>para [42].</w:t>
      </w:r>
    </w:p>
  </w:footnote>
  <w:footnote w:id="13">
    <w:p w14:paraId="28CE0877" w14:textId="77777777" w:rsidR="00E3344F" w:rsidRPr="002557E4" w:rsidRDefault="00E3344F" w:rsidP="00E3344F">
      <w:pPr>
        <w:pStyle w:val="FootnoteText"/>
        <w:spacing w:before="120" w:after="120"/>
        <w:ind w:left="284" w:hanging="284"/>
        <w:jc w:val="both"/>
        <w:rPr>
          <w:lang w:val="en-US"/>
        </w:rPr>
      </w:pPr>
      <w:r>
        <w:rPr>
          <w:rStyle w:val="FootnoteReference"/>
        </w:rPr>
        <w:footnoteRef/>
      </w:r>
      <w:r>
        <w:t xml:space="preserve"> </w:t>
      </w:r>
      <w:r>
        <w:rPr>
          <w:lang w:val="en-US"/>
        </w:rPr>
        <w:tab/>
      </w:r>
      <w:r w:rsidRPr="00AC18D6">
        <w:rPr>
          <w:i/>
          <w:iCs/>
          <w:lang w:val="en-US"/>
        </w:rPr>
        <w:t>OUTA</w:t>
      </w:r>
      <w:r>
        <w:rPr>
          <w:lang w:val="en-US"/>
        </w:rPr>
        <w:t xml:space="preserve"> at para [47].</w:t>
      </w:r>
    </w:p>
  </w:footnote>
  <w:footnote w:id="14">
    <w:p w14:paraId="09F04C80" w14:textId="7D7A963C" w:rsidR="00DE635B" w:rsidRPr="00D23BE8" w:rsidRDefault="00DE635B" w:rsidP="00FC77FA">
      <w:pPr>
        <w:pStyle w:val="FootnoteText"/>
        <w:spacing w:before="120" w:after="120"/>
        <w:ind w:left="284" w:hanging="284"/>
        <w:jc w:val="both"/>
        <w:rPr>
          <w:lang w:val="en-US"/>
        </w:rPr>
      </w:pPr>
      <w:r w:rsidRPr="00D23BE8">
        <w:rPr>
          <w:rStyle w:val="FootnoteReference"/>
        </w:rPr>
        <w:footnoteRef/>
      </w:r>
      <w:r w:rsidRPr="00D23BE8">
        <w:t xml:space="preserve"> </w:t>
      </w:r>
      <w:r w:rsidRPr="00D23BE8">
        <w:rPr>
          <w:lang w:val="en-US"/>
        </w:rPr>
        <w:tab/>
      </w:r>
      <w:r w:rsidR="003A02F6" w:rsidRPr="00D23BE8">
        <w:rPr>
          <w:i/>
          <w:iCs/>
        </w:rPr>
        <w:t>Minister of Justice and Others v Estate Stransham-Ford</w:t>
      </w:r>
      <w:r w:rsidR="003A02F6" w:rsidRPr="00D23BE8">
        <w:t xml:space="preserve"> 2017 (3) SA 152 (SCA) at para [</w:t>
      </w:r>
      <w:r w:rsidR="00A81CF9" w:rsidRPr="00D23BE8">
        <w:t>24</w:t>
      </w:r>
      <w:r w:rsidR="003A02F6" w:rsidRPr="00D23BE8">
        <w:t>]</w:t>
      </w:r>
      <w:r w:rsidR="00A81CF9" w:rsidRPr="00D23BE8">
        <w:t xml:space="preserve"> – [25].</w:t>
      </w:r>
    </w:p>
  </w:footnote>
  <w:footnote w:id="15">
    <w:p w14:paraId="5105C856" w14:textId="220C26CB" w:rsidR="00FC7E50" w:rsidRPr="00D23BE8" w:rsidRDefault="00FC7E50" w:rsidP="00FC77FA">
      <w:pPr>
        <w:snapToGrid w:val="0"/>
        <w:spacing w:before="120" w:after="120"/>
        <w:ind w:left="284" w:hanging="284"/>
        <w:jc w:val="both"/>
        <w:rPr>
          <w:rFonts w:cs="Arial"/>
          <w:sz w:val="20"/>
          <w:szCs w:val="20"/>
          <w:lang w:val="en-GB"/>
        </w:rPr>
      </w:pPr>
      <w:r w:rsidRPr="00D23BE8">
        <w:rPr>
          <w:rStyle w:val="FootnoteReference"/>
          <w:sz w:val="20"/>
          <w:szCs w:val="20"/>
        </w:rPr>
        <w:footnoteRef/>
      </w:r>
      <w:r w:rsidRPr="00D23BE8">
        <w:rPr>
          <w:sz w:val="20"/>
          <w:szCs w:val="20"/>
        </w:rPr>
        <w:t xml:space="preserve"> </w:t>
      </w:r>
      <w:r w:rsidR="00D23BE8" w:rsidRPr="00D23BE8">
        <w:rPr>
          <w:sz w:val="20"/>
          <w:szCs w:val="20"/>
          <w:lang w:val="en-US"/>
        </w:rPr>
        <w:tab/>
      </w:r>
      <w:r w:rsidR="00D23BE8" w:rsidRPr="00D23BE8">
        <w:rPr>
          <w:rFonts w:cs="Arial"/>
          <w:sz w:val="20"/>
          <w:szCs w:val="20"/>
          <w:lang w:val="en-GB"/>
        </w:rPr>
        <w:t>In the remainder of the relief sought by the applicant in Part B, she challenges the jurisdiction of the Committee to consider the complaint, the procedure followed by the Committee in reaching its decisions, the substance of the Committee’s findings against her, as well as the Committee’s recommendations on sanction</w:t>
      </w:r>
      <w:r w:rsidR="00D23BE8">
        <w:rPr>
          <w:rFonts w:cs="Arial"/>
          <w:sz w:val="20"/>
          <w:szCs w:val="20"/>
          <w:lang w:val="en-GB"/>
        </w:rPr>
        <w:t>.</w:t>
      </w:r>
    </w:p>
  </w:footnote>
  <w:footnote w:id="16">
    <w:p w14:paraId="36906469" w14:textId="163FFF98" w:rsidR="00FC01C9" w:rsidRPr="00FC01C9" w:rsidRDefault="00FC01C9" w:rsidP="00746994">
      <w:pPr>
        <w:pStyle w:val="FootnoteText"/>
        <w:ind w:left="284" w:hanging="284"/>
        <w:rPr>
          <w:lang w:val="en-US"/>
        </w:rPr>
      </w:pPr>
      <w:r>
        <w:rPr>
          <w:rStyle w:val="FootnoteReference"/>
        </w:rPr>
        <w:footnoteRef/>
      </w:r>
      <w:r>
        <w:t xml:space="preserve"> </w:t>
      </w:r>
      <w:r>
        <w:rPr>
          <w:lang w:val="en-US"/>
        </w:rPr>
        <w:tab/>
      </w:r>
      <w:r w:rsidR="00746994" w:rsidRPr="00D23BE8">
        <w:rPr>
          <w:rFonts w:cs="Arial"/>
          <w:i/>
        </w:rPr>
        <w:t>Hawker Air Services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7259397"/>
      <w:docPartObj>
        <w:docPartGallery w:val="Page Numbers (Top of Page)"/>
        <w:docPartUnique/>
      </w:docPartObj>
    </w:sdtPr>
    <w:sdtEndPr>
      <w:rPr>
        <w:rStyle w:val="PageNumber"/>
      </w:rPr>
    </w:sdtEndPr>
    <w:sdtContent>
      <w:p w14:paraId="115A52FD" w14:textId="7DAB4257" w:rsidR="0081165E" w:rsidRDefault="0081165E" w:rsidP="007E6F7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0CC9" w14:textId="77777777" w:rsidR="0081165E" w:rsidRDefault="008116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2899172"/>
      <w:docPartObj>
        <w:docPartGallery w:val="Page Numbers (Top of Page)"/>
        <w:docPartUnique/>
      </w:docPartObj>
    </w:sdtPr>
    <w:sdtEndPr>
      <w:rPr>
        <w:rStyle w:val="PageNumber"/>
      </w:rPr>
    </w:sdtEndPr>
    <w:sdtContent>
      <w:p w14:paraId="7F4D7493" w14:textId="3124E187" w:rsidR="0081165E" w:rsidRDefault="0081165E" w:rsidP="007E6F7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94719">
          <w:rPr>
            <w:rStyle w:val="PageNumber"/>
            <w:noProof/>
          </w:rPr>
          <w:t>20</w:t>
        </w:r>
        <w:r>
          <w:rPr>
            <w:rStyle w:val="PageNumber"/>
          </w:rPr>
          <w:fldChar w:fldCharType="end"/>
        </w:r>
      </w:p>
    </w:sdtContent>
  </w:sdt>
  <w:p w14:paraId="1223B7C3" w14:textId="77777777" w:rsidR="0081165E" w:rsidRDefault="008116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62F2"/>
    <w:multiLevelType w:val="hybridMultilevel"/>
    <w:tmpl w:val="63EC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04785"/>
    <w:multiLevelType w:val="multilevel"/>
    <w:tmpl w:val="58621162"/>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701"/>
        </w:tabs>
        <w:ind w:left="1701" w:hanging="981"/>
      </w:pPr>
      <w:rPr>
        <w:rFonts w:cs="Times New Roman" w:hint="default"/>
        <w:b w:val="0"/>
      </w:rPr>
    </w:lvl>
    <w:lvl w:ilvl="2">
      <w:start w:val="1"/>
      <w:numFmt w:val="decimal"/>
      <w:lvlText w:val="%1.%2.%3."/>
      <w:lvlJc w:val="left"/>
      <w:pPr>
        <w:tabs>
          <w:tab w:val="num" w:pos="2835"/>
        </w:tabs>
        <w:ind w:left="2835" w:hanging="1134"/>
      </w:pPr>
      <w:rPr>
        <w:rFonts w:cs="Times New Roman" w:hint="default"/>
      </w:rPr>
    </w:lvl>
    <w:lvl w:ilvl="3">
      <w:start w:val="1"/>
      <w:numFmt w:val="decimal"/>
      <w:lvlText w:val="%1.%2.%3.%4."/>
      <w:lvlJc w:val="left"/>
      <w:pPr>
        <w:tabs>
          <w:tab w:val="num" w:pos="1440"/>
        </w:tabs>
        <w:ind w:left="3119" w:hanging="90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557D5ECD"/>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3BA6A32"/>
    <w:multiLevelType w:val="multilevel"/>
    <w:tmpl w:val="7200C4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1C26FF"/>
    <w:multiLevelType w:val="multilevel"/>
    <w:tmpl w:val="7D2A2E60"/>
    <w:lvl w:ilvl="0">
      <w:start w:val="1"/>
      <w:numFmt w:val="decimal"/>
      <w:lvlText w:val="%1."/>
      <w:lvlJc w:val="left"/>
      <w:pPr>
        <w:ind w:left="360" w:hanging="360"/>
      </w:pPr>
      <w:rPr>
        <w:rFonts w:hint="default"/>
        <w:b w:val="0"/>
        <w:bCs/>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5B"/>
    <w:rsid w:val="00006248"/>
    <w:rsid w:val="0001343C"/>
    <w:rsid w:val="00017527"/>
    <w:rsid w:val="000277A0"/>
    <w:rsid w:val="00040526"/>
    <w:rsid w:val="00040D96"/>
    <w:rsid w:val="00051DF9"/>
    <w:rsid w:val="00053DE0"/>
    <w:rsid w:val="00055342"/>
    <w:rsid w:val="000620EE"/>
    <w:rsid w:val="0006219F"/>
    <w:rsid w:val="00073B59"/>
    <w:rsid w:val="0007692B"/>
    <w:rsid w:val="00080660"/>
    <w:rsid w:val="00082134"/>
    <w:rsid w:val="00087067"/>
    <w:rsid w:val="00087FE3"/>
    <w:rsid w:val="000912D0"/>
    <w:rsid w:val="0009515C"/>
    <w:rsid w:val="000A0ADE"/>
    <w:rsid w:val="000A134D"/>
    <w:rsid w:val="000A5738"/>
    <w:rsid w:val="000A6EC4"/>
    <w:rsid w:val="000B245D"/>
    <w:rsid w:val="000B2D6E"/>
    <w:rsid w:val="000C04A8"/>
    <w:rsid w:val="000C15A2"/>
    <w:rsid w:val="000D7206"/>
    <w:rsid w:val="000E19BB"/>
    <w:rsid w:val="000E1B84"/>
    <w:rsid w:val="000E378C"/>
    <w:rsid w:val="000E5C3E"/>
    <w:rsid w:val="000E6FC0"/>
    <w:rsid w:val="000F2C67"/>
    <w:rsid w:val="000F3D4A"/>
    <w:rsid w:val="000F52FC"/>
    <w:rsid w:val="000F5577"/>
    <w:rsid w:val="000F56DD"/>
    <w:rsid w:val="001043F8"/>
    <w:rsid w:val="001062F8"/>
    <w:rsid w:val="00106B60"/>
    <w:rsid w:val="00106BFE"/>
    <w:rsid w:val="001107F2"/>
    <w:rsid w:val="00111C5B"/>
    <w:rsid w:val="001124EC"/>
    <w:rsid w:val="00115562"/>
    <w:rsid w:val="0011643A"/>
    <w:rsid w:val="00121986"/>
    <w:rsid w:val="00127A0F"/>
    <w:rsid w:val="001332F3"/>
    <w:rsid w:val="00134A77"/>
    <w:rsid w:val="00136506"/>
    <w:rsid w:val="001409FD"/>
    <w:rsid w:val="00142154"/>
    <w:rsid w:val="00143CE4"/>
    <w:rsid w:val="00146ED7"/>
    <w:rsid w:val="001474E5"/>
    <w:rsid w:val="001505E2"/>
    <w:rsid w:val="001521D2"/>
    <w:rsid w:val="00152852"/>
    <w:rsid w:val="00157226"/>
    <w:rsid w:val="0017028F"/>
    <w:rsid w:val="001727D6"/>
    <w:rsid w:val="00173EA1"/>
    <w:rsid w:val="00174FD3"/>
    <w:rsid w:val="001834FA"/>
    <w:rsid w:val="00186902"/>
    <w:rsid w:val="00187766"/>
    <w:rsid w:val="00195A97"/>
    <w:rsid w:val="001965B7"/>
    <w:rsid w:val="00197C79"/>
    <w:rsid w:val="00197EA7"/>
    <w:rsid w:val="001A3E05"/>
    <w:rsid w:val="001A6FC8"/>
    <w:rsid w:val="001B0ADB"/>
    <w:rsid w:val="001B218E"/>
    <w:rsid w:val="001B2E0F"/>
    <w:rsid w:val="001B5D12"/>
    <w:rsid w:val="001B66C5"/>
    <w:rsid w:val="001B7AE6"/>
    <w:rsid w:val="001C5300"/>
    <w:rsid w:val="001C7E20"/>
    <w:rsid w:val="001D3636"/>
    <w:rsid w:val="001D37E1"/>
    <w:rsid w:val="001D633B"/>
    <w:rsid w:val="001D6D25"/>
    <w:rsid w:val="001E01DF"/>
    <w:rsid w:val="001F1DA3"/>
    <w:rsid w:val="001F4610"/>
    <w:rsid w:val="00201D41"/>
    <w:rsid w:val="00206DD7"/>
    <w:rsid w:val="002101F1"/>
    <w:rsid w:val="002246D5"/>
    <w:rsid w:val="00225146"/>
    <w:rsid w:val="00227A0E"/>
    <w:rsid w:val="00241661"/>
    <w:rsid w:val="00242A22"/>
    <w:rsid w:val="0025220D"/>
    <w:rsid w:val="00254079"/>
    <w:rsid w:val="002557E4"/>
    <w:rsid w:val="002567DB"/>
    <w:rsid w:val="00262429"/>
    <w:rsid w:val="0026279F"/>
    <w:rsid w:val="00263457"/>
    <w:rsid w:val="00271CBD"/>
    <w:rsid w:val="00276434"/>
    <w:rsid w:val="002767C3"/>
    <w:rsid w:val="0027735E"/>
    <w:rsid w:val="002834BD"/>
    <w:rsid w:val="002852E2"/>
    <w:rsid w:val="002872CF"/>
    <w:rsid w:val="00287ABB"/>
    <w:rsid w:val="002950A7"/>
    <w:rsid w:val="002969F8"/>
    <w:rsid w:val="002A4D40"/>
    <w:rsid w:val="002B2E49"/>
    <w:rsid w:val="002E12CB"/>
    <w:rsid w:val="002E1BD1"/>
    <w:rsid w:val="002E7AB0"/>
    <w:rsid w:val="002F1BB2"/>
    <w:rsid w:val="002F365A"/>
    <w:rsid w:val="00306783"/>
    <w:rsid w:val="003116B2"/>
    <w:rsid w:val="003134F9"/>
    <w:rsid w:val="00316521"/>
    <w:rsid w:val="003173C0"/>
    <w:rsid w:val="00317A82"/>
    <w:rsid w:val="00322EFE"/>
    <w:rsid w:val="00323835"/>
    <w:rsid w:val="00327FBF"/>
    <w:rsid w:val="0033048F"/>
    <w:rsid w:val="00332489"/>
    <w:rsid w:val="003352FA"/>
    <w:rsid w:val="00336740"/>
    <w:rsid w:val="00341372"/>
    <w:rsid w:val="003426F3"/>
    <w:rsid w:val="003430AE"/>
    <w:rsid w:val="0034356F"/>
    <w:rsid w:val="003445EC"/>
    <w:rsid w:val="0034693E"/>
    <w:rsid w:val="00347F13"/>
    <w:rsid w:val="00360603"/>
    <w:rsid w:val="00363FC8"/>
    <w:rsid w:val="003660E5"/>
    <w:rsid w:val="00371CCC"/>
    <w:rsid w:val="00373156"/>
    <w:rsid w:val="0037702B"/>
    <w:rsid w:val="0038353A"/>
    <w:rsid w:val="00384050"/>
    <w:rsid w:val="00386E89"/>
    <w:rsid w:val="00390F6C"/>
    <w:rsid w:val="003917CC"/>
    <w:rsid w:val="00394627"/>
    <w:rsid w:val="00395476"/>
    <w:rsid w:val="00396D77"/>
    <w:rsid w:val="003977E4"/>
    <w:rsid w:val="003A02F6"/>
    <w:rsid w:val="003A2CE2"/>
    <w:rsid w:val="003A3D04"/>
    <w:rsid w:val="003A5185"/>
    <w:rsid w:val="003B2237"/>
    <w:rsid w:val="003B4A01"/>
    <w:rsid w:val="003C2ACA"/>
    <w:rsid w:val="003C4012"/>
    <w:rsid w:val="003C6711"/>
    <w:rsid w:val="003D5A40"/>
    <w:rsid w:val="003E0703"/>
    <w:rsid w:val="003E26EE"/>
    <w:rsid w:val="003F7F17"/>
    <w:rsid w:val="0040223B"/>
    <w:rsid w:val="0040747E"/>
    <w:rsid w:val="004106CC"/>
    <w:rsid w:val="00412683"/>
    <w:rsid w:val="00413D84"/>
    <w:rsid w:val="004142A7"/>
    <w:rsid w:val="00416A62"/>
    <w:rsid w:val="004176D8"/>
    <w:rsid w:val="00417EA1"/>
    <w:rsid w:val="00423371"/>
    <w:rsid w:val="00423C95"/>
    <w:rsid w:val="00424F79"/>
    <w:rsid w:val="00435B33"/>
    <w:rsid w:val="00440DBC"/>
    <w:rsid w:val="004457F9"/>
    <w:rsid w:val="00445BBC"/>
    <w:rsid w:val="004476ED"/>
    <w:rsid w:val="0045045D"/>
    <w:rsid w:val="004504CD"/>
    <w:rsid w:val="00454CEC"/>
    <w:rsid w:val="00455B0E"/>
    <w:rsid w:val="00460158"/>
    <w:rsid w:val="00462515"/>
    <w:rsid w:val="00462CA7"/>
    <w:rsid w:val="00473664"/>
    <w:rsid w:val="004738B6"/>
    <w:rsid w:val="00484005"/>
    <w:rsid w:val="004840CF"/>
    <w:rsid w:val="004855D6"/>
    <w:rsid w:val="00485F45"/>
    <w:rsid w:val="004950E8"/>
    <w:rsid w:val="00495444"/>
    <w:rsid w:val="004A24F0"/>
    <w:rsid w:val="004A392F"/>
    <w:rsid w:val="004A6CE4"/>
    <w:rsid w:val="004B13E5"/>
    <w:rsid w:val="004C1566"/>
    <w:rsid w:val="004C1725"/>
    <w:rsid w:val="004C19CE"/>
    <w:rsid w:val="004C316A"/>
    <w:rsid w:val="004C54D8"/>
    <w:rsid w:val="004D3D14"/>
    <w:rsid w:val="004D5FF1"/>
    <w:rsid w:val="004E1DD2"/>
    <w:rsid w:val="004E1DDD"/>
    <w:rsid w:val="004E3246"/>
    <w:rsid w:val="004E349C"/>
    <w:rsid w:val="004E5CA8"/>
    <w:rsid w:val="004E79B6"/>
    <w:rsid w:val="004F2332"/>
    <w:rsid w:val="004F663C"/>
    <w:rsid w:val="005032A0"/>
    <w:rsid w:val="005057C0"/>
    <w:rsid w:val="00506CCA"/>
    <w:rsid w:val="00507200"/>
    <w:rsid w:val="00510DCF"/>
    <w:rsid w:val="00511AB6"/>
    <w:rsid w:val="005128D4"/>
    <w:rsid w:val="00515473"/>
    <w:rsid w:val="0052380E"/>
    <w:rsid w:val="0052781B"/>
    <w:rsid w:val="00527C99"/>
    <w:rsid w:val="00531D05"/>
    <w:rsid w:val="00533CF3"/>
    <w:rsid w:val="00537F4C"/>
    <w:rsid w:val="005424CE"/>
    <w:rsid w:val="00542C14"/>
    <w:rsid w:val="0054355B"/>
    <w:rsid w:val="00545113"/>
    <w:rsid w:val="00547FDB"/>
    <w:rsid w:val="00551A3D"/>
    <w:rsid w:val="00553F0F"/>
    <w:rsid w:val="00557E47"/>
    <w:rsid w:val="005703D1"/>
    <w:rsid w:val="00573FCB"/>
    <w:rsid w:val="00575C3E"/>
    <w:rsid w:val="00577FF9"/>
    <w:rsid w:val="00582F7B"/>
    <w:rsid w:val="00584086"/>
    <w:rsid w:val="00585D79"/>
    <w:rsid w:val="005916CA"/>
    <w:rsid w:val="0059237D"/>
    <w:rsid w:val="005A0947"/>
    <w:rsid w:val="005A1087"/>
    <w:rsid w:val="005B1485"/>
    <w:rsid w:val="005B342B"/>
    <w:rsid w:val="005B7662"/>
    <w:rsid w:val="005C0517"/>
    <w:rsid w:val="005C346D"/>
    <w:rsid w:val="005C4740"/>
    <w:rsid w:val="005D6319"/>
    <w:rsid w:val="005E589F"/>
    <w:rsid w:val="005E68B9"/>
    <w:rsid w:val="005F3456"/>
    <w:rsid w:val="0060166D"/>
    <w:rsid w:val="0060684A"/>
    <w:rsid w:val="00621854"/>
    <w:rsid w:val="006238FB"/>
    <w:rsid w:val="006276FF"/>
    <w:rsid w:val="00637071"/>
    <w:rsid w:val="00640F62"/>
    <w:rsid w:val="00647264"/>
    <w:rsid w:val="00650C9E"/>
    <w:rsid w:val="00653242"/>
    <w:rsid w:val="00654E44"/>
    <w:rsid w:val="006562CC"/>
    <w:rsid w:val="00656A4B"/>
    <w:rsid w:val="00657BBA"/>
    <w:rsid w:val="006620D2"/>
    <w:rsid w:val="006655F1"/>
    <w:rsid w:val="00671C60"/>
    <w:rsid w:val="00676089"/>
    <w:rsid w:val="0067772B"/>
    <w:rsid w:val="00684D4B"/>
    <w:rsid w:val="0069033B"/>
    <w:rsid w:val="0069164A"/>
    <w:rsid w:val="00691974"/>
    <w:rsid w:val="00695074"/>
    <w:rsid w:val="006A0E2B"/>
    <w:rsid w:val="006A15DF"/>
    <w:rsid w:val="006A1D7F"/>
    <w:rsid w:val="006A45CB"/>
    <w:rsid w:val="006B34A1"/>
    <w:rsid w:val="006B431C"/>
    <w:rsid w:val="006B6E14"/>
    <w:rsid w:val="006B70CF"/>
    <w:rsid w:val="006C2B41"/>
    <w:rsid w:val="006C3378"/>
    <w:rsid w:val="006C58EC"/>
    <w:rsid w:val="006D6E11"/>
    <w:rsid w:val="006D758E"/>
    <w:rsid w:val="006E2173"/>
    <w:rsid w:val="006E3827"/>
    <w:rsid w:val="006E6FB6"/>
    <w:rsid w:val="006F0EC2"/>
    <w:rsid w:val="00701C03"/>
    <w:rsid w:val="0070587E"/>
    <w:rsid w:val="0070643E"/>
    <w:rsid w:val="0070704A"/>
    <w:rsid w:val="00713C69"/>
    <w:rsid w:val="007142A1"/>
    <w:rsid w:val="00720950"/>
    <w:rsid w:val="00725E3F"/>
    <w:rsid w:val="00732549"/>
    <w:rsid w:val="00733060"/>
    <w:rsid w:val="007338A5"/>
    <w:rsid w:val="00734C6A"/>
    <w:rsid w:val="00735EB8"/>
    <w:rsid w:val="00744B3A"/>
    <w:rsid w:val="00746838"/>
    <w:rsid w:val="00746994"/>
    <w:rsid w:val="00746BD0"/>
    <w:rsid w:val="007474C0"/>
    <w:rsid w:val="00752FE4"/>
    <w:rsid w:val="00756100"/>
    <w:rsid w:val="00756853"/>
    <w:rsid w:val="007730F3"/>
    <w:rsid w:val="00776AFA"/>
    <w:rsid w:val="0078097C"/>
    <w:rsid w:val="00780D06"/>
    <w:rsid w:val="00782B06"/>
    <w:rsid w:val="007834B5"/>
    <w:rsid w:val="00795195"/>
    <w:rsid w:val="007A11CC"/>
    <w:rsid w:val="007A2626"/>
    <w:rsid w:val="007A2FC9"/>
    <w:rsid w:val="007A39BC"/>
    <w:rsid w:val="007B4619"/>
    <w:rsid w:val="007B4E16"/>
    <w:rsid w:val="007B6B59"/>
    <w:rsid w:val="007B7475"/>
    <w:rsid w:val="007B7FDB"/>
    <w:rsid w:val="007C4475"/>
    <w:rsid w:val="007C7B45"/>
    <w:rsid w:val="007D2764"/>
    <w:rsid w:val="007E345C"/>
    <w:rsid w:val="007E37C1"/>
    <w:rsid w:val="007F19EC"/>
    <w:rsid w:val="007F5D72"/>
    <w:rsid w:val="007F6EBF"/>
    <w:rsid w:val="008013FF"/>
    <w:rsid w:val="0080280E"/>
    <w:rsid w:val="008038A3"/>
    <w:rsid w:val="0081165E"/>
    <w:rsid w:val="00812E7D"/>
    <w:rsid w:val="00814EF6"/>
    <w:rsid w:val="00817E36"/>
    <w:rsid w:val="008230C1"/>
    <w:rsid w:val="008252BB"/>
    <w:rsid w:val="00836AA4"/>
    <w:rsid w:val="00851092"/>
    <w:rsid w:val="0085392E"/>
    <w:rsid w:val="00860E6B"/>
    <w:rsid w:val="008716CF"/>
    <w:rsid w:val="00872EFC"/>
    <w:rsid w:val="00882BF9"/>
    <w:rsid w:val="0088708D"/>
    <w:rsid w:val="008921E0"/>
    <w:rsid w:val="00897A6D"/>
    <w:rsid w:val="008A264B"/>
    <w:rsid w:val="008A487A"/>
    <w:rsid w:val="008A4E09"/>
    <w:rsid w:val="008A5730"/>
    <w:rsid w:val="008A6271"/>
    <w:rsid w:val="008A7380"/>
    <w:rsid w:val="008B3384"/>
    <w:rsid w:val="008B38FB"/>
    <w:rsid w:val="008B4302"/>
    <w:rsid w:val="008C24FF"/>
    <w:rsid w:val="008C3841"/>
    <w:rsid w:val="008D0626"/>
    <w:rsid w:val="008D157A"/>
    <w:rsid w:val="008D34F3"/>
    <w:rsid w:val="008D5FD6"/>
    <w:rsid w:val="008D7620"/>
    <w:rsid w:val="008E1CF2"/>
    <w:rsid w:val="008E5DF5"/>
    <w:rsid w:val="008E6A63"/>
    <w:rsid w:val="008E764C"/>
    <w:rsid w:val="008F2A43"/>
    <w:rsid w:val="008F33B4"/>
    <w:rsid w:val="008F3D5E"/>
    <w:rsid w:val="008F45DF"/>
    <w:rsid w:val="008F5564"/>
    <w:rsid w:val="009071B4"/>
    <w:rsid w:val="00907FA9"/>
    <w:rsid w:val="0091710D"/>
    <w:rsid w:val="00917578"/>
    <w:rsid w:val="009205D0"/>
    <w:rsid w:val="00920863"/>
    <w:rsid w:val="00920A43"/>
    <w:rsid w:val="009238AA"/>
    <w:rsid w:val="00930520"/>
    <w:rsid w:val="00936171"/>
    <w:rsid w:val="00947880"/>
    <w:rsid w:val="0095082E"/>
    <w:rsid w:val="00952FF1"/>
    <w:rsid w:val="009602B2"/>
    <w:rsid w:val="00962C95"/>
    <w:rsid w:val="00967232"/>
    <w:rsid w:val="00980AC2"/>
    <w:rsid w:val="00982B27"/>
    <w:rsid w:val="00983A3A"/>
    <w:rsid w:val="009841D1"/>
    <w:rsid w:val="00984438"/>
    <w:rsid w:val="009865DE"/>
    <w:rsid w:val="00991958"/>
    <w:rsid w:val="00992B8D"/>
    <w:rsid w:val="009944EC"/>
    <w:rsid w:val="00994A73"/>
    <w:rsid w:val="00995E8D"/>
    <w:rsid w:val="009A149B"/>
    <w:rsid w:val="009B31E2"/>
    <w:rsid w:val="009C1949"/>
    <w:rsid w:val="009C31F6"/>
    <w:rsid w:val="009C3E8F"/>
    <w:rsid w:val="009D4644"/>
    <w:rsid w:val="009E3586"/>
    <w:rsid w:val="009E7904"/>
    <w:rsid w:val="009F34DB"/>
    <w:rsid w:val="009F5242"/>
    <w:rsid w:val="00A00263"/>
    <w:rsid w:val="00A01BFE"/>
    <w:rsid w:val="00A0485F"/>
    <w:rsid w:val="00A05D11"/>
    <w:rsid w:val="00A0776B"/>
    <w:rsid w:val="00A07C6C"/>
    <w:rsid w:val="00A10367"/>
    <w:rsid w:val="00A15449"/>
    <w:rsid w:val="00A20226"/>
    <w:rsid w:val="00A32BC3"/>
    <w:rsid w:val="00A356F8"/>
    <w:rsid w:val="00A423EF"/>
    <w:rsid w:val="00A43F6F"/>
    <w:rsid w:val="00A44A8D"/>
    <w:rsid w:val="00A46620"/>
    <w:rsid w:val="00A47E6F"/>
    <w:rsid w:val="00A61D74"/>
    <w:rsid w:val="00A6499E"/>
    <w:rsid w:val="00A66151"/>
    <w:rsid w:val="00A67A24"/>
    <w:rsid w:val="00A76157"/>
    <w:rsid w:val="00A81CF9"/>
    <w:rsid w:val="00A8383D"/>
    <w:rsid w:val="00A97482"/>
    <w:rsid w:val="00AA345A"/>
    <w:rsid w:val="00AB057E"/>
    <w:rsid w:val="00AB17C7"/>
    <w:rsid w:val="00AB30A1"/>
    <w:rsid w:val="00AB386E"/>
    <w:rsid w:val="00AB4572"/>
    <w:rsid w:val="00AB5C44"/>
    <w:rsid w:val="00AC18D6"/>
    <w:rsid w:val="00AD0EDA"/>
    <w:rsid w:val="00AE1EF2"/>
    <w:rsid w:val="00AF0161"/>
    <w:rsid w:val="00AF0437"/>
    <w:rsid w:val="00AF0442"/>
    <w:rsid w:val="00AF274E"/>
    <w:rsid w:val="00AF3C59"/>
    <w:rsid w:val="00B0089B"/>
    <w:rsid w:val="00B00930"/>
    <w:rsid w:val="00B17A80"/>
    <w:rsid w:val="00B30F02"/>
    <w:rsid w:val="00B355F9"/>
    <w:rsid w:val="00B47999"/>
    <w:rsid w:val="00B500FF"/>
    <w:rsid w:val="00B532E4"/>
    <w:rsid w:val="00B54046"/>
    <w:rsid w:val="00B54D1F"/>
    <w:rsid w:val="00B622B4"/>
    <w:rsid w:val="00B62EBD"/>
    <w:rsid w:val="00B63DA7"/>
    <w:rsid w:val="00B67271"/>
    <w:rsid w:val="00B67A74"/>
    <w:rsid w:val="00B76B5C"/>
    <w:rsid w:val="00B775E8"/>
    <w:rsid w:val="00B82D6A"/>
    <w:rsid w:val="00B876FA"/>
    <w:rsid w:val="00B93A3E"/>
    <w:rsid w:val="00B94673"/>
    <w:rsid w:val="00B94719"/>
    <w:rsid w:val="00B951EA"/>
    <w:rsid w:val="00B9624D"/>
    <w:rsid w:val="00B9729F"/>
    <w:rsid w:val="00B97A72"/>
    <w:rsid w:val="00BA0385"/>
    <w:rsid w:val="00BA1439"/>
    <w:rsid w:val="00BA45C0"/>
    <w:rsid w:val="00BB5446"/>
    <w:rsid w:val="00BC1AFC"/>
    <w:rsid w:val="00BC2CAE"/>
    <w:rsid w:val="00BC5C2C"/>
    <w:rsid w:val="00BC663D"/>
    <w:rsid w:val="00BE25D4"/>
    <w:rsid w:val="00BF1BC5"/>
    <w:rsid w:val="00BF62E2"/>
    <w:rsid w:val="00C0270D"/>
    <w:rsid w:val="00C054F6"/>
    <w:rsid w:val="00C05B0B"/>
    <w:rsid w:val="00C05F08"/>
    <w:rsid w:val="00C06815"/>
    <w:rsid w:val="00C1260A"/>
    <w:rsid w:val="00C149E3"/>
    <w:rsid w:val="00C2446E"/>
    <w:rsid w:val="00C24B0A"/>
    <w:rsid w:val="00C25216"/>
    <w:rsid w:val="00C26C39"/>
    <w:rsid w:val="00C2749B"/>
    <w:rsid w:val="00C34646"/>
    <w:rsid w:val="00C34A35"/>
    <w:rsid w:val="00C45791"/>
    <w:rsid w:val="00C52EED"/>
    <w:rsid w:val="00C60B11"/>
    <w:rsid w:val="00C63589"/>
    <w:rsid w:val="00C64893"/>
    <w:rsid w:val="00C65A2C"/>
    <w:rsid w:val="00C70FEC"/>
    <w:rsid w:val="00C7118F"/>
    <w:rsid w:val="00C75055"/>
    <w:rsid w:val="00C77DAA"/>
    <w:rsid w:val="00C77EB3"/>
    <w:rsid w:val="00C81496"/>
    <w:rsid w:val="00C8283E"/>
    <w:rsid w:val="00C859BC"/>
    <w:rsid w:val="00C868C8"/>
    <w:rsid w:val="00C90717"/>
    <w:rsid w:val="00C911FE"/>
    <w:rsid w:val="00C95950"/>
    <w:rsid w:val="00CA08DD"/>
    <w:rsid w:val="00CA0E39"/>
    <w:rsid w:val="00CA66BF"/>
    <w:rsid w:val="00CB2D74"/>
    <w:rsid w:val="00CB5307"/>
    <w:rsid w:val="00CC0AA3"/>
    <w:rsid w:val="00CC386A"/>
    <w:rsid w:val="00CC7BB0"/>
    <w:rsid w:val="00CC7E36"/>
    <w:rsid w:val="00CD67D1"/>
    <w:rsid w:val="00CE3BC8"/>
    <w:rsid w:val="00CF0773"/>
    <w:rsid w:val="00CF1A40"/>
    <w:rsid w:val="00CF2716"/>
    <w:rsid w:val="00CF63B1"/>
    <w:rsid w:val="00D051F8"/>
    <w:rsid w:val="00D06F20"/>
    <w:rsid w:val="00D07D08"/>
    <w:rsid w:val="00D11DB4"/>
    <w:rsid w:val="00D12D3B"/>
    <w:rsid w:val="00D22057"/>
    <w:rsid w:val="00D2237E"/>
    <w:rsid w:val="00D226B0"/>
    <w:rsid w:val="00D23BE8"/>
    <w:rsid w:val="00D25793"/>
    <w:rsid w:val="00D27EF0"/>
    <w:rsid w:val="00D30567"/>
    <w:rsid w:val="00D36305"/>
    <w:rsid w:val="00D36586"/>
    <w:rsid w:val="00D377AF"/>
    <w:rsid w:val="00D41532"/>
    <w:rsid w:val="00D43005"/>
    <w:rsid w:val="00D436DB"/>
    <w:rsid w:val="00D478B1"/>
    <w:rsid w:val="00D50FD2"/>
    <w:rsid w:val="00D6009F"/>
    <w:rsid w:val="00D602ED"/>
    <w:rsid w:val="00D61EFF"/>
    <w:rsid w:val="00D630BD"/>
    <w:rsid w:val="00D631B1"/>
    <w:rsid w:val="00D63E46"/>
    <w:rsid w:val="00D63EF3"/>
    <w:rsid w:val="00D660F2"/>
    <w:rsid w:val="00D735B4"/>
    <w:rsid w:val="00D85684"/>
    <w:rsid w:val="00D8718E"/>
    <w:rsid w:val="00D87213"/>
    <w:rsid w:val="00D909FD"/>
    <w:rsid w:val="00D94385"/>
    <w:rsid w:val="00D9536F"/>
    <w:rsid w:val="00D95711"/>
    <w:rsid w:val="00DA061A"/>
    <w:rsid w:val="00DA2C06"/>
    <w:rsid w:val="00DA3D7D"/>
    <w:rsid w:val="00DA3F4C"/>
    <w:rsid w:val="00DA48D5"/>
    <w:rsid w:val="00DA57BE"/>
    <w:rsid w:val="00DB1EC3"/>
    <w:rsid w:val="00DB28E2"/>
    <w:rsid w:val="00DB2C67"/>
    <w:rsid w:val="00DB6AB3"/>
    <w:rsid w:val="00DB765E"/>
    <w:rsid w:val="00DC55D8"/>
    <w:rsid w:val="00DD351A"/>
    <w:rsid w:val="00DD7905"/>
    <w:rsid w:val="00DE13F0"/>
    <w:rsid w:val="00DE4038"/>
    <w:rsid w:val="00DE526F"/>
    <w:rsid w:val="00DE635B"/>
    <w:rsid w:val="00DE65BF"/>
    <w:rsid w:val="00DE6B6A"/>
    <w:rsid w:val="00DE7EBD"/>
    <w:rsid w:val="00DF1127"/>
    <w:rsid w:val="00DF1A30"/>
    <w:rsid w:val="00DF3295"/>
    <w:rsid w:val="00DF7136"/>
    <w:rsid w:val="00E02FB2"/>
    <w:rsid w:val="00E07219"/>
    <w:rsid w:val="00E07643"/>
    <w:rsid w:val="00E11ED0"/>
    <w:rsid w:val="00E14116"/>
    <w:rsid w:val="00E25745"/>
    <w:rsid w:val="00E306D5"/>
    <w:rsid w:val="00E310F8"/>
    <w:rsid w:val="00E322B0"/>
    <w:rsid w:val="00E3344F"/>
    <w:rsid w:val="00E3378C"/>
    <w:rsid w:val="00E3452A"/>
    <w:rsid w:val="00E44DEB"/>
    <w:rsid w:val="00E462AA"/>
    <w:rsid w:val="00E507F8"/>
    <w:rsid w:val="00E510C4"/>
    <w:rsid w:val="00E517FB"/>
    <w:rsid w:val="00E60328"/>
    <w:rsid w:val="00E7252F"/>
    <w:rsid w:val="00E74599"/>
    <w:rsid w:val="00E77575"/>
    <w:rsid w:val="00E8049F"/>
    <w:rsid w:val="00E85DB2"/>
    <w:rsid w:val="00E92BF6"/>
    <w:rsid w:val="00E955C1"/>
    <w:rsid w:val="00EA5490"/>
    <w:rsid w:val="00EA6BD3"/>
    <w:rsid w:val="00EB563A"/>
    <w:rsid w:val="00EB75A6"/>
    <w:rsid w:val="00EC15F8"/>
    <w:rsid w:val="00EC4ECF"/>
    <w:rsid w:val="00EC7974"/>
    <w:rsid w:val="00ED3D7C"/>
    <w:rsid w:val="00ED4747"/>
    <w:rsid w:val="00ED5827"/>
    <w:rsid w:val="00ED5FFB"/>
    <w:rsid w:val="00EE06F9"/>
    <w:rsid w:val="00EE16A1"/>
    <w:rsid w:val="00EE3D28"/>
    <w:rsid w:val="00EE5CCA"/>
    <w:rsid w:val="00EE63F6"/>
    <w:rsid w:val="00EE7A6B"/>
    <w:rsid w:val="00EF2037"/>
    <w:rsid w:val="00EF5B1E"/>
    <w:rsid w:val="00EF7B1E"/>
    <w:rsid w:val="00F02286"/>
    <w:rsid w:val="00F03BBC"/>
    <w:rsid w:val="00F0513B"/>
    <w:rsid w:val="00F12C35"/>
    <w:rsid w:val="00F160FA"/>
    <w:rsid w:val="00F2192C"/>
    <w:rsid w:val="00F24629"/>
    <w:rsid w:val="00F25BEF"/>
    <w:rsid w:val="00F27690"/>
    <w:rsid w:val="00F32075"/>
    <w:rsid w:val="00F3287C"/>
    <w:rsid w:val="00F32E6C"/>
    <w:rsid w:val="00F336F4"/>
    <w:rsid w:val="00F3405F"/>
    <w:rsid w:val="00F364EE"/>
    <w:rsid w:val="00F37729"/>
    <w:rsid w:val="00F37DCC"/>
    <w:rsid w:val="00F43854"/>
    <w:rsid w:val="00F44D09"/>
    <w:rsid w:val="00F47F70"/>
    <w:rsid w:val="00F51139"/>
    <w:rsid w:val="00F53328"/>
    <w:rsid w:val="00F54772"/>
    <w:rsid w:val="00F5705E"/>
    <w:rsid w:val="00F605DB"/>
    <w:rsid w:val="00F62E3D"/>
    <w:rsid w:val="00F66637"/>
    <w:rsid w:val="00F76E24"/>
    <w:rsid w:val="00F81BBD"/>
    <w:rsid w:val="00F82575"/>
    <w:rsid w:val="00F83975"/>
    <w:rsid w:val="00F86C38"/>
    <w:rsid w:val="00F87AFD"/>
    <w:rsid w:val="00F9122D"/>
    <w:rsid w:val="00FA0E4B"/>
    <w:rsid w:val="00FA2095"/>
    <w:rsid w:val="00FA23FC"/>
    <w:rsid w:val="00FA37D0"/>
    <w:rsid w:val="00FA605E"/>
    <w:rsid w:val="00FA7873"/>
    <w:rsid w:val="00FB1735"/>
    <w:rsid w:val="00FB28B7"/>
    <w:rsid w:val="00FB2A13"/>
    <w:rsid w:val="00FC01C9"/>
    <w:rsid w:val="00FC0C88"/>
    <w:rsid w:val="00FC1619"/>
    <w:rsid w:val="00FC1E8C"/>
    <w:rsid w:val="00FC4E45"/>
    <w:rsid w:val="00FC5440"/>
    <w:rsid w:val="00FC77FA"/>
    <w:rsid w:val="00FC7E50"/>
    <w:rsid w:val="00FD3CA6"/>
    <w:rsid w:val="00FD3E8A"/>
    <w:rsid w:val="00FD53EF"/>
    <w:rsid w:val="00FE22AC"/>
    <w:rsid w:val="00FF4F82"/>
    <w:rsid w:val="00FF68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1406"/>
  <w15:chartTrackingRefBased/>
  <w15:docId w15:val="{2A9EF863-B6DA-FA43-9AE1-6D189F4E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5B"/>
  </w:style>
  <w:style w:type="paragraph" w:styleId="Heading1">
    <w:name w:val="heading 1"/>
    <w:basedOn w:val="Normal"/>
    <w:next w:val="Normal"/>
    <w:link w:val="Heading1Char"/>
    <w:uiPriority w:val="9"/>
    <w:qFormat/>
    <w:rsid w:val="003A3D04"/>
    <w:pPr>
      <w:keepNext/>
      <w:keepLines/>
      <w:spacing w:before="120" w:after="360" w:line="480" w:lineRule="auto"/>
      <w:outlineLvl w:val="0"/>
    </w:pPr>
    <w:rPr>
      <w:rFonts w:eastAsiaTheme="majorEastAsia" w:cs="Times New Roman (Headings CS)"/>
      <w:b/>
      <w:color w:val="000000" w:themeColor="text1"/>
      <w:szCs w:val="40"/>
    </w:rPr>
  </w:style>
  <w:style w:type="paragraph" w:styleId="Heading2">
    <w:name w:val="heading 2"/>
    <w:basedOn w:val="Normal"/>
    <w:next w:val="Normal"/>
    <w:link w:val="Heading2Char"/>
    <w:uiPriority w:val="9"/>
    <w:semiHidden/>
    <w:unhideWhenUsed/>
    <w:qFormat/>
    <w:rsid w:val="005435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55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55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4355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4355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4355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4355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4355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D04"/>
    <w:rPr>
      <w:rFonts w:eastAsiaTheme="majorEastAsia" w:cs="Times New Roman (Headings CS)"/>
      <w:b/>
      <w:color w:val="000000" w:themeColor="text1"/>
      <w:szCs w:val="40"/>
    </w:rPr>
  </w:style>
  <w:style w:type="character" w:customStyle="1" w:styleId="Heading2Char">
    <w:name w:val="Heading 2 Char"/>
    <w:basedOn w:val="DefaultParagraphFont"/>
    <w:link w:val="Heading2"/>
    <w:uiPriority w:val="9"/>
    <w:semiHidden/>
    <w:rsid w:val="005435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55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55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4355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4355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4355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4355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4355B"/>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5435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5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55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55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435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355B"/>
    <w:rPr>
      <w:i/>
      <w:iCs/>
      <w:color w:val="404040" w:themeColor="text1" w:themeTint="BF"/>
    </w:rPr>
  </w:style>
  <w:style w:type="paragraph" w:styleId="ListParagraph">
    <w:name w:val="List Paragraph"/>
    <w:aliases w:val="List Paragraph 1,Numbered Paras"/>
    <w:basedOn w:val="Normal"/>
    <w:link w:val="ListParagraphChar"/>
    <w:uiPriority w:val="34"/>
    <w:qFormat/>
    <w:rsid w:val="0054355B"/>
    <w:pPr>
      <w:ind w:left="720"/>
      <w:contextualSpacing/>
    </w:pPr>
  </w:style>
  <w:style w:type="character" w:styleId="IntenseEmphasis">
    <w:name w:val="Intense Emphasis"/>
    <w:basedOn w:val="DefaultParagraphFont"/>
    <w:uiPriority w:val="21"/>
    <w:qFormat/>
    <w:rsid w:val="0054355B"/>
    <w:rPr>
      <w:i/>
      <w:iCs/>
      <w:color w:val="0F4761" w:themeColor="accent1" w:themeShade="BF"/>
    </w:rPr>
  </w:style>
  <w:style w:type="paragraph" w:styleId="IntenseQuote">
    <w:name w:val="Intense Quote"/>
    <w:basedOn w:val="Normal"/>
    <w:next w:val="Normal"/>
    <w:link w:val="IntenseQuoteChar"/>
    <w:uiPriority w:val="30"/>
    <w:qFormat/>
    <w:rsid w:val="005435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55B"/>
    <w:rPr>
      <w:i/>
      <w:iCs/>
      <w:color w:val="0F4761" w:themeColor="accent1" w:themeShade="BF"/>
    </w:rPr>
  </w:style>
  <w:style w:type="character" w:styleId="IntenseReference">
    <w:name w:val="Intense Reference"/>
    <w:basedOn w:val="DefaultParagraphFont"/>
    <w:uiPriority w:val="32"/>
    <w:qFormat/>
    <w:rsid w:val="0054355B"/>
    <w:rPr>
      <w:b/>
      <w:bCs/>
      <w:smallCaps/>
      <w:color w:val="0F4761" w:themeColor="accent1" w:themeShade="BF"/>
      <w:spacing w:val="5"/>
    </w:rPr>
  </w:style>
  <w:style w:type="paragraph" w:styleId="FootnoteText">
    <w:name w:val="footnote text"/>
    <w:aliases w:val="Footnote Text Char1,Footnote Text Char Char,Footnote Text Char1 Char,Footnote Text Char Char Char,Footnote Text Char Char1, Char Char Char, Char Char,Char Char Char,Char Char,Char,Footnote Text Char1 Char1 Char1 Char Char,Footnote Text Cha"/>
    <w:basedOn w:val="Normal"/>
    <w:link w:val="FootnoteTextChar"/>
    <w:uiPriority w:val="99"/>
    <w:unhideWhenUsed/>
    <w:qFormat/>
    <w:rsid w:val="0054355B"/>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Char Char Char Char, Char Char Char1,Char Char Char Char,Char Char Char1,Char Char1"/>
    <w:basedOn w:val="DefaultParagraphFont"/>
    <w:link w:val="FootnoteText"/>
    <w:uiPriority w:val="99"/>
    <w:qFormat/>
    <w:rsid w:val="0054355B"/>
    <w:rPr>
      <w:sz w:val="20"/>
      <w:szCs w:val="20"/>
    </w:rPr>
  </w:style>
  <w:style w:type="character" w:styleId="FootnoteReference">
    <w:name w:val="footnote reference"/>
    <w:aliases w:val="Footnote Reference + Superscript,Ref,de nota al pie,註腳內容,Footnotes refss,fr,4_G,Appel note de bas de page,(NECG) Footnote Reference,Heading 6 Char1,do not use4 Char1,Footnote symbol,Style 12,Footnote,BL_Footnote Reference,ftref"/>
    <w:basedOn w:val="DefaultParagraphFont"/>
    <w:uiPriority w:val="99"/>
    <w:unhideWhenUsed/>
    <w:qFormat/>
    <w:rsid w:val="0054355B"/>
    <w:rPr>
      <w:vertAlign w:val="superscript"/>
    </w:rPr>
  </w:style>
  <w:style w:type="table" w:styleId="TableGrid">
    <w:name w:val="Table Grid"/>
    <w:basedOn w:val="TableNormal"/>
    <w:uiPriority w:val="39"/>
    <w:rsid w:val="0032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54F6"/>
    <w:rPr>
      <w:i/>
      <w:iCs/>
    </w:rPr>
  </w:style>
  <w:style w:type="paragraph" w:styleId="NormalWeb">
    <w:name w:val="Normal (Web)"/>
    <w:basedOn w:val="Normal"/>
    <w:uiPriority w:val="99"/>
    <w:semiHidden/>
    <w:unhideWhenUsed/>
    <w:rsid w:val="00B67271"/>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unhideWhenUsed/>
    <w:rsid w:val="0081165E"/>
    <w:pPr>
      <w:tabs>
        <w:tab w:val="center" w:pos="4513"/>
        <w:tab w:val="right" w:pos="9026"/>
      </w:tabs>
    </w:pPr>
  </w:style>
  <w:style w:type="character" w:customStyle="1" w:styleId="HeaderChar">
    <w:name w:val="Header Char"/>
    <w:basedOn w:val="DefaultParagraphFont"/>
    <w:link w:val="Header"/>
    <w:uiPriority w:val="99"/>
    <w:rsid w:val="0081165E"/>
  </w:style>
  <w:style w:type="character" w:styleId="PageNumber">
    <w:name w:val="page number"/>
    <w:basedOn w:val="DefaultParagraphFont"/>
    <w:uiPriority w:val="99"/>
    <w:semiHidden/>
    <w:unhideWhenUsed/>
    <w:rsid w:val="0081165E"/>
  </w:style>
  <w:style w:type="character" w:customStyle="1" w:styleId="ListParagraphChar">
    <w:name w:val="List Paragraph Char"/>
    <w:aliases w:val="List Paragraph 1 Char,Numbered Paras Char"/>
    <w:link w:val="ListParagraph"/>
    <w:uiPriority w:val="34"/>
    <w:qFormat/>
    <w:locked/>
    <w:rsid w:val="000620EE"/>
  </w:style>
  <w:style w:type="character" w:customStyle="1" w:styleId="mc">
    <w:name w:val="mc"/>
    <w:basedOn w:val="DefaultParagraphFont"/>
    <w:rsid w:val="00F83975"/>
  </w:style>
  <w:style w:type="character" w:styleId="Hyperlink">
    <w:name w:val="Hyperlink"/>
    <w:basedOn w:val="DefaultParagraphFont"/>
    <w:uiPriority w:val="99"/>
    <w:semiHidden/>
    <w:unhideWhenUsed/>
    <w:rsid w:val="00545113"/>
    <w:rPr>
      <w:color w:val="0000FF"/>
      <w:u w:val="single"/>
    </w:rPr>
  </w:style>
  <w:style w:type="paragraph" w:customStyle="1" w:styleId="DefaultStyle">
    <w:name w:val="Default Style"/>
    <w:rsid w:val="00B62EBD"/>
    <w:pPr>
      <w:widowControl w:val="0"/>
      <w:suppressAutoHyphens/>
      <w:spacing w:line="480" w:lineRule="auto"/>
      <w:jc w:val="both"/>
    </w:pPr>
    <w:rPr>
      <w:rFonts w:eastAsia="Arial" w:cs="Arial"/>
      <w:color w:val="000000"/>
      <w:szCs w:val="22"/>
      <w:lang w:eastAsia="en-ZA"/>
    </w:rPr>
  </w:style>
  <w:style w:type="character" w:customStyle="1" w:styleId="markedcontent">
    <w:name w:val="markedcontent"/>
    <w:basedOn w:val="DefaultParagraphFont"/>
    <w:rsid w:val="00B62EBD"/>
  </w:style>
  <w:style w:type="paragraph" w:styleId="Revision">
    <w:name w:val="Revision"/>
    <w:hidden/>
    <w:uiPriority w:val="99"/>
    <w:semiHidden/>
    <w:rsid w:val="003173C0"/>
  </w:style>
  <w:style w:type="paragraph" w:customStyle="1" w:styleId="lrpara">
    <w:name w:val="lrpara"/>
    <w:basedOn w:val="Normal"/>
    <w:rsid w:val="00455B0E"/>
    <w:pPr>
      <w:spacing w:before="100" w:beforeAutospacing="1" w:after="100" w:afterAutospacing="1"/>
    </w:pPr>
    <w:rPr>
      <w:rFonts w:ascii="Times New Roman" w:eastAsia="Times New Roman" w:hAnsi="Times New Roman"/>
      <w:lang w:eastAsia="en-GB"/>
    </w:rPr>
  </w:style>
  <w:style w:type="paragraph" w:customStyle="1" w:styleId="pageno">
    <w:name w:val="pageno"/>
    <w:basedOn w:val="Normal"/>
    <w:rsid w:val="00455B0E"/>
    <w:pPr>
      <w:spacing w:before="100" w:beforeAutospacing="1" w:after="100" w:afterAutospacing="1"/>
    </w:pPr>
    <w:rPr>
      <w:rFonts w:ascii="Times New Roman" w:eastAsia="Times New Roman" w:hAnsi="Times New Roman"/>
      <w:lang w:eastAsia="en-GB"/>
    </w:rPr>
  </w:style>
  <w:style w:type="paragraph" w:customStyle="1" w:styleId="lrjudgecont">
    <w:name w:val="lrjudgecont"/>
    <w:basedOn w:val="Normal"/>
    <w:rsid w:val="00455B0E"/>
    <w:pPr>
      <w:spacing w:before="100" w:beforeAutospacing="1" w:after="100" w:afterAutospacing="1"/>
    </w:pPr>
    <w:rPr>
      <w:rFonts w:ascii="Times New Roman" w:eastAsia="Times New Roman" w:hAnsi="Times New Roman"/>
      <w:lang w:eastAsia="en-GB"/>
    </w:rPr>
  </w:style>
  <w:style w:type="character" w:customStyle="1" w:styleId="footnoteanchor">
    <w:name w:val="footnoteanchor"/>
    <w:basedOn w:val="DefaultParagraphFont"/>
    <w:rsid w:val="0045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4434">
      <w:bodyDiv w:val="1"/>
      <w:marLeft w:val="0"/>
      <w:marRight w:val="0"/>
      <w:marTop w:val="0"/>
      <w:marBottom w:val="0"/>
      <w:divBdr>
        <w:top w:val="none" w:sz="0" w:space="0" w:color="auto"/>
        <w:left w:val="none" w:sz="0" w:space="0" w:color="auto"/>
        <w:bottom w:val="none" w:sz="0" w:space="0" w:color="auto"/>
        <w:right w:val="none" w:sz="0" w:space="0" w:color="auto"/>
      </w:divBdr>
    </w:div>
    <w:div w:id="390346914">
      <w:bodyDiv w:val="1"/>
      <w:marLeft w:val="0"/>
      <w:marRight w:val="0"/>
      <w:marTop w:val="0"/>
      <w:marBottom w:val="0"/>
      <w:divBdr>
        <w:top w:val="none" w:sz="0" w:space="0" w:color="auto"/>
        <w:left w:val="none" w:sz="0" w:space="0" w:color="auto"/>
        <w:bottom w:val="none" w:sz="0" w:space="0" w:color="auto"/>
        <w:right w:val="none" w:sz="0" w:space="0" w:color="auto"/>
      </w:divBdr>
    </w:div>
    <w:div w:id="1004626617">
      <w:bodyDiv w:val="1"/>
      <w:marLeft w:val="0"/>
      <w:marRight w:val="0"/>
      <w:marTop w:val="0"/>
      <w:marBottom w:val="0"/>
      <w:divBdr>
        <w:top w:val="none" w:sz="0" w:space="0" w:color="auto"/>
        <w:left w:val="none" w:sz="0" w:space="0" w:color="auto"/>
        <w:bottom w:val="none" w:sz="0" w:space="0" w:color="auto"/>
        <w:right w:val="none" w:sz="0" w:space="0" w:color="auto"/>
      </w:divBdr>
    </w:div>
    <w:div w:id="18757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Mushahida Adhikari</dc:creator>
  <cp:keywords/>
  <dc:description/>
  <cp:lastModifiedBy>Mary Bruce</cp:lastModifiedBy>
  <cp:revision>3</cp:revision>
  <dcterms:created xsi:type="dcterms:W3CDTF">2024-01-29T06:54:00Z</dcterms:created>
  <dcterms:modified xsi:type="dcterms:W3CDTF">2024-02-06T09:58:00Z</dcterms:modified>
</cp:coreProperties>
</file>