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DE2D45" w14:textId="19C3F166" w:rsidR="0052244A" w:rsidRPr="0052244A" w:rsidRDefault="008C32DB" w:rsidP="0052244A">
      <w:pPr>
        <w:spacing w:line="240" w:lineRule="auto"/>
        <w:rPr>
          <w:rFonts w:ascii="Times New Roman" w:eastAsiaTheme="minorEastAsia" w:hAnsi="Times New Roman" w:cs="Times New Roman"/>
          <w:b/>
          <w:bCs/>
          <w:sz w:val="24"/>
          <w:szCs w:val="24"/>
          <w:lang w:val="en-ZA"/>
        </w:rPr>
      </w:pPr>
      <w:r w:rsidRPr="0052244A">
        <w:rPr>
          <w:rFonts w:eastAsiaTheme="minorEastAsia" w:cs="Times New Roman"/>
          <w:noProof/>
        </w:rPr>
        <w:drawing>
          <wp:anchor distT="0" distB="0" distL="114300" distR="114300" simplePos="0" relativeHeight="251659264" behindDoc="0" locked="0" layoutInCell="1" allowOverlap="1" wp14:anchorId="50B00BB4" wp14:editId="78FDBFC0">
            <wp:simplePos x="0" y="0"/>
            <wp:positionH relativeFrom="column">
              <wp:posOffset>2327275</wp:posOffset>
            </wp:positionH>
            <wp:positionV relativeFrom="paragraph">
              <wp:posOffset>11430</wp:posOffset>
            </wp:positionV>
            <wp:extent cx="1498600" cy="145288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8600" cy="1452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7B70E1" w14:textId="77777777" w:rsidR="0052244A" w:rsidRPr="0052244A" w:rsidRDefault="0052244A" w:rsidP="0052244A">
      <w:pPr>
        <w:spacing w:line="240" w:lineRule="auto"/>
        <w:rPr>
          <w:rFonts w:ascii="Times New Roman" w:eastAsiaTheme="minorEastAsia" w:hAnsi="Times New Roman" w:cs="Times New Roman"/>
          <w:b/>
          <w:bCs/>
          <w:sz w:val="24"/>
          <w:szCs w:val="24"/>
          <w:lang w:val="en-ZA"/>
        </w:rPr>
      </w:pPr>
    </w:p>
    <w:p w14:paraId="5BA64626" w14:textId="77777777" w:rsidR="0052244A" w:rsidRDefault="0052244A" w:rsidP="0052244A">
      <w:pPr>
        <w:spacing w:line="240" w:lineRule="auto"/>
        <w:rPr>
          <w:rFonts w:ascii="Times New Roman" w:eastAsiaTheme="minorEastAsia" w:hAnsi="Times New Roman" w:cs="Times New Roman"/>
          <w:b/>
          <w:bCs/>
          <w:sz w:val="24"/>
          <w:szCs w:val="24"/>
          <w:lang w:val="en-ZA"/>
        </w:rPr>
      </w:pPr>
    </w:p>
    <w:p w14:paraId="14DDF48D" w14:textId="77777777" w:rsidR="00A134C4" w:rsidRPr="0052244A" w:rsidRDefault="00A134C4" w:rsidP="0052244A">
      <w:pPr>
        <w:spacing w:line="240" w:lineRule="auto"/>
        <w:rPr>
          <w:rFonts w:ascii="Times New Roman" w:eastAsiaTheme="minorEastAsia" w:hAnsi="Times New Roman" w:cs="Times New Roman"/>
          <w:b/>
          <w:bCs/>
          <w:sz w:val="24"/>
          <w:szCs w:val="24"/>
          <w:lang w:val="en-ZA"/>
        </w:rPr>
      </w:pPr>
    </w:p>
    <w:p w14:paraId="21FB8969" w14:textId="77777777" w:rsidR="0052244A" w:rsidRPr="0052244A" w:rsidRDefault="0052244A" w:rsidP="0052244A">
      <w:pPr>
        <w:spacing w:line="240" w:lineRule="auto"/>
        <w:rPr>
          <w:rFonts w:ascii="Times New Roman" w:eastAsiaTheme="minorEastAsia" w:hAnsi="Times New Roman" w:cs="Times New Roman"/>
          <w:b/>
          <w:bCs/>
          <w:sz w:val="24"/>
          <w:szCs w:val="24"/>
          <w:lang w:val="en-ZA"/>
        </w:rPr>
      </w:pPr>
    </w:p>
    <w:p w14:paraId="49D33FDC" w14:textId="77777777" w:rsidR="0052244A" w:rsidRPr="0052244A" w:rsidRDefault="0052244A" w:rsidP="0052244A">
      <w:pPr>
        <w:spacing w:line="240" w:lineRule="auto"/>
        <w:rPr>
          <w:rFonts w:ascii="Times New Roman" w:eastAsiaTheme="minorEastAsia" w:hAnsi="Times New Roman" w:cs="Times New Roman"/>
          <w:b/>
          <w:bCs/>
          <w:sz w:val="24"/>
          <w:szCs w:val="24"/>
          <w:lang w:val="en-ZA"/>
        </w:rPr>
      </w:pPr>
    </w:p>
    <w:p w14:paraId="4845B609" w14:textId="77777777" w:rsidR="0052244A" w:rsidRPr="0052244A" w:rsidRDefault="0052244A" w:rsidP="0052244A">
      <w:pPr>
        <w:spacing w:line="240" w:lineRule="auto"/>
        <w:rPr>
          <w:rFonts w:ascii="Times New Roman" w:eastAsiaTheme="minorEastAsia" w:hAnsi="Times New Roman" w:cs="Times New Roman"/>
          <w:b/>
          <w:bCs/>
          <w:sz w:val="24"/>
          <w:szCs w:val="24"/>
          <w:lang w:val="en-ZA"/>
        </w:rPr>
      </w:pPr>
    </w:p>
    <w:p w14:paraId="35654C50" w14:textId="77777777" w:rsidR="0052244A" w:rsidRPr="0052244A" w:rsidRDefault="0052244A" w:rsidP="0052244A">
      <w:pPr>
        <w:spacing w:line="240" w:lineRule="auto"/>
        <w:rPr>
          <w:rFonts w:ascii="Times New Roman" w:eastAsiaTheme="minorEastAsia" w:hAnsi="Times New Roman" w:cs="Times New Roman"/>
          <w:b/>
          <w:bCs/>
          <w:sz w:val="24"/>
          <w:szCs w:val="24"/>
          <w:lang w:val="en-ZA"/>
        </w:rPr>
      </w:pPr>
    </w:p>
    <w:p w14:paraId="0D8C6EDC" w14:textId="77777777" w:rsidR="0052244A" w:rsidRPr="0052244A" w:rsidRDefault="0052244A" w:rsidP="0052244A">
      <w:pPr>
        <w:spacing w:line="240" w:lineRule="auto"/>
        <w:rPr>
          <w:rFonts w:ascii="Times New Roman" w:eastAsiaTheme="minorEastAsia" w:hAnsi="Times New Roman" w:cs="Times New Roman"/>
          <w:b/>
          <w:bCs/>
          <w:sz w:val="24"/>
          <w:szCs w:val="24"/>
          <w:lang w:val="en-ZA"/>
        </w:rPr>
      </w:pPr>
    </w:p>
    <w:p w14:paraId="5F85A42B" w14:textId="77777777" w:rsidR="0052244A" w:rsidRPr="0052244A" w:rsidRDefault="0052244A" w:rsidP="00A134C4">
      <w:pPr>
        <w:jc w:val="center"/>
        <w:rPr>
          <w:rFonts w:ascii="Arial" w:eastAsiaTheme="minorEastAsia" w:hAnsi="Arial" w:cs="Arial"/>
          <w:b/>
          <w:bCs/>
          <w:sz w:val="24"/>
          <w:szCs w:val="24"/>
          <w:lang w:val="en-ZA"/>
        </w:rPr>
      </w:pPr>
      <w:r w:rsidRPr="0052244A">
        <w:rPr>
          <w:rFonts w:ascii="Arial" w:eastAsiaTheme="minorEastAsia" w:hAnsi="Arial" w:cs="Arial"/>
          <w:b/>
          <w:bCs/>
          <w:sz w:val="24"/>
          <w:szCs w:val="24"/>
          <w:lang w:val="en-ZA"/>
        </w:rPr>
        <w:t>IN THE HIGH COURT OF SOUTH AFRICA</w:t>
      </w:r>
    </w:p>
    <w:p w14:paraId="24F7F2F2" w14:textId="77777777" w:rsidR="0052244A" w:rsidRPr="0052244A" w:rsidRDefault="00A134C4" w:rsidP="0052244A">
      <w:pPr>
        <w:spacing w:line="240" w:lineRule="auto"/>
        <w:jc w:val="center"/>
        <w:rPr>
          <w:rFonts w:ascii="Arial" w:eastAsiaTheme="minorEastAsia" w:hAnsi="Arial" w:cs="Arial"/>
          <w:b/>
          <w:bCs/>
          <w:sz w:val="24"/>
          <w:szCs w:val="24"/>
          <w:lang w:val="en-ZA"/>
        </w:rPr>
      </w:pPr>
      <w:r>
        <w:rPr>
          <w:rFonts w:ascii="Arial" w:eastAsiaTheme="minorEastAsia" w:hAnsi="Arial" w:cs="Arial"/>
          <w:b/>
          <w:bCs/>
          <w:sz w:val="24"/>
          <w:szCs w:val="24"/>
          <w:lang w:val="en-ZA"/>
        </w:rPr>
        <w:t>(</w:t>
      </w:r>
      <w:r w:rsidR="0052244A" w:rsidRPr="0052244A">
        <w:rPr>
          <w:rFonts w:ascii="Arial" w:eastAsiaTheme="minorEastAsia" w:hAnsi="Arial" w:cs="Arial"/>
          <w:b/>
          <w:bCs/>
          <w:sz w:val="24"/>
          <w:szCs w:val="24"/>
          <w:lang w:val="en-ZA"/>
        </w:rPr>
        <w:t>WESTERN CAPE DIVISION, CAPE TOWN</w:t>
      </w:r>
      <w:r>
        <w:rPr>
          <w:rFonts w:ascii="Arial" w:eastAsiaTheme="minorEastAsia" w:hAnsi="Arial" w:cs="Arial"/>
          <w:b/>
          <w:bCs/>
          <w:sz w:val="24"/>
          <w:szCs w:val="24"/>
          <w:lang w:val="en-ZA"/>
        </w:rPr>
        <w:t>)</w:t>
      </w:r>
    </w:p>
    <w:p w14:paraId="07279A0A" w14:textId="208BD264" w:rsidR="007415BE" w:rsidRDefault="007415BE" w:rsidP="00144E96">
      <w:pPr>
        <w:tabs>
          <w:tab w:val="left" w:pos="6585"/>
        </w:tabs>
        <w:spacing w:line="240" w:lineRule="auto"/>
        <w:rPr>
          <w:rFonts w:ascii="Arial" w:eastAsiaTheme="minorEastAsia" w:hAnsi="Arial" w:cs="Arial"/>
          <w:b/>
          <w:bCs/>
          <w:sz w:val="24"/>
          <w:szCs w:val="24"/>
          <w:lang w:val="en-ZA"/>
        </w:rPr>
      </w:pPr>
    </w:p>
    <w:p w14:paraId="3852CFC8" w14:textId="39F97158" w:rsidR="008C32DB" w:rsidRPr="009B3E25" w:rsidRDefault="008C32DB" w:rsidP="008C32DB">
      <w:pPr>
        <w:rPr>
          <w:rFonts w:ascii="Arial" w:hAnsi="Arial" w:cs="Arial"/>
          <w:b/>
          <w:i/>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sidRPr="009B3E25">
        <w:rPr>
          <w:rFonts w:ascii="Arial" w:hAnsi="Arial" w:cs="Arial"/>
          <w:b/>
          <w:i/>
          <w:sz w:val="24"/>
          <w:szCs w:val="24"/>
          <w:lang w:val="en-GB"/>
        </w:rPr>
        <w:t>REPORTABLE</w:t>
      </w:r>
      <w:r w:rsidRPr="009B3E25">
        <w:rPr>
          <w:rFonts w:ascii="Arial" w:hAnsi="Arial" w:cs="Arial"/>
          <w:b/>
          <w:i/>
          <w:sz w:val="24"/>
          <w:szCs w:val="24"/>
          <w:lang w:val="en-GB"/>
        </w:rPr>
        <w:tab/>
      </w:r>
    </w:p>
    <w:p w14:paraId="5BFA06B1" w14:textId="77777777" w:rsidR="008C32DB" w:rsidRPr="00093493" w:rsidRDefault="008C32DB" w:rsidP="008C32DB">
      <w:pPr>
        <w:rPr>
          <w:rFonts w:ascii="Arial" w:hAnsi="Arial" w:cs="Arial"/>
          <w:b/>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sidRPr="00093493">
        <w:rPr>
          <w:rFonts w:ascii="Arial" w:hAnsi="Arial" w:cs="Arial"/>
          <w:b/>
          <w:sz w:val="24"/>
          <w:szCs w:val="24"/>
          <w:lang w:val="en-GB"/>
        </w:rPr>
        <w:t>Case no.: 24228/16</w:t>
      </w:r>
    </w:p>
    <w:p w14:paraId="1C593ED7" w14:textId="77777777" w:rsidR="008C32DB" w:rsidRPr="00093493" w:rsidRDefault="008C32DB" w:rsidP="008C32DB">
      <w:pPr>
        <w:rPr>
          <w:rFonts w:ascii="Arial" w:hAnsi="Arial" w:cs="Arial"/>
          <w:b/>
          <w:sz w:val="24"/>
          <w:szCs w:val="24"/>
          <w:lang w:val="en-GB"/>
        </w:rPr>
      </w:pPr>
    </w:p>
    <w:p w14:paraId="26CC9254" w14:textId="0DAC1AB2" w:rsidR="008C32DB" w:rsidRPr="00093493" w:rsidRDefault="008C32DB" w:rsidP="008C32DB">
      <w:pPr>
        <w:rPr>
          <w:rFonts w:ascii="Arial" w:hAnsi="Arial" w:cs="Arial"/>
          <w:b/>
          <w:sz w:val="24"/>
          <w:szCs w:val="24"/>
          <w:lang w:val="en-GB"/>
        </w:rPr>
      </w:pPr>
      <w:r w:rsidRPr="00093493">
        <w:rPr>
          <w:rFonts w:ascii="Arial" w:hAnsi="Arial" w:cs="Arial"/>
          <w:b/>
          <w:sz w:val="24"/>
          <w:szCs w:val="24"/>
          <w:lang w:val="en-GB"/>
        </w:rPr>
        <w:t xml:space="preserve">MARGARITHA ISABELLA GUNTHER </w:t>
      </w:r>
      <w:r w:rsidRPr="00093493">
        <w:rPr>
          <w:rFonts w:ascii="Arial" w:hAnsi="Arial" w:cs="Arial"/>
          <w:b/>
          <w:sz w:val="24"/>
          <w:szCs w:val="24"/>
          <w:lang w:val="en-GB"/>
        </w:rPr>
        <w:tab/>
      </w:r>
      <w:r w:rsidRPr="00093493">
        <w:rPr>
          <w:rFonts w:ascii="Arial" w:hAnsi="Arial" w:cs="Arial"/>
          <w:b/>
          <w:sz w:val="24"/>
          <w:szCs w:val="24"/>
          <w:lang w:val="en-GB"/>
        </w:rPr>
        <w:tab/>
      </w:r>
      <w:r w:rsidRPr="00093493">
        <w:rPr>
          <w:rFonts w:ascii="Arial" w:hAnsi="Arial" w:cs="Arial"/>
          <w:b/>
          <w:sz w:val="24"/>
          <w:szCs w:val="24"/>
          <w:lang w:val="en-GB"/>
        </w:rPr>
        <w:tab/>
      </w:r>
      <w:r w:rsidRPr="00093493">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sidRPr="00093493">
        <w:rPr>
          <w:rFonts w:ascii="Arial" w:hAnsi="Arial" w:cs="Arial"/>
          <w:b/>
          <w:sz w:val="24"/>
          <w:szCs w:val="24"/>
          <w:lang w:val="en-GB"/>
        </w:rPr>
        <w:t>Plaintiff</w:t>
      </w:r>
    </w:p>
    <w:p w14:paraId="11165A4A" w14:textId="77777777" w:rsidR="008C32DB" w:rsidRPr="00093493" w:rsidRDefault="008C32DB" w:rsidP="008C32DB">
      <w:pPr>
        <w:rPr>
          <w:rFonts w:ascii="Arial" w:hAnsi="Arial" w:cs="Arial"/>
          <w:b/>
          <w:sz w:val="24"/>
          <w:szCs w:val="24"/>
          <w:lang w:val="en-GB"/>
        </w:rPr>
      </w:pPr>
    </w:p>
    <w:p w14:paraId="21927E16" w14:textId="77777777" w:rsidR="008C32DB" w:rsidRPr="00093493" w:rsidRDefault="008C32DB" w:rsidP="008C32DB">
      <w:pPr>
        <w:rPr>
          <w:rFonts w:ascii="Arial" w:hAnsi="Arial" w:cs="Arial"/>
          <w:b/>
          <w:sz w:val="24"/>
          <w:szCs w:val="24"/>
          <w:lang w:val="en-GB"/>
        </w:rPr>
      </w:pPr>
      <w:r w:rsidRPr="00093493">
        <w:rPr>
          <w:rFonts w:ascii="Arial" w:hAnsi="Arial" w:cs="Arial"/>
          <w:b/>
          <w:sz w:val="24"/>
          <w:szCs w:val="24"/>
          <w:lang w:val="en-GB"/>
        </w:rPr>
        <w:t xml:space="preserve">And </w:t>
      </w:r>
    </w:p>
    <w:p w14:paraId="0BFBC41F" w14:textId="77777777" w:rsidR="008C32DB" w:rsidRPr="00093493" w:rsidRDefault="008C32DB" w:rsidP="008C32DB">
      <w:pPr>
        <w:rPr>
          <w:rFonts w:ascii="Arial" w:hAnsi="Arial" w:cs="Arial"/>
          <w:b/>
          <w:sz w:val="24"/>
          <w:szCs w:val="24"/>
          <w:lang w:val="en-GB"/>
        </w:rPr>
      </w:pPr>
    </w:p>
    <w:p w14:paraId="549FA098" w14:textId="03C42BCE" w:rsidR="008C32DB" w:rsidRPr="00093493" w:rsidRDefault="008C32DB" w:rsidP="008C32DB">
      <w:pPr>
        <w:rPr>
          <w:rFonts w:ascii="Arial" w:hAnsi="Arial" w:cs="Arial"/>
          <w:b/>
          <w:sz w:val="24"/>
          <w:szCs w:val="24"/>
          <w:lang w:val="en-GB"/>
        </w:rPr>
      </w:pPr>
      <w:r w:rsidRPr="00093493">
        <w:rPr>
          <w:rFonts w:ascii="Arial" w:hAnsi="Arial" w:cs="Arial"/>
          <w:b/>
          <w:sz w:val="24"/>
          <w:szCs w:val="24"/>
          <w:lang w:val="en-GB"/>
        </w:rPr>
        <w:t xml:space="preserve">ROAD ACCIDENT FUND </w:t>
      </w:r>
      <w:r w:rsidRPr="00093493">
        <w:rPr>
          <w:rFonts w:ascii="Arial" w:hAnsi="Arial" w:cs="Arial"/>
          <w:b/>
          <w:sz w:val="24"/>
          <w:szCs w:val="24"/>
          <w:lang w:val="en-GB"/>
        </w:rPr>
        <w:tab/>
      </w:r>
      <w:r w:rsidRPr="00093493">
        <w:rPr>
          <w:rFonts w:ascii="Arial" w:hAnsi="Arial" w:cs="Arial"/>
          <w:b/>
          <w:sz w:val="24"/>
          <w:szCs w:val="24"/>
          <w:lang w:val="en-GB"/>
        </w:rPr>
        <w:tab/>
      </w:r>
      <w:r w:rsidRPr="00093493">
        <w:rPr>
          <w:rFonts w:ascii="Arial" w:hAnsi="Arial" w:cs="Arial"/>
          <w:b/>
          <w:sz w:val="24"/>
          <w:szCs w:val="24"/>
          <w:lang w:val="en-GB"/>
        </w:rPr>
        <w:tab/>
      </w:r>
      <w:r w:rsidRPr="00093493">
        <w:rPr>
          <w:rFonts w:ascii="Arial" w:hAnsi="Arial" w:cs="Arial"/>
          <w:b/>
          <w:sz w:val="24"/>
          <w:szCs w:val="24"/>
          <w:lang w:val="en-GB"/>
        </w:rPr>
        <w:tab/>
      </w:r>
      <w:r w:rsidRPr="00093493">
        <w:rPr>
          <w:rFonts w:ascii="Arial" w:hAnsi="Arial" w:cs="Arial"/>
          <w:b/>
          <w:sz w:val="24"/>
          <w:szCs w:val="24"/>
          <w:lang w:val="en-GB"/>
        </w:rPr>
        <w:tab/>
      </w:r>
      <w:r w:rsidRPr="00093493">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sidRPr="00093493">
        <w:rPr>
          <w:rFonts w:ascii="Arial" w:hAnsi="Arial" w:cs="Arial"/>
          <w:b/>
          <w:sz w:val="24"/>
          <w:szCs w:val="24"/>
          <w:lang w:val="en-GB"/>
        </w:rPr>
        <w:t xml:space="preserve">Defendant </w:t>
      </w:r>
    </w:p>
    <w:p w14:paraId="0AE0BE10" w14:textId="77777777" w:rsidR="008C32DB" w:rsidRPr="00093493" w:rsidRDefault="008C32DB" w:rsidP="008C32DB">
      <w:pPr>
        <w:rPr>
          <w:rFonts w:ascii="Arial" w:hAnsi="Arial" w:cs="Arial"/>
          <w:b/>
          <w:sz w:val="24"/>
          <w:szCs w:val="24"/>
          <w:lang w:val="en-GB"/>
        </w:rPr>
      </w:pPr>
    </w:p>
    <w:p w14:paraId="6AE8334B" w14:textId="77777777" w:rsidR="008C32DB" w:rsidRPr="00093493" w:rsidRDefault="008C32DB" w:rsidP="008C32DB">
      <w:pPr>
        <w:rPr>
          <w:rFonts w:ascii="Arial" w:hAnsi="Arial" w:cs="Arial"/>
          <w:b/>
          <w:sz w:val="24"/>
          <w:szCs w:val="24"/>
          <w:lang w:val="en-GB"/>
        </w:rPr>
      </w:pPr>
      <w:r w:rsidRPr="00093493">
        <w:rPr>
          <w:rFonts w:ascii="Arial" w:hAnsi="Arial" w:cs="Arial"/>
          <w:b/>
          <w:sz w:val="24"/>
          <w:szCs w:val="24"/>
          <w:lang w:val="en-GB"/>
        </w:rPr>
        <w:t>Date of hearing: 27 March 2024</w:t>
      </w:r>
    </w:p>
    <w:p w14:paraId="6904A906" w14:textId="77777777" w:rsidR="008C32DB" w:rsidRPr="00093493" w:rsidRDefault="008C32DB" w:rsidP="008C32DB">
      <w:pPr>
        <w:rPr>
          <w:rFonts w:ascii="Arial" w:hAnsi="Arial" w:cs="Arial"/>
          <w:b/>
          <w:sz w:val="24"/>
          <w:szCs w:val="24"/>
          <w:lang w:val="en-GB"/>
        </w:rPr>
      </w:pPr>
      <w:r w:rsidRPr="00093493">
        <w:rPr>
          <w:rFonts w:ascii="Arial" w:hAnsi="Arial" w:cs="Arial"/>
          <w:b/>
          <w:sz w:val="24"/>
          <w:szCs w:val="24"/>
          <w:lang w:val="en-GB"/>
        </w:rPr>
        <w:t>Defendant’s written note: 3 April 2024</w:t>
      </w:r>
    </w:p>
    <w:p w14:paraId="72D530DB" w14:textId="77777777" w:rsidR="008C32DB" w:rsidRPr="00093493" w:rsidRDefault="008C32DB" w:rsidP="008C32DB">
      <w:pPr>
        <w:rPr>
          <w:rFonts w:ascii="Arial" w:hAnsi="Arial" w:cs="Arial"/>
          <w:b/>
          <w:sz w:val="24"/>
          <w:szCs w:val="24"/>
          <w:lang w:val="en-GB"/>
        </w:rPr>
      </w:pPr>
      <w:r w:rsidRPr="00093493">
        <w:rPr>
          <w:rFonts w:ascii="Arial" w:hAnsi="Arial" w:cs="Arial"/>
          <w:b/>
          <w:sz w:val="24"/>
          <w:szCs w:val="24"/>
          <w:lang w:val="en-GB"/>
        </w:rPr>
        <w:t>Plaintiff’s replying note: 5 April 2024</w:t>
      </w:r>
    </w:p>
    <w:p w14:paraId="77C02E0D" w14:textId="05DEFBF5" w:rsidR="008C32DB" w:rsidRDefault="008C32DB" w:rsidP="008C32DB">
      <w:pPr>
        <w:pBdr>
          <w:bottom w:val="single" w:sz="12" w:space="1" w:color="auto"/>
        </w:pBdr>
        <w:rPr>
          <w:rFonts w:ascii="Arial" w:hAnsi="Arial" w:cs="Arial"/>
          <w:b/>
          <w:sz w:val="24"/>
          <w:szCs w:val="24"/>
          <w:lang w:val="en-GB"/>
        </w:rPr>
      </w:pPr>
      <w:r w:rsidRPr="00093493">
        <w:rPr>
          <w:rFonts w:ascii="Arial" w:hAnsi="Arial" w:cs="Arial"/>
          <w:b/>
          <w:sz w:val="24"/>
          <w:szCs w:val="24"/>
          <w:lang w:val="en-GB"/>
        </w:rPr>
        <w:t>Judgment date:</w:t>
      </w:r>
      <w:r>
        <w:rPr>
          <w:rFonts w:ascii="Arial" w:hAnsi="Arial" w:cs="Arial"/>
          <w:b/>
          <w:sz w:val="24"/>
          <w:szCs w:val="24"/>
          <w:lang w:val="en-GB"/>
        </w:rPr>
        <w:t xml:space="preserve"> </w:t>
      </w:r>
      <w:r w:rsidR="00E910F0">
        <w:rPr>
          <w:rFonts w:ascii="Arial" w:hAnsi="Arial" w:cs="Arial"/>
          <w:b/>
          <w:sz w:val="24"/>
          <w:szCs w:val="24"/>
          <w:lang w:val="en-GB"/>
        </w:rPr>
        <w:t>6</w:t>
      </w:r>
      <w:r w:rsidRPr="00093493">
        <w:rPr>
          <w:rFonts w:ascii="Arial" w:hAnsi="Arial" w:cs="Arial"/>
          <w:b/>
          <w:sz w:val="24"/>
          <w:szCs w:val="24"/>
          <w:lang w:val="en-GB"/>
        </w:rPr>
        <w:t xml:space="preserve"> </w:t>
      </w:r>
      <w:r w:rsidRPr="007257D9">
        <w:rPr>
          <w:rFonts w:ascii="Arial" w:hAnsi="Arial" w:cs="Arial"/>
          <w:b/>
          <w:sz w:val="24"/>
          <w:szCs w:val="24"/>
          <w:lang w:val="en-GB"/>
        </w:rPr>
        <w:t>June 2024</w:t>
      </w:r>
      <w:r w:rsidRPr="00093493">
        <w:rPr>
          <w:rFonts w:ascii="Arial" w:hAnsi="Arial" w:cs="Arial"/>
          <w:b/>
          <w:sz w:val="24"/>
          <w:szCs w:val="24"/>
          <w:lang w:val="en-GB"/>
        </w:rPr>
        <w:t xml:space="preserve"> </w:t>
      </w:r>
    </w:p>
    <w:p w14:paraId="63706480" w14:textId="77777777" w:rsidR="00F37C8D" w:rsidRPr="002D13DB" w:rsidRDefault="00F37C8D" w:rsidP="0052244A">
      <w:pPr>
        <w:tabs>
          <w:tab w:val="right" w:pos="8460"/>
        </w:tabs>
        <w:jc w:val="center"/>
        <w:rPr>
          <w:rFonts w:ascii="Arial" w:eastAsiaTheme="minorEastAsia" w:hAnsi="Arial" w:cs="Arial"/>
          <w:b/>
          <w:bCs/>
          <w:sz w:val="24"/>
          <w:szCs w:val="24"/>
          <w:lang w:val="en-ZA"/>
        </w:rPr>
      </w:pPr>
    </w:p>
    <w:p w14:paraId="69CC5FA2" w14:textId="77777777" w:rsidR="0052244A" w:rsidRPr="002D13DB" w:rsidRDefault="00F37C8D" w:rsidP="0052244A">
      <w:pPr>
        <w:tabs>
          <w:tab w:val="right" w:pos="8460"/>
        </w:tabs>
        <w:jc w:val="center"/>
        <w:rPr>
          <w:rFonts w:ascii="Arial" w:eastAsiaTheme="minorEastAsia" w:hAnsi="Arial" w:cs="Arial"/>
          <w:b/>
          <w:bCs/>
          <w:sz w:val="24"/>
          <w:szCs w:val="24"/>
          <w:lang w:val="en-ZA"/>
        </w:rPr>
      </w:pPr>
      <w:r w:rsidRPr="002D13DB">
        <w:rPr>
          <w:rFonts w:ascii="Arial" w:eastAsiaTheme="minorEastAsia" w:hAnsi="Arial" w:cs="Arial"/>
          <w:b/>
          <w:bCs/>
          <w:sz w:val="24"/>
          <w:szCs w:val="24"/>
          <w:lang w:val="en-ZA"/>
        </w:rPr>
        <w:t xml:space="preserve">JUDGMENT   </w:t>
      </w:r>
    </w:p>
    <w:p w14:paraId="607DC196" w14:textId="4FE501A5" w:rsidR="0052244A" w:rsidRPr="002D13DB" w:rsidRDefault="0052244A" w:rsidP="0052244A">
      <w:pPr>
        <w:tabs>
          <w:tab w:val="right" w:pos="8460"/>
        </w:tabs>
        <w:rPr>
          <w:rFonts w:ascii="Arial" w:eastAsiaTheme="minorEastAsia" w:hAnsi="Arial" w:cs="Arial"/>
          <w:b/>
          <w:bCs/>
          <w:sz w:val="24"/>
          <w:szCs w:val="24"/>
          <w:lang w:val="en-ZA"/>
        </w:rPr>
      </w:pPr>
      <w:r w:rsidRPr="002D13DB">
        <w:rPr>
          <w:rFonts w:ascii="Arial" w:eastAsiaTheme="minorEastAsia" w:hAnsi="Arial" w:cs="Arial"/>
          <w:b/>
          <w:bCs/>
          <w:sz w:val="24"/>
          <w:szCs w:val="24"/>
          <w:lang w:val="en-ZA"/>
        </w:rPr>
        <w:t>________________________________________________________________</w:t>
      </w:r>
      <w:r w:rsidR="002821D0">
        <w:rPr>
          <w:rFonts w:ascii="Arial" w:eastAsiaTheme="minorEastAsia" w:hAnsi="Arial" w:cs="Arial"/>
          <w:b/>
          <w:bCs/>
          <w:sz w:val="24"/>
          <w:szCs w:val="24"/>
          <w:lang w:val="en-ZA"/>
        </w:rPr>
        <w:t>______</w:t>
      </w:r>
    </w:p>
    <w:p w14:paraId="53787B5F" w14:textId="77777777" w:rsidR="0052244A" w:rsidRDefault="0052244A" w:rsidP="0052244A">
      <w:pPr>
        <w:tabs>
          <w:tab w:val="right" w:pos="8460"/>
        </w:tabs>
        <w:rPr>
          <w:rFonts w:ascii="Arial" w:eastAsiaTheme="minorEastAsia" w:hAnsi="Arial" w:cs="Arial"/>
          <w:b/>
          <w:bCs/>
          <w:sz w:val="24"/>
          <w:szCs w:val="24"/>
          <w:lang w:val="en-ZA"/>
        </w:rPr>
      </w:pPr>
    </w:p>
    <w:p w14:paraId="541AA3AC" w14:textId="317E15AF" w:rsidR="007415BE" w:rsidRPr="00144E96" w:rsidRDefault="008C32DB" w:rsidP="008C32DB">
      <w:pPr>
        <w:jc w:val="left"/>
        <w:rPr>
          <w:rFonts w:ascii="Arial" w:hAnsi="Arial" w:cs="Arial"/>
          <w:b/>
          <w:sz w:val="24"/>
          <w:szCs w:val="24"/>
          <w:lang w:val="en-GB"/>
        </w:rPr>
      </w:pPr>
      <w:r>
        <w:rPr>
          <w:rFonts w:ascii="Arial" w:hAnsi="Arial" w:cs="Arial"/>
          <w:b/>
          <w:sz w:val="24"/>
          <w:szCs w:val="24"/>
          <w:lang w:val="en-GB"/>
        </w:rPr>
        <w:t xml:space="preserve">PANGARKER AJ </w:t>
      </w:r>
    </w:p>
    <w:p w14:paraId="4C1C8EC4" w14:textId="77777777" w:rsidR="007415BE" w:rsidRDefault="007415BE" w:rsidP="008C32DB">
      <w:pPr>
        <w:jc w:val="left"/>
        <w:rPr>
          <w:rFonts w:ascii="Arial" w:hAnsi="Arial" w:cs="Arial"/>
          <w:b/>
          <w:sz w:val="24"/>
          <w:szCs w:val="24"/>
          <w:u w:val="single"/>
          <w:lang w:val="en-GB"/>
        </w:rPr>
      </w:pPr>
    </w:p>
    <w:p w14:paraId="024D038B" w14:textId="154D28A2" w:rsidR="008C32DB" w:rsidRPr="007907F1" w:rsidRDefault="008C32DB" w:rsidP="008C32DB">
      <w:pPr>
        <w:jc w:val="left"/>
        <w:rPr>
          <w:rFonts w:ascii="Arial" w:hAnsi="Arial" w:cs="Arial"/>
          <w:b/>
          <w:sz w:val="24"/>
          <w:szCs w:val="24"/>
          <w:u w:val="single"/>
          <w:lang w:val="en-GB"/>
        </w:rPr>
      </w:pPr>
      <w:r w:rsidRPr="007907F1">
        <w:rPr>
          <w:rFonts w:ascii="Arial" w:hAnsi="Arial" w:cs="Arial"/>
          <w:b/>
          <w:sz w:val="24"/>
          <w:szCs w:val="24"/>
          <w:u w:val="single"/>
          <w:lang w:val="en-GB"/>
        </w:rPr>
        <w:t xml:space="preserve">The Plaintiff’s claim for past medical, hospital and related expenses </w:t>
      </w:r>
    </w:p>
    <w:p w14:paraId="5F8D9920" w14:textId="77777777" w:rsidR="008C32DB" w:rsidRDefault="008C32DB" w:rsidP="008C32DB">
      <w:pPr>
        <w:jc w:val="left"/>
        <w:rPr>
          <w:rFonts w:ascii="Arial" w:hAnsi="Arial" w:cs="Arial"/>
          <w:sz w:val="24"/>
          <w:szCs w:val="24"/>
          <w:lang w:val="en-GB"/>
        </w:rPr>
      </w:pPr>
    </w:p>
    <w:p w14:paraId="56385238" w14:textId="77777777" w:rsidR="008C32DB" w:rsidRDefault="008C32DB" w:rsidP="008C32DB">
      <w:pPr>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t xml:space="preserve">On 23 August 2013 the plaintiff was involved in a motor vehicle collision on the R321 between </w:t>
      </w:r>
      <w:proofErr w:type="spellStart"/>
      <w:r>
        <w:rPr>
          <w:rFonts w:ascii="Arial" w:hAnsi="Arial" w:cs="Arial"/>
          <w:sz w:val="24"/>
          <w:szCs w:val="24"/>
          <w:lang w:val="en-GB"/>
        </w:rPr>
        <w:t>Grabouw</w:t>
      </w:r>
      <w:proofErr w:type="spellEnd"/>
      <w:r>
        <w:rPr>
          <w:rFonts w:ascii="Arial" w:hAnsi="Arial" w:cs="Arial"/>
          <w:sz w:val="24"/>
          <w:szCs w:val="24"/>
          <w:lang w:val="en-GB"/>
        </w:rPr>
        <w:t xml:space="preserve"> and </w:t>
      </w:r>
      <w:proofErr w:type="spellStart"/>
      <w:r>
        <w:rPr>
          <w:rFonts w:ascii="Arial" w:hAnsi="Arial" w:cs="Arial"/>
          <w:sz w:val="24"/>
          <w:szCs w:val="24"/>
          <w:lang w:val="en-GB"/>
        </w:rPr>
        <w:t>Villiersdorp</w:t>
      </w:r>
      <w:proofErr w:type="spellEnd"/>
      <w:r>
        <w:rPr>
          <w:rFonts w:ascii="Arial" w:hAnsi="Arial" w:cs="Arial"/>
          <w:sz w:val="24"/>
          <w:szCs w:val="24"/>
          <w:lang w:val="en-GB"/>
        </w:rPr>
        <w:t xml:space="preserve">, when the vehicle in which she was travelling as </w:t>
      </w:r>
      <w:r>
        <w:rPr>
          <w:rFonts w:ascii="Arial" w:hAnsi="Arial" w:cs="Arial"/>
          <w:sz w:val="24"/>
          <w:szCs w:val="24"/>
          <w:lang w:val="en-GB"/>
        </w:rPr>
        <w:lastRenderedPageBreak/>
        <w:t xml:space="preserve">a passenger collided with another vehicle and a truck. At the time, the plaintiff’s husband was the driver of the vehicle, and as a consequence of the collision, he succumbed to his injuries and passed away at the scene. In her amended Particulars of Claim, the plaintiff pleads that the collision was caused by the sole negligence of the driver of the truck. </w:t>
      </w:r>
    </w:p>
    <w:p w14:paraId="49B706E9" w14:textId="77777777" w:rsidR="008C32DB" w:rsidRDefault="008C32DB" w:rsidP="008C32DB">
      <w:pPr>
        <w:rPr>
          <w:rFonts w:ascii="Arial" w:hAnsi="Arial" w:cs="Arial"/>
          <w:sz w:val="24"/>
          <w:szCs w:val="24"/>
          <w:lang w:val="en-GB"/>
        </w:rPr>
      </w:pPr>
    </w:p>
    <w:p w14:paraId="0D90E6F3" w14:textId="47597059" w:rsidR="008C32DB" w:rsidRDefault="008C32DB" w:rsidP="008C32DB">
      <w:pPr>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t>The plaintiff pleads that as a result of the collision, she suffered damages comprising of past medical and related expenses, future medical costs, future loss of earnings and general damages totalling R2 201 188, 23. A day before the trial date, the parties reached agreement on liability, future hospital, medical and related expenses, loss of income and general damages.  I was informed in an updated Joint Practice Note that the parties had not settled the plaintiff’s claim for past medical, hospital and related expenses and costs</w:t>
      </w:r>
      <w:r w:rsidR="007861B5">
        <w:rPr>
          <w:rFonts w:ascii="Arial" w:hAnsi="Arial" w:cs="Arial"/>
          <w:sz w:val="24"/>
          <w:szCs w:val="24"/>
          <w:lang w:val="en-GB"/>
        </w:rPr>
        <w:t>,</w:t>
      </w:r>
      <w:r>
        <w:rPr>
          <w:rFonts w:ascii="Arial" w:hAnsi="Arial" w:cs="Arial"/>
          <w:sz w:val="24"/>
          <w:szCs w:val="24"/>
          <w:lang w:val="en-GB"/>
        </w:rPr>
        <w:t xml:space="preserve"> thus the trial was to proceed on these limited issue only. </w:t>
      </w:r>
    </w:p>
    <w:p w14:paraId="0AF8A4A3" w14:textId="77777777" w:rsidR="008C32DB" w:rsidRDefault="008C32DB" w:rsidP="008C32DB">
      <w:pPr>
        <w:rPr>
          <w:rFonts w:ascii="Arial" w:hAnsi="Arial" w:cs="Arial"/>
          <w:sz w:val="24"/>
          <w:szCs w:val="24"/>
          <w:lang w:val="en-GB"/>
        </w:rPr>
      </w:pPr>
    </w:p>
    <w:p w14:paraId="7FD0C911" w14:textId="1396BA9E" w:rsidR="008C32DB" w:rsidRDefault="008C32DB" w:rsidP="008C32DB">
      <w:pPr>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t xml:space="preserve">At the hearing on 27 March, counsel for the plaintiff handed up two proposed Draft Orders for consideration. Following on from the above introduction, it follows thus that the only issues in dispute at the time of the trial were the plaintiff’s amended claim for past hospital, medical and related expenses, and costs. However, the defendant’s approach subsequent to the hearing of evidence, dictated otherwise. The plaintiff was the only witness to testify in the trial </w:t>
      </w:r>
      <w:r w:rsidR="007861B5">
        <w:rPr>
          <w:rFonts w:ascii="Arial" w:hAnsi="Arial" w:cs="Arial"/>
          <w:sz w:val="24"/>
          <w:szCs w:val="24"/>
          <w:lang w:val="en-GB"/>
        </w:rPr>
        <w:t>in respect of her claim for past hospital and medical expenses</w:t>
      </w:r>
      <w:r>
        <w:rPr>
          <w:rFonts w:ascii="Arial" w:hAnsi="Arial" w:cs="Arial"/>
          <w:sz w:val="24"/>
          <w:szCs w:val="24"/>
          <w:lang w:val="en-GB"/>
        </w:rPr>
        <w:t xml:space="preserve">.   </w:t>
      </w:r>
    </w:p>
    <w:p w14:paraId="07BE98CD" w14:textId="77777777" w:rsidR="008C32DB" w:rsidRDefault="008C32DB" w:rsidP="008C32DB">
      <w:pPr>
        <w:rPr>
          <w:rFonts w:ascii="Arial" w:hAnsi="Arial" w:cs="Arial"/>
          <w:sz w:val="24"/>
          <w:szCs w:val="24"/>
          <w:lang w:val="en-GB"/>
        </w:rPr>
      </w:pPr>
    </w:p>
    <w:p w14:paraId="35F89B42" w14:textId="77777777" w:rsidR="008C32DB" w:rsidRDefault="008C32DB" w:rsidP="008C32DB">
      <w:pPr>
        <w:rPr>
          <w:rFonts w:ascii="Arial" w:hAnsi="Arial" w:cs="Arial"/>
          <w:sz w:val="24"/>
          <w:szCs w:val="24"/>
          <w:lang w:val="en-GB"/>
        </w:rPr>
      </w:pPr>
    </w:p>
    <w:p w14:paraId="1D6901F4" w14:textId="77777777" w:rsidR="008C32DB" w:rsidRPr="00BD1CCF" w:rsidRDefault="008C32DB" w:rsidP="008C32DB">
      <w:pPr>
        <w:rPr>
          <w:rFonts w:ascii="Arial" w:hAnsi="Arial" w:cs="Arial"/>
          <w:b/>
          <w:sz w:val="24"/>
          <w:szCs w:val="24"/>
          <w:u w:val="single"/>
          <w:lang w:val="en-GB"/>
        </w:rPr>
      </w:pPr>
      <w:r w:rsidRPr="00BD1CCF">
        <w:rPr>
          <w:rFonts w:ascii="Arial" w:hAnsi="Arial" w:cs="Arial"/>
          <w:b/>
          <w:sz w:val="24"/>
          <w:szCs w:val="24"/>
          <w:u w:val="single"/>
          <w:lang w:val="en-GB"/>
        </w:rPr>
        <w:t>The plaintiff’s case</w:t>
      </w:r>
    </w:p>
    <w:p w14:paraId="607CB259" w14:textId="77777777" w:rsidR="008C32DB" w:rsidRDefault="008C32DB" w:rsidP="008C32DB">
      <w:pPr>
        <w:rPr>
          <w:rFonts w:ascii="Arial" w:hAnsi="Arial" w:cs="Arial"/>
          <w:sz w:val="24"/>
          <w:szCs w:val="24"/>
          <w:lang w:val="en-GB"/>
        </w:rPr>
      </w:pPr>
    </w:p>
    <w:p w14:paraId="2AD2EFD4" w14:textId="77777777" w:rsidR="008C32DB" w:rsidRDefault="008C32DB" w:rsidP="008C32DB">
      <w:pPr>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t xml:space="preserve">The plaintiff testified that she was 67 years old and a retired school teacher. As a result of the collision in August 2013, she suffered the following injuries: a fracture of the right wrist and right thumb, a laceration to her left leg, fracture of the left knee joint, rib fractures, a fracture of the C6 spinal vertebrae and a compression of the lumbar vertebrae.  </w:t>
      </w:r>
    </w:p>
    <w:p w14:paraId="79475647" w14:textId="77777777" w:rsidR="008C32DB" w:rsidRDefault="008C32DB" w:rsidP="008C32DB">
      <w:pPr>
        <w:rPr>
          <w:rFonts w:ascii="Arial" w:hAnsi="Arial" w:cs="Arial"/>
          <w:sz w:val="24"/>
          <w:szCs w:val="24"/>
          <w:lang w:val="en-GB"/>
        </w:rPr>
      </w:pPr>
    </w:p>
    <w:p w14:paraId="40C5DFD3" w14:textId="4006EEF0" w:rsidR="008C32DB" w:rsidRDefault="008C32DB" w:rsidP="008C32DB">
      <w:pPr>
        <w:rPr>
          <w:rFonts w:ascii="Arial" w:hAnsi="Arial" w:cs="Arial"/>
          <w:sz w:val="24"/>
          <w:szCs w:val="24"/>
          <w:lang w:val="en-GB"/>
        </w:rPr>
      </w:pPr>
      <w:r>
        <w:rPr>
          <w:rFonts w:ascii="Arial" w:hAnsi="Arial" w:cs="Arial"/>
          <w:sz w:val="24"/>
          <w:szCs w:val="24"/>
          <w:lang w:val="en-GB"/>
        </w:rPr>
        <w:t>5.</w:t>
      </w:r>
      <w:r>
        <w:rPr>
          <w:rFonts w:ascii="Arial" w:hAnsi="Arial" w:cs="Arial"/>
          <w:sz w:val="24"/>
          <w:szCs w:val="24"/>
          <w:lang w:val="en-GB"/>
        </w:rPr>
        <w:tab/>
        <w:t xml:space="preserve">A schedule setting out the expenses and vouchers related to the plaintiff’s medical and hospital treatment received in relation to her injuries was handed into evidence during </w:t>
      </w:r>
      <w:r>
        <w:rPr>
          <w:rFonts w:ascii="Arial" w:hAnsi="Arial" w:cs="Arial"/>
          <w:sz w:val="24"/>
          <w:szCs w:val="24"/>
          <w:lang w:val="en-GB"/>
        </w:rPr>
        <w:lastRenderedPageBreak/>
        <w:t xml:space="preserve">the trial and admitted as Exhibit A. The plaintiff was taken through the schedule and invoices, explaining what each one entailed. She was transported from the accident scene to the </w:t>
      </w:r>
      <w:proofErr w:type="spellStart"/>
      <w:r>
        <w:rPr>
          <w:rFonts w:ascii="Arial" w:hAnsi="Arial" w:cs="Arial"/>
          <w:sz w:val="24"/>
          <w:szCs w:val="24"/>
          <w:lang w:val="en-GB"/>
        </w:rPr>
        <w:t>Vergelegen</w:t>
      </w:r>
      <w:proofErr w:type="spellEnd"/>
      <w:r>
        <w:rPr>
          <w:rFonts w:ascii="Arial" w:hAnsi="Arial" w:cs="Arial"/>
          <w:sz w:val="24"/>
          <w:szCs w:val="24"/>
          <w:lang w:val="en-GB"/>
        </w:rPr>
        <w:t xml:space="preserve"> Medi Clinic where she underwent surgery</w:t>
      </w:r>
      <w:r>
        <w:rPr>
          <w:rStyle w:val="FootnoteReference"/>
          <w:rFonts w:ascii="Arial" w:hAnsi="Arial" w:cs="Arial"/>
          <w:sz w:val="24"/>
          <w:szCs w:val="24"/>
          <w:lang w:val="en-GB"/>
        </w:rPr>
        <w:footnoteReference w:id="1"/>
      </w:r>
      <w:r>
        <w:rPr>
          <w:rFonts w:ascii="Arial" w:hAnsi="Arial" w:cs="Arial"/>
          <w:sz w:val="24"/>
          <w:szCs w:val="24"/>
          <w:lang w:val="en-GB"/>
        </w:rPr>
        <w:t xml:space="preserve"> and was later discharged on 17 September 2013. The plaintiff confirmed the injuries which she sustained, the treatment received and medical expenses related to these treatments, </w:t>
      </w:r>
      <w:r w:rsidR="007861B5">
        <w:rPr>
          <w:rFonts w:ascii="Arial" w:hAnsi="Arial" w:cs="Arial"/>
          <w:sz w:val="24"/>
          <w:szCs w:val="24"/>
          <w:lang w:val="en-GB"/>
        </w:rPr>
        <w:t>(</w:t>
      </w:r>
      <w:r>
        <w:rPr>
          <w:rFonts w:ascii="Arial" w:hAnsi="Arial" w:cs="Arial"/>
          <w:sz w:val="24"/>
          <w:szCs w:val="24"/>
          <w:lang w:val="en-GB"/>
        </w:rPr>
        <w:t>including prescription medication</w:t>
      </w:r>
      <w:r w:rsidR="007861B5">
        <w:rPr>
          <w:rFonts w:ascii="Arial" w:hAnsi="Arial" w:cs="Arial"/>
          <w:sz w:val="24"/>
          <w:szCs w:val="24"/>
          <w:lang w:val="en-GB"/>
        </w:rPr>
        <w:t>)</w:t>
      </w:r>
      <w:r>
        <w:rPr>
          <w:rFonts w:ascii="Arial" w:hAnsi="Arial" w:cs="Arial"/>
          <w:sz w:val="24"/>
          <w:szCs w:val="24"/>
          <w:lang w:val="en-GB"/>
        </w:rPr>
        <w:t xml:space="preserve"> some of which are set out briefly below.</w:t>
      </w:r>
    </w:p>
    <w:p w14:paraId="02286937" w14:textId="77777777" w:rsidR="008C32DB" w:rsidRDefault="008C32DB" w:rsidP="008C32DB">
      <w:pPr>
        <w:rPr>
          <w:rFonts w:ascii="Arial" w:hAnsi="Arial" w:cs="Arial"/>
          <w:sz w:val="24"/>
          <w:szCs w:val="24"/>
          <w:lang w:val="en-GB"/>
        </w:rPr>
      </w:pPr>
      <w:r>
        <w:rPr>
          <w:rFonts w:ascii="Arial" w:hAnsi="Arial" w:cs="Arial"/>
          <w:sz w:val="24"/>
          <w:szCs w:val="24"/>
          <w:lang w:val="en-GB"/>
        </w:rPr>
        <w:t xml:space="preserve">  </w:t>
      </w:r>
    </w:p>
    <w:p w14:paraId="63590200" w14:textId="572FECDD" w:rsidR="008C32DB" w:rsidRDefault="008C32DB" w:rsidP="008C32DB">
      <w:pPr>
        <w:rPr>
          <w:rFonts w:ascii="Arial" w:hAnsi="Arial" w:cs="Arial"/>
          <w:sz w:val="24"/>
          <w:szCs w:val="24"/>
          <w:lang w:val="en-GB"/>
        </w:rPr>
      </w:pPr>
      <w:r>
        <w:rPr>
          <w:rFonts w:ascii="Arial" w:hAnsi="Arial" w:cs="Arial"/>
          <w:sz w:val="24"/>
          <w:szCs w:val="24"/>
          <w:lang w:val="en-GB"/>
        </w:rPr>
        <w:t>6.</w:t>
      </w:r>
      <w:r>
        <w:rPr>
          <w:rFonts w:ascii="Arial" w:hAnsi="Arial" w:cs="Arial"/>
          <w:sz w:val="24"/>
          <w:szCs w:val="24"/>
          <w:lang w:val="en-GB"/>
        </w:rPr>
        <w:tab/>
        <w:t>On 4 December 2014, the plate and screws implanted in the plaintiff’s right thumb and wrist were removed at Panorama Mediclinic</w:t>
      </w:r>
      <w:r>
        <w:rPr>
          <w:rStyle w:val="FootnoteReference"/>
          <w:rFonts w:ascii="Arial" w:hAnsi="Arial" w:cs="Arial"/>
          <w:sz w:val="24"/>
          <w:szCs w:val="24"/>
          <w:lang w:val="en-GB"/>
        </w:rPr>
        <w:footnoteReference w:id="2"/>
      </w:r>
      <w:r>
        <w:rPr>
          <w:rFonts w:ascii="Arial" w:hAnsi="Arial" w:cs="Arial"/>
          <w:sz w:val="24"/>
          <w:szCs w:val="24"/>
          <w:lang w:val="en-GB"/>
        </w:rPr>
        <w:t xml:space="preserve">. A Pathcare account for blood tests during her hospital stay as an in-patient was also confirmed. </w:t>
      </w:r>
    </w:p>
    <w:p w14:paraId="68AE9B7B" w14:textId="77777777" w:rsidR="008C32DB" w:rsidRDefault="008C32DB" w:rsidP="008C32DB">
      <w:pPr>
        <w:rPr>
          <w:rFonts w:ascii="Arial" w:hAnsi="Arial" w:cs="Arial"/>
          <w:sz w:val="24"/>
          <w:szCs w:val="24"/>
          <w:lang w:val="en-GB"/>
        </w:rPr>
      </w:pPr>
    </w:p>
    <w:p w14:paraId="0D8FBA98" w14:textId="32C81881" w:rsidR="008C32DB" w:rsidRDefault="008C32DB" w:rsidP="008C32DB">
      <w:pPr>
        <w:rPr>
          <w:rFonts w:ascii="Arial" w:hAnsi="Arial" w:cs="Arial"/>
          <w:sz w:val="24"/>
          <w:szCs w:val="24"/>
          <w:lang w:val="en-GB"/>
        </w:rPr>
      </w:pPr>
      <w:r>
        <w:rPr>
          <w:rFonts w:ascii="Arial" w:hAnsi="Arial" w:cs="Arial"/>
          <w:sz w:val="24"/>
          <w:szCs w:val="24"/>
          <w:lang w:val="en-GB"/>
        </w:rPr>
        <w:t>7.</w:t>
      </w:r>
      <w:r>
        <w:rPr>
          <w:rFonts w:ascii="Arial" w:hAnsi="Arial" w:cs="Arial"/>
          <w:sz w:val="24"/>
          <w:szCs w:val="24"/>
          <w:lang w:val="en-GB"/>
        </w:rPr>
        <w:tab/>
        <w:t xml:space="preserve">The plaintiff was taken through the following further invoices for treatment from medical service providers and confirmed the correctness thereof:  </w:t>
      </w:r>
    </w:p>
    <w:p w14:paraId="5DF604D3" w14:textId="77777777" w:rsidR="008C32DB" w:rsidRDefault="008C32DB" w:rsidP="008C32DB">
      <w:pPr>
        <w:rPr>
          <w:rFonts w:ascii="Arial" w:hAnsi="Arial" w:cs="Arial"/>
          <w:sz w:val="24"/>
          <w:szCs w:val="24"/>
          <w:lang w:val="en-GB"/>
        </w:rPr>
      </w:pPr>
    </w:p>
    <w:p w14:paraId="422407EA" w14:textId="77777777" w:rsidR="008C32DB" w:rsidRDefault="008C32DB" w:rsidP="008C32DB">
      <w:pPr>
        <w:ind w:firstLine="720"/>
        <w:rPr>
          <w:rFonts w:ascii="Arial" w:hAnsi="Arial" w:cs="Arial"/>
          <w:sz w:val="24"/>
          <w:szCs w:val="24"/>
          <w:lang w:val="en-GB"/>
        </w:rPr>
      </w:pPr>
      <w:r>
        <w:rPr>
          <w:rFonts w:ascii="Arial" w:hAnsi="Arial" w:cs="Arial"/>
          <w:sz w:val="24"/>
          <w:szCs w:val="24"/>
          <w:lang w:val="en-GB"/>
        </w:rPr>
        <w:t>7.1</w:t>
      </w:r>
      <w:r>
        <w:rPr>
          <w:rFonts w:ascii="Arial" w:hAnsi="Arial" w:cs="Arial"/>
          <w:sz w:val="24"/>
          <w:szCs w:val="24"/>
          <w:lang w:val="en-GB"/>
        </w:rPr>
        <w:tab/>
        <w:t xml:space="preserve">Dr F Wahl, orthopaedic surgeon, </w:t>
      </w:r>
      <w:proofErr w:type="spellStart"/>
      <w:r>
        <w:rPr>
          <w:rFonts w:ascii="Arial" w:hAnsi="Arial" w:cs="Arial"/>
          <w:sz w:val="24"/>
          <w:szCs w:val="24"/>
          <w:lang w:val="en-GB"/>
        </w:rPr>
        <w:t>Vergelegen</w:t>
      </w:r>
      <w:proofErr w:type="spellEnd"/>
      <w:r>
        <w:rPr>
          <w:rFonts w:ascii="Arial" w:hAnsi="Arial" w:cs="Arial"/>
          <w:sz w:val="24"/>
          <w:szCs w:val="24"/>
          <w:lang w:val="en-GB"/>
        </w:rPr>
        <w:t xml:space="preserve"> Mediclinic</w:t>
      </w:r>
      <w:r>
        <w:rPr>
          <w:rStyle w:val="FootnoteReference"/>
          <w:rFonts w:ascii="Arial" w:hAnsi="Arial" w:cs="Arial"/>
          <w:sz w:val="24"/>
          <w:szCs w:val="24"/>
          <w:lang w:val="en-GB"/>
        </w:rPr>
        <w:footnoteReference w:id="3"/>
      </w:r>
      <w:r>
        <w:rPr>
          <w:rFonts w:ascii="Arial" w:hAnsi="Arial" w:cs="Arial"/>
          <w:sz w:val="24"/>
          <w:szCs w:val="24"/>
          <w:lang w:val="en-GB"/>
        </w:rPr>
        <w:t>;</w:t>
      </w:r>
    </w:p>
    <w:p w14:paraId="7B50801C" w14:textId="77777777" w:rsidR="008C32DB" w:rsidRDefault="008C32DB" w:rsidP="008C32DB">
      <w:pPr>
        <w:rPr>
          <w:rFonts w:ascii="Arial" w:hAnsi="Arial" w:cs="Arial"/>
          <w:sz w:val="24"/>
          <w:szCs w:val="24"/>
          <w:lang w:val="en-GB"/>
        </w:rPr>
      </w:pPr>
    </w:p>
    <w:p w14:paraId="5A4FA5C9" w14:textId="77777777" w:rsidR="008C32DB" w:rsidRDefault="008C32DB" w:rsidP="008C32DB">
      <w:pPr>
        <w:ind w:firstLine="720"/>
        <w:rPr>
          <w:rFonts w:ascii="Arial" w:hAnsi="Arial" w:cs="Arial"/>
          <w:sz w:val="24"/>
          <w:szCs w:val="24"/>
          <w:lang w:val="en-GB"/>
        </w:rPr>
      </w:pPr>
      <w:r>
        <w:rPr>
          <w:rFonts w:ascii="Arial" w:hAnsi="Arial" w:cs="Arial"/>
          <w:sz w:val="24"/>
          <w:szCs w:val="24"/>
          <w:lang w:val="en-GB"/>
        </w:rPr>
        <w:t>7.2</w:t>
      </w:r>
      <w:r>
        <w:rPr>
          <w:rFonts w:ascii="Arial" w:hAnsi="Arial" w:cs="Arial"/>
          <w:sz w:val="24"/>
          <w:szCs w:val="24"/>
          <w:lang w:val="en-GB"/>
        </w:rPr>
        <w:tab/>
        <w:t>Dr R Donald, anaesthesiologist – treatment to right index finger</w:t>
      </w:r>
      <w:r>
        <w:rPr>
          <w:rStyle w:val="FootnoteReference"/>
          <w:rFonts w:ascii="Arial" w:hAnsi="Arial" w:cs="Arial"/>
          <w:sz w:val="24"/>
          <w:szCs w:val="24"/>
          <w:lang w:val="en-GB"/>
        </w:rPr>
        <w:footnoteReference w:id="4"/>
      </w:r>
      <w:r>
        <w:rPr>
          <w:rFonts w:ascii="Arial" w:hAnsi="Arial" w:cs="Arial"/>
          <w:sz w:val="24"/>
          <w:szCs w:val="24"/>
          <w:lang w:val="en-GB"/>
        </w:rPr>
        <w:t>;</w:t>
      </w:r>
    </w:p>
    <w:p w14:paraId="3C97F459" w14:textId="77777777" w:rsidR="008C32DB" w:rsidRDefault="008C32DB" w:rsidP="008C32DB">
      <w:pPr>
        <w:rPr>
          <w:rFonts w:ascii="Arial" w:hAnsi="Arial" w:cs="Arial"/>
          <w:sz w:val="24"/>
          <w:szCs w:val="24"/>
          <w:lang w:val="en-GB"/>
        </w:rPr>
      </w:pPr>
    </w:p>
    <w:p w14:paraId="2C85DC7D" w14:textId="77777777" w:rsidR="008C32DB" w:rsidRDefault="008C32DB" w:rsidP="008C32DB">
      <w:pPr>
        <w:ind w:firstLine="720"/>
        <w:rPr>
          <w:rFonts w:ascii="Arial" w:hAnsi="Arial" w:cs="Arial"/>
          <w:sz w:val="24"/>
          <w:szCs w:val="24"/>
          <w:lang w:val="en-GB"/>
        </w:rPr>
      </w:pPr>
      <w:r>
        <w:rPr>
          <w:rFonts w:ascii="Arial" w:hAnsi="Arial" w:cs="Arial"/>
          <w:sz w:val="24"/>
          <w:szCs w:val="24"/>
          <w:lang w:val="en-GB"/>
        </w:rPr>
        <w:t>7.3</w:t>
      </w:r>
      <w:r>
        <w:rPr>
          <w:rFonts w:ascii="Arial" w:hAnsi="Arial" w:cs="Arial"/>
          <w:sz w:val="24"/>
          <w:szCs w:val="24"/>
          <w:lang w:val="en-GB"/>
        </w:rPr>
        <w:tab/>
        <w:t>Dr DD De Villiers, anaesthesiologist – right hand and tibia fracture</w:t>
      </w:r>
      <w:r>
        <w:rPr>
          <w:rStyle w:val="FootnoteReference"/>
          <w:rFonts w:ascii="Arial" w:hAnsi="Arial" w:cs="Arial"/>
          <w:sz w:val="24"/>
          <w:szCs w:val="24"/>
          <w:lang w:val="en-GB"/>
        </w:rPr>
        <w:footnoteReference w:id="5"/>
      </w:r>
      <w:r>
        <w:rPr>
          <w:rFonts w:ascii="Arial" w:hAnsi="Arial" w:cs="Arial"/>
          <w:sz w:val="24"/>
          <w:szCs w:val="24"/>
          <w:lang w:val="en-GB"/>
        </w:rPr>
        <w:t>;</w:t>
      </w:r>
    </w:p>
    <w:p w14:paraId="26687F4E" w14:textId="77777777" w:rsidR="008C32DB" w:rsidRDefault="008C32DB" w:rsidP="008C32DB">
      <w:pPr>
        <w:rPr>
          <w:rFonts w:ascii="Arial" w:hAnsi="Arial" w:cs="Arial"/>
          <w:sz w:val="24"/>
          <w:szCs w:val="24"/>
          <w:lang w:val="en-GB"/>
        </w:rPr>
      </w:pPr>
    </w:p>
    <w:p w14:paraId="11E8894A" w14:textId="77777777" w:rsidR="008C32DB" w:rsidRDefault="008C32DB" w:rsidP="008C32DB">
      <w:pPr>
        <w:ind w:firstLine="720"/>
        <w:rPr>
          <w:rFonts w:ascii="Arial" w:hAnsi="Arial" w:cs="Arial"/>
          <w:sz w:val="24"/>
          <w:szCs w:val="24"/>
          <w:lang w:val="en-GB"/>
        </w:rPr>
      </w:pPr>
      <w:r>
        <w:rPr>
          <w:rFonts w:ascii="Arial" w:hAnsi="Arial" w:cs="Arial"/>
          <w:sz w:val="24"/>
          <w:szCs w:val="24"/>
          <w:lang w:val="en-GB"/>
        </w:rPr>
        <w:t>7.4</w:t>
      </w:r>
      <w:r>
        <w:rPr>
          <w:rFonts w:ascii="Arial" w:hAnsi="Arial" w:cs="Arial"/>
          <w:sz w:val="24"/>
          <w:szCs w:val="24"/>
          <w:lang w:val="en-GB"/>
        </w:rPr>
        <w:tab/>
        <w:t>Dr KL Keet, anaesthesiologist – emergency admission</w:t>
      </w:r>
      <w:r>
        <w:rPr>
          <w:rStyle w:val="FootnoteReference"/>
          <w:rFonts w:ascii="Arial" w:hAnsi="Arial" w:cs="Arial"/>
          <w:sz w:val="24"/>
          <w:szCs w:val="24"/>
          <w:lang w:val="en-GB"/>
        </w:rPr>
        <w:footnoteReference w:id="6"/>
      </w:r>
      <w:r>
        <w:rPr>
          <w:rFonts w:ascii="Arial" w:hAnsi="Arial" w:cs="Arial"/>
          <w:sz w:val="24"/>
          <w:szCs w:val="24"/>
          <w:lang w:val="en-GB"/>
        </w:rPr>
        <w:t>;</w:t>
      </w:r>
    </w:p>
    <w:p w14:paraId="20E786F8" w14:textId="77777777" w:rsidR="008C32DB" w:rsidRDefault="008C32DB" w:rsidP="008C32DB">
      <w:pPr>
        <w:rPr>
          <w:rFonts w:ascii="Arial" w:hAnsi="Arial" w:cs="Arial"/>
          <w:sz w:val="24"/>
          <w:szCs w:val="24"/>
          <w:lang w:val="en-GB"/>
        </w:rPr>
      </w:pPr>
    </w:p>
    <w:p w14:paraId="6D319C93" w14:textId="77777777" w:rsidR="008C32DB" w:rsidRDefault="008C32DB" w:rsidP="008C32DB">
      <w:pPr>
        <w:ind w:left="1440" w:hanging="720"/>
        <w:rPr>
          <w:rFonts w:ascii="Arial" w:hAnsi="Arial" w:cs="Arial"/>
          <w:sz w:val="24"/>
          <w:szCs w:val="24"/>
          <w:lang w:val="en-GB"/>
        </w:rPr>
      </w:pPr>
      <w:r>
        <w:rPr>
          <w:rFonts w:ascii="Arial" w:hAnsi="Arial" w:cs="Arial"/>
          <w:sz w:val="24"/>
          <w:szCs w:val="24"/>
          <w:lang w:val="en-GB"/>
        </w:rPr>
        <w:t>7.5</w:t>
      </w:r>
      <w:r>
        <w:rPr>
          <w:rFonts w:ascii="Arial" w:hAnsi="Arial" w:cs="Arial"/>
          <w:sz w:val="24"/>
          <w:szCs w:val="24"/>
          <w:lang w:val="en-GB"/>
        </w:rPr>
        <w:tab/>
        <w:t>L van Schalkwyk, physiotherapist – treatment for multiple rehabilitation from November 2013 to February 2014</w:t>
      </w:r>
      <w:r>
        <w:rPr>
          <w:rStyle w:val="FootnoteReference"/>
          <w:rFonts w:ascii="Arial" w:hAnsi="Arial" w:cs="Arial"/>
          <w:sz w:val="24"/>
          <w:szCs w:val="24"/>
          <w:lang w:val="en-GB"/>
        </w:rPr>
        <w:footnoteReference w:id="7"/>
      </w:r>
      <w:r>
        <w:rPr>
          <w:rFonts w:ascii="Arial" w:hAnsi="Arial" w:cs="Arial"/>
          <w:sz w:val="24"/>
          <w:szCs w:val="24"/>
          <w:lang w:val="en-GB"/>
        </w:rPr>
        <w:t>;</w:t>
      </w:r>
    </w:p>
    <w:p w14:paraId="2350B45B" w14:textId="77777777" w:rsidR="008C32DB" w:rsidRDefault="008C32DB" w:rsidP="008C32DB">
      <w:pPr>
        <w:rPr>
          <w:rFonts w:ascii="Arial" w:hAnsi="Arial" w:cs="Arial"/>
          <w:sz w:val="24"/>
          <w:szCs w:val="24"/>
          <w:lang w:val="en-GB"/>
        </w:rPr>
      </w:pPr>
    </w:p>
    <w:p w14:paraId="6A23D1C3" w14:textId="437EA7A8" w:rsidR="008C32DB" w:rsidRDefault="008C32DB" w:rsidP="008C32DB">
      <w:pPr>
        <w:ind w:left="1440" w:hanging="720"/>
        <w:rPr>
          <w:rFonts w:ascii="Arial" w:hAnsi="Arial" w:cs="Arial"/>
          <w:sz w:val="24"/>
          <w:szCs w:val="24"/>
          <w:lang w:val="en-GB"/>
        </w:rPr>
      </w:pPr>
      <w:r>
        <w:rPr>
          <w:rFonts w:ascii="Arial" w:hAnsi="Arial" w:cs="Arial"/>
          <w:sz w:val="24"/>
          <w:szCs w:val="24"/>
          <w:lang w:val="en-GB"/>
        </w:rPr>
        <w:lastRenderedPageBreak/>
        <w:t>7.6</w:t>
      </w:r>
      <w:r>
        <w:rPr>
          <w:rFonts w:ascii="Arial" w:hAnsi="Arial" w:cs="Arial"/>
          <w:sz w:val="24"/>
          <w:szCs w:val="24"/>
          <w:lang w:val="en-GB"/>
        </w:rPr>
        <w:tab/>
        <w:t xml:space="preserve">Dr RB </w:t>
      </w:r>
      <w:proofErr w:type="spellStart"/>
      <w:r>
        <w:rPr>
          <w:rFonts w:ascii="Arial" w:hAnsi="Arial" w:cs="Arial"/>
          <w:sz w:val="24"/>
          <w:szCs w:val="24"/>
          <w:lang w:val="en-GB"/>
        </w:rPr>
        <w:t>Schoombee</w:t>
      </w:r>
      <w:proofErr w:type="spellEnd"/>
      <w:r>
        <w:rPr>
          <w:rFonts w:ascii="Arial" w:hAnsi="Arial" w:cs="Arial"/>
          <w:sz w:val="24"/>
          <w:szCs w:val="24"/>
          <w:lang w:val="en-GB"/>
        </w:rPr>
        <w:t>, house doctor – initial consultation as the plaintiff was experiencing depression shortly after the collision and received anti-depressants</w:t>
      </w:r>
      <w:r>
        <w:rPr>
          <w:rStyle w:val="FootnoteReference"/>
          <w:rFonts w:ascii="Arial" w:hAnsi="Arial" w:cs="Arial"/>
          <w:sz w:val="24"/>
          <w:szCs w:val="24"/>
          <w:lang w:val="en-GB"/>
        </w:rPr>
        <w:footnoteReference w:id="8"/>
      </w:r>
      <w:r>
        <w:rPr>
          <w:rFonts w:ascii="Arial" w:hAnsi="Arial" w:cs="Arial"/>
          <w:sz w:val="24"/>
          <w:szCs w:val="24"/>
          <w:lang w:val="en-GB"/>
        </w:rPr>
        <w:t>;</w:t>
      </w:r>
    </w:p>
    <w:p w14:paraId="6CF2B132" w14:textId="77777777" w:rsidR="007861B5" w:rsidRDefault="007861B5" w:rsidP="008C32DB">
      <w:pPr>
        <w:ind w:left="1440" w:hanging="720"/>
        <w:rPr>
          <w:rFonts w:ascii="Arial" w:hAnsi="Arial" w:cs="Arial"/>
          <w:sz w:val="24"/>
          <w:szCs w:val="24"/>
          <w:lang w:val="en-GB"/>
        </w:rPr>
      </w:pPr>
    </w:p>
    <w:p w14:paraId="7B330359" w14:textId="77777777" w:rsidR="008C32DB" w:rsidRDefault="008C32DB" w:rsidP="008C32DB">
      <w:pPr>
        <w:ind w:left="1440" w:hanging="720"/>
        <w:rPr>
          <w:rFonts w:ascii="Arial" w:hAnsi="Arial" w:cs="Arial"/>
          <w:sz w:val="24"/>
          <w:szCs w:val="24"/>
          <w:lang w:val="en-GB"/>
        </w:rPr>
      </w:pPr>
      <w:r>
        <w:rPr>
          <w:rFonts w:ascii="Arial" w:hAnsi="Arial" w:cs="Arial"/>
          <w:sz w:val="24"/>
          <w:szCs w:val="24"/>
          <w:lang w:val="en-GB"/>
        </w:rPr>
        <w:t>7.7</w:t>
      </w:r>
      <w:r>
        <w:rPr>
          <w:rFonts w:ascii="Arial" w:hAnsi="Arial" w:cs="Arial"/>
          <w:sz w:val="24"/>
          <w:szCs w:val="24"/>
          <w:lang w:val="en-GB"/>
        </w:rPr>
        <w:tab/>
        <w:t>Dr DM Turner, anaesthesiologist – treatment on 4 October 2013 related to the plaintiff’s index finger</w:t>
      </w:r>
      <w:r>
        <w:rPr>
          <w:rStyle w:val="FootnoteReference"/>
          <w:rFonts w:ascii="Arial" w:hAnsi="Arial" w:cs="Arial"/>
          <w:sz w:val="24"/>
          <w:szCs w:val="24"/>
          <w:lang w:val="en-GB"/>
        </w:rPr>
        <w:footnoteReference w:id="9"/>
      </w:r>
      <w:r>
        <w:rPr>
          <w:rFonts w:ascii="Arial" w:hAnsi="Arial" w:cs="Arial"/>
          <w:sz w:val="24"/>
          <w:szCs w:val="24"/>
          <w:lang w:val="en-GB"/>
        </w:rPr>
        <w:t>;</w:t>
      </w:r>
    </w:p>
    <w:p w14:paraId="6F14618B" w14:textId="77777777" w:rsidR="008C32DB" w:rsidRDefault="008C32DB" w:rsidP="008C32DB">
      <w:pPr>
        <w:ind w:left="720" w:hanging="720"/>
        <w:rPr>
          <w:rFonts w:ascii="Arial" w:hAnsi="Arial" w:cs="Arial"/>
          <w:sz w:val="24"/>
          <w:szCs w:val="24"/>
          <w:lang w:val="en-GB"/>
        </w:rPr>
      </w:pPr>
    </w:p>
    <w:p w14:paraId="7BEF0735" w14:textId="77777777" w:rsidR="008C32DB" w:rsidRDefault="008C32DB" w:rsidP="008C32DB">
      <w:pPr>
        <w:ind w:left="1440" w:hanging="720"/>
        <w:rPr>
          <w:rFonts w:ascii="Arial" w:hAnsi="Arial" w:cs="Arial"/>
          <w:sz w:val="24"/>
          <w:szCs w:val="24"/>
          <w:lang w:val="en-GB"/>
        </w:rPr>
      </w:pPr>
      <w:r>
        <w:rPr>
          <w:rFonts w:ascii="Arial" w:hAnsi="Arial" w:cs="Arial"/>
          <w:sz w:val="24"/>
          <w:szCs w:val="24"/>
          <w:lang w:val="en-GB"/>
        </w:rPr>
        <w:t>7.8</w:t>
      </w:r>
      <w:r>
        <w:rPr>
          <w:rFonts w:ascii="Arial" w:hAnsi="Arial" w:cs="Arial"/>
          <w:sz w:val="24"/>
          <w:szCs w:val="24"/>
          <w:lang w:val="en-GB"/>
        </w:rPr>
        <w:tab/>
        <w:t>Dr MC Wells, orthopaedic surgeon, Panorama Medi Clinic – contracture of joint, removal of internal fixative, tendon freeing (right hand)</w:t>
      </w:r>
      <w:r>
        <w:rPr>
          <w:rStyle w:val="FootnoteReference"/>
          <w:rFonts w:ascii="Arial" w:hAnsi="Arial" w:cs="Arial"/>
          <w:sz w:val="24"/>
          <w:szCs w:val="24"/>
          <w:lang w:val="en-GB"/>
        </w:rPr>
        <w:footnoteReference w:id="10"/>
      </w:r>
      <w:r>
        <w:rPr>
          <w:rFonts w:ascii="Arial" w:hAnsi="Arial" w:cs="Arial"/>
          <w:sz w:val="24"/>
          <w:szCs w:val="24"/>
          <w:lang w:val="en-GB"/>
        </w:rPr>
        <w:t xml:space="preserve">; </w:t>
      </w:r>
    </w:p>
    <w:p w14:paraId="1BF463E2" w14:textId="77777777" w:rsidR="008C32DB" w:rsidRDefault="008C32DB" w:rsidP="008C32DB">
      <w:pPr>
        <w:rPr>
          <w:rFonts w:ascii="Arial" w:hAnsi="Arial" w:cs="Arial"/>
          <w:sz w:val="24"/>
          <w:szCs w:val="24"/>
          <w:lang w:val="en-GB"/>
        </w:rPr>
      </w:pPr>
    </w:p>
    <w:p w14:paraId="09A890AC" w14:textId="77777777" w:rsidR="008C32DB" w:rsidRDefault="008C32DB" w:rsidP="008C32DB">
      <w:pPr>
        <w:ind w:firstLine="720"/>
        <w:rPr>
          <w:rFonts w:ascii="Arial" w:hAnsi="Arial" w:cs="Arial"/>
          <w:sz w:val="24"/>
          <w:szCs w:val="24"/>
          <w:lang w:val="en-GB"/>
        </w:rPr>
      </w:pPr>
      <w:r>
        <w:rPr>
          <w:rFonts w:ascii="Arial" w:hAnsi="Arial" w:cs="Arial"/>
          <w:sz w:val="24"/>
          <w:szCs w:val="24"/>
          <w:lang w:val="en-GB"/>
        </w:rPr>
        <w:t>7.9</w:t>
      </w:r>
      <w:r>
        <w:rPr>
          <w:rFonts w:ascii="Arial" w:hAnsi="Arial" w:cs="Arial"/>
          <w:sz w:val="24"/>
          <w:szCs w:val="24"/>
          <w:lang w:val="en-GB"/>
        </w:rPr>
        <w:tab/>
        <w:t>Dr G Van Zyl, Cape Town Knee Unit</w:t>
      </w:r>
      <w:r>
        <w:rPr>
          <w:rStyle w:val="FootnoteReference"/>
          <w:rFonts w:ascii="Arial" w:hAnsi="Arial" w:cs="Arial"/>
          <w:sz w:val="24"/>
          <w:szCs w:val="24"/>
          <w:lang w:val="en-GB"/>
        </w:rPr>
        <w:footnoteReference w:id="11"/>
      </w:r>
      <w:r>
        <w:rPr>
          <w:rFonts w:ascii="Arial" w:hAnsi="Arial" w:cs="Arial"/>
          <w:sz w:val="24"/>
          <w:szCs w:val="24"/>
          <w:lang w:val="en-GB"/>
        </w:rPr>
        <w:t xml:space="preserve">;      </w:t>
      </w:r>
    </w:p>
    <w:p w14:paraId="22C2D979" w14:textId="77777777" w:rsidR="008C32DB" w:rsidRDefault="008C32DB" w:rsidP="008C32DB">
      <w:pPr>
        <w:rPr>
          <w:rFonts w:ascii="Arial" w:hAnsi="Arial" w:cs="Arial"/>
          <w:sz w:val="24"/>
          <w:szCs w:val="24"/>
          <w:lang w:val="en-GB"/>
        </w:rPr>
      </w:pPr>
      <w:r>
        <w:rPr>
          <w:rFonts w:ascii="Arial" w:hAnsi="Arial" w:cs="Arial"/>
          <w:sz w:val="24"/>
          <w:szCs w:val="24"/>
          <w:lang w:val="en-GB"/>
        </w:rPr>
        <w:t xml:space="preserve">           </w:t>
      </w:r>
    </w:p>
    <w:p w14:paraId="281DB945" w14:textId="77777777" w:rsidR="008C32DB" w:rsidRDefault="008C32DB" w:rsidP="008C32DB">
      <w:pPr>
        <w:ind w:firstLine="720"/>
        <w:rPr>
          <w:rFonts w:ascii="Arial" w:hAnsi="Arial" w:cs="Arial"/>
          <w:sz w:val="24"/>
          <w:szCs w:val="24"/>
          <w:lang w:val="en-GB"/>
        </w:rPr>
      </w:pPr>
      <w:r>
        <w:rPr>
          <w:rFonts w:ascii="Arial" w:hAnsi="Arial" w:cs="Arial"/>
          <w:sz w:val="24"/>
          <w:szCs w:val="24"/>
          <w:lang w:val="en-GB"/>
        </w:rPr>
        <w:t>7.10</w:t>
      </w:r>
      <w:r>
        <w:rPr>
          <w:rFonts w:ascii="Arial" w:hAnsi="Arial" w:cs="Arial"/>
          <w:sz w:val="24"/>
          <w:szCs w:val="24"/>
          <w:lang w:val="en-GB"/>
        </w:rPr>
        <w:tab/>
        <w:t>Morton and Partners Radiologists – left knee X ray</w:t>
      </w:r>
      <w:r>
        <w:rPr>
          <w:rStyle w:val="FootnoteReference"/>
          <w:rFonts w:ascii="Arial" w:hAnsi="Arial" w:cs="Arial"/>
          <w:sz w:val="24"/>
          <w:szCs w:val="24"/>
          <w:lang w:val="en-GB"/>
        </w:rPr>
        <w:footnoteReference w:id="12"/>
      </w:r>
      <w:r>
        <w:rPr>
          <w:rFonts w:ascii="Arial" w:hAnsi="Arial" w:cs="Arial"/>
          <w:sz w:val="24"/>
          <w:szCs w:val="24"/>
          <w:lang w:val="en-GB"/>
        </w:rPr>
        <w:t>;</w:t>
      </w:r>
    </w:p>
    <w:p w14:paraId="17595C64" w14:textId="77777777" w:rsidR="008C32DB" w:rsidRDefault="008C32DB" w:rsidP="008C32DB">
      <w:pPr>
        <w:rPr>
          <w:rFonts w:ascii="Arial" w:hAnsi="Arial" w:cs="Arial"/>
          <w:sz w:val="24"/>
          <w:szCs w:val="24"/>
          <w:lang w:val="en-GB"/>
        </w:rPr>
      </w:pPr>
    </w:p>
    <w:p w14:paraId="5A3A3760" w14:textId="77777777" w:rsidR="008C32DB" w:rsidRDefault="008C32DB" w:rsidP="008C32DB">
      <w:pPr>
        <w:ind w:left="1440" w:hanging="720"/>
        <w:rPr>
          <w:rFonts w:ascii="Arial" w:hAnsi="Arial" w:cs="Arial"/>
          <w:sz w:val="24"/>
          <w:szCs w:val="24"/>
          <w:lang w:val="en-GB"/>
        </w:rPr>
      </w:pPr>
      <w:r>
        <w:rPr>
          <w:rFonts w:ascii="Arial" w:hAnsi="Arial" w:cs="Arial"/>
          <w:sz w:val="24"/>
          <w:szCs w:val="24"/>
          <w:lang w:val="en-GB"/>
        </w:rPr>
        <w:t>7.11</w:t>
      </w:r>
      <w:r>
        <w:rPr>
          <w:rFonts w:ascii="Arial" w:hAnsi="Arial" w:cs="Arial"/>
          <w:sz w:val="24"/>
          <w:szCs w:val="24"/>
          <w:lang w:val="en-GB"/>
        </w:rPr>
        <w:tab/>
        <w:t>Various pharmacy invoices – prescription medication for muscle relaxants and anti-depressants</w:t>
      </w:r>
      <w:r>
        <w:rPr>
          <w:rStyle w:val="FootnoteReference"/>
          <w:rFonts w:ascii="Arial" w:hAnsi="Arial" w:cs="Arial"/>
          <w:sz w:val="24"/>
          <w:szCs w:val="24"/>
          <w:lang w:val="en-GB"/>
        </w:rPr>
        <w:footnoteReference w:id="13"/>
      </w:r>
      <w:r>
        <w:rPr>
          <w:rFonts w:ascii="Arial" w:hAnsi="Arial" w:cs="Arial"/>
          <w:sz w:val="24"/>
          <w:szCs w:val="24"/>
          <w:lang w:val="en-GB"/>
        </w:rPr>
        <w:t>;</w:t>
      </w:r>
    </w:p>
    <w:p w14:paraId="066B4FEB" w14:textId="77777777" w:rsidR="008C32DB" w:rsidRDefault="008C32DB" w:rsidP="008C32DB">
      <w:pPr>
        <w:ind w:left="720" w:hanging="720"/>
        <w:rPr>
          <w:rFonts w:ascii="Arial" w:hAnsi="Arial" w:cs="Arial"/>
          <w:sz w:val="24"/>
          <w:szCs w:val="24"/>
          <w:lang w:val="en-GB"/>
        </w:rPr>
      </w:pPr>
    </w:p>
    <w:p w14:paraId="0A2E7195" w14:textId="77777777" w:rsidR="008C32DB" w:rsidRDefault="008C32DB" w:rsidP="008C32DB">
      <w:pPr>
        <w:ind w:left="720"/>
        <w:rPr>
          <w:rFonts w:ascii="Arial" w:hAnsi="Arial" w:cs="Arial"/>
          <w:sz w:val="24"/>
          <w:szCs w:val="24"/>
          <w:lang w:val="en-GB"/>
        </w:rPr>
      </w:pPr>
      <w:r>
        <w:rPr>
          <w:rFonts w:ascii="Arial" w:hAnsi="Arial" w:cs="Arial"/>
          <w:sz w:val="24"/>
          <w:szCs w:val="24"/>
          <w:lang w:val="en-GB"/>
        </w:rPr>
        <w:t>7.12</w:t>
      </w:r>
      <w:r>
        <w:rPr>
          <w:rFonts w:ascii="Arial" w:hAnsi="Arial" w:cs="Arial"/>
          <w:sz w:val="24"/>
          <w:szCs w:val="24"/>
          <w:lang w:val="en-GB"/>
        </w:rPr>
        <w:tab/>
        <w:t>Blood transfusion services in hospital</w:t>
      </w:r>
      <w:r>
        <w:rPr>
          <w:rStyle w:val="FootnoteReference"/>
          <w:rFonts w:ascii="Arial" w:hAnsi="Arial" w:cs="Arial"/>
          <w:sz w:val="24"/>
          <w:szCs w:val="24"/>
          <w:lang w:val="en-GB"/>
        </w:rPr>
        <w:footnoteReference w:id="14"/>
      </w:r>
      <w:r>
        <w:rPr>
          <w:rFonts w:ascii="Arial" w:hAnsi="Arial" w:cs="Arial"/>
          <w:sz w:val="24"/>
          <w:szCs w:val="24"/>
          <w:lang w:val="en-GB"/>
        </w:rPr>
        <w:t>.</w:t>
      </w:r>
    </w:p>
    <w:p w14:paraId="3915ABE3" w14:textId="77777777" w:rsidR="008C32DB" w:rsidRDefault="008C32DB" w:rsidP="008C32DB">
      <w:pPr>
        <w:ind w:left="720"/>
        <w:rPr>
          <w:rFonts w:ascii="Arial" w:hAnsi="Arial" w:cs="Arial"/>
          <w:sz w:val="24"/>
          <w:szCs w:val="24"/>
          <w:lang w:val="en-GB"/>
        </w:rPr>
      </w:pPr>
    </w:p>
    <w:p w14:paraId="7AD19B01" w14:textId="5AD05923" w:rsidR="008C32DB" w:rsidRDefault="008D77CF" w:rsidP="003A4355">
      <w:pPr>
        <w:rPr>
          <w:rFonts w:ascii="Arial" w:hAnsi="Arial" w:cs="Arial"/>
          <w:sz w:val="24"/>
          <w:szCs w:val="24"/>
          <w:lang w:val="en-GB"/>
        </w:rPr>
      </w:pPr>
      <w:r>
        <w:rPr>
          <w:rFonts w:ascii="Arial" w:hAnsi="Arial" w:cs="Arial"/>
          <w:sz w:val="24"/>
          <w:szCs w:val="24"/>
          <w:lang w:val="en-GB"/>
        </w:rPr>
        <w:t>8.</w:t>
      </w:r>
      <w:r>
        <w:rPr>
          <w:rFonts w:ascii="Arial" w:hAnsi="Arial" w:cs="Arial"/>
          <w:sz w:val="24"/>
          <w:szCs w:val="24"/>
          <w:lang w:val="en-GB"/>
        </w:rPr>
        <w:tab/>
      </w:r>
      <w:r w:rsidR="008C32DB">
        <w:rPr>
          <w:rFonts w:ascii="Arial" w:hAnsi="Arial" w:cs="Arial"/>
          <w:sz w:val="24"/>
          <w:szCs w:val="24"/>
          <w:lang w:val="en-GB"/>
        </w:rPr>
        <w:t>The plaintiff stated that she was a member of GEMS medical aid at the time of the collision and her subsequent treatment. A family member submitted the claims on her behalf as she was hospitalised and unable to do so herself but she paid the surplus</w:t>
      </w:r>
      <w:r w:rsidR="003A4355">
        <w:rPr>
          <w:rFonts w:ascii="Arial" w:hAnsi="Arial" w:cs="Arial"/>
          <w:sz w:val="24"/>
          <w:szCs w:val="24"/>
          <w:lang w:val="en-GB"/>
        </w:rPr>
        <w:t xml:space="preserve"> </w:t>
      </w:r>
      <w:r w:rsidR="008C32DB">
        <w:rPr>
          <w:rFonts w:ascii="Arial" w:hAnsi="Arial" w:cs="Arial"/>
          <w:sz w:val="24"/>
          <w:szCs w:val="24"/>
          <w:lang w:val="en-GB"/>
        </w:rPr>
        <w:t>in respect of treatments which GEMS had not covered.</w:t>
      </w:r>
      <w:r w:rsidR="007F53CE">
        <w:rPr>
          <w:rFonts w:ascii="Arial" w:hAnsi="Arial" w:cs="Arial"/>
          <w:sz w:val="24"/>
          <w:szCs w:val="24"/>
          <w:lang w:val="en-GB"/>
        </w:rPr>
        <w:t xml:space="preserve"> </w:t>
      </w:r>
      <w:r w:rsidR="008C32DB">
        <w:rPr>
          <w:rFonts w:ascii="Arial" w:hAnsi="Arial" w:cs="Arial"/>
          <w:sz w:val="24"/>
          <w:szCs w:val="24"/>
          <w:lang w:val="en-GB"/>
        </w:rPr>
        <w:t>The plaintiff testified that the</w:t>
      </w:r>
      <w:r w:rsidR="003A4355">
        <w:rPr>
          <w:rFonts w:ascii="Arial" w:hAnsi="Arial" w:cs="Arial"/>
          <w:sz w:val="24"/>
          <w:szCs w:val="24"/>
          <w:lang w:val="en-GB"/>
        </w:rPr>
        <w:t xml:space="preserve"> i</w:t>
      </w:r>
      <w:r w:rsidR="008C32DB">
        <w:rPr>
          <w:rFonts w:ascii="Arial" w:hAnsi="Arial" w:cs="Arial"/>
          <w:sz w:val="24"/>
          <w:szCs w:val="24"/>
          <w:lang w:val="en-GB"/>
        </w:rPr>
        <w:t>nvoices and statements contained in Exhibit A support her claim for past medical and</w:t>
      </w:r>
      <w:r w:rsidR="003A4355">
        <w:rPr>
          <w:rFonts w:ascii="Arial" w:hAnsi="Arial" w:cs="Arial"/>
          <w:sz w:val="24"/>
          <w:szCs w:val="24"/>
          <w:lang w:val="en-GB"/>
        </w:rPr>
        <w:t xml:space="preserve"> </w:t>
      </w:r>
      <w:r w:rsidR="008C32DB">
        <w:rPr>
          <w:rFonts w:ascii="Arial" w:hAnsi="Arial" w:cs="Arial"/>
          <w:sz w:val="24"/>
          <w:szCs w:val="24"/>
          <w:lang w:val="en-GB"/>
        </w:rPr>
        <w:t>hospital expenses for treatment and medical services received as a result of the injuries</w:t>
      </w:r>
      <w:r w:rsidR="003A4355">
        <w:rPr>
          <w:rFonts w:ascii="Arial" w:hAnsi="Arial" w:cs="Arial"/>
          <w:sz w:val="24"/>
          <w:szCs w:val="24"/>
          <w:lang w:val="en-GB"/>
        </w:rPr>
        <w:t xml:space="preserve"> </w:t>
      </w:r>
      <w:r w:rsidR="008C32DB">
        <w:rPr>
          <w:rFonts w:ascii="Arial" w:hAnsi="Arial" w:cs="Arial"/>
          <w:sz w:val="24"/>
          <w:szCs w:val="24"/>
          <w:lang w:val="en-GB"/>
        </w:rPr>
        <w:t xml:space="preserve">she </w:t>
      </w:r>
      <w:r w:rsidR="008C32DB">
        <w:rPr>
          <w:rFonts w:ascii="Arial" w:hAnsi="Arial" w:cs="Arial"/>
          <w:sz w:val="24"/>
          <w:szCs w:val="24"/>
          <w:lang w:val="en-GB"/>
        </w:rPr>
        <w:lastRenderedPageBreak/>
        <w:t xml:space="preserve">sustained </w:t>
      </w:r>
      <w:r w:rsidR="007861B5">
        <w:rPr>
          <w:rFonts w:ascii="Arial" w:hAnsi="Arial" w:cs="Arial"/>
          <w:sz w:val="24"/>
          <w:szCs w:val="24"/>
          <w:lang w:val="en-GB"/>
        </w:rPr>
        <w:t xml:space="preserve">in </w:t>
      </w:r>
      <w:r w:rsidR="008C32DB">
        <w:rPr>
          <w:rFonts w:ascii="Arial" w:hAnsi="Arial" w:cs="Arial"/>
          <w:sz w:val="24"/>
          <w:szCs w:val="24"/>
          <w:lang w:val="en-GB"/>
        </w:rPr>
        <w:t>the collision, with the exception that pharmacy invoices</w:t>
      </w:r>
      <w:r w:rsidR="007861B5">
        <w:rPr>
          <w:rFonts w:ascii="Arial" w:hAnsi="Arial" w:cs="Arial"/>
          <w:sz w:val="24"/>
          <w:szCs w:val="24"/>
          <w:lang w:val="en-GB"/>
        </w:rPr>
        <w:t xml:space="preserve"> reflecting </w:t>
      </w:r>
      <w:r w:rsidR="003A4355">
        <w:rPr>
          <w:rFonts w:ascii="Arial" w:hAnsi="Arial" w:cs="Arial"/>
          <w:sz w:val="24"/>
          <w:szCs w:val="24"/>
          <w:lang w:val="en-GB"/>
        </w:rPr>
        <w:t>a</w:t>
      </w:r>
      <w:r w:rsidR="008C32DB">
        <w:rPr>
          <w:rFonts w:ascii="Arial" w:hAnsi="Arial" w:cs="Arial"/>
          <w:sz w:val="24"/>
          <w:szCs w:val="24"/>
          <w:lang w:val="en-GB"/>
        </w:rPr>
        <w:t>llergy medication and antihistamines were excluded from the computation of</w:t>
      </w:r>
      <w:r w:rsidR="003A4355">
        <w:rPr>
          <w:rFonts w:ascii="Arial" w:hAnsi="Arial" w:cs="Arial"/>
          <w:sz w:val="24"/>
          <w:szCs w:val="24"/>
          <w:lang w:val="en-GB"/>
        </w:rPr>
        <w:t xml:space="preserve"> her claim</w:t>
      </w:r>
      <w:r w:rsidR="008C32DB">
        <w:rPr>
          <w:rFonts w:ascii="Arial" w:hAnsi="Arial" w:cs="Arial"/>
          <w:sz w:val="24"/>
          <w:szCs w:val="24"/>
          <w:lang w:val="en-GB"/>
        </w:rPr>
        <w:t xml:space="preserve">. </w:t>
      </w:r>
    </w:p>
    <w:p w14:paraId="56346694" w14:textId="77777777" w:rsidR="008C32DB" w:rsidRDefault="008C32DB" w:rsidP="003A4355">
      <w:pPr>
        <w:rPr>
          <w:rFonts w:ascii="Arial" w:hAnsi="Arial" w:cs="Arial"/>
          <w:sz w:val="24"/>
          <w:szCs w:val="24"/>
          <w:lang w:val="en-GB"/>
        </w:rPr>
      </w:pPr>
    </w:p>
    <w:p w14:paraId="3350274A" w14:textId="1A6FAC99" w:rsidR="008C32DB" w:rsidRDefault="008D77CF" w:rsidP="003A4355">
      <w:pPr>
        <w:rPr>
          <w:rFonts w:ascii="Arial" w:hAnsi="Arial" w:cs="Arial"/>
          <w:sz w:val="24"/>
          <w:szCs w:val="24"/>
          <w:lang w:val="en-GB"/>
        </w:rPr>
      </w:pPr>
      <w:r>
        <w:rPr>
          <w:rFonts w:ascii="Arial" w:hAnsi="Arial" w:cs="Arial"/>
          <w:sz w:val="24"/>
          <w:szCs w:val="24"/>
          <w:lang w:val="en-GB"/>
        </w:rPr>
        <w:t>9.</w:t>
      </w:r>
      <w:r>
        <w:rPr>
          <w:rFonts w:ascii="Arial" w:hAnsi="Arial" w:cs="Arial"/>
          <w:sz w:val="24"/>
          <w:szCs w:val="24"/>
          <w:lang w:val="en-GB"/>
        </w:rPr>
        <w:tab/>
      </w:r>
      <w:r w:rsidR="008C32DB">
        <w:rPr>
          <w:rFonts w:ascii="Arial" w:hAnsi="Arial" w:cs="Arial"/>
          <w:sz w:val="24"/>
          <w:szCs w:val="24"/>
          <w:lang w:val="en-GB"/>
        </w:rPr>
        <w:t>The plaintiff explained that the depression was brought on by the multiple</w:t>
      </w:r>
      <w:r w:rsidR="003A4355">
        <w:rPr>
          <w:rFonts w:ascii="Arial" w:hAnsi="Arial" w:cs="Arial"/>
          <w:sz w:val="24"/>
          <w:szCs w:val="24"/>
          <w:lang w:val="en-GB"/>
        </w:rPr>
        <w:t xml:space="preserve"> </w:t>
      </w:r>
      <w:r w:rsidR="008C32DB">
        <w:rPr>
          <w:rFonts w:ascii="Arial" w:hAnsi="Arial" w:cs="Arial"/>
          <w:sz w:val="24"/>
          <w:szCs w:val="24"/>
          <w:lang w:val="en-GB"/>
        </w:rPr>
        <w:t>operations she</w:t>
      </w:r>
      <w:r>
        <w:rPr>
          <w:rFonts w:ascii="Arial" w:hAnsi="Arial" w:cs="Arial"/>
          <w:sz w:val="24"/>
          <w:szCs w:val="24"/>
          <w:lang w:val="en-GB"/>
        </w:rPr>
        <w:t xml:space="preserve"> </w:t>
      </w:r>
      <w:r w:rsidR="008C32DB">
        <w:rPr>
          <w:rFonts w:ascii="Arial" w:hAnsi="Arial" w:cs="Arial"/>
          <w:sz w:val="24"/>
          <w:szCs w:val="24"/>
          <w:lang w:val="en-GB"/>
        </w:rPr>
        <w:t>underwent, the loss of her husband and the physical adjustments as a</w:t>
      </w:r>
      <w:r w:rsidR="003A4355">
        <w:rPr>
          <w:rFonts w:ascii="Arial" w:hAnsi="Arial" w:cs="Arial"/>
          <w:sz w:val="24"/>
          <w:szCs w:val="24"/>
          <w:lang w:val="en-GB"/>
        </w:rPr>
        <w:t xml:space="preserve"> </w:t>
      </w:r>
      <w:r w:rsidR="008C32DB">
        <w:rPr>
          <w:rFonts w:ascii="Arial" w:hAnsi="Arial" w:cs="Arial"/>
          <w:sz w:val="24"/>
          <w:szCs w:val="24"/>
          <w:lang w:val="en-GB"/>
        </w:rPr>
        <w:t>result of the</w:t>
      </w:r>
      <w:r>
        <w:rPr>
          <w:rFonts w:ascii="Arial" w:hAnsi="Arial" w:cs="Arial"/>
          <w:sz w:val="24"/>
          <w:szCs w:val="24"/>
          <w:lang w:val="en-GB"/>
        </w:rPr>
        <w:t xml:space="preserve"> </w:t>
      </w:r>
      <w:r w:rsidR="008C32DB">
        <w:rPr>
          <w:rFonts w:ascii="Arial" w:hAnsi="Arial" w:cs="Arial"/>
          <w:sz w:val="24"/>
          <w:szCs w:val="24"/>
          <w:lang w:val="en-GB"/>
        </w:rPr>
        <w:t>injuries</w:t>
      </w:r>
      <w:r>
        <w:rPr>
          <w:rFonts w:ascii="Arial" w:hAnsi="Arial" w:cs="Arial"/>
          <w:sz w:val="24"/>
          <w:szCs w:val="24"/>
          <w:lang w:val="en-GB"/>
        </w:rPr>
        <w:t xml:space="preserve"> </w:t>
      </w:r>
      <w:r w:rsidR="007861B5">
        <w:rPr>
          <w:rFonts w:ascii="Arial" w:hAnsi="Arial" w:cs="Arial"/>
          <w:sz w:val="24"/>
          <w:szCs w:val="24"/>
          <w:lang w:val="en-GB"/>
        </w:rPr>
        <w:t xml:space="preserve">which she </w:t>
      </w:r>
      <w:r w:rsidR="008C32DB">
        <w:rPr>
          <w:rFonts w:ascii="Arial" w:hAnsi="Arial" w:cs="Arial"/>
          <w:sz w:val="24"/>
          <w:szCs w:val="24"/>
          <w:lang w:val="en-GB"/>
        </w:rPr>
        <w:t>sustained. The depression diagnosis was confirmed in the report by</w:t>
      </w:r>
      <w:r w:rsidR="003A4355">
        <w:rPr>
          <w:rFonts w:ascii="Arial" w:hAnsi="Arial" w:cs="Arial"/>
          <w:sz w:val="24"/>
          <w:szCs w:val="24"/>
          <w:lang w:val="en-GB"/>
        </w:rPr>
        <w:t xml:space="preserve"> </w:t>
      </w:r>
      <w:r w:rsidR="008C32DB">
        <w:rPr>
          <w:rFonts w:ascii="Arial" w:hAnsi="Arial" w:cs="Arial"/>
          <w:sz w:val="24"/>
          <w:szCs w:val="24"/>
          <w:lang w:val="en-GB"/>
        </w:rPr>
        <w:t>psychologist, Dr R Bredenkamp</w:t>
      </w:r>
      <w:r w:rsidR="008C32DB">
        <w:rPr>
          <w:rStyle w:val="FootnoteReference"/>
          <w:rFonts w:ascii="Arial" w:hAnsi="Arial" w:cs="Arial"/>
          <w:sz w:val="24"/>
          <w:szCs w:val="24"/>
          <w:lang w:val="en-GB"/>
        </w:rPr>
        <w:footnoteReference w:id="15"/>
      </w:r>
      <w:r w:rsidR="008C32DB">
        <w:rPr>
          <w:rFonts w:ascii="Arial" w:hAnsi="Arial" w:cs="Arial"/>
          <w:sz w:val="24"/>
          <w:szCs w:val="24"/>
          <w:lang w:val="en-GB"/>
        </w:rPr>
        <w:t xml:space="preserve">.   </w:t>
      </w:r>
    </w:p>
    <w:p w14:paraId="25000E76" w14:textId="77777777" w:rsidR="008C32DB" w:rsidRDefault="008C32DB" w:rsidP="003A4355">
      <w:pPr>
        <w:rPr>
          <w:rFonts w:ascii="Arial" w:hAnsi="Arial" w:cs="Arial"/>
          <w:sz w:val="24"/>
          <w:szCs w:val="24"/>
          <w:lang w:val="en-GB"/>
        </w:rPr>
      </w:pPr>
    </w:p>
    <w:p w14:paraId="0E3790C6" w14:textId="77777777" w:rsidR="008C32DB" w:rsidRDefault="008C32DB" w:rsidP="008C32DB">
      <w:pPr>
        <w:rPr>
          <w:rFonts w:ascii="Arial" w:hAnsi="Arial" w:cs="Arial"/>
          <w:sz w:val="24"/>
          <w:szCs w:val="24"/>
          <w:lang w:val="en-GB"/>
        </w:rPr>
      </w:pPr>
      <w:r>
        <w:rPr>
          <w:rFonts w:ascii="Arial" w:hAnsi="Arial" w:cs="Arial"/>
          <w:sz w:val="24"/>
          <w:szCs w:val="24"/>
          <w:lang w:val="en-GB"/>
        </w:rPr>
        <w:t>10.</w:t>
      </w:r>
      <w:r>
        <w:rPr>
          <w:rFonts w:ascii="Arial" w:hAnsi="Arial" w:cs="Arial"/>
          <w:sz w:val="24"/>
          <w:szCs w:val="24"/>
          <w:lang w:val="en-GB"/>
        </w:rPr>
        <w:tab/>
        <w:t xml:space="preserve">Except to determine that the plaintiff personally paid the surplus of past medical expenses which were not paid by GEMS, cross examination by the State Attorney did not amount to anything of substance. The plaintiff was asked if she knew what the surplus amount was to which she responded that she did not know how much was paid. No questions were posed in respect of the treatment received, injures sustained, the schedule of amounts and the correctness of the invoices and statements from service providers.  </w:t>
      </w:r>
    </w:p>
    <w:p w14:paraId="04B9AF7C" w14:textId="77777777" w:rsidR="008C32DB" w:rsidRDefault="008C32DB" w:rsidP="008C32DB">
      <w:pPr>
        <w:rPr>
          <w:rFonts w:ascii="Arial" w:hAnsi="Arial" w:cs="Arial"/>
          <w:sz w:val="24"/>
          <w:szCs w:val="24"/>
          <w:lang w:val="en-GB"/>
        </w:rPr>
      </w:pPr>
    </w:p>
    <w:p w14:paraId="628DDA52" w14:textId="77777777" w:rsidR="008C32DB" w:rsidRDefault="008C32DB" w:rsidP="008C32DB">
      <w:pPr>
        <w:rPr>
          <w:rFonts w:ascii="Arial" w:hAnsi="Arial" w:cs="Arial"/>
          <w:sz w:val="24"/>
          <w:szCs w:val="24"/>
          <w:lang w:val="en-GB"/>
        </w:rPr>
      </w:pPr>
    </w:p>
    <w:p w14:paraId="76FD776B" w14:textId="77777777" w:rsidR="008C32DB" w:rsidRPr="007907F1" w:rsidRDefault="008C32DB" w:rsidP="008C32DB">
      <w:pPr>
        <w:rPr>
          <w:rFonts w:ascii="Arial" w:hAnsi="Arial" w:cs="Arial"/>
          <w:b/>
          <w:sz w:val="24"/>
          <w:szCs w:val="24"/>
          <w:u w:val="single"/>
          <w:lang w:val="en-GB"/>
        </w:rPr>
      </w:pPr>
      <w:r w:rsidRPr="007907F1">
        <w:rPr>
          <w:rFonts w:ascii="Arial" w:hAnsi="Arial" w:cs="Arial"/>
          <w:b/>
          <w:sz w:val="24"/>
          <w:szCs w:val="24"/>
          <w:u w:val="single"/>
          <w:lang w:val="en-GB"/>
        </w:rPr>
        <w:t xml:space="preserve">The defendant’s </w:t>
      </w:r>
      <w:r>
        <w:rPr>
          <w:rFonts w:ascii="Arial" w:hAnsi="Arial" w:cs="Arial"/>
          <w:b/>
          <w:sz w:val="24"/>
          <w:szCs w:val="24"/>
          <w:u w:val="single"/>
          <w:lang w:val="en-GB"/>
        </w:rPr>
        <w:t>request</w:t>
      </w:r>
      <w:r w:rsidRPr="007907F1">
        <w:rPr>
          <w:rFonts w:ascii="Arial" w:hAnsi="Arial" w:cs="Arial"/>
          <w:b/>
          <w:sz w:val="24"/>
          <w:szCs w:val="24"/>
          <w:u w:val="single"/>
          <w:lang w:val="en-GB"/>
        </w:rPr>
        <w:t xml:space="preserve"> </w:t>
      </w:r>
    </w:p>
    <w:p w14:paraId="74DB38D5" w14:textId="77777777" w:rsidR="008C32DB" w:rsidRDefault="008C32DB" w:rsidP="008C32DB">
      <w:pPr>
        <w:rPr>
          <w:rFonts w:ascii="Arial" w:hAnsi="Arial" w:cs="Arial"/>
          <w:sz w:val="24"/>
          <w:szCs w:val="24"/>
          <w:lang w:val="en-GB"/>
        </w:rPr>
      </w:pPr>
    </w:p>
    <w:p w14:paraId="1920320D" w14:textId="1BA550CE" w:rsidR="008C32DB" w:rsidRDefault="008C32DB" w:rsidP="008C32DB">
      <w:pPr>
        <w:rPr>
          <w:rFonts w:ascii="Arial" w:hAnsi="Arial" w:cs="Arial"/>
          <w:sz w:val="24"/>
          <w:szCs w:val="24"/>
          <w:lang w:val="en-GB"/>
        </w:rPr>
      </w:pPr>
      <w:r>
        <w:rPr>
          <w:rFonts w:ascii="Arial" w:hAnsi="Arial" w:cs="Arial"/>
          <w:sz w:val="24"/>
          <w:szCs w:val="24"/>
          <w:lang w:val="en-GB"/>
        </w:rPr>
        <w:t>11.</w:t>
      </w:r>
      <w:r>
        <w:rPr>
          <w:rFonts w:ascii="Arial" w:hAnsi="Arial" w:cs="Arial"/>
          <w:sz w:val="24"/>
          <w:szCs w:val="24"/>
          <w:lang w:val="en-GB"/>
        </w:rPr>
        <w:tab/>
        <w:t xml:space="preserve">The plaintiff thereafter closed her case. The defendant called no witnesses and closed its case. The State Attorney sought an opportunity to file a written note on the plaintiff’s claim, and alluded to a Directive issued by the defendant in relation to compensation for past medical expenses where those expenses were previously paid by a plaintiff’s medical aid scheme. The plaintiff’s counsel had no objection to the defendant’s request and a timetable was set for April for receipt of the written submissions.  Subsequent to receipt of the defendant’s written submissions, the plaintiff’s counsel provided a response thereto on 5 April 2024. Before addressing the submissions, I turn to the pleadings as it </w:t>
      </w:r>
      <w:r w:rsidR="007861B5">
        <w:rPr>
          <w:rFonts w:ascii="Arial" w:hAnsi="Arial" w:cs="Arial"/>
          <w:sz w:val="24"/>
          <w:szCs w:val="24"/>
          <w:lang w:val="en-GB"/>
        </w:rPr>
        <w:t xml:space="preserve">relates to the plaintiff’s claim. </w:t>
      </w:r>
      <w:r>
        <w:rPr>
          <w:rFonts w:ascii="Arial" w:hAnsi="Arial" w:cs="Arial"/>
          <w:sz w:val="24"/>
          <w:szCs w:val="24"/>
          <w:lang w:val="en-GB"/>
        </w:rPr>
        <w:t xml:space="preserve"> </w:t>
      </w:r>
    </w:p>
    <w:p w14:paraId="032CDB24" w14:textId="77777777" w:rsidR="008C32DB" w:rsidRDefault="008C32DB" w:rsidP="008C32DB">
      <w:pPr>
        <w:rPr>
          <w:rFonts w:ascii="Arial" w:hAnsi="Arial" w:cs="Arial"/>
          <w:sz w:val="24"/>
          <w:szCs w:val="24"/>
          <w:lang w:val="en-GB"/>
        </w:rPr>
      </w:pPr>
    </w:p>
    <w:p w14:paraId="6ADFB351" w14:textId="77777777" w:rsidR="008C32DB" w:rsidRDefault="008C32DB" w:rsidP="008C32DB">
      <w:pPr>
        <w:rPr>
          <w:rFonts w:ascii="Arial" w:hAnsi="Arial" w:cs="Arial"/>
          <w:sz w:val="24"/>
          <w:szCs w:val="24"/>
          <w:lang w:val="en-GB"/>
        </w:rPr>
      </w:pPr>
    </w:p>
    <w:p w14:paraId="22EF0FF5" w14:textId="77777777" w:rsidR="008C32DB" w:rsidRPr="007907F1" w:rsidRDefault="008C32DB" w:rsidP="008C32DB">
      <w:pPr>
        <w:rPr>
          <w:rFonts w:ascii="Arial" w:hAnsi="Arial" w:cs="Arial"/>
          <w:b/>
          <w:sz w:val="24"/>
          <w:szCs w:val="24"/>
          <w:u w:val="single"/>
          <w:lang w:val="en-GB"/>
        </w:rPr>
      </w:pPr>
      <w:r>
        <w:rPr>
          <w:rFonts w:ascii="Arial" w:hAnsi="Arial" w:cs="Arial"/>
          <w:b/>
          <w:sz w:val="24"/>
          <w:szCs w:val="24"/>
          <w:u w:val="single"/>
          <w:lang w:val="en-GB"/>
        </w:rPr>
        <w:lastRenderedPageBreak/>
        <w:t xml:space="preserve">The </w:t>
      </w:r>
      <w:r w:rsidRPr="007907F1">
        <w:rPr>
          <w:rFonts w:ascii="Arial" w:hAnsi="Arial" w:cs="Arial"/>
          <w:b/>
          <w:sz w:val="24"/>
          <w:szCs w:val="24"/>
          <w:u w:val="single"/>
          <w:lang w:val="en-GB"/>
        </w:rPr>
        <w:t>pleadings</w:t>
      </w:r>
    </w:p>
    <w:p w14:paraId="4843F934" w14:textId="77777777" w:rsidR="008C32DB" w:rsidRDefault="008C32DB" w:rsidP="008C32DB">
      <w:pPr>
        <w:rPr>
          <w:rFonts w:ascii="Arial" w:hAnsi="Arial" w:cs="Arial"/>
          <w:sz w:val="24"/>
          <w:szCs w:val="24"/>
          <w:lang w:val="en-GB"/>
        </w:rPr>
      </w:pPr>
    </w:p>
    <w:p w14:paraId="72BC1981" w14:textId="2F121851" w:rsidR="008C32DB" w:rsidRDefault="008C32DB" w:rsidP="008C32DB">
      <w:pPr>
        <w:rPr>
          <w:rFonts w:ascii="Arial" w:hAnsi="Arial" w:cs="Arial"/>
          <w:sz w:val="24"/>
          <w:szCs w:val="24"/>
          <w:lang w:val="en-GB"/>
        </w:rPr>
      </w:pPr>
      <w:r>
        <w:rPr>
          <w:rFonts w:ascii="Arial" w:hAnsi="Arial" w:cs="Arial"/>
          <w:sz w:val="24"/>
          <w:szCs w:val="24"/>
          <w:lang w:val="en-GB"/>
        </w:rPr>
        <w:t>12.</w:t>
      </w:r>
      <w:r>
        <w:rPr>
          <w:rFonts w:ascii="Arial" w:hAnsi="Arial" w:cs="Arial"/>
          <w:sz w:val="24"/>
          <w:szCs w:val="24"/>
          <w:lang w:val="en-GB"/>
        </w:rPr>
        <w:tab/>
        <w:t xml:space="preserve">The Particulars of Claim were amended a few times since the action was instituted and the amendments relate mainly to the additional reports about the plaintiff’s treatment as a result of the collision. Paragraph 10.1 of the Amended Particulars of Claim dated July 2023 states that the plaintiff suffered damages including past medical and related expenses as set out in </w:t>
      </w:r>
      <w:r w:rsidR="007861B5">
        <w:rPr>
          <w:rFonts w:ascii="Arial" w:hAnsi="Arial" w:cs="Arial"/>
          <w:sz w:val="24"/>
          <w:szCs w:val="24"/>
          <w:lang w:val="en-GB"/>
        </w:rPr>
        <w:t xml:space="preserve">the </w:t>
      </w:r>
      <w:r>
        <w:rPr>
          <w:rFonts w:ascii="Arial" w:hAnsi="Arial" w:cs="Arial"/>
          <w:sz w:val="24"/>
          <w:szCs w:val="24"/>
          <w:lang w:val="en-GB"/>
        </w:rPr>
        <w:t xml:space="preserve">schedule which totalled R272 388, 23. </w:t>
      </w:r>
      <w:r w:rsidR="007861B5">
        <w:rPr>
          <w:rFonts w:ascii="Arial" w:hAnsi="Arial" w:cs="Arial"/>
          <w:sz w:val="24"/>
          <w:szCs w:val="24"/>
          <w:lang w:val="en-GB"/>
        </w:rPr>
        <w:t>The s</w:t>
      </w:r>
      <w:r>
        <w:rPr>
          <w:rFonts w:ascii="Arial" w:hAnsi="Arial" w:cs="Arial"/>
          <w:sz w:val="24"/>
          <w:szCs w:val="24"/>
          <w:lang w:val="en-GB"/>
        </w:rPr>
        <w:t xml:space="preserve">chedule is replicated in Exhibit A. </w:t>
      </w:r>
    </w:p>
    <w:p w14:paraId="352B4CFF" w14:textId="77777777" w:rsidR="008C32DB" w:rsidRDefault="008C32DB" w:rsidP="008C32DB">
      <w:pPr>
        <w:rPr>
          <w:rFonts w:ascii="Arial" w:hAnsi="Arial" w:cs="Arial"/>
          <w:sz w:val="24"/>
          <w:szCs w:val="24"/>
          <w:lang w:val="en-GB"/>
        </w:rPr>
      </w:pPr>
    </w:p>
    <w:p w14:paraId="5935921A" w14:textId="5898D47F" w:rsidR="008C32DB" w:rsidRDefault="008C32DB" w:rsidP="008C32DB">
      <w:pPr>
        <w:rPr>
          <w:rFonts w:ascii="Arial" w:hAnsi="Arial" w:cs="Arial"/>
          <w:sz w:val="24"/>
          <w:szCs w:val="24"/>
          <w:lang w:val="en-GB"/>
        </w:rPr>
      </w:pPr>
      <w:r>
        <w:rPr>
          <w:rFonts w:ascii="Arial" w:hAnsi="Arial" w:cs="Arial"/>
          <w:sz w:val="24"/>
          <w:szCs w:val="24"/>
          <w:lang w:val="en-GB"/>
        </w:rPr>
        <w:t>13.</w:t>
      </w:r>
      <w:r>
        <w:rPr>
          <w:rFonts w:ascii="Arial" w:hAnsi="Arial" w:cs="Arial"/>
          <w:sz w:val="24"/>
          <w:szCs w:val="24"/>
          <w:lang w:val="en-GB"/>
        </w:rPr>
        <w:tab/>
        <w:t xml:space="preserve">Given that the amendment occurred in July 2023 and the hearing took place in March 2024, there is nothing unusual about any amendment. The point is that even though </w:t>
      </w:r>
      <w:r w:rsidR="007F53CE">
        <w:rPr>
          <w:rFonts w:ascii="Arial" w:hAnsi="Arial" w:cs="Arial"/>
          <w:sz w:val="24"/>
          <w:szCs w:val="24"/>
          <w:lang w:val="en-GB"/>
        </w:rPr>
        <w:t xml:space="preserve">annexure </w:t>
      </w:r>
      <w:r>
        <w:rPr>
          <w:rFonts w:ascii="Arial" w:hAnsi="Arial" w:cs="Arial"/>
          <w:sz w:val="24"/>
          <w:szCs w:val="24"/>
          <w:lang w:val="en-GB"/>
        </w:rPr>
        <w:t xml:space="preserve">D sets out a total of R285 982, 53, in the event that it is found that the plaintiff has proved her claim, she would only be entitled to the amount proved, whether equal to or less than the amount claimed in her Amended Particulars of Claim, which is R272 388, 23. The Plea to the plaintiff’s claim for past medical, hospital and related expenses is to simply acknowledge annexure D, but to plead no knowledge </w:t>
      </w:r>
      <w:r w:rsidR="007F53CE">
        <w:rPr>
          <w:rFonts w:ascii="Arial" w:hAnsi="Arial" w:cs="Arial"/>
          <w:sz w:val="24"/>
          <w:szCs w:val="24"/>
          <w:lang w:val="en-GB"/>
        </w:rPr>
        <w:t>of</w:t>
      </w:r>
      <w:r>
        <w:rPr>
          <w:rFonts w:ascii="Arial" w:hAnsi="Arial" w:cs="Arial"/>
          <w:sz w:val="24"/>
          <w:szCs w:val="24"/>
          <w:lang w:val="en-GB"/>
        </w:rPr>
        <w:t xml:space="preserve"> the allegations, assertions and conclusions therein and as a consequence, the defendant puts the plaintiff to the proof thereof. </w:t>
      </w:r>
    </w:p>
    <w:p w14:paraId="7732C383" w14:textId="77777777" w:rsidR="008C32DB" w:rsidRDefault="008C32DB" w:rsidP="008C32DB">
      <w:pPr>
        <w:rPr>
          <w:rFonts w:ascii="Arial" w:hAnsi="Arial" w:cs="Arial"/>
          <w:sz w:val="24"/>
          <w:szCs w:val="24"/>
          <w:lang w:val="en-GB"/>
        </w:rPr>
      </w:pPr>
    </w:p>
    <w:p w14:paraId="71837126" w14:textId="77777777" w:rsidR="008C32DB" w:rsidRDefault="008C32DB" w:rsidP="008C32DB">
      <w:pPr>
        <w:rPr>
          <w:rFonts w:ascii="Arial" w:hAnsi="Arial" w:cs="Arial"/>
          <w:sz w:val="24"/>
          <w:szCs w:val="24"/>
          <w:lang w:val="en-GB"/>
        </w:rPr>
      </w:pPr>
    </w:p>
    <w:p w14:paraId="5A98A2AF" w14:textId="77777777" w:rsidR="008C32DB" w:rsidRDefault="008C32DB" w:rsidP="008C32DB">
      <w:pPr>
        <w:rPr>
          <w:rFonts w:ascii="Arial" w:hAnsi="Arial" w:cs="Arial"/>
          <w:b/>
          <w:sz w:val="24"/>
          <w:szCs w:val="24"/>
          <w:u w:val="single"/>
          <w:lang w:val="en-GB"/>
        </w:rPr>
      </w:pPr>
      <w:r w:rsidRPr="007907F1">
        <w:rPr>
          <w:rFonts w:ascii="Arial" w:hAnsi="Arial" w:cs="Arial"/>
          <w:b/>
          <w:sz w:val="24"/>
          <w:szCs w:val="24"/>
          <w:u w:val="single"/>
          <w:lang w:val="en-GB"/>
        </w:rPr>
        <w:t xml:space="preserve">The doctrine of subrogation and the </w:t>
      </w:r>
      <w:r>
        <w:rPr>
          <w:rFonts w:ascii="Arial" w:hAnsi="Arial" w:cs="Arial"/>
          <w:b/>
          <w:sz w:val="24"/>
          <w:szCs w:val="24"/>
          <w:u w:val="single"/>
          <w:lang w:val="en-GB"/>
        </w:rPr>
        <w:t xml:space="preserve">defendant’s </w:t>
      </w:r>
      <w:r w:rsidRPr="007907F1">
        <w:rPr>
          <w:rFonts w:ascii="Arial" w:hAnsi="Arial" w:cs="Arial"/>
          <w:b/>
          <w:sz w:val="24"/>
          <w:szCs w:val="24"/>
          <w:u w:val="single"/>
          <w:lang w:val="en-GB"/>
        </w:rPr>
        <w:t>exclusion of liability</w:t>
      </w:r>
      <w:r>
        <w:rPr>
          <w:rFonts w:ascii="Arial" w:hAnsi="Arial" w:cs="Arial"/>
          <w:b/>
          <w:sz w:val="24"/>
          <w:szCs w:val="24"/>
          <w:u w:val="single"/>
          <w:lang w:val="en-GB"/>
        </w:rPr>
        <w:t xml:space="preserve"> argument</w:t>
      </w:r>
    </w:p>
    <w:p w14:paraId="2CA5F25C" w14:textId="77777777" w:rsidR="008C32DB" w:rsidRPr="007907F1" w:rsidRDefault="008C32DB" w:rsidP="008C32DB">
      <w:pPr>
        <w:rPr>
          <w:rFonts w:ascii="Arial" w:hAnsi="Arial" w:cs="Arial"/>
          <w:b/>
          <w:sz w:val="24"/>
          <w:szCs w:val="24"/>
          <w:u w:val="single"/>
          <w:lang w:val="en-GB"/>
        </w:rPr>
      </w:pPr>
      <w:r w:rsidRPr="007907F1">
        <w:rPr>
          <w:rFonts w:ascii="Arial" w:hAnsi="Arial" w:cs="Arial"/>
          <w:b/>
          <w:sz w:val="24"/>
          <w:szCs w:val="24"/>
          <w:u w:val="single"/>
          <w:lang w:val="en-GB"/>
        </w:rPr>
        <w:t xml:space="preserve"> </w:t>
      </w:r>
    </w:p>
    <w:p w14:paraId="754F84A4" w14:textId="77777777" w:rsidR="008C32DB" w:rsidRDefault="008C32DB" w:rsidP="008C32DB">
      <w:pPr>
        <w:rPr>
          <w:rFonts w:ascii="Arial" w:hAnsi="Arial" w:cs="Arial"/>
          <w:sz w:val="24"/>
          <w:szCs w:val="24"/>
          <w:lang w:val="en-GB"/>
        </w:rPr>
      </w:pPr>
      <w:r>
        <w:rPr>
          <w:rFonts w:ascii="Arial" w:hAnsi="Arial" w:cs="Arial"/>
          <w:sz w:val="24"/>
          <w:szCs w:val="24"/>
          <w:lang w:val="en-GB"/>
        </w:rPr>
        <w:t>14.</w:t>
      </w:r>
      <w:r>
        <w:rPr>
          <w:rFonts w:ascii="Arial" w:hAnsi="Arial" w:cs="Arial"/>
          <w:sz w:val="24"/>
          <w:szCs w:val="24"/>
          <w:lang w:val="en-GB"/>
        </w:rPr>
        <w:tab/>
        <w:t xml:space="preserve">The defendant relies on the Medical Schemes Act 13 of 1998 for its submission that a medical aid scheme is compelled to pay a member’s expenses and cannot contract out of such obligation. It refers to section 17 of the Road Accident Fund Act 56 of 1996 (RAF Act) as amended and submits that the section envisages that the third party must have suffered loss or damage. Hence, so the argument goes, where a medical aid of a member paid his/her past medical expenses in terms of its statutory obligation to do so on behalf of the member, the medical aid cannot contract out of such statutory obligation by entering into an agreement with its member to reclaim the amount paid on the latter’s behalf. </w:t>
      </w:r>
    </w:p>
    <w:p w14:paraId="06A083E3" w14:textId="77777777" w:rsidR="008C32DB" w:rsidRDefault="008C32DB" w:rsidP="008C32DB">
      <w:pPr>
        <w:rPr>
          <w:rFonts w:ascii="Arial" w:hAnsi="Arial" w:cs="Arial"/>
          <w:sz w:val="24"/>
          <w:szCs w:val="24"/>
          <w:lang w:val="en-GB"/>
        </w:rPr>
      </w:pPr>
    </w:p>
    <w:p w14:paraId="56F05C20" w14:textId="335AE4B5" w:rsidR="008C32DB" w:rsidRDefault="008C32DB" w:rsidP="008C32DB">
      <w:pPr>
        <w:rPr>
          <w:rFonts w:ascii="Arial" w:hAnsi="Arial" w:cs="Arial"/>
          <w:sz w:val="24"/>
          <w:szCs w:val="24"/>
          <w:lang w:val="en-GB"/>
        </w:rPr>
      </w:pPr>
      <w:r>
        <w:rPr>
          <w:rFonts w:ascii="Arial" w:hAnsi="Arial" w:cs="Arial"/>
          <w:sz w:val="24"/>
          <w:szCs w:val="24"/>
          <w:lang w:val="en-GB"/>
        </w:rPr>
        <w:t>15.</w:t>
      </w:r>
      <w:r>
        <w:rPr>
          <w:rFonts w:ascii="Arial" w:hAnsi="Arial" w:cs="Arial"/>
          <w:sz w:val="24"/>
          <w:szCs w:val="24"/>
          <w:lang w:val="en-GB"/>
        </w:rPr>
        <w:tab/>
        <w:t xml:space="preserve">The defendant submits that what is before the Court is </w:t>
      </w:r>
      <w:r w:rsidR="007F53CE">
        <w:rPr>
          <w:rFonts w:ascii="Arial" w:hAnsi="Arial" w:cs="Arial"/>
          <w:sz w:val="24"/>
          <w:szCs w:val="24"/>
          <w:lang w:val="en-GB"/>
        </w:rPr>
        <w:t xml:space="preserve">in fact </w:t>
      </w:r>
      <w:r>
        <w:rPr>
          <w:rFonts w:ascii="Arial" w:hAnsi="Arial" w:cs="Arial"/>
          <w:sz w:val="24"/>
          <w:szCs w:val="24"/>
          <w:lang w:val="en-GB"/>
        </w:rPr>
        <w:t xml:space="preserve">not the plaintiff’s claim for past medical expenses but rather a claim brought on behalf of GEMS. The defendant’s understanding is that where the plaintiff’s medical aid paid the service providers on her behalf, she suffered no loss and cannot be bound contractually to claim the amount from the defendant. </w:t>
      </w:r>
    </w:p>
    <w:p w14:paraId="5E0B2E76" w14:textId="77777777" w:rsidR="008C32DB" w:rsidRDefault="008C32DB" w:rsidP="008C32DB">
      <w:pPr>
        <w:rPr>
          <w:rFonts w:ascii="Arial" w:hAnsi="Arial" w:cs="Arial"/>
          <w:sz w:val="24"/>
          <w:szCs w:val="24"/>
          <w:lang w:val="en-GB"/>
        </w:rPr>
      </w:pPr>
    </w:p>
    <w:p w14:paraId="6E0241DA" w14:textId="076D4217" w:rsidR="008C32DB" w:rsidRDefault="008C32DB" w:rsidP="008C32DB">
      <w:pPr>
        <w:rPr>
          <w:rFonts w:ascii="Arial" w:hAnsi="Arial" w:cs="Arial"/>
          <w:sz w:val="24"/>
          <w:szCs w:val="24"/>
          <w:lang w:val="en-GB"/>
        </w:rPr>
      </w:pPr>
      <w:r>
        <w:rPr>
          <w:rFonts w:ascii="Arial" w:hAnsi="Arial" w:cs="Arial"/>
          <w:sz w:val="24"/>
          <w:szCs w:val="24"/>
          <w:lang w:val="en-GB"/>
        </w:rPr>
        <w:t>16.</w:t>
      </w:r>
      <w:r>
        <w:rPr>
          <w:rFonts w:ascii="Arial" w:hAnsi="Arial" w:cs="Arial"/>
          <w:sz w:val="24"/>
          <w:szCs w:val="24"/>
          <w:lang w:val="en-GB"/>
        </w:rPr>
        <w:tab/>
        <w:t>The defendant argues further that the claim for past medical expenses is excluded by Regulations 7 and 8 of the Medical Schemes Act and section 19 (d)(</w:t>
      </w:r>
      <w:proofErr w:type="spellStart"/>
      <w:r>
        <w:rPr>
          <w:rFonts w:ascii="Arial" w:hAnsi="Arial" w:cs="Arial"/>
          <w:sz w:val="24"/>
          <w:szCs w:val="24"/>
          <w:lang w:val="en-GB"/>
        </w:rPr>
        <w:t>i</w:t>
      </w:r>
      <w:proofErr w:type="spellEnd"/>
      <w:r>
        <w:rPr>
          <w:rFonts w:ascii="Arial" w:hAnsi="Arial" w:cs="Arial"/>
          <w:sz w:val="24"/>
          <w:szCs w:val="24"/>
          <w:lang w:val="en-GB"/>
        </w:rPr>
        <w:t xml:space="preserve">) of the RAF Act. </w:t>
      </w:r>
      <w:r w:rsidR="007F53CE">
        <w:rPr>
          <w:rFonts w:ascii="Arial" w:hAnsi="Arial" w:cs="Arial"/>
          <w:sz w:val="24"/>
          <w:szCs w:val="24"/>
          <w:lang w:val="en-GB"/>
        </w:rPr>
        <w:t xml:space="preserve">The </w:t>
      </w:r>
      <w:r>
        <w:rPr>
          <w:rFonts w:ascii="Arial" w:hAnsi="Arial" w:cs="Arial"/>
          <w:sz w:val="24"/>
          <w:szCs w:val="24"/>
          <w:lang w:val="en-GB"/>
        </w:rPr>
        <w:t xml:space="preserve">further argument is that the defendant is not opposed to the reimbursement of past medical expenses which the plaintiff paid directly and which does not fall within the definition of emergency medical care or prescribed minimum benefits in terms of the legislation. </w:t>
      </w:r>
    </w:p>
    <w:p w14:paraId="67A531FE" w14:textId="77777777" w:rsidR="008C32DB" w:rsidRDefault="008C32DB" w:rsidP="008C32DB">
      <w:pPr>
        <w:rPr>
          <w:rFonts w:ascii="Arial" w:hAnsi="Arial" w:cs="Arial"/>
          <w:sz w:val="24"/>
          <w:szCs w:val="24"/>
          <w:lang w:val="en-GB"/>
        </w:rPr>
      </w:pPr>
    </w:p>
    <w:p w14:paraId="477BC965" w14:textId="61844D59" w:rsidR="008C32DB" w:rsidRDefault="008C32DB" w:rsidP="008C32DB">
      <w:pPr>
        <w:rPr>
          <w:rFonts w:ascii="Arial" w:hAnsi="Arial" w:cs="Arial"/>
          <w:sz w:val="24"/>
          <w:szCs w:val="24"/>
          <w:lang w:val="en-GB"/>
        </w:rPr>
      </w:pPr>
      <w:r>
        <w:rPr>
          <w:rFonts w:ascii="Arial" w:hAnsi="Arial" w:cs="Arial"/>
          <w:sz w:val="24"/>
          <w:szCs w:val="24"/>
          <w:lang w:val="en-GB"/>
        </w:rPr>
        <w:t>17.</w:t>
      </w:r>
      <w:r>
        <w:rPr>
          <w:rFonts w:ascii="Arial" w:hAnsi="Arial" w:cs="Arial"/>
          <w:sz w:val="24"/>
          <w:szCs w:val="24"/>
          <w:lang w:val="en-GB"/>
        </w:rPr>
        <w:tab/>
        <w:t xml:space="preserve">Lastly, the defendant’s view is that the plaintiff’s claim is based on the doctrine of subrogation and that she cannot be compelled to reclaim from the defendant as such right cannot simply be created between the insurer and member under the subrogation principle. Insofar as the recent judgment of </w:t>
      </w:r>
      <w:r w:rsidRPr="00D372B8">
        <w:rPr>
          <w:rFonts w:ascii="Arial" w:hAnsi="Arial" w:cs="Arial"/>
          <w:b/>
          <w:i/>
          <w:sz w:val="24"/>
          <w:szCs w:val="24"/>
          <w:lang w:val="en-GB"/>
        </w:rPr>
        <w:t>Discovery Health (Pty) Ltd v Road Accident Fund and Another</w:t>
      </w:r>
      <w:r>
        <w:rPr>
          <w:rStyle w:val="FootnoteReference"/>
          <w:rFonts w:ascii="Arial" w:hAnsi="Arial" w:cs="Arial"/>
          <w:sz w:val="24"/>
          <w:szCs w:val="24"/>
          <w:lang w:val="en-GB"/>
        </w:rPr>
        <w:footnoteReference w:id="16"/>
      </w:r>
      <w:r>
        <w:rPr>
          <w:rFonts w:ascii="Arial" w:hAnsi="Arial" w:cs="Arial"/>
          <w:sz w:val="24"/>
          <w:szCs w:val="24"/>
          <w:lang w:val="en-GB"/>
        </w:rPr>
        <w:t xml:space="preserve"> is concerned, the defendant acknowledges its unsuccessful attempts to appeal the decision and admits that there are no judgments in its favour on this issue, yet I am asked to accept the defendant’s submissions and dismiss the plaintiff’s </w:t>
      </w:r>
      <w:r w:rsidR="007F53CE">
        <w:rPr>
          <w:rFonts w:ascii="Arial" w:hAnsi="Arial" w:cs="Arial"/>
          <w:sz w:val="24"/>
          <w:szCs w:val="24"/>
          <w:lang w:val="en-GB"/>
        </w:rPr>
        <w:t xml:space="preserve">amended </w:t>
      </w:r>
      <w:r>
        <w:rPr>
          <w:rFonts w:ascii="Arial" w:hAnsi="Arial" w:cs="Arial"/>
          <w:sz w:val="24"/>
          <w:szCs w:val="24"/>
          <w:lang w:val="en-GB"/>
        </w:rPr>
        <w:t xml:space="preserve">claim for past medical, hospital and related expenses.    </w:t>
      </w:r>
    </w:p>
    <w:p w14:paraId="72EA05A6" w14:textId="6A280F25" w:rsidR="008C32DB" w:rsidRDefault="008C32DB" w:rsidP="008C32DB">
      <w:pPr>
        <w:rPr>
          <w:rFonts w:ascii="Arial" w:hAnsi="Arial" w:cs="Arial"/>
          <w:sz w:val="24"/>
          <w:szCs w:val="24"/>
          <w:lang w:val="en-GB"/>
        </w:rPr>
      </w:pPr>
    </w:p>
    <w:p w14:paraId="1DD9FC8C" w14:textId="31BA96A8" w:rsidR="003A4355" w:rsidRDefault="003A4355" w:rsidP="008C32DB">
      <w:pPr>
        <w:rPr>
          <w:rFonts w:ascii="Arial" w:hAnsi="Arial" w:cs="Arial"/>
          <w:sz w:val="24"/>
          <w:szCs w:val="24"/>
          <w:lang w:val="en-GB"/>
        </w:rPr>
      </w:pPr>
    </w:p>
    <w:p w14:paraId="5E3275CF" w14:textId="77777777" w:rsidR="003A4355" w:rsidRDefault="003A4355" w:rsidP="008C32DB">
      <w:pPr>
        <w:rPr>
          <w:rFonts w:ascii="Arial" w:hAnsi="Arial" w:cs="Arial"/>
          <w:sz w:val="24"/>
          <w:szCs w:val="24"/>
          <w:lang w:val="en-GB"/>
        </w:rPr>
      </w:pPr>
    </w:p>
    <w:p w14:paraId="16E7A8F8" w14:textId="77777777" w:rsidR="008C32DB" w:rsidRDefault="008C32DB" w:rsidP="008C32DB">
      <w:pPr>
        <w:rPr>
          <w:rFonts w:ascii="Arial" w:hAnsi="Arial" w:cs="Arial"/>
          <w:sz w:val="24"/>
          <w:szCs w:val="24"/>
          <w:lang w:val="en-GB"/>
        </w:rPr>
      </w:pPr>
    </w:p>
    <w:p w14:paraId="5049E8B7" w14:textId="136FBB7B" w:rsidR="008C32DB" w:rsidRPr="007907F1" w:rsidRDefault="008C32DB" w:rsidP="008C32DB">
      <w:pPr>
        <w:rPr>
          <w:rFonts w:ascii="Arial" w:hAnsi="Arial" w:cs="Arial"/>
          <w:b/>
          <w:sz w:val="24"/>
          <w:szCs w:val="24"/>
          <w:u w:val="single"/>
          <w:lang w:val="en-GB"/>
        </w:rPr>
      </w:pPr>
      <w:r w:rsidRPr="007907F1">
        <w:rPr>
          <w:rFonts w:ascii="Arial" w:hAnsi="Arial" w:cs="Arial"/>
          <w:b/>
          <w:sz w:val="24"/>
          <w:szCs w:val="24"/>
          <w:u w:val="single"/>
          <w:lang w:val="en-GB"/>
        </w:rPr>
        <w:t>Discussion</w:t>
      </w:r>
      <w:r w:rsidR="007F53CE">
        <w:rPr>
          <w:rFonts w:ascii="Arial" w:hAnsi="Arial" w:cs="Arial"/>
          <w:b/>
          <w:sz w:val="24"/>
          <w:szCs w:val="24"/>
          <w:u w:val="single"/>
          <w:lang w:val="en-GB"/>
        </w:rPr>
        <w:t xml:space="preserve"> and findings</w:t>
      </w:r>
    </w:p>
    <w:p w14:paraId="3E719E48" w14:textId="77777777" w:rsidR="008C32DB" w:rsidRDefault="008C32DB" w:rsidP="008C32DB">
      <w:pPr>
        <w:rPr>
          <w:rFonts w:ascii="Arial" w:hAnsi="Arial" w:cs="Arial"/>
          <w:sz w:val="24"/>
          <w:szCs w:val="24"/>
          <w:lang w:val="en-GB"/>
        </w:rPr>
      </w:pPr>
    </w:p>
    <w:p w14:paraId="27D1F5EB" w14:textId="3D82AAB3" w:rsidR="008C32DB" w:rsidRDefault="008C32DB" w:rsidP="008C32DB">
      <w:pPr>
        <w:rPr>
          <w:rFonts w:ascii="Arial" w:hAnsi="Arial" w:cs="Arial"/>
          <w:sz w:val="24"/>
          <w:szCs w:val="24"/>
          <w:lang w:val="en-GB"/>
        </w:rPr>
      </w:pPr>
      <w:r>
        <w:rPr>
          <w:rFonts w:ascii="Arial" w:hAnsi="Arial" w:cs="Arial"/>
          <w:sz w:val="24"/>
          <w:szCs w:val="24"/>
          <w:lang w:val="en-GB"/>
        </w:rPr>
        <w:t>18.</w:t>
      </w:r>
      <w:r>
        <w:rPr>
          <w:rFonts w:ascii="Arial" w:hAnsi="Arial" w:cs="Arial"/>
          <w:sz w:val="24"/>
          <w:szCs w:val="24"/>
          <w:lang w:val="en-GB"/>
        </w:rPr>
        <w:tab/>
        <w:t xml:space="preserve">In considering the submissions made by the defendant in the discussion which follows, I also consider the plaintiff’s addendum submissions. At the outset I have to state </w:t>
      </w:r>
      <w:r>
        <w:rPr>
          <w:rFonts w:ascii="Arial" w:hAnsi="Arial" w:cs="Arial"/>
          <w:sz w:val="24"/>
          <w:szCs w:val="24"/>
          <w:lang w:val="en-GB"/>
        </w:rPr>
        <w:lastRenderedPageBreak/>
        <w:t xml:space="preserve">that the defendant’s stance in this matter was only made known when the State Attorney’s written submission was received in April. There was most certainly no indication that the </w:t>
      </w:r>
      <w:r w:rsidR="007F53CE">
        <w:rPr>
          <w:rFonts w:ascii="Arial" w:hAnsi="Arial" w:cs="Arial"/>
          <w:sz w:val="24"/>
          <w:szCs w:val="24"/>
          <w:lang w:val="en-GB"/>
        </w:rPr>
        <w:t xml:space="preserve">defendant </w:t>
      </w:r>
      <w:r>
        <w:rPr>
          <w:rFonts w:ascii="Arial" w:hAnsi="Arial" w:cs="Arial"/>
          <w:sz w:val="24"/>
          <w:szCs w:val="24"/>
          <w:lang w:val="en-GB"/>
        </w:rPr>
        <w:t xml:space="preserve">would rely on the doctrine of subrogation </w:t>
      </w:r>
      <w:r w:rsidR="007F53CE">
        <w:rPr>
          <w:rFonts w:ascii="Arial" w:hAnsi="Arial" w:cs="Arial"/>
          <w:sz w:val="24"/>
          <w:szCs w:val="24"/>
          <w:lang w:val="en-GB"/>
        </w:rPr>
        <w:t xml:space="preserve">and </w:t>
      </w:r>
      <w:r>
        <w:rPr>
          <w:rFonts w:ascii="Arial" w:hAnsi="Arial" w:cs="Arial"/>
          <w:sz w:val="24"/>
          <w:szCs w:val="24"/>
          <w:lang w:val="en-GB"/>
        </w:rPr>
        <w:t>the exclusion of its liability in terms of section 19 of the RAF Act and</w:t>
      </w:r>
      <w:r w:rsidR="007F53CE">
        <w:rPr>
          <w:rFonts w:ascii="Arial" w:hAnsi="Arial" w:cs="Arial"/>
          <w:sz w:val="24"/>
          <w:szCs w:val="24"/>
          <w:lang w:val="en-GB"/>
        </w:rPr>
        <w:t xml:space="preserve"> </w:t>
      </w:r>
      <w:r>
        <w:rPr>
          <w:rFonts w:ascii="Arial" w:hAnsi="Arial" w:cs="Arial"/>
          <w:sz w:val="24"/>
          <w:szCs w:val="24"/>
          <w:lang w:val="en-GB"/>
        </w:rPr>
        <w:t xml:space="preserve">the Regulations of the Medical Schemes Act. </w:t>
      </w:r>
    </w:p>
    <w:p w14:paraId="3CD3EFF8" w14:textId="77777777" w:rsidR="008C32DB" w:rsidRDefault="008C32DB" w:rsidP="008C32DB">
      <w:pPr>
        <w:rPr>
          <w:rFonts w:ascii="Arial" w:hAnsi="Arial" w:cs="Arial"/>
          <w:sz w:val="24"/>
          <w:szCs w:val="24"/>
          <w:lang w:val="en-GB"/>
        </w:rPr>
      </w:pPr>
    </w:p>
    <w:p w14:paraId="29A9CE65" w14:textId="77777777" w:rsidR="008C32DB" w:rsidRDefault="008C32DB" w:rsidP="008C32DB">
      <w:pPr>
        <w:rPr>
          <w:rFonts w:ascii="Arial" w:hAnsi="Arial" w:cs="Arial"/>
          <w:sz w:val="24"/>
          <w:szCs w:val="24"/>
          <w:lang w:val="en-GB"/>
        </w:rPr>
      </w:pPr>
      <w:r>
        <w:rPr>
          <w:rFonts w:ascii="Arial" w:hAnsi="Arial" w:cs="Arial"/>
          <w:sz w:val="24"/>
          <w:szCs w:val="24"/>
          <w:lang w:val="en-GB"/>
        </w:rPr>
        <w:t>19.</w:t>
      </w:r>
      <w:r>
        <w:rPr>
          <w:rFonts w:ascii="Arial" w:hAnsi="Arial" w:cs="Arial"/>
          <w:sz w:val="24"/>
          <w:szCs w:val="24"/>
          <w:lang w:val="en-GB"/>
        </w:rPr>
        <w:tab/>
        <w:t xml:space="preserve">Turning to the submissions, the doctrine of subrogation, which is part of our common law, provides that: </w:t>
      </w:r>
    </w:p>
    <w:p w14:paraId="725FAF3D" w14:textId="77777777" w:rsidR="008C32DB" w:rsidRPr="007415BE" w:rsidRDefault="008C32DB" w:rsidP="008C32DB">
      <w:pPr>
        <w:rPr>
          <w:rFonts w:ascii="Arial" w:hAnsi="Arial" w:cs="Arial"/>
          <w:sz w:val="20"/>
          <w:szCs w:val="20"/>
          <w:lang w:val="en-GB"/>
        </w:rPr>
      </w:pPr>
    </w:p>
    <w:p w14:paraId="5BD299FD" w14:textId="77777777" w:rsidR="008C32DB" w:rsidRPr="007415BE" w:rsidRDefault="008C32DB" w:rsidP="008C32DB">
      <w:pPr>
        <w:ind w:left="720"/>
        <w:rPr>
          <w:rFonts w:ascii="Arial" w:hAnsi="Arial" w:cs="Arial"/>
          <w:i/>
          <w:sz w:val="20"/>
          <w:szCs w:val="20"/>
          <w:u w:val="single"/>
          <w:lang w:val="en-GB"/>
        </w:rPr>
      </w:pPr>
      <w:r w:rsidRPr="007415BE">
        <w:rPr>
          <w:rFonts w:ascii="Arial" w:hAnsi="Arial" w:cs="Arial"/>
          <w:i/>
          <w:sz w:val="20"/>
          <w:szCs w:val="20"/>
          <w:lang w:val="en-GB"/>
        </w:rPr>
        <w:t>“…</w:t>
      </w:r>
      <w:r w:rsidRPr="007415BE">
        <w:rPr>
          <w:rFonts w:ascii="Arial" w:hAnsi="Arial" w:cs="Arial"/>
          <w:i/>
          <w:sz w:val="20"/>
          <w:szCs w:val="20"/>
          <w:u w:val="single"/>
          <w:lang w:val="en-GB"/>
        </w:rPr>
        <w:t>an insurer under a contract of indemnity insurance who has satisfied the claim of the insured is entitled to be placed in the insured’s position in respect of all rights and remedies against other parties which are vested in the insured in relation to the subject matter of the insurance.”</w:t>
      </w:r>
      <w:r w:rsidRPr="007415BE">
        <w:rPr>
          <w:rStyle w:val="FootnoteReference"/>
          <w:rFonts w:ascii="Arial" w:hAnsi="Arial" w:cs="Arial"/>
          <w:i/>
          <w:sz w:val="20"/>
          <w:szCs w:val="20"/>
          <w:u w:val="single"/>
          <w:lang w:val="en-GB"/>
        </w:rPr>
        <w:footnoteReference w:id="17"/>
      </w:r>
      <w:r w:rsidRPr="007415BE">
        <w:rPr>
          <w:rFonts w:ascii="Arial" w:hAnsi="Arial" w:cs="Arial"/>
          <w:i/>
          <w:sz w:val="20"/>
          <w:szCs w:val="20"/>
          <w:u w:val="single"/>
          <w:lang w:val="en-GB"/>
        </w:rPr>
        <w:t xml:space="preserve"> Thus, in terms of the doctrine, the insurer steps into the shoes of the insured, meaning that the insurer subrogates the insured and is allowed to claim the loss from the wrongdoer</w:t>
      </w:r>
      <w:r w:rsidRPr="007415BE">
        <w:rPr>
          <w:rStyle w:val="FootnoteReference"/>
          <w:rFonts w:ascii="Arial" w:hAnsi="Arial" w:cs="Arial"/>
          <w:i/>
          <w:sz w:val="20"/>
          <w:szCs w:val="20"/>
          <w:lang w:val="en-GB"/>
        </w:rPr>
        <w:footnoteReference w:id="18"/>
      </w:r>
      <w:r w:rsidRPr="007415BE">
        <w:rPr>
          <w:rFonts w:ascii="Arial" w:hAnsi="Arial" w:cs="Arial"/>
          <w:i/>
          <w:sz w:val="20"/>
          <w:szCs w:val="20"/>
          <w:lang w:val="en-GB"/>
        </w:rPr>
        <w:t>.</w:t>
      </w:r>
      <w:r w:rsidRPr="007415BE">
        <w:rPr>
          <w:rFonts w:ascii="Arial" w:hAnsi="Arial" w:cs="Arial"/>
          <w:i/>
          <w:sz w:val="20"/>
          <w:szCs w:val="20"/>
          <w:u w:val="single"/>
          <w:lang w:val="en-GB"/>
        </w:rPr>
        <w:t xml:space="preserve"> </w:t>
      </w:r>
    </w:p>
    <w:p w14:paraId="396A6F3A" w14:textId="77777777" w:rsidR="008C32DB" w:rsidRDefault="008C32DB" w:rsidP="008C32DB">
      <w:pPr>
        <w:rPr>
          <w:rFonts w:ascii="Arial" w:hAnsi="Arial" w:cs="Arial"/>
          <w:i/>
          <w:sz w:val="24"/>
          <w:szCs w:val="24"/>
          <w:u w:val="single"/>
          <w:lang w:val="en-GB"/>
        </w:rPr>
      </w:pPr>
    </w:p>
    <w:p w14:paraId="4339E8A0" w14:textId="77777777" w:rsidR="008C32DB" w:rsidRDefault="008C32DB" w:rsidP="008C32DB">
      <w:pPr>
        <w:ind w:firstLine="720"/>
        <w:rPr>
          <w:rFonts w:ascii="Arial" w:hAnsi="Arial" w:cs="Arial"/>
          <w:sz w:val="24"/>
          <w:szCs w:val="24"/>
          <w:lang w:val="en-GB"/>
        </w:rPr>
      </w:pPr>
      <w:r w:rsidRPr="00D21A90">
        <w:rPr>
          <w:rFonts w:ascii="Arial" w:hAnsi="Arial" w:cs="Arial"/>
          <w:sz w:val="24"/>
          <w:szCs w:val="24"/>
          <w:lang w:val="en-GB"/>
        </w:rPr>
        <w:t>(my emphasis)</w:t>
      </w:r>
    </w:p>
    <w:p w14:paraId="1F9E12D3" w14:textId="77777777" w:rsidR="008C32DB" w:rsidRPr="00D21A90" w:rsidRDefault="008C32DB" w:rsidP="008C32DB">
      <w:pPr>
        <w:ind w:firstLine="720"/>
        <w:rPr>
          <w:rFonts w:ascii="Arial" w:hAnsi="Arial" w:cs="Arial"/>
          <w:sz w:val="24"/>
          <w:szCs w:val="24"/>
          <w:lang w:val="en-GB"/>
        </w:rPr>
      </w:pPr>
    </w:p>
    <w:p w14:paraId="0E44F42F" w14:textId="77777777" w:rsidR="008C32DB" w:rsidRDefault="008C32DB" w:rsidP="008C32DB">
      <w:pPr>
        <w:rPr>
          <w:rFonts w:ascii="Arial" w:hAnsi="Arial" w:cs="Arial"/>
          <w:sz w:val="24"/>
          <w:szCs w:val="24"/>
          <w:lang w:val="en-GB"/>
        </w:rPr>
      </w:pPr>
      <w:r>
        <w:rPr>
          <w:rFonts w:ascii="Arial" w:hAnsi="Arial" w:cs="Arial"/>
          <w:sz w:val="24"/>
          <w:szCs w:val="24"/>
          <w:lang w:val="en-GB"/>
        </w:rPr>
        <w:t>20.</w:t>
      </w:r>
      <w:r>
        <w:rPr>
          <w:rFonts w:ascii="Arial" w:hAnsi="Arial" w:cs="Arial"/>
          <w:sz w:val="24"/>
          <w:szCs w:val="24"/>
          <w:lang w:val="en-GB"/>
        </w:rPr>
        <w:tab/>
        <w:t>It must be noted that the insured may claim from the wrongdoer for the insurer’s benefit because notwithstanding the indemnification received from the insurer, the wrongdoer is not released</w:t>
      </w:r>
      <w:r>
        <w:rPr>
          <w:rStyle w:val="FootnoteReference"/>
          <w:rFonts w:ascii="Arial" w:hAnsi="Arial" w:cs="Arial"/>
          <w:sz w:val="24"/>
          <w:szCs w:val="24"/>
          <w:lang w:val="en-GB"/>
        </w:rPr>
        <w:footnoteReference w:id="19"/>
      </w:r>
      <w:r>
        <w:rPr>
          <w:rFonts w:ascii="Arial" w:hAnsi="Arial" w:cs="Arial"/>
          <w:sz w:val="24"/>
          <w:szCs w:val="24"/>
          <w:lang w:val="en-GB"/>
        </w:rPr>
        <w:t xml:space="preserve">. It follows that the reference to </w:t>
      </w:r>
      <w:r w:rsidRPr="00D21A90">
        <w:rPr>
          <w:rFonts w:ascii="Arial" w:hAnsi="Arial" w:cs="Arial"/>
          <w:i/>
          <w:sz w:val="24"/>
          <w:szCs w:val="24"/>
          <w:lang w:val="en-GB"/>
        </w:rPr>
        <w:t>“wrongdoer”</w:t>
      </w:r>
      <w:r>
        <w:rPr>
          <w:rFonts w:ascii="Arial" w:hAnsi="Arial" w:cs="Arial"/>
          <w:sz w:val="24"/>
          <w:szCs w:val="24"/>
          <w:lang w:val="en-GB"/>
        </w:rPr>
        <w:t xml:space="preserve"> is a reference to the defendant in the sense that it is statutorily obligated in terms of section 17 (1) of the RAF Act to compensate the third party (plaintiff) for loss or damage suffered as a result of bodily injury to herself arising from the negligent driving of a vehicle by another person.  </w:t>
      </w:r>
    </w:p>
    <w:p w14:paraId="06586626" w14:textId="77777777" w:rsidR="008C32DB" w:rsidRDefault="008C32DB" w:rsidP="008C32DB">
      <w:pPr>
        <w:rPr>
          <w:rFonts w:ascii="Arial" w:hAnsi="Arial" w:cs="Arial"/>
          <w:sz w:val="24"/>
          <w:szCs w:val="24"/>
          <w:lang w:val="en-GB"/>
        </w:rPr>
      </w:pPr>
    </w:p>
    <w:p w14:paraId="085386B1" w14:textId="49F31265" w:rsidR="008C32DB" w:rsidRDefault="008C32DB" w:rsidP="008C32DB">
      <w:pPr>
        <w:rPr>
          <w:rFonts w:ascii="Arial" w:hAnsi="Arial" w:cs="Arial"/>
          <w:sz w:val="24"/>
          <w:szCs w:val="24"/>
          <w:lang w:val="en-GB"/>
        </w:rPr>
      </w:pPr>
      <w:r>
        <w:rPr>
          <w:rFonts w:ascii="Arial" w:hAnsi="Arial" w:cs="Arial"/>
          <w:sz w:val="24"/>
          <w:szCs w:val="24"/>
          <w:lang w:val="en-GB"/>
        </w:rPr>
        <w:t>21.</w:t>
      </w:r>
      <w:r>
        <w:rPr>
          <w:rFonts w:ascii="Arial" w:hAnsi="Arial" w:cs="Arial"/>
          <w:sz w:val="24"/>
          <w:szCs w:val="24"/>
          <w:lang w:val="en-GB"/>
        </w:rPr>
        <w:tab/>
        <w:t xml:space="preserve">In my view, the first question to ask is whether the subrogation issue should have been pleaded or whether it was in order for the defendant to raise it in written submissions after the parties’ respective cases were closed? To answer the question, I turn to </w:t>
      </w:r>
      <w:r w:rsidRPr="00827212">
        <w:rPr>
          <w:rFonts w:ascii="Arial" w:hAnsi="Arial" w:cs="Arial"/>
          <w:b/>
          <w:i/>
          <w:sz w:val="24"/>
          <w:szCs w:val="24"/>
          <w:lang w:val="en-GB"/>
        </w:rPr>
        <w:t>Banjo v Smith</w:t>
      </w:r>
      <w:r>
        <w:rPr>
          <w:rStyle w:val="FootnoteReference"/>
          <w:rFonts w:ascii="Arial" w:hAnsi="Arial" w:cs="Arial"/>
          <w:b/>
          <w:i/>
          <w:sz w:val="24"/>
          <w:szCs w:val="24"/>
          <w:lang w:val="en-GB"/>
        </w:rPr>
        <w:footnoteReference w:id="20"/>
      </w:r>
      <w:r>
        <w:rPr>
          <w:rFonts w:ascii="Arial" w:hAnsi="Arial" w:cs="Arial"/>
          <w:sz w:val="24"/>
          <w:szCs w:val="24"/>
          <w:lang w:val="en-GB"/>
        </w:rPr>
        <w:t xml:space="preserve">, which provides some clarity on the matter, as follows: </w:t>
      </w:r>
    </w:p>
    <w:p w14:paraId="0762E156" w14:textId="77777777" w:rsidR="008C32DB" w:rsidRDefault="008C32DB" w:rsidP="008C32DB">
      <w:pPr>
        <w:rPr>
          <w:rFonts w:ascii="Arial" w:hAnsi="Arial" w:cs="Arial"/>
          <w:sz w:val="24"/>
          <w:szCs w:val="24"/>
          <w:lang w:val="en-GB"/>
        </w:rPr>
      </w:pPr>
    </w:p>
    <w:p w14:paraId="776B5A15" w14:textId="77777777" w:rsidR="008C32DB" w:rsidRPr="007415BE" w:rsidRDefault="008C32DB" w:rsidP="008C32DB">
      <w:pPr>
        <w:pStyle w:val="BodyText"/>
        <w:ind w:left="720"/>
        <w:rPr>
          <w:i/>
          <w:sz w:val="20"/>
          <w:szCs w:val="20"/>
          <w:u w:val="single"/>
        </w:rPr>
      </w:pPr>
      <w:r w:rsidRPr="007415BE">
        <w:rPr>
          <w:i/>
          <w:sz w:val="20"/>
          <w:szCs w:val="20"/>
        </w:rPr>
        <w:lastRenderedPageBreak/>
        <w:t>“[12]</w:t>
      </w:r>
      <w:r w:rsidRPr="007415BE">
        <w:rPr>
          <w:i/>
          <w:sz w:val="20"/>
          <w:szCs w:val="20"/>
        </w:rPr>
        <w:tab/>
      </w:r>
      <w:r w:rsidRPr="007415BE">
        <w:rPr>
          <w:i/>
          <w:sz w:val="20"/>
          <w:szCs w:val="20"/>
          <w:u w:val="single"/>
        </w:rPr>
        <w:t>The involvement of the insurer in a lawsuit is irrelevant and therefore it is not necessary to plead such involvement. It has already been established that in subrogation claims the insurer takes the place of the insurer</w:t>
      </w:r>
      <w:r w:rsidRPr="007415BE">
        <w:rPr>
          <w:rStyle w:val="FootnoteReference"/>
          <w:i/>
          <w:sz w:val="20"/>
          <w:szCs w:val="20"/>
          <w:u w:val="single"/>
        </w:rPr>
        <w:footnoteReference w:id="21"/>
      </w:r>
      <w:r w:rsidRPr="007415BE">
        <w:rPr>
          <w:i/>
          <w:sz w:val="20"/>
          <w:szCs w:val="20"/>
          <w:u w:val="single"/>
        </w:rPr>
        <w:t xml:space="preserve">.  The historical practice in our courts is to allow the insurer to institute action in the name of the insured [Rand Mutual Assurance supra]. Logically, the parties to a suit have the same rights and duties as they would have had had the matter not been a subrogated claim. I agree with the plaintiff’s submission that from a practical perspective the insurer’s involvement in the suit is irrelevant. For this </w:t>
      </w:r>
      <w:proofErr w:type="gramStart"/>
      <w:r w:rsidRPr="007415BE">
        <w:rPr>
          <w:i/>
          <w:sz w:val="20"/>
          <w:szCs w:val="20"/>
          <w:u w:val="single"/>
        </w:rPr>
        <w:t>reason</w:t>
      </w:r>
      <w:proofErr w:type="gramEnd"/>
      <w:r w:rsidRPr="007415BE">
        <w:rPr>
          <w:i/>
          <w:sz w:val="20"/>
          <w:szCs w:val="20"/>
          <w:u w:val="single"/>
        </w:rPr>
        <w:t xml:space="preserve"> it is clearly not necessary for the plaintiff to plead the insurer’s involvement in the suit. </w:t>
      </w:r>
    </w:p>
    <w:p w14:paraId="6C6BE085" w14:textId="77777777" w:rsidR="008C32DB" w:rsidRPr="007415BE" w:rsidRDefault="008C32DB" w:rsidP="008C32DB">
      <w:pPr>
        <w:pStyle w:val="BodyText"/>
        <w:rPr>
          <w:i/>
          <w:sz w:val="20"/>
          <w:szCs w:val="20"/>
        </w:rPr>
      </w:pPr>
    </w:p>
    <w:p w14:paraId="01914921" w14:textId="77777777" w:rsidR="008C32DB" w:rsidRPr="007415BE" w:rsidRDefault="008C32DB" w:rsidP="008C32DB">
      <w:pPr>
        <w:pStyle w:val="BodyText"/>
        <w:ind w:left="720"/>
        <w:rPr>
          <w:i/>
          <w:sz w:val="20"/>
          <w:szCs w:val="20"/>
        </w:rPr>
      </w:pPr>
      <w:r w:rsidRPr="007415BE">
        <w:rPr>
          <w:i/>
          <w:sz w:val="20"/>
          <w:szCs w:val="20"/>
        </w:rPr>
        <w:t>[13]</w:t>
      </w:r>
      <w:r w:rsidRPr="007415BE">
        <w:rPr>
          <w:i/>
          <w:sz w:val="20"/>
          <w:szCs w:val="20"/>
        </w:rPr>
        <w:tab/>
      </w:r>
      <w:r w:rsidRPr="007415BE">
        <w:rPr>
          <w:i/>
          <w:sz w:val="20"/>
          <w:szCs w:val="20"/>
          <w:u w:val="single"/>
        </w:rPr>
        <w:t>The plaintiff is only required to plead those facts which sustain a cause of action</w:t>
      </w:r>
      <w:r w:rsidRPr="007415BE">
        <w:rPr>
          <w:i/>
          <w:sz w:val="20"/>
          <w:szCs w:val="20"/>
        </w:rPr>
        <w:t xml:space="preserve"> [see </w:t>
      </w:r>
      <w:proofErr w:type="spellStart"/>
      <w:r w:rsidRPr="007415BE">
        <w:rPr>
          <w:i/>
          <w:sz w:val="20"/>
          <w:szCs w:val="20"/>
        </w:rPr>
        <w:t>Bankorp</w:t>
      </w:r>
      <w:proofErr w:type="spellEnd"/>
      <w:r w:rsidRPr="007415BE">
        <w:rPr>
          <w:i/>
          <w:sz w:val="20"/>
          <w:szCs w:val="20"/>
        </w:rPr>
        <w:t xml:space="preserve"> Ltd v Anderson-Morshead 1997 (1) SA 251 (W) at 256I – J]. In the Nkosi case, the plaintiff was both the owner of the vehicle and the insured party.  The case is factually distinguishable from the present matter and this may be the reason for the defendant’s submission that nothing turns on the Nkosi case.  However, the rule propounded in that case is that subrogation must be proved and specifically pleaded.  Accordingly, the case is relevant and needs to be analysed. </w:t>
      </w:r>
      <w:r w:rsidRPr="007415BE">
        <w:rPr>
          <w:i/>
          <w:sz w:val="20"/>
          <w:szCs w:val="20"/>
          <w:u w:val="single"/>
        </w:rPr>
        <w:t>The fact that a given matter is a subrogated claim is not a fact that sustains a cause of action. It is merely a collateral fact and it is not necessary to plead and prove such a fact</w:t>
      </w:r>
      <w:r w:rsidRPr="007415BE">
        <w:rPr>
          <w:i/>
          <w:sz w:val="20"/>
          <w:szCs w:val="20"/>
        </w:rPr>
        <w:t xml:space="preserve">. </w:t>
      </w:r>
    </w:p>
    <w:p w14:paraId="3DAF1F60" w14:textId="77777777" w:rsidR="008C32DB" w:rsidRPr="007415BE" w:rsidRDefault="008C32DB" w:rsidP="008C32DB">
      <w:pPr>
        <w:pStyle w:val="BodyText"/>
        <w:rPr>
          <w:i/>
          <w:sz w:val="20"/>
          <w:szCs w:val="20"/>
        </w:rPr>
      </w:pPr>
    </w:p>
    <w:p w14:paraId="02537C0C" w14:textId="77777777" w:rsidR="008C32DB" w:rsidRPr="007415BE" w:rsidRDefault="008C32DB" w:rsidP="008C32DB">
      <w:pPr>
        <w:pStyle w:val="BodyText"/>
        <w:ind w:left="720"/>
        <w:rPr>
          <w:i/>
          <w:sz w:val="20"/>
          <w:szCs w:val="20"/>
        </w:rPr>
      </w:pPr>
      <w:r w:rsidRPr="007415BE">
        <w:rPr>
          <w:i/>
          <w:sz w:val="20"/>
          <w:szCs w:val="20"/>
        </w:rPr>
        <w:t>[14]</w:t>
      </w:r>
      <w:r w:rsidRPr="007415BE">
        <w:rPr>
          <w:i/>
          <w:sz w:val="20"/>
          <w:szCs w:val="20"/>
        </w:rPr>
        <w:tab/>
      </w:r>
      <w:r w:rsidRPr="007415BE">
        <w:rPr>
          <w:i/>
          <w:sz w:val="20"/>
          <w:szCs w:val="20"/>
          <w:u w:val="single"/>
        </w:rPr>
        <w:t>There is authority for the proposition that subrogation does not need to be proved</w:t>
      </w:r>
      <w:r w:rsidRPr="007415BE">
        <w:rPr>
          <w:i/>
          <w:sz w:val="20"/>
          <w:szCs w:val="20"/>
        </w:rPr>
        <w:t xml:space="preserve">. In </w:t>
      </w:r>
      <w:proofErr w:type="spellStart"/>
      <w:r w:rsidRPr="007415BE">
        <w:rPr>
          <w:i/>
          <w:sz w:val="20"/>
          <w:szCs w:val="20"/>
        </w:rPr>
        <w:t>Ntlhabyane</w:t>
      </w:r>
      <w:proofErr w:type="spellEnd"/>
      <w:r w:rsidRPr="007415BE">
        <w:rPr>
          <w:i/>
          <w:sz w:val="20"/>
          <w:szCs w:val="20"/>
        </w:rPr>
        <w:t xml:space="preserve"> v Black Panther Trucking (Pty) Ltd and Another (A3083/08) [2009] ZAGPJHC 46 (1 September 2009), the plaintiff was the owner of the vehicle and also the insured party. The magistrate granted absolution from the instance on the misguided basis that the plaintiff had failed to prove subrogation in that she had failed to produce a copy of the insurance policy.  On appeal, the court confirmed that subrogation did not affect the plaintiff’s locus standi to institute action. The court held that there ‘was neither a duty on the plaintiff to prove subrogation, nor to produce the </w:t>
      </w:r>
      <w:r w:rsidRPr="007415BE">
        <w:rPr>
          <w:i/>
          <w:sz w:val="20"/>
          <w:szCs w:val="20"/>
        </w:rPr>
        <w:lastRenderedPageBreak/>
        <w:t>policy of insurance.’  I agree with that decision and in that respect the Nkosi judgment is clearly wrong and is not binding on future courts.”</w:t>
      </w:r>
    </w:p>
    <w:p w14:paraId="57CA92F4" w14:textId="77777777" w:rsidR="008C32DB" w:rsidRPr="00827212" w:rsidRDefault="008C32DB" w:rsidP="008C32DB">
      <w:pPr>
        <w:pStyle w:val="BodyText"/>
      </w:pPr>
      <w:r w:rsidRPr="00827212">
        <w:rPr>
          <w:i/>
        </w:rPr>
        <w:tab/>
      </w:r>
      <w:r w:rsidRPr="00827212">
        <w:t>(my emphasis)</w:t>
      </w:r>
    </w:p>
    <w:p w14:paraId="11747622" w14:textId="77777777" w:rsidR="008C32DB" w:rsidRPr="00827212" w:rsidRDefault="008C32DB" w:rsidP="008C32DB">
      <w:pPr>
        <w:rPr>
          <w:rFonts w:ascii="Arial" w:hAnsi="Arial" w:cs="Arial"/>
          <w:i/>
          <w:sz w:val="24"/>
          <w:szCs w:val="24"/>
          <w:lang w:val="en-GB"/>
        </w:rPr>
      </w:pPr>
      <w:r w:rsidRPr="00827212">
        <w:rPr>
          <w:rFonts w:ascii="Arial" w:hAnsi="Arial" w:cs="Arial"/>
          <w:i/>
          <w:sz w:val="24"/>
          <w:szCs w:val="24"/>
          <w:lang w:val="en-GB"/>
        </w:rPr>
        <w:t xml:space="preserve"> </w:t>
      </w:r>
    </w:p>
    <w:p w14:paraId="3BE4B884" w14:textId="1740A8D5" w:rsidR="008C32DB" w:rsidRDefault="008C32DB" w:rsidP="008C32DB">
      <w:pPr>
        <w:rPr>
          <w:rFonts w:ascii="Arial" w:hAnsi="Arial" w:cs="Arial"/>
          <w:sz w:val="24"/>
          <w:szCs w:val="24"/>
          <w:lang w:val="en-GB"/>
        </w:rPr>
      </w:pPr>
      <w:r>
        <w:rPr>
          <w:rFonts w:ascii="Arial" w:hAnsi="Arial" w:cs="Arial"/>
          <w:sz w:val="24"/>
          <w:szCs w:val="24"/>
          <w:lang w:val="en-GB"/>
        </w:rPr>
        <w:t>2</w:t>
      </w:r>
      <w:r w:rsidR="007415BE">
        <w:rPr>
          <w:rFonts w:ascii="Arial" w:hAnsi="Arial" w:cs="Arial"/>
          <w:sz w:val="24"/>
          <w:szCs w:val="24"/>
          <w:lang w:val="en-GB"/>
        </w:rPr>
        <w:t>2</w:t>
      </w:r>
      <w:r>
        <w:rPr>
          <w:rFonts w:ascii="Arial" w:hAnsi="Arial" w:cs="Arial"/>
          <w:sz w:val="24"/>
          <w:szCs w:val="24"/>
          <w:lang w:val="en-GB"/>
        </w:rPr>
        <w:t>.</w:t>
      </w:r>
      <w:r>
        <w:rPr>
          <w:rFonts w:ascii="Arial" w:hAnsi="Arial" w:cs="Arial"/>
          <w:sz w:val="24"/>
          <w:szCs w:val="24"/>
          <w:lang w:val="en-GB"/>
        </w:rPr>
        <w:tab/>
        <w:t xml:space="preserve">The above paragraphs in </w:t>
      </w:r>
      <w:r w:rsidRPr="00F12B13">
        <w:rPr>
          <w:rFonts w:ascii="Arial" w:hAnsi="Arial" w:cs="Arial"/>
          <w:b/>
          <w:i/>
          <w:sz w:val="24"/>
          <w:szCs w:val="24"/>
          <w:lang w:val="en-GB"/>
        </w:rPr>
        <w:t>Banjo v Smith</w:t>
      </w:r>
      <w:r>
        <w:rPr>
          <w:rFonts w:ascii="Arial" w:hAnsi="Arial" w:cs="Arial"/>
          <w:sz w:val="24"/>
          <w:szCs w:val="24"/>
          <w:lang w:val="en-GB"/>
        </w:rPr>
        <w:t xml:space="preserve"> make it clear that where a plaintiff institutes a claim, he/she need not plead that it is a subrogated claim as the insurer’s involvement is irrelevant or collateral</w:t>
      </w:r>
      <w:r w:rsidR="003A4355">
        <w:rPr>
          <w:rFonts w:ascii="Arial" w:hAnsi="Arial" w:cs="Arial"/>
          <w:sz w:val="24"/>
          <w:szCs w:val="24"/>
          <w:lang w:val="en-GB"/>
        </w:rPr>
        <w:t xml:space="preserve"> to the plaintiff’s action</w:t>
      </w:r>
      <w:r>
        <w:rPr>
          <w:rFonts w:ascii="Arial" w:hAnsi="Arial" w:cs="Arial"/>
          <w:sz w:val="24"/>
          <w:szCs w:val="24"/>
          <w:lang w:val="en-GB"/>
        </w:rPr>
        <w:t>.</w:t>
      </w:r>
      <w:r w:rsidR="003A4355">
        <w:rPr>
          <w:rFonts w:ascii="Arial" w:hAnsi="Arial" w:cs="Arial"/>
          <w:sz w:val="24"/>
          <w:szCs w:val="24"/>
          <w:lang w:val="en-GB"/>
        </w:rPr>
        <w:t xml:space="preserve"> </w:t>
      </w:r>
      <w:r>
        <w:rPr>
          <w:rFonts w:ascii="Arial" w:hAnsi="Arial" w:cs="Arial"/>
          <w:sz w:val="24"/>
          <w:szCs w:val="24"/>
          <w:lang w:val="en-GB"/>
        </w:rPr>
        <w:t>I have already set out the averments in the Plea to the current claim and frankly, there is no</w:t>
      </w:r>
      <w:r w:rsidR="003A4355">
        <w:rPr>
          <w:rFonts w:ascii="Arial" w:hAnsi="Arial" w:cs="Arial"/>
          <w:sz w:val="24"/>
          <w:szCs w:val="24"/>
          <w:lang w:val="en-GB"/>
        </w:rPr>
        <w:t xml:space="preserve"> </w:t>
      </w:r>
      <w:r>
        <w:rPr>
          <w:rFonts w:ascii="Arial" w:hAnsi="Arial" w:cs="Arial"/>
          <w:sz w:val="24"/>
          <w:szCs w:val="24"/>
          <w:lang w:val="en-GB"/>
        </w:rPr>
        <w:t>mention of what is contained in the written submissions.</w:t>
      </w:r>
    </w:p>
    <w:p w14:paraId="50876257" w14:textId="77777777" w:rsidR="008C32DB" w:rsidRDefault="008C32DB" w:rsidP="008C32DB">
      <w:pPr>
        <w:rPr>
          <w:rFonts w:ascii="Arial" w:hAnsi="Arial" w:cs="Arial"/>
          <w:sz w:val="24"/>
          <w:szCs w:val="24"/>
          <w:lang w:val="en-GB"/>
        </w:rPr>
      </w:pPr>
    </w:p>
    <w:p w14:paraId="74D47AE5" w14:textId="4DF32ACA" w:rsidR="008C32DB" w:rsidRDefault="008C32DB" w:rsidP="008C32DB">
      <w:pPr>
        <w:rPr>
          <w:rFonts w:ascii="Arial" w:hAnsi="Arial" w:cs="Arial"/>
          <w:sz w:val="24"/>
          <w:szCs w:val="24"/>
          <w:lang w:val="en-GB"/>
        </w:rPr>
      </w:pPr>
      <w:r>
        <w:rPr>
          <w:rFonts w:ascii="Arial" w:hAnsi="Arial" w:cs="Arial"/>
          <w:sz w:val="24"/>
          <w:szCs w:val="24"/>
          <w:lang w:val="en-GB"/>
        </w:rPr>
        <w:t xml:space="preserve">23. Having regard to the dicta in </w:t>
      </w:r>
      <w:r w:rsidRPr="00B704DB">
        <w:rPr>
          <w:rFonts w:ascii="Arial" w:hAnsi="Arial" w:cs="Arial"/>
          <w:b/>
          <w:i/>
          <w:sz w:val="24"/>
          <w:szCs w:val="24"/>
          <w:lang w:val="en-GB"/>
        </w:rPr>
        <w:t>Banjo v Smith</w:t>
      </w:r>
      <w:r>
        <w:rPr>
          <w:rFonts w:ascii="Arial" w:hAnsi="Arial" w:cs="Arial"/>
          <w:sz w:val="24"/>
          <w:szCs w:val="24"/>
          <w:lang w:val="en-GB"/>
        </w:rPr>
        <w:t xml:space="preserve">, in this matter we do not have the plaintiff’s pleading in issue, but a defence which rests on a subrogated claim to escape liability and a reliance on certain sections of the RAF Act and Medical Schemes Act to exclude the defendant’s liability for past medical expenses. I hold the view that in such an instance, the defendant should have pleaded such defence(s) and not </w:t>
      </w:r>
      <w:r w:rsidR="003A4355">
        <w:rPr>
          <w:rFonts w:ascii="Arial" w:hAnsi="Arial" w:cs="Arial"/>
          <w:sz w:val="24"/>
          <w:szCs w:val="24"/>
          <w:lang w:val="en-GB"/>
        </w:rPr>
        <w:t xml:space="preserve">simply plead </w:t>
      </w:r>
      <w:proofErr w:type="gramStart"/>
      <w:r w:rsidR="003A4355">
        <w:rPr>
          <w:rFonts w:ascii="Arial" w:hAnsi="Arial" w:cs="Arial"/>
          <w:sz w:val="24"/>
          <w:szCs w:val="24"/>
          <w:lang w:val="en-GB"/>
        </w:rPr>
        <w:t xml:space="preserve">an </w:t>
      </w:r>
      <w:r>
        <w:rPr>
          <w:rFonts w:ascii="Arial" w:hAnsi="Arial" w:cs="Arial"/>
          <w:sz w:val="24"/>
          <w:szCs w:val="24"/>
          <w:lang w:val="en-GB"/>
        </w:rPr>
        <w:t xml:space="preserve"> acknowledgement</w:t>
      </w:r>
      <w:proofErr w:type="gramEnd"/>
      <w:r>
        <w:rPr>
          <w:rFonts w:ascii="Arial" w:hAnsi="Arial" w:cs="Arial"/>
          <w:sz w:val="24"/>
          <w:szCs w:val="24"/>
          <w:lang w:val="en-GB"/>
        </w:rPr>
        <w:t xml:space="preserve"> of the schedule of expenses and putting the plaintiff to the proof of her claim. I am further fortified in my view that these defences should have been pleaded as Rule 18(4) makes it abundantly clear that the pleading should contain a clear and concise statement of material facts upon which the pleader relies for his/its defence</w:t>
      </w:r>
      <w:r w:rsidR="003A4355">
        <w:rPr>
          <w:rFonts w:ascii="Arial" w:hAnsi="Arial" w:cs="Arial"/>
          <w:sz w:val="24"/>
          <w:szCs w:val="24"/>
          <w:lang w:val="en-GB"/>
        </w:rPr>
        <w:t xml:space="preserve">, and while I am not dealing with an exception, the material facts upon which the late defences are based, are absent from the Plea. </w:t>
      </w:r>
      <w:r>
        <w:rPr>
          <w:rFonts w:ascii="Arial" w:hAnsi="Arial" w:cs="Arial"/>
          <w:sz w:val="24"/>
          <w:szCs w:val="24"/>
          <w:lang w:val="en-GB"/>
        </w:rPr>
        <w:t xml:space="preserve">     </w:t>
      </w:r>
    </w:p>
    <w:p w14:paraId="167B947C" w14:textId="77777777" w:rsidR="008C32DB" w:rsidRDefault="008C32DB" w:rsidP="008C32DB">
      <w:pPr>
        <w:rPr>
          <w:rFonts w:ascii="Arial" w:hAnsi="Arial" w:cs="Arial"/>
          <w:sz w:val="24"/>
          <w:szCs w:val="24"/>
          <w:lang w:val="en-GB"/>
        </w:rPr>
      </w:pPr>
    </w:p>
    <w:p w14:paraId="1DFC251A" w14:textId="56D0D633" w:rsidR="008C32DB" w:rsidRDefault="008C32DB" w:rsidP="008C32DB">
      <w:pPr>
        <w:rPr>
          <w:rFonts w:ascii="Arial" w:hAnsi="Arial" w:cs="Arial"/>
          <w:sz w:val="24"/>
          <w:szCs w:val="24"/>
          <w:lang w:val="en-GB"/>
        </w:rPr>
      </w:pPr>
      <w:r>
        <w:rPr>
          <w:rFonts w:ascii="Arial" w:hAnsi="Arial" w:cs="Arial"/>
          <w:sz w:val="24"/>
          <w:szCs w:val="24"/>
          <w:lang w:val="en-GB"/>
        </w:rPr>
        <w:t>24.</w:t>
      </w:r>
      <w:r>
        <w:rPr>
          <w:rFonts w:ascii="Arial" w:hAnsi="Arial" w:cs="Arial"/>
          <w:sz w:val="24"/>
          <w:szCs w:val="24"/>
          <w:lang w:val="en-GB"/>
        </w:rPr>
        <w:tab/>
        <w:t xml:space="preserve">By raising these apparent defences for the first time in written submissions </w:t>
      </w:r>
      <w:r w:rsidRPr="00836F86">
        <w:rPr>
          <w:rFonts w:ascii="Arial" w:hAnsi="Arial" w:cs="Arial"/>
          <w:sz w:val="24"/>
          <w:szCs w:val="24"/>
          <w:u w:val="single"/>
          <w:lang w:val="en-GB"/>
        </w:rPr>
        <w:t>after</w:t>
      </w:r>
      <w:r>
        <w:rPr>
          <w:rFonts w:ascii="Arial" w:hAnsi="Arial" w:cs="Arial"/>
          <w:sz w:val="24"/>
          <w:szCs w:val="24"/>
          <w:lang w:val="en-GB"/>
        </w:rPr>
        <w:t xml:space="preserve"> the parties had closed their respective cases, the defendant acted in a manner contrary to the Rules and frankly ambushed the plaintiff. I must emphasise that neither the schedule of expenses nor supporting invoices and vouchers or the plaintiff’s testimony were ever disputed, which lead to the eventual conclusion that the past medical expenses </w:t>
      </w:r>
      <w:r w:rsidR="003A4355">
        <w:rPr>
          <w:rFonts w:ascii="Arial" w:hAnsi="Arial" w:cs="Arial"/>
          <w:sz w:val="24"/>
          <w:szCs w:val="24"/>
          <w:lang w:val="en-GB"/>
        </w:rPr>
        <w:t xml:space="preserve">remained </w:t>
      </w:r>
      <w:r>
        <w:rPr>
          <w:rFonts w:ascii="Arial" w:hAnsi="Arial" w:cs="Arial"/>
          <w:sz w:val="24"/>
          <w:szCs w:val="24"/>
          <w:lang w:val="en-GB"/>
        </w:rPr>
        <w:t>undisputed. The conduct of the defendant in firstly failing to plead these specific defences, and secondly, presenting them in written submissions after the conclusion of the trial, is to be deprecated. There is simply no reason why the defendant did not</w:t>
      </w:r>
      <w:r w:rsidR="003A4355">
        <w:rPr>
          <w:rFonts w:ascii="Arial" w:hAnsi="Arial" w:cs="Arial"/>
          <w:sz w:val="24"/>
          <w:szCs w:val="24"/>
          <w:lang w:val="en-GB"/>
        </w:rPr>
        <w:t xml:space="preserve"> amend </w:t>
      </w:r>
      <w:r w:rsidR="003A4355">
        <w:rPr>
          <w:rFonts w:ascii="Arial" w:hAnsi="Arial" w:cs="Arial"/>
          <w:sz w:val="24"/>
          <w:szCs w:val="24"/>
          <w:lang w:val="en-GB"/>
        </w:rPr>
        <w:lastRenderedPageBreak/>
        <w:t xml:space="preserve">its Plea in terms of Rule 28. Nonetheless, I consider the submissions as presented in the discussion which follows. </w:t>
      </w:r>
      <w:r>
        <w:rPr>
          <w:rFonts w:ascii="Arial" w:hAnsi="Arial" w:cs="Arial"/>
          <w:sz w:val="24"/>
          <w:szCs w:val="24"/>
          <w:lang w:val="en-GB"/>
        </w:rPr>
        <w:t xml:space="preserve">   </w:t>
      </w:r>
    </w:p>
    <w:p w14:paraId="6D2817EE" w14:textId="77777777" w:rsidR="008C32DB" w:rsidRDefault="008C32DB" w:rsidP="008C32DB">
      <w:pPr>
        <w:rPr>
          <w:rFonts w:ascii="Arial" w:hAnsi="Arial" w:cs="Arial"/>
          <w:sz w:val="24"/>
          <w:szCs w:val="24"/>
          <w:lang w:val="en-GB"/>
        </w:rPr>
      </w:pPr>
    </w:p>
    <w:p w14:paraId="362AFC39" w14:textId="01244B6C" w:rsidR="008C32DB" w:rsidRDefault="008C32DB" w:rsidP="008C32DB">
      <w:pPr>
        <w:rPr>
          <w:rFonts w:ascii="Arial" w:hAnsi="Arial" w:cs="Arial"/>
          <w:sz w:val="24"/>
          <w:szCs w:val="24"/>
          <w:lang w:val="en-GB"/>
        </w:rPr>
      </w:pPr>
      <w:r>
        <w:rPr>
          <w:rFonts w:ascii="Arial" w:hAnsi="Arial" w:cs="Arial"/>
          <w:sz w:val="24"/>
          <w:szCs w:val="24"/>
          <w:lang w:val="en-GB"/>
        </w:rPr>
        <w:t>25.</w:t>
      </w:r>
      <w:r>
        <w:rPr>
          <w:rFonts w:ascii="Arial" w:hAnsi="Arial" w:cs="Arial"/>
          <w:sz w:val="24"/>
          <w:szCs w:val="24"/>
          <w:lang w:val="en-GB"/>
        </w:rPr>
        <w:tab/>
        <w:t>The important point to note is that the plaintiff’s claim for past medical and hospital expenses is not based on subrogation but is based on the provisions of section 17 of the RAF Act. The undisputed evidence is that GEMS honoured its obligations to the plaintiff and indemnified her as an insured under a contract of indemnity insurance by paying her past hospital and medical expenses which she incurred as a result of the injuries</w:t>
      </w:r>
      <w:r w:rsidR="004C2495">
        <w:rPr>
          <w:rFonts w:ascii="Arial" w:hAnsi="Arial" w:cs="Arial"/>
          <w:sz w:val="24"/>
          <w:szCs w:val="24"/>
          <w:lang w:val="en-GB"/>
        </w:rPr>
        <w:t xml:space="preserve"> in the collision. </w:t>
      </w:r>
      <w:r>
        <w:rPr>
          <w:rFonts w:ascii="Arial" w:hAnsi="Arial" w:cs="Arial"/>
          <w:sz w:val="24"/>
          <w:szCs w:val="24"/>
          <w:lang w:val="en-GB"/>
        </w:rPr>
        <w:t xml:space="preserve"> </w:t>
      </w:r>
    </w:p>
    <w:p w14:paraId="016015B0" w14:textId="77777777" w:rsidR="007415BE" w:rsidRDefault="007415BE" w:rsidP="008C32DB">
      <w:pPr>
        <w:rPr>
          <w:rFonts w:ascii="Arial" w:hAnsi="Arial" w:cs="Arial"/>
          <w:sz w:val="24"/>
          <w:szCs w:val="24"/>
          <w:lang w:val="en-GB"/>
        </w:rPr>
      </w:pPr>
    </w:p>
    <w:p w14:paraId="65FB42FF" w14:textId="7ACA66D5" w:rsidR="008C32DB" w:rsidRDefault="008C32DB" w:rsidP="008C32DB">
      <w:pPr>
        <w:rPr>
          <w:rFonts w:ascii="Arial" w:hAnsi="Arial" w:cs="Arial"/>
          <w:sz w:val="24"/>
          <w:szCs w:val="24"/>
          <w:lang w:val="en-GB"/>
        </w:rPr>
      </w:pPr>
      <w:r>
        <w:rPr>
          <w:rFonts w:ascii="Arial" w:hAnsi="Arial" w:cs="Arial"/>
          <w:sz w:val="24"/>
          <w:szCs w:val="24"/>
          <w:lang w:val="en-GB"/>
        </w:rPr>
        <w:t>26.</w:t>
      </w:r>
      <w:r>
        <w:rPr>
          <w:rFonts w:ascii="Arial" w:hAnsi="Arial" w:cs="Arial"/>
          <w:sz w:val="24"/>
          <w:szCs w:val="24"/>
          <w:lang w:val="en-GB"/>
        </w:rPr>
        <w:tab/>
        <w:t xml:space="preserve">Turning then to the recent </w:t>
      </w:r>
      <w:r w:rsidRPr="00C16E31">
        <w:rPr>
          <w:rFonts w:ascii="Arial" w:hAnsi="Arial" w:cs="Arial"/>
          <w:b/>
          <w:i/>
          <w:sz w:val="24"/>
          <w:szCs w:val="24"/>
          <w:lang w:val="en-GB"/>
        </w:rPr>
        <w:t>Discovery Health</w:t>
      </w:r>
      <w:r>
        <w:rPr>
          <w:rFonts w:ascii="Arial" w:hAnsi="Arial" w:cs="Arial"/>
          <w:b/>
          <w:i/>
          <w:sz w:val="24"/>
          <w:szCs w:val="24"/>
          <w:lang w:val="en-GB"/>
        </w:rPr>
        <w:t xml:space="preserve"> </w:t>
      </w:r>
      <w:r>
        <w:rPr>
          <w:rFonts w:ascii="Arial" w:hAnsi="Arial" w:cs="Arial"/>
          <w:sz w:val="24"/>
          <w:szCs w:val="24"/>
          <w:lang w:val="en-GB"/>
        </w:rPr>
        <w:t xml:space="preserve">judgment, </w:t>
      </w:r>
      <w:r w:rsidR="004C2495">
        <w:rPr>
          <w:rFonts w:ascii="Arial" w:hAnsi="Arial" w:cs="Arial"/>
          <w:sz w:val="24"/>
          <w:szCs w:val="24"/>
          <w:lang w:val="en-GB"/>
        </w:rPr>
        <w:t xml:space="preserve">it is notable </w:t>
      </w:r>
      <w:proofErr w:type="gramStart"/>
      <w:r w:rsidR="004C2495">
        <w:rPr>
          <w:rFonts w:ascii="Arial" w:hAnsi="Arial" w:cs="Arial"/>
          <w:sz w:val="24"/>
          <w:szCs w:val="24"/>
          <w:lang w:val="en-GB"/>
        </w:rPr>
        <w:t xml:space="preserve">that </w:t>
      </w:r>
      <w:r>
        <w:rPr>
          <w:rFonts w:ascii="Arial" w:hAnsi="Arial" w:cs="Arial"/>
          <w:sz w:val="24"/>
          <w:szCs w:val="24"/>
          <w:lang w:val="en-GB"/>
        </w:rPr>
        <w:t xml:space="preserve"> a</w:t>
      </w:r>
      <w:proofErr w:type="gramEnd"/>
      <w:r>
        <w:rPr>
          <w:rFonts w:ascii="Arial" w:hAnsi="Arial" w:cs="Arial"/>
          <w:sz w:val="24"/>
          <w:szCs w:val="24"/>
          <w:lang w:val="en-GB"/>
        </w:rPr>
        <w:t xml:space="preserve"> similar argument was advanced by the RAF which was the respondent in that application. On the subrogation issue and RAF’s contention that it is absolved from paying compensation where a medical aid scheme (the insurer) has compensated the insured (the plaintiff/claimant), Mbongwe J in </w:t>
      </w:r>
      <w:r w:rsidRPr="00126250">
        <w:rPr>
          <w:rFonts w:ascii="Arial" w:hAnsi="Arial" w:cs="Arial"/>
          <w:b/>
          <w:i/>
          <w:sz w:val="24"/>
          <w:szCs w:val="24"/>
          <w:lang w:val="en-GB"/>
        </w:rPr>
        <w:t>Discovery Health</w:t>
      </w:r>
      <w:r>
        <w:rPr>
          <w:rFonts w:ascii="Arial" w:hAnsi="Arial" w:cs="Arial"/>
          <w:sz w:val="24"/>
          <w:szCs w:val="24"/>
          <w:lang w:val="en-GB"/>
        </w:rPr>
        <w:t xml:space="preserve"> held that:</w:t>
      </w:r>
    </w:p>
    <w:p w14:paraId="73461842" w14:textId="77777777" w:rsidR="008C32DB" w:rsidRDefault="008C32DB" w:rsidP="008C32DB">
      <w:pPr>
        <w:rPr>
          <w:rFonts w:ascii="Arial" w:hAnsi="Arial" w:cs="Arial"/>
          <w:sz w:val="24"/>
          <w:szCs w:val="24"/>
          <w:lang w:val="en-GB"/>
        </w:rPr>
      </w:pPr>
      <w:r>
        <w:rPr>
          <w:rFonts w:ascii="Arial" w:hAnsi="Arial" w:cs="Arial"/>
          <w:sz w:val="24"/>
          <w:szCs w:val="24"/>
          <w:lang w:val="en-GB"/>
        </w:rPr>
        <w:t xml:space="preserve">   </w:t>
      </w:r>
    </w:p>
    <w:p w14:paraId="631DA432" w14:textId="77777777" w:rsidR="008C32DB" w:rsidRPr="007415BE" w:rsidRDefault="008C32DB" w:rsidP="008C32DB">
      <w:pPr>
        <w:spacing w:after="360"/>
        <w:ind w:left="720"/>
        <w:rPr>
          <w:rFonts w:ascii="Arial" w:hAnsi="Arial" w:cs="Arial"/>
          <w:i/>
          <w:color w:val="000000" w:themeColor="text1"/>
          <w:sz w:val="20"/>
          <w:szCs w:val="20"/>
        </w:rPr>
      </w:pPr>
      <w:r w:rsidRPr="007415BE">
        <w:rPr>
          <w:rFonts w:ascii="Arial" w:hAnsi="Arial" w:cs="Arial"/>
          <w:i/>
          <w:color w:val="000000" w:themeColor="text1"/>
          <w:sz w:val="20"/>
          <w:szCs w:val="20"/>
        </w:rPr>
        <w:t>“[21]</w:t>
      </w:r>
      <w:r w:rsidRPr="007415BE">
        <w:rPr>
          <w:rFonts w:ascii="Arial" w:hAnsi="Arial" w:cs="Arial"/>
          <w:i/>
          <w:color w:val="000000" w:themeColor="text1"/>
          <w:sz w:val="20"/>
          <w:szCs w:val="20"/>
        </w:rPr>
        <w:tab/>
      </w:r>
      <w:r w:rsidRPr="007415BE">
        <w:rPr>
          <w:rFonts w:ascii="Arial" w:hAnsi="Arial" w:cs="Arial"/>
          <w:i/>
          <w:color w:val="000000" w:themeColor="text1"/>
          <w:sz w:val="20"/>
          <w:szCs w:val="20"/>
          <w:u w:val="single"/>
        </w:rPr>
        <w:t>In terms of our law, benefits received by a claimant from the benevolence of a third party or a private insurance policy are not considered for purposes of determining the quantum of a claimant’s damages against the first respondent. The reason for this is merely because a benefit that accrues or is received from a private insurance policy origin from a contract between the insured and the insurance company for the explicit benefit of the claimant and its receipt does not exonerate the first respondent from the liability to discharge its obligation in terms of the RAF Act</w:t>
      </w:r>
      <w:r w:rsidRPr="007415BE">
        <w:rPr>
          <w:rFonts w:ascii="Arial" w:hAnsi="Arial" w:cs="Arial"/>
          <w:i/>
          <w:color w:val="000000" w:themeColor="text1"/>
          <w:sz w:val="20"/>
          <w:szCs w:val="20"/>
        </w:rPr>
        <w:t xml:space="preserve">. In </w:t>
      </w:r>
      <w:proofErr w:type="spellStart"/>
      <w:r w:rsidRPr="007415BE">
        <w:rPr>
          <w:rFonts w:ascii="Arial" w:hAnsi="Arial" w:cs="Arial"/>
          <w:i/>
          <w:color w:val="000000" w:themeColor="text1"/>
          <w:sz w:val="20"/>
          <w:szCs w:val="20"/>
        </w:rPr>
        <w:t>Zysset</w:t>
      </w:r>
      <w:proofErr w:type="spellEnd"/>
      <w:r w:rsidRPr="007415BE">
        <w:rPr>
          <w:rFonts w:ascii="Arial" w:hAnsi="Arial" w:cs="Arial"/>
          <w:i/>
          <w:color w:val="000000" w:themeColor="text1"/>
          <w:sz w:val="20"/>
          <w:szCs w:val="20"/>
        </w:rPr>
        <w:t xml:space="preserve"> and Others v Santam Ltd 1996 (1) SA 273 (C) at 277H – 279C the set out the principle in the following words:</w:t>
      </w:r>
    </w:p>
    <w:p w14:paraId="0330F4B3" w14:textId="77777777" w:rsidR="008C32DB" w:rsidRPr="007415BE" w:rsidRDefault="008C32DB" w:rsidP="008C32DB">
      <w:pPr>
        <w:spacing w:after="360"/>
        <w:ind w:left="1440"/>
        <w:rPr>
          <w:rFonts w:ascii="Arial" w:hAnsi="Arial" w:cs="Arial"/>
          <w:i/>
          <w:color w:val="000000" w:themeColor="text1"/>
          <w:sz w:val="20"/>
          <w:szCs w:val="20"/>
          <w:u w:val="single"/>
        </w:rPr>
      </w:pPr>
      <w:r w:rsidRPr="007415BE">
        <w:rPr>
          <w:rFonts w:ascii="Arial" w:hAnsi="Arial" w:cs="Arial"/>
          <w:color w:val="000000" w:themeColor="text1"/>
          <w:sz w:val="20"/>
          <w:szCs w:val="20"/>
        </w:rPr>
        <w:t>“</w:t>
      </w:r>
      <w:r w:rsidRPr="007415BE">
        <w:rPr>
          <w:rFonts w:ascii="Arial" w:hAnsi="Arial" w:cs="Arial"/>
          <w:i/>
          <w:color w:val="000000" w:themeColor="text1"/>
          <w:sz w:val="20"/>
          <w:szCs w:val="20"/>
        </w:rPr>
        <w:t xml:space="preserve">The modern South African </w:t>
      </w:r>
      <w:proofErr w:type="spellStart"/>
      <w:r w:rsidRPr="007415BE">
        <w:rPr>
          <w:rFonts w:ascii="Arial" w:hAnsi="Arial" w:cs="Arial"/>
          <w:i/>
          <w:color w:val="000000" w:themeColor="text1"/>
          <w:sz w:val="20"/>
          <w:szCs w:val="20"/>
        </w:rPr>
        <w:t>delictual</w:t>
      </w:r>
      <w:proofErr w:type="spellEnd"/>
      <w:r w:rsidRPr="007415BE">
        <w:rPr>
          <w:rFonts w:ascii="Arial" w:hAnsi="Arial" w:cs="Arial"/>
          <w:i/>
          <w:color w:val="000000" w:themeColor="text1"/>
          <w:sz w:val="20"/>
          <w:szCs w:val="20"/>
        </w:rPr>
        <w:t xml:space="preserve"> action for damages arising from bodily injury negligently caused is compensatory and not penal. As far as the plaintiff’s patrimonial loss is concerned, the liability of the defendant is no more than to make good the difference between the value of the plaintiff’s estate after the commission of the delict and the value it would have had if the delict had not been committed…Similarly, and notwithstanding the problem of placing a monetary value on a non-patrimonial loss, the object in awarding general damages for pain and suffering and loss of amenities of life is to compensate the plaintiff for his loss. </w:t>
      </w:r>
      <w:r w:rsidRPr="007415BE">
        <w:rPr>
          <w:rFonts w:ascii="Arial" w:hAnsi="Arial" w:cs="Arial"/>
          <w:i/>
          <w:color w:val="000000" w:themeColor="text1"/>
          <w:sz w:val="20"/>
          <w:szCs w:val="20"/>
          <w:u w:val="single"/>
        </w:rPr>
        <w:t xml:space="preserve">It is not uncommon, however, for a plaintiff by reason of his injuries to receive from a third party some monetary or compensatory benefit to which he would not </w:t>
      </w:r>
      <w:r w:rsidRPr="007415BE">
        <w:rPr>
          <w:rFonts w:ascii="Arial" w:hAnsi="Arial" w:cs="Arial"/>
          <w:i/>
          <w:color w:val="000000" w:themeColor="text1"/>
          <w:sz w:val="20"/>
          <w:szCs w:val="20"/>
          <w:u w:val="single"/>
        </w:rPr>
        <w:lastRenderedPageBreak/>
        <w:t>otherwise have been entitled. Logically and because of the compensatory nature of the action, any advantage or benefit by which the plaintiff’s loss is reduced should result in a corresponding reduction in the damages awarded to him. Failure to deduct such a benefit would result in the plaintiff recovering double compensation which, of course, is inconsistent with the fundamental nature of the action.</w:t>
      </w:r>
    </w:p>
    <w:p w14:paraId="03352630" w14:textId="77777777" w:rsidR="004C2495" w:rsidRDefault="008C32DB" w:rsidP="008C32DB">
      <w:pPr>
        <w:spacing w:after="360"/>
        <w:ind w:left="1440"/>
        <w:rPr>
          <w:rFonts w:ascii="Arial" w:hAnsi="Arial" w:cs="Arial"/>
          <w:i/>
          <w:color w:val="000000" w:themeColor="text1"/>
          <w:sz w:val="20"/>
          <w:szCs w:val="20"/>
        </w:rPr>
      </w:pPr>
      <w:r w:rsidRPr="007415BE">
        <w:rPr>
          <w:rFonts w:ascii="Arial" w:hAnsi="Arial" w:cs="Arial"/>
          <w:i/>
          <w:color w:val="000000" w:themeColor="text1"/>
          <w:sz w:val="20"/>
          <w:szCs w:val="20"/>
          <w:u w:val="single"/>
        </w:rPr>
        <w:t xml:space="preserve">Notwithstanding the </w:t>
      </w:r>
      <w:proofErr w:type="spellStart"/>
      <w:r w:rsidRPr="007415BE">
        <w:rPr>
          <w:rFonts w:ascii="Arial" w:hAnsi="Arial" w:cs="Arial"/>
          <w:i/>
          <w:color w:val="000000" w:themeColor="text1"/>
          <w:sz w:val="20"/>
          <w:szCs w:val="20"/>
          <w:u w:val="single"/>
        </w:rPr>
        <w:t>aforegoing</w:t>
      </w:r>
      <w:proofErr w:type="spellEnd"/>
      <w:r w:rsidRPr="007415BE">
        <w:rPr>
          <w:rFonts w:ascii="Arial" w:hAnsi="Arial" w:cs="Arial"/>
          <w:i/>
          <w:color w:val="000000" w:themeColor="text1"/>
          <w:sz w:val="20"/>
          <w:szCs w:val="20"/>
          <w:u w:val="single"/>
        </w:rPr>
        <w:t>, it is well established in our law that certain benefits which a plaintiff may receive are to be left out of the account as being completely collateral. The classic examples are (a) benefits received by the plaintiff under ordinary contract of insurance for which he has paid the premiums and (b) money and other benefits received by a plaintiff from the benevolence of third parties motivated by sympathy. It is said that the law baulks at allowing the wrongdoer to benefit from the plaintiff’s own prudence in insuring himself or from a third party’s benevolence or compassion in coming to the assistance of the plaintiff</w:t>
      </w:r>
      <w:r w:rsidRPr="007415BE">
        <w:rPr>
          <w:rFonts w:ascii="Arial" w:hAnsi="Arial" w:cs="Arial"/>
          <w:i/>
          <w:color w:val="000000" w:themeColor="text1"/>
          <w:sz w:val="20"/>
          <w:szCs w:val="20"/>
        </w:rPr>
        <w:t>.”</w:t>
      </w:r>
    </w:p>
    <w:p w14:paraId="072191FB" w14:textId="73C261F7" w:rsidR="008C32DB" w:rsidRPr="008A36BA" w:rsidRDefault="008C32DB" w:rsidP="008C32DB">
      <w:pPr>
        <w:spacing w:after="360"/>
        <w:ind w:left="1440"/>
        <w:rPr>
          <w:rFonts w:ascii="Arial" w:hAnsi="Arial" w:cs="Arial"/>
          <w:color w:val="000000" w:themeColor="text1"/>
          <w:sz w:val="24"/>
          <w:szCs w:val="24"/>
        </w:rPr>
      </w:pPr>
      <w:r>
        <w:rPr>
          <w:rFonts w:ascii="Arial" w:hAnsi="Arial" w:cs="Arial"/>
          <w:color w:val="000000" w:themeColor="text1"/>
          <w:sz w:val="24"/>
          <w:szCs w:val="24"/>
        </w:rPr>
        <w:t>(m</w:t>
      </w:r>
      <w:r w:rsidRPr="008A36BA">
        <w:rPr>
          <w:rFonts w:ascii="Arial" w:hAnsi="Arial" w:cs="Arial"/>
          <w:color w:val="000000" w:themeColor="text1"/>
          <w:sz w:val="24"/>
          <w:szCs w:val="24"/>
        </w:rPr>
        <w:t>y emphasis</w:t>
      </w:r>
      <w:r>
        <w:rPr>
          <w:rFonts w:ascii="Arial" w:hAnsi="Arial" w:cs="Arial"/>
          <w:color w:val="000000" w:themeColor="text1"/>
          <w:sz w:val="24"/>
          <w:szCs w:val="24"/>
        </w:rPr>
        <w:t>)</w:t>
      </w:r>
      <w:r w:rsidRPr="008A36BA">
        <w:rPr>
          <w:rFonts w:ascii="Arial" w:hAnsi="Arial" w:cs="Arial"/>
          <w:color w:val="000000" w:themeColor="text1"/>
          <w:sz w:val="24"/>
          <w:szCs w:val="24"/>
        </w:rPr>
        <w:t xml:space="preserve"> </w:t>
      </w:r>
    </w:p>
    <w:p w14:paraId="2DEA0E23" w14:textId="77777777" w:rsidR="008C32DB" w:rsidRPr="007415BE" w:rsidRDefault="008C32DB" w:rsidP="008C32DB">
      <w:pPr>
        <w:spacing w:after="360"/>
        <w:ind w:left="720"/>
        <w:rPr>
          <w:rFonts w:ascii="Arial" w:hAnsi="Arial" w:cs="Arial"/>
          <w:i/>
          <w:color w:val="000000" w:themeColor="text1"/>
          <w:sz w:val="20"/>
          <w:szCs w:val="20"/>
        </w:rPr>
      </w:pPr>
      <w:r w:rsidRPr="00A12546">
        <w:rPr>
          <w:rFonts w:ascii="Arial" w:hAnsi="Arial" w:cs="Arial"/>
          <w:i/>
          <w:color w:val="000000" w:themeColor="text1"/>
          <w:sz w:val="24"/>
          <w:szCs w:val="24"/>
        </w:rPr>
        <w:t>[</w:t>
      </w:r>
      <w:r w:rsidRPr="007415BE">
        <w:rPr>
          <w:rFonts w:ascii="Arial" w:hAnsi="Arial" w:cs="Arial"/>
          <w:i/>
          <w:color w:val="000000" w:themeColor="text1"/>
          <w:sz w:val="20"/>
          <w:szCs w:val="20"/>
        </w:rPr>
        <w:t>22]</w:t>
      </w:r>
      <w:r w:rsidRPr="007415BE">
        <w:rPr>
          <w:rFonts w:ascii="Arial" w:hAnsi="Arial" w:cs="Arial"/>
          <w:i/>
          <w:color w:val="000000" w:themeColor="text1"/>
          <w:sz w:val="20"/>
          <w:szCs w:val="20"/>
        </w:rPr>
        <w:tab/>
        <w:t xml:space="preserve">In </w:t>
      </w:r>
      <w:proofErr w:type="spellStart"/>
      <w:r w:rsidRPr="007415BE">
        <w:rPr>
          <w:rFonts w:ascii="Arial" w:hAnsi="Arial" w:cs="Arial"/>
          <w:i/>
          <w:color w:val="000000" w:themeColor="text1"/>
          <w:sz w:val="20"/>
          <w:szCs w:val="20"/>
        </w:rPr>
        <w:t>Ntlhabyane</w:t>
      </w:r>
      <w:proofErr w:type="spellEnd"/>
      <w:r w:rsidRPr="007415BE">
        <w:rPr>
          <w:rFonts w:ascii="Arial" w:hAnsi="Arial" w:cs="Arial"/>
          <w:i/>
          <w:color w:val="000000" w:themeColor="text1"/>
          <w:sz w:val="20"/>
          <w:szCs w:val="20"/>
        </w:rPr>
        <w:t xml:space="preserve"> v Black Panther Trucking (Pty) Limited and Another 2010 JDR 1011 (GSJ) the court expressed the principle in the following terms:</w:t>
      </w:r>
    </w:p>
    <w:p w14:paraId="072D15A2" w14:textId="50496C3E" w:rsidR="008C32DB" w:rsidRPr="007415BE" w:rsidRDefault="008C32DB" w:rsidP="008C32DB">
      <w:pPr>
        <w:spacing w:after="360"/>
        <w:ind w:left="1440"/>
        <w:rPr>
          <w:rFonts w:ascii="Arial" w:hAnsi="Arial" w:cs="Arial"/>
          <w:i/>
          <w:color w:val="000000" w:themeColor="text1"/>
          <w:sz w:val="20"/>
          <w:szCs w:val="20"/>
        </w:rPr>
      </w:pPr>
      <w:r w:rsidRPr="007415BE">
        <w:rPr>
          <w:rFonts w:ascii="Arial" w:hAnsi="Arial" w:cs="Arial"/>
          <w:i/>
          <w:color w:val="000000" w:themeColor="text1"/>
          <w:sz w:val="20"/>
          <w:szCs w:val="20"/>
        </w:rPr>
        <w:t>“a plaintiff’s insurance, her indemnification in terms of it, and the consequent subrogation of her insurer are all matters of no concern to the third party defendant.’’ “</w:t>
      </w:r>
    </w:p>
    <w:p w14:paraId="67A3AE48" w14:textId="79CA61EC" w:rsidR="008C32DB" w:rsidRDefault="008C32DB" w:rsidP="008C32DB">
      <w:pPr>
        <w:rPr>
          <w:rFonts w:ascii="Arial" w:hAnsi="Arial" w:cs="Arial"/>
          <w:sz w:val="24"/>
          <w:szCs w:val="24"/>
          <w:lang w:val="en-GB"/>
        </w:rPr>
      </w:pPr>
      <w:r>
        <w:rPr>
          <w:rFonts w:ascii="Arial" w:hAnsi="Arial" w:cs="Arial"/>
          <w:sz w:val="24"/>
          <w:szCs w:val="24"/>
          <w:lang w:val="en-GB"/>
        </w:rPr>
        <w:t>2</w:t>
      </w:r>
      <w:r w:rsidR="00212BD2">
        <w:rPr>
          <w:rFonts w:ascii="Arial" w:hAnsi="Arial" w:cs="Arial"/>
          <w:sz w:val="24"/>
          <w:szCs w:val="24"/>
          <w:lang w:val="en-GB"/>
        </w:rPr>
        <w:t>7</w:t>
      </w:r>
      <w:r>
        <w:rPr>
          <w:rFonts w:ascii="Arial" w:hAnsi="Arial" w:cs="Arial"/>
          <w:sz w:val="24"/>
          <w:szCs w:val="24"/>
          <w:lang w:val="en-GB"/>
        </w:rPr>
        <w:t>.</w:t>
      </w:r>
      <w:r>
        <w:rPr>
          <w:rFonts w:ascii="Arial" w:hAnsi="Arial" w:cs="Arial"/>
          <w:sz w:val="24"/>
          <w:szCs w:val="24"/>
          <w:lang w:val="en-GB"/>
        </w:rPr>
        <w:tab/>
        <w:t xml:space="preserve">From paragraph 21 of </w:t>
      </w:r>
      <w:r w:rsidRPr="006F3DB2">
        <w:rPr>
          <w:rFonts w:ascii="Arial" w:hAnsi="Arial" w:cs="Arial"/>
          <w:b/>
          <w:i/>
          <w:sz w:val="24"/>
          <w:szCs w:val="24"/>
          <w:lang w:val="en-GB"/>
        </w:rPr>
        <w:t>Discovery Health</w:t>
      </w:r>
      <w:r>
        <w:rPr>
          <w:rFonts w:ascii="Arial" w:hAnsi="Arial" w:cs="Arial"/>
          <w:sz w:val="24"/>
          <w:szCs w:val="24"/>
          <w:lang w:val="en-GB"/>
        </w:rPr>
        <w:t xml:space="preserve">, it </w:t>
      </w:r>
      <w:r w:rsidR="004C2495">
        <w:rPr>
          <w:rFonts w:ascii="Arial" w:hAnsi="Arial" w:cs="Arial"/>
          <w:sz w:val="24"/>
          <w:szCs w:val="24"/>
          <w:lang w:val="en-GB"/>
        </w:rPr>
        <w:t xml:space="preserve">is evident </w:t>
      </w:r>
      <w:r>
        <w:rPr>
          <w:rFonts w:ascii="Arial" w:hAnsi="Arial" w:cs="Arial"/>
          <w:sz w:val="24"/>
          <w:szCs w:val="24"/>
          <w:lang w:val="en-GB"/>
        </w:rPr>
        <w:t>that the benefit accruing to the insured from the contract which exists between her and the insurer does not absolve the defendant from its liability to th</w:t>
      </w:r>
      <w:r w:rsidR="004C2495">
        <w:rPr>
          <w:rFonts w:ascii="Arial" w:hAnsi="Arial" w:cs="Arial"/>
          <w:sz w:val="24"/>
          <w:szCs w:val="24"/>
          <w:lang w:val="en-GB"/>
        </w:rPr>
        <w:t>at</w:t>
      </w:r>
      <w:r>
        <w:rPr>
          <w:rFonts w:ascii="Arial" w:hAnsi="Arial" w:cs="Arial"/>
          <w:sz w:val="24"/>
          <w:szCs w:val="24"/>
          <w:lang w:val="en-GB"/>
        </w:rPr>
        <w:t xml:space="preserve"> claimant in terms of the RAF Act. </w:t>
      </w:r>
      <w:r w:rsidR="004C2495">
        <w:rPr>
          <w:rFonts w:ascii="Arial" w:hAnsi="Arial" w:cs="Arial"/>
          <w:sz w:val="24"/>
          <w:szCs w:val="24"/>
          <w:lang w:val="en-GB"/>
        </w:rPr>
        <w:t>Furthermore, i</w:t>
      </w:r>
      <w:r>
        <w:rPr>
          <w:rFonts w:ascii="Arial" w:hAnsi="Arial" w:cs="Arial"/>
          <w:sz w:val="24"/>
          <w:szCs w:val="24"/>
          <w:lang w:val="en-GB"/>
        </w:rPr>
        <w:t xml:space="preserve">t cannot be stated any clearer than it was in </w:t>
      </w:r>
      <w:proofErr w:type="spellStart"/>
      <w:r w:rsidRPr="006659A6">
        <w:rPr>
          <w:rFonts w:ascii="Arial" w:hAnsi="Arial" w:cs="Arial"/>
          <w:b/>
          <w:i/>
          <w:sz w:val="24"/>
          <w:szCs w:val="24"/>
          <w:lang w:val="en-GB"/>
        </w:rPr>
        <w:t>Zysset</w:t>
      </w:r>
      <w:proofErr w:type="spellEnd"/>
      <w:r w:rsidRPr="006659A6">
        <w:rPr>
          <w:rFonts w:ascii="Arial" w:hAnsi="Arial" w:cs="Arial"/>
          <w:b/>
          <w:i/>
          <w:sz w:val="24"/>
          <w:szCs w:val="24"/>
          <w:lang w:val="en-GB"/>
        </w:rPr>
        <w:t xml:space="preserve"> and Others v Santam Ltd</w:t>
      </w:r>
      <w:r>
        <w:rPr>
          <w:rStyle w:val="FootnoteReference"/>
          <w:rFonts w:ascii="Arial" w:hAnsi="Arial" w:cs="Arial"/>
          <w:b/>
          <w:i/>
          <w:sz w:val="24"/>
          <w:szCs w:val="24"/>
          <w:lang w:val="en-GB"/>
        </w:rPr>
        <w:footnoteReference w:id="22"/>
      </w:r>
      <w:r>
        <w:rPr>
          <w:rFonts w:ascii="Arial" w:hAnsi="Arial" w:cs="Arial"/>
          <w:sz w:val="24"/>
          <w:szCs w:val="24"/>
          <w:lang w:val="en-GB"/>
        </w:rPr>
        <w:t xml:space="preserve"> that a benefit or advantage received by the claimant should resultantly have a corresponding diminution in the damages awarded to t</w:t>
      </w:r>
      <w:r w:rsidR="004C2495">
        <w:rPr>
          <w:rFonts w:ascii="Arial" w:hAnsi="Arial" w:cs="Arial"/>
          <w:sz w:val="24"/>
          <w:szCs w:val="24"/>
          <w:lang w:val="en-GB"/>
        </w:rPr>
        <w:t>he</w:t>
      </w:r>
      <w:r>
        <w:rPr>
          <w:rFonts w:ascii="Arial" w:hAnsi="Arial" w:cs="Arial"/>
          <w:sz w:val="24"/>
          <w:szCs w:val="24"/>
          <w:lang w:val="en-GB"/>
        </w:rPr>
        <w:t xml:space="preserve"> claimant. The idea is that a plaintiff should not be placed in a position where she receives double compensation in the form of damages</w:t>
      </w:r>
      <w:r w:rsidR="004C2495">
        <w:rPr>
          <w:rFonts w:ascii="Arial" w:hAnsi="Arial" w:cs="Arial"/>
          <w:sz w:val="24"/>
          <w:szCs w:val="24"/>
          <w:lang w:val="en-GB"/>
        </w:rPr>
        <w:t>,</w:t>
      </w:r>
      <w:r>
        <w:rPr>
          <w:rFonts w:ascii="Arial" w:hAnsi="Arial" w:cs="Arial"/>
          <w:sz w:val="24"/>
          <w:szCs w:val="24"/>
          <w:lang w:val="en-GB"/>
        </w:rPr>
        <w:t xml:space="preserve"> and the determination of when a plaintiff would receive double compensation is concerned with aspects such as public policy, justice and reasonableness</w:t>
      </w:r>
      <w:r>
        <w:rPr>
          <w:rStyle w:val="FootnoteReference"/>
          <w:rFonts w:ascii="Arial" w:hAnsi="Arial" w:cs="Arial"/>
          <w:sz w:val="24"/>
          <w:szCs w:val="24"/>
          <w:lang w:val="en-GB"/>
        </w:rPr>
        <w:footnoteReference w:id="23"/>
      </w:r>
      <w:r>
        <w:rPr>
          <w:rFonts w:ascii="Arial" w:hAnsi="Arial" w:cs="Arial"/>
          <w:sz w:val="24"/>
          <w:szCs w:val="24"/>
          <w:lang w:val="en-GB"/>
        </w:rPr>
        <w:t xml:space="preserve">. The </w:t>
      </w:r>
      <w:r>
        <w:rPr>
          <w:rFonts w:ascii="Arial" w:hAnsi="Arial" w:cs="Arial"/>
          <w:sz w:val="24"/>
          <w:szCs w:val="24"/>
          <w:lang w:val="en-GB"/>
        </w:rPr>
        <w:lastRenderedPageBreak/>
        <w:t>considerations are</w:t>
      </w:r>
      <w:r w:rsidR="004C2495">
        <w:rPr>
          <w:rFonts w:ascii="Arial" w:hAnsi="Arial" w:cs="Arial"/>
          <w:sz w:val="24"/>
          <w:szCs w:val="24"/>
          <w:lang w:val="en-GB"/>
        </w:rPr>
        <w:t>,</w:t>
      </w:r>
      <w:r>
        <w:rPr>
          <w:rFonts w:ascii="Arial" w:hAnsi="Arial" w:cs="Arial"/>
          <w:sz w:val="24"/>
          <w:szCs w:val="24"/>
          <w:lang w:val="en-GB"/>
        </w:rPr>
        <w:t xml:space="preserve"> therefore, that whilst a claimant should not receive double compensation, at the same time, the wrongdoer is not to be absolved of </w:t>
      </w:r>
      <w:r w:rsidR="004C2495">
        <w:rPr>
          <w:rFonts w:ascii="Arial" w:hAnsi="Arial" w:cs="Arial"/>
          <w:sz w:val="24"/>
          <w:szCs w:val="24"/>
          <w:lang w:val="en-GB"/>
        </w:rPr>
        <w:t xml:space="preserve">its </w:t>
      </w:r>
      <w:r>
        <w:rPr>
          <w:rFonts w:ascii="Arial" w:hAnsi="Arial" w:cs="Arial"/>
          <w:sz w:val="24"/>
          <w:szCs w:val="24"/>
          <w:lang w:val="en-GB"/>
        </w:rPr>
        <w:t xml:space="preserve">liability </w:t>
      </w:r>
      <w:r w:rsidR="004C2495">
        <w:rPr>
          <w:rFonts w:ascii="Arial" w:hAnsi="Arial" w:cs="Arial"/>
          <w:sz w:val="24"/>
          <w:szCs w:val="24"/>
          <w:lang w:val="en-GB"/>
        </w:rPr>
        <w:t xml:space="preserve">to the claimant/plaintiff </w:t>
      </w:r>
      <w:r>
        <w:rPr>
          <w:rFonts w:ascii="Arial" w:hAnsi="Arial" w:cs="Arial"/>
          <w:sz w:val="24"/>
          <w:szCs w:val="24"/>
          <w:lang w:val="en-GB"/>
        </w:rPr>
        <w:t xml:space="preserve">for compensation due to loss caused by injury </w:t>
      </w:r>
      <w:r w:rsidR="004C2495">
        <w:rPr>
          <w:rFonts w:ascii="Arial" w:hAnsi="Arial" w:cs="Arial"/>
          <w:sz w:val="24"/>
          <w:szCs w:val="24"/>
          <w:lang w:val="en-GB"/>
        </w:rPr>
        <w:t xml:space="preserve">to her as a </w:t>
      </w:r>
      <w:r>
        <w:rPr>
          <w:rFonts w:ascii="Arial" w:hAnsi="Arial" w:cs="Arial"/>
          <w:sz w:val="24"/>
          <w:szCs w:val="24"/>
          <w:lang w:val="en-GB"/>
        </w:rPr>
        <w:t>result</w:t>
      </w:r>
      <w:r w:rsidR="004C2495">
        <w:rPr>
          <w:rFonts w:ascii="Arial" w:hAnsi="Arial" w:cs="Arial"/>
          <w:sz w:val="24"/>
          <w:szCs w:val="24"/>
          <w:lang w:val="en-GB"/>
        </w:rPr>
        <w:t xml:space="preserve"> </w:t>
      </w:r>
      <w:proofErr w:type="gramStart"/>
      <w:r w:rsidR="004C2495">
        <w:rPr>
          <w:rFonts w:ascii="Arial" w:hAnsi="Arial" w:cs="Arial"/>
          <w:sz w:val="24"/>
          <w:szCs w:val="24"/>
          <w:lang w:val="en-GB"/>
        </w:rPr>
        <w:t xml:space="preserve">of </w:t>
      </w:r>
      <w:r>
        <w:rPr>
          <w:rFonts w:ascii="Arial" w:hAnsi="Arial" w:cs="Arial"/>
          <w:sz w:val="24"/>
          <w:szCs w:val="24"/>
          <w:lang w:val="en-GB"/>
        </w:rPr>
        <w:t xml:space="preserve"> the</w:t>
      </w:r>
      <w:proofErr w:type="gramEnd"/>
      <w:r>
        <w:rPr>
          <w:rFonts w:ascii="Arial" w:hAnsi="Arial" w:cs="Arial"/>
          <w:sz w:val="24"/>
          <w:szCs w:val="24"/>
          <w:lang w:val="en-GB"/>
        </w:rPr>
        <w:t xml:space="preserve"> collision. </w:t>
      </w:r>
    </w:p>
    <w:p w14:paraId="0D61F679" w14:textId="77777777" w:rsidR="008C32DB" w:rsidRDefault="008C32DB" w:rsidP="008C32DB">
      <w:pPr>
        <w:rPr>
          <w:rFonts w:ascii="Arial" w:hAnsi="Arial" w:cs="Arial"/>
          <w:sz w:val="24"/>
          <w:szCs w:val="24"/>
          <w:lang w:val="en-GB"/>
        </w:rPr>
      </w:pPr>
    </w:p>
    <w:p w14:paraId="02392C2B" w14:textId="2AC8F390" w:rsidR="008C32DB" w:rsidRDefault="008C32DB" w:rsidP="008C32DB">
      <w:pPr>
        <w:rPr>
          <w:rFonts w:ascii="Arial" w:hAnsi="Arial" w:cs="Arial"/>
          <w:sz w:val="24"/>
          <w:szCs w:val="24"/>
          <w:lang w:val="en-GB"/>
        </w:rPr>
      </w:pPr>
      <w:r>
        <w:rPr>
          <w:rFonts w:ascii="Arial" w:hAnsi="Arial" w:cs="Arial"/>
          <w:sz w:val="24"/>
          <w:szCs w:val="24"/>
          <w:lang w:val="en-GB"/>
        </w:rPr>
        <w:t>2</w:t>
      </w:r>
      <w:r w:rsidR="00212BD2">
        <w:rPr>
          <w:rFonts w:ascii="Arial" w:hAnsi="Arial" w:cs="Arial"/>
          <w:sz w:val="24"/>
          <w:szCs w:val="24"/>
          <w:lang w:val="en-GB"/>
        </w:rPr>
        <w:t>8</w:t>
      </w:r>
      <w:r>
        <w:rPr>
          <w:rFonts w:ascii="Arial" w:hAnsi="Arial" w:cs="Arial"/>
          <w:sz w:val="24"/>
          <w:szCs w:val="24"/>
          <w:lang w:val="en-GB"/>
        </w:rPr>
        <w:t>.</w:t>
      </w:r>
      <w:r>
        <w:rPr>
          <w:rFonts w:ascii="Arial" w:hAnsi="Arial" w:cs="Arial"/>
          <w:sz w:val="24"/>
          <w:szCs w:val="24"/>
          <w:lang w:val="en-GB"/>
        </w:rPr>
        <w:tab/>
        <w:t>A</w:t>
      </w:r>
      <w:r w:rsidR="004C2495">
        <w:rPr>
          <w:rFonts w:ascii="Arial" w:hAnsi="Arial" w:cs="Arial"/>
          <w:sz w:val="24"/>
          <w:szCs w:val="24"/>
          <w:lang w:val="en-GB"/>
        </w:rPr>
        <w:t xml:space="preserve">lso held </w:t>
      </w:r>
      <w:r>
        <w:rPr>
          <w:rFonts w:ascii="Arial" w:hAnsi="Arial" w:cs="Arial"/>
          <w:sz w:val="24"/>
          <w:szCs w:val="24"/>
          <w:lang w:val="en-GB"/>
        </w:rPr>
        <w:t xml:space="preserve">in </w:t>
      </w:r>
      <w:proofErr w:type="spellStart"/>
      <w:r>
        <w:rPr>
          <w:rFonts w:ascii="Arial" w:hAnsi="Arial" w:cs="Arial"/>
          <w:b/>
          <w:i/>
          <w:sz w:val="24"/>
          <w:szCs w:val="24"/>
          <w:lang w:val="en-GB"/>
        </w:rPr>
        <w:t>Zysset</w:t>
      </w:r>
      <w:proofErr w:type="spellEnd"/>
      <w:r>
        <w:rPr>
          <w:rFonts w:ascii="Arial" w:hAnsi="Arial" w:cs="Arial"/>
          <w:b/>
          <w:i/>
          <w:sz w:val="24"/>
          <w:szCs w:val="24"/>
          <w:lang w:val="en-GB"/>
        </w:rPr>
        <w:t xml:space="preserve">, </w:t>
      </w:r>
      <w:r w:rsidRPr="003D44FB">
        <w:rPr>
          <w:rFonts w:ascii="Arial" w:hAnsi="Arial" w:cs="Arial"/>
          <w:sz w:val="24"/>
          <w:szCs w:val="24"/>
          <w:lang w:val="en-GB"/>
        </w:rPr>
        <w:t>b</w:t>
      </w:r>
      <w:r>
        <w:rPr>
          <w:rFonts w:ascii="Arial" w:hAnsi="Arial" w:cs="Arial"/>
          <w:sz w:val="24"/>
          <w:szCs w:val="24"/>
          <w:lang w:val="en-GB"/>
        </w:rPr>
        <w:t xml:space="preserve">enefits which a claimant receives under an insurance policy (where she pays a premium) are to be left out of the reckoning/account as it is collateral in that it is based on the doctrine </w:t>
      </w:r>
      <w:r w:rsidRPr="006F3DB2">
        <w:rPr>
          <w:rFonts w:ascii="Arial" w:hAnsi="Arial" w:cs="Arial"/>
          <w:i/>
          <w:sz w:val="24"/>
          <w:szCs w:val="24"/>
          <w:lang w:val="en-GB"/>
        </w:rPr>
        <w:t>res inter alios acta</w:t>
      </w:r>
      <w:r>
        <w:rPr>
          <w:rFonts w:ascii="Arial" w:hAnsi="Arial" w:cs="Arial"/>
          <w:sz w:val="24"/>
          <w:szCs w:val="24"/>
          <w:lang w:val="en-GB"/>
        </w:rPr>
        <w:t>, a common law doctrine which states that a thing done between certain parties ought not to prejudice a third party</w:t>
      </w:r>
      <w:r>
        <w:rPr>
          <w:rStyle w:val="FootnoteReference"/>
          <w:rFonts w:ascii="Arial" w:hAnsi="Arial" w:cs="Arial"/>
          <w:sz w:val="24"/>
          <w:szCs w:val="24"/>
          <w:lang w:val="en-GB"/>
        </w:rPr>
        <w:footnoteReference w:id="24"/>
      </w:r>
      <w:r>
        <w:rPr>
          <w:rFonts w:ascii="Arial" w:hAnsi="Arial" w:cs="Arial"/>
          <w:sz w:val="24"/>
          <w:szCs w:val="24"/>
          <w:lang w:val="en-GB"/>
        </w:rPr>
        <w:t xml:space="preserve">. Put simply, whether the claim is subrogated is a collateral issue, and has nothing to do with the issue at hand, being the plaintiff’s claim against the defendant which is statutorily obligated to compensate victims who have suffered damage </w:t>
      </w:r>
      <w:r w:rsidR="004C2495">
        <w:rPr>
          <w:rFonts w:ascii="Arial" w:hAnsi="Arial" w:cs="Arial"/>
          <w:sz w:val="24"/>
          <w:szCs w:val="24"/>
          <w:lang w:val="en-GB"/>
        </w:rPr>
        <w:t xml:space="preserve">or loss </w:t>
      </w:r>
      <w:r>
        <w:rPr>
          <w:rFonts w:ascii="Arial" w:hAnsi="Arial" w:cs="Arial"/>
          <w:sz w:val="24"/>
          <w:szCs w:val="24"/>
          <w:lang w:val="en-GB"/>
        </w:rPr>
        <w:t>arising from injury caused by the negligence or wrongful act of the driver or owner of a motor vehicle.</w:t>
      </w:r>
    </w:p>
    <w:p w14:paraId="6660278A" w14:textId="77777777" w:rsidR="008C32DB" w:rsidRDefault="008C32DB" w:rsidP="008C32DB">
      <w:pPr>
        <w:rPr>
          <w:rFonts w:ascii="Arial" w:hAnsi="Arial" w:cs="Arial"/>
          <w:sz w:val="24"/>
          <w:szCs w:val="24"/>
          <w:lang w:val="en-GB"/>
        </w:rPr>
      </w:pPr>
    </w:p>
    <w:p w14:paraId="11D9C2A3" w14:textId="6F9D3234" w:rsidR="008C32DB" w:rsidRDefault="008C32DB" w:rsidP="008C32DB">
      <w:pPr>
        <w:rPr>
          <w:rFonts w:ascii="Arial" w:hAnsi="Arial" w:cs="Arial"/>
          <w:color w:val="000000" w:themeColor="text1"/>
          <w:sz w:val="24"/>
          <w:szCs w:val="24"/>
        </w:rPr>
      </w:pPr>
      <w:r>
        <w:rPr>
          <w:rFonts w:ascii="Arial" w:hAnsi="Arial" w:cs="Arial"/>
          <w:sz w:val="24"/>
          <w:szCs w:val="24"/>
          <w:lang w:val="en-GB"/>
        </w:rPr>
        <w:t>2</w:t>
      </w:r>
      <w:r w:rsidR="00212BD2">
        <w:rPr>
          <w:rFonts w:ascii="Arial" w:hAnsi="Arial" w:cs="Arial"/>
          <w:sz w:val="24"/>
          <w:szCs w:val="24"/>
          <w:lang w:val="en-GB"/>
        </w:rPr>
        <w:t>9</w:t>
      </w:r>
      <w:r>
        <w:rPr>
          <w:rFonts w:ascii="Arial" w:hAnsi="Arial" w:cs="Arial"/>
          <w:sz w:val="24"/>
          <w:szCs w:val="24"/>
          <w:lang w:val="en-GB"/>
        </w:rPr>
        <w:t>.</w:t>
      </w:r>
      <w:r>
        <w:rPr>
          <w:rFonts w:ascii="Arial" w:hAnsi="Arial" w:cs="Arial"/>
          <w:sz w:val="24"/>
          <w:szCs w:val="24"/>
          <w:lang w:val="en-GB"/>
        </w:rPr>
        <w:tab/>
        <w:t xml:space="preserve">On the statutory obligation and liability to compensate  a plaintiff, the SCA in </w:t>
      </w:r>
      <w:r w:rsidRPr="00DB4775">
        <w:rPr>
          <w:rFonts w:ascii="Arial" w:hAnsi="Arial" w:cs="Arial"/>
          <w:b/>
          <w:i/>
          <w:sz w:val="24"/>
          <w:szCs w:val="24"/>
          <w:lang w:val="en-GB"/>
        </w:rPr>
        <w:t>Ro</w:t>
      </w:r>
      <w:r w:rsidRPr="00DB4775">
        <w:rPr>
          <w:rFonts w:ascii="Arial" w:hAnsi="Arial" w:cs="Arial"/>
          <w:b/>
          <w:i/>
          <w:color w:val="000000" w:themeColor="text1"/>
          <w:sz w:val="24"/>
          <w:szCs w:val="24"/>
        </w:rPr>
        <w:t>ad Accident Fund v Abrahams</w:t>
      </w:r>
      <w:r w:rsidRPr="0017177D">
        <w:rPr>
          <w:rStyle w:val="FootnoteReference"/>
          <w:rFonts w:ascii="Arial" w:hAnsi="Arial" w:cs="Arial"/>
          <w:i/>
          <w:color w:val="000000" w:themeColor="text1"/>
          <w:sz w:val="24"/>
          <w:szCs w:val="24"/>
        </w:rPr>
        <w:footnoteReference w:id="25"/>
      </w:r>
      <w:r>
        <w:rPr>
          <w:rFonts w:ascii="Arial" w:hAnsi="Arial" w:cs="Arial"/>
          <w:i/>
          <w:color w:val="000000" w:themeColor="text1"/>
          <w:sz w:val="24"/>
          <w:szCs w:val="24"/>
        </w:rPr>
        <w:t xml:space="preserve"> </w:t>
      </w:r>
      <w:r>
        <w:rPr>
          <w:rFonts w:ascii="Arial" w:hAnsi="Arial" w:cs="Arial"/>
          <w:color w:val="000000" w:themeColor="text1"/>
          <w:sz w:val="24"/>
          <w:szCs w:val="24"/>
        </w:rPr>
        <w:t xml:space="preserve">clarified the position as </w:t>
      </w:r>
      <w:r w:rsidRPr="0017177D">
        <w:rPr>
          <w:rFonts w:ascii="Arial" w:hAnsi="Arial" w:cs="Arial"/>
          <w:color w:val="000000" w:themeColor="text1"/>
          <w:sz w:val="24"/>
          <w:szCs w:val="24"/>
        </w:rPr>
        <w:t>follows:</w:t>
      </w:r>
    </w:p>
    <w:p w14:paraId="6A0CA81A" w14:textId="77777777" w:rsidR="008C32DB" w:rsidRPr="0017177D" w:rsidRDefault="008C32DB" w:rsidP="008C32DB">
      <w:pPr>
        <w:rPr>
          <w:rFonts w:ascii="Arial" w:hAnsi="Arial" w:cs="Arial"/>
          <w:color w:val="000000" w:themeColor="text1"/>
          <w:sz w:val="24"/>
          <w:szCs w:val="24"/>
        </w:rPr>
      </w:pPr>
    </w:p>
    <w:p w14:paraId="0299D2D4" w14:textId="77777777" w:rsidR="008C32DB" w:rsidRDefault="008C32DB" w:rsidP="008C32DB">
      <w:pPr>
        <w:spacing w:after="360"/>
        <w:ind w:left="851"/>
        <w:rPr>
          <w:rFonts w:ascii="Arial" w:hAnsi="Arial" w:cs="Arial"/>
          <w:color w:val="000000" w:themeColor="text1"/>
          <w:sz w:val="24"/>
          <w:szCs w:val="24"/>
        </w:rPr>
      </w:pPr>
      <w:r w:rsidRPr="0017177D">
        <w:rPr>
          <w:rFonts w:ascii="Arial" w:hAnsi="Arial" w:cs="Arial"/>
          <w:color w:val="000000" w:themeColor="text1"/>
          <w:sz w:val="24"/>
          <w:szCs w:val="24"/>
        </w:rPr>
        <w:t>“</w:t>
      </w:r>
      <w:r w:rsidRPr="0017177D">
        <w:rPr>
          <w:rFonts w:ascii="Arial" w:hAnsi="Arial" w:cs="Arial"/>
          <w:i/>
          <w:color w:val="000000" w:themeColor="text1"/>
          <w:sz w:val="24"/>
          <w:szCs w:val="24"/>
        </w:rPr>
        <w:t xml:space="preserve">Section 21(1) abolishes the right of an injured claimant to sue the wrongdoer at common law. Section 17(1), in turn, substitutes </w:t>
      </w:r>
      <w:proofErr w:type="gramStart"/>
      <w:r w:rsidRPr="0017177D">
        <w:rPr>
          <w:rFonts w:ascii="Arial" w:hAnsi="Arial" w:cs="Arial"/>
          <w:i/>
          <w:color w:val="000000" w:themeColor="text1"/>
          <w:sz w:val="24"/>
          <w:szCs w:val="24"/>
        </w:rPr>
        <w:t>the</w:t>
      </w:r>
      <w:r>
        <w:rPr>
          <w:rFonts w:ascii="Arial" w:hAnsi="Arial" w:cs="Arial"/>
          <w:i/>
          <w:color w:val="000000" w:themeColor="text1"/>
          <w:sz w:val="24"/>
          <w:szCs w:val="24"/>
        </w:rPr>
        <w:t xml:space="preserve"> </w:t>
      </w:r>
      <w:r w:rsidRPr="0017177D">
        <w:rPr>
          <w:rFonts w:ascii="Arial" w:hAnsi="Arial" w:cs="Arial"/>
          <w:i/>
          <w:color w:val="000000" w:themeColor="text1"/>
          <w:sz w:val="24"/>
          <w:szCs w:val="24"/>
        </w:rPr>
        <w:t xml:space="preserve"> appellant</w:t>
      </w:r>
      <w:proofErr w:type="gramEnd"/>
      <w:r w:rsidRPr="0017177D">
        <w:rPr>
          <w:rFonts w:ascii="Arial" w:hAnsi="Arial" w:cs="Arial"/>
          <w:i/>
          <w:color w:val="000000" w:themeColor="text1"/>
          <w:sz w:val="24"/>
          <w:szCs w:val="24"/>
        </w:rPr>
        <w:t xml:space="preserve"> for the wrongdoer. It does not establish the substantive basis for liability. The liability is founded in common law (</w:t>
      </w:r>
      <w:proofErr w:type="spellStart"/>
      <w:r w:rsidRPr="0017177D">
        <w:rPr>
          <w:rFonts w:ascii="Arial" w:hAnsi="Arial" w:cs="Arial"/>
          <w:i/>
          <w:color w:val="000000" w:themeColor="text1"/>
          <w:sz w:val="24"/>
          <w:szCs w:val="24"/>
        </w:rPr>
        <w:t>delictual</w:t>
      </w:r>
      <w:proofErr w:type="spellEnd"/>
      <w:r w:rsidRPr="0017177D">
        <w:rPr>
          <w:rFonts w:ascii="Arial" w:hAnsi="Arial" w:cs="Arial"/>
          <w:i/>
          <w:color w:val="000000" w:themeColor="text1"/>
          <w:sz w:val="24"/>
          <w:szCs w:val="24"/>
        </w:rPr>
        <w:t xml:space="preserve"> liability). Differently put, the claim against the appellant is simply a common – law claim for damages arising from the driving of a motor vehicle, resulting in injury. Needless to say, the liability only arises if the injury is due to the negligence or other wrongful act of the driver or owner of the motor vehicle</w:t>
      </w:r>
      <w:r w:rsidRPr="0017177D">
        <w:rPr>
          <w:rFonts w:ascii="Arial" w:hAnsi="Arial" w:cs="Arial"/>
          <w:color w:val="000000" w:themeColor="text1"/>
          <w:sz w:val="24"/>
          <w:szCs w:val="24"/>
        </w:rPr>
        <w:t>.’’</w:t>
      </w:r>
      <w:r>
        <w:rPr>
          <w:rFonts w:ascii="Arial" w:hAnsi="Arial" w:cs="Arial"/>
          <w:color w:val="000000" w:themeColor="text1"/>
          <w:sz w:val="24"/>
          <w:szCs w:val="24"/>
        </w:rPr>
        <w:t xml:space="preserve"> </w:t>
      </w:r>
    </w:p>
    <w:p w14:paraId="6239B946" w14:textId="7F042EA6" w:rsidR="008C32DB" w:rsidRDefault="00212BD2" w:rsidP="00212BD2">
      <w:pPr>
        <w:spacing w:after="360"/>
        <w:rPr>
          <w:rFonts w:ascii="Arial" w:hAnsi="Arial" w:cs="Arial"/>
          <w:color w:val="000000" w:themeColor="text1"/>
          <w:sz w:val="24"/>
          <w:szCs w:val="24"/>
        </w:rPr>
      </w:pPr>
      <w:r>
        <w:rPr>
          <w:rFonts w:ascii="Arial" w:hAnsi="Arial" w:cs="Arial"/>
          <w:color w:val="000000" w:themeColor="text1"/>
          <w:sz w:val="24"/>
          <w:szCs w:val="24"/>
        </w:rPr>
        <w:t>30.</w:t>
      </w:r>
      <w:r>
        <w:rPr>
          <w:rFonts w:ascii="Arial" w:hAnsi="Arial" w:cs="Arial"/>
          <w:color w:val="000000" w:themeColor="text1"/>
          <w:sz w:val="24"/>
          <w:szCs w:val="24"/>
        </w:rPr>
        <w:tab/>
      </w:r>
      <w:r w:rsidR="004C2495">
        <w:rPr>
          <w:rFonts w:ascii="Arial" w:hAnsi="Arial" w:cs="Arial"/>
          <w:color w:val="000000" w:themeColor="text1"/>
          <w:sz w:val="24"/>
          <w:szCs w:val="24"/>
        </w:rPr>
        <w:t>Furthermore, th</w:t>
      </w:r>
      <w:r w:rsidR="008C32DB">
        <w:rPr>
          <w:rFonts w:ascii="Arial" w:hAnsi="Arial" w:cs="Arial"/>
          <w:color w:val="000000" w:themeColor="text1"/>
          <w:sz w:val="24"/>
          <w:szCs w:val="24"/>
        </w:rPr>
        <w:t>e submission that the medical aid has contracted out</w:t>
      </w:r>
      <w:r w:rsidR="004C2495">
        <w:rPr>
          <w:rFonts w:ascii="Arial" w:hAnsi="Arial" w:cs="Arial"/>
          <w:color w:val="000000" w:themeColor="text1"/>
          <w:sz w:val="24"/>
          <w:szCs w:val="24"/>
        </w:rPr>
        <w:t xml:space="preserve"> </w:t>
      </w:r>
      <w:r w:rsidR="008C32DB">
        <w:rPr>
          <w:rFonts w:ascii="Arial" w:hAnsi="Arial" w:cs="Arial"/>
          <w:color w:val="000000" w:themeColor="text1"/>
          <w:sz w:val="24"/>
          <w:szCs w:val="24"/>
        </w:rPr>
        <w:t xml:space="preserve">of its obligation to pay medical expenses is nonsensical, to say the least. It is clear that the defendant wishes to penalize the plaintiff for using her medical aid at the time of the </w:t>
      </w:r>
      <w:r w:rsidR="008C32DB">
        <w:rPr>
          <w:rFonts w:ascii="Arial" w:hAnsi="Arial" w:cs="Arial"/>
          <w:color w:val="000000" w:themeColor="text1"/>
          <w:sz w:val="24"/>
          <w:szCs w:val="24"/>
        </w:rPr>
        <w:lastRenderedPageBreak/>
        <w:t xml:space="preserve">collision to cover </w:t>
      </w:r>
      <w:r w:rsidR="004C2495">
        <w:rPr>
          <w:rFonts w:ascii="Arial" w:hAnsi="Arial" w:cs="Arial"/>
          <w:color w:val="000000" w:themeColor="text1"/>
          <w:sz w:val="24"/>
          <w:szCs w:val="24"/>
        </w:rPr>
        <w:t xml:space="preserve">her </w:t>
      </w:r>
      <w:r w:rsidR="008C32DB">
        <w:rPr>
          <w:rFonts w:ascii="Arial" w:hAnsi="Arial" w:cs="Arial"/>
          <w:color w:val="000000" w:themeColor="text1"/>
          <w:sz w:val="24"/>
          <w:szCs w:val="24"/>
        </w:rPr>
        <w:t>medical</w:t>
      </w:r>
      <w:r w:rsidR="004C2495">
        <w:rPr>
          <w:rFonts w:ascii="Arial" w:hAnsi="Arial" w:cs="Arial"/>
          <w:color w:val="000000" w:themeColor="text1"/>
          <w:sz w:val="24"/>
          <w:szCs w:val="24"/>
        </w:rPr>
        <w:t xml:space="preserve"> and hospital </w:t>
      </w:r>
      <w:r w:rsidR="008C32DB">
        <w:rPr>
          <w:rFonts w:ascii="Arial" w:hAnsi="Arial" w:cs="Arial"/>
          <w:color w:val="000000" w:themeColor="text1"/>
          <w:sz w:val="24"/>
          <w:szCs w:val="24"/>
        </w:rPr>
        <w:t>expenses</w:t>
      </w:r>
      <w:r w:rsidR="004C2495">
        <w:rPr>
          <w:rFonts w:ascii="Arial" w:hAnsi="Arial" w:cs="Arial"/>
          <w:color w:val="000000" w:themeColor="text1"/>
          <w:sz w:val="24"/>
          <w:szCs w:val="24"/>
        </w:rPr>
        <w:t>,</w:t>
      </w:r>
      <w:r w:rsidR="008C32DB">
        <w:rPr>
          <w:rFonts w:ascii="Arial" w:hAnsi="Arial" w:cs="Arial"/>
          <w:color w:val="000000" w:themeColor="text1"/>
          <w:sz w:val="24"/>
          <w:szCs w:val="24"/>
        </w:rPr>
        <w:t xml:space="preserve"> yet the argument ignores the authority cited above which states that her insurance is no concern of the defendant as it is a collateral issue. Secondly, </w:t>
      </w:r>
      <w:r w:rsidR="004C2495">
        <w:rPr>
          <w:rFonts w:ascii="Arial" w:hAnsi="Arial" w:cs="Arial"/>
          <w:color w:val="000000" w:themeColor="text1"/>
          <w:sz w:val="24"/>
          <w:szCs w:val="24"/>
        </w:rPr>
        <w:t xml:space="preserve">to </w:t>
      </w:r>
      <w:proofErr w:type="spellStart"/>
      <w:r w:rsidR="004C2495">
        <w:rPr>
          <w:rFonts w:ascii="Arial" w:hAnsi="Arial" w:cs="Arial"/>
          <w:color w:val="000000" w:themeColor="text1"/>
          <w:sz w:val="24"/>
          <w:szCs w:val="24"/>
        </w:rPr>
        <w:t>emphasise</w:t>
      </w:r>
      <w:proofErr w:type="spellEnd"/>
      <w:r w:rsidR="004C2495">
        <w:rPr>
          <w:rFonts w:ascii="Arial" w:hAnsi="Arial" w:cs="Arial"/>
          <w:color w:val="000000" w:themeColor="text1"/>
          <w:sz w:val="24"/>
          <w:szCs w:val="24"/>
        </w:rPr>
        <w:t xml:space="preserve">, </w:t>
      </w:r>
      <w:r w:rsidR="008C32DB">
        <w:rPr>
          <w:rFonts w:ascii="Arial" w:hAnsi="Arial" w:cs="Arial"/>
          <w:color w:val="000000" w:themeColor="text1"/>
          <w:sz w:val="24"/>
          <w:szCs w:val="24"/>
        </w:rPr>
        <w:t xml:space="preserve">the benefits which the plaintiff receives under the insurance contract (in this instance, the medical aid scheme contract), </w:t>
      </w:r>
      <w:r w:rsidR="004E2005">
        <w:rPr>
          <w:rFonts w:ascii="Arial" w:hAnsi="Arial" w:cs="Arial"/>
          <w:color w:val="000000" w:themeColor="text1"/>
          <w:sz w:val="24"/>
          <w:szCs w:val="24"/>
        </w:rPr>
        <w:t>are</w:t>
      </w:r>
      <w:r w:rsidR="008C32DB">
        <w:rPr>
          <w:rFonts w:ascii="Arial" w:hAnsi="Arial" w:cs="Arial"/>
          <w:color w:val="000000" w:themeColor="text1"/>
          <w:sz w:val="24"/>
          <w:szCs w:val="24"/>
        </w:rPr>
        <w:t xml:space="preserve"> left out of the reckoning in the determination of her claim for damages against the defendant. </w:t>
      </w:r>
      <w:r w:rsidR="009040B3">
        <w:rPr>
          <w:rFonts w:ascii="Arial" w:hAnsi="Arial" w:cs="Arial"/>
          <w:color w:val="000000" w:themeColor="text1"/>
          <w:sz w:val="24"/>
          <w:szCs w:val="24"/>
        </w:rPr>
        <w:t xml:space="preserve"> </w:t>
      </w:r>
      <w:r w:rsidR="008C32DB">
        <w:rPr>
          <w:rFonts w:ascii="Arial" w:hAnsi="Arial" w:cs="Arial"/>
          <w:color w:val="000000" w:themeColor="text1"/>
          <w:sz w:val="24"/>
          <w:szCs w:val="24"/>
        </w:rPr>
        <w:t xml:space="preserve">   </w:t>
      </w:r>
    </w:p>
    <w:p w14:paraId="5B859D5A" w14:textId="6077D08E" w:rsidR="008C32DB" w:rsidRDefault="00212BD2" w:rsidP="00212BD2">
      <w:pPr>
        <w:spacing w:after="360"/>
        <w:rPr>
          <w:rFonts w:ascii="Arial" w:hAnsi="Arial" w:cs="Arial"/>
          <w:color w:val="000000" w:themeColor="text1"/>
          <w:sz w:val="24"/>
          <w:szCs w:val="24"/>
        </w:rPr>
      </w:pPr>
      <w:r>
        <w:rPr>
          <w:rFonts w:ascii="Arial" w:hAnsi="Arial" w:cs="Arial"/>
          <w:color w:val="000000" w:themeColor="text1"/>
          <w:sz w:val="24"/>
          <w:szCs w:val="24"/>
        </w:rPr>
        <w:t>31.</w:t>
      </w:r>
      <w:r>
        <w:rPr>
          <w:rFonts w:ascii="Arial" w:hAnsi="Arial" w:cs="Arial"/>
          <w:color w:val="000000" w:themeColor="text1"/>
          <w:sz w:val="24"/>
          <w:szCs w:val="24"/>
        </w:rPr>
        <w:tab/>
      </w:r>
      <w:r w:rsidR="008C32DB">
        <w:rPr>
          <w:rFonts w:ascii="Arial" w:hAnsi="Arial" w:cs="Arial"/>
          <w:color w:val="000000" w:themeColor="text1"/>
          <w:sz w:val="24"/>
          <w:szCs w:val="24"/>
        </w:rPr>
        <w:t>Ultimately, the agreement between the plaintiff and GEMS is binding and is sanctioned in terms of section 32 of the Medical Schemes Act. The issue of subrogation is</w:t>
      </w:r>
      <w:r w:rsidR="009040B3">
        <w:rPr>
          <w:rFonts w:ascii="Arial" w:hAnsi="Arial" w:cs="Arial"/>
          <w:color w:val="000000" w:themeColor="text1"/>
          <w:sz w:val="24"/>
          <w:szCs w:val="24"/>
        </w:rPr>
        <w:t xml:space="preserve"> not </w:t>
      </w:r>
      <w:r w:rsidR="008C32DB">
        <w:rPr>
          <w:rFonts w:ascii="Arial" w:hAnsi="Arial" w:cs="Arial"/>
          <w:color w:val="000000" w:themeColor="text1"/>
          <w:sz w:val="24"/>
          <w:szCs w:val="24"/>
        </w:rPr>
        <w:t xml:space="preserve">relevant and whether the medical aid proceeds against the plaintiff at some later stage, is not the defendant’s concern anyway. The argument related to subrogation </w:t>
      </w:r>
      <w:r w:rsidR="009040B3">
        <w:rPr>
          <w:rFonts w:ascii="Arial" w:hAnsi="Arial" w:cs="Arial"/>
          <w:color w:val="000000" w:themeColor="text1"/>
          <w:sz w:val="24"/>
          <w:szCs w:val="24"/>
        </w:rPr>
        <w:t xml:space="preserve">clearly </w:t>
      </w:r>
      <w:r w:rsidR="008C32DB">
        <w:rPr>
          <w:rFonts w:ascii="Arial" w:hAnsi="Arial" w:cs="Arial"/>
          <w:color w:val="000000" w:themeColor="text1"/>
          <w:sz w:val="24"/>
          <w:szCs w:val="24"/>
        </w:rPr>
        <w:t xml:space="preserve">ignores the authorities and legal principles and is simply bad in law. The plaintiff has proved that the medical expenses which she incurred were as a result of and incurred due to the treatment she received for her accident related injuries and the determination of her claim falls full square within section 17 of the RAF Act, as correctly argued by the plaintiff’s counsel. </w:t>
      </w:r>
    </w:p>
    <w:p w14:paraId="2FF27E42" w14:textId="1714C76E" w:rsidR="008C32DB" w:rsidRDefault="00212BD2" w:rsidP="00212BD2">
      <w:pPr>
        <w:spacing w:after="360"/>
        <w:rPr>
          <w:rFonts w:ascii="Arial" w:hAnsi="Arial" w:cs="Arial"/>
          <w:color w:val="000000" w:themeColor="text1"/>
          <w:sz w:val="24"/>
          <w:szCs w:val="24"/>
        </w:rPr>
      </w:pPr>
      <w:r>
        <w:rPr>
          <w:rFonts w:ascii="Arial" w:hAnsi="Arial" w:cs="Arial"/>
          <w:color w:val="000000" w:themeColor="text1"/>
          <w:sz w:val="24"/>
          <w:szCs w:val="24"/>
        </w:rPr>
        <w:t>32.</w:t>
      </w:r>
      <w:r>
        <w:rPr>
          <w:rFonts w:ascii="Arial" w:hAnsi="Arial" w:cs="Arial"/>
          <w:color w:val="000000" w:themeColor="text1"/>
          <w:sz w:val="24"/>
          <w:szCs w:val="24"/>
        </w:rPr>
        <w:tab/>
      </w:r>
      <w:r w:rsidR="008C32DB">
        <w:rPr>
          <w:rFonts w:ascii="Arial" w:hAnsi="Arial" w:cs="Arial"/>
          <w:color w:val="000000" w:themeColor="text1"/>
          <w:sz w:val="24"/>
          <w:szCs w:val="24"/>
        </w:rPr>
        <w:t>On the exclusion of liability argument and reference to section 19(d)(</w:t>
      </w:r>
      <w:proofErr w:type="spellStart"/>
      <w:r w:rsidR="008C32DB">
        <w:rPr>
          <w:rFonts w:ascii="Arial" w:hAnsi="Arial" w:cs="Arial"/>
          <w:color w:val="000000" w:themeColor="text1"/>
          <w:sz w:val="24"/>
          <w:szCs w:val="24"/>
        </w:rPr>
        <w:t>i</w:t>
      </w:r>
      <w:proofErr w:type="spellEnd"/>
      <w:r w:rsidR="008C32DB">
        <w:rPr>
          <w:rFonts w:ascii="Arial" w:hAnsi="Arial" w:cs="Arial"/>
          <w:color w:val="000000" w:themeColor="text1"/>
          <w:sz w:val="24"/>
          <w:szCs w:val="24"/>
        </w:rPr>
        <w:t>) of the RAF Act and Regulations 7 and 8 of the Medical Schemes Act, the defendant also seeks to escape liability for the plaintiff’s past medical expenses. The defendant wishes to convince the Court that because the plaintiff’s medical scheme is obliged to pay for emergency medical care provided by a supplier as it was a prescribed minimum benefit in terms of the Medical Schemes Act, the medical aid scheme has no reimbursement right in terms of the latter Act, and the defendant consequently is not liable as section 19(d)(</w:t>
      </w:r>
      <w:proofErr w:type="spellStart"/>
      <w:r w:rsidR="008C32DB">
        <w:rPr>
          <w:rFonts w:ascii="Arial" w:hAnsi="Arial" w:cs="Arial"/>
          <w:color w:val="000000" w:themeColor="text1"/>
          <w:sz w:val="24"/>
          <w:szCs w:val="24"/>
        </w:rPr>
        <w:t>i</w:t>
      </w:r>
      <w:proofErr w:type="spellEnd"/>
      <w:r w:rsidR="008C32DB">
        <w:rPr>
          <w:rFonts w:ascii="Arial" w:hAnsi="Arial" w:cs="Arial"/>
          <w:color w:val="000000" w:themeColor="text1"/>
          <w:sz w:val="24"/>
          <w:szCs w:val="24"/>
        </w:rPr>
        <w:t xml:space="preserve">) of the RAF Act excludes its liability. It is frankly difficult to follow the defendant’s reasoning on this aspect. </w:t>
      </w:r>
    </w:p>
    <w:p w14:paraId="04E2676C" w14:textId="00894029" w:rsidR="008C32DB" w:rsidRDefault="00212BD2" w:rsidP="00212BD2">
      <w:pPr>
        <w:spacing w:after="360"/>
        <w:rPr>
          <w:rFonts w:ascii="Arial" w:hAnsi="Arial" w:cs="Arial"/>
          <w:color w:val="000000" w:themeColor="text1"/>
          <w:sz w:val="24"/>
          <w:szCs w:val="24"/>
        </w:rPr>
      </w:pPr>
      <w:r>
        <w:rPr>
          <w:rFonts w:ascii="Arial" w:hAnsi="Arial" w:cs="Arial"/>
          <w:color w:val="000000" w:themeColor="text1"/>
          <w:sz w:val="24"/>
          <w:szCs w:val="24"/>
        </w:rPr>
        <w:t>33.</w:t>
      </w:r>
      <w:r>
        <w:rPr>
          <w:rFonts w:ascii="Arial" w:hAnsi="Arial" w:cs="Arial"/>
          <w:color w:val="000000" w:themeColor="text1"/>
          <w:sz w:val="24"/>
          <w:szCs w:val="24"/>
        </w:rPr>
        <w:tab/>
      </w:r>
      <w:r w:rsidR="008C32DB">
        <w:rPr>
          <w:rFonts w:ascii="Arial" w:hAnsi="Arial" w:cs="Arial"/>
          <w:color w:val="000000" w:themeColor="text1"/>
          <w:sz w:val="24"/>
          <w:szCs w:val="24"/>
        </w:rPr>
        <w:t xml:space="preserve">Nonetheless, </w:t>
      </w:r>
      <w:r w:rsidR="009040B3">
        <w:rPr>
          <w:rFonts w:ascii="Arial" w:hAnsi="Arial" w:cs="Arial"/>
          <w:color w:val="000000" w:themeColor="text1"/>
          <w:sz w:val="24"/>
          <w:szCs w:val="24"/>
        </w:rPr>
        <w:t xml:space="preserve">I refer to </w:t>
      </w:r>
      <w:r w:rsidR="008C32DB" w:rsidRPr="00471ECB">
        <w:rPr>
          <w:rFonts w:ascii="Arial" w:hAnsi="Arial" w:cs="Arial"/>
          <w:b/>
          <w:i/>
          <w:color w:val="000000" w:themeColor="text1"/>
          <w:sz w:val="24"/>
          <w:szCs w:val="24"/>
        </w:rPr>
        <w:t xml:space="preserve">Road Accident Fund v Abdool </w:t>
      </w:r>
      <w:proofErr w:type="spellStart"/>
      <w:r w:rsidR="008C32DB" w:rsidRPr="00471ECB">
        <w:rPr>
          <w:rFonts w:ascii="Arial" w:hAnsi="Arial" w:cs="Arial"/>
          <w:b/>
          <w:i/>
          <w:color w:val="000000" w:themeColor="text1"/>
          <w:sz w:val="24"/>
          <w:szCs w:val="24"/>
        </w:rPr>
        <w:t>Carrim</w:t>
      </w:r>
      <w:proofErr w:type="spellEnd"/>
      <w:r w:rsidR="008C32DB" w:rsidRPr="00471ECB">
        <w:rPr>
          <w:rFonts w:ascii="Arial" w:hAnsi="Arial" w:cs="Arial"/>
          <w:b/>
          <w:i/>
          <w:color w:val="000000" w:themeColor="text1"/>
          <w:sz w:val="24"/>
          <w:szCs w:val="24"/>
        </w:rPr>
        <w:t xml:space="preserve"> and Others</w:t>
      </w:r>
      <w:r w:rsidR="008C32DB">
        <w:rPr>
          <w:rStyle w:val="FootnoteReference"/>
          <w:rFonts w:ascii="Arial" w:hAnsi="Arial" w:cs="Arial"/>
          <w:color w:val="000000" w:themeColor="text1"/>
          <w:sz w:val="24"/>
          <w:szCs w:val="24"/>
        </w:rPr>
        <w:footnoteReference w:id="26"/>
      </w:r>
      <w:r w:rsidR="008C32DB" w:rsidRPr="00A83338">
        <w:rPr>
          <w:rFonts w:ascii="Arial" w:hAnsi="Arial" w:cs="Arial"/>
          <w:color w:val="000000" w:themeColor="text1"/>
          <w:sz w:val="24"/>
          <w:szCs w:val="24"/>
        </w:rPr>
        <w:t xml:space="preserve">, which </w:t>
      </w:r>
      <w:r w:rsidR="009040B3">
        <w:rPr>
          <w:rFonts w:ascii="Arial" w:hAnsi="Arial" w:cs="Arial"/>
          <w:color w:val="000000" w:themeColor="text1"/>
          <w:sz w:val="24"/>
          <w:szCs w:val="24"/>
        </w:rPr>
        <w:t xml:space="preserve">was also referred to and considered </w:t>
      </w:r>
      <w:r w:rsidR="008C32DB">
        <w:rPr>
          <w:rFonts w:ascii="Arial" w:hAnsi="Arial" w:cs="Arial"/>
          <w:color w:val="000000" w:themeColor="text1"/>
          <w:sz w:val="24"/>
          <w:szCs w:val="24"/>
        </w:rPr>
        <w:t>recently b</w:t>
      </w:r>
      <w:r w:rsidR="008C32DB" w:rsidRPr="00A83338">
        <w:rPr>
          <w:rFonts w:ascii="Arial" w:hAnsi="Arial" w:cs="Arial"/>
          <w:color w:val="000000" w:themeColor="text1"/>
          <w:sz w:val="24"/>
          <w:szCs w:val="24"/>
        </w:rPr>
        <w:t>y Cloete J in</w:t>
      </w:r>
      <w:r w:rsidR="008C32DB">
        <w:rPr>
          <w:rFonts w:ascii="Arial" w:hAnsi="Arial" w:cs="Arial"/>
          <w:b/>
          <w:i/>
          <w:color w:val="000000" w:themeColor="text1"/>
          <w:sz w:val="24"/>
          <w:szCs w:val="24"/>
        </w:rPr>
        <w:t xml:space="preserve"> Van Tonder v Road Accident Fund</w:t>
      </w:r>
      <w:r w:rsidR="008C32DB">
        <w:rPr>
          <w:rStyle w:val="FootnoteReference"/>
          <w:rFonts w:ascii="Arial" w:hAnsi="Arial" w:cs="Arial"/>
          <w:b/>
          <w:i/>
          <w:color w:val="000000" w:themeColor="text1"/>
          <w:sz w:val="24"/>
          <w:szCs w:val="24"/>
        </w:rPr>
        <w:footnoteReference w:id="27"/>
      </w:r>
      <w:r w:rsidR="008C32DB">
        <w:rPr>
          <w:rFonts w:ascii="Arial" w:hAnsi="Arial" w:cs="Arial"/>
          <w:b/>
          <w:i/>
          <w:color w:val="000000" w:themeColor="text1"/>
          <w:sz w:val="24"/>
          <w:szCs w:val="24"/>
        </w:rPr>
        <w:t xml:space="preserve">. </w:t>
      </w:r>
      <w:r w:rsidR="008C32DB">
        <w:rPr>
          <w:rFonts w:ascii="Arial" w:hAnsi="Arial" w:cs="Arial"/>
          <w:color w:val="000000" w:themeColor="text1"/>
          <w:sz w:val="24"/>
          <w:szCs w:val="24"/>
        </w:rPr>
        <w:t xml:space="preserve">Notwithstanding the findings in these two judgments, the defendant </w:t>
      </w:r>
      <w:r w:rsidR="008C32DB">
        <w:rPr>
          <w:rFonts w:ascii="Arial" w:hAnsi="Arial" w:cs="Arial"/>
          <w:color w:val="000000" w:themeColor="text1"/>
          <w:sz w:val="24"/>
          <w:szCs w:val="24"/>
        </w:rPr>
        <w:lastRenderedPageBreak/>
        <w:t>persist</w:t>
      </w:r>
      <w:r w:rsidR="009040B3">
        <w:rPr>
          <w:rFonts w:ascii="Arial" w:hAnsi="Arial" w:cs="Arial"/>
          <w:color w:val="000000" w:themeColor="text1"/>
          <w:sz w:val="24"/>
          <w:szCs w:val="24"/>
        </w:rPr>
        <w:t>s</w:t>
      </w:r>
      <w:r w:rsidR="008C32DB">
        <w:rPr>
          <w:rFonts w:ascii="Arial" w:hAnsi="Arial" w:cs="Arial"/>
          <w:color w:val="000000" w:themeColor="text1"/>
          <w:sz w:val="24"/>
          <w:szCs w:val="24"/>
        </w:rPr>
        <w:t xml:space="preserve"> with its submission that section 19(d)(</w:t>
      </w:r>
      <w:proofErr w:type="spellStart"/>
      <w:r w:rsidR="008C32DB">
        <w:rPr>
          <w:rFonts w:ascii="Arial" w:hAnsi="Arial" w:cs="Arial"/>
          <w:color w:val="000000" w:themeColor="text1"/>
          <w:sz w:val="24"/>
          <w:szCs w:val="24"/>
        </w:rPr>
        <w:t>i</w:t>
      </w:r>
      <w:proofErr w:type="spellEnd"/>
      <w:r w:rsidR="008C32DB">
        <w:rPr>
          <w:rFonts w:ascii="Arial" w:hAnsi="Arial" w:cs="Arial"/>
          <w:color w:val="000000" w:themeColor="text1"/>
          <w:sz w:val="24"/>
          <w:szCs w:val="24"/>
        </w:rPr>
        <w:t>) of the RAF Act applie</w:t>
      </w:r>
      <w:r w:rsidR="009040B3">
        <w:rPr>
          <w:rFonts w:ascii="Arial" w:hAnsi="Arial" w:cs="Arial"/>
          <w:color w:val="000000" w:themeColor="text1"/>
          <w:sz w:val="24"/>
          <w:szCs w:val="24"/>
        </w:rPr>
        <w:t>s</w:t>
      </w:r>
      <w:r w:rsidR="008C32DB">
        <w:rPr>
          <w:rFonts w:ascii="Arial" w:hAnsi="Arial" w:cs="Arial"/>
          <w:color w:val="000000" w:themeColor="text1"/>
          <w:sz w:val="24"/>
          <w:szCs w:val="24"/>
        </w:rPr>
        <w:t xml:space="preserve"> in the circumstances of the plaintiff’s claim. While this matter does not deal with a supplier’s claim</w:t>
      </w:r>
      <w:r w:rsidR="009040B3">
        <w:rPr>
          <w:rFonts w:ascii="Arial" w:hAnsi="Arial" w:cs="Arial"/>
          <w:color w:val="000000" w:themeColor="text1"/>
          <w:sz w:val="24"/>
          <w:szCs w:val="24"/>
        </w:rPr>
        <w:t xml:space="preserve"> </w:t>
      </w:r>
      <w:r w:rsidR="009040B3" w:rsidRPr="009040B3">
        <w:rPr>
          <w:rFonts w:ascii="Arial" w:hAnsi="Arial" w:cs="Arial"/>
          <w:i/>
          <w:color w:val="000000" w:themeColor="text1"/>
          <w:sz w:val="24"/>
          <w:szCs w:val="24"/>
        </w:rPr>
        <w:t>per se</w:t>
      </w:r>
      <w:r w:rsidR="008C32DB">
        <w:rPr>
          <w:rFonts w:ascii="Arial" w:hAnsi="Arial" w:cs="Arial"/>
          <w:color w:val="000000" w:themeColor="text1"/>
          <w:sz w:val="24"/>
          <w:szCs w:val="24"/>
        </w:rPr>
        <w:t xml:space="preserve">, the reasoning by the SCA in </w:t>
      </w:r>
      <w:r w:rsidR="008C32DB" w:rsidRPr="00A83338">
        <w:rPr>
          <w:rFonts w:ascii="Arial" w:hAnsi="Arial" w:cs="Arial"/>
          <w:b/>
          <w:i/>
          <w:color w:val="000000" w:themeColor="text1"/>
          <w:sz w:val="24"/>
          <w:szCs w:val="24"/>
        </w:rPr>
        <w:t xml:space="preserve">Abdool </w:t>
      </w:r>
      <w:proofErr w:type="spellStart"/>
      <w:r w:rsidR="008C32DB" w:rsidRPr="00A83338">
        <w:rPr>
          <w:rFonts w:ascii="Arial" w:hAnsi="Arial" w:cs="Arial"/>
          <w:b/>
          <w:i/>
          <w:color w:val="000000" w:themeColor="text1"/>
          <w:sz w:val="24"/>
          <w:szCs w:val="24"/>
        </w:rPr>
        <w:t>Carrim</w:t>
      </w:r>
      <w:proofErr w:type="spellEnd"/>
      <w:r w:rsidR="008C32DB" w:rsidRPr="00A83338">
        <w:rPr>
          <w:rFonts w:ascii="Arial" w:hAnsi="Arial" w:cs="Arial"/>
          <w:b/>
          <w:i/>
          <w:color w:val="000000" w:themeColor="text1"/>
          <w:sz w:val="24"/>
          <w:szCs w:val="24"/>
        </w:rPr>
        <w:t xml:space="preserve"> </w:t>
      </w:r>
      <w:r w:rsidR="008C32DB">
        <w:rPr>
          <w:rFonts w:ascii="Arial" w:hAnsi="Arial" w:cs="Arial"/>
          <w:color w:val="000000" w:themeColor="text1"/>
          <w:sz w:val="24"/>
          <w:szCs w:val="24"/>
        </w:rPr>
        <w:t>at paragraphs 11 and 12 of the judgment, is equally applicable here. In summary, the SCA held that the supplier’s right to claim from the RAF was conditional upon the plaintiff’s valid and enforceable claim and it (the supplier’s claim) was not unenforceable against the RAF because of an agreement concluded with someone other than an attorney as referred to in section 19</w:t>
      </w:r>
      <w:r w:rsidR="009040B3">
        <w:rPr>
          <w:rFonts w:ascii="Arial" w:hAnsi="Arial" w:cs="Arial"/>
          <w:color w:val="000000" w:themeColor="text1"/>
          <w:sz w:val="24"/>
          <w:szCs w:val="24"/>
        </w:rPr>
        <w:t xml:space="preserve"> of the RAF Act</w:t>
      </w:r>
      <w:r w:rsidR="008C32DB">
        <w:rPr>
          <w:rFonts w:ascii="Arial" w:hAnsi="Arial" w:cs="Arial"/>
          <w:color w:val="000000" w:themeColor="text1"/>
          <w:sz w:val="24"/>
          <w:szCs w:val="24"/>
        </w:rPr>
        <w:t xml:space="preserve">. </w:t>
      </w:r>
    </w:p>
    <w:p w14:paraId="7CA64B9C" w14:textId="5DFFCC17" w:rsidR="008C32DB" w:rsidRDefault="00212BD2" w:rsidP="00212BD2">
      <w:pPr>
        <w:spacing w:after="360"/>
        <w:rPr>
          <w:rFonts w:ascii="Arial" w:hAnsi="Arial" w:cs="Arial"/>
          <w:color w:val="000000" w:themeColor="text1"/>
          <w:sz w:val="24"/>
          <w:szCs w:val="24"/>
        </w:rPr>
      </w:pPr>
      <w:r>
        <w:rPr>
          <w:rFonts w:ascii="Arial" w:hAnsi="Arial" w:cs="Arial"/>
          <w:color w:val="000000" w:themeColor="text1"/>
          <w:sz w:val="24"/>
          <w:szCs w:val="24"/>
        </w:rPr>
        <w:t>34.</w:t>
      </w:r>
      <w:r>
        <w:rPr>
          <w:rFonts w:ascii="Arial" w:hAnsi="Arial" w:cs="Arial"/>
          <w:color w:val="000000" w:themeColor="text1"/>
          <w:sz w:val="24"/>
          <w:szCs w:val="24"/>
        </w:rPr>
        <w:tab/>
      </w:r>
      <w:r w:rsidR="00A53176">
        <w:rPr>
          <w:rFonts w:ascii="Arial" w:hAnsi="Arial" w:cs="Arial"/>
          <w:color w:val="000000" w:themeColor="text1"/>
          <w:sz w:val="24"/>
          <w:szCs w:val="24"/>
        </w:rPr>
        <w:t>S</w:t>
      </w:r>
      <w:r w:rsidR="008C32DB">
        <w:rPr>
          <w:rFonts w:ascii="Arial" w:hAnsi="Arial" w:cs="Arial"/>
          <w:color w:val="000000" w:themeColor="text1"/>
          <w:sz w:val="24"/>
          <w:szCs w:val="24"/>
        </w:rPr>
        <w:t>ection 19(d)(</w:t>
      </w:r>
      <w:proofErr w:type="spellStart"/>
      <w:r w:rsidR="008C32DB">
        <w:rPr>
          <w:rFonts w:ascii="Arial" w:hAnsi="Arial" w:cs="Arial"/>
          <w:color w:val="000000" w:themeColor="text1"/>
          <w:sz w:val="24"/>
          <w:szCs w:val="24"/>
        </w:rPr>
        <w:t>i</w:t>
      </w:r>
      <w:proofErr w:type="spellEnd"/>
      <w:r w:rsidR="008C32DB">
        <w:rPr>
          <w:rFonts w:ascii="Arial" w:hAnsi="Arial" w:cs="Arial"/>
          <w:color w:val="000000" w:themeColor="text1"/>
          <w:sz w:val="24"/>
          <w:szCs w:val="24"/>
        </w:rPr>
        <w:t xml:space="preserve">) of the RAF Act </w:t>
      </w:r>
      <w:r w:rsidR="00A53176">
        <w:rPr>
          <w:rFonts w:ascii="Arial" w:hAnsi="Arial" w:cs="Arial"/>
          <w:color w:val="000000" w:themeColor="text1"/>
          <w:sz w:val="24"/>
          <w:szCs w:val="24"/>
        </w:rPr>
        <w:t xml:space="preserve">would </w:t>
      </w:r>
      <w:r w:rsidR="008C32DB">
        <w:rPr>
          <w:rFonts w:ascii="Arial" w:hAnsi="Arial" w:cs="Arial"/>
          <w:color w:val="000000" w:themeColor="text1"/>
          <w:sz w:val="24"/>
          <w:szCs w:val="24"/>
        </w:rPr>
        <w:t xml:space="preserve">render the plaintiff’s claim unenforceable against the defendant if the plaintiff entered into an agreement with someone other than an attorney or with a person or representative as defined in section 19(c)(ii). </w:t>
      </w:r>
      <w:r w:rsidR="00A53176">
        <w:rPr>
          <w:rFonts w:ascii="Arial" w:hAnsi="Arial" w:cs="Arial"/>
          <w:color w:val="000000" w:themeColor="text1"/>
          <w:sz w:val="24"/>
          <w:szCs w:val="24"/>
        </w:rPr>
        <w:t xml:space="preserve">However, as per </w:t>
      </w:r>
      <w:r w:rsidR="008B2D9F" w:rsidRPr="00933334">
        <w:rPr>
          <w:rFonts w:ascii="Arial" w:hAnsi="Arial" w:cs="Arial"/>
          <w:b/>
          <w:i/>
          <w:color w:val="000000" w:themeColor="text1"/>
          <w:sz w:val="24"/>
          <w:szCs w:val="24"/>
        </w:rPr>
        <w:t xml:space="preserve">Abdool </w:t>
      </w:r>
      <w:proofErr w:type="spellStart"/>
      <w:r w:rsidR="008B2D9F" w:rsidRPr="00933334">
        <w:rPr>
          <w:rFonts w:ascii="Arial" w:hAnsi="Arial" w:cs="Arial"/>
          <w:b/>
          <w:i/>
          <w:color w:val="000000" w:themeColor="text1"/>
          <w:sz w:val="24"/>
          <w:szCs w:val="24"/>
        </w:rPr>
        <w:t>Carrim</w:t>
      </w:r>
      <w:proofErr w:type="spellEnd"/>
      <w:r w:rsidR="008B2D9F">
        <w:rPr>
          <w:rFonts w:ascii="Arial" w:hAnsi="Arial" w:cs="Arial"/>
          <w:color w:val="000000" w:themeColor="text1"/>
          <w:sz w:val="24"/>
          <w:szCs w:val="24"/>
        </w:rPr>
        <w:t>, s</w:t>
      </w:r>
      <w:r w:rsidR="008C32DB">
        <w:rPr>
          <w:rFonts w:ascii="Arial" w:hAnsi="Arial" w:cs="Arial"/>
          <w:color w:val="000000" w:themeColor="text1"/>
          <w:sz w:val="24"/>
          <w:szCs w:val="24"/>
        </w:rPr>
        <w:t>ection 19(d)(</w:t>
      </w:r>
      <w:proofErr w:type="spellStart"/>
      <w:r w:rsidR="008C32DB">
        <w:rPr>
          <w:rFonts w:ascii="Arial" w:hAnsi="Arial" w:cs="Arial"/>
          <w:color w:val="000000" w:themeColor="text1"/>
          <w:sz w:val="24"/>
          <w:szCs w:val="24"/>
        </w:rPr>
        <w:t>i</w:t>
      </w:r>
      <w:proofErr w:type="spellEnd"/>
      <w:r w:rsidR="008C32DB">
        <w:rPr>
          <w:rFonts w:ascii="Arial" w:hAnsi="Arial" w:cs="Arial"/>
          <w:color w:val="000000" w:themeColor="text1"/>
          <w:sz w:val="24"/>
          <w:szCs w:val="24"/>
        </w:rPr>
        <w:t xml:space="preserve">) was enacted to protect claimants from </w:t>
      </w:r>
      <w:proofErr w:type="gramStart"/>
      <w:r w:rsidR="008C32DB">
        <w:rPr>
          <w:rFonts w:ascii="Arial" w:hAnsi="Arial" w:cs="Arial"/>
          <w:color w:val="000000" w:themeColor="text1"/>
          <w:sz w:val="24"/>
          <w:szCs w:val="24"/>
        </w:rPr>
        <w:t>entering into</w:t>
      </w:r>
      <w:proofErr w:type="gramEnd"/>
      <w:r w:rsidR="008C32DB">
        <w:rPr>
          <w:rFonts w:ascii="Arial" w:hAnsi="Arial" w:cs="Arial"/>
          <w:color w:val="000000" w:themeColor="text1"/>
          <w:sz w:val="24"/>
          <w:szCs w:val="24"/>
        </w:rPr>
        <w:t xml:space="preserve"> </w:t>
      </w:r>
      <w:r w:rsidR="008C32DB" w:rsidRPr="00933334">
        <w:rPr>
          <w:rFonts w:ascii="Arial" w:hAnsi="Arial" w:cs="Arial"/>
          <w:i/>
          <w:color w:val="000000" w:themeColor="text1"/>
          <w:sz w:val="24"/>
          <w:szCs w:val="24"/>
        </w:rPr>
        <w:t>“</w:t>
      </w:r>
      <w:proofErr w:type="spellStart"/>
      <w:r w:rsidR="008C32DB" w:rsidRPr="00933334">
        <w:rPr>
          <w:rFonts w:ascii="Arial" w:hAnsi="Arial" w:cs="Arial"/>
          <w:i/>
          <w:color w:val="000000" w:themeColor="text1"/>
          <w:sz w:val="24"/>
          <w:szCs w:val="24"/>
        </w:rPr>
        <w:t>champertous</w:t>
      </w:r>
      <w:proofErr w:type="spellEnd"/>
      <w:r w:rsidR="008C32DB" w:rsidRPr="00933334">
        <w:rPr>
          <w:rFonts w:ascii="Arial" w:hAnsi="Arial" w:cs="Arial"/>
          <w:i/>
          <w:color w:val="000000" w:themeColor="text1"/>
          <w:sz w:val="24"/>
          <w:szCs w:val="24"/>
        </w:rPr>
        <w:t xml:space="preserve"> agreements”</w:t>
      </w:r>
      <w:r w:rsidR="008C32DB">
        <w:rPr>
          <w:rStyle w:val="FootnoteReference"/>
          <w:rFonts w:ascii="Arial" w:hAnsi="Arial" w:cs="Arial"/>
          <w:i/>
          <w:color w:val="000000" w:themeColor="text1"/>
          <w:sz w:val="24"/>
          <w:szCs w:val="24"/>
        </w:rPr>
        <w:footnoteReference w:id="28"/>
      </w:r>
      <w:r w:rsidR="008C32DB">
        <w:rPr>
          <w:rFonts w:ascii="Arial" w:hAnsi="Arial" w:cs="Arial"/>
          <w:i/>
          <w:color w:val="000000" w:themeColor="text1"/>
          <w:sz w:val="24"/>
          <w:szCs w:val="24"/>
        </w:rPr>
        <w:t xml:space="preserve"> </w:t>
      </w:r>
      <w:r w:rsidR="008C32DB">
        <w:rPr>
          <w:rFonts w:ascii="Arial" w:hAnsi="Arial" w:cs="Arial"/>
          <w:color w:val="000000" w:themeColor="text1"/>
          <w:sz w:val="24"/>
          <w:szCs w:val="24"/>
        </w:rPr>
        <w:t>but</w:t>
      </w:r>
      <w:r w:rsidR="009040B3">
        <w:rPr>
          <w:rFonts w:ascii="Arial" w:hAnsi="Arial" w:cs="Arial"/>
          <w:color w:val="000000" w:themeColor="text1"/>
          <w:sz w:val="24"/>
          <w:szCs w:val="24"/>
        </w:rPr>
        <w:t xml:space="preserve">, as seen above, </w:t>
      </w:r>
      <w:r w:rsidR="008C32DB">
        <w:rPr>
          <w:rFonts w:ascii="Arial" w:hAnsi="Arial" w:cs="Arial"/>
          <w:color w:val="000000" w:themeColor="text1"/>
          <w:sz w:val="24"/>
          <w:szCs w:val="24"/>
        </w:rPr>
        <w:t>the SCA found that suppliers’ agreements did not fall under section 19(d)(</w:t>
      </w:r>
      <w:proofErr w:type="spellStart"/>
      <w:r w:rsidR="008C32DB">
        <w:rPr>
          <w:rFonts w:ascii="Arial" w:hAnsi="Arial" w:cs="Arial"/>
          <w:color w:val="000000" w:themeColor="text1"/>
          <w:sz w:val="24"/>
          <w:szCs w:val="24"/>
        </w:rPr>
        <w:t>i</w:t>
      </w:r>
      <w:proofErr w:type="spellEnd"/>
      <w:r w:rsidR="008C32DB">
        <w:rPr>
          <w:rFonts w:ascii="Arial" w:hAnsi="Arial" w:cs="Arial"/>
          <w:color w:val="000000" w:themeColor="text1"/>
          <w:sz w:val="24"/>
          <w:szCs w:val="24"/>
        </w:rPr>
        <w:t>).</w:t>
      </w:r>
    </w:p>
    <w:p w14:paraId="12AF946A" w14:textId="1A3786FD" w:rsidR="008C32DB" w:rsidRDefault="004D3F8E" w:rsidP="004D3F8E">
      <w:pPr>
        <w:spacing w:after="360"/>
        <w:rPr>
          <w:rFonts w:ascii="Arial" w:hAnsi="Arial" w:cs="Arial"/>
          <w:color w:val="000000" w:themeColor="text1"/>
          <w:sz w:val="24"/>
          <w:szCs w:val="24"/>
        </w:rPr>
      </w:pPr>
      <w:r>
        <w:rPr>
          <w:rFonts w:ascii="Arial" w:hAnsi="Arial" w:cs="Arial"/>
          <w:color w:val="000000" w:themeColor="text1"/>
          <w:sz w:val="24"/>
          <w:szCs w:val="24"/>
        </w:rPr>
        <w:t>35.</w:t>
      </w:r>
      <w:r>
        <w:rPr>
          <w:rFonts w:ascii="Arial" w:hAnsi="Arial" w:cs="Arial"/>
          <w:color w:val="000000" w:themeColor="text1"/>
          <w:sz w:val="24"/>
          <w:szCs w:val="24"/>
        </w:rPr>
        <w:tab/>
      </w:r>
      <w:r w:rsidR="008C32DB">
        <w:rPr>
          <w:rFonts w:ascii="Arial" w:hAnsi="Arial" w:cs="Arial"/>
          <w:color w:val="000000" w:themeColor="text1"/>
          <w:sz w:val="24"/>
          <w:szCs w:val="24"/>
        </w:rPr>
        <w:t xml:space="preserve">In </w:t>
      </w:r>
      <w:r w:rsidR="008C32DB" w:rsidRPr="00933334">
        <w:rPr>
          <w:rFonts w:ascii="Arial" w:hAnsi="Arial" w:cs="Arial"/>
          <w:b/>
          <w:i/>
          <w:color w:val="000000" w:themeColor="text1"/>
          <w:sz w:val="24"/>
          <w:szCs w:val="24"/>
        </w:rPr>
        <w:t>Van Tonder</w:t>
      </w:r>
      <w:r w:rsidR="008C32DB">
        <w:rPr>
          <w:rFonts w:ascii="Arial" w:hAnsi="Arial" w:cs="Arial"/>
          <w:color w:val="000000" w:themeColor="text1"/>
          <w:sz w:val="24"/>
          <w:szCs w:val="24"/>
        </w:rPr>
        <w:t xml:space="preserve">, Cloete J found that the reasoning in </w:t>
      </w:r>
      <w:r w:rsidR="008C32DB" w:rsidRPr="00933334">
        <w:rPr>
          <w:rFonts w:ascii="Arial" w:hAnsi="Arial" w:cs="Arial"/>
          <w:b/>
          <w:i/>
          <w:color w:val="000000" w:themeColor="text1"/>
          <w:sz w:val="24"/>
          <w:szCs w:val="24"/>
        </w:rPr>
        <w:t xml:space="preserve">Abdool </w:t>
      </w:r>
      <w:proofErr w:type="spellStart"/>
      <w:r w:rsidR="008C32DB" w:rsidRPr="00933334">
        <w:rPr>
          <w:rFonts w:ascii="Arial" w:hAnsi="Arial" w:cs="Arial"/>
          <w:b/>
          <w:i/>
          <w:color w:val="000000" w:themeColor="text1"/>
          <w:sz w:val="24"/>
          <w:szCs w:val="24"/>
        </w:rPr>
        <w:t>Carrim</w:t>
      </w:r>
      <w:proofErr w:type="spellEnd"/>
      <w:r w:rsidR="008C32DB">
        <w:rPr>
          <w:rFonts w:ascii="Arial" w:hAnsi="Arial" w:cs="Arial"/>
          <w:color w:val="000000" w:themeColor="text1"/>
          <w:sz w:val="24"/>
          <w:szCs w:val="24"/>
        </w:rPr>
        <w:t xml:space="preserve"> applied equally to the position related to the agreement between the claimant or plaintiff and his/her medical aid, and consequently rejected the defendant’s argument related to the exclusion of RAF’s liability in terms of section 19(d)(</w:t>
      </w:r>
      <w:proofErr w:type="spellStart"/>
      <w:r w:rsidR="008C32DB">
        <w:rPr>
          <w:rFonts w:ascii="Arial" w:hAnsi="Arial" w:cs="Arial"/>
          <w:color w:val="000000" w:themeColor="text1"/>
          <w:sz w:val="24"/>
          <w:szCs w:val="24"/>
        </w:rPr>
        <w:t>i</w:t>
      </w:r>
      <w:proofErr w:type="spellEnd"/>
      <w:r w:rsidR="008C32DB">
        <w:rPr>
          <w:rFonts w:ascii="Arial" w:hAnsi="Arial" w:cs="Arial"/>
          <w:color w:val="000000" w:themeColor="text1"/>
          <w:sz w:val="24"/>
          <w:szCs w:val="24"/>
        </w:rPr>
        <w:t xml:space="preserve">). I fully agree with this reasoning, and in my view </w:t>
      </w:r>
      <w:r w:rsidR="009040B3">
        <w:rPr>
          <w:rFonts w:ascii="Arial" w:hAnsi="Arial" w:cs="Arial"/>
          <w:color w:val="000000" w:themeColor="text1"/>
          <w:sz w:val="24"/>
          <w:szCs w:val="24"/>
        </w:rPr>
        <w:t>as well</w:t>
      </w:r>
      <w:r w:rsidR="008C32DB">
        <w:rPr>
          <w:rFonts w:ascii="Arial" w:hAnsi="Arial" w:cs="Arial"/>
          <w:color w:val="000000" w:themeColor="text1"/>
          <w:sz w:val="24"/>
          <w:szCs w:val="24"/>
        </w:rPr>
        <w:t xml:space="preserve">, section 19(d) of the RAF Act finds no application to the agreement between the plaintiff and her medical aid scheme. To hold otherwise would also be contrary to the legal principle referred to above in </w:t>
      </w:r>
      <w:proofErr w:type="spellStart"/>
      <w:r w:rsidR="008C32DB" w:rsidRPr="00665B2E">
        <w:rPr>
          <w:rFonts w:ascii="Arial" w:hAnsi="Arial" w:cs="Arial"/>
          <w:b/>
          <w:i/>
          <w:color w:val="000000" w:themeColor="text1"/>
          <w:sz w:val="24"/>
          <w:szCs w:val="24"/>
        </w:rPr>
        <w:t>Zysset</w:t>
      </w:r>
      <w:proofErr w:type="spellEnd"/>
      <w:r w:rsidR="008C32DB">
        <w:rPr>
          <w:rFonts w:ascii="Arial" w:hAnsi="Arial" w:cs="Arial"/>
          <w:color w:val="000000" w:themeColor="text1"/>
          <w:sz w:val="24"/>
          <w:szCs w:val="24"/>
        </w:rPr>
        <w:t xml:space="preserve"> and </w:t>
      </w:r>
      <w:r w:rsidR="008C32DB" w:rsidRPr="00665B2E">
        <w:rPr>
          <w:rFonts w:ascii="Arial" w:hAnsi="Arial" w:cs="Arial"/>
          <w:b/>
          <w:i/>
          <w:color w:val="000000" w:themeColor="text1"/>
          <w:sz w:val="24"/>
          <w:szCs w:val="24"/>
        </w:rPr>
        <w:t>Discovery Health</w:t>
      </w:r>
      <w:r w:rsidR="008C32DB">
        <w:rPr>
          <w:rFonts w:ascii="Arial" w:hAnsi="Arial" w:cs="Arial"/>
          <w:color w:val="000000" w:themeColor="text1"/>
          <w:sz w:val="24"/>
          <w:szCs w:val="24"/>
        </w:rPr>
        <w:t xml:space="preserve"> that the benefit which the plaintiff receives from an agreement with her insurance company does not absolve or exonerate the defendant from discharging its obligation to her in terms of the RAF Act</w:t>
      </w:r>
      <w:r w:rsidR="008C32DB">
        <w:rPr>
          <w:rStyle w:val="FootnoteReference"/>
          <w:rFonts w:ascii="Arial" w:hAnsi="Arial" w:cs="Arial"/>
          <w:color w:val="000000" w:themeColor="text1"/>
          <w:sz w:val="24"/>
          <w:szCs w:val="24"/>
        </w:rPr>
        <w:footnoteReference w:id="29"/>
      </w:r>
      <w:r w:rsidR="008C32DB">
        <w:rPr>
          <w:rFonts w:ascii="Arial" w:hAnsi="Arial" w:cs="Arial"/>
          <w:color w:val="000000" w:themeColor="text1"/>
          <w:sz w:val="24"/>
          <w:szCs w:val="24"/>
        </w:rPr>
        <w:t>.</w:t>
      </w:r>
    </w:p>
    <w:p w14:paraId="74DD59FB" w14:textId="2CB0D203" w:rsidR="008C32DB" w:rsidRDefault="004D3F8E" w:rsidP="004D3F8E">
      <w:pPr>
        <w:spacing w:after="360"/>
        <w:rPr>
          <w:rFonts w:ascii="Arial" w:hAnsi="Arial" w:cs="Arial"/>
          <w:color w:val="000000" w:themeColor="text1"/>
          <w:sz w:val="24"/>
          <w:szCs w:val="24"/>
        </w:rPr>
      </w:pPr>
      <w:r>
        <w:rPr>
          <w:rFonts w:ascii="Arial" w:hAnsi="Arial" w:cs="Arial"/>
          <w:color w:val="000000" w:themeColor="text1"/>
          <w:sz w:val="24"/>
          <w:szCs w:val="24"/>
        </w:rPr>
        <w:t>36.</w:t>
      </w:r>
      <w:r>
        <w:rPr>
          <w:rFonts w:ascii="Arial" w:hAnsi="Arial" w:cs="Arial"/>
          <w:color w:val="000000" w:themeColor="text1"/>
          <w:sz w:val="24"/>
          <w:szCs w:val="24"/>
        </w:rPr>
        <w:tab/>
      </w:r>
      <w:r w:rsidR="008C32DB">
        <w:rPr>
          <w:rFonts w:ascii="Arial" w:hAnsi="Arial" w:cs="Arial"/>
          <w:color w:val="000000" w:themeColor="text1"/>
          <w:sz w:val="24"/>
          <w:szCs w:val="24"/>
        </w:rPr>
        <w:t xml:space="preserve">As its last line of </w:t>
      </w:r>
      <w:proofErr w:type="spellStart"/>
      <w:r w:rsidR="008C32DB">
        <w:rPr>
          <w:rFonts w:ascii="Arial" w:hAnsi="Arial" w:cs="Arial"/>
          <w:color w:val="000000" w:themeColor="text1"/>
          <w:sz w:val="24"/>
          <w:szCs w:val="24"/>
        </w:rPr>
        <w:t>defence</w:t>
      </w:r>
      <w:proofErr w:type="spellEnd"/>
      <w:r w:rsidR="008C32DB">
        <w:rPr>
          <w:rFonts w:ascii="Arial" w:hAnsi="Arial" w:cs="Arial"/>
          <w:color w:val="000000" w:themeColor="text1"/>
          <w:sz w:val="24"/>
          <w:szCs w:val="24"/>
        </w:rPr>
        <w:t xml:space="preserve">, the defendant reasons that due to Regulations 7 and 8 of the Medical Schemes Act, the plaintiff is not entitled to claim back the amount for </w:t>
      </w:r>
      <w:r w:rsidR="008C32DB">
        <w:rPr>
          <w:rFonts w:ascii="Arial" w:hAnsi="Arial" w:cs="Arial"/>
          <w:color w:val="000000" w:themeColor="text1"/>
          <w:sz w:val="24"/>
          <w:szCs w:val="24"/>
        </w:rPr>
        <w:lastRenderedPageBreak/>
        <w:t>emergency medical care, which is a prescribed minimum benefit, and in terms of Regulation 8 (1)</w:t>
      </w:r>
      <w:r w:rsidR="008C32DB" w:rsidRPr="00DF3E41">
        <w:rPr>
          <w:rFonts w:ascii="Arial" w:hAnsi="Arial" w:cs="Arial"/>
          <w:i/>
          <w:color w:val="000000" w:themeColor="text1"/>
          <w:sz w:val="24"/>
          <w:szCs w:val="24"/>
        </w:rPr>
        <w:t xml:space="preserve"> “</w:t>
      </w:r>
      <w:r w:rsidR="008C32DB">
        <w:rPr>
          <w:rFonts w:ascii="Arial" w:hAnsi="Arial" w:cs="Arial"/>
          <w:i/>
          <w:color w:val="000000" w:themeColor="text1"/>
          <w:sz w:val="24"/>
          <w:szCs w:val="24"/>
        </w:rPr>
        <w:t>…</w:t>
      </w:r>
      <w:r w:rsidR="008C32DB" w:rsidRPr="00DF3E41">
        <w:rPr>
          <w:rFonts w:ascii="Arial" w:hAnsi="Arial" w:cs="Arial"/>
          <w:i/>
          <w:color w:val="000000" w:themeColor="text1"/>
          <w:sz w:val="24"/>
          <w:szCs w:val="24"/>
        </w:rPr>
        <w:t>any benefit option that is offered by a medical scheme must pay in full, without co-payment or the use of deductibles, the diagnosis, treatment and care costs of the prescribed minimum benefit conditions”</w:t>
      </w:r>
      <w:r w:rsidR="008C32DB">
        <w:rPr>
          <w:rFonts w:ascii="Arial" w:hAnsi="Arial" w:cs="Arial"/>
          <w:i/>
          <w:color w:val="000000" w:themeColor="text1"/>
          <w:sz w:val="24"/>
          <w:szCs w:val="24"/>
        </w:rPr>
        <w:t xml:space="preserve">. </w:t>
      </w:r>
      <w:r w:rsidR="008C32DB">
        <w:rPr>
          <w:rFonts w:ascii="Arial" w:hAnsi="Arial" w:cs="Arial"/>
          <w:color w:val="000000" w:themeColor="text1"/>
          <w:sz w:val="24"/>
          <w:szCs w:val="24"/>
        </w:rPr>
        <w:t>It argues that the Medical Schemes Act does not provide for the plaintiff to claim back these amounts on behalf of the medical aid.</w:t>
      </w:r>
    </w:p>
    <w:p w14:paraId="6AD1EA37" w14:textId="456DE8A4" w:rsidR="008C32DB" w:rsidRDefault="004D3F8E" w:rsidP="004D3F8E">
      <w:pPr>
        <w:spacing w:after="360"/>
        <w:rPr>
          <w:rFonts w:ascii="Arial" w:hAnsi="Arial" w:cs="Arial"/>
          <w:color w:val="000000" w:themeColor="text1"/>
          <w:sz w:val="24"/>
          <w:szCs w:val="24"/>
        </w:rPr>
      </w:pPr>
      <w:r>
        <w:rPr>
          <w:rFonts w:ascii="Arial" w:hAnsi="Arial" w:cs="Arial"/>
          <w:color w:val="000000" w:themeColor="text1"/>
          <w:sz w:val="24"/>
          <w:szCs w:val="24"/>
        </w:rPr>
        <w:t>37.</w:t>
      </w:r>
      <w:r>
        <w:rPr>
          <w:rFonts w:ascii="Arial" w:hAnsi="Arial" w:cs="Arial"/>
          <w:color w:val="000000" w:themeColor="text1"/>
          <w:sz w:val="24"/>
          <w:szCs w:val="24"/>
        </w:rPr>
        <w:tab/>
      </w:r>
      <w:r w:rsidR="008C32DB">
        <w:rPr>
          <w:rFonts w:ascii="Arial" w:hAnsi="Arial" w:cs="Arial"/>
          <w:color w:val="000000" w:themeColor="text1"/>
          <w:sz w:val="24"/>
          <w:szCs w:val="24"/>
        </w:rPr>
        <w:t>Unless I am mistaken, this argument is based on the subrogation refrain upon which the defendant seems to hang its hat to escape its legislative obligation to compensate the plaintiff for her loss occasioned by bodily injury sustained in the collision. In my view, the reliance on Regulations 7 and particularly Regulation 8, is ill-fated. I say this because it cannot be that these Regulations supersede the legal principle which I have referred to above that the benefit which accrues and is received from the private insurance company (medical aid scheme), for the plaintiff’s explicit benefit, does not exonerate the defendant from the liability to discharge its obligation to the plaintiff in terms of the RAF Act</w:t>
      </w:r>
      <w:r w:rsidR="008C32DB">
        <w:rPr>
          <w:rStyle w:val="FootnoteReference"/>
          <w:rFonts w:ascii="Arial" w:hAnsi="Arial" w:cs="Arial"/>
          <w:color w:val="000000" w:themeColor="text1"/>
          <w:sz w:val="24"/>
          <w:szCs w:val="24"/>
        </w:rPr>
        <w:footnoteReference w:id="30"/>
      </w:r>
      <w:r w:rsidR="008C32DB">
        <w:rPr>
          <w:rFonts w:ascii="Arial" w:hAnsi="Arial" w:cs="Arial"/>
          <w:color w:val="000000" w:themeColor="text1"/>
          <w:sz w:val="24"/>
          <w:szCs w:val="24"/>
        </w:rPr>
        <w:t xml:space="preserve">. </w:t>
      </w:r>
    </w:p>
    <w:p w14:paraId="12133FE3" w14:textId="4F05D392" w:rsidR="008C32DB" w:rsidRDefault="004D3F8E" w:rsidP="004D3F8E">
      <w:pPr>
        <w:spacing w:after="360"/>
        <w:rPr>
          <w:rFonts w:ascii="Arial" w:hAnsi="Arial" w:cs="Arial"/>
          <w:b/>
          <w:color w:val="000000" w:themeColor="text1"/>
          <w:sz w:val="24"/>
          <w:szCs w:val="24"/>
        </w:rPr>
      </w:pPr>
      <w:r>
        <w:rPr>
          <w:rFonts w:ascii="Arial" w:hAnsi="Arial" w:cs="Arial"/>
          <w:color w:val="000000" w:themeColor="text1"/>
          <w:sz w:val="24"/>
          <w:szCs w:val="24"/>
        </w:rPr>
        <w:t>38.</w:t>
      </w:r>
      <w:r>
        <w:rPr>
          <w:rFonts w:ascii="Arial" w:hAnsi="Arial" w:cs="Arial"/>
          <w:color w:val="000000" w:themeColor="text1"/>
          <w:sz w:val="24"/>
          <w:szCs w:val="24"/>
        </w:rPr>
        <w:tab/>
      </w:r>
      <w:r w:rsidR="008C32DB">
        <w:rPr>
          <w:rFonts w:ascii="Arial" w:hAnsi="Arial" w:cs="Arial"/>
          <w:color w:val="000000" w:themeColor="text1"/>
          <w:sz w:val="24"/>
          <w:szCs w:val="24"/>
        </w:rPr>
        <w:t xml:space="preserve">In addition, the defendant has simply ignored existing authority, including </w:t>
      </w:r>
      <w:r w:rsidR="008C32DB" w:rsidRPr="0014752A">
        <w:rPr>
          <w:rFonts w:ascii="Arial" w:hAnsi="Arial" w:cs="Arial"/>
          <w:b/>
          <w:i/>
          <w:color w:val="000000" w:themeColor="text1"/>
          <w:sz w:val="24"/>
          <w:szCs w:val="24"/>
        </w:rPr>
        <w:t>Rayi NO v Road Accident Fund</w:t>
      </w:r>
      <w:r w:rsidR="008C32DB">
        <w:rPr>
          <w:rStyle w:val="FootnoteReference"/>
          <w:rFonts w:ascii="Arial" w:hAnsi="Arial" w:cs="Arial"/>
          <w:color w:val="000000" w:themeColor="text1"/>
          <w:sz w:val="24"/>
          <w:szCs w:val="24"/>
        </w:rPr>
        <w:footnoteReference w:id="31"/>
      </w:r>
      <w:r w:rsidR="008C32DB" w:rsidRPr="005E4D3E">
        <w:rPr>
          <w:rFonts w:ascii="Arial" w:hAnsi="Arial" w:cs="Arial"/>
          <w:color w:val="000000" w:themeColor="text1"/>
          <w:sz w:val="24"/>
          <w:szCs w:val="24"/>
        </w:rPr>
        <w:t>, another judgment from this Division, wherein the Court stated that:</w:t>
      </w:r>
    </w:p>
    <w:p w14:paraId="07869D58" w14:textId="1586D520" w:rsidR="008C32DB" w:rsidRDefault="008C32DB" w:rsidP="008C32DB">
      <w:pPr>
        <w:spacing w:after="360"/>
        <w:ind w:left="1440"/>
        <w:rPr>
          <w:rFonts w:ascii="Arial" w:hAnsi="Arial" w:cs="Arial"/>
          <w:i/>
          <w:color w:val="000000" w:themeColor="text1"/>
          <w:sz w:val="20"/>
          <w:szCs w:val="20"/>
        </w:rPr>
      </w:pPr>
      <w:r w:rsidRPr="007415BE">
        <w:rPr>
          <w:rFonts w:ascii="Arial" w:hAnsi="Arial" w:cs="Arial"/>
          <w:i/>
          <w:color w:val="000000" w:themeColor="text1"/>
          <w:sz w:val="20"/>
          <w:szCs w:val="20"/>
        </w:rPr>
        <w:t xml:space="preserve">“The obligation which the undertaking imposes on the plaintiff towards </w:t>
      </w:r>
      <w:proofErr w:type="spellStart"/>
      <w:r w:rsidRPr="007415BE">
        <w:rPr>
          <w:rFonts w:ascii="Arial" w:hAnsi="Arial" w:cs="Arial"/>
          <w:i/>
          <w:color w:val="000000" w:themeColor="text1"/>
          <w:sz w:val="20"/>
          <w:szCs w:val="20"/>
        </w:rPr>
        <w:t>Bonitas</w:t>
      </w:r>
      <w:proofErr w:type="spellEnd"/>
      <w:r w:rsidRPr="007415BE">
        <w:rPr>
          <w:rFonts w:ascii="Arial" w:hAnsi="Arial" w:cs="Arial"/>
          <w:i/>
          <w:color w:val="000000" w:themeColor="text1"/>
          <w:sz w:val="20"/>
          <w:szCs w:val="20"/>
        </w:rPr>
        <w:t xml:space="preserve"> does not arise until such time that there is a successful recovery of the past medical expenses by the plaintiff from the defendant. </w:t>
      </w:r>
      <w:r w:rsidRPr="007415BE">
        <w:rPr>
          <w:rFonts w:ascii="Arial" w:hAnsi="Arial" w:cs="Arial"/>
          <w:i/>
          <w:color w:val="000000" w:themeColor="text1"/>
          <w:sz w:val="20"/>
          <w:szCs w:val="20"/>
          <w:u w:val="single"/>
        </w:rPr>
        <w:t xml:space="preserve">The defendant primarily remains liable to the plaintiff for the payment of the past medical expenses and the liability of </w:t>
      </w:r>
      <w:proofErr w:type="spellStart"/>
      <w:r w:rsidRPr="007415BE">
        <w:rPr>
          <w:rFonts w:ascii="Arial" w:hAnsi="Arial" w:cs="Arial"/>
          <w:i/>
          <w:color w:val="000000" w:themeColor="text1"/>
          <w:sz w:val="20"/>
          <w:szCs w:val="20"/>
          <w:u w:val="single"/>
        </w:rPr>
        <w:t>Bonitas</w:t>
      </w:r>
      <w:proofErr w:type="spellEnd"/>
      <w:r w:rsidRPr="007415BE">
        <w:rPr>
          <w:rFonts w:ascii="Arial" w:hAnsi="Arial" w:cs="Arial"/>
          <w:i/>
          <w:color w:val="000000" w:themeColor="text1"/>
          <w:sz w:val="20"/>
          <w:szCs w:val="20"/>
          <w:u w:val="single"/>
        </w:rPr>
        <w:t xml:space="preserve"> to the plaintiff for the past medical expenses is secondary to that of the defendant. The defendant should pay the past medical expenses to the plaintiff who should upon receipt of payment account to </w:t>
      </w:r>
      <w:proofErr w:type="spellStart"/>
      <w:r w:rsidRPr="007415BE">
        <w:rPr>
          <w:rFonts w:ascii="Arial" w:hAnsi="Arial" w:cs="Arial"/>
          <w:i/>
          <w:color w:val="000000" w:themeColor="text1"/>
          <w:sz w:val="20"/>
          <w:szCs w:val="20"/>
          <w:u w:val="single"/>
        </w:rPr>
        <w:t>Bonitas</w:t>
      </w:r>
      <w:proofErr w:type="spellEnd"/>
      <w:r w:rsidRPr="007415BE">
        <w:rPr>
          <w:rFonts w:ascii="Arial" w:hAnsi="Arial" w:cs="Arial"/>
          <w:i/>
          <w:color w:val="000000" w:themeColor="text1"/>
          <w:sz w:val="20"/>
          <w:szCs w:val="20"/>
          <w:u w:val="single"/>
        </w:rPr>
        <w:t xml:space="preserve"> in terms of the undertaking</w:t>
      </w:r>
      <w:r w:rsidRPr="007415BE">
        <w:rPr>
          <w:rFonts w:ascii="Arial" w:hAnsi="Arial" w:cs="Arial"/>
          <w:i/>
          <w:color w:val="000000" w:themeColor="text1"/>
          <w:sz w:val="20"/>
          <w:szCs w:val="20"/>
        </w:rPr>
        <w:t xml:space="preserve">.”    </w:t>
      </w:r>
    </w:p>
    <w:p w14:paraId="70AAF0E2" w14:textId="1ED73D09" w:rsidR="009040B3" w:rsidRPr="009040B3" w:rsidRDefault="009040B3" w:rsidP="008C32DB">
      <w:pPr>
        <w:spacing w:after="360"/>
        <w:ind w:left="1440"/>
        <w:rPr>
          <w:rFonts w:ascii="Arial" w:hAnsi="Arial" w:cs="Arial"/>
          <w:color w:val="000000" w:themeColor="text1"/>
          <w:sz w:val="24"/>
          <w:szCs w:val="24"/>
        </w:rPr>
      </w:pPr>
      <w:r w:rsidRPr="009040B3">
        <w:rPr>
          <w:rFonts w:ascii="Arial" w:hAnsi="Arial" w:cs="Arial"/>
          <w:color w:val="000000" w:themeColor="text1"/>
          <w:sz w:val="24"/>
          <w:szCs w:val="24"/>
        </w:rPr>
        <w:t>(my emphasis)</w:t>
      </w:r>
    </w:p>
    <w:p w14:paraId="524EDD15" w14:textId="2D9294ED" w:rsidR="008C32DB" w:rsidRPr="00B204AC" w:rsidRDefault="004D3F8E" w:rsidP="004D3F8E">
      <w:pPr>
        <w:spacing w:after="360"/>
        <w:rPr>
          <w:rFonts w:ascii="Arial" w:hAnsi="Arial" w:cs="Arial"/>
          <w:color w:val="000000" w:themeColor="text1"/>
          <w:sz w:val="24"/>
          <w:szCs w:val="24"/>
        </w:rPr>
      </w:pPr>
      <w:r>
        <w:rPr>
          <w:rFonts w:ascii="Arial" w:hAnsi="Arial" w:cs="Arial"/>
          <w:color w:val="000000" w:themeColor="text1"/>
          <w:sz w:val="24"/>
          <w:szCs w:val="24"/>
        </w:rPr>
        <w:lastRenderedPageBreak/>
        <w:t>39.</w:t>
      </w:r>
      <w:r>
        <w:rPr>
          <w:rFonts w:ascii="Arial" w:hAnsi="Arial" w:cs="Arial"/>
          <w:color w:val="000000" w:themeColor="text1"/>
          <w:sz w:val="24"/>
          <w:szCs w:val="24"/>
        </w:rPr>
        <w:tab/>
      </w:r>
      <w:r w:rsidR="008C32DB" w:rsidRPr="00B204AC">
        <w:rPr>
          <w:rFonts w:ascii="Arial" w:hAnsi="Arial" w:cs="Arial"/>
          <w:color w:val="000000" w:themeColor="text1"/>
          <w:sz w:val="24"/>
          <w:szCs w:val="24"/>
        </w:rPr>
        <w:t xml:space="preserve">The argument and </w:t>
      </w:r>
      <w:proofErr w:type="spellStart"/>
      <w:r w:rsidR="008C32DB" w:rsidRPr="00B204AC">
        <w:rPr>
          <w:rFonts w:ascii="Arial" w:hAnsi="Arial" w:cs="Arial"/>
          <w:color w:val="000000" w:themeColor="text1"/>
          <w:sz w:val="24"/>
          <w:szCs w:val="24"/>
        </w:rPr>
        <w:t>defence</w:t>
      </w:r>
      <w:proofErr w:type="spellEnd"/>
      <w:r w:rsidR="008C32DB" w:rsidRPr="00B204AC">
        <w:rPr>
          <w:rFonts w:ascii="Arial" w:hAnsi="Arial" w:cs="Arial"/>
          <w:color w:val="000000" w:themeColor="text1"/>
          <w:sz w:val="24"/>
          <w:szCs w:val="24"/>
        </w:rPr>
        <w:t xml:space="preserve"> that the plaintiff has suffered no loss because she received an indemnification from GEMS in respect of her past medical and hospital expenses is simply bad in law. As is common knowledge</w:t>
      </w:r>
      <w:r w:rsidR="009040B3">
        <w:rPr>
          <w:rFonts w:ascii="Arial" w:hAnsi="Arial" w:cs="Arial"/>
          <w:color w:val="000000" w:themeColor="text1"/>
          <w:sz w:val="24"/>
          <w:szCs w:val="24"/>
        </w:rPr>
        <w:t>,</w:t>
      </w:r>
      <w:r w:rsidR="008C32DB" w:rsidRPr="00B204AC">
        <w:rPr>
          <w:rFonts w:ascii="Arial" w:hAnsi="Arial" w:cs="Arial"/>
          <w:color w:val="000000" w:themeColor="text1"/>
          <w:sz w:val="24"/>
          <w:szCs w:val="24"/>
        </w:rPr>
        <w:t xml:space="preserve"> the benefit which the plaintiff receive</w:t>
      </w:r>
      <w:r w:rsidR="008C32DB">
        <w:rPr>
          <w:rFonts w:ascii="Arial" w:hAnsi="Arial" w:cs="Arial"/>
          <w:color w:val="000000" w:themeColor="text1"/>
          <w:sz w:val="24"/>
          <w:szCs w:val="24"/>
        </w:rPr>
        <w:t>d</w:t>
      </w:r>
      <w:r w:rsidR="008C32DB" w:rsidRPr="00B204AC">
        <w:rPr>
          <w:rFonts w:ascii="Arial" w:hAnsi="Arial" w:cs="Arial"/>
          <w:color w:val="000000" w:themeColor="text1"/>
          <w:sz w:val="24"/>
          <w:szCs w:val="24"/>
        </w:rPr>
        <w:t xml:space="preserve"> from her medical aid scheme in terms of their contract</w:t>
      </w:r>
      <w:r w:rsidR="008C32DB">
        <w:rPr>
          <w:rFonts w:ascii="Arial" w:hAnsi="Arial" w:cs="Arial"/>
          <w:color w:val="000000" w:themeColor="text1"/>
          <w:sz w:val="24"/>
          <w:szCs w:val="24"/>
        </w:rPr>
        <w:t xml:space="preserve"> was </w:t>
      </w:r>
      <w:r w:rsidR="008C32DB" w:rsidRPr="00B204AC">
        <w:rPr>
          <w:rFonts w:ascii="Arial" w:hAnsi="Arial" w:cs="Arial"/>
          <w:color w:val="000000" w:themeColor="text1"/>
          <w:sz w:val="24"/>
          <w:szCs w:val="24"/>
        </w:rPr>
        <w:t xml:space="preserve">at her own expense </w:t>
      </w:r>
      <w:r w:rsidR="008C32DB">
        <w:rPr>
          <w:rFonts w:ascii="Arial" w:hAnsi="Arial" w:cs="Arial"/>
          <w:color w:val="000000" w:themeColor="text1"/>
          <w:sz w:val="24"/>
          <w:szCs w:val="24"/>
        </w:rPr>
        <w:t>in that she was required to pay premiums</w:t>
      </w:r>
      <w:r w:rsidR="008C32DB" w:rsidRPr="00B204AC">
        <w:rPr>
          <w:rFonts w:ascii="Arial" w:hAnsi="Arial" w:cs="Arial"/>
          <w:color w:val="000000" w:themeColor="text1"/>
          <w:sz w:val="24"/>
          <w:szCs w:val="24"/>
        </w:rPr>
        <w:t xml:space="preserve">. The argument that the claim is based on subrogation and that </w:t>
      </w:r>
      <w:r w:rsidR="009040B3">
        <w:rPr>
          <w:rFonts w:ascii="Arial" w:hAnsi="Arial" w:cs="Arial"/>
          <w:color w:val="000000" w:themeColor="text1"/>
          <w:sz w:val="24"/>
          <w:szCs w:val="24"/>
        </w:rPr>
        <w:t>it</w:t>
      </w:r>
      <w:r w:rsidR="008C32DB" w:rsidRPr="00B204AC">
        <w:rPr>
          <w:rFonts w:ascii="Arial" w:hAnsi="Arial" w:cs="Arial"/>
          <w:color w:val="000000" w:themeColor="text1"/>
          <w:sz w:val="24"/>
          <w:szCs w:val="24"/>
        </w:rPr>
        <w:t xml:space="preserve"> was settled, not only ignores the law </w:t>
      </w:r>
      <w:r w:rsidR="008C32DB">
        <w:rPr>
          <w:rFonts w:ascii="Arial" w:hAnsi="Arial" w:cs="Arial"/>
          <w:color w:val="000000" w:themeColor="text1"/>
          <w:sz w:val="24"/>
          <w:szCs w:val="24"/>
        </w:rPr>
        <w:t xml:space="preserve">as stated in </w:t>
      </w:r>
      <w:r w:rsidR="008C32DB" w:rsidRPr="005E534F">
        <w:rPr>
          <w:rFonts w:ascii="Arial" w:hAnsi="Arial" w:cs="Arial"/>
          <w:b/>
          <w:i/>
          <w:color w:val="000000" w:themeColor="text1"/>
          <w:sz w:val="24"/>
          <w:szCs w:val="24"/>
          <w:u w:val="single"/>
        </w:rPr>
        <w:t>Rayi</w:t>
      </w:r>
      <w:r w:rsidR="008C32DB">
        <w:rPr>
          <w:rFonts w:ascii="Arial" w:hAnsi="Arial" w:cs="Arial"/>
          <w:color w:val="000000" w:themeColor="text1"/>
          <w:sz w:val="24"/>
          <w:szCs w:val="24"/>
        </w:rPr>
        <w:t xml:space="preserve"> </w:t>
      </w:r>
      <w:r w:rsidR="008C32DB" w:rsidRPr="00B204AC">
        <w:rPr>
          <w:rFonts w:ascii="Arial" w:hAnsi="Arial" w:cs="Arial"/>
          <w:color w:val="000000" w:themeColor="text1"/>
          <w:sz w:val="24"/>
          <w:szCs w:val="24"/>
        </w:rPr>
        <w:t xml:space="preserve">but is ill-conceived and without merit. </w:t>
      </w:r>
    </w:p>
    <w:p w14:paraId="36845D99" w14:textId="6C27A2D0" w:rsidR="008C32DB" w:rsidRPr="00B204AC" w:rsidRDefault="004D3F8E" w:rsidP="004D3F8E">
      <w:pPr>
        <w:spacing w:after="360"/>
        <w:rPr>
          <w:rFonts w:ascii="Arial" w:hAnsi="Arial" w:cs="Arial"/>
          <w:color w:val="000000" w:themeColor="text1"/>
          <w:sz w:val="24"/>
          <w:szCs w:val="24"/>
        </w:rPr>
      </w:pPr>
      <w:r>
        <w:rPr>
          <w:rFonts w:ascii="Arial" w:hAnsi="Arial" w:cs="Arial"/>
          <w:color w:val="000000" w:themeColor="text1"/>
          <w:sz w:val="24"/>
          <w:szCs w:val="24"/>
        </w:rPr>
        <w:t>40.</w:t>
      </w:r>
      <w:r>
        <w:rPr>
          <w:rFonts w:ascii="Arial" w:hAnsi="Arial" w:cs="Arial"/>
          <w:color w:val="000000" w:themeColor="text1"/>
          <w:sz w:val="24"/>
          <w:szCs w:val="24"/>
        </w:rPr>
        <w:tab/>
      </w:r>
      <w:r w:rsidR="008C32DB" w:rsidRPr="00B204AC">
        <w:rPr>
          <w:rFonts w:ascii="Arial" w:hAnsi="Arial" w:cs="Arial"/>
          <w:color w:val="000000" w:themeColor="text1"/>
          <w:sz w:val="24"/>
          <w:szCs w:val="24"/>
        </w:rPr>
        <w:t xml:space="preserve">Furthermore, the defendant’s liability is neither limited nor excluded as sections 18 and </w:t>
      </w:r>
      <w:r w:rsidR="008C32DB">
        <w:rPr>
          <w:rFonts w:ascii="Arial" w:hAnsi="Arial" w:cs="Arial"/>
          <w:color w:val="000000" w:themeColor="text1"/>
          <w:sz w:val="24"/>
          <w:szCs w:val="24"/>
        </w:rPr>
        <w:t>1</w:t>
      </w:r>
      <w:r w:rsidR="008C32DB" w:rsidRPr="00B204AC">
        <w:rPr>
          <w:rFonts w:ascii="Arial" w:hAnsi="Arial" w:cs="Arial"/>
          <w:color w:val="000000" w:themeColor="text1"/>
          <w:sz w:val="24"/>
          <w:szCs w:val="24"/>
        </w:rPr>
        <w:t xml:space="preserve">9 </w:t>
      </w:r>
      <w:r w:rsidR="009040B3">
        <w:rPr>
          <w:rFonts w:ascii="Arial" w:hAnsi="Arial" w:cs="Arial"/>
          <w:color w:val="000000" w:themeColor="text1"/>
          <w:sz w:val="24"/>
          <w:szCs w:val="24"/>
        </w:rPr>
        <w:t xml:space="preserve">of the RAF Act </w:t>
      </w:r>
      <w:r w:rsidR="008C32DB" w:rsidRPr="00B204AC">
        <w:rPr>
          <w:rFonts w:ascii="Arial" w:hAnsi="Arial" w:cs="Arial"/>
          <w:color w:val="000000" w:themeColor="text1"/>
          <w:sz w:val="24"/>
          <w:szCs w:val="24"/>
        </w:rPr>
        <w:t>do not apply in the</w:t>
      </w:r>
      <w:r w:rsidR="008C32DB">
        <w:rPr>
          <w:rFonts w:ascii="Arial" w:hAnsi="Arial" w:cs="Arial"/>
          <w:color w:val="000000" w:themeColor="text1"/>
          <w:sz w:val="24"/>
          <w:szCs w:val="24"/>
        </w:rPr>
        <w:t>se</w:t>
      </w:r>
      <w:r w:rsidR="008C32DB" w:rsidRPr="00B204AC">
        <w:rPr>
          <w:rFonts w:ascii="Arial" w:hAnsi="Arial" w:cs="Arial"/>
          <w:color w:val="000000" w:themeColor="text1"/>
          <w:sz w:val="24"/>
          <w:szCs w:val="24"/>
        </w:rPr>
        <w:t xml:space="preserve"> circum</w:t>
      </w:r>
      <w:r w:rsidR="008C32DB">
        <w:rPr>
          <w:rFonts w:ascii="Arial" w:hAnsi="Arial" w:cs="Arial"/>
          <w:color w:val="000000" w:themeColor="text1"/>
          <w:sz w:val="24"/>
          <w:szCs w:val="24"/>
        </w:rPr>
        <w:t>s</w:t>
      </w:r>
      <w:r w:rsidR="008C32DB" w:rsidRPr="00B204AC">
        <w:rPr>
          <w:rFonts w:ascii="Arial" w:hAnsi="Arial" w:cs="Arial"/>
          <w:color w:val="000000" w:themeColor="text1"/>
          <w:sz w:val="24"/>
          <w:szCs w:val="24"/>
        </w:rPr>
        <w:t xml:space="preserve">tances. Lastly, the reference to section 29(1)(o) and (p) of the Medical Schemes Act is simply </w:t>
      </w:r>
      <w:r w:rsidR="009040B3">
        <w:rPr>
          <w:rFonts w:ascii="Arial" w:hAnsi="Arial" w:cs="Arial"/>
          <w:color w:val="000000" w:themeColor="text1"/>
          <w:sz w:val="24"/>
          <w:szCs w:val="24"/>
        </w:rPr>
        <w:t xml:space="preserve">vague </w:t>
      </w:r>
      <w:r w:rsidR="008C32DB" w:rsidRPr="00B204AC">
        <w:rPr>
          <w:rFonts w:ascii="Arial" w:hAnsi="Arial" w:cs="Arial"/>
          <w:color w:val="000000" w:themeColor="text1"/>
          <w:sz w:val="24"/>
          <w:szCs w:val="24"/>
        </w:rPr>
        <w:t xml:space="preserve">as the section provides for </w:t>
      </w:r>
      <w:r w:rsidR="008C32DB">
        <w:rPr>
          <w:rFonts w:ascii="Arial" w:hAnsi="Arial" w:cs="Arial"/>
          <w:color w:val="000000" w:themeColor="text1"/>
          <w:sz w:val="24"/>
          <w:szCs w:val="24"/>
        </w:rPr>
        <w:t xml:space="preserve">or refers to </w:t>
      </w:r>
      <w:r w:rsidR="008C32DB" w:rsidRPr="00B204AC">
        <w:rPr>
          <w:rFonts w:ascii="Arial" w:hAnsi="Arial" w:cs="Arial"/>
          <w:color w:val="000000" w:themeColor="text1"/>
          <w:sz w:val="24"/>
          <w:szCs w:val="24"/>
        </w:rPr>
        <w:t>the matters for which the rules of the medical aid scheme shall apply</w:t>
      </w:r>
      <w:r w:rsidR="008C32DB">
        <w:rPr>
          <w:rFonts w:ascii="Arial" w:hAnsi="Arial" w:cs="Arial"/>
          <w:color w:val="000000" w:themeColor="text1"/>
          <w:sz w:val="24"/>
          <w:szCs w:val="24"/>
        </w:rPr>
        <w:t xml:space="preserve">, and the relevance of the section to the apparent </w:t>
      </w:r>
      <w:proofErr w:type="spellStart"/>
      <w:r w:rsidR="008C32DB">
        <w:rPr>
          <w:rFonts w:ascii="Arial" w:hAnsi="Arial" w:cs="Arial"/>
          <w:color w:val="000000" w:themeColor="text1"/>
          <w:sz w:val="24"/>
          <w:szCs w:val="24"/>
        </w:rPr>
        <w:t>defences</w:t>
      </w:r>
      <w:proofErr w:type="spellEnd"/>
      <w:r w:rsidR="008C32DB">
        <w:rPr>
          <w:rFonts w:ascii="Arial" w:hAnsi="Arial" w:cs="Arial"/>
          <w:color w:val="000000" w:themeColor="text1"/>
          <w:sz w:val="24"/>
          <w:szCs w:val="24"/>
        </w:rPr>
        <w:t xml:space="preserve"> raised, remains unclear</w:t>
      </w:r>
      <w:r w:rsidR="008C32DB" w:rsidRPr="00B204AC">
        <w:rPr>
          <w:rFonts w:ascii="Arial" w:hAnsi="Arial" w:cs="Arial"/>
          <w:color w:val="000000" w:themeColor="text1"/>
          <w:sz w:val="24"/>
          <w:szCs w:val="24"/>
        </w:rPr>
        <w:t xml:space="preserve">. </w:t>
      </w:r>
    </w:p>
    <w:p w14:paraId="0F0790CD" w14:textId="4E6A4E2D" w:rsidR="008C32DB" w:rsidRPr="00B204AC" w:rsidRDefault="004D3F8E" w:rsidP="004D3F8E">
      <w:pPr>
        <w:spacing w:after="360"/>
        <w:rPr>
          <w:rFonts w:ascii="Arial" w:hAnsi="Arial" w:cs="Arial"/>
          <w:color w:val="000000" w:themeColor="text1"/>
          <w:sz w:val="24"/>
          <w:szCs w:val="24"/>
        </w:rPr>
      </w:pPr>
      <w:r>
        <w:rPr>
          <w:rFonts w:ascii="Arial" w:hAnsi="Arial" w:cs="Arial"/>
          <w:color w:val="000000" w:themeColor="text1"/>
          <w:sz w:val="24"/>
          <w:szCs w:val="24"/>
        </w:rPr>
        <w:t>41.</w:t>
      </w:r>
      <w:r>
        <w:rPr>
          <w:rFonts w:ascii="Arial" w:hAnsi="Arial" w:cs="Arial"/>
          <w:color w:val="000000" w:themeColor="text1"/>
          <w:sz w:val="24"/>
          <w:szCs w:val="24"/>
        </w:rPr>
        <w:tab/>
      </w:r>
      <w:r w:rsidR="008C32DB" w:rsidRPr="00B204AC">
        <w:rPr>
          <w:rFonts w:ascii="Arial" w:hAnsi="Arial" w:cs="Arial"/>
          <w:color w:val="000000" w:themeColor="text1"/>
          <w:sz w:val="24"/>
          <w:szCs w:val="24"/>
        </w:rPr>
        <w:t xml:space="preserve">In conclusion, the eleventh hour </w:t>
      </w:r>
      <w:proofErr w:type="spellStart"/>
      <w:r w:rsidR="008C32DB" w:rsidRPr="00B204AC">
        <w:rPr>
          <w:rFonts w:ascii="Arial" w:hAnsi="Arial" w:cs="Arial"/>
          <w:color w:val="000000" w:themeColor="text1"/>
          <w:sz w:val="24"/>
          <w:szCs w:val="24"/>
        </w:rPr>
        <w:t>defences</w:t>
      </w:r>
      <w:proofErr w:type="spellEnd"/>
      <w:r w:rsidR="008C32DB" w:rsidRPr="00B204AC">
        <w:rPr>
          <w:rFonts w:ascii="Arial" w:hAnsi="Arial" w:cs="Arial"/>
          <w:color w:val="000000" w:themeColor="text1"/>
          <w:sz w:val="24"/>
          <w:szCs w:val="24"/>
        </w:rPr>
        <w:t xml:space="preserve">, which were not pleaded, are </w:t>
      </w:r>
      <w:r w:rsidR="008C32DB">
        <w:rPr>
          <w:rFonts w:ascii="Arial" w:hAnsi="Arial" w:cs="Arial"/>
          <w:color w:val="000000" w:themeColor="text1"/>
          <w:sz w:val="24"/>
          <w:szCs w:val="24"/>
        </w:rPr>
        <w:t xml:space="preserve">without merit and </w:t>
      </w:r>
      <w:r w:rsidR="008C32DB" w:rsidRPr="00B204AC">
        <w:rPr>
          <w:rFonts w:ascii="Arial" w:hAnsi="Arial" w:cs="Arial"/>
          <w:color w:val="000000" w:themeColor="text1"/>
          <w:sz w:val="24"/>
          <w:szCs w:val="24"/>
        </w:rPr>
        <w:t>dismissed</w:t>
      </w:r>
      <w:r w:rsidR="008C32DB">
        <w:rPr>
          <w:rFonts w:ascii="Arial" w:hAnsi="Arial" w:cs="Arial"/>
          <w:color w:val="000000" w:themeColor="text1"/>
          <w:sz w:val="24"/>
          <w:szCs w:val="24"/>
        </w:rPr>
        <w:t xml:space="preserve">. </w:t>
      </w:r>
      <w:r w:rsidR="008C32DB" w:rsidRPr="00B204AC">
        <w:rPr>
          <w:rFonts w:ascii="Arial" w:hAnsi="Arial" w:cs="Arial"/>
          <w:color w:val="000000" w:themeColor="text1"/>
          <w:sz w:val="24"/>
          <w:szCs w:val="24"/>
        </w:rPr>
        <w:t xml:space="preserve">I fully agree with the findings in the </w:t>
      </w:r>
      <w:r w:rsidR="008C32DB" w:rsidRPr="009040B3">
        <w:rPr>
          <w:rFonts w:ascii="Arial" w:hAnsi="Arial" w:cs="Arial"/>
          <w:b/>
          <w:i/>
          <w:color w:val="000000" w:themeColor="text1"/>
          <w:sz w:val="24"/>
          <w:szCs w:val="24"/>
        </w:rPr>
        <w:t>Discovery Health</w:t>
      </w:r>
      <w:r w:rsidR="008C32DB" w:rsidRPr="00B204AC">
        <w:rPr>
          <w:rFonts w:ascii="Arial" w:hAnsi="Arial" w:cs="Arial"/>
          <w:color w:val="000000" w:themeColor="text1"/>
          <w:sz w:val="24"/>
          <w:szCs w:val="24"/>
        </w:rPr>
        <w:t xml:space="preserve"> matter, which the defendant has seen fit to </w:t>
      </w:r>
      <w:r w:rsidR="009040B3">
        <w:rPr>
          <w:rFonts w:ascii="Arial" w:hAnsi="Arial" w:cs="Arial"/>
          <w:color w:val="000000" w:themeColor="text1"/>
          <w:sz w:val="24"/>
          <w:szCs w:val="24"/>
        </w:rPr>
        <w:t xml:space="preserve">ignore even though </w:t>
      </w:r>
      <w:r w:rsidR="008C32DB">
        <w:rPr>
          <w:rFonts w:ascii="Arial" w:hAnsi="Arial" w:cs="Arial"/>
          <w:color w:val="000000" w:themeColor="text1"/>
          <w:sz w:val="24"/>
          <w:szCs w:val="24"/>
        </w:rPr>
        <w:t xml:space="preserve">in </w:t>
      </w:r>
      <w:r w:rsidR="008C32DB" w:rsidRPr="00B204AC">
        <w:rPr>
          <w:rFonts w:ascii="Arial" w:hAnsi="Arial" w:cs="Arial"/>
          <w:color w:val="000000" w:themeColor="text1"/>
          <w:sz w:val="24"/>
          <w:szCs w:val="24"/>
        </w:rPr>
        <w:t xml:space="preserve">paragraphs 25 to 27 of </w:t>
      </w:r>
      <w:r w:rsidR="008C32DB">
        <w:rPr>
          <w:rFonts w:ascii="Arial" w:hAnsi="Arial" w:cs="Arial"/>
          <w:color w:val="000000" w:themeColor="text1"/>
          <w:sz w:val="24"/>
          <w:szCs w:val="24"/>
        </w:rPr>
        <w:t>its</w:t>
      </w:r>
      <w:r w:rsidR="008C32DB" w:rsidRPr="00B204AC">
        <w:rPr>
          <w:rFonts w:ascii="Arial" w:hAnsi="Arial" w:cs="Arial"/>
          <w:color w:val="000000" w:themeColor="text1"/>
          <w:sz w:val="24"/>
          <w:szCs w:val="24"/>
        </w:rPr>
        <w:t xml:space="preserve"> written submissions</w:t>
      </w:r>
      <w:r w:rsidR="008C32DB">
        <w:rPr>
          <w:rFonts w:ascii="Arial" w:hAnsi="Arial" w:cs="Arial"/>
          <w:color w:val="000000" w:themeColor="text1"/>
          <w:sz w:val="24"/>
          <w:szCs w:val="24"/>
        </w:rPr>
        <w:t>,</w:t>
      </w:r>
      <w:r w:rsidR="008C32DB" w:rsidRPr="00B204AC">
        <w:rPr>
          <w:rFonts w:ascii="Arial" w:hAnsi="Arial" w:cs="Arial"/>
          <w:color w:val="000000" w:themeColor="text1"/>
          <w:sz w:val="24"/>
          <w:szCs w:val="24"/>
        </w:rPr>
        <w:t xml:space="preserve"> it acknowledges that there are no judgments in its favour indicating that payment by it of a plaintiff’s past medical expenses </w:t>
      </w:r>
      <w:r w:rsidR="008C32DB" w:rsidRPr="005E534F">
        <w:rPr>
          <w:rFonts w:ascii="Arial" w:hAnsi="Arial" w:cs="Arial"/>
          <w:i/>
          <w:color w:val="000000" w:themeColor="text1"/>
          <w:sz w:val="24"/>
          <w:szCs w:val="24"/>
        </w:rPr>
        <w:t>“should not take place”</w:t>
      </w:r>
      <w:r w:rsidR="008C32DB" w:rsidRPr="00B204AC">
        <w:rPr>
          <w:rStyle w:val="FootnoteReference"/>
          <w:rFonts w:ascii="Arial" w:hAnsi="Arial" w:cs="Arial"/>
          <w:color w:val="000000" w:themeColor="text1"/>
          <w:sz w:val="24"/>
          <w:szCs w:val="24"/>
        </w:rPr>
        <w:footnoteReference w:id="32"/>
      </w:r>
      <w:r w:rsidR="009040B3">
        <w:rPr>
          <w:rFonts w:ascii="Arial" w:hAnsi="Arial" w:cs="Arial"/>
          <w:i/>
          <w:color w:val="000000" w:themeColor="text1"/>
          <w:sz w:val="24"/>
          <w:szCs w:val="24"/>
        </w:rPr>
        <w:t xml:space="preserve">. </w:t>
      </w:r>
      <w:r w:rsidR="009040B3">
        <w:rPr>
          <w:rFonts w:ascii="Arial" w:hAnsi="Arial" w:cs="Arial"/>
          <w:color w:val="000000" w:themeColor="text1"/>
          <w:sz w:val="24"/>
          <w:szCs w:val="24"/>
        </w:rPr>
        <w:t xml:space="preserve">In </w:t>
      </w:r>
      <w:r w:rsidR="008C32DB" w:rsidRPr="00B204AC">
        <w:rPr>
          <w:rFonts w:ascii="Arial" w:hAnsi="Arial" w:cs="Arial"/>
          <w:color w:val="000000" w:themeColor="text1"/>
          <w:sz w:val="24"/>
          <w:szCs w:val="24"/>
        </w:rPr>
        <w:t>the same breath</w:t>
      </w:r>
      <w:r w:rsidR="009040B3">
        <w:rPr>
          <w:rFonts w:ascii="Arial" w:hAnsi="Arial" w:cs="Arial"/>
          <w:color w:val="000000" w:themeColor="text1"/>
          <w:sz w:val="24"/>
          <w:szCs w:val="24"/>
        </w:rPr>
        <w:t xml:space="preserve">, the defendant </w:t>
      </w:r>
      <w:r w:rsidR="008C32DB" w:rsidRPr="00B204AC">
        <w:rPr>
          <w:rFonts w:ascii="Arial" w:hAnsi="Arial" w:cs="Arial"/>
          <w:color w:val="000000" w:themeColor="text1"/>
          <w:sz w:val="24"/>
          <w:szCs w:val="24"/>
        </w:rPr>
        <w:t xml:space="preserve">requests that I take cognizance of its arguments which were advanced in this matter, and which were much the same in the </w:t>
      </w:r>
      <w:r w:rsidR="008C32DB" w:rsidRPr="005E534F">
        <w:rPr>
          <w:rFonts w:ascii="Arial" w:hAnsi="Arial" w:cs="Arial"/>
          <w:b/>
          <w:i/>
          <w:color w:val="000000" w:themeColor="text1"/>
          <w:sz w:val="24"/>
          <w:szCs w:val="24"/>
        </w:rPr>
        <w:t>Discovery Health</w:t>
      </w:r>
      <w:r w:rsidR="008C32DB" w:rsidRPr="00B204AC">
        <w:rPr>
          <w:rFonts w:ascii="Arial" w:hAnsi="Arial" w:cs="Arial"/>
          <w:color w:val="000000" w:themeColor="text1"/>
          <w:sz w:val="24"/>
          <w:szCs w:val="24"/>
        </w:rPr>
        <w:t xml:space="preserve"> and </w:t>
      </w:r>
      <w:r w:rsidR="008C32DB" w:rsidRPr="005E534F">
        <w:rPr>
          <w:rFonts w:ascii="Arial" w:hAnsi="Arial" w:cs="Arial"/>
          <w:b/>
          <w:i/>
          <w:color w:val="000000" w:themeColor="text1"/>
          <w:sz w:val="24"/>
          <w:szCs w:val="24"/>
        </w:rPr>
        <w:t>Van Tonder</w:t>
      </w:r>
      <w:r w:rsidR="008C32DB" w:rsidRPr="00B204AC">
        <w:rPr>
          <w:rFonts w:ascii="Arial" w:hAnsi="Arial" w:cs="Arial"/>
          <w:color w:val="000000" w:themeColor="text1"/>
          <w:sz w:val="24"/>
          <w:szCs w:val="24"/>
        </w:rPr>
        <w:t xml:space="preserve"> matters. I might add that similar arguments were raised in the unreported </w:t>
      </w:r>
      <w:r w:rsidR="008C32DB" w:rsidRPr="00B204AC">
        <w:rPr>
          <w:rFonts w:ascii="Arial" w:hAnsi="Arial" w:cs="Arial"/>
          <w:b/>
          <w:i/>
          <w:color w:val="000000" w:themeColor="text1"/>
          <w:sz w:val="24"/>
          <w:szCs w:val="24"/>
        </w:rPr>
        <w:t>Malgas v Road Accident Fund</w:t>
      </w:r>
      <w:r w:rsidR="008C32DB" w:rsidRPr="00B204AC">
        <w:rPr>
          <w:rStyle w:val="FootnoteReference"/>
          <w:rFonts w:ascii="Arial" w:hAnsi="Arial" w:cs="Arial"/>
          <w:color w:val="000000" w:themeColor="text1"/>
          <w:sz w:val="24"/>
          <w:szCs w:val="24"/>
        </w:rPr>
        <w:footnoteReference w:id="33"/>
      </w:r>
      <w:r w:rsidR="008C32DB">
        <w:rPr>
          <w:rFonts w:ascii="Arial" w:hAnsi="Arial" w:cs="Arial"/>
          <w:b/>
          <w:i/>
          <w:color w:val="000000" w:themeColor="text1"/>
          <w:sz w:val="24"/>
          <w:szCs w:val="24"/>
        </w:rPr>
        <w:t xml:space="preserve">, </w:t>
      </w:r>
      <w:r w:rsidR="008C32DB" w:rsidRPr="00B204AC">
        <w:rPr>
          <w:rFonts w:ascii="Arial" w:hAnsi="Arial" w:cs="Arial"/>
          <w:color w:val="000000" w:themeColor="text1"/>
          <w:sz w:val="24"/>
          <w:szCs w:val="24"/>
        </w:rPr>
        <w:t xml:space="preserve">which were also dismissed. </w:t>
      </w:r>
    </w:p>
    <w:p w14:paraId="304AB043" w14:textId="42C5DB6F" w:rsidR="008C32DB" w:rsidRPr="009F4303" w:rsidRDefault="004D3F8E" w:rsidP="004D3F8E">
      <w:pPr>
        <w:spacing w:after="360"/>
        <w:rPr>
          <w:rFonts w:ascii="Arial" w:hAnsi="Arial" w:cs="Arial"/>
          <w:color w:val="000000" w:themeColor="text1"/>
          <w:sz w:val="24"/>
          <w:szCs w:val="24"/>
        </w:rPr>
      </w:pPr>
      <w:r>
        <w:rPr>
          <w:rFonts w:ascii="Arial" w:hAnsi="Arial" w:cs="Arial"/>
          <w:color w:val="000000" w:themeColor="text1"/>
          <w:sz w:val="24"/>
          <w:szCs w:val="24"/>
        </w:rPr>
        <w:t>42.</w:t>
      </w:r>
      <w:r>
        <w:rPr>
          <w:rFonts w:ascii="Arial" w:hAnsi="Arial" w:cs="Arial"/>
          <w:color w:val="000000" w:themeColor="text1"/>
          <w:sz w:val="24"/>
          <w:szCs w:val="24"/>
        </w:rPr>
        <w:tab/>
      </w:r>
      <w:r w:rsidR="008C32DB">
        <w:rPr>
          <w:rFonts w:ascii="Arial" w:hAnsi="Arial" w:cs="Arial"/>
          <w:color w:val="000000" w:themeColor="text1"/>
          <w:sz w:val="24"/>
          <w:szCs w:val="24"/>
        </w:rPr>
        <w:t>Having regard to the above, I am satisfied that the plaintiff has neither unduly benefitted from receipt of the benefit from GEMS in respect of past medical expenses incurred as a result of being injured in the collision, nor</w:t>
      </w:r>
      <w:r w:rsidR="009040B3">
        <w:rPr>
          <w:rFonts w:ascii="Arial" w:hAnsi="Arial" w:cs="Arial"/>
          <w:color w:val="000000" w:themeColor="text1"/>
          <w:sz w:val="24"/>
          <w:szCs w:val="24"/>
        </w:rPr>
        <w:t xml:space="preserve"> will she </w:t>
      </w:r>
      <w:r w:rsidR="008C32DB">
        <w:rPr>
          <w:rFonts w:ascii="Arial" w:hAnsi="Arial" w:cs="Arial"/>
          <w:color w:val="000000" w:themeColor="text1"/>
          <w:sz w:val="24"/>
          <w:szCs w:val="24"/>
        </w:rPr>
        <w:t xml:space="preserve">receive double compensation. Secondly, the benefit she received from her medical aid as described above is excluded from the reckoning of the calculation of the amount of compensation </w:t>
      </w:r>
      <w:r w:rsidR="008C32DB">
        <w:rPr>
          <w:rFonts w:ascii="Arial" w:hAnsi="Arial" w:cs="Arial"/>
          <w:color w:val="000000" w:themeColor="text1"/>
          <w:sz w:val="24"/>
          <w:szCs w:val="24"/>
        </w:rPr>
        <w:lastRenderedPageBreak/>
        <w:t xml:space="preserve">due by the defendant to her in terms of the RAF Act. I say this because as indicated in </w:t>
      </w:r>
      <w:r w:rsidR="008C32DB" w:rsidRPr="00DF4F07">
        <w:rPr>
          <w:rFonts w:ascii="Arial" w:hAnsi="Arial" w:cs="Arial"/>
          <w:b/>
          <w:i/>
          <w:color w:val="000000" w:themeColor="text1"/>
          <w:sz w:val="24"/>
          <w:szCs w:val="24"/>
        </w:rPr>
        <w:t>Rayi</w:t>
      </w:r>
      <w:r w:rsidR="008C32DB">
        <w:rPr>
          <w:rFonts w:ascii="Arial" w:hAnsi="Arial" w:cs="Arial"/>
          <w:b/>
          <w:i/>
          <w:color w:val="000000" w:themeColor="text1"/>
          <w:sz w:val="24"/>
          <w:szCs w:val="24"/>
        </w:rPr>
        <w:t xml:space="preserve">, </w:t>
      </w:r>
      <w:r w:rsidR="008C32DB" w:rsidRPr="009F4303">
        <w:rPr>
          <w:rFonts w:ascii="Arial" w:hAnsi="Arial" w:cs="Arial"/>
          <w:color w:val="000000" w:themeColor="text1"/>
          <w:sz w:val="24"/>
          <w:szCs w:val="24"/>
        </w:rPr>
        <w:t>the plaintiff’s obligation to her medical aid only arises once there is a successful recovery of her past medical expenses from the defendant.</w:t>
      </w:r>
    </w:p>
    <w:p w14:paraId="3C58BF20" w14:textId="474AADF0" w:rsidR="008C32DB" w:rsidRDefault="004D3F8E" w:rsidP="004D3F8E">
      <w:pPr>
        <w:spacing w:after="360"/>
        <w:rPr>
          <w:rFonts w:ascii="Arial" w:hAnsi="Arial" w:cs="Arial"/>
          <w:color w:val="000000" w:themeColor="text1"/>
          <w:sz w:val="24"/>
          <w:szCs w:val="24"/>
        </w:rPr>
      </w:pPr>
      <w:r>
        <w:rPr>
          <w:rFonts w:ascii="Arial" w:hAnsi="Arial" w:cs="Arial"/>
          <w:color w:val="000000" w:themeColor="text1"/>
          <w:sz w:val="24"/>
          <w:szCs w:val="24"/>
        </w:rPr>
        <w:t>43.</w:t>
      </w:r>
      <w:r>
        <w:rPr>
          <w:rFonts w:ascii="Arial" w:hAnsi="Arial" w:cs="Arial"/>
          <w:color w:val="000000" w:themeColor="text1"/>
          <w:sz w:val="24"/>
          <w:szCs w:val="24"/>
        </w:rPr>
        <w:tab/>
      </w:r>
      <w:r w:rsidR="008C32DB" w:rsidRPr="009F4303">
        <w:rPr>
          <w:rFonts w:ascii="Arial" w:hAnsi="Arial" w:cs="Arial"/>
          <w:color w:val="000000" w:themeColor="text1"/>
          <w:sz w:val="24"/>
          <w:szCs w:val="24"/>
        </w:rPr>
        <w:t xml:space="preserve">In conclusion, I </w:t>
      </w:r>
      <w:r w:rsidR="008C32DB">
        <w:rPr>
          <w:rFonts w:ascii="Arial" w:hAnsi="Arial" w:cs="Arial"/>
          <w:color w:val="000000" w:themeColor="text1"/>
          <w:sz w:val="24"/>
          <w:szCs w:val="24"/>
        </w:rPr>
        <w:t xml:space="preserve">find </w:t>
      </w:r>
      <w:r w:rsidR="008C32DB" w:rsidRPr="009F4303">
        <w:rPr>
          <w:rFonts w:ascii="Arial" w:hAnsi="Arial" w:cs="Arial"/>
          <w:color w:val="000000" w:themeColor="text1"/>
          <w:sz w:val="24"/>
          <w:szCs w:val="24"/>
        </w:rPr>
        <w:t xml:space="preserve">that the plaintiff has proved that she is entitled to be compensated for the past medical expenses incurred and related </w:t>
      </w:r>
      <w:r w:rsidR="008C32DB">
        <w:rPr>
          <w:rFonts w:ascii="Arial" w:hAnsi="Arial" w:cs="Arial"/>
          <w:color w:val="000000" w:themeColor="text1"/>
          <w:sz w:val="24"/>
          <w:szCs w:val="24"/>
        </w:rPr>
        <w:t xml:space="preserve">medical </w:t>
      </w:r>
      <w:r w:rsidR="008C32DB" w:rsidRPr="009F4303">
        <w:rPr>
          <w:rFonts w:ascii="Arial" w:hAnsi="Arial" w:cs="Arial"/>
          <w:color w:val="000000" w:themeColor="text1"/>
          <w:sz w:val="24"/>
          <w:szCs w:val="24"/>
        </w:rPr>
        <w:t xml:space="preserve">services employed as a result of </w:t>
      </w:r>
      <w:r w:rsidR="009040B3">
        <w:rPr>
          <w:rFonts w:ascii="Arial" w:hAnsi="Arial" w:cs="Arial"/>
          <w:color w:val="000000" w:themeColor="text1"/>
          <w:sz w:val="24"/>
          <w:szCs w:val="24"/>
        </w:rPr>
        <w:t>her</w:t>
      </w:r>
      <w:r w:rsidR="008C32DB" w:rsidRPr="009F4303">
        <w:rPr>
          <w:rFonts w:ascii="Arial" w:hAnsi="Arial" w:cs="Arial"/>
          <w:color w:val="000000" w:themeColor="text1"/>
          <w:sz w:val="24"/>
          <w:szCs w:val="24"/>
        </w:rPr>
        <w:t xml:space="preserve"> injuries sustained in the collision. As to costs,</w:t>
      </w:r>
      <w:r w:rsidR="008C32DB">
        <w:rPr>
          <w:rFonts w:ascii="Arial" w:hAnsi="Arial" w:cs="Arial"/>
          <w:color w:val="000000" w:themeColor="text1"/>
          <w:sz w:val="24"/>
          <w:szCs w:val="24"/>
        </w:rPr>
        <w:t xml:space="preserve"> the only issue related to the suggested order of costs in the cause as indicated by the defendant in its Draft Order B. I raised concerns with the State Attorney on this issue in view of the fact that a new trial date was obtained and only a day before the trial date, the </w:t>
      </w:r>
      <w:proofErr w:type="gramStart"/>
      <w:r w:rsidR="008C32DB">
        <w:rPr>
          <w:rFonts w:ascii="Arial" w:hAnsi="Arial" w:cs="Arial"/>
          <w:color w:val="000000" w:themeColor="text1"/>
          <w:sz w:val="24"/>
          <w:szCs w:val="24"/>
        </w:rPr>
        <w:t>defendant  made</w:t>
      </w:r>
      <w:proofErr w:type="gramEnd"/>
      <w:r w:rsidR="008C32DB">
        <w:rPr>
          <w:rFonts w:ascii="Arial" w:hAnsi="Arial" w:cs="Arial"/>
          <w:color w:val="000000" w:themeColor="text1"/>
          <w:sz w:val="24"/>
          <w:szCs w:val="24"/>
        </w:rPr>
        <w:t xml:space="preserve"> an offer in respect of loss of income and the other heads of damage (except for the disputed past medical expenses). </w:t>
      </w:r>
    </w:p>
    <w:p w14:paraId="7540DFB6" w14:textId="312A88FD" w:rsidR="008C32DB" w:rsidRDefault="004D3F8E" w:rsidP="004D3F8E">
      <w:pPr>
        <w:spacing w:after="360"/>
        <w:rPr>
          <w:rFonts w:ascii="Arial" w:hAnsi="Arial" w:cs="Arial"/>
          <w:color w:val="000000" w:themeColor="text1"/>
          <w:sz w:val="24"/>
          <w:szCs w:val="24"/>
        </w:rPr>
      </w:pPr>
      <w:r>
        <w:rPr>
          <w:rFonts w:ascii="Arial" w:hAnsi="Arial" w:cs="Arial"/>
          <w:color w:val="000000" w:themeColor="text1"/>
          <w:sz w:val="24"/>
          <w:szCs w:val="24"/>
        </w:rPr>
        <w:t>44.</w:t>
      </w:r>
      <w:r>
        <w:rPr>
          <w:rFonts w:ascii="Arial" w:hAnsi="Arial" w:cs="Arial"/>
          <w:color w:val="000000" w:themeColor="text1"/>
          <w:sz w:val="24"/>
          <w:szCs w:val="24"/>
        </w:rPr>
        <w:tab/>
      </w:r>
      <w:r w:rsidR="008C32DB">
        <w:rPr>
          <w:rFonts w:ascii="Arial" w:hAnsi="Arial" w:cs="Arial"/>
          <w:color w:val="000000" w:themeColor="text1"/>
          <w:sz w:val="24"/>
          <w:szCs w:val="24"/>
        </w:rPr>
        <w:t xml:space="preserve">There really is no motivation </w:t>
      </w:r>
      <w:r w:rsidR="00E910F0">
        <w:rPr>
          <w:rFonts w:ascii="Arial" w:hAnsi="Arial" w:cs="Arial"/>
          <w:color w:val="000000" w:themeColor="text1"/>
          <w:sz w:val="24"/>
          <w:szCs w:val="24"/>
        </w:rPr>
        <w:t>n</w:t>
      </w:r>
      <w:r w:rsidR="008C32DB">
        <w:rPr>
          <w:rFonts w:ascii="Arial" w:hAnsi="Arial" w:cs="Arial"/>
          <w:color w:val="000000" w:themeColor="text1"/>
          <w:sz w:val="24"/>
          <w:szCs w:val="24"/>
        </w:rPr>
        <w:t xml:space="preserve">or basis for a costs in the cause order. The plaintiff was prepared for trial on both days and the submission that the defendant waited until the last minute to settle is not without merit.  The email correspondence filed of record indicate that attempts were made to get hold of the State Attorney to confirm the new trial date of 27 March 2024, all to no avail. </w:t>
      </w:r>
    </w:p>
    <w:p w14:paraId="54D34785" w14:textId="27F3391F" w:rsidR="008C32DB" w:rsidRDefault="004D3F8E" w:rsidP="004D3F8E">
      <w:pPr>
        <w:spacing w:after="360"/>
        <w:rPr>
          <w:rFonts w:ascii="Arial" w:hAnsi="Arial" w:cs="Arial"/>
          <w:color w:val="000000" w:themeColor="text1"/>
          <w:sz w:val="24"/>
          <w:szCs w:val="24"/>
        </w:rPr>
      </w:pPr>
      <w:r>
        <w:rPr>
          <w:rFonts w:ascii="Arial" w:hAnsi="Arial" w:cs="Arial"/>
          <w:color w:val="000000" w:themeColor="text1"/>
          <w:sz w:val="24"/>
          <w:szCs w:val="24"/>
        </w:rPr>
        <w:t xml:space="preserve">45. </w:t>
      </w:r>
      <w:r>
        <w:rPr>
          <w:rFonts w:ascii="Arial" w:hAnsi="Arial" w:cs="Arial"/>
          <w:color w:val="000000" w:themeColor="text1"/>
          <w:sz w:val="24"/>
          <w:szCs w:val="24"/>
        </w:rPr>
        <w:tab/>
      </w:r>
      <w:r w:rsidR="008C32DB">
        <w:rPr>
          <w:rFonts w:ascii="Arial" w:hAnsi="Arial" w:cs="Arial"/>
          <w:color w:val="000000" w:themeColor="text1"/>
          <w:sz w:val="24"/>
          <w:szCs w:val="24"/>
        </w:rPr>
        <w:t xml:space="preserve">Ultimately, the past hospital, medical and related expenses should also have settled but the defendant persisted with an ill-conceived reliance on the doctrine of subrogation and the exclusion of the defendant’s liability, in the face of very clear authority which not only indicates that the doctrine is not a </w:t>
      </w:r>
      <w:proofErr w:type="spellStart"/>
      <w:r w:rsidR="008C32DB">
        <w:rPr>
          <w:rFonts w:ascii="Arial" w:hAnsi="Arial" w:cs="Arial"/>
          <w:color w:val="000000" w:themeColor="text1"/>
          <w:sz w:val="24"/>
          <w:szCs w:val="24"/>
        </w:rPr>
        <w:t>defence</w:t>
      </w:r>
      <w:proofErr w:type="spellEnd"/>
      <w:r w:rsidR="00E910F0">
        <w:rPr>
          <w:rFonts w:ascii="Arial" w:hAnsi="Arial" w:cs="Arial"/>
          <w:color w:val="000000" w:themeColor="text1"/>
          <w:sz w:val="24"/>
          <w:szCs w:val="24"/>
        </w:rPr>
        <w:t xml:space="preserve"> to such claim </w:t>
      </w:r>
      <w:r w:rsidR="008C32DB">
        <w:rPr>
          <w:rFonts w:ascii="Arial" w:hAnsi="Arial" w:cs="Arial"/>
          <w:color w:val="000000" w:themeColor="text1"/>
          <w:sz w:val="24"/>
          <w:szCs w:val="24"/>
        </w:rPr>
        <w:t xml:space="preserve">but also that these very </w:t>
      </w:r>
      <w:proofErr w:type="spellStart"/>
      <w:r w:rsidR="008C32DB">
        <w:rPr>
          <w:rFonts w:ascii="Arial" w:hAnsi="Arial" w:cs="Arial"/>
          <w:color w:val="000000" w:themeColor="text1"/>
          <w:sz w:val="24"/>
          <w:szCs w:val="24"/>
        </w:rPr>
        <w:t>defences</w:t>
      </w:r>
      <w:proofErr w:type="spellEnd"/>
      <w:r w:rsidR="008C32DB">
        <w:rPr>
          <w:rFonts w:ascii="Arial" w:hAnsi="Arial" w:cs="Arial"/>
          <w:color w:val="000000" w:themeColor="text1"/>
          <w:sz w:val="24"/>
          <w:szCs w:val="24"/>
        </w:rPr>
        <w:t xml:space="preserve"> were rejected by the various Courts I refer to. The failure to plead these </w:t>
      </w:r>
      <w:proofErr w:type="spellStart"/>
      <w:r w:rsidR="008C32DB">
        <w:rPr>
          <w:rFonts w:ascii="Arial" w:hAnsi="Arial" w:cs="Arial"/>
          <w:color w:val="000000" w:themeColor="text1"/>
          <w:sz w:val="24"/>
          <w:szCs w:val="24"/>
        </w:rPr>
        <w:t>defences</w:t>
      </w:r>
      <w:proofErr w:type="spellEnd"/>
      <w:r w:rsidR="008C32DB">
        <w:rPr>
          <w:rFonts w:ascii="Arial" w:hAnsi="Arial" w:cs="Arial"/>
          <w:color w:val="000000" w:themeColor="text1"/>
          <w:sz w:val="24"/>
          <w:szCs w:val="24"/>
        </w:rPr>
        <w:t xml:space="preserve"> and </w:t>
      </w:r>
      <w:r w:rsidR="00E910F0">
        <w:rPr>
          <w:rFonts w:ascii="Arial" w:hAnsi="Arial" w:cs="Arial"/>
          <w:color w:val="000000" w:themeColor="text1"/>
          <w:sz w:val="24"/>
          <w:szCs w:val="24"/>
        </w:rPr>
        <w:t xml:space="preserve">consider </w:t>
      </w:r>
      <w:r w:rsidR="008C32DB">
        <w:rPr>
          <w:rFonts w:ascii="Arial" w:hAnsi="Arial" w:cs="Arial"/>
          <w:color w:val="000000" w:themeColor="text1"/>
          <w:sz w:val="24"/>
          <w:szCs w:val="24"/>
        </w:rPr>
        <w:t xml:space="preserve">the </w:t>
      </w:r>
      <w:r w:rsidR="008C32DB" w:rsidRPr="0044383C">
        <w:rPr>
          <w:rFonts w:ascii="Arial" w:hAnsi="Arial" w:cs="Arial"/>
          <w:b/>
          <w:i/>
          <w:color w:val="000000" w:themeColor="text1"/>
          <w:sz w:val="24"/>
          <w:szCs w:val="24"/>
        </w:rPr>
        <w:t>Discovery Health</w:t>
      </w:r>
      <w:r w:rsidR="008C32DB">
        <w:rPr>
          <w:rFonts w:ascii="Arial" w:hAnsi="Arial" w:cs="Arial"/>
          <w:color w:val="000000" w:themeColor="text1"/>
          <w:sz w:val="24"/>
          <w:szCs w:val="24"/>
        </w:rPr>
        <w:t xml:space="preserve"> and </w:t>
      </w:r>
      <w:r w:rsidR="008C32DB" w:rsidRPr="001F5A52">
        <w:rPr>
          <w:rFonts w:ascii="Arial" w:hAnsi="Arial" w:cs="Arial"/>
          <w:b/>
          <w:i/>
          <w:color w:val="000000" w:themeColor="text1"/>
          <w:sz w:val="24"/>
          <w:szCs w:val="24"/>
        </w:rPr>
        <w:t xml:space="preserve">Van Tonder </w:t>
      </w:r>
      <w:r w:rsidR="008C32DB">
        <w:rPr>
          <w:rFonts w:ascii="Arial" w:hAnsi="Arial" w:cs="Arial"/>
          <w:color w:val="000000" w:themeColor="text1"/>
          <w:sz w:val="24"/>
          <w:szCs w:val="24"/>
        </w:rPr>
        <w:t xml:space="preserve">findings knowing full well that there are currently no judgments </w:t>
      </w:r>
      <w:proofErr w:type="spellStart"/>
      <w:r w:rsidR="008C32DB">
        <w:rPr>
          <w:rFonts w:ascii="Arial" w:hAnsi="Arial" w:cs="Arial"/>
          <w:color w:val="000000" w:themeColor="text1"/>
          <w:sz w:val="24"/>
          <w:szCs w:val="24"/>
        </w:rPr>
        <w:t>favouring</w:t>
      </w:r>
      <w:proofErr w:type="spellEnd"/>
      <w:r w:rsidR="008C32DB">
        <w:rPr>
          <w:rFonts w:ascii="Arial" w:hAnsi="Arial" w:cs="Arial"/>
          <w:color w:val="000000" w:themeColor="text1"/>
          <w:sz w:val="24"/>
          <w:szCs w:val="24"/>
        </w:rPr>
        <w:t xml:space="preserve"> the defendant’s views, </w:t>
      </w:r>
      <w:r w:rsidR="00E910F0">
        <w:rPr>
          <w:rFonts w:ascii="Arial" w:hAnsi="Arial" w:cs="Arial"/>
          <w:color w:val="000000" w:themeColor="text1"/>
          <w:sz w:val="24"/>
          <w:szCs w:val="24"/>
        </w:rPr>
        <w:t xml:space="preserve">are </w:t>
      </w:r>
      <w:r w:rsidR="008C32DB">
        <w:rPr>
          <w:rFonts w:ascii="Arial" w:hAnsi="Arial" w:cs="Arial"/>
          <w:color w:val="000000" w:themeColor="text1"/>
          <w:sz w:val="24"/>
          <w:szCs w:val="24"/>
        </w:rPr>
        <w:t xml:space="preserve">viewed </w:t>
      </w:r>
      <w:proofErr w:type="gramStart"/>
      <w:r w:rsidR="008C32DB">
        <w:rPr>
          <w:rFonts w:ascii="Arial" w:hAnsi="Arial" w:cs="Arial"/>
          <w:color w:val="000000" w:themeColor="text1"/>
          <w:sz w:val="24"/>
          <w:szCs w:val="24"/>
        </w:rPr>
        <w:t>with  disapproval</w:t>
      </w:r>
      <w:proofErr w:type="gramEnd"/>
      <w:r w:rsidR="008C32DB">
        <w:rPr>
          <w:rFonts w:ascii="Arial" w:hAnsi="Arial" w:cs="Arial"/>
          <w:color w:val="000000" w:themeColor="text1"/>
          <w:sz w:val="24"/>
          <w:szCs w:val="24"/>
        </w:rPr>
        <w:t xml:space="preserve">. </w:t>
      </w:r>
    </w:p>
    <w:p w14:paraId="486BA3A4" w14:textId="78B993F5" w:rsidR="008C32DB" w:rsidRDefault="004D3F8E" w:rsidP="004D3F8E">
      <w:pPr>
        <w:spacing w:after="360"/>
        <w:rPr>
          <w:rFonts w:ascii="Arial" w:hAnsi="Arial" w:cs="Arial"/>
          <w:color w:val="000000" w:themeColor="text1"/>
          <w:sz w:val="24"/>
          <w:szCs w:val="24"/>
        </w:rPr>
      </w:pPr>
      <w:r>
        <w:rPr>
          <w:rFonts w:ascii="Arial" w:hAnsi="Arial" w:cs="Arial"/>
          <w:color w:val="000000" w:themeColor="text1"/>
          <w:sz w:val="24"/>
          <w:szCs w:val="24"/>
        </w:rPr>
        <w:t>46.</w:t>
      </w:r>
      <w:r>
        <w:rPr>
          <w:rFonts w:ascii="Arial" w:hAnsi="Arial" w:cs="Arial"/>
          <w:color w:val="000000" w:themeColor="text1"/>
          <w:sz w:val="24"/>
          <w:szCs w:val="24"/>
        </w:rPr>
        <w:tab/>
      </w:r>
      <w:r w:rsidR="008C32DB">
        <w:rPr>
          <w:rFonts w:ascii="Arial" w:hAnsi="Arial" w:cs="Arial"/>
          <w:color w:val="000000" w:themeColor="text1"/>
          <w:sz w:val="24"/>
          <w:szCs w:val="24"/>
        </w:rPr>
        <w:t>The plaintiff’s counsel was correct to submit that the</w:t>
      </w:r>
      <w:r w:rsidR="00E910F0">
        <w:rPr>
          <w:rFonts w:ascii="Arial" w:hAnsi="Arial" w:cs="Arial"/>
          <w:color w:val="000000" w:themeColor="text1"/>
          <w:sz w:val="24"/>
          <w:szCs w:val="24"/>
        </w:rPr>
        <w:t xml:space="preserve"> </w:t>
      </w:r>
      <w:proofErr w:type="spellStart"/>
      <w:r w:rsidR="00E910F0">
        <w:rPr>
          <w:rFonts w:ascii="Arial" w:hAnsi="Arial" w:cs="Arial"/>
          <w:color w:val="000000" w:themeColor="text1"/>
          <w:sz w:val="24"/>
          <w:szCs w:val="24"/>
        </w:rPr>
        <w:t>defences</w:t>
      </w:r>
      <w:proofErr w:type="spellEnd"/>
      <w:r w:rsidR="00E910F0">
        <w:rPr>
          <w:rFonts w:ascii="Arial" w:hAnsi="Arial" w:cs="Arial"/>
          <w:color w:val="000000" w:themeColor="text1"/>
          <w:sz w:val="24"/>
          <w:szCs w:val="24"/>
        </w:rPr>
        <w:t xml:space="preserve"> or issues raised at such a late stage </w:t>
      </w:r>
      <w:r w:rsidR="008C32DB">
        <w:rPr>
          <w:rFonts w:ascii="Arial" w:hAnsi="Arial" w:cs="Arial"/>
          <w:color w:val="000000" w:themeColor="text1"/>
          <w:sz w:val="24"/>
          <w:szCs w:val="24"/>
        </w:rPr>
        <w:t xml:space="preserve">were all meritless. A punitive costs order </w:t>
      </w:r>
      <w:r w:rsidR="00E910F0">
        <w:rPr>
          <w:rFonts w:ascii="Arial" w:hAnsi="Arial" w:cs="Arial"/>
          <w:color w:val="000000" w:themeColor="text1"/>
          <w:sz w:val="24"/>
          <w:szCs w:val="24"/>
        </w:rPr>
        <w:t xml:space="preserve">was </w:t>
      </w:r>
      <w:r w:rsidR="008B2D9F">
        <w:rPr>
          <w:rFonts w:ascii="Arial" w:hAnsi="Arial" w:cs="Arial"/>
          <w:color w:val="000000" w:themeColor="text1"/>
          <w:sz w:val="24"/>
          <w:szCs w:val="24"/>
        </w:rPr>
        <w:t xml:space="preserve">not </w:t>
      </w:r>
      <w:r w:rsidR="008C32DB">
        <w:rPr>
          <w:rFonts w:ascii="Arial" w:hAnsi="Arial" w:cs="Arial"/>
          <w:color w:val="000000" w:themeColor="text1"/>
          <w:sz w:val="24"/>
          <w:szCs w:val="24"/>
        </w:rPr>
        <w:t xml:space="preserve">requested but </w:t>
      </w:r>
      <w:r w:rsidR="00C76587">
        <w:rPr>
          <w:rFonts w:ascii="Arial" w:hAnsi="Arial" w:cs="Arial"/>
          <w:color w:val="000000" w:themeColor="text1"/>
          <w:sz w:val="24"/>
          <w:szCs w:val="24"/>
        </w:rPr>
        <w:t xml:space="preserve">had it been, I would have given serious consideration to granting such order </w:t>
      </w:r>
      <w:r w:rsidR="008C32DB">
        <w:rPr>
          <w:rFonts w:ascii="Arial" w:hAnsi="Arial" w:cs="Arial"/>
          <w:color w:val="000000" w:themeColor="text1"/>
          <w:sz w:val="24"/>
          <w:szCs w:val="24"/>
        </w:rPr>
        <w:t xml:space="preserve">in the circumstances where the defendant failed to plead specific </w:t>
      </w:r>
      <w:proofErr w:type="spellStart"/>
      <w:r w:rsidR="008C32DB">
        <w:rPr>
          <w:rFonts w:ascii="Arial" w:hAnsi="Arial" w:cs="Arial"/>
          <w:color w:val="000000" w:themeColor="text1"/>
          <w:sz w:val="24"/>
          <w:szCs w:val="24"/>
        </w:rPr>
        <w:t>defences</w:t>
      </w:r>
      <w:proofErr w:type="spellEnd"/>
      <w:r w:rsidR="008C32DB">
        <w:rPr>
          <w:rFonts w:ascii="Arial" w:hAnsi="Arial" w:cs="Arial"/>
          <w:color w:val="000000" w:themeColor="text1"/>
          <w:sz w:val="24"/>
          <w:szCs w:val="24"/>
        </w:rPr>
        <w:t>, alternatively</w:t>
      </w:r>
      <w:r w:rsidR="00E910F0">
        <w:rPr>
          <w:rFonts w:ascii="Arial" w:hAnsi="Arial" w:cs="Arial"/>
          <w:color w:val="000000" w:themeColor="text1"/>
          <w:sz w:val="24"/>
          <w:szCs w:val="24"/>
        </w:rPr>
        <w:t>,</w:t>
      </w:r>
      <w:r w:rsidR="008C32DB">
        <w:rPr>
          <w:rFonts w:ascii="Arial" w:hAnsi="Arial" w:cs="Arial"/>
          <w:color w:val="000000" w:themeColor="text1"/>
          <w:sz w:val="24"/>
          <w:szCs w:val="24"/>
        </w:rPr>
        <w:t xml:space="preserve"> failed </w:t>
      </w:r>
      <w:r w:rsidR="008C32DB">
        <w:rPr>
          <w:rFonts w:ascii="Arial" w:hAnsi="Arial" w:cs="Arial"/>
          <w:color w:val="000000" w:themeColor="text1"/>
          <w:sz w:val="24"/>
          <w:szCs w:val="24"/>
        </w:rPr>
        <w:lastRenderedPageBreak/>
        <w:t>to amend its Plea</w:t>
      </w:r>
      <w:r w:rsidR="00E910F0">
        <w:rPr>
          <w:rFonts w:ascii="Arial" w:hAnsi="Arial" w:cs="Arial"/>
          <w:color w:val="000000" w:themeColor="text1"/>
          <w:sz w:val="24"/>
          <w:szCs w:val="24"/>
        </w:rPr>
        <w:t>;</w:t>
      </w:r>
      <w:r w:rsidR="008C32DB">
        <w:rPr>
          <w:rFonts w:ascii="Arial" w:hAnsi="Arial" w:cs="Arial"/>
          <w:color w:val="000000" w:themeColor="text1"/>
          <w:sz w:val="24"/>
          <w:szCs w:val="24"/>
        </w:rPr>
        <w:t xml:space="preserve"> raised </w:t>
      </w:r>
      <w:proofErr w:type="spellStart"/>
      <w:r w:rsidR="008C32DB">
        <w:rPr>
          <w:rFonts w:ascii="Arial" w:hAnsi="Arial" w:cs="Arial"/>
          <w:color w:val="000000" w:themeColor="text1"/>
          <w:sz w:val="24"/>
          <w:szCs w:val="24"/>
        </w:rPr>
        <w:t>defences</w:t>
      </w:r>
      <w:proofErr w:type="spellEnd"/>
      <w:r w:rsidR="008C32DB">
        <w:rPr>
          <w:rFonts w:ascii="Arial" w:hAnsi="Arial" w:cs="Arial"/>
          <w:color w:val="000000" w:themeColor="text1"/>
          <w:sz w:val="24"/>
          <w:szCs w:val="24"/>
        </w:rPr>
        <w:t xml:space="preserve"> (which should have been pleaded) in heads of argument</w:t>
      </w:r>
      <w:r w:rsidR="00E910F0">
        <w:rPr>
          <w:rFonts w:ascii="Arial" w:hAnsi="Arial" w:cs="Arial"/>
          <w:color w:val="000000" w:themeColor="text1"/>
          <w:sz w:val="24"/>
          <w:szCs w:val="24"/>
        </w:rPr>
        <w:t>;</w:t>
      </w:r>
      <w:r w:rsidR="008C32DB">
        <w:rPr>
          <w:rFonts w:ascii="Arial" w:hAnsi="Arial" w:cs="Arial"/>
          <w:color w:val="000000" w:themeColor="text1"/>
          <w:sz w:val="24"/>
          <w:szCs w:val="24"/>
        </w:rPr>
        <w:t xml:space="preserve"> advanced submissions which were  not supported by law in this Division </w:t>
      </w:r>
      <w:r w:rsidR="00E910F0">
        <w:rPr>
          <w:rFonts w:ascii="Arial" w:hAnsi="Arial" w:cs="Arial"/>
          <w:color w:val="000000" w:themeColor="text1"/>
          <w:sz w:val="24"/>
          <w:szCs w:val="24"/>
        </w:rPr>
        <w:t>(</w:t>
      </w:r>
      <w:r w:rsidR="008C32DB">
        <w:rPr>
          <w:rFonts w:ascii="Arial" w:hAnsi="Arial" w:cs="Arial"/>
          <w:color w:val="000000" w:themeColor="text1"/>
          <w:sz w:val="24"/>
          <w:szCs w:val="24"/>
        </w:rPr>
        <w:t>and others</w:t>
      </w:r>
      <w:r w:rsidR="00E910F0">
        <w:rPr>
          <w:rFonts w:ascii="Arial" w:hAnsi="Arial" w:cs="Arial"/>
          <w:color w:val="000000" w:themeColor="text1"/>
          <w:sz w:val="24"/>
          <w:szCs w:val="24"/>
        </w:rPr>
        <w:t>),</w:t>
      </w:r>
      <w:r w:rsidR="008C32DB">
        <w:rPr>
          <w:rFonts w:ascii="Arial" w:hAnsi="Arial" w:cs="Arial"/>
          <w:color w:val="000000" w:themeColor="text1"/>
          <w:sz w:val="24"/>
          <w:szCs w:val="24"/>
        </w:rPr>
        <w:t xml:space="preserve"> and which were plainly ill-conceived and unmeritorious, all to escape its statutory obligation to compensate a plaintiff such as in this matter.</w:t>
      </w:r>
      <w:r w:rsidR="00E910F0">
        <w:rPr>
          <w:rFonts w:ascii="Arial" w:hAnsi="Arial" w:cs="Arial"/>
          <w:color w:val="000000" w:themeColor="text1"/>
          <w:sz w:val="24"/>
          <w:szCs w:val="24"/>
        </w:rPr>
        <w:t xml:space="preserve"> The order which follows includes the agreed terms related to general damages and loss of income as referred to earlier in the judgment.</w:t>
      </w:r>
    </w:p>
    <w:p w14:paraId="64719AC0" w14:textId="77777777" w:rsidR="008C32DB" w:rsidRDefault="008C32DB" w:rsidP="004D3F8E">
      <w:pPr>
        <w:spacing w:after="360"/>
        <w:rPr>
          <w:rFonts w:ascii="Arial" w:hAnsi="Arial" w:cs="Arial"/>
          <w:b/>
          <w:color w:val="000000" w:themeColor="text1"/>
          <w:sz w:val="24"/>
          <w:szCs w:val="24"/>
          <w:u w:val="single"/>
        </w:rPr>
      </w:pPr>
      <w:r w:rsidRPr="0044383C">
        <w:rPr>
          <w:rFonts w:ascii="Arial" w:hAnsi="Arial" w:cs="Arial"/>
          <w:b/>
          <w:color w:val="000000" w:themeColor="text1"/>
          <w:sz w:val="24"/>
          <w:szCs w:val="24"/>
          <w:u w:val="single"/>
        </w:rPr>
        <w:t>Order</w:t>
      </w:r>
    </w:p>
    <w:p w14:paraId="7CA32321" w14:textId="77777777" w:rsidR="00093E34" w:rsidRPr="00093E34" w:rsidRDefault="00093E34" w:rsidP="00093E34">
      <w:pPr>
        <w:rPr>
          <w:rFonts w:ascii="Arial" w:hAnsi="Arial" w:cs="Arial"/>
          <w:sz w:val="24"/>
          <w:szCs w:val="24"/>
        </w:rPr>
      </w:pPr>
      <w:r w:rsidRPr="00093E34">
        <w:rPr>
          <w:rFonts w:ascii="Arial" w:hAnsi="Arial" w:cs="Arial"/>
          <w:sz w:val="24"/>
          <w:szCs w:val="24"/>
        </w:rPr>
        <w:t xml:space="preserve">In view of the above findings and </w:t>
      </w:r>
      <w:proofErr w:type="gramStart"/>
      <w:r w:rsidRPr="00093E34">
        <w:rPr>
          <w:rFonts w:ascii="Arial" w:hAnsi="Arial" w:cs="Arial"/>
          <w:sz w:val="24"/>
          <w:szCs w:val="24"/>
        </w:rPr>
        <w:t>taking into account</w:t>
      </w:r>
      <w:proofErr w:type="gramEnd"/>
      <w:r w:rsidRPr="00093E34">
        <w:rPr>
          <w:rFonts w:ascii="Arial" w:hAnsi="Arial" w:cs="Arial"/>
          <w:sz w:val="24"/>
          <w:szCs w:val="24"/>
        </w:rPr>
        <w:t xml:space="preserve"> the agreement between the parties, I grant the following orders:</w:t>
      </w:r>
    </w:p>
    <w:p w14:paraId="541FA6F9" w14:textId="77777777" w:rsidR="00093E34" w:rsidRDefault="00093E34" w:rsidP="004D3F8E">
      <w:pPr>
        <w:spacing w:after="360"/>
        <w:rPr>
          <w:rFonts w:ascii="Arial" w:hAnsi="Arial" w:cs="Arial"/>
          <w:b/>
          <w:color w:val="000000" w:themeColor="text1"/>
          <w:sz w:val="24"/>
          <w:szCs w:val="24"/>
          <w:u w:val="single"/>
        </w:rPr>
      </w:pPr>
    </w:p>
    <w:p w14:paraId="637F7C28" w14:textId="76B92C61" w:rsidR="00E910F0" w:rsidRPr="00144E96" w:rsidRDefault="00144E96" w:rsidP="00144E96">
      <w:pPr>
        <w:spacing w:after="360"/>
        <w:ind w:left="720" w:hanging="360"/>
        <w:rPr>
          <w:rFonts w:ascii="Arial" w:hAnsi="Arial" w:cs="Arial"/>
          <w:color w:val="000000" w:themeColor="text1"/>
          <w:sz w:val="24"/>
          <w:szCs w:val="24"/>
        </w:rPr>
      </w:pPr>
      <w:r w:rsidRPr="00E910F0">
        <w:rPr>
          <w:rFonts w:ascii="Arial" w:hAnsi="Arial" w:cs="Arial"/>
          <w:color w:val="000000" w:themeColor="text1"/>
          <w:sz w:val="24"/>
          <w:szCs w:val="24"/>
        </w:rPr>
        <w:t>1.</w:t>
      </w:r>
      <w:r w:rsidRPr="00E910F0">
        <w:rPr>
          <w:rFonts w:ascii="Arial" w:hAnsi="Arial" w:cs="Arial"/>
          <w:color w:val="000000" w:themeColor="text1"/>
          <w:sz w:val="24"/>
          <w:szCs w:val="24"/>
        </w:rPr>
        <w:tab/>
      </w:r>
      <w:r w:rsidR="008C32DB" w:rsidRPr="00144E96">
        <w:rPr>
          <w:rFonts w:ascii="Arial" w:hAnsi="Arial" w:cs="Arial"/>
          <w:color w:val="000000" w:themeColor="text1"/>
          <w:sz w:val="24"/>
          <w:szCs w:val="24"/>
        </w:rPr>
        <w:t>The defendant is liable to pay 100% of the plaintiff’s damages arising from her injuries sustained in a motor vehicle accident which occurred on 23 August 2013, as set out below:</w:t>
      </w:r>
    </w:p>
    <w:p w14:paraId="542D254B" w14:textId="63664269" w:rsidR="0015021F" w:rsidRPr="00144E96" w:rsidRDefault="00144E96" w:rsidP="00144E96">
      <w:pPr>
        <w:spacing w:after="360"/>
        <w:ind w:left="1800" w:hanging="360"/>
        <w:rPr>
          <w:rFonts w:ascii="Arial" w:hAnsi="Arial" w:cs="Arial"/>
          <w:color w:val="000000" w:themeColor="text1"/>
          <w:sz w:val="24"/>
          <w:szCs w:val="24"/>
        </w:rPr>
      </w:pPr>
      <w:r>
        <w:rPr>
          <w:rFonts w:ascii="Arial" w:hAnsi="Arial" w:cs="Arial"/>
          <w:color w:val="000000" w:themeColor="text1"/>
          <w:sz w:val="24"/>
          <w:szCs w:val="24"/>
        </w:rPr>
        <w:t>1.1</w:t>
      </w:r>
      <w:r>
        <w:rPr>
          <w:rFonts w:ascii="Arial" w:hAnsi="Arial" w:cs="Arial"/>
          <w:color w:val="000000" w:themeColor="text1"/>
          <w:sz w:val="24"/>
          <w:szCs w:val="24"/>
        </w:rPr>
        <w:tab/>
      </w:r>
      <w:r w:rsidR="008C32DB" w:rsidRPr="00144E96">
        <w:rPr>
          <w:rFonts w:ascii="Arial" w:hAnsi="Arial" w:cs="Arial"/>
          <w:color w:val="000000" w:themeColor="text1"/>
          <w:sz w:val="24"/>
          <w:szCs w:val="24"/>
        </w:rPr>
        <w:t xml:space="preserve">R750 000 in respect of general </w:t>
      </w:r>
      <w:proofErr w:type="gramStart"/>
      <w:r w:rsidR="008C32DB" w:rsidRPr="00144E96">
        <w:rPr>
          <w:rFonts w:ascii="Arial" w:hAnsi="Arial" w:cs="Arial"/>
          <w:color w:val="000000" w:themeColor="text1"/>
          <w:sz w:val="24"/>
          <w:szCs w:val="24"/>
        </w:rPr>
        <w:t>damages;</w:t>
      </w:r>
      <w:proofErr w:type="gramEnd"/>
      <w:r w:rsidR="008C32DB" w:rsidRPr="00144E96">
        <w:rPr>
          <w:rFonts w:ascii="Arial" w:hAnsi="Arial" w:cs="Arial"/>
          <w:color w:val="000000" w:themeColor="text1"/>
          <w:sz w:val="24"/>
          <w:szCs w:val="24"/>
        </w:rPr>
        <w:t xml:space="preserve"> </w:t>
      </w:r>
    </w:p>
    <w:p w14:paraId="43D4EBCB" w14:textId="162C4917" w:rsidR="0015021F" w:rsidRPr="00144E96" w:rsidRDefault="00144E96" w:rsidP="00144E96">
      <w:pPr>
        <w:spacing w:after="360"/>
        <w:ind w:left="1800" w:hanging="360"/>
        <w:rPr>
          <w:rFonts w:ascii="Arial" w:hAnsi="Arial" w:cs="Arial"/>
          <w:color w:val="000000" w:themeColor="text1"/>
          <w:sz w:val="24"/>
          <w:szCs w:val="24"/>
        </w:rPr>
      </w:pPr>
      <w:r>
        <w:rPr>
          <w:rFonts w:ascii="Arial" w:hAnsi="Arial" w:cs="Arial"/>
          <w:color w:val="000000" w:themeColor="text1"/>
          <w:sz w:val="24"/>
          <w:szCs w:val="24"/>
        </w:rPr>
        <w:t>1.2</w:t>
      </w:r>
      <w:r>
        <w:rPr>
          <w:rFonts w:ascii="Arial" w:hAnsi="Arial" w:cs="Arial"/>
          <w:color w:val="000000" w:themeColor="text1"/>
          <w:sz w:val="24"/>
          <w:szCs w:val="24"/>
        </w:rPr>
        <w:tab/>
      </w:r>
      <w:r w:rsidR="008C32DB" w:rsidRPr="00144E96">
        <w:rPr>
          <w:rFonts w:ascii="Arial" w:hAnsi="Arial" w:cs="Arial"/>
          <w:color w:val="000000" w:themeColor="text1"/>
          <w:sz w:val="24"/>
          <w:szCs w:val="24"/>
        </w:rPr>
        <w:t xml:space="preserve">R148 199 in respect of loss of </w:t>
      </w:r>
      <w:proofErr w:type="gramStart"/>
      <w:r w:rsidR="008C32DB" w:rsidRPr="00144E96">
        <w:rPr>
          <w:rFonts w:ascii="Arial" w:hAnsi="Arial" w:cs="Arial"/>
          <w:color w:val="000000" w:themeColor="text1"/>
          <w:sz w:val="24"/>
          <w:szCs w:val="24"/>
        </w:rPr>
        <w:t>income;</w:t>
      </w:r>
      <w:proofErr w:type="gramEnd"/>
    </w:p>
    <w:p w14:paraId="4E161074" w14:textId="172D8D2F" w:rsidR="008C32DB" w:rsidRPr="00144E96" w:rsidRDefault="00144E96" w:rsidP="00144E96">
      <w:pPr>
        <w:spacing w:after="360"/>
        <w:ind w:left="1800" w:hanging="360"/>
        <w:rPr>
          <w:rFonts w:ascii="Arial" w:hAnsi="Arial" w:cs="Arial"/>
          <w:color w:val="000000" w:themeColor="text1"/>
          <w:sz w:val="24"/>
          <w:szCs w:val="24"/>
        </w:rPr>
      </w:pPr>
      <w:r>
        <w:rPr>
          <w:rFonts w:ascii="Arial" w:hAnsi="Arial" w:cs="Arial"/>
          <w:color w:val="000000" w:themeColor="text1"/>
          <w:sz w:val="24"/>
          <w:szCs w:val="24"/>
        </w:rPr>
        <w:t>1.3</w:t>
      </w:r>
      <w:r>
        <w:rPr>
          <w:rFonts w:ascii="Arial" w:hAnsi="Arial" w:cs="Arial"/>
          <w:color w:val="000000" w:themeColor="text1"/>
          <w:sz w:val="24"/>
          <w:szCs w:val="24"/>
        </w:rPr>
        <w:tab/>
      </w:r>
      <w:r w:rsidR="008C32DB" w:rsidRPr="00144E96">
        <w:rPr>
          <w:rFonts w:ascii="Arial" w:hAnsi="Arial" w:cs="Arial"/>
          <w:color w:val="000000" w:themeColor="text1"/>
          <w:sz w:val="24"/>
          <w:szCs w:val="24"/>
        </w:rPr>
        <w:t>R272 388, 23 in respect of past hospital, medical and related expense</w:t>
      </w:r>
      <w:r w:rsidR="00E910F0" w:rsidRPr="00144E96">
        <w:rPr>
          <w:rFonts w:ascii="Arial" w:hAnsi="Arial" w:cs="Arial"/>
          <w:color w:val="000000" w:themeColor="text1"/>
          <w:sz w:val="24"/>
          <w:szCs w:val="24"/>
        </w:rPr>
        <w:t>s</w:t>
      </w:r>
      <w:r w:rsidR="008C32DB" w:rsidRPr="00144E96">
        <w:rPr>
          <w:rFonts w:ascii="Arial" w:hAnsi="Arial" w:cs="Arial"/>
          <w:color w:val="000000" w:themeColor="text1"/>
          <w:sz w:val="24"/>
          <w:szCs w:val="24"/>
        </w:rPr>
        <w:t>.</w:t>
      </w:r>
    </w:p>
    <w:p w14:paraId="2E12A82F" w14:textId="77777777" w:rsidR="0015021F" w:rsidRPr="0015021F" w:rsidRDefault="0015021F" w:rsidP="0015021F">
      <w:pPr>
        <w:pStyle w:val="ListParagraph"/>
        <w:spacing w:after="360"/>
        <w:ind w:left="1800"/>
        <w:rPr>
          <w:rFonts w:ascii="Arial" w:hAnsi="Arial" w:cs="Arial"/>
          <w:color w:val="000000" w:themeColor="text1"/>
          <w:sz w:val="24"/>
          <w:szCs w:val="24"/>
        </w:rPr>
      </w:pPr>
    </w:p>
    <w:p w14:paraId="3F820948" w14:textId="25F961FF" w:rsidR="008C32DB" w:rsidRPr="00144E96" w:rsidRDefault="00144E96" w:rsidP="00144E96">
      <w:pPr>
        <w:spacing w:after="360"/>
        <w:ind w:left="720" w:hanging="360"/>
        <w:rPr>
          <w:rFonts w:ascii="Arial" w:hAnsi="Arial" w:cs="Arial"/>
          <w:color w:val="000000" w:themeColor="text1"/>
          <w:sz w:val="24"/>
          <w:szCs w:val="24"/>
        </w:rPr>
      </w:pPr>
      <w:r>
        <w:rPr>
          <w:rFonts w:ascii="Arial" w:hAnsi="Arial" w:cs="Arial"/>
          <w:color w:val="000000" w:themeColor="text1"/>
          <w:sz w:val="24"/>
          <w:szCs w:val="24"/>
        </w:rPr>
        <w:t>2.</w:t>
      </w:r>
      <w:r>
        <w:rPr>
          <w:rFonts w:ascii="Arial" w:hAnsi="Arial" w:cs="Arial"/>
          <w:color w:val="000000" w:themeColor="text1"/>
          <w:sz w:val="24"/>
          <w:szCs w:val="24"/>
        </w:rPr>
        <w:tab/>
      </w:r>
      <w:r w:rsidR="008C32DB" w:rsidRPr="00144E96">
        <w:rPr>
          <w:rFonts w:ascii="Arial" w:hAnsi="Arial" w:cs="Arial"/>
          <w:color w:val="000000" w:themeColor="text1"/>
          <w:sz w:val="24"/>
          <w:szCs w:val="24"/>
        </w:rPr>
        <w:t xml:space="preserve">The defendant shall provide a 100% undertaking in terms of section 17(4) of the Road Accident Fund Act 56 of 1996 as amended, to compensate the plaintiff the costs related to the plaintiff’s future accommodation in a hospital, nursing home or treatment of or rendering of a service or supplying of goods to the plaintiff after the costs have been incurred and on proof thereof in respect of the injuries she sustained in the accident. </w:t>
      </w:r>
    </w:p>
    <w:p w14:paraId="2DEA35F6" w14:textId="77777777" w:rsidR="0015021F" w:rsidRPr="004D3F8E" w:rsidRDefault="0015021F" w:rsidP="0015021F">
      <w:pPr>
        <w:pStyle w:val="ListParagraph"/>
        <w:spacing w:after="360"/>
        <w:rPr>
          <w:rFonts w:ascii="Arial" w:hAnsi="Arial" w:cs="Arial"/>
          <w:color w:val="000000" w:themeColor="text1"/>
          <w:sz w:val="24"/>
          <w:szCs w:val="24"/>
        </w:rPr>
      </w:pPr>
    </w:p>
    <w:p w14:paraId="7AAAF282" w14:textId="1673A2AE" w:rsidR="008C32DB" w:rsidRPr="00144E96" w:rsidRDefault="00144E96" w:rsidP="00144E96">
      <w:pPr>
        <w:spacing w:after="360"/>
        <w:ind w:left="720" w:hanging="360"/>
        <w:rPr>
          <w:rFonts w:ascii="Arial" w:hAnsi="Arial" w:cs="Arial"/>
          <w:color w:val="000000" w:themeColor="text1"/>
          <w:sz w:val="24"/>
          <w:szCs w:val="24"/>
        </w:rPr>
      </w:pPr>
      <w:r w:rsidRPr="004D3F8E">
        <w:rPr>
          <w:rFonts w:ascii="Arial" w:hAnsi="Arial" w:cs="Arial"/>
          <w:color w:val="000000" w:themeColor="text1"/>
          <w:sz w:val="24"/>
          <w:szCs w:val="24"/>
        </w:rPr>
        <w:t>3.</w:t>
      </w:r>
      <w:r w:rsidRPr="004D3F8E">
        <w:rPr>
          <w:rFonts w:ascii="Arial" w:hAnsi="Arial" w:cs="Arial"/>
          <w:color w:val="000000" w:themeColor="text1"/>
          <w:sz w:val="24"/>
          <w:szCs w:val="24"/>
        </w:rPr>
        <w:tab/>
      </w:r>
      <w:r w:rsidR="008C32DB" w:rsidRPr="00144E96">
        <w:rPr>
          <w:rFonts w:ascii="Arial" w:hAnsi="Arial" w:cs="Arial"/>
          <w:color w:val="000000" w:themeColor="text1"/>
          <w:sz w:val="24"/>
          <w:szCs w:val="24"/>
        </w:rPr>
        <w:t>The defendant shall pay the plaintiff’s taxed or agreed costs, including the costs of 7 August 2023 and 22 February 2024 when the matter was previously set down for trial, on the High Court scale, as between party and party, including for the sake of clarity, but not limited to:</w:t>
      </w:r>
    </w:p>
    <w:p w14:paraId="73A445B1" w14:textId="3D202584" w:rsidR="0015021F" w:rsidRPr="00144E96" w:rsidRDefault="00144E96" w:rsidP="00144E96">
      <w:pPr>
        <w:spacing w:after="360"/>
        <w:ind w:left="1800" w:hanging="360"/>
        <w:rPr>
          <w:rFonts w:ascii="Arial" w:hAnsi="Arial" w:cs="Arial"/>
          <w:color w:val="000000" w:themeColor="text1"/>
          <w:sz w:val="24"/>
          <w:szCs w:val="24"/>
        </w:rPr>
      </w:pPr>
      <w:r>
        <w:rPr>
          <w:rFonts w:ascii="Arial" w:hAnsi="Arial" w:cs="Arial"/>
          <w:color w:val="000000" w:themeColor="text1"/>
          <w:sz w:val="24"/>
          <w:szCs w:val="24"/>
        </w:rPr>
        <w:t>3.1</w:t>
      </w:r>
      <w:r>
        <w:rPr>
          <w:rFonts w:ascii="Arial" w:hAnsi="Arial" w:cs="Arial"/>
          <w:color w:val="000000" w:themeColor="text1"/>
          <w:sz w:val="24"/>
          <w:szCs w:val="24"/>
        </w:rPr>
        <w:tab/>
      </w:r>
      <w:r w:rsidR="008C32DB" w:rsidRPr="00144E96">
        <w:rPr>
          <w:rFonts w:ascii="Arial" w:hAnsi="Arial" w:cs="Arial"/>
          <w:color w:val="000000" w:themeColor="text1"/>
          <w:sz w:val="24"/>
          <w:szCs w:val="24"/>
        </w:rPr>
        <w:t xml:space="preserve">The costs attended upon obtaining payment of the capital amounts referred to </w:t>
      </w:r>
      <w:proofErr w:type="gramStart"/>
      <w:r w:rsidR="008C32DB" w:rsidRPr="00144E96">
        <w:rPr>
          <w:rFonts w:ascii="Arial" w:hAnsi="Arial" w:cs="Arial"/>
          <w:color w:val="000000" w:themeColor="text1"/>
          <w:sz w:val="24"/>
          <w:szCs w:val="24"/>
        </w:rPr>
        <w:t>above;</w:t>
      </w:r>
      <w:proofErr w:type="gramEnd"/>
      <w:r w:rsidR="008C32DB" w:rsidRPr="00144E96">
        <w:rPr>
          <w:rFonts w:ascii="Arial" w:hAnsi="Arial" w:cs="Arial"/>
          <w:color w:val="000000" w:themeColor="text1"/>
          <w:sz w:val="24"/>
          <w:szCs w:val="24"/>
        </w:rPr>
        <w:t xml:space="preserve">           </w:t>
      </w:r>
    </w:p>
    <w:p w14:paraId="5A394847" w14:textId="663BA153" w:rsidR="008C32DB" w:rsidRPr="00144E96" w:rsidRDefault="00144E96" w:rsidP="00144E96">
      <w:pPr>
        <w:spacing w:after="360"/>
        <w:ind w:left="1800" w:hanging="360"/>
        <w:rPr>
          <w:rFonts w:ascii="Arial" w:hAnsi="Arial" w:cs="Arial"/>
          <w:color w:val="000000" w:themeColor="text1"/>
          <w:sz w:val="24"/>
          <w:szCs w:val="24"/>
        </w:rPr>
      </w:pPr>
      <w:r>
        <w:rPr>
          <w:rFonts w:ascii="Arial" w:hAnsi="Arial" w:cs="Arial"/>
          <w:color w:val="000000" w:themeColor="text1"/>
          <w:sz w:val="24"/>
          <w:szCs w:val="24"/>
        </w:rPr>
        <w:t>3.2</w:t>
      </w:r>
      <w:r>
        <w:rPr>
          <w:rFonts w:ascii="Arial" w:hAnsi="Arial" w:cs="Arial"/>
          <w:color w:val="000000" w:themeColor="text1"/>
          <w:sz w:val="24"/>
          <w:szCs w:val="24"/>
        </w:rPr>
        <w:tab/>
      </w:r>
      <w:r w:rsidR="008C32DB" w:rsidRPr="00144E96">
        <w:rPr>
          <w:rFonts w:ascii="Arial" w:hAnsi="Arial" w:cs="Arial"/>
          <w:color w:val="000000" w:themeColor="text1"/>
          <w:sz w:val="24"/>
          <w:szCs w:val="24"/>
        </w:rPr>
        <w:t>The qualifying expenses of the following experts:</w:t>
      </w:r>
    </w:p>
    <w:p w14:paraId="04093F2D" w14:textId="4E5CC112" w:rsidR="0015021F" w:rsidRPr="00144E96" w:rsidRDefault="00144E96" w:rsidP="00144E96">
      <w:pPr>
        <w:spacing w:after="360"/>
        <w:ind w:left="3240" w:hanging="720"/>
        <w:rPr>
          <w:rFonts w:ascii="Arial" w:hAnsi="Arial" w:cs="Arial"/>
          <w:color w:val="000000" w:themeColor="text1"/>
          <w:sz w:val="24"/>
          <w:szCs w:val="24"/>
        </w:rPr>
      </w:pPr>
      <w:r>
        <w:rPr>
          <w:rFonts w:ascii="Arial" w:hAnsi="Arial" w:cs="Arial"/>
          <w:color w:val="000000" w:themeColor="text1"/>
          <w:sz w:val="24"/>
          <w:szCs w:val="24"/>
        </w:rPr>
        <w:t>3.2.1</w:t>
      </w:r>
      <w:r>
        <w:rPr>
          <w:rFonts w:ascii="Arial" w:hAnsi="Arial" w:cs="Arial"/>
          <w:color w:val="000000" w:themeColor="text1"/>
          <w:sz w:val="24"/>
          <w:szCs w:val="24"/>
        </w:rPr>
        <w:tab/>
      </w:r>
      <w:r w:rsidR="00CB40F7" w:rsidRPr="00144E96">
        <w:rPr>
          <w:rFonts w:ascii="Arial" w:hAnsi="Arial" w:cs="Arial"/>
          <w:color w:val="000000" w:themeColor="text1"/>
          <w:sz w:val="24"/>
          <w:szCs w:val="24"/>
        </w:rPr>
        <w:t>Dr T Le Roux (</w:t>
      </w:r>
      <w:proofErr w:type="spellStart"/>
      <w:r w:rsidR="00CB40F7" w:rsidRPr="00144E96">
        <w:rPr>
          <w:rFonts w:ascii="Arial" w:hAnsi="Arial" w:cs="Arial"/>
          <w:color w:val="000000" w:themeColor="text1"/>
          <w:sz w:val="24"/>
          <w:szCs w:val="24"/>
        </w:rPr>
        <w:t>orthopaedic</w:t>
      </w:r>
      <w:proofErr w:type="spellEnd"/>
      <w:r w:rsidR="00CB40F7" w:rsidRPr="00144E96">
        <w:rPr>
          <w:rFonts w:ascii="Arial" w:hAnsi="Arial" w:cs="Arial"/>
          <w:color w:val="000000" w:themeColor="text1"/>
          <w:sz w:val="24"/>
          <w:szCs w:val="24"/>
        </w:rPr>
        <w:t xml:space="preserve"> surgeon</w:t>
      </w:r>
      <w:proofErr w:type="gramStart"/>
      <w:r w:rsidR="00CB40F7" w:rsidRPr="00144E96">
        <w:rPr>
          <w:rFonts w:ascii="Arial" w:hAnsi="Arial" w:cs="Arial"/>
          <w:color w:val="000000" w:themeColor="text1"/>
          <w:sz w:val="24"/>
          <w:szCs w:val="24"/>
        </w:rPr>
        <w:t>);</w:t>
      </w:r>
      <w:proofErr w:type="gramEnd"/>
    </w:p>
    <w:p w14:paraId="4E4530E3" w14:textId="0667F44D" w:rsidR="0015021F" w:rsidRPr="00144E96" w:rsidRDefault="00144E96" w:rsidP="00144E96">
      <w:pPr>
        <w:spacing w:after="360"/>
        <w:ind w:left="3240" w:hanging="720"/>
        <w:rPr>
          <w:rFonts w:ascii="Arial" w:hAnsi="Arial" w:cs="Arial"/>
          <w:color w:val="000000" w:themeColor="text1"/>
          <w:sz w:val="24"/>
          <w:szCs w:val="24"/>
        </w:rPr>
      </w:pPr>
      <w:r>
        <w:rPr>
          <w:rFonts w:ascii="Arial" w:hAnsi="Arial" w:cs="Arial"/>
          <w:color w:val="000000" w:themeColor="text1"/>
          <w:sz w:val="24"/>
          <w:szCs w:val="24"/>
        </w:rPr>
        <w:t>3.2.2</w:t>
      </w:r>
      <w:r>
        <w:rPr>
          <w:rFonts w:ascii="Arial" w:hAnsi="Arial" w:cs="Arial"/>
          <w:color w:val="000000" w:themeColor="text1"/>
          <w:sz w:val="24"/>
          <w:szCs w:val="24"/>
        </w:rPr>
        <w:tab/>
      </w:r>
      <w:proofErr w:type="spellStart"/>
      <w:r w:rsidR="00CB40F7" w:rsidRPr="00144E96">
        <w:rPr>
          <w:rFonts w:ascii="Arial" w:hAnsi="Arial" w:cs="Arial"/>
          <w:color w:val="000000" w:themeColor="text1"/>
          <w:sz w:val="24"/>
          <w:szCs w:val="24"/>
        </w:rPr>
        <w:t>Ms</w:t>
      </w:r>
      <w:proofErr w:type="spellEnd"/>
      <w:r w:rsidR="00CB40F7" w:rsidRPr="00144E96">
        <w:rPr>
          <w:rFonts w:ascii="Arial" w:hAnsi="Arial" w:cs="Arial"/>
          <w:color w:val="000000" w:themeColor="text1"/>
          <w:sz w:val="24"/>
          <w:szCs w:val="24"/>
        </w:rPr>
        <w:t xml:space="preserve"> H van Staden (occupational therapist</w:t>
      </w:r>
      <w:proofErr w:type="gramStart"/>
      <w:r w:rsidR="00CB40F7" w:rsidRPr="00144E96">
        <w:rPr>
          <w:rFonts w:ascii="Arial" w:hAnsi="Arial" w:cs="Arial"/>
          <w:color w:val="000000" w:themeColor="text1"/>
          <w:sz w:val="24"/>
          <w:szCs w:val="24"/>
        </w:rPr>
        <w:t>);</w:t>
      </w:r>
      <w:proofErr w:type="gramEnd"/>
    </w:p>
    <w:p w14:paraId="7123FF5E" w14:textId="2DDAE514" w:rsidR="0015021F" w:rsidRPr="00144E96" w:rsidRDefault="00144E96" w:rsidP="00144E96">
      <w:pPr>
        <w:spacing w:after="360"/>
        <w:ind w:left="3240" w:hanging="720"/>
        <w:rPr>
          <w:rFonts w:ascii="Arial" w:hAnsi="Arial" w:cs="Arial"/>
          <w:color w:val="000000" w:themeColor="text1"/>
          <w:sz w:val="24"/>
          <w:szCs w:val="24"/>
        </w:rPr>
      </w:pPr>
      <w:r>
        <w:rPr>
          <w:rFonts w:ascii="Arial" w:hAnsi="Arial" w:cs="Arial"/>
          <w:color w:val="000000" w:themeColor="text1"/>
          <w:sz w:val="24"/>
          <w:szCs w:val="24"/>
        </w:rPr>
        <w:t>3.2.3</w:t>
      </w:r>
      <w:r>
        <w:rPr>
          <w:rFonts w:ascii="Arial" w:hAnsi="Arial" w:cs="Arial"/>
          <w:color w:val="000000" w:themeColor="text1"/>
          <w:sz w:val="24"/>
          <w:szCs w:val="24"/>
        </w:rPr>
        <w:tab/>
      </w:r>
      <w:proofErr w:type="spellStart"/>
      <w:r w:rsidR="00CB40F7" w:rsidRPr="00144E96">
        <w:rPr>
          <w:rFonts w:ascii="Arial" w:hAnsi="Arial" w:cs="Arial"/>
          <w:color w:val="000000" w:themeColor="text1"/>
          <w:sz w:val="24"/>
          <w:szCs w:val="24"/>
        </w:rPr>
        <w:t>Ms</w:t>
      </w:r>
      <w:proofErr w:type="spellEnd"/>
      <w:r w:rsidR="00CB40F7" w:rsidRPr="00144E96">
        <w:rPr>
          <w:rFonts w:ascii="Arial" w:hAnsi="Arial" w:cs="Arial"/>
          <w:color w:val="000000" w:themeColor="text1"/>
          <w:sz w:val="24"/>
          <w:szCs w:val="24"/>
        </w:rPr>
        <w:t xml:space="preserve"> C de Villiers (clinical psychologist</w:t>
      </w:r>
      <w:proofErr w:type="gramStart"/>
      <w:r w:rsidR="00CB40F7" w:rsidRPr="00144E96">
        <w:rPr>
          <w:rFonts w:ascii="Arial" w:hAnsi="Arial" w:cs="Arial"/>
          <w:color w:val="000000" w:themeColor="text1"/>
          <w:sz w:val="24"/>
          <w:szCs w:val="24"/>
        </w:rPr>
        <w:t>);</w:t>
      </w:r>
      <w:proofErr w:type="gramEnd"/>
    </w:p>
    <w:p w14:paraId="2D27BDAE" w14:textId="1B1C2EB6" w:rsidR="0015021F" w:rsidRPr="00144E96" w:rsidRDefault="00144E96" w:rsidP="00144E96">
      <w:pPr>
        <w:spacing w:after="360"/>
        <w:ind w:left="3240" w:hanging="720"/>
        <w:rPr>
          <w:rFonts w:ascii="Arial" w:hAnsi="Arial" w:cs="Arial"/>
          <w:color w:val="000000" w:themeColor="text1"/>
          <w:sz w:val="24"/>
          <w:szCs w:val="24"/>
        </w:rPr>
      </w:pPr>
      <w:r>
        <w:rPr>
          <w:rFonts w:ascii="Arial" w:hAnsi="Arial" w:cs="Arial"/>
          <w:color w:val="000000" w:themeColor="text1"/>
          <w:sz w:val="24"/>
          <w:szCs w:val="24"/>
        </w:rPr>
        <w:t>3.2.4</w:t>
      </w:r>
      <w:r>
        <w:rPr>
          <w:rFonts w:ascii="Arial" w:hAnsi="Arial" w:cs="Arial"/>
          <w:color w:val="000000" w:themeColor="text1"/>
          <w:sz w:val="24"/>
          <w:szCs w:val="24"/>
        </w:rPr>
        <w:tab/>
      </w:r>
      <w:r w:rsidR="00CB40F7" w:rsidRPr="00144E96">
        <w:rPr>
          <w:rFonts w:ascii="Arial" w:hAnsi="Arial" w:cs="Arial"/>
          <w:color w:val="000000" w:themeColor="text1"/>
          <w:sz w:val="24"/>
          <w:szCs w:val="24"/>
        </w:rPr>
        <w:t>Dr R Bredenkamp (counselling psychologist</w:t>
      </w:r>
      <w:proofErr w:type="gramStart"/>
      <w:r w:rsidR="00CB40F7" w:rsidRPr="00144E96">
        <w:rPr>
          <w:rFonts w:ascii="Arial" w:hAnsi="Arial" w:cs="Arial"/>
          <w:color w:val="000000" w:themeColor="text1"/>
          <w:sz w:val="24"/>
          <w:szCs w:val="24"/>
        </w:rPr>
        <w:t>);</w:t>
      </w:r>
      <w:proofErr w:type="gramEnd"/>
      <w:r w:rsidR="00CB40F7" w:rsidRPr="00144E96">
        <w:rPr>
          <w:rFonts w:ascii="Arial" w:hAnsi="Arial" w:cs="Arial"/>
          <w:color w:val="000000" w:themeColor="text1"/>
          <w:sz w:val="24"/>
          <w:szCs w:val="24"/>
        </w:rPr>
        <w:t xml:space="preserve"> </w:t>
      </w:r>
    </w:p>
    <w:p w14:paraId="5C3CEA78" w14:textId="445F2971" w:rsidR="0015021F" w:rsidRPr="00144E96" w:rsidRDefault="00144E96" w:rsidP="00144E96">
      <w:pPr>
        <w:spacing w:after="360"/>
        <w:ind w:left="3240" w:hanging="720"/>
        <w:rPr>
          <w:rFonts w:ascii="Arial" w:hAnsi="Arial" w:cs="Arial"/>
          <w:color w:val="000000" w:themeColor="text1"/>
          <w:sz w:val="24"/>
          <w:szCs w:val="24"/>
        </w:rPr>
      </w:pPr>
      <w:r>
        <w:rPr>
          <w:rFonts w:ascii="Arial" w:hAnsi="Arial" w:cs="Arial"/>
          <w:color w:val="000000" w:themeColor="text1"/>
          <w:sz w:val="24"/>
          <w:szCs w:val="24"/>
        </w:rPr>
        <w:t>3.2.5</w:t>
      </w:r>
      <w:r>
        <w:rPr>
          <w:rFonts w:ascii="Arial" w:hAnsi="Arial" w:cs="Arial"/>
          <w:color w:val="000000" w:themeColor="text1"/>
          <w:sz w:val="24"/>
          <w:szCs w:val="24"/>
        </w:rPr>
        <w:tab/>
      </w:r>
      <w:proofErr w:type="spellStart"/>
      <w:r w:rsidR="00CB40F7" w:rsidRPr="00144E96">
        <w:rPr>
          <w:rFonts w:ascii="Arial" w:hAnsi="Arial" w:cs="Arial"/>
          <w:color w:val="000000" w:themeColor="text1"/>
          <w:sz w:val="24"/>
          <w:szCs w:val="24"/>
        </w:rPr>
        <w:t>Ms</w:t>
      </w:r>
      <w:proofErr w:type="spellEnd"/>
      <w:r w:rsidR="00CB40F7" w:rsidRPr="00144E96">
        <w:rPr>
          <w:rFonts w:ascii="Arial" w:hAnsi="Arial" w:cs="Arial"/>
          <w:color w:val="000000" w:themeColor="text1"/>
          <w:sz w:val="24"/>
          <w:szCs w:val="24"/>
        </w:rPr>
        <w:t xml:space="preserve"> L Hofmeyr (industrial psychologist</w:t>
      </w:r>
      <w:proofErr w:type="gramStart"/>
      <w:r w:rsidR="00CB40F7" w:rsidRPr="00144E96">
        <w:rPr>
          <w:rFonts w:ascii="Arial" w:hAnsi="Arial" w:cs="Arial"/>
          <w:color w:val="000000" w:themeColor="text1"/>
          <w:sz w:val="24"/>
          <w:szCs w:val="24"/>
        </w:rPr>
        <w:t>);</w:t>
      </w:r>
      <w:proofErr w:type="gramEnd"/>
    </w:p>
    <w:p w14:paraId="29C36C0D" w14:textId="4B7C39BB" w:rsidR="0015021F" w:rsidRPr="00144E96" w:rsidRDefault="00144E96" w:rsidP="00144E96">
      <w:pPr>
        <w:spacing w:after="360"/>
        <w:ind w:left="3240" w:hanging="720"/>
        <w:rPr>
          <w:rFonts w:ascii="Arial" w:hAnsi="Arial" w:cs="Arial"/>
          <w:color w:val="000000" w:themeColor="text1"/>
          <w:sz w:val="24"/>
          <w:szCs w:val="24"/>
        </w:rPr>
      </w:pPr>
      <w:r>
        <w:rPr>
          <w:rFonts w:ascii="Arial" w:hAnsi="Arial" w:cs="Arial"/>
          <w:color w:val="000000" w:themeColor="text1"/>
          <w:sz w:val="24"/>
          <w:szCs w:val="24"/>
        </w:rPr>
        <w:t>3.2.6</w:t>
      </w:r>
      <w:r>
        <w:rPr>
          <w:rFonts w:ascii="Arial" w:hAnsi="Arial" w:cs="Arial"/>
          <w:color w:val="000000" w:themeColor="text1"/>
          <w:sz w:val="24"/>
          <w:szCs w:val="24"/>
        </w:rPr>
        <w:tab/>
      </w:r>
      <w:r w:rsidR="00CB40F7" w:rsidRPr="00144E96">
        <w:rPr>
          <w:rFonts w:ascii="Arial" w:hAnsi="Arial" w:cs="Arial"/>
          <w:color w:val="000000" w:themeColor="text1"/>
          <w:sz w:val="24"/>
          <w:szCs w:val="24"/>
        </w:rPr>
        <w:t xml:space="preserve">Professor T </w:t>
      </w:r>
      <w:proofErr w:type="spellStart"/>
      <w:r w:rsidR="00CB40F7" w:rsidRPr="00144E96">
        <w:rPr>
          <w:rFonts w:ascii="Arial" w:hAnsi="Arial" w:cs="Arial"/>
          <w:color w:val="000000" w:themeColor="text1"/>
          <w:sz w:val="24"/>
          <w:szCs w:val="24"/>
        </w:rPr>
        <w:t>Zabow</w:t>
      </w:r>
      <w:proofErr w:type="spellEnd"/>
      <w:r w:rsidR="00CB40F7" w:rsidRPr="00144E96">
        <w:rPr>
          <w:rFonts w:ascii="Arial" w:hAnsi="Arial" w:cs="Arial"/>
          <w:color w:val="000000" w:themeColor="text1"/>
          <w:sz w:val="24"/>
          <w:szCs w:val="24"/>
        </w:rPr>
        <w:t xml:space="preserve"> (psychiatrist</w:t>
      </w:r>
      <w:proofErr w:type="gramStart"/>
      <w:r w:rsidR="00CB40F7" w:rsidRPr="00144E96">
        <w:rPr>
          <w:rFonts w:ascii="Arial" w:hAnsi="Arial" w:cs="Arial"/>
          <w:color w:val="000000" w:themeColor="text1"/>
          <w:sz w:val="24"/>
          <w:szCs w:val="24"/>
        </w:rPr>
        <w:t>);</w:t>
      </w:r>
      <w:proofErr w:type="gramEnd"/>
    </w:p>
    <w:p w14:paraId="06BACA4C" w14:textId="14456812" w:rsidR="00CB40F7" w:rsidRPr="00144E96" w:rsidRDefault="00144E96" w:rsidP="00144E96">
      <w:pPr>
        <w:spacing w:after="360"/>
        <w:ind w:left="3240" w:hanging="720"/>
        <w:rPr>
          <w:rFonts w:ascii="Arial" w:hAnsi="Arial" w:cs="Arial"/>
          <w:color w:val="000000" w:themeColor="text1"/>
          <w:sz w:val="24"/>
          <w:szCs w:val="24"/>
        </w:rPr>
      </w:pPr>
      <w:r w:rsidRPr="0015021F">
        <w:rPr>
          <w:rFonts w:ascii="Arial" w:hAnsi="Arial" w:cs="Arial"/>
          <w:color w:val="000000" w:themeColor="text1"/>
          <w:sz w:val="24"/>
          <w:szCs w:val="24"/>
        </w:rPr>
        <w:t>3.2.7</w:t>
      </w:r>
      <w:r w:rsidRPr="0015021F">
        <w:rPr>
          <w:rFonts w:ascii="Arial" w:hAnsi="Arial" w:cs="Arial"/>
          <w:color w:val="000000" w:themeColor="text1"/>
          <w:sz w:val="24"/>
          <w:szCs w:val="24"/>
        </w:rPr>
        <w:tab/>
      </w:r>
      <w:proofErr w:type="spellStart"/>
      <w:r w:rsidR="00CB40F7" w:rsidRPr="00144E96">
        <w:rPr>
          <w:rFonts w:ascii="Arial" w:hAnsi="Arial" w:cs="Arial"/>
          <w:color w:val="000000" w:themeColor="text1"/>
          <w:sz w:val="24"/>
          <w:szCs w:val="24"/>
        </w:rPr>
        <w:t>Mr</w:t>
      </w:r>
      <w:proofErr w:type="spellEnd"/>
      <w:r w:rsidR="00CB40F7" w:rsidRPr="00144E96">
        <w:rPr>
          <w:rFonts w:ascii="Arial" w:hAnsi="Arial" w:cs="Arial"/>
          <w:color w:val="000000" w:themeColor="text1"/>
          <w:sz w:val="24"/>
          <w:szCs w:val="24"/>
        </w:rPr>
        <w:t xml:space="preserve"> PW Ennis (actuary</w:t>
      </w:r>
      <w:proofErr w:type="gramStart"/>
      <w:r w:rsidR="00CB40F7" w:rsidRPr="00144E96">
        <w:rPr>
          <w:rFonts w:ascii="Arial" w:hAnsi="Arial" w:cs="Arial"/>
          <w:color w:val="000000" w:themeColor="text1"/>
          <w:sz w:val="24"/>
          <w:szCs w:val="24"/>
        </w:rPr>
        <w:t>);</w:t>
      </w:r>
      <w:proofErr w:type="gramEnd"/>
    </w:p>
    <w:p w14:paraId="4BEE7E69" w14:textId="75A5C3F8" w:rsidR="00CB40F7" w:rsidRPr="00144E96" w:rsidRDefault="00144E96" w:rsidP="00144E96">
      <w:pPr>
        <w:spacing w:after="360"/>
        <w:ind w:left="1800" w:hanging="360"/>
        <w:rPr>
          <w:rFonts w:ascii="Arial" w:hAnsi="Arial" w:cs="Arial"/>
          <w:color w:val="000000" w:themeColor="text1"/>
          <w:sz w:val="24"/>
          <w:szCs w:val="24"/>
        </w:rPr>
      </w:pPr>
      <w:r w:rsidRPr="00CB40F7">
        <w:rPr>
          <w:rFonts w:ascii="Arial" w:hAnsi="Arial" w:cs="Arial"/>
          <w:color w:val="000000" w:themeColor="text1"/>
          <w:sz w:val="24"/>
          <w:szCs w:val="24"/>
        </w:rPr>
        <w:t>3.3</w:t>
      </w:r>
      <w:r w:rsidRPr="00CB40F7">
        <w:rPr>
          <w:rFonts w:ascii="Arial" w:hAnsi="Arial" w:cs="Arial"/>
          <w:color w:val="000000" w:themeColor="text1"/>
          <w:sz w:val="24"/>
          <w:szCs w:val="24"/>
        </w:rPr>
        <w:tab/>
      </w:r>
      <w:r w:rsidR="00CB40F7" w:rsidRPr="00144E96">
        <w:rPr>
          <w:rFonts w:ascii="Arial" w:hAnsi="Arial" w:cs="Arial"/>
          <w:color w:val="000000" w:themeColor="text1"/>
          <w:sz w:val="24"/>
          <w:szCs w:val="24"/>
        </w:rPr>
        <w:t>Costs of plaintiff’s counsel on scale C.</w:t>
      </w:r>
    </w:p>
    <w:p w14:paraId="0BC66423" w14:textId="77777777" w:rsidR="00CB40F7" w:rsidRDefault="00CB40F7" w:rsidP="00CB40F7">
      <w:pPr>
        <w:pStyle w:val="ListParagraph"/>
        <w:spacing w:after="360"/>
        <w:rPr>
          <w:rFonts w:ascii="Arial" w:hAnsi="Arial" w:cs="Arial"/>
          <w:color w:val="000000" w:themeColor="text1"/>
          <w:sz w:val="24"/>
          <w:szCs w:val="24"/>
        </w:rPr>
      </w:pPr>
    </w:p>
    <w:p w14:paraId="41071EFA" w14:textId="50A9F1E2" w:rsidR="00DF51D9" w:rsidRPr="00144E96" w:rsidRDefault="00144E96" w:rsidP="00144E96">
      <w:pPr>
        <w:spacing w:after="360"/>
        <w:ind w:left="720" w:hanging="360"/>
        <w:rPr>
          <w:rFonts w:ascii="Arial" w:hAnsi="Arial" w:cs="Arial"/>
          <w:color w:val="000000" w:themeColor="text1"/>
          <w:sz w:val="24"/>
          <w:szCs w:val="24"/>
        </w:rPr>
      </w:pPr>
      <w:r w:rsidRPr="0015021F">
        <w:rPr>
          <w:rFonts w:ascii="Arial" w:hAnsi="Arial" w:cs="Arial"/>
          <w:color w:val="000000" w:themeColor="text1"/>
          <w:sz w:val="24"/>
          <w:szCs w:val="24"/>
        </w:rPr>
        <w:t>4.</w:t>
      </w:r>
      <w:r w:rsidRPr="0015021F">
        <w:rPr>
          <w:rFonts w:ascii="Arial" w:hAnsi="Arial" w:cs="Arial"/>
          <w:color w:val="000000" w:themeColor="text1"/>
          <w:sz w:val="24"/>
          <w:szCs w:val="24"/>
        </w:rPr>
        <w:tab/>
      </w:r>
      <w:r w:rsidR="00DF51D9" w:rsidRPr="00144E96">
        <w:rPr>
          <w:rFonts w:ascii="Arial" w:hAnsi="Arial" w:cs="Arial"/>
          <w:bCs/>
          <w:sz w:val="24"/>
          <w:szCs w:val="24"/>
          <w:lang w:val="en-GB"/>
        </w:rPr>
        <w:t>The defendant shall pay the capital amount</w:t>
      </w:r>
      <w:r w:rsidR="002C4FDC" w:rsidRPr="00144E96">
        <w:rPr>
          <w:rFonts w:ascii="Arial" w:hAnsi="Arial" w:cs="Arial"/>
          <w:bCs/>
          <w:sz w:val="24"/>
          <w:szCs w:val="24"/>
          <w:lang w:val="en-GB"/>
        </w:rPr>
        <w:t>s</w:t>
      </w:r>
      <w:r w:rsidR="00DF51D9" w:rsidRPr="00144E96">
        <w:rPr>
          <w:rFonts w:ascii="Arial" w:hAnsi="Arial" w:cs="Arial"/>
          <w:bCs/>
          <w:sz w:val="24"/>
          <w:szCs w:val="24"/>
          <w:lang w:val="en-GB"/>
        </w:rPr>
        <w:t xml:space="preserve"> referred to in paragraph </w:t>
      </w:r>
      <w:r w:rsidR="00E910F0" w:rsidRPr="00144E96">
        <w:rPr>
          <w:rFonts w:ascii="Arial" w:hAnsi="Arial" w:cs="Arial"/>
          <w:bCs/>
          <w:sz w:val="24"/>
          <w:szCs w:val="24"/>
          <w:lang w:val="en-GB"/>
        </w:rPr>
        <w:t>1</w:t>
      </w:r>
      <w:r w:rsidR="00DF51D9" w:rsidRPr="00144E96">
        <w:rPr>
          <w:rFonts w:ascii="Arial" w:hAnsi="Arial" w:cs="Arial"/>
          <w:bCs/>
          <w:sz w:val="24"/>
          <w:szCs w:val="24"/>
          <w:lang w:val="en-GB"/>
        </w:rPr>
        <w:t xml:space="preserve"> above directly into the plaintiff’s attorneys’ trust account within 180 calendar days from the date of this order, however, the defendant will be liable for interest on the </w:t>
      </w:r>
      <w:r w:rsidR="00DF51D9" w:rsidRPr="00144E96">
        <w:rPr>
          <w:rFonts w:ascii="Arial" w:hAnsi="Arial" w:cs="Arial"/>
          <w:bCs/>
          <w:sz w:val="24"/>
          <w:szCs w:val="24"/>
          <w:lang w:val="en-GB"/>
        </w:rPr>
        <w:lastRenderedPageBreak/>
        <w:t>capital amount at the applicable interest rate as from 14 court days from date of this order to the date of final payment. The plaintiff shall not proceed with a warrant of execution prior to the expiry of the aforesaid 180-day period.</w:t>
      </w:r>
    </w:p>
    <w:p w14:paraId="47216C0B" w14:textId="77777777" w:rsidR="0015021F" w:rsidRPr="00CB40F7" w:rsidRDefault="0015021F" w:rsidP="0015021F">
      <w:pPr>
        <w:pStyle w:val="ListParagraph"/>
        <w:spacing w:after="360"/>
        <w:rPr>
          <w:rFonts w:ascii="Arial" w:hAnsi="Arial" w:cs="Arial"/>
          <w:color w:val="000000" w:themeColor="text1"/>
          <w:sz w:val="24"/>
          <w:szCs w:val="24"/>
        </w:rPr>
      </w:pPr>
    </w:p>
    <w:p w14:paraId="7F2EDC5A" w14:textId="5802521B" w:rsidR="00CB40F7" w:rsidRPr="00144E96" w:rsidRDefault="00144E96" w:rsidP="00144E96">
      <w:pPr>
        <w:spacing w:after="360"/>
        <w:ind w:left="720" w:hanging="360"/>
        <w:rPr>
          <w:rFonts w:ascii="Arial" w:hAnsi="Arial" w:cs="Arial"/>
          <w:color w:val="000000" w:themeColor="text1"/>
          <w:sz w:val="24"/>
          <w:szCs w:val="24"/>
        </w:rPr>
      </w:pPr>
      <w:r w:rsidRPr="00CB40F7">
        <w:rPr>
          <w:rFonts w:ascii="Arial" w:hAnsi="Arial" w:cs="Arial"/>
          <w:color w:val="000000" w:themeColor="text1"/>
          <w:sz w:val="24"/>
          <w:szCs w:val="24"/>
        </w:rPr>
        <w:t>5.</w:t>
      </w:r>
      <w:r w:rsidRPr="00CB40F7">
        <w:rPr>
          <w:rFonts w:ascii="Arial" w:hAnsi="Arial" w:cs="Arial"/>
          <w:color w:val="000000" w:themeColor="text1"/>
          <w:sz w:val="24"/>
          <w:szCs w:val="24"/>
        </w:rPr>
        <w:tab/>
      </w:r>
      <w:r w:rsidR="00DF51D9" w:rsidRPr="00144E96">
        <w:rPr>
          <w:rFonts w:ascii="Arial" w:hAnsi="Arial" w:cs="Arial"/>
          <w:bCs/>
          <w:sz w:val="24"/>
          <w:szCs w:val="24"/>
          <w:lang w:val="en-GB"/>
        </w:rPr>
        <w:t xml:space="preserve">Payment of the taxed or agreed costs set out in paragraph </w:t>
      </w:r>
      <w:r w:rsidR="00E910F0" w:rsidRPr="00144E96">
        <w:rPr>
          <w:rFonts w:ascii="Arial" w:hAnsi="Arial" w:cs="Arial"/>
          <w:bCs/>
          <w:sz w:val="24"/>
          <w:szCs w:val="24"/>
          <w:lang w:val="en-GB"/>
        </w:rPr>
        <w:t>3</w:t>
      </w:r>
      <w:r w:rsidR="00DF51D9" w:rsidRPr="00144E96">
        <w:rPr>
          <w:rFonts w:ascii="Arial" w:hAnsi="Arial" w:cs="Arial"/>
          <w:bCs/>
          <w:sz w:val="24"/>
          <w:szCs w:val="24"/>
          <w:lang w:val="en-GB"/>
        </w:rPr>
        <w:t xml:space="preserve"> above shall be </w:t>
      </w:r>
      <w:proofErr w:type="gramStart"/>
      <w:r w:rsidR="00DF51D9" w:rsidRPr="00144E96">
        <w:rPr>
          <w:rFonts w:ascii="Arial" w:hAnsi="Arial" w:cs="Arial"/>
          <w:bCs/>
          <w:sz w:val="24"/>
          <w:szCs w:val="24"/>
          <w:lang w:val="en-GB"/>
        </w:rPr>
        <w:t>effected</w:t>
      </w:r>
      <w:proofErr w:type="gramEnd"/>
      <w:r w:rsidR="00DF51D9" w:rsidRPr="00144E96">
        <w:rPr>
          <w:rFonts w:ascii="Arial" w:hAnsi="Arial" w:cs="Arial"/>
          <w:bCs/>
          <w:sz w:val="24"/>
          <w:szCs w:val="24"/>
          <w:lang w:val="en-GB"/>
        </w:rPr>
        <w:t xml:space="preserve"> directly into the plaintiff's attorneys’ trust account subject to the following conditions:</w:t>
      </w:r>
    </w:p>
    <w:p w14:paraId="0DB1040F" w14:textId="456F1DF3" w:rsidR="00CB40F7" w:rsidRPr="00144E96" w:rsidRDefault="00144E96" w:rsidP="00144E96">
      <w:pPr>
        <w:spacing w:after="360"/>
        <w:ind w:left="1800" w:hanging="360"/>
        <w:rPr>
          <w:rFonts w:ascii="Arial" w:hAnsi="Arial" w:cs="Arial"/>
          <w:color w:val="000000" w:themeColor="text1"/>
          <w:sz w:val="24"/>
          <w:szCs w:val="24"/>
        </w:rPr>
      </w:pPr>
      <w:r w:rsidRPr="00DC02CB">
        <w:rPr>
          <w:rFonts w:ascii="Arial" w:hAnsi="Arial" w:cs="Arial"/>
          <w:color w:val="000000" w:themeColor="text1"/>
          <w:sz w:val="24"/>
          <w:szCs w:val="24"/>
        </w:rPr>
        <w:t>5.1</w:t>
      </w:r>
      <w:r w:rsidRPr="00DC02CB">
        <w:rPr>
          <w:rFonts w:ascii="Arial" w:hAnsi="Arial" w:cs="Arial"/>
          <w:color w:val="000000" w:themeColor="text1"/>
          <w:sz w:val="24"/>
          <w:szCs w:val="24"/>
        </w:rPr>
        <w:tab/>
      </w:r>
      <w:r w:rsidR="00CB40F7" w:rsidRPr="00144E96">
        <w:rPr>
          <w:rFonts w:ascii="Arial" w:hAnsi="Arial" w:cs="Arial"/>
          <w:bCs/>
          <w:sz w:val="24"/>
          <w:szCs w:val="24"/>
          <w:lang w:val="en-GB"/>
        </w:rPr>
        <w:t xml:space="preserve">In the event that costs are not agreed, the plaintiff agrees to </w:t>
      </w:r>
      <w:proofErr w:type="gramStart"/>
      <w:r w:rsidR="00CB40F7" w:rsidRPr="00144E96">
        <w:rPr>
          <w:rFonts w:ascii="Arial" w:hAnsi="Arial" w:cs="Arial"/>
          <w:bCs/>
          <w:sz w:val="24"/>
          <w:szCs w:val="24"/>
          <w:lang w:val="en-GB"/>
        </w:rPr>
        <w:t>serve</w:t>
      </w:r>
      <w:proofErr w:type="gramEnd"/>
      <w:r w:rsidR="00CB40F7" w:rsidRPr="00144E96">
        <w:rPr>
          <w:rFonts w:ascii="Arial" w:hAnsi="Arial" w:cs="Arial"/>
          <w:bCs/>
          <w:sz w:val="24"/>
          <w:szCs w:val="24"/>
          <w:lang w:val="en-GB"/>
        </w:rPr>
        <w:t xml:space="preserve"> </w:t>
      </w:r>
    </w:p>
    <w:p w14:paraId="1612CEA5" w14:textId="51060885" w:rsidR="00DC02CB" w:rsidRPr="00CB40F7" w:rsidRDefault="00DC02CB" w:rsidP="00DC02CB">
      <w:pPr>
        <w:pStyle w:val="ListParagraph"/>
        <w:spacing w:after="360"/>
        <w:ind w:left="1800"/>
        <w:rPr>
          <w:rFonts w:ascii="Arial" w:hAnsi="Arial" w:cs="Arial"/>
          <w:color w:val="000000" w:themeColor="text1"/>
          <w:sz w:val="24"/>
          <w:szCs w:val="24"/>
        </w:rPr>
      </w:pPr>
      <w:r>
        <w:rPr>
          <w:rFonts w:ascii="Arial" w:hAnsi="Arial" w:cs="Arial"/>
          <w:bCs/>
          <w:sz w:val="24"/>
          <w:szCs w:val="24"/>
          <w:lang w:val="en-GB"/>
        </w:rPr>
        <w:t xml:space="preserve">the notice of taxation on the </w:t>
      </w:r>
      <w:proofErr w:type="gramStart"/>
      <w:r>
        <w:rPr>
          <w:rFonts w:ascii="Arial" w:hAnsi="Arial" w:cs="Arial"/>
          <w:bCs/>
          <w:sz w:val="24"/>
          <w:szCs w:val="24"/>
          <w:lang w:val="en-GB"/>
        </w:rPr>
        <w:t>defendant;</w:t>
      </w:r>
      <w:proofErr w:type="gramEnd"/>
    </w:p>
    <w:p w14:paraId="138C4008" w14:textId="2E37DBAB" w:rsidR="00CB40F7" w:rsidRPr="00144E96" w:rsidRDefault="00144E96" w:rsidP="00144E96">
      <w:pPr>
        <w:spacing w:after="360"/>
        <w:ind w:left="1800" w:hanging="360"/>
        <w:rPr>
          <w:rFonts w:ascii="Arial" w:hAnsi="Arial" w:cs="Arial"/>
          <w:color w:val="000000" w:themeColor="text1"/>
          <w:sz w:val="24"/>
          <w:szCs w:val="24"/>
        </w:rPr>
      </w:pPr>
      <w:r w:rsidRPr="00CB40F7">
        <w:rPr>
          <w:rFonts w:ascii="Arial" w:hAnsi="Arial" w:cs="Arial"/>
          <w:color w:val="000000" w:themeColor="text1"/>
          <w:sz w:val="24"/>
          <w:szCs w:val="24"/>
        </w:rPr>
        <w:t>5.2</w:t>
      </w:r>
      <w:r w:rsidRPr="00CB40F7">
        <w:rPr>
          <w:rFonts w:ascii="Arial" w:hAnsi="Arial" w:cs="Arial"/>
          <w:color w:val="000000" w:themeColor="text1"/>
          <w:sz w:val="24"/>
          <w:szCs w:val="24"/>
        </w:rPr>
        <w:tab/>
      </w:r>
      <w:r w:rsidR="00CB40F7" w:rsidRPr="00144E96">
        <w:rPr>
          <w:rFonts w:ascii="Arial" w:hAnsi="Arial" w:cs="Arial"/>
          <w:bCs/>
          <w:sz w:val="24"/>
          <w:szCs w:val="24"/>
          <w:lang w:val="en-GB"/>
        </w:rPr>
        <w:t xml:space="preserve">The defendant shall make payment of the costs as taxed or agreed within 180 </w:t>
      </w:r>
      <w:r w:rsidR="00972171" w:rsidRPr="00144E96">
        <w:rPr>
          <w:rFonts w:ascii="Arial" w:hAnsi="Arial" w:cs="Arial"/>
          <w:bCs/>
          <w:sz w:val="24"/>
          <w:szCs w:val="24"/>
          <w:lang w:val="en-GB"/>
        </w:rPr>
        <w:t xml:space="preserve">calendar </w:t>
      </w:r>
      <w:r w:rsidR="00CB40F7" w:rsidRPr="00144E96">
        <w:rPr>
          <w:rFonts w:ascii="Arial" w:hAnsi="Arial" w:cs="Arial"/>
          <w:bCs/>
          <w:sz w:val="24"/>
          <w:szCs w:val="24"/>
          <w:lang w:val="en-GB"/>
        </w:rPr>
        <w:t xml:space="preserve">days from the date of taxation or agreement of the </w:t>
      </w:r>
      <w:proofErr w:type="gramStart"/>
      <w:r w:rsidR="00CB40F7" w:rsidRPr="00144E96">
        <w:rPr>
          <w:rFonts w:ascii="Arial" w:hAnsi="Arial" w:cs="Arial"/>
          <w:bCs/>
          <w:sz w:val="24"/>
          <w:szCs w:val="24"/>
          <w:lang w:val="en-GB"/>
        </w:rPr>
        <w:t>costs</w:t>
      </w:r>
      <w:r w:rsidR="00972171" w:rsidRPr="00144E96">
        <w:rPr>
          <w:rFonts w:ascii="Arial" w:hAnsi="Arial" w:cs="Arial"/>
          <w:bCs/>
          <w:sz w:val="24"/>
          <w:szCs w:val="24"/>
          <w:lang w:val="en-GB"/>
        </w:rPr>
        <w:t>;</w:t>
      </w:r>
      <w:proofErr w:type="gramEnd"/>
    </w:p>
    <w:p w14:paraId="6EE6466B" w14:textId="5E941EE7" w:rsidR="00CB40F7" w:rsidRPr="00144E96" w:rsidRDefault="00144E96" w:rsidP="00144E96">
      <w:pPr>
        <w:spacing w:after="360"/>
        <w:ind w:left="1800" w:hanging="360"/>
        <w:rPr>
          <w:rFonts w:ascii="Arial" w:hAnsi="Arial" w:cs="Arial"/>
          <w:color w:val="000000" w:themeColor="text1"/>
          <w:sz w:val="24"/>
          <w:szCs w:val="24"/>
        </w:rPr>
      </w:pPr>
      <w:r w:rsidRPr="007415BE">
        <w:rPr>
          <w:rFonts w:ascii="Arial" w:hAnsi="Arial" w:cs="Arial"/>
          <w:color w:val="000000" w:themeColor="text1"/>
          <w:sz w:val="24"/>
          <w:szCs w:val="24"/>
        </w:rPr>
        <w:t>5.3</w:t>
      </w:r>
      <w:r w:rsidRPr="007415BE">
        <w:rPr>
          <w:rFonts w:ascii="Arial" w:hAnsi="Arial" w:cs="Arial"/>
          <w:color w:val="000000" w:themeColor="text1"/>
          <w:sz w:val="24"/>
          <w:szCs w:val="24"/>
        </w:rPr>
        <w:tab/>
      </w:r>
      <w:r w:rsidR="00CB40F7" w:rsidRPr="00144E96">
        <w:rPr>
          <w:rFonts w:ascii="Arial" w:hAnsi="Arial" w:cs="Arial"/>
          <w:bCs/>
          <w:sz w:val="24"/>
          <w:szCs w:val="24"/>
          <w:lang w:val="en-GB"/>
        </w:rPr>
        <w:t>The plaintiff shall not proceed with a warrant of execution prior to the expiry of the aforesaid 180-day period.</w:t>
      </w:r>
    </w:p>
    <w:p w14:paraId="0F1387C1" w14:textId="77777777" w:rsidR="007415BE" w:rsidRPr="00CB40F7" w:rsidRDefault="007415BE" w:rsidP="007415BE">
      <w:pPr>
        <w:pStyle w:val="ListParagraph"/>
        <w:spacing w:after="360"/>
        <w:ind w:left="1800"/>
        <w:rPr>
          <w:rFonts w:ascii="Arial" w:hAnsi="Arial" w:cs="Arial"/>
          <w:color w:val="000000" w:themeColor="text1"/>
          <w:sz w:val="24"/>
          <w:szCs w:val="24"/>
        </w:rPr>
      </w:pPr>
    </w:p>
    <w:p w14:paraId="7B5E70F1" w14:textId="2D3F428F" w:rsidR="006076A0" w:rsidRPr="00144E96" w:rsidRDefault="00144E96" w:rsidP="00144E96">
      <w:pPr>
        <w:spacing w:after="360"/>
        <w:ind w:left="720" w:hanging="360"/>
        <w:rPr>
          <w:rFonts w:ascii="Arial" w:hAnsi="Arial" w:cs="Arial"/>
          <w:color w:val="000000" w:themeColor="text1"/>
          <w:sz w:val="24"/>
          <w:szCs w:val="24"/>
        </w:rPr>
      </w:pPr>
      <w:r w:rsidRPr="00972171">
        <w:rPr>
          <w:rFonts w:ascii="Arial" w:hAnsi="Arial" w:cs="Arial"/>
          <w:color w:val="000000" w:themeColor="text1"/>
          <w:sz w:val="24"/>
          <w:szCs w:val="24"/>
        </w:rPr>
        <w:t>6.</w:t>
      </w:r>
      <w:r w:rsidRPr="00972171">
        <w:rPr>
          <w:rFonts w:ascii="Arial" w:hAnsi="Arial" w:cs="Arial"/>
          <w:color w:val="000000" w:themeColor="text1"/>
          <w:sz w:val="24"/>
          <w:szCs w:val="24"/>
        </w:rPr>
        <w:tab/>
      </w:r>
      <w:r w:rsidR="006076A0" w:rsidRPr="00144E96">
        <w:rPr>
          <w:rFonts w:ascii="Arial" w:hAnsi="Arial" w:cs="Arial"/>
          <w:bCs/>
          <w:sz w:val="24"/>
          <w:szCs w:val="24"/>
          <w:lang w:val="en-GB"/>
        </w:rPr>
        <w:t>The plaintiff’s attorneys’ trust banking account details are as follows:</w:t>
      </w:r>
    </w:p>
    <w:p w14:paraId="70592294" w14:textId="77777777" w:rsidR="00972171" w:rsidRPr="00972171" w:rsidRDefault="00972171" w:rsidP="00972171">
      <w:pPr>
        <w:pStyle w:val="ListParagraph"/>
        <w:rPr>
          <w:rFonts w:ascii="Arial" w:hAnsi="Arial" w:cs="Arial"/>
          <w:bCs/>
          <w:sz w:val="24"/>
          <w:szCs w:val="24"/>
          <w:lang w:val="en-GB"/>
        </w:rPr>
      </w:pPr>
      <w:r w:rsidRPr="00972171">
        <w:rPr>
          <w:rFonts w:ascii="Arial" w:hAnsi="Arial" w:cs="Arial"/>
          <w:bCs/>
          <w:sz w:val="24"/>
          <w:szCs w:val="24"/>
          <w:lang w:val="en-GB"/>
        </w:rPr>
        <w:t>Account Holder:</w:t>
      </w:r>
      <w:r w:rsidRPr="00972171">
        <w:rPr>
          <w:rFonts w:ascii="Arial" w:hAnsi="Arial" w:cs="Arial"/>
          <w:bCs/>
          <w:sz w:val="24"/>
          <w:szCs w:val="24"/>
          <w:lang w:val="en-GB"/>
        </w:rPr>
        <w:tab/>
      </w:r>
      <w:r w:rsidRPr="00972171">
        <w:rPr>
          <w:rFonts w:ascii="Arial" w:hAnsi="Arial" w:cs="Arial"/>
          <w:bCs/>
          <w:sz w:val="24"/>
          <w:szCs w:val="24"/>
          <w:lang w:val="en-GB"/>
        </w:rPr>
        <w:tab/>
        <w:t xml:space="preserve">Heyns &amp; </w:t>
      </w:r>
      <w:proofErr w:type="spellStart"/>
      <w:r w:rsidRPr="00972171">
        <w:rPr>
          <w:rFonts w:ascii="Arial" w:hAnsi="Arial" w:cs="Arial"/>
          <w:bCs/>
          <w:sz w:val="24"/>
          <w:szCs w:val="24"/>
          <w:lang w:val="en-GB"/>
        </w:rPr>
        <w:t>Vennote</w:t>
      </w:r>
      <w:proofErr w:type="spellEnd"/>
      <w:r w:rsidRPr="00972171">
        <w:rPr>
          <w:rFonts w:ascii="Arial" w:hAnsi="Arial" w:cs="Arial"/>
          <w:bCs/>
          <w:sz w:val="24"/>
          <w:szCs w:val="24"/>
          <w:lang w:val="en-GB"/>
        </w:rPr>
        <w:t xml:space="preserve"> Inc.</w:t>
      </w:r>
    </w:p>
    <w:p w14:paraId="26907BE8" w14:textId="77777777" w:rsidR="00972171" w:rsidRPr="00972171" w:rsidRDefault="00972171" w:rsidP="00972171">
      <w:pPr>
        <w:pStyle w:val="ListParagraph"/>
        <w:rPr>
          <w:rFonts w:ascii="Arial" w:hAnsi="Arial" w:cs="Arial"/>
          <w:bCs/>
          <w:sz w:val="24"/>
          <w:szCs w:val="24"/>
          <w:lang w:val="en-GB"/>
        </w:rPr>
      </w:pPr>
      <w:r w:rsidRPr="00972171">
        <w:rPr>
          <w:rFonts w:ascii="Arial" w:hAnsi="Arial" w:cs="Arial"/>
          <w:bCs/>
          <w:sz w:val="24"/>
          <w:szCs w:val="24"/>
          <w:lang w:val="en-GB"/>
        </w:rPr>
        <w:t>Bank:</w:t>
      </w:r>
      <w:r w:rsidRPr="00972171">
        <w:rPr>
          <w:rFonts w:ascii="Arial" w:hAnsi="Arial" w:cs="Arial"/>
          <w:bCs/>
          <w:sz w:val="24"/>
          <w:szCs w:val="24"/>
          <w:lang w:val="en-GB"/>
        </w:rPr>
        <w:tab/>
      </w:r>
      <w:r w:rsidRPr="00972171">
        <w:rPr>
          <w:rFonts w:ascii="Arial" w:hAnsi="Arial" w:cs="Arial"/>
          <w:bCs/>
          <w:sz w:val="24"/>
          <w:szCs w:val="24"/>
          <w:lang w:val="en-GB"/>
        </w:rPr>
        <w:tab/>
      </w:r>
      <w:r w:rsidRPr="00972171">
        <w:rPr>
          <w:rFonts w:ascii="Arial" w:hAnsi="Arial" w:cs="Arial"/>
          <w:bCs/>
          <w:sz w:val="24"/>
          <w:szCs w:val="24"/>
          <w:lang w:val="en-GB"/>
        </w:rPr>
        <w:tab/>
      </w:r>
      <w:r w:rsidRPr="00972171">
        <w:rPr>
          <w:rFonts w:ascii="Arial" w:hAnsi="Arial" w:cs="Arial"/>
          <w:bCs/>
          <w:sz w:val="24"/>
          <w:szCs w:val="24"/>
          <w:lang w:val="en-GB"/>
        </w:rPr>
        <w:tab/>
        <w:t>ABSA</w:t>
      </w:r>
    </w:p>
    <w:p w14:paraId="0FEE3BBD" w14:textId="77777777" w:rsidR="00972171" w:rsidRPr="00972171" w:rsidRDefault="00972171" w:rsidP="00972171">
      <w:pPr>
        <w:pStyle w:val="ListParagraph"/>
        <w:rPr>
          <w:rFonts w:ascii="Arial" w:hAnsi="Arial" w:cs="Arial"/>
          <w:bCs/>
          <w:sz w:val="24"/>
          <w:szCs w:val="24"/>
          <w:lang w:val="en-GB"/>
        </w:rPr>
      </w:pPr>
      <w:r w:rsidRPr="00972171">
        <w:rPr>
          <w:rFonts w:ascii="Arial" w:hAnsi="Arial" w:cs="Arial"/>
          <w:bCs/>
          <w:sz w:val="24"/>
          <w:szCs w:val="24"/>
          <w:lang w:val="en-GB"/>
        </w:rPr>
        <w:t>Account Number:</w:t>
      </w:r>
      <w:r w:rsidRPr="00972171">
        <w:rPr>
          <w:rFonts w:ascii="Arial" w:hAnsi="Arial" w:cs="Arial"/>
          <w:bCs/>
          <w:sz w:val="24"/>
          <w:szCs w:val="24"/>
          <w:lang w:val="en-GB"/>
        </w:rPr>
        <w:tab/>
      </w:r>
      <w:r w:rsidRPr="00972171">
        <w:rPr>
          <w:rFonts w:ascii="Arial" w:hAnsi="Arial" w:cs="Arial"/>
          <w:bCs/>
          <w:sz w:val="24"/>
          <w:szCs w:val="24"/>
          <w:lang w:val="en-GB"/>
        </w:rPr>
        <w:tab/>
        <w:t>0620143251</w:t>
      </w:r>
    </w:p>
    <w:p w14:paraId="41768DF0" w14:textId="77777777" w:rsidR="00972171" w:rsidRPr="00972171" w:rsidRDefault="00972171" w:rsidP="00972171">
      <w:pPr>
        <w:pStyle w:val="ListParagraph"/>
        <w:rPr>
          <w:rFonts w:ascii="Arial" w:hAnsi="Arial" w:cs="Arial"/>
          <w:bCs/>
          <w:sz w:val="24"/>
          <w:szCs w:val="24"/>
          <w:lang w:val="en-GB"/>
        </w:rPr>
      </w:pPr>
      <w:r w:rsidRPr="00972171">
        <w:rPr>
          <w:rFonts w:ascii="Arial" w:hAnsi="Arial" w:cs="Arial"/>
          <w:bCs/>
          <w:sz w:val="24"/>
          <w:szCs w:val="24"/>
          <w:lang w:val="en-GB"/>
        </w:rPr>
        <w:t>Branch Code:</w:t>
      </w:r>
      <w:r w:rsidRPr="00972171">
        <w:rPr>
          <w:rFonts w:ascii="Arial" w:hAnsi="Arial" w:cs="Arial"/>
          <w:bCs/>
          <w:sz w:val="24"/>
          <w:szCs w:val="24"/>
          <w:lang w:val="en-GB"/>
        </w:rPr>
        <w:tab/>
      </w:r>
      <w:r w:rsidRPr="00972171">
        <w:rPr>
          <w:rFonts w:ascii="Arial" w:hAnsi="Arial" w:cs="Arial"/>
          <w:bCs/>
          <w:sz w:val="24"/>
          <w:szCs w:val="24"/>
          <w:lang w:val="en-GB"/>
        </w:rPr>
        <w:tab/>
        <w:t>632005</w:t>
      </w:r>
    </w:p>
    <w:p w14:paraId="7C300694" w14:textId="77777777" w:rsidR="00972171" w:rsidRPr="00972171" w:rsidRDefault="00972171" w:rsidP="00972171">
      <w:pPr>
        <w:pStyle w:val="ListParagraph"/>
        <w:rPr>
          <w:rFonts w:ascii="Arial" w:hAnsi="Arial" w:cs="Arial"/>
          <w:bCs/>
          <w:sz w:val="24"/>
          <w:szCs w:val="24"/>
          <w:lang w:val="en-GB"/>
        </w:rPr>
      </w:pPr>
      <w:r w:rsidRPr="00972171">
        <w:rPr>
          <w:rFonts w:ascii="Arial" w:hAnsi="Arial" w:cs="Arial"/>
          <w:bCs/>
          <w:sz w:val="24"/>
          <w:szCs w:val="24"/>
          <w:lang w:val="en-GB"/>
        </w:rPr>
        <w:t>REF:</w:t>
      </w:r>
      <w:r w:rsidRPr="00972171">
        <w:rPr>
          <w:rFonts w:ascii="Arial" w:hAnsi="Arial" w:cs="Arial"/>
          <w:bCs/>
          <w:sz w:val="24"/>
          <w:szCs w:val="24"/>
          <w:lang w:val="en-GB"/>
        </w:rPr>
        <w:tab/>
      </w:r>
      <w:r w:rsidRPr="00972171">
        <w:rPr>
          <w:rFonts w:ascii="Arial" w:hAnsi="Arial" w:cs="Arial"/>
          <w:bCs/>
          <w:sz w:val="24"/>
          <w:szCs w:val="24"/>
          <w:lang w:val="en-GB"/>
        </w:rPr>
        <w:tab/>
      </w:r>
      <w:r w:rsidRPr="00972171">
        <w:rPr>
          <w:rFonts w:ascii="Arial" w:hAnsi="Arial" w:cs="Arial"/>
          <w:bCs/>
          <w:sz w:val="24"/>
          <w:szCs w:val="24"/>
          <w:lang w:val="en-GB"/>
        </w:rPr>
        <w:tab/>
      </w:r>
      <w:r w:rsidRPr="00972171">
        <w:rPr>
          <w:rFonts w:ascii="Arial" w:hAnsi="Arial" w:cs="Arial"/>
          <w:bCs/>
          <w:sz w:val="24"/>
          <w:szCs w:val="24"/>
          <w:lang w:val="en-GB"/>
        </w:rPr>
        <w:tab/>
      </w:r>
      <w:proofErr w:type="spellStart"/>
      <w:r w:rsidRPr="00972171">
        <w:rPr>
          <w:rFonts w:ascii="Arial" w:hAnsi="Arial" w:cs="Arial"/>
          <w:bCs/>
          <w:sz w:val="24"/>
          <w:szCs w:val="24"/>
          <w:lang w:val="en-GB"/>
        </w:rPr>
        <w:t>CSvH</w:t>
      </w:r>
      <w:proofErr w:type="spellEnd"/>
      <w:r w:rsidRPr="00972171">
        <w:rPr>
          <w:rFonts w:ascii="Arial" w:hAnsi="Arial" w:cs="Arial"/>
          <w:bCs/>
          <w:sz w:val="24"/>
          <w:szCs w:val="24"/>
          <w:lang w:val="en-GB"/>
        </w:rPr>
        <w:t>/se/S59918</w:t>
      </w:r>
    </w:p>
    <w:p w14:paraId="6146B34B" w14:textId="77777777" w:rsidR="00972171" w:rsidRPr="00972171" w:rsidRDefault="00972171" w:rsidP="00972171">
      <w:pPr>
        <w:pStyle w:val="ListParagraph"/>
        <w:spacing w:after="360"/>
        <w:rPr>
          <w:rFonts w:ascii="Arial" w:hAnsi="Arial" w:cs="Arial"/>
          <w:color w:val="000000" w:themeColor="text1"/>
          <w:sz w:val="24"/>
          <w:szCs w:val="24"/>
        </w:rPr>
      </w:pPr>
    </w:p>
    <w:p w14:paraId="04C96C53" w14:textId="7AE6CB89" w:rsidR="006076A0" w:rsidRPr="00144E96" w:rsidRDefault="00144E96" w:rsidP="00144E96">
      <w:pPr>
        <w:spacing w:after="360"/>
        <w:ind w:left="720" w:hanging="360"/>
        <w:rPr>
          <w:rFonts w:ascii="Arial" w:hAnsi="Arial" w:cs="Arial"/>
          <w:color w:val="000000" w:themeColor="text1"/>
          <w:sz w:val="24"/>
          <w:szCs w:val="24"/>
        </w:rPr>
      </w:pPr>
      <w:r w:rsidRPr="00972171">
        <w:rPr>
          <w:rFonts w:ascii="Arial" w:hAnsi="Arial" w:cs="Arial"/>
          <w:color w:val="000000" w:themeColor="text1"/>
          <w:sz w:val="24"/>
          <w:szCs w:val="24"/>
        </w:rPr>
        <w:lastRenderedPageBreak/>
        <w:t>7.</w:t>
      </w:r>
      <w:r w:rsidRPr="00972171">
        <w:rPr>
          <w:rFonts w:ascii="Arial" w:hAnsi="Arial" w:cs="Arial"/>
          <w:color w:val="000000" w:themeColor="text1"/>
          <w:sz w:val="24"/>
          <w:szCs w:val="24"/>
        </w:rPr>
        <w:tab/>
      </w:r>
      <w:r w:rsidR="006076A0" w:rsidRPr="00144E96">
        <w:rPr>
          <w:rFonts w:ascii="Arial" w:hAnsi="Arial" w:cs="Arial"/>
          <w:bCs/>
          <w:sz w:val="24"/>
          <w:szCs w:val="24"/>
          <w:lang w:val="en-GB"/>
        </w:rPr>
        <w:t>It is recorded that the plaintiff and attorney of record will comply with section 4(1) and (2) of the Contingency Fees Act 66 of 1997 and will file the required affidavit with the Registrar of the Court</w:t>
      </w:r>
      <w:r w:rsidR="00EE19FF" w:rsidRPr="00144E96">
        <w:rPr>
          <w:rFonts w:ascii="Arial" w:hAnsi="Arial" w:cs="Arial"/>
          <w:bCs/>
          <w:sz w:val="24"/>
          <w:szCs w:val="24"/>
          <w:lang w:val="en-GB"/>
        </w:rPr>
        <w:t>.</w:t>
      </w:r>
    </w:p>
    <w:p w14:paraId="6BB90E4F" w14:textId="77777777" w:rsidR="0052097D" w:rsidRDefault="0052097D" w:rsidP="008C32DB">
      <w:pPr>
        <w:rPr>
          <w:rFonts w:ascii="Arial" w:hAnsi="Arial" w:cs="Arial"/>
          <w:b/>
          <w:sz w:val="24"/>
          <w:szCs w:val="24"/>
          <w:u w:val="single"/>
          <w:lang w:val="en-GB"/>
        </w:rPr>
      </w:pPr>
    </w:p>
    <w:p w14:paraId="3566CD22" w14:textId="77777777" w:rsidR="0052097D" w:rsidRPr="0052097D" w:rsidRDefault="0052097D" w:rsidP="008C32DB">
      <w:pPr>
        <w:rPr>
          <w:rFonts w:ascii="Arial" w:hAnsi="Arial" w:cs="Arial"/>
          <w:b/>
          <w:sz w:val="24"/>
          <w:szCs w:val="24"/>
          <w:u w:val="single"/>
          <w:lang w:val="en-GB"/>
        </w:rPr>
      </w:pPr>
    </w:p>
    <w:p w14:paraId="723A5198" w14:textId="120CE0AD" w:rsidR="00F1289A" w:rsidRPr="002B0FB2" w:rsidRDefault="00741337" w:rsidP="00F1289A">
      <w:pPr>
        <w:rPr>
          <w:rFonts w:ascii="Arial" w:hAnsi="Arial" w:cs="Arial"/>
          <w:b/>
          <w:sz w:val="24"/>
          <w:szCs w:val="24"/>
          <w:lang w:val="en-GB"/>
        </w:rPr>
      </w:pPr>
      <w:r>
        <w:rPr>
          <w:rFonts w:ascii="Arial" w:hAnsi="Arial" w:cs="Arial"/>
          <w:sz w:val="24"/>
          <w:szCs w:val="24"/>
          <w:lang w:val="en-GB"/>
        </w:rPr>
        <w:tab/>
      </w:r>
      <w:r w:rsidR="00F1289A" w:rsidRPr="002B0FB2">
        <w:rPr>
          <w:rFonts w:ascii="Arial" w:hAnsi="Arial" w:cs="Arial"/>
          <w:b/>
          <w:sz w:val="24"/>
          <w:szCs w:val="24"/>
          <w:lang w:val="en-GB"/>
        </w:rPr>
        <w:tab/>
      </w:r>
      <w:r w:rsidR="00F1289A" w:rsidRPr="002B0FB2">
        <w:rPr>
          <w:rFonts w:ascii="Arial" w:hAnsi="Arial" w:cs="Arial"/>
          <w:b/>
          <w:sz w:val="24"/>
          <w:szCs w:val="24"/>
          <w:lang w:val="en-GB"/>
        </w:rPr>
        <w:tab/>
      </w:r>
      <w:r w:rsidR="00F1289A" w:rsidRPr="002B0FB2">
        <w:rPr>
          <w:rFonts w:ascii="Arial" w:hAnsi="Arial" w:cs="Arial"/>
          <w:b/>
          <w:sz w:val="24"/>
          <w:szCs w:val="24"/>
          <w:lang w:val="en-GB"/>
        </w:rPr>
        <w:tab/>
      </w:r>
      <w:r w:rsidR="00F1289A" w:rsidRPr="002B0FB2">
        <w:rPr>
          <w:rFonts w:ascii="Arial" w:hAnsi="Arial" w:cs="Arial"/>
          <w:b/>
          <w:sz w:val="24"/>
          <w:szCs w:val="24"/>
          <w:lang w:val="en-GB"/>
        </w:rPr>
        <w:tab/>
      </w:r>
      <w:r w:rsidR="00F1289A">
        <w:rPr>
          <w:rFonts w:ascii="Arial" w:hAnsi="Arial" w:cs="Arial"/>
          <w:b/>
          <w:sz w:val="24"/>
          <w:szCs w:val="24"/>
          <w:lang w:val="en-GB"/>
        </w:rPr>
        <w:tab/>
      </w:r>
      <w:r w:rsidR="00F1289A">
        <w:rPr>
          <w:rFonts w:ascii="Arial" w:hAnsi="Arial" w:cs="Arial"/>
          <w:b/>
          <w:sz w:val="24"/>
          <w:szCs w:val="24"/>
          <w:lang w:val="en-GB"/>
        </w:rPr>
        <w:tab/>
      </w:r>
      <w:r w:rsidR="00F1289A" w:rsidRPr="002B0FB2">
        <w:rPr>
          <w:rFonts w:ascii="Arial" w:hAnsi="Arial" w:cs="Arial"/>
          <w:b/>
          <w:sz w:val="24"/>
          <w:szCs w:val="24"/>
          <w:lang w:val="en-GB"/>
        </w:rPr>
        <w:t>_____________________</w:t>
      </w:r>
    </w:p>
    <w:p w14:paraId="4259371E" w14:textId="77777777" w:rsidR="00F1289A" w:rsidRPr="002B0FB2" w:rsidRDefault="00F1289A" w:rsidP="00F1289A">
      <w:pPr>
        <w:rPr>
          <w:rFonts w:ascii="Arial" w:hAnsi="Arial" w:cs="Arial"/>
          <w:b/>
          <w:sz w:val="24"/>
          <w:szCs w:val="24"/>
          <w:lang w:val="en-GB"/>
        </w:rPr>
      </w:pPr>
      <w:r w:rsidRPr="002B0FB2">
        <w:rPr>
          <w:rFonts w:ascii="Arial" w:hAnsi="Arial" w:cs="Arial"/>
          <w:b/>
          <w:sz w:val="24"/>
          <w:szCs w:val="24"/>
          <w:lang w:val="en-GB"/>
        </w:rPr>
        <w:tab/>
      </w:r>
      <w:r w:rsidRPr="002B0FB2">
        <w:rPr>
          <w:rFonts w:ascii="Arial" w:hAnsi="Arial" w:cs="Arial"/>
          <w:b/>
          <w:sz w:val="24"/>
          <w:szCs w:val="24"/>
          <w:lang w:val="en-GB"/>
        </w:rPr>
        <w:tab/>
      </w:r>
      <w:r w:rsidRPr="002B0FB2">
        <w:rPr>
          <w:rFonts w:ascii="Arial" w:hAnsi="Arial" w:cs="Arial"/>
          <w:b/>
          <w:sz w:val="24"/>
          <w:szCs w:val="24"/>
          <w:lang w:val="en-GB"/>
        </w:rPr>
        <w:tab/>
      </w:r>
      <w:r w:rsidRPr="002B0FB2">
        <w:rPr>
          <w:rFonts w:ascii="Arial" w:hAnsi="Arial" w:cs="Arial"/>
          <w:b/>
          <w:sz w:val="24"/>
          <w:szCs w:val="24"/>
          <w:lang w:val="en-GB"/>
        </w:rPr>
        <w:tab/>
      </w:r>
      <w:r w:rsidRPr="002B0FB2">
        <w:rPr>
          <w:rFonts w:ascii="Arial" w:hAnsi="Arial" w:cs="Arial"/>
          <w:b/>
          <w:sz w:val="24"/>
          <w:szCs w:val="24"/>
          <w:lang w:val="en-GB"/>
        </w:rPr>
        <w:tab/>
      </w:r>
      <w:r w:rsidRPr="002B0FB2">
        <w:rPr>
          <w:rFonts w:ascii="Arial" w:hAnsi="Arial" w:cs="Arial"/>
          <w:b/>
          <w:sz w:val="24"/>
          <w:szCs w:val="24"/>
          <w:lang w:val="en-GB"/>
        </w:rPr>
        <w:tab/>
      </w:r>
      <w:r w:rsidRPr="002B0FB2">
        <w:rPr>
          <w:rFonts w:ascii="Arial" w:hAnsi="Arial" w:cs="Arial"/>
          <w:b/>
          <w:sz w:val="24"/>
          <w:szCs w:val="24"/>
          <w:lang w:val="en-GB"/>
        </w:rPr>
        <w:tab/>
        <w:t xml:space="preserve">M PANGARKER </w:t>
      </w:r>
    </w:p>
    <w:p w14:paraId="73A46053" w14:textId="77777777" w:rsidR="00F1289A" w:rsidRPr="002B0FB2" w:rsidRDefault="00F1289A" w:rsidP="00F1289A">
      <w:pPr>
        <w:rPr>
          <w:rFonts w:ascii="Arial" w:hAnsi="Arial" w:cs="Arial"/>
          <w:b/>
          <w:sz w:val="24"/>
          <w:szCs w:val="24"/>
          <w:lang w:val="en-GB"/>
        </w:rPr>
      </w:pPr>
      <w:r w:rsidRPr="002B0FB2">
        <w:rPr>
          <w:rFonts w:ascii="Arial" w:hAnsi="Arial" w:cs="Arial"/>
          <w:b/>
          <w:sz w:val="24"/>
          <w:szCs w:val="24"/>
          <w:lang w:val="en-GB"/>
        </w:rPr>
        <w:tab/>
      </w:r>
      <w:r w:rsidRPr="002B0FB2">
        <w:rPr>
          <w:rFonts w:ascii="Arial" w:hAnsi="Arial" w:cs="Arial"/>
          <w:b/>
          <w:sz w:val="24"/>
          <w:szCs w:val="24"/>
          <w:lang w:val="en-GB"/>
        </w:rPr>
        <w:tab/>
      </w:r>
      <w:r w:rsidRPr="002B0FB2">
        <w:rPr>
          <w:rFonts w:ascii="Arial" w:hAnsi="Arial" w:cs="Arial"/>
          <w:b/>
          <w:sz w:val="24"/>
          <w:szCs w:val="24"/>
          <w:lang w:val="en-GB"/>
        </w:rPr>
        <w:tab/>
      </w:r>
      <w:r w:rsidRPr="002B0FB2">
        <w:rPr>
          <w:rFonts w:ascii="Arial" w:hAnsi="Arial" w:cs="Arial"/>
          <w:b/>
          <w:sz w:val="24"/>
          <w:szCs w:val="24"/>
          <w:lang w:val="en-GB"/>
        </w:rPr>
        <w:tab/>
      </w:r>
      <w:r w:rsidRPr="002B0FB2">
        <w:rPr>
          <w:rFonts w:ascii="Arial" w:hAnsi="Arial" w:cs="Arial"/>
          <w:b/>
          <w:sz w:val="24"/>
          <w:szCs w:val="24"/>
          <w:lang w:val="en-GB"/>
        </w:rPr>
        <w:tab/>
      </w:r>
      <w:r w:rsidRPr="002B0FB2">
        <w:rPr>
          <w:rFonts w:ascii="Arial" w:hAnsi="Arial" w:cs="Arial"/>
          <w:b/>
          <w:sz w:val="24"/>
          <w:szCs w:val="24"/>
          <w:lang w:val="en-GB"/>
        </w:rPr>
        <w:tab/>
      </w:r>
      <w:r w:rsidRPr="002B0FB2">
        <w:rPr>
          <w:rFonts w:ascii="Arial" w:hAnsi="Arial" w:cs="Arial"/>
          <w:b/>
          <w:sz w:val="24"/>
          <w:szCs w:val="24"/>
          <w:lang w:val="en-GB"/>
        </w:rPr>
        <w:tab/>
        <w:t xml:space="preserve">ACTING JUDGE OF THE HIGH COURT </w:t>
      </w:r>
    </w:p>
    <w:p w14:paraId="0410359C" w14:textId="77777777" w:rsidR="00F1289A" w:rsidRPr="002B0FB2" w:rsidRDefault="00F1289A" w:rsidP="00F1289A">
      <w:pPr>
        <w:rPr>
          <w:rFonts w:ascii="Arial" w:hAnsi="Arial" w:cs="Arial"/>
          <w:b/>
          <w:sz w:val="24"/>
          <w:szCs w:val="24"/>
          <w:lang w:val="en-GB"/>
        </w:rPr>
      </w:pPr>
    </w:p>
    <w:p w14:paraId="7CE5530C" w14:textId="77777777" w:rsidR="00F1289A" w:rsidRPr="002B0FB2" w:rsidRDefault="00F1289A" w:rsidP="00F1289A">
      <w:pPr>
        <w:rPr>
          <w:rFonts w:ascii="Arial" w:hAnsi="Arial" w:cs="Arial"/>
          <w:b/>
          <w:sz w:val="24"/>
          <w:szCs w:val="24"/>
          <w:lang w:val="en-GB"/>
        </w:rPr>
      </w:pPr>
    </w:p>
    <w:p w14:paraId="04AFE81A" w14:textId="77777777" w:rsidR="00F1289A" w:rsidRPr="002B0FB2" w:rsidRDefault="00F1289A" w:rsidP="00F1289A">
      <w:pPr>
        <w:rPr>
          <w:rFonts w:ascii="Arial" w:hAnsi="Arial" w:cs="Arial"/>
          <w:b/>
          <w:sz w:val="24"/>
          <w:szCs w:val="24"/>
          <w:lang w:val="en-GB"/>
        </w:rPr>
      </w:pPr>
      <w:r w:rsidRPr="002B0FB2">
        <w:rPr>
          <w:rFonts w:ascii="Arial" w:hAnsi="Arial" w:cs="Arial"/>
          <w:b/>
          <w:sz w:val="24"/>
          <w:szCs w:val="24"/>
          <w:lang w:val="en-GB"/>
        </w:rPr>
        <w:t>For Plaintiff:</w:t>
      </w:r>
      <w:r>
        <w:rPr>
          <w:rFonts w:ascii="Arial" w:hAnsi="Arial" w:cs="Arial"/>
          <w:b/>
          <w:sz w:val="24"/>
          <w:szCs w:val="24"/>
          <w:lang w:val="en-GB"/>
        </w:rPr>
        <w:tab/>
      </w:r>
      <w:r w:rsidRPr="002B0FB2">
        <w:rPr>
          <w:rFonts w:ascii="Arial" w:hAnsi="Arial" w:cs="Arial"/>
          <w:b/>
          <w:sz w:val="24"/>
          <w:szCs w:val="24"/>
          <w:lang w:val="en-GB"/>
        </w:rPr>
        <w:tab/>
        <w:t xml:space="preserve">Adv A du Toit </w:t>
      </w:r>
    </w:p>
    <w:p w14:paraId="6B67E0EB" w14:textId="77777777" w:rsidR="00F1289A" w:rsidRPr="002B0FB2" w:rsidRDefault="00F1289A" w:rsidP="00F1289A">
      <w:pPr>
        <w:rPr>
          <w:rFonts w:ascii="Arial" w:hAnsi="Arial" w:cs="Arial"/>
          <w:b/>
          <w:sz w:val="24"/>
          <w:szCs w:val="24"/>
          <w:lang w:val="en-GB"/>
        </w:rPr>
      </w:pPr>
      <w:r w:rsidRPr="002B0FB2">
        <w:rPr>
          <w:rFonts w:ascii="Arial" w:hAnsi="Arial" w:cs="Arial"/>
          <w:b/>
          <w:sz w:val="24"/>
          <w:szCs w:val="24"/>
          <w:lang w:val="en-GB"/>
        </w:rPr>
        <w:t>Instructed by:</w:t>
      </w:r>
      <w:r>
        <w:rPr>
          <w:rFonts w:ascii="Arial" w:hAnsi="Arial" w:cs="Arial"/>
          <w:b/>
          <w:sz w:val="24"/>
          <w:szCs w:val="24"/>
          <w:lang w:val="en-GB"/>
        </w:rPr>
        <w:tab/>
      </w:r>
      <w:r w:rsidRPr="002B0FB2">
        <w:rPr>
          <w:rFonts w:ascii="Arial" w:hAnsi="Arial" w:cs="Arial"/>
          <w:b/>
          <w:sz w:val="24"/>
          <w:szCs w:val="24"/>
          <w:lang w:val="en-GB"/>
        </w:rPr>
        <w:t xml:space="preserve">Heyns &amp; </w:t>
      </w:r>
      <w:proofErr w:type="spellStart"/>
      <w:r w:rsidRPr="002B0FB2">
        <w:rPr>
          <w:rFonts w:ascii="Arial" w:hAnsi="Arial" w:cs="Arial"/>
          <w:b/>
          <w:sz w:val="24"/>
          <w:szCs w:val="24"/>
          <w:lang w:val="en-GB"/>
        </w:rPr>
        <w:t>Vennote</w:t>
      </w:r>
      <w:proofErr w:type="spellEnd"/>
      <w:r w:rsidRPr="002B0FB2">
        <w:rPr>
          <w:rFonts w:ascii="Arial" w:hAnsi="Arial" w:cs="Arial"/>
          <w:b/>
          <w:sz w:val="24"/>
          <w:szCs w:val="24"/>
          <w:lang w:val="en-GB"/>
        </w:rPr>
        <w:t xml:space="preserve"> Inc.</w:t>
      </w:r>
    </w:p>
    <w:p w14:paraId="0B2C8F69" w14:textId="77777777" w:rsidR="00F1289A" w:rsidRPr="002B0FB2" w:rsidRDefault="00F1289A" w:rsidP="00F1289A">
      <w:pPr>
        <w:rPr>
          <w:rFonts w:ascii="Arial" w:hAnsi="Arial" w:cs="Arial"/>
          <w:b/>
          <w:sz w:val="24"/>
          <w:szCs w:val="24"/>
          <w:lang w:val="en-GB"/>
        </w:rPr>
      </w:pPr>
      <w:r w:rsidRPr="002B0FB2">
        <w:rPr>
          <w:rFonts w:ascii="Arial" w:hAnsi="Arial" w:cs="Arial"/>
          <w:b/>
          <w:sz w:val="24"/>
          <w:szCs w:val="24"/>
          <w:lang w:val="en-GB"/>
        </w:rPr>
        <w:tab/>
      </w:r>
      <w:r w:rsidRPr="002B0FB2">
        <w:rPr>
          <w:rFonts w:ascii="Arial" w:hAnsi="Arial" w:cs="Arial"/>
          <w:b/>
          <w:sz w:val="24"/>
          <w:szCs w:val="24"/>
          <w:lang w:val="en-GB"/>
        </w:rPr>
        <w:tab/>
      </w:r>
      <w:r>
        <w:rPr>
          <w:rFonts w:ascii="Arial" w:hAnsi="Arial" w:cs="Arial"/>
          <w:b/>
          <w:sz w:val="24"/>
          <w:szCs w:val="24"/>
          <w:lang w:val="en-GB"/>
        </w:rPr>
        <w:tab/>
      </w:r>
      <w:r w:rsidRPr="002B0FB2">
        <w:rPr>
          <w:rFonts w:ascii="Arial" w:hAnsi="Arial" w:cs="Arial"/>
          <w:b/>
          <w:sz w:val="24"/>
          <w:szCs w:val="24"/>
          <w:lang w:val="en-GB"/>
        </w:rPr>
        <w:t xml:space="preserve">Bellville  </w:t>
      </w:r>
    </w:p>
    <w:p w14:paraId="47866252" w14:textId="77777777" w:rsidR="00F1289A" w:rsidRPr="002B0FB2" w:rsidRDefault="00F1289A" w:rsidP="00F1289A">
      <w:pPr>
        <w:rPr>
          <w:rFonts w:ascii="Arial" w:hAnsi="Arial" w:cs="Arial"/>
          <w:b/>
          <w:sz w:val="24"/>
          <w:szCs w:val="24"/>
          <w:lang w:val="en-GB"/>
        </w:rPr>
      </w:pPr>
      <w:r w:rsidRPr="002B0FB2">
        <w:rPr>
          <w:rFonts w:ascii="Arial" w:hAnsi="Arial" w:cs="Arial"/>
          <w:b/>
          <w:sz w:val="24"/>
          <w:szCs w:val="24"/>
          <w:lang w:val="en-GB"/>
        </w:rPr>
        <w:tab/>
      </w:r>
      <w:r w:rsidRPr="002B0FB2">
        <w:rPr>
          <w:rFonts w:ascii="Arial" w:hAnsi="Arial" w:cs="Arial"/>
          <w:b/>
          <w:sz w:val="24"/>
          <w:szCs w:val="24"/>
          <w:lang w:val="en-GB"/>
        </w:rPr>
        <w:tab/>
      </w:r>
      <w:r>
        <w:rPr>
          <w:rFonts w:ascii="Arial" w:hAnsi="Arial" w:cs="Arial"/>
          <w:b/>
          <w:sz w:val="24"/>
          <w:szCs w:val="24"/>
          <w:lang w:val="en-GB"/>
        </w:rPr>
        <w:tab/>
      </w:r>
      <w:r w:rsidRPr="002B0FB2">
        <w:rPr>
          <w:rFonts w:ascii="Arial" w:hAnsi="Arial" w:cs="Arial"/>
          <w:b/>
          <w:sz w:val="24"/>
          <w:szCs w:val="24"/>
          <w:lang w:val="en-GB"/>
        </w:rPr>
        <w:t>Ms CS Van Heerden</w:t>
      </w:r>
    </w:p>
    <w:p w14:paraId="0976BFF4" w14:textId="77777777" w:rsidR="00F1289A" w:rsidRPr="002B0FB2" w:rsidRDefault="00F1289A" w:rsidP="00F1289A">
      <w:pPr>
        <w:rPr>
          <w:rFonts w:ascii="Arial" w:hAnsi="Arial" w:cs="Arial"/>
          <w:b/>
          <w:sz w:val="24"/>
          <w:szCs w:val="24"/>
          <w:lang w:val="en-GB"/>
        </w:rPr>
      </w:pPr>
      <w:r w:rsidRPr="002B0FB2">
        <w:rPr>
          <w:rFonts w:ascii="Arial" w:hAnsi="Arial" w:cs="Arial"/>
          <w:b/>
          <w:sz w:val="24"/>
          <w:szCs w:val="24"/>
          <w:lang w:val="en-GB"/>
        </w:rPr>
        <w:t xml:space="preserve"> </w:t>
      </w:r>
    </w:p>
    <w:p w14:paraId="2BAEB727" w14:textId="77777777" w:rsidR="00F1289A" w:rsidRPr="002B0FB2" w:rsidRDefault="00F1289A" w:rsidP="00F1289A">
      <w:pPr>
        <w:rPr>
          <w:rFonts w:ascii="Arial" w:hAnsi="Arial" w:cs="Arial"/>
          <w:b/>
          <w:sz w:val="24"/>
          <w:szCs w:val="24"/>
          <w:lang w:val="en-GB"/>
        </w:rPr>
      </w:pPr>
      <w:r w:rsidRPr="002B0FB2">
        <w:rPr>
          <w:rFonts w:ascii="Arial" w:hAnsi="Arial" w:cs="Arial"/>
          <w:b/>
          <w:sz w:val="24"/>
          <w:szCs w:val="24"/>
          <w:lang w:val="en-GB"/>
        </w:rPr>
        <w:t>For Defendant:</w:t>
      </w:r>
      <w:r w:rsidRPr="002B0FB2">
        <w:rPr>
          <w:rFonts w:ascii="Arial" w:hAnsi="Arial" w:cs="Arial"/>
          <w:b/>
          <w:sz w:val="24"/>
          <w:szCs w:val="24"/>
          <w:lang w:val="en-GB"/>
        </w:rPr>
        <w:tab/>
        <w:t>State Attorney</w:t>
      </w:r>
    </w:p>
    <w:p w14:paraId="68B51FE4" w14:textId="77777777" w:rsidR="00F1289A" w:rsidRPr="002B0FB2" w:rsidRDefault="00F1289A" w:rsidP="00F1289A">
      <w:pPr>
        <w:rPr>
          <w:rFonts w:ascii="Arial" w:hAnsi="Arial" w:cs="Arial"/>
          <w:b/>
          <w:sz w:val="24"/>
          <w:szCs w:val="24"/>
          <w:lang w:val="en-GB"/>
        </w:rPr>
      </w:pPr>
      <w:r w:rsidRPr="002B0FB2">
        <w:rPr>
          <w:rFonts w:ascii="Arial" w:hAnsi="Arial" w:cs="Arial"/>
          <w:b/>
          <w:sz w:val="24"/>
          <w:szCs w:val="24"/>
          <w:lang w:val="en-GB"/>
        </w:rPr>
        <w:tab/>
      </w:r>
      <w:r w:rsidRPr="002B0FB2">
        <w:rPr>
          <w:rFonts w:ascii="Arial" w:hAnsi="Arial" w:cs="Arial"/>
          <w:b/>
          <w:sz w:val="24"/>
          <w:szCs w:val="24"/>
          <w:lang w:val="en-GB"/>
        </w:rPr>
        <w:tab/>
      </w:r>
      <w:r w:rsidRPr="002B0FB2">
        <w:rPr>
          <w:rFonts w:ascii="Arial" w:hAnsi="Arial" w:cs="Arial"/>
          <w:b/>
          <w:sz w:val="24"/>
          <w:szCs w:val="24"/>
          <w:lang w:val="en-GB"/>
        </w:rPr>
        <w:tab/>
        <w:t>Cape Town</w:t>
      </w:r>
    </w:p>
    <w:p w14:paraId="07956E09" w14:textId="77777777" w:rsidR="00F1289A" w:rsidRPr="002B0FB2" w:rsidRDefault="00F1289A" w:rsidP="00F1289A">
      <w:pPr>
        <w:rPr>
          <w:rFonts w:ascii="Arial" w:hAnsi="Arial" w:cs="Arial"/>
          <w:b/>
          <w:sz w:val="24"/>
          <w:szCs w:val="24"/>
          <w:lang w:val="en-GB"/>
        </w:rPr>
      </w:pPr>
      <w:r w:rsidRPr="002B0FB2">
        <w:rPr>
          <w:rFonts w:ascii="Arial" w:hAnsi="Arial" w:cs="Arial"/>
          <w:b/>
          <w:sz w:val="24"/>
          <w:szCs w:val="24"/>
          <w:lang w:val="en-GB"/>
        </w:rPr>
        <w:t xml:space="preserve"> </w:t>
      </w:r>
      <w:r w:rsidRPr="002B0FB2">
        <w:rPr>
          <w:rFonts w:ascii="Arial" w:hAnsi="Arial" w:cs="Arial"/>
          <w:b/>
          <w:sz w:val="24"/>
          <w:szCs w:val="24"/>
          <w:lang w:val="en-GB"/>
        </w:rPr>
        <w:tab/>
      </w:r>
      <w:r w:rsidRPr="002B0FB2">
        <w:rPr>
          <w:rFonts w:ascii="Arial" w:hAnsi="Arial" w:cs="Arial"/>
          <w:b/>
          <w:sz w:val="24"/>
          <w:szCs w:val="24"/>
          <w:lang w:val="en-GB"/>
        </w:rPr>
        <w:tab/>
      </w:r>
      <w:r w:rsidRPr="002B0FB2">
        <w:rPr>
          <w:rFonts w:ascii="Arial" w:hAnsi="Arial" w:cs="Arial"/>
          <w:b/>
          <w:sz w:val="24"/>
          <w:szCs w:val="24"/>
          <w:lang w:val="en-GB"/>
        </w:rPr>
        <w:tab/>
        <w:t xml:space="preserve">Ms C Thomas </w:t>
      </w:r>
    </w:p>
    <w:p w14:paraId="06FA703A" w14:textId="0AAAFA95" w:rsidR="00C44F2A" w:rsidRPr="004D1ECB" w:rsidRDefault="00C44F2A" w:rsidP="00F1289A">
      <w:pPr>
        <w:rPr>
          <w:rFonts w:ascii="Arial" w:hAnsi="Arial" w:cs="Arial"/>
          <w:b/>
          <w:sz w:val="24"/>
          <w:szCs w:val="24"/>
          <w:lang w:val="en-GB"/>
        </w:rPr>
      </w:pPr>
    </w:p>
    <w:sectPr w:rsidR="00C44F2A" w:rsidRPr="004D1EC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293E03" w14:textId="77777777" w:rsidR="00DC322B" w:rsidRDefault="00DC322B" w:rsidP="00EE4803">
      <w:pPr>
        <w:spacing w:line="240" w:lineRule="auto"/>
      </w:pPr>
      <w:r>
        <w:separator/>
      </w:r>
    </w:p>
  </w:endnote>
  <w:endnote w:type="continuationSeparator" w:id="0">
    <w:p w14:paraId="79C23721" w14:textId="77777777" w:rsidR="00DC322B" w:rsidRDefault="00DC322B" w:rsidP="00EE48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0536313"/>
      <w:docPartObj>
        <w:docPartGallery w:val="Page Numbers (Bottom of Page)"/>
        <w:docPartUnique/>
      </w:docPartObj>
    </w:sdtPr>
    <w:sdtEndPr>
      <w:rPr>
        <w:noProof/>
      </w:rPr>
    </w:sdtEndPr>
    <w:sdtContent>
      <w:p w14:paraId="10E2DE5B" w14:textId="52AA8DA8" w:rsidR="004D2D74" w:rsidRDefault="004D2D74">
        <w:pPr>
          <w:pStyle w:val="Footer"/>
          <w:jc w:val="right"/>
        </w:pPr>
        <w:r>
          <w:fldChar w:fldCharType="begin"/>
        </w:r>
        <w:r>
          <w:instrText xml:space="preserve"> PAGE   \* MERGEFORMAT </w:instrText>
        </w:r>
        <w:r>
          <w:fldChar w:fldCharType="separate"/>
        </w:r>
        <w:r w:rsidR="00EB4136">
          <w:rPr>
            <w:noProof/>
          </w:rPr>
          <w:t>21</w:t>
        </w:r>
        <w:r>
          <w:rPr>
            <w:noProof/>
          </w:rPr>
          <w:fldChar w:fldCharType="end"/>
        </w:r>
      </w:p>
    </w:sdtContent>
  </w:sdt>
  <w:p w14:paraId="6A78F557" w14:textId="77777777" w:rsidR="004D2D74" w:rsidRDefault="004D2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82918B" w14:textId="77777777" w:rsidR="00DC322B" w:rsidRDefault="00DC322B" w:rsidP="00EE4803">
      <w:pPr>
        <w:spacing w:line="240" w:lineRule="auto"/>
      </w:pPr>
      <w:r>
        <w:separator/>
      </w:r>
    </w:p>
  </w:footnote>
  <w:footnote w:type="continuationSeparator" w:id="0">
    <w:p w14:paraId="6444BDB4" w14:textId="77777777" w:rsidR="00DC322B" w:rsidRDefault="00DC322B" w:rsidP="00EE4803">
      <w:pPr>
        <w:spacing w:line="240" w:lineRule="auto"/>
      </w:pPr>
      <w:r>
        <w:continuationSeparator/>
      </w:r>
    </w:p>
  </w:footnote>
  <w:footnote w:id="1">
    <w:p w14:paraId="4426F5D0" w14:textId="77777777" w:rsidR="008C32DB" w:rsidRPr="006E1D9E" w:rsidRDefault="008C32DB" w:rsidP="008C32DB">
      <w:pPr>
        <w:pStyle w:val="FootnoteText"/>
        <w:rPr>
          <w:lang w:val="en-GB"/>
        </w:rPr>
      </w:pPr>
      <w:r>
        <w:rPr>
          <w:rStyle w:val="FootnoteReference"/>
        </w:rPr>
        <w:footnoteRef/>
      </w:r>
      <w:r>
        <w:t xml:space="preserve"> </w:t>
      </w:r>
      <w:r>
        <w:rPr>
          <w:lang w:val="en-GB"/>
        </w:rPr>
        <w:t xml:space="preserve">Exhibit A, Vergelegen Mediclinic tax invoice </w:t>
      </w:r>
    </w:p>
  </w:footnote>
  <w:footnote w:id="2">
    <w:p w14:paraId="25B0F70B" w14:textId="77777777" w:rsidR="008C32DB" w:rsidRPr="00A2328D" w:rsidRDefault="008C32DB" w:rsidP="008C32DB">
      <w:pPr>
        <w:pStyle w:val="FootnoteText"/>
        <w:rPr>
          <w:lang w:val="en-GB"/>
        </w:rPr>
      </w:pPr>
      <w:r>
        <w:rPr>
          <w:rStyle w:val="FootnoteReference"/>
        </w:rPr>
        <w:footnoteRef/>
      </w:r>
      <w:r>
        <w:t xml:space="preserve"> </w:t>
      </w:r>
      <w:r>
        <w:rPr>
          <w:lang w:val="en-GB"/>
        </w:rPr>
        <w:t>Exhibit A, p10-11</w:t>
      </w:r>
    </w:p>
  </w:footnote>
  <w:footnote w:id="3">
    <w:p w14:paraId="11023512" w14:textId="77777777" w:rsidR="008C32DB" w:rsidRPr="00F518B8" w:rsidRDefault="008C32DB" w:rsidP="008C32DB">
      <w:pPr>
        <w:pStyle w:val="FootnoteText"/>
        <w:rPr>
          <w:lang w:val="en-GB"/>
        </w:rPr>
      </w:pPr>
      <w:r>
        <w:rPr>
          <w:rStyle w:val="FootnoteReference"/>
        </w:rPr>
        <w:footnoteRef/>
      </w:r>
      <w:r>
        <w:t xml:space="preserve"> </w:t>
      </w:r>
      <w:r>
        <w:rPr>
          <w:lang w:val="en-GB"/>
        </w:rPr>
        <w:t>Exhibit A, p23-25 – R5485,80</w:t>
      </w:r>
    </w:p>
  </w:footnote>
  <w:footnote w:id="4">
    <w:p w14:paraId="1CBA9F60" w14:textId="77777777" w:rsidR="008C32DB" w:rsidRPr="00F518B8" w:rsidRDefault="008C32DB" w:rsidP="008C32DB">
      <w:pPr>
        <w:pStyle w:val="FootnoteText"/>
        <w:rPr>
          <w:lang w:val="en-GB"/>
        </w:rPr>
      </w:pPr>
      <w:r>
        <w:rPr>
          <w:rStyle w:val="FootnoteReference"/>
        </w:rPr>
        <w:footnoteRef/>
      </w:r>
      <w:r>
        <w:t xml:space="preserve"> </w:t>
      </w:r>
      <w:r>
        <w:rPr>
          <w:lang w:val="en-GB"/>
        </w:rPr>
        <w:t>Exhibit A, p26 – R3320</w:t>
      </w:r>
    </w:p>
  </w:footnote>
  <w:footnote w:id="5">
    <w:p w14:paraId="3E80E351" w14:textId="77777777" w:rsidR="008C32DB" w:rsidRPr="00F518B8" w:rsidRDefault="008C32DB" w:rsidP="008C32DB">
      <w:pPr>
        <w:pStyle w:val="FootnoteText"/>
        <w:rPr>
          <w:lang w:val="en-GB"/>
        </w:rPr>
      </w:pPr>
      <w:r>
        <w:rPr>
          <w:rStyle w:val="FootnoteReference"/>
        </w:rPr>
        <w:footnoteRef/>
      </w:r>
      <w:r>
        <w:t xml:space="preserve"> </w:t>
      </w:r>
      <w:r>
        <w:rPr>
          <w:lang w:val="en-GB"/>
        </w:rPr>
        <w:t>Exhibit A, p27-28 – R8282,20</w:t>
      </w:r>
    </w:p>
  </w:footnote>
  <w:footnote w:id="6">
    <w:p w14:paraId="719D722A" w14:textId="77777777" w:rsidR="008C32DB" w:rsidRPr="00F518B8" w:rsidRDefault="008C32DB" w:rsidP="008C32DB">
      <w:pPr>
        <w:pStyle w:val="FootnoteText"/>
        <w:rPr>
          <w:lang w:val="en-GB"/>
        </w:rPr>
      </w:pPr>
      <w:r>
        <w:rPr>
          <w:rStyle w:val="FootnoteReference"/>
        </w:rPr>
        <w:footnoteRef/>
      </w:r>
      <w:r>
        <w:t xml:space="preserve"> </w:t>
      </w:r>
      <w:r>
        <w:rPr>
          <w:lang w:val="en-GB"/>
        </w:rPr>
        <w:t>Exhibit A, p29 – R12 244,20</w:t>
      </w:r>
    </w:p>
  </w:footnote>
  <w:footnote w:id="7">
    <w:p w14:paraId="4031A9FF" w14:textId="77777777" w:rsidR="008C32DB" w:rsidRPr="00B9492D" w:rsidRDefault="008C32DB" w:rsidP="008C32DB">
      <w:pPr>
        <w:pStyle w:val="FootnoteText"/>
        <w:rPr>
          <w:lang w:val="en-GB"/>
        </w:rPr>
      </w:pPr>
      <w:r>
        <w:rPr>
          <w:rStyle w:val="FootnoteReference"/>
        </w:rPr>
        <w:footnoteRef/>
      </w:r>
      <w:r>
        <w:t xml:space="preserve"> </w:t>
      </w:r>
      <w:r>
        <w:rPr>
          <w:lang w:val="en-GB"/>
        </w:rPr>
        <w:t xml:space="preserve">Exhibit A, p30-32 – R5124, 35 </w:t>
      </w:r>
    </w:p>
  </w:footnote>
  <w:footnote w:id="8">
    <w:p w14:paraId="4C53757A" w14:textId="77777777" w:rsidR="008C32DB" w:rsidRPr="00B9492D" w:rsidRDefault="008C32DB" w:rsidP="008C32DB">
      <w:pPr>
        <w:pStyle w:val="FootnoteText"/>
        <w:rPr>
          <w:lang w:val="en-GB"/>
        </w:rPr>
      </w:pPr>
      <w:r>
        <w:rPr>
          <w:rStyle w:val="FootnoteReference"/>
        </w:rPr>
        <w:footnoteRef/>
      </w:r>
      <w:r>
        <w:t xml:space="preserve"> </w:t>
      </w:r>
      <w:r>
        <w:rPr>
          <w:lang w:val="en-GB"/>
        </w:rPr>
        <w:t>Exhibit A, p33 – R264,50</w:t>
      </w:r>
    </w:p>
  </w:footnote>
  <w:footnote w:id="9">
    <w:p w14:paraId="38CE9AFE" w14:textId="77777777" w:rsidR="008C32DB" w:rsidRPr="00B9492D" w:rsidRDefault="008C32DB" w:rsidP="008C32DB">
      <w:pPr>
        <w:pStyle w:val="FootnoteText"/>
        <w:rPr>
          <w:lang w:val="en-GB"/>
        </w:rPr>
      </w:pPr>
      <w:r>
        <w:rPr>
          <w:rStyle w:val="FootnoteReference"/>
        </w:rPr>
        <w:footnoteRef/>
      </w:r>
      <w:r>
        <w:t xml:space="preserve"> </w:t>
      </w:r>
      <w:r>
        <w:rPr>
          <w:lang w:val="en-GB"/>
        </w:rPr>
        <w:t>Exhibit A, P34 – R3890</w:t>
      </w:r>
    </w:p>
  </w:footnote>
  <w:footnote w:id="10">
    <w:p w14:paraId="691CDBA9" w14:textId="77777777" w:rsidR="008C32DB" w:rsidRPr="00B9492D" w:rsidRDefault="008C32DB" w:rsidP="008C32DB">
      <w:pPr>
        <w:pStyle w:val="FootnoteText"/>
        <w:rPr>
          <w:lang w:val="en-GB"/>
        </w:rPr>
      </w:pPr>
      <w:r>
        <w:rPr>
          <w:rStyle w:val="FootnoteReference"/>
        </w:rPr>
        <w:footnoteRef/>
      </w:r>
      <w:r>
        <w:t xml:space="preserve"> </w:t>
      </w:r>
      <w:r>
        <w:rPr>
          <w:lang w:val="en-GB"/>
        </w:rPr>
        <w:t>Exhibit A, p37 - R410, R2996</w:t>
      </w:r>
    </w:p>
  </w:footnote>
  <w:footnote w:id="11">
    <w:p w14:paraId="1323D6FC" w14:textId="77777777" w:rsidR="008C32DB" w:rsidRPr="00781762" w:rsidRDefault="008C32DB" w:rsidP="008C32DB">
      <w:pPr>
        <w:pStyle w:val="FootnoteText"/>
        <w:rPr>
          <w:lang w:val="en-GB"/>
        </w:rPr>
      </w:pPr>
      <w:r>
        <w:rPr>
          <w:rStyle w:val="FootnoteReference"/>
        </w:rPr>
        <w:footnoteRef/>
      </w:r>
      <w:r>
        <w:t xml:space="preserve"> </w:t>
      </w:r>
      <w:r>
        <w:rPr>
          <w:lang w:val="en-GB"/>
        </w:rPr>
        <w:t>Exhibit A, p38 – R464,60</w:t>
      </w:r>
    </w:p>
  </w:footnote>
  <w:footnote w:id="12">
    <w:p w14:paraId="60FB4D4C" w14:textId="77777777" w:rsidR="008C32DB" w:rsidRPr="00781762" w:rsidRDefault="008C32DB" w:rsidP="008C32DB">
      <w:pPr>
        <w:pStyle w:val="FootnoteText"/>
        <w:rPr>
          <w:lang w:val="en-GB"/>
        </w:rPr>
      </w:pPr>
      <w:r>
        <w:rPr>
          <w:rStyle w:val="FootnoteReference"/>
        </w:rPr>
        <w:footnoteRef/>
      </w:r>
      <w:r>
        <w:t xml:space="preserve"> </w:t>
      </w:r>
      <w:r>
        <w:rPr>
          <w:lang w:val="en-GB"/>
        </w:rPr>
        <w:t>Exhibit A, p39 – R470, 12</w:t>
      </w:r>
    </w:p>
  </w:footnote>
  <w:footnote w:id="13">
    <w:p w14:paraId="23D14EF4" w14:textId="77777777" w:rsidR="008C32DB" w:rsidRPr="00781762" w:rsidRDefault="008C32DB" w:rsidP="008C32DB">
      <w:pPr>
        <w:pStyle w:val="FootnoteText"/>
        <w:rPr>
          <w:lang w:val="en-GB"/>
        </w:rPr>
      </w:pPr>
      <w:r>
        <w:rPr>
          <w:rStyle w:val="FootnoteReference"/>
        </w:rPr>
        <w:footnoteRef/>
      </w:r>
      <w:r>
        <w:t xml:space="preserve"> </w:t>
      </w:r>
      <w:r>
        <w:rPr>
          <w:lang w:val="en-GB"/>
        </w:rPr>
        <w:t>Exhibit A, p40-60 (Kruger Pharmacy, Caledon Pharmacy, Clicks, Goldstein Pharmacy, Medirite</w:t>
      </w:r>
    </w:p>
  </w:footnote>
  <w:footnote w:id="14">
    <w:p w14:paraId="2FCEA129" w14:textId="77777777" w:rsidR="008C32DB" w:rsidRPr="00781762" w:rsidRDefault="008C32DB" w:rsidP="008C32DB">
      <w:pPr>
        <w:pStyle w:val="FootnoteText"/>
        <w:rPr>
          <w:lang w:val="en-GB"/>
        </w:rPr>
      </w:pPr>
      <w:r>
        <w:rPr>
          <w:rStyle w:val="FootnoteReference"/>
        </w:rPr>
        <w:footnoteRef/>
      </w:r>
      <w:r>
        <w:t xml:space="preserve"> </w:t>
      </w:r>
      <w:r>
        <w:rPr>
          <w:lang w:val="en-GB"/>
        </w:rPr>
        <w:t>Exhibit A, p61</w:t>
      </w:r>
    </w:p>
  </w:footnote>
  <w:footnote w:id="15">
    <w:p w14:paraId="2509766A" w14:textId="77777777" w:rsidR="008C32DB" w:rsidRPr="002E15DC" w:rsidRDefault="008C32DB" w:rsidP="008C32DB">
      <w:pPr>
        <w:pStyle w:val="FootnoteText"/>
        <w:rPr>
          <w:lang w:val="en-GB"/>
        </w:rPr>
      </w:pPr>
      <w:r>
        <w:rPr>
          <w:rStyle w:val="FootnoteReference"/>
        </w:rPr>
        <w:footnoteRef/>
      </w:r>
      <w:r>
        <w:t xml:space="preserve"> </w:t>
      </w:r>
      <w:r>
        <w:rPr>
          <w:lang w:val="en-GB"/>
        </w:rPr>
        <w:t>Pleadings, p121-133</w:t>
      </w:r>
    </w:p>
  </w:footnote>
  <w:footnote w:id="16">
    <w:p w14:paraId="77109626" w14:textId="77777777" w:rsidR="008C32DB" w:rsidRPr="00D372B8" w:rsidRDefault="008C32DB" w:rsidP="008C32DB">
      <w:pPr>
        <w:pStyle w:val="FootnoteText"/>
        <w:rPr>
          <w:lang w:val="en-GB"/>
        </w:rPr>
      </w:pPr>
      <w:r>
        <w:rPr>
          <w:rStyle w:val="FootnoteReference"/>
        </w:rPr>
        <w:footnoteRef/>
      </w:r>
      <w:r>
        <w:t xml:space="preserve"> </w:t>
      </w:r>
      <w:r>
        <w:rPr>
          <w:lang w:val="en-GB"/>
        </w:rPr>
        <w:t>2022 ZAGPPHC 765</w:t>
      </w:r>
    </w:p>
  </w:footnote>
  <w:footnote w:id="17">
    <w:p w14:paraId="525D213F" w14:textId="77777777" w:rsidR="008C32DB" w:rsidRPr="0002408C" w:rsidRDefault="008C32DB" w:rsidP="008C32DB">
      <w:pPr>
        <w:pStyle w:val="FootnoteText"/>
        <w:rPr>
          <w:lang w:val="en-GB"/>
        </w:rPr>
      </w:pPr>
      <w:r>
        <w:rPr>
          <w:rStyle w:val="FootnoteReference"/>
        </w:rPr>
        <w:footnoteRef/>
      </w:r>
      <w:r>
        <w:t xml:space="preserve"> </w:t>
      </w:r>
      <w:r>
        <w:rPr>
          <w:lang w:val="en-GB"/>
        </w:rPr>
        <w:t>Rand Mutual Assurance Company Ltd v Road Accident Fund 2008 (6) SA 511 (SCA) par 17, referring to Ackerman v Loubser 1918 OPD 31</w:t>
      </w:r>
    </w:p>
  </w:footnote>
  <w:footnote w:id="18">
    <w:p w14:paraId="59D14806" w14:textId="77777777" w:rsidR="008C32DB" w:rsidRPr="00CA63A2" w:rsidRDefault="008C32DB" w:rsidP="008C32DB">
      <w:pPr>
        <w:pStyle w:val="FootnoteText"/>
        <w:rPr>
          <w:lang w:val="en-GB"/>
        </w:rPr>
      </w:pPr>
      <w:r>
        <w:rPr>
          <w:rStyle w:val="FootnoteReference"/>
        </w:rPr>
        <w:footnoteRef/>
      </w:r>
      <w:r>
        <w:t xml:space="preserve"> </w:t>
      </w:r>
      <w:r>
        <w:rPr>
          <w:lang w:val="en-GB"/>
        </w:rPr>
        <w:t>Rand Mutual supra, par 17</w:t>
      </w:r>
    </w:p>
  </w:footnote>
  <w:footnote w:id="19">
    <w:p w14:paraId="4CC4FBB9" w14:textId="5CE6B026" w:rsidR="008C32DB" w:rsidRPr="007E35DF" w:rsidRDefault="008C32DB" w:rsidP="008C32DB">
      <w:pPr>
        <w:pStyle w:val="FootnoteText"/>
        <w:rPr>
          <w:lang w:val="en-GB"/>
        </w:rPr>
      </w:pPr>
      <w:r>
        <w:rPr>
          <w:rStyle w:val="FootnoteReference"/>
        </w:rPr>
        <w:footnoteRef/>
      </w:r>
      <w:r>
        <w:t xml:space="preserve"> </w:t>
      </w:r>
      <w:r>
        <w:rPr>
          <w:lang w:val="en-GB"/>
        </w:rPr>
        <w:t>Amler’s Precedents of Pleadings, Seventh Edition, LTC Harms, p234</w:t>
      </w:r>
      <w:r w:rsidR="007F53CE">
        <w:rPr>
          <w:lang w:val="en-GB"/>
        </w:rPr>
        <w:t>; Rand Mutual supra</w:t>
      </w:r>
      <w:r>
        <w:rPr>
          <w:lang w:val="en-GB"/>
        </w:rPr>
        <w:t xml:space="preserve"> </w:t>
      </w:r>
    </w:p>
  </w:footnote>
  <w:footnote w:id="20">
    <w:p w14:paraId="3BF9D77A" w14:textId="77777777" w:rsidR="008C32DB" w:rsidRPr="00827212" w:rsidRDefault="008C32DB" w:rsidP="008C32DB">
      <w:pPr>
        <w:pStyle w:val="FootnoteText"/>
        <w:rPr>
          <w:lang w:val="en-GB"/>
        </w:rPr>
      </w:pPr>
      <w:r>
        <w:rPr>
          <w:rStyle w:val="FootnoteReference"/>
        </w:rPr>
        <w:footnoteRef/>
      </w:r>
      <w:r>
        <w:t xml:space="preserve"> </w:t>
      </w:r>
      <w:r>
        <w:rPr>
          <w:lang w:val="en-GB"/>
        </w:rPr>
        <w:t>2011 (2) SA 518 (KZP)</w:t>
      </w:r>
    </w:p>
  </w:footnote>
  <w:footnote w:id="21">
    <w:p w14:paraId="7ACC330A" w14:textId="5B30B466" w:rsidR="008C32DB" w:rsidRPr="005375E6" w:rsidRDefault="008C32DB" w:rsidP="008C32DB">
      <w:pPr>
        <w:pStyle w:val="FootnoteText"/>
        <w:rPr>
          <w:lang w:val="en-GB"/>
        </w:rPr>
      </w:pPr>
      <w:r>
        <w:rPr>
          <w:rStyle w:val="FootnoteReference"/>
        </w:rPr>
        <w:footnoteRef/>
      </w:r>
      <w:r>
        <w:t xml:space="preserve"> </w:t>
      </w:r>
      <w:r>
        <w:rPr>
          <w:lang w:val="en-GB"/>
        </w:rPr>
        <w:t xml:space="preserve">I am of the respectful view that this might be an error in the judgment and that the sentence may </w:t>
      </w:r>
      <w:r w:rsidR="003A4355">
        <w:rPr>
          <w:lang w:val="en-GB"/>
        </w:rPr>
        <w:t xml:space="preserve">have </w:t>
      </w:r>
      <w:r>
        <w:rPr>
          <w:lang w:val="en-GB"/>
        </w:rPr>
        <w:t>been intended to read “…the insurer take the place of the insured”. The same</w:t>
      </w:r>
      <w:r w:rsidR="003A4355">
        <w:rPr>
          <w:lang w:val="en-GB"/>
        </w:rPr>
        <w:t xml:space="preserve"> possible error </w:t>
      </w:r>
      <w:r>
        <w:rPr>
          <w:lang w:val="en-GB"/>
        </w:rPr>
        <w:t xml:space="preserve">occurs in the PDF and Word version of the judgment on Saflii </w:t>
      </w:r>
    </w:p>
  </w:footnote>
  <w:footnote w:id="22">
    <w:p w14:paraId="06CF1107" w14:textId="4C52C410" w:rsidR="008C32DB" w:rsidRPr="006659A6" w:rsidRDefault="008C32DB" w:rsidP="008C32DB">
      <w:pPr>
        <w:pStyle w:val="FootnoteText"/>
        <w:rPr>
          <w:lang w:val="en-GB"/>
        </w:rPr>
      </w:pPr>
      <w:r>
        <w:rPr>
          <w:rStyle w:val="FootnoteReference"/>
        </w:rPr>
        <w:footnoteRef/>
      </w:r>
      <w:r>
        <w:t xml:space="preserve"> 1996 (1) SA 273 (C) 277H-279C</w:t>
      </w:r>
    </w:p>
  </w:footnote>
  <w:footnote w:id="23">
    <w:p w14:paraId="50CCFFE6" w14:textId="77777777" w:rsidR="008C32DB" w:rsidRPr="007257D9" w:rsidRDefault="008C32DB" w:rsidP="008C32DB">
      <w:pPr>
        <w:pStyle w:val="FootnoteText"/>
        <w:rPr>
          <w:lang w:val="en-GB"/>
        </w:rPr>
      </w:pPr>
      <w:r>
        <w:rPr>
          <w:rStyle w:val="FootnoteReference"/>
        </w:rPr>
        <w:footnoteRef/>
      </w:r>
      <w:r>
        <w:t xml:space="preserve"> </w:t>
      </w:r>
      <w:r>
        <w:rPr>
          <w:lang w:val="en-GB"/>
        </w:rPr>
        <w:t>Standard General Insurance Co Ltd v Dugmore NO 1997 (1) SA 33 (SCA) at 42B</w:t>
      </w:r>
    </w:p>
  </w:footnote>
  <w:footnote w:id="24">
    <w:p w14:paraId="638209E5" w14:textId="77777777" w:rsidR="008C32DB" w:rsidRPr="00010797" w:rsidRDefault="008C32DB" w:rsidP="008C32DB">
      <w:pPr>
        <w:pStyle w:val="FootnoteText"/>
        <w:rPr>
          <w:lang w:val="en-GB"/>
        </w:rPr>
      </w:pPr>
      <w:r>
        <w:rPr>
          <w:rStyle w:val="FootnoteReference"/>
        </w:rPr>
        <w:footnoteRef/>
      </w:r>
      <w:r>
        <w:t xml:space="preserve"> </w:t>
      </w:r>
      <w:r>
        <w:rPr>
          <w:lang w:val="en-GB"/>
        </w:rPr>
        <w:t>Dictionary of Legal Words and Phrases, Second Edition, RD Claassen, Vol 4 R-63</w:t>
      </w:r>
    </w:p>
  </w:footnote>
  <w:footnote w:id="25">
    <w:p w14:paraId="0EC29340" w14:textId="77777777" w:rsidR="008C32DB" w:rsidRPr="0017177D" w:rsidRDefault="008C32DB" w:rsidP="008C32DB">
      <w:pPr>
        <w:pStyle w:val="FootnoteText"/>
        <w:rPr>
          <w:lang w:val="en-GB"/>
        </w:rPr>
      </w:pPr>
      <w:r>
        <w:rPr>
          <w:rStyle w:val="FootnoteReference"/>
        </w:rPr>
        <w:footnoteRef/>
      </w:r>
      <w:r>
        <w:t xml:space="preserve"> </w:t>
      </w:r>
      <w:r>
        <w:rPr>
          <w:lang w:val="en-GB"/>
        </w:rPr>
        <w:t xml:space="preserve">2018 (5) SA 169 (SCA) par 13; see also Engelbrecht v Road Accident Fund &amp; Another [2007] 6 SA 96 (CC)  </w:t>
      </w:r>
    </w:p>
  </w:footnote>
  <w:footnote w:id="26">
    <w:p w14:paraId="5997B7CB" w14:textId="77777777" w:rsidR="008C32DB" w:rsidRPr="0055168F" w:rsidRDefault="008C32DB" w:rsidP="008C32DB">
      <w:pPr>
        <w:pStyle w:val="FootnoteText"/>
        <w:rPr>
          <w:lang w:val="en-GB"/>
        </w:rPr>
      </w:pPr>
      <w:r>
        <w:rPr>
          <w:rStyle w:val="FootnoteReference"/>
        </w:rPr>
        <w:footnoteRef/>
      </w:r>
      <w:r>
        <w:t xml:space="preserve"> </w:t>
      </w:r>
      <w:r>
        <w:rPr>
          <w:lang w:val="en-GB"/>
        </w:rPr>
        <w:t xml:space="preserve">[2008] ZASCA 18 par 3, see also par 11-13 </w:t>
      </w:r>
    </w:p>
  </w:footnote>
  <w:footnote w:id="27">
    <w:p w14:paraId="2C72D3C5" w14:textId="77777777" w:rsidR="008C32DB" w:rsidRPr="00471ECB" w:rsidRDefault="008C32DB" w:rsidP="008C32DB">
      <w:pPr>
        <w:pStyle w:val="FootnoteText"/>
        <w:rPr>
          <w:lang w:val="en-GB"/>
        </w:rPr>
      </w:pPr>
      <w:r>
        <w:rPr>
          <w:rStyle w:val="FootnoteReference"/>
        </w:rPr>
        <w:footnoteRef/>
      </w:r>
      <w:r>
        <w:t xml:space="preserve"> </w:t>
      </w:r>
      <w:r>
        <w:rPr>
          <w:lang w:val="en-GB"/>
        </w:rPr>
        <w:t>[2023] ZAWCHC 305 para 10-12</w:t>
      </w:r>
    </w:p>
  </w:footnote>
  <w:footnote w:id="28">
    <w:p w14:paraId="4C32EB0E" w14:textId="77777777" w:rsidR="008C32DB" w:rsidRPr="00933334" w:rsidRDefault="008C32DB" w:rsidP="008C32DB">
      <w:pPr>
        <w:pStyle w:val="FootnoteText"/>
        <w:rPr>
          <w:lang w:val="en-GB"/>
        </w:rPr>
      </w:pPr>
      <w:r>
        <w:rPr>
          <w:rStyle w:val="FootnoteReference"/>
        </w:rPr>
        <w:footnoteRef/>
      </w:r>
      <w:r>
        <w:t xml:space="preserve"> </w:t>
      </w:r>
      <w:r>
        <w:rPr>
          <w:lang w:val="en-GB"/>
        </w:rPr>
        <w:t>Abdool Carrim supra, par13</w:t>
      </w:r>
    </w:p>
  </w:footnote>
  <w:footnote w:id="29">
    <w:p w14:paraId="587064A8" w14:textId="77777777" w:rsidR="008C32DB" w:rsidRPr="00A86FB6" w:rsidRDefault="008C32DB" w:rsidP="008C32DB">
      <w:pPr>
        <w:pStyle w:val="FootnoteText"/>
        <w:rPr>
          <w:lang w:val="en-GB"/>
        </w:rPr>
      </w:pPr>
      <w:r>
        <w:rPr>
          <w:rStyle w:val="FootnoteReference"/>
        </w:rPr>
        <w:footnoteRef/>
      </w:r>
      <w:r>
        <w:t xml:space="preserve"> </w:t>
      </w:r>
      <w:r>
        <w:rPr>
          <w:lang w:val="en-GB"/>
        </w:rPr>
        <w:t>See section 17</w:t>
      </w:r>
    </w:p>
  </w:footnote>
  <w:footnote w:id="30">
    <w:p w14:paraId="6AD26270" w14:textId="77777777" w:rsidR="008C32DB" w:rsidRPr="0014752A" w:rsidRDefault="008C32DB" w:rsidP="008C32DB">
      <w:pPr>
        <w:pStyle w:val="FootnoteText"/>
        <w:rPr>
          <w:lang w:val="en-GB"/>
        </w:rPr>
      </w:pPr>
      <w:r>
        <w:rPr>
          <w:rStyle w:val="FootnoteReference"/>
        </w:rPr>
        <w:footnoteRef/>
      </w:r>
      <w:r>
        <w:t xml:space="preserve"> </w:t>
      </w:r>
      <w:r>
        <w:rPr>
          <w:lang w:val="en-GB"/>
        </w:rPr>
        <w:t>See Discovery Health, par 21</w:t>
      </w:r>
    </w:p>
  </w:footnote>
  <w:footnote w:id="31">
    <w:p w14:paraId="241741A0" w14:textId="77777777" w:rsidR="008C32DB" w:rsidRPr="0014752A" w:rsidRDefault="008C32DB" w:rsidP="008C32DB">
      <w:pPr>
        <w:pStyle w:val="FootnoteText"/>
        <w:rPr>
          <w:lang w:val="en-GB"/>
        </w:rPr>
      </w:pPr>
      <w:r>
        <w:rPr>
          <w:rStyle w:val="FootnoteReference"/>
        </w:rPr>
        <w:footnoteRef/>
      </w:r>
      <w:r>
        <w:t xml:space="preserve"> </w:t>
      </w:r>
      <w:r>
        <w:rPr>
          <w:lang w:val="en-GB"/>
        </w:rPr>
        <w:t xml:space="preserve"> [2010] ZAWCHC 30 </w:t>
      </w:r>
    </w:p>
  </w:footnote>
  <w:footnote w:id="32">
    <w:p w14:paraId="2B3D4FFF" w14:textId="77777777" w:rsidR="008C32DB" w:rsidRPr="00FC539B" w:rsidRDefault="008C32DB" w:rsidP="008C32DB">
      <w:pPr>
        <w:pStyle w:val="FootnoteText"/>
        <w:rPr>
          <w:lang w:val="en-GB"/>
        </w:rPr>
      </w:pPr>
      <w:r>
        <w:rPr>
          <w:rStyle w:val="FootnoteReference"/>
        </w:rPr>
        <w:footnoteRef/>
      </w:r>
      <w:r>
        <w:t xml:space="preserve"> </w:t>
      </w:r>
      <w:r>
        <w:rPr>
          <w:lang w:val="en-GB"/>
        </w:rPr>
        <w:t xml:space="preserve">Defendant’s submissions on </w:t>
      </w:r>
    </w:p>
  </w:footnote>
  <w:footnote w:id="33">
    <w:p w14:paraId="6A32BE4E" w14:textId="77777777" w:rsidR="008C32DB" w:rsidRPr="00B204AC" w:rsidRDefault="008C32DB" w:rsidP="008C32DB">
      <w:pPr>
        <w:pStyle w:val="FootnoteText"/>
        <w:rPr>
          <w:lang w:val="en-GB"/>
        </w:rPr>
      </w:pPr>
      <w:r>
        <w:rPr>
          <w:rStyle w:val="FootnoteReference"/>
        </w:rPr>
        <w:footnoteRef/>
      </w:r>
      <w:r>
        <w:t xml:space="preserve"> </w:t>
      </w:r>
      <w:r>
        <w:rPr>
          <w:lang w:val="en-GB"/>
        </w:rPr>
        <w:t>Case number 126/2020, Eastern Cape Local Division, Gqeberha, delivered by Van Zyl DJP on 1 December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42E26"/>
    <w:multiLevelType w:val="multilevel"/>
    <w:tmpl w:val="5A8C130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95A7A26"/>
    <w:multiLevelType w:val="hybridMultilevel"/>
    <w:tmpl w:val="D97C2358"/>
    <w:lvl w:ilvl="0" w:tplc="9B360920">
      <w:start w:val="1"/>
      <w:numFmt w:val="decimal"/>
      <w:pStyle w:val="JUDGMENTNUMBERED"/>
      <w:lvlText w:val="[%1]"/>
      <w:lvlJc w:val="left"/>
      <w:pPr>
        <w:ind w:left="450" w:hanging="360"/>
      </w:pPr>
      <w:rPr>
        <w:rFonts w:cs="Times New Roman" w:hint="default"/>
        <w:caps w:val="0"/>
        <w:strike w:val="0"/>
        <w:dstrike w:val="0"/>
        <w:shadow w:val="0"/>
        <w:emboss w:val="0"/>
        <w:imprint w:val="0"/>
        <w:vanish w:val="0"/>
        <w:sz w:val="26"/>
        <w:vertAlign w:val="baseline"/>
      </w:rPr>
    </w:lvl>
    <w:lvl w:ilvl="1" w:tplc="04090019">
      <w:start w:val="1"/>
      <w:numFmt w:val="lowerLetter"/>
      <w:lvlText w:val="%2."/>
      <w:lvlJc w:val="left"/>
      <w:pPr>
        <w:ind w:left="1210" w:hanging="360"/>
      </w:pPr>
      <w:rPr>
        <w:rFonts w:cs="Times New Roman"/>
      </w:rPr>
    </w:lvl>
    <w:lvl w:ilvl="2" w:tplc="0409001B" w:tentative="1">
      <w:start w:val="1"/>
      <w:numFmt w:val="lowerRoman"/>
      <w:lvlText w:val="%3."/>
      <w:lvlJc w:val="right"/>
      <w:pPr>
        <w:ind w:left="1930" w:hanging="180"/>
      </w:pPr>
      <w:rPr>
        <w:rFonts w:cs="Times New Roman"/>
      </w:rPr>
    </w:lvl>
    <w:lvl w:ilvl="3" w:tplc="0409000F" w:tentative="1">
      <w:start w:val="1"/>
      <w:numFmt w:val="decimal"/>
      <w:lvlText w:val="%4."/>
      <w:lvlJc w:val="left"/>
      <w:pPr>
        <w:ind w:left="2650" w:hanging="360"/>
      </w:pPr>
      <w:rPr>
        <w:rFonts w:cs="Times New Roman"/>
      </w:rPr>
    </w:lvl>
    <w:lvl w:ilvl="4" w:tplc="04090019" w:tentative="1">
      <w:start w:val="1"/>
      <w:numFmt w:val="lowerLetter"/>
      <w:lvlText w:val="%5."/>
      <w:lvlJc w:val="left"/>
      <w:pPr>
        <w:ind w:left="3370" w:hanging="360"/>
      </w:pPr>
      <w:rPr>
        <w:rFonts w:cs="Times New Roman"/>
      </w:rPr>
    </w:lvl>
    <w:lvl w:ilvl="5" w:tplc="0409001B" w:tentative="1">
      <w:start w:val="1"/>
      <w:numFmt w:val="lowerRoman"/>
      <w:lvlText w:val="%6."/>
      <w:lvlJc w:val="right"/>
      <w:pPr>
        <w:ind w:left="4090" w:hanging="180"/>
      </w:pPr>
      <w:rPr>
        <w:rFonts w:cs="Times New Roman"/>
      </w:rPr>
    </w:lvl>
    <w:lvl w:ilvl="6" w:tplc="0409000F" w:tentative="1">
      <w:start w:val="1"/>
      <w:numFmt w:val="decimal"/>
      <w:lvlText w:val="%7."/>
      <w:lvlJc w:val="left"/>
      <w:pPr>
        <w:ind w:left="4810" w:hanging="360"/>
      </w:pPr>
      <w:rPr>
        <w:rFonts w:cs="Times New Roman"/>
      </w:rPr>
    </w:lvl>
    <w:lvl w:ilvl="7" w:tplc="04090019" w:tentative="1">
      <w:start w:val="1"/>
      <w:numFmt w:val="lowerLetter"/>
      <w:lvlText w:val="%8."/>
      <w:lvlJc w:val="left"/>
      <w:pPr>
        <w:ind w:left="5530" w:hanging="360"/>
      </w:pPr>
      <w:rPr>
        <w:rFonts w:cs="Times New Roman"/>
      </w:rPr>
    </w:lvl>
    <w:lvl w:ilvl="8" w:tplc="0409001B" w:tentative="1">
      <w:start w:val="1"/>
      <w:numFmt w:val="lowerRoman"/>
      <w:lvlText w:val="%9."/>
      <w:lvlJc w:val="right"/>
      <w:pPr>
        <w:ind w:left="6250" w:hanging="180"/>
      </w:pPr>
      <w:rPr>
        <w:rFonts w:cs="Times New Roman"/>
      </w:rPr>
    </w:lvl>
  </w:abstractNum>
  <w:abstractNum w:abstractNumId="2" w15:restartNumberingAfterBreak="0">
    <w:nsid w:val="12C25740"/>
    <w:multiLevelType w:val="hybridMultilevel"/>
    <w:tmpl w:val="E2D2195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4DE0761"/>
    <w:multiLevelType w:val="multilevel"/>
    <w:tmpl w:val="F42A739A"/>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4" w15:restartNumberingAfterBreak="0">
    <w:nsid w:val="3A8A0DF8"/>
    <w:multiLevelType w:val="hybridMultilevel"/>
    <w:tmpl w:val="59769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184D4F"/>
    <w:multiLevelType w:val="hybridMultilevel"/>
    <w:tmpl w:val="DCF89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A7445"/>
    <w:multiLevelType w:val="hybridMultilevel"/>
    <w:tmpl w:val="93828FC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89B2F13"/>
    <w:multiLevelType w:val="hybridMultilevel"/>
    <w:tmpl w:val="D78EE1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4C54F3"/>
    <w:multiLevelType w:val="hybridMultilevel"/>
    <w:tmpl w:val="680E7EC8"/>
    <w:lvl w:ilvl="0" w:tplc="C7FA3F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147392"/>
    <w:multiLevelType w:val="multilevel"/>
    <w:tmpl w:val="67B891D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6D1E65DE"/>
    <w:multiLevelType w:val="hybridMultilevel"/>
    <w:tmpl w:val="518CECA6"/>
    <w:lvl w:ilvl="0" w:tplc="9482A4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2F32E2"/>
    <w:multiLevelType w:val="hybridMultilevel"/>
    <w:tmpl w:val="88C0C002"/>
    <w:lvl w:ilvl="0" w:tplc="7C2E8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EF8372E"/>
    <w:multiLevelType w:val="hybridMultilevel"/>
    <w:tmpl w:val="1FFC63F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642852176">
    <w:abstractNumId w:val="7"/>
  </w:num>
  <w:num w:numId="2" w16cid:durableId="19939861">
    <w:abstractNumId w:val="10"/>
  </w:num>
  <w:num w:numId="3" w16cid:durableId="329216057">
    <w:abstractNumId w:val="9"/>
  </w:num>
  <w:num w:numId="4" w16cid:durableId="47074645">
    <w:abstractNumId w:val="2"/>
  </w:num>
  <w:num w:numId="5" w16cid:durableId="1294020418">
    <w:abstractNumId w:val="6"/>
  </w:num>
  <w:num w:numId="6" w16cid:durableId="592084463">
    <w:abstractNumId w:val="12"/>
  </w:num>
  <w:num w:numId="7" w16cid:durableId="1215773410">
    <w:abstractNumId w:val="5"/>
  </w:num>
  <w:num w:numId="8" w16cid:durableId="1279288958">
    <w:abstractNumId w:val="0"/>
  </w:num>
  <w:num w:numId="9" w16cid:durableId="399251911">
    <w:abstractNumId w:val="1"/>
  </w:num>
  <w:num w:numId="10" w16cid:durableId="225379532">
    <w:abstractNumId w:val="8"/>
  </w:num>
  <w:num w:numId="11" w16cid:durableId="96484234">
    <w:abstractNumId w:val="4"/>
  </w:num>
  <w:num w:numId="12" w16cid:durableId="1931351323">
    <w:abstractNumId w:val="11"/>
  </w:num>
  <w:num w:numId="13" w16cid:durableId="790246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B82"/>
    <w:rsid w:val="00016F63"/>
    <w:rsid w:val="000201C6"/>
    <w:rsid w:val="00022A9D"/>
    <w:rsid w:val="0003263F"/>
    <w:rsid w:val="00032AF1"/>
    <w:rsid w:val="00040786"/>
    <w:rsid w:val="00042143"/>
    <w:rsid w:val="000432F3"/>
    <w:rsid w:val="000439F5"/>
    <w:rsid w:val="00045277"/>
    <w:rsid w:val="000475F6"/>
    <w:rsid w:val="00051362"/>
    <w:rsid w:val="00051C15"/>
    <w:rsid w:val="000550B2"/>
    <w:rsid w:val="00055CD4"/>
    <w:rsid w:val="00063546"/>
    <w:rsid w:val="00074DE3"/>
    <w:rsid w:val="00085BEA"/>
    <w:rsid w:val="00091837"/>
    <w:rsid w:val="0009303C"/>
    <w:rsid w:val="00093E34"/>
    <w:rsid w:val="000A064E"/>
    <w:rsid w:val="000A1F7E"/>
    <w:rsid w:val="000B5559"/>
    <w:rsid w:val="000C2453"/>
    <w:rsid w:val="000C7110"/>
    <w:rsid w:val="000D0A63"/>
    <w:rsid w:val="000D33C7"/>
    <w:rsid w:val="000D3D95"/>
    <w:rsid w:val="000E0605"/>
    <w:rsid w:val="000E472F"/>
    <w:rsid w:val="001000F8"/>
    <w:rsid w:val="00100D9E"/>
    <w:rsid w:val="0011161D"/>
    <w:rsid w:val="001153BB"/>
    <w:rsid w:val="001159CD"/>
    <w:rsid w:val="001160BC"/>
    <w:rsid w:val="001163C1"/>
    <w:rsid w:val="00117A1A"/>
    <w:rsid w:val="00132934"/>
    <w:rsid w:val="001349EB"/>
    <w:rsid w:val="0013512D"/>
    <w:rsid w:val="00144E96"/>
    <w:rsid w:val="0015021F"/>
    <w:rsid w:val="0015417A"/>
    <w:rsid w:val="00154754"/>
    <w:rsid w:val="0015614E"/>
    <w:rsid w:val="001702DF"/>
    <w:rsid w:val="00173EA4"/>
    <w:rsid w:val="00175475"/>
    <w:rsid w:val="00177AD2"/>
    <w:rsid w:val="00183C8C"/>
    <w:rsid w:val="00186AFA"/>
    <w:rsid w:val="00186C08"/>
    <w:rsid w:val="001870DF"/>
    <w:rsid w:val="001A1276"/>
    <w:rsid w:val="001A32FE"/>
    <w:rsid w:val="001A53D2"/>
    <w:rsid w:val="001B05EC"/>
    <w:rsid w:val="001B0BF8"/>
    <w:rsid w:val="001B32A9"/>
    <w:rsid w:val="001B39A6"/>
    <w:rsid w:val="001B4118"/>
    <w:rsid w:val="001B53E4"/>
    <w:rsid w:val="001B74DE"/>
    <w:rsid w:val="001C2031"/>
    <w:rsid w:val="001C55F0"/>
    <w:rsid w:val="001C7A4D"/>
    <w:rsid w:val="001D0181"/>
    <w:rsid w:val="001D2BD7"/>
    <w:rsid w:val="001D3075"/>
    <w:rsid w:val="001D5989"/>
    <w:rsid w:val="001D64B9"/>
    <w:rsid w:val="001E0FEB"/>
    <w:rsid w:val="001E509B"/>
    <w:rsid w:val="001E51A6"/>
    <w:rsid w:val="001E5A97"/>
    <w:rsid w:val="001F3D60"/>
    <w:rsid w:val="0020023D"/>
    <w:rsid w:val="002029EE"/>
    <w:rsid w:val="00203AFD"/>
    <w:rsid w:val="00204D80"/>
    <w:rsid w:val="00212BD2"/>
    <w:rsid w:val="002176B9"/>
    <w:rsid w:val="00220E32"/>
    <w:rsid w:val="00225C0E"/>
    <w:rsid w:val="002318DA"/>
    <w:rsid w:val="00232478"/>
    <w:rsid w:val="002358C7"/>
    <w:rsid w:val="0023690C"/>
    <w:rsid w:val="0024245A"/>
    <w:rsid w:val="00246A94"/>
    <w:rsid w:val="002510A4"/>
    <w:rsid w:val="00262271"/>
    <w:rsid w:val="00263345"/>
    <w:rsid w:val="00270DE2"/>
    <w:rsid w:val="00273615"/>
    <w:rsid w:val="00274270"/>
    <w:rsid w:val="00276754"/>
    <w:rsid w:val="00281333"/>
    <w:rsid w:val="0028178F"/>
    <w:rsid w:val="002821D0"/>
    <w:rsid w:val="00283442"/>
    <w:rsid w:val="002839A2"/>
    <w:rsid w:val="002846A1"/>
    <w:rsid w:val="002848D0"/>
    <w:rsid w:val="00285C56"/>
    <w:rsid w:val="002877D3"/>
    <w:rsid w:val="00293B48"/>
    <w:rsid w:val="002A0E90"/>
    <w:rsid w:val="002A33BF"/>
    <w:rsid w:val="002A69CB"/>
    <w:rsid w:val="002B5A7A"/>
    <w:rsid w:val="002C4FDC"/>
    <w:rsid w:val="002C697E"/>
    <w:rsid w:val="002C7138"/>
    <w:rsid w:val="002C79A9"/>
    <w:rsid w:val="002D13DB"/>
    <w:rsid w:val="002D1B95"/>
    <w:rsid w:val="002D490A"/>
    <w:rsid w:val="002D4996"/>
    <w:rsid w:val="002D5259"/>
    <w:rsid w:val="002D6386"/>
    <w:rsid w:val="002E3188"/>
    <w:rsid w:val="002E63B0"/>
    <w:rsid w:val="002F0861"/>
    <w:rsid w:val="002F43C1"/>
    <w:rsid w:val="002F66B2"/>
    <w:rsid w:val="00307C2B"/>
    <w:rsid w:val="0031283F"/>
    <w:rsid w:val="00316E64"/>
    <w:rsid w:val="0031706B"/>
    <w:rsid w:val="0032452E"/>
    <w:rsid w:val="00332A78"/>
    <w:rsid w:val="00332FFA"/>
    <w:rsid w:val="00333D7E"/>
    <w:rsid w:val="0033789A"/>
    <w:rsid w:val="00337AFC"/>
    <w:rsid w:val="003428CA"/>
    <w:rsid w:val="003433C5"/>
    <w:rsid w:val="00346B2F"/>
    <w:rsid w:val="00370F17"/>
    <w:rsid w:val="00372002"/>
    <w:rsid w:val="003758C8"/>
    <w:rsid w:val="00382B12"/>
    <w:rsid w:val="00384CE3"/>
    <w:rsid w:val="00387158"/>
    <w:rsid w:val="00391DE0"/>
    <w:rsid w:val="0039793D"/>
    <w:rsid w:val="00397F75"/>
    <w:rsid w:val="003A2BFF"/>
    <w:rsid w:val="003A4355"/>
    <w:rsid w:val="003B1412"/>
    <w:rsid w:val="003B34B0"/>
    <w:rsid w:val="003B4AC2"/>
    <w:rsid w:val="003B6223"/>
    <w:rsid w:val="003B6ABB"/>
    <w:rsid w:val="003B78AB"/>
    <w:rsid w:val="003C09E4"/>
    <w:rsid w:val="003C2ED8"/>
    <w:rsid w:val="003C3796"/>
    <w:rsid w:val="003C7C12"/>
    <w:rsid w:val="003E45CC"/>
    <w:rsid w:val="003E60EB"/>
    <w:rsid w:val="003E6FA7"/>
    <w:rsid w:val="003E70E0"/>
    <w:rsid w:val="003F6146"/>
    <w:rsid w:val="003F77FE"/>
    <w:rsid w:val="004028D1"/>
    <w:rsid w:val="004061D7"/>
    <w:rsid w:val="004074A3"/>
    <w:rsid w:val="00414F79"/>
    <w:rsid w:val="00416A55"/>
    <w:rsid w:val="004217BE"/>
    <w:rsid w:val="00424366"/>
    <w:rsid w:val="004269DA"/>
    <w:rsid w:val="004434A6"/>
    <w:rsid w:val="00443968"/>
    <w:rsid w:val="00450888"/>
    <w:rsid w:val="00451F45"/>
    <w:rsid w:val="0046162A"/>
    <w:rsid w:val="004648C7"/>
    <w:rsid w:val="00464B29"/>
    <w:rsid w:val="00475BC5"/>
    <w:rsid w:val="00477824"/>
    <w:rsid w:val="00492003"/>
    <w:rsid w:val="00495BD9"/>
    <w:rsid w:val="0049734D"/>
    <w:rsid w:val="004A108F"/>
    <w:rsid w:val="004A4BA9"/>
    <w:rsid w:val="004B29F2"/>
    <w:rsid w:val="004B4555"/>
    <w:rsid w:val="004B5497"/>
    <w:rsid w:val="004C17DE"/>
    <w:rsid w:val="004C2495"/>
    <w:rsid w:val="004C6C3A"/>
    <w:rsid w:val="004D1ECB"/>
    <w:rsid w:val="004D2D74"/>
    <w:rsid w:val="004D32AF"/>
    <w:rsid w:val="004D3AC3"/>
    <w:rsid w:val="004D3F8E"/>
    <w:rsid w:val="004D481E"/>
    <w:rsid w:val="004D7A27"/>
    <w:rsid w:val="004E2005"/>
    <w:rsid w:val="004F45D3"/>
    <w:rsid w:val="0050428C"/>
    <w:rsid w:val="005076E3"/>
    <w:rsid w:val="005076F6"/>
    <w:rsid w:val="00510259"/>
    <w:rsid w:val="00512210"/>
    <w:rsid w:val="0052097D"/>
    <w:rsid w:val="0052244A"/>
    <w:rsid w:val="00523201"/>
    <w:rsid w:val="0053241D"/>
    <w:rsid w:val="00534233"/>
    <w:rsid w:val="005363C3"/>
    <w:rsid w:val="005417D7"/>
    <w:rsid w:val="00545F36"/>
    <w:rsid w:val="00547EDA"/>
    <w:rsid w:val="00552300"/>
    <w:rsid w:val="0055379C"/>
    <w:rsid w:val="005555D7"/>
    <w:rsid w:val="00557453"/>
    <w:rsid w:val="00557F53"/>
    <w:rsid w:val="00560B43"/>
    <w:rsid w:val="00565B7F"/>
    <w:rsid w:val="00565F6C"/>
    <w:rsid w:val="00566D6D"/>
    <w:rsid w:val="00572E85"/>
    <w:rsid w:val="00580F2C"/>
    <w:rsid w:val="0059017F"/>
    <w:rsid w:val="005943C4"/>
    <w:rsid w:val="00597966"/>
    <w:rsid w:val="005B0DD5"/>
    <w:rsid w:val="005B6557"/>
    <w:rsid w:val="005B7F05"/>
    <w:rsid w:val="005C017F"/>
    <w:rsid w:val="005C11B3"/>
    <w:rsid w:val="005C43C5"/>
    <w:rsid w:val="005C448A"/>
    <w:rsid w:val="005C7D5F"/>
    <w:rsid w:val="005E2E1B"/>
    <w:rsid w:val="005F2290"/>
    <w:rsid w:val="005F35C4"/>
    <w:rsid w:val="005F48B2"/>
    <w:rsid w:val="006076A0"/>
    <w:rsid w:val="00610175"/>
    <w:rsid w:val="00610E97"/>
    <w:rsid w:val="006169F9"/>
    <w:rsid w:val="00622CE5"/>
    <w:rsid w:val="00622F8C"/>
    <w:rsid w:val="00623612"/>
    <w:rsid w:val="0062394F"/>
    <w:rsid w:val="00624A9E"/>
    <w:rsid w:val="00626AF7"/>
    <w:rsid w:val="006270A3"/>
    <w:rsid w:val="006408E7"/>
    <w:rsid w:val="00641CB5"/>
    <w:rsid w:val="00642140"/>
    <w:rsid w:val="006437C8"/>
    <w:rsid w:val="00644990"/>
    <w:rsid w:val="00651056"/>
    <w:rsid w:val="00652C9B"/>
    <w:rsid w:val="00656BBD"/>
    <w:rsid w:val="00660805"/>
    <w:rsid w:val="006707AC"/>
    <w:rsid w:val="006723C1"/>
    <w:rsid w:val="00672487"/>
    <w:rsid w:val="00672BEE"/>
    <w:rsid w:val="00673A37"/>
    <w:rsid w:val="00673D9E"/>
    <w:rsid w:val="00673F58"/>
    <w:rsid w:val="00683BEF"/>
    <w:rsid w:val="00685C5E"/>
    <w:rsid w:val="00686D6A"/>
    <w:rsid w:val="00691F11"/>
    <w:rsid w:val="00693642"/>
    <w:rsid w:val="006949B1"/>
    <w:rsid w:val="006953CF"/>
    <w:rsid w:val="006A1E63"/>
    <w:rsid w:val="006A20A2"/>
    <w:rsid w:val="006A3A49"/>
    <w:rsid w:val="006B17CF"/>
    <w:rsid w:val="006B25B7"/>
    <w:rsid w:val="006B39DC"/>
    <w:rsid w:val="006B5133"/>
    <w:rsid w:val="006C2467"/>
    <w:rsid w:val="006C3DC4"/>
    <w:rsid w:val="006C5650"/>
    <w:rsid w:val="006C57B5"/>
    <w:rsid w:val="006D08BC"/>
    <w:rsid w:val="006D2EFE"/>
    <w:rsid w:val="006D5FB2"/>
    <w:rsid w:val="006E76B9"/>
    <w:rsid w:val="006F7ACD"/>
    <w:rsid w:val="00706526"/>
    <w:rsid w:val="00724B14"/>
    <w:rsid w:val="00725585"/>
    <w:rsid w:val="00725AFA"/>
    <w:rsid w:val="00732C70"/>
    <w:rsid w:val="00735EB7"/>
    <w:rsid w:val="00741337"/>
    <w:rsid w:val="007415BE"/>
    <w:rsid w:val="00746418"/>
    <w:rsid w:val="00752912"/>
    <w:rsid w:val="0075369E"/>
    <w:rsid w:val="00762452"/>
    <w:rsid w:val="007638E8"/>
    <w:rsid w:val="007639F8"/>
    <w:rsid w:val="007652C5"/>
    <w:rsid w:val="007663D4"/>
    <w:rsid w:val="0076759C"/>
    <w:rsid w:val="0078009F"/>
    <w:rsid w:val="007861B5"/>
    <w:rsid w:val="00787CF6"/>
    <w:rsid w:val="00787E72"/>
    <w:rsid w:val="0079303E"/>
    <w:rsid w:val="007938C6"/>
    <w:rsid w:val="00794622"/>
    <w:rsid w:val="00794950"/>
    <w:rsid w:val="007A0676"/>
    <w:rsid w:val="007A1C13"/>
    <w:rsid w:val="007A36EA"/>
    <w:rsid w:val="007A4CA5"/>
    <w:rsid w:val="007A6689"/>
    <w:rsid w:val="007A744C"/>
    <w:rsid w:val="007B0202"/>
    <w:rsid w:val="007B2083"/>
    <w:rsid w:val="007B2AC1"/>
    <w:rsid w:val="007C06EF"/>
    <w:rsid w:val="007C2FF6"/>
    <w:rsid w:val="007C530F"/>
    <w:rsid w:val="007C6D82"/>
    <w:rsid w:val="007C7450"/>
    <w:rsid w:val="007D0A8D"/>
    <w:rsid w:val="007D1F09"/>
    <w:rsid w:val="007D6AAB"/>
    <w:rsid w:val="007D7F98"/>
    <w:rsid w:val="007E264B"/>
    <w:rsid w:val="007E31E0"/>
    <w:rsid w:val="007E679E"/>
    <w:rsid w:val="007E7CC4"/>
    <w:rsid w:val="007F0526"/>
    <w:rsid w:val="007F1B8E"/>
    <w:rsid w:val="007F53CE"/>
    <w:rsid w:val="00802A46"/>
    <w:rsid w:val="00803A69"/>
    <w:rsid w:val="008042E2"/>
    <w:rsid w:val="00807A59"/>
    <w:rsid w:val="00807F9C"/>
    <w:rsid w:val="008174AB"/>
    <w:rsid w:val="00817DDE"/>
    <w:rsid w:val="008209C6"/>
    <w:rsid w:val="008211AD"/>
    <w:rsid w:val="00826264"/>
    <w:rsid w:val="008340D8"/>
    <w:rsid w:val="00840E3F"/>
    <w:rsid w:val="008545BF"/>
    <w:rsid w:val="00854B72"/>
    <w:rsid w:val="008710AF"/>
    <w:rsid w:val="008721B5"/>
    <w:rsid w:val="00874C94"/>
    <w:rsid w:val="00876CE0"/>
    <w:rsid w:val="008852D6"/>
    <w:rsid w:val="008951BA"/>
    <w:rsid w:val="00895B0B"/>
    <w:rsid w:val="00895DB8"/>
    <w:rsid w:val="008A367E"/>
    <w:rsid w:val="008A5488"/>
    <w:rsid w:val="008B1358"/>
    <w:rsid w:val="008B2D9F"/>
    <w:rsid w:val="008B6C04"/>
    <w:rsid w:val="008C01AF"/>
    <w:rsid w:val="008C115E"/>
    <w:rsid w:val="008C15F4"/>
    <w:rsid w:val="008C27F9"/>
    <w:rsid w:val="008C32DB"/>
    <w:rsid w:val="008C4F5C"/>
    <w:rsid w:val="008C508A"/>
    <w:rsid w:val="008D123C"/>
    <w:rsid w:val="008D3E64"/>
    <w:rsid w:val="008D4982"/>
    <w:rsid w:val="008D5EFB"/>
    <w:rsid w:val="008D6CE6"/>
    <w:rsid w:val="008D6FA3"/>
    <w:rsid w:val="008D77CF"/>
    <w:rsid w:val="008E2781"/>
    <w:rsid w:val="008E4A9B"/>
    <w:rsid w:val="008E7EB3"/>
    <w:rsid w:val="008F540E"/>
    <w:rsid w:val="008F6340"/>
    <w:rsid w:val="008F6716"/>
    <w:rsid w:val="008F7E0A"/>
    <w:rsid w:val="00901F80"/>
    <w:rsid w:val="00903FDC"/>
    <w:rsid w:val="009040B3"/>
    <w:rsid w:val="0090458D"/>
    <w:rsid w:val="009100EF"/>
    <w:rsid w:val="00911ED0"/>
    <w:rsid w:val="0091205B"/>
    <w:rsid w:val="009127EE"/>
    <w:rsid w:val="00913C1E"/>
    <w:rsid w:val="00917CAE"/>
    <w:rsid w:val="00921219"/>
    <w:rsid w:val="009215C0"/>
    <w:rsid w:val="00923F87"/>
    <w:rsid w:val="00926546"/>
    <w:rsid w:val="0092687C"/>
    <w:rsid w:val="00940886"/>
    <w:rsid w:val="00941A35"/>
    <w:rsid w:val="00941B2F"/>
    <w:rsid w:val="00944358"/>
    <w:rsid w:val="009446DE"/>
    <w:rsid w:val="009462EC"/>
    <w:rsid w:val="0095111E"/>
    <w:rsid w:val="00951FE7"/>
    <w:rsid w:val="009544BB"/>
    <w:rsid w:val="00954D75"/>
    <w:rsid w:val="009552B3"/>
    <w:rsid w:val="00955974"/>
    <w:rsid w:val="0095716B"/>
    <w:rsid w:val="009667CB"/>
    <w:rsid w:val="009677FC"/>
    <w:rsid w:val="00972171"/>
    <w:rsid w:val="00977BD3"/>
    <w:rsid w:val="009838C3"/>
    <w:rsid w:val="0099010A"/>
    <w:rsid w:val="009A2D0A"/>
    <w:rsid w:val="009A5987"/>
    <w:rsid w:val="009B0E0F"/>
    <w:rsid w:val="009B2914"/>
    <w:rsid w:val="009B2D4C"/>
    <w:rsid w:val="009B3061"/>
    <w:rsid w:val="009B3495"/>
    <w:rsid w:val="009B5C32"/>
    <w:rsid w:val="009B6205"/>
    <w:rsid w:val="009C10B1"/>
    <w:rsid w:val="009C3EF9"/>
    <w:rsid w:val="009C6B0E"/>
    <w:rsid w:val="009D1870"/>
    <w:rsid w:val="009D1896"/>
    <w:rsid w:val="009D39F5"/>
    <w:rsid w:val="009E1C2E"/>
    <w:rsid w:val="009E3142"/>
    <w:rsid w:val="009E41EB"/>
    <w:rsid w:val="009E5085"/>
    <w:rsid w:val="009F50B9"/>
    <w:rsid w:val="00A134C4"/>
    <w:rsid w:val="00A14B72"/>
    <w:rsid w:val="00A15764"/>
    <w:rsid w:val="00A175E3"/>
    <w:rsid w:val="00A2506F"/>
    <w:rsid w:val="00A357E2"/>
    <w:rsid w:val="00A40567"/>
    <w:rsid w:val="00A4083D"/>
    <w:rsid w:val="00A41DF9"/>
    <w:rsid w:val="00A4399D"/>
    <w:rsid w:val="00A46E6E"/>
    <w:rsid w:val="00A5273B"/>
    <w:rsid w:val="00A52A45"/>
    <w:rsid w:val="00A53176"/>
    <w:rsid w:val="00A54039"/>
    <w:rsid w:val="00A56A8B"/>
    <w:rsid w:val="00A575C4"/>
    <w:rsid w:val="00A6265B"/>
    <w:rsid w:val="00A62ACC"/>
    <w:rsid w:val="00A65221"/>
    <w:rsid w:val="00A6542A"/>
    <w:rsid w:val="00A65881"/>
    <w:rsid w:val="00A66655"/>
    <w:rsid w:val="00A676F8"/>
    <w:rsid w:val="00A81C47"/>
    <w:rsid w:val="00A81E87"/>
    <w:rsid w:val="00A86A6F"/>
    <w:rsid w:val="00A86DFB"/>
    <w:rsid w:val="00A94E26"/>
    <w:rsid w:val="00A957D5"/>
    <w:rsid w:val="00A9689C"/>
    <w:rsid w:val="00AA4303"/>
    <w:rsid w:val="00AA5A77"/>
    <w:rsid w:val="00AA660C"/>
    <w:rsid w:val="00AA67A0"/>
    <w:rsid w:val="00AB1669"/>
    <w:rsid w:val="00AB7905"/>
    <w:rsid w:val="00AC4EEA"/>
    <w:rsid w:val="00AC60AC"/>
    <w:rsid w:val="00AE1463"/>
    <w:rsid w:val="00AE3FEA"/>
    <w:rsid w:val="00AE57AE"/>
    <w:rsid w:val="00AF280D"/>
    <w:rsid w:val="00AF3002"/>
    <w:rsid w:val="00AF628E"/>
    <w:rsid w:val="00B01BFA"/>
    <w:rsid w:val="00B02675"/>
    <w:rsid w:val="00B03BEE"/>
    <w:rsid w:val="00B101A3"/>
    <w:rsid w:val="00B10E38"/>
    <w:rsid w:val="00B10F0A"/>
    <w:rsid w:val="00B11D42"/>
    <w:rsid w:val="00B13368"/>
    <w:rsid w:val="00B14A60"/>
    <w:rsid w:val="00B1507F"/>
    <w:rsid w:val="00B162FB"/>
    <w:rsid w:val="00B1785E"/>
    <w:rsid w:val="00B17AD0"/>
    <w:rsid w:val="00B213A2"/>
    <w:rsid w:val="00B21DB1"/>
    <w:rsid w:val="00B34317"/>
    <w:rsid w:val="00B37B07"/>
    <w:rsid w:val="00B41D19"/>
    <w:rsid w:val="00B41D20"/>
    <w:rsid w:val="00B4348D"/>
    <w:rsid w:val="00B50F19"/>
    <w:rsid w:val="00B5321F"/>
    <w:rsid w:val="00B53DA2"/>
    <w:rsid w:val="00B6375F"/>
    <w:rsid w:val="00B64422"/>
    <w:rsid w:val="00B67CEC"/>
    <w:rsid w:val="00B719F2"/>
    <w:rsid w:val="00B80742"/>
    <w:rsid w:val="00B81420"/>
    <w:rsid w:val="00B847A8"/>
    <w:rsid w:val="00B855BD"/>
    <w:rsid w:val="00B922B9"/>
    <w:rsid w:val="00BA16FA"/>
    <w:rsid w:val="00BA239C"/>
    <w:rsid w:val="00BA397C"/>
    <w:rsid w:val="00BA3A3B"/>
    <w:rsid w:val="00BA4E98"/>
    <w:rsid w:val="00BA702D"/>
    <w:rsid w:val="00BB1404"/>
    <w:rsid w:val="00BB30E0"/>
    <w:rsid w:val="00BB44A4"/>
    <w:rsid w:val="00BB560D"/>
    <w:rsid w:val="00BB6C6C"/>
    <w:rsid w:val="00BB7E60"/>
    <w:rsid w:val="00BC2551"/>
    <w:rsid w:val="00BC7A3A"/>
    <w:rsid w:val="00BD4125"/>
    <w:rsid w:val="00BE316D"/>
    <w:rsid w:val="00BE3C61"/>
    <w:rsid w:val="00BE66BE"/>
    <w:rsid w:val="00BE7558"/>
    <w:rsid w:val="00BF10B7"/>
    <w:rsid w:val="00BF121D"/>
    <w:rsid w:val="00BF17C0"/>
    <w:rsid w:val="00BF444D"/>
    <w:rsid w:val="00C01EFD"/>
    <w:rsid w:val="00C05BCE"/>
    <w:rsid w:val="00C10B74"/>
    <w:rsid w:val="00C14987"/>
    <w:rsid w:val="00C162D4"/>
    <w:rsid w:val="00C20C31"/>
    <w:rsid w:val="00C24539"/>
    <w:rsid w:val="00C24906"/>
    <w:rsid w:val="00C25A1B"/>
    <w:rsid w:val="00C2643A"/>
    <w:rsid w:val="00C37C8F"/>
    <w:rsid w:val="00C418BA"/>
    <w:rsid w:val="00C422A7"/>
    <w:rsid w:val="00C4308A"/>
    <w:rsid w:val="00C44F2A"/>
    <w:rsid w:val="00C5266B"/>
    <w:rsid w:val="00C57706"/>
    <w:rsid w:val="00C604F8"/>
    <w:rsid w:val="00C63392"/>
    <w:rsid w:val="00C63FD2"/>
    <w:rsid w:val="00C67416"/>
    <w:rsid w:val="00C70B25"/>
    <w:rsid w:val="00C760EF"/>
    <w:rsid w:val="00C76587"/>
    <w:rsid w:val="00C7673A"/>
    <w:rsid w:val="00C77CE6"/>
    <w:rsid w:val="00C80DD0"/>
    <w:rsid w:val="00C8600F"/>
    <w:rsid w:val="00C86FB4"/>
    <w:rsid w:val="00C875AE"/>
    <w:rsid w:val="00C9333F"/>
    <w:rsid w:val="00C97E7B"/>
    <w:rsid w:val="00CA25DE"/>
    <w:rsid w:val="00CA2E5C"/>
    <w:rsid w:val="00CA3291"/>
    <w:rsid w:val="00CA58E7"/>
    <w:rsid w:val="00CB06FF"/>
    <w:rsid w:val="00CB1981"/>
    <w:rsid w:val="00CB387D"/>
    <w:rsid w:val="00CB40F7"/>
    <w:rsid w:val="00CC03E5"/>
    <w:rsid w:val="00CC0DE9"/>
    <w:rsid w:val="00CC2539"/>
    <w:rsid w:val="00CC2644"/>
    <w:rsid w:val="00CC5073"/>
    <w:rsid w:val="00CC62F2"/>
    <w:rsid w:val="00CC6BB4"/>
    <w:rsid w:val="00CD04E3"/>
    <w:rsid w:val="00CD1A26"/>
    <w:rsid w:val="00CD4A90"/>
    <w:rsid w:val="00CD5961"/>
    <w:rsid w:val="00CE07FF"/>
    <w:rsid w:val="00CE0D6C"/>
    <w:rsid w:val="00CE118E"/>
    <w:rsid w:val="00CE4287"/>
    <w:rsid w:val="00CE502A"/>
    <w:rsid w:val="00CE61A8"/>
    <w:rsid w:val="00CE6556"/>
    <w:rsid w:val="00CF05E4"/>
    <w:rsid w:val="00CF2274"/>
    <w:rsid w:val="00CF3BFD"/>
    <w:rsid w:val="00CF681C"/>
    <w:rsid w:val="00D00EAD"/>
    <w:rsid w:val="00D011ED"/>
    <w:rsid w:val="00D03D64"/>
    <w:rsid w:val="00D03DD0"/>
    <w:rsid w:val="00D06786"/>
    <w:rsid w:val="00D1138C"/>
    <w:rsid w:val="00D152BC"/>
    <w:rsid w:val="00D1592D"/>
    <w:rsid w:val="00D17BB8"/>
    <w:rsid w:val="00D225C9"/>
    <w:rsid w:val="00D22E29"/>
    <w:rsid w:val="00D25437"/>
    <w:rsid w:val="00D34FC2"/>
    <w:rsid w:val="00D4578F"/>
    <w:rsid w:val="00D46E41"/>
    <w:rsid w:val="00D4770A"/>
    <w:rsid w:val="00D549AA"/>
    <w:rsid w:val="00D56287"/>
    <w:rsid w:val="00D62467"/>
    <w:rsid w:val="00D62831"/>
    <w:rsid w:val="00D62FDC"/>
    <w:rsid w:val="00D77C50"/>
    <w:rsid w:val="00D87DC3"/>
    <w:rsid w:val="00D9153E"/>
    <w:rsid w:val="00D93603"/>
    <w:rsid w:val="00D96677"/>
    <w:rsid w:val="00DA2AE7"/>
    <w:rsid w:val="00DA3030"/>
    <w:rsid w:val="00DA6460"/>
    <w:rsid w:val="00DA7BD6"/>
    <w:rsid w:val="00DC02CB"/>
    <w:rsid w:val="00DC322B"/>
    <w:rsid w:val="00DC55CC"/>
    <w:rsid w:val="00DC7DD0"/>
    <w:rsid w:val="00DD1E56"/>
    <w:rsid w:val="00DD2C03"/>
    <w:rsid w:val="00DD6F91"/>
    <w:rsid w:val="00DD75B7"/>
    <w:rsid w:val="00DE7B78"/>
    <w:rsid w:val="00DF2182"/>
    <w:rsid w:val="00DF2604"/>
    <w:rsid w:val="00DF4314"/>
    <w:rsid w:val="00DF51D9"/>
    <w:rsid w:val="00E023B0"/>
    <w:rsid w:val="00E04933"/>
    <w:rsid w:val="00E04D12"/>
    <w:rsid w:val="00E05862"/>
    <w:rsid w:val="00E076CA"/>
    <w:rsid w:val="00E10859"/>
    <w:rsid w:val="00E11BF1"/>
    <w:rsid w:val="00E1419D"/>
    <w:rsid w:val="00E1499E"/>
    <w:rsid w:val="00E31A16"/>
    <w:rsid w:val="00E31C31"/>
    <w:rsid w:val="00E329FE"/>
    <w:rsid w:val="00E407B7"/>
    <w:rsid w:val="00E41660"/>
    <w:rsid w:val="00E421C6"/>
    <w:rsid w:val="00E4471B"/>
    <w:rsid w:val="00E46C77"/>
    <w:rsid w:val="00E46CD6"/>
    <w:rsid w:val="00E47629"/>
    <w:rsid w:val="00E50022"/>
    <w:rsid w:val="00E52CFC"/>
    <w:rsid w:val="00E53970"/>
    <w:rsid w:val="00E61C9B"/>
    <w:rsid w:val="00E73FDB"/>
    <w:rsid w:val="00E8595E"/>
    <w:rsid w:val="00E86E41"/>
    <w:rsid w:val="00E910F0"/>
    <w:rsid w:val="00E927E6"/>
    <w:rsid w:val="00EA16F8"/>
    <w:rsid w:val="00EA396E"/>
    <w:rsid w:val="00EA608F"/>
    <w:rsid w:val="00EA66EE"/>
    <w:rsid w:val="00EB11A9"/>
    <w:rsid w:val="00EB35A0"/>
    <w:rsid w:val="00EB4136"/>
    <w:rsid w:val="00EB55F2"/>
    <w:rsid w:val="00EB6DF9"/>
    <w:rsid w:val="00EB7124"/>
    <w:rsid w:val="00EC13A1"/>
    <w:rsid w:val="00EC608B"/>
    <w:rsid w:val="00EC6B82"/>
    <w:rsid w:val="00EC75EB"/>
    <w:rsid w:val="00ED3745"/>
    <w:rsid w:val="00EE19FF"/>
    <w:rsid w:val="00EE42D8"/>
    <w:rsid w:val="00EE4803"/>
    <w:rsid w:val="00EE5D84"/>
    <w:rsid w:val="00EE6B74"/>
    <w:rsid w:val="00EF1326"/>
    <w:rsid w:val="00EF2172"/>
    <w:rsid w:val="00EF4FFD"/>
    <w:rsid w:val="00F04733"/>
    <w:rsid w:val="00F054A7"/>
    <w:rsid w:val="00F064D2"/>
    <w:rsid w:val="00F06F2D"/>
    <w:rsid w:val="00F075A0"/>
    <w:rsid w:val="00F07963"/>
    <w:rsid w:val="00F10DEB"/>
    <w:rsid w:val="00F10ED3"/>
    <w:rsid w:val="00F1289A"/>
    <w:rsid w:val="00F153BF"/>
    <w:rsid w:val="00F16099"/>
    <w:rsid w:val="00F1614F"/>
    <w:rsid w:val="00F17555"/>
    <w:rsid w:val="00F20842"/>
    <w:rsid w:val="00F246C6"/>
    <w:rsid w:val="00F266FE"/>
    <w:rsid w:val="00F326D7"/>
    <w:rsid w:val="00F328F6"/>
    <w:rsid w:val="00F362B0"/>
    <w:rsid w:val="00F3698A"/>
    <w:rsid w:val="00F37C8D"/>
    <w:rsid w:val="00F447B1"/>
    <w:rsid w:val="00F452F6"/>
    <w:rsid w:val="00F525CE"/>
    <w:rsid w:val="00F56F90"/>
    <w:rsid w:val="00F576CC"/>
    <w:rsid w:val="00F57D8E"/>
    <w:rsid w:val="00F633EF"/>
    <w:rsid w:val="00F71B2D"/>
    <w:rsid w:val="00F73B9B"/>
    <w:rsid w:val="00F748A9"/>
    <w:rsid w:val="00F750CA"/>
    <w:rsid w:val="00F8045D"/>
    <w:rsid w:val="00F83C28"/>
    <w:rsid w:val="00F904CD"/>
    <w:rsid w:val="00F97A5E"/>
    <w:rsid w:val="00F97DF2"/>
    <w:rsid w:val="00FA2A23"/>
    <w:rsid w:val="00FB2003"/>
    <w:rsid w:val="00FB2097"/>
    <w:rsid w:val="00FB2158"/>
    <w:rsid w:val="00FB3A3D"/>
    <w:rsid w:val="00FB6DF5"/>
    <w:rsid w:val="00FC0961"/>
    <w:rsid w:val="00FC3C6C"/>
    <w:rsid w:val="00FD3A57"/>
    <w:rsid w:val="00FD5B56"/>
    <w:rsid w:val="00FE0E6D"/>
    <w:rsid w:val="00FE294F"/>
    <w:rsid w:val="00FE606C"/>
    <w:rsid w:val="00FE6729"/>
    <w:rsid w:val="00FF1251"/>
    <w:rsid w:val="00FF5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CA514"/>
  <w15:chartTrackingRefBased/>
  <w15:docId w15:val="{56AB76DA-1BEC-4263-9DCA-1D86198D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B82"/>
    <w:pPr>
      <w:ind w:left="720"/>
      <w:contextualSpacing/>
    </w:pPr>
  </w:style>
  <w:style w:type="paragraph" w:styleId="Header">
    <w:name w:val="header"/>
    <w:basedOn w:val="Normal"/>
    <w:link w:val="HeaderChar"/>
    <w:uiPriority w:val="99"/>
    <w:unhideWhenUsed/>
    <w:rsid w:val="00EE4803"/>
    <w:pPr>
      <w:tabs>
        <w:tab w:val="center" w:pos="4680"/>
        <w:tab w:val="right" w:pos="9360"/>
      </w:tabs>
      <w:spacing w:line="240" w:lineRule="auto"/>
    </w:pPr>
  </w:style>
  <w:style w:type="character" w:customStyle="1" w:styleId="HeaderChar">
    <w:name w:val="Header Char"/>
    <w:basedOn w:val="DefaultParagraphFont"/>
    <w:link w:val="Header"/>
    <w:uiPriority w:val="99"/>
    <w:rsid w:val="00EE4803"/>
  </w:style>
  <w:style w:type="paragraph" w:styleId="Footer">
    <w:name w:val="footer"/>
    <w:basedOn w:val="Normal"/>
    <w:link w:val="FooterChar"/>
    <w:uiPriority w:val="99"/>
    <w:unhideWhenUsed/>
    <w:rsid w:val="00EE4803"/>
    <w:pPr>
      <w:tabs>
        <w:tab w:val="center" w:pos="4680"/>
        <w:tab w:val="right" w:pos="9360"/>
      </w:tabs>
      <w:spacing w:line="240" w:lineRule="auto"/>
    </w:pPr>
  </w:style>
  <w:style w:type="character" w:customStyle="1" w:styleId="FooterChar">
    <w:name w:val="Footer Char"/>
    <w:basedOn w:val="DefaultParagraphFont"/>
    <w:link w:val="Footer"/>
    <w:uiPriority w:val="99"/>
    <w:rsid w:val="00EE4803"/>
  </w:style>
  <w:style w:type="paragraph" w:styleId="FootnoteText">
    <w:name w:val="footnote text"/>
    <w:basedOn w:val="Normal"/>
    <w:link w:val="FootnoteTextChar"/>
    <w:uiPriority w:val="99"/>
    <w:unhideWhenUsed/>
    <w:rsid w:val="00EE4803"/>
    <w:pPr>
      <w:spacing w:line="240" w:lineRule="auto"/>
    </w:pPr>
    <w:rPr>
      <w:sz w:val="20"/>
      <w:szCs w:val="20"/>
    </w:rPr>
  </w:style>
  <w:style w:type="character" w:customStyle="1" w:styleId="FootnoteTextChar">
    <w:name w:val="Footnote Text Char"/>
    <w:basedOn w:val="DefaultParagraphFont"/>
    <w:link w:val="FootnoteText"/>
    <w:uiPriority w:val="99"/>
    <w:rsid w:val="00EE4803"/>
    <w:rPr>
      <w:sz w:val="20"/>
      <w:szCs w:val="20"/>
    </w:rPr>
  </w:style>
  <w:style w:type="character" w:styleId="FootnoteReference">
    <w:name w:val="footnote reference"/>
    <w:basedOn w:val="DefaultParagraphFont"/>
    <w:uiPriority w:val="99"/>
    <w:semiHidden/>
    <w:unhideWhenUsed/>
    <w:rsid w:val="00EE4803"/>
    <w:rPr>
      <w:vertAlign w:val="superscript"/>
    </w:rPr>
  </w:style>
  <w:style w:type="paragraph" w:customStyle="1" w:styleId="JUDGMENTNUMBERED">
    <w:name w:val="JUDGMENT NUMBERED"/>
    <w:basedOn w:val="Normal"/>
    <w:link w:val="JUDGMENTNUMBEREDChar"/>
    <w:qFormat/>
    <w:rsid w:val="003E70E0"/>
    <w:pPr>
      <w:numPr>
        <w:numId w:val="9"/>
      </w:numPr>
      <w:tabs>
        <w:tab w:val="left" w:pos="680"/>
      </w:tabs>
      <w:spacing w:line="480" w:lineRule="auto"/>
    </w:pPr>
    <w:rPr>
      <w:rFonts w:ascii="Times New Roman" w:eastAsia="Times New Roman" w:hAnsi="Times New Roman" w:cs="Times New Roman"/>
      <w:sz w:val="26"/>
    </w:rPr>
  </w:style>
  <w:style w:type="paragraph" w:customStyle="1" w:styleId="JUDGMENTCONTINUED">
    <w:name w:val="JUDGMENT CONTINUED"/>
    <w:basedOn w:val="JUDGMENTNUMBERED"/>
    <w:next w:val="JUDGMENTNUMBERED"/>
    <w:qFormat/>
    <w:rsid w:val="00732C70"/>
    <w:pPr>
      <w:numPr>
        <w:numId w:val="0"/>
      </w:numPr>
      <w:tabs>
        <w:tab w:val="clear" w:pos="680"/>
      </w:tabs>
      <w:spacing w:line="360" w:lineRule="auto"/>
    </w:pPr>
    <w:rPr>
      <w:lang w:val="en-ZA"/>
    </w:rPr>
  </w:style>
  <w:style w:type="paragraph" w:customStyle="1" w:styleId="QUOTATION">
    <w:name w:val="QUOTATION"/>
    <w:basedOn w:val="Normal"/>
    <w:next w:val="JUDGMENTCONTINUED"/>
    <w:qFormat/>
    <w:rsid w:val="00732C70"/>
    <w:pPr>
      <w:ind w:left="720" w:right="720"/>
    </w:pPr>
    <w:rPr>
      <w:rFonts w:ascii="Times New Roman" w:eastAsia="Times New Roman" w:hAnsi="Times New Roman" w:cs="Times New Roman"/>
      <w:lang w:val="en-ZA"/>
    </w:rPr>
  </w:style>
  <w:style w:type="paragraph" w:customStyle="1" w:styleId="QUOTEINQUOTE">
    <w:name w:val="QUOTE IN QUOTE"/>
    <w:basedOn w:val="QUOTATION"/>
    <w:next w:val="QUOTATION"/>
    <w:qFormat/>
    <w:rsid w:val="00732C70"/>
    <w:pPr>
      <w:ind w:left="1440" w:right="1440"/>
    </w:pPr>
  </w:style>
  <w:style w:type="paragraph" w:customStyle="1" w:styleId="FootnoteText1">
    <w:name w:val="Footnote Text1"/>
    <w:basedOn w:val="Normal"/>
    <w:qFormat/>
    <w:rsid w:val="00732C70"/>
    <w:pPr>
      <w:spacing w:after="120" w:line="240" w:lineRule="auto"/>
    </w:pPr>
    <w:rPr>
      <w:rFonts w:ascii="Times New Roman" w:eastAsia="Times New Roman" w:hAnsi="Times New Roman" w:cs="Times New Roman"/>
      <w:sz w:val="20"/>
      <w:lang w:val="en-ZA"/>
    </w:rPr>
  </w:style>
  <w:style w:type="character" w:customStyle="1" w:styleId="JUDGMENTNUMBEREDChar">
    <w:name w:val="JUDGMENT NUMBERED Char"/>
    <w:basedOn w:val="DefaultParagraphFont"/>
    <w:link w:val="JUDGMENTNUMBERED"/>
    <w:locked/>
    <w:rsid w:val="00732C70"/>
    <w:rPr>
      <w:rFonts w:ascii="Times New Roman" w:eastAsia="Times New Roman" w:hAnsi="Times New Roman" w:cs="Times New Roman"/>
      <w:sz w:val="26"/>
    </w:rPr>
  </w:style>
  <w:style w:type="paragraph" w:customStyle="1" w:styleId="western">
    <w:name w:val="western"/>
    <w:basedOn w:val="Normal"/>
    <w:rsid w:val="00732C70"/>
    <w:pPr>
      <w:spacing w:before="144" w:after="288" w:line="240" w:lineRule="auto"/>
      <w:jc w:val="left"/>
    </w:pPr>
    <w:rPr>
      <w:rFonts w:ascii="Times New Roman" w:eastAsia="Times New Roman" w:hAnsi="Times New Roman" w:cs="Times New Roman"/>
      <w:sz w:val="24"/>
      <w:szCs w:val="24"/>
      <w:lang w:val="en-ZA" w:eastAsia="en-ZA"/>
    </w:rPr>
  </w:style>
  <w:style w:type="paragraph" w:styleId="BodyText">
    <w:name w:val="Body Text"/>
    <w:basedOn w:val="Normal"/>
    <w:link w:val="BodyTextChar"/>
    <w:uiPriority w:val="99"/>
    <w:rsid w:val="008C32DB"/>
    <w:pPr>
      <w:spacing w:line="480" w:lineRule="auto"/>
    </w:pPr>
    <w:rPr>
      <w:rFonts w:ascii="Arial" w:eastAsia="Times New Roman" w:hAnsi="Arial" w:cs="Arial"/>
      <w:sz w:val="24"/>
      <w:szCs w:val="24"/>
      <w:lang w:val="en-GB"/>
    </w:rPr>
  </w:style>
  <w:style w:type="character" w:customStyle="1" w:styleId="BodyTextChar">
    <w:name w:val="Body Text Char"/>
    <w:basedOn w:val="DefaultParagraphFont"/>
    <w:link w:val="BodyText"/>
    <w:uiPriority w:val="99"/>
    <w:rsid w:val="008C32DB"/>
    <w:rPr>
      <w:rFonts w:ascii="Arial" w:eastAsia="Times New Roman"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446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16881-13D6-462B-A1CB-2680776D9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5664</Words>
  <Characters>32287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Potgieter</dc:creator>
  <cp:keywords/>
  <dc:description/>
  <cp:lastModifiedBy>SANDILE DLOMO INCORPORATED</cp:lastModifiedBy>
  <cp:revision>3</cp:revision>
  <cp:lastPrinted>2024-06-06T07:16:00Z</cp:lastPrinted>
  <dcterms:created xsi:type="dcterms:W3CDTF">2024-06-06T07:26:00Z</dcterms:created>
  <dcterms:modified xsi:type="dcterms:W3CDTF">2024-06-10T05:04:00Z</dcterms:modified>
</cp:coreProperties>
</file>