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514A6" w14:textId="22FAD3A4" w:rsidR="00491641" w:rsidRDefault="00491641" w:rsidP="00491641">
      <w:pPr>
        <w:jc w:val="center"/>
      </w:pPr>
      <w:r>
        <w:rPr>
          <w:noProof/>
        </w:rPr>
        <w:drawing>
          <wp:inline distT="0" distB="0" distL="0" distR="0" wp14:anchorId="0B95F639" wp14:editId="1313B2AA">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3DF26144" w14:textId="77777777" w:rsidR="00491641" w:rsidRPr="00D9566D" w:rsidRDefault="00491641" w:rsidP="00D9566D">
      <w:pPr>
        <w:spacing w:after="0" w:line="240" w:lineRule="auto"/>
        <w:jc w:val="center"/>
        <w:rPr>
          <w:rFonts w:ascii="Arial" w:eastAsia="Times New Roman" w:hAnsi="Arial" w:cs="Arial"/>
          <w:b/>
          <w:bCs/>
        </w:rPr>
      </w:pPr>
      <w:r w:rsidRPr="00D9566D">
        <w:rPr>
          <w:rFonts w:ascii="Arial" w:eastAsia="Times New Roman" w:hAnsi="Arial" w:cs="Arial"/>
          <w:b/>
          <w:bCs/>
        </w:rPr>
        <w:t>IN THE HIGH COURT OF SOUTH AFRICA</w:t>
      </w:r>
    </w:p>
    <w:p w14:paraId="168A4AC4" w14:textId="3C53308E" w:rsidR="00491641" w:rsidRPr="00D9566D" w:rsidRDefault="00491641" w:rsidP="00D9566D">
      <w:pPr>
        <w:spacing w:line="240" w:lineRule="auto"/>
        <w:rPr>
          <w:rFonts w:ascii="Arial" w:hAnsi="Arial" w:cs="Arial"/>
          <w:b/>
          <w:bCs/>
        </w:rPr>
      </w:pPr>
      <w:r w:rsidRPr="00D9566D">
        <w:rPr>
          <w:rFonts w:ascii="Arial" w:hAnsi="Arial" w:cs="Arial"/>
          <w:b/>
          <w:bCs/>
        </w:rPr>
        <w:t xml:space="preserve">                                [WESTERN CAPE DIVISION, CAPE TOWN]              </w:t>
      </w:r>
    </w:p>
    <w:p w14:paraId="19C936F1" w14:textId="14C8FF7E" w:rsidR="00491641" w:rsidRPr="00D9566D" w:rsidRDefault="00491641" w:rsidP="00D9566D">
      <w:pPr>
        <w:spacing w:after="0" w:line="240" w:lineRule="auto"/>
        <w:ind w:left="5760"/>
        <w:rPr>
          <w:rFonts w:ascii="Arial" w:hAnsi="Arial" w:cs="Arial"/>
          <w:bCs/>
        </w:rPr>
      </w:pPr>
      <w:r w:rsidRPr="00D9566D">
        <w:rPr>
          <w:rFonts w:ascii="Arial" w:hAnsi="Arial" w:cs="Arial"/>
          <w:bCs/>
        </w:rPr>
        <w:t>Case no</w:t>
      </w:r>
      <w:r w:rsidR="00E40787" w:rsidRPr="00D9566D">
        <w:rPr>
          <w:rFonts w:ascii="Arial" w:hAnsi="Arial" w:cs="Arial"/>
          <w:bCs/>
        </w:rPr>
        <w:t>s.</w:t>
      </w:r>
      <w:r w:rsidRPr="00D9566D">
        <w:rPr>
          <w:rFonts w:ascii="Arial" w:hAnsi="Arial" w:cs="Arial"/>
          <w:bCs/>
        </w:rPr>
        <w:t xml:space="preserve"> 2501/23</w:t>
      </w:r>
      <w:r w:rsidR="00E40787" w:rsidRPr="00D9566D">
        <w:rPr>
          <w:rFonts w:ascii="Arial" w:hAnsi="Arial" w:cs="Arial"/>
          <w:bCs/>
        </w:rPr>
        <w:t xml:space="preserve"> &amp; 2502/23</w:t>
      </w:r>
      <w:r w:rsidRPr="00D9566D">
        <w:rPr>
          <w:rFonts w:ascii="Arial" w:hAnsi="Arial" w:cs="Arial"/>
          <w:bCs/>
        </w:rPr>
        <w:t xml:space="preserve">                                                                                            </w:t>
      </w:r>
    </w:p>
    <w:p w14:paraId="574D7E3C" w14:textId="520382CF" w:rsidR="00491641" w:rsidRPr="00D9566D" w:rsidRDefault="00491641" w:rsidP="00D9566D">
      <w:pPr>
        <w:spacing w:line="240" w:lineRule="auto"/>
        <w:rPr>
          <w:rFonts w:ascii="Arial" w:hAnsi="Arial" w:cs="Arial"/>
          <w:bCs/>
        </w:rPr>
      </w:pPr>
      <w:r w:rsidRPr="00D9566D">
        <w:rPr>
          <w:rFonts w:ascii="Arial" w:hAnsi="Arial" w:cs="Arial"/>
          <w:bCs/>
        </w:rPr>
        <w:t xml:space="preserve">                                                             </w:t>
      </w:r>
    </w:p>
    <w:p w14:paraId="52F0B6F6" w14:textId="77777777" w:rsidR="00491641" w:rsidRPr="00D9566D" w:rsidRDefault="00491641" w:rsidP="00D9566D">
      <w:pPr>
        <w:spacing w:after="0" w:line="240" w:lineRule="auto"/>
        <w:rPr>
          <w:rFonts w:ascii="Arial" w:hAnsi="Arial" w:cs="Arial"/>
        </w:rPr>
      </w:pPr>
      <w:r w:rsidRPr="00D9566D">
        <w:rPr>
          <w:rFonts w:ascii="Arial" w:hAnsi="Arial" w:cs="Arial"/>
        </w:rPr>
        <w:t>In the matter between:</w:t>
      </w:r>
    </w:p>
    <w:p w14:paraId="77A7DC2C" w14:textId="77777777" w:rsidR="00491641" w:rsidRPr="00D9566D" w:rsidRDefault="00491641" w:rsidP="00D9566D">
      <w:pPr>
        <w:spacing w:after="0" w:line="240" w:lineRule="auto"/>
        <w:rPr>
          <w:rFonts w:ascii="Arial" w:hAnsi="Arial" w:cs="Arial"/>
        </w:rPr>
      </w:pPr>
    </w:p>
    <w:p w14:paraId="5C228C64" w14:textId="67882416" w:rsidR="00491641" w:rsidRPr="00D9566D" w:rsidRDefault="00491641" w:rsidP="00D9566D">
      <w:pPr>
        <w:spacing w:after="0" w:line="240" w:lineRule="auto"/>
        <w:rPr>
          <w:rFonts w:ascii="Arial" w:hAnsi="Arial" w:cs="Arial"/>
        </w:rPr>
      </w:pPr>
      <w:r w:rsidRPr="00D9566D">
        <w:rPr>
          <w:rFonts w:ascii="Arial" w:hAnsi="Arial" w:cs="Arial"/>
          <w:b/>
          <w:bCs/>
        </w:rPr>
        <w:t xml:space="preserve">PROSEC GUARDS CC                                                                                  </w:t>
      </w:r>
      <w:r w:rsidRPr="00D9566D">
        <w:rPr>
          <w:rFonts w:ascii="Arial" w:hAnsi="Arial" w:cs="Arial"/>
        </w:rPr>
        <w:t xml:space="preserve">Applicant </w:t>
      </w:r>
    </w:p>
    <w:p w14:paraId="66F9390B" w14:textId="77777777" w:rsidR="00491641" w:rsidRPr="00D9566D" w:rsidRDefault="00491641" w:rsidP="00D9566D">
      <w:pPr>
        <w:spacing w:after="0" w:line="240" w:lineRule="auto"/>
        <w:rPr>
          <w:rFonts w:ascii="Arial" w:hAnsi="Arial" w:cs="Arial"/>
          <w:b/>
          <w:bCs/>
        </w:rPr>
      </w:pPr>
    </w:p>
    <w:p w14:paraId="020E4B78" w14:textId="77777777" w:rsidR="00491641" w:rsidRPr="00D9566D" w:rsidRDefault="00491641" w:rsidP="00D9566D">
      <w:pPr>
        <w:spacing w:after="0" w:line="240" w:lineRule="auto"/>
        <w:rPr>
          <w:rFonts w:ascii="Arial" w:hAnsi="Arial" w:cs="Arial"/>
          <w:lang w:val="en-ZA"/>
        </w:rPr>
      </w:pPr>
      <w:r w:rsidRPr="00D9566D">
        <w:rPr>
          <w:rFonts w:ascii="Arial" w:hAnsi="Arial" w:cs="Arial"/>
          <w:lang w:val="en-ZA"/>
        </w:rPr>
        <w:t>and</w:t>
      </w:r>
    </w:p>
    <w:p w14:paraId="7971E05B" w14:textId="77777777" w:rsidR="00491641" w:rsidRPr="00D9566D" w:rsidRDefault="00491641" w:rsidP="00D9566D">
      <w:pPr>
        <w:spacing w:after="0" w:line="240" w:lineRule="auto"/>
        <w:rPr>
          <w:rFonts w:ascii="Arial" w:hAnsi="Arial" w:cs="Arial"/>
          <w:b/>
        </w:rPr>
      </w:pPr>
    </w:p>
    <w:p w14:paraId="39F0D8D7" w14:textId="77777777" w:rsidR="00491641" w:rsidRPr="00D9566D" w:rsidRDefault="00491641" w:rsidP="00D9566D">
      <w:pPr>
        <w:spacing w:after="0" w:line="240" w:lineRule="auto"/>
        <w:rPr>
          <w:rFonts w:ascii="Arial" w:hAnsi="Arial" w:cs="Arial"/>
          <w:b/>
          <w:bCs/>
        </w:rPr>
      </w:pPr>
      <w:r w:rsidRPr="00D9566D">
        <w:rPr>
          <w:rFonts w:ascii="Arial" w:hAnsi="Arial" w:cs="Arial"/>
          <w:b/>
          <w:bCs/>
        </w:rPr>
        <w:t xml:space="preserve">THE DEPARTMENT OF PUBLIC WORKS &amp; </w:t>
      </w:r>
    </w:p>
    <w:p w14:paraId="72242804" w14:textId="0AF87395" w:rsidR="00491641" w:rsidRPr="00D9566D" w:rsidRDefault="00491641" w:rsidP="00D9566D">
      <w:pPr>
        <w:spacing w:after="0" w:line="240" w:lineRule="auto"/>
        <w:rPr>
          <w:rFonts w:ascii="Arial" w:hAnsi="Arial" w:cs="Arial"/>
        </w:rPr>
      </w:pPr>
      <w:r w:rsidRPr="00D9566D">
        <w:rPr>
          <w:rFonts w:ascii="Arial" w:hAnsi="Arial" w:cs="Arial"/>
          <w:b/>
          <w:bCs/>
        </w:rPr>
        <w:t xml:space="preserve">INFRASTRUCTURE                       </w:t>
      </w:r>
      <w:r w:rsidRPr="00D9566D">
        <w:rPr>
          <w:rFonts w:ascii="Arial" w:hAnsi="Arial" w:cs="Arial"/>
          <w:b/>
        </w:rPr>
        <w:t xml:space="preserve">                                                     </w:t>
      </w:r>
      <w:r w:rsidRPr="00D9566D">
        <w:rPr>
          <w:rFonts w:ascii="Arial" w:hAnsi="Arial" w:cs="Arial"/>
        </w:rPr>
        <w:t>First respondent</w:t>
      </w:r>
    </w:p>
    <w:p w14:paraId="70201524" w14:textId="77777777" w:rsidR="00491641" w:rsidRPr="00D9566D" w:rsidRDefault="00491641" w:rsidP="00D9566D">
      <w:pPr>
        <w:spacing w:after="0" w:line="240" w:lineRule="auto"/>
        <w:rPr>
          <w:rFonts w:ascii="Arial" w:hAnsi="Arial" w:cs="Arial"/>
        </w:rPr>
      </w:pPr>
    </w:p>
    <w:p w14:paraId="61848F39" w14:textId="77777777" w:rsidR="008A7C09" w:rsidRPr="00D9566D" w:rsidRDefault="00491641" w:rsidP="00D9566D">
      <w:pPr>
        <w:spacing w:after="0" w:line="240" w:lineRule="auto"/>
        <w:rPr>
          <w:rFonts w:ascii="Arial" w:hAnsi="Arial" w:cs="Arial"/>
          <w:b/>
          <w:bCs/>
        </w:rPr>
      </w:pPr>
      <w:r w:rsidRPr="00D9566D">
        <w:rPr>
          <w:rFonts w:ascii="Arial" w:hAnsi="Arial" w:cs="Arial"/>
          <w:b/>
          <w:bCs/>
        </w:rPr>
        <w:t xml:space="preserve">THE DIRECTOR-GENERAL: DEPARTMENT OF </w:t>
      </w:r>
    </w:p>
    <w:p w14:paraId="19D7F14E" w14:textId="46CC5ED9" w:rsidR="00491641" w:rsidRPr="00D9566D" w:rsidRDefault="00491641" w:rsidP="00D9566D">
      <w:pPr>
        <w:spacing w:after="0" w:line="240" w:lineRule="auto"/>
        <w:rPr>
          <w:rFonts w:ascii="Arial" w:hAnsi="Arial" w:cs="Arial"/>
        </w:rPr>
      </w:pPr>
      <w:r w:rsidRPr="00D9566D">
        <w:rPr>
          <w:rFonts w:ascii="Arial" w:hAnsi="Arial" w:cs="Arial"/>
          <w:b/>
          <w:bCs/>
        </w:rPr>
        <w:t xml:space="preserve">PUBLIC WORKS &amp; </w:t>
      </w:r>
      <w:r w:rsidR="008A7C09" w:rsidRPr="00D9566D">
        <w:rPr>
          <w:rFonts w:ascii="Arial" w:hAnsi="Arial" w:cs="Arial"/>
          <w:b/>
          <w:bCs/>
        </w:rPr>
        <w:t>INFRASTRUCTURE</w:t>
      </w:r>
      <w:r w:rsidR="008A7C09" w:rsidRPr="00D9566D">
        <w:rPr>
          <w:rFonts w:ascii="Arial" w:hAnsi="Arial" w:cs="Arial"/>
        </w:rPr>
        <w:t xml:space="preserve">                                      Second respondent</w:t>
      </w:r>
      <w:r w:rsidRPr="00D9566D">
        <w:rPr>
          <w:rFonts w:ascii="Arial" w:hAnsi="Arial" w:cs="Arial"/>
          <w:b/>
          <w:bCs/>
        </w:rPr>
        <w:t xml:space="preserve">            </w:t>
      </w:r>
      <w:r w:rsidRPr="00D9566D">
        <w:rPr>
          <w:rFonts w:ascii="Arial" w:hAnsi="Arial" w:cs="Arial"/>
        </w:rPr>
        <w:t xml:space="preserve">                              </w:t>
      </w:r>
    </w:p>
    <w:p w14:paraId="31A29E16" w14:textId="77777777" w:rsidR="00DC4A4A" w:rsidRPr="00D9566D" w:rsidRDefault="00DC4A4A" w:rsidP="00D9566D">
      <w:pPr>
        <w:spacing w:after="0" w:line="240" w:lineRule="auto"/>
        <w:rPr>
          <w:rFonts w:ascii="Arial" w:hAnsi="Arial" w:cs="Arial"/>
          <w:b/>
          <w:bCs/>
        </w:rPr>
      </w:pPr>
    </w:p>
    <w:p w14:paraId="264CDBB6" w14:textId="6AF1A2F7" w:rsidR="00491641" w:rsidRPr="00D9566D" w:rsidRDefault="00491641" w:rsidP="00D9566D">
      <w:pPr>
        <w:spacing w:after="0" w:line="240" w:lineRule="auto"/>
        <w:rPr>
          <w:rFonts w:ascii="Arial" w:hAnsi="Arial" w:cs="Arial"/>
          <w:b/>
          <w:bCs/>
        </w:rPr>
      </w:pPr>
      <w:r w:rsidRPr="00D9566D">
        <w:rPr>
          <w:rFonts w:ascii="Arial" w:hAnsi="Arial" w:cs="Arial"/>
          <w:b/>
          <w:bCs/>
        </w:rPr>
        <w:t>THE REGIONAL BID ADJUDICATION COMMITTEE:</w:t>
      </w:r>
    </w:p>
    <w:p w14:paraId="1C5E8C2A" w14:textId="4509B715" w:rsidR="00491641" w:rsidRPr="00D9566D" w:rsidRDefault="00491641" w:rsidP="00D9566D">
      <w:pPr>
        <w:spacing w:after="0" w:line="240" w:lineRule="auto"/>
        <w:rPr>
          <w:rFonts w:ascii="Arial" w:hAnsi="Arial" w:cs="Arial"/>
          <w:b/>
          <w:bCs/>
        </w:rPr>
      </w:pPr>
      <w:r w:rsidRPr="00D9566D">
        <w:rPr>
          <w:rFonts w:ascii="Arial" w:hAnsi="Arial" w:cs="Arial"/>
          <w:b/>
          <w:bCs/>
        </w:rPr>
        <w:t>DEPARTMENT OF PUBLIC WORKS &amp; INFRASTRUCTURE</w:t>
      </w:r>
      <w:r w:rsidR="008A7C09" w:rsidRPr="00D9566D">
        <w:rPr>
          <w:rFonts w:ascii="Arial" w:hAnsi="Arial" w:cs="Arial"/>
          <w:b/>
          <w:bCs/>
        </w:rPr>
        <w:t xml:space="preserve">          </w:t>
      </w:r>
      <w:r w:rsidR="00DC4A4A" w:rsidRPr="00D9566D">
        <w:rPr>
          <w:rFonts w:ascii="Arial" w:hAnsi="Arial" w:cs="Arial"/>
        </w:rPr>
        <w:t>Third respondent</w:t>
      </w:r>
    </w:p>
    <w:p w14:paraId="22194B36" w14:textId="77777777" w:rsidR="00491641" w:rsidRPr="00D9566D" w:rsidRDefault="00491641" w:rsidP="00D9566D">
      <w:pPr>
        <w:spacing w:after="0" w:line="240" w:lineRule="auto"/>
        <w:rPr>
          <w:rFonts w:ascii="Arial" w:hAnsi="Arial" w:cs="Arial"/>
          <w:b/>
          <w:bCs/>
        </w:rPr>
      </w:pPr>
    </w:p>
    <w:p w14:paraId="745BEE71" w14:textId="7B0184C1" w:rsidR="00491641" w:rsidRPr="00D9566D" w:rsidRDefault="00491641" w:rsidP="00D9566D">
      <w:pPr>
        <w:spacing w:after="0" w:line="240" w:lineRule="auto"/>
        <w:rPr>
          <w:rFonts w:ascii="Arial" w:hAnsi="Arial" w:cs="Arial"/>
        </w:rPr>
      </w:pPr>
      <w:r w:rsidRPr="00D9566D">
        <w:rPr>
          <w:rFonts w:ascii="Arial" w:hAnsi="Arial" w:cs="Arial"/>
          <w:b/>
          <w:bCs/>
        </w:rPr>
        <w:t>KRA SECURITY &amp; PROJECT</w:t>
      </w:r>
      <w:r w:rsidR="00DC4A4A" w:rsidRPr="00D9566D">
        <w:rPr>
          <w:rFonts w:ascii="Arial" w:hAnsi="Arial" w:cs="Arial"/>
          <w:b/>
          <w:bCs/>
        </w:rPr>
        <w:t xml:space="preserve">                                                 </w:t>
      </w:r>
      <w:r w:rsidR="008A7C09" w:rsidRPr="00D9566D">
        <w:rPr>
          <w:rFonts w:ascii="Arial" w:hAnsi="Arial" w:cs="Arial"/>
          <w:b/>
          <w:bCs/>
        </w:rPr>
        <w:t xml:space="preserve">      </w:t>
      </w:r>
      <w:r w:rsidR="00DC4A4A" w:rsidRPr="00D9566D">
        <w:rPr>
          <w:rFonts w:ascii="Arial" w:hAnsi="Arial" w:cs="Arial"/>
          <w:b/>
          <w:bCs/>
        </w:rPr>
        <w:t xml:space="preserve">  </w:t>
      </w:r>
      <w:r w:rsidR="00DC4A4A" w:rsidRPr="00D9566D">
        <w:rPr>
          <w:rFonts w:ascii="Arial" w:hAnsi="Arial" w:cs="Arial"/>
        </w:rPr>
        <w:t>Fourth respondent</w:t>
      </w:r>
    </w:p>
    <w:p w14:paraId="3C683D35" w14:textId="77777777" w:rsidR="00491641" w:rsidRPr="00D9566D" w:rsidRDefault="00491641" w:rsidP="00D9566D">
      <w:pPr>
        <w:spacing w:after="0" w:line="240" w:lineRule="auto"/>
        <w:rPr>
          <w:rFonts w:ascii="Arial" w:hAnsi="Arial" w:cs="Arial"/>
        </w:rPr>
      </w:pPr>
    </w:p>
    <w:p w14:paraId="6B148BBF" w14:textId="46CB4DB3" w:rsidR="00491641" w:rsidRPr="00D9566D" w:rsidRDefault="00491641" w:rsidP="00D9566D">
      <w:pPr>
        <w:spacing w:after="0" w:line="240" w:lineRule="auto"/>
        <w:rPr>
          <w:rFonts w:ascii="Arial" w:hAnsi="Arial" w:cs="Arial"/>
          <w:b/>
          <w:bCs/>
        </w:rPr>
      </w:pPr>
      <w:r w:rsidRPr="00D9566D">
        <w:rPr>
          <w:rFonts w:ascii="Arial" w:hAnsi="Arial" w:cs="Arial"/>
          <w:b/>
          <w:bCs/>
        </w:rPr>
        <w:t>TRUST ONE GUARD SECURITY SERVICES (PTY) LTD</w:t>
      </w:r>
      <w:r w:rsidR="00DC4A4A" w:rsidRPr="00D9566D">
        <w:rPr>
          <w:rFonts w:ascii="Arial" w:hAnsi="Arial" w:cs="Arial"/>
          <w:b/>
          <w:bCs/>
        </w:rPr>
        <w:t xml:space="preserve">    </w:t>
      </w:r>
      <w:r w:rsidR="008A7C09" w:rsidRPr="00D9566D">
        <w:rPr>
          <w:rFonts w:ascii="Arial" w:hAnsi="Arial" w:cs="Arial"/>
          <w:b/>
          <w:bCs/>
        </w:rPr>
        <w:t xml:space="preserve">         </w:t>
      </w:r>
      <w:r w:rsidR="00DC4A4A" w:rsidRPr="00D9566D">
        <w:rPr>
          <w:rFonts w:ascii="Arial" w:hAnsi="Arial" w:cs="Arial"/>
          <w:b/>
          <w:bCs/>
        </w:rPr>
        <w:t xml:space="preserve">    </w:t>
      </w:r>
      <w:r w:rsidR="00DC4A4A" w:rsidRPr="00D9566D">
        <w:rPr>
          <w:rFonts w:ascii="Arial" w:hAnsi="Arial" w:cs="Arial"/>
        </w:rPr>
        <w:t>Fifth respondent</w:t>
      </w:r>
    </w:p>
    <w:p w14:paraId="44BC873E" w14:textId="77777777" w:rsidR="00491641" w:rsidRPr="00D9566D" w:rsidRDefault="00491641" w:rsidP="00D9566D">
      <w:pPr>
        <w:spacing w:after="0" w:line="240" w:lineRule="auto"/>
        <w:rPr>
          <w:rFonts w:ascii="Arial" w:hAnsi="Arial" w:cs="Arial"/>
          <w:b/>
          <w:bCs/>
        </w:rPr>
      </w:pPr>
    </w:p>
    <w:p w14:paraId="1A4ECA0F" w14:textId="69CF50C0" w:rsidR="00491641" w:rsidRPr="00D9566D" w:rsidRDefault="00491641" w:rsidP="00D9566D">
      <w:pPr>
        <w:spacing w:after="0" w:line="240" w:lineRule="auto"/>
        <w:rPr>
          <w:rFonts w:ascii="Arial" w:hAnsi="Arial" w:cs="Arial"/>
          <w:b/>
          <w:bCs/>
        </w:rPr>
      </w:pPr>
      <w:r w:rsidRPr="00D9566D">
        <w:rPr>
          <w:rFonts w:ascii="Arial" w:hAnsi="Arial" w:cs="Arial"/>
          <w:b/>
          <w:bCs/>
        </w:rPr>
        <w:t>KUZINCA PROTECTION SERVICES (PTY) LTD</w:t>
      </w:r>
      <w:r w:rsidR="00DC4A4A" w:rsidRPr="00D9566D">
        <w:rPr>
          <w:rFonts w:ascii="Arial" w:hAnsi="Arial" w:cs="Arial"/>
          <w:b/>
          <w:bCs/>
        </w:rPr>
        <w:t xml:space="preserve">             </w:t>
      </w:r>
      <w:r w:rsidR="008A7C09" w:rsidRPr="00D9566D">
        <w:rPr>
          <w:rFonts w:ascii="Arial" w:hAnsi="Arial" w:cs="Arial"/>
          <w:b/>
          <w:bCs/>
        </w:rPr>
        <w:t xml:space="preserve">         </w:t>
      </w:r>
      <w:r w:rsidR="00DC4A4A" w:rsidRPr="00D9566D">
        <w:rPr>
          <w:rFonts w:ascii="Arial" w:hAnsi="Arial" w:cs="Arial"/>
          <w:b/>
          <w:bCs/>
        </w:rPr>
        <w:t xml:space="preserve">        </w:t>
      </w:r>
      <w:r w:rsidR="00DC4A4A" w:rsidRPr="00D9566D">
        <w:rPr>
          <w:rFonts w:ascii="Arial" w:hAnsi="Arial" w:cs="Arial"/>
        </w:rPr>
        <w:t>Sixth respondent</w:t>
      </w:r>
    </w:p>
    <w:p w14:paraId="40DEFE3F" w14:textId="77777777" w:rsidR="00491641" w:rsidRPr="00D9566D" w:rsidRDefault="00491641" w:rsidP="00D9566D">
      <w:pPr>
        <w:spacing w:after="0" w:line="240" w:lineRule="auto"/>
        <w:rPr>
          <w:rFonts w:ascii="Arial" w:hAnsi="Arial" w:cs="Arial"/>
          <w:b/>
          <w:bCs/>
        </w:rPr>
      </w:pPr>
    </w:p>
    <w:p w14:paraId="55125325" w14:textId="037B3A8E" w:rsidR="00491641" w:rsidRPr="00D9566D" w:rsidRDefault="00491641" w:rsidP="00D9566D">
      <w:pPr>
        <w:spacing w:after="0" w:line="240" w:lineRule="auto"/>
        <w:rPr>
          <w:rFonts w:ascii="Arial" w:hAnsi="Arial" w:cs="Arial"/>
          <w:b/>
          <w:bCs/>
        </w:rPr>
      </w:pPr>
      <w:r w:rsidRPr="00D9566D">
        <w:rPr>
          <w:rFonts w:ascii="Arial" w:hAnsi="Arial" w:cs="Arial"/>
          <w:b/>
          <w:bCs/>
        </w:rPr>
        <w:t>MMAPULA SECURITY SERVICES &amp; PROJECTS CC</w:t>
      </w:r>
      <w:r w:rsidR="00DC4A4A" w:rsidRPr="00D9566D">
        <w:rPr>
          <w:rFonts w:ascii="Arial" w:hAnsi="Arial" w:cs="Arial"/>
          <w:b/>
          <w:bCs/>
        </w:rPr>
        <w:t xml:space="preserve">       </w:t>
      </w:r>
      <w:r w:rsidR="008A7C09" w:rsidRPr="00D9566D">
        <w:rPr>
          <w:rFonts w:ascii="Arial" w:hAnsi="Arial" w:cs="Arial"/>
          <w:b/>
          <w:bCs/>
        </w:rPr>
        <w:t xml:space="preserve">      </w:t>
      </w:r>
      <w:r w:rsidR="00DC4A4A" w:rsidRPr="00D9566D">
        <w:rPr>
          <w:rFonts w:ascii="Arial" w:hAnsi="Arial" w:cs="Arial"/>
          <w:b/>
          <w:bCs/>
        </w:rPr>
        <w:t xml:space="preserve">   </w:t>
      </w:r>
      <w:r w:rsidR="00DC4A4A" w:rsidRPr="00D9566D">
        <w:rPr>
          <w:rFonts w:ascii="Arial" w:hAnsi="Arial" w:cs="Arial"/>
        </w:rPr>
        <w:t>Seventh respondent</w:t>
      </w:r>
    </w:p>
    <w:p w14:paraId="6913193A" w14:textId="77777777" w:rsidR="00491641" w:rsidRPr="00D9566D" w:rsidRDefault="00491641" w:rsidP="00D9566D">
      <w:pPr>
        <w:spacing w:after="0" w:line="240" w:lineRule="auto"/>
        <w:rPr>
          <w:rFonts w:ascii="Arial" w:hAnsi="Arial" w:cs="Arial"/>
          <w:b/>
          <w:bCs/>
        </w:rPr>
      </w:pPr>
    </w:p>
    <w:p w14:paraId="659657F1" w14:textId="6075A7C1" w:rsidR="00491641" w:rsidRPr="00D9566D" w:rsidRDefault="00491641" w:rsidP="00D9566D">
      <w:pPr>
        <w:spacing w:after="0" w:line="240" w:lineRule="auto"/>
        <w:rPr>
          <w:rFonts w:ascii="Arial" w:hAnsi="Arial" w:cs="Arial"/>
          <w:b/>
          <w:bCs/>
        </w:rPr>
      </w:pPr>
      <w:r w:rsidRPr="00D9566D">
        <w:rPr>
          <w:rFonts w:ascii="Arial" w:hAnsi="Arial" w:cs="Arial"/>
          <w:b/>
          <w:bCs/>
        </w:rPr>
        <w:t xml:space="preserve">SNIPER </w:t>
      </w:r>
      <w:r w:rsidR="00DC4A4A" w:rsidRPr="00D9566D">
        <w:rPr>
          <w:rFonts w:ascii="Arial" w:hAnsi="Arial" w:cs="Arial"/>
          <w:b/>
          <w:bCs/>
        </w:rPr>
        <w:t xml:space="preserve">SECURITY (PTY) LTD                                         </w:t>
      </w:r>
      <w:r w:rsidR="008A7C09" w:rsidRPr="00D9566D">
        <w:rPr>
          <w:rFonts w:ascii="Arial" w:hAnsi="Arial" w:cs="Arial"/>
          <w:b/>
          <w:bCs/>
        </w:rPr>
        <w:t xml:space="preserve">        </w:t>
      </w:r>
      <w:r w:rsidR="00DC4A4A" w:rsidRPr="00D9566D">
        <w:rPr>
          <w:rFonts w:ascii="Arial" w:hAnsi="Arial" w:cs="Arial"/>
          <w:b/>
          <w:bCs/>
        </w:rPr>
        <w:t xml:space="preserve"> </w:t>
      </w:r>
      <w:r w:rsidR="008A7C09" w:rsidRPr="00D9566D">
        <w:rPr>
          <w:rFonts w:ascii="Arial" w:hAnsi="Arial" w:cs="Arial"/>
          <w:b/>
          <w:bCs/>
        </w:rPr>
        <w:t xml:space="preserve">    </w:t>
      </w:r>
      <w:r w:rsidR="00DC4A4A" w:rsidRPr="00D9566D">
        <w:rPr>
          <w:rFonts w:ascii="Arial" w:hAnsi="Arial" w:cs="Arial"/>
          <w:b/>
          <w:bCs/>
        </w:rPr>
        <w:t xml:space="preserve"> </w:t>
      </w:r>
      <w:r w:rsidR="00DC4A4A" w:rsidRPr="00D9566D">
        <w:rPr>
          <w:rFonts w:ascii="Arial" w:hAnsi="Arial" w:cs="Arial"/>
        </w:rPr>
        <w:t>Eighth respondent</w:t>
      </w:r>
      <w:r w:rsidR="00DC4A4A" w:rsidRPr="00D9566D">
        <w:rPr>
          <w:rFonts w:ascii="Arial" w:hAnsi="Arial" w:cs="Arial"/>
          <w:b/>
          <w:bCs/>
        </w:rPr>
        <w:t xml:space="preserve"> </w:t>
      </w:r>
    </w:p>
    <w:p w14:paraId="0E1AAB75" w14:textId="77777777" w:rsidR="00DC4A4A" w:rsidRPr="00D9566D" w:rsidRDefault="00DC4A4A" w:rsidP="00D9566D">
      <w:pPr>
        <w:spacing w:after="0" w:line="240" w:lineRule="auto"/>
        <w:rPr>
          <w:rFonts w:ascii="Arial" w:hAnsi="Arial" w:cs="Arial"/>
          <w:b/>
          <w:bCs/>
        </w:rPr>
      </w:pPr>
    </w:p>
    <w:p w14:paraId="5156955D" w14:textId="003AE3D1" w:rsidR="00DC4A4A" w:rsidRPr="00D9566D" w:rsidRDefault="00DC4A4A" w:rsidP="00D9566D">
      <w:pPr>
        <w:spacing w:after="0" w:line="240" w:lineRule="auto"/>
        <w:rPr>
          <w:rFonts w:ascii="Arial" w:hAnsi="Arial" w:cs="Arial"/>
          <w:b/>
          <w:bCs/>
        </w:rPr>
      </w:pPr>
      <w:r w:rsidRPr="00D9566D">
        <w:rPr>
          <w:rFonts w:ascii="Arial" w:hAnsi="Arial" w:cs="Arial"/>
          <w:b/>
          <w:bCs/>
        </w:rPr>
        <w:t xml:space="preserve">KWANDI SECURITY SERVICES (PTY) LTD </w:t>
      </w:r>
      <w:r w:rsidR="008A7C09" w:rsidRPr="00D9566D">
        <w:rPr>
          <w:rFonts w:ascii="Arial" w:hAnsi="Arial" w:cs="Arial"/>
          <w:b/>
          <w:bCs/>
        </w:rPr>
        <w:t xml:space="preserve">                                   </w:t>
      </w:r>
      <w:r w:rsidRPr="00D9566D">
        <w:rPr>
          <w:rFonts w:ascii="Arial" w:hAnsi="Arial" w:cs="Arial"/>
        </w:rPr>
        <w:t>Ninth respondent</w:t>
      </w:r>
      <w:r w:rsidRPr="00D9566D">
        <w:rPr>
          <w:rFonts w:ascii="Arial" w:hAnsi="Arial" w:cs="Arial"/>
          <w:b/>
          <w:bCs/>
        </w:rPr>
        <w:t xml:space="preserve">  </w:t>
      </w:r>
    </w:p>
    <w:p w14:paraId="4986C7B6" w14:textId="01ACE156" w:rsidR="00DC4A4A" w:rsidRPr="00D9566D" w:rsidRDefault="00DC4A4A" w:rsidP="00D9566D">
      <w:pPr>
        <w:spacing w:after="0" w:line="240" w:lineRule="auto"/>
        <w:rPr>
          <w:rFonts w:ascii="Arial" w:hAnsi="Arial" w:cs="Arial"/>
          <w:b/>
          <w:bCs/>
        </w:rPr>
      </w:pPr>
    </w:p>
    <w:p w14:paraId="0FB82FEF" w14:textId="0F6D6E5D" w:rsidR="00DC4A4A" w:rsidRPr="00D9566D" w:rsidRDefault="00DC4A4A" w:rsidP="00D9566D">
      <w:pPr>
        <w:spacing w:after="0" w:line="240" w:lineRule="auto"/>
        <w:rPr>
          <w:rFonts w:ascii="Arial" w:hAnsi="Arial" w:cs="Arial"/>
        </w:rPr>
      </w:pPr>
      <w:r w:rsidRPr="00D9566D">
        <w:rPr>
          <w:rFonts w:ascii="Arial" w:hAnsi="Arial" w:cs="Arial"/>
          <w:b/>
          <w:bCs/>
        </w:rPr>
        <w:t>SENIOR QUALITY PROTECTION &amp; PROJECTS (PTY) LTD</w:t>
      </w:r>
      <w:r w:rsidR="008A7C09" w:rsidRPr="00D9566D">
        <w:rPr>
          <w:rFonts w:ascii="Arial" w:hAnsi="Arial" w:cs="Arial"/>
          <w:b/>
          <w:bCs/>
        </w:rPr>
        <w:t xml:space="preserve">          </w:t>
      </w:r>
      <w:r w:rsidR="008A7C09" w:rsidRPr="00D9566D">
        <w:rPr>
          <w:rFonts w:ascii="Arial" w:hAnsi="Arial" w:cs="Arial"/>
        </w:rPr>
        <w:t>Tenth respondent</w:t>
      </w:r>
    </w:p>
    <w:p w14:paraId="13159A10" w14:textId="2813A52A" w:rsidR="00DC4A4A" w:rsidRPr="00D9566D" w:rsidRDefault="00DC4A4A" w:rsidP="00D9566D">
      <w:pPr>
        <w:spacing w:after="0" w:line="240" w:lineRule="auto"/>
        <w:rPr>
          <w:rFonts w:ascii="Arial" w:hAnsi="Arial" w:cs="Arial"/>
          <w:b/>
          <w:bCs/>
        </w:rPr>
      </w:pPr>
    </w:p>
    <w:p w14:paraId="61177103" w14:textId="77777777" w:rsidR="008A7C09" w:rsidRPr="00D9566D" w:rsidRDefault="008A7C09" w:rsidP="00D9566D">
      <w:pPr>
        <w:spacing w:after="0" w:line="240" w:lineRule="auto"/>
        <w:rPr>
          <w:rFonts w:ascii="Arial" w:hAnsi="Arial" w:cs="Arial"/>
        </w:rPr>
      </w:pPr>
    </w:p>
    <w:p w14:paraId="7728BEFB" w14:textId="5CA706AF" w:rsidR="00DC4A4A" w:rsidRPr="00D9566D" w:rsidRDefault="00DC4A4A" w:rsidP="00D9566D">
      <w:pPr>
        <w:spacing w:after="0" w:line="240" w:lineRule="auto"/>
        <w:rPr>
          <w:rFonts w:ascii="Arial" w:hAnsi="Arial" w:cs="Arial"/>
          <w:u w:val="single"/>
        </w:rPr>
      </w:pPr>
      <w:r w:rsidRPr="00D9566D">
        <w:rPr>
          <w:rFonts w:ascii="Arial" w:hAnsi="Arial" w:cs="Arial"/>
          <w:u w:val="single"/>
        </w:rPr>
        <w:t xml:space="preserve">And:       </w:t>
      </w:r>
    </w:p>
    <w:p w14:paraId="3F1D34FA" w14:textId="77777777" w:rsidR="00DC4A4A" w:rsidRPr="00D9566D" w:rsidRDefault="00DC4A4A" w:rsidP="00D9566D">
      <w:pPr>
        <w:spacing w:after="0" w:line="240" w:lineRule="auto"/>
        <w:rPr>
          <w:rFonts w:ascii="Arial" w:hAnsi="Arial" w:cs="Arial"/>
        </w:rPr>
      </w:pPr>
    </w:p>
    <w:p w14:paraId="2C529FEA" w14:textId="77777777" w:rsidR="00DC4A4A" w:rsidRPr="00D9566D" w:rsidRDefault="00DC4A4A" w:rsidP="00D9566D">
      <w:pPr>
        <w:spacing w:after="0" w:line="240" w:lineRule="auto"/>
        <w:rPr>
          <w:rFonts w:ascii="Arial" w:hAnsi="Arial" w:cs="Arial"/>
        </w:rPr>
      </w:pPr>
      <w:r w:rsidRPr="00D9566D">
        <w:rPr>
          <w:rFonts w:ascii="Arial" w:hAnsi="Arial" w:cs="Arial"/>
        </w:rPr>
        <w:t>In the matter between:</w:t>
      </w:r>
    </w:p>
    <w:p w14:paraId="78CDA48D" w14:textId="77777777" w:rsidR="00DC4A4A" w:rsidRPr="00D9566D" w:rsidRDefault="00DC4A4A" w:rsidP="00D9566D">
      <w:pPr>
        <w:spacing w:after="0" w:line="240" w:lineRule="auto"/>
        <w:rPr>
          <w:rFonts w:ascii="Arial" w:hAnsi="Arial" w:cs="Arial"/>
        </w:rPr>
      </w:pPr>
    </w:p>
    <w:p w14:paraId="042EBF8B" w14:textId="77777777" w:rsidR="00DC4A4A" w:rsidRPr="00D9566D" w:rsidRDefault="00DC4A4A" w:rsidP="00D9566D">
      <w:pPr>
        <w:spacing w:after="0" w:line="240" w:lineRule="auto"/>
        <w:rPr>
          <w:rFonts w:ascii="Arial" w:hAnsi="Arial" w:cs="Arial"/>
        </w:rPr>
      </w:pPr>
      <w:r w:rsidRPr="00D9566D">
        <w:rPr>
          <w:rFonts w:ascii="Arial" w:hAnsi="Arial" w:cs="Arial"/>
          <w:b/>
          <w:bCs/>
        </w:rPr>
        <w:t xml:space="preserve">PROSEC GUARDS CC                                                                                  </w:t>
      </w:r>
      <w:r w:rsidRPr="00D9566D">
        <w:rPr>
          <w:rFonts w:ascii="Arial" w:hAnsi="Arial" w:cs="Arial"/>
        </w:rPr>
        <w:t xml:space="preserve">Applicant </w:t>
      </w:r>
    </w:p>
    <w:p w14:paraId="1076F6F7" w14:textId="77777777" w:rsidR="00DC4A4A" w:rsidRPr="00D9566D" w:rsidRDefault="00DC4A4A" w:rsidP="00D9566D">
      <w:pPr>
        <w:spacing w:after="0" w:line="240" w:lineRule="auto"/>
        <w:rPr>
          <w:rFonts w:ascii="Arial" w:hAnsi="Arial" w:cs="Arial"/>
          <w:b/>
          <w:bCs/>
        </w:rPr>
      </w:pPr>
    </w:p>
    <w:p w14:paraId="3EED0F70" w14:textId="77777777" w:rsidR="00DC4A4A" w:rsidRPr="00D9566D" w:rsidRDefault="00DC4A4A" w:rsidP="00D9566D">
      <w:pPr>
        <w:spacing w:after="0" w:line="240" w:lineRule="auto"/>
        <w:rPr>
          <w:rFonts w:ascii="Arial" w:hAnsi="Arial" w:cs="Arial"/>
          <w:lang w:val="en-ZA"/>
        </w:rPr>
      </w:pPr>
      <w:r w:rsidRPr="00D9566D">
        <w:rPr>
          <w:rFonts w:ascii="Arial" w:hAnsi="Arial" w:cs="Arial"/>
          <w:lang w:val="en-ZA"/>
        </w:rPr>
        <w:t>and</w:t>
      </w:r>
    </w:p>
    <w:p w14:paraId="27760DE3" w14:textId="77777777" w:rsidR="00DC4A4A" w:rsidRPr="00D9566D" w:rsidRDefault="00DC4A4A" w:rsidP="00D9566D">
      <w:pPr>
        <w:spacing w:after="0" w:line="240" w:lineRule="auto"/>
        <w:rPr>
          <w:rFonts w:ascii="Arial" w:hAnsi="Arial" w:cs="Arial"/>
          <w:b/>
        </w:rPr>
      </w:pPr>
    </w:p>
    <w:p w14:paraId="76FF7AE7" w14:textId="77777777" w:rsidR="00DC4A4A" w:rsidRPr="00D9566D" w:rsidRDefault="00DC4A4A" w:rsidP="00D9566D">
      <w:pPr>
        <w:spacing w:after="0" w:line="240" w:lineRule="auto"/>
        <w:rPr>
          <w:rFonts w:ascii="Arial" w:hAnsi="Arial" w:cs="Arial"/>
          <w:b/>
          <w:bCs/>
        </w:rPr>
      </w:pPr>
      <w:r w:rsidRPr="00D9566D">
        <w:rPr>
          <w:rFonts w:ascii="Arial" w:hAnsi="Arial" w:cs="Arial"/>
          <w:b/>
          <w:bCs/>
        </w:rPr>
        <w:lastRenderedPageBreak/>
        <w:t xml:space="preserve">THE DEPARTMENT OF PUBLIC WORKS &amp; </w:t>
      </w:r>
    </w:p>
    <w:p w14:paraId="421AEE06" w14:textId="77777777" w:rsidR="00DC4A4A" w:rsidRPr="00D9566D" w:rsidRDefault="00DC4A4A" w:rsidP="00D9566D">
      <w:pPr>
        <w:spacing w:after="0" w:line="240" w:lineRule="auto"/>
        <w:rPr>
          <w:rFonts w:ascii="Arial" w:hAnsi="Arial" w:cs="Arial"/>
        </w:rPr>
      </w:pPr>
      <w:r w:rsidRPr="00D9566D">
        <w:rPr>
          <w:rFonts w:ascii="Arial" w:hAnsi="Arial" w:cs="Arial"/>
          <w:b/>
          <w:bCs/>
        </w:rPr>
        <w:t xml:space="preserve">INFRASTRUCTURE                       </w:t>
      </w:r>
      <w:r w:rsidRPr="00D9566D">
        <w:rPr>
          <w:rFonts w:ascii="Arial" w:hAnsi="Arial" w:cs="Arial"/>
          <w:b/>
        </w:rPr>
        <w:t xml:space="preserve">                                                     </w:t>
      </w:r>
      <w:r w:rsidRPr="00D9566D">
        <w:rPr>
          <w:rFonts w:ascii="Arial" w:hAnsi="Arial" w:cs="Arial"/>
        </w:rPr>
        <w:t>First respondent</w:t>
      </w:r>
    </w:p>
    <w:p w14:paraId="1E2A2AA2" w14:textId="77777777" w:rsidR="00DC4A4A" w:rsidRPr="00D9566D" w:rsidRDefault="00DC4A4A" w:rsidP="00D9566D">
      <w:pPr>
        <w:spacing w:after="0" w:line="240" w:lineRule="auto"/>
        <w:rPr>
          <w:rFonts w:ascii="Arial" w:hAnsi="Arial" w:cs="Arial"/>
        </w:rPr>
      </w:pPr>
    </w:p>
    <w:p w14:paraId="4E6232D0" w14:textId="77777777" w:rsidR="008A7C09" w:rsidRPr="00D9566D" w:rsidRDefault="00DC4A4A" w:rsidP="00D9566D">
      <w:pPr>
        <w:spacing w:after="0" w:line="240" w:lineRule="auto"/>
        <w:rPr>
          <w:rFonts w:ascii="Arial" w:hAnsi="Arial" w:cs="Arial"/>
          <w:b/>
          <w:bCs/>
        </w:rPr>
      </w:pPr>
      <w:r w:rsidRPr="00D9566D">
        <w:rPr>
          <w:rFonts w:ascii="Arial" w:hAnsi="Arial" w:cs="Arial"/>
          <w:b/>
          <w:bCs/>
        </w:rPr>
        <w:t xml:space="preserve">THE DIRECTOR-GENERAL: DEPARTMENT OF </w:t>
      </w:r>
    </w:p>
    <w:p w14:paraId="52B24325" w14:textId="2A5FAB78" w:rsidR="00DC4A4A" w:rsidRPr="00D9566D" w:rsidRDefault="00DC4A4A" w:rsidP="00D9566D">
      <w:pPr>
        <w:spacing w:after="0" w:line="240" w:lineRule="auto"/>
        <w:rPr>
          <w:rFonts w:ascii="Arial" w:hAnsi="Arial" w:cs="Arial"/>
        </w:rPr>
      </w:pPr>
      <w:r w:rsidRPr="00D9566D">
        <w:rPr>
          <w:rFonts w:ascii="Arial" w:hAnsi="Arial" w:cs="Arial"/>
          <w:b/>
          <w:bCs/>
        </w:rPr>
        <w:t xml:space="preserve">PUBLIC WORKS &amp; </w:t>
      </w:r>
      <w:r w:rsidR="008A7C09" w:rsidRPr="00D9566D">
        <w:rPr>
          <w:rFonts w:ascii="Arial" w:hAnsi="Arial" w:cs="Arial"/>
          <w:b/>
          <w:bCs/>
        </w:rPr>
        <w:t xml:space="preserve">INFRASTRUCTURE                                      </w:t>
      </w:r>
      <w:r w:rsidR="008A7C09" w:rsidRPr="00D9566D">
        <w:rPr>
          <w:rFonts w:ascii="Arial" w:hAnsi="Arial" w:cs="Arial"/>
        </w:rPr>
        <w:t>Second respondent</w:t>
      </w:r>
      <w:r w:rsidRPr="00D9566D">
        <w:rPr>
          <w:rFonts w:ascii="Arial" w:hAnsi="Arial" w:cs="Arial"/>
          <w:b/>
          <w:bCs/>
        </w:rPr>
        <w:t xml:space="preserve">                             </w:t>
      </w:r>
      <w:r w:rsidRPr="00D9566D">
        <w:rPr>
          <w:rFonts w:ascii="Arial" w:hAnsi="Arial" w:cs="Arial"/>
        </w:rPr>
        <w:t xml:space="preserve">                              </w:t>
      </w:r>
    </w:p>
    <w:p w14:paraId="340392E1" w14:textId="77777777" w:rsidR="00DC4A4A" w:rsidRPr="00D9566D" w:rsidRDefault="00DC4A4A" w:rsidP="00D9566D">
      <w:pPr>
        <w:spacing w:after="0" w:line="240" w:lineRule="auto"/>
        <w:rPr>
          <w:rFonts w:ascii="Arial" w:hAnsi="Arial" w:cs="Arial"/>
          <w:b/>
          <w:bCs/>
        </w:rPr>
      </w:pPr>
    </w:p>
    <w:p w14:paraId="08268BB2" w14:textId="77777777" w:rsidR="00DC4A4A" w:rsidRPr="00D9566D" w:rsidRDefault="00DC4A4A" w:rsidP="00D9566D">
      <w:pPr>
        <w:spacing w:after="0" w:line="240" w:lineRule="auto"/>
        <w:rPr>
          <w:rFonts w:ascii="Arial" w:hAnsi="Arial" w:cs="Arial"/>
          <w:b/>
          <w:bCs/>
        </w:rPr>
      </w:pPr>
      <w:r w:rsidRPr="00D9566D">
        <w:rPr>
          <w:rFonts w:ascii="Arial" w:hAnsi="Arial" w:cs="Arial"/>
          <w:b/>
          <w:bCs/>
        </w:rPr>
        <w:t>THE REGIONAL BID ADJUDICATION COMMITTEE:</w:t>
      </w:r>
    </w:p>
    <w:p w14:paraId="49C9E9DB" w14:textId="227600A9" w:rsidR="00DC4A4A" w:rsidRPr="00D9566D" w:rsidRDefault="00DC4A4A" w:rsidP="00D9566D">
      <w:pPr>
        <w:spacing w:after="0" w:line="240" w:lineRule="auto"/>
        <w:rPr>
          <w:rFonts w:ascii="Arial" w:hAnsi="Arial" w:cs="Arial"/>
          <w:b/>
          <w:bCs/>
        </w:rPr>
      </w:pPr>
      <w:r w:rsidRPr="00D9566D">
        <w:rPr>
          <w:rFonts w:ascii="Arial" w:hAnsi="Arial" w:cs="Arial"/>
          <w:b/>
          <w:bCs/>
        </w:rPr>
        <w:t>DEPARTMENT OF PUBLIC WORKS &amp; INFRASTRUCTURE</w:t>
      </w:r>
      <w:r w:rsidR="008A7C09" w:rsidRPr="00D9566D">
        <w:rPr>
          <w:rFonts w:ascii="Arial" w:hAnsi="Arial" w:cs="Arial"/>
          <w:b/>
          <w:bCs/>
        </w:rPr>
        <w:t xml:space="preserve">         </w:t>
      </w:r>
      <w:r w:rsidR="008A7C09" w:rsidRPr="00D9566D">
        <w:rPr>
          <w:rFonts w:ascii="Arial" w:hAnsi="Arial" w:cs="Arial"/>
        </w:rPr>
        <w:t xml:space="preserve"> Third respondent</w:t>
      </w:r>
    </w:p>
    <w:p w14:paraId="621D4741" w14:textId="77777777" w:rsidR="00DC4A4A" w:rsidRPr="00D9566D" w:rsidRDefault="00DC4A4A" w:rsidP="00D9566D">
      <w:pPr>
        <w:spacing w:after="0" w:line="240" w:lineRule="auto"/>
        <w:rPr>
          <w:rFonts w:ascii="Arial" w:hAnsi="Arial" w:cs="Arial"/>
          <w:b/>
          <w:bCs/>
        </w:rPr>
      </w:pPr>
    </w:p>
    <w:p w14:paraId="18437A82" w14:textId="63FEDB6F" w:rsidR="00DC4A4A" w:rsidRPr="00D9566D" w:rsidRDefault="00DC4A4A" w:rsidP="00D9566D">
      <w:pPr>
        <w:spacing w:after="0" w:line="240" w:lineRule="auto"/>
        <w:rPr>
          <w:rFonts w:ascii="Arial" w:hAnsi="Arial" w:cs="Arial"/>
          <w:b/>
          <w:bCs/>
        </w:rPr>
      </w:pPr>
      <w:r w:rsidRPr="00D9566D">
        <w:rPr>
          <w:rFonts w:ascii="Arial" w:hAnsi="Arial" w:cs="Arial"/>
          <w:b/>
          <w:bCs/>
        </w:rPr>
        <w:t>KRA SECURITY &amp; PROJECT</w:t>
      </w:r>
      <w:r w:rsidR="008A7C09" w:rsidRPr="00D9566D">
        <w:rPr>
          <w:rFonts w:ascii="Arial" w:hAnsi="Arial" w:cs="Arial"/>
        </w:rPr>
        <w:t xml:space="preserve">                                                         Fourth respondent</w:t>
      </w:r>
    </w:p>
    <w:p w14:paraId="6FBF844C" w14:textId="77777777" w:rsidR="00DC4A4A" w:rsidRPr="00D9566D" w:rsidRDefault="00DC4A4A" w:rsidP="00D9566D">
      <w:pPr>
        <w:spacing w:after="0" w:line="240" w:lineRule="auto"/>
        <w:rPr>
          <w:rFonts w:ascii="Arial" w:hAnsi="Arial" w:cs="Arial"/>
          <w:b/>
          <w:bCs/>
        </w:rPr>
      </w:pPr>
    </w:p>
    <w:p w14:paraId="214344DB" w14:textId="64A0C311" w:rsidR="00DC4A4A" w:rsidRPr="00D9566D" w:rsidRDefault="00DC4A4A" w:rsidP="00D9566D">
      <w:pPr>
        <w:spacing w:after="0" w:line="240" w:lineRule="auto"/>
        <w:rPr>
          <w:rFonts w:ascii="Arial" w:hAnsi="Arial" w:cs="Arial"/>
          <w:b/>
          <w:bCs/>
        </w:rPr>
      </w:pPr>
      <w:r w:rsidRPr="00D9566D">
        <w:rPr>
          <w:rFonts w:ascii="Arial" w:hAnsi="Arial" w:cs="Arial"/>
          <w:b/>
          <w:bCs/>
        </w:rPr>
        <w:t>TRUST ONE GUARD SECURITY SERVICES (PTY) LTD</w:t>
      </w:r>
      <w:r w:rsidR="008A7C09" w:rsidRPr="00D9566D">
        <w:rPr>
          <w:rFonts w:ascii="Arial" w:hAnsi="Arial" w:cs="Arial"/>
          <w:b/>
          <w:bCs/>
        </w:rPr>
        <w:t xml:space="preserve">                 </w:t>
      </w:r>
      <w:r w:rsidR="008A7C09" w:rsidRPr="00D9566D">
        <w:rPr>
          <w:rFonts w:ascii="Arial" w:hAnsi="Arial" w:cs="Arial"/>
        </w:rPr>
        <w:t>Fifth respondent</w:t>
      </w:r>
    </w:p>
    <w:p w14:paraId="2CB5591B" w14:textId="77777777" w:rsidR="00DC4A4A" w:rsidRPr="00D9566D" w:rsidRDefault="00DC4A4A" w:rsidP="00D9566D">
      <w:pPr>
        <w:spacing w:after="0" w:line="240" w:lineRule="auto"/>
        <w:rPr>
          <w:rFonts w:ascii="Arial" w:hAnsi="Arial" w:cs="Arial"/>
          <w:b/>
          <w:bCs/>
        </w:rPr>
      </w:pPr>
    </w:p>
    <w:p w14:paraId="44282897" w14:textId="39670867" w:rsidR="00DC4A4A" w:rsidRPr="00D9566D" w:rsidRDefault="00DC4A4A" w:rsidP="00D9566D">
      <w:pPr>
        <w:spacing w:after="0" w:line="240" w:lineRule="auto"/>
        <w:rPr>
          <w:rFonts w:ascii="Arial" w:hAnsi="Arial" w:cs="Arial"/>
          <w:b/>
          <w:bCs/>
        </w:rPr>
      </w:pPr>
      <w:r w:rsidRPr="00D9566D">
        <w:rPr>
          <w:rFonts w:ascii="Arial" w:hAnsi="Arial" w:cs="Arial"/>
          <w:b/>
          <w:bCs/>
        </w:rPr>
        <w:t>MVELAMASWAZI TRADING (PTY) LTD</w:t>
      </w:r>
      <w:r w:rsidR="008A7C09" w:rsidRPr="00D9566D">
        <w:rPr>
          <w:rFonts w:ascii="Arial" w:hAnsi="Arial" w:cs="Arial"/>
          <w:b/>
          <w:bCs/>
        </w:rPr>
        <w:t xml:space="preserve">                                           </w:t>
      </w:r>
      <w:r w:rsidR="008A7C09" w:rsidRPr="00D9566D">
        <w:rPr>
          <w:rFonts w:ascii="Arial" w:hAnsi="Arial" w:cs="Arial"/>
        </w:rPr>
        <w:t>Sixth respondent</w:t>
      </w:r>
    </w:p>
    <w:p w14:paraId="53AA0325" w14:textId="77777777" w:rsidR="00DC4A4A" w:rsidRPr="00D9566D" w:rsidRDefault="00DC4A4A" w:rsidP="00D9566D">
      <w:pPr>
        <w:spacing w:after="0" w:line="240" w:lineRule="auto"/>
        <w:rPr>
          <w:rFonts w:ascii="Arial" w:hAnsi="Arial" w:cs="Arial"/>
          <w:b/>
          <w:bCs/>
        </w:rPr>
      </w:pPr>
    </w:p>
    <w:p w14:paraId="3C47778F" w14:textId="427B592C" w:rsidR="00DC4A4A" w:rsidRPr="00D9566D" w:rsidRDefault="00DC4A4A" w:rsidP="00D9566D">
      <w:pPr>
        <w:spacing w:after="0" w:line="240" w:lineRule="auto"/>
        <w:rPr>
          <w:rFonts w:ascii="Arial" w:hAnsi="Arial" w:cs="Arial"/>
          <w:b/>
          <w:bCs/>
        </w:rPr>
      </w:pPr>
      <w:r w:rsidRPr="00D9566D">
        <w:rPr>
          <w:rFonts w:ascii="Arial" w:hAnsi="Arial" w:cs="Arial"/>
          <w:b/>
          <w:bCs/>
        </w:rPr>
        <w:t>MMAPULA SECURITY SERVICES &amp; PROJECTS CC</w:t>
      </w:r>
      <w:r w:rsidR="008A7C09" w:rsidRPr="00D9566D">
        <w:rPr>
          <w:rFonts w:ascii="Arial" w:hAnsi="Arial" w:cs="Arial"/>
          <w:b/>
          <w:bCs/>
        </w:rPr>
        <w:t xml:space="preserve">                </w:t>
      </w:r>
      <w:r w:rsidR="008A7C09" w:rsidRPr="00D9566D">
        <w:rPr>
          <w:rFonts w:ascii="Arial" w:hAnsi="Arial" w:cs="Arial"/>
        </w:rPr>
        <w:t>Seventh respondent</w:t>
      </w:r>
    </w:p>
    <w:p w14:paraId="1CC28FFA" w14:textId="77777777" w:rsidR="00DC4A4A" w:rsidRPr="00D9566D" w:rsidRDefault="00DC4A4A" w:rsidP="00D9566D">
      <w:pPr>
        <w:spacing w:after="0" w:line="240" w:lineRule="auto"/>
        <w:rPr>
          <w:rFonts w:ascii="Arial" w:hAnsi="Arial" w:cs="Arial"/>
          <w:b/>
          <w:bCs/>
        </w:rPr>
      </w:pPr>
    </w:p>
    <w:p w14:paraId="6F1A3A4A" w14:textId="2D3FA29C" w:rsidR="00DC4A4A" w:rsidRPr="00D9566D" w:rsidRDefault="00DC4A4A" w:rsidP="00D9566D">
      <w:pPr>
        <w:spacing w:after="0" w:line="240" w:lineRule="auto"/>
        <w:rPr>
          <w:rFonts w:ascii="Arial" w:hAnsi="Arial" w:cs="Arial"/>
          <w:b/>
          <w:bCs/>
        </w:rPr>
      </w:pPr>
      <w:r w:rsidRPr="00D9566D">
        <w:rPr>
          <w:rFonts w:ascii="Arial" w:hAnsi="Arial" w:cs="Arial"/>
          <w:b/>
          <w:bCs/>
        </w:rPr>
        <w:t>SNIPER SECURITY (PTY) LTD</w:t>
      </w:r>
      <w:r w:rsidR="008A7C09" w:rsidRPr="00D9566D">
        <w:rPr>
          <w:rFonts w:ascii="Arial" w:hAnsi="Arial" w:cs="Arial"/>
          <w:b/>
          <w:bCs/>
        </w:rPr>
        <w:t xml:space="preserve">                                                       </w:t>
      </w:r>
      <w:r w:rsidR="008A7C09" w:rsidRPr="00D9566D">
        <w:rPr>
          <w:rFonts w:ascii="Arial" w:hAnsi="Arial" w:cs="Arial"/>
        </w:rPr>
        <w:t>Eighth respondent</w:t>
      </w:r>
    </w:p>
    <w:p w14:paraId="5C3B2C3B" w14:textId="77777777" w:rsidR="00DC4A4A" w:rsidRPr="00D9566D" w:rsidRDefault="00DC4A4A" w:rsidP="00D9566D">
      <w:pPr>
        <w:spacing w:after="0" w:line="240" w:lineRule="auto"/>
        <w:rPr>
          <w:rFonts w:ascii="Arial" w:hAnsi="Arial" w:cs="Arial"/>
          <w:b/>
          <w:bCs/>
        </w:rPr>
      </w:pPr>
    </w:p>
    <w:p w14:paraId="651CBD4E" w14:textId="6E0506E3" w:rsidR="00DC4A4A" w:rsidRPr="00D9566D" w:rsidRDefault="00DC4A4A" w:rsidP="00D9566D">
      <w:pPr>
        <w:spacing w:after="0" w:line="240" w:lineRule="auto"/>
        <w:rPr>
          <w:rFonts w:ascii="Arial" w:hAnsi="Arial" w:cs="Arial"/>
          <w:b/>
          <w:bCs/>
        </w:rPr>
      </w:pPr>
      <w:r w:rsidRPr="00D9566D">
        <w:rPr>
          <w:rFonts w:ascii="Arial" w:hAnsi="Arial" w:cs="Arial"/>
          <w:b/>
          <w:bCs/>
        </w:rPr>
        <w:t>BLUE FALCON (PTY) LTD</w:t>
      </w:r>
      <w:r w:rsidR="008A7C09" w:rsidRPr="00D9566D">
        <w:rPr>
          <w:rFonts w:ascii="Arial" w:hAnsi="Arial" w:cs="Arial"/>
          <w:b/>
          <w:bCs/>
        </w:rPr>
        <w:t xml:space="preserve">                                                                </w:t>
      </w:r>
      <w:r w:rsidR="008A7C09" w:rsidRPr="00D9566D">
        <w:rPr>
          <w:rFonts w:ascii="Arial" w:hAnsi="Arial" w:cs="Arial"/>
        </w:rPr>
        <w:t>Ninth respondent</w:t>
      </w:r>
      <w:r w:rsidR="008A7C09" w:rsidRPr="00D9566D">
        <w:rPr>
          <w:rFonts w:ascii="Arial" w:hAnsi="Arial" w:cs="Arial"/>
          <w:b/>
          <w:bCs/>
        </w:rPr>
        <w:t xml:space="preserve">  </w:t>
      </w:r>
    </w:p>
    <w:p w14:paraId="1A974C6E" w14:textId="77777777" w:rsidR="00DC4A4A" w:rsidRPr="00D9566D" w:rsidRDefault="00DC4A4A" w:rsidP="00D9566D">
      <w:pPr>
        <w:spacing w:after="0" w:line="240" w:lineRule="auto"/>
        <w:rPr>
          <w:rFonts w:ascii="Arial" w:hAnsi="Arial" w:cs="Arial"/>
          <w:b/>
          <w:bCs/>
        </w:rPr>
      </w:pPr>
    </w:p>
    <w:p w14:paraId="395BCB70" w14:textId="10F664E2" w:rsidR="00DC4A4A" w:rsidRPr="00D9566D" w:rsidRDefault="00DC4A4A" w:rsidP="00D9566D">
      <w:pPr>
        <w:spacing w:after="0" w:line="240" w:lineRule="auto"/>
        <w:rPr>
          <w:rFonts w:ascii="Arial" w:hAnsi="Arial" w:cs="Arial"/>
          <w:b/>
          <w:bCs/>
        </w:rPr>
      </w:pPr>
      <w:r w:rsidRPr="00D9566D">
        <w:rPr>
          <w:rFonts w:ascii="Arial" w:hAnsi="Arial" w:cs="Arial"/>
          <w:b/>
          <w:bCs/>
        </w:rPr>
        <w:t>S ISMAIL t/a ALCATRAZ</w:t>
      </w:r>
      <w:r w:rsidR="008A7C09" w:rsidRPr="00D9566D">
        <w:rPr>
          <w:rFonts w:ascii="Arial" w:hAnsi="Arial" w:cs="Arial"/>
          <w:b/>
          <w:bCs/>
        </w:rPr>
        <w:t xml:space="preserve">                                                                  </w:t>
      </w:r>
      <w:r w:rsidR="008A7C09" w:rsidRPr="00D9566D">
        <w:rPr>
          <w:rFonts w:ascii="Arial" w:hAnsi="Arial" w:cs="Arial"/>
        </w:rPr>
        <w:t>Tenth respondent</w:t>
      </w:r>
    </w:p>
    <w:p w14:paraId="0596921B" w14:textId="77777777" w:rsidR="00DC4A4A" w:rsidRPr="00D9566D" w:rsidRDefault="00DC4A4A" w:rsidP="00D9566D">
      <w:pPr>
        <w:spacing w:after="0" w:line="240" w:lineRule="auto"/>
        <w:rPr>
          <w:rFonts w:ascii="Arial" w:hAnsi="Arial" w:cs="Arial"/>
          <w:b/>
          <w:bCs/>
        </w:rPr>
      </w:pPr>
    </w:p>
    <w:p w14:paraId="683EDF0B" w14:textId="0B56C5B1" w:rsidR="00DC4A4A" w:rsidRPr="00D9566D" w:rsidRDefault="00DC4A4A" w:rsidP="00D9566D">
      <w:pPr>
        <w:spacing w:after="0" w:line="240" w:lineRule="auto"/>
        <w:rPr>
          <w:rFonts w:ascii="Arial" w:hAnsi="Arial" w:cs="Arial"/>
          <w:b/>
          <w:bCs/>
        </w:rPr>
      </w:pPr>
      <w:r w:rsidRPr="00D9566D">
        <w:rPr>
          <w:rFonts w:ascii="Arial" w:hAnsi="Arial" w:cs="Arial"/>
          <w:b/>
          <w:bCs/>
        </w:rPr>
        <w:t>SIX COMBINED CORPORATIONS CC</w:t>
      </w:r>
      <w:r w:rsidR="008A7C09" w:rsidRPr="00D9566D">
        <w:rPr>
          <w:rFonts w:ascii="Arial" w:hAnsi="Arial" w:cs="Arial"/>
          <w:b/>
          <w:bCs/>
        </w:rPr>
        <w:t xml:space="preserve">                                       </w:t>
      </w:r>
      <w:r w:rsidR="008A7C09" w:rsidRPr="00D9566D">
        <w:rPr>
          <w:rFonts w:ascii="Arial" w:hAnsi="Arial" w:cs="Arial"/>
        </w:rPr>
        <w:t>Eleventh respondent</w:t>
      </w:r>
    </w:p>
    <w:p w14:paraId="5D20A5C2" w14:textId="77777777" w:rsidR="00DC4A4A" w:rsidRPr="00D9566D" w:rsidRDefault="00DC4A4A" w:rsidP="00D9566D">
      <w:pPr>
        <w:spacing w:after="0" w:line="240" w:lineRule="auto"/>
        <w:rPr>
          <w:rFonts w:ascii="Arial" w:hAnsi="Arial" w:cs="Arial"/>
          <w:u w:val="single"/>
        </w:rPr>
      </w:pPr>
    </w:p>
    <w:p w14:paraId="7C744C1E" w14:textId="77777777" w:rsidR="00491641" w:rsidRPr="00D9566D" w:rsidRDefault="00491641" w:rsidP="00D9566D">
      <w:pPr>
        <w:pBdr>
          <w:bottom w:val="single" w:sz="12" w:space="1" w:color="auto"/>
        </w:pBdr>
        <w:adjustRightInd w:val="0"/>
        <w:spacing w:after="0" w:line="240" w:lineRule="auto"/>
        <w:jc w:val="both"/>
        <w:textAlignment w:val="baseline"/>
        <w:rPr>
          <w:rFonts w:ascii="Arial" w:eastAsia="Times New Roman" w:hAnsi="Arial" w:cs="Arial"/>
          <w:b/>
          <w:bCs/>
          <w:snapToGrid w:val="0"/>
        </w:rPr>
      </w:pPr>
    </w:p>
    <w:p w14:paraId="1499285E" w14:textId="77777777" w:rsidR="00491641" w:rsidRPr="00D9566D" w:rsidRDefault="00491641" w:rsidP="00D9566D">
      <w:pPr>
        <w:adjustRightInd w:val="0"/>
        <w:spacing w:after="0" w:line="240" w:lineRule="auto"/>
        <w:jc w:val="both"/>
        <w:textAlignment w:val="baseline"/>
        <w:rPr>
          <w:rFonts w:ascii="Arial" w:eastAsia="Times New Roman" w:hAnsi="Arial" w:cs="Arial"/>
          <w:b/>
          <w:bCs/>
          <w:snapToGrid w:val="0"/>
        </w:rPr>
      </w:pPr>
    </w:p>
    <w:p w14:paraId="52AE4F3A" w14:textId="4A839862" w:rsidR="00491641" w:rsidRPr="00D9566D" w:rsidRDefault="00491641" w:rsidP="00D9566D">
      <w:pPr>
        <w:adjustRightInd w:val="0"/>
        <w:spacing w:after="0" w:line="240" w:lineRule="auto"/>
        <w:jc w:val="center"/>
        <w:textAlignment w:val="baseline"/>
        <w:rPr>
          <w:rFonts w:ascii="Arial" w:eastAsia="Times New Roman" w:hAnsi="Arial" w:cs="Arial"/>
          <w:b/>
          <w:bCs/>
          <w:snapToGrid w:val="0"/>
        </w:rPr>
      </w:pPr>
      <w:r w:rsidRPr="00D9566D">
        <w:rPr>
          <w:rFonts w:ascii="Arial" w:eastAsia="Times New Roman" w:hAnsi="Arial" w:cs="Arial"/>
          <w:b/>
          <w:bCs/>
          <w:snapToGrid w:val="0"/>
        </w:rPr>
        <w:t xml:space="preserve">JUDGMENT DELIVERED (VIA EMAIL) ON </w:t>
      </w:r>
      <w:r w:rsidR="000B7686" w:rsidRPr="00D9566D">
        <w:rPr>
          <w:rFonts w:ascii="Arial" w:eastAsia="Times New Roman" w:hAnsi="Arial" w:cs="Arial"/>
          <w:b/>
          <w:bCs/>
          <w:snapToGrid w:val="0"/>
        </w:rPr>
        <w:t>24</w:t>
      </w:r>
      <w:r w:rsidRPr="00D9566D">
        <w:rPr>
          <w:rFonts w:ascii="Arial" w:eastAsia="Times New Roman" w:hAnsi="Arial" w:cs="Arial"/>
          <w:b/>
          <w:bCs/>
          <w:snapToGrid w:val="0"/>
        </w:rPr>
        <w:t xml:space="preserve"> MA</w:t>
      </w:r>
      <w:r w:rsidR="00DC4A4A" w:rsidRPr="00D9566D">
        <w:rPr>
          <w:rFonts w:ascii="Arial" w:eastAsia="Times New Roman" w:hAnsi="Arial" w:cs="Arial"/>
          <w:b/>
          <w:bCs/>
          <w:snapToGrid w:val="0"/>
        </w:rPr>
        <w:t>Y</w:t>
      </w:r>
      <w:r w:rsidRPr="00D9566D">
        <w:rPr>
          <w:rFonts w:ascii="Arial" w:eastAsia="Times New Roman" w:hAnsi="Arial" w:cs="Arial"/>
          <w:b/>
          <w:bCs/>
          <w:snapToGrid w:val="0"/>
        </w:rPr>
        <w:t xml:space="preserve"> 2024   </w:t>
      </w:r>
    </w:p>
    <w:p w14:paraId="04223CF0" w14:textId="41C01326" w:rsidR="00491641" w:rsidRPr="00D9566D" w:rsidRDefault="00491641" w:rsidP="00D9566D">
      <w:pPr>
        <w:adjustRightInd w:val="0"/>
        <w:spacing w:after="0" w:line="240" w:lineRule="auto"/>
        <w:jc w:val="both"/>
        <w:textAlignment w:val="baseline"/>
        <w:rPr>
          <w:rFonts w:ascii="Arial" w:eastAsia="Times New Roman" w:hAnsi="Arial" w:cs="Arial"/>
          <w:b/>
          <w:bCs/>
          <w:snapToGrid w:val="0"/>
        </w:rPr>
      </w:pPr>
      <w:r w:rsidRPr="00D9566D">
        <w:rPr>
          <w:rFonts w:ascii="Arial" w:eastAsia="Times New Roman" w:hAnsi="Arial" w:cs="Arial"/>
          <w:b/>
          <w:bCs/>
          <w:snapToGrid w:val="0"/>
        </w:rPr>
        <w:t>___________________________________________________________________</w:t>
      </w:r>
    </w:p>
    <w:p w14:paraId="30888700" w14:textId="77777777" w:rsidR="00491641" w:rsidRPr="00D9566D" w:rsidRDefault="00491641" w:rsidP="00D9566D">
      <w:pPr>
        <w:adjustRightInd w:val="0"/>
        <w:spacing w:line="240" w:lineRule="auto"/>
        <w:jc w:val="both"/>
        <w:textAlignment w:val="baseline"/>
        <w:rPr>
          <w:rFonts w:ascii="Arial" w:eastAsia="Times New Roman" w:hAnsi="Arial" w:cs="Arial"/>
          <w:b/>
          <w:bCs/>
        </w:rPr>
      </w:pPr>
    </w:p>
    <w:p w14:paraId="00AFCD3E" w14:textId="77777777" w:rsidR="00491641" w:rsidRPr="00D9566D" w:rsidRDefault="00491641" w:rsidP="00D9566D">
      <w:pPr>
        <w:adjustRightInd w:val="0"/>
        <w:spacing w:line="240" w:lineRule="auto"/>
        <w:jc w:val="both"/>
        <w:textAlignment w:val="baseline"/>
        <w:rPr>
          <w:rFonts w:ascii="Arial" w:eastAsia="Times New Roman" w:hAnsi="Arial" w:cs="Arial"/>
          <w:b/>
          <w:bCs/>
        </w:rPr>
      </w:pPr>
      <w:r w:rsidRPr="00D9566D">
        <w:rPr>
          <w:rFonts w:ascii="Arial" w:eastAsia="Times New Roman" w:hAnsi="Arial" w:cs="Arial"/>
          <w:b/>
          <w:bCs/>
        </w:rPr>
        <w:t>SHER, J:</w:t>
      </w:r>
    </w:p>
    <w:p w14:paraId="73616683" w14:textId="2EC9BAB0" w:rsidR="00491641"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w:t>
      </w:r>
      <w:r w:rsidRPr="00D9566D">
        <w:rPr>
          <w:rFonts w:ascii="Arial" w:hAnsi="Arial" w:cs="Arial"/>
        </w:rPr>
        <w:tab/>
      </w:r>
      <w:r w:rsidR="0064097B" w:rsidRPr="00D9566D">
        <w:rPr>
          <w:rFonts w:ascii="Arial" w:eastAsia="Times New Roman" w:hAnsi="Arial" w:cs="Arial"/>
          <w:bCs/>
        </w:rPr>
        <w:t>The applicant is a security service</w:t>
      </w:r>
      <w:r w:rsidR="00D37397" w:rsidRPr="00D9566D">
        <w:rPr>
          <w:rFonts w:ascii="Arial" w:eastAsia="Times New Roman" w:hAnsi="Arial" w:cs="Arial"/>
          <w:bCs/>
        </w:rPr>
        <w:t>s</w:t>
      </w:r>
      <w:r w:rsidR="0064097B" w:rsidRPr="00D9566D">
        <w:rPr>
          <w:rFonts w:ascii="Arial" w:eastAsia="Times New Roman" w:hAnsi="Arial" w:cs="Arial"/>
          <w:bCs/>
        </w:rPr>
        <w:t xml:space="preserve"> provider. It seeks to review and set aside decisions which were taken by bid evaluation </w:t>
      </w:r>
      <w:r w:rsidR="00713DED" w:rsidRPr="00D9566D">
        <w:rPr>
          <w:rFonts w:ascii="Arial" w:eastAsia="Times New Roman" w:hAnsi="Arial" w:cs="Arial"/>
          <w:bCs/>
        </w:rPr>
        <w:t xml:space="preserve">and adjudication </w:t>
      </w:r>
      <w:r w:rsidR="0064097B" w:rsidRPr="00D9566D">
        <w:rPr>
          <w:rFonts w:ascii="Arial" w:eastAsia="Times New Roman" w:hAnsi="Arial" w:cs="Arial"/>
          <w:bCs/>
        </w:rPr>
        <w:t>committees of the Department of Public Works and Infrastructure</w:t>
      </w:r>
      <w:r w:rsidR="00C711B7" w:rsidRPr="00D9566D">
        <w:rPr>
          <w:rFonts w:ascii="Arial" w:eastAsia="Times New Roman" w:hAnsi="Arial" w:cs="Arial"/>
          <w:bCs/>
        </w:rPr>
        <w:t>,</w:t>
      </w:r>
      <w:r w:rsidR="0064097B" w:rsidRPr="00D9566D">
        <w:rPr>
          <w:rFonts w:ascii="Arial" w:eastAsia="Times New Roman" w:hAnsi="Arial" w:cs="Arial"/>
          <w:bCs/>
        </w:rPr>
        <w:t xml:space="preserve"> wh</w:t>
      </w:r>
      <w:r w:rsidR="00B40A35" w:rsidRPr="00D9566D">
        <w:rPr>
          <w:rFonts w:ascii="Arial" w:eastAsia="Times New Roman" w:hAnsi="Arial" w:cs="Arial"/>
          <w:bCs/>
        </w:rPr>
        <w:t>ereby it was disqualified</w:t>
      </w:r>
      <w:r w:rsidR="0064097B" w:rsidRPr="00D9566D">
        <w:rPr>
          <w:rFonts w:ascii="Arial" w:eastAsia="Times New Roman" w:hAnsi="Arial" w:cs="Arial"/>
          <w:bCs/>
        </w:rPr>
        <w:t xml:space="preserve"> </w:t>
      </w:r>
      <w:r w:rsidR="00264B38" w:rsidRPr="00D9566D">
        <w:rPr>
          <w:rFonts w:ascii="Arial" w:eastAsia="Times New Roman" w:hAnsi="Arial" w:cs="Arial"/>
          <w:bCs/>
        </w:rPr>
        <w:t xml:space="preserve">as a bidder </w:t>
      </w:r>
      <w:r w:rsidR="0064097B" w:rsidRPr="00D9566D">
        <w:rPr>
          <w:rFonts w:ascii="Arial" w:eastAsia="Times New Roman" w:hAnsi="Arial" w:cs="Arial"/>
          <w:bCs/>
        </w:rPr>
        <w:t xml:space="preserve">from </w:t>
      </w:r>
      <w:r w:rsidR="00B40A35" w:rsidRPr="00D9566D">
        <w:rPr>
          <w:rFonts w:ascii="Arial" w:eastAsia="Times New Roman" w:hAnsi="Arial" w:cs="Arial"/>
          <w:bCs/>
        </w:rPr>
        <w:t xml:space="preserve">tenders which were advertised </w:t>
      </w:r>
      <w:r w:rsidR="0064097B" w:rsidRPr="00D9566D">
        <w:rPr>
          <w:rFonts w:ascii="Arial" w:eastAsia="Times New Roman" w:hAnsi="Arial" w:cs="Arial"/>
          <w:bCs/>
        </w:rPr>
        <w:t xml:space="preserve">for the provision of safeguarding and protection services (tender CPT 9/22) and tactical services (tender CPT 10/22), </w:t>
      </w:r>
      <w:r w:rsidR="00264B38" w:rsidRPr="00D9566D">
        <w:rPr>
          <w:rFonts w:ascii="Arial" w:eastAsia="Times New Roman" w:hAnsi="Arial" w:cs="Arial"/>
          <w:bCs/>
        </w:rPr>
        <w:t>to</w:t>
      </w:r>
      <w:r w:rsidR="0064097B" w:rsidRPr="00D9566D">
        <w:rPr>
          <w:rFonts w:ascii="Arial" w:eastAsia="Times New Roman" w:hAnsi="Arial" w:cs="Arial"/>
          <w:bCs/>
        </w:rPr>
        <w:t xml:space="preserve"> </w:t>
      </w:r>
      <w:r w:rsidR="00C711B7" w:rsidRPr="00D9566D">
        <w:rPr>
          <w:rFonts w:ascii="Arial" w:eastAsia="Times New Roman" w:hAnsi="Arial" w:cs="Arial"/>
          <w:bCs/>
        </w:rPr>
        <w:t>S</w:t>
      </w:r>
      <w:r w:rsidR="0064097B" w:rsidRPr="00D9566D">
        <w:rPr>
          <w:rFonts w:ascii="Arial" w:eastAsia="Times New Roman" w:hAnsi="Arial" w:cs="Arial"/>
          <w:bCs/>
        </w:rPr>
        <w:t xml:space="preserve">tate properties in the Western Cape. </w:t>
      </w:r>
    </w:p>
    <w:p w14:paraId="684A5F51" w14:textId="6346D0EB" w:rsidR="0064097B" w:rsidRPr="00D9566D" w:rsidRDefault="00DE2B0F" w:rsidP="00D9566D">
      <w:pPr>
        <w:adjustRightInd w:val="0"/>
        <w:spacing w:after="0" w:line="240" w:lineRule="auto"/>
        <w:ind w:left="720" w:hanging="720"/>
        <w:contextualSpacing/>
        <w:jc w:val="both"/>
        <w:textAlignment w:val="baseline"/>
        <w:rPr>
          <w:rFonts w:ascii="Arial" w:hAnsi="Arial" w:cs="Arial"/>
          <w:b/>
        </w:rPr>
      </w:pPr>
      <w:r w:rsidRPr="00D9566D">
        <w:rPr>
          <w:rFonts w:ascii="Arial" w:hAnsi="Arial" w:cs="Arial"/>
          <w:b/>
        </w:rPr>
        <w:t>2.</w:t>
      </w:r>
      <w:r w:rsidRPr="00D9566D">
        <w:rPr>
          <w:rFonts w:ascii="Arial" w:hAnsi="Arial" w:cs="Arial"/>
          <w:b/>
        </w:rPr>
        <w:tab/>
      </w:r>
      <w:r w:rsidR="0064097B" w:rsidRPr="00D9566D">
        <w:rPr>
          <w:rFonts w:ascii="Arial" w:eastAsia="Times New Roman" w:hAnsi="Arial" w:cs="Arial"/>
          <w:bCs/>
        </w:rPr>
        <w:t>In tender CPT 9/22</w:t>
      </w:r>
      <w:r w:rsidR="00B40A35" w:rsidRPr="00D9566D">
        <w:rPr>
          <w:rFonts w:ascii="Arial" w:eastAsia="Times New Roman" w:hAnsi="Arial" w:cs="Arial"/>
          <w:bCs/>
        </w:rPr>
        <w:t>,</w:t>
      </w:r>
      <w:r w:rsidR="0064097B" w:rsidRPr="00D9566D">
        <w:rPr>
          <w:rFonts w:ascii="Arial" w:eastAsia="Times New Roman" w:hAnsi="Arial" w:cs="Arial"/>
          <w:bCs/>
        </w:rPr>
        <w:t xml:space="preserve"> which was advertised on 24 October 2022</w:t>
      </w:r>
      <w:r w:rsidR="00B40A35" w:rsidRPr="00D9566D">
        <w:rPr>
          <w:rFonts w:ascii="Arial" w:eastAsia="Times New Roman" w:hAnsi="Arial" w:cs="Arial"/>
          <w:bCs/>
        </w:rPr>
        <w:t>,</w:t>
      </w:r>
      <w:r w:rsidR="0064097B" w:rsidRPr="00D9566D">
        <w:rPr>
          <w:rFonts w:ascii="Arial" w:eastAsia="Times New Roman" w:hAnsi="Arial" w:cs="Arial"/>
          <w:bCs/>
        </w:rPr>
        <w:t xml:space="preserve"> the applicant was disqualified on 16 November 2022 on the basis that it had scored less than the requisite 50% minimum required for ‘functionality’. In tender CPT 10/22, which was advertised on 11 November 2022, the applicant was disqualified on </w:t>
      </w:r>
      <w:r w:rsidR="0036565D" w:rsidRPr="00D9566D">
        <w:rPr>
          <w:rFonts w:ascii="Arial" w:eastAsia="Times New Roman" w:hAnsi="Arial" w:cs="Arial"/>
          <w:bCs/>
        </w:rPr>
        <w:t xml:space="preserve">12 November 2022 on </w:t>
      </w:r>
      <w:r w:rsidR="0064097B" w:rsidRPr="00D9566D">
        <w:rPr>
          <w:rFonts w:ascii="Arial" w:eastAsia="Times New Roman" w:hAnsi="Arial" w:cs="Arial"/>
          <w:bCs/>
        </w:rPr>
        <w:t xml:space="preserve">the basis that its bid was non-responsive as it had failed to </w:t>
      </w:r>
      <w:r w:rsidR="00B40A35" w:rsidRPr="00D9566D">
        <w:rPr>
          <w:rFonts w:ascii="Arial" w:eastAsia="Times New Roman" w:hAnsi="Arial" w:cs="Arial"/>
          <w:bCs/>
        </w:rPr>
        <w:t>submit</w:t>
      </w:r>
      <w:r w:rsidR="0064097B" w:rsidRPr="00D9566D">
        <w:rPr>
          <w:rFonts w:ascii="Arial" w:eastAsia="Times New Roman" w:hAnsi="Arial" w:cs="Arial"/>
          <w:bCs/>
        </w:rPr>
        <w:t xml:space="preserve"> a copy of a valid registration certificate issued by the National Bargaining Council for the Private Security Sector (‘the NBC’)</w:t>
      </w:r>
      <w:r w:rsidR="00B40A35" w:rsidRPr="00D9566D">
        <w:rPr>
          <w:rFonts w:ascii="Arial" w:eastAsia="Times New Roman" w:hAnsi="Arial" w:cs="Arial"/>
          <w:bCs/>
        </w:rPr>
        <w:t>, together with its bid</w:t>
      </w:r>
      <w:r w:rsidR="0064097B" w:rsidRPr="00D9566D">
        <w:rPr>
          <w:rFonts w:ascii="Arial" w:eastAsia="Times New Roman" w:hAnsi="Arial" w:cs="Arial"/>
          <w:bCs/>
        </w:rPr>
        <w:t xml:space="preserve">. </w:t>
      </w:r>
    </w:p>
    <w:p w14:paraId="66B30777" w14:textId="76F8ECD6" w:rsidR="00491641" w:rsidRPr="00D9566D" w:rsidRDefault="00491641" w:rsidP="00D9566D">
      <w:pPr>
        <w:adjustRightInd w:val="0"/>
        <w:spacing w:after="0" w:line="240" w:lineRule="auto"/>
        <w:contextualSpacing/>
        <w:jc w:val="both"/>
        <w:textAlignment w:val="baseline"/>
        <w:rPr>
          <w:rFonts w:ascii="Arial" w:hAnsi="Arial" w:cs="Arial"/>
          <w:b/>
        </w:rPr>
      </w:pPr>
      <w:r w:rsidRPr="00D9566D">
        <w:rPr>
          <w:rFonts w:ascii="Arial" w:eastAsia="Times New Roman" w:hAnsi="Arial" w:cs="Arial"/>
          <w:b/>
        </w:rPr>
        <w:t xml:space="preserve">The </w:t>
      </w:r>
      <w:r w:rsidR="0064097B" w:rsidRPr="00D9566D">
        <w:rPr>
          <w:rFonts w:ascii="Arial" w:eastAsia="Times New Roman" w:hAnsi="Arial" w:cs="Arial"/>
          <w:b/>
        </w:rPr>
        <w:t>facts</w:t>
      </w:r>
      <w:r w:rsidRPr="00D9566D">
        <w:rPr>
          <w:rFonts w:ascii="Arial" w:eastAsia="Times New Roman" w:hAnsi="Arial" w:cs="Arial"/>
          <w:b/>
        </w:rPr>
        <w:t xml:space="preserve"> </w:t>
      </w:r>
    </w:p>
    <w:p w14:paraId="069BB0AD" w14:textId="7AE94D49" w:rsidR="0036565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3.</w:t>
      </w:r>
      <w:r w:rsidRPr="00D9566D">
        <w:rPr>
          <w:rFonts w:ascii="Arial" w:hAnsi="Arial" w:cs="Arial"/>
        </w:rPr>
        <w:tab/>
      </w:r>
      <w:r w:rsidR="0036565D" w:rsidRPr="00D9566D">
        <w:rPr>
          <w:rFonts w:ascii="Arial" w:hAnsi="Arial" w:cs="Arial"/>
        </w:rPr>
        <w:t xml:space="preserve">The matters before </w:t>
      </w:r>
      <w:r w:rsidR="00C711B7" w:rsidRPr="00D9566D">
        <w:rPr>
          <w:rFonts w:ascii="Arial" w:hAnsi="Arial" w:cs="Arial"/>
        </w:rPr>
        <w:t>Court are</w:t>
      </w:r>
      <w:r w:rsidR="0036565D" w:rsidRPr="00D9566D">
        <w:rPr>
          <w:rFonts w:ascii="Arial" w:hAnsi="Arial" w:cs="Arial"/>
        </w:rPr>
        <w:t xml:space="preserve"> two of six applications which were </w:t>
      </w:r>
      <w:r w:rsidR="00B40A35" w:rsidRPr="00D9566D">
        <w:rPr>
          <w:rFonts w:ascii="Arial" w:hAnsi="Arial" w:cs="Arial"/>
        </w:rPr>
        <w:t>launched by unsuccessful bidders</w:t>
      </w:r>
      <w:r w:rsidR="0036565D" w:rsidRPr="00D9566D">
        <w:rPr>
          <w:rFonts w:ascii="Arial" w:hAnsi="Arial" w:cs="Arial"/>
        </w:rPr>
        <w:t xml:space="preserve"> to challenge the award of the 2 tenders, which were set down </w:t>
      </w:r>
      <w:r w:rsidR="00B40A35" w:rsidRPr="00D9566D">
        <w:rPr>
          <w:rFonts w:ascii="Arial" w:hAnsi="Arial" w:cs="Arial"/>
        </w:rPr>
        <w:t>to be heard</w:t>
      </w:r>
      <w:r w:rsidR="0036565D" w:rsidRPr="00D9566D">
        <w:rPr>
          <w:rFonts w:ascii="Arial" w:hAnsi="Arial" w:cs="Arial"/>
        </w:rPr>
        <w:t xml:space="preserve"> on the same day. Four of these matters were removed </w:t>
      </w:r>
      <w:r w:rsidR="00935F65" w:rsidRPr="00D9566D">
        <w:rPr>
          <w:rFonts w:ascii="Arial" w:hAnsi="Arial" w:cs="Arial"/>
        </w:rPr>
        <w:t xml:space="preserve">shortly </w:t>
      </w:r>
      <w:r w:rsidR="00935F65" w:rsidRPr="00D9566D">
        <w:rPr>
          <w:rFonts w:ascii="Arial" w:hAnsi="Arial" w:cs="Arial"/>
        </w:rPr>
        <w:lastRenderedPageBreak/>
        <w:t xml:space="preserve">before they </w:t>
      </w:r>
      <w:r w:rsidR="0036565D" w:rsidRPr="00D9566D">
        <w:rPr>
          <w:rFonts w:ascii="Arial" w:hAnsi="Arial" w:cs="Arial"/>
        </w:rPr>
        <w:t xml:space="preserve">were </w:t>
      </w:r>
      <w:r w:rsidR="00935F65" w:rsidRPr="00D9566D">
        <w:rPr>
          <w:rFonts w:ascii="Arial" w:hAnsi="Arial" w:cs="Arial"/>
        </w:rPr>
        <w:t>t</w:t>
      </w:r>
      <w:r w:rsidR="0036565D" w:rsidRPr="00D9566D">
        <w:rPr>
          <w:rFonts w:ascii="Arial" w:hAnsi="Arial" w:cs="Arial"/>
        </w:rPr>
        <w:t>o be heard</w:t>
      </w:r>
      <w:r w:rsidR="00935F65" w:rsidRPr="00D9566D">
        <w:rPr>
          <w:rFonts w:ascii="Arial" w:hAnsi="Arial" w:cs="Arial"/>
        </w:rPr>
        <w:t>,</w:t>
      </w:r>
      <w:r w:rsidR="0036565D" w:rsidRPr="00D9566D">
        <w:rPr>
          <w:rFonts w:ascii="Arial" w:hAnsi="Arial" w:cs="Arial"/>
        </w:rPr>
        <w:t xml:space="preserve"> on the basis that they had either settled or </w:t>
      </w:r>
      <w:r w:rsidR="00935F65" w:rsidRPr="00D9566D">
        <w:rPr>
          <w:rFonts w:ascii="Arial" w:hAnsi="Arial" w:cs="Arial"/>
        </w:rPr>
        <w:t>were to be</w:t>
      </w:r>
      <w:r w:rsidR="0036565D" w:rsidRPr="00D9566D">
        <w:rPr>
          <w:rFonts w:ascii="Arial" w:hAnsi="Arial" w:cs="Arial"/>
        </w:rPr>
        <w:t xml:space="preserve"> postponed. In the </w:t>
      </w:r>
      <w:r w:rsidR="00935F65" w:rsidRPr="00D9566D">
        <w:rPr>
          <w:rFonts w:ascii="Arial" w:hAnsi="Arial" w:cs="Arial"/>
        </w:rPr>
        <w:t>two</w:t>
      </w:r>
      <w:r w:rsidR="0036565D" w:rsidRPr="00D9566D">
        <w:rPr>
          <w:rFonts w:ascii="Arial" w:hAnsi="Arial" w:cs="Arial"/>
        </w:rPr>
        <w:t xml:space="preserve"> matters </w:t>
      </w:r>
      <w:r w:rsidR="00D37397" w:rsidRPr="00D9566D">
        <w:rPr>
          <w:rFonts w:ascii="Arial" w:hAnsi="Arial" w:cs="Arial"/>
        </w:rPr>
        <w:t xml:space="preserve">for adjudication </w:t>
      </w:r>
      <w:r w:rsidR="0036565D" w:rsidRPr="00D9566D">
        <w:rPr>
          <w:rFonts w:ascii="Arial" w:hAnsi="Arial" w:cs="Arial"/>
        </w:rPr>
        <w:t>the 1</w:t>
      </w:r>
      <w:r w:rsidR="0036565D" w:rsidRPr="00D9566D">
        <w:rPr>
          <w:rFonts w:ascii="Arial" w:hAnsi="Arial" w:cs="Arial"/>
          <w:vertAlign w:val="superscript"/>
        </w:rPr>
        <w:t>st</w:t>
      </w:r>
      <w:r w:rsidR="0036565D" w:rsidRPr="00D9566D">
        <w:rPr>
          <w:rFonts w:ascii="Arial" w:hAnsi="Arial" w:cs="Arial"/>
        </w:rPr>
        <w:t xml:space="preserve"> to 3</w:t>
      </w:r>
      <w:r w:rsidR="0036565D" w:rsidRPr="00D9566D">
        <w:rPr>
          <w:rFonts w:ascii="Arial" w:hAnsi="Arial" w:cs="Arial"/>
          <w:vertAlign w:val="superscript"/>
        </w:rPr>
        <w:t>rd</w:t>
      </w:r>
      <w:r w:rsidR="0036565D" w:rsidRPr="00D9566D">
        <w:rPr>
          <w:rFonts w:ascii="Arial" w:hAnsi="Arial" w:cs="Arial"/>
        </w:rPr>
        <w:t xml:space="preserve"> respondents are the relevant State functionaries wh</w:t>
      </w:r>
      <w:r w:rsidR="00C711B7" w:rsidRPr="00D9566D">
        <w:rPr>
          <w:rFonts w:ascii="Arial" w:hAnsi="Arial" w:cs="Arial"/>
        </w:rPr>
        <w:t>o</w:t>
      </w:r>
      <w:r w:rsidR="0036565D" w:rsidRPr="00D9566D">
        <w:rPr>
          <w:rFonts w:ascii="Arial" w:hAnsi="Arial" w:cs="Arial"/>
        </w:rPr>
        <w:t xml:space="preserve"> were responsible for the tenders</w:t>
      </w:r>
      <w:r w:rsidR="00B40A35" w:rsidRPr="00D9566D">
        <w:rPr>
          <w:rFonts w:ascii="Arial" w:hAnsi="Arial" w:cs="Arial"/>
        </w:rPr>
        <w:t>,</w:t>
      </w:r>
      <w:r w:rsidR="0036565D" w:rsidRPr="00D9566D">
        <w:rPr>
          <w:rFonts w:ascii="Arial" w:hAnsi="Arial" w:cs="Arial"/>
        </w:rPr>
        <w:t xml:space="preserve"> and the remaining respondents </w:t>
      </w:r>
      <w:r w:rsidR="00935F65" w:rsidRPr="00D9566D">
        <w:rPr>
          <w:rFonts w:ascii="Arial" w:hAnsi="Arial" w:cs="Arial"/>
        </w:rPr>
        <w:t>a</w:t>
      </w:r>
      <w:r w:rsidR="0036565D" w:rsidRPr="00D9566D">
        <w:rPr>
          <w:rFonts w:ascii="Arial" w:hAnsi="Arial" w:cs="Arial"/>
        </w:rPr>
        <w:t>re the bidders to whom the tenders were awarded. None of the</w:t>
      </w:r>
      <w:r w:rsidR="00C711B7" w:rsidRPr="00D9566D">
        <w:rPr>
          <w:rFonts w:ascii="Arial" w:hAnsi="Arial" w:cs="Arial"/>
        </w:rPr>
        <w:t xml:space="preserve">se bidders </w:t>
      </w:r>
      <w:r w:rsidR="0036565D" w:rsidRPr="00D9566D">
        <w:rPr>
          <w:rFonts w:ascii="Arial" w:hAnsi="Arial" w:cs="Arial"/>
        </w:rPr>
        <w:t>sought to participate in the proceedings.</w:t>
      </w:r>
      <w:r w:rsidR="00603364" w:rsidRPr="00D9566D">
        <w:rPr>
          <w:rFonts w:ascii="Arial" w:hAnsi="Arial" w:cs="Arial"/>
        </w:rPr>
        <w:t xml:space="preserve"> In the circumstances where reference is made to ‘the respondents’ it is to be understood as a reference to the 1</w:t>
      </w:r>
      <w:r w:rsidR="00603364" w:rsidRPr="00D9566D">
        <w:rPr>
          <w:rFonts w:ascii="Arial" w:hAnsi="Arial" w:cs="Arial"/>
          <w:vertAlign w:val="superscript"/>
        </w:rPr>
        <w:t>st</w:t>
      </w:r>
      <w:r w:rsidR="00603364" w:rsidRPr="00D9566D">
        <w:rPr>
          <w:rFonts w:ascii="Arial" w:hAnsi="Arial" w:cs="Arial"/>
        </w:rPr>
        <w:t xml:space="preserve"> to 3</w:t>
      </w:r>
      <w:r w:rsidR="00603364" w:rsidRPr="00D9566D">
        <w:rPr>
          <w:rFonts w:ascii="Arial" w:hAnsi="Arial" w:cs="Arial"/>
          <w:vertAlign w:val="superscript"/>
        </w:rPr>
        <w:t>rd</w:t>
      </w:r>
      <w:r w:rsidR="00603364" w:rsidRPr="00D9566D">
        <w:rPr>
          <w:rFonts w:ascii="Arial" w:hAnsi="Arial" w:cs="Arial"/>
        </w:rPr>
        <w:t xml:space="preserve"> respondents. </w:t>
      </w:r>
    </w:p>
    <w:p w14:paraId="1727BCE0" w14:textId="5058D4D2" w:rsidR="00647504" w:rsidRPr="00D9566D" w:rsidRDefault="00DE2B0F" w:rsidP="00D9566D">
      <w:pPr>
        <w:adjustRightInd w:val="0"/>
        <w:spacing w:after="0" w:line="240" w:lineRule="auto"/>
        <w:ind w:left="1080" w:hanging="720"/>
        <w:jc w:val="both"/>
        <w:textAlignment w:val="baseline"/>
        <w:rPr>
          <w:rFonts w:ascii="Arial" w:hAnsi="Arial" w:cs="Arial"/>
          <w:u w:val="single"/>
        </w:rPr>
      </w:pPr>
      <w:r w:rsidRPr="00D9566D">
        <w:rPr>
          <w:rFonts w:ascii="Arial" w:hAnsi="Arial" w:cs="Arial"/>
        </w:rPr>
        <w:t>(i)</w:t>
      </w:r>
      <w:r w:rsidRPr="00D9566D">
        <w:rPr>
          <w:rFonts w:ascii="Arial" w:hAnsi="Arial" w:cs="Arial"/>
        </w:rPr>
        <w:tab/>
      </w:r>
      <w:r w:rsidR="00647504" w:rsidRPr="00D9566D">
        <w:rPr>
          <w:rFonts w:ascii="Arial" w:hAnsi="Arial" w:cs="Arial"/>
          <w:u w:val="single"/>
        </w:rPr>
        <w:t xml:space="preserve">The tender documentation </w:t>
      </w:r>
    </w:p>
    <w:p w14:paraId="4A47C236" w14:textId="69DF25C2" w:rsidR="00491641"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4.</w:t>
      </w:r>
      <w:r w:rsidRPr="00D9566D">
        <w:rPr>
          <w:rFonts w:ascii="Arial" w:hAnsi="Arial" w:cs="Arial"/>
        </w:rPr>
        <w:tab/>
      </w:r>
      <w:r w:rsidR="0036565D" w:rsidRPr="00D9566D">
        <w:rPr>
          <w:rFonts w:ascii="Arial" w:hAnsi="Arial" w:cs="Arial"/>
        </w:rPr>
        <w:t xml:space="preserve">The tender documentation </w:t>
      </w:r>
      <w:r w:rsidR="00B40A35" w:rsidRPr="00D9566D">
        <w:rPr>
          <w:rFonts w:ascii="Arial" w:hAnsi="Arial" w:cs="Arial"/>
        </w:rPr>
        <w:t>in both</w:t>
      </w:r>
      <w:r w:rsidR="00935F65" w:rsidRPr="00D9566D">
        <w:rPr>
          <w:rFonts w:ascii="Arial" w:hAnsi="Arial" w:cs="Arial"/>
        </w:rPr>
        <w:t xml:space="preserve"> matters is virtually identica</w:t>
      </w:r>
      <w:r w:rsidR="00B40A35" w:rsidRPr="00D9566D">
        <w:rPr>
          <w:rFonts w:ascii="Arial" w:hAnsi="Arial" w:cs="Arial"/>
        </w:rPr>
        <w:t>l.</w:t>
      </w:r>
      <w:r w:rsidR="00935F65" w:rsidRPr="00D9566D">
        <w:rPr>
          <w:rFonts w:ascii="Arial" w:hAnsi="Arial" w:cs="Arial"/>
        </w:rPr>
        <w:t xml:space="preserve"> </w:t>
      </w:r>
      <w:r w:rsidR="00B40A35" w:rsidRPr="00D9566D">
        <w:rPr>
          <w:rFonts w:ascii="Arial" w:hAnsi="Arial" w:cs="Arial"/>
        </w:rPr>
        <w:t>It</w:t>
      </w:r>
      <w:r w:rsidR="00935F65" w:rsidRPr="00D9566D">
        <w:rPr>
          <w:rFonts w:ascii="Arial" w:hAnsi="Arial" w:cs="Arial"/>
        </w:rPr>
        <w:t xml:space="preserve"> consist</w:t>
      </w:r>
      <w:r w:rsidR="00B40A35" w:rsidRPr="00D9566D">
        <w:rPr>
          <w:rFonts w:ascii="Arial" w:hAnsi="Arial" w:cs="Arial"/>
        </w:rPr>
        <w:t>s</w:t>
      </w:r>
      <w:r w:rsidR="00935F65" w:rsidRPr="00D9566D">
        <w:rPr>
          <w:rFonts w:ascii="Arial" w:hAnsi="Arial" w:cs="Arial"/>
        </w:rPr>
        <w:t xml:space="preserve"> of a </w:t>
      </w:r>
      <w:r w:rsidR="00B40A35" w:rsidRPr="00D9566D">
        <w:rPr>
          <w:rFonts w:ascii="Arial" w:hAnsi="Arial" w:cs="Arial"/>
        </w:rPr>
        <w:t>N</w:t>
      </w:r>
      <w:r w:rsidR="00935F65" w:rsidRPr="00D9566D">
        <w:rPr>
          <w:rFonts w:ascii="Arial" w:hAnsi="Arial" w:cs="Arial"/>
        </w:rPr>
        <w:t xml:space="preserve">otice and </w:t>
      </w:r>
      <w:r w:rsidR="00B40A35" w:rsidRPr="00D9566D">
        <w:rPr>
          <w:rFonts w:ascii="Arial" w:hAnsi="Arial" w:cs="Arial"/>
        </w:rPr>
        <w:t>I</w:t>
      </w:r>
      <w:r w:rsidR="00935F65" w:rsidRPr="00D9566D">
        <w:rPr>
          <w:rFonts w:ascii="Arial" w:hAnsi="Arial" w:cs="Arial"/>
        </w:rPr>
        <w:t xml:space="preserve">nvitation to </w:t>
      </w:r>
      <w:r w:rsidR="00B40A35" w:rsidRPr="00D9566D">
        <w:rPr>
          <w:rFonts w:ascii="Arial" w:hAnsi="Arial" w:cs="Arial"/>
        </w:rPr>
        <w:t>B</w:t>
      </w:r>
      <w:r w:rsidR="00935F65" w:rsidRPr="00D9566D">
        <w:rPr>
          <w:rFonts w:ascii="Arial" w:hAnsi="Arial" w:cs="Arial"/>
        </w:rPr>
        <w:t>id (</w:t>
      </w:r>
      <w:r w:rsidR="00B40A35" w:rsidRPr="00D9566D">
        <w:rPr>
          <w:rFonts w:ascii="Arial" w:hAnsi="Arial" w:cs="Arial"/>
        </w:rPr>
        <w:t>‘</w:t>
      </w:r>
      <w:r w:rsidR="00935F65" w:rsidRPr="00D9566D">
        <w:rPr>
          <w:rFonts w:ascii="Arial" w:hAnsi="Arial" w:cs="Arial"/>
        </w:rPr>
        <w:t>Part A</w:t>
      </w:r>
      <w:r w:rsidR="00B40A35" w:rsidRPr="00D9566D">
        <w:rPr>
          <w:rFonts w:ascii="Arial" w:hAnsi="Arial" w:cs="Arial"/>
        </w:rPr>
        <w:t>’</w:t>
      </w:r>
      <w:r w:rsidR="00935F65" w:rsidRPr="00D9566D">
        <w:rPr>
          <w:rFonts w:ascii="Arial" w:hAnsi="Arial" w:cs="Arial"/>
        </w:rPr>
        <w:t>) and the terms and conditions which are applicable (</w:t>
      </w:r>
      <w:r w:rsidR="00B40A35" w:rsidRPr="00D9566D">
        <w:rPr>
          <w:rFonts w:ascii="Arial" w:hAnsi="Arial" w:cs="Arial"/>
        </w:rPr>
        <w:t>‘</w:t>
      </w:r>
      <w:r w:rsidR="00935F65" w:rsidRPr="00D9566D">
        <w:rPr>
          <w:rFonts w:ascii="Arial" w:hAnsi="Arial" w:cs="Arial"/>
        </w:rPr>
        <w:t>Part</w:t>
      </w:r>
      <w:r w:rsidR="00B40A35" w:rsidRPr="00D9566D">
        <w:rPr>
          <w:rFonts w:ascii="Arial" w:hAnsi="Arial" w:cs="Arial"/>
        </w:rPr>
        <w:t xml:space="preserve"> </w:t>
      </w:r>
      <w:r w:rsidR="00935F65" w:rsidRPr="00D9566D">
        <w:rPr>
          <w:rFonts w:ascii="Arial" w:hAnsi="Arial" w:cs="Arial"/>
        </w:rPr>
        <w:t>B</w:t>
      </w:r>
      <w:r w:rsidR="00B40A35" w:rsidRPr="00D9566D">
        <w:rPr>
          <w:rFonts w:ascii="Arial" w:hAnsi="Arial" w:cs="Arial"/>
        </w:rPr>
        <w:t>’</w:t>
      </w:r>
      <w:r w:rsidR="00935F65" w:rsidRPr="00D9566D">
        <w:rPr>
          <w:rFonts w:ascii="Arial" w:hAnsi="Arial" w:cs="Arial"/>
        </w:rPr>
        <w:t xml:space="preserve">), including so-called ‘terms of reference’ and </w:t>
      </w:r>
      <w:r w:rsidR="00B40A35" w:rsidRPr="00D9566D">
        <w:rPr>
          <w:rFonts w:ascii="Arial" w:hAnsi="Arial" w:cs="Arial"/>
        </w:rPr>
        <w:t>‘</w:t>
      </w:r>
      <w:r w:rsidR="00935F65" w:rsidRPr="00D9566D">
        <w:rPr>
          <w:rFonts w:ascii="Arial" w:hAnsi="Arial" w:cs="Arial"/>
        </w:rPr>
        <w:t>special conditions</w:t>
      </w:r>
      <w:r w:rsidR="00B40A35" w:rsidRPr="00D9566D">
        <w:rPr>
          <w:rFonts w:ascii="Arial" w:hAnsi="Arial" w:cs="Arial"/>
        </w:rPr>
        <w:t>’</w:t>
      </w:r>
      <w:r w:rsidR="00935F65" w:rsidRPr="00D9566D">
        <w:rPr>
          <w:rFonts w:ascii="Arial" w:hAnsi="Arial" w:cs="Arial"/>
        </w:rPr>
        <w:t xml:space="preserve">, </w:t>
      </w:r>
      <w:r w:rsidR="00B40A35" w:rsidRPr="00D9566D">
        <w:rPr>
          <w:rFonts w:ascii="Arial" w:hAnsi="Arial" w:cs="Arial"/>
        </w:rPr>
        <w:t xml:space="preserve">together with </w:t>
      </w:r>
      <w:r w:rsidR="00935F65" w:rsidRPr="00D9566D">
        <w:rPr>
          <w:rFonts w:ascii="Arial" w:hAnsi="Arial" w:cs="Arial"/>
        </w:rPr>
        <w:t xml:space="preserve">the relevant forms which bidders were required to complete </w:t>
      </w:r>
      <w:r w:rsidR="00B40A35" w:rsidRPr="00D9566D">
        <w:rPr>
          <w:rFonts w:ascii="Arial" w:hAnsi="Arial" w:cs="Arial"/>
        </w:rPr>
        <w:t>and submit</w:t>
      </w:r>
      <w:r w:rsidR="00935F65" w:rsidRPr="00D9566D">
        <w:rPr>
          <w:rFonts w:ascii="Arial" w:hAnsi="Arial" w:cs="Arial"/>
        </w:rPr>
        <w:t xml:space="preserve">. </w:t>
      </w:r>
    </w:p>
    <w:p w14:paraId="69DC6C11" w14:textId="06C90C07" w:rsidR="00935F65"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5.</w:t>
      </w:r>
      <w:r w:rsidRPr="00D9566D">
        <w:rPr>
          <w:rFonts w:ascii="Arial" w:hAnsi="Arial" w:cs="Arial"/>
        </w:rPr>
        <w:tab/>
      </w:r>
      <w:r w:rsidR="00935F65" w:rsidRPr="00D9566D">
        <w:rPr>
          <w:rFonts w:ascii="Arial" w:hAnsi="Arial" w:cs="Arial"/>
        </w:rPr>
        <w:t xml:space="preserve">On the </w:t>
      </w:r>
      <w:r w:rsidR="00B40A35" w:rsidRPr="00D9566D">
        <w:rPr>
          <w:rFonts w:ascii="Arial" w:hAnsi="Arial" w:cs="Arial"/>
        </w:rPr>
        <w:t>first</w:t>
      </w:r>
      <w:r w:rsidR="00935F65" w:rsidRPr="00D9566D">
        <w:rPr>
          <w:rFonts w:ascii="Arial" w:hAnsi="Arial" w:cs="Arial"/>
        </w:rPr>
        <w:t xml:space="preserve"> page of </w:t>
      </w:r>
      <w:r w:rsidR="00B40A35" w:rsidRPr="00D9566D">
        <w:rPr>
          <w:rFonts w:ascii="Arial" w:hAnsi="Arial" w:cs="Arial"/>
        </w:rPr>
        <w:t>t</w:t>
      </w:r>
      <w:r w:rsidR="00935F65" w:rsidRPr="00D9566D">
        <w:rPr>
          <w:rFonts w:ascii="Arial" w:hAnsi="Arial" w:cs="Arial"/>
        </w:rPr>
        <w:t>h</w:t>
      </w:r>
      <w:r w:rsidR="00B40A35" w:rsidRPr="00D9566D">
        <w:rPr>
          <w:rFonts w:ascii="Arial" w:hAnsi="Arial" w:cs="Arial"/>
        </w:rPr>
        <w:t>e N</w:t>
      </w:r>
      <w:r w:rsidR="00935F65" w:rsidRPr="00D9566D">
        <w:rPr>
          <w:rFonts w:ascii="Arial" w:hAnsi="Arial" w:cs="Arial"/>
        </w:rPr>
        <w:t xml:space="preserve">otice and </w:t>
      </w:r>
      <w:r w:rsidR="00B40A35" w:rsidRPr="00D9566D">
        <w:rPr>
          <w:rFonts w:ascii="Arial" w:hAnsi="Arial" w:cs="Arial"/>
        </w:rPr>
        <w:t>I</w:t>
      </w:r>
      <w:r w:rsidR="00935F65" w:rsidRPr="00D9566D">
        <w:rPr>
          <w:rFonts w:ascii="Arial" w:hAnsi="Arial" w:cs="Arial"/>
        </w:rPr>
        <w:t xml:space="preserve">nvitation to </w:t>
      </w:r>
      <w:r w:rsidR="00B40A35" w:rsidRPr="00D9566D">
        <w:rPr>
          <w:rFonts w:ascii="Arial" w:hAnsi="Arial" w:cs="Arial"/>
        </w:rPr>
        <w:t>B</w:t>
      </w:r>
      <w:r w:rsidR="00935F65" w:rsidRPr="00D9566D">
        <w:rPr>
          <w:rFonts w:ascii="Arial" w:hAnsi="Arial" w:cs="Arial"/>
        </w:rPr>
        <w:t xml:space="preserve">id bidders were informed, at the outset, that only those who were </w:t>
      </w:r>
      <w:r w:rsidR="00B40A35" w:rsidRPr="00D9566D">
        <w:rPr>
          <w:rFonts w:ascii="Arial" w:hAnsi="Arial" w:cs="Arial"/>
        </w:rPr>
        <w:t>‘</w:t>
      </w:r>
      <w:r w:rsidR="00935F65" w:rsidRPr="00D9566D">
        <w:rPr>
          <w:rFonts w:ascii="Arial" w:hAnsi="Arial" w:cs="Arial"/>
        </w:rPr>
        <w:t>responsive</w:t>
      </w:r>
      <w:r w:rsidR="00B40A35" w:rsidRPr="00D9566D">
        <w:rPr>
          <w:rFonts w:ascii="Arial" w:hAnsi="Arial" w:cs="Arial"/>
        </w:rPr>
        <w:t>’</w:t>
      </w:r>
      <w:r w:rsidR="00935F65" w:rsidRPr="00D9566D">
        <w:rPr>
          <w:rFonts w:ascii="Arial" w:hAnsi="Arial" w:cs="Arial"/>
        </w:rPr>
        <w:t xml:space="preserve"> to certain criteria which were stipulated would be eligible</w:t>
      </w:r>
      <w:r w:rsidR="002E3155" w:rsidRPr="00D9566D">
        <w:rPr>
          <w:rFonts w:ascii="Arial" w:hAnsi="Arial" w:cs="Arial"/>
        </w:rPr>
        <w:t xml:space="preserve"> for consideration</w:t>
      </w:r>
      <w:r w:rsidR="00935F65" w:rsidRPr="00D9566D">
        <w:rPr>
          <w:rFonts w:ascii="Arial" w:hAnsi="Arial" w:cs="Arial"/>
        </w:rPr>
        <w:t xml:space="preserve">. In this regard amongst the </w:t>
      </w:r>
      <w:r w:rsidR="002E3155" w:rsidRPr="00D9566D">
        <w:rPr>
          <w:rFonts w:ascii="Arial" w:hAnsi="Arial" w:cs="Arial"/>
        </w:rPr>
        <w:t xml:space="preserve">‘responsiveness’ </w:t>
      </w:r>
      <w:r w:rsidR="00935F65" w:rsidRPr="00D9566D">
        <w:rPr>
          <w:rFonts w:ascii="Arial" w:hAnsi="Arial" w:cs="Arial"/>
        </w:rPr>
        <w:t>criteria listed were requirements pertaining to the lodging and submission of a host of documents</w:t>
      </w:r>
      <w:r w:rsidR="002E3155" w:rsidRPr="00D9566D">
        <w:rPr>
          <w:rFonts w:ascii="Arial" w:hAnsi="Arial" w:cs="Arial"/>
        </w:rPr>
        <w:t>,</w:t>
      </w:r>
      <w:r w:rsidR="00935F65" w:rsidRPr="00D9566D">
        <w:rPr>
          <w:rFonts w:ascii="Arial" w:hAnsi="Arial" w:cs="Arial"/>
        </w:rPr>
        <w:t xml:space="preserve"> including so-called ‘compulsory returnable’ documents</w:t>
      </w:r>
      <w:r w:rsidR="00C711B7" w:rsidRPr="00D9566D">
        <w:rPr>
          <w:rFonts w:ascii="Arial" w:hAnsi="Arial" w:cs="Arial"/>
        </w:rPr>
        <w:t xml:space="preserve"> to be</w:t>
      </w:r>
      <w:r w:rsidR="00935F65" w:rsidRPr="00D9566D">
        <w:rPr>
          <w:rFonts w:ascii="Arial" w:hAnsi="Arial" w:cs="Arial"/>
        </w:rPr>
        <w:t xml:space="preserve"> set out on form DPW-09</w:t>
      </w:r>
      <w:r w:rsidR="002E3155" w:rsidRPr="00D9566D">
        <w:rPr>
          <w:rFonts w:ascii="Arial" w:hAnsi="Arial" w:cs="Arial"/>
        </w:rPr>
        <w:t>, and</w:t>
      </w:r>
      <w:r w:rsidR="00935F65" w:rsidRPr="00D9566D">
        <w:rPr>
          <w:rFonts w:ascii="Arial" w:hAnsi="Arial" w:cs="Arial"/>
        </w:rPr>
        <w:t xml:space="preserve"> copies of </w:t>
      </w:r>
      <w:r w:rsidR="00C711B7" w:rsidRPr="00D9566D">
        <w:rPr>
          <w:rFonts w:ascii="Arial" w:hAnsi="Arial" w:cs="Arial"/>
        </w:rPr>
        <w:t xml:space="preserve">several </w:t>
      </w:r>
      <w:r w:rsidR="00935F65" w:rsidRPr="00D9566D">
        <w:rPr>
          <w:rFonts w:ascii="Arial" w:hAnsi="Arial" w:cs="Arial"/>
        </w:rPr>
        <w:t>valid registration certificates</w:t>
      </w:r>
      <w:r w:rsidR="002E3155" w:rsidRPr="00D9566D">
        <w:rPr>
          <w:rFonts w:ascii="Arial" w:hAnsi="Arial" w:cs="Arial"/>
        </w:rPr>
        <w:t xml:space="preserve">, </w:t>
      </w:r>
      <w:r w:rsidR="002E3155" w:rsidRPr="00D9566D">
        <w:rPr>
          <w:rFonts w:ascii="Arial" w:hAnsi="Arial" w:cs="Arial"/>
          <w:i/>
          <w:iCs/>
        </w:rPr>
        <w:t>inter alia</w:t>
      </w:r>
      <w:r w:rsidR="002E3155" w:rsidRPr="00D9566D">
        <w:rPr>
          <w:rFonts w:ascii="Arial" w:hAnsi="Arial" w:cs="Arial"/>
        </w:rPr>
        <w:t xml:space="preserve"> </w:t>
      </w:r>
      <w:r w:rsidR="00935F65" w:rsidRPr="00D9566D">
        <w:rPr>
          <w:rFonts w:ascii="Arial" w:hAnsi="Arial" w:cs="Arial"/>
        </w:rPr>
        <w:t>from the NBC and the PSIRA (</w:t>
      </w:r>
      <w:r w:rsidR="002E3155" w:rsidRPr="00D9566D">
        <w:rPr>
          <w:rFonts w:ascii="Arial" w:hAnsi="Arial" w:cs="Arial"/>
        </w:rPr>
        <w:t>the P</w:t>
      </w:r>
      <w:r w:rsidR="00935F65" w:rsidRPr="00D9566D">
        <w:rPr>
          <w:rFonts w:ascii="Arial" w:hAnsi="Arial" w:cs="Arial"/>
        </w:rPr>
        <w:t xml:space="preserve">rivate </w:t>
      </w:r>
      <w:r w:rsidR="002E3155" w:rsidRPr="00D9566D">
        <w:rPr>
          <w:rFonts w:ascii="Arial" w:hAnsi="Arial" w:cs="Arial"/>
        </w:rPr>
        <w:t>S</w:t>
      </w:r>
      <w:r w:rsidR="00935F65" w:rsidRPr="00D9566D">
        <w:rPr>
          <w:rFonts w:ascii="Arial" w:hAnsi="Arial" w:cs="Arial"/>
        </w:rPr>
        <w:t xml:space="preserve">ecurity </w:t>
      </w:r>
      <w:r w:rsidR="002E3155" w:rsidRPr="00D9566D">
        <w:rPr>
          <w:rFonts w:ascii="Arial" w:hAnsi="Arial" w:cs="Arial"/>
        </w:rPr>
        <w:t>I</w:t>
      </w:r>
      <w:r w:rsidR="00935F65" w:rsidRPr="00D9566D">
        <w:rPr>
          <w:rFonts w:ascii="Arial" w:hAnsi="Arial" w:cs="Arial"/>
        </w:rPr>
        <w:t xml:space="preserve">ndustry </w:t>
      </w:r>
      <w:r w:rsidR="002E3155" w:rsidRPr="00D9566D">
        <w:rPr>
          <w:rFonts w:ascii="Arial" w:hAnsi="Arial" w:cs="Arial"/>
        </w:rPr>
        <w:t>R</w:t>
      </w:r>
      <w:r w:rsidR="00935F65" w:rsidRPr="00D9566D">
        <w:rPr>
          <w:rFonts w:ascii="Arial" w:hAnsi="Arial" w:cs="Arial"/>
        </w:rPr>
        <w:t xml:space="preserve">egulatory </w:t>
      </w:r>
      <w:r w:rsidR="002E3155" w:rsidRPr="00D9566D">
        <w:rPr>
          <w:rFonts w:ascii="Arial" w:hAnsi="Arial" w:cs="Arial"/>
        </w:rPr>
        <w:t>A</w:t>
      </w:r>
      <w:r w:rsidR="00935F65" w:rsidRPr="00D9566D">
        <w:rPr>
          <w:rFonts w:ascii="Arial" w:hAnsi="Arial" w:cs="Arial"/>
        </w:rPr>
        <w:t>uthority).</w:t>
      </w:r>
    </w:p>
    <w:p w14:paraId="64AAC837" w14:textId="3EE58917" w:rsidR="002E3155"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6.</w:t>
      </w:r>
      <w:r w:rsidRPr="00D9566D">
        <w:rPr>
          <w:rFonts w:ascii="Arial" w:hAnsi="Arial" w:cs="Arial"/>
        </w:rPr>
        <w:tab/>
      </w:r>
      <w:r w:rsidR="002E3155" w:rsidRPr="00D9566D">
        <w:rPr>
          <w:rFonts w:ascii="Arial" w:hAnsi="Arial" w:cs="Arial"/>
        </w:rPr>
        <w:t>In addition, t</w:t>
      </w:r>
      <w:r w:rsidR="00935F65" w:rsidRPr="00D9566D">
        <w:rPr>
          <w:rFonts w:ascii="Arial" w:hAnsi="Arial" w:cs="Arial"/>
        </w:rPr>
        <w:t>he</w:t>
      </w:r>
      <w:r w:rsidR="002E3155" w:rsidRPr="00D9566D">
        <w:rPr>
          <w:rFonts w:ascii="Arial" w:hAnsi="Arial" w:cs="Arial"/>
        </w:rPr>
        <w:t xml:space="preserve"> Notice and I</w:t>
      </w:r>
      <w:r w:rsidR="00935F65" w:rsidRPr="00D9566D">
        <w:rPr>
          <w:rFonts w:ascii="Arial" w:hAnsi="Arial" w:cs="Arial"/>
        </w:rPr>
        <w:t xml:space="preserve">nvitation to </w:t>
      </w:r>
      <w:r w:rsidR="002E3155" w:rsidRPr="00D9566D">
        <w:rPr>
          <w:rFonts w:ascii="Arial" w:hAnsi="Arial" w:cs="Arial"/>
        </w:rPr>
        <w:t>B</w:t>
      </w:r>
      <w:r w:rsidR="00935F65" w:rsidRPr="00D9566D">
        <w:rPr>
          <w:rFonts w:ascii="Arial" w:hAnsi="Arial" w:cs="Arial"/>
        </w:rPr>
        <w:t>id informed bidders that the</w:t>
      </w:r>
      <w:r w:rsidR="002E3155" w:rsidRPr="00D9566D">
        <w:rPr>
          <w:rFonts w:ascii="Arial" w:hAnsi="Arial" w:cs="Arial"/>
        </w:rPr>
        <w:t>y</w:t>
      </w:r>
      <w:r w:rsidR="00935F65" w:rsidRPr="00D9566D">
        <w:rPr>
          <w:rFonts w:ascii="Arial" w:hAnsi="Arial" w:cs="Arial"/>
        </w:rPr>
        <w:t xml:space="preserve"> were to comply with</w:t>
      </w:r>
      <w:r w:rsidR="002E3155" w:rsidRPr="00D9566D">
        <w:rPr>
          <w:rFonts w:ascii="Arial" w:hAnsi="Arial" w:cs="Arial"/>
        </w:rPr>
        <w:t xml:space="preserve"> a range of </w:t>
      </w:r>
      <w:r w:rsidR="00935F65" w:rsidRPr="00D9566D">
        <w:rPr>
          <w:rFonts w:ascii="Arial" w:hAnsi="Arial" w:cs="Arial"/>
        </w:rPr>
        <w:t xml:space="preserve"> ‘pre</w:t>
      </w:r>
      <w:r w:rsidR="002E3155" w:rsidRPr="00D9566D">
        <w:rPr>
          <w:rFonts w:ascii="Arial" w:hAnsi="Arial" w:cs="Arial"/>
        </w:rPr>
        <w:t>-q</w:t>
      </w:r>
      <w:r w:rsidR="00935F65" w:rsidRPr="00D9566D">
        <w:rPr>
          <w:rFonts w:ascii="Arial" w:hAnsi="Arial" w:cs="Arial"/>
        </w:rPr>
        <w:t>ualification</w:t>
      </w:r>
      <w:r w:rsidR="002E3155" w:rsidRPr="00D9566D">
        <w:rPr>
          <w:rFonts w:ascii="Arial" w:hAnsi="Arial" w:cs="Arial"/>
        </w:rPr>
        <w:t>’</w:t>
      </w:r>
      <w:r w:rsidR="00935F65" w:rsidRPr="00D9566D">
        <w:rPr>
          <w:rFonts w:ascii="Arial" w:hAnsi="Arial" w:cs="Arial"/>
        </w:rPr>
        <w:t xml:space="preserve"> criteria which pertained to their B-B</w:t>
      </w:r>
      <w:r w:rsidR="001D48D7" w:rsidRPr="00D9566D">
        <w:rPr>
          <w:rFonts w:ascii="Arial" w:hAnsi="Arial" w:cs="Arial"/>
        </w:rPr>
        <w:t>B</w:t>
      </w:r>
      <w:r w:rsidR="00935F65" w:rsidRPr="00D9566D">
        <w:rPr>
          <w:rFonts w:ascii="Arial" w:hAnsi="Arial" w:cs="Arial"/>
        </w:rPr>
        <w:t>EE status and their ‘functionality’</w:t>
      </w:r>
      <w:r w:rsidR="002E3155" w:rsidRPr="00D9566D">
        <w:rPr>
          <w:rFonts w:ascii="Arial" w:hAnsi="Arial" w:cs="Arial"/>
        </w:rPr>
        <w:t>,</w:t>
      </w:r>
      <w:r w:rsidR="00935F65" w:rsidRPr="00D9566D">
        <w:rPr>
          <w:rFonts w:ascii="Arial" w:hAnsi="Arial" w:cs="Arial"/>
        </w:rPr>
        <w:t xml:space="preserve"> which would be used to establish </w:t>
      </w:r>
      <w:r w:rsidR="002E3155" w:rsidRPr="00D9566D">
        <w:rPr>
          <w:rFonts w:ascii="Arial" w:hAnsi="Arial" w:cs="Arial"/>
        </w:rPr>
        <w:t>‘</w:t>
      </w:r>
      <w:r w:rsidR="00935F65" w:rsidRPr="00D9566D">
        <w:rPr>
          <w:rFonts w:ascii="Arial" w:hAnsi="Arial" w:cs="Arial"/>
        </w:rPr>
        <w:t>minimum qualifying</w:t>
      </w:r>
      <w:r w:rsidR="002E3155" w:rsidRPr="00D9566D">
        <w:rPr>
          <w:rFonts w:ascii="Arial" w:hAnsi="Arial" w:cs="Arial"/>
        </w:rPr>
        <w:t>’</w:t>
      </w:r>
      <w:r w:rsidR="00935F65" w:rsidRPr="00D9566D">
        <w:rPr>
          <w:rFonts w:ascii="Arial" w:hAnsi="Arial" w:cs="Arial"/>
        </w:rPr>
        <w:t xml:space="preserve"> requirements, whereafter the bids </w:t>
      </w:r>
      <w:r w:rsidR="002E3155" w:rsidRPr="00D9566D">
        <w:rPr>
          <w:rFonts w:ascii="Arial" w:hAnsi="Arial" w:cs="Arial"/>
        </w:rPr>
        <w:t xml:space="preserve">they had </w:t>
      </w:r>
      <w:r w:rsidR="00935F65" w:rsidRPr="00D9566D">
        <w:rPr>
          <w:rFonts w:ascii="Arial" w:hAnsi="Arial" w:cs="Arial"/>
        </w:rPr>
        <w:t xml:space="preserve">submitted would be evaluated on the basis of price and preference in accordance with the 80/20 </w:t>
      </w:r>
      <w:r w:rsidR="002E3155" w:rsidRPr="00D9566D">
        <w:rPr>
          <w:rFonts w:ascii="Arial" w:hAnsi="Arial" w:cs="Arial"/>
        </w:rPr>
        <w:t>formula</w:t>
      </w:r>
      <w:r w:rsidR="00935F65" w:rsidRPr="00D9566D">
        <w:rPr>
          <w:rFonts w:ascii="Arial" w:hAnsi="Arial" w:cs="Arial"/>
        </w:rPr>
        <w:t xml:space="preserve"> applicable (</w:t>
      </w:r>
      <w:r w:rsidR="002E3155" w:rsidRPr="00D9566D">
        <w:rPr>
          <w:rFonts w:ascii="Arial" w:hAnsi="Arial" w:cs="Arial"/>
        </w:rPr>
        <w:t xml:space="preserve">as </w:t>
      </w:r>
      <w:r w:rsidR="00935F65" w:rsidRPr="00D9566D">
        <w:rPr>
          <w:rFonts w:ascii="Arial" w:hAnsi="Arial" w:cs="Arial"/>
        </w:rPr>
        <w:t xml:space="preserve">the tender value was below R 50 million). </w:t>
      </w:r>
    </w:p>
    <w:p w14:paraId="0AFDCF34" w14:textId="23779D98" w:rsidR="002E3155"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7.</w:t>
      </w:r>
      <w:r w:rsidRPr="00D9566D">
        <w:rPr>
          <w:rFonts w:ascii="Arial" w:hAnsi="Arial" w:cs="Arial"/>
        </w:rPr>
        <w:tab/>
      </w:r>
      <w:r w:rsidR="00935F65" w:rsidRPr="00D9566D">
        <w:rPr>
          <w:rFonts w:ascii="Arial" w:hAnsi="Arial" w:cs="Arial"/>
        </w:rPr>
        <w:t>‘Functionality’ w</w:t>
      </w:r>
      <w:r w:rsidR="00A12A88" w:rsidRPr="00D9566D">
        <w:rPr>
          <w:rFonts w:ascii="Arial" w:hAnsi="Arial" w:cs="Arial"/>
        </w:rPr>
        <w:t xml:space="preserve">as to </w:t>
      </w:r>
      <w:r w:rsidR="00935F65" w:rsidRPr="00D9566D">
        <w:rPr>
          <w:rFonts w:ascii="Arial" w:hAnsi="Arial" w:cs="Arial"/>
        </w:rPr>
        <w:t xml:space="preserve">be scored out of a total of </w:t>
      </w:r>
      <w:r w:rsidR="002E3155" w:rsidRPr="00D9566D">
        <w:rPr>
          <w:rFonts w:ascii="Arial" w:hAnsi="Arial" w:cs="Arial"/>
        </w:rPr>
        <w:t xml:space="preserve">100 </w:t>
      </w:r>
      <w:r w:rsidR="00935F65" w:rsidRPr="00D9566D">
        <w:rPr>
          <w:rFonts w:ascii="Arial" w:hAnsi="Arial" w:cs="Arial"/>
        </w:rPr>
        <w:t>points</w:t>
      </w:r>
      <w:r w:rsidR="00A12A88" w:rsidRPr="00D9566D">
        <w:rPr>
          <w:rFonts w:ascii="Arial" w:hAnsi="Arial" w:cs="Arial"/>
        </w:rPr>
        <w:t>, and</w:t>
      </w:r>
      <w:r w:rsidR="002E3155" w:rsidRPr="00D9566D">
        <w:rPr>
          <w:rFonts w:ascii="Arial" w:hAnsi="Arial" w:cs="Arial"/>
        </w:rPr>
        <w:t xml:space="preserve"> to qualify on this aspect bidders would have to obtain 50% </w:t>
      </w:r>
      <w:r w:rsidR="00A12A88" w:rsidRPr="00D9566D">
        <w:rPr>
          <w:rFonts w:ascii="Arial" w:hAnsi="Arial" w:cs="Arial"/>
        </w:rPr>
        <w:t>there</w:t>
      </w:r>
      <w:r w:rsidR="002E3155" w:rsidRPr="00D9566D">
        <w:rPr>
          <w:rFonts w:ascii="Arial" w:hAnsi="Arial" w:cs="Arial"/>
        </w:rPr>
        <w:t>of i.e. 50 points.</w:t>
      </w:r>
      <w:r w:rsidR="00A12A88" w:rsidRPr="00D9566D">
        <w:rPr>
          <w:rFonts w:ascii="Arial" w:hAnsi="Arial" w:cs="Arial"/>
        </w:rPr>
        <w:t xml:space="preserve"> The points break-down </w:t>
      </w:r>
      <w:r w:rsidR="003B7F78" w:rsidRPr="00D9566D">
        <w:rPr>
          <w:rFonts w:ascii="Arial" w:hAnsi="Arial" w:cs="Arial"/>
        </w:rPr>
        <w:t>were</w:t>
      </w:r>
      <w:r w:rsidR="00A12A88" w:rsidRPr="00D9566D">
        <w:rPr>
          <w:rFonts w:ascii="Arial" w:hAnsi="Arial" w:cs="Arial"/>
        </w:rPr>
        <w:t xml:space="preserve"> as follows: 60</w:t>
      </w:r>
      <w:r w:rsidR="002E3155" w:rsidRPr="00D9566D">
        <w:rPr>
          <w:rFonts w:ascii="Arial" w:hAnsi="Arial" w:cs="Arial"/>
        </w:rPr>
        <w:t xml:space="preserve"> points </w:t>
      </w:r>
      <w:r w:rsidR="00935F65" w:rsidRPr="00D9566D">
        <w:rPr>
          <w:rFonts w:ascii="Arial" w:hAnsi="Arial" w:cs="Arial"/>
        </w:rPr>
        <w:t>were allocated to</w:t>
      </w:r>
      <w:r w:rsidR="00C352B5" w:rsidRPr="00D9566D">
        <w:rPr>
          <w:rFonts w:ascii="Arial" w:hAnsi="Arial" w:cs="Arial"/>
        </w:rPr>
        <w:t xml:space="preserve"> A</w:t>
      </w:r>
      <w:r w:rsidR="002E3155" w:rsidRPr="00D9566D">
        <w:rPr>
          <w:rFonts w:ascii="Arial" w:hAnsi="Arial" w:cs="Arial"/>
        </w:rPr>
        <w:t>)</w:t>
      </w:r>
      <w:r w:rsidR="003B7F78" w:rsidRPr="00D9566D">
        <w:rPr>
          <w:rFonts w:ascii="Arial" w:hAnsi="Arial" w:cs="Arial"/>
        </w:rPr>
        <w:t xml:space="preserve"> </w:t>
      </w:r>
      <w:r w:rsidR="00C352B5" w:rsidRPr="00D9566D">
        <w:rPr>
          <w:rFonts w:ascii="Arial" w:hAnsi="Arial" w:cs="Arial"/>
        </w:rPr>
        <w:t>company experience on security guarding projects</w:t>
      </w:r>
      <w:r w:rsidR="002E3155" w:rsidRPr="00D9566D">
        <w:rPr>
          <w:rFonts w:ascii="Arial" w:hAnsi="Arial" w:cs="Arial"/>
        </w:rPr>
        <w:t xml:space="preserve">; </w:t>
      </w:r>
      <w:r w:rsidR="00A12A88" w:rsidRPr="00D9566D">
        <w:rPr>
          <w:rFonts w:ascii="Arial" w:hAnsi="Arial" w:cs="Arial"/>
        </w:rPr>
        <w:t>20</w:t>
      </w:r>
      <w:r w:rsidR="002E3155" w:rsidRPr="00D9566D">
        <w:rPr>
          <w:rFonts w:ascii="Arial" w:hAnsi="Arial" w:cs="Arial"/>
        </w:rPr>
        <w:t xml:space="preserve"> </w:t>
      </w:r>
      <w:r w:rsidR="00D37397" w:rsidRPr="00D9566D">
        <w:rPr>
          <w:rFonts w:ascii="Arial" w:hAnsi="Arial" w:cs="Arial"/>
        </w:rPr>
        <w:t xml:space="preserve">points </w:t>
      </w:r>
      <w:r w:rsidR="00C352B5" w:rsidRPr="00D9566D">
        <w:rPr>
          <w:rFonts w:ascii="Arial" w:hAnsi="Arial" w:cs="Arial"/>
        </w:rPr>
        <w:t xml:space="preserve">were allocated to </w:t>
      </w:r>
      <w:r w:rsidR="002E3155" w:rsidRPr="00D9566D">
        <w:rPr>
          <w:rFonts w:ascii="Arial" w:hAnsi="Arial" w:cs="Arial"/>
        </w:rPr>
        <w:t>B)</w:t>
      </w:r>
      <w:r w:rsidR="00A12A88" w:rsidRPr="00D9566D">
        <w:rPr>
          <w:rFonts w:ascii="Arial" w:hAnsi="Arial" w:cs="Arial"/>
        </w:rPr>
        <w:t xml:space="preserve"> </w:t>
      </w:r>
      <w:r w:rsidR="002E3155" w:rsidRPr="00D9566D">
        <w:rPr>
          <w:rFonts w:ascii="Arial" w:hAnsi="Arial" w:cs="Arial"/>
        </w:rPr>
        <w:t>‘</w:t>
      </w:r>
      <w:r w:rsidR="00C352B5" w:rsidRPr="00D9566D">
        <w:rPr>
          <w:rFonts w:ascii="Arial" w:hAnsi="Arial" w:cs="Arial"/>
        </w:rPr>
        <w:t>infrastructure requirements</w:t>
      </w:r>
      <w:r w:rsidR="002E3155" w:rsidRPr="00D9566D">
        <w:rPr>
          <w:rFonts w:ascii="Arial" w:hAnsi="Arial" w:cs="Arial"/>
        </w:rPr>
        <w:t>’</w:t>
      </w:r>
      <w:r w:rsidR="00C352B5" w:rsidRPr="00D9566D">
        <w:rPr>
          <w:rFonts w:ascii="Arial" w:hAnsi="Arial" w:cs="Arial"/>
        </w:rPr>
        <w:t xml:space="preserve"> in relation to having an administrative office in SA</w:t>
      </w:r>
      <w:r w:rsidR="002E3155" w:rsidRPr="00D9566D">
        <w:rPr>
          <w:rFonts w:ascii="Arial" w:hAnsi="Arial" w:cs="Arial"/>
        </w:rPr>
        <w:t xml:space="preserve">; </w:t>
      </w:r>
      <w:r w:rsidR="00C352B5" w:rsidRPr="00D9566D">
        <w:rPr>
          <w:rFonts w:ascii="Arial" w:hAnsi="Arial" w:cs="Arial"/>
        </w:rPr>
        <w:t xml:space="preserve">and the remaining </w:t>
      </w:r>
      <w:r w:rsidR="00A12A88" w:rsidRPr="00D9566D">
        <w:rPr>
          <w:rFonts w:ascii="Arial" w:hAnsi="Arial" w:cs="Arial"/>
        </w:rPr>
        <w:t xml:space="preserve">20 </w:t>
      </w:r>
      <w:r w:rsidR="00D37397" w:rsidRPr="00D9566D">
        <w:rPr>
          <w:rFonts w:ascii="Arial" w:hAnsi="Arial" w:cs="Arial"/>
        </w:rPr>
        <w:t xml:space="preserve">points </w:t>
      </w:r>
      <w:r w:rsidR="00C352B5" w:rsidRPr="00D9566D">
        <w:rPr>
          <w:rFonts w:ascii="Arial" w:hAnsi="Arial" w:cs="Arial"/>
        </w:rPr>
        <w:t>w</w:t>
      </w:r>
      <w:r w:rsidR="002E3155" w:rsidRPr="00D9566D">
        <w:rPr>
          <w:rFonts w:ascii="Arial" w:hAnsi="Arial" w:cs="Arial"/>
        </w:rPr>
        <w:t>ere</w:t>
      </w:r>
      <w:r w:rsidR="00C352B5" w:rsidRPr="00D9566D">
        <w:rPr>
          <w:rFonts w:ascii="Arial" w:hAnsi="Arial" w:cs="Arial"/>
        </w:rPr>
        <w:t xml:space="preserve"> allocated to C)</w:t>
      </w:r>
      <w:r w:rsidR="003B7F78" w:rsidRPr="00D9566D">
        <w:rPr>
          <w:rFonts w:ascii="Arial" w:hAnsi="Arial" w:cs="Arial"/>
        </w:rPr>
        <w:t xml:space="preserve"> </w:t>
      </w:r>
      <w:r w:rsidR="002E3155" w:rsidRPr="00D9566D">
        <w:rPr>
          <w:rFonts w:ascii="Arial" w:hAnsi="Arial" w:cs="Arial"/>
        </w:rPr>
        <w:t>’</w:t>
      </w:r>
      <w:r w:rsidR="00C352B5" w:rsidRPr="00D9566D">
        <w:rPr>
          <w:rFonts w:ascii="Arial" w:hAnsi="Arial" w:cs="Arial"/>
        </w:rPr>
        <w:t>infrastructure requirements</w:t>
      </w:r>
      <w:r w:rsidR="002E3155" w:rsidRPr="00D9566D">
        <w:rPr>
          <w:rFonts w:ascii="Arial" w:hAnsi="Arial" w:cs="Arial"/>
        </w:rPr>
        <w:t>’</w:t>
      </w:r>
      <w:r w:rsidR="00C352B5" w:rsidRPr="00D9566D">
        <w:rPr>
          <w:rFonts w:ascii="Arial" w:hAnsi="Arial" w:cs="Arial"/>
        </w:rPr>
        <w:t xml:space="preserve"> in relation to </w:t>
      </w:r>
      <w:r w:rsidR="00522181" w:rsidRPr="00D9566D">
        <w:rPr>
          <w:rFonts w:ascii="Arial" w:hAnsi="Arial" w:cs="Arial"/>
        </w:rPr>
        <w:t xml:space="preserve">response </w:t>
      </w:r>
      <w:r w:rsidR="00C352B5" w:rsidRPr="00D9566D">
        <w:rPr>
          <w:rFonts w:ascii="Arial" w:hAnsi="Arial" w:cs="Arial"/>
        </w:rPr>
        <w:t xml:space="preserve">vehicles. </w:t>
      </w:r>
    </w:p>
    <w:p w14:paraId="3AC42EF2" w14:textId="61916FB7" w:rsidR="00A12A88"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8.</w:t>
      </w:r>
      <w:r w:rsidRPr="00D9566D">
        <w:rPr>
          <w:rFonts w:ascii="Arial" w:hAnsi="Arial" w:cs="Arial"/>
        </w:rPr>
        <w:tab/>
      </w:r>
      <w:r w:rsidR="00C352B5" w:rsidRPr="00D9566D">
        <w:rPr>
          <w:rFonts w:ascii="Arial" w:hAnsi="Arial" w:cs="Arial"/>
        </w:rPr>
        <w:t xml:space="preserve">The </w:t>
      </w:r>
      <w:r w:rsidR="00264B38" w:rsidRPr="00D9566D">
        <w:rPr>
          <w:rFonts w:ascii="Arial" w:hAnsi="Arial" w:cs="Arial"/>
        </w:rPr>
        <w:t xml:space="preserve">bid </w:t>
      </w:r>
      <w:r w:rsidR="00A12A88" w:rsidRPr="00D9566D">
        <w:rPr>
          <w:rFonts w:ascii="Arial" w:hAnsi="Arial" w:cs="Arial"/>
        </w:rPr>
        <w:t>requirements</w:t>
      </w:r>
      <w:r w:rsidR="00C352B5" w:rsidRPr="00D9566D">
        <w:rPr>
          <w:rFonts w:ascii="Arial" w:hAnsi="Arial" w:cs="Arial"/>
        </w:rPr>
        <w:t xml:space="preserve"> pertaining to each of these criteria were set out in detail. Thus, as far as company experience was concerned what was </w:t>
      </w:r>
      <w:r w:rsidR="00FC6B4D" w:rsidRPr="00D9566D">
        <w:rPr>
          <w:rFonts w:ascii="Arial" w:hAnsi="Arial" w:cs="Arial"/>
        </w:rPr>
        <w:t>required was</w:t>
      </w:r>
      <w:r w:rsidR="00C352B5" w:rsidRPr="00D9566D">
        <w:rPr>
          <w:rFonts w:ascii="Arial" w:hAnsi="Arial" w:cs="Arial"/>
        </w:rPr>
        <w:t xml:space="preserve"> experience of completed security projects to a minimum value (of R300</w:t>
      </w:r>
      <w:r w:rsidR="001D48D7" w:rsidRPr="00D9566D">
        <w:rPr>
          <w:rFonts w:ascii="Arial" w:hAnsi="Arial" w:cs="Arial"/>
        </w:rPr>
        <w:t xml:space="preserve"> </w:t>
      </w:r>
      <w:r w:rsidR="00C352B5" w:rsidRPr="00D9566D">
        <w:rPr>
          <w:rFonts w:ascii="Arial" w:hAnsi="Arial" w:cs="Arial"/>
        </w:rPr>
        <w:t>000 in respect of tender 9/22 and R500</w:t>
      </w:r>
      <w:r w:rsidR="00522181" w:rsidRPr="00D9566D">
        <w:rPr>
          <w:rFonts w:ascii="Arial" w:hAnsi="Arial" w:cs="Arial"/>
        </w:rPr>
        <w:t xml:space="preserve"> </w:t>
      </w:r>
      <w:r w:rsidR="00C352B5" w:rsidRPr="00D9566D">
        <w:rPr>
          <w:rFonts w:ascii="Arial" w:hAnsi="Arial" w:cs="Arial"/>
        </w:rPr>
        <w:t>000 for tender 10/22) which had been undertaken ‘</w:t>
      </w:r>
      <w:r w:rsidR="00522181" w:rsidRPr="00D9566D">
        <w:rPr>
          <w:rFonts w:ascii="Arial" w:hAnsi="Arial" w:cs="Arial"/>
        </w:rPr>
        <w:t>ac</w:t>
      </w:r>
      <w:r w:rsidR="00C352B5" w:rsidRPr="00D9566D">
        <w:rPr>
          <w:rFonts w:ascii="Arial" w:hAnsi="Arial" w:cs="Arial"/>
        </w:rPr>
        <w:t>cumulatively’</w:t>
      </w:r>
      <w:r w:rsidR="00522181" w:rsidRPr="00D9566D">
        <w:rPr>
          <w:rFonts w:ascii="Arial" w:hAnsi="Arial" w:cs="Arial"/>
        </w:rPr>
        <w:t xml:space="preserve"> (sic)</w:t>
      </w:r>
      <w:r w:rsidR="00C352B5" w:rsidRPr="00D9566D">
        <w:rPr>
          <w:rFonts w:ascii="Arial" w:hAnsi="Arial" w:cs="Arial"/>
        </w:rPr>
        <w:t xml:space="preserve"> in the preceding 5 years between 2017 and 2022. </w:t>
      </w:r>
      <w:r w:rsidR="00522181" w:rsidRPr="00D9566D">
        <w:rPr>
          <w:rFonts w:ascii="Arial" w:hAnsi="Arial" w:cs="Arial"/>
        </w:rPr>
        <w:t>T</w:t>
      </w:r>
      <w:r w:rsidR="00C352B5" w:rsidRPr="00D9566D">
        <w:rPr>
          <w:rFonts w:ascii="Arial" w:hAnsi="Arial" w:cs="Arial"/>
        </w:rPr>
        <w:t xml:space="preserve">he ‘means of proving’ this experience was ‘subject to the attachment of appointment letters/contracts/SLA’s/purchase orders’ from employers </w:t>
      </w:r>
      <w:r w:rsidR="00522181" w:rsidRPr="00D9566D">
        <w:rPr>
          <w:rFonts w:ascii="Arial" w:hAnsi="Arial" w:cs="Arial"/>
        </w:rPr>
        <w:t>‘</w:t>
      </w:r>
      <w:r w:rsidR="00C352B5" w:rsidRPr="00D9566D">
        <w:rPr>
          <w:rFonts w:ascii="Arial" w:hAnsi="Arial" w:cs="Arial"/>
        </w:rPr>
        <w:t>with reference letters</w:t>
      </w:r>
      <w:r w:rsidR="00522181" w:rsidRPr="00D9566D">
        <w:rPr>
          <w:rFonts w:ascii="Arial" w:hAnsi="Arial" w:cs="Arial"/>
        </w:rPr>
        <w:t xml:space="preserve"> </w:t>
      </w:r>
      <w:r w:rsidR="00C352B5" w:rsidRPr="00D9566D">
        <w:rPr>
          <w:rFonts w:ascii="Arial" w:hAnsi="Arial" w:cs="Arial"/>
        </w:rPr>
        <w:t>clearly stat</w:t>
      </w:r>
      <w:r w:rsidR="00522181" w:rsidRPr="00D9566D">
        <w:rPr>
          <w:rFonts w:ascii="Arial" w:hAnsi="Arial" w:cs="Arial"/>
        </w:rPr>
        <w:t>ing</w:t>
      </w:r>
      <w:r w:rsidR="00C352B5" w:rsidRPr="00D9566D">
        <w:rPr>
          <w:rFonts w:ascii="Arial" w:hAnsi="Arial" w:cs="Arial"/>
        </w:rPr>
        <w:t xml:space="preserve"> the contract value, name of employer, duration of the contract and contract details’. </w:t>
      </w:r>
    </w:p>
    <w:p w14:paraId="734CC95A" w14:textId="19580A57" w:rsidR="00935F65"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9.</w:t>
      </w:r>
      <w:r w:rsidRPr="00D9566D">
        <w:rPr>
          <w:rFonts w:ascii="Arial" w:hAnsi="Arial" w:cs="Arial"/>
        </w:rPr>
        <w:tab/>
      </w:r>
      <w:r w:rsidR="00C352B5" w:rsidRPr="00D9566D">
        <w:rPr>
          <w:rFonts w:ascii="Arial" w:hAnsi="Arial" w:cs="Arial"/>
        </w:rPr>
        <w:t>Only projects that had been completed prior to the closing date of each tender qualif</w:t>
      </w:r>
      <w:r w:rsidR="00522181" w:rsidRPr="00D9566D">
        <w:rPr>
          <w:rFonts w:ascii="Arial" w:hAnsi="Arial" w:cs="Arial"/>
        </w:rPr>
        <w:t>ied</w:t>
      </w:r>
      <w:r w:rsidR="00C352B5" w:rsidRPr="00D9566D">
        <w:rPr>
          <w:rFonts w:ascii="Arial" w:hAnsi="Arial" w:cs="Arial"/>
        </w:rPr>
        <w:t xml:space="preserve"> for </w:t>
      </w:r>
      <w:r w:rsidR="00950B29" w:rsidRPr="00D9566D">
        <w:rPr>
          <w:rFonts w:ascii="Arial" w:hAnsi="Arial" w:cs="Arial"/>
        </w:rPr>
        <w:t xml:space="preserve">consideration </w:t>
      </w:r>
      <w:r w:rsidR="00D37397" w:rsidRPr="00D9566D">
        <w:rPr>
          <w:rFonts w:ascii="Arial" w:hAnsi="Arial" w:cs="Arial"/>
        </w:rPr>
        <w:t xml:space="preserve">and </w:t>
      </w:r>
      <w:r w:rsidR="00522181" w:rsidRPr="00D9566D">
        <w:rPr>
          <w:rFonts w:ascii="Arial" w:hAnsi="Arial" w:cs="Arial"/>
        </w:rPr>
        <w:t xml:space="preserve">had </w:t>
      </w:r>
      <w:r w:rsidR="00C352B5" w:rsidRPr="00D9566D">
        <w:rPr>
          <w:rFonts w:ascii="Arial" w:hAnsi="Arial" w:cs="Arial"/>
        </w:rPr>
        <w:t>to be recorded on the DPW-09 form</w:t>
      </w:r>
      <w:r w:rsidR="00950B29" w:rsidRPr="00D9566D">
        <w:rPr>
          <w:rFonts w:ascii="Arial" w:hAnsi="Arial" w:cs="Arial"/>
        </w:rPr>
        <w:t>,</w:t>
      </w:r>
      <w:r w:rsidR="009C097F" w:rsidRPr="00D9566D">
        <w:rPr>
          <w:rFonts w:ascii="Arial" w:hAnsi="Arial" w:cs="Arial"/>
        </w:rPr>
        <w:t xml:space="preserve"> and t</w:t>
      </w:r>
      <w:r w:rsidR="00C352B5" w:rsidRPr="00D9566D">
        <w:rPr>
          <w:rFonts w:ascii="Arial" w:hAnsi="Arial" w:cs="Arial"/>
        </w:rPr>
        <w:t xml:space="preserve">he Department reserved the right to verify </w:t>
      </w:r>
      <w:r w:rsidR="00522181" w:rsidRPr="00D9566D">
        <w:rPr>
          <w:rFonts w:ascii="Arial" w:hAnsi="Arial" w:cs="Arial"/>
        </w:rPr>
        <w:t>the</w:t>
      </w:r>
      <w:r w:rsidR="00E92F5B" w:rsidRPr="00D9566D">
        <w:rPr>
          <w:rFonts w:ascii="Arial" w:hAnsi="Arial" w:cs="Arial"/>
        </w:rPr>
        <w:t>m</w:t>
      </w:r>
      <w:r w:rsidR="009C097F" w:rsidRPr="00D9566D">
        <w:rPr>
          <w:rFonts w:ascii="Arial" w:hAnsi="Arial" w:cs="Arial"/>
        </w:rPr>
        <w:t>.</w:t>
      </w:r>
      <w:r w:rsidR="00C352B5" w:rsidRPr="00D9566D">
        <w:rPr>
          <w:rFonts w:ascii="Arial" w:hAnsi="Arial" w:cs="Arial"/>
        </w:rPr>
        <w:t xml:space="preserve"> </w:t>
      </w:r>
      <w:r w:rsidR="009C097F" w:rsidRPr="00D9566D">
        <w:rPr>
          <w:rFonts w:ascii="Arial" w:hAnsi="Arial" w:cs="Arial"/>
        </w:rPr>
        <w:t>A</w:t>
      </w:r>
      <w:r w:rsidR="00C352B5" w:rsidRPr="00D9566D">
        <w:rPr>
          <w:rFonts w:ascii="Arial" w:hAnsi="Arial" w:cs="Arial"/>
        </w:rPr>
        <w:t xml:space="preserve"> failure to provide information on the DPW</w:t>
      </w:r>
      <w:r w:rsidR="002766BC" w:rsidRPr="00D9566D">
        <w:rPr>
          <w:rFonts w:ascii="Arial" w:hAnsi="Arial" w:cs="Arial"/>
        </w:rPr>
        <w:t>-</w:t>
      </w:r>
      <w:r w:rsidR="00C352B5" w:rsidRPr="00D9566D">
        <w:rPr>
          <w:rFonts w:ascii="Arial" w:hAnsi="Arial" w:cs="Arial"/>
        </w:rPr>
        <w:t xml:space="preserve">09 regarding </w:t>
      </w:r>
      <w:r w:rsidR="00ED228E" w:rsidRPr="00D9566D">
        <w:rPr>
          <w:rFonts w:ascii="Arial" w:hAnsi="Arial" w:cs="Arial"/>
        </w:rPr>
        <w:t>a</w:t>
      </w:r>
      <w:r w:rsidR="00C352B5" w:rsidRPr="00D9566D">
        <w:rPr>
          <w:rFonts w:ascii="Arial" w:hAnsi="Arial" w:cs="Arial"/>
        </w:rPr>
        <w:t xml:space="preserve"> bidder</w:t>
      </w:r>
      <w:r w:rsidR="00522181" w:rsidRPr="00D9566D">
        <w:rPr>
          <w:rFonts w:ascii="Arial" w:hAnsi="Arial" w:cs="Arial"/>
        </w:rPr>
        <w:t>’</w:t>
      </w:r>
      <w:r w:rsidR="00C352B5" w:rsidRPr="00D9566D">
        <w:rPr>
          <w:rFonts w:ascii="Arial" w:hAnsi="Arial" w:cs="Arial"/>
        </w:rPr>
        <w:t xml:space="preserve">s </w:t>
      </w:r>
      <w:r w:rsidR="00522181" w:rsidRPr="00D9566D">
        <w:rPr>
          <w:rFonts w:ascii="Arial" w:hAnsi="Arial" w:cs="Arial"/>
        </w:rPr>
        <w:t xml:space="preserve">previous </w:t>
      </w:r>
      <w:r w:rsidR="00C352B5" w:rsidRPr="00D9566D">
        <w:rPr>
          <w:rFonts w:ascii="Arial" w:hAnsi="Arial" w:cs="Arial"/>
        </w:rPr>
        <w:t xml:space="preserve">experience would lead to ‘no scoring’ of points for </w:t>
      </w:r>
      <w:r w:rsidR="00B04749" w:rsidRPr="00D9566D">
        <w:rPr>
          <w:rFonts w:ascii="Arial" w:hAnsi="Arial" w:cs="Arial"/>
        </w:rPr>
        <w:t>this criterion</w:t>
      </w:r>
      <w:r w:rsidR="00C352B5" w:rsidRPr="00D9566D">
        <w:rPr>
          <w:rFonts w:ascii="Arial" w:hAnsi="Arial" w:cs="Arial"/>
        </w:rPr>
        <w:t xml:space="preserve">. </w:t>
      </w:r>
      <w:r w:rsidR="002766BC" w:rsidRPr="00D9566D">
        <w:rPr>
          <w:rFonts w:ascii="Arial" w:hAnsi="Arial" w:cs="Arial"/>
        </w:rPr>
        <w:t>T</w:t>
      </w:r>
      <w:r w:rsidR="00B04749" w:rsidRPr="00D9566D">
        <w:rPr>
          <w:rFonts w:ascii="Arial" w:hAnsi="Arial" w:cs="Arial"/>
        </w:rPr>
        <w:t xml:space="preserve">o claim the full </w:t>
      </w:r>
      <w:r w:rsidR="00E92F5B" w:rsidRPr="00D9566D">
        <w:rPr>
          <w:rFonts w:ascii="Arial" w:hAnsi="Arial" w:cs="Arial"/>
        </w:rPr>
        <w:t xml:space="preserve">complement of </w:t>
      </w:r>
      <w:r w:rsidR="00B04749" w:rsidRPr="00D9566D">
        <w:rPr>
          <w:rFonts w:ascii="Arial" w:hAnsi="Arial" w:cs="Arial"/>
        </w:rPr>
        <w:t xml:space="preserve">60 points for experience </w:t>
      </w:r>
      <w:r w:rsidR="00C352B5" w:rsidRPr="00D9566D">
        <w:rPr>
          <w:rFonts w:ascii="Arial" w:hAnsi="Arial" w:cs="Arial"/>
        </w:rPr>
        <w:t xml:space="preserve">bidders would not be able to rely </w:t>
      </w:r>
      <w:r w:rsidR="009446C8" w:rsidRPr="00D9566D">
        <w:rPr>
          <w:rFonts w:ascii="Arial" w:hAnsi="Arial" w:cs="Arial"/>
        </w:rPr>
        <w:t xml:space="preserve">only </w:t>
      </w:r>
      <w:r w:rsidR="00C352B5" w:rsidRPr="00D9566D">
        <w:rPr>
          <w:rFonts w:ascii="Arial" w:hAnsi="Arial" w:cs="Arial"/>
        </w:rPr>
        <w:t>on a single completed project. The</w:t>
      </w:r>
      <w:r w:rsidR="00B04749" w:rsidRPr="00D9566D">
        <w:rPr>
          <w:rFonts w:ascii="Arial" w:hAnsi="Arial" w:cs="Arial"/>
        </w:rPr>
        <w:t>y</w:t>
      </w:r>
      <w:r w:rsidR="00C352B5" w:rsidRPr="00D9566D">
        <w:rPr>
          <w:rFonts w:ascii="Arial" w:hAnsi="Arial" w:cs="Arial"/>
        </w:rPr>
        <w:t xml:space="preserve"> w</w:t>
      </w:r>
      <w:r w:rsidR="0096002D" w:rsidRPr="00D9566D">
        <w:rPr>
          <w:rFonts w:ascii="Arial" w:hAnsi="Arial" w:cs="Arial"/>
        </w:rPr>
        <w:t>ere</w:t>
      </w:r>
      <w:r w:rsidR="00C352B5" w:rsidRPr="00D9566D">
        <w:rPr>
          <w:rFonts w:ascii="Arial" w:hAnsi="Arial" w:cs="Arial"/>
        </w:rPr>
        <w:t xml:space="preserve"> only eligible for a full score if th</w:t>
      </w:r>
      <w:r w:rsidR="009C097F" w:rsidRPr="00D9566D">
        <w:rPr>
          <w:rFonts w:ascii="Arial" w:hAnsi="Arial" w:cs="Arial"/>
        </w:rPr>
        <w:t xml:space="preserve">ey had </w:t>
      </w:r>
      <w:r w:rsidR="00C352B5" w:rsidRPr="00D9566D">
        <w:rPr>
          <w:rFonts w:ascii="Arial" w:hAnsi="Arial" w:cs="Arial"/>
        </w:rPr>
        <w:t xml:space="preserve">completed 3 projects or more, </w:t>
      </w:r>
      <w:r w:rsidR="00C352B5" w:rsidRPr="00D9566D">
        <w:rPr>
          <w:rFonts w:ascii="Arial" w:hAnsi="Arial" w:cs="Arial"/>
        </w:rPr>
        <w:lastRenderedPageBreak/>
        <w:t>in which event they would qualify for 5</w:t>
      </w:r>
      <w:r w:rsidR="00E92F5B" w:rsidRPr="00D9566D">
        <w:rPr>
          <w:rFonts w:ascii="Arial" w:hAnsi="Arial" w:cs="Arial"/>
        </w:rPr>
        <w:t xml:space="preserve"> out of 5</w:t>
      </w:r>
      <w:r w:rsidR="00C352B5" w:rsidRPr="00D9566D">
        <w:rPr>
          <w:rFonts w:ascii="Arial" w:hAnsi="Arial" w:cs="Arial"/>
        </w:rPr>
        <w:t xml:space="preserve"> points, whereas if t</w:t>
      </w:r>
      <w:r w:rsidR="009C097F" w:rsidRPr="00D9566D">
        <w:rPr>
          <w:rFonts w:ascii="Arial" w:hAnsi="Arial" w:cs="Arial"/>
        </w:rPr>
        <w:t>hey had</w:t>
      </w:r>
      <w:r w:rsidR="00C352B5" w:rsidRPr="00D9566D">
        <w:rPr>
          <w:rFonts w:ascii="Arial" w:hAnsi="Arial" w:cs="Arial"/>
        </w:rPr>
        <w:t xml:space="preserve"> </w:t>
      </w:r>
      <w:r w:rsidR="001D48D7" w:rsidRPr="00D9566D">
        <w:rPr>
          <w:rFonts w:ascii="Arial" w:hAnsi="Arial" w:cs="Arial"/>
        </w:rPr>
        <w:t xml:space="preserve">only </w:t>
      </w:r>
      <w:r w:rsidR="00C352B5" w:rsidRPr="00D9566D">
        <w:rPr>
          <w:rFonts w:ascii="Arial" w:hAnsi="Arial" w:cs="Arial"/>
        </w:rPr>
        <w:t>completed 2 projects they would score 3 points</w:t>
      </w:r>
      <w:r w:rsidR="001D48D7" w:rsidRPr="00D9566D">
        <w:rPr>
          <w:rFonts w:ascii="Arial" w:hAnsi="Arial" w:cs="Arial"/>
        </w:rPr>
        <w:t>,</w:t>
      </w:r>
      <w:r w:rsidR="00C352B5" w:rsidRPr="00D9566D">
        <w:rPr>
          <w:rFonts w:ascii="Arial" w:hAnsi="Arial" w:cs="Arial"/>
        </w:rPr>
        <w:t xml:space="preserve"> and </w:t>
      </w:r>
      <w:r w:rsidR="001D48D7" w:rsidRPr="00D9566D">
        <w:rPr>
          <w:rFonts w:ascii="Arial" w:hAnsi="Arial" w:cs="Arial"/>
        </w:rPr>
        <w:t xml:space="preserve">if they had only completed a single </w:t>
      </w:r>
      <w:r w:rsidR="00E9686B" w:rsidRPr="00D9566D">
        <w:rPr>
          <w:rFonts w:ascii="Arial" w:hAnsi="Arial" w:cs="Arial"/>
        </w:rPr>
        <w:t>project,</w:t>
      </w:r>
      <w:r w:rsidR="001D48D7" w:rsidRPr="00D9566D">
        <w:rPr>
          <w:rFonts w:ascii="Arial" w:hAnsi="Arial" w:cs="Arial"/>
        </w:rPr>
        <w:t xml:space="preserve"> they </w:t>
      </w:r>
      <w:r w:rsidR="009C097F" w:rsidRPr="00D9566D">
        <w:rPr>
          <w:rFonts w:ascii="Arial" w:hAnsi="Arial" w:cs="Arial"/>
        </w:rPr>
        <w:t xml:space="preserve">would only get </w:t>
      </w:r>
      <w:r w:rsidR="001D48D7" w:rsidRPr="00D9566D">
        <w:rPr>
          <w:rFonts w:ascii="Arial" w:hAnsi="Arial" w:cs="Arial"/>
        </w:rPr>
        <w:t xml:space="preserve">a single </w:t>
      </w:r>
      <w:r w:rsidR="009C097F" w:rsidRPr="00D9566D">
        <w:rPr>
          <w:rFonts w:ascii="Arial" w:hAnsi="Arial" w:cs="Arial"/>
        </w:rPr>
        <w:t>point</w:t>
      </w:r>
      <w:r w:rsidR="00C352B5" w:rsidRPr="00D9566D">
        <w:rPr>
          <w:rFonts w:ascii="Arial" w:hAnsi="Arial" w:cs="Arial"/>
        </w:rPr>
        <w:t>. Th</w:t>
      </w:r>
      <w:r w:rsidR="009C097F" w:rsidRPr="00D9566D">
        <w:rPr>
          <w:rFonts w:ascii="Arial" w:hAnsi="Arial" w:cs="Arial"/>
        </w:rPr>
        <w:t>us, to</w:t>
      </w:r>
      <w:r w:rsidR="00C352B5" w:rsidRPr="00D9566D">
        <w:rPr>
          <w:rFonts w:ascii="Arial" w:hAnsi="Arial" w:cs="Arial"/>
        </w:rPr>
        <w:t xml:space="preserve"> qualify for a full 60 points </w:t>
      </w:r>
      <w:r w:rsidR="009C097F" w:rsidRPr="00D9566D">
        <w:rPr>
          <w:rFonts w:ascii="Arial" w:hAnsi="Arial" w:cs="Arial"/>
        </w:rPr>
        <w:t xml:space="preserve">i.e. a 5 out of 5 score on this aspect of </w:t>
      </w:r>
      <w:r w:rsidR="00950B29" w:rsidRPr="00D9566D">
        <w:rPr>
          <w:rFonts w:ascii="Arial" w:hAnsi="Arial" w:cs="Arial"/>
        </w:rPr>
        <w:t xml:space="preserve">the </w:t>
      </w:r>
      <w:r w:rsidR="009C097F" w:rsidRPr="00D9566D">
        <w:rPr>
          <w:rFonts w:ascii="Arial" w:hAnsi="Arial" w:cs="Arial"/>
        </w:rPr>
        <w:t>functionality</w:t>
      </w:r>
      <w:r w:rsidR="00950B29" w:rsidRPr="00D9566D">
        <w:rPr>
          <w:rFonts w:ascii="Arial" w:hAnsi="Arial" w:cs="Arial"/>
        </w:rPr>
        <w:t xml:space="preserve"> criterion</w:t>
      </w:r>
      <w:r w:rsidR="009C097F" w:rsidRPr="00D9566D">
        <w:rPr>
          <w:rFonts w:ascii="Arial" w:hAnsi="Arial" w:cs="Arial"/>
        </w:rPr>
        <w:t xml:space="preserve"> </w:t>
      </w:r>
      <w:r w:rsidR="00C352B5" w:rsidRPr="00D9566D">
        <w:rPr>
          <w:rFonts w:ascii="Arial" w:hAnsi="Arial" w:cs="Arial"/>
        </w:rPr>
        <w:t>bidders would have to have completed 3 projects or more.</w:t>
      </w:r>
    </w:p>
    <w:p w14:paraId="0A108765" w14:textId="0AAC918A" w:rsidR="00C352B5"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10.</w:t>
      </w:r>
      <w:r w:rsidRPr="00D9566D">
        <w:rPr>
          <w:rFonts w:ascii="Arial" w:hAnsi="Arial" w:cs="Arial"/>
        </w:rPr>
        <w:tab/>
      </w:r>
      <w:r w:rsidR="00C352B5" w:rsidRPr="00D9566D">
        <w:rPr>
          <w:rFonts w:ascii="Arial" w:hAnsi="Arial" w:cs="Arial"/>
        </w:rPr>
        <w:t>As far as the infrastructure requirements pertaining to an office w</w:t>
      </w:r>
      <w:r w:rsidR="00950B29" w:rsidRPr="00D9566D">
        <w:rPr>
          <w:rFonts w:ascii="Arial" w:hAnsi="Arial" w:cs="Arial"/>
        </w:rPr>
        <w:t>ere</w:t>
      </w:r>
      <w:r w:rsidR="00C352B5" w:rsidRPr="00D9566D">
        <w:rPr>
          <w:rFonts w:ascii="Arial" w:hAnsi="Arial" w:cs="Arial"/>
        </w:rPr>
        <w:t xml:space="preserve"> concerned</w:t>
      </w:r>
      <w:r w:rsidR="009C097F" w:rsidRPr="00D9566D">
        <w:rPr>
          <w:rFonts w:ascii="Arial" w:hAnsi="Arial" w:cs="Arial"/>
        </w:rPr>
        <w:t>,</w:t>
      </w:r>
      <w:r w:rsidR="00C352B5" w:rsidRPr="00D9566D">
        <w:rPr>
          <w:rFonts w:ascii="Arial" w:hAnsi="Arial" w:cs="Arial"/>
        </w:rPr>
        <w:t xml:space="preserve"> it was stipulated that bidders </w:t>
      </w:r>
      <w:r w:rsidR="00EE29C4" w:rsidRPr="00D9566D">
        <w:rPr>
          <w:rFonts w:ascii="Arial" w:hAnsi="Arial" w:cs="Arial"/>
        </w:rPr>
        <w:t xml:space="preserve">were </w:t>
      </w:r>
      <w:r w:rsidR="001D48D7" w:rsidRPr="00D9566D">
        <w:rPr>
          <w:rFonts w:ascii="Arial" w:hAnsi="Arial" w:cs="Arial"/>
        </w:rPr>
        <w:t xml:space="preserve">required </w:t>
      </w:r>
      <w:r w:rsidR="00EE29C4" w:rsidRPr="00D9566D">
        <w:rPr>
          <w:rFonts w:ascii="Arial" w:hAnsi="Arial" w:cs="Arial"/>
        </w:rPr>
        <w:t>to</w:t>
      </w:r>
      <w:r w:rsidR="00C352B5" w:rsidRPr="00D9566D">
        <w:rPr>
          <w:rFonts w:ascii="Arial" w:hAnsi="Arial" w:cs="Arial"/>
        </w:rPr>
        <w:t xml:space="preserve"> have an administrative office within the borders of SA. They were to supply proof thereof by submitting either a copy of a title deed evidencing ownership of such a property, or a </w:t>
      </w:r>
      <w:r w:rsidR="00E9686B" w:rsidRPr="00D9566D">
        <w:rPr>
          <w:rFonts w:ascii="Arial" w:hAnsi="Arial" w:cs="Arial"/>
        </w:rPr>
        <w:t xml:space="preserve">signed </w:t>
      </w:r>
      <w:r w:rsidR="00C352B5" w:rsidRPr="00D9566D">
        <w:rPr>
          <w:rFonts w:ascii="Arial" w:hAnsi="Arial" w:cs="Arial"/>
        </w:rPr>
        <w:t xml:space="preserve">lease agreement which was valid for the duration of the contract which was to be concluded following upon the award </w:t>
      </w:r>
      <w:r w:rsidR="00EE29C4" w:rsidRPr="00D9566D">
        <w:rPr>
          <w:rFonts w:ascii="Arial" w:hAnsi="Arial" w:cs="Arial"/>
        </w:rPr>
        <w:t>of the tender</w:t>
      </w:r>
      <w:r w:rsidR="00C352B5" w:rsidRPr="00D9566D">
        <w:rPr>
          <w:rFonts w:ascii="Arial" w:hAnsi="Arial" w:cs="Arial"/>
        </w:rPr>
        <w:t xml:space="preserve">, which in the case of tender 09/22 was </w:t>
      </w:r>
      <w:r w:rsidR="009C097F" w:rsidRPr="00D9566D">
        <w:rPr>
          <w:rFonts w:ascii="Arial" w:hAnsi="Arial" w:cs="Arial"/>
        </w:rPr>
        <w:t xml:space="preserve">to be </w:t>
      </w:r>
      <w:r w:rsidR="00C352B5" w:rsidRPr="00D9566D">
        <w:rPr>
          <w:rFonts w:ascii="Arial" w:hAnsi="Arial" w:cs="Arial"/>
        </w:rPr>
        <w:t xml:space="preserve">for a period of 24 months. This </w:t>
      </w:r>
      <w:r w:rsidR="009C097F" w:rsidRPr="00D9566D">
        <w:rPr>
          <w:rFonts w:ascii="Arial" w:hAnsi="Arial" w:cs="Arial"/>
        </w:rPr>
        <w:t>section</w:t>
      </w:r>
      <w:r w:rsidR="00C352B5" w:rsidRPr="00D9566D">
        <w:rPr>
          <w:rFonts w:ascii="Arial" w:hAnsi="Arial" w:cs="Arial"/>
        </w:rPr>
        <w:t xml:space="preserve"> also </w:t>
      </w:r>
      <w:r w:rsidR="009C097F" w:rsidRPr="00D9566D">
        <w:rPr>
          <w:rFonts w:ascii="Arial" w:hAnsi="Arial" w:cs="Arial"/>
        </w:rPr>
        <w:t>made use of</w:t>
      </w:r>
      <w:r w:rsidR="00C352B5" w:rsidRPr="00D9566D">
        <w:rPr>
          <w:rFonts w:ascii="Arial" w:hAnsi="Arial" w:cs="Arial"/>
        </w:rPr>
        <w:t xml:space="preserve"> a </w:t>
      </w:r>
      <w:r w:rsidR="009C097F" w:rsidRPr="00D9566D">
        <w:rPr>
          <w:rFonts w:ascii="Arial" w:hAnsi="Arial" w:cs="Arial"/>
        </w:rPr>
        <w:t>5-point</w:t>
      </w:r>
      <w:r w:rsidR="00C352B5" w:rsidRPr="00D9566D">
        <w:rPr>
          <w:rFonts w:ascii="Arial" w:hAnsi="Arial" w:cs="Arial"/>
        </w:rPr>
        <w:t xml:space="preserve"> scoring system: to obtain a full score (</w:t>
      </w:r>
      <w:r w:rsidR="009C097F" w:rsidRPr="00D9566D">
        <w:rPr>
          <w:rFonts w:ascii="Arial" w:hAnsi="Arial" w:cs="Arial"/>
        </w:rPr>
        <w:t>i.e.</w:t>
      </w:r>
      <w:r w:rsidR="00C352B5" w:rsidRPr="00D9566D">
        <w:rPr>
          <w:rFonts w:ascii="Arial" w:hAnsi="Arial" w:cs="Arial"/>
        </w:rPr>
        <w:t xml:space="preserve"> 20 points)</w:t>
      </w:r>
      <w:r w:rsidR="0046670D" w:rsidRPr="00D9566D">
        <w:rPr>
          <w:rFonts w:ascii="Arial" w:hAnsi="Arial" w:cs="Arial"/>
        </w:rPr>
        <w:t xml:space="preserve"> ‘satisfactory proof’ was to be provided of ownership or </w:t>
      </w:r>
      <w:r w:rsidR="009C097F" w:rsidRPr="00D9566D">
        <w:rPr>
          <w:rFonts w:ascii="Arial" w:hAnsi="Arial" w:cs="Arial"/>
        </w:rPr>
        <w:t xml:space="preserve">a </w:t>
      </w:r>
      <w:r w:rsidR="0046670D" w:rsidRPr="00D9566D">
        <w:rPr>
          <w:rFonts w:ascii="Arial" w:hAnsi="Arial" w:cs="Arial"/>
        </w:rPr>
        <w:t xml:space="preserve">lease agreement and 0 points would be awarded if such proof was not supplied. In a note in parentheses at the bottom of this section it was noted that for the purpose of scoring on this part of the functionality assessment the Department would accept an existing administrative office which was outside of the Western Cape, but </w:t>
      </w:r>
      <w:r w:rsidR="007761CE" w:rsidRPr="00D9566D">
        <w:rPr>
          <w:rFonts w:ascii="Arial" w:hAnsi="Arial" w:cs="Arial"/>
        </w:rPr>
        <w:t>to</w:t>
      </w:r>
      <w:r w:rsidR="00950B29" w:rsidRPr="00D9566D">
        <w:rPr>
          <w:rFonts w:ascii="Arial" w:hAnsi="Arial" w:cs="Arial"/>
        </w:rPr>
        <w:t xml:space="preserve"> be allocated work </w:t>
      </w:r>
      <w:r w:rsidR="0046670D" w:rsidRPr="00D9566D">
        <w:rPr>
          <w:rFonts w:ascii="Arial" w:hAnsi="Arial" w:cs="Arial"/>
        </w:rPr>
        <w:t xml:space="preserve">the successful bidder would be required to open </w:t>
      </w:r>
      <w:r w:rsidR="009C097F" w:rsidRPr="00D9566D">
        <w:rPr>
          <w:rFonts w:ascii="Arial" w:hAnsi="Arial" w:cs="Arial"/>
        </w:rPr>
        <w:t>or</w:t>
      </w:r>
      <w:r w:rsidR="0046670D" w:rsidRPr="00D9566D">
        <w:rPr>
          <w:rFonts w:ascii="Arial" w:hAnsi="Arial" w:cs="Arial"/>
        </w:rPr>
        <w:t xml:space="preserve"> lease an office in the </w:t>
      </w:r>
      <w:r w:rsidR="009C097F" w:rsidRPr="00D9566D">
        <w:rPr>
          <w:rFonts w:ascii="Arial" w:hAnsi="Arial" w:cs="Arial"/>
        </w:rPr>
        <w:t xml:space="preserve">province </w:t>
      </w:r>
      <w:r w:rsidR="0046670D" w:rsidRPr="00D9566D">
        <w:rPr>
          <w:rFonts w:ascii="Arial" w:hAnsi="Arial" w:cs="Arial"/>
        </w:rPr>
        <w:t>within 7 days.</w:t>
      </w:r>
    </w:p>
    <w:p w14:paraId="146C0DE3" w14:textId="036667E6" w:rsidR="0046670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11.</w:t>
      </w:r>
      <w:r w:rsidRPr="00D9566D">
        <w:rPr>
          <w:rFonts w:ascii="Arial" w:hAnsi="Arial" w:cs="Arial"/>
        </w:rPr>
        <w:tab/>
      </w:r>
      <w:r w:rsidR="0046670D" w:rsidRPr="00D9566D">
        <w:rPr>
          <w:rFonts w:ascii="Arial" w:hAnsi="Arial" w:cs="Arial"/>
        </w:rPr>
        <w:t xml:space="preserve">In part C of the functionality </w:t>
      </w:r>
      <w:r w:rsidR="009C097F" w:rsidRPr="00D9566D">
        <w:rPr>
          <w:rFonts w:ascii="Arial" w:hAnsi="Arial" w:cs="Arial"/>
        </w:rPr>
        <w:t xml:space="preserve">section, </w:t>
      </w:r>
      <w:r w:rsidR="0046670D" w:rsidRPr="00D9566D">
        <w:rPr>
          <w:rFonts w:ascii="Arial" w:hAnsi="Arial" w:cs="Arial"/>
        </w:rPr>
        <w:t xml:space="preserve">bidders were required to provide proof they had </w:t>
      </w:r>
      <w:r w:rsidR="009C097F" w:rsidRPr="00D9566D">
        <w:rPr>
          <w:rFonts w:ascii="Arial" w:hAnsi="Arial" w:cs="Arial"/>
        </w:rPr>
        <w:t xml:space="preserve">2 </w:t>
      </w:r>
      <w:r w:rsidR="0046670D" w:rsidRPr="00D9566D">
        <w:rPr>
          <w:rFonts w:ascii="Arial" w:hAnsi="Arial" w:cs="Arial"/>
        </w:rPr>
        <w:t>response vehicles</w:t>
      </w:r>
      <w:r w:rsidR="009C097F" w:rsidRPr="00D9566D">
        <w:rPr>
          <w:rFonts w:ascii="Arial" w:hAnsi="Arial" w:cs="Arial"/>
        </w:rPr>
        <w:t xml:space="preserve"> available</w:t>
      </w:r>
      <w:r w:rsidR="0046670D" w:rsidRPr="00D9566D">
        <w:rPr>
          <w:rFonts w:ascii="Arial" w:hAnsi="Arial" w:cs="Arial"/>
        </w:rPr>
        <w:t xml:space="preserve">. </w:t>
      </w:r>
      <w:r w:rsidR="00950B29" w:rsidRPr="00D9566D">
        <w:rPr>
          <w:rFonts w:ascii="Arial" w:hAnsi="Arial" w:cs="Arial"/>
        </w:rPr>
        <w:t>If</w:t>
      </w:r>
      <w:r w:rsidR="0046670D" w:rsidRPr="00D9566D">
        <w:rPr>
          <w:rFonts w:ascii="Arial" w:hAnsi="Arial" w:cs="Arial"/>
        </w:rPr>
        <w:t xml:space="preserve"> </w:t>
      </w:r>
      <w:r w:rsidR="009C097F" w:rsidRPr="00D9566D">
        <w:rPr>
          <w:rFonts w:ascii="Arial" w:hAnsi="Arial" w:cs="Arial"/>
        </w:rPr>
        <w:t xml:space="preserve">they </w:t>
      </w:r>
      <w:r w:rsidR="0046670D" w:rsidRPr="00D9566D">
        <w:rPr>
          <w:rFonts w:ascii="Arial" w:hAnsi="Arial" w:cs="Arial"/>
        </w:rPr>
        <w:t xml:space="preserve">owned </w:t>
      </w:r>
      <w:r w:rsidR="00950B29" w:rsidRPr="00D9566D">
        <w:rPr>
          <w:rFonts w:ascii="Arial" w:hAnsi="Arial" w:cs="Arial"/>
        </w:rPr>
        <w:t>the</w:t>
      </w:r>
      <w:r w:rsidR="0046670D" w:rsidRPr="00D9566D">
        <w:rPr>
          <w:rFonts w:ascii="Arial" w:hAnsi="Arial" w:cs="Arial"/>
        </w:rPr>
        <w:t xml:space="preserve"> vehicles proof of ownership was to be supplied by means of a copy of an </w:t>
      </w:r>
      <w:r w:rsidR="009C097F" w:rsidRPr="00D9566D">
        <w:rPr>
          <w:rFonts w:ascii="Arial" w:hAnsi="Arial" w:cs="Arial"/>
        </w:rPr>
        <w:t>e</w:t>
      </w:r>
      <w:r w:rsidR="0046670D" w:rsidRPr="00D9566D">
        <w:rPr>
          <w:rFonts w:ascii="Arial" w:hAnsi="Arial" w:cs="Arial"/>
        </w:rPr>
        <w:t>-</w:t>
      </w:r>
      <w:r w:rsidR="009C097F" w:rsidRPr="00D9566D">
        <w:rPr>
          <w:rFonts w:ascii="Arial" w:hAnsi="Arial" w:cs="Arial"/>
        </w:rPr>
        <w:t>NATIS</w:t>
      </w:r>
      <w:r w:rsidR="0046670D" w:rsidRPr="00D9566D">
        <w:rPr>
          <w:rFonts w:ascii="Arial" w:hAnsi="Arial" w:cs="Arial"/>
        </w:rPr>
        <w:t xml:space="preserve"> </w:t>
      </w:r>
      <w:r w:rsidR="007761CE" w:rsidRPr="00D9566D">
        <w:rPr>
          <w:rFonts w:ascii="Arial" w:hAnsi="Arial" w:cs="Arial"/>
        </w:rPr>
        <w:t>‘</w:t>
      </w:r>
      <w:r w:rsidR="0046670D" w:rsidRPr="00D9566D">
        <w:rPr>
          <w:rFonts w:ascii="Arial" w:hAnsi="Arial" w:cs="Arial"/>
        </w:rPr>
        <w:t>report</w:t>
      </w:r>
      <w:r w:rsidR="007761CE" w:rsidRPr="00D9566D">
        <w:rPr>
          <w:rFonts w:ascii="Arial" w:hAnsi="Arial" w:cs="Arial"/>
        </w:rPr>
        <w:t>’</w:t>
      </w:r>
      <w:r w:rsidR="0046670D" w:rsidRPr="00D9566D">
        <w:rPr>
          <w:rFonts w:ascii="Arial" w:hAnsi="Arial" w:cs="Arial"/>
        </w:rPr>
        <w:t xml:space="preserve"> </w:t>
      </w:r>
      <w:r w:rsidR="00F42E67" w:rsidRPr="00D9566D">
        <w:rPr>
          <w:rFonts w:ascii="Arial" w:hAnsi="Arial" w:cs="Arial"/>
        </w:rPr>
        <w:t>i.e</w:t>
      </w:r>
      <w:r w:rsidR="00950B29" w:rsidRPr="00D9566D">
        <w:rPr>
          <w:rFonts w:ascii="Arial" w:hAnsi="Arial" w:cs="Arial"/>
        </w:rPr>
        <w:t>.</w:t>
      </w:r>
      <w:r w:rsidR="00F42E67" w:rsidRPr="00D9566D">
        <w:rPr>
          <w:rFonts w:ascii="Arial" w:hAnsi="Arial" w:cs="Arial"/>
        </w:rPr>
        <w:t xml:space="preserve"> a report </w:t>
      </w:r>
      <w:r w:rsidR="00950B29" w:rsidRPr="00D9566D">
        <w:rPr>
          <w:rFonts w:ascii="Arial" w:hAnsi="Arial" w:cs="Arial"/>
        </w:rPr>
        <w:t xml:space="preserve">drawn </w:t>
      </w:r>
      <w:r w:rsidR="00F42E67" w:rsidRPr="00D9566D">
        <w:rPr>
          <w:rFonts w:ascii="Arial" w:hAnsi="Arial" w:cs="Arial"/>
        </w:rPr>
        <w:t xml:space="preserve">from the National Administration Traffic System, </w:t>
      </w:r>
      <w:r w:rsidR="00011B28" w:rsidRPr="00D9566D">
        <w:rPr>
          <w:rFonts w:ascii="Arial" w:hAnsi="Arial" w:cs="Arial"/>
        </w:rPr>
        <w:t xml:space="preserve">which </w:t>
      </w:r>
      <w:r w:rsidR="0046670D" w:rsidRPr="00D9566D">
        <w:rPr>
          <w:rFonts w:ascii="Arial" w:hAnsi="Arial" w:cs="Arial"/>
        </w:rPr>
        <w:t>show</w:t>
      </w:r>
      <w:r w:rsidR="00011B28" w:rsidRPr="00D9566D">
        <w:rPr>
          <w:rFonts w:ascii="Arial" w:hAnsi="Arial" w:cs="Arial"/>
        </w:rPr>
        <w:t>ed that</w:t>
      </w:r>
      <w:r w:rsidR="0046670D" w:rsidRPr="00D9566D">
        <w:rPr>
          <w:rFonts w:ascii="Arial" w:hAnsi="Arial" w:cs="Arial"/>
        </w:rPr>
        <w:t xml:space="preserve"> the vehicles were registered under the</w:t>
      </w:r>
      <w:r w:rsidR="00F42E67" w:rsidRPr="00D9566D">
        <w:rPr>
          <w:rFonts w:ascii="Arial" w:hAnsi="Arial" w:cs="Arial"/>
        </w:rPr>
        <w:t xml:space="preserve"> applicant’s</w:t>
      </w:r>
      <w:r w:rsidR="0046670D" w:rsidRPr="00D9566D">
        <w:rPr>
          <w:rFonts w:ascii="Arial" w:hAnsi="Arial" w:cs="Arial"/>
        </w:rPr>
        <w:t xml:space="preserve"> directors</w:t>
      </w:r>
      <w:r w:rsidR="00011B28" w:rsidRPr="00D9566D">
        <w:rPr>
          <w:rFonts w:ascii="Arial" w:hAnsi="Arial" w:cs="Arial"/>
        </w:rPr>
        <w:t>’</w:t>
      </w:r>
      <w:r w:rsidR="0046670D" w:rsidRPr="00D9566D">
        <w:rPr>
          <w:rFonts w:ascii="Arial" w:hAnsi="Arial" w:cs="Arial"/>
        </w:rPr>
        <w:t xml:space="preserve"> or compan</w:t>
      </w:r>
      <w:r w:rsidR="00F42E67" w:rsidRPr="00D9566D">
        <w:rPr>
          <w:rFonts w:ascii="Arial" w:hAnsi="Arial" w:cs="Arial"/>
        </w:rPr>
        <w:t>y</w:t>
      </w:r>
      <w:r w:rsidR="0046670D" w:rsidRPr="00D9566D">
        <w:rPr>
          <w:rFonts w:ascii="Arial" w:hAnsi="Arial" w:cs="Arial"/>
        </w:rPr>
        <w:t xml:space="preserve"> name</w:t>
      </w:r>
      <w:r w:rsidR="00011B28" w:rsidRPr="00D9566D">
        <w:rPr>
          <w:rFonts w:ascii="Arial" w:hAnsi="Arial" w:cs="Arial"/>
        </w:rPr>
        <w:t>s</w:t>
      </w:r>
      <w:r w:rsidR="0046670D" w:rsidRPr="00D9566D">
        <w:rPr>
          <w:rFonts w:ascii="Arial" w:hAnsi="Arial" w:cs="Arial"/>
        </w:rPr>
        <w:t>. I</w:t>
      </w:r>
      <w:r w:rsidR="00011B28" w:rsidRPr="00D9566D">
        <w:rPr>
          <w:rFonts w:ascii="Arial" w:hAnsi="Arial" w:cs="Arial"/>
        </w:rPr>
        <w:t>f</w:t>
      </w:r>
      <w:r w:rsidR="0046670D" w:rsidRPr="00D9566D">
        <w:rPr>
          <w:rFonts w:ascii="Arial" w:hAnsi="Arial" w:cs="Arial"/>
        </w:rPr>
        <w:t xml:space="preserve"> the </w:t>
      </w:r>
      <w:r w:rsidR="00011B28" w:rsidRPr="00D9566D">
        <w:rPr>
          <w:rFonts w:ascii="Arial" w:hAnsi="Arial" w:cs="Arial"/>
        </w:rPr>
        <w:t>v</w:t>
      </w:r>
      <w:r w:rsidR="0046670D" w:rsidRPr="00D9566D">
        <w:rPr>
          <w:rFonts w:ascii="Arial" w:hAnsi="Arial" w:cs="Arial"/>
        </w:rPr>
        <w:t xml:space="preserve">ehicles </w:t>
      </w:r>
      <w:r w:rsidR="00011B28" w:rsidRPr="00D9566D">
        <w:rPr>
          <w:rFonts w:ascii="Arial" w:hAnsi="Arial" w:cs="Arial"/>
        </w:rPr>
        <w:t>were leased, a</w:t>
      </w:r>
      <w:r w:rsidR="0046670D" w:rsidRPr="00D9566D">
        <w:rPr>
          <w:rFonts w:ascii="Arial" w:hAnsi="Arial" w:cs="Arial"/>
        </w:rPr>
        <w:t xml:space="preserve"> signed copy of the lease agreement was to be provided. If the vehicles were neither owned nor leased</w:t>
      </w:r>
      <w:r w:rsidR="00011B28" w:rsidRPr="00D9566D">
        <w:rPr>
          <w:rFonts w:ascii="Arial" w:hAnsi="Arial" w:cs="Arial"/>
        </w:rPr>
        <w:t>,</w:t>
      </w:r>
      <w:r w:rsidR="0046670D" w:rsidRPr="00D9566D">
        <w:rPr>
          <w:rFonts w:ascii="Arial" w:hAnsi="Arial" w:cs="Arial"/>
        </w:rPr>
        <w:t xml:space="preserve"> as yet</w:t>
      </w:r>
      <w:r w:rsidR="00011B28" w:rsidRPr="00D9566D">
        <w:rPr>
          <w:rFonts w:ascii="Arial" w:hAnsi="Arial" w:cs="Arial"/>
        </w:rPr>
        <w:t>,</w:t>
      </w:r>
      <w:r w:rsidR="0046670D" w:rsidRPr="00D9566D">
        <w:rPr>
          <w:rFonts w:ascii="Arial" w:hAnsi="Arial" w:cs="Arial"/>
        </w:rPr>
        <w:t xml:space="preserve"> a letter of intent to buy or lease would suffice. </w:t>
      </w:r>
      <w:r w:rsidR="00F42E67" w:rsidRPr="00D9566D">
        <w:rPr>
          <w:rFonts w:ascii="Arial" w:hAnsi="Arial" w:cs="Arial"/>
        </w:rPr>
        <w:t>In such instance, as i</w:t>
      </w:r>
      <w:r w:rsidR="0046670D" w:rsidRPr="00D9566D">
        <w:rPr>
          <w:rFonts w:ascii="Arial" w:hAnsi="Arial" w:cs="Arial"/>
        </w:rPr>
        <w:t>n the case of the infrastructure requirements pertaining to an administrative office</w:t>
      </w:r>
      <w:r w:rsidR="008D0732" w:rsidRPr="00D9566D">
        <w:rPr>
          <w:rFonts w:ascii="Arial" w:hAnsi="Arial" w:cs="Arial"/>
        </w:rPr>
        <w:t xml:space="preserve">, </w:t>
      </w:r>
      <w:r w:rsidR="0046670D" w:rsidRPr="00D9566D">
        <w:rPr>
          <w:rFonts w:ascii="Arial" w:hAnsi="Arial" w:cs="Arial"/>
        </w:rPr>
        <w:t xml:space="preserve">if awarded the tender </w:t>
      </w:r>
      <w:r w:rsidR="008D0732" w:rsidRPr="00D9566D">
        <w:rPr>
          <w:rFonts w:ascii="Arial" w:hAnsi="Arial" w:cs="Arial"/>
        </w:rPr>
        <w:t xml:space="preserve">a </w:t>
      </w:r>
      <w:r w:rsidR="0046670D" w:rsidRPr="00D9566D">
        <w:rPr>
          <w:rFonts w:ascii="Arial" w:hAnsi="Arial" w:cs="Arial"/>
        </w:rPr>
        <w:t xml:space="preserve">successful bidder who was not </w:t>
      </w:r>
      <w:r w:rsidR="00F42E67" w:rsidRPr="00D9566D">
        <w:rPr>
          <w:rFonts w:ascii="Arial" w:hAnsi="Arial" w:cs="Arial"/>
        </w:rPr>
        <w:t xml:space="preserve">yet </w:t>
      </w:r>
      <w:r w:rsidR="0046670D" w:rsidRPr="00D9566D">
        <w:rPr>
          <w:rFonts w:ascii="Arial" w:hAnsi="Arial" w:cs="Arial"/>
        </w:rPr>
        <w:t xml:space="preserve">in possession of </w:t>
      </w:r>
      <w:r w:rsidR="0096002D" w:rsidRPr="00D9566D">
        <w:rPr>
          <w:rFonts w:ascii="Arial" w:hAnsi="Arial" w:cs="Arial"/>
        </w:rPr>
        <w:t>the</w:t>
      </w:r>
      <w:r w:rsidR="008D0732" w:rsidRPr="00D9566D">
        <w:rPr>
          <w:rFonts w:ascii="Arial" w:hAnsi="Arial" w:cs="Arial"/>
        </w:rPr>
        <w:t xml:space="preserve"> vehicles</w:t>
      </w:r>
      <w:r w:rsidR="0046670D" w:rsidRPr="00D9566D">
        <w:rPr>
          <w:rFonts w:ascii="Arial" w:hAnsi="Arial" w:cs="Arial"/>
        </w:rPr>
        <w:t xml:space="preserve"> would have 7 days after the conclusion of </w:t>
      </w:r>
      <w:r w:rsidR="00867847" w:rsidRPr="00D9566D">
        <w:rPr>
          <w:rFonts w:ascii="Arial" w:hAnsi="Arial" w:cs="Arial"/>
        </w:rPr>
        <w:t>a</w:t>
      </w:r>
      <w:r w:rsidR="0046670D" w:rsidRPr="00D9566D">
        <w:rPr>
          <w:rFonts w:ascii="Arial" w:hAnsi="Arial" w:cs="Arial"/>
        </w:rPr>
        <w:t xml:space="preserve"> contract</w:t>
      </w:r>
      <w:r w:rsidR="00867847" w:rsidRPr="00D9566D">
        <w:rPr>
          <w:rFonts w:ascii="Arial" w:hAnsi="Arial" w:cs="Arial"/>
        </w:rPr>
        <w:t xml:space="preserve"> pursuant to an award</w:t>
      </w:r>
      <w:r w:rsidR="008D0732" w:rsidRPr="00D9566D">
        <w:rPr>
          <w:rFonts w:ascii="Arial" w:hAnsi="Arial" w:cs="Arial"/>
        </w:rPr>
        <w:t>,</w:t>
      </w:r>
      <w:r w:rsidR="0046670D" w:rsidRPr="00D9566D">
        <w:rPr>
          <w:rFonts w:ascii="Arial" w:hAnsi="Arial" w:cs="Arial"/>
        </w:rPr>
        <w:t xml:space="preserve"> to buy or lease them.</w:t>
      </w:r>
    </w:p>
    <w:p w14:paraId="282EA06A" w14:textId="4CAC2724" w:rsidR="00B060CA"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12.</w:t>
      </w:r>
      <w:r w:rsidRPr="00D9566D">
        <w:rPr>
          <w:rFonts w:ascii="Arial" w:hAnsi="Arial" w:cs="Arial"/>
        </w:rPr>
        <w:tab/>
      </w:r>
      <w:r w:rsidR="0046670D" w:rsidRPr="00D9566D">
        <w:rPr>
          <w:rFonts w:ascii="Arial" w:hAnsi="Arial" w:cs="Arial"/>
        </w:rPr>
        <w:t>In response to the invitation to bid in tender 09/22</w:t>
      </w:r>
      <w:r w:rsidR="00B060CA" w:rsidRPr="00D9566D">
        <w:rPr>
          <w:rFonts w:ascii="Arial" w:hAnsi="Arial" w:cs="Arial"/>
        </w:rPr>
        <w:t>,</w:t>
      </w:r>
      <w:r w:rsidR="0046670D" w:rsidRPr="00D9566D">
        <w:rPr>
          <w:rFonts w:ascii="Arial" w:hAnsi="Arial" w:cs="Arial"/>
        </w:rPr>
        <w:t xml:space="preserve"> the applicant listed 6 projects on its DPW</w:t>
      </w:r>
      <w:r w:rsidR="00B060CA" w:rsidRPr="00D9566D">
        <w:rPr>
          <w:rFonts w:ascii="Arial" w:hAnsi="Arial" w:cs="Arial"/>
        </w:rPr>
        <w:t>-</w:t>
      </w:r>
      <w:r w:rsidR="0046670D" w:rsidRPr="00D9566D">
        <w:rPr>
          <w:rFonts w:ascii="Arial" w:hAnsi="Arial" w:cs="Arial"/>
        </w:rPr>
        <w:t xml:space="preserve">09 form </w:t>
      </w:r>
      <w:r w:rsidR="00E92F5B" w:rsidRPr="00D9566D">
        <w:rPr>
          <w:rFonts w:ascii="Arial" w:hAnsi="Arial" w:cs="Arial"/>
        </w:rPr>
        <w:t>as having been</w:t>
      </w:r>
      <w:r w:rsidR="0046670D" w:rsidRPr="00D9566D">
        <w:rPr>
          <w:rFonts w:ascii="Arial" w:hAnsi="Arial" w:cs="Arial"/>
        </w:rPr>
        <w:t xml:space="preserve"> completed </w:t>
      </w:r>
      <w:r w:rsidR="00B060CA" w:rsidRPr="00D9566D">
        <w:rPr>
          <w:rFonts w:ascii="Arial" w:hAnsi="Arial" w:cs="Arial"/>
        </w:rPr>
        <w:t xml:space="preserve">in </w:t>
      </w:r>
      <w:r w:rsidR="0046670D" w:rsidRPr="00D9566D">
        <w:rPr>
          <w:rFonts w:ascii="Arial" w:hAnsi="Arial" w:cs="Arial"/>
        </w:rPr>
        <w:t xml:space="preserve">the preceding 5 years. </w:t>
      </w:r>
      <w:r w:rsidR="00B060CA" w:rsidRPr="00D9566D">
        <w:rPr>
          <w:rFonts w:ascii="Arial" w:hAnsi="Arial" w:cs="Arial"/>
        </w:rPr>
        <w:t>Two</w:t>
      </w:r>
      <w:r w:rsidR="0046670D" w:rsidRPr="00D9566D">
        <w:rPr>
          <w:rFonts w:ascii="Arial" w:hAnsi="Arial" w:cs="Arial"/>
        </w:rPr>
        <w:t xml:space="preserve"> of these were tenders for the </w:t>
      </w:r>
      <w:r w:rsidR="007D114B" w:rsidRPr="00D9566D">
        <w:rPr>
          <w:rFonts w:ascii="Arial" w:hAnsi="Arial" w:cs="Arial"/>
        </w:rPr>
        <w:t>C</w:t>
      </w:r>
      <w:r w:rsidR="0046670D" w:rsidRPr="00D9566D">
        <w:rPr>
          <w:rFonts w:ascii="Arial" w:hAnsi="Arial" w:cs="Arial"/>
        </w:rPr>
        <w:t xml:space="preserve">ity of Cape Town: </w:t>
      </w:r>
      <w:r w:rsidR="00B060CA" w:rsidRPr="00D9566D">
        <w:rPr>
          <w:rFonts w:ascii="Arial" w:hAnsi="Arial" w:cs="Arial"/>
        </w:rPr>
        <w:t xml:space="preserve">1) </w:t>
      </w:r>
      <w:r w:rsidR="0046670D" w:rsidRPr="00D9566D">
        <w:rPr>
          <w:rFonts w:ascii="Arial" w:hAnsi="Arial" w:cs="Arial"/>
        </w:rPr>
        <w:t>tender 207 of 2016</w:t>
      </w:r>
      <w:r w:rsidR="004F7DED" w:rsidRPr="00D9566D">
        <w:rPr>
          <w:rFonts w:ascii="Arial" w:hAnsi="Arial" w:cs="Arial"/>
        </w:rPr>
        <w:t>/1</w:t>
      </w:r>
      <w:r w:rsidR="0046670D" w:rsidRPr="00D9566D">
        <w:rPr>
          <w:rFonts w:ascii="Arial" w:hAnsi="Arial" w:cs="Arial"/>
        </w:rPr>
        <w:t>7 which was for a contract sum of R117.9 million odd</w:t>
      </w:r>
      <w:r w:rsidR="00B060CA" w:rsidRPr="00D9566D">
        <w:rPr>
          <w:rFonts w:ascii="Arial" w:hAnsi="Arial" w:cs="Arial"/>
        </w:rPr>
        <w:t xml:space="preserve"> and</w:t>
      </w:r>
      <w:r w:rsidR="0046670D" w:rsidRPr="00D9566D">
        <w:rPr>
          <w:rFonts w:ascii="Arial" w:hAnsi="Arial" w:cs="Arial"/>
        </w:rPr>
        <w:t xml:space="preserve"> had been carried out over the period 1 December 2018-30 April 2022 and </w:t>
      </w:r>
      <w:r w:rsidR="00B060CA" w:rsidRPr="00D9566D">
        <w:rPr>
          <w:rFonts w:ascii="Arial" w:hAnsi="Arial" w:cs="Arial"/>
        </w:rPr>
        <w:t xml:space="preserve">2) </w:t>
      </w:r>
      <w:r w:rsidR="0046670D" w:rsidRPr="00D9566D">
        <w:rPr>
          <w:rFonts w:ascii="Arial" w:hAnsi="Arial" w:cs="Arial"/>
        </w:rPr>
        <w:t>tender 80S of 2012-2013 which was for a contract sum of R60 million odd and</w:t>
      </w:r>
      <w:r w:rsidR="00950B29" w:rsidRPr="00D9566D">
        <w:rPr>
          <w:rFonts w:ascii="Arial" w:hAnsi="Arial" w:cs="Arial"/>
        </w:rPr>
        <w:t xml:space="preserve"> </w:t>
      </w:r>
      <w:r w:rsidR="0046670D" w:rsidRPr="00D9566D">
        <w:rPr>
          <w:rFonts w:ascii="Arial" w:hAnsi="Arial" w:cs="Arial"/>
        </w:rPr>
        <w:t xml:space="preserve">had been carried out over the period 1 October 2014-30 November 2018. </w:t>
      </w:r>
    </w:p>
    <w:p w14:paraId="2B009D09" w14:textId="2E4CA03E" w:rsidR="00360AE3"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13.</w:t>
      </w:r>
      <w:r w:rsidRPr="00D9566D">
        <w:rPr>
          <w:rFonts w:ascii="Arial" w:hAnsi="Arial" w:cs="Arial"/>
        </w:rPr>
        <w:tab/>
      </w:r>
      <w:r w:rsidR="00B060CA" w:rsidRPr="00D9566D">
        <w:rPr>
          <w:rFonts w:ascii="Arial" w:hAnsi="Arial" w:cs="Arial"/>
        </w:rPr>
        <w:t>In addition, it listed two</w:t>
      </w:r>
      <w:r w:rsidR="0046670D" w:rsidRPr="00D9566D">
        <w:rPr>
          <w:rFonts w:ascii="Arial" w:hAnsi="Arial" w:cs="Arial"/>
        </w:rPr>
        <w:t xml:space="preserve"> tenders </w:t>
      </w:r>
      <w:r w:rsidR="00B060CA" w:rsidRPr="00D9566D">
        <w:rPr>
          <w:rFonts w:ascii="Arial" w:hAnsi="Arial" w:cs="Arial"/>
        </w:rPr>
        <w:t xml:space="preserve">it had completed </w:t>
      </w:r>
      <w:r w:rsidR="0046670D" w:rsidRPr="00D9566D">
        <w:rPr>
          <w:rFonts w:ascii="Arial" w:hAnsi="Arial" w:cs="Arial"/>
        </w:rPr>
        <w:t xml:space="preserve">for the Department of </w:t>
      </w:r>
      <w:r w:rsidR="00B060CA" w:rsidRPr="00D9566D">
        <w:rPr>
          <w:rFonts w:ascii="Arial" w:hAnsi="Arial" w:cs="Arial"/>
        </w:rPr>
        <w:t>A</w:t>
      </w:r>
      <w:r w:rsidR="0046670D" w:rsidRPr="00D9566D">
        <w:rPr>
          <w:rFonts w:ascii="Arial" w:hAnsi="Arial" w:cs="Arial"/>
        </w:rPr>
        <w:t xml:space="preserve">griculture, </w:t>
      </w:r>
      <w:r w:rsidR="00B060CA" w:rsidRPr="00D9566D">
        <w:rPr>
          <w:rFonts w:ascii="Arial" w:hAnsi="Arial" w:cs="Arial"/>
        </w:rPr>
        <w:t>F</w:t>
      </w:r>
      <w:r w:rsidR="0046670D" w:rsidRPr="00D9566D">
        <w:rPr>
          <w:rFonts w:ascii="Arial" w:hAnsi="Arial" w:cs="Arial"/>
        </w:rPr>
        <w:t xml:space="preserve">orestry and </w:t>
      </w:r>
      <w:r w:rsidR="00B060CA" w:rsidRPr="00D9566D">
        <w:rPr>
          <w:rFonts w:ascii="Arial" w:hAnsi="Arial" w:cs="Arial"/>
        </w:rPr>
        <w:t>F</w:t>
      </w:r>
      <w:r w:rsidR="0046670D" w:rsidRPr="00D9566D">
        <w:rPr>
          <w:rFonts w:ascii="Arial" w:hAnsi="Arial" w:cs="Arial"/>
        </w:rPr>
        <w:t>isheries (</w:t>
      </w:r>
      <w:r w:rsidR="00B060CA" w:rsidRPr="00D9566D">
        <w:rPr>
          <w:rFonts w:ascii="Arial" w:hAnsi="Arial" w:cs="Arial"/>
        </w:rPr>
        <w:t>‘</w:t>
      </w:r>
      <w:r w:rsidR="0046670D" w:rsidRPr="00D9566D">
        <w:rPr>
          <w:rFonts w:ascii="Arial" w:hAnsi="Arial" w:cs="Arial"/>
        </w:rPr>
        <w:t>DAFF</w:t>
      </w:r>
      <w:r w:rsidR="00B060CA" w:rsidRPr="00D9566D">
        <w:rPr>
          <w:rFonts w:ascii="Arial" w:hAnsi="Arial" w:cs="Arial"/>
        </w:rPr>
        <w:t>’</w:t>
      </w:r>
      <w:r w:rsidR="0046670D" w:rsidRPr="00D9566D">
        <w:rPr>
          <w:rFonts w:ascii="Arial" w:hAnsi="Arial" w:cs="Arial"/>
        </w:rPr>
        <w:t xml:space="preserve">): one </w:t>
      </w:r>
      <w:r w:rsidR="00360AE3" w:rsidRPr="00D9566D">
        <w:rPr>
          <w:rFonts w:ascii="Arial" w:hAnsi="Arial" w:cs="Arial"/>
        </w:rPr>
        <w:t>was for a</w:t>
      </w:r>
      <w:r w:rsidR="0046670D" w:rsidRPr="00D9566D">
        <w:rPr>
          <w:rFonts w:ascii="Arial" w:hAnsi="Arial" w:cs="Arial"/>
        </w:rPr>
        <w:t xml:space="preserve"> contract sum of R483</w:t>
      </w:r>
      <w:r w:rsidR="00360AE3" w:rsidRPr="00D9566D">
        <w:rPr>
          <w:rFonts w:ascii="Arial" w:hAnsi="Arial" w:cs="Arial"/>
        </w:rPr>
        <w:t xml:space="preserve"> </w:t>
      </w:r>
      <w:r w:rsidR="0046670D" w:rsidRPr="00D9566D">
        <w:rPr>
          <w:rFonts w:ascii="Arial" w:hAnsi="Arial" w:cs="Arial"/>
        </w:rPr>
        <w:t>383</w:t>
      </w:r>
      <w:r w:rsidR="00360AE3" w:rsidRPr="00D9566D">
        <w:rPr>
          <w:rFonts w:ascii="Arial" w:hAnsi="Arial" w:cs="Arial"/>
        </w:rPr>
        <w:t xml:space="preserve"> for a </w:t>
      </w:r>
      <w:r w:rsidR="00950B29" w:rsidRPr="00D9566D">
        <w:rPr>
          <w:rFonts w:ascii="Arial" w:hAnsi="Arial" w:cs="Arial"/>
        </w:rPr>
        <w:t>5-</w:t>
      </w:r>
      <w:r w:rsidR="00360AE3" w:rsidRPr="00D9566D">
        <w:rPr>
          <w:rFonts w:ascii="Arial" w:hAnsi="Arial" w:cs="Arial"/>
        </w:rPr>
        <w:t>month</w:t>
      </w:r>
      <w:r w:rsidR="0046670D" w:rsidRPr="00D9566D">
        <w:rPr>
          <w:rFonts w:ascii="Arial" w:hAnsi="Arial" w:cs="Arial"/>
        </w:rPr>
        <w:t xml:space="preserve"> project between March and August 2019 and the </w:t>
      </w:r>
      <w:r w:rsidR="00360AE3" w:rsidRPr="00D9566D">
        <w:rPr>
          <w:rFonts w:ascii="Arial" w:hAnsi="Arial" w:cs="Arial"/>
        </w:rPr>
        <w:t>other was for</w:t>
      </w:r>
      <w:r w:rsidR="0046670D" w:rsidRPr="00D9566D">
        <w:rPr>
          <w:rFonts w:ascii="Arial" w:hAnsi="Arial" w:cs="Arial"/>
        </w:rPr>
        <w:t xml:space="preserve"> a contract sum of R272</w:t>
      </w:r>
      <w:r w:rsidR="00360AE3" w:rsidRPr="00D9566D">
        <w:rPr>
          <w:rFonts w:ascii="Arial" w:hAnsi="Arial" w:cs="Arial"/>
        </w:rPr>
        <w:t xml:space="preserve"> </w:t>
      </w:r>
      <w:r w:rsidR="0046670D" w:rsidRPr="00D9566D">
        <w:rPr>
          <w:rFonts w:ascii="Arial" w:hAnsi="Arial" w:cs="Arial"/>
        </w:rPr>
        <w:t>587 for a</w:t>
      </w:r>
      <w:r w:rsidR="00360AE3" w:rsidRPr="00D9566D">
        <w:rPr>
          <w:rFonts w:ascii="Arial" w:hAnsi="Arial" w:cs="Arial"/>
        </w:rPr>
        <w:t>n</w:t>
      </w:r>
      <w:r w:rsidR="0046670D" w:rsidRPr="00D9566D">
        <w:rPr>
          <w:rFonts w:ascii="Arial" w:hAnsi="Arial" w:cs="Arial"/>
        </w:rPr>
        <w:t xml:space="preserve"> </w:t>
      </w:r>
      <w:r w:rsidR="00360AE3" w:rsidRPr="00D9566D">
        <w:rPr>
          <w:rFonts w:ascii="Arial" w:hAnsi="Arial" w:cs="Arial"/>
        </w:rPr>
        <w:t>11-day project</w:t>
      </w:r>
      <w:r w:rsidR="0046670D" w:rsidRPr="00D9566D">
        <w:rPr>
          <w:rFonts w:ascii="Arial" w:hAnsi="Arial" w:cs="Arial"/>
        </w:rPr>
        <w:t xml:space="preserve"> in August 2018. </w:t>
      </w:r>
    </w:p>
    <w:p w14:paraId="188C6603" w14:textId="26CD5543" w:rsidR="00360AE3"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14.</w:t>
      </w:r>
      <w:r w:rsidRPr="00D9566D">
        <w:rPr>
          <w:rFonts w:ascii="Arial" w:hAnsi="Arial" w:cs="Arial"/>
        </w:rPr>
        <w:tab/>
      </w:r>
      <w:r w:rsidR="0046670D" w:rsidRPr="00D9566D">
        <w:rPr>
          <w:rFonts w:ascii="Arial" w:hAnsi="Arial" w:cs="Arial"/>
        </w:rPr>
        <w:t>The remaining 2 projects listed on the DPW</w:t>
      </w:r>
      <w:r w:rsidR="00360AE3" w:rsidRPr="00D9566D">
        <w:rPr>
          <w:rFonts w:ascii="Arial" w:hAnsi="Arial" w:cs="Arial"/>
        </w:rPr>
        <w:t>-</w:t>
      </w:r>
      <w:r w:rsidR="0046670D" w:rsidRPr="00D9566D">
        <w:rPr>
          <w:rFonts w:ascii="Arial" w:hAnsi="Arial" w:cs="Arial"/>
        </w:rPr>
        <w:t xml:space="preserve">09 were for </w:t>
      </w:r>
      <w:r w:rsidR="00360AE3" w:rsidRPr="00D9566D">
        <w:rPr>
          <w:rFonts w:ascii="Arial" w:hAnsi="Arial" w:cs="Arial"/>
        </w:rPr>
        <w:t xml:space="preserve">work done for </w:t>
      </w:r>
      <w:r w:rsidR="0046670D" w:rsidRPr="00D9566D">
        <w:rPr>
          <w:rFonts w:ascii="Arial" w:hAnsi="Arial" w:cs="Arial"/>
        </w:rPr>
        <w:t xml:space="preserve">the National </w:t>
      </w:r>
      <w:r w:rsidR="00360AE3" w:rsidRPr="00D9566D">
        <w:rPr>
          <w:rFonts w:ascii="Arial" w:hAnsi="Arial" w:cs="Arial"/>
        </w:rPr>
        <w:t>L</w:t>
      </w:r>
      <w:r w:rsidR="0046670D" w:rsidRPr="00D9566D">
        <w:rPr>
          <w:rFonts w:ascii="Arial" w:hAnsi="Arial" w:cs="Arial"/>
        </w:rPr>
        <w:t xml:space="preserve">otteries </w:t>
      </w:r>
      <w:r w:rsidR="00360AE3" w:rsidRPr="00D9566D">
        <w:rPr>
          <w:rFonts w:ascii="Arial" w:hAnsi="Arial" w:cs="Arial"/>
        </w:rPr>
        <w:t>C</w:t>
      </w:r>
      <w:r w:rsidR="0046670D" w:rsidRPr="00D9566D">
        <w:rPr>
          <w:rFonts w:ascii="Arial" w:hAnsi="Arial" w:cs="Arial"/>
        </w:rPr>
        <w:t xml:space="preserve">ommission for </w:t>
      </w:r>
      <w:r w:rsidR="00360AE3" w:rsidRPr="00D9566D">
        <w:rPr>
          <w:rFonts w:ascii="Arial" w:hAnsi="Arial" w:cs="Arial"/>
        </w:rPr>
        <w:t xml:space="preserve">a </w:t>
      </w:r>
      <w:r w:rsidR="0046670D" w:rsidRPr="00D9566D">
        <w:rPr>
          <w:rFonts w:ascii="Arial" w:hAnsi="Arial" w:cs="Arial"/>
        </w:rPr>
        <w:t>contract sum of R211</w:t>
      </w:r>
      <w:r w:rsidR="00360AE3" w:rsidRPr="00D9566D">
        <w:rPr>
          <w:rFonts w:ascii="Arial" w:hAnsi="Arial" w:cs="Arial"/>
        </w:rPr>
        <w:t xml:space="preserve"> </w:t>
      </w:r>
      <w:r w:rsidR="0046670D" w:rsidRPr="00D9566D">
        <w:rPr>
          <w:rFonts w:ascii="Arial" w:hAnsi="Arial" w:cs="Arial"/>
        </w:rPr>
        <w:t>581 over the period March 2016 to December 2017</w:t>
      </w:r>
      <w:r w:rsidR="00360AE3" w:rsidRPr="00D9566D">
        <w:rPr>
          <w:rFonts w:ascii="Arial" w:hAnsi="Arial" w:cs="Arial"/>
        </w:rPr>
        <w:t>, and for Willjarro</w:t>
      </w:r>
      <w:r w:rsidR="0046670D" w:rsidRPr="00D9566D">
        <w:rPr>
          <w:rFonts w:ascii="Arial" w:hAnsi="Arial" w:cs="Arial"/>
        </w:rPr>
        <w:t xml:space="preserve"> (Pty) Ltd for a contract sum of R375</w:t>
      </w:r>
      <w:r w:rsidR="00360AE3" w:rsidRPr="00D9566D">
        <w:rPr>
          <w:rFonts w:ascii="Arial" w:hAnsi="Arial" w:cs="Arial"/>
        </w:rPr>
        <w:t xml:space="preserve"> </w:t>
      </w:r>
      <w:r w:rsidR="0046670D" w:rsidRPr="00D9566D">
        <w:rPr>
          <w:rFonts w:ascii="Arial" w:hAnsi="Arial" w:cs="Arial"/>
        </w:rPr>
        <w:t xml:space="preserve">680 over </w:t>
      </w:r>
      <w:r w:rsidR="00360AE3" w:rsidRPr="00D9566D">
        <w:rPr>
          <w:rFonts w:ascii="Arial" w:hAnsi="Arial" w:cs="Arial"/>
        </w:rPr>
        <w:t xml:space="preserve">a </w:t>
      </w:r>
      <w:r w:rsidR="0046670D" w:rsidRPr="00D9566D">
        <w:rPr>
          <w:rFonts w:ascii="Arial" w:hAnsi="Arial" w:cs="Arial"/>
        </w:rPr>
        <w:t>30</w:t>
      </w:r>
      <w:r w:rsidR="00360AE3" w:rsidRPr="00D9566D">
        <w:rPr>
          <w:rFonts w:ascii="Arial" w:hAnsi="Arial" w:cs="Arial"/>
        </w:rPr>
        <w:t>-</w:t>
      </w:r>
      <w:r w:rsidR="0046670D" w:rsidRPr="00D9566D">
        <w:rPr>
          <w:rFonts w:ascii="Arial" w:hAnsi="Arial" w:cs="Arial"/>
        </w:rPr>
        <w:t xml:space="preserve">month period between December 2016 </w:t>
      </w:r>
      <w:r w:rsidR="00360AE3" w:rsidRPr="00D9566D">
        <w:rPr>
          <w:rFonts w:ascii="Arial" w:hAnsi="Arial" w:cs="Arial"/>
        </w:rPr>
        <w:t>and</w:t>
      </w:r>
      <w:r w:rsidR="0046670D" w:rsidRPr="00D9566D">
        <w:rPr>
          <w:rFonts w:ascii="Arial" w:hAnsi="Arial" w:cs="Arial"/>
        </w:rPr>
        <w:t xml:space="preserve"> January 2018. </w:t>
      </w:r>
    </w:p>
    <w:p w14:paraId="75710A9D" w14:textId="28C4F3E5" w:rsidR="0046670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15.</w:t>
      </w:r>
      <w:r w:rsidRPr="00D9566D">
        <w:rPr>
          <w:rFonts w:ascii="Arial" w:hAnsi="Arial" w:cs="Arial"/>
        </w:rPr>
        <w:tab/>
      </w:r>
      <w:r w:rsidR="0046670D" w:rsidRPr="00D9566D">
        <w:rPr>
          <w:rFonts w:ascii="Arial" w:hAnsi="Arial" w:cs="Arial"/>
        </w:rPr>
        <w:t>In substantiation of the</w:t>
      </w:r>
      <w:r w:rsidR="00360AE3" w:rsidRPr="00D9566D">
        <w:rPr>
          <w:rFonts w:ascii="Arial" w:hAnsi="Arial" w:cs="Arial"/>
        </w:rPr>
        <w:t xml:space="preserve"> </w:t>
      </w:r>
      <w:r w:rsidR="00950B29" w:rsidRPr="00D9566D">
        <w:rPr>
          <w:rFonts w:ascii="Arial" w:hAnsi="Arial" w:cs="Arial"/>
        </w:rPr>
        <w:t>6</w:t>
      </w:r>
      <w:r w:rsidR="00360AE3" w:rsidRPr="00D9566D">
        <w:rPr>
          <w:rFonts w:ascii="Arial" w:hAnsi="Arial" w:cs="Arial"/>
        </w:rPr>
        <w:t xml:space="preserve"> </w:t>
      </w:r>
      <w:r w:rsidR="0046670D" w:rsidRPr="00D9566D">
        <w:rPr>
          <w:rFonts w:ascii="Arial" w:hAnsi="Arial" w:cs="Arial"/>
        </w:rPr>
        <w:t xml:space="preserve">projects the applicant submitted a letter from a Mr T Jackson the </w:t>
      </w:r>
      <w:r w:rsidR="00360AE3" w:rsidRPr="00D9566D">
        <w:rPr>
          <w:rFonts w:ascii="Arial" w:hAnsi="Arial" w:cs="Arial"/>
        </w:rPr>
        <w:t>H</w:t>
      </w:r>
      <w:r w:rsidR="0046670D" w:rsidRPr="00D9566D">
        <w:rPr>
          <w:rFonts w:ascii="Arial" w:hAnsi="Arial" w:cs="Arial"/>
        </w:rPr>
        <w:t xml:space="preserve">ead of </w:t>
      </w:r>
      <w:r w:rsidR="00360AE3" w:rsidRPr="00D9566D">
        <w:rPr>
          <w:rFonts w:ascii="Arial" w:hAnsi="Arial" w:cs="Arial"/>
        </w:rPr>
        <w:t>S</w:t>
      </w:r>
      <w:r w:rsidR="0046670D" w:rsidRPr="00D9566D">
        <w:rPr>
          <w:rFonts w:ascii="Arial" w:hAnsi="Arial" w:cs="Arial"/>
        </w:rPr>
        <w:t xml:space="preserve">afety and </w:t>
      </w:r>
      <w:r w:rsidR="00360AE3" w:rsidRPr="00D9566D">
        <w:rPr>
          <w:rFonts w:ascii="Arial" w:hAnsi="Arial" w:cs="Arial"/>
        </w:rPr>
        <w:t>S</w:t>
      </w:r>
      <w:r w:rsidR="0046670D" w:rsidRPr="00D9566D">
        <w:rPr>
          <w:rFonts w:ascii="Arial" w:hAnsi="Arial" w:cs="Arial"/>
        </w:rPr>
        <w:t xml:space="preserve">ecurity </w:t>
      </w:r>
      <w:r w:rsidR="00360AE3" w:rsidRPr="00D9566D">
        <w:rPr>
          <w:rFonts w:ascii="Arial" w:hAnsi="Arial" w:cs="Arial"/>
        </w:rPr>
        <w:t>S</w:t>
      </w:r>
      <w:r w:rsidR="0046670D" w:rsidRPr="00D9566D">
        <w:rPr>
          <w:rFonts w:ascii="Arial" w:hAnsi="Arial" w:cs="Arial"/>
        </w:rPr>
        <w:t xml:space="preserve">ervices: </w:t>
      </w:r>
      <w:r w:rsidR="00360AE3" w:rsidRPr="00D9566D">
        <w:rPr>
          <w:rFonts w:ascii="Arial" w:hAnsi="Arial" w:cs="Arial"/>
        </w:rPr>
        <w:t>F</w:t>
      </w:r>
      <w:r w:rsidR="0046670D" w:rsidRPr="00D9566D">
        <w:rPr>
          <w:rFonts w:ascii="Arial" w:hAnsi="Arial" w:cs="Arial"/>
        </w:rPr>
        <w:t xml:space="preserve">acilities </w:t>
      </w:r>
      <w:r w:rsidR="00360AE3" w:rsidRPr="00D9566D">
        <w:rPr>
          <w:rFonts w:ascii="Arial" w:hAnsi="Arial" w:cs="Arial"/>
        </w:rPr>
        <w:t>M</w:t>
      </w:r>
      <w:r w:rsidR="0046670D" w:rsidRPr="00D9566D">
        <w:rPr>
          <w:rFonts w:ascii="Arial" w:hAnsi="Arial" w:cs="Arial"/>
        </w:rPr>
        <w:t xml:space="preserve">anagement of the </w:t>
      </w:r>
      <w:r w:rsidR="00360AE3" w:rsidRPr="00D9566D">
        <w:rPr>
          <w:rFonts w:ascii="Arial" w:hAnsi="Arial" w:cs="Arial"/>
        </w:rPr>
        <w:t>C</w:t>
      </w:r>
      <w:r w:rsidR="0046670D" w:rsidRPr="00D9566D">
        <w:rPr>
          <w:rFonts w:ascii="Arial" w:hAnsi="Arial" w:cs="Arial"/>
        </w:rPr>
        <w:t>ity of Cape Town</w:t>
      </w:r>
      <w:r w:rsidR="00950B29" w:rsidRPr="00D9566D">
        <w:rPr>
          <w:rFonts w:ascii="Arial" w:hAnsi="Arial" w:cs="Arial"/>
        </w:rPr>
        <w:t>,</w:t>
      </w:r>
      <w:r w:rsidR="0046670D" w:rsidRPr="00D9566D">
        <w:rPr>
          <w:rFonts w:ascii="Arial" w:hAnsi="Arial" w:cs="Arial"/>
        </w:rPr>
        <w:t xml:space="preserve"> dated 30 October 2018</w:t>
      </w:r>
      <w:r w:rsidR="00360AE3" w:rsidRPr="00D9566D">
        <w:rPr>
          <w:rFonts w:ascii="Arial" w:hAnsi="Arial" w:cs="Arial"/>
        </w:rPr>
        <w:t xml:space="preserve">, </w:t>
      </w:r>
      <w:r w:rsidR="0046670D" w:rsidRPr="00D9566D">
        <w:rPr>
          <w:rFonts w:ascii="Arial" w:hAnsi="Arial" w:cs="Arial"/>
        </w:rPr>
        <w:t xml:space="preserve">a purchase order dated 29 </w:t>
      </w:r>
      <w:r w:rsidR="0046670D" w:rsidRPr="00D9566D">
        <w:rPr>
          <w:rFonts w:ascii="Arial" w:hAnsi="Arial" w:cs="Arial"/>
        </w:rPr>
        <w:lastRenderedPageBreak/>
        <w:t xml:space="preserve">March 2019 in respect of the </w:t>
      </w:r>
      <w:r w:rsidR="00360AE3" w:rsidRPr="00D9566D">
        <w:rPr>
          <w:rFonts w:ascii="Arial" w:hAnsi="Arial" w:cs="Arial"/>
        </w:rPr>
        <w:t>D</w:t>
      </w:r>
      <w:r w:rsidR="0046670D" w:rsidRPr="00D9566D">
        <w:rPr>
          <w:rFonts w:ascii="Arial" w:hAnsi="Arial" w:cs="Arial"/>
        </w:rPr>
        <w:t>AFF tender for the contract sum of R483</w:t>
      </w:r>
      <w:r w:rsidR="00360AE3" w:rsidRPr="00D9566D">
        <w:rPr>
          <w:rFonts w:ascii="Arial" w:hAnsi="Arial" w:cs="Arial"/>
        </w:rPr>
        <w:t xml:space="preserve"> </w:t>
      </w:r>
      <w:r w:rsidR="0046670D" w:rsidRPr="00D9566D">
        <w:rPr>
          <w:rFonts w:ascii="Arial" w:hAnsi="Arial" w:cs="Arial"/>
        </w:rPr>
        <w:t>363</w:t>
      </w:r>
      <w:r w:rsidR="007D114B" w:rsidRPr="00D9566D">
        <w:rPr>
          <w:rFonts w:ascii="Arial" w:hAnsi="Arial" w:cs="Arial"/>
        </w:rPr>
        <w:t>,</w:t>
      </w:r>
      <w:r w:rsidR="004858DD" w:rsidRPr="00D9566D">
        <w:rPr>
          <w:rFonts w:ascii="Arial" w:hAnsi="Arial" w:cs="Arial"/>
        </w:rPr>
        <w:t xml:space="preserve"> and a letter of </w:t>
      </w:r>
      <w:r w:rsidR="00360AE3" w:rsidRPr="00D9566D">
        <w:rPr>
          <w:rFonts w:ascii="Arial" w:hAnsi="Arial" w:cs="Arial"/>
        </w:rPr>
        <w:t>‘</w:t>
      </w:r>
      <w:r w:rsidR="004858DD" w:rsidRPr="00D9566D">
        <w:rPr>
          <w:rFonts w:ascii="Arial" w:hAnsi="Arial" w:cs="Arial"/>
        </w:rPr>
        <w:t>commendation</w:t>
      </w:r>
      <w:r w:rsidR="00360AE3" w:rsidRPr="00D9566D">
        <w:rPr>
          <w:rFonts w:ascii="Arial" w:hAnsi="Arial" w:cs="Arial"/>
        </w:rPr>
        <w:t>’</w:t>
      </w:r>
      <w:r w:rsidR="004858DD" w:rsidRPr="00D9566D">
        <w:rPr>
          <w:rFonts w:ascii="Arial" w:hAnsi="Arial" w:cs="Arial"/>
        </w:rPr>
        <w:t xml:space="preserve"> from a project manager at </w:t>
      </w:r>
      <w:r w:rsidR="00360AE3" w:rsidRPr="00D9566D">
        <w:rPr>
          <w:rFonts w:ascii="Arial" w:hAnsi="Arial" w:cs="Arial"/>
        </w:rPr>
        <w:t xml:space="preserve">Willjarro </w:t>
      </w:r>
      <w:r w:rsidR="004858DD" w:rsidRPr="00D9566D">
        <w:rPr>
          <w:rFonts w:ascii="Arial" w:hAnsi="Arial" w:cs="Arial"/>
        </w:rPr>
        <w:t>(Pty Ltd dated 21 February 2017.</w:t>
      </w:r>
    </w:p>
    <w:p w14:paraId="4E55C49B" w14:textId="39EF34AF" w:rsidR="004858D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16.</w:t>
      </w:r>
      <w:r w:rsidRPr="00D9566D">
        <w:rPr>
          <w:rFonts w:ascii="Arial" w:hAnsi="Arial" w:cs="Arial"/>
        </w:rPr>
        <w:tab/>
      </w:r>
      <w:r w:rsidR="007D114B" w:rsidRPr="00D9566D">
        <w:rPr>
          <w:rFonts w:ascii="Arial" w:hAnsi="Arial" w:cs="Arial"/>
        </w:rPr>
        <w:t>Regarding</w:t>
      </w:r>
      <w:r w:rsidR="004858DD" w:rsidRPr="00D9566D">
        <w:rPr>
          <w:rFonts w:ascii="Arial" w:hAnsi="Arial" w:cs="Arial"/>
        </w:rPr>
        <w:t xml:space="preserve"> the requirement to submit proof of an administrative office in South Africa the applicant attached a copy of </w:t>
      </w:r>
      <w:r w:rsidR="00360AE3" w:rsidRPr="00D9566D">
        <w:rPr>
          <w:rFonts w:ascii="Arial" w:hAnsi="Arial" w:cs="Arial"/>
        </w:rPr>
        <w:t xml:space="preserve">a </w:t>
      </w:r>
      <w:r w:rsidR="004858DD" w:rsidRPr="00D9566D">
        <w:rPr>
          <w:rFonts w:ascii="Arial" w:hAnsi="Arial" w:cs="Arial"/>
        </w:rPr>
        <w:t xml:space="preserve">lease agreement which it had </w:t>
      </w:r>
      <w:r w:rsidR="00A403B6" w:rsidRPr="00D9566D">
        <w:rPr>
          <w:rFonts w:ascii="Arial" w:hAnsi="Arial" w:cs="Arial"/>
        </w:rPr>
        <w:t xml:space="preserve">concluded </w:t>
      </w:r>
      <w:r w:rsidR="004858DD" w:rsidRPr="00D9566D">
        <w:rPr>
          <w:rFonts w:ascii="Arial" w:hAnsi="Arial" w:cs="Arial"/>
        </w:rPr>
        <w:t>for the lease of premises in Milnerton</w:t>
      </w:r>
      <w:r w:rsidR="00360AE3" w:rsidRPr="00D9566D">
        <w:rPr>
          <w:rFonts w:ascii="Arial" w:hAnsi="Arial" w:cs="Arial"/>
        </w:rPr>
        <w:t>,</w:t>
      </w:r>
      <w:r w:rsidR="004858DD" w:rsidRPr="00D9566D">
        <w:rPr>
          <w:rFonts w:ascii="Arial" w:hAnsi="Arial" w:cs="Arial"/>
        </w:rPr>
        <w:t xml:space="preserve"> in Cape Town</w:t>
      </w:r>
      <w:r w:rsidR="00A403B6" w:rsidRPr="00D9566D">
        <w:rPr>
          <w:rFonts w:ascii="Arial" w:hAnsi="Arial" w:cs="Arial"/>
        </w:rPr>
        <w:t>,</w:t>
      </w:r>
      <w:r w:rsidR="004858DD" w:rsidRPr="00D9566D">
        <w:rPr>
          <w:rFonts w:ascii="Arial" w:hAnsi="Arial" w:cs="Arial"/>
        </w:rPr>
        <w:t xml:space="preserve"> for a period of 3 years between 1 December 2018 and 30 November 2021. The agreement provided</w:t>
      </w:r>
      <w:r w:rsidR="00360AE3" w:rsidRPr="00D9566D">
        <w:rPr>
          <w:rFonts w:ascii="Arial" w:hAnsi="Arial" w:cs="Arial"/>
        </w:rPr>
        <w:t xml:space="preserve"> that </w:t>
      </w:r>
      <w:r w:rsidR="004858DD" w:rsidRPr="00D9566D">
        <w:rPr>
          <w:rFonts w:ascii="Arial" w:hAnsi="Arial" w:cs="Arial"/>
        </w:rPr>
        <w:t xml:space="preserve">the lessee had an option to renew </w:t>
      </w:r>
      <w:r w:rsidR="00360AE3" w:rsidRPr="00D9566D">
        <w:rPr>
          <w:rFonts w:ascii="Arial" w:hAnsi="Arial" w:cs="Arial"/>
        </w:rPr>
        <w:t xml:space="preserve">the lease </w:t>
      </w:r>
      <w:r w:rsidR="004858DD" w:rsidRPr="00D9566D">
        <w:rPr>
          <w:rFonts w:ascii="Arial" w:hAnsi="Arial" w:cs="Arial"/>
        </w:rPr>
        <w:t xml:space="preserve">for a further </w:t>
      </w:r>
      <w:r w:rsidR="00C65BBA" w:rsidRPr="00D9566D">
        <w:rPr>
          <w:rFonts w:ascii="Arial" w:hAnsi="Arial" w:cs="Arial"/>
        </w:rPr>
        <w:t>3</w:t>
      </w:r>
      <w:r w:rsidR="00360AE3" w:rsidRPr="00D9566D">
        <w:rPr>
          <w:rFonts w:ascii="Arial" w:hAnsi="Arial" w:cs="Arial"/>
        </w:rPr>
        <w:t>-</w:t>
      </w:r>
      <w:r w:rsidR="004858DD" w:rsidRPr="00D9566D">
        <w:rPr>
          <w:rFonts w:ascii="Arial" w:hAnsi="Arial" w:cs="Arial"/>
        </w:rPr>
        <w:t>year period</w:t>
      </w:r>
      <w:r w:rsidR="00360AE3" w:rsidRPr="00D9566D">
        <w:rPr>
          <w:rFonts w:ascii="Arial" w:hAnsi="Arial" w:cs="Arial"/>
        </w:rPr>
        <w:t>,</w:t>
      </w:r>
      <w:r w:rsidR="004858DD" w:rsidRPr="00D9566D">
        <w:rPr>
          <w:rFonts w:ascii="Arial" w:hAnsi="Arial" w:cs="Arial"/>
        </w:rPr>
        <w:t xml:space="preserve"> provided it gave written notice of its intention to do so at least 3 calendar months prior to the expiry of the initial </w:t>
      </w:r>
      <w:r w:rsidR="00C65BBA" w:rsidRPr="00D9566D">
        <w:rPr>
          <w:rFonts w:ascii="Arial" w:hAnsi="Arial" w:cs="Arial"/>
        </w:rPr>
        <w:t>3</w:t>
      </w:r>
      <w:r w:rsidR="00360AE3" w:rsidRPr="00D9566D">
        <w:rPr>
          <w:rFonts w:ascii="Arial" w:hAnsi="Arial" w:cs="Arial"/>
        </w:rPr>
        <w:t>-</w:t>
      </w:r>
      <w:r w:rsidR="004858DD" w:rsidRPr="00D9566D">
        <w:rPr>
          <w:rFonts w:ascii="Arial" w:hAnsi="Arial" w:cs="Arial"/>
        </w:rPr>
        <w:t>year period.</w:t>
      </w:r>
      <w:r w:rsidR="00360AE3" w:rsidRPr="00D9566D">
        <w:rPr>
          <w:rFonts w:ascii="Arial" w:hAnsi="Arial" w:cs="Arial"/>
        </w:rPr>
        <w:t xml:space="preserve"> The applicant did not attach any documentation evidencing an extension of the lease.</w:t>
      </w:r>
      <w:r w:rsidR="007D114B" w:rsidRPr="00D9566D">
        <w:rPr>
          <w:rFonts w:ascii="Arial" w:hAnsi="Arial" w:cs="Arial"/>
        </w:rPr>
        <w:t xml:space="preserve"> </w:t>
      </w:r>
    </w:p>
    <w:p w14:paraId="317AF547" w14:textId="5B0DC298" w:rsidR="004858D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17.</w:t>
      </w:r>
      <w:r w:rsidRPr="00D9566D">
        <w:rPr>
          <w:rFonts w:ascii="Arial" w:hAnsi="Arial" w:cs="Arial"/>
        </w:rPr>
        <w:tab/>
      </w:r>
      <w:r w:rsidR="004858DD" w:rsidRPr="00D9566D">
        <w:rPr>
          <w:rFonts w:ascii="Arial" w:hAnsi="Arial" w:cs="Arial"/>
        </w:rPr>
        <w:t xml:space="preserve">In relation to the requirement to provide proof of ownership or </w:t>
      </w:r>
      <w:r w:rsidR="00CD6E0F" w:rsidRPr="00D9566D">
        <w:rPr>
          <w:rFonts w:ascii="Arial" w:hAnsi="Arial" w:cs="Arial"/>
        </w:rPr>
        <w:t>lease</w:t>
      </w:r>
      <w:r w:rsidR="004858DD" w:rsidRPr="00D9566D">
        <w:rPr>
          <w:rFonts w:ascii="Arial" w:hAnsi="Arial" w:cs="Arial"/>
        </w:rPr>
        <w:t xml:space="preserve"> rights </w:t>
      </w:r>
      <w:r w:rsidR="00360AE3" w:rsidRPr="00D9566D">
        <w:rPr>
          <w:rFonts w:ascii="Arial" w:hAnsi="Arial" w:cs="Arial"/>
        </w:rPr>
        <w:t>over 2</w:t>
      </w:r>
      <w:r w:rsidR="004858DD" w:rsidRPr="00D9566D">
        <w:rPr>
          <w:rFonts w:ascii="Arial" w:hAnsi="Arial" w:cs="Arial"/>
        </w:rPr>
        <w:t xml:space="preserve"> response vehicles the applicant attached copies of </w:t>
      </w:r>
      <w:r w:rsidR="00360AE3" w:rsidRPr="00D9566D">
        <w:rPr>
          <w:rFonts w:ascii="Arial" w:hAnsi="Arial" w:cs="Arial"/>
        </w:rPr>
        <w:t xml:space="preserve">registration </w:t>
      </w:r>
      <w:r w:rsidR="004858DD" w:rsidRPr="00D9566D">
        <w:rPr>
          <w:rFonts w:ascii="Arial" w:hAnsi="Arial" w:cs="Arial"/>
        </w:rPr>
        <w:t xml:space="preserve">certificates, in the name of the Republic of South Africa, for </w:t>
      </w:r>
      <w:r w:rsidR="00360AE3" w:rsidRPr="00D9566D">
        <w:rPr>
          <w:rFonts w:ascii="Arial" w:hAnsi="Arial" w:cs="Arial"/>
        </w:rPr>
        <w:t xml:space="preserve">a </w:t>
      </w:r>
      <w:r w:rsidR="004858DD" w:rsidRPr="00D9566D">
        <w:rPr>
          <w:rFonts w:ascii="Arial" w:hAnsi="Arial" w:cs="Arial"/>
        </w:rPr>
        <w:t>2021 Toyota Ag</w:t>
      </w:r>
      <w:r w:rsidR="00360AE3" w:rsidRPr="00D9566D">
        <w:rPr>
          <w:rFonts w:ascii="Arial" w:hAnsi="Arial" w:cs="Arial"/>
        </w:rPr>
        <w:t>ya</w:t>
      </w:r>
      <w:r w:rsidR="004858DD" w:rsidRPr="00D9566D">
        <w:rPr>
          <w:rFonts w:ascii="Arial" w:hAnsi="Arial" w:cs="Arial"/>
        </w:rPr>
        <w:t xml:space="preserve"> and a 2021 Toyota Corolla.</w:t>
      </w:r>
    </w:p>
    <w:p w14:paraId="04116F42" w14:textId="6C92E951" w:rsidR="004858D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18.</w:t>
      </w:r>
      <w:r w:rsidRPr="00D9566D">
        <w:rPr>
          <w:rFonts w:ascii="Arial" w:hAnsi="Arial" w:cs="Arial"/>
        </w:rPr>
        <w:tab/>
      </w:r>
      <w:r w:rsidR="004858DD" w:rsidRPr="00D9566D">
        <w:rPr>
          <w:rFonts w:ascii="Arial" w:hAnsi="Arial" w:cs="Arial"/>
        </w:rPr>
        <w:t xml:space="preserve">That then as far as the documents in respect of tender 09/22. </w:t>
      </w:r>
      <w:r w:rsidR="00AB458F" w:rsidRPr="00D9566D">
        <w:rPr>
          <w:rFonts w:ascii="Arial" w:hAnsi="Arial" w:cs="Arial"/>
        </w:rPr>
        <w:t xml:space="preserve">As far as </w:t>
      </w:r>
      <w:r w:rsidR="004858DD" w:rsidRPr="00D9566D">
        <w:rPr>
          <w:rFonts w:ascii="Arial" w:hAnsi="Arial" w:cs="Arial"/>
        </w:rPr>
        <w:t>tender 10/22 is concerned it is not necessary to traverse the full bid documentation that was submitted</w:t>
      </w:r>
      <w:r w:rsidR="00AB458F" w:rsidRPr="00D9566D">
        <w:rPr>
          <w:rFonts w:ascii="Arial" w:hAnsi="Arial" w:cs="Arial"/>
        </w:rPr>
        <w:t xml:space="preserve">, </w:t>
      </w:r>
      <w:r w:rsidR="004858DD" w:rsidRPr="00D9566D">
        <w:rPr>
          <w:rFonts w:ascii="Arial" w:hAnsi="Arial" w:cs="Arial"/>
        </w:rPr>
        <w:t xml:space="preserve">given that the applicant was disqualified on the basis that it failed to submit a copy of a valid certificate of its registration with </w:t>
      </w:r>
      <w:r w:rsidR="00AB458F" w:rsidRPr="00D9566D">
        <w:rPr>
          <w:rFonts w:ascii="Arial" w:hAnsi="Arial" w:cs="Arial"/>
        </w:rPr>
        <w:t xml:space="preserve">the </w:t>
      </w:r>
      <w:r w:rsidR="004858DD" w:rsidRPr="00D9566D">
        <w:rPr>
          <w:rFonts w:ascii="Arial" w:hAnsi="Arial" w:cs="Arial"/>
        </w:rPr>
        <w:t xml:space="preserve">NBC. In this regard reference need only to be made to </w:t>
      </w:r>
      <w:r w:rsidR="00AB458F" w:rsidRPr="00D9566D">
        <w:rPr>
          <w:rFonts w:ascii="Arial" w:hAnsi="Arial" w:cs="Arial"/>
        </w:rPr>
        <w:t xml:space="preserve">2 </w:t>
      </w:r>
      <w:r w:rsidR="004858DD" w:rsidRPr="00D9566D">
        <w:rPr>
          <w:rFonts w:ascii="Arial" w:hAnsi="Arial" w:cs="Arial"/>
        </w:rPr>
        <w:t xml:space="preserve">documents which were annexed to </w:t>
      </w:r>
      <w:r w:rsidR="00AB458F" w:rsidRPr="00D9566D">
        <w:rPr>
          <w:rFonts w:ascii="Arial" w:hAnsi="Arial" w:cs="Arial"/>
        </w:rPr>
        <w:t>the</w:t>
      </w:r>
      <w:r w:rsidR="004858DD" w:rsidRPr="00D9566D">
        <w:rPr>
          <w:rFonts w:ascii="Arial" w:hAnsi="Arial" w:cs="Arial"/>
        </w:rPr>
        <w:t xml:space="preserve"> </w:t>
      </w:r>
      <w:r w:rsidR="00D85F91" w:rsidRPr="00D9566D">
        <w:rPr>
          <w:rFonts w:ascii="Arial" w:hAnsi="Arial" w:cs="Arial"/>
        </w:rPr>
        <w:t xml:space="preserve">applicant’s </w:t>
      </w:r>
      <w:r w:rsidR="004858DD" w:rsidRPr="00D9566D">
        <w:rPr>
          <w:rFonts w:ascii="Arial" w:hAnsi="Arial" w:cs="Arial"/>
        </w:rPr>
        <w:t xml:space="preserve">bid submission. </w:t>
      </w:r>
      <w:r w:rsidR="00AB458F" w:rsidRPr="00D9566D">
        <w:rPr>
          <w:rFonts w:ascii="Arial" w:hAnsi="Arial" w:cs="Arial"/>
        </w:rPr>
        <w:t>Both</w:t>
      </w:r>
      <w:r w:rsidR="004858DD" w:rsidRPr="00D9566D">
        <w:rPr>
          <w:rFonts w:ascii="Arial" w:hAnsi="Arial" w:cs="Arial"/>
        </w:rPr>
        <w:t xml:space="preserve"> were on the letterhead of the NBC. In the </w:t>
      </w:r>
      <w:r w:rsidR="00AB458F" w:rsidRPr="00D9566D">
        <w:rPr>
          <w:rFonts w:ascii="Arial" w:hAnsi="Arial" w:cs="Arial"/>
        </w:rPr>
        <w:t>first</w:t>
      </w:r>
      <w:r w:rsidR="004858DD" w:rsidRPr="00D9566D">
        <w:rPr>
          <w:rFonts w:ascii="Arial" w:hAnsi="Arial" w:cs="Arial"/>
        </w:rPr>
        <w:t xml:space="preserve"> of these</w:t>
      </w:r>
      <w:r w:rsidR="00AB458F" w:rsidRPr="00D9566D">
        <w:rPr>
          <w:rFonts w:ascii="Arial" w:hAnsi="Arial" w:cs="Arial"/>
        </w:rPr>
        <w:t>, which was</w:t>
      </w:r>
      <w:r w:rsidR="004858DD" w:rsidRPr="00D9566D">
        <w:rPr>
          <w:rFonts w:ascii="Arial" w:hAnsi="Arial" w:cs="Arial"/>
        </w:rPr>
        <w:t xml:space="preserve"> dated 5 October 2022</w:t>
      </w:r>
      <w:r w:rsidR="00AB458F" w:rsidRPr="00D9566D">
        <w:rPr>
          <w:rFonts w:ascii="Arial" w:hAnsi="Arial" w:cs="Arial"/>
        </w:rPr>
        <w:t xml:space="preserve">, and </w:t>
      </w:r>
      <w:r w:rsidR="004858DD" w:rsidRPr="00D9566D">
        <w:rPr>
          <w:rFonts w:ascii="Arial" w:hAnsi="Arial" w:cs="Arial"/>
        </w:rPr>
        <w:t>which had</w:t>
      </w:r>
      <w:r w:rsidR="00D85F91" w:rsidRPr="00D9566D">
        <w:rPr>
          <w:rFonts w:ascii="Arial" w:hAnsi="Arial" w:cs="Arial"/>
        </w:rPr>
        <w:t xml:space="preserve"> as</w:t>
      </w:r>
      <w:r w:rsidR="004858DD" w:rsidRPr="00D9566D">
        <w:rPr>
          <w:rFonts w:ascii="Arial" w:hAnsi="Arial" w:cs="Arial"/>
        </w:rPr>
        <w:t xml:space="preserve"> its subject heading the reference ‘</w:t>
      </w:r>
      <w:r w:rsidR="007761CE" w:rsidRPr="00D9566D">
        <w:rPr>
          <w:rFonts w:ascii="Arial" w:hAnsi="Arial" w:cs="Arial"/>
        </w:rPr>
        <w:t>L</w:t>
      </w:r>
      <w:r w:rsidR="004858DD" w:rsidRPr="00D9566D">
        <w:rPr>
          <w:rFonts w:ascii="Arial" w:hAnsi="Arial" w:cs="Arial"/>
        </w:rPr>
        <w:t xml:space="preserve">etter of </w:t>
      </w:r>
      <w:r w:rsidR="007761CE" w:rsidRPr="00D9566D">
        <w:rPr>
          <w:rFonts w:ascii="Arial" w:hAnsi="Arial" w:cs="Arial"/>
        </w:rPr>
        <w:t>G</w:t>
      </w:r>
      <w:r w:rsidR="004858DD" w:rsidRPr="00D9566D">
        <w:rPr>
          <w:rFonts w:ascii="Arial" w:hAnsi="Arial" w:cs="Arial"/>
        </w:rPr>
        <w:t xml:space="preserve">ood </w:t>
      </w:r>
      <w:r w:rsidR="007761CE" w:rsidRPr="00D9566D">
        <w:rPr>
          <w:rFonts w:ascii="Arial" w:hAnsi="Arial" w:cs="Arial"/>
        </w:rPr>
        <w:t>S</w:t>
      </w:r>
      <w:r w:rsidR="004858DD" w:rsidRPr="00D9566D">
        <w:rPr>
          <w:rFonts w:ascii="Arial" w:hAnsi="Arial" w:cs="Arial"/>
        </w:rPr>
        <w:t>tanding’</w:t>
      </w:r>
      <w:r w:rsidR="00AB458F" w:rsidRPr="00D9566D">
        <w:rPr>
          <w:rFonts w:ascii="Arial" w:hAnsi="Arial" w:cs="Arial"/>
        </w:rPr>
        <w:t xml:space="preserve">, </w:t>
      </w:r>
      <w:r w:rsidR="004858DD" w:rsidRPr="00D9566D">
        <w:rPr>
          <w:rFonts w:ascii="Arial" w:hAnsi="Arial" w:cs="Arial"/>
        </w:rPr>
        <w:t xml:space="preserve">the </w:t>
      </w:r>
      <w:r w:rsidR="00AB458F" w:rsidRPr="00D9566D">
        <w:rPr>
          <w:rFonts w:ascii="Arial" w:hAnsi="Arial" w:cs="Arial"/>
        </w:rPr>
        <w:t>G</w:t>
      </w:r>
      <w:r w:rsidR="004858DD" w:rsidRPr="00D9566D">
        <w:rPr>
          <w:rFonts w:ascii="Arial" w:hAnsi="Arial" w:cs="Arial"/>
        </w:rPr>
        <w:t xml:space="preserve">eneral </w:t>
      </w:r>
      <w:r w:rsidR="00AB458F" w:rsidRPr="00D9566D">
        <w:rPr>
          <w:rFonts w:ascii="Arial" w:hAnsi="Arial" w:cs="Arial"/>
        </w:rPr>
        <w:t>S</w:t>
      </w:r>
      <w:r w:rsidR="004858DD" w:rsidRPr="00D9566D">
        <w:rPr>
          <w:rFonts w:ascii="Arial" w:hAnsi="Arial" w:cs="Arial"/>
        </w:rPr>
        <w:t xml:space="preserve">ecretary of the NBC confirmed that </w:t>
      </w:r>
      <w:r w:rsidR="00AB458F" w:rsidRPr="00D9566D">
        <w:rPr>
          <w:rFonts w:ascii="Arial" w:hAnsi="Arial" w:cs="Arial"/>
        </w:rPr>
        <w:t>the applicant</w:t>
      </w:r>
      <w:r w:rsidR="004858DD" w:rsidRPr="00D9566D">
        <w:rPr>
          <w:rFonts w:ascii="Arial" w:hAnsi="Arial" w:cs="Arial"/>
        </w:rPr>
        <w:t xml:space="preserve"> </w:t>
      </w:r>
      <w:r w:rsidR="00AB458F" w:rsidRPr="00D9566D">
        <w:rPr>
          <w:rFonts w:ascii="Arial" w:hAnsi="Arial" w:cs="Arial"/>
        </w:rPr>
        <w:t>‘</w:t>
      </w:r>
      <w:r w:rsidR="004858DD" w:rsidRPr="00D9566D">
        <w:rPr>
          <w:rFonts w:ascii="Arial" w:hAnsi="Arial" w:cs="Arial"/>
        </w:rPr>
        <w:t xml:space="preserve">levied contributions in accordance with the levy agreement as published and extended to non-parties’ (and) ‘are </w:t>
      </w:r>
      <w:r w:rsidR="00AB458F" w:rsidRPr="00D9566D">
        <w:rPr>
          <w:rFonts w:ascii="Arial" w:hAnsi="Arial" w:cs="Arial"/>
        </w:rPr>
        <w:t>up to date</w:t>
      </w:r>
      <w:r w:rsidR="004858DD" w:rsidRPr="00D9566D">
        <w:rPr>
          <w:rFonts w:ascii="Arial" w:hAnsi="Arial" w:cs="Arial"/>
        </w:rPr>
        <w:t>’ (sic).</w:t>
      </w:r>
      <w:r w:rsidR="00293D4F" w:rsidRPr="00D9566D">
        <w:rPr>
          <w:rFonts w:ascii="Arial" w:hAnsi="Arial" w:cs="Arial"/>
        </w:rPr>
        <w:t xml:space="preserve"> In the </w:t>
      </w:r>
      <w:r w:rsidR="00AB458F" w:rsidRPr="00D9566D">
        <w:rPr>
          <w:rFonts w:ascii="Arial" w:hAnsi="Arial" w:cs="Arial"/>
        </w:rPr>
        <w:t>second</w:t>
      </w:r>
      <w:r w:rsidR="00293D4F" w:rsidRPr="00D9566D">
        <w:rPr>
          <w:rFonts w:ascii="Arial" w:hAnsi="Arial" w:cs="Arial"/>
        </w:rPr>
        <w:t>, which had as its subject heading ‘</w:t>
      </w:r>
      <w:r w:rsidR="007761CE" w:rsidRPr="00D9566D">
        <w:rPr>
          <w:rFonts w:ascii="Arial" w:hAnsi="Arial" w:cs="Arial"/>
        </w:rPr>
        <w:t>C</w:t>
      </w:r>
      <w:r w:rsidR="00293D4F" w:rsidRPr="00D9566D">
        <w:rPr>
          <w:rFonts w:ascii="Arial" w:hAnsi="Arial" w:cs="Arial"/>
        </w:rPr>
        <w:t xml:space="preserve">onfirmation of </w:t>
      </w:r>
      <w:r w:rsidR="007761CE" w:rsidRPr="00D9566D">
        <w:rPr>
          <w:rFonts w:ascii="Arial" w:hAnsi="Arial" w:cs="Arial"/>
        </w:rPr>
        <w:t>R</w:t>
      </w:r>
      <w:r w:rsidR="00293D4F" w:rsidRPr="00D9566D">
        <w:rPr>
          <w:rFonts w:ascii="Arial" w:hAnsi="Arial" w:cs="Arial"/>
        </w:rPr>
        <w:t xml:space="preserve">egistration and </w:t>
      </w:r>
      <w:r w:rsidR="007761CE" w:rsidRPr="00D9566D">
        <w:rPr>
          <w:rFonts w:ascii="Arial" w:hAnsi="Arial" w:cs="Arial"/>
        </w:rPr>
        <w:t>P</w:t>
      </w:r>
      <w:r w:rsidR="00293D4F" w:rsidRPr="00D9566D">
        <w:rPr>
          <w:rFonts w:ascii="Arial" w:hAnsi="Arial" w:cs="Arial"/>
        </w:rPr>
        <w:t xml:space="preserve">aid-up </w:t>
      </w:r>
      <w:r w:rsidR="007761CE" w:rsidRPr="00D9566D">
        <w:rPr>
          <w:rFonts w:ascii="Arial" w:hAnsi="Arial" w:cs="Arial"/>
        </w:rPr>
        <w:t>L</w:t>
      </w:r>
      <w:r w:rsidR="00293D4F" w:rsidRPr="00D9566D">
        <w:rPr>
          <w:rFonts w:ascii="Arial" w:hAnsi="Arial" w:cs="Arial"/>
        </w:rPr>
        <w:t>ev</w:t>
      </w:r>
      <w:r w:rsidR="00AB458F" w:rsidRPr="00D9566D">
        <w:rPr>
          <w:rFonts w:ascii="Arial" w:hAnsi="Arial" w:cs="Arial"/>
        </w:rPr>
        <w:t>ies</w:t>
      </w:r>
      <w:r w:rsidR="00293D4F" w:rsidRPr="00D9566D">
        <w:rPr>
          <w:rFonts w:ascii="Arial" w:hAnsi="Arial" w:cs="Arial"/>
        </w:rPr>
        <w:t xml:space="preserve">’ the </w:t>
      </w:r>
      <w:r w:rsidR="00AB458F" w:rsidRPr="00D9566D">
        <w:rPr>
          <w:rFonts w:ascii="Arial" w:hAnsi="Arial" w:cs="Arial"/>
        </w:rPr>
        <w:t>G</w:t>
      </w:r>
      <w:r w:rsidR="00293D4F" w:rsidRPr="00D9566D">
        <w:rPr>
          <w:rFonts w:ascii="Arial" w:hAnsi="Arial" w:cs="Arial"/>
        </w:rPr>
        <w:t xml:space="preserve">eneral </w:t>
      </w:r>
      <w:r w:rsidR="00AB458F" w:rsidRPr="00D9566D">
        <w:rPr>
          <w:rFonts w:ascii="Arial" w:hAnsi="Arial" w:cs="Arial"/>
        </w:rPr>
        <w:t>S</w:t>
      </w:r>
      <w:r w:rsidR="00293D4F" w:rsidRPr="00D9566D">
        <w:rPr>
          <w:rFonts w:ascii="Arial" w:hAnsi="Arial" w:cs="Arial"/>
        </w:rPr>
        <w:t xml:space="preserve">ecretary provided </w:t>
      </w:r>
      <w:r w:rsidR="007D114B" w:rsidRPr="00D9566D">
        <w:rPr>
          <w:rFonts w:ascii="Arial" w:hAnsi="Arial" w:cs="Arial"/>
        </w:rPr>
        <w:t>the same</w:t>
      </w:r>
      <w:r w:rsidR="00293D4F" w:rsidRPr="00D9566D">
        <w:rPr>
          <w:rFonts w:ascii="Arial" w:hAnsi="Arial" w:cs="Arial"/>
        </w:rPr>
        <w:t xml:space="preserve"> confirmation as was previously given in the </w:t>
      </w:r>
      <w:r w:rsidR="00AB458F" w:rsidRPr="00D9566D">
        <w:rPr>
          <w:rFonts w:ascii="Arial" w:hAnsi="Arial" w:cs="Arial"/>
        </w:rPr>
        <w:t xml:space="preserve">first </w:t>
      </w:r>
      <w:r w:rsidR="00293D4F" w:rsidRPr="00D9566D">
        <w:rPr>
          <w:rFonts w:ascii="Arial" w:hAnsi="Arial" w:cs="Arial"/>
        </w:rPr>
        <w:t>letter</w:t>
      </w:r>
      <w:r w:rsidR="00AB458F" w:rsidRPr="00D9566D">
        <w:rPr>
          <w:rFonts w:ascii="Arial" w:hAnsi="Arial" w:cs="Arial"/>
        </w:rPr>
        <w:t xml:space="preserve"> viz that the applicant was fully paid up as far as its levy contributions were concerned</w:t>
      </w:r>
      <w:r w:rsidR="00293D4F" w:rsidRPr="00D9566D">
        <w:rPr>
          <w:rFonts w:ascii="Arial" w:hAnsi="Arial" w:cs="Arial"/>
        </w:rPr>
        <w:t xml:space="preserve">. </w:t>
      </w:r>
      <w:r w:rsidR="00AB458F" w:rsidRPr="00D9566D">
        <w:rPr>
          <w:rFonts w:ascii="Arial" w:hAnsi="Arial" w:cs="Arial"/>
        </w:rPr>
        <w:t>The letter</w:t>
      </w:r>
      <w:r w:rsidR="00293D4F" w:rsidRPr="00D9566D">
        <w:rPr>
          <w:rFonts w:ascii="Arial" w:hAnsi="Arial" w:cs="Arial"/>
        </w:rPr>
        <w:t xml:space="preserve"> did not expressly </w:t>
      </w:r>
      <w:r w:rsidR="00AB458F" w:rsidRPr="00D9566D">
        <w:rPr>
          <w:rFonts w:ascii="Arial" w:hAnsi="Arial" w:cs="Arial"/>
        </w:rPr>
        <w:t xml:space="preserve">state or </w:t>
      </w:r>
      <w:r w:rsidR="00293D4F" w:rsidRPr="00D9566D">
        <w:rPr>
          <w:rFonts w:ascii="Arial" w:hAnsi="Arial" w:cs="Arial"/>
        </w:rPr>
        <w:t>confirm that the applicant was registered with the NBC.</w:t>
      </w:r>
    </w:p>
    <w:p w14:paraId="4F49B0C1" w14:textId="26F05252" w:rsidR="00647504" w:rsidRPr="00D9566D" w:rsidRDefault="00DE2B0F" w:rsidP="00D9566D">
      <w:pPr>
        <w:adjustRightInd w:val="0"/>
        <w:spacing w:after="0" w:line="240" w:lineRule="auto"/>
        <w:ind w:left="1080" w:hanging="720"/>
        <w:jc w:val="both"/>
        <w:textAlignment w:val="baseline"/>
        <w:rPr>
          <w:rFonts w:ascii="Arial" w:hAnsi="Arial" w:cs="Arial"/>
          <w:u w:val="single"/>
        </w:rPr>
      </w:pPr>
      <w:r w:rsidRPr="00D9566D">
        <w:rPr>
          <w:rFonts w:ascii="Arial" w:hAnsi="Arial" w:cs="Arial"/>
        </w:rPr>
        <w:t>(ii)</w:t>
      </w:r>
      <w:r w:rsidRPr="00D9566D">
        <w:rPr>
          <w:rFonts w:ascii="Arial" w:hAnsi="Arial" w:cs="Arial"/>
        </w:rPr>
        <w:tab/>
      </w:r>
      <w:r w:rsidR="00647504" w:rsidRPr="00D9566D">
        <w:rPr>
          <w:rFonts w:ascii="Arial" w:hAnsi="Arial" w:cs="Arial"/>
          <w:u w:val="single"/>
        </w:rPr>
        <w:t>The applicant’s papers</w:t>
      </w:r>
    </w:p>
    <w:p w14:paraId="27FFA1EC" w14:textId="65F144D6" w:rsidR="00293D4F"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19.</w:t>
      </w:r>
      <w:r w:rsidRPr="00D9566D">
        <w:rPr>
          <w:rFonts w:ascii="Arial" w:hAnsi="Arial" w:cs="Arial"/>
        </w:rPr>
        <w:tab/>
      </w:r>
      <w:r w:rsidR="00A70D19" w:rsidRPr="00D9566D">
        <w:rPr>
          <w:rFonts w:ascii="Arial" w:hAnsi="Arial" w:cs="Arial"/>
        </w:rPr>
        <w:t>The founding affidavit which was filed by the applicant in case number 2501/23 (which pertain</w:t>
      </w:r>
      <w:r w:rsidR="00D85F91" w:rsidRPr="00D9566D">
        <w:rPr>
          <w:rFonts w:ascii="Arial" w:hAnsi="Arial" w:cs="Arial"/>
        </w:rPr>
        <w:t>s</w:t>
      </w:r>
      <w:r w:rsidR="00A70D19" w:rsidRPr="00D9566D">
        <w:rPr>
          <w:rFonts w:ascii="Arial" w:hAnsi="Arial" w:cs="Arial"/>
        </w:rPr>
        <w:t xml:space="preserve"> to tender 09/22) </w:t>
      </w:r>
      <w:r w:rsidR="004C198E" w:rsidRPr="00D9566D">
        <w:rPr>
          <w:rFonts w:ascii="Arial" w:hAnsi="Arial" w:cs="Arial"/>
        </w:rPr>
        <w:t>raised</w:t>
      </w:r>
      <w:r w:rsidR="00A70D19" w:rsidRPr="00D9566D">
        <w:rPr>
          <w:rFonts w:ascii="Arial" w:hAnsi="Arial" w:cs="Arial"/>
        </w:rPr>
        <w:t xml:space="preserve"> a single ground of review </w:t>
      </w:r>
      <w:r w:rsidR="007D114B" w:rsidRPr="00D9566D">
        <w:rPr>
          <w:rFonts w:ascii="Arial" w:hAnsi="Arial" w:cs="Arial"/>
        </w:rPr>
        <w:t>viz</w:t>
      </w:r>
      <w:r w:rsidR="00A70D19" w:rsidRPr="00D9566D">
        <w:rPr>
          <w:rFonts w:ascii="Arial" w:hAnsi="Arial" w:cs="Arial"/>
        </w:rPr>
        <w:t xml:space="preserve"> that the Department had failed to evaluate the applicant’s </w:t>
      </w:r>
      <w:r w:rsidR="001F26FB" w:rsidRPr="00D9566D">
        <w:rPr>
          <w:rFonts w:ascii="Arial" w:hAnsi="Arial" w:cs="Arial"/>
        </w:rPr>
        <w:t>bid,</w:t>
      </w:r>
      <w:r w:rsidR="00A70D19" w:rsidRPr="00D9566D">
        <w:rPr>
          <w:rFonts w:ascii="Arial" w:hAnsi="Arial" w:cs="Arial"/>
        </w:rPr>
        <w:t xml:space="preserve"> and this was procedurally unfair</w:t>
      </w:r>
      <w:r w:rsidR="007D114B" w:rsidRPr="00D9566D">
        <w:rPr>
          <w:rFonts w:ascii="Arial" w:hAnsi="Arial" w:cs="Arial"/>
        </w:rPr>
        <w:t>,</w:t>
      </w:r>
      <w:r w:rsidR="00A70D19" w:rsidRPr="00D9566D">
        <w:rPr>
          <w:rFonts w:ascii="Arial" w:hAnsi="Arial" w:cs="Arial"/>
        </w:rPr>
        <w:t xml:space="preserve"> </w:t>
      </w:r>
      <w:r w:rsidR="007D114B" w:rsidRPr="00D9566D">
        <w:rPr>
          <w:rFonts w:ascii="Arial" w:hAnsi="Arial" w:cs="Arial"/>
        </w:rPr>
        <w:t>contra</w:t>
      </w:r>
      <w:r w:rsidR="001F26FB" w:rsidRPr="00D9566D">
        <w:rPr>
          <w:rFonts w:ascii="Arial" w:hAnsi="Arial" w:cs="Arial"/>
        </w:rPr>
        <w:t>r</w:t>
      </w:r>
      <w:r w:rsidR="007D114B" w:rsidRPr="00D9566D">
        <w:rPr>
          <w:rFonts w:ascii="Arial" w:hAnsi="Arial" w:cs="Arial"/>
        </w:rPr>
        <w:t>y</w:t>
      </w:r>
      <w:r w:rsidR="00A70D19" w:rsidRPr="00D9566D">
        <w:rPr>
          <w:rFonts w:ascii="Arial" w:hAnsi="Arial" w:cs="Arial"/>
        </w:rPr>
        <w:t xml:space="preserve"> to its right to lawful administrative action in terms of </w:t>
      </w:r>
      <w:r w:rsidR="007D114B" w:rsidRPr="00D9566D">
        <w:rPr>
          <w:rFonts w:ascii="Arial" w:hAnsi="Arial" w:cs="Arial"/>
        </w:rPr>
        <w:t>the Promotion of Administrative Justice Act (‘PAJA’)</w:t>
      </w:r>
      <w:r w:rsidR="00A70D19" w:rsidRPr="00D9566D">
        <w:rPr>
          <w:rFonts w:ascii="Arial" w:hAnsi="Arial" w:cs="Arial"/>
        </w:rPr>
        <w:t>.</w:t>
      </w:r>
      <w:r w:rsidR="007D114B" w:rsidRPr="00D9566D">
        <w:rPr>
          <w:rStyle w:val="FootnoteReference"/>
          <w:rFonts w:ascii="Arial" w:hAnsi="Arial" w:cs="Arial"/>
        </w:rPr>
        <w:footnoteReference w:id="1"/>
      </w:r>
    </w:p>
    <w:p w14:paraId="6C8777FB" w14:textId="4D7D9606" w:rsidR="00A70D19"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20.</w:t>
      </w:r>
      <w:r w:rsidRPr="00D9566D">
        <w:rPr>
          <w:rFonts w:ascii="Arial" w:hAnsi="Arial" w:cs="Arial"/>
        </w:rPr>
        <w:tab/>
      </w:r>
      <w:r w:rsidR="004C198E" w:rsidRPr="00D9566D">
        <w:rPr>
          <w:rFonts w:ascii="Arial" w:hAnsi="Arial" w:cs="Arial"/>
        </w:rPr>
        <w:t xml:space="preserve">After it had occasion to consider the record of the decision which </w:t>
      </w:r>
      <w:r w:rsidR="0096002D" w:rsidRPr="00D9566D">
        <w:rPr>
          <w:rFonts w:ascii="Arial" w:hAnsi="Arial" w:cs="Arial"/>
        </w:rPr>
        <w:t>was</w:t>
      </w:r>
      <w:r w:rsidR="004C198E" w:rsidRPr="00D9566D">
        <w:rPr>
          <w:rFonts w:ascii="Arial" w:hAnsi="Arial" w:cs="Arial"/>
        </w:rPr>
        <w:t xml:space="preserve"> filed in terms of rule 53 t</w:t>
      </w:r>
      <w:r w:rsidR="00A70D19" w:rsidRPr="00D9566D">
        <w:rPr>
          <w:rFonts w:ascii="Arial" w:hAnsi="Arial" w:cs="Arial"/>
        </w:rPr>
        <w:t xml:space="preserve">he applicant filed a supplementary founding affidavit. In that affidavit it </w:t>
      </w:r>
      <w:r w:rsidR="001F26FB" w:rsidRPr="00D9566D">
        <w:rPr>
          <w:rFonts w:ascii="Arial" w:hAnsi="Arial" w:cs="Arial"/>
        </w:rPr>
        <w:t>noted</w:t>
      </w:r>
      <w:r w:rsidR="00A70D19" w:rsidRPr="00D9566D">
        <w:rPr>
          <w:rFonts w:ascii="Arial" w:hAnsi="Arial" w:cs="Arial"/>
        </w:rPr>
        <w:t xml:space="preserve"> that its bid had been considered by the </w:t>
      </w:r>
      <w:r w:rsidR="00713DED" w:rsidRPr="00D9566D">
        <w:rPr>
          <w:rFonts w:ascii="Arial" w:hAnsi="Arial" w:cs="Arial"/>
        </w:rPr>
        <w:t>bid evaluation committee (‘the BEC’)</w:t>
      </w:r>
      <w:r w:rsidR="00A70D19" w:rsidRPr="00D9566D">
        <w:rPr>
          <w:rFonts w:ascii="Arial" w:hAnsi="Arial" w:cs="Arial"/>
        </w:rPr>
        <w:t xml:space="preserve"> and had been disqualified on the basis that </w:t>
      </w:r>
      <w:r w:rsidR="007D114B" w:rsidRPr="00D9566D">
        <w:rPr>
          <w:rFonts w:ascii="Arial" w:hAnsi="Arial" w:cs="Arial"/>
        </w:rPr>
        <w:t>it</w:t>
      </w:r>
      <w:r w:rsidR="00A70D19" w:rsidRPr="00D9566D">
        <w:rPr>
          <w:rFonts w:ascii="Arial" w:hAnsi="Arial" w:cs="Arial"/>
        </w:rPr>
        <w:t xml:space="preserve"> had failed to obtain the requisite 50% score for functionality i.e. 50 points. The applicant had in fact received no points at all and was scored 0%. From handwritten notes which were made on its bid documents</w:t>
      </w:r>
      <w:r w:rsidR="007D114B" w:rsidRPr="00D9566D">
        <w:rPr>
          <w:rFonts w:ascii="Arial" w:hAnsi="Arial" w:cs="Arial"/>
        </w:rPr>
        <w:t xml:space="preserve"> it</w:t>
      </w:r>
      <w:r w:rsidR="00A70D19" w:rsidRPr="00D9566D">
        <w:rPr>
          <w:rFonts w:ascii="Arial" w:hAnsi="Arial" w:cs="Arial"/>
        </w:rPr>
        <w:t xml:space="preserve"> appeared this was because</w:t>
      </w:r>
      <w:r w:rsidR="001F26FB" w:rsidRPr="00D9566D">
        <w:rPr>
          <w:rFonts w:ascii="Arial" w:hAnsi="Arial" w:cs="Arial"/>
        </w:rPr>
        <w:t>, according to the BEC</w:t>
      </w:r>
      <w:r w:rsidR="0096002D" w:rsidRPr="00D9566D">
        <w:rPr>
          <w:rFonts w:ascii="Arial" w:hAnsi="Arial" w:cs="Arial"/>
        </w:rPr>
        <w:t>,</w:t>
      </w:r>
      <w:r w:rsidR="00A70D19" w:rsidRPr="00D9566D">
        <w:rPr>
          <w:rFonts w:ascii="Arial" w:hAnsi="Arial" w:cs="Arial"/>
        </w:rPr>
        <w:t xml:space="preserve"> it had failed to submit the </w:t>
      </w:r>
      <w:r w:rsidR="00A81B0A" w:rsidRPr="00D9566D">
        <w:rPr>
          <w:rFonts w:ascii="Arial" w:hAnsi="Arial" w:cs="Arial"/>
        </w:rPr>
        <w:t>required</w:t>
      </w:r>
      <w:r w:rsidR="00A70D19" w:rsidRPr="00D9566D">
        <w:rPr>
          <w:rFonts w:ascii="Arial" w:hAnsi="Arial" w:cs="Arial"/>
        </w:rPr>
        <w:t xml:space="preserve"> reference letters. The applicant took issue with this. It </w:t>
      </w:r>
      <w:r w:rsidR="00CD6E0F" w:rsidRPr="00D9566D">
        <w:rPr>
          <w:rFonts w:ascii="Arial" w:hAnsi="Arial" w:cs="Arial"/>
        </w:rPr>
        <w:t>contended</w:t>
      </w:r>
      <w:r w:rsidR="00A70D19" w:rsidRPr="00D9566D">
        <w:rPr>
          <w:rFonts w:ascii="Arial" w:hAnsi="Arial" w:cs="Arial"/>
        </w:rPr>
        <w:t xml:space="preserve"> that, from its reading of the bid specifications</w:t>
      </w:r>
      <w:r w:rsidR="0096002D" w:rsidRPr="00D9566D">
        <w:rPr>
          <w:rFonts w:ascii="Arial" w:hAnsi="Arial" w:cs="Arial"/>
        </w:rPr>
        <w:t>,</w:t>
      </w:r>
      <w:r w:rsidR="00A70D19" w:rsidRPr="00D9566D">
        <w:rPr>
          <w:rFonts w:ascii="Arial" w:hAnsi="Arial" w:cs="Arial"/>
        </w:rPr>
        <w:t xml:space="preserve"> where a bidder listed 3 projects or more on the DPW</w:t>
      </w:r>
      <w:r w:rsidR="007D114B" w:rsidRPr="00D9566D">
        <w:rPr>
          <w:rFonts w:ascii="Arial" w:hAnsi="Arial" w:cs="Arial"/>
        </w:rPr>
        <w:t>-</w:t>
      </w:r>
      <w:r w:rsidR="00A70D19" w:rsidRPr="00D9566D">
        <w:rPr>
          <w:rFonts w:ascii="Arial" w:hAnsi="Arial" w:cs="Arial"/>
        </w:rPr>
        <w:t xml:space="preserve">09 </w:t>
      </w:r>
      <w:r w:rsidR="007D114B" w:rsidRPr="00D9566D">
        <w:rPr>
          <w:rFonts w:ascii="Arial" w:hAnsi="Arial" w:cs="Arial"/>
        </w:rPr>
        <w:t xml:space="preserve">it </w:t>
      </w:r>
      <w:r w:rsidR="00A70D19" w:rsidRPr="00D9566D">
        <w:rPr>
          <w:rFonts w:ascii="Arial" w:hAnsi="Arial" w:cs="Arial"/>
        </w:rPr>
        <w:t xml:space="preserve">qualified to be allocated 5 out of 5 points i.e. the full weighting of 60 points. It contended further </w:t>
      </w:r>
      <w:r w:rsidR="00A70D19" w:rsidRPr="00D9566D">
        <w:rPr>
          <w:rFonts w:ascii="Arial" w:hAnsi="Arial" w:cs="Arial"/>
        </w:rPr>
        <w:lastRenderedPageBreak/>
        <w:t>that</w:t>
      </w:r>
      <w:r w:rsidR="000F1D25" w:rsidRPr="00D9566D">
        <w:rPr>
          <w:rFonts w:ascii="Arial" w:hAnsi="Arial" w:cs="Arial"/>
        </w:rPr>
        <w:t>,</w:t>
      </w:r>
      <w:r w:rsidR="00A70D19" w:rsidRPr="00D9566D">
        <w:rPr>
          <w:rFonts w:ascii="Arial" w:hAnsi="Arial" w:cs="Arial"/>
        </w:rPr>
        <w:t xml:space="preserve"> in any event</w:t>
      </w:r>
      <w:r w:rsidR="000F1D25" w:rsidRPr="00D9566D">
        <w:rPr>
          <w:rFonts w:ascii="Arial" w:hAnsi="Arial" w:cs="Arial"/>
        </w:rPr>
        <w:t>,</w:t>
      </w:r>
      <w:r w:rsidR="00A70D19" w:rsidRPr="00D9566D">
        <w:rPr>
          <w:rFonts w:ascii="Arial" w:hAnsi="Arial" w:cs="Arial"/>
        </w:rPr>
        <w:t xml:space="preserve"> it had submitted the requisite </w:t>
      </w:r>
      <w:r w:rsidR="000F1D25" w:rsidRPr="00D9566D">
        <w:rPr>
          <w:rFonts w:ascii="Arial" w:hAnsi="Arial" w:cs="Arial"/>
        </w:rPr>
        <w:t>‘</w:t>
      </w:r>
      <w:r w:rsidR="00A70D19" w:rsidRPr="00D9566D">
        <w:rPr>
          <w:rFonts w:ascii="Arial" w:hAnsi="Arial" w:cs="Arial"/>
        </w:rPr>
        <w:t>reference</w:t>
      </w:r>
      <w:r w:rsidR="000F1D25" w:rsidRPr="00D9566D">
        <w:rPr>
          <w:rFonts w:ascii="Arial" w:hAnsi="Arial" w:cs="Arial"/>
        </w:rPr>
        <w:t>’</w:t>
      </w:r>
      <w:r w:rsidR="00A70D19" w:rsidRPr="00D9566D">
        <w:rPr>
          <w:rFonts w:ascii="Arial" w:hAnsi="Arial" w:cs="Arial"/>
        </w:rPr>
        <w:t xml:space="preserve"> letters ‘where they were available’. In this regard, it </w:t>
      </w:r>
      <w:r w:rsidR="00CD6E0F" w:rsidRPr="00D9566D">
        <w:rPr>
          <w:rFonts w:ascii="Arial" w:hAnsi="Arial" w:cs="Arial"/>
        </w:rPr>
        <w:t>claimed</w:t>
      </w:r>
      <w:r w:rsidR="00A70D19" w:rsidRPr="00D9566D">
        <w:rPr>
          <w:rFonts w:ascii="Arial" w:hAnsi="Arial" w:cs="Arial"/>
        </w:rPr>
        <w:t xml:space="preserve"> that a reference letter for the</w:t>
      </w:r>
      <w:r w:rsidR="000F1D25" w:rsidRPr="00D9566D">
        <w:rPr>
          <w:rFonts w:ascii="Arial" w:hAnsi="Arial" w:cs="Arial"/>
        </w:rPr>
        <w:t xml:space="preserve"> two</w:t>
      </w:r>
      <w:r w:rsidR="00A70D19" w:rsidRPr="00D9566D">
        <w:rPr>
          <w:rFonts w:ascii="Arial" w:hAnsi="Arial" w:cs="Arial"/>
        </w:rPr>
        <w:t xml:space="preserve"> </w:t>
      </w:r>
      <w:r w:rsidR="000F1D25" w:rsidRPr="00D9566D">
        <w:rPr>
          <w:rFonts w:ascii="Arial" w:hAnsi="Arial" w:cs="Arial"/>
        </w:rPr>
        <w:t>C</w:t>
      </w:r>
      <w:r w:rsidR="00A70D19" w:rsidRPr="00D9566D">
        <w:rPr>
          <w:rFonts w:ascii="Arial" w:hAnsi="Arial" w:cs="Arial"/>
        </w:rPr>
        <w:t xml:space="preserve">ity of Cape Town </w:t>
      </w:r>
      <w:r w:rsidR="000F1D25" w:rsidRPr="00D9566D">
        <w:rPr>
          <w:rFonts w:ascii="Arial" w:hAnsi="Arial" w:cs="Arial"/>
        </w:rPr>
        <w:t>tenders</w:t>
      </w:r>
      <w:r w:rsidR="00A70D19" w:rsidRPr="00D9566D">
        <w:rPr>
          <w:rFonts w:ascii="Arial" w:hAnsi="Arial" w:cs="Arial"/>
        </w:rPr>
        <w:t xml:space="preserve"> </w:t>
      </w:r>
      <w:r w:rsidR="004C198E" w:rsidRPr="00D9566D">
        <w:rPr>
          <w:rFonts w:ascii="Arial" w:hAnsi="Arial" w:cs="Arial"/>
        </w:rPr>
        <w:t>had been</w:t>
      </w:r>
      <w:r w:rsidR="00A70D19" w:rsidRPr="00D9566D">
        <w:rPr>
          <w:rFonts w:ascii="Arial" w:hAnsi="Arial" w:cs="Arial"/>
        </w:rPr>
        <w:t xml:space="preserve"> supplied by Mr Jackson, the </w:t>
      </w:r>
      <w:r w:rsidR="000F1D25" w:rsidRPr="00D9566D">
        <w:rPr>
          <w:rFonts w:ascii="Arial" w:hAnsi="Arial" w:cs="Arial"/>
        </w:rPr>
        <w:t>H</w:t>
      </w:r>
      <w:r w:rsidR="00A70D19" w:rsidRPr="00D9566D">
        <w:rPr>
          <w:rFonts w:ascii="Arial" w:hAnsi="Arial" w:cs="Arial"/>
        </w:rPr>
        <w:t xml:space="preserve">ead of </w:t>
      </w:r>
      <w:r w:rsidR="000F1D25" w:rsidRPr="00D9566D">
        <w:rPr>
          <w:rFonts w:ascii="Arial" w:hAnsi="Arial" w:cs="Arial"/>
        </w:rPr>
        <w:t>F</w:t>
      </w:r>
      <w:r w:rsidR="00A70D19" w:rsidRPr="00D9566D">
        <w:rPr>
          <w:rFonts w:ascii="Arial" w:hAnsi="Arial" w:cs="Arial"/>
        </w:rPr>
        <w:t xml:space="preserve">acilities and </w:t>
      </w:r>
      <w:r w:rsidR="000F1D25" w:rsidRPr="00D9566D">
        <w:rPr>
          <w:rFonts w:ascii="Arial" w:hAnsi="Arial" w:cs="Arial"/>
        </w:rPr>
        <w:t>M</w:t>
      </w:r>
      <w:r w:rsidR="00A70D19" w:rsidRPr="00D9566D">
        <w:rPr>
          <w:rFonts w:ascii="Arial" w:hAnsi="Arial" w:cs="Arial"/>
        </w:rPr>
        <w:t xml:space="preserve">anagement </w:t>
      </w:r>
      <w:r w:rsidR="000F1D25" w:rsidRPr="00D9566D">
        <w:rPr>
          <w:rFonts w:ascii="Arial" w:hAnsi="Arial" w:cs="Arial"/>
        </w:rPr>
        <w:t>S</w:t>
      </w:r>
      <w:r w:rsidR="00A70D19" w:rsidRPr="00D9566D">
        <w:rPr>
          <w:rFonts w:ascii="Arial" w:hAnsi="Arial" w:cs="Arial"/>
        </w:rPr>
        <w:t xml:space="preserve">ervices, and for the </w:t>
      </w:r>
      <w:r w:rsidR="000F1D25" w:rsidRPr="00D9566D">
        <w:rPr>
          <w:rFonts w:ascii="Arial" w:hAnsi="Arial" w:cs="Arial"/>
        </w:rPr>
        <w:t>Willjarro</w:t>
      </w:r>
      <w:r w:rsidR="00A70D19" w:rsidRPr="00D9566D">
        <w:rPr>
          <w:rFonts w:ascii="Arial" w:hAnsi="Arial" w:cs="Arial"/>
        </w:rPr>
        <w:t xml:space="preserve"> project a </w:t>
      </w:r>
      <w:r w:rsidR="000F1D25" w:rsidRPr="00D9566D">
        <w:rPr>
          <w:rFonts w:ascii="Arial" w:hAnsi="Arial" w:cs="Arial"/>
        </w:rPr>
        <w:t xml:space="preserve">reference </w:t>
      </w:r>
      <w:r w:rsidR="00A70D19" w:rsidRPr="00D9566D">
        <w:rPr>
          <w:rFonts w:ascii="Arial" w:hAnsi="Arial" w:cs="Arial"/>
        </w:rPr>
        <w:t xml:space="preserve">letter had been provided by </w:t>
      </w:r>
      <w:r w:rsidR="000F1D25" w:rsidRPr="00D9566D">
        <w:rPr>
          <w:rFonts w:ascii="Arial" w:hAnsi="Arial" w:cs="Arial"/>
        </w:rPr>
        <w:t>a</w:t>
      </w:r>
      <w:r w:rsidR="00A70D19" w:rsidRPr="00D9566D">
        <w:rPr>
          <w:rFonts w:ascii="Arial" w:hAnsi="Arial" w:cs="Arial"/>
        </w:rPr>
        <w:t xml:space="preserve"> project manager. As for the DAFF project</w:t>
      </w:r>
      <w:r w:rsidR="000F1D25" w:rsidRPr="00D9566D">
        <w:rPr>
          <w:rFonts w:ascii="Arial" w:hAnsi="Arial" w:cs="Arial"/>
        </w:rPr>
        <w:t>s</w:t>
      </w:r>
      <w:r w:rsidR="00A70D19" w:rsidRPr="00D9566D">
        <w:rPr>
          <w:rFonts w:ascii="Arial" w:hAnsi="Arial" w:cs="Arial"/>
        </w:rPr>
        <w:t xml:space="preserve"> it had supplied a purchase order for the March-August 2019 project</w:t>
      </w:r>
      <w:r w:rsidR="000F1D25" w:rsidRPr="00D9566D">
        <w:rPr>
          <w:rFonts w:ascii="Arial" w:hAnsi="Arial" w:cs="Arial"/>
        </w:rPr>
        <w:t>,</w:t>
      </w:r>
      <w:r w:rsidR="00A70D19" w:rsidRPr="00D9566D">
        <w:rPr>
          <w:rFonts w:ascii="Arial" w:hAnsi="Arial" w:cs="Arial"/>
        </w:rPr>
        <w:t xml:space="preserve"> to the value of R483</w:t>
      </w:r>
      <w:r w:rsidR="000F1D25" w:rsidRPr="00D9566D">
        <w:rPr>
          <w:rFonts w:ascii="Arial" w:hAnsi="Arial" w:cs="Arial"/>
        </w:rPr>
        <w:t xml:space="preserve"> </w:t>
      </w:r>
      <w:r w:rsidR="00A70D19" w:rsidRPr="00D9566D">
        <w:rPr>
          <w:rFonts w:ascii="Arial" w:hAnsi="Arial" w:cs="Arial"/>
        </w:rPr>
        <w:t xml:space="preserve">383. </w:t>
      </w:r>
      <w:r w:rsidR="000F1D25" w:rsidRPr="00D9566D">
        <w:rPr>
          <w:rFonts w:ascii="Arial" w:hAnsi="Arial" w:cs="Arial"/>
        </w:rPr>
        <w:t>I</w:t>
      </w:r>
      <w:r w:rsidR="00A70D19" w:rsidRPr="00D9566D">
        <w:rPr>
          <w:rFonts w:ascii="Arial" w:hAnsi="Arial" w:cs="Arial"/>
        </w:rPr>
        <w:t xml:space="preserve">t averred that </w:t>
      </w:r>
      <w:r w:rsidR="000F1D25" w:rsidRPr="00D9566D">
        <w:rPr>
          <w:rFonts w:ascii="Arial" w:hAnsi="Arial" w:cs="Arial"/>
        </w:rPr>
        <w:t xml:space="preserve">consequently, </w:t>
      </w:r>
      <w:r w:rsidR="00A70D19" w:rsidRPr="00D9566D">
        <w:rPr>
          <w:rFonts w:ascii="Arial" w:hAnsi="Arial" w:cs="Arial"/>
        </w:rPr>
        <w:t xml:space="preserve">given the submission of these documents </w:t>
      </w:r>
      <w:r w:rsidR="000F1D25" w:rsidRPr="00D9566D">
        <w:rPr>
          <w:rFonts w:ascii="Arial" w:hAnsi="Arial" w:cs="Arial"/>
        </w:rPr>
        <w:t>it</w:t>
      </w:r>
      <w:r w:rsidR="00A70D19" w:rsidRPr="00D9566D">
        <w:rPr>
          <w:rFonts w:ascii="Arial" w:hAnsi="Arial" w:cs="Arial"/>
        </w:rPr>
        <w:t xml:space="preserve"> qualified for the full complement of points for this aspect </w:t>
      </w:r>
      <w:r w:rsidR="00713DED" w:rsidRPr="00D9566D">
        <w:rPr>
          <w:rFonts w:ascii="Arial" w:hAnsi="Arial" w:cs="Arial"/>
        </w:rPr>
        <w:t xml:space="preserve">of functionality </w:t>
      </w:r>
      <w:r w:rsidR="00A70D19" w:rsidRPr="00D9566D">
        <w:rPr>
          <w:rFonts w:ascii="Arial" w:hAnsi="Arial" w:cs="Arial"/>
        </w:rPr>
        <w:t>i.e. 60.</w:t>
      </w:r>
    </w:p>
    <w:p w14:paraId="0F382817" w14:textId="336BE6AF" w:rsidR="00A70D19"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21.</w:t>
      </w:r>
      <w:r w:rsidRPr="00D9566D">
        <w:rPr>
          <w:rFonts w:ascii="Arial" w:hAnsi="Arial" w:cs="Arial"/>
        </w:rPr>
        <w:tab/>
      </w:r>
      <w:r w:rsidR="00A70D19" w:rsidRPr="00D9566D">
        <w:rPr>
          <w:rFonts w:ascii="Arial" w:hAnsi="Arial" w:cs="Arial"/>
        </w:rPr>
        <w:t>As for the requirement</w:t>
      </w:r>
      <w:r w:rsidR="000F1D25" w:rsidRPr="00D9566D">
        <w:rPr>
          <w:rFonts w:ascii="Arial" w:hAnsi="Arial" w:cs="Arial"/>
        </w:rPr>
        <w:t>s</w:t>
      </w:r>
      <w:r w:rsidR="00A70D19" w:rsidRPr="00D9566D">
        <w:rPr>
          <w:rFonts w:ascii="Arial" w:hAnsi="Arial" w:cs="Arial"/>
        </w:rPr>
        <w:t xml:space="preserve"> in relation to proof of an administrative office it said that due to an ‘inadvertent error’ it had only attached a copy of the lease agreement it had </w:t>
      </w:r>
      <w:r w:rsidR="00713DED" w:rsidRPr="00D9566D">
        <w:rPr>
          <w:rFonts w:ascii="Arial" w:hAnsi="Arial" w:cs="Arial"/>
        </w:rPr>
        <w:t>concluded</w:t>
      </w:r>
      <w:r w:rsidR="00D85F91" w:rsidRPr="00D9566D">
        <w:rPr>
          <w:rFonts w:ascii="Arial" w:hAnsi="Arial" w:cs="Arial"/>
        </w:rPr>
        <w:t xml:space="preserve"> in 2018</w:t>
      </w:r>
      <w:r w:rsidR="00A70D19" w:rsidRPr="00D9566D">
        <w:rPr>
          <w:rFonts w:ascii="Arial" w:hAnsi="Arial" w:cs="Arial"/>
        </w:rPr>
        <w:t>, which had expired in 202</w:t>
      </w:r>
      <w:r w:rsidR="000F1D25" w:rsidRPr="00D9566D">
        <w:rPr>
          <w:rFonts w:ascii="Arial" w:hAnsi="Arial" w:cs="Arial"/>
        </w:rPr>
        <w:t>1,</w:t>
      </w:r>
      <w:r w:rsidR="00A70D19" w:rsidRPr="00D9566D">
        <w:rPr>
          <w:rFonts w:ascii="Arial" w:hAnsi="Arial" w:cs="Arial"/>
        </w:rPr>
        <w:t xml:space="preserve"> and had failed to submit proof of its subsequent renew</w:t>
      </w:r>
      <w:r w:rsidR="000F1D25" w:rsidRPr="00D9566D">
        <w:rPr>
          <w:rFonts w:ascii="Arial" w:hAnsi="Arial" w:cs="Arial"/>
        </w:rPr>
        <w:t>al</w:t>
      </w:r>
      <w:r w:rsidR="00A70D19" w:rsidRPr="00D9566D">
        <w:rPr>
          <w:rFonts w:ascii="Arial" w:hAnsi="Arial" w:cs="Arial"/>
        </w:rPr>
        <w:t>. It conceded that</w:t>
      </w:r>
      <w:r w:rsidR="000F1D25" w:rsidRPr="00D9566D">
        <w:rPr>
          <w:rFonts w:ascii="Arial" w:hAnsi="Arial" w:cs="Arial"/>
        </w:rPr>
        <w:t xml:space="preserve"> i</w:t>
      </w:r>
      <w:r w:rsidR="00A70D19" w:rsidRPr="00D9566D">
        <w:rPr>
          <w:rFonts w:ascii="Arial" w:hAnsi="Arial" w:cs="Arial"/>
        </w:rPr>
        <w:t>n the circumstances the BEC had correctly found that on the information supplied the lease had lapsed and was not valid</w:t>
      </w:r>
      <w:r w:rsidR="00661955" w:rsidRPr="00D9566D">
        <w:rPr>
          <w:rFonts w:ascii="Arial" w:hAnsi="Arial" w:cs="Arial"/>
        </w:rPr>
        <w:t>,</w:t>
      </w:r>
      <w:r w:rsidR="00A70D19" w:rsidRPr="00D9566D">
        <w:rPr>
          <w:rFonts w:ascii="Arial" w:hAnsi="Arial" w:cs="Arial"/>
        </w:rPr>
        <w:t xml:space="preserve"> and </w:t>
      </w:r>
      <w:r w:rsidR="00C65BBA" w:rsidRPr="00D9566D">
        <w:rPr>
          <w:rFonts w:ascii="Arial" w:hAnsi="Arial" w:cs="Arial"/>
        </w:rPr>
        <w:t>the applicant</w:t>
      </w:r>
      <w:r w:rsidR="00A70D19" w:rsidRPr="00D9566D">
        <w:rPr>
          <w:rFonts w:ascii="Arial" w:hAnsi="Arial" w:cs="Arial"/>
        </w:rPr>
        <w:t xml:space="preserve"> should be awarded no points </w:t>
      </w:r>
      <w:r w:rsidR="00661955" w:rsidRPr="00D9566D">
        <w:rPr>
          <w:rFonts w:ascii="Arial" w:hAnsi="Arial" w:cs="Arial"/>
        </w:rPr>
        <w:t xml:space="preserve">on </w:t>
      </w:r>
      <w:r w:rsidR="00A70D19" w:rsidRPr="00D9566D">
        <w:rPr>
          <w:rFonts w:ascii="Arial" w:hAnsi="Arial" w:cs="Arial"/>
        </w:rPr>
        <w:t>this aspect.</w:t>
      </w:r>
      <w:r w:rsidR="001F26FB" w:rsidRPr="00D9566D">
        <w:rPr>
          <w:rFonts w:ascii="Arial" w:hAnsi="Arial" w:cs="Arial"/>
        </w:rPr>
        <w:t xml:space="preserve"> But in its supplementary affidavit it sought to retract the concession it made and pointed out that </w:t>
      </w:r>
      <w:r w:rsidR="00D85F91" w:rsidRPr="00D9566D">
        <w:rPr>
          <w:rFonts w:ascii="Arial" w:hAnsi="Arial" w:cs="Arial"/>
        </w:rPr>
        <w:t xml:space="preserve">it </w:t>
      </w:r>
      <w:r w:rsidR="001F26FB" w:rsidRPr="00D9566D">
        <w:rPr>
          <w:rFonts w:ascii="Arial" w:hAnsi="Arial" w:cs="Arial"/>
        </w:rPr>
        <w:t xml:space="preserve">was currently in possession of premises in Cape Town, in terms of a lease agreement which had been entered into during March 2023, which </w:t>
      </w:r>
      <w:r w:rsidR="00713DED" w:rsidRPr="00D9566D">
        <w:rPr>
          <w:rFonts w:ascii="Arial" w:hAnsi="Arial" w:cs="Arial"/>
        </w:rPr>
        <w:t xml:space="preserve">agreement </w:t>
      </w:r>
      <w:r w:rsidR="001F26FB" w:rsidRPr="00D9566D">
        <w:rPr>
          <w:rFonts w:ascii="Arial" w:hAnsi="Arial" w:cs="Arial"/>
        </w:rPr>
        <w:t>was valid for the duration of the contract</w:t>
      </w:r>
      <w:r w:rsidR="00D85F91" w:rsidRPr="00D9566D">
        <w:rPr>
          <w:rFonts w:ascii="Arial" w:hAnsi="Arial" w:cs="Arial"/>
        </w:rPr>
        <w:t>s</w:t>
      </w:r>
      <w:r w:rsidR="001F26FB" w:rsidRPr="00D9566D">
        <w:rPr>
          <w:rFonts w:ascii="Arial" w:hAnsi="Arial" w:cs="Arial"/>
        </w:rPr>
        <w:t xml:space="preserve"> which were concluded pursuant to the award of the tenders.   </w:t>
      </w:r>
    </w:p>
    <w:p w14:paraId="5AB68160" w14:textId="46C94BC0" w:rsidR="000835A4"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22.</w:t>
      </w:r>
      <w:r w:rsidRPr="00D9566D">
        <w:rPr>
          <w:rFonts w:ascii="Arial" w:hAnsi="Arial" w:cs="Arial"/>
        </w:rPr>
        <w:tab/>
      </w:r>
      <w:r w:rsidR="00A70D19" w:rsidRPr="00D9566D">
        <w:rPr>
          <w:rFonts w:ascii="Arial" w:hAnsi="Arial" w:cs="Arial"/>
        </w:rPr>
        <w:t xml:space="preserve">As for the proof required in relation to </w:t>
      </w:r>
      <w:r w:rsidR="00661955" w:rsidRPr="00D9566D">
        <w:rPr>
          <w:rFonts w:ascii="Arial" w:hAnsi="Arial" w:cs="Arial"/>
        </w:rPr>
        <w:t>its</w:t>
      </w:r>
      <w:r w:rsidR="00A70D19" w:rsidRPr="00D9566D">
        <w:rPr>
          <w:rFonts w:ascii="Arial" w:hAnsi="Arial" w:cs="Arial"/>
        </w:rPr>
        <w:t xml:space="preserve"> response vehicles, whilst it conceded that the bid specifications required a copy of a </w:t>
      </w:r>
      <w:r w:rsidR="00661955" w:rsidRPr="00D9566D">
        <w:rPr>
          <w:rFonts w:ascii="Arial" w:hAnsi="Arial" w:cs="Arial"/>
        </w:rPr>
        <w:t>‘</w:t>
      </w:r>
      <w:r w:rsidR="00A70D19" w:rsidRPr="00D9566D">
        <w:rPr>
          <w:rFonts w:ascii="Arial" w:hAnsi="Arial" w:cs="Arial"/>
        </w:rPr>
        <w:t>report</w:t>
      </w:r>
      <w:r w:rsidR="00661955" w:rsidRPr="00D9566D">
        <w:rPr>
          <w:rFonts w:ascii="Arial" w:hAnsi="Arial" w:cs="Arial"/>
        </w:rPr>
        <w:t>’</w:t>
      </w:r>
      <w:r w:rsidR="00A70D19" w:rsidRPr="00D9566D">
        <w:rPr>
          <w:rFonts w:ascii="Arial" w:hAnsi="Arial" w:cs="Arial"/>
        </w:rPr>
        <w:t xml:space="preserve"> issued by </w:t>
      </w:r>
      <w:r w:rsidR="00661955" w:rsidRPr="00D9566D">
        <w:rPr>
          <w:rFonts w:ascii="Arial" w:hAnsi="Arial" w:cs="Arial"/>
        </w:rPr>
        <w:t>e-NATIS and</w:t>
      </w:r>
      <w:r w:rsidR="00A70D19" w:rsidRPr="00D9566D">
        <w:rPr>
          <w:rFonts w:ascii="Arial" w:hAnsi="Arial" w:cs="Arial"/>
        </w:rPr>
        <w:t xml:space="preserve"> </w:t>
      </w:r>
      <w:r w:rsidR="001F26FB" w:rsidRPr="00D9566D">
        <w:rPr>
          <w:rFonts w:ascii="Arial" w:hAnsi="Arial" w:cs="Arial"/>
        </w:rPr>
        <w:t xml:space="preserve">that </w:t>
      </w:r>
      <w:r w:rsidR="00A70D19" w:rsidRPr="00D9566D">
        <w:rPr>
          <w:rFonts w:ascii="Arial" w:hAnsi="Arial" w:cs="Arial"/>
        </w:rPr>
        <w:t xml:space="preserve">it had instead supplied a copy of 2 registration certificates, </w:t>
      </w:r>
      <w:r w:rsidR="00661955" w:rsidRPr="00D9566D">
        <w:rPr>
          <w:rFonts w:ascii="Arial" w:hAnsi="Arial" w:cs="Arial"/>
        </w:rPr>
        <w:t>i</w:t>
      </w:r>
      <w:r w:rsidR="00A70D19" w:rsidRPr="00D9566D">
        <w:rPr>
          <w:rFonts w:ascii="Arial" w:hAnsi="Arial" w:cs="Arial"/>
        </w:rPr>
        <w:t xml:space="preserve">t pointed out that these </w:t>
      </w:r>
      <w:r w:rsidR="00D85F91" w:rsidRPr="00D9566D">
        <w:rPr>
          <w:rFonts w:ascii="Arial" w:hAnsi="Arial" w:cs="Arial"/>
        </w:rPr>
        <w:t xml:space="preserve">certificates </w:t>
      </w:r>
      <w:r w:rsidR="00A70D19" w:rsidRPr="00D9566D">
        <w:rPr>
          <w:rFonts w:ascii="Arial" w:hAnsi="Arial" w:cs="Arial"/>
        </w:rPr>
        <w:t xml:space="preserve">were issued by </w:t>
      </w:r>
      <w:r w:rsidR="000835A4" w:rsidRPr="00D9566D">
        <w:rPr>
          <w:rFonts w:ascii="Arial" w:hAnsi="Arial" w:cs="Arial"/>
        </w:rPr>
        <w:t>e-NATIS</w:t>
      </w:r>
      <w:r w:rsidR="001F26FB" w:rsidRPr="00D9566D">
        <w:rPr>
          <w:rFonts w:ascii="Arial" w:hAnsi="Arial" w:cs="Arial"/>
        </w:rPr>
        <w:t xml:space="preserve">, </w:t>
      </w:r>
      <w:r w:rsidR="00D85F91" w:rsidRPr="00D9566D">
        <w:rPr>
          <w:rFonts w:ascii="Arial" w:hAnsi="Arial" w:cs="Arial"/>
        </w:rPr>
        <w:t>and</w:t>
      </w:r>
      <w:r w:rsidR="001F26FB" w:rsidRPr="00D9566D">
        <w:rPr>
          <w:rFonts w:ascii="Arial" w:hAnsi="Arial" w:cs="Arial"/>
        </w:rPr>
        <w:t xml:space="preserve"> </w:t>
      </w:r>
      <w:r w:rsidR="006E3C40" w:rsidRPr="00D9566D">
        <w:rPr>
          <w:rFonts w:ascii="Arial" w:hAnsi="Arial" w:cs="Arial"/>
        </w:rPr>
        <w:t xml:space="preserve">averred that they </w:t>
      </w:r>
      <w:r w:rsidR="001F26FB" w:rsidRPr="00D9566D">
        <w:rPr>
          <w:rFonts w:ascii="Arial" w:hAnsi="Arial" w:cs="Arial"/>
        </w:rPr>
        <w:t xml:space="preserve">contained the same information </w:t>
      </w:r>
      <w:r w:rsidR="00A212EE" w:rsidRPr="00D9566D">
        <w:rPr>
          <w:rFonts w:ascii="Arial" w:hAnsi="Arial" w:cs="Arial"/>
        </w:rPr>
        <w:t>that</w:t>
      </w:r>
      <w:r w:rsidR="001F26FB" w:rsidRPr="00D9566D">
        <w:rPr>
          <w:rFonts w:ascii="Arial" w:hAnsi="Arial" w:cs="Arial"/>
        </w:rPr>
        <w:t xml:space="preserve"> would have been recorded in a report</w:t>
      </w:r>
      <w:r w:rsidR="00A70D19" w:rsidRPr="00D9566D">
        <w:rPr>
          <w:rFonts w:ascii="Arial" w:hAnsi="Arial" w:cs="Arial"/>
        </w:rPr>
        <w:t>. Consequently, it contended that it qualified for the full 20 points available in respect of this aspect of the functionality requirement</w:t>
      </w:r>
      <w:r w:rsidR="000835A4" w:rsidRPr="00D9566D">
        <w:rPr>
          <w:rFonts w:ascii="Arial" w:hAnsi="Arial" w:cs="Arial"/>
        </w:rPr>
        <w:t>s</w:t>
      </w:r>
      <w:r w:rsidR="00D85F91" w:rsidRPr="00D9566D">
        <w:rPr>
          <w:rFonts w:ascii="Arial" w:hAnsi="Arial" w:cs="Arial"/>
        </w:rPr>
        <w:t xml:space="preserve"> as its bid was substantially in compliance with the tender specifications</w:t>
      </w:r>
      <w:r w:rsidR="00A70D19" w:rsidRPr="00D9566D">
        <w:rPr>
          <w:rFonts w:ascii="Arial" w:hAnsi="Arial" w:cs="Arial"/>
        </w:rPr>
        <w:t xml:space="preserve">. </w:t>
      </w:r>
    </w:p>
    <w:p w14:paraId="269E30C5" w14:textId="01056390" w:rsidR="00A70D19"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23.</w:t>
      </w:r>
      <w:r w:rsidRPr="00D9566D">
        <w:rPr>
          <w:rFonts w:ascii="Arial" w:hAnsi="Arial" w:cs="Arial"/>
        </w:rPr>
        <w:tab/>
      </w:r>
      <w:r w:rsidR="00A70D19" w:rsidRPr="00D9566D">
        <w:rPr>
          <w:rFonts w:ascii="Arial" w:hAnsi="Arial" w:cs="Arial"/>
        </w:rPr>
        <w:t>Thus it contended</w:t>
      </w:r>
      <w:r w:rsidR="00647504" w:rsidRPr="00D9566D">
        <w:rPr>
          <w:rFonts w:ascii="Arial" w:hAnsi="Arial" w:cs="Arial"/>
        </w:rPr>
        <w:t>,</w:t>
      </w:r>
      <w:r w:rsidR="00A70D19" w:rsidRPr="00D9566D">
        <w:rPr>
          <w:rFonts w:ascii="Arial" w:hAnsi="Arial" w:cs="Arial"/>
        </w:rPr>
        <w:t xml:space="preserve"> in summary</w:t>
      </w:r>
      <w:r w:rsidR="00647504" w:rsidRPr="00D9566D">
        <w:rPr>
          <w:rFonts w:ascii="Arial" w:hAnsi="Arial" w:cs="Arial"/>
        </w:rPr>
        <w:t>,</w:t>
      </w:r>
      <w:r w:rsidR="00A70D19" w:rsidRPr="00D9566D">
        <w:rPr>
          <w:rFonts w:ascii="Arial" w:hAnsi="Arial" w:cs="Arial"/>
        </w:rPr>
        <w:t xml:space="preserve"> that it should have been scored as having </w:t>
      </w:r>
      <w:r w:rsidR="000835A4" w:rsidRPr="00D9566D">
        <w:rPr>
          <w:rFonts w:ascii="Arial" w:hAnsi="Arial" w:cs="Arial"/>
        </w:rPr>
        <w:t>obtained</w:t>
      </w:r>
      <w:r w:rsidR="00A70D19" w:rsidRPr="00D9566D">
        <w:rPr>
          <w:rFonts w:ascii="Arial" w:hAnsi="Arial" w:cs="Arial"/>
        </w:rPr>
        <w:t xml:space="preserve"> a total of 80 points</w:t>
      </w:r>
      <w:r w:rsidR="00D85F91" w:rsidRPr="00D9566D">
        <w:rPr>
          <w:rFonts w:ascii="Arial" w:hAnsi="Arial" w:cs="Arial"/>
        </w:rPr>
        <w:t xml:space="preserve"> for functionality</w:t>
      </w:r>
      <w:r w:rsidR="00713DED" w:rsidRPr="00D9566D">
        <w:rPr>
          <w:rFonts w:ascii="Arial" w:hAnsi="Arial" w:cs="Arial"/>
        </w:rPr>
        <w:t xml:space="preserve"> </w:t>
      </w:r>
      <w:r w:rsidR="004F7DED" w:rsidRPr="00D9566D">
        <w:rPr>
          <w:rFonts w:ascii="Arial" w:hAnsi="Arial" w:cs="Arial"/>
        </w:rPr>
        <w:t xml:space="preserve">(60 for experience and 20 for its response vehicles) </w:t>
      </w:r>
      <w:r w:rsidR="00713DED" w:rsidRPr="00D9566D">
        <w:rPr>
          <w:rFonts w:ascii="Arial" w:hAnsi="Arial" w:cs="Arial"/>
        </w:rPr>
        <w:t>and should accordingly not have been disqualified</w:t>
      </w:r>
      <w:r w:rsidR="004F7DED" w:rsidRPr="00D9566D">
        <w:rPr>
          <w:rFonts w:ascii="Arial" w:hAnsi="Arial" w:cs="Arial"/>
        </w:rPr>
        <w:t xml:space="preserve"> </w:t>
      </w:r>
      <w:r w:rsidR="00713DED" w:rsidRPr="00D9566D">
        <w:rPr>
          <w:rFonts w:ascii="Arial" w:hAnsi="Arial" w:cs="Arial"/>
        </w:rPr>
        <w:t>without its bid being considered</w:t>
      </w:r>
      <w:r w:rsidR="000835A4" w:rsidRPr="00D9566D">
        <w:rPr>
          <w:rFonts w:ascii="Arial" w:hAnsi="Arial" w:cs="Arial"/>
        </w:rPr>
        <w:t>. Such a score</w:t>
      </w:r>
      <w:r w:rsidR="00A70D19" w:rsidRPr="00D9566D">
        <w:rPr>
          <w:rFonts w:ascii="Arial" w:hAnsi="Arial" w:cs="Arial"/>
        </w:rPr>
        <w:t xml:space="preserve"> rendered it more competitive as far as functionality and price was concerned</w:t>
      </w:r>
      <w:r w:rsidR="004C198E" w:rsidRPr="00D9566D">
        <w:rPr>
          <w:rFonts w:ascii="Arial" w:hAnsi="Arial" w:cs="Arial"/>
        </w:rPr>
        <w:t>,</w:t>
      </w:r>
      <w:r w:rsidR="00A70D19" w:rsidRPr="00D9566D">
        <w:rPr>
          <w:rFonts w:ascii="Arial" w:hAnsi="Arial" w:cs="Arial"/>
        </w:rPr>
        <w:t xml:space="preserve"> th</w:t>
      </w:r>
      <w:r w:rsidR="00647504" w:rsidRPr="00D9566D">
        <w:rPr>
          <w:rFonts w:ascii="Arial" w:hAnsi="Arial" w:cs="Arial"/>
        </w:rPr>
        <w:t>a</w:t>
      </w:r>
      <w:r w:rsidR="00A70D19" w:rsidRPr="00D9566D">
        <w:rPr>
          <w:rFonts w:ascii="Arial" w:hAnsi="Arial" w:cs="Arial"/>
        </w:rPr>
        <w:t xml:space="preserve">n many of the bidders to whom the tender </w:t>
      </w:r>
      <w:r w:rsidR="00D85F91" w:rsidRPr="00D9566D">
        <w:rPr>
          <w:rFonts w:ascii="Arial" w:hAnsi="Arial" w:cs="Arial"/>
        </w:rPr>
        <w:t>had been</w:t>
      </w:r>
      <w:r w:rsidR="00A70D19" w:rsidRPr="00D9566D">
        <w:rPr>
          <w:rFonts w:ascii="Arial" w:hAnsi="Arial" w:cs="Arial"/>
        </w:rPr>
        <w:t xml:space="preserve"> awarded.</w:t>
      </w:r>
    </w:p>
    <w:p w14:paraId="3B14A3A1" w14:textId="14AB0C59" w:rsidR="00A70D19"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24.</w:t>
      </w:r>
      <w:r w:rsidRPr="00D9566D">
        <w:rPr>
          <w:rFonts w:ascii="Arial" w:hAnsi="Arial" w:cs="Arial"/>
        </w:rPr>
        <w:tab/>
      </w:r>
      <w:r w:rsidR="00A212EE" w:rsidRPr="00D9566D">
        <w:rPr>
          <w:rFonts w:ascii="Arial" w:hAnsi="Arial" w:cs="Arial"/>
        </w:rPr>
        <w:t>As far as tender 10/22 is concerned</w:t>
      </w:r>
      <w:r w:rsidR="00D85F91" w:rsidRPr="00D9566D">
        <w:rPr>
          <w:rFonts w:ascii="Arial" w:hAnsi="Arial" w:cs="Arial"/>
        </w:rPr>
        <w:t>,</w:t>
      </w:r>
      <w:r w:rsidR="00A212EE" w:rsidRPr="00D9566D">
        <w:rPr>
          <w:rFonts w:ascii="Arial" w:hAnsi="Arial" w:cs="Arial"/>
        </w:rPr>
        <w:t xml:space="preserve"> in its founding affidavit the applicant </w:t>
      </w:r>
      <w:r w:rsidR="00713DED" w:rsidRPr="00D9566D">
        <w:rPr>
          <w:rFonts w:ascii="Arial" w:hAnsi="Arial" w:cs="Arial"/>
        </w:rPr>
        <w:t xml:space="preserve">similarly </w:t>
      </w:r>
      <w:r w:rsidR="00A212EE" w:rsidRPr="00D9566D">
        <w:rPr>
          <w:rFonts w:ascii="Arial" w:hAnsi="Arial" w:cs="Arial"/>
        </w:rPr>
        <w:t>relied on a single ground of procedural unfairness. It contended that the 1</w:t>
      </w:r>
      <w:r w:rsidR="00A212EE" w:rsidRPr="00D9566D">
        <w:rPr>
          <w:rFonts w:ascii="Arial" w:hAnsi="Arial" w:cs="Arial"/>
          <w:vertAlign w:val="superscript"/>
        </w:rPr>
        <w:t>st</w:t>
      </w:r>
      <w:r w:rsidR="00A212EE" w:rsidRPr="00D9566D">
        <w:rPr>
          <w:rFonts w:ascii="Arial" w:hAnsi="Arial" w:cs="Arial"/>
        </w:rPr>
        <w:t xml:space="preserve"> respondent had failed to notify it of the award of the tender and the reasons why its bid had been rejected. In </w:t>
      </w:r>
      <w:r w:rsidR="00D85F91" w:rsidRPr="00D9566D">
        <w:rPr>
          <w:rFonts w:ascii="Arial" w:hAnsi="Arial" w:cs="Arial"/>
        </w:rPr>
        <w:t>its</w:t>
      </w:r>
      <w:r w:rsidR="00A212EE" w:rsidRPr="00D9566D">
        <w:rPr>
          <w:rFonts w:ascii="Arial" w:hAnsi="Arial" w:cs="Arial"/>
        </w:rPr>
        <w:t xml:space="preserve"> supplementary founding affidavit it indicated it was abandoning this ground and was raising a complaint that </w:t>
      </w:r>
      <w:r w:rsidR="00713DED" w:rsidRPr="00D9566D">
        <w:rPr>
          <w:rFonts w:ascii="Arial" w:hAnsi="Arial" w:cs="Arial"/>
        </w:rPr>
        <w:t>its</w:t>
      </w:r>
      <w:r w:rsidR="00A212EE" w:rsidRPr="00D9566D">
        <w:rPr>
          <w:rFonts w:ascii="Arial" w:hAnsi="Arial" w:cs="Arial"/>
        </w:rPr>
        <w:t xml:space="preserve"> bid had wrongly been rejected as being non-responsive. It contended that, by way of the letter</w:t>
      </w:r>
      <w:r w:rsidR="00D85F91" w:rsidRPr="00D9566D">
        <w:rPr>
          <w:rFonts w:ascii="Arial" w:hAnsi="Arial" w:cs="Arial"/>
        </w:rPr>
        <w:t>s</w:t>
      </w:r>
      <w:r w:rsidR="00A212EE" w:rsidRPr="00D9566D">
        <w:rPr>
          <w:rFonts w:ascii="Arial" w:hAnsi="Arial" w:cs="Arial"/>
        </w:rPr>
        <w:t xml:space="preserve"> from the NBC dated 5 October and 2 December 2022 it had suppl</w:t>
      </w:r>
      <w:r w:rsidR="00D85F91" w:rsidRPr="00D9566D">
        <w:rPr>
          <w:rFonts w:ascii="Arial" w:hAnsi="Arial" w:cs="Arial"/>
        </w:rPr>
        <w:t>ied</w:t>
      </w:r>
      <w:r w:rsidR="00A212EE" w:rsidRPr="00D9566D">
        <w:rPr>
          <w:rFonts w:ascii="Arial" w:hAnsi="Arial" w:cs="Arial"/>
        </w:rPr>
        <w:t xml:space="preserve"> the requisite proof of </w:t>
      </w:r>
      <w:r w:rsidR="00D85F91" w:rsidRPr="00D9566D">
        <w:rPr>
          <w:rFonts w:ascii="Arial" w:hAnsi="Arial" w:cs="Arial"/>
        </w:rPr>
        <w:t xml:space="preserve">its </w:t>
      </w:r>
      <w:r w:rsidR="00A212EE" w:rsidRPr="00D9566D">
        <w:rPr>
          <w:rFonts w:ascii="Arial" w:hAnsi="Arial" w:cs="Arial"/>
        </w:rPr>
        <w:t xml:space="preserve">registration with the NBC. In this regard it </w:t>
      </w:r>
      <w:r w:rsidR="00500553" w:rsidRPr="00D9566D">
        <w:rPr>
          <w:rFonts w:ascii="Arial" w:hAnsi="Arial" w:cs="Arial"/>
        </w:rPr>
        <w:t>submitted</w:t>
      </w:r>
      <w:r w:rsidR="00A212EE" w:rsidRPr="00D9566D">
        <w:rPr>
          <w:rFonts w:ascii="Arial" w:hAnsi="Arial" w:cs="Arial"/>
        </w:rPr>
        <w:t xml:space="preserve"> that</w:t>
      </w:r>
      <w:r w:rsidR="00D85F91" w:rsidRPr="00D9566D">
        <w:rPr>
          <w:rFonts w:ascii="Arial" w:hAnsi="Arial" w:cs="Arial"/>
        </w:rPr>
        <w:t>,</w:t>
      </w:r>
      <w:r w:rsidR="00A212EE" w:rsidRPr="00D9566D">
        <w:rPr>
          <w:rFonts w:ascii="Arial" w:hAnsi="Arial" w:cs="Arial"/>
        </w:rPr>
        <w:t xml:space="preserve"> although the </w:t>
      </w:r>
      <w:r w:rsidR="00D85F91" w:rsidRPr="00D9566D">
        <w:rPr>
          <w:rFonts w:ascii="Arial" w:hAnsi="Arial" w:cs="Arial"/>
        </w:rPr>
        <w:t xml:space="preserve">letters </w:t>
      </w:r>
      <w:r w:rsidR="00A212EE" w:rsidRPr="00D9566D">
        <w:rPr>
          <w:rFonts w:ascii="Arial" w:hAnsi="Arial" w:cs="Arial"/>
        </w:rPr>
        <w:t xml:space="preserve">did not </w:t>
      </w:r>
      <w:r w:rsidR="00D85F91" w:rsidRPr="00D9566D">
        <w:rPr>
          <w:rFonts w:ascii="Arial" w:hAnsi="Arial" w:cs="Arial"/>
        </w:rPr>
        <w:t xml:space="preserve">expressly </w:t>
      </w:r>
      <w:r w:rsidR="00A212EE" w:rsidRPr="00D9566D">
        <w:rPr>
          <w:rFonts w:ascii="Arial" w:hAnsi="Arial" w:cs="Arial"/>
        </w:rPr>
        <w:t xml:space="preserve">say that it </w:t>
      </w:r>
      <w:r w:rsidR="00D85F91" w:rsidRPr="00D9566D">
        <w:rPr>
          <w:rFonts w:ascii="Arial" w:hAnsi="Arial" w:cs="Arial"/>
        </w:rPr>
        <w:t>was registered</w:t>
      </w:r>
      <w:r w:rsidR="00713DED" w:rsidRPr="00D9566D">
        <w:rPr>
          <w:rFonts w:ascii="Arial" w:hAnsi="Arial" w:cs="Arial"/>
        </w:rPr>
        <w:t>,</w:t>
      </w:r>
      <w:r w:rsidR="00D85F91" w:rsidRPr="00D9566D">
        <w:rPr>
          <w:rFonts w:ascii="Arial" w:hAnsi="Arial" w:cs="Arial"/>
        </w:rPr>
        <w:t xml:space="preserve"> it </w:t>
      </w:r>
      <w:r w:rsidR="00A212EE" w:rsidRPr="00D9566D">
        <w:rPr>
          <w:rFonts w:ascii="Arial" w:hAnsi="Arial" w:cs="Arial"/>
        </w:rPr>
        <w:t>was impossible to be in good standing without being registered</w:t>
      </w:r>
      <w:r w:rsidR="00D85F91" w:rsidRPr="00D9566D">
        <w:rPr>
          <w:rFonts w:ascii="Arial" w:hAnsi="Arial" w:cs="Arial"/>
        </w:rPr>
        <w:t>. In any event, it</w:t>
      </w:r>
      <w:r w:rsidR="00A212EE" w:rsidRPr="00D9566D">
        <w:rPr>
          <w:rFonts w:ascii="Arial" w:hAnsi="Arial" w:cs="Arial"/>
        </w:rPr>
        <w:t xml:space="preserve"> was also </w:t>
      </w:r>
      <w:r w:rsidR="00D85F91" w:rsidRPr="00D9566D">
        <w:rPr>
          <w:rFonts w:ascii="Arial" w:hAnsi="Arial" w:cs="Arial"/>
        </w:rPr>
        <w:t>apparent</w:t>
      </w:r>
      <w:r w:rsidR="00A212EE" w:rsidRPr="00D9566D">
        <w:rPr>
          <w:rFonts w:ascii="Arial" w:hAnsi="Arial" w:cs="Arial"/>
        </w:rPr>
        <w:t xml:space="preserve"> from the heading of the letter dated 2 December 2022</w:t>
      </w:r>
      <w:r w:rsidR="00D85F91" w:rsidRPr="00D9566D">
        <w:rPr>
          <w:rFonts w:ascii="Arial" w:hAnsi="Arial" w:cs="Arial"/>
        </w:rPr>
        <w:t xml:space="preserve"> that it must have been registered at the time it submitted its bid</w:t>
      </w:r>
      <w:r w:rsidR="00A212EE" w:rsidRPr="00D9566D">
        <w:rPr>
          <w:rFonts w:ascii="Arial" w:hAnsi="Arial" w:cs="Arial"/>
        </w:rPr>
        <w:t>. It contended</w:t>
      </w:r>
      <w:r w:rsidR="00D85F91" w:rsidRPr="00D9566D">
        <w:rPr>
          <w:rFonts w:ascii="Arial" w:hAnsi="Arial" w:cs="Arial"/>
        </w:rPr>
        <w:t>,</w:t>
      </w:r>
      <w:r w:rsidR="00A212EE" w:rsidRPr="00D9566D">
        <w:rPr>
          <w:rFonts w:ascii="Arial" w:hAnsi="Arial" w:cs="Arial"/>
        </w:rPr>
        <w:t xml:space="preserve"> in the alternative</w:t>
      </w:r>
      <w:r w:rsidR="00D85F91" w:rsidRPr="00D9566D">
        <w:rPr>
          <w:rFonts w:ascii="Arial" w:hAnsi="Arial" w:cs="Arial"/>
        </w:rPr>
        <w:t>,</w:t>
      </w:r>
      <w:r w:rsidR="00A212EE" w:rsidRPr="00D9566D">
        <w:rPr>
          <w:rFonts w:ascii="Arial" w:hAnsi="Arial" w:cs="Arial"/>
        </w:rPr>
        <w:t xml:space="preserve"> </w:t>
      </w:r>
      <w:r w:rsidR="00713DED" w:rsidRPr="00D9566D">
        <w:rPr>
          <w:rFonts w:ascii="Arial" w:hAnsi="Arial" w:cs="Arial"/>
        </w:rPr>
        <w:t>that</w:t>
      </w:r>
      <w:r w:rsidR="00A212EE" w:rsidRPr="00D9566D">
        <w:rPr>
          <w:rFonts w:ascii="Arial" w:hAnsi="Arial" w:cs="Arial"/>
        </w:rPr>
        <w:t xml:space="preserve"> to the extent that the confirmation which had been provided by the NBC was </w:t>
      </w:r>
      <w:r w:rsidR="00D85F91" w:rsidRPr="00D9566D">
        <w:rPr>
          <w:rFonts w:ascii="Arial" w:hAnsi="Arial" w:cs="Arial"/>
        </w:rPr>
        <w:t>‘</w:t>
      </w:r>
      <w:r w:rsidR="00A212EE" w:rsidRPr="00D9566D">
        <w:rPr>
          <w:rFonts w:ascii="Arial" w:hAnsi="Arial" w:cs="Arial"/>
        </w:rPr>
        <w:t>ambiguous</w:t>
      </w:r>
      <w:r w:rsidR="00D85F91" w:rsidRPr="00D9566D">
        <w:rPr>
          <w:rFonts w:ascii="Arial" w:hAnsi="Arial" w:cs="Arial"/>
        </w:rPr>
        <w:t>’</w:t>
      </w:r>
      <w:r w:rsidR="00A212EE" w:rsidRPr="00D9566D">
        <w:rPr>
          <w:rFonts w:ascii="Arial" w:hAnsi="Arial" w:cs="Arial"/>
        </w:rPr>
        <w:t xml:space="preserve"> </w:t>
      </w:r>
      <w:r w:rsidR="00713DED" w:rsidRPr="00D9566D">
        <w:rPr>
          <w:rFonts w:ascii="Arial" w:hAnsi="Arial" w:cs="Arial"/>
        </w:rPr>
        <w:t xml:space="preserve">(sic) </w:t>
      </w:r>
      <w:r w:rsidR="00A212EE" w:rsidRPr="00D9566D">
        <w:rPr>
          <w:rFonts w:ascii="Arial" w:hAnsi="Arial" w:cs="Arial"/>
        </w:rPr>
        <w:t xml:space="preserve">the </w:t>
      </w:r>
      <w:r w:rsidR="00133112" w:rsidRPr="00D9566D">
        <w:rPr>
          <w:rFonts w:ascii="Arial" w:hAnsi="Arial" w:cs="Arial"/>
        </w:rPr>
        <w:t>b</w:t>
      </w:r>
      <w:r w:rsidR="00D85F91" w:rsidRPr="00D9566D">
        <w:rPr>
          <w:rFonts w:ascii="Arial" w:hAnsi="Arial" w:cs="Arial"/>
        </w:rPr>
        <w:t xml:space="preserve">id </w:t>
      </w:r>
      <w:r w:rsidR="00133112" w:rsidRPr="00D9566D">
        <w:rPr>
          <w:rFonts w:ascii="Arial" w:hAnsi="Arial" w:cs="Arial"/>
        </w:rPr>
        <w:t>a</w:t>
      </w:r>
      <w:r w:rsidR="00D85F91" w:rsidRPr="00D9566D">
        <w:rPr>
          <w:rFonts w:ascii="Arial" w:hAnsi="Arial" w:cs="Arial"/>
        </w:rPr>
        <w:t xml:space="preserve">djudication </w:t>
      </w:r>
      <w:r w:rsidR="00133112" w:rsidRPr="00D9566D">
        <w:rPr>
          <w:rFonts w:ascii="Arial" w:hAnsi="Arial" w:cs="Arial"/>
        </w:rPr>
        <w:t>c</w:t>
      </w:r>
      <w:r w:rsidR="00D85F91" w:rsidRPr="00D9566D">
        <w:rPr>
          <w:rFonts w:ascii="Arial" w:hAnsi="Arial" w:cs="Arial"/>
        </w:rPr>
        <w:t>ommittee (‘the BAC’)</w:t>
      </w:r>
      <w:r w:rsidR="00A212EE" w:rsidRPr="00D9566D">
        <w:rPr>
          <w:rFonts w:ascii="Arial" w:hAnsi="Arial" w:cs="Arial"/>
        </w:rPr>
        <w:t xml:space="preserve"> should not have rejected its bid summarily and should have sought clarification</w:t>
      </w:r>
      <w:r w:rsidR="00D85F91" w:rsidRPr="00D9566D">
        <w:rPr>
          <w:rFonts w:ascii="Arial" w:hAnsi="Arial" w:cs="Arial"/>
        </w:rPr>
        <w:t xml:space="preserve"> as to its status, either</w:t>
      </w:r>
      <w:r w:rsidR="00A212EE" w:rsidRPr="00D9566D">
        <w:rPr>
          <w:rFonts w:ascii="Arial" w:hAnsi="Arial" w:cs="Arial"/>
        </w:rPr>
        <w:t xml:space="preserve"> from the NBC or from the applicant </w:t>
      </w:r>
      <w:r w:rsidR="00D85F91" w:rsidRPr="00D9566D">
        <w:rPr>
          <w:rFonts w:ascii="Arial" w:hAnsi="Arial" w:cs="Arial"/>
        </w:rPr>
        <w:t xml:space="preserve">itself, </w:t>
      </w:r>
      <w:r w:rsidR="00A212EE" w:rsidRPr="00D9566D">
        <w:rPr>
          <w:rFonts w:ascii="Arial" w:hAnsi="Arial" w:cs="Arial"/>
        </w:rPr>
        <w:t xml:space="preserve">and its failure </w:t>
      </w:r>
      <w:r w:rsidR="00A212EE" w:rsidRPr="00D9566D">
        <w:rPr>
          <w:rFonts w:ascii="Arial" w:hAnsi="Arial" w:cs="Arial"/>
        </w:rPr>
        <w:lastRenderedPageBreak/>
        <w:t>to do so prior to disqualify</w:t>
      </w:r>
      <w:r w:rsidR="00D85F91" w:rsidRPr="00D9566D">
        <w:rPr>
          <w:rFonts w:ascii="Arial" w:hAnsi="Arial" w:cs="Arial"/>
        </w:rPr>
        <w:t>ing</w:t>
      </w:r>
      <w:r w:rsidR="00A212EE" w:rsidRPr="00D9566D">
        <w:rPr>
          <w:rFonts w:ascii="Arial" w:hAnsi="Arial" w:cs="Arial"/>
        </w:rPr>
        <w:t xml:space="preserve"> the applicant for being non-responsive was procedurally unfair.</w:t>
      </w:r>
    </w:p>
    <w:p w14:paraId="5F54E5C6" w14:textId="06520C35" w:rsidR="00C161B0" w:rsidRPr="00D9566D" w:rsidRDefault="00DE2B0F" w:rsidP="00D9566D">
      <w:pPr>
        <w:adjustRightInd w:val="0"/>
        <w:spacing w:after="0" w:line="240" w:lineRule="auto"/>
        <w:ind w:left="1080" w:hanging="720"/>
        <w:jc w:val="both"/>
        <w:textAlignment w:val="baseline"/>
        <w:rPr>
          <w:rFonts w:ascii="Arial" w:hAnsi="Arial" w:cs="Arial"/>
          <w:u w:val="single"/>
        </w:rPr>
      </w:pPr>
      <w:r w:rsidRPr="00D9566D">
        <w:rPr>
          <w:rFonts w:ascii="Arial" w:hAnsi="Arial" w:cs="Arial"/>
        </w:rPr>
        <w:t>(iii)</w:t>
      </w:r>
      <w:r w:rsidRPr="00D9566D">
        <w:rPr>
          <w:rFonts w:ascii="Arial" w:hAnsi="Arial" w:cs="Arial"/>
        </w:rPr>
        <w:tab/>
      </w:r>
      <w:r w:rsidR="00C161B0" w:rsidRPr="00D9566D">
        <w:rPr>
          <w:rFonts w:ascii="Arial" w:hAnsi="Arial" w:cs="Arial"/>
          <w:u w:val="single"/>
        </w:rPr>
        <w:t>The respondent’s papers</w:t>
      </w:r>
    </w:p>
    <w:p w14:paraId="3E290497" w14:textId="1B47BF37" w:rsidR="004F7DED"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25.</w:t>
      </w:r>
      <w:r w:rsidRPr="00D9566D">
        <w:rPr>
          <w:rFonts w:ascii="Arial" w:hAnsi="Arial" w:cs="Arial"/>
        </w:rPr>
        <w:tab/>
      </w:r>
      <w:r w:rsidR="004F7DED" w:rsidRPr="00D9566D">
        <w:rPr>
          <w:rFonts w:ascii="Arial" w:hAnsi="Arial" w:cs="Arial"/>
        </w:rPr>
        <w:t>In their answering affidavits the respondents pointed out that t</w:t>
      </w:r>
      <w:r w:rsidR="00A212EE" w:rsidRPr="00D9566D">
        <w:rPr>
          <w:rFonts w:ascii="Arial" w:hAnsi="Arial" w:cs="Arial"/>
        </w:rPr>
        <w:t xml:space="preserve">he tender documentation </w:t>
      </w:r>
      <w:r w:rsidR="000F3494" w:rsidRPr="00D9566D">
        <w:rPr>
          <w:rFonts w:ascii="Arial" w:hAnsi="Arial" w:cs="Arial"/>
        </w:rPr>
        <w:t xml:space="preserve">for </w:t>
      </w:r>
      <w:r w:rsidR="00A212EE" w:rsidRPr="00D9566D">
        <w:rPr>
          <w:rFonts w:ascii="Arial" w:hAnsi="Arial" w:cs="Arial"/>
        </w:rPr>
        <w:t xml:space="preserve">each tender </w:t>
      </w:r>
      <w:r w:rsidR="009C5D49" w:rsidRPr="00D9566D">
        <w:rPr>
          <w:rFonts w:ascii="Arial" w:hAnsi="Arial" w:cs="Arial"/>
        </w:rPr>
        <w:t>contained</w:t>
      </w:r>
      <w:r w:rsidR="00A212EE" w:rsidRPr="00D9566D">
        <w:rPr>
          <w:rFonts w:ascii="Arial" w:hAnsi="Arial" w:cs="Arial"/>
        </w:rPr>
        <w:t xml:space="preserve"> both responsiveness and </w:t>
      </w:r>
      <w:r w:rsidR="009C5D49" w:rsidRPr="00D9566D">
        <w:rPr>
          <w:rFonts w:ascii="Arial" w:hAnsi="Arial" w:cs="Arial"/>
        </w:rPr>
        <w:t xml:space="preserve">‘pre-qualification’ criteria, which included criteria in relation to </w:t>
      </w:r>
      <w:r w:rsidR="00A212EE" w:rsidRPr="00D9566D">
        <w:rPr>
          <w:rFonts w:ascii="Arial" w:hAnsi="Arial" w:cs="Arial"/>
        </w:rPr>
        <w:t>functionality</w:t>
      </w:r>
      <w:r w:rsidR="009C5D49" w:rsidRPr="00D9566D">
        <w:rPr>
          <w:rFonts w:ascii="Arial" w:hAnsi="Arial" w:cs="Arial"/>
        </w:rPr>
        <w:t xml:space="preserve">, and it was clearly stipulated that a failure to comply with these </w:t>
      </w:r>
      <w:r w:rsidR="006E3C40" w:rsidRPr="00D9566D">
        <w:rPr>
          <w:rFonts w:ascii="Arial" w:hAnsi="Arial" w:cs="Arial"/>
        </w:rPr>
        <w:t xml:space="preserve">bid </w:t>
      </w:r>
      <w:r w:rsidR="009C5D49" w:rsidRPr="00D9566D">
        <w:rPr>
          <w:rFonts w:ascii="Arial" w:hAnsi="Arial" w:cs="Arial"/>
        </w:rPr>
        <w:t>specifications would result in disqualification without the merits of a bid being considered</w:t>
      </w:r>
      <w:r w:rsidR="004F7DED" w:rsidRPr="00D9566D">
        <w:rPr>
          <w:rFonts w:ascii="Arial" w:hAnsi="Arial" w:cs="Arial"/>
        </w:rPr>
        <w:t>.</w:t>
      </w:r>
      <w:r w:rsidR="00A212EE" w:rsidRPr="00D9566D">
        <w:rPr>
          <w:rFonts w:ascii="Arial" w:hAnsi="Arial" w:cs="Arial"/>
        </w:rPr>
        <w:t xml:space="preserve"> </w:t>
      </w:r>
    </w:p>
    <w:p w14:paraId="781DF8A1" w14:textId="7CD53B10" w:rsidR="00A81B0A"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26.</w:t>
      </w:r>
      <w:r w:rsidRPr="00D9566D">
        <w:rPr>
          <w:rFonts w:ascii="Arial" w:hAnsi="Arial" w:cs="Arial"/>
        </w:rPr>
        <w:tab/>
      </w:r>
      <w:r w:rsidR="000F3494" w:rsidRPr="00D9566D">
        <w:rPr>
          <w:rFonts w:ascii="Arial" w:hAnsi="Arial" w:cs="Arial"/>
        </w:rPr>
        <w:t>To</w:t>
      </w:r>
      <w:r w:rsidR="00A212EE" w:rsidRPr="00D9566D">
        <w:rPr>
          <w:rFonts w:ascii="Arial" w:hAnsi="Arial" w:cs="Arial"/>
        </w:rPr>
        <w:t xml:space="preserve"> be considered responsive and therefore eligible for </w:t>
      </w:r>
      <w:r w:rsidR="004C198E" w:rsidRPr="00D9566D">
        <w:rPr>
          <w:rFonts w:ascii="Arial" w:hAnsi="Arial" w:cs="Arial"/>
        </w:rPr>
        <w:t>evaluation</w:t>
      </w:r>
      <w:r w:rsidR="00A212EE" w:rsidRPr="00D9566D">
        <w:rPr>
          <w:rFonts w:ascii="Arial" w:hAnsi="Arial" w:cs="Arial"/>
        </w:rPr>
        <w:t xml:space="preserve">, bidders were required to comply with </w:t>
      </w:r>
      <w:r w:rsidR="00EF2568" w:rsidRPr="00D9566D">
        <w:rPr>
          <w:rFonts w:ascii="Arial" w:hAnsi="Arial" w:cs="Arial"/>
        </w:rPr>
        <w:t>several</w:t>
      </w:r>
      <w:r w:rsidR="00A212EE" w:rsidRPr="00D9566D">
        <w:rPr>
          <w:rFonts w:ascii="Arial" w:hAnsi="Arial" w:cs="Arial"/>
        </w:rPr>
        <w:t xml:space="preserve"> </w:t>
      </w:r>
      <w:r w:rsidR="00FE168B" w:rsidRPr="00D9566D">
        <w:rPr>
          <w:rFonts w:ascii="Arial" w:hAnsi="Arial" w:cs="Arial"/>
        </w:rPr>
        <w:t xml:space="preserve">mandatory </w:t>
      </w:r>
      <w:r w:rsidR="00A212EE" w:rsidRPr="00D9566D">
        <w:rPr>
          <w:rFonts w:ascii="Arial" w:hAnsi="Arial" w:cs="Arial"/>
        </w:rPr>
        <w:t>requirements,</w:t>
      </w:r>
      <w:r w:rsidR="00FE168B" w:rsidRPr="00D9566D">
        <w:rPr>
          <w:rFonts w:ascii="Arial" w:hAnsi="Arial" w:cs="Arial"/>
        </w:rPr>
        <w:t xml:space="preserve"> which </w:t>
      </w:r>
      <w:r w:rsidR="00A212EE" w:rsidRPr="00D9566D">
        <w:rPr>
          <w:rFonts w:ascii="Arial" w:hAnsi="Arial" w:cs="Arial"/>
        </w:rPr>
        <w:t>includ</w:t>
      </w:r>
      <w:r w:rsidR="00FE168B" w:rsidRPr="00D9566D">
        <w:rPr>
          <w:rFonts w:ascii="Arial" w:hAnsi="Arial" w:cs="Arial"/>
        </w:rPr>
        <w:t>ed</w:t>
      </w:r>
      <w:r w:rsidR="00A212EE" w:rsidRPr="00D9566D">
        <w:rPr>
          <w:rFonts w:ascii="Arial" w:hAnsi="Arial" w:cs="Arial"/>
        </w:rPr>
        <w:t xml:space="preserve"> </w:t>
      </w:r>
      <w:r w:rsidR="004C198E" w:rsidRPr="00D9566D">
        <w:rPr>
          <w:rFonts w:ascii="Arial" w:hAnsi="Arial" w:cs="Arial"/>
        </w:rPr>
        <w:t xml:space="preserve">having to </w:t>
      </w:r>
      <w:r w:rsidR="00A212EE" w:rsidRPr="00D9566D">
        <w:rPr>
          <w:rFonts w:ascii="Arial" w:hAnsi="Arial" w:cs="Arial"/>
        </w:rPr>
        <w:t xml:space="preserve">submit certain </w:t>
      </w:r>
      <w:r w:rsidR="00FE168B" w:rsidRPr="00D9566D">
        <w:rPr>
          <w:rFonts w:ascii="Arial" w:hAnsi="Arial" w:cs="Arial"/>
        </w:rPr>
        <w:t xml:space="preserve">prescribed </w:t>
      </w:r>
      <w:r w:rsidR="00A212EE" w:rsidRPr="00D9566D">
        <w:rPr>
          <w:rFonts w:ascii="Arial" w:hAnsi="Arial" w:cs="Arial"/>
        </w:rPr>
        <w:t xml:space="preserve">documentation. Amongst these </w:t>
      </w:r>
      <w:r w:rsidR="00EF2568" w:rsidRPr="00D9566D">
        <w:rPr>
          <w:rFonts w:ascii="Arial" w:hAnsi="Arial" w:cs="Arial"/>
        </w:rPr>
        <w:t xml:space="preserve">were </w:t>
      </w:r>
      <w:r w:rsidR="00A212EE" w:rsidRPr="00D9566D">
        <w:rPr>
          <w:rFonts w:ascii="Arial" w:hAnsi="Arial" w:cs="Arial"/>
        </w:rPr>
        <w:t>copies of valid certificates from</w:t>
      </w:r>
      <w:r w:rsidR="00FE168B" w:rsidRPr="00D9566D">
        <w:rPr>
          <w:rFonts w:ascii="Arial" w:hAnsi="Arial" w:cs="Arial"/>
        </w:rPr>
        <w:t xml:space="preserve"> </w:t>
      </w:r>
      <w:r w:rsidR="00EF2568" w:rsidRPr="00D9566D">
        <w:rPr>
          <w:rFonts w:ascii="Arial" w:hAnsi="Arial" w:cs="Arial"/>
        </w:rPr>
        <w:t xml:space="preserve">certain </w:t>
      </w:r>
      <w:r w:rsidR="00A212EE" w:rsidRPr="00D9566D">
        <w:rPr>
          <w:rFonts w:ascii="Arial" w:hAnsi="Arial" w:cs="Arial"/>
        </w:rPr>
        <w:t>institutions or entities</w:t>
      </w:r>
      <w:r w:rsidR="009C5D49" w:rsidRPr="00D9566D">
        <w:rPr>
          <w:rFonts w:ascii="Arial" w:hAnsi="Arial" w:cs="Arial"/>
        </w:rPr>
        <w:t>, including the NBC</w:t>
      </w:r>
      <w:r w:rsidR="00EF2568" w:rsidRPr="00D9566D">
        <w:rPr>
          <w:rFonts w:ascii="Arial" w:hAnsi="Arial" w:cs="Arial"/>
        </w:rPr>
        <w:t>.</w:t>
      </w:r>
      <w:r w:rsidR="00A212EE" w:rsidRPr="00D9566D">
        <w:rPr>
          <w:rFonts w:ascii="Arial" w:hAnsi="Arial" w:cs="Arial"/>
        </w:rPr>
        <w:t xml:space="preserve"> In addition, b</w:t>
      </w:r>
      <w:r w:rsidR="00EF2568" w:rsidRPr="00D9566D">
        <w:rPr>
          <w:rFonts w:ascii="Arial" w:hAnsi="Arial" w:cs="Arial"/>
        </w:rPr>
        <w:t>idders</w:t>
      </w:r>
      <w:r w:rsidR="00A212EE" w:rsidRPr="00D9566D">
        <w:rPr>
          <w:rFonts w:ascii="Arial" w:hAnsi="Arial" w:cs="Arial"/>
        </w:rPr>
        <w:t xml:space="preserve"> </w:t>
      </w:r>
      <w:r w:rsidR="00EF2568" w:rsidRPr="00D9566D">
        <w:rPr>
          <w:rFonts w:ascii="Arial" w:hAnsi="Arial" w:cs="Arial"/>
        </w:rPr>
        <w:t>were</w:t>
      </w:r>
      <w:r w:rsidR="00A212EE" w:rsidRPr="00D9566D">
        <w:rPr>
          <w:rFonts w:ascii="Arial" w:hAnsi="Arial" w:cs="Arial"/>
        </w:rPr>
        <w:t xml:space="preserve"> also required to submit a range of additional documents. These inc</w:t>
      </w:r>
      <w:r w:rsidR="00FE168B" w:rsidRPr="00D9566D">
        <w:rPr>
          <w:rFonts w:ascii="Arial" w:hAnsi="Arial" w:cs="Arial"/>
        </w:rPr>
        <w:t>lu</w:t>
      </w:r>
      <w:r w:rsidR="00A212EE" w:rsidRPr="00D9566D">
        <w:rPr>
          <w:rFonts w:ascii="Arial" w:hAnsi="Arial" w:cs="Arial"/>
        </w:rPr>
        <w:t xml:space="preserve">ded letters of </w:t>
      </w:r>
      <w:r w:rsidR="00FE168B" w:rsidRPr="00D9566D">
        <w:rPr>
          <w:rFonts w:ascii="Arial" w:hAnsi="Arial" w:cs="Arial"/>
        </w:rPr>
        <w:t>‘</w:t>
      </w:r>
      <w:r w:rsidR="00A212EE" w:rsidRPr="00D9566D">
        <w:rPr>
          <w:rFonts w:ascii="Arial" w:hAnsi="Arial" w:cs="Arial"/>
        </w:rPr>
        <w:t>good standing</w:t>
      </w:r>
      <w:r w:rsidR="00FE168B" w:rsidRPr="00D9566D">
        <w:rPr>
          <w:rFonts w:ascii="Arial" w:hAnsi="Arial" w:cs="Arial"/>
        </w:rPr>
        <w:t>’</w:t>
      </w:r>
      <w:r w:rsidR="00A212EE" w:rsidRPr="00D9566D">
        <w:rPr>
          <w:rFonts w:ascii="Arial" w:hAnsi="Arial" w:cs="Arial"/>
        </w:rPr>
        <w:t xml:space="preserve"> from certain entities</w:t>
      </w:r>
      <w:r w:rsidR="009C5D49" w:rsidRPr="00D9566D">
        <w:rPr>
          <w:rFonts w:ascii="Arial" w:hAnsi="Arial" w:cs="Arial"/>
        </w:rPr>
        <w:t xml:space="preserve"> (including the NBC)</w:t>
      </w:r>
      <w:r w:rsidR="00A212EE" w:rsidRPr="00D9566D">
        <w:rPr>
          <w:rFonts w:ascii="Arial" w:hAnsi="Arial" w:cs="Arial"/>
        </w:rPr>
        <w:t xml:space="preserve">. </w:t>
      </w:r>
      <w:r w:rsidR="00FE168B" w:rsidRPr="00D9566D">
        <w:rPr>
          <w:rFonts w:ascii="Arial" w:hAnsi="Arial" w:cs="Arial"/>
        </w:rPr>
        <w:t xml:space="preserve">The invitation to bid clearly stated that </w:t>
      </w:r>
      <w:r w:rsidR="006E3C40" w:rsidRPr="00D9566D">
        <w:rPr>
          <w:rFonts w:ascii="Arial" w:hAnsi="Arial" w:cs="Arial"/>
        </w:rPr>
        <w:t>if</w:t>
      </w:r>
      <w:r w:rsidR="00A212EE" w:rsidRPr="00D9566D">
        <w:rPr>
          <w:rFonts w:ascii="Arial" w:hAnsi="Arial" w:cs="Arial"/>
        </w:rPr>
        <w:t xml:space="preserve"> bidders failed to submit the prescribed documents </w:t>
      </w:r>
      <w:r w:rsidR="006E3C40" w:rsidRPr="00D9566D">
        <w:rPr>
          <w:rFonts w:ascii="Arial" w:hAnsi="Arial" w:cs="Arial"/>
        </w:rPr>
        <w:t xml:space="preserve">required </w:t>
      </w:r>
      <w:r w:rsidR="00A212EE" w:rsidRPr="00D9566D">
        <w:rPr>
          <w:rFonts w:ascii="Arial" w:hAnsi="Arial" w:cs="Arial"/>
        </w:rPr>
        <w:t xml:space="preserve">they would be </w:t>
      </w:r>
      <w:r w:rsidR="00FE168B" w:rsidRPr="00D9566D">
        <w:rPr>
          <w:rFonts w:ascii="Arial" w:hAnsi="Arial" w:cs="Arial"/>
        </w:rPr>
        <w:t>disqualified,</w:t>
      </w:r>
      <w:r w:rsidR="00A212EE" w:rsidRPr="00D9566D">
        <w:rPr>
          <w:rFonts w:ascii="Arial" w:hAnsi="Arial" w:cs="Arial"/>
        </w:rPr>
        <w:t xml:space="preserve"> and their bids would not be considered.</w:t>
      </w:r>
    </w:p>
    <w:p w14:paraId="204B5439" w14:textId="52DCD49C" w:rsidR="00F764BF"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27.</w:t>
      </w:r>
      <w:r w:rsidRPr="00D9566D">
        <w:rPr>
          <w:rFonts w:ascii="Arial" w:hAnsi="Arial" w:cs="Arial"/>
        </w:rPr>
        <w:tab/>
      </w:r>
      <w:r w:rsidR="00FE168B" w:rsidRPr="00D9566D">
        <w:rPr>
          <w:rFonts w:ascii="Arial" w:hAnsi="Arial" w:cs="Arial"/>
        </w:rPr>
        <w:t xml:space="preserve">Likewise, the invitation </w:t>
      </w:r>
      <w:r w:rsidR="00A212EE" w:rsidRPr="00D9566D">
        <w:rPr>
          <w:rFonts w:ascii="Arial" w:hAnsi="Arial" w:cs="Arial"/>
        </w:rPr>
        <w:t xml:space="preserve">required bidders to comply with certain </w:t>
      </w:r>
      <w:r w:rsidR="00A81B0A" w:rsidRPr="00D9566D">
        <w:rPr>
          <w:rFonts w:ascii="Arial" w:hAnsi="Arial" w:cs="Arial"/>
        </w:rPr>
        <w:t xml:space="preserve">compulsory </w:t>
      </w:r>
      <w:r w:rsidR="00A212EE" w:rsidRPr="00D9566D">
        <w:rPr>
          <w:rFonts w:ascii="Arial" w:hAnsi="Arial" w:cs="Arial"/>
        </w:rPr>
        <w:t>‘pre</w:t>
      </w:r>
      <w:r w:rsidR="00FE168B" w:rsidRPr="00D9566D">
        <w:rPr>
          <w:rFonts w:ascii="Arial" w:hAnsi="Arial" w:cs="Arial"/>
        </w:rPr>
        <w:t>-</w:t>
      </w:r>
      <w:r w:rsidR="00A212EE" w:rsidRPr="00D9566D">
        <w:rPr>
          <w:rFonts w:ascii="Arial" w:hAnsi="Arial" w:cs="Arial"/>
        </w:rPr>
        <w:t>qualification’ criteria</w:t>
      </w:r>
      <w:r w:rsidR="006E3C40" w:rsidRPr="00D9566D">
        <w:rPr>
          <w:rFonts w:ascii="Arial" w:hAnsi="Arial" w:cs="Arial"/>
        </w:rPr>
        <w:t>,</w:t>
      </w:r>
      <w:r w:rsidR="00A212EE" w:rsidRPr="00D9566D">
        <w:rPr>
          <w:rFonts w:ascii="Arial" w:hAnsi="Arial" w:cs="Arial"/>
        </w:rPr>
        <w:t xml:space="preserve"> </w:t>
      </w:r>
      <w:r w:rsidR="006E3C40" w:rsidRPr="00D9566D">
        <w:rPr>
          <w:rFonts w:ascii="Arial" w:hAnsi="Arial" w:cs="Arial"/>
        </w:rPr>
        <w:t>to</w:t>
      </w:r>
      <w:r w:rsidR="00A212EE" w:rsidRPr="00D9566D">
        <w:rPr>
          <w:rFonts w:ascii="Arial" w:hAnsi="Arial" w:cs="Arial"/>
        </w:rPr>
        <w:t xml:space="preserve"> be considered eligible for preferential procurement. These included having to comply with certain prescribed B-</w:t>
      </w:r>
      <w:r w:rsidR="00F764BF" w:rsidRPr="00D9566D">
        <w:rPr>
          <w:rFonts w:ascii="Arial" w:hAnsi="Arial" w:cs="Arial"/>
        </w:rPr>
        <w:t>BBE</w:t>
      </w:r>
      <w:r w:rsidR="00A212EE" w:rsidRPr="00D9566D">
        <w:rPr>
          <w:rFonts w:ascii="Arial" w:hAnsi="Arial" w:cs="Arial"/>
        </w:rPr>
        <w:t xml:space="preserve">E and minimum functionality requirements. </w:t>
      </w:r>
    </w:p>
    <w:p w14:paraId="6921FEBB" w14:textId="62FE5A58" w:rsidR="00F764BF"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28.</w:t>
      </w:r>
      <w:r w:rsidRPr="00D9566D">
        <w:rPr>
          <w:rFonts w:ascii="Arial" w:hAnsi="Arial" w:cs="Arial"/>
        </w:rPr>
        <w:tab/>
      </w:r>
      <w:r w:rsidR="00A212EE" w:rsidRPr="00D9566D">
        <w:rPr>
          <w:rFonts w:ascii="Arial" w:hAnsi="Arial" w:cs="Arial"/>
        </w:rPr>
        <w:t xml:space="preserve">The bid </w:t>
      </w:r>
      <w:r w:rsidR="009C5D49" w:rsidRPr="00D9566D">
        <w:rPr>
          <w:rFonts w:ascii="Arial" w:hAnsi="Arial" w:cs="Arial"/>
        </w:rPr>
        <w:t xml:space="preserve">which was </w:t>
      </w:r>
      <w:r w:rsidR="00A212EE" w:rsidRPr="00D9566D">
        <w:rPr>
          <w:rFonts w:ascii="Arial" w:hAnsi="Arial" w:cs="Arial"/>
        </w:rPr>
        <w:t xml:space="preserve">submitted by the applicant </w:t>
      </w:r>
      <w:r w:rsidR="009C5D49" w:rsidRPr="00D9566D">
        <w:rPr>
          <w:rFonts w:ascii="Arial" w:hAnsi="Arial" w:cs="Arial"/>
        </w:rPr>
        <w:t xml:space="preserve">in tender 9/22 failed </w:t>
      </w:r>
      <w:r w:rsidR="00A212EE" w:rsidRPr="00D9566D">
        <w:rPr>
          <w:rFonts w:ascii="Arial" w:hAnsi="Arial" w:cs="Arial"/>
        </w:rPr>
        <w:t>to comply with the functionality criteria that were stipulated</w:t>
      </w:r>
      <w:r w:rsidR="009C5D49" w:rsidRPr="00D9566D">
        <w:rPr>
          <w:rFonts w:ascii="Arial" w:hAnsi="Arial" w:cs="Arial"/>
        </w:rPr>
        <w:t xml:space="preserve"> and in the case of tender 10/22 was non-responsive</w:t>
      </w:r>
      <w:r w:rsidR="00A212EE" w:rsidRPr="00D9566D">
        <w:rPr>
          <w:rFonts w:ascii="Arial" w:hAnsi="Arial" w:cs="Arial"/>
        </w:rPr>
        <w:t>. In this regard, as far as experience was concerned</w:t>
      </w:r>
      <w:r w:rsidR="00097CFD" w:rsidRPr="00D9566D">
        <w:rPr>
          <w:rFonts w:ascii="Arial" w:hAnsi="Arial" w:cs="Arial"/>
        </w:rPr>
        <w:t xml:space="preserve"> bidders were required to provide proof of having undertaken and completed security projects to the minimum value specified, as listed by them on form DPW</w:t>
      </w:r>
      <w:r w:rsidR="00F764BF" w:rsidRPr="00D9566D">
        <w:rPr>
          <w:rFonts w:ascii="Arial" w:hAnsi="Arial" w:cs="Arial"/>
        </w:rPr>
        <w:t>-</w:t>
      </w:r>
      <w:r w:rsidR="00097CFD" w:rsidRPr="00D9566D">
        <w:rPr>
          <w:rFonts w:ascii="Arial" w:hAnsi="Arial" w:cs="Arial"/>
        </w:rPr>
        <w:t>09 over the preceding 5 years, by submitting documents which evidenced the awarding of the projects to them, such as appointment letters</w:t>
      </w:r>
      <w:r w:rsidR="00F764BF" w:rsidRPr="00D9566D">
        <w:rPr>
          <w:rFonts w:ascii="Arial" w:hAnsi="Arial" w:cs="Arial"/>
        </w:rPr>
        <w:t>,</w:t>
      </w:r>
      <w:r w:rsidR="00097CFD" w:rsidRPr="00D9566D">
        <w:rPr>
          <w:rFonts w:ascii="Arial" w:hAnsi="Arial" w:cs="Arial"/>
        </w:rPr>
        <w:t xml:space="preserve"> agreements o</w:t>
      </w:r>
      <w:r w:rsidR="00F764BF" w:rsidRPr="00D9566D">
        <w:rPr>
          <w:rFonts w:ascii="Arial" w:hAnsi="Arial" w:cs="Arial"/>
        </w:rPr>
        <w:t>r</w:t>
      </w:r>
      <w:r w:rsidR="00097CFD" w:rsidRPr="00D9566D">
        <w:rPr>
          <w:rFonts w:ascii="Arial" w:hAnsi="Arial" w:cs="Arial"/>
        </w:rPr>
        <w:t xml:space="preserve"> purchase orders</w:t>
      </w:r>
      <w:r w:rsidR="00F764BF" w:rsidRPr="00D9566D">
        <w:rPr>
          <w:rFonts w:ascii="Arial" w:hAnsi="Arial" w:cs="Arial"/>
        </w:rPr>
        <w:t>,</w:t>
      </w:r>
      <w:r w:rsidR="00097CFD" w:rsidRPr="00D9566D">
        <w:rPr>
          <w:rFonts w:ascii="Arial" w:hAnsi="Arial" w:cs="Arial"/>
        </w:rPr>
        <w:t xml:space="preserve"> </w:t>
      </w:r>
      <w:r w:rsidR="00097CFD" w:rsidRPr="00D9566D">
        <w:rPr>
          <w:rFonts w:ascii="Arial" w:hAnsi="Arial" w:cs="Arial"/>
          <w:u w:val="single"/>
        </w:rPr>
        <w:t>together with</w:t>
      </w:r>
      <w:r w:rsidR="00097CFD" w:rsidRPr="00D9566D">
        <w:rPr>
          <w:rFonts w:ascii="Arial" w:hAnsi="Arial" w:cs="Arial"/>
        </w:rPr>
        <w:t xml:space="preserve"> reference letter</w:t>
      </w:r>
      <w:r w:rsidR="00DF4853" w:rsidRPr="00D9566D">
        <w:rPr>
          <w:rFonts w:ascii="Arial" w:hAnsi="Arial" w:cs="Arial"/>
        </w:rPr>
        <w:t>s</w:t>
      </w:r>
      <w:r w:rsidR="00097CFD" w:rsidRPr="00D9566D">
        <w:rPr>
          <w:rFonts w:ascii="Arial" w:hAnsi="Arial" w:cs="Arial"/>
        </w:rPr>
        <w:t xml:space="preserve"> which confirmed the contract value</w:t>
      </w:r>
      <w:r w:rsidR="00DF4853" w:rsidRPr="00D9566D">
        <w:rPr>
          <w:rFonts w:ascii="Arial" w:hAnsi="Arial" w:cs="Arial"/>
        </w:rPr>
        <w:t>s</w:t>
      </w:r>
      <w:r w:rsidR="00097CFD" w:rsidRPr="00D9566D">
        <w:rPr>
          <w:rFonts w:ascii="Arial" w:hAnsi="Arial" w:cs="Arial"/>
        </w:rPr>
        <w:t>, name</w:t>
      </w:r>
      <w:r w:rsidR="00DF4853" w:rsidRPr="00D9566D">
        <w:rPr>
          <w:rFonts w:ascii="Arial" w:hAnsi="Arial" w:cs="Arial"/>
        </w:rPr>
        <w:t>s</w:t>
      </w:r>
      <w:r w:rsidR="00097CFD" w:rsidRPr="00D9566D">
        <w:rPr>
          <w:rFonts w:ascii="Arial" w:hAnsi="Arial" w:cs="Arial"/>
        </w:rPr>
        <w:t xml:space="preserve"> of employer</w:t>
      </w:r>
      <w:r w:rsidR="00DF4853" w:rsidRPr="00D9566D">
        <w:rPr>
          <w:rFonts w:ascii="Arial" w:hAnsi="Arial" w:cs="Arial"/>
        </w:rPr>
        <w:t>s</w:t>
      </w:r>
      <w:r w:rsidR="00097CFD" w:rsidRPr="00D9566D">
        <w:rPr>
          <w:rFonts w:ascii="Arial" w:hAnsi="Arial" w:cs="Arial"/>
        </w:rPr>
        <w:t>, duration of the contract</w:t>
      </w:r>
      <w:r w:rsidR="00DF4853" w:rsidRPr="00D9566D">
        <w:rPr>
          <w:rFonts w:ascii="Arial" w:hAnsi="Arial" w:cs="Arial"/>
        </w:rPr>
        <w:t>s</w:t>
      </w:r>
      <w:r w:rsidR="00097CFD" w:rsidRPr="00D9566D">
        <w:rPr>
          <w:rFonts w:ascii="Arial" w:hAnsi="Arial" w:cs="Arial"/>
        </w:rPr>
        <w:t xml:space="preserve"> and </w:t>
      </w:r>
      <w:r w:rsidR="00DF4853" w:rsidRPr="00D9566D">
        <w:rPr>
          <w:rFonts w:ascii="Arial" w:hAnsi="Arial" w:cs="Arial"/>
        </w:rPr>
        <w:t xml:space="preserve">the </w:t>
      </w:r>
      <w:r w:rsidR="00097CFD" w:rsidRPr="00D9566D">
        <w:rPr>
          <w:rFonts w:ascii="Arial" w:hAnsi="Arial" w:cs="Arial"/>
        </w:rPr>
        <w:t xml:space="preserve">contract details. Thus, reference letters confirming these particulars were mandatory. </w:t>
      </w:r>
    </w:p>
    <w:p w14:paraId="5593793D" w14:textId="0A867334" w:rsidR="00F764BF"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29.</w:t>
      </w:r>
      <w:r w:rsidRPr="00D9566D">
        <w:rPr>
          <w:rFonts w:ascii="Arial" w:hAnsi="Arial" w:cs="Arial"/>
        </w:rPr>
        <w:tab/>
      </w:r>
      <w:r w:rsidR="00097CFD" w:rsidRPr="00D9566D">
        <w:rPr>
          <w:rFonts w:ascii="Arial" w:hAnsi="Arial" w:cs="Arial"/>
        </w:rPr>
        <w:t>If one consider</w:t>
      </w:r>
      <w:r w:rsidR="00F764BF" w:rsidRPr="00D9566D">
        <w:rPr>
          <w:rFonts w:ascii="Arial" w:hAnsi="Arial" w:cs="Arial"/>
        </w:rPr>
        <w:t>ed</w:t>
      </w:r>
      <w:r w:rsidR="00097CFD" w:rsidRPr="00D9566D">
        <w:rPr>
          <w:rFonts w:ascii="Arial" w:hAnsi="Arial" w:cs="Arial"/>
        </w:rPr>
        <w:t xml:space="preserve"> the documents that were submitted by the applicant in respect of this requirement</w:t>
      </w:r>
      <w:r w:rsidR="00860092" w:rsidRPr="00D9566D">
        <w:rPr>
          <w:rFonts w:ascii="Arial" w:hAnsi="Arial" w:cs="Arial"/>
        </w:rPr>
        <w:t xml:space="preserve"> in tender 9/22</w:t>
      </w:r>
      <w:r w:rsidR="00097CFD" w:rsidRPr="00D9566D">
        <w:rPr>
          <w:rFonts w:ascii="Arial" w:hAnsi="Arial" w:cs="Arial"/>
        </w:rPr>
        <w:t>, it was evident that it had failed to do what was necessary in respect of the projects listed by it</w:t>
      </w:r>
      <w:r w:rsidR="00F764BF" w:rsidRPr="00D9566D">
        <w:rPr>
          <w:rFonts w:ascii="Arial" w:hAnsi="Arial" w:cs="Arial"/>
        </w:rPr>
        <w:t xml:space="preserve"> on the DPW-09</w:t>
      </w:r>
      <w:r w:rsidR="00097CFD" w:rsidRPr="00D9566D">
        <w:rPr>
          <w:rFonts w:ascii="Arial" w:hAnsi="Arial" w:cs="Arial"/>
        </w:rPr>
        <w:t xml:space="preserve">. In this regard, as far as documents evidencing the award of the </w:t>
      </w:r>
      <w:r w:rsidR="00F764BF" w:rsidRPr="00D9566D">
        <w:rPr>
          <w:rFonts w:ascii="Arial" w:hAnsi="Arial" w:cs="Arial"/>
        </w:rPr>
        <w:t>p</w:t>
      </w:r>
      <w:r w:rsidR="00097CFD" w:rsidRPr="00D9566D">
        <w:rPr>
          <w:rFonts w:ascii="Arial" w:hAnsi="Arial" w:cs="Arial"/>
        </w:rPr>
        <w:t>rojects</w:t>
      </w:r>
      <w:r w:rsidR="00A81B0A" w:rsidRPr="00D9566D">
        <w:rPr>
          <w:rFonts w:ascii="Arial" w:hAnsi="Arial" w:cs="Arial"/>
        </w:rPr>
        <w:t xml:space="preserve"> was concerned</w:t>
      </w:r>
      <w:r w:rsidR="00097CFD" w:rsidRPr="00D9566D">
        <w:rPr>
          <w:rFonts w:ascii="Arial" w:hAnsi="Arial" w:cs="Arial"/>
        </w:rPr>
        <w:t xml:space="preserve"> </w:t>
      </w:r>
      <w:r w:rsidR="00F764BF" w:rsidRPr="00D9566D">
        <w:rPr>
          <w:rFonts w:ascii="Arial" w:hAnsi="Arial" w:cs="Arial"/>
        </w:rPr>
        <w:t xml:space="preserve">save for a purchase order for one of the DAFF projects </w:t>
      </w:r>
      <w:r w:rsidR="00097CFD" w:rsidRPr="00D9566D">
        <w:rPr>
          <w:rFonts w:ascii="Arial" w:hAnsi="Arial" w:cs="Arial"/>
        </w:rPr>
        <w:t>not a single primary, source document of the type specified, was provided</w:t>
      </w:r>
      <w:r w:rsidR="00A81B0A" w:rsidRPr="00D9566D">
        <w:rPr>
          <w:rFonts w:ascii="Arial" w:hAnsi="Arial" w:cs="Arial"/>
        </w:rPr>
        <w:t>,</w:t>
      </w:r>
      <w:r w:rsidR="00097CFD" w:rsidRPr="00D9566D">
        <w:rPr>
          <w:rFonts w:ascii="Arial" w:hAnsi="Arial" w:cs="Arial"/>
        </w:rPr>
        <w:t xml:space="preserve"> and not a single </w:t>
      </w:r>
      <w:r w:rsidR="00A81B0A" w:rsidRPr="00D9566D">
        <w:rPr>
          <w:rFonts w:ascii="Arial" w:hAnsi="Arial" w:cs="Arial"/>
        </w:rPr>
        <w:t xml:space="preserve">proper </w:t>
      </w:r>
      <w:r w:rsidR="00097CFD" w:rsidRPr="00D9566D">
        <w:rPr>
          <w:rFonts w:ascii="Arial" w:hAnsi="Arial" w:cs="Arial"/>
        </w:rPr>
        <w:t>reference letter confirming the award and completion of these projects</w:t>
      </w:r>
      <w:r w:rsidR="00F764BF" w:rsidRPr="00D9566D">
        <w:rPr>
          <w:rFonts w:ascii="Arial" w:hAnsi="Arial" w:cs="Arial"/>
        </w:rPr>
        <w:t>,</w:t>
      </w:r>
      <w:r w:rsidR="00097CFD" w:rsidRPr="00D9566D">
        <w:rPr>
          <w:rFonts w:ascii="Arial" w:hAnsi="Arial" w:cs="Arial"/>
        </w:rPr>
        <w:t xml:space="preserve"> as required </w:t>
      </w:r>
      <w:r w:rsidR="00F764BF" w:rsidRPr="00D9566D">
        <w:rPr>
          <w:rFonts w:ascii="Arial" w:hAnsi="Arial" w:cs="Arial"/>
        </w:rPr>
        <w:t>by</w:t>
      </w:r>
      <w:r w:rsidR="00097CFD" w:rsidRPr="00D9566D">
        <w:rPr>
          <w:rFonts w:ascii="Arial" w:hAnsi="Arial" w:cs="Arial"/>
        </w:rPr>
        <w:t xml:space="preserve"> the </w:t>
      </w:r>
      <w:r w:rsidR="00F764BF" w:rsidRPr="00D9566D">
        <w:rPr>
          <w:rFonts w:ascii="Arial" w:hAnsi="Arial" w:cs="Arial"/>
        </w:rPr>
        <w:t>pre-</w:t>
      </w:r>
      <w:r w:rsidR="00097CFD" w:rsidRPr="00D9566D">
        <w:rPr>
          <w:rFonts w:ascii="Arial" w:hAnsi="Arial" w:cs="Arial"/>
        </w:rPr>
        <w:t>qualification criteria</w:t>
      </w:r>
      <w:r w:rsidR="00F264D1" w:rsidRPr="00D9566D">
        <w:rPr>
          <w:rFonts w:ascii="Arial" w:hAnsi="Arial" w:cs="Arial"/>
        </w:rPr>
        <w:t>,</w:t>
      </w:r>
      <w:r w:rsidR="00097CFD" w:rsidRPr="00D9566D">
        <w:rPr>
          <w:rFonts w:ascii="Arial" w:hAnsi="Arial" w:cs="Arial"/>
        </w:rPr>
        <w:t xml:space="preserve"> was provided. </w:t>
      </w:r>
      <w:r w:rsidR="00F764BF" w:rsidRPr="00D9566D">
        <w:rPr>
          <w:rFonts w:ascii="Arial" w:hAnsi="Arial" w:cs="Arial"/>
        </w:rPr>
        <w:t>The l</w:t>
      </w:r>
      <w:r w:rsidR="00097CFD" w:rsidRPr="00D9566D">
        <w:rPr>
          <w:rFonts w:ascii="Arial" w:hAnsi="Arial" w:cs="Arial"/>
        </w:rPr>
        <w:t xml:space="preserve">etter which the applicant provided from Mr Jackson </w:t>
      </w:r>
      <w:r w:rsidR="00F764BF" w:rsidRPr="00D9566D">
        <w:rPr>
          <w:rFonts w:ascii="Arial" w:hAnsi="Arial" w:cs="Arial"/>
        </w:rPr>
        <w:t xml:space="preserve">of the City of Cape Town </w:t>
      </w:r>
      <w:r w:rsidR="00097CFD" w:rsidRPr="00D9566D">
        <w:rPr>
          <w:rFonts w:ascii="Arial" w:hAnsi="Arial" w:cs="Arial"/>
        </w:rPr>
        <w:t xml:space="preserve">dated 30 October 2018 simply </w:t>
      </w:r>
      <w:r w:rsidR="00860092" w:rsidRPr="00D9566D">
        <w:rPr>
          <w:rFonts w:ascii="Arial" w:hAnsi="Arial" w:cs="Arial"/>
        </w:rPr>
        <w:t>‘</w:t>
      </w:r>
      <w:r w:rsidR="00097CFD" w:rsidRPr="00D9566D">
        <w:rPr>
          <w:rFonts w:ascii="Arial" w:hAnsi="Arial" w:cs="Arial"/>
        </w:rPr>
        <w:t>confirmed</w:t>
      </w:r>
      <w:r w:rsidR="00860092" w:rsidRPr="00D9566D">
        <w:rPr>
          <w:rFonts w:ascii="Arial" w:hAnsi="Arial" w:cs="Arial"/>
        </w:rPr>
        <w:t>’</w:t>
      </w:r>
      <w:r w:rsidR="00097CFD" w:rsidRPr="00D9566D">
        <w:rPr>
          <w:rFonts w:ascii="Arial" w:hAnsi="Arial" w:cs="Arial"/>
        </w:rPr>
        <w:t xml:space="preserve"> that </w:t>
      </w:r>
      <w:r w:rsidR="00A81B0A" w:rsidRPr="00D9566D">
        <w:rPr>
          <w:rFonts w:ascii="Arial" w:hAnsi="Arial" w:cs="Arial"/>
        </w:rPr>
        <w:t>the</w:t>
      </w:r>
      <w:r w:rsidR="00097CFD" w:rsidRPr="00D9566D">
        <w:rPr>
          <w:rFonts w:ascii="Arial" w:hAnsi="Arial" w:cs="Arial"/>
        </w:rPr>
        <w:t xml:space="preserve"> contract which was concluded in terms of tender 80S of 2012</w:t>
      </w:r>
      <w:r w:rsidR="00860092" w:rsidRPr="00D9566D">
        <w:rPr>
          <w:rFonts w:ascii="Arial" w:hAnsi="Arial" w:cs="Arial"/>
        </w:rPr>
        <w:t>/</w:t>
      </w:r>
      <w:r w:rsidR="00097CFD" w:rsidRPr="00D9566D">
        <w:rPr>
          <w:rFonts w:ascii="Arial" w:hAnsi="Arial" w:cs="Arial"/>
        </w:rPr>
        <w:t xml:space="preserve">13 was extended for a period of </w:t>
      </w:r>
      <w:r w:rsidR="00860092" w:rsidRPr="00D9566D">
        <w:rPr>
          <w:rFonts w:ascii="Arial" w:hAnsi="Arial" w:cs="Arial"/>
        </w:rPr>
        <w:t>5</w:t>
      </w:r>
      <w:r w:rsidR="00097CFD" w:rsidRPr="00D9566D">
        <w:rPr>
          <w:rFonts w:ascii="Arial" w:hAnsi="Arial" w:cs="Arial"/>
        </w:rPr>
        <w:t xml:space="preserve"> months from 1 July 2018 and was terminated on 30 November 2018. It did not however confirm the contract value</w:t>
      </w:r>
      <w:r w:rsidR="0096002D" w:rsidRPr="00D9566D">
        <w:rPr>
          <w:rFonts w:ascii="Arial" w:hAnsi="Arial" w:cs="Arial"/>
        </w:rPr>
        <w:t xml:space="preserve"> or</w:t>
      </w:r>
      <w:r w:rsidR="00097CFD" w:rsidRPr="00D9566D">
        <w:rPr>
          <w:rFonts w:ascii="Arial" w:hAnsi="Arial" w:cs="Arial"/>
        </w:rPr>
        <w:t xml:space="preserve"> duration of the contract</w:t>
      </w:r>
      <w:r w:rsidR="0096002D" w:rsidRPr="00D9566D">
        <w:rPr>
          <w:rFonts w:ascii="Arial" w:hAnsi="Arial" w:cs="Arial"/>
        </w:rPr>
        <w:t>,</w:t>
      </w:r>
      <w:r w:rsidR="00097CFD" w:rsidRPr="00D9566D">
        <w:rPr>
          <w:rFonts w:ascii="Arial" w:hAnsi="Arial" w:cs="Arial"/>
        </w:rPr>
        <w:t xml:space="preserve"> </w:t>
      </w:r>
      <w:r w:rsidR="0096002D" w:rsidRPr="00D9566D">
        <w:rPr>
          <w:rFonts w:ascii="Arial" w:hAnsi="Arial" w:cs="Arial"/>
        </w:rPr>
        <w:t>or</w:t>
      </w:r>
      <w:r w:rsidR="00097CFD" w:rsidRPr="00D9566D">
        <w:rPr>
          <w:rFonts w:ascii="Arial" w:hAnsi="Arial" w:cs="Arial"/>
        </w:rPr>
        <w:t xml:space="preserve"> </w:t>
      </w:r>
      <w:r w:rsidR="00F764BF" w:rsidRPr="00D9566D">
        <w:rPr>
          <w:rFonts w:ascii="Arial" w:hAnsi="Arial" w:cs="Arial"/>
        </w:rPr>
        <w:t xml:space="preserve">the </w:t>
      </w:r>
      <w:r w:rsidR="00097CFD" w:rsidRPr="00D9566D">
        <w:rPr>
          <w:rFonts w:ascii="Arial" w:hAnsi="Arial" w:cs="Arial"/>
        </w:rPr>
        <w:t>other particulars listed in respect of this project on the DPW</w:t>
      </w:r>
      <w:r w:rsidR="00F764BF" w:rsidRPr="00D9566D">
        <w:rPr>
          <w:rFonts w:ascii="Arial" w:hAnsi="Arial" w:cs="Arial"/>
        </w:rPr>
        <w:t>-</w:t>
      </w:r>
      <w:r w:rsidR="00097CFD" w:rsidRPr="00D9566D">
        <w:rPr>
          <w:rFonts w:ascii="Arial" w:hAnsi="Arial" w:cs="Arial"/>
        </w:rPr>
        <w:t>09 form. The letter also made no mention of the other city of Cape Town tender/project listed</w:t>
      </w:r>
      <w:r w:rsidR="00F764BF" w:rsidRPr="00D9566D">
        <w:rPr>
          <w:rFonts w:ascii="Arial" w:hAnsi="Arial" w:cs="Arial"/>
        </w:rPr>
        <w:t xml:space="preserve"> and did not confirm it</w:t>
      </w:r>
      <w:r w:rsidR="00097CFD" w:rsidRPr="00D9566D">
        <w:rPr>
          <w:rFonts w:ascii="Arial" w:hAnsi="Arial" w:cs="Arial"/>
        </w:rPr>
        <w:t xml:space="preserve">. Likewise, the letter which was provided in respect of </w:t>
      </w:r>
      <w:r w:rsidR="00F764BF" w:rsidRPr="00D9566D">
        <w:rPr>
          <w:rFonts w:ascii="Arial" w:hAnsi="Arial" w:cs="Arial"/>
        </w:rPr>
        <w:t xml:space="preserve">the Willjarro </w:t>
      </w:r>
      <w:r w:rsidR="00097CFD" w:rsidRPr="00D9566D">
        <w:rPr>
          <w:rFonts w:ascii="Arial" w:hAnsi="Arial" w:cs="Arial"/>
        </w:rPr>
        <w:t xml:space="preserve">project did not confirm </w:t>
      </w:r>
      <w:r w:rsidR="00F764BF" w:rsidRPr="00D9566D">
        <w:rPr>
          <w:rFonts w:ascii="Arial" w:hAnsi="Arial" w:cs="Arial"/>
        </w:rPr>
        <w:t xml:space="preserve">its </w:t>
      </w:r>
      <w:r w:rsidR="00097CFD" w:rsidRPr="00D9566D">
        <w:rPr>
          <w:rFonts w:ascii="Arial" w:hAnsi="Arial" w:cs="Arial"/>
        </w:rPr>
        <w:t xml:space="preserve">contract value and </w:t>
      </w:r>
      <w:r w:rsidR="00F764BF" w:rsidRPr="00D9566D">
        <w:rPr>
          <w:rFonts w:ascii="Arial" w:hAnsi="Arial" w:cs="Arial"/>
        </w:rPr>
        <w:t>duration, and</w:t>
      </w:r>
      <w:r w:rsidR="00097CFD" w:rsidRPr="00D9566D">
        <w:rPr>
          <w:rFonts w:ascii="Arial" w:hAnsi="Arial" w:cs="Arial"/>
        </w:rPr>
        <w:t xml:space="preserve"> no reference letters were provided for either of the </w:t>
      </w:r>
      <w:r w:rsidR="00F764BF" w:rsidRPr="00D9566D">
        <w:rPr>
          <w:rFonts w:ascii="Arial" w:hAnsi="Arial" w:cs="Arial"/>
        </w:rPr>
        <w:t xml:space="preserve">DAFF </w:t>
      </w:r>
      <w:r w:rsidR="00097CFD" w:rsidRPr="00D9566D">
        <w:rPr>
          <w:rFonts w:ascii="Arial" w:hAnsi="Arial" w:cs="Arial"/>
        </w:rPr>
        <w:t>projects listed on the DPW</w:t>
      </w:r>
      <w:r w:rsidR="00F764BF" w:rsidRPr="00D9566D">
        <w:rPr>
          <w:rFonts w:ascii="Arial" w:hAnsi="Arial" w:cs="Arial"/>
        </w:rPr>
        <w:t>-</w:t>
      </w:r>
      <w:r w:rsidR="00097CFD" w:rsidRPr="00D9566D">
        <w:rPr>
          <w:rFonts w:ascii="Arial" w:hAnsi="Arial" w:cs="Arial"/>
        </w:rPr>
        <w:t xml:space="preserve">09. </w:t>
      </w:r>
    </w:p>
    <w:p w14:paraId="6AEB11D2" w14:textId="6F076A50" w:rsidR="00C124F7"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lastRenderedPageBreak/>
        <w:t>30.</w:t>
      </w:r>
      <w:r w:rsidRPr="00D9566D">
        <w:rPr>
          <w:rFonts w:ascii="Arial" w:hAnsi="Arial" w:cs="Arial"/>
        </w:rPr>
        <w:tab/>
      </w:r>
      <w:r w:rsidR="00F764BF" w:rsidRPr="00D9566D">
        <w:rPr>
          <w:rFonts w:ascii="Arial" w:hAnsi="Arial" w:cs="Arial"/>
        </w:rPr>
        <w:t>I</w:t>
      </w:r>
      <w:r w:rsidR="00097CFD" w:rsidRPr="00D9566D">
        <w:rPr>
          <w:rFonts w:ascii="Arial" w:hAnsi="Arial" w:cs="Arial"/>
        </w:rPr>
        <w:t xml:space="preserve">n similar vein the applicant </w:t>
      </w:r>
      <w:r w:rsidR="00F764BF" w:rsidRPr="00D9566D">
        <w:rPr>
          <w:rFonts w:ascii="Arial" w:hAnsi="Arial" w:cs="Arial"/>
        </w:rPr>
        <w:t xml:space="preserve">had </w:t>
      </w:r>
      <w:r w:rsidR="00097CFD" w:rsidRPr="00D9566D">
        <w:rPr>
          <w:rFonts w:ascii="Arial" w:hAnsi="Arial" w:cs="Arial"/>
        </w:rPr>
        <w:t xml:space="preserve">failed to submit the necessary documentation required in proof of compliance </w:t>
      </w:r>
      <w:r w:rsidR="00F764BF" w:rsidRPr="00D9566D">
        <w:rPr>
          <w:rFonts w:ascii="Arial" w:hAnsi="Arial" w:cs="Arial"/>
        </w:rPr>
        <w:t xml:space="preserve">with the </w:t>
      </w:r>
      <w:r w:rsidR="00097CFD" w:rsidRPr="00D9566D">
        <w:rPr>
          <w:rFonts w:ascii="Arial" w:hAnsi="Arial" w:cs="Arial"/>
        </w:rPr>
        <w:t>infrastructure requirements for functionality pertaining to</w:t>
      </w:r>
      <w:r w:rsidR="0082766A" w:rsidRPr="00D9566D">
        <w:rPr>
          <w:rFonts w:ascii="Arial" w:hAnsi="Arial" w:cs="Arial"/>
        </w:rPr>
        <w:t xml:space="preserve"> </w:t>
      </w:r>
      <w:r w:rsidR="00F764BF" w:rsidRPr="00D9566D">
        <w:rPr>
          <w:rFonts w:ascii="Arial" w:hAnsi="Arial" w:cs="Arial"/>
        </w:rPr>
        <w:t xml:space="preserve">its office and </w:t>
      </w:r>
      <w:r w:rsidR="0082766A" w:rsidRPr="00D9566D">
        <w:rPr>
          <w:rFonts w:ascii="Arial" w:hAnsi="Arial" w:cs="Arial"/>
        </w:rPr>
        <w:t xml:space="preserve">response vehicles. As far as the office was concerned it had provided a copy of </w:t>
      </w:r>
      <w:r w:rsidR="00F764BF" w:rsidRPr="00D9566D">
        <w:rPr>
          <w:rFonts w:ascii="Arial" w:hAnsi="Arial" w:cs="Arial"/>
        </w:rPr>
        <w:t>a</w:t>
      </w:r>
      <w:r w:rsidR="0082766A" w:rsidRPr="00D9566D">
        <w:rPr>
          <w:rFonts w:ascii="Arial" w:hAnsi="Arial" w:cs="Arial"/>
        </w:rPr>
        <w:t xml:space="preserve"> lease agreement which had already expired the previous year</w:t>
      </w:r>
      <w:r w:rsidR="00C124F7" w:rsidRPr="00D9566D">
        <w:rPr>
          <w:rFonts w:ascii="Arial" w:hAnsi="Arial" w:cs="Arial"/>
        </w:rPr>
        <w:t xml:space="preserve"> and was no longer valid</w:t>
      </w:r>
      <w:r w:rsidR="0082766A" w:rsidRPr="00D9566D">
        <w:rPr>
          <w:rFonts w:ascii="Arial" w:hAnsi="Arial" w:cs="Arial"/>
        </w:rPr>
        <w:t xml:space="preserve">. As far as the motor vehicles were concerned it had provided copies of vehicle registration certificates instead of an </w:t>
      </w:r>
      <w:r w:rsidR="00C124F7" w:rsidRPr="00D9566D">
        <w:rPr>
          <w:rFonts w:ascii="Arial" w:hAnsi="Arial" w:cs="Arial"/>
        </w:rPr>
        <w:t>e</w:t>
      </w:r>
      <w:r w:rsidR="0082766A" w:rsidRPr="00D9566D">
        <w:rPr>
          <w:rFonts w:ascii="Arial" w:hAnsi="Arial" w:cs="Arial"/>
        </w:rPr>
        <w:t>-</w:t>
      </w:r>
      <w:r w:rsidR="00C124F7" w:rsidRPr="00D9566D">
        <w:rPr>
          <w:rFonts w:ascii="Arial" w:hAnsi="Arial" w:cs="Arial"/>
        </w:rPr>
        <w:t>N</w:t>
      </w:r>
      <w:r w:rsidR="00A81B0A" w:rsidRPr="00D9566D">
        <w:rPr>
          <w:rFonts w:ascii="Arial" w:hAnsi="Arial" w:cs="Arial"/>
        </w:rPr>
        <w:t>ATIS</w:t>
      </w:r>
      <w:r w:rsidR="0082766A" w:rsidRPr="00D9566D">
        <w:rPr>
          <w:rFonts w:ascii="Arial" w:hAnsi="Arial" w:cs="Arial"/>
        </w:rPr>
        <w:t xml:space="preserve"> report. </w:t>
      </w:r>
    </w:p>
    <w:p w14:paraId="6C7DCD7A" w14:textId="123AA638" w:rsidR="00860092"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31.</w:t>
      </w:r>
      <w:r w:rsidRPr="00D9566D">
        <w:rPr>
          <w:rFonts w:ascii="Arial" w:hAnsi="Arial" w:cs="Arial"/>
        </w:rPr>
        <w:tab/>
      </w:r>
      <w:r w:rsidR="00C124F7" w:rsidRPr="00D9566D">
        <w:rPr>
          <w:rFonts w:ascii="Arial" w:hAnsi="Arial" w:cs="Arial"/>
        </w:rPr>
        <w:t>The</w:t>
      </w:r>
      <w:r w:rsidR="0082766A" w:rsidRPr="00D9566D">
        <w:rPr>
          <w:rFonts w:ascii="Arial" w:hAnsi="Arial" w:cs="Arial"/>
        </w:rPr>
        <w:t xml:space="preserve"> respondent</w:t>
      </w:r>
      <w:r w:rsidR="00C124F7" w:rsidRPr="00D9566D">
        <w:rPr>
          <w:rFonts w:ascii="Arial" w:hAnsi="Arial" w:cs="Arial"/>
        </w:rPr>
        <w:t>s</w:t>
      </w:r>
      <w:r w:rsidR="0082766A" w:rsidRPr="00D9566D">
        <w:rPr>
          <w:rFonts w:ascii="Arial" w:hAnsi="Arial" w:cs="Arial"/>
        </w:rPr>
        <w:t xml:space="preserve"> pointed out that </w:t>
      </w:r>
      <w:r w:rsidR="00C124F7" w:rsidRPr="00D9566D">
        <w:rPr>
          <w:rFonts w:ascii="Arial" w:hAnsi="Arial" w:cs="Arial"/>
        </w:rPr>
        <w:t xml:space="preserve">in </w:t>
      </w:r>
      <w:r w:rsidR="0082766A" w:rsidRPr="00D9566D">
        <w:rPr>
          <w:rFonts w:ascii="Arial" w:hAnsi="Arial" w:cs="Arial"/>
        </w:rPr>
        <w:t xml:space="preserve">the compulsory briefing session which was held for potential bidders for tender 09/22 on 27 November 2022 it was made clear </w:t>
      </w:r>
      <w:r w:rsidR="00C124F7" w:rsidRPr="00D9566D">
        <w:rPr>
          <w:rFonts w:ascii="Arial" w:hAnsi="Arial" w:cs="Arial"/>
        </w:rPr>
        <w:t>by the Deputy-Director: Supply Chain Management</w:t>
      </w:r>
      <w:r w:rsidR="0082766A" w:rsidRPr="00D9566D">
        <w:rPr>
          <w:rFonts w:ascii="Arial" w:hAnsi="Arial" w:cs="Arial"/>
        </w:rPr>
        <w:t>, that reference letters were required in addition to documentation that evidenced the award of completed projects listed on the DPW</w:t>
      </w:r>
      <w:r w:rsidR="00C124F7" w:rsidRPr="00D9566D">
        <w:rPr>
          <w:rFonts w:ascii="Arial" w:hAnsi="Arial" w:cs="Arial"/>
        </w:rPr>
        <w:t>-</w:t>
      </w:r>
      <w:r w:rsidR="0082766A" w:rsidRPr="00D9566D">
        <w:rPr>
          <w:rFonts w:ascii="Arial" w:hAnsi="Arial" w:cs="Arial"/>
        </w:rPr>
        <w:t>09</w:t>
      </w:r>
      <w:r w:rsidR="00C124F7" w:rsidRPr="00D9566D">
        <w:rPr>
          <w:rFonts w:ascii="Arial" w:hAnsi="Arial" w:cs="Arial"/>
        </w:rPr>
        <w:t xml:space="preserve">, </w:t>
      </w:r>
      <w:r w:rsidR="0082766A" w:rsidRPr="00D9566D">
        <w:rPr>
          <w:rFonts w:ascii="Arial" w:hAnsi="Arial" w:cs="Arial"/>
        </w:rPr>
        <w:t>and a</w:t>
      </w:r>
      <w:r w:rsidR="00A81B0A" w:rsidRPr="00D9566D">
        <w:rPr>
          <w:rFonts w:ascii="Arial" w:hAnsi="Arial" w:cs="Arial"/>
        </w:rPr>
        <w:t>ny</w:t>
      </w:r>
      <w:r w:rsidR="0082766A" w:rsidRPr="00D9566D">
        <w:rPr>
          <w:rFonts w:ascii="Arial" w:hAnsi="Arial" w:cs="Arial"/>
        </w:rPr>
        <w:t xml:space="preserve"> lease agreement which w</w:t>
      </w:r>
      <w:r w:rsidR="00860092" w:rsidRPr="00D9566D">
        <w:rPr>
          <w:rFonts w:ascii="Arial" w:hAnsi="Arial" w:cs="Arial"/>
        </w:rPr>
        <w:t>as to</w:t>
      </w:r>
      <w:r w:rsidR="00A81B0A" w:rsidRPr="00D9566D">
        <w:rPr>
          <w:rFonts w:ascii="Arial" w:hAnsi="Arial" w:cs="Arial"/>
        </w:rPr>
        <w:t xml:space="preserve"> be</w:t>
      </w:r>
      <w:r w:rsidR="0082766A" w:rsidRPr="00D9566D">
        <w:rPr>
          <w:rFonts w:ascii="Arial" w:hAnsi="Arial" w:cs="Arial"/>
        </w:rPr>
        <w:t xml:space="preserve"> relied </w:t>
      </w:r>
      <w:r w:rsidR="00A81B0A" w:rsidRPr="00D9566D">
        <w:rPr>
          <w:rFonts w:ascii="Arial" w:hAnsi="Arial" w:cs="Arial"/>
        </w:rPr>
        <w:t>up</w:t>
      </w:r>
      <w:r w:rsidR="0082766A" w:rsidRPr="00D9566D">
        <w:rPr>
          <w:rFonts w:ascii="Arial" w:hAnsi="Arial" w:cs="Arial"/>
        </w:rPr>
        <w:t xml:space="preserve">on was to be valid for the duration of the proposed contract </w:t>
      </w:r>
      <w:r w:rsidR="00A81B0A" w:rsidRPr="00D9566D">
        <w:rPr>
          <w:rFonts w:ascii="Arial" w:hAnsi="Arial" w:cs="Arial"/>
        </w:rPr>
        <w:t xml:space="preserve">which was </w:t>
      </w:r>
      <w:r w:rsidR="0082766A" w:rsidRPr="00D9566D">
        <w:rPr>
          <w:rFonts w:ascii="Arial" w:hAnsi="Arial" w:cs="Arial"/>
        </w:rPr>
        <w:t xml:space="preserve">to be concluded pursuant to the award of the tender. </w:t>
      </w:r>
      <w:r w:rsidR="00860092" w:rsidRPr="00D9566D">
        <w:rPr>
          <w:rFonts w:ascii="Arial" w:hAnsi="Arial" w:cs="Arial"/>
        </w:rPr>
        <w:t>B</w:t>
      </w:r>
      <w:r w:rsidR="0082766A" w:rsidRPr="00D9566D">
        <w:rPr>
          <w:rFonts w:ascii="Arial" w:hAnsi="Arial" w:cs="Arial"/>
        </w:rPr>
        <w:t xml:space="preserve">idders were </w:t>
      </w:r>
      <w:r w:rsidR="00860092" w:rsidRPr="00D9566D">
        <w:rPr>
          <w:rFonts w:ascii="Arial" w:hAnsi="Arial" w:cs="Arial"/>
        </w:rPr>
        <w:t xml:space="preserve">also </w:t>
      </w:r>
      <w:r w:rsidR="0082766A" w:rsidRPr="00D9566D">
        <w:rPr>
          <w:rFonts w:ascii="Arial" w:hAnsi="Arial" w:cs="Arial"/>
        </w:rPr>
        <w:t xml:space="preserve">expressly warned that no registration documents would be accepted in lieu of proving ownership </w:t>
      </w:r>
      <w:r w:rsidR="00A81B0A" w:rsidRPr="00D9566D">
        <w:rPr>
          <w:rFonts w:ascii="Arial" w:hAnsi="Arial" w:cs="Arial"/>
        </w:rPr>
        <w:t xml:space="preserve">or </w:t>
      </w:r>
      <w:r w:rsidR="00DF4853" w:rsidRPr="00D9566D">
        <w:rPr>
          <w:rFonts w:ascii="Arial" w:hAnsi="Arial" w:cs="Arial"/>
        </w:rPr>
        <w:t>lease</w:t>
      </w:r>
      <w:r w:rsidR="00A81B0A" w:rsidRPr="00D9566D">
        <w:rPr>
          <w:rFonts w:ascii="Arial" w:hAnsi="Arial" w:cs="Arial"/>
        </w:rPr>
        <w:t xml:space="preserve"> rights over </w:t>
      </w:r>
      <w:r w:rsidR="00F264D1" w:rsidRPr="00D9566D">
        <w:rPr>
          <w:rFonts w:ascii="Arial" w:hAnsi="Arial" w:cs="Arial"/>
        </w:rPr>
        <w:t>their</w:t>
      </w:r>
      <w:r w:rsidR="00A81B0A" w:rsidRPr="00D9566D">
        <w:rPr>
          <w:rFonts w:ascii="Arial" w:hAnsi="Arial" w:cs="Arial"/>
        </w:rPr>
        <w:t xml:space="preserve"> response vehicles, </w:t>
      </w:r>
      <w:r w:rsidR="0082766A" w:rsidRPr="00D9566D">
        <w:rPr>
          <w:rFonts w:ascii="Arial" w:hAnsi="Arial" w:cs="Arial"/>
        </w:rPr>
        <w:t>and a</w:t>
      </w:r>
      <w:r w:rsidR="00A81B0A" w:rsidRPr="00D9566D">
        <w:rPr>
          <w:rFonts w:ascii="Arial" w:hAnsi="Arial" w:cs="Arial"/>
        </w:rPr>
        <w:t>n e-NATIS</w:t>
      </w:r>
      <w:r w:rsidR="0082766A" w:rsidRPr="00D9566D">
        <w:rPr>
          <w:rFonts w:ascii="Arial" w:hAnsi="Arial" w:cs="Arial"/>
        </w:rPr>
        <w:t xml:space="preserve"> </w:t>
      </w:r>
      <w:r w:rsidR="00A81B0A" w:rsidRPr="00D9566D">
        <w:rPr>
          <w:rFonts w:ascii="Arial" w:hAnsi="Arial" w:cs="Arial"/>
        </w:rPr>
        <w:t>‘</w:t>
      </w:r>
      <w:r w:rsidR="0082766A" w:rsidRPr="00D9566D">
        <w:rPr>
          <w:rFonts w:ascii="Arial" w:hAnsi="Arial" w:cs="Arial"/>
        </w:rPr>
        <w:t>report</w:t>
      </w:r>
      <w:r w:rsidR="00A81B0A" w:rsidRPr="00D9566D">
        <w:rPr>
          <w:rFonts w:ascii="Arial" w:hAnsi="Arial" w:cs="Arial"/>
        </w:rPr>
        <w:t>’</w:t>
      </w:r>
      <w:r w:rsidR="0082766A" w:rsidRPr="00D9566D">
        <w:rPr>
          <w:rFonts w:ascii="Arial" w:hAnsi="Arial" w:cs="Arial"/>
        </w:rPr>
        <w:t xml:space="preserve"> was required. </w:t>
      </w:r>
    </w:p>
    <w:p w14:paraId="0D4CDECD" w14:textId="6C2994B4" w:rsidR="00A212EE" w:rsidRPr="00D9566D" w:rsidRDefault="00DE2B0F" w:rsidP="00D9566D">
      <w:pPr>
        <w:adjustRightInd w:val="0"/>
        <w:spacing w:after="0" w:line="240" w:lineRule="auto"/>
        <w:ind w:left="720" w:hanging="720"/>
        <w:contextualSpacing/>
        <w:jc w:val="both"/>
        <w:textAlignment w:val="baseline"/>
        <w:rPr>
          <w:rFonts w:ascii="Arial" w:hAnsi="Arial" w:cs="Arial"/>
        </w:rPr>
      </w:pPr>
      <w:r w:rsidRPr="00D9566D">
        <w:rPr>
          <w:rFonts w:ascii="Arial" w:hAnsi="Arial" w:cs="Arial"/>
        </w:rPr>
        <w:t>32.</w:t>
      </w:r>
      <w:r w:rsidRPr="00D9566D">
        <w:rPr>
          <w:rFonts w:ascii="Arial" w:hAnsi="Arial" w:cs="Arial"/>
        </w:rPr>
        <w:tab/>
      </w:r>
      <w:r w:rsidR="0082766A" w:rsidRPr="00D9566D">
        <w:rPr>
          <w:rFonts w:ascii="Arial" w:hAnsi="Arial" w:cs="Arial"/>
        </w:rPr>
        <w:t xml:space="preserve">In respect </w:t>
      </w:r>
      <w:r w:rsidR="00860092" w:rsidRPr="00D9566D">
        <w:rPr>
          <w:rFonts w:ascii="Arial" w:hAnsi="Arial" w:cs="Arial"/>
        </w:rPr>
        <w:t>of tender</w:t>
      </w:r>
      <w:r w:rsidR="0082766A" w:rsidRPr="00D9566D">
        <w:rPr>
          <w:rFonts w:ascii="Arial" w:hAnsi="Arial" w:cs="Arial"/>
        </w:rPr>
        <w:t xml:space="preserve"> 10/22 a compulsory briefing session was </w:t>
      </w:r>
      <w:r w:rsidR="00DF4853" w:rsidRPr="00D9566D">
        <w:rPr>
          <w:rFonts w:ascii="Arial" w:hAnsi="Arial" w:cs="Arial"/>
        </w:rPr>
        <w:t xml:space="preserve">likewise </w:t>
      </w:r>
      <w:r w:rsidR="0082766A" w:rsidRPr="00D9566D">
        <w:rPr>
          <w:rFonts w:ascii="Arial" w:hAnsi="Arial" w:cs="Arial"/>
        </w:rPr>
        <w:t>held with potential bidders on 23 November 2022 at which similar warnings were given</w:t>
      </w:r>
      <w:r w:rsidR="00860092" w:rsidRPr="00D9566D">
        <w:rPr>
          <w:rFonts w:ascii="Arial" w:hAnsi="Arial" w:cs="Arial"/>
        </w:rPr>
        <w:t xml:space="preserve"> by the Deputy-Director: Supply Chain Management</w:t>
      </w:r>
      <w:r w:rsidR="0082766A" w:rsidRPr="00D9566D">
        <w:rPr>
          <w:rFonts w:ascii="Arial" w:hAnsi="Arial" w:cs="Arial"/>
        </w:rPr>
        <w:t xml:space="preserve"> in relation to mandatory pre-qualification and responsiveness requirements. in this regard bidders were warned that the</w:t>
      </w:r>
      <w:r w:rsidR="00860092" w:rsidRPr="00D9566D">
        <w:rPr>
          <w:rFonts w:ascii="Arial" w:hAnsi="Arial" w:cs="Arial"/>
        </w:rPr>
        <w:t>y</w:t>
      </w:r>
      <w:r w:rsidR="0082766A" w:rsidRPr="00D9566D">
        <w:rPr>
          <w:rFonts w:ascii="Arial" w:hAnsi="Arial" w:cs="Arial"/>
        </w:rPr>
        <w:t xml:space="preserve"> were required to submit a valid certificate of registration issued by the NBC</w:t>
      </w:r>
      <w:r w:rsidR="00860092" w:rsidRPr="00D9566D">
        <w:rPr>
          <w:rFonts w:ascii="Arial" w:hAnsi="Arial" w:cs="Arial"/>
        </w:rPr>
        <w:t>,</w:t>
      </w:r>
      <w:r w:rsidR="0082766A" w:rsidRPr="00D9566D">
        <w:rPr>
          <w:rFonts w:ascii="Arial" w:hAnsi="Arial" w:cs="Arial"/>
        </w:rPr>
        <w:t xml:space="preserve"> as well as a letter of good standing. If they did not have a letter of good standing </w:t>
      </w:r>
      <w:r w:rsidR="00860092" w:rsidRPr="00D9566D">
        <w:rPr>
          <w:rFonts w:ascii="Arial" w:hAnsi="Arial" w:cs="Arial"/>
        </w:rPr>
        <w:t xml:space="preserve">available </w:t>
      </w:r>
      <w:r w:rsidR="0082766A" w:rsidRPr="00D9566D">
        <w:rPr>
          <w:rFonts w:ascii="Arial" w:hAnsi="Arial" w:cs="Arial"/>
        </w:rPr>
        <w:t>at the time of submission of the</w:t>
      </w:r>
      <w:r w:rsidR="00860092" w:rsidRPr="00D9566D">
        <w:rPr>
          <w:rFonts w:ascii="Arial" w:hAnsi="Arial" w:cs="Arial"/>
        </w:rPr>
        <w:t>ir</w:t>
      </w:r>
      <w:r w:rsidR="0082766A" w:rsidRPr="00D9566D">
        <w:rPr>
          <w:rFonts w:ascii="Arial" w:hAnsi="Arial" w:cs="Arial"/>
        </w:rPr>
        <w:t xml:space="preserve"> </w:t>
      </w:r>
      <w:r w:rsidR="000F0DAF" w:rsidRPr="00D9566D">
        <w:rPr>
          <w:rFonts w:ascii="Arial" w:hAnsi="Arial" w:cs="Arial"/>
        </w:rPr>
        <w:t>bids,</w:t>
      </w:r>
      <w:r w:rsidR="0082766A" w:rsidRPr="00D9566D">
        <w:rPr>
          <w:rFonts w:ascii="Arial" w:hAnsi="Arial" w:cs="Arial"/>
        </w:rPr>
        <w:t xml:space="preserve"> they </w:t>
      </w:r>
      <w:r w:rsidR="00DF4853" w:rsidRPr="00D9566D">
        <w:rPr>
          <w:rFonts w:ascii="Arial" w:hAnsi="Arial" w:cs="Arial"/>
        </w:rPr>
        <w:t>had</w:t>
      </w:r>
      <w:r w:rsidR="0082766A" w:rsidRPr="00D9566D">
        <w:rPr>
          <w:rFonts w:ascii="Arial" w:hAnsi="Arial" w:cs="Arial"/>
        </w:rPr>
        <w:t xml:space="preserve"> 21 days to provide it.</w:t>
      </w:r>
      <w:r w:rsidR="004F7DED" w:rsidRPr="00D9566D">
        <w:rPr>
          <w:rFonts w:ascii="Arial" w:hAnsi="Arial" w:cs="Arial"/>
        </w:rPr>
        <w:t xml:space="preserve"> </w:t>
      </w:r>
    </w:p>
    <w:p w14:paraId="048931BD" w14:textId="7757C933" w:rsidR="007E77F5" w:rsidRPr="00D9566D" w:rsidRDefault="007E77F5" w:rsidP="00D9566D">
      <w:pPr>
        <w:adjustRightInd w:val="0"/>
        <w:spacing w:after="0" w:line="240" w:lineRule="auto"/>
        <w:contextualSpacing/>
        <w:jc w:val="both"/>
        <w:textAlignment w:val="baseline"/>
        <w:rPr>
          <w:rFonts w:ascii="Arial" w:hAnsi="Arial" w:cs="Arial"/>
          <w:b/>
          <w:bCs/>
        </w:rPr>
      </w:pPr>
      <w:r w:rsidRPr="00D9566D">
        <w:rPr>
          <w:rFonts w:ascii="Arial" w:hAnsi="Arial" w:cs="Arial"/>
          <w:b/>
          <w:bCs/>
        </w:rPr>
        <w:t>An assessment</w:t>
      </w:r>
    </w:p>
    <w:p w14:paraId="3730B21F" w14:textId="74368F6F" w:rsidR="00965BC9" w:rsidRPr="00D9566D" w:rsidRDefault="00DE2B0F" w:rsidP="00D9566D">
      <w:pPr>
        <w:adjustRightInd w:val="0"/>
        <w:spacing w:after="0" w:line="240" w:lineRule="auto"/>
        <w:ind w:left="1080" w:hanging="720"/>
        <w:jc w:val="both"/>
        <w:textAlignment w:val="baseline"/>
        <w:rPr>
          <w:rFonts w:ascii="Arial" w:hAnsi="Arial" w:cs="Arial"/>
          <w:u w:val="single"/>
        </w:rPr>
      </w:pPr>
      <w:r w:rsidRPr="00D9566D">
        <w:rPr>
          <w:rFonts w:ascii="Arial" w:hAnsi="Arial" w:cs="Arial"/>
        </w:rPr>
        <w:t>(i)</w:t>
      </w:r>
      <w:r w:rsidRPr="00D9566D">
        <w:rPr>
          <w:rFonts w:ascii="Arial" w:hAnsi="Arial" w:cs="Arial"/>
        </w:rPr>
        <w:tab/>
      </w:r>
      <w:r w:rsidR="00965BC9" w:rsidRPr="00D9566D">
        <w:rPr>
          <w:rFonts w:ascii="Arial" w:hAnsi="Arial" w:cs="Arial"/>
          <w:u w:val="single"/>
        </w:rPr>
        <w:t>The law</w:t>
      </w:r>
    </w:p>
    <w:p w14:paraId="5DD6619A" w14:textId="7A0151AB" w:rsidR="000F0DAF" w:rsidRPr="00D9566D" w:rsidRDefault="00DE2B0F" w:rsidP="00D9566D">
      <w:pPr>
        <w:spacing w:line="240" w:lineRule="auto"/>
        <w:ind w:left="720" w:hanging="720"/>
        <w:jc w:val="both"/>
        <w:rPr>
          <w:rFonts w:ascii="Arial" w:eastAsia="Times New Roman" w:hAnsi="Arial" w:cs="Arial"/>
          <w:bCs/>
        </w:rPr>
      </w:pPr>
      <w:r w:rsidRPr="00D9566D">
        <w:rPr>
          <w:rFonts w:ascii="Arial" w:eastAsia="Times New Roman" w:hAnsi="Arial" w:cs="Arial"/>
          <w:bCs/>
        </w:rPr>
        <w:t>33.</w:t>
      </w:r>
      <w:r w:rsidRPr="00D9566D">
        <w:rPr>
          <w:rFonts w:ascii="Arial" w:eastAsia="Times New Roman" w:hAnsi="Arial" w:cs="Arial"/>
          <w:bCs/>
        </w:rPr>
        <w:tab/>
      </w:r>
      <w:r w:rsidR="009720BF" w:rsidRPr="00D9566D">
        <w:rPr>
          <w:rFonts w:ascii="Arial" w:eastAsia="Times New Roman" w:hAnsi="Arial" w:cs="Arial"/>
          <w:bCs/>
        </w:rPr>
        <w:t>T</w:t>
      </w:r>
      <w:r w:rsidR="000F0DAF" w:rsidRPr="00D9566D">
        <w:rPr>
          <w:rFonts w:ascii="Arial" w:eastAsia="Times New Roman" w:hAnsi="Arial" w:cs="Arial"/>
          <w:bCs/>
        </w:rPr>
        <w:t>he bid specifications and evaluation criteria which are set out in an invitation to tender,</w:t>
      </w:r>
      <w:r w:rsidR="00860092" w:rsidRPr="00D9566D">
        <w:rPr>
          <w:rFonts w:ascii="Arial" w:eastAsia="Times New Roman" w:hAnsi="Arial" w:cs="Arial"/>
          <w:bCs/>
        </w:rPr>
        <w:t xml:space="preserve"> together with</w:t>
      </w:r>
      <w:r w:rsidR="00337EBD" w:rsidRPr="00D9566D">
        <w:rPr>
          <w:rFonts w:ascii="Arial" w:eastAsia="Times New Roman" w:hAnsi="Arial" w:cs="Arial"/>
          <w:bCs/>
        </w:rPr>
        <w:t xml:space="preserve"> </w:t>
      </w:r>
      <w:r w:rsidR="000F0DAF" w:rsidRPr="00D9566D">
        <w:rPr>
          <w:rFonts w:ascii="Arial" w:eastAsia="Times New Roman" w:hAnsi="Arial" w:cs="Arial"/>
          <w:bCs/>
        </w:rPr>
        <w:t xml:space="preserve">the </w:t>
      </w:r>
      <w:r w:rsidR="00860092" w:rsidRPr="00D9566D">
        <w:rPr>
          <w:rFonts w:ascii="Arial" w:eastAsia="Times New Roman" w:hAnsi="Arial" w:cs="Arial"/>
          <w:bCs/>
        </w:rPr>
        <w:t>applicable</w:t>
      </w:r>
      <w:r w:rsidR="000F0DAF" w:rsidRPr="00D9566D">
        <w:rPr>
          <w:rFonts w:ascii="Arial" w:eastAsia="Times New Roman" w:hAnsi="Arial" w:cs="Arial"/>
          <w:bCs/>
        </w:rPr>
        <w:t xml:space="preserve"> constitutional and legislative provisions</w:t>
      </w:r>
      <w:r w:rsidR="00337EBD" w:rsidRPr="00D9566D">
        <w:rPr>
          <w:rFonts w:ascii="Arial" w:eastAsia="Times New Roman" w:hAnsi="Arial" w:cs="Arial"/>
          <w:bCs/>
        </w:rPr>
        <w:t xml:space="preserve"> that deal with procurement</w:t>
      </w:r>
      <w:r w:rsidR="000F0DAF" w:rsidRPr="00D9566D">
        <w:rPr>
          <w:rFonts w:ascii="Arial" w:eastAsia="Times New Roman" w:hAnsi="Arial" w:cs="Arial"/>
          <w:bCs/>
        </w:rPr>
        <w:t xml:space="preserve">, constitute the </w:t>
      </w:r>
      <w:r w:rsidR="00337EBD" w:rsidRPr="00D9566D">
        <w:rPr>
          <w:rFonts w:ascii="Arial" w:eastAsia="Times New Roman" w:hAnsi="Arial" w:cs="Arial"/>
          <w:bCs/>
        </w:rPr>
        <w:t>‘</w:t>
      </w:r>
      <w:r w:rsidR="000F0DAF" w:rsidRPr="00D9566D">
        <w:rPr>
          <w:rFonts w:ascii="Arial" w:eastAsia="Times New Roman" w:hAnsi="Arial" w:cs="Arial"/>
          <w:bCs/>
        </w:rPr>
        <w:t>legally binding</w:t>
      </w:r>
      <w:r w:rsidR="00337EBD" w:rsidRPr="00D9566D">
        <w:rPr>
          <w:rFonts w:ascii="Arial" w:eastAsia="Times New Roman" w:hAnsi="Arial" w:cs="Arial"/>
          <w:bCs/>
        </w:rPr>
        <w:t>’</w:t>
      </w:r>
      <w:r w:rsidR="000F0DAF" w:rsidRPr="00D9566D">
        <w:rPr>
          <w:rFonts w:ascii="Arial" w:eastAsia="Times New Roman" w:hAnsi="Arial" w:cs="Arial"/>
          <w:bCs/>
        </w:rPr>
        <w:t xml:space="preserve"> framework within which </w:t>
      </w:r>
      <w:r w:rsidR="009720BF" w:rsidRPr="00D9566D">
        <w:rPr>
          <w:rFonts w:ascii="Arial" w:eastAsia="Times New Roman" w:hAnsi="Arial" w:cs="Arial"/>
          <w:bCs/>
        </w:rPr>
        <w:t xml:space="preserve">public </w:t>
      </w:r>
      <w:r w:rsidR="000F0DAF" w:rsidRPr="00D9566D">
        <w:rPr>
          <w:rFonts w:ascii="Arial" w:eastAsia="Times New Roman" w:hAnsi="Arial" w:cs="Arial"/>
          <w:bCs/>
        </w:rPr>
        <w:t>tenders must be submitted, evaluated and awarded.</w:t>
      </w:r>
      <w:r w:rsidR="000F0DAF" w:rsidRPr="00D9566D">
        <w:rPr>
          <w:rStyle w:val="FootnoteReference"/>
          <w:rFonts w:ascii="Arial" w:eastAsia="Times New Roman" w:hAnsi="Arial" w:cs="Arial"/>
          <w:bCs/>
        </w:rPr>
        <w:footnoteReference w:id="2"/>
      </w:r>
    </w:p>
    <w:p w14:paraId="6A1C2697" w14:textId="39EB1F5E" w:rsidR="003F29DC" w:rsidRPr="00D9566D" w:rsidRDefault="00DE2B0F" w:rsidP="00D9566D">
      <w:pPr>
        <w:spacing w:line="240" w:lineRule="auto"/>
        <w:ind w:left="720" w:hanging="720"/>
        <w:jc w:val="both"/>
        <w:rPr>
          <w:rFonts w:ascii="Arial" w:eastAsia="Times New Roman" w:hAnsi="Arial" w:cs="Arial"/>
          <w:bCs/>
        </w:rPr>
      </w:pPr>
      <w:r w:rsidRPr="00D9566D">
        <w:rPr>
          <w:rFonts w:ascii="Arial" w:eastAsia="Times New Roman" w:hAnsi="Arial" w:cs="Arial"/>
          <w:bCs/>
        </w:rPr>
        <w:t>34.</w:t>
      </w:r>
      <w:r w:rsidRPr="00D9566D">
        <w:rPr>
          <w:rFonts w:ascii="Arial" w:eastAsia="Times New Roman" w:hAnsi="Arial" w:cs="Arial"/>
          <w:bCs/>
        </w:rPr>
        <w:tab/>
      </w:r>
      <w:r w:rsidR="000F0DAF" w:rsidRPr="00D9566D">
        <w:rPr>
          <w:rFonts w:ascii="Arial" w:eastAsia="Times New Roman" w:hAnsi="Arial" w:cs="Arial"/>
          <w:bCs/>
        </w:rPr>
        <w:t>As far as the constitutional provisions are concerned</w:t>
      </w:r>
      <w:r w:rsidR="00337EBD" w:rsidRPr="00D9566D">
        <w:rPr>
          <w:rFonts w:ascii="Arial" w:eastAsia="Times New Roman" w:hAnsi="Arial" w:cs="Arial"/>
          <w:bCs/>
        </w:rPr>
        <w:t>,</w:t>
      </w:r>
      <w:r w:rsidR="000F0DAF" w:rsidRPr="00D9566D">
        <w:rPr>
          <w:rFonts w:ascii="Arial" w:eastAsia="Times New Roman" w:hAnsi="Arial" w:cs="Arial"/>
          <w:bCs/>
        </w:rPr>
        <w:t xml:space="preserve"> s</w:t>
      </w:r>
      <w:r w:rsidR="007E77F5" w:rsidRPr="00D9566D">
        <w:rPr>
          <w:rFonts w:ascii="Arial" w:eastAsia="Times New Roman" w:hAnsi="Arial" w:cs="Arial"/>
          <w:bCs/>
        </w:rPr>
        <w:t xml:space="preserve"> 217(1) of the Constitution </w:t>
      </w:r>
      <w:r w:rsidR="00413AF7" w:rsidRPr="00D9566D">
        <w:rPr>
          <w:rFonts w:ascii="Arial" w:eastAsia="Times New Roman" w:hAnsi="Arial" w:cs="Arial"/>
          <w:bCs/>
        </w:rPr>
        <w:t>states</w:t>
      </w:r>
      <w:r w:rsidR="007E77F5" w:rsidRPr="00D9566D">
        <w:rPr>
          <w:rFonts w:ascii="Arial" w:eastAsia="Times New Roman" w:hAnsi="Arial" w:cs="Arial"/>
          <w:bCs/>
        </w:rPr>
        <w:t xml:space="preserve"> that when an organ of state contracts for goods or services it must do so in accordance with a system which is fair, equitable, transparent, competitive, and cost-effective. These imperatives are </w:t>
      </w:r>
      <w:r w:rsidR="003F29DC" w:rsidRPr="00D9566D">
        <w:rPr>
          <w:rFonts w:ascii="Arial" w:eastAsia="Times New Roman" w:hAnsi="Arial" w:cs="Arial"/>
          <w:bCs/>
        </w:rPr>
        <w:t>reiterated in</w:t>
      </w:r>
      <w:r w:rsidR="007E77F5" w:rsidRPr="00D9566D">
        <w:rPr>
          <w:rFonts w:ascii="Arial" w:eastAsia="Times New Roman" w:hAnsi="Arial" w:cs="Arial"/>
          <w:bCs/>
        </w:rPr>
        <w:t xml:space="preserve"> several legislative instruments, including the Preferential Procurement Policy Framework Act</w:t>
      </w:r>
      <w:r w:rsidR="00BD5DC6" w:rsidRPr="00D9566D">
        <w:rPr>
          <w:rFonts w:ascii="Arial" w:eastAsia="Times New Roman" w:hAnsi="Arial" w:cs="Arial"/>
          <w:bCs/>
        </w:rPr>
        <w:t xml:space="preserve"> </w:t>
      </w:r>
      <w:r w:rsidR="007E77F5" w:rsidRPr="00D9566D">
        <w:rPr>
          <w:rStyle w:val="FootnoteReference"/>
          <w:rFonts w:ascii="Arial" w:eastAsia="Times New Roman" w:hAnsi="Arial" w:cs="Arial"/>
          <w:bCs/>
        </w:rPr>
        <w:footnoteReference w:id="3"/>
      </w:r>
      <w:r w:rsidR="00BD5DC6" w:rsidRPr="00D9566D">
        <w:rPr>
          <w:rFonts w:ascii="Arial" w:eastAsia="Times New Roman" w:hAnsi="Arial" w:cs="Arial"/>
          <w:bCs/>
        </w:rPr>
        <w:t xml:space="preserve"> (‘the PPFA’) </w:t>
      </w:r>
      <w:r w:rsidR="007E77F5" w:rsidRPr="00D9566D">
        <w:rPr>
          <w:rFonts w:ascii="Arial" w:eastAsia="Times New Roman" w:hAnsi="Arial" w:cs="Arial"/>
          <w:bCs/>
        </w:rPr>
        <w:t xml:space="preserve"> the Public Finance Management Act, </w:t>
      </w:r>
      <w:r w:rsidR="007E77F5" w:rsidRPr="00D9566D">
        <w:rPr>
          <w:rStyle w:val="FootnoteReference"/>
          <w:rFonts w:ascii="Arial" w:eastAsia="Times New Roman" w:hAnsi="Arial" w:cs="Arial"/>
          <w:bCs/>
        </w:rPr>
        <w:footnoteReference w:id="4"/>
      </w:r>
      <w:r w:rsidR="007E77F5" w:rsidRPr="00D9566D">
        <w:rPr>
          <w:rFonts w:ascii="Arial" w:eastAsia="Times New Roman" w:hAnsi="Arial" w:cs="Arial"/>
          <w:bCs/>
        </w:rPr>
        <w:t xml:space="preserve"> the Local Government: Municipal Systems Act</w:t>
      </w:r>
      <w:r w:rsidR="007E77F5" w:rsidRPr="00D9566D">
        <w:rPr>
          <w:rStyle w:val="FootnoteReference"/>
          <w:rFonts w:ascii="Arial" w:eastAsia="Times New Roman" w:hAnsi="Arial" w:cs="Arial"/>
          <w:bCs/>
        </w:rPr>
        <w:footnoteReference w:id="5"/>
      </w:r>
      <w:r w:rsidR="007E77F5" w:rsidRPr="00D9566D">
        <w:rPr>
          <w:rFonts w:ascii="Arial" w:eastAsia="Times New Roman" w:hAnsi="Arial" w:cs="Arial"/>
          <w:bCs/>
        </w:rPr>
        <w:t xml:space="preserve"> and the Local Government: Municipal Finance Management Act</w:t>
      </w:r>
      <w:r w:rsidR="007E77F5" w:rsidRPr="00D9566D">
        <w:rPr>
          <w:rStyle w:val="FootnoteReference"/>
          <w:rFonts w:ascii="Arial" w:eastAsia="Times New Roman" w:hAnsi="Arial" w:cs="Arial"/>
          <w:bCs/>
        </w:rPr>
        <w:footnoteReference w:id="6"/>
      </w:r>
      <w:r w:rsidR="007E77F5" w:rsidRPr="00D9566D">
        <w:rPr>
          <w:rFonts w:ascii="Arial" w:eastAsia="Times New Roman" w:hAnsi="Arial" w:cs="Arial"/>
          <w:bCs/>
        </w:rPr>
        <w:t xml:space="preserve"> and various regulations which have been </w:t>
      </w:r>
      <w:r w:rsidR="007E77F5" w:rsidRPr="00D9566D">
        <w:rPr>
          <w:rFonts w:ascii="Arial" w:eastAsia="Times New Roman" w:hAnsi="Arial" w:cs="Arial"/>
          <w:bCs/>
        </w:rPr>
        <w:lastRenderedPageBreak/>
        <w:t>promulgated in terms thereof.</w:t>
      </w:r>
      <w:r w:rsidR="007E77F5" w:rsidRPr="00D9566D">
        <w:rPr>
          <w:rStyle w:val="FootnoteReference"/>
          <w:rFonts w:ascii="Arial" w:eastAsia="Times New Roman" w:hAnsi="Arial" w:cs="Arial"/>
          <w:bCs/>
        </w:rPr>
        <w:footnoteReference w:id="7"/>
      </w:r>
      <w:r w:rsidR="007E77F5" w:rsidRPr="00D9566D">
        <w:rPr>
          <w:rFonts w:ascii="Arial" w:eastAsia="Times New Roman" w:hAnsi="Arial" w:cs="Arial"/>
          <w:bCs/>
        </w:rPr>
        <w:t xml:space="preserve"> In </w:t>
      </w:r>
      <w:r w:rsidR="007E77F5" w:rsidRPr="00D9566D">
        <w:rPr>
          <w:rFonts w:ascii="Arial" w:eastAsia="Times New Roman" w:hAnsi="Arial" w:cs="Arial"/>
          <w:bCs/>
          <w:i/>
          <w:iCs/>
        </w:rPr>
        <w:t>Tetra Mobile</w:t>
      </w:r>
      <w:r w:rsidR="007E77F5" w:rsidRPr="00D9566D">
        <w:rPr>
          <w:rStyle w:val="FootnoteReference"/>
          <w:rFonts w:ascii="Arial" w:eastAsia="Times New Roman" w:hAnsi="Arial" w:cs="Arial"/>
          <w:bCs/>
        </w:rPr>
        <w:footnoteReference w:id="8"/>
      </w:r>
      <w:r w:rsidR="007E77F5" w:rsidRPr="00D9566D">
        <w:rPr>
          <w:rFonts w:ascii="Arial" w:eastAsia="Times New Roman" w:hAnsi="Arial" w:cs="Arial"/>
          <w:bCs/>
        </w:rPr>
        <w:t xml:space="preserve"> the Supreme Court of Appeal </w:t>
      </w:r>
      <w:r w:rsidR="00133AE4" w:rsidRPr="00D9566D">
        <w:rPr>
          <w:rFonts w:ascii="Arial" w:eastAsia="Times New Roman" w:hAnsi="Arial" w:cs="Arial"/>
          <w:bCs/>
        </w:rPr>
        <w:t>noted</w:t>
      </w:r>
      <w:r w:rsidR="007E77F5" w:rsidRPr="00D9566D">
        <w:rPr>
          <w:rFonts w:ascii="Arial" w:eastAsia="Times New Roman" w:hAnsi="Arial" w:cs="Arial"/>
          <w:bCs/>
        </w:rPr>
        <w:t xml:space="preserve"> the importance of fairness and transparency and how these values ‘permeate’ the entire tender process. </w:t>
      </w:r>
    </w:p>
    <w:p w14:paraId="17B36334" w14:textId="3A5D3D55" w:rsidR="007E77F5" w:rsidRPr="00D9566D" w:rsidRDefault="00DE2B0F" w:rsidP="00D9566D">
      <w:pPr>
        <w:spacing w:line="240" w:lineRule="auto"/>
        <w:ind w:left="720" w:hanging="720"/>
        <w:jc w:val="both"/>
        <w:rPr>
          <w:rFonts w:ascii="Arial" w:eastAsia="Times New Roman" w:hAnsi="Arial" w:cs="Arial"/>
          <w:bCs/>
        </w:rPr>
      </w:pPr>
      <w:r w:rsidRPr="00D9566D">
        <w:rPr>
          <w:rFonts w:ascii="Arial" w:eastAsia="Times New Roman" w:hAnsi="Arial" w:cs="Arial"/>
          <w:bCs/>
        </w:rPr>
        <w:t>35.</w:t>
      </w:r>
      <w:r w:rsidRPr="00D9566D">
        <w:rPr>
          <w:rFonts w:ascii="Arial" w:eastAsia="Times New Roman" w:hAnsi="Arial" w:cs="Arial"/>
          <w:bCs/>
        </w:rPr>
        <w:tab/>
      </w:r>
      <w:r w:rsidR="007E77F5" w:rsidRPr="00D9566D">
        <w:rPr>
          <w:rFonts w:ascii="Arial" w:eastAsia="Times New Roman" w:hAnsi="Arial" w:cs="Arial"/>
          <w:bCs/>
        </w:rPr>
        <w:t xml:space="preserve">In assessing whether </w:t>
      </w:r>
      <w:r w:rsidR="006043B9" w:rsidRPr="00D9566D">
        <w:rPr>
          <w:rFonts w:ascii="Arial" w:eastAsia="Times New Roman" w:hAnsi="Arial" w:cs="Arial"/>
          <w:bCs/>
        </w:rPr>
        <w:t>the</w:t>
      </w:r>
      <w:r w:rsidR="007E77F5" w:rsidRPr="00D9566D">
        <w:rPr>
          <w:rFonts w:ascii="Arial" w:eastAsia="Times New Roman" w:hAnsi="Arial" w:cs="Arial"/>
          <w:bCs/>
        </w:rPr>
        <w:t xml:space="preserve"> award of a tender </w:t>
      </w:r>
      <w:r w:rsidR="008C7158" w:rsidRPr="00D9566D">
        <w:rPr>
          <w:rFonts w:ascii="Arial" w:eastAsia="Times New Roman" w:hAnsi="Arial" w:cs="Arial"/>
          <w:bCs/>
        </w:rPr>
        <w:t xml:space="preserve">was </w:t>
      </w:r>
      <w:r w:rsidR="007E77F5" w:rsidRPr="00D9566D">
        <w:rPr>
          <w:rFonts w:ascii="Arial" w:eastAsia="Times New Roman" w:hAnsi="Arial" w:cs="Arial"/>
          <w:bCs/>
        </w:rPr>
        <w:t>fair the focus is on the process and not on the result.</w:t>
      </w:r>
      <w:r w:rsidR="007E77F5" w:rsidRPr="00D9566D">
        <w:rPr>
          <w:rStyle w:val="FootnoteReference"/>
          <w:rFonts w:ascii="Arial" w:eastAsia="Times New Roman" w:hAnsi="Arial" w:cs="Arial"/>
          <w:bCs/>
        </w:rPr>
        <w:footnoteReference w:id="9"/>
      </w:r>
      <w:r w:rsidR="007E77F5" w:rsidRPr="00D9566D">
        <w:rPr>
          <w:rFonts w:ascii="Arial" w:eastAsia="Times New Roman" w:hAnsi="Arial" w:cs="Arial"/>
          <w:bCs/>
        </w:rPr>
        <w:t xml:space="preserve"> </w:t>
      </w:r>
      <w:r w:rsidR="00413AF7" w:rsidRPr="00D9566D">
        <w:rPr>
          <w:rFonts w:ascii="Arial" w:eastAsia="Times New Roman" w:hAnsi="Arial" w:cs="Arial"/>
          <w:bCs/>
        </w:rPr>
        <w:t>F</w:t>
      </w:r>
      <w:r w:rsidR="007E77F5" w:rsidRPr="00D9566D">
        <w:rPr>
          <w:rFonts w:ascii="Arial" w:eastAsia="Times New Roman" w:hAnsi="Arial" w:cs="Arial"/>
          <w:bCs/>
        </w:rPr>
        <w:t xml:space="preserve">airness is a procedural requirement which is aimed at ensuring </w:t>
      </w:r>
      <w:r w:rsidR="002565AD" w:rsidRPr="00D9566D">
        <w:rPr>
          <w:rFonts w:ascii="Arial" w:eastAsia="Times New Roman" w:hAnsi="Arial" w:cs="Arial"/>
          <w:bCs/>
        </w:rPr>
        <w:t xml:space="preserve">even-handed </w:t>
      </w:r>
      <w:r w:rsidR="007E77F5" w:rsidRPr="00D9566D">
        <w:rPr>
          <w:rFonts w:ascii="Arial" w:eastAsia="Times New Roman" w:hAnsi="Arial" w:cs="Arial"/>
          <w:bCs/>
        </w:rPr>
        <w:t>treatment of bidders.</w:t>
      </w:r>
      <w:r w:rsidR="00133AE4" w:rsidRPr="00D9566D">
        <w:rPr>
          <w:rFonts w:ascii="Arial" w:eastAsia="Times New Roman" w:hAnsi="Arial" w:cs="Arial"/>
          <w:bCs/>
        </w:rPr>
        <w:t xml:space="preserve"> </w:t>
      </w:r>
      <w:r w:rsidR="007E77F5" w:rsidRPr="00D9566D">
        <w:rPr>
          <w:rFonts w:ascii="Arial" w:eastAsia="Times New Roman" w:hAnsi="Arial" w:cs="Arial"/>
          <w:bCs/>
        </w:rPr>
        <w:t xml:space="preserve"> As competitors, they are required to be treated equally.</w:t>
      </w:r>
      <w:r w:rsidR="007E77F5" w:rsidRPr="00D9566D">
        <w:rPr>
          <w:rStyle w:val="FootnoteReference"/>
          <w:rFonts w:ascii="Arial" w:eastAsia="Times New Roman" w:hAnsi="Arial" w:cs="Arial"/>
          <w:bCs/>
        </w:rPr>
        <w:footnoteReference w:id="10"/>
      </w:r>
      <w:r w:rsidR="007E77F5" w:rsidRPr="00D9566D">
        <w:rPr>
          <w:rFonts w:ascii="Arial" w:eastAsia="Times New Roman" w:hAnsi="Arial" w:cs="Arial"/>
          <w:bCs/>
        </w:rPr>
        <w:t xml:space="preserve"> </w:t>
      </w:r>
    </w:p>
    <w:p w14:paraId="776ADC06" w14:textId="1DD85819" w:rsidR="00337EB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36.</w:t>
      </w:r>
      <w:r w:rsidRPr="00D9566D">
        <w:rPr>
          <w:rFonts w:ascii="Arial" w:hAnsi="Arial" w:cs="Arial"/>
        </w:rPr>
        <w:tab/>
      </w:r>
      <w:r w:rsidR="007E77F5" w:rsidRPr="00D9566D">
        <w:rPr>
          <w:rFonts w:ascii="Arial" w:eastAsia="Times New Roman" w:hAnsi="Arial" w:cs="Arial"/>
          <w:bCs/>
        </w:rPr>
        <w:t xml:space="preserve">Whether a tender process has been fair is a matter that must be determined on the facts of each </w:t>
      </w:r>
      <w:r w:rsidR="00B21804" w:rsidRPr="00D9566D">
        <w:rPr>
          <w:rFonts w:ascii="Arial" w:eastAsia="Times New Roman" w:hAnsi="Arial" w:cs="Arial"/>
          <w:bCs/>
        </w:rPr>
        <w:t>matter</w:t>
      </w:r>
      <w:r w:rsidR="007E77F5" w:rsidRPr="00D9566D">
        <w:rPr>
          <w:rFonts w:ascii="Arial" w:eastAsia="Times New Roman" w:hAnsi="Arial" w:cs="Arial"/>
          <w:bCs/>
        </w:rPr>
        <w:t>.</w:t>
      </w:r>
      <w:r w:rsidR="00133AE4" w:rsidRPr="00D9566D">
        <w:rPr>
          <w:rStyle w:val="FootnoteReference"/>
          <w:rFonts w:ascii="Arial" w:eastAsia="Times New Roman" w:hAnsi="Arial" w:cs="Arial"/>
          <w:bCs/>
        </w:rPr>
        <w:footnoteReference w:id="11"/>
      </w:r>
      <w:r w:rsidR="007E77F5" w:rsidRPr="00D9566D">
        <w:rPr>
          <w:rFonts w:ascii="Arial" w:eastAsia="Times New Roman" w:hAnsi="Arial" w:cs="Arial"/>
          <w:bCs/>
        </w:rPr>
        <w:t xml:space="preserve"> The</w:t>
      </w:r>
      <w:r w:rsidR="00DD0485" w:rsidRPr="00D9566D">
        <w:rPr>
          <w:rFonts w:ascii="Arial" w:eastAsia="Times New Roman" w:hAnsi="Arial" w:cs="Arial"/>
          <w:bCs/>
        </w:rPr>
        <w:t>y</w:t>
      </w:r>
      <w:r w:rsidR="007E77F5" w:rsidRPr="00D9566D">
        <w:rPr>
          <w:rFonts w:ascii="Arial" w:eastAsia="Times New Roman" w:hAnsi="Arial" w:cs="Arial"/>
          <w:bCs/>
        </w:rPr>
        <w:t xml:space="preserve"> will </w:t>
      </w:r>
      <w:r w:rsidR="00B21804" w:rsidRPr="00D9566D">
        <w:rPr>
          <w:rFonts w:ascii="Arial" w:eastAsia="Times New Roman" w:hAnsi="Arial" w:cs="Arial"/>
          <w:bCs/>
        </w:rPr>
        <w:t>establish</w:t>
      </w:r>
      <w:r w:rsidR="007E77F5" w:rsidRPr="00D9566D">
        <w:rPr>
          <w:rFonts w:ascii="Arial" w:eastAsia="Times New Roman" w:hAnsi="Arial" w:cs="Arial"/>
          <w:bCs/>
        </w:rPr>
        <w:t xml:space="preserve"> whether any ‘shortfall’ in any of the requirements listed in s 217</w:t>
      </w:r>
      <w:r w:rsidR="00860092" w:rsidRPr="00D9566D">
        <w:rPr>
          <w:rFonts w:ascii="Arial" w:eastAsia="Times New Roman" w:hAnsi="Arial" w:cs="Arial"/>
          <w:bCs/>
        </w:rPr>
        <w:t>(1)</w:t>
      </w:r>
      <w:r w:rsidR="007E77F5" w:rsidRPr="00D9566D">
        <w:rPr>
          <w:rFonts w:ascii="Arial" w:eastAsia="Times New Roman" w:hAnsi="Arial" w:cs="Arial"/>
          <w:bCs/>
        </w:rPr>
        <w:t xml:space="preserve"> of the Constitution </w:t>
      </w:r>
      <w:r w:rsidR="00DD0485" w:rsidRPr="00D9566D">
        <w:rPr>
          <w:rFonts w:ascii="Arial" w:eastAsia="Times New Roman" w:hAnsi="Arial" w:cs="Arial"/>
          <w:bCs/>
        </w:rPr>
        <w:t>amounts to</w:t>
      </w:r>
      <w:r w:rsidR="007E77F5" w:rsidRPr="00D9566D">
        <w:rPr>
          <w:rFonts w:ascii="Arial" w:eastAsia="Times New Roman" w:hAnsi="Arial" w:cs="Arial"/>
          <w:bCs/>
        </w:rPr>
        <w:t xml:space="preserve"> procedural unfairness, irrationality, unreasonableness, or any of the other review grounds set out in PAJA.</w:t>
      </w:r>
      <w:r w:rsidR="007E77F5" w:rsidRPr="00D9566D">
        <w:rPr>
          <w:rStyle w:val="FootnoteReference"/>
          <w:rFonts w:ascii="Arial" w:eastAsia="Times New Roman" w:hAnsi="Arial" w:cs="Arial"/>
          <w:bCs/>
        </w:rPr>
        <w:footnoteReference w:id="12"/>
      </w:r>
    </w:p>
    <w:p w14:paraId="45941762" w14:textId="484B50F6" w:rsidR="00135A26"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37.</w:t>
      </w:r>
      <w:r w:rsidRPr="00D9566D">
        <w:rPr>
          <w:rFonts w:ascii="Arial" w:hAnsi="Arial" w:cs="Arial"/>
        </w:rPr>
        <w:tab/>
      </w:r>
      <w:r w:rsidR="00413AF7" w:rsidRPr="00D9566D">
        <w:rPr>
          <w:rFonts w:ascii="Arial" w:eastAsia="Times New Roman" w:hAnsi="Arial" w:cs="Arial"/>
          <w:bCs/>
        </w:rPr>
        <w:t>T</w:t>
      </w:r>
      <w:r w:rsidR="00135A26" w:rsidRPr="00D9566D">
        <w:rPr>
          <w:rFonts w:ascii="Arial" w:eastAsia="Times New Roman" w:hAnsi="Arial" w:cs="Arial"/>
          <w:bCs/>
        </w:rPr>
        <w:t xml:space="preserve">he applicant’s counsel </w:t>
      </w:r>
      <w:r w:rsidR="00CB4F60" w:rsidRPr="00D9566D">
        <w:rPr>
          <w:rFonts w:ascii="Arial" w:eastAsia="Times New Roman" w:hAnsi="Arial" w:cs="Arial"/>
          <w:bCs/>
        </w:rPr>
        <w:t>emphasized</w:t>
      </w:r>
      <w:r w:rsidR="00135A26" w:rsidRPr="00D9566D">
        <w:rPr>
          <w:rFonts w:ascii="Arial" w:eastAsia="Times New Roman" w:hAnsi="Arial" w:cs="Arial"/>
          <w:bCs/>
        </w:rPr>
        <w:t xml:space="preserve"> </w:t>
      </w:r>
      <w:r w:rsidR="00F264D1" w:rsidRPr="00D9566D">
        <w:rPr>
          <w:rFonts w:ascii="Arial" w:eastAsia="Times New Roman" w:hAnsi="Arial" w:cs="Arial"/>
          <w:bCs/>
        </w:rPr>
        <w:t>the duty</w:t>
      </w:r>
      <w:r w:rsidR="00CB4F60" w:rsidRPr="00D9566D">
        <w:rPr>
          <w:rFonts w:ascii="Arial" w:eastAsia="Times New Roman" w:hAnsi="Arial" w:cs="Arial"/>
          <w:bCs/>
        </w:rPr>
        <w:t xml:space="preserve"> on organs of state</w:t>
      </w:r>
      <w:r w:rsidR="00F264D1" w:rsidRPr="00D9566D">
        <w:rPr>
          <w:rFonts w:ascii="Arial" w:eastAsia="Times New Roman" w:hAnsi="Arial" w:cs="Arial"/>
          <w:bCs/>
        </w:rPr>
        <w:t xml:space="preserve"> in tender matters</w:t>
      </w:r>
      <w:r w:rsidR="006043B9" w:rsidRPr="00D9566D">
        <w:rPr>
          <w:rFonts w:ascii="Arial" w:eastAsia="Times New Roman" w:hAnsi="Arial" w:cs="Arial"/>
          <w:bCs/>
        </w:rPr>
        <w:t>,</w:t>
      </w:r>
      <w:r w:rsidR="00F264D1" w:rsidRPr="00D9566D">
        <w:rPr>
          <w:rFonts w:ascii="Arial" w:eastAsia="Times New Roman" w:hAnsi="Arial" w:cs="Arial"/>
          <w:bCs/>
        </w:rPr>
        <w:t xml:space="preserve"> </w:t>
      </w:r>
      <w:r w:rsidR="00135A26" w:rsidRPr="00D9566D">
        <w:rPr>
          <w:rFonts w:ascii="Arial" w:eastAsia="Times New Roman" w:hAnsi="Arial" w:cs="Arial"/>
          <w:bCs/>
        </w:rPr>
        <w:t>to act fairly</w:t>
      </w:r>
      <w:r w:rsidR="006043B9" w:rsidRPr="00D9566D">
        <w:rPr>
          <w:rFonts w:ascii="Arial" w:eastAsia="Times New Roman" w:hAnsi="Arial" w:cs="Arial"/>
          <w:bCs/>
        </w:rPr>
        <w:t>,</w:t>
      </w:r>
      <w:r w:rsidR="00135A26" w:rsidRPr="00D9566D">
        <w:rPr>
          <w:rFonts w:ascii="Arial" w:eastAsia="Times New Roman" w:hAnsi="Arial" w:cs="Arial"/>
          <w:bCs/>
        </w:rPr>
        <w:t xml:space="preserve"> </w:t>
      </w:r>
      <w:r w:rsidR="00F264D1" w:rsidRPr="00D9566D">
        <w:rPr>
          <w:rFonts w:ascii="Arial" w:eastAsia="Times New Roman" w:hAnsi="Arial" w:cs="Arial"/>
          <w:bCs/>
        </w:rPr>
        <w:t xml:space="preserve">and pointed out that </w:t>
      </w:r>
      <w:r w:rsidR="00135A26" w:rsidRPr="00D9566D">
        <w:rPr>
          <w:rFonts w:ascii="Arial" w:eastAsia="Times New Roman" w:hAnsi="Arial" w:cs="Arial"/>
          <w:bCs/>
        </w:rPr>
        <w:t xml:space="preserve">in </w:t>
      </w:r>
      <w:r w:rsidR="00135A26" w:rsidRPr="00D9566D">
        <w:rPr>
          <w:rFonts w:ascii="Arial" w:eastAsia="Times New Roman" w:hAnsi="Arial" w:cs="Arial"/>
          <w:bCs/>
          <w:i/>
          <w:iCs/>
        </w:rPr>
        <w:t>Metro</w:t>
      </w:r>
      <w:r w:rsidR="00135A26" w:rsidRPr="00D9566D">
        <w:rPr>
          <w:rStyle w:val="FootnoteReference"/>
          <w:rFonts w:ascii="Arial" w:eastAsia="Times New Roman" w:hAnsi="Arial" w:cs="Arial"/>
          <w:bCs/>
        </w:rPr>
        <w:footnoteReference w:id="13"/>
      </w:r>
      <w:r w:rsidR="00135A26" w:rsidRPr="00D9566D">
        <w:rPr>
          <w:rFonts w:ascii="Arial" w:eastAsia="Times New Roman" w:hAnsi="Arial" w:cs="Arial"/>
          <w:bCs/>
        </w:rPr>
        <w:t xml:space="preserve"> </w:t>
      </w:r>
      <w:r w:rsidR="00F264D1" w:rsidRPr="00D9566D">
        <w:rPr>
          <w:rFonts w:ascii="Arial" w:eastAsia="Times New Roman" w:hAnsi="Arial" w:cs="Arial"/>
          <w:bCs/>
        </w:rPr>
        <w:t xml:space="preserve">the </w:t>
      </w:r>
      <w:r w:rsidR="00BD5DC6" w:rsidRPr="00D9566D">
        <w:rPr>
          <w:rFonts w:ascii="Arial" w:eastAsia="Times New Roman" w:hAnsi="Arial" w:cs="Arial"/>
          <w:bCs/>
        </w:rPr>
        <w:t>S</w:t>
      </w:r>
      <w:r w:rsidR="00F264D1" w:rsidRPr="00D9566D">
        <w:rPr>
          <w:rFonts w:ascii="Arial" w:eastAsia="Times New Roman" w:hAnsi="Arial" w:cs="Arial"/>
          <w:bCs/>
        </w:rPr>
        <w:t xml:space="preserve">CA held </w:t>
      </w:r>
      <w:r w:rsidR="00135A26" w:rsidRPr="00D9566D">
        <w:rPr>
          <w:rFonts w:ascii="Arial" w:eastAsia="Times New Roman" w:hAnsi="Arial" w:cs="Arial"/>
          <w:bCs/>
        </w:rPr>
        <w:t xml:space="preserve">this may require </w:t>
      </w:r>
      <w:r w:rsidR="006463D9" w:rsidRPr="00D9566D">
        <w:rPr>
          <w:rFonts w:ascii="Arial" w:eastAsia="Times New Roman" w:hAnsi="Arial" w:cs="Arial"/>
          <w:bCs/>
        </w:rPr>
        <w:t>BECs</w:t>
      </w:r>
      <w:r w:rsidR="00135A26" w:rsidRPr="00D9566D">
        <w:rPr>
          <w:rFonts w:ascii="Arial" w:eastAsia="Times New Roman" w:hAnsi="Arial" w:cs="Arial"/>
          <w:bCs/>
        </w:rPr>
        <w:t xml:space="preserve"> to </w:t>
      </w:r>
      <w:r w:rsidR="00BD5DC6" w:rsidRPr="00D9566D">
        <w:rPr>
          <w:rFonts w:ascii="Arial" w:eastAsia="Times New Roman" w:hAnsi="Arial" w:cs="Arial"/>
          <w:bCs/>
        </w:rPr>
        <w:t>request</w:t>
      </w:r>
      <w:r w:rsidR="00135A26" w:rsidRPr="00D9566D">
        <w:rPr>
          <w:rFonts w:ascii="Arial" w:eastAsia="Times New Roman" w:hAnsi="Arial" w:cs="Arial"/>
          <w:bCs/>
        </w:rPr>
        <w:t xml:space="preserve"> a bidder </w:t>
      </w:r>
      <w:r w:rsidR="00413AF7" w:rsidRPr="00D9566D">
        <w:rPr>
          <w:rFonts w:ascii="Arial" w:eastAsia="Times New Roman" w:hAnsi="Arial" w:cs="Arial"/>
          <w:bCs/>
        </w:rPr>
        <w:t>whose bid</w:t>
      </w:r>
      <w:r w:rsidR="00135A26" w:rsidRPr="00D9566D">
        <w:rPr>
          <w:rFonts w:ascii="Arial" w:eastAsia="Times New Roman" w:hAnsi="Arial" w:cs="Arial"/>
          <w:bCs/>
        </w:rPr>
        <w:t xml:space="preserve"> </w:t>
      </w:r>
      <w:r w:rsidR="00504F4C" w:rsidRPr="00D9566D">
        <w:rPr>
          <w:rFonts w:ascii="Arial" w:eastAsia="Times New Roman" w:hAnsi="Arial" w:cs="Arial"/>
          <w:bCs/>
        </w:rPr>
        <w:t>is not</w:t>
      </w:r>
      <w:r w:rsidR="00135A26" w:rsidRPr="00D9566D">
        <w:rPr>
          <w:rFonts w:ascii="Arial" w:eastAsia="Times New Roman" w:hAnsi="Arial" w:cs="Arial"/>
          <w:bCs/>
        </w:rPr>
        <w:t xml:space="preserve"> strictly compliant </w:t>
      </w:r>
      <w:r w:rsidR="00413AF7" w:rsidRPr="00D9566D">
        <w:rPr>
          <w:rFonts w:ascii="Arial" w:eastAsia="Times New Roman" w:hAnsi="Arial" w:cs="Arial"/>
          <w:bCs/>
        </w:rPr>
        <w:t>with tender</w:t>
      </w:r>
      <w:r w:rsidR="00135A26" w:rsidRPr="00D9566D">
        <w:rPr>
          <w:rFonts w:ascii="Arial" w:eastAsia="Times New Roman" w:hAnsi="Arial" w:cs="Arial"/>
          <w:bCs/>
        </w:rPr>
        <w:t xml:space="preserve"> specifications</w:t>
      </w:r>
      <w:r w:rsidR="00413AF7" w:rsidRPr="00D9566D">
        <w:rPr>
          <w:rFonts w:ascii="Arial" w:eastAsia="Times New Roman" w:hAnsi="Arial" w:cs="Arial"/>
          <w:bCs/>
        </w:rPr>
        <w:t xml:space="preserve"> </w:t>
      </w:r>
      <w:r w:rsidR="00135A26" w:rsidRPr="00D9566D">
        <w:rPr>
          <w:rFonts w:ascii="Arial" w:eastAsia="Times New Roman" w:hAnsi="Arial" w:cs="Arial"/>
          <w:bCs/>
        </w:rPr>
        <w:t xml:space="preserve">to provide clarification or further details in respect thereof, or to explain </w:t>
      </w:r>
      <w:r w:rsidR="00BD5DC6" w:rsidRPr="00D9566D">
        <w:rPr>
          <w:rFonts w:ascii="Arial" w:eastAsia="Times New Roman" w:hAnsi="Arial" w:cs="Arial"/>
          <w:bCs/>
        </w:rPr>
        <w:t xml:space="preserve">an </w:t>
      </w:r>
      <w:r w:rsidR="00135A26" w:rsidRPr="00D9566D">
        <w:rPr>
          <w:rFonts w:ascii="Arial" w:eastAsia="Times New Roman" w:hAnsi="Arial" w:cs="Arial"/>
          <w:bCs/>
        </w:rPr>
        <w:t xml:space="preserve">ambiguity or correct an obvious mistake. He </w:t>
      </w:r>
      <w:r w:rsidR="00DD0485" w:rsidRPr="00D9566D">
        <w:rPr>
          <w:rFonts w:ascii="Arial" w:eastAsia="Times New Roman" w:hAnsi="Arial" w:cs="Arial"/>
          <w:bCs/>
        </w:rPr>
        <w:t>submitted</w:t>
      </w:r>
      <w:r w:rsidR="00135A26" w:rsidRPr="00D9566D">
        <w:rPr>
          <w:rFonts w:ascii="Arial" w:eastAsia="Times New Roman" w:hAnsi="Arial" w:cs="Arial"/>
          <w:bCs/>
        </w:rPr>
        <w:t xml:space="preserve"> that the BECs had such a</w:t>
      </w:r>
      <w:r w:rsidR="00BD5DC6" w:rsidRPr="00D9566D">
        <w:rPr>
          <w:rFonts w:ascii="Arial" w:eastAsia="Times New Roman" w:hAnsi="Arial" w:cs="Arial"/>
          <w:bCs/>
        </w:rPr>
        <w:t>n obligation</w:t>
      </w:r>
      <w:r w:rsidR="00135A26" w:rsidRPr="00D9566D">
        <w:rPr>
          <w:rFonts w:ascii="Arial" w:eastAsia="Times New Roman" w:hAnsi="Arial" w:cs="Arial"/>
          <w:bCs/>
        </w:rPr>
        <w:t xml:space="preserve"> in </w:t>
      </w:r>
      <w:r w:rsidR="005F57FA" w:rsidRPr="00D9566D">
        <w:rPr>
          <w:rFonts w:ascii="Arial" w:eastAsia="Times New Roman" w:hAnsi="Arial" w:cs="Arial"/>
          <w:bCs/>
        </w:rPr>
        <w:t>these</w:t>
      </w:r>
      <w:r w:rsidR="00135A26" w:rsidRPr="00D9566D">
        <w:rPr>
          <w:rFonts w:ascii="Arial" w:eastAsia="Times New Roman" w:hAnsi="Arial" w:cs="Arial"/>
          <w:bCs/>
        </w:rPr>
        <w:t xml:space="preserve"> matters</w:t>
      </w:r>
      <w:r w:rsidR="006043B9" w:rsidRPr="00D9566D">
        <w:rPr>
          <w:rFonts w:ascii="Arial" w:eastAsia="Times New Roman" w:hAnsi="Arial" w:cs="Arial"/>
          <w:bCs/>
        </w:rPr>
        <w:t>,</w:t>
      </w:r>
      <w:r w:rsidR="002565AD" w:rsidRPr="00D9566D">
        <w:rPr>
          <w:rFonts w:ascii="Arial" w:eastAsia="Times New Roman" w:hAnsi="Arial" w:cs="Arial"/>
          <w:bCs/>
        </w:rPr>
        <w:t xml:space="preserve"> which it had failed to </w:t>
      </w:r>
      <w:r w:rsidR="008C7158" w:rsidRPr="00D9566D">
        <w:rPr>
          <w:rFonts w:ascii="Arial" w:eastAsia="Times New Roman" w:hAnsi="Arial" w:cs="Arial"/>
          <w:bCs/>
        </w:rPr>
        <w:t>discharge</w:t>
      </w:r>
      <w:r w:rsidR="00135A26" w:rsidRPr="00D9566D">
        <w:rPr>
          <w:rFonts w:ascii="Arial" w:eastAsia="Times New Roman" w:hAnsi="Arial" w:cs="Arial"/>
          <w:bCs/>
        </w:rPr>
        <w:t>.</w:t>
      </w:r>
    </w:p>
    <w:p w14:paraId="736FD766" w14:textId="148F8338" w:rsidR="00135A26"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38.</w:t>
      </w:r>
      <w:r w:rsidRPr="00D9566D">
        <w:rPr>
          <w:rFonts w:ascii="Arial" w:hAnsi="Arial" w:cs="Arial"/>
        </w:rPr>
        <w:tab/>
      </w:r>
      <w:r w:rsidR="00135A26" w:rsidRPr="00D9566D">
        <w:rPr>
          <w:rFonts w:ascii="Arial" w:eastAsia="Times New Roman" w:hAnsi="Arial" w:cs="Arial"/>
          <w:bCs/>
        </w:rPr>
        <w:t>It is important to note that</w:t>
      </w:r>
      <w:r w:rsidR="00DD0485" w:rsidRPr="00D9566D">
        <w:rPr>
          <w:rFonts w:ascii="Arial" w:eastAsia="Times New Roman" w:hAnsi="Arial" w:cs="Arial"/>
          <w:bCs/>
        </w:rPr>
        <w:t xml:space="preserve"> </w:t>
      </w:r>
      <w:r w:rsidR="00135A26" w:rsidRPr="00D9566D">
        <w:rPr>
          <w:rFonts w:ascii="Arial" w:eastAsia="Times New Roman" w:hAnsi="Arial" w:cs="Arial"/>
          <w:bCs/>
        </w:rPr>
        <w:t xml:space="preserve">the SCA did not hold that this was a general </w:t>
      </w:r>
      <w:r w:rsidR="005F57FA" w:rsidRPr="00D9566D">
        <w:rPr>
          <w:rFonts w:ascii="Arial" w:eastAsia="Times New Roman" w:hAnsi="Arial" w:cs="Arial"/>
          <w:bCs/>
        </w:rPr>
        <w:t>requirement</w:t>
      </w:r>
      <w:r w:rsidR="00BD5DC6" w:rsidRPr="00D9566D">
        <w:rPr>
          <w:rFonts w:ascii="Arial" w:eastAsia="Times New Roman" w:hAnsi="Arial" w:cs="Arial"/>
          <w:bCs/>
        </w:rPr>
        <w:t xml:space="preserve"> </w:t>
      </w:r>
      <w:r w:rsidR="00135A26" w:rsidRPr="00D9566D">
        <w:rPr>
          <w:rFonts w:ascii="Arial" w:eastAsia="Times New Roman" w:hAnsi="Arial" w:cs="Arial"/>
          <w:bCs/>
        </w:rPr>
        <w:t xml:space="preserve">or principle </w:t>
      </w:r>
      <w:r w:rsidR="00CB4F60" w:rsidRPr="00D9566D">
        <w:rPr>
          <w:rFonts w:ascii="Arial" w:eastAsia="Times New Roman" w:hAnsi="Arial" w:cs="Arial"/>
          <w:bCs/>
        </w:rPr>
        <w:t xml:space="preserve">which finds application </w:t>
      </w:r>
      <w:r w:rsidR="00135A26" w:rsidRPr="00D9566D">
        <w:rPr>
          <w:rFonts w:ascii="Arial" w:eastAsia="Times New Roman" w:hAnsi="Arial" w:cs="Arial"/>
          <w:bCs/>
        </w:rPr>
        <w:t xml:space="preserve">in </w:t>
      </w:r>
      <w:r w:rsidR="005F57FA" w:rsidRPr="00D9566D">
        <w:rPr>
          <w:rFonts w:ascii="Arial" w:eastAsia="Times New Roman" w:hAnsi="Arial" w:cs="Arial"/>
          <w:bCs/>
        </w:rPr>
        <w:t>every</w:t>
      </w:r>
      <w:r w:rsidR="00135A26" w:rsidRPr="00D9566D">
        <w:rPr>
          <w:rFonts w:ascii="Arial" w:eastAsia="Times New Roman" w:hAnsi="Arial" w:cs="Arial"/>
          <w:bCs/>
        </w:rPr>
        <w:t xml:space="preserve"> </w:t>
      </w:r>
      <w:r w:rsidR="00BD5DC6" w:rsidRPr="00D9566D">
        <w:rPr>
          <w:rFonts w:ascii="Arial" w:eastAsia="Times New Roman" w:hAnsi="Arial" w:cs="Arial"/>
          <w:bCs/>
        </w:rPr>
        <w:t>matter</w:t>
      </w:r>
      <w:r w:rsidR="00135A26" w:rsidRPr="00D9566D">
        <w:rPr>
          <w:rFonts w:ascii="Arial" w:eastAsia="Times New Roman" w:hAnsi="Arial" w:cs="Arial"/>
          <w:bCs/>
        </w:rPr>
        <w:t xml:space="preserve"> in which a bidder’s submission is deficient. Whether such a</w:t>
      </w:r>
      <w:r w:rsidR="00BD5DC6" w:rsidRPr="00D9566D">
        <w:rPr>
          <w:rFonts w:ascii="Arial" w:eastAsia="Times New Roman" w:hAnsi="Arial" w:cs="Arial"/>
          <w:bCs/>
        </w:rPr>
        <w:t>n obligation</w:t>
      </w:r>
      <w:r w:rsidR="00135A26" w:rsidRPr="00D9566D">
        <w:rPr>
          <w:rFonts w:ascii="Arial" w:eastAsia="Times New Roman" w:hAnsi="Arial" w:cs="Arial"/>
          <w:bCs/>
        </w:rPr>
        <w:t xml:space="preserve"> exists in a particular matter </w:t>
      </w:r>
      <w:r w:rsidR="00BD5DC6" w:rsidRPr="00D9566D">
        <w:rPr>
          <w:rFonts w:ascii="Arial" w:eastAsia="Times New Roman" w:hAnsi="Arial" w:cs="Arial"/>
          <w:bCs/>
        </w:rPr>
        <w:t>depends on the</w:t>
      </w:r>
      <w:r w:rsidR="00135A26" w:rsidRPr="00D9566D">
        <w:rPr>
          <w:rFonts w:ascii="Arial" w:eastAsia="Times New Roman" w:hAnsi="Arial" w:cs="Arial"/>
          <w:bCs/>
        </w:rPr>
        <w:t xml:space="preserve"> </w:t>
      </w:r>
      <w:r w:rsidR="005F57FA" w:rsidRPr="00D9566D">
        <w:rPr>
          <w:rFonts w:ascii="Arial" w:eastAsia="Times New Roman" w:hAnsi="Arial" w:cs="Arial"/>
          <w:bCs/>
        </w:rPr>
        <w:t>c</w:t>
      </w:r>
      <w:r w:rsidR="00135A26" w:rsidRPr="00D9566D">
        <w:rPr>
          <w:rFonts w:ascii="Arial" w:eastAsia="Times New Roman" w:hAnsi="Arial" w:cs="Arial"/>
          <w:bCs/>
        </w:rPr>
        <w:t>ircumstances</w:t>
      </w:r>
      <w:r w:rsidR="00CB4F60" w:rsidRPr="00D9566D">
        <w:rPr>
          <w:rFonts w:ascii="Arial" w:eastAsia="Times New Roman" w:hAnsi="Arial" w:cs="Arial"/>
          <w:bCs/>
        </w:rPr>
        <w:t>:</w:t>
      </w:r>
      <w:r w:rsidR="00135A26" w:rsidRPr="00D9566D">
        <w:rPr>
          <w:rFonts w:ascii="Arial" w:eastAsia="Times New Roman" w:hAnsi="Arial" w:cs="Arial"/>
          <w:bCs/>
        </w:rPr>
        <w:t xml:space="preserve"> </w:t>
      </w:r>
      <w:r w:rsidR="00CB4F60" w:rsidRPr="00D9566D">
        <w:rPr>
          <w:rFonts w:ascii="Arial" w:eastAsia="Times New Roman" w:hAnsi="Arial" w:cs="Arial"/>
          <w:bCs/>
        </w:rPr>
        <w:t>w</w:t>
      </w:r>
      <w:r w:rsidR="00135A26" w:rsidRPr="00D9566D">
        <w:rPr>
          <w:rFonts w:ascii="Arial" w:eastAsia="Times New Roman" w:hAnsi="Arial" w:cs="Arial"/>
          <w:bCs/>
        </w:rPr>
        <w:t xml:space="preserve">hilst it may be </w:t>
      </w:r>
      <w:r w:rsidR="00BD5DC6" w:rsidRPr="00D9566D">
        <w:rPr>
          <w:rFonts w:ascii="Arial" w:eastAsia="Times New Roman" w:hAnsi="Arial" w:cs="Arial"/>
          <w:bCs/>
        </w:rPr>
        <w:t>necessary</w:t>
      </w:r>
      <w:r w:rsidR="00135A26" w:rsidRPr="00D9566D">
        <w:rPr>
          <w:rFonts w:ascii="Arial" w:eastAsia="Times New Roman" w:hAnsi="Arial" w:cs="Arial"/>
          <w:bCs/>
        </w:rPr>
        <w:t xml:space="preserve"> in certain instances for a</w:t>
      </w:r>
      <w:r w:rsidR="008C7158" w:rsidRPr="00D9566D">
        <w:rPr>
          <w:rFonts w:ascii="Arial" w:eastAsia="Times New Roman" w:hAnsi="Arial" w:cs="Arial"/>
          <w:bCs/>
        </w:rPr>
        <w:t xml:space="preserve"> tender authority </w:t>
      </w:r>
      <w:r w:rsidR="00135A26" w:rsidRPr="00D9566D">
        <w:rPr>
          <w:rFonts w:ascii="Arial" w:eastAsia="Times New Roman" w:hAnsi="Arial" w:cs="Arial"/>
          <w:bCs/>
        </w:rPr>
        <w:t>to query or approach a bidder in other instances it may not be so.</w:t>
      </w:r>
    </w:p>
    <w:p w14:paraId="32CB94EF" w14:textId="4AA525CD" w:rsidR="00135A26"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39.</w:t>
      </w:r>
      <w:r w:rsidRPr="00D9566D">
        <w:rPr>
          <w:rFonts w:ascii="Arial" w:hAnsi="Arial" w:cs="Arial"/>
        </w:rPr>
        <w:tab/>
      </w:r>
      <w:r w:rsidR="00A4209F" w:rsidRPr="00D9566D">
        <w:rPr>
          <w:rFonts w:ascii="Arial" w:eastAsia="Times New Roman" w:hAnsi="Arial" w:cs="Arial"/>
          <w:bCs/>
        </w:rPr>
        <w:t>A</w:t>
      </w:r>
      <w:r w:rsidR="00135A26" w:rsidRPr="00D9566D">
        <w:rPr>
          <w:rFonts w:ascii="Arial" w:eastAsia="Times New Roman" w:hAnsi="Arial" w:cs="Arial"/>
          <w:bCs/>
        </w:rPr>
        <w:t xml:space="preserve">pplicant’s counsel </w:t>
      </w:r>
      <w:r w:rsidR="00BD5DC6" w:rsidRPr="00D9566D">
        <w:rPr>
          <w:rFonts w:ascii="Arial" w:eastAsia="Times New Roman" w:hAnsi="Arial" w:cs="Arial"/>
          <w:bCs/>
        </w:rPr>
        <w:t xml:space="preserve">further </w:t>
      </w:r>
      <w:r w:rsidR="00135A26" w:rsidRPr="00D9566D">
        <w:rPr>
          <w:rFonts w:ascii="Arial" w:eastAsia="Times New Roman" w:hAnsi="Arial" w:cs="Arial"/>
          <w:bCs/>
        </w:rPr>
        <w:t>submitted that insofar as the respondent</w:t>
      </w:r>
      <w:r w:rsidR="00BD5DC6" w:rsidRPr="00D9566D">
        <w:rPr>
          <w:rFonts w:ascii="Arial" w:eastAsia="Times New Roman" w:hAnsi="Arial" w:cs="Arial"/>
          <w:bCs/>
        </w:rPr>
        <w:t>s</w:t>
      </w:r>
      <w:r w:rsidR="00135A26" w:rsidRPr="00D9566D">
        <w:rPr>
          <w:rFonts w:ascii="Arial" w:eastAsia="Times New Roman" w:hAnsi="Arial" w:cs="Arial"/>
          <w:bCs/>
        </w:rPr>
        <w:t xml:space="preserve"> sought to cont</w:t>
      </w:r>
      <w:r w:rsidR="00A4209F" w:rsidRPr="00D9566D">
        <w:rPr>
          <w:rFonts w:ascii="Arial" w:eastAsia="Times New Roman" w:hAnsi="Arial" w:cs="Arial"/>
          <w:bCs/>
        </w:rPr>
        <w:t>end</w:t>
      </w:r>
      <w:r w:rsidR="00135A26" w:rsidRPr="00D9566D">
        <w:rPr>
          <w:rFonts w:ascii="Arial" w:eastAsia="Times New Roman" w:hAnsi="Arial" w:cs="Arial"/>
          <w:bCs/>
        </w:rPr>
        <w:t xml:space="preserve"> that</w:t>
      </w:r>
      <w:r w:rsidR="00A4209F" w:rsidRPr="00D9566D">
        <w:rPr>
          <w:rFonts w:ascii="Arial" w:eastAsia="Times New Roman" w:hAnsi="Arial" w:cs="Arial"/>
          <w:bCs/>
        </w:rPr>
        <w:t>, in terms of the PPFA</w:t>
      </w:r>
      <w:r w:rsidR="00A4209F" w:rsidRPr="00D9566D">
        <w:rPr>
          <w:rStyle w:val="FootnoteReference"/>
          <w:rFonts w:ascii="Arial" w:eastAsia="Times New Roman" w:hAnsi="Arial" w:cs="Arial"/>
          <w:bCs/>
        </w:rPr>
        <w:footnoteReference w:id="14"/>
      </w:r>
      <w:r w:rsidR="00135A26" w:rsidRPr="00D9566D">
        <w:rPr>
          <w:rFonts w:ascii="Arial" w:eastAsia="Times New Roman" w:hAnsi="Arial" w:cs="Arial"/>
          <w:bCs/>
        </w:rPr>
        <w:t xml:space="preserve"> an acceptable bid </w:t>
      </w:r>
      <w:r w:rsidR="00BD5DC6" w:rsidRPr="00D9566D">
        <w:rPr>
          <w:rFonts w:ascii="Arial" w:eastAsia="Times New Roman" w:hAnsi="Arial" w:cs="Arial"/>
          <w:bCs/>
        </w:rPr>
        <w:t>was</w:t>
      </w:r>
      <w:r w:rsidR="00135A26" w:rsidRPr="00D9566D">
        <w:rPr>
          <w:rFonts w:ascii="Arial" w:eastAsia="Times New Roman" w:hAnsi="Arial" w:cs="Arial"/>
          <w:bCs/>
        </w:rPr>
        <w:t xml:space="preserve"> one which</w:t>
      </w:r>
      <w:r w:rsidR="00A4209F" w:rsidRPr="00D9566D">
        <w:rPr>
          <w:rFonts w:ascii="Arial" w:eastAsia="Times New Roman" w:hAnsi="Arial" w:cs="Arial"/>
          <w:bCs/>
        </w:rPr>
        <w:t xml:space="preserve"> complie</w:t>
      </w:r>
      <w:r w:rsidR="00BD5DC6" w:rsidRPr="00D9566D">
        <w:rPr>
          <w:rFonts w:ascii="Arial" w:eastAsia="Times New Roman" w:hAnsi="Arial" w:cs="Arial"/>
          <w:bCs/>
        </w:rPr>
        <w:t>d</w:t>
      </w:r>
      <w:r w:rsidR="00135A26" w:rsidRPr="00D9566D">
        <w:rPr>
          <w:rFonts w:ascii="Arial" w:eastAsia="Times New Roman" w:hAnsi="Arial" w:cs="Arial"/>
          <w:bCs/>
        </w:rPr>
        <w:t xml:space="preserve"> </w:t>
      </w:r>
      <w:r w:rsidR="00A4209F" w:rsidRPr="00D9566D">
        <w:rPr>
          <w:rFonts w:ascii="Arial" w:eastAsia="Times New Roman" w:hAnsi="Arial" w:cs="Arial"/>
          <w:bCs/>
        </w:rPr>
        <w:t>‘</w:t>
      </w:r>
      <w:r w:rsidR="00135A26" w:rsidRPr="00D9566D">
        <w:rPr>
          <w:rFonts w:ascii="Arial" w:eastAsia="Times New Roman" w:hAnsi="Arial" w:cs="Arial"/>
          <w:bCs/>
        </w:rPr>
        <w:t>in all respects</w:t>
      </w:r>
      <w:r w:rsidR="00A4209F" w:rsidRPr="00D9566D">
        <w:rPr>
          <w:rFonts w:ascii="Arial" w:eastAsia="Times New Roman" w:hAnsi="Arial" w:cs="Arial"/>
          <w:bCs/>
        </w:rPr>
        <w:t>’</w:t>
      </w:r>
      <w:r w:rsidR="00135A26" w:rsidRPr="00D9566D">
        <w:rPr>
          <w:rFonts w:ascii="Arial" w:eastAsia="Times New Roman" w:hAnsi="Arial" w:cs="Arial"/>
          <w:bCs/>
        </w:rPr>
        <w:t xml:space="preserve"> with the specifications and conditions of </w:t>
      </w:r>
      <w:r w:rsidR="00A4209F" w:rsidRPr="00D9566D">
        <w:rPr>
          <w:rFonts w:ascii="Arial" w:eastAsia="Times New Roman" w:hAnsi="Arial" w:cs="Arial"/>
          <w:bCs/>
        </w:rPr>
        <w:t>an</w:t>
      </w:r>
      <w:r w:rsidR="00135A26" w:rsidRPr="00D9566D">
        <w:rPr>
          <w:rFonts w:ascii="Arial" w:eastAsia="Times New Roman" w:hAnsi="Arial" w:cs="Arial"/>
          <w:bCs/>
        </w:rPr>
        <w:t xml:space="preserve"> invitation to tender, in </w:t>
      </w:r>
      <w:bookmarkStart w:id="0" w:name="_Hlk167268013"/>
      <w:r w:rsidR="00BD5DC6" w:rsidRPr="00D9566D">
        <w:rPr>
          <w:rFonts w:ascii="Arial" w:eastAsia="Times New Roman" w:hAnsi="Arial" w:cs="Arial"/>
          <w:bCs/>
          <w:i/>
          <w:iCs/>
        </w:rPr>
        <w:t>M</w:t>
      </w:r>
      <w:r w:rsidR="00135A26" w:rsidRPr="00D9566D">
        <w:rPr>
          <w:rFonts w:ascii="Arial" w:eastAsia="Times New Roman" w:hAnsi="Arial" w:cs="Arial"/>
          <w:bCs/>
          <w:i/>
          <w:iCs/>
        </w:rPr>
        <w:t xml:space="preserve">illennium </w:t>
      </w:r>
      <w:r w:rsidR="00BD5DC6" w:rsidRPr="00D9566D">
        <w:rPr>
          <w:rFonts w:ascii="Arial" w:eastAsia="Times New Roman" w:hAnsi="Arial" w:cs="Arial"/>
          <w:bCs/>
          <w:i/>
          <w:iCs/>
        </w:rPr>
        <w:t>W</w:t>
      </w:r>
      <w:r w:rsidR="00135A26" w:rsidRPr="00D9566D">
        <w:rPr>
          <w:rFonts w:ascii="Arial" w:eastAsia="Times New Roman" w:hAnsi="Arial" w:cs="Arial"/>
          <w:bCs/>
          <w:i/>
          <w:iCs/>
        </w:rPr>
        <w:t>aste</w:t>
      </w:r>
      <w:r w:rsidR="00135A26" w:rsidRPr="00D9566D">
        <w:rPr>
          <w:rFonts w:ascii="Arial" w:eastAsia="Times New Roman" w:hAnsi="Arial" w:cs="Arial"/>
          <w:bCs/>
        </w:rPr>
        <w:t xml:space="preserve"> </w:t>
      </w:r>
      <w:bookmarkEnd w:id="0"/>
      <w:r w:rsidR="00AB39D5" w:rsidRPr="00D9566D">
        <w:rPr>
          <w:rStyle w:val="FootnoteReference"/>
          <w:rFonts w:ascii="Arial" w:eastAsia="Times New Roman" w:hAnsi="Arial" w:cs="Arial"/>
          <w:bCs/>
        </w:rPr>
        <w:footnoteReference w:id="15"/>
      </w:r>
      <w:r w:rsidR="00070841" w:rsidRPr="00D9566D">
        <w:rPr>
          <w:rFonts w:ascii="Arial" w:eastAsia="Times New Roman" w:hAnsi="Arial" w:cs="Arial"/>
          <w:bCs/>
        </w:rPr>
        <w:t xml:space="preserve"> </w:t>
      </w:r>
      <w:r w:rsidR="00BD5DC6" w:rsidRPr="00D9566D">
        <w:rPr>
          <w:rFonts w:ascii="Arial" w:eastAsia="Times New Roman" w:hAnsi="Arial" w:cs="Arial"/>
          <w:bCs/>
        </w:rPr>
        <w:t>the SCA</w:t>
      </w:r>
      <w:r w:rsidR="006043B9" w:rsidRPr="00D9566D">
        <w:rPr>
          <w:rFonts w:ascii="Arial" w:eastAsia="Times New Roman" w:hAnsi="Arial" w:cs="Arial"/>
          <w:bCs/>
        </w:rPr>
        <w:t xml:space="preserve"> </w:t>
      </w:r>
      <w:r w:rsidR="008C7158" w:rsidRPr="00D9566D">
        <w:rPr>
          <w:rFonts w:ascii="Arial" w:eastAsia="Times New Roman" w:hAnsi="Arial" w:cs="Arial"/>
          <w:bCs/>
        </w:rPr>
        <w:t>confirmed</w:t>
      </w:r>
      <w:r w:rsidR="00BD5DC6" w:rsidRPr="00D9566D">
        <w:rPr>
          <w:rFonts w:ascii="Arial" w:eastAsia="Times New Roman" w:hAnsi="Arial" w:cs="Arial"/>
          <w:bCs/>
        </w:rPr>
        <w:t xml:space="preserve"> </w:t>
      </w:r>
      <w:r w:rsidR="008C7158" w:rsidRPr="00D9566D">
        <w:rPr>
          <w:rFonts w:ascii="Arial" w:eastAsia="Times New Roman" w:hAnsi="Arial" w:cs="Arial"/>
          <w:bCs/>
        </w:rPr>
        <w:t xml:space="preserve">(with reference to its earlier decision in </w:t>
      </w:r>
      <w:r w:rsidR="008C7158" w:rsidRPr="00D9566D">
        <w:rPr>
          <w:rFonts w:ascii="Arial" w:eastAsia="Times New Roman" w:hAnsi="Arial" w:cs="Arial"/>
          <w:bCs/>
          <w:i/>
          <w:iCs/>
        </w:rPr>
        <w:t>JFE Sapela</w:t>
      </w:r>
      <w:r w:rsidR="008C7158" w:rsidRPr="00D9566D">
        <w:rPr>
          <w:rFonts w:ascii="Arial" w:eastAsia="Times New Roman" w:hAnsi="Arial" w:cs="Arial"/>
          <w:bCs/>
        </w:rPr>
        <w:t>)</w:t>
      </w:r>
      <w:r w:rsidR="008C7158" w:rsidRPr="00D9566D">
        <w:rPr>
          <w:rStyle w:val="FootnoteReference"/>
          <w:rFonts w:ascii="Arial" w:eastAsia="Times New Roman" w:hAnsi="Arial" w:cs="Arial"/>
          <w:bCs/>
        </w:rPr>
        <w:footnoteReference w:id="16"/>
      </w:r>
      <w:r w:rsidR="008C7158" w:rsidRPr="00D9566D">
        <w:rPr>
          <w:rFonts w:ascii="Arial" w:eastAsia="Times New Roman" w:hAnsi="Arial" w:cs="Arial"/>
          <w:bCs/>
        </w:rPr>
        <w:t xml:space="preserve"> </w:t>
      </w:r>
      <w:r w:rsidR="00135A26" w:rsidRPr="00D9566D">
        <w:rPr>
          <w:rFonts w:ascii="Arial" w:eastAsia="Times New Roman" w:hAnsi="Arial" w:cs="Arial"/>
          <w:bCs/>
        </w:rPr>
        <w:t xml:space="preserve">that </w:t>
      </w:r>
      <w:r w:rsidR="005F57FA" w:rsidRPr="00D9566D">
        <w:rPr>
          <w:rFonts w:ascii="Arial" w:eastAsia="Times New Roman" w:hAnsi="Arial" w:cs="Arial"/>
          <w:bCs/>
        </w:rPr>
        <w:t xml:space="preserve">the phrase was not to be </w:t>
      </w:r>
      <w:r w:rsidR="00282495" w:rsidRPr="00D9566D">
        <w:rPr>
          <w:rFonts w:ascii="Arial" w:eastAsia="Times New Roman" w:hAnsi="Arial" w:cs="Arial"/>
          <w:bCs/>
        </w:rPr>
        <w:t>applied</w:t>
      </w:r>
      <w:r w:rsidR="005F57FA" w:rsidRPr="00D9566D">
        <w:rPr>
          <w:rFonts w:ascii="Arial" w:eastAsia="Times New Roman" w:hAnsi="Arial" w:cs="Arial"/>
          <w:bCs/>
        </w:rPr>
        <w:t xml:space="preserve"> in a literal sense and </w:t>
      </w:r>
      <w:r w:rsidR="00135A26" w:rsidRPr="00D9566D">
        <w:rPr>
          <w:rFonts w:ascii="Arial" w:eastAsia="Times New Roman" w:hAnsi="Arial" w:cs="Arial"/>
          <w:bCs/>
        </w:rPr>
        <w:t xml:space="preserve">was to be construed against the background of the </w:t>
      </w:r>
      <w:r w:rsidR="00EB13BC" w:rsidRPr="00D9566D">
        <w:rPr>
          <w:rFonts w:ascii="Arial" w:eastAsia="Times New Roman" w:hAnsi="Arial" w:cs="Arial"/>
          <w:bCs/>
        </w:rPr>
        <w:t xml:space="preserve">procurement </w:t>
      </w:r>
      <w:r w:rsidR="00135A26" w:rsidRPr="00D9566D">
        <w:rPr>
          <w:rFonts w:ascii="Arial" w:eastAsia="Times New Roman" w:hAnsi="Arial" w:cs="Arial"/>
          <w:bCs/>
        </w:rPr>
        <w:t xml:space="preserve">system envisaged by the constitutional imperatives </w:t>
      </w:r>
      <w:r w:rsidR="005F57FA" w:rsidRPr="00D9566D">
        <w:rPr>
          <w:rFonts w:ascii="Arial" w:eastAsia="Times New Roman" w:hAnsi="Arial" w:cs="Arial"/>
          <w:bCs/>
        </w:rPr>
        <w:t>in</w:t>
      </w:r>
      <w:r w:rsidR="00135A26" w:rsidRPr="00D9566D">
        <w:rPr>
          <w:rFonts w:ascii="Arial" w:eastAsia="Times New Roman" w:hAnsi="Arial" w:cs="Arial"/>
          <w:bCs/>
        </w:rPr>
        <w:t xml:space="preserve"> s 217.</w:t>
      </w:r>
      <w:r w:rsidR="002565AD" w:rsidRPr="00D9566D">
        <w:rPr>
          <w:rStyle w:val="FootnoteReference"/>
          <w:rFonts w:ascii="Arial" w:eastAsia="Times New Roman" w:hAnsi="Arial" w:cs="Arial"/>
          <w:bCs/>
        </w:rPr>
        <w:footnoteReference w:id="17"/>
      </w:r>
      <w:r w:rsidR="00135A26" w:rsidRPr="00D9566D">
        <w:rPr>
          <w:rFonts w:ascii="Arial" w:eastAsia="Times New Roman" w:hAnsi="Arial" w:cs="Arial"/>
          <w:bCs/>
        </w:rPr>
        <w:t xml:space="preserve"> Thus, </w:t>
      </w:r>
      <w:r w:rsidR="006043B9" w:rsidRPr="00D9566D">
        <w:rPr>
          <w:rFonts w:ascii="Arial" w:eastAsia="Times New Roman" w:hAnsi="Arial" w:cs="Arial"/>
          <w:bCs/>
        </w:rPr>
        <w:t>the SCA</w:t>
      </w:r>
      <w:r w:rsidR="00282495" w:rsidRPr="00D9566D">
        <w:rPr>
          <w:rFonts w:ascii="Arial" w:eastAsia="Times New Roman" w:hAnsi="Arial" w:cs="Arial"/>
          <w:bCs/>
        </w:rPr>
        <w:t xml:space="preserve"> h</w:t>
      </w:r>
      <w:r w:rsidR="00135A26" w:rsidRPr="00D9566D">
        <w:rPr>
          <w:rFonts w:ascii="Arial" w:eastAsia="Times New Roman" w:hAnsi="Arial" w:cs="Arial"/>
          <w:bCs/>
        </w:rPr>
        <w:t xml:space="preserve">eld this did not mean that a bidder had to comply with </w:t>
      </w:r>
      <w:r w:rsidR="00736BB4" w:rsidRPr="00D9566D">
        <w:rPr>
          <w:rFonts w:ascii="Arial" w:eastAsia="Times New Roman" w:hAnsi="Arial" w:cs="Arial"/>
          <w:bCs/>
        </w:rPr>
        <w:t>every</w:t>
      </w:r>
      <w:r w:rsidR="00282495" w:rsidRPr="00D9566D">
        <w:rPr>
          <w:rFonts w:ascii="Arial" w:eastAsia="Times New Roman" w:hAnsi="Arial" w:cs="Arial"/>
          <w:bCs/>
        </w:rPr>
        <w:t xml:space="preserve"> con</w:t>
      </w:r>
      <w:r w:rsidR="00135A26" w:rsidRPr="00D9566D">
        <w:rPr>
          <w:rFonts w:ascii="Arial" w:eastAsia="Times New Roman" w:hAnsi="Arial" w:cs="Arial"/>
          <w:bCs/>
        </w:rPr>
        <w:t xml:space="preserve">dition or specification of </w:t>
      </w:r>
      <w:r w:rsidR="00282495" w:rsidRPr="00D9566D">
        <w:rPr>
          <w:rFonts w:ascii="Arial" w:eastAsia="Times New Roman" w:hAnsi="Arial" w:cs="Arial"/>
          <w:bCs/>
        </w:rPr>
        <w:t>a</w:t>
      </w:r>
      <w:r w:rsidR="00135A26" w:rsidRPr="00D9566D">
        <w:rPr>
          <w:rFonts w:ascii="Arial" w:eastAsia="Times New Roman" w:hAnsi="Arial" w:cs="Arial"/>
          <w:bCs/>
        </w:rPr>
        <w:t xml:space="preserve"> tender </w:t>
      </w:r>
      <w:r w:rsidR="005F57FA" w:rsidRPr="00D9566D">
        <w:rPr>
          <w:rFonts w:ascii="Arial" w:eastAsia="Times New Roman" w:hAnsi="Arial" w:cs="Arial"/>
          <w:bCs/>
        </w:rPr>
        <w:t xml:space="preserve">invitation </w:t>
      </w:r>
      <w:r w:rsidR="00282495" w:rsidRPr="00D9566D">
        <w:rPr>
          <w:rFonts w:ascii="Arial" w:eastAsia="Times New Roman" w:hAnsi="Arial" w:cs="Arial"/>
          <w:bCs/>
        </w:rPr>
        <w:t xml:space="preserve">and was not compelled to do so in relation to conditions or specifications </w:t>
      </w:r>
      <w:r w:rsidR="00135A26" w:rsidRPr="00D9566D">
        <w:rPr>
          <w:rFonts w:ascii="Arial" w:eastAsia="Times New Roman" w:hAnsi="Arial" w:cs="Arial"/>
          <w:bCs/>
        </w:rPr>
        <w:t xml:space="preserve">which were immaterial, </w:t>
      </w:r>
      <w:r w:rsidR="00736BB4" w:rsidRPr="00D9566D">
        <w:rPr>
          <w:rFonts w:ascii="Arial" w:eastAsia="Times New Roman" w:hAnsi="Arial" w:cs="Arial"/>
          <w:bCs/>
        </w:rPr>
        <w:t>unreasonable,</w:t>
      </w:r>
      <w:r w:rsidR="00135A26" w:rsidRPr="00D9566D">
        <w:rPr>
          <w:rFonts w:ascii="Arial" w:eastAsia="Times New Roman" w:hAnsi="Arial" w:cs="Arial"/>
          <w:bCs/>
        </w:rPr>
        <w:t xml:space="preserve"> or unconstitutional</w:t>
      </w:r>
      <w:r w:rsidR="00736BB4" w:rsidRPr="00D9566D">
        <w:rPr>
          <w:rFonts w:ascii="Arial" w:eastAsia="Times New Roman" w:hAnsi="Arial" w:cs="Arial"/>
          <w:bCs/>
        </w:rPr>
        <w:t>.</w:t>
      </w:r>
      <w:r w:rsidR="008C7158" w:rsidRPr="00D9566D">
        <w:rPr>
          <w:rStyle w:val="FootnoteReference"/>
          <w:rFonts w:ascii="Arial" w:eastAsia="Times New Roman" w:hAnsi="Arial" w:cs="Arial"/>
          <w:bCs/>
        </w:rPr>
        <w:footnoteReference w:id="18"/>
      </w:r>
      <w:r w:rsidR="00135A26" w:rsidRPr="00D9566D">
        <w:rPr>
          <w:rFonts w:ascii="Arial" w:eastAsia="Times New Roman" w:hAnsi="Arial" w:cs="Arial"/>
          <w:bCs/>
        </w:rPr>
        <w:t xml:space="preserve"> </w:t>
      </w:r>
      <w:r w:rsidR="00736BB4" w:rsidRPr="00D9566D">
        <w:rPr>
          <w:rFonts w:ascii="Arial" w:eastAsia="Times New Roman" w:hAnsi="Arial" w:cs="Arial"/>
          <w:bCs/>
        </w:rPr>
        <w:t>I</w:t>
      </w:r>
      <w:r w:rsidR="00135A26" w:rsidRPr="00D9566D">
        <w:rPr>
          <w:rFonts w:ascii="Arial" w:eastAsia="Times New Roman" w:hAnsi="Arial" w:cs="Arial"/>
          <w:bCs/>
        </w:rPr>
        <w:t>n de</w:t>
      </w:r>
      <w:r w:rsidR="00736BB4" w:rsidRPr="00D9566D">
        <w:rPr>
          <w:rFonts w:ascii="Arial" w:eastAsia="Times New Roman" w:hAnsi="Arial" w:cs="Arial"/>
          <w:bCs/>
        </w:rPr>
        <w:t>termining whether</w:t>
      </w:r>
      <w:r w:rsidR="00135A26" w:rsidRPr="00D9566D">
        <w:rPr>
          <w:rFonts w:ascii="Arial" w:eastAsia="Times New Roman" w:hAnsi="Arial" w:cs="Arial"/>
          <w:bCs/>
        </w:rPr>
        <w:t xml:space="preserve"> a bidder</w:t>
      </w:r>
      <w:r w:rsidR="005F57FA" w:rsidRPr="00D9566D">
        <w:rPr>
          <w:rFonts w:ascii="Arial" w:eastAsia="Times New Roman" w:hAnsi="Arial" w:cs="Arial"/>
          <w:bCs/>
        </w:rPr>
        <w:t>’</w:t>
      </w:r>
      <w:r w:rsidR="00135A26" w:rsidRPr="00D9566D">
        <w:rPr>
          <w:rFonts w:ascii="Arial" w:eastAsia="Times New Roman" w:hAnsi="Arial" w:cs="Arial"/>
          <w:bCs/>
        </w:rPr>
        <w:t xml:space="preserve">s non-compliance </w:t>
      </w:r>
      <w:r w:rsidR="005F57FA" w:rsidRPr="00D9566D">
        <w:rPr>
          <w:rFonts w:ascii="Arial" w:eastAsia="Times New Roman" w:hAnsi="Arial" w:cs="Arial"/>
          <w:bCs/>
        </w:rPr>
        <w:t xml:space="preserve">made its </w:t>
      </w:r>
      <w:r w:rsidR="00135A26" w:rsidRPr="00D9566D">
        <w:rPr>
          <w:rFonts w:ascii="Arial" w:eastAsia="Times New Roman" w:hAnsi="Arial" w:cs="Arial"/>
          <w:bCs/>
        </w:rPr>
        <w:t xml:space="preserve">bid </w:t>
      </w:r>
      <w:r w:rsidR="005F57FA" w:rsidRPr="00D9566D">
        <w:rPr>
          <w:rFonts w:ascii="Arial" w:eastAsia="Times New Roman" w:hAnsi="Arial" w:cs="Arial"/>
          <w:bCs/>
        </w:rPr>
        <w:t>‘</w:t>
      </w:r>
      <w:r w:rsidR="00135A26" w:rsidRPr="00D9566D">
        <w:rPr>
          <w:rFonts w:ascii="Arial" w:eastAsia="Times New Roman" w:hAnsi="Arial" w:cs="Arial"/>
          <w:bCs/>
        </w:rPr>
        <w:t>unacceptable</w:t>
      </w:r>
      <w:r w:rsidR="005F57FA" w:rsidRPr="00D9566D">
        <w:rPr>
          <w:rFonts w:ascii="Arial" w:eastAsia="Times New Roman" w:hAnsi="Arial" w:cs="Arial"/>
          <w:bCs/>
        </w:rPr>
        <w:t>’</w:t>
      </w:r>
      <w:r w:rsidR="00135A26" w:rsidRPr="00D9566D">
        <w:rPr>
          <w:rFonts w:ascii="Arial" w:eastAsia="Times New Roman" w:hAnsi="Arial" w:cs="Arial"/>
          <w:bCs/>
        </w:rPr>
        <w:t xml:space="preserve"> </w:t>
      </w:r>
      <w:r w:rsidR="00135A26" w:rsidRPr="00D9566D">
        <w:rPr>
          <w:rFonts w:ascii="Arial" w:eastAsia="Times New Roman" w:hAnsi="Arial" w:cs="Arial"/>
          <w:bCs/>
        </w:rPr>
        <w:lastRenderedPageBreak/>
        <w:t xml:space="preserve">regard </w:t>
      </w:r>
      <w:r w:rsidR="005F57FA" w:rsidRPr="00D9566D">
        <w:rPr>
          <w:rFonts w:ascii="Arial" w:eastAsia="Times New Roman" w:hAnsi="Arial" w:cs="Arial"/>
          <w:bCs/>
        </w:rPr>
        <w:t>was to</w:t>
      </w:r>
      <w:r w:rsidR="00135A26" w:rsidRPr="00D9566D">
        <w:rPr>
          <w:rFonts w:ascii="Arial" w:eastAsia="Times New Roman" w:hAnsi="Arial" w:cs="Arial"/>
          <w:bCs/>
        </w:rPr>
        <w:t xml:space="preserve"> </w:t>
      </w:r>
      <w:r w:rsidR="005F57FA" w:rsidRPr="00D9566D">
        <w:rPr>
          <w:rFonts w:ascii="Arial" w:eastAsia="Times New Roman" w:hAnsi="Arial" w:cs="Arial"/>
          <w:bCs/>
        </w:rPr>
        <w:t xml:space="preserve">be </w:t>
      </w:r>
      <w:r w:rsidR="00135A26" w:rsidRPr="00D9566D">
        <w:rPr>
          <w:rFonts w:ascii="Arial" w:eastAsia="Times New Roman" w:hAnsi="Arial" w:cs="Arial"/>
          <w:bCs/>
        </w:rPr>
        <w:t xml:space="preserve">had </w:t>
      </w:r>
      <w:r w:rsidR="006463D9" w:rsidRPr="00D9566D">
        <w:rPr>
          <w:rFonts w:ascii="Arial" w:eastAsia="Times New Roman" w:hAnsi="Arial" w:cs="Arial"/>
          <w:bCs/>
        </w:rPr>
        <w:t>to</w:t>
      </w:r>
      <w:r w:rsidR="00135A26" w:rsidRPr="00D9566D">
        <w:rPr>
          <w:rFonts w:ascii="Arial" w:eastAsia="Times New Roman" w:hAnsi="Arial" w:cs="Arial"/>
          <w:bCs/>
        </w:rPr>
        <w:t xml:space="preserve"> the purpose of the condition or specification with which the</w:t>
      </w:r>
      <w:r w:rsidR="005F57FA" w:rsidRPr="00D9566D">
        <w:rPr>
          <w:rFonts w:ascii="Arial" w:eastAsia="Times New Roman" w:hAnsi="Arial" w:cs="Arial"/>
          <w:bCs/>
        </w:rPr>
        <w:t xml:space="preserve">re </w:t>
      </w:r>
      <w:r w:rsidR="00135A26" w:rsidRPr="00D9566D">
        <w:rPr>
          <w:rFonts w:ascii="Arial" w:eastAsia="Times New Roman" w:hAnsi="Arial" w:cs="Arial"/>
          <w:bCs/>
        </w:rPr>
        <w:t>had not been exact compliance</w:t>
      </w:r>
      <w:r w:rsidR="005F57FA" w:rsidRPr="00D9566D">
        <w:rPr>
          <w:rFonts w:ascii="Arial" w:eastAsia="Times New Roman" w:hAnsi="Arial" w:cs="Arial"/>
          <w:bCs/>
        </w:rPr>
        <w:t>;</w:t>
      </w:r>
      <w:r w:rsidR="00135A26" w:rsidRPr="00D9566D">
        <w:rPr>
          <w:rFonts w:ascii="Arial" w:eastAsia="Times New Roman" w:hAnsi="Arial" w:cs="Arial"/>
          <w:bCs/>
        </w:rPr>
        <w:t xml:space="preserve"> and </w:t>
      </w:r>
      <w:r w:rsidR="00AB39D5" w:rsidRPr="00D9566D">
        <w:rPr>
          <w:rFonts w:ascii="Arial" w:eastAsia="Times New Roman" w:hAnsi="Arial" w:cs="Arial"/>
          <w:bCs/>
        </w:rPr>
        <w:t>the</w:t>
      </w:r>
      <w:r w:rsidR="00135A26" w:rsidRPr="00D9566D">
        <w:rPr>
          <w:rFonts w:ascii="Arial" w:eastAsia="Times New Roman" w:hAnsi="Arial" w:cs="Arial"/>
          <w:bCs/>
        </w:rPr>
        <w:t xml:space="preserve"> condition or specification w</w:t>
      </w:r>
      <w:r w:rsidR="00AB39D5" w:rsidRPr="00D9566D">
        <w:rPr>
          <w:rFonts w:ascii="Arial" w:eastAsia="Times New Roman" w:hAnsi="Arial" w:cs="Arial"/>
          <w:bCs/>
        </w:rPr>
        <w:t>as</w:t>
      </w:r>
      <w:r w:rsidR="00135A26" w:rsidRPr="00D9566D">
        <w:rPr>
          <w:rFonts w:ascii="Arial" w:eastAsia="Times New Roman" w:hAnsi="Arial" w:cs="Arial"/>
          <w:bCs/>
        </w:rPr>
        <w:t xml:space="preserve"> not to be applied mechanically to disqualify a bidder.</w:t>
      </w:r>
      <w:r w:rsidR="008C7158" w:rsidRPr="00D9566D">
        <w:rPr>
          <w:rStyle w:val="FootnoteReference"/>
          <w:rFonts w:ascii="Arial" w:eastAsia="Times New Roman" w:hAnsi="Arial" w:cs="Arial"/>
          <w:bCs/>
        </w:rPr>
        <w:footnoteReference w:id="19"/>
      </w:r>
    </w:p>
    <w:p w14:paraId="58EE35CF" w14:textId="0A539F55" w:rsidR="00AB39D5"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40.</w:t>
      </w:r>
      <w:r w:rsidRPr="00D9566D">
        <w:rPr>
          <w:rFonts w:ascii="Arial" w:hAnsi="Arial" w:cs="Arial"/>
        </w:rPr>
        <w:tab/>
      </w:r>
      <w:r w:rsidR="00135A26" w:rsidRPr="00D9566D">
        <w:rPr>
          <w:rFonts w:ascii="Arial" w:eastAsia="Times New Roman" w:hAnsi="Arial" w:cs="Arial"/>
          <w:bCs/>
        </w:rPr>
        <w:t xml:space="preserve">In </w:t>
      </w:r>
      <w:r w:rsidR="006043B9" w:rsidRPr="00D9566D">
        <w:rPr>
          <w:rFonts w:ascii="Arial" w:eastAsia="Times New Roman" w:hAnsi="Arial" w:cs="Arial"/>
          <w:bCs/>
          <w:i/>
          <w:iCs/>
        </w:rPr>
        <w:t>Millennium Waste</w:t>
      </w:r>
      <w:r w:rsidR="006043B9" w:rsidRPr="00D9566D">
        <w:rPr>
          <w:rFonts w:ascii="Arial" w:eastAsia="Times New Roman" w:hAnsi="Arial" w:cs="Arial"/>
          <w:bCs/>
        </w:rPr>
        <w:t xml:space="preserve"> </w:t>
      </w:r>
      <w:r w:rsidR="00135A26" w:rsidRPr="00D9566D">
        <w:rPr>
          <w:rFonts w:ascii="Arial" w:eastAsia="Times New Roman" w:hAnsi="Arial" w:cs="Arial"/>
          <w:bCs/>
        </w:rPr>
        <w:t>the bidder had submitted a declaration of interest (</w:t>
      </w:r>
      <w:r w:rsidR="00AB39D5" w:rsidRPr="00D9566D">
        <w:rPr>
          <w:rFonts w:ascii="Arial" w:eastAsia="Times New Roman" w:hAnsi="Arial" w:cs="Arial"/>
          <w:bCs/>
        </w:rPr>
        <w:t>or</w:t>
      </w:r>
      <w:r w:rsidR="00135A26" w:rsidRPr="00D9566D">
        <w:rPr>
          <w:rFonts w:ascii="Arial" w:eastAsia="Times New Roman" w:hAnsi="Arial" w:cs="Arial"/>
          <w:bCs/>
        </w:rPr>
        <w:t xml:space="preserve"> non-interest as it should pro</w:t>
      </w:r>
      <w:r w:rsidR="00AB39D5" w:rsidRPr="00D9566D">
        <w:rPr>
          <w:rFonts w:ascii="Arial" w:eastAsia="Times New Roman" w:hAnsi="Arial" w:cs="Arial"/>
          <w:bCs/>
        </w:rPr>
        <w:t>bably</w:t>
      </w:r>
      <w:r w:rsidR="00135A26" w:rsidRPr="00D9566D">
        <w:rPr>
          <w:rFonts w:ascii="Arial" w:eastAsia="Times New Roman" w:hAnsi="Arial" w:cs="Arial"/>
          <w:bCs/>
        </w:rPr>
        <w:t xml:space="preserve"> be called) i</w:t>
      </w:r>
      <w:r w:rsidR="00AB39D5" w:rsidRPr="00D9566D">
        <w:rPr>
          <w:rFonts w:ascii="Arial" w:eastAsia="Times New Roman" w:hAnsi="Arial" w:cs="Arial"/>
          <w:bCs/>
        </w:rPr>
        <w:t>n</w:t>
      </w:r>
      <w:r w:rsidR="00135A26" w:rsidRPr="00D9566D">
        <w:rPr>
          <w:rFonts w:ascii="Arial" w:eastAsia="Times New Roman" w:hAnsi="Arial" w:cs="Arial"/>
          <w:bCs/>
        </w:rPr>
        <w:t xml:space="preserve"> respect of relatives, family et</w:t>
      </w:r>
      <w:r w:rsidR="00AB39D5" w:rsidRPr="00D9566D">
        <w:rPr>
          <w:rFonts w:ascii="Arial" w:eastAsia="Times New Roman" w:hAnsi="Arial" w:cs="Arial"/>
          <w:bCs/>
        </w:rPr>
        <w:t>c</w:t>
      </w:r>
      <w:r w:rsidR="00135A26" w:rsidRPr="00D9566D">
        <w:rPr>
          <w:rFonts w:ascii="Arial" w:eastAsia="Times New Roman" w:hAnsi="Arial" w:cs="Arial"/>
          <w:bCs/>
        </w:rPr>
        <w:t xml:space="preserve"> in its bid</w:t>
      </w:r>
      <w:r w:rsidR="00AB39D5" w:rsidRPr="00D9566D">
        <w:rPr>
          <w:rFonts w:ascii="Arial" w:eastAsia="Times New Roman" w:hAnsi="Arial" w:cs="Arial"/>
          <w:bCs/>
        </w:rPr>
        <w:t>,</w:t>
      </w:r>
      <w:r w:rsidR="00135A26" w:rsidRPr="00D9566D">
        <w:rPr>
          <w:rFonts w:ascii="Arial" w:eastAsia="Times New Roman" w:hAnsi="Arial" w:cs="Arial"/>
          <w:bCs/>
        </w:rPr>
        <w:t xml:space="preserve"> which had been initialled but not signed at the end thereof, </w:t>
      </w:r>
      <w:r w:rsidR="00AB39D5" w:rsidRPr="00D9566D">
        <w:rPr>
          <w:rFonts w:ascii="Arial" w:eastAsia="Times New Roman" w:hAnsi="Arial" w:cs="Arial"/>
          <w:bCs/>
        </w:rPr>
        <w:t>due to an</w:t>
      </w:r>
      <w:r w:rsidR="00135A26" w:rsidRPr="00D9566D">
        <w:rPr>
          <w:rFonts w:ascii="Arial" w:eastAsia="Times New Roman" w:hAnsi="Arial" w:cs="Arial"/>
          <w:bCs/>
        </w:rPr>
        <w:t xml:space="preserve"> oversight. </w:t>
      </w:r>
      <w:r w:rsidR="00AB39D5" w:rsidRPr="00D9566D">
        <w:rPr>
          <w:rFonts w:ascii="Arial" w:eastAsia="Times New Roman" w:hAnsi="Arial" w:cs="Arial"/>
          <w:bCs/>
        </w:rPr>
        <w:t>Jafta</w:t>
      </w:r>
      <w:r w:rsidR="00135A26" w:rsidRPr="00D9566D">
        <w:rPr>
          <w:rFonts w:ascii="Arial" w:eastAsia="Times New Roman" w:hAnsi="Arial" w:cs="Arial"/>
          <w:bCs/>
        </w:rPr>
        <w:t xml:space="preserve"> JA held that the non-compliance was condonable as it was not </w:t>
      </w:r>
      <w:r w:rsidR="00AB39D5" w:rsidRPr="00D9566D">
        <w:rPr>
          <w:rFonts w:ascii="Arial" w:eastAsia="Times New Roman" w:hAnsi="Arial" w:cs="Arial"/>
          <w:bCs/>
        </w:rPr>
        <w:t>in</w:t>
      </w:r>
      <w:r w:rsidR="00135A26" w:rsidRPr="00D9566D">
        <w:rPr>
          <w:rFonts w:ascii="Arial" w:eastAsia="Times New Roman" w:hAnsi="Arial" w:cs="Arial"/>
          <w:bCs/>
        </w:rPr>
        <w:t>compatible with the public interest</w:t>
      </w:r>
      <w:r w:rsidR="0017056B" w:rsidRPr="00D9566D">
        <w:rPr>
          <w:rFonts w:ascii="Arial" w:eastAsia="Times New Roman" w:hAnsi="Arial" w:cs="Arial"/>
          <w:bCs/>
        </w:rPr>
        <w:t>.</w:t>
      </w:r>
      <w:r w:rsidR="002565AD" w:rsidRPr="00D9566D">
        <w:rPr>
          <w:rStyle w:val="FootnoteReference"/>
          <w:rFonts w:ascii="Arial" w:eastAsia="Times New Roman" w:hAnsi="Arial" w:cs="Arial"/>
          <w:bCs/>
        </w:rPr>
        <w:footnoteReference w:id="20"/>
      </w:r>
      <w:r w:rsidR="0017056B" w:rsidRPr="00D9566D">
        <w:rPr>
          <w:rFonts w:ascii="Arial" w:eastAsia="Times New Roman" w:hAnsi="Arial" w:cs="Arial"/>
          <w:bCs/>
        </w:rPr>
        <w:t xml:space="preserve"> </w:t>
      </w:r>
    </w:p>
    <w:p w14:paraId="53569081" w14:textId="6B376EA2" w:rsidR="0082766A"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41.</w:t>
      </w:r>
      <w:r w:rsidRPr="00D9566D">
        <w:rPr>
          <w:rFonts w:ascii="Arial" w:hAnsi="Arial" w:cs="Arial"/>
        </w:rPr>
        <w:tab/>
      </w:r>
      <w:r w:rsidR="0017056B" w:rsidRPr="00D9566D">
        <w:rPr>
          <w:rFonts w:ascii="Arial" w:eastAsia="Times New Roman" w:hAnsi="Arial" w:cs="Arial"/>
          <w:bCs/>
        </w:rPr>
        <w:t xml:space="preserve">Consequently, </w:t>
      </w:r>
      <w:r w:rsidR="008C7158" w:rsidRPr="00D9566D">
        <w:rPr>
          <w:rFonts w:ascii="Arial" w:eastAsia="Times New Roman" w:hAnsi="Arial" w:cs="Arial"/>
          <w:bCs/>
        </w:rPr>
        <w:t xml:space="preserve">the </w:t>
      </w:r>
      <w:r w:rsidR="0017056B" w:rsidRPr="00D9566D">
        <w:rPr>
          <w:rFonts w:ascii="Arial" w:eastAsia="Times New Roman" w:hAnsi="Arial" w:cs="Arial"/>
          <w:bCs/>
        </w:rPr>
        <w:t>applicant’s counsel contended that</w:t>
      </w:r>
      <w:r w:rsidR="006043B9" w:rsidRPr="00D9566D">
        <w:rPr>
          <w:rFonts w:ascii="Arial" w:eastAsia="Times New Roman" w:hAnsi="Arial" w:cs="Arial"/>
          <w:bCs/>
        </w:rPr>
        <w:t>,</w:t>
      </w:r>
      <w:r w:rsidR="0017056B" w:rsidRPr="00D9566D">
        <w:rPr>
          <w:rFonts w:ascii="Arial" w:eastAsia="Times New Roman" w:hAnsi="Arial" w:cs="Arial"/>
          <w:bCs/>
        </w:rPr>
        <w:t xml:space="preserve"> insofar as </w:t>
      </w:r>
      <w:r w:rsidR="00EB13BC" w:rsidRPr="00D9566D">
        <w:rPr>
          <w:rFonts w:ascii="Arial" w:eastAsia="Times New Roman" w:hAnsi="Arial" w:cs="Arial"/>
          <w:bCs/>
        </w:rPr>
        <w:t xml:space="preserve">the </w:t>
      </w:r>
      <w:r w:rsidR="006043B9" w:rsidRPr="00D9566D">
        <w:rPr>
          <w:rFonts w:ascii="Arial" w:eastAsia="Times New Roman" w:hAnsi="Arial" w:cs="Arial"/>
          <w:bCs/>
        </w:rPr>
        <w:t>applicant had</w:t>
      </w:r>
      <w:r w:rsidR="0017056B" w:rsidRPr="00D9566D">
        <w:rPr>
          <w:rFonts w:ascii="Arial" w:eastAsia="Times New Roman" w:hAnsi="Arial" w:cs="Arial"/>
          <w:bCs/>
        </w:rPr>
        <w:t xml:space="preserve"> failed to comply </w:t>
      </w:r>
      <w:r w:rsidR="00AB39D5" w:rsidRPr="00D9566D">
        <w:rPr>
          <w:rFonts w:ascii="Arial" w:eastAsia="Times New Roman" w:hAnsi="Arial" w:cs="Arial"/>
          <w:bCs/>
        </w:rPr>
        <w:t xml:space="preserve">exactly </w:t>
      </w:r>
      <w:r w:rsidR="00282495" w:rsidRPr="00D9566D">
        <w:rPr>
          <w:rFonts w:ascii="Arial" w:eastAsia="Times New Roman" w:hAnsi="Arial" w:cs="Arial"/>
          <w:bCs/>
        </w:rPr>
        <w:t xml:space="preserve">or strictly </w:t>
      </w:r>
      <w:r w:rsidR="0017056B" w:rsidRPr="00D9566D">
        <w:rPr>
          <w:rFonts w:ascii="Arial" w:eastAsia="Times New Roman" w:hAnsi="Arial" w:cs="Arial"/>
          <w:bCs/>
        </w:rPr>
        <w:t xml:space="preserve">with the bid specifications and conditions, particularly those pertaining to the submission of a valid NBC certificate and </w:t>
      </w:r>
      <w:r w:rsidR="00AB39D5" w:rsidRPr="00D9566D">
        <w:rPr>
          <w:rFonts w:ascii="Arial" w:eastAsia="Times New Roman" w:hAnsi="Arial" w:cs="Arial"/>
          <w:bCs/>
        </w:rPr>
        <w:t>an e-</w:t>
      </w:r>
      <w:r w:rsidR="0017056B" w:rsidRPr="00D9566D">
        <w:rPr>
          <w:rFonts w:ascii="Arial" w:eastAsia="Times New Roman" w:hAnsi="Arial" w:cs="Arial"/>
          <w:bCs/>
        </w:rPr>
        <w:t>NAT</w:t>
      </w:r>
      <w:r w:rsidR="00AB39D5" w:rsidRPr="00D9566D">
        <w:rPr>
          <w:rFonts w:ascii="Arial" w:eastAsia="Times New Roman" w:hAnsi="Arial" w:cs="Arial"/>
          <w:bCs/>
        </w:rPr>
        <w:t>IS</w:t>
      </w:r>
      <w:r w:rsidR="0017056B" w:rsidRPr="00D9566D">
        <w:rPr>
          <w:rFonts w:ascii="Arial" w:eastAsia="Times New Roman" w:hAnsi="Arial" w:cs="Arial"/>
          <w:bCs/>
        </w:rPr>
        <w:t xml:space="preserve"> report</w:t>
      </w:r>
      <w:r w:rsidR="00AB39D5" w:rsidRPr="00D9566D">
        <w:rPr>
          <w:rFonts w:ascii="Arial" w:eastAsia="Times New Roman" w:hAnsi="Arial" w:cs="Arial"/>
          <w:bCs/>
        </w:rPr>
        <w:t>,</w:t>
      </w:r>
      <w:r w:rsidR="0017056B" w:rsidRPr="00D9566D">
        <w:rPr>
          <w:rFonts w:ascii="Arial" w:eastAsia="Times New Roman" w:hAnsi="Arial" w:cs="Arial"/>
          <w:bCs/>
        </w:rPr>
        <w:t xml:space="preserve"> this should be condoned as it had complied substantially with the</w:t>
      </w:r>
      <w:r w:rsidR="00DD0485" w:rsidRPr="00D9566D">
        <w:rPr>
          <w:rFonts w:ascii="Arial" w:eastAsia="Times New Roman" w:hAnsi="Arial" w:cs="Arial"/>
          <w:bCs/>
        </w:rPr>
        <w:t>m</w:t>
      </w:r>
      <w:r w:rsidR="0017056B" w:rsidRPr="00D9566D">
        <w:rPr>
          <w:rFonts w:ascii="Arial" w:eastAsia="Times New Roman" w:hAnsi="Arial" w:cs="Arial"/>
          <w:bCs/>
        </w:rPr>
        <w:t>.</w:t>
      </w:r>
    </w:p>
    <w:p w14:paraId="00DF05B0" w14:textId="78063A6A" w:rsidR="0017056B"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42.</w:t>
      </w:r>
      <w:r w:rsidRPr="00D9566D">
        <w:rPr>
          <w:rFonts w:ascii="Arial" w:hAnsi="Arial" w:cs="Arial"/>
        </w:rPr>
        <w:tab/>
      </w:r>
      <w:r w:rsidR="0017056B" w:rsidRPr="00D9566D">
        <w:rPr>
          <w:rFonts w:ascii="Arial" w:hAnsi="Arial" w:cs="Arial"/>
        </w:rPr>
        <w:t xml:space="preserve">Once again, the applicant’s reliance on </w:t>
      </w:r>
      <w:r w:rsidR="008C7158" w:rsidRPr="00D9566D">
        <w:rPr>
          <w:rFonts w:ascii="Arial" w:hAnsi="Arial" w:cs="Arial"/>
        </w:rPr>
        <w:t>a</w:t>
      </w:r>
      <w:r w:rsidR="0017056B" w:rsidRPr="00D9566D">
        <w:rPr>
          <w:rFonts w:ascii="Arial" w:hAnsi="Arial" w:cs="Arial"/>
        </w:rPr>
        <w:t xml:space="preserve"> decision of the SCA is subject to qualification. In </w:t>
      </w:r>
      <w:r w:rsidR="00AB39D5" w:rsidRPr="00D9566D">
        <w:rPr>
          <w:rFonts w:ascii="Arial" w:eastAsia="Times New Roman" w:hAnsi="Arial" w:cs="Arial"/>
          <w:bCs/>
          <w:i/>
          <w:iCs/>
        </w:rPr>
        <w:t>Millennium Waste</w:t>
      </w:r>
      <w:r w:rsidR="00AB39D5" w:rsidRPr="00D9566D">
        <w:rPr>
          <w:rFonts w:ascii="Arial" w:eastAsia="Times New Roman" w:hAnsi="Arial" w:cs="Arial"/>
          <w:bCs/>
        </w:rPr>
        <w:t xml:space="preserve"> </w:t>
      </w:r>
      <w:r w:rsidR="0017056B" w:rsidRPr="00D9566D">
        <w:rPr>
          <w:rFonts w:ascii="Arial" w:hAnsi="Arial" w:cs="Arial"/>
        </w:rPr>
        <w:t>the relevant procurement regulation</w:t>
      </w:r>
      <w:r w:rsidR="00070841" w:rsidRPr="00D9566D">
        <w:rPr>
          <w:rStyle w:val="FootnoteReference"/>
          <w:rFonts w:ascii="Arial" w:hAnsi="Arial" w:cs="Arial"/>
        </w:rPr>
        <w:footnoteReference w:id="21"/>
      </w:r>
      <w:r w:rsidR="0017056B" w:rsidRPr="00D9566D">
        <w:rPr>
          <w:rFonts w:ascii="Arial" w:hAnsi="Arial" w:cs="Arial"/>
        </w:rPr>
        <w:t xml:space="preserve"> which had been p</w:t>
      </w:r>
      <w:r w:rsidR="00AB39D5" w:rsidRPr="00D9566D">
        <w:rPr>
          <w:rFonts w:ascii="Arial" w:hAnsi="Arial" w:cs="Arial"/>
        </w:rPr>
        <w:t>romulgated</w:t>
      </w:r>
      <w:r w:rsidR="0017056B" w:rsidRPr="00D9566D">
        <w:rPr>
          <w:rFonts w:ascii="Arial" w:hAnsi="Arial" w:cs="Arial"/>
        </w:rPr>
        <w:t xml:space="preserve"> by the MEC</w:t>
      </w:r>
      <w:r w:rsidR="00AB39D5" w:rsidRPr="00D9566D">
        <w:rPr>
          <w:rFonts w:ascii="Arial" w:hAnsi="Arial" w:cs="Arial"/>
        </w:rPr>
        <w:t xml:space="preserve"> </w:t>
      </w:r>
      <w:r w:rsidR="002565AD" w:rsidRPr="00D9566D">
        <w:rPr>
          <w:rFonts w:ascii="Arial" w:hAnsi="Arial" w:cs="Arial"/>
        </w:rPr>
        <w:t xml:space="preserve">for Finance </w:t>
      </w:r>
      <w:r w:rsidR="00AB39D5" w:rsidRPr="00D9566D">
        <w:rPr>
          <w:rFonts w:ascii="Arial" w:hAnsi="Arial" w:cs="Arial"/>
        </w:rPr>
        <w:t>and</w:t>
      </w:r>
      <w:r w:rsidR="0017056B" w:rsidRPr="00D9566D">
        <w:rPr>
          <w:rFonts w:ascii="Arial" w:hAnsi="Arial" w:cs="Arial"/>
        </w:rPr>
        <w:t xml:space="preserve"> which was applicable to the evaluation of the tender</w:t>
      </w:r>
      <w:r w:rsidR="006C4856" w:rsidRPr="00D9566D">
        <w:rPr>
          <w:rFonts w:ascii="Arial" w:hAnsi="Arial" w:cs="Arial"/>
        </w:rPr>
        <w:t>,</w:t>
      </w:r>
      <w:r w:rsidR="0017056B" w:rsidRPr="00D9566D">
        <w:rPr>
          <w:rFonts w:ascii="Arial" w:hAnsi="Arial" w:cs="Arial"/>
        </w:rPr>
        <w:t xml:space="preserve"> allowed </w:t>
      </w:r>
      <w:r w:rsidR="006C4856" w:rsidRPr="00D9566D">
        <w:rPr>
          <w:rFonts w:ascii="Arial" w:hAnsi="Arial" w:cs="Arial"/>
        </w:rPr>
        <w:t>the</w:t>
      </w:r>
      <w:r w:rsidR="0017056B" w:rsidRPr="00D9566D">
        <w:rPr>
          <w:rFonts w:ascii="Arial" w:hAnsi="Arial" w:cs="Arial"/>
        </w:rPr>
        <w:t xml:space="preserve"> tender Board to accept bids even if th</w:t>
      </w:r>
      <w:r w:rsidR="00AB39D5" w:rsidRPr="00D9566D">
        <w:rPr>
          <w:rFonts w:ascii="Arial" w:hAnsi="Arial" w:cs="Arial"/>
        </w:rPr>
        <w:t>ey</w:t>
      </w:r>
      <w:r w:rsidR="0017056B" w:rsidRPr="00D9566D">
        <w:rPr>
          <w:rFonts w:ascii="Arial" w:hAnsi="Arial" w:cs="Arial"/>
        </w:rPr>
        <w:t xml:space="preserve"> failed to comply strictly with tender specifications.</w:t>
      </w:r>
      <w:r w:rsidR="00AB39D5" w:rsidRPr="00D9566D">
        <w:rPr>
          <w:rFonts w:ascii="Arial" w:hAnsi="Arial" w:cs="Arial"/>
        </w:rPr>
        <w:t xml:space="preserve"> There is no </w:t>
      </w:r>
      <w:r w:rsidR="006043B9" w:rsidRPr="00D9566D">
        <w:rPr>
          <w:rFonts w:ascii="Arial" w:hAnsi="Arial" w:cs="Arial"/>
        </w:rPr>
        <w:t>averment</w:t>
      </w:r>
      <w:r w:rsidR="00AB39D5" w:rsidRPr="00D9566D">
        <w:rPr>
          <w:rFonts w:ascii="Arial" w:hAnsi="Arial" w:cs="Arial"/>
        </w:rPr>
        <w:t xml:space="preserve"> that any such regulation was applicable to the tenders in these matters.   </w:t>
      </w:r>
    </w:p>
    <w:p w14:paraId="7D5B5685" w14:textId="4AB68D60" w:rsidR="0017056B"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43.</w:t>
      </w:r>
      <w:r w:rsidRPr="00D9566D">
        <w:rPr>
          <w:rFonts w:ascii="Arial" w:hAnsi="Arial" w:cs="Arial"/>
        </w:rPr>
        <w:tab/>
      </w:r>
      <w:r w:rsidR="0017056B" w:rsidRPr="00D9566D">
        <w:rPr>
          <w:rFonts w:ascii="Arial" w:hAnsi="Arial" w:cs="Arial"/>
        </w:rPr>
        <w:t xml:space="preserve">In </w:t>
      </w:r>
      <w:r w:rsidR="00AB39D5" w:rsidRPr="00D9566D">
        <w:rPr>
          <w:rFonts w:ascii="Arial" w:hAnsi="Arial" w:cs="Arial"/>
        </w:rPr>
        <w:t>several</w:t>
      </w:r>
      <w:r w:rsidR="0017056B" w:rsidRPr="00D9566D">
        <w:rPr>
          <w:rFonts w:ascii="Arial" w:hAnsi="Arial" w:cs="Arial"/>
        </w:rPr>
        <w:t xml:space="preserve"> subsequent decisions </w:t>
      </w:r>
      <w:r w:rsidR="00AB39D5" w:rsidRPr="00D9566D">
        <w:rPr>
          <w:rFonts w:ascii="Arial" w:hAnsi="Arial" w:cs="Arial"/>
        </w:rPr>
        <w:t xml:space="preserve">the </w:t>
      </w:r>
      <w:r w:rsidR="0017056B" w:rsidRPr="00D9566D">
        <w:rPr>
          <w:rFonts w:ascii="Arial" w:hAnsi="Arial" w:cs="Arial"/>
        </w:rPr>
        <w:t xml:space="preserve">SCA </w:t>
      </w:r>
      <w:r w:rsidR="00AB39D5" w:rsidRPr="00D9566D">
        <w:rPr>
          <w:rFonts w:ascii="Arial" w:hAnsi="Arial" w:cs="Arial"/>
        </w:rPr>
        <w:t xml:space="preserve">has </w:t>
      </w:r>
      <w:r w:rsidR="0017056B" w:rsidRPr="00D9566D">
        <w:rPr>
          <w:rFonts w:ascii="Arial" w:hAnsi="Arial" w:cs="Arial"/>
        </w:rPr>
        <w:t xml:space="preserve">deviated from the views </w:t>
      </w:r>
      <w:r w:rsidR="00AB39D5" w:rsidRPr="00D9566D">
        <w:rPr>
          <w:rFonts w:ascii="Arial" w:hAnsi="Arial" w:cs="Arial"/>
        </w:rPr>
        <w:t xml:space="preserve">it </w:t>
      </w:r>
      <w:r w:rsidR="0017056B" w:rsidRPr="00D9566D">
        <w:rPr>
          <w:rFonts w:ascii="Arial" w:hAnsi="Arial" w:cs="Arial"/>
        </w:rPr>
        <w:t xml:space="preserve">expressed in </w:t>
      </w:r>
      <w:r w:rsidR="00AB39D5" w:rsidRPr="00D9566D">
        <w:rPr>
          <w:rFonts w:ascii="Arial" w:eastAsia="Times New Roman" w:hAnsi="Arial" w:cs="Arial"/>
          <w:bCs/>
          <w:i/>
          <w:iCs/>
        </w:rPr>
        <w:t>Millennium Waste</w:t>
      </w:r>
      <w:r w:rsidR="00AB39D5" w:rsidRPr="00D9566D">
        <w:rPr>
          <w:rFonts w:ascii="Arial" w:eastAsia="Times New Roman" w:hAnsi="Arial" w:cs="Arial"/>
          <w:bCs/>
        </w:rPr>
        <w:t xml:space="preserve"> </w:t>
      </w:r>
      <w:r w:rsidR="0017056B" w:rsidRPr="00D9566D">
        <w:rPr>
          <w:rFonts w:ascii="Arial" w:hAnsi="Arial" w:cs="Arial"/>
        </w:rPr>
        <w:t xml:space="preserve">and </w:t>
      </w:r>
      <w:r w:rsidR="00282495" w:rsidRPr="00D9566D">
        <w:rPr>
          <w:rFonts w:ascii="Arial" w:hAnsi="Arial" w:cs="Arial"/>
        </w:rPr>
        <w:t>has</w:t>
      </w:r>
      <w:r w:rsidR="00AB39D5" w:rsidRPr="00D9566D">
        <w:rPr>
          <w:rFonts w:ascii="Arial" w:hAnsi="Arial" w:cs="Arial"/>
        </w:rPr>
        <w:t xml:space="preserve"> sought to </w:t>
      </w:r>
      <w:r w:rsidR="00A66D1F" w:rsidRPr="00D9566D">
        <w:rPr>
          <w:rFonts w:ascii="Arial" w:hAnsi="Arial" w:cs="Arial"/>
        </w:rPr>
        <w:t xml:space="preserve">qualify or </w:t>
      </w:r>
      <w:r w:rsidR="0017056B" w:rsidRPr="00D9566D">
        <w:rPr>
          <w:rFonts w:ascii="Arial" w:hAnsi="Arial" w:cs="Arial"/>
        </w:rPr>
        <w:t xml:space="preserve">distinguish it. Thus, in </w:t>
      </w:r>
      <w:r w:rsidR="0017056B" w:rsidRPr="00D9566D">
        <w:rPr>
          <w:rFonts w:ascii="Arial" w:hAnsi="Arial" w:cs="Arial"/>
          <w:i/>
          <w:iCs/>
        </w:rPr>
        <w:t>Moroka</w:t>
      </w:r>
      <w:r w:rsidR="0017056B" w:rsidRPr="00D9566D">
        <w:rPr>
          <w:rFonts w:ascii="Arial" w:hAnsi="Arial" w:cs="Arial"/>
        </w:rPr>
        <w:t xml:space="preserve"> </w:t>
      </w:r>
      <w:r w:rsidR="00AB39D5" w:rsidRPr="00D9566D">
        <w:rPr>
          <w:rStyle w:val="FootnoteReference"/>
          <w:rFonts w:ascii="Arial" w:hAnsi="Arial" w:cs="Arial"/>
        </w:rPr>
        <w:footnoteReference w:id="22"/>
      </w:r>
      <w:r w:rsidR="00282495" w:rsidRPr="00D9566D">
        <w:rPr>
          <w:rFonts w:ascii="Arial" w:hAnsi="Arial" w:cs="Arial"/>
        </w:rPr>
        <w:t xml:space="preserve"> which </w:t>
      </w:r>
      <w:r w:rsidR="0017056B" w:rsidRPr="00D9566D">
        <w:rPr>
          <w:rFonts w:ascii="Arial" w:hAnsi="Arial" w:cs="Arial"/>
        </w:rPr>
        <w:t>was decided in 2014</w:t>
      </w:r>
      <w:r w:rsidR="006043B9" w:rsidRPr="00D9566D">
        <w:rPr>
          <w:rFonts w:ascii="Arial" w:hAnsi="Arial" w:cs="Arial"/>
        </w:rPr>
        <w:t>,</w:t>
      </w:r>
      <w:r w:rsidR="0017056B" w:rsidRPr="00D9566D">
        <w:rPr>
          <w:rFonts w:ascii="Arial" w:hAnsi="Arial" w:cs="Arial"/>
        </w:rPr>
        <w:t xml:space="preserve"> </w:t>
      </w:r>
      <w:r w:rsidR="00A66D1F" w:rsidRPr="00D9566D">
        <w:rPr>
          <w:rFonts w:ascii="Arial" w:hAnsi="Arial" w:cs="Arial"/>
        </w:rPr>
        <w:t xml:space="preserve">it </w:t>
      </w:r>
      <w:r w:rsidR="0017056B" w:rsidRPr="00D9566D">
        <w:rPr>
          <w:rFonts w:ascii="Arial" w:hAnsi="Arial" w:cs="Arial"/>
        </w:rPr>
        <w:t>pointed out</w:t>
      </w:r>
      <w:r w:rsidR="0085659E" w:rsidRPr="00D9566D">
        <w:rPr>
          <w:rFonts w:ascii="Arial" w:hAnsi="Arial" w:cs="Arial"/>
        </w:rPr>
        <w:t xml:space="preserve"> </w:t>
      </w:r>
      <w:r w:rsidR="00A66D1F" w:rsidRPr="00D9566D">
        <w:rPr>
          <w:rStyle w:val="FootnoteReference"/>
          <w:rFonts w:ascii="Arial" w:hAnsi="Arial" w:cs="Arial"/>
        </w:rPr>
        <w:footnoteReference w:id="23"/>
      </w:r>
      <w:r w:rsidR="0017056B" w:rsidRPr="00D9566D">
        <w:rPr>
          <w:rFonts w:ascii="Arial" w:hAnsi="Arial" w:cs="Arial"/>
        </w:rPr>
        <w:t xml:space="preserve"> that it had previously held in </w:t>
      </w:r>
      <w:r w:rsidR="00A66D1F" w:rsidRPr="00D9566D">
        <w:rPr>
          <w:rFonts w:ascii="Arial" w:hAnsi="Arial" w:cs="Arial"/>
          <w:i/>
          <w:iCs/>
        </w:rPr>
        <w:t>Pepper</w:t>
      </w:r>
      <w:r w:rsidR="0017056B" w:rsidRPr="00D9566D">
        <w:rPr>
          <w:rFonts w:ascii="Arial" w:hAnsi="Arial" w:cs="Arial"/>
          <w:i/>
          <w:iCs/>
        </w:rPr>
        <w:t xml:space="preserve"> Bay</w:t>
      </w:r>
      <w:r w:rsidR="00A66D1F" w:rsidRPr="00D9566D">
        <w:rPr>
          <w:rStyle w:val="FootnoteReference"/>
          <w:rFonts w:ascii="Arial" w:hAnsi="Arial" w:cs="Arial"/>
        </w:rPr>
        <w:footnoteReference w:id="24"/>
      </w:r>
      <w:r w:rsidR="00A66D1F" w:rsidRPr="00D9566D">
        <w:rPr>
          <w:rFonts w:ascii="Arial" w:hAnsi="Arial" w:cs="Arial"/>
        </w:rPr>
        <w:t xml:space="preserve"> </w:t>
      </w:r>
      <w:r w:rsidR="006043B9" w:rsidRPr="00D9566D">
        <w:rPr>
          <w:rFonts w:ascii="Arial" w:hAnsi="Arial" w:cs="Arial"/>
        </w:rPr>
        <w:t xml:space="preserve">(which was decided before </w:t>
      </w:r>
      <w:r w:rsidR="006043B9" w:rsidRPr="00D9566D">
        <w:rPr>
          <w:rFonts w:ascii="Arial" w:hAnsi="Arial" w:cs="Arial"/>
          <w:i/>
          <w:iCs/>
        </w:rPr>
        <w:t>Millennium Waste</w:t>
      </w:r>
      <w:r w:rsidR="006043B9" w:rsidRPr="00D9566D">
        <w:rPr>
          <w:rFonts w:ascii="Arial" w:hAnsi="Arial" w:cs="Arial"/>
        </w:rPr>
        <w:t xml:space="preserve">) </w:t>
      </w:r>
      <w:r w:rsidR="0017056B" w:rsidRPr="00D9566D">
        <w:rPr>
          <w:rFonts w:ascii="Arial" w:hAnsi="Arial" w:cs="Arial"/>
        </w:rPr>
        <w:t>that as a general principle an administrative authority ha</w:t>
      </w:r>
      <w:r w:rsidR="00A66D1F" w:rsidRPr="00D9566D">
        <w:rPr>
          <w:rFonts w:ascii="Arial" w:hAnsi="Arial" w:cs="Arial"/>
        </w:rPr>
        <w:t>s</w:t>
      </w:r>
      <w:r w:rsidR="0017056B" w:rsidRPr="00D9566D">
        <w:rPr>
          <w:rFonts w:ascii="Arial" w:hAnsi="Arial" w:cs="Arial"/>
        </w:rPr>
        <w:t xml:space="preserve"> no inherent power to condone </w:t>
      </w:r>
      <w:r w:rsidR="006C4856" w:rsidRPr="00D9566D">
        <w:rPr>
          <w:rFonts w:ascii="Arial" w:hAnsi="Arial" w:cs="Arial"/>
        </w:rPr>
        <w:t xml:space="preserve">a </w:t>
      </w:r>
      <w:r w:rsidR="0017056B" w:rsidRPr="00D9566D">
        <w:rPr>
          <w:rFonts w:ascii="Arial" w:hAnsi="Arial" w:cs="Arial"/>
        </w:rPr>
        <w:t xml:space="preserve">failure to comply with </w:t>
      </w:r>
      <w:r w:rsidR="00A66D1F" w:rsidRPr="00D9566D">
        <w:rPr>
          <w:rFonts w:ascii="Arial" w:hAnsi="Arial" w:cs="Arial"/>
        </w:rPr>
        <w:t>a</w:t>
      </w:r>
      <w:r w:rsidR="0017056B" w:rsidRPr="00D9566D">
        <w:rPr>
          <w:rFonts w:ascii="Arial" w:hAnsi="Arial" w:cs="Arial"/>
        </w:rPr>
        <w:t xml:space="preserve"> peremptory</w:t>
      </w:r>
      <w:r w:rsidR="00A66D1F" w:rsidRPr="00D9566D">
        <w:rPr>
          <w:rFonts w:ascii="Arial" w:hAnsi="Arial" w:cs="Arial"/>
        </w:rPr>
        <w:t xml:space="preserve"> or minimum qualifying requirement</w:t>
      </w:r>
      <w:r w:rsidR="0017056B" w:rsidRPr="00D9566D">
        <w:rPr>
          <w:rFonts w:ascii="Arial" w:hAnsi="Arial" w:cs="Arial"/>
        </w:rPr>
        <w:t xml:space="preserve"> in </w:t>
      </w:r>
      <w:r w:rsidR="00A66D1F" w:rsidRPr="00D9566D">
        <w:rPr>
          <w:rFonts w:ascii="Arial" w:hAnsi="Arial" w:cs="Arial"/>
        </w:rPr>
        <w:t>a</w:t>
      </w:r>
      <w:r w:rsidR="0017056B" w:rsidRPr="00D9566D">
        <w:rPr>
          <w:rFonts w:ascii="Arial" w:hAnsi="Arial" w:cs="Arial"/>
        </w:rPr>
        <w:t xml:space="preserve"> tender, unless it </w:t>
      </w:r>
      <w:r w:rsidR="00F3146B" w:rsidRPr="00D9566D">
        <w:rPr>
          <w:rFonts w:ascii="Arial" w:hAnsi="Arial" w:cs="Arial"/>
        </w:rPr>
        <w:t>has been</w:t>
      </w:r>
      <w:r w:rsidR="0017056B" w:rsidRPr="00D9566D">
        <w:rPr>
          <w:rFonts w:ascii="Arial" w:hAnsi="Arial" w:cs="Arial"/>
        </w:rPr>
        <w:t xml:space="preserve"> expressly afforded a discretion to do so.</w:t>
      </w:r>
    </w:p>
    <w:p w14:paraId="5C545F84" w14:textId="07E59B48" w:rsidR="0017056B"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44.</w:t>
      </w:r>
      <w:r w:rsidRPr="00D9566D">
        <w:rPr>
          <w:rFonts w:ascii="Arial" w:hAnsi="Arial" w:cs="Arial"/>
        </w:rPr>
        <w:tab/>
      </w:r>
      <w:r w:rsidR="0017056B" w:rsidRPr="00D9566D">
        <w:rPr>
          <w:rFonts w:ascii="Arial" w:hAnsi="Arial" w:cs="Arial"/>
        </w:rPr>
        <w:t xml:space="preserve">In </w:t>
      </w:r>
      <w:r w:rsidR="0017056B" w:rsidRPr="00D9566D">
        <w:rPr>
          <w:rFonts w:ascii="Arial" w:hAnsi="Arial" w:cs="Arial"/>
          <w:i/>
          <w:iCs/>
        </w:rPr>
        <w:t>Moroka</w:t>
      </w:r>
      <w:r w:rsidR="0017056B" w:rsidRPr="00D9566D">
        <w:rPr>
          <w:rFonts w:ascii="Arial" w:hAnsi="Arial" w:cs="Arial"/>
        </w:rPr>
        <w:t xml:space="preserve"> the tender invitation required bidders to submit an original t</w:t>
      </w:r>
      <w:r w:rsidR="00B269E2" w:rsidRPr="00D9566D">
        <w:rPr>
          <w:rFonts w:ascii="Arial" w:hAnsi="Arial" w:cs="Arial"/>
        </w:rPr>
        <w:t>ax</w:t>
      </w:r>
      <w:r w:rsidR="0017056B" w:rsidRPr="00D9566D">
        <w:rPr>
          <w:rFonts w:ascii="Arial" w:hAnsi="Arial" w:cs="Arial"/>
        </w:rPr>
        <w:t xml:space="preserve"> clearance certificate and stated that if they fail</w:t>
      </w:r>
      <w:r w:rsidR="0085659E" w:rsidRPr="00D9566D">
        <w:rPr>
          <w:rFonts w:ascii="Arial" w:hAnsi="Arial" w:cs="Arial"/>
        </w:rPr>
        <w:t>ed</w:t>
      </w:r>
      <w:r w:rsidR="0017056B" w:rsidRPr="00D9566D">
        <w:rPr>
          <w:rFonts w:ascii="Arial" w:hAnsi="Arial" w:cs="Arial"/>
        </w:rPr>
        <w:t xml:space="preserve"> to do so this would render the</w:t>
      </w:r>
      <w:r w:rsidR="0085659E" w:rsidRPr="00D9566D">
        <w:rPr>
          <w:rFonts w:ascii="Arial" w:hAnsi="Arial" w:cs="Arial"/>
        </w:rPr>
        <w:t>ir</w:t>
      </w:r>
      <w:r w:rsidR="0017056B" w:rsidRPr="00D9566D">
        <w:rPr>
          <w:rFonts w:ascii="Arial" w:hAnsi="Arial" w:cs="Arial"/>
        </w:rPr>
        <w:t xml:space="preserve"> bi</w:t>
      </w:r>
      <w:r w:rsidR="0085659E" w:rsidRPr="00D9566D">
        <w:rPr>
          <w:rFonts w:ascii="Arial" w:hAnsi="Arial" w:cs="Arial"/>
        </w:rPr>
        <w:t>d</w:t>
      </w:r>
      <w:r w:rsidR="0017056B" w:rsidRPr="00D9566D">
        <w:rPr>
          <w:rFonts w:ascii="Arial" w:hAnsi="Arial" w:cs="Arial"/>
        </w:rPr>
        <w:t xml:space="preserve"> liable to disqualification. The applicant submitted a copy instead of </w:t>
      </w:r>
      <w:r w:rsidR="0085659E" w:rsidRPr="00D9566D">
        <w:rPr>
          <w:rFonts w:ascii="Arial" w:hAnsi="Arial" w:cs="Arial"/>
        </w:rPr>
        <w:t>the</w:t>
      </w:r>
      <w:r w:rsidR="0017056B" w:rsidRPr="00D9566D">
        <w:rPr>
          <w:rFonts w:ascii="Arial" w:hAnsi="Arial" w:cs="Arial"/>
        </w:rPr>
        <w:t xml:space="preserve"> </w:t>
      </w:r>
      <w:r w:rsidR="006043B9" w:rsidRPr="00D9566D">
        <w:rPr>
          <w:rFonts w:ascii="Arial" w:hAnsi="Arial" w:cs="Arial"/>
        </w:rPr>
        <w:t xml:space="preserve">original </w:t>
      </w:r>
      <w:r w:rsidR="0017056B" w:rsidRPr="00D9566D">
        <w:rPr>
          <w:rFonts w:ascii="Arial" w:hAnsi="Arial" w:cs="Arial"/>
        </w:rPr>
        <w:t xml:space="preserve">certificate and was duly disqualified. The </w:t>
      </w:r>
      <w:r w:rsidR="0085659E" w:rsidRPr="00D9566D">
        <w:rPr>
          <w:rFonts w:ascii="Arial" w:hAnsi="Arial" w:cs="Arial"/>
        </w:rPr>
        <w:t>a</w:t>
      </w:r>
      <w:r w:rsidR="0017056B" w:rsidRPr="00D9566D">
        <w:rPr>
          <w:rFonts w:ascii="Arial" w:hAnsi="Arial" w:cs="Arial"/>
        </w:rPr>
        <w:t xml:space="preserve">pplicant conceded that there was no express provision in the applicable procurement legislation or in the tender documentation, including the terms and conditions of tender, that conferred a discretionary power of condonation on the organ of state but contended </w:t>
      </w:r>
      <w:r w:rsidR="0085659E" w:rsidRPr="00D9566D">
        <w:rPr>
          <w:rFonts w:ascii="Arial" w:hAnsi="Arial" w:cs="Arial"/>
        </w:rPr>
        <w:t>(as</w:t>
      </w:r>
      <w:r w:rsidR="0017056B" w:rsidRPr="00D9566D">
        <w:rPr>
          <w:rFonts w:ascii="Arial" w:hAnsi="Arial" w:cs="Arial"/>
        </w:rPr>
        <w:t xml:space="preserve"> the applicant seeks to do in this matter</w:t>
      </w:r>
      <w:r w:rsidR="0085659E" w:rsidRPr="00D9566D">
        <w:rPr>
          <w:rFonts w:ascii="Arial" w:hAnsi="Arial" w:cs="Arial"/>
        </w:rPr>
        <w:t>)</w:t>
      </w:r>
      <w:r w:rsidR="0017056B" w:rsidRPr="00D9566D">
        <w:rPr>
          <w:rFonts w:ascii="Arial" w:hAnsi="Arial" w:cs="Arial"/>
        </w:rPr>
        <w:t xml:space="preserve">, </w:t>
      </w:r>
      <w:r w:rsidR="0085659E" w:rsidRPr="00D9566D">
        <w:rPr>
          <w:rFonts w:ascii="Arial" w:hAnsi="Arial" w:cs="Arial"/>
        </w:rPr>
        <w:t xml:space="preserve">that </w:t>
      </w:r>
      <w:r w:rsidR="0017056B" w:rsidRPr="00D9566D">
        <w:rPr>
          <w:rFonts w:ascii="Arial" w:hAnsi="Arial" w:cs="Arial"/>
        </w:rPr>
        <w:t xml:space="preserve">such a power could be implied </w:t>
      </w:r>
      <w:r w:rsidR="0085659E" w:rsidRPr="00D9566D">
        <w:rPr>
          <w:rFonts w:ascii="Arial" w:hAnsi="Arial" w:cs="Arial"/>
        </w:rPr>
        <w:t xml:space="preserve">from a clause in the terms and conditions of tender, which </w:t>
      </w:r>
      <w:r w:rsidR="0017056B" w:rsidRPr="00D9566D">
        <w:rPr>
          <w:rFonts w:ascii="Arial" w:hAnsi="Arial" w:cs="Arial"/>
        </w:rPr>
        <w:t>provided that the organ of state was under no obligation to accept any bid or the lowest one.</w:t>
      </w:r>
    </w:p>
    <w:p w14:paraId="1BC3B9F0" w14:textId="5DFFCC53" w:rsidR="0017056B"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45.</w:t>
      </w:r>
      <w:r w:rsidRPr="00D9566D">
        <w:rPr>
          <w:rFonts w:ascii="Arial" w:hAnsi="Arial" w:cs="Arial"/>
        </w:rPr>
        <w:tab/>
      </w:r>
      <w:r w:rsidR="0017056B" w:rsidRPr="00D9566D">
        <w:rPr>
          <w:rFonts w:ascii="Arial" w:hAnsi="Arial" w:cs="Arial"/>
        </w:rPr>
        <w:t>The SCA held</w:t>
      </w:r>
      <w:r w:rsidR="0085659E" w:rsidRPr="00D9566D">
        <w:rPr>
          <w:rStyle w:val="FootnoteReference"/>
          <w:rFonts w:ascii="Arial" w:hAnsi="Arial" w:cs="Arial"/>
        </w:rPr>
        <w:footnoteReference w:id="25"/>
      </w:r>
      <w:r w:rsidR="0017056B" w:rsidRPr="00D9566D">
        <w:rPr>
          <w:rFonts w:ascii="Arial" w:hAnsi="Arial" w:cs="Arial"/>
        </w:rPr>
        <w:t xml:space="preserve"> that</w:t>
      </w:r>
      <w:r w:rsidR="0085659E" w:rsidRPr="00D9566D">
        <w:rPr>
          <w:rFonts w:ascii="Arial" w:hAnsi="Arial" w:cs="Arial"/>
        </w:rPr>
        <w:t>,</w:t>
      </w:r>
      <w:r w:rsidR="0017056B" w:rsidRPr="00D9566D">
        <w:rPr>
          <w:rFonts w:ascii="Arial" w:hAnsi="Arial" w:cs="Arial"/>
        </w:rPr>
        <w:t xml:space="preserve"> on a proper interpretation this clause only applied to bids that had been validly submitted in the prescribed manner and not to bids that did not satisfy the prescribed minimum requirements. It held further that it was the organ of state’s prerogative to specify what would constitute a prescribed </w:t>
      </w:r>
      <w:r w:rsidR="0017056B" w:rsidRPr="00D9566D">
        <w:rPr>
          <w:rFonts w:ascii="Arial" w:hAnsi="Arial" w:cs="Arial"/>
        </w:rPr>
        <w:lastRenderedPageBreak/>
        <w:t>minimum requirement</w:t>
      </w:r>
      <w:r w:rsidR="00201F98" w:rsidRPr="00D9566D">
        <w:rPr>
          <w:rFonts w:ascii="Arial" w:hAnsi="Arial" w:cs="Arial"/>
        </w:rPr>
        <w:t>,</w:t>
      </w:r>
      <w:r w:rsidR="0017056B" w:rsidRPr="00D9566D">
        <w:rPr>
          <w:rFonts w:ascii="Arial" w:hAnsi="Arial" w:cs="Arial"/>
        </w:rPr>
        <w:t xml:space="preserve"> not the courts</w:t>
      </w:r>
      <w:r w:rsidR="00201F98" w:rsidRPr="00D9566D">
        <w:rPr>
          <w:rFonts w:ascii="Arial" w:hAnsi="Arial" w:cs="Arial"/>
        </w:rPr>
        <w:t>, and</w:t>
      </w:r>
      <w:r w:rsidR="0017056B" w:rsidRPr="00D9566D">
        <w:rPr>
          <w:rFonts w:ascii="Arial" w:hAnsi="Arial" w:cs="Arial"/>
        </w:rPr>
        <w:t xml:space="preserve"> in the matter before it </w:t>
      </w:r>
      <w:r w:rsidR="00201F98" w:rsidRPr="00D9566D">
        <w:rPr>
          <w:rFonts w:ascii="Arial" w:hAnsi="Arial" w:cs="Arial"/>
        </w:rPr>
        <w:t>one of such</w:t>
      </w:r>
      <w:r w:rsidR="0017056B" w:rsidRPr="00D9566D">
        <w:rPr>
          <w:rFonts w:ascii="Arial" w:hAnsi="Arial" w:cs="Arial"/>
        </w:rPr>
        <w:t xml:space="preserve"> requirements </w:t>
      </w:r>
      <w:r w:rsidR="00201F98" w:rsidRPr="00D9566D">
        <w:rPr>
          <w:rFonts w:ascii="Arial" w:hAnsi="Arial" w:cs="Arial"/>
        </w:rPr>
        <w:t>was</w:t>
      </w:r>
      <w:r w:rsidR="0017056B" w:rsidRPr="00D9566D">
        <w:rPr>
          <w:rFonts w:ascii="Arial" w:hAnsi="Arial" w:cs="Arial"/>
        </w:rPr>
        <w:t xml:space="preserve"> the submission of a valid, original tax clearance certificate. </w:t>
      </w:r>
      <w:r w:rsidR="00201F98" w:rsidRPr="00D9566D">
        <w:rPr>
          <w:rFonts w:ascii="Arial" w:hAnsi="Arial" w:cs="Arial"/>
        </w:rPr>
        <w:t>As t</w:t>
      </w:r>
      <w:r w:rsidR="0017056B" w:rsidRPr="00D9566D">
        <w:rPr>
          <w:rFonts w:ascii="Arial" w:hAnsi="Arial" w:cs="Arial"/>
        </w:rPr>
        <w:t xml:space="preserve">he conditions </w:t>
      </w:r>
      <w:r w:rsidR="00201F98" w:rsidRPr="00D9566D">
        <w:rPr>
          <w:rFonts w:ascii="Arial" w:hAnsi="Arial" w:cs="Arial"/>
        </w:rPr>
        <w:t xml:space="preserve">and terms </w:t>
      </w:r>
      <w:r w:rsidR="0017056B" w:rsidRPr="00D9566D">
        <w:rPr>
          <w:rFonts w:ascii="Arial" w:hAnsi="Arial" w:cs="Arial"/>
        </w:rPr>
        <w:t>of tender did not confer a discretion to condone a failure to comply with this requirement the bid therefore did not pass</w:t>
      </w:r>
      <w:r w:rsidR="00201F98" w:rsidRPr="00D9566D">
        <w:rPr>
          <w:rFonts w:ascii="Arial" w:hAnsi="Arial" w:cs="Arial"/>
        </w:rPr>
        <w:t xml:space="preserve"> the</w:t>
      </w:r>
      <w:r w:rsidR="0017056B" w:rsidRPr="00D9566D">
        <w:rPr>
          <w:rFonts w:ascii="Arial" w:hAnsi="Arial" w:cs="Arial"/>
        </w:rPr>
        <w:t xml:space="preserve"> threshold requirement and was not an acceptable one in terms of the </w:t>
      </w:r>
      <w:r w:rsidR="00201F98" w:rsidRPr="00D9566D">
        <w:rPr>
          <w:rFonts w:ascii="Arial" w:hAnsi="Arial" w:cs="Arial"/>
        </w:rPr>
        <w:t>PPFA</w:t>
      </w:r>
      <w:r w:rsidR="0017056B" w:rsidRPr="00D9566D">
        <w:rPr>
          <w:rFonts w:ascii="Arial" w:hAnsi="Arial" w:cs="Arial"/>
        </w:rPr>
        <w:t>.</w:t>
      </w:r>
      <w:r w:rsidR="0085659E" w:rsidRPr="00D9566D">
        <w:rPr>
          <w:rStyle w:val="FootnoteReference"/>
          <w:rFonts w:ascii="Arial" w:hAnsi="Arial" w:cs="Arial"/>
        </w:rPr>
        <w:footnoteReference w:id="26"/>
      </w:r>
    </w:p>
    <w:p w14:paraId="251E3C78" w14:textId="6F2D9816" w:rsidR="0017056B"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46.</w:t>
      </w:r>
      <w:r w:rsidRPr="00D9566D">
        <w:rPr>
          <w:rFonts w:ascii="Arial" w:hAnsi="Arial" w:cs="Arial"/>
        </w:rPr>
        <w:tab/>
      </w:r>
      <w:r w:rsidR="0017056B" w:rsidRPr="00D9566D">
        <w:rPr>
          <w:rFonts w:ascii="Arial" w:hAnsi="Arial" w:cs="Arial"/>
        </w:rPr>
        <w:t xml:space="preserve">The approach which was adopted in </w:t>
      </w:r>
      <w:r w:rsidR="0017056B" w:rsidRPr="00D9566D">
        <w:rPr>
          <w:rFonts w:ascii="Arial" w:hAnsi="Arial" w:cs="Arial"/>
          <w:i/>
          <w:iCs/>
        </w:rPr>
        <w:t xml:space="preserve">Moroka </w:t>
      </w:r>
      <w:r w:rsidR="0017056B" w:rsidRPr="00D9566D">
        <w:rPr>
          <w:rFonts w:ascii="Arial" w:hAnsi="Arial" w:cs="Arial"/>
        </w:rPr>
        <w:t xml:space="preserve">was endorsed by the SCA in 2018 in </w:t>
      </w:r>
      <w:r w:rsidR="0017056B" w:rsidRPr="00D9566D">
        <w:rPr>
          <w:rFonts w:ascii="Arial" w:hAnsi="Arial" w:cs="Arial"/>
          <w:i/>
          <w:iCs/>
        </w:rPr>
        <w:t>W</w:t>
      </w:r>
      <w:r w:rsidR="006043B9" w:rsidRPr="00D9566D">
        <w:rPr>
          <w:rFonts w:ascii="Arial" w:hAnsi="Arial" w:cs="Arial"/>
          <w:i/>
          <w:iCs/>
        </w:rPr>
        <w:t>D</w:t>
      </w:r>
      <w:r w:rsidR="0017056B" w:rsidRPr="00D9566D">
        <w:rPr>
          <w:rFonts w:ascii="Arial" w:hAnsi="Arial" w:cs="Arial"/>
          <w:i/>
          <w:iCs/>
        </w:rPr>
        <w:t xml:space="preserve">R </w:t>
      </w:r>
      <w:r w:rsidR="006043B9" w:rsidRPr="00D9566D">
        <w:rPr>
          <w:rFonts w:ascii="Arial" w:hAnsi="Arial" w:cs="Arial"/>
          <w:i/>
          <w:iCs/>
        </w:rPr>
        <w:t>E</w:t>
      </w:r>
      <w:r w:rsidR="0017056B" w:rsidRPr="00D9566D">
        <w:rPr>
          <w:rFonts w:ascii="Arial" w:hAnsi="Arial" w:cs="Arial"/>
          <w:i/>
          <w:iCs/>
        </w:rPr>
        <w:t>arthmoving</w:t>
      </w:r>
      <w:r w:rsidR="0017056B" w:rsidRPr="00D9566D">
        <w:rPr>
          <w:rFonts w:ascii="Arial" w:hAnsi="Arial" w:cs="Arial"/>
        </w:rPr>
        <w:t>,</w:t>
      </w:r>
      <w:r w:rsidR="006043B9" w:rsidRPr="00D9566D">
        <w:rPr>
          <w:rStyle w:val="FootnoteReference"/>
          <w:rFonts w:ascii="Arial" w:hAnsi="Arial" w:cs="Arial"/>
        </w:rPr>
        <w:footnoteReference w:id="27"/>
      </w:r>
      <w:r w:rsidR="0017056B" w:rsidRPr="00D9566D">
        <w:rPr>
          <w:rFonts w:ascii="Arial" w:hAnsi="Arial" w:cs="Arial"/>
        </w:rPr>
        <w:t xml:space="preserve"> where a bidder only submitted 2 years of annual financial statements instead of the 3 which had been prescribed. The SCA reiterated that it was for organs of state to determine the prerequisite</w:t>
      </w:r>
      <w:r w:rsidR="003759BB" w:rsidRPr="00D9566D">
        <w:rPr>
          <w:rFonts w:ascii="Arial" w:hAnsi="Arial" w:cs="Arial"/>
        </w:rPr>
        <w:t>s</w:t>
      </w:r>
      <w:r w:rsidR="0017056B" w:rsidRPr="00D9566D">
        <w:rPr>
          <w:rFonts w:ascii="Arial" w:hAnsi="Arial" w:cs="Arial"/>
        </w:rPr>
        <w:t xml:space="preserve"> for a </w:t>
      </w:r>
      <w:r w:rsidR="006C4856" w:rsidRPr="00D9566D">
        <w:rPr>
          <w:rFonts w:ascii="Arial" w:hAnsi="Arial" w:cs="Arial"/>
        </w:rPr>
        <w:t>responsive</w:t>
      </w:r>
      <w:r w:rsidR="0017056B" w:rsidRPr="00D9566D">
        <w:rPr>
          <w:rFonts w:ascii="Arial" w:hAnsi="Arial" w:cs="Arial"/>
        </w:rPr>
        <w:t xml:space="preserve"> tender submission not the </w:t>
      </w:r>
      <w:r w:rsidR="003759BB" w:rsidRPr="00D9566D">
        <w:rPr>
          <w:rFonts w:ascii="Arial" w:hAnsi="Arial" w:cs="Arial"/>
        </w:rPr>
        <w:t>C</w:t>
      </w:r>
      <w:r w:rsidR="0017056B" w:rsidRPr="00D9566D">
        <w:rPr>
          <w:rFonts w:ascii="Arial" w:hAnsi="Arial" w:cs="Arial"/>
        </w:rPr>
        <w:t>ourt</w:t>
      </w:r>
      <w:r w:rsidR="003759BB" w:rsidRPr="00D9566D">
        <w:rPr>
          <w:rFonts w:ascii="Arial" w:hAnsi="Arial" w:cs="Arial"/>
        </w:rPr>
        <w:t>,</w:t>
      </w:r>
      <w:r w:rsidR="00E1781E" w:rsidRPr="00D9566D">
        <w:rPr>
          <w:rFonts w:ascii="Arial" w:hAnsi="Arial" w:cs="Arial"/>
        </w:rPr>
        <w:t xml:space="preserve"> and the failure to comply with such requirements would ordinarily</w:t>
      </w:r>
      <w:r w:rsidR="003759BB" w:rsidRPr="00D9566D">
        <w:rPr>
          <w:rFonts w:ascii="Arial" w:hAnsi="Arial" w:cs="Arial"/>
        </w:rPr>
        <w:t xml:space="preserve"> result</w:t>
      </w:r>
      <w:r w:rsidR="00E1781E" w:rsidRPr="00D9566D">
        <w:rPr>
          <w:rFonts w:ascii="Arial" w:hAnsi="Arial" w:cs="Arial"/>
        </w:rPr>
        <w:t xml:space="preserve"> in disqualification as a </w:t>
      </w:r>
      <w:r w:rsidR="003759BB" w:rsidRPr="00D9566D">
        <w:rPr>
          <w:rFonts w:ascii="Arial" w:hAnsi="Arial" w:cs="Arial"/>
        </w:rPr>
        <w:t xml:space="preserve">non-compliant bid </w:t>
      </w:r>
      <w:r w:rsidR="00E1781E" w:rsidRPr="00D9566D">
        <w:rPr>
          <w:rFonts w:ascii="Arial" w:hAnsi="Arial" w:cs="Arial"/>
        </w:rPr>
        <w:t xml:space="preserve">would not be an acceptable one, unless, as </w:t>
      </w:r>
      <w:r w:rsidR="003759BB" w:rsidRPr="00D9566D">
        <w:rPr>
          <w:rFonts w:ascii="Arial" w:hAnsi="Arial" w:cs="Arial"/>
        </w:rPr>
        <w:t xml:space="preserve">was </w:t>
      </w:r>
      <w:r w:rsidR="00E1781E" w:rsidRPr="00D9566D">
        <w:rPr>
          <w:rFonts w:ascii="Arial" w:hAnsi="Arial" w:cs="Arial"/>
        </w:rPr>
        <w:t xml:space="preserve">held in </w:t>
      </w:r>
      <w:r w:rsidR="003759BB" w:rsidRPr="00D9566D">
        <w:rPr>
          <w:rFonts w:ascii="Arial" w:eastAsia="Times New Roman" w:hAnsi="Arial" w:cs="Arial"/>
          <w:bCs/>
          <w:i/>
          <w:iCs/>
        </w:rPr>
        <w:t>Millennium Waste</w:t>
      </w:r>
      <w:r w:rsidR="003759BB" w:rsidRPr="00D9566D">
        <w:rPr>
          <w:rFonts w:ascii="Arial" w:eastAsia="Times New Roman" w:hAnsi="Arial" w:cs="Arial"/>
          <w:bCs/>
        </w:rPr>
        <w:t xml:space="preserve"> </w:t>
      </w:r>
      <w:r w:rsidR="00E1781E" w:rsidRPr="00D9566D">
        <w:rPr>
          <w:rFonts w:ascii="Arial" w:hAnsi="Arial" w:cs="Arial"/>
        </w:rPr>
        <w:t xml:space="preserve"> the prescribed requirements or conditions of tender which had not been complied with were immaterial, unreasonable or unconstitutional.</w:t>
      </w:r>
      <w:r w:rsidR="003759BB" w:rsidRPr="00D9566D">
        <w:rPr>
          <w:rStyle w:val="FootnoteReference"/>
          <w:rFonts w:ascii="Arial" w:hAnsi="Arial" w:cs="Arial"/>
        </w:rPr>
        <w:footnoteReference w:id="28"/>
      </w:r>
      <w:r w:rsidR="00E1781E" w:rsidRPr="00D9566D">
        <w:rPr>
          <w:rFonts w:ascii="Arial" w:hAnsi="Arial" w:cs="Arial"/>
        </w:rPr>
        <w:t xml:space="preserve"> In addition, </w:t>
      </w:r>
      <w:r w:rsidR="003759BB" w:rsidRPr="00D9566D">
        <w:rPr>
          <w:rFonts w:ascii="Arial" w:hAnsi="Arial" w:cs="Arial"/>
        </w:rPr>
        <w:t>it</w:t>
      </w:r>
      <w:r w:rsidR="00E1781E" w:rsidRPr="00D9566D">
        <w:rPr>
          <w:rFonts w:ascii="Arial" w:hAnsi="Arial" w:cs="Arial"/>
        </w:rPr>
        <w:t xml:space="preserve"> reiterated that an administrative tender authority has no inherent power to condone a failure </w:t>
      </w:r>
      <w:r w:rsidR="003759BB" w:rsidRPr="00D9566D">
        <w:rPr>
          <w:rFonts w:ascii="Arial" w:hAnsi="Arial" w:cs="Arial"/>
        </w:rPr>
        <w:t xml:space="preserve">to </w:t>
      </w:r>
      <w:r w:rsidR="00E1781E" w:rsidRPr="00D9566D">
        <w:rPr>
          <w:rFonts w:ascii="Arial" w:hAnsi="Arial" w:cs="Arial"/>
        </w:rPr>
        <w:t>comply with peremptory requirements set by it, unless it has been afforded a discretion to do so, either in terms of a legislative provision or the terms and conditions of tender.</w:t>
      </w:r>
      <w:r w:rsidR="003759BB" w:rsidRPr="00D9566D">
        <w:rPr>
          <w:rStyle w:val="FootnoteReference"/>
          <w:rFonts w:ascii="Arial" w:hAnsi="Arial" w:cs="Arial"/>
        </w:rPr>
        <w:footnoteReference w:id="29"/>
      </w:r>
      <w:r w:rsidR="00E1781E" w:rsidRPr="00D9566D">
        <w:rPr>
          <w:rFonts w:ascii="Arial" w:hAnsi="Arial" w:cs="Arial"/>
        </w:rPr>
        <w:t xml:space="preserve"> </w:t>
      </w:r>
      <w:r w:rsidR="003759BB" w:rsidRPr="00D9566D">
        <w:rPr>
          <w:rFonts w:ascii="Arial" w:hAnsi="Arial" w:cs="Arial"/>
        </w:rPr>
        <w:t xml:space="preserve">Consequently, </w:t>
      </w:r>
      <w:r w:rsidR="00E1781E" w:rsidRPr="00D9566D">
        <w:rPr>
          <w:rFonts w:ascii="Arial" w:hAnsi="Arial" w:cs="Arial"/>
        </w:rPr>
        <w:t xml:space="preserve">as it was  peremptory </w:t>
      </w:r>
      <w:r w:rsidR="00F127E2" w:rsidRPr="00D9566D">
        <w:rPr>
          <w:rFonts w:ascii="Arial" w:hAnsi="Arial" w:cs="Arial"/>
        </w:rPr>
        <w:t>i</w:t>
      </w:r>
      <w:r w:rsidR="00F127E2" w:rsidRPr="00D9566D">
        <w:rPr>
          <w:rFonts w:ascii="Arial" w:hAnsi="Arial" w:cs="Arial"/>
          <w:lang w:val="en-ZA"/>
        </w:rPr>
        <w:t>n</w:t>
      </w:r>
      <w:r w:rsidR="0084626E" w:rsidRPr="00D9566D">
        <w:rPr>
          <w:rFonts w:ascii="Arial" w:hAnsi="Arial" w:cs="Arial"/>
          <w:lang w:val="en-ZA"/>
        </w:rPr>
        <w:t xml:space="preserve"> </w:t>
      </w:r>
      <w:r w:rsidR="00F127E2" w:rsidRPr="00D9566D">
        <w:rPr>
          <w:rFonts w:ascii="Arial" w:hAnsi="Arial" w:cs="Arial"/>
          <w:lang w:val="en-ZA"/>
        </w:rPr>
        <w:t>terms of both the invitation to tender and procurement regulations</w:t>
      </w:r>
      <w:r w:rsidR="00F127E2" w:rsidRPr="00D9566D">
        <w:rPr>
          <w:rFonts w:ascii="Arial" w:hAnsi="Arial" w:cs="Arial"/>
        </w:rPr>
        <w:t xml:space="preserve"> </w:t>
      </w:r>
      <w:r w:rsidR="00E1781E" w:rsidRPr="00D9566D">
        <w:rPr>
          <w:rFonts w:ascii="Arial" w:hAnsi="Arial" w:cs="Arial"/>
        </w:rPr>
        <w:t>for bidders to submit 3 years of annual financial statements</w:t>
      </w:r>
      <w:r w:rsidR="003759BB" w:rsidRPr="00D9566D">
        <w:rPr>
          <w:rFonts w:ascii="Arial" w:hAnsi="Arial" w:cs="Arial"/>
        </w:rPr>
        <w:t xml:space="preserve"> </w:t>
      </w:r>
      <w:r w:rsidR="00E1781E" w:rsidRPr="00D9566D">
        <w:rPr>
          <w:rFonts w:ascii="Arial" w:hAnsi="Arial" w:cs="Arial"/>
        </w:rPr>
        <w:t>the bidder’s non-compliance w</w:t>
      </w:r>
      <w:r w:rsidR="003759BB" w:rsidRPr="00D9566D">
        <w:rPr>
          <w:rFonts w:ascii="Arial" w:hAnsi="Arial" w:cs="Arial"/>
        </w:rPr>
        <w:t xml:space="preserve">as </w:t>
      </w:r>
      <w:r w:rsidR="00E1781E" w:rsidRPr="00D9566D">
        <w:rPr>
          <w:rFonts w:ascii="Arial" w:hAnsi="Arial" w:cs="Arial"/>
        </w:rPr>
        <w:t>not trivial or minor</w:t>
      </w:r>
      <w:r w:rsidR="003759BB" w:rsidRPr="00D9566D">
        <w:rPr>
          <w:rFonts w:ascii="Arial" w:hAnsi="Arial" w:cs="Arial"/>
        </w:rPr>
        <w:t>, and</w:t>
      </w:r>
      <w:r w:rsidR="00F127E2" w:rsidRPr="00D9566D">
        <w:rPr>
          <w:rFonts w:ascii="Arial" w:hAnsi="Arial" w:cs="Arial"/>
        </w:rPr>
        <w:t xml:space="preserve"> the condition which</w:t>
      </w:r>
      <w:r w:rsidR="003759BB" w:rsidRPr="00D9566D">
        <w:rPr>
          <w:rFonts w:ascii="Arial" w:hAnsi="Arial" w:cs="Arial"/>
        </w:rPr>
        <w:t xml:space="preserve"> </w:t>
      </w:r>
      <w:r w:rsidR="00E1781E" w:rsidRPr="00D9566D">
        <w:rPr>
          <w:rFonts w:ascii="Arial" w:hAnsi="Arial" w:cs="Arial"/>
        </w:rPr>
        <w:t>prescrib</w:t>
      </w:r>
      <w:r w:rsidR="00F127E2" w:rsidRPr="00D9566D">
        <w:rPr>
          <w:rFonts w:ascii="Arial" w:hAnsi="Arial" w:cs="Arial"/>
        </w:rPr>
        <w:t>ed</w:t>
      </w:r>
      <w:r w:rsidR="00E1781E" w:rsidRPr="00D9566D">
        <w:rPr>
          <w:rFonts w:ascii="Arial" w:hAnsi="Arial" w:cs="Arial"/>
        </w:rPr>
        <w:t xml:space="preserve"> </w:t>
      </w:r>
      <w:r w:rsidR="00F127E2" w:rsidRPr="00D9566D">
        <w:rPr>
          <w:rFonts w:ascii="Arial" w:hAnsi="Arial" w:cs="Arial"/>
        </w:rPr>
        <w:t>it to be</w:t>
      </w:r>
      <w:r w:rsidR="00E1781E" w:rsidRPr="00D9566D">
        <w:rPr>
          <w:rFonts w:ascii="Arial" w:hAnsi="Arial" w:cs="Arial"/>
        </w:rPr>
        <w:t xml:space="preserve"> a minimum qualifying requirement was not </w:t>
      </w:r>
      <w:r w:rsidR="00F127E2" w:rsidRPr="00D9566D">
        <w:rPr>
          <w:rFonts w:ascii="Arial" w:hAnsi="Arial" w:cs="Arial"/>
        </w:rPr>
        <w:t>im</w:t>
      </w:r>
      <w:r w:rsidR="00E1781E" w:rsidRPr="00D9566D">
        <w:rPr>
          <w:rFonts w:ascii="Arial" w:hAnsi="Arial" w:cs="Arial"/>
        </w:rPr>
        <w:t>material, unreasonable or unconstitutional.</w:t>
      </w:r>
      <w:r w:rsidR="00F127E2" w:rsidRPr="00D9566D">
        <w:rPr>
          <w:rStyle w:val="FootnoteReference"/>
          <w:rFonts w:ascii="Arial" w:hAnsi="Arial" w:cs="Arial"/>
        </w:rPr>
        <w:footnoteReference w:id="30"/>
      </w:r>
      <w:r w:rsidR="00E1781E" w:rsidRPr="00D9566D">
        <w:rPr>
          <w:rFonts w:ascii="Arial" w:hAnsi="Arial" w:cs="Arial"/>
        </w:rPr>
        <w:t xml:space="preserve"> The SCA further </w:t>
      </w:r>
      <w:r w:rsidR="00F127E2" w:rsidRPr="00D9566D">
        <w:rPr>
          <w:rFonts w:ascii="Arial" w:hAnsi="Arial" w:cs="Arial"/>
        </w:rPr>
        <w:t>confirmed</w:t>
      </w:r>
      <w:r w:rsidR="00E1781E" w:rsidRPr="00D9566D">
        <w:rPr>
          <w:rFonts w:ascii="Arial" w:hAnsi="Arial" w:cs="Arial"/>
        </w:rPr>
        <w:t xml:space="preserve">, </w:t>
      </w:r>
      <w:r w:rsidR="00965BC9" w:rsidRPr="00D9566D">
        <w:rPr>
          <w:rFonts w:ascii="Arial" w:hAnsi="Arial" w:cs="Arial"/>
        </w:rPr>
        <w:t>as per</w:t>
      </w:r>
      <w:r w:rsidR="00E1781E" w:rsidRPr="00D9566D">
        <w:rPr>
          <w:rFonts w:ascii="Arial" w:hAnsi="Arial" w:cs="Arial"/>
        </w:rPr>
        <w:t xml:space="preserve"> </w:t>
      </w:r>
      <w:r w:rsidR="0084626E" w:rsidRPr="00D9566D">
        <w:rPr>
          <w:rFonts w:ascii="Arial" w:hAnsi="Arial" w:cs="Arial"/>
        </w:rPr>
        <w:t>its</w:t>
      </w:r>
      <w:r w:rsidR="00E1781E" w:rsidRPr="00D9566D">
        <w:rPr>
          <w:rFonts w:ascii="Arial" w:hAnsi="Arial" w:cs="Arial"/>
        </w:rPr>
        <w:t xml:space="preserve"> decision </w:t>
      </w:r>
      <w:r w:rsidR="0084626E" w:rsidRPr="00D9566D">
        <w:rPr>
          <w:rFonts w:ascii="Arial" w:hAnsi="Arial" w:cs="Arial"/>
        </w:rPr>
        <w:t xml:space="preserve">in </w:t>
      </w:r>
      <w:r w:rsidR="0084626E" w:rsidRPr="00D9566D">
        <w:rPr>
          <w:rFonts w:ascii="Arial" w:eastAsia="Times New Roman" w:hAnsi="Arial" w:cs="Arial"/>
          <w:bCs/>
          <w:i/>
          <w:iCs/>
        </w:rPr>
        <w:t>Millennium Waste</w:t>
      </w:r>
      <w:r w:rsidR="0084626E" w:rsidRPr="00D9566D">
        <w:rPr>
          <w:rFonts w:ascii="Arial" w:eastAsia="Times New Roman" w:hAnsi="Arial" w:cs="Arial"/>
          <w:bCs/>
        </w:rPr>
        <w:t xml:space="preserve"> </w:t>
      </w:r>
      <w:r w:rsidR="009843C4" w:rsidRPr="00D9566D">
        <w:rPr>
          <w:rFonts w:ascii="Arial" w:eastAsia="Times New Roman" w:hAnsi="Arial" w:cs="Arial"/>
          <w:bCs/>
        </w:rPr>
        <w:t xml:space="preserve">and </w:t>
      </w:r>
      <w:r w:rsidR="0084626E" w:rsidRPr="00D9566D">
        <w:rPr>
          <w:rFonts w:ascii="Arial" w:eastAsia="Times New Roman" w:hAnsi="Arial" w:cs="Arial"/>
          <w:bCs/>
        </w:rPr>
        <w:t>a</w:t>
      </w:r>
      <w:r w:rsidR="0095293E" w:rsidRPr="00D9566D">
        <w:rPr>
          <w:rFonts w:ascii="Arial" w:eastAsia="Times New Roman" w:hAnsi="Arial" w:cs="Arial"/>
          <w:bCs/>
        </w:rPr>
        <w:t>s endorsed in</w:t>
      </w:r>
      <w:r w:rsidR="0084626E" w:rsidRPr="00D9566D">
        <w:rPr>
          <w:rFonts w:ascii="Arial" w:eastAsia="Times New Roman" w:hAnsi="Arial" w:cs="Arial"/>
          <w:bCs/>
        </w:rPr>
        <w:t xml:space="preserve"> the subsequent decision </w:t>
      </w:r>
      <w:r w:rsidR="00E1781E" w:rsidRPr="00D9566D">
        <w:rPr>
          <w:rFonts w:ascii="Arial" w:hAnsi="Arial" w:cs="Arial"/>
        </w:rPr>
        <w:t xml:space="preserve">of the CC in </w:t>
      </w:r>
      <w:r w:rsidR="00F127E2" w:rsidRPr="00D9566D">
        <w:rPr>
          <w:rFonts w:ascii="Arial" w:hAnsi="Arial" w:cs="Arial"/>
          <w:i/>
          <w:iCs/>
        </w:rPr>
        <w:t>All</w:t>
      </w:r>
      <w:r w:rsidR="00E1781E" w:rsidRPr="00D9566D">
        <w:rPr>
          <w:rFonts w:ascii="Arial" w:hAnsi="Arial" w:cs="Arial"/>
          <w:i/>
          <w:iCs/>
        </w:rPr>
        <w:t>pay</w:t>
      </w:r>
      <w:r w:rsidR="0095293E" w:rsidRPr="00D9566D">
        <w:rPr>
          <w:rFonts w:ascii="Arial" w:hAnsi="Arial" w:cs="Arial"/>
          <w:i/>
          <w:iCs/>
        </w:rPr>
        <w:t>,</w:t>
      </w:r>
      <w:r w:rsidR="00F127E2" w:rsidRPr="00D9566D">
        <w:rPr>
          <w:rStyle w:val="FootnoteReference"/>
          <w:rFonts w:ascii="Arial" w:hAnsi="Arial" w:cs="Arial"/>
        </w:rPr>
        <w:footnoteReference w:id="31"/>
      </w:r>
      <w:r w:rsidR="00E1781E" w:rsidRPr="00D9566D">
        <w:rPr>
          <w:rFonts w:ascii="Arial" w:hAnsi="Arial" w:cs="Arial"/>
        </w:rPr>
        <w:t xml:space="preserve"> that whether the</w:t>
      </w:r>
      <w:r w:rsidR="00965BC9" w:rsidRPr="00D9566D">
        <w:rPr>
          <w:rFonts w:ascii="Arial" w:hAnsi="Arial" w:cs="Arial"/>
        </w:rPr>
        <w:t>re</w:t>
      </w:r>
      <w:r w:rsidR="00E1781E" w:rsidRPr="00D9566D">
        <w:rPr>
          <w:rFonts w:ascii="Arial" w:hAnsi="Arial" w:cs="Arial"/>
        </w:rPr>
        <w:t xml:space="preserve"> ha</w:t>
      </w:r>
      <w:r w:rsidR="00965BC9" w:rsidRPr="00D9566D">
        <w:rPr>
          <w:rFonts w:ascii="Arial" w:hAnsi="Arial" w:cs="Arial"/>
        </w:rPr>
        <w:t>s</w:t>
      </w:r>
      <w:r w:rsidR="00E1781E" w:rsidRPr="00D9566D">
        <w:rPr>
          <w:rFonts w:ascii="Arial" w:hAnsi="Arial" w:cs="Arial"/>
        </w:rPr>
        <w:t xml:space="preserve"> been material non-compliance with a condition or provision of </w:t>
      </w:r>
      <w:r w:rsidR="00F127E2" w:rsidRPr="00D9566D">
        <w:rPr>
          <w:rFonts w:ascii="Arial" w:hAnsi="Arial" w:cs="Arial"/>
        </w:rPr>
        <w:t xml:space="preserve">an invitation to </w:t>
      </w:r>
      <w:r w:rsidR="00E1781E" w:rsidRPr="00D9566D">
        <w:rPr>
          <w:rFonts w:ascii="Arial" w:hAnsi="Arial" w:cs="Arial"/>
        </w:rPr>
        <w:t xml:space="preserve">tender </w:t>
      </w:r>
      <w:r w:rsidR="00965BC9" w:rsidRPr="00D9566D">
        <w:rPr>
          <w:rFonts w:ascii="Arial" w:hAnsi="Arial" w:cs="Arial"/>
        </w:rPr>
        <w:t>i</w:t>
      </w:r>
      <w:r w:rsidR="00E1781E" w:rsidRPr="00D9566D">
        <w:rPr>
          <w:rFonts w:ascii="Arial" w:hAnsi="Arial" w:cs="Arial"/>
        </w:rPr>
        <w:t>s to be determined by considering the issue in the light of the purpose of the provision or condition concerned.</w:t>
      </w:r>
    </w:p>
    <w:p w14:paraId="23B58ACF" w14:textId="6EAF75BC" w:rsidR="00E1781E"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47.</w:t>
      </w:r>
      <w:r w:rsidRPr="00D9566D">
        <w:rPr>
          <w:rFonts w:ascii="Arial" w:hAnsi="Arial" w:cs="Arial"/>
        </w:rPr>
        <w:tab/>
      </w:r>
      <w:r w:rsidR="00E1781E" w:rsidRPr="00D9566D">
        <w:rPr>
          <w:rFonts w:ascii="Arial" w:hAnsi="Arial" w:cs="Arial"/>
        </w:rPr>
        <w:t xml:space="preserve">In </w:t>
      </w:r>
      <w:r w:rsidR="00F127E2" w:rsidRPr="00D9566D">
        <w:rPr>
          <w:rFonts w:ascii="Arial" w:hAnsi="Arial" w:cs="Arial"/>
          <w:i/>
          <w:iCs/>
        </w:rPr>
        <w:t>Allpay</w:t>
      </w:r>
      <w:r w:rsidR="00E1781E" w:rsidRPr="00D9566D">
        <w:rPr>
          <w:rFonts w:ascii="Arial" w:hAnsi="Arial" w:cs="Arial"/>
        </w:rPr>
        <w:t xml:space="preserve"> the special conditions in the tender invitation had stipulated that </w:t>
      </w:r>
      <w:r w:rsidR="00F127E2" w:rsidRPr="00D9566D">
        <w:rPr>
          <w:rFonts w:ascii="Arial" w:hAnsi="Arial" w:cs="Arial"/>
        </w:rPr>
        <w:t>if</w:t>
      </w:r>
      <w:r w:rsidR="00E1781E" w:rsidRPr="00D9566D">
        <w:rPr>
          <w:rFonts w:ascii="Arial" w:hAnsi="Arial" w:cs="Arial"/>
        </w:rPr>
        <w:t xml:space="preserve"> bidders wished to </w:t>
      </w:r>
      <w:r w:rsidR="00F127E2" w:rsidRPr="00D9566D">
        <w:rPr>
          <w:rFonts w:ascii="Arial" w:hAnsi="Arial" w:cs="Arial"/>
        </w:rPr>
        <w:t>tender</w:t>
      </w:r>
      <w:r w:rsidR="00E1781E" w:rsidRPr="00D9566D">
        <w:rPr>
          <w:rFonts w:ascii="Arial" w:hAnsi="Arial" w:cs="Arial"/>
        </w:rPr>
        <w:t xml:space="preserve"> to adminis</w:t>
      </w:r>
      <w:r w:rsidR="00F127E2" w:rsidRPr="00D9566D">
        <w:rPr>
          <w:rFonts w:ascii="Arial" w:hAnsi="Arial" w:cs="Arial"/>
        </w:rPr>
        <w:t>ter</w:t>
      </w:r>
      <w:r w:rsidR="00E1781E" w:rsidRPr="00D9566D">
        <w:rPr>
          <w:rFonts w:ascii="Arial" w:hAnsi="Arial" w:cs="Arial"/>
        </w:rPr>
        <w:t xml:space="preserve"> social grants </w:t>
      </w:r>
      <w:r w:rsidR="00F127E2" w:rsidRPr="00D9566D">
        <w:rPr>
          <w:rFonts w:ascii="Arial" w:hAnsi="Arial" w:cs="Arial"/>
        </w:rPr>
        <w:t>on</w:t>
      </w:r>
      <w:r w:rsidR="00E1781E" w:rsidRPr="00D9566D">
        <w:rPr>
          <w:rFonts w:ascii="Arial" w:hAnsi="Arial" w:cs="Arial"/>
        </w:rPr>
        <w:t xml:space="preserve"> behalf of </w:t>
      </w:r>
      <w:r w:rsidR="00F127E2" w:rsidRPr="00D9566D">
        <w:rPr>
          <w:rFonts w:ascii="Arial" w:hAnsi="Arial" w:cs="Arial"/>
        </w:rPr>
        <w:t xml:space="preserve">SASSA (the South African </w:t>
      </w:r>
      <w:r w:rsidR="00E1781E" w:rsidRPr="00D9566D">
        <w:rPr>
          <w:rFonts w:ascii="Arial" w:hAnsi="Arial" w:cs="Arial"/>
        </w:rPr>
        <w:t xml:space="preserve">Social Security </w:t>
      </w:r>
      <w:r w:rsidR="00F127E2" w:rsidRPr="00D9566D">
        <w:rPr>
          <w:rFonts w:ascii="Arial" w:hAnsi="Arial" w:cs="Arial"/>
        </w:rPr>
        <w:t>A</w:t>
      </w:r>
      <w:r w:rsidR="00E1781E" w:rsidRPr="00D9566D">
        <w:rPr>
          <w:rFonts w:ascii="Arial" w:hAnsi="Arial" w:cs="Arial"/>
        </w:rPr>
        <w:t>gency</w:t>
      </w:r>
      <w:r w:rsidR="00F127E2" w:rsidRPr="00D9566D">
        <w:rPr>
          <w:rFonts w:ascii="Arial" w:hAnsi="Arial" w:cs="Arial"/>
        </w:rPr>
        <w:t>)</w:t>
      </w:r>
      <w:r w:rsidR="00E1781E" w:rsidRPr="00D9566D">
        <w:rPr>
          <w:rFonts w:ascii="Arial" w:hAnsi="Arial" w:cs="Arial"/>
        </w:rPr>
        <w:t xml:space="preserve"> in more than one province</w:t>
      </w:r>
      <w:r w:rsidR="002A5D5B" w:rsidRPr="00D9566D">
        <w:rPr>
          <w:rFonts w:ascii="Arial" w:hAnsi="Arial" w:cs="Arial"/>
        </w:rPr>
        <w:t>,</w:t>
      </w:r>
      <w:r w:rsidR="00E1781E" w:rsidRPr="00D9566D">
        <w:rPr>
          <w:rFonts w:ascii="Arial" w:hAnsi="Arial" w:cs="Arial"/>
        </w:rPr>
        <w:t xml:space="preserve"> the</w:t>
      </w:r>
      <w:r w:rsidR="00F127E2" w:rsidRPr="00D9566D">
        <w:rPr>
          <w:rFonts w:ascii="Arial" w:hAnsi="Arial" w:cs="Arial"/>
        </w:rPr>
        <w:t>y were to submit</w:t>
      </w:r>
      <w:r w:rsidR="00E1781E" w:rsidRPr="00D9566D">
        <w:rPr>
          <w:rFonts w:ascii="Arial" w:hAnsi="Arial" w:cs="Arial"/>
        </w:rPr>
        <w:t xml:space="preserve"> separate b</w:t>
      </w:r>
      <w:r w:rsidR="00DE334B" w:rsidRPr="00D9566D">
        <w:rPr>
          <w:rFonts w:ascii="Arial" w:hAnsi="Arial" w:cs="Arial"/>
        </w:rPr>
        <w:t>i</w:t>
      </w:r>
      <w:r w:rsidR="00E1781E" w:rsidRPr="00D9566D">
        <w:rPr>
          <w:rFonts w:ascii="Arial" w:hAnsi="Arial" w:cs="Arial"/>
        </w:rPr>
        <w:t xml:space="preserve">ds for each province. One of the </w:t>
      </w:r>
      <w:r w:rsidR="00F127E2" w:rsidRPr="00D9566D">
        <w:rPr>
          <w:rFonts w:ascii="Arial" w:hAnsi="Arial" w:cs="Arial"/>
        </w:rPr>
        <w:t>bidders submitted</w:t>
      </w:r>
      <w:r w:rsidR="00E1781E" w:rsidRPr="00D9566D">
        <w:rPr>
          <w:rFonts w:ascii="Arial" w:hAnsi="Arial" w:cs="Arial"/>
        </w:rPr>
        <w:t xml:space="preserve"> a single, </w:t>
      </w:r>
      <w:r w:rsidR="00F127E2" w:rsidRPr="00D9566D">
        <w:rPr>
          <w:rFonts w:ascii="Arial" w:hAnsi="Arial" w:cs="Arial"/>
        </w:rPr>
        <w:t>g</w:t>
      </w:r>
      <w:r w:rsidR="00E1781E" w:rsidRPr="00D9566D">
        <w:rPr>
          <w:rFonts w:ascii="Arial" w:hAnsi="Arial" w:cs="Arial"/>
        </w:rPr>
        <w:t>lobular bid for all 9 provinces instead of 9 separate ones</w:t>
      </w:r>
      <w:r w:rsidR="00F127E2" w:rsidRPr="00D9566D">
        <w:rPr>
          <w:rFonts w:ascii="Arial" w:hAnsi="Arial" w:cs="Arial"/>
        </w:rPr>
        <w:t xml:space="preserve"> and </w:t>
      </w:r>
      <w:r w:rsidR="00DE334B" w:rsidRPr="00D9566D">
        <w:rPr>
          <w:rFonts w:ascii="Arial" w:hAnsi="Arial" w:cs="Arial"/>
        </w:rPr>
        <w:t>was</w:t>
      </w:r>
      <w:r w:rsidR="00F127E2" w:rsidRPr="00D9566D">
        <w:rPr>
          <w:rFonts w:ascii="Arial" w:hAnsi="Arial" w:cs="Arial"/>
        </w:rPr>
        <w:t xml:space="preserve"> disqualified as a result. On appeal it contended that </w:t>
      </w:r>
      <w:r w:rsidR="00C50567" w:rsidRPr="00D9566D">
        <w:rPr>
          <w:rFonts w:ascii="Arial" w:hAnsi="Arial" w:cs="Arial"/>
        </w:rPr>
        <w:t>its failure to comply exactly or strictly with this requirement should be overlooked, a</w:t>
      </w:r>
      <w:r w:rsidR="002A5D5B" w:rsidRPr="00D9566D">
        <w:rPr>
          <w:rFonts w:ascii="Arial" w:hAnsi="Arial" w:cs="Arial"/>
        </w:rPr>
        <w:t>s</w:t>
      </w:r>
      <w:r w:rsidR="00C50567" w:rsidRPr="00D9566D">
        <w:rPr>
          <w:rFonts w:ascii="Arial" w:hAnsi="Arial" w:cs="Arial"/>
        </w:rPr>
        <w:t xml:space="preserve"> there had been substantial compliance</w:t>
      </w:r>
      <w:r w:rsidR="00E1781E" w:rsidRPr="00D9566D">
        <w:rPr>
          <w:rFonts w:ascii="Arial" w:hAnsi="Arial" w:cs="Arial"/>
        </w:rPr>
        <w:t>.</w:t>
      </w:r>
    </w:p>
    <w:p w14:paraId="5D4BAE88" w14:textId="706693AA" w:rsidR="00E1781E"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48.</w:t>
      </w:r>
      <w:r w:rsidRPr="00D9566D">
        <w:rPr>
          <w:rFonts w:ascii="Arial" w:hAnsi="Arial" w:cs="Arial"/>
        </w:rPr>
        <w:tab/>
      </w:r>
      <w:r w:rsidR="00E1781E" w:rsidRPr="00D9566D">
        <w:rPr>
          <w:rFonts w:ascii="Arial" w:hAnsi="Arial" w:cs="Arial"/>
        </w:rPr>
        <w:t>The CC pointed out</w:t>
      </w:r>
      <w:r w:rsidR="00DE334B" w:rsidRPr="00D9566D">
        <w:rPr>
          <w:rFonts w:ascii="Arial" w:hAnsi="Arial" w:cs="Arial"/>
        </w:rPr>
        <w:t xml:space="preserve"> </w:t>
      </w:r>
      <w:r w:rsidR="00F127E2" w:rsidRPr="00D9566D">
        <w:rPr>
          <w:rStyle w:val="FootnoteReference"/>
          <w:rFonts w:ascii="Arial" w:hAnsi="Arial" w:cs="Arial"/>
        </w:rPr>
        <w:footnoteReference w:id="32"/>
      </w:r>
      <w:r w:rsidR="00E1781E" w:rsidRPr="00D9566D">
        <w:rPr>
          <w:rFonts w:ascii="Arial" w:hAnsi="Arial" w:cs="Arial"/>
        </w:rPr>
        <w:t xml:space="preserve"> that whereas the materiality of non-compliance with legal requirements or conditions in administrative law previously depended on whether they were mandatory or peremptory, as opposed to merely directory</w:t>
      </w:r>
      <w:r w:rsidR="00C50567" w:rsidRPr="00D9566D">
        <w:rPr>
          <w:rFonts w:ascii="Arial" w:hAnsi="Arial" w:cs="Arial"/>
        </w:rPr>
        <w:t>, and on the basis of this distinction i</w:t>
      </w:r>
      <w:r w:rsidR="00E1781E" w:rsidRPr="00D9566D">
        <w:rPr>
          <w:rFonts w:ascii="Arial" w:hAnsi="Arial" w:cs="Arial"/>
        </w:rPr>
        <w:t xml:space="preserve">n the case of the former strict compliance was required whilst in the case of the latter substantial compliance </w:t>
      </w:r>
      <w:r w:rsidR="00C50567" w:rsidRPr="00D9566D">
        <w:rPr>
          <w:rFonts w:ascii="Arial" w:hAnsi="Arial" w:cs="Arial"/>
        </w:rPr>
        <w:t>would</w:t>
      </w:r>
      <w:r w:rsidR="00E1781E" w:rsidRPr="00D9566D">
        <w:rPr>
          <w:rFonts w:ascii="Arial" w:hAnsi="Arial" w:cs="Arial"/>
        </w:rPr>
        <w:t xml:space="preserve"> </w:t>
      </w:r>
      <w:r w:rsidR="00DE334B" w:rsidRPr="00D9566D">
        <w:rPr>
          <w:rFonts w:ascii="Arial" w:hAnsi="Arial" w:cs="Arial"/>
        </w:rPr>
        <w:t>do</w:t>
      </w:r>
      <w:r w:rsidR="00C50567" w:rsidRPr="00D9566D">
        <w:rPr>
          <w:rFonts w:ascii="Arial" w:hAnsi="Arial" w:cs="Arial"/>
        </w:rPr>
        <w:t>,</w:t>
      </w:r>
      <w:r w:rsidR="00E1781E" w:rsidRPr="00D9566D">
        <w:rPr>
          <w:rFonts w:ascii="Arial" w:hAnsi="Arial" w:cs="Arial"/>
        </w:rPr>
        <w:t xml:space="preserve"> this </w:t>
      </w:r>
      <w:r w:rsidR="00DE334B" w:rsidRPr="00D9566D">
        <w:rPr>
          <w:rFonts w:ascii="Arial" w:hAnsi="Arial" w:cs="Arial"/>
        </w:rPr>
        <w:t>‘</w:t>
      </w:r>
      <w:r w:rsidR="00E1781E" w:rsidRPr="00D9566D">
        <w:rPr>
          <w:rFonts w:ascii="Arial" w:hAnsi="Arial" w:cs="Arial"/>
        </w:rPr>
        <w:t xml:space="preserve">mechanical </w:t>
      </w:r>
      <w:r w:rsidR="00C50567" w:rsidRPr="00D9566D">
        <w:rPr>
          <w:rFonts w:ascii="Arial" w:hAnsi="Arial" w:cs="Arial"/>
        </w:rPr>
        <w:t>approach</w:t>
      </w:r>
      <w:r w:rsidR="00DE334B" w:rsidRPr="00D9566D">
        <w:rPr>
          <w:rFonts w:ascii="Arial" w:hAnsi="Arial" w:cs="Arial"/>
        </w:rPr>
        <w:t>’</w:t>
      </w:r>
      <w:r w:rsidR="00E1781E" w:rsidRPr="00D9566D">
        <w:rPr>
          <w:rFonts w:ascii="Arial" w:hAnsi="Arial" w:cs="Arial"/>
        </w:rPr>
        <w:t xml:space="preserve"> had since been discarded and the ‘central element’ in determining whether </w:t>
      </w:r>
      <w:r w:rsidR="00DE334B" w:rsidRPr="00D9566D">
        <w:rPr>
          <w:rFonts w:ascii="Arial" w:hAnsi="Arial" w:cs="Arial"/>
        </w:rPr>
        <w:t xml:space="preserve">a bidder’s response </w:t>
      </w:r>
      <w:r w:rsidR="00E1781E" w:rsidRPr="00D9566D">
        <w:rPr>
          <w:rFonts w:ascii="Arial" w:hAnsi="Arial" w:cs="Arial"/>
        </w:rPr>
        <w:t xml:space="preserve">was </w:t>
      </w:r>
      <w:r w:rsidR="00DE334B" w:rsidRPr="00D9566D">
        <w:rPr>
          <w:rFonts w:ascii="Arial" w:hAnsi="Arial" w:cs="Arial"/>
        </w:rPr>
        <w:t xml:space="preserve">sufficient </w:t>
      </w:r>
      <w:r w:rsidR="00E1781E" w:rsidRPr="00D9566D">
        <w:rPr>
          <w:rFonts w:ascii="Arial" w:hAnsi="Arial" w:cs="Arial"/>
        </w:rPr>
        <w:t xml:space="preserve">was to link the </w:t>
      </w:r>
      <w:r w:rsidR="00DE334B" w:rsidRPr="00D9566D">
        <w:rPr>
          <w:rFonts w:ascii="Arial" w:hAnsi="Arial" w:cs="Arial"/>
        </w:rPr>
        <w:t>issue</w:t>
      </w:r>
      <w:r w:rsidR="00E1781E" w:rsidRPr="00D9566D">
        <w:rPr>
          <w:rFonts w:ascii="Arial" w:hAnsi="Arial" w:cs="Arial"/>
        </w:rPr>
        <w:t xml:space="preserve"> of compliance with the purpose of the provision</w:t>
      </w:r>
      <w:r w:rsidR="00C50567" w:rsidRPr="00D9566D">
        <w:rPr>
          <w:rFonts w:ascii="Arial" w:hAnsi="Arial" w:cs="Arial"/>
        </w:rPr>
        <w:t xml:space="preserve"> or condition which had not been </w:t>
      </w:r>
      <w:r w:rsidR="00C50567" w:rsidRPr="00D9566D">
        <w:rPr>
          <w:rFonts w:ascii="Arial" w:hAnsi="Arial" w:cs="Arial"/>
        </w:rPr>
        <w:lastRenderedPageBreak/>
        <w:t>strictly or exactly complied with</w:t>
      </w:r>
      <w:r w:rsidR="00E1781E" w:rsidRPr="00D9566D">
        <w:rPr>
          <w:rFonts w:ascii="Arial" w:hAnsi="Arial" w:cs="Arial"/>
        </w:rPr>
        <w:t xml:space="preserve">. </w:t>
      </w:r>
      <w:r w:rsidR="00C50567" w:rsidRPr="00D9566D">
        <w:rPr>
          <w:rFonts w:ascii="Arial" w:hAnsi="Arial" w:cs="Arial"/>
        </w:rPr>
        <w:t xml:space="preserve">What was </w:t>
      </w:r>
      <w:r w:rsidR="00E1781E" w:rsidRPr="00D9566D">
        <w:rPr>
          <w:rFonts w:ascii="Arial" w:hAnsi="Arial" w:cs="Arial"/>
        </w:rPr>
        <w:t xml:space="preserve">required </w:t>
      </w:r>
      <w:r w:rsidR="00785DFD" w:rsidRPr="00D9566D">
        <w:rPr>
          <w:rFonts w:ascii="Arial" w:hAnsi="Arial" w:cs="Arial"/>
        </w:rPr>
        <w:t xml:space="preserve">essentially </w:t>
      </w:r>
      <w:r w:rsidR="002A5D5B" w:rsidRPr="00D9566D">
        <w:rPr>
          <w:rFonts w:ascii="Arial" w:hAnsi="Arial" w:cs="Arial"/>
        </w:rPr>
        <w:t>wa</w:t>
      </w:r>
      <w:r w:rsidR="00E1781E" w:rsidRPr="00D9566D">
        <w:rPr>
          <w:rFonts w:ascii="Arial" w:hAnsi="Arial" w:cs="Arial"/>
        </w:rPr>
        <w:t xml:space="preserve">s </w:t>
      </w:r>
      <w:r w:rsidR="00C50567" w:rsidRPr="00D9566D">
        <w:rPr>
          <w:rFonts w:ascii="Arial" w:hAnsi="Arial" w:cs="Arial"/>
        </w:rPr>
        <w:t xml:space="preserve">to determine </w:t>
      </w:r>
      <w:r w:rsidR="00E1781E" w:rsidRPr="00D9566D">
        <w:rPr>
          <w:rFonts w:ascii="Arial" w:hAnsi="Arial" w:cs="Arial"/>
        </w:rPr>
        <w:t>whether</w:t>
      </w:r>
      <w:r w:rsidR="00C50567" w:rsidRPr="00D9566D">
        <w:rPr>
          <w:rFonts w:ascii="Arial" w:hAnsi="Arial" w:cs="Arial"/>
        </w:rPr>
        <w:t>,</w:t>
      </w:r>
      <w:r w:rsidR="00E1781E" w:rsidRPr="00D9566D">
        <w:rPr>
          <w:rFonts w:ascii="Arial" w:hAnsi="Arial" w:cs="Arial"/>
        </w:rPr>
        <w:t xml:space="preserve"> viewed in the light of </w:t>
      </w:r>
      <w:r w:rsidR="00DE334B" w:rsidRPr="00D9566D">
        <w:rPr>
          <w:rFonts w:ascii="Arial" w:hAnsi="Arial" w:cs="Arial"/>
        </w:rPr>
        <w:t>the</w:t>
      </w:r>
      <w:r w:rsidR="00E1781E" w:rsidRPr="00D9566D">
        <w:rPr>
          <w:rFonts w:ascii="Arial" w:hAnsi="Arial" w:cs="Arial"/>
        </w:rPr>
        <w:t xml:space="preserve"> purpose</w:t>
      </w:r>
      <w:r w:rsidR="00C50567" w:rsidRPr="00D9566D">
        <w:rPr>
          <w:rFonts w:ascii="Arial" w:hAnsi="Arial" w:cs="Arial"/>
        </w:rPr>
        <w:t xml:space="preserve"> </w:t>
      </w:r>
      <w:r w:rsidR="00DE334B" w:rsidRPr="00D9566D">
        <w:rPr>
          <w:rFonts w:ascii="Arial" w:hAnsi="Arial" w:cs="Arial"/>
        </w:rPr>
        <w:t xml:space="preserve">of the condition or provision, </w:t>
      </w:r>
      <w:r w:rsidR="00C50567" w:rsidRPr="00D9566D">
        <w:rPr>
          <w:rFonts w:ascii="Arial" w:hAnsi="Arial" w:cs="Arial"/>
        </w:rPr>
        <w:t>the bidder ha</w:t>
      </w:r>
      <w:r w:rsidR="00E62B2C" w:rsidRPr="00D9566D">
        <w:rPr>
          <w:rFonts w:ascii="Arial" w:hAnsi="Arial" w:cs="Arial"/>
        </w:rPr>
        <w:t>d</w:t>
      </w:r>
      <w:r w:rsidR="00C50567" w:rsidRPr="00D9566D">
        <w:rPr>
          <w:rFonts w:ascii="Arial" w:hAnsi="Arial" w:cs="Arial"/>
        </w:rPr>
        <w:t xml:space="preserve"> done what was required</w:t>
      </w:r>
      <w:r w:rsidR="00E1781E" w:rsidRPr="00D9566D">
        <w:rPr>
          <w:rFonts w:ascii="Arial" w:hAnsi="Arial" w:cs="Arial"/>
        </w:rPr>
        <w:t>.</w:t>
      </w:r>
    </w:p>
    <w:p w14:paraId="0648EF07" w14:textId="69751CD0" w:rsidR="00E1781E"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49.</w:t>
      </w:r>
      <w:r w:rsidRPr="00D9566D">
        <w:rPr>
          <w:rFonts w:ascii="Arial" w:hAnsi="Arial" w:cs="Arial"/>
        </w:rPr>
        <w:tab/>
      </w:r>
      <w:r w:rsidR="00E1781E" w:rsidRPr="00D9566D">
        <w:rPr>
          <w:rFonts w:ascii="Arial" w:hAnsi="Arial" w:cs="Arial"/>
        </w:rPr>
        <w:t xml:space="preserve">The purpose of requiring separate bids </w:t>
      </w:r>
      <w:r w:rsidR="00DE334B" w:rsidRPr="00D9566D">
        <w:rPr>
          <w:rFonts w:ascii="Arial" w:hAnsi="Arial" w:cs="Arial"/>
        </w:rPr>
        <w:t xml:space="preserve">for </w:t>
      </w:r>
      <w:r w:rsidR="00E1781E" w:rsidRPr="00D9566D">
        <w:rPr>
          <w:rFonts w:ascii="Arial" w:hAnsi="Arial" w:cs="Arial"/>
        </w:rPr>
        <w:t xml:space="preserve">each of the provinces was to enable </w:t>
      </w:r>
      <w:r w:rsidR="00DE334B" w:rsidRPr="00D9566D">
        <w:rPr>
          <w:rFonts w:ascii="Arial" w:hAnsi="Arial" w:cs="Arial"/>
        </w:rPr>
        <w:t>SASSA</w:t>
      </w:r>
      <w:r w:rsidR="00E1781E" w:rsidRPr="00D9566D">
        <w:rPr>
          <w:rFonts w:ascii="Arial" w:hAnsi="Arial" w:cs="Arial"/>
        </w:rPr>
        <w:t xml:space="preserve"> to </w:t>
      </w:r>
      <w:r w:rsidR="00DE334B" w:rsidRPr="00D9566D">
        <w:rPr>
          <w:rFonts w:ascii="Arial" w:hAnsi="Arial" w:cs="Arial"/>
        </w:rPr>
        <w:t>assess</w:t>
      </w:r>
      <w:r w:rsidR="00E1781E" w:rsidRPr="00D9566D">
        <w:rPr>
          <w:rFonts w:ascii="Arial" w:hAnsi="Arial" w:cs="Arial"/>
        </w:rPr>
        <w:t xml:space="preserve"> whether the bidder would be able to provide the </w:t>
      </w:r>
      <w:r w:rsidR="00DE334B" w:rsidRPr="00D9566D">
        <w:rPr>
          <w:rFonts w:ascii="Arial" w:hAnsi="Arial" w:cs="Arial"/>
        </w:rPr>
        <w:t>necessary</w:t>
      </w:r>
      <w:r w:rsidR="00E1781E" w:rsidRPr="00D9566D">
        <w:rPr>
          <w:rFonts w:ascii="Arial" w:hAnsi="Arial" w:cs="Arial"/>
        </w:rPr>
        <w:t xml:space="preserve"> services in each of the provinces for which it bid. As th</w:t>
      </w:r>
      <w:r w:rsidR="0084626E" w:rsidRPr="00D9566D">
        <w:rPr>
          <w:rFonts w:ascii="Arial" w:hAnsi="Arial" w:cs="Arial"/>
        </w:rPr>
        <w:t>is</w:t>
      </w:r>
      <w:r w:rsidR="00E1781E" w:rsidRPr="00D9566D">
        <w:rPr>
          <w:rFonts w:ascii="Arial" w:hAnsi="Arial" w:cs="Arial"/>
        </w:rPr>
        <w:t xml:space="preserve"> purpose was </w:t>
      </w:r>
      <w:r w:rsidR="00DE334B" w:rsidRPr="00D9566D">
        <w:rPr>
          <w:rFonts w:ascii="Arial" w:hAnsi="Arial" w:cs="Arial"/>
        </w:rPr>
        <w:t>att</w:t>
      </w:r>
      <w:r w:rsidR="00E1781E" w:rsidRPr="00D9566D">
        <w:rPr>
          <w:rFonts w:ascii="Arial" w:hAnsi="Arial" w:cs="Arial"/>
        </w:rPr>
        <w:t xml:space="preserve">ained in the single </w:t>
      </w:r>
      <w:r w:rsidR="00DE334B" w:rsidRPr="00D9566D">
        <w:rPr>
          <w:rFonts w:ascii="Arial" w:hAnsi="Arial" w:cs="Arial"/>
        </w:rPr>
        <w:t>bid submission</w:t>
      </w:r>
      <w:r w:rsidR="00E1781E" w:rsidRPr="00D9566D">
        <w:rPr>
          <w:rFonts w:ascii="Arial" w:hAnsi="Arial" w:cs="Arial"/>
        </w:rPr>
        <w:t xml:space="preserve"> which had been put forward </w:t>
      </w:r>
      <w:r w:rsidR="00DE334B" w:rsidRPr="00D9566D">
        <w:rPr>
          <w:rFonts w:ascii="Arial" w:hAnsi="Arial" w:cs="Arial"/>
        </w:rPr>
        <w:t>the</w:t>
      </w:r>
      <w:r w:rsidR="00E1781E" w:rsidRPr="00D9566D">
        <w:rPr>
          <w:rFonts w:ascii="Arial" w:hAnsi="Arial" w:cs="Arial"/>
        </w:rPr>
        <w:t xml:space="preserve"> </w:t>
      </w:r>
      <w:r w:rsidR="002A5D5B" w:rsidRPr="00D9566D">
        <w:rPr>
          <w:rFonts w:ascii="Arial" w:hAnsi="Arial" w:cs="Arial"/>
        </w:rPr>
        <w:t xml:space="preserve">CC was of the view that the </w:t>
      </w:r>
      <w:r w:rsidR="00E1781E" w:rsidRPr="00D9566D">
        <w:rPr>
          <w:rFonts w:ascii="Arial" w:hAnsi="Arial" w:cs="Arial"/>
        </w:rPr>
        <w:t xml:space="preserve">non-compliance was not material. However, the bidder still ultimately lost on appeal on the basis that </w:t>
      </w:r>
      <w:r w:rsidR="0084626E" w:rsidRPr="00D9566D">
        <w:rPr>
          <w:rFonts w:ascii="Arial" w:hAnsi="Arial" w:cs="Arial"/>
        </w:rPr>
        <w:t>SASSA had</w:t>
      </w:r>
      <w:r w:rsidR="00E1781E" w:rsidRPr="00D9566D">
        <w:rPr>
          <w:rFonts w:ascii="Arial" w:hAnsi="Arial" w:cs="Arial"/>
        </w:rPr>
        <w:t xml:space="preserve"> failed to properly assess and confirm whether its b</w:t>
      </w:r>
      <w:r w:rsidR="0084626E" w:rsidRPr="00D9566D">
        <w:rPr>
          <w:rFonts w:ascii="Arial" w:hAnsi="Arial" w:cs="Arial"/>
        </w:rPr>
        <w:t>id</w:t>
      </w:r>
      <w:r w:rsidR="00E1781E" w:rsidRPr="00D9566D">
        <w:rPr>
          <w:rFonts w:ascii="Arial" w:hAnsi="Arial" w:cs="Arial"/>
        </w:rPr>
        <w:t xml:space="preserve"> complied with empowerment and transformation requirements.</w:t>
      </w:r>
      <w:r w:rsidR="00F127E2" w:rsidRPr="00D9566D">
        <w:rPr>
          <w:rFonts w:ascii="Arial" w:hAnsi="Arial" w:cs="Arial"/>
        </w:rPr>
        <w:t xml:space="preserve"> </w:t>
      </w:r>
    </w:p>
    <w:p w14:paraId="5250CCAA" w14:textId="542C3FAA" w:rsidR="00E1781E"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50.</w:t>
      </w:r>
      <w:r w:rsidRPr="00D9566D">
        <w:rPr>
          <w:rFonts w:ascii="Arial" w:hAnsi="Arial" w:cs="Arial"/>
        </w:rPr>
        <w:tab/>
      </w:r>
      <w:r w:rsidR="0084626E" w:rsidRPr="00D9566D">
        <w:rPr>
          <w:rFonts w:ascii="Arial" w:hAnsi="Arial" w:cs="Arial"/>
        </w:rPr>
        <w:t xml:space="preserve">In </w:t>
      </w:r>
      <w:r w:rsidR="00E1781E" w:rsidRPr="00D9566D">
        <w:rPr>
          <w:rFonts w:ascii="Arial" w:hAnsi="Arial" w:cs="Arial"/>
        </w:rPr>
        <w:t xml:space="preserve">2018 the SCA similarly endorsed the approach which had been </w:t>
      </w:r>
      <w:r w:rsidR="0084626E" w:rsidRPr="00D9566D">
        <w:rPr>
          <w:rFonts w:ascii="Arial" w:hAnsi="Arial" w:cs="Arial"/>
        </w:rPr>
        <w:t>adopted</w:t>
      </w:r>
      <w:r w:rsidR="00E1781E" w:rsidRPr="00D9566D">
        <w:rPr>
          <w:rFonts w:ascii="Arial" w:hAnsi="Arial" w:cs="Arial"/>
        </w:rPr>
        <w:t xml:space="preserve"> in </w:t>
      </w:r>
      <w:r w:rsidR="00E1781E" w:rsidRPr="00D9566D">
        <w:rPr>
          <w:rFonts w:ascii="Arial" w:hAnsi="Arial" w:cs="Arial"/>
          <w:i/>
          <w:iCs/>
        </w:rPr>
        <w:t>Moroka</w:t>
      </w:r>
      <w:r w:rsidR="0084626E" w:rsidRPr="00D9566D">
        <w:rPr>
          <w:rFonts w:ascii="Arial" w:hAnsi="Arial" w:cs="Arial"/>
          <w:i/>
          <w:iCs/>
        </w:rPr>
        <w:t>,</w:t>
      </w:r>
      <w:r w:rsidR="00E1781E" w:rsidRPr="00D9566D">
        <w:rPr>
          <w:rFonts w:ascii="Arial" w:hAnsi="Arial" w:cs="Arial"/>
        </w:rPr>
        <w:t xml:space="preserve"> in </w:t>
      </w:r>
      <w:r w:rsidR="00E1781E" w:rsidRPr="00D9566D">
        <w:rPr>
          <w:rFonts w:ascii="Arial" w:hAnsi="Arial" w:cs="Arial"/>
          <w:i/>
          <w:iCs/>
        </w:rPr>
        <w:t xml:space="preserve">Overstrand </w:t>
      </w:r>
      <w:r w:rsidR="0084626E" w:rsidRPr="00D9566D">
        <w:rPr>
          <w:rFonts w:ascii="Arial" w:hAnsi="Arial" w:cs="Arial"/>
          <w:i/>
          <w:iCs/>
        </w:rPr>
        <w:t>M</w:t>
      </w:r>
      <w:r w:rsidR="00E1781E" w:rsidRPr="00D9566D">
        <w:rPr>
          <w:rFonts w:ascii="Arial" w:hAnsi="Arial" w:cs="Arial"/>
          <w:i/>
          <w:iCs/>
        </w:rPr>
        <w:t>unicipality</w:t>
      </w:r>
      <w:r w:rsidR="00E1781E" w:rsidRPr="00D9566D">
        <w:rPr>
          <w:rFonts w:ascii="Arial" w:hAnsi="Arial" w:cs="Arial"/>
        </w:rPr>
        <w:t>,</w:t>
      </w:r>
      <w:r w:rsidR="0095293E" w:rsidRPr="00D9566D">
        <w:rPr>
          <w:rStyle w:val="FootnoteReference"/>
          <w:rFonts w:ascii="Arial" w:hAnsi="Arial" w:cs="Arial"/>
        </w:rPr>
        <w:footnoteReference w:id="33"/>
      </w:r>
      <w:r w:rsidR="00E1781E" w:rsidRPr="00D9566D">
        <w:rPr>
          <w:rFonts w:ascii="Arial" w:hAnsi="Arial" w:cs="Arial"/>
        </w:rPr>
        <w:t xml:space="preserve"> which concerned an appeal against </w:t>
      </w:r>
      <w:r w:rsidR="0084626E" w:rsidRPr="00D9566D">
        <w:rPr>
          <w:rFonts w:ascii="Arial" w:hAnsi="Arial" w:cs="Arial"/>
        </w:rPr>
        <w:t>a</w:t>
      </w:r>
      <w:r w:rsidR="00E1781E" w:rsidRPr="00D9566D">
        <w:rPr>
          <w:rFonts w:ascii="Arial" w:hAnsi="Arial" w:cs="Arial"/>
        </w:rPr>
        <w:t xml:space="preserve"> decision which set aside the award of </w:t>
      </w:r>
      <w:r w:rsidR="0084626E" w:rsidRPr="00D9566D">
        <w:rPr>
          <w:rFonts w:ascii="Arial" w:hAnsi="Arial" w:cs="Arial"/>
        </w:rPr>
        <w:t>a</w:t>
      </w:r>
      <w:r w:rsidR="00E1781E" w:rsidRPr="00D9566D">
        <w:rPr>
          <w:rFonts w:ascii="Arial" w:hAnsi="Arial" w:cs="Arial"/>
        </w:rPr>
        <w:t xml:space="preserve"> tender </w:t>
      </w:r>
      <w:r w:rsidR="0084626E" w:rsidRPr="00D9566D">
        <w:rPr>
          <w:rFonts w:ascii="Arial" w:hAnsi="Arial" w:cs="Arial"/>
        </w:rPr>
        <w:t>(</w:t>
      </w:r>
      <w:r w:rsidR="00E1781E" w:rsidRPr="00D9566D">
        <w:rPr>
          <w:rFonts w:ascii="Arial" w:hAnsi="Arial" w:cs="Arial"/>
        </w:rPr>
        <w:t xml:space="preserve">for the operation and maintenance of </w:t>
      </w:r>
      <w:r w:rsidR="0084626E" w:rsidRPr="00D9566D">
        <w:rPr>
          <w:rFonts w:ascii="Arial" w:hAnsi="Arial" w:cs="Arial"/>
        </w:rPr>
        <w:t>a</w:t>
      </w:r>
      <w:r w:rsidR="00E1781E" w:rsidRPr="00D9566D">
        <w:rPr>
          <w:rFonts w:ascii="Arial" w:hAnsi="Arial" w:cs="Arial"/>
        </w:rPr>
        <w:t xml:space="preserve"> municipalit</w:t>
      </w:r>
      <w:r w:rsidR="0084626E" w:rsidRPr="00D9566D">
        <w:rPr>
          <w:rFonts w:ascii="Arial" w:hAnsi="Arial" w:cs="Arial"/>
        </w:rPr>
        <w:t>y’s</w:t>
      </w:r>
      <w:r w:rsidR="00E1781E" w:rsidRPr="00D9566D">
        <w:rPr>
          <w:rFonts w:ascii="Arial" w:hAnsi="Arial" w:cs="Arial"/>
        </w:rPr>
        <w:t xml:space="preserve"> bulk water and sewerage infrastructure</w:t>
      </w:r>
      <w:r w:rsidR="0084626E" w:rsidRPr="00D9566D">
        <w:rPr>
          <w:rFonts w:ascii="Arial" w:hAnsi="Arial" w:cs="Arial"/>
        </w:rPr>
        <w:t>)</w:t>
      </w:r>
      <w:r w:rsidR="00E1781E" w:rsidRPr="00D9566D">
        <w:rPr>
          <w:rFonts w:ascii="Arial" w:hAnsi="Arial" w:cs="Arial"/>
        </w:rPr>
        <w:t xml:space="preserve"> to a bidder who, in its bid</w:t>
      </w:r>
      <w:r w:rsidR="0084626E" w:rsidRPr="00D9566D">
        <w:rPr>
          <w:rFonts w:ascii="Arial" w:hAnsi="Arial" w:cs="Arial"/>
        </w:rPr>
        <w:t xml:space="preserve"> submission</w:t>
      </w:r>
      <w:r w:rsidR="00E1781E" w:rsidRPr="00D9566D">
        <w:rPr>
          <w:rFonts w:ascii="Arial" w:hAnsi="Arial" w:cs="Arial"/>
        </w:rPr>
        <w:t xml:space="preserve">, had failed to comply with certain prescribed minimum </w:t>
      </w:r>
      <w:r w:rsidR="0084626E" w:rsidRPr="00D9566D">
        <w:rPr>
          <w:rFonts w:ascii="Arial" w:hAnsi="Arial" w:cs="Arial"/>
        </w:rPr>
        <w:t xml:space="preserve">staffing </w:t>
      </w:r>
      <w:r w:rsidR="00E1781E" w:rsidRPr="00D9566D">
        <w:rPr>
          <w:rFonts w:ascii="Arial" w:hAnsi="Arial" w:cs="Arial"/>
        </w:rPr>
        <w:t>requirements</w:t>
      </w:r>
      <w:r w:rsidR="0084626E" w:rsidRPr="00D9566D">
        <w:rPr>
          <w:rFonts w:ascii="Arial" w:hAnsi="Arial" w:cs="Arial"/>
        </w:rPr>
        <w:t>,</w:t>
      </w:r>
      <w:r w:rsidR="0079410D" w:rsidRPr="00D9566D">
        <w:rPr>
          <w:rFonts w:ascii="Arial" w:hAnsi="Arial" w:cs="Arial"/>
        </w:rPr>
        <w:t xml:space="preserve"> as prescribed </w:t>
      </w:r>
      <w:r w:rsidR="00785DFD" w:rsidRPr="00D9566D">
        <w:rPr>
          <w:rFonts w:ascii="Arial" w:hAnsi="Arial" w:cs="Arial"/>
        </w:rPr>
        <w:t>by</w:t>
      </w:r>
      <w:r w:rsidR="0084626E" w:rsidRPr="00D9566D">
        <w:rPr>
          <w:rFonts w:ascii="Arial" w:hAnsi="Arial" w:cs="Arial"/>
        </w:rPr>
        <w:t xml:space="preserve"> </w:t>
      </w:r>
      <w:r w:rsidR="0079410D" w:rsidRPr="00D9566D">
        <w:rPr>
          <w:rFonts w:ascii="Arial" w:hAnsi="Arial" w:cs="Arial"/>
        </w:rPr>
        <w:t>regulation</w:t>
      </w:r>
      <w:r w:rsidR="0084626E" w:rsidRPr="00D9566D">
        <w:rPr>
          <w:rFonts w:ascii="Arial" w:hAnsi="Arial" w:cs="Arial"/>
        </w:rPr>
        <w:t>.</w:t>
      </w:r>
      <w:r w:rsidR="0084626E" w:rsidRPr="00D9566D">
        <w:rPr>
          <w:rStyle w:val="FootnoteReference"/>
          <w:rFonts w:ascii="Arial" w:hAnsi="Arial" w:cs="Arial"/>
        </w:rPr>
        <w:footnoteReference w:id="34"/>
      </w:r>
      <w:r w:rsidR="002A5D5B" w:rsidRPr="00D9566D">
        <w:rPr>
          <w:rFonts w:ascii="Arial" w:hAnsi="Arial" w:cs="Arial"/>
        </w:rPr>
        <w:t xml:space="preserve"> </w:t>
      </w:r>
      <w:r w:rsidR="00E62B2C" w:rsidRPr="00D9566D">
        <w:rPr>
          <w:rFonts w:ascii="Arial" w:hAnsi="Arial" w:cs="Arial"/>
        </w:rPr>
        <w:t>T</w:t>
      </w:r>
      <w:r w:rsidR="0079410D" w:rsidRPr="00D9566D">
        <w:rPr>
          <w:rFonts w:ascii="Arial" w:hAnsi="Arial" w:cs="Arial"/>
        </w:rPr>
        <w:t xml:space="preserve">he requirements were aimed at ensuring a consistent supply of the right quality and quantity of water and the optimisation and preservation of the operations and infrastructure used to </w:t>
      </w:r>
      <w:r w:rsidR="002A5D5B" w:rsidRPr="00D9566D">
        <w:rPr>
          <w:rFonts w:ascii="Arial" w:hAnsi="Arial" w:cs="Arial"/>
        </w:rPr>
        <w:t>provide</w:t>
      </w:r>
      <w:r w:rsidR="0079410D" w:rsidRPr="00D9566D">
        <w:rPr>
          <w:rFonts w:ascii="Arial" w:hAnsi="Arial" w:cs="Arial"/>
        </w:rPr>
        <w:t xml:space="preserve"> it. </w:t>
      </w:r>
      <w:r w:rsidR="00E62B2C" w:rsidRPr="00D9566D">
        <w:rPr>
          <w:rFonts w:ascii="Arial" w:hAnsi="Arial" w:cs="Arial"/>
        </w:rPr>
        <w:t>The SCA reaffirmed that, w</w:t>
      </w:r>
      <w:r w:rsidR="0079410D" w:rsidRPr="00D9566D">
        <w:rPr>
          <w:rFonts w:ascii="Arial" w:hAnsi="Arial" w:cs="Arial"/>
        </w:rPr>
        <w:t>hilst one should guard against invalidating tender</w:t>
      </w:r>
      <w:r w:rsidR="0084626E" w:rsidRPr="00D9566D">
        <w:rPr>
          <w:rFonts w:ascii="Arial" w:hAnsi="Arial" w:cs="Arial"/>
        </w:rPr>
        <w:t>s</w:t>
      </w:r>
      <w:r w:rsidR="0079410D" w:rsidRPr="00D9566D">
        <w:rPr>
          <w:rFonts w:ascii="Arial" w:hAnsi="Arial" w:cs="Arial"/>
        </w:rPr>
        <w:t xml:space="preserve"> which suffered from minor deviations </w:t>
      </w:r>
      <w:r w:rsidR="0084626E" w:rsidRPr="00D9566D">
        <w:rPr>
          <w:rFonts w:ascii="Arial" w:hAnsi="Arial" w:cs="Arial"/>
        </w:rPr>
        <w:t xml:space="preserve">which </w:t>
      </w:r>
      <w:r w:rsidR="0079410D" w:rsidRPr="00D9566D">
        <w:rPr>
          <w:rFonts w:ascii="Arial" w:hAnsi="Arial" w:cs="Arial"/>
        </w:rPr>
        <w:t xml:space="preserve">did not materially depart from the </w:t>
      </w:r>
      <w:r w:rsidR="00785DFD" w:rsidRPr="00D9566D">
        <w:rPr>
          <w:rFonts w:ascii="Arial" w:hAnsi="Arial" w:cs="Arial"/>
        </w:rPr>
        <w:t>‘</w:t>
      </w:r>
      <w:r w:rsidR="0079410D" w:rsidRPr="00D9566D">
        <w:rPr>
          <w:rFonts w:ascii="Arial" w:hAnsi="Arial" w:cs="Arial"/>
        </w:rPr>
        <w:t>characteristics, terms, conditions and other requirements</w:t>
      </w:r>
      <w:r w:rsidR="00785DFD" w:rsidRPr="00D9566D">
        <w:rPr>
          <w:rFonts w:ascii="Arial" w:hAnsi="Arial" w:cs="Arial"/>
        </w:rPr>
        <w:t>’</w:t>
      </w:r>
      <w:r w:rsidR="0079410D" w:rsidRPr="00D9566D">
        <w:rPr>
          <w:rFonts w:ascii="Arial" w:hAnsi="Arial" w:cs="Arial"/>
        </w:rPr>
        <w:t xml:space="preserve"> set out </w:t>
      </w:r>
      <w:r w:rsidR="0084626E" w:rsidRPr="00D9566D">
        <w:rPr>
          <w:rFonts w:ascii="Arial" w:hAnsi="Arial" w:cs="Arial"/>
        </w:rPr>
        <w:t xml:space="preserve">in </w:t>
      </w:r>
      <w:r w:rsidR="0079410D" w:rsidRPr="00D9566D">
        <w:rPr>
          <w:rFonts w:ascii="Arial" w:hAnsi="Arial" w:cs="Arial"/>
        </w:rPr>
        <w:t xml:space="preserve">a tender invitation, where the non-compliance was not of </w:t>
      </w:r>
      <w:r w:rsidR="00785DFD" w:rsidRPr="00D9566D">
        <w:rPr>
          <w:rFonts w:ascii="Arial" w:hAnsi="Arial" w:cs="Arial"/>
        </w:rPr>
        <w:t>a</w:t>
      </w:r>
      <w:r w:rsidR="0079410D" w:rsidRPr="00D9566D">
        <w:rPr>
          <w:rFonts w:ascii="Arial" w:hAnsi="Arial" w:cs="Arial"/>
        </w:rPr>
        <w:t xml:space="preserve"> trivial </w:t>
      </w:r>
      <w:r w:rsidR="00785DFD" w:rsidRPr="00D9566D">
        <w:rPr>
          <w:rFonts w:ascii="Arial" w:hAnsi="Arial" w:cs="Arial"/>
        </w:rPr>
        <w:t xml:space="preserve">or </w:t>
      </w:r>
      <w:r w:rsidR="0079410D" w:rsidRPr="00D9566D">
        <w:rPr>
          <w:rFonts w:ascii="Arial" w:hAnsi="Arial" w:cs="Arial"/>
        </w:rPr>
        <w:t>minor nature and was in breach of a peremptory term</w:t>
      </w:r>
      <w:r w:rsidR="00785DFD" w:rsidRPr="00D9566D">
        <w:rPr>
          <w:rFonts w:ascii="Arial" w:hAnsi="Arial" w:cs="Arial"/>
        </w:rPr>
        <w:t>,</w:t>
      </w:r>
      <w:r w:rsidR="0095293E" w:rsidRPr="00D9566D">
        <w:rPr>
          <w:rFonts w:ascii="Arial" w:hAnsi="Arial" w:cs="Arial"/>
        </w:rPr>
        <w:t xml:space="preserve"> the bid would not be an acceptable one</w:t>
      </w:r>
      <w:r w:rsidR="0079410D" w:rsidRPr="00D9566D">
        <w:rPr>
          <w:rFonts w:ascii="Arial" w:hAnsi="Arial" w:cs="Arial"/>
        </w:rPr>
        <w:t>.</w:t>
      </w:r>
      <w:r w:rsidR="00785DFD" w:rsidRPr="00D9566D">
        <w:rPr>
          <w:rStyle w:val="FootnoteReference"/>
          <w:rFonts w:ascii="Arial" w:hAnsi="Arial" w:cs="Arial"/>
        </w:rPr>
        <w:footnoteReference w:id="35"/>
      </w:r>
      <w:r w:rsidR="0079410D" w:rsidRPr="00D9566D">
        <w:rPr>
          <w:rFonts w:ascii="Arial" w:hAnsi="Arial" w:cs="Arial"/>
        </w:rPr>
        <w:t xml:space="preserve"> </w:t>
      </w:r>
    </w:p>
    <w:p w14:paraId="2297318C" w14:textId="4BCD6524" w:rsidR="0079410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51.</w:t>
      </w:r>
      <w:r w:rsidRPr="00D9566D">
        <w:rPr>
          <w:rFonts w:ascii="Arial" w:hAnsi="Arial" w:cs="Arial"/>
        </w:rPr>
        <w:tab/>
      </w:r>
      <w:r w:rsidR="0079410D" w:rsidRPr="00D9566D">
        <w:rPr>
          <w:rFonts w:ascii="Arial" w:hAnsi="Arial" w:cs="Arial"/>
        </w:rPr>
        <w:t xml:space="preserve">The most recent decision of the SCA on this aspect of the law is that in </w:t>
      </w:r>
      <w:r w:rsidR="0079410D" w:rsidRPr="00D9566D">
        <w:rPr>
          <w:rFonts w:ascii="Arial" w:hAnsi="Arial" w:cs="Arial"/>
          <w:i/>
          <w:iCs/>
        </w:rPr>
        <w:t>Eskom Holdings</w:t>
      </w:r>
      <w:r w:rsidR="0079410D" w:rsidRPr="00D9566D">
        <w:rPr>
          <w:rFonts w:ascii="Arial" w:hAnsi="Arial" w:cs="Arial"/>
        </w:rPr>
        <w:t>,</w:t>
      </w:r>
      <w:r w:rsidR="00785DFD" w:rsidRPr="00D9566D">
        <w:rPr>
          <w:rStyle w:val="FootnoteReference"/>
          <w:rFonts w:ascii="Arial" w:hAnsi="Arial" w:cs="Arial"/>
        </w:rPr>
        <w:footnoteReference w:id="36"/>
      </w:r>
      <w:r w:rsidR="0079410D" w:rsidRPr="00D9566D">
        <w:rPr>
          <w:rFonts w:ascii="Arial" w:hAnsi="Arial" w:cs="Arial"/>
        </w:rPr>
        <w:t xml:space="preserve"> in which judgment was handed down on 29 April 2024. It concerned an appeal by Eskom against the judgment and order of the North Gauteng High Court</w:t>
      </w:r>
      <w:r w:rsidR="00E62B2C" w:rsidRPr="00D9566D">
        <w:rPr>
          <w:rFonts w:ascii="Arial" w:hAnsi="Arial" w:cs="Arial"/>
        </w:rPr>
        <w:t>,</w:t>
      </w:r>
      <w:r w:rsidR="0079410D" w:rsidRPr="00D9566D">
        <w:rPr>
          <w:rFonts w:ascii="Arial" w:hAnsi="Arial" w:cs="Arial"/>
        </w:rPr>
        <w:t xml:space="preserve"> which upheld </w:t>
      </w:r>
      <w:r w:rsidR="003E187D" w:rsidRPr="00D9566D">
        <w:rPr>
          <w:rFonts w:ascii="Arial" w:hAnsi="Arial" w:cs="Arial"/>
        </w:rPr>
        <w:t>an</w:t>
      </w:r>
      <w:r w:rsidR="0079410D" w:rsidRPr="00D9566D">
        <w:rPr>
          <w:rFonts w:ascii="Arial" w:hAnsi="Arial" w:cs="Arial"/>
        </w:rPr>
        <w:t xml:space="preserve"> application to review and set aside the award of certain tenders for the provision of maintenance and ou</w:t>
      </w:r>
      <w:r w:rsidR="003E187D" w:rsidRPr="00D9566D">
        <w:rPr>
          <w:rFonts w:ascii="Arial" w:hAnsi="Arial" w:cs="Arial"/>
        </w:rPr>
        <w:t>tage</w:t>
      </w:r>
      <w:r w:rsidR="0079410D" w:rsidRPr="00D9566D">
        <w:rPr>
          <w:rFonts w:ascii="Arial" w:hAnsi="Arial" w:cs="Arial"/>
        </w:rPr>
        <w:t xml:space="preserve"> services at power stations. The </w:t>
      </w:r>
      <w:r w:rsidR="003E187D" w:rsidRPr="00D9566D">
        <w:rPr>
          <w:rFonts w:ascii="Arial" w:hAnsi="Arial" w:cs="Arial"/>
        </w:rPr>
        <w:t>dis</w:t>
      </w:r>
      <w:r w:rsidR="0079410D" w:rsidRPr="00D9566D">
        <w:rPr>
          <w:rFonts w:ascii="Arial" w:hAnsi="Arial" w:cs="Arial"/>
        </w:rPr>
        <w:t xml:space="preserve">satisfied bidder, Babcock, </w:t>
      </w:r>
      <w:r w:rsidR="002A5D5B" w:rsidRPr="00D9566D">
        <w:rPr>
          <w:rFonts w:ascii="Arial" w:hAnsi="Arial" w:cs="Arial"/>
        </w:rPr>
        <w:t xml:space="preserve">was </w:t>
      </w:r>
      <w:r w:rsidR="0079410D" w:rsidRPr="00D9566D">
        <w:rPr>
          <w:rFonts w:ascii="Arial" w:hAnsi="Arial" w:cs="Arial"/>
        </w:rPr>
        <w:t xml:space="preserve">disqualified for failing to submit proof of certification in terms of ISO 3834 i.e. certification of its capacity in terms of standards set by the International </w:t>
      </w:r>
      <w:r w:rsidR="003E187D" w:rsidRPr="00D9566D">
        <w:rPr>
          <w:rFonts w:ascii="Arial" w:hAnsi="Arial" w:cs="Arial"/>
        </w:rPr>
        <w:t>O</w:t>
      </w:r>
      <w:r w:rsidR="0079410D" w:rsidRPr="00D9566D">
        <w:rPr>
          <w:rFonts w:ascii="Arial" w:hAnsi="Arial" w:cs="Arial"/>
        </w:rPr>
        <w:t xml:space="preserve">rganisation for </w:t>
      </w:r>
      <w:r w:rsidR="003E187D" w:rsidRPr="00D9566D">
        <w:rPr>
          <w:rFonts w:ascii="Arial" w:hAnsi="Arial" w:cs="Arial"/>
        </w:rPr>
        <w:t>S</w:t>
      </w:r>
      <w:r w:rsidR="0079410D" w:rsidRPr="00D9566D">
        <w:rPr>
          <w:rFonts w:ascii="Arial" w:hAnsi="Arial" w:cs="Arial"/>
        </w:rPr>
        <w:t xml:space="preserve">tandardisation. Babcock had </w:t>
      </w:r>
      <w:r w:rsidR="00007944" w:rsidRPr="00D9566D">
        <w:rPr>
          <w:rFonts w:ascii="Arial" w:hAnsi="Arial" w:cs="Arial"/>
        </w:rPr>
        <w:t>stated</w:t>
      </w:r>
      <w:r w:rsidR="0079410D" w:rsidRPr="00D9566D">
        <w:rPr>
          <w:rFonts w:ascii="Arial" w:hAnsi="Arial" w:cs="Arial"/>
        </w:rPr>
        <w:t xml:space="preserve"> in its bid submission that it was certified but had failed to provide a copy of the certificate. It contended that the </w:t>
      </w:r>
      <w:r w:rsidR="003B4196" w:rsidRPr="00D9566D">
        <w:rPr>
          <w:rFonts w:ascii="Arial" w:hAnsi="Arial" w:cs="Arial"/>
        </w:rPr>
        <w:t xml:space="preserve">bid </w:t>
      </w:r>
      <w:r w:rsidR="0079410D" w:rsidRPr="00D9566D">
        <w:rPr>
          <w:rFonts w:ascii="Arial" w:hAnsi="Arial" w:cs="Arial"/>
        </w:rPr>
        <w:t xml:space="preserve">requirement was phrased in ambiguous terms and did not require bidders to necessarily submit a valid certificate but simply to address the ‘issue’ of certification in satisfactory terms. As a certificate was not a peremptory requirement it could therefore be </w:t>
      </w:r>
      <w:r w:rsidR="00E62B2C" w:rsidRPr="00D9566D">
        <w:rPr>
          <w:rFonts w:ascii="Arial" w:hAnsi="Arial" w:cs="Arial"/>
        </w:rPr>
        <w:t>provided</w:t>
      </w:r>
      <w:r w:rsidR="0079410D" w:rsidRPr="00D9566D">
        <w:rPr>
          <w:rFonts w:ascii="Arial" w:hAnsi="Arial" w:cs="Arial"/>
        </w:rPr>
        <w:t xml:space="preserve"> after submission of the bid</w:t>
      </w:r>
      <w:r w:rsidR="00E62B2C" w:rsidRPr="00D9566D">
        <w:rPr>
          <w:rFonts w:ascii="Arial" w:hAnsi="Arial" w:cs="Arial"/>
        </w:rPr>
        <w:t>s</w:t>
      </w:r>
      <w:r w:rsidR="0079410D" w:rsidRPr="00D9566D">
        <w:rPr>
          <w:rFonts w:ascii="Arial" w:hAnsi="Arial" w:cs="Arial"/>
        </w:rPr>
        <w:t xml:space="preserve">, as </w:t>
      </w:r>
      <w:r w:rsidR="00E62B2C" w:rsidRPr="00D9566D">
        <w:rPr>
          <w:rFonts w:ascii="Arial" w:hAnsi="Arial" w:cs="Arial"/>
        </w:rPr>
        <w:t>it</w:t>
      </w:r>
      <w:r w:rsidR="0079410D" w:rsidRPr="00D9566D">
        <w:rPr>
          <w:rFonts w:ascii="Arial" w:hAnsi="Arial" w:cs="Arial"/>
        </w:rPr>
        <w:t xml:space="preserve"> had done. Eskom’s decision to disqualify it for failing to file an ISO certificate was </w:t>
      </w:r>
      <w:r w:rsidR="003B4196" w:rsidRPr="00D9566D">
        <w:rPr>
          <w:rFonts w:ascii="Arial" w:hAnsi="Arial" w:cs="Arial"/>
        </w:rPr>
        <w:t xml:space="preserve">in any event </w:t>
      </w:r>
      <w:r w:rsidR="0079410D" w:rsidRPr="00D9566D">
        <w:rPr>
          <w:rFonts w:ascii="Arial" w:hAnsi="Arial" w:cs="Arial"/>
        </w:rPr>
        <w:t>unfair as Eskom knew it was in possession of such a certificate as it had been servicing its power stations for extended periods of time</w:t>
      </w:r>
      <w:r w:rsidR="00007944" w:rsidRPr="00D9566D">
        <w:rPr>
          <w:rFonts w:ascii="Arial" w:hAnsi="Arial" w:cs="Arial"/>
        </w:rPr>
        <w:t>,</w:t>
      </w:r>
      <w:r w:rsidR="0079410D" w:rsidRPr="00D9566D">
        <w:rPr>
          <w:rFonts w:ascii="Arial" w:hAnsi="Arial" w:cs="Arial"/>
        </w:rPr>
        <w:t xml:space="preserve"> over many years</w:t>
      </w:r>
      <w:r w:rsidR="00007944" w:rsidRPr="00D9566D">
        <w:rPr>
          <w:rFonts w:ascii="Arial" w:hAnsi="Arial" w:cs="Arial"/>
        </w:rPr>
        <w:t>,</w:t>
      </w:r>
      <w:r w:rsidR="0079410D" w:rsidRPr="00D9566D">
        <w:rPr>
          <w:rFonts w:ascii="Arial" w:hAnsi="Arial" w:cs="Arial"/>
        </w:rPr>
        <w:t xml:space="preserve"> and </w:t>
      </w:r>
      <w:r w:rsidR="003B4196" w:rsidRPr="00D9566D">
        <w:rPr>
          <w:rFonts w:ascii="Arial" w:hAnsi="Arial" w:cs="Arial"/>
        </w:rPr>
        <w:t xml:space="preserve">it </w:t>
      </w:r>
      <w:r w:rsidR="0079410D" w:rsidRPr="00D9566D">
        <w:rPr>
          <w:rFonts w:ascii="Arial" w:hAnsi="Arial" w:cs="Arial"/>
        </w:rPr>
        <w:t>had previously submitted copies of such a certificate for that purpose.</w:t>
      </w:r>
    </w:p>
    <w:p w14:paraId="4D1ABB7E" w14:textId="639A3111" w:rsidR="0079410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52.</w:t>
      </w:r>
      <w:r w:rsidRPr="00D9566D">
        <w:rPr>
          <w:rFonts w:ascii="Arial" w:hAnsi="Arial" w:cs="Arial"/>
        </w:rPr>
        <w:tab/>
      </w:r>
      <w:r w:rsidR="0079410D" w:rsidRPr="00D9566D">
        <w:rPr>
          <w:rFonts w:ascii="Arial" w:hAnsi="Arial" w:cs="Arial"/>
        </w:rPr>
        <w:t xml:space="preserve">Eskom contended that the purpose of requiring proof of certification was to ensure that bidders had the requisite skills and experience necessary to carry </w:t>
      </w:r>
      <w:r w:rsidR="0079410D" w:rsidRPr="00D9566D">
        <w:rPr>
          <w:rFonts w:ascii="Arial" w:hAnsi="Arial" w:cs="Arial"/>
        </w:rPr>
        <w:lastRenderedPageBreak/>
        <w:t>out the highly specialised services required</w:t>
      </w:r>
      <w:r w:rsidR="002A5D5B" w:rsidRPr="00D9566D">
        <w:rPr>
          <w:rFonts w:ascii="Arial" w:hAnsi="Arial" w:cs="Arial"/>
        </w:rPr>
        <w:t>,</w:t>
      </w:r>
      <w:r w:rsidR="0079410D" w:rsidRPr="00D9566D">
        <w:rPr>
          <w:rFonts w:ascii="Arial" w:hAnsi="Arial" w:cs="Arial"/>
        </w:rPr>
        <w:t xml:space="preserve"> and to </w:t>
      </w:r>
      <w:r w:rsidR="002A5D5B" w:rsidRPr="00D9566D">
        <w:rPr>
          <w:rFonts w:ascii="Arial" w:hAnsi="Arial" w:cs="Arial"/>
        </w:rPr>
        <w:t>treat</w:t>
      </w:r>
      <w:r w:rsidR="0079410D" w:rsidRPr="00D9566D">
        <w:rPr>
          <w:rFonts w:ascii="Arial" w:hAnsi="Arial" w:cs="Arial"/>
        </w:rPr>
        <w:t xml:space="preserve"> bidders fairly and equally. Consequently, a mere statement that a bidder had ISO certification could not constitute either actual or substantial compliance with the </w:t>
      </w:r>
      <w:r w:rsidR="00007944" w:rsidRPr="00D9566D">
        <w:rPr>
          <w:rFonts w:ascii="Arial" w:hAnsi="Arial" w:cs="Arial"/>
        </w:rPr>
        <w:t>prescribed requiremen</w:t>
      </w:r>
      <w:r w:rsidR="0079410D" w:rsidRPr="00D9566D">
        <w:rPr>
          <w:rFonts w:ascii="Arial" w:hAnsi="Arial" w:cs="Arial"/>
        </w:rPr>
        <w:t xml:space="preserve">t </w:t>
      </w:r>
      <w:r w:rsidR="00007944" w:rsidRPr="00D9566D">
        <w:rPr>
          <w:rFonts w:ascii="Arial" w:hAnsi="Arial" w:cs="Arial"/>
        </w:rPr>
        <w:t>and</w:t>
      </w:r>
      <w:r w:rsidR="0079410D" w:rsidRPr="00D9566D">
        <w:rPr>
          <w:rFonts w:ascii="Arial" w:hAnsi="Arial" w:cs="Arial"/>
        </w:rPr>
        <w:t xml:space="preserve"> the conditions of tender did not afford </w:t>
      </w:r>
      <w:r w:rsidR="003B4196" w:rsidRPr="00D9566D">
        <w:rPr>
          <w:rFonts w:ascii="Arial" w:hAnsi="Arial" w:cs="Arial"/>
        </w:rPr>
        <w:t xml:space="preserve">to it </w:t>
      </w:r>
      <w:r w:rsidR="0079410D" w:rsidRPr="00D9566D">
        <w:rPr>
          <w:rFonts w:ascii="Arial" w:hAnsi="Arial" w:cs="Arial"/>
        </w:rPr>
        <w:t>a power or discretion to condone such non-compliance</w:t>
      </w:r>
      <w:r w:rsidR="00901C8D" w:rsidRPr="00D9566D">
        <w:rPr>
          <w:rFonts w:ascii="Arial" w:hAnsi="Arial" w:cs="Arial"/>
        </w:rPr>
        <w:t>. It pointed out</w:t>
      </w:r>
      <w:r w:rsidR="00007944" w:rsidRPr="00D9566D">
        <w:rPr>
          <w:rFonts w:ascii="Arial" w:hAnsi="Arial" w:cs="Arial"/>
        </w:rPr>
        <w:t xml:space="preserve"> further</w:t>
      </w:r>
      <w:r w:rsidR="00901C8D" w:rsidRPr="00D9566D">
        <w:rPr>
          <w:rFonts w:ascii="Arial" w:hAnsi="Arial" w:cs="Arial"/>
        </w:rPr>
        <w:t xml:space="preserve"> that at a ‘clarification’ meeting bidders were pertinently told that they were required to submit an ISO 3834 certificate</w:t>
      </w:r>
      <w:r w:rsidR="00007944" w:rsidRPr="00D9566D">
        <w:rPr>
          <w:rFonts w:ascii="Arial" w:hAnsi="Arial" w:cs="Arial"/>
        </w:rPr>
        <w:t>,</w:t>
      </w:r>
      <w:r w:rsidR="00901C8D" w:rsidRPr="00D9566D">
        <w:rPr>
          <w:rFonts w:ascii="Arial" w:hAnsi="Arial" w:cs="Arial"/>
        </w:rPr>
        <w:t xml:space="preserve"> and as it was </w:t>
      </w:r>
      <w:r w:rsidR="00007944" w:rsidRPr="00D9566D">
        <w:rPr>
          <w:rFonts w:ascii="Arial" w:hAnsi="Arial" w:cs="Arial"/>
        </w:rPr>
        <w:t xml:space="preserve">a </w:t>
      </w:r>
      <w:r w:rsidR="00901C8D" w:rsidRPr="00D9566D">
        <w:rPr>
          <w:rFonts w:ascii="Arial" w:hAnsi="Arial" w:cs="Arial"/>
        </w:rPr>
        <w:t>mandatory</w:t>
      </w:r>
      <w:r w:rsidR="00007944" w:rsidRPr="00D9566D">
        <w:rPr>
          <w:rFonts w:ascii="Arial" w:hAnsi="Arial" w:cs="Arial"/>
        </w:rPr>
        <w:t>,</w:t>
      </w:r>
      <w:r w:rsidR="00901C8D" w:rsidRPr="00D9566D">
        <w:rPr>
          <w:rFonts w:ascii="Arial" w:hAnsi="Arial" w:cs="Arial"/>
        </w:rPr>
        <w:t xml:space="preserve"> returnable document, bidders who failed to </w:t>
      </w:r>
      <w:r w:rsidR="00E62B2C" w:rsidRPr="00D9566D">
        <w:rPr>
          <w:rFonts w:ascii="Arial" w:hAnsi="Arial" w:cs="Arial"/>
        </w:rPr>
        <w:t>do so</w:t>
      </w:r>
      <w:r w:rsidR="00901C8D" w:rsidRPr="00D9566D">
        <w:rPr>
          <w:rFonts w:ascii="Arial" w:hAnsi="Arial" w:cs="Arial"/>
        </w:rPr>
        <w:t xml:space="preserve"> by the deadline would be disqualified.</w:t>
      </w:r>
    </w:p>
    <w:p w14:paraId="01751EC6" w14:textId="1E9A754E" w:rsidR="00901C8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53.</w:t>
      </w:r>
      <w:r w:rsidRPr="00D9566D">
        <w:rPr>
          <w:rFonts w:ascii="Arial" w:hAnsi="Arial" w:cs="Arial"/>
        </w:rPr>
        <w:tab/>
      </w:r>
      <w:r w:rsidR="00E62B2C" w:rsidRPr="00D9566D">
        <w:rPr>
          <w:rFonts w:ascii="Arial" w:hAnsi="Arial" w:cs="Arial"/>
        </w:rPr>
        <w:t>T</w:t>
      </w:r>
      <w:r w:rsidR="00901C8D" w:rsidRPr="00D9566D">
        <w:rPr>
          <w:rFonts w:ascii="Arial" w:hAnsi="Arial" w:cs="Arial"/>
        </w:rPr>
        <w:t>he SCA held that the High Court</w:t>
      </w:r>
      <w:r w:rsidR="00007944" w:rsidRPr="00D9566D">
        <w:rPr>
          <w:rFonts w:ascii="Arial" w:hAnsi="Arial" w:cs="Arial"/>
        </w:rPr>
        <w:t xml:space="preserve">’s </w:t>
      </w:r>
      <w:r w:rsidR="00901C8D" w:rsidRPr="00D9566D">
        <w:rPr>
          <w:rFonts w:ascii="Arial" w:hAnsi="Arial" w:cs="Arial"/>
        </w:rPr>
        <w:t xml:space="preserve">finding that the invitation to tender </w:t>
      </w:r>
      <w:r w:rsidR="00007944" w:rsidRPr="00D9566D">
        <w:rPr>
          <w:rFonts w:ascii="Arial" w:hAnsi="Arial" w:cs="Arial"/>
        </w:rPr>
        <w:t xml:space="preserve">(which was in the form of a Request for Proposals) </w:t>
      </w:r>
      <w:r w:rsidR="00901C8D" w:rsidRPr="00D9566D">
        <w:rPr>
          <w:rFonts w:ascii="Arial" w:hAnsi="Arial" w:cs="Arial"/>
        </w:rPr>
        <w:t>was ambiguous was not sustainable as the wording was clear</w:t>
      </w:r>
      <w:r w:rsidR="00007944" w:rsidRPr="00D9566D">
        <w:rPr>
          <w:rFonts w:ascii="Arial" w:hAnsi="Arial" w:cs="Arial"/>
        </w:rPr>
        <w:t>,</w:t>
      </w:r>
      <w:r w:rsidR="00901C8D" w:rsidRPr="00D9566D">
        <w:rPr>
          <w:rFonts w:ascii="Arial" w:hAnsi="Arial" w:cs="Arial"/>
        </w:rPr>
        <w:t xml:space="preserve"> and in any event at the clarification meeting bidders had been expressly </w:t>
      </w:r>
      <w:r w:rsidR="00007944" w:rsidRPr="00D9566D">
        <w:rPr>
          <w:rFonts w:ascii="Arial" w:hAnsi="Arial" w:cs="Arial"/>
        </w:rPr>
        <w:t>told</w:t>
      </w:r>
      <w:r w:rsidR="00901C8D" w:rsidRPr="00D9566D">
        <w:rPr>
          <w:rFonts w:ascii="Arial" w:hAnsi="Arial" w:cs="Arial"/>
        </w:rPr>
        <w:t xml:space="preserve"> that the</w:t>
      </w:r>
      <w:r w:rsidR="00007944" w:rsidRPr="00D9566D">
        <w:rPr>
          <w:rFonts w:ascii="Arial" w:hAnsi="Arial" w:cs="Arial"/>
        </w:rPr>
        <w:t>y</w:t>
      </w:r>
      <w:r w:rsidR="00901C8D" w:rsidRPr="00D9566D">
        <w:rPr>
          <w:rFonts w:ascii="Arial" w:hAnsi="Arial" w:cs="Arial"/>
        </w:rPr>
        <w:t xml:space="preserve"> were required to submit </w:t>
      </w:r>
      <w:r w:rsidR="00007944" w:rsidRPr="00D9566D">
        <w:rPr>
          <w:rFonts w:ascii="Arial" w:hAnsi="Arial" w:cs="Arial"/>
        </w:rPr>
        <w:t>a</w:t>
      </w:r>
      <w:r w:rsidR="00901C8D" w:rsidRPr="00D9566D">
        <w:rPr>
          <w:rFonts w:ascii="Arial" w:hAnsi="Arial" w:cs="Arial"/>
        </w:rPr>
        <w:t xml:space="preserve"> certificate and a failure to do so would result in disqualification. </w:t>
      </w:r>
      <w:r w:rsidR="003B4196" w:rsidRPr="00D9566D">
        <w:rPr>
          <w:rFonts w:ascii="Arial" w:hAnsi="Arial" w:cs="Arial"/>
        </w:rPr>
        <w:t>It also</w:t>
      </w:r>
      <w:r w:rsidR="00901C8D" w:rsidRPr="00D9566D">
        <w:rPr>
          <w:rFonts w:ascii="Arial" w:hAnsi="Arial" w:cs="Arial"/>
        </w:rPr>
        <w:t xml:space="preserve"> confirmed</w:t>
      </w:r>
      <w:r w:rsidR="00007944" w:rsidRPr="00D9566D">
        <w:rPr>
          <w:rFonts w:ascii="Arial" w:hAnsi="Arial" w:cs="Arial"/>
        </w:rPr>
        <w:t>,</w:t>
      </w:r>
      <w:r w:rsidR="00901C8D" w:rsidRPr="00D9566D">
        <w:rPr>
          <w:rFonts w:ascii="Arial" w:hAnsi="Arial" w:cs="Arial"/>
        </w:rPr>
        <w:t xml:space="preserve"> with reference to </w:t>
      </w:r>
      <w:r w:rsidR="00007944" w:rsidRPr="00D9566D">
        <w:rPr>
          <w:rFonts w:ascii="Arial" w:hAnsi="Arial" w:cs="Arial"/>
        </w:rPr>
        <w:t xml:space="preserve">the </w:t>
      </w:r>
      <w:r w:rsidR="00901C8D" w:rsidRPr="00D9566D">
        <w:rPr>
          <w:rFonts w:ascii="Arial" w:hAnsi="Arial" w:cs="Arial"/>
        </w:rPr>
        <w:t xml:space="preserve">principles laid out in </w:t>
      </w:r>
      <w:r w:rsidR="00007944" w:rsidRPr="00D9566D">
        <w:rPr>
          <w:rFonts w:ascii="Arial" w:hAnsi="Arial" w:cs="Arial"/>
          <w:i/>
          <w:iCs/>
        </w:rPr>
        <w:t>Allpay</w:t>
      </w:r>
      <w:r w:rsidR="00007944" w:rsidRPr="00D9566D">
        <w:rPr>
          <w:rFonts w:ascii="Arial" w:hAnsi="Arial" w:cs="Arial"/>
        </w:rPr>
        <w:t>,</w:t>
      </w:r>
      <w:r w:rsidR="00901C8D" w:rsidRPr="00D9566D">
        <w:rPr>
          <w:rFonts w:ascii="Arial" w:hAnsi="Arial" w:cs="Arial"/>
        </w:rPr>
        <w:t xml:space="preserve"> </w:t>
      </w:r>
      <w:r w:rsidR="00007944" w:rsidRPr="00D9566D">
        <w:rPr>
          <w:rFonts w:ascii="Arial" w:hAnsi="Arial" w:cs="Arial"/>
          <w:i/>
          <w:iCs/>
        </w:rPr>
        <w:t>M</w:t>
      </w:r>
      <w:r w:rsidR="00901C8D" w:rsidRPr="00D9566D">
        <w:rPr>
          <w:rFonts w:ascii="Arial" w:hAnsi="Arial" w:cs="Arial"/>
          <w:i/>
          <w:iCs/>
        </w:rPr>
        <w:t xml:space="preserve">illennium </w:t>
      </w:r>
      <w:r w:rsidR="00007944" w:rsidRPr="00D9566D">
        <w:rPr>
          <w:rFonts w:ascii="Arial" w:hAnsi="Arial" w:cs="Arial"/>
          <w:i/>
          <w:iCs/>
        </w:rPr>
        <w:t>W</w:t>
      </w:r>
      <w:r w:rsidR="00901C8D" w:rsidRPr="00D9566D">
        <w:rPr>
          <w:rFonts w:ascii="Arial" w:hAnsi="Arial" w:cs="Arial"/>
          <w:i/>
          <w:iCs/>
        </w:rPr>
        <w:t>aste</w:t>
      </w:r>
      <w:r w:rsidR="00901C8D" w:rsidRPr="00D9566D">
        <w:rPr>
          <w:rFonts w:ascii="Arial" w:hAnsi="Arial" w:cs="Arial"/>
        </w:rPr>
        <w:t xml:space="preserve">, </w:t>
      </w:r>
      <w:r w:rsidR="00901C8D" w:rsidRPr="00D9566D">
        <w:rPr>
          <w:rFonts w:ascii="Arial" w:hAnsi="Arial" w:cs="Arial"/>
          <w:i/>
          <w:iCs/>
        </w:rPr>
        <w:t>W</w:t>
      </w:r>
      <w:r w:rsidR="00007944" w:rsidRPr="00D9566D">
        <w:rPr>
          <w:rFonts w:ascii="Arial" w:hAnsi="Arial" w:cs="Arial"/>
          <w:i/>
          <w:iCs/>
        </w:rPr>
        <w:t>D</w:t>
      </w:r>
      <w:r w:rsidR="00901C8D" w:rsidRPr="00D9566D">
        <w:rPr>
          <w:rFonts w:ascii="Arial" w:hAnsi="Arial" w:cs="Arial"/>
          <w:i/>
          <w:iCs/>
        </w:rPr>
        <w:t>R</w:t>
      </w:r>
      <w:r w:rsidR="00007944" w:rsidRPr="00D9566D">
        <w:rPr>
          <w:rFonts w:ascii="Arial" w:hAnsi="Arial" w:cs="Arial"/>
          <w:i/>
          <w:iCs/>
        </w:rPr>
        <w:t xml:space="preserve"> Earthmoving</w:t>
      </w:r>
      <w:r w:rsidR="00901C8D" w:rsidRPr="00D9566D">
        <w:rPr>
          <w:rFonts w:ascii="Arial" w:hAnsi="Arial" w:cs="Arial"/>
        </w:rPr>
        <w:t xml:space="preserve"> and </w:t>
      </w:r>
      <w:r w:rsidR="00901C8D" w:rsidRPr="00D9566D">
        <w:rPr>
          <w:rFonts w:ascii="Arial" w:hAnsi="Arial" w:cs="Arial"/>
          <w:i/>
          <w:iCs/>
        </w:rPr>
        <w:t>Overstrand</w:t>
      </w:r>
      <w:r w:rsidR="00007944" w:rsidRPr="00D9566D">
        <w:rPr>
          <w:rFonts w:ascii="Arial" w:hAnsi="Arial" w:cs="Arial"/>
          <w:i/>
          <w:iCs/>
        </w:rPr>
        <w:t xml:space="preserve"> Municipality</w:t>
      </w:r>
      <w:r w:rsidR="00901C8D" w:rsidRPr="00D9566D">
        <w:rPr>
          <w:rFonts w:ascii="Arial" w:hAnsi="Arial" w:cs="Arial"/>
        </w:rPr>
        <w:t xml:space="preserve"> that whereas instances of non-compliance of a trivial or minor nature could pass</w:t>
      </w:r>
      <w:r w:rsidR="002A5D5B" w:rsidRPr="00D9566D">
        <w:rPr>
          <w:rFonts w:ascii="Arial" w:hAnsi="Arial" w:cs="Arial"/>
        </w:rPr>
        <w:t xml:space="preserve"> muster</w:t>
      </w:r>
      <w:r w:rsidR="00901C8D" w:rsidRPr="00D9566D">
        <w:rPr>
          <w:rFonts w:ascii="Arial" w:hAnsi="Arial" w:cs="Arial"/>
        </w:rPr>
        <w:t>, th</w:t>
      </w:r>
      <w:r w:rsidR="00EE1A38" w:rsidRPr="00D9566D">
        <w:rPr>
          <w:rFonts w:ascii="Arial" w:hAnsi="Arial" w:cs="Arial"/>
        </w:rPr>
        <w:t xml:space="preserve">is was not so in the case of </w:t>
      </w:r>
      <w:r w:rsidR="002A5D5B" w:rsidRPr="00D9566D">
        <w:rPr>
          <w:rFonts w:ascii="Arial" w:hAnsi="Arial" w:cs="Arial"/>
        </w:rPr>
        <w:t xml:space="preserve">non-compliance </w:t>
      </w:r>
      <w:r w:rsidR="00EE1A38" w:rsidRPr="00D9566D">
        <w:rPr>
          <w:rFonts w:ascii="Arial" w:hAnsi="Arial" w:cs="Arial"/>
        </w:rPr>
        <w:t>with material terms or requirements</w:t>
      </w:r>
      <w:r w:rsidR="00901C8D" w:rsidRPr="00D9566D">
        <w:rPr>
          <w:rFonts w:ascii="Arial" w:hAnsi="Arial" w:cs="Arial"/>
        </w:rPr>
        <w:t xml:space="preserve">. </w:t>
      </w:r>
      <w:r w:rsidR="00EE1A38" w:rsidRPr="00D9566D">
        <w:rPr>
          <w:rFonts w:ascii="Arial" w:hAnsi="Arial" w:cs="Arial"/>
        </w:rPr>
        <w:t>ISO c</w:t>
      </w:r>
      <w:r w:rsidR="00901C8D" w:rsidRPr="00D9566D">
        <w:rPr>
          <w:rFonts w:ascii="Arial" w:hAnsi="Arial" w:cs="Arial"/>
        </w:rPr>
        <w:t xml:space="preserve">ertificates were </w:t>
      </w:r>
      <w:r w:rsidR="00EA7726" w:rsidRPr="00D9566D">
        <w:rPr>
          <w:rFonts w:ascii="Arial" w:hAnsi="Arial" w:cs="Arial"/>
        </w:rPr>
        <w:t>required</w:t>
      </w:r>
      <w:r w:rsidR="00901C8D" w:rsidRPr="00D9566D">
        <w:rPr>
          <w:rFonts w:ascii="Arial" w:hAnsi="Arial" w:cs="Arial"/>
        </w:rPr>
        <w:t xml:space="preserve"> to show that </w:t>
      </w:r>
      <w:r w:rsidR="00EA7726" w:rsidRPr="00D9566D">
        <w:rPr>
          <w:rFonts w:ascii="Arial" w:hAnsi="Arial" w:cs="Arial"/>
        </w:rPr>
        <w:t>bidders possessed</w:t>
      </w:r>
      <w:r w:rsidR="00901C8D" w:rsidRPr="00D9566D">
        <w:rPr>
          <w:rFonts w:ascii="Arial" w:hAnsi="Arial" w:cs="Arial"/>
        </w:rPr>
        <w:t xml:space="preserve"> the necessary resources and skills to </w:t>
      </w:r>
      <w:r w:rsidR="00EE1A38" w:rsidRPr="00D9566D">
        <w:rPr>
          <w:rFonts w:ascii="Arial" w:hAnsi="Arial" w:cs="Arial"/>
        </w:rPr>
        <w:t>supply</w:t>
      </w:r>
      <w:r w:rsidR="00901C8D" w:rsidRPr="00D9566D">
        <w:rPr>
          <w:rFonts w:ascii="Arial" w:hAnsi="Arial" w:cs="Arial"/>
        </w:rPr>
        <w:t xml:space="preserve"> the required services to the appropriate standard</w:t>
      </w:r>
      <w:r w:rsidR="00EA7726" w:rsidRPr="00D9566D">
        <w:rPr>
          <w:rFonts w:ascii="Arial" w:hAnsi="Arial" w:cs="Arial"/>
        </w:rPr>
        <w:t>,</w:t>
      </w:r>
      <w:r w:rsidR="00901C8D" w:rsidRPr="00D9566D">
        <w:rPr>
          <w:rFonts w:ascii="Arial" w:hAnsi="Arial" w:cs="Arial"/>
        </w:rPr>
        <w:t xml:space="preserve"> </w:t>
      </w:r>
      <w:r w:rsidR="00A03D33" w:rsidRPr="00D9566D">
        <w:rPr>
          <w:rFonts w:ascii="Arial" w:hAnsi="Arial" w:cs="Arial"/>
        </w:rPr>
        <w:t xml:space="preserve">and </w:t>
      </w:r>
      <w:r w:rsidR="00901C8D" w:rsidRPr="00D9566D">
        <w:rPr>
          <w:rFonts w:ascii="Arial" w:hAnsi="Arial" w:cs="Arial"/>
        </w:rPr>
        <w:t xml:space="preserve">it was </w:t>
      </w:r>
      <w:r w:rsidR="00A03D33" w:rsidRPr="00D9566D">
        <w:rPr>
          <w:rFonts w:ascii="Arial" w:hAnsi="Arial" w:cs="Arial"/>
        </w:rPr>
        <w:t xml:space="preserve">thus </w:t>
      </w:r>
      <w:r w:rsidR="00901C8D" w:rsidRPr="00D9566D">
        <w:rPr>
          <w:rFonts w:ascii="Arial" w:hAnsi="Arial" w:cs="Arial"/>
        </w:rPr>
        <w:t xml:space="preserve">essential that Eskom </w:t>
      </w:r>
      <w:r w:rsidR="00EA7726" w:rsidRPr="00D9566D">
        <w:rPr>
          <w:rFonts w:ascii="Arial" w:hAnsi="Arial" w:cs="Arial"/>
        </w:rPr>
        <w:t xml:space="preserve">be </w:t>
      </w:r>
      <w:r w:rsidR="00901C8D" w:rsidRPr="00D9566D">
        <w:rPr>
          <w:rFonts w:ascii="Arial" w:hAnsi="Arial" w:cs="Arial"/>
        </w:rPr>
        <w:t xml:space="preserve">supplied with a valid and current certificate. </w:t>
      </w:r>
      <w:r w:rsidR="00EA7726" w:rsidRPr="00D9566D">
        <w:rPr>
          <w:rFonts w:ascii="Arial" w:hAnsi="Arial" w:cs="Arial"/>
        </w:rPr>
        <w:t>The</w:t>
      </w:r>
      <w:r w:rsidR="00901C8D" w:rsidRPr="00D9566D">
        <w:rPr>
          <w:rFonts w:ascii="Arial" w:hAnsi="Arial" w:cs="Arial"/>
        </w:rPr>
        <w:t xml:space="preserve"> </w:t>
      </w:r>
      <w:r w:rsidR="00EA7726" w:rsidRPr="00D9566D">
        <w:rPr>
          <w:rFonts w:ascii="Arial" w:hAnsi="Arial" w:cs="Arial"/>
        </w:rPr>
        <w:t>submission of a</w:t>
      </w:r>
      <w:r w:rsidR="00EE1A38" w:rsidRPr="00D9566D">
        <w:rPr>
          <w:rFonts w:ascii="Arial" w:hAnsi="Arial" w:cs="Arial"/>
        </w:rPr>
        <w:t xml:space="preserve">n ISO </w:t>
      </w:r>
      <w:r w:rsidR="00901C8D" w:rsidRPr="00D9566D">
        <w:rPr>
          <w:rFonts w:ascii="Arial" w:hAnsi="Arial" w:cs="Arial"/>
        </w:rPr>
        <w:t xml:space="preserve">certificate was also intended to ensure consistency and fairness in the evaluation and award of the tender. </w:t>
      </w:r>
      <w:r w:rsidR="00857472" w:rsidRPr="00D9566D">
        <w:rPr>
          <w:rFonts w:ascii="Arial" w:hAnsi="Arial" w:cs="Arial"/>
        </w:rPr>
        <w:t>A</w:t>
      </w:r>
      <w:r w:rsidR="00901C8D" w:rsidRPr="00D9566D">
        <w:rPr>
          <w:rFonts w:ascii="Arial" w:hAnsi="Arial" w:cs="Arial"/>
        </w:rPr>
        <w:t>t least 2 other bidders had been disqualified for failing to submit ISO certificate</w:t>
      </w:r>
      <w:r w:rsidR="00EE1A38" w:rsidRPr="00D9566D">
        <w:rPr>
          <w:rFonts w:ascii="Arial" w:hAnsi="Arial" w:cs="Arial"/>
        </w:rPr>
        <w:t>s</w:t>
      </w:r>
      <w:r w:rsidR="00901C8D" w:rsidRPr="00D9566D">
        <w:rPr>
          <w:rFonts w:ascii="Arial" w:hAnsi="Arial" w:cs="Arial"/>
        </w:rPr>
        <w:t xml:space="preserve"> and to allow the appellant to be treated differently simply because it was </w:t>
      </w:r>
      <w:r w:rsidR="00EA7726" w:rsidRPr="00D9566D">
        <w:rPr>
          <w:rFonts w:ascii="Arial" w:hAnsi="Arial" w:cs="Arial"/>
        </w:rPr>
        <w:t xml:space="preserve">the </w:t>
      </w:r>
      <w:r w:rsidR="00901C8D" w:rsidRPr="00D9566D">
        <w:rPr>
          <w:rFonts w:ascii="Arial" w:hAnsi="Arial" w:cs="Arial"/>
        </w:rPr>
        <w:t xml:space="preserve">incumbent service provider and had previously submitted such a certificate, would result in unfair treatment towards other bidders. </w:t>
      </w:r>
      <w:r w:rsidR="00857472" w:rsidRPr="00D9566D">
        <w:rPr>
          <w:rFonts w:ascii="Arial" w:hAnsi="Arial" w:cs="Arial"/>
        </w:rPr>
        <w:t>T</w:t>
      </w:r>
      <w:r w:rsidR="00901C8D" w:rsidRPr="00D9566D">
        <w:rPr>
          <w:rFonts w:ascii="Arial" w:hAnsi="Arial" w:cs="Arial"/>
        </w:rPr>
        <w:t xml:space="preserve">he requirement of providing </w:t>
      </w:r>
      <w:r w:rsidR="00EA7726" w:rsidRPr="00D9566D">
        <w:rPr>
          <w:rFonts w:ascii="Arial" w:hAnsi="Arial" w:cs="Arial"/>
        </w:rPr>
        <w:t xml:space="preserve">an </w:t>
      </w:r>
      <w:r w:rsidR="00901C8D" w:rsidRPr="00D9566D">
        <w:rPr>
          <w:rFonts w:ascii="Arial" w:hAnsi="Arial" w:cs="Arial"/>
        </w:rPr>
        <w:t>ISO certificate was</w:t>
      </w:r>
      <w:r w:rsidR="00EA7726" w:rsidRPr="00D9566D">
        <w:rPr>
          <w:rFonts w:ascii="Arial" w:hAnsi="Arial" w:cs="Arial"/>
        </w:rPr>
        <w:t xml:space="preserve"> a</w:t>
      </w:r>
      <w:r w:rsidR="00901C8D" w:rsidRPr="00D9566D">
        <w:rPr>
          <w:rFonts w:ascii="Arial" w:hAnsi="Arial" w:cs="Arial"/>
        </w:rPr>
        <w:t xml:space="preserve"> compulsory </w:t>
      </w:r>
      <w:r w:rsidR="00EA7726" w:rsidRPr="00D9566D">
        <w:rPr>
          <w:rFonts w:ascii="Arial" w:hAnsi="Arial" w:cs="Arial"/>
        </w:rPr>
        <w:t>and</w:t>
      </w:r>
      <w:r w:rsidR="00901C8D" w:rsidRPr="00D9566D">
        <w:rPr>
          <w:rFonts w:ascii="Arial" w:hAnsi="Arial" w:cs="Arial"/>
        </w:rPr>
        <w:t xml:space="preserve"> material term of the invitation to tender and Eskom did not have a discretion to condone non-compliance therewith. </w:t>
      </w:r>
      <w:r w:rsidR="00EA7726" w:rsidRPr="00D9566D">
        <w:rPr>
          <w:rFonts w:ascii="Arial" w:hAnsi="Arial" w:cs="Arial"/>
        </w:rPr>
        <w:t>H</w:t>
      </w:r>
      <w:r w:rsidR="00901C8D" w:rsidRPr="00D9566D">
        <w:rPr>
          <w:rFonts w:ascii="Arial" w:hAnsi="Arial" w:cs="Arial"/>
        </w:rPr>
        <w:t xml:space="preserve">aving regard for the purpose of the requirement </w:t>
      </w:r>
      <w:r w:rsidR="00EA7726" w:rsidRPr="00D9566D">
        <w:rPr>
          <w:rFonts w:ascii="Arial" w:hAnsi="Arial" w:cs="Arial"/>
        </w:rPr>
        <w:t xml:space="preserve">the </w:t>
      </w:r>
      <w:r w:rsidR="00901C8D" w:rsidRPr="00D9566D">
        <w:rPr>
          <w:rFonts w:ascii="Arial" w:hAnsi="Arial" w:cs="Arial"/>
        </w:rPr>
        <w:t xml:space="preserve">mere statement </w:t>
      </w:r>
      <w:r w:rsidR="00EA7726" w:rsidRPr="00D9566D">
        <w:rPr>
          <w:rFonts w:ascii="Arial" w:hAnsi="Arial" w:cs="Arial"/>
        </w:rPr>
        <w:t xml:space="preserve">in its bid submission </w:t>
      </w:r>
      <w:r w:rsidR="00901C8D" w:rsidRPr="00D9566D">
        <w:rPr>
          <w:rFonts w:ascii="Arial" w:hAnsi="Arial" w:cs="Arial"/>
        </w:rPr>
        <w:t>that Babcock had the necessary certification did not constitute actual or substantial compliance with the requirement.</w:t>
      </w:r>
    </w:p>
    <w:p w14:paraId="5906EF37" w14:textId="600F321D" w:rsidR="00EA7726" w:rsidRPr="00D9566D" w:rsidRDefault="00DE2B0F" w:rsidP="00D9566D">
      <w:pPr>
        <w:adjustRightInd w:val="0"/>
        <w:spacing w:after="0" w:line="240" w:lineRule="auto"/>
        <w:ind w:left="1080" w:hanging="720"/>
        <w:jc w:val="both"/>
        <w:textAlignment w:val="baseline"/>
        <w:rPr>
          <w:rFonts w:ascii="Arial" w:hAnsi="Arial" w:cs="Arial"/>
          <w:u w:val="single"/>
        </w:rPr>
      </w:pPr>
      <w:r w:rsidRPr="00D9566D">
        <w:rPr>
          <w:rFonts w:ascii="Arial" w:hAnsi="Arial" w:cs="Arial"/>
        </w:rPr>
        <w:t>(ii)</w:t>
      </w:r>
      <w:r w:rsidRPr="00D9566D">
        <w:rPr>
          <w:rFonts w:ascii="Arial" w:hAnsi="Arial" w:cs="Arial"/>
        </w:rPr>
        <w:tab/>
      </w:r>
      <w:r w:rsidR="00EA7726" w:rsidRPr="00D9566D">
        <w:rPr>
          <w:rFonts w:ascii="Arial" w:hAnsi="Arial" w:cs="Arial"/>
          <w:u w:val="single"/>
        </w:rPr>
        <w:t>The law applied</w:t>
      </w:r>
    </w:p>
    <w:p w14:paraId="41C958AB" w14:textId="25614E7A" w:rsidR="00713E22"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54.</w:t>
      </w:r>
      <w:r w:rsidRPr="00D9566D">
        <w:rPr>
          <w:rFonts w:ascii="Arial" w:hAnsi="Arial" w:cs="Arial"/>
        </w:rPr>
        <w:tab/>
      </w:r>
      <w:r w:rsidR="00713E22" w:rsidRPr="00D9566D">
        <w:rPr>
          <w:rFonts w:ascii="Arial" w:hAnsi="Arial" w:cs="Arial"/>
        </w:rPr>
        <w:t xml:space="preserve">The applicant contends that on a proper i.e. contextual and purposive reading of the stipulated requirements for functionality pertaining to company experience the documents referred </w:t>
      </w:r>
      <w:r w:rsidR="00926448" w:rsidRPr="00D9566D">
        <w:rPr>
          <w:rFonts w:ascii="Arial" w:hAnsi="Arial" w:cs="Arial"/>
        </w:rPr>
        <w:t xml:space="preserve">to in this regard in tender 9/22 </w:t>
      </w:r>
      <w:r w:rsidR="00131E65" w:rsidRPr="00D9566D">
        <w:rPr>
          <w:rFonts w:ascii="Arial" w:hAnsi="Arial" w:cs="Arial"/>
        </w:rPr>
        <w:t>i.e</w:t>
      </w:r>
      <w:r w:rsidR="00926448" w:rsidRPr="00D9566D">
        <w:rPr>
          <w:rFonts w:ascii="Arial" w:hAnsi="Arial" w:cs="Arial"/>
        </w:rPr>
        <w:t>.</w:t>
      </w:r>
      <w:r w:rsidR="00131E65" w:rsidRPr="00D9566D">
        <w:rPr>
          <w:rFonts w:ascii="Arial" w:hAnsi="Arial" w:cs="Arial"/>
        </w:rPr>
        <w:t xml:space="preserve"> the source documents and reference letters, </w:t>
      </w:r>
      <w:r w:rsidR="00713E22" w:rsidRPr="00D9566D">
        <w:rPr>
          <w:rFonts w:ascii="Arial" w:hAnsi="Arial" w:cs="Arial"/>
        </w:rPr>
        <w:t xml:space="preserve">were not </w:t>
      </w:r>
      <w:r w:rsidR="00EA7726" w:rsidRPr="00D9566D">
        <w:rPr>
          <w:rFonts w:ascii="Arial" w:hAnsi="Arial" w:cs="Arial"/>
        </w:rPr>
        <w:t>mandatory or</w:t>
      </w:r>
      <w:r w:rsidR="00713E22" w:rsidRPr="00D9566D">
        <w:rPr>
          <w:rFonts w:ascii="Arial" w:hAnsi="Arial" w:cs="Arial"/>
        </w:rPr>
        <w:t xml:space="preserve"> compulsory and thus a failure to submit them was not intended to result in a </w:t>
      </w:r>
      <w:r w:rsidR="000B5665" w:rsidRPr="00D9566D">
        <w:rPr>
          <w:rFonts w:ascii="Arial" w:hAnsi="Arial" w:cs="Arial"/>
        </w:rPr>
        <w:t>zero</w:t>
      </w:r>
      <w:r w:rsidR="00713E22" w:rsidRPr="00D9566D">
        <w:rPr>
          <w:rFonts w:ascii="Arial" w:hAnsi="Arial" w:cs="Arial"/>
        </w:rPr>
        <w:t xml:space="preserve"> score. </w:t>
      </w:r>
      <w:r w:rsidR="00483F89" w:rsidRPr="00D9566D">
        <w:rPr>
          <w:rFonts w:ascii="Arial" w:hAnsi="Arial" w:cs="Arial"/>
        </w:rPr>
        <w:t>I</w:t>
      </w:r>
      <w:r w:rsidR="00213EDA" w:rsidRPr="00D9566D">
        <w:rPr>
          <w:rFonts w:ascii="Arial" w:hAnsi="Arial" w:cs="Arial"/>
        </w:rPr>
        <w:t xml:space="preserve">n support of this submission </w:t>
      </w:r>
      <w:r w:rsidR="00A03D33" w:rsidRPr="00D9566D">
        <w:rPr>
          <w:rFonts w:ascii="Arial" w:hAnsi="Arial" w:cs="Arial"/>
        </w:rPr>
        <w:t>i</w:t>
      </w:r>
      <w:r w:rsidR="00131E65" w:rsidRPr="00D9566D">
        <w:rPr>
          <w:rFonts w:ascii="Arial" w:hAnsi="Arial" w:cs="Arial"/>
        </w:rPr>
        <w:t xml:space="preserve">t sought to rely on the </w:t>
      </w:r>
      <w:r w:rsidR="00713E22" w:rsidRPr="00D9566D">
        <w:rPr>
          <w:rFonts w:ascii="Arial" w:hAnsi="Arial" w:cs="Arial"/>
        </w:rPr>
        <w:t>maxim</w:t>
      </w:r>
      <w:r w:rsidR="00713E22" w:rsidRPr="00D9566D">
        <w:rPr>
          <w:rFonts w:ascii="Arial" w:hAnsi="Arial" w:cs="Arial"/>
          <w:i/>
          <w:iCs/>
        </w:rPr>
        <w:t xml:space="preserve"> </w:t>
      </w:r>
      <w:r w:rsidR="00EA7726" w:rsidRPr="00D9566D">
        <w:rPr>
          <w:rFonts w:ascii="Arial" w:hAnsi="Arial" w:cs="Arial"/>
          <w:i/>
          <w:iCs/>
        </w:rPr>
        <w:t>expressio unius est exclusio alterius</w:t>
      </w:r>
      <w:r w:rsidR="00131E65" w:rsidRPr="00D9566D">
        <w:rPr>
          <w:rFonts w:ascii="Arial" w:hAnsi="Arial" w:cs="Arial"/>
          <w:i/>
          <w:iCs/>
        </w:rPr>
        <w:t xml:space="preserve">, </w:t>
      </w:r>
      <w:r w:rsidR="00213EDA" w:rsidRPr="00D9566D">
        <w:rPr>
          <w:rFonts w:ascii="Arial" w:hAnsi="Arial" w:cs="Arial"/>
        </w:rPr>
        <w:t>which</w:t>
      </w:r>
      <w:r w:rsidR="00213EDA" w:rsidRPr="00D9566D">
        <w:rPr>
          <w:rFonts w:ascii="Arial" w:hAnsi="Arial" w:cs="Arial"/>
          <w:i/>
          <w:iCs/>
        </w:rPr>
        <w:t xml:space="preserve"> </w:t>
      </w:r>
      <w:r w:rsidR="00213EDA" w:rsidRPr="00D9566D">
        <w:rPr>
          <w:rFonts w:ascii="Arial" w:hAnsi="Arial" w:cs="Arial"/>
        </w:rPr>
        <w:t>roughly translated</w:t>
      </w:r>
      <w:r w:rsidR="00213EDA" w:rsidRPr="00D9566D">
        <w:rPr>
          <w:rFonts w:ascii="Arial" w:hAnsi="Arial" w:cs="Arial"/>
          <w:i/>
          <w:iCs/>
        </w:rPr>
        <w:t xml:space="preserve"> </w:t>
      </w:r>
      <w:r w:rsidR="00213EDA" w:rsidRPr="00D9566D">
        <w:rPr>
          <w:rFonts w:ascii="Arial" w:hAnsi="Arial" w:cs="Arial"/>
        </w:rPr>
        <w:t>means ‘where one thing is expressed the other is excluded’</w:t>
      </w:r>
      <w:r w:rsidR="00131E65" w:rsidRPr="00D9566D">
        <w:rPr>
          <w:rFonts w:ascii="Arial" w:hAnsi="Arial" w:cs="Arial"/>
          <w:i/>
          <w:iCs/>
        </w:rPr>
        <w:t xml:space="preserve">. </w:t>
      </w:r>
      <w:r w:rsidR="00213EDA" w:rsidRPr="00D9566D">
        <w:rPr>
          <w:rFonts w:ascii="Arial" w:hAnsi="Arial" w:cs="Arial"/>
        </w:rPr>
        <w:t xml:space="preserve">The maxim has found application </w:t>
      </w:r>
      <w:r w:rsidR="00857472" w:rsidRPr="00D9566D">
        <w:rPr>
          <w:rFonts w:ascii="Arial" w:hAnsi="Arial" w:cs="Arial"/>
        </w:rPr>
        <w:t>as an interpret</w:t>
      </w:r>
      <w:r w:rsidR="00F60D7D" w:rsidRPr="00D9566D">
        <w:rPr>
          <w:rFonts w:ascii="Arial" w:hAnsi="Arial" w:cs="Arial"/>
        </w:rPr>
        <w:t>at</w:t>
      </w:r>
      <w:r w:rsidR="00857472" w:rsidRPr="00D9566D">
        <w:rPr>
          <w:rFonts w:ascii="Arial" w:hAnsi="Arial" w:cs="Arial"/>
        </w:rPr>
        <w:t xml:space="preserve">ive aid </w:t>
      </w:r>
      <w:r w:rsidR="00213EDA" w:rsidRPr="00D9566D">
        <w:rPr>
          <w:rFonts w:ascii="Arial" w:hAnsi="Arial" w:cs="Arial"/>
        </w:rPr>
        <w:t xml:space="preserve">where there are two possible </w:t>
      </w:r>
      <w:r w:rsidR="00857472" w:rsidRPr="00D9566D">
        <w:rPr>
          <w:rFonts w:ascii="Arial" w:hAnsi="Arial" w:cs="Arial"/>
        </w:rPr>
        <w:t>meanings</w:t>
      </w:r>
      <w:r w:rsidR="00213EDA" w:rsidRPr="00D9566D">
        <w:rPr>
          <w:rFonts w:ascii="Arial" w:hAnsi="Arial" w:cs="Arial"/>
        </w:rPr>
        <w:t xml:space="preserve"> for a phrase or </w:t>
      </w:r>
      <w:r w:rsidR="003B4196" w:rsidRPr="00D9566D">
        <w:rPr>
          <w:rFonts w:ascii="Arial" w:hAnsi="Arial" w:cs="Arial"/>
        </w:rPr>
        <w:t>word in</w:t>
      </w:r>
      <w:r w:rsidR="00213EDA" w:rsidRPr="00D9566D">
        <w:rPr>
          <w:rFonts w:ascii="Arial" w:hAnsi="Arial" w:cs="Arial"/>
        </w:rPr>
        <w:t xml:space="preserve"> a legislative instrument or document. In this regard the </w:t>
      </w:r>
      <w:r w:rsidR="00E13272" w:rsidRPr="00D9566D">
        <w:rPr>
          <w:rFonts w:ascii="Arial" w:hAnsi="Arial" w:cs="Arial"/>
        </w:rPr>
        <w:t>applicant submitted that because it was expressly stipulated that a failure to provide the required information on the DPW-09 form regarding the bidder’s experience would lead to ‘no scoring of points’ (sic)</w:t>
      </w:r>
      <w:r w:rsidR="007D0CF2" w:rsidRPr="00D9566D">
        <w:rPr>
          <w:rFonts w:ascii="Arial" w:hAnsi="Arial" w:cs="Arial"/>
        </w:rPr>
        <w:t>,</w:t>
      </w:r>
      <w:r w:rsidR="00E13272" w:rsidRPr="00D9566D">
        <w:rPr>
          <w:rFonts w:ascii="Arial" w:hAnsi="Arial" w:cs="Arial"/>
        </w:rPr>
        <w:t xml:space="preserve"> whilst nothing was said about a failure to submit </w:t>
      </w:r>
      <w:r w:rsidR="00D14345" w:rsidRPr="00D9566D">
        <w:rPr>
          <w:rFonts w:ascii="Arial" w:hAnsi="Arial" w:cs="Arial"/>
        </w:rPr>
        <w:t xml:space="preserve">the </w:t>
      </w:r>
      <w:r w:rsidR="00E13272" w:rsidRPr="00D9566D">
        <w:rPr>
          <w:rFonts w:ascii="Arial" w:hAnsi="Arial" w:cs="Arial"/>
        </w:rPr>
        <w:t xml:space="preserve">source documents and reference letters evidencing </w:t>
      </w:r>
      <w:r w:rsidR="00A03D33" w:rsidRPr="00D9566D">
        <w:rPr>
          <w:rFonts w:ascii="Arial" w:hAnsi="Arial" w:cs="Arial"/>
        </w:rPr>
        <w:t xml:space="preserve">and </w:t>
      </w:r>
      <w:r w:rsidR="00D14345" w:rsidRPr="00D9566D">
        <w:rPr>
          <w:rFonts w:ascii="Arial" w:hAnsi="Arial" w:cs="Arial"/>
        </w:rPr>
        <w:t>confirming</w:t>
      </w:r>
      <w:r w:rsidR="00F57FCC" w:rsidRPr="00D9566D">
        <w:rPr>
          <w:rFonts w:ascii="Arial" w:hAnsi="Arial" w:cs="Arial"/>
        </w:rPr>
        <w:t xml:space="preserve"> such experience</w:t>
      </w:r>
      <w:r w:rsidR="00E13272" w:rsidRPr="00D9566D">
        <w:rPr>
          <w:rFonts w:ascii="Arial" w:hAnsi="Arial" w:cs="Arial"/>
        </w:rPr>
        <w:t xml:space="preserve">, it </w:t>
      </w:r>
      <w:r w:rsidR="00F57FCC" w:rsidRPr="00D9566D">
        <w:rPr>
          <w:rFonts w:ascii="Arial" w:hAnsi="Arial" w:cs="Arial"/>
        </w:rPr>
        <w:t>should</w:t>
      </w:r>
      <w:r w:rsidR="00E13272" w:rsidRPr="00D9566D">
        <w:rPr>
          <w:rFonts w:ascii="Arial" w:hAnsi="Arial" w:cs="Arial"/>
        </w:rPr>
        <w:t xml:space="preserve"> be understood that</w:t>
      </w:r>
      <w:r w:rsidR="00F57FCC" w:rsidRPr="00D9566D">
        <w:rPr>
          <w:rFonts w:ascii="Arial" w:hAnsi="Arial" w:cs="Arial"/>
        </w:rPr>
        <w:t xml:space="preserve"> a failure to submit the source documents and reference letters was excluded from a similar sanction or scor</w:t>
      </w:r>
      <w:r w:rsidR="00F864DA" w:rsidRPr="00D9566D">
        <w:rPr>
          <w:rFonts w:ascii="Arial" w:hAnsi="Arial" w:cs="Arial"/>
        </w:rPr>
        <w:t>ing</w:t>
      </w:r>
      <w:r w:rsidR="003B4196" w:rsidRPr="00D9566D">
        <w:rPr>
          <w:rFonts w:ascii="Arial" w:hAnsi="Arial" w:cs="Arial"/>
        </w:rPr>
        <w:t xml:space="preserve"> and that it was not compulsory to submit them</w:t>
      </w:r>
      <w:r w:rsidR="00F57FCC" w:rsidRPr="00D9566D">
        <w:rPr>
          <w:rFonts w:ascii="Arial" w:hAnsi="Arial" w:cs="Arial"/>
        </w:rPr>
        <w:t xml:space="preserve">. </w:t>
      </w:r>
      <w:r w:rsidR="00E13272" w:rsidRPr="00D9566D">
        <w:rPr>
          <w:rFonts w:ascii="Arial" w:hAnsi="Arial" w:cs="Arial"/>
        </w:rPr>
        <w:t xml:space="preserve"> </w:t>
      </w:r>
      <w:r w:rsidR="00030CAD" w:rsidRPr="00D9566D">
        <w:rPr>
          <w:rFonts w:ascii="Arial" w:hAnsi="Arial" w:cs="Arial"/>
        </w:rPr>
        <w:t>I</w:t>
      </w:r>
      <w:r w:rsidR="00713E22" w:rsidRPr="00D9566D">
        <w:rPr>
          <w:rFonts w:ascii="Arial" w:hAnsi="Arial" w:cs="Arial"/>
        </w:rPr>
        <w:t xml:space="preserve">n any event, </w:t>
      </w:r>
      <w:r w:rsidR="000B5665" w:rsidRPr="00D9566D">
        <w:rPr>
          <w:rFonts w:ascii="Arial" w:hAnsi="Arial" w:cs="Arial"/>
        </w:rPr>
        <w:t xml:space="preserve">so it submitted, </w:t>
      </w:r>
      <w:r w:rsidR="00713E22" w:rsidRPr="00D9566D">
        <w:rPr>
          <w:rFonts w:ascii="Arial" w:hAnsi="Arial" w:cs="Arial"/>
        </w:rPr>
        <w:t xml:space="preserve">the terms of </w:t>
      </w:r>
      <w:r w:rsidR="00713E22" w:rsidRPr="00D9566D">
        <w:rPr>
          <w:rFonts w:ascii="Arial" w:hAnsi="Arial" w:cs="Arial"/>
        </w:rPr>
        <w:lastRenderedPageBreak/>
        <w:t xml:space="preserve">reference reflected that the municipality had a discretion to accept substantial as opposed to exact </w:t>
      </w:r>
      <w:r w:rsidR="00F57FCC" w:rsidRPr="00D9566D">
        <w:rPr>
          <w:rFonts w:ascii="Arial" w:hAnsi="Arial" w:cs="Arial"/>
        </w:rPr>
        <w:t>or</w:t>
      </w:r>
      <w:r w:rsidR="00713E22" w:rsidRPr="00D9566D">
        <w:rPr>
          <w:rFonts w:ascii="Arial" w:hAnsi="Arial" w:cs="Arial"/>
        </w:rPr>
        <w:t xml:space="preserve"> strict compliance with the documentary requirements.</w:t>
      </w:r>
    </w:p>
    <w:p w14:paraId="1CC65375" w14:textId="3D11F2EC" w:rsidR="00713E22"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55.</w:t>
      </w:r>
      <w:r w:rsidRPr="00D9566D">
        <w:rPr>
          <w:rFonts w:ascii="Arial" w:hAnsi="Arial" w:cs="Arial"/>
        </w:rPr>
        <w:tab/>
      </w:r>
      <w:r w:rsidR="00857472" w:rsidRPr="00D9566D">
        <w:rPr>
          <w:rFonts w:ascii="Arial" w:hAnsi="Arial" w:cs="Arial"/>
        </w:rPr>
        <w:t>It is trite that t</w:t>
      </w:r>
      <w:r w:rsidR="00713E22" w:rsidRPr="00D9566D">
        <w:rPr>
          <w:rFonts w:ascii="Arial" w:hAnsi="Arial" w:cs="Arial"/>
        </w:rPr>
        <w:t>he process of interpret</w:t>
      </w:r>
      <w:r w:rsidR="00F864DA" w:rsidRPr="00D9566D">
        <w:rPr>
          <w:rFonts w:ascii="Arial" w:hAnsi="Arial" w:cs="Arial"/>
        </w:rPr>
        <w:t>ing</w:t>
      </w:r>
      <w:r w:rsidR="00713E22" w:rsidRPr="00D9566D">
        <w:rPr>
          <w:rFonts w:ascii="Arial" w:hAnsi="Arial" w:cs="Arial"/>
        </w:rPr>
        <w:t xml:space="preserve"> </w:t>
      </w:r>
      <w:r w:rsidR="00857472" w:rsidRPr="00D9566D">
        <w:rPr>
          <w:rFonts w:ascii="Arial" w:hAnsi="Arial" w:cs="Arial"/>
        </w:rPr>
        <w:t xml:space="preserve">text in a </w:t>
      </w:r>
      <w:r w:rsidR="00713E22" w:rsidRPr="00D9566D">
        <w:rPr>
          <w:rFonts w:ascii="Arial" w:hAnsi="Arial" w:cs="Arial"/>
        </w:rPr>
        <w:t xml:space="preserve">document is a unitary </w:t>
      </w:r>
      <w:r w:rsidR="00857472" w:rsidRPr="00D9566D">
        <w:rPr>
          <w:rFonts w:ascii="Arial" w:hAnsi="Arial" w:cs="Arial"/>
        </w:rPr>
        <w:t>exercise</w:t>
      </w:r>
      <w:r w:rsidR="00713E22" w:rsidRPr="00D9566D">
        <w:rPr>
          <w:rFonts w:ascii="Arial" w:hAnsi="Arial" w:cs="Arial"/>
        </w:rPr>
        <w:t xml:space="preserve"> that involves a consideration of the language used in the light of ordinary rules of grammar and syntax, the context in which the </w:t>
      </w:r>
      <w:r w:rsidR="00857472" w:rsidRPr="00D9566D">
        <w:rPr>
          <w:rFonts w:ascii="Arial" w:hAnsi="Arial" w:cs="Arial"/>
        </w:rPr>
        <w:t>text</w:t>
      </w:r>
      <w:r w:rsidR="00713E22" w:rsidRPr="00D9566D">
        <w:rPr>
          <w:rFonts w:ascii="Arial" w:hAnsi="Arial" w:cs="Arial"/>
        </w:rPr>
        <w:t xml:space="preserve"> appears in the document as a whole and the apparent purpose to which it is directed. The process is </w:t>
      </w:r>
      <w:r w:rsidR="00857472" w:rsidRPr="00D9566D">
        <w:rPr>
          <w:rFonts w:ascii="Arial" w:hAnsi="Arial" w:cs="Arial"/>
        </w:rPr>
        <w:t xml:space="preserve">an </w:t>
      </w:r>
      <w:r w:rsidR="00713E22" w:rsidRPr="00D9566D">
        <w:rPr>
          <w:rFonts w:ascii="Arial" w:hAnsi="Arial" w:cs="Arial"/>
        </w:rPr>
        <w:t>objective one th</w:t>
      </w:r>
      <w:r w:rsidR="00857472" w:rsidRPr="00D9566D">
        <w:rPr>
          <w:rFonts w:ascii="Arial" w:hAnsi="Arial" w:cs="Arial"/>
        </w:rPr>
        <w:t>at</w:t>
      </w:r>
      <w:r w:rsidR="00713E22" w:rsidRPr="00D9566D">
        <w:rPr>
          <w:rFonts w:ascii="Arial" w:hAnsi="Arial" w:cs="Arial"/>
        </w:rPr>
        <w:t xml:space="preserve"> attempts to arrive at a sensible and businesslike meaning which seeks to give effect to th</w:t>
      </w:r>
      <w:r w:rsidR="00030CAD" w:rsidRPr="00D9566D">
        <w:rPr>
          <w:rFonts w:ascii="Arial" w:hAnsi="Arial" w:cs="Arial"/>
        </w:rPr>
        <w:t>e</w:t>
      </w:r>
      <w:r w:rsidR="00713E22" w:rsidRPr="00D9566D">
        <w:rPr>
          <w:rFonts w:ascii="Arial" w:hAnsi="Arial" w:cs="Arial"/>
        </w:rPr>
        <w:t xml:space="preserve"> purpose.</w:t>
      </w:r>
    </w:p>
    <w:p w14:paraId="411C9D8F" w14:textId="52ADFE8F" w:rsidR="00F864DA"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56.</w:t>
      </w:r>
      <w:r w:rsidRPr="00D9566D">
        <w:rPr>
          <w:rFonts w:ascii="Arial" w:hAnsi="Arial" w:cs="Arial"/>
        </w:rPr>
        <w:tab/>
      </w:r>
      <w:r w:rsidR="00F864DA" w:rsidRPr="00D9566D">
        <w:rPr>
          <w:rFonts w:ascii="Arial" w:hAnsi="Arial" w:cs="Arial"/>
        </w:rPr>
        <w:t>As previously pointed out functionality is defined in the invitation to bid as a ‘pre-qualification’ criterion used to establish a ‘minimum qualifying requirement’ and only those bidders who obtained the requisite 50 points i.e. the threshold score w</w:t>
      </w:r>
      <w:r w:rsidR="000B5665" w:rsidRPr="00D9566D">
        <w:rPr>
          <w:rFonts w:ascii="Arial" w:hAnsi="Arial" w:cs="Arial"/>
        </w:rPr>
        <w:t>ere</w:t>
      </w:r>
      <w:r w:rsidR="00F864DA" w:rsidRPr="00D9566D">
        <w:rPr>
          <w:rFonts w:ascii="Arial" w:hAnsi="Arial" w:cs="Arial"/>
        </w:rPr>
        <w:t xml:space="preserve"> eligible for consideration on price and preference. A contextual and purposive reading of the detailed specifications and requirements pertaining to functionality must </w:t>
      </w:r>
      <w:r w:rsidR="006B1F39" w:rsidRPr="00D9566D">
        <w:rPr>
          <w:rFonts w:ascii="Arial" w:hAnsi="Arial" w:cs="Arial"/>
        </w:rPr>
        <w:t>result in the following interpretation:</w:t>
      </w:r>
      <w:r w:rsidR="00F864DA" w:rsidRPr="00D9566D">
        <w:rPr>
          <w:rFonts w:ascii="Arial" w:hAnsi="Arial" w:cs="Arial"/>
        </w:rPr>
        <w:t xml:space="preserve"> In order to qualify for points for experience bidders were required to </w:t>
      </w:r>
      <w:r w:rsidR="00F864DA" w:rsidRPr="00D9566D">
        <w:rPr>
          <w:rFonts w:ascii="Arial" w:hAnsi="Arial" w:cs="Arial"/>
          <w:i/>
          <w:iCs/>
        </w:rPr>
        <w:t xml:space="preserve">prove </w:t>
      </w:r>
      <w:r w:rsidR="00F864DA" w:rsidRPr="00D9566D">
        <w:rPr>
          <w:rFonts w:ascii="Arial" w:hAnsi="Arial" w:cs="Arial"/>
        </w:rPr>
        <w:t xml:space="preserve">it by submitting 1) source documents (such as letters of appointment, service level agreements or purchase orders) </w:t>
      </w:r>
      <w:r w:rsidR="00F864DA" w:rsidRPr="00D9566D">
        <w:rPr>
          <w:rFonts w:ascii="Arial" w:hAnsi="Arial" w:cs="Arial"/>
          <w:i/>
          <w:iCs/>
        </w:rPr>
        <w:t>evidencing</w:t>
      </w:r>
      <w:r w:rsidR="00F864DA" w:rsidRPr="00D9566D">
        <w:rPr>
          <w:rFonts w:ascii="Arial" w:hAnsi="Arial" w:cs="Arial"/>
        </w:rPr>
        <w:t xml:space="preserve"> that they had been awarded the projects of the minimum value prescribed, as listed on their DPW-09 form, </w:t>
      </w:r>
      <w:r w:rsidR="00F864DA" w:rsidRPr="00D9566D">
        <w:rPr>
          <w:rFonts w:ascii="Arial" w:hAnsi="Arial" w:cs="Arial"/>
          <w:u w:val="single"/>
        </w:rPr>
        <w:t>and</w:t>
      </w:r>
      <w:r w:rsidR="00F864DA" w:rsidRPr="00D9566D">
        <w:rPr>
          <w:rFonts w:ascii="Arial" w:hAnsi="Arial" w:cs="Arial"/>
        </w:rPr>
        <w:t xml:space="preserve"> 2) reference letters which </w:t>
      </w:r>
      <w:r w:rsidR="00F864DA" w:rsidRPr="00D9566D">
        <w:rPr>
          <w:rFonts w:ascii="Arial" w:hAnsi="Arial" w:cs="Arial"/>
          <w:i/>
          <w:iCs/>
        </w:rPr>
        <w:t>confirmed</w:t>
      </w:r>
      <w:r w:rsidR="00F864DA" w:rsidRPr="00D9566D">
        <w:rPr>
          <w:rFonts w:ascii="Arial" w:hAnsi="Arial" w:cs="Arial"/>
        </w:rPr>
        <w:t xml:space="preserve"> this by ‘clearly stating’ the contract value, duration, employer particulars and contact details for each such project listed. By stipulating that the ‘means of proving experience’ was ‘subject’ to the attachment of the requisite source </w:t>
      </w:r>
      <w:r w:rsidR="00F864DA" w:rsidRPr="00D9566D">
        <w:rPr>
          <w:rFonts w:ascii="Arial" w:hAnsi="Arial" w:cs="Arial"/>
          <w:u w:val="single"/>
        </w:rPr>
        <w:t xml:space="preserve">and </w:t>
      </w:r>
      <w:r w:rsidR="00F864DA" w:rsidRPr="00D9566D">
        <w:rPr>
          <w:rFonts w:ascii="Arial" w:hAnsi="Arial" w:cs="Arial"/>
        </w:rPr>
        <w:t xml:space="preserve">confirmatory documents i.e. the letters of reference, both of these classes of documents became </w:t>
      </w:r>
      <w:r w:rsidR="00030CAD" w:rsidRPr="00D9566D">
        <w:rPr>
          <w:rFonts w:ascii="Arial" w:hAnsi="Arial" w:cs="Arial"/>
        </w:rPr>
        <w:t>mandatory</w:t>
      </w:r>
      <w:r w:rsidR="00F864DA" w:rsidRPr="00D9566D">
        <w:rPr>
          <w:rFonts w:ascii="Arial" w:hAnsi="Arial" w:cs="Arial"/>
        </w:rPr>
        <w:t>, returnable documents that had to be submitted.</w:t>
      </w:r>
    </w:p>
    <w:p w14:paraId="30C5461E" w14:textId="54B42933" w:rsidR="00F864DA"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57.</w:t>
      </w:r>
      <w:r w:rsidRPr="00D9566D">
        <w:rPr>
          <w:rFonts w:ascii="Arial" w:hAnsi="Arial" w:cs="Arial"/>
        </w:rPr>
        <w:tab/>
      </w:r>
      <w:r w:rsidR="00F864DA" w:rsidRPr="00D9566D">
        <w:rPr>
          <w:rFonts w:ascii="Arial" w:hAnsi="Arial" w:cs="Arial"/>
        </w:rPr>
        <w:t xml:space="preserve">As far as reliance on the </w:t>
      </w:r>
      <w:r w:rsidR="00F864DA" w:rsidRPr="00D9566D">
        <w:rPr>
          <w:rFonts w:ascii="Arial" w:hAnsi="Arial" w:cs="Arial"/>
          <w:i/>
          <w:iCs/>
        </w:rPr>
        <w:t>expressio unius</w:t>
      </w:r>
      <w:r w:rsidR="00F864DA" w:rsidRPr="00D9566D">
        <w:rPr>
          <w:rFonts w:ascii="Arial" w:hAnsi="Arial" w:cs="Arial"/>
        </w:rPr>
        <w:t xml:space="preserve"> maxim is concerned, as was pointed out by De Villiers JA </w:t>
      </w:r>
      <w:r w:rsidR="00030CAD" w:rsidRPr="00D9566D">
        <w:rPr>
          <w:rFonts w:ascii="Arial" w:hAnsi="Arial" w:cs="Arial"/>
        </w:rPr>
        <w:t xml:space="preserve">almost 100 years ago </w:t>
      </w:r>
      <w:r w:rsidR="00F864DA" w:rsidRPr="00D9566D">
        <w:rPr>
          <w:rFonts w:ascii="Arial" w:hAnsi="Arial" w:cs="Arial"/>
        </w:rPr>
        <w:t xml:space="preserve">in </w:t>
      </w:r>
      <w:r w:rsidR="00F864DA" w:rsidRPr="00D9566D">
        <w:rPr>
          <w:rFonts w:ascii="Arial" w:hAnsi="Arial" w:cs="Arial"/>
          <w:i/>
          <w:iCs/>
        </w:rPr>
        <w:t xml:space="preserve">SA Ests </w:t>
      </w:r>
      <w:r w:rsidR="00F864DA" w:rsidRPr="00D9566D">
        <w:rPr>
          <w:rStyle w:val="FootnoteReference"/>
          <w:rFonts w:ascii="Arial" w:hAnsi="Arial" w:cs="Arial"/>
        </w:rPr>
        <w:footnoteReference w:id="37"/>
      </w:r>
      <w:r w:rsidR="00F864DA" w:rsidRPr="00D9566D">
        <w:rPr>
          <w:rFonts w:ascii="Arial" w:hAnsi="Arial" w:cs="Arial"/>
        </w:rPr>
        <w:t xml:space="preserve"> it is </w:t>
      </w:r>
      <w:r w:rsidR="003B4196" w:rsidRPr="00D9566D">
        <w:rPr>
          <w:rFonts w:ascii="Arial" w:hAnsi="Arial" w:cs="Arial"/>
        </w:rPr>
        <w:t>one</w:t>
      </w:r>
      <w:r w:rsidR="00F864DA" w:rsidRPr="00D9566D">
        <w:rPr>
          <w:rFonts w:ascii="Arial" w:hAnsi="Arial" w:cs="Arial"/>
        </w:rPr>
        <w:t xml:space="preserve"> which ‘must at all times be applied with great caution’.  It is not ‘strictly speaking’ a rule of interpretation but a ‘principle of common sense’ by which a court may be guided in arriving at the intention of the author of a document.</w:t>
      </w:r>
      <w:r w:rsidR="00030CAD" w:rsidRPr="00D9566D">
        <w:rPr>
          <w:rStyle w:val="FootnoteReference"/>
          <w:rFonts w:ascii="Arial" w:hAnsi="Arial" w:cs="Arial"/>
        </w:rPr>
        <w:footnoteReference w:id="38"/>
      </w:r>
      <w:r w:rsidR="00F864DA" w:rsidRPr="00D9566D">
        <w:rPr>
          <w:rFonts w:ascii="Arial" w:hAnsi="Arial" w:cs="Arial"/>
        </w:rPr>
        <w:t xml:space="preserve"> Whether it is applicable depends on the terms of the document read as a whole and ‘more especially upon the relation in which the thing expressed stands to the thing which is not expressed’ and ‘it by no means always follows that the mention of one matter implies the exclusion of what may at first sight appear the converse’.</w:t>
      </w:r>
      <w:r w:rsidR="00F864DA" w:rsidRPr="00D9566D">
        <w:rPr>
          <w:rStyle w:val="FootnoteReference"/>
          <w:rFonts w:ascii="Arial" w:hAnsi="Arial" w:cs="Arial"/>
        </w:rPr>
        <w:footnoteReference w:id="39"/>
      </w:r>
      <w:r w:rsidR="00F864DA" w:rsidRPr="00D9566D">
        <w:rPr>
          <w:rFonts w:ascii="Arial" w:hAnsi="Arial" w:cs="Arial"/>
        </w:rPr>
        <w:t xml:space="preserve">  At best</w:t>
      </w:r>
      <w:r w:rsidR="00030CAD" w:rsidRPr="00D9566D">
        <w:rPr>
          <w:rFonts w:ascii="Arial" w:hAnsi="Arial" w:cs="Arial"/>
        </w:rPr>
        <w:t xml:space="preserve"> ther</w:t>
      </w:r>
      <w:r w:rsidR="000B5665" w:rsidRPr="00D9566D">
        <w:rPr>
          <w:rFonts w:ascii="Arial" w:hAnsi="Arial" w:cs="Arial"/>
        </w:rPr>
        <w:t>e</w:t>
      </w:r>
      <w:r w:rsidR="00030CAD" w:rsidRPr="00D9566D">
        <w:rPr>
          <w:rFonts w:ascii="Arial" w:hAnsi="Arial" w:cs="Arial"/>
        </w:rPr>
        <w:t>fore</w:t>
      </w:r>
      <w:r w:rsidR="00F864DA" w:rsidRPr="00D9566D">
        <w:rPr>
          <w:rFonts w:ascii="Arial" w:hAnsi="Arial" w:cs="Arial"/>
        </w:rPr>
        <w:t xml:space="preserve">, if the maxim finds application it is no more than a </w:t>
      </w:r>
      <w:r w:rsidR="00F864DA" w:rsidRPr="00D9566D">
        <w:rPr>
          <w:rFonts w:ascii="Arial" w:hAnsi="Arial" w:cs="Arial"/>
          <w:i/>
          <w:iCs/>
        </w:rPr>
        <w:t>prima facie</w:t>
      </w:r>
      <w:r w:rsidR="00F864DA" w:rsidRPr="00D9566D">
        <w:rPr>
          <w:rFonts w:ascii="Arial" w:hAnsi="Arial" w:cs="Arial"/>
        </w:rPr>
        <w:t xml:space="preserve"> ‘indicator of meaning’ and not a hard and fast rule.</w:t>
      </w:r>
      <w:r w:rsidR="00F864DA" w:rsidRPr="00D9566D">
        <w:rPr>
          <w:rStyle w:val="FootnoteReference"/>
          <w:rFonts w:ascii="Arial" w:hAnsi="Arial" w:cs="Arial"/>
        </w:rPr>
        <w:footnoteReference w:id="40"/>
      </w:r>
      <w:r w:rsidR="00F864DA" w:rsidRPr="00D9566D">
        <w:rPr>
          <w:rFonts w:ascii="Arial" w:hAnsi="Arial" w:cs="Arial"/>
        </w:rPr>
        <w:t xml:space="preserve"> In my view, on a proper and contextual reading of the section pertaining to functionality in relation to company experience the maxim does not find application. This is not an instance where there are two possible interpretations of a phrase or word in a </w:t>
      </w:r>
      <w:r w:rsidR="000B5665" w:rsidRPr="00D9566D">
        <w:rPr>
          <w:rFonts w:ascii="Arial" w:hAnsi="Arial" w:cs="Arial"/>
        </w:rPr>
        <w:t>text</w:t>
      </w:r>
      <w:r w:rsidR="00F864DA" w:rsidRPr="00D9566D">
        <w:rPr>
          <w:rFonts w:ascii="Arial" w:hAnsi="Arial" w:cs="Arial"/>
        </w:rPr>
        <w:t xml:space="preserve">, and the </w:t>
      </w:r>
      <w:r w:rsidR="003B4196" w:rsidRPr="00D9566D">
        <w:rPr>
          <w:rFonts w:ascii="Arial" w:hAnsi="Arial" w:cs="Arial"/>
        </w:rPr>
        <w:t>‘</w:t>
      </w:r>
      <w:r w:rsidR="00F864DA" w:rsidRPr="00D9566D">
        <w:rPr>
          <w:rFonts w:ascii="Arial" w:hAnsi="Arial" w:cs="Arial"/>
        </w:rPr>
        <w:t>express mention of one of the possibilities</w:t>
      </w:r>
      <w:r w:rsidR="003B4196" w:rsidRPr="00D9566D">
        <w:rPr>
          <w:rFonts w:ascii="Arial" w:hAnsi="Arial" w:cs="Arial"/>
        </w:rPr>
        <w:t>’</w:t>
      </w:r>
      <w:r w:rsidR="00F864DA" w:rsidRPr="00D9566D">
        <w:rPr>
          <w:rFonts w:ascii="Arial" w:hAnsi="Arial" w:cs="Arial"/>
        </w:rPr>
        <w:t xml:space="preserve"> </w:t>
      </w:r>
      <w:r w:rsidR="003B4196" w:rsidRPr="00D9566D">
        <w:rPr>
          <w:rFonts w:ascii="Arial" w:hAnsi="Arial" w:cs="Arial"/>
        </w:rPr>
        <w:t xml:space="preserve">therefore </w:t>
      </w:r>
      <w:r w:rsidR="00F864DA" w:rsidRPr="00D9566D">
        <w:rPr>
          <w:rFonts w:ascii="Arial" w:hAnsi="Arial" w:cs="Arial"/>
        </w:rPr>
        <w:t>implicitly excludes the other.</w:t>
      </w:r>
      <w:r w:rsidR="00F864DA" w:rsidRPr="00D9566D">
        <w:rPr>
          <w:rStyle w:val="FootnoteReference"/>
          <w:rFonts w:ascii="Arial" w:hAnsi="Arial" w:cs="Arial"/>
        </w:rPr>
        <w:footnoteReference w:id="41"/>
      </w:r>
      <w:r w:rsidR="00F864DA" w:rsidRPr="00D9566D">
        <w:rPr>
          <w:rFonts w:ascii="Arial" w:hAnsi="Arial" w:cs="Arial"/>
        </w:rPr>
        <w:t xml:space="preserve">  The fact that it was </w:t>
      </w:r>
      <w:r w:rsidR="003B4196" w:rsidRPr="00D9566D">
        <w:rPr>
          <w:rFonts w:ascii="Arial" w:hAnsi="Arial" w:cs="Arial"/>
        </w:rPr>
        <w:t xml:space="preserve">expressly </w:t>
      </w:r>
      <w:r w:rsidR="00F864DA" w:rsidRPr="00D9566D">
        <w:rPr>
          <w:rFonts w:ascii="Arial" w:hAnsi="Arial" w:cs="Arial"/>
        </w:rPr>
        <w:t xml:space="preserve">stipulated that a failure to record the necessary information on the DPW-09 form would lead to a nil score and </w:t>
      </w:r>
      <w:r w:rsidR="003B4196" w:rsidRPr="00D9566D">
        <w:rPr>
          <w:rFonts w:ascii="Arial" w:hAnsi="Arial" w:cs="Arial"/>
        </w:rPr>
        <w:t xml:space="preserve">would </w:t>
      </w:r>
      <w:r w:rsidR="003E0383" w:rsidRPr="00D9566D">
        <w:rPr>
          <w:rFonts w:ascii="Arial" w:hAnsi="Arial" w:cs="Arial"/>
        </w:rPr>
        <w:t xml:space="preserve">result in </w:t>
      </w:r>
      <w:r w:rsidR="00F864DA" w:rsidRPr="00D9566D">
        <w:rPr>
          <w:rFonts w:ascii="Arial" w:hAnsi="Arial" w:cs="Arial"/>
        </w:rPr>
        <w:t>disqualification d</w:t>
      </w:r>
      <w:r w:rsidR="006A58B6" w:rsidRPr="00D9566D">
        <w:rPr>
          <w:rFonts w:ascii="Arial" w:hAnsi="Arial" w:cs="Arial"/>
        </w:rPr>
        <w:t xml:space="preserve">oes </w:t>
      </w:r>
      <w:r w:rsidR="00F864DA" w:rsidRPr="00D9566D">
        <w:rPr>
          <w:rFonts w:ascii="Arial" w:hAnsi="Arial" w:cs="Arial"/>
        </w:rPr>
        <w:t>not necessarily imply that, because this was not similarly stated</w:t>
      </w:r>
      <w:r w:rsidR="006A58B6" w:rsidRPr="00D9566D">
        <w:rPr>
          <w:rFonts w:ascii="Arial" w:hAnsi="Arial" w:cs="Arial"/>
        </w:rPr>
        <w:t>,</w:t>
      </w:r>
      <w:r w:rsidR="00F864DA" w:rsidRPr="00D9566D">
        <w:rPr>
          <w:rFonts w:ascii="Arial" w:hAnsi="Arial" w:cs="Arial"/>
        </w:rPr>
        <w:t xml:space="preserve"> </w:t>
      </w:r>
      <w:r w:rsidR="006A58B6" w:rsidRPr="00D9566D">
        <w:rPr>
          <w:rFonts w:ascii="Arial" w:hAnsi="Arial" w:cs="Arial"/>
        </w:rPr>
        <w:t xml:space="preserve">in that same portion of the text, </w:t>
      </w:r>
      <w:r w:rsidR="00F864DA" w:rsidRPr="00D9566D">
        <w:rPr>
          <w:rFonts w:ascii="Arial" w:hAnsi="Arial" w:cs="Arial"/>
        </w:rPr>
        <w:t xml:space="preserve">to be the consequence for failing to file source and confirmatory documents proving a bidder’s experience, it was not mandatory to file such documents. </w:t>
      </w:r>
      <w:r w:rsidR="006A58B6" w:rsidRPr="00D9566D">
        <w:rPr>
          <w:rFonts w:ascii="Arial" w:hAnsi="Arial" w:cs="Arial"/>
        </w:rPr>
        <w:t xml:space="preserve">The rest of </w:t>
      </w:r>
      <w:r w:rsidR="006A58B6" w:rsidRPr="00D9566D">
        <w:rPr>
          <w:rFonts w:ascii="Arial" w:hAnsi="Arial" w:cs="Arial"/>
        </w:rPr>
        <w:lastRenderedPageBreak/>
        <w:t xml:space="preserve">the document, particularly the first three pages of the invitation to bid, make it clear that the submission of the documents was a mandatory </w:t>
      </w:r>
      <w:r w:rsidR="00F63225" w:rsidRPr="00D9566D">
        <w:rPr>
          <w:rFonts w:ascii="Arial" w:hAnsi="Arial" w:cs="Arial"/>
        </w:rPr>
        <w:t>requirement</w:t>
      </w:r>
      <w:r w:rsidR="006A58B6" w:rsidRPr="00D9566D">
        <w:rPr>
          <w:rFonts w:ascii="Arial" w:hAnsi="Arial" w:cs="Arial"/>
        </w:rPr>
        <w:t>, failure to comply with which would result in disqualification.</w:t>
      </w:r>
      <w:r w:rsidR="00F864DA" w:rsidRPr="00D9566D">
        <w:rPr>
          <w:rFonts w:ascii="Arial" w:hAnsi="Arial" w:cs="Arial"/>
        </w:rPr>
        <w:t xml:space="preserve">     </w:t>
      </w:r>
    </w:p>
    <w:p w14:paraId="1FA1C9D7" w14:textId="2916D235" w:rsidR="00F864DA"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58.</w:t>
      </w:r>
      <w:r w:rsidRPr="00D9566D">
        <w:rPr>
          <w:rFonts w:ascii="Arial" w:hAnsi="Arial" w:cs="Arial"/>
        </w:rPr>
        <w:tab/>
      </w:r>
      <w:r w:rsidR="00F864DA" w:rsidRPr="00D9566D">
        <w:rPr>
          <w:rFonts w:ascii="Arial" w:hAnsi="Arial" w:cs="Arial"/>
        </w:rPr>
        <w:t>If one considers the bid documentation which the applicant submitted it is clear that it failed to comply with what was required in regard to both the necessary source, and the confirmatory, documents required for functionality</w:t>
      </w:r>
      <w:r w:rsidR="006A58B6" w:rsidRPr="00D9566D">
        <w:rPr>
          <w:rFonts w:ascii="Arial" w:hAnsi="Arial" w:cs="Arial"/>
        </w:rPr>
        <w:t xml:space="preserve"> for points for experience. I</w:t>
      </w:r>
      <w:r w:rsidR="00F864DA" w:rsidRPr="00D9566D">
        <w:rPr>
          <w:rFonts w:ascii="Arial" w:hAnsi="Arial" w:cs="Arial"/>
        </w:rPr>
        <w:t>t provided only a single source document</w:t>
      </w:r>
      <w:r w:rsidR="00B04963" w:rsidRPr="00D9566D">
        <w:rPr>
          <w:rFonts w:ascii="Arial" w:hAnsi="Arial" w:cs="Arial"/>
        </w:rPr>
        <w:t xml:space="preserve">, </w:t>
      </w:r>
      <w:r w:rsidR="00F864DA" w:rsidRPr="00D9566D">
        <w:rPr>
          <w:rFonts w:ascii="Arial" w:hAnsi="Arial" w:cs="Arial"/>
        </w:rPr>
        <w:t>a purchase order for a DAFF project</w:t>
      </w:r>
      <w:r w:rsidR="00B04963" w:rsidRPr="00D9566D">
        <w:rPr>
          <w:rFonts w:ascii="Arial" w:hAnsi="Arial" w:cs="Arial"/>
        </w:rPr>
        <w:t>,</w:t>
      </w:r>
      <w:r w:rsidR="00F864DA" w:rsidRPr="00D9566D">
        <w:rPr>
          <w:rFonts w:ascii="Arial" w:hAnsi="Arial" w:cs="Arial"/>
        </w:rPr>
        <w:t xml:space="preserve"> but details of the project were not confirmed in an accompanying reference letter. In fact, not a single reference letter within the </w:t>
      </w:r>
      <w:r w:rsidR="006A58B6" w:rsidRPr="00D9566D">
        <w:rPr>
          <w:rFonts w:ascii="Arial" w:hAnsi="Arial" w:cs="Arial"/>
        </w:rPr>
        <w:t>terms</w:t>
      </w:r>
      <w:r w:rsidR="00F864DA" w:rsidRPr="00D9566D">
        <w:rPr>
          <w:rFonts w:ascii="Arial" w:hAnsi="Arial" w:cs="Arial"/>
        </w:rPr>
        <w:t xml:space="preserve"> required, was provided for any of the projects. The letter from the Head: Facilities Management </w:t>
      </w:r>
      <w:r w:rsidR="00B04963" w:rsidRPr="00D9566D">
        <w:rPr>
          <w:rFonts w:ascii="Arial" w:hAnsi="Arial" w:cs="Arial"/>
        </w:rPr>
        <w:t xml:space="preserve">dated 30 October 2018 was </w:t>
      </w:r>
      <w:r w:rsidR="00F864DA" w:rsidRPr="00D9566D">
        <w:rPr>
          <w:rFonts w:ascii="Arial" w:hAnsi="Arial" w:cs="Arial"/>
        </w:rPr>
        <w:t xml:space="preserve">in relation to one of the City of Cape Town </w:t>
      </w:r>
      <w:r w:rsidR="00B04963" w:rsidRPr="00D9566D">
        <w:rPr>
          <w:rFonts w:ascii="Arial" w:hAnsi="Arial" w:cs="Arial"/>
        </w:rPr>
        <w:t>tenders (tender 80S) and</w:t>
      </w:r>
      <w:r w:rsidR="00F864DA" w:rsidRPr="00D9566D">
        <w:rPr>
          <w:rFonts w:ascii="Arial" w:hAnsi="Arial" w:cs="Arial"/>
        </w:rPr>
        <w:t xml:space="preserve"> simply confirmed </w:t>
      </w:r>
      <w:r w:rsidR="00B04963" w:rsidRPr="00D9566D">
        <w:rPr>
          <w:rFonts w:ascii="Arial" w:hAnsi="Arial" w:cs="Arial"/>
        </w:rPr>
        <w:t>its</w:t>
      </w:r>
      <w:r w:rsidR="00F864DA" w:rsidRPr="00D9566D">
        <w:rPr>
          <w:rFonts w:ascii="Arial" w:hAnsi="Arial" w:cs="Arial"/>
        </w:rPr>
        <w:t xml:space="preserve"> extension and termination </w:t>
      </w:r>
      <w:r w:rsidR="003E0383" w:rsidRPr="00D9566D">
        <w:rPr>
          <w:rFonts w:ascii="Arial" w:hAnsi="Arial" w:cs="Arial"/>
        </w:rPr>
        <w:t>in</w:t>
      </w:r>
      <w:r w:rsidR="00F864DA" w:rsidRPr="00D9566D">
        <w:rPr>
          <w:rFonts w:ascii="Arial" w:hAnsi="Arial" w:cs="Arial"/>
        </w:rPr>
        <w:t xml:space="preserve"> November 2018. This does not tally with the statement in the DPW-09 that this </w:t>
      </w:r>
      <w:r w:rsidR="00B04963" w:rsidRPr="00D9566D">
        <w:rPr>
          <w:rFonts w:ascii="Arial" w:hAnsi="Arial" w:cs="Arial"/>
        </w:rPr>
        <w:t>tender</w:t>
      </w:r>
      <w:r w:rsidR="00F864DA" w:rsidRPr="00D9566D">
        <w:rPr>
          <w:rFonts w:ascii="Arial" w:hAnsi="Arial" w:cs="Arial"/>
        </w:rPr>
        <w:t xml:space="preserve"> was one which endured for a period of 4 years between 2014 and 2018</w:t>
      </w:r>
      <w:r w:rsidR="006A58B6" w:rsidRPr="00D9566D">
        <w:rPr>
          <w:rFonts w:ascii="Arial" w:hAnsi="Arial" w:cs="Arial"/>
        </w:rPr>
        <w:t>,</w:t>
      </w:r>
      <w:r w:rsidR="00F864DA" w:rsidRPr="00D9566D">
        <w:rPr>
          <w:rFonts w:ascii="Arial" w:hAnsi="Arial" w:cs="Arial"/>
        </w:rPr>
        <w:t xml:space="preserve"> and the letter did not confirm </w:t>
      </w:r>
      <w:r w:rsidR="006A58B6" w:rsidRPr="00D9566D">
        <w:rPr>
          <w:rFonts w:ascii="Arial" w:hAnsi="Arial" w:cs="Arial"/>
        </w:rPr>
        <w:t>the tender</w:t>
      </w:r>
      <w:r w:rsidR="00F864DA" w:rsidRPr="00D9566D">
        <w:rPr>
          <w:rFonts w:ascii="Arial" w:hAnsi="Arial" w:cs="Arial"/>
        </w:rPr>
        <w:t xml:space="preserve"> by reference to its contract value and duration. Likewise, the letter of ‘commendation’ from the project manager of Willjarro (Pty) Ltd did not constitute a reference letter, in the terms required, as it also did not confirm the contract value and duration of this project. </w:t>
      </w:r>
    </w:p>
    <w:p w14:paraId="69CC6610" w14:textId="6B065906"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59.</w:t>
      </w:r>
      <w:r w:rsidRPr="00D9566D">
        <w:rPr>
          <w:rFonts w:ascii="Arial" w:hAnsi="Arial" w:cs="Arial"/>
        </w:rPr>
        <w:tab/>
      </w:r>
      <w:r w:rsidR="00030CAD" w:rsidRPr="00D9566D">
        <w:rPr>
          <w:rFonts w:ascii="Arial" w:hAnsi="Arial" w:cs="Arial"/>
        </w:rPr>
        <w:t xml:space="preserve">Thus, in the absence of the provision of the required source documents and reference letters for the 6 projects listed in the DPW-09 form the applicant was correctly scored zero, </w:t>
      </w:r>
      <w:r w:rsidR="00B04963" w:rsidRPr="00D9566D">
        <w:rPr>
          <w:rFonts w:ascii="Arial" w:hAnsi="Arial" w:cs="Arial"/>
        </w:rPr>
        <w:t>as</w:t>
      </w:r>
      <w:r w:rsidR="00030CAD" w:rsidRPr="00D9566D">
        <w:rPr>
          <w:rFonts w:ascii="Arial" w:hAnsi="Arial" w:cs="Arial"/>
        </w:rPr>
        <w:t xml:space="preserve"> it was not eligible to be awarded any points for experience. It </w:t>
      </w:r>
      <w:r w:rsidR="00B04963" w:rsidRPr="00D9566D">
        <w:rPr>
          <w:rFonts w:ascii="Arial" w:hAnsi="Arial" w:cs="Arial"/>
        </w:rPr>
        <w:t xml:space="preserve">also </w:t>
      </w:r>
      <w:r w:rsidR="00030CAD" w:rsidRPr="00D9566D">
        <w:rPr>
          <w:rFonts w:ascii="Arial" w:hAnsi="Arial" w:cs="Arial"/>
        </w:rPr>
        <w:t xml:space="preserve">cannot be suggested that the documents submitted constituted substantial compliance with what was required. Put </w:t>
      </w:r>
      <w:r w:rsidR="00B04963" w:rsidRPr="00D9566D">
        <w:rPr>
          <w:rFonts w:ascii="Arial" w:hAnsi="Arial" w:cs="Arial"/>
        </w:rPr>
        <w:t xml:space="preserve">differently, </w:t>
      </w:r>
      <w:r w:rsidR="00030CAD" w:rsidRPr="00D9566D">
        <w:rPr>
          <w:rFonts w:ascii="Arial" w:hAnsi="Arial" w:cs="Arial"/>
        </w:rPr>
        <w:t xml:space="preserve">in terms of the formulation which was adopted in </w:t>
      </w:r>
      <w:r w:rsidR="00030CAD" w:rsidRPr="00D9566D">
        <w:rPr>
          <w:rFonts w:ascii="Arial" w:hAnsi="Arial" w:cs="Arial"/>
          <w:i/>
          <w:iCs/>
        </w:rPr>
        <w:t>Allpay</w:t>
      </w:r>
      <w:r w:rsidR="00030CAD" w:rsidRPr="00D9566D">
        <w:rPr>
          <w:rFonts w:ascii="Arial" w:hAnsi="Arial" w:cs="Arial"/>
        </w:rPr>
        <w:t xml:space="preserve"> it cannot be said that, given the purpose of the requi</w:t>
      </w:r>
      <w:r w:rsidR="00544372" w:rsidRPr="00D9566D">
        <w:rPr>
          <w:rFonts w:ascii="Arial" w:hAnsi="Arial" w:cs="Arial"/>
        </w:rPr>
        <w:t xml:space="preserve">sites </w:t>
      </w:r>
      <w:r w:rsidR="00030CAD" w:rsidRPr="00D9566D">
        <w:rPr>
          <w:rFonts w:ascii="Arial" w:hAnsi="Arial" w:cs="Arial"/>
        </w:rPr>
        <w:t>pertaining to company experience, the applicant complied</w:t>
      </w:r>
      <w:r w:rsidR="00F63225" w:rsidRPr="00D9566D">
        <w:rPr>
          <w:rFonts w:ascii="Arial" w:hAnsi="Arial" w:cs="Arial"/>
        </w:rPr>
        <w:t xml:space="preserve"> in effect</w:t>
      </w:r>
      <w:r w:rsidR="006A58B6" w:rsidRPr="00D9566D">
        <w:rPr>
          <w:rFonts w:ascii="Arial" w:hAnsi="Arial" w:cs="Arial"/>
        </w:rPr>
        <w:t>, in substance and form</w:t>
      </w:r>
      <w:r w:rsidR="00030CAD" w:rsidRPr="00D9566D">
        <w:rPr>
          <w:rFonts w:ascii="Arial" w:hAnsi="Arial" w:cs="Arial"/>
        </w:rPr>
        <w:t xml:space="preserve">.  </w:t>
      </w:r>
    </w:p>
    <w:p w14:paraId="79C20F19" w14:textId="06D77E95" w:rsidR="003E0383"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60.</w:t>
      </w:r>
      <w:r w:rsidRPr="00D9566D">
        <w:rPr>
          <w:rFonts w:ascii="Arial" w:hAnsi="Arial" w:cs="Arial"/>
        </w:rPr>
        <w:tab/>
      </w:r>
      <w:r w:rsidR="00030CAD" w:rsidRPr="00D9566D">
        <w:rPr>
          <w:rFonts w:ascii="Arial" w:hAnsi="Arial" w:cs="Arial"/>
        </w:rPr>
        <w:t xml:space="preserve">As for the functionality requirements pertaining to an administrative office, although the applicant conceded in its own founding affidavit that it was correctly scored zero as it failed to submit a copy of a valid lease agreement with its bid submission, during argument the applicant’s counsel similarly sought to contend that the submission of such a document as part of the bid was not a mandatory requirement, and the lease could be submitted afterwards. In this regard the applicant sought to rely on clause 10.7 of the terms of reference which read as follows: </w:t>
      </w:r>
    </w:p>
    <w:p w14:paraId="61746BFF" w14:textId="50B63953" w:rsidR="00030CAD" w:rsidRPr="00D9566D" w:rsidRDefault="00030CAD" w:rsidP="00D9566D">
      <w:pPr>
        <w:pStyle w:val="ListParagraph"/>
        <w:adjustRightInd w:val="0"/>
        <w:spacing w:after="0" w:line="240" w:lineRule="auto"/>
        <w:jc w:val="both"/>
        <w:textAlignment w:val="baseline"/>
        <w:rPr>
          <w:rFonts w:ascii="Arial" w:hAnsi="Arial" w:cs="Arial"/>
        </w:rPr>
      </w:pPr>
      <w:r w:rsidRPr="00D9566D">
        <w:rPr>
          <w:rFonts w:ascii="Arial" w:hAnsi="Arial" w:cs="Arial"/>
        </w:rPr>
        <w:t>“Proof of Administrative Office in the Western Cape. (</w:t>
      </w:r>
      <w:r w:rsidRPr="00D9566D">
        <w:rPr>
          <w:rFonts w:ascii="Arial" w:hAnsi="Arial" w:cs="Arial"/>
          <w:u w:val="single"/>
        </w:rPr>
        <w:t>This requirement will not be used to score for functionality</w:t>
      </w:r>
      <w:r w:rsidRPr="00D9566D">
        <w:rPr>
          <w:rFonts w:ascii="Arial" w:hAnsi="Arial" w:cs="Arial"/>
        </w:rPr>
        <w:t>. It is applicable only to bidders who are residing or operating outside the Western Cape) ‘ (my underlining).</w:t>
      </w:r>
    </w:p>
    <w:p w14:paraId="4A5FFCF6" w14:textId="68A7BB41"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61.</w:t>
      </w:r>
      <w:r w:rsidRPr="00D9566D">
        <w:rPr>
          <w:rFonts w:ascii="Arial" w:hAnsi="Arial" w:cs="Arial"/>
        </w:rPr>
        <w:tab/>
      </w:r>
      <w:r w:rsidR="00030CAD" w:rsidRPr="00D9566D">
        <w:rPr>
          <w:rFonts w:ascii="Arial" w:hAnsi="Arial" w:cs="Arial"/>
        </w:rPr>
        <w:t xml:space="preserve">On a first reading the clause appears to contradict the contents of section B of the functionality criteria in the </w:t>
      </w:r>
      <w:r w:rsidR="00544372" w:rsidRPr="00D9566D">
        <w:rPr>
          <w:rFonts w:ascii="Arial" w:hAnsi="Arial" w:cs="Arial"/>
        </w:rPr>
        <w:t>i</w:t>
      </w:r>
      <w:r w:rsidR="00030CAD" w:rsidRPr="00D9566D">
        <w:rPr>
          <w:rFonts w:ascii="Arial" w:hAnsi="Arial" w:cs="Arial"/>
        </w:rPr>
        <w:t xml:space="preserve">nvitation to </w:t>
      </w:r>
      <w:r w:rsidR="00544372" w:rsidRPr="00D9566D">
        <w:rPr>
          <w:rFonts w:ascii="Arial" w:hAnsi="Arial" w:cs="Arial"/>
        </w:rPr>
        <w:t>b</w:t>
      </w:r>
      <w:r w:rsidR="00030CAD" w:rsidRPr="00D9566D">
        <w:rPr>
          <w:rFonts w:ascii="Arial" w:hAnsi="Arial" w:cs="Arial"/>
        </w:rPr>
        <w:t>id, which deals with the requirements of having an administrative office. But once again, a proper reading requires one to have regard for the context in which clause 10.7 appears, in the document as a whole. Clause 10.7 is part of clause 10, which from its heading sought to deal with those ‘statutory documents required’ which had to be submitted by ‘successful bidders’ before any work would be allocated to them. This clearly render</w:t>
      </w:r>
      <w:r w:rsidR="00544372" w:rsidRPr="00D9566D">
        <w:rPr>
          <w:rFonts w:ascii="Arial" w:hAnsi="Arial" w:cs="Arial"/>
        </w:rPr>
        <w:t>ed</w:t>
      </w:r>
      <w:r w:rsidR="00030CAD" w:rsidRPr="00D9566D">
        <w:rPr>
          <w:rFonts w:ascii="Arial" w:hAnsi="Arial" w:cs="Arial"/>
        </w:rPr>
        <w:t xml:space="preserve"> the clause applicable only to those bidders who were compliant with the functionality requirements, by submitting the required documents stipulated in section B of the Invitation to Bid, with their bid, namely proof of ownership or lease rights for an administrative office ‘within the borders of South Africa’, and who had then been awarded the tender after scoring for price and preference.</w:t>
      </w:r>
    </w:p>
    <w:p w14:paraId="5F7855B6" w14:textId="194307CC"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lastRenderedPageBreak/>
        <w:t>62.</w:t>
      </w:r>
      <w:r w:rsidRPr="00D9566D">
        <w:rPr>
          <w:rFonts w:ascii="Arial" w:hAnsi="Arial" w:cs="Arial"/>
        </w:rPr>
        <w:tab/>
      </w:r>
      <w:r w:rsidR="00030CAD" w:rsidRPr="00D9566D">
        <w:rPr>
          <w:rFonts w:ascii="Arial" w:hAnsi="Arial" w:cs="Arial"/>
        </w:rPr>
        <w:t>On a holistic reading there is no contradiction between the two</w:t>
      </w:r>
      <w:r w:rsidR="00C542DF" w:rsidRPr="00D9566D">
        <w:rPr>
          <w:rFonts w:ascii="Arial" w:hAnsi="Arial" w:cs="Arial"/>
        </w:rPr>
        <w:t xml:space="preserve"> texts</w:t>
      </w:r>
      <w:r w:rsidR="00030CAD" w:rsidRPr="00D9566D">
        <w:rPr>
          <w:rFonts w:ascii="Arial" w:hAnsi="Arial" w:cs="Arial"/>
        </w:rPr>
        <w:t>. Section B stated that the department would accept an existing office ‘even if it (was) not in the Western Cape</w:t>
      </w:r>
      <w:r w:rsidR="00544372" w:rsidRPr="00D9566D">
        <w:rPr>
          <w:rFonts w:ascii="Arial" w:hAnsi="Arial" w:cs="Arial"/>
        </w:rPr>
        <w:t>’</w:t>
      </w:r>
      <w:r w:rsidR="00030CAD" w:rsidRPr="00D9566D">
        <w:rPr>
          <w:rFonts w:ascii="Arial" w:hAnsi="Arial" w:cs="Arial"/>
        </w:rPr>
        <w:t xml:space="preserve">, however a </w:t>
      </w:r>
      <w:r w:rsidR="00544372" w:rsidRPr="00D9566D">
        <w:rPr>
          <w:rFonts w:ascii="Arial" w:hAnsi="Arial" w:cs="Arial"/>
        </w:rPr>
        <w:t>‘</w:t>
      </w:r>
      <w:r w:rsidR="00030CAD" w:rsidRPr="00D9566D">
        <w:rPr>
          <w:rFonts w:ascii="Arial" w:hAnsi="Arial" w:cs="Arial"/>
        </w:rPr>
        <w:t xml:space="preserve">successful bidder’ would be required to ‘open or lease’ </w:t>
      </w:r>
      <w:r w:rsidR="00544372" w:rsidRPr="00D9566D">
        <w:rPr>
          <w:rFonts w:ascii="Arial" w:hAnsi="Arial" w:cs="Arial"/>
        </w:rPr>
        <w:t>one</w:t>
      </w:r>
      <w:r w:rsidR="00030CAD" w:rsidRPr="00D9566D">
        <w:rPr>
          <w:rFonts w:ascii="Arial" w:hAnsi="Arial" w:cs="Arial"/>
        </w:rPr>
        <w:t xml:space="preserve"> in the Western Cape within 7 days. What clause 10.7 sought to do therefore, somewhat clumsily, was to extend the requirement for opening an office in the Western Cape, to </w:t>
      </w:r>
      <w:r w:rsidR="00030CAD" w:rsidRPr="00D9566D">
        <w:rPr>
          <w:rFonts w:ascii="Arial" w:hAnsi="Arial" w:cs="Arial"/>
          <w:i/>
          <w:iCs/>
        </w:rPr>
        <w:t>successful</w:t>
      </w:r>
      <w:r w:rsidR="00030CAD" w:rsidRPr="00D9566D">
        <w:rPr>
          <w:rFonts w:ascii="Arial" w:hAnsi="Arial" w:cs="Arial"/>
        </w:rPr>
        <w:t xml:space="preserve"> bidders who had submitted valid bids (in accordance </w:t>
      </w:r>
      <w:r w:rsidR="00030CAD" w:rsidRPr="00D9566D">
        <w:rPr>
          <w:rFonts w:ascii="Arial" w:hAnsi="Arial" w:cs="Arial"/>
          <w:i/>
          <w:iCs/>
        </w:rPr>
        <w:t>inter alia</w:t>
      </w:r>
      <w:r w:rsidR="00030CAD" w:rsidRPr="00D9566D">
        <w:rPr>
          <w:rFonts w:ascii="Arial" w:hAnsi="Arial" w:cs="Arial"/>
        </w:rPr>
        <w:t xml:space="preserve"> with the functionality criteria of having an office in SA), beyond the 7 days. Until they opened </w:t>
      </w:r>
      <w:r w:rsidR="00544372" w:rsidRPr="00D9566D">
        <w:rPr>
          <w:rFonts w:ascii="Arial" w:hAnsi="Arial" w:cs="Arial"/>
        </w:rPr>
        <w:t>a</w:t>
      </w:r>
      <w:r w:rsidR="00030CAD" w:rsidRPr="00D9566D">
        <w:rPr>
          <w:rFonts w:ascii="Arial" w:hAnsi="Arial" w:cs="Arial"/>
        </w:rPr>
        <w:t xml:space="preserve">n office in the Western Cape, </w:t>
      </w:r>
      <w:r w:rsidR="006A58B6" w:rsidRPr="00D9566D">
        <w:rPr>
          <w:rFonts w:ascii="Arial" w:hAnsi="Arial" w:cs="Arial"/>
        </w:rPr>
        <w:t>successful bidders</w:t>
      </w:r>
      <w:r w:rsidR="00030CAD" w:rsidRPr="00D9566D">
        <w:rPr>
          <w:rFonts w:ascii="Arial" w:hAnsi="Arial" w:cs="Arial"/>
        </w:rPr>
        <w:t xml:space="preserve"> would not be allocated any work in terms of the tender. Clause 10.7 therefore cannot be construed to excuse pre-award bidders from complying with the functionality criteria in section B and </w:t>
      </w:r>
      <w:r w:rsidR="00544372" w:rsidRPr="00D9566D">
        <w:rPr>
          <w:rFonts w:ascii="Arial" w:hAnsi="Arial" w:cs="Arial"/>
        </w:rPr>
        <w:t>from</w:t>
      </w:r>
      <w:r w:rsidR="00030CAD" w:rsidRPr="00D9566D">
        <w:rPr>
          <w:rFonts w:ascii="Arial" w:hAnsi="Arial" w:cs="Arial"/>
        </w:rPr>
        <w:t xml:space="preserve"> submitting a copy of a valid lease agreement for their administrative office.</w:t>
      </w:r>
    </w:p>
    <w:p w14:paraId="118CE86A" w14:textId="33A475B2" w:rsidR="000C2D88"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63.</w:t>
      </w:r>
      <w:r w:rsidRPr="00D9566D">
        <w:rPr>
          <w:rFonts w:ascii="Arial" w:hAnsi="Arial" w:cs="Arial"/>
        </w:rPr>
        <w:tab/>
      </w:r>
      <w:r w:rsidR="00030CAD" w:rsidRPr="00D9566D">
        <w:rPr>
          <w:rFonts w:ascii="Arial" w:hAnsi="Arial" w:cs="Arial"/>
        </w:rPr>
        <w:t xml:space="preserve">As a fallback position the respondents contended that any non-compliance that may have been present in relation to the functionality criteria should have been condoned by the </w:t>
      </w:r>
      <w:r w:rsidR="00C542DF" w:rsidRPr="00D9566D">
        <w:rPr>
          <w:rFonts w:ascii="Arial" w:hAnsi="Arial" w:cs="Arial"/>
        </w:rPr>
        <w:t>BEC/BAC</w:t>
      </w:r>
      <w:r w:rsidR="00030CAD" w:rsidRPr="00D9566D">
        <w:rPr>
          <w:rFonts w:ascii="Arial" w:hAnsi="Arial" w:cs="Arial"/>
        </w:rPr>
        <w:t>, as it had a discretion to do so, in terms of various terms and conditions in the invitation to bid.</w:t>
      </w:r>
      <w:r w:rsidR="000C2D88" w:rsidRPr="00D9566D">
        <w:rPr>
          <w:rFonts w:ascii="Arial" w:hAnsi="Arial" w:cs="Arial"/>
        </w:rPr>
        <w:t xml:space="preserve"> To this end it sought to rely on clauses 3 and 12 of the terms of reference and certain subclauses therein.</w:t>
      </w:r>
    </w:p>
    <w:p w14:paraId="3AEB9B4A" w14:textId="67128346" w:rsidR="000C2D88"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64.</w:t>
      </w:r>
      <w:r w:rsidRPr="00D9566D">
        <w:rPr>
          <w:rFonts w:ascii="Arial" w:hAnsi="Arial" w:cs="Arial"/>
        </w:rPr>
        <w:tab/>
      </w:r>
      <w:r w:rsidR="000C2D88" w:rsidRPr="00D9566D">
        <w:rPr>
          <w:rFonts w:ascii="Arial" w:hAnsi="Arial" w:cs="Arial"/>
        </w:rPr>
        <w:t>Clause 3 deals with the panel of work providers that was to be appointed in order to give effect to the objectives of the tender, as set out in clause 2</w:t>
      </w:r>
      <w:r w:rsidR="004E376F" w:rsidRPr="00D9566D">
        <w:rPr>
          <w:rFonts w:ascii="Arial" w:hAnsi="Arial" w:cs="Arial"/>
        </w:rPr>
        <w:t>,</w:t>
      </w:r>
      <w:r w:rsidR="000C2D88" w:rsidRPr="00D9566D">
        <w:rPr>
          <w:rFonts w:ascii="Arial" w:hAnsi="Arial" w:cs="Arial"/>
        </w:rPr>
        <w:t xml:space="preserve"> and contains a number of sub</w:t>
      </w:r>
      <w:r w:rsidR="000739DC" w:rsidRPr="00D9566D">
        <w:rPr>
          <w:rFonts w:ascii="Arial" w:hAnsi="Arial" w:cs="Arial"/>
        </w:rPr>
        <w:t>-</w:t>
      </w:r>
      <w:r w:rsidR="000C2D88" w:rsidRPr="00D9566D">
        <w:rPr>
          <w:rFonts w:ascii="Arial" w:hAnsi="Arial" w:cs="Arial"/>
        </w:rPr>
        <w:t xml:space="preserve">provisions. In </w:t>
      </w:r>
      <w:r w:rsidR="004E376F" w:rsidRPr="00D9566D">
        <w:rPr>
          <w:rFonts w:ascii="Arial" w:hAnsi="Arial" w:cs="Arial"/>
        </w:rPr>
        <w:t>its</w:t>
      </w:r>
      <w:r w:rsidR="000C2D88" w:rsidRPr="00D9566D">
        <w:rPr>
          <w:rFonts w:ascii="Arial" w:hAnsi="Arial" w:cs="Arial"/>
        </w:rPr>
        <w:t xml:space="preserve"> opening paragraph it states that the panel will consist of </w:t>
      </w:r>
      <w:r w:rsidR="004E376F" w:rsidRPr="00D9566D">
        <w:rPr>
          <w:rFonts w:ascii="Arial" w:hAnsi="Arial" w:cs="Arial"/>
        </w:rPr>
        <w:t>‘</w:t>
      </w:r>
      <w:r w:rsidR="000C2D88" w:rsidRPr="00D9566D">
        <w:rPr>
          <w:rFonts w:ascii="Arial" w:hAnsi="Arial" w:cs="Arial"/>
        </w:rPr>
        <w:t>all bidders who met all</w:t>
      </w:r>
      <w:r w:rsidR="004E376F" w:rsidRPr="00D9566D">
        <w:rPr>
          <w:rFonts w:ascii="Arial" w:hAnsi="Arial" w:cs="Arial"/>
        </w:rPr>
        <w:t>’</w:t>
      </w:r>
      <w:r w:rsidR="000C2D88" w:rsidRPr="00D9566D">
        <w:rPr>
          <w:rFonts w:ascii="Arial" w:hAnsi="Arial" w:cs="Arial"/>
        </w:rPr>
        <w:t xml:space="preserve"> the requirements and criteria stipulated in the notice of invitation to bid </w:t>
      </w:r>
      <w:r w:rsidR="004E376F" w:rsidRPr="00D9566D">
        <w:rPr>
          <w:rFonts w:ascii="Arial" w:hAnsi="Arial" w:cs="Arial"/>
        </w:rPr>
        <w:t>or</w:t>
      </w:r>
      <w:r w:rsidR="000C2D88" w:rsidRPr="00D9566D">
        <w:rPr>
          <w:rFonts w:ascii="Arial" w:hAnsi="Arial" w:cs="Arial"/>
        </w:rPr>
        <w:t xml:space="preserve"> the terms of reference. It provided that bidders </w:t>
      </w:r>
      <w:r w:rsidR="004E376F" w:rsidRPr="00D9566D">
        <w:rPr>
          <w:rFonts w:ascii="Arial" w:hAnsi="Arial" w:cs="Arial"/>
        </w:rPr>
        <w:t xml:space="preserve">that were </w:t>
      </w:r>
      <w:r w:rsidR="000C2D88" w:rsidRPr="00D9566D">
        <w:rPr>
          <w:rFonts w:ascii="Arial" w:hAnsi="Arial" w:cs="Arial"/>
        </w:rPr>
        <w:t>appointed to the panel would be ranked from the lowest mark</w:t>
      </w:r>
      <w:r w:rsidR="004E376F" w:rsidRPr="00D9566D">
        <w:rPr>
          <w:rFonts w:ascii="Arial" w:hAnsi="Arial" w:cs="Arial"/>
        </w:rPr>
        <w:t>-</w:t>
      </w:r>
      <w:r w:rsidR="000C2D88" w:rsidRPr="00D9566D">
        <w:rPr>
          <w:rFonts w:ascii="Arial" w:hAnsi="Arial" w:cs="Arial"/>
        </w:rPr>
        <w:t>up percentage and would be allocated work in accordance with this ranking</w:t>
      </w:r>
      <w:r w:rsidR="004E376F" w:rsidRPr="00D9566D">
        <w:rPr>
          <w:rFonts w:ascii="Arial" w:hAnsi="Arial" w:cs="Arial"/>
        </w:rPr>
        <w:t>,</w:t>
      </w:r>
      <w:r w:rsidR="000C2D88" w:rsidRPr="00D9566D">
        <w:rPr>
          <w:rFonts w:ascii="Arial" w:hAnsi="Arial" w:cs="Arial"/>
        </w:rPr>
        <w:t xml:space="preserve"> for rotational periods of 3 months at the time.</w:t>
      </w:r>
      <w:r w:rsidR="004E376F" w:rsidRPr="00D9566D">
        <w:rPr>
          <w:rFonts w:ascii="Arial" w:hAnsi="Arial" w:cs="Arial"/>
        </w:rPr>
        <w:t xml:space="preserve"> However, ‘n</w:t>
      </w:r>
      <w:r w:rsidR="000C2D88" w:rsidRPr="00D9566D">
        <w:rPr>
          <w:rFonts w:ascii="Arial" w:hAnsi="Arial" w:cs="Arial"/>
        </w:rPr>
        <w:t>o allocation of work would be done’ until bidders had fulfilled all requirements stipulated in the tender documentation.</w:t>
      </w:r>
      <w:r w:rsidR="004E376F" w:rsidRPr="00D9566D">
        <w:rPr>
          <w:rFonts w:ascii="Arial" w:hAnsi="Arial" w:cs="Arial"/>
        </w:rPr>
        <w:t xml:space="preserve"> Thus, it is evident that the clause so</w:t>
      </w:r>
      <w:r w:rsidR="000739DC" w:rsidRPr="00D9566D">
        <w:rPr>
          <w:rFonts w:ascii="Arial" w:hAnsi="Arial" w:cs="Arial"/>
        </w:rPr>
        <w:t>ught</w:t>
      </w:r>
      <w:r w:rsidR="004E376F" w:rsidRPr="00D9566D">
        <w:rPr>
          <w:rFonts w:ascii="Arial" w:hAnsi="Arial" w:cs="Arial"/>
        </w:rPr>
        <w:t xml:space="preserve"> to reiterate and emphasize that there had to be compliance with mandatory requirements.</w:t>
      </w:r>
    </w:p>
    <w:p w14:paraId="0AD4D3BE" w14:textId="172E00F6" w:rsidR="006B1F39"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65.</w:t>
      </w:r>
      <w:r w:rsidRPr="00D9566D">
        <w:rPr>
          <w:rFonts w:ascii="Arial" w:hAnsi="Arial" w:cs="Arial"/>
        </w:rPr>
        <w:tab/>
      </w:r>
      <w:r w:rsidR="000C2D88" w:rsidRPr="00D9566D">
        <w:rPr>
          <w:rFonts w:ascii="Arial" w:hAnsi="Arial" w:cs="Arial"/>
        </w:rPr>
        <w:t>The respondent</w:t>
      </w:r>
      <w:r w:rsidR="004E376F" w:rsidRPr="00D9566D">
        <w:rPr>
          <w:rFonts w:ascii="Arial" w:hAnsi="Arial" w:cs="Arial"/>
        </w:rPr>
        <w:t>s</w:t>
      </w:r>
      <w:r w:rsidR="000C2D88" w:rsidRPr="00D9566D">
        <w:rPr>
          <w:rFonts w:ascii="Arial" w:hAnsi="Arial" w:cs="Arial"/>
        </w:rPr>
        <w:t xml:space="preserve"> sought to rely on a </w:t>
      </w:r>
      <w:r w:rsidR="004E376F" w:rsidRPr="00D9566D">
        <w:rPr>
          <w:rFonts w:ascii="Arial" w:hAnsi="Arial" w:cs="Arial"/>
        </w:rPr>
        <w:t>sub-provision</w:t>
      </w:r>
      <w:r w:rsidR="000C2D88" w:rsidRPr="00D9566D">
        <w:rPr>
          <w:rFonts w:ascii="Arial" w:hAnsi="Arial" w:cs="Arial"/>
        </w:rPr>
        <w:t xml:space="preserve"> that</w:t>
      </w:r>
      <w:r w:rsidR="006B1F39" w:rsidRPr="00D9566D">
        <w:rPr>
          <w:rFonts w:ascii="Arial" w:hAnsi="Arial" w:cs="Arial"/>
        </w:rPr>
        <w:t xml:space="preserve"> stipulated that in the event that </w:t>
      </w:r>
      <w:r w:rsidR="004E376F" w:rsidRPr="00D9566D">
        <w:rPr>
          <w:rFonts w:ascii="Arial" w:hAnsi="Arial" w:cs="Arial"/>
        </w:rPr>
        <w:t>a</w:t>
      </w:r>
      <w:r w:rsidR="006B1F39" w:rsidRPr="00D9566D">
        <w:rPr>
          <w:rFonts w:ascii="Arial" w:hAnsi="Arial" w:cs="Arial"/>
        </w:rPr>
        <w:t xml:space="preserve"> bidder failed to fulfil all the requirements</w:t>
      </w:r>
      <w:r w:rsidR="004E376F" w:rsidRPr="00D9566D">
        <w:rPr>
          <w:rFonts w:ascii="Arial" w:hAnsi="Arial" w:cs="Arial"/>
        </w:rPr>
        <w:t>,</w:t>
      </w:r>
      <w:r w:rsidR="006B1F39" w:rsidRPr="00D9566D">
        <w:rPr>
          <w:rFonts w:ascii="Arial" w:hAnsi="Arial" w:cs="Arial"/>
        </w:rPr>
        <w:t xml:space="preserve"> or to submit the required documents as stipulated ‘on’ (sic) administrative criteria and/or terms of reference</w:t>
      </w:r>
      <w:r w:rsidR="004E376F" w:rsidRPr="00D9566D">
        <w:rPr>
          <w:rFonts w:ascii="Arial" w:hAnsi="Arial" w:cs="Arial"/>
        </w:rPr>
        <w:t>,</w:t>
      </w:r>
      <w:r w:rsidR="006B1F39" w:rsidRPr="00D9566D">
        <w:rPr>
          <w:rFonts w:ascii="Arial" w:hAnsi="Arial" w:cs="Arial"/>
        </w:rPr>
        <w:t xml:space="preserve"> within a maximum of 21 calendar days</w:t>
      </w:r>
      <w:r w:rsidR="004E376F" w:rsidRPr="00D9566D">
        <w:rPr>
          <w:rFonts w:ascii="Arial" w:hAnsi="Arial" w:cs="Arial"/>
        </w:rPr>
        <w:t>,</w:t>
      </w:r>
      <w:r w:rsidR="006B1F39" w:rsidRPr="00D9566D">
        <w:rPr>
          <w:rFonts w:ascii="Arial" w:hAnsi="Arial" w:cs="Arial"/>
        </w:rPr>
        <w:t xml:space="preserve"> it would be disqualified from participating on the panel. In the context of the clause as a whole, read with the various other provisions of the bid specification</w:t>
      </w:r>
      <w:r w:rsidR="004E376F" w:rsidRPr="00D9566D">
        <w:rPr>
          <w:rFonts w:ascii="Arial" w:hAnsi="Arial" w:cs="Arial"/>
        </w:rPr>
        <w:t>s</w:t>
      </w:r>
      <w:r w:rsidR="006B1F39" w:rsidRPr="00D9566D">
        <w:rPr>
          <w:rFonts w:ascii="Arial" w:hAnsi="Arial" w:cs="Arial"/>
        </w:rPr>
        <w:t xml:space="preserve"> and functionality criteria</w:t>
      </w:r>
      <w:r w:rsidR="004E376F" w:rsidRPr="00D9566D">
        <w:rPr>
          <w:rFonts w:ascii="Arial" w:hAnsi="Arial" w:cs="Arial"/>
        </w:rPr>
        <w:t xml:space="preserve"> previously referred to</w:t>
      </w:r>
      <w:r w:rsidR="006B1F39" w:rsidRPr="00D9566D">
        <w:rPr>
          <w:rFonts w:ascii="Arial" w:hAnsi="Arial" w:cs="Arial"/>
        </w:rPr>
        <w:t xml:space="preserve">, this provision can only be construed as being of application to successful bidders, </w:t>
      </w:r>
      <w:r w:rsidR="004E376F" w:rsidRPr="00D9566D">
        <w:rPr>
          <w:rFonts w:ascii="Arial" w:hAnsi="Arial" w:cs="Arial"/>
        </w:rPr>
        <w:t>who had</w:t>
      </w:r>
      <w:r w:rsidR="006B1F39" w:rsidRPr="00D9566D">
        <w:rPr>
          <w:rFonts w:ascii="Arial" w:hAnsi="Arial" w:cs="Arial"/>
        </w:rPr>
        <w:t xml:space="preserve"> submitted valid bids and had been awarded the tender, not to those who failed to qualify as responsive or failed to qualify on functionality</w:t>
      </w:r>
      <w:r w:rsidR="004E376F" w:rsidRPr="00D9566D">
        <w:rPr>
          <w:rFonts w:ascii="Arial" w:hAnsi="Arial" w:cs="Arial"/>
        </w:rPr>
        <w:t>,</w:t>
      </w:r>
      <w:r w:rsidR="006B1F39" w:rsidRPr="00D9566D">
        <w:rPr>
          <w:rFonts w:ascii="Arial" w:hAnsi="Arial" w:cs="Arial"/>
        </w:rPr>
        <w:t xml:space="preserve"> because they had not submitted documents that were mandatory.</w:t>
      </w:r>
    </w:p>
    <w:p w14:paraId="267D19FC" w14:textId="025879A5"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66.</w:t>
      </w:r>
      <w:r w:rsidRPr="00D9566D">
        <w:rPr>
          <w:rFonts w:ascii="Arial" w:hAnsi="Arial" w:cs="Arial"/>
        </w:rPr>
        <w:tab/>
      </w:r>
      <w:r w:rsidR="006B1F39" w:rsidRPr="00D9566D">
        <w:rPr>
          <w:rFonts w:ascii="Arial" w:hAnsi="Arial" w:cs="Arial"/>
        </w:rPr>
        <w:t>As far as clause 12 is concerned</w:t>
      </w:r>
      <w:r w:rsidR="004E376F" w:rsidRPr="00D9566D">
        <w:rPr>
          <w:rFonts w:ascii="Arial" w:hAnsi="Arial" w:cs="Arial"/>
        </w:rPr>
        <w:t>,</w:t>
      </w:r>
      <w:r w:rsidR="006B1F39" w:rsidRPr="00D9566D">
        <w:rPr>
          <w:rFonts w:ascii="Arial" w:hAnsi="Arial" w:cs="Arial"/>
        </w:rPr>
        <w:t xml:space="preserve"> which is headed ‘</w:t>
      </w:r>
      <w:r w:rsidR="004E376F" w:rsidRPr="00D9566D">
        <w:rPr>
          <w:rFonts w:ascii="Arial" w:hAnsi="Arial" w:cs="Arial"/>
        </w:rPr>
        <w:t>c</w:t>
      </w:r>
      <w:r w:rsidR="006B1F39" w:rsidRPr="00D9566D">
        <w:rPr>
          <w:rFonts w:ascii="Arial" w:hAnsi="Arial" w:cs="Arial"/>
        </w:rPr>
        <w:t>ompliance’</w:t>
      </w:r>
      <w:r w:rsidR="004E376F" w:rsidRPr="00D9566D">
        <w:rPr>
          <w:rFonts w:ascii="Arial" w:hAnsi="Arial" w:cs="Arial"/>
        </w:rPr>
        <w:t>, a subclause</w:t>
      </w:r>
      <w:r w:rsidR="006B1F39" w:rsidRPr="00D9566D">
        <w:rPr>
          <w:rFonts w:ascii="Arial" w:hAnsi="Arial" w:cs="Arial"/>
        </w:rPr>
        <w:t xml:space="preserve"> therein stipulated that </w:t>
      </w:r>
      <w:r w:rsidR="004E376F" w:rsidRPr="00D9566D">
        <w:rPr>
          <w:rFonts w:ascii="Arial" w:hAnsi="Arial" w:cs="Arial"/>
        </w:rPr>
        <w:t xml:space="preserve">a </w:t>
      </w:r>
      <w:r w:rsidR="006B1F39" w:rsidRPr="00D9566D">
        <w:rPr>
          <w:rFonts w:ascii="Arial" w:hAnsi="Arial" w:cs="Arial"/>
        </w:rPr>
        <w:t xml:space="preserve">failure to provide </w:t>
      </w:r>
      <w:r w:rsidR="004E376F" w:rsidRPr="00D9566D">
        <w:rPr>
          <w:rFonts w:ascii="Arial" w:hAnsi="Arial" w:cs="Arial"/>
        </w:rPr>
        <w:t>‘</w:t>
      </w:r>
      <w:r w:rsidR="006B1F39" w:rsidRPr="00D9566D">
        <w:rPr>
          <w:rFonts w:ascii="Arial" w:hAnsi="Arial" w:cs="Arial"/>
        </w:rPr>
        <w:t>sufficient</w:t>
      </w:r>
      <w:r w:rsidR="004E376F" w:rsidRPr="00D9566D">
        <w:rPr>
          <w:rFonts w:ascii="Arial" w:hAnsi="Arial" w:cs="Arial"/>
        </w:rPr>
        <w:t>’</w:t>
      </w:r>
      <w:r w:rsidR="006B1F39" w:rsidRPr="00D9566D">
        <w:rPr>
          <w:rFonts w:ascii="Arial" w:hAnsi="Arial" w:cs="Arial"/>
        </w:rPr>
        <w:t xml:space="preserve"> information ‘may’ disqualify </w:t>
      </w:r>
      <w:r w:rsidR="004E376F" w:rsidRPr="00D9566D">
        <w:rPr>
          <w:rFonts w:ascii="Arial" w:hAnsi="Arial" w:cs="Arial"/>
        </w:rPr>
        <w:t xml:space="preserve">a </w:t>
      </w:r>
      <w:r w:rsidR="006B1F39" w:rsidRPr="00D9566D">
        <w:rPr>
          <w:rFonts w:ascii="Arial" w:hAnsi="Arial" w:cs="Arial"/>
        </w:rPr>
        <w:t>bidder. Once again, read in the context of the document as a whole</w:t>
      </w:r>
      <w:r w:rsidR="004E376F" w:rsidRPr="00D9566D">
        <w:rPr>
          <w:rFonts w:ascii="Arial" w:hAnsi="Arial" w:cs="Arial"/>
        </w:rPr>
        <w:t xml:space="preserve">, </w:t>
      </w:r>
      <w:r w:rsidR="006B1F39" w:rsidRPr="00D9566D">
        <w:rPr>
          <w:rFonts w:ascii="Arial" w:hAnsi="Arial" w:cs="Arial"/>
        </w:rPr>
        <w:t>this clause cannot be read to confer a discretionary power on the tender authority to condone non-compliance with conditions or requirements that were compulsory and material to the tender. At best, it could be read to afford a discretionary power to condone trivial</w:t>
      </w:r>
      <w:r w:rsidR="000739DC" w:rsidRPr="00D9566D">
        <w:rPr>
          <w:rFonts w:ascii="Arial" w:hAnsi="Arial" w:cs="Arial"/>
        </w:rPr>
        <w:t xml:space="preserve"> or</w:t>
      </w:r>
      <w:r w:rsidR="006B1F39" w:rsidRPr="00D9566D">
        <w:rPr>
          <w:rFonts w:ascii="Arial" w:hAnsi="Arial" w:cs="Arial"/>
        </w:rPr>
        <w:t xml:space="preserve"> minor deviations from what was required in re</w:t>
      </w:r>
      <w:r w:rsidR="004E376F" w:rsidRPr="00D9566D">
        <w:rPr>
          <w:rFonts w:ascii="Arial" w:hAnsi="Arial" w:cs="Arial"/>
        </w:rPr>
        <w:t>lation</w:t>
      </w:r>
      <w:r w:rsidR="006B1F39" w:rsidRPr="00D9566D">
        <w:rPr>
          <w:rFonts w:ascii="Arial" w:hAnsi="Arial" w:cs="Arial"/>
        </w:rPr>
        <w:t xml:space="preserve"> to the submission of information. Similarly</w:t>
      </w:r>
      <w:r w:rsidR="004E376F" w:rsidRPr="00D9566D">
        <w:rPr>
          <w:rFonts w:ascii="Arial" w:hAnsi="Arial" w:cs="Arial"/>
        </w:rPr>
        <w:t>,</w:t>
      </w:r>
      <w:r w:rsidR="006B1F39" w:rsidRPr="00D9566D">
        <w:rPr>
          <w:rFonts w:ascii="Arial" w:hAnsi="Arial" w:cs="Arial"/>
        </w:rPr>
        <w:t xml:space="preserve"> as far as the ‘clarification’ subclause in clause 12 is concerned, which provided that the Department </w:t>
      </w:r>
      <w:r w:rsidR="004E376F" w:rsidRPr="00D9566D">
        <w:rPr>
          <w:rFonts w:ascii="Arial" w:hAnsi="Arial" w:cs="Arial"/>
        </w:rPr>
        <w:t>‘</w:t>
      </w:r>
      <w:r w:rsidR="006B1F39" w:rsidRPr="00D9566D">
        <w:rPr>
          <w:rFonts w:ascii="Arial" w:hAnsi="Arial" w:cs="Arial"/>
        </w:rPr>
        <w:t>may request clarification</w:t>
      </w:r>
      <w:r w:rsidR="004E376F" w:rsidRPr="00D9566D">
        <w:rPr>
          <w:rFonts w:ascii="Arial" w:hAnsi="Arial" w:cs="Arial"/>
        </w:rPr>
        <w:t>’</w:t>
      </w:r>
      <w:r w:rsidR="006B1F39" w:rsidRPr="00D9566D">
        <w:rPr>
          <w:rFonts w:ascii="Arial" w:hAnsi="Arial" w:cs="Arial"/>
        </w:rPr>
        <w:t xml:space="preserve"> or further information regarding any </w:t>
      </w:r>
      <w:r w:rsidR="004E376F" w:rsidRPr="00D9566D">
        <w:rPr>
          <w:rFonts w:ascii="Arial" w:hAnsi="Arial" w:cs="Arial"/>
        </w:rPr>
        <w:t>‘</w:t>
      </w:r>
      <w:r w:rsidR="006B1F39" w:rsidRPr="00D9566D">
        <w:rPr>
          <w:rFonts w:ascii="Arial" w:hAnsi="Arial" w:cs="Arial"/>
        </w:rPr>
        <w:t>critical aspect</w:t>
      </w:r>
      <w:r w:rsidR="004E376F" w:rsidRPr="00D9566D">
        <w:rPr>
          <w:rFonts w:ascii="Arial" w:hAnsi="Arial" w:cs="Arial"/>
        </w:rPr>
        <w:t>’</w:t>
      </w:r>
      <w:r w:rsidR="006B1F39" w:rsidRPr="00D9566D">
        <w:rPr>
          <w:rFonts w:ascii="Arial" w:hAnsi="Arial" w:cs="Arial"/>
        </w:rPr>
        <w:t xml:space="preserve"> of the bid, this was </w:t>
      </w:r>
      <w:r w:rsidR="004E376F" w:rsidRPr="00D9566D">
        <w:rPr>
          <w:rFonts w:ascii="Arial" w:hAnsi="Arial" w:cs="Arial"/>
        </w:rPr>
        <w:t xml:space="preserve">only </w:t>
      </w:r>
      <w:r w:rsidR="006B1F39" w:rsidRPr="00D9566D">
        <w:rPr>
          <w:rFonts w:ascii="Arial" w:hAnsi="Arial" w:cs="Arial"/>
        </w:rPr>
        <w:t xml:space="preserve">a clause that allowed for the tender </w:t>
      </w:r>
      <w:r w:rsidR="006B1F39" w:rsidRPr="00D9566D">
        <w:rPr>
          <w:rFonts w:ascii="Arial" w:hAnsi="Arial" w:cs="Arial"/>
        </w:rPr>
        <w:lastRenderedPageBreak/>
        <w:t xml:space="preserve">authority to approach a bidder to clarify an ambiguity or uncertainty, </w:t>
      </w:r>
      <w:r w:rsidR="004E376F" w:rsidRPr="00D9566D">
        <w:rPr>
          <w:rFonts w:ascii="Arial" w:hAnsi="Arial" w:cs="Arial"/>
        </w:rPr>
        <w:t>or an</w:t>
      </w:r>
      <w:r w:rsidR="006B1F39" w:rsidRPr="00D9566D">
        <w:rPr>
          <w:rFonts w:ascii="Arial" w:hAnsi="Arial" w:cs="Arial"/>
        </w:rPr>
        <w:t xml:space="preserve"> obvious mistake. It did not afford</w:t>
      </w:r>
      <w:r w:rsidR="004E376F" w:rsidRPr="00D9566D">
        <w:rPr>
          <w:rFonts w:ascii="Arial" w:hAnsi="Arial" w:cs="Arial"/>
        </w:rPr>
        <w:t xml:space="preserve"> the tender authority a </w:t>
      </w:r>
      <w:r w:rsidR="006B1F39" w:rsidRPr="00D9566D">
        <w:rPr>
          <w:rFonts w:ascii="Arial" w:hAnsi="Arial" w:cs="Arial"/>
        </w:rPr>
        <w:t xml:space="preserve">discretionary power to condone </w:t>
      </w:r>
      <w:r w:rsidR="004E376F" w:rsidRPr="00D9566D">
        <w:rPr>
          <w:rFonts w:ascii="Arial" w:hAnsi="Arial" w:cs="Arial"/>
        </w:rPr>
        <w:t xml:space="preserve">a </w:t>
      </w:r>
      <w:r w:rsidR="006B1F39" w:rsidRPr="00D9566D">
        <w:rPr>
          <w:rFonts w:ascii="Arial" w:hAnsi="Arial" w:cs="Arial"/>
        </w:rPr>
        <w:t xml:space="preserve">material non-compliance and did not impose a duty on </w:t>
      </w:r>
      <w:r w:rsidR="004E376F" w:rsidRPr="00D9566D">
        <w:rPr>
          <w:rFonts w:ascii="Arial" w:hAnsi="Arial" w:cs="Arial"/>
        </w:rPr>
        <w:t>it</w:t>
      </w:r>
      <w:r w:rsidR="006B1F39" w:rsidRPr="00D9566D">
        <w:rPr>
          <w:rFonts w:ascii="Arial" w:hAnsi="Arial" w:cs="Arial"/>
        </w:rPr>
        <w:t xml:space="preserve"> to approach every bidder</w:t>
      </w:r>
      <w:r w:rsidR="004E376F" w:rsidRPr="00D9566D">
        <w:rPr>
          <w:rFonts w:ascii="Arial" w:hAnsi="Arial" w:cs="Arial"/>
        </w:rPr>
        <w:t>,</w:t>
      </w:r>
      <w:r w:rsidR="006B1F39" w:rsidRPr="00D9566D">
        <w:rPr>
          <w:rFonts w:ascii="Arial" w:hAnsi="Arial" w:cs="Arial"/>
        </w:rPr>
        <w:t xml:space="preserve"> in the case of any and every non-compliance with the bid specifications and </w:t>
      </w:r>
      <w:r w:rsidR="004E376F" w:rsidRPr="00D9566D">
        <w:rPr>
          <w:rFonts w:ascii="Arial" w:hAnsi="Arial" w:cs="Arial"/>
        </w:rPr>
        <w:t xml:space="preserve">functionality </w:t>
      </w:r>
      <w:r w:rsidR="006B1F39" w:rsidRPr="00D9566D">
        <w:rPr>
          <w:rFonts w:ascii="Arial" w:hAnsi="Arial" w:cs="Arial"/>
        </w:rPr>
        <w:t>requirements.</w:t>
      </w:r>
      <w:r w:rsidR="000C2D88" w:rsidRPr="00D9566D">
        <w:rPr>
          <w:rFonts w:ascii="Arial" w:hAnsi="Arial" w:cs="Arial"/>
        </w:rPr>
        <w:t xml:space="preserve"> </w:t>
      </w:r>
      <w:r w:rsidR="00030CAD" w:rsidRPr="00D9566D">
        <w:rPr>
          <w:rFonts w:ascii="Arial" w:hAnsi="Arial" w:cs="Arial"/>
        </w:rPr>
        <w:t xml:space="preserve">    </w:t>
      </w:r>
    </w:p>
    <w:p w14:paraId="285A9D7C" w14:textId="37BA2066"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67.</w:t>
      </w:r>
      <w:r w:rsidRPr="00D9566D">
        <w:rPr>
          <w:rFonts w:ascii="Arial" w:hAnsi="Arial" w:cs="Arial"/>
        </w:rPr>
        <w:tab/>
      </w:r>
      <w:r w:rsidR="00030CAD" w:rsidRPr="00D9566D">
        <w:rPr>
          <w:rFonts w:ascii="Arial" w:hAnsi="Arial" w:cs="Arial"/>
        </w:rPr>
        <w:t xml:space="preserve">That brings us to the requirements in respect of the response vehicles. The applicant filed an affidavit from a retired traffic inspector, who pointed out that the e-NATIS system </w:t>
      </w:r>
      <w:r w:rsidR="00544372" w:rsidRPr="00D9566D">
        <w:rPr>
          <w:rFonts w:ascii="Arial" w:hAnsi="Arial" w:cs="Arial"/>
        </w:rPr>
        <w:t>has</w:t>
      </w:r>
      <w:r w:rsidR="00030CAD" w:rsidRPr="00D9566D">
        <w:rPr>
          <w:rFonts w:ascii="Arial" w:hAnsi="Arial" w:cs="Arial"/>
        </w:rPr>
        <w:t xml:space="preserve"> a database that stores comprehensive date pertaining to motor vehicles that are in use in SA, which include their registration details, ownership history and licensing information. From her knowledge and experience a motor vehicle registration certificate issued by e-NATIS is widely accepted as conclusive proof of the registration and ownership of a motor vehicle. She ha</w:t>
      </w:r>
      <w:r w:rsidR="00204C12" w:rsidRPr="00D9566D">
        <w:rPr>
          <w:rFonts w:ascii="Arial" w:hAnsi="Arial" w:cs="Arial"/>
        </w:rPr>
        <w:t>s</w:t>
      </w:r>
      <w:r w:rsidR="00030CAD" w:rsidRPr="00D9566D">
        <w:rPr>
          <w:rFonts w:ascii="Arial" w:hAnsi="Arial" w:cs="Arial"/>
        </w:rPr>
        <w:t xml:space="preserve"> never come across the document referred to as an e-NATIS ‘report’ in the functionality criteria, and on the face of it the document generated in this regard from the e-NATIS system </w:t>
      </w:r>
      <w:r w:rsidR="00204C12" w:rsidRPr="00D9566D">
        <w:rPr>
          <w:rFonts w:ascii="Arial" w:hAnsi="Arial" w:cs="Arial"/>
        </w:rPr>
        <w:t>i</w:t>
      </w:r>
      <w:r w:rsidR="00544372" w:rsidRPr="00D9566D">
        <w:rPr>
          <w:rFonts w:ascii="Arial" w:hAnsi="Arial" w:cs="Arial"/>
        </w:rPr>
        <w:t>s</w:t>
      </w:r>
      <w:r w:rsidR="00030CAD" w:rsidRPr="00D9566D">
        <w:rPr>
          <w:rFonts w:ascii="Arial" w:hAnsi="Arial" w:cs="Arial"/>
        </w:rPr>
        <w:t xml:space="preserve"> one in response to an ‘e-NATIS 163’ system query. The information generated in </w:t>
      </w:r>
      <w:r w:rsidR="00544372" w:rsidRPr="00D9566D">
        <w:rPr>
          <w:rFonts w:ascii="Arial" w:hAnsi="Arial" w:cs="Arial"/>
        </w:rPr>
        <w:t xml:space="preserve">an e-NATIS ‘report’ in </w:t>
      </w:r>
      <w:r w:rsidR="00030CAD" w:rsidRPr="00D9566D">
        <w:rPr>
          <w:rFonts w:ascii="Arial" w:hAnsi="Arial" w:cs="Arial"/>
        </w:rPr>
        <w:t xml:space="preserve">response to such a query is essentially the same information as that which would be recorded </w:t>
      </w:r>
      <w:r w:rsidR="00204C12" w:rsidRPr="00D9566D">
        <w:rPr>
          <w:rFonts w:ascii="Arial" w:hAnsi="Arial" w:cs="Arial"/>
        </w:rPr>
        <w:t>in</w:t>
      </w:r>
      <w:r w:rsidR="00030CAD" w:rsidRPr="00D9566D">
        <w:rPr>
          <w:rFonts w:ascii="Arial" w:hAnsi="Arial" w:cs="Arial"/>
        </w:rPr>
        <w:t xml:space="preserve"> a registration certificate.</w:t>
      </w:r>
    </w:p>
    <w:p w14:paraId="52DD4C1C" w14:textId="76148878" w:rsidR="00030CAD"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68.</w:t>
      </w:r>
      <w:r w:rsidRPr="00D9566D">
        <w:rPr>
          <w:rFonts w:ascii="Arial" w:hAnsi="Arial" w:cs="Arial"/>
        </w:rPr>
        <w:tab/>
      </w:r>
      <w:r w:rsidR="00030CAD" w:rsidRPr="00D9566D">
        <w:rPr>
          <w:rFonts w:ascii="Arial" w:hAnsi="Arial" w:cs="Arial"/>
        </w:rPr>
        <w:t xml:space="preserve">From a comparison of the two documents it is </w:t>
      </w:r>
      <w:r w:rsidR="00544372" w:rsidRPr="00D9566D">
        <w:rPr>
          <w:rFonts w:ascii="Arial" w:hAnsi="Arial" w:cs="Arial"/>
        </w:rPr>
        <w:t xml:space="preserve">however </w:t>
      </w:r>
      <w:r w:rsidR="00030CAD" w:rsidRPr="00D9566D">
        <w:rPr>
          <w:rFonts w:ascii="Arial" w:hAnsi="Arial" w:cs="Arial"/>
        </w:rPr>
        <w:t xml:space="preserve">apparent that, whilst an e-NATIS report contains </w:t>
      </w:r>
      <w:r w:rsidR="00204C12" w:rsidRPr="00D9566D">
        <w:rPr>
          <w:rFonts w:ascii="Arial" w:hAnsi="Arial" w:cs="Arial"/>
        </w:rPr>
        <w:t xml:space="preserve">substantially </w:t>
      </w:r>
      <w:r w:rsidR="00030CAD" w:rsidRPr="00D9566D">
        <w:rPr>
          <w:rFonts w:ascii="Arial" w:hAnsi="Arial" w:cs="Arial"/>
        </w:rPr>
        <w:t xml:space="preserve">the same information in relation to a registered motor vehicle, as one would find on its registration certificate, such as its vehicle register, identification and engine numbers and its make and model, the e-NATIS report goes further: it contains a compilation of such particulars in respect of all vehicles which are owned by, or registered in the name of a person or entity, including a director of a company or member of a close corporation. Unlike a registration certificate it contains information pertaining to more than one vehicle. Thus, the information which the respondents would have obtained had they been provided with a copy of an e-NATIS report for the applicant would have been a confirmation of </w:t>
      </w:r>
      <w:r w:rsidR="00204C12" w:rsidRPr="00D9566D">
        <w:rPr>
          <w:rFonts w:ascii="Arial" w:hAnsi="Arial" w:cs="Arial"/>
        </w:rPr>
        <w:t>whether</w:t>
      </w:r>
      <w:r w:rsidR="00030CAD" w:rsidRPr="00D9566D">
        <w:rPr>
          <w:rFonts w:ascii="Arial" w:hAnsi="Arial" w:cs="Arial"/>
        </w:rPr>
        <w:t xml:space="preserve"> it owned two or more vehicles in its name, or in the name of its members or other persons, and the particulars of such vehicles.</w:t>
      </w:r>
      <w:r w:rsidR="00544372" w:rsidRPr="00D9566D">
        <w:rPr>
          <w:rFonts w:ascii="Arial" w:hAnsi="Arial" w:cs="Arial"/>
        </w:rPr>
        <w:t xml:space="preserve"> However, even if one were to </w:t>
      </w:r>
      <w:r w:rsidR="00B42212" w:rsidRPr="00D9566D">
        <w:rPr>
          <w:rFonts w:ascii="Arial" w:hAnsi="Arial" w:cs="Arial"/>
        </w:rPr>
        <w:t>accept</w:t>
      </w:r>
      <w:r w:rsidR="00544372" w:rsidRPr="00D9566D">
        <w:rPr>
          <w:rFonts w:ascii="Arial" w:hAnsi="Arial" w:cs="Arial"/>
        </w:rPr>
        <w:t xml:space="preserve"> that, viewed in the light of the purpose of the requirement </w:t>
      </w:r>
      <w:r w:rsidR="000B5665" w:rsidRPr="00D9566D">
        <w:rPr>
          <w:rFonts w:ascii="Arial" w:hAnsi="Arial" w:cs="Arial"/>
        </w:rPr>
        <w:t xml:space="preserve">i.e. to apprise the City of the particulars of such vehicles and whether they were indeed owned by and registered in the name of </w:t>
      </w:r>
      <w:r w:rsidR="000C067A" w:rsidRPr="00D9566D">
        <w:rPr>
          <w:rFonts w:ascii="Arial" w:hAnsi="Arial" w:cs="Arial"/>
        </w:rPr>
        <w:t>the applicant</w:t>
      </w:r>
      <w:r w:rsidR="000B5665" w:rsidRPr="00D9566D">
        <w:rPr>
          <w:rFonts w:ascii="Arial" w:hAnsi="Arial" w:cs="Arial"/>
        </w:rPr>
        <w:t xml:space="preserve">, </w:t>
      </w:r>
      <w:r w:rsidR="000C067A" w:rsidRPr="00D9566D">
        <w:rPr>
          <w:rFonts w:ascii="Arial" w:hAnsi="Arial" w:cs="Arial"/>
        </w:rPr>
        <w:t xml:space="preserve">it </w:t>
      </w:r>
      <w:r w:rsidR="00B42212" w:rsidRPr="00D9566D">
        <w:rPr>
          <w:rFonts w:ascii="Arial" w:hAnsi="Arial" w:cs="Arial"/>
        </w:rPr>
        <w:t xml:space="preserve">complied </w:t>
      </w:r>
      <w:r w:rsidR="000C067A" w:rsidRPr="00D9566D">
        <w:rPr>
          <w:rFonts w:ascii="Arial" w:hAnsi="Arial" w:cs="Arial"/>
        </w:rPr>
        <w:t xml:space="preserve">in effect </w:t>
      </w:r>
      <w:r w:rsidR="00B42212" w:rsidRPr="00D9566D">
        <w:rPr>
          <w:rFonts w:ascii="Arial" w:hAnsi="Arial" w:cs="Arial"/>
        </w:rPr>
        <w:t>with what was required (i.e in pre-</w:t>
      </w:r>
      <w:r w:rsidR="00B42212" w:rsidRPr="00D9566D">
        <w:rPr>
          <w:rFonts w:ascii="Arial" w:hAnsi="Arial" w:cs="Arial"/>
          <w:i/>
          <w:iCs/>
        </w:rPr>
        <w:t>Allpay</w:t>
      </w:r>
      <w:r w:rsidR="00B42212" w:rsidRPr="00D9566D">
        <w:rPr>
          <w:rFonts w:ascii="Arial" w:hAnsi="Arial" w:cs="Arial"/>
        </w:rPr>
        <w:t xml:space="preserve"> language there was substantial compliance), this would </w:t>
      </w:r>
      <w:r w:rsidR="000C067A" w:rsidRPr="00D9566D">
        <w:rPr>
          <w:rFonts w:ascii="Arial" w:hAnsi="Arial" w:cs="Arial"/>
        </w:rPr>
        <w:t xml:space="preserve">not be sufficient to push the applicant over the 50% threshold required for functionality, as it would only have been entitled to be awarded 20 points. </w:t>
      </w:r>
      <w:r w:rsidR="00030CAD" w:rsidRPr="00D9566D">
        <w:rPr>
          <w:rFonts w:ascii="Arial" w:hAnsi="Arial" w:cs="Arial"/>
        </w:rPr>
        <w:t xml:space="preserve">             </w:t>
      </w:r>
    </w:p>
    <w:p w14:paraId="22477375" w14:textId="3295E0D9" w:rsidR="00713E22"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69.</w:t>
      </w:r>
      <w:r w:rsidRPr="00D9566D">
        <w:rPr>
          <w:rFonts w:ascii="Arial" w:hAnsi="Arial" w:cs="Arial"/>
        </w:rPr>
        <w:tab/>
      </w:r>
      <w:r w:rsidR="00794ACC" w:rsidRPr="00D9566D">
        <w:rPr>
          <w:rFonts w:ascii="Arial" w:hAnsi="Arial" w:cs="Arial"/>
        </w:rPr>
        <w:t xml:space="preserve">That then as far as tender 09/22 is concerned. </w:t>
      </w:r>
      <w:r w:rsidR="00713E22" w:rsidRPr="00D9566D">
        <w:rPr>
          <w:rFonts w:ascii="Arial" w:hAnsi="Arial" w:cs="Arial"/>
        </w:rPr>
        <w:t xml:space="preserve">If one considers the tender documentation in </w:t>
      </w:r>
      <w:r w:rsidR="00794ACC" w:rsidRPr="00D9566D">
        <w:rPr>
          <w:rFonts w:ascii="Arial" w:hAnsi="Arial" w:cs="Arial"/>
        </w:rPr>
        <w:t xml:space="preserve">tender 10/22 in </w:t>
      </w:r>
      <w:r w:rsidR="00713E22" w:rsidRPr="00D9566D">
        <w:rPr>
          <w:rFonts w:ascii="Arial" w:hAnsi="Arial" w:cs="Arial"/>
        </w:rPr>
        <w:t>the light of the</w:t>
      </w:r>
      <w:r w:rsidR="00794ACC" w:rsidRPr="00D9566D">
        <w:rPr>
          <w:rFonts w:ascii="Arial" w:hAnsi="Arial" w:cs="Arial"/>
        </w:rPr>
        <w:t xml:space="preserve"> accepted </w:t>
      </w:r>
      <w:r w:rsidR="00713E22" w:rsidRPr="00D9566D">
        <w:rPr>
          <w:rFonts w:ascii="Arial" w:hAnsi="Arial" w:cs="Arial"/>
        </w:rPr>
        <w:t xml:space="preserve">principles the following emerges. </w:t>
      </w:r>
      <w:r w:rsidR="00857472" w:rsidRPr="00D9566D">
        <w:rPr>
          <w:rFonts w:ascii="Arial" w:hAnsi="Arial" w:cs="Arial"/>
        </w:rPr>
        <w:t>In t</w:t>
      </w:r>
      <w:r w:rsidR="00713E22" w:rsidRPr="00D9566D">
        <w:rPr>
          <w:rFonts w:ascii="Arial" w:hAnsi="Arial" w:cs="Arial"/>
        </w:rPr>
        <w:t xml:space="preserve">he </w:t>
      </w:r>
      <w:r w:rsidR="00857472" w:rsidRPr="00D9566D">
        <w:rPr>
          <w:rFonts w:ascii="Arial" w:hAnsi="Arial" w:cs="Arial"/>
        </w:rPr>
        <w:t>first</w:t>
      </w:r>
      <w:r w:rsidR="00713E22" w:rsidRPr="00D9566D">
        <w:rPr>
          <w:rFonts w:ascii="Arial" w:hAnsi="Arial" w:cs="Arial"/>
        </w:rPr>
        <w:t xml:space="preserve"> place</w:t>
      </w:r>
      <w:r w:rsidR="00857472" w:rsidRPr="00D9566D">
        <w:rPr>
          <w:rFonts w:ascii="Arial" w:hAnsi="Arial" w:cs="Arial"/>
        </w:rPr>
        <w:t>,</w:t>
      </w:r>
      <w:r w:rsidR="00713E22" w:rsidRPr="00D9566D">
        <w:rPr>
          <w:rFonts w:ascii="Arial" w:hAnsi="Arial" w:cs="Arial"/>
        </w:rPr>
        <w:t xml:space="preserve"> the submission of a valid certificate of registration issued by the NBC was </w:t>
      </w:r>
      <w:r w:rsidR="00857472" w:rsidRPr="00D9566D">
        <w:rPr>
          <w:rFonts w:ascii="Arial" w:hAnsi="Arial" w:cs="Arial"/>
        </w:rPr>
        <w:t>a mandatory</w:t>
      </w:r>
      <w:r w:rsidR="00713E22" w:rsidRPr="00D9566D">
        <w:rPr>
          <w:rFonts w:ascii="Arial" w:hAnsi="Arial" w:cs="Arial"/>
        </w:rPr>
        <w:t xml:space="preserve"> requirement and bidders were clearly informed on the very </w:t>
      </w:r>
      <w:r w:rsidR="00857472" w:rsidRPr="00D9566D">
        <w:rPr>
          <w:rFonts w:ascii="Arial" w:hAnsi="Arial" w:cs="Arial"/>
        </w:rPr>
        <w:t>first</w:t>
      </w:r>
      <w:r w:rsidR="00713E22" w:rsidRPr="00D9566D">
        <w:rPr>
          <w:rFonts w:ascii="Arial" w:hAnsi="Arial" w:cs="Arial"/>
        </w:rPr>
        <w:t xml:space="preserve"> page of the invitation to bid that the failure to submit </w:t>
      </w:r>
      <w:r w:rsidR="00794ACC" w:rsidRPr="00D9566D">
        <w:rPr>
          <w:rFonts w:ascii="Arial" w:hAnsi="Arial" w:cs="Arial"/>
        </w:rPr>
        <w:t>it</w:t>
      </w:r>
      <w:r w:rsidR="00713E22" w:rsidRPr="00D9566D">
        <w:rPr>
          <w:rFonts w:ascii="Arial" w:hAnsi="Arial" w:cs="Arial"/>
        </w:rPr>
        <w:t xml:space="preserve"> would render them non-responsive </w:t>
      </w:r>
      <w:r w:rsidR="00857472" w:rsidRPr="00D9566D">
        <w:rPr>
          <w:rFonts w:ascii="Arial" w:hAnsi="Arial" w:cs="Arial"/>
        </w:rPr>
        <w:t xml:space="preserve">and </w:t>
      </w:r>
      <w:r w:rsidR="00713E22" w:rsidRPr="00D9566D">
        <w:rPr>
          <w:rFonts w:ascii="Arial" w:hAnsi="Arial" w:cs="Arial"/>
        </w:rPr>
        <w:t xml:space="preserve">subject </w:t>
      </w:r>
      <w:r w:rsidR="00F57FCC" w:rsidRPr="00D9566D">
        <w:rPr>
          <w:rFonts w:ascii="Arial" w:hAnsi="Arial" w:cs="Arial"/>
        </w:rPr>
        <w:t xml:space="preserve">to </w:t>
      </w:r>
      <w:r w:rsidR="00713E22" w:rsidRPr="00D9566D">
        <w:rPr>
          <w:rFonts w:ascii="Arial" w:hAnsi="Arial" w:cs="Arial"/>
        </w:rPr>
        <w:t>disqualification</w:t>
      </w:r>
      <w:r w:rsidR="00857472" w:rsidRPr="00D9566D">
        <w:rPr>
          <w:rFonts w:ascii="Arial" w:hAnsi="Arial" w:cs="Arial"/>
        </w:rPr>
        <w:t>,</w:t>
      </w:r>
      <w:r w:rsidR="00713E22" w:rsidRPr="00D9566D">
        <w:rPr>
          <w:rFonts w:ascii="Arial" w:hAnsi="Arial" w:cs="Arial"/>
        </w:rPr>
        <w:t xml:space="preserve"> </w:t>
      </w:r>
      <w:r w:rsidR="00857472" w:rsidRPr="00D9566D">
        <w:rPr>
          <w:rFonts w:ascii="Arial" w:hAnsi="Arial" w:cs="Arial"/>
        </w:rPr>
        <w:t xml:space="preserve">even </w:t>
      </w:r>
      <w:r w:rsidR="00713E22" w:rsidRPr="00D9566D">
        <w:rPr>
          <w:rFonts w:ascii="Arial" w:hAnsi="Arial" w:cs="Arial"/>
        </w:rPr>
        <w:t>before the</w:t>
      </w:r>
      <w:r w:rsidR="00857472" w:rsidRPr="00D9566D">
        <w:rPr>
          <w:rFonts w:ascii="Arial" w:hAnsi="Arial" w:cs="Arial"/>
        </w:rPr>
        <w:t>ir</w:t>
      </w:r>
      <w:r w:rsidR="00713E22" w:rsidRPr="00D9566D">
        <w:rPr>
          <w:rFonts w:ascii="Arial" w:hAnsi="Arial" w:cs="Arial"/>
        </w:rPr>
        <w:t xml:space="preserve"> bids would be evaluated for preference and price. That this was a material and compulsory requirement was emphasised at the compulsory briefing session that was held for bidders. In contrast to this</w:t>
      </w:r>
      <w:r w:rsidR="00857472" w:rsidRPr="00D9566D">
        <w:rPr>
          <w:rFonts w:ascii="Arial" w:hAnsi="Arial" w:cs="Arial"/>
        </w:rPr>
        <w:t>, the</w:t>
      </w:r>
      <w:r w:rsidR="00713E22" w:rsidRPr="00D9566D">
        <w:rPr>
          <w:rFonts w:ascii="Arial" w:hAnsi="Arial" w:cs="Arial"/>
        </w:rPr>
        <w:t xml:space="preserve"> </w:t>
      </w:r>
      <w:r w:rsidR="00857472" w:rsidRPr="00D9566D">
        <w:rPr>
          <w:rFonts w:ascii="Arial" w:hAnsi="Arial" w:cs="Arial"/>
        </w:rPr>
        <w:t xml:space="preserve">additional </w:t>
      </w:r>
      <w:r w:rsidR="00713E22" w:rsidRPr="00D9566D">
        <w:rPr>
          <w:rFonts w:ascii="Arial" w:hAnsi="Arial" w:cs="Arial"/>
        </w:rPr>
        <w:t xml:space="preserve">requirement that bidders </w:t>
      </w:r>
      <w:r w:rsidR="00857472" w:rsidRPr="00D9566D">
        <w:rPr>
          <w:rFonts w:ascii="Arial" w:hAnsi="Arial" w:cs="Arial"/>
        </w:rPr>
        <w:t xml:space="preserve">were </w:t>
      </w:r>
      <w:r w:rsidR="00713E22" w:rsidRPr="00D9566D">
        <w:rPr>
          <w:rFonts w:ascii="Arial" w:hAnsi="Arial" w:cs="Arial"/>
        </w:rPr>
        <w:t xml:space="preserve">to submit a letter of good standing from the NBC </w:t>
      </w:r>
      <w:r w:rsidR="00F57FCC" w:rsidRPr="00D9566D">
        <w:rPr>
          <w:rFonts w:ascii="Arial" w:hAnsi="Arial" w:cs="Arial"/>
        </w:rPr>
        <w:t xml:space="preserve">was </w:t>
      </w:r>
      <w:r w:rsidR="00713E22" w:rsidRPr="00D9566D">
        <w:rPr>
          <w:rFonts w:ascii="Arial" w:hAnsi="Arial" w:cs="Arial"/>
        </w:rPr>
        <w:t xml:space="preserve">not </w:t>
      </w:r>
      <w:r w:rsidR="00857472" w:rsidRPr="00D9566D">
        <w:rPr>
          <w:rFonts w:ascii="Arial" w:hAnsi="Arial" w:cs="Arial"/>
        </w:rPr>
        <w:t xml:space="preserve">prescribed as </w:t>
      </w:r>
      <w:r w:rsidR="00713E22" w:rsidRPr="00D9566D">
        <w:rPr>
          <w:rFonts w:ascii="Arial" w:hAnsi="Arial" w:cs="Arial"/>
        </w:rPr>
        <w:t>a mandatory one</w:t>
      </w:r>
      <w:r w:rsidR="00857472" w:rsidRPr="00D9566D">
        <w:rPr>
          <w:rFonts w:ascii="Arial" w:hAnsi="Arial" w:cs="Arial"/>
        </w:rPr>
        <w:t>,</w:t>
      </w:r>
      <w:r w:rsidR="00713E22" w:rsidRPr="00D9566D">
        <w:rPr>
          <w:rFonts w:ascii="Arial" w:hAnsi="Arial" w:cs="Arial"/>
        </w:rPr>
        <w:t xml:space="preserve"> failure to comply with which would result in non-responsiveness. The terms of the bid and its special conditions </w:t>
      </w:r>
      <w:r w:rsidR="00857472" w:rsidRPr="00D9566D">
        <w:rPr>
          <w:rFonts w:ascii="Arial" w:hAnsi="Arial" w:cs="Arial"/>
        </w:rPr>
        <w:t>stated</w:t>
      </w:r>
      <w:r w:rsidR="00713E22" w:rsidRPr="00D9566D">
        <w:rPr>
          <w:rFonts w:ascii="Arial" w:hAnsi="Arial" w:cs="Arial"/>
        </w:rPr>
        <w:t xml:space="preserve"> that bidders w</w:t>
      </w:r>
      <w:r w:rsidR="00857472" w:rsidRPr="00D9566D">
        <w:rPr>
          <w:rFonts w:ascii="Arial" w:hAnsi="Arial" w:cs="Arial"/>
        </w:rPr>
        <w:t xml:space="preserve">ho </w:t>
      </w:r>
      <w:r w:rsidR="001F1BAE" w:rsidRPr="00D9566D">
        <w:rPr>
          <w:rFonts w:ascii="Arial" w:hAnsi="Arial" w:cs="Arial"/>
        </w:rPr>
        <w:t xml:space="preserve">had </w:t>
      </w:r>
      <w:r w:rsidR="00713E22" w:rsidRPr="00D9566D">
        <w:rPr>
          <w:rFonts w:ascii="Arial" w:hAnsi="Arial" w:cs="Arial"/>
        </w:rPr>
        <w:t>already obtain</w:t>
      </w:r>
      <w:r w:rsidR="001F1BAE" w:rsidRPr="00D9566D">
        <w:rPr>
          <w:rFonts w:ascii="Arial" w:hAnsi="Arial" w:cs="Arial"/>
        </w:rPr>
        <w:t>ed</w:t>
      </w:r>
      <w:r w:rsidR="00713E22" w:rsidRPr="00D9566D">
        <w:rPr>
          <w:rFonts w:ascii="Arial" w:hAnsi="Arial" w:cs="Arial"/>
        </w:rPr>
        <w:t xml:space="preserve"> such a letter could submit </w:t>
      </w:r>
      <w:r w:rsidR="001F1BAE" w:rsidRPr="00D9566D">
        <w:rPr>
          <w:rFonts w:ascii="Arial" w:hAnsi="Arial" w:cs="Arial"/>
        </w:rPr>
        <w:t xml:space="preserve">it </w:t>
      </w:r>
      <w:r w:rsidR="00713E22" w:rsidRPr="00D9566D">
        <w:rPr>
          <w:rFonts w:ascii="Arial" w:hAnsi="Arial" w:cs="Arial"/>
        </w:rPr>
        <w:t xml:space="preserve">with </w:t>
      </w:r>
      <w:r w:rsidR="00713E22" w:rsidRPr="00D9566D">
        <w:rPr>
          <w:rFonts w:ascii="Arial" w:hAnsi="Arial" w:cs="Arial"/>
        </w:rPr>
        <w:lastRenderedPageBreak/>
        <w:t>their bid documentation</w:t>
      </w:r>
      <w:r w:rsidR="001F1BAE" w:rsidRPr="00D9566D">
        <w:rPr>
          <w:rFonts w:ascii="Arial" w:hAnsi="Arial" w:cs="Arial"/>
        </w:rPr>
        <w:t>, whilst those who had not could submit it later</w:t>
      </w:r>
      <w:r w:rsidR="00713E22" w:rsidRPr="00D9566D">
        <w:rPr>
          <w:rFonts w:ascii="Arial" w:hAnsi="Arial" w:cs="Arial"/>
        </w:rPr>
        <w:t>. The distinction between the 2 types of documents</w:t>
      </w:r>
      <w:r w:rsidR="001F1BAE" w:rsidRPr="00D9566D">
        <w:rPr>
          <w:rFonts w:ascii="Arial" w:hAnsi="Arial" w:cs="Arial"/>
        </w:rPr>
        <w:t xml:space="preserve"> and the</w:t>
      </w:r>
      <w:r w:rsidR="00713E22" w:rsidRPr="00D9566D">
        <w:rPr>
          <w:rFonts w:ascii="Arial" w:hAnsi="Arial" w:cs="Arial"/>
        </w:rPr>
        <w:t xml:space="preserve"> consequences attendant upon a failure to submit them</w:t>
      </w:r>
      <w:r w:rsidR="001F1BAE" w:rsidRPr="00D9566D">
        <w:rPr>
          <w:rFonts w:ascii="Arial" w:hAnsi="Arial" w:cs="Arial"/>
        </w:rPr>
        <w:t>, is evident from a reading of</w:t>
      </w:r>
      <w:r w:rsidR="00713E22" w:rsidRPr="00D9566D">
        <w:rPr>
          <w:rFonts w:ascii="Arial" w:hAnsi="Arial" w:cs="Arial"/>
        </w:rPr>
        <w:t xml:space="preserve"> clause 9 of the terms of reference. Both documents </w:t>
      </w:r>
      <w:r w:rsidR="001F1BAE" w:rsidRPr="00D9566D">
        <w:rPr>
          <w:rFonts w:ascii="Arial" w:hAnsi="Arial" w:cs="Arial"/>
        </w:rPr>
        <w:t xml:space="preserve">are </w:t>
      </w:r>
      <w:r w:rsidR="00713E22" w:rsidRPr="00D9566D">
        <w:rPr>
          <w:rFonts w:ascii="Arial" w:hAnsi="Arial" w:cs="Arial"/>
        </w:rPr>
        <w:t xml:space="preserve">referred to </w:t>
      </w:r>
      <w:r w:rsidR="001F1BAE" w:rsidRPr="00D9566D">
        <w:rPr>
          <w:rFonts w:ascii="Arial" w:hAnsi="Arial" w:cs="Arial"/>
        </w:rPr>
        <w:t>therein as ‘</w:t>
      </w:r>
      <w:r w:rsidR="00713E22" w:rsidRPr="00D9566D">
        <w:rPr>
          <w:rFonts w:ascii="Arial" w:hAnsi="Arial" w:cs="Arial"/>
        </w:rPr>
        <w:t>statutory</w:t>
      </w:r>
      <w:r w:rsidR="001F1BAE" w:rsidRPr="00D9566D">
        <w:rPr>
          <w:rFonts w:ascii="Arial" w:hAnsi="Arial" w:cs="Arial"/>
        </w:rPr>
        <w:t>’</w:t>
      </w:r>
      <w:r w:rsidR="00713E22" w:rsidRPr="00D9566D">
        <w:rPr>
          <w:rFonts w:ascii="Arial" w:hAnsi="Arial" w:cs="Arial"/>
        </w:rPr>
        <w:t xml:space="preserve"> documents which </w:t>
      </w:r>
      <w:r w:rsidR="001F1BAE" w:rsidRPr="00D9566D">
        <w:rPr>
          <w:rFonts w:ascii="Arial" w:hAnsi="Arial" w:cs="Arial"/>
        </w:rPr>
        <w:t>we</w:t>
      </w:r>
      <w:r w:rsidR="00713E22" w:rsidRPr="00D9566D">
        <w:rPr>
          <w:rFonts w:ascii="Arial" w:hAnsi="Arial" w:cs="Arial"/>
        </w:rPr>
        <w:t xml:space="preserve">re required and </w:t>
      </w:r>
      <w:r w:rsidR="001F1BAE" w:rsidRPr="00D9566D">
        <w:rPr>
          <w:rFonts w:ascii="Arial" w:hAnsi="Arial" w:cs="Arial"/>
        </w:rPr>
        <w:t>had to</w:t>
      </w:r>
      <w:r w:rsidR="00713E22" w:rsidRPr="00D9566D">
        <w:rPr>
          <w:rFonts w:ascii="Arial" w:hAnsi="Arial" w:cs="Arial"/>
        </w:rPr>
        <w:t xml:space="preserve"> be submitted</w:t>
      </w:r>
      <w:r w:rsidR="001F1BAE" w:rsidRPr="00D9566D">
        <w:rPr>
          <w:rFonts w:ascii="Arial" w:hAnsi="Arial" w:cs="Arial"/>
        </w:rPr>
        <w:t>. T</w:t>
      </w:r>
      <w:r w:rsidR="00713E22" w:rsidRPr="00D9566D">
        <w:rPr>
          <w:rFonts w:ascii="Arial" w:hAnsi="Arial" w:cs="Arial"/>
        </w:rPr>
        <w:t xml:space="preserve">he certificate of registration </w:t>
      </w:r>
      <w:r w:rsidR="001F1BAE" w:rsidRPr="00D9566D">
        <w:rPr>
          <w:rFonts w:ascii="Arial" w:hAnsi="Arial" w:cs="Arial"/>
        </w:rPr>
        <w:t>had to</w:t>
      </w:r>
      <w:r w:rsidR="00713E22" w:rsidRPr="00D9566D">
        <w:rPr>
          <w:rFonts w:ascii="Arial" w:hAnsi="Arial" w:cs="Arial"/>
        </w:rPr>
        <w:t xml:space="preserve"> be submitted ‘with the tender document’ i.e. the bid and </w:t>
      </w:r>
      <w:r w:rsidR="001F1BAE" w:rsidRPr="00D9566D">
        <w:rPr>
          <w:rFonts w:ascii="Arial" w:hAnsi="Arial" w:cs="Arial"/>
        </w:rPr>
        <w:t xml:space="preserve">a </w:t>
      </w:r>
      <w:r w:rsidR="00713E22" w:rsidRPr="00D9566D">
        <w:rPr>
          <w:rFonts w:ascii="Arial" w:hAnsi="Arial" w:cs="Arial"/>
        </w:rPr>
        <w:t>fail</w:t>
      </w:r>
      <w:r w:rsidR="001F1BAE" w:rsidRPr="00D9566D">
        <w:rPr>
          <w:rFonts w:ascii="Arial" w:hAnsi="Arial" w:cs="Arial"/>
        </w:rPr>
        <w:t>ure</w:t>
      </w:r>
      <w:r w:rsidR="00713E22" w:rsidRPr="00D9566D">
        <w:rPr>
          <w:rFonts w:ascii="Arial" w:hAnsi="Arial" w:cs="Arial"/>
        </w:rPr>
        <w:t xml:space="preserve"> to do so w</w:t>
      </w:r>
      <w:r w:rsidR="001F1BAE" w:rsidRPr="00D9566D">
        <w:rPr>
          <w:rFonts w:ascii="Arial" w:hAnsi="Arial" w:cs="Arial"/>
        </w:rPr>
        <w:t>ould</w:t>
      </w:r>
      <w:r w:rsidR="00713E22" w:rsidRPr="00D9566D">
        <w:rPr>
          <w:rFonts w:ascii="Arial" w:hAnsi="Arial" w:cs="Arial"/>
        </w:rPr>
        <w:t xml:space="preserve"> result in ‘elimination’ (sic)</w:t>
      </w:r>
      <w:r w:rsidR="001F1BAE" w:rsidRPr="00D9566D">
        <w:rPr>
          <w:rFonts w:ascii="Arial" w:hAnsi="Arial" w:cs="Arial"/>
        </w:rPr>
        <w:t xml:space="preserve">. The </w:t>
      </w:r>
      <w:r w:rsidR="00713E22" w:rsidRPr="00D9566D">
        <w:rPr>
          <w:rFonts w:ascii="Arial" w:hAnsi="Arial" w:cs="Arial"/>
        </w:rPr>
        <w:t xml:space="preserve">letter of good standing </w:t>
      </w:r>
      <w:r w:rsidR="001F1BAE" w:rsidRPr="00D9566D">
        <w:rPr>
          <w:rFonts w:ascii="Arial" w:hAnsi="Arial" w:cs="Arial"/>
        </w:rPr>
        <w:t>was to</w:t>
      </w:r>
      <w:r w:rsidR="00713E22" w:rsidRPr="00D9566D">
        <w:rPr>
          <w:rFonts w:ascii="Arial" w:hAnsi="Arial" w:cs="Arial"/>
        </w:rPr>
        <w:t xml:space="preserve"> be submitted by ‘successful bidders’ i.e. bidders who qualified as responsive and had been awarded the tender</w:t>
      </w:r>
      <w:r w:rsidR="001F1BAE" w:rsidRPr="00D9566D">
        <w:rPr>
          <w:rFonts w:ascii="Arial" w:hAnsi="Arial" w:cs="Arial"/>
        </w:rPr>
        <w:t>,</w:t>
      </w:r>
      <w:r w:rsidR="00713E22" w:rsidRPr="00D9566D">
        <w:rPr>
          <w:rFonts w:ascii="Arial" w:hAnsi="Arial" w:cs="Arial"/>
        </w:rPr>
        <w:t xml:space="preserve"> within 7 days</w:t>
      </w:r>
      <w:r w:rsidR="00A03D33" w:rsidRPr="00D9566D">
        <w:rPr>
          <w:rFonts w:ascii="Arial" w:hAnsi="Arial" w:cs="Arial"/>
        </w:rPr>
        <w:t xml:space="preserve"> thereof</w:t>
      </w:r>
      <w:r w:rsidR="001F1BAE" w:rsidRPr="00D9566D">
        <w:rPr>
          <w:rFonts w:ascii="Arial" w:hAnsi="Arial" w:cs="Arial"/>
        </w:rPr>
        <w:t xml:space="preserve">, </w:t>
      </w:r>
      <w:r w:rsidR="00713E22" w:rsidRPr="00D9566D">
        <w:rPr>
          <w:rFonts w:ascii="Arial" w:hAnsi="Arial" w:cs="Arial"/>
        </w:rPr>
        <w:t>and they w</w:t>
      </w:r>
      <w:r w:rsidR="001F1BAE" w:rsidRPr="00D9566D">
        <w:rPr>
          <w:rFonts w:ascii="Arial" w:hAnsi="Arial" w:cs="Arial"/>
        </w:rPr>
        <w:t>ould</w:t>
      </w:r>
      <w:r w:rsidR="00713E22" w:rsidRPr="00D9566D">
        <w:rPr>
          <w:rFonts w:ascii="Arial" w:hAnsi="Arial" w:cs="Arial"/>
        </w:rPr>
        <w:t xml:space="preserve"> not be allocated work until they d</w:t>
      </w:r>
      <w:r w:rsidR="001F1BAE" w:rsidRPr="00D9566D">
        <w:rPr>
          <w:rFonts w:ascii="Arial" w:hAnsi="Arial" w:cs="Arial"/>
        </w:rPr>
        <w:t>id</w:t>
      </w:r>
      <w:r w:rsidR="00713E22" w:rsidRPr="00D9566D">
        <w:rPr>
          <w:rFonts w:ascii="Arial" w:hAnsi="Arial" w:cs="Arial"/>
        </w:rPr>
        <w:t xml:space="preserve"> so.</w:t>
      </w:r>
    </w:p>
    <w:p w14:paraId="385D9C34" w14:textId="4FC9B414" w:rsidR="00713E22"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70.</w:t>
      </w:r>
      <w:r w:rsidRPr="00D9566D">
        <w:rPr>
          <w:rFonts w:ascii="Arial" w:hAnsi="Arial" w:cs="Arial"/>
        </w:rPr>
        <w:tab/>
      </w:r>
      <w:r w:rsidR="00713E22" w:rsidRPr="00D9566D">
        <w:rPr>
          <w:rFonts w:ascii="Arial" w:hAnsi="Arial" w:cs="Arial"/>
        </w:rPr>
        <w:t>In their answering affidavit the respondent</w:t>
      </w:r>
      <w:r w:rsidR="001F1BAE" w:rsidRPr="00D9566D">
        <w:rPr>
          <w:rFonts w:ascii="Arial" w:hAnsi="Arial" w:cs="Arial"/>
        </w:rPr>
        <w:t>s</w:t>
      </w:r>
      <w:r w:rsidR="00713E22" w:rsidRPr="00D9566D">
        <w:rPr>
          <w:rFonts w:ascii="Arial" w:hAnsi="Arial" w:cs="Arial"/>
        </w:rPr>
        <w:t xml:space="preserve"> state</w:t>
      </w:r>
      <w:r w:rsidR="001F1BAE" w:rsidRPr="00D9566D">
        <w:rPr>
          <w:rFonts w:ascii="Arial" w:hAnsi="Arial" w:cs="Arial"/>
        </w:rPr>
        <w:t>d</w:t>
      </w:r>
      <w:r w:rsidR="00713E22" w:rsidRPr="00D9566D">
        <w:rPr>
          <w:rFonts w:ascii="Arial" w:hAnsi="Arial" w:cs="Arial"/>
        </w:rPr>
        <w:t xml:space="preserve"> that the purpose of requiring a valid NBC registration certificate, as opposed </w:t>
      </w:r>
      <w:r w:rsidR="001F1BAE" w:rsidRPr="00D9566D">
        <w:rPr>
          <w:rFonts w:ascii="Arial" w:hAnsi="Arial" w:cs="Arial"/>
        </w:rPr>
        <w:t xml:space="preserve">to </w:t>
      </w:r>
      <w:r w:rsidR="00713E22" w:rsidRPr="00D9566D">
        <w:rPr>
          <w:rFonts w:ascii="Arial" w:hAnsi="Arial" w:cs="Arial"/>
        </w:rPr>
        <w:t xml:space="preserve">only a letter of good standing, </w:t>
      </w:r>
      <w:r w:rsidR="001F1BAE" w:rsidRPr="00D9566D">
        <w:rPr>
          <w:rFonts w:ascii="Arial" w:hAnsi="Arial" w:cs="Arial"/>
        </w:rPr>
        <w:t xml:space="preserve">was </w:t>
      </w:r>
      <w:r w:rsidR="00713E22" w:rsidRPr="00D9566D">
        <w:rPr>
          <w:rFonts w:ascii="Arial" w:hAnsi="Arial" w:cs="Arial"/>
        </w:rPr>
        <w:t>that a properly issued certificate serve</w:t>
      </w:r>
      <w:r w:rsidR="001F1BAE" w:rsidRPr="00D9566D">
        <w:rPr>
          <w:rFonts w:ascii="Arial" w:hAnsi="Arial" w:cs="Arial"/>
        </w:rPr>
        <w:t>d</w:t>
      </w:r>
      <w:r w:rsidR="00713E22" w:rsidRPr="00D9566D">
        <w:rPr>
          <w:rFonts w:ascii="Arial" w:hAnsi="Arial" w:cs="Arial"/>
        </w:rPr>
        <w:t xml:space="preserve"> as conclusive proof of </w:t>
      </w:r>
      <w:r w:rsidR="001F1BAE" w:rsidRPr="00D9566D">
        <w:rPr>
          <w:rFonts w:ascii="Arial" w:hAnsi="Arial" w:cs="Arial"/>
        </w:rPr>
        <w:t>a</w:t>
      </w:r>
      <w:r w:rsidR="00713E22" w:rsidRPr="00D9566D">
        <w:rPr>
          <w:rFonts w:ascii="Arial" w:hAnsi="Arial" w:cs="Arial"/>
        </w:rPr>
        <w:t xml:space="preserve"> bidder</w:t>
      </w:r>
      <w:r w:rsidR="001F1BAE" w:rsidRPr="00D9566D">
        <w:rPr>
          <w:rFonts w:ascii="Arial" w:hAnsi="Arial" w:cs="Arial"/>
        </w:rPr>
        <w:t>’</w:t>
      </w:r>
      <w:r w:rsidR="00713E22" w:rsidRPr="00D9566D">
        <w:rPr>
          <w:rFonts w:ascii="Arial" w:hAnsi="Arial" w:cs="Arial"/>
        </w:rPr>
        <w:t>s registration at the time of the submission of the</w:t>
      </w:r>
      <w:r w:rsidR="001F1BAE" w:rsidRPr="00D9566D">
        <w:rPr>
          <w:rFonts w:ascii="Arial" w:hAnsi="Arial" w:cs="Arial"/>
        </w:rPr>
        <w:t>ir</w:t>
      </w:r>
      <w:r w:rsidR="00713E22" w:rsidRPr="00D9566D">
        <w:rPr>
          <w:rFonts w:ascii="Arial" w:hAnsi="Arial" w:cs="Arial"/>
        </w:rPr>
        <w:t xml:space="preserve"> bid. In this regard it is evident </w:t>
      </w:r>
      <w:r w:rsidR="00F57FCC" w:rsidRPr="00D9566D">
        <w:rPr>
          <w:rFonts w:ascii="Arial" w:hAnsi="Arial" w:cs="Arial"/>
        </w:rPr>
        <w:t>(</w:t>
      </w:r>
      <w:r w:rsidR="00713E22" w:rsidRPr="00D9566D">
        <w:rPr>
          <w:rFonts w:ascii="Arial" w:hAnsi="Arial" w:cs="Arial"/>
        </w:rPr>
        <w:t xml:space="preserve">from a copy of </w:t>
      </w:r>
      <w:r w:rsidR="00794ACC" w:rsidRPr="00D9566D">
        <w:rPr>
          <w:rFonts w:ascii="Arial" w:hAnsi="Arial" w:cs="Arial"/>
        </w:rPr>
        <w:t>a</w:t>
      </w:r>
      <w:r w:rsidR="00713E22" w:rsidRPr="00D9566D">
        <w:rPr>
          <w:rFonts w:ascii="Arial" w:hAnsi="Arial" w:cs="Arial"/>
        </w:rPr>
        <w:t xml:space="preserve"> registration certificate</w:t>
      </w:r>
      <w:r w:rsidR="00D26FAA" w:rsidRPr="00D9566D">
        <w:rPr>
          <w:rFonts w:ascii="Arial" w:hAnsi="Arial" w:cs="Arial"/>
        </w:rPr>
        <w:t xml:space="preserve"> which was issued to </w:t>
      </w:r>
      <w:r w:rsidR="001F1BAE" w:rsidRPr="00D9566D">
        <w:rPr>
          <w:rFonts w:ascii="Arial" w:hAnsi="Arial" w:cs="Arial"/>
        </w:rPr>
        <w:t>one</w:t>
      </w:r>
      <w:r w:rsidR="00D26FAA" w:rsidRPr="00D9566D">
        <w:rPr>
          <w:rFonts w:ascii="Arial" w:hAnsi="Arial" w:cs="Arial"/>
        </w:rPr>
        <w:t xml:space="preserve"> of the successful bidders</w:t>
      </w:r>
      <w:r w:rsidR="00F57FCC" w:rsidRPr="00D9566D">
        <w:rPr>
          <w:rFonts w:ascii="Arial" w:hAnsi="Arial" w:cs="Arial"/>
        </w:rPr>
        <w:t>)</w:t>
      </w:r>
      <w:r w:rsidR="00D26FAA" w:rsidRPr="00D9566D">
        <w:rPr>
          <w:rFonts w:ascii="Arial" w:hAnsi="Arial" w:cs="Arial"/>
        </w:rPr>
        <w:t xml:space="preserve"> that</w:t>
      </w:r>
      <w:r w:rsidR="001F1BAE" w:rsidRPr="00D9566D">
        <w:rPr>
          <w:rFonts w:ascii="Arial" w:hAnsi="Arial" w:cs="Arial"/>
        </w:rPr>
        <w:t xml:space="preserve"> it</w:t>
      </w:r>
      <w:r w:rsidR="00D26FAA" w:rsidRPr="00D9566D">
        <w:rPr>
          <w:rFonts w:ascii="Arial" w:hAnsi="Arial" w:cs="Arial"/>
        </w:rPr>
        <w:t xml:space="preserve"> certifies and confirms that the holder </w:t>
      </w:r>
      <w:r w:rsidR="001F1BAE" w:rsidRPr="00D9566D">
        <w:rPr>
          <w:rFonts w:ascii="Arial" w:hAnsi="Arial" w:cs="Arial"/>
        </w:rPr>
        <w:t xml:space="preserve">thereof </w:t>
      </w:r>
      <w:r w:rsidR="00D26FAA" w:rsidRPr="00D9566D">
        <w:rPr>
          <w:rFonts w:ascii="Arial" w:hAnsi="Arial" w:cs="Arial"/>
        </w:rPr>
        <w:t>is registered as an employer with the NBC as at the date of issue</w:t>
      </w:r>
      <w:r w:rsidR="00794ACC" w:rsidRPr="00D9566D">
        <w:rPr>
          <w:rFonts w:ascii="Arial" w:hAnsi="Arial" w:cs="Arial"/>
        </w:rPr>
        <w:t xml:space="preserve"> thereof</w:t>
      </w:r>
      <w:r w:rsidR="00D26FAA" w:rsidRPr="00D9566D">
        <w:rPr>
          <w:rFonts w:ascii="Arial" w:hAnsi="Arial" w:cs="Arial"/>
        </w:rPr>
        <w:t xml:space="preserve">. </w:t>
      </w:r>
      <w:r w:rsidR="00F57FCC" w:rsidRPr="00D9566D">
        <w:rPr>
          <w:rFonts w:ascii="Arial" w:hAnsi="Arial" w:cs="Arial"/>
        </w:rPr>
        <w:t>Importantly, t</w:t>
      </w:r>
      <w:r w:rsidR="00D26FAA" w:rsidRPr="00D9566D">
        <w:rPr>
          <w:rFonts w:ascii="Arial" w:hAnsi="Arial" w:cs="Arial"/>
        </w:rPr>
        <w:t>he holder’s particulars are set out in the certificate including</w:t>
      </w:r>
      <w:r w:rsidR="001F1BAE" w:rsidRPr="00D9566D">
        <w:rPr>
          <w:rFonts w:ascii="Arial" w:hAnsi="Arial" w:cs="Arial"/>
        </w:rPr>
        <w:t>,</w:t>
      </w:r>
      <w:r w:rsidR="00D26FAA" w:rsidRPr="00D9566D">
        <w:rPr>
          <w:rFonts w:ascii="Arial" w:hAnsi="Arial" w:cs="Arial"/>
        </w:rPr>
        <w:t xml:space="preserve"> where the holder is a company</w:t>
      </w:r>
      <w:r w:rsidR="001F1BAE" w:rsidRPr="00D9566D">
        <w:rPr>
          <w:rFonts w:ascii="Arial" w:hAnsi="Arial" w:cs="Arial"/>
        </w:rPr>
        <w:t xml:space="preserve"> or close corporation</w:t>
      </w:r>
      <w:r w:rsidR="00F57FCC" w:rsidRPr="00D9566D">
        <w:rPr>
          <w:rFonts w:ascii="Arial" w:hAnsi="Arial" w:cs="Arial"/>
        </w:rPr>
        <w:t>,</w:t>
      </w:r>
      <w:r w:rsidR="00D26FAA" w:rsidRPr="00D9566D">
        <w:rPr>
          <w:rFonts w:ascii="Arial" w:hAnsi="Arial" w:cs="Arial"/>
        </w:rPr>
        <w:t xml:space="preserve"> its registered name and CIP</w:t>
      </w:r>
      <w:r w:rsidR="001F1BAE" w:rsidRPr="00D9566D">
        <w:rPr>
          <w:rFonts w:ascii="Arial" w:hAnsi="Arial" w:cs="Arial"/>
        </w:rPr>
        <w:t>C</w:t>
      </w:r>
      <w:r w:rsidR="00D26FAA" w:rsidRPr="00D9566D">
        <w:rPr>
          <w:rFonts w:ascii="Arial" w:hAnsi="Arial" w:cs="Arial"/>
        </w:rPr>
        <w:t xml:space="preserve"> registration number, the names of its directors or members </w:t>
      </w:r>
      <w:r w:rsidR="001F1BAE" w:rsidRPr="00D9566D">
        <w:rPr>
          <w:rFonts w:ascii="Arial" w:hAnsi="Arial" w:cs="Arial"/>
        </w:rPr>
        <w:t>and</w:t>
      </w:r>
      <w:r w:rsidR="00D26FAA" w:rsidRPr="00D9566D">
        <w:rPr>
          <w:rFonts w:ascii="Arial" w:hAnsi="Arial" w:cs="Arial"/>
        </w:rPr>
        <w:t xml:space="preserve"> its </w:t>
      </w:r>
      <w:r w:rsidR="001F1BAE" w:rsidRPr="00D9566D">
        <w:rPr>
          <w:rFonts w:ascii="Arial" w:hAnsi="Arial" w:cs="Arial"/>
        </w:rPr>
        <w:t xml:space="preserve">(registered) </w:t>
      </w:r>
      <w:r w:rsidR="00D26FAA" w:rsidRPr="00D9566D">
        <w:rPr>
          <w:rFonts w:ascii="Arial" w:hAnsi="Arial" w:cs="Arial"/>
        </w:rPr>
        <w:t>business address.</w:t>
      </w:r>
    </w:p>
    <w:p w14:paraId="4D029C18" w14:textId="60D1CCB1" w:rsidR="00552F9F"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71.</w:t>
      </w:r>
      <w:r w:rsidRPr="00D9566D">
        <w:rPr>
          <w:rFonts w:ascii="Arial" w:hAnsi="Arial" w:cs="Arial"/>
        </w:rPr>
        <w:tab/>
      </w:r>
      <w:r w:rsidR="001F1BAE" w:rsidRPr="00D9566D">
        <w:rPr>
          <w:rFonts w:ascii="Arial" w:hAnsi="Arial" w:cs="Arial"/>
        </w:rPr>
        <w:t>The applicant conceded that n</w:t>
      </w:r>
      <w:r w:rsidR="00D26FAA" w:rsidRPr="00D9566D">
        <w:rPr>
          <w:rFonts w:ascii="Arial" w:hAnsi="Arial" w:cs="Arial"/>
        </w:rPr>
        <w:t xml:space="preserve">either of the 2 letters from the NBC which </w:t>
      </w:r>
      <w:r w:rsidR="00AC79BF" w:rsidRPr="00D9566D">
        <w:rPr>
          <w:rFonts w:ascii="Arial" w:hAnsi="Arial" w:cs="Arial"/>
        </w:rPr>
        <w:t>i</w:t>
      </w:r>
      <w:r w:rsidR="00D26FAA" w:rsidRPr="00D9566D">
        <w:rPr>
          <w:rFonts w:ascii="Arial" w:hAnsi="Arial" w:cs="Arial"/>
        </w:rPr>
        <w:t>t submitted qualifie</w:t>
      </w:r>
      <w:r w:rsidR="00A03D33" w:rsidRPr="00D9566D">
        <w:rPr>
          <w:rFonts w:ascii="Arial" w:hAnsi="Arial" w:cs="Arial"/>
        </w:rPr>
        <w:t>d</w:t>
      </w:r>
      <w:r w:rsidR="00D26FAA" w:rsidRPr="00D9566D">
        <w:rPr>
          <w:rFonts w:ascii="Arial" w:hAnsi="Arial" w:cs="Arial"/>
        </w:rPr>
        <w:t xml:space="preserve"> as a certificate, either within the </w:t>
      </w:r>
      <w:r w:rsidR="00F57FCC" w:rsidRPr="00D9566D">
        <w:rPr>
          <w:rFonts w:ascii="Arial" w:hAnsi="Arial" w:cs="Arial"/>
        </w:rPr>
        <w:t xml:space="preserve">ordinary, </w:t>
      </w:r>
      <w:r w:rsidR="001F1BAE" w:rsidRPr="00D9566D">
        <w:rPr>
          <w:rFonts w:ascii="Arial" w:hAnsi="Arial" w:cs="Arial"/>
        </w:rPr>
        <w:t>linguistic</w:t>
      </w:r>
      <w:r w:rsidR="00D26FAA" w:rsidRPr="00D9566D">
        <w:rPr>
          <w:rFonts w:ascii="Arial" w:hAnsi="Arial" w:cs="Arial"/>
        </w:rPr>
        <w:t xml:space="preserve"> meaning commonly understood </w:t>
      </w:r>
      <w:r w:rsidR="00F57FCC" w:rsidRPr="00D9566D">
        <w:rPr>
          <w:rFonts w:ascii="Arial" w:hAnsi="Arial" w:cs="Arial"/>
        </w:rPr>
        <w:t>by</w:t>
      </w:r>
      <w:r w:rsidR="00D26FAA" w:rsidRPr="00D9566D">
        <w:rPr>
          <w:rFonts w:ascii="Arial" w:hAnsi="Arial" w:cs="Arial"/>
        </w:rPr>
        <w:t xml:space="preserve"> the term</w:t>
      </w:r>
      <w:r w:rsidR="00F57FCC" w:rsidRPr="00D9566D">
        <w:rPr>
          <w:rFonts w:ascii="Arial" w:hAnsi="Arial" w:cs="Arial"/>
        </w:rPr>
        <w:t>,</w:t>
      </w:r>
      <w:r w:rsidR="00D26FAA" w:rsidRPr="00D9566D">
        <w:rPr>
          <w:rFonts w:ascii="Arial" w:hAnsi="Arial" w:cs="Arial"/>
        </w:rPr>
        <w:t xml:space="preserve"> or </w:t>
      </w:r>
      <w:r w:rsidR="00F57FCC" w:rsidRPr="00D9566D">
        <w:rPr>
          <w:rFonts w:ascii="Arial" w:hAnsi="Arial" w:cs="Arial"/>
        </w:rPr>
        <w:t xml:space="preserve">the meaning to be ascribed </w:t>
      </w:r>
      <w:r w:rsidR="00AC79BF" w:rsidRPr="00D9566D">
        <w:rPr>
          <w:rFonts w:ascii="Arial" w:hAnsi="Arial" w:cs="Arial"/>
        </w:rPr>
        <w:t>t</w:t>
      </w:r>
      <w:r w:rsidR="00F57FCC" w:rsidRPr="00D9566D">
        <w:rPr>
          <w:rFonts w:ascii="Arial" w:hAnsi="Arial" w:cs="Arial"/>
        </w:rPr>
        <w:t xml:space="preserve">o the term </w:t>
      </w:r>
      <w:r w:rsidR="00D26FAA" w:rsidRPr="00D9566D">
        <w:rPr>
          <w:rFonts w:ascii="Arial" w:hAnsi="Arial" w:cs="Arial"/>
        </w:rPr>
        <w:t>in the context of the particulars that are ordinarily recorded on such a document</w:t>
      </w:r>
      <w:r w:rsidR="007D0CF2" w:rsidRPr="00D9566D">
        <w:rPr>
          <w:rFonts w:ascii="Arial" w:hAnsi="Arial" w:cs="Arial"/>
        </w:rPr>
        <w:t xml:space="preserve"> by the NBC</w:t>
      </w:r>
      <w:r w:rsidR="00D26FAA" w:rsidRPr="00D9566D">
        <w:rPr>
          <w:rFonts w:ascii="Arial" w:hAnsi="Arial" w:cs="Arial"/>
        </w:rPr>
        <w:t>. Neither of the letters expressly certified and confirm</w:t>
      </w:r>
      <w:r w:rsidR="00F57FCC" w:rsidRPr="00D9566D">
        <w:rPr>
          <w:rFonts w:ascii="Arial" w:hAnsi="Arial" w:cs="Arial"/>
        </w:rPr>
        <w:t>ed</w:t>
      </w:r>
      <w:r w:rsidR="00D26FAA" w:rsidRPr="00D9566D">
        <w:rPr>
          <w:rFonts w:ascii="Arial" w:hAnsi="Arial" w:cs="Arial"/>
        </w:rPr>
        <w:t xml:space="preserve"> that the applicant was registered with the NBC as at the date thereof. Aside from </w:t>
      </w:r>
      <w:r w:rsidR="00F57FCC" w:rsidRPr="00D9566D">
        <w:rPr>
          <w:rFonts w:ascii="Arial" w:hAnsi="Arial" w:cs="Arial"/>
        </w:rPr>
        <w:t xml:space="preserve">wrongly </w:t>
      </w:r>
      <w:r w:rsidR="00D26FAA" w:rsidRPr="00D9566D">
        <w:rPr>
          <w:rFonts w:ascii="Arial" w:hAnsi="Arial" w:cs="Arial"/>
        </w:rPr>
        <w:t xml:space="preserve">referring </w:t>
      </w:r>
      <w:r w:rsidR="00F57FCC" w:rsidRPr="00D9566D">
        <w:rPr>
          <w:rFonts w:ascii="Arial" w:hAnsi="Arial" w:cs="Arial"/>
        </w:rPr>
        <w:t xml:space="preserve">to </w:t>
      </w:r>
      <w:r w:rsidR="00D26FAA" w:rsidRPr="00D9566D">
        <w:rPr>
          <w:rFonts w:ascii="Arial" w:hAnsi="Arial" w:cs="Arial"/>
        </w:rPr>
        <w:t xml:space="preserve">the applicant as </w:t>
      </w:r>
      <w:bookmarkStart w:id="2" w:name="_Hlk167359058"/>
      <w:r w:rsidR="00D26FAA" w:rsidRPr="00D9566D">
        <w:rPr>
          <w:rFonts w:ascii="Arial" w:hAnsi="Arial" w:cs="Arial"/>
        </w:rPr>
        <w:t>‘Pro</w:t>
      </w:r>
      <w:r w:rsidR="00F57FCC" w:rsidRPr="00D9566D">
        <w:rPr>
          <w:rFonts w:ascii="Arial" w:hAnsi="Arial" w:cs="Arial"/>
        </w:rPr>
        <w:t>sec</w:t>
      </w:r>
      <w:r w:rsidR="00D26FAA" w:rsidRPr="00D9566D">
        <w:rPr>
          <w:rFonts w:ascii="Arial" w:hAnsi="Arial" w:cs="Arial"/>
        </w:rPr>
        <w:t xml:space="preserve"> </w:t>
      </w:r>
      <w:r w:rsidR="00F57FCC" w:rsidRPr="00D9566D">
        <w:rPr>
          <w:rFonts w:ascii="Arial" w:hAnsi="Arial" w:cs="Arial"/>
        </w:rPr>
        <w:t>Guards</w:t>
      </w:r>
      <w:r w:rsidR="00D26FAA" w:rsidRPr="00D9566D">
        <w:rPr>
          <w:rFonts w:ascii="Arial" w:hAnsi="Arial" w:cs="Arial"/>
        </w:rPr>
        <w:t xml:space="preserve">’ </w:t>
      </w:r>
      <w:bookmarkEnd w:id="2"/>
      <w:r w:rsidR="00D26FAA" w:rsidRPr="00D9566D">
        <w:rPr>
          <w:rFonts w:ascii="Arial" w:hAnsi="Arial" w:cs="Arial"/>
        </w:rPr>
        <w:t xml:space="preserve">(it is in fact </w:t>
      </w:r>
      <w:r w:rsidR="00F57FCC" w:rsidRPr="00D9566D">
        <w:rPr>
          <w:rFonts w:ascii="Arial" w:hAnsi="Arial" w:cs="Arial"/>
        </w:rPr>
        <w:t>a</w:t>
      </w:r>
      <w:r w:rsidR="00D26FAA" w:rsidRPr="00D9566D">
        <w:rPr>
          <w:rFonts w:ascii="Arial" w:hAnsi="Arial" w:cs="Arial"/>
        </w:rPr>
        <w:t xml:space="preserve"> CC)</w:t>
      </w:r>
      <w:r w:rsidR="00F57FCC" w:rsidRPr="00D9566D">
        <w:rPr>
          <w:rFonts w:ascii="Arial" w:hAnsi="Arial" w:cs="Arial"/>
        </w:rPr>
        <w:t>,</w:t>
      </w:r>
      <w:r w:rsidR="00D26FAA" w:rsidRPr="00D9566D">
        <w:rPr>
          <w:rFonts w:ascii="Arial" w:hAnsi="Arial" w:cs="Arial"/>
        </w:rPr>
        <w:t xml:space="preserve"> neither of the 2 letters confirmed its registered name, registration number, </w:t>
      </w:r>
      <w:r w:rsidR="00A03D33" w:rsidRPr="00D9566D">
        <w:rPr>
          <w:rFonts w:ascii="Arial" w:hAnsi="Arial" w:cs="Arial"/>
        </w:rPr>
        <w:t xml:space="preserve">registered </w:t>
      </w:r>
      <w:r w:rsidR="00D26FAA" w:rsidRPr="00D9566D">
        <w:rPr>
          <w:rFonts w:ascii="Arial" w:hAnsi="Arial" w:cs="Arial"/>
        </w:rPr>
        <w:t>business address and the names of its members. Both letters merely sought to confirm that</w:t>
      </w:r>
      <w:r w:rsidR="00F57FCC" w:rsidRPr="00D9566D">
        <w:rPr>
          <w:rFonts w:ascii="Arial" w:hAnsi="Arial" w:cs="Arial"/>
        </w:rPr>
        <w:t xml:space="preserve"> ‘Prosec Guards’</w:t>
      </w:r>
      <w:r w:rsidR="00D26FAA" w:rsidRPr="00D9566D">
        <w:rPr>
          <w:rFonts w:ascii="Arial" w:hAnsi="Arial" w:cs="Arial"/>
        </w:rPr>
        <w:t xml:space="preserve"> had l</w:t>
      </w:r>
      <w:r w:rsidR="00F57FCC" w:rsidRPr="00D9566D">
        <w:rPr>
          <w:rFonts w:ascii="Arial" w:hAnsi="Arial" w:cs="Arial"/>
        </w:rPr>
        <w:t>e</w:t>
      </w:r>
      <w:r w:rsidR="00D26FAA" w:rsidRPr="00D9566D">
        <w:rPr>
          <w:rFonts w:ascii="Arial" w:hAnsi="Arial" w:cs="Arial"/>
        </w:rPr>
        <w:t>vi</w:t>
      </w:r>
      <w:r w:rsidR="00F57FCC" w:rsidRPr="00D9566D">
        <w:rPr>
          <w:rFonts w:ascii="Arial" w:hAnsi="Arial" w:cs="Arial"/>
        </w:rPr>
        <w:t>e</w:t>
      </w:r>
      <w:r w:rsidR="00D26FAA" w:rsidRPr="00D9566D">
        <w:rPr>
          <w:rFonts w:ascii="Arial" w:hAnsi="Arial" w:cs="Arial"/>
        </w:rPr>
        <w:t xml:space="preserve">d contributions to the NBC in accordance with the </w:t>
      </w:r>
      <w:r w:rsidR="00F57FCC" w:rsidRPr="00D9566D">
        <w:rPr>
          <w:rFonts w:ascii="Arial" w:hAnsi="Arial" w:cs="Arial"/>
        </w:rPr>
        <w:t>le</w:t>
      </w:r>
      <w:r w:rsidR="00D26FAA" w:rsidRPr="00D9566D">
        <w:rPr>
          <w:rFonts w:ascii="Arial" w:hAnsi="Arial" w:cs="Arial"/>
        </w:rPr>
        <w:t>vy agreement</w:t>
      </w:r>
      <w:r w:rsidR="00F57FCC" w:rsidRPr="00D9566D">
        <w:rPr>
          <w:rFonts w:ascii="Arial" w:hAnsi="Arial" w:cs="Arial"/>
        </w:rPr>
        <w:t xml:space="preserve"> applicable to the sector</w:t>
      </w:r>
      <w:r w:rsidR="00D26FAA" w:rsidRPr="00D9566D">
        <w:rPr>
          <w:rFonts w:ascii="Arial" w:hAnsi="Arial" w:cs="Arial"/>
        </w:rPr>
        <w:t xml:space="preserve">, but neither of them even set </w:t>
      </w:r>
      <w:r w:rsidR="00552F9F" w:rsidRPr="00D9566D">
        <w:rPr>
          <w:rFonts w:ascii="Arial" w:hAnsi="Arial" w:cs="Arial"/>
        </w:rPr>
        <w:t>out the</w:t>
      </w:r>
      <w:r w:rsidR="00D26FAA" w:rsidRPr="00D9566D">
        <w:rPr>
          <w:rFonts w:ascii="Arial" w:hAnsi="Arial" w:cs="Arial"/>
        </w:rPr>
        <w:t xml:space="preserve"> </w:t>
      </w:r>
      <w:r w:rsidR="00552F9F" w:rsidRPr="00D9566D">
        <w:rPr>
          <w:rFonts w:ascii="Arial" w:hAnsi="Arial" w:cs="Arial"/>
        </w:rPr>
        <w:t>‘</w:t>
      </w:r>
      <w:r w:rsidR="00D26FAA" w:rsidRPr="00D9566D">
        <w:rPr>
          <w:rFonts w:ascii="Arial" w:hAnsi="Arial" w:cs="Arial"/>
        </w:rPr>
        <w:t>contributor</w:t>
      </w:r>
      <w:r w:rsidR="00552F9F" w:rsidRPr="00D9566D">
        <w:rPr>
          <w:rFonts w:ascii="Arial" w:hAnsi="Arial" w:cs="Arial"/>
        </w:rPr>
        <w:t>’</w:t>
      </w:r>
      <w:r w:rsidR="00D26FAA" w:rsidRPr="00D9566D">
        <w:rPr>
          <w:rFonts w:ascii="Arial" w:hAnsi="Arial" w:cs="Arial"/>
        </w:rPr>
        <w:t>s</w:t>
      </w:r>
      <w:r w:rsidR="00552F9F" w:rsidRPr="00D9566D">
        <w:rPr>
          <w:rFonts w:ascii="Arial" w:hAnsi="Arial" w:cs="Arial"/>
        </w:rPr>
        <w:t>’</w:t>
      </w:r>
      <w:r w:rsidR="00D26FAA" w:rsidRPr="00D9566D">
        <w:rPr>
          <w:rFonts w:ascii="Arial" w:hAnsi="Arial" w:cs="Arial"/>
        </w:rPr>
        <w:t xml:space="preserve"> </w:t>
      </w:r>
      <w:r w:rsidR="00552F9F" w:rsidRPr="00D9566D">
        <w:rPr>
          <w:rFonts w:ascii="Arial" w:hAnsi="Arial" w:cs="Arial"/>
        </w:rPr>
        <w:t>levy</w:t>
      </w:r>
      <w:r w:rsidR="00D26FAA" w:rsidRPr="00D9566D">
        <w:rPr>
          <w:rFonts w:ascii="Arial" w:hAnsi="Arial" w:cs="Arial"/>
        </w:rPr>
        <w:t xml:space="preserve"> number, as would appear in the case of a registration certificate. </w:t>
      </w:r>
    </w:p>
    <w:p w14:paraId="60A250BE" w14:textId="095DF968" w:rsidR="00D26FAA"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72.</w:t>
      </w:r>
      <w:r w:rsidRPr="00D9566D">
        <w:rPr>
          <w:rFonts w:ascii="Arial" w:hAnsi="Arial" w:cs="Arial"/>
        </w:rPr>
        <w:tab/>
      </w:r>
      <w:r w:rsidR="00552F9F" w:rsidRPr="00D9566D">
        <w:rPr>
          <w:rFonts w:ascii="Arial" w:hAnsi="Arial" w:cs="Arial"/>
        </w:rPr>
        <w:t xml:space="preserve">In the circumstances, </w:t>
      </w:r>
      <w:r w:rsidR="00D26FAA" w:rsidRPr="00D9566D">
        <w:rPr>
          <w:rFonts w:ascii="Arial" w:hAnsi="Arial" w:cs="Arial"/>
        </w:rPr>
        <w:t>the information provided in the letters can hardly be considered to constitute substantial compliance</w:t>
      </w:r>
      <w:r w:rsidR="00552F9F" w:rsidRPr="00D9566D">
        <w:rPr>
          <w:rFonts w:ascii="Arial" w:hAnsi="Arial" w:cs="Arial"/>
        </w:rPr>
        <w:t>,</w:t>
      </w:r>
      <w:r w:rsidR="00D26FAA" w:rsidRPr="00D9566D">
        <w:rPr>
          <w:rFonts w:ascii="Arial" w:hAnsi="Arial" w:cs="Arial"/>
        </w:rPr>
        <w:t xml:space="preserve"> in terms of the submission of the </w:t>
      </w:r>
      <w:r w:rsidR="00552F9F" w:rsidRPr="00D9566D">
        <w:rPr>
          <w:rFonts w:ascii="Arial" w:hAnsi="Arial" w:cs="Arial"/>
        </w:rPr>
        <w:t xml:space="preserve">requisite </w:t>
      </w:r>
      <w:r w:rsidR="00D26FAA" w:rsidRPr="00D9566D">
        <w:rPr>
          <w:rFonts w:ascii="Arial" w:hAnsi="Arial" w:cs="Arial"/>
        </w:rPr>
        <w:t xml:space="preserve">information which </w:t>
      </w:r>
      <w:r w:rsidR="00552F9F" w:rsidRPr="00D9566D">
        <w:rPr>
          <w:rFonts w:ascii="Arial" w:hAnsi="Arial" w:cs="Arial"/>
        </w:rPr>
        <w:t xml:space="preserve">would be provided to the </w:t>
      </w:r>
      <w:r w:rsidR="00D26FAA" w:rsidRPr="00D9566D">
        <w:rPr>
          <w:rFonts w:ascii="Arial" w:hAnsi="Arial" w:cs="Arial"/>
        </w:rPr>
        <w:t xml:space="preserve">municipality in a registration certificate. As to the applicant’s contention that as both letters confirmed that it was in good standing and </w:t>
      </w:r>
      <w:r w:rsidR="00794ACC" w:rsidRPr="00D9566D">
        <w:rPr>
          <w:rFonts w:ascii="Arial" w:hAnsi="Arial" w:cs="Arial"/>
        </w:rPr>
        <w:t xml:space="preserve">they </w:t>
      </w:r>
      <w:r w:rsidR="00D26FAA" w:rsidRPr="00D9566D">
        <w:rPr>
          <w:rFonts w:ascii="Arial" w:hAnsi="Arial" w:cs="Arial"/>
        </w:rPr>
        <w:t xml:space="preserve">therefore implicitly confirmed it was registered at the time as an employer with the NBC, the following. In the </w:t>
      </w:r>
      <w:r w:rsidR="00552F9F" w:rsidRPr="00D9566D">
        <w:rPr>
          <w:rFonts w:ascii="Arial" w:hAnsi="Arial" w:cs="Arial"/>
        </w:rPr>
        <w:t>first</w:t>
      </w:r>
      <w:r w:rsidR="00D26FAA" w:rsidRPr="00D9566D">
        <w:rPr>
          <w:rFonts w:ascii="Arial" w:hAnsi="Arial" w:cs="Arial"/>
        </w:rPr>
        <w:t xml:space="preserve"> place, as was pointed out in </w:t>
      </w:r>
      <w:r w:rsidR="00D26FAA" w:rsidRPr="00D9566D">
        <w:rPr>
          <w:rFonts w:ascii="Arial" w:hAnsi="Arial" w:cs="Arial"/>
          <w:i/>
          <w:iCs/>
        </w:rPr>
        <w:t>Moroka</w:t>
      </w:r>
      <w:r w:rsidR="00D26FAA" w:rsidRPr="00D9566D">
        <w:rPr>
          <w:rFonts w:ascii="Arial" w:hAnsi="Arial" w:cs="Arial"/>
        </w:rPr>
        <w:t xml:space="preserve"> and </w:t>
      </w:r>
      <w:r w:rsidR="00D26FAA" w:rsidRPr="00D9566D">
        <w:rPr>
          <w:rFonts w:ascii="Arial" w:hAnsi="Arial" w:cs="Arial"/>
          <w:i/>
          <w:iCs/>
        </w:rPr>
        <w:t>W</w:t>
      </w:r>
      <w:r w:rsidR="00552F9F" w:rsidRPr="00D9566D">
        <w:rPr>
          <w:rFonts w:ascii="Arial" w:hAnsi="Arial" w:cs="Arial"/>
          <w:i/>
          <w:iCs/>
        </w:rPr>
        <w:t>D</w:t>
      </w:r>
      <w:r w:rsidR="00D26FAA" w:rsidRPr="00D9566D">
        <w:rPr>
          <w:rFonts w:ascii="Arial" w:hAnsi="Arial" w:cs="Arial"/>
          <w:i/>
          <w:iCs/>
        </w:rPr>
        <w:t>R</w:t>
      </w:r>
      <w:r w:rsidR="00552F9F" w:rsidRPr="00D9566D">
        <w:rPr>
          <w:rFonts w:ascii="Arial" w:hAnsi="Arial" w:cs="Arial"/>
          <w:i/>
          <w:iCs/>
        </w:rPr>
        <w:t xml:space="preserve"> Earthmoving</w:t>
      </w:r>
      <w:r w:rsidR="00D26FAA" w:rsidRPr="00D9566D">
        <w:rPr>
          <w:rFonts w:ascii="Arial" w:hAnsi="Arial" w:cs="Arial"/>
        </w:rPr>
        <w:t xml:space="preserve"> it is the prerogative of the tender authority to prescribe </w:t>
      </w:r>
      <w:r w:rsidR="00552F9F" w:rsidRPr="00D9566D">
        <w:rPr>
          <w:rFonts w:ascii="Arial" w:hAnsi="Arial" w:cs="Arial"/>
        </w:rPr>
        <w:t xml:space="preserve">the </w:t>
      </w:r>
      <w:r w:rsidR="00794ACC" w:rsidRPr="00D9566D">
        <w:rPr>
          <w:rFonts w:ascii="Arial" w:hAnsi="Arial" w:cs="Arial"/>
        </w:rPr>
        <w:t xml:space="preserve">type and </w:t>
      </w:r>
      <w:r w:rsidR="00D26FAA" w:rsidRPr="00D9566D">
        <w:rPr>
          <w:rFonts w:ascii="Arial" w:hAnsi="Arial" w:cs="Arial"/>
        </w:rPr>
        <w:t xml:space="preserve">formal requirements of documents that are to be submitted </w:t>
      </w:r>
      <w:r w:rsidR="00AC79BF" w:rsidRPr="00D9566D">
        <w:rPr>
          <w:rFonts w:ascii="Arial" w:hAnsi="Arial" w:cs="Arial"/>
        </w:rPr>
        <w:t>to</w:t>
      </w:r>
      <w:r w:rsidR="00D26FAA" w:rsidRPr="00D9566D">
        <w:rPr>
          <w:rFonts w:ascii="Arial" w:hAnsi="Arial" w:cs="Arial"/>
        </w:rPr>
        <w:t xml:space="preserve"> qualify a b</w:t>
      </w:r>
      <w:r w:rsidR="00552F9F" w:rsidRPr="00D9566D">
        <w:rPr>
          <w:rFonts w:ascii="Arial" w:hAnsi="Arial" w:cs="Arial"/>
        </w:rPr>
        <w:t>i</w:t>
      </w:r>
      <w:r w:rsidR="00D26FAA" w:rsidRPr="00D9566D">
        <w:rPr>
          <w:rFonts w:ascii="Arial" w:hAnsi="Arial" w:cs="Arial"/>
        </w:rPr>
        <w:t>d as responsive, not the courts</w:t>
      </w:r>
      <w:r w:rsidR="00552F9F" w:rsidRPr="00D9566D">
        <w:rPr>
          <w:rFonts w:ascii="Arial" w:hAnsi="Arial" w:cs="Arial"/>
        </w:rPr>
        <w:t>,</w:t>
      </w:r>
      <w:r w:rsidR="00D26FAA" w:rsidRPr="00D9566D">
        <w:rPr>
          <w:rFonts w:ascii="Arial" w:hAnsi="Arial" w:cs="Arial"/>
        </w:rPr>
        <w:t xml:space="preserve"> which should respect such prerogative in </w:t>
      </w:r>
      <w:r w:rsidR="00552F9F" w:rsidRPr="00D9566D">
        <w:rPr>
          <w:rFonts w:ascii="Arial" w:hAnsi="Arial" w:cs="Arial"/>
        </w:rPr>
        <w:t>recognition of</w:t>
      </w:r>
      <w:r w:rsidR="00D26FAA" w:rsidRPr="00D9566D">
        <w:rPr>
          <w:rFonts w:ascii="Arial" w:hAnsi="Arial" w:cs="Arial"/>
        </w:rPr>
        <w:t xml:space="preserve"> the separation of powers. </w:t>
      </w:r>
      <w:r w:rsidR="00B512EC" w:rsidRPr="00D9566D">
        <w:rPr>
          <w:rFonts w:ascii="Arial" w:hAnsi="Arial" w:cs="Arial"/>
        </w:rPr>
        <w:t>Secondly, i</w:t>
      </w:r>
      <w:r w:rsidR="00D26FAA" w:rsidRPr="00D9566D">
        <w:rPr>
          <w:rFonts w:ascii="Arial" w:hAnsi="Arial" w:cs="Arial"/>
        </w:rPr>
        <w:t xml:space="preserve">t seems to me that the argument is analogous to submitting that because a professional is in good standing with </w:t>
      </w:r>
      <w:r w:rsidR="00552F9F" w:rsidRPr="00D9566D">
        <w:rPr>
          <w:rFonts w:ascii="Arial" w:hAnsi="Arial" w:cs="Arial"/>
        </w:rPr>
        <w:t>their</w:t>
      </w:r>
      <w:r w:rsidR="00D26FAA" w:rsidRPr="00D9566D">
        <w:rPr>
          <w:rFonts w:ascii="Arial" w:hAnsi="Arial" w:cs="Arial"/>
        </w:rPr>
        <w:t xml:space="preserve"> regulatory </w:t>
      </w:r>
      <w:r w:rsidR="00552F9F" w:rsidRPr="00D9566D">
        <w:rPr>
          <w:rFonts w:ascii="Arial" w:hAnsi="Arial" w:cs="Arial"/>
        </w:rPr>
        <w:t>authority (</w:t>
      </w:r>
      <w:r w:rsidR="00D26FAA" w:rsidRPr="00D9566D">
        <w:rPr>
          <w:rFonts w:ascii="Arial" w:hAnsi="Arial" w:cs="Arial"/>
        </w:rPr>
        <w:t>such as the L</w:t>
      </w:r>
      <w:r w:rsidR="00552F9F" w:rsidRPr="00D9566D">
        <w:rPr>
          <w:rFonts w:ascii="Arial" w:hAnsi="Arial" w:cs="Arial"/>
        </w:rPr>
        <w:t>egal Practice</w:t>
      </w:r>
      <w:r w:rsidR="008B2E04" w:rsidRPr="00D9566D">
        <w:rPr>
          <w:rFonts w:ascii="Arial" w:hAnsi="Arial" w:cs="Arial"/>
        </w:rPr>
        <w:t>,</w:t>
      </w:r>
      <w:r w:rsidR="00D26FAA" w:rsidRPr="00D9566D">
        <w:rPr>
          <w:rFonts w:ascii="Arial" w:hAnsi="Arial" w:cs="Arial"/>
        </w:rPr>
        <w:t xml:space="preserve"> </w:t>
      </w:r>
      <w:r w:rsidR="00B512EC" w:rsidRPr="00D9566D">
        <w:rPr>
          <w:rFonts w:ascii="Arial" w:hAnsi="Arial" w:cs="Arial"/>
        </w:rPr>
        <w:t xml:space="preserve">Engineering or </w:t>
      </w:r>
      <w:r w:rsidR="00552F9F" w:rsidRPr="00D9566D">
        <w:rPr>
          <w:rFonts w:ascii="Arial" w:hAnsi="Arial" w:cs="Arial"/>
        </w:rPr>
        <w:t xml:space="preserve">Health Professions Council) </w:t>
      </w:r>
      <w:r w:rsidR="00B512EC" w:rsidRPr="00D9566D">
        <w:rPr>
          <w:rFonts w:ascii="Arial" w:hAnsi="Arial" w:cs="Arial"/>
        </w:rPr>
        <w:t>as</w:t>
      </w:r>
      <w:r w:rsidR="00552F9F" w:rsidRPr="00D9566D">
        <w:rPr>
          <w:rFonts w:ascii="Arial" w:hAnsi="Arial" w:cs="Arial"/>
        </w:rPr>
        <w:t xml:space="preserve"> they have paid their membership and other dues</w:t>
      </w:r>
      <w:r w:rsidR="00B512EC" w:rsidRPr="00D9566D">
        <w:rPr>
          <w:rFonts w:ascii="Arial" w:hAnsi="Arial" w:cs="Arial"/>
        </w:rPr>
        <w:t>,</w:t>
      </w:r>
      <w:r w:rsidR="00552F9F" w:rsidRPr="00D9566D">
        <w:rPr>
          <w:rFonts w:ascii="Arial" w:hAnsi="Arial" w:cs="Arial"/>
        </w:rPr>
        <w:t xml:space="preserve"> </w:t>
      </w:r>
      <w:r w:rsidR="007D0CF2" w:rsidRPr="00D9566D">
        <w:rPr>
          <w:rFonts w:ascii="Arial" w:hAnsi="Arial" w:cs="Arial"/>
        </w:rPr>
        <w:t>they</w:t>
      </w:r>
      <w:r w:rsidR="00D26FAA" w:rsidRPr="00D9566D">
        <w:rPr>
          <w:rFonts w:ascii="Arial" w:hAnsi="Arial" w:cs="Arial"/>
        </w:rPr>
        <w:t xml:space="preserve"> </w:t>
      </w:r>
      <w:r w:rsidR="00552F9F" w:rsidRPr="00D9566D">
        <w:rPr>
          <w:rFonts w:ascii="Arial" w:hAnsi="Arial" w:cs="Arial"/>
        </w:rPr>
        <w:t>must be</w:t>
      </w:r>
      <w:r w:rsidR="00D26FAA" w:rsidRPr="00D9566D">
        <w:rPr>
          <w:rFonts w:ascii="Arial" w:hAnsi="Arial" w:cs="Arial"/>
        </w:rPr>
        <w:t xml:space="preserve"> possession of a valid certificate of their admission as a legal or medical practitioner</w:t>
      </w:r>
      <w:r w:rsidR="00B512EC" w:rsidRPr="00D9566D">
        <w:rPr>
          <w:rFonts w:ascii="Arial" w:hAnsi="Arial" w:cs="Arial"/>
        </w:rPr>
        <w:t>, or engineer</w:t>
      </w:r>
      <w:r w:rsidR="00D26FAA" w:rsidRPr="00D9566D">
        <w:rPr>
          <w:rFonts w:ascii="Arial" w:hAnsi="Arial" w:cs="Arial"/>
        </w:rPr>
        <w:t xml:space="preserve">. Whilst one would expect that this would ordinarily be </w:t>
      </w:r>
      <w:r w:rsidR="00D26FAA" w:rsidRPr="00D9566D">
        <w:rPr>
          <w:rFonts w:ascii="Arial" w:hAnsi="Arial" w:cs="Arial"/>
        </w:rPr>
        <w:lastRenderedPageBreak/>
        <w:t>the case i</w:t>
      </w:r>
      <w:r w:rsidR="00552F9F" w:rsidRPr="00D9566D">
        <w:rPr>
          <w:rFonts w:ascii="Arial" w:hAnsi="Arial" w:cs="Arial"/>
        </w:rPr>
        <w:t>t is</w:t>
      </w:r>
      <w:r w:rsidR="00D26FAA" w:rsidRPr="00D9566D">
        <w:rPr>
          <w:rFonts w:ascii="Arial" w:hAnsi="Arial" w:cs="Arial"/>
        </w:rPr>
        <w:t xml:space="preserve"> not always and </w:t>
      </w:r>
      <w:r w:rsidR="00552F9F" w:rsidRPr="00D9566D">
        <w:rPr>
          <w:rFonts w:ascii="Arial" w:hAnsi="Arial" w:cs="Arial"/>
        </w:rPr>
        <w:t xml:space="preserve">necessarily </w:t>
      </w:r>
      <w:r w:rsidR="00D26FAA" w:rsidRPr="00D9566D">
        <w:rPr>
          <w:rFonts w:ascii="Arial" w:hAnsi="Arial" w:cs="Arial"/>
        </w:rPr>
        <w:t xml:space="preserve">so. </w:t>
      </w:r>
      <w:r w:rsidR="00552F9F" w:rsidRPr="00D9566D">
        <w:rPr>
          <w:rFonts w:ascii="Arial" w:hAnsi="Arial" w:cs="Arial"/>
        </w:rPr>
        <w:t>It would depend on when the certificate of registration was issued and whether it is genuine and extant, and when the dues were</w:t>
      </w:r>
      <w:r w:rsidR="00B512EC" w:rsidRPr="00D9566D">
        <w:rPr>
          <w:rFonts w:ascii="Arial" w:hAnsi="Arial" w:cs="Arial"/>
        </w:rPr>
        <w:t xml:space="preserve"> to be </w:t>
      </w:r>
      <w:r w:rsidR="00552F9F" w:rsidRPr="00D9566D">
        <w:rPr>
          <w:rFonts w:ascii="Arial" w:hAnsi="Arial" w:cs="Arial"/>
        </w:rPr>
        <w:t xml:space="preserve">paid. </w:t>
      </w:r>
      <w:r w:rsidR="00D26FAA" w:rsidRPr="00D9566D">
        <w:rPr>
          <w:rFonts w:ascii="Arial" w:hAnsi="Arial" w:cs="Arial"/>
        </w:rPr>
        <w:t xml:space="preserve">Thus, where </w:t>
      </w:r>
      <w:r w:rsidR="00B512EC" w:rsidRPr="00D9566D">
        <w:rPr>
          <w:rFonts w:ascii="Arial" w:hAnsi="Arial" w:cs="Arial"/>
        </w:rPr>
        <w:t xml:space="preserve">dues are paid annually or quarterly a professional may have paid them and would thus be in </w:t>
      </w:r>
      <w:r w:rsidR="007D0CF2" w:rsidRPr="00D9566D">
        <w:rPr>
          <w:rFonts w:ascii="Arial" w:hAnsi="Arial" w:cs="Arial"/>
        </w:rPr>
        <w:t>‘</w:t>
      </w:r>
      <w:r w:rsidR="00B512EC" w:rsidRPr="00D9566D">
        <w:rPr>
          <w:rFonts w:ascii="Arial" w:hAnsi="Arial" w:cs="Arial"/>
        </w:rPr>
        <w:t xml:space="preserve">good </w:t>
      </w:r>
      <w:r w:rsidR="006A0610" w:rsidRPr="00D9566D">
        <w:rPr>
          <w:rFonts w:ascii="Arial" w:hAnsi="Arial" w:cs="Arial"/>
        </w:rPr>
        <w:t>standing</w:t>
      </w:r>
      <w:r w:rsidR="007D0CF2" w:rsidRPr="00D9566D">
        <w:rPr>
          <w:rFonts w:ascii="Arial" w:hAnsi="Arial" w:cs="Arial"/>
        </w:rPr>
        <w:t>’</w:t>
      </w:r>
      <w:r w:rsidR="006A0610" w:rsidRPr="00D9566D">
        <w:rPr>
          <w:rFonts w:ascii="Arial" w:hAnsi="Arial" w:cs="Arial"/>
        </w:rPr>
        <w:t xml:space="preserve"> but</w:t>
      </w:r>
      <w:r w:rsidR="00B512EC" w:rsidRPr="00D9566D">
        <w:rPr>
          <w:rFonts w:ascii="Arial" w:hAnsi="Arial" w:cs="Arial"/>
        </w:rPr>
        <w:t xml:space="preserve"> may have subsequently terminated their membership of the regulatory </w:t>
      </w:r>
      <w:r w:rsidR="00F10B2B" w:rsidRPr="00D9566D">
        <w:rPr>
          <w:rFonts w:ascii="Arial" w:hAnsi="Arial" w:cs="Arial"/>
        </w:rPr>
        <w:t>body or</w:t>
      </w:r>
      <w:r w:rsidR="00B512EC" w:rsidRPr="00D9566D">
        <w:rPr>
          <w:rFonts w:ascii="Arial" w:hAnsi="Arial" w:cs="Arial"/>
        </w:rPr>
        <w:t xml:space="preserve"> may have been otherwise removed from the roll of its members for misconduct, or on request. Thus, it does not necessarily and inevitabl</w:t>
      </w:r>
      <w:r w:rsidR="006A0610" w:rsidRPr="00D9566D">
        <w:rPr>
          <w:rFonts w:ascii="Arial" w:hAnsi="Arial" w:cs="Arial"/>
        </w:rPr>
        <w:t>y</w:t>
      </w:r>
      <w:r w:rsidR="00B512EC" w:rsidRPr="00D9566D">
        <w:rPr>
          <w:rFonts w:ascii="Arial" w:hAnsi="Arial" w:cs="Arial"/>
        </w:rPr>
        <w:t xml:space="preserve"> follow that a person who is stated to be in ‘good standing’ with a regulatory authority is in fact a registered member of it.  </w:t>
      </w:r>
    </w:p>
    <w:p w14:paraId="5E350707" w14:textId="19E38D4F" w:rsidR="004E376F"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73.</w:t>
      </w:r>
      <w:r w:rsidRPr="00D9566D">
        <w:rPr>
          <w:rFonts w:ascii="Arial" w:hAnsi="Arial" w:cs="Arial"/>
        </w:rPr>
        <w:tab/>
      </w:r>
      <w:r w:rsidR="00D26FAA" w:rsidRPr="00D9566D">
        <w:rPr>
          <w:rFonts w:ascii="Arial" w:hAnsi="Arial" w:cs="Arial"/>
        </w:rPr>
        <w:t>It seems to me also that</w:t>
      </w:r>
      <w:r w:rsidR="004E376F" w:rsidRPr="00D9566D">
        <w:rPr>
          <w:rFonts w:ascii="Arial" w:hAnsi="Arial" w:cs="Arial"/>
        </w:rPr>
        <w:t>,</w:t>
      </w:r>
      <w:r w:rsidR="00D26FAA" w:rsidRPr="00D9566D">
        <w:rPr>
          <w:rFonts w:ascii="Arial" w:hAnsi="Arial" w:cs="Arial"/>
        </w:rPr>
        <w:t xml:space="preserve"> given the distinction which is made between certificates and letters of good standing</w:t>
      </w:r>
      <w:r w:rsidR="006A0610" w:rsidRPr="00D9566D">
        <w:rPr>
          <w:rFonts w:ascii="Arial" w:hAnsi="Arial" w:cs="Arial"/>
        </w:rPr>
        <w:t xml:space="preserve"> in clause 9 of the terms of reference</w:t>
      </w:r>
      <w:r w:rsidR="00D26FAA" w:rsidRPr="00D9566D">
        <w:rPr>
          <w:rFonts w:ascii="Arial" w:hAnsi="Arial" w:cs="Arial"/>
        </w:rPr>
        <w:t xml:space="preserve">, to accept that a letter of good standing would on its own suffice as proof of registration would be </w:t>
      </w:r>
      <w:r w:rsidR="00AB5FFA" w:rsidRPr="00D9566D">
        <w:rPr>
          <w:rFonts w:ascii="Arial" w:hAnsi="Arial" w:cs="Arial"/>
        </w:rPr>
        <w:t>u</w:t>
      </w:r>
      <w:r w:rsidR="00D26FAA" w:rsidRPr="00D9566D">
        <w:rPr>
          <w:rFonts w:ascii="Arial" w:hAnsi="Arial" w:cs="Arial"/>
        </w:rPr>
        <w:t>nfair vis-à-vis bidders as a group, as letters of good standing d</w:t>
      </w:r>
      <w:r w:rsidR="00794ACC" w:rsidRPr="00D9566D">
        <w:rPr>
          <w:rFonts w:ascii="Arial" w:hAnsi="Arial" w:cs="Arial"/>
        </w:rPr>
        <w:t>id</w:t>
      </w:r>
      <w:r w:rsidR="00D26FAA" w:rsidRPr="00D9566D">
        <w:rPr>
          <w:rFonts w:ascii="Arial" w:hAnsi="Arial" w:cs="Arial"/>
        </w:rPr>
        <w:t xml:space="preserve"> not </w:t>
      </w:r>
      <w:r w:rsidR="00B512EC" w:rsidRPr="00D9566D">
        <w:rPr>
          <w:rFonts w:ascii="Arial" w:hAnsi="Arial" w:cs="Arial"/>
        </w:rPr>
        <w:t xml:space="preserve">have </w:t>
      </w:r>
      <w:r w:rsidR="00D26FAA" w:rsidRPr="00D9566D">
        <w:rPr>
          <w:rFonts w:ascii="Arial" w:hAnsi="Arial" w:cs="Arial"/>
        </w:rPr>
        <w:t>to be submitted with bid</w:t>
      </w:r>
      <w:r w:rsidR="00B512EC" w:rsidRPr="00D9566D">
        <w:rPr>
          <w:rFonts w:ascii="Arial" w:hAnsi="Arial" w:cs="Arial"/>
        </w:rPr>
        <w:t>s</w:t>
      </w:r>
      <w:r w:rsidR="00D26FAA" w:rsidRPr="00D9566D">
        <w:rPr>
          <w:rFonts w:ascii="Arial" w:hAnsi="Arial" w:cs="Arial"/>
        </w:rPr>
        <w:t>, unlike certificates</w:t>
      </w:r>
      <w:r w:rsidR="004E376F" w:rsidRPr="00D9566D">
        <w:rPr>
          <w:rFonts w:ascii="Arial" w:hAnsi="Arial" w:cs="Arial"/>
        </w:rPr>
        <w:t xml:space="preserve"> of registration</w:t>
      </w:r>
      <w:r w:rsidR="00D26FAA" w:rsidRPr="00D9566D">
        <w:rPr>
          <w:rFonts w:ascii="Arial" w:hAnsi="Arial" w:cs="Arial"/>
        </w:rPr>
        <w:t xml:space="preserve">. To </w:t>
      </w:r>
      <w:r w:rsidR="00B512EC" w:rsidRPr="00D9566D">
        <w:rPr>
          <w:rFonts w:ascii="Arial" w:hAnsi="Arial" w:cs="Arial"/>
        </w:rPr>
        <w:t>adopt</w:t>
      </w:r>
      <w:r w:rsidR="00D26FAA" w:rsidRPr="00D9566D">
        <w:rPr>
          <w:rFonts w:ascii="Arial" w:hAnsi="Arial" w:cs="Arial"/>
        </w:rPr>
        <w:t xml:space="preserve"> the interpretation advanced by the applicant would mean that notwithstanding the peremptory requirement that bidders need</w:t>
      </w:r>
      <w:r w:rsidR="00B512EC" w:rsidRPr="00D9566D">
        <w:rPr>
          <w:rFonts w:ascii="Arial" w:hAnsi="Arial" w:cs="Arial"/>
        </w:rPr>
        <w:t>ed</w:t>
      </w:r>
      <w:r w:rsidR="00D26FAA" w:rsidRPr="00D9566D">
        <w:rPr>
          <w:rFonts w:ascii="Arial" w:hAnsi="Arial" w:cs="Arial"/>
        </w:rPr>
        <w:t xml:space="preserve"> to supply registration certificates in order to qualify as responsive, </w:t>
      </w:r>
      <w:r w:rsidR="00D26FAA" w:rsidRPr="00D9566D">
        <w:rPr>
          <w:rFonts w:ascii="Arial" w:hAnsi="Arial" w:cs="Arial"/>
          <w:i/>
          <w:iCs/>
        </w:rPr>
        <w:t>before</w:t>
      </w:r>
      <w:r w:rsidR="00D26FAA" w:rsidRPr="00D9566D">
        <w:rPr>
          <w:rFonts w:ascii="Arial" w:hAnsi="Arial" w:cs="Arial"/>
        </w:rPr>
        <w:t xml:space="preserve"> being awarded the tender, they could ignore this requirement and would qualify as responsive and would be eligible to be awarded the tender</w:t>
      </w:r>
      <w:r w:rsidR="00B512EC" w:rsidRPr="00D9566D">
        <w:rPr>
          <w:rFonts w:ascii="Arial" w:hAnsi="Arial" w:cs="Arial"/>
        </w:rPr>
        <w:t xml:space="preserve">, </w:t>
      </w:r>
      <w:r w:rsidR="00D26FAA" w:rsidRPr="00D9566D">
        <w:rPr>
          <w:rFonts w:ascii="Arial" w:hAnsi="Arial" w:cs="Arial"/>
        </w:rPr>
        <w:t xml:space="preserve">as long as </w:t>
      </w:r>
      <w:r w:rsidR="00B512EC" w:rsidRPr="00D9566D">
        <w:rPr>
          <w:rFonts w:ascii="Arial" w:hAnsi="Arial" w:cs="Arial"/>
        </w:rPr>
        <w:t>they</w:t>
      </w:r>
      <w:r w:rsidR="00D26FAA" w:rsidRPr="00D9566D">
        <w:rPr>
          <w:rFonts w:ascii="Arial" w:hAnsi="Arial" w:cs="Arial"/>
        </w:rPr>
        <w:t xml:space="preserve"> </w:t>
      </w:r>
      <w:r w:rsidR="00AE5412" w:rsidRPr="00D9566D">
        <w:rPr>
          <w:rFonts w:ascii="Arial" w:hAnsi="Arial" w:cs="Arial"/>
        </w:rPr>
        <w:t xml:space="preserve">were able to </w:t>
      </w:r>
      <w:r w:rsidR="00D26FAA" w:rsidRPr="00D9566D">
        <w:rPr>
          <w:rFonts w:ascii="Arial" w:hAnsi="Arial" w:cs="Arial"/>
        </w:rPr>
        <w:t>provide a letter of good standing</w:t>
      </w:r>
      <w:r w:rsidR="00B512EC" w:rsidRPr="00D9566D">
        <w:rPr>
          <w:rFonts w:ascii="Arial" w:hAnsi="Arial" w:cs="Arial"/>
        </w:rPr>
        <w:t xml:space="preserve"> </w:t>
      </w:r>
      <w:r w:rsidR="00B512EC" w:rsidRPr="00D9566D">
        <w:rPr>
          <w:rFonts w:ascii="Arial" w:hAnsi="Arial" w:cs="Arial"/>
          <w:i/>
          <w:iCs/>
        </w:rPr>
        <w:t>after</w:t>
      </w:r>
      <w:r w:rsidR="00B512EC" w:rsidRPr="00D9566D">
        <w:rPr>
          <w:rFonts w:ascii="Arial" w:hAnsi="Arial" w:cs="Arial"/>
        </w:rPr>
        <w:t xml:space="preserve"> the tender was awarded to them</w:t>
      </w:r>
      <w:r w:rsidR="002C2D85" w:rsidRPr="00D9566D">
        <w:rPr>
          <w:rFonts w:ascii="Arial" w:hAnsi="Arial" w:cs="Arial"/>
        </w:rPr>
        <w:t xml:space="preserve">. This would potentially open the door to unregistered bidders applying for and being awarded tenders for security services and only registering as employers thereafter with the NBC, if at all. The interpretation would be manifestly unfair to the general body of </w:t>
      </w:r>
      <w:r w:rsidR="00AE5412" w:rsidRPr="00D9566D">
        <w:rPr>
          <w:rFonts w:ascii="Arial" w:hAnsi="Arial" w:cs="Arial"/>
        </w:rPr>
        <w:t>providers</w:t>
      </w:r>
      <w:r w:rsidR="002C2D85" w:rsidRPr="00D9566D">
        <w:rPr>
          <w:rFonts w:ascii="Arial" w:hAnsi="Arial" w:cs="Arial"/>
        </w:rPr>
        <w:t xml:space="preserve"> in the security service industry.</w:t>
      </w:r>
      <w:r w:rsidR="00926448" w:rsidRPr="00D9566D">
        <w:rPr>
          <w:rFonts w:ascii="Arial" w:hAnsi="Arial" w:cs="Arial"/>
        </w:rPr>
        <w:t xml:space="preserve"> In </w:t>
      </w:r>
      <w:r w:rsidR="00926448" w:rsidRPr="00D9566D">
        <w:rPr>
          <w:rFonts w:ascii="Arial" w:hAnsi="Arial" w:cs="Arial"/>
          <w:i/>
          <w:iCs/>
        </w:rPr>
        <w:t>Steenkamp</w:t>
      </w:r>
      <w:r w:rsidR="00B512EC" w:rsidRPr="00D9566D">
        <w:rPr>
          <w:rFonts w:ascii="Arial" w:hAnsi="Arial" w:cs="Arial"/>
          <w:i/>
          <w:iCs/>
        </w:rPr>
        <w:t xml:space="preserve"> </w:t>
      </w:r>
      <w:r w:rsidR="00926448" w:rsidRPr="00D9566D">
        <w:rPr>
          <w:rStyle w:val="FootnoteReference"/>
          <w:rFonts w:ascii="Arial" w:hAnsi="Arial" w:cs="Arial"/>
        </w:rPr>
        <w:footnoteReference w:id="42"/>
      </w:r>
      <w:r w:rsidR="00926448" w:rsidRPr="00D9566D">
        <w:rPr>
          <w:rFonts w:ascii="Arial" w:hAnsi="Arial" w:cs="Arial"/>
        </w:rPr>
        <w:t xml:space="preserve"> the CC </w:t>
      </w:r>
      <w:r w:rsidR="006A0610" w:rsidRPr="00D9566D">
        <w:rPr>
          <w:rFonts w:ascii="Arial" w:hAnsi="Arial" w:cs="Arial"/>
        </w:rPr>
        <w:t>emphasized</w:t>
      </w:r>
      <w:r w:rsidR="00926448" w:rsidRPr="00D9566D">
        <w:rPr>
          <w:rFonts w:ascii="Arial" w:hAnsi="Arial" w:cs="Arial"/>
        </w:rPr>
        <w:t xml:space="preserve"> that tender processes require ‘equal’ compliance by bidders on the closing day for submission of bids.</w:t>
      </w:r>
      <w:r w:rsidR="006A0610" w:rsidRPr="00D9566D">
        <w:rPr>
          <w:rFonts w:ascii="Arial" w:hAnsi="Arial" w:cs="Arial"/>
        </w:rPr>
        <w:t xml:space="preserve"> In tender 10/22 </w:t>
      </w:r>
      <w:r w:rsidR="008B2E04" w:rsidRPr="00D9566D">
        <w:rPr>
          <w:rFonts w:ascii="Arial" w:hAnsi="Arial" w:cs="Arial"/>
        </w:rPr>
        <w:t>many</w:t>
      </w:r>
      <w:r w:rsidR="006A0610" w:rsidRPr="00D9566D">
        <w:rPr>
          <w:rFonts w:ascii="Arial" w:hAnsi="Arial" w:cs="Arial"/>
        </w:rPr>
        <w:t xml:space="preserve"> bidders were disqualified for not submitting registration certificates.</w:t>
      </w:r>
      <w:r w:rsidR="008B2E04" w:rsidRPr="00D9566D">
        <w:rPr>
          <w:rFonts w:ascii="Arial" w:hAnsi="Arial" w:cs="Arial"/>
        </w:rPr>
        <w:t xml:space="preserve"> To treat the applicant differently would be improper and unfair.</w:t>
      </w:r>
      <w:r w:rsidR="006A0610" w:rsidRPr="00D9566D">
        <w:rPr>
          <w:rFonts w:ascii="Arial" w:hAnsi="Arial" w:cs="Arial"/>
        </w:rPr>
        <w:t xml:space="preserve">  </w:t>
      </w:r>
    </w:p>
    <w:p w14:paraId="0A72262B" w14:textId="2B18068A" w:rsidR="00D26FAA" w:rsidRPr="00D9566D" w:rsidRDefault="004E376F" w:rsidP="00D9566D">
      <w:pPr>
        <w:adjustRightInd w:val="0"/>
        <w:spacing w:after="0" w:line="240" w:lineRule="auto"/>
        <w:jc w:val="both"/>
        <w:textAlignment w:val="baseline"/>
        <w:rPr>
          <w:rFonts w:ascii="Arial" w:hAnsi="Arial" w:cs="Arial"/>
          <w:b/>
          <w:bCs/>
        </w:rPr>
      </w:pPr>
      <w:r w:rsidRPr="00D9566D">
        <w:rPr>
          <w:rFonts w:ascii="Arial" w:hAnsi="Arial" w:cs="Arial"/>
          <w:b/>
          <w:bCs/>
        </w:rPr>
        <w:t>Conclusion</w:t>
      </w:r>
      <w:r w:rsidR="00926448" w:rsidRPr="00D9566D">
        <w:rPr>
          <w:rFonts w:ascii="Arial" w:hAnsi="Arial" w:cs="Arial"/>
          <w:b/>
          <w:bCs/>
        </w:rPr>
        <w:t xml:space="preserve">    </w:t>
      </w:r>
    </w:p>
    <w:p w14:paraId="3041E7D4" w14:textId="0A078C1F" w:rsidR="000C2D88"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74.</w:t>
      </w:r>
      <w:r w:rsidRPr="00D9566D">
        <w:rPr>
          <w:rFonts w:ascii="Arial" w:hAnsi="Arial" w:cs="Arial"/>
        </w:rPr>
        <w:tab/>
      </w:r>
      <w:r w:rsidR="00E82ACF" w:rsidRPr="00D9566D">
        <w:rPr>
          <w:rFonts w:ascii="Arial" w:hAnsi="Arial" w:cs="Arial"/>
        </w:rPr>
        <w:t>In the circumstances the applications must both fail. As far as costs are concerned</w:t>
      </w:r>
      <w:r w:rsidR="00F165DB" w:rsidRPr="00D9566D">
        <w:rPr>
          <w:rFonts w:ascii="Arial" w:hAnsi="Arial" w:cs="Arial"/>
        </w:rPr>
        <w:t>,</w:t>
      </w:r>
      <w:r w:rsidR="00E82ACF" w:rsidRPr="00D9566D">
        <w:rPr>
          <w:rFonts w:ascii="Arial" w:hAnsi="Arial" w:cs="Arial"/>
        </w:rPr>
        <w:t xml:space="preserve"> although the applicant contended that on the basis of the principle in </w:t>
      </w:r>
      <w:r w:rsidR="00E82ACF" w:rsidRPr="00D9566D">
        <w:rPr>
          <w:rFonts w:ascii="Arial" w:hAnsi="Arial" w:cs="Arial"/>
          <w:i/>
          <w:iCs/>
        </w:rPr>
        <w:t>Biowatch</w:t>
      </w:r>
      <w:r w:rsidR="00E82ACF" w:rsidRPr="00D9566D">
        <w:rPr>
          <w:rFonts w:ascii="Arial" w:hAnsi="Arial" w:cs="Arial"/>
        </w:rPr>
        <w:t xml:space="preserve"> </w:t>
      </w:r>
      <w:r w:rsidR="00F165DB" w:rsidRPr="00D9566D">
        <w:rPr>
          <w:rFonts w:ascii="Arial" w:hAnsi="Arial" w:cs="Arial"/>
        </w:rPr>
        <w:t xml:space="preserve">it should not be mulcted in costs as it sought to vindicate its constitutional right to fair administrative action, in my view at heart the matters essentially concern the applicant’s commercial interests and there is no good reason to depart from the principle that ordinarily applies in disputes involving such </w:t>
      </w:r>
      <w:r w:rsidR="007B7F21" w:rsidRPr="00D9566D">
        <w:rPr>
          <w:rFonts w:ascii="Arial" w:hAnsi="Arial" w:cs="Arial"/>
        </w:rPr>
        <w:t>matters</w:t>
      </w:r>
      <w:r w:rsidR="00F165DB" w:rsidRPr="00D9566D">
        <w:rPr>
          <w:rFonts w:ascii="Arial" w:hAnsi="Arial" w:cs="Arial"/>
        </w:rPr>
        <w:t xml:space="preserve"> viz that costs should follow the event. </w:t>
      </w:r>
      <w:r w:rsidR="00E24AD0" w:rsidRPr="00D9566D">
        <w:rPr>
          <w:rFonts w:ascii="Arial" w:hAnsi="Arial" w:cs="Arial"/>
        </w:rPr>
        <w:t>I</w:t>
      </w:r>
      <w:r w:rsidR="00F165DB" w:rsidRPr="00D9566D">
        <w:rPr>
          <w:rFonts w:ascii="Arial" w:hAnsi="Arial" w:cs="Arial"/>
        </w:rPr>
        <w:t xml:space="preserve">n terms of the recent amendment that came into effect </w:t>
      </w:r>
      <w:r w:rsidR="007B7F21" w:rsidRPr="00D9566D">
        <w:rPr>
          <w:rFonts w:ascii="Arial" w:hAnsi="Arial" w:cs="Arial"/>
        </w:rPr>
        <w:t>on 12</w:t>
      </w:r>
      <w:r w:rsidR="00F165DB" w:rsidRPr="00D9566D">
        <w:rPr>
          <w:rFonts w:ascii="Arial" w:hAnsi="Arial" w:cs="Arial"/>
        </w:rPr>
        <w:t xml:space="preserve"> April </w:t>
      </w:r>
      <w:r w:rsidR="007B7F21" w:rsidRPr="00D9566D">
        <w:rPr>
          <w:rFonts w:ascii="Arial" w:hAnsi="Arial" w:cs="Arial"/>
        </w:rPr>
        <w:t>2024 by way of</w:t>
      </w:r>
      <w:r w:rsidR="00F165DB" w:rsidRPr="00D9566D">
        <w:rPr>
          <w:rFonts w:ascii="Arial" w:hAnsi="Arial" w:cs="Arial"/>
        </w:rPr>
        <w:t xml:space="preserve"> rule 67A</w:t>
      </w:r>
      <w:r w:rsidR="007B7F21" w:rsidRPr="00D9566D">
        <w:rPr>
          <w:rFonts w:ascii="Arial" w:hAnsi="Arial" w:cs="Arial"/>
        </w:rPr>
        <w:t xml:space="preserve">, Courts granting party-party costs orders are required to indicate which of three successively increasing scales of costs (A.B and C) are to apply. In </w:t>
      </w:r>
      <w:r w:rsidR="007B7F21" w:rsidRPr="00D9566D">
        <w:rPr>
          <w:rFonts w:ascii="Arial" w:hAnsi="Arial" w:cs="Arial"/>
          <w:i/>
          <w:iCs/>
        </w:rPr>
        <w:t>Mashavha</w:t>
      </w:r>
      <w:r w:rsidR="007B7F21" w:rsidRPr="00D9566D">
        <w:rPr>
          <w:rStyle w:val="FootnoteReference"/>
          <w:rFonts w:ascii="Arial" w:hAnsi="Arial" w:cs="Arial"/>
        </w:rPr>
        <w:footnoteReference w:id="43"/>
      </w:r>
      <w:r w:rsidR="00444AA5" w:rsidRPr="00D9566D">
        <w:rPr>
          <w:rFonts w:ascii="Arial" w:hAnsi="Arial" w:cs="Arial"/>
          <w:i/>
          <w:iCs/>
        </w:rPr>
        <w:t xml:space="preserve"> </w:t>
      </w:r>
      <w:r w:rsidR="00444AA5" w:rsidRPr="00D9566D">
        <w:rPr>
          <w:rFonts w:ascii="Arial" w:hAnsi="Arial" w:cs="Arial"/>
        </w:rPr>
        <w:t xml:space="preserve">Wilson J </w:t>
      </w:r>
      <w:r w:rsidR="00E24AD0" w:rsidRPr="00D9566D">
        <w:rPr>
          <w:rFonts w:ascii="Arial" w:hAnsi="Arial" w:cs="Arial"/>
        </w:rPr>
        <w:t xml:space="preserve">recently </w:t>
      </w:r>
      <w:r w:rsidR="00444AA5" w:rsidRPr="00D9566D">
        <w:rPr>
          <w:rFonts w:ascii="Arial" w:hAnsi="Arial" w:cs="Arial"/>
        </w:rPr>
        <w:t>held</w:t>
      </w:r>
      <w:r w:rsidR="00444AA5" w:rsidRPr="00D9566D">
        <w:rPr>
          <w:rStyle w:val="FootnoteReference"/>
          <w:rFonts w:ascii="Arial" w:hAnsi="Arial" w:cs="Arial"/>
        </w:rPr>
        <w:footnoteReference w:id="44"/>
      </w:r>
      <w:r w:rsidR="00444AA5" w:rsidRPr="00D9566D">
        <w:rPr>
          <w:rFonts w:ascii="Arial" w:hAnsi="Arial" w:cs="Arial"/>
        </w:rPr>
        <w:t xml:space="preserve"> that </w:t>
      </w:r>
      <w:r w:rsidR="00E24AD0" w:rsidRPr="00D9566D">
        <w:rPr>
          <w:rFonts w:ascii="Arial" w:hAnsi="Arial" w:cs="Arial"/>
        </w:rPr>
        <w:t xml:space="preserve">the rule should not be applied retrospectively to matters that were instituted and heard before 12 April 2024. Fees for work done before that date should be recoverable in terms of the rules that </w:t>
      </w:r>
      <w:r w:rsidR="000C2D88" w:rsidRPr="00D9566D">
        <w:rPr>
          <w:rFonts w:ascii="Arial" w:hAnsi="Arial" w:cs="Arial"/>
        </w:rPr>
        <w:t xml:space="preserve">applied before then. </w:t>
      </w:r>
    </w:p>
    <w:p w14:paraId="431700AF" w14:textId="155535FF" w:rsidR="000C2D88" w:rsidRPr="00D9566D" w:rsidRDefault="00DE2B0F" w:rsidP="00D9566D">
      <w:pPr>
        <w:adjustRightInd w:val="0"/>
        <w:spacing w:after="0" w:line="240" w:lineRule="auto"/>
        <w:ind w:left="720" w:hanging="720"/>
        <w:jc w:val="both"/>
        <w:textAlignment w:val="baseline"/>
        <w:rPr>
          <w:rFonts w:ascii="Arial" w:hAnsi="Arial" w:cs="Arial"/>
        </w:rPr>
      </w:pPr>
      <w:r w:rsidRPr="00D9566D">
        <w:rPr>
          <w:rFonts w:ascii="Arial" w:hAnsi="Arial" w:cs="Arial"/>
        </w:rPr>
        <w:t>75.</w:t>
      </w:r>
      <w:r w:rsidRPr="00D9566D">
        <w:rPr>
          <w:rFonts w:ascii="Arial" w:hAnsi="Arial" w:cs="Arial"/>
        </w:rPr>
        <w:tab/>
      </w:r>
      <w:r w:rsidR="000C2D88" w:rsidRPr="00D9566D">
        <w:rPr>
          <w:rFonts w:ascii="Arial" w:hAnsi="Arial" w:cs="Arial"/>
        </w:rPr>
        <w:t>In the result I make the following order:</w:t>
      </w:r>
    </w:p>
    <w:p w14:paraId="3AB2F359" w14:textId="77777777" w:rsidR="000C2D88" w:rsidRPr="00D9566D" w:rsidRDefault="000C2D88" w:rsidP="00D9566D">
      <w:pPr>
        <w:pStyle w:val="ListParagraph"/>
        <w:adjustRightInd w:val="0"/>
        <w:spacing w:after="0" w:line="240" w:lineRule="auto"/>
        <w:jc w:val="both"/>
        <w:textAlignment w:val="baseline"/>
        <w:rPr>
          <w:rFonts w:ascii="Arial" w:hAnsi="Arial" w:cs="Arial"/>
        </w:rPr>
      </w:pPr>
      <w:r w:rsidRPr="00D9566D">
        <w:rPr>
          <w:rFonts w:ascii="Arial" w:hAnsi="Arial" w:cs="Arial"/>
        </w:rPr>
        <w:lastRenderedPageBreak/>
        <w:t>The applications in case nos. 2501/23 and 2502/23 are dismissed with costs, including the costs of two counsel where so employed.</w:t>
      </w:r>
      <w:r w:rsidR="00E24AD0" w:rsidRPr="00D9566D">
        <w:rPr>
          <w:rFonts w:ascii="Arial" w:hAnsi="Arial" w:cs="Arial"/>
        </w:rPr>
        <w:t xml:space="preserve"> </w:t>
      </w:r>
      <w:r w:rsidR="007B7F21" w:rsidRPr="00D9566D">
        <w:rPr>
          <w:rFonts w:ascii="Arial" w:hAnsi="Arial" w:cs="Arial"/>
        </w:rPr>
        <w:t xml:space="preserve"> </w:t>
      </w:r>
      <w:r w:rsidR="00F165DB" w:rsidRPr="00D9566D">
        <w:rPr>
          <w:rFonts w:ascii="Arial" w:hAnsi="Arial" w:cs="Arial"/>
        </w:rPr>
        <w:t xml:space="preserve">     </w:t>
      </w:r>
    </w:p>
    <w:p w14:paraId="6F64C074" w14:textId="45C52C14" w:rsidR="000C2D88" w:rsidRPr="00D9566D" w:rsidRDefault="001E1373" w:rsidP="00D9566D">
      <w:pPr>
        <w:pStyle w:val="ListParagraph"/>
        <w:adjustRightInd w:val="0"/>
        <w:spacing w:after="0" w:line="240" w:lineRule="auto"/>
        <w:jc w:val="both"/>
        <w:textAlignment w:val="baseline"/>
        <w:rPr>
          <w:rFonts w:ascii="Arial" w:hAnsi="Arial" w:cs="Arial"/>
        </w:rPr>
      </w:pP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p>
    <w:p w14:paraId="13775634" w14:textId="77777777" w:rsidR="004E376F" w:rsidRPr="00D9566D" w:rsidRDefault="004E376F" w:rsidP="00D9566D">
      <w:pPr>
        <w:pStyle w:val="ListParagraph"/>
        <w:adjustRightInd w:val="0"/>
        <w:spacing w:after="0" w:line="240" w:lineRule="auto"/>
        <w:jc w:val="both"/>
        <w:textAlignment w:val="baseline"/>
        <w:rPr>
          <w:rFonts w:ascii="Arial" w:hAnsi="Arial" w:cs="Arial"/>
        </w:rPr>
      </w:pPr>
    </w:p>
    <w:p w14:paraId="0D2B88E3" w14:textId="79BCA3D7" w:rsidR="004E376F" w:rsidRPr="00D9566D" w:rsidRDefault="001E1373" w:rsidP="00D9566D">
      <w:pPr>
        <w:pStyle w:val="ListParagraph"/>
        <w:adjustRightInd w:val="0"/>
        <w:spacing w:after="0" w:line="240" w:lineRule="auto"/>
        <w:jc w:val="right"/>
        <w:textAlignment w:val="baseline"/>
        <w:rPr>
          <w:rFonts w:ascii="Arial" w:hAnsi="Arial" w:cs="Arial"/>
        </w:rPr>
      </w:pP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noProof/>
        </w:rPr>
        <w:drawing>
          <wp:inline distT="0" distB="0" distL="0" distR="0" wp14:anchorId="54E6559B" wp14:editId="6FADAA21">
            <wp:extent cx="1801882" cy="2043598"/>
            <wp:effectExtent l="0" t="0" r="8255" b="0"/>
            <wp:docPr id="1025608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08934" name="Picture 1025608934"/>
                    <pic:cNvPicPr/>
                  </pic:nvPicPr>
                  <pic:blipFill>
                    <a:blip r:embed="rId8">
                      <a:extLst>
                        <a:ext uri="{28A0092B-C50C-407E-A947-70E740481C1C}">
                          <a14:useLocalDpi xmlns:a14="http://schemas.microsoft.com/office/drawing/2010/main" val="0"/>
                        </a:ext>
                      </a:extLst>
                    </a:blip>
                    <a:stretch>
                      <a:fillRect/>
                    </a:stretch>
                  </pic:blipFill>
                  <pic:spPr>
                    <a:xfrm>
                      <a:off x="0" y="0"/>
                      <a:ext cx="1811699" cy="2054732"/>
                    </a:xfrm>
                    <a:prstGeom prst="rect">
                      <a:avLst/>
                    </a:prstGeom>
                  </pic:spPr>
                </pic:pic>
              </a:graphicData>
            </a:graphic>
          </wp:inline>
        </w:drawing>
      </w:r>
    </w:p>
    <w:p w14:paraId="5EC65CC1" w14:textId="77777777" w:rsidR="004E376F" w:rsidRPr="00D9566D" w:rsidRDefault="004E376F" w:rsidP="00D9566D">
      <w:pPr>
        <w:pStyle w:val="ListParagraph"/>
        <w:adjustRightInd w:val="0"/>
        <w:spacing w:after="0" w:line="240" w:lineRule="auto"/>
        <w:jc w:val="both"/>
        <w:textAlignment w:val="baseline"/>
        <w:rPr>
          <w:rFonts w:ascii="Arial" w:hAnsi="Arial" w:cs="Arial"/>
        </w:rPr>
      </w:pPr>
    </w:p>
    <w:p w14:paraId="4F94A554" w14:textId="77777777" w:rsidR="004E376F" w:rsidRPr="00D9566D" w:rsidRDefault="004E376F" w:rsidP="00D9566D">
      <w:pPr>
        <w:pStyle w:val="ListParagraph"/>
        <w:adjustRightInd w:val="0"/>
        <w:spacing w:after="0" w:line="240" w:lineRule="auto"/>
        <w:jc w:val="both"/>
        <w:textAlignment w:val="baseline"/>
        <w:rPr>
          <w:rFonts w:ascii="Arial" w:hAnsi="Arial" w:cs="Arial"/>
        </w:rPr>
      </w:pPr>
    </w:p>
    <w:p w14:paraId="0C3D41BE" w14:textId="77777777" w:rsidR="000C2D88" w:rsidRPr="00D9566D" w:rsidRDefault="000C2D88" w:rsidP="00D9566D">
      <w:pPr>
        <w:pStyle w:val="ListParagraph"/>
        <w:adjustRightInd w:val="0"/>
        <w:spacing w:after="0" w:line="240" w:lineRule="auto"/>
        <w:jc w:val="both"/>
        <w:textAlignment w:val="baseline"/>
        <w:rPr>
          <w:rFonts w:ascii="Arial" w:hAnsi="Arial" w:cs="Arial"/>
        </w:rPr>
      </w:pPr>
    </w:p>
    <w:p w14:paraId="4E8AA3CC" w14:textId="77777777" w:rsidR="000C2D88" w:rsidRPr="00D9566D" w:rsidRDefault="000C2D88" w:rsidP="00D9566D">
      <w:pPr>
        <w:pStyle w:val="ListParagraph"/>
        <w:adjustRightInd w:val="0"/>
        <w:spacing w:after="0" w:line="240" w:lineRule="auto"/>
        <w:jc w:val="both"/>
        <w:textAlignment w:val="baseline"/>
        <w:rPr>
          <w:rFonts w:ascii="Arial" w:hAnsi="Arial" w:cs="Arial"/>
          <w:b/>
          <w:bCs/>
        </w:rPr>
      </w:pP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b/>
          <w:bCs/>
        </w:rPr>
        <w:t>M SHER</w:t>
      </w:r>
    </w:p>
    <w:p w14:paraId="0EEBECD2" w14:textId="5D762379" w:rsidR="004E376F" w:rsidRPr="00D9566D" w:rsidRDefault="000C2D88" w:rsidP="00D9566D">
      <w:pPr>
        <w:pStyle w:val="ListParagraph"/>
        <w:adjustRightInd w:val="0"/>
        <w:spacing w:after="0" w:line="240" w:lineRule="auto"/>
        <w:jc w:val="both"/>
        <w:textAlignment w:val="baseline"/>
        <w:rPr>
          <w:rFonts w:ascii="Arial" w:hAnsi="Arial" w:cs="Arial"/>
          <w:b/>
          <w:bCs/>
        </w:rPr>
      </w:pP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rPr>
        <w:tab/>
      </w:r>
      <w:r w:rsidRPr="00D9566D">
        <w:rPr>
          <w:rFonts w:ascii="Arial" w:hAnsi="Arial" w:cs="Arial"/>
          <w:b/>
          <w:bCs/>
        </w:rPr>
        <w:t>Judge of the High Court</w:t>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r>
      <w:r w:rsidR="001E1373" w:rsidRPr="00D9566D">
        <w:rPr>
          <w:rFonts w:ascii="Arial" w:hAnsi="Arial" w:cs="Arial"/>
          <w:b/>
          <w:bCs/>
        </w:rPr>
        <w:tab/>
        <w:t>(Digital signature)</w:t>
      </w:r>
      <w:r w:rsidR="00E82ACF" w:rsidRPr="00D9566D">
        <w:rPr>
          <w:rFonts w:ascii="Arial" w:hAnsi="Arial" w:cs="Arial"/>
          <w:b/>
          <w:bCs/>
        </w:rPr>
        <w:t xml:space="preserve"> </w:t>
      </w:r>
    </w:p>
    <w:p w14:paraId="00862216" w14:textId="77777777" w:rsidR="004E376F" w:rsidRPr="00D9566D" w:rsidRDefault="004E376F" w:rsidP="00D9566D">
      <w:pPr>
        <w:pStyle w:val="ListParagraph"/>
        <w:adjustRightInd w:val="0"/>
        <w:spacing w:after="0" w:line="240" w:lineRule="auto"/>
        <w:jc w:val="both"/>
        <w:textAlignment w:val="baseline"/>
        <w:rPr>
          <w:rFonts w:ascii="Arial" w:hAnsi="Arial" w:cs="Arial"/>
          <w:b/>
          <w:bCs/>
        </w:rPr>
      </w:pPr>
    </w:p>
    <w:p w14:paraId="74783254" w14:textId="77777777" w:rsidR="000B7686" w:rsidRPr="00D9566D" w:rsidRDefault="000B7686" w:rsidP="00D9566D">
      <w:pPr>
        <w:spacing w:after="0" w:line="240" w:lineRule="auto"/>
        <w:jc w:val="both"/>
        <w:rPr>
          <w:rFonts w:ascii="Arial" w:eastAsia="Times New Roman" w:hAnsi="Arial" w:cs="Arial"/>
          <w:b/>
          <w:kern w:val="0"/>
          <w:u w:val="single"/>
          <w:lang w:val="en-ZA" w:eastAsia="en-ZA"/>
          <w14:ligatures w14:val="none"/>
        </w:rPr>
      </w:pPr>
    </w:p>
    <w:p w14:paraId="39524F03" w14:textId="77777777" w:rsidR="000B7686" w:rsidRPr="00D9566D" w:rsidRDefault="000B7686" w:rsidP="00D9566D">
      <w:pPr>
        <w:spacing w:after="0" w:line="240" w:lineRule="auto"/>
        <w:jc w:val="both"/>
        <w:rPr>
          <w:rFonts w:ascii="Arial" w:eastAsia="Times New Roman" w:hAnsi="Arial" w:cs="Arial"/>
          <w:b/>
          <w:kern w:val="0"/>
          <w:u w:val="single"/>
          <w:lang w:val="en-ZA" w:eastAsia="en-ZA"/>
          <w14:ligatures w14:val="none"/>
        </w:rPr>
      </w:pPr>
    </w:p>
    <w:p w14:paraId="1BD36694" w14:textId="77777777" w:rsidR="000B7686" w:rsidRPr="00D9566D" w:rsidRDefault="000B7686" w:rsidP="00D9566D">
      <w:pPr>
        <w:spacing w:after="0" w:line="240" w:lineRule="auto"/>
        <w:jc w:val="both"/>
        <w:rPr>
          <w:rFonts w:ascii="Arial" w:eastAsia="Times New Roman" w:hAnsi="Arial" w:cs="Arial"/>
          <w:b/>
          <w:kern w:val="0"/>
          <w:u w:val="single"/>
          <w:lang w:val="en-ZA" w:eastAsia="en-ZA"/>
          <w14:ligatures w14:val="none"/>
        </w:rPr>
      </w:pPr>
    </w:p>
    <w:p w14:paraId="2DC39D68" w14:textId="77777777" w:rsidR="000B7686" w:rsidRPr="00D9566D" w:rsidRDefault="000B7686" w:rsidP="00D9566D">
      <w:pPr>
        <w:spacing w:after="0" w:line="240" w:lineRule="auto"/>
        <w:jc w:val="both"/>
        <w:rPr>
          <w:rFonts w:ascii="Arial" w:eastAsia="Times New Roman" w:hAnsi="Arial" w:cs="Arial"/>
          <w:b/>
          <w:kern w:val="0"/>
          <w:u w:val="single"/>
          <w:lang w:val="en-ZA" w:eastAsia="en-ZA"/>
          <w14:ligatures w14:val="none"/>
        </w:rPr>
      </w:pPr>
    </w:p>
    <w:p w14:paraId="5A101D54" w14:textId="18130C17" w:rsidR="000B7686" w:rsidRPr="00D9566D" w:rsidRDefault="000B7686" w:rsidP="00D9566D">
      <w:pPr>
        <w:spacing w:after="0" w:line="240" w:lineRule="auto"/>
        <w:jc w:val="both"/>
        <w:rPr>
          <w:rFonts w:ascii="Arial" w:eastAsia="Times New Roman" w:hAnsi="Arial" w:cs="Arial"/>
          <w:b/>
          <w:kern w:val="0"/>
          <w:lang w:val="en-ZA" w:eastAsia="en-ZA"/>
          <w14:ligatures w14:val="none"/>
        </w:rPr>
      </w:pPr>
      <w:r w:rsidRPr="00D9566D">
        <w:rPr>
          <w:rFonts w:ascii="Arial" w:eastAsia="Times New Roman" w:hAnsi="Arial" w:cs="Arial"/>
          <w:b/>
          <w:kern w:val="0"/>
          <w:u w:val="single"/>
          <w:lang w:val="en-ZA" w:eastAsia="en-ZA"/>
          <w14:ligatures w14:val="none"/>
        </w:rPr>
        <w:t>Appearances</w:t>
      </w:r>
      <w:r w:rsidRPr="00D9566D">
        <w:rPr>
          <w:rFonts w:ascii="Arial" w:eastAsia="Times New Roman" w:hAnsi="Arial" w:cs="Arial"/>
          <w:b/>
          <w:kern w:val="0"/>
          <w:lang w:val="en-ZA" w:eastAsia="en-ZA"/>
          <w14:ligatures w14:val="none"/>
        </w:rPr>
        <w:t>:</w:t>
      </w:r>
    </w:p>
    <w:p w14:paraId="37420365" w14:textId="0FAAAD9F" w:rsidR="000B7686" w:rsidRPr="00D9566D" w:rsidRDefault="000B7686" w:rsidP="00D9566D">
      <w:pPr>
        <w:spacing w:after="0" w:line="240" w:lineRule="auto"/>
        <w:jc w:val="both"/>
        <w:rPr>
          <w:rFonts w:ascii="Arial" w:eastAsia="Times New Roman" w:hAnsi="Arial" w:cs="Arial"/>
          <w:bCs/>
          <w:kern w:val="0"/>
          <w:lang w:val="en-ZA" w:eastAsia="en-ZA"/>
          <w14:ligatures w14:val="none"/>
        </w:rPr>
      </w:pPr>
      <w:r w:rsidRPr="00D9566D">
        <w:rPr>
          <w:rFonts w:ascii="Arial" w:eastAsia="Times New Roman" w:hAnsi="Arial" w:cs="Arial"/>
          <w:bCs/>
          <w:kern w:val="0"/>
          <w:lang w:val="en-ZA" w:eastAsia="en-ZA"/>
          <w14:ligatures w14:val="none"/>
        </w:rPr>
        <w:t>App</w:t>
      </w:r>
      <w:r w:rsidR="009924CC" w:rsidRPr="00D9566D">
        <w:rPr>
          <w:rFonts w:ascii="Arial" w:eastAsia="Times New Roman" w:hAnsi="Arial" w:cs="Arial"/>
          <w:bCs/>
          <w:kern w:val="0"/>
          <w:lang w:val="en-ZA" w:eastAsia="en-ZA"/>
          <w14:ligatures w14:val="none"/>
        </w:rPr>
        <w:t>lic</w:t>
      </w:r>
      <w:r w:rsidRPr="00D9566D">
        <w:rPr>
          <w:rFonts w:ascii="Arial" w:eastAsia="Times New Roman" w:hAnsi="Arial" w:cs="Arial"/>
          <w:bCs/>
          <w:kern w:val="0"/>
          <w:lang w:val="en-ZA" w:eastAsia="en-ZA"/>
          <w14:ligatures w14:val="none"/>
        </w:rPr>
        <w:t>ant’s counsel: DC Joubert SC and D Lubbe</w:t>
      </w:r>
    </w:p>
    <w:p w14:paraId="7A891866" w14:textId="20178253" w:rsidR="000B7686" w:rsidRPr="00D9566D" w:rsidRDefault="000B7686" w:rsidP="00D9566D">
      <w:pPr>
        <w:spacing w:after="0" w:line="240" w:lineRule="auto"/>
        <w:jc w:val="both"/>
        <w:rPr>
          <w:rFonts w:ascii="Arial" w:eastAsia="Times New Roman" w:hAnsi="Arial" w:cs="Arial"/>
          <w:bCs/>
          <w:kern w:val="0"/>
          <w:lang w:val="en-ZA" w:eastAsia="en-ZA"/>
          <w14:ligatures w14:val="none"/>
        </w:rPr>
      </w:pPr>
      <w:r w:rsidRPr="00D9566D">
        <w:rPr>
          <w:rFonts w:ascii="Arial" w:eastAsia="Times New Roman" w:hAnsi="Arial" w:cs="Arial"/>
          <w:bCs/>
          <w:kern w:val="0"/>
          <w:lang w:val="en-ZA" w:eastAsia="en-ZA"/>
          <w14:ligatures w14:val="none"/>
        </w:rPr>
        <w:t>Appl</w:t>
      </w:r>
      <w:r w:rsidR="009924CC" w:rsidRPr="00D9566D">
        <w:rPr>
          <w:rFonts w:ascii="Arial" w:eastAsia="Times New Roman" w:hAnsi="Arial" w:cs="Arial"/>
          <w:bCs/>
          <w:kern w:val="0"/>
          <w:lang w:val="en-ZA" w:eastAsia="en-ZA"/>
          <w14:ligatures w14:val="none"/>
        </w:rPr>
        <w:t>ic</w:t>
      </w:r>
      <w:r w:rsidRPr="00D9566D">
        <w:rPr>
          <w:rFonts w:ascii="Arial" w:eastAsia="Times New Roman" w:hAnsi="Arial" w:cs="Arial"/>
          <w:bCs/>
          <w:kern w:val="0"/>
          <w:lang w:val="en-ZA" w:eastAsia="en-ZA"/>
          <w14:ligatures w14:val="none"/>
        </w:rPr>
        <w:t>ant’s attorneys: D Kotze Attorneys (Bellville)</w:t>
      </w:r>
    </w:p>
    <w:p w14:paraId="67D49FD4" w14:textId="510DA3F7" w:rsidR="000B7686" w:rsidRPr="00D9566D" w:rsidRDefault="000B7686" w:rsidP="00D9566D">
      <w:pPr>
        <w:spacing w:after="0" w:line="240" w:lineRule="auto"/>
        <w:jc w:val="both"/>
        <w:rPr>
          <w:rFonts w:ascii="Arial" w:eastAsia="Times New Roman" w:hAnsi="Arial" w:cs="Arial"/>
          <w:bCs/>
          <w:kern w:val="0"/>
          <w:lang w:val="en-ZA" w:eastAsia="en-ZA"/>
          <w14:ligatures w14:val="none"/>
        </w:rPr>
      </w:pPr>
      <w:r w:rsidRPr="00D9566D">
        <w:rPr>
          <w:rFonts w:ascii="Arial" w:eastAsia="Times New Roman" w:hAnsi="Arial" w:cs="Arial"/>
          <w:bCs/>
          <w:kern w:val="0"/>
          <w:lang w:val="en-ZA" w:eastAsia="en-ZA"/>
          <w14:ligatures w14:val="none"/>
        </w:rPr>
        <w:t>First -Third Respondents’ counsel: T Masuku, T Sarkas and L Matiso</w:t>
      </w:r>
    </w:p>
    <w:p w14:paraId="07042C96" w14:textId="7F3071C7" w:rsidR="00F864DA" w:rsidRPr="00D9566D" w:rsidRDefault="000B7686" w:rsidP="00D9566D">
      <w:pPr>
        <w:spacing w:after="0" w:line="240" w:lineRule="auto"/>
        <w:jc w:val="both"/>
        <w:rPr>
          <w:rFonts w:ascii="Arial" w:hAnsi="Arial" w:cs="Arial"/>
          <w:b/>
          <w:bCs/>
        </w:rPr>
      </w:pPr>
      <w:r w:rsidRPr="00D9566D">
        <w:rPr>
          <w:rFonts w:ascii="Arial" w:eastAsia="Times New Roman" w:hAnsi="Arial" w:cs="Arial"/>
          <w:bCs/>
          <w:kern w:val="0"/>
          <w:lang w:val="en-ZA" w:eastAsia="en-ZA"/>
          <w14:ligatures w14:val="none"/>
        </w:rPr>
        <w:t xml:space="preserve">First -Third Respondents’ attorneys: State Attorney (Cape Town) </w:t>
      </w:r>
      <w:r w:rsidR="00E82ACF" w:rsidRPr="00D9566D">
        <w:rPr>
          <w:rFonts w:ascii="Arial" w:hAnsi="Arial" w:cs="Arial"/>
          <w:b/>
          <w:bCs/>
        </w:rPr>
        <w:t xml:space="preserve">  </w:t>
      </w:r>
    </w:p>
    <w:sectPr w:rsidR="00F864DA" w:rsidRPr="00D9566D" w:rsidSect="00E40787">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9BF9D" w14:textId="77777777" w:rsidR="009F7431" w:rsidRDefault="009F7431" w:rsidP="00E40787">
      <w:pPr>
        <w:spacing w:after="0" w:line="240" w:lineRule="auto"/>
      </w:pPr>
      <w:r>
        <w:separator/>
      </w:r>
    </w:p>
  </w:endnote>
  <w:endnote w:type="continuationSeparator" w:id="0">
    <w:p w14:paraId="257B35E9" w14:textId="77777777" w:rsidR="009F7431" w:rsidRDefault="009F7431" w:rsidP="00E4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08EB3" w14:textId="77777777" w:rsidR="009F7431" w:rsidRDefault="009F7431" w:rsidP="00E40787">
      <w:pPr>
        <w:spacing w:after="0" w:line="240" w:lineRule="auto"/>
      </w:pPr>
      <w:r>
        <w:separator/>
      </w:r>
    </w:p>
  </w:footnote>
  <w:footnote w:type="continuationSeparator" w:id="0">
    <w:p w14:paraId="24A58CB3" w14:textId="77777777" w:rsidR="009F7431" w:rsidRDefault="009F7431" w:rsidP="00E40787">
      <w:pPr>
        <w:spacing w:after="0" w:line="240" w:lineRule="auto"/>
      </w:pPr>
      <w:r>
        <w:continuationSeparator/>
      </w:r>
    </w:p>
  </w:footnote>
  <w:footnote w:id="1">
    <w:p w14:paraId="598D7AB5" w14:textId="6D843B90" w:rsidR="007D114B" w:rsidRPr="007D114B" w:rsidRDefault="007D114B">
      <w:pPr>
        <w:pStyle w:val="FootnoteText"/>
        <w:rPr>
          <w:lang w:val="en-ZA"/>
        </w:rPr>
      </w:pPr>
      <w:r>
        <w:rPr>
          <w:rStyle w:val="FootnoteReference"/>
        </w:rPr>
        <w:footnoteRef/>
      </w:r>
      <w:r>
        <w:t xml:space="preserve"> </w:t>
      </w:r>
      <w:r>
        <w:rPr>
          <w:lang w:val="en-ZA"/>
        </w:rPr>
        <w:t>Act 3 of 2000.</w:t>
      </w:r>
    </w:p>
  </w:footnote>
  <w:footnote w:id="2">
    <w:p w14:paraId="1F4C6792" w14:textId="77777777" w:rsidR="000F0DAF" w:rsidRDefault="000F0DAF" w:rsidP="000F0DAF">
      <w:pPr>
        <w:pStyle w:val="FootnoteText"/>
      </w:pPr>
      <w:r>
        <w:rPr>
          <w:rStyle w:val="FootnoteReference"/>
        </w:rPr>
        <w:footnoteRef/>
      </w:r>
      <w:r>
        <w:t xml:space="preserve"> </w:t>
      </w:r>
      <w:r w:rsidRPr="00140643">
        <w:rPr>
          <w:i/>
          <w:iCs/>
        </w:rPr>
        <w:t xml:space="preserve">Chief Executive Officer, SA Social Security Agency &amp; Ors v Cash Paymaster Services (Pty) Ltd </w:t>
      </w:r>
      <w:r>
        <w:t xml:space="preserve">2012(1) SA 216 (SCA) para 15; </w:t>
      </w:r>
      <w:r w:rsidRPr="00140643">
        <w:rPr>
          <w:i/>
          <w:iCs/>
        </w:rPr>
        <w:t>AllPay Consolidated Investment Holdings (Pty) Ltd v Chief Executive Officer, SA Social Security Agency</w:t>
      </w:r>
      <w:r>
        <w:t xml:space="preserve"> 2014 (1) SA 604 (CC) para 38; </w:t>
      </w:r>
      <w:r w:rsidRPr="00140643">
        <w:rPr>
          <w:i/>
          <w:iCs/>
        </w:rPr>
        <w:t>Westinghouse Electric Belgium SA v Eskom Holdings (SOC)</w:t>
      </w:r>
      <w:r>
        <w:t xml:space="preserve"> 2016 (3) SA 1 (SCA) para 43. </w:t>
      </w:r>
    </w:p>
  </w:footnote>
  <w:footnote w:id="3">
    <w:p w14:paraId="0E9C8951" w14:textId="77777777" w:rsidR="007E77F5" w:rsidRDefault="007E77F5" w:rsidP="007E77F5">
      <w:pPr>
        <w:pStyle w:val="FootnoteText"/>
      </w:pPr>
      <w:r>
        <w:rPr>
          <w:rStyle w:val="FootnoteReference"/>
        </w:rPr>
        <w:footnoteRef/>
      </w:r>
      <w:r>
        <w:t xml:space="preserve"> Act 5 of 2008.</w:t>
      </w:r>
    </w:p>
  </w:footnote>
  <w:footnote w:id="4">
    <w:p w14:paraId="264CB275" w14:textId="77777777" w:rsidR="007E77F5" w:rsidRDefault="007E77F5" w:rsidP="007E77F5">
      <w:pPr>
        <w:pStyle w:val="FootnoteText"/>
      </w:pPr>
      <w:r>
        <w:rPr>
          <w:rStyle w:val="FootnoteReference"/>
        </w:rPr>
        <w:footnoteRef/>
      </w:r>
      <w:r>
        <w:t xml:space="preserve"> Act 1 of 1999.</w:t>
      </w:r>
    </w:p>
  </w:footnote>
  <w:footnote w:id="5">
    <w:p w14:paraId="6766F7A9" w14:textId="77777777" w:rsidR="007E77F5" w:rsidRDefault="007E77F5" w:rsidP="007E77F5">
      <w:pPr>
        <w:pStyle w:val="FootnoteText"/>
      </w:pPr>
      <w:r>
        <w:rPr>
          <w:rStyle w:val="FootnoteReference"/>
        </w:rPr>
        <w:footnoteRef/>
      </w:r>
      <w:r>
        <w:t xml:space="preserve"> Act 32 of 2000.</w:t>
      </w:r>
    </w:p>
  </w:footnote>
  <w:footnote w:id="6">
    <w:p w14:paraId="74380155" w14:textId="77777777" w:rsidR="007E77F5" w:rsidRDefault="007E77F5" w:rsidP="007E77F5">
      <w:pPr>
        <w:pStyle w:val="FootnoteText"/>
      </w:pPr>
      <w:r>
        <w:rPr>
          <w:rStyle w:val="FootnoteReference"/>
        </w:rPr>
        <w:footnoteRef/>
      </w:r>
      <w:r>
        <w:t xml:space="preserve"> Act 56 of 2003. </w:t>
      </w:r>
    </w:p>
  </w:footnote>
  <w:footnote w:id="7">
    <w:p w14:paraId="23980C26" w14:textId="4D9AF2A0" w:rsidR="007E77F5" w:rsidRPr="005E6B3F" w:rsidRDefault="007E77F5" w:rsidP="007E77F5">
      <w:pPr>
        <w:pStyle w:val="FootnoteText"/>
        <w:rPr>
          <w:lang w:val="en-ZA"/>
        </w:rPr>
      </w:pPr>
      <w:r>
        <w:rPr>
          <w:rStyle w:val="FootnoteReference"/>
        </w:rPr>
        <w:footnoteRef/>
      </w:r>
      <w:r>
        <w:t xml:space="preserve"> </w:t>
      </w:r>
      <w:r w:rsidR="00413AF7">
        <w:t>I</w:t>
      </w:r>
      <w:r>
        <w:t>nclud</w:t>
      </w:r>
      <w:r w:rsidR="00413AF7">
        <w:t>ing</w:t>
      </w:r>
      <w:r>
        <w:t xml:space="preserve"> the Preferential Procurement Regulations promulgated in terms of the PPFA, the Treasury regulations promulgated in terms of the PFMA, and the Municipal Supply Chain Management Regulations promulgated in terms of the MFMA.</w:t>
      </w:r>
    </w:p>
  </w:footnote>
  <w:footnote w:id="8">
    <w:p w14:paraId="1B16C16F" w14:textId="77777777" w:rsidR="007E77F5" w:rsidRPr="00CA33B0" w:rsidRDefault="007E77F5" w:rsidP="007E77F5">
      <w:pPr>
        <w:pStyle w:val="FootnoteText"/>
        <w:rPr>
          <w:lang w:val="en-ZA"/>
        </w:rPr>
      </w:pPr>
      <w:r>
        <w:rPr>
          <w:rStyle w:val="FootnoteReference"/>
        </w:rPr>
        <w:footnoteRef/>
      </w:r>
      <w:r>
        <w:t xml:space="preserve"> </w:t>
      </w:r>
      <w:r w:rsidRPr="00CA33B0">
        <w:rPr>
          <w:i/>
          <w:iCs/>
        </w:rPr>
        <w:t>Tetra Mobile Radio (Pty) Ltd v MEC, Department of Works &amp; Ors</w:t>
      </w:r>
      <w:r>
        <w:rPr>
          <w:i/>
          <w:iCs/>
        </w:rPr>
        <w:t xml:space="preserve"> </w:t>
      </w:r>
      <w:r>
        <w:t>2008 (1) SA 438 (SCA) para 10.</w:t>
      </w:r>
    </w:p>
  </w:footnote>
  <w:footnote w:id="9">
    <w:p w14:paraId="53077892" w14:textId="3667629B" w:rsidR="007E77F5" w:rsidRPr="00740297" w:rsidRDefault="007E77F5" w:rsidP="007E77F5">
      <w:pPr>
        <w:pStyle w:val="FootnoteText"/>
        <w:rPr>
          <w:lang w:val="en-ZA"/>
        </w:rPr>
      </w:pPr>
      <w:r>
        <w:rPr>
          <w:rStyle w:val="FootnoteReference"/>
        </w:rPr>
        <w:footnoteRef/>
      </w:r>
      <w:r>
        <w:t xml:space="preserve"> </w:t>
      </w:r>
      <w:r w:rsidRPr="000F2A58">
        <w:rPr>
          <w:i/>
          <w:iCs/>
          <w:lang w:val="en-ZA"/>
        </w:rPr>
        <w:t xml:space="preserve">AllPay </w:t>
      </w:r>
      <w:r w:rsidR="00504F4C">
        <w:rPr>
          <w:lang w:val="en-ZA"/>
        </w:rPr>
        <w:t>n 2</w:t>
      </w:r>
      <w:r>
        <w:rPr>
          <w:lang w:val="en-ZA"/>
        </w:rPr>
        <w:t xml:space="preserve"> </w:t>
      </w:r>
      <w:r w:rsidRPr="00504F4C">
        <w:rPr>
          <w:i/>
          <w:iCs/>
          <w:lang w:val="en-ZA"/>
        </w:rPr>
        <w:t>para</w:t>
      </w:r>
      <w:r>
        <w:rPr>
          <w:lang w:val="en-ZA"/>
        </w:rPr>
        <w:t xml:space="preserve"> 42. </w:t>
      </w:r>
    </w:p>
  </w:footnote>
  <w:footnote w:id="10">
    <w:p w14:paraId="7FEDC137" w14:textId="40358E8B" w:rsidR="007E77F5" w:rsidRPr="00913C81" w:rsidRDefault="007E77F5" w:rsidP="007E77F5">
      <w:pPr>
        <w:pStyle w:val="FootnoteText"/>
        <w:rPr>
          <w:lang w:val="en-ZA"/>
        </w:rPr>
      </w:pPr>
      <w:r>
        <w:rPr>
          <w:rStyle w:val="FootnoteReference"/>
        </w:rPr>
        <w:footnoteRef/>
      </w:r>
      <w:r w:rsidR="003F29DC">
        <w:rPr>
          <w:lang w:val="en-ZA"/>
        </w:rPr>
        <w:t xml:space="preserve"> </w:t>
      </w:r>
      <w:r w:rsidR="003F29DC" w:rsidRPr="00913C81">
        <w:rPr>
          <w:i/>
          <w:iCs/>
        </w:rPr>
        <w:t xml:space="preserve">Premier, Free State &amp; Ors v </w:t>
      </w:r>
      <w:r w:rsidR="003F29DC" w:rsidRPr="00913C81">
        <w:rPr>
          <w:i/>
          <w:iCs/>
          <w:lang w:val="en-ZA"/>
        </w:rPr>
        <w:t>Firechem Free State (Pty) Ltd</w:t>
      </w:r>
      <w:r w:rsidR="003F29DC">
        <w:rPr>
          <w:lang w:val="en-ZA"/>
        </w:rPr>
        <w:t xml:space="preserve"> 2000 (4) SA 413 (SCA) para 30.</w:t>
      </w:r>
    </w:p>
  </w:footnote>
  <w:footnote w:id="11">
    <w:p w14:paraId="159D2C5B" w14:textId="00DD9CD8" w:rsidR="00133AE4" w:rsidRPr="00133AE4" w:rsidRDefault="00133AE4">
      <w:pPr>
        <w:pStyle w:val="FootnoteText"/>
        <w:rPr>
          <w:lang w:val="en-ZA"/>
        </w:rPr>
      </w:pPr>
      <w:r>
        <w:rPr>
          <w:rStyle w:val="FootnoteReference"/>
        </w:rPr>
        <w:footnoteRef/>
      </w:r>
      <w:r>
        <w:t xml:space="preserve"> </w:t>
      </w:r>
      <w:r w:rsidRPr="000D6BE5">
        <w:rPr>
          <w:i/>
          <w:iCs/>
          <w:lang w:val="en-ZA"/>
        </w:rPr>
        <w:t>Metro Projects CC &amp; Ano v Klerksdorp Local Municipality &amp; Ors</w:t>
      </w:r>
      <w:r>
        <w:rPr>
          <w:lang w:val="en-ZA"/>
        </w:rPr>
        <w:t xml:space="preserve"> 2004 (1) SA 16 (SCA) para 13.</w:t>
      </w:r>
    </w:p>
  </w:footnote>
  <w:footnote w:id="12">
    <w:p w14:paraId="5A929A28" w14:textId="7789BD8E" w:rsidR="007E77F5" w:rsidRPr="008861E6" w:rsidRDefault="007E77F5" w:rsidP="007E77F5">
      <w:pPr>
        <w:pStyle w:val="FootnoteText"/>
        <w:rPr>
          <w:lang w:val="en-ZA"/>
        </w:rPr>
      </w:pPr>
      <w:r>
        <w:rPr>
          <w:rStyle w:val="FootnoteReference"/>
        </w:rPr>
        <w:footnoteRef/>
      </w:r>
      <w:r>
        <w:t xml:space="preserve"> </w:t>
      </w:r>
      <w:r w:rsidRPr="008861E6">
        <w:rPr>
          <w:i/>
          <w:iCs/>
          <w:lang w:val="en-ZA"/>
        </w:rPr>
        <w:t xml:space="preserve">AllPay </w:t>
      </w:r>
      <w:r>
        <w:rPr>
          <w:lang w:val="en-ZA"/>
        </w:rPr>
        <w:t xml:space="preserve">n </w:t>
      </w:r>
      <w:r w:rsidR="00504F4C">
        <w:rPr>
          <w:lang w:val="en-ZA"/>
        </w:rPr>
        <w:t>2</w:t>
      </w:r>
      <w:r>
        <w:rPr>
          <w:lang w:val="en-ZA"/>
        </w:rPr>
        <w:t xml:space="preserve"> para 43.</w:t>
      </w:r>
    </w:p>
  </w:footnote>
  <w:footnote w:id="13">
    <w:p w14:paraId="2042261E" w14:textId="5B78051C" w:rsidR="00135A26" w:rsidRDefault="00135A26">
      <w:pPr>
        <w:pStyle w:val="FootnoteText"/>
      </w:pPr>
      <w:r>
        <w:rPr>
          <w:rStyle w:val="FootnoteReference"/>
        </w:rPr>
        <w:footnoteRef/>
      </w:r>
      <w:r>
        <w:t xml:space="preserve"> </w:t>
      </w:r>
      <w:r w:rsidR="003F29DC">
        <w:t>N</w:t>
      </w:r>
      <w:r>
        <w:t>ote 1</w:t>
      </w:r>
      <w:r w:rsidR="00133AE4">
        <w:t>1</w:t>
      </w:r>
      <w:r>
        <w:t>.</w:t>
      </w:r>
    </w:p>
  </w:footnote>
  <w:footnote w:id="14">
    <w:p w14:paraId="6B546B39" w14:textId="16F453F8" w:rsidR="00A4209F" w:rsidRPr="00A4209F" w:rsidRDefault="00A4209F">
      <w:pPr>
        <w:pStyle w:val="FootnoteText"/>
        <w:rPr>
          <w:lang w:val="en-ZA"/>
        </w:rPr>
      </w:pPr>
      <w:r>
        <w:rPr>
          <w:rStyle w:val="FootnoteReference"/>
        </w:rPr>
        <w:footnoteRef/>
      </w:r>
      <w:r>
        <w:t xml:space="preserve"> </w:t>
      </w:r>
      <w:r>
        <w:rPr>
          <w:lang w:val="en-ZA"/>
        </w:rPr>
        <w:t>Section 1.</w:t>
      </w:r>
    </w:p>
  </w:footnote>
  <w:footnote w:id="15">
    <w:p w14:paraId="18288F15" w14:textId="10EE4CA2" w:rsidR="00AB39D5" w:rsidRPr="00AB39D5" w:rsidRDefault="00AB39D5">
      <w:pPr>
        <w:pStyle w:val="FootnoteText"/>
        <w:rPr>
          <w:i/>
          <w:iCs/>
          <w:lang w:val="en-ZA"/>
        </w:rPr>
      </w:pPr>
      <w:r>
        <w:rPr>
          <w:rStyle w:val="FootnoteReference"/>
        </w:rPr>
        <w:footnoteRef/>
      </w:r>
      <w:r>
        <w:t xml:space="preserve"> </w:t>
      </w:r>
      <w:r>
        <w:rPr>
          <w:i/>
          <w:iCs/>
          <w:lang w:val="en-ZA"/>
        </w:rPr>
        <w:t xml:space="preserve">Millennium Waste Management </w:t>
      </w:r>
      <w:r w:rsidR="00070841">
        <w:rPr>
          <w:i/>
          <w:iCs/>
          <w:lang w:val="en-ZA"/>
        </w:rPr>
        <w:t xml:space="preserve">v Chairperson, Tender Board </w:t>
      </w:r>
      <w:r w:rsidR="00070841">
        <w:rPr>
          <w:lang w:val="en-ZA"/>
        </w:rPr>
        <w:t>2008 (2) SA 481 (SCA).</w:t>
      </w:r>
      <w:r w:rsidR="00070841">
        <w:rPr>
          <w:i/>
          <w:iCs/>
          <w:lang w:val="en-ZA"/>
        </w:rPr>
        <w:t xml:space="preserve"> </w:t>
      </w:r>
    </w:p>
  </w:footnote>
  <w:footnote w:id="16">
    <w:p w14:paraId="6188CFDE" w14:textId="47C62B7D" w:rsidR="008C7158" w:rsidRPr="008C7158" w:rsidRDefault="008C7158">
      <w:pPr>
        <w:pStyle w:val="FootnoteText"/>
        <w:rPr>
          <w:lang w:val="en-ZA"/>
        </w:rPr>
      </w:pPr>
      <w:r>
        <w:rPr>
          <w:rStyle w:val="FootnoteReference"/>
        </w:rPr>
        <w:footnoteRef/>
      </w:r>
      <w:r>
        <w:t xml:space="preserve"> </w:t>
      </w:r>
      <w:r w:rsidRPr="008C7158">
        <w:rPr>
          <w:i/>
          <w:iCs/>
          <w:lang w:val="en-ZA"/>
        </w:rPr>
        <w:t xml:space="preserve">Chairperson; Standing Tender Committee &amp; Ors v JFE Sapela Electronics (Pty) </w:t>
      </w:r>
      <w:r w:rsidR="00DD0485" w:rsidRPr="008C7158">
        <w:rPr>
          <w:i/>
          <w:iCs/>
          <w:lang w:val="en-ZA"/>
        </w:rPr>
        <w:t>Ltd</w:t>
      </w:r>
      <w:r w:rsidR="00DD0485">
        <w:rPr>
          <w:lang w:val="en-ZA"/>
        </w:rPr>
        <w:t xml:space="preserve"> [</w:t>
      </w:r>
      <w:r>
        <w:rPr>
          <w:lang w:val="en-ZA"/>
        </w:rPr>
        <w:t xml:space="preserve">2005] 4 All SA 487 (SCA) para 14. </w:t>
      </w:r>
    </w:p>
  </w:footnote>
  <w:footnote w:id="17">
    <w:p w14:paraId="12B90A9D" w14:textId="58536FB1" w:rsidR="002565AD" w:rsidRPr="002565AD" w:rsidRDefault="002565AD">
      <w:pPr>
        <w:pStyle w:val="FootnoteText"/>
        <w:rPr>
          <w:lang w:val="en-ZA"/>
        </w:rPr>
      </w:pPr>
      <w:r>
        <w:rPr>
          <w:rStyle w:val="FootnoteReference"/>
        </w:rPr>
        <w:footnoteRef/>
      </w:r>
      <w:r>
        <w:t xml:space="preserve"> </w:t>
      </w:r>
      <w:r>
        <w:rPr>
          <w:lang w:val="en-ZA"/>
        </w:rPr>
        <w:t xml:space="preserve"> </w:t>
      </w:r>
      <w:r w:rsidR="008C7158">
        <w:rPr>
          <w:i/>
          <w:iCs/>
          <w:lang w:val="en-ZA"/>
        </w:rPr>
        <w:t xml:space="preserve">Millennium Waste </w:t>
      </w:r>
      <w:r>
        <w:rPr>
          <w:lang w:val="en-ZA"/>
        </w:rPr>
        <w:t>paras 18 and 19.</w:t>
      </w:r>
    </w:p>
  </w:footnote>
  <w:footnote w:id="18">
    <w:p w14:paraId="768A78C3" w14:textId="5368B253" w:rsidR="008C7158" w:rsidRPr="008C7158" w:rsidRDefault="008C7158">
      <w:pPr>
        <w:pStyle w:val="FootnoteText"/>
        <w:rPr>
          <w:lang w:val="en-ZA"/>
        </w:rPr>
      </w:pPr>
      <w:r>
        <w:rPr>
          <w:rStyle w:val="FootnoteReference"/>
        </w:rPr>
        <w:footnoteRef/>
      </w:r>
      <w:r>
        <w:t xml:space="preserve"> </w:t>
      </w:r>
      <w:r>
        <w:rPr>
          <w:lang w:val="en-ZA"/>
        </w:rPr>
        <w:t>Id para 19.</w:t>
      </w:r>
    </w:p>
  </w:footnote>
  <w:footnote w:id="19">
    <w:p w14:paraId="4A718D79" w14:textId="11680A2A" w:rsidR="008C7158" w:rsidRPr="008C7158" w:rsidRDefault="008C7158">
      <w:pPr>
        <w:pStyle w:val="FootnoteText"/>
        <w:rPr>
          <w:lang w:val="en-ZA"/>
        </w:rPr>
      </w:pPr>
      <w:r>
        <w:rPr>
          <w:rStyle w:val="FootnoteReference"/>
        </w:rPr>
        <w:footnoteRef/>
      </w:r>
      <w:r>
        <w:t xml:space="preserve"> </w:t>
      </w:r>
      <w:r>
        <w:rPr>
          <w:lang w:val="en-ZA"/>
        </w:rPr>
        <w:t>Id.</w:t>
      </w:r>
    </w:p>
  </w:footnote>
  <w:footnote w:id="20">
    <w:p w14:paraId="3904BA6B" w14:textId="639C47B9" w:rsidR="002565AD" w:rsidRPr="002565AD" w:rsidRDefault="002565AD">
      <w:pPr>
        <w:pStyle w:val="FootnoteText"/>
        <w:rPr>
          <w:lang w:val="en-ZA"/>
        </w:rPr>
      </w:pPr>
      <w:r>
        <w:rPr>
          <w:rStyle w:val="FootnoteReference"/>
        </w:rPr>
        <w:footnoteRef/>
      </w:r>
      <w:r>
        <w:t xml:space="preserve"> </w:t>
      </w:r>
      <w:r>
        <w:rPr>
          <w:lang w:val="en-ZA"/>
        </w:rPr>
        <w:t>Id para 17.</w:t>
      </w:r>
    </w:p>
  </w:footnote>
  <w:footnote w:id="21">
    <w:p w14:paraId="73D82355" w14:textId="20069910" w:rsidR="00070841" w:rsidRPr="00070841" w:rsidRDefault="00070841">
      <w:pPr>
        <w:pStyle w:val="FootnoteText"/>
        <w:rPr>
          <w:lang w:val="en-ZA"/>
        </w:rPr>
      </w:pPr>
      <w:r>
        <w:rPr>
          <w:rStyle w:val="FootnoteReference"/>
        </w:rPr>
        <w:footnoteRef/>
      </w:r>
      <w:r>
        <w:t xml:space="preserve"> </w:t>
      </w:r>
      <w:r>
        <w:rPr>
          <w:lang w:val="en-ZA"/>
        </w:rPr>
        <w:t xml:space="preserve">Regulation 5(c) It is not specified in the judgment which body of regulations it was part of, or when it was promulgated. </w:t>
      </w:r>
    </w:p>
  </w:footnote>
  <w:footnote w:id="22">
    <w:p w14:paraId="23815F00" w14:textId="1EA6E930" w:rsidR="00AB39D5" w:rsidRPr="00AB39D5" w:rsidRDefault="00AB39D5">
      <w:pPr>
        <w:pStyle w:val="FootnoteText"/>
        <w:rPr>
          <w:lang w:val="en-ZA"/>
        </w:rPr>
      </w:pPr>
      <w:r>
        <w:rPr>
          <w:rStyle w:val="FootnoteReference"/>
        </w:rPr>
        <w:footnoteRef/>
      </w:r>
      <w:r>
        <w:t xml:space="preserve"> </w:t>
      </w:r>
      <w:r w:rsidR="00282495" w:rsidRPr="00282495">
        <w:rPr>
          <w:i/>
          <w:iCs/>
        </w:rPr>
        <w:t>Dr JS Moroka Municipality &amp; Ors v Betram (Pty) Ltd &amp; Ano</w:t>
      </w:r>
      <w:r w:rsidR="00282495">
        <w:t xml:space="preserve"> [2014] 1 All SA 545 (SCA).</w:t>
      </w:r>
    </w:p>
  </w:footnote>
  <w:footnote w:id="23">
    <w:p w14:paraId="0C54F362" w14:textId="53F5FC71" w:rsidR="00A66D1F" w:rsidRPr="00A66D1F" w:rsidRDefault="00A66D1F">
      <w:pPr>
        <w:pStyle w:val="FootnoteText"/>
        <w:rPr>
          <w:lang w:val="en-ZA"/>
        </w:rPr>
      </w:pPr>
      <w:r>
        <w:rPr>
          <w:rStyle w:val="FootnoteReference"/>
        </w:rPr>
        <w:footnoteRef/>
      </w:r>
      <w:r>
        <w:t xml:space="preserve"> </w:t>
      </w:r>
      <w:r>
        <w:rPr>
          <w:lang w:val="en-ZA"/>
        </w:rPr>
        <w:t xml:space="preserve">Para </w:t>
      </w:r>
      <w:r w:rsidR="0085659E">
        <w:rPr>
          <w:lang w:val="en-ZA"/>
        </w:rPr>
        <w:t>12.</w:t>
      </w:r>
    </w:p>
  </w:footnote>
  <w:footnote w:id="24">
    <w:p w14:paraId="178D48FC" w14:textId="669EDDF1" w:rsidR="00A66D1F" w:rsidRPr="00A66D1F" w:rsidRDefault="00A66D1F">
      <w:pPr>
        <w:pStyle w:val="FootnoteText"/>
        <w:rPr>
          <w:lang w:val="en-ZA"/>
        </w:rPr>
      </w:pPr>
      <w:r>
        <w:rPr>
          <w:rStyle w:val="FootnoteReference"/>
        </w:rPr>
        <w:footnoteRef/>
      </w:r>
      <w:r>
        <w:t xml:space="preserve"> </w:t>
      </w:r>
      <w:r w:rsidRPr="00A66D1F">
        <w:rPr>
          <w:i/>
          <w:iCs/>
          <w:lang w:val="en-ZA"/>
        </w:rPr>
        <w:t>Minister of Environmental Affairs and Tourism &amp; Ors v Pepper Bay Fishing (Pty) Ltd; Minister of Environmental Affairs &amp; Ors v Smith</w:t>
      </w:r>
      <w:r>
        <w:rPr>
          <w:lang w:val="en-ZA"/>
        </w:rPr>
        <w:t xml:space="preserve"> 2004 (1) SA 308 (SCA) para 31.</w:t>
      </w:r>
    </w:p>
  </w:footnote>
  <w:footnote w:id="25">
    <w:p w14:paraId="43772526" w14:textId="6F5D4A19" w:rsidR="0085659E" w:rsidRPr="0085659E" w:rsidRDefault="0085659E">
      <w:pPr>
        <w:pStyle w:val="FootnoteText"/>
        <w:rPr>
          <w:lang w:val="en-ZA"/>
        </w:rPr>
      </w:pPr>
      <w:r>
        <w:rPr>
          <w:rStyle w:val="FootnoteReference"/>
        </w:rPr>
        <w:footnoteRef/>
      </w:r>
      <w:r>
        <w:t xml:space="preserve"> </w:t>
      </w:r>
      <w:r w:rsidR="009843C4" w:rsidRPr="009843C4">
        <w:rPr>
          <w:i/>
          <w:iCs/>
        </w:rPr>
        <w:t>Moroka</w:t>
      </w:r>
      <w:r w:rsidR="009843C4">
        <w:t xml:space="preserve"> n 22 p</w:t>
      </w:r>
      <w:r>
        <w:rPr>
          <w:lang w:val="en-ZA"/>
        </w:rPr>
        <w:t>ara 15.</w:t>
      </w:r>
    </w:p>
  </w:footnote>
  <w:footnote w:id="26">
    <w:p w14:paraId="59162CC1" w14:textId="65DBB474" w:rsidR="0085659E" w:rsidRPr="0085659E" w:rsidRDefault="0085659E">
      <w:pPr>
        <w:pStyle w:val="FootnoteText"/>
        <w:rPr>
          <w:lang w:val="en-ZA"/>
        </w:rPr>
      </w:pPr>
      <w:r>
        <w:rPr>
          <w:rStyle w:val="FootnoteReference"/>
        </w:rPr>
        <w:footnoteRef/>
      </w:r>
      <w:r>
        <w:t xml:space="preserve"> </w:t>
      </w:r>
      <w:r>
        <w:rPr>
          <w:lang w:val="en-ZA"/>
        </w:rPr>
        <w:t>Id para 16.</w:t>
      </w:r>
    </w:p>
  </w:footnote>
  <w:footnote w:id="27">
    <w:p w14:paraId="737867DB" w14:textId="74070153" w:rsidR="006043B9" w:rsidRPr="006043B9" w:rsidRDefault="006043B9">
      <w:pPr>
        <w:pStyle w:val="FootnoteText"/>
        <w:rPr>
          <w:lang w:val="en-ZA"/>
        </w:rPr>
      </w:pPr>
      <w:r>
        <w:rPr>
          <w:rStyle w:val="FootnoteReference"/>
        </w:rPr>
        <w:footnoteRef/>
      </w:r>
      <w:r>
        <w:t xml:space="preserve"> </w:t>
      </w:r>
      <w:r w:rsidRPr="003759BB">
        <w:rPr>
          <w:i/>
          <w:iCs/>
          <w:lang w:val="en-ZA"/>
        </w:rPr>
        <w:t>WDR Earthmoving</w:t>
      </w:r>
      <w:r w:rsidR="003759BB" w:rsidRPr="003759BB">
        <w:rPr>
          <w:i/>
          <w:iCs/>
          <w:lang w:val="en-ZA"/>
        </w:rPr>
        <w:t xml:space="preserve"> Enterprises &amp; Ano v The Joe Gqabi District Municipality &amp; Ors</w:t>
      </w:r>
      <w:r w:rsidR="003759BB">
        <w:rPr>
          <w:lang w:val="en-ZA"/>
        </w:rPr>
        <w:t xml:space="preserve"> [2018] ZASCA 72.</w:t>
      </w:r>
    </w:p>
  </w:footnote>
  <w:footnote w:id="28">
    <w:p w14:paraId="1B826152" w14:textId="1D570C3E" w:rsidR="003759BB" w:rsidRPr="003759BB" w:rsidRDefault="003759BB">
      <w:pPr>
        <w:pStyle w:val="FootnoteText"/>
        <w:rPr>
          <w:lang w:val="en-ZA"/>
        </w:rPr>
      </w:pPr>
      <w:r>
        <w:rPr>
          <w:rStyle w:val="FootnoteReference"/>
        </w:rPr>
        <w:footnoteRef/>
      </w:r>
      <w:r>
        <w:t xml:space="preserve"> </w:t>
      </w:r>
      <w:r>
        <w:rPr>
          <w:lang w:val="en-ZA"/>
        </w:rPr>
        <w:t>Id para 34.</w:t>
      </w:r>
    </w:p>
  </w:footnote>
  <w:footnote w:id="29">
    <w:p w14:paraId="44AB1481" w14:textId="317D2D5C" w:rsidR="003759BB" w:rsidRPr="003759BB" w:rsidRDefault="003759BB">
      <w:pPr>
        <w:pStyle w:val="FootnoteText"/>
        <w:rPr>
          <w:lang w:val="en-ZA"/>
        </w:rPr>
      </w:pPr>
      <w:r>
        <w:rPr>
          <w:rStyle w:val="FootnoteReference"/>
        </w:rPr>
        <w:footnoteRef/>
      </w:r>
      <w:r>
        <w:t xml:space="preserve"> </w:t>
      </w:r>
      <w:r>
        <w:rPr>
          <w:lang w:val="en-ZA"/>
        </w:rPr>
        <w:t>Id para 30.</w:t>
      </w:r>
    </w:p>
  </w:footnote>
  <w:footnote w:id="30">
    <w:p w14:paraId="7329EFBE" w14:textId="12C6504E" w:rsidR="00F127E2" w:rsidRPr="00F127E2" w:rsidRDefault="00F127E2">
      <w:pPr>
        <w:pStyle w:val="FootnoteText"/>
        <w:rPr>
          <w:lang w:val="en-ZA"/>
        </w:rPr>
      </w:pPr>
      <w:r>
        <w:rPr>
          <w:rStyle w:val="FootnoteReference"/>
        </w:rPr>
        <w:footnoteRef/>
      </w:r>
      <w:r>
        <w:t xml:space="preserve"> </w:t>
      </w:r>
      <w:bookmarkStart w:id="1" w:name="_Hlk167281452"/>
      <w:r>
        <w:rPr>
          <w:lang w:val="en-ZA"/>
        </w:rPr>
        <w:t>Id para 34.</w:t>
      </w:r>
    </w:p>
    <w:bookmarkEnd w:id="1"/>
  </w:footnote>
  <w:footnote w:id="31">
    <w:p w14:paraId="731D3AAA" w14:textId="28B3077A" w:rsidR="00F127E2" w:rsidRPr="00F127E2" w:rsidRDefault="00F127E2">
      <w:pPr>
        <w:pStyle w:val="FootnoteText"/>
        <w:rPr>
          <w:lang w:val="en-ZA"/>
        </w:rPr>
      </w:pPr>
      <w:r>
        <w:rPr>
          <w:rStyle w:val="FootnoteReference"/>
        </w:rPr>
        <w:footnoteRef/>
      </w:r>
      <w:r>
        <w:t xml:space="preserve"> </w:t>
      </w:r>
      <w:r>
        <w:rPr>
          <w:lang w:val="en-ZA"/>
        </w:rPr>
        <w:t>Note 2</w:t>
      </w:r>
      <w:r w:rsidR="0095293E">
        <w:rPr>
          <w:lang w:val="en-ZA"/>
        </w:rPr>
        <w:t xml:space="preserve"> para 28</w:t>
      </w:r>
      <w:r>
        <w:rPr>
          <w:lang w:val="en-ZA"/>
        </w:rPr>
        <w:t>.</w:t>
      </w:r>
    </w:p>
  </w:footnote>
  <w:footnote w:id="32">
    <w:p w14:paraId="0BF7EE9A" w14:textId="2C72FDE2" w:rsidR="00F127E2" w:rsidRPr="00F127E2" w:rsidRDefault="00F127E2">
      <w:pPr>
        <w:pStyle w:val="FootnoteText"/>
        <w:rPr>
          <w:lang w:val="en-ZA"/>
        </w:rPr>
      </w:pPr>
      <w:r>
        <w:rPr>
          <w:rStyle w:val="FootnoteReference"/>
        </w:rPr>
        <w:footnoteRef/>
      </w:r>
      <w:r>
        <w:t xml:space="preserve"> </w:t>
      </w:r>
      <w:r>
        <w:rPr>
          <w:lang w:val="en-ZA"/>
        </w:rPr>
        <w:t xml:space="preserve">Para </w:t>
      </w:r>
      <w:r w:rsidR="00C50567">
        <w:rPr>
          <w:lang w:val="en-ZA"/>
        </w:rPr>
        <w:t>30.</w:t>
      </w:r>
    </w:p>
  </w:footnote>
  <w:footnote w:id="33">
    <w:p w14:paraId="241684F6" w14:textId="68EACAFB" w:rsidR="0095293E" w:rsidRPr="0095293E" w:rsidRDefault="0095293E">
      <w:pPr>
        <w:pStyle w:val="FootnoteText"/>
        <w:rPr>
          <w:lang w:val="en-ZA"/>
        </w:rPr>
      </w:pPr>
      <w:r>
        <w:rPr>
          <w:rStyle w:val="FootnoteReference"/>
        </w:rPr>
        <w:footnoteRef/>
      </w:r>
      <w:r>
        <w:t xml:space="preserve"> </w:t>
      </w:r>
      <w:r w:rsidRPr="0095293E">
        <w:rPr>
          <w:i/>
          <w:iCs/>
          <w:lang w:val="en-ZA"/>
        </w:rPr>
        <w:t>Overstrand Municipality v Water &amp; Sanitation Services SA (Pty) Ltd</w:t>
      </w:r>
      <w:r>
        <w:rPr>
          <w:lang w:val="en-ZA"/>
        </w:rPr>
        <w:t xml:space="preserve"> [2018] 2 All SA 644 (SCA). </w:t>
      </w:r>
    </w:p>
  </w:footnote>
  <w:footnote w:id="34">
    <w:p w14:paraId="367F460E" w14:textId="6AEAE8D8" w:rsidR="0084626E" w:rsidRPr="0084626E" w:rsidRDefault="0084626E">
      <w:pPr>
        <w:pStyle w:val="FootnoteText"/>
        <w:rPr>
          <w:lang w:val="en-ZA"/>
        </w:rPr>
      </w:pPr>
      <w:r>
        <w:rPr>
          <w:rStyle w:val="FootnoteReference"/>
        </w:rPr>
        <w:footnoteRef/>
      </w:r>
      <w:r>
        <w:t xml:space="preserve"> </w:t>
      </w:r>
      <w:r>
        <w:rPr>
          <w:lang w:val="en-ZA"/>
        </w:rPr>
        <w:t xml:space="preserve">Regulation 2834, promulgated in terms of the Water Act 54 of 1956.  </w:t>
      </w:r>
    </w:p>
  </w:footnote>
  <w:footnote w:id="35">
    <w:p w14:paraId="3BD7F638" w14:textId="11A6ADDF" w:rsidR="00785DFD" w:rsidRPr="00785DFD" w:rsidRDefault="00785DFD">
      <w:pPr>
        <w:pStyle w:val="FootnoteText"/>
        <w:rPr>
          <w:lang w:val="en-ZA"/>
        </w:rPr>
      </w:pPr>
      <w:r>
        <w:rPr>
          <w:rStyle w:val="FootnoteReference"/>
        </w:rPr>
        <w:footnoteRef/>
      </w:r>
      <w:r>
        <w:t xml:space="preserve"> </w:t>
      </w:r>
      <w:r>
        <w:rPr>
          <w:lang w:val="en-ZA"/>
        </w:rPr>
        <w:t>Id para 50.</w:t>
      </w:r>
    </w:p>
  </w:footnote>
  <w:footnote w:id="36">
    <w:p w14:paraId="14CC8113" w14:textId="2963BD4A" w:rsidR="00785DFD" w:rsidRPr="00785DFD" w:rsidRDefault="00785DFD">
      <w:pPr>
        <w:pStyle w:val="FootnoteText"/>
        <w:rPr>
          <w:lang w:val="en-ZA"/>
        </w:rPr>
      </w:pPr>
      <w:r>
        <w:rPr>
          <w:rStyle w:val="FootnoteReference"/>
        </w:rPr>
        <w:footnoteRef/>
      </w:r>
      <w:r>
        <w:t xml:space="preserve"> </w:t>
      </w:r>
      <w:r w:rsidRPr="00785DFD">
        <w:rPr>
          <w:i/>
          <w:iCs/>
          <w:lang w:val="en-ZA"/>
        </w:rPr>
        <w:t xml:space="preserve">Eskom Holdings SOC Ltd v Babcock Ntuthuko Engineering (Pty) Ltd </w:t>
      </w:r>
      <w:r>
        <w:rPr>
          <w:lang w:val="en-ZA"/>
        </w:rPr>
        <w:t>[2024] ZASCA 63.</w:t>
      </w:r>
    </w:p>
  </w:footnote>
  <w:footnote w:id="37">
    <w:p w14:paraId="1B1FC072" w14:textId="77777777" w:rsidR="00F864DA" w:rsidRDefault="00F864DA" w:rsidP="00F864DA">
      <w:pPr>
        <w:pStyle w:val="FootnoteText"/>
      </w:pPr>
      <w:r>
        <w:rPr>
          <w:rStyle w:val="FootnoteReference"/>
        </w:rPr>
        <w:footnoteRef/>
      </w:r>
      <w:r>
        <w:t xml:space="preserve"> </w:t>
      </w:r>
      <w:r w:rsidRPr="00F01F84">
        <w:rPr>
          <w:i/>
          <w:iCs/>
        </w:rPr>
        <w:t>SA Ests &amp; Finance Corporation Ltd v Commissioner for Inland Revenue</w:t>
      </w:r>
      <w:r>
        <w:t xml:space="preserve"> 1927 A.D. 236.</w:t>
      </w:r>
    </w:p>
  </w:footnote>
  <w:footnote w:id="38">
    <w:p w14:paraId="31C109E6" w14:textId="2D7724AE" w:rsidR="00030CAD" w:rsidRPr="00030CAD" w:rsidRDefault="00030CAD">
      <w:pPr>
        <w:pStyle w:val="FootnoteText"/>
        <w:rPr>
          <w:lang w:val="en-ZA"/>
        </w:rPr>
      </w:pPr>
      <w:r>
        <w:rPr>
          <w:rStyle w:val="FootnoteReference"/>
        </w:rPr>
        <w:footnoteRef/>
      </w:r>
      <w:r>
        <w:t xml:space="preserve"> Per De Villiers CJ in </w:t>
      </w:r>
      <w:r w:rsidRPr="00F60D7D">
        <w:rPr>
          <w:i/>
          <w:iCs/>
        </w:rPr>
        <w:t>Poynton v Cran</w:t>
      </w:r>
      <w:r>
        <w:t xml:space="preserve"> 1910 A.D. </w:t>
      </w:r>
      <w:r w:rsidR="000B5665">
        <w:t xml:space="preserve">205 at </w:t>
      </w:r>
      <w:r>
        <w:t>222.</w:t>
      </w:r>
    </w:p>
  </w:footnote>
  <w:footnote w:id="39">
    <w:p w14:paraId="0440C042" w14:textId="5DC63C8A" w:rsidR="00030CAD" w:rsidRDefault="00F864DA" w:rsidP="00F864DA">
      <w:pPr>
        <w:pStyle w:val="FootnoteText"/>
      </w:pPr>
      <w:r>
        <w:rPr>
          <w:rStyle w:val="FootnoteReference"/>
        </w:rPr>
        <w:footnoteRef/>
      </w:r>
      <w:r>
        <w:t xml:space="preserve"> </w:t>
      </w:r>
      <w:r w:rsidR="00030CAD">
        <w:t>Id.</w:t>
      </w:r>
    </w:p>
  </w:footnote>
  <w:footnote w:id="40">
    <w:p w14:paraId="60696173" w14:textId="77777777" w:rsidR="00F864DA" w:rsidRDefault="00F864DA" w:rsidP="00F864DA">
      <w:pPr>
        <w:pStyle w:val="FootnoteText"/>
      </w:pPr>
      <w:r>
        <w:rPr>
          <w:rStyle w:val="FootnoteReference"/>
        </w:rPr>
        <w:footnoteRef/>
      </w:r>
      <w:r>
        <w:t xml:space="preserve"> Du Plessis </w:t>
      </w:r>
      <w:r w:rsidRPr="00F60D7D">
        <w:rPr>
          <w:i/>
          <w:iCs/>
        </w:rPr>
        <w:t>Statute Law &amp; Interpretation</w:t>
      </w:r>
      <w:r>
        <w:t xml:space="preserve"> LAWSA Vol 25: Part 1 para 360(b(ii).</w:t>
      </w:r>
    </w:p>
  </w:footnote>
  <w:footnote w:id="41">
    <w:p w14:paraId="45CC7442" w14:textId="75997B5B" w:rsidR="00F864DA" w:rsidRPr="00306EBB" w:rsidRDefault="00F864DA" w:rsidP="00F864DA">
      <w:pPr>
        <w:pStyle w:val="FootnoteText"/>
        <w:rPr>
          <w:lang w:val="en-ZA"/>
        </w:rPr>
      </w:pPr>
      <w:r>
        <w:rPr>
          <w:rStyle w:val="FootnoteReference"/>
        </w:rPr>
        <w:footnoteRef/>
      </w:r>
      <w:r>
        <w:t xml:space="preserve"> GM </w:t>
      </w:r>
      <w:r>
        <w:rPr>
          <w:lang w:val="en-ZA"/>
        </w:rPr>
        <w:t xml:space="preserve">Cockram </w:t>
      </w:r>
      <w:r w:rsidRPr="00306EBB">
        <w:rPr>
          <w:i/>
          <w:iCs/>
          <w:lang w:val="en-ZA"/>
        </w:rPr>
        <w:t>Interpretation of Statutes</w:t>
      </w:r>
      <w:r>
        <w:rPr>
          <w:lang w:val="en-ZA"/>
        </w:rPr>
        <w:t xml:space="preserve"> (Juta 1975) p 80.</w:t>
      </w:r>
    </w:p>
  </w:footnote>
  <w:footnote w:id="42">
    <w:p w14:paraId="69B92391" w14:textId="1B8E3339" w:rsidR="00926448" w:rsidRPr="00926448" w:rsidRDefault="00926448">
      <w:pPr>
        <w:pStyle w:val="FootnoteText"/>
        <w:rPr>
          <w:lang w:val="en-ZA"/>
        </w:rPr>
      </w:pPr>
      <w:r>
        <w:rPr>
          <w:rStyle w:val="FootnoteReference"/>
        </w:rPr>
        <w:footnoteRef/>
      </w:r>
      <w:r>
        <w:t xml:space="preserve"> </w:t>
      </w:r>
      <w:r w:rsidRPr="00926448">
        <w:rPr>
          <w:i/>
          <w:iCs/>
          <w:lang w:val="en-ZA"/>
        </w:rPr>
        <w:t>Steenkamp NO v Provincial Tender Board, Eastern Cape</w:t>
      </w:r>
      <w:r>
        <w:rPr>
          <w:lang w:val="en-ZA"/>
        </w:rPr>
        <w:t xml:space="preserve"> 2007 (3) SA 121 (CC) para 60; </w:t>
      </w:r>
      <w:r w:rsidRPr="00926448">
        <w:rPr>
          <w:i/>
          <w:iCs/>
          <w:lang w:val="en-ZA"/>
        </w:rPr>
        <w:t>Allpa</w:t>
      </w:r>
      <w:r>
        <w:rPr>
          <w:lang w:val="en-ZA"/>
        </w:rPr>
        <w:t>y n 2 para 39.</w:t>
      </w:r>
    </w:p>
  </w:footnote>
  <w:footnote w:id="43">
    <w:p w14:paraId="259BCD1C" w14:textId="4473CCD7" w:rsidR="007B7F21" w:rsidRPr="007B7F21" w:rsidRDefault="007B7F21">
      <w:pPr>
        <w:pStyle w:val="FootnoteText"/>
        <w:rPr>
          <w:lang w:val="en-ZA"/>
        </w:rPr>
      </w:pPr>
      <w:r>
        <w:rPr>
          <w:rStyle w:val="FootnoteReference"/>
        </w:rPr>
        <w:footnoteRef/>
      </w:r>
      <w:r>
        <w:t xml:space="preserve"> </w:t>
      </w:r>
      <w:r w:rsidRPr="000C2D88">
        <w:rPr>
          <w:i/>
          <w:iCs/>
          <w:lang w:val="en-ZA"/>
        </w:rPr>
        <w:t>Mashavha v Enaex Africa (Pty) Ltd</w:t>
      </w:r>
      <w:r>
        <w:rPr>
          <w:lang w:val="en-ZA"/>
        </w:rPr>
        <w:t xml:space="preserve"> [20</w:t>
      </w:r>
      <w:r w:rsidR="009924CC">
        <w:rPr>
          <w:lang w:val="en-ZA"/>
        </w:rPr>
        <w:t>2</w:t>
      </w:r>
      <w:r>
        <w:rPr>
          <w:lang w:val="en-ZA"/>
        </w:rPr>
        <w:t xml:space="preserve">4] ZAGPJHC </w:t>
      </w:r>
      <w:r w:rsidR="00444AA5">
        <w:rPr>
          <w:lang w:val="en-ZA"/>
        </w:rPr>
        <w:t>387 (delivered on 22 April 2024).</w:t>
      </w:r>
    </w:p>
  </w:footnote>
  <w:footnote w:id="44">
    <w:p w14:paraId="0A6E1DE1" w14:textId="6D11DDCC" w:rsidR="00444AA5" w:rsidRPr="00444AA5" w:rsidRDefault="00444AA5">
      <w:pPr>
        <w:pStyle w:val="FootnoteText"/>
        <w:rPr>
          <w:lang w:val="en-ZA"/>
        </w:rPr>
      </w:pPr>
      <w:r>
        <w:rPr>
          <w:rStyle w:val="FootnoteReference"/>
        </w:rPr>
        <w:footnoteRef/>
      </w:r>
      <w:r>
        <w:t xml:space="preserve"> P</w:t>
      </w:r>
      <w:r>
        <w:rPr>
          <w:lang w:val="en-ZA"/>
        </w:rPr>
        <w:t>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878437"/>
      <w:docPartObj>
        <w:docPartGallery w:val="Page Numbers (Top of Page)"/>
        <w:docPartUnique/>
      </w:docPartObj>
    </w:sdtPr>
    <w:sdtContent>
      <w:p w14:paraId="63C5B111" w14:textId="74962538" w:rsidR="00E40787" w:rsidRDefault="00E40787">
        <w:pPr>
          <w:pStyle w:val="Header"/>
          <w:jc w:val="right"/>
        </w:pPr>
        <w:r>
          <w:fldChar w:fldCharType="begin"/>
        </w:r>
        <w:r>
          <w:instrText>PAGE   \* MERGEFORMAT</w:instrText>
        </w:r>
        <w:r>
          <w:fldChar w:fldCharType="separate"/>
        </w:r>
        <w:r>
          <w:t>2</w:t>
        </w:r>
        <w:r>
          <w:fldChar w:fldCharType="end"/>
        </w:r>
      </w:p>
    </w:sdtContent>
  </w:sdt>
  <w:p w14:paraId="1A0C0E48" w14:textId="77777777" w:rsidR="00E40787" w:rsidRDefault="00E4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81759"/>
    <w:multiLevelType w:val="hybridMultilevel"/>
    <w:tmpl w:val="6CC8A81A"/>
    <w:lvl w:ilvl="0" w:tplc="1B807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62714"/>
    <w:multiLevelType w:val="hybridMultilevel"/>
    <w:tmpl w:val="2DB49BAE"/>
    <w:lvl w:ilvl="0" w:tplc="CC86E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F6890"/>
    <w:multiLevelType w:val="multilevel"/>
    <w:tmpl w:val="AAE80A9E"/>
    <w:lvl w:ilvl="0">
      <w:start w:val="1"/>
      <w:numFmt w:val="decimal"/>
      <w:lvlText w:val="%1."/>
      <w:lvlJc w:val="left"/>
      <w:pPr>
        <w:ind w:left="720" w:hanging="360"/>
      </w:pPr>
      <w:rPr>
        <w:rFonts w:ascii="Arial" w:hAnsi="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64423745">
    <w:abstractNumId w:val="3"/>
  </w:num>
  <w:num w:numId="2" w16cid:durableId="886792467">
    <w:abstractNumId w:val="1"/>
  </w:num>
  <w:num w:numId="3" w16cid:durableId="461387721">
    <w:abstractNumId w:val="2"/>
  </w:num>
  <w:num w:numId="4" w16cid:durableId="90252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3C56B7-3A35-4BF5-AD3F-EB0675471994}"/>
    <w:docVar w:name="dgnword-eventsink" w:val="745517416"/>
  </w:docVars>
  <w:rsids>
    <w:rsidRoot w:val="00491641"/>
    <w:rsid w:val="000022DF"/>
    <w:rsid w:val="000037DE"/>
    <w:rsid w:val="00007944"/>
    <w:rsid w:val="00011B28"/>
    <w:rsid w:val="0002081E"/>
    <w:rsid w:val="00030CAD"/>
    <w:rsid w:val="00070841"/>
    <w:rsid w:val="000739DC"/>
    <w:rsid w:val="000835A4"/>
    <w:rsid w:val="00097CFD"/>
    <w:rsid w:val="000B5665"/>
    <w:rsid w:val="000B7686"/>
    <w:rsid w:val="000C067A"/>
    <w:rsid w:val="000C2D88"/>
    <w:rsid w:val="000F0DAF"/>
    <w:rsid w:val="000F1D25"/>
    <w:rsid w:val="000F3494"/>
    <w:rsid w:val="001159D1"/>
    <w:rsid w:val="00131E65"/>
    <w:rsid w:val="00133112"/>
    <w:rsid w:val="00133AE4"/>
    <w:rsid w:val="00135A26"/>
    <w:rsid w:val="0015568C"/>
    <w:rsid w:val="0015614E"/>
    <w:rsid w:val="0017056B"/>
    <w:rsid w:val="001D48D7"/>
    <w:rsid w:val="001E1373"/>
    <w:rsid w:val="001F16E6"/>
    <w:rsid w:val="001F1BAE"/>
    <w:rsid w:val="001F26FB"/>
    <w:rsid w:val="001F426D"/>
    <w:rsid w:val="00201F98"/>
    <w:rsid w:val="00204C12"/>
    <w:rsid w:val="00213EDA"/>
    <w:rsid w:val="00242161"/>
    <w:rsid w:val="00242891"/>
    <w:rsid w:val="002565AD"/>
    <w:rsid w:val="00264B38"/>
    <w:rsid w:val="002766BC"/>
    <w:rsid w:val="00282495"/>
    <w:rsid w:val="00293D4F"/>
    <w:rsid w:val="002A5D5B"/>
    <w:rsid w:val="002C2D85"/>
    <w:rsid w:val="002E3155"/>
    <w:rsid w:val="002F6A69"/>
    <w:rsid w:val="00306EBB"/>
    <w:rsid w:val="00337EBD"/>
    <w:rsid w:val="00343747"/>
    <w:rsid w:val="00360AE3"/>
    <w:rsid w:val="0036565D"/>
    <w:rsid w:val="003656A1"/>
    <w:rsid w:val="003759BB"/>
    <w:rsid w:val="003A3B7C"/>
    <w:rsid w:val="003B4196"/>
    <w:rsid w:val="003B7F78"/>
    <w:rsid w:val="003D6DF2"/>
    <w:rsid w:val="003D6EF6"/>
    <w:rsid w:val="003E0383"/>
    <w:rsid w:val="003E187D"/>
    <w:rsid w:val="003F29DC"/>
    <w:rsid w:val="00413AF7"/>
    <w:rsid w:val="004222AF"/>
    <w:rsid w:val="00444AA5"/>
    <w:rsid w:val="00462746"/>
    <w:rsid w:val="0046670D"/>
    <w:rsid w:val="00475828"/>
    <w:rsid w:val="00483F89"/>
    <w:rsid w:val="004858DD"/>
    <w:rsid w:val="00491641"/>
    <w:rsid w:val="004C198E"/>
    <w:rsid w:val="004C4488"/>
    <w:rsid w:val="004C4E7A"/>
    <w:rsid w:val="004E376F"/>
    <w:rsid w:val="004F7729"/>
    <w:rsid w:val="004F7DED"/>
    <w:rsid w:val="00500553"/>
    <w:rsid w:val="00504F4C"/>
    <w:rsid w:val="00522181"/>
    <w:rsid w:val="00544372"/>
    <w:rsid w:val="00552F9F"/>
    <w:rsid w:val="00565105"/>
    <w:rsid w:val="00575AA7"/>
    <w:rsid w:val="005C058E"/>
    <w:rsid w:val="005F57FA"/>
    <w:rsid w:val="00603364"/>
    <w:rsid w:val="006043B9"/>
    <w:rsid w:val="0064097B"/>
    <w:rsid w:val="00641B83"/>
    <w:rsid w:val="006463D9"/>
    <w:rsid w:val="00647504"/>
    <w:rsid w:val="00660325"/>
    <w:rsid w:val="00661955"/>
    <w:rsid w:val="006A0610"/>
    <w:rsid w:val="006A58B6"/>
    <w:rsid w:val="006B1F39"/>
    <w:rsid w:val="006C0AF6"/>
    <w:rsid w:val="006C4856"/>
    <w:rsid w:val="006E3C40"/>
    <w:rsid w:val="00713DED"/>
    <w:rsid w:val="00713E22"/>
    <w:rsid w:val="00717B38"/>
    <w:rsid w:val="00726B9D"/>
    <w:rsid w:val="00732B66"/>
    <w:rsid w:val="00736BB4"/>
    <w:rsid w:val="007761CE"/>
    <w:rsid w:val="00785A89"/>
    <w:rsid w:val="00785B2B"/>
    <w:rsid w:val="00785DFD"/>
    <w:rsid w:val="00793DED"/>
    <w:rsid w:val="0079410D"/>
    <w:rsid w:val="00794ACC"/>
    <w:rsid w:val="007B7F21"/>
    <w:rsid w:val="007D0CF2"/>
    <w:rsid w:val="007D114B"/>
    <w:rsid w:val="007E77F5"/>
    <w:rsid w:val="0080606E"/>
    <w:rsid w:val="00820557"/>
    <w:rsid w:val="0082766A"/>
    <w:rsid w:val="0084626E"/>
    <w:rsid w:val="0085659E"/>
    <w:rsid w:val="00857472"/>
    <w:rsid w:val="00860092"/>
    <w:rsid w:val="00861E4F"/>
    <w:rsid w:val="00867847"/>
    <w:rsid w:val="008A0996"/>
    <w:rsid w:val="008A7C09"/>
    <w:rsid w:val="008B0493"/>
    <w:rsid w:val="008B2E04"/>
    <w:rsid w:val="008C7158"/>
    <w:rsid w:val="008D0732"/>
    <w:rsid w:val="008D7DB1"/>
    <w:rsid w:val="00901C8D"/>
    <w:rsid w:val="00904F3D"/>
    <w:rsid w:val="00905156"/>
    <w:rsid w:val="00911CF3"/>
    <w:rsid w:val="00926448"/>
    <w:rsid w:val="00935F65"/>
    <w:rsid w:val="009446C8"/>
    <w:rsid w:val="00950B29"/>
    <w:rsid w:val="0095293E"/>
    <w:rsid w:val="0096002D"/>
    <w:rsid w:val="00965BC9"/>
    <w:rsid w:val="009720BF"/>
    <w:rsid w:val="009843C4"/>
    <w:rsid w:val="009924CC"/>
    <w:rsid w:val="009A5621"/>
    <w:rsid w:val="009C097F"/>
    <w:rsid w:val="009C5D49"/>
    <w:rsid w:val="009E13B7"/>
    <w:rsid w:val="009F7431"/>
    <w:rsid w:val="00A03D33"/>
    <w:rsid w:val="00A1023E"/>
    <w:rsid w:val="00A12A88"/>
    <w:rsid w:val="00A212EE"/>
    <w:rsid w:val="00A403B6"/>
    <w:rsid w:val="00A4209F"/>
    <w:rsid w:val="00A52607"/>
    <w:rsid w:val="00A66D1F"/>
    <w:rsid w:val="00A70D19"/>
    <w:rsid w:val="00A81B0A"/>
    <w:rsid w:val="00A9100B"/>
    <w:rsid w:val="00AB1E73"/>
    <w:rsid w:val="00AB39D5"/>
    <w:rsid w:val="00AB458F"/>
    <w:rsid w:val="00AB45F2"/>
    <w:rsid w:val="00AB5FFA"/>
    <w:rsid w:val="00AC4E66"/>
    <w:rsid w:val="00AC79BF"/>
    <w:rsid w:val="00AE5412"/>
    <w:rsid w:val="00AF28BB"/>
    <w:rsid w:val="00B022CE"/>
    <w:rsid w:val="00B04749"/>
    <w:rsid w:val="00B04963"/>
    <w:rsid w:val="00B060CA"/>
    <w:rsid w:val="00B21804"/>
    <w:rsid w:val="00B26232"/>
    <w:rsid w:val="00B269E2"/>
    <w:rsid w:val="00B32DA1"/>
    <w:rsid w:val="00B40A35"/>
    <w:rsid w:val="00B42212"/>
    <w:rsid w:val="00B512EC"/>
    <w:rsid w:val="00B57F1C"/>
    <w:rsid w:val="00B76AC9"/>
    <w:rsid w:val="00BA47B9"/>
    <w:rsid w:val="00BD19CD"/>
    <w:rsid w:val="00BD5DC6"/>
    <w:rsid w:val="00C1244C"/>
    <w:rsid w:val="00C124F7"/>
    <w:rsid w:val="00C161B0"/>
    <w:rsid w:val="00C352B5"/>
    <w:rsid w:val="00C50567"/>
    <w:rsid w:val="00C542DF"/>
    <w:rsid w:val="00C65BBA"/>
    <w:rsid w:val="00C67937"/>
    <w:rsid w:val="00C711B7"/>
    <w:rsid w:val="00C7457A"/>
    <w:rsid w:val="00CB379A"/>
    <w:rsid w:val="00CB4F60"/>
    <w:rsid w:val="00CB60AD"/>
    <w:rsid w:val="00CD6E0F"/>
    <w:rsid w:val="00D123B3"/>
    <w:rsid w:val="00D14345"/>
    <w:rsid w:val="00D26FAA"/>
    <w:rsid w:val="00D37397"/>
    <w:rsid w:val="00D85F91"/>
    <w:rsid w:val="00D9566D"/>
    <w:rsid w:val="00D97BEF"/>
    <w:rsid w:val="00DC4A4A"/>
    <w:rsid w:val="00DC56EA"/>
    <w:rsid w:val="00DD0485"/>
    <w:rsid w:val="00DE2B0F"/>
    <w:rsid w:val="00DE334B"/>
    <w:rsid w:val="00DF4853"/>
    <w:rsid w:val="00E13272"/>
    <w:rsid w:val="00E1781E"/>
    <w:rsid w:val="00E24AD0"/>
    <w:rsid w:val="00E27F80"/>
    <w:rsid w:val="00E40787"/>
    <w:rsid w:val="00E62B2C"/>
    <w:rsid w:val="00E82ACF"/>
    <w:rsid w:val="00E92F5B"/>
    <w:rsid w:val="00E9686B"/>
    <w:rsid w:val="00EA7372"/>
    <w:rsid w:val="00EA7726"/>
    <w:rsid w:val="00EB13BC"/>
    <w:rsid w:val="00ED228E"/>
    <w:rsid w:val="00EE1A38"/>
    <w:rsid w:val="00EE29C4"/>
    <w:rsid w:val="00EF2568"/>
    <w:rsid w:val="00EF4906"/>
    <w:rsid w:val="00F01F84"/>
    <w:rsid w:val="00F10B2B"/>
    <w:rsid w:val="00F127E2"/>
    <w:rsid w:val="00F165DB"/>
    <w:rsid w:val="00F264D1"/>
    <w:rsid w:val="00F3146B"/>
    <w:rsid w:val="00F32BA1"/>
    <w:rsid w:val="00F34954"/>
    <w:rsid w:val="00F42E67"/>
    <w:rsid w:val="00F57FCC"/>
    <w:rsid w:val="00F60D7D"/>
    <w:rsid w:val="00F63225"/>
    <w:rsid w:val="00F764BF"/>
    <w:rsid w:val="00F864DA"/>
    <w:rsid w:val="00FB05EE"/>
    <w:rsid w:val="00FC6B4D"/>
    <w:rsid w:val="00FE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B994"/>
  <w15:chartTrackingRefBased/>
  <w15:docId w15:val="{45F7D1CA-7C12-4BF0-981D-84738EF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6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6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6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6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6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6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6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6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6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6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6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6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6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6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6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6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641"/>
    <w:rPr>
      <w:rFonts w:eastAsiaTheme="majorEastAsia" w:cstheme="majorBidi"/>
      <w:color w:val="272727" w:themeColor="text1" w:themeTint="D8"/>
    </w:rPr>
  </w:style>
  <w:style w:type="paragraph" w:styleId="Title">
    <w:name w:val="Title"/>
    <w:basedOn w:val="Normal"/>
    <w:next w:val="Normal"/>
    <w:link w:val="TitleChar"/>
    <w:uiPriority w:val="10"/>
    <w:qFormat/>
    <w:rsid w:val="004916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6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6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6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641"/>
    <w:pPr>
      <w:spacing w:before="160"/>
      <w:jc w:val="center"/>
    </w:pPr>
    <w:rPr>
      <w:i/>
      <w:iCs/>
      <w:color w:val="404040" w:themeColor="text1" w:themeTint="BF"/>
    </w:rPr>
  </w:style>
  <w:style w:type="character" w:customStyle="1" w:styleId="QuoteChar">
    <w:name w:val="Quote Char"/>
    <w:basedOn w:val="DefaultParagraphFont"/>
    <w:link w:val="Quote"/>
    <w:uiPriority w:val="29"/>
    <w:rsid w:val="00491641"/>
    <w:rPr>
      <w:i/>
      <w:iCs/>
      <w:color w:val="404040" w:themeColor="text1" w:themeTint="BF"/>
    </w:rPr>
  </w:style>
  <w:style w:type="paragraph" w:styleId="ListParagraph">
    <w:name w:val="List Paragraph"/>
    <w:basedOn w:val="Normal"/>
    <w:uiPriority w:val="34"/>
    <w:qFormat/>
    <w:rsid w:val="00491641"/>
    <w:pPr>
      <w:ind w:left="720"/>
      <w:contextualSpacing/>
    </w:pPr>
  </w:style>
  <w:style w:type="character" w:styleId="IntenseEmphasis">
    <w:name w:val="Intense Emphasis"/>
    <w:basedOn w:val="DefaultParagraphFont"/>
    <w:uiPriority w:val="21"/>
    <w:qFormat/>
    <w:rsid w:val="00491641"/>
    <w:rPr>
      <w:i/>
      <w:iCs/>
      <w:color w:val="0F4761" w:themeColor="accent1" w:themeShade="BF"/>
    </w:rPr>
  </w:style>
  <w:style w:type="paragraph" w:styleId="IntenseQuote">
    <w:name w:val="Intense Quote"/>
    <w:basedOn w:val="Normal"/>
    <w:next w:val="Normal"/>
    <w:link w:val="IntenseQuoteChar"/>
    <w:uiPriority w:val="30"/>
    <w:qFormat/>
    <w:rsid w:val="004916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641"/>
    <w:rPr>
      <w:i/>
      <w:iCs/>
      <w:color w:val="0F4761" w:themeColor="accent1" w:themeShade="BF"/>
    </w:rPr>
  </w:style>
  <w:style w:type="character" w:styleId="IntenseReference">
    <w:name w:val="Intense Reference"/>
    <w:basedOn w:val="DefaultParagraphFont"/>
    <w:uiPriority w:val="32"/>
    <w:qFormat/>
    <w:rsid w:val="00491641"/>
    <w:rPr>
      <w:b/>
      <w:bCs/>
      <w:smallCaps/>
      <w:color w:val="0F4761" w:themeColor="accent1" w:themeShade="BF"/>
      <w:spacing w:val="5"/>
    </w:rPr>
  </w:style>
  <w:style w:type="paragraph" w:styleId="Header">
    <w:name w:val="header"/>
    <w:basedOn w:val="Normal"/>
    <w:link w:val="HeaderChar"/>
    <w:uiPriority w:val="99"/>
    <w:unhideWhenUsed/>
    <w:rsid w:val="00E40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87"/>
  </w:style>
  <w:style w:type="paragraph" w:styleId="Footer">
    <w:name w:val="footer"/>
    <w:basedOn w:val="Normal"/>
    <w:link w:val="FooterChar"/>
    <w:uiPriority w:val="99"/>
    <w:unhideWhenUsed/>
    <w:rsid w:val="00E40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87"/>
  </w:style>
  <w:style w:type="paragraph" w:styleId="FootnoteText">
    <w:name w:val="footnote text"/>
    <w:basedOn w:val="Normal"/>
    <w:link w:val="FootnoteTextChar"/>
    <w:uiPriority w:val="99"/>
    <w:semiHidden/>
    <w:unhideWhenUsed/>
    <w:rsid w:val="007D1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14B"/>
    <w:rPr>
      <w:sz w:val="20"/>
      <w:szCs w:val="20"/>
    </w:rPr>
  </w:style>
  <w:style w:type="character" w:styleId="FootnoteReference">
    <w:name w:val="footnote reference"/>
    <w:basedOn w:val="DefaultParagraphFont"/>
    <w:uiPriority w:val="99"/>
    <w:unhideWhenUsed/>
    <w:rsid w:val="007D1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5218</TotalTime>
  <Pages>20</Pages>
  <Words>9458</Words>
  <Characters>53911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SANDILE DLOMO INCORPORATED</cp:lastModifiedBy>
  <cp:revision>103</cp:revision>
  <dcterms:created xsi:type="dcterms:W3CDTF">2024-05-11T11:25:00Z</dcterms:created>
  <dcterms:modified xsi:type="dcterms:W3CDTF">2024-06-10T05:26:00Z</dcterms:modified>
</cp:coreProperties>
</file>