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B062" w14:textId="77777777" w:rsidR="00A16719" w:rsidRDefault="00A16719" w:rsidP="006572B3">
      <w:pPr>
        <w:pStyle w:val="Title"/>
        <w:jc w:val="center"/>
        <w:rPr>
          <w:rFonts w:ascii="Arial" w:hAnsi="Arial" w:cs="Arial"/>
          <w:b/>
          <w:bCs/>
          <w:sz w:val="24"/>
          <w:szCs w:val="24"/>
          <w:lang w:val="en-GB"/>
        </w:rPr>
      </w:pPr>
      <w:bookmarkStart w:id="0" w:name="_GoBack"/>
      <w:bookmarkEnd w:id="0"/>
    </w:p>
    <w:p w14:paraId="4D83C884" w14:textId="77777777" w:rsidR="00A16719" w:rsidRDefault="00A16719" w:rsidP="006572B3">
      <w:pPr>
        <w:pStyle w:val="Title"/>
        <w:jc w:val="center"/>
        <w:rPr>
          <w:rFonts w:ascii="Arial" w:hAnsi="Arial" w:cs="Arial"/>
          <w:b/>
          <w:bCs/>
          <w:sz w:val="24"/>
          <w:szCs w:val="24"/>
          <w:lang w:val="en-GB"/>
        </w:rPr>
      </w:pPr>
    </w:p>
    <w:p w14:paraId="2C39EBDC" w14:textId="77777777" w:rsidR="00A16719" w:rsidRDefault="00A16719" w:rsidP="006572B3">
      <w:pPr>
        <w:pStyle w:val="Title"/>
        <w:jc w:val="center"/>
        <w:rPr>
          <w:rFonts w:ascii="Arial" w:hAnsi="Arial" w:cs="Arial"/>
          <w:b/>
          <w:bCs/>
          <w:sz w:val="24"/>
          <w:szCs w:val="24"/>
          <w:lang w:val="en-GB"/>
        </w:rPr>
      </w:pPr>
    </w:p>
    <w:p w14:paraId="17D365C4" w14:textId="77777777" w:rsidR="00A16719" w:rsidRDefault="00A16719" w:rsidP="006572B3">
      <w:pPr>
        <w:pStyle w:val="Title"/>
        <w:jc w:val="center"/>
        <w:rPr>
          <w:rFonts w:ascii="Arial" w:hAnsi="Arial" w:cs="Arial"/>
          <w:b/>
          <w:bCs/>
          <w:sz w:val="24"/>
          <w:szCs w:val="24"/>
          <w:lang w:val="en-GB"/>
        </w:rPr>
      </w:pPr>
    </w:p>
    <w:p w14:paraId="53EF6153" w14:textId="451A2A3E" w:rsidR="006572B3" w:rsidRPr="000A0ADE" w:rsidRDefault="006572B3" w:rsidP="006572B3">
      <w:pPr>
        <w:pStyle w:val="Title"/>
        <w:jc w:val="center"/>
        <w:rPr>
          <w:rFonts w:ascii="Arial" w:hAnsi="Arial" w:cs="Arial"/>
          <w:b/>
          <w:bCs/>
          <w:sz w:val="24"/>
          <w:szCs w:val="24"/>
          <w:lang w:val="en-GB"/>
        </w:rPr>
      </w:pPr>
      <w:r w:rsidRPr="000A0ADE">
        <w:rPr>
          <w:rFonts w:ascii="Arial" w:hAnsi="Arial" w:cs="Arial"/>
          <w:b/>
          <w:bCs/>
          <w:sz w:val="24"/>
          <w:szCs w:val="24"/>
          <w:lang w:val="en-GB"/>
        </w:rPr>
        <w:t>IN THE HIGH COURT OF SOUTH AFRICA</w:t>
      </w:r>
    </w:p>
    <w:p w14:paraId="217595C1" w14:textId="77777777" w:rsidR="006572B3" w:rsidRPr="000A0ADE" w:rsidRDefault="006572B3" w:rsidP="006572B3">
      <w:pPr>
        <w:jc w:val="center"/>
        <w:rPr>
          <w:rFonts w:cs="Arial"/>
          <w:b/>
          <w:bCs/>
          <w:lang w:val="en-GB"/>
        </w:rPr>
      </w:pPr>
      <w:r w:rsidRPr="000A0ADE">
        <w:rPr>
          <w:rFonts w:cs="Arial"/>
          <w:b/>
          <w:bCs/>
          <w:lang w:val="en-GB"/>
        </w:rPr>
        <w:t>(WESTERN CAPE HIGH COURT, CAPE TOWN)</w:t>
      </w:r>
    </w:p>
    <w:p w14:paraId="36FED678" w14:textId="77777777" w:rsidR="006572B3" w:rsidRPr="000A0ADE" w:rsidRDefault="006572B3" w:rsidP="006572B3">
      <w:pPr>
        <w:jc w:val="center"/>
        <w:rPr>
          <w:rFonts w:cs="Arial"/>
          <w:b/>
          <w:bCs/>
          <w:lang w:val="en-GB"/>
        </w:rPr>
      </w:pPr>
    </w:p>
    <w:p w14:paraId="69768CC3" w14:textId="77777777" w:rsidR="006572B3" w:rsidRPr="000A0ADE" w:rsidRDefault="006572B3" w:rsidP="006572B3">
      <w:pPr>
        <w:jc w:val="both"/>
        <w:rPr>
          <w:rFonts w:cs="Arial"/>
          <w:lang w:val="en-GB"/>
        </w:rPr>
      </w:pPr>
    </w:p>
    <w:p w14:paraId="04030683" w14:textId="0F2B9F44" w:rsidR="006572B3" w:rsidRPr="000A0ADE" w:rsidRDefault="006572B3" w:rsidP="006572B3">
      <w:pPr>
        <w:ind w:left="5387" w:firstLine="425"/>
        <w:jc w:val="both"/>
        <w:rPr>
          <w:rFonts w:cs="Arial"/>
          <w:b/>
          <w:lang w:val="en-GB"/>
        </w:rPr>
      </w:pPr>
      <w:r w:rsidRPr="000A0ADE">
        <w:rPr>
          <w:rFonts w:cs="Arial"/>
          <w:bCs/>
          <w:lang w:val="en-GB"/>
        </w:rPr>
        <w:t>Case No:</w:t>
      </w:r>
      <w:r w:rsidRPr="000A0ADE">
        <w:rPr>
          <w:rFonts w:cs="Arial"/>
          <w:b/>
          <w:lang w:val="en-GB"/>
        </w:rPr>
        <w:tab/>
      </w:r>
      <w:r w:rsidR="004D24B5">
        <w:rPr>
          <w:rFonts w:cs="Arial"/>
          <w:b/>
          <w:lang w:val="en-GB"/>
        </w:rPr>
        <w:t>8898/2023</w:t>
      </w:r>
    </w:p>
    <w:p w14:paraId="031D71C3" w14:textId="77777777" w:rsidR="006572B3" w:rsidRPr="000A0ADE" w:rsidRDefault="006572B3" w:rsidP="006572B3">
      <w:pPr>
        <w:jc w:val="both"/>
        <w:rPr>
          <w:rFonts w:cs="Arial"/>
          <w:lang w:val="en-GB"/>
        </w:rPr>
      </w:pPr>
    </w:p>
    <w:p w14:paraId="1BA1F2B9" w14:textId="77777777" w:rsidR="006572B3" w:rsidRPr="000A0ADE" w:rsidRDefault="006572B3" w:rsidP="006572B3">
      <w:pPr>
        <w:jc w:val="both"/>
        <w:rPr>
          <w:rFonts w:cs="Arial"/>
          <w:lang w:val="en-GB"/>
        </w:rPr>
      </w:pPr>
      <w:r w:rsidRPr="000A0ADE">
        <w:rPr>
          <w:rFonts w:cs="Arial"/>
          <w:lang w:val="en-GB"/>
        </w:rPr>
        <w:t>In the matter between:</w:t>
      </w:r>
    </w:p>
    <w:p w14:paraId="2EE9757B" w14:textId="77777777" w:rsidR="006572B3" w:rsidRPr="000A0ADE" w:rsidRDefault="006572B3" w:rsidP="006572B3">
      <w:pPr>
        <w:jc w:val="both"/>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6572B3" w:rsidRPr="000A0ADE" w14:paraId="3CA764CA" w14:textId="77777777" w:rsidTr="00493DE1">
        <w:tc>
          <w:tcPr>
            <w:tcW w:w="5807" w:type="dxa"/>
          </w:tcPr>
          <w:p w14:paraId="4D4CCB18" w14:textId="72058FDA" w:rsidR="006572B3" w:rsidRPr="000A0ADE" w:rsidRDefault="006572B3" w:rsidP="008D0D27">
            <w:pPr>
              <w:spacing w:before="120" w:after="120" w:line="360" w:lineRule="auto"/>
              <w:jc w:val="both"/>
              <w:rPr>
                <w:rFonts w:cs="Arial"/>
                <w:b/>
                <w:lang w:val="en-GB"/>
              </w:rPr>
            </w:pPr>
            <w:r>
              <w:rPr>
                <w:rFonts w:cs="Arial"/>
                <w:b/>
                <w:lang w:val="en-GB"/>
              </w:rPr>
              <w:t>ABSA BANK LIMITED</w:t>
            </w:r>
          </w:p>
        </w:tc>
        <w:tc>
          <w:tcPr>
            <w:tcW w:w="3209" w:type="dxa"/>
          </w:tcPr>
          <w:p w14:paraId="161848A3" w14:textId="0865355D" w:rsidR="006572B3" w:rsidRPr="000A0ADE" w:rsidRDefault="00125DD5" w:rsidP="008D0D27">
            <w:pPr>
              <w:tabs>
                <w:tab w:val="left" w:pos="6660"/>
              </w:tabs>
              <w:spacing w:before="120" w:after="120" w:line="360" w:lineRule="auto"/>
              <w:jc w:val="right"/>
              <w:rPr>
                <w:rFonts w:cs="Arial"/>
                <w:b/>
                <w:lang w:val="en-GB"/>
              </w:rPr>
            </w:pPr>
            <w:r>
              <w:rPr>
                <w:rFonts w:cs="Arial"/>
                <w:b/>
                <w:lang w:val="en-GB"/>
              </w:rPr>
              <w:t>Applicant</w:t>
            </w:r>
          </w:p>
        </w:tc>
      </w:tr>
      <w:tr w:rsidR="006572B3" w:rsidRPr="000A0ADE" w14:paraId="44B63EC9" w14:textId="77777777" w:rsidTr="00493DE1">
        <w:tc>
          <w:tcPr>
            <w:tcW w:w="5807" w:type="dxa"/>
          </w:tcPr>
          <w:p w14:paraId="7CD26F79" w14:textId="77777777" w:rsidR="006572B3" w:rsidRPr="000A0ADE" w:rsidRDefault="006572B3" w:rsidP="008D0D27">
            <w:pPr>
              <w:tabs>
                <w:tab w:val="left" w:pos="6660"/>
                <w:tab w:val="left" w:pos="7655"/>
              </w:tabs>
              <w:spacing w:before="120" w:after="120"/>
              <w:jc w:val="both"/>
              <w:rPr>
                <w:rFonts w:cs="Arial"/>
                <w:b/>
                <w:lang w:val="en-GB"/>
              </w:rPr>
            </w:pPr>
          </w:p>
          <w:p w14:paraId="300B69D9" w14:textId="77777777" w:rsidR="006572B3" w:rsidRPr="000A0ADE" w:rsidRDefault="006572B3" w:rsidP="008D0D27">
            <w:pPr>
              <w:tabs>
                <w:tab w:val="left" w:pos="6660"/>
                <w:tab w:val="left" w:pos="7371"/>
              </w:tabs>
              <w:spacing w:before="120" w:after="120"/>
              <w:jc w:val="both"/>
              <w:rPr>
                <w:rFonts w:cs="Arial"/>
                <w:b/>
                <w:lang w:val="en-GB"/>
              </w:rPr>
            </w:pPr>
            <w:r w:rsidRPr="000A0ADE">
              <w:rPr>
                <w:rFonts w:cs="Arial"/>
                <w:b/>
                <w:lang w:val="en-GB"/>
              </w:rPr>
              <w:t>versus</w:t>
            </w:r>
          </w:p>
          <w:p w14:paraId="40E86B18" w14:textId="77777777" w:rsidR="006572B3" w:rsidRPr="000A0ADE" w:rsidRDefault="006572B3" w:rsidP="008D0D27">
            <w:pPr>
              <w:spacing w:before="120" w:after="120"/>
              <w:jc w:val="both"/>
              <w:rPr>
                <w:rFonts w:cs="Arial"/>
                <w:b/>
                <w:lang w:val="en-GB"/>
              </w:rPr>
            </w:pPr>
          </w:p>
        </w:tc>
        <w:tc>
          <w:tcPr>
            <w:tcW w:w="3209" w:type="dxa"/>
          </w:tcPr>
          <w:p w14:paraId="2F615994" w14:textId="77777777" w:rsidR="006572B3" w:rsidRPr="000A0ADE" w:rsidRDefault="006572B3" w:rsidP="008D0D27">
            <w:pPr>
              <w:spacing w:before="120" w:after="120"/>
              <w:jc w:val="right"/>
              <w:rPr>
                <w:rFonts w:cs="Arial"/>
                <w:b/>
                <w:lang w:val="en-GB"/>
              </w:rPr>
            </w:pPr>
          </w:p>
        </w:tc>
      </w:tr>
      <w:tr w:rsidR="006572B3" w:rsidRPr="000A0ADE" w14:paraId="1D3271EE" w14:textId="77777777" w:rsidTr="00493DE1">
        <w:tc>
          <w:tcPr>
            <w:tcW w:w="5807" w:type="dxa"/>
          </w:tcPr>
          <w:p w14:paraId="1E936B74" w14:textId="0219C20C" w:rsidR="006572B3" w:rsidRPr="000A0ADE" w:rsidRDefault="00125DD5" w:rsidP="008D0D27">
            <w:pPr>
              <w:tabs>
                <w:tab w:val="left" w:pos="6660"/>
                <w:tab w:val="left" w:pos="7655"/>
              </w:tabs>
              <w:spacing w:before="120" w:after="120" w:line="360" w:lineRule="auto"/>
              <w:jc w:val="both"/>
              <w:rPr>
                <w:rFonts w:cs="Arial"/>
                <w:b/>
                <w:lang w:val="en-GB"/>
              </w:rPr>
            </w:pPr>
            <w:r>
              <w:rPr>
                <w:rFonts w:cs="Arial"/>
                <w:b/>
                <w:lang w:val="en-GB"/>
              </w:rPr>
              <w:t>NIGE</w:t>
            </w:r>
            <w:r w:rsidR="002B33E1">
              <w:rPr>
                <w:rFonts w:cs="Arial"/>
                <w:b/>
                <w:lang w:val="en-GB"/>
              </w:rPr>
              <w:t>L</w:t>
            </w:r>
            <w:r>
              <w:rPr>
                <w:rFonts w:cs="Arial"/>
                <w:b/>
                <w:lang w:val="en-GB"/>
              </w:rPr>
              <w:t xml:space="preserve"> OLIVER </w:t>
            </w:r>
            <w:r w:rsidR="002B33E1">
              <w:rPr>
                <w:rFonts w:cs="Arial"/>
                <w:b/>
                <w:lang w:val="en-GB"/>
              </w:rPr>
              <w:t>CUPIDO N.O.</w:t>
            </w:r>
          </w:p>
        </w:tc>
        <w:tc>
          <w:tcPr>
            <w:tcW w:w="3209" w:type="dxa"/>
          </w:tcPr>
          <w:p w14:paraId="188E1118" w14:textId="33155912" w:rsidR="006572B3" w:rsidRPr="000A0ADE" w:rsidRDefault="00125DD5" w:rsidP="008D0D27">
            <w:pPr>
              <w:spacing w:before="120" w:after="120" w:line="360" w:lineRule="auto"/>
              <w:jc w:val="right"/>
              <w:rPr>
                <w:rFonts w:cs="Arial"/>
                <w:b/>
                <w:lang w:val="en-GB"/>
              </w:rPr>
            </w:pPr>
            <w:r>
              <w:rPr>
                <w:rFonts w:cs="Arial"/>
                <w:b/>
                <w:lang w:val="en-GB"/>
              </w:rPr>
              <w:t>First Respondent</w:t>
            </w:r>
          </w:p>
        </w:tc>
      </w:tr>
      <w:tr w:rsidR="00C11B06" w:rsidRPr="000A0ADE" w14:paraId="3FF50163" w14:textId="77777777" w:rsidTr="00493DE1">
        <w:tc>
          <w:tcPr>
            <w:tcW w:w="5807" w:type="dxa"/>
          </w:tcPr>
          <w:p w14:paraId="44F177E9" w14:textId="6DAD85D1" w:rsidR="00C11B06" w:rsidRDefault="002B33E1" w:rsidP="008D0D27">
            <w:pPr>
              <w:tabs>
                <w:tab w:val="left" w:pos="6660"/>
                <w:tab w:val="left" w:pos="7655"/>
              </w:tabs>
              <w:spacing w:before="120" w:after="120" w:line="360" w:lineRule="auto"/>
              <w:jc w:val="both"/>
              <w:rPr>
                <w:rFonts w:cs="Arial"/>
                <w:b/>
                <w:lang w:val="en-GB"/>
              </w:rPr>
            </w:pPr>
            <w:r>
              <w:rPr>
                <w:rFonts w:cs="Arial"/>
                <w:b/>
                <w:lang w:val="en-GB"/>
              </w:rPr>
              <w:t>THERESA JOHANNA CUPIDO N.O.</w:t>
            </w:r>
          </w:p>
        </w:tc>
        <w:tc>
          <w:tcPr>
            <w:tcW w:w="3209" w:type="dxa"/>
          </w:tcPr>
          <w:p w14:paraId="7E91F1C5" w14:textId="2826A686" w:rsidR="00C11B06" w:rsidRDefault="00C11B06" w:rsidP="008D0D27">
            <w:pPr>
              <w:spacing w:before="120" w:after="120" w:line="360" w:lineRule="auto"/>
              <w:jc w:val="right"/>
              <w:rPr>
                <w:rFonts w:cs="Arial"/>
                <w:b/>
                <w:lang w:val="en-GB"/>
              </w:rPr>
            </w:pPr>
            <w:r>
              <w:rPr>
                <w:rFonts w:cs="Arial"/>
                <w:b/>
                <w:lang w:val="en-GB"/>
              </w:rPr>
              <w:t xml:space="preserve">Second </w:t>
            </w:r>
            <w:r w:rsidR="00125DD5">
              <w:rPr>
                <w:rFonts w:cs="Arial"/>
                <w:b/>
                <w:lang w:val="en-GB"/>
              </w:rPr>
              <w:t>Respondent</w:t>
            </w:r>
          </w:p>
        </w:tc>
      </w:tr>
      <w:tr w:rsidR="00254759" w:rsidRPr="000A0ADE" w14:paraId="700DA5F9" w14:textId="77777777" w:rsidTr="00993F38">
        <w:tc>
          <w:tcPr>
            <w:tcW w:w="9016" w:type="dxa"/>
            <w:gridSpan w:val="2"/>
          </w:tcPr>
          <w:p w14:paraId="27B1EE3F" w14:textId="483CC5A4" w:rsidR="00254759" w:rsidRDefault="00254759" w:rsidP="00254759">
            <w:pPr>
              <w:spacing w:before="120" w:after="120" w:line="360" w:lineRule="auto"/>
              <w:rPr>
                <w:rFonts w:cs="Arial"/>
                <w:b/>
                <w:lang w:val="en-GB"/>
              </w:rPr>
            </w:pPr>
            <w:r w:rsidRPr="00493DE1">
              <w:rPr>
                <w:rFonts w:cs="Arial"/>
                <w:bCs/>
                <w:i/>
                <w:iCs/>
                <w:lang w:val="en-GB"/>
              </w:rPr>
              <w:t>In their capacities as sole trustees of the TJ</w:t>
            </w:r>
            <w:r>
              <w:rPr>
                <w:rFonts w:cs="Arial"/>
                <w:bCs/>
                <w:i/>
                <w:iCs/>
                <w:lang w:val="en-GB"/>
              </w:rPr>
              <w:t> </w:t>
            </w:r>
            <w:r w:rsidRPr="00493DE1">
              <w:rPr>
                <w:rFonts w:cs="Arial"/>
                <w:bCs/>
                <w:i/>
                <w:iCs/>
                <w:lang w:val="en-GB"/>
              </w:rPr>
              <w:t>&amp;</w:t>
            </w:r>
            <w:r>
              <w:rPr>
                <w:rFonts w:cs="Arial"/>
                <w:bCs/>
                <w:i/>
                <w:iCs/>
                <w:lang w:val="en-GB"/>
              </w:rPr>
              <w:t> </w:t>
            </w:r>
            <w:r w:rsidRPr="00493DE1">
              <w:rPr>
                <w:rFonts w:cs="Arial"/>
                <w:bCs/>
                <w:i/>
                <w:iCs/>
                <w:lang w:val="en-GB"/>
              </w:rPr>
              <w:t>NO</w:t>
            </w:r>
            <w:r>
              <w:rPr>
                <w:rFonts w:cs="Arial"/>
                <w:bCs/>
                <w:i/>
                <w:iCs/>
                <w:lang w:val="en-GB"/>
              </w:rPr>
              <w:t> </w:t>
            </w:r>
            <w:r w:rsidRPr="00493DE1">
              <w:rPr>
                <w:rFonts w:cs="Arial"/>
                <w:bCs/>
                <w:i/>
                <w:iCs/>
                <w:lang w:val="en-GB"/>
              </w:rPr>
              <w:t>CUPIDO</w:t>
            </w:r>
            <w:r>
              <w:rPr>
                <w:rFonts w:cs="Arial"/>
                <w:bCs/>
                <w:i/>
                <w:iCs/>
                <w:lang w:val="en-GB"/>
              </w:rPr>
              <w:t> </w:t>
            </w:r>
            <w:r w:rsidRPr="00493DE1">
              <w:rPr>
                <w:rFonts w:cs="Arial"/>
                <w:bCs/>
                <w:i/>
                <w:iCs/>
                <w:lang w:val="en-GB"/>
              </w:rPr>
              <w:t>FAMILY</w:t>
            </w:r>
            <w:r>
              <w:rPr>
                <w:rFonts w:cs="Arial"/>
                <w:bCs/>
                <w:i/>
                <w:iCs/>
                <w:lang w:val="en-GB"/>
              </w:rPr>
              <w:t> </w:t>
            </w:r>
            <w:r w:rsidRPr="00493DE1">
              <w:rPr>
                <w:rFonts w:cs="Arial"/>
                <w:bCs/>
                <w:i/>
                <w:iCs/>
                <w:lang w:val="en-GB"/>
              </w:rPr>
              <w:t>TRUST Registration</w:t>
            </w:r>
            <w:r>
              <w:rPr>
                <w:rFonts w:cs="Arial"/>
                <w:bCs/>
                <w:i/>
                <w:iCs/>
                <w:lang w:val="en-GB"/>
              </w:rPr>
              <w:t> </w:t>
            </w:r>
            <w:r w:rsidRPr="00493DE1">
              <w:rPr>
                <w:rFonts w:cs="Arial"/>
                <w:bCs/>
                <w:i/>
                <w:iCs/>
                <w:lang w:val="en-GB"/>
              </w:rPr>
              <w:t>number</w:t>
            </w:r>
            <w:r>
              <w:rPr>
                <w:rFonts w:cs="Arial"/>
                <w:bCs/>
                <w:i/>
                <w:iCs/>
                <w:lang w:val="en-GB"/>
              </w:rPr>
              <w:t> </w:t>
            </w:r>
            <w:r w:rsidRPr="00493DE1">
              <w:rPr>
                <w:rFonts w:cs="Arial"/>
                <w:bCs/>
                <w:i/>
                <w:iCs/>
                <w:lang w:val="en-GB"/>
              </w:rPr>
              <w:t>IT</w:t>
            </w:r>
            <w:r w:rsidRPr="00493DE1">
              <w:rPr>
                <w:bCs/>
                <w:i/>
                <w:iCs/>
              </w:rPr>
              <w:t> 2940/2009,</w:t>
            </w:r>
            <w:r>
              <w:rPr>
                <w:bCs/>
                <w:i/>
                <w:iCs/>
              </w:rPr>
              <w:t xml:space="preserve"> </w:t>
            </w:r>
            <w:r w:rsidRPr="00493DE1">
              <w:rPr>
                <w:bCs/>
                <w:i/>
                <w:iCs/>
              </w:rPr>
              <w:t>12 Kogelberg Close, Welgevonden Estate Durbanville.</w:t>
            </w:r>
          </w:p>
        </w:tc>
      </w:tr>
    </w:tbl>
    <w:p w14:paraId="3DA5AD5E" w14:textId="77777777" w:rsidR="006572B3" w:rsidRDefault="006572B3" w:rsidP="006572B3">
      <w:pPr>
        <w:pBdr>
          <w:bottom w:val="single" w:sz="12" w:space="1" w:color="auto"/>
        </w:pBdr>
        <w:rPr>
          <w:rFonts w:cs="Arial"/>
          <w:lang w:val="en-GB"/>
        </w:rPr>
      </w:pPr>
    </w:p>
    <w:p w14:paraId="7C05EA21" w14:textId="74872FEE" w:rsidR="000505C9" w:rsidRPr="00EC57EE" w:rsidRDefault="000505C9" w:rsidP="006572B3">
      <w:pPr>
        <w:pBdr>
          <w:bottom w:val="single" w:sz="12" w:space="1" w:color="auto"/>
        </w:pBdr>
        <w:rPr>
          <w:rFonts w:cs="Arial"/>
          <w:b/>
          <w:bCs/>
          <w:lang w:val="en-GB"/>
        </w:rPr>
      </w:pPr>
      <w:r w:rsidRPr="00EC57EE">
        <w:rPr>
          <w:rFonts w:cs="Arial"/>
          <w:b/>
          <w:bCs/>
          <w:lang w:val="en-GB"/>
        </w:rPr>
        <w:t xml:space="preserve">Coram: </w:t>
      </w:r>
      <w:r w:rsidR="00EC57EE">
        <w:rPr>
          <w:rFonts w:cs="Arial"/>
          <w:b/>
          <w:bCs/>
          <w:lang w:val="en-GB"/>
        </w:rPr>
        <w:tab/>
      </w:r>
      <w:r w:rsidRPr="00EC57EE">
        <w:rPr>
          <w:rFonts w:cs="Arial"/>
          <w:b/>
          <w:bCs/>
          <w:lang w:val="en-GB"/>
        </w:rPr>
        <w:t>Adhikari AJ</w:t>
      </w:r>
    </w:p>
    <w:p w14:paraId="6BC9D18D" w14:textId="5D8D5CAB" w:rsidR="000505C9" w:rsidRPr="002F2663" w:rsidRDefault="00EC57EE" w:rsidP="006572B3">
      <w:pPr>
        <w:pBdr>
          <w:bottom w:val="single" w:sz="12" w:space="1" w:color="auto"/>
        </w:pBdr>
        <w:rPr>
          <w:rFonts w:cs="Arial"/>
          <w:b/>
          <w:bCs/>
          <w:lang w:val="en-GB"/>
        </w:rPr>
      </w:pPr>
      <w:r w:rsidRPr="00EC57EE">
        <w:rPr>
          <w:rFonts w:cs="Arial"/>
          <w:b/>
          <w:bCs/>
          <w:lang w:val="en-GB"/>
        </w:rPr>
        <w:t xml:space="preserve">Heard: </w:t>
      </w:r>
      <w:r>
        <w:rPr>
          <w:rFonts w:cs="Arial"/>
          <w:b/>
          <w:bCs/>
          <w:lang w:val="en-GB"/>
        </w:rPr>
        <w:tab/>
      </w:r>
      <w:r w:rsidR="002F2663">
        <w:rPr>
          <w:rFonts w:cs="Arial"/>
          <w:b/>
          <w:bCs/>
          <w:lang w:val="en-GB"/>
        </w:rPr>
        <w:t>29 January 2024</w:t>
      </w:r>
    </w:p>
    <w:p w14:paraId="2FCD6A74" w14:textId="462E3F7C" w:rsidR="00EC57EE" w:rsidRPr="002F2663" w:rsidRDefault="00EC57EE" w:rsidP="006572B3">
      <w:pPr>
        <w:pBdr>
          <w:bottom w:val="single" w:sz="12" w:space="1" w:color="auto"/>
        </w:pBdr>
        <w:rPr>
          <w:rFonts w:cs="Arial"/>
          <w:b/>
          <w:bCs/>
          <w:lang w:val="en-GB"/>
        </w:rPr>
      </w:pPr>
      <w:r w:rsidRPr="000A0ADE">
        <w:rPr>
          <w:rFonts w:cs="Arial"/>
          <w:b/>
          <w:bCs/>
          <w:lang w:val="en-GB"/>
        </w:rPr>
        <w:t>Delivered:</w:t>
      </w:r>
      <w:r w:rsidR="002F2663">
        <w:rPr>
          <w:rFonts w:cs="Arial"/>
          <w:b/>
          <w:bCs/>
          <w:lang w:val="en-GB"/>
        </w:rPr>
        <w:tab/>
        <w:t>31</w:t>
      </w:r>
      <w:r w:rsidR="002F2663" w:rsidRPr="000A0ADE">
        <w:rPr>
          <w:rFonts w:cs="Arial"/>
          <w:b/>
          <w:bCs/>
          <w:lang w:val="en-GB"/>
        </w:rPr>
        <w:t> January 2024</w:t>
      </w:r>
    </w:p>
    <w:p w14:paraId="17F8B8A8" w14:textId="77777777" w:rsidR="006572B3" w:rsidRPr="000A0ADE" w:rsidRDefault="006572B3" w:rsidP="006572B3">
      <w:pPr>
        <w:pBdr>
          <w:bottom w:val="single" w:sz="12" w:space="1" w:color="auto"/>
        </w:pBdr>
        <w:rPr>
          <w:rFonts w:cs="Arial"/>
          <w:lang w:val="en-GB"/>
        </w:rPr>
      </w:pPr>
    </w:p>
    <w:p w14:paraId="3BD0BFC7" w14:textId="77777777" w:rsidR="006572B3" w:rsidRPr="000A0ADE" w:rsidRDefault="006572B3" w:rsidP="006572B3">
      <w:pPr>
        <w:rPr>
          <w:rFonts w:cs="Arial"/>
          <w:lang w:val="en-GB"/>
        </w:rPr>
      </w:pPr>
    </w:p>
    <w:p w14:paraId="5259F85A" w14:textId="77777777" w:rsidR="006572B3" w:rsidRPr="000A0ADE" w:rsidRDefault="006572B3" w:rsidP="006572B3">
      <w:pPr>
        <w:rPr>
          <w:rFonts w:cs="Arial"/>
          <w:lang w:val="en-GB"/>
        </w:rPr>
      </w:pPr>
    </w:p>
    <w:p w14:paraId="60998456" w14:textId="713B8B66" w:rsidR="006572B3" w:rsidRPr="000A0ADE" w:rsidRDefault="006572B3" w:rsidP="006572B3">
      <w:pPr>
        <w:tabs>
          <w:tab w:val="left" w:pos="3544"/>
          <w:tab w:val="left" w:pos="3828"/>
        </w:tabs>
        <w:jc w:val="center"/>
        <w:rPr>
          <w:rFonts w:cs="Arial"/>
          <w:b/>
          <w:lang w:val="en-GB"/>
        </w:rPr>
      </w:pPr>
      <w:r w:rsidRPr="000A0ADE">
        <w:rPr>
          <w:rFonts w:cs="Arial"/>
          <w:b/>
          <w:lang w:val="en-GB"/>
        </w:rPr>
        <w:t xml:space="preserve">JUDGMENT DELIVERED ELECTRONICALLY ON </w:t>
      </w:r>
      <w:r w:rsidR="0025538D">
        <w:rPr>
          <w:rFonts w:cs="Arial"/>
          <w:b/>
          <w:lang w:val="en-GB"/>
        </w:rPr>
        <w:t>31</w:t>
      </w:r>
      <w:r w:rsidRPr="000A0ADE">
        <w:rPr>
          <w:rFonts w:cs="Arial"/>
          <w:b/>
          <w:lang w:val="en-GB"/>
        </w:rPr>
        <w:t> JANUARY 2024</w:t>
      </w:r>
    </w:p>
    <w:p w14:paraId="7C76C9CE" w14:textId="77777777" w:rsidR="006572B3" w:rsidRPr="000A0ADE" w:rsidRDefault="006572B3" w:rsidP="006572B3">
      <w:pPr>
        <w:rPr>
          <w:rFonts w:cs="Arial"/>
          <w:lang w:val="en-GB"/>
        </w:rPr>
      </w:pPr>
    </w:p>
    <w:p w14:paraId="7428D99F" w14:textId="77777777" w:rsidR="006572B3" w:rsidRPr="000A0ADE" w:rsidRDefault="006572B3" w:rsidP="006572B3">
      <w:pPr>
        <w:pBdr>
          <w:bottom w:val="single" w:sz="12" w:space="1" w:color="auto"/>
        </w:pBdr>
        <w:rPr>
          <w:rFonts w:cs="Arial"/>
          <w:lang w:val="en-GB"/>
        </w:rPr>
      </w:pPr>
    </w:p>
    <w:p w14:paraId="5E319748" w14:textId="77777777" w:rsidR="006572B3" w:rsidRPr="000A0ADE" w:rsidRDefault="006572B3" w:rsidP="006572B3">
      <w:pPr>
        <w:rPr>
          <w:rFonts w:cs="Arial"/>
          <w:lang w:val="en-GB"/>
        </w:rPr>
      </w:pPr>
    </w:p>
    <w:p w14:paraId="2F857C00" w14:textId="77777777" w:rsidR="006572B3" w:rsidRPr="000A0ADE" w:rsidRDefault="006572B3" w:rsidP="006572B3">
      <w:pPr>
        <w:rPr>
          <w:rFonts w:cs="Arial"/>
          <w:lang w:val="en-GB"/>
        </w:rPr>
      </w:pPr>
    </w:p>
    <w:p w14:paraId="2EF2D37C" w14:textId="5FF32A1D" w:rsidR="006572B3" w:rsidRPr="000A0ADE" w:rsidRDefault="006572B3" w:rsidP="006572B3">
      <w:pPr>
        <w:jc w:val="both"/>
        <w:rPr>
          <w:rFonts w:cs="Arial"/>
          <w:lang w:val="en-GB"/>
        </w:rPr>
      </w:pPr>
      <w:r w:rsidRPr="000A0ADE">
        <w:rPr>
          <w:rFonts w:cs="Arial"/>
          <w:b/>
          <w:bCs/>
          <w:lang w:val="en-GB"/>
        </w:rPr>
        <w:t xml:space="preserve">Delivered:   This judgment was handed down electronically by circulation to the parties' legal representatives by email.  The date for the hand-down is deemed to be on </w:t>
      </w:r>
      <w:r w:rsidR="0025538D">
        <w:rPr>
          <w:rFonts w:cs="Arial"/>
          <w:b/>
          <w:bCs/>
          <w:lang w:val="en-GB"/>
        </w:rPr>
        <w:t>31</w:t>
      </w:r>
      <w:r w:rsidRPr="000A0ADE">
        <w:rPr>
          <w:rFonts w:cs="Arial"/>
          <w:b/>
          <w:bCs/>
          <w:lang w:val="en-GB"/>
        </w:rPr>
        <w:t> January 2024.</w:t>
      </w:r>
    </w:p>
    <w:p w14:paraId="34A7FA77" w14:textId="77777777" w:rsidR="006572B3" w:rsidRPr="000A0ADE" w:rsidRDefault="006572B3" w:rsidP="00A72014">
      <w:pPr>
        <w:spacing w:before="120" w:after="360"/>
        <w:jc w:val="both"/>
        <w:rPr>
          <w:rFonts w:cs="Arial"/>
          <w:b/>
          <w:lang w:val="en-GB"/>
        </w:rPr>
      </w:pPr>
    </w:p>
    <w:p w14:paraId="2B406679" w14:textId="77777777" w:rsidR="006572B3" w:rsidRPr="000A0ADE" w:rsidRDefault="006572B3" w:rsidP="00A72014">
      <w:pPr>
        <w:spacing w:before="120" w:after="360"/>
        <w:jc w:val="both"/>
        <w:rPr>
          <w:rFonts w:cs="Arial"/>
          <w:b/>
          <w:lang w:val="en-GB"/>
        </w:rPr>
      </w:pPr>
      <w:r w:rsidRPr="000A0ADE">
        <w:rPr>
          <w:rFonts w:cs="Arial"/>
          <w:b/>
          <w:lang w:val="en-GB"/>
        </w:rPr>
        <w:t>ADHIKARI, AJ</w:t>
      </w:r>
    </w:p>
    <w:p w14:paraId="71960E2E" w14:textId="38182C05" w:rsidR="00F1235B" w:rsidRPr="00E2662C" w:rsidRDefault="00B20524" w:rsidP="00B20524">
      <w:pPr>
        <w:snapToGrid w:val="0"/>
        <w:spacing w:before="120" w:after="240" w:line="480" w:lineRule="auto"/>
        <w:ind w:hanging="6"/>
        <w:jc w:val="both"/>
        <w:rPr>
          <w:rFonts w:cs="Arial"/>
          <w:lang w:val="en-GB"/>
        </w:rPr>
      </w:pPr>
      <w:r w:rsidRPr="00E2662C">
        <w:rPr>
          <w:rFonts w:cs="Arial"/>
          <w:lang w:val="en-GB"/>
        </w:rPr>
        <w:lastRenderedPageBreak/>
        <w:t>[1]</w:t>
      </w:r>
      <w:r w:rsidRPr="00E2662C">
        <w:rPr>
          <w:rFonts w:cs="Arial"/>
          <w:lang w:val="en-GB"/>
        </w:rPr>
        <w:tab/>
      </w:r>
      <w:r w:rsidR="006572B3" w:rsidRPr="000A0ADE">
        <w:rPr>
          <w:rFonts w:cs="Arial"/>
          <w:lang w:val="en-GB"/>
        </w:rPr>
        <w:t xml:space="preserve">This is an </w:t>
      </w:r>
      <w:r w:rsidR="00407222">
        <w:rPr>
          <w:rFonts w:cs="Arial"/>
          <w:lang w:val="en-GB"/>
        </w:rPr>
        <w:t>opposed application for</w:t>
      </w:r>
      <w:r w:rsidR="00A07C94">
        <w:rPr>
          <w:rFonts w:cs="Arial"/>
          <w:lang w:val="en-GB"/>
        </w:rPr>
        <w:t xml:space="preserve"> the provisional sequestration</w:t>
      </w:r>
      <w:r w:rsidR="00A32757">
        <w:rPr>
          <w:rFonts w:cs="Arial"/>
          <w:lang w:val="en-GB"/>
        </w:rPr>
        <w:t xml:space="preserve"> of the </w:t>
      </w:r>
      <w:r w:rsidR="00A32757" w:rsidRPr="00493DE1">
        <w:rPr>
          <w:rFonts w:cs="Arial"/>
          <w:bCs/>
          <w:i/>
          <w:iCs/>
          <w:lang w:val="en-GB"/>
        </w:rPr>
        <w:t>TJ</w:t>
      </w:r>
      <w:r w:rsidR="00A32757">
        <w:rPr>
          <w:rFonts w:cs="Arial"/>
          <w:bCs/>
          <w:i/>
          <w:iCs/>
          <w:lang w:val="en-GB"/>
        </w:rPr>
        <w:t> </w:t>
      </w:r>
      <w:r w:rsidR="00A32757" w:rsidRPr="00493DE1">
        <w:rPr>
          <w:rFonts w:cs="Arial"/>
          <w:bCs/>
          <w:i/>
          <w:iCs/>
          <w:lang w:val="en-GB"/>
        </w:rPr>
        <w:t>&amp;</w:t>
      </w:r>
      <w:r w:rsidR="00A32757">
        <w:rPr>
          <w:rFonts w:cs="Arial"/>
          <w:bCs/>
          <w:i/>
          <w:iCs/>
          <w:lang w:val="en-GB"/>
        </w:rPr>
        <w:t> </w:t>
      </w:r>
      <w:r w:rsidR="00A32757" w:rsidRPr="00493DE1">
        <w:rPr>
          <w:rFonts w:cs="Arial"/>
          <w:bCs/>
          <w:i/>
          <w:iCs/>
          <w:lang w:val="en-GB"/>
        </w:rPr>
        <w:t>NO</w:t>
      </w:r>
      <w:r w:rsidR="00A32757">
        <w:rPr>
          <w:rFonts w:cs="Arial"/>
          <w:bCs/>
          <w:i/>
          <w:iCs/>
          <w:lang w:val="en-GB"/>
        </w:rPr>
        <w:t> </w:t>
      </w:r>
      <w:r w:rsidR="00A32757" w:rsidRPr="00493DE1">
        <w:rPr>
          <w:rFonts w:cs="Arial"/>
          <w:bCs/>
          <w:i/>
          <w:iCs/>
          <w:lang w:val="en-GB"/>
        </w:rPr>
        <w:t>Cupido</w:t>
      </w:r>
      <w:r w:rsidR="00A32757">
        <w:rPr>
          <w:rFonts w:cs="Arial"/>
          <w:bCs/>
          <w:i/>
          <w:iCs/>
          <w:lang w:val="en-GB"/>
        </w:rPr>
        <w:t> </w:t>
      </w:r>
      <w:r w:rsidR="00A32757" w:rsidRPr="00493DE1">
        <w:rPr>
          <w:rFonts w:cs="Arial"/>
          <w:bCs/>
          <w:i/>
          <w:iCs/>
          <w:lang w:val="en-GB"/>
        </w:rPr>
        <w:t>Family</w:t>
      </w:r>
      <w:r w:rsidR="00A32757">
        <w:rPr>
          <w:rFonts w:cs="Arial"/>
          <w:bCs/>
          <w:i/>
          <w:iCs/>
          <w:lang w:val="en-GB"/>
        </w:rPr>
        <w:t> </w:t>
      </w:r>
      <w:r w:rsidR="00A32757" w:rsidRPr="00493DE1">
        <w:rPr>
          <w:rFonts w:cs="Arial"/>
          <w:bCs/>
          <w:i/>
          <w:iCs/>
          <w:lang w:val="en-GB"/>
        </w:rPr>
        <w:t>Trust</w:t>
      </w:r>
      <w:r w:rsidR="00A32757">
        <w:rPr>
          <w:rFonts w:cs="Arial"/>
          <w:bCs/>
          <w:i/>
          <w:iCs/>
          <w:lang w:val="en-GB"/>
        </w:rPr>
        <w:t xml:space="preserve"> </w:t>
      </w:r>
      <w:r w:rsidR="00A32757" w:rsidRPr="00A32757">
        <w:rPr>
          <w:rFonts w:cs="Arial"/>
          <w:bCs/>
          <w:lang w:val="en-GB"/>
        </w:rPr>
        <w:t>(</w:t>
      </w:r>
      <w:r w:rsidR="00A32757">
        <w:rPr>
          <w:rFonts w:cs="Arial"/>
          <w:bCs/>
          <w:lang w:val="en-GB"/>
        </w:rPr>
        <w:t>‘the Trust’</w:t>
      </w:r>
      <w:r w:rsidR="00A32757" w:rsidRPr="00A32757">
        <w:rPr>
          <w:rFonts w:cs="Arial"/>
          <w:bCs/>
          <w:lang w:val="en-GB"/>
        </w:rPr>
        <w:t>)</w:t>
      </w:r>
      <w:r w:rsidR="00FB4873">
        <w:rPr>
          <w:rFonts w:cs="Arial"/>
          <w:bCs/>
          <w:lang w:val="en-GB"/>
        </w:rPr>
        <w:t xml:space="preserve">. </w:t>
      </w:r>
      <w:r w:rsidR="00E2662C">
        <w:rPr>
          <w:rFonts w:cs="Arial"/>
          <w:lang w:val="en-GB"/>
        </w:rPr>
        <w:t xml:space="preserve"> </w:t>
      </w:r>
      <w:r w:rsidR="00314120" w:rsidRPr="00E2662C">
        <w:rPr>
          <w:rFonts w:cs="Arial"/>
          <w:bCs/>
          <w:lang w:val="en-GB"/>
        </w:rPr>
        <w:t xml:space="preserve">The application was on the roll </w:t>
      </w:r>
      <w:r w:rsidR="00A76835" w:rsidRPr="00E2662C">
        <w:rPr>
          <w:rFonts w:cs="Arial"/>
          <w:bCs/>
          <w:lang w:val="en-GB"/>
        </w:rPr>
        <w:t xml:space="preserve">for hearing on 11 July 2023.  It appears from the record that shortly before the </w:t>
      </w:r>
      <w:r w:rsidR="00AB1E4F" w:rsidRPr="00E2662C">
        <w:rPr>
          <w:rFonts w:cs="Arial"/>
          <w:bCs/>
          <w:lang w:val="en-GB"/>
        </w:rPr>
        <w:t>hearing</w:t>
      </w:r>
      <w:r w:rsidR="001E0F97">
        <w:rPr>
          <w:rFonts w:cs="Arial"/>
          <w:bCs/>
          <w:lang w:val="en-GB"/>
        </w:rPr>
        <w:t xml:space="preserve"> </w:t>
      </w:r>
      <w:r w:rsidR="001E0F97" w:rsidRPr="00E2662C">
        <w:rPr>
          <w:rFonts w:cs="Arial"/>
          <w:bCs/>
          <w:lang w:val="en-GB"/>
        </w:rPr>
        <w:t>on 11 July 2023</w:t>
      </w:r>
      <w:r w:rsidR="00A24B79" w:rsidRPr="00E2662C">
        <w:rPr>
          <w:rFonts w:cs="Arial"/>
          <w:bCs/>
          <w:lang w:val="en-GB"/>
        </w:rPr>
        <w:t>,</w:t>
      </w:r>
      <w:r w:rsidR="00AB1E4F" w:rsidRPr="00E2662C">
        <w:rPr>
          <w:rFonts w:cs="Arial"/>
          <w:bCs/>
          <w:lang w:val="en-GB"/>
        </w:rPr>
        <w:t xml:space="preserve"> the </w:t>
      </w:r>
      <w:r w:rsidR="00802B67" w:rsidRPr="00E2662C">
        <w:rPr>
          <w:rFonts w:cs="Arial"/>
          <w:bCs/>
          <w:lang w:val="en-GB"/>
        </w:rPr>
        <w:t>Trust delivered a notice of intention to oppose</w:t>
      </w:r>
      <w:r w:rsidR="001E0F97">
        <w:rPr>
          <w:rFonts w:cs="Arial"/>
          <w:bCs/>
          <w:lang w:val="en-GB"/>
        </w:rPr>
        <w:t>,</w:t>
      </w:r>
      <w:r w:rsidR="00802B67" w:rsidRPr="00E2662C">
        <w:rPr>
          <w:rFonts w:cs="Arial"/>
          <w:bCs/>
          <w:lang w:val="en-GB"/>
        </w:rPr>
        <w:t xml:space="preserve"> and consequently the matter was postponed by agreement between the parties to 29 January 2024</w:t>
      </w:r>
      <w:r w:rsidR="00A24B79" w:rsidRPr="00E2662C">
        <w:rPr>
          <w:rFonts w:cs="Arial"/>
          <w:bCs/>
          <w:lang w:val="en-GB"/>
        </w:rPr>
        <w:t>,</w:t>
      </w:r>
      <w:r w:rsidR="00802B67" w:rsidRPr="00E2662C">
        <w:rPr>
          <w:rFonts w:cs="Arial"/>
          <w:bCs/>
          <w:lang w:val="en-GB"/>
        </w:rPr>
        <w:t xml:space="preserve"> </w:t>
      </w:r>
      <w:r w:rsidR="00F1235B" w:rsidRPr="00E2662C">
        <w:rPr>
          <w:rFonts w:cs="Arial"/>
          <w:bCs/>
          <w:lang w:val="en-GB"/>
        </w:rPr>
        <w:t xml:space="preserve">and a timetable regulating the further conduct was agreed and made an order of </w:t>
      </w:r>
      <w:r w:rsidR="001E0F97">
        <w:rPr>
          <w:rFonts w:cs="Arial"/>
          <w:bCs/>
          <w:lang w:val="en-GB"/>
        </w:rPr>
        <w:t>c</w:t>
      </w:r>
      <w:r w:rsidR="00F1235B" w:rsidRPr="00E2662C">
        <w:rPr>
          <w:rFonts w:cs="Arial"/>
          <w:bCs/>
          <w:lang w:val="en-GB"/>
        </w:rPr>
        <w:t>ourt.</w:t>
      </w:r>
      <w:r w:rsidR="00980F99" w:rsidRPr="00E2662C">
        <w:rPr>
          <w:rFonts w:cs="Arial"/>
          <w:lang w:val="en-GB"/>
        </w:rPr>
        <w:t xml:space="preserve">  </w:t>
      </w:r>
      <w:r w:rsidR="00F1235B" w:rsidRPr="00E2662C">
        <w:rPr>
          <w:rFonts w:cs="Arial"/>
          <w:bCs/>
          <w:lang w:val="en-GB"/>
        </w:rPr>
        <w:t>In terms of th</w:t>
      </w:r>
      <w:r w:rsidR="00A24B79" w:rsidRPr="00E2662C">
        <w:rPr>
          <w:rFonts w:cs="Arial"/>
          <w:bCs/>
          <w:lang w:val="en-GB"/>
        </w:rPr>
        <w:t>at</w:t>
      </w:r>
      <w:r w:rsidR="00F1235B" w:rsidRPr="00E2662C">
        <w:rPr>
          <w:rFonts w:cs="Arial"/>
          <w:bCs/>
          <w:lang w:val="en-GB"/>
        </w:rPr>
        <w:t xml:space="preserve"> order</w:t>
      </w:r>
      <w:r w:rsidR="00980F99" w:rsidRPr="00E2662C">
        <w:rPr>
          <w:rFonts w:cs="Arial"/>
          <w:bCs/>
          <w:lang w:val="en-GB"/>
        </w:rPr>
        <w:t>, the Trust was required to deliver its answering affidavit by 31 August 2023.</w:t>
      </w:r>
    </w:p>
    <w:p w14:paraId="30E79391" w14:textId="020C9762" w:rsidR="0058478C" w:rsidRPr="00105B90" w:rsidRDefault="00B20524" w:rsidP="00B20524">
      <w:pPr>
        <w:snapToGrid w:val="0"/>
        <w:spacing w:before="120" w:after="240" w:line="480" w:lineRule="auto"/>
        <w:ind w:hanging="6"/>
        <w:jc w:val="both"/>
        <w:rPr>
          <w:rFonts w:cs="Arial"/>
          <w:lang w:val="en-GB"/>
        </w:rPr>
      </w:pPr>
      <w:r w:rsidRPr="00105B90">
        <w:rPr>
          <w:rFonts w:cs="Arial"/>
          <w:lang w:val="en-GB"/>
        </w:rPr>
        <w:t>[2]</w:t>
      </w:r>
      <w:r w:rsidRPr="00105B90">
        <w:rPr>
          <w:rFonts w:cs="Arial"/>
          <w:lang w:val="en-GB"/>
        </w:rPr>
        <w:tab/>
      </w:r>
      <w:r w:rsidR="00980F99">
        <w:rPr>
          <w:rFonts w:cs="Arial"/>
          <w:bCs/>
          <w:lang w:val="en-GB"/>
        </w:rPr>
        <w:t>The Trust did not adhere to the agreed order</w:t>
      </w:r>
      <w:r w:rsidR="00A24B79">
        <w:rPr>
          <w:rFonts w:cs="Arial"/>
          <w:bCs/>
          <w:lang w:val="en-GB"/>
        </w:rPr>
        <w:t>,</w:t>
      </w:r>
      <w:r w:rsidR="00980F99">
        <w:rPr>
          <w:rFonts w:cs="Arial"/>
          <w:bCs/>
          <w:lang w:val="en-GB"/>
        </w:rPr>
        <w:t xml:space="preserve"> and </w:t>
      </w:r>
      <w:r w:rsidR="00A24B79">
        <w:rPr>
          <w:rFonts w:cs="Arial"/>
          <w:bCs/>
          <w:lang w:val="en-GB"/>
        </w:rPr>
        <w:t xml:space="preserve">instead </w:t>
      </w:r>
      <w:r w:rsidR="00980F99">
        <w:rPr>
          <w:rFonts w:cs="Arial"/>
          <w:bCs/>
          <w:lang w:val="en-GB"/>
        </w:rPr>
        <w:t xml:space="preserve">delivered its answering affidavit </w:t>
      </w:r>
      <w:r w:rsidR="00A24B79">
        <w:rPr>
          <w:rFonts w:cs="Arial"/>
          <w:bCs/>
          <w:lang w:val="en-GB"/>
        </w:rPr>
        <w:t xml:space="preserve">almost five months later, </w:t>
      </w:r>
      <w:r w:rsidR="00980F99">
        <w:rPr>
          <w:rFonts w:cs="Arial"/>
          <w:bCs/>
          <w:lang w:val="en-GB"/>
        </w:rPr>
        <w:t>on 2</w:t>
      </w:r>
      <w:r w:rsidR="003B20EE">
        <w:rPr>
          <w:rFonts w:cs="Arial"/>
          <w:bCs/>
          <w:lang w:val="en-GB"/>
        </w:rPr>
        <w:t>6</w:t>
      </w:r>
      <w:r w:rsidR="00980F99">
        <w:rPr>
          <w:rFonts w:cs="Arial"/>
          <w:bCs/>
          <w:lang w:val="en-GB"/>
        </w:rPr>
        <w:t> January 2024</w:t>
      </w:r>
      <w:r w:rsidR="003B20EE">
        <w:rPr>
          <w:rFonts w:cs="Arial"/>
          <w:bCs/>
          <w:lang w:val="en-GB"/>
        </w:rPr>
        <w:t xml:space="preserve">. </w:t>
      </w:r>
      <w:r w:rsidR="003B20EE" w:rsidRPr="00EB2B4F">
        <w:rPr>
          <w:rFonts w:cs="Arial"/>
          <w:bCs/>
          <w:lang w:val="en-GB"/>
        </w:rPr>
        <w:t xml:space="preserve">The answering affidavit contains perfunctory submissions in which the Trust seeks condonation </w:t>
      </w:r>
      <w:r w:rsidR="00274887">
        <w:rPr>
          <w:rFonts w:cs="Arial"/>
          <w:bCs/>
          <w:lang w:val="en-GB"/>
        </w:rPr>
        <w:t xml:space="preserve">for </w:t>
      </w:r>
      <w:r w:rsidR="003B20EE" w:rsidRPr="00EB2B4F">
        <w:rPr>
          <w:rFonts w:cs="Arial"/>
          <w:bCs/>
          <w:lang w:val="en-GB"/>
        </w:rPr>
        <w:t xml:space="preserve">the late delivery of its answering affidavit.  In addition, the </w:t>
      </w:r>
      <w:r w:rsidR="00A33FFC" w:rsidRPr="00EB2B4F">
        <w:rPr>
          <w:rFonts w:cs="Arial"/>
          <w:bCs/>
          <w:lang w:val="en-GB"/>
        </w:rPr>
        <w:t>Trust delivered a formal condonation application supported by an affidavit deposed to by the Trust’s instructing attorney.  The condonation application was also delivered on 26 January 2024.</w:t>
      </w:r>
      <w:r w:rsidR="001010E0">
        <w:rPr>
          <w:rStyle w:val="FootnoteReference"/>
          <w:rFonts w:cs="Arial"/>
          <w:bCs/>
          <w:lang w:val="en-GB"/>
        </w:rPr>
        <w:footnoteReference w:id="1"/>
      </w:r>
      <w:r w:rsidR="00A33FFC" w:rsidRPr="00EB2B4F">
        <w:rPr>
          <w:rFonts w:cs="Arial"/>
          <w:bCs/>
          <w:lang w:val="en-GB"/>
        </w:rPr>
        <w:t xml:space="preserve">  </w:t>
      </w:r>
      <w:r w:rsidR="00105B90">
        <w:rPr>
          <w:rFonts w:cs="Arial"/>
          <w:bCs/>
          <w:lang w:val="en-GB"/>
        </w:rPr>
        <w:t>The condonation application is opposed by the applicant (</w:t>
      </w:r>
      <w:r w:rsidR="007B788A">
        <w:rPr>
          <w:rFonts w:cs="Arial"/>
          <w:bCs/>
          <w:lang w:val="en-GB"/>
        </w:rPr>
        <w:t>‘</w:t>
      </w:r>
      <w:r w:rsidR="00105B90">
        <w:rPr>
          <w:rFonts w:cs="Arial"/>
          <w:bCs/>
          <w:lang w:val="en-GB"/>
        </w:rPr>
        <w:t>ABSA</w:t>
      </w:r>
      <w:r w:rsidR="007B788A">
        <w:rPr>
          <w:rFonts w:cs="Arial"/>
          <w:bCs/>
          <w:lang w:val="en-GB"/>
        </w:rPr>
        <w:t>’</w:t>
      </w:r>
      <w:r w:rsidR="00105B90">
        <w:rPr>
          <w:rFonts w:cs="Arial"/>
          <w:bCs/>
          <w:lang w:val="en-GB"/>
        </w:rPr>
        <w:t>).</w:t>
      </w:r>
    </w:p>
    <w:p w14:paraId="0024A19E" w14:textId="0C0A4BDA" w:rsidR="00EB2B4F" w:rsidRPr="00EE6CE1" w:rsidRDefault="00B20524" w:rsidP="00B20524">
      <w:pPr>
        <w:snapToGrid w:val="0"/>
        <w:spacing w:before="120" w:after="240" w:line="480" w:lineRule="auto"/>
        <w:ind w:hanging="6"/>
        <w:jc w:val="both"/>
        <w:rPr>
          <w:rFonts w:cs="Arial"/>
          <w:lang w:val="en-GB"/>
        </w:rPr>
      </w:pPr>
      <w:r w:rsidRPr="00EE6CE1">
        <w:rPr>
          <w:rFonts w:cs="Arial"/>
          <w:lang w:val="en-GB"/>
        </w:rPr>
        <w:t>[3]</w:t>
      </w:r>
      <w:r w:rsidRPr="00EE6CE1">
        <w:rPr>
          <w:rFonts w:cs="Arial"/>
          <w:lang w:val="en-GB"/>
        </w:rPr>
        <w:tab/>
      </w:r>
      <w:r w:rsidR="00EB2B4F">
        <w:rPr>
          <w:rFonts w:cs="Arial"/>
          <w:bCs/>
          <w:lang w:val="en-GB"/>
        </w:rPr>
        <w:t xml:space="preserve">The issues which </w:t>
      </w:r>
      <w:r w:rsidR="00105B90">
        <w:rPr>
          <w:rFonts w:cs="Arial"/>
          <w:bCs/>
          <w:lang w:val="en-GB"/>
        </w:rPr>
        <w:t xml:space="preserve">I am called upon to determine are first, whether </w:t>
      </w:r>
      <w:r w:rsidR="00EE6CE1">
        <w:rPr>
          <w:rFonts w:cs="Arial"/>
          <w:bCs/>
          <w:lang w:val="en-GB"/>
        </w:rPr>
        <w:t>condonation should be granted for the late delivery of the answering affidavit and second whether ABSA has made out a case for the provisional sequestration of the Trust.</w:t>
      </w:r>
    </w:p>
    <w:p w14:paraId="75F5370D" w14:textId="03F6F8E3" w:rsidR="00EE6CE1" w:rsidRPr="00EE6CE1" w:rsidRDefault="00EE6CE1" w:rsidP="00D717A2">
      <w:pPr>
        <w:pStyle w:val="Heading1"/>
        <w:rPr>
          <w:lang w:val="en-GB"/>
        </w:rPr>
      </w:pPr>
      <w:r w:rsidRPr="00EE6CE1">
        <w:rPr>
          <w:lang w:val="en-GB"/>
        </w:rPr>
        <w:lastRenderedPageBreak/>
        <w:t>CONDONATION</w:t>
      </w:r>
    </w:p>
    <w:p w14:paraId="2FF72958" w14:textId="70807B62" w:rsidR="00412C69" w:rsidRPr="00714858" w:rsidRDefault="00B20524" w:rsidP="00B20524">
      <w:pPr>
        <w:snapToGrid w:val="0"/>
        <w:spacing w:before="120" w:after="240" w:line="480" w:lineRule="auto"/>
        <w:ind w:hanging="6"/>
        <w:jc w:val="both"/>
        <w:rPr>
          <w:rFonts w:cs="Arial"/>
          <w:lang w:val="en-GB"/>
        </w:rPr>
      </w:pPr>
      <w:r w:rsidRPr="00714858">
        <w:rPr>
          <w:rFonts w:cs="Arial"/>
          <w:lang w:val="en-GB"/>
        </w:rPr>
        <w:t>[4]</w:t>
      </w:r>
      <w:r w:rsidRPr="00714858">
        <w:rPr>
          <w:rFonts w:cs="Arial"/>
          <w:lang w:val="en-GB"/>
        </w:rPr>
        <w:tab/>
      </w:r>
      <w:r w:rsidR="002665B2" w:rsidRPr="002665B2">
        <w:rPr>
          <w:rFonts w:cs="Arial"/>
          <w:color w:val="000000"/>
          <w:lang w:val="en-GB"/>
        </w:rPr>
        <w:t xml:space="preserve">It is by now trite that condonation is not a mere formality, nor is to be had for the asking.  </w:t>
      </w:r>
      <w:r w:rsidR="00AD60DE" w:rsidRPr="00AD60DE">
        <w:rPr>
          <w:rFonts w:cs="Arial"/>
        </w:rPr>
        <w:t>An applicant for condonation is required to set out fully the explanation for the delay; the explanation must cover the entire period of the delay and must be reasonable.</w:t>
      </w:r>
      <w:r w:rsidR="00AD60DE" w:rsidRPr="00CA4014">
        <w:rPr>
          <w:rStyle w:val="FootnoteReference"/>
          <w:rFonts w:cs="Arial"/>
        </w:rPr>
        <w:footnoteReference w:id="2"/>
      </w:r>
      <w:r w:rsidR="00412C69">
        <w:rPr>
          <w:rFonts w:cs="Arial"/>
        </w:rPr>
        <w:t xml:space="preserve">  </w:t>
      </w:r>
      <w:r w:rsidR="00412C69" w:rsidRPr="00412C69">
        <w:rPr>
          <w:color w:val="000000" w:themeColor="text1"/>
        </w:rPr>
        <w:t>The factors which usually weigh with a court in considering an application for condonation include the degree of non-compliance, the explanation therefor, the importance of the case, the convenience of the court and the avoidance of unnecessary delay in the administration of justice.</w:t>
      </w:r>
      <w:r w:rsidR="00412C69" w:rsidRPr="00C94C41">
        <w:rPr>
          <w:rStyle w:val="FootnoteReference"/>
          <w:color w:val="000000" w:themeColor="text1"/>
        </w:rPr>
        <w:footnoteReference w:id="3"/>
      </w:r>
    </w:p>
    <w:p w14:paraId="57BA4473" w14:textId="3293F08F" w:rsidR="00714858" w:rsidRPr="000244D9" w:rsidRDefault="00B20524" w:rsidP="00B20524">
      <w:pPr>
        <w:snapToGrid w:val="0"/>
        <w:spacing w:before="120" w:after="240" w:line="480" w:lineRule="auto"/>
        <w:ind w:hanging="6"/>
        <w:jc w:val="both"/>
        <w:rPr>
          <w:rFonts w:cs="Arial"/>
          <w:lang w:val="en-GB"/>
        </w:rPr>
      </w:pPr>
      <w:r w:rsidRPr="000244D9">
        <w:rPr>
          <w:rFonts w:cs="Arial"/>
          <w:lang w:val="en-GB"/>
        </w:rPr>
        <w:t>[5]</w:t>
      </w:r>
      <w:r w:rsidRPr="000244D9">
        <w:rPr>
          <w:rFonts w:cs="Arial"/>
          <w:lang w:val="en-GB"/>
        </w:rPr>
        <w:tab/>
      </w:r>
      <w:r w:rsidR="00737885">
        <w:rPr>
          <w:color w:val="000000" w:themeColor="text1"/>
        </w:rPr>
        <w:t>In the founding affidavit in support of the application for condonation,</w:t>
      </w:r>
      <w:r w:rsidR="00790022">
        <w:rPr>
          <w:color w:val="000000" w:themeColor="text1"/>
        </w:rPr>
        <w:t xml:space="preserve"> deposed to by the Trust’s instructing attorney,</w:t>
      </w:r>
      <w:r w:rsidR="00737885">
        <w:rPr>
          <w:color w:val="000000" w:themeColor="text1"/>
        </w:rPr>
        <w:t xml:space="preserve"> it is incorrectly contended that the </w:t>
      </w:r>
      <w:r w:rsidR="002B2C9D">
        <w:rPr>
          <w:color w:val="000000" w:themeColor="text1"/>
        </w:rPr>
        <w:t xml:space="preserve">Trust’s answering affidavit </w:t>
      </w:r>
      <w:r w:rsidR="00E967E3">
        <w:rPr>
          <w:color w:val="000000" w:themeColor="text1"/>
        </w:rPr>
        <w:t xml:space="preserve">ought to have been delivered on 31 October 2023 and </w:t>
      </w:r>
      <w:r w:rsidR="002B2C9D">
        <w:rPr>
          <w:color w:val="000000" w:themeColor="text1"/>
        </w:rPr>
        <w:t>is</w:t>
      </w:r>
      <w:r w:rsidR="00E967E3">
        <w:rPr>
          <w:color w:val="000000" w:themeColor="text1"/>
        </w:rPr>
        <w:t xml:space="preserve"> therefore</w:t>
      </w:r>
      <w:r w:rsidR="002B2C9D">
        <w:rPr>
          <w:color w:val="000000" w:themeColor="text1"/>
        </w:rPr>
        <w:t xml:space="preserve"> approximately two and a half months late</w:t>
      </w:r>
      <w:r w:rsidR="00340B67">
        <w:rPr>
          <w:color w:val="000000" w:themeColor="text1"/>
        </w:rPr>
        <w:t xml:space="preserve">. </w:t>
      </w:r>
      <w:r w:rsidR="00EA43E5">
        <w:rPr>
          <w:color w:val="000000" w:themeColor="text1"/>
        </w:rPr>
        <w:t xml:space="preserve"> The postponement order, however, required the Trust to deliver its answering affidavit by 31 August 2023, and consequently the answering affidavit is in fact</w:t>
      </w:r>
      <w:r w:rsidR="00A24B79">
        <w:rPr>
          <w:color w:val="000000" w:themeColor="text1"/>
        </w:rPr>
        <w:t>, as aforesaid,</w:t>
      </w:r>
      <w:r w:rsidR="00EA43E5">
        <w:rPr>
          <w:color w:val="000000" w:themeColor="text1"/>
        </w:rPr>
        <w:t xml:space="preserve"> </w:t>
      </w:r>
      <w:r w:rsidR="000244D9">
        <w:rPr>
          <w:color w:val="000000" w:themeColor="text1"/>
        </w:rPr>
        <w:t xml:space="preserve">nearly </w:t>
      </w:r>
      <w:r w:rsidR="00A47B5B">
        <w:rPr>
          <w:color w:val="000000" w:themeColor="text1"/>
        </w:rPr>
        <w:t>five</w:t>
      </w:r>
      <w:r w:rsidR="000244D9">
        <w:rPr>
          <w:color w:val="000000" w:themeColor="text1"/>
        </w:rPr>
        <w:t xml:space="preserve"> months out of time. </w:t>
      </w:r>
    </w:p>
    <w:p w14:paraId="0D8ED831" w14:textId="535658A7" w:rsidR="00790022" w:rsidRPr="003928EB" w:rsidRDefault="00B20524" w:rsidP="00B20524">
      <w:pPr>
        <w:snapToGrid w:val="0"/>
        <w:spacing w:before="120" w:after="240" w:line="480" w:lineRule="auto"/>
        <w:ind w:hanging="6"/>
        <w:jc w:val="both"/>
        <w:rPr>
          <w:rFonts w:cs="Arial"/>
          <w:lang w:val="en-GB"/>
        </w:rPr>
      </w:pPr>
      <w:r w:rsidRPr="003928EB">
        <w:rPr>
          <w:rFonts w:cs="Arial"/>
          <w:lang w:val="en-GB"/>
        </w:rPr>
        <w:t>[6]</w:t>
      </w:r>
      <w:r w:rsidRPr="003928EB">
        <w:rPr>
          <w:rFonts w:cs="Arial"/>
          <w:lang w:val="en-GB"/>
        </w:rPr>
        <w:tab/>
      </w:r>
      <w:r w:rsidR="00F876A6">
        <w:rPr>
          <w:rFonts w:cs="Arial"/>
          <w:lang w:val="en-GB"/>
        </w:rPr>
        <w:t xml:space="preserve">It is contended on behalf of the Trust that the delay was occasioned by the fact that </w:t>
      </w:r>
      <w:r w:rsidR="0004278F">
        <w:rPr>
          <w:rFonts w:cs="Arial"/>
          <w:lang w:val="en-GB"/>
        </w:rPr>
        <w:t xml:space="preserve">the Trust anticipated being awarded </w:t>
      </w:r>
      <w:r w:rsidR="00DA1C5B">
        <w:rPr>
          <w:rFonts w:cs="Arial"/>
          <w:lang w:val="en-GB"/>
        </w:rPr>
        <w:t>certain contracts alluded to in the answering affidavit</w:t>
      </w:r>
      <w:r w:rsidR="00016949">
        <w:rPr>
          <w:rFonts w:cs="Arial"/>
          <w:lang w:val="en-GB"/>
        </w:rPr>
        <w:t>,</w:t>
      </w:r>
      <w:r w:rsidR="00DA1C5B">
        <w:rPr>
          <w:rFonts w:cs="Arial"/>
          <w:lang w:val="en-GB"/>
        </w:rPr>
        <w:t xml:space="preserve"> and that it was only in the latter part of 2023 that these contracts </w:t>
      </w:r>
      <w:r w:rsidR="00934BFE">
        <w:rPr>
          <w:rFonts w:cs="Arial"/>
          <w:lang w:val="en-GB"/>
        </w:rPr>
        <w:t>were awarded</w:t>
      </w:r>
      <w:r w:rsidR="0095283F">
        <w:rPr>
          <w:rFonts w:cs="Arial"/>
          <w:lang w:val="en-GB"/>
        </w:rPr>
        <w:t>.</w:t>
      </w:r>
      <w:r w:rsidR="00934BFE">
        <w:rPr>
          <w:rFonts w:cs="Arial"/>
          <w:lang w:val="en-GB"/>
        </w:rPr>
        <w:t xml:space="preserve"> </w:t>
      </w:r>
      <w:r w:rsidR="0095283F">
        <w:rPr>
          <w:rFonts w:cs="Arial"/>
          <w:lang w:val="en-GB"/>
        </w:rPr>
        <w:t xml:space="preserve"> It is further contended </w:t>
      </w:r>
      <w:r w:rsidR="00934BFE">
        <w:rPr>
          <w:rFonts w:cs="Arial"/>
          <w:lang w:val="en-GB"/>
        </w:rPr>
        <w:t xml:space="preserve">that </w:t>
      </w:r>
      <w:r w:rsidR="008F47AB">
        <w:rPr>
          <w:rFonts w:cs="Arial"/>
          <w:lang w:val="en-GB"/>
        </w:rPr>
        <w:t xml:space="preserve">the answering affidavit could only be </w:t>
      </w:r>
      <w:r w:rsidR="000906BA">
        <w:rPr>
          <w:rFonts w:cs="Arial"/>
          <w:lang w:val="en-GB"/>
        </w:rPr>
        <w:t xml:space="preserve">prepared </w:t>
      </w:r>
      <w:r w:rsidR="00D454B0">
        <w:rPr>
          <w:rFonts w:cs="Arial"/>
          <w:lang w:val="en-GB"/>
        </w:rPr>
        <w:t>once the Trust’s</w:t>
      </w:r>
      <w:r w:rsidR="00FE0CB2">
        <w:rPr>
          <w:rFonts w:cs="Arial"/>
          <w:lang w:val="en-GB"/>
        </w:rPr>
        <w:t xml:space="preserve"> attorneys had been provided </w:t>
      </w:r>
      <w:r w:rsidR="003928EB">
        <w:rPr>
          <w:rFonts w:cs="Arial"/>
          <w:lang w:val="en-GB"/>
        </w:rPr>
        <w:t xml:space="preserve">with </w:t>
      </w:r>
      <w:r w:rsidR="003928EB" w:rsidRPr="003928EB">
        <w:rPr>
          <w:rFonts w:cs="Arial"/>
          <w:i/>
          <w:iCs/>
          <w:lang w:val="en-GB"/>
        </w:rPr>
        <w:t>“bone (sic) fide grounds and proof of [its] intention and commitment to comply with its financial commitments”</w:t>
      </w:r>
      <w:r w:rsidR="0020273F" w:rsidRPr="0020273F">
        <w:rPr>
          <w:rFonts w:cs="Arial"/>
          <w:lang w:val="en-GB"/>
        </w:rPr>
        <w:t>,</w:t>
      </w:r>
      <w:r w:rsidR="003928EB">
        <w:rPr>
          <w:rFonts w:cs="Arial"/>
          <w:lang w:val="en-GB"/>
        </w:rPr>
        <w:t xml:space="preserve"> and that </w:t>
      </w:r>
      <w:r w:rsidR="003928EB">
        <w:rPr>
          <w:rFonts w:cs="Arial"/>
          <w:lang w:val="en-GB"/>
        </w:rPr>
        <w:lastRenderedPageBreak/>
        <w:t>this was only possible once the Trust’s</w:t>
      </w:r>
      <w:r w:rsidR="00934BFE" w:rsidRPr="003928EB">
        <w:rPr>
          <w:rFonts w:cs="Arial"/>
          <w:lang w:val="en-GB"/>
        </w:rPr>
        <w:t xml:space="preserve"> financial pos</w:t>
      </w:r>
      <w:r w:rsidR="00440A6A" w:rsidRPr="003928EB">
        <w:rPr>
          <w:rFonts w:cs="Arial"/>
          <w:lang w:val="en-GB"/>
        </w:rPr>
        <w:t xml:space="preserve">ition had </w:t>
      </w:r>
      <w:r w:rsidR="00440A6A" w:rsidRPr="003928EB">
        <w:rPr>
          <w:rFonts w:cs="Arial"/>
          <w:i/>
          <w:iCs/>
          <w:lang w:val="en-GB"/>
        </w:rPr>
        <w:t>“reached a point of significant improvement</w:t>
      </w:r>
      <w:r w:rsidR="00067D27" w:rsidRPr="003928EB">
        <w:rPr>
          <w:rFonts w:cs="Arial"/>
          <w:i/>
          <w:iCs/>
          <w:lang w:val="en-GB"/>
        </w:rPr>
        <w:t xml:space="preserve"> and it became abundantly clear</w:t>
      </w:r>
      <w:r w:rsidR="00325424" w:rsidRPr="003928EB">
        <w:rPr>
          <w:rFonts w:cs="Arial"/>
          <w:i/>
          <w:iCs/>
          <w:lang w:val="en-GB"/>
        </w:rPr>
        <w:t xml:space="preserve"> that [the Trust would] be able to meet [its] future commitments”</w:t>
      </w:r>
      <w:r w:rsidR="003928EB">
        <w:rPr>
          <w:rFonts w:cs="Arial"/>
          <w:lang w:val="en-GB"/>
        </w:rPr>
        <w:t>.</w:t>
      </w:r>
    </w:p>
    <w:p w14:paraId="029BA1C4" w14:textId="46129E79" w:rsidR="0050788A" w:rsidRPr="00BD1A46" w:rsidRDefault="00B20524" w:rsidP="00B20524">
      <w:pPr>
        <w:snapToGrid w:val="0"/>
        <w:spacing w:before="120" w:after="240" w:line="480" w:lineRule="auto"/>
        <w:ind w:hanging="6"/>
        <w:jc w:val="both"/>
        <w:rPr>
          <w:rFonts w:cs="Arial"/>
          <w:lang w:val="en-GB"/>
        </w:rPr>
      </w:pPr>
      <w:r w:rsidRPr="00BD1A46">
        <w:rPr>
          <w:rFonts w:cs="Arial"/>
          <w:lang w:val="en-GB"/>
        </w:rPr>
        <w:t>[7]</w:t>
      </w:r>
      <w:r w:rsidRPr="00BD1A46">
        <w:rPr>
          <w:rFonts w:cs="Arial"/>
          <w:lang w:val="en-GB"/>
        </w:rPr>
        <w:tab/>
      </w:r>
      <w:r w:rsidR="000244D9">
        <w:rPr>
          <w:color w:val="000000" w:themeColor="text1"/>
        </w:rPr>
        <w:t xml:space="preserve">The </w:t>
      </w:r>
      <w:r w:rsidR="00435432">
        <w:rPr>
          <w:color w:val="000000" w:themeColor="text1"/>
        </w:rPr>
        <w:t xml:space="preserve">explanation for the delay is less than </w:t>
      </w:r>
      <w:r w:rsidR="0050788A">
        <w:rPr>
          <w:color w:val="000000" w:themeColor="text1"/>
        </w:rPr>
        <w:t xml:space="preserve">satisfactory.  No attempt is made </w:t>
      </w:r>
      <w:r w:rsidR="002E2682">
        <w:rPr>
          <w:color w:val="000000" w:themeColor="text1"/>
        </w:rPr>
        <w:t xml:space="preserve">either </w:t>
      </w:r>
      <w:r w:rsidR="0050788A">
        <w:rPr>
          <w:color w:val="000000" w:themeColor="text1"/>
        </w:rPr>
        <w:t>in the affidavit in support of the condonation application</w:t>
      </w:r>
      <w:r w:rsidR="002E2682">
        <w:rPr>
          <w:color w:val="000000" w:themeColor="text1"/>
        </w:rPr>
        <w:t>,</w:t>
      </w:r>
      <w:r w:rsidR="0050788A">
        <w:rPr>
          <w:color w:val="000000" w:themeColor="text1"/>
        </w:rPr>
        <w:t xml:space="preserve"> or in the answering affidavit</w:t>
      </w:r>
      <w:r w:rsidR="00A24B79">
        <w:rPr>
          <w:color w:val="000000" w:themeColor="text1"/>
        </w:rPr>
        <w:t>,</w:t>
      </w:r>
      <w:r w:rsidR="0050788A">
        <w:rPr>
          <w:color w:val="000000" w:themeColor="text1"/>
        </w:rPr>
        <w:t xml:space="preserve"> to comprehensively set out the Trust’s current financial position</w:t>
      </w:r>
      <w:r w:rsidR="00A24B79">
        <w:rPr>
          <w:color w:val="000000" w:themeColor="text1"/>
        </w:rPr>
        <w:t xml:space="preserve"> which was allegedly materially affected by the award of contracts which apparently caused the delay</w:t>
      </w:r>
      <w:r w:rsidR="0050788A">
        <w:rPr>
          <w:color w:val="000000" w:themeColor="text1"/>
        </w:rPr>
        <w:t xml:space="preserve">.  </w:t>
      </w:r>
      <w:r w:rsidR="00A24B79">
        <w:rPr>
          <w:color w:val="000000" w:themeColor="text1"/>
        </w:rPr>
        <w:t>Instead, t</w:t>
      </w:r>
      <w:r w:rsidR="0050788A">
        <w:rPr>
          <w:color w:val="000000" w:themeColor="text1"/>
        </w:rPr>
        <w:t xml:space="preserve">he contracts on which the Trust seeks to rely are described in the vaguest of terms in the answering affidavit and </w:t>
      </w:r>
      <w:r w:rsidR="00AB4A70">
        <w:rPr>
          <w:color w:val="000000" w:themeColor="text1"/>
        </w:rPr>
        <w:t xml:space="preserve">copies of </w:t>
      </w:r>
      <w:r w:rsidR="0050788A">
        <w:rPr>
          <w:color w:val="000000" w:themeColor="text1"/>
        </w:rPr>
        <w:t>the contract</w:t>
      </w:r>
      <w:r w:rsidR="00AB4A70">
        <w:rPr>
          <w:color w:val="000000" w:themeColor="text1"/>
        </w:rPr>
        <w:t>s</w:t>
      </w:r>
      <w:r w:rsidR="0050788A">
        <w:rPr>
          <w:color w:val="000000" w:themeColor="text1"/>
        </w:rPr>
        <w:t xml:space="preserve"> </w:t>
      </w:r>
      <w:r w:rsidR="005948CE">
        <w:rPr>
          <w:color w:val="000000" w:themeColor="text1"/>
        </w:rPr>
        <w:t xml:space="preserve">are not </w:t>
      </w:r>
      <w:r w:rsidR="0050788A">
        <w:rPr>
          <w:color w:val="000000" w:themeColor="text1"/>
        </w:rPr>
        <w:t>annexed to the papers.  I am thus unable to determine whether the contracts have in fact been concluded</w:t>
      </w:r>
      <w:r w:rsidR="00A24B79">
        <w:rPr>
          <w:color w:val="000000" w:themeColor="text1"/>
        </w:rPr>
        <w:t xml:space="preserve"> (and when they were concluded), </w:t>
      </w:r>
      <w:r w:rsidR="0050788A">
        <w:rPr>
          <w:color w:val="000000" w:themeColor="text1"/>
        </w:rPr>
        <w:t>whether the Trust is a party to the contracts</w:t>
      </w:r>
      <w:r w:rsidR="00A24B79">
        <w:rPr>
          <w:color w:val="000000" w:themeColor="text1"/>
        </w:rPr>
        <w:t>, whether the contracts explain the delay,</w:t>
      </w:r>
      <w:r w:rsidR="0050788A">
        <w:rPr>
          <w:color w:val="000000" w:themeColor="text1"/>
        </w:rPr>
        <w:t xml:space="preserve"> and more importantly whether the contracts provide a basis on which to conclude that the Trust is in a position to meet its financial obligations. </w:t>
      </w:r>
      <w:r w:rsidR="00BD1A46">
        <w:rPr>
          <w:rFonts w:cs="Arial"/>
          <w:lang w:val="en-GB"/>
        </w:rPr>
        <w:t xml:space="preserve"> </w:t>
      </w:r>
      <w:r w:rsidR="0077625D" w:rsidRPr="00BD1A46">
        <w:rPr>
          <w:rFonts w:cs="Arial"/>
          <w:lang w:val="en-GB"/>
        </w:rPr>
        <w:t>Further, the Trust’s explanation for the delay does not cover the entire period of the delay</w:t>
      </w:r>
      <w:r w:rsidR="00713DF9" w:rsidRPr="00BD1A46">
        <w:rPr>
          <w:rFonts w:cs="Arial"/>
          <w:lang w:val="en-GB"/>
        </w:rPr>
        <w:t xml:space="preserve"> as there is no allegation in </w:t>
      </w:r>
      <w:r w:rsidR="00713DF9" w:rsidRPr="00BD1A46">
        <w:rPr>
          <w:color w:val="000000" w:themeColor="text1"/>
        </w:rPr>
        <w:t xml:space="preserve">the affidavit in support of the condonation application, or in the answering affidavit as to when the contracts were concluded or when </w:t>
      </w:r>
      <w:r w:rsidR="00BD1A46" w:rsidRPr="00BD1A46">
        <w:rPr>
          <w:color w:val="000000" w:themeColor="text1"/>
        </w:rPr>
        <w:t xml:space="preserve">the financial position of the Trust </w:t>
      </w:r>
      <w:r w:rsidR="00BD1A46" w:rsidRPr="003928EB">
        <w:rPr>
          <w:rFonts w:cs="Arial"/>
          <w:i/>
          <w:iCs/>
          <w:lang w:val="en-GB"/>
        </w:rPr>
        <w:t>“reached a point of significant improvement</w:t>
      </w:r>
      <w:r w:rsidR="00BD1A46">
        <w:rPr>
          <w:rFonts w:cs="Arial"/>
          <w:i/>
          <w:iCs/>
          <w:lang w:val="en-GB"/>
        </w:rPr>
        <w:t>”</w:t>
      </w:r>
      <w:r w:rsidR="00BD1A46" w:rsidRPr="00BD1A46">
        <w:rPr>
          <w:color w:val="000000" w:themeColor="text1"/>
        </w:rPr>
        <w:t xml:space="preserve"> as alleged</w:t>
      </w:r>
      <w:r w:rsidR="00BD1A46">
        <w:rPr>
          <w:color w:val="000000" w:themeColor="text1"/>
        </w:rPr>
        <w:t>.</w:t>
      </w:r>
    </w:p>
    <w:p w14:paraId="461696B9" w14:textId="3685CCE8" w:rsidR="00BD1A46" w:rsidRPr="009B71D3" w:rsidRDefault="00B20524" w:rsidP="00B20524">
      <w:pPr>
        <w:snapToGrid w:val="0"/>
        <w:spacing w:before="120" w:after="240" w:line="480" w:lineRule="auto"/>
        <w:ind w:hanging="6"/>
        <w:jc w:val="both"/>
        <w:rPr>
          <w:rFonts w:cs="Arial"/>
          <w:lang w:val="en-GB"/>
        </w:rPr>
      </w:pPr>
      <w:r w:rsidRPr="009B71D3">
        <w:rPr>
          <w:rFonts w:cs="Arial"/>
          <w:lang w:val="en-GB"/>
        </w:rPr>
        <w:t>[8]</w:t>
      </w:r>
      <w:r w:rsidRPr="009B71D3">
        <w:rPr>
          <w:rFonts w:cs="Arial"/>
          <w:lang w:val="en-GB"/>
        </w:rPr>
        <w:tab/>
      </w:r>
      <w:r w:rsidR="00030F98">
        <w:rPr>
          <w:rFonts w:cs="Arial"/>
          <w:bCs/>
          <w:lang w:val="en-GB"/>
        </w:rPr>
        <w:t>At the commencement of the hearing</w:t>
      </w:r>
      <w:r w:rsidR="00A24B79">
        <w:rPr>
          <w:rFonts w:cs="Arial"/>
          <w:bCs/>
          <w:lang w:val="en-GB"/>
        </w:rPr>
        <w:t>,</w:t>
      </w:r>
      <w:r w:rsidR="00030F98">
        <w:rPr>
          <w:rFonts w:cs="Arial"/>
          <w:bCs/>
          <w:lang w:val="en-GB"/>
        </w:rPr>
        <w:t xml:space="preserve"> I enquired from Mr Wessels who appeared for ABSA, whether ABSA sought an opportunity to deliver a replying affidavit, and whether </w:t>
      </w:r>
      <w:r w:rsidR="00873D7B">
        <w:rPr>
          <w:rFonts w:cs="Arial"/>
          <w:bCs/>
          <w:lang w:val="en-GB"/>
        </w:rPr>
        <w:t>he was in a position to deal with the merits of the matter</w:t>
      </w:r>
      <w:r w:rsidR="00030F98">
        <w:rPr>
          <w:rFonts w:cs="Arial"/>
          <w:bCs/>
          <w:lang w:val="en-GB"/>
        </w:rPr>
        <w:t>.  Mr Wessels confirmed that</w:t>
      </w:r>
      <w:r w:rsidR="00873D7B">
        <w:rPr>
          <w:rFonts w:cs="Arial"/>
          <w:bCs/>
          <w:lang w:val="en-GB"/>
        </w:rPr>
        <w:t xml:space="preserve"> ABSA did not seek to deliver a replying affidavit and that</w:t>
      </w:r>
      <w:r w:rsidR="00030F98">
        <w:rPr>
          <w:rFonts w:cs="Arial"/>
          <w:bCs/>
          <w:lang w:val="en-GB"/>
        </w:rPr>
        <w:t xml:space="preserve"> his instructions were to proceed to argue the matter on the papers before the </w:t>
      </w:r>
      <w:r w:rsidR="001F6985">
        <w:rPr>
          <w:rFonts w:cs="Arial"/>
          <w:bCs/>
          <w:lang w:val="en-GB"/>
        </w:rPr>
        <w:t>c</w:t>
      </w:r>
      <w:r w:rsidR="00030F98">
        <w:rPr>
          <w:rFonts w:cs="Arial"/>
          <w:bCs/>
          <w:lang w:val="en-GB"/>
        </w:rPr>
        <w:t>ourt.</w:t>
      </w:r>
      <w:r w:rsidR="00A22BAF">
        <w:rPr>
          <w:rFonts w:cs="Arial"/>
          <w:lang w:val="en-GB"/>
        </w:rPr>
        <w:t xml:space="preserve">  </w:t>
      </w:r>
      <w:r w:rsidR="00873D7B" w:rsidRPr="00A22BAF">
        <w:rPr>
          <w:color w:val="000000" w:themeColor="text1"/>
        </w:rPr>
        <w:t>I</w:t>
      </w:r>
      <w:r w:rsidR="00476707" w:rsidRPr="00A22BAF">
        <w:rPr>
          <w:color w:val="000000" w:themeColor="text1"/>
        </w:rPr>
        <w:t xml:space="preserve">n light of the fact that </w:t>
      </w:r>
      <w:r w:rsidR="003D18A4" w:rsidRPr="00A22BAF">
        <w:rPr>
          <w:color w:val="000000" w:themeColor="text1"/>
        </w:rPr>
        <w:t xml:space="preserve">ABSA has had sight of the answering affidavit and </w:t>
      </w:r>
      <w:r w:rsidR="005F7A52">
        <w:rPr>
          <w:color w:val="000000" w:themeColor="text1"/>
        </w:rPr>
        <w:t xml:space="preserve">has </w:t>
      </w:r>
      <w:r w:rsidR="003D18A4" w:rsidRPr="00A22BAF">
        <w:rPr>
          <w:color w:val="000000" w:themeColor="text1"/>
        </w:rPr>
        <w:t xml:space="preserve">elected </w:t>
      </w:r>
      <w:r w:rsidR="003D18A4" w:rsidRPr="00A22BAF">
        <w:rPr>
          <w:color w:val="000000" w:themeColor="text1"/>
        </w:rPr>
        <w:lastRenderedPageBreak/>
        <w:t>not to deliver a replying affidavit</w:t>
      </w:r>
      <w:r w:rsidR="00030F98" w:rsidRPr="00A22BAF">
        <w:rPr>
          <w:color w:val="000000" w:themeColor="text1"/>
        </w:rPr>
        <w:t xml:space="preserve"> and </w:t>
      </w:r>
      <w:r w:rsidR="00873D7B" w:rsidRPr="00A22BAF">
        <w:rPr>
          <w:color w:val="000000" w:themeColor="text1"/>
        </w:rPr>
        <w:t xml:space="preserve">to argue the matter on the papers as they stand, I must accept that ABSA does not deem itself to be </w:t>
      </w:r>
      <w:r w:rsidR="003A111E">
        <w:rPr>
          <w:color w:val="000000" w:themeColor="text1"/>
        </w:rPr>
        <w:t xml:space="preserve">materially </w:t>
      </w:r>
      <w:r w:rsidR="00873D7B" w:rsidRPr="00A22BAF">
        <w:rPr>
          <w:color w:val="000000" w:themeColor="text1"/>
        </w:rPr>
        <w:t xml:space="preserve">prejudiced by </w:t>
      </w:r>
      <w:r w:rsidR="00A22BAF">
        <w:rPr>
          <w:color w:val="000000" w:themeColor="text1"/>
        </w:rPr>
        <w:t xml:space="preserve">the late delivery of the answering affidavit.  </w:t>
      </w:r>
      <w:r w:rsidR="00A279D0">
        <w:rPr>
          <w:color w:val="000000" w:themeColor="text1"/>
        </w:rPr>
        <w:t xml:space="preserve">Further, given the consequences of a provisional sequestration order, I am mindful of the fact that notwithstanding the Trust’s recalcitrant conduct, it would not be in the interests of justice for this application to be determined without reference to the Trust’s answering affidavit.  </w:t>
      </w:r>
    </w:p>
    <w:p w14:paraId="1AA93B9A" w14:textId="22EE998F" w:rsidR="009B71D3" w:rsidRPr="009B71D3" w:rsidRDefault="00B20524" w:rsidP="00B20524">
      <w:pPr>
        <w:snapToGrid w:val="0"/>
        <w:spacing w:before="120" w:after="240" w:line="480" w:lineRule="auto"/>
        <w:ind w:hanging="6"/>
        <w:jc w:val="both"/>
        <w:rPr>
          <w:rFonts w:cs="Arial"/>
          <w:lang w:val="en-GB"/>
        </w:rPr>
      </w:pPr>
      <w:r w:rsidRPr="009B71D3">
        <w:rPr>
          <w:rFonts w:cs="Arial"/>
          <w:lang w:val="en-GB"/>
        </w:rPr>
        <w:t>[9]</w:t>
      </w:r>
      <w:r w:rsidRPr="009B71D3">
        <w:rPr>
          <w:rFonts w:cs="Arial"/>
          <w:lang w:val="en-GB"/>
        </w:rPr>
        <w:tab/>
      </w:r>
      <w:r w:rsidR="009B71D3">
        <w:rPr>
          <w:color w:val="000000" w:themeColor="text1"/>
        </w:rPr>
        <w:t xml:space="preserve">For these reasons, I am prepared to condone the late delivery of the answering affidavit. </w:t>
      </w:r>
    </w:p>
    <w:p w14:paraId="16B9A406" w14:textId="706662F1" w:rsidR="009B71D3" w:rsidRPr="00D717A2" w:rsidRDefault="00B20524" w:rsidP="00B20524">
      <w:pPr>
        <w:snapToGrid w:val="0"/>
        <w:spacing w:before="120" w:after="240" w:line="480" w:lineRule="auto"/>
        <w:ind w:hanging="6"/>
        <w:jc w:val="both"/>
        <w:rPr>
          <w:rFonts w:cs="Arial"/>
          <w:lang w:val="en-GB"/>
        </w:rPr>
      </w:pPr>
      <w:r w:rsidRPr="00D717A2">
        <w:rPr>
          <w:rFonts w:cs="Arial"/>
          <w:lang w:val="en-GB"/>
        </w:rPr>
        <w:t>[10]</w:t>
      </w:r>
      <w:r w:rsidRPr="00D717A2">
        <w:rPr>
          <w:rFonts w:cs="Arial"/>
          <w:lang w:val="en-GB"/>
        </w:rPr>
        <w:tab/>
      </w:r>
      <w:r w:rsidR="009B71D3">
        <w:rPr>
          <w:color w:val="000000" w:themeColor="text1"/>
        </w:rPr>
        <w:t xml:space="preserve">Before dealing with the merits, one further aspect bears </w:t>
      </w:r>
      <w:r w:rsidR="0059122A">
        <w:rPr>
          <w:color w:val="000000" w:themeColor="text1"/>
        </w:rPr>
        <w:t>mention</w:t>
      </w:r>
      <w:r w:rsidR="009B71D3">
        <w:rPr>
          <w:color w:val="000000" w:themeColor="text1"/>
        </w:rPr>
        <w:t xml:space="preserve">.  The Trust </w:t>
      </w:r>
      <w:r w:rsidR="00645C99">
        <w:rPr>
          <w:color w:val="000000" w:themeColor="text1"/>
        </w:rPr>
        <w:t xml:space="preserve">in the application for condonation sought to rely on the fact that it </w:t>
      </w:r>
      <w:r w:rsidR="003A770E">
        <w:rPr>
          <w:color w:val="000000" w:themeColor="text1"/>
        </w:rPr>
        <w:t>ha</w:t>
      </w:r>
      <w:r w:rsidR="00930D13">
        <w:rPr>
          <w:color w:val="000000" w:themeColor="text1"/>
        </w:rPr>
        <w:t>d</w:t>
      </w:r>
      <w:r w:rsidR="003A770E">
        <w:rPr>
          <w:color w:val="000000" w:themeColor="text1"/>
        </w:rPr>
        <w:t xml:space="preserve"> sought a short postponement of the matter due to the late delivery of its answering affidavit</w:t>
      </w:r>
      <w:r w:rsidR="0058259C">
        <w:rPr>
          <w:color w:val="000000" w:themeColor="text1"/>
        </w:rPr>
        <w:t xml:space="preserve"> in order to allow ABSA the opportunity to deliver a replying affidavit and </w:t>
      </w:r>
      <w:r w:rsidR="00930D13">
        <w:rPr>
          <w:color w:val="000000" w:themeColor="text1"/>
        </w:rPr>
        <w:t xml:space="preserve">to allow </w:t>
      </w:r>
      <w:r w:rsidR="0058259C">
        <w:rPr>
          <w:color w:val="000000" w:themeColor="text1"/>
        </w:rPr>
        <w:t xml:space="preserve">for the parties to deliver heads of argument, </w:t>
      </w:r>
      <w:r w:rsidR="00BF0105">
        <w:rPr>
          <w:color w:val="000000" w:themeColor="text1"/>
        </w:rPr>
        <w:t>but</w:t>
      </w:r>
      <w:r w:rsidR="0058259C">
        <w:rPr>
          <w:color w:val="000000" w:themeColor="text1"/>
        </w:rPr>
        <w:t xml:space="preserve"> that ABSA’s attorneys had declined the request notwithstanding a tender of costs.  </w:t>
      </w:r>
      <w:r w:rsidR="00B13E2A">
        <w:rPr>
          <w:color w:val="000000" w:themeColor="text1"/>
        </w:rPr>
        <w:t xml:space="preserve">The Trust’s conduct in delivering its answering affidavit </w:t>
      </w:r>
      <w:r w:rsidR="00A24B79">
        <w:rPr>
          <w:color w:val="000000" w:themeColor="text1"/>
        </w:rPr>
        <w:t xml:space="preserve">almost </w:t>
      </w:r>
      <w:r w:rsidR="00A47B5B">
        <w:rPr>
          <w:color w:val="000000" w:themeColor="text1"/>
        </w:rPr>
        <w:t>five</w:t>
      </w:r>
      <w:r w:rsidR="00B13E2A">
        <w:rPr>
          <w:color w:val="000000" w:themeColor="text1"/>
        </w:rPr>
        <w:t xml:space="preserve"> months out of time</w:t>
      </w:r>
      <w:r w:rsidR="00CC1414">
        <w:rPr>
          <w:color w:val="000000" w:themeColor="text1"/>
        </w:rPr>
        <w:t xml:space="preserve">, appears to have been designed to </w:t>
      </w:r>
      <w:r w:rsidR="00CC1414" w:rsidRPr="00CC1414">
        <w:rPr>
          <w:color w:val="000000" w:themeColor="text1"/>
          <w:lang w:val="en-US"/>
        </w:rPr>
        <w:t>bring about</w:t>
      </w:r>
      <w:r w:rsidR="00CC1414">
        <w:rPr>
          <w:color w:val="000000" w:themeColor="text1"/>
        </w:rPr>
        <w:t xml:space="preserve"> a postponement.  Its conduct </w:t>
      </w:r>
      <w:r w:rsidR="007337FD">
        <w:rPr>
          <w:color w:val="000000" w:themeColor="text1"/>
        </w:rPr>
        <w:t xml:space="preserve">in </w:t>
      </w:r>
      <w:r w:rsidR="00B13E2A">
        <w:rPr>
          <w:color w:val="000000" w:themeColor="text1"/>
        </w:rPr>
        <w:t>this regard is manifestly self-servin</w:t>
      </w:r>
      <w:r w:rsidR="00CC1414">
        <w:rPr>
          <w:color w:val="000000" w:themeColor="text1"/>
        </w:rPr>
        <w:t xml:space="preserve">g.  ABSA and its attorneys cannot be faulted for </w:t>
      </w:r>
      <w:r w:rsidR="008E0C48">
        <w:rPr>
          <w:color w:val="000000" w:themeColor="text1"/>
        </w:rPr>
        <w:t xml:space="preserve">their stance in refusing the postponement in these circumstances.  The tender of costs </w:t>
      </w:r>
      <w:r w:rsidR="000827B8">
        <w:rPr>
          <w:color w:val="000000" w:themeColor="text1"/>
        </w:rPr>
        <w:t>would in</w:t>
      </w:r>
      <w:r w:rsidR="00484DC4">
        <w:rPr>
          <w:color w:val="000000" w:themeColor="text1"/>
        </w:rPr>
        <w:t xml:space="preserve"> any event </w:t>
      </w:r>
      <w:r w:rsidR="000827B8">
        <w:rPr>
          <w:color w:val="000000" w:themeColor="text1"/>
        </w:rPr>
        <w:t xml:space="preserve">be </w:t>
      </w:r>
      <w:r w:rsidR="00484DC4">
        <w:rPr>
          <w:color w:val="000000" w:themeColor="text1"/>
        </w:rPr>
        <w:t>meaningless, if as ABSA contends</w:t>
      </w:r>
      <w:r w:rsidR="00DE583D">
        <w:rPr>
          <w:color w:val="000000" w:themeColor="text1"/>
        </w:rPr>
        <w:t>,</w:t>
      </w:r>
      <w:r w:rsidR="00484DC4">
        <w:rPr>
          <w:color w:val="000000" w:themeColor="text1"/>
        </w:rPr>
        <w:t xml:space="preserve"> the Trust is unable to pay its debts and is insolvent. </w:t>
      </w:r>
      <w:r w:rsidR="00D717A2">
        <w:rPr>
          <w:color w:val="000000" w:themeColor="text1"/>
        </w:rPr>
        <w:t xml:space="preserve"> </w:t>
      </w:r>
    </w:p>
    <w:p w14:paraId="1DE8644C" w14:textId="78022066" w:rsidR="00D717A2" w:rsidRPr="00D717A2" w:rsidRDefault="00D717A2" w:rsidP="00D717A2">
      <w:pPr>
        <w:pStyle w:val="Heading1"/>
        <w:rPr>
          <w:rFonts w:cs="Arial"/>
          <w:color w:val="auto"/>
          <w:lang w:val="en-GB"/>
        </w:rPr>
      </w:pPr>
      <w:r>
        <w:t>THE MERITS OF THE SEQUESTRATION APPLICATION</w:t>
      </w:r>
    </w:p>
    <w:p w14:paraId="4646E7B4" w14:textId="599CD363" w:rsidR="00390A3A" w:rsidRPr="000827B8" w:rsidRDefault="00B20524" w:rsidP="00B20524">
      <w:pPr>
        <w:snapToGrid w:val="0"/>
        <w:spacing w:before="120" w:after="240" w:line="480" w:lineRule="auto"/>
        <w:ind w:hanging="6"/>
        <w:jc w:val="both"/>
        <w:rPr>
          <w:rFonts w:cs="Arial"/>
          <w:lang w:val="en-GB"/>
        </w:rPr>
      </w:pPr>
      <w:r w:rsidRPr="000827B8">
        <w:rPr>
          <w:rFonts w:cs="Arial"/>
          <w:lang w:val="en-GB"/>
        </w:rPr>
        <w:t>[11]</w:t>
      </w:r>
      <w:r w:rsidRPr="000827B8">
        <w:rPr>
          <w:rFonts w:cs="Arial"/>
          <w:lang w:val="en-GB"/>
        </w:rPr>
        <w:tab/>
      </w:r>
      <w:r w:rsidR="006C0BD0" w:rsidRPr="006C0BD0">
        <w:rPr>
          <w:rFonts w:cs="Arial"/>
        </w:rPr>
        <w:t xml:space="preserve">In an application for provisional sequestration, the </w:t>
      </w:r>
      <w:r w:rsidR="00201020">
        <w:rPr>
          <w:rFonts w:cs="Arial"/>
        </w:rPr>
        <w:t>c</w:t>
      </w:r>
      <w:r w:rsidR="006C0BD0" w:rsidRPr="006C0BD0">
        <w:rPr>
          <w:rFonts w:cs="Arial"/>
        </w:rPr>
        <w:t xml:space="preserve">ourt is called to </w:t>
      </w:r>
      <w:r w:rsidR="006C0BD0">
        <w:rPr>
          <w:rFonts w:cs="Arial"/>
        </w:rPr>
        <w:t>determine</w:t>
      </w:r>
      <w:r w:rsidR="006C0BD0" w:rsidRPr="006C0BD0">
        <w:rPr>
          <w:rFonts w:cs="Arial"/>
        </w:rPr>
        <w:t xml:space="preserve"> whether the applicant has made </w:t>
      </w:r>
      <w:r w:rsidR="006C0BD0">
        <w:rPr>
          <w:rFonts w:cs="Arial"/>
        </w:rPr>
        <w:t xml:space="preserve">out </w:t>
      </w:r>
      <w:r w:rsidR="006C0BD0" w:rsidRPr="006C0BD0">
        <w:rPr>
          <w:rFonts w:cs="Arial"/>
        </w:rPr>
        <w:t xml:space="preserve">a </w:t>
      </w:r>
      <w:r w:rsidR="006C0BD0" w:rsidRPr="006C0BD0">
        <w:rPr>
          <w:rFonts w:cs="Arial"/>
          <w:i/>
          <w:iCs/>
        </w:rPr>
        <w:t>prima facie</w:t>
      </w:r>
      <w:r w:rsidR="006C0BD0" w:rsidRPr="006C0BD0">
        <w:rPr>
          <w:rFonts w:cs="Arial"/>
        </w:rPr>
        <w:t xml:space="preserve"> case that the respondent is insolvent.</w:t>
      </w:r>
      <w:r w:rsidR="006C0BD0">
        <w:rPr>
          <w:rFonts w:cs="Arial"/>
        </w:rPr>
        <w:t xml:space="preserve"> </w:t>
      </w:r>
      <w:r w:rsidR="006C0BD0" w:rsidRPr="006C0BD0">
        <w:rPr>
          <w:rFonts w:cs="Arial"/>
        </w:rPr>
        <w:t xml:space="preserve"> </w:t>
      </w:r>
      <w:r w:rsidR="00F900E3">
        <w:rPr>
          <w:rFonts w:cs="Arial"/>
        </w:rPr>
        <w:t>As</w:t>
      </w:r>
      <w:r w:rsidR="006C0BD0" w:rsidRPr="006C0BD0">
        <w:rPr>
          <w:rFonts w:cs="Arial"/>
        </w:rPr>
        <w:t xml:space="preserve"> the </w:t>
      </w:r>
      <w:r w:rsidR="00F900E3">
        <w:rPr>
          <w:rFonts w:cs="Arial"/>
        </w:rPr>
        <w:t>Trust</w:t>
      </w:r>
      <w:r w:rsidR="006C0BD0" w:rsidRPr="006C0BD0">
        <w:rPr>
          <w:rFonts w:cs="Arial"/>
        </w:rPr>
        <w:t xml:space="preserve"> has introduced evidence </w:t>
      </w:r>
      <w:r w:rsidR="00F900E3">
        <w:rPr>
          <w:rFonts w:cs="Arial"/>
        </w:rPr>
        <w:t>i</w:t>
      </w:r>
      <w:r w:rsidR="006C0BD0" w:rsidRPr="006C0BD0">
        <w:rPr>
          <w:rFonts w:cs="Arial"/>
        </w:rPr>
        <w:t>n rebuttal</w:t>
      </w:r>
      <w:r w:rsidR="00F900E3">
        <w:rPr>
          <w:rFonts w:cs="Arial"/>
        </w:rPr>
        <w:t xml:space="preserve"> of ABSA’s claim</w:t>
      </w:r>
      <w:r w:rsidR="006C0BD0" w:rsidRPr="006C0BD0">
        <w:rPr>
          <w:rFonts w:cs="Arial"/>
        </w:rPr>
        <w:t xml:space="preserve">, </w:t>
      </w:r>
      <w:r w:rsidR="00F900E3">
        <w:rPr>
          <w:rFonts w:cs="Arial"/>
        </w:rPr>
        <w:t xml:space="preserve">I am </w:t>
      </w:r>
      <w:r w:rsidR="00F900E3">
        <w:rPr>
          <w:rFonts w:cs="Arial"/>
        </w:rPr>
        <w:lastRenderedPageBreak/>
        <w:t xml:space="preserve">called </w:t>
      </w:r>
      <w:r w:rsidR="00D847EB">
        <w:rPr>
          <w:rFonts w:cs="Arial"/>
        </w:rPr>
        <w:t>on to</w:t>
      </w:r>
      <w:r w:rsidR="00F900E3">
        <w:rPr>
          <w:rFonts w:cs="Arial"/>
        </w:rPr>
        <w:t xml:space="preserve"> have regard</w:t>
      </w:r>
      <w:r w:rsidR="006C0BD0" w:rsidRPr="006C0BD0">
        <w:rPr>
          <w:rFonts w:cs="Arial"/>
        </w:rPr>
        <w:t xml:space="preserve"> to </w:t>
      </w:r>
      <w:r w:rsidR="006C0BD0" w:rsidRPr="00F900E3">
        <w:rPr>
          <w:rFonts w:cs="Arial"/>
        </w:rPr>
        <w:t xml:space="preserve">all </w:t>
      </w:r>
      <w:r w:rsidR="006C0BD0" w:rsidRPr="006C0BD0">
        <w:rPr>
          <w:rFonts w:cs="Arial"/>
        </w:rPr>
        <w:t>the evidence adduced by both parties and in light of th</w:t>
      </w:r>
      <w:r w:rsidR="00F900E3">
        <w:rPr>
          <w:rFonts w:cs="Arial"/>
        </w:rPr>
        <w:t>e evidence</w:t>
      </w:r>
      <w:r w:rsidR="006C0BD0" w:rsidRPr="006C0BD0">
        <w:rPr>
          <w:rFonts w:cs="Arial"/>
        </w:rPr>
        <w:t xml:space="preserve"> decide whether a case for </w:t>
      </w:r>
      <w:r w:rsidR="002D6772">
        <w:rPr>
          <w:rFonts w:cs="Arial"/>
        </w:rPr>
        <w:t xml:space="preserve">provisional </w:t>
      </w:r>
      <w:r w:rsidR="006C0BD0" w:rsidRPr="006C0BD0">
        <w:rPr>
          <w:rFonts w:cs="Arial"/>
        </w:rPr>
        <w:t xml:space="preserve">sequestration has been made out. </w:t>
      </w:r>
      <w:r w:rsidR="000827B8">
        <w:rPr>
          <w:rFonts w:cs="Arial"/>
          <w:lang w:val="en-GB"/>
        </w:rPr>
        <w:t xml:space="preserve"> </w:t>
      </w:r>
      <w:r w:rsidR="00644636" w:rsidRPr="000827B8">
        <w:rPr>
          <w:rFonts w:cs="Arial"/>
          <w:lang w:val="en-GB"/>
        </w:rPr>
        <w:t xml:space="preserve">Section 10 of the Insolvency Act </w:t>
      </w:r>
      <w:r w:rsidR="00FF68E9" w:rsidRPr="000827B8">
        <w:rPr>
          <w:rFonts w:cs="Arial"/>
        </w:rPr>
        <w:t xml:space="preserve">24 of 1936 (‘the Insolvency Act’) </w:t>
      </w:r>
      <w:r w:rsidR="00644636" w:rsidRPr="000827B8">
        <w:rPr>
          <w:rFonts w:cs="Arial"/>
          <w:lang w:val="en-GB"/>
        </w:rPr>
        <w:t xml:space="preserve">provides that a </w:t>
      </w:r>
      <w:r w:rsidR="002D6772">
        <w:rPr>
          <w:rFonts w:cs="Arial"/>
          <w:lang w:val="en-GB"/>
        </w:rPr>
        <w:t>c</w:t>
      </w:r>
      <w:r w:rsidR="00644636" w:rsidRPr="000827B8">
        <w:rPr>
          <w:rFonts w:cs="Arial"/>
          <w:lang w:val="en-GB"/>
        </w:rPr>
        <w:t xml:space="preserve">ourt </w:t>
      </w:r>
      <w:r w:rsidR="00644636" w:rsidRPr="000827B8">
        <w:rPr>
          <w:rFonts w:cs="Arial"/>
        </w:rPr>
        <w:t>to which the petition for the sequestration of the estate of a debtor has been presented</w:t>
      </w:r>
      <w:r w:rsidR="00FF68E9" w:rsidRPr="000827B8">
        <w:rPr>
          <w:rFonts w:cs="Arial"/>
        </w:rPr>
        <w:t>,</w:t>
      </w:r>
      <w:r w:rsidR="00644636" w:rsidRPr="000827B8">
        <w:rPr>
          <w:rFonts w:cs="Arial"/>
          <w:i/>
          <w:iCs/>
        </w:rPr>
        <w:t xml:space="preserve"> </w:t>
      </w:r>
      <w:r w:rsidR="00644636" w:rsidRPr="000827B8">
        <w:rPr>
          <w:rFonts w:cs="Arial"/>
        </w:rPr>
        <w:t xml:space="preserve">may make an order sequestrating the estate of the debtor provisionally if the </w:t>
      </w:r>
      <w:r w:rsidR="002D6772">
        <w:rPr>
          <w:rFonts w:cs="Arial"/>
        </w:rPr>
        <w:t>c</w:t>
      </w:r>
      <w:r w:rsidR="00644636" w:rsidRPr="000827B8">
        <w:rPr>
          <w:rFonts w:cs="Arial"/>
        </w:rPr>
        <w:t>ourt is of the opinion that</w:t>
      </w:r>
      <w:r w:rsidR="002D6772">
        <w:rPr>
          <w:rFonts w:cs="Arial"/>
        </w:rPr>
        <w:t>,</w:t>
      </w:r>
      <w:r w:rsidR="00644636" w:rsidRPr="000827B8">
        <w:rPr>
          <w:rFonts w:cs="Arial"/>
        </w:rPr>
        <w:t> </w:t>
      </w:r>
      <w:r w:rsidR="00644636" w:rsidRPr="000827B8">
        <w:rPr>
          <w:rFonts w:cs="Arial"/>
          <w:i/>
          <w:iCs/>
        </w:rPr>
        <w:t>prima facie</w:t>
      </w:r>
      <w:r w:rsidR="00644636" w:rsidRPr="000827B8">
        <w:rPr>
          <w:rFonts w:cs="Arial"/>
        </w:rPr>
        <w:t>, the petitioning creditor has established against the debtor a claim such as is mentioned in s 9(1)</w:t>
      </w:r>
      <w:r w:rsidR="00FF68E9" w:rsidRPr="000827B8">
        <w:rPr>
          <w:rFonts w:cs="Arial"/>
        </w:rPr>
        <w:t xml:space="preserve"> of the Insolvency Act</w:t>
      </w:r>
      <w:r w:rsidR="00644636" w:rsidRPr="000827B8">
        <w:rPr>
          <w:rFonts w:cs="Arial"/>
        </w:rPr>
        <w:t>;</w:t>
      </w:r>
      <w:r w:rsidR="00FF68E9">
        <w:rPr>
          <w:rStyle w:val="FootnoteReference"/>
          <w:rFonts w:cs="Arial"/>
        </w:rPr>
        <w:footnoteReference w:id="4"/>
      </w:r>
      <w:r w:rsidR="00644636" w:rsidRPr="000827B8">
        <w:rPr>
          <w:rFonts w:cs="Arial"/>
        </w:rPr>
        <w:t xml:space="preserve"> the debtor has committed an act of insolvency or is insolvent; and</w:t>
      </w:r>
      <w:r w:rsidR="007337FD" w:rsidRPr="000827B8">
        <w:rPr>
          <w:rFonts w:cs="Arial"/>
        </w:rPr>
        <w:t xml:space="preserve"> </w:t>
      </w:r>
      <w:r w:rsidR="00644636" w:rsidRPr="000827B8">
        <w:rPr>
          <w:rFonts w:cs="Arial"/>
        </w:rPr>
        <w:t xml:space="preserve">there is reason to believe that it will be to the advantage of creditors of the debtor if </w:t>
      </w:r>
      <w:r w:rsidR="00995087">
        <w:rPr>
          <w:rFonts w:cs="Arial"/>
        </w:rPr>
        <w:t>the debtor’s</w:t>
      </w:r>
      <w:r w:rsidR="00644636" w:rsidRPr="000827B8">
        <w:rPr>
          <w:rFonts w:cs="Arial"/>
        </w:rPr>
        <w:t xml:space="preserve"> estate is sequestrated.</w:t>
      </w:r>
      <w:r w:rsidR="00A2012D" w:rsidRPr="000827B8">
        <w:rPr>
          <w:rFonts w:cs="Arial"/>
        </w:rPr>
        <w:t xml:space="preserve">  </w:t>
      </w:r>
    </w:p>
    <w:p w14:paraId="7402C4EA" w14:textId="1BA9BBF8" w:rsidR="006C0BD0" w:rsidRPr="002A46D7" w:rsidRDefault="00B20524" w:rsidP="00B20524">
      <w:pPr>
        <w:snapToGrid w:val="0"/>
        <w:spacing w:before="120" w:after="240" w:line="480" w:lineRule="auto"/>
        <w:ind w:hanging="6"/>
        <w:jc w:val="both"/>
        <w:rPr>
          <w:rFonts w:cs="Arial"/>
          <w:lang w:val="en-GB"/>
        </w:rPr>
      </w:pPr>
      <w:r w:rsidRPr="002A46D7">
        <w:rPr>
          <w:rFonts w:cs="Arial"/>
          <w:lang w:val="en-GB"/>
        </w:rPr>
        <w:t>[12]</w:t>
      </w:r>
      <w:r w:rsidRPr="002A46D7">
        <w:rPr>
          <w:rFonts w:cs="Arial"/>
          <w:lang w:val="en-GB"/>
        </w:rPr>
        <w:tab/>
      </w:r>
      <w:r w:rsidR="00B21BC0">
        <w:rPr>
          <w:rFonts w:cs="Arial"/>
        </w:rPr>
        <w:t xml:space="preserve">Consequently, </w:t>
      </w:r>
      <w:r w:rsidR="00D14D02">
        <w:t>in order to obtain a provisional sequestration order</w:t>
      </w:r>
      <w:r w:rsidR="007337FD">
        <w:t>,</w:t>
      </w:r>
      <w:r w:rsidR="00D14D02">
        <w:t xml:space="preserve"> </w:t>
      </w:r>
      <w:r w:rsidR="00390A3A">
        <w:rPr>
          <w:rFonts w:cs="Arial"/>
        </w:rPr>
        <w:t>ABSA</w:t>
      </w:r>
      <w:r w:rsidR="00844657">
        <w:rPr>
          <w:rFonts w:cs="Arial"/>
        </w:rPr>
        <w:t xml:space="preserve"> </w:t>
      </w:r>
      <w:r w:rsidR="00D14D02">
        <w:t>must satisfy th</w:t>
      </w:r>
      <w:r w:rsidR="00390A3A">
        <w:t>is</w:t>
      </w:r>
      <w:r w:rsidR="00D14D02">
        <w:t xml:space="preserve"> </w:t>
      </w:r>
      <w:r w:rsidR="00995087">
        <w:t>c</w:t>
      </w:r>
      <w:r w:rsidR="00D14D02">
        <w:t xml:space="preserve">ourt </w:t>
      </w:r>
      <w:r w:rsidR="00CC1D56">
        <w:t xml:space="preserve">on a </w:t>
      </w:r>
      <w:r w:rsidR="00CC1D56" w:rsidRPr="00CC1D56">
        <w:rPr>
          <w:i/>
          <w:iCs/>
        </w:rPr>
        <w:t>prima facie</w:t>
      </w:r>
      <w:r w:rsidR="00CC1D56">
        <w:t xml:space="preserve"> basis,</w:t>
      </w:r>
      <w:r w:rsidR="001B557A">
        <w:rPr>
          <w:rStyle w:val="FootnoteReference"/>
        </w:rPr>
        <w:footnoteReference w:id="5"/>
      </w:r>
      <w:r w:rsidR="000837B0">
        <w:t xml:space="preserve"> that </w:t>
      </w:r>
      <w:r w:rsidR="00390A3A">
        <w:t>it</w:t>
      </w:r>
      <w:r w:rsidR="000837B0">
        <w:t xml:space="preserve"> has a </w:t>
      </w:r>
      <w:r w:rsidR="00390A3A">
        <w:t xml:space="preserve">liquidated </w:t>
      </w:r>
      <w:r w:rsidR="000837B0">
        <w:t xml:space="preserve">claim </w:t>
      </w:r>
      <w:r w:rsidR="00390A3A">
        <w:t>in excess of R100</w:t>
      </w:r>
      <w:r w:rsidR="000837B0">
        <w:t xml:space="preserve">, that </w:t>
      </w:r>
      <w:r w:rsidR="00390A3A">
        <w:t>the Trust</w:t>
      </w:r>
      <w:r w:rsidR="000837B0">
        <w:t xml:space="preserve"> is factually insolvent or has committed an act of insolvency, and that there is reason to believe that sequestration will be to the advantage of the </w:t>
      </w:r>
      <w:r w:rsidR="00390A3A">
        <w:t>Trust’s</w:t>
      </w:r>
      <w:r w:rsidR="000837B0">
        <w:t xml:space="preserve"> creditors</w:t>
      </w:r>
      <w:r w:rsidR="00390A3A">
        <w:t>.</w:t>
      </w:r>
      <w:r w:rsidR="00FF1A7D">
        <w:rPr>
          <w:rStyle w:val="FootnoteReference"/>
        </w:rPr>
        <w:footnoteReference w:id="6"/>
      </w:r>
    </w:p>
    <w:p w14:paraId="22B500F1" w14:textId="1C3E4354" w:rsidR="00DC2718" w:rsidRPr="001E12BA" w:rsidRDefault="00B20524" w:rsidP="00B20524">
      <w:pPr>
        <w:snapToGrid w:val="0"/>
        <w:spacing w:before="120" w:after="240" w:line="480" w:lineRule="auto"/>
        <w:ind w:hanging="6"/>
        <w:jc w:val="both"/>
        <w:rPr>
          <w:rFonts w:cs="Arial"/>
          <w:lang w:val="en-GB"/>
        </w:rPr>
      </w:pPr>
      <w:r w:rsidRPr="001E12BA">
        <w:rPr>
          <w:rFonts w:cs="Arial"/>
          <w:lang w:val="en-GB"/>
        </w:rPr>
        <w:t>[13]</w:t>
      </w:r>
      <w:r w:rsidRPr="001E12BA">
        <w:rPr>
          <w:rFonts w:cs="Arial"/>
          <w:lang w:val="en-GB"/>
        </w:rPr>
        <w:tab/>
      </w:r>
      <w:r w:rsidR="00773313" w:rsidRPr="00773313">
        <w:rPr>
          <w:rFonts w:cs="Arial"/>
        </w:rPr>
        <w:t>Where the allegations of fact relied upon by the petitioning creditor are disputed by the respondent</w:t>
      </w:r>
      <w:r w:rsidR="007337FD">
        <w:rPr>
          <w:rFonts w:cs="Arial"/>
        </w:rPr>
        <w:t>,</w:t>
      </w:r>
      <w:r w:rsidR="00773313" w:rsidRPr="00773313">
        <w:rPr>
          <w:rFonts w:cs="Arial"/>
        </w:rPr>
        <w:t xml:space="preserve"> it has been held that the dispute should not ordinarily be referred to evidence, although it may be so referred where circumstances of an exceptional nature show such a step to be appropriate. </w:t>
      </w:r>
      <w:r w:rsidR="00773313">
        <w:rPr>
          <w:rFonts w:cs="Arial"/>
        </w:rPr>
        <w:t xml:space="preserve"> </w:t>
      </w:r>
      <w:r w:rsidR="00265245">
        <w:rPr>
          <w:rFonts w:cs="Arial"/>
        </w:rPr>
        <w:t>I</w:t>
      </w:r>
      <w:r w:rsidR="00773313" w:rsidRPr="00773313">
        <w:rPr>
          <w:rFonts w:cs="Arial"/>
        </w:rPr>
        <w:t>n proceedings for a provisional sequestration order</w:t>
      </w:r>
      <w:r w:rsidR="007337FD">
        <w:rPr>
          <w:rFonts w:cs="Arial"/>
        </w:rPr>
        <w:t>,</w:t>
      </w:r>
      <w:r w:rsidR="00773313" w:rsidRPr="00773313">
        <w:rPr>
          <w:rFonts w:cs="Arial"/>
        </w:rPr>
        <w:t xml:space="preserve"> the </w:t>
      </w:r>
      <w:r w:rsidR="002738CB">
        <w:rPr>
          <w:rFonts w:cs="Arial"/>
        </w:rPr>
        <w:t>c</w:t>
      </w:r>
      <w:r w:rsidR="00773313" w:rsidRPr="00773313">
        <w:rPr>
          <w:rFonts w:cs="Arial"/>
        </w:rPr>
        <w:t xml:space="preserve">ourt is required to take the unusual step of </w:t>
      </w:r>
      <w:r w:rsidR="00773313" w:rsidRPr="00265245">
        <w:rPr>
          <w:rFonts w:cs="Arial"/>
        </w:rPr>
        <w:t xml:space="preserve">considering whether, so far as can be determined from the affidavits, there is a balance of probabilities which favours the conclusion that the requirements of </w:t>
      </w:r>
      <w:r w:rsidR="00265245">
        <w:rPr>
          <w:rFonts w:cs="Arial"/>
        </w:rPr>
        <w:t>s </w:t>
      </w:r>
      <w:r w:rsidR="00773313" w:rsidRPr="00265245">
        <w:rPr>
          <w:rFonts w:cs="Arial"/>
        </w:rPr>
        <w:t xml:space="preserve">10 of </w:t>
      </w:r>
      <w:r w:rsidR="00265245">
        <w:rPr>
          <w:rFonts w:cs="Arial"/>
        </w:rPr>
        <w:t xml:space="preserve">the </w:t>
      </w:r>
      <w:r w:rsidR="00265245">
        <w:rPr>
          <w:rFonts w:cs="Arial"/>
        </w:rPr>
        <w:lastRenderedPageBreak/>
        <w:t xml:space="preserve">Insolvency </w:t>
      </w:r>
      <w:r w:rsidR="00773313" w:rsidRPr="00265245">
        <w:rPr>
          <w:rFonts w:cs="Arial"/>
        </w:rPr>
        <w:t>Act have been satisfied.</w:t>
      </w:r>
      <w:r w:rsidR="00773313" w:rsidRPr="00773313">
        <w:rPr>
          <w:rFonts w:cs="Arial"/>
        </w:rPr>
        <w:t xml:space="preserve"> </w:t>
      </w:r>
      <w:r w:rsidR="0060182F">
        <w:rPr>
          <w:rFonts w:cs="Arial"/>
        </w:rPr>
        <w:t xml:space="preserve"> </w:t>
      </w:r>
      <w:r w:rsidR="00773313" w:rsidRPr="00773313">
        <w:rPr>
          <w:rFonts w:cs="Arial"/>
        </w:rPr>
        <w:t xml:space="preserve">If so, the requirements of </w:t>
      </w:r>
      <w:r w:rsidR="00265245">
        <w:rPr>
          <w:rFonts w:cs="Arial"/>
        </w:rPr>
        <w:t>s </w:t>
      </w:r>
      <w:r w:rsidR="00773313" w:rsidRPr="00773313">
        <w:rPr>
          <w:rFonts w:cs="Arial"/>
        </w:rPr>
        <w:t>10 will have been satisfied</w:t>
      </w:r>
      <w:r w:rsidR="00773313" w:rsidRPr="00B243D8">
        <w:rPr>
          <w:rFonts w:cs="Arial"/>
          <w:i/>
          <w:iCs/>
        </w:rPr>
        <w:t xml:space="preserve"> '</w:t>
      </w:r>
      <w:r w:rsidR="00773313" w:rsidRPr="00A32989">
        <w:rPr>
          <w:rFonts w:cs="Arial"/>
          <w:i/>
          <w:iCs/>
        </w:rPr>
        <w:t>prima</w:t>
      </w:r>
      <w:r w:rsidR="00773313" w:rsidRPr="00773313">
        <w:rPr>
          <w:rFonts w:cs="Arial"/>
          <w:i/>
          <w:iCs/>
        </w:rPr>
        <w:t xml:space="preserve"> facie</w:t>
      </w:r>
      <w:r w:rsidR="00773313" w:rsidRPr="00773313">
        <w:rPr>
          <w:rFonts w:cs="Arial"/>
        </w:rPr>
        <w:t>', and a provisional sequestration order may be issued.</w:t>
      </w:r>
      <w:r w:rsidR="00265245">
        <w:rPr>
          <w:rStyle w:val="FootnoteReference"/>
          <w:rFonts w:cs="Arial"/>
        </w:rPr>
        <w:footnoteReference w:id="7"/>
      </w:r>
    </w:p>
    <w:p w14:paraId="028B4705" w14:textId="7F02748D" w:rsidR="0024383C" w:rsidRPr="0024383C" w:rsidRDefault="00B20524" w:rsidP="00B20524">
      <w:pPr>
        <w:snapToGrid w:val="0"/>
        <w:spacing w:before="120" w:after="240" w:line="480" w:lineRule="auto"/>
        <w:ind w:hanging="6"/>
        <w:jc w:val="both"/>
        <w:rPr>
          <w:rFonts w:cs="Arial"/>
          <w:lang w:val="en-GB"/>
        </w:rPr>
      </w:pPr>
      <w:r w:rsidRPr="0024383C">
        <w:rPr>
          <w:rFonts w:cs="Arial"/>
          <w:lang w:val="en-GB"/>
        </w:rPr>
        <w:t>[14]</w:t>
      </w:r>
      <w:r w:rsidRPr="0024383C">
        <w:rPr>
          <w:rFonts w:cs="Arial"/>
          <w:lang w:val="en-GB"/>
        </w:rPr>
        <w:tab/>
      </w:r>
      <w:r w:rsidR="001E12BA">
        <w:rPr>
          <w:rFonts w:cs="Arial"/>
        </w:rPr>
        <w:t xml:space="preserve">There is no dispute between the parties that ABSA has established the necessary </w:t>
      </w:r>
      <w:r w:rsidR="001E12BA" w:rsidRPr="0060182F">
        <w:rPr>
          <w:rFonts w:cs="Arial"/>
          <w:i/>
          <w:iCs/>
        </w:rPr>
        <w:t>locus standi</w:t>
      </w:r>
      <w:r w:rsidR="001E12BA">
        <w:rPr>
          <w:rFonts w:cs="Arial"/>
        </w:rPr>
        <w:t xml:space="preserve"> to seek a provisional sequestration order (</w:t>
      </w:r>
      <w:r w:rsidR="007337FD">
        <w:rPr>
          <w:rFonts w:cs="Arial"/>
        </w:rPr>
        <w:t>in</w:t>
      </w:r>
      <w:r w:rsidR="001E12BA">
        <w:rPr>
          <w:rFonts w:cs="Arial"/>
        </w:rPr>
        <w:t xml:space="preserve"> that </w:t>
      </w:r>
      <w:r w:rsidR="007337FD">
        <w:rPr>
          <w:rFonts w:cs="Arial"/>
        </w:rPr>
        <w:t xml:space="preserve">ABSA </w:t>
      </w:r>
      <w:r w:rsidR="001E12BA">
        <w:rPr>
          <w:rFonts w:cs="Arial"/>
        </w:rPr>
        <w:t xml:space="preserve">has a claim against the Trust in excess of R100).  </w:t>
      </w:r>
      <w:r w:rsidR="004531D8">
        <w:rPr>
          <w:rFonts w:cs="Arial"/>
        </w:rPr>
        <w:t xml:space="preserve">The Trust is indebted to ABSA in terms of a mortgage loan </w:t>
      </w:r>
      <w:r w:rsidR="00E0510F">
        <w:rPr>
          <w:rFonts w:cs="Arial"/>
        </w:rPr>
        <w:t xml:space="preserve">agreement, </w:t>
      </w:r>
      <w:r w:rsidR="004531D8">
        <w:rPr>
          <w:rFonts w:cs="Arial"/>
        </w:rPr>
        <w:t>as well as in terms of a term loan agreement</w:t>
      </w:r>
      <w:r w:rsidR="007E2D80">
        <w:rPr>
          <w:rFonts w:cs="Arial"/>
        </w:rPr>
        <w:t xml:space="preserve"> concluded between ABSA and ATN Group (Pty) Ltd</w:t>
      </w:r>
      <w:r w:rsidR="00AA1D4A">
        <w:rPr>
          <w:rFonts w:cs="Arial"/>
        </w:rPr>
        <w:t xml:space="preserve"> (‘ATN’)</w:t>
      </w:r>
      <w:r w:rsidR="00E0510F">
        <w:rPr>
          <w:rFonts w:cs="Arial"/>
        </w:rPr>
        <w:t xml:space="preserve"> in respect of which the Trust </w:t>
      </w:r>
      <w:r w:rsidR="00992601">
        <w:rPr>
          <w:rFonts w:cs="Arial"/>
        </w:rPr>
        <w:t>stood as surety for ATN’s obligations to ABSA</w:t>
      </w:r>
      <w:r w:rsidR="008A501C">
        <w:rPr>
          <w:rFonts w:cs="Arial"/>
        </w:rPr>
        <w:t xml:space="preserve"> (‘the suretyship agreement’)</w:t>
      </w:r>
      <w:r w:rsidR="004531D8">
        <w:rPr>
          <w:rFonts w:cs="Arial"/>
        </w:rPr>
        <w:t xml:space="preserve">. </w:t>
      </w:r>
      <w:r w:rsidR="006315D2">
        <w:rPr>
          <w:rFonts w:cs="Arial"/>
        </w:rPr>
        <w:t xml:space="preserve"> </w:t>
      </w:r>
    </w:p>
    <w:p w14:paraId="3AFB24DA" w14:textId="7D8F56D0" w:rsidR="00EB24D5" w:rsidRPr="009E0370" w:rsidRDefault="00B20524" w:rsidP="00B20524">
      <w:pPr>
        <w:snapToGrid w:val="0"/>
        <w:spacing w:before="120" w:after="240" w:line="480" w:lineRule="auto"/>
        <w:ind w:hanging="6"/>
        <w:jc w:val="both"/>
        <w:rPr>
          <w:rFonts w:cs="Arial"/>
          <w:lang w:val="en-GB"/>
        </w:rPr>
      </w:pPr>
      <w:r w:rsidRPr="009E0370">
        <w:rPr>
          <w:rFonts w:cs="Arial"/>
          <w:lang w:val="en-GB"/>
        </w:rPr>
        <w:t>[15]</w:t>
      </w:r>
      <w:r w:rsidRPr="009E0370">
        <w:rPr>
          <w:rFonts w:cs="Arial"/>
          <w:lang w:val="en-GB"/>
        </w:rPr>
        <w:tab/>
      </w:r>
      <w:r w:rsidR="005656A5">
        <w:rPr>
          <w:rFonts w:cs="Arial"/>
        </w:rPr>
        <w:t>In respect of the term loan</w:t>
      </w:r>
      <w:r w:rsidR="0024383C">
        <w:rPr>
          <w:rFonts w:cs="Arial"/>
        </w:rPr>
        <w:t xml:space="preserve"> agreement</w:t>
      </w:r>
      <w:r w:rsidR="005656A5">
        <w:rPr>
          <w:rFonts w:cs="Arial"/>
        </w:rPr>
        <w:t>, ABSA</w:t>
      </w:r>
      <w:r w:rsidR="00413974">
        <w:rPr>
          <w:rFonts w:cs="Arial"/>
        </w:rPr>
        <w:t xml:space="preserve"> contends </w:t>
      </w:r>
      <w:r w:rsidR="0024383C">
        <w:rPr>
          <w:rFonts w:cs="Arial"/>
        </w:rPr>
        <w:t xml:space="preserve">in the founding affidavit </w:t>
      </w:r>
      <w:r w:rsidR="00413974">
        <w:rPr>
          <w:rFonts w:cs="Arial"/>
        </w:rPr>
        <w:t>that</w:t>
      </w:r>
      <w:r w:rsidR="0024383C">
        <w:rPr>
          <w:rFonts w:cs="Arial"/>
        </w:rPr>
        <w:t xml:space="preserve"> it</w:t>
      </w:r>
      <w:r w:rsidR="005656A5">
        <w:rPr>
          <w:rFonts w:cs="Arial"/>
        </w:rPr>
        <w:t xml:space="preserve"> issued </w:t>
      </w:r>
      <w:r w:rsidR="000A6BED">
        <w:rPr>
          <w:rFonts w:cs="Arial"/>
        </w:rPr>
        <w:t xml:space="preserve">summons out of this </w:t>
      </w:r>
      <w:r w:rsidR="00992601">
        <w:rPr>
          <w:rFonts w:cs="Arial"/>
        </w:rPr>
        <w:t>c</w:t>
      </w:r>
      <w:r w:rsidR="000A6BED">
        <w:rPr>
          <w:rFonts w:cs="Arial"/>
        </w:rPr>
        <w:t>ourt a</w:t>
      </w:r>
      <w:r w:rsidR="00CA7D02">
        <w:rPr>
          <w:rFonts w:cs="Arial"/>
        </w:rPr>
        <w:t>gainst ATN and</w:t>
      </w:r>
      <w:r w:rsidR="00A55EAF">
        <w:rPr>
          <w:rFonts w:cs="Arial"/>
        </w:rPr>
        <w:t xml:space="preserve"> against</w:t>
      </w:r>
      <w:r w:rsidR="00CA7D02">
        <w:rPr>
          <w:rFonts w:cs="Arial"/>
        </w:rPr>
        <w:t xml:space="preserve"> the first and second respondents</w:t>
      </w:r>
      <w:r w:rsidR="00260CF2">
        <w:rPr>
          <w:rFonts w:cs="Arial"/>
        </w:rPr>
        <w:t>, in their capacity as trustees of the Trust</w:t>
      </w:r>
      <w:r w:rsidR="008A501C">
        <w:rPr>
          <w:rFonts w:cs="Arial"/>
        </w:rPr>
        <w:t>,</w:t>
      </w:r>
      <w:r w:rsidR="00CA7D02">
        <w:rPr>
          <w:rFonts w:cs="Arial"/>
        </w:rPr>
        <w:t xml:space="preserve"> </w:t>
      </w:r>
      <w:r w:rsidR="00BB1E7E">
        <w:rPr>
          <w:rFonts w:cs="Arial"/>
        </w:rPr>
        <w:t xml:space="preserve">based on </w:t>
      </w:r>
      <w:r w:rsidR="00E56854">
        <w:rPr>
          <w:rFonts w:cs="Arial"/>
        </w:rPr>
        <w:t>the suretyship</w:t>
      </w:r>
      <w:r w:rsidR="008A501C">
        <w:rPr>
          <w:rFonts w:cs="Arial"/>
        </w:rPr>
        <w:t xml:space="preserve"> agreement</w:t>
      </w:r>
      <w:r w:rsidR="00E56854">
        <w:rPr>
          <w:rFonts w:cs="Arial"/>
        </w:rPr>
        <w:t xml:space="preserve"> </w:t>
      </w:r>
      <w:r w:rsidR="00937F65">
        <w:rPr>
          <w:rFonts w:cs="Arial"/>
        </w:rPr>
        <w:t>(‘the action’)</w:t>
      </w:r>
      <w:r w:rsidR="00AA3D03">
        <w:rPr>
          <w:rFonts w:cs="Arial"/>
        </w:rPr>
        <w:t>.</w:t>
      </w:r>
      <w:r w:rsidR="00F11860">
        <w:rPr>
          <w:rStyle w:val="FootnoteReference"/>
          <w:rFonts w:cs="Arial"/>
        </w:rPr>
        <w:footnoteReference w:id="8"/>
      </w:r>
      <w:r w:rsidR="00AA3D03">
        <w:rPr>
          <w:rFonts w:cs="Arial"/>
        </w:rPr>
        <w:t xml:space="preserve"> </w:t>
      </w:r>
      <w:r w:rsidR="009E0370">
        <w:rPr>
          <w:rFonts w:cs="Arial"/>
        </w:rPr>
        <w:t xml:space="preserve"> </w:t>
      </w:r>
      <w:r w:rsidR="006315D2" w:rsidRPr="009E0370">
        <w:rPr>
          <w:rFonts w:cs="Arial"/>
        </w:rPr>
        <w:t>The Trust does not dispute in the answering affidavit that it is indebted to ABSA</w:t>
      </w:r>
      <w:r w:rsidR="007337FD" w:rsidRPr="009E0370">
        <w:rPr>
          <w:rFonts w:cs="Arial"/>
        </w:rPr>
        <w:t>,</w:t>
      </w:r>
      <w:r w:rsidR="006315D2" w:rsidRPr="009E0370">
        <w:rPr>
          <w:rFonts w:cs="Arial"/>
        </w:rPr>
        <w:t xml:space="preserve"> but </w:t>
      </w:r>
      <w:r w:rsidR="007337FD" w:rsidRPr="009E0370">
        <w:rPr>
          <w:rFonts w:cs="Arial"/>
        </w:rPr>
        <w:t xml:space="preserve">merely </w:t>
      </w:r>
      <w:r w:rsidR="006315D2" w:rsidRPr="009E0370">
        <w:rPr>
          <w:rFonts w:cs="Arial"/>
        </w:rPr>
        <w:t>disputes the</w:t>
      </w:r>
      <w:r w:rsidR="00EB24D5" w:rsidRPr="009E0370">
        <w:rPr>
          <w:rFonts w:cs="Arial"/>
        </w:rPr>
        <w:t xml:space="preserve"> quantum of its indebtedness.  I return to this dispute below.</w:t>
      </w:r>
    </w:p>
    <w:p w14:paraId="35DB773B" w14:textId="12F28970" w:rsidR="00757981" w:rsidRPr="00757981" w:rsidRDefault="00B20524" w:rsidP="00B20524">
      <w:pPr>
        <w:snapToGrid w:val="0"/>
        <w:spacing w:before="120" w:after="240" w:line="480" w:lineRule="auto"/>
        <w:ind w:hanging="6"/>
        <w:jc w:val="both"/>
        <w:rPr>
          <w:rFonts w:cs="Arial"/>
          <w:lang w:val="en-GB"/>
        </w:rPr>
      </w:pPr>
      <w:r w:rsidRPr="00757981">
        <w:rPr>
          <w:rFonts w:cs="Arial"/>
          <w:lang w:val="en-GB"/>
        </w:rPr>
        <w:t>[16]</w:t>
      </w:r>
      <w:r w:rsidRPr="00757981">
        <w:rPr>
          <w:rFonts w:cs="Arial"/>
          <w:lang w:val="en-GB"/>
        </w:rPr>
        <w:tab/>
      </w:r>
      <w:r w:rsidR="00A57E00">
        <w:rPr>
          <w:rFonts w:cs="Arial"/>
        </w:rPr>
        <w:t xml:space="preserve">ABSA </w:t>
      </w:r>
      <w:r w:rsidR="00D04A97">
        <w:rPr>
          <w:rFonts w:cs="Arial"/>
        </w:rPr>
        <w:t xml:space="preserve">contends </w:t>
      </w:r>
      <w:r w:rsidR="006A4805">
        <w:rPr>
          <w:rFonts w:cs="Arial"/>
        </w:rPr>
        <w:t xml:space="preserve">in the founding affidavit </w:t>
      </w:r>
      <w:r w:rsidR="00D04A97">
        <w:rPr>
          <w:rFonts w:cs="Arial"/>
        </w:rPr>
        <w:t xml:space="preserve">that the Trust has committed an act of insolvency as contemplated by </w:t>
      </w:r>
      <w:r w:rsidR="00274B9C">
        <w:rPr>
          <w:rFonts w:cs="Arial"/>
        </w:rPr>
        <w:t>s 8</w:t>
      </w:r>
      <w:r w:rsidR="008F04F2">
        <w:rPr>
          <w:rFonts w:cs="Arial"/>
        </w:rPr>
        <w:t xml:space="preserve"> of the Insolvency Act </w:t>
      </w:r>
      <w:r w:rsidR="00274B9C">
        <w:rPr>
          <w:rFonts w:cs="Arial"/>
        </w:rPr>
        <w:t xml:space="preserve">in that the </w:t>
      </w:r>
      <w:r w:rsidR="00A26DB0">
        <w:rPr>
          <w:rFonts w:cs="Arial"/>
        </w:rPr>
        <w:t>Trust has made an offer in writing to make payment of less than is currently due to ABSA in respect of the debt</w:t>
      </w:r>
      <w:r w:rsidR="006A4805">
        <w:rPr>
          <w:rFonts w:cs="Arial"/>
        </w:rPr>
        <w:t xml:space="preserve"> owed to ABSA,</w:t>
      </w:r>
      <w:r w:rsidR="00A26DB0">
        <w:rPr>
          <w:rFonts w:cs="Arial"/>
        </w:rPr>
        <w:t xml:space="preserve"> and </w:t>
      </w:r>
      <w:r w:rsidR="006941DA">
        <w:rPr>
          <w:rFonts w:cs="Arial"/>
        </w:rPr>
        <w:t xml:space="preserve">that </w:t>
      </w:r>
      <w:r w:rsidR="006A4805">
        <w:rPr>
          <w:rFonts w:cs="Arial"/>
        </w:rPr>
        <w:t>the Trust</w:t>
      </w:r>
      <w:r w:rsidR="00A26DB0">
        <w:rPr>
          <w:rFonts w:cs="Arial"/>
        </w:rPr>
        <w:t xml:space="preserve"> acknowledged in writing to its</w:t>
      </w:r>
      <w:r w:rsidR="00CB5692">
        <w:rPr>
          <w:rFonts w:cs="Arial"/>
        </w:rPr>
        <w:t xml:space="preserve"> creditor, ABSA, that it </w:t>
      </w:r>
      <w:r w:rsidR="006A4805">
        <w:rPr>
          <w:rFonts w:cs="Arial"/>
        </w:rPr>
        <w:t>was</w:t>
      </w:r>
      <w:r w:rsidR="00CB5692">
        <w:rPr>
          <w:rFonts w:cs="Arial"/>
        </w:rPr>
        <w:t xml:space="preserve"> unable to pay the full debt due at the time.</w:t>
      </w:r>
      <w:r w:rsidR="00C6341E">
        <w:rPr>
          <w:rFonts w:cs="Arial"/>
        </w:rPr>
        <w:t xml:space="preserve">  </w:t>
      </w:r>
      <w:r w:rsidR="00785378">
        <w:t>ABSA relies on a letter addressed to its attorneys by the Trust’s attorneys, dated 24 April 2023, in which the Trust offers to make payment of its obligations to ABSA in terms of the suretyship</w:t>
      </w:r>
      <w:r w:rsidR="00757981">
        <w:t xml:space="preserve"> </w:t>
      </w:r>
      <w:r w:rsidR="00757981">
        <w:lastRenderedPageBreak/>
        <w:t>agreement</w:t>
      </w:r>
      <w:r w:rsidR="00144A35">
        <w:t>,</w:t>
      </w:r>
      <w:r w:rsidR="00785378">
        <w:t xml:space="preserve"> </w:t>
      </w:r>
      <w:r w:rsidR="006974A8">
        <w:t>as the basis on which it</w:t>
      </w:r>
      <w:r w:rsidR="00785378">
        <w:t xml:space="preserve"> contend</w:t>
      </w:r>
      <w:r w:rsidR="006974A8">
        <w:t>s</w:t>
      </w:r>
      <w:r w:rsidR="00785378">
        <w:t xml:space="preserve"> that the Trust has committed </w:t>
      </w:r>
      <w:r w:rsidR="000C2091">
        <w:t xml:space="preserve">an </w:t>
      </w:r>
      <w:r w:rsidR="00785378">
        <w:t xml:space="preserve">act of insolvency.  </w:t>
      </w:r>
    </w:p>
    <w:p w14:paraId="0179046A" w14:textId="4F33D801" w:rsidR="00785378" w:rsidRPr="00757981" w:rsidRDefault="00B20524" w:rsidP="00B20524">
      <w:pPr>
        <w:snapToGrid w:val="0"/>
        <w:spacing w:before="120" w:after="240" w:line="480" w:lineRule="auto"/>
        <w:ind w:hanging="6"/>
        <w:jc w:val="both"/>
        <w:rPr>
          <w:rFonts w:cs="Arial"/>
          <w:lang w:val="en-GB"/>
        </w:rPr>
      </w:pPr>
      <w:r w:rsidRPr="00757981">
        <w:rPr>
          <w:rFonts w:cs="Arial"/>
          <w:lang w:val="en-GB"/>
        </w:rPr>
        <w:t>[17]</w:t>
      </w:r>
      <w:r w:rsidRPr="00757981">
        <w:rPr>
          <w:rFonts w:cs="Arial"/>
          <w:lang w:val="en-GB"/>
        </w:rPr>
        <w:tab/>
      </w:r>
      <w:r w:rsidR="00785378">
        <w:t>The letter contains a tender to make payment of the Trust’s obligations in terms of the suretyship in increasing monthly instalments commencing on 31 July 2023 until the full outstanding amount due to ABSA is paid.  In particular the Trust offered to make payment as follows:</w:t>
      </w:r>
    </w:p>
    <w:p w14:paraId="1AAB0797" w14:textId="7CF49CE4" w:rsidR="00785378" w:rsidRPr="00DD4842" w:rsidRDefault="00B20524" w:rsidP="00B20524">
      <w:pPr>
        <w:snapToGrid w:val="0"/>
        <w:spacing w:before="120" w:after="240" w:line="480" w:lineRule="auto"/>
        <w:ind w:left="1418" w:hanging="1058"/>
        <w:jc w:val="both"/>
        <w:rPr>
          <w:rFonts w:cs="Arial"/>
          <w:lang w:val="en-GB"/>
        </w:rPr>
      </w:pPr>
      <w:r w:rsidRPr="00DD4842">
        <w:rPr>
          <w:rFonts w:cs="Arial"/>
          <w:lang w:val="en-GB"/>
        </w:rPr>
        <w:t>[17.1]</w:t>
      </w:r>
      <w:r w:rsidRPr="00DD4842">
        <w:rPr>
          <w:rFonts w:cs="Arial"/>
          <w:lang w:val="en-GB"/>
        </w:rPr>
        <w:tab/>
      </w:r>
      <w:r w:rsidR="00785378">
        <w:t>R180 000.00 for the period from 31 July 2023 to 31 December 2023 in instalments of R30 000.00 per month;</w:t>
      </w:r>
    </w:p>
    <w:p w14:paraId="2E4EDE5C" w14:textId="017B944A" w:rsidR="00785378" w:rsidRPr="00E357BA" w:rsidRDefault="00B20524" w:rsidP="00B20524">
      <w:pPr>
        <w:snapToGrid w:val="0"/>
        <w:spacing w:before="120" w:after="240" w:line="480" w:lineRule="auto"/>
        <w:ind w:left="1418" w:hanging="1058"/>
        <w:jc w:val="both"/>
        <w:rPr>
          <w:rFonts w:cs="Arial"/>
          <w:lang w:val="en-GB"/>
        </w:rPr>
      </w:pPr>
      <w:r w:rsidRPr="00E357BA">
        <w:rPr>
          <w:rFonts w:cs="Arial"/>
          <w:lang w:val="en-GB"/>
        </w:rPr>
        <w:t>[17.2]</w:t>
      </w:r>
      <w:r w:rsidRPr="00E357BA">
        <w:rPr>
          <w:rFonts w:cs="Arial"/>
          <w:lang w:val="en-GB"/>
        </w:rPr>
        <w:tab/>
      </w:r>
      <w:r w:rsidR="00785378">
        <w:t>R210 000.00 for the period from 31 January 2024 to 30 June 2024 in instalments of R35 000.00 per month;</w:t>
      </w:r>
    </w:p>
    <w:p w14:paraId="22B53EBC" w14:textId="11C303F5" w:rsidR="00785378" w:rsidRPr="00890292" w:rsidRDefault="00B20524" w:rsidP="00B20524">
      <w:pPr>
        <w:snapToGrid w:val="0"/>
        <w:spacing w:before="120" w:after="240" w:line="480" w:lineRule="auto"/>
        <w:ind w:left="1418" w:hanging="1058"/>
        <w:jc w:val="both"/>
        <w:rPr>
          <w:rFonts w:cs="Arial"/>
          <w:lang w:val="en-GB"/>
        </w:rPr>
      </w:pPr>
      <w:r w:rsidRPr="00890292">
        <w:rPr>
          <w:rFonts w:cs="Arial"/>
          <w:lang w:val="en-GB"/>
        </w:rPr>
        <w:t>[17.3]</w:t>
      </w:r>
      <w:r w:rsidRPr="00890292">
        <w:rPr>
          <w:rFonts w:cs="Arial"/>
          <w:lang w:val="en-GB"/>
        </w:rPr>
        <w:tab/>
      </w:r>
      <w:r w:rsidR="00785378">
        <w:t>R240 000.00 for the period from 31 July 2024 to 31 December 2024 in instalments of R40 000.00 per month;</w:t>
      </w:r>
    </w:p>
    <w:p w14:paraId="1E34832F" w14:textId="3C2926D1" w:rsidR="00785378" w:rsidRPr="00C469B3" w:rsidRDefault="00B20524" w:rsidP="00B20524">
      <w:pPr>
        <w:snapToGrid w:val="0"/>
        <w:spacing w:before="120" w:after="240" w:line="480" w:lineRule="auto"/>
        <w:ind w:left="1418" w:hanging="1058"/>
        <w:jc w:val="both"/>
        <w:rPr>
          <w:rFonts w:cs="Arial"/>
          <w:lang w:val="en-GB"/>
        </w:rPr>
      </w:pPr>
      <w:r w:rsidRPr="00C469B3">
        <w:rPr>
          <w:rFonts w:cs="Arial"/>
          <w:lang w:val="en-GB"/>
        </w:rPr>
        <w:t>[17.4]</w:t>
      </w:r>
      <w:r w:rsidRPr="00C469B3">
        <w:rPr>
          <w:rFonts w:cs="Arial"/>
          <w:lang w:val="en-GB"/>
        </w:rPr>
        <w:tab/>
      </w:r>
      <w:r w:rsidR="00785378">
        <w:t>R600 000.00 for the period from 31 January 2025 to 31 December 2023 in instalments of R50 000.00 per month; and</w:t>
      </w:r>
    </w:p>
    <w:p w14:paraId="2B49779C" w14:textId="7B6711F7" w:rsidR="00785378" w:rsidRPr="00785378" w:rsidRDefault="00B20524" w:rsidP="00B20524">
      <w:pPr>
        <w:snapToGrid w:val="0"/>
        <w:spacing w:before="120" w:after="240" w:line="480" w:lineRule="auto"/>
        <w:ind w:left="1418" w:hanging="1058"/>
        <w:jc w:val="both"/>
        <w:rPr>
          <w:rFonts w:cs="Arial"/>
          <w:lang w:val="en-GB"/>
        </w:rPr>
      </w:pPr>
      <w:r w:rsidRPr="00785378">
        <w:rPr>
          <w:rFonts w:cs="Arial"/>
          <w:lang w:val="en-GB"/>
        </w:rPr>
        <w:t>[17.5]</w:t>
      </w:r>
      <w:r w:rsidRPr="00785378">
        <w:rPr>
          <w:rFonts w:cs="Arial"/>
          <w:lang w:val="en-GB"/>
        </w:rPr>
        <w:tab/>
      </w:r>
      <w:r w:rsidR="00785378">
        <w:t xml:space="preserve">Thereafter payments of R50 000.00 per month </w:t>
      </w:r>
      <w:r w:rsidR="00785378" w:rsidRPr="00937F65">
        <w:rPr>
          <w:i/>
          <w:iCs/>
        </w:rPr>
        <w:t>“until full and final settlement of the outstanding amount due to ABSA]”</w:t>
      </w:r>
      <w:r w:rsidR="00785378">
        <w:t xml:space="preserve"> in respect the action proceedings.</w:t>
      </w:r>
    </w:p>
    <w:p w14:paraId="4EDC2ED1" w14:textId="0E8ABC50" w:rsidR="002E7224" w:rsidRPr="002E7224" w:rsidRDefault="00B20524" w:rsidP="00B20524">
      <w:pPr>
        <w:snapToGrid w:val="0"/>
        <w:spacing w:before="120" w:after="240" w:line="480" w:lineRule="auto"/>
        <w:ind w:hanging="6"/>
        <w:jc w:val="both"/>
        <w:rPr>
          <w:rFonts w:cs="Arial"/>
          <w:lang w:val="en-GB"/>
        </w:rPr>
      </w:pPr>
      <w:r w:rsidRPr="002E7224">
        <w:rPr>
          <w:rFonts w:cs="Arial"/>
          <w:lang w:val="en-GB"/>
        </w:rPr>
        <w:t>[18]</w:t>
      </w:r>
      <w:r w:rsidRPr="002E7224">
        <w:rPr>
          <w:rFonts w:cs="Arial"/>
          <w:lang w:val="en-GB"/>
        </w:rPr>
        <w:tab/>
      </w:r>
      <w:r w:rsidR="00C6341E">
        <w:rPr>
          <w:rFonts w:cs="Arial"/>
        </w:rPr>
        <w:t xml:space="preserve">ABSA </w:t>
      </w:r>
      <w:r w:rsidR="004C10CA">
        <w:rPr>
          <w:rFonts w:cs="Arial"/>
        </w:rPr>
        <w:t>relies on s 8</w:t>
      </w:r>
      <w:r w:rsidR="009B6D39">
        <w:rPr>
          <w:rFonts w:cs="Arial"/>
        </w:rPr>
        <w:t>(g) of the Insolvency Act</w:t>
      </w:r>
      <w:r w:rsidR="007E6512">
        <w:rPr>
          <w:rFonts w:cs="Arial"/>
        </w:rPr>
        <w:t xml:space="preserve"> which provides that </w:t>
      </w:r>
      <w:r w:rsidR="00214BF4" w:rsidRPr="004C10CA">
        <w:rPr>
          <w:rFonts w:cs="Arial"/>
        </w:rPr>
        <w:t xml:space="preserve">a </w:t>
      </w:r>
      <w:r w:rsidR="00214BF4">
        <w:t>debtor commits an act of insolvency if it gives notice in writing to any one of its creditors that it is unable to pay any of its debts.</w:t>
      </w:r>
      <w:r w:rsidR="007E6512">
        <w:rPr>
          <w:rFonts w:cs="Arial"/>
          <w:lang w:val="en-GB"/>
        </w:rPr>
        <w:t xml:space="preserve">  </w:t>
      </w:r>
      <w:r w:rsidR="00785378" w:rsidRPr="007E6512">
        <w:rPr>
          <w:rFonts w:cs="Arial"/>
          <w:lang w:val="en-GB"/>
        </w:rPr>
        <w:t xml:space="preserve">In essence, </w:t>
      </w:r>
      <w:r w:rsidR="00937F65" w:rsidRPr="007E6512">
        <w:rPr>
          <w:rFonts w:cs="Arial"/>
          <w:lang w:val="en-GB"/>
        </w:rPr>
        <w:t xml:space="preserve">ABSA contends that </w:t>
      </w:r>
      <w:r w:rsidR="0062226E">
        <w:rPr>
          <w:rFonts w:cs="Arial"/>
          <w:lang w:val="en-GB"/>
        </w:rPr>
        <w:t xml:space="preserve">the </w:t>
      </w:r>
      <w:r w:rsidR="001A32CA" w:rsidRPr="007E6512">
        <w:rPr>
          <w:rFonts w:cs="Arial"/>
          <w:lang w:val="en-GB"/>
        </w:rPr>
        <w:t xml:space="preserve">letter </w:t>
      </w:r>
      <w:r w:rsidR="00B77D9D">
        <w:rPr>
          <w:rFonts w:cs="Arial"/>
          <w:lang w:val="en-GB"/>
        </w:rPr>
        <w:t xml:space="preserve">of </w:t>
      </w:r>
      <w:r w:rsidR="00B77D9D">
        <w:t xml:space="preserve">24 April 2023 </w:t>
      </w:r>
      <w:r w:rsidR="001A32CA" w:rsidRPr="007E6512">
        <w:rPr>
          <w:rFonts w:cs="Arial"/>
          <w:lang w:val="en-GB"/>
        </w:rPr>
        <w:t xml:space="preserve">constitutes </w:t>
      </w:r>
      <w:r w:rsidR="00BF7959" w:rsidRPr="007E6512">
        <w:rPr>
          <w:rFonts w:cs="Arial"/>
          <w:lang w:val="en-GB"/>
        </w:rPr>
        <w:t xml:space="preserve">an </w:t>
      </w:r>
      <w:r w:rsidR="001A32CA" w:rsidRPr="007E6512">
        <w:rPr>
          <w:rFonts w:cs="Arial"/>
          <w:lang w:val="en-GB"/>
        </w:rPr>
        <w:t xml:space="preserve">act of insolvency </w:t>
      </w:r>
      <w:r w:rsidR="001A32CA" w:rsidRPr="007E6512">
        <w:rPr>
          <w:rFonts w:cs="Arial"/>
        </w:rPr>
        <w:t xml:space="preserve">in that </w:t>
      </w:r>
      <w:r w:rsidR="00CE004C" w:rsidRPr="007E6512">
        <w:rPr>
          <w:rFonts w:cs="Arial"/>
        </w:rPr>
        <w:t>the letter</w:t>
      </w:r>
      <w:r w:rsidR="00E86604">
        <w:rPr>
          <w:rFonts w:cs="Arial"/>
        </w:rPr>
        <w:t xml:space="preserve"> </w:t>
      </w:r>
      <w:r w:rsidR="00522A29">
        <w:rPr>
          <w:rFonts w:cs="Arial"/>
        </w:rPr>
        <w:t>(</w:t>
      </w:r>
      <w:r w:rsidR="00E86604">
        <w:rPr>
          <w:rFonts w:cs="Arial"/>
        </w:rPr>
        <w:t>and the tender contained therein</w:t>
      </w:r>
      <w:r w:rsidR="00522A29">
        <w:rPr>
          <w:rFonts w:cs="Arial"/>
        </w:rPr>
        <w:t>)</w:t>
      </w:r>
      <w:r w:rsidR="00BF7959" w:rsidRPr="007E6512">
        <w:rPr>
          <w:rFonts w:cs="Arial"/>
        </w:rPr>
        <w:t xml:space="preserve"> </w:t>
      </w:r>
      <w:r w:rsidR="007E6512">
        <w:rPr>
          <w:rFonts w:cs="Arial"/>
        </w:rPr>
        <w:t>constitute</w:t>
      </w:r>
      <w:r w:rsidR="00522A29">
        <w:rPr>
          <w:rFonts w:cs="Arial"/>
        </w:rPr>
        <w:t>s a</w:t>
      </w:r>
      <w:r w:rsidR="007E6512">
        <w:rPr>
          <w:rFonts w:cs="Arial"/>
        </w:rPr>
        <w:t xml:space="preserve"> notice to a creditor of the Trust that it is unable to pay </w:t>
      </w:r>
      <w:r w:rsidR="007E6512">
        <w:rPr>
          <w:rFonts w:cs="Arial"/>
        </w:rPr>
        <w:lastRenderedPageBreak/>
        <w:t xml:space="preserve">a debt owed by the Trust.  </w:t>
      </w:r>
      <w:r w:rsidR="002A44BE" w:rsidRPr="007E6512">
        <w:rPr>
          <w:rFonts w:cs="Arial"/>
          <w:lang w:val="en-GB"/>
        </w:rPr>
        <w:t xml:space="preserve">The Trust disputes that </w:t>
      </w:r>
      <w:r w:rsidR="00CD7476" w:rsidRPr="007E6512">
        <w:rPr>
          <w:rFonts w:cs="Arial"/>
          <w:lang w:val="en-GB"/>
        </w:rPr>
        <w:t>it has committed an act of insolvency</w:t>
      </w:r>
      <w:r w:rsidR="00BA7954" w:rsidRPr="007E6512">
        <w:rPr>
          <w:rFonts w:cs="Arial"/>
          <w:lang w:val="en-GB"/>
        </w:rPr>
        <w:t>.  In support of this contention</w:t>
      </w:r>
      <w:r w:rsidR="007337FD">
        <w:rPr>
          <w:rFonts w:cs="Arial"/>
          <w:lang w:val="en-GB"/>
        </w:rPr>
        <w:t>,</w:t>
      </w:r>
      <w:r w:rsidR="00BA7954" w:rsidRPr="007E6512">
        <w:rPr>
          <w:rFonts w:cs="Arial"/>
          <w:lang w:val="en-GB"/>
        </w:rPr>
        <w:t xml:space="preserve"> the Trust states</w:t>
      </w:r>
      <w:r w:rsidR="00CE2393">
        <w:rPr>
          <w:rFonts w:cs="Arial"/>
          <w:lang w:val="en-GB"/>
        </w:rPr>
        <w:t xml:space="preserve"> in the answering affidavit</w:t>
      </w:r>
      <w:r w:rsidR="00BA7954" w:rsidRPr="007E6512">
        <w:rPr>
          <w:rFonts w:cs="Arial"/>
          <w:lang w:val="en-GB"/>
        </w:rPr>
        <w:t xml:space="preserve"> that it has </w:t>
      </w:r>
      <w:r w:rsidR="00525DE4" w:rsidRPr="007E6512">
        <w:rPr>
          <w:rFonts w:cs="Arial"/>
          <w:lang w:val="en-GB"/>
        </w:rPr>
        <w:t xml:space="preserve">made regular monthly payments since June 2023 </w:t>
      </w:r>
      <w:r w:rsidR="0098757A" w:rsidRPr="007E6512">
        <w:rPr>
          <w:rFonts w:cs="Arial"/>
          <w:lang w:val="en-GB"/>
        </w:rPr>
        <w:t>totalling R207</w:t>
      </w:r>
      <w:r w:rsidR="0098757A">
        <w:rPr>
          <w:rFonts w:cs="Arial"/>
          <w:lang w:val="en-GB"/>
        </w:rPr>
        <w:t> </w:t>
      </w:r>
      <w:r w:rsidR="0098757A" w:rsidRPr="007E6512">
        <w:rPr>
          <w:rFonts w:cs="Arial"/>
          <w:lang w:val="en-GB"/>
        </w:rPr>
        <w:t>000</w:t>
      </w:r>
      <w:r w:rsidR="0098757A">
        <w:rPr>
          <w:rFonts w:cs="Arial"/>
          <w:lang w:val="en-GB"/>
        </w:rPr>
        <w:t xml:space="preserve"> </w:t>
      </w:r>
      <w:r w:rsidR="00525DE4" w:rsidRPr="007E6512">
        <w:rPr>
          <w:rFonts w:cs="Arial"/>
          <w:lang w:val="en-GB"/>
        </w:rPr>
        <w:t xml:space="preserve">in respect of the mortgage loan </w:t>
      </w:r>
      <w:r w:rsidR="0086610C">
        <w:rPr>
          <w:rFonts w:cs="Arial"/>
          <w:lang w:val="en-GB"/>
        </w:rPr>
        <w:t>agreement</w:t>
      </w:r>
      <w:r w:rsidR="00CE2393">
        <w:rPr>
          <w:rFonts w:cs="Arial"/>
          <w:lang w:val="en-GB"/>
        </w:rPr>
        <w:t>,</w:t>
      </w:r>
      <w:r w:rsidR="00525DE4" w:rsidRPr="007E6512">
        <w:rPr>
          <w:rFonts w:cs="Arial"/>
          <w:lang w:val="en-GB"/>
        </w:rPr>
        <w:t xml:space="preserve"> and </w:t>
      </w:r>
      <w:r w:rsidR="0098757A" w:rsidRPr="007E6512">
        <w:rPr>
          <w:rFonts w:cs="Arial"/>
          <w:lang w:val="en-GB"/>
        </w:rPr>
        <w:t>totalling R100</w:t>
      </w:r>
      <w:r w:rsidR="0098757A">
        <w:rPr>
          <w:rFonts w:cs="Arial"/>
          <w:lang w:val="en-GB"/>
        </w:rPr>
        <w:t> </w:t>
      </w:r>
      <w:r w:rsidR="0098757A" w:rsidRPr="007E6512">
        <w:rPr>
          <w:rFonts w:cs="Arial"/>
          <w:lang w:val="en-GB"/>
        </w:rPr>
        <w:t>000</w:t>
      </w:r>
      <w:r w:rsidR="0098757A">
        <w:rPr>
          <w:rFonts w:cs="Arial"/>
          <w:lang w:val="en-GB"/>
        </w:rPr>
        <w:t xml:space="preserve"> </w:t>
      </w:r>
      <w:r w:rsidR="00525DE4" w:rsidRPr="007E6512">
        <w:rPr>
          <w:rFonts w:cs="Arial"/>
          <w:lang w:val="en-GB"/>
        </w:rPr>
        <w:t>in respect of the term loan agreement</w:t>
      </w:r>
      <w:r w:rsidR="0029037C" w:rsidRPr="007E6512">
        <w:rPr>
          <w:rFonts w:cs="Arial"/>
          <w:lang w:val="en-GB"/>
        </w:rPr>
        <w:t xml:space="preserve">.  </w:t>
      </w:r>
      <w:r w:rsidR="008D718D">
        <w:rPr>
          <w:rFonts w:cs="Arial"/>
          <w:lang w:val="en-GB"/>
        </w:rPr>
        <w:t>The Trust, however, misapprehends the nature of the test to be applied.</w:t>
      </w:r>
    </w:p>
    <w:p w14:paraId="7921FB7E" w14:textId="692A1594" w:rsidR="008D718D" w:rsidRPr="00730A6F" w:rsidRDefault="00B20524" w:rsidP="00B20524">
      <w:pPr>
        <w:snapToGrid w:val="0"/>
        <w:spacing w:before="120" w:after="240" w:line="480" w:lineRule="auto"/>
        <w:ind w:hanging="6"/>
        <w:jc w:val="both"/>
        <w:rPr>
          <w:rFonts w:cs="Arial"/>
          <w:lang w:val="en-GB"/>
        </w:rPr>
      </w:pPr>
      <w:r w:rsidRPr="00730A6F">
        <w:rPr>
          <w:rFonts w:cs="Arial"/>
          <w:lang w:val="en-GB"/>
        </w:rPr>
        <w:t>[19]</w:t>
      </w:r>
      <w:r w:rsidRPr="00730A6F">
        <w:rPr>
          <w:rFonts w:cs="Arial"/>
          <w:lang w:val="en-GB"/>
        </w:rPr>
        <w:tab/>
      </w:r>
      <w:r w:rsidR="002E7224">
        <w:t xml:space="preserve">It is trite that proof that any act of insolvency has been committed, as distinct from proof of actual insolvency, is </w:t>
      </w:r>
      <w:r w:rsidR="00791CBF">
        <w:t xml:space="preserve">a </w:t>
      </w:r>
      <w:r w:rsidR="002E7224">
        <w:t>sufficient ground for the purpose of obtaining a sequestration order</w:t>
      </w:r>
      <w:r w:rsidR="00791CBF">
        <w:t xml:space="preserve">, </w:t>
      </w:r>
      <w:r w:rsidR="002E7224">
        <w:t>provided</w:t>
      </w:r>
      <w:r w:rsidR="00791CBF">
        <w:t xml:space="preserve"> that</w:t>
      </w:r>
      <w:r w:rsidR="002E7224">
        <w:t xml:space="preserve"> the other requisites for the grant thereof are established.</w:t>
      </w:r>
      <w:r w:rsidR="008D718D">
        <w:t xml:space="preserve">  Further, a debtor that gives notice that it will only be able to pay its debt in the future</w:t>
      </w:r>
      <w:r w:rsidR="007337FD">
        <w:t>,</w:t>
      </w:r>
      <w:r w:rsidR="008D718D">
        <w:t xml:space="preserve"> gives notice in effect that it is unable to pay. </w:t>
      </w:r>
      <w:r w:rsidR="00D01C44">
        <w:t xml:space="preserve"> </w:t>
      </w:r>
      <w:r w:rsidR="008D718D">
        <w:t>A request for time to pay a debt which is due and payable will</w:t>
      </w:r>
      <w:r w:rsidR="00D01C44">
        <w:t xml:space="preserve"> </w:t>
      </w:r>
      <w:r w:rsidR="008D718D">
        <w:t xml:space="preserve">ordinarily give rise to an inference that the debtor is unable to pay a debt and such a request contained in writing will accordingly constitute </w:t>
      </w:r>
      <w:r w:rsidR="00286952">
        <w:t>an</w:t>
      </w:r>
      <w:r w:rsidR="008D718D">
        <w:t xml:space="preserve"> act of insolvency </w:t>
      </w:r>
      <w:r w:rsidR="00286952">
        <w:t>as contemplated by s 8(g)</w:t>
      </w:r>
      <w:r w:rsidR="007337FD">
        <w:t xml:space="preserve"> of the Insolvency Act</w:t>
      </w:r>
      <w:r w:rsidR="00286952">
        <w:t>, t</w:t>
      </w:r>
      <w:r w:rsidR="008D718D">
        <w:t>his is particularly so where the request is coupled with an undertaking to pay the amount due and payable by way of instalments</w:t>
      </w:r>
      <w:r w:rsidR="00286952">
        <w:t>.</w:t>
      </w:r>
      <w:r w:rsidR="00286952">
        <w:rPr>
          <w:rStyle w:val="FootnoteReference"/>
        </w:rPr>
        <w:footnoteReference w:id="9"/>
      </w:r>
    </w:p>
    <w:p w14:paraId="580CFCA6" w14:textId="5F9B7025" w:rsidR="00730A6F" w:rsidRPr="00AD48B0" w:rsidRDefault="00B20524" w:rsidP="00B20524">
      <w:pPr>
        <w:snapToGrid w:val="0"/>
        <w:spacing w:before="120" w:after="240" w:line="480" w:lineRule="auto"/>
        <w:ind w:hanging="6"/>
        <w:jc w:val="both"/>
        <w:rPr>
          <w:rFonts w:cs="Arial"/>
          <w:lang w:val="en-GB"/>
        </w:rPr>
      </w:pPr>
      <w:r w:rsidRPr="00AD48B0">
        <w:rPr>
          <w:rFonts w:cs="Arial"/>
          <w:lang w:val="en-GB"/>
        </w:rPr>
        <w:t>[20]</w:t>
      </w:r>
      <w:r w:rsidRPr="00AD48B0">
        <w:rPr>
          <w:rFonts w:cs="Arial"/>
          <w:lang w:val="en-GB"/>
        </w:rPr>
        <w:tab/>
      </w:r>
      <w:r w:rsidR="00730A6F">
        <w:t xml:space="preserve">In cases where there is a request for time, the inquiry </w:t>
      </w:r>
      <w:r w:rsidR="007337FD">
        <w:t xml:space="preserve">which </w:t>
      </w:r>
      <w:r w:rsidR="00730A6F">
        <w:t xml:space="preserve">the </w:t>
      </w:r>
      <w:r w:rsidR="00807689">
        <w:t>c</w:t>
      </w:r>
      <w:r w:rsidR="00730A6F">
        <w:t xml:space="preserve">ourt is called upon to engage </w:t>
      </w:r>
      <w:r w:rsidR="00807689">
        <w:t xml:space="preserve">in, </w:t>
      </w:r>
      <w:r w:rsidR="00730A6F">
        <w:t>is whether the content of the written statement viewed together with the circumstances to which it may be permissible to have regard, is such as to negative the inference arising from the request for time to pay and to justify the conclusion that the debtor would be able to pay at once if pressed to do so.</w:t>
      </w:r>
      <w:r w:rsidR="00730A6F">
        <w:rPr>
          <w:rStyle w:val="FootnoteReference"/>
        </w:rPr>
        <w:footnoteReference w:id="10"/>
      </w:r>
    </w:p>
    <w:p w14:paraId="37650691" w14:textId="1E488823" w:rsidR="0072225F" w:rsidRPr="0072225F" w:rsidRDefault="00B20524" w:rsidP="00B20524">
      <w:pPr>
        <w:snapToGrid w:val="0"/>
        <w:spacing w:before="120" w:after="240" w:line="480" w:lineRule="auto"/>
        <w:ind w:hanging="6"/>
        <w:jc w:val="both"/>
        <w:rPr>
          <w:rFonts w:cs="Arial"/>
          <w:lang w:val="en-GB"/>
        </w:rPr>
      </w:pPr>
      <w:r w:rsidRPr="0072225F">
        <w:rPr>
          <w:rFonts w:cs="Arial"/>
          <w:lang w:val="en-GB"/>
        </w:rPr>
        <w:lastRenderedPageBreak/>
        <w:t>[21]</w:t>
      </w:r>
      <w:r w:rsidRPr="0072225F">
        <w:rPr>
          <w:rFonts w:cs="Arial"/>
          <w:lang w:val="en-GB"/>
        </w:rPr>
        <w:tab/>
      </w:r>
      <w:r w:rsidR="005176A6">
        <w:t xml:space="preserve">It appears from the papers that </w:t>
      </w:r>
      <w:r w:rsidR="00585D6A">
        <w:t xml:space="preserve">the Trust’s obligations in terms of the </w:t>
      </w:r>
      <w:r w:rsidR="006A5A54">
        <w:t>suretyship</w:t>
      </w:r>
      <w:r w:rsidR="00585D6A">
        <w:t xml:space="preserve"> agreement arose as a consequence of ATN’s failure to pay the amounts due in terms of th</w:t>
      </w:r>
      <w:r w:rsidR="006A5A54">
        <w:t>e term loan</w:t>
      </w:r>
      <w:r w:rsidR="00585D6A">
        <w:t xml:space="preserve"> agreement</w:t>
      </w:r>
      <w:r w:rsidR="00411A8B">
        <w:t xml:space="preserve">, and that the amount </w:t>
      </w:r>
      <w:r w:rsidR="006617BC">
        <w:t xml:space="preserve">of R1 066 739.91 was </w:t>
      </w:r>
      <w:r w:rsidR="00411A8B">
        <w:t xml:space="preserve">due by the Trust in terms of its obligations as surety </w:t>
      </w:r>
      <w:r w:rsidR="006617BC">
        <w:t xml:space="preserve">at the time that summons was issued in the action. </w:t>
      </w:r>
      <w:r w:rsidR="0023713A">
        <w:t xml:space="preserve"> </w:t>
      </w:r>
      <w:r w:rsidR="00C4157F">
        <w:t xml:space="preserve">Although the Trust disputes the quantum of ABSA’s claim, the basis on which the </w:t>
      </w:r>
      <w:r w:rsidR="002A0759">
        <w:t>quantum is dispute</w:t>
      </w:r>
      <w:r w:rsidR="007337FD">
        <w:t>d</w:t>
      </w:r>
      <w:r w:rsidR="002A0759">
        <w:t xml:space="preserve"> is not </w:t>
      </w:r>
      <w:r w:rsidR="00FF2732">
        <w:t xml:space="preserve">clearly </w:t>
      </w:r>
      <w:r w:rsidR="002A0759">
        <w:t xml:space="preserve">set out in the answering affidavit.  </w:t>
      </w:r>
      <w:r w:rsidR="0023713A">
        <w:t>I</w:t>
      </w:r>
      <w:r w:rsidR="00E63D56">
        <w:t xml:space="preserve">t </w:t>
      </w:r>
      <w:r w:rsidR="0089233E">
        <w:t xml:space="preserve">appears from the founding affidavit </w:t>
      </w:r>
      <w:r w:rsidR="002A0759">
        <w:t>that in response to a complaint about the calculation of the quantum, ABSA in</w:t>
      </w:r>
      <w:r w:rsidR="0004655D">
        <w:t xml:space="preserve"> proceedings in terms of Rule 37 in</w:t>
      </w:r>
      <w:r w:rsidR="002A0759">
        <w:t xml:space="preserve"> the action</w:t>
      </w:r>
      <w:r w:rsidR="0004655D">
        <w:t>,</w:t>
      </w:r>
      <w:r w:rsidR="002A0759">
        <w:t xml:space="preserve"> </w:t>
      </w:r>
      <w:r w:rsidR="0004655D">
        <w:t xml:space="preserve">provided the Trust’s attorneys with a detailed calculation of the quantum of the claim.  </w:t>
      </w:r>
      <w:r w:rsidR="004C492B">
        <w:t xml:space="preserve">The </w:t>
      </w:r>
      <w:r w:rsidR="00432641">
        <w:t>detailed calculation is annexed to the founding affidavit and appears to show that the outstanding amount due a</w:t>
      </w:r>
      <w:r w:rsidR="0072225F">
        <w:t xml:space="preserve">s at </w:t>
      </w:r>
      <w:r w:rsidR="00432641">
        <w:t xml:space="preserve">March 2020, was R1 126 536.05.  </w:t>
      </w:r>
    </w:p>
    <w:p w14:paraId="04D43191" w14:textId="565BE40C" w:rsidR="00AD48B0" w:rsidRPr="00DF0A0E" w:rsidRDefault="00B20524" w:rsidP="00B20524">
      <w:pPr>
        <w:snapToGrid w:val="0"/>
        <w:spacing w:before="120" w:after="240" w:line="480" w:lineRule="auto"/>
        <w:ind w:hanging="6"/>
        <w:jc w:val="both"/>
        <w:rPr>
          <w:rFonts w:cs="Arial"/>
          <w:lang w:val="en-GB"/>
        </w:rPr>
      </w:pPr>
      <w:r w:rsidRPr="00DF0A0E">
        <w:rPr>
          <w:rFonts w:cs="Arial"/>
          <w:lang w:val="en-GB"/>
        </w:rPr>
        <w:t>[22]</w:t>
      </w:r>
      <w:r w:rsidRPr="00DF0A0E">
        <w:rPr>
          <w:rFonts w:cs="Arial"/>
          <w:lang w:val="en-GB"/>
        </w:rPr>
        <w:tab/>
      </w:r>
      <w:r w:rsidR="0072225F">
        <w:t xml:space="preserve">ABSA contends that after receipt of the </w:t>
      </w:r>
      <w:r w:rsidR="005A6E4C">
        <w:t xml:space="preserve">detailed calculation, the Trust’s attorneys on </w:t>
      </w:r>
      <w:r w:rsidR="00E54531">
        <w:t xml:space="preserve">5 February 2023 responded, contending that the calculation was outdated as it did not include all payments made by the Trust.  </w:t>
      </w:r>
      <w:r w:rsidR="00F418CF">
        <w:t>Thereafter, on 14 April 2023 the letter on which ABSA relies</w:t>
      </w:r>
      <w:r w:rsidR="007337FD">
        <w:t>,</w:t>
      </w:r>
      <w:r w:rsidR="00F418CF">
        <w:t xml:space="preserve"> was sent.</w:t>
      </w:r>
      <w:r w:rsidR="00DF0A0E">
        <w:rPr>
          <w:rFonts w:cs="Arial"/>
          <w:lang w:val="en-GB"/>
        </w:rPr>
        <w:t xml:space="preserve">  </w:t>
      </w:r>
      <w:r w:rsidR="00F418CF">
        <w:t xml:space="preserve">Despite delivering an answering affidavit in these proceedings, no further detail as to the </w:t>
      </w:r>
      <w:r w:rsidR="00991B8F">
        <w:t xml:space="preserve">supposed </w:t>
      </w:r>
      <w:r w:rsidR="00F418CF">
        <w:t xml:space="preserve">basis on which the quantum of ABSA’s claim is disputed has been provided to the </w:t>
      </w:r>
      <w:r w:rsidR="00991B8F">
        <w:t>c</w:t>
      </w:r>
      <w:r w:rsidR="00F418CF">
        <w:t xml:space="preserve">ourt.  It is telling that nowhere in the answering affidavit does the Trust state what it contends the quantum of ABSA’s claim is. </w:t>
      </w:r>
    </w:p>
    <w:p w14:paraId="0A7ECB33" w14:textId="2B5E291C" w:rsidR="00DF0A0E" w:rsidRPr="002066D5" w:rsidRDefault="00B20524" w:rsidP="00B20524">
      <w:pPr>
        <w:snapToGrid w:val="0"/>
        <w:spacing w:before="120" w:after="240" w:line="480" w:lineRule="auto"/>
        <w:ind w:hanging="6"/>
        <w:jc w:val="both"/>
        <w:rPr>
          <w:rFonts w:cs="Arial"/>
          <w:lang w:val="en-GB"/>
        </w:rPr>
      </w:pPr>
      <w:r w:rsidRPr="002066D5">
        <w:rPr>
          <w:rFonts w:cs="Arial"/>
          <w:lang w:val="en-GB"/>
        </w:rPr>
        <w:t>[23]</w:t>
      </w:r>
      <w:r w:rsidRPr="002066D5">
        <w:rPr>
          <w:rFonts w:cs="Arial"/>
          <w:lang w:val="en-GB"/>
        </w:rPr>
        <w:tab/>
      </w:r>
      <w:r w:rsidR="00DF0A0E">
        <w:t>It</w:t>
      </w:r>
      <w:r w:rsidR="00F418CF">
        <w:t xml:space="preserve"> is clear from the letter of 14 April 2023, that the Trust </w:t>
      </w:r>
      <w:r w:rsidR="00082BE2">
        <w:t xml:space="preserve">accepted that it was indebted to ABSA in an amount of at least </w:t>
      </w:r>
      <w:r w:rsidR="00C773F7">
        <w:t>R1 230</w:t>
      </w:r>
      <w:r w:rsidR="00E01983">
        <w:t> </w:t>
      </w:r>
      <w:r w:rsidR="00C773F7">
        <w:t>000</w:t>
      </w:r>
      <w:r w:rsidR="00E01983">
        <w:t>;</w:t>
      </w:r>
      <w:r w:rsidR="00C773F7">
        <w:t xml:space="preserve"> that it was unable to pay the full amount at the time</w:t>
      </w:r>
      <w:r w:rsidR="00677AF8">
        <w:t>;</w:t>
      </w:r>
      <w:r w:rsidR="00C773F7">
        <w:t xml:space="preserve"> and </w:t>
      </w:r>
      <w:r w:rsidR="00E01983">
        <w:t xml:space="preserve">that it </w:t>
      </w:r>
      <w:r w:rsidR="00C773F7">
        <w:t xml:space="preserve">offered to make payment in instalments.  </w:t>
      </w:r>
      <w:r w:rsidR="00DF0A0E">
        <w:t>Having regard to all the relevant and admissible facts and circumstances, I am satisfied that a reasonable person in the position of ABSA would</w:t>
      </w:r>
      <w:r w:rsidR="00E91DEC">
        <w:t xml:space="preserve"> not</w:t>
      </w:r>
      <w:r w:rsidR="00DF0A0E">
        <w:t xml:space="preserve"> understand the </w:t>
      </w:r>
      <w:r w:rsidR="00E91DEC">
        <w:t xml:space="preserve">letter </w:t>
      </w:r>
      <w:r w:rsidR="00DF0A0E">
        <w:t xml:space="preserve">to mean </w:t>
      </w:r>
      <w:r w:rsidR="00DF0A0E">
        <w:lastRenderedPageBreak/>
        <w:t xml:space="preserve">that while </w:t>
      </w:r>
      <w:r w:rsidR="00E91DEC">
        <w:t>Trust</w:t>
      </w:r>
      <w:r w:rsidR="00DF0A0E">
        <w:t xml:space="preserve"> was unwilling to pay </w:t>
      </w:r>
      <w:r w:rsidR="00E91DEC">
        <w:t>its</w:t>
      </w:r>
      <w:r w:rsidR="00DF0A0E">
        <w:t xml:space="preserve"> debt forthwith</w:t>
      </w:r>
      <w:r w:rsidR="00E91DEC">
        <w:t>,</w:t>
      </w:r>
      <w:r w:rsidR="00DF0A0E">
        <w:t xml:space="preserve"> </w:t>
      </w:r>
      <w:r w:rsidR="00E91DEC">
        <w:t xml:space="preserve">it </w:t>
      </w:r>
      <w:r w:rsidR="00DF0A0E">
        <w:t>could nonetheless do so if pressed</w:t>
      </w:r>
      <w:r w:rsidR="00E91DEC">
        <w:t xml:space="preserve">.  Indeed, the letter demonstrates clearly that the Trust was unable to pay its debt to ABSA at the time.  Consequently, there is no basis on which </w:t>
      </w:r>
      <w:r w:rsidR="00DF0A0E">
        <w:t xml:space="preserve">to negative the inference arising from the request for time to pay and </w:t>
      </w:r>
      <w:r w:rsidR="002066D5">
        <w:t>or</w:t>
      </w:r>
      <w:r w:rsidR="00DF0A0E">
        <w:t xml:space="preserve"> </w:t>
      </w:r>
      <w:r w:rsidR="00796BC6">
        <w:t xml:space="preserve">to </w:t>
      </w:r>
      <w:r w:rsidR="00DF0A0E">
        <w:t xml:space="preserve">justify </w:t>
      </w:r>
      <w:r w:rsidR="002066D5">
        <w:t>a</w:t>
      </w:r>
      <w:r w:rsidR="00DF0A0E">
        <w:t xml:space="preserve"> conclusion that the </w:t>
      </w:r>
      <w:r w:rsidR="002066D5">
        <w:t xml:space="preserve">Trust </w:t>
      </w:r>
      <w:r w:rsidR="00DF0A0E">
        <w:t>would be able to pay at once if pressed to do so</w:t>
      </w:r>
      <w:r w:rsidR="002066D5">
        <w:t>.</w:t>
      </w:r>
    </w:p>
    <w:p w14:paraId="249E2061" w14:textId="0F68324B" w:rsidR="00470B16" w:rsidRPr="00470B16" w:rsidRDefault="00B20524" w:rsidP="00B20524">
      <w:pPr>
        <w:snapToGrid w:val="0"/>
        <w:spacing w:before="120" w:after="240" w:line="480" w:lineRule="auto"/>
        <w:ind w:hanging="6"/>
        <w:jc w:val="both"/>
        <w:rPr>
          <w:rFonts w:cs="Arial"/>
          <w:lang w:val="en-GB"/>
        </w:rPr>
      </w:pPr>
      <w:r w:rsidRPr="00470B16">
        <w:rPr>
          <w:rFonts w:cs="Arial"/>
          <w:lang w:val="en-GB"/>
        </w:rPr>
        <w:t>[24]</w:t>
      </w:r>
      <w:r w:rsidRPr="00470B16">
        <w:rPr>
          <w:rFonts w:cs="Arial"/>
          <w:lang w:val="en-GB"/>
        </w:rPr>
        <w:tab/>
      </w:r>
      <w:r w:rsidR="004C1BE8">
        <w:t xml:space="preserve">Further, the Trust’s contention that it subsequently made payments </w:t>
      </w:r>
      <w:r w:rsidR="00004B1F">
        <w:t>to ABSA</w:t>
      </w:r>
      <w:r w:rsidR="007337FD">
        <w:t>,</w:t>
      </w:r>
      <w:r w:rsidR="00004B1F">
        <w:t xml:space="preserve"> does not take the matter any further, in that </w:t>
      </w:r>
      <w:r w:rsidR="00AD48B0">
        <w:t>a notice of inability to pay debts does not cease to be an act of insolvency as a result of circumstances obtaining subsequent to the giving thereof</w:t>
      </w:r>
      <w:r w:rsidR="0055073A">
        <w:t>.</w:t>
      </w:r>
      <w:r w:rsidR="00004B1F">
        <w:rPr>
          <w:rStyle w:val="FootnoteReference"/>
        </w:rPr>
        <w:footnoteReference w:id="11"/>
      </w:r>
      <w:r w:rsidR="0055073A">
        <w:t xml:space="preserve">  </w:t>
      </w:r>
    </w:p>
    <w:p w14:paraId="0DA82447" w14:textId="152A360C" w:rsidR="00AD48B0" w:rsidRDefault="00B20524" w:rsidP="00B20524">
      <w:pPr>
        <w:snapToGrid w:val="0"/>
        <w:spacing w:before="120" w:after="240" w:line="480" w:lineRule="auto"/>
        <w:ind w:hanging="6"/>
        <w:jc w:val="both"/>
        <w:rPr>
          <w:rFonts w:cs="Arial"/>
          <w:lang w:val="en-GB"/>
        </w:rPr>
      </w:pPr>
      <w:r>
        <w:rPr>
          <w:rFonts w:cs="Arial"/>
          <w:lang w:val="en-GB"/>
        </w:rPr>
        <w:t>[25]</w:t>
      </w:r>
      <w:r>
        <w:rPr>
          <w:rFonts w:cs="Arial"/>
          <w:lang w:val="en-GB"/>
        </w:rPr>
        <w:tab/>
      </w:r>
      <w:r w:rsidR="0055073A">
        <w:t>In any event, it appears that to date</w:t>
      </w:r>
      <w:r w:rsidR="007337FD">
        <w:t>,</w:t>
      </w:r>
      <w:r w:rsidR="0055073A">
        <w:t xml:space="preserve"> </w:t>
      </w:r>
      <w:r w:rsidR="00BF246F">
        <w:t>payment</w:t>
      </w:r>
      <w:r w:rsidR="0055073A">
        <w:t xml:space="preserve"> </w:t>
      </w:r>
      <w:r w:rsidR="007A70AA">
        <w:t xml:space="preserve">of </w:t>
      </w:r>
      <w:r w:rsidR="007A70AA" w:rsidRPr="007E6512">
        <w:rPr>
          <w:rFonts w:cs="Arial"/>
          <w:lang w:val="en-GB"/>
        </w:rPr>
        <w:t>R100 000</w:t>
      </w:r>
      <w:r w:rsidR="007A70AA">
        <w:rPr>
          <w:rFonts w:cs="Arial"/>
          <w:lang w:val="en-GB"/>
        </w:rPr>
        <w:t xml:space="preserve"> </w:t>
      </w:r>
      <w:r w:rsidR="007A70AA">
        <w:t xml:space="preserve">has </w:t>
      </w:r>
      <w:r w:rsidR="00BF246F">
        <w:t xml:space="preserve">been </w:t>
      </w:r>
      <w:r w:rsidR="00A445B6">
        <w:t xml:space="preserve">made </w:t>
      </w:r>
      <w:r w:rsidR="007337FD">
        <w:t xml:space="preserve">in </w:t>
      </w:r>
      <w:r w:rsidR="00A445B6" w:rsidRPr="007E6512">
        <w:rPr>
          <w:rFonts w:cs="Arial"/>
          <w:lang w:val="en-GB"/>
        </w:rPr>
        <w:t>respect of the</w:t>
      </w:r>
      <w:r w:rsidR="007A70AA">
        <w:rPr>
          <w:rFonts w:cs="Arial"/>
          <w:lang w:val="en-GB"/>
        </w:rPr>
        <w:t xml:space="preserve"> Trust’s obligations </w:t>
      </w:r>
      <w:r w:rsidR="007337FD">
        <w:rPr>
          <w:rFonts w:cs="Arial"/>
          <w:lang w:val="en-GB"/>
        </w:rPr>
        <w:t xml:space="preserve">with </w:t>
      </w:r>
      <w:r w:rsidR="007A70AA">
        <w:rPr>
          <w:rFonts w:cs="Arial"/>
          <w:lang w:val="en-GB"/>
        </w:rPr>
        <w:t xml:space="preserve">respect </w:t>
      </w:r>
      <w:r w:rsidR="007337FD">
        <w:rPr>
          <w:rFonts w:cs="Arial"/>
          <w:lang w:val="en-GB"/>
        </w:rPr>
        <w:t xml:space="preserve">to </w:t>
      </w:r>
      <w:r w:rsidR="007A70AA">
        <w:rPr>
          <w:rFonts w:cs="Arial"/>
          <w:lang w:val="en-GB"/>
        </w:rPr>
        <w:t>the</w:t>
      </w:r>
      <w:r w:rsidR="00A445B6" w:rsidRPr="007E6512">
        <w:rPr>
          <w:rFonts w:cs="Arial"/>
          <w:lang w:val="en-GB"/>
        </w:rPr>
        <w:t xml:space="preserve"> term loan agreement</w:t>
      </w:r>
      <w:r w:rsidR="00BF725C">
        <w:rPr>
          <w:rFonts w:cs="Arial"/>
          <w:lang w:val="en-GB"/>
        </w:rPr>
        <w:t>/suretyship agreement</w:t>
      </w:r>
      <w:r w:rsidR="00A8539C">
        <w:rPr>
          <w:rFonts w:cs="Arial"/>
          <w:lang w:val="en-GB"/>
        </w:rPr>
        <w:t xml:space="preserve"> since June 2023, in circumstances where the Trust offered to make payment of </w:t>
      </w:r>
      <w:r w:rsidR="008D470B">
        <w:rPr>
          <w:rFonts w:cs="Arial"/>
          <w:lang w:val="en-GB"/>
        </w:rPr>
        <w:t xml:space="preserve">a sum of </w:t>
      </w:r>
      <w:r w:rsidR="00DA181C">
        <w:rPr>
          <w:rFonts w:cs="Arial"/>
          <w:lang w:val="en-GB"/>
        </w:rPr>
        <w:t>R180 000 for the period 31 July 2023 to 31 December 2023</w:t>
      </w:r>
      <w:r w:rsidR="009052E8">
        <w:rPr>
          <w:rFonts w:cs="Arial"/>
          <w:lang w:val="en-GB"/>
        </w:rPr>
        <w:t xml:space="preserve">.  Further, as Mr Wessels correctly pointed out, the proofs of payment annexed to the answering affidavit do not demonstrate that the Trust has in fact made the payments on which reliance is placed.  </w:t>
      </w:r>
      <w:r w:rsidR="00DE1113">
        <w:rPr>
          <w:rFonts w:cs="Arial"/>
          <w:lang w:val="en-GB"/>
        </w:rPr>
        <w:t xml:space="preserve">It appears that the payments have been made by </w:t>
      </w:r>
      <w:r w:rsidR="00470B16">
        <w:rPr>
          <w:rFonts w:cs="Arial"/>
          <w:lang w:val="en-GB"/>
        </w:rPr>
        <w:t xml:space="preserve">an entity referred to as </w:t>
      </w:r>
      <w:r w:rsidR="00470B16" w:rsidRPr="006B0888">
        <w:rPr>
          <w:rFonts w:cs="Arial"/>
          <w:i/>
          <w:iCs/>
          <w:lang w:val="en-GB"/>
        </w:rPr>
        <w:t>“ATNGROUP”</w:t>
      </w:r>
      <w:r w:rsidR="00470B16">
        <w:rPr>
          <w:rFonts w:cs="Arial"/>
          <w:lang w:val="en-GB"/>
        </w:rPr>
        <w:t xml:space="preserve">.  There is no explanation in the answering affidavit as to what this entity is or what its relationship to the Trust is.  </w:t>
      </w:r>
      <w:r w:rsidR="000E71DD">
        <w:rPr>
          <w:rFonts w:cs="Arial"/>
          <w:lang w:val="en-GB"/>
        </w:rPr>
        <w:t xml:space="preserve">Mr de Wet for the Trust correctly accepted that the answering affidavit does not </w:t>
      </w:r>
      <w:r w:rsidR="00337BEF">
        <w:rPr>
          <w:rFonts w:cs="Arial"/>
          <w:lang w:val="en-GB"/>
        </w:rPr>
        <w:t xml:space="preserve">deal with the basis on which the payments made by </w:t>
      </w:r>
      <w:r w:rsidR="00337BEF" w:rsidRPr="006B0888">
        <w:rPr>
          <w:rFonts w:cs="Arial"/>
          <w:i/>
          <w:iCs/>
          <w:lang w:val="en-GB"/>
        </w:rPr>
        <w:t xml:space="preserve">“ATNGROUP” </w:t>
      </w:r>
      <w:r w:rsidR="00337BEF">
        <w:rPr>
          <w:rFonts w:cs="Arial"/>
          <w:lang w:val="en-GB"/>
        </w:rPr>
        <w:t xml:space="preserve">can be attributed to the Trust. </w:t>
      </w:r>
    </w:p>
    <w:p w14:paraId="24C975E4" w14:textId="14FBA65F" w:rsidR="0085273D" w:rsidRPr="00345AA6" w:rsidRDefault="00B20524" w:rsidP="00B20524">
      <w:pPr>
        <w:snapToGrid w:val="0"/>
        <w:spacing w:before="120" w:after="240" w:line="480" w:lineRule="auto"/>
        <w:ind w:hanging="6"/>
        <w:jc w:val="both"/>
        <w:rPr>
          <w:rFonts w:cs="Arial"/>
          <w:lang w:val="en-GB"/>
        </w:rPr>
      </w:pPr>
      <w:r w:rsidRPr="00345AA6">
        <w:rPr>
          <w:rFonts w:cs="Arial"/>
          <w:lang w:val="en-GB"/>
        </w:rPr>
        <w:t>[26]</w:t>
      </w:r>
      <w:r w:rsidRPr="00345AA6">
        <w:rPr>
          <w:rFonts w:cs="Arial"/>
          <w:lang w:val="en-GB"/>
        </w:rPr>
        <w:tab/>
      </w:r>
      <w:r w:rsidR="0085273D">
        <w:rPr>
          <w:rFonts w:cs="Arial"/>
          <w:lang w:val="en-GB"/>
        </w:rPr>
        <w:t xml:space="preserve">Further, it is not </w:t>
      </w:r>
      <w:r w:rsidR="000A1A72">
        <w:rPr>
          <w:rFonts w:cs="Arial"/>
          <w:lang w:val="en-GB"/>
        </w:rPr>
        <w:t xml:space="preserve">disputed that as a consequence of </w:t>
      </w:r>
      <w:r w:rsidR="00B82EEA">
        <w:rPr>
          <w:rFonts w:cs="Arial"/>
          <w:lang w:val="en-GB"/>
        </w:rPr>
        <w:t>the Trust having defaulted on the mortgage loan agreement</w:t>
      </w:r>
      <w:r w:rsidR="00553941">
        <w:rPr>
          <w:rFonts w:cs="Arial"/>
          <w:lang w:val="en-GB"/>
        </w:rPr>
        <w:t>,</w:t>
      </w:r>
      <w:r w:rsidR="00B82EEA">
        <w:rPr>
          <w:rFonts w:cs="Arial"/>
          <w:lang w:val="en-GB"/>
        </w:rPr>
        <w:t xml:space="preserve"> the full amount due in terms of that agreement is now due and payable</w:t>
      </w:r>
      <w:r w:rsidR="00E11BA9">
        <w:rPr>
          <w:rFonts w:cs="Arial"/>
          <w:lang w:val="en-GB"/>
        </w:rPr>
        <w:t xml:space="preserve">.  The certificate of balance annexed to the founding affidavit </w:t>
      </w:r>
      <w:r w:rsidR="00E11BA9">
        <w:rPr>
          <w:rFonts w:cs="Arial"/>
          <w:lang w:val="en-GB"/>
        </w:rPr>
        <w:lastRenderedPageBreak/>
        <w:t>demonstrates that the full amount due in terms of</w:t>
      </w:r>
      <w:r w:rsidR="00E11BA9" w:rsidRPr="00E11BA9">
        <w:rPr>
          <w:rFonts w:cs="Arial"/>
          <w:lang w:val="en-GB"/>
        </w:rPr>
        <w:t xml:space="preserve"> </w:t>
      </w:r>
      <w:r w:rsidR="00E11BA9">
        <w:rPr>
          <w:rFonts w:cs="Arial"/>
          <w:lang w:val="en-GB"/>
        </w:rPr>
        <w:t xml:space="preserve">the mortgage loan agreement as at </w:t>
      </w:r>
      <w:r w:rsidR="00DF7149">
        <w:rPr>
          <w:rFonts w:cs="Arial"/>
          <w:lang w:val="en-GB"/>
        </w:rPr>
        <w:t xml:space="preserve">12 May 2023 </w:t>
      </w:r>
      <w:r w:rsidR="00F230EA">
        <w:rPr>
          <w:rFonts w:cs="Arial"/>
          <w:lang w:val="en-GB"/>
        </w:rPr>
        <w:t xml:space="preserve">was </w:t>
      </w:r>
      <w:r w:rsidR="00DF7149">
        <w:rPr>
          <w:rFonts w:cs="Arial"/>
          <w:lang w:val="en-GB"/>
        </w:rPr>
        <w:t xml:space="preserve">R2 393 887.26.  </w:t>
      </w:r>
      <w:r w:rsidR="001A1E4C">
        <w:rPr>
          <w:rFonts w:cs="Arial"/>
          <w:lang w:val="en-GB"/>
        </w:rPr>
        <w:t xml:space="preserve">On the Trust’s version as contained in the answering affidavit, it is not in a position to pay this amount and is only able to make payment in instalments.  </w:t>
      </w:r>
    </w:p>
    <w:p w14:paraId="0786466E" w14:textId="493F1B00" w:rsidR="00CD3755" w:rsidRDefault="00B20524" w:rsidP="00B20524">
      <w:pPr>
        <w:snapToGrid w:val="0"/>
        <w:spacing w:before="120" w:after="240" w:line="480" w:lineRule="auto"/>
        <w:ind w:hanging="6"/>
        <w:jc w:val="both"/>
        <w:rPr>
          <w:rFonts w:cs="Arial"/>
          <w:lang w:val="en-GB"/>
        </w:rPr>
      </w:pPr>
      <w:r>
        <w:rPr>
          <w:rFonts w:cs="Arial"/>
          <w:lang w:val="en-GB"/>
        </w:rPr>
        <w:t>[27]</w:t>
      </w:r>
      <w:r>
        <w:rPr>
          <w:rFonts w:cs="Arial"/>
          <w:lang w:val="en-GB"/>
        </w:rPr>
        <w:tab/>
      </w:r>
      <w:r w:rsidR="0089064B">
        <w:rPr>
          <w:rFonts w:cs="Arial"/>
          <w:lang w:val="en-GB"/>
        </w:rPr>
        <w:t xml:space="preserve">Further, the Trust has failed to set out its current financial position.  It has not placed any financial or income statements before the </w:t>
      </w:r>
      <w:r w:rsidR="00F230EA">
        <w:rPr>
          <w:rFonts w:cs="Arial"/>
          <w:lang w:val="en-GB"/>
        </w:rPr>
        <w:t>c</w:t>
      </w:r>
      <w:r w:rsidR="0089064B">
        <w:rPr>
          <w:rFonts w:cs="Arial"/>
          <w:lang w:val="en-GB"/>
        </w:rPr>
        <w:t xml:space="preserve">ourt.  Save for vague unsubstantiated allegations, it has not placed any evidence before the </w:t>
      </w:r>
      <w:r w:rsidR="00D40FBC">
        <w:rPr>
          <w:rFonts w:cs="Arial"/>
          <w:lang w:val="en-GB"/>
        </w:rPr>
        <w:t>c</w:t>
      </w:r>
      <w:r w:rsidR="0089064B">
        <w:rPr>
          <w:rFonts w:cs="Arial"/>
          <w:lang w:val="en-GB"/>
        </w:rPr>
        <w:t>ourt that it is generating an income or indeed has the ability to generate an income that will allow it to repay the debt due to ABSA</w:t>
      </w:r>
      <w:r w:rsidR="0085273D">
        <w:rPr>
          <w:rFonts w:cs="Arial"/>
          <w:lang w:val="en-GB"/>
        </w:rPr>
        <w:t>.</w:t>
      </w:r>
    </w:p>
    <w:p w14:paraId="5A013CF8" w14:textId="18D54830" w:rsidR="00371040" w:rsidRDefault="00B20524" w:rsidP="00B20524">
      <w:pPr>
        <w:snapToGrid w:val="0"/>
        <w:spacing w:before="120" w:after="240" w:line="480" w:lineRule="auto"/>
        <w:ind w:hanging="6"/>
        <w:jc w:val="both"/>
        <w:rPr>
          <w:rFonts w:cs="Arial"/>
          <w:lang w:val="en-GB"/>
        </w:rPr>
      </w:pPr>
      <w:r>
        <w:rPr>
          <w:rFonts w:cs="Arial"/>
          <w:lang w:val="en-GB"/>
        </w:rPr>
        <w:t>[28]</w:t>
      </w:r>
      <w:r>
        <w:rPr>
          <w:rFonts w:cs="Arial"/>
          <w:lang w:val="en-GB"/>
        </w:rPr>
        <w:tab/>
      </w:r>
      <w:r w:rsidR="00B94EFB">
        <w:rPr>
          <w:rFonts w:cs="Arial"/>
          <w:lang w:val="en-GB"/>
        </w:rPr>
        <w:t>On a conspectus of the evidence, I am satisfied that ABSA ha</w:t>
      </w:r>
      <w:r w:rsidR="002A3EEB">
        <w:rPr>
          <w:rFonts w:cs="Arial"/>
          <w:lang w:val="en-GB"/>
        </w:rPr>
        <w:t xml:space="preserve">s demonstrated that </w:t>
      </w:r>
      <w:r w:rsidR="00AC65B8">
        <w:rPr>
          <w:rFonts w:cs="Arial"/>
          <w:lang w:val="en-GB"/>
        </w:rPr>
        <w:t xml:space="preserve">the Trust has committed an act of insolvency.  </w:t>
      </w:r>
    </w:p>
    <w:p w14:paraId="1870EB67" w14:textId="70C0359A" w:rsidR="00D237DB" w:rsidRDefault="00B20524" w:rsidP="00B20524">
      <w:pPr>
        <w:snapToGrid w:val="0"/>
        <w:spacing w:before="120" w:after="240" w:line="480" w:lineRule="auto"/>
        <w:ind w:hanging="6"/>
        <w:jc w:val="both"/>
        <w:rPr>
          <w:rFonts w:cs="Arial"/>
          <w:lang w:val="en-GB"/>
        </w:rPr>
      </w:pPr>
      <w:r>
        <w:rPr>
          <w:rFonts w:cs="Arial"/>
          <w:lang w:val="en-GB"/>
        </w:rPr>
        <w:t>[29]</w:t>
      </w:r>
      <w:r>
        <w:rPr>
          <w:rFonts w:cs="Arial"/>
          <w:lang w:val="en-GB"/>
        </w:rPr>
        <w:tab/>
      </w:r>
      <w:r w:rsidR="00AC65B8">
        <w:rPr>
          <w:rFonts w:cs="Arial"/>
          <w:lang w:val="en-GB"/>
        </w:rPr>
        <w:t xml:space="preserve">Insofar as the benefit to creditors is concerned, </w:t>
      </w:r>
      <w:r w:rsidR="005D31E7">
        <w:rPr>
          <w:rFonts w:cs="Arial"/>
          <w:lang w:val="en-GB"/>
        </w:rPr>
        <w:t xml:space="preserve">it appears from the papers that the Trust has </w:t>
      </w:r>
      <w:r w:rsidR="00774A6A">
        <w:rPr>
          <w:rFonts w:cs="Arial"/>
          <w:lang w:val="en-GB"/>
        </w:rPr>
        <w:t xml:space="preserve">a valuable asset, being the property </w:t>
      </w:r>
      <w:r w:rsidR="00AF227F">
        <w:rPr>
          <w:rFonts w:cs="Arial"/>
          <w:lang w:val="en-GB"/>
        </w:rPr>
        <w:t>in respect of which ABSA h</w:t>
      </w:r>
      <w:r w:rsidR="00E47C38">
        <w:rPr>
          <w:rFonts w:cs="Arial"/>
          <w:lang w:val="en-GB"/>
        </w:rPr>
        <w:t>olds the mortgage bonds as security for the Trust’s indebtedness in respect of the mortgage loan agreement</w:t>
      </w:r>
      <w:r w:rsidR="007316F1">
        <w:rPr>
          <w:rFonts w:cs="Arial"/>
          <w:lang w:val="en-GB"/>
        </w:rPr>
        <w:t xml:space="preserve">, </w:t>
      </w:r>
      <w:r w:rsidR="00D40FBC">
        <w:rPr>
          <w:rFonts w:cs="Arial"/>
          <w:lang w:val="en-GB"/>
        </w:rPr>
        <w:t>and that the asset</w:t>
      </w:r>
      <w:r w:rsidR="007316F1">
        <w:rPr>
          <w:rFonts w:cs="Arial"/>
          <w:lang w:val="en-GB"/>
        </w:rPr>
        <w:t xml:space="preserve"> can be realised </w:t>
      </w:r>
      <w:r w:rsidR="00441CE6">
        <w:rPr>
          <w:rFonts w:cs="Arial"/>
          <w:lang w:val="en-GB"/>
        </w:rPr>
        <w:t xml:space="preserve">for the benefit of the Trust’s creditors.  </w:t>
      </w:r>
      <w:r w:rsidR="003B4693">
        <w:rPr>
          <w:rFonts w:cs="Arial"/>
          <w:lang w:val="en-GB"/>
        </w:rPr>
        <w:t>O</w:t>
      </w:r>
      <w:r w:rsidR="00441CE6">
        <w:rPr>
          <w:rFonts w:cs="Arial"/>
          <w:lang w:val="en-GB"/>
        </w:rPr>
        <w:t>n the papers as they stand it appears that ABSA is the only creditor</w:t>
      </w:r>
      <w:r w:rsidR="00743796">
        <w:rPr>
          <w:rFonts w:cs="Arial"/>
          <w:lang w:val="en-GB"/>
        </w:rPr>
        <w:t xml:space="preserve">.  </w:t>
      </w:r>
      <w:r w:rsidR="00D40FBC">
        <w:rPr>
          <w:rFonts w:cs="Arial"/>
          <w:lang w:val="en-GB"/>
        </w:rPr>
        <w:t xml:space="preserve">The Trust, however, contends that it has other creditors although </w:t>
      </w:r>
      <w:r w:rsidR="003439DA">
        <w:rPr>
          <w:rFonts w:cs="Arial"/>
          <w:lang w:val="en-GB"/>
        </w:rPr>
        <w:t>the identit</w:t>
      </w:r>
      <w:r w:rsidR="00E166BC">
        <w:rPr>
          <w:rFonts w:cs="Arial"/>
          <w:lang w:val="en-GB"/>
        </w:rPr>
        <w:t xml:space="preserve">ies and the debts owed to </w:t>
      </w:r>
      <w:r w:rsidR="003439DA">
        <w:rPr>
          <w:rFonts w:cs="Arial"/>
          <w:lang w:val="en-GB"/>
        </w:rPr>
        <w:t>th</w:t>
      </w:r>
      <w:r w:rsidR="00D237DB">
        <w:rPr>
          <w:rFonts w:cs="Arial"/>
          <w:lang w:val="en-GB"/>
        </w:rPr>
        <w:t>o</w:t>
      </w:r>
      <w:r w:rsidR="003439DA">
        <w:rPr>
          <w:rFonts w:cs="Arial"/>
          <w:lang w:val="en-GB"/>
        </w:rPr>
        <w:t>se creditors is not set out in the answering affidavit</w:t>
      </w:r>
      <w:r w:rsidR="00E166BC">
        <w:rPr>
          <w:rFonts w:cs="Arial"/>
          <w:lang w:val="en-GB"/>
        </w:rPr>
        <w:t xml:space="preserve">.  </w:t>
      </w:r>
      <w:r w:rsidR="00743796" w:rsidRPr="001647BC">
        <w:rPr>
          <w:rFonts w:cs="Arial"/>
          <w:lang w:val="en-GB"/>
        </w:rPr>
        <w:t xml:space="preserve">Further, the Trust does not meaningfully dispute in the answering affidavit, ABSA’s contention that the realisation of the property </w:t>
      </w:r>
      <w:r w:rsidR="00067E46" w:rsidRPr="001647BC">
        <w:rPr>
          <w:rFonts w:cs="Arial"/>
          <w:lang w:val="en-GB"/>
        </w:rPr>
        <w:t xml:space="preserve">which it holds as security would be to the benefit of creditors. </w:t>
      </w:r>
      <w:r w:rsidR="000607D1" w:rsidRPr="001647BC">
        <w:rPr>
          <w:rFonts w:cs="Arial"/>
          <w:lang w:val="en-GB"/>
        </w:rPr>
        <w:t xml:space="preserve"> </w:t>
      </w:r>
    </w:p>
    <w:p w14:paraId="255E872C" w14:textId="43A6CAD5" w:rsidR="009A5ADA" w:rsidRPr="00A37CDF" w:rsidRDefault="00B20524" w:rsidP="00B20524">
      <w:pPr>
        <w:snapToGrid w:val="0"/>
        <w:spacing w:before="120" w:after="240" w:line="480" w:lineRule="auto"/>
        <w:ind w:hanging="6"/>
        <w:jc w:val="both"/>
        <w:rPr>
          <w:rFonts w:cs="Arial"/>
          <w:lang w:val="en-GB"/>
        </w:rPr>
      </w:pPr>
      <w:r w:rsidRPr="00A37CDF">
        <w:rPr>
          <w:rFonts w:cs="Arial"/>
          <w:lang w:val="en-GB"/>
        </w:rPr>
        <w:t>[30]</w:t>
      </w:r>
      <w:r w:rsidRPr="00A37CDF">
        <w:rPr>
          <w:rFonts w:cs="Arial"/>
          <w:lang w:val="en-GB"/>
        </w:rPr>
        <w:tab/>
      </w:r>
      <w:r w:rsidR="009C7EDE">
        <w:t xml:space="preserve">Once the applicant for a provisional order of sequestration has established on a </w:t>
      </w:r>
      <w:r w:rsidR="009C7EDE" w:rsidRPr="009C7EDE">
        <w:rPr>
          <w:i/>
          <w:iCs/>
        </w:rPr>
        <w:t>prima facie</w:t>
      </w:r>
      <w:r w:rsidR="009C7EDE">
        <w:t xml:space="preserve"> basis the requisites for such an order, the court has a discretion whether </w:t>
      </w:r>
      <w:r w:rsidR="009C7EDE">
        <w:lastRenderedPageBreak/>
        <w:t>to grant the order.</w:t>
      </w:r>
      <w:r w:rsidR="005B4B26">
        <w:rPr>
          <w:rStyle w:val="FootnoteReference"/>
        </w:rPr>
        <w:footnoteReference w:id="12"/>
      </w:r>
      <w:r w:rsidR="00FC0B4B">
        <w:t xml:space="preserve">  </w:t>
      </w:r>
      <w:r w:rsidR="004D4688">
        <w:t>Where the conditions prescribed for the grant of a provisional order of sequestration are satisfied, then, in the absence of some special circumstances, the court should ordinarily grant the order</w:t>
      </w:r>
      <w:r w:rsidR="00DE2949">
        <w:t xml:space="preserve">, and it </w:t>
      </w:r>
      <w:r w:rsidR="004D4688">
        <w:t>is for the respondent to establish the special or unusual circumstances that warrant the exercise of the court's discretion in his or her favou</w:t>
      </w:r>
      <w:r w:rsidR="00DE2949">
        <w:t>r</w:t>
      </w:r>
      <w:r w:rsidR="009A5ADA" w:rsidRPr="00A37CDF">
        <w:rPr>
          <w:rFonts w:cs="Arial"/>
        </w:rPr>
        <w:t>.</w:t>
      </w:r>
      <w:r w:rsidR="00DE2949">
        <w:rPr>
          <w:rStyle w:val="FootnoteReference"/>
          <w:rFonts w:cs="Arial"/>
        </w:rPr>
        <w:footnoteReference w:id="13"/>
      </w:r>
    </w:p>
    <w:p w14:paraId="2E46C5D3" w14:textId="784F7884" w:rsidR="007F68BB" w:rsidRDefault="00B20524" w:rsidP="00B20524">
      <w:pPr>
        <w:snapToGrid w:val="0"/>
        <w:spacing w:before="120" w:after="240" w:line="480" w:lineRule="auto"/>
        <w:ind w:hanging="6"/>
        <w:jc w:val="both"/>
        <w:rPr>
          <w:rFonts w:cs="Arial"/>
          <w:lang w:val="en-GB"/>
        </w:rPr>
      </w:pPr>
      <w:r>
        <w:rPr>
          <w:rFonts w:cs="Arial"/>
          <w:lang w:val="en-GB"/>
        </w:rPr>
        <w:t>[31]</w:t>
      </w:r>
      <w:r>
        <w:rPr>
          <w:rFonts w:cs="Arial"/>
          <w:lang w:val="en-GB"/>
        </w:rPr>
        <w:tab/>
      </w:r>
      <w:r w:rsidR="00A37CDF" w:rsidRPr="00FC0B4B">
        <w:rPr>
          <w:rFonts w:cs="Arial"/>
          <w:lang w:val="en-GB"/>
        </w:rPr>
        <w:t xml:space="preserve">Mr de Wet in argument urged me to exercise the discretion </w:t>
      </w:r>
      <w:r w:rsidR="00A37CDF" w:rsidRPr="001647BC">
        <w:t xml:space="preserve">vested in </w:t>
      </w:r>
      <w:r w:rsidR="00A37CDF">
        <w:t>the court</w:t>
      </w:r>
      <w:r w:rsidR="00A37CDF" w:rsidRPr="001647BC">
        <w:t xml:space="preserve"> in favour of the </w:t>
      </w:r>
      <w:r w:rsidR="00A37CDF">
        <w:t xml:space="preserve">Trust.  </w:t>
      </w:r>
      <w:r w:rsidR="000A1ED4">
        <w:t xml:space="preserve">The Trust </w:t>
      </w:r>
      <w:r w:rsidR="00A37CDF">
        <w:t xml:space="preserve">sought to place reliance on the contention that </w:t>
      </w:r>
      <w:r w:rsidR="00C90D29">
        <w:t>the sequestration of the Trust would not be to the benefit of creditors because</w:t>
      </w:r>
      <w:r w:rsidR="002636C9">
        <w:t xml:space="preserve"> (a) the Trust is presently servicing its debts and its sustainable future income</w:t>
      </w:r>
      <w:r w:rsidR="00FF45F6">
        <w:t xml:space="preserve"> will allow it to continue to do so and (b) the sale of the Trust’s immovable property at auction will not be to the benefit o</w:t>
      </w:r>
      <w:r w:rsidR="00C83774">
        <w:t>f creditors since it will likely achieve a far lower sale price than on the open market.</w:t>
      </w:r>
      <w:r w:rsidR="001C456D">
        <w:t xml:space="preserve">  </w:t>
      </w:r>
    </w:p>
    <w:p w14:paraId="1139A5EC" w14:textId="247D5C6D" w:rsidR="002B32AC" w:rsidRPr="00057854" w:rsidRDefault="00B20524" w:rsidP="00B20524">
      <w:pPr>
        <w:snapToGrid w:val="0"/>
        <w:spacing w:before="120" w:after="240" w:line="480" w:lineRule="auto"/>
        <w:ind w:hanging="6"/>
        <w:jc w:val="both"/>
        <w:rPr>
          <w:rFonts w:cs="Arial"/>
          <w:lang w:val="en-GB"/>
        </w:rPr>
      </w:pPr>
      <w:r w:rsidRPr="00057854">
        <w:rPr>
          <w:rFonts w:cs="Arial"/>
          <w:lang w:val="en-GB"/>
        </w:rPr>
        <w:t>[32]</w:t>
      </w:r>
      <w:r w:rsidRPr="00057854">
        <w:rPr>
          <w:rFonts w:cs="Arial"/>
          <w:lang w:val="en-GB"/>
        </w:rPr>
        <w:tab/>
      </w:r>
      <w:r w:rsidR="001926C8">
        <w:t>G</w:t>
      </w:r>
      <w:r w:rsidR="002E226A">
        <w:t>iven that ABSA</w:t>
      </w:r>
      <w:r w:rsidR="002B32AC">
        <w:t xml:space="preserve"> case</w:t>
      </w:r>
      <w:r w:rsidR="002E226A">
        <w:t>’s</w:t>
      </w:r>
      <w:r w:rsidR="002B32AC">
        <w:t xml:space="preserve"> </w:t>
      </w:r>
      <w:r w:rsidR="002E226A">
        <w:t>is</w:t>
      </w:r>
      <w:r w:rsidR="002B32AC">
        <w:t xml:space="preserve"> based on the commission of an act of insolvency</w:t>
      </w:r>
      <w:r w:rsidR="002E226A">
        <w:t xml:space="preserve">, </w:t>
      </w:r>
      <w:r w:rsidR="002B32AC">
        <w:t xml:space="preserve">at the level of a provisional order of sequestration, </w:t>
      </w:r>
      <w:r w:rsidR="002E226A">
        <w:t xml:space="preserve">it was incumbent on the Trust to </w:t>
      </w:r>
      <w:r w:rsidR="002B32AC">
        <w:t xml:space="preserve">place evidence before the court that clearly establishes that </w:t>
      </w:r>
      <w:r w:rsidR="002E226A">
        <w:t>its</w:t>
      </w:r>
      <w:r w:rsidR="002B32AC">
        <w:t xml:space="preserve"> debts will be paid if a sequestration order is not granted</w:t>
      </w:r>
      <w:r w:rsidR="00703559">
        <w:t xml:space="preserve">, and further if </w:t>
      </w:r>
      <w:r w:rsidR="002B32AC">
        <w:t xml:space="preserve">that contention is based on a claim that the </w:t>
      </w:r>
      <w:r w:rsidR="00057854">
        <w:t>Trust</w:t>
      </w:r>
      <w:r w:rsidR="002B32AC">
        <w:t xml:space="preserve"> is in fact solvent, then that should </w:t>
      </w:r>
      <w:r w:rsidR="001926C8">
        <w:t xml:space="preserve">have </w:t>
      </w:r>
      <w:r w:rsidR="002B32AC">
        <w:t>be</w:t>
      </w:r>
      <w:r w:rsidR="001926C8">
        <w:t>en</w:t>
      </w:r>
      <w:r w:rsidR="002B32AC">
        <w:t xml:space="preserve"> shown by acceptable evidence.</w:t>
      </w:r>
      <w:r w:rsidR="00057854">
        <w:t xml:space="preserve">  </w:t>
      </w:r>
    </w:p>
    <w:p w14:paraId="5879A27B" w14:textId="07C17A4C" w:rsidR="00057854" w:rsidRPr="00224B66" w:rsidRDefault="00B20524" w:rsidP="00B20524">
      <w:pPr>
        <w:snapToGrid w:val="0"/>
        <w:spacing w:before="120" w:after="240" w:line="480" w:lineRule="auto"/>
        <w:ind w:hanging="6"/>
        <w:jc w:val="both"/>
        <w:rPr>
          <w:rFonts w:cs="Arial"/>
          <w:lang w:val="en-GB"/>
        </w:rPr>
      </w:pPr>
      <w:r w:rsidRPr="00224B66">
        <w:rPr>
          <w:rFonts w:cs="Arial"/>
          <w:lang w:val="en-GB"/>
        </w:rPr>
        <w:t>[33]</w:t>
      </w:r>
      <w:r w:rsidRPr="00224B66">
        <w:rPr>
          <w:rFonts w:cs="Arial"/>
          <w:lang w:val="en-GB"/>
        </w:rPr>
        <w:tab/>
      </w:r>
      <w:r w:rsidR="00057854">
        <w:t>For the reasons already addressed t</w:t>
      </w:r>
      <w:r w:rsidR="00057854" w:rsidRPr="001647BC">
        <w:t>here is no evidence</w:t>
      </w:r>
      <w:r w:rsidR="00057854">
        <w:t xml:space="preserve"> before the court</w:t>
      </w:r>
      <w:r w:rsidR="00057854" w:rsidRPr="001647BC">
        <w:t xml:space="preserve"> that establishes that the </w:t>
      </w:r>
      <w:r w:rsidR="00057854">
        <w:t xml:space="preserve">Trust’s </w:t>
      </w:r>
      <w:r w:rsidR="00057854" w:rsidRPr="001647BC">
        <w:t xml:space="preserve">debts would be paid within a reasonable time. </w:t>
      </w:r>
      <w:r w:rsidR="00057854">
        <w:t xml:space="preserve"> </w:t>
      </w:r>
      <w:r w:rsidR="00057854" w:rsidRPr="001647BC">
        <w:t xml:space="preserve">On the contrary, the evidence shows that the </w:t>
      </w:r>
      <w:r w:rsidR="00057854">
        <w:t>Trust is unable to do so, and that the Trust</w:t>
      </w:r>
      <w:r w:rsidR="00057854" w:rsidRPr="001647BC">
        <w:t xml:space="preserve"> did not comply with the terms of </w:t>
      </w:r>
      <w:r w:rsidR="00057854">
        <w:t xml:space="preserve">repayment that it proposed in the letter of 24 April 2023, </w:t>
      </w:r>
      <w:r w:rsidR="00057854">
        <w:lastRenderedPageBreak/>
        <w:t>and there is no evidence that the Trust has any sustainable income stream.</w:t>
      </w:r>
      <w:r w:rsidR="00057854">
        <w:rPr>
          <w:rFonts w:cs="Arial"/>
          <w:lang w:val="en-GB"/>
        </w:rPr>
        <w:t xml:space="preserve">  </w:t>
      </w:r>
      <w:r w:rsidR="00057854" w:rsidRPr="00AD76C5">
        <w:rPr>
          <w:rFonts w:cs="Arial"/>
          <w:lang w:val="en-GB"/>
        </w:rPr>
        <w:t>The Trust owns a property that is encumbered in favour of ABSA.  There is no evidence before the court that the Trust has sought to sell the property on the open market or what the proceeds of a sale on the open market would be and consequently there is no evidence before the court that a sale at auction will yield a lower sale price than a sale on the open market</w:t>
      </w:r>
      <w:r w:rsidR="00057854">
        <w:rPr>
          <w:rFonts w:cs="Arial"/>
          <w:lang w:val="en-GB"/>
        </w:rPr>
        <w:t xml:space="preserve">.  </w:t>
      </w:r>
    </w:p>
    <w:p w14:paraId="135D21E3" w14:textId="5B813B01" w:rsidR="00213071" w:rsidRDefault="00B20524" w:rsidP="00B20524">
      <w:pPr>
        <w:snapToGrid w:val="0"/>
        <w:spacing w:before="120" w:after="240" w:line="480" w:lineRule="auto"/>
        <w:ind w:hanging="6"/>
        <w:jc w:val="both"/>
        <w:rPr>
          <w:rFonts w:cs="Arial"/>
          <w:lang w:val="en-GB"/>
        </w:rPr>
      </w:pPr>
      <w:r>
        <w:rPr>
          <w:rFonts w:cs="Arial"/>
          <w:lang w:val="en-GB"/>
        </w:rPr>
        <w:t>[34]</w:t>
      </w:r>
      <w:r>
        <w:rPr>
          <w:rFonts w:cs="Arial"/>
          <w:lang w:val="en-GB"/>
        </w:rPr>
        <w:tab/>
      </w:r>
      <w:r w:rsidR="004F3351">
        <w:t>I am not satisfied, on the information placed before me, that the Trust is commercially solvent as submitted by Mr de Wet</w:t>
      </w:r>
      <w:r w:rsidR="00E14497">
        <w:t xml:space="preserve">.  </w:t>
      </w:r>
      <w:r w:rsidR="00E14497">
        <w:rPr>
          <w:rFonts w:cs="Arial"/>
          <w:lang w:val="en-GB"/>
        </w:rPr>
        <w:t xml:space="preserve">I am further satisfied that </w:t>
      </w:r>
      <w:r w:rsidR="00E14497" w:rsidRPr="007F68BB">
        <w:rPr>
          <w:rFonts w:cs="Arial"/>
          <w:lang w:val="en-GB"/>
        </w:rPr>
        <w:t>ABSA has establish</w:t>
      </w:r>
      <w:r w:rsidR="00E14497">
        <w:rPr>
          <w:rFonts w:cs="Arial"/>
          <w:lang w:val="en-GB"/>
        </w:rPr>
        <w:t xml:space="preserve">ed </w:t>
      </w:r>
      <w:r w:rsidR="00E14497" w:rsidRPr="007F68BB">
        <w:rPr>
          <w:rFonts w:cs="Arial"/>
          <w:lang w:val="en-GB"/>
        </w:rPr>
        <w:t xml:space="preserve">a </w:t>
      </w:r>
      <w:r w:rsidR="00E14497" w:rsidRPr="007F68BB">
        <w:rPr>
          <w:rFonts w:cs="Arial"/>
          <w:i/>
          <w:iCs/>
          <w:lang w:val="en-GB"/>
        </w:rPr>
        <w:t>prima facie</w:t>
      </w:r>
      <w:r w:rsidR="00E14497" w:rsidRPr="007F68BB">
        <w:rPr>
          <w:rFonts w:cs="Arial"/>
          <w:lang w:val="en-GB"/>
        </w:rPr>
        <w:t xml:space="preserve"> case as there </w:t>
      </w:r>
      <w:r w:rsidR="003C369C" w:rsidRPr="007F68BB">
        <w:rPr>
          <w:rFonts w:cs="Arial"/>
          <w:lang w:val="en-GB"/>
        </w:rPr>
        <w:t xml:space="preserve">is a reasonable prospect </w:t>
      </w:r>
      <w:r w:rsidR="00E14497" w:rsidRPr="007F68BB">
        <w:rPr>
          <w:rFonts w:cs="Arial"/>
          <w:lang w:val="en-GB"/>
        </w:rPr>
        <w:t xml:space="preserve">that </w:t>
      </w:r>
      <w:r w:rsidR="003C369C">
        <w:rPr>
          <w:rFonts w:cs="Arial"/>
          <w:lang w:val="en-GB"/>
        </w:rPr>
        <w:t xml:space="preserve">it </w:t>
      </w:r>
      <w:r w:rsidR="00E14497" w:rsidRPr="007F68BB">
        <w:rPr>
          <w:rFonts w:cs="Arial"/>
          <w:lang w:val="en-GB"/>
        </w:rPr>
        <w:t xml:space="preserve">will be to the advantage of creditors of the Trust if its estate is sequestrated. </w:t>
      </w:r>
      <w:r w:rsidR="00E14497">
        <w:rPr>
          <w:rFonts w:cs="Arial"/>
          <w:lang w:val="en-GB"/>
        </w:rPr>
        <w:t xml:space="preserve"> </w:t>
      </w:r>
      <w:r w:rsidR="00213071">
        <w:rPr>
          <w:rFonts w:cs="Arial"/>
          <w:lang w:val="en-GB"/>
        </w:rPr>
        <w:t xml:space="preserve">Further, </w:t>
      </w:r>
      <w:r w:rsidR="00DE427E">
        <w:rPr>
          <w:rFonts w:cs="Arial"/>
        </w:rPr>
        <w:t>there is no basis on the papers for me to exercise my residual discretion in the Trust’s favour in the face of ABSA’s fulfilment of the requirements of s 10</w:t>
      </w:r>
      <w:r w:rsidR="00213071">
        <w:rPr>
          <w:rFonts w:cs="Arial"/>
          <w:lang w:val="en-GB"/>
        </w:rPr>
        <w:t xml:space="preserve"> </w:t>
      </w:r>
      <w:r w:rsidR="00DE427E">
        <w:rPr>
          <w:rFonts w:cs="Arial"/>
          <w:lang w:val="en-GB"/>
        </w:rPr>
        <w:t>of the Insolvency Act.</w:t>
      </w:r>
    </w:p>
    <w:p w14:paraId="258D56D3" w14:textId="78471F1B" w:rsidR="006572B3" w:rsidRPr="00052204" w:rsidRDefault="00B20524" w:rsidP="00B20524">
      <w:pPr>
        <w:snapToGrid w:val="0"/>
        <w:spacing w:before="120" w:after="240" w:line="480" w:lineRule="auto"/>
        <w:ind w:hanging="6"/>
        <w:jc w:val="both"/>
        <w:rPr>
          <w:rFonts w:cs="Arial"/>
          <w:lang w:val="en-GB"/>
        </w:rPr>
      </w:pPr>
      <w:r w:rsidRPr="00052204">
        <w:rPr>
          <w:rFonts w:cs="Arial"/>
          <w:lang w:val="en-GB"/>
        </w:rPr>
        <w:t>[35]</w:t>
      </w:r>
      <w:r w:rsidRPr="00052204">
        <w:rPr>
          <w:rFonts w:cs="Arial"/>
          <w:lang w:val="en-GB"/>
        </w:rPr>
        <w:tab/>
      </w:r>
      <w:r w:rsidR="000607D1" w:rsidRPr="00052204">
        <w:rPr>
          <w:rFonts w:cs="Arial"/>
          <w:lang w:val="en-GB"/>
        </w:rPr>
        <w:t xml:space="preserve">For these reasons I am satisfied that a proper case has been made out for the granting of a provisional sequestration order. </w:t>
      </w:r>
    </w:p>
    <w:p w14:paraId="3D91C6DE" w14:textId="77777777" w:rsidR="00972538" w:rsidRDefault="00972538" w:rsidP="006572B3">
      <w:pPr>
        <w:rPr>
          <w:rFonts w:cs="Arial"/>
          <w:lang w:val="en-GB"/>
        </w:rPr>
      </w:pPr>
    </w:p>
    <w:p w14:paraId="006D71D3" w14:textId="77777777" w:rsidR="00972538" w:rsidRDefault="00972538" w:rsidP="006572B3">
      <w:pPr>
        <w:rPr>
          <w:rFonts w:cs="Arial"/>
          <w:lang w:val="en-GB"/>
        </w:rPr>
      </w:pPr>
    </w:p>
    <w:p w14:paraId="414A766A" w14:textId="77777777" w:rsidR="006572B3" w:rsidRPr="000A0ADE" w:rsidRDefault="006572B3" w:rsidP="006572B3">
      <w:pPr>
        <w:snapToGrid w:val="0"/>
        <w:spacing w:before="120" w:after="240" w:line="480" w:lineRule="auto"/>
        <w:jc w:val="both"/>
        <w:rPr>
          <w:rFonts w:cs="Arial"/>
          <w:b/>
          <w:bCs/>
          <w:lang w:val="en-GB"/>
        </w:rPr>
      </w:pPr>
      <w:r w:rsidRPr="000A0ADE">
        <w:rPr>
          <w:rFonts w:cs="Arial"/>
          <w:b/>
          <w:bCs/>
          <w:lang w:val="en-GB"/>
        </w:rPr>
        <w:t>In the result I make the following order:</w:t>
      </w:r>
    </w:p>
    <w:p w14:paraId="66A24107" w14:textId="1353288B" w:rsidR="00E70EAE" w:rsidRPr="00B20524" w:rsidRDefault="00B20524" w:rsidP="00B20524">
      <w:pPr>
        <w:snapToGrid w:val="0"/>
        <w:spacing w:before="120" w:after="240" w:line="480" w:lineRule="auto"/>
        <w:ind w:left="567" w:hanging="567"/>
        <w:jc w:val="both"/>
        <w:rPr>
          <w:rFonts w:cs="Arial"/>
          <w:lang w:val="en-GB"/>
        </w:rPr>
      </w:pPr>
      <w:r w:rsidRPr="00E70EAE">
        <w:rPr>
          <w:rFonts w:cs="Arial"/>
          <w:lang w:val="en-GB"/>
        </w:rPr>
        <w:t>1.</w:t>
      </w:r>
      <w:r w:rsidRPr="00E70EAE">
        <w:rPr>
          <w:rFonts w:cs="Arial"/>
          <w:lang w:val="en-GB"/>
        </w:rPr>
        <w:tab/>
      </w:r>
      <w:r w:rsidR="002947A3" w:rsidRPr="00B20524">
        <w:rPr>
          <w:rFonts w:cs="Arial"/>
          <w:lang w:val="en-GB"/>
        </w:rPr>
        <w:t>The respondents’ estate is placed under provisional sequestration</w:t>
      </w:r>
      <w:r w:rsidR="00E70EAE" w:rsidRPr="00B20524">
        <w:rPr>
          <w:rFonts w:cs="Arial"/>
        </w:rPr>
        <w:t>.</w:t>
      </w:r>
    </w:p>
    <w:p w14:paraId="60AD9C85" w14:textId="006DE698" w:rsidR="006572B3" w:rsidRPr="00B20524" w:rsidRDefault="00B20524" w:rsidP="00B20524">
      <w:pPr>
        <w:snapToGrid w:val="0"/>
        <w:spacing w:before="120" w:after="240" w:line="480" w:lineRule="auto"/>
        <w:ind w:left="567" w:hanging="567"/>
        <w:jc w:val="both"/>
        <w:rPr>
          <w:rFonts w:cs="Arial"/>
          <w:lang w:val="en-GB"/>
        </w:rPr>
      </w:pPr>
      <w:r>
        <w:rPr>
          <w:rFonts w:cs="Arial"/>
          <w:lang w:val="en-GB"/>
        </w:rPr>
        <w:t>2.</w:t>
      </w:r>
      <w:r>
        <w:rPr>
          <w:rFonts w:cs="Arial"/>
          <w:lang w:val="en-GB"/>
        </w:rPr>
        <w:tab/>
      </w:r>
      <w:r w:rsidR="00E70EAE" w:rsidRPr="00B20524">
        <w:rPr>
          <w:rFonts w:cs="Arial"/>
        </w:rPr>
        <w:t xml:space="preserve">A rule </w:t>
      </w:r>
      <w:r w:rsidR="00E70EAE" w:rsidRPr="00B20524">
        <w:rPr>
          <w:rFonts w:cs="Arial"/>
          <w:i/>
          <w:iCs/>
        </w:rPr>
        <w:t>nisi</w:t>
      </w:r>
      <w:r w:rsidR="00E70EAE" w:rsidRPr="00B20524">
        <w:rPr>
          <w:rFonts w:cs="Arial"/>
        </w:rPr>
        <w:t xml:space="preserve"> is issued calling upon the respondents and all other interested parties to show cause </w:t>
      </w:r>
      <w:r w:rsidR="00381CF3" w:rsidRPr="00B20524">
        <w:rPr>
          <w:rFonts w:cs="Arial"/>
        </w:rPr>
        <w:t>to this Court on ___________________ 2024 why:</w:t>
      </w:r>
      <w:r w:rsidR="005060E9" w:rsidRPr="00B20524">
        <w:rPr>
          <w:rFonts w:cs="Arial"/>
          <w:lang w:val="en-GB"/>
        </w:rPr>
        <w:t xml:space="preserve"> </w:t>
      </w:r>
    </w:p>
    <w:p w14:paraId="51D40C02" w14:textId="2DE2337A" w:rsidR="00381CF3" w:rsidRPr="00B20524" w:rsidRDefault="00B20524" w:rsidP="00B20524">
      <w:pPr>
        <w:snapToGrid w:val="0"/>
        <w:spacing w:before="120" w:after="240" w:line="480" w:lineRule="auto"/>
        <w:ind w:left="1418" w:hanging="851"/>
        <w:jc w:val="both"/>
        <w:rPr>
          <w:rFonts w:cs="Arial"/>
          <w:lang w:val="en-GB"/>
        </w:rPr>
      </w:pPr>
      <w:r>
        <w:rPr>
          <w:rFonts w:cs="Arial"/>
          <w:lang w:val="en-GB"/>
        </w:rPr>
        <w:t>2.1.</w:t>
      </w:r>
      <w:r>
        <w:rPr>
          <w:rFonts w:cs="Arial"/>
          <w:lang w:val="en-GB"/>
        </w:rPr>
        <w:tab/>
      </w:r>
      <w:r w:rsidR="00381CF3" w:rsidRPr="00B20524">
        <w:rPr>
          <w:rFonts w:cs="Arial"/>
          <w:lang w:val="en-GB"/>
        </w:rPr>
        <w:t>The respondents’ estate should not be placed under final sequestration</w:t>
      </w:r>
      <w:r w:rsidR="00724307" w:rsidRPr="00B20524">
        <w:rPr>
          <w:rFonts w:cs="Arial"/>
          <w:lang w:val="en-GB"/>
        </w:rPr>
        <w:t>; and</w:t>
      </w:r>
    </w:p>
    <w:p w14:paraId="184F43F7" w14:textId="3E896511" w:rsidR="002E6FC1" w:rsidRPr="00B20524" w:rsidRDefault="00B20524" w:rsidP="00B20524">
      <w:pPr>
        <w:snapToGrid w:val="0"/>
        <w:spacing w:before="120" w:after="240" w:line="480" w:lineRule="auto"/>
        <w:ind w:left="1418" w:hanging="851"/>
        <w:jc w:val="both"/>
        <w:rPr>
          <w:rFonts w:cs="Arial"/>
          <w:lang w:val="en-GB"/>
        </w:rPr>
      </w:pPr>
      <w:r>
        <w:rPr>
          <w:rFonts w:cs="Arial"/>
          <w:lang w:val="en-GB"/>
        </w:rPr>
        <w:lastRenderedPageBreak/>
        <w:t>2.2.</w:t>
      </w:r>
      <w:r>
        <w:rPr>
          <w:rFonts w:cs="Arial"/>
          <w:lang w:val="en-GB"/>
        </w:rPr>
        <w:tab/>
      </w:r>
      <w:r w:rsidR="00724307" w:rsidRPr="00B20524">
        <w:rPr>
          <w:rFonts w:cs="Arial"/>
          <w:lang w:val="en-GB"/>
        </w:rPr>
        <w:t>The costs of this application should not be costs in the sequestration of the respondents’ estate</w:t>
      </w:r>
      <w:r w:rsidR="004B1636" w:rsidRPr="00B20524">
        <w:rPr>
          <w:rFonts w:cs="Arial"/>
          <w:lang w:val="en-GB"/>
        </w:rPr>
        <w:t>.</w:t>
      </w:r>
    </w:p>
    <w:p w14:paraId="409A12D3" w14:textId="10FF074C" w:rsidR="004B1636" w:rsidRPr="00B20524" w:rsidRDefault="00B20524" w:rsidP="00B20524">
      <w:pPr>
        <w:keepNext/>
        <w:keepLines/>
        <w:snapToGrid w:val="0"/>
        <w:spacing w:before="120" w:after="240" w:line="480" w:lineRule="auto"/>
        <w:ind w:left="567" w:hanging="567"/>
        <w:jc w:val="both"/>
        <w:rPr>
          <w:rFonts w:cs="Arial"/>
          <w:lang w:val="en-GB"/>
        </w:rPr>
      </w:pPr>
      <w:r w:rsidRPr="00FB2784">
        <w:rPr>
          <w:rFonts w:cs="Arial"/>
          <w:lang w:val="en-GB"/>
        </w:rPr>
        <w:t>3.</w:t>
      </w:r>
      <w:r w:rsidRPr="00FB2784">
        <w:rPr>
          <w:rFonts w:cs="Arial"/>
          <w:lang w:val="en-GB"/>
        </w:rPr>
        <w:tab/>
      </w:r>
      <w:r w:rsidR="00FB2784" w:rsidRPr="00B20524">
        <w:rPr>
          <w:rFonts w:cs="Arial"/>
        </w:rPr>
        <w:t>Service of this Order shall be effected:</w:t>
      </w:r>
    </w:p>
    <w:p w14:paraId="01381196" w14:textId="5836BDE6" w:rsidR="005C426B" w:rsidRPr="00B20524" w:rsidRDefault="00B20524" w:rsidP="00B20524">
      <w:pPr>
        <w:snapToGrid w:val="0"/>
        <w:spacing w:before="120" w:after="240" w:line="480" w:lineRule="auto"/>
        <w:ind w:left="1418" w:hanging="851"/>
        <w:jc w:val="both"/>
        <w:rPr>
          <w:rFonts w:cs="Arial"/>
          <w:lang w:val="en-GB"/>
        </w:rPr>
      </w:pPr>
      <w:r w:rsidRPr="00233F48">
        <w:rPr>
          <w:rFonts w:cs="Arial"/>
          <w:lang w:val="en-GB"/>
        </w:rPr>
        <w:t>3.1.</w:t>
      </w:r>
      <w:r w:rsidRPr="00233F48">
        <w:rPr>
          <w:rFonts w:cs="Arial"/>
          <w:lang w:val="en-GB"/>
        </w:rPr>
        <w:tab/>
      </w:r>
      <w:r w:rsidR="005C426B" w:rsidRPr="00B20524">
        <w:rPr>
          <w:rFonts w:cs="Arial"/>
          <w:w w:val="105"/>
        </w:rPr>
        <w:t>By</w:t>
      </w:r>
      <w:r w:rsidR="005C426B" w:rsidRPr="00B20524">
        <w:rPr>
          <w:rFonts w:cs="Arial"/>
          <w:spacing w:val="16"/>
          <w:w w:val="105"/>
        </w:rPr>
        <w:t xml:space="preserve"> </w:t>
      </w:r>
      <w:r w:rsidR="005C426B" w:rsidRPr="00B20524">
        <w:rPr>
          <w:rFonts w:cs="Arial"/>
          <w:w w:val="105"/>
        </w:rPr>
        <w:t>one</w:t>
      </w:r>
      <w:r w:rsidR="005C426B" w:rsidRPr="00B20524">
        <w:rPr>
          <w:rFonts w:cs="Arial"/>
          <w:spacing w:val="23"/>
          <w:w w:val="105"/>
        </w:rPr>
        <w:t xml:space="preserve"> </w:t>
      </w:r>
      <w:r w:rsidR="005C426B" w:rsidRPr="00B20524">
        <w:rPr>
          <w:rFonts w:cs="Arial"/>
          <w:w w:val="105"/>
        </w:rPr>
        <w:t>publication</w:t>
      </w:r>
      <w:r w:rsidR="005C426B" w:rsidRPr="00B20524">
        <w:rPr>
          <w:rFonts w:cs="Arial"/>
          <w:spacing w:val="30"/>
          <w:w w:val="105"/>
        </w:rPr>
        <w:t xml:space="preserve"> </w:t>
      </w:r>
      <w:r w:rsidR="005C426B" w:rsidRPr="00B20524">
        <w:rPr>
          <w:rFonts w:cs="Arial"/>
          <w:w w:val="105"/>
        </w:rPr>
        <w:t>in</w:t>
      </w:r>
      <w:r w:rsidR="005C426B" w:rsidRPr="00B20524">
        <w:rPr>
          <w:rFonts w:cs="Arial"/>
          <w:spacing w:val="40"/>
          <w:w w:val="105"/>
        </w:rPr>
        <w:t xml:space="preserve"> </w:t>
      </w:r>
      <w:r w:rsidR="005C426B" w:rsidRPr="00B20524">
        <w:rPr>
          <w:rFonts w:cs="Arial"/>
          <w:w w:val="105"/>
        </w:rPr>
        <w:t>each</w:t>
      </w:r>
      <w:r w:rsidR="005C426B" w:rsidRPr="00B20524">
        <w:rPr>
          <w:rFonts w:cs="Arial"/>
          <w:spacing w:val="30"/>
          <w:w w:val="105"/>
        </w:rPr>
        <w:t xml:space="preserve"> </w:t>
      </w:r>
      <w:r w:rsidR="005C426B" w:rsidRPr="00B20524">
        <w:rPr>
          <w:rFonts w:cs="Arial"/>
          <w:w w:val="105"/>
        </w:rPr>
        <w:t>of</w:t>
      </w:r>
      <w:r w:rsidR="005C426B" w:rsidRPr="00B20524">
        <w:rPr>
          <w:rFonts w:cs="Arial"/>
          <w:spacing w:val="20"/>
          <w:w w:val="105"/>
        </w:rPr>
        <w:t xml:space="preserve"> </w:t>
      </w:r>
      <w:r w:rsidR="005C426B" w:rsidRPr="00B20524">
        <w:rPr>
          <w:rFonts w:cs="Arial"/>
          <w:w w:val="105"/>
        </w:rPr>
        <w:t>the</w:t>
      </w:r>
      <w:r w:rsidR="005C426B" w:rsidRPr="00B20524">
        <w:rPr>
          <w:rFonts w:cs="Arial"/>
          <w:spacing w:val="27"/>
          <w:w w:val="105"/>
        </w:rPr>
        <w:t xml:space="preserve"> </w:t>
      </w:r>
      <w:r w:rsidR="005C426B" w:rsidRPr="00B20524">
        <w:rPr>
          <w:rFonts w:cs="Arial"/>
          <w:w w:val="105"/>
        </w:rPr>
        <w:t>Cape</w:t>
      </w:r>
      <w:r w:rsidR="005C426B" w:rsidRPr="00B20524">
        <w:rPr>
          <w:rFonts w:cs="Arial"/>
          <w:spacing w:val="23"/>
          <w:w w:val="105"/>
        </w:rPr>
        <w:t xml:space="preserve"> </w:t>
      </w:r>
      <w:r w:rsidR="005C426B" w:rsidRPr="00B20524">
        <w:rPr>
          <w:rFonts w:cs="Arial"/>
          <w:w w:val="105"/>
        </w:rPr>
        <w:t>Times</w:t>
      </w:r>
      <w:r w:rsidR="005C426B" w:rsidRPr="00B20524">
        <w:rPr>
          <w:rFonts w:cs="Arial"/>
          <w:spacing w:val="27"/>
          <w:w w:val="105"/>
        </w:rPr>
        <w:t xml:space="preserve"> </w:t>
      </w:r>
      <w:r w:rsidR="005C426B" w:rsidRPr="00B20524">
        <w:rPr>
          <w:rFonts w:cs="Arial"/>
          <w:w w:val="105"/>
        </w:rPr>
        <w:t>and</w:t>
      </w:r>
      <w:r w:rsidR="005C426B" w:rsidRPr="00B20524">
        <w:rPr>
          <w:rFonts w:cs="Arial"/>
          <w:spacing w:val="28"/>
          <w:w w:val="105"/>
        </w:rPr>
        <w:t xml:space="preserve"> </w:t>
      </w:r>
      <w:r w:rsidR="005C426B" w:rsidRPr="00B20524">
        <w:rPr>
          <w:rFonts w:cs="Arial"/>
          <w:w w:val="105"/>
        </w:rPr>
        <w:t>Die</w:t>
      </w:r>
      <w:r w:rsidR="005C426B" w:rsidRPr="00B20524">
        <w:rPr>
          <w:rFonts w:cs="Arial"/>
          <w:spacing w:val="23"/>
          <w:w w:val="105"/>
        </w:rPr>
        <w:t xml:space="preserve"> </w:t>
      </w:r>
      <w:r w:rsidR="005C426B" w:rsidRPr="00B20524">
        <w:rPr>
          <w:rFonts w:cs="Arial"/>
          <w:w w:val="105"/>
        </w:rPr>
        <w:t>Burger</w:t>
      </w:r>
      <w:r w:rsidR="005C426B" w:rsidRPr="00B20524">
        <w:rPr>
          <w:rFonts w:cs="Arial"/>
          <w:spacing w:val="-62"/>
          <w:w w:val="105"/>
        </w:rPr>
        <w:t xml:space="preserve">   </w:t>
      </w:r>
      <w:r w:rsidR="005C426B" w:rsidRPr="00B20524">
        <w:rPr>
          <w:rFonts w:cs="Arial"/>
          <w:w w:val="105"/>
        </w:rPr>
        <w:t>newspapers;</w:t>
      </w:r>
    </w:p>
    <w:p w14:paraId="5F075E7D" w14:textId="56EA7217" w:rsidR="005C426B" w:rsidRPr="00B20524" w:rsidRDefault="00B20524" w:rsidP="00B20524">
      <w:pPr>
        <w:snapToGrid w:val="0"/>
        <w:spacing w:before="120" w:after="240" w:line="480" w:lineRule="auto"/>
        <w:ind w:left="1418" w:hanging="851"/>
        <w:jc w:val="both"/>
        <w:rPr>
          <w:rFonts w:cs="Arial"/>
          <w:lang w:val="en-GB"/>
        </w:rPr>
      </w:pPr>
      <w:r w:rsidRPr="00FB2784">
        <w:rPr>
          <w:rFonts w:cs="Arial"/>
          <w:lang w:val="en-GB"/>
        </w:rPr>
        <w:t>3.2.</w:t>
      </w:r>
      <w:r w:rsidRPr="00FB2784">
        <w:rPr>
          <w:rFonts w:cs="Arial"/>
          <w:lang w:val="en-GB"/>
        </w:rPr>
        <w:tab/>
      </w:r>
      <w:r w:rsidR="005C426B" w:rsidRPr="00B20524">
        <w:rPr>
          <w:rFonts w:cs="Arial"/>
        </w:rPr>
        <w:t>By the Sheriff</w:t>
      </w:r>
      <w:r w:rsidR="005C426B" w:rsidRPr="00B20524">
        <w:rPr>
          <w:rFonts w:cs="Arial"/>
          <w:lang w:val="en-GB"/>
        </w:rPr>
        <w:t xml:space="preserve"> delivering a copy of the application to</w:t>
      </w:r>
      <w:r w:rsidR="005C426B" w:rsidRPr="00B20524">
        <w:rPr>
          <w:rFonts w:cs="Arial"/>
        </w:rPr>
        <w:t>:</w:t>
      </w:r>
    </w:p>
    <w:p w14:paraId="38C0C7B0" w14:textId="08E6E86D" w:rsidR="005C426B" w:rsidRPr="00B20524" w:rsidRDefault="00B20524" w:rsidP="00B20524">
      <w:pPr>
        <w:snapToGrid w:val="0"/>
        <w:spacing w:before="120" w:after="240" w:line="480" w:lineRule="auto"/>
        <w:ind w:left="2835" w:hanging="1417"/>
        <w:jc w:val="both"/>
        <w:rPr>
          <w:rFonts w:cs="Arial"/>
          <w:lang w:val="en-GB"/>
        </w:rPr>
      </w:pPr>
      <w:r>
        <w:rPr>
          <w:rFonts w:cs="Arial"/>
          <w:lang w:val="en-GB"/>
        </w:rPr>
        <w:t>3.2.1.</w:t>
      </w:r>
      <w:r>
        <w:rPr>
          <w:rFonts w:cs="Arial"/>
          <w:lang w:val="en-GB"/>
        </w:rPr>
        <w:tab/>
      </w:r>
      <w:r w:rsidR="005C426B" w:rsidRPr="00B20524">
        <w:rPr>
          <w:rFonts w:cs="Arial"/>
          <w:lang w:val="en-GB"/>
        </w:rPr>
        <w:t>The respondents at 12 Kogelberg Close, Welgevonden Estate, Durbanville;</w:t>
      </w:r>
    </w:p>
    <w:p w14:paraId="56B98DEB" w14:textId="24A195BC" w:rsidR="005C426B" w:rsidRPr="00B20524" w:rsidRDefault="00B20524" w:rsidP="00B20524">
      <w:pPr>
        <w:snapToGrid w:val="0"/>
        <w:spacing w:before="120" w:after="240" w:line="480" w:lineRule="auto"/>
        <w:ind w:left="2835" w:hanging="1417"/>
        <w:jc w:val="both"/>
        <w:rPr>
          <w:rFonts w:cs="Arial"/>
          <w:lang w:val="en-GB"/>
        </w:rPr>
      </w:pPr>
      <w:r>
        <w:rPr>
          <w:rFonts w:cs="Arial"/>
          <w:lang w:val="en-GB"/>
        </w:rPr>
        <w:t>3.2.2.</w:t>
      </w:r>
      <w:r>
        <w:rPr>
          <w:rFonts w:cs="Arial"/>
          <w:lang w:val="en-GB"/>
        </w:rPr>
        <w:tab/>
      </w:r>
      <w:r w:rsidR="005C426B" w:rsidRPr="00B20524">
        <w:rPr>
          <w:rFonts w:cs="Arial"/>
          <w:lang w:val="en-GB"/>
        </w:rPr>
        <w:t>The Master of the High Court;</w:t>
      </w:r>
    </w:p>
    <w:p w14:paraId="27864830" w14:textId="073DBD4D" w:rsidR="005C426B" w:rsidRPr="00B20524" w:rsidRDefault="00B20524" w:rsidP="00B20524">
      <w:pPr>
        <w:snapToGrid w:val="0"/>
        <w:spacing w:before="120" w:after="240" w:line="480" w:lineRule="auto"/>
        <w:ind w:left="2835" w:hanging="1417"/>
        <w:jc w:val="both"/>
        <w:rPr>
          <w:rFonts w:cs="Arial"/>
          <w:lang w:val="en-GB"/>
        </w:rPr>
      </w:pPr>
      <w:r>
        <w:rPr>
          <w:rFonts w:cs="Arial"/>
          <w:lang w:val="en-GB"/>
        </w:rPr>
        <w:t>3.2.3.</w:t>
      </w:r>
      <w:r>
        <w:rPr>
          <w:rFonts w:cs="Arial"/>
          <w:lang w:val="en-GB"/>
        </w:rPr>
        <w:tab/>
      </w:r>
      <w:r w:rsidR="005C426B" w:rsidRPr="00B20524">
        <w:rPr>
          <w:rFonts w:cs="Arial"/>
          <w:lang w:val="en-GB"/>
        </w:rPr>
        <w:t>The South African Revenue Services;</w:t>
      </w:r>
    </w:p>
    <w:p w14:paraId="7582559E" w14:textId="2EAD93A4" w:rsidR="00175608" w:rsidRPr="00B20524" w:rsidRDefault="00B20524" w:rsidP="00B20524">
      <w:pPr>
        <w:snapToGrid w:val="0"/>
        <w:spacing w:before="120" w:after="240" w:line="480" w:lineRule="auto"/>
        <w:ind w:left="2835" w:hanging="1417"/>
        <w:jc w:val="both"/>
        <w:rPr>
          <w:rFonts w:cs="Arial"/>
          <w:lang w:val="en-GB"/>
        </w:rPr>
      </w:pPr>
      <w:r w:rsidRPr="00175608">
        <w:rPr>
          <w:rFonts w:cs="Arial"/>
          <w:lang w:val="en-GB"/>
        </w:rPr>
        <w:t>3.2.3.1.</w:t>
      </w:r>
      <w:r w:rsidRPr="00175608">
        <w:rPr>
          <w:rFonts w:cs="Arial"/>
          <w:lang w:val="en-GB"/>
        </w:rPr>
        <w:tab/>
      </w:r>
      <w:r w:rsidR="005C426B" w:rsidRPr="00B20524">
        <w:rPr>
          <w:rFonts w:cs="Arial"/>
          <w:lang w:val="en-GB"/>
        </w:rPr>
        <w:t xml:space="preserve">Any employees that the respondents may have, </w:t>
      </w:r>
      <w:r w:rsidR="005C426B" w:rsidRPr="00B20524">
        <w:rPr>
          <w:rFonts w:cs="Arial"/>
        </w:rPr>
        <w:t>as prescribed in s 11(2A)(b) of the Insolvency Act 24 of 1936</w:t>
      </w:r>
      <w:r w:rsidR="00175608" w:rsidRPr="00B20524">
        <w:rPr>
          <w:rFonts w:cs="Arial"/>
        </w:rPr>
        <w:t>; and</w:t>
      </w:r>
    </w:p>
    <w:p w14:paraId="03F0A083" w14:textId="3FBC672B" w:rsidR="006572B3" w:rsidRPr="00B20524" w:rsidRDefault="00B20524" w:rsidP="00B20524">
      <w:pPr>
        <w:snapToGrid w:val="0"/>
        <w:spacing w:before="120" w:after="240" w:line="480" w:lineRule="auto"/>
        <w:ind w:left="2835" w:hanging="1417"/>
        <w:jc w:val="both"/>
        <w:rPr>
          <w:rFonts w:cs="Arial"/>
          <w:lang w:val="en-GB"/>
        </w:rPr>
      </w:pPr>
      <w:r w:rsidRPr="00175608">
        <w:rPr>
          <w:rFonts w:cs="Arial"/>
          <w:lang w:val="en-GB"/>
        </w:rPr>
        <w:t>3.2.3.2.</w:t>
      </w:r>
      <w:r w:rsidRPr="00175608">
        <w:rPr>
          <w:rFonts w:cs="Arial"/>
          <w:lang w:val="en-GB"/>
        </w:rPr>
        <w:tab/>
      </w:r>
      <w:r w:rsidR="005C426B" w:rsidRPr="00B20524">
        <w:rPr>
          <w:rFonts w:cs="Arial"/>
          <w:lang w:val="en-GB"/>
        </w:rPr>
        <w:t>Any trade unions representing the respondents’ employees.</w:t>
      </w:r>
    </w:p>
    <w:p w14:paraId="433C5D9C" w14:textId="77777777" w:rsidR="00505DE0" w:rsidRDefault="00505DE0" w:rsidP="006572B3"/>
    <w:p w14:paraId="6DBDB00A" w14:textId="77777777" w:rsidR="00527666" w:rsidRDefault="00527666" w:rsidP="006572B3"/>
    <w:p w14:paraId="1CE82705" w14:textId="77777777" w:rsidR="00516B42" w:rsidRDefault="00516B42" w:rsidP="006572B3"/>
    <w:p w14:paraId="0073FB66" w14:textId="44C16133" w:rsidR="00516B42" w:rsidRDefault="00516B42" w:rsidP="00516B42">
      <w:pPr>
        <w:spacing w:line="360" w:lineRule="auto"/>
        <w:ind w:left="6480"/>
        <w:jc w:val="both"/>
        <w:rPr>
          <w:b/>
          <w:u w:val="single"/>
        </w:rPr>
      </w:pPr>
      <w:r>
        <w:rPr>
          <w:b/>
          <w:u w:val="single"/>
        </w:rPr>
        <w:t>_______________</w:t>
      </w:r>
    </w:p>
    <w:p w14:paraId="7C8019D8" w14:textId="77777777" w:rsidR="00516B42" w:rsidRPr="00486C9B" w:rsidRDefault="00516B42" w:rsidP="00516B42">
      <w:pPr>
        <w:spacing w:line="360" w:lineRule="auto"/>
        <w:ind w:left="6480"/>
        <w:jc w:val="both"/>
        <w:rPr>
          <w:b/>
          <w:szCs w:val="20"/>
          <w:lang w:val="en-GB"/>
        </w:rPr>
      </w:pPr>
      <w:r w:rsidRPr="00486C9B">
        <w:rPr>
          <w:b/>
        </w:rPr>
        <w:t xml:space="preserve">   ADHIKARI, AJ</w:t>
      </w:r>
    </w:p>
    <w:p w14:paraId="1940E407" w14:textId="77777777" w:rsidR="00B243D8" w:rsidRDefault="00B243D8" w:rsidP="006572B3"/>
    <w:p w14:paraId="7053AEAF" w14:textId="77777777" w:rsidR="00B243D8" w:rsidRDefault="00B243D8" w:rsidP="006572B3"/>
    <w:p w14:paraId="1F3DE7FD" w14:textId="77777777" w:rsidR="00516B42" w:rsidRDefault="00516B42" w:rsidP="006572B3"/>
    <w:p w14:paraId="155C3F58" w14:textId="77777777" w:rsidR="00516B42" w:rsidRDefault="00516B42" w:rsidP="006572B3"/>
    <w:p w14:paraId="2EC2B715" w14:textId="77777777" w:rsidR="00516B42" w:rsidRDefault="00516B42" w:rsidP="006572B3"/>
    <w:p w14:paraId="18AEF326" w14:textId="77777777" w:rsidR="00527666" w:rsidRDefault="00527666" w:rsidP="006572B3"/>
    <w:p w14:paraId="55F46A44" w14:textId="77777777" w:rsidR="00527666" w:rsidRPr="004B4353" w:rsidRDefault="00527666" w:rsidP="00527666">
      <w:pPr>
        <w:spacing w:line="360" w:lineRule="auto"/>
        <w:jc w:val="center"/>
        <w:rPr>
          <w:rFonts w:cs="Arial"/>
          <w:b/>
          <w:lang w:val="en-GB"/>
        </w:rPr>
      </w:pPr>
      <w:r w:rsidRPr="004B4353">
        <w:rPr>
          <w:rFonts w:cs="Arial"/>
          <w:b/>
          <w:u w:val="single"/>
          <w:lang w:val="en-GB"/>
        </w:rPr>
        <w:lastRenderedPageBreak/>
        <w:t>APPEARANCES</w:t>
      </w:r>
      <w:r w:rsidRPr="004B4353">
        <w:rPr>
          <w:rFonts w:cs="Arial"/>
          <w:b/>
          <w:lang w:val="en-GB"/>
        </w:rPr>
        <w:t>:</w:t>
      </w:r>
    </w:p>
    <w:p w14:paraId="1C9D928A" w14:textId="77777777" w:rsidR="00527666" w:rsidRPr="004B4353" w:rsidRDefault="00527666" w:rsidP="00527666">
      <w:pPr>
        <w:spacing w:line="360" w:lineRule="auto"/>
        <w:rPr>
          <w:rFonts w:cs="Arial"/>
          <w:lang w:val="en-GB"/>
        </w:rPr>
      </w:pPr>
    </w:p>
    <w:p w14:paraId="640B77D2" w14:textId="51069FD2" w:rsidR="00527666" w:rsidRPr="004B4353" w:rsidRDefault="00527666" w:rsidP="00527666">
      <w:pPr>
        <w:tabs>
          <w:tab w:val="left" w:pos="4536"/>
        </w:tabs>
        <w:rPr>
          <w:rFonts w:cs="Arial"/>
          <w:b/>
          <w:lang w:val="en-GB"/>
        </w:rPr>
      </w:pPr>
      <w:r w:rsidRPr="004B4353">
        <w:rPr>
          <w:rFonts w:cs="Arial"/>
          <w:b/>
          <w:lang w:val="en-GB"/>
        </w:rPr>
        <w:t>Applicant’s Counsel:</w:t>
      </w:r>
      <w:r w:rsidRPr="004B4353">
        <w:rPr>
          <w:rFonts w:cs="Arial"/>
          <w:b/>
          <w:lang w:val="en-GB"/>
        </w:rPr>
        <w:tab/>
        <w:t xml:space="preserve">Adv </w:t>
      </w:r>
      <w:r>
        <w:rPr>
          <w:rFonts w:cs="Arial"/>
          <w:b/>
          <w:lang w:val="en-GB"/>
        </w:rPr>
        <w:t>L Wessels</w:t>
      </w:r>
    </w:p>
    <w:p w14:paraId="27009C44" w14:textId="77777777" w:rsidR="00527666" w:rsidRPr="004B4353" w:rsidRDefault="00527666" w:rsidP="00527666">
      <w:pPr>
        <w:tabs>
          <w:tab w:val="left" w:pos="5490"/>
        </w:tabs>
        <w:rPr>
          <w:rFonts w:cs="Arial"/>
          <w:b/>
          <w:lang w:val="en-GB"/>
        </w:rPr>
      </w:pPr>
    </w:p>
    <w:p w14:paraId="5D77A289" w14:textId="3B4FB967" w:rsidR="00527666" w:rsidRPr="004B4353" w:rsidRDefault="00D66059" w:rsidP="00527666">
      <w:pPr>
        <w:tabs>
          <w:tab w:val="left" w:pos="4536"/>
        </w:tabs>
        <w:ind w:left="5387" w:hanging="5387"/>
        <w:rPr>
          <w:rFonts w:cs="Arial"/>
          <w:bCs/>
          <w:lang w:val="en-GB"/>
        </w:rPr>
      </w:pPr>
      <w:r>
        <w:rPr>
          <w:rFonts w:cs="Arial"/>
          <w:b/>
          <w:lang w:val="en-GB"/>
        </w:rPr>
        <w:t>Instructed by</w:t>
      </w:r>
      <w:r w:rsidR="00527666" w:rsidRPr="004B4353">
        <w:rPr>
          <w:rFonts w:cs="Arial"/>
          <w:b/>
          <w:lang w:val="en-GB"/>
        </w:rPr>
        <w:t>:</w:t>
      </w:r>
      <w:r w:rsidR="00527666" w:rsidRPr="004B4353">
        <w:rPr>
          <w:rFonts w:cs="Arial"/>
          <w:b/>
          <w:lang w:val="en-GB"/>
        </w:rPr>
        <w:tab/>
      </w:r>
      <w:r w:rsidR="00527666">
        <w:rPr>
          <w:rFonts w:cs="Arial"/>
          <w:b/>
          <w:lang w:val="en-GB"/>
        </w:rPr>
        <w:t>Sandenberg Nel Haggard</w:t>
      </w:r>
    </w:p>
    <w:p w14:paraId="51A346B2" w14:textId="77777777" w:rsidR="00527666" w:rsidRPr="004B4353" w:rsidRDefault="00527666" w:rsidP="00527666">
      <w:pPr>
        <w:tabs>
          <w:tab w:val="left" w:pos="5490"/>
        </w:tabs>
        <w:jc w:val="both"/>
        <w:rPr>
          <w:rFonts w:cs="Arial"/>
          <w:b/>
          <w:lang w:val="en-GB"/>
        </w:rPr>
      </w:pPr>
    </w:p>
    <w:p w14:paraId="7FDC0E33" w14:textId="77777777" w:rsidR="00527666" w:rsidRPr="004B4353" w:rsidRDefault="00527666" w:rsidP="00527666">
      <w:pPr>
        <w:tabs>
          <w:tab w:val="left" w:pos="5490"/>
        </w:tabs>
        <w:jc w:val="both"/>
        <w:rPr>
          <w:rFonts w:cs="Arial"/>
          <w:b/>
          <w:lang w:val="en-GB"/>
        </w:rPr>
      </w:pPr>
    </w:p>
    <w:p w14:paraId="3819BE2D" w14:textId="7E2E1B47" w:rsidR="00527666" w:rsidRPr="004B4353" w:rsidRDefault="00527666" w:rsidP="00527666">
      <w:pPr>
        <w:tabs>
          <w:tab w:val="left" w:pos="4536"/>
        </w:tabs>
        <w:jc w:val="both"/>
        <w:rPr>
          <w:rFonts w:cs="Arial"/>
          <w:b/>
          <w:lang w:val="en-GB"/>
        </w:rPr>
      </w:pPr>
      <w:r w:rsidRPr="004B4353">
        <w:rPr>
          <w:rFonts w:cs="Arial"/>
          <w:b/>
          <w:lang w:val="en-GB"/>
        </w:rPr>
        <w:t>Respondents</w:t>
      </w:r>
      <w:r>
        <w:rPr>
          <w:rFonts w:cs="Arial"/>
          <w:b/>
          <w:lang w:val="en-GB"/>
        </w:rPr>
        <w:t>’</w:t>
      </w:r>
      <w:r w:rsidRPr="004B4353">
        <w:rPr>
          <w:rFonts w:cs="Arial"/>
          <w:b/>
          <w:lang w:val="en-GB"/>
        </w:rPr>
        <w:t xml:space="preserve"> Counsel:</w:t>
      </w:r>
      <w:r w:rsidRPr="004B4353">
        <w:rPr>
          <w:rFonts w:cs="Arial"/>
          <w:b/>
          <w:lang w:val="en-GB"/>
        </w:rPr>
        <w:tab/>
      </w:r>
      <w:r w:rsidR="0075380C">
        <w:rPr>
          <w:rFonts w:cs="Arial"/>
          <w:b/>
          <w:lang w:val="en-GB"/>
        </w:rPr>
        <w:t>Adv D</w:t>
      </w:r>
      <w:r>
        <w:rPr>
          <w:rFonts w:cs="Arial"/>
          <w:b/>
          <w:lang w:val="en-GB"/>
        </w:rPr>
        <w:t>R de Wet</w:t>
      </w:r>
    </w:p>
    <w:p w14:paraId="4EA1A3BB" w14:textId="77777777" w:rsidR="00527666" w:rsidRPr="004B4353" w:rsidRDefault="00527666" w:rsidP="00527666">
      <w:pPr>
        <w:tabs>
          <w:tab w:val="left" w:pos="5490"/>
        </w:tabs>
        <w:jc w:val="both"/>
        <w:rPr>
          <w:rFonts w:cs="Arial"/>
          <w:b/>
          <w:lang w:val="en-GB"/>
        </w:rPr>
      </w:pPr>
    </w:p>
    <w:p w14:paraId="040F31C1" w14:textId="1C4600EF" w:rsidR="00527666" w:rsidRDefault="00D66059" w:rsidP="00B243D8">
      <w:pPr>
        <w:tabs>
          <w:tab w:val="left" w:pos="4536"/>
        </w:tabs>
        <w:snapToGrid w:val="0"/>
        <w:jc w:val="both"/>
      </w:pPr>
      <w:r>
        <w:rPr>
          <w:rFonts w:cs="Arial"/>
          <w:b/>
          <w:lang w:val="en-GB"/>
        </w:rPr>
        <w:t>Instructed by</w:t>
      </w:r>
      <w:r w:rsidR="00527666" w:rsidRPr="004B4353">
        <w:rPr>
          <w:rFonts w:cs="Arial"/>
          <w:b/>
          <w:lang w:val="en-GB"/>
        </w:rPr>
        <w:t>:</w:t>
      </w:r>
      <w:r w:rsidR="00527666" w:rsidRPr="004B4353">
        <w:rPr>
          <w:rFonts w:cs="Arial"/>
          <w:b/>
          <w:lang w:val="en-GB"/>
        </w:rPr>
        <w:tab/>
      </w:r>
      <w:r w:rsidR="0075380C">
        <w:rPr>
          <w:rFonts w:cs="Arial"/>
          <w:b/>
          <w:lang w:val="en-GB"/>
        </w:rPr>
        <w:t>HT De Villiers Attorneys</w:t>
      </w:r>
    </w:p>
    <w:sectPr w:rsidR="00527666" w:rsidSect="00AD0A1E">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4462" w14:textId="77777777" w:rsidR="00B37165" w:rsidRDefault="00B37165" w:rsidP="00A16719">
      <w:r>
        <w:separator/>
      </w:r>
    </w:p>
  </w:endnote>
  <w:endnote w:type="continuationSeparator" w:id="0">
    <w:p w14:paraId="13D9769A" w14:textId="77777777" w:rsidR="00B37165" w:rsidRDefault="00B37165" w:rsidP="00A1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67DE" w14:textId="77777777" w:rsidR="00B37165" w:rsidRDefault="00B37165" w:rsidP="00A16719">
      <w:r>
        <w:separator/>
      </w:r>
    </w:p>
  </w:footnote>
  <w:footnote w:type="continuationSeparator" w:id="0">
    <w:p w14:paraId="3C707BC5" w14:textId="77777777" w:rsidR="00B37165" w:rsidRDefault="00B37165" w:rsidP="00A16719">
      <w:r>
        <w:continuationSeparator/>
      </w:r>
    </w:p>
  </w:footnote>
  <w:footnote w:id="1">
    <w:p w14:paraId="1EBDEE2C" w14:textId="282B4634" w:rsidR="001010E0" w:rsidRPr="00B775E0" w:rsidRDefault="001010E0" w:rsidP="00B775E0">
      <w:pPr>
        <w:pStyle w:val="FootnoteText"/>
        <w:ind w:left="284" w:hanging="284"/>
        <w:jc w:val="both"/>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00AC2567" w:rsidRPr="00B775E0">
        <w:rPr>
          <w:rFonts w:cs="Arial"/>
          <w:color w:val="000000" w:themeColor="text1"/>
        </w:rPr>
        <w:tab/>
      </w:r>
      <w:r w:rsidRPr="00B775E0">
        <w:rPr>
          <w:rFonts w:cs="Arial"/>
          <w:color w:val="000000" w:themeColor="text1"/>
          <w:lang w:val="en-US"/>
        </w:rPr>
        <w:t xml:space="preserve">It appears from email correspondence annexed to the founding affidavit in the condonation application that the answering affidavit was served electronically on ABSA’s attorneys on 24 January 2024 and that the condonation application was </w:t>
      </w:r>
      <w:r w:rsidR="00AC2567" w:rsidRPr="00B775E0">
        <w:rPr>
          <w:rFonts w:cs="Arial"/>
          <w:color w:val="000000" w:themeColor="text1"/>
          <w:lang w:val="en-US"/>
        </w:rPr>
        <w:t xml:space="preserve">served electronically on </w:t>
      </w:r>
      <w:r w:rsidR="004838FB" w:rsidRPr="00B775E0">
        <w:rPr>
          <w:rFonts w:cs="Arial"/>
          <w:color w:val="000000" w:themeColor="text1"/>
          <w:lang w:val="en-US"/>
        </w:rPr>
        <w:t xml:space="preserve">ABSA’s attorneys on </w:t>
      </w:r>
      <w:r w:rsidR="00AC2567" w:rsidRPr="00B775E0">
        <w:rPr>
          <w:rFonts w:cs="Arial"/>
          <w:color w:val="000000" w:themeColor="text1"/>
          <w:lang w:val="en-US"/>
        </w:rPr>
        <w:t xml:space="preserve">26 January 2024.  However, both </w:t>
      </w:r>
      <w:r w:rsidR="004838FB" w:rsidRPr="00B775E0">
        <w:rPr>
          <w:rFonts w:cs="Arial"/>
          <w:color w:val="000000" w:themeColor="text1"/>
          <w:lang w:val="en-US"/>
        </w:rPr>
        <w:t xml:space="preserve">the </w:t>
      </w:r>
      <w:r w:rsidR="00AC2567" w:rsidRPr="00B775E0">
        <w:rPr>
          <w:rFonts w:cs="Arial"/>
          <w:color w:val="000000" w:themeColor="text1"/>
          <w:lang w:val="en-US"/>
        </w:rPr>
        <w:t xml:space="preserve">answering affidavit and the condonation application were </w:t>
      </w:r>
      <w:r w:rsidR="0008428C" w:rsidRPr="00B775E0">
        <w:rPr>
          <w:rFonts w:cs="Arial"/>
          <w:color w:val="000000" w:themeColor="text1"/>
          <w:lang w:val="en-US"/>
        </w:rPr>
        <w:t xml:space="preserve">only </w:t>
      </w:r>
      <w:r w:rsidR="00AC2567" w:rsidRPr="00B775E0">
        <w:rPr>
          <w:rFonts w:cs="Arial"/>
          <w:color w:val="000000" w:themeColor="text1"/>
          <w:lang w:val="en-US"/>
        </w:rPr>
        <w:t xml:space="preserve">placed </w:t>
      </w:r>
      <w:r w:rsidR="00A24B79" w:rsidRPr="00B775E0">
        <w:rPr>
          <w:rFonts w:cs="Arial"/>
          <w:color w:val="000000" w:themeColor="text1"/>
          <w:lang w:val="en-US"/>
        </w:rPr>
        <w:t>i</w:t>
      </w:r>
      <w:r w:rsidR="00AC2567" w:rsidRPr="00B775E0">
        <w:rPr>
          <w:rFonts w:cs="Arial"/>
          <w:color w:val="000000" w:themeColor="text1"/>
          <w:lang w:val="en-US"/>
        </w:rPr>
        <w:t>n the court file late on 26 January 2024.</w:t>
      </w:r>
    </w:p>
  </w:footnote>
  <w:footnote w:id="2">
    <w:p w14:paraId="4C63E227" w14:textId="77777777" w:rsidR="00AD60DE" w:rsidRPr="00B775E0" w:rsidRDefault="00AD60DE" w:rsidP="00B775E0">
      <w:pPr>
        <w:pStyle w:val="FootnoteText"/>
        <w:snapToGrid w:val="0"/>
        <w:ind w:left="284" w:hanging="284"/>
        <w:jc w:val="both"/>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Pr="00B775E0">
        <w:rPr>
          <w:rFonts w:cs="Arial"/>
          <w:i/>
          <w:color w:val="000000" w:themeColor="text1"/>
          <w:lang w:val="en-US"/>
        </w:rPr>
        <w:t>Van Wyk v Unitas Hospital and Another (Open Democratic Advice Centre as Amicus Curiae)</w:t>
      </w:r>
      <w:r w:rsidRPr="00B775E0">
        <w:rPr>
          <w:rFonts w:cs="Arial"/>
          <w:color w:val="000000" w:themeColor="text1"/>
          <w:lang w:val="en-US"/>
        </w:rPr>
        <w:t xml:space="preserve"> 2008 (2) SA 472 (CC) at para [22].</w:t>
      </w:r>
    </w:p>
  </w:footnote>
  <w:footnote w:id="3">
    <w:p w14:paraId="37F9DFF9" w14:textId="6FF963A6" w:rsidR="00412C69" w:rsidRPr="00B775E0" w:rsidRDefault="00412C69" w:rsidP="00B775E0">
      <w:pPr>
        <w:pStyle w:val="FootnoteText"/>
        <w:snapToGrid w:val="0"/>
        <w:ind w:left="284" w:hanging="284"/>
        <w:jc w:val="both"/>
        <w:rPr>
          <w:rFonts w:cs="Arial"/>
          <w:color w:val="000000" w:themeColor="text1"/>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rPr>
        <w:tab/>
      </w:r>
      <w:r w:rsidRPr="00B775E0">
        <w:rPr>
          <w:rFonts w:cs="Arial"/>
          <w:i/>
          <w:color w:val="000000" w:themeColor="text1"/>
        </w:rPr>
        <w:t>Federated Employers Fire &amp; General Insurance Co Ltd &amp; Another v McKenzie</w:t>
      </w:r>
      <w:r w:rsidRPr="00B775E0">
        <w:rPr>
          <w:rFonts w:cs="Arial"/>
          <w:color w:val="000000" w:themeColor="text1"/>
        </w:rPr>
        <w:t xml:space="preserve"> 1969 (3) SA 360 (A) at 362F-G.</w:t>
      </w:r>
    </w:p>
  </w:footnote>
  <w:footnote w:id="4">
    <w:p w14:paraId="2C3DFD00" w14:textId="0924E919" w:rsidR="00FF68E9" w:rsidRPr="00B775E0" w:rsidRDefault="00FF68E9" w:rsidP="00B775E0">
      <w:pPr>
        <w:pStyle w:val="FootnoteText"/>
        <w:ind w:left="284" w:hanging="284"/>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00996F9E" w:rsidRPr="00B775E0">
        <w:rPr>
          <w:rFonts w:cs="Arial"/>
          <w:color w:val="000000" w:themeColor="text1"/>
          <w:lang w:val="en-GB"/>
        </w:rPr>
        <w:t>Section 9(1) of the Insolvency Act refers to a claim of at least R100.00.</w:t>
      </w:r>
    </w:p>
  </w:footnote>
  <w:footnote w:id="5">
    <w:p w14:paraId="13E8CDEF" w14:textId="068D5D01" w:rsidR="001B557A" w:rsidRPr="00B775E0" w:rsidRDefault="001B557A" w:rsidP="00B775E0">
      <w:pPr>
        <w:pStyle w:val="FootnoteText"/>
        <w:ind w:left="284" w:hanging="284"/>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Pr="00B775E0">
        <w:rPr>
          <w:rFonts w:cs="Arial"/>
          <w:i/>
          <w:iCs/>
          <w:color w:val="000000" w:themeColor="text1"/>
        </w:rPr>
        <w:t xml:space="preserve">Mercantile Bank (A division of Capitec Bank Limited) v Ross </w:t>
      </w:r>
      <w:r w:rsidRPr="00B775E0">
        <w:rPr>
          <w:rFonts w:cs="Arial"/>
          <w:color w:val="000000" w:themeColor="text1"/>
        </w:rPr>
        <w:t xml:space="preserve">[2021] ZAGPJHC 149 at para </w:t>
      </w:r>
      <w:r w:rsidR="00390A3A" w:rsidRPr="00B775E0">
        <w:rPr>
          <w:rFonts w:cs="Arial"/>
          <w:color w:val="000000" w:themeColor="text1"/>
        </w:rPr>
        <w:t>[</w:t>
      </w:r>
      <w:r w:rsidRPr="00B775E0">
        <w:rPr>
          <w:rFonts w:cs="Arial"/>
          <w:color w:val="000000" w:themeColor="text1"/>
        </w:rPr>
        <w:t>41</w:t>
      </w:r>
      <w:r w:rsidR="00390A3A" w:rsidRPr="00B775E0">
        <w:rPr>
          <w:rFonts w:cs="Arial"/>
          <w:color w:val="000000" w:themeColor="text1"/>
        </w:rPr>
        <w:t>].</w:t>
      </w:r>
    </w:p>
  </w:footnote>
  <w:footnote w:id="6">
    <w:p w14:paraId="67D16D42" w14:textId="43CA8CAA" w:rsidR="00FF1A7D" w:rsidRPr="00B775E0" w:rsidRDefault="00FF1A7D" w:rsidP="00B775E0">
      <w:pPr>
        <w:pStyle w:val="FootnoteText"/>
        <w:ind w:left="284" w:hanging="284"/>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00F13979" w:rsidRPr="00B775E0">
        <w:rPr>
          <w:rFonts w:cs="Arial"/>
          <w:i/>
          <w:iCs/>
          <w:color w:val="000000" w:themeColor="text1"/>
        </w:rPr>
        <w:t xml:space="preserve">Investec Bank Ltd v Lambrechts NO and Others </w:t>
      </w:r>
      <w:r w:rsidR="00F13979" w:rsidRPr="00B775E0">
        <w:rPr>
          <w:rFonts w:cs="Arial"/>
          <w:color w:val="000000" w:themeColor="text1"/>
        </w:rPr>
        <w:t>2019 (5) SA 17</w:t>
      </w:r>
      <w:r w:rsidR="00525616" w:rsidRPr="00B775E0">
        <w:rPr>
          <w:rFonts w:cs="Arial"/>
          <w:color w:val="000000" w:themeColor="text1"/>
        </w:rPr>
        <w:t>9</w:t>
      </w:r>
      <w:r w:rsidR="00F13979" w:rsidRPr="00B775E0">
        <w:rPr>
          <w:rFonts w:cs="Arial"/>
          <w:color w:val="000000" w:themeColor="text1"/>
        </w:rPr>
        <w:t xml:space="preserve"> (WCC).</w:t>
      </w:r>
    </w:p>
  </w:footnote>
  <w:footnote w:id="7">
    <w:p w14:paraId="41D82DA4" w14:textId="3BB030DB" w:rsidR="00265245" w:rsidRPr="00B775E0" w:rsidRDefault="00265245" w:rsidP="00B775E0">
      <w:pPr>
        <w:pStyle w:val="FootnoteText"/>
        <w:ind w:left="284" w:hanging="284"/>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00B3546C" w:rsidRPr="00B775E0">
        <w:rPr>
          <w:rFonts w:cs="Arial"/>
          <w:i/>
          <w:iCs/>
          <w:color w:val="000000" w:themeColor="text1"/>
          <w:lang w:val="en-GB"/>
        </w:rPr>
        <w:t>Kalil v Decotex (Pty) Ltd and another</w:t>
      </w:r>
      <w:r w:rsidR="00B3546C" w:rsidRPr="00B775E0">
        <w:rPr>
          <w:rFonts w:cs="Arial"/>
          <w:color w:val="000000" w:themeColor="text1"/>
          <w:lang w:val="en-GB"/>
        </w:rPr>
        <w:t xml:space="preserve"> 1988 (1) SA 943 (A) at 978D-E</w:t>
      </w:r>
      <w:r w:rsidR="00BD2522" w:rsidRPr="00B775E0">
        <w:rPr>
          <w:rFonts w:cs="Arial"/>
          <w:color w:val="000000" w:themeColor="text1"/>
          <w:lang w:val="en-GB"/>
        </w:rPr>
        <w:t>.  See also</w:t>
      </w:r>
      <w:r w:rsidR="00B3546C" w:rsidRPr="00B775E0">
        <w:rPr>
          <w:rFonts w:cs="Arial"/>
          <w:i/>
          <w:iCs/>
          <w:color w:val="000000" w:themeColor="text1"/>
        </w:rPr>
        <w:t xml:space="preserve"> </w:t>
      </w:r>
      <w:r w:rsidRPr="00B775E0">
        <w:rPr>
          <w:rFonts w:cs="Arial"/>
          <w:i/>
          <w:iCs/>
          <w:color w:val="000000" w:themeColor="text1"/>
        </w:rPr>
        <w:t>Renyolds NO v Mecklenberg (Pty) Ltd</w:t>
      </w:r>
      <w:r w:rsidR="0081524E" w:rsidRPr="00B775E0">
        <w:rPr>
          <w:rFonts w:cs="Arial"/>
          <w:i/>
          <w:iCs/>
          <w:color w:val="000000" w:themeColor="text1"/>
        </w:rPr>
        <w:t xml:space="preserve"> </w:t>
      </w:r>
      <w:r w:rsidR="0081524E" w:rsidRPr="00B775E0">
        <w:rPr>
          <w:rFonts w:cs="Arial"/>
          <w:color w:val="000000" w:themeColor="text1"/>
        </w:rPr>
        <w:t>1996 (1) SA 75 (W) at 80G – 81A.</w:t>
      </w:r>
    </w:p>
  </w:footnote>
  <w:footnote w:id="8">
    <w:p w14:paraId="470903B7" w14:textId="78E92724" w:rsidR="00F11860" w:rsidRPr="00B775E0" w:rsidRDefault="00F11860" w:rsidP="00B775E0">
      <w:pPr>
        <w:pStyle w:val="FootnoteText"/>
        <w:ind w:left="284" w:hanging="284"/>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Pr="00B775E0">
        <w:rPr>
          <w:rFonts w:cs="Arial"/>
          <w:color w:val="000000" w:themeColor="text1"/>
        </w:rPr>
        <w:t>The first and second respondents were also sued in their personal capacities in the action, as sureties for ATN.</w:t>
      </w:r>
    </w:p>
  </w:footnote>
  <w:footnote w:id="9">
    <w:p w14:paraId="4A022F94" w14:textId="7F27E3AB" w:rsidR="00286952" w:rsidRPr="00B775E0" w:rsidRDefault="00286952" w:rsidP="00B775E0">
      <w:pPr>
        <w:pStyle w:val="com-footnotes"/>
        <w:spacing w:before="0" w:beforeAutospacing="0" w:after="0" w:afterAutospacing="0"/>
        <w:ind w:left="284" w:hanging="284"/>
        <w:rPr>
          <w:rFonts w:ascii="Arial" w:hAnsi="Arial" w:cs="Arial"/>
          <w:color w:val="000000" w:themeColor="text1"/>
          <w:sz w:val="20"/>
          <w:szCs w:val="20"/>
        </w:rPr>
      </w:pPr>
      <w:r w:rsidRPr="00B775E0">
        <w:rPr>
          <w:rStyle w:val="FootnoteReference"/>
          <w:rFonts w:ascii="Arial" w:hAnsi="Arial" w:cs="Arial"/>
          <w:color w:val="000000" w:themeColor="text1"/>
          <w:sz w:val="20"/>
          <w:szCs w:val="20"/>
        </w:rPr>
        <w:footnoteRef/>
      </w:r>
      <w:r w:rsidRPr="00B775E0">
        <w:rPr>
          <w:rFonts w:ascii="Arial" w:hAnsi="Arial" w:cs="Arial"/>
          <w:color w:val="000000" w:themeColor="text1"/>
          <w:sz w:val="20"/>
          <w:szCs w:val="20"/>
        </w:rPr>
        <w:t xml:space="preserve"> </w:t>
      </w:r>
      <w:r w:rsidRPr="00B775E0">
        <w:rPr>
          <w:rFonts w:ascii="Arial" w:hAnsi="Arial" w:cs="Arial"/>
          <w:color w:val="000000" w:themeColor="text1"/>
          <w:sz w:val="20"/>
          <w:szCs w:val="20"/>
          <w:lang w:val="en-US"/>
        </w:rPr>
        <w:tab/>
      </w:r>
      <w:r w:rsidRPr="00B775E0">
        <w:rPr>
          <w:rFonts w:ascii="Arial" w:hAnsi="Arial" w:cs="Arial"/>
          <w:i/>
          <w:iCs/>
          <w:color w:val="000000" w:themeColor="text1"/>
          <w:sz w:val="20"/>
          <w:szCs w:val="20"/>
        </w:rPr>
        <w:t xml:space="preserve">Standard Bank of SA Ltd v Court </w:t>
      </w:r>
      <w:r w:rsidRPr="00B775E0">
        <w:rPr>
          <w:rFonts w:ascii="Arial" w:hAnsi="Arial" w:cs="Arial"/>
          <w:color w:val="000000" w:themeColor="text1"/>
          <w:sz w:val="20"/>
          <w:szCs w:val="20"/>
        </w:rPr>
        <w:t>1993 (3) SA 286 (C) at 293.</w:t>
      </w:r>
    </w:p>
  </w:footnote>
  <w:footnote w:id="10">
    <w:p w14:paraId="54F05273" w14:textId="52C67F06" w:rsidR="00730A6F" w:rsidRPr="00B775E0" w:rsidRDefault="00730A6F" w:rsidP="00B775E0">
      <w:pPr>
        <w:pStyle w:val="FootnoteText"/>
        <w:ind w:left="284" w:hanging="284"/>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Pr="00B775E0">
        <w:rPr>
          <w:rFonts w:cs="Arial"/>
          <w:i/>
          <w:iCs/>
          <w:color w:val="000000" w:themeColor="text1"/>
          <w:lang w:val="en-US"/>
        </w:rPr>
        <w:t>Id.</w:t>
      </w:r>
    </w:p>
  </w:footnote>
  <w:footnote w:id="11">
    <w:p w14:paraId="6A252E88" w14:textId="7A69C2B0" w:rsidR="00004B1F" w:rsidRPr="00B775E0" w:rsidRDefault="00004B1F" w:rsidP="00B775E0">
      <w:pPr>
        <w:pStyle w:val="FootnoteText"/>
        <w:ind w:left="284" w:hanging="284"/>
        <w:rPr>
          <w:rFonts w:cs="Arial"/>
          <w:color w:val="000000" w:themeColor="text1"/>
          <w:lang w:val="en-US"/>
        </w:rPr>
      </w:pPr>
      <w:r w:rsidRPr="00B775E0">
        <w:rPr>
          <w:rStyle w:val="FootnoteReference"/>
          <w:rFonts w:cs="Arial"/>
          <w:color w:val="000000" w:themeColor="text1"/>
        </w:rPr>
        <w:footnoteRef/>
      </w:r>
      <w:r w:rsidRPr="00B775E0">
        <w:rPr>
          <w:rFonts w:cs="Arial"/>
          <w:color w:val="000000" w:themeColor="text1"/>
        </w:rPr>
        <w:t xml:space="preserve"> </w:t>
      </w:r>
      <w:r w:rsidRPr="00B775E0">
        <w:rPr>
          <w:rFonts w:cs="Arial"/>
          <w:color w:val="000000" w:themeColor="text1"/>
          <w:lang w:val="en-US"/>
        </w:rPr>
        <w:tab/>
      </w:r>
      <w:r w:rsidRPr="00B775E0">
        <w:rPr>
          <w:rFonts w:cs="Arial"/>
          <w:i/>
          <w:iCs/>
          <w:color w:val="000000" w:themeColor="text1"/>
          <w:lang w:val="en-US"/>
        </w:rPr>
        <w:t>C</w:t>
      </w:r>
      <w:r w:rsidRPr="00B775E0">
        <w:rPr>
          <w:rFonts w:cs="Arial"/>
          <w:i/>
          <w:iCs/>
          <w:color w:val="000000" w:themeColor="text1"/>
        </w:rPr>
        <w:t xml:space="preserve">henille Industries v Vorster </w:t>
      </w:r>
      <w:r w:rsidRPr="00B775E0">
        <w:rPr>
          <w:rFonts w:cs="Arial"/>
          <w:color w:val="000000" w:themeColor="text1"/>
        </w:rPr>
        <w:t>1953 (2) SA 691 (O) at 696</w:t>
      </w:r>
      <w:r w:rsidR="0055073A" w:rsidRPr="00B775E0">
        <w:rPr>
          <w:rFonts w:cs="Arial"/>
          <w:color w:val="000000" w:themeColor="text1"/>
        </w:rPr>
        <w:t>D-E</w:t>
      </w:r>
      <w:r w:rsidRPr="00B775E0">
        <w:rPr>
          <w:rFonts w:cs="Arial"/>
          <w:color w:val="000000" w:themeColor="text1"/>
        </w:rPr>
        <w:t>.</w:t>
      </w:r>
    </w:p>
  </w:footnote>
  <w:footnote w:id="12">
    <w:p w14:paraId="0AFC2310" w14:textId="7A529CA1" w:rsidR="005B4B26" w:rsidRPr="005B4B26" w:rsidRDefault="005B4B26" w:rsidP="00FC0B4B">
      <w:pPr>
        <w:pStyle w:val="FootnoteText"/>
        <w:ind w:left="284" w:hanging="284"/>
        <w:rPr>
          <w:lang w:val="en-US"/>
        </w:rPr>
      </w:pPr>
      <w:r>
        <w:rPr>
          <w:rStyle w:val="FootnoteReference"/>
        </w:rPr>
        <w:footnoteRef/>
      </w:r>
      <w:r>
        <w:t xml:space="preserve"> </w:t>
      </w:r>
      <w:r>
        <w:rPr>
          <w:lang w:val="en-US"/>
        </w:rPr>
        <w:tab/>
      </w:r>
      <w:r w:rsidRPr="005B4B26">
        <w:rPr>
          <w:i/>
          <w:iCs/>
        </w:rPr>
        <w:t>FirstRand Bank Ltd v Evans</w:t>
      </w:r>
      <w:r>
        <w:t xml:space="preserve"> 2011 (4) SA 597 (KZD)</w:t>
      </w:r>
      <w:r w:rsidR="00FC0B4B">
        <w:t xml:space="preserve"> at para [27].</w:t>
      </w:r>
    </w:p>
  </w:footnote>
  <w:footnote w:id="13">
    <w:p w14:paraId="15C2343B" w14:textId="6AC0CC28" w:rsidR="00DE2949" w:rsidRPr="00DE2949" w:rsidRDefault="00DE2949">
      <w:pPr>
        <w:pStyle w:val="FootnoteText"/>
        <w:rPr>
          <w:lang w:val="en-US"/>
        </w:rPr>
      </w:pPr>
      <w:r>
        <w:rPr>
          <w:rStyle w:val="FootnoteReference"/>
        </w:rPr>
        <w:footnoteRef/>
      </w:r>
      <w:r>
        <w:t xml:space="preserve"> </w:t>
      </w:r>
      <w:r w:rsidRPr="005B4B26">
        <w:rPr>
          <w:i/>
          <w:iCs/>
        </w:rPr>
        <w:t>FirstRand Bank Ltd v Evans</w:t>
      </w:r>
      <w:r>
        <w:t xml:space="preserve"> at para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580664"/>
      <w:docPartObj>
        <w:docPartGallery w:val="Page Numbers (Top of Page)"/>
        <w:docPartUnique/>
      </w:docPartObj>
    </w:sdtPr>
    <w:sdtEndPr>
      <w:rPr>
        <w:rStyle w:val="PageNumber"/>
      </w:rPr>
    </w:sdtEndPr>
    <w:sdtContent>
      <w:p w14:paraId="56145AF5" w14:textId="1A8803CE" w:rsidR="00A16719" w:rsidRDefault="00A16719" w:rsidP="007E6F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62B34" w14:textId="77777777" w:rsidR="00A16719" w:rsidRDefault="00A16719" w:rsidP="00A1671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0035588"/>
      <w:docPartObj>
        <w:docPartGallery w:val="Page Numbers (Top of Page)"/>
        <w:docPartUnique/>
      </w:docPartObj>
    </w:sdtPr>
    <w:sdtEndPr>
      <w:rPr>
        <w:rStyle w:val="PageNumber"/>
      </w:rPr>
    </w:sdtEndPr>
    <w:sdtContent>
      <w:p w14:paraId="4E4520AB" w14:textId="37F870FF" w:rsidR="00A16719" w:rsidRDefault="00A16719" w:rsidP="007E6F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0524">
          <w:rPr>
            <w:rStyle w:val="PageNumber"/>
            <w:noProof/>
          </w:rPr>
          <w:t>16</w:t>
        </w:r>
        <w:r>
          <w:rPr>
            <w:rStyle w:val="PageNumber"/>
          </w:rPr>
          <w:fldChar w:fldCharType="end"/>
        </w:r>
      </w:p>
    </w:sdtContent>
  </w:sdt>
  <w:p w14:paraId="4A202556" w14:textId="77777777" w:rsidR="00A16719" w:rsidRDefault="00A16719" w:rsidP="00A16719">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DBE"/>
    <w:multiLevelType w:val="multilevel"/>
    <w:tmpl w:val="AA3E960A"/>
    <w:styleLink w:val="CurrentList1"/>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7116C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7D5ECD"/>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0084A"/>
    <w:multiLevelType w:val="multilevel"/>
    <w:tmpl w:val="F3D6D904"/>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BA6A32"/>
    <w:multiLevelType w:val="multilevel"/>
    <w:tmpl w:val="08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9A52BD"/>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B3"/>
    <w:rsid w:val="000015B0"/>
    <w:rsid w:val="00004B1F"/>
    <w:rsid w:val="00016949"/>
    <w:rsid w:val="0002074B"/>
    <w:rsid w:val="000244D9"/>
    <w:rsid w:val="00030F98"/>
    <w:rsid w:val="0004278F"/>
    <w:rsid w:val="000439D6"/>
    <w:rsid w:val="0004655D"/>
    <w:rsid w:val="00047177"/>
    <w:rsid w:val="000505C9"/>
    <w:rsid w:val="00052204"/>
    <w:rsid w:val="00053A27"/>
    <w:rsid w:val="000559FE"/>
    <w:rsid w:val="00057854"/>
    <w:rsid w:val="000607D1"/>
    <w:rsid w:val="00067D27"/>
    <w:rsid w:val="00067E46"/>
    <w:rsid w:val="000725EE"/>
    <w:rsid w:val="000731D9"/>
    <w:rsid w:val="000827B8"/>
    <w:rsid w:val="00082BE2"/>
    <w:rsid w:val="000837B0"/>
    <w:rsid w:val="0008428C"/>
    <w:rsid w:val="000906BA"/>
    <w:rsid w:val="000A1A72"/>
    <w:rsid w:val="000A1ED4"/>
    <w:rsid w:val="000A33A4"/>
    <w:rsid w:val="000A6BED"/>
    <w:rsid w:val="000C2091"/>
    <w:rsid w:val="000C7FBF"/>
    <w:rsid w:val="000D070E"/>
    <w:rsid w:val="000D4956"/>
    <w:rsid w:val="000E35E5"/>
    <w:rsid w:val="000E4ADD"/>
    <w:rsid w:val="000E71DD"/>
    <w:rsid w:val="001010E0"/>
    <w:rsid w:val="00105B90"/>
    <w:rsid w:val="001207D5"/>
    <w:rsid w:val="00125DD5"/>
    <w:rsid w:val="00140B73"/>
    <w:rsid w:val="00144A35"/>
    <w:rsid w:val="001647BC"/>
    <w:rsid w:val="001667FF"/>
    <w:rsid w:val="00174C80"/>
    <w:rsid w:val="00175608"/>
    <w:rsid w:val="00191EC4"/>
    <w:rsid w:val="001926C8"/>
    <w:rsid w:val="001A1E4C"/>
    <w:rsid w:val="001A32CA"/>
    <w:rsid w:val="001A332D"/>
    <w:rsid w:val="001B1782"/>
    <w:rsid w:val="001B557A"/>
    <w:rsid w:val="001C0C86"/>
    <w:rsid w:val="001C456D"/>
    <w:rsid w:val="001D7FBC"/>
    <w:rsid w:val="001E0F97"/>
    <w:rsid w:val="001E12BA"/>
    <w:rsid w:val="001E1CD4"/>
    <w:rsid w:val="001F6985"/>
    <w:rsid w:val="00201020"/>
    <w:rsid w:val="0020273F"/>
    <w:rsid w:val="002066D5"/>
    <w:rsid w:val="00213071"/>
    <w:rsid w:val="00214880"/>
    <w:rsid w:val="00214BF4"/>
    <w:rsid w:val="00224B66"/>
    <w:rsid w:val="00233F48"/>
    <w:rsid w:val="0023713A"/>
    <w:rsid w:val="0024383C"/>
    <w:rsid w:val="0024488F"/>
    <w:rsid w:val="00254759"/>
    <w:rsid w:val="0025538D"/>
    <w:rsid w:val="00260CF2"/>
    <w:rsid w:val="002636C9"/>
    <w:rsid w:val="00264001"/>
    <w:rsid w:val="00265245"/>
    <w:rsid w:val="002665B2"/>
    <w:rsid w:val="002738CB"/>
    <w:rsid w:val="00274887"/>
    <w:rsid w:val="00274B9C"/>
    <w:rsid w:val="00286952"/>
    <w:rsid w:val="0029037C"/>
    <w:rsid w:val="0029273A"/>
    <w:rsid w:val="002947A3"/>
    <w:rsid w:val="002A0759"/>
    <w:rsid w:val="002A3EEB"/>
    <w:rsid w:val="002A44BE"/>
    <w:rsid w:val="002A46D7"/>
    <w:rsid w:val="002B1B0B"/>
    <w:rsid w:val="002B2C9D"/>
    <w:rsid w:val="002B32AC"/>
    <w:rsid w:val="002B33E1"/>
    <w:rsid w:val="002B4E4F"/>
    <w:rsid w:val="002C3879"/>
    <w:rsid w:val="002D6772"/>
    <w:rsid w:val="002D740D"/>
    <w:rsid w:val="002E226A"/>
    <w:rsid w:val="002E2682"/>
    <w:rsid w:val="002E6E8F"/>
    <w:rsid w:val="002E6FC1"/>
    <w:rsid w:val="002E7224"/>
    <w:rsid w:val="002F2663"/>
    <w:rsid w:val="00314120"/>
    <w:rsid w:val="00325424"/>
    <w:rsid w:val="0033004B"/>
    <w:rsid w:val="00337BEF"/>
    <w:rsid w:val="00340B67"/>
    <w:rsid w:val="003439DA"/>
    <w:rsid w:val="00345AA6"/>
    <w:rsid w:val="00352559"/>
    <w:rsid w:val="003628A5"/>
    <w:rsid w:val="00365737"/>
    <w:rsid w:val="00371040"/>
    <w:rsid w:val="00381CF3"/>
    <w:rsid w:val="00390A3A"/>
    <w:rsid w:val="003928EB"/>
    <w:rsid w:val="003A111E"/>
    <w:rsid w:val="003A770E"/>
    <w:rsid w:val="003B20EE"/>
    <w:rsid w:val="003B45E4"/>
    <w:rsid w:val="003B4693"/>
    <w:rsid w:val="003C369C"/>
    <w:rsid w:val="003D18A4"/>
    <w:rsid w:val="003E124F"/>
    <w:rsid w:val="00407222"/>
    <w:rsid w:val="00411A8B"/>
    <w:rsid w:val="00412C69"/>
    <w:rsid w:val="00413974"/>
    <w:rsid w:val="00422B05"/>
    <w:rsid w:val="00427CC1"/>
    <w:rsid w:val="00432641"/>
    <w:rsid w:val="00435432"/>
    <w:rsid w:val="00440A6A"/>
    <w:rsid w:val="0044196E"/>
    <w:rsid w:val="00441CE6"/>
    <w:rsid w:val="004531D8"/>
    <w:rsid w:val="004664C5"/>
    <w:rsid w:val="00467498"/>
    <w:rsid w:val="00470B16"/>
    <w:rsid w:val="0047520B"/>
    <w:rsid w:val="00476707"/>
    <w:rsid w:val="004838FB"/>
    <w:rsid w:val="00484DC4"/>
    <w:rsid w:val="00493DE1"/>
    <w:rsid w:val="004B1636"/>
    <w:rsid w:val="004C10CA"/>
    <w:rsid w:val="004C1BE8"/>
    <w:rsid w:val="004C492B"/>
    <w:rsid w:val="004D24B5"/>
    <w:rsid w:val="004D4688"/>
    <w:rsid w:val="004F3351"/>
    <w:rsid w:val="004F6298"/>
    <w:rsid w:val="00505DE0"/>
    <w:rsid w:val="005060E9"/>
    <w:rsid w:val="005074C4"/>
    <w:rsid w:val="0050788A"/>
    <w:rsid w:val="00516B42"/>
    <w:rsid w:val="005176A6"/>
    <w:rsid w:val="00522A29"/>
    <w:rsid w:val="00525616"/>
    <w:rsid w:val="00525DE4"/>
    <w:rsid w:val="00527666"/>
    <w:rsid w:val="005477C0"/>
    <w:rsid w:val="0055073A"/>
    <w:rsid w:val="00550B7D"/>
    <w:rsid w:val="00553941"/>
    <w:rsid w:val="005639B5"/>
    <w:rsid w:val="005656A5"/>
    <w:rsid w:val="00573AD8"/>
    <w:rsid w:val="00576699"/>
    <w:rsid w:val="0058259C"/>
    <w:rsid w:val="0058478C"/>
    <w:rsid w:val="00585D6A"/>
    <w:rsid w:val="0059122A"/>
    <w:rsid w:val="005948CE"/>
    <w:rsid w:val="0059555A"/>
    <w:rsid w:val="005A6E4C"/>
    <w:rsid w:val="005B4B26"/>
    <w:rsid w:val="005C426B"/>
    <w:rsid w:val="005D31E7"/>
    <w:rsid w:val="005E1D9A"/>
    <w:rsid w:val="005F7A52"/>
    <w:rsid w:val="0060182F"/>
    <w:rsid w:val="00602134"/>
    <w:rsid w:val="006106C4"/>
    <w:rsid w:val="00613C00"/>
    <w:rsid w:val="0062226E"/>
    <w:rsid w:val="006315D2"/>
    <w:rsid w:val="00644636"/>
    <w:rsid w:val="00645C99"/>
    <w:rsid w:val="006572B3"/>
    <w:rsid w:val="006617BC"/>
    <w:rsid w:val="00666BFF"/>
    <w:rsid w:val="00677AF8"/>
    <w:rsid w:val="006851B3"/>
    <w:rsid w:val="006938AA"/>
    <w:rsid w:val="006941DA"/>
    <w:rsid w:val="00696F2D"/>
    <w:rsid w:val="006974A8"/>
    <w:rsid w:val="006A4805"/>
    <w:rsid w:val="006A5A54"/>
    <w:rsid w:val="006B0888"/>
    <w:rsid w:val="006C0BD0"/>
    <w:rsid w:val="006D1968"/>
    <w:rsid w:val="006F204B"/>
    <w:rsid w:val="0070011C"/>
    <w:rsid w:val="00703559"/>
    <w:rsid w:val="0070527D"/>
    <w:rsid w:val="00707D36"/>
    <w:rsid w:val="00713DF9"/>
    <w:rsid w:val="00714858"/>
    <w:rsid w:val="0072225F"/>
    <w:rsid w:val="00724307"/>
    <w:rsid w:val="00730A6F"/>
    <w:rsid w:val="007316F1"/>
    <w:rsid w:val="007337FD"/>
    <w:rsid w:val="00737885"/>
    <w:rsid w:val="00743796"/>
    <w:rsid w:val="0075380C"/>
    <w:rsid w:val="00757981"/>
    <w:rsid w:val="0076037E"/>
    <w:rsid w:val="0076378A"/>
    <w:rsid w:val="00773313"/>
    <w:rsid w:val="00774A6A"/>
    <w:rsid w:val="0077625D"/>
    <w:rsid w:val="00780E9C"/>
    <w:rsid w:val="00785378"/>
    <w:rsid w:val="00790022"/>
    <w:rsid w:val="00791CBF"/>
    <w:rsid w:val="0079497A"/>
    <w:rsid w:val="00796BC6"/>
    <w:rsid w:val="00797D5C"/>
    <w:rsid w:val="007A70AA"/>
    <w:rsid w:val="007B788A"/>
    <w:rsid w:val="007D0945"/>
    <w:rsid w:val="007D29C7"/>
    <w:rsid w:val="007D41E4"/>
    <w:rsid w:val="007E1F31"/>
    <w:rsid w:val="007E2D80"/>
    <w:rsid w:val="007E6512"/>
    <w:rsid w:val="007E6583"/>
    <w:rsid w:val="007F4007"/>
    <w:rsid w:val="007F6250"/>
    <w:rsid w:val="007F68BB"/>
    <w:rsid w:val="007F6DFB"/>
    <w:rsid w:val="00802B67"/>
    <w:rsid w:val="00807689"/>
    <w:rsid w:val="0081340F"/>
    <w:rsid w:val="0081524E"/>
    <w:rsid w:val="00836AA4"/>
    <w:rsid w:val="00837D70"/>
    <w:rsid w:val="00844657"/>
    <w:rsid w:val="0085273D"/>
    <w:rsid w:val="0086610C"/>
    <w:rsid w:val="00873D7B"/>
    <w:rsid w:val="00890292"/>
    <w:rsid w:val="0089064B"/>
    <w:rsid w:val="0089233E"/>
    <w:rsid w:val="008A501C"/>
    <w:rsid w:val="008B501B"/>
    <w:rsid w:val="008B6E0D"/>
    <w:rsid w:val="008D470B"/>
    <w:rsid w:val="008D718D"/>
    <w:rsid w:val="008E0C48"/>
    <w:rsid w:val="008F04F2"/>
    <w:rsid w:val="008F47AB"/>
    <w:rsid w:val="009052E8"/>
    <w:rsid w:val="00930D13"/>
    <w:rsid w:val="00934BFE"/>
    <w:rsid w:val="00937F65"/>
    <w:rsid w:val="00944F47"/>
    <w:rsid w:val="0095283F"/>
    <w:rsid w:val="00972452"/>
    <w:rsid w:val="00972538"/>
    <w:rsid w:val="00980F99"/>
    <w:rsid w:val="0098757A"/>
    <w:rsid w:val="00991B8F"/>
    <w:rsid w:val="00992601"/>
    <w:rsid w:val="00995087"/>
    <w:rsid w:val="00996F9E"/>
    <w:rsid w:val="009A5ADA"/>
    <w:rsid w:val="009B3618"/>
    <w:rsid w:val="009B6D39"/>
    <w:rsid w:val="009B71D3"/>
    <w:rsid w:val="009C3F02"/>
    <w:rsid w:val="009C7EDE"/>
    <w:rsid w:val="009E0370"/>
    <w:rsid w:val="009F597A"/>
    <w:rsid w:val="00A07C94"/>
    <w:rsid w:val="00A14952"/>
    <w:rsid w:val="00A16719"/>
    <w:rsid w:val="00A2012D"/>
    <w:rsid w:val="00A22BAF"/>
    <w:rsid w:val="00A24B79"/>
    <w:rsid w:val="00A26DB0"/>
    <w:rsid w:val="00A279D0"/>
    <w:rsid w:val="00A32757"/>
    <w:rsid w:val="00A32989"/>
    <w:rsid w:val="00A33FFC"/>
    <w:rsid w:val="00A37CDF"/>
    <w:rsid w:val="00A445B6"/>
    <w:rsid w:val="00A47A2C"/>
    <w:rsid w:val="00A47B5B"/>
    <w:rsid w:val="00A55EAF"/>
    <w:rsid w:val="00A57E00"/>
    <w:rsid w:val="00A61220"/>
    <w:rsid w:val="00A72014"/>
    <w:rsid w:val="00A72A8F"/>
    <w:rsid w:val="00A76835"/>
    <w:rsid w:val="00A84639"/>
    <w:rsid w:val="00A8539C"/>
    <w:rsid w:val="00AA1D4A"/>
    <w:rsid w:val="00AA3D03"/>
    <w:rsid w:val="00AB1E4F"/>
    <w:rsid w:val="00AB4A70"/>
    <w:rsid w:val="00AB4BB1"/>
    <w:rsid w:val="00AC2567"/>
    <w:rsid w:val="00AC65B8"/>
    <w:rsid w:val="00AD0A1E"/>
    <w:rsid w:val="00AD48B0"/>
    <w:rsid w:val="00AD60DE"/>
    <w:rsid w:val="00AD76C5"/>
    <w:rsid w:val="00AE1AF0"/>
    <w:rsid w:val="00AE2108"/>
    <w:rsid w:val="00AF0A51"/>
    <w:rsid w:val="00AF227F"/>
    <w:rsid w:val="00B13E2A"/>
    <w:rsid w:val="00B20524"/>
    <w:rsid w:val="00B20DCE"/>
    <w:rsid w:val="00B21BC0"/>
    <w:rsid w:val="00B243D8"/>
    <w:rsid w:val="00B3546C"/>
    <w:rsid w:val="00B365EF"/>
    <w:rsid w:val="00B37165"/>
    <w:rsid w:val="00B562C8"/>
    <w:rsid w:val="00B701E4"/>
    <w:rsid w:val="00B74A9B"/>
    <w:rsid w:val="00B775E0"/>
    <w:rsid w:val="00B77D9D"/>
    <w:rsid w:val="00B80549"/>
    <w:rsid w:val="00B82EEA"/>
    <w:rsid w:val="00B844EA"/>
    <w:rsid w:val="00B94EFB"/>
    <w:rsid w:val="00B96116"/>
    <w:rsid w:val="00BA7954"/>
    <w:rsid w:val="00BB0349"/>
    <w:rsid w:val="00BB1E7E"/>
    <w:rsid w:val="00BD1A46"/>
    <w:rsid w:val="00BD2522"/>
    <w:rsid w:val="00BF0105"/>
    <w:rsid w:val="00BF246F"/>
    <w:rsid w:val="00BF3077"/>
    <w:rsid w:val="00BF60B7"/>
    <w:rsid w:val="00BF725C"/>
    <w:rsid w:val="00BF7959"/>
    <w:rsid w:val="00C0274D"/>
    <w:rsid w:val="00C11B06"/>
    <w:rsid w:val="00C21385"/>
    <w:rsid w:val="00C4157F"/>
    <w:rsid w:val="00C4369D"/>
    <w:rsid w:val="00C43794"/>
    <w:rsid w:val="00C469B3"/>
    <w:rsid w:val="00C6341E"/>
    <w:rsid w:val="00C773F7"/>
    <w:rsid w:val="00C83774"/>
    <w:rsid w:val="00C8520A"/>
    <w:rsid w:val="00C857BD"/>
    <w:rsid w:val="00C90D29"/>
    <w:rsid w:val="00C964D0"/>
    <w:rsid w:val="00C97599"/>
    <w:rsid w:val="00CA01B8"/>
    <w:rsid w:val="00CA7D02"/>
    <w:rsid w:val="00CB4C23"/>
    <w:rsid w:val="00CB5692"/>
    <w:rsid w:val="00CC1414"/>
    <w:rsid w:val="00CC1D56"/>
    <w:rsid w:val="00CD279E"/>
    <w:rsid w:val="00CD3755"/>
    <w:rsid w:val="00CD7476"/>
    <w:rsid w:val="00CD79D8"/>
    <w:rsid w:val="00CE004C"/>
    <w:rsid w:val="00CE0A45"/>
    <w:rsid w:val="00CE2393"/>
    <w:rsid w:val="00CE464E"/>
    <w:rsid w:val="00CF6195"/>
    <w:rsid w:val="00D01C44"/>
    <w:rsid w:val="00D022A1"/>
    <w:rsid w:val="00D04A97"/>
    <w:rsid w:val="00D12965"/>
    <w:rsid w:val="00D14D02"/>
    <w:rsid w:val="00D237DB"/>
    <w:rsid w:val="00D266F1"/>
    <w:rsid w:val="00D40FBC"/>
    <w:rsid w:val="00D454B0"/>
    <w:rsid w:val="00D47EA9"/>
    <w:rsid w:val="00D66059"/>
    <w:rsid w:val="00D660F2"/>
    <w:rsid w:val="00D717A2"/>
    <w:rsid w:val="00D847EB"/>
    <w:rsid w:val="00DA181C"/>
    <w:rsid w:val="00DA1C5B"/>
    <w:rsid w:val="00DA6E10"/>
    <w:rsid w:val="00DA6E3E"/>
    <w:rsid w:val="00DA770B"/>
    <w:rsid w:val="00DC2718"/>
    <w:rsid w:val="00DD4842"/>
    <w:rsid w:val="00DE1113"/>
    <w:rsid w:val="00DE2949"/>
    <w:rsid w:val="00DE427E"/>
    <w:rsid w:val="00DE583D"/>
    <w:rsid w:val="00DF0A0E"/>
    <w:rsid w:val="00DF7149"/>
    <w:rsid w:val="00E00AE7"/>
    <w:rsid w:val="00E01983"/>
    <w:rsid w:val="00E0510F"/>
    <w:rsid w:val="00E10B56"/>
    <w:rsid w:val="00E11BA9"/>
    <w:rsid w:val="00E14497"/>
    <w:rsid w:val="00E166BC"/>
    <w:rsid w:val="00E22CA5"/>
    <w:rsid w:val="00E2662C"/>
    <w:rsid w:val="00E26C82"/>
    <w:rsid w:val="00E357BA"/>
    <w:rsid w:val="00E370FE"/>
    <w:rsid w:val="00E47C38"/>
    <w:rsid w:val="00E54531"/>
    <w:rsid w:val="00E56854"/>
    <w:rsid w:val="00E63D56"/>
    <w:rsid w:val="00E70EAE"/>
    <w:rsid w:val="00E72D12"/>
    <w:rsid w:val="00E739A7"/>
    <w:rsid w:val="00E84537"/>
    <w:rsid w:val="00E86604"/>
    <w:rsid w:val="00E874A6"/>
    <w:rsid w:val="00E91DEC"/>
    <w:rsid w:val="00E967E3"/>
    <w:rsid w:val="00EA43E5"/>
    <w:rsid w:val="00EB24D5"/>
    <w:rsid w:val="00EB2B4F"/>
    <w:rsid w:val="00EB381D"/>
    <w:rsid w:val="00EC57EE"/>
    <w:rsid w:val="00EE6CE1"/>
    <w:rsid w:val="00F00F27"/>
    <w:rsid w:val="00F11860"/>
    <w:rsid w:val="00F1235B"/>
    <w:rsid w:val="00F13979"/>
    <w:rsid w:val="00F230EA"/>
    <w:rsid w:val="00F232C1"/>
    <w:rsid w:val="00F418CF"/>
    <w:rsid w:val="00F674C9"/>
    <w:rsid w:val="00F874A4"/>
    <w:rsid w:val="00F876A6"/>
    <w:rsid w:val="00F900E3"/>
    <w:rsid w:val="00F9626D"/>
    <w:rsid w:val="00FA168E"/>
    <w:rsid w:val="00FA3F62"/>
    <w:rsid w:val="00FB2784"/>
    <w:rsid w:val="00FB4873"/>
    <w:rsid w:val="00FC0B4B"/>
    <w:rsid w:val="00FE0CB2"/>
    <w:rsid w:val="00FF1A7D"/>
    <w:rsid w:val="00FF2732"/>
    <w:rsid w:val="00FF45F6"/>
    <w:rsid w:val="00FF68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C855"/>
  <w15:chartTrackingRefBased/>
  <w15:docId w15:val="{9750C98D-8CB9-DF40-9CF7-0B445200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B3"/>
  </w:style>
  <w:style w:type="paragraph" w:styleId="Heading1">
    <w:name w:val="heading 1"/>
    <w:basedOn w:val="Normal"/>
    <w:next w:val="Normal"/>
    <w:link w:val="Heading1Char"/>
    <w:uiPriority w:val="9"/>
    <w:qFormat/>
    <w:rsid w:val="00D717A2"/>
    <w:pPr>
      <w:keepNext/>
      <w:keepLines/>
      <w:spacing w:before="120" w:after="360" w:line="480" w:lineRule="auto"/>
      <w:outlineLvl w:val="0"/>
    </w:pPr>
    <w:rPr>
      <w:rFonts w:eastAsiaTheme="majorEastAsia" w:cstheme="majorBidi"/>
      <w:b/>
      <w:color w:val="000000" w:themeColor="text1"/>
      <w:szCs w:val="40"/>
    </w:rPr>
  </w:style>
  <w:style w:type="paragraph" w:styleId="Heading2">
    <w:name w:val="heading 2"/>
    <w:basedOn w:val="Normal"/>
    <w:next w:val="Normal"/>
    <w:link w:val="Heading2Char"/>
    <w:uiPriority w:val="9"/>
    <w:unhideWhenUsed/>
    <w:qFormat/>
    <w:rsid w:val="006572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72B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72B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572B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572B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72B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72B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72B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A2"/>
    <w:rPr>
      <w:rFonts w:eastAsiaTheme="majorEastAsia" w:cstheme="majorBidi"/>
      <w:b/>
      <w:color w:val="000000" w:themeColor="text1"/>
      <w:szCs w:val="40"/>
    </w:rPr>
  </w:style>
  <w:style w:type="character" w:customStyle="1" w:styleId="Heading2Char">
    <w:name w:val="Heading 2 Char"/>
    <w:basedOn w:val="DefaultParagraphFont"/>
    <w:link w:val="Heading2"/>
    <w:uiPriority w:val="9"/>
    <w:rsid w:val="006572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72B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72B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572B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572B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72B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72B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72B3"/>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6572B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72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2B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72B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572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72B3"/>
    <w:rPr>
      <w:i/>
      <w:iCs/>
      <w:color w:val="404040" w:themeColor="text1" w:themeTint="BF"/>
    </w:rPr>
  </w:style>
  <w:style w:type="paragraph" w:styleId="ListParagraph">
    <w:name w:val="List Paragraph"/>
    <w:aliases w:val="List Paragraph 1,Numbered Paras"/>
    <w:basedOn w:val="Normal"/>
    <w:link w:val="ListParagraphChar"/>
    <w:uiPriority w:val="34"/>
    <w:qFormat/>
    <w:rsid w:val="006572B3"/>
    <w:pPr>
      <w:ind w:left="720"/>
      <w:contextualSpacing/>
    </w:pPr>
  </w:style>
  <w:style w:type="character" w:styleId="IntenseEmphasis">
    <w:name w:val="Intense Emphasis"/>
    <w:basedOn w:val="DefaultParagraphFont"/>
    <w:uiPriority w:val="21"/>
    <w:qFormat/>
    <w:rsid w:val="006572B3"/>
    <w:rPr>
      <w:i/>
      <w:iCs/>
      <w:color w:val="0F4761" w:themeColor="accent1" w:themeShade="BF"/>
    </w:rPr>
  </w:style>
  <w:style w:type="paragraph" w:styleId="IntenseQuote">
    <w:name w:val="Intense Quote"/>
    <w:basedOn w:val="Normal"/>
    <w:next w:val="Normal"/>
    <w:link w:val="IntenseQuoteChar"/>
    <w:uiPriority w:val="30"/>
    <w:qFormat/>
    <w:rsid w:val="006572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72B3"/>
    <w:rPr>
      <w:i/>
      <w:iCs/>
      <w:color w:val="0F4761" w:themeColor="accent1" w:themeShade="BF"/>
    </w:rPr>
  </w:style>
  <w:style w:type="character" w:styleId="IntenseReference">
    <w:name w:val="Intense Reference"/>
    <w:basedOn w:val="DefaultParagraphFont"/>
    <w:uiPriority w:val="32"/>
    <w:qFormat/>
    <w:rsid w:val="006572B3"/>
    <w:rPr>
      <w:b/>
      <w:bCs/>
      <w:smallCaps/>
      <w:color w:val="0F4761" w:themeColor="accent1" w:themeShade="BF"/>
      <w:spacing w:val="5"/>
    </w:rPr>
  </w:style>
  <w:style w:type="table" w:styleId="TableGrid">
    <w:name w:val="Table Grid"/>
    <w:basedOn w:val="TableNormal"/>
    <w:uiPriority w:val="39"/>
    <w:rsid w:val="0065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Numbered Paras Char"/>
    <w:link w:val="ListParagraph"/>
    <w:uiPriority w:val="34"/>
    <w:qFormat/>
    <w:locked/>
    <w:rsid w:val="006572B3"/>
  </w:style>
  <w:style w:type="paragraph" w:styleId="Header">
    <w:name w:val="header"/>
    <w:basedOn w:val="Normal"/>
    <w:link w:val="HeaderChar"/>
    <w:uiPriority w:val="99"/>
    <w:unhideWhenUsed/>
    <w:rsid w:val="00A16719"/>
    <w:pPr>
      <w:tabs>
        <w:tab w:val="center" w:pos="4513"/>
        <w:tab w:val="right" w:pos="9026"/>
      </w:tabs>
    </w:pPr>
  </w:style>
  <w:style w:type="character" w:customStyle="1" w:styleId="HeaderChar">
    <w:name w:val="Header Char"/>
    <w:basedOn w:val="DefaultParagraphFont"/>
    <w:link w:val="Header"/>
    <w:uiPriority w:val="99"/>
    <w:rsid w:val="00A16719"/>
  </w:style>
  <w:style w:type="character" w:styleId="PageNumber">
    <w:name w:val="page number"/>
    <w:basedOn w:val="DefaultParagraphFont"/>
    <w:uiPriority w:val="99"/>
    <w:semiHidden/>
    <w:unhideWhenUsed/>
    <w:rsid w:val="00A16719"/>
  </w:style>
  <w:style w:type="paragraph" w:styleId="NormalWeb">
    <w:name w:val="Normal (Web)"/>
    <w:basedOn w:val="Normal"/>
    <w:uiPriority w:val="99"/>
    <w:semiHidden/>
    <w:unhideWhenUsed/>
    <w:rsid w:val="00FB4873"/>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FB4873"/>
    <w:rPr>
      <w:color w:val="0000FF"/>
      <w:u w:val="single"/>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5_G,Char Char Ch"/>
    <w:basedOn w:val="Normal"/>
    <w:link w:val="FootnoteTextChar"/>
    <w:uiPriority w:val="99"/>
    <w:unhideWhenUsed/>
    <w:qFormat/>
    <w:rsid w:val="001010E0"/>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1010E0"/>
    <w:rPr>
      <w:sz w:val="20"/>
      <w:szCs w:val="20"/>
    </w:rPr>
  </w:style>
  <w:style w:type="character" w:styleId="FootnoteReference">
    <w:name w:val="footnote reference"/>
    <w:aliases w:val="Footnote Reference + Superscript,Ref,de nota al pie,註腳內容,Footnotes refss,fr,4_G"/>
    <w:basedOn w:val="DefaultParagraphFont"/>
    <w:uiPriority w:val="99"/>
    <w:unhideWhenUsed/>
    <w:qFormat/>
    <w:rsid w:val="001010E0"/>
    <w:rPr>
      <w:vertAlign w:val="superscript"/>
    </w:rPr>
  </w:style>
  <w:style w:type="paragraph" w:customStyle="1" w:styleId="lg-a-1">
    <w:name w:val="lg-a-1"/>
    <w:basedOn w:val="Normal"/>
    <w:rsid w:val="002C3879"/>
    <w:pPr>
      <w:spacing w:before="100" w:beforeAutospacing="1" w:after="100" w:afterAutospacing="1"/>
    </w:pPr>
    <w:rPr>
      <w:rFonts w:ascii="Times New Roman" w:eastAsia="Times New Roman" w:hAnsi="Times New Roman"/>
      <w:lang w:eastAsia="en-GB"/>
    </w:rPr>
  </w:style>
  <w:style w:type="numbering" w:customStyle="1" w:styleId="CurrentList1">
    <w:name w:val="Current List1"/>
    <w:uiPriority w:val="99"/>
    <w:rsid w:val="00780E9C"/>
    <w:pPr>
      <w:numPr>
        <w:numId w:val="5"/>
      </w:numPr>
    </w:pPr>
  </w:style>
  <w:style w:type="paragraph" w:customStyle="1" w:styleId="com-footnotes">
    <w:name w:val="com-footnotes"/>
    <w:basedOn w:val="Normal"/>
    <w:rsid w:val="00286952"/>
    <w:pPr>
      <w:spacing w:before="100" w:beforeAutospacing="1" w:after="100" w:afterAutospacing="1"/>
    </w:pPr>
    <w:rPr>
      <w:rFonts w:ascii="Times New Roman" w:eastAsia="Times New Roman" w:hAnsi="Times New Roman"/>
      <w:lang w:eastAsia="en-GB"/>
    </w:rPr>
  </w:style>
  <w:style w:type="character" w:customStyle="1" w:styleId="mc">
    <w:name w:val="mc"/>
    <w:basedOn w:val="DefaultParagraphFont"/>
    <w:rsid w:val="00730A6F"/>
  </w:style>
  <w:style w:type="paragraph" w:styleId="Revision">
    <w:name w:val="Revision"/>
    <w:hidden/>
    <w:uiPriority w:val="99"/>
    <w:semiHidden/>
    <w:rsid w:val="00A24B79"/>
  </w:style>
  <w:style w:type="character" w:customStyle="1" w:styleId="footnoteanchor">
    <w:name w:val="footnoteanchor"/>
    <w:basedOn w:val="DefaultParagraphFont"/>
    <w:rsid w:val="002B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005">
      <w:bodyDiv w:val="1"/>
      <w:marLeft w:val="0"/>
      <w:marRight w:val="0"/>
      <w:marTop w:val="0"/>
      <w:marBottom w:val="0"/>
      <w:divBdr>
        <w:top w:val="none" w:sz="0" w:space="0" w:color="auto"/>
        <w:left w:val="none" w:sz="0" w:space="0" w:color="auto"/>
        <w:bottom w:val="none" w:sz="0" w:space="0" w:color="auto"/>
        <w:right w:val="none" w:sz="0" w:space="0" w:color="auto"/>
      </w:divBdr>
    </w:div>
    <w:div w:id="959185906">
      <w:bodyDiv w:val="1"/>
      <w:marLeft w:val="0"/>
      <w:marRight w:val="0"/>
      <w:marTop w:val="0"/>
      <w:marBottom w:val="0"/>
      <w:divBdr>
        <w:top w:val="none" w:sz="0" w:space="0" w:color="auto"/>
        <w:left w:val="none" w:sz="0" w:space="0" w:color="auto"/>
        <w:bottom w:val="none" w:sz="0" w:space="0" w:color="auto"/>
        <w:right w:val="none" w:sz="0" w:space="0" w:color="auto"/>
      </w:divBdr>
    </w:div>
    <w:div w:id="1266428058">
      <w:bodyDiv w:val="1"/>
      <w:marLeft w:val="0"/>
      <w:marRight w:val="0"/>
      <w:marTop w:val="0"/>
      <w:marBottom w:val="0"/>
      <w:divBdr>
        <w:top w:val="none" w:sz="0" w:space="0" w:color="auto"/>
        <w:left w:val="none" w:sz="0" w:space="0" w:color="auto"/>
        <w:bottom w:val="none" w:sz="0" w:space="0" w:color="auto"/>
        <w:right w:val="none" w:sz="0" w:space="0" w:color="auto"/>
      </w:divBdr>
    </w:div>
    <w:div w:id="1418356670">
      <w:bodyDiv w:val="1"/>
      <w:marLeft w:val="0"/>
      <w:marRight w:val="0"/>
      <w:marTop w:val="0"/>
      <w:marBottom w:val="0"/>
      <w:divBdr>
        <w:top w:val="none" w:sz="0" w:space="0" w:color="auto"/>
        <w:left w:val="none" w:sz="0" w:space="0" w:color="auto"/>
        <w:bottom w:val="none" w:sz="0" w:space="0" w:color="auto"/>
        <w:right w:val="none" w:sz="0" w:space="0" w:color="auto"/>
      </w:divBdr>
    </w:div>
    <w:div w:id="20098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Mushahida Adhikari</dc:creator>
  <cp:keywords/>
  <dc:description/>
  <cp:lastModifiedBy>Mary Bruce</cp:lastModifiedBy>
  <cp:revision>3</cp:revision>
  <dcterms:created xsi:type="dcterms:W3CDTF">2024-01-31T09:13:00Z</dcterms:created>
  <dcterms:modified xsi:type="dcterms:W3CDTF">2024-02-06T10:05:00Z</dcterms:modified>
</cp:coreProperties>
</file>