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330EDB4" w14:textId="77777777" w:rsidR="002F45F6" w:rsidRPr="00B86572" w:rsidRDefault="002F45F6" w:rsidP="002F45F6">
      <w:pPr>
        <w:spacing w:after="80" w:line="360" w:lineRule="auto"/>
        <w:jc w:val="center"/>
      </w:pPr>
      <w:r w:rsidRPr="00B86572">
        <w:rPr>
          <w:noProof/>
          <w:color w:val="1F497D"/>
          <w:sz w:val="16"/>
          <w:szCs w:val="16"/>
          <w:lang w:eastAsia="en-ZA"/>
        </w:rPr>
        <w:fldChar w:fldCharType="begin"/>
      </w:r>
      <w:r w:rsidRPr="00B86572">
        <w:rPr>
          <w:noProof/>
          <w:color w:val="1F497D"/>
          <w:sz w:val="16"/>
          <w:szCs w:val="16"/>
          <w:lang w:eastAsia="en-ZA"/>
        </w:rPr>
        <w:instrText xml:space="preserve"> INCLUDEPICTURE  "cid:image003.png@01D128E0.21B01BF0" \* MERGEFORMATINET </w:instrText>
      </w:r>
      <w:r w:rsidRPr="00B86572">
        <w:rPr>
          <w:noProof/>
          <w:color w:val="1F497D"/>
          <w:sz w:val="16"/>
          <w:szCs w:val="16"/>
          <w:lang w:eastAsia="en-ZA"/>
        </w:rPr>
        <w:fldChar w:fldCharType="separate"/>
      </w:r>
      <w:r w:rsidRPr="00B86572">
        <w:rPr>
          <w:noProof/>
          <w:color w:val="1F497D"/>
          <w:sz w:val="16"/>
          <w:szCs w:val="16"/>
          <w:lang w:eastAsia="en-ZA"/>
        </w:rPr>
        <w:fldChar w:fldCharType="begin"/>
      </w:r>
      <w:r w:rsidRPr="00B86572">
        <w:rPr>
          <w:noProof/>
          <w:color w:val="1F497D"/>
          <w:sz w:val="16"/>
          <w:szCs w:val="16"/>
          <w:lang w:eastAsia="en-ZA"/>
        </w:rPr>
        <w:instrText xml:space="preserve"> INCLUDEPICTURE  "cid:image003.png@01D128E0.21B01BF0" \* MERGEFORMATINET </w:instrText>
      </w:r>
      <w:r w:rsidRPr="00B86572">
        <w:rPr>
          <w:noProof/>
          <w:color w:val="1F497D"/>
          <w:sz w:val="16"/>
          <w:szCs w:val="16"/>
          <w:lang w:eastAsia="en-ZA"/>
        </w:rPr>
        <w:fldChar w:fldCharType="separate"/>
      </w:r>
      <w:r w:rsidRPr="00B86572">
        <w:rPr>
          <w:noProof/>
          <w:color w:val="1F497D"/>
          <w:sz w:val="16"/>
          <w:szCs w:val="16"/>
          <w:lang w:eastAsia="en-ZA"/>
        </w:rPr>
        <w:fldChar w:fldCharType="begin"/>
      </w:r>
      <w:r w:rsidRPr="00B86572">
        <w:rPr>
          <w:noProof/>
          <w:color w:val="1F497D"/>
          <w:sz w:val="16"/>
          <w:szCs w:val="16"/>
          <w:lang w:eastAsia="en-ZA"/>
        </w:rPr>
        <w:instrText xml:space="preserve"> INCLUDEPICTURE  "cid:image003.png@01D128E0.21B01BF0" \* MERGEFORMATINET </w:instrText>
      </w:r>
      <w:r w:rsidRPr="00B86572">
        <w:rPr>
          <w:noProof/>
          <w:color w:val="1F497D"/>
          <w:sz w:val="16"/>
          <w:szCs w:val="16"/>
          <w:lang w:eastAsia="en-ZA"/>
        </w:rPr>
        <w:fldChar w:fldCharType="separate"/>
      </w:r>
      <w:r w:rsidRPr="00B86572">
        <w:rPr>
          <w:noProof/>
          <w:color w:val="1F497D"/>
          <w:sz w:val="16"/>
          <w:szCs w:val="16"/>
          <w:lang w:eastAsia="en-ZA"/>
        </w:rPr>
        <w:fldChar w:fldCharType="begin"/>
      </w:r>
      <w:r w:rsidRPr="00B86572">
        <w:rPr>
          <w:noProof/>
          <w:color w:val="1F497D"/>
          <w:sz w:val="16"/>
          <w:szCs w:val="16"/>
          <w:lang w:eastAsia="en-ZA"/>
        </w:rPr>
        <w:instrText xml:space="preserve"> INCLUDEPICTURE  "cid:image003.png@01D128E0.21B01BF0" \* MERGEFORMATINET </w:instrText>
      </w:r>
      <w:r w:rsidRPr="00B86572">
        <w:rPr>
          <w:noProof/>
          <w:color w:val="1F497D"/>
          <w:sz w:val="16"/>
          <w:szCs w:val="16"/>
          <w:lang w:eastAsia="en-ZA"/>
        </w:rPr>
        <w:fldChar w:fldCharType="separate"/>
      </w:r>
      <w:r w:rsidRPr="00B86572">
        <w:rPr>
          <w:noProof/>
          <w:color w:val="1F497D"/>
          <w:sz w:val="16"/>
          <w:szCs w:val="16"/>
          <w:lang w:eastAsia="en-ZA"/>
        </w:rPr>
        <w:fldChar w:fldCharType="begin"/>
      </w:r>
      <w:r w:rsidRPr="00B86572">
        <w:rPr>
          <w:noProof/>
          <w:color w:val="1F497D"/>
          <w:sz w:val="16"/>
          <w:szCs w:val="16"/>
          <w:lang w:eastAsia="en-ZA"/>
        </w:rPr>
        <w:instrText xml:space="preserve"> INCLUDEPICTURE  "cid:image003.png@01D128E0.21B01BF0" \* MERGEFORMATINET </w:instrText>
      </w:r>
      <w:r w:rsidRPr="00B86572">
        <w:rPr>
          <w:noProof/>
          <w:color w:val="1F497D"/>
          <w:sz w:val="16"/>
          <w:szCs w:val="16"/>
          <w:lang w:eastAsia="en-ZA"/>
        </w:rPr>
        <w:fldChar w:fldCharType="separate"/>
      </w:r>
      <w:r w:rsidRPr="00B86572">
        <w:rPr>
          <w:noProof/>
          <w:color w:val="1F497D"/>
          <w:sz w:val="16"/>
          <w:szCs w:val="16"/>
          <w:lang w:eastAsia="en-ZA"/>
        </w:rPr>
        <w:fldChar w:fldCharType="begin"/>
      </w:r>
      <w:r w:rsidRPr="00B86572">
        <w:rPr>
          <w:noProof/>
          <w:color w:val="1F497D"/>
          <w:sz w:val="16"/>
          <w:szCs w:val="16"/>
          <w:lang w:eastAsia="en-ZA"/>
        </w:rPr>
        <w:instrText xml:space="preserve"> INCLUDEPICTURE  "cid:image003.png@01D128E0.21B01BF0" \* MERGEFORMATINET </w:instrText>
      </w:r>
      <w:r w:rsidRPr="00B86572">
        <w:rPr>
          <w:noProof/>
          <w:color w:val="1F497D"/>
          <w:sz w:val="16"/>
          <w:szCs w:val="16"/>
          <w:lang w:eastAsia="en-ZA"/>
        </w:rPr>
        <w:fldChar w:fldCharType="separate"/>
      </w:r>
      <w:r w:rsidRPr="00B86572">
        <w:rPr>
          <w:noProof/>
          <w:color w:val="1F497D"/>
          <w:sz w:val="16"/>
          <w:szCs w:val="16"/>
          <w:lang w:eastAsia="en-ZA"/>
        </w:rPr>
        <w:fldChar w:fldCharType="begin"/>
      </w:r>
      <w:r w:rsidRPr="00B86572">
        <w:rPr>
          <w:noProof/>
          <w:color w:val="1F497D"/>
          <w:sz w:val="16"/>
          <w:szCs w:val="16"/>
          <w:lang w:eastAsia="en-ZA"/>
        </w:rPr>
        <w:instrText xml:space="preserve"> INCLUDEPICTURE  "cid:image003.png@01D128E0.21B01BF0" \* MERGEFORMATINET </w:instrText>
      </w:r>
      <w:r w:rsidRPr="00B86572">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sidR="007F74E8">
        <w:rPr>
          <w:noProof/>
          <w:color w:val="1F497D"/>
          <w:sz w:val="16"/>
          <w:szCs w:val="16"/>
          <w:lang w:eastAsia="en-ZA"/>
        </w:rPr>
        <w:fldChar w:fldCharType="begin"/>
      </w:r>
      <w:r w:rsidR="007F74E8">
        <w:rPr>
          <w:noProof/>
          <w:color w:val="1F497D"/>
          <w:sz w:val="16"/>
          <w:szCs w:val="16"/>
          <w:lang w:eastAsia="en-ZA"/>
        </w:rPr>
        <w:instrText xml:space="preserve"> INCLUDEPICTURE  "cid:image003.png@01D128E0.21B01BF0" \* MERGEFORMATINET </w:instrText>
      </w:r>
      <w:r w:rsidR="007F74E8">
        <w:rPr>
          <w:noProof/>
          <w:color w:val="1F497D"/>
          <w:sz w:val="16"/>
          <w:szCs w:val="16"/>
          <w:lang w:eastAsia="en-ZA"/>
        </w:rPr>
        <w:fldChar w:fldCharType="separate"/>
      </w:r>
      <w:r w:rsidR="00262086">
        <w:rPr>
          <w:noProof/>
          <w:color w:val="1F497D"/>
          <w:sz w:val="16"/>
          <w:szCs w:val="16"/>
          <w:lang w:eastAsia="en-ZA"/>
        </w:rPr>
        <w:fldChar w:fldCharType="begin"/>
      </w:r>
      <w:r w:rsidR="00262086">
        <w:rPr>
          <w:noProof/>
          <w:color w:val="1F497D"/>
          <w:sz w:val="16"/>
          <w:szCs w:val="16"/>
          <w:lang w:eastAsia="en-ZA"/>
        </w:rPr>
        <w:instrText xml:space="preserve"> INCLUDEPICTURE  "cid:image003.png@01D128E0.21B01BF0" \* MERGEFORMATINET </w:instrText>
      </w:r>
      <w:r w:rsidR="00262086">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sidR="00CB298F">
        <w:rPr>
          <w:noProof/>
          <w:color w:val="1F497D"/>
          <w:sz w:val="16"/>
          <w:szCs w:val="16"/>
          <w:lang w:eastAsia="en-ZA"/>
        </w:rPr>
        <w:fldChar w:fldCharType="begin"/>
      </w:r>
      <w:r w:rsidR="00CB298F">
        <w:rPr>
          <w:noProof/>
          <w:color w:val="1F497D"/>
          <w:sz w:val="16"/>
          <w:szCs w:val="16"/>
          <w:lang w:eastAsia="en-ZA"/>
        </w:rPr>
        <w:instrText xml:space="preserve"> INCLUDEPICTURE  "cid:image003.png@01D128E0.21B01BF0" \* MERGEFORMATINET </w:instrText>
      </w:r>
      <w:r w:rsidR="00CB298F">
        <w:rPr>
          <w:noProof/>
          <w:color w:val="1F497D"/>
          <w:sz w:val="16"/>
          <w:szCs w:val="16"/>
          <w:lang w:eastAsia="en-ZA"/>
        </w:rPr>
        <w:fldChar w:fldCharType="separate"/>
      </w:r>
      <w:r w:rsidR="00483F16">
        <w:rPr>
          <w:noProof/>
          <w:color w:val="1F497D"/>
          <w:sz w:val="16"/>
          <w:szCs w:val="16"/>
          <w:lang w:eastAsia="en-ZA"/>
        </w:rPr>
        <w:fldChar w:fldCharType="begin"/>
      </w:r>
      <w:r w:rsidR="00483F16">
        <w:rPr>
          <w:noProof/>
          <w:color w:val="1F497D"/>
          <w:sz w:val="16"/>
          <w:szCs w:val="16"/>
          <w:lang w:eastAsia="en-ZA"/>
        </w:rPr>
        <w:instrText xml:space="preserve"> </w:instrText>
      </w:r>
      <w:r w:rsidR="00483F16">
        <w:rPr>
          <w:noProof/>
          <w:color w:val="1F497D"/>
          <w:sz w:val="16"/>
          <w:szCs w:val="16"/>
          <w:lang w:eastAsia="en-ZA"/>
        </w:rPr>
        <w:instrText>IN</w:instrText>
      </w:r>
      <w:r w:rsidR="00483F16">
        <w:rPr>
          <w:noProof/>
          <w:color w:val="1F497D"/>
          <w:sz w:val="16"/>
          <w:szCs w:val="16"/>
          <w:lang w:eastAsia="en-ZA"/>
        </w:rPr>
        <w:instrText>CLUDEPICTURE  "cid:image003.png@01D128E0.21B01BF0" \* MERGEFORMATINET</w:instrText>
      </w:r>
      <w:r w:rsidR="00483F16">
        <w:rPr>
          <w:noProof/>
          <w:color w:val="1F497D"/>
          <w:sz w:val="16"/>
          <w:szCs w:val="16"/>
          <w:lang w:eastAsia="en-ZA"/>
        </w:rPr>
        <w:instrText xml:space="preserve"> </w:instrText>
      </w:r>
      <w:r w:rsidR="00483F16">
        <w:rPr>
          <w:noProof/>
          <w:color w:val="1F497D"/>
          <w:sz w:val="16"/>
          <w:szCs w:val="16"/>
          <w:lang w:eastAsia="en-ZA"/>
        </w:rPr>
        <w:fldChar w:fldCharType="separate"/>
      </w:r>
      <w:r w:rsidR="00483F16">
        <w:rPr>
          <w:noProof/>
          <w:color w:val="1F497D"/>
          <w:sz w:val="16"/>
          <w:szCs w:val="16"/>
          <w:lang w:eastAsia="en-ZA"/>
        </w:rPr>
        <w:pict w14:anchorId="03241F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pt;height:108pt;visibility:visible;mso-width-percent:0;mso-height-percent:0;mso-width-percent:0;mso-height-percent:0">
            <v:imagedata r:id="rId8" r:href="rId9"/>
          </v:shape>
        </w:pict>
      </w:r>
      <w:r w:rsidR="00483F16">
        <w:rPr>
          <w:noProof/>
          <w:color w:val="1F497D"/>
          <w:sz w:val="16"/>
          <w:szCs w:val="16"/>
          <w:lang w:eastAsia="en-ZA"/>
        </w:rPr>
        <w:fldChar w:fldCharType="end"/>
      </w:r>
      <w:r w:rsidR="00CB298F">
        <w:rPr>
          <w:noProof/>
          <w:color w:val="1F497D"/>
          <w:sz w:val="16"/>
          <w:szCs w:val="16"/>
          <w:lang w:eastAsia="en-ZA"/>
        </w:rPr>
        <w:fldChar w:fldCharType="end"/>
      </w:r>
      <w:r>
        <w:rPr>
          <w:noProof/>
          <w:color w:val="1F497D"/>
          <w:sz w:val="16"/>
          <w:szCs w:val="16"/>
          <w:lang w:eastAsia="en-ZA"/>
        </w:rPr>
        <w:fldChar w:fldCharType="end"/>
      </w:r>
      <w:r w:rsidR="00262086">
        <w:rPr>
          <w:noProof/>
          <w:color w:val="1F497D"/>
          <w:sz w:val="16"/>
          <w:szCs w:val="16"/>
          <w:lang w:eastAsia="en-ZA"/>
        </w:rPr>
        <w:fldChar w:fldCharType="end"/>
      </w:r>
      <w:r w:rsidR="007F74E8">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sidRPr="00B86572">
        <w:rPr>
          <w:noProof/>
          <w:color w:val="1F497D"/>
          <w:sz w:val="16"/>
          <w:szCs w:val="16"/>
          <w:lang w:eastAsia="en-ZA"/>
        </w:rPr>
        <w:fldChar w:fldCharType="end"/>
      </w:r>
      <w:r w:rsidRPr="00B86572">
        <w:rPr>
          <w:noProof/>
          <w:color w:val="1F497D"/>
          <w:sz w:val="16"/>
          <w:szCs w:val="16"/>
          <w:lang w:eastAsia="en-ZA"/>
        </w:rPr>
        <w:fldChar w:fldCharType="end"/>
      </w:r>
      <w:r w:rsidRPr="00B86572">
        <w:rPr>
          <w:noProof/>
          <w:color w:val="1F497D"/>
          <w:sz w:val="16"/>
          <w:szCs w:val="16"/>
          <w:lang w:eastAsia="en-ZA"/>
        </w:rPr>
        <w:fldChar w:fldCharType="end"/>
      </w:r>
      <w:r w:rsidRPr="00B86572">
        <w:rPr>
          <w:noProof/>
          <w:color w:val="1F497D"/>
          <w:sz w:val="16"/>
          <w:szCs w:val="16"/>
          <w:lang w:eastAsia="en-ZA"/>
        </w:rPr>
        <w:fldChar w:fldCharType="end"/>
      </w:r>
      <w:r w:rsidRPr="00B86572">
        <w:rPr>
          <w:noProof/>
          <w:color w:val="1F497D"/>
          <w:sz w:val="16"/>
          <w:szCs w:val="16"/>
          <w:lang w:eastAsia="en-ZA"/>
        </w:rPr>
        <w:fldChar w:fldCharType="end"/>
      </w:r>
      <w:r w:rsidRPr="00B86572">
        <w:rPr>
          <w:noProof/>
          <w:color w:val="1F497D"/>
          <w:sz w:val="16"/>
          <w:szCs w:val="16"/>
          <w:lang w:eastAsia="en-ZA"/>
        </w:rPr>
        <w:fldChar w:fldCharType="end"/>
      </w:r>
      <w:r w:rsidRPr="00B86572">
        <w:rPr>
          <w:noProof/>
          <w:color w:val="1F497D"/>
          <w:sz w:val="16"/>
          <w:szCs w:val="16"/>
          <w:lang w:eastAsia="en-ZA"/>
        </w:rPr>
        <w:fldChar w:fldCharType="end"/>
      </w:r>
    </w:p>
    <w:p w14:paraId="171BF898" w14:textId="77777777" w:rsidR="002F45F6" w:rsidRPr="00B86572" w:rsidRDefault="002F45F6" w:rsidP="00296001">
      <w:pPr>
        <w:spacing w:after="80" w:line="240" w:lineRule="auto"/>
        <w:jc w:val="center"/>
        <w:rPr>
          <w:rFonts w:cs="Arial"/>
          <w:b/>
        </w:rPr>
      </w:pPr>
      <w:r w:rsidRPr="00B86572">
        <w:rPr>
          <w:rFonts w:cs="Arial"/>
          <w:b/>
        </w:rPr>
        <w:t>IN THE HIGH COURT OF SOUTH AFRICA</w:t>
      </w:r>
    </w:p>
    <w:p w14:paraId="271CAFC5" w14:textId="77777777" w:rsidR="002F45F6" w:rsidRPr="00B86572" w:rsidRDefault="002F45F6" w:rsidP="00296001">
      <w:pPr>
        <w:spacing w:after="80" w:line="240" w:lineRule="auto"/>
        <w:jc w:val="center"/>
        <w:rPr>
          <w:rFonts w:cs="Arial"/>
          <w:b/>
        </w:rPr>
      </w:pPr>
      <w:r w:rsidRPr="00B86572">
        <w:rPr>
          <w:rFonts w:cs="Arial"/>
          <w:b/>
        </w:rPr>
        <w:t>(WESTERN CAPE DIVISION, CAPE TOWN)</w:t>
      </w:r>
    </w:p>
    <w:p w14:paraId="128FD629" w14:textId="451D1136" w:rsidR="002F45F6" w:rsidRDefault="002F45F6" w:rsidP="002F45F6">
      <w:pPr>
        <w:spacing w:after="80" w:line="360" w:lineRule="auto"/>
        <w:jc w:val="right"/>
        <w:rPr>
          <w:rFonts w:cs="Arial"/>
        </w:rPr>
      </w:pPr>
      <w:r w:rsidRPr="00B86572">
        <w:rPr>
          <w:rFonts w:cs="Arial"/>
        </w:rPr>
        <w:tab/>
      </w:r>
      <w:r w:rsidRPr="00B86572">
        <w:rPr>
          <w:rFonts w:cs="Arial"/>
        </w:rPr>
        <w:tab/>
      </w:r>
      <w:r w:rsidRPr="00B86572">
        <w:rPr>
          <w:rFonts w:cs="Arial"/>
        </w:rPr>
        <w:tab/>
      </w:r>
      <w:r w:rsidRPr="00B86572">
        <w:rPr>
          <w:rFonts w:cs="Arial"/>
        </w:rPr>
        <w:tab/>
      </w:r>
      <w:r w:rsidRPr="00B86572">
        <w:rPr>
          <w:rFonts w:cs="Arial"/>
        </w:rPr>
        <w:tab/>
      </w:r>
    </w:p>
    <w:p w14:paraId="3317A236" w14:textId="24D05BBD" w:rsidR="002F45F6" w:rsidRPr="00B86572" w:rsidRDefault="002F45F6" w:rsidP="002F45F6">
      <w:pPr>
        <w:spacing w:after="80" w:line="360" w:lineRule="auto"/>
        <w:jc w:val="right"/>
        <w:rPr>
          <w:rFonts w:cs="Arial"/>
          <w:bCs/>
          <w:lang w:val="en-GB"/>
        </w:rPr>
      </w:pPr>
      <w:r w:rsidRPr="00B86572">
        <w:rPr>
          <w:rFonts w:cs="Arial"/>
        </w:rPr>
        <w:t xml:space="preserve">CASE NO: </w:t>
      </w:r>
      <w:r>
        <w:rPr>
          <w:rFonts w:cs="Arial"/>
        </w:rPr>
        <w:t>2</w:t>
      </w:r>
      <w:r w:rsidR="007F09AA">
        <w:rPr>
          <w:rFonts w:cs="Arial"/>
        </w:rPr>
        <w:t>1101</w:t>
      </w:r>
      <w:r>
        <w:rPr>
          <w:rFonts w:cs="Arial"/>
        </w:rPr>
        <w:t>/20</w:t>
      </w:r>
      <w:r w:rsidR="007F09AA">
        <w:rPr>
          <w:rFonts w:cs="Arial"/>
        </w:rPr>
        <w:t>22</w:t>
      </w:r>
    </w:p>
    <w:p w14:paraId="2CB6B7C0" w14:textId="77777777" w:rsidR="002F45F6" w:rsidRPr="00B86572" w:rsidRDefault="002F45F6" w:rsidP="002F45F6">
      <w:pPr>
        <w:keepNext/>
        <w:keepLines/>
        <w:spacing w:after="80" w:line="240" w:lineRule="auto"/>
        <w:outlineLvl w:val="0"/>
        <w:rPr>
          <w:rFonts w:eastAsiaTheme="majorEastAsia" w:cstheme="majorBidi"/>
          <w:szCs w:val="32"/>
        </w:rPr>
      </w:pPr>
      <w:r w:rsidRPr="00B86572">
        <w:rPr>
          <w:rFonts w:eastAsiaTheme="majorEastAsia" w:cstheme="majorBidi"/>
          <w:szCs w:val="32"/>
        </w:rPr>
        <w:t>In the matter between:</w:t>
      </w:r>
    </w:p>
    <w:p w14:paraId="78B41B2F" w14:textId="77777777" w:rsidR="002F45F6" w:rsidRPr="00B86572" w:rsidRDefault="002F45F6" w:rsidP="002F45F6">
      <w:pPr>
        <w:spacing w:after="80" w:line="240" w:lineRule="auto"/>
      </w:pPr>
    </w:p>
    <w:tbl>
      <w:tblPr>
        <w:tblW w:w="0" w:type="auto"/>
        <w:tblLook w:val="01E0" w:firstRow="1" w:lastRow="1" w:firstColumn="1" w:lastColumn="1" w:noHBand="0" w:noVBand="0"/>
      </w:tblPr>
      <w:tblGrid>
        <w:gridCol w:w="6178"/>
        <w:gridCol w:w="2848"/>
      </w:tblGrid>
      <w:tr w:rsidR="002F45F6" w:rsidRPr="00B86572" w14:paraId="2AC6772E" w14:textId="77777777" w:rsidTr="00B260C7">
        <w:tc>
          <w:tcPr>
            <w:tcW w:w="6178" w:type="dxa"/>
            <w:shd w:val="clear" w:color="auto" w:fill="auto"/>
          </w:tcPr>
          <w:p w14:paraId="3083E37E" w14:textId="3DC79A47" w:rsidR="002F45F6" w:rsidRPr="00B86572" w:rsidRDefault="007F09AA" w:rsidP="00B260C7">
            <w:pPr>
              <w:keepNext/>
              <w:keepLines/>
              <w:spacing w:after="0" w:line="240" w:lineRule="auto"/>
              <w:outlineLvl w:val="0"/>
              <w:rPr>
                <w:rFonts w:eastAsiaTheme="majorEastAsia" w:cstheme="majorBidi"/>
                <w:b/>
                <w:caps/>
                <w:szCs w:val="32"/>
              </w:rPr>
            </w:pPr>
            <w:r>
              <w:rPr>
                <w:rFonts w:eastAsiaTheme="majorEastAsia" w:cstheme="majorBidi"/>
                <w:b/>
                <w:caps/>
                <w:szCs w:val="32"/>
              </w:rPr>
              <w:t>CITY OF CAPE TOWN</w:t>
            </w:r>
          </w:p>
          <w:p w14:paraId="4EBB37B5" w14:textId="77777777" w:rsidR="002F45F6" w:rsidRDefault="002F45F6" w:rsidP="00B260C7">
            <w:pPr>
              <w:keepNext/>
              <w:keepLines/>
              <w:spacing w:after="0" w:line="240" w:lineRule="auto"/>
              <w:outlineLvl w:val="0"/>
              <w:rPr>
                <w:rFonts w:eastAsiaTheme="majorEastAsia" w:cstheme="majorBidi"/>
                <w:b/>
                <w:caps/>
                <w:szCs w:val="32"/>
              </w:rPr>
            </w:pPr>
          </w:p>
          <w:p w14:paraId="7F54F9E9" w14:textId="77777777" w:rsidR="002F45F6" w:rsidRDefault="002F45F6" w:rsidP="00B260C7">
            <w:pPr>
              <w:keepNext/>
              <w:keepLines/>
              <w:spacing w:after="0" w:line="240" w:lineRule="auto"/>
              <w:outlineLvl w:val="0"/>
              <w:rPr>
                <w:rFonts w:eastAsiaTheme="majorEastAsia" w:cstheme="majorBidi"/>
                <w:b/>
                <w:caps/>
                <w:szCs w:val="32"/>
              </w:rPr>
            </w:pPr>
          </w:p>
          <w:p w14:paraId="7A0453B5" w14:textId="77777777" w:rsidR="002F45F6" w:rsidRPr="00745FCB" w:rsidRDefault="002F45F6" w:rsidP="00B260C7">
            <w:pPr>
              <w:keepNext/>
              <w:keepLines/>
              <w:spacing w:after="0" w:line="240" w:lineRule="auto"/>
              <w:outlineLvl w:val="0"/>
              <w:rPr>
                <w:rFonts w:eastAsiaTheme="majorEastAsia" w:cstheme="majorBidi"/>
                <w:bCs/>
                <w:caps/>
                <w:szCs w:val="32"/>
              </w:rPr>
            </w:pPr>
            <w:r>
              <w:rPr>
                <w:rFonts w:eastAsiaTheme="majorEastAsia" w:cstheme="majorBidi"/>
                <w:bCs/>
                <w:szCs w:val="32"/>
              </w:rPr>
              <w:t>and</w:t>
            </w:r>
          </w:p>
          <w:p w14:paraId="130C2E88" w14:textId="77777777" w:rsidR="002F45F6" w:rsidRPr="00B86572" w:rsidRDefault="002F45F6" w:rsidP="00B260C7">
            <w:pPr>
              <w:keepNext/>
              <w:keepLines/>
              <w:spacing w:after="0" w:line="240" w:lineRule="auto"/>
              <w:outlineLvl w:val="0"/>
              <w:rPr>
                <w:rFonts w:eastAsiaTheme="majorEastAsia" w:cstheme="majorBidi"/>
                <w:b/>
                <w:caps/>
                <w:szCs w:val="32"/>
              </w:rPr>
            </w:pPr>
          </w:p>
          <w:p w14:paraId="5561E0E9" w14:textId="77777777" w:rsidR="002F45F6" w:rsidRDefault="002F45F6" w:rsidP="00B260C7">
            <w:pPr>
              <w:spacing w:after="0" w:line="240" w:lineRule="auto"/>
              <w:jc w:val="left"/>
              <w:rPr>
                <w:rFonts w:eastAsia="Times New Roman" w:cs="Arial"/>
                <w:b/>
                <w:szCs w:val="24"/>
              </w:rPr>
            </w:pPr>
          </w:p>
          <w:p w14:paraId="26FE2BC1" w14:textId="28847034" w:rsidR="002F45F6" w:rsidRDefault="007F09AA" w:rsidP="000B60BE">
            <w:pPr>
              <w:spacing w:after="0" w:line="240" w:lineRule="auto"/>
              <w:rPr>
                <w:rFonts w:eastAsia="Times New Roman" w:cs="Arial"/>
                <w:b/>
                <w:szCs w:val="24"/>
              </w:rPr>
            </w:pPr>
            <w:r>
              <w:rPr>
                <w:rFonts w:eastAsia="Times New Roman" w:cs="Arial"/>
                <w:b/>
                <w:szCs w:val="24"/>
              </w:rPr>
              <w:t>THOSE PERSONS IDENTIFIED IN ANNEXURE “A</w:t>
            </w:r>
            <w:r>
              <w:rPr>
                <w:rFonts w:eastAsia="Times New Roman" w:cs="Arial"/>
                <w:b/>
                <w:szCs w:val="24"/>
              </w:rPr>
              <w:br/>
              <w:t xml:space="preserve">TO THE NOTICE OF MOTION WHO ARE UNLAWFULLY OCCUPYING THE ERVEN WITHIN THE </w:t>
            </w:r>
            <w:r w:rsidR="000B60BE">
              <w:rPr>
                <w:rFonts w:eastAsia="Times New Roman" w:cs="Arial"/>
                <w:b/>
                <w:szCs w:val="24"/>
              </w:rPr>
              <w:t>CITY OF CAPE TOWN CENTRAL BUSINESS DISTRICT AND SURROUND AS MORE FULLY DESCRIBED IN PARAGRAPH 2 OF THE NOTICE OF MOTION</w:t>
            </w:r>
          </w:p>
          <w:p w14:paraId="5D379782" w14:textId="77777777" w:rsidR="000B60BE" w:rsidRDefault="000B60BE" w:rsidP="000B60BE">
            <w:pPr>
              <w:spacing w:after="0" w:line="240" w:lineRule="auto"/>
              <w:rPr>
                <w:rFonts w:eastAsia="Times New Roman" w:cs="Arial"/>
                <w:b/>
                <w:szCs w:val="24"/>
              </w:rPr>
            </w:pPr>
          </w:p>
          <w:p w14:paraId="2A3BA36E" w14:textId="77777777" w:rsidR="000B60BE" w:rsidRPr="002D20B7" w:rsidRDefault="000B60BE" w:rsidP="000B60BE">
            <w:pPr>
              <w:spacing w:after="0" w:line="240" w:lineRule="auto"/>
              <w:rPr>
                <w:rFonts w:eastAsia="Times New Roman" w:cs="Arial"/>
                <w:b/>
                <w:szCs w:val="24"/>
              </w:rPr>
            </w:pPr>
          </w:p>
          <w:p w14:paraId="1B313671" w14:textId="4B42124B" w:rsidR="000B60BE" w:rsidRDefault="000B60BE" w:rsidP="000B60BE">
            <w:pPr>
              <w:spacing w:after="0" w:line="240" w:lineRule="auto"/>
              <w:rPr>
                <w:rFonts w:eastAsia="Times New Roman" w:cs="Arial"/>
                <w:b/>
                <w:szCs w:val="24"/>
              </w:rPr>
            </w:pPr>
            <w:r>
              <w:rPr>
                <w:rFonts w:eastAsia="Times New Roman" w:cs="Arial"/>
                <w:b/>
                <w:szCs w:val="24"/>
              </w:rPr>
              <w:t xml:space="preserve">THOSE PERSONS </w:t>
            </w:r>
            <w:r w:rsidR="002C72F5">
              <w:rPr>
                <w:rFonts w:eastAsia="Times New Roman" w:cs="Arial"/>
                <w:b/>
                <w:szCs w:val="24"/>
              </w:rPr>
              <w:t>WHOSE FULL AND FURTHER PARTICULARS ARE UNKNOWN TO THE APPLICANT</w:t>
            </w:r>
            <w:r>
              <w:rPr>
                <w:rFonts w:eastAsia="Times New Roman" w:cs="Arial"/>
                <w:b/>
                <w:szCs w:val="24"/>
              </w:rPr>
              <w:t xml:space="preserve"> WHO ARE UNLAWFULLY OCCUPYING THE ERVEN WITHIN THE CITY OF CAPE TOWN CENTRAL BUSINESS DISTRICT AND SURROUND AS MORE FULLY DESCRIBED IN PARAGRAPH 2 OF THE NOTICE OF MOTION</w:t>
            </w:r>
          </w:p>
          <w:p w14:paraId="7FE14E2C" w14:textId="77777777" w:rsidR="002F45F6" w:rsidRPr="00B86572" w:rsidRDefault="002F45F6" w:rsidP="00B260C7">
            <w:pPr>
              <w:keepNext/>
              <w:keepLines/>
              <w:spacing w:after="80" w:line="240" w:lineRule="auto"/>
              <w:outlineLvl w:val="0"/>
              <w:rPr>
                <w:rFonts w:eastAsiaTheme="majorEastAsia" w:cstheme="majorBidi"/>
                <w:b/>
                <w:caps/>
                <w:szCs w:val="32"/>
              </w:rPr>
            </w:pPr>
          </w:p>
        </w:tc>
        <w:tc>
          <w:tcPr>
            <w:tcW w:w="2848" w:type="dxa"/>
            <w:shd w:val="clear" w:color="auto" w:fill="auto"/>
          </w:tcPr>
          <w:p w14:paraId="0180DDA2" w14:textId="6785A222" w:rsidR="002F45F6" w:rsidRPr="00B86572" w:rsidRDefault="007F09AA" w:rsidP="00B260C7">
            <w:pPr>
              <w:keepNext/>
              <w:keepLines/>
              <w:spacing w:after="0" w:line="240" w:lineRule="auto"/>
              <w:jc w:val="right"/>
              <w:outlineLvl w:val="0"/>
              <w:rPr>
                <w:rFonts w:eastAsiaTheme="majorEastAsia" w:cstheme="majorBidi"/>
                <w:b/>
                <w:caps/>
                <w:szCs w:val="32"/>
              </w:rPr>
            </w:pPr>
            <w:r>
              <w:rPr>
                <w:rFonts w:eastAsiaTheme="majorEastAsia" w:cstheme="majorBidi"/>
                <w:b/>
                <w:szCs w:val="32"/>
              </w:rPr>
              <w:t>Applicant</w:t>
            </w:r>
          </w:p>
          <w:p w14:paraId="47C335D7" w14:textId="77777777" w:rsidR="002F45F6" w:rsidRDefault="002F45F6" w:rsidP="00B260C7">
            <w:pPr>
              <w:keepNext/>
              <w:keepLines/>
              <w:spacing w:after="0" w:line="240" w:lineRule="auto"/>
              <w:jc w:val="right"/>
              <w:outlineLvl w:val="0"/>
              <w:rPr>
                <w:rFonts w:eastAsiaTheme="majorEastAsia" w:cstheme="majorBidi"/>
                <w:b/>
                <w:caps/>
                <w:szCs w:val="32"/>
              </w:rPr>
            </w:pPr>
          </w:p>
          <w:p w14:paraId="26F55678" w14:textId="77777777" w:rsidR="002F45F6" w:rsidRDefault="002F45F6" w:rsidP="00B260C7">
            <w:pPr>
              <w:keepNext/>
              <w:keepLines/>
              <w:spacing w:after="0" w:line="240" w:lineRule="auto"/>
              <w:jc w:val="right"/>
              <w:outlineLvl w:val="0"/>
              <w:rPr>
                <w:rFonts w:eastAsiaTheme="majorEastAsia" w:cstheme="majorBidi"/>
                <w:b/>
                <w:szCs w:val="32"/>
              </w:rPr>
            </w:pPr>
          </w:p>
          <w:p w14:paraId="2D0304F9" w14:textId="77777777" w:rsidR="002F45F6" w:rsidRDefault="002F45F6" w:rsidP="00B260C7">
            <w:pPr>
              <w:spacing w:after="0" w:line="240" w:lineRule="auto"/>
              <w:jc w:val="right"/>
              <w:rPr>
                <w:rFonts w:eastAsia="Times New Roman" w:cs="Arial"/>
                <w:b/>
                <w:szCs w:val="24"/>
              </w:rPr>
            </w:pPr>
          </w:p>
          <w:p w14:paraId="67E293F4" w14:textId="77777777" w:rsidR="002F45F6" w:rsidRDefault="002F45F6" w:rsidP="00B260C7">
            <w:pPr>
              <w:spacing w:after="0" w:line="240" w:lineRule="auto"/>
              <w:jc w:val="right"/>
              <w:rPr>
                <w:rFonts w:eastAsia="Times New Roman" w:cs="Arial"/>
                <w:b/>
                <w:szCs w:val="24"/>
              </w:rPr>
            </w:pPr>
          </w:p>
          <w:p w14:paraId="7A52ED20" w14:textId="77777777" w:rsidR="002F45F6" w:rsidRDefault="002F45F6" w:rsidP="00B260C7">
            <w:pPr>
              <w:spacing w:after="0" w:line="240" w:lineRule="auto"/>
              <w:jc w:val="right"/>
              <w:rPr>
                <w:rFonts w:eastAsia="Times New Roman" w:cs="Arial"/>
                <w:b/>
                <w:szCs w:val="24"/>
              </w:rPr>
            </w:pPr>
          </w:p>
          <w:p w14:paraId="54A9408A" w14:textId="77777777" w:rsidR="002F45F6" w:rsidRDefault="000B60BE" w:rsidP="00B260C7">
            <w:pPr>
              <w:spacing w:after="0" w:line="240" w:lineRule="auto"/>
              <w:jc w:val="right"/>
              <w:rPr>
                <w:rFonts w:eastAsia="Times New Roman" w:cs="Arial"/>
                <w:b/>
                <w:szCs w:val="24"/>
              </w:rPr>
            </w:pPr>
            <w:r>
              <w:rPr>
                <w:rFonts w:eastAsia="Times New Roman" w:cs="Arial"/>
                <w:b/>
                <w:szCs w:val="24"/>
              </w:rPr>
              <w:t>First Responden</w:t>
            </w:r>
            <w:r w:rsidR="002F45F6">
              <w:rPr>
                <w:rFonts w:eastAsia="Times New Roman" w:cs="Arial"/>
                <w:b/>
                <w:szCs w:val="24"/>
              </w:rPr>
              <w:t>t</w:t>
            </w:r>
          </w:p>
          <w:p w14:paraId="1F36D9FE" w14:textId="77777777" w:rsidR="002C72F5" w:rsidRDefault="002C72F5" w:rsidP="00B260C7">
            <w:pPr>
              <w:spacing w:after="0" w:line="240" w:lineRule="auto"/>
              <w:jc w:val="right"/>
              <w:rPr>
                <w:rFonts w:eastAsia="Times New Roman" w:cs="Arial"/>
                <w:b/>
                <w:szCs w:val="24"/>
              </w:rPr>
            </w:pPr>
          </w:p>
          <w:p w14:paraId="6D5BC936" w14:textId="77777777" w:rsidR="002C72F5" w:rsidRDefault="002C72F5" w:rsidP="00B260C7">
            <w:pPr>
              <w:spacing w:after="0" w:line="240" w:lineRule="auto"/>
              <w:jc w:val="right"/>
              <w:rPr>
                <w:rFonts w:eastAsia="Times New Roman" w:cs="Arial"/>
                <w:b/>
                <w:szCs w:val="24"/>
              </w:rPr>
            </w:pPr>
          </w:p>
          <w:p w14:paraId="29BE4129" w14:textId="77777777" w:rsidR="002C72F5" w:rsidRDefault="002C72F5" w:rsidP="00B260C7">
            <w:pPr>
              <w:spacing w:after="0" w:line="240" w:lineRule="auto"/>
              <w:jc w:val="right"/>
              <w:rPr>
                <w:rFonts w:eastAsia="Times New Roman" w:cs="Arial"/>
                <w:b/>
                <w:szCs w:val="24"/>
              </w:rPr>
            </w:pPr>
          </w:p>
          <w:p w14:paraId="7ABD3406" w14:textId="77777777" w:rsidR="002C72F5" w:rsidRDefault="002C72F5" w:rsidP="00B260C7">
            <w:pPr>
              <w:spacing w:after="0" w:line="240" w:lineRule="auto"/>
              <w:jc w:val="right"/>
              <w:rPr>
                <w:rFonts w:eastAsia="Times New Roman" w:cs="Arial"/>
                <w:b/>
                <w:szCs w:val="24"/>
              </w:rPr>
            </w:pPr>
          </w:p>
          <w:p w14:paraId="55F6A00A" w14:textId="77777777" w:rsidR="002C72F5" w:rsidRDefault="002C72F5" w:rsidP="00B260C7">
            <w:pPr>
              <w:spacing w:after="0" w:line="240" w:lineRule="auto"/>
              <w:jc w:val="right"/>
              <w:rPr>
                <w:rFonts w:eastAsia="Times New Roman" w:cs="Arial"/>
                <w:b/>
                <w:szCs w:val="24"/>
              </w:rPr>
            </w:pPr>
          </w:p>
          <w:p w14:paraId="03FE40BE" w14:textId="77777777" w:rsidR="002C72F5" w:rsidRDefault="002C72F5" w:rsidP="00B260C7">
            <w:pPr>
              <w:spacing w:after="0" w:line="240" w:lineRule="auto"/>
              <w:jc w:val="right"/>
              <w:rPr>
                <w:rFonts w:eastAsia="Times New Roman" w:cs="Arial"/>
                <w:b/>
                <w:szCs w:val="24"/>
              </w:rPr>
            </w:pPr>
          </w:p>
          <w:p w14:paraId="30011F34" w14:textId="77777777" w:rsidR="002C72F5" w:rsidRDefault="002C72F5" w:rsidP="00B260C7">
            <w:pPr>
              <w:spacing w:after="0" w:line="240" w:lineRule="auto"/>
              <w:jc w:val="right"/>
              <w:rPr>
                <w:rFonts w:eastAsia="Times New Roman" w:cs="Arial"/>
                <w:b/>
                <w:szCs w:val="24"/>
              </w:rPr>
            </w:pPr>
          </w:p>
          <w:p w14:paraId="27578786" w14:textId="77777777" w:rsidR="002C72F5" w:rsidRDefault="002C72F5" w:rsidP="00B260C7">
            <w:pPr>
              <w:spacing w:after="0" w:line="240" w:lineRule="auto"/>
              <w:jc w:val="right"/>
              <w:rPr>
                <w:rFonts w:eastAsia="Times New Roman" w:cs="Arial"/>
                <w:b/>
                <w:szCs w:val="24"/>
              </w:rPr>
            </w:pPr>
          </w:p>
          <w:p w14:paraId="5A5FDDA2" w14:textId="19A26B5F" w:rsidR="002C72F5" w:rsidRPr="000F7CF9" w:rsidRDefault="002C72F5" w:rsidP="00B260C7">
            <w:pPr>
              <w:spacing w:after="0" w:line="240" w:lineRule="auto"/>
              <w:jc w:val="right"/>
              <w:rPr>
                <w:rFonts w:eastAsia="Times New Roman" w:cs="Arial"/>
                <w:b/>
                <w:szCs w:val="24"/>
              </w:rPr>
            </w:pPr>
            <w:r>
              <w:rPr>
                <w:rFonts w:eastAsia="Times New Roman" w:cs="Arial"/>
                <w:b/>
                <w:szCs w:val="24"/>
              </w:rPr>
              <w:t>Second Respondent</w:t>
            </w:r>
          </w:p>
        </w:tc>
      </w:tr>
    </w:tbl>
    <w:p w14:paraId="397595F9" w14:textId="77777777" w:rsidR="00296001" w:rsidRDefault="00296001" w:rsidP="002F45F6">
      <w:pPr>
        <w:spacing w:after="80" w:line="240" w:lineRule="auto"/>
        <w:ind w:firstLine="142"/>
        <w:rPr>
          <w:rFonts w:cs="Arial"/>
          <w:sz w:val="22"/>
        </w:rPr>
      </w:pPr>
    </w:p>
    <w:p w14:paraId="692AF88E" w14:textId="1CD88511" w:rsidR="002F45F6" w:rsidRPr="00B86572" w:rsidRDefault="002F45F6" w:rsidP="002F45F6">
      <w:pPr>
        <w:spacing w:after="80" w:line="240" w:lineRule="auto"/>
        <w:ind w:firstLine="142"/>
        <w:rPr>
          <w:rFonts w:cs="Arial"/>
          <w:sz w:val="22"/>
        </w:rPr>
      </w:pPr>
      <w:r w:rsidRPr="00B86572">
        <w:rPr>
          <w:rFonts w:cs="Arial"/>
          <w:sz w:val="22"/>
        </w:rPr>
        <w:t>Coram:</w:t>
      </w:r>
      <w:r w:rsidRPr="00B86572">
        <w:rPr>
          <w:rFonts w:cs="Arial"/>
          <w:sz w:val="22"/>
        </w:rPr>
        <w:tab/>
      </w:r>
      <w:r w:rsidRPr="00B86572">
        <w:rPr>
          <w:rFonts w:cs="Arial"/>
          <w:sz w:val="22"/>
        </w:rPr>
        <w:tab/>
      </w:r>
      <w:r w:rsidRPr="00B86572">
        <w:rPr>
          <w:rFonts w:cs="Arial"/>
          <w:sz w:val="22"/>
        </w:rPr>
        <w:tab/>
      </w:r>
      <w:r w:rsidR="002D2326">
        <w:rPr>
          <w:rFonts w:cs="Arial"/>
          <w:sz w:val="22"/>
        </w:rPr>
        <w:tab/>
      </w:r>
      <w:r w:rsidRPr="00B86572">
        <w:rPr>
          <w:rFonts w:cs="Arial"/>
          <w:sz w:val="22"/>
        </w:rPr>
        <w:t xml:space="preserve">Bishop, AJ </w:t>
      </w:r>
    </w:p>
    <w:p w14:paraId="308E3D9F" w14:textId="77777777" w:rsidR="002F45F6" w:rsidRPr="00B86572" w:rsidRDefault="002F45F6" w:rsidP="0097290B">
      <w:pPr>
        <w:widowControl w:val="0"/>
        <w:spacing w:after="80" w:line="240" w:lineRule="auto"/>
        <w:rPr>
          <w:rFonts w:cs="Arial"/>
          <w:sz w:val="22"/>
        </w:rPr>
      </w:pPr>
    </w:p>
    <w:p w14:paraId="5BDED507" w14:textId="1833EBFB" w:rsidR="002F45F6" w:rsidRDefault="002F45F6" w:rsidP="002F45F6">
      <w:pPr>
        <w:spacing w:after="80" w:line="240" w:lineRule="auto"/>
        <w:ind w:firstLine="142"/>
        <w:rPr>
          <w:rFonts w:cs="Arial"/>
          <w:sz w:val="22"/>
        </w:rPr>
      </w:pPr>
      <w:r w:rsidRPr="00B86572">
        <w:rPr>
          <w:rFonts w:cs="Arial"/>
          <w:sz w:val="22"/>
        </w:rPr>
        <w:t>Date of Hearing:</w:t>
      </w:r>
      <w:r w:rsidRPr="00B86572">
        <w:rPr>
          <w:rFonts w:cs="Arial"/>
          <w:sz w:val="22"/>
        </w:rPr>
        <w:tab/>
      </w:r>
      <w:r w:rsidRPr="00B86572">
        <w:rPr>
          <w:rFonts w:cs="Arial"/>
          <w:sz w:val="22"/>
        </w:rPr>
        <w:tab/>
      </w:r>
      <w:r w:rsidR="002D2326">
        <w:rPr>
          <w:rFonts w:cs="Arial"/>
          <w:sz w:val="22"/>
        </w:rPr>
        <w:tab/>
      </w:r>
      <w:r w:rsidR="000176F6">
        <w:rPr>
          <w:rFonts w:cs="Arial"/>
          <w:sz w:val="22"/>
        </w:rPr>
        <w:t>9 and 10 October</w:t>
      </w:r>
      <w:r w:rsidRPr="00B86572">
        <w:rPr>
          <w:rFonts w:cs="Arial"/>
          <w:sz w:val="22"/>
        </w:rPr>
        <w:t xml:space="preserve"> 2023</w:t>
      </w:r>
    </w:p>
    <w:p w14:paraId="2133DC80" w14:textId="77777777" w:rsidR="002D2326" w:rsidRDefault="002D2326" w:rsidP="002F45F6">
      <w:pPr>
        <w:spacing w:after="80" w:line="240" w:lineRule="auto"/>
        <w:ind w:firstLine="142"/>
        <w:rPr>
          <w:rFonts w:cs="Arial"/>
          <w:sz w:val="22"/>
        </w:rPr>
      </w:pPr>
    </w:p>
    <w:p w14:paraId="3275C8CB" w14:textId="187325F5" w:rsidR="002D2326" w:rsidRPr="00B86572" w:rsidRDefault="002D2326" w:rsidP="002F45F6">
      <w:pPr>
        <w:spacing w:after="80" w:line="240" w:lineRule="auto"/>
        <w:ind w:firstLine="142"/>
        <w:rPr>
          <w:rFonts w:cs="Arial"/>
          <w:sz w:val="22"/>
        </w:rPr>
      </w:pPr>
      <w:r>
        <w:rPr>
          <w:rFonts w:cs="Arial"/>
          <w:sz w:val="22"/>
        </w:rPr>
        <w:t>Date of Further Submissions:</w:t>
      </w:r>
      <w:r>
        <w:rPr>
          <w:rFonts w:cs="Arial"/>
          <w:sz w:val="22"/>
        </w:rPr>
        <w:tab/>
      </w:r>
      <w:r w:rsidR="0097290B">
        <w:rPr>
          <w:rFonts w:cs="Arial"/>
          <w:sz w:val="22"/>
        </w:rPr>
        <w:t>10 and 28 November and 8 December 2023</w:t>
      </w:r>
    </w:p>
    <w:p w14:paraId="0E9F4656" w14:textId="77777777" w:rsidR="002F45F6" w:rsidRDefault="002F45F6" w:rsidP="002F45F6">
      <w:pPr>
        <w:tabs>
          <w:tab w:val="left" w:pos="0"/>
        </w:tabs>
        <w:spacing w:after="80" w:line="240" w:lineRule="auto"/>
        <w:rPr>
          <w:rFonts w:cs="Arial"/>
          <w:sz w:val="22"/>
        </w:rPr>
      </w:pPr>
    </w:p>
    <w:p w14:paraId="0F5A0E16" w14:textId="1AF0B62E" w:rsidR="002F45F6" w:rsidRPr="00B86572" w:rsidRDefault="002F45F6" w:rsidP="002F45F6">
      <w:pPr>
        <w:tabs>
          <w:tab w:val="left" w:pos="0"/>
        </w:tabs>
        <w:spacing w:after="80" w:line="240" w:lineRule="auto"/>
        <w:ind w:firstLine="142"/>
        <w:rPr>
          <w:rFonts w:cs="Arial"/>
          <w:sz w:val="22"/>
        </w:rPr>
      </w:pPr>
      <w:r>
        <w:rPr>
          <w:rFonts w:cs="Arial"/>
          <w:sz w:val="22"/>
        </w:rPr>
        <w:t>Date of Judgment:</w:t>
      </w:r>
      <w:r>
        <w:rPr>
          <w:rFonts w:cs="Arial"/>
          <w:sz w:val="22"/>
        </w:rPr>
        <w:tab/>
      </w:r>
      <w:r>
        <w:rPr>
          <w:rFonts w:cs="Arial"/>
          <w:sz w:val="22"/>
        </w:rPr>
        <w:tab/>
      </w:r>
      <w:r w:rsidR="002D2326">
        <w:rPr>
          <w:rFonts w:cs="Arial"/>
          <w:sz w:val="22"/>
        </w:rPr>
        <w:tab/>
      </w:r>
      <w:r w:rsidR="00176570">
        <w:rPr>
          <w:rFonts w:cs="Arial"/>
          <w:sz w:val="22"/>
        </w:rPr>
        <w:t>1</w:t>
      </w:r>
      <w:r w:rsidR="00705628">
        <w:rPr>
          <w:rFonts w:cs="Arial"/>
          <w:sz w:val="22"/>
        </w:rPr>
        <w:t>8</w:t>
      </w:r>
      <w:r w:rsidR="00176570">
        <w:rPr>
          <w:rFonts w:cs="Arial"/>
          <w:sz w:val="22"/>
        </w:rPr>
        <w:t xml:space="preserve"> June 2024</w:t>
      </w:r>
    </w:p>
    <w:p w14:paraId="168A3C8B" w14:textId="77777777" w:rsidR="002F45F6" w:rsidRPr="00B86572" w:rsidRDefault="002F45F6" w:rsidP="002F45F6">
      <w:pPr>
        <w:pBdr>
          <w:top w:val="single" w:sz="4" w:space="20" w:color="auto"/>
          <w:bottom w:val="single" w:sz="4" w:space="16" w:color="auto"/>
        </w:pBdr>
        <w:spacing w:after="80" w:line="360" w:lineRule="auto"/>
        <w:jc w:val="center"/>
        <w:rPr>
          <w:rFonts w:cs="Arial"/>
          <w:b/>
        </w:rPr>
      </w:pPr>
      <w:r w:rsidRPr="00B86572">
        <w:rPr>
          <w:rFonts w:cs="Arial"/>
          <w:b/>
        </w:rPr>
        <w:lastRenderedPageBreak/>
        <w:t>JUDGMENT</w:t>
      </w:r>
    </w:p>
    <w:p w14:paraId="50415A0A" w14:textId="77777777" w:rsidR="002F45F6" w:rsidRPr="00B86572" w:rsidRDefault="002F45F6" w:rsidP="002F45F6">
      <w:pPr>
        <w:spacing w:after="80" w:line="240" w:lineRule="auto"/>
        <w:ind w:firstLine="142"/>
      </w:pPr>
    </w:p>
    <w:p w14:paraId="76281EA7" w14:textId="77777777" w:rsidR="002F45F6" w:rsidRDefault="002F45F6" w:rsidP="002F45F6">
      <w:pPr>
        <w:suppressAutoHyphens/>
        <w:spacing w:after="80" w:line="240" w:lineRule="auto"/>
        <w:rPr>
          <w:rFonts w:eastAsia="Times New Roman" w:cs="Arial"/>
          <w:b/>
          <w:color w:val="000000"/>
          <w:szCs w:val="24"/>
          <w:lang w:val="en-US" w:eastAsia="en-ZA"/>
        </w:rPr>
      </w:pPr>
    </w:p>
    <w:p w14:paraId="7C2CD185" w14:textId="77777777" w:rsidR="002F45F6" w:rsidRDefault="002F45F6" w:rsidP="002F45F6">
      <w:pPr>
        <w:suppressAutoHyphens/>
        <w:spacing w:after="80" w:line="240" w:lineRule="auto"/>
        <w:rPr>
          <w:rFonts w:eastAsia="Times New Roman" w:cs="Arial"/>
          <w:b/>
          <w:color w:val="000000"/>
          <w:szCs w:val="24"/>
          <w:lang w:val="en-US" w:eastAsia="en-ZA"/>
        </w:rPr>
      </w:pPr>
      <w:r w:rsidRPr="00B86572">
        <w:rPr>
          <w:rFonts w:eastAsia="Times New Roman" w:cs="Arial"/>
          <w:b/>
          <w:color w:val="000000"/>
          <w:szCs w:val="24"/>
          <w:lang w:val="en-US" w:eastAsia="en-ZA"/>
        </w:rPr>
        <w:t>BISHOP, AJ</w:t>
      </w:r>
    </w:p>
    <w:p w14:paraId="5E6EC809" w14:textId="77777777" w:rsidR="002F45F6" w:rsidRDefault="002F45F6" w:rsidP="002F45F6">
      <w:pPr>
        <w:suppressAutoHyphens/>
        <w:spacing w:after="80" w:line="240" w:lineRule="auto"/>
        <w:rPr>
          <w:rFonts w:eastAsia="Times New Roman" w:cs="Arial"/>
          <w:b/>
          <w:color w:val="000000"/>
          <w:szCs w:val="24"/>
          <w:lang w:val="en-US" w:eastAsia="en-ZA"/>
        </w:rPr>
      </w:pPr>
    </w:p>
    <w:p w14:paraId="7B5FA1C3" w14:textId="68816D09" w:rsidR="000753ED" w:rsidRDefault="00ED74CB" w:rsidP="00ED74CB">
      <w:r>
        <w:rPr>
          <w:rFonts w:eastAsia="Times New Roman" w:cs="Arial"/>
          <w:color w:val="000000"/>
          <w:szCs w:val="24"/>
          <w:lang w:val="en-US" w:eastAsia="en-ZA"/>
        </w:rPr>
        <w:t>[1]</w:t>
      </w:r>
      <w:r>
        <w:rPr>
          <w:rFonts w:eastAsia="Times New Roman" w:cs="Arial"/>
          <w:color w:val="000000"/>
          <w:szCs w:val="24"/>
          <w:lang w:val="en-US" w:eastAsia="en-ZA"/>
        </w:rPr>
        <w:tab/>
      </w:r>
      <w:r w:rsidR="00D26CF6">
        <w:t xml:space="preserve">In 1997, Chaskalson P observed that, </w:t>
      </w:r>
      <w:r w:rsidR="00AD72EC">
        <w:t>“[w]</w:t>
      </w:r>
      <w:r w:rsidR="00271DDD" w:rsidRPr="00271DDD">
        <w:t>e live in a society in which there are great disparities in wealth</w:t>
      </w:r>
      <w:r w:rsidR="00AD72EC">
        <w:t>”, and in which “[m]</w:t>
      </w:r>
      <w:r w:rsidR="00271DDD" w:rsidRPr="00271DDD">
        <w:t>illions of people are living in deplorable conditions and in great poverty.</w:t>
      </w:r>
      <w:r w:rsidR="00AD72EC">
        <w:t>”</w:t>
      </w:r>
      <w:r w:rsidR="008719D3">
        <w:rPr>
          <w:rStyle w:val="FootnoteReference"/>
        </w:rPr>
        <w:footnoteReference w:id="1"/>
      </w:r>
      <w:r w:rsidR="00271DDD" w:rsidRPr="00271DDD">
        <w:t xml:space="preserve">  </w:t>
      </w:r>
      <w:r w:rsidR="00AD72EC">
        <w:t>A commitment to address those conditions, and ensure that all South Africans live lives of dignity, equality and freedom “</w:t>
      </w:r>
      <w:r w:rsidR="00271DDD" w:rsidRPr="00271DDD">
        <w:t>lies at the heart of our new constitutional order. For as long as these conditions continue to exist that aspiration will have a hollow ring.</w:t>
      </w:r>
      <w:r w:rsidR="008719D3">
        <w:t>”</w:t>
      </w:r>
      <w:r w:rsidR="008719D3">
        <w:rPr>
          <w:rStyle w:val="FootnoteReference"/>
        </w:rPr>
        <w:footnoteReference w:id="2"/>
      </w:r>
    </w:p>
    <w:p w14:paraId="109CC053" w14:textId="778FE3E9" w:rsidR="008719D3" w:rsidRDefault="00ED74CB" w:rsidP="00ED74CB">
      <w:r>
        <w:rPr>
          <w:rFonts w:eastAsia="Times New Roman" w:cs="Arial"/>
          <w:color w:val="000000"/>
          <w:szCs w:val="24"/>
          <w:lang w:val="en-US" w:eastAsia="en-ZA"/>
        </w:rPr>
        <w:t>[2]</w:t>
      </w:r>
      <w:r>
        <w:rPr>
          <w:rFonts w:eastAsia="Times New Roman" w:cs="Arial"/>
          <w:color w:val="000000"/>
          <w:szCs w:val="24"/>
          <w:lang w:val="en-US" w:eastAsia="en-ZA"/>
        </w:rPr>
        <w:tab/>
      </w:r>
      <w:r w:rsidR="007F2AB4">
        <w:t xml:space="preserve">What was true in 1997 remains true today. </w:t>
      </w:r>
      <w:r w:rsidR="00C644B1">
        <w:t>While conditions</w:t>
      </w:r>
      <w:r w:rsidR="00E54885">
        <w:t xml:space="preserve"> for millions</w:t>
      </w:r>
      <w:r w:rsidR="00C644B1">
        <w:t xml:space="preserve"> have improved,</w:t>
      </w:r>
      <w:r w:rsidR="00E54885">
        <w:t xml:space="preserve"> still</w:t>
      </w:r>
      <w:r w:rsidR="00C644B1">
        <w:t xml:space="preserve"> m</w:t>
      </w:r>
      <w:r w:rsidR="007F2AB4">
        <w:t>illions</w:t>
      </w:r>
      <w:r w:rsidR="00C644B1">
        <w:t xml:space="preserve"> of people in South Africa </w:t>
      </w:r>
      <w:r w:rsidR="007F2AB4">
        <w:t>live in poverty with</w:t>
      </w:r>
      <w:r w:rsidR="00C644B1">
        <w:t xml:space="preserve"> inadequate housing, water, healthcare and food. </w:t>
      </w:r>
      <w:r w:rsidR="00C6193B">
        <w:t>The Constitution’s call to remedy those conditions remains no less urgent.</w:t>
      </w:r>
    </w:p>
    <w:p w14:paraId="427AA9FF" w14:textId="432F7E29" w:rsidR="00C6193B" w:rsidRDefault="00ED74CB" w:rsidP="00ED74CB">
      <w:r>
        <w:rPr>
          <w:rFonts w:eastAsia="Times New Roman" w:cs="Arial"/>
          <w:color w:val="000000"/>
          <w:szCs w:val="24"/>
          <w:lang w:val="en-US" w:eastAsia="en-ZA"/>
        </w:rPr>
        <w:t>[3]</w:t>
      </w:r>
      <w:r>
        <w:rPr>
          <w:rFonts w:eastAsia="Times New Roman" w:cs="Arial"/>
          <w:color w:val="000000"/>
          <w:szCs w:val="24"/>
          <w:lang w:val="en-US" w:eastAsia="en-ZA"/>
        </w:rPr>
        <w:tab/>
      </w:r>
      <w:r w:rsidR="00337D56">
        <w:t xml:space="preserve">This case concerns the rights of some of the most vulnerable people in our society </w:t>
      </w:r>
      <w:r w:rsidR="00D24A1F">
        <w:t>–</w:t>
      </w:r>
      <w:r w:rsidR="00140AFF">
        <w:t xml:space="preserve"> </w:t>
      </w:r>
      <w:r w:rsidR="00D24A1F">
        <w:t xml:space="preserve">people living on the pavements of </w:t>
      </w:r>
      <w:r w:rsidR="00F31DE5">
        <w:t xml:space="preserve">downtown </w:t>
      </w:r>
      <w:r w:rsidR="00D24A1F">
        <w:t>Cape Town. The conditions in which they live are deplorable. They live</w:t>
      </w:r>
      <w:r w:rsidR="00565EF7">
        <w:t xml:space="preserve"> next to busy roads</w:t>
      </w:r>
      <w:r w:rsidR="00D24A1F">
        <w:t xml:space="preserve"> in </w:t>
      </w:r>
      <w:r w:rsidR="00F31DE5">
        <w:t xml:space="preserve">tents or structures constructed of plastic sheets and cardboard. </w:t>
      </w:r>
      <w:r w:rsidR="00C52777">
        <w:t xml:space="preserve">They </w:t>
      </w:r>
      <w:r w:rsidR="00A361D4">
        <w:t>are compelled to live their lives in public</w:t>
      </w:r>
      <w:r w:rsidR="00F33138">
        <w:t>, with little or no privacy. They struggle for food, for shelter, and for warmth.</w:t>
      </w:r>
    </w:p>
    <w:p w14:paraId="0BE45488" w14:textId="4C52031D" w:rsidR="00C52777" w:rsidRDefault="00ED74CB" w:rsidP="00ED74CB">
      <w:r>
        <w:rPr>
          <w:rFonts w:eastAsia="Times New Roman" w:cs="Arial"/>
          <w:color w:val="000000"/>
          <w:szCs w:val="24"/>
          <w:lang w:val="en-US" w:eastAsia="en-ZA"/>
        </w:rPr>
        <w:lastRenderedPageBreak/>
        <w:t>[4]</w:t>
      </w:r>
      <w:r>
        <w:rPr>
          <w:rFonts w:eastAsia="Times New Roman" w:cs="Arial"/>
          <w:color w:val="000000"/>
          <w:szCs w:val="24"/>
          <w:lang w:val="en-US" w:eastAsia="en-ZA"/>
        </w:rPr>
        <w:tab/>
      </w:r>
      <w:r w:rsidR="00C52777">
        <w:t>The Applicant – the City of Cape Town – has a duty to these people.</w:t>
      </w:r>
      <w:r w:rsidR="00F271DD">
        <w:t xml:space="preserve"> “</w:t>
      </w:r>
      <w:r w:rsidR="00F271DD" w:rsidRPr="00F271DD">
        <w:t>It is irrefutable that the State is obliged to take positive action to meet the needs of those living in extreme conditions of poverty, homelessness or intolerably inadequate housing.</w:t>
      </w:r>
      <w:r w:rsidR="00F271DD">
        <w:t>”</w:t>
      </w:r>
      <w:bookmarkStart w:id="1" w:name="_Ref169461702"/>
      <w:r w:rsidR="00163CDF">
        <w:rPr>
          <w:rStyle w:val="FootnoteReference"/>
        </w:rPr>
        <w:footnoteReference w:id="3"/>
      </w:r>
      <w:bookmarkEnd w:id="1"/>
      <w:r w:rsidR="00C52777">
        <w:t xml:space="preserve"> It has a duty to remedy their conditions of living</w:t>
      </w:r>
      <w:r w:rsidR="00C86AD7">
        <w:t xml:space="preserve">, to take reasonable steps to realise their right to housing, </w:t>
      </w:r>
      <w:r w:rsidR="00AE09EF">
        <w:t xml:space="preserve">and </w:t>
      </w:r>
      <w:r w:rsidR="00C86AD7">
        <w:t xml:space="preserve">to </w:t>
      </w:r>
      <w:r w:rsidR="00C4024F">
        <w:t>ensure they can live lives with dignity and privacy.</w:t>
      </w:r>
      <w:r w:rsidR="00C4024F" w:rsidRPr="00C4024F">
        <w:t xml:space="preserve"> </w:t>
      </w:r>
      <w:r w:rsidR="00C4024F" w:rsidRPr="00ED74CB">
        <w:rPr>
          <w:i/>
          <w:iCs/>
        </w:rPr>
        <w:t xml:space="preserve">Grootboom </w:t>
      </w:r>
      <w:r w:rsidR="00C4024F">
        <w:t>reminds us that “</w:t>
      </w:r>
      <w:r w:rsidR="00C4024F" w:rsidRPr="00C4024F">
        <w:t>the Constitution requires that everyone must be treated with care and concern</w:t>
      </w:r>
      <w:r w:rsidR="00C4024F">
        <w:t>”, and that those “</w:t>
      </w:r>
      <w:r w:rsidR="00C4024F" w:rsidRPr="00C4024F">
        <w:t>whose needs are the most urgent and whose ability to enjoy all rights therefore is most in peril, must not be ignored</w:t>
      </w:r>
      <w:r w:rsidR="00C4024F">
        <w:t>”.</w:t>
      </w:r>
      <w:r w:rsidR="00324821">
        <w:rPr>
          <w:rStyle w:val="FootnoteReference"/>
        </w:rPr>
        <w:footnoteReference w:id="4"/>
      </w:r>
    </w:p>
    <w:p w14:paraId="574B3392" w14:textId="21F2C56E" w:rsidR="00C4024F" w:rsidRDefault="00ED74CB" w:rsidP="00ED74CB">
      <w:r>
        <w:rPr>
          <w:rFonts w:eastAsia="Times New Roman" w:cs="Arial"/>
          <w:color w:val="000000"/>
          <w:szCs w:val="24"/>
          <w:lang w:val="en-US" w:eastAsia="en-ZA"/>
        </w:rPr>
        <w:t>[5]</w:t>
      </w:r>
      <w:r>
        <w:rPr>
          <w:rFonts w:eastAsia="Times New Roman" w:cs="Arial"/>
          <w:color w:val="000000"/>
          <w:szCs w:val="24"/>
          <w:lang w:val="en-US" w:eastAsia="en-ZA"/>
        </w:rPr>
        <w:tab/>
      </w:r>
      <w:r w:rsidR="00C4024F">
        <w:t>The homeless</w:t>
      </w:r>
      <w:r w:rsidR="00A95AD3">
        <w:t xml:space="preserve"> people</w:t>
      </w:r>
      <w:r w:rsidR="00C4024F">
        <w:t xml:space="preserve"> of the City </w:t>
      </w:r>
      <w:r w:rsidR="001152D5">
        <w:t xml:space="preserve">do not exist </w:t>
      </w:r>
      <w:r w:rsidR="00A95AD3">
        <w:t>separately from</w:t>
      </w:r>
      <w:r w:rsidR="001152D5">
        <w:t xml:space="preserve"> the rest of the residents. </w:t>
      </w:r>
      <w:r w:rsidR="005E2BD7">
        <w:t>We are all</w:t>
      </w:r>
      <w:r w:rsidR="001152D5">
        <w:t xml:space="preserve"> part of the same whole. The City consists of </w:t>
      </w:r>
      <w:r w:rsidR="00324821">
        <w:t xml:space="preserve">and belongs to </w:t>
      </w:r>
      <w:r w:rsidR="001152D5">
        <w:t xml:space="preserve">those </w:t>
      </w:r>
      <w:r w:rsidR="00F02196">
        <w:t xml:space="preserve">who work in its corner offices and </w:t>
      </w:r>
      <w:r w:rsidR="001152D5">
        <w:t>live in the mansions of</w:t>
      </w:r>
      <w:r w:rsidR="00581CFA">
        <w:t xml:space="preserve"> Higgovale </w:t>
      </w:r>
      <w:r w:rsidR="001152D5">
        <w:t>and Clifton</w:t>
      </w:r>
      <w:r w:rsidR="00AE09EF">
        <w:t>,</w:t>
      </w:r>
      <w:r w:rsidR="00B46ACD">
        <w:t xml:space="preserve"> </w:t>
      </w:r>
      <w:r w:rsidR="00581CFA">
        <w:t>just as much as it does to</w:t>
      </w:r>
      <w:r w:rsidR="00B46ACD">
        <w:t xml:space="preserve"> those who eke out a living </w:t>
      </w:r>
      <w:r w:rsidR="00581CFA">
        <w:t xml:space="preserve">on the City’s streets </w:t>
      </w:r>
      <w:r w:rsidR="00B46ACD">
        <w:t xml:space="preserve">and sleep on </w:t>
      </w:r>
      <w:r w:rsidR="00581CFA">
        <w:t>its</w:t>
      </w:r>
      <w:r w:rsidR="00B46ACD">
        <w:t xml:space="preserve"> pavements and in its parks. </w:t>
      </w:r>
      <w:r w:rsidR="003E1883">
        <w:t>We</w:t>
      </w:r>
      <w:r w:rsidR="00B46ACD">
        <w:t xml:space="preserve"> are all entitled to the same level of respect</w:t>
      </w:r>
      <w:r w:rsidR="00324821">
        <w:t xml:space="preserve"> and concern</w:t>
      </w:r>
      <w:r w:rsidR="00C11BC5">
        <w:t xml:space="preserve"> from our City and from each other</w:t>
      </w:r>
      <w:r w:rsidR="00324821">
        <w:t>.</w:t>
      </w:r>
    </w:p>
    <w:p w14:paraId="6DA1E805" w14:textId="17607307" w:rsidR="00D631CB" w:rsidRDefault="00ED74CB" w:rsidP="00ED74CB">
      <w:r>
        <w:rPr>
          <w:rFonts w:eastAsia="Times New Roman" w:cs="Arial"/>
          <w:color w:val="000000"/>
          <w:szCs w:val="24"/>
          <w:lang w:val="en-US" w:eastAsia="en-ZA"/>
        </w:rPr>
        <w:t>[6]</w:t>
      </w:r>
      <w:r>
        <w:rPr>
          <w:rFonts w:eastAsia="Times New Roman" w:cs="Arial"/>
          <w:color w:val="000000"/>
          <w:szCs w:val="24"/>
          <w:lang w:val="en-US" w:eastAsia="en-ZA"/>
        </w:rPr>
        <w:tab/>
      </w:r>
      <w:r w:rsidR="00D631CB">
        <w:t xml:space="preserve">This case </w:t>
      </w:r>
      <w:r w:rsidR="004F43C2">
        <w:t xml:space="preserve">is a reminder that the Constitution </w:t>
      </w:r>
      <w:r w:rsidR="00D631CB">
        <w:t xml:space="preserve">dares </w:t>
      </w:r>
      <w:r w:rsidR="004F43C2">
        <w:t>us all “</w:t>
      </w:r>
      <w:r w:rsidR="00D631CB">
        <w:t>to care for</w:t>
      </w:r>
      <w:r w:rsidR="004F43C2">
        <w:t xml:space="preserve"> t</w:t>
      </w:r>
      <w:r w:rsidR="00D631CB">
        <w:t>he people on the edge of the night</w:t>
      </w:r>
      <w:r w:rsidR="004F43C2">
        <w:t xml:space="preserve">”. It </w:t>
      </w:r>
      <w:r w:rsidR="005F134A">
        <w:t xml:space="preserve">also </w:t>
      </w:r>
      <w:r w:rsidR="004F43C2">
        <w:t xml:space="preserve">dares us </w:t>
      </w:r>
      <w:r w:rsidR="009777E3">
        <w:t>“</w:t>
      </w:r>
      <w:r w:rsidR="004F43C2">
        <w:t xml:space="preserve">to </w:t>
      </w:r>
      <w:r w:rsidR="00D631CB">
        <w:t>change our way of</w:t>
      </w:r>
      <w:r w:rsidR="004F43C2">
        <w:t xml:space="preserve"> c</w:t>
      </w:r>
      <w:r w:rsidR="00D631CB">
        <w:t>aring about ourselves</w:t>
      </w:r>
      <w:r w:rsidR="004F43C2">
        <w:t>.</w:t>
      </w:r>
      <w:r w:rsidR="009777E3">
        <w:t>”</w:t>
      </w:r>
      <w:r w:rsidR="00464144">
        <w:rPr>
          <w:rStyle w:val="FootnoteReference"/>
        </w:rPr>
        <w:footnoteReference w:id="5"/>
      </w:r>
      <w:r w:rsidR="004F43C2">
        <w:t xml:space="preserve"> </w:t>
      </w:r>
      <w:r w:rsidR="006C090F">
        <w:t>We can only care about the homeless when we see ourselves in them</w:t>
      </w:r>
      <w:r w:rsidR="00E43458">
        <w:t>;</w:t>
      </w:r>
      <w:r w:rsidR="009777E3">
        <w:t xml:space="preserve"> we can only realise our own humanity if we commit to realizing theirs</w:t>
      </w:r>
      <w:r w:rsidR="00495879">
        <w:t>; w</w:t>
      </w:r>
      <w:r w:rsidR="0041042C">
        <w:t xml:space="preserve">hen we see </w:t>
      </w:r>
      <w:r w:rsidR="0041042C">
        <w:lastRenderedPageBreak/>
        <w:t xml:space="preserve">that we are all a few bad decisions and some bad luck from </w:t>
      </w:r>
      <w:r w:rsidR="00B37BDD">
        <w:t xml:space="preserve">life </w:t>
      </w:r>
      <w:r w:rsidR="0041042C">
        <w:t xml:space="preserve">on the pavements. </w:t>
      </w:r>
      <w:r w:rsidR="00AE5E31" w:rsidRPr="00ED74CB">
        <w:rPr>
          <w:i/>
          <w:iCs/>
        </w:rPr>
        <w:t>U</w:t>
      </w:r>
      <w:r w:rsidR="00D2189C" w:rsidRPr="00ED74CB">
        <w:rPr>
          <w:i/>
          <w:iCs/>
        </w:rPr>
        <w:t>mntu ngumntu ngabantu</w:t>
      </w:r>
      <w:r w:rsidR="00AE5E31">
        <w:t>.</w:t>
      </w:r>
      <w:r w:rsidR="00B53EA4">
        <w:rPr>
          <w:rStyle w:val="FootnoteReference"/>
        </w:rPr>
        <w:footnoteReference w:id="6"/>
      </w:r>
    </w:p>
    <w:p w14:paraId="25CDC48E" w14:textId="1A865CF7" w:rsidR="00D132D9" w:rsidRDefault="00ED74CB" w:rsidP="00ED74CB">
      <w:r>
        <w:rPr>
          <w:rFonts w:eastAsia="Times New Roman" w:cs="Arial"/>
          <w:color w:val="000000"/>
          <w:szCs w:val="24"/>
          <w:lang w:val="en-US" w:eastAsia="en-ZA"/>
        </w:rPr>
        <w:t>[7]</w:t>
      </w:r>
      <w:r>
        <w:rPr>
          <w:rFonts w:eastAsia="Times New Roman" w:cs="Arial"/>
          <w:color w:val="000000"/>
          <w:szCs w:val="24"/>
          <w:lang w:val="en-US" w:eastAsia="en-ZA"/>
        </w:rPr>
        <w:tab/>
      </w:r>
      <w:r w:rsidR="00264857">
        <w:t xml:space="preserve">To its great credit, this is largely the attitude the City has adopted in this litigation. It asks this Court to </w:t>
      </w:r>
      <w:r w:rsidR="008501F7">
        <w:t xml:space="preserve">evict approximately 200 people </w:t>
      </w:r>
      <w:r w:rsidR="00DF3105">
        <w:t>(</w:t>
      </w:r>
      <w:r w:rsidR="00DF3105" w:rsidRPr="00ED74CB">
        <w:rPr>
          <w:b/>
          <w:bCs/>
        </w:rPr>
        <w:t>the Occupiers</w:t>
      </w:r>
      <w:r w:rsidR="00DF3105">
        <w:t xml:space="preserve">) </w:t>
      </w:r>
      <w:r w:rsidR="008501F7">
        <w:t>that live on seven pavements or road reserves that it owns around the City’s central business district (</w:t>
      </w:r>
      <w:r w:rsidR="008501F7" w:rsidRPr="00ED74CB">
        <w:rPr>
          <w:b/>
          <w:bCs/>
        </w:rPr>
        <w:t>the Properties</w:t>
      </w:r>
      <w:r w:rsidR="008501F7">
        <w:t xml:space="preserve">). It </w:t>
      </w:r>
      <w:r w:rsidR="00536311">
        <w:t>does</w:t>
      </w:r>
      <w:r w:rsidR="008501F7">
        <w:t xml:space="preserve"> not, as other municipalities have, </w:t>
      </w:r>
      <w:r w:rsidR="00D56BC3">
        <w:t>s</w:t>
      </w:r>
      <w:r w:rsidR="00536311">
        <w:t>eek</w:t>
      </w:r>
      <w:r w:rsidR="00D56BC3">
        <w:t xml:space="preserve"> to remove them without a court order and without </w:t>
      </w:r>
      <w:r w:rsidR="005E2BD7">
        <w:t xml:space="preserve">alternative accommodation. </w:t>
      </w:r>
      <w:r w:rsidR="00140AFF">
        <w:t xml:space="preserve">It applies under the Prevention of Illegal Eviction and </w:t>
      </w:r>
      <w:r w:rsidR="00A95AD3">
        <w:t>Unlawful Occupation of Land Act 19 of 1998 (</w:t>
      </w:r>
      <w:r w:rsidR="00A95AD3" w:rsidRPr="00ED74CB">
        <w:rPr>
          <w:b/>
          <w:bCs/>
        </w:rPr>
        <w:t>PIE</w:t>
      </w:r>
      <w:r w:rsidR="00A95AD3">
        <w:t xml:space="preserve">). </w:t>
      </w:r>
      <w:r w:rsidR="00705628">
        <w:t>Nor has it sought to banish them to the City’s periphery;</w:t>
      </w:r>
      <w:r w:rsidR="00A95AD3">
        <w:t xml:space="preserve"> it offers all the people it seeks to evict </w:t>
      </w:r>
      <w:r w:rsidR="00C54552">
        <w:t xml:space="preserve">alternative accommodation in “safe spaces” that it has </w:t>
      </w:r>
      <w:r w:rsidR="00E17045">
        <w:t xml:space="preserve">developed in the City </w:t>
      </w:r>
      <w:r w:rsidR="00C72ADE">
        <w:t>c</w:t>
      </w:r>
      <w:r w:rsidR="00E17045">
        <w:t xml:space="preserve">entre. </w:t>
      </w:r>
    </w:p>
    <w:p w14:paraId="1476FD4D" w14:textId="6D39E742" w:rsidR="0090270B" w:rsidRDefault="00ED74CB" w:rsidP="00ED74CB">
      <w:r>
        <w:rPr>
          <w:rFonts w:eastAsia="Times New Roman" w:cs="Arial"/>
          <w:color w:val="000000"/>
          <w:szCs w:val="24"/>
          <w:lang w:val="en-US" w:eastAsia="en-ZA"/>
        </w:rPr>
        <w:t>[8]</w:t>
      </w:r>
      <w:r>
        <w:rPr>
          <w:rFonts w:eastAsia="Times New Roman" w:cs="Arial"/>
          <w:color w:val="000000"/>
          <w:szCs w:val="24"/>
          <w:lang w:val="en-US" w:eastAsia="en-ZA"/>
        </w:rPr>
        <w:tab/>
      </w:r>
      <w:r w:rsidR="00E17045">
        <w:t xml:space="preserve">The accommodation in the safe spaces is rudimentary. But it is undoubtedly better than the </w:t>
      </w:r>
      <w:r w:rsidR="00DF3105">
        <w:t xml:space="preserve">Occupiers’ current accommodation. </w:t>
      </w:r>
      <w:r w:rsidR="00F61CA8">
        <w:t xml:space="preserve">It includes toilets and showers, two meals a day, blankets, and access to clothes. </w:t>
      </w:r>
      <w:r w:rsidR="00D132D9">
        <w:t xml:space="preserve">And it comes with a range of </w:t>
      </w:r>
      <w:r w:rsidR="009D04E6">
        <w:t xml:space="preserve">services designed not only to </w:t>
      </w:r>
      <w:r w:rsidR="00B8046A">
        <w:t xml:space="preserve">give them somewhere to sleep, but to help them to get off the streets and into permanent homes. The City commits to helping those who use its safe spaces to overcome addiction, to find jobs, </w:t>
      </w:r>
      <w:r w:rsidR="007979B2">
        <w:t xml:space="preserve">and </w:t>
      </w:r>
      <w:r w:rsidR="00B8046A">
        <w:t>to reconnect with their families</w:t>
      </w:r>
      <w:r w:rsidR="00F61CA8">
        <w:t>.</w:t>
      </w:r>
    </w:p>
    <w:p w14:paraId="48E87BBA" w14:textId="16387837" w:rsidR="007979B2" w:rsidRDefault="00ED74CB" w:rsidP="00ED74CB">
      <w:r>
        <w:rPr>
          <w:rFonts w:eastAsia="Times New Roman" w:cs="Arial"/>
          <w:color w:val="000000"/>
          <w:szCs w:val="24"/>
          <w:lang w:val="en-US" w:eastAsia="en-ZA"/>
        </w:rPr>
        <w:t>[9]</w:t>
      </w:r>
      <w:r>
        <w:rPr>
          <w:rFonts w:eastAsia="Times New Roman" w:cs="Arial"/>
          <w:color w:val="000000"/>
          <w:szCs w:val="24"/>
          <w:lang w:val="en-US" w:eastAsia="en-ZA"/>
        </w:rPr>
        <w:tab/>
      </w:r>
      <w:r w:rsidR="007979B2">
        <w:t xml:space="preserve">Some of the occupiers are willing to take up the City’s offer. But others are not. They insist that the City has not adequately </w:t>
      </w:r>
      <w:r w:rsidR="00B16CC2">
        <w:t xml:space="preserve">engaged with them – it presented them with a binary choice: safe spaces or nothing. They want the City to explore alternatives </w:t>
      </w:r>
      <w:r w:rsidR="00B16CC2">
        <w:lastRenderedPageBreak/>
        <w:t>with them</w:t>
      </w:r>
      <w:r w:rsidR="00ED19DA">
        <w:t xml:space="preserve">, and to find joint solutions. They also argue that the </w:t>
      </w:r>
      <w:r w:rsidR="00E74F18">
        <w:t>safe spaces are not suitable alternative accommodation. They do not meet the ordinary requirements for temporary accommodation following eviction</w:t>
      </w:r>
      <w:r w:rsidR="00C73FE0">
        <w:t xml:space="preserve">, and they </w:t>
      </w:r>
      <w:r w:rsidR="00D76ED8">
        <w:t>impose restrictive rules that separate families and restrict freedom.</w:t>
      </w:r>
    </w:p>
    <w:p w14:paraId="2E0FE822" w14:textId="254BA6E2" w:rsidR="007979B2" w:rsidRDefault="00ED74CB" w:rsidP="00ED74CB">
      <w:r>
        <w:rPr>
          <w:rFonts w:eastAsia="Times New Roman" w:cs="Arial"/>
          <w:color w:val="000000"/>
          <w:szCs w:val="24"/>
          <w:lang w:val="en-US" w:eastAsia="en-ZA"/>
        </w:rPr>
        <w:t>[10]</w:t>
      </w:r>
      <w:r>
        <w:rPr>
          <w:rFonts w:eastAsia="Times New Roman" w:cs="Arial"/>
          <w:color w:val="000000"/>
          <w:szCs w:val="24"/>
          <w:lang w:val="en-US" w:eastAsia="en-ZA"/>
        </w:rPr>
        <w:tab/>
      </w:r>
      <w:r w:rsidR="007979B2">
        <w:t>Against this background, th</w:t>
      </w:r>
      <w:r w:rsidR="00D76ED8">
        <w:t>is case raises the following</w:t>
      </w:r>
      <w:r w:rsidR="00704BAA">
        <w:t xml:space="preserve"> primary</w:t>
      </w:r>
      <w:r w:rsidR="00D76ED8">
        <w:t xml:space="preserve"> questions for </w:t>
      </w:r>
      <w:r w:rsidR="00704BAA">
        <w:t>determination:</w:t>
      </w:r>
    </w:p>
    <w:p w14:paraId="12298542" w14:textId="13EB5599" w:rsidR="00704BAA" w:rsidRDefault="00ED74CB" w:rsidP="00ED74CB">
      <w:pPr>
        <w:ind w:left="1440" w:hanging="720"/>
      </w:pPr>
      <w:r>
        <w:rPr>
          <w:rFonts w:eastAsia="Times New Roman" w:cs="Arial"/>
          <w:color w:val="000000"/>
          <w:szCs w:val="24"/>
          <w:lang w:val="en-US" w:eastAsia="en-ZA"/>
        </w:rPr>
        <w:t>[10.1]</w:t>
      </w:r>
      <w:r>
        <w:rPr>
          <w:rFonts w:eastAsia="Times New Roman" w:cs="Arial"/>
          <w:color w:val="000000"/>
          <w:szCs w:val="24"/>
          <w:lang w:val="en-US" w:eastAsia="en-ZA"/>
        </w:rPr>
        <w:tab/>
      </w:r>
      <w:r w:rsidR="00704BAA">
        <w:t xml:space="preserve">Has the City meaningfully engaged with the </w:t>
      </w:r>
      <w:r w:rsidR="008F63A4">
        <w:t>O</w:t>
      </w:r>
      <w:r w:rsidR="00704BAA">
        <w:t>ccupiers?</w:t>
      </w:r>
    </w:p>
    <w:p w14:paraId="00426DF8" w14:textId="0DA38AA0" w:rsidR="00704BAA" w:rsidRDefault="00ED74CB" w:rsidP="00ED74CB">
      <w:pPr>
        <w:ind w:left="1440" w:hanging="720"/>
      </w:pPr>
      <w:r>
        <w:rPr>
          <w:rFonts w:eastAsia="Times New Roman" w:cs="Arial"/>
          <w:color w:val="000000"/>
          <w:szCs w:val="24"/>
          <w:lang w:val="en-US" w:eastAsia="en-ZA"/>
        </w:rPr>
        <w:t>[10.2]</w:t>
      </w:r>
      <w:r>
        <w:rPr>
          <w:rFonts w:eastAsia="Times New Roman" w:cs="Arial"/>
          <w:color w:val="000000"/>
          <w:szCs w:val="24"/>
          <w:lang w:val="en-US" w:eastAsia="en-ZA"/>
        </w:rPr>
        <w:tab/>
      </w:r>
      <w:r w:rsidR="00704BAA">
        <w:t>Are the safe spaces suitable alternative accommodation?</w:t>
      </w:r>
    </w:p>
    <w:p w14:paraId="610AFD88" w14:textId="08200A8D" w:rsidR="008F63A4" w:rsidRDefault="00ED74CB" w:rsidP="00ED74CB">
      <w:pPr>
        <w:ind w:left="1440" w:hanging="720"/>
      </w:pPr>
      <w:r>
        <w:rPr>
          <w:rFonts w:eastAsia="Times New Roman" w:cs="Arial"/>
          <w:color w:val="000000"/>
          <w:szCs w:val="24"/>
          <w:lang w:val="en-US" w:eastAsia="en-ZA"/>
        </w:rPr>
        <w:t>[10.3]</w:t>
      </w:r>
      <w:r>
        <w:rPr>
          <w:rFonts w:eastAsia="Times New Roman" w:cs="Arial"/>
          <w:color w:val="000000"/>
          <w:szCs w:val="24"/>
          <w:lang w:val="en-US" w:eastAsia="en-ZA"/>
        </w:rPr>
        <w:tab/>
      </w:r>
      <w:r w:rsidR="008F63A4">
        <w:t>Is eviction just and equitable and, if so, on what terms?</w:t>
      </w:r>
    </w:p>
    <w:p w14:paraId="1BB1A4E4" w14:textId="3ACC6AC3" w:rsidR="00AA71FD" w:rsidRDefault="00ED74CB" w:rsidP="00ED74CB">
      <w:r>
        <w:rPr>
          <w:rFonts w:eastAsia="Times New Roman" w:cs="Arial"/>
          <w:color w:val="000000"/>
          <w:szCs w:val="24"/>
          <w:lang w:val="en-US" w:eastAsia="en-ZA"/>
        </w:rPr>
        <w:t>[11]</w:t>
      </w:r>
      <w:r>
        <w:rPr>
          <w:rFonts w:eastAsia="Times New Roman" w:cs="Arial"/>
          <w:color w:val="000000"/>
          <w:szCs w:val="24"/>
          <w:lang w:val="en-US" w:eastAsia="en-ZA"/>
        </w:rPr>
        <w:tab/>
      </w:r>
      <w:r w:rsidR="00AA71FD">
        <w:t xml:space="preserve">I conclude that the City has meaningfully engaged, that the safe spaces are suitable alternative accommodation, and that eviction is just and equitable, but subject to a detailed order to ensure </w:t>
      </w:r>
      <w:r w:rsidR="00CC3A94">
        <w:t>the Occupiers’ rights are fully respected.</w:t>
      </w:r>
    </w:p>
    <w:p w14:paraId="10104B09" w14:textId="78551553" w:rsidR="008F63A4" w:rsidRDefault="00ED74CB" w:rsidP="00ED74CB">
      <w:r>
        <w:rPr>
          <w:rFonts w:eastAsia="Times New Roman" w:cs="Arial"/>
          <w:color w:val="000000"/>
          <w:szCs w:val="24"/>
          <w:lang w:val="en-US" w:eastAsia="en-ZA"/>
        </w:rPr>
        <w:t>[12]</w:t>
      </w:r>
      <w:r>
        <w:rPr>
          <w:rFonts w:eastAsia="Times New Roman" w:cs="Arial"/>
          <w:color w:val="000000"/>
          <w:szCs w:val="24"/>
          <w:lang w:val="en-US" w:eastAsia="en-ZA"/>
        </w:rPr>
        <w:tab/>
      </w:r>
      <w:r w:rsidR="00724F5C">
        <w:t>Granting the eviction</w:t>
      </w:r>
      <w:r w:rsidR="00AA71FD">
        <w:t xml:space="preserve"> raises another question</w:t>
      </w:r>
      <w:r w:rsidR="00CC3A94">
        <w:t>: the City</w:t>
      </w:r>
      <w:r w:rsidR="008F63A4">
        <w:t xml:space="preserve"> seeks an interdict preventing </w:t>
      </w:r>
      <w:r w:rsidR="00CC3A94">
        <w:t>a list of named Occupiers</w:t>
      </w:r>
      <w:r w:rsidR="008F63A4">
        <w:t xml:space="preserve"> from re-occupying </w:t>
      </w:r>
      <w:r w:rsidR="00CC3A94">
        <w:t xml:space="preserve">the Properties or any other </w:t>
      </w:r>
      <w:r w:rsidR="00AE6EEF">
        <w:t xml:space="preserve">City-owned property. It argues that, without this relief, the eviction will not achieve its purpose. The Occupiers who do not already wish to move to the safe spaces will have little incentive to do so; they can simply </w:t>
      </w:r>
      <w:r w:rsidR="0094398A">
        <w:t xml:space="preserve">occupy a different pavement that was not subject to the eviction order. The City cannot afford, it argues, to </w:t>
      </w:r>
      <w:r w:rsidR="008E599A">
        <w:t>keep evicting people from the pavements.</w:t>
      </w:r>
    </w:p>
    <w:p w14:paraId="1479E924" w14:textId="1BF9CF91" w:rsidR="008E599A" w:rsidRDefault="00ED74CB" w:rsidP="00ED74CB">
      <w:r>
        <w:rPr>
          <w:rFonts w:eastAsia="Times New Roman" w:cs="Arial"/>
          <w:color w:val="000000"/>
          <w:szCs w:val="24"/>
          <w:lang w:val="en-US" w:eastAsia="en-ZA"/>
        </w:rPr>
        <w:t>[13]</w:t>
      </w:r>
      <w:r>
        <w:rPr>
          <w:rFonts w:eastAsia="Times New Roman" w:cs="Arial"/>
          <w:color w:val="000000"/>
          <w:szCs w:val="24"/>
          <w:lang w:val="en-US" w:eastAsia="en-ZA"/>
        </w:rPr>
        <w:tab/>
      </w:r>
      <w:r w:rsidR="008E599A">
        <w:t xml:space="preserve">The Occupiers contend that an interdict would authorize further evictions without the protection of a court order as required by s 26(3) of the Constitution. </w:t>
      </w:r>
      <w:r w:rsidR="00724F5C">
        <w:t xml:space="preserve">It will </w:t>
      </w:r>
      <w:r w:rsidR="00724F5C">
        <w:lastRenderedPageBreak/>
        <w:t xml:space="preserve">place them outside the ordinary protections of PIE and </w:t>
      </w:r>
      <w:r w:rsidR="00096232">
        <w:t>subject to removal at the whim of the City</w:t>
      </w:r>
      <w:r w:rsidR="00A01AE9">
        <w:t>. They argue such an order would be unlawful and unconstitutional.</w:t>
      </w:r>
    </w:p>
    <w:p w14:paraId="783EAD96" w14:textId="6C2B0D73" w:rsidR="00A01AE9" w:rsidRDefault="00ED74CB" w:rsidP="00ED74CB">
      <w:r>
        <w:rPr>
          <w:rFonts w:eastAsia="Times New Roman" w:cs="Arial"/>
          <w:color w:val="000000"/>
          <w:szCs w:val="24"/>
          <w:lang w:val="en-US" w:eastAsia="en-ZA"/>
        </w:rPr>
        <w:t>[14]</w:t>
      </w:r>
      <w:r>
        <w:rPr>
          <w:rFonts w:eastAsia="Times New Roman" w:cs="Arial"/>
          <w:color w:val="000000"/>
          <w:szCs w:val="24"/>
          <w:lang w:val="en-US" w:eastAsia="en-ZA"/>
        </w:rPr>
        <w:tab/>
      </w:r>
      <w:r w:rsidR="00A01AE9">
        <w:t xml:space="preserve">I agree with the Occupiers. While I understand the City’s difficulty, </w:t>
      </w:r>
      <w:r w:rsidR="00EE3AE7">
        <w:t xml:space="preserve">and believe that it is motivated by a desire to assist the homeless amongst us, not to </w:t>
      </w:r>
      <w:r w:rsidR="001F4CA8">
        <w:t xml:space="preserve">marginalize them, an interdict is not the appropriate mechanism. If the City believes it needs the power to evict people </w:t>
      </w:r>
      <w:r w:rsidR="004D1D45">
        <w:t>outside of PIE, it must defend the existing mechanisms it has created to do so, or create new ones that are constitutionally consistent</w:t>
      </w:r>
      <w:r w:rsidR="002B1B8A">
        <w:t xml:space="preserve"> and apply equally to everyone</w:t>
      </w:r>
      <w:r w:rsidR="004D1D45">
        <w:t>.</w:t>
      </w:r>
      <w:r w:rsidR="005E05B1">
        <w:t xml:space="preserve"> </w:t>
      </w:r>
    </w:p>
    <w:p w14:paraId="3824877A" w14:textId="77777777" w:rsidR="0090270B" w:rsidRDefault="0090270B" w:rsidP="0090270B">
      <w:pPr>
        <w:rPr>
          <w:lang w:val="en-US"/>
        </w:rPr>
      </w:pPr>
    </w:p>
    <w:p w14:paraId="62D6BA98" w14:textId="5596049B" w:rsidR="00BD1F87" w:rsidRDefault="0069300B" w:rsidP="00BD1F87">
      <w:pPr>
        <w:pStyle w:val="Heading1"/>
      </w:pPr>
      <w:r>
        <w:t>the facts</w:t>
      </w:r>
    </w:p>
    <w:p w14:paraId="42392799" w14:textId="6B676E84" w:rsidR="00BD1F87" w:rsidRDefault="00ED74CB" w:rsidP="00ED74CB">
      <w:r>
        <w:rPr>
          <w:rFonts w:eastAsia="Times New Roman" w:cs="Arial"/>
          <w:color w:val="000000"/>
          <w:szCs w:val="24"/>
          <w:lang w:val="en-US" w:eastAsia="en-ZA"/>
        </w:rPr>
        <w:t>[15]</w:t>
      </w:r>
      <w:r>
        <w:rPr>
          <w:rFonts w:eastAsia="Times New Roman" w:cs="Arial"/>
          <w:color w:val="000000"/>
          <w:szCs w:val="24"/>
          <w:lang w:val="en-US" w:eastAsia="en-ZA"/>
        </w:rPr>
        <w:tab/>
      </w:r>
      <w:r w:rsidR="0047174C">
        <w:t xml:space="preserve">It is always useful to start with the facts. To understand the outcomes this Court reaches, </w:t>
      </w:r>
      <w:r w:rsidR="001A0A4F">
        <w:t>I n</w:t>
      </w:r>
      <w:r w:rsidR="00E23FA3">
        <w:t xml:space="preserve">eed to explain where the properties are and why the City is particularly concerned about people living on them. </w:t>
      </w:r>
      <w:r w:rsidR="00A2587C">
        <w:t>Next, I look at the</w:t>
      </w:r>
      <w:r w:rsidR="00C71A4E">
        <w:t xml:space="preserve"> City’s approach to homelessness generally, and </w:t>
      </w:r>
      <w:r w:rsidR="00027FC4">
        <w:t xml:space="preserve">particularly </w:t>
      </w:r>
      <w:r w:rsidR="00C71A4E">
        <w:t xml:space="preserve">its </w:t>
      </w:r>
      <w:r w:rsidR="00027FC4">
        <w:t>use of</w:t>
      </w:r>
      <w:r w:rsidR="00A2587C">
        <w:t xml:space="preserve"> safe spaces; what do they provide, and what restrictions do they impose.</w:t>
      </w:r>
      <w:r w:rsidR="00F17AF9">
        <w:t xml:space="preserve"> </w:t>
      </w:r>
      <w:r w:rsidR="00A211BC">
        <w:t>I then describe the Occupiers – where they come from, how they live, and what they want.</w:t>
      </w:r>
      <w:r w:rsidR="00B27383">
        <w:t xml:space="preserve"> That leads to how this dispute came to court and the shape of the litigation.</w:t>
      </w:r>
    </w:p>
    <w:p w14:paraId="0EF7FA6E" w14:textId="77777777" w:rsidR="00BD1F87" w:rsidRDefault="00BD1F87" w:rsidP="00BD1F87"/>
    <w:p w14:paraId="2344BF61" w14:textId="7DA9A78A" w:rsidR="00BD1F87" w:rsidRPr="00BD1F87" w:rsidRDefault="00BD1F87" w:rsidP="00BD1F87">
      <w:pPr>
        <w:pStyle w:val="Heading2"/>
      </w:pPr>
      <w:r>
        <w:t>The Properties</w:t>
      </w:r>
    </w:p>
    <w:p w14:paraId="1465B90D" w14:textId="2C04FA28" w:rsidR="0069300B" w:rsidRDefault="00ED74CB" w:rsidP="00ED74CB">
      <w:r>
        <w:rPr>
          <w:rFonts w:eastAsia="Times New Roman" w:cs="Arial"/>
          <w:color w:val="000000"/>
          <w:szCs w:val="24"/>
          <w:lang w:val="en-US" w:eastAsia="en-ZA"/>
        </w:rPr>
        <w:t>[16]</w:t>
      </w:r>
      <w:r>
        <w:rPr>
          <w:rFonts w:eastAsia="Times New Roman" w:cs="Arial"/>
          <w:color w:val="000000"/>
          <w:szCs w:val="24"/>
          <w:lang w:val="en-US" w:eastAsia="en-ZA"/>
        </w:rPr>
        <w:tab/>
      </w:r>
      <w:r w:rsidR="00065C93">
        <w:t xml:space="preserve">The City seeks the eviction of people living on seven defined sites in the inner city. These are </w:t>
      </w:r>
      <w:r w:rsidR="0023232E">
        <w:t xml:space="preserve">defined by clear descriptions, and by maps attached to the notice of </w:t>
      </w:r>
      <w:r w:rsidR="0023232E">
        <w:lastRenderedPageBreak/>
        <w:t xml:space="preserve">motion. </w:t>
      </w:r>
      <w:r w:rsidR="00443213">
        <w:t xml:space="preserve">They are all pavements or road reserves along major roads leading into and out of the City’s centre. </w:t>
      </w:r>
      <w:r w:rsidR="0023232E">
        <w:t>They are:</w:t>
      </w:r>
    </w:p>
    <w:p w14:paraId="3CA5F548" w14:textId="6AE7041E" w:rsidR="0023232E" w:rsidRDefault="00ED74CB" w:rsidP="00ED74CB">
      <w:pPr>
        <w:ind w:left="1440" w:hanging="720"/>
      </w:pPr>
      <w:r>
        <w:rPr>
          <w:rFonts w:eastAsia="Times New Roman" w:cs="Arial"/>
          <w:color w:val="000000"/>
          <w:szCs w:val="24"/>
          <w:lang w:val="en-US" w:eastAsia="en-ZA"/>
        </w:rPr>
        <w:t>[16.1]</w:t>
      </w:r>
      <w:r>
        <w:rPr>
          <w:rFonts w:eastAsia="Times New Roman" w:cs="Arial"/>
          <w:color w:val="000000"/>
          <w:szCs w:val="24"/>
          <w:lang w:val="en-US" w:eastAsia="en-ZA"/>
        </w:rPr>
        <w:tab/>
      </w:r>
      <w:r w:rsidR="0023232E">
        <w:t>The pavement to Buitengracht Street (inclusive of the co</w:t>
      </w:r>
      <w:r w:rsidR="00F32944">
        <w:t>rn</w:t>
      </w:r>
      <w:r w:rsidR="0023232E">
        <w:t>er of Rose Lane and</w:t>
      </w:r>
      <w:r w:rsidR="00736459">
        <w:t xml:space="preserve"> </w:t>
      </w:r>
      <w:r w:rsidR="0023232E">
        <w:t>Buitengracht Street behind the wooden bollards along the edge of the</w:t>
      </w:r>
      <w:r w:rsidR="00736459">
        <w:t xml:space="preserve"> </w:t>
      </w:r>
      <w:r w:rsidR="0023232E">
        <w:t>pavement);</w:t>
      </w:r>
    </w:p>
    <w:p w14:paraId="6326E7F2" w14:textId="558E2B5E" w:rsidR="0023232E" w:rsidRDefault="00ED74CB" w:rsidP="00ED74CB">
      <w:pPr>
        <w:ind w:left="1440" w:hanging="720"/>
      </w:pPr>
      <w:r>
        <w:rPr>
          <w:rFonts w:eastAsia="Times New Roman" w:cs="Arial"/>
          <w:color w:val="000000"/>
          <w:szCs w:val="24"/>
          <w:lang w:val="en-US" w:eastAsia="en-ZA"/>
        </w:rPr>
        <w:t>[16.2]</w:t>
      </w:r>
      <w:r>
        <w:rPr>
          <w:rFonts w:eastAsia="Times New Roman" w:cs="Arial"/>
          <w:color w:val="000000"/>
          <w:szCs w:val="24"/>
          <w:lang w:val="en-US" w:eastAsia="en-ZA"/>
        </w:rPr>
        <w:tab/>
      </w:r>
      <w:r w:rsidR="0023232E">
        <w:t>Either side of the road on FW De Klerk Boulevard (inclusive of the pavements,</w:t>
      </w:r>
      <w:r w:rsidR="00736459">
        <w:t xml:space="preserve"> </w:t>
      </w:r>
      <w:r w:rsidR="0023232E">
        <w:t>centre island and road reserve);</w:t>
      </w:r>
    </w:p>
    <w:p w14:paraId="1D517380" w14:textId="4198AF64" w:rsidR="0023232E" w:rsidRDefault="00ED74CB" w:rsidP="00ED74CB">
      <w:pPr>
        <w:ind w:left="1440" w:hanging="720"/>
      </w:pPr>
      <w:r>
        <w:rPr>
          <w:rFonts w:eastAsia="Times New Roman" w:cs="Arial"/>
          <w:color w:val="000000"/>
          <w:szCs w:val="24"/>
          <w:lang w:val="en-US" w:eastAsia="en-ZA"/>
        </w:rPr>
        <w:t>[16.3]</w:t>
      </w:r>
      <w:r>
        <w:rPr>
          <w:rFonts w:eastAsia="Times New Roman" w:cs="Arial"/>
          <w:color w:val="000000"/>
          <w:szCs w:val="24"/>
          <w:lang w:val="en-US" w:eastAsia="en-ZA"/>
        </w:rPr>
        <w:tab/>
      </w:r>
      <w:r w:rsidR="0023232E">
        <w:t>The corner of FW De Klerk Boulevard and Heerengracht leading into the</w:t>
      </w:r>
      <w:r w:rsidR="00736459">
        <w:t xml:space="preserve"> </w:t>
      </w:r>
      <w:r w:rsidR="0023232E">
        <w:t>harbour area (inclusive of</w:t>
      </w:r>
      <w:r w:rsidR="00F32944">
        <w:t xml:space="preserve"> </w:t>
      </w:r>
      <w:r w:rsidR="0023232E">
        <w:t>Foregate Square, Taxi Rank and Foreshore as well as</w:t>
      </w:r>
      <w:r w:rsidR="00736459">
        <w:t xml:space="preserve"> </w:t>
      </w:r>
      <w:r w:rsidR="0023232E">
        <w:t>outside and opposite Customs House and along Heerengracht and the</w:t>
      </w:r>
      <w:r w:rsidR="00736459">
        <w:t xml:space="preserve"> </w:t>
      </w:r>
      <w:r w:rsidR="0023232E">
        <w:t>pavements and road reserves in front of, opposite and along Heerengracht);</w:t>
      </w:r>
    </w:p>
    <w:p w14:paraId="29909C3F" w14:textId="5DDCD397" w:rsidR="0023232E" w:rsidRDefault="00ED74CB" w:rsidP="00ED74CB">
      <w:pPr>
        <w:ind w:left="1440" w:hanging="720"/>
      </w:pPr>
      <w:r>
        <w:rPr>
          <w:rFonts w:eastAsia="Times New Roman" w:cs="Arial"/>
          <w:color w:val="000000"/>
          <w:szCs w:val="24"/>
          <w:lang w:val="en-US" w:eastAsia="en-ZA"/>
        </w:rPr>
        <w:t>[16.4]</w:t>
      </w:r>
      <w:r>
        <w:rPr>
          <w:rFonts w:eastAsia="Times New Roman" w:cs="Arial"/>
          <w:color w:val="000000"/>
          <w:szCs w:val="24"/>
          <w:lang w:val="en-US" w:eastAsia="en-ZA"/>
        </w:rPr>
        <w:tab/>
      </w:r>
      <w:r w:rsidR="0023232E">
        <w:t>Helen Suzman Boulevard (inclusive of the pavements and road reserves on</w:t>
      </w:r>
      <w:r w:rsidR="00736459">
        <w:t xml:space="preserve"> </w:t>
      </w:r>
      <w:r w:rsidR="0023232E">
        <w:t>either side of the road and the centre island);</w:t>
      </w:r>
    </w:p>
    <w:p w14:paraId="56CB15C8" w14:textId="443B8466" w:rsidR="0023232E" w:rsidRDefault="00ED74CB" w:rsidP="00ED74CB">
      <w:pPr>
        <w:ind w:left="1440" w:hanging="720"/>
      </w:pPr>
      <w:r>
        <w:rPr>
          <w:rFonts w:eastAsia="Times New Roman" w:cs="Arial"/>
          <w:color w:val="000000"/>
          <w:szCs w:val="24"/>
          <w:lang w:val="en-US" w:eastAsia="en-ZA"/>
        </w:rPr>
        <w:t>[16.5]</w:t>
      </w:r>
      <w:r>
        <w:rPr>
          <w:rFonts w:eastAsia="Times New Roman" w:cs="Arial"/>
          <w:color w:val="000000"/>
          <w:szCs w:val="24"/>
          <w:lang w:val="en-US" w:eastAsia="en-ZA"/>
        </w:rPr>
        <w:tab/>
      </w:r>
      <w:r w:rsidR="0023232E">
        <w:t>Strand Street (inclusive of the pavements and road reserve on both sides of the</w:t>
      </w:r>
      <w:r w:rsidR="00736459">
        <w:t xml:space="preserve"> </w:t>
      </w:r>
      <w:r w:rsidR="0023232E">
        <w:t>road after the station outbound and over the entire width of the pavement on</w:t>
      </w:r>
      <w:r w:rsidR="00736459">
        <w:t xml:space="preserve"> </w:t>
      </w:r>
      <w:r w:rsidR="0023232E">
        <w:t>both sides of the road) and the Strand Street side of the Castle on the pavement</w:t>
      </w:r>
      <w:r w:rsidR="00736459">
        <w:t xml:space="preserve"> </w:t>
      </w:r>
      <w:r w:rsidR="0023232E">
        <w:t>and road reserve and grass area outside the Castle;</w:t>
      </w:r>
    </w:p>
    <w:p w14:paraId="1B4B3F92" w14:textId="00DAE7CC" w:rsidR="00736459" w:rsidRDefault="00ED74CB" w:rsidP="00ED74CB">
      <w:pPr>
        <w:ind w:left="1440" w:hanging="720"/>
      </w:pPr>
      <w:r>
        <w:rPr>
          <w:rFonts w:eastAsia="Times New Roman" w:cs="Arial"/>
          <w:color w:val="000000"/>
          <w:szCs w:val="24"/>
          <w:lang w:val="en-US" w:eastAsia="en-ZA"/>
        </w:rPr>
        <w:t>[16.6]</w:t>
      </w:r>
      <w:r>
        <w:rPr>
          <w:rFonts w:eastAsia="Times New Roman" w:cs="Arial"/>
          <w:color w:val="000000"/>
          <w:szCs w:val="24"/>
          <w:lang w:val="en-US" w:eastAsia="en-ZA"/>
        </w:rPr>
        <w:tab/>
      </w:r>
      <w:r w:rsidR="00736459">
        <w:t>Foreshore N</w:t>
      </w:r>
      <w:r w:rsidR="002C167B">
        <w:t>1</w:t>
      </w:r>
      <w:r w:rsidR="00736459">
        <w:t xml:space="preserve"> (near Turbines) inclusive of the pavement and road reserve and area surrounding the Roggebaai Gas Turbines; and</w:t>
      </w:r>
    </w:p>
    <w:p w14:paraId="74F9D728" w14:textId="4D941161" w:rsidR="00736459" w:rsidRDefault="00ED74CB" w:rsidP="00ED74CB">
      <w:pPr>
        <w:ind w:left="1440" w:hanging="720"/>
      </w:pPr>
      <w:r>
        <w:rPr>
          <w:rFonts w:eastAsia="Times New Roman" w:cs="Arial"/>
          <w:color w:val="000000"/>
          <w:szCs w:val="24"/>
          <w:lang w:val="en-US" w:eastAsia="en-ZA"/>
        </w:rPr>
        <w:lastRenderedPageBreak/>
        <w:t>[16.7]</w:t>
      </w:r>
      <w:r>
        <w:rPr>
          <w:rFonts w:eastAsia="Times New Roman" w:cs="Arial"/>
          <w:color w:val="000000"/>
          <w:szCs w:val="24"/>
          <w:lang w:val="en-US" w:eastAsia="en-ZA"/>
        </w:rPr>
        <w:tab/>
      </w:r>
      <w:r w:rsidR="00736459">
        <w:t>Virginia Avenue and Mill Street Bridge (inclusive of the pavement and road reserve).</w:t>
      </w:r>
    </w:p>
    <w:p w14:paraId="1DA580B0" w14:textId="590B0CBA" w:rsidR="000B34B0" w:rsidRDefault="00ED74CB" w:rsidP="00ED74CB">
      <w:r>
        <w:rPr>
          <w:rFonts w:eastAsia="Times New Roman" w:cs="Arial"/>
          <w:color w:val="000000"/>
          <w:szCs w:val="24"/>
          <w:lang w:val="en-US" w:eastAsia="en-ZA"/>
        </w:rPr>
        <w:t>[17]</w:t>
      </w:r>
      <w:r>
        <w:rPr>
          <w:rFonts w:eastAsia="Times New Roman" w:cs="Arial"/>
          <w:color w:val="000000"/>
          <w:szCs w:val="24"/>
          <w:lang w:val="en-US" w:eastAsia="en-ZA"/>
        </w:rPr>
        <w:tab/>
      </w:r>
      <w:r w:rsidR="00736459">
        <w:t xml:space="preserve">The City owns all the </w:t>
      </w:r>
      <w:r w:rsidR="00C71A4E">
        <w:t>P</w:t>
      </w:r>
      <w:r w:rsidR="00736459">
        <w:t>roperties.</w:t>
      </w:r>
      <w:r w:rsidR="00783F0D">
        <w:t xml:space="preserve"> </w:t>
      </w:r>
      <w:r w:rsidR="009022C0">
        <w:t xml:space="preserve">The City does not seek the eviction of persons living in similar conditions on </w:t>
      </w:r>
      <w:r w:rsidR="00342C61">
        <w:t>land it does not own. For example, there are other homeless people living next to the Castle on land owned by the national government</w:t>
      </w:r>
      <w:r w:rsidR="000B34B0">
        <w:t xml:space="preserve">; the City does not seek their eviction. </w:t>
      </w:r>
    </w:p>
    <w:p w14:paraId="68706D9D" w14:textId="24EAB36A" w:rsidR="00AA270B" w:rsidRDefault="00ED74CB" w:rsidP="00ED74CB">
      <w:r>
        <w:rPr>
          <w:rFonts w:eastAsia="Times New Roman" w:cs="Arial"/>
          <w:color w:val="000000"/>
          <w:szCs w:val="24"/>
          <w:lang w:val="en-US" w:eastAsia="en-ZA"/>
        </w:rPr>
        <w:t>[18]</w:t>
      </w:r>
      <w:r>
        <w:rPr>
          <w:rFonts w:eastAsia="Times New Roman" w:cs="Arial"/>
          <w:color w:val="000000"/>
          <w:szCs w:val="24"/>
          <w:lang w:val="en-US" w:eastAsia="en-ZA"/>
        </w:rPr>
        <w:tab/>
      </w:r>
      <w:r w:rsidR="007743CF">
        <w:t xml:space="preserve">The City emphasizes </w:t>
      </w:r>
      <w:r w:rsidR="000D6DF1">
        <w:t xml:space="preserve">that the </w:t>
      </w:r>
      <w:r w:rsidR="00C71A4E">
        <w:t>P</w:t>
      </w:r>
      <w:r w:rsidR="000D6DF1">
        <w:t>roperties are not fit for human habitation. They are adjacent to busy roads</w:t>
      </w:r>
      <w:r w:rsidR="00E34181">
        <w:t xml:space="preserve"> and therefore unsafe</w:t>
      </w:r>
      <w:r w:rsidR="000D6DF1">
        <w:t>. There is no access to water, sanitation or electricity</w:t>
      </w:r>
      <w:r w:rsidR="00E47CB9">
        <w:t xml:space="preserve">. The structures </w:t>
      </w:r>
      <w:r w:rsidR="007F1566">
        <w:t>– which are either tents</w:t>
      </w:r>
      <w:r w:rsidR="00705628">
        <w:t>,</w:t>
      </w:r>
      <w:r w:rsidR="007F1566">
        <w:t xml:space="preserve"> or are made out of plastic and cardboard –</w:t>
      </w:r>
      <w:r w:rsidR="00E47CB9">
        <w:t xml:space="preserve"> are unfit for long-term habitation</w:t>
      </w:r>
      <w:r w:rsidR="007F1566">
        <w:t xml:space="preserve">. </w:t>
      </w:r>
      <w:r w:rsidR="00193FCC">
        <w:t>They provide limited protection from the elements</w:t>
      </w:r>
      <w:r w:rsidR="002F33F8">
        <w:t>, and little or no safety or security.</w:t>
      </w:r>
      <w:r w:rsidR="00AA270B">
        <w:t xml:space="preserve"> </w:t>
      </w:r>
    </w:p>
    <w:p w14:paraId="24E80ED0" w14:textId="2C2158C6" w:rsidR="009D1045" w:rsidRDefault="00ED74CB" w:rsidP="00ED74CB">
      <w:r>
        <w:rPr>
          <w:rFonts w:eastAsia="Times New Roman" w:cs="Arial"/>
          <w:color w:val="000000"/>
          <w:szCs w:val="24"/>
          <w:lang w:val="en-US" w:eastAsia="en-ZA"/>
        </w:rPr>
        <w:t>[19]</w:t>
      </w:r>
      <w:r>
        <w:rPr>
          <w:rFonts w:eastAsia="Times New Roman" w:cs="Arial"/>
          <w:color w:val="000000"/>
          <w:szCs w:val="24"/>
          <w:lang w:val="en-US" w:eastAsia="en-ZA"/>
        </w:rPr>
        <w:tab/>
      </w:r>
      <w:r w:rsidR="009D1045">
        <w:t>The City describes the problems at each site specifically</w:t>
      </w:r>
      <w:r w:rsidR="006B3040">
        <w:t xml:space="preserve">. But </w:t>
      </w:r>
      <w:r w:rsidR="00BD1F87">
        <w:t>several</w:t>
      </w:r>
      <w:r w:rsidR="006B3040">
        <w:t xml:space="preserve"> problems are common across </w:t>
      </w:r>
      <w:r w:rsidR="00BD1F87">
        <w:t>most or all of them.</w:t>
      </w:r>
    </w:p>
    <w:p w14:paraId="28EBE6DA" w14:textId="0855C687" w:rsidR="00005885" w:rsidRDefault="00ED74CB" w:rsidP="00ED74CB">
      <w:r>
        <w:rPr>
          <w:rFonts w:eastAsia="Times New Roman" w:cs="Arial"/>
          <w:color w:val="000000"/>
          <w:szCs w:val="24"/>
          <w:lang w:val="en-US" w:eastAsia="en-ZA"/>
        </w:rPr>
        <w:t>[20]</w:t>
      </w:r>
      <w:r>
        <w:rPr>
          <w:rFonts w:eastAsia="Times New Roman" w:cs="Arial"/>
          <w:color w:val="000000"/>
          <w:szCs w:val="24"/>
          <w:lang w:val="en-US" w:eastAsia="en-ZA"/>
        </w:rPr>
        <w:tab/>
      </w:r>
      <w:r w:rsidR="00E951C0" w:rsidRPr="00ED74CB">
        <w:rPr>
          <w:u w:val="single"/>
        </w:rPr>
        <w:t>First</w:t>
      </w:r>
      <w:r w:rsidR="00E951C0" w:rsidRPr="00E951C0">
        <w:t>, t</w:t>
      </w:r>
      <w:r w:rsidR="00005885">
        <w:t xml:space="preserve">here </w:t>
      </w:r>
      <w:r w:rsidR="00E951C0">
        <w:t>are risks to state infrastructure. The Occupiers – understandably – make fires</w:t>
      </w:r>
      <w:r w:rsidR="00705628">
        <w:t xml:space="preserve"> to cook and to keep themselves warm</w:t>
      </w:r>
      <w:r w:rsidR="00E951C0">
        <w:t xml:space="preserve">. But this can damage </w:t>
      </w:r>
      <w:r w:rsidR="005E2DE0">
        <w:t xml:space="preserve">pavements, </w:t>
      </w:r>
      <w:r w:rsidR="00F62301">
        <w:t xml:space="preserve">bridges and other infrastructure. </w:t>
      </w:r>
      <w:r w:rsidR="006518DD">
        <w:t xml:space="preserve">A particularly severe example is the </w:t>
      </w:r>
      <w:r w:rsidR="00C73714">
        <w:t xml:space="preserve">risk posed by </w:t>
      </w:r>
      <w:r w:rsidR="006518DD">
        <w:t>people living and making fires near the Roggebaai Gas Turbines</w:t>
      </w:r>
      <w:r w:rsidR="00C73714">
        <w:t>.</w:t>
      </w:r>
      <w:r w:rsidR="006518DD">
        <w:t xml:space="preserve"> </w:t>
      </w:r>
      <w:r w:rsidR="00F62301">
        <w:t xml:space="preserve">Signs and fences have been vandalized to use for shelter or gain access to better areas. Waterpipes and drains have been </w:t>
      </w:r>
      <w:r w:rsidR="00F77591">
        <w:t>obstructed or damaged.</w:t>
      </w:r>
      <w:r w:rsidR="00492CBC">
        <w:t xml:space="preserve"> Simply put, the road reserves contain a </w:t>
      </w:r>
      <w:r w:rsidR="00DB4B99">
        <w:t xml:space="preserve">wide range of infrastructure, none of which is designed </w:t>
      </w:r>
      <w:r w:rsidR="00604CC4">
        <w:t>to operate with people living there.</w:t>
      </w:r>
      <w:r w:rsidR="00152644">
        <w:t xml:space="preserve"> The Occupiers’ presence there threatens this infrastructure creating a risk for them, and for all who </w:t>
      </w:r>
      <w:r w:rsidR="00705628">
        <w:t>rely on</w:t>
      </w:r>
      <w:r w:rsidR="00152644">
        <w:t xml:space="preserve"> it.</w:t>
      </w:r>
    </w:p>
    <w:p w14:paraId="3CAF7135" w14:textId="1CB71BB6" w:rsidR="005E2DE0" w:rsidRDefault="00ED74CB" w:rsidP="00ED74CB">
      <w:r>
        <w:rPr>
          <w:rFonts w:eastAsia="Times New Roman" w:cs="Arial"/>
          <w:color w:val="000000"/>
          <w:szCs w:val="24"/>
          <w:lang w:val="en-US" w:eastAsia="en-ZA"/>
        </w:rPr>
        <w:lastRenderedPageBreak/>
        <w:t>[21]</w:t>
      </w:r>
      <w:r>
        <w:rPr>
          <w:rFonts w:eastAsia="Times New Roman" w:cs="Arial"/>
          <w:color w:val="000000"/>
          <w:szCs w:val="24"/>
          <w:lang w:val="en-US" w:eastAsia="en-ZA"/>
        </w:rPr>
        <w:tab/>
      </w:r>
      <w:r w:rsidR="005E2DE0" w:rsidRPr="00ED74CB">
        <w:rPr>
          <w:u w:val="single"/>
        </w:rPr>
        <w:t>Second</w:t>
      </w:r>
      <w:r w:rsidR="005E2DE0">
        <w:t>, the Occupiers obstruct pedestrian and vehicular traffic. Because they live on the pavement, people using the pavement (including the occupiers) are forced onto the road. This creates a risk both for them and for motorists.</w:t>
      </w:r>
      <w:r w:rsidR="004F2BEA">
        <w:t xml:space="preserve"> It also denies other residents of the City the ability to freely use the pavements that were designed for that purpose.</w:t>
      </w:r>
    </w:p>
    <w:p w14:paraId="66A4B670" w14:textId="7BB55646" w:rsidR="00FE101A" w:rsidRPr="00ED74CB" w:rsidRDefault="00ED74CB" w:rsidP="00ED74CB">
      <w:pPr>
        <w:rPr>
          <w:u w:val="single"/>
        </w:rPr>
      </w:pPr>
      <w:r w:rsidRPr="00FE101A">
        <w:rPr>
          <w:rFonts w:eastAsia="Times New Roman" w:cs="Arial"/>
          <w:color w:val="000000"/>
          <w:szCs w:val="24"/>
          <w:lang w:val="en-US" w:eastAsia="en-ZA"/>
        </w:rPr>
        <w:t>[22]</w:t>
      </w:r>
      <w:r w:rsidRPr="00FE101A">
        <w:rPr>
          <w:rFonts w:eastAsia="Times New Roman" w:cs="Arial"/>
          <w:color w:val="000000"/>
          <w:szCs w:val="24"/>
          <w:lang w:val="en-US" w:eastAsia="en-ZA"/>
        </w:rPr>
        <w:tab/>
      </w:r>
      <w:r w:rsidR="00737243" w:rsidRPr="00ED74CB">
        <w:rPr>
          <w:u w:val="single"/>
        </w:rPr>
        <w:t>Third</w:t>
      </w:r>
      <w:r w:rsidR="00A85AFA" w:rsidRPr="00A85AFA">
        <w:t>,</w:t>
      </w:r>
      <w:r w:rsidR="00651704">
        <w:t xml:space="preserve"> </w:t>
      </w:r>
      <w:r w:rsidR="00875D61">
        <w:t>the conditions are unhealthy and hazardous for the Occupiers themselves. They suffer from malnutrition</w:t>
      </w:r>
      <w:r w:rsidR="00CF374C">
        <w:t xml:space="preserve">, physical and psychological health risks from living such unsheltered lives, </w:t>
      </w:r>
      <w:r w:rsidR="00DB7780">
        <w:t xml:space="preserve">and </w:t>
      </w:r>
      <w:r w:rsidR="00CF374C">
        <w:t>diseases</w:t>
      </w:r>
      <w:r w:rsidR="00341608">
        <w:t xml:space="preserve"> caused by food waste, lack of sanitation</w:t>
      </w:r>
      <w:r w:rsidR="00DB7780">
        <w:t>, exposure to fires</w:t>
      </w:r>
      <w:r w:rsidR="00341608">
        <w:t xml:space="preserve"> and vermin.</w:t>
      </w:r>
      <w:r w:rsidR="003D38E2">
        <w:t xml:space="preserve"> People living on the streets are also generally less likely to seek healthcare when they become sick, or to </w:t>
      </w:r>
      <w:r w:rsidR="001F598A">
        <w:t>take their medication as directed.</w:t>
      </w:r>
    </w:p>
    <w:p w14:paraId="58198996" w14:textId="612D11E7" w:rsidR="00737243" w:rsidRPr="00ED74CB" w:rsidRDefault="00ED74CB" w:rsidP="00ED74CB">
      <w:pPr>
        <w:rPr>
          <w:u w:val="single"/>
        </w:rPr>
      </w:pPr>
      <w:r w:rsidRPr="00A85AFA">
        <w:rPr>
          <w:rFonts w:eastAsia="Times New Roman" w:cs="Arial"/>
          <w:color w:val="000000"/>
          <w:szCs w:val="24"/>
          <w:lang w:val="en-US" w:eastAsia="en-ZA"/>
        </w:rPr>
        <w:t>[23]</w:t>
      </w:r>
      <w:r w:rsidRPr="00A85AFA">
        <w:rPr>
          <w:rFonts w:eastAsia="Times New Roman" w:cs="Arial"/>
          <w:color w:val="000000"/>
          <w:szCs w:val="24"/>
          <w:lang w:val="en-US" w:eastAsia="en-ZA"/>
        </w:rPr>
        <w:tab/>
      </w:r>
      <w:r w:rsidR="00FE101A" w:rsidRPr="00ED74CB">
        <w:rPr>
          <w:u w:val="single"/>
        </w:rPr>
        <w:t>Fourth</w:t>
      </w:r>
      <w:r w:rsidR="00FE101A" w:rsidRPr="00FE101A">
        <w:t xml:space="preserve">, </w:t>
      </w:r>
      <w:r w:rsidR="00FB3018">
        <w:t xml:space="preserve">the conduct of the Occupiers </w:t>
      </w:r>
      <w:r w:rsidR="00E1114E">
        <w:t>a</w:t>
      </w:r>
      <w:r w:rsidR="00FB3018">
        <w:t xml:space="preserve">ffects people living and working in the City. The City argues that </w:t>
      </w:r>
      <w:r w:rsidR="00212681">
        <w:t xml:space="preserve">homeless people are forced to conduct normal </w:t>
      </w:r>
      <w:r w:rsidR="00E46A4E">
        <w:t>h</w:t>
      </w:r>
      <w:r w:rsidR="00212681">
        <w:t>uman behaviour in public,</w:t>
      </w:r>
      <w:r w:rsidR="00E46A4E">
        <w:t xml:space="preserve"> including urinating, defecating, bathing and having sex. The City </w:t>
      </w:r>
      <w:r w:rsidR="00E504B1">
        <w:t>alleges</w:t>
      </w:r>
      <w:r w:rsidR="00E46A4E">
        <w:t xml:space="preserve"> that this undermines the Occupiers’ privacy and dignity, as well as i</w:t>
      </w:r>
      <w:r w:rsidR="00FB5428">
        <w:t>mpacting on others in the area.</w:t>
      </w:r>
    </w:p>
    <w:p w14:paraId="788A0F75" w14:textId="18CC5D4E" w:rsidR="00830713" w:rsidRPr="00ED74CB" w:rsidRDefault="00ED74CB" w:rsidP="00ED74CB">
      <w:pPr>
        <w:rPr>
          <w:u w:val="single"/>
        </w:rPr>
      </w:pPr>
      <w:r w:rsidRPr="00651704">
        <w:rPr>
          <w:rFonts w:eastAsia="Times New Roman" w:cs="Arial"/>
          <w:color w:val="000000"/>
          <w:szCs w:val="24"/>
          <w:lang w:val="en-US" w:eastAsia="en-ZA"/>
        </w:rPr>
        <w:t>[24]</w:t>
      </w:r>
      <w:r w:rsidRPr="00651704">
        <w:rPr>
          <w:rFonts w:eastAsia="Times New Roman" w:cs="Arial"/>
          <w:color w:val="000000"/>
          <w:szCs w:val="24"/>
          <w:lang w:val="en-US" w:eastAsia="en-ZA"/>
        </w:rPr>
        <w:tab/>
      </w:r>
      <w:r w:rsidR="00830713">
        <w:t xml:space="preserve">To a degree, I accept that these concerns justify the City’s decision to seek an eviction. </w:t>
      </w:r>
      <w:r w:rsidR="005666A2">
        <w:t xml:space="preserve">It is no criticism of the Occupiers to say that they are compelled to </w:t>
      </w:r>
      <w:r w:rsidR="00592306">
        <w:t xml:space="preserve">live in public – they have no choice. The limitation on their rights by being compelled to do so is far greater than any impact on those who must observe them. But </w:t>
      </w:r>
      <w:r w:rsidR="007A0528">
        <w:t>there are reasons why the law generally prohibits urinating, defecating and wa</w:t>
      </w:r>
      <w:r w:rsidR="00A3694B">
        <w:t xml:space="preserve">shing in public. It is unsanitary </w:t>
      </w:r>
      <w:r w:rsidR="00F17EC0">
        <w:t xml:space="preserve">and </w:t>
      </w:r>
      <w:r w:rsidR="005A2A59">
        <w:t>unpleasant for those who must observe others doing in public what should be done in private.</w:t>
      </w:r>
      <w:r w:rsidR="00A85AFA">
        <w:t xml:space="preserve"> It creates </w:t>
      </w:r>
      <w:r w:rsidR="00705628">
        <w:t>health risks for the Occupiers and for others</w:t>
      </w:r>
      <w:r w:rsidR="00096264">
        <w:t>.</w:t>
      </w:r>
    </w:p>
    <w:p w14:paraId="3E8130D3" w14:textId="456496DF" w:rsidR="001B5015" w:rsidRDefault="00ED74CB" w:rsidP="00ED74CB">
      <w:r>
        <w:rPr>
          <w:rFonts w:eastAsia="Times New Roman" w:cs="Arial"/>
          <w:color w:val="000000"/>
          <w:szCs w:val="24"/>
          <w:lang w:val="en-US" w:eastAsia="en-ZA"/>
        </w:rPr>
        <w:lastRenderedPageBreak/>
        <w:t>[25]</w:t>
      </w:r>
      <w:r>
        <w:rPr>
          <w:rFonts w:eastAsia="Times New Roman" w:cs="Arial"/>
          <w:color w:val="000000"/>
          <w:szCs w:val="24"/>
          <w:lang w:val="en-US" w:eastAsia="en-ZA"/>
        </w:rPr>
        <w:tab/>
      </w:r>
      <w:r w:rsidR="006432EB">
        <w:t>T</w:t>
      </w:r>
      <w:r w:rsidR="005A2A59">
        <w:t>o make its point, t</w:t>
      </w:r>
      <w:r w:rsidR="006432EB">
        <w:t xml:space="preserve">he City relies on complaints that it has received from members of the public about homeless people in the CBD. </w:t>
      </w:r>
      <w:r w:rsidR="00154096">
        <w:t>These complaints range from an inability to use bus stops</w:t>
      </w:r>
      <w:r w:rsidR="00551EDA">
        <w:t>, litter</w:t>
      </w:r>
      <w:r w:rsidR="00154096">
        <w:t xml:space="preserve"> and the vandalism of public infrastructure, to the </w:t>
      </w:r>
      <w:r w:rsidR="00551EDA">
        <w:t xml:space="preserve">depreciation of property values, and the flight of tourists and businesses from the CBD. </w:t>
      </w:r>
    </w:p>
    <w:p w14:paraId="7D3AD455" w14:textId="4D8D2BCC" w:rsidR="001B5015" w:rsidRDefault="00ED74CB" w:rsidP="00ED74CB">
      <w:r>
        <w:rPr>
          <w:rFonts w:eastAsia="Times New Roman" w:cs="Arial"/>
          <w:color w:val="000000"/>
          <w:szCs w:val="24"/>
          <w:lang w:val="en-US" w:eastAsia="en-ZA"/>
        </w:rPr>
        <w:t>[26]</w:t>
      </w:r>
      <w:r>
        <w:rPr>
          <w:rFonts w:eastAsia="Times New Roman" w:cs="Arial"/>
          <w:color w:val="000000"/>
          <w:szCs w:val="24"/>
          <w:lang w:val="en-US" w:eastAsia="en-ZA"/>
        </w:rPr>
        <w:tab/>
      </w:r>
      <w:r w:rsidR="001B5015">
        <w:t xml:space="preserve">I accept that </w:t>
      </w:r>
      <w:r w:rsidR="000347F7">
        <w:t>the Occupiers’ occupation of the properties make the use of the City more difficult for others who use the City</w:t>
      </w:r>
      <w:r w:rsidR="00616299">
        <w:t>, and may make the downtown less desirable location</w:t>
      </w:r>
      <w:r w:rsidR="000347F7">
        <w:t xml:space="preserve">. </w:t>
      </w:r>
      <w:r w:rsidR="008F1E6D">
        <w:t>I think this is already established by the City’s other evidence.</w:t>
      </w:r>
    </w:p>
    <w:p w14:paraId="4FE03549" w14:textId="32837F69" w:rsidR="00FA66CF" w:rsidRDefault="00ED74CB" w:rsidP="00ED74CB">
      <w:r>
        <w:rPr>
          <w:rFonts w:eastAsia="Times New Roman" w:cs="Arial"/>
          <w:color w:val="000000"/>
          <w:szCs w:val="24"/>
          <w:lang w:val="en-US" w:eastAsia="en-ZA"/>
        </w:rPr>
        <w:t>[27]</w:t>
      </w:r>
      <w:r>
        <w:rPr>
          <w:rFonts w:eastAsia="Times New Roman" w:cs="Arial"/>
          <w:color w:val="000000"/>
          <w:szCs w:val="24"/>
          <w:lang w:val="en-US" w:eastAsia="en-ZA"/>
        </w:rPr>
        <w:tab/>
      </w:r>
      <w:r w:rsidR="008F1E6D">
        <w:t xml:space="preserve">But </w:t>
      </w:r>
      <w:r w:rsidR="00551EDA">
        <w:t xml:space="preserve">I do not think much weight </w:t>
      </w:r>
      <w:r w:rsidR="00BA4115">
        <w:t>should</w:t>
      </w:r>
      <w:r w:rsidR="00551EDA">
        <w:t xml:space="preserve"> be placed on these complaints. </w:t>
      </w:r>
      <w:r w:rsidR="001F3A4D">
        <w:t>They are, largely, complaints about the existence of homeless people in the CBD. But homelessness</w:t>
      </w:r>
      <w:r w:rsidR="00643B34">
        <w:t xml:space="preserve"> </w:t>
      </w:r>
      <w:r w:rsidR="001F3A4D">
        <w:t xml:space="preserve">is a reality without any </w:t>
      </w:r>
      <w:r w:rsidR="006048C9">
        <w:t xml:space="preserve">simple </w:t>
      </w:r>
      <w:r w:rsidR="001F3A4D">
        <w:t xml:space="preserve">solution. </w:t>
      </w:r>
      <w:r w:rsidR="00643B34">
        <w:t>Ms Pillay SC</w:t>
      </w:r>
      <w:r w:rsidR="003C0A9E">
        <w:t>,</w:t>
      </w:r>
      <w:r w:rsidR="00643B34">
        <w:t xml:space="preserve"> who appeared for the City</w:t>
      </w:r>
      <w:r w:rsidR="003C0A9E">
        <w:t>,</w:t>
      </w:r>
      <w:r w:rsidR="00643B34">
        <w:t xml:space="preserve"> repeatedly reminded me that this case was not about “solving” </w:t>
      </w:r>
      <w:r w:rsidR="003C0A9E">
        <w:t>homelessness</w:t>
      </w:r>
      <w:r w:rsidR="00EE7BBC">
        <w:t>. I agree</w:t>
      </w:r>
      <w:r w:rsidR="00D54CE8">
        <w:t xml:space="preserve">. </w:t>
      </w:r>
      <w:r w:rsidR="00EE7BBC">
        <w:t>But that means that</w:t>
      </w:r>
      <w:r w:rsidR="006048C9">
        <w:t xml:space="preserve"> the complaints will persist</w:t>
      </w:r>
      <w:r w:rsidR="003A0C74">
        <w:t xml:space="preserve"> for as long as people have nowhere else to live and gravitate to the CBD to make a living</w:t>
      </w:r>
      <w:r w:rsidR="00D22B59">
        <w:t>. That will happen</w:t>
      </w:r>
      <w:r w:rsidR="00EE7BBC">
        <w:t xml:space="preserve"> with or without this eviction order</w:t>
      </w:r>
      <w:r w:rsidR="006048C9">
        <w:t>.</w:t>
      </w:r>
    </w:p>
    <w:p w14:paraId="76A5A6A6" w14:textId="0DE290BE" w:rsidR="006432EB" w:rsidRDefault="00ED74CB" w:rsidP="00ED74CB">
      <w:r>
        <w:rPr>
          <w:rFonts w:eastAsia="Times New Roman" w:cs="Arial"/>
          <w:color w:val="000000"/>
          <w:szCs w:val="24"/>
          <w:lang w:val="en-US" w:eastAsia="en-ZA"/>
        </w:rPr>
        <w:t>[28]</w:t>
      </w:r>
      <w:r>
        <w:rPr>
          <w:rFonts w:eastAsia="Times New Roman" w:cs="Arial"/>
          <w:color w:val="000000"/>
          <w:szCs w:val="24"/>
          <w:lang w:val="en-US" w:eastAsia="en-ZA"/>
        </w:rPr>
        <w:tab/>
      </w:r>
      <w:r w:rsidR="00D54CE8">
        <w:t>There is also a degree of nimbyism about the complaints</w:t>
      </w:r>
      <w:r w:rsidR="006821D3">
        <w:t xml:space="preserve"> – “Please move these homeless people somewhere else and make them somebody else’s problem.” </w:t>
      </w:r>
      <w:r w:rsidR="00496DF1">
        <w:t xml:space="preserve">But homelessness is </w:t>
      </w:r>
      <w:r w:rsidR="00496DF1" w:rsidRPr="00ED74CB">
        <w:rPr>
          <w:u w:val="single"/>
        </w:rPr>
        <w:t>our</w:t>
      </w:r>
      <w:r w:rsidR="00496DF1">
        <w:t xml:space="preserve"> problem</w:t>
      </w:r>
      <w:r w:rsidR="006048C9">
        <w:t xml:space="preserve">. </w:t>
      </w:r>
      <w:r w:rsidR="00D869BC">
        <w:t xml:space="preserve">Homeless people are part of the City as much as </w:t>
      </w:r>
      <w:r w:rsidR="00E44947">
        <w:t>all its other residents</w:t>
      </w:r>
      <w:r w:rsidR="00E025B3">
        <w:t xml:space="preserve">. </w:t>
      </w:r>
      <w:r w:rsidR="00E44947">
        <w:t>Homelessness</w:t>
      </w:r>
      <w:r w:rsidR="006048C9">
        <w:t xml:space="preserve"> is a result of </w:t>
      </w:r>
      <w:r w:rsidR="000C7F94">
        <w:t xml:space="preserve">some factors beyond the City’s control, and some </w:t>
      </w:r>
      <w:r w:rsidR="006048C9">
        <w:t xml:space="preserve">choices we have made as a society about the </w:t>
      </w:r>
      <w:r w:rsidR="000C7F94">
        <w:t xml:space="preserve">distribution of resources. </w:t>
      </w:r>
      <w:r w:rsidR="00496DF1">
        <w:t xml:space="preserve"> </w:t>
      </w:r>
      <w:r w:rsidR="000C7F94">
        <w:t>N</w:t>
      </w:r>
      <w:r w:rsidR="00496DF1">
        <w:t xml:space="preserve">one of </w:t>
      </w:r>
      <w:r w:rsidR="000C7F94">
        <w:t xml:space="preserve">the causes </w:t>
      </w:r>
      <w:r w:rsidR="003C0A9E">
        <w:t xml:space="preserve">or symptoms </w:t>
      </w:r>
      <w:r w:rsidR="000C7F94">
        <w:t>of homelessness</w:t>
      </w:r>
      <w:r w:rsidR="00496DF1">
        <w:t xml:space="preserve"> will be solved by moving homeless people </w:t>
      </w:r>
      <w:r w:rsidR="001E6F20">
        <w:t>from one place to another</w:t>
      </w:r>
      <w:r w:rsidR="00705628">
        <w:t>, even to a safe space</w:t>
      </w:r>
      <w:r w:rsidR="00496DF1">
        <w:t>.</w:t>
      </w:r>
      <w:r w:rsidR="00A752A4">
        <w:t xml:space="preserve"> </w:t>
      </w:r>
    </w:p>
    <w:p w14:paraId="7B24C65A" w14:textId="0A05C8C1" w:rsidR="00FC2372" w:rsidRDefault="00ED74CB" w:rsidP="00ED74CB">
      <w:r>
        <w:rPr>
          <w:rFonts w:eastAsia="Times New Roman" w:cs="Arial"/>
          <w:color w:val="000000"/>
          <w:szCs w:val="24"/>
          <w:lang w:val="en-US" w:eastAsia="en-ZA"/>
        </w:rPr>
        <w:lastRenderedPageBreak/>
        <w:t>[29]</w:t>
      </w:r>
      <w:r>
        <w:rPr>
          <w:rFonts w:eastAsia="Times New Roman" w:cs="Arial"/>
          <w:color w:val="000000"/>
          <w:szCs w:val="24"/>
          <w:lang w:val="en-US" w:eastAsia="en-ZA"/>
        </w:rPr>
        <w:tab/>
      </w:r>
      <w:r w:rsidR="00FC2372" w:rsidRPr="00ED74CB">
        <w:rPr>
          <w:u w:val="single"/>
        </w:rPr>
        <w:t>F</w:t>
      </w:r>
      <w:r w:rsidR="00DB7780" w:rsidRPr="00ED74CB">
        <w:rPr>
          <w:u w:val="single"/>
        </w:rPr>
        <w:t>if</w:t>
      </w:r>
      <w:r w:rsidR="00FC2372" w:rsidRPr="00ED74CB">
        <w:rPr>
          <w:u w:val="single"/>
        </w:rPr>
        <w:t>th</w:t>
      </w:r>
      <w:r w:rsidR="00FC2372">
        <w:t xml:space="preserve">, there is a complaint that homeless people are responsible for various forms of crime </w:t>
      </w:r>
      <w:r w:rsidR="00221E3E">
        <w:t>in the City, including selling drugs, petty theft, mugging and sex work. I do not place any weight on this complaint for two reasons:</w:t>
      </w:r>
    </w:p>
    <w:p w14:paraId="7575CDEB" w14:textId="67FB38ED" w:rsidR="00221E3E" w:rsidRDefault="00ED74CB" w:rsidP="00ED74CB">
      <w:pPr>
        <w:ind w:left="1440" w:hanging="720"/>
      </w:pPr>
      <w:r>
        <w:rPr>
          <w:rFonts w:eastAsia="Times New Roman" w:cs="Arial"/>
          <w:color w:val="000000"/>
          <w:szCs w:val="24"/>
          <w:lang w:val="en-US" w:eastAsia="en-ZA"/>
        </w:rPr>
        <w:t>[29.1]</w:t>
      </w:r>
      <w:r>
        <w:rPr>
          <w:rFonts w:eastAsia="Times New Roman" w:cs="Arial"/>
          <w:color w:val="000000"/>
          <w:szCs w:val="24"/>
          <w:lang w:val="en-US" w:eastAsia="en-ZA"/>
        </w:rPr>
        <w:tab/>
      </w:r>
      <w:r w:rsidR="00221E3E">
        <w:t>The City did not explain why, if the Occupiers are responsible for these crimes, they will stop committing them if they are evicted from the Properties and move to safe spaces.</w:t>
      </w:r>
    </w:p>
    <w:p w14:paraId="3D48160A" w14:textId="74412D55" w:rsidR="008427DF" w:rsidRDefault="00ED74CB" w:rsidP="00ED74CB">
      <w:pPr>
        <w:ind w:left="1440" w:hanging="720"/>
      </w:pPr>
      <w:r>
        <w:rPr>
          <w:rFonts w:eastAsia="Times New Roman" w:cs="Arial"/>
          <w:color w:val="000000"/>
          <w:szCs w:val="24"/>
          <w:lang w:val="en-US" w:eastAsia="en-ZA"/>
        </w:rPr>
        <w:t>[29.2]</w:t>
      </w:r>
      <w:r>
        <w:rPr>
          <w:rFonts w:eastAsia="Times New Roman" w:cs="Arial"/>
          <w:color w:val="000000"/>
          <w:szCs w:val="24"/>
          <w:lang w:val="en-US" w:eastAsia="en-ZA"/>
        </w:rPr>
        <w:tab/>
      </w:r>
      <w:r w:rsidR="00221E3E">
        <w:t xml:space="preserve">I accept that </w:t>
      </w:r>
      <w:r w:rsidR="008427DF">
        <w:t xml:space="preserve">some homeless people may commit crimes. But </w:t>
      </w:r>
      <w:r w:rsidR="00D22B59">
        <w:t>t</w:t>
      </w:r>
      <w:r w:rsidR="008427DF">
        <w:t xml:space="preserve">o use that as a justification for eviction without specific proof linking any Occupier to crime seems unwarranted. The Indian Supreme Court described a similar charge against homeless people as “born of prejudice against the poor and the destitute. Affluent people living in </w:t>
      </w:r>
      <w:r w:rsidR="00D746A4">
        <w:t>skyscrapers</w:t>
      </w:r>
      <w:r w:rsidR="008427DF">
        <w:t xml:space="preserve"> also commit crimes varying from living on the gains of prostitution and defrauding the public treasury to smuggling. But, they get away.</w:t>
      </w:r>
      <w:r w:rsidR="000F664F">
        <w:t>”</w:t>
      </w:r>
      <w:bookmarkStart w:id="2" w:name="_Ref169529509"/>
      <w:r w:rsidR="00FB4210">
        <w:rPr>
          <w:rStyle w:val="FootnoteReference"/>
        </w:rPr>
        <w:footnoteReference w:id="7"/>
      </w:r>
      <w:bookmarkEnd w:id="2"/>
      <w:r w:rsidR="000F664F">
        <w:t xml:space="preserve"> If belonging to a category of people who commits crimes was relevant to eviction, homeless people are not the only ones who would face an insecure future.</w:t>
      </w:r>
    </w:p>
    <w:p w14:paraId="1E2D62DF" w14:textId="79F3DDA0" w:rsidR="00EE7BBC" w:rsidRDefault="00ED74CB" w:rsidP="00ED74CB">
      <w:r>
        <w:rPr>
          <w:rFonts w:eastAsia="Times New Roman" w:cs="Arial"/>
          <w:color w:val="000000"/>
          <w:szCs w:val="24"/>
          <w:lang w:val="en-US" w:eastAsia="en-ZA"/>
        </w:rPr>
        <w:t>[30]</w:t>
      </w:r>
      <w:r>
        <w:rPr>
          <w:rFonts w:eastAsia="Times New Roman" w:cs="Arial"/>
          <w:color w:val="000000"/>
          <w:szCs w:val="24"/>
          <w:lang w:val="en-US" w:eastAsia="en-ZA"/>
        </w:rPr>
        <w:tab/>
      </w:r>
      <w:r w:rsidR="00C71A4E">
        <w:t>The Occupiers accept that living on the street creates risk for their physical and mental well-being. They do not contend that they have a right to occupy the properties indefinitely.</w:t>
      </w:r>
      <w:r w:rsidR="005E05B1">
        <w:t xml:space="preserve"> They accept that, ultimately, their eviction may be warranted – but only once it has engaged meaningfully and offered suitable alternative accommodation.</w:t>
      </w:r>
    </w:p>
    <w:p w14:paraId="077FE077" w14:textId="77777777" w:rsidR="00EE7BBC" w:rsidRDefault="00EE7BBC" w:rsidP="00EE7BBC"/>
    <w:p w14:paraId="1DB6D917" w14:textId="77777777" w:rsidR="00982216" w:rsidRDefault="00982216" w:rsidP="00982216">
      <w:pPr>
        <w:pStyle w:val="Heading2"/>
      </w:pPr>
      <w:r>
        <w:lastRenderedPageBreak/>
        <w:t>Homelessness in the City and the Safe Spaces</w:t>
      </w:r>
    </w:p>
    <w:p w14:paraId="0AB30088" w14:textId="0365067B" w:rsidR="00982216" w:rsidRDefault="00ED74CB" w:rsidP="00ED74CB">
      <w:r>
        <w:rPr>
          <w:rFonts w:eastAsia="Times New Roman" w:cs="Arial"/>
          <w:color w:val="000000"/>
          <w:szCs w:val="24"/>
          <w:lang w:val="en-US" w:eastAsia="en-ZA"/>
        </w:rPr>
        <w:t>[31]</w:t>
      </w:r>
      <w:r>
        <w:rPr>
          <w:rFonts w:eastAsia="Times New Roman" w:cs="Arial"/>
          <w:color w:val="000000"/>
          <w:szCs w:val="24"/>
          <w:lang w:val="en-US" w:eastAsia="en-ZA"/>
        </w:rPr>
        <w:tab/>
      </w:r>
      <w:r w:rsidR="00982216">
        <w:t>There are no clear figures of how many homeless people live in Cape Town, or in the CBD. The estimates range from about 6 175 in 2015 (including those living in shelters) to 14 357 in 2020. The parties agree that the economic impact of the Covid</w:t>
      </w:r>
      <w:r w:rsidR="00982216">
        <w:noBreakHyphen/>
        <w:t>19 pandemic significantly exacerbated the problem. But there were no reports to estimate just how much the population of homeless people has increased.</w:t>
      </w:r>
    </w:p>
    <w:p w14:paraId="1028053A" w14:textId="17EAB1A5" w:rsidR="00982216" w:rsidRDefault="00ED74CB" w:rsidP="00ED74CB">
      <w:r>
        <w:rPr>
          <w:rFonts w:eastAsia="Times New Roman" w:cs="Arial"/>
          <w:color w:val="000000"/>
          <w:szCs w:val="24"/>
          <w:lang w:val="en-US" w:eastAsia="en-ZA"/>
        </w:rPr>
        <w:t>[32]</w:t>
      </w:r>
      <w:r>
        <w:rPr>
          <w:rFonts w:eastAsia="Times New Roman" w:cs="Arial"/>
          <w:color w:val="000000"/>
          <w:szCs w:val="24"/>
          <w:lang w:val="en-US" w:eastAsia="en-ZA"/>
        </w:rPr>
        <w:tab/>
      </w:r>
      <w:r w:rsidR="00982216">
        <w:t>Whatever the precise number, there are thousands of people living on the streets in Cape Town. Most of them live in the CBD, Belville and Mitchell’s Plain because that is where the opportunities exist for them to make a living. Homeless people perform a number of valuable services in these areas – they wash and guard cars, they recycle litter.  Some also resort to crime – petty theft, muggings, sex work, drug dealing.</w:t>
      </w:r>
    </w:p>
    <w:p w14:paraId="6A5D2ECD" w14:textId="35F6DB80" w:rsidR="00982216" w:rsidRDefault="00ED74CB" w:rsidP="00ED74CB">
      <w:r>
        <w:rPr>
          <w:rFonts w:eastAsia="Times New Roman" w:cs="Arial"/>
          <w:color w:val="000000"/>
          <w:szCs w:val="24"/>
          <w:lang w:val="en-US" w:eastAsia="en-ZA"/>
        </w:rPr>
        <w:t>[33]</w:t>
      </w:r>
      <w:r>
        <w:rPr>
          <w:rFonts w:eastAsia="Times New Roman" w:cs="Arial"/>
          <w:color w:val="000000"/>
          <w:szCs w:val="24"/>
          <w:lang w:val="en-US" w:eastAsia="en-ZA"/>
        </w:rPr>
        <w:tab/>
      </w:r>
      <w:r w:rsidR="00982216">
        <w:t xml:space="preserve">What causes homelessness? The parties agreed that the causes are multi-faceted. The City emphasized general factors beyond its control – organized crime, national economic hardship, inadequate mental health care, the prevalence of domestic violence, and persistent poverty and inequality. No doubt these all contribute to people leaving </w:t>
      </w:r>
      <w:r w:rsidR="00282DC0">
        <w:t xml:space="preserve">or being forced to leave </w:t>
      </w:r>
      <w:r w:rsidR="00982216">
        <w:t>their homes to live on the street. None of them are directly within the City’s power to address (although it has a role).</w:t>
      </w:r>
    </w:p>
    <w:p w14:paraId="13D9592C" w14:textId="2AA8F612" w:rsidR="00982216" w:rsidRDefault="00ED74CB" w:rsidP="00ED74CB">
      <w:r>
        <w:rPr>
          <w:rFonts w:eastAsia="Times New Roman" w:cs="Arial"/>
          <w:color w:val="000000"/>
          <w:szCs w:val="24"/>
          <w:lang w:val="en-US" w:eastAsia="en-ZA"/>
        </w:rPr>
        <w:t>[34]</w:t>
      </w:r>
      <w:r>
        <w:rPr>
          <w:rFonts w:eastAsia="Times New Roman" w:cs="Arial"/>
          <w:color w:val="000000"/>
          <w:szCs w:val="24"/>
          <w:lang w:val="en-US" w:eastAsia="en-ZA"/>
        </w:rPr>
        <w:tab/>
      </w:r>
      <w:r w:rsidR="00982216">
        <w:t xml:space="preserve">But the City’s own policies and practices must also affect the extent </w:t>
      </w:r>
      <w:r w:rsidR="005E05B1">
        <w:t xml:space="preserve">and nature </w:t>
      </w:r>
      <w:r w:rsidR="00982216">
        <w:t xml:space="preserve">of homelessness. Most homeless people live on the streets because there is no better option available to them. It is fundamentally the City’s constitutional role to provide better options. It is also the City’s role to assist homeless people. It is also the City’s role – which it accepts – to undo the legacy of apartheid spatial injustice. Part of the </w:t>
      </w:r>
      <w:r w:rsidR="00982216">
        <w:lastRenderedPageBreak/>
        <w:t>reason the City struggles to offer affordable housing in the inner city is precisely because apartheid policies forced Black and Coloured people to the peripheries.</w:t>
      </w:r>
    </w:p>
    <w:p w14:paraId="39ECA2C9" w14:textId="05016C91" w:rsidR="00982216" w:rsidRDefault="00ED74CB" w:rsidP="00ED74CB">
      <w:r>
        <w:rPr>
          <w:rFonts w:eastAsia="Times New Roman" w:cs="Arial"/>
          <w:color w:val="000000"/>
          <w:szCs w:val="24"/>
          <w:lang w:val="en-US" w:eastAsia="en-ZA"/>
        </w:rPr>
        <w:t>[35]</w:t>
      </w:r>
      <w:r>
        <w:rPr>
          <w:rFonts w:eastAsia="Times New Roman" w:cs="Arial"/>
          <w:color w:val="000000"/>
          <w:szCs w:val="24"/>
          <w:lang w:val="en-US" w:eastAsia="en-ZA"/>
        </w:rPr>
        <w:tab/>
      </w:r>
      <w:r w:rsidR="00982216">
        <w:t xml:space="preserve">The City has adopted what it calls a “holistic and multi-faceted” approach to addressing homelessness. It has a Street People Programme Unit that is designed to reduce the number of people living on the streets by reintegrating them into the community. The City says its approach has three “pillars”: rehabilitation; reintegration and an immediate alternative to living on the streets. </w:t>
      </w:r>
      <w:r w:rsidR="005E05B1">
        <w:t xml:space="preserve">Rehabilitation addresses drug addiction, and treatment for mental or other illnesses. </w:t>
      </w:r>
      <w:r w:rsidR="00982216">
        <w:t xml:space="preserve">Reintegration focuses on employment, reunification with families, assisting people to obtain ID documents, and developing skills to enable people to lead functional lives. </w:t>
      </w:r>
    </w:p>
    <w:p w14:paraId="462DD209" w14:textId="0B816D41" w:rsidR="00982216" w:rsidRDefault="00ED74CB" w:rsidP="00ED74CB">
      <w:r>
        <w:rPr>
          <w:rFonts w:eastAsia="Times New Roman" w:cs="Arial"/>
          <w:color w:val="000000"/>
          <w:szCs w:val="24"/>
          <w:lang w:val="en-US" w:eastAsia="en-ZA"/>
        </w:rPr>
        <w:t>[36]</w:t>
      </w:r>
      <w:r>
        <w:rPr>
          <w:rFonts w:eastAsia="Times New Roman" w:cs="Arial"/>
          <w:color w:val="000000"/>
          <w:szCs w:val="24"/>
          <w:lang w:val="en-US" w:eastAsia="en-ZA"/>
        </w:rPr>
        <w:tab/>
      </w:r>
      <w:r w:rsidR="00982216">
        <w:t>It is the third pillar that is at the centre of this application –</w:t>
      </w:r>
      <w:r w:rsidR="005C0E98">
        <w:t xml:space="preserve"> </w:t>
      </w:r>
      <w:r w:rsidR="00982216">
        <w:t xml:space="preserve">an alternative to living on the streets.  </w:t>
      </w:r>
      <w:r w:rsidR="005C0E98">
        <w:t>The City provides funding to NGO-run shelters that provide a place for homeless people to sleep. But t</w:t>
      </w:r>
      <w:r w:rsidR="00094359">
        <w:t xml:space="preserve">he City also runs its own </w:t>
      </w:r>
      <w:r w:rsidR="005C0E98">
        <w:t>safe spaces</w:t>
      </w:r>
      <w:r w:rsidR="00094359">
        <w:t xml:space="preserve"> to provide temporary accommodation for homeless people</w:t>
      </w:r>
      <w:r w:rsidR="005C0E98">
        <w:t xml:space="preserve">. </w:t>
      </w:r>
      <w:r w:rsidR="00982216">
        <w:t xml:space="preserve">The City first opened the Culemborg Safe Space </w:t>
      </w:r>
      <w:r w:rsidR="005E05B1">
        <w:t xml:space="preserve">in the City Centre </w:t>
      </w:r>
      <w:r w:rsidR="00982216">
        <w:t>on 29 June 2018 with space for 230 people. By 2020, it had opened two more – Culemborg II and Paint City in Belville. Collectively they can accommodate 700 people. The City plans to expand the safe spaces and open a new one at the bottom of Ebenezer road for a further 300 people. It has allocated R142 million over three years to expanding and operating safe spaces. It estimates that it spends R41 000 per occupant</w:t>
      </w:r>
      <w:r w:rsidR="00C45BB8">
        <w:t>,</w:t>
      </w:r>
      <w:r w:rsidR="00982216">
        <w:t xml:space="preserve"> per year.</w:t>
      </w:r>
    </w:p>
    <w:p w14:paraId="66DF7504" w14:textId="17E4560F" w:rsidR="00982216" w:rsidRDefault="00ED74CB" w:rsidP="00ED74CB">
      <w:r>
        <w:rPr>
          <w:rFonts w:eastAsia="Times New Roman" w:cs="Arial"/>
          <w:color w:val="000000"/>
          <w:szCs w:val="24"/>
          <w:lang w:val="en-US" w:eastAsia="en-ZA"/>
        </w:rPr>
        <w:t>[37]</w:t>
      </w:r>
      <w:r>
        <w:rPr>
          <w:rFonts w:eastAsia="Times New Roman" w:cs="Arial"/>
          <w:color w:val="000000"/>
          <w:szCs w:val="24"/>
          <w:lang w:val="en-US" w:eastAsia="en-ZA"/>
        </w:rPr>
        <w:tab/>
      </w:r>
      <w:r w:rsidR="00982216">
        <w:t xml:space="preserve">The safe spaces </w:t>
      </w:r>
      <w:r w:rsidR="00D746A4">
        <w:t>include</w:t>
      </w:r>
      <w:r w:rsidR="00982216">
        <w:t xml:space="preserve"> the following practical amenities:</w:t>
      </w:r>
    </w:p>
    <w:p w14:paraId="2598FAD0" w14:textId="2E0E9ECE" w:rsidR="00982216" w:rsidRDefault="00ED74CB" w:rsidP="00ED74CB">
      <w:pPr>
        <w:ind w:left="1440" w:hanging="720"/>
      </w:pPr>
      <w:r>
        <w:rPr>
          <w:rFonts w:eastAsia="Times New Roman" w:cs="Arial"/>
          <w:color w:val="000000"/>
          <w:szCs w:val="24"/>
          <w:lang w:val="en-US" w:eastAsia="en-ZA"/>
        </w:rPr>
        <w:t>[37.1]</w:t>
      </w:r>
      <w:r>
        <w:rPr>
          <w:rFonts w:eastAsia="Times New Roman" w:cs="Arial"/>
          <w:color w:val="000000"/>
          <w:szCs w:val="24"/>
          <w:lang w:val="en-US" w:eastAsia="en-ZA"/>
        </w:rPr>
        <w:tab/>
      </w:r>
      <w:r w:rsidR="00982216">
        <w:t xml:space="preserve">Beds and shelter. They are not “a housing structure” but “more akin to a dormitory-type structure, although each person has their own personal </w:t>
      </w:r>
      <w:r w:rsidR="00982216">
        <w:lastRenderedPageBreak/>
        <w:t xml:space="preserve">space”. In Culemborg I it appears that people sometimes sleep </w:t>
      </w:r>
      <w:r w:rsidR="00D746A4">
        <w:t>outdoors but</w:t>
      </w:r>
      <w:r w:rsidR="00982216">
        <w:t xml:space="preserve"> protected from rain</w:t>
      </w:r>
      <w:r w:rsidR="006D65EE">
        <w:t>.</w:t>
      </w:r>
    </w:p>
    <w:p w14:paraId="78DAC7AA" w14:textId="3E5AD496" w:rsidR="00982216" w:rsidRDefault="00ED74CB" w:rsidP="00ED74CB">
      <w:pPr>
        <w:ind w:left="1440" w:hanging="720"/>
      </w:pPr>
      <w:r>
        <w:rPr>
          <w:rFonts w:eastAsia="Times New Roman" w:cs="Arial"/>
          <w:color w:val="000000"/>
          <w:szCs w:val="24"/>
          <w:lang w:val="en-US" w:eastAsia="en-ZA"/>
        </w:rPr>
        <w:t>[37.2]</w:t>
      </w:r>
      <w:r>
        <w:rPr>
          <w:rFonts w:eastAsia="Times New Roman" w:cs="Arial"/>
          <w:color w:val="000000"/>
          <w:szCs w:val="24"/>
          <w:lang w:val="en-US" w:eastAsia="en-ZA"/>
        </w:rPr>
        <w:tab/>
      </w:r>
      <w:r w:rsidR="00982216">
        <w:t>Shared ablution facilities, including towels and toiletries provided by the City. In addition to toilets, there are bucket showers and access to water. The sites are cleaned daily.</w:t>
      </w:r>
    </w:p>
    <w:p w14:paraId="7C2AB73F" w14:textId="08DE499E" w:rsidR="00982216" w:rsidRDefault="00ED74CB" w:rsidP="00ED74CB">
      <w:pPr>
        <w:ind w:left="1440" w:hanging="720"/>
      </w:pPr>
      <w:r>
        <w:rPr>
          <w:rFonts w:eastAsia="Times New Roman" w:cs="Arial"/>
          <w:color w:val="000000"/>
          <w:szCs w:val="24"/>
          <w:lang w:val="en-US" w:eastAsia="en-ZA"/>
        </w:rPr>
        <w:t>[37.3]</w:t>
      </w:r>
      <w:r>
        <w:rPr>
          <w:rFonts w:eastAsia="Times New Roman" w:cs="Arial"/>
          <w:color w:val="000000"/>
          <w:szCs w:val="24"/>
          <w:lang w:val="en-US" w:eastAsia="en-ZA"/>
        </w:rPr>
        <w:tab/>
      </w:r>
      <w:r w:rsidR="00982216">
        <w:t xml:space="preserve">Two meals </w:t>
      </w:r>
      <w:r w:rsidR="00C45BB8">
        <w:t xml:space="preserve">– breakfast and dinner – </w:t>
      </w:r>
      <w:r w:rsidR="00982216">
        <w:t>are provided per day, but no cooking is allowed on the site because of the risk posed by fires</w:t>
      </w:r>
      <w:r w:rsidR="00C45BB8">
        <w:t>.</w:t>
      </w:r>
    </w:p>
    <w:p w14:paraId="0DC4DAB6" w14:textId="56B83C4F" w:rsidR="00982216" w:rsidRDefault="00ED74CB" w:rsidP="00ED74CB">
      <w:pPr>
        <w:ind w:left="1440" w:hanging="720"/>
      </w:pPr>
      <w:r>
        <w:rPr>
          <w:rFonts w:eastAsia="Times New Roman" w:cs="Arial"/>
          <w:color w:val="000000"/>
          <w:szCs w:val="24"/>
          <w:lang w:val="en-US" w:eastAsia="en-ZA"/>
        </w:rPr>
        <w:t>[37.4]</w:t>
      </w:r>
      <w:r>
        <w:rPr>
          <w:rFonts w:eastAsia="Times New Roman" w:cs="Arial"/>
          <w:color w:val="000000"/>
          <w:szCs w:val="24"/>
          <w:lang w:val="en-US" w:eastAsia="en-ZA"/>
        </w:rPr>
        <w:tab/>
      </w:r>
      <w:r w:rsidR="00982216">
        <w:t xml:space="preserve">Locker space </w:t>
      </w:r>
      <w:r w:rsidR="00C45BB8">
        <w:t xml:space="preserve">for residents </w:t>
      </w:r>
      <w:r w:rsidR="00982216">
        <w:t>to store their goods</w:t>
      </w:r>
      <w:r w:rsidR="00C45BB8">
        <w:t>.</w:t>
      </w:r>
    </w:p>
    <w:p w14:paraId="54071E1B" w14:textId="25F4CDD1" w:rsidR="00982216" w:rsidRDefault="00ED74CB" w:rsidP="00ED74CB">
      <w:pPr>
        <w:ind w:left="1440" w:hanging="720"/>
      </w:pPr>
      <w:r>
        <w:rPr>
          <w:rFonts w:eastAsia="Times New Roman" w:cs="Arial"/>
          <w:color w:val="000000"/>
          <w:szCs w:val="24"/>
          <w:lang w:val="en-US" w:eastAsia="en-ZA"/>
        </w:rPr>
        <w:t>[37.5]</w:t>
      </w:r>
      <w:r>
        <w:rPr>
          <w:rFonts w:eastAsia="Times New Roman" w:cs="Arial"/>
          <w:color w:val="000000"/>
          <w:szCs w:val="24"/>
          <w:lang w:val="en-US" w:eastAsia="en-ZA"/>
        </w:rPr>
        <w:tab/>
      </w:r>
      <w:r w:rsidR="00982216">
        <w:t>24</w:t>
      </w:r>
      <w:r w:rsidR="00D746A4">
        <w:t>-</w:t>
      </w:r>
      <w:r w:rsidR="00982216">
        <w:t>hour support, security and medical assistance is available.</w:t>
      </w:r>
    </w:p>
    <w:p w14:paraId="301ACF2C" w14:textId="690160FC" w:rsidR="00982216" w:rsidRDefault="00ED74CB" w:rsidP="00ED74CB">
      <w:r>
        <w:rPr>
          <w:rFonts w:eastAsia="Times New Roman" w:cs="Arial"/>
          <w:color w:val="000000"/>
          <w:szCs w:val="24"/>
          <w:lang w:val="en-US" w:eastAsia="en-ZA"/>
        </w:rPr>
        <w:t>[38]</w:t>
      </w:r>
      <w:r>
        <w:rPr>
          <w:rFonts w:eastAsia="Times New Roman" w:cs="Arial"/>
          <w:color w:val="000000"/>
          <w:szCs w:val="24"/>
          <w:lang w:val="en-US" w:eastAsia="en-ZA"/>
        </w:rPr>
        <w:tab/>
      </w:r>
      <w:r w:rsidR="00982216">
        <w:t>The City also provides a range of social services to people in safe spaces to help them to reintegrate</w:t>
      </w:r>
      <w:r w:rsidR="00C45BB8">
        <w:t xml:space="preserve"> into society</w:t>
      </w:r>
      <w:r w:rsidR="00982216">
        <w:t>:</w:t>
      </w:r>
    </w:p>
    <w:p w14:paraId="0F8A8AE7" w14:textId="7EC7CFB9" w:rsidR="00982216" w:rsidRDefault="00ED74CB" w:rsidP="00ED74CB">
      <w:pPr>
        <w:ind w:left="1440" w:hanging="720"/>
      </w:pPr>
      <w:r>
        <w:rPr>
          <w:rFonts w:eastAsia="Times New Roman" w:cs="Arial"/>
          <w:color w:val="000000"/>
          <w:szCs w:val="24"/>
          <w:lang w:val="en-US" w:eastAsia="en-ZA"/>
        </w:rPr>
        <w:t>[38.1]</w:t>
      </w:r>
      <w:r>
        <w:rPr>
          <w:rFonts w:eastAsia="Times New Roman" w:cs="Arial"/>
          <w:color w:val="000000"/>
          <w:szCs w:val="24"/>
          <w:lang w:val="en-US" w:eastAsia="en-ZA"/>
        </w:rPr>
        <w:tab/>
      </w:r>
      <w:r w:rsidR="00982216">
        <w:t xml:space="preserve">The City provides job opportunities under the expanded public works programme. It also links </w:t>
      </w:r>
      <w:r w:rsidR="005E05B1">
        <w:t>residents</w:t>
      </w:r>
      <w:r w:rsidR="00982216">
        <w:t xml:space="preserve"> with other job opportunities and claims “an excellent success rate”.</w:t>
      </w:r>
    </w:p>
    <w:p w14:paraId="50FF7112" w14:textId="5DA8BB54" w:rsidR="00982216" w:rsidRDefault="00ED74CB" w:rsidP="00ED74CB">
      <w:pPr>
        <w:ind w:left="1440" w:hanging="720"/>
      </w:pPr>
      <w:r>
        <w:rPr>
          <w:rFonts w:eastAsia="Times New Roman" w:cs="Arial"/>
          <w:color w:val="000000"/>
          <w:szCs w:val="24"/>
          <w:lang w:val="en-US" w:eastAsia="en-ZA"/>
        </w:rPr>
        <w:t>[38.2]</w:t>
      </w:r>
      <w:r>
        <w:rPr>
          <w:rFonts w:eastAsia="Times New Roman" w:cs="Arial"/>
          <w:color w:val="000000"/>
          <w:szCs w:val="24"/>
          <w:lang w:val="en-US" w:eastAsia="en-ZA"/>
        </w:rPr>
        <w:tab/>
      </w:r>
      <w:r w:rsidR="00982216">
        <w:t>It assists people to obtain identity documents, including facilitating the funding for the applications.</w:t>
      </w:r>
    </w:p>
    <w:p w14:paraId="72A19F5F" w14:textId="58D7F08A" w:rsidR="00982216" w:rsidRDefault="00ED74CB" w:rsidP="00ED74CB">
      <w:pPr>
        <w:ind w:left="1440" w:hanging="720"/>
      </w:pPr>
      <w:r>
        <w:rPr>
          <w:rFonts w:eastAsia="Times New Roman" w:cs="Arial"/>
          <w:color w:val="000000"/>
          <w:szCs w:val="24"/>
          <w:lang w:val="en-US" w:eastAsia="en-ZA"/>
        </w:rPr>
        <w:t>[38.3]</w:t>
      </w:r>
      <w:r>
        <w:rPr>
          <w:rFonts w:eastAsia="Times New Roman" w:cs="Arial"/>
          <w:color w:val="000000"/>
          <w:szCs w:val="24"/>
          <w:lang w:val="en-US" w:eastAsia="en-ZA"/>
        </w:rPr>
        <w:tab/>
      </w:r>
      <w:r w:rsidR="00982216">
        <w:t>It provides access to a substance abuse rehabilitation programme. It seems undisputed that street people have high levels of substance abuse.</w:t>
      </w:r>
      <w:r w:rsidR="00B1548E">
        <w:t xml:space="preserve"> </w:t>
      </w:r>
      <w:r w:rsidR="00DB257A">
        <w:t>The City</w:t>
      </w:r>
      <w:r w:rsidR="00B1548E">
        <w:t xml:space="preserve"> claims </w:t>
      </w:r>
      <w:r w:rsidR="008F776F">
        <w:t>its drug rehabilitation has an 80% success rate.</w:t>
      </w:r>
    </w:p>
    <w:p w14:paraId="3D6BE591" w14:textId="75468272" w:rsidR="00982216" w:rsidRDefault="00ED74CB" w:rsidP="00ED74CB">
      <w:pPr>
        <w:ind w:left="1440" w:hanging="720"/>
      </w:pPr>
      <w:r>
        <w:rPr>
          <w:rFonts w:eastAsia="Times New Roman" w:cs="Arial"/>
          <w:color w:val="000000"/>
          <w:szCs w:val="24"/>
          <w:lang w:val="en-US" w:eastAsia="en-ZA"/>
        </w:rPr>
        <w:t>[38.4]</w:t>
      </w:r>
      <w:r>
        <w:rPr>
          <w:rFonts w:eastAsia="Times New Roman" w:cs="Arial"/>
          <w:color w:val="000000"/>
          <w:szCs w:val="24"/>
          <w:lang w:val="en-US" w:eastAsia="en-ZA"/>
        </w:rPr>
        <w:tab/>
      </w:r>
      <w:r w:rsidR="00982216">
        <w:t>The City offers development programmes geared for reintegration. These include trauma therapy and family strengthening program</w:t>
      </w:r>
      <w:r w:rsidR="00D746A4">
        <w:t>me</w:t>
      </w:r>
      <w:r w:rsidR="00982216">
        <w:t xml:space="preserve">s. It </w:t>
      </w:r>
      <w:r w:rsidR="00982216">
        <w:lastRenderedPageBreak/>
        <w:t>also provides computer skills training, helps people write their CVs, and apply for jobs. It even gives them appropriate clothing for</w:t>
      </w:r>
      <w:r w:rsidR="00CB1A83">
        <w:t>,</w:t>
      </w:r>
      <w:r w:rsidR="00982216">
        <w:t xml:space="preserve"> and transport to</w:t>
      </w:r>
      <w:r w:rsidR="00CB1A83">
        <w:t>, job</w:t>
      </w:r>
      <w:r w:rsidR="00982216">
        <w:t xml:space="preserve"> interviews. </w:t>
      </w:r>
    </w:p>
    <w:p w14:paraId="50E1AF6B" w14:textId="6E738BD0" w:rsidR="002C1462" w:rsidRDefault="00ED74CB" w:rsidP="00ED74CB">
      <w:r>
        <w:rPr>
          <w:rFonts w:eastAsia="Times New Roman" w:cs="Arial"/>
          <w:color w:val="000000"/>
          <w:szCs w:val="24"/>
          <w:lang w:val="en-US" w:eastAsia="en-ZA"/>
        </w:rPr>
        <w:t>[39]</w:t>
      </w:r>
      <w:r>
        <w:rPr>
          <w:rFonts w:eastAsia="Times New Roman" w:cs="Arial"/>
          <w:color w:val="000000"/>
          <w:szCs w:val="24"/>
          <w:lang w:val="en-US" w:eastAsia="en-ZA"/>
        </w:rPr>
        <w:tab/>
      </w:r>
      <w:r w:rsidR="002C1462">
        <w:t>The goal of the safe spaces is to be temporary because the</w:t>
      </w:r>
      <w:r w:rsidR="00B26947">
        <w:t xml:space="preserve"> City</w:t>
      </w:r>
      <w:r w:rsidR="002C1462">
        <w:t xml:space="preserve"> want</w:t>
      </w:r>
      <w:r w:rsidR="00B26947">
        <w:t>s</w:t>
      </w:r>
      <w:r w:rsidR="002C1462">
        <w:t xml:space="preserve"> to help people off the streets, not send them back to the streets. </w:t>
      </w:r>
      <w:r w:rsidR="00C40E6E">
        <w:t>The hope is that the services they provide will allow people to reintegrate with their families or find employment that will enable them to move off the streets.</w:t>
      </w:r>
    </w:p>
    <w:p w14:paraId="6F52AE6F" w14:textId="780429E0" w:rsidR="00982216" w:rsidRDefault="00ED74CB" w:rsidP="00ED74CB">
      <w:r>
        <w:rPr>
          <w:rFonts w:eastAsia="Times New Roman" w:cs="Arial"/>
          <w:color w:val="000000"/>
          <w:szCs w:val="24"/>
          <w:lang w:val="en-US" w:eastAsia="en-ZA"/>
        </w:rPr>
        <w:t>[40]</w:t>
      </w:r>
      <w:r>
        <w:rPr>
          <w:rFonts w:eastAsia="Times New Roman" w:cs="Arial"/>
          <w:color w:val="000000"/>
          <w:szCs w:val="24"/>
          <w:lang w:val="en-US" w:eastAsia="en-ZA"/>
        </w:rPr>
        <w:tab/>
      </w:r>
      <w:r w:rsidR="00982216">
        <w:t>These facilities are offered free of charge to any person willing to take up the City’s offer and accept social support.</w:t>
      </w:r>
      <w:r w:rsidR="00BF3DE9">
        <w:t xml:space="preserve"> All three are located near business districts. The two Culemborg sites are in the CBD, and the Paint City site is near the Belville business district.</w:t>
      </w:r>
    </w:p>
    <w:p w14:paraId="51FAD275" w14:textId="321E0B76" w:rsidR="00982216" w:rsidRDefault="00ED74CB" w:rsidP="00ED74CB">
      <w:r>
        <w:rPr>
          <w:rFonts w:eastAsia="Times New Roman" w:cs="Arial"/>
          <w:color w:val="000000"/>
          <w:szCs w:val="24"/>
          <w:lang w:val="en-US" w:eastAsia="en-ZA"/>
        </w:rPr>
        <w:t>[41]</w:t>
      </w:r>
      <w:r>
        <w:rPr>
          <w:rFonts w:eastAsia="Times New Roman" w:cs="Arial"/>
          <w:color w:val="000000"/>
          <w:szCs w:val="24"/>
          <w:lang w:val="en-US" w:eastAsia="en-ZA"/>
        </w:rPr>
        <w:tab/>
      </w:r>
      <w:r w:rsidR="00982216">
        <w:t xml:space="preserve">But there are strings attached. </w:t>
      </w:r>
    </w:p>
    <w:p w14:paraId="1E68AF58" w14:textId="3584349A" w:rsidR="00982216" w:rsidRDefault="00ED74CB" w:rsidP="00ED74CB">
      <w:pPr>
        <w:ind w:left="1440" w:hanging="720"/>
      </w:pPr>
      <w:r>
        <w:rPr>
          <w:rFonts w:eastAsia="Times New Roman" w:cs="Arial"/>
          <w:color w:val="000000"/>
          <w:szCs w:val="24"/>
          <w:lang w:val="en-US" w:eastAsia="en-ZA"/>
        </w:rPr>
        <w:t>[41.1]</w:t>
      </w:r>
      <w:r>
        <w:rPr>
          <w:rFonts w:eastAsia="Times New Roman" w:cs="Arial"/>
          <w:color w:val="000000"/>
          <w:szCs w:val="24"/>
          <w:lang w:val="en-US" w:eastAsia="en-ZA"/>
        </w:rPr>
        <w:tab/>
      </w:r>
      <w:r w:rsidR="00982216">
        <w:t>Safe spaces are weapon free, drug free and alcohol free. People are searched on entry. If people arrive intoxicated, they are not allowed entry until they are sober. The City explains that these rules are essential to “protect the dignity and health and safety of all the persons utilising” the safe spaces. Without them, there would be “social discord” which would negatively affect those trying to rehabilitate and reintegrate.</w:t>
      </w:r>
    </w:p>
    <w:p w14:paraId="311B7878" w14:textId="40CD721B" w:rsidR="00982216" w:rsidRDefault="00ED74CB" w:rsidP="00ED74CB">
      <w:pPr>
        <w:ind w:left="1440" w:hanging="720"/>
      </w:pPr>
      <w:r>
        <w:rPr>
          <w:rFonts w:eastAsia="Times New Roman" w:cs="Arial"/>
          <w:color w:val="000000"/>
          <w:szCs w:val="24"/>
          <w:lang w:val="en-US" w:eastAsia="en-ZA"/>
        </w:rPr>
        <w:t>[41.2]</w:t>
      </w:r>
      <w:r>
        <w:rPr>
          <w:rFonts w:eastAsia="Times New Roman" w:cs="Arial"/>
          <w:color w:val="000000"/>
          <w:szCs w:val="24"/>
          <w:lang w:val="en-US" w:eastAsia="en-ZA"/>
        </w:rPr>
        <w:tab/>
      </w:r>
      <w:r w:rsidR="00982216">
        <w:t>Residents of safe spaces are either required or encouraged to leave the safe spaces during the day. The ordinary rule is that they must leave between 8:00 and 17:00. But that rule is flexible, and – as I detail later – the City has relaxed it even further for the Occupiers.</w:t>
      </w:r>
    </w:p>
    <w:p w14:paraId="605756EE" w14:textId="7B671A21" w:rsidR="00237270" w:rsidRDefault="00ED74CB" w:rsidP="00ED74CB">
      <w:pPr>
        <w:ind w:left="1440" w:hanging="720"/>
      </w:pPr>
      <w:r>
        <w:rPr>
          <w:rFonts w:eastAsia="Times New Roman" w:cs="Arial"/>
          <w:color w:val="000000"/>
          <w:szCs w:val="24"/>
          <w:lang w:val="en-US" w:eastAsia="en-ZA"/>
        </w:rPr>
        <w:lastRenderedPageBreak/>
        <w:t>[41.3]</w:t>
      </w:r>
      <w:r>
        <w:rPr>
          <w:rFonts w:eastAsia="Times New Roman" w:cs="Arial"/>
          <w:color w:val="000000"/>
          <w:szCs w:val="24"/>
          <w:lang w:val="en-US" w:eastAsia="en-ZA"/>
        </w:rPr>
        <w:tab/>
      </w:r>
      <w:r w:rsidR="00237270">
        <w:t xml:space="preserve">The accommodation is primarily divided by gender for safety reasons. But </w:t>
      </w:r>
      <w:r w:rsidR="00B17773">
        <w:t xml:space="preserve">some </w:t>
      </w:r>
      <w:r w:rsidR="00237270">
        <w:t>couples’ accommodation is also available.</w:t>
      </w:r>
      <w:r w:rsidR="00B17773">
        <w:t xml:space="preserve"> The City has guaranteed that couples’ accommodation will be available for all the Occupiers if they are evicted.</w:t>
      </w:r>
    </w:p>
    <w:p w14:paraId="05E96199" w14:textId="2D35C72D" w:rsidR="00982216" w:rsidRDefault="00ED74CB" w:rsidP="00ED74CB">
      <w:pPr>
        <w:ind w:left="1440" w:hanging="720"/>
      </w:pPr>
      <w:r>
        <w:rPr>
          <w:rFonts w:eastAsia="Times New Roman" w:cs="Arial"/>
          <w:color w:val="000000"/>
          <w:szCs w:val="24"/>
          <w:lang w:val="en-US" w:eastAsia="en-ZA"/>
        </w:rPr>
        <w:t>[41.4]</w:t>
      </w:r>
      <w:r>
        <w:rPr>
          <w:rFonts w:eastAsia="Times New Roman" w:cs="Arial"/>
          <w:color w:val="000000"/>
          <w:szCs w:val="24"/>
          <w:lang w:val="en-US" w:eastAsia="en-ZA"/>
        </w:rPr>
        <w:tab/>
      </w:r>
      <w:r w:rsidR="00982216">
        <w:t>Safe spaces are not meant to be permanent. For those who use them voluntarily, they are ordinarily required to leave after six months. The purpose of the safe spaces is to provide a base to enable street people to rehabilitate and reintegrate, not to provide a permanent home. The City has, again, been willing to modify that rule for the Occupiers who choose to take up its offer of access to safe spaces.</w:t>
      </w:r>
    </w:p>
    <w:p w14:paraId="6551E16D" w14:textId="49C73FA2" w:rsidR="00982216" w:rsidRDefault="00ED74CB" w:rsidP="00ED74CB">
      <w:r>
        <w:rPr>
          <w:rFonts w:eastAsia="Times New Roman" w:cs="Arial"/>
          <w:color w:val="000000"/>
          <w:szCs w:val="24"/>
          <w:lang w:val="en-US" w:eastAsia="en-ZA"/>
        </w:rPr>
        <w:t>[42]</w:t>
      </w:r>
      <w:r>
        <w:rPr>
          <w:rFonts w:eastAsia="Times New Roman" w:cs="Arial"/>
          <w:color w:val="000000"/>
          <w:szCs w:val="24"/>
          <w:lang w:val="en-US" w:eastAsia="en-ZA"/>
        </w:rPr>
        <w:tab/>
      </w:r>
      <w:r w:rsidR="00982216">
        <w:t>The City’s approach should not be mistaken as being designed solely to benefit homeless people – although I have no doubt that it is and that it does. The City is plain that its aims are also to ensure that all its residents can use and enjoy streets and other public places. They cannot do so – the City claims – if those spaces are occupied by homeless people.</w:t>
      </w:r>
      <w:r w:rsidR="00680FA0">
        <w:t xml:space="preserve"> The safe spaces </w:t>
      </w:r>
      <w:r w:rsidR="00AB234C">
        <w:t>are part of its plan to reduce the number of homeless people living on the streets. But the City realises it can only achieve that goal by helping them find somewhere else to live.</w:t>
      </w:r>
    </w:p>
    <w:p w14:paraId="1142114E" w14:textId="37B3401B" w:rsidR="00982216" w:rsidRDefault="00ED74CB" w:rsidP="00ED74CB">
      <w:r>
        <w:rPr>
          <w:rFonts w:eastAsia="Times New Roman" w:cs="Arial"/>
          <w:color w:val="000000"/>
          <w:szCs w:val="24"/>
          <w:lang w:val="en-US" w:eastAsia="en-ZA"/>
        </w:rPr>
        <w:t>[43]</w:t>
      </w:r>
      <w:r>
        <w:rPr>
          <w:rFonts w:eastAsia="Times New Roman" w:cs="Arial"/>
          <w:color w:val="000000"/>
          <w:szCs w:val="24"/>
          <w:lang w:val="en-US" w:eastAsia="en-ZA"/>
        </w:rPr>
        <w:tab/>
      </w:r>
      <w:r w:rsidR="00982216">
        <w:t>In the year from July 2021 to June 2022, 1 813 people were helped off the streets</w:t>
      </w:r>
      <w:r w:rsidR="008105A5">
        <w:t xml:space="preserve"> and 2 799 people participated in </w:t>
      </w:r>
      <w:r w:rsidR="00E464C8">
        <w:t xml:space="preserve">development programmes at </w:t>
      </w:r>
      <w:r w:rsidR="005C0E98">
        <w:t>City-run safe spaces.</w:t>
      </w:r>
      <w:r w:rsidR="00E464C8">
        <w:t xml:space="preserve"> The City offered </w:t>
      </w:r>
      <w:r w:rsidR="003C1FA0">
        <w:t xml:space="preserve">936 EPWP referrals and </w:t>
      </w:r>
      <w:r w:rsidR="00B1548E">
        <w:t>566 referrals for social grants, identity documents, specialized care or substance abuse.</w:t>
      </w:r>
    </w:p>
    <w:p w14:paraId="62840017" w14:textId="6A460CAB" w:rsidR="008F776F" w:rsidRDefault="00ED74CB" w:rsidP="00ED74CB">
      <w:r>
        <w:rPr>
          <w:rFonts w:eastAsia="Times New Roman" w:cs="Arial"/>
          <w:color w:val="000000"/>
          <w:szCs w:val="24"/>
          <w:lang w:val="en-US" w:eastAsia="en-ZA"/>
        </w:rPr>
        <w:t>[44]</w:t>
      </w:r>
      <w:r>
        <w:rPr>
          <w:rFonts w:eastAsia="Times New Roman" w:cs="Arial"/>
          <w:color w:val="000000"/>
          <w:szCs w:val="24"/>
          <w:lang w:val="en-US" w:eastAsia="en-ZA"/>
        </w:rPr>
        <w:tab/>
      </w:r>
      <w:r w:rsidR="008F776F">
        <w:t>Independent NGOs have also supported the increased use of safe spaces.</w:t>
      </w:r>
      <w:r w:rsidR="009C7234">
        <w:t xml:space="preserve"> The Occupiers provide a report prepared </w:t>
      </w:r>
      <w:r w:rsidR="00FB0F3E">
        <w:t>for</w:t>
      </w:r>
      <w:r w:rsidR="009C7234">
        <w:t xml:space="preserve"> the Hope Exchange </w:t>
      </w:r>
      <w:r w:rsidR="00F77D50">
        <w:t xml:space="preserve">which advocates for </w:t>
      </w:r>
      <w:r w:rsidR="00F77D50" w:rsidRPr="00ED74CB">
        <w:rPr>
          <w:i/>
          <w:iCs/>
        </w:rPr>
        <w:t xml:space="preserve">more </w:t>
      </w:r>
      <w:r w:rsidR="00F77D50">
        <w:t>safe spaces</w:t>
      </w:r>
      <w:r w:rsidR="00CF566F">
        <w:t xml:space="preserve"> and refers to “the current success of Safe Space[s]”.</w:t>
      </w:r>
      <w:r w:rsidR="00CB1A83">
        <w:t xml:space="preserve"> While I place limited </w:t>
      </w:r>
      <w:r w:rsidR="00CB1A83">
        <w:lastRenderedPageBreak/>
        <w:t>value on the Hope Exchange report as it was prepared by students, not experts, the Occupiers did not provide expert evidence to</w:t>
      </w:r>
      <w:r w:rsidR="00EB1F1A">
        <w:t xml:space="preserve"> support their contention</w:t>
      </w:r>
      <w:r w:rsidR="00CB1A83">
        <w:t xml:space="preserve"> that the safe spaces were an inappropriate or ineffective measure in helping homeless people off the streets.</w:t>
      </w:r>
    </w:p>
    <w:p w14:paraId="15096305" w14:textId="2714BA3E" w:rsidR="00982216" w:rsidRDefault="00ED74CB" w:rsidP="00ED74CB">
      <w:r>
        <w:rPr>
          <w:rFonts w:eastAsia="Times New Roman" w:cs="Arial"/>
          <w:color w:val="000000"/>
          <w:szCs w:val="24"/>
          <w:lang w:val="en-US" w:eastAsia="en-ZA"/>
        </w:rPr>
        <w:t>[45]</w:t>
      </w:r>
      <w:r>
        <w:rPr>
          <w:rFonts w:eastAsia="Times New Roman" w:cs="Arial"/>
          <w:color w:val="000000"/>
          <w:szCs w:val="24"/>
          <w:lang w:val="en-US" w:eastAsia="en-ZA"/>
        </w:rPr>
        <w:tab/>
      </w:r>
      <w:r w:rsidR="00982216">
        <w:t>In addition to lauding the benefits of its safe spaces, the City argues that the ordinary Emergency Housing Programme (</w:t>
      </w:r>
      <w:r w:rsidR="00982216" w:rsidRPr="00ED74CB">
        <w:rPr>
          <w:b/>
          <w:bCs/>
        </w:rPr>
        <w:t>EHP</w:t>
      </w:r>
      <w:r w:rsidR="00982216">
        <w:t>)</w:t>
      </w:r>
      <w:r w:rsidR="00014F7B">
        <w:t xml:space="preserve"> that it </w:t>
      </w:r>
      <w:r w:rsidR="00DB41C7">
        <w:t xml:space="preserve">ordinarily </w:t>
      </w:r>
      <w:r w:rsidR="00014F7B">
        <w:t>offers when people are evicted</w:t>
      </w:r>
      <w:r w:rsidR="00982216">
        <w:t xml:space="preserve"> is not suitable for </w:t>
      </w:r>
      <w:r w:rsidR="00014F7B">
        <w:t>the Occupiers</w:t>
      </w:r>
      <w:r w:rsidR="00982216">
        <w:t>. It argues that the “holistic” intervention it offers is better suited to the needs of homeless people, than a house in a temporary relocation area (</w:t>
      </w:r>
      <w:r w:rsidR="00982216" w:rsidRPr="00ED74CB">
        <w:rPr>
          <w:b/>
          <w:bCs/>
        </w:rPr>
        <w:t>TRA</w:t>
      </w:r>
      <w:r w:rsidR="00982216">
        <w:t>).</w:t>
      </w:r>
      <w:r w:rsidR="00014F7B">
        <w:t xml:space="preserve"> </w:t>
      </w:r>
      <w:r w:rsidR="00982216">
        <w:t>It offers three reasons.</w:t>
      </w:r>
    </w:p>
    <w:p w14:paraId="24287D8D" w14:textId="0460413B" w:rsidR="00982216" w:rsidRDefault="00ED74CB" w:rsidP="00ED74CB">
      <w:r>
        <w:rPr>
          <w:rFonts w:eastAsia="Times New Roman" w:cs="Arial"/>
          <w:color w:val="000000"/>
          <w:szCs w:val="24"/>
          <w:lang w:val="en-US" w:eastAsia="en-ZA"/>
        </w:rPr>
        <w:t>[46]</w:t>
      </w:r>
      <w:r>
        <w:rPr>
          <w:rFonts w:eastAsia="Times New Roman" w:cs="Arial"/>
          <w:color w:val="000000"/>
          <w:szCs w:val="24"/>
          <w:lang w:val="en-US" w:eastAsia="en-ZA"/>
        </w:rPr>
        <w:tab/>
      </w:r>
      <w:r w:rsidR="00982216">
        <w:t>The</w:t>
      </w:r>
      <w:r w:rsidR="00CB1A83">
        <w:t xml:space="preserve"> first (and</w:t>
      </w:r>
      <w:r w:rsidR="00982216">
        <w:t xml:space="preserve"> best reason</w:t>
      </w:r>
      <w:r w:rsidR="00CB1A83">
        <w:t>)</w:t>
      </w:r>
      <w:r w:rsidR="00982216">
        <w:t xml:space="preserve"> is that TRAs are all located far from the city centre; there are none in the CBD. But the Occupiers – like all street people living in the CBD – depend on proximity to the CBD for their livelihoods. That is where the opportunities for them to earn a living exist</w:t>
      </w:r>
      <w:r w:rsidR="00CB1A83">
        <w:t>,</w:t>
      </w:r>
      <w:r w:rsidR="00982216">
        <w:t xml:space="preserve"> not in Blikkiesdorp or Wolwerivier. Even if spaces were available in TRAs, the </w:t>
      </w:r>
      <w:r w:rsidR="00CB1A83">
        <w:t xml:space="preserve">City contends the </w:t>
      </w:r>
      <w:r w:rsidR="00982216">
        <w:t>Occupiers could not live there and would return to the CBD.</w:t>
      </w:r>
      <w:r w:rsidR="00CB1A83">
        <w:t xml:space="preserve"> The Occupiers do not dispute this – they seek other temporary accommodation in the city centre.</w:t>
      </w:r>
    </w:p>
    <w:p w14:paraId="40654FAE" w14:textId="5EAF5303" w:rsidR="00982216" w:rsidRDefault="00ED74CB" w:rsidP="00ED74CB">
      <w:r>
        <w:rPr>
          <w:rFonts w:eastAsia="Times New Roman" w:cs="Arial"/>
          <w:color w:val="000000"/>
          <w:szCs w:val="24"/>
          <w:lang w:val="en-US" w:eastAsia="en-ZA"/>
        </w:rPr>
        <w:t>[47]</w:t>
      </w:r>
      <w:r>
        <w:rPr>
          <w:rFonts w:eastAsia="Times New Roman" w:cs="Arial"/>
          <w:color w:val="000000"/>
          <w:szCs w:val="24"/>
          <w:lang w:val="en-US" w:eastAsia="en-ZA"/>
        </w:rPr>
        <w:tab/>
      </w:r>
      <w:r w:rsidR="00982216">
        <w:t xml:space="preserve">Second, </w:t>
      </w:r>
      <w:r w:rsidR="00CB1A83">
        <w:t>the City</w:t>
      </w:r>
      <w:r w:rsidR="00982216">
        <w:t xml:space="preserve"> argues that the safe spaces are targeted to assist homeless people to reintegrate and rehabilitate. They come with a range of support – from the material (food, blankets and toiletries), to the developmental (job-finding, trauma support, identity documents, and substance abuse rehabilitation). Assignment of a structure in a TRA comes with none of that support, making it </w:t>
      </w:r>
      <w:r w:rsidR="00CB1A83">
        <w:t xml:space="preserve">less </w:t>
      </w:r>
      <w:r w:rsidR="00982216">
        <w:t>likely the homeless person will escape homelessness. The basic point is that what is keeping many people homeless is not just access to a house, but the ability to function effectively off the streets.</w:t>
      </w:r>
    </w:p>
    <w:p w14:paraId="09AEAEAA" w14:textId="755A62BF" w:rsidR="00982216" w:rsidRDefault="00ED74CB" w:rsidP="00ED74CB">
      <w:r>
        <w:rPr>
          <w:rFonts w:eastAsia="Times New Roman" w:cs="Arial"/>
          <w:color w:val="000000"/>
          <w:szCs w:val="24"/>
          <w:lang w:val="en-US" w:eastAsia="en-ZA"/>
        </w:rPr>
        <w:lastRenderedPageBreak/>
        <w:t>[48]</w:t>
      </w:r>
      <w:r>
        <w:rPr>
          <w:rFonts w:eastAsia="Times New Roman" w:cs="Arial"/>
          <w:color w:val="000000"/>
          <w:szCs w:val="24"/>
          <w:lang w:val="en-US" w:eastAsia="en-ZA"/>
        </w:rPr>
        <w:tab/>
      </w:r>
      <w:r w:rsidR="00CB1A83">
        <w:t>Third, it</w:t>
      </w:r>
      <w:r w:rsidR="00982216">
        <w:t xml:space="preserve"> argues that there is no space in its existing TRAs and that it has no funds to construct new ones for the Occupiers. It claims the cost for each emergency housing opportunity will be between R55 000 (for an 18m</w:t>
      </w:r>
      <w:r w:rsidR="00982216" w:rsidRPr="00ED74CB">
        <w:rPr>
          <w:vertAlign w:val="superscript"/>
        </w:rPr>
        <w:t xml:space="preserve">2 </w:t>
      </w:r>
      <w:r w:rsidR="00982216">
        <w:t>structure) and R81 000 for a (30 m</w:t>
      </w:r>
      <w:r w:rsidR="00982216" w:rsidRPr="00ED74CB">
        <w:rPr>
          <w:vertAlign w:val="superscript"/>
        </w:rPr>
        <w:t xml:space="preserve">2 </w:t>
      </w:r>
      <w:r w:rsidR="00982216">
        <w:t>structure)</w:t>
      </w:r>
      <w:r w:rsidR="002C2AF4">
        <w:t>, assuming the City already owns the land</w:t>
      </w:r>
      <w:r w:rsidR="00982216">
        <w:t xml:space="preserve">. </w:t>
      </w:r>
      <w:r w:rsidR="00FA18EC">
        <w:t>But that is not for land located in the CBD</w:t>
      </w:r>
      <w:r w:rsidR="002179EE">
        <w:t>.</w:t>
      </w:r>
      <w:r w:rsidR="00FA18EC">
        <w:t xml:space="preserve"> </w:t>
      </w:r>
      <w:r w:rsidR="00982216">
        <w:t>By contrast, the safe spaces – in which the City has already invested – are a far more efficient mechanism.</w:t>
      </w:r>
      <w:r w:rsidR="00CB1A83">
        <w:t xml:space="preserve"> The numbers do not seem drastically different – R55 000 for a TRA structure and R41 000 per year for a safe space. The efficiency seems to lie in the proximity to the CBD and the additional services safe spaces provide.</w:t>
      </w:r>
    </w:p>
    <w:p w14:paraId="7AB8C6FD" w14:textId="77777777" w:rsidR="00982216" w:rsidRDefault="00982216" w:rsidP="00EE7BBC"/>
    <w:p w14:paraId="1656D733" w14:textId="0D7B0DBF" w:rsidR="00EE7BBC" w:rsidRDefault="00EE7BBC" w:rsidP="00EE7BBC">
      <w:pPr>
        <w:pStyle w:val="Heading2"/>
      </w:pPr>
      <w:r>
        <w:t>The Occupiers</w:t>
      </w:r>
    </w:p>
    <w:p w14:paraId="0B282558" w14:textId="20776B95" w:rsidR="00EE7BBC" w:rsidRDefault="00ED74CB" w:rsidP="00ED74CB">
      <w:r>
        <w:rPr>
          <w:rFonts w:eastAsia="Times New Roman" w:cs="Arial"/>
          <w:color w:val="000000"/>
          <w:szCs w:val="24"/>
          <w:lang w:val="en-US" w:eastAsia="en-ZA"/>
        </w:rPr>
        <w:t>[49]</w:t>
      </w:r>
      <w:r>
        <w:rPr>
          <w:rFonts w:eastAsia="Times New Roman" w:cs="Arial"/>
          <w:color w:val="000000"/>
          <w:szCs w:val="24"/>
          <w:lang w:val="en-US" w:eastAsia="en-ZA"/>
        </w:rPr>
        <w:tab/>
      </w:r>
      <w:r w:rsidR="005A1884">
        <w:t>Who are the occupiers? This is a question of some complexity.</w:t>
      </w:r>
    </w:p>
    <w:p w14:paraId="7B1875CB" w14:textId="551345C9" w:rsidR="007A4F6E" w:rsidRDefault="00ED74CB" w:rsidP="00ED74CB">
      <w:r>
        <w:rPr>
          <w:rFonts w:eastAsia="Times New Roman" w:cs="Arial"/>
          <w:color w:val="000000"/>
          <w:szCs w:val="24"/>
          <w:lang w:val="en-US" w:eastAsia="en-ZA"/>
        </w:rPr>
        <w:t>[50]</w:t>
      </w:r>
      <w:r>
        <w:rPr>
          <w:rFonts w:eastAsia="Times New Roman" w:cs="Arial"/>
          <w:color w:val="000000"/>
          <w:szCs w:val="24"/>
          <w:lang w:val="en-US" w:eastAsia="en-ZA"/>
        </w:rPr>
        <w:tab/>
      </w:r>
      <w:r w:rsidR="007A4F6E">
        <w:t xml:space="preserve">Attached to the notice of motion is a list of 114 people who the City </w:t>
      </w:r>
      <w:r w:rsidR="001C6F84">
        <w:t>described as the First Respondent. They are all the people who the City had identified as living on the Properties. There were 30</w:t>
      </w:r>
      <w:r w:rsidR="00796583">
        <w:t xml:space="preserve"> people</w:t>
      </w:r>
      <w:r w:rsidR="001C6F84">
        <w:t xml:space="preserve"> living on Buitengracht, </w:t>
      </w:r>
      <w:r w:rsidR="00471D01">
        <w:t xml:space="preserve">seven on FW De Klerk Boulevard, three at Foregate Square, 20 on Helen Suzman Boulevard, </w:t>
      </w:r>
      <w:r w:rsidR="007C01D5">
        <w:t xml:space="preserve">44 on Strand Street, four </w:t>
      </w:r>
      <w:r w:rsidR="00796583">
        <w:t xml:space="preserve">by the Roggebaai gas turbine, </w:t>
      </w:r>
      <w:r w:rsidR="007C01D5">
        <w:t xml:space="preserve">and </w:t>
      </w:r>
      <w:r w:rsidR="00796583">
        <w:t>six at the Mill Street bridge.</w:t>
      </w:r>
    </w:p>
    <w:p w14:paraId="78287CB4" w14:textId="6936AC2B" w:rsidR="00796583" w:rsidRDefault="00ED74CB" w:rsidP="00ED74CB">
      <w:r>
        <w:rPr>
          <w:rFonts w:eastAsia="Times New Roman" w:cs="Arial"/>
          <w:color w:val="000000"/>
          <w:szCs w:val="24"/>
          <w:lang w:val="en-US" w:eastAsia="en-ZA"/>
        </w:rPr>
        <w:t>[51]</w:t>
      </w:r>
      <w:r>
        <w:rPr>
          <w:rFonts w:eastAsia="Times New Roman" w:cs="Arial"/>
          <w:color w:val="000000"/>
          <w:szCs w:val="24"/>
          <w:lang w:val="en-US" w:eastAsia="en-ZA"/>
        </w:rPr>
        <w:tab/>
      </w:r>
      <w:r w:rsidR="00796583">
        <w:t xml:space="preserve">But homeless people are, understandably, </w:t>
      </w:r>
      <w:r w:rsidR="00D36663">
        <w:t>transient. Since the notice of motion was filed in December 2022, people have moved onto the Properties while others have left.</w:t>
      </w:r>
    </w:p>
    <w:p w14:paraId="6E1D08FE" w14:textId="2D921534" w:rsidR="00CB1A83" w:rsidRDefault="00ED74CB" w:rsidP="00ED74CB">
      <w:r>
        <w:rPr>
          <w:rFonts w:eastAsia="Times New Roman" w:cs="Arial"/>
          <w:color w:val="000000"/>
          <w:szCs w:val="24"/>
          <w:lang w:val="en-US" w:eastAsia="en-ZA"/>
        </w:rPr>
        <w:t>[52]</w:t>
      </w:r>
      <w:r>
        <w:rPr>
          <w:rFonts w:eastAsia="Times New Roman" w:cs="Arial"/>
          <w:color w:val="000000"/>
          <w:szCs w:val="24"/>
          <w:lang w:val="en-US" w:eastAsia="en-ZA"/>
        </w:rPr>
        <w:tab/>
      </w:r>
      <w:r w:rsidR="00D36663">
        <w:t>In their answering affidavit, the Occupiers – who are represented by the Socio</w:t>
      </w:r>
      <w:r w:rsidR="00D36663">
        <w:noBreakHyphen/>
        <w:t>Economic Rights Institute of South Africa (</w:t>
      </w:r>
      <w:r w:rsidR="00D36663" w:rsidRPr="00ED74CB">
        <w:rPr>
          <w:b/>
          <w:bCs/>
        </w:rPr>
        <w:t>SERI</w:t>
      </w:r>
      <w:r w:rsidR="00D36663">
        <w:t xml:space="preserve">) – </w:t>
      </w:r>
      <w:r w:rsidR="00E219F7">
        <w:t xml:space="preserve">provided the details of </w:t>
      </w:r>
      <w:r w:rsidR="003769D8">
        <w:t xml:space="preserve">54 </w:t>
      </w:r>
      <w:r w:rsidR="003769D8">
        <w:lastRenderedPageBreak/>
        <w:t>people who were living on the various properties</w:t>
      </w:r>
      <w:r w:rsidR="000412BC">
        <w:t>, as well as some of their partners</w:t>
      </w:r>
      <w:r w:rsidR="003769D8">
        <w:t>.</w:t>
      </w:r>
      <w:r w:rsidR="00230444">
        <w:t xml:space="preserve"> Many of them also had partners or family living with them.</w:t>
      </w:r>
      <w:r w:rsidR="003769D8">
        <w:t xml:space="preserve"> </w:t>
      </w:r>
    </w:p>
    <w:p w14:paraId="1BDCB9D0" w14:textId="1CB15DD2" w:rsidR="00D36663" w:rsidRDefault="00ED74CB" w:rsidP="00ED74CB">
      <w:r>
        <w:rPr>
          <w:rFonts w:eastAsia="Times New Roman" w:cs="Arial"/>
          <w:color w:val="000000"/>
          <w:szCs w:val="24"/>
          <w:lang w:val="en-US" w:eastAsia="en-ZA"/>
        </w:rPr>
        <w:t>[53]</w:t>
      </w:r>
      <w:r>
        <w:rPr>
          <w:rFonts w:eastAsia="Times New Roman" w:cs="Arial"/>
          <w:color w:val="000000"/>
          <w:szCs w:val="24"/>
          <w:lang w:val="en-US" w:eastAsia="en-ZA"/>
        </w:rPr>
        <w:tab/>
      </w:r>
      <w:r w:rsidR="003769D8">
        <w:t xml:space="preserve">I cannot recount all their stories in this judgment. But I think it is important to recall some of them. They explain </w:t>
      </w:r>
      <w:r w:rsidR="009369FC">
        <w:t>how the Occupiers became homeless, what their lives are like, and what they want for their futures:</w:t>
      </w:r>
    </w:p>
    <w:p w14:paraId="75DD1A7D" w14:textId="3864C43C" w:rsidR="006E6B96" w:rsidRDefault="00ED74CB" w:rsidP="00ED74CB">
      <w:pPr>
        <w:ind w:left="1440" w:hanging="720"/>
      </w:pPr>
      <w:r>
        <w:rPr>
          <w:rFonts w:eastAsia="Times New Roman" w:cs="Arial"/>
          <w:color w:val="000000"/>
          <w:szCs w:val="24"/>
          <w:lang w:val="en-US" w:eastAsia="en-ZA"/>
        </w:rPr>
        <w:t>[53.1]</w:t>
      </w:r>
      <w:r>
        <w:rPr>
          <w:rFonts w:eastAsia="Times New Roman" w:cs="Arial"/>
          <w:color w:val="000000"/>
          <w:szCs w:val="24"/>
          <w:lang w:val="en-US" w:eastAsia="en-ZA"/>
        </w:rPr>
        <w:tab/>
      </w:r>
      <w:r w:rsidR="006E6B96">
        <w:t xml:space="preserve">Mr Mquqa </w:t>
      </w:r>
      <w:r w:rsidR="00096779">
        <w:t xml:space="preserve">has been living on the streets for five years. He had to leave his home because he lost his job and could not afford rent. </w:t>
      </w:r>
      <w:r w:rsidR="008A7ABC">
        <w:t>He did not finish school because of abuse by his family.</w:t>
      </w:r>
      <w:r w:rsidR="004312A0">
        <w:t xml:space="preserve"> He now lives on FW De Klerk Boulevard</w:t>
      </w:r>
      <w:r w:rsidR="0070661D">
        <w:t>, where he has been since 2017</w:t>
      </w:r>
      <w:r w:rsidR="004312A0">
        <w:t xml:space="preserve">. He explains that </w:t>
      </w:r>
      <w:r w:rsidR="000F4F32">
        <w:t xml:space="preserve">although the structure he lives in “is constructed with salvaged wooden boards and plastic sheets” and “does not boast the strength of a brick-and-mortar building, it is my only home and holds profound significance for me.” </w:t>
      </w:r>
      <w:r w:rsidR="0070661D">
        <w:t xml:space="preserve">He makes about R80 </w:t>
      </w:r>
      <w:r w:rsidR="00CB1A83">
        <w:t xml:space="preserve">a day </w:t>
      </w:r>
      <w:r w:rsidR="0070661D">
        <w:t>by assisting people to park their cars, and by collecting recycling.</w:t>
      </w:r>
    </w:p>
    <w:p w14:paraId="46492EF0" w14:textId="563DCF2D" w:rsidR="009369FC" w:rsidRDefault="00ED74CB" w:rsidP="00ED74CB">
      <w:pPr>
        <w:ind w:left="1440" w:hanging="720"/>
      </w:pPr>
      <w:r>
        <w:rPr>
          <w:rFonts w:eastAsia="Times New Roman" w:cs="Arial"/>
          <w:color w:val="000000"/>
          <w:szCs w:val="24"/>
          <w:lang w:val="en-US" w:eastAsia="en-ZA"/>
        </w:rPr>
        <w:t>[53.2]</w:t>
      </w:r>
      <w:r>
        <w:rPr>
          <w:rFonts w:eastAsia="Times New Roman" w:cs="Arial"/>
          <w:color w:val="000000"/>
          <w:szCs w:val="24"/>
          <w:lang w:val="en-US" w:eastAsia="en-ZA"/>
        </w:rPr>
        <w:tab/>
      </w:r>
      <w:r w:rsidR="00B5006E">
        <w:t xml:space="preserve">Kashifa Williams </w:t>
      </w:r>
      <w:r w:rsidR="00EE49C0">
        <w:t xml:space="preserve">is 37. She </w:t>
      </w:r>
      <w:r w:rsidR="00B5006E">
        <w:t xml:space="preserve">used to live with her family in Manenberg. She was “kicked out by her family” and came to the inner city to find work. </w:t>
      </w:r>
      <w:r w:rsidR="00FA08F7">
        <w:t xml:space="preserve">She </w:t>
      </w:r>
      <w:r w:rsidR="00EE49C0">
        <w:t xml:space="preserve">and her partner Leighton Vlok </w:t>
      </w:r>
      <w:r w:rsidR="00FA08F7">
        <w:t xml:space="preserve">live at the FW De Klerk Boulevard site. She makes a living collecting recycling </w:t>
      </w:r>
      <w:r w:rsidR="00EE49C0">
        <w:t xml:space="preserve">and makes </w:t>
      </w:r>
      <w:r w:rsidR="00CB1A83">
        <w:t xml:space="preserve">roughly </w:t>
      </w:r>
      <w:r w:rsidR="00EE49C0">
        <w:t>R100 a day. She is willing to move to the safe spaces</w:t>
      </w:r>
      <w:r w:rsidR="008F765A">
        <w:t xml:space="preserve"> </w:t>
      </w:r>
      <w:r w:rsidR="00EE49C0">
        <w:t>but has concerns about their rules and location.</w:t>
      </w:r>
    </w:p>
    <w:p w14:paraId="39D3116D" w14:textId="1BF78923" w:rsidR="00517CA0" w:rsidRDefault="00ED74CB" w:rsidP="00ED74CB">
      <w:pPr>
        <w:ind w:left="1440" w:hanging="720"/>
      </w:pPr>
      <w:r>
        <w:rPr>
          <w:rFonts w:eastAsia="Times New Roman" w:cs="Arial"/>
          <w:color w:val="000000"/>
          <w:szCs w:val="24"/>
          <w:lang w:val="en-US" w:eastAsia="en-ZA"/>
        </w:rPr>
        <w:t>[53.3]</w:t>
      </w:r>
      <w:r>
        <w:rPr>
          <w:rFonts w:eastAsia="Times New Roman" w:cs="Arial"/>
          <w:color w:val="000000"/>
          <w:szCs w:val="24"/>
          <w:lang w:val="en-US" w:eastAsia="en-ZA"/>
        </w:rPr>
        <w:tab/>
      </w:r>
      <w:r w:rsidR="00517CA0">
        <w:t xml:space="preserve">Zeinab Sutria is 43 and lives </w:t>
      </w:r>
      <w:r w:rsidR="00BD6D93">
        <w:t xml:space="preserve">on Buitengracht Street with her partner, Niezaar Abdula. </w:t>
      </w:r>
      <w:r w:rsidR="00E83B6B">
        <w:t xml:space="preserve">She moved there in January 2023. Ms Sutria used to live in Manenburg, but came to the inner city to find employment, without any luck. </w:t>
      </w:r>
      <w:r w:rsidR="00C3347C">
        <w:t xml:space="preserve">They survive off informal work and make R80-R100 per day. </w:t>
      </w:r>
      <w:r w:rsidR="00C3347C">
        <w:lastRenderedPageBreak/>
        <w:t xml:space="preserve">They support children who do not live with them. </w:t>
      </w:r>
      <w:r w:rsidR="00E83B6B">
        <w:t xml:space="preserve">They are not willing to </w:t>
      </w:r>
      <w:r w:rsidR="00E40E9F">
        <w:t>move to the safe spaces because they would not be able to live together and would be locked out during the day.</w:t>
      </w:r>
    </w:p>
    <w:p w14:paraId="0E6A4C2E" w14:textId="51E7C253" w:rsidR="00EE49C0" w:rsidRDefault="00ED74CB" w:rsidP="00ED74CB">
      <w:pPr>
        <w:ind w:left="1440" w:hanging="720"/>
      </w:pPr>
      <w:r>
        <w:rPr>
          <w:rFonts w:eastAsia="Times New Roman" w:cs="Arial"/>
          <w:color w:val="000000"/>
          <w:szCs w:val="24"/>
          <w:lang w:val="en-US" w:eastAsia="en-ZA"/>
        </w:rPr>
        <w:t>[53.4]</w:t>
      </w:r>
      <w:r>
        <w:rPr>
          <w:rFonts w:eastAsia="Times New Roman" w:cs="Arial"/>
          <w:color w:val="000000"/>
          <w:szCs w:val="24"/>
          <w:lang w:val="en-US" w:eastAsia="en-ZA"/>
        </w:rPr>
        <w:tab/>
      </w:r>
      <w:r w:rsidR="009B5E91">
        <w:t xml:space="preserve">Denis Fortuin </w:t>
      </w:r>
      <w:r w:rsidR="000B2B27">
        <w:t xml:space="preserve">has lived at the Buitengracht site since 2020. She was rendered homeless when her family home was sold. She moved to the inner city to try to find accommodation and employment. She has applied for </w:t>
      </w:r>
      <w:r w:rsidR="00746E4F">
        <w:t xml:space="preserve">an RDP house but has not had any feedback. She lives with her partner Immanuel Adams. They do informal work and make about R80 a day. She is reluctant to relocate to the safe spaces because she is worried </w:t>
      </w:r>
      <w:r w:rsidR="008F765A">
        <w:t xml:space="preserve">about </w:t>
      </w:r>
      <w:r w:rsidR="00746E4F">
        <w:t>whether she will be able to make a living.</w:t>
      </w:r>
    </w:p>
    <w:p w14:paraId="298C7791" w14:textId="7180C045" w:rsidR="00187460" w:rsidRDefault="00ED74CB" w:rsidP="00ED74CB">
      <w:pPr>
        <w:ind w:left="1440" w:hanging="720"/>
      </w:pPr>
      <w:r>
        <w:rPr>
          <w:rFonts w:eastAsia="Times New Roman" w:cs="Arial"/>
          <w:color w:val="000000"/>
          <w:szCs w:val="24"/>
          <w:lang w:val="en-US" w:eastAsia="en-ZA"/>
        </w:rPr>
        <w:t>[53.5]</w:t>
      </w:r>
      <w:r>
        <w:rPr>
          <w:rFonts w:eastAsia="Times New Roman" w:cs="Arial"/>
          <w:color w:val="000000"/>
          <w:szCs w:val="24"/>
          <w:lang w:val="en-US" w:eastAsia="en-ZA"/>
        </w:rPr>
        <w:tab/>
      </w:r>
      <w:r w:rsidR="009205C6">
        <w:t xml:space="preserve">Unathi Noyi </w:t>
      </w:r>
      <w:r w:rsidR="000F5C9A">
        <w:t xml:space="preserve">used to live with his family. But he became embroiled in activities that disrupted his schooling and forced him to leave his family. </w:t>
      </w:r>
      <w:r w:rsidR="00E21C6D">
        <w:t>He used to live in a safe space, and on the street in District 6 and no</w:t>
      </w:r>
      <w:r w:rsidR="008F765A">
        <w:t>w</w:t>
      </w:r>
      <w:r w:rsidR="00E21C6D">
        <w:t xml:space="preserve"> lives on the Strand Street site. He earns about R90 a day and has no problem relocating as long as he can make a living and have safe and secure accommodation.</w:t>
      </w:r>
    </w:p>
    <w:p w14:paraId="60E02CCA" w14:textId="1C28C72B" w:rsidR="00527FC8" w:rsidRDefault="00ED74CB" w:rsidP="00ED74CB">
      <w:pPr>
        <w:ind w:left="1440" w:hanging="720"/>
      </w:pPr>
      <w:r>
        <w:rPr>
          <w:rFonts w:eastAsia="Times New Roman" w:cs="Arial"/>
          <w:color w:val="000000"/>
          <w:szCs w:val="24"/>
          <w:lang w:val="en-US" w:eastAsia="en-ZA"/>
        </w:rPr>
        <w:t>[53.6]</w:t>
      </w:r>
      <w:r>
        <w:rPr>
          <w:rFonts w:eastAsia="Times New Roman" w:cs="Arial"/>
          <w:color w:val="000000"/>
          <w:szCs w:val="24"/>
          <w:lang w:val="en-US" w:eastAsia="en-ZA"/>
        </w:rPr>
        <w:tab/>
      </w:r>
      <w:r w:rsidR="00187460">
        <w:t xml:space="preserve">Sithembiso Kupiso also lives on the Strand Street site. </w:t>
      </w:r>
      <w:r w:rsidR="002105CD">
        <w:t xml:space="preserve">He ended on the street because he lost his job, could not pay his mortgage, and lost his house. He was left homeless. He moved to the inner city to seek employment. </w:t>
      </w:r>
      <w:r w:rsidR="00714126">
        <w:t xml:space="preserve">He earns about R80 a day and would be willing to relocate </w:t>
      </w:r>
      <w:r w:rsidR="002E4895">
        <w:t>if</w:t>
      </w:r>
      <w:r w:rsidR="00714126">
        <w:t xml:space="preserve"> he could continue to earn a living.</w:t>
      </w:r>
    </w:p>
    <w:p w14:paraId="6432BEF5" w14:textId="2F043013" w:rsidR="00714126" w:rsidRDefault="00ED74CB" w:rsidP="00ED74CB">
      <w:pPr>
        <w:ind w:left="1440" w:hanging="720"/>
      </w:pPr>
      <w:r>
        <w:rPr>
          <w:rFonts w:eastAsia="Times New Roman" w:cs="Arial"/>
          <w:color w:val="000000"/>
          <w:szCs w:val="24"/>
          <w:lang w:val="en-US" w:eastAsia="en-ZA"/>
        </w:rPr>
        <w:t>[53.7]</w:t>
      </w:r>
      <w:r>
        <w:rPr>
          <w:rFonts w:eastAsia="Times New Roman" w:cs="Arial"/>
          <w:color w:val="000000"/>
          <w:szCs w:val="24"/>
          <w:lang w:val="en-US" w:eastAsia="en-ZA"/>
        </w:rPr>
        <w:tab/>
      </w:r>
      <w:r w:rsidR="00714126">
        <w:t xml:space="preserve">Terisa Townsend </w:t>
      </w:r>
      <w:r w:rsidR="00DE31B7">
        <w:t xml:space="preserve">is 41 and has been living in the inner city since 2011. She </w:t>
      </w:r>
      <w:r w:rsidR="00FF0802">
        <w:t>makes just R30 a day. She used to live with her family</w:t>
      </w:r>
      <w:r w:rsidR="002E4895">
        <w:t xml:space="preserve"> </w:t>
      </w:r>
      <w:r w:rsidR="00FF0802">
        <w:t>but left when their relationship broke down. She previously lived near a McDonalds,</w:t>
      </w:r>
      <w:r w:rsidR="002E4895">
        <w:t xml:space="preserve"> </w:t>
      </w:r>
      <w:r w:rsidR="00FF0802">
        <w:lastRenderedPageBreak/>
        <w:t xml:space="preserve">but was evicted and placed in </w:t>
      </w:r>
      <w:r w:rsidR="00CB1A83">
        <w:t>S</w:t>
      </w:r>
      <w:r w:rsidR="00FF0802">
        <w:t xml:space="preserve">afe </w:t>
      </w:r>
      <w:r w:rsidR="00CB1A83">
        <w:t>S</w:t>
      </w:r>
      <w:r w:rsidR="00FF0802">
        <w:t xml:space="preserve">pace 1. She was forced to leave the safe space because of capacity constraints and returned to the streets. She does not </w:t>
      </w:r>
      <w:r w:rsidR="00C97BC7">
        <w:t xml:space="preserve">want to return to the safe spaces because </w:t>
      </w:r>
      <w:r w:rsidR="00982216">
        <w:t xml:space="preserve">she fears again being forced to leave and because she was poorly treated last time she was </w:t>
      </w:r>
      <w:r w:rsidR="00CB1A83">
        <w:t>there</w:t>
      </w:r>
      <w:r w:rsidR="00982216">
        <w:t>.</w:t>
      </w:r>
    </w:p>
    <w:p w14:paraId="1B36DF20" w14:textId="293FD14A" w:rsidR="00676E70" w:rsidRDefault="00ED74CB" w:rsidP="00ED74CB">
      <w:r>
        <w:rPr>
          <w:rFonts w:eastAsia="Times New Roman" w:cs="Arial"/>
          <w:color w:val="000000"/>
          <w:szCs w:val="24"/>
          <w:lang w:val="en-US" w:eastAsia="en-ZA"/>
        </w:rPr>
        <w:t>[54]</w:t>
      </w:r>
      <w:r>
        <w:rPr>
          <w:rFonts w:eastAsia="Times New Roman" w:cs="Arial"/>
          <w:color w:val="000000"/>
          <w:szCs w:val="24"/>
          <w:lang w:val="en-US" w:eastAsia="en-ZA"/>
        </w:rPr>
        <w:tab/>
      </w:r>
      <w:r w:rsidR="00676E70">
        <w:t xml:space="preserve">Many of the Occupiers struggle with drug or alcohol addiction. </w:t>
      </w:r>
      <w:r w:rsidR="00397A98">
        <w:t xml:space="preserve">Most suffer from </w:t>
      </w:r>
      <w:r w:rsidR="00907B80">
        <w:t xml:space="preserve">chronic illnesses. </w:t>
      </w:r>
      <w:r w:rsidR="00676E70">
        <w:t xml:space="preserve">Some have skills but no jobs. Most make a living doing odd jobs </w:t>
      </w:r>
      <w:r w:rsidR="00B12455">
        <w:t>in the City – guarding or washing cars, collecting recycling or “skarreling”. Some of them have been at the same site for years, others have moved multiple times</w:t>
      </w:r>
      <w:r w:rsidR="00397A98">
        <w:t>, either for their own reasons or because they were chased away, sometimes by the City’s officials.</w:t>
      </w:r>
      <w:r w:rsidR="00907B80">
        <w:t xml:space="preserve"> Some have applied for housing from the </w:t>
      </w:r>
      <w:r w:rsidR="002E4895">
        <w:t>City but</w:t>
      </w:r>
      <w:r w:rsidR="00907B80">
        <w:t xml:space="preserve"> have not received it.</w:t>
      </w:r>
    </w:p>
    <w:p w14:paraId="2E3988E1" w14:textId="26E71169" w:rsidR="00907B80" w:rsidRDefault="00ED74CB" w:rsidP="00ED74CB">
      <w:r>
        <w:rPr>
          <w:rFonts w:eastAsia="Times New Roman" w:cs="Arial"/>
          <w:color w:val="000000"/>
          <w:szCs w:val="24"/>
          <w:lang w:val="en-US" w:eastAsia="en-ZA"/>
        </w:rPr>
        <w:t>[55]</w:t>
      </w:r>
      <w:r>
        <w:rPr>
          <w:rFonts w:eastAsia="Times New Roman" w:cs="Arial"/>
          <w:color w:val="000000"/>
          <w:szCs w:val="24"/>
          <w:lang w:val="en-US" w:eastAsia="en-ZA"/>
        </w:rPr>
        <w:tab/>
      </w:r>
      <w:r w:rsidR="00982216">
        <w:t>As the examples above show, t</w:t>
      </w:r>
      <w:r w:rsidR="00EF111F">
        <w:t xml:space="preserve">he Occupiers have different attitudes to the safe spaces. In the answering affidavit, </w:t>
      </w:r>
      <w:r w:rsidR="00B148FA">
        <w:t xml:space="preserve">several indicated that they would be willing to go to the safe spaces if </w:t>
      </w:r>
      <w:r w:rsidR="003E1B50">
        <w:t>the rules around access and/or partners were amended or relaxed.</w:t>
      </w:r>
      <w:r w:rsidR="00136FA4">
        <w:t xml:space="preserve"> Others had had bad experiences or had heard negative reports from those who had been to the safe spaces. Some did not want to give up the comparative freedom they enjoy</w:t>
      </w:r>
      <w:r w:rsidR="0080170E">
        <w:t xml:space="preserve"> living on the pavements.</w:t>
      </w:r>
    </w:p>
    <w:p w14:paraId="1914139F" w14:textId="7C72DB4C" w:rsidR="001C1B19" w:rsidRDefault="00ED74CB" w:rsidP="00ED74CB">
      <w:r>
        <w:rPr>
          <w:rFonts w:eastAsia="Times New Roman" w:cs="Arial"/>
          <w:color w:val="000000"/>
          <w:szCs w:val="24"/>
          <w:lang w:val="en-US" w:eastAsia="en-ZA"/>
        </w:rPr>
        <w:t>[56]</w:t>
      </w:r>
      <w:r>
        <w:rPr>
          <w:rFonts w:eastAsia="Times New Roman" w:cs="Arial"/>
          <w:color w:val="000000"/>
          <w:szCs w:val="24"/>
          <w:lang w:val="en-US" w:eastAsia="en-ZA"/>
        </w:rPr>
        <w:tab/>
      </w:r>
      <w:r w:rsidR="001C1B19">
        <w:t xml:space="preserve">This is just a snapshot. As Mr Mquqa – the deponent to the answering affidavit – put it: </w:t>
      </w:r>
      <w:r w:rsidR="004E161E">
        <w:t>“Each of us has experienced a great deal more than we are able to say in this affidavit. Each of us hopes for a great deal more than we have experienced in our lives so far.”</w:t>
      </w:r>
      <w:r w:rsidR="00483398">
        <w:t xml:space="preserve"> They are stories of suffering</w:t>
      </w:r>
      <w:r w:rsidR="007E79F0">
        <w:t>, setbacks</w:t>
      </w:r>
      <w:r w:rsidR="00483398">
        <w:t xml:space="preserve"> and failure. But they are also stories of perseverance in the face of extreme obstacles, </w:t>
      </w:r>
      <w:r w:rsidR="00AC2297">
        <w:t xml:space="preserve">and </w:t>
      </w:r>
      <w:r w:rsidR="00483398">
        <w:t>of survival against all odds</w:t>
      </w:r>
      <w:r w:rsidR="00AC2297">
        <w:t>.</w:t>
      </w:r>
    </w:p>
    <w:p w14:paraId="075224D9" w14:textId="4E042FA3" w:rsidR="00F937DC" w:rsidRDefault="00ED74CB" w:rsidP="00ED74CB">
      <w:r>
        <w:rPr>
          <w:rFonts w:eastAsia="Times New Roman" w:cs="Arial"/>
          <w:color w:val="000000"/>
          <w:szCs w:val="24"/>
          <w:lang w:val="en-US" w:eastAsia="en-ZA"/>
        </w:rPr>
        <w:t>[57]</w:t>
      </w:r>
      <w:r>
        <w:rPr>
          <w:rFonts w:eastAsia="Times New Roman" w:cs="Arial"/>
          <w:color w:val="000000"/>
          <w:szCs w:val="24"/>
          <w:lang w:val="en-US" w:eastAsia="en-ZA"/>
        </w:rPr>
        <w:tab/>
      </w:r>
      <w:r w:rsidR="0010385D">
        <w:t>In the rep</w:t>
      </w:r>
      <w:r w:rsidR="00850F42">
        <w:t xml:space="preserve">lying affidavit, </w:t>
      </w:r>
      <w:r w:rsidR="00843AD9">
        <w:t xml:space="preserve">the City provided an updated list of </w:t>
      </w:r>
      <w:r w:rsidR="00F937DC">
        <w:t>the O</w:t>
      </w:r>
      <w:r w:rsidR="00843AD9">
        <w:t>ccupiers</w:t>
      </w:r>
      <w:r w:rsidR="00F937DC">
        <w:t xml:space="preserve"> who were named in the answering affidavit</w:t>
      </w:r>
      <w:r w:rsidR="004C7826">
        <w:t xml:space="preserve"> (it</w:t>
      </w:r>
      <w:r w:rsidR="00F937DC">
        <w:t xml:space="preserve"> did so</w:t>
      </w:r>
      <w:r w:rsidR="004C7826">
        <w:t xml:space="preserve"> as part of its further engagement with </w:t>
      </w:r>
      <w:r w:rsidR="004C7826">
        <w:lastRenderedPageBreak/>
        <w:t>the Occupiers that I describe below).</w:t>
      </w:r>
      <w:r w:rsidR="00843AD9">
        <w:t xml:space="preserve"> </w:t>
      </w:r>
      <w:r w:rsidR="00295FD9">
        <w:t xml:space="preserve">The City engaged with 87 people in total. </w:t>
      </w:r>
      <w:r w:rsidR="004C7826">
        <w:t xml:space="preserve">The list provides the person’s name, </w:t>
      </w:r>
      <w:r w:rsidR="00F937DC">
        <w:t xml:space="preserve">the names of those they lived with, </w:t>
      </w:r>
      <w:r w:rsidR="004C7826">
        <w:t xml:space="preserve">their employment, and their attitude to </w:t>
      </w:r>
      <w:r w:rsidR="005C356B">
        <w:t xml:space="preserve">the City’s offer of a safe space. </w:t>
      </w:r>
    </w:p>
    <w:p w14:paraId="68E00B1B" w14:textId="794F9267" w:rsidR="00F937DC" w:rsidRDefault="00ED74CB" w:rsidP="00ED74CB">
      <w:r>
        <w:rPr>
          <w:rFonts w:eastAsia="Times New Roman" w:cs="Arial"/>
          <w:color w:val="000000"/>
          <w:szCs w:val="24"/>
          <w:lang w:val="en-US" w:eastAsia="en-ZA"/>
        </w:rPr>
        <w:t>[58]</w:t>
      </w:r>
      <w:r>
        <w:rPr>
          <w:rFonts w:eastAsia="Times New Roman" w:cs="Arial"/>
          <w:color w:val="000000"/>
          <w:szCs w:val="24"/>
          <w:lang w:val="en-US" w:eastAsia="en-ZA"/>
        </w:rPr>
        <w:tab/>
      </w:r>
      <w:r w:rsidR="005C356B">
        <w:t>Some were amenable to</w:t>
      </w:r>
      <w:r w:rsidR="00F937DC">
        <w:t xml:space="preserve"> relocating to</w:t>
      </w:r>
      <w:r w:rsidR="005C356B">
        <w:t xml:space="preserve"> the safe spaces, others would be if the rules </w:t>
      </w:r>
      <w:r w:rsidR="00C80CA5">
        <w:t>were altered, while some were completely opposed.</w:t>
      </w:r>
      <w:r w:rsidR="0025244D">
        <w:t xml:space="preserve"> The concerns about the safe spaces were generally about their ability </w:t>
      </w:r>
      <w:r w:rsidR="00742133">
        <w:t xml:space="preserve">to </w:t>
      </w:r>
      <w:r w:rsidR="0025244D">
        <w:t xml:space="preserve">work, whether they would be allowed to live with their partners, and </w:t>
      </w:r>
      <w:r w:rsidR="009C3E4A">
        <w:t>concerns about the rules or conditions either based on prior experience or what they had heard from others.</w:t>
      </w:r>
      <w:r w:rsidR="00742133">
        <w:t xml:space="preserve"> </w:t>
      </w:r>
      <w:r w:rsidR="00F937DC">
        <w:t xml:space="preserve">While the 54 </w:t>
      </w:r>
      <w:r w:rsidR="007A5711">
        <w:t xml:space="preserve">occupiers are the same in the answering affidavit and the list provided in reply, there are differences in the description of the partners, children and family members </w:t>
      </w:r>
      <w:r w:rsidR="002E4895">
        <w:t>with whom that cohabit</w:t>
      </w:r>
      <w:r w:rsidR="00C77034">
        <w:t>.</w:t>
      </w:r>
    </w:p>
    <w:p w14:paraId="0383C225" w14:textId="2003DBA6" w:rsidR="00F720F6" w:rsidRDefault="00ED74CB" w:rsidP="00ED74CB">
      <w:r>
        <w:rPr>
          <w:rFonts w:eastAsia="Times New Roman" w:cs="Arial"/>
          <w:color w:val="000000"/>
          <w:szCs w:val="24"/>
          <w:lang w:val="en-US" w:eastAsia="en-ZA"/>
        </w:rPr>
        <w:t>[59]</w:t>
      </w:r>
      <w:r>
        <w:rPr>
          <w:rFonts w:eastAsia="Times New Roman" w:cs="Arial"/>
          <w:color w:val="000000"/>
          <w:szCs w:val="24"/>
          <w:lang w:val="en-US" w:eastAsia="en-ZA"/>
        </w:rPr>
        <w:tab/>
      </w:r>
      <w:r w:rsidR="00F720F6">
        <w:t>On 5 October 2023, shortly before the hearing, at the Court’s request, the City conducted a further process where it sought to count the number of structures at each of the sites. There were a total of 107 structures across the seven sites, ranging from one at Mill Street Bridge to 22 at Strand Street.</w:t>
      </w:r>
      <w:r w:rsidR="006458FE">
        <w:t xml:space="preserve"> The City estimated there were 214 people occupying all seven sites.</w:t>
      </w:r>
    </w:p>
    <w:p w14:paraId="054179DD" w14:textId="19773880" w:rsidR="008058FC" w:rsidRDefault="00ED74CB" w:rsidP="00ED74CB">
      <w:r>
        <w:rPr>
          <w:rFonts w:eastAsia="Times New Roman" w:cs="Arial"/>
          <w:color w:val="000000"/>
          <w:szCs w:val="24"/>
          <w:lang w:val="en-US" w:eastAsia="en-ZA"/>
        </w:rPr>
        <w:t>[60]</w:t>
      </w:r>
      <w:r>
        <w:rPr>
          <w:rFonts w:eastAsia="Times New Roman" w:cs="Arial"/>
          <w:color w:val="000000"/>
          <w:szCs w:val="24"/>
          <w:lang w:val="en-US" w:eastAsia="en-ZA"/>
        </w:rPr>
        <w:tab/>
      </w:r>
      <w:r w:rsidR="008058FC">
        <w:t>At the hearing, the Occupiers produced a “composite” list that included all the people who had been mention</w:t>
      </w:r>
      <w:r w:rsidR="002E4895">
        <w:t>ed</w:t>
      </w:r>
      <w:r w:rsidR="008058FC">
        <w:t xml:space="preserve"> in the notice of motion, the answering affidavit, or the replying affidavit. </w:t>
      </w:r>
      <w:r w:rsidR="007930F8">
        <w:t>It has a total of 272 people.</w:t>
      </w:r>
      <w:r w:rsidR="002A4D9E">
        <w:t xml:space="preserve"> The list just provides basic details </w:t>
      </w:r>
      <w:r w:rsidR="00032BF7">
        <w:t>–</w:t>
      </w:r>
      <w:r w:rsidR="002A4D9E">
        <w:t xml:space="preserve"> </w:t>
      </w:r>
      <w:r w:rsidR="00032BF7">
        <w:t>name, age, which site they occupy – and in which document they were mentioned.</w:t>
      </w:r>
    </w:p>
    <w:p w14:paraId="1AD2325A" w14:textId="5B0A4B19" w:rsidR="00032BF7" w:rsidRDefault="00ED74CB" w:rsidP="00ED74CB">
      <w:r>
        <w:rPr>
          <w:rFonts w:eastAsia="Times New Roman" w:cs="Arial"/>
          <w:color w:val="000000"/>
          <w:szCs w:val="24"/>
          <w:lang w:val="en-US" w:eastAsia="en-ZA"/>
        </w:rPr>
        <w:t>[61]</w:t>
      </w:r>
      <w:r>
        <w:rPr>
          <w:rFonts w:eastAsia="Times New Roman" w:cs="Arial"/>
          <w:color w:val="000000"/>
          <w:szCs w:val="24"/>
          <w:lang w:val="en-US" w:eastAsia="en-ZA"/>
        </w:rPr>
        <w:tab/>
      </w:r>
      <w:r w:rsidR="009407BA">
        <w:t>Following the hearing, the</w:t>
      </w:r>
      <w:r w:rsidR="00AE5814">
        <w:t xml:space="preserve"> City and SERI conducted another </w:t>
      </w:r>
      <w:r w:rsidR="006458FE">
        <w:t xml:space="preserve">engagement </w:t>
      </w:r>
      <w:r w:rsidR="0026396D">
        <w:t xml:space="preserve">(more details to follow) </w:t>
      </w:r>
      <w:r w:rsidR="006458FE">
        <w:t xml:space="preserve">that again sought to determine how many people were occupying the properties and, particularly, how many </w:t>
      </w:r>
      <w:r w:rsidR="00D870A7">
        <w:t>Occupiers were elderly or disabled, how many children were present, and how many Occupiers were living with their partners.</w:t>
      </w:r>
      <w:r w:rsidR="004E67E5">
        <w:t xml:space="preserve"> The</w:t>
      </w:r>
      <w:r w:rsidR="008B369C">
        <w:t xml:space="preserve">re </w:t>
      </w:r>
      <w:r w:rsidR="008B369C">
        <w:lastRenderedPageBreak/>
        <w:t>was some disagreement between the City and SERI about the numbers</w:t>
      </w:r>
      <w:r w:rsidR="00F83DE3">
        <w:t>. But the following emerged:</w:t>
      </w:r>
    </w:p>
    <w:p w14:paraId="59F1E95E" w14:textId="7E1DBBEB" w:rsidR="002B4FA8" w:rsidRDefault="00ED74CB" w:rsidP="00ED74CB">
      <w:pPr>
        <w:ind w:left="1440" w:hanging="720"/>
      </w:pPr>
      <w:r>
        <w:rPr>
          <w:rFonts w:eastAsia="Times New Roman" w:cs="Arial"/>
          <w:color w:val="000000"/>
          <w:szCs w:val="24"/>
          <w:lang w:val="en-US" w:eastAsia="en-ZA"/>
        </w:rPr>
        <w:t>[61.1]</w:t>
      </w:r>
      <w:r>
        <w:rPr>
          <w:rFonts w:eastAsia="Times New Roman" w:cs="Arial"/>
          <w:color w:val="000000"/>
          <w:szCs w:val="24"/>
          <w:lang w:val="en-US" w:eastAsia="en-ZA"/>
        </w:rPr>
        <w:tab/>
      </w:r>
      <w:r w:rsidR="0026396D">
        <w:t>There were 1</w:t>
      </w:r>
      <w:r w:rsidR="002A3AA6">
        <w:t>13</w:t>
      </w:r>
      <w:r w:rsidR="0026396D">
        <w:t xml:space="preserve"> structures across the seven sites</w:t>
      </w:r>
      <w:r w:rsidR="002E4895">
        <w:t>.</w:t>
      </w:r>
    </w:p>
    <w:p w14:paraId="348E7F0F" w14:textId="27220818" w:rsidR="0026396D" w:rsidRDefault="00ED74CB" w:rsidP="00ED74CB">
      <w:pPr>
        <w:ind w:left="1440" w:hanging="720"/>
      </w:pPr>
      <w:r>
        <w:rPr>
          <w:rFonts w:eastAsia="Times New Roman" w:cs="Arial"/>
          <w:color w:val="000000"/>
          <w:szCs w:val="24"/>
          <w:lang w:val="en-US" w:eastAsia="en-ZA"/>
        </w:rPr>
        <w:t>[61.2]</w:t>
      </w:r>
      <w:r>
        <w:rPr>
          <w:rFonts w:eastAsia="Times New Roman" w:cs="Arial"/>
          <w:color w:val="000000"/>
          <w:szCs w:val="24"/>
          <w:lang w:val="en-US" w:eastAsia="en-ZA"/>
        </w:rPr>
        <w:tab/>
      </w:r>
      <w:r w:rsidR="00A761AB">
        <w:t xml:space="preserve">The City reported that there were </w:t>
      </w:r>
      <w:r w:rsidR="00045C4F">
        <w:t>99 people</w:t>
      </w:r>
      <w:r w:rsidR="00A761AB">
        <w:t xml:space="preserve"> </w:t>
      </w:r>
      <w:r w:rsidR="00045C4F">
        <w:t>on the sites</w:t>
      </w:r>
      <w:r w:rsidR="002B1CC9">
        <w:t xml:space="preserve"> who engaged with the City, </w:t>
      </w:r>
      <w:r w:rsidR="00CE0274">
        <w:t xml:space="preserve">and a further four who refused to engage. SERI counted </w:t>
      </w:r>
      <w:r w:rsidR="00F3104E">
        <w:t xml:space="preserve">125 people, including those not present. </w:t>
      </w:r>
      <w:r w:rsidR="000A5595">
        <w:t>Ultimately, it seems there were between 99 and 140 people living on the sites</w:t>
      </w:r>
      <w:r w:rsidR="0082793B">
        <w:t>.</w:t>
      </w:r>
    </w:p>
    <w:p w14:paraId="106E1C09" w14:textId="484668EF" w:rsidR="00045C4F" w:rsidRDefault="00ED74CB" w:rsidP="00ED74CB">
      <w:pPr>
        <w:ind w:left="1440" w:hanging="720"/>
      </w:pPr>
      <w:r>
        <w:rPr>
          <w:rFonts w:eastAsia="Times New Roman" w:cs="Arial"/>
          <w:color w:val="000000"/>
          <w:szCs w:val="24"/>
          <w:lang w:val="en-US" w:eastAsia="en-ZA"/>
        </w:rPr>
        <w:t>[61.3]</w:t>
      </w:r>
      <w:r>
        <w:rPr>
          <w:rFonts w:eastAsia="Times New Roman" w:cs="Arial"/>
          <w:color w:val="000000"/>
          <w:szCs w:val="24"/>
          <w:lang w:val="en-US" w:eastAsia="en-ZA"/>
        </w:rPr>
        <w:tab/>
      </w:r>
      <w:r w:rsidR="003D6323">
        <w:t>Of th</w:t>
      </w:r>
      <w:r w:rsidR="0082793B">
        <w:t>e</w:t>
      </w:r>
      <w:r w:rsidR="003D6323">
        <w:t xml:space="preserve"> 99</w:t>
      </w:r>
      <w:r w:rsidR="0082793B">
        <w:t xml:space="preserve"> the City engaged with</w:t>
      </w:r>
      <w:r w:rsidR="003D6323">
        <w:t>, 37 accepted the City’s offer of accommodation at the safe space</w:t>
      </w:r>
      <w:r w:rsidR="00036E68">
        <w:t xml:space="preserve"> (37%)</w:t>
      </w:r>
      <w:r w:rsidR="003D6323">
        <w:t>. According to SERI, 64</w:t>
      </w:r>
      <w:r w:rsidR="0082793B">
        <w:t xml:space="preserve"> were willing to move to the Safe Spaces</w:t>
      </w:r>
      <w:r w:rsidR="003D6323">
        <w:t xml:space="preserve"> out of</w:t>
      </w:r>
      <w:r w:rsidR="0082793B">
        <w:t xml:space="preserve"> (at most)</w:t>
      </w:r>
      <w:r w:rsidR="003D6323">
        <w:t xml:space="preserve"> 140</w:t>
      </w:r>
      <w:r w:rsidR="00036E68">
        <w:t xml:space="preserve"> (46%)</w:t>
      </w:r>
      <w:r w:rsidR="003D6323">
        <w:t xml:space="preserve">. </w:t>
      </w:r>
    </w:p>
    <w:p w14:paraId="4DF61131" w14:textId="27B993CA" w:rsidR="00036E68" w:rsidRDefault="00ED74CB" w:rsidP="00ED74CB">
      <w:pPr>
        <w:ind w:left="1440" w:hanging="720"/>
      </w:pPr>
      <w:r>
        <w:rPr>
          <w:rFonts w:eastAsia="Times New Roman" w:cs="Arial"/>
          <w:color w:val="000000"/>
          <w:szCs w:val="24"/>
          <w:lang w:val="en-US" w:eastAsia="en-ZA"/>
        </w:rPr>
        <w:t>[61.4]</w:t>
      </w:r>
      <w:r>
        <w:rPr>
          <w:rFonts w:eastAsia="Times New Roman" w:cs="Arial"/>
          <w:color w:val="000000"/>
          <w:szCs w:val="24"/>
          <w:lang w:val="en-US" w:eastAsia="en-ZA"/>
        </w:rPr>
        <w:tab/>
      </w:r>
      <w:r w:rsidR="00470F54">
        <w:t xml:space="preserve">The City identified 14 couples. SERI identified a further six couples, </w:t>
      </w:r>
      <w:r w:rsidR="002B0AAB">
        <w:t xml:space="preserve">making </w:t>
      </w:r>
      <w:r w:rsidR="00470F54">
        <w:t>a total of 20.</w:t>
      </w:r>
    </w:p>
    <w:p w14:paraId="5BDB973C" w14:textId="662E324C" w:rsidR="00470F54" w:rsidRDefault="00ED74CB" w:rsidP="00ED74CB">
      <w:pPr>
        <w:ind w:left="1440" w:hanging="720"/>
      </w:pPr>
      <w:r>
        <w:rPr>
          <w:rFonts w:eastAsia="Times New Roman" w:cs="Arial"/>
          <w:color w:val="000000"/>
          <w:szCs w:val="24"/>
          <w:lang w:val="en-US" w:eastAsia="en-ZA"/>
        </w:rPr>
        <w:t>[61.5]</w:t>
      </w:r>
      <w:r>
        <w:rPr>
          <w:rFonts w:eastAsia="Times New Roman" w:cs="Arial"/>
          <w:color w:val="000000"/>
          <w:szCs w:val="24"/>
          <w:lang w:val="en-US" w:eastAsia="en-ZA"/>
        </w:rPr>
        <w:tab/>
      </w:r>
      <w:r w:rsidR="00C62F4A">
        <w:t>There was one person with a disability. The oldest Occupier was 57 or 58 years’ old.</w:t>
      </w:r>
    </w:p>
    <w:p w14:paraId="3125CE67" w14:textId="71A247F9" w:rsidR="00C62F4A" w:rsidRDefault="00ED74CB" w:rsidP="00ED74CB">
      <w:pPr>
        <w:ind w:left="1440" w:hanging="720"/>
      </w:pPr>
      <w:r>
        <w:rPr>
          <w:rFonts w:eastAsia="Times New Roman" w:cs="Arial"/>
          <w:color w:val="000000"/>
          <w:szCs w:val="24"/>
          <w:lang w:val="en-US" w:eastAsia="en-ZA"/>
        </w:rPr>
        <w:t>[61.6]</w:t>
      </w:r>
      <w:r>
        <w:rPr>
          <w:rFonts w:eastAsia="Times New Roman" w:cs="Arial"/>
          <w:color w:val="000000"/>
          <w:szCs w:val="24"/>
          <w:lang w:val="en-US" w:eastAsia="en-ZA"/>
        </w:rPr>
        <w:tab/>
      </w:r>
      <w:r w:rsidR="00C16D35">
        <w:t xml:space="preserve">The City identified three minor children – VD and ZD aged 5 and 2, and </w:t>
      </w:r>
      <w:r w:rsidR="00840E7C">
        <w:t>PA aged 14. SERI claimed there were a further four minor children</w:t>
      </w:r>
      <w:r w:rsidR="00680E13">
        <w:t>, but further investigation by the City revealed they had all moved elsewhere.</w:t>
      </w:r>
    </w:p>
    <w:p w14:paraId="6F40BEAA" w14:textId="6FF83851" w:rsidR="00207397" w:rsidRDefault="00ED74CB" w:rsidP="00ED74CB">
      <w:r>
        <w:rPr>
          <w:rFonts w:eastAsia="Times New Roman" w:cs="Arial"/>
          <w:color w:val="000000"/>
          <w:szCs w:val="24"/>
          <w:lang w:val="en-US" w:eastAsia="en-ZA"/>
        </w:rPr>
        <w:t>[62]</w:t>
      </w:r>
      <w:r>
        <w:rPr>
          <w:rFonts w:eastAsia="Times New Roman" w:cs="Arial"/>
          <w:color w:val="000000"/>
          <w:szCs w:val="24"/>
          <w:lang w:val="en-US" w:eastAsia="en-ZA"/>
        </w:rPr>
        <w:tab/>
      </w:r>
      <w:r w:rsidR="0067775A">
        <w:t xml:space="preserve">The Court is deeply appreciative of the work that both the City and SERI did to identify the Occupiers. The information cannot be precise. The nature of the sites is that people move in and out of them. There </w:t>
      </w:r>
      <w:r w:rsidR="00C51AB2">
        <w:t>has</w:t>
      </w:r>
      <w:r w:rsidR="0067775A">
        <w:t xml:space="preserve"> also</w:t>
      </w:r>
      <w:r w:rsidR="00C51AB2">
        <w:t xml:space="preserve"> been</w:t>
      </w:r>
      <w:r w:rsidR="0067775A">
        <w:t xml:space="preserve"> a delay of </w:t>
      </w:r>
      <w:r w:rsidR="00207397">
        <w:t>six month</w:t>
      </w:r>
      <w:r w:rsidR="002E4895">
        <w:t>s</w:t>
      </w:r>
      <w:r w:rsidR="00207397">
        <w:t xml:space="preserve"> from the time of the latest report to the date of this judgment. The position may now be very </w:t>
      </w:r>
      <w:r w:rsidR="00207397">
        <w:lastRenderedPageBreak/>
        <w:t>different.</w:t>
      </w:r>
      <w:r w:rsidR="002B0AAB">
        <w:t xml:space="preserve"> </w:t>
      </w:r>
      <w:r w:rsidR="00207397">
        <w:t>But the reports do give a sense of the scale of the problem, the demographics of the Occupiers, and their attitudes towards the safe spaces.</w:t>
      </w:r>
    </w:p>
    <w:p w14:paraId="4B84A277" w14:textId="269AC951" w:rsidR="006A57D7" w:rsidRDefault="00ED74CB" w:rsidP="00ED74CB">
      <w:r>
        <w:rPr>
          <w:rFonts w:eastAsia="Times New Roman" w:cs="Arial"/>
          <w:color w:val="000000"/>
          <w:szCs w:val="24"/>
          <w:lang w:val="en-US" w:eastAsia="en-ZA"/>
        </w:rPr>
        <w:t>[63]</w:t>
      </w:r>
      <w:r>
        <w:rPr>
          <w:rFonts w:eastAsia="Times New Roman" w:cs="Arial"/>
          <w:color w:val="000000"/>
          <w:szCs w:val="24"/>
          <w:lang w:val="en-US" w:eastAsia="en-ZA"/>
        </w:rPr>
        <w:tab/>
      </w:r>
      <w:r w:rsidR="006A57D7">
        <w:t xml:space="preserve">There is a final issue to address in describing the Occupiers – who represents them? </w:t>
      </w:r>
      <w:r w:rsidR="00E862BE">
        <w:t xml:space="preserve">For this purpose, there are two groups of Occupiers: those named in the answering affidavit; and those not named. The Occupiers who are expressly named in the answering affidavits and who have filed confirmatory affidavits are plainly represented by SERI. But SERI also </w:t>
      </w:r>
      <w:r w:rsidR="002B0AAB">
        <w:t xml:space="preserve">initially </w:t>
      </w:r>
      <w:r w:rsidR="00E862BE">
        <w:t>claim</w:t>
      </w:r>
      <w:r w:rsidR="002B0AAB">
        <w:t>ed</w:t>
      </w:r>
      <w:r w:rsidR="00E862BE">
        <w:t xml:space="preserve"> to represent </w:t>
      </w:r>
      <w:r w:rsidR="009C1EDF">
        <w:t>all other unnamed Occupiers, and the answering affidavit was purportedly filed on behalf of all the Occupiers. Is that permissible?</w:t>
      </w:r>
    </w:p>
    <w:p w14:paraId="5C656419" w14:textId="05A3BFC9" w:rsidR="009C1EDF" w:rsidRDefault="00ED74CB" w:rsidP="00ED74CB">
      <w:r>
        <w:rPr>
          <w:rFonts w:eastAsia="Times New Roman" w:cs="Arial"/>
          <w:color w:val="000000"/>
          <w:szCs w:val="24"/>
          <w:lang w:val="en-US" w:eastAsia="en-ZA"/>
        </w:rPr>
        <w:t>[64]</w:t>
      </w:r>
      <w:r>
        <w:rPr>
          <w:rFonts w:eastAsia="Times New Roman" w:cs="Arial"/>
          <w:color w:val="000000"/>
          <w:szCs w:val="24"/>
          <w:lang w:val="en-US" w:eastAsia="en-ZA"/>
        </w:rPr>
        <w:tab/>
      </w:r>
      <w:r w:rsidR="009C1EDF">
        <w:t xml:space="preserve">When questioned, SERI </w:t>
      </w:r>
      <w:r w:rsidR="002B0AAB">
        <w:t xml:space="preserve">properly </w:t>
      </w:r>
      <w:r w:rsidR="009C1EDF">
        <w:t>expl</w:t>
      </w:r>
      <w:r w:rsidR="00F711BD">
        <w:t xml:space="preserve">ained that it could only formally represent those Occupiers who had given it express instructions. It could not claim to represent, in the ordinary sense, those Occupiers who had never instructed them, and whose details they may not even be aware of. However, it contended that it </w:t>
      </w:r>
      <w:r w:rsidR="00D77438">
        <w:t xml:space="preserve">still acted in the interests of </w:t>
      </w:r>
      <w:r w:rsidR="00D77438" w:rsidRPr="00ED74CB">
        <w:rPr>
          <w:i/>
          <w:iCs/>
        </w:rPr>
        <w:t xml:space="preserve">all </w:t>
      </w:r>
      <w:r w:rsidR="00D77438">
        <w:t>the occupiers whose fates are tied together.</w:t>
      </w:r>
      <w:r w:rsidR="002B0AAB">
        <w:t xml:space="preserve"> As Ms Bhengu put it: “SERI considers itself under a general ethical duty to seek to protect the interests of as-yet un-named and unidentified persons who may have come to live at one of the seven sites”.</w:t>
      </w:r>
    </w:p>
    <w:p w14:paraId="4F9AFEB2" w14:textId="0F4FFBF7" w:rsidR="00D77438" w:rsidRDefault="00ED74CB" w:rsidP="00ED74CB">
      <w:r>
        <w:rPr>
          <w:rFonts w:eastAsia="Times New Roman" w:cs="Arial"/>
          <w:color w:val="000000"/>
          <w:szCs w:val="24"/>
          <w:lang w:val="en-US" w:eastAsia="en-ZA"/>
        </w:rPr>
        <w:t>[65]</w:t>
      </w:r>
      <w:r>
        <w:rPr>
          <w:rFonts w:eastAsia="Times New Roman" w:cs="Arial"/>
          <w:color w:val="000000"/>
          <w:szCs w:val="24"/>
          <w:lang w:val="en-US" w:eastAsia="en-ZA"/>
        </w:rPr>
        <w:tab/>
      </w:r>
      <w:r w:rsidR="00D77438">
        <w:t xml:space="preserve">Public interest litigation is often messy. </w:t>
      </w:r>
      <w:r w:rsidR="00B15670">
        <w:t xml:space="preserve">Representing people who are vulnerable and disempowered is not easy. While it was inaccurate for SERI to say that it </w:t>
      </w:r>
      <w:r w:rsidR="00E50104">
        <w:t>formally represented unnamed Occupiers, I do not think it should be critici</w:t>
      </w:r>
      <w:r w:rsidR="0084350A">
        <w:t>s</w:t>
      </w:r>
      <w:r w:rsidR="00E50104">
        <w:t>ed. There was no reason to believe that the interests of its specific clients would differ from the interests of the Occupiers as a whole. In my view</w:t>
      </w:r>
      <w:r w:rsidR="006E4A88">
        <w:t xml:space="preserve">, SERI eventually adopted the correct approach – it was on record only for specific named Occupiers. But it made submissions in the interests of all the Occupiers. </w:t>
      </w:r>
      <w:r w:rsidR="00A83346">
        <w:t xml:space="preserve">It did so in </w:t>
      </w:r>
      <w:r w:rsidR="006E4A88">
        <w:t xml:space="preserve">the best </w:t>
      </w:r>
      <w:r w:rsidR="00A83346">
        <w:t xml:space="preserve">tradition </w:t>
      </w:r>
      <w:r w:rsidR="006E4A88">
        <w:t xml:space="preserve">of public </w:t>
      </w:r>
      <w:r w:rsidR="006E4A88">
        <w:lastRenderedPageBreak/>
        <w:t xml:space="preserve">interest litigation </w:t>
      </w:r>
      <w:r w:rsidR="00A83346">
        <w:t>in this country which seeks to make sure that all people have a voice in litigation that concerns them.</w:t>
      </w:r>
    </w:p>
    <w:p w14:paraId="7E6A1498" w14:textId="77777777" w:rsidR="007D1A0C" w:rsidRDefault="007D1A0C" w:rsidP="00CC286D">
      <w:pPr>
        <w:rPr>
          <w:lang w:val="en-US"/>
        </w:rPr>
      </w:pPr>
    </w:p>
    <w:p w14:paraId="746E6C85" w14:textId="77777777" w:rsidR="00D472BD" w:rsidRDefault="00D472BD" w:rsidP="00D472BD">
      <w:pPr>
        <w:pStyle w:val="Heading3"/>
      </w:pPr>
      <w:r>
        <w:t>The Shape of the Litigation</w:t>
      </w:r>
    </w:p>
    <w:p w14:paraId="1C9419B2" w14:textId="0F4027DC" w:rsidR="00466B67" w:rsidRDefault="00ED74CB" w:rsidP="00ED74CB">
      <w:r>
        <w:rPr>
          <w:rFonts w:eastAsia="Times New Roman" w:cs="Arial"/>
          <w:color w:val="000000"/>
          <w:szCs w:val="24"/>
          <w:lang w:val="en-US" w:eastAsia="en-ZA"/>
        </w:rPr>
        <w:t>[66]</w:t>
      </w:r>
      <w:r>
        <w:rPr>
          <w:rFonts w:eastAsia="Times New Roman" w:cs="Arial"/>
          <w:color w:val="000000"/>
          <w:szCs w:val="24"/>
          <w:lang w:val="en-US" w:eastAsia="en-ZA"/>
        </w:rPr>
        <w:tab/>
      </w:r>
      <w:r w:rsidR="00D472BD">
        <w:t>The application to evict was launched in December 2022. On the City’s version, people began occupying the seven properties in April 2020, largely as a result of the lockdown imposed during the Covid-19 pandemic.</w:t>
      </w:r>
      <w:r w:rsidR="00D472BD">
        <w:rPr>
          <w:rStyle w:val="FootnoteReference"/>
        </w:rPr>
        <w:footnoteReference w:id="8"/>
      </w:r>
      <w:r w:rsidR="00D472BD">
        <w:t xml:space="preserve"> The City explains that it did not want to evict the Occupiers during Covid-19, and so waited until the pandemic was over and the various restrictions had been lifted.</w:t>
      </w:r>
      <w:r w:rsidR="00692B06">
        <w:t xml:space="preserve"> It had previously offered all the </w:t>
      </w:r>
      <w:r w:rsidR="00D0762B">
        <w:t>Occupiers it could identify a spot at a safe space</w:t>
      </w:r>
      <w:r w:rsidR="002B0AAB">
        <w:t>. Some accepted. Others</w:t>
      </w:r>
      <w:r w:rsidR="00D0762B">
        <w:t xml:space="preserve"> turned down</w:t>
      </w:r>
      <w:r w:rsidR="002B0AAB">
        <w:t xml:space="preserve"> the offer</w:t>
      </w:r>
      <w:r w:rsidR="00B77ADC">
        <w:t xml:space="preserve"> and remained</w:t>
      </w:r>
      <w:r w:rsidR="00D0762B">
        <w:t>.</w:t>
      </w:r>
    </w:p>
    <w:p w14:paraId="4B4614CA" w14:textId="1F6913CF" w:rsidR="00D472BD" w:rsidRDefault="00ED74CB" w:rsidP="00ED74CB">
      <w:r>
        <w:rPr>
          <w:rFonts w:eastAsia="Times New Roman" w:cs="Arial"/>
          <w:color w:val="000000"/>
          <w:szCs w:val="24"/>
          <w:lang w:val="en-US" w:eastAsia="en-ZA"/>
        </w:rPr>
        <w:t>[67]</w:t>
      </w:r>
      <w:r>
        <w:rPr>
          <w:rFonts w:eastAsia="Times New Roman" w:cs="Arial"/>
          <w:color w:val="000000"/>
          <w:szCs w:val="24"/>
          <w:lang w:val="en-US" w:eastAsia="en-ZA"/>
        </w:rPr>
        <w:tab/>
      </w:r>
      <w:r w:rsidR="002B0AAB">
        <w:t>The</w:t>
      </w:r>
      <w:r w:rsidR="00466B67">
        <w:t xml:space="preserve"> notice of motion in the eviction application was not initially linked to the provision of alternative accommodation; although the founding affidavit made it clear that the City believed the safe spaces were an adequate alternative. The Occupiers initially complained that the City sought their eviction without any guarantee of even accommodation at the safe spaces. By the hearing, this issue had fallen away and the City accepted that the Occupiers could only be evicted if it could provide them with accommodation at a safe space.</w:t>
      </w:r>
    </w:p>
    <w:p w14:paraId="5A986791" w14:textId="42BF1233" w:rsidR="00D472BD" w:rsidRDefault="00ED74CB" w:rsidP="00ED74CB">
      <w:r>
        <w:rPr>
          <w:rFonts w:eastAsia="Times New Roman" w:cs="Arial"/>
          <w:color w:val="000000"/>
          <w:szCs w:val="24"/>
          <w:lang w:val="en-US" w:eastAsia="en-ZA"/>
        </w:rPr>
        <w:t>[68]</w:t>
      </w:r>
      <w:r>
        <w:rPr>
          <w:rFonts w:eastAsia="Times New Roman" w:cs="Arial"/>
          <w:color w:val="000000"/>
          <w:szCs w:val="24"/>
          <w:lang w:val="en-US" w:eastAsia="en-ZA"/>
        </w:rPr>
        <w:tab/>
      </w:r>
      <w:r w:rsidR="00D472BD">
        <w:t xml:space="preserve">The Occupiers were initially unrepresented and the matter was set down for hearing on 19 April 2023. By that time, the Occupiers (or at least some of them) had </w:t>
      </w:r>
      <w:r w:rsidR="00D472BD">
        <w:lastRenderedPageBreak/>
        <w:t>obtained legal representation. The parties agreed to afford the Occupiers until 30 June 2023 to file their answering papers.</w:t>
      </w:r>
    </w:p>
    <w:p w14:paraId="6319A133" w14:textId="4A455658" w:rsidR="007264A3" w:rsidRDefault="00ED74CB" w:rsidP="00ED74CB">
      <w:r>
        <w:rPr>
          <w:rFonts w:eastAsia="Times New Roman" w:cs="Arial"/>
          <w:color w:val="000000"/>
          <w:szCs w:val="24"/>
          <w:lang w:val="en-US" w:eastAsia="en-ZA"/>
        </w:rPr>
        <w:t>[69]</w:t>
      </w:r>
      <w:r>
        <w:rPr>
          <w:rFonts w:eastAsia="Times New Roman" w:cs="Arial"/>
          <w:color w:val="000000"/>
          <w:szCs w:val="24"/>
          <w:lang w:val="en-US" w:eastAsia="en-ZA"/>
        </w:rPr>
        <w:tab/>
      </w:r>
      <w:r w:rsidR="007264A3">
        <w:t>The answering papers oppose the eviction on t</w:t>
      </w:r>
      <w:r w:rsidR="00466B67">
        <w:t>wo</w:t>
      </w:r>
      <w:r w:rsidR="007264A3">
        <w:t xml:space="preserve"> broad grounds. First, the Occupiers allege the City had not meaningfully engaged. Second, </w:t>
      </w:r>
      <w:r w:rsidR="000D5B4C">
        <w:t xml:space="preserve">they argued that the safe spaces were not suitable alternative accommodation because of the rules </w:t>
      </w:r>
      <w:r w:rsidR="00823284">
        <w:t>they impose, and their failure to cater for families and couples.</w:t>
      </w:r>
    </w:p>
    <w:p w14:paraId="1C07D092" w14:textId="6CF7BDD6" w:rsidR="00C83DD4" w:rsidRDefault="00ED74CB" w:rsidP="00ED74CB">
      <w:r>
        <w:rPr>
          <w:rFonts w:eastAsia="Times New Roman" w:cs="Arial"/>
          <w:color w:val="000000"/>
          <w:szCs w:val="24"/>
          <w:lang w:val="en-US" w:eastAsia="en-ZA"/>
        </w:rPr>
        <w:t>[70]</w:t>
      </w:r>
      <w:r>
        <w:rPr>
          <w:rFonts w:eastAsia="Times New Roman" w:cs="Arial"/>
          <w:color w:val="000000"/>
          <w:szCs w:val="24"/>
          <w:lang w:val="en-US" w:eastAsia="en-ZA"/>
        </w:rPr>
        <w:tab/>
      </w:r>
      <w:r w:rsidR="00C83DD4">
        <w:t>The Occupiers also, rightly, complain that while this application was pending, the City attempted to demolish</w:t>
      </w:r>
      <w:r w:rsidR="00A81915">
        <w:t xml:space="preserve"> some of</w:t>
      </w:r>
      <w:r w:rsidR="00C83DD4">
        <w:t xml:space="preserve"> their homes.</w:t>
      </w:r>
      <w:r w:rsidR="00EB7381">
        <w:t xml:space="preserve"> On 16 May 2023, the City’s officials demolished about 15 structures at the FW De Klerk site. </w:t>
      </w:r>
      <w:r w:rsidR="005C321C">
        <w:t xml:space="preserve">The City </w:t>
      </w:r>
      <w:r w:rsidR="00FE5B4D">
        <w:t>initially denied the demolition, then admitted it and claimed it was permitted under a court order. However, the City eventually offered R1 700 to each affected occupier as recompense and undertook that no further demolitions would be conducted at the Properties while th</w:t>
      </w:r>
      <w:r w:rsidR="002D4D38">
        <w:t>is application was pending.</w:t>
      </w:r>
      <w:r w:rsidR="00466B67">
        <w:t xml:space="preserve"> It was improper </w:t>
      </w:r>
      <w:r w:rsidR="00223761">
        <w:t xml:space="preserve">(and </w:t>
      </w:r>
      <w:r w:rsidR="00F60D3D">
        <w:t>probably</w:t>
      </w:r>
      <w:r w:rsidR="00223761">
        <w:t xml:space="preserve"> unlawful) </w:t>
      </w:r>
      <w:r w:rsidR="00466B67">
        <w:t xml:space="preserve">for the City to unilaterally demolish the structures while seeking an eviction order. </w:t>
      </w:r>
      <w:r w:rsidR="00B01CA7">
        <w:t>The City appears to have, grudgingly, admitted its error.</w:t>
      </w:r>
    </w:p>
    <w:p w14:paraId="23CA0BE1" w14:textId="137210B1" w:rsidR="00D472BD" w:rsidRDefault="00ED74CB" w:rsidP="00ED74CB">
      <w:r>
        <w:rPr>
          <w:rFonts w:eastAsia="Times New Roman" w:cs="Arial"/>
          <w:color w:val="000000"/>
          <w:szCs w:val="24"/>
          <w:lang w:val="en-US" w:eastAsia="en-ZA"/>
        </w:rPr>
        <w:t>[71]</w:t>
      </w:r>
      <w:r>
        <w:rPr>
          <w:rFonts w:eastAsia="Times New Roman" w:cs="Arial"/>
          <w:color w:val="000000"/>
          <w:szCs w:val="24"/>
          <w:lang w:val="en-US" w:eastAsia="en-ZA"/>
        </w:rPr>
        <w:tab/>
      </w:r>
      <w:r w:rsidR="00D472BD">
        <w:t xml:space="preserve">The Occupiers also filed a counter-application challenging the constitutionality of certain provisions of the </w:t>
      </w:r>
      <w:r w:rsidR="00D472BD" w:rsidRPr="002A2A5B">
        <w:t>City’s Streets, Public Places and Prevention of Noise Nuisance By-Law</w:t>
      </w:r>
      <w:r w:rsidR="00D472BD">
        <w:t xml:space="preserve">. The City had relied on the By-Law as one of the bases on which the </w:t>
      </w:r>
      <w:r w:rsidR="00C82730">
        <w:t>Occupiers’ occupation of the Properties was unlawful.</w:t>
      </w:r>
      <w:r w:rsidR="00D472BD">
        <w:t xml:space="preserve"> </w:t>
      </w:r>
      <w:r w:rsidR="00C82730">
        <w:t>The Occupiers</w:t>
      </w:r>
      <w:r w:rsidR="00D472BD">
        <w:t xml:space="preserve"> argued that the provisions </w:t>
      </w:r>
      <w:r w:rsidR="00C82730">
        <w:t xml:space="preserve">of the By-Law </w:t>
      </w:r>
      <w:r w:rsidR="00D472BD">
        <w:t>criminalized homelessness</w:t>
      </w:r>
      <w:r w:rsidR="00C82730">
        <w:t xml:space="preserve"> and permitted eviction contrary to s 26(3). The City abandoned reliance on the By-Law and the Occupiers did not persist with their counter-application.</w:t>
      </w:r>
      <w:r w:rsidR="00363213">
        <w:t xml:space="preserve"> Part of the reason is that there was a separate challenge to the constitutionality of the By-Law on similar grounds.</w:t>
      </w:r>
    </w:p>
    <w:p w14:paraId="71F7398F" w14:textId="5296364F" w:rsidR="002D4D38" w:rsidRDefault="00ED74CB" w:rsidP="00ED74CB">
      <w:r>
        <w:rPr>
          <w:rFonts w:eastAsia="Times New Roman" w:cs="Arial"/>
          <w:color w:val="000000"/>
          <w:szCs w:val="24"/>
          <w:lang w:val="en-US" w:eastAsia="en-ZA"/>
        </w:rPr>
        <w:lastRenderedPageBreak/>
        <w:t>[72]</w:t>
      </w:r>
      <w:r>
        <w:rPr>
          <w:rFonts w:eastAsia="Times New Roman" w:cs="Arial"/>
          <w:color w:val="000000"/>
          <w:szCs w:val="24"/>
          <w:lang w:val="en-US" w:eastAsia="en-ZA"/>
        </w:rPr>
        <w:tab/>
      </w:r>
      <w:r w:rsidR="002D4D38">
        <w:t xml:space="preserve">As I narrated earlier, the parties had also engaged </w:t>
      </w:r>
      <w:r w:rsidR="006A57D7">
        <w:t>between the filing of the answering and replying affidavits. More on that and whether it was adequate later.</w:t>
      </w:r>
    </w:p>
    <w:p w14:paraId="2B289D29" w14:textId="3DA537A9" w:rsidR="00DA45EB" w:rsidRDefault="00ED74CB" w:rsidP="00ED74CB">
      <w:r>
        <w:rPr>
          <w:rFonts w:eastAsia="Times New Roman" w:cs="Arial"/>
          <w:color w:val="000000"/>
          <w:szCs w:val="24"/>
          <w:lang w:val="en-US" w:eastAsia="en-ZA"/>
        </w:rPr>
        <w:t>[73]</w:t>
      </w:r>
      <w:r>
        <w:rPr>
          <w:rFonts w:eastAsia="Times New Roman" w:cs="Arial"/>
          <w:color w:val="000000"/>
          <w:szCs w:val="24"/>
          <w:lang w:val="en-US" w:eastAsia="en-ZA"/>
        </w:rPr>
        <w:tab/>
      </w:r>
      <w:r w:rsidR="00DA45EB">
        <w:t>That was the shape of the litigation when it was allocated to me.</w:t>
      </w:r>
      <w:r w:rsidR="004570C1">
        <w:t xml:space="preserve"> I must next explain the steps I took, beyond merely hearing the application.</w:t>
      </w:r>
    </w:p>
    <w:p w14:paraId="6934A76D" w14:textId="12CCEBEF" w:rsidR="00601137" w:rsidRDefault="00ED74CB" w:rsidP="00ED74CB">
      <w:r>
        <w:rPr>
          <w:rFonts w:eastAsia="Times New Roman" w:cs="Arial"/>
          <w:color w:val="000000"/>
          <w:szCs w:val="24"/>
          <w:lang w:val="en-US" w:eastAsia="en-ZA"/>
        </w:rPr>
        <w:t>[74]</w:t>
      </w:r>
      <w:r>
        <w:rPr>
          <w:rFonts w:eastAsia="Times New Roman" w:cs="Arial"/>
          <w:color w:val="000000"/>
          <w:szCs w:val="24"/>
          <w:lang w:val="en-US" w:eastAsia="en-ZA"/>
        </w:rPr>
        <w:tab/>
      </w:r>
      <w:r w:rsidR="00482274">
        <w:t xml:space="preserve">A court’s role in an eviction application is not the same as its role in other civil litigation. It has an additional duty to ensure it has all the information it needs to satisfy itself that an eviction will be just and equitable. </w:t>
      </w:r>
      <w:r w:rsidR="005E2DE9">
        <w:t>As</w:t>
      </w:r>
      <w:r w:rsidR="004570C1">
        <w:t xml:space="preserve"> the Constitutional Court</w:t>
      </w:r>
      <w:r w:rsidR="005E2DE9">
        <w:t xml:space="preserve"> explained in </w:t>
      </w:r>
      <w:r w:rsidR="005E2DE9" w:rsidRPr="00ED74CB">
        <w:rPr>
          <w:i/>
          <w:iCs/>
        </w:rPr>
        <w:t>PE Municipality</w:t>
      </w:r>
      <w:r w:rsidR="005E2DE9">
        <w:t xml:space="preserve">, </w:t>
      </w:r>
      <w:r w:rsidR="00AC5711">
        <w:t>courts are “</w:t>
      </w:r>
      <w:r w:rsidR="005E2DE9" w:rsidRPr="005E2DE9">
        <w:t>entitled to go beyond the facts established in the papers before it</w:t>
      </w:r>
      <w:r w:rsidR="00AC5711">
        <w:t>” particularly where the evidence “</w:t>
      </w:r>
      <w:r w:rsidR="005E2DE9" w:rsidRPr="00AC5711">
        <w:t>leaves important questions of fact obscure, contested or uncertain</w:t>
      </w:r>
      <w:r w:rsidR="00AC5711">
        <w:t>”</w:t>
      </w:r>
      <w:r w:rsidR="00ED5BDC">
        <w:t>.</w:t>
      </w:r>
      <w:bookmarkStart w:id="3" w:name="_Ref169529084"/>
      <w:r w:rsidR="00B376DC">
        <w:rPr>
          <w:rStyle w:val="FootnoteReference"/>
        </w:rPr>
        <w:footnoteReference w:id="9"/>
      </w:r>
      <w:bookmarkEnd w:id="3"/>
      <w:r w:rsidR="00ED5BDC">
        <w:t xml:space="preserve"> When </w:t>
      </w:r>
      <w:r w:rsidR="00F86BEB">
        <w:t>necessary,</w:t>
      </w:r>
      <w:r w:rsidR="00ED5BDC">
        <w:t xml:space="preserve"> a court must engage in “</w:t>
      </w:r>
      <w:r w:rsidR="00ED5BDC" w:rsidRPr="00ED5BDC">
        <w:t>active judicial management according to equitable principles of an ongoing, stressful and law</w:t>
      </w:r>
      <w:r w:rsidR="00A239A8">
        <w:noBreakHyphen/>
      </w:r>
      <w:r w:rsidR="00ED5BDC" w:rsidRPr="00ED5BDC">
        <w:t>governed social process</w:t>
      </w:r>
      <w:r w:rsidR="00ED5BDC">
        <w:t>”.</w:t>
      </w:r>
      <w:r w:rsidR="00B376DC">
        <w:rPr>
          <w:rStyle w:val="FootnoteReference"/>
        </w:rPr>
        <w:footnoteReference w:id="10"/>
      </w:r>
    </w:p>
    <w:p w14:paraId="1F15F888" w14:textId="0E4EC53E" w:rsidR="00B376DC" w:rsidRDefault="00ED74CB" w:rsidP="00ED74CB">
      <w:r>
        <w:rPr>
          <w:rFonts w:eastAsia="Times New Roman" w:cs="Arial"/>
          <w:color w:val="000000"/>
          <w:szCs w:val="24"/>
          <w:lang w:val="en-US" w:eastAsia="en-ZA"/>
        </w:rPr>
        <w:t>[75]</w:t>
      </w:r>
      <w:r>
        <w:rPr>
          <w:rFonts w:eastAsia="Times New Roman" w:cs="Arial"/>
          <w:color w:val="000000"/>
          <w:szCs w:val="24"/>
          <w:lang w:val="en-US" w:eastAsia="en-ZA"/>
        </w:rPr>
        <w:tab/>
      </w:r>
      <w:r w:rsidR="00B376DC">
        <w:t xml:space="preserve">But there are limits on </w:t>
      </w:r>
      <w:r w:rsidR="005C766A">
        <w:t xml:space="preserve">how far a court can legitimately go. </w:t>
      </w:r>
      <w:r w:rsidR="009D2EAD">
        <w:t>“</w:t>
      </w:r>
      <w:r w:rsidR="009D2EAD" w:rsidRPr="009D2EAD">
        <w:t>A more active role in managing the litigation does not permit the judge to enter the arena or take over the running of the litigation.</w:t>
      </w:r>
      <w:r w:rsidR="009D2EAD">
        <w:t>”</w:t>
      </w:r>
      <w:bookmarkStart w:id="4" w:name="_Ref169459971"/>
      <w:r w:rsidR="009D2EAD">
        <w:rPr>
          <w:rStyle w:val="FootnoteReference"/>
        </w:rPr>
        <w:footnoteReference w:id="11"/>
      </w:r>
      <w:bookmarkEnd w:id="4"/>
      <w:r w:rsidR="009D2EAD">
        <w:t xml:space="preserve"> </w:t>
      </w:r>
      <w:r w:rsidR="00A25F4D">
        <w:t>While a court asked to evict people can ask for more information and can construct remedies that ensure evictions are executed only whe</w:t>
      </w:r>
      <w:r w:rsidR="00BD7A72">
        <w:t>n appropriate, it cannot redefine the issues between the parties.</w:t>
      </w:r>
      <w:r w:rsidR="00BD7A72">
        <w:rPr>
          <w:rStyle w:val="FootnoteReference"/>
        </w:rPr>
        <w:footnoteReference w:id="12"/>
      </w:r>
    </w:p>
    <w:p w14:paraId="2D5B0D06" w14:textId="6C37A9B5" w:rsidR="00AF1282" w:rsidRDefault="00ED74CB" w:rsidP="00ED74CB">
      <w:r>
        <w:rPr>
          <w:rFonts w:eastAsia="Times New Roman" w:cs="Arial"/>
          <w:color w:val="000000"/>
          <w:szCs w:val="24"/>
          <w:lang w:val="en-US" w:eastAsia="en-ZA"/>
        </w:rPr>
        <w:lastRenderedPageBreak/>
        <w:t>[76]</w:t>
      </w:r>
      <w:r>
        <w:rPr>
          <w:rFonts w:eastAsia="Times New Roman" w:cs="Arial"/>
          <w:color w:val="000000"/>
          <w:szCs w:val="24"/>
          <w:lang w:val="en-US" w:eastAsia="en-ZA"/>
        </w:rPr>
        <w:tab/>
      </w:r>
      <w:r w:rsidR="00BD7A72">
        <w:t>This will sometimes be a tightrope that judges must walk with care</w:t>
      </w:r>
      <w:r w:rsidR="00A41042">
        <w:t>:</w:t>
      </w:r>
      <w:r w:rsidR="00BD7A72">
        <w:t xml:space="preserve"> </w:t>
      </w:r>
      <w:r w:rsidR="008144DB">
        <w:t>Intervening enough to ensure they can do justice in the case, but not so much that they become an active participant in the litigation.</w:t>
      </w:r>
      <w:r w:rsidR="00AF1282">
        <w:t xml:space="preserve"> </w:t>
      </w:r>
      <w:r w:rsidR="008144DB">
        <w:t xml:space="preserve">In this case, </w:t>
      </w:r>
      <w:r w:rsidR="00A41042">
        <w:t xml:space="preserve">I intervened on two occasions. </w:t>
      </w:r>
    </w:p>
    <w:p w14:paraId="25090F81" w14:textId="6CC444C2" w:rsidR="008144DB" w:rsidRDefault="00ED74CB" w:rsidP="00ED74CB">
      <w:r>
        <w:rPr>
          <w:rFonts w:eastAsia="Times New Roman" w:cs="Arial"/>
          <w:color w:val="000000"/>
          <w:szCs w:val="24"/>
          <w:lang w:val="en-US" w:eastAsia="en-ZA"/>
        </w:rPr>
        <w:t>[77]</w:t>
      </w:r>
      <w:r>
        <w:rPr>
          <w:rFonts w:eastAsia="Times New Roman" w:cs="Arial"/>
          <w:color w:val="000000"/>
          <w:szCs w:val="24"/>
          <w:lang w:val="en-US" w:eastAsia="en-ZA"/>
        </w:rPr>
        <w:tab/>
      </w:r>
      <w:r w:rsidR="00A41042">
        <w:t xml:space="preserve">I held a meeting with the legal representatives for the parties on </w:t>
      </w:r>
      <w:r w:rsidR="000B3CD5">
        <w:t>3</w:t>
      </w:r>
      <w:r w:rsidR="00A41042">
        <w:t xml:space="preserve"> October 2023</w:t>
      </w:r>
      <w:r w:rsidR="00CC60C5">
        <w:t>, a week before the hearing. At the</w:t>
      </w:r>
      <w:r w:rsidR="00AC2DE7">
        <w:t xml:space="preserve"> meeting</w:t>
      </w:r>
      <w:r w:rsidR="00CC60C5">
        <w:t xml:space="preserve">, I raised questions </w:t>
      </w:r>
      <w:r w:rsidR="00AF1282">
        <w:t>about issues that</w:t>
      </w:r>
      <w:r w:rsidR="00CC60C5">
        <w:t xml:space="preserve"> were </w:t>
      </w:r>
      <w:r w:rsidR="00BE2EBF">
        <w:t>“obscure, contested or uncertain” on the papers. I sought clarity either immediately, or through affidavits the parties were invited to file before the hearing. The issues on which I sought the parties</w:t>
      </w:r>
      <w:r w:rsidR="00AC2DE7">
        <w:t>’</w:t>
      </w:r>
      <w:r w:rsidR="00BE2EBF">
        <w:t xml:space="preserve"> assistance were:</w:t>
      </w:r>
    </w:p>
    <w:p w14:paraId="06A8B39C" w14:textId="4CBC824B" w:rsidR="00631741" w:rsidRDefault="00ED74CB" w:rsidP="00ED74CB">
      <w:pPr>
        <w:ind w:left="1440" w:hanging="720"/>
      </w:pPr>
      <w:r>
        <w:rPr>
          <w:rFonts w:eastAsia="Times New Roman" w:cs="Arial"/>
          <w:color w:val="000000"/>
          <w:szCs w:val="24"/>
          <w:lang w:val="en-US" w:eastAsia="en-ZA"/>
        </w:rPr>
        <w:t>[77.1]</w:t>
      </w:r>
      <w:r>
        <w:rPr>
          <w:rFonts w:eastAsia="Times New Roman" w:cs="Arial"/>
          <w:color w:val="000000"/>
          <w:szCs w:val="24"/>
          <w:lang w:val="en-US" w:eastAsia="en-ZA"/>
        </w:rPr>
        <w:tab/>
      </w:r>
      <w:r w:rsidR="00631741">
        <w:t>On whose behalf the S</w:t>
      </w:r>
      <w:r w:rsidR="00CF7AB4">
        <w:t>ERI</w:t>
      </w:r>
      <w:r w:rsidR="00631741">
        <w:t xml:space="preserve"> was acting. </w:t>
      </w:r>
      <w:r w:rsidR="00CF7AB4">
        <w:t>As I mentioned earlier, SERI</w:t>
      </w:r>
      <w:r w:rsidR="00631741">
        <w:t xml:space="preserve"> claimed to be acting on behalf of both the </w:t>
      </w:r>
      <w:r w:rsidR="00A61759">
        <w:t xml:space="preserve">named Occupiers, and the unnamed Occupiers. </w:t>
      </w:r>
    </w:p>
    <w:p w14:paraId="4734CC7B" w14:textId="32CEFAF5" w:rsidR="00BE2EBF" w:rsidRDefault="00ED74CB" w:rsidP="00ED74CB">
      <w:pPr>
        <w:ind w:left="1440" w:hanging="720"/>
      </w:pPr>
      <w:r>
        <w:rPr>
          <w:rFonts w:eastAsia="Times New Roman" w:cs="Arial"/>
          <w:color w:val="000000"/>
          <w:szCs w:val="24"/>
          <w:lang w:val="en-US" w:eastAsia="en-ZA"/>
        </w:rPr>
        <w:t>[77.2]</w:t>
      </w:r>
      <w:r>
        <w:rPr>
          <w:rFonts w:eastAsia="Times New Roman" w:cs="Arial"/>
          <w:color w:val="000000"/>
          <w:szCs w:val="24"/>
          <w:lang w:val="en-US" w:eastAsia="en-ZA"/>
        </w:rPr>
        <w:tab/>
      </w:r>
      <w:r w:rsidR="00631741">
        <w:t>The details of the persons occupying the properties. Having considered the papers, there was not only a lack of clarity, but also an inconsistency in the information provided by the City and the Occupiers.</w:t>
      </w:r>
    </w:p>
    <w:p w14:paraId="1D865F6C" w14:textId="00A799FB" w:rsidR="00A61759" w:rsidRDefault="00ED74CB" w:rsidP="00ED74CB">
      <w:pPr>
        <w:ind w:left="1440" w:hanging="720"/>
      </w:pPr>
      <w:r>
        <w:rPr>
          <w:rFonts w:eastAsia="Times New Roman" w:cs="Arial"/>
          <w:color w:val="000000"/>
          <w:szCs w:val="24"/>
          <w:lang w:val="en-US" w:eastAsia="en-ZA"/>
        </w:rPr>
        <w:t>[77.3]</w:t>
      </w:r>
      <w:r>
        <w:rPr>
          <w:rFonts w:eastAsia="Times New Roman" w:cs="Arial"/>
          <w:color w:val="000000"/>
          <w:szCs w:val="24"/>
          <w:lang w:val="en-US" w:eastAsia="en-ZA"/>
        </w:rPr>
        <w:tab/>
      </w:r>
      <w:r w:rsidR="00772BE7">
        <w:t>The availability of couples’ accommodation at the safe spaces.</w:t>
      </w:r>
    </w:p>
    <w:p w14:paraId="36395322" w14:textId="289806F1" w:rsidR="00772BE7" w:rsidRDefault="00ED74CB" w:rsidP="00ED74CB">
      <w:pPr>
        <w:ind w:left="1440" w:hanging="720"/>
      </w:pPr>
      <w:r>
        <w:rPr>
          <w:rFonts w:eastAsia="Times New Roman" w:cs="Arial"/>
          <w:color w:val="000000"/>
          <w:szCs w:val="24"/>
          <w:lang w:val="en-US" w:eastAsia="en-ZA"/>
        </w:rPr>
        <w:t>[77.4]</w:t>
      </w:r>
      <w:r>
        <w:rPr>
          <w:rFonts w:eastAsia="Times New Roman" w:cs="Arial"/>
          <w:color w:val="000000"/>
          <w:szCs w:val="24"/>
          <w:lang w:val="en-US" w:eastAsia="en-ZA"/>
        </w:rPr>
        <w:tab/>
      </w:r>
      <w:r w:rsidR="00772BE7">
        <w:t xml:space="preserve">Whether the City would permit Occupiers who were evicted and decided to move to a safe space </w:t>
      </w:r>
      <w:r w:rsidR="00FC626D">
        <w:t>to stay there</w:t>
      </w:r>
      <w:r w:rsidR="005C006F">
        <w:t xml:space="preserve"> beyond six months and</w:t>
      </w:r>
      <w:r w:rsidR="00FC626D">
        <w:t xml:space="preserve"> until they found alternative accommodation.</w:t>
      </w:r>
    </w:p>
    <w:p w14:paraId="73A9572B" w14:textId="24337AD6" w:rsidR="00683766" w:rsidRDefault="00ED74CB" w:rsidP="00ED74CB">
      <w:r>
        <w:rPr>
          <w:rFonts w:eastAsia="Times New Roman" w:cs="Arial"/>
          <w:color w:val="000000"/>
          <w:szCs w:val="24"/>
          <w:lang w:val="en-US" w:eastAsia="en-ZA"/>
        </w:rPr>
        <w:t>[78]</w:t>
      </w:r>
      <w:r>
        <w:rPr>
          <w:rFonts w:eastAsia="Times New Roman" w:cs="Arial"/>
          <w:color w:val="000000"/>
          <w:szCs w:val="24"/>
          <w:lang w:val="en-US" w:eastAsia="en-ZA"/>
        </w:rPr>
        <w:tab/>
      </w:r>
      <w:r w:rsidR="00683766">
        <w:t>Both the City and the Occupiers filed affidavits detailing their responses. I deal with them thematically when I reach those questions.</w:t>
      </w:r>
    </w:p>
    <w:p w14:paraId="3E938DCE" w14:textId="0D9D16DD" w:rsidR="00683766" w:rsidRDefault="00ED74CB" w:rsidP="00ED74CB">
      <w:r>
        <w:rPr>
          <w:rFonts w:eastAsia="Times New Roman" w:cs="Arial"/>
          <w:color w:val="000000"/>
          <w:szCs w:val="24"/>
          <w:lang w:val="en-US" w:eastAsia="en-ZA"/>
        </w:rPr>
        <w:t>[79]</w:t>
      </w:r>
      <w:r>
        <w:rPr>
          <w:rFonts w:eastAsia="Times New Roman" w:cs="Arial"/>
          <w:color w:val="000000"/>
          <w:szCs w:val="24"/>
          <w:lang w:val="en-US" w:eastAsia="en-ZA"/>
        </w:rPr>
        <w:tab/>
      </w:r>
      <w:r w:rsidR="005C006F">
        <w:t>A</w:t>
      </w:r>
      <w:r w:rsidR="00683766">
        <w:t xml:space="preserve">fter the second day of hearing, I held a meeting with counsel for the parties. </w:t>
      </w:r>
      <w:r w:rsidR="00C4634A">
        <w:t xml:space="preserve">I </w:t>
      </w:r>
      <w:r w:rsidR="00C256C9">
        <w:t>enquired whether the parties would be amenable to further engagement on</w:t>
      </w:r>
      <w:r w:rsidR="00AE64C6">
        <w:t xml:space="preserve"> the </w:t>
      </w:r>
      <w:r w:rsidR="00F4126A">
        <w:t xml:space="preserve">make </w:t>
      </w:r>
      <w:r w:rsidR="00F4126A">
        <w:lastRenderedPageBreak/>
        <w:t>up of the Occupiers, and</w:t>
      </w:r>
      <w:r w:rsidR="00C256C9">
        <w:t xml:space="preserve"> </w:t>
      </w:r>
      <w:r w:rsidR="00AD46C2">
        <w:t xml:space="preserve">the operation and availability of the safe spaces. </w:t>
      </w:r>
      <w:r w:rsidR="00FB42E2">
        <w:t>T</w:t>
      </w:r>
      <w:r w:rsidR="00AD46C2">
        <w:t xml:space="preserve">here seemed to be a disconnect between the City’s explanation to the Court about what the safe spaces entailed, and the Occupiers’ understanding of what </w:t>
      </w:r>
      <w:r w:rsidR="00E8106C">
        <w:t>relocation to a safe space meant.</w:t>
      </w:r>
      <w:r w:rsidR="00FB42E2">
        <w:t xml:space="preserve"> The City’s position had also shifted to guarantee couple’s accommodation and stays beyond six months.</w:t>
      </w:r>
      <w:r w:rsidR="00E8106C">
        <w:t xml:space="preserve"> As a result it was very difficult to predict how many people were likely to take up the offer of safe space if they were evicted. There was also uncertainty about the number of couples, children, elderly and disabled people, and the capacity of the City to accommodate them</w:t>
      </w:r>
      <w:r w:rsidR="00805BDC">
        <w:t>.</w:t>
      </w:r>
    </w:p>
    <w:p w14:paraId="595C6B9C" w14:textId="091598AD" w:rsidR="00805BDC" w:rsidRDefault="00ED74CB" w:rsidP="00ED74CB">
      <w:r>
        <w:rPr>
          <w:rFonts w:eastAsia="Times New Roman" w:cs="Arial"/>
          <w:color w:val="000000"/>
          <w:szCs w:val="24"/>
          <w:lang w:val="en-US" w:eastAsia="en-ZA"/>
        </w:rPr>
        <w:t>[80]</w:t>
      </w:r>
      <w:r>
        <w:rPr>
          <w:rFonts w:eastAsia="Times New Roman" w:cs="Arial"/>
          <w:color w:val="000000"/>
          <w:szCs w:val="24"/>
          <w:lang w:val="en-US" w:eastAsia="en-ZA"/>
        </w:rPr>
        <w:tab/>
      </w:r>
      <w:r w:rsidR="00805BDC">
        <w:t xml:space="preserve">The parties engaged in correspondence about my suggestion subsequent to the hearing. There was a tension between them about the ambit and purpose of further engagement. The City was willing to engage on a </w:t>
      </w:r>
      <w:r w:rsidR="00B97F54">
        <w:t>defined basis, but worried about re</w:t>
      </w:r>
      <w:r w:rsidR="00785EF9">
        <w:noBreakHyphen/>
      </w:r>
      <w:r w:rsidR="00B97F54">
        <w:t xml:space="preserve">opening the litigation, or allowing the Occupiers to raise new complaints. The Occupiers saw </w:t>
      </w:r>
      <w:r w:rsidR="002D2160">
        <w:t xml:space="preserve">it as an opportunity for a more open engagement about all the options that could be made available to the Occupiers, and the suitability of the </w:t>
      </w:r>
      <w:r w:rsidR="00D2024E">
        <w:t>s</w:t>
      </w:r>
      <w:r w:rsidR="002D2160">
        <w:t xml:space="preserve">afe </w:t>
      </w:r>
      <w:r w:rsidR="00D2024E">
        <w:t>s</w:t>
      </w:r>
      <w:r w:rsidR="002D2160">
        <w:t>paces.</w:t>
      </w:r>
    </w:p>
    <w:p w14:paraId="7E3EDA8B" w14:textId="3ED1BA80" w:rsidR="002D2160" w:rsidRDefault="00ED74CB" w:rsidP="00ED74CB">
      <w:r>
        <w:rPr>
          <w:rFonts w:eastAsia="Times New Roman" w:cs="Arial"/>
          <w:color w:val="000000"/>
          <w:szCs w:val="24"/>
          <w:lang w:val="en-US" w:eastAsia="en-ZA"/>
        </w:rPr>
        <w:t>[81]</w:t>
      </w:r>
      <w:r>
        <w:rPr>
          <w:rFonts w:eastAsia="Times New Roman" w:cs="Arial"/>
          <w:color w:val="000000"/>
          <w:szCs w:val="24"/>
          <w:lang w:val="en-US" w:eastAsia="en-ZA"/>
        </w:rPr>
        <w:tab/>
      </w:r>
      <w:r w:rsidR="00221E68">
        <w:t>Following the exchange of correspondence which was provided to the Court, I issued an order on 2</w:t>
      </w:r>
      <w:r w:rsidR="00815A5C">
        <w:t>0</w:t>
      </w:r>
      <w:r w:rsidR="00221E68">
        <w:t xml:space="preserve"> October 2023</w:t>
      </w:r>
      <w:r w:rsidR="00FE0DAB">
        <w:t xml:space="preserve"> that reflected what the parties had agreed on</w:t>
      </w:r>
      <w:r w:rsidR="00221E68">
        <w:t xml:space="preserve">. </w:t>
      </w:r>
      <w:r w:rsidR="00FE0DAB">
        <w:t xml:space="preserve">It required the parties to engage on: </w:t>
      </w:r>
    </w:p>
    <w:p w14:paraId="611B9158" w14:textId="36E82E90" w:rsidR="00762227" w:rsidRDefault="00ED74CB" w:rsidP="00ED74CB">
      <w:pPr>
        <w:ind w:left="1440" w:hanging="720"/>
      </w:pPr>
      <w:r>
        <w:rPr>
          <w:rFonts w:eastAsia="Times New Roman" w:cs="Arial"/>
          <w:color w:val="000000"/>
          <w:szCs w:val="24"/>
          <w:lang w:val="en-US" w:eastAsia="en-ZA"/>
        </w:rPr>
        <w:t>[81.1]</w:t>
      </w:r>
      <w:r>
        <w:rPr>
          <w:rFonts w:eastAsia="Times New Roman" w:cs="Arial"/>
          <w:color w:val="000000"/>
          <w:szCs w:val="24"/>
          <w:lang w:val="en-US" w:eastAsia="en-ZA"/>
        </w:rPr>
        <w:tab/>
      </w:r>
      <w:r w:rsidR="00762227">
        <w:t xml:space="preserve">Ascertaining the total number of persons occupying the subject properties who intend taking up the </w:t>
      </w:r>
      <w:r w:rsidR="0059783A">
        <w:t>City’s</w:t>
      </w:r>
      <w:r w:rsidR="00762227">
        <w:t xml:space="preserve"> offer of accommodation at the safe spaces;</w:t>
      </w:r>
    </w:p>
    <w:p w14:paraId="79A3BC46" w14:textId="761387AB" w:rsidR="00762227" w:rsidRDefault="00ED74CB" w:rsidP="00ED74CB">
      <w:pPr>
        <w:ind w:left="1440" w:hanging="720"/>
      </w:pPr>
      <w:r>
        <w:rPr>
          <w:rFonts w:eastAsia="Times New Roman" w:cs="Arial"/>
          <w:color w:val="000000"/>
          <w:szCs w:val="24"/>
          <w:lang w:val="en-US" w:eastAsia="en-ZA"/>
        </w:rPr>
        <w:t>[81.2]</w:t>
      </w:r>
      <w:r>
        <w:rPr>
          <w:rFonts w:eastAsia="Times New Roman" w:cs="Arial"/>
          <w:color w:val="000000"/>
          <w:szCs w:val="24"/>
          <w:lang w:val="en-US" w:eastAsia="en-ZA"/>
        </w:rPr>
        <w:tab/>
      </w:r>
      <w:r w:rsidR="00762227">
        <w:t>Ascertaining the number of persons who require couples’ accommodation at the safe spaces;</w:t>
      </w:r>
    </w:p>
    <w:p w14:paraId="197ACB6F" w14:textId="5F83EC04" w:rsidR="00762227" w:rsidRDefault="00ED74CB" w:rsidP="00ED74CB">
      <w:pPr>
        <w:ind w:left="1440" w:hanging="720"/>
      </w:pPr>
      <w:r>
        <w:rPr>
          <w:rFonts w:eastAsia="Times New Roman" w:cs="Arial"/>
          <w:color w:val="000000"/>
          <w:szCs w:val="24"/>
          <w:lang w:val="en-US" w:eastAsia="en-ZA"/>
        </w:rPr>
        <w:lastRenderedPageBreak/>
        <w:t>[81.3]</w:t>
      </w:r>
      <w:r>
        <w:rPr>
          <w:rFonts w:eastAsia="Times New Roman" w:cs="Arial"/>
          <w:color w:val="000000"/>
          <w:szCs w:val="24"/>
          <w:lang w:val="en-US" w:eastAsia="en-ZA"/>
        </w:rPr>
        <w:tab/>
      </w:r>
      <w:r w:rsidR="00762227">
        <w:t>Determining the number of elderly persons and disabled persons, and whether the safe spaces pose any reasonable constraints to them accepting the offer of alternative accommodation; and</w:t>
      </w:r>
    </w:p>
    <w:p w14:paraId="16DB1A7F" w14:textId="1A4B5593" w:rsidR="00762227" w:rsidRDefault="00ED74CB" w:rsidP="00ED74CB">
      <w:pPr>
        <w:ind w:left="1440" w:hanging="720"/>
      </w:pPr>
      <w:r>
        <w:rPr>
          <w:rFonts w:eastAsia="Times New Roman" w:cs="Arial"/>
          <w:color w:val="000000"/>
          <w:szCs w:val="24"/>
          <w:lang w:val="en-US" w:eastAsia="en-ZA"/>
        </w:rPr>
        <w:t>[81.4]</w:t>
      </w:r>
      <w:r>
        <w:rPr>
          <w:rFonts w:eastAsia="Times New Roman" w:cs="Arial"/>
          <w:color w:val="000000"/>
          <w:szCs w:val="24"/>
          <w:lang w:val="en-US" w:eastAsia="en-ZA"/>
        </w:rPr>
        <w:tab/>
      </w:r>
      <w:r w:rsidR="00762227">
        <w:t>Determining whether there are any more minor children on the subject sites (in addition to those identified in the affidavits filed to date) and to obtain full details of the minor children.</w:t>
      </w:r>
    </w:p>
    <w:p w14:paraId="306656C5" w14:textId="6E4D05CA" w:rsidR="00762227" w:rsidRDefault="00ED74CB" w:rsidP="00ED74CB">
      <w:r>
        <w:rPr>
          <w:rFonts w:eastAsia="Times New Roman" w:cs="Arial"/>
          <w:color w:val="000000"/>
          <w:szCs w:val="24"/>
          <w:lang w:val="en-US" w:eastAsia="en-ZA"/>
        </w:rPr>
        <w:t>[82]</w:t>
      </w:r>
      <w:r>
        <w:rPr>
          <w:rFonts w:eastAsia="Times New Roman" w:cs="Arial"/>
          <w:color w:val="000000"/>
          <w:szCs w:val="24"/>
          <w:lang w:val="en-US" w:eastAsia="en-ZA"/>
        </w:rPr>
        <w:tab/>
      </w:r>
      <w:r w:rsidR="00762227">
        <w:t xml:space="preserve">It also required the City’s officials to be </w:t>
      </w:r>
      <w:r w:rsidR="0059783A">
        <w:t>available</w:t>
      </w:r>
      <w:r w:rsidR="00762227">
        <w:t xml:space="preserve"> to engage with the Occupiers on: (a) what is offered at the safe spaces;</w:t>
      </w:r>
      <w:r w:rsidR="0059783A">
        <w:t xml:space="preserve"> (b)</w:t>
      </w:r>
      <w:r w:rsidR="00762227">
        <w:t xml:space="preserve"> the rules applicable at the safe spaces; and</w:t>
      </w:r>
      <w:r w:rsidR="00FD426E">
        <w:t xml:space="preserve"> (</w:t>
      </w:r>
      <w:r w:rsidR="0059783A">
        <w:t>c)</w:t>
      </w:r>
      <w:r w:rsidR="00762227">
        <w:t xml:space="preserve"> the details of the operation of the safe spaces. The order then provided a timeline for the filing of further affidavits by the parties on the results of their engagement. </w:t>
      </w:r>
      <w:r w:rsidR="00C570F5">
        <w:t>Finally, paragraph 9 of the order expressly stated that it did not preclude the parties from engaging on other issues, and reporting to the Court on the outcome of those engagements if they deemed it appropriate.</w:t>
      </w:r>
    </w:p>
    <w:p w14:paraId="1E092D6B" w14:textId="5A10AFC6" w:rsidR="00064EA0" w:rsidRDefault="00ED74CB" w:rsidP="00ED74CB">
      <w:r>
        <w:rPr>
          <w:rFonts w:eastAsia="Times New Roman" w:cs="Arial"/>
          <w:color w:val="000000"/>
          <w:szCs w:val="24"/>
          <w:lang w:val="en-US" w:eastAsia="en-ZA"/>
        </w:rPr>
        <w:t>[83]</w:t>
      </w:r>
      <w:r>
        <w:rPr>
          <w:rFonts w:eastAsia="Times New Roman" w:cs="Arial"/>
          <w:color w:val="000000"/>
          <w:szCs w:val="24"/>
          <w:lang w:val="en-US" w:eastAsia="en-ZA"/>
        </w:rPr>
        <w:tab/>
      </w:r>
      <w:r w:rsidR="00064EA0">
        <w:t xml:space="preserve">The City filed a report, to which SERI responded, and to which the City filed a reply. </w:t>
      </w:r>
      <w:r w:rsidR="003B7F71">
        <w:t>I deal with the contents where they are relevant. Overall, the exercise elicited significant useful information.</w:t>
      </w:r>
    </w:p>
    <w:p w14:paraId="0C9415D4" w14:textId="761E36D6" w:rsidR="00C570F5" w:rsidRDefault="00ED74CB" w:rsidP="00ED74CB">
      <w:r>
        <w:rPr>
          <w:rFonts w:eastAsia="Times New Roman" w:cs="Arial"/>
          <w:color w:val="000000"/>
          <w:szCs w:val="24"/>
          <w:lang w:val="en-US" w:eastAsia="en-ZA"/>
        </w:rPr>
        <w:t>[84]</w:t>
      </w:r>
      <w:r>
        <w:rPr>
          <w:rFonts w:eastAsia="Times New Roman" w:cs="Arial"/>
          <w:color w:val="000000"/>
          <w:szCs w:val="24"/>
          <w:lang w:val="en-US" w:eastAsia="en-ZA"/>
        </w:rPr>
        <w:tab/>
      </w:r>
      <w:r w:rsidR="00483F7F">
        <w:t xml:space="preserve">I do not think I exceeded my powers in the manner I engaged with the parties. I needed clarity on certain issues in order to </w:t>
      </w:r>
      <w:r w:rsidR="00251EE5">
        <w:t xml:space="preserve">determine whether eviction was just and equitable and, if so, what order </w:t>
      </w:r>
      <w:r w:rsidR="00575707">
        <w:t>I should make. This is not an ordinary eviction. There was little to guide me on how to manage the eviction of a transient group of people who were currently homeless</w:t>
      </w:r>
      <w:r w:rsidR="007C71DB">
        <w:t>.</w:t>
      </w:r>
      <w:r w:rsidR="005025BC">
        <w:t xml:space="preserve"> This was a challenge not only for the court, but for the parties too. I needed more information. </w:t>
      </w:r>
      <w:r w:rsidR="0062468E">
        <w:t xml:space="preserve">At the same time, I have been very careful not to introduce new issues on either side – not to give the City new bases to justify eviction, and not to </w:t>
      </w:r>
      <w:r w:rsidR="00D633B8">
        <w:t>raise new defences for the Occupiers. Rather I sought</w:t>
      </w:r>
      <w:r w:rsidR="00EF2FE0">
        <w:t xml:space="preserve"> clarity on </w:t>
      </w:r>
      <w:r w:rsidR="00EF2FE0">
        <w:lastRenderedPageBreak/>
        <w:t>the parties’ positions, or</w:t>
      </w:r>
      <w:r w:rsidR="00D633B8">
        <w:t xml:space="preserve"> better </w:t>
      </w:r>
      <w:r w:rsidR="00EF2FE0">
        <w:t>and</w:t>
      </w:r>
      <w:r w:rsidR="00D633B8">
        <w:t xml:space="preserve"> updated evidence that was relevant to the issues as they were</w:t>
      </w:r>
      <w:r w:rsidR="00E9200F">
        <w:t xml:space="preserve"> already</w:t>
      </w:r>
      <w:r w:rsidR="00D633B8">
        <w:t xml:space="preserve"> defined </w:t>
      </w:r>
      <w:r w:rsidR="00E9200F">
        <w:t>by the parties</w:t>
      </w:r>
      <w:r w:rsidR="00D633B8">
        <w:t>.</w:t>
      </w:r>
    </w:p>
    <w:p w14:paraId="6FF0FC1F" w14:textId="7E5AD6F0" w:rsidR="00D633B8" w:rsidRDefault="00ED74CB" w:rsidP="00ED74CB">
      <w:r>
        <w:rPr>
          <w:rFonts w:eastAsia="Times New Roman" w:cs="Arial"/>
          <w:color w:val="000000"/>
          <w:szCs w:val="24"/>
          <w:lang w:val="en-US" w:eastAsia="en-ZA"/>
        </w:rPr>
        <w:t>[85]</w:t>
      </w:r>
      <w:r>
        <w:rPr>
          <w:rFonts w:eastAsia="Times New Roman" w:cs="Arial"/>
          <w:color w:val="000000"/>
          <w:szCs w:val="24"/>
          <w:lang w:val="en-US" w:eastAsia="en-ZA"/>
        </w:rPr>
        <w:tab/>
      </w:r>
      <w:r w:rsidR="00D633B8">
        <w:t xml:space="preserve">In my view, it would not have been useful to refuse eviction because, for example, the City had not provided </w:t>
      </w:r>
      <w:r w:rsidR="007370AA">
        <w:t>sufficient information about the number of children, elderly or disabled people. While in an “ordinary” eviction application where the occupiers are stable over time, it could and should provide that information</w:t>
      </w:r>
      <w:r w:rsidR="00093BFE">
        <w:t xml:space="preserve"> in its founding papers</w:t>
      </w:r>
      <w:r w:rsidR="00485C2E">
        <w:t>,</w:t>
      </w:r>
      <w:r w:rsidR="007370AA">
        <w:t xml:space="preserve"> </w:t>
      </w:r>
      <w:r w:rsidR="00093BFE">
        <w:t>the City faced</w:t>
      </w:r>
      <w:r w:rsidR="007370AA">
        <w:t xml:space="preserve"> legitimate difficulties in obtaining that information for these </w:t>
      </w:r>
      <w:r w:rsidR="00093BFE">
        <w:t>O</w:t>
      </w:r>
      <w:r w:rsidR="007370AA">
        <w:t xml:space="preserve">ccupiers. </w:t>
      </w:r>
      <w:r w:rsidR="00093BFE">
        <w:t xml:space="preserve">So did the Occupiers’ own legal representatives. </w:t>
      </w:r>
      <w:r w:rsidR="009F290E">
        <w:t>Similarly, it was not the City’s fault that it could not predict how many Occupiers would take up its offer for safe spaces if they were evicted.</w:t>
      </w:r>
    </w:p>
    <w:p w14:paraId="1D56B2B2" w14:textId="77777777" w:rsidR="00832DC8" w:rsidRDefault="00832DC8" w:rsidP="00832DC8"/>
    <w:p w14:paraId="55BC2B15" w14:textId="384E2E3C" w:rsidR="000753ED" w:rsidRDefault="000753ED" w:rsidP="000753ED">
      <w:pPr>
        <w:pStyle w:val="Heading1"/>
      </w:pPr>
      <w:r>
        <w:t>eviction</w:t>
      </w:r>
    </w:p>
    <w:p w14:paraId="07F78E43" w14:textId="7D16C423" w:rsidR="003278F9" w:rsidRDefault="00ED74CB" w:rsidP="00ED74CB">
      <w:r>
        <w:rPr>
          <w:rFonts w:eastAsia="Times New Roman" w:cs="Arial"/>
          <w:color w:val="000000"/>
          <w:szCs w:val="24"/>
          <w:lang w:val="en-US" w:eastAsia="en-ZA"/>
        </w:rPr>
        <w:t>[86]</w:t>
      </w:r>
      <w:r>
        <w:rPr>
          <w:rFonts w:eastAsia="Times New Roman" w:cs="Arial"/>
          <w:color w:val="000000"/>
          <w:szCs w:val="24"/>
          <w:lang w:val="en-US" w:eastAsia="en-ZA"/>
        </w:rPr>
        <w:tab/>
      </w:r>
      <w:r w:rsidR="00AF71D0">
        <w:t>Is an eviction order just</w:t>
      </w:r>
      <w:r w:rsidR="00485C2E">
        <w:t xml:space="preserve"> and equitable</w:t>
      </w:r>
      <w:r w:rsidR="00AF71D0">
        <w:t xml:space="preserve"> in these circumstances?</w:t>
      </w:r>
      <w:r w:rsidR="00485C2E">
        <w:t xml:space="preserve"> </w:t>
      </w:r>
      <w:r w:rsidR="00176D34">
        <w:t>To answer that primary question, I consider the following topics:</w:t>
      </w:r>
    </w:p>
    <w:p w14:paraId="3743AFAB" w14:textId="1B680FCE" w:rsidR="00176D34" w:rsidRDefault="00ED74CB" w:rsidP="00ED74CB">
      <w:pPr>
        <w:ind w:left="1440" w:hanging="720"/>
      </w:pPr>
      <w:r>
        <w:rPr>
          <w:rFonts w:eastAsia="Times New Roman" w:cs="Arial"/>
          <w:color w:val="000000"/>
          <w:szCs w:val="24"/>
          <w:lang w:val="en-US" w:eastAsia="en-ZA"/>
        </w:rPr>
        <w:t>[86.1]</w:t>
      </w:r>
      <w:r>
        <w:rPr>
          <w:rFonts w:eastAsia="Times New Roman" w:cs="Arial"/>
          <w:color w:val="000000"/>
          <w:szCs w:val="24"/>
          <w:lang w:val="en-US" w:eastAsia="en-ZA"/>
        </w:rPr>
        <w:tab/>
      </w:r>
      <w:r w:rsidR="00176D34">
        <w:t>The basic requirements for eviction</w:t>
      </w:r>
      <w:r w:rsidR="00547F99">
        <w:t xml:space="preserve"> are met</w:t>
      </w:r>
      <w:r w:rsidR="00176D34">
        <w:t>;</w:t>
      </w:r>
    </w:p>
    <w:p w14:paraId="171B585F" w14:textId="25E62125" w:rsidR="0056414E" w:rsidRDefault="00ED74CB" w:rsidP="00ED74CB">
      <w:pPr>
        <w:ind w:left="1440" w:hanging="720"/>
      </w:pPr>
      <w:r>
        <w:rPr>
          <w:rFonts w:eastAsia="Times New Roman" w:cs="Arial"/>
          <w:color w:val="000000"/>
          <w:szCs w:val="24"/>
          <w:lang w:val="en-US" w:eastAsia="en-ZA"/>
        </w:rPr>
        <w:t>[86.2]</w:t>
      </w:r>
      <w:r>
        <w:rPr>
          <w:rFonts w:eastAsia="Times New Roman" w:cs="Arial"/>
          <w:color w:val="000000"/>
          <w:szCs w:val="24"/>
          <w:lang w:val="en-US" w:eastAsia="en-ZA"/>
        </w:rPr>
        <w:tab/>
      </w:r>
      <w:r w:rsidR="00AD2651">
        <w:t>T</w:t>
      </w:r>
      <w:r w:rsidR="0056414E">
        <w:t xml:space="preserve">he </w:t>
      </w:r>
      <w:r w:rsidR="00234497">
        <w:t>City has meaningfully engaged with the Occupiers;</w:t>
      </w:r>
    </w:p>
    <w:p w14:paraId="5561B66B" w14:textId="74F3DDB9" w:rsidR="00234497" w:rsidRDefault="00ED74CB" w:rsidP="00ED74CB">
      <w:pPr>
        <w:ind w:left="1440" w:hanging="720"/>
      </w:pPr>
      <w:r>
        <w:rPr>
          <w:rFonts w:eastAsia="Times New Roman" w:cs="Arial"/>
          <w:color w:val="000000"/>
          <w:szCs w:val="24"/>
          <w:lang w:val="en-US" w:eastAsia="en-ZA"/>
        </w:rPr>
        <w:t>[86.3]</w:t>
      </w:r>
      <w:r>
        <w:rPr>
          <w:rFonts w:eastAsia="Times New Roman" w:cs="Arial"/>
          <w:color w:val="000000"/>
          <w:szCs w:val="24"/>
          <w:lang w:val="en-US" w:eastAsia="en-ZA"/>
        </w:rPr>
        <w:tab/>
      </w:r>
      <w:r w:rsidR="00AD2651">
        <w:t>T</w:t>
      </w:r>
      <w:r w:rsidR="00234497">
        <w:t xml:space="preserve">he City was </w:t>
      </w:r>
      <w:r w:rsidR="00AD2651">
        <w:t xml:space="preserve">not </w:t>
      </w:r>
      <w:r w:rsidR="00234497">
        <w:t>obliged to offer housing under the Emergency Housing Programme;</w:t>
      </w:r>
    </w:p>
    <w:p w14:paraId="7731A74F" w14:textId="33F88B09" w:rsidR="00234497" w:rsidRDefault="00ED74CB" w:rsidP="00ED74CB">
      <w:pPr>
        <w:ind w:left="1440" w:hanging="720"/>
      </w:pPr>
      <w:r>
        <w:rPr>
          <w:rFonts w:eastAsia="Times New Roman" w:cs="Arial"/>
          <w:color w:val="000000"/>
          <w:szCs w:val="24"/>
          <w:lang w:val="en-US" w:eastAsia="en-ZA"/>
        </w:rPr>
        <w:t>[86.4]</w:t>
      </w:r>
      <w:r>
        <w:rPr>
          <w:rFonts w:eastAsia="Times New Roman" w:cs="Arial"/>
          <w:color w:val="000000"/>
          <w:szCs w:val="24"/>
          <w:lang w:val="en-US" w:eastAsia="en-ZA"/>
        </w:rPr>
        <w:tab/>
      </w:r>
      <w:r w:rsidR="00AD2651">
        <w:t>T</w:t>
      </w:r>
      <w:r w:rsidR="00234497">
        <w:t>he safe spaces constitute suitable alternative accommodation;</w:t>
      </w:r>
    </w:p>
    <w:p w14:paraId="70ED4973" w14:textId="40B65366" w:rsidR="00234497" w:rsidRDefault="00ED74CB" w:rsidP="00ED74CB">
      <w:pPr>
        <w:ind w:left="1440" w:hanging="720"/>
      </w:pPr>
      <w:r>
        <w:rPr>
          <w:rFonts w:eastAsia="Times New Roman" w:cs="Arial"/>
          <w:color w:val="000000"/>
          <w:szCs w:val="24"/>
          <w:lang w:val="en-US" w:eastAsia="en-ZA"/>
        </w:rPr>
        <w:t>[86.5]</w:t>
      </w:r>
      <w:r>
        <w:rPr>
          <w:rFonts w:eastAsia="Times New Roman" w:cs="Arial"/>
          <w:color w:val="000000"/>
          <w:szCs w:val="24"/>
          <w:lang w:val="en-US" w:eastAsia="en-ZA"/>
        </w:rPr>
        <w:tab/>
      </w:r>
      <w:r w:rsidR="00AD2651">
        <w:t>In all the circumstances, eviction is just and equitable; and</w:t>
      </w:r>
    </w:p>
    <w:p w14:paraId="147A9A4B" w14:textId="17E704EB" w:rsidR="00AD2651" w:rsidRDefault="00ED74CB" w:rsidP="00ED74CB">
      <w:pPr>
        <w:ind w:left="1440" w:hanging="720"/>
      </w:pPr>
      <w:r>
        <w:rPr>
          <w:rFonts w:eastAsia="Times New Roman" w:cs="Arial"/>
          <w:color w:val="000000"/>
          <w:szCs w:val="24"/>
          <w:lang w:val="en-US" w:eastAsia="en-ZA"/>
        </w:rPr>
        <w:t>[86.6]</w:t>
      </w:r>
      <w:r>
        <w:rPr>
          <w:rFonts w:eastAsia="Times New Roman" w:cs="Arial"/>
          <w:color w:val="000000"/>
          <w:szCs w:val="24"/>
          <w:lang w:val="en-US" w:eastAsia="en-ZA"/>
        </w:rPr>
        <w:tab/>
      </w:r>
      <w:r w:rsidR="00AD2651">
        <w:t>The timing and details of the eviction order.</w:t>
      </w:r>
    </w:p>
    <w:p w14:paraId="08CF0423" w14:textId="77777777" w:rsidR="003278F9" w:rsidRDefault="003278F9" w:rsidP="003278F9"/>
    <w:p w14:paraId="5B75FD43" w14:textId="4393BC9C" w:rsidR="003278F9" w:rsidRDefault="003278F9" w:rsidP="003278F9">
      <w:pPr>
        <w:pStyle w:val="Heading2"/>
      </w:pPr>
      <w:r>
        <w:t>The Basic</w:t>
      </w:r>
      <w:r w:rsidR="00AD2651">
        <w:t xml:space="preserve"> Requirements for Eviction</w:t>
      </w:r>
    </w:p>
    <w:p w14:paraId="0F65884D" w14:textId="7A56F3AB" w:rsidR="006776A8" w:rsidRDefault="00ED74CB" w:rsidP="00ED74CB">
      <w:r>
        <w:rPr>
          <w:rFonts w:eastAsia="Times New Roman" w:cs="Arial"/>
          <w:color w:val="000000"/>
          <w:szCs w:val="24"/>
          <w:lang w:val="en-US" w:eastAsia="en-ZA"/>
        </w:rPr>
        <w:t>[87]</w:t>
      </w:r>
      <w:r>
        <w:rPr>
          <w:rFonts w:eastAsia="Times New Roman" w:cs="Arial"/>
          <w:color w:val="000000"/>
          <w:szCs w:val="24"/>
          <w:lang w:val="en-US" w:eastAsia="en-ZA"/>
        </w:rPr>
        <w:tab/>
      </w:r>
      <w:r w:rsidR="00F608F3">
        <w:t>The starting point is s 26(3) of the Constitution</w:t>
      </w:r>
      <w:r w:rsidR="0021106D">
        <w:t xml:space="preserve"> which prohibits evictions without an order of court made after considering all relevant circumstances. Parliament has enacted legislation to give effect to s 26(3) – PIE.</w:t>
      </w:r>
      <w:r w:rsidR="008A0F91">
        <w:t xml:space="preserve"> </w:t>
      </w:r>
    </w:p>
    <w:p w14:paraId="4FDBF53F" w14:textId="43B1BCA6" w:rsidR="00F26802" w:rsidRDefault="00ED74CB" w:rsidP="00ED74CB">
      <w:r>
        <w:rPr>
          <w:rFonts w:eastAsia="Times New Roman" w:cs="Arial"/>
          <w:color w:val="000000"/>
          <w:szCs w:val="24"/>
          <w:lang w:val="en-US" w:eastAsia="en-ZA"/>
        </w:rPr>
        <w:t>[88]</w:t>
      </w:r>
      <w:r>
        <w:rPr>
          <w:rFonts w:eastAsia="Times New Roman" w:cs="Arial"/>
          <w:color w:val="000000"/>
          <w:szCs w:val="24"/>
          <w:lang w:val="en-US" w:eastAsia="en-ZA"/>
        </w:rPr>
        <w:tab/>
      </w:r>
      <w:r w:rsidR="006776A8">
        <w:t xml:space="preserve">Prior to the Constitution and PIE, eviction was </w:t>
      </w:r>
      <w:r w:rsidR="00F77A56">
        <w:t>characterized by abuse, paid no heed to the impact on those evicted, and was generally used as a tool to enforce White domination</w:t>
      </w:r>
      <w:r w:rsidR="005F5386">
        <w:t xml:space="preserve"> and control. The</w:t>
      </w:r>
      <w:r w:rsidR="008A0F91">
        <w:t xml:space="preserve"> “</w:t>
      </w:r>
      <w:r w:rsidR="008A0F91" w:rsidRPr="008A0F91">
        <w:t>manifest objective</w:t>
      </w:r>
      <w:r w:rsidR="008A0F91">
        <w:t xml:space="preserve">” </w:t>
      </w:r>
      <w:r w:rsidR="005F5386">
        <w:t>of PIE is “</w:t>
      </w:r>
      <w:r w:rsidR="008A0F91" w:rsidRPr="008A0F91">
        <w:t xml:space="preserve">overcoming </w:t>
      </w:r>
      <w:r w:rsidR="005F5386">
        <w:t xml:space="preserve">[those] </w:t>
      </w:r>
      <w:r w:rsidR="008A0F91" w:rsidRPr="008A0F91">
        <w:t>abuses and ensuring that evictions in future took place in a manner consistent with the values of the new constitutional dispensation.</w:t>
      </w:r>
      <w:r w:rsidR="005F5386">
        <w:t>”</w:t>
      </w:r>
      <w:r w:rsidR="005F5386">
        <w:rPr>
          <w:rStyle w:val="FootnoteReference"/>
        </w:rPr>
        <w:footnoteReference w:id="13"/>
      </w:r>
    </w:p>
    <w:p w14:paraId="0BA8092B" w14:textId="33C1BC86" w:rsidR="004C208D" w:rsidRDefault="00ED74CB" w:rsidP="00ED74CB">
      <w:r>
        <w:rPr>
          <w:rFonts w:eastAsia="Times New Roman" w:cs="Arial"/>
          <w:color w:val="000000"/>
          <w:szCs w:val="24"/>
          <w:lang w:val="en-US" w:eastAsia="en-ZA"/>
        </w:rPr>
        <w:t>[89]</w:t>
      </w:r>
      <w:r>
        <w:rPr>
          <w:rFonts w:eastAsia="Times New Roman" w:cs="Arial"/>
          <w:color w:val="000000"/>
          <w:szCs w:val="24"/>
          <w:lang w:val="en-US" w:eastAsia="en-ZA"/>
        </w:rPr>
        <w:tab/>
      </w:r>
      <w:r w:rsidR="00F26802">
        <w:t>PIE</w:t>
      </w:r>
      <w:r w:rsidR="00B60EFD">
        <w:t xml:space="preserve"> </w:t>
      </w:r>
      <w:r w:rsidR="002F6CAA">
        <w:t xml:space="preserve">creates two distinct mechanisms for eviction. Section 4 permits evictions by the owner or person in charge of a property. Section 6 permits eviction at the instance of an organ of state, even if </w:t>
      </w:r>
      <w:r w:rsidR="00F26802">
        <w:t>it is not the owner of the property.</w:t>
      </w:r>
      <w:r w:rsidR="0077235E">
        <w:t xml:space="preserve"> The basic requirements are the same </w:t>
      </w:r>
      <w:r w:rsidR="00637798">
        <w:t xml:space="preserve">– the occupier must occupy the property unlawfully, and the </w:t>
      </w:r>
      <w:r w:rsidR="00E766C4">
        <w:t>eviction must be just and equitable.</w:t>
      </w:r>
      <w:r w:rsidR="00D55477">
        <w:t xml:space="preserve"> And the procedures for eviction under both sections are the same.</w:t>
      </w:r>
      <w:r w:rsidR="00D55477">
        <w:rPr>
          <w:rStyle w:val="FootnoteReference"/>
        </w:rPr>
        <w:footnoteReference w:id="14"/>
      </w:r>
      <w:r w:rsidR="00E766C4">
        <w:t xml:space="preserve"> But there are differences</w:t>
      </w:r>
      <w:r w:rsidR="00524D2D">
        <w:t>:</w:t>
      </w:r>
    </w:p>
    <w:p w14:paraId="412E1235" w14:textId="14E83E74" w:rsidR="00524D2D" w:rsidRDefault="00ED74CB" w:rsidP="00ED74CB">
      <w:pPr>
        <w:ind w:left="1440" w:hanging="720"/>
      </w:pPr>
      <w:r>
        <w:rPr>
          <w:rFonts w:eastAsia="Times New Roman" w:cs="Arial"/>
          <w:color w:val="000000"/>
          <w:szCs w:val="24"/>
          <w:lang w:val="en-US" w:eastAsia="en-ZA"/>
        </w:rPr>
        <w:t>[89.1]</w:t>
      </w:r>
      <w:r>
        <w:rPr>
          <w:rFonts w:eastAsia="Times New Roman" w:cs="Arial"/>
          <w:color w:val="000000"/>
          <w:szCs w:val="24"/>
          <w:lang w:val="en-US" w:eastAsia="en-ZA"/>
        </w:rPr>
        <w:tab/>
      </w:r>
      <w:r w:rsidR="00524D2D">
        <w:t xml:space="preserve">An organ of state can only apply for eviction under s 6 if </w:t>
      </w:r>
      <w:r w:rsidR="00C95E59">
        <w:t>its consent is required for occupying the property, or “</w:t>
      </w:r>
      <w:r w:rsidR="00C95E59" w:rsidRPr="00C95E59">
        <w:t>it is in the public interest to grant such an order</w:t>
      </w:r>
      <w:r w:rsidR="00C95E59">
        <w:t>”.</w:t>
      </w:r>
      <w:r w:rsidR="00205265">
        <w:rPr>
          <w:rStyle w:val="FootnoteReference"/>
        </w:rPr>
        <w:footnoteReference w:id="15"/>
      </w:r>
      <w:r w:rsidR="00C95E59">
        <w:t xml:space="preserve"> Public interest </w:t>
      </w:r>
      <w:r w:rsidR="002A3645">
        <w:t>“</w:t>
      </w:r>
      <w:r w:rsidR="002A3645" w:rsidRPr="002A3645">
        <w:t xml:space="preserve">includes the interest of the health and </w:t>
      </w:r>
      <w:r w:rsidR="002A3645" w:rsidRPr="002A3645">
        <w:lastRenderedPageBreak/>
        <w:t>safety of those occupying the land and the public in general.</w:t>
      </w:r>
      <w:r w:rsidR="002A3645">
        <w:t>”</w:t>
      </w:r>
      <w:r w:rsidR="00205265">
        <w:rPr>
          <w:rStyle w:val="FootnoteReference"/>
        </w:rPr>
        <w:footnoteReference w:id="16"/>
      </w:r>
      <w:r w:rsidR="002A3645">
        <w:t xml:space="preserve"> There is no similar requirement under s 4.</w:t>
      </w:r>
    </w:p>
    <w:p w14:paraId="3A1A372A" w14:textId="02D2B646" w:rsidR="002A3645" w:rsidRDefault="00ED74CB" w:rsidP="00ED74CB">
      <w:pPr>
        <w:ind w:left="1440" w:hanging="720"/>
      </w:pPr>
      <w:r>
        <w:rPr>
          <w:rFonts w:eastAsia="Times New Roman" w:cs="Arial"/>
          <w:color w:val="000000"/>
          <w:szCs w:val="24"/>
          <w:lang w:val="en-US" w:eastAsia="en-ZA"/>
        </w:rPr>
        <w:t>[89.2]</w:t>
      </w:r>
      <w:r>
        <w:rPr>
          <w:rFonts w:eastAsia="Times New Roman" w:cs="Arial"/>
          <w:color w:val="000000"/>
          <w:szCs w:val="24"/>
          <w:lang w:val="en-US" w:eastAsia="en-ZA"/>
        </w:rPr>
        <w:tab/>
      </w:r>
      <w:r w:rsidR="001A5958">
        <w:t xml:space="preserve">Unlike s 4, s 6 specifically </w:t>
      </w:r>
      <w:r w:rsidR="00A04394">
        <w:t>lists factors a court must consider in deciding whether eviction is just and equitable</w:t>
      </w:r>
      <w:r w:rsidR="00903C97">
        <w:t>: “(a) the circumstances under which the unlawful occupier occupied the land and erected the building or structure; (b) the period the unlawful occupier and his or her family have resided on the land in question; and (c) the availability to the unlawful occupier of suitable alternative accommodation or land.”</w:t>
      </w:r>
    </w:p>
    <w:p w14:paraId="075EDB3B" w14:textId="43EA01E9" w:rsidR="00ED64CF" w:rsidRDefault="00ED74CB" w:rsidP="00ED74CB">
      <w:r>
        <w:rPr>
          <w:rFonts w:eastAsia="Times New Roman" w:cs="Arial"/>
          <w:color w:val="000000"/>
          <w:szCs w:val="24"/>
          <w:lang w:val="en-US" w:eastAsia="en-ZA"/>
        </w:rPr>
        <w:t>[90]</w:t>
      </w:r>
      <w:r>
        <w:rPr>
          <w:rFonts w:eastAsia="Times New Roman" w:cs="Arial"/>
          <w:color w:val="000000"/>
          <w:szCs w:val="24"/>
          <w:lang w:val="en-US" w:eastAsia="en-ZA"/>
        </w:rPr>
        <w:tab/>
      </w:r>
      <w:r w:rsidR="00FB514C">
        <w:t>This application was brought under both s 4 and s 6. The City claims that both thresholds are met</w:t>
      </w:r>
      <w:r w:rsidR="00EB2D18">
        <w:t>. Given the approach I take to the case, nothing turns on whether the application is evaluated under s 4 or s 6. I accept that the City has brought this application not only to vindicate its rights as owner, but also in the public interest, and to vindicate the rights of members of the public who use the CBD.</w:t>
      </w:r>
    </w:p>
    <w:p w14:paraId="14A83528" w14:textId="286AEA4C" w:rsidR="00F10A9B" w:rsidRDefault="00ED74CB" w:rsidP="00ED74CB">
      <w:r>
        <w:rPr>
          <w:rFonts w:eastAsia="Times New Roman" w:cs="Arial"/>
          <w:color w:val="000000"/>
          <w:szCs w:val="24"/>
          <w:lang w:val="en-US" w:eastAsia="en-ZA"/>
        </w:rPr>
        <w:t>[91]</w:t>
      </w:r>
      <w:r>
        <w:rPr>
          <w:rFonts w:eastAsia="Times New Roman" w:cs="Arial"/>
          <w:color w:val="000000"/>
          <w:szCs w:val="24"/>
          <w:lang w:val="en-US" w:eastAsia="en-ZA"/>
        </w:rPr>
        <w:tab/>
      </w:r>
      <w:r w:rsidR="00F10A9B">
        <w:t xml:space="preserve">There are two </w:t>
      </w:r>
      <w:r w:rsidR="003170EC">
        <w:t>central factors a court must</w:t>
      </w:r>
      <w:r w:rsidR="00195C67">
        <w:t xml:space="preserve"> almost invariably</w:t>
      </w:r>
      <w:r w:rsidR="003170EC">
        <w:t xml:space="preserve"> consider in an eviction application</w:t>
      </w:r>
      <w:r w:rsidR="00195C67">
        <w:t xml:space="preserve"> by an organ of state, and</w:t>
      </w:r>
      <w:r w:rsidR="003170EC">
        <w:t xml:space="preserve"> that take centre stage in this case. I consider each in more detail below</w:t>
      </w:r>
      <w:r w:rsidR="000F560A">
        <w:t>, but mention them briefly now:</w:t>
      </w:r>
    </w:p>
    <w:p w14:paraId="7FF70AFD" w14:textId="55C0F97C" w:rsidR="00A6223D" w:rsidRPr="00380358" w:rsidRDefault="00ED74CB" w:rsidP="00ED74CB">
      <w:pPr>
        <w:ind w:left="1440" w:hanging="720"/>
      </w:pPr>
      <w:r w:rsidRPr="00380358">
        <w:rPr>
          <w:rFonts w:eastAsia="Times New Roman" w:cs="Arial"/>
          <w:color w:val="000000"/>
          <w:szCs w:val="24"/>
          <w:lang w:val="en-US" w:eastAsia="en-ZA"/>
        </w:rPr>
        <w:t>[91.1]</w:t>
      </w:r>
      <w:r w:rsidRPr="00380358">
        <w:rPr>
          <w:rFonts w:eastAsia="Times New Roman" w:cs="Arial"/>
          <w:color w:val="000000"/>
          <w:szCs w:val="24"/>
          <w:lang w:val="en-US" w:eastAsia="en-ZA"/>
        </w:rPr>
        <w:tab/>
      </w:r>
      <w:r w:rsidR="00A6223D">
        <w:t>When a municipality is seeking the eviction, a court will be reluctant to grant an eviction if the municipality has not meaningfully engaged with the occupiers.</w:t>
      </w:r>
      <w:bookmarkStart w:id="5" w:name="_Ref169460160"/>
      <w:r w:rsidR="00A6223D">
        <w:rPr>
          <w:rStyle w:val="FootnoteReference"/>
        </w:rPr>
        <w:footnoteReference w:id="17"/>
      </w:r>
      <w:bookmarkEnd w:id="5"/>
      <w:r w:rsidR="00A6223D">
        <w:t xml:space="preserve"> Meaningful engagement is meant to avoid the need for eviction by finding alternatives. As Yacoob J explained in </w:t>
      </w:r>
      <w:r w:rsidR="00A6223D" w:rsidRPr="00ED74CB">
        <w:rPr>
          <w:i/>
          <w:iCs/>
        </w:rPr>
        <w:t>Olivia Road</w:t>
      </w:r>
      <w:r w:rsidR="00A6223D">
        <w:t xml:space="preserve">: </w:t>
      </w:r>
      <w:r w:rsidR="00A6223D">
        <w:lastRenderedPageBreak/>
        <w:t>“</w:t>
      </w:r>
      <w:r w:rsidR="00A6223D" w:rsidRPr="008F0DB4">
        <w:t>Engagement has the potential to contribute towards the resolution of disputes and to increased understanding and sympathetic care if both sides are willing to participate in the process</w:t>
      </w:r>
      <w:r w:rsidR="00A6223D">
        <w:t>.”</w:t>
      </w:r>
      <w:r w:rsidR="00A6223D">
        <w:rPr>
          <w:rStyle w:val="FootnoteReference"/>
        </w:rPr>
        <w:footnoteReference w:id="18"/>
      </w:r>
    </w:p>
    <w:p w14:paraId="18AAE521" w14:textId="0AE6778A" w:rsidR="00380358" w:rsidRPr="00380358" w:rsidRDefault="00ED74CB" w:rsidP="00ED74CB">
      <w:pPr>
        <w:ind w:left="1440" w:hanging="720"/>
      </w:pPr>
      <w:r w:rsidRPr="00380358">
        <w:rPr>
          <w:rFonts w:eastAsia="Times New Roman" w:cs="Arial"/>
          <w:color w:val="000000"/>
          <w:szCs w:val="24"/>
          <w:lang w:val="en-US" w:eastAsia="en-ZA"/>
        </w:rPr>
        <w:t>[91.2]</w:t>
      </w:r>
      <w:r w:rsidRPr="00380358">
        <w:rPr>
          <w:rFonts w:eastAsia="Times New Roman" w:cs="Arial"/>
          <w:color w:val="000000"/>
          <w:szCs w:val="24"/>
          <w:lang w:val="en-US" w:eastAsia="en-ZA"/>
        </w:rPr>
        <w:tab/>
      </w:r>
      <w:r w:rsidR="00EB75BD">
        <w:t>Generally, a court will not grant an order of eviction if there is a risk that the order of eviction will render the occupiers homeless.</w:t>
      </w:r>
      <w:r w:rsidR="00A8016C">
        <w:t xml:space="preserve"> That is not an absolute rule – the Supreme Court of Appeal put it this way: “</w:t>
      </w:r>
      <w:r w:rsidR="00A8016C" w:rsidRPr="007C1BEF">
        <w:t>an eviction order in circumstances where no alternative accommodation is provided is far less likely to be just and equitable than one that makes careful provision for alternative housing</w:t>
      </w:r>
      <w:r w:rsidR="00A8016C" w:rsidRPr="00ED74CB">
        <w:rPr>
          <w:i/>
          <w:iCs/>
        </w:rPr>
        <w:t>.</w:t>
      </w:r>
      <w:r w:rsidR="00A8016C">
        <w:t>”</w:t>
      </w:r>
      <w:r w:rsidR="006D2D17">
        <w:rPr>
          <w:rStyle w:val="FootnoteReference"/>
        </w:rPr>
        <w:footnoteReference w:id="19"/>
      </w:r>
      <w:r w:rsidR="006E6880">
        <w:t xml:space="preserve"> </w:t>
      </w:r>
      <w:r w:rsidR="00247E22">
        <w:t>B</w:t>
      </w:r>
      <w:r w:rsidR="006E6880">
        <w:t>efore it grants an eviction, a court must know wh</w:t>
      </w:r>
      <w:r w:rsidR="005A4115">
        <w:t>ere the evictees will live, and will very rarely grant the eviction if no suitable alternative accommodation is available.</w:t>
      </w:r>
    </w:p>
    <w:p w14:paraId="693D3CF2" w14:textId="59236D06" w:rsidR="008F0DB4" w:rsidRPr="008F0DB4" w:rsidRDefault="00ED74CB" w:rsidP="00ED74CB">
      <w:r w:rsidRPr="008F0DB4">
        <w:rPr>
          <w:rFonts w:eastAsia="Times New Roman" w:cs="Arial"/>
          <w:color w:val="000000"/>
          <w:szCs w:val="24"/>
          <w:lang w:val="en-US" w:eastAsia="en-ZA"/>
        </w:rPr>
        <w:t>[92]</w:t>
      </w:r>
      <w:r w:rsidRPr="008F0DB4">
        <w:rPr>
          <w:rFonts w:eastAsia="Times New Roman" w:cs="Arial"/>
          <w:color w:val="000000"/>
          <w:szCs w:val="24"/>
          <w:lang w:val="en-US" w:eastAsia="en-ZA"/>
        </w:rPr>
        <w:tab/>
      </w:r>
      <w:r w:rsidR="008F0DB4">
        <w:t xml:space="preserve">This case is somewhat unusual because the City seeks to evict people who are already homeless. </w:t>
      </w:r>
      <w:r w:rsidR="00FD649E">
        <w:t>Yet it was common cause that this was the appropriate legal route for the City to follow. I agree</w:t>
      </w:r>
      <w:r w:rsidR="008117E8">
        <w:t>, but should briefly explain why</w:t>
      </w:r>
      <w:r w:rsidR="00FD649E">
        <w:t>.</w:t>
      </w:r>
    </w:p>
    <w:p w14:paraId="62E8892D" w14:textId="0C3123CD" w:rsidR="008F0DB4" w:rsidRPr="008F0DB4" w:rsidRDefault="00ED74CB" w:rsidP="00ED74CB">
      <w:r w:rsidRPr="008F0DB4">
        <w:rPr>
          <w:rFonts w:eastAsia="Times New Roman" w:cs="Arial"/>
          <w:color w:val="000000"/>
          <w:szCs w:val="24"/>
          <w:lang w:val="en-US" w:eastAsia="en-ZA"/>
        </w:rPr>
        <w:t>[93]</w:t>
      </w:r>
      <w:r w:rsidRPr="008F0DB4">
        <w:rPr>
          <w:rFonts w:eastAsia="Times New Roman" w:cs="Arial"/>
          <w:color w:val="000000"/>
          <w:szCs w:val="24"/>
          <w:lang w:val="en-US" w:eastAsia="en-ZA"/>
        </w:rPr>
        <w:tab/>
      </w:r>
      <w:r w:rsidR="00A74495">
        <w:t>S</w:t>
      </w:r>
      <w:r w:rsidR="00FD649E">
        <w:t xml:space="preserve">ection 26(3) </w:t>
      </w:r>
      <w:r w:rsidR="000161D8">
        <w:t xml:space="preserve">whenever a person is evicted from a </w:t>
      </w:r>
      <w:r w:rsidR="00D12400">
        <w:t>“</w:t>
      </w:r>
      <w:r w:rsidR="000161D8">
        <w:t>home</w:t>
      </w:r>
      <w:r w:rsidR="00D12400">
        <w:t>”</w:t>
      </w:r>
      <w:r w:rsidR="000161D8">
        <w:t>. To give effect to that, PIE defines eviction widely as “</w:t>
      </w:r>
      <w:r w:rsidR="000161D8" w:rsidRPr="000161D8">
        <w:t>to deprive a person of occupation of a building or structure, or the land on which such building or structure is erected, against his or her will</w:t>
      </w:r>
      <w:r w:rsidR="000161D8">
        <w:t>”. It gives a similarly broad meaning to “building or structure”</w:t>
      </w:r>
      <w:r w:rsidR="00E455F6">
        <w:t>, so that the term “</w:t>
      </w:r>
      <w:r w:rsidR="00E455F6" w:rsidRPr="00E455F6">
        <w:t>includes any hut, shack, tent or similar structure or any other form of temporary or permanent dwelling or shelter</w:t>
      </w:r>
      <w:r w:rsidR="00E455F6">
        <w:t>”.</w:t>
      </w:r>
    </w:p>
    <w:p w14:paraId="6A9C9C84" w14:textId="56B67DA8" w:rsidR="008F0DB4" w:rsidRDefault="00ED74CB" w:rsidP="00ED74CB">
      <w:r>
        <w:rPr>
          <w:rFonts w:eastAsia="Times New Roman" w:cs="Arial"/>
          <w:color w:val="000000"/>
          <w:szCs w:val="24"/>
          <w:lang w:val="en-US" w:eastAsia="en-ZA"/>
        </w:rPr>
        <w:lastRenderedPageBreak/>
        <w:t>[94]</w:t>
      </w:r>
      <w:r>
        <w:rPr>
          <w:rFonts w:eastAsia="Times New Roman" w:cs="Arial"/>
          <w:color w:val="000000"/>
          <w:szCs w:val="24"/>
          <w:lang w:val="en-US" w:eastAsia="en-ZA"/>
        </w:rPr>
        <w:tab/>
      </w:r>
      <w:r w:rsidR="00E455F6">
        <w:t>The Occupiers shelters, while rudimentary, were undoubtedly their homes.</w:t>
      </w:r>
      <w:r w:rsidR="000210D7">
        <w:t xml:space="preserve"> </w:t>
      </w:r>
      <w:r w:rsidR="00E07B1C">
        <w:t xml:space="preserve">They saw them as their homes. </w:t>
      </w:r>
      <w:r w:rsidR="000210D7">
        <w:t xml:space="preserve">They are also </w:t>
      </w:r>
      <w:r w:rsidR="00A74495">
        <w:t>“</w:t>
      </w:r>
      <w:r w:rsidR="000210D7">
        <w:t>structures</w:t>
      </w:r>
      <w:r w:rsidR="00A74495">
        <w:t>”</w:t>
      </w:r>
      <w:r w:rsidR="000210D7">
        <w:t xml:space="preserve"> as defined in PIE. </w:t>
      </w:r>
      <w:r w:rsidR="00581690">
        <w:t xml:space="preserve">While all the parties referred to the Occupiers as “homeless” that is, in some sense, inaccurate; they do have homes. </w:t>
      </w:r>
      <w:r w:rsidR="000210D7">
        <w:t xml:space="preserve">Depriving them of occupation of their </w:t>
      </w:r>
      <w:r w:rsidR="00E7333C">
        <w:t>homes</w:t>
      </w:r>
      <w:r w:rsidR="000210D7">
        <w:t>, however basic, constitutes an eviction.</w:t>
      </w:r>
      <w:r w:rsidR="000210D7">
        <w:rPr>
          <w:rStyle w:val="FootnoteReference"/>
        </w:rPr>
        <w:footnoteReference w:id="20"/>
      </w:r>
    </w:p>
    <w:p w14:paraId="0154C089" w14:textId="32FAC626" w:rsidR="000E40FF" w:rsidRPr="008F0DB4" w:rsidRDefault="00ED74CB" w:rsidP="00ED74CB">
      <w:r w:rsidRPr="008F0DB4">
        <w:rPr>
          <w:rFonts w:eastAsia="Times New Roman" w:cs="Arial"/>
          <w:color w:val="000000"/>
          <w:szCs w:val="24"/>
          <w:lang w:val="en-US" w:eastAsia="en-ZA"/>
        </w:rPr>
        <w:t>[95]</w:t>
      </w:r>
      <w:r w:rsidRPr="008F0DB4">
        <w:rPr>
          <w:rFonts w:eastAsia="Times New Roman" w:cs="Arial"/>
          <w:color w:val="000000"/>
          <w:szCs w:val="24"/>
          <w:lang w:val="en-US" w:eastAsia="en-ZA"/>
        </w:rPr>
        <w:tab/>
      </w:r>
      <w:r w:rsidR="000E40FF">
        <w:t>The City was right to recognize that the consequence of removing the Occupiers from its land would be an eviction and that it therefore required an eviction order under PIE.</w:t>
      </w:r>
    </w:p>
    <w:p w14:paraId="3E6E1E14" w14:textId="1C6D2783" w:rsidR="00B80643" w:rsidRDefault="00ED74CB" w:rsidP="00ED74CB">
      <w:r>
        <w:rPr>
          <w:rFonts w:eastAsia="Times New Roman" w:cs="Arial"/>
          <w:color w:val="000000"/>
          <w:szCs w:val="24"/>
          <w:lang w:val="en-US" w:eastAsia="en-ZA"/>
        </w:rPr>
        <w:t>[96]</w:t>
      </w:r>
      <w:r>
        <w:rPr>
          <w:rFonts w:eastAsia="Times New Roman" w:cs="Arial"/>
          <w:color w:val="000000"/>
          <w:szCs w:val="24"/>
          <w:lang w:val="en-US" w:eastAsia="en-ZA"/>
        </w:rPr>
        <w:tab/>
      </w:r>
      <w:r w:rsidR="00A74495">
        <w:t>T</w:t>
      </w:r>
      <w:r w:rsidR="008A31B8">
        <w:t>h</w:t>
      </w:r>
      <w:r w:rsidR="00664292">
        <w:t xml:space="preserve">e parties </w:t>
      </w:r>
      <w:r w:rsidR="008A31B8">
        <w:t xml:space="preserve">also </w:t>
      </w:r>
      <w:r w:rsidR="00664292">
        <w:t>accept</w:t>
      </w:r>
      <w:r w:rsidR="008A31B8">
        <w:t>ed</w:t>
      </w:r>
      <w:r w:rsidR="00664292">
        <w:t xml:space="preserve"> that PIE’s procedural requirements for an eviction have been met.</w:t>
      </w:r>
      <w:r w:rsidR="00A74495">
        <w:t xml:space="preserve"> T</w:t>
      </w:r>
      <w:r w:rsidR="00B80643">
        <w:t xml:space="preserve">here </w:t>
      </w:r>
      <w:r w:rsidR="00A74495">
        <w:t>was also</w:t>
      </w:r>
      <w:r w:rsidR="00B80643">
        <w:t xml:space="preserve"> no </w:t>
      </w:r>
      <w:r w:rsidR="00AD388A">
        <w:t xml:space="preserve">argument from the Occupiers that they are occupying the Properties lawfully. They accept </w:t>
      </w:r>
      <w:r w:rsidR="003B3B1B">
        <w:t>they are unlawful occupiers as defined by PIE. The precise reason their occupation is unlawful does not seem to matter much. They do not have the City’s consent to occupy. Their occupation is also contrary to the</w:t>
      </w:r>
      <w:r w:rsidR="009C35B5">
        <w:t xml:space="preserve"> Roads Ordinance 19 of 1976</w:t>
      </w:r>
      <w:r w:rsidR="0076095E">
        <w:t>.</w:t>
      </w:r>
      <w:r w:rsidR="0066570F">
        <w:t xml:space="preserve"> </w:t>
      </w:r>
    </w:p>
    <w:p w14:paraId="50A94181" w14:textId="743B25BA" w:rsidR="003278F9" w:rsidRDefault="00ED74CB" w:rsidP="00ED74CB">
      <w:r>
        <w:rPr>
          <w:rFonts w:eastAsia="Times New Roman" w:cs="Arial"/>
          <w:color w:val="000000"/>
          <w:szCs w:val="24"/>
          <w:lang w:val="en-US" w:eastAsia="en-ZA"/>
        </w:rPr>
        <w:t>[97]</w:t>
      </w:r>
      <w:r>
        <w:rPr>
          <w:rFonts w:eastAsia="Times New Roman" w:cs="Arial"/>
          <w:color w:val="000000"/>
          <w:szCs w:val="24"/>
          <w:lang w:val="en-US" w:eastAsia="en-ZA"/>
        </w:rPr>
        <w:tab/>
      </w:r>
      <w:r w:rsidR="000E40FF">
        <w:t xml:space="preserve">The </w:t>
      </w:r>
      <w:r w:rsidR="00E510C3">
        <w:t xml:space="preserve">real debate was whether eviction as just and equitable in light of the two considerations </w:t>
      </w:r>
      <w:r w:rsidR="0066570F">
        <w:t>I mentioned above</w:t>
      </w:r>
      <w:r w:rsidR="00E510C3">
        <w:t>: was there meaningful engagement, and will there be suitable alternative accommodation?</w:t>
      </w:r>
    </w:p>
    <w:p w14:paraId="2F2ACA22" w14:textId="77777777" w:rsidR="007D1A0C" w:rsidRDefault="007D1A0C" w:rsidP="000753ED">
      <w:pPr>
        <w:pStyle w:val="Heading3"/>
      </w:pPr>
    </w:p>
    <w:p w14:paraId="765B5BCD" w14:textId="1D751170" w:rsidR="00886EA9" w:rsidRDefault="000753ED" w:rsidP="000753ED">
      <w:pPr>
        <w:pStyle w:val="Heading3"/>
      </w:pPr>
      <w:r>
        <w:t>Did the City Meaningfully Engage?</w:t>
      </w:r>
    </w:p>
    <w:p w14:paraId="17D385CA" w14:textId="7312362A" w:rsidR="003313FD" w:rsidRDefault="00ED74CB" w:rsidP="00ED74CB">
      <w:r>
        <w:rPr>
          <w:rFonts w:eastAsia="Times New Roman" w:cs="Arial"/>
          <w:color w:val="000000"/>
          <w:szCs w:val="24"/>
          <w:lang w:val="en-US" w:eastAsia="en-ZA"/>
        </w:rPr>
        <w:t>[98]</w:t>
      </w:r>
      <w:r>
        <w:rPr>
          <w:rFonts w:eastAsia="Times New Roman" w:cs="Arial"/>
          <w:color w:val="000000"/>
          <w:szCs w:val="24"/>
          <w:lang w:val="en-US" w:eastAsia="en-ZA"/>
        </w:rPr>
        <w:tab/>
      </w:r>
      <w:r w:rsidR="00AF0967">
        <w:t xml:space="preserve">The requirement of meaningful engagement prior to an eviction was birthed in </w:t>
      </w:r>
      <w:r w:rsidR="00AF0967" w:rsidRPr="00ED74CB">
        <w:rPr>
          <w:i/>
          <w:iCs/>
        </w:rPr>
        <w:t>Olivia Road</w:t>
      </w:r>
      <w:r w:rsidR="00AF0967">
        <w:t>.</w:t>
      </w:r>
      <w:r w:rsidR="00AF0967">
        <w:rPr>
          <w:rStyle w:val="FootnoteReference"/>
        </w:rPr>
        <w:footnoteReference w:id="21"/>
      </w:r>
      <w:r w:rsidR="00AF0967">
        <w:t xml:space="preserve"> The case did not concern eviction under PIE, but</w:t>
      </w:r>
      <w:r w:rsidR="00842E48">
        <w:t xml:space="preserve"> an application </w:t>
      </w:r>
      <w:r w:rsidR="006A2977">
        <w:t xml:space="preserve">under the </w:t>
      </w:r>
      <w:r w:rsidR="00B62A17" w:rsidRPr="00B62A17">
        <w:t>National Building Regulations and Building Standards Act 103 of 1977</w:t>
      </w:r>
      <w:r w:rsidR="00842E48">
        <w:t xml:space="preserve"> to remove the occupants</w:t>
      </w:r>
      <w:r w:rsidR="00646B0B">
        <w:t xml:space="preserve"> on the basis that the building</w:t>
      </w:r>
      <w:r w:rsidR="00D2346F">
        <w:t xml:space="preserve"> they</w:t>
      </w:r>
      <w:r w:rsidR="00646B0B">
        <w:t xml:space="preserve"> occupied </w:t>
      </w:r>
      <w:r w:rsidR="00D2346F">
        <w:t>was</w:t>
      </w:r>
      <w:r w:rsidR="00646B0B">
        <w:t xml:space="preserve"> unsafe. </w:t>
      </w:r>
      <w:r w:rsidR="006C6EA1">
        <w:t>Yacoob J held that th</w:t>
      </w:r>
      <w:r w:rsidR="006C6EA1" w:rsidRPr="006C6EA1">
        <w:t xml:space="preserve">e Constitution </w:t>
      </w:r>
      <w:r w:rsidR="006C6EA1">
        <w:t>“</w:t>
      </w:r>
      <w:r w:rsidR="006C6EA1" w:rsidRPr="006C6EA1">
        <w:t>obliges every municipality to engage meaningfully with people who would become homeless because it evicts them.</w:t>
      </w:r>
      <w:r w:rsidR="006C6EA1">
        <w:t>”</w:t>
      </w:r>
      <w:r w:rsidR="006C6EA1">
        <w:rPr>
          <w:rStyle w:val="FootnoteReference"/>
        </w:rPr>
        <w:footnoteReference w:id="22"/>
      </w:r>
    </w:p>
    <w:p w14:paraId="2ADAE3DE" w14:textId="39BC4AA1" w:rsidR="00560AA3" w:rsidRDefault="00ED74CB" w:rsidP="00ED74CB">
      <w:r>
        <w:rPr>
          <w:rFonts w:eastAsia="Times New Roman" w:cs="Arial"/>
          <w:color w:val="000000"/>
          <w:szCs w:val="24"/>
          <w:lang w:val="en-US" w:eastAsia="en-ZA"/>
        </w:rPr>
        <w:t>[99]</w:t>
      </w:r>
      <w:r>
        <w:rPr>
          <w:rFonts w:eastAsia="Times New Roman" w:cs="Arial"/>
          <w:color w:val="000000"/>
          <w:szCs w:val="24"/>
          <w:lang w:val="en-US" w:eastAsia="en-ZA"/>
        </w:rPr>
        <w:tab/>
      </w:r>
      <w:r w:rsidR="00DF6859">
        <w:t xml:space="preserve">But the Court was specific about what meaningful engagement requires. </w:t>
      </w:r>
      <w:r w:rsidR="00A07FD6">
        <w:t xml:space="preserve">It did not require </w:t>
      </w:r>
      <w:r w:rsidR="003220A3">
        <w:t xml:space="preserve">a municipality </w:t>
      </w:r>
      <w:r w:rsidR="003220A3" w:rsidRPr="00ED74CB">
        <w:t>“</w:t>
      </w:r>
      <w:r w:rsidR="00A07FD6" w:rsidRPr="00A07FD6">
        <w:t>to make provision for housing beyond the extent to which available resources allow. As long as the response of the municipality in the engagement process is reasonable, that response complies with section 26(2)</w:t>
      </w:r>
      <w:r w:rsidR="003220A3">
        <w:t>”</w:t>
      </w:r>
      <w:r w:rsidR="00E96CFD">
        <w:t xml:space="preserve"> of the Constitution.</w:t>
      </w:r>
      <w:r w:rsidR="003220A3">
        <w:rPr>
          <w:rStyle w:val="FootnoteReference"/>
        </w:rPr>
        <w:footnoteReference w:id="23"/>
      </w:r>
      <w:r w:rsidR="00560AA3">
        <w:t xml:space="preserve"> </w:t>
      </w:r>
      <w:r w:rsidR="00D17502">
        <w:t xml:space="preserve">At one point, the Court held that there must either be meaningful engagement </w:t>
      </w:r>
      <w:r w:rsidR="00D17502" w:rsidRPr="00ED74CB">
        <w:t>“</w:t>
      </w:r>
      <w:r w:rsidR="00560AA3" w:rsidRPr="00560AA3">
        <w:t>or, at least, that the municipality has made reasonable efforts towards meaningful engagement.</w:t>
      </w:r>
      <w:r w:rsidR="00D17502">
        <w:t>”</w:t>
      </w:r>
      <w:r w:rsidR="00D17502">
        <w:rPr>
          <w:rStyle w:val="FootnoteReference"/>
        </w:rPr>
        <w:footnoteReference w:id="24"/>
      </w:r>
    </w:p>
    <w:p w14:paraId="1E3693A1" w14:textId="5D346429" w:rsidR="00FA0861" w:rsidRDefault="00ED74CB" w:rsidP="00ED74CB">
      <w:r>
        <w:rPr>
          <w:rFonts w:eastAsia="Times New Roman" w:cs="Arial"/>
          <w:color w:val="000000"/>
          <w:szCs w:val="24"/>
          <w:lang w:val="en-US" w:eastAsia="en-ZA"/>
        </w:rPr>
        <w:t>[100]</w:t>
      </w:r>
      <w:r>
        <w:rPr>
          <w:rFonts w:eastAsia="Times New Roman" w:cs="Arial"/>
          <w:color w:val="000000"/>
          <w:szCs w:val="24"/>
          <w:lang w:val="en-US" w:eastAsia="en-ZA"/>
        </w:rPr>
        <w:tab/>
      </w:r>
      <w:r w:rsidR="00FA0861">
        <w:t xml:space="preserve">In </w:t>
      </w:r>
      <w:r w:rsidR="00FA0861" w:rsidRPr="00ED74CB">
        <w:rPr>
          <w:i/>
          <w:iCs/>
        </w:rPr>
        <w:t>Joe Slovo</w:t>
      </w:r>
      <w:r w:rsidR="005879C0">
        <w:t xml:space="preserve">, Ngcobo J (as he then was) </w:t>
      </w:r>
      <w:r w:rsidR="00534886">
        <w:t xml:space="preserve">emphasized that meaningful engagement must be conducted “in good faith and with a  willingness to listen and, </w:t>
      </w:r>
      <w:r w:rsidR="00534886">
        <w:lastRenderedPageBreak/>
        <w:t>where possible, to accommodate one another.”</w:t>
      </w:r>
      <w:r w:rsidR="00534886">
        <w:rPr>
          <w:rStyle w:val="FootnoteReference"/>
        </w:rPr>
        <w:footnoteReference w:id="25"/>
      </w:r>
      <w:r w:rsidR="009F0238">
        <w:t xml:space="preserve"> Still, </w:t>
      </w:r>
      <w:r w:rsidR="009F0238" w:rsidRPr="009F0238">
        <w:t xml:space="preserve">the decision </w:t>
      </w:r>
      <w:r w:rsidR="009F0238">
        <w:t xml:space="preserve">of what </w:t>
      </w:r>
      <w:r w:rsidR="00F83CAC">
        <w:t>to offer those facing eviction “</w:t>
      </w:r>
      <w:r w:rsidR="009F0238" w:rsidRPr="009F0238">
        <w:t xml:space="preserve">lies with the </w:t>
      </w:r>
      <w:r w:rsidR="00F83CAC">
        <w:t>government” as long as it is “</w:t>
      </w:r>
      <w:r w:rsidR="009F0238" w:rsidRPr="009F0238">
        <w:t>informed by the concerns raised by the residents during the process of engagement.</w:t>
      </w:r>
      <w:r w:rsidR="00F83CAC">
        <w:t>”</w:t>
      </w:r>
      <w:r w:rsidR="00F83CAC">
        <w:rPr>
          <w:rStyle w:val="FootnoteReference"/>
        </w:rPr>
        <w:footnoteReference w:id="26"/>
      </w:r>
    </w:p>
    <w:p w14:paraId="4D710974" w14:textId="33513252" w:rsidR="00E96F2A" w:rsidRDefault="00ED74CB" w:rsidP="00ED74CB">
      <w:r>
        <w:rPr>
          <w:rFonts w:eastAsia="Times New Roman" w:cs="Arial"/>
          <w:color w:val="000000"/>
          <w:szCs w:val="24"/>
          <w:lang w:val="en-US" w:eastAsia="en-ZA"/>
        </w:rPr>
        <w:t>[101]</w:t>
      </w:r>
      <w:r>
        <w:rPr>
          <w:rFonts w:eastAsia="Times New Roman" w:cs="Arial"/>
          <w:color w:val="000000"/>
          <w:szCs w:val="24"/>
          <w:lang w:val="en-US" w:eastAsia="en-ZA"/>
        </w:rPr>
        <w:tab/>
      </w:r>
      <w:r w:rsidR="002116B1" w:rsidRPr="00ED74CB">
        <w:rPr>
          <w:i/>
          <w:iCs/>
        </w:rPr>
        <w:t xml:space="preserve">Joe Slovo </w:t>
      </w:r>
      <w:r w:rsidR="002116B1">
        <w:t xml:space="preserve">is an interesting example. The case produced multiple judgments, with none commanding a clear majority. </w:t>
      </w:r>
      <w:r w:rsidR="00B66C7A">
        <w:t xml:space="preserve">All of them saw defects in the engagement process. But none of them refused eviction as a result. </w:t>
      </w:r>
    </w:p>
    <w:p w14:paraId="5325C4DF" w14:textId="1E546830" w:rsidR="00483BE7" w:rsidRDefault="00ED74CB" w:rsidP="00ED74CB">
      <w:pPr>
        <w:ind w:left="1620" w:hanging="900"/>
      </w:pPr>
      <w:r>
        <w:rPr>
          <w:rFonts w:eastAsia="Times New Roman" w:cs="Arial"/>
          <w:color w:val="000000"/>
          <w:szCs w:val="24"/>
          <w:lang w:val="en-US" w:eastAsia="en-ZA"/>
        </w:rPr>
        <w:t>[101.1]</w:t>
      </w:r>
      <w:r>
        <w:rPr>
          <w:rFonts w:eastAsia="Times New Roman" w:cs="Arial"/>
          <w:color w:val="000000"/>
          <w:szCs w:val="24"/>
          <w:lang w:val="en-US" w:eastAsia="en-ZA"/>
        </w:rPr>
        <w:tab/>
      </w:r>
      <w:r w:rsidR="00B66C7A">
        <w:t xml:space="preserve">Yacoob J </w:t>
      </w:r>
      <w:r w:rsidR="005A0D70">
        <w:t>held that “t</w:t>
      </w:r>
      <w:r w:rsidR="005A0D70" w:rsidRPr="005A0D70">
        <w:t>he state could and should have been more alive to the human factor and that more intensive consultation could have prevented the impasse that had resulted</w:t>
      </w:r>
      <w:r w:rsidR="005C4B3D">
        <w:t>”.</w:t>
      </w:r>
      <w:r w:rsidR="005C4B3D">
        <w:rPr>
          <w:rStyle w:val="FootnoteReference"/>
        </w:rPr>
        <w:footnoteReference w:id="27"/>
      </w:r>
      <w:r w:rsidR="00C80B2D">
        <w:t xml:space="preserve"> And he held that “[i]</w:t>
      </w:r>
      <w:r w:rsidR="00C80B2D" w:rsidRPr="00C80B2D">
        <w:t>t would have been ideal for the state to have engaged individually and carefully with each of the thousands of the families involved.</w:t>
      </w:r>
      <w:r w:rsidR="00C80B2D">
        <w:t>”</w:t>
      </w:r>
      <w:r w:rsidR="00C80B2D">
        <w:rPr>
          <w:rStyle w:val="FootnoteReference"/>
        </w:rPr>
        <w:footnoteReference w:id="28"/>
      </w:r>
      <w:r w:rsidR="00C80B2D" w:rsidRPr="00C80B2D">
        <w:t xml:space="preserve"> But</w:t>
      </w:r>
      <w:r w:rsidR="00C80B2D">
        <w:t xml:space="preserve"> ultimately,</w:t>
      </w:r>
      <w:r w:rsidR="001A418D">
        <w:t xml:space="preserve"> he concluded </w:t>
      </w:r>
      <w:r w:rsidR="00C80B2D">
        <w:t>meaningful engagement “</w:t>
      </w:r>
      <w:r w:rsidR="00C80B2D" w:rsidRPr="00C80B2D">
        <w:t>involves realism and practicality. There has been reasonable engagement.</w:t>
      </w:r>
      <w:r w:rsidR="00C80B2D">
        <w:t>”</w:t>
      </w:r>
      <w:r w:rsidR="001A418D">
        <w:rPr>
          <w:rStyle w:val="FootnoteReference"/>
        </w:rPr>
        <w:footnoteReference w:id="29"/>
      </w:r>
    </w:p>
    <w:p w14:paraId="5B6474CF" w14:textId="281B8E1E" w:rsidR="00ED2536" w:rsidRDefault="00ED74CB" w:rsidP="00ED74CB">
      <w:pPr>
        <w:ind w:left="1620" w:hanging="900"/>
      </w:pPr>
      <w:r>
        <w:rPr>
          <w:rFonts w:eastAsia="Times New Roman" w:cs="Arial"/>
          <w:color w:val="000000"/>
          <w:szCs w:val="24"/>
          <w:lang w:val="en-US" w:eastAsia="en-ZA"/>
        </w:rPr>
        <w:t>[101.2]</w:t>
      </w:r>
      <w:r>
        <w:rPr>
          <w:rFonts w:eastAsia="Times New Roman" w:cs="Arial"/>
          <w:color w:val="000000"/>
          <w:szCs w:val="24"/>
          <w:lang w:val="en-US" w:eastAsia="en-ZA"/>
        </w:rPr>
        <w:tab/>
      </w:r>
      <w:r w:rsidR="001A418D" w:rsidRPr="001A418D">
        <w:t>Simil</w:t>
      </w:r>
      <w:r w:rsidR="001A418D">
        <w:t xml:space="preserve">arly, </w:t>
      </w:r>
      <w:r w:rsidR="00923DF7">
        <w:t xml:space="preserve">O’Regan J held that </w:t>
      </w:r>
      <w:r w:rsidR="00ED2536">
        <w:t>despite</w:t>
      </w:r>
      <w:r w:rsidR="00ED2536" w:rsidRPr="00ED2536">
        <w:t xml:space="preserve"> </w:t>
      </w:r>
      <w:r w:rsidR="00ED2536">
        <w:t>“</w:t>
      </w:r>
      <w:r w:rsidR="00ED2536" w:rsidRPr="00ED2536">
        <w:t>the failure to have a coherent and meaningful strategy of engagement</w:t>
      </w:r>
      <w:r w:rsidR="00EE139B">
        <w:t xml:space="preserve">” the state </w:t>
      </w:r>
      <w:r w:rsidR="0057666B">
        <w:t>was</w:t>
      </w:r>
      <w:r w:rsidR="00EE139B">
        <w:t xml:space="preserve"> entitled to an eviction order.</w:t>
      </w:r>
      <w:r w:rsidR="00EE139B">
        <w:rPr>
          <w:rStyle w:val="FootnoteReference"/>
        </w:rPr>
        <w:footnoteReference w:id="30"/>
      </w:r>
      <w:r w:rsidR="00482EED">
        <w:t xml:space="preserve"> The engagement, she held, had “</w:t>
      </w:r>
      <w:r w:rsidR="00482EED" w:rsidRPr="00923DF7">
        <w:t xml:space="preserve">not been coherent or </w:t>
      </w:r>
      <w:r w:rsidR="00482EED" w:rsidRPr="00923DF7">
        <w:lastRenderedPageBreak/>
        <w:t>comprehensive and that at times it has been misleading</w:t>
      </w:r>
      <w:r w:rsidR="00482EED">
        <w:t>”.</w:t>
      </w:r>
      <w:r w:rsidR="002D7B1E">
        <w:rPr>
          <w:rStyle w:val="FootnoteReference"/>
        </w:rPr>
        <w:footnoteReference w:id="31"/>
      </w:r>
      <w:r w:rsidR="00482EED">
        <w:t xml:space="preserve"> But still, she concluded</w:t>
      </w:r>
      <w:r w:rsidR="00473B79">
        <w:t xml:space="preserve"> that given the size and novelty of the problem it was unsurprising there were </w:t>
      </w:r>
      <w:r w:rsidR="00A05783">
        <w:t xml:space="preserve">deficiencies in the engagement process. </w:t>
      </w:r>
      <w:r w:rsidR="00DE0D06">
        <w:t>T</w:t>
      </w:r>
      <w:r w:rsidR="00A05783">
        <w:t xml:space="preserve">he state </w:t>
      </w:r>
      <w:r w:rsidR="00A05783" w:rsidRPr="00ED74CB">
        <w:rPr>
          <w:i/>
          <w:iCs/>
        </w:rPr>
        <w:t xml:space="preserve">had </w:t>
      </w:r>
      <w:r w:rsidR="00A05783">
        <w:t>engaged, even if the engagement was imperfect.</w:t>
      </w:r>
      <w:r w:rsidR="003105A1">
        <w:rPr>
          <w:rStyle w:val="FootnoteReference"/>
        </w:rPr>
        <w:footnoteReference w:id="32"/>
      </w:r>
    </w:p>
    <w:p w14:paraId="64204F2E" w14:textId="3BA7044E" w:rsidR="00AD1A1F" w:rsidRDefault="00ED74CB" w:rsidP="00ED74CB">
      <w:r>
        <w:rPr>
          <w:rFonts w:eastAsia="Times New Roman" w:cs="Arial"/>
          <w:color w:val="000000"/>
          <w:szCs w:val="24"/>
          <w:lang w:val="en-US" w:eastAsia="en-ZA"/>
        </w:rPr>
        <w:t>[102]</w:t>
      </w:r>
      <w:r>
        <w:rPr>
          <w:rFonts w:eastAsia="Times New Roman" w:cs="Arial"/>
          <w:color w:val="000000"/>
          <w:szCs w:val="24"/>
          <w:lang w:val="en-US" w:eastAsia="en-ZA"/>
        </w:rPr>
        <w:tab/>
      </w:r>
      <w:r w:rsidR="004540B1">
        <w:t>Ordinarily</w:t>
      </w:r>
      <w:r w:rsidR="00AF257B">
        <w:t xml:space="preserve"> the topic of meaningful engagement is relatively straightforward – what are the options to avoid eviction</w:t>
      </w:r>
      <w:r w:rsidR="00277CD1">
        <w:t>.</w:t>
      </w:r>
      <w:r w:rsidR="00AF257B">
        <w:t xml:space="preserve"> That normally involves either </w:t>
      </w:r>
      <w:r w:rsidR="00DC3AB3">
        <w:t xml:space="preserve">allowing the occupiers to stay where they are, or figuring out what alternative accommodation is available. </w:t>
      </w:r>
      <w:r w:rsidR="00AD1A1F">
        <w:t xml:space="preserve">In </w:t>
      </w:r>
      <w:r w:rsidR="00AD1A1F" w:rsidRPr="00ED74CB">
        <w:rPr>
          <w:i/>
          <w:iCs/>
        </w:rPr>
        <w:t xml:space="preserve">Saratoga Avenue </w:t>
      </w:r>
      <w:r w:rsidR="00AD1A1F">
        <w:t xml:space="preserve">the Constitutional Court left open the question whether </w:t>
      </w:r>
      <w:r w:rsidR="00A52F62">
        <w:t>meaningful engagement “</w:t>
      </w:r>
      <w:r w:rsidR="00A52F62" w:rsidRPr="00A52F62">
        <w:t>would entitle all evictees to contest the quality of temporary accommodation being provided to them</w:t>
      </w:r>
      <w:r w:rsidR="00A52F62">
        <w:t>”.</w:t>
      </w:r>
      <w:r w:rsidR="00A52F62">
        <w:rPr>
          <w:rStyle w:val="FootnoteReference"/>
        </w:rPr>
        <w:footnoteReference w:id="33"/>
      </w:r>
    </w:p>
    <w:p w14:paraId="1C90FF55" w14:textId="2EA301AC" w:rsidR="008B2C07" w:rsidRDefault="00ED74CB" w:rsidP="00ED74CB">
      <w:r>
        <w:rPr>
          <w:rFonts w:eastAsia="Times New Roman" w:cs="Arial"/>
          <w:color w:val="000000"/>
          <w:szCs w:val="24"/>
          <w:lang w:val="en-US" w:eastAsia="en-ZA"/>
        </w:rPr>
        <w:t>[103]</w:t>
      </w:r>
      <w:r>
        <w:rPr>
          <w:rFonts w:eastAsia="Times New Roman" w:cs="Arial"/>
          <w:color w:val="000000"/>
          <w:szCs w:val="24"/>
          <w:lang w:val="en-US" w:eastAsia="en-ZA"/>
        </w:rPr>
        <w:tab/>
      </w:r>
      <w:r w:rsidR="00F55E03">
        <w:t>In light of these cases,</w:t>
      </w:r>
      <w:r w:rsidR="008B2C07">
        <w:t xml:space="preserve"> </w:t>
      </w:r>
      <w:r w:rsidR="00A8705F">
        <w:t xml:space="preserve">what </w:t>
      </w:r>
      <w:r w:rsidR="008B2C07">
        <w:t>exactly does meaningful engagement require?</w:t>
      </w:r>
      <w:r w:rsidR="00413772">
        <w:t xml:space="preserve"> </w:t>
      </w:r>
      <w:r w:rsidR="00926471">
        <w:t xml:space="preserve">There </w:t>
      </w:r>
      <w:r w:rsidR="009F3573">
        <w:t xml:space="preserve">is no comprehensive definition, and I </w:t>
      </w:r>
      <w:r w:rsidR="00B70F7A">
        <w:t xml:space="preserve">do not intend to provide </w:t>
      </w:r>
      <w:r w:rsidR="009F3573">
        <w:t>one</w:t>
      </w:r>
      <w:r w:rsidR="00B70F7A">
        <w:t>. But in my view it must include at least the following elements</w:t>
      </w:r>
      <w:r w:rsidR="00B81077">
        <w:t xml:space="preserve"> which are </w:t>
      </w:r>
      <w:r w:rsidR="009F3573">
        <w:t>relevant</w:t>
      </w:r>
      <w:r w:rsidR="00B81077">
        <w:t xml:space="preserve"> in this case</w:t>
      </w:r>
      <w:r w:rsidR="00B70F7A">
        <w:t>:</w:t>
      </w:r>
    </w:p>
    <w:p w14:paraId="4ABBDFF5" w14:textId="7D9D85C0" w:rsidR="00730200" w:rsidRDefault="00ED74CB" w:rsidP="00ED74CB">
      <w:pPr>
        <w:ind w:left="1620" w:hanging="900"/>
      </w:pPr>
      <w:r>
        <w:rPr>
          <w:rFonts w:eastAsia="Times New Roman" w:cs="Arial"/>
          <w:color w:val="000000"/>
          <w:szCs w:val="24"/>
          <w:lang w:val="en-US" w:eastAsia="en-ZA"/>
        </w:rPr>
        <w:t>[103.1]</w:t>
      </w:r>
      <w:r>
        <w:rPr>
          <w:rFonts w:eastAsia="Times New Roman" w:cs="Arial"/>
          <w:color w:val="000000"/>
          <w:szCs w:val="24"/>
          <w:lang w:val="en-US" w:eastAsia="en-ZA"/>
        </w:rPr>
        <w:tab/>
      </w:r>
      <w:r w:rsidR="00E42465">
        <w:t xml:space="preserve">The municipality must inform </w:t>
      </w:r>
      <w:r w:rsidR="006F4CF2">
        <w:t xml:space="preserve">the occupiers </w:t>
      </w:r>
      <w:r w:rsidR="00FA162A">
        <w:t xml:space="preserve">about the consequences of eviction, </w:t>
      </w:r>
      <w:r w:rsidR="006F4CF2">
        <w:t>what options are available to them if they are evicted</w:t>
      </w:r>
      <w:r w:rsidR="00730200">
        <w:t>, including what the municipality can or must do to assist them.</w:t>
      </w:r>
    </w:p>
    <w:p w14:paraId="181AE958" w14:textId="707493AF" w:rsidR="00E42465" w:rsidRDefault="00ED74CB" w:rsidP="00ED74CB">
      <w:pPr>
        <w:ind w:left="1620" w:hanging="900"/>
      </w:pPr>
      <w:r>
        <w:rPr>
          <w:rFonts w:eastAsia="Times New Roman" w:cs="Arial"/>
          <w:color w:val="000000"/>
          <w:szCs w:val="24"/>
          <w:lang w:val="en-US" w:eastAsia="en-ZA"/>
        </w:rPr>
        <w:t>[103.2]</w:t>
      </w:r>
      <w:r>
        <w:rPr>
          <w:rFonts w:eastAsia="Times New Roman" w:cs="Arial"/>
          <w:color w:val="000000"/>
          <w:szCs w:val="24"/>
          <w:lang w:val="en-US" w:eastAsia="en-ZA"/>
        </w:rPr>
        <w:tab/>
      </w:r>
      <w:r w:rsidR="00730200">
        <w:t>The municipality must also</w:t>
      </w:r>
      <w:r w:rsidR="006F4CF2">
        <w:t xml:space="preserve"> afford the occupiers an opportunity to express their views about those options</w:t>
      </w:r>
      <w:r w:rsidR="00BC3DFA">
        <w:t>, and to suggest alternatives</w:t>
      </w:r>
      <w:r w:rsidR="006F4CF2">
        <w:t>.</w:t>
      </w:r>
    </w:p>
    <w:p w14:paraId="1A348A7F" w14:textId="757B49AD" w:rsidR="006F4CF2" w:rsidRDefault="00ED74CB" w:rsidP="00ED74CB">
      <w:pPr>
        <w:ind w:left="1620" w:hanging="900"/>
      </w:pPr>
      <w:r>
        <w:rPr>
          <w:rFonts w:eastAsia="Times New Roman" w:cs="Arial"/>
          <w:color w:val="000000"/>
          <w:szCs w:val="24"/>
          <w:lang w:val="en-US" w:eastAsia="en-ZA"/>
        </w:rPr>
        <w:lastRenderedPageBreak/>
        <w:t>[103.3]</w:t>
      </w:r>
      <w:r>
        <w:rPr>
          <w:rFonts w:eastAsia="Times New Roman" w:cs="Arial"/>
          <w:color w:val="000000"/>
          <w:szCs w:val="24"/>
          <w:lang w:val="en-US" w:eastAsia="en-ZA"/>
        </w:rPr>
        <w:tab/>
      </w:r>
      <w:r w:rsidR="006F4CF2">
        <w:t xml:space="preserve">The municipality must listen to those opinions and </w:t>
      </w:r>
      <w:r w:rsidR="00FD743B">
        <w:t>see if it is possible to accommodate the concerns.</w:t>
      </w:r>
    </w:p>
    <w:p w14:paraId="1848F40F" w14:textId="6A967BD5" w:rsidR="00982B2F" w:rsidRDefault="00ED74CB" w:rsidP="00ED74CB">
      <w:pPr>
        <w:ind w:left="1620" w:hanging="900"/>
      </w:pPr>
      <w:r>
        <w:rPr>
          <w:rFonts w:eastAsia="Times New Roman" w:cs="Arial"/>
          <w:color w:val="000000"/>
          <w:szCs w:val="24"/>
          <w:lang w:val="en-US" w:eastAsia="en-ZA"/>
        </w:rPr>
        <w:t>[103.4]</w:t>
      </w:r>
      <w:r>
        <w:rPr>
          <w:rFonts w:eastAsia="Times New Roman" w:cs="Arial"/>
          <w:color w:val="000000"/>
          <w:szCs w:val="24"/>
          <w:lang w:val="en-US" w:eastAsia="en-ZA"/>
        </w:rPr>
        <w:tab/>
      </w:r>
      <w:r w:rsidR="00B81077">
        <w:t>Both par</w:t>
      </w:r>
      <w:r w:rsidR="00451CA2">
        <w:t>ties must engage in good faith with the hope of reaching an agreed solution. They must be open to alternative proposals and compromises.</w:t>
      </w:r>
      <w:r w:rsidR="00982B2F" w:rsidRPr="00982B2F">
        <w:t xml:space="preserve"> </w:t>
      </w:r>
    </w:p>
    <w:p w14:paraId="08431BAF" w14:textId="7A3CBE1A" w:rsidR="00881DFC" w:rsidRDefault="00ED74CB" w:rsidP="00ED74CB">
      <w:pPr>
        <w:ind w:left="1620" w:hanging="900"/>
      </w:pPr>
      <w:r>
        <w:rPr>
          <w:rFonts w:eastAsia="Times New Roman" w:cs="Arial"/>
          <w:color w:val="000000"/>
          <w:szCs w:val="24"/>
          <w:lang w:val="en-US" w:eastAsia="en-ZA"/>
        </w:rPr>
        <w:t>[103.5]</w:t>
      </w:r>
      <w:r>
        <w:rPr>
          <w:rFonts w:eastAsia="Times New Roman" w:cs="Arial"/>
          <w:color w:val="000000"/>
          <w:szCs w:val="24"/>
          <w:lang w:val="en-US" w:eastAsia="en-ZA"/>
        </w:rPr>
        <w:tab/>
      </w:r>
      <w:r w:rsidR="00982B2F">
        <w:t>Meaningful engagement may require some back-and-forth</w:t>
      </w:r>
      <w:r w:rsidR="00AD103F">
        <w:t>; i</w:t>
      </w:r>
      <w:r w:rsidR="00982B2F">
        <w:t xml:space="preserve">t should be more than simply an offer which occupiers must take or leave. </w:t>
      </w:r>
    </w:p>
    <w:p w14:paraId="30DAFBB9" w14:textId="6A14051A" w:rsidR="00201052" w:rsidRDefault="00ED74CB" w:rsidP="00ED74CB">
      <w:pPr>
        <w:ind w:left="1620" w:hanging="900"/>
      </w:pPr>
      <w:r>
        <w:rPr>
          <w:rFonts w:eastAsia="Times New Roman" w:cs="Arial"/>
          <w:color w:val="000000"/>
          <w:szCs w:val="24"/>
          <w:lang w:val="en-US" w:eastAsia="en-ZA"/>
        </w:rPr>
        <w:t>[103.6]</w:t>
      </w:r>
      <w:r>
        <w:rPr>
          <w:rFonts w:eastAsia="Times New Roman" w:cs="Arial"/>
          <w:color w:val="000000"/>
          <w:szCs w:val="24"/>
          <w:lang w:val="en-US" w:eastAsia="en-ZA"/>
        </w:rPr>
        <w:tab/>
      </w:r>
      <w:r w:rsidR="00201052">
        <w:t>Engagement can happen individually, or at a collective level if the municipality is satisfied that the occupiers have properly chosen people to engage on their behalf.</w:t>
      </w:r>
    </w:p>
    <w:p w14:paraId="5C74D117" w14:textId="1ECC5E57" w:rsidR="00982B2F" w:rsidRDefault="00ED74CB" w:rsidP="00ED74CB">
      <w:r>
        <w:rPr>
          <w:rFonts w:eastAsia="Times New Roman" w:cs="Arial"/>
          <w:color w:val="000000"/>
          <w:szCs w:val="24"/>
          <w:lang w:val="en-US" w:eastAsia="en-ZA"/>
        </w:rPr>
        <w:t>[104]</w:t>
      </w:r>
      <w:r>
        <w:rPr>
          <w:rFonts w:eastAsia="Times New Roman" w:cs="Arial"/>
          <w:color w:val="000000"/>
          <w:szCs w:val="24"/>
          <w:lang w:val="en-US" w:eastAsia="en-ZA"/>
        </w:rPr>
        <w:tab/>
      </w:r>
      <w:r w:rsidR="00881DFC">
        <w:t>Having said all that, there are also limits on what meaningful engagement can require. C</w:t>
      </w:r>
      <w:r w:rsidR="008E1295">
        <w:t xml:space="preserve">ourts must not impose a process that is </w:t>
      </w:r>
      <w:r w:rsidR="00982B2F">
        <w:t>so burdensome it</w:t>
      </w:r>
      <w:r w:rsidR="00201052">
        <w:t xml:space="preserve"> unduly</w:t>
      </w:r>
      <w:r w:rsidR="00982B2F">
        <w:t xml:space="preserve"> inhibits a municipality from legitimat</w:t>
      </w:r>
      <w:r w:rsidR="00AD103F">
        <w:t>ely</w:t>
      </w:r>
      <w:r w:rsidR="00982B2F">
        <w:t xml:space="preserve"> pursuing the eviction of those unlawfully occupying its land.</w:t>
      </w:r>
      <w:r w:rsidR="00201052">
        <w:t xml:space="preserve"> With</w:t>
      </w:r>
      <w:r w:rsidR="00442F53">
        <w:t xml:space="preserve"> that in mind, </w:t>
      </w:r>
      <w:r w:rsidR="00F22838">
        <w:t>there are two important restrictions on the scope of meaningful engagement:</w:t>
      </w:r>
    </w:p>
    <w:p w14:paraId="4EF3D74F" w14:textId="12DF1736" w:rsidR="00FD743B" w:rsidRDefault="00ED74CB" w:rsidP="00ED74CB">
      <w:pPr>
        <w:ind w:left="1620" w:hanging="900"/>
      </w:pPr>
      <w:r>
        <w:rPr>
          <w:rFonts w:eastAsia="Times New Roman" w:cs="Arial"/>
          <w:color w:val="000000"/>
          <w:szCs w:val="24"/>
          <w:lang w:val="en-US" w:eastAsia="en-ZA"/>
        </w:rPr>
        <w:t>[104.1]</w:t>
      </w:r>
      <w:r>
        <w:rPr>
          <w:rFonts w:eastAsia="Times New Roman" w:cs="Arial"/>
          <w:color w:val="000000"/>
          <w:szCs w:val="24"/>
          <w:lang w:val="en-US" w:eastAsia="en-ZA"/>
        </w:rPr>
        <w:tab/>
      </w:r>
      <w:r w:rsidR="00FD743B">
        <w:t xml:space="preserve">While an agreed resolution is ideal, </w:t>
      </w:r>
      <w:r w:rsidR="00FD743B" w:rsidRPr="00ED74CB">
        <w:rPr>
          <w:u w:val="single"/>
        </w:rPr>
        <w:t>meaningful engagement does not require agreement</w:t>
      </w:r>
      <w:r w:rsidR="00FD743B">
        <w:t xml:space="preserve">. </w:t>
      </w:r>
      <w:r w:rsidR="00B81077">
        <w:t>An eviction can be granted even though the occupiers remain dissatisfied with the options the municipality has presented.</w:t>
      </w:r>
    </w:p>
    <w:p w14:paraId="3C5D558B" w14:textId="45CEE961" w:rsidR="00AD0E67" w:rsidRDefault="00ED74CB" w:rsidP="00ED74CB">
      <w:pPr>
        <w:ind w:left="1620" w:hanging="900"/>
      </w:pPr>
      <w:r>
        <w:rPr>
          <w:rFonts w:eastAsia="Times New Roman" w:cs="Arial"/>
          <w:color w:val="000000"/>
          <w:szCs w:val="24"/>
          <w:lang w:val="en-US" w:eastAsia="en-ZA"/>
        </w:rPr>
        <w:t>[104.2]</w:t>
      </w:r>
      <w:r>
        <w:rPr>
          <w:rFonts w:eastAsia="Times New Roman" w:cs="Arial"/>
          <w:color w:val="000000"/>
          <w:szCs w:val="24"/>
          <w:lang w:val="en-US" w:eastAsia="en-ZA"/>
        </w:rPr>
        <w:tab/>
      </w:r>
      <w:r w:rsidR="00AD0E67">
        <w:t>Meaningful engagement is about resolving a specific situation where eviction is threatened. It is not a mechanism to resolve broader policy disputes. A municipality conducts meaningful engagement within its existing policy framework and budget. It is not required</w:t>
      </w:r>
      <w:r w:rsidR="00442F53">
        <w:t xml:space="preserve">, in order to </w:t>
      </w:r>
      <w:r w:rsidR="00442F53">
        <w:lastRenderedPageBreak/>
        <w:t>show it has meaningfully engaged,</w:t>
      </w:r>
      <w:r w:rsidR="00AD0E67">
        <w:t xml:space="preserve"> to second-guess its policies or its budget each time it seeks to evict people.</w:t>
      </w:r>
    </w:p>
    <w:p w14:paraId="6CEE6CF6" w14:textId="40236DE6" w:rsidR="001A418D" w:rsidRDefault="00ED74CB" w:rsidP="00ED74CB">
      <w:r>
        <w:rPr>
          <w:rFonts w:eastAsia="Times New Roman" w:cs="Arial"/>
          <w:color w:val="000000"/>
          <w:szCs w:val="24"/>
          <w:lang w:val="en-US" w:eastAsia="en-ZA"/>
        </w:rPr>
        <w:t>[105]</w:t>
      </w:r>
      <w:r>
        <w:rPr>
          <w:rFonts w:eastAsia="Times New Roman" w:cs="Arial"/>
          <w:color w:val="000000"/>
          <w:szCs w:val="24"/>
          <w:lang w:val="en-US" w:eastAsia="en-ZA"/>
        </w:rPr>
        <w:tab/>
      </w:r>
      <w:r w:rsidR="00DE0D06">
        <w:t>What was the nature of the engagement in this case</w:t>
      </w:r>
      <w:r w:rsidR="00442F53">
        <w:t>, and did it meet these requirements</w:t>
      </w:r>
      <w:r w:rsidR="00DE0D06">
        <w:t>? There were three phases</w:t>
      </w:r>
      <w:r w:rsidR="007648FE">
        <w:t xml:space="preserve"> of engagement</w:t>
      </w:r>
      <w:r w:rsidR="00DE0D06">
        <w:t>.</w:t>
      </w:r>
    </w:p>
    <w:p w14:paraId="1DA5D91F" w14:textId="6EC2343D" w:rsidR="00EA0C10" w:rsidRDefault="00ED74CB" w:rsidP="00ED74CB">
      <w:r>
        <w:rPr>
          <w:rFonts w:eastAsia="Times New Roman" w:cs="Arial"/>
          <w:color w:val="000000"/>
          <w:szCs w:val="24"/>
          <w:lang w:val="en-US" w:eastAsia="en-ZA"/>
        </w:rPr>
        <w:t>[106]</w:t>
      </w:r>
      <w:r>
        <w:rPr>
          <w:rFonts w:eastAsia="Times New Roman" w:cs="Arial"/>
          <w:color w:val="000000"/>
          <w:szCs w:val="24"/>
          <w:lang w:val="en-US" w:eastAsia="en-ZA"/>
        </w:rPr>
        <w:tab/>
      </w:r>
      <w:r w:rsidR="00D90023" w:rsidRPr="00ED74CB">
        <w:rPr>
          <w:u w:val="single"/>
        </w:rPr>
        <w:t>First</w:t>
      </w:r>
      <w:r w:rsidR="00D90023" w:rsidRPr="00D90023">
        <w:t>, b</w:t>
      </w:r>
      <w:r w:rsidR="00FF10A0">
        <w:t xml:space="preserve">efore it brought the application the City </w:t>
      </w:r>
      <w:r w:rsidR="000D44D4">
        <w:t xml:space="preserve">alleges it </w:t>
      </w:r>
      <w:r w:rsidR="007648FE">
        <w:t>interacted</w:t>
      </w:r>
      <w:r w:rsidR="00FF10A0">
        <w:t xml:space="preserve"> with the </w:t>
      </w:r>
      <w:r w:rsidR="00746CA4">
        <w:t xml:space="preserve">Occupiers on multiple occasions, making offers of social assistance and alternative accommodation. Some of the occupiers accepted those offers; others did not. </w:t>
      </w:r>
      <w:r w:rsidR="00C05EBE">
        <w:t xml:space="preserve">The City argues that its endeavours to engage were </w:t>
      </w:r>
      <w:r w:rsidR="00602BC4">
        <w:t>“entirely dependent on the co-operation of the individuals concerned</w:t>
      </w:r>
      <w:r w:rsidR="00EB139D">
        <w:t xml:space="preserve">”. The </w:t>
      </w:r>
      <w:r w:rsidR="00A8705F">
        <w:t>high watermark</w:t>
      </w:r>
      <w:r w:rsidR="00EB139D">
        <w:t xml:space="preserve"> of the </w:t>
      </w:r>
      <w:r w:rsidR="007B722F">
        <w:t>interaction</w:t>
      </w:r>
      <w:r w:rsidR="00EB139D">
        <w:t xml:space="preserve"> was collecting information about the Occupiers, and making offers of alternative accommodation.</w:t>
      </w:r>
      <w:r w:rsidR="002A0220">
        <w:t xml:space="preserve"> </w:t>
      </w:r>
    </w:p>
    <w:p w14:paraId="78E2FA0F" w14:textId="7096A95A" w:rsidR="00DE0D06" w:rsidRDefault="00ED74CB" w:rsidP="00ED74CB">
      <w:r>
        <w:rPr>
          <w:rFonts w:eastAsia="Times New Roman" w:cs="Arial"/>
          <w:color w:val="000000"/>
          <w:szCs w:val="24"/>
          <w:lang w:val="en-US" w:eastAsia="en-ZA"/>
        </w:rPr>
        <w:t>[107]</w:t>
      </w:r>
      <w:r>
        <w:rPr>
          <w:rFonts w:eastAsia="Times New Roman" w:cs="Arial"/>
          <w:color w:val="000000"/>
          <w:szCs w:val="24"/>
          <w:lang w:val="en-US" w:eastAsia="en-ZA"/>
        </w:rPr>
        <w:tab/>
      </w:r>
      <w:r w:rsidR="002A0220">
        <w:t xml:space="preserve">At this stage, the Occupiers were neither represented, nor organized. There was no </w:t>
      </w:r>
      <w:r w:rsidR="00EA0C10">
        <w:t xml:space="preserve">person or group that could speak on behalf of the Occupiers. The City could only </w:t>
      </w:r>
      <w:r w:rsidR="007B722F">
        <w:t>interact</w:t>
      </w:r>
      <w:r w:rsidR="00EA0C10">
        <w:t xml:space="preserve"> with them individually.</w:t>
      </w:r>
    </w:p>
    <w:p w14:paraId="2E15CC8B" w14:textId="0193547C" w:rsidR="00EB139D" w:rsidRDefault="00ED74CB" w:rsidP="00ED74CB">
      <w:r>
        <w:rPr>
          <w:rFonts w:eastAsia="Times New Roman" w:cs="Arial"/>
          <w:color w:val="000000"/>
          <w:szCs w:val="24"/>
          <w:lang w:val="en-US" w:eastAsia="en-ZA"/>
        </w:rPr>
        <w:t>[108]</w:t>
      </w:r>
      <w:r>
        <w:rPr>
          <w:rFonts w:eastAsia="Times New Roman" w:cs="Arial"/>
          <w:color w:val="000000"/>
          <w:szCs w:val="24"/>
          <w:lang w:val="en-US" w:eastAsia="en-ZA"/>
        </w:rPr>
        <w:tab/>
      </w:r>
      <w:r w:rsidR="00EB139D">
        <w:t xml:space="preserve">The Occupiers contend that the pre-litigation </w:t>
      </w:r>
      <w:r w:rsidR="000A5179">
        <w:t>“engagement</w:t>
      </w:r>
      <w:r w:rsidR="00366FFA">
        <w:t>” consisted primarily of the City’s law enforcement fining them, demolishing their homes, and chasing them from one place to the next.</w:t>
      </w:r>
      <w:r w:rsidR="004D3B06">
        <w:t xml:space="preserve"> At most, the Occupiers say the City conducted a “census” of the Occupiers.</w:t>
      </w:r>
    </w:p>
    <w:p w14:paraId="2236C687" w14:textId="3A4DC70F" w:rsidR="00630027" w:rsidRDefault="00ED74CB" w:rsidP="00ED74CB">
      <w:r>
        <w:rPr>
          <w:rFonts w:eastAsia="Times New Roman" w:cs="Arial"/>
          <w:color w:val="000000"/>
          <w:szCs w:val="24"/>
          <w:lang w:val="en-US" w:eastAsia="en-ZA"/>
        </w:rPr>
        <w:t>[109]</w:t>
      </w:r>
      <w:r>
        <w:rPr>
          <w:rFonts w:eastAsia="Times New Roman" w:cs="Arial"/>
          <w:color w:val="000000"/>
          <w:szCs w:val="24"/>
          <w:lang w:val="en-US" w:eastAsia="en-ZA"/>
        </w:rPr>
        <w:tab/>
      </w:r>
      <w:r w:rsidR="00253D36">
        <w:t xml:space="preserve">The </w:t>
      </w:r>
      <w:r w:rsidR="00253D36" w:rsidRPr="00ED74CB">
        <w:rPr>
          <w:u w:val="single"/>
        </w:rPr>
        <w:t>second</w:t>
      </w:r>
      <w:r w:rsidR="00253D36">
        <w:t xml:space="preserve"> phase occurred after the </w:t>
      </w:r>
      <w:r w:rsidR="009149B5">
        <w:t xml:space="preserve">Occupiers filed their answering affidavit, and before the City filed its reply. </w:t>
      </w:r>
      <w:r w:rsidR="007A4C03">
        <w:t xml:space="preserve">The engagement was specifically prompted by the </w:t>
      </w:r>
      <w:r w:rsidR="0040137B">
        <w:t xml:space="preserve">Occupiers’ </w:t>
      </w:r>
      <w:r w:rsidR="007A4C03">
        <w:t xml:space="preserve">allegation that the City had failed to meaningfully engage. </w:t>
      </w:r>
      <w:r w:rsidR="006D00F5">
        <w:t xml:space="preserve">While not admitting any shortcomings, the City sought to do more. </w:t>
      </w:r>
      <w:r w:rsidR="00E16660">
        <w:t>Following an exchange of correspondence between the parties’ attorneys</w:t>
      </w:r>
      <w:r w:rsidR="002A0220">
        <w:t>, t</w:t>
      </w:r>
      <w:r w:rsidR="007A4C03">
        <w:t xml:space="preserve">he engagement was agreed to between the parties </w:t>
      </w:r>
      <w:r w:rsidR="00057EAB">
        <w:t>and took place between 16 and 19 August 2023.</w:t>
      </w:r>
      <w:r w:rsidR="00520BDE">
        <w:t xml:space="preserve"> </w:t>
      </w:r>
    </w:p>
    <w:p w14:paraId="0B5F79C3" w14:textId="2C0FEAB6" w:rsidR="004605C5" w:rsidRDefault="00ED74CB" w:rsidP="00ED74CB">
      <w:r>
        <w:rPr>
          <w:rFonts w:eastAsia="Times New Roman" w:cs="Arial"/>
          <w:color w:val="000000"/>
          <w:szCs w:val="24"/>
          <w:lang w:val="en-US" w:eastAsia="en-ZA"/>
        </w:rPr>
        <w:lastRenderedPageBreak/>
        <w:t>[110]</w:t>
      </w:r>
      <w:r>
        <w:rPr>
          <w:rFonts w:eastAsia="Times New Roman" w:cs="Arial"/>
          <w:color w:val="000000"/>
          <w:szCs w:val="24"/>
          <w:lang w:val="en-US" w:eastAsia="en-ZA"/>
        </w:rPr>
        <w:tab/>
      </w:r>
      <w:r w:rsidR="00520BDE">
        <w:t xml:space="preserve">The City’s version is that </w:t>
      </w:r>
      <w:r w:rsidR="00630027">
        <w:t xml:space="preserve">it engaged all the </w:t>
      </w:r>
      <w:r w:rsidR="00422AC3">
        <w:t>named respondents it could locate</w:t>
      </w:r>
      <w:r w:rsidR="008660DC">
        <w:t>.</w:t>
      </w:r>
      <w:r w:rsidR="00422AC3">
        <w:t xml:space="preserve"> </w:t>
      </w:r>
      <w:r w:rsidR="001035CC">
        <w:t xml:space="preserve">It sought information about each person, particularly: whether they had a partner, whether they worked after closing hours, whether they understood the </w:t>
      </w:r>
      <w:r w:rsidR="0040137B">
        <w:t>s</w:t>
      </w:r>
      <w:r w:rsidR="001035CC">
        <w:t xml:space="preserve">afe </w:t>
      </w:r>
      <w:r w:rsidR="0040137B">
        <w:t>s</w:t>
      </w:r>
      <w:r w:rsidR="001035CC">
        <w:t xml:space="preserve">paces’ rules (a copy of which was provided) and whether they had concerns about only being able to stay there for six months. </w:t>
      </w:r>
      <w:r w:rsidR="002B3301">
        <w:t>As I set out above, t</w:t>
      </w:r>
      <w:r w:rsidR="007F7FE6">
        <w:t xml:space="preserve">he process allowed it to provide a better statement of the number of respondents, their circumstances, </w:t>
      </w:r>
      <w:r w:rsidR="001035CC">
        <w:t xml:space="preserve">and </w:t>
      </w:r>
      <w:r w:rsidR="007F7FE6">
        <w:t xml:space="preserve">what the consequences </w:t>
      </w:r>
      <w:r w:rsidR="001035CC">
        <w:t>of eviction would be.</w:t>
      </w:r>
      <w:r w:rsidR="001035CC" w:rsidRPr="001035CC">
        <w:t xml:space="preserve"> </w:t>
      </w:r>
    </w:p>
    <w:p w14:paraId="04D55C20" w14:textId="719C001E" w:rsidR="004D3B06" w:rsidRDefault="00ED74CB" w:rsidP="00ED74CB">
      <w:r>
        <w:rPr>
          <w:rFonts w:eastAsia="Times New Roman" w:cs="Arial"/>
          <w:color w:val="000000"/>
          <w:szCs w:val="24"/>
          <w:lang w:val="en-US" w:eastAsia="en-ZA"/>
        </w:rPr>
        <w:t>[111]</w:t>
      </w:r>
      <w:r>
        <w:rPr>
          <w:rFonts w:eastAsia="Times New Roman" w:cs="Arial"/>
          <w:color w:val="000000"/>
          <w:szCs w:val="24"/>
          <w:lang w:val="en-US" w:eastAsia="en-ZA"/>
        </w:rPr>
        <w:tab/>
      </w:r>
      <w:r w:rsidR="005837AF">
        <w:t>In the process, the</w:t>
      </w:r>
      <w:r w:rsidR="00ED0985">
        <w:t xml:space="preserve"> City explained to the vario</w:t>
      </w:r>
      <w:r w:rsidR="00361276">
        <w:t>u</w:t>
      </w:r>
      <w:r w:rsidR="00ED0985">
        <w:t>s Occupiers that: (a) they could return to the Safe Spaces after hours if they were working</w:t>
      </w:r>
      <w:r w:rsidR="00361276">
        <w:t xml:space="preserve">; (b) there was </w:t>
      </w:r>
      <w:r w:rsidR="001B42D7">
        <w:t xml:space="preserve">some </w:t>
      </w:r>
      <w:r w:rsidR="00361276">
        <w:t>provision for couples to live together; and (c) their stay would not be automatically terminated after six months.</w:t>
      </w:r>
      <w:r w:rsidR="00B726C7">
        <w:t xml:space="preserve"> The Occupiers’ attorneys were present throughout the engagement.</w:t>
      </w:r>
    </w:p>
    <w:p w14:paraId="0526E2C0" w14:textId="260E01BD" w:rsidR="00B726C7" w:rsidRDefault="00ED74CB" w:rsidP="00ED74CB">
      <w:r>
        <w:rPr>
          <w:rFonts w:eastAsia="Times New Roman" w:cs="Arial"/>
          <w:color w:val="000000"/>
          <w:szCs w:val="24"/>
          <w:lang w:val="en-US" w:eastAsia="en-ZA"/>
        </w:rPr>
        <w:t>[112]</w:t>
      </w:r>
      <w:r>
        <w:rPr>
          <w:rFonts w:eastAsia="Times New Roman" w:cs="Arial"/>
          <w:color w:val="000000"/>
          <w:szCs w:val="24"/>
          <w:lang w:val="en-US" w:eastAsia="en-ZA"/>
        </w:rPr>
        <w:tab/>
      </w:r>
      <w:r w:rsidR="00B726C7">
        <w:t xml:space="preserve">The City did not engage with the Occupiers about alternatives to the </w:t>
      </w:r>
      <w:r w:rsidR="002B3301">
        <w:t>s</w:t>
      </w:r>
      <w:r w:rsidR="00B726C7">
        <w:t xml:space="preserve">afe </w:t>
      </w:r>
      <w:r w:rsidR="002B3301">
        <w:t>s</w:t>
      </w:r>
      <w:r w:rsidR="00B726C7">
        <w:t xml:space="preserve">pace. </w:t>
      </w:r>
      <w:r w:rsidR="002633E4">
        <w:t>It had already taken a decision that the only offer</w:t>
      </w:r>
      <w:r w:rsidR="00054D48">
        <w:t xml:space="preserve"> of alternative accommodation</w:t>
      </w:r>
      <w:r w:rsidR="002633E4">
        <w:t xml:space="preserve"> it could make was for the </w:t>
      </w:r>
      <w:r w:rsidR="00054D48">
        <w:t>s</w:t>
      </w:r>
      <w:r w:rsidR="002633E4">
        <w:t xml:space="preserve">afe </w:t>
      </w:r>
      <w:r w:rsidR="00054D48">
        <w:t>s</w:t>
      </w:r>
      <w:r w:rsidR="002633E4">
        <w:t>paces</w:t>
      </w:r>
      <w:r w:rsidR="009C4537">
        <w:t>. Its engagement was about the details of that offer, and seeking to understand the Occupiers’ possible concerns with that offer.</w:t>
      </w:r>
    </w:p>
    <w:p w14:paraId="6B37345D" w14:textId="204D813A" w:rsidR="00222514" w:rsidRDefault="00ED74CB" w:rsidP="00ED74CB">
      <w:r>
        <w:rPr>
          <w:rFonts w:eastAsia="Times New Roman" w:cs="Arial"/>
          <w:color w:val="000000"/>
          <w:szCs w:val="24"/>
          <w:lang w:val="en-US" w:eastAsia="en-ZA"/>
        </w:rPr>
        <w:t>[113]</w:t>
      </w:r>
      <w:r>
        <w:rPr>
          <w:rFonts w:eastAsia="Times New Roman" w:cs="Arial"/>
          <w:color w:val="000000"/>
          <w:szCs w:val="24"/>
          <w:lang w:val="en-US" w:eastAsia="en-ZA"/>
        </w:rPr>
        <w:tab/>
      </w:r>
      <w:r w:rsidR="00222514">
        <w:t>But the City did change its position as a result of the engagement.</w:t>
      </w:r>
      <w:r w:rsidR="00D4641D">
        <w:t xml:space="preserve"> It noted the </w:t>
      </w:r>
      <w:r w:rsidR="006B52C3">
        <w:t xml:space="preserve">concerns about the lockout times and engaged with the management of the safe spaces to emphasise that the rule had to be flexibly and reasonably enforced. </w:t>
      </w:r>
      <w:r w:rsidR="00B22E1D">
        <w:t>It made clear that, while the default rule was that people would vacate after six months, if they had not found an alternative place to stay “</w:t>
      </w:r>
      <w:r w:rsidR="00B22E1D" w:rsidRPr="00ED74CB">
        <w:rPr>
          <w:i/>
          <w:iCs/>
        </w:rPr>
        <w:t>they will remain at the Safe Space</w:t>
      </w:r>
      <w:r w:rsidR="00552526">
        <w:t>” subject to ongoing assessment.</w:t>
      </w:r>
      <w:r w:rsidR="00163228">
        <w:t xml:space="preserve"> It also </w:t>
      </w:r>
      <w:r w:rsidR="00060AC5">
        <w:t>recognized the need for couples’ accommodation, although it did not (at this stage) commit to providing it for all who needed it.</w:t>
      </w:r>
    </w:p>
    <w:p w14:paraId="2A45F211" w14:textId="72B09A1A" w:rsidR="00172722" w:rsidRDefault="00ED74CB" w:rsidP="00ED74CB">
      <w:r>
        <w:rPr>
          <w:rFonts w:eastAsia="Times New Roman" w:cs="Arial"/>
          <w:color w:val="000000"/>
          <w:szCs w:val="24"/>
          <w:lang w:val="en-US" w:eastAsia="en-ZA"/>
        </w:rPr>
        <w:lastRenderedPageBreak/>
        <w:t>[114]</w:t>
      </w:r>
      <w:r>
        <w:rPr>
          <w:rFonts w:eastAsia="Times New Roman" w:cs="Arial"/>
          <w:color w:val="000000"/>
          <w:szCs w:val="24"/>
          <w:lang w:val="en-US" w:eastAsia="en-ZA"/>
        </w:rPr>
        <w:tab/>
      </w:r>
      <w:r w:rsidR="005525AE">
        <w:t xml:space="preserve">The Occupiers acknowledge that this second engagement was a step in the right direction. But they still criticize it as “nothing but a box ticking exercise”. </w:t>
      </w:r>
      <w:r w:rsidR="00222514">
        <w:t xml:space="preserve">They focus on the limited utility of seeking to ascertain </w:t>
      </w:r>
      <w:r w:rsidR="009A2567">
        <w:t>the Occupiers’ personal details when those could have been obtained from the Occupiers’ attorneys. They also say that the engagement had a “pre-determined outcome” and that the City “</w:t>
      </w:r>
      <w:r w:rsidR="006346A9">
        <w:t>has never been prepared to seriously listen to the occupiers’ concerns and needs and to build the trust necessary to find a workable solution”.</w:t>
      </w:r>
    </w:p>
    <w:p w14:paraId="4AEA6865" w14:textId="25A27757" w:rsidR="00060AC5" w:rsidRDefault="00ED74CB" w:rsidP="00ED74CB">
      <w:r>
        <w:rPr>
          <w:rFonts w:eastAsia="Times New Roman" w:cs="Arial"/>
          <w:color w:val="000000"/>
          <w:szCs w:val="24"/>
          <w:lang w:val="en-US" w:eastAsia="en-ZA"/>
        </w:rPr>
        <w:t>[115]</w:t>
      </w:r>
      <w:r>
        <w:rPr>
          <w:rFonts w:eastAsia="Times New Roman" w:cs="Arial"/>
          <w:color w:val="000000"/>
          <w:szCs w:val="24"/>
          <w:lang w:val="en-US" w:eastAsia="en-ZA"/>
        </w:rPr>
        <w:tab/>
      </w:r>
      <w:r w:rsidR="00060AC5">
        <w:t xml:space="preserve">The </w:t>
      </w:r>
      <w:r w:rsidR="00060AC5" w:rsidRPr="00ED74CB">
        <w:rPr>
          <w:u w:val="single"/>
        </w:rPr>
        <w:t>final</w:t>
      </w:r>
      <w:r w:rsidR="00060AC5">
        <w:t xml:space="preserve"> phase of engagement occurred after the hearing in line with the order I issued on 20 October 2023. </w:t>
      </w:r>
      <w:r w:rsidR="00D70B6B">
        <w:t xml:space="preserve">The City again engaged with each of the persons present on the </w:t>
      </w:r>
      <w:r w:rsidR="00982B2F">
        <w:t>seven P</w:t>
      </w:r>
      <w:r w:rsidR="00D70B6B">
        <w:t>roperties</w:t>
      </w:r>
      <w:r w:rsidR="006D18A8">
        <w:t>, trying to produce a more reliable list of the people occupying the sites</w:t>
      </w:r>
      <w:r w:rsidR="00D70B6B">
        <w:t>.</w:t>
      </w:r>
      <w:r w:rsidR="006D18A8">
        <w:t xml:space="preserve"> It also obtained more information about people with disabilities, elderly people, children</w:t>
      </w:r>
      <w:r w:rsidR="00D97F92">
        <w:t>,</w:t>
      </w:r>
      <w:r w:rsidR="006D18A8">
        <w:t xml:space="preserve"> and those needing couples’ accommodation.</w:t>
      </w:r>
      <w:r w:rsidR="00D70B6B">
        <w:t xml:space="preserve"> It discussed the rules of the </w:t>
      </w:r>
      <w:r w:rsidR="00BF5E6D">
        <w:t>s</w:t>
      </w:r>
      <w:r w:rsidR="00D70B6B">
        <w:t xml:space="preserve">afe </w:t>
      </w:r>
      <w:r w:rsidR="00BF5E6D">
        <w:t>s</w:t>
      </w:r>
      <w:r w:rsidR="00D70B6B">
        <w:t>paces with the</w:t>
      </w:r>
      <w:r w:rsidR="00583B73">
        <w:t xml:space="preserve"> Occupiers</w:t>
      </w:r>
      <w:r w:rsidR="00BF5E6D">
        <w:t xml:space="preserve"> – now including all the concessions it had made through the litigation –</w:t>
      </w:r>
      <w:r w:rsidR="00D70B6B">
        <w:t xml:space="preserve"> and answered any questions. </w:t>
      </w:r>
      <w:r w:rsidR="00FD31EF">
        <w:t>Depending on whose numbers were used, either 37 of 99</w:t>
      </w:r>
      <w:r w:rsidR="00030D73">
        <w:t>,</w:t>
      </w:r>
      <w:r w:rsidR="00FD31EF">
        <w:t xml:space="preserve"> or 67 of 140 people accepted the City’s offers of accommodation at </w:t>
      </w:r>
      <w:r w:rsidR="00BF5E6D">
        <w:t>s</w:t>
      </w:r>
      <w:r w:rsidR="00FD31EF">
        <w:t xml:space="preserve">afe </w:t>
      </w:r>
      <w:r w:rsidR="00BF5E6D">
        <w:t>s</w:t>
      </w:r>
      <w:r w:rsidR="00FD31EF">
        <w:t xml:space="preserve">paces. The City also </w:t>
      </w:r>
      <w:r w:rsidR="00B05E5E">
        <w:t xml:space="preserve">allowed both the Occupiers and their attorneys to view </w:t>
      </w:r>
      <w:r w:rsidR="00BF5E6D">
        <w:t>S</w:t>
      </w:r>
      <w:r w:rsidR="00B05E5E">
        <w:t xml:space="preserve">afe </w:t>
      </w:r>
      <w:r w:rsidR="00BF5E6D">
        <w:t>S</w:t>
      </w:r>
      <w:r w:rsidR="00B05E5E">
        <w:t xml:space="preserve">pace </w:t>
      </w:r>
      <w:r w:rsidR="00E520B2">
        <w:t>1</w:t>
      </w:r>
      <w:r w:rsidR="00B05E5E">
        <w:t>.</w:t>
      </w:r>
    </w:p>
    <w:p w14:paraId="04F43916" w14:textId="7EDBD3E3" w:rsidR="00BF5E6D" w:rsidRDefault="00ED74CB" w:rsidP="00ED74CB">
      <w:r>
        <w:rPr>
          <w:rFonts w:eastAsia="Times New Roman" w:cs="Arial"/>
          <w:color w:val="000000"/>
          <w:szCs w:val="24"/>
          <w:lang w:val="en-US" w:eastAsia="en-ZA"/>
        </w:rPr>
        <w:t>[116]</w:t>
      </w:r>
      <w:r>
        <w:rPr>
          <w:rFonts w:eastAsia="Times New Roman" w:cs="Arial"/>
          <w:color w:val="000000"/>
          <w:szCs w:val="24"/>
          <w:lang w:val="en-US" w:eastAsia="en-ZA"/>
        </w:rPr>
        <w:tab/>
      </w:r>
      <w:r w:rsidR="00BF5E6D">
        <w:t xml:space="preserve">However, the City did not regard this as </w:t>
      </w:r>
      <w:r w:rsidR="00EB132C">
        <w:t>an opportunity to re-open issues that had been addressed in the litigation</w:t>
      </w:r>
      <w:r w:rsidR="00CD341C">
        <w:t xml:space="preserve"> or to re-argue whether the safe spaces were suitable alternative accommodation. The purpose was limited to obtaining a better sense of </w:t>
      </w:r>
      <w:r w:rsidR="00151B48">
        <w:t xml:space="preserve">who occupied the properties and </w:t>
      </w:r>
      <w:r w:rsidR="008C4006">
        <w:t xml:space="preserve">engaging with the occupiers about what </w:t>
      </w:r>
      <w:r w:rsidR="002C038E">
        <w:t>moving to the safe spaces would entail</w:t>
      </w:r>
      <w:r w:rsidR="00E520B2">
        <w:t xml:space="preserve"> so they could decide whether to accept the offer</w:t>
      </w:r>
      <w:r w:rsidR="002C038E">
        <w:t>.</w:t>
      </w:r>
    </w:p>
    <w:p w14:paraId="289C470D" w14:textId="436E8E61" w:rsidR="002B5A20" w:rsidRDefault="00ED74CB" w:rsidP="00ED74CB">
      <w:r>
        <w:rPr>
          <w:rFonts w:eastAsia="Times New Roman" w:cs="Arial"/>
          <w:color w:val="000000"/>
          <w:szCs w:val="24"/>
          <w:lang w:val="en-US" w:eastAsia="en-ZA"/>
        </w:rPr>
        <w:lastRenderedPageBreak/>
        <w:t>[117]</w:t>
      </w:r>
      <w:r>
        <w:rPr>
          <w:rFonts w:eastAsia="Times New Roman" w:cs="Arial"/>
          <w:color w:val="000000"/>
          <w:szCs w:val="24"/>
          <w:lang w:val="en-US" w:eastAsia="en-ZA"/>
        </w:rPr>
        <w:tab/>
      </w:r>
      <w:r w:rsidR="008D5EAB">
        <w:t>The Occupiers’ view, after this engagement, was that it had “yielded partial success”</w:t>
      </w:r>
      <w:r w:rsidR="006D18A8">
        <w:t xml:space="preserve">. But their objection </w:t>
      </w:r>
      <w:r w:rsidR="003134DF">
        <w:t xml:space="preserve">remained that </w:t>
      </w:r>
      <w:r w:rsidR="00630713">
        <w:t xml:space="preserve">meaningful engagement was </w:t>
      </w:r>
      <w:r w:rsidR="00AF490F">
        <w:t>“</w:t>
      </w:r>
      <w:r w:rsidR="00630713">
        <w:t xml:space="preserve">meant to be </w:t>
      </w:r>
      <w:r w:rsidR="00AF490F">
        <w:t xml:space="preserve">a two-way process where both parties actively participate in sharing ideas and understanding”. </w:t>
      </w:r>
      <w:r w:rsidR="00601553">
        <w:t>It complained that the City had still taken too narrow an approach to the engagement, that it was required to seek “mutually acceptable solutions”</w:t>
      </w:r>
      <w:r w:rsidR="00503955">
        <w:t>,</w:t>
      </w:r>
      <w:r w:rsidR="00124EC5">
        <w:t xml:space="preserve"> and that “both parties should buy into the solutions even if they have to compromise”.</w:t>
      </w:r>
    </w:p>
    <w:p w14:paraId="497B52F1" w14:textId="1B89581B" w:rsidR="007278AA" w:rsidRDefault="00ED74CB" w:rsidP="00ED74CB">
      <w:r>
        <w:rPr>
          <w:rFonts w:eastAsia="Times New Roman" w:cs="Arial"/>
          <w:color w:val="000000"/>
          <w:szCs w:val="24"/>
          <w:lang w:val="en-US" w:eastAsia="en-ZA"/>
        </w:rPr>
        <w:t>[118]</w:t>
      </w:r>
      <w:r>
        <w:rPr>
          <w:rFonts w:eastAsia="Times New Roman" w:cs="Arial"/>
          <w:color w:val="000000"/>
          <w:szCs w:val="24"/>
          <w:lang w:val="en-US" w:eastAsia="en-ZA"/>
        </w:rPr>
        <w:tab/>
      </w:r>
      <w:r w:rsidR="00F22376">
        <w:t>I conclude that</w:t>
      </w:r>
      <w:r w:rsidR="00F55E03">
        <w:t>, while imperfect,</w:t>
      </w:r>
      <w:r w:rsidR="00F22376">
        <w:t xml:space="preserve"> the City did meet its obligation to meaningfully engage with the Occupiers. </w:t>
      </w:r>
      <w:r w:rsidR="00503955">
        <w:t>There are four factors that drive me to that conclusion.</w:t>
      </w:r>
    </w:p>
    <w:p w14:paraId="7017725F" w14:textId="0B4BAD04" w:rsidR="004356FA" w:rsidRDefault="00ED74CB" w:rsidP="00ED74CB">
      <w:r>
        <w:rPr>
          <w:rFonts w:eastAsia="Times New Roman" w:cs="Arial"/>
          <w:color w:val="000000"/>
          <w:szCs w:val="24"/>
          <w:lang w:val="en-US" w:eastAsia="en-ZA"/>
        </w:rPr>
        <w:t>[119]</w:t>
      </w:r>
      <w:r>
        <w:rPr>
          <w:rFonts w:eastAsia="Times New Roman" w:cs="Arial"/>
          <w:color w:val="000000"/>
          <w:szCs w:val="24"/>
          <w:lang w:val="en-US" w:eastAsia="en-ZA"/>
        </w:rPr>
        <w:tab/>
      </w:r>
      <w:r w:rsidR="003B7363" w:rsidRPr="00ED74CB">
        <w:rPr>
          <w:u w:val="single"/>
        </w:rPr>
        <w:t>First</w:t>
      </w:r>
      <w:r w:rsidR="003B7363">
        <w:t xml:space="preserve">, </w:t>
      </w:r>
      <w:r w:rsidR="00503955">
        <w:t xml:space="preserve">as I foreshadowed above, </w:t>
      </w:r>
      <w:r w:rsidR="00333D7C">
        <w:t xml:space="preserve">it is important to be </w:t>
      </w:r>
      <w:r w:rsidR="004356FA">
        <w:t>clear</w:t>
      </w:r>
      <w:r w:rsidR="00333D7C">
        <w:t xml:space="preserve"> about</w:t>
      </w:r>
      <w:r w:rsidR="004356FA">
        <w:t xml:space="preserve"> what the purpose of meaningful engagement is, and what it is not. The purpose is to identify alternatives to eviction for those occupiers. That could include avoiding relocation altogether, or avoiding eviction because the occupiers are willing to accept an offer of alternative accommodation. The goal is to discuss available options, and see if there is something that can work for both parties.</w:t>
      </w:r>
    </w:p>
    <w:p w14:paraId="4E8B9661" w14:textId="54D66173" w:rsidR="004356FA" w:rsidRDefault="00ED74CB" w:rsidP="00ED74CB">
      <w:r>
        <w:rPr>
          <w:rFonts w:eastAsia="Times New Roman" w:cs="Arial"/>
          <w:color w:val="000000"/>
          <w:szCs w:val="24"/>
          <w:lang w:val="en-US" w:eastAsia="en-ZA"/>
        </w:rPr>
        <w:t>[120]</w:t>
      </w:r>
      <w:r>
        <w:rPr>
          <w:rFonts w:eastAsia="Times New Roman" w:cs="Arial"/>
          <w:color w:val="000000"/>
          <w:szCs w:val="24"/>
          <w:lang w:val="en-US" w:eastAsia="en-ZA"/>
        </w:rPr>
        <w:tab/>
      </w:r>
      <w:r w:rsidR="004356FA">
        <w:t xml:space="preserve">The purpose is </w:t>
      </w:r>
      <w:r w:rsidR="004356FA" w:rsidRPr="00ED74CB">
        <w:rPr>
          <w:u w:val="single"/>
        </w:rPr>
        <w:t>not</w:t>
      </w:r>
      <w:r w:rsidR="004356FA">
        <w:t xml:space="preserve"> to challenge the municipality’s budget or policy decisions. When it meaningfully engages with occupiers, a municipality does so within those constraints. Occupiers are free to attack the legality and constitutionality of a municipality’s policies that may not provide for what they think is a reasonable alternative. But </w:t>
      </w:r>
      <w:r w:rsidR="008B0C19">
        <w:t>a municipality</w:t>
      </w:r>
      <w:r w:rsidR="004356FA">
        <w:t xml:space="preserve"> is not required to enter into those types of discussions as part of the meaningful engagement prior to eviction.</w:t>
      </w:r>
    </w:p>
    <w:p w14:paraId="32F46208" w14:textId="44736642" w:rsidR="004356FA" w:rsidRDefault="00ED74CB" w:rsidP="00ED74CB">
      <w:r>
        <w:rPr>
          <w:rFonts w:eastAsia="Times New Roman" w:cs="Arial"/>
          <w:color w:val="000000"/>
          <w:szCs w:val="24"/>
          <w:lang w:val="en-US" w:eastAsia="en-ZA"/>
        </w:rPr>
        <w:t>[121]</w:t>
      </w:r>
      <w:r>
        <w:rPr>
          <w:rFonts w:eastAsia="Times New Roman" w:cs="Arial"/>
          <w:color w:val="000000"/>
          <w:szCs w:val="24"/>
          <w:lang w:val="en-US" w:eastAsia="en-ZA"/>
        </w:rPr>
        <w:tab/>
      </w:r>
      <w:r w:rsidR="004356FA">
        <w:t xml:space="preserve">Meaningful engagement is also not required to find “mutually acceptable solutions”. That is obviously the ideal, and parties should be open to the compromise and agreement. But engagement that fails to reach that ideal outcome can still be </w:t>
      </w:r>
      <w:r w:rsidR="00E45F34">
        <w:t xml:space="preserve">meaningful and </w:t>
      </w:r>
      <w:r w:rsidR="004356FA">
        <w:t xml:space="preserve">reasonable. If a municipality gathers all the necessary information </w:t>
      </w:r>
      <w:r w:rsidR="004356FA">
        <w:lastRenderedPageBreak/>
        <w:t>about occupiers, provides them with all the options, listens to their concerns, and responds to them, then it has meaningfully engaged, whether</w:t>
      </w:r>
      <w:r w:rsidR="00417E80">
        <w:t xml:space="preserve"> or not</w:t>
      </w:r>
      <w:r w:rsidR="004356FA">
        <w:t xml:space="preserve"> the occupiers like the responses </w:t>
      </w:r>
      <w:r w:rsidR="00417E80">
        <w:t>and the outcomes.</w:t>
      </w:r>
    </w:p>
    <w:p w14:paraId="2552C9DD" w14:textId="0C4EFE62" w:rsidR="00A941CF" w:rsidRDefault="00ED74CB" w:rsidP="00ED74CB">
      <w:r>
        <w:rPr>
          <w:rFonts w:eastAsia="Times New Roman" w:cs="Arial"/>
          <w:color w:val="000000"/>
          <w:szCs w:val="24"/>
          <w:lang w:val="en-US" w:eastAsia="en-ZA"/>
        </w:rPr>
        <w:t>[122]</w:t>
      </w:r>
      <w:r>
        <w:rPr>
          <w:rFonts w:eastAsia="Times New Roman" w:cs="Arial"/>
          <w:color w:val="000000"/>
          <w:szCs w:val="24"/>
          <w:lang w:val="en-US" w:eastAsia="en-ZA"/>
        </w:rPr>
        <w:tab/>
      </w:r>
      <w:r w:rsidR="004356FA" w:rsidRPr="00ED74CB">
        <w:rPr>
          <w:u w:val="single"/>
        </w:rPr>
        <w:t>Second</w:t>
      </w:r>
      <w:r w:rsidR="004356FA">
        <w:t>,</w:t>
      </w:r>
      <w:r w:rsidR="0061489B">
        <w:t xml:space="preserve"> if there had been no further engagement after the City filed this application, I may have </w:t>
      </w:r>
      <w:r w:rsidR="00A228EB">
        <w:t>found that there was not sufficient engagement</w:t>
      </w:r>
      <w:r w:rsidR="0061489B">
        <w:t>. But there was</w:t>
      </w:r>
      <w:r w:rsidR="00A228EB">
        <w:t xml:space="preserve"> extensive post-application engagement. The first was prompted entirely by the City and the second by this Court. </w:t>
      </w:r>
    </w:p>
    <w:p w14:paraId="10E94042" w14:textId="4A3B70E0" w:rsidR="00F0028E" w:rsidRDefault="00ED74CB" w:rsidP="00ED74CB">
      <w:r>
        <w:rPr>
          <w:rFonts w:eastAsia="Times New Roman" w:cs="Arial"/>
          <w:color w:val="000000"/>
          <w:szCs w:val="24"/>
          <w:lang w:val="en-US" w:eastAsia="en-ZA"/>
        </w:rPr>
        <w:t>[123]</w:t>
      </w:r>
      <w:r>
        <w:rPr>
          <w:rFonts w:eastAsia="Times New Roman" w:cs="Arial"/>
          <w:color w:val="000000"/>
          <w:szCs w:val="24"/>
          <w:lang w:val="en-US" w:eastAsia="en-ZA"/>
        </w:rPr>
        <w:tab/>
      </w:r>
      <w:r w:rsidR="00A941CF">
        <w:t>To my mind, t</w:t>
      </w:r>
      <w:r w:rsidR="007278AA">
        <w:t xml:space="preserve">he issue for </w:t>
      </w:r>
      <w:r w:rsidR="005B08D2">
        <w:t xml:space="preserve">a court considering eviction is not whether there had been meaningful engagement before the litigation is launched, but whether it had occurred by the time it grants the eviction order. </w:t>
      </w:r>
      <w:r w:rsidR="00A941CF">
        <w:t xml:space="preserve">The purpose </w:t>
      </w:r>
      <w:r w:rsidR="003B1077">
        <w:t xml:space="preserve">of requiring meaningful engagement </w:t>
      </w:r>
      <w:r w:rsidR="00A941CF">
        <w:t xml:space="preserve">is not to offer a “defence” to eviction, but to ensure that occupiers are treated with dignity and agency, that there has been an attempt to avoid eviction, and that the parties have explored other plausible options. </w:t>
      </w:r>
    </w:p>
    <w:p w14:paraId="05C7827C" w14:textId="737C587E" w:rsidR="005064E0" w:rsidRDefault="00ED74CB" w:rsidP="00ED74CB">
      <w:r>
        <w:rPr>
          <w:rFonts w:eastAsia="Times New Roman" w:cs="Arial"/>
          <w:color w:val="000000"/>
          <w:szCs w:val="24"/>
          <w:lang w:val="en-US" w:eastAsia="en-ZA"/>
        </w:rPr>
        <w:t>[124]</w:t>
      </w:r>
      <w:r>
        <w:rPr>
          <w:rFonts w:eastAsia="Times New Roman" w:cs="Arial"/>
          <w:color w:val="000000"/>
          <w:szCs w:val="24"/>
          <w:lang w:val="en-US" w:eastAsia="en-ZA"/>
        </w:rPr>
        <w:tab/>
      </w:r>
      <w:r w:rsidR="00A941CF">
        <w:t>That should occur as early as possible</w:t>
      </w:r>
      <w:r w:rsidR="0096622A">
        <w:t xml:space="preserve"> and ideally before the </w:t>
      </w:r>
      <w:r w:rsidR="00780857">
        <w:t xml:space="preserve">case is launched. </w:t>
      </w:r>
      <w:r w:rsidR="00B44C02">
        <w:t xml:space="preserve">But if it happens later and still fulfills the purpose, then </w:t>
      </w:r>
      <w:r w:rsidR="008B625D">
        <w:t xml:space="preserve">the </w:t>
      </w:r>
      <w:r w:rsidR="00F0028E">
        <w:t>delay</w:t>
      </w:r>
      <w:r w:rsidR="00B44C02">
        <w:t xml:space="preserve"> </w:t>
      </w:r>
      <w:r w:rsidR="008B625D">
        <w:t xml:space="preserve">is not a basis to refuse </w:t>
      </w:r>
      <w:r w:rsidR="002B6415">
        <w:t>eviction.</w:t>
      </w:r>
      <w:r w:rsidR="003B1077">
        <w:t xml:space="preserve"> In </w:t>
      </w:r>
      <w:r w:rsidR="003B1077" w:rsidRPr="00ED74CB">
        <w:rPr>
          <w:i/>
          <w:iCs/>
        </w:rPr>
        <w:t xml:space="preserve">Olivia Road </w:t>
      </w:r>
      <w:r w:rsidR="003B1077">
        <w:t>the engagement happened only as a result of an order the Constitutional Court granted after hearing the matter.</w:t>
      </w:r>
    </w:p>
    <w:p w14:paraId="04553B99" w14:textId="41147BE7" w:rsidR="00324C9E" w:rsidRDefault="00ED74CB" w:rsidP="00ED74CB">
      <w:r>
        <w:rPr>
          <w:rFonts w:eastAsia="Times New Roman" w:cs="Arial"/>
          <w:color w:val="000000"/>
          <w:szCs w:val="24"/>
          <w:lang w:val="en-US" w:eastAsia="en-ZA"/>
        </w:rPr>
        <w:t>[125]</w:t>
      </w:r>
      <w:r>
        <w:rPr>
          <w:rFonts w:eastAsia="Times New Roman" w:cs="Arial"/>
          <w:color w:val="000000"/>
          <w:szCs w:val="24"/>
          <w:lang w:val="en-US" w:eastAsia="en-ZA"/>
        </w:rPr>
        <w:tab/>
      </w:r>
      <w:r w:rsidR="004356FA" w:rsidRPr="00ED74CB">
        <w:rPr>
          <w:u w:val="single"/>
        </w:rPr>
        <w:t>Third</w:t>
      </w:r>
      <w:r w:rsidR="00481DC8">
        <w:t>, this is a novel and particularly difficult context</w:t>
      </w:r>
      <w:r w:rsidR="005D338C">
        <w:t xml:space="preserve"> for engagement</w:t>
      </w:r>
      <w:r w:rsidR="00481DC8">
        <w:t xml:space="preserve">. In most other evictions, the occupiers are fixed not transient, and they are often organized. That makes engagement far easier as the municipality knows with certainty with whom it is dealing, and can </w:t>
      </w:r>
      <w:r w:rsidR="00074423">
        <w:t xml:space="preserve">engage collectively rather than individually. </w:t>
      </w:r>
    </w:p>
    <w:p w14:paraId="3ED80A3B" w14:textId="1D5EC658" w:rsidR="00481DC8" w:rsidRDefault="00ED74CB" w:rsidP="00ED74CB">
      <w:r>
        <w:rPr>
          <w:rFonts w:eastAsia="Times New Roman" w:cs="Arial"/>
          <w:color w:val="000000"/>
          <w:szCs w:val="24"/>
          <w:lang w:val="en-US" w:eastAsia="en-ZA"/>
        </w:rPr>
        <w:t>[126]</w:t>
      </w:r>
      <w:r>
        <w:rPr>
          <w:rFonts w:eastAsia="Times New Roman" w:cs="Arial"/>
          <w:color w:val="000000"/>
          <w:szCs w:val="24"/>
          <w:lang w:val="en-US" w:eastAsia="en-ZA"/>
        </w:rPr>
        <w:tab/>
      </w:r>
      <w:r w:rsidR="00074423">
        <w:t>That was not the case here.</w:t>
      </w:r>
      <w:r w:rsidR="00324C9E">
        <w:t xml:space="preserve"> The Occupiers have never been organized. </w:t>
      </w:r>
      <w:r w:rsidR="00A66CE5">
        <w:t xml:space="preserve">Before they were represented it was impossible for the City to engage them collectively. Yet </w:t>
      </w:r>
      <w:r w:rsidR="00A66CE5">
        <w:lastRenderedPageBreak/>
        <w:t>individual engagement was, in these circumstances, unlikely to be particularly fruitful</w:t>
      </w:r>
      <w:r w:rsidR="00EB0EF5">
        <w:t>. My finding about what was reasonable in these circumstances may not apply in different circumstances where occupiers are more permanent and organised.</w:t>
      </w:r>
    </w:p>
    <w:p w14:paraId="3BC561D0" w14:textId="037E0146" w:rsidR="0067466B" w:rsidRDefault="00ED74CB" w:rsidP="00ED74CB">
      <w:r>
        <w:rPr>
          <w:rFonts w:eastAsia="Times New Roman" w:cs="Arial"/>
          <w:color w:val="000000"/>
          <w:szCs w:val="24"/>
          <w:lang w:val="en-US" w:eastAsia="en-ZA"/>
        </w:rPr>
        <w:t>[127]</w:t>
      </w:r>
      <w:r>
        <w:rPr>
          <w:rFonts w:eastAsia="Times New Roman" w:cs="Arial"/>
          <w:color w:val="000000"/>
          <w:szCs w:val="24"/>
          <w:lang w:val="en-US" w:eastAsia="en-ZA"/>
        </w:rPr>
        <w:tab/>
      </w:r>
      <w:r w:rsidR="004356FA" w:rsidRPr="00ED74CB">
        <w:rPr>
          <w:u w:val="single"/>
        </w:rPr>
        <w:t>Fourth</w:t>
      </w:r>
      <w:r w:rsidR="00F63338">
        <w:t xml:space="preserve">, the City clearly listened to the Occupiers. </w:t>
      </w:r>
      <w:r w:rsidR="00FD4DAE">
        <w:t xml:space="preserve">It has altered its stance based on their complaints about the </w:t>
      </w:r>
      <w:r w:rsidR="00FF691A">
        <w:t>s</w:t>
      </w:r>
      <w:r w:rsidR="00FD4DAE">
        <w:t xml:space="preserve">afe </w:t>
      </w:r>
      <w:r w:rsidR="00FF691A">
        <w:t>s</w:t>
      </w:r>
      <w:r w:rsidR="00FD4DAE">
        <w:t xml:space="preserve">paces’ rules. It has </w:t>
      </w:r>
      <w:r w:rsidR="00327DAF">
        <w:t>relaxed rules on lock out and on the six-month residency rule. It has promised there will be couples’ accommodation for all who need it. It has not closed its ears to the Occupiers complaints</w:t>
      </w:r>
      <w:r w:rsidR="00180B8D">
        <w:t xml:space="preserve"> – it listened and responded.</w:t>
      </w:r>
    </w:p>
    <w:p w14:paraId="10FD4383" w14:textId="5ACF24FE" w:rsidR="00F63338" w:rsidRDefault="00ED74CB" w:rsidP="00ED74CB">
      <w:r>
        <w:rPr>
          <w:rFonts w:eastAsia="Times New Roman" w:cs="Arial"/>
          <w:color w:val="000000"/>
          <w:szCs w:val="24"/>
          <w:lang w:val="en-US" w:eastAsia="en-ZA"/>
        </w:rPr>
        <w:t>[128]</w:t>
      </w:r>
      <w:r>
        <w:rPr>
          <w:rFonts w:eastAsia="Times New Roman" w:cs="Arial"/>
          <w:color w:val="000000"/>
          <w:szCs w:val="24"/>
          <w:lang w:val="en-US" w:eastAsia="en-ZA"/>
        </w:rPr>
        <w:tab/>
      </w:r>
      <w:r w:rsidR="0067466B">
        <w:t>It is true that it has not shifted on the basic position that safe spaces are suitable alternative accommodation. But</w:t>
      </w:r>
      <w:r w:rsidR="005F0BC7">
        <w:t xml:space="preserve"> it was not required to. It was entitled to make an offer and then defend that offer as reasonable alternative accommodation. If the safe spaces are reasonable alternative accommodation, then the City can hardly be criticized for not offering an alternative as part of the </w:t>
      </w:r>
      <w:r w:rsidR="00EB79EB">
        <w:t>meaningful engagement process. Any workable alternative in the City centre</w:t>
      </w:r>
      <w:r w:rsidR="006E5BD0">
        <w:t xml:space="preserve"> </w:t>
      </w:r>
      <w:r w:rsidR="00180B8D">
        <w:t>would require radical changes to the City’s policies and budget – neither of which is a requisite part of meaningful engagement.</w:t>
      </w:r>
    </w:p>
    <w:p w14:paraId="54126BA1" w14:textId="28A99B36" w:rsidR="00180B8D" w:rsidRDefault="00ED74CB" w:rsidP="00ED74CB">
      <w:r>
        <w:rPr>
          <w:rFonts w:eastAsia="Times New Roman" w:cs="Arial"/>
          <w:color w:val="000000"/>
          <w:szCs w:val="24"/>
          <w:lang w:val="en-US" w:eastAsia="en-ZA"/>
        </w:rPr>
        <w:t>[129]</w:t>
      </w:r>
      <w:r>
        <w:rPr>
          <w:rFonts w:eastAsia="Times New Roman" w:cs="Arial"/>
          <w:color w:val="000000"/>
          <w:szCs w:val="24"/>
          <w:lang w:val="en-US" w:eastAsia="en-ZA"/>
        </w:rPr>
        <w:tab/>
      </w:r>
      <w:r w:rsidR="00180B8D" w:rsidRPr="00ED74CB">
        <w:rPr>
          <w:u w:val="single"/>
        </w:rPr>
        <w:t>In sum</w:t>
      </w:r>
      <w:r w:rsidR="00180B8D">
        <w:t xml:space="preserve">, the engagement was not perfect. The City can probably learn lessons from this process and engage more effectively and respectively in similar situations in the future. </w:t>
      </w:r>
      <w:r w:rsidR="009C1A88">
        <w:t xml:space="preserve">It should ideally do what it had achieved by the end of the litigation before launching. </w:t>
      </w:r>
      <w:r w:rsidR="00180B8D">
        <w:t>But it was good enough.</w:t>
      </w:r>
      <w:r w:rsidR="005E4B1E">
        <w:t xml:space="preserve"> The City informed the Occupiers what options were available, listened to their concerns about the alternative accommodation, and responded to those concerns.</w:t>
      </w:r>
      <w:r w:rsidR="000C65E2">
        <w:t xml:space="preserve"> The failure to reach agreement, and the failure to offer different alternative accommodation does not mean the engagement was not meaningful.</w:t>
      </w:r>
    </w:p>
    <w:p w14:paraId="2A8F2687" w14:textId="77777777" w:rsidR="003313FD" w:rsidRPr="003313FD" w:rsidRDefault="003313FD" w:rsidP="003313FD">
      <w:pPr>
        <w:rPr>
          <w:lang w:val="en-US"/>
        </w:rPr>
      </w:pPr>
    </w:p>
    <w:p w14:paraId="2663F989" w14:textId="2D5865C9" w:rsidR="000753ED" w:rsidRDefault="000753ED" w:rsidP="000753ED">
      <w:pPr>
        <w:pStyle w:val="Heading3"/>
      </w:pPr>
      <w:r>
        <w:lastRenderedPageBreak/>
        <w:t>W</w:t>
      </w:r>
      <w:r w:rsidR="001A235F">
        <w:t>as it Permissible to Offer Safe Spaces instead of TRAs</w:t>
      </w:r>
      <w:r>
        <w:t>?</w:t>
      </w:r>
    </w:p>
    <w:p w14:paraId="3432EE6C" w14:textId="3F74A3DD" w:rsidR="002B5A20" w:rsidRDefault="00ED74CB" w:rsidP="00ED74CB">
      <w:r>
        <w:rPr>
          <w:rFonts w:eastAsia="Times New Roman" w:cs="Arial"/>
          <w:color w:val="000000"/>
          <w:szCs w:val="24"/>
          <w:lang w:val="en-US" w:eastAsia="en-ZA"/>
        </w:rPr>
        <w:t>[130]</w:t>
      </w:r>
      <w:r>
        <w:rPr>
          <w:rFonts w:eastAsia="Times New Roman" w:cs="Arial"/>
          <w:color w:val="000000"/>
          <w:szCs w:val="24"/>
          <w:lang w:val="en-US" w:eastAsia="en-ZA"/>
        </w:rPr>
        <w:tab/>
      </w:r>
      <w:r w:rsidR="002B5A20">
        <w:t xml:space="preserve">The </w:t>
      </w:r>
      <w:r w:rsidR="00D47948">
        <w:t xml:space="preserve">Occupiers </w:t>
      </w:r>
      <w:r w:rsidR="00111B49">
        <w:t>argue that the City wrongly did not offer the Occupiers accommodation in TRAs built in terms of the E</w:t>
      </w:r>
      <w:r w:rsidR="008C03D7">
        <w:t xml:space="preserve">mergency </w:t>
      </w:r>
      <w:r w:rsidR="00111B49">
        <w:t>H</w:t>
      </w:r>
      <w:r w:rsidR="008C03D7">
        <w:t xml:space="preserve">ousing </w:t>
      </w:r>
      <w:r w:rsidR="00111B49">
        <w:t>P</w:t>
      </w:r>
      <w:r w:rsidR="008C03D7">
        <w:t>rogramme</w:t>
      </w:r>
      <w:r w:rsidR="00111B49">
        <w:t xml:space="preserve">. </w:t>
      </w:r>
      <w:r w:rsidR="003443C6">
        <w:t xml:space="preserve">The Emergency Housing Programme is part of the National Housing Code, which was adopted under the Housing Act 107 of 1997. </w:t>
      </w:r>
      <w:r w:rsidR="0099509A">
        <w:t xml:space="preserve">It provides </w:t>
      </w:r>
      <w:r w:rsidR="001B13B0">
        <w:t xml:space="preserve">for funding for municipalities who need to offer emergency housing which </w:t>
      </w:r>
      <w:r w:rsidR="00A774F5">
        <w:t>used to include large scale evictions.</w:t>
      </w:r>
      <w:r w:rsidR="0088350E">
        <w:rPr>
          <w:rStyle w:val="FootnoteReference"/>
        </w:rPr>
        <w:footnoteReference w:id="34"/>
      </w:r>
      <w:r w:rsidR="00A774F5">
        <w:t xml:space="preserve"> In practice municipalities have established semi-permanent TRAs under this programme where people who are evicted are often offered alternative accommodation.</w:t>
      </w:r>
    </w:p>
    <w:p w14:paraId="005F65C4" w14:textId="2B40597E" w:rsidR="00423EF3" w:rsidRDefault="00ED74CB" w:rsidP="00ED74CB">
      <w:r>
        <w:rPr>
          <w:rFonts w:eastAsia="Times New Roman" w:cs="Arial"/>
          <w:color w:val="000000"/>
          <w:szCs w:val="24"/>
          <w:lang w:val="en-US" w:eastAsia="en-ZA"/>
        </w:rPr>
        <w:t>[131]</w:t>
      </w:r>
      <w:r>
        <w:rPr>
          <w:rFonts w:eastAsia="Times New Roman" w:cs="Arial"/>
          <w:color w:val="000000"/>
          <w:szCs w:val="24"/>
          <w:lang w:val="en-US" w:eastAsia="en-ZA"/>
        </w:rPr>
        <w:tab/>
      </w:r>
      <w:r w:rsidR="003443C6">
        <w:t xml:space="preserve">The argument is that what the Occupiers really want is a house of their own, not temporary shelter in Safe Spaces. </w:t>
      </w:r>
      <w:r w:rsidR="00476DDB">
        <w:t>As I understood it, the argument was not</w:t>
      </w:r>
      <w:r w:rsidR="00D13C7A">
        <w:t xml:space="preserve"> that the City was obliged to comply with the provisions for emergency housing under the </w:t>
      </w:r>
      <w:r w:rsidR="00E37602">
        <w:t xml:space="preserve">National Housing Code in the sense that it was legally precluded from offering anything else. That argument would be inconsistent with the Constitutional Court’s holding in </w:t>
      </w:r>
      <w:r w:rsidR="00E37602" w:rsidRPr="00ED74CB">
        <w:rPr>
          <w:i/>
          <w:iCs/>
        </w:rPr>
        <w:t>Dladla</w:t>
      </w:r>
      <w:bookmarkStart w:id="6" w:name="_Ref169526450"/>
      <w:r w:rsidR="00986A8E">
        <w:rPr>
          <w:rStyle w:val="FootnoteReference"/>
          <w:i/>
          <w:iCs/>
        </w:rPr>
        <w:footnoteReference w:id="35"/>
      </w:r>
      <w:bookmarkEnd w:id="6"/>
      <w:r w:rsidR="00E37602">
        <w:t xml:space="preserve"> which I discuss below. It would also seem to me to be inconsistent with the underlying constitutional obligation to act reasonably. </w:t>
      </w:r>
      <w:r w:rsidR="00400676">
        <w:t>The E</w:t>
      </w:r>
      <w:r w:rsidR="00C15D43">
        <w:t xml:space="preserve">mergency </w:t>
      </w:r>
      <w:r w:rsidR="00400676">
        <w:t>HP sets a baseline or standard that can be accepted as reasonable unless and until it is challenged.</w:t>
      </w:r>
      <w:r w:rsidR="0086054A">
        <w:t xml:space="preserve"> It does not preclude other measures that are also reasonable.</w:t>
      </w:r>
    </w:p>
    <w:p w14:paraId="73C1DC44" w14:textId="47F034F9" w:rsidR="00910865" w:rsidRDefault="00ED74CB" w:rsidP="00ED74CB">
      <w:r>
        <w:rPr>
          <w:rFonts w:eastAsia="Times New Roman" w:cs="Arial"/>
          <w:color w:val="000000"/>
          <w:szCs w:val="24"/>
          <w:lang w:val="en-US" w:eastAsia="en-ZA"/>
        </w:rPr>
        <w:t>[132]</w:t>
      </w:r>
      <w:r>
        <w:rPr>
          <w:rFonts w:eastAsia="Times New Roman" w:cs="Arial"/>
          <w:color w:val="000000"/>
          <w:szCs w:val="24"/>
          <w:lang w:val="en-US" w:eastAsia="en-ZA"/>
        </w:rPr>
        <w:tab/>
      </w:r>
      <w:r w:rsidR="0086054A">
        <w:t>Rather, the</w:t>
      </w:r>
      <w:r w:rsidR="0099509A">
        <w:t xml:space="preserve"> Occupiers contended</w:t>
      </w:r>
      <w:r w:rsidR="0086054A">
        <w:t xml:space="preserve"> that the offer of places in the Safe Spaces alone was not reasonable </w:t>
      </w:r>
      <w:r w:rsidR="00722927">
        <w:t>because the City had not explained why</w:t>
      </w:r>
      <w:r w:rsidR="00947401">
        <w:t xml:space="preserve"> the Occupiers</w:t>
      </w:r>
      <w:r w:rsidR="00722927">
        <w:t xml:space="preserve"> could not be accommodated</w:t>
      </w:r>
      <w:r w:rsidR="00947401">
        <w:t xml:space="preserve"> in houses built in terms of the EHP. </w:t>
      </w:r>
    </w:p>
    <w:p w14:paraId="28662206" w14:textId="35D39907" w:rsidR="00910865" w:rsidRDefault="00ED74CB" w:rsidP="00ED74CB">
      <w:r>
        <w:rPr>
          <w:rFonts w:eastAsia="Times New Roman" w:cs="Arial"/>
          <w:color w:val="000000"/>
          <w:szCs w:val="24"/>
          <w:lang w:val="en-US" w:eastAsia="en-ZA"/>
        </w:rPr>
        <w:lastRenderedPageBreak/>
        <w:t>[133]</w:t>
      </w:r>
      <w:r>
        <w:rPr>
          <w:rFonts w:eastAsia="Times New Roman" w:cs="Arial"/>
          <w:color w:val="000000"/>
          <w:szCs w:val="24"/>
          <w:lang w:val="en-US" w:eastAsia="en-ZA"/>
        </w:rPr>
        <w:tab/>
      </w:r>
      <w:r w:rsidR="00474CDD">
        <w:t xml:space="preserve">The City’s answer was that accommodating the Occupiers in TRAs was neither possible nor desirable. </w:t>
      </w:r>
      <w:r w:rsidR="00910865">
        <w:t>The City argued, first, that there were</w:t>
      </w:r>
      <w:r w:rsidR="00474CDD">
        <w:t xml:space="preserve"> no spaces available in the TRAs</w:t>
      </w:r>
      <w:r w:rsidR="00910865">
        <w:t xml:space="preserve">. This </w:t>
      </w:r>
      <w:r w:rsidR="00A77B05">
        <w:t xml:space="preserve">on its own </w:t>
      </w:r>
      <w:r w:rsidR="00910865">
        <w:t>is not a compelling answer; an eviction could always be delayed until those spaces became available as courts often do.</w:t>
      </w:r>
    </w:p>
    <w:p w14:paraId="3490E9D1" w14:textId="0677C1F3" w:rsidR="0086054A" w:rsidRDefault="00ED74CB" w:rsidP="00ED74CB">
      <w:r>
        <w:rPr>
          <w:rFonts w:eastAsia="Times New Roman" w:cs="Arial"/>
          <w:color w:val="000000"/>
          <w:szCs w:val="24"/>
          <w:lang w:val="en-US" w:eastAsia="en-ZA"/>
        </w:rPr>
        <w:t>[134]</w:t>
      </w:r>
      <w:r>
        <w:rPr>
          <w:rFonts w:eastAsia="Times New Roman" w:cs="Arial"/>
          <w:color w:val="000000"/>
          <w:szCs w:val="24"/>
          <w:lang w:val="en-US" w:eastAsia="en-ZA"/>
        </w:rPr>
        <w:tab/>
      </w:r>
      <w:r w:rsidR="00910865">
        <w:t>But the City’s other answer is compelling</w:t>
      </w:r>
      <w:r w:rsidR="007A122D">
        <w:t xml:space="preserve">. </w:t>
      </w:r>
      <w:r w:rsidR="00722927">
        <w:t xml:space="preserve">Accommodation under the EHP </w:t>
      </w:r>
      <w:r w:rsidR="007A122D">
        <w:t xml:space="preserve">is </w:t>
      </w:r>
      <w:r w:rsidR="00722927">
        <w:t>not</w:t>
      </w:r>
      <w:r w:rsidR="00474CDD">
        <w:t xml:space="preserve"> desirable </w:t>
      </w:r>
      <w:r w:rsidR="007A122D">
        <w:t xml:space="preserve">for these occupiers </w:t>
      </w:r>
      <w:r w:rsidR="00474CDD">
        <w:t xml:space="preserve">because </w:t>
      </w:r>
      <w:r w:rsidR="00D04774">
        <w:t>TRAs are far from the CBD and employment, and offer none of the additional material or developmental services available at the Safe Spaces.</w:t>
      </w:r>
      <w:r w:rsidR="00722927">
        <w:t xml:space="preserve"> </w:t>
      </w:r>
      <w:r w:rsidR="00574CDB">
        <w:t>There are no TRAs in the inner City, the City does not plan to build any, and does not have the resources to do so.</w:t>
      </w:r>
      <w:r w:rsidR="00150AA7">
        <w:t xml:space="preserve"> The City – following the warning in </w:t>
      </w:r>
      <w:r w:rsidR="00150AA7" w:rsidRPr="00ED74CB">
        <w:rPr>
          <w:i/>
          <w:iCs/>
        </w:rPr>
        <w:t>Blue Moonlight</w:t>
      </w:r>
      <w:r w:rsidR="00A6059E">
        <w:rPr>
          <w:rStyle w:val="FootnoteReference"/>
          <w:i/>
          <w:iCs/>
        </w:rPr>
        <w:footnoteReference w:id="36"/>
      </w:r>
      <w:r w:rsidR="00150AA7" w:rsidRPr="00ED74CB">
        <w:rPr>
          <w:i/>
          <w:iCs/>
        </w:rPr>
        <w:t xml:space="preserve"> </w:t>
      </w:r>
      <w:r w:rsidR="00150AA7">
        <w:t xml:space="preserve">– provided details of its available funds to show </w:t>
      </w:r>
      <w:r w:rsidR="00A6059E">
        <w:t xml:space="preserve">why it could not provide temporary accommodation in the CBD other than the safe spaces. </w:t>
      </w:r>
    </w:p>
    <w:p w14:paraId="5A4E4B81" w14:textId="3BE12A39" w:rsidR="00527ADF" w:rsidRDefault="00ED74CB" w:rsidP="00ED74CB">
      <w:r>
        <w:rPr>
          <w:rFonts w:eastAsia="Times New Roman" w:cs="Arial"/>
          <w:color w:val="000000"/>
          <w:szCs w:val="24"/>
          <w:lang w:val="en-US" w:eastAsia="en-ZA"/>
        </w:rPr>
        <w:t>[135]</w:t>
      </w:r>
      <w:r>
        <w:rPr>
          <w:rFonts w:eastAsia="Times New Roman" w:cs="Arial"/>
          <w:color w:val="000000"/>
          <w:szCs w:val="24"/>
          <w:lang w:val="en-US" w:eastAsia="en-ZA"/>
        </w:rPr>
        <w:tab/>
      </w:r>
      <w:r w:rsidR="00574CDB">
        <w:t>The City’s po</w:t>
      </w:r>
      <w:r w:rsidR="00AD49F8">
        <w:t xml:space="preserve">licy </w:t>
      </w:r>
      <w:r w:rsidR="00574CDB">
        <w:t xml:space="preserve">of </w:t>
      </w:r>
      <w:r w:rsidR="00527ADF">
        <w:t xml:space="preserve">not providing </w:t>
      </w:r>
      <w:r w:rsidR="00AD49F8">
        <w:t xml:space="preserve">“ordinary” </w:t>
      </w:r>
      <w:r w:rsidR="00527ADF">
        <w:t>alternative accommodation in the inner City</w:t>
      </w:r>
      <w:r w:rsidR="00AD49F8">
        <w:t xml:space="preserve"> </w:t>
      </w:r>
      <w:r w:rsidR="00527ADF">
        <w:t xml:space="preserve">was recently upheld by the Supreme Court of Appeal in </w:t>
      </w:r>
      <w:r w:rsidR="00527ADF" w:rsidRPr="00ED74CB">
        <w:rPr>
          <w:i/>
          <w:iCs/>
        </w:rPr>
        <w:t>Commando</w:t>
      </w:r>
      <w:r w:rsidR="00527ADF">
        <w:t>.</w:t>
      </w:r>
      <w:r w:rsidR="00527ADF">
        <w:rPr>
          <w:rStyle w:val="FootnoteReference"/>
        </w:rPr>
        <w:footnoteReference w:id="37"/>
      </w:r>
      <w:r w:rsidR="00527ADF">
        <w:t xml:space="preserve"> A group of people who faced eviction from Woodstock challenged the reasonableness of the City’s offer of alternative accommodation at Wolwerivier. The Supreme Court of Appeal reversed a decision of this Court</w:t>
      </w:r>
      <w:r w:rsidR="00527ADF">
        <w:rPr>
          <w:rStyle w:val="FootnoteReference"/>
        </w:rPr>
        <w:footnoteReference w:id="38"/>
      </w:r>
      <w:r w:rsidR="00527ADF">
        <w:t xml:space="preserve"> that the offer and the City’s underlying policy was unreasonable. Mabindla-Boqwana JA held: “</w:t>
      </w:r>
      <w:r w:rsidR="00527ADF" w:rsidRPr="00EE4A58">
        <w:t xml:space="preserve">The fact that no provision is made </w:t>
      </w:r>
      <w:r w:rsidR="00527ADF" w:rsidRPr="00EE4A58">
        <w:lastRenderedPageBreak/>
        <w:t xml:space="preserve">for </w:t>
      </w:r>
      <w:r w:rsidR="00527ADF">
        <w:t xml:space="preserve">… </w:t>
      </w:r>
      <w:r w:rsidR="00527ADF" w:rsidRPr="00EE4A58">
        <w:t>emergency housing needs in the inner city, does not render the choices made by the City irrational or unreasonable.</w:t>
      </w:r>
      <w:r w:rsidR="00527ADF">
        <w:t>”</w:t>
      </w:r>
      <w:r w:rsidR="00527ADF">
        <w:rPr>
          <w:rStyle w:val="FootnoteReference"/>
        </w:rPr>
        <w:footnoteReference w:id="39"/>
      </w:r>
    </w:p>
    <w:p w14:paraId="695CD1A0" w14:textId="5C8E5086" w:rsidR="004F55B8" w:rsidRDefault="00ED74CB" w:rsidP="00ED74CB">
      <w:r>
        <w:rPr>
          <w:rFonts w:eastAsia="Times New Roman" w:cs="Arial"/>
          <w:color w:val="000000"/>
          <w:szCs w:val="24"/>
          <w:lang w:val="en-US" w:eastAsia="en-ZA"/>
        </w:rPr>
        <w:t>[136]</w:t>
      </w:r>
      <w:r>
        <w:rPr>
          <w:rFonts w:eastAsia="Times New Roman" w:cs="Arial"/>
          <w:color w:val="000000"/>
          <w:szCs w:val="24"/>
          <w:lang w:val="en-US" w:eastAsia="en-ZA"/>
        </w:rPr>
        <w:tab/>
      </w:r>
      <w:r w:rsidR="005F19B6">
        <w:t xml:space="preserve">The Occupiers’ position is somewhat </w:t>
      </w:r>
      <w:r w:rsidR="00563CDD">
        <w:t xml:space="preserve">ambiguous. On the one hand they claim they just want to be offered a place in </w:t>
      </w:r>
      <w:r w:rsidR="00B27F7A">
        <w:t>a</w:t>
      </w:r>
      <w:r w:rsidR="00563CDD">
        <w:t xml:space="preserve"> TRA. But the deponent to the answering affidavit makes it clear that what they really want is </w:t>
      </w:r>
      <w:r w:rsidR="001352D4">
        <w:t>“</w:t>
      </w:r>
      <w:r w:rsidR="001352D4" w:rsidRPr="00ED74CB">
        <w:rPr>
          <w:u w:val="single"/>
        </w:rPr>
        <w:t>well-located</w:t>
      </w:r>
      <w:r w:rsidR="001352D4" w:rsidRPr="001352D4">
        <w:t xml:space="preserve"> affordable housing</w:t>
      </w:r>
      <w:r w:rsidR="001352D4">
        <w:t>”. But that is simply not on the table</w:t>
      </w:r>
      <w:r w:rsidR="004F55B8">
        <w:t>.</w:t>
      </w:r>
      <w:r w:rsidR="00911A9F">
        <w:t xml:space="preserve"> </w:t>
      </w:r>
      <w:r w:rsidR="004F55B8">
        <w:t xml:space="preserve">The Occupiers have not directly attacked the City’s policy of not offering </w:t>
      </w:r>
      <w:r w:rsidR="00236560">
        <w:t xml:space="preserve">temporary EHP housing in the inner city, and I would in any event be bound by the judgment in </w:t>
      </w:r>
      <w:r w:rsidR="00236560" w:rsidRPr="00ED74CB">
        <w:rPr>
          <w:i/>
          <w:iCs/>
        </w:rPr>
        <w:t>Commando</w:t>
      </w:r>
      <w:r w:rsidR="002700FA" w:rsidRPr="00ED74CB">
        <w:rPr>
          <w:i/>
          <w:iCs/>
        </w:rPr>
        <w:t xml:space="preserve"> </w:t>
      </w:r>
      <w:r w:rsidR="002700FA">
        <w:t>that holds it is not obliged to do so</w:t>
      </w:r>
      <w:r w:rsidR="00236560">
        <w:t>.</w:t>
      </w:r>
    </w:p>
    <w:p w14:paraId="4F4ECF46" w14:textId="6102954A" w:rsidR="007F3B30" w:rsidRDefault="00ED74CB" w:rsidP="00ED74CB">
      <w:r>
        <w:rPr>
          <w:rFonts w:eastAsia="Times New Roman" w:cs="Arial"/>
          <w:color w:val="000000"/>
          <w:szCs w:val="24"/>
          <w:lang w:val="en-US" w:eastAsia="en-ZA"/>
        </w:rPr>
        <w:t>[137]</w:t>
      </w:r>
      <w:r>
        <w:rPr>
          <w:rFonts w:eastAsia="Times New Roman" w:cs="Arial"/>
          <w:color w:val="000000"/>
          <w:szCs w:val="24"/>
          <w:lang w:val="en-US" w:eastAsia="en-ZA"/>
        </w:rPr>
        <w:tab/>
      </w:r>
      <w:r w:rsidR="00047748">
        <w:t>The question is whether the safe spaces are suitable alternative accommodation or not. That must obviously be assessed while considering what else might be available. But the only</w:t>
      </w:r>
      <w:r w:rsidR="00C743CB">
        <w:t xml:space="preserve"> other</w:t>
      </w:r>
      <w:r w:rsidR="00047748">
        <w:t xml:space="preserve"> option any of the parties identified is TRAs under the EHP that are far from the City centre and which </w:t>
      </w:r>
      <w:r w:rsidR="00A21087">
        <w:t xml:space="preserve">the Occupiers themselves accept </w:t>
      </w:r>
      <w:r w:rsidR="00047748">
        <w:t xml:space="preserve">would not meet </w:t>
      </w:r>
      <w:r w:rsidR="00A21087">
        <w:t xml:space="preserve">their </w:t>
      </w:r>
      <w:r w:rsidR="00684A70">
        <w:t xml:space="preserve">needs. </w:t>
      </w:r>
    </w:p>
    <w:p w14:paraId="5B5F56A9" w14:textId="182439D8" w:rsidR="004F7D2B" w:rsidRPr="00F6502A" w:rsidRDefault="00ED74CB" w:rsidP="00ED74CB">
      <w:r w:rsidRPr="00F6502A">
        <w:rPr>
          <w:rFonts w:eastAsia="Times New Roman" w:cs="Arial"/>
          <w:color w:val="000000"/>
          <w:szCs w:val="24"/>
          <w:lang w:val="en-US" w:eastAsia="en-ZA"/>
        </w:rPr>
        <w:t>[138]</w:t>
      </w:r>
      <w:r w:rsidRPr="00F6502A">
        <w:rPr>
          <w:rFonts w:eastAsia="Times New Roman" w:cs="Arial"/>
          <w:color w:val="000000"/>
          <w:szCs w:val="24"/>
          <w:lang w:val="en-US" w:eastAsia="en-ZA"/>
        </w:rPr>
        <w:tab/>
      </w:r>
      <w:r w:rsidR="007F3B30">
        <w:t>Even if it was offered, the Occupiers</w:t>
      </w:r>
      <w:r w:rsidR="00684A70">
        <w:t xml:space="preserve"> would</w:t>
      </w:r>
      <w:r w:rsidR="007F3B30">
        <w:t xml:space="preserve"> be unlikely to remain</w:t>
      </w:r>
      <w:r w:rsidR="00684A70">
        <w:t xml:space="preserve"> so far from the CBD</w:t>
      </w:r>
      <w:r w:rsidR="008C0FE2">
        <w:t>. They would</w:t>
      </w:r>
      <w:r w:rsidR="00684A70">
        <w:t xml:space="preserve"> </w:t>
      </w:r>
      <w:r w:rsidR="00803FD3">
        <w:t xml:space="preserve">have no choice but to </w:t>
      </w:r>
      <w:r w:rsidR="007F3B30">
        <w:t>return</w:t>
      </w:r>
      <w:r w:rsidR="00B76F8C">
        <w:t>, still with no accommodation</w:t>
      </w:r>
      <w:r w:rsidR="008C0FE2">
        <w:t xml:space="preserve"> </w:t>
      </w:r>
      <w:r w:rsidR="00803FD3">
        <w:t>other than on</w:t>
      </w:r>
      <w:r w:rsidR="008C0FE2">
        <w:t xml:space="preserve"> the pavements</w:t>
      </w:r>
      <w:r w:rsidR="007F3B30">
        <w:t>. That outcome would serve nobody.</w:t>
      </w:r>
      <w:r w:rsidR="00684A70">
        <w:t xml:space="preserve"> The City’s goal </w:t>
      </w:r>
      <w:r w:rsidR="0057259E">
        <w:t>of</w:t>
      </w:r>
      <w:r w:rsidR="00684A70">
        <w:t xml:space="preserve"> offering the safe spaces is to avoid that cycle.</w:t>
      </w:r>
      <w:r w:rsidR="00047748">
        <w:t xml:space="preserve"> </w:t>
      </w:r>
      <w:r w:rsidR="007F3B30">
        <w:t xml:space="preserve">They were entitled to make that offer. The question </w:t>
      </w:r>
      <w:r w:rsidR="00150AA7">
        <w:t>is whether it was reasonable.</w:t>
      </w:r>
    </w:p>
    <w:p w14:paraId="2A9165A1" w14:textId="77777777" w:rsidR="002B5A20" w:rsidRPr="002B5A20" w:rsidRDefault="002B5A20" w:rsidP="002B5A20">
      <w:pPr>
        <w:rPr>
          <w:lang w:val="en-US"/>
        </w:rPr>
      </w:pPr>
    </w:p>
    <w:p w14:paraId="3CACCCE0" w14:textId="21DA218C" w:rsidR="000753ED" w:rsidRDefault="000753ED" w:rsidP="000753ED">
      <w:pPr>
        <w:pStyle w:val="Heading3"/>
      </w:pPr>
      <w:r>
        <w:lastRenderedPageBreak/>
        <w:t>Are the Safe Spaces Reasonable Alternative Accommodation?</w:t>
      </w:r>
    </w:p>
    <w:p w14:paraId="57255BE1" w14:textId="6381BA29" w:rsidR="006E6910" w:rsidRDefault="00ED74CB" w:rsidP="00ED74CB">
      <w:r>
        <w:rPr>
          <w:rFonts w:eastAsia="Times New Roman" w:cs="Arial"/>
          <w:color w:val="000000"/>
          <w:szCs w:val="24"/>
          <w:lang w:val="en-US" w:eastAsia="en-ZA"/>
        </w:rPr>
        <w:t>[139]</w:t>
      </w:r>
      <w:r>
        <w:rPr>
          <w:rFonts w:eastAsia="Times New Roman" w:cs="Arial"/>
          <w:color w:val="000000"/>
          <w:szCs w:val="24"/>
          <w:lang w:val="en-US" w:eastAsia="en-ZA"/>
        </w:rPr>
        <w:tab/>
      </w:r>
      <w:r w:rsidR="006E6910">
        <w:t xml:space="preserve">The City meaningfully engaged, and is not bound to offer only </w:t>
      </w:r>
      <w:r w:rsidR="00C743CB">
        <w:t xml:space="preserve">housing under </w:t>
      </w:r>
      <w:r w:rsidR="006E6910">
        <w:t xml:space="preserve">the EHP. But is the offer that it made – </w:t>
      </w:r>
      <w:r w:rsidR="003E7D11">
        <w:t>S</w:t>
      </w:r>
      <w:r w:rsidR="006E6910">
        <w:t xml:space="preserve">afe </w:t>
      </w:r>
      <w:r w:rsidR="003E7D11">
        <w:t>S</w:t>
      </w:r>
      <w:r w:rsidR="006E6910">
        <w:t xml:space="preserve">pace </w:t>
      </w:r>
      <w:r w:rsidR="003E7D11">
        <w:t>1 in</w:t>
      </w:r>
      <w:r w:rsidR="006E6910">
        <w:t xml:space="preserve"> Culemborg – reasonable? That question raises the following subsidiary issues:</w:t>
      </w:r>
    </w:p>
    <w:p w14:paraId="6CD73CF5" w14:textId="08763AE2" w:rsidR="00113D9E" w:rsidRDefault="00ED74CB" w:rsidP="00ED74CB">
      <w:pPr>
        <w:ind w:left="1800" w:hanging="1080"/>
      </w:pPr>
      <w:r>
        <w:rPr>
          <w:rFonts w:eastAsia="Times New Roman" w:cs="Arial"/>
          <w:color w:val="000000"/>
          <w:szCs w:val="24"/>
          <w:lang w:val="en-US" w:eastAsia="en-ZA"/>
        </w:rPr>
        <w:t>[139.1]</w:t>
      </w:r>
      <w:r>
        <w:rPr>
          <w:rFonts w:eastAsia="Times New Roman" w:cs="Arial"/>
          <w:color w:val="000000"/>
          <w:szCs w:val="24"/>
          <w:lang w:val="en-US" w:eastAsia="en-ZA"/>
        </w:rPr>
        <w:tab/>
      </w:r>
      <w:r w:rsidR="00887056">
        <w:t xml:space="preserve">What is </w:t>
      </w:r>
      <w:r w:rsidR="00113D9E">
        <w:t>he standard of</w:t>
      </w:r>
      <w:r w:rsidR="00113D9E" w:rsidRPr="00581E1E">
        <w:t xml:space="preserve"> adequate alternative accommodation</w:t>
      </w:r>
      <w:r w:rsidR="00887056">
        <w:t>?</w:t>
      </w:r>
    </w:p>
    <w:p w14:paraId="526DC8C1" w14:textId="3C070AD7" w:rsidR="006E6910" w:rsidRDefault="00ED74CB" w:rsidP="00ED74CB">
      <w:pPr>
        <w:ind w:left="1800" w:hanging="1080"/>
      </w:pPr>
      <w:r>
        <w:rPr>
          <w:rFonts w:eastAsia="Times New Roman" w:cs="Arial"/>
          <w:color w:val="000000"/>
          <w:szCs w:val="24"/>
          <w:lang w:val="en-US" w:eastAsia="en-ZA"/>
        </w:rPr>
        <w:t>[139.2]</w:t>
      </w:r>
      <w:r>
        <w:rPr>
          <w:rFonts w:eastAsia="Times New Roman" w:cs="Arial"/>
          <w:color w:val="000000"/>
          <w:szCs w:val="24"/>
          <w:lang w:val="en-US" w:eastAsia="en-ZA"/>
        </w:rPr>
        <w:tab/>
      </w:r>
      <w:r w:rsidR="00C91B29">
        <w:t>Is the standard different for people who are already homeless</w:t>
      </w:r>
      <w:r w:rsidR="006E6910">
        <w:t>?</w:t>
      </w:r>
    </w:p>
    <w:p w14:paraId="30F5D164" w14:textId="1E5414C2" w:rsidR="00581E1E" w:rsidRDefault="00ED74CB" w:rsidP="00ED74CB">
      <w:pPr>
        <w:ind w:left="1800" w:hanging="1080"/>
      </w:pPr>
      <w:r>
        <w:rPr>
          <w:rFonts w:eastAsia="Times New Roman" w:cs="Arial"/>
          <w:color w:val="000000"/>
          <w:szCs w:val="24"/>
          <w:lang w:val="en-US" w:eastAsia="en-ZA"/>
        </w:rPr>
        <w:t>[139.3]</w:t>
      </w:r>
      <w:r>
        <w:rPr>
          <w:rFonts w:eastAsia="Times New Roman" w:cs="Arial"/>
          <w:color w:val="000000"/>
          <w:szCs w:val="24"/>
          <w:lang w:val="en-US" w:eastAsia="en-ZA"/>
        </w:rPr>
        <w:tab/>
      </w:r>
      <w:r w:rsidR="00581E1E">
        <w:t>Is it permissible for the occupiers to challenge the physical infrastructure of the safe spaces?</w:t>
      </w:r>
    </w:p>
    <w:p w14:paraId="552559C0" w14:textId="316D1919" w:rsidR="006E6910" w:rsidRDefault="00ED74CB" w:rsidP="00ED74CB">
      <w:pPr>
        <w:ind w:left="1800" w:hanging="1080"/>
      </w:pPr>
      <w:r>
        <w:rPr>
          <w:rFonts w:eastAsia="Times New Roman" w:cs="Arial"/>
          <w:color w:val="000000"/>
          <w:szCs w:val="24"/>
          <w:lang w:val="en-US" w:eastAsia="en-ZA"/>
        </w:rPr>
        <w:t>[139.4]</w:t>
      </w:r>
      <w:r>
        <w:rPr>
          <w:rFonts w:eastAsia="Times New Roman" w:cs="Arial"/>
          <w:color w:val="000000"/>
          <w:szCs w:val="24"/>
          <w:lang w:val="en-US" w:eastAsia="en-ZA"/>
        </w:rPr>
        <w:tab/>
      </w:r>
      <w:r w:rsidR="006E6910">
        <w:t xml:space="preserve">What </w:t>
      </w:r>
      <w:r w:rsidR="00581E1E">
        <w:t xml:space="preserve">did the Constitutional Court decide </w:t>
      </w:r>
      <w:r w:rsidR="006E6910">
        <w:t xml:space="preserve">in </w:t>
      </w:r>
      <w:r w:rsidR="006E6910" w:rsidRPr="00ED74CB">
        <w:rPr>
          <w:i/>
          <w:iCs/>
        </w:rPr>
        <w:t>Dladla</w:t>
      </w:r>
      <w:r w:rsidR="006E6910">
        <w:t>?</w:t>
      </w:r>
    </w:p>
    <w:p w14:paraId="6DB5C102" w14:textId="64E680F4" w:rsidR="006E6910" w:rsidRDefault="00ED74CB" w:rsidP="00ED74CB">
      <w:pPr>
        <w:ind w:left="1800" w:hanging="1080"/>
      </w:pPr>
      <w:r>
        <w:rPr>
          <w:rFonts w:eastAsia="Times New Roman" w:cs="Arial"/>
          <w:color w:val="000000"/>
          <w:szCs w:val="24"/>
          <w:lang w:val="en-US" w:eastAsia="en-ZA"/>
        </w:rPr>
        <w:t>[139.5]</w:t>
      </w:r>
      <w:r>
        <w:rPr>
          <w:rFonts w:eastAsia="Times New Roman" w:cs="Arial"/>
          <w:color w:val="000000"/>
          <w:szCs w:val="24"/>
          <w:lang w:val="en-US" w:eastAsia="en-ZA"/>
        </w:rPr>
        <w:tab/>
      </w:r>
      <w:r w:rsidR="006E6910">
        <w:t>Are the Occupiers’ complaints about the rules imposed at the safe spaces valid?</w:t>
      </w:r>
    </w:p>
    <w:p w14:paraId="7EF3FF61" w14:textId="77777777" w:rsidR="006E6910" w:rsidRDefault="006E6910" w:rsidP="006E6910"/>
    <w:p w14:paraId="07B2B3F3" w14:textId="2AFDFDD4" w:rsidR="00113D9E" w:rsidRDefault="00581E1E" w:rsidP="00581E1E">
      <w:pPr>
        <w:pStyle w:val="Heading4"/>
      </w:pPr>
      <w:r>
        <w:t>Adequate Alternative Accommodation</w:t>
      </w:r>
    </w:p>
    <w:p w14:paraId="1F540D88" w14:textId="2FF96B71" w:rsidR="00581E1E" w:rsidRDefault="00ED74CB" w:rsidP="00ED74CB">
      <w:r>
        <w:rPr>
          <w:rFonts w:eastAsia="Times New Roman" w:cs="Arial"/>
          <w:color w:val="000000"/>
          <w:szCs w:val="24"/>
          <w:lang w:val="en-US" w:eastAsia="en-ZA"/>
        </w:rPr>
        <w:t>[140]</w:t>
      </w:r>
      <w:r>
        <w:rPr>
          <w:rFonts w:eastAsia="Times New Roman" w:cs="Arial"/>
          <w:color w:val="000000"/>
          <w:szCs w:val="24"/>
          <w:lang w:val="en-US" w:eastAsia="en-ZA"/>
        </w:rPr>
        <w:tab/>
      </w:r>
      <w:r w:rsidR="00581E1E">
        <w:t>Our courts consistently require “suitable” or “adequate” alternative accommodation as a condition for eviction of people who face the risk of homelessness.</w:t>
      </w:r>
      <w:r w:rsidR="00A34463">
        <w:t xml:space="preserve"> But what makes alternative accommodation “adequate”?</w:t>
      </w:r>
    </w:p>
    <w:p w14:paraId="60E16A7B" w14:textId="19CBF599" w:rsidR="00E767E9" w:rsidRDefault="00ED74CB" w:rsidP="00ED74CB">
      <w:r>
        <w:rPr>
          <w:rFonts w:eastAsia="Times New Roman" w:cs="Arial"/>
          <w:color w:val="000000"/>
          <w:szCs w:val="24"/>
          <w:lang w:val="en-US" w:eastAsia="en-ZA"/>
        </w:rPr>
        <w:t>[141]</w:t>
      </w:r>
      <w:r>
        <w:rPr>
          <w:rFonts w:eastAsia="Times New Roman" w:cs="Arial"/>
          <w:color w:val="000000"/>
          <w:szCs w:val="24"/>
          <w:lang w:val="en-US" w:eastAsia="en-ZA"/>
        </w:rPr>
        <w:tab/>
      </w:r>
      <w:r w:rsidR="00C560D3">
        <w:t>The first point to make is that</w:t>
      </w:r>
      <w:r w:rsidR="00E767E9" w:rsidRPr="00E767E9">
        <w:t xml:space="preserve"> </w:t>
      </w:r>
      <w:r w:rsidR="006537AE">
        <w:t xml:space="preserve">what is adequate accommodation extends beyond merely the physical </w:t>
      </w:r>
      <w:r w:rsidR="00263DDD">
        <w:t>attributes of the structure.</w:t>
      </w:r>
      <w:r w:rsidR="006A6369">
        <w:t xml:space="preserve"> As the International Committee on Economic, Cultural and Social Rights has held, the right to adequate housing </w:t>
      </w:r>
      <w:r w:rsidR="00092F55">
        <w:t xml:space="preserve">should not be </w:t>
      </w:r>
      <w:r w:rsidR="004A6FC5">
        <w:t>equated with the “</w:t>
      </w:r>
      <w:r w:rsidR="006A6369" w:rsidRPr="006A6369">
        <w:t>shelter provided by merely having a roof over one’s head</w:t>
      </w:r>
      <w:r w:rsidR="004A6FC5">
        <w:t xml:space="preserve"> … . </w:t>
      </w:r>
      <w:r w:rsidR="006A6369" w:rsidRPr="006A6369">
        <w:t xml:space="preserve">Rather it should be seen as the right to live somewhere in security, peace and </w:t>
      </w:r>
      <w:r w:rsidR="006A6369" w:rsidRPr="006A6369">
        <w:lastRenderedPageBreak/>
        <w:t>dignity.</w:t>
      </w:r>
      <w:r w:rsidR="004A6FC5">
        <w:t>”</w:t>
      </w:r>
      <w:bookmarkStart w:id="7" w:name="_Ref169525666"/>
      <w:r w:rsidR="00A02A5C">
        <w:rPr>
          <w:rStyle w:val="FootnoteReference"/>
        </w:rPr>
        <w:footnoteReference w:id="40"/>
      </w:r>
      <w:bookmarkEnd w:id="7"/>
      <w:r w:rsidR="004A6FC5">
        <w:t xml:space="preserve"> The consequence is that what is adequate has a range of elements</w:t>
      </w:r>
      <w:r w:rsidR="00A02A5C">
        <w:t>, including</w:t>
      </w:r>
      <w:r w:rsidR="004A6FC5">
        <w:t xml:space="preserve"> security of tenure, availability of services, </w:t>
      </w:r>
      <w:r w:rsidR="006A6503">
        <w:t>habitability, accessibility</w:t>
      </w:r>
      <w:r w:rsidR="00A02A5C">
        <w:t xml:space="preserve"> and location.</w:t>
      </w:r>
      <w:r w:rsidR="00A02A5C">
        <w:rPr>
          <w:rStyle w:val="FootnoteReference"/>
        </w:rPr>
        <w:footnoteReference w:id="41"/>
      </w:r>
    </w:p>
    <w:p w14:paraId="3992719C" w14:textId="01316822" w:rsidR="003C4CE6" w:rsidRDefault="00ED74CB" w:rsidP="00ED74CB">
      <w:r>
        <w:rPr>
          <w:rFonts w:eastAsia="Times New Roman" w:cs="Arial"/>
          <w:color w:val="000000"/>
          <w:szCs w:val="24"/>
          <w:lang w:val="en-US" w:eastAsia="en-ZA"/>
        </w:rPr>
        <w:t>[142]</w:t>
      </w:r>
      <w:r>
        <w:rPr>
          <w:rFonts w:eastAsia="Times New Roman" w:cs="Arial"/>
          <w:color w:val="000000"/>
          <w:szCs w:val="24"/>
          <w:lang w:val="en-US" w:eastAsia="en-ZA"/>
        </w:rPr>
        <w:tab/>
      </w:r>
      <w:r w:rsidR="00E767E9">
        <w:t>The second point is that</w:t>
      </w:r>
      <w:r w:rsidR="00C560D3">
        <w:t xml:space="preserve"> there is a difference between temporary and permanent accommodation. “[E]</w:t>
      </w:r>
      <w:r w:rsidR="003C4CE6" w:rsidRPr="003C4CE6">
        <w:t>mergency accommodation by its very nature will invariably fall short of the standards reasonably expected of permanent housing accommodation</w:t>
      </w:r>
      <w:r w:rsidR="00287CED">
        <w:t>”.</w:t>
      </w:r>
      <w:r w:rsidR="00676940">
        <w:rPr>
          <w:rStyle w:val="FootnoteReference"/>
        </w:rPr>
        <w:footnoteReference w:id="42"/>
      </w:r>
      <w:r w:rsidR="00287CED">
        <w:t xml:space="preserve"> The consequence is that “</w:t>
      </w:r>
      <w:r w:rsidR="003C4CE6" w:rsidRPr="003C4CE6">
        <w:t>those who need to occupy such accommodation must accept less than what would ordinarily be acceptable.</w:t>
      </w:r>
      <w:r w:rsidR="00287CED">
        <w:t xml:space="preserve">” While </w:t>
      </w:r>
      <w:r w:rsidR="003E54C5">
        <w:t xml:space="preserve">that </w:t>
      </w:r>
      <w:r w:rsidR="00287CED">
        <w:t>may seem harsh</w:t>
      </w:r>
      <w:r w:rsidR="00423B1D">
        <w:t xml:space="preserve">, </w:t>
      </w:r>
      <w:r w:rsidR="003E54C5">
        <w:t>it must be</w:t>
      </w:r>
      <w:r w:rsidR="003C4CE6" w:rsidRPr="003C4CE6">
        <w:t xml:space="preserve"> </w:t>
      </w:r>
      <w:r w:rsidR="003E54C5">
        <w:t>“</w:t>
      </w:r>
      <w:r w:rsidR="003C4CE6" w:rsidRPr="003C4CE6">
        <w:t>seen against the realities imposed by the vast scale of the housing backlogs with which the state, in general, and the City, in particular, are having to engage.</w:t>
      </w:r>
      <w:r w:rsidR="00676940">
        <w:t>”</w:t>
      </w:r>
      <w:r w:rsidR="003C4CE6">
        <w:rPr>
          <w:rStyle w:val="FootnoteReference"/>
        </w:rPr>
        <w:footnoteReference w:id="43"/>
      </w:r>
    </w:p>
    <w:p w14:paraId="1544FD1C" w14:textId="1995F920" w:rsidR="003F4122" w:rsidRDefault="00ED74CB" w:rsidP="00ED74CB">
      <w:r>
        <w:rPr>
          <w:rFonts w:eastAsia="Times New Roman" w:cs="Arial"/>
          <w:color w:val="000000"/>
          <w:szCs w:val="24"/>
          <w:lang w:val="en-US" w:eastAsia="en-ZA"/>
        </w:rPr>
        <w:t>[143]</w:t>
      </w:r>
      <w:r>
        <w:rPr>
          <w:rFonts w:eastAsia="Times New Roman" w:cs="Arial"/>
          <w:color w:val="000000"/>
          <w:szCs w:val="24"/>
          <w:lang w:val="en-US" w:eastAsia="en-ZA"/>
        </w:rPr>
        <w:tab/>
      </w:r>
      <w:r w:rsidR="00633408">
        <w:t>The third is that s</w:t>
      </w:r>
      <w:r w:rsidR="00A149BD">
        <w:t>uitable alternative accommodation need not be accommodation that occupiers accept. Occupiers “</w:t>
      </w:r>
      <w:r w:rsidR="00A149BD" w:rsidRPr="00A149BD">
        <w:t xml:space="preserve">cannot delay their eviction each </w:t>
      </w:r>
      <w:r w:rsidR="00A149BD" w:rsidRPr="00A149BD">
        <w:lastRenderedPageBreak/>
        <w:t>time by stating that they find the alternative accommodation offered by the City unsuitable.</w:t>
      </w:r>
      <w:r w:rsidR="00A149BD">
        <w:t>”</w:t>
      </w:r>
      <w:r w:rsidR="00A149BD">
        <w:rPr>
          <w:rStyle w:val="FootnoteReference"/>
        </w:rPr>
        <w:footnoteReference w:id="44"/>
      </w:r>
      <w:r w:rsidR="00154E72">
        <w:t xml:space="preserve"> </w:t>
      </w:r>
    </w:p>
    <w:p w14:paraId="48991B80" w14:textId="388E09ED" w:rsidR="006E6910" w:rsidRDefault="00ED74CB" w:rsidP="00ED74CB">
      <w:r>
        <w:rPr>
          <w:rFonts w:eastAsia="Times New Roman" w:cs="Arial"/>
          <w:color w:val="000000"/>
          <w:szCs w:val="24"/>
          <w:lang w:val="en-US" w:eastAsia="en-ZA"/>
        </w:rPr>
        <w:t>[144]</w:t>
      </w:r>
      <w:r>
        <w:rPr>
          <w:rFonts w:eastAsia="Times New Roman" w:cs="Arial"/>
          <w:color w:val="000000"/>
          <w:szCs w:val="24"/>
          <w:lang w:val="en-US" w:eastAsia="en-ZA"/>
        </w:rPr>
        <w:tab/>
      </w:r>
      <w:r w:rsidR="00633408">
        <w:t>The fourth is th</w:t>
      </w:r>
      <w:r w:rsidR="007C3577">
        <w:t>is:</w:t>
      </w:r>
      <w:r w:rsidR="00633408">
        <w:t xml:space="preserve"> what is suitable is not absolute, but variable. </w:t>
      </w:r>
      <w:r w:rsidR="005440DA">
        <w:t xml:space="preserve">A </w:t>
      </w:r>
      <w:r w:rsidR="006E6910">
        <w:t>question</w:t>
      </w:r>
      <w:r w:rsidR="005440DA">
        <w:t xml:space="preserve"> which has troubled me</w:t>
      </w:r>
      <w:r w:rsidR="006E6910">
        <w:t xml:space="preserve"> is whether, if this Court concludes that the safe spaces are </w:t>
      </w:r>
      <w:r w:rsidR="003C4CE6">
        <w:t>adequate</w:t>
      </w:r>
      <w:r w:rsidR="006E6910">
        <w:t xml:space="preserve"> alternative accommodation, will that be true for all evictions, or only evictions of similarly situated homeless persons? Put differently, if someone was evicted from established accommodation, would it be reasonable to offer that person a place in a safe space? And would that be the necessary consequence of my judgment if I granted the eviction?</w:t>
      </w:r>
    </w:p>
    <w:p w14:paraId="0F1ECAEA" w14:textId="50958AF1" w:rsidR="006E6910" w:rsidRDefault="00ED74CB" w:rsidP="00ED74CB">
      <w:r>
        <w:rPr>
          <w:rFonts w:eastAsia="Times New Roman" w:cs="Arial"/>
          <w:color w:val="000000"/>
          <w:szCs w:val="24"/>
          <w:lang w:val="en-US" w:eastAsia="en-ZA"/>
        </w:rPr>
        <w:t>[145]</w:t>
      </w:r>
      <w:r>
        <w:rPr>
          <w:rFonts w:eastAsia="Times New Roman" w:cs="Arial"/>
          <w:color w:val="000000"/>
          <w:szCs w:val="24"/>
          <w:lang w:val="en-US" w:eastAsia="en-ZA"/>
        </w:rPr>
        <w:tab/>
      </w:r>
      <w:r w:rsidR="00B3595F">
        <w:t>I do not read the case law to impose any universal standard for what constitutes adequate alternative a</w:t>
      </w:r>
      <w:r w:rsidR="006E6910">
        <w:t>ccommodation</w:t>
      </w:r>
      <w:r w:rsidR="005862C0">
        <w:t>.</w:t>
      </w:r>
      <w:r w:rsidR="006E6910">
        <w:t xml:space="preserve"> </w:t>
      </w:r>
      <w:r w:rsidR="005862C0">
        <w:t>What</w:t>
      </w:r>
      <w:r w:rsidR="006E6910">
        <w:t xml:space="preserve"> a court finds is reasonable for one category of persons is not necessar</w:t>
      </w:r>
      <w:r w:rsidR="007E4136">
        <w:t>il</w:t>
      </w:r>
      <w:r w:rsidR="006E6910">
        <w:t xml:space="preserve">y reasonable for all other categories. To give </w:t>
      </w:r>
      <w:r w:rsidR="00377126">
        <w:t>some</w:t>
      </w:r>
      <w:r w:rsidR="006E6910">
        <w:t xml:space="preserve"> obvious example</w:t>
      </w:r>
      <w:r w:rsidR="00377126">
        <w:t>s</w:t>
      </w:r>
      <w:r w:rsidR="006E6910">
        <w:t xml:space="preserve"> – accommodation that is reasonable for a physically abled person may not be reasonable for a person with disabilities</w:t>
      </w:r>
      <w:r w:rsidR="00377126">
        <w:t>; accommodation that is far from any schools may be reasonable for persons with no children, but unreasonable for those with children.</w:t>
      </w:r>
    </w:p>
    <w:p w14:paraId="28E91E0E" w14:textId="49B49CD8" w:rsidR="00377126" w:rsidRDefault="00ED74CB" w:rsidP="00ED74CB">
      <w:r>
        <w:rPr>
          <w:rFonts w:eastAsia="Times New Roman" w:cs="Arial"/>
          <w:color w:val="000000"/>
          <w:szCs w:val="24"/>
          <w:lang w:val="en-US" w:eastAsia="en-ZA"/>
        </w:rPr>
        <w:t>[146]</w:t>
      </w:r>
      <w:r>
        <w:rPr>
          <w:rFonts w:eastAsia="Times New Roman" w:cs="Arial"/>
          <w:color w:val="000000"/>
          <w:szCs w:val="24"/>
          <w:lang w:val="en-US" w:eastAsia="en-ZA"/>
        </w:rPr>
        <w:tab/>
      </w:r>
      <w:r w:rsidR="00377126">
        <w:t xml:space="preserve">That does not mean that courts must re-evaluate from scratch the reasonableness of alternative accommodation offers in each and every case. That would be unworkable. Accommodation that has been held to be reasonable in one case will be reasonable in other </w:t>
      </w:r>
      <w:r w:rsidR="00377126" w:rsidRPr="00ED74CB">
        <w:rPr>
          <w:u w:val="single"/>
        </w:rPr>
        <w:t>similar cases</w:t>
      </w:r>
      <w:r w:rsidR="00377126">
        <w:t xml:space="preserve">. And accommodation that meets the </w:t>
      </w:r>
      <w:r w:rsidR="00377126">
        <w:lastRenderedPageBreak/>
        <w:t>statutory standards in the Housing Code will ordinarily be reasonable absent a challenge to that Code</w:t>
      </w:r>
      <w:r w:rsidR="00693E93">
        <w:t xml:space="preserve"> or the policy giving effect to it</w:t>
      </w:r>
      <w:r w:rsidR="00377126">
        <w:t>.</w:t>
      </w:r>
    </w:p>
    <w:p w14:paraId="115C2E2F" w14:textId="57311FBE" w:rsidR="00377126" w:rsidRDefault="00ED74CB" w:rsidP="00ED74CB">
      <w:r>
        <w:rPr>
          <w:rFonts w:eastAsia="Times New Roman" w:cs="Arial"/>
          <w:color w:val="000000"/>
          <w:szCs w:val="24"/>
          <w:lang w:val="en-US" w:eastAsia="en-ZA"/>
        </w:rPr>
        <w:t>[147]</w:t>
      </w:r>
      <w:r>
        <w:rPr>
          <w:rFonts w:eastAsia="Times New Roman" w:cs="Arial"/>
          <w:color w:val="000000"/>
          <w:szCs w:val="24"/>
          <w:lang w:val="en-US" w:eastAsia="en-ZA"/>
        </w:rPr>
        <w:tab/>
      </w:r>
      <w:r w:rsidR="00377126">
        <w:t>What is reasonable will depend on occupiers’ needs, and municipalities’ means. A key question may be whether it is better than their current accommodation. The City’s case is that, for a person is living on the street, giving them access to a safe space improves their conditions of living. That will not be the case for a person who currently occupies a formal home, and who does not face the particular challenges that homeless pe</w:t>
      </w:r>
      <w:r w:rsidR="00423B1D">
        <w:t>ople</w:t>
      </w:r>
      <w:r w:rsidR="00377126">
        <w:t xml:space="preserve"> face. But the question for me is not whether safe spaces are adequate alternative accommodation for all evictions, or even for all homeless people in all circumstances. The question is whether it is adequate alternative accommodation for homeless people like the </w:t>
      </w:r>
      <w:r w:rsidR="00423B1D">
        <w:t>O</w:t>
      </w:r>
      <w:r w:rsidR="00377126">
        <w:t>ccupiers living in the City centre of Cape Town.</w:t>
      </w:r>
    </w:p>
    <w:p w14:paraId="2850C50F" w14:textId="1A8E5418" w:rsidR="009A6680" w:rsidRDefault="00ED74CB" w:rsidP="00ED74CB">
      <w:r>
        <w:rPr>
          <w:rFonts w:eastAsia="Times New Roman" w:cs="Arial"/>
          <w:color w:val="000000"/>
          <w:szCs w:val="24"/>
          <w:lang w:val="en-US" w:eastAsia="en-ZA"/>
        </w:rPr>
        <w:t>[148]</w:t>
      </w:r>
      <w:r>
        <w:rPr>
          <w:rFonts w:eastAsia="Times New Roman" w:cs="Arial"/>
          <w:color w:val="000000"/>
          <w:szCs w:val="24"/>
          <w:lang w:val="en-US" w:eastAsia="en-ZA"/>
        </w:rPr>
        <w:tab/>
      </w:r>
      <w:r w:rsidR="00267CF9">
        <w:t xml:space="preserve">The </w:t>
      </w:r>
      <w:r w:rsidR="00783611">
        <w:t xml:space="preserve">unusual feature of this case is that, ordinarily, the </w:t>
      </w:r>
      <w:r w:rsidR="00267CF9">
        <w:t xml:space="preserve">requirement to provide alternative accommodation on eviction exists </w:t>
      </w:r>
      <w:r w:rsidR="00267CF9" w:rsidRPr="00783611">
        <w:t xml:space="preserve">because of the risk </w:t>
      </w:r>
      <w:r w:rsidR="00783611" w:rsidRPr="00783611">
        <w:t>the occupiers will</w:t>
      </w:r>
      <w:r w:rsidR="00783611" w:rsidRPr="00ED74CB">
        <w:rPr>
          <w:u w:val="single"/>
        </w:rPr>
        <w:t xml:space="preserve"> become</w:t>
      </w:r>
      <w:r w:rsidR="00783611" w:rsidRPr="00783611">
        <w:t xml:space="preserve"> homeless</w:t>
      </w:r>
      <w:r w:rsidR="00267CF9">
        <w:t xml:space="preserve">. What then is the role of </w:t>
      </w:r>
      <w:r w:rsidR="00651AF1">
        <w:t xml:space="preserve">alternative accommodation when the people evicted are already homeless? To my mind, it must be to improve their situation and seek – as best as the City can – to get them on the path to being housed. </w:t>
      </w:r>
      <w:r w:rsidR="00E151D5">
        <w:t>It need not be to immediately provide them with permanent or even semi-permanent accommodation</w:t>
      </w:r>
      <w:r w:rsidR="005B31BF">
        <w:t xml:space="preserve"> which is unlikely to assist them to </w:t>
      </w:r>
      <w:r w:rsidR="00CA30C9">
        <w:t>off the streets</w:t>
      </w:r>
      <w:r w:rsidR="00E151D5">
        <w:t>.</w:t>
      </w:r>
    </w:p>
    <w:p w14:paraId="743E82AA" w14:textId="3E7C4EDB" w:rsidR="00377126" w:rsidRDefault="00ED74CB" w:rsidP="00ED74CB">
      <w:r>
        <w:rPr>
          <w:rFonts w:eastAsia="Times New Roman" w:cs="Arial"/>
          <w:color w:val="000000"/>
          <w:szCs w:val="24"/>
          <w:lang w:val="en-US" w:eastAsia="en-ZA"/>
        </w:rPr>
        <w:t>[149]</w:t>
      </w:r>
      <w:r>
        <w:rPr>
          <w:rFonts w:eastAsia="Times New Roman" w:cs="Arial"/>
          <w:color w:val="000000"/>
          <w:szCs w:val="24"/>
          <w:lang w:val="en-US" w:eastAsia="en-ZA"/>
        </w:rPr>
        <w:tab/>
      </w:r>
      <w:r w:rsidR="00377126">
        <w:t xml:space="preserve">I say all this because I wish to emphasise the limits of this judgment. I ultimately conclude that the safe spaces are </w:t>
      </w:r>
      <w:r w:rsidR="005C0ED6">
        <w:t>suitabl</w:t>
      </w:r>
      <w:r w:rsidR="00051069">
        <w:t>e</w:t>
      </w:r>
      <w:r w:rsidR="00377126">
        <w:t xml:space="preserve"> alternative accommodation</w:t>
      </w:r>
      <w:r w:rsidR="00740AB9">
        <w:t xml:space="preserve"> for these </w:t>
      </w:r>
      <w:r w:rsidR="00370D50">
        <w:t>O</w:t>
      </w:r>
      <w:r w:rsidR="00740AB9">
        <w:t>ccupiers</w:t>
      </w:r>
      <w:r w:rsidR="00377126">
        <w:t>.</w:t>
      </w:r>
      <w:r w:rsidR="00740AB9">
        <w:t xml:space="preserve"> It follows that it will </w:t>
      </w:r>
      <w:r w:rsidR="005862C0">
        <w:t xml:space="preserve">likely </w:t>
      </w:r>
      <w:r w:rsidR="00740AB9">
        <w:t>also be adequate alternative accommodation for others that find themselves in similarly desperate circumstances.</w:t>
      </w:r>
      <w:r w:rsidR="00377126">
        <w:t xml:space="preserve"> </w:t>
      </w:r>
      <w:r w:rsidR="00740AB9">
        <w:t xml:space="preserve">It does not follow that safe spaces are </w:t>
      </w:r>
      <w:r w:rsidR="00051069">
        <w:t>suitable</w:t>
      </w:r>
      <w:r w:rsidR="00740AB9">
        <w:t xml:space="preserve"> alternative accommodation for all occupiers in all circumstances.</w:t>
      </w:r>
    </w:p>
    <w:p w14:paraId="282F8641" w14:textId="77777777" w:rsidR="00C647D7" w:rsidRDefault="00C647D7" w:rsidP="00C647D7"/>
    <w:p w14:paraId="49211EFD" w14:textId="56268F00" w:rsidR="00C647D7" w:rsidRPr="00C647D7" w:rsidRDefault="00C647D7" w:rsidP="00C647D7">
      <w:pPr>
        <w:pStyle w:val="Heading4"/>
      </w:pPr>
      <w:r>
        <w:t>The Physical Conditions at the Safe Spaces</w:t>
      </w:r>
    </w:p>
    <w:p w14:paraId="04153FDC" w14:textId="04963082" w:rsidR="00C647D7" w:rsidRDefault="00ED74CB" w:rsidP="00ED74CB">
      <w:r>
        <w:rPr>
          <w:rFonts w:eastAsia="Times New Roman" w:cs="Arial"/>
          <w:color w:val="000000"/>
          <w:szCs w:val="24"/>
          <w:lang w:val="en-US" w:eastAsia="en-ZA"/>
        </w:rPr>
        <w:t>[150]</w:t>
      </w:r>
      <w:r>
        <w:rPr>
          <w:rFonts w:eastAsia="Times New Roman" w:cs="Arial"/>
          <w:color w:val="000000"/>
          <w:szCs w:val="24"/>
          <w:lang w:val="en-US" w:eastAsia="en-ZA"/>
        </w:rPr>
        <w:tab/>
      </w:r>
      <w:r w:rsidR="00C647D7">
        <w:t xml:space="preserve">In their heads of argument, the Occupiers did not </w:t>
      </w:r>
      <w:r w:rsidR="006969CD">
        <w:t xml:space="preserve">attack the </w:t>
      </w:r>
      <w:r w:rsidR="00370D50">
        <w:t>quality</w:t>
      </w:r>
      <w:r w:rsidR="006969CD">
        <w:t xml:space="preserve"> of the accommodation offered at the </w:t>
      </w:r>
      <w:r w:rsidR="00370D50">
        <w:t>s</w:t>
      </w:r>
      <w:r w:rsidR="006969CD">
        <w:t xml:space="preserve">afe </w:t>
      </w:r>
      <w:r w:rsidR="00370D50">
        <w:t>s</w:t>
      </w:r>
      <w:r w:rsidR="006969CD">
        <w:t>paces. They did not</w:t>
      </w:r>
      <w:r w:rsidR="00370D50">
        <w:t>, for example,</w:t>
      </w:r>
      <w:r w:rsidR="006969CD">
        <w:t xml:space="preserve"> argue that it offered insufficient protection from the elements.</w:t>
      </w:r>
      <w:r w:rsidR="00F562BF">
        <w:t xml:space="preserve"> The attack was limited to the rules</w:t>
      </w:r>
      <w:r w:rsidR="00370D50">
        <w:t xml:space="preserve"> imposed at the safe spaces, not the amenities</w:t>
      </w:r>
      <w:r w:rsidR="00F562BF">
        <w:t>.</w:t>
      </w:r>
    </w:p>
    <w:p w14:paraId="0CFB954F" w14:textId="0013979B" w:rsidR="00F562BF" w:rsidRDefault="00ED74CB" w:rsidP="00ED74CB">
      <w:r>
        <w:rPr>
          <w:rFonts w:eastAsia="Times New Roman" w:cs="Arial"/>
          <w:color w:val="000000"/>
          <w:szCs w:val="24"/>
          <w:lang w:val="en-US" w:eastAsia="en-ZA"/>
        </w:rPr>
        <w:t>[151]</w:t>
      </w:r>
      <w:r>
        <w:rPr>
          <w:rFonts w:eastAsia="Times New Roman" w:cs="Arial"/>
          <w:color w:val="000000"/>
          <w:szCs w:val="24"/>
          <w:lang w:val="en-US" w:eastAsia="en-ZA"/>
        </w:rPr>
        <w:tab/>
      </w:r>
      <w:r w:rsidR="00F562BF">
        <w:t xml:space="preserve">In oral argument, Mr Brickhill sought to </w:t>
      </w:r>
      <w:r w:rsidR="00573F82">
        <w:t xml:space="preserve">argue that the Safe Spaces were not adequate because they did not provide </w:t>
      </w:r>
      <w:r w:rsidR="000E3868">
        <w:t>adequate physical shelter</w:t>
      </w:r>
      <w:r w:rsidR="00573F82">
        <w:t>.</w:t>
      </w:r>
      <w:r w:rsidR="00B364EE">
        <w:t xml:space="preserve"> The source for this </w:t>
      </w:r>
      <w:r w:rsidR="0096568A">
        <w:t xml:space="preserve">in the pleadings </w:t>
      </w:r>
      <w:r w:rsidR="00B364EE">
        <w:t>was a throwaway remark in the answering affidavit where Mr M</w:t>
      </w:r>
      <w:r w:rsidR="000E3868">
        <w:t>q</w:t>
      </w:r>
      <w:r w:rsidR="00BC476E">
        <w:t>u</w:t>
      </w:r>
      <w:r w:rsidR="00B364EE">
        <w:t>qa said</w:t>
      </w:r>
      <w:r w:rsidR="00C84F7A">
        <w:t xml:space="preserve"> that</w:t>
      </w:r>
      <w:r w:rsidR="003963CB">
        <w:t>, based on photographs attached to his affidavit, “the safe spaces is (sic) nothing more than a roof for individuals to sleep overnight”.</w:t>
      </w:r>
      <w:r w:rsidR="000C6933">
        <w:t xml:space="preserve"> But the details of this complaint are never expanded on. And t</w:t>
      </w:r>
      <w:r w:rsidR="0044193E">
        <w:t xml:space="preserve">he Occupiers </w:t>
      </w:r>
      <w:r w:rsidR="00F904A1">
        <w:t>do not identify</w:t>
      </w:r>
      <w:r w:rsidR="0044193E">
        <w:t xml:space="preserve"> the physical conditions at the Safe Spaces as the reason they did not want to return there, or did not want to take up the City’s current offer.</w:t>
      </w:r>
      <w:r w:rsidR="00002288">
        <w:t xml:space="preserve"> It was not stated as a defence to the eviction.</w:t>
      </w:r>
    </w:p>
    <w:p w14:paraId="7D1C0484" w14:textId="092132A9" w:rsidR="003963CB" w:rsidRDefault="00ED74CB" w:rsidP="00ED74CB">
      <w:r>
        <w:rPr>
          <w:rFonts w:eastAsia="Times New Roman" w:cs="Arial"/>
          <w:color w:val="000000"/>
          <w:szCs w:val="24"/>
          <w:lang w:val="en-US" w:eastAsia="en-ZA"/>
        </w:rPr>
        <w:t>[152]</w:t>
      </w:r>
      <w:r>
        <w:rPr>
          <w:rFonts w:eastAsia="Times New Roman" w:cs="Arial"/>
          <w:color w:val="000000"/>
          <w:szCs w:val="24"/>
          <w:lang w:val="en-US" w:eastAsia="en-ZA"/>
        </w:rPr>
        <w:tab/>
      </w:r>
      <w:r w:rsidR="0044193E">
        <w:t xml:space="preserve">Instead, </w:t>
      </w:r>
      <w:r w:rsidR="003963CB">
        <w:t>the gravamen of the complaint was always about the rules, not the conditions. Mr M</w:t>
      </w:r>
      <w:r w:rsidR="00BC476E">
        <w:t>quqa</w:t>
      </w:r>
      <w:r w:rsidR="003963CB">
        <w:t xml:space="preserve"> stated that “the safe spaces are worse than the places that we currently occupy </w:t>
      </w:r>
      <w:r w:rsidR="003963CB" w:rsidRPr="00ED74CB">
        <w:rPr>
          <w:u w:val="single"/>
        </w:rPr>
        <w:t>because of the rules imposed</w:t>
      </w:r>
      <w:r w:rsidR="003963CB" w:rsidRPr="003963CB">
        <w:t xml:space="preserve"> that infringe our constitutional rights”</w:t>
      </w:r>
      <w:r w:rsidR="0096568A">
        <w:t>.</w:t>
      </w:r>
    </w:p>
    <w:p w14:paraId="1F75C064" w14:textId="59C73A4F" w:rsidR="006A6D9B" w:rsidRDefault="00ED74CB" w:rsidP="00ED74CB">
      <w:r>
        <w:rPr>
          <w:rFonts w:eastAsia="Times New Roman" w:cs="Arial"/>
          <w:color w:val="000000"/>
          <w:szCs w:val="24"/>
          <w:lang w:val="en-US" w:eastAsia="en-ZA"/>
        </w:rPr>
        <w:t>[153]</w:t>
      </w:r>
      <w:r>
        <w:rPr>
          <w:rFonts w:eastAsia="Times New Roman" w:cs="Arial"/>
          <w:color w:val="000000"/>
          <w:szCs w:val="24"/>
          <w:lang w:val="en-US" w:eastAsia="en-ZA"/>
        </w:rPr>
        <w:tab/>
      </w:r>
      <w:r w:rsidR="0096568A">
        <w:t xml:space="preserve">In </w:t>
      </w:r>
      <w:r w:rsidR="00DC1F32">
        <w:t xml:space="preserve">the engagement that followed </w:t>
      </w:r>
      <w:r w:rsidR="0096568A">
        <w:t xml:space="preserve">my order of </w:t>
      </w:r>
      <w:r w:rsidR="00DC1F32">
        <w:t>20 October 2023, the Occupiers and their attorneys visited Safe Space</w:t>
      </w:r>
      <w:r w:rsidR="00B63F4E">
        <w:t xml:space="preserve"> 1</w:t>
      </w:r>
      <w:r w:rsidR="00DC1F32">
        <w:t xml:space="preserve">. </w:t>
      </w:r>
      <w:r w:rsidR="00BB56AB">
        <w:t xml:space="preserve">In the affidavit they filed following that engagement, they complain about the conditions </w:t>
      </w:r>
      <w:r w:rsidR="00B63F4E">
        <w:t>there</w:t>
      </w:r>
      <w:r w:rsidR="00BB56AB">
        <w:t xml:space="preserve">. In particular, they object that </w:t>
      </w:r>
      <w:r w:rsidR="000D0070">
        <w:t xml:space="preserve">the occupants are required to sleep under “carport-like structures” that are open to the </w:t>
      </w:r>
      <w:r w:rsidR="000D0070">
        <w:lastRenderedPageBreak/>
        <w:t xml:space="preserve">elements on the side. </w:t>
      </w:r>
      <w:r w:rsidR="002E0D18">
        <w:t xml:space="preserve">They </w:t>
      </w:r>
      <w:r w:rsidR="00643D9A">
        <w:t>contend</w:t>
      </w:r>
      <w:r w:rsidR="002E0D18">
        <w:t xml:space="preserve"> that in poor weather, this offers less protection than their current structures.</w:t>
      </w:r>
    </w:p>
    <w:p w14:paraId="37AC7A0F" w14:textId="437FAD59" w:rsidR="002E0D18" w:rsidRPr="002E0D18" w:rsidRDefault="00ED74CB" w:rsidP="00ED74CB">
      <w:r w:rsidRPr="002E0D18">
        <w:rPr>
          <w:rFonts w:eastAsia="Times New Roman" w:cs="Arial"/>
          <w:color w:val="000000"/>
          <w:szCs w:val="24"/>
          <w:lang w:val="en-US" w:eastAsia="en-ZA"/>
        </w:rPr>
        <w:t>[154]</w:t>
      </w:r>
      <w:r w:rsidRPr="002E0D18">
        <w:rPr>
          <w:rFonts w:eastAsia="Times New Roman" w:cs="Arial"/>
          <w:color w:val="000000"/>
          <w:szCs w:val="24"/>
          <w:lang w:val="en-US" w:eastAsia="en-ZA"/>
        </w:rPr>
        <w:tab/>
      </w:r>
      <w:r w:rsidR="002E0D18">
        <w:t>Th</w:t>
      </w:r>
      <w:r w:rsidR="000C648D">
        <w:t xml:space="preserve">e City does not dispute the </w:t>
      </w:r>
      <w:r w:rsidR="00643D9A">
        <w:t>accuracy of this version. Instead, it maintains that it would be inappropriate to consider an issue raised only after the hearing.</w:t>
      </w:r>
      <w:r w:rsidR="00C00EED">
        <w:t xml:space="preserve"> They accuse the Occupiers of seeking to make out an “entirely new case”.</w:t>
      </w:r>
    </w:p>
    <w:p w14:paraId="43DBADCA" w14:textId="67C569AA" w:rsidR="002E0D18" w:rsidRDefault="00ED74CB" w:rsidP="00ED74CB">
      <w:r>
        <w:rPr>
          <w:rFonts w:eastAsia="Times New Roman" w:cs="Arial"/>
          <w:color w:val="000000"/>
          <w:szCs w:val="24"/>
          <w:lang w:val="en-US" w:eastAsia="en-ZA"/>
        </w:rPr>
        <w:t>[155]</w:t>
      </w:r>
      <w:r>
        <w:rPr>
          <w:rFonts w:eastAsia="Times New Roman" w:cs="Arial"/>
          <w:color w:val="000000"/>
          <w:szCs w:val="24"/>
          <w:lang w:val="en-US" w:eastAsia="en-ZA"/>
        </w:rPr>
        <w:tab/>
      </w:r>
      <w:r w:rsidR="00B74445">
        <w:t xml:space="preserve">When they filed their answering affidavit, the Occupiers were legally represented by </w:t>
      </w:r>
      <w:r w:rsidR="00F132DF">
        <w:t>attorneys with experience in eviction litigation. Many of the</w:t>
      </w:r>
      <w:r w:rsidR="00C471CE">
        <w:t xml:space="preserve"> represented Occupiers</w:t>
      </w:r>
      <w:r w:rsidR="00F132DF">
        <w:t xml:space="preserve"> had previously </w:t>
      </w:r>
      <w:r w:rsidR="00D00C66">
        <w:t xml:space="preserve">lived in the </w:t>
      </w:r>
      <w:r w:rsidR="00C471CE">
        <w:t>s</w:t>
      </w:r>
      <w:r w:rsidR="00D00C66">
        <w:t xml:space="preserve">afe </w:t>
      </w:r>
      <w:r w:rsidR="00C471CE">
        <w:t>s</w:t>
      </w:r>
      <w:r w:rsidR="00D00C66">
        <w:t xml:space="preserve">paces and were familiar with the conditions. Yet </w:t>
      </w:r>
      <w:r w:rsidR="00BA7429">
        <w:t>they did not raise it plainly</w:t>
      </w:r>
      <w:r w:rsidR="00D00C66">
        <w:t xml:space="preserve"> as a concern for why the </w:t>
      </w:r>
      <w:r w:rsidR="00C471CE">
        <w:t>s</w:t>
      </w:r>
      <w:r w:rsidR="00D00C66">
        <w:t xml:space="preserve">afe </w:t>
      </w:r>
      <w:r w:rsidR="00C471CE">
        <w:t>s</w:t>
      </w:r>
      <w:r w:rsidR="00D00C66">
        <w:t>paces were not an adequate alternative. It was prop</w:t>
      </w:r>
      <w:r w:rsidR="00BA7429">
        <w:t xml:space="preserve">erly put in dispute </w:t>
      </w:r>
      <w:r w:rsidR="00A53F31">
        <w:t>for the first time at the hearing</w:t>
      </w:r>
      <w:r w:rsidR="00B3338A">
        <w:t>.</w:t>
      </w:r>
      <w:r w:rsidR="00175F72">
        <w:t xml:space="preserve"> The City was therefore denied a proper opportunity to address the issue, and the Court was denied </w:t>
      </w:r>
      <w:r w:rsidR="00693809">
        <w:t xml:space="preserve">a full set of facts and </w:t>
      </w:r>
      <w:r w:rsidR="00175F72">
        <w:t>the benefit of legal argument on the question.</w:t>
      </w:r>
    </w:p>
    <w:p w14:paraId="18987D84" w14:textId="178CACFB" w:rsidR="00221A91" w:rsidRDefault="00ED74CB" w:rsidP="00ED74CB">
      <w:r>
        <w:rPr>
          <w:rFonts w:eastAsia="Times New Roman" w:cs="Arial"/>
          <w:color w:val="000000"/>
          <w:szCs w:val="24"/>
          <w:lang w:val="en-US" w:eastAsia="en-ZA"/>
        </w:rPr>
        <w:t>[156]</w:t>
      </w:r>
      <w:r>
        <w:rPr>
          <w:rFonts w:eastAsia="Times New Roman" w:cs="Arial"/>
          <w:color w:val="000000"/>
          <w:szCs w:val="24"/>
          <w:lang w:val="en-US" w:eastAsia="en-ZA"/>
        </w:rPr>
        <w:tab/>
      </w:r>
      <w:r w:rsidR="00221A91">
        <w:t>I am not prepared to decide the issue on a basis that was not properly and fully before me. In any event, I am satisfied that, notwithstanding the rudimentary nature of the</w:t>
      </w:r>
      <w:r w:rsidR="005C0A69">
        <w:t xml:space="preserve"> accommodation at</w:t>
      </w:r>
      <w:r w:rsidR="00221A91">
        <w:t xml:space="preserve"> </w:t>
      </w:r>
      <w:r w:rsidR="005C0A69">
        <w:t>S</w:t>
      </w:r>
      <w:r w:rsidR="00221A91">
        <w:t xml:space="preserve">afe </w:t>
      </w:r>
      <w:r w:rsidR="005C0A69">
        <w:t>S</w:t>
      </w:r>
      <w:r w:rsidR="00221A91">
        <w:t>pace</w:t>
      </w:r>
      <w:r w:rsidR="005C0A69">
        <w:t xml:space="preserve"> 1</w:t>
      </w:r>
      <w:r w:rsidR="00221A91">
        <w:t xml:space="preserve">, it is not so deficient that they cannot constitute adequate </w:t>
      </w:r>
      <w:r w:rsidR="00221A91" w:rsidRPr="00ED74CB">
        <w:rPr>
          <w:u w:val="single"/>
        </w:rPr>
        <w:t>temporary</w:t>
      </w:r>
      <w:r w:rsidR="00221A91">
        <w:t xml:space="preserve"> accommodation.</w:t>
      </w:r>
    </w:p>
    <w:p w14:paraId="547ED140" w14:textId="77777777" w:rsidR="00740AB9" w:rsidRDefault="00740AB9" w:rsidP="00740AB9"/>
    <w:p w14:paraId="4FF41444" w14:textId="799D15BD" w:rsidR="00740AB9" w:rsidRDefault="009B5AEB" w:rsidP="009B5AEB">
      <w:pPr>
        <w:pStyle w:val="Heading4"/>
      </w:pPr>
      <w:r>
        <w:t xml:space="preserve">The Law in </w:t>
      </w:r>
      <w:r w:rsidRPr="00677A8F">
        <w:rPr>
          <w:i w:val="0"/>
          <w:iCs/>
        </w:rPr>
        <w:t>Dladla</w:t>
      </w:r>
    </w:p>
    <w:p w14:paraId="6E106994" w14:textId="7615875F" w:rsidR="0080541D" w:rsidRDefault="00ED74CB" w:rsidP="00ED74CB">
      <w:r>
        <w:rPr>
          <w:rFonts w:eastAsia="Times New Roman" w:cs="Arial"/>
          <w:color w:val="000000"/>
          <w:szCs w:val="24"/>
          <w:lang w:val="en-US" w:eastAsia="en-ZA"/>
        </w:rPr>
        <w:t>[157]</w:t>
      </w:r>
      <w:r>
        <w:rPr>
          <w:rFonts w:eastAsia="Times New Roman" w:cs="Arial"/>
          <w:color w:val="000000"/>
          <w:szCs w:val="24"/>
          <w:lang w:val="en-US" w:eastAsia="en-ZA"/>
        </w:rPr>
        <w:tab/>
      </w:r>
      <w:r w:rsidR="0080541D">
        <w:t xml:space="preserve">It is necessary to carefully consider the Constitutional Court’s decision in </w:t>
      </w:r>
      <w:r w:rsidR="0080541D" w:rsidRPr="00ED74CB">
        <w:rPr>
          <w:i/>
          <w:iCs/>
        </w:rPr>
        <w:t xml:space="preserve">Dladla </w:t>
      </w:r>
      <w:r w:rsidR="0080541D">
        <w:t xml:space="preserve">because it </w:t>
      </w:r>
      <w:r w:rsidR="001E2300">
        <w:t>is the source for the Occupiers’ attacks on the safe spaces’ rules.</w:t>
      </w:r>
    </w:p>
    <w:p w14:paraId="6A6E1E0C" w14:textId="79C8D8F5" w:rsidR="0043799D" w:rsidRDefault="00ED74CB" w:rsidP="00ED74CB">
      <w:r>
        <w:rPr>
          <w:rFonts w:eastAsia="Times New Roman" w:cs="Arial"/>
          <w:color w:val="000000"/>
          <w:szCs w:val="24"/>
          <w:lang w:val="en-US" w:eastAsia="en-ZA"/>
        </w:rPr>
        <w:lastRenderedPageBreak/>
        <w:t>[158]</w:t>
      </w:r>
      <w:r>
        <w:rPr>
          <w:rFonts w:eastAsia="Times New Roman" w:cs="Arial"/>
          <w:color w:val="000000"/>
          <w:szCs w:val="24"/>
          <w:lang w:val="en-US" w:eastAsia="en-ZA"/>
        </w:rPr>
        <w:tab/>
      </w:r>
      <w:r w:rsidR="00677A8F" w:rsidRPr="00ED74CB">
        <w:rPr>
          <w:i/>
          <w:iCs/>
        </w:rPr>
        <w:t xml:space="preserve">Dladla </w:t>
      </w:r>
      <w:r w:rsidR="00677A8F">
        <w:t xml:space="preserve">concerned a challenge to the </w:t>
      </w:r>
      <w:r w:rsidR="00304F6A">
        <w:t xml:space="preserve">constitutionality of rules that the City of Johannesburg imposed on temporary alternative accommodation for occupiers evicted from private property. </w:t>
      </w:r>
      <w:r w:rsidR="0048753E">
        <w:t xml:space="preserve">The City did not provide </w:t>
      </w:r>
      <w:r w:rsidR="00124EA5">
        <w:t>housing in a temporary residential area as provided for in the EHP. Instead, it placed them in a shelter, run by a private service provider. The shelter was in downtown Johannesburg. It was a “</w:t>
      </w:r>
      <w:r w:rsidR="002704CA" w:rsidRPr="00ED74CB">
        <w:rPr>
          <w:i/>
          <w:iCs/>
        </w:rPr>
        <w:t>temporary place for destitute individuals looking for employment</w:t>
      </w:r>
      <w:r w:rsidR="002704CA">
        <w:t>”.</w:t>
      </w:r>
      <w:r w:rsidR="002704CA">
        <w:rPr>
          <w:rStyle w:val="FootnoteReference"/>
        </w:rPr>
        <w:footnoteReference w:id="45"/>
      </w:r>
      <w:r w:rsidR="002704CA">
        <w:t xml:space="preserve"> </w:t>
      </w:r>
      <w:r w:rsidR="001F3C0C">
        <w:t xml:space="preserve">It consisted of dormitories. </w:t>
      </w:r>
      <w:r w:rsidR="002704CA">
        <w:t>Ordinarily, people would stay there for six months</w:t>
      </w:r>
      <w:r w:rsidR="008C2461">
        <w:t>, which could be extended to 12 months. The shelter also provided people with food.</w:t>
      </w:r>
    </w:p>
    <w:p w14:paraId="0E259612" w14:textId="4BBB88A4" w:rsidR="001F3C0C" w:rsidRDefault="00ED74CB" w:rsidP="00ED74CB">
      <w:r>
        <w:rPr>
          <w:rFonts w:eastAsia="Times New Roman" w:cs="Arial"/>
          <w:color w:val="000000"/>
          <w:szCs w:val="24"/>
          <w:lang w:val="en-US" w:eastAsia="en-ZA"/>
        </w:rPr>
        <w:t>[159]</w:t>
      </w:r>
      <w:r>
        <w:rPr>
          <w:rFonts w:eastAsia="Times New Roman" w:cs="Arial"/>
          <w:color w:val="000000"/>
          <w:szCs w:val="24"/>
          <w:lang w:val="en-US" w:eastAsia="en-ZA"/>
        </w:rPr>
        <w:tab/>
      </w:r>
      <w:r w:rsidR="008C2461">
        <w:t xml:space="preserve">Like the City’s safe spaces, the </w:t>
      </w:r>
      <w:r w:rsidR="00960C84">
        <w:t xml:space="preserve">shelter in </w:t>
      </w:r>
      <w:r w:rsidR="00960C84" w:rsidRPr="00ED74CB">
        <w:rPr>
          <w:i/>
          <w:iCs/>
        </w:rPr>
        <w:t xml:space="preserve">Dladla </w:t>
      </w:r>
      <w:r w:rsidR="00960C84">
        <w:t xml:space="preserve">had certain rules. Two of them were in issue: the lockout rule and the family separation rule. </w:t>
      </w:r>
    </w:p>
    <w:p w14:paraId="5E8045D7" w14:textId="50742282" w:rsidR="0043799D" w:rsidRDefault="00ED74CB" w:rsidP="00ED74CB">
      <w:pPr>
        <w:ind w:left="1620" w:hanging="900"/>
      </w:pPr>
      <w:r>
        <w:rPr>
          <w:rFonts w:eastAsia="Times New Roman" w:cs="Arial"/>
          <w:color w:val="000000"/>
          <w:szCs w:val="24"/>
          <w:lang w:val="en-US" w:eastAsia="en-ZA"/>
        </w:rPr>
        <w:t>[159.1]</w:t>
      </w:r>
      <w:r>
        <w:rPr>
          <w:rFonts w:eastAsia="Times New Roman" w:cs="Arial"/>
          <w:color w:val="000000"/>
          <w:szCs w:val="24"/>
          <w:lang w:val="en-US" w:eastAsia="en-ZA"/>
        </w:rPr>
        <w:tab/>
      </w:r>
      <w:r w:rsidR="00960C84">
        <w:t>The loc</w:t>
      </w:r>
      <w:r w:rsidR="00285A94">
        <w:t xml:space="preserve">kout rule required the applicants to leave the shelter by 8:00, permitted them to return at 17:00, and locked them out if they did not return by 20:00. </w:t>
      </w:r>
      <w:r w:rsidR="001F3C0C">
        <w:t>It could be relaxed if a special arrangement was made.</w:t>
      </w:r>
      <w:r w:rsidR="004E1E3C">
        <w:t xml:space="preserve"> However the rule was enforced so that persons working at night were not permitted to sleep in the shelter during the day.</w:t>
      </w:r>
      <w:r w:rsidR="004E1E3C">
        <w:rPr>
          <w:rStyle w:val="FootnoteReference"/>
        </w:rPr>
        <w:footnoteReference w:id="46"/>
      </w:r>
    </w:p>
    <w:p w14:paraId="7E0A3F1F" w14:textId="54DF6F17" w:rsidR="001F3C0C" w:rsidRDefault="00ED74CB" w:rsidP="00ED74CB">
      <w:pPr>
        <w:ind w:left="1620" w:hanging="900"/>
      </w:pPr>
      <w:r>
        <w:rPr>
          <w:rFonts w:eastAsia="Times New Roman" w:cs="Arial"/>
          <w:color w:val="000000"/>
          <w:szCs w:val="24"/>
          <w:lang w:val="en-US" w:eastAsia="en-ZA"/>
        </w:rPr>
        <w:t>[159.2]</w:t>
      </w:r>
      <w:r>
        <w:rPr>
          <w:rFonts w:eastAsia="Times New Roman" w:cs="Arial"/>
          <w:color w:val="000000"/>
          <w:szCs w:val="24"/>
          <w:lang w:val="en-US" w:eastAsia="en-ZA"/>
        </w:rPr>
        <w:tab/>
      </w:r>
      <w:r w:rsidR="001F3C0C">
        <w:t xml:space="preserve">The family separation rule </w:t>
      </w:r>
      <w:r w:rsidR="0008333A">
        <w:t>was not specifically listed, but was enforced through the provision of separate male and female dormitories. The effect was that heterosexual couples could not live tog</w:t>
      </w:r>
      <w:r w:rsidR="004C573B">
        <w:t>ether.</w:t>
      </w:r>
      <w:r w:rsidR="0052119E">
        <w:t xml:space="preserve"> </w:t>
      </w:r>
      <w:r w:rsidR="009C0741">
        <w:t>The</w:t>
      </w:r>
      <w:r w:rsidR="003E5FD1">
        <w:t xml:space="preserve"> rule also separated parents from their children</w:t>
      </w:r>
      <w:r w:rsidR="004D3C65">
        <w:t>,</w:t>
      </w:r>
      <w:r w:rsidR="003E5FD1">
        <w:t xml:space="preserve"> as children under 16 had to stay with their mothers, and boys over 16 with their fathers.</w:t>
      </w:r>
      <w:r w:rsidR="003E5FD1">
        <w:rPr>
          <w:rStyle w:val="FootnoteReference"/>
        </w:rPr>
        <w:footnoteReference w:id="47"/>
      </w:r>
    </w:p>
    <w:p w14:paraId="671258D4" w14:textId="1822D674" w:rsidR="00C30A39" w:rsidRDefault="00ED74CB" w:rsidP="00ED74CB">
      <w:r>
        <w:rPr>
          <w:rFonts w:eastAsia="Times New Roman" w:cs="Arial"/>
          <w:color w:val="000000"/>
          <w:szCs w:val="24"/>
          <w:lang w:val="en-US" w:eastAsia="en-ZA"/>
        </w:rPr>
        <w:lastRenderedPageBreak/>
        <w:t>[160]</w:t>
      </w:r>
      <w:r>
        <w:rPr>
          <w:rFonts w:eastAsia="Times New Roman" w:cs="Arial"/>
          <w:color w:val="000000"/>
          <w:szCs w:val="24"/>
          <w:lang w:val="en-US" w:eastAsia="en-ZA"/>
        </w:rPr>
        <w:tab/>
      </w:r>
      <w:r w:rsidR="00037918">
        <w:t xml:space="preserve">There are </w:t>
      </w:r>
      <w:r w:rsidR="008E48CE">
        <w:t>four</w:t>
      </w:r>
      <w:r w:rsidR="00037918">
        <w:t xml:space="preserve"> important findings from </w:t>
      </w:r>
      <w:r w:rsidR="00037918" w:rsidRPr="00ED74CB">
        <w:rPr>
          <w:i/>
          <w:iCs/>
        </w:rPr>
        <w:t xml:space="preserve">Dladla </w:t>
      </w:r>
      <w:r w:rsidR="00037918">
        <w:t>that guide my decision</w:t>
      </w:r>
      <w:r w:rsidR="0043799D">
        <w:t>.</w:t>
      </w:r>
    </w:p>
    <w:p w14:paraId="3CE80231" w14:textId="1B39C412" w:rsidR="00C30A39" w:rsidRDefault="00ED74CB" w:rsidP="00ED74CB">
      <w:r>
        <w:rPr>
          <w:rFonts w:eastAsia="Times New Roman" w:cs="Arial"/>
          <w:color w:val="000000"/>
          <w:szCs w:val="24"/>
          <w:lang w:val="en-US" w:eastAsia="en-ZA"/>
        </w:rPr>
        <w:t>[161]</w:t>
      </w:r>
      <w:r>
        <w:rPr>
          <w:rFonts w:eastAsia="Times New Roman" w:cs="Arial"/>
          <w:color w:val="000000"/>
          <w:szCs w:val="24"/>
          <w:lang w:val="en-US" w:eastAsia="en-ZA"/>
        </w:rPr>
        <w:tab/>
      </w:r>
      <w:r w:rsidR="0043799D" w:rsidRPr="00ED74CB">
        <w:rPr>
          <w:u w:val="single"/>
        </w:rPr>
        <w:t>First</w:t>
      </w:r>
      <w:r w:rsidR="0043799D" w:rsidRPr="008E48CE">
        <w:t xml:space="preserve">, </w:t>
      </w:r>
      <w:r w:rsidR="002E75DD" w:rsidRPr="008E48CE">
        <w:t>the Court accepted that the shelters constituted temporary accommodation “as required by section 26(2)” of the Constitution.</w:t>
      </w:r>
      <w:r w:rsidR="00211600" w:rsidRPr="008E48CE">
        <w:rPr>
          <w:rStyle w:val="FootnoteReference"/>
        </w:rPr>
        <w:footnoteReference w:id="48"/>
      </w:r>
      <w:r w:rsidR="006C7447" w:rsidRPr="008E48CE">
        <w:t xml:space="preserve"> It also held that, but for the shelter rules, </w:t>
      </w:r>
      <w:r w:rsidR="00211600" w:rsidRPr="008E48CE">
        <w:t>“the resultant accommodation provided by the Shelter would be satisfactory”.</w:t>
      </w:r>
      <w:r w:rsidR="00211600" w:rsidRPr="008E48CE">
        <w:rPr>
          <w:rStyle w:val="FootnoteReference"/>
        </w:rPr>
        <w:footnoteReference w:id="49"/>
      </w:r>
      <w:r w:rsidR="006C7447" w:rsidRPr="008E48CE">
        <w:t xml:space="preserve"> Put differently, the shelters were temporary alternative accommodation that avoided the ris</w:t>
      </w:r>
      <w:r w:rsidR="006C7447">
        <w:t>k of homelessness.</w:t>
      </w:r>
      <w:r w:rsidR="00211600">
        <w:t xml:space="preserve"> This is important. It supports my </w:t>
      </w:r>
      <w:r w:rsidR="00BD105B">
        <w:t xml:space="preserve">conclusion that temporary alternative accommodation is not limited to </w:t>
      </w:r>
      <w:r w:rsidR="002857D2">
        <w:t xml:space="preserve">housing offered under the </w:t>
      </w:r>
      <w:r w:rsidR="00BD105B">
        <w:t>EHP.</w:t>
      </w:r>
      <w:r w:rsidR="00AE3965">
        <w:rPr>
          <w:rStyle w:val="FootnoteReference"/>
        </w:rPr>
        <w:footnoteReference w:id="50"/>
      </w:r>
    </w:p>
    <w:p w14:paraId="0B95768C" w14:textId="20EEF7C6" w:rsidR="00C30A39" w:rsidRDefault="00ED74CB" w:rsidP="00ED74CB">
      <w:r>
        <w:rPr>
          <w:rFonts w:eastAsia="Times New Roman" w:cs="Arial"/>
          <w:color w:val="000000"/>
          <w:szCs w:val="24"/>
          <w:lang w:val="en-US" w:eastAsia="en-ZA"/>
        </w:rPr>
        <w:t>[162]</w:t>
      </w:r>
      <w:r>
        <w:rPr>
          <w:rFonts w:eastAsia="Times New Roman" w:cs="Arial"/>
          <w:color w:val="000000"/>
          <w:szCs w:val="24"/>
          <w:lang w:val="en-US" w:eastAsia="en-ZA"/>
        </w:rPr>
        <w:tab/>
      </w:r>
      <w:r w:rsidR="000549F1" w:rsidRPr="00ED74CB">
        <w:rPr>
          <w:u w:val="single"/>
        </w:rPr>
        <w:t>Second</w:t>
      </w:r>
      <w:r w:rsidR="000549F1">
        <w:t xml:space="preserve">, Mhlantla J </w:t>
      </w:r>
      <w:r w:rsidR="00EC4CD1">
        <w:t xml:space="preserve">held that the shelter’s lockout rule limited the </w:t>
      </w:r>
      <w:r w:rsidR="001115B6">
        <w:t>applicants</w:t>
      </w:r>
      <w:r w:rsidR="00011C49">
        <w:t>’</w:t>
      </w:r>
      <w:r w:rsidR="001115B6">
        <w:t xml:space="preserve"> right</w:t>
      </w:r>
      <w:r w:rsidR="00F8090E">
        <w:t>s</w:t>
      </w:r>
      <w:r w:rsidR="001115B6">
        <w:t xml:space="preserve"> to dignity</w:t>
      </w:r>
      <w:r w:rsidR="00F8090E">
        <w:t>, privacy and freedom and security of the person:</w:t>
      </w:r>
    </w:p>
    <w:p w14:paraId="7FDC8AA9" w14:textId="293A830A" w:rsidR="001115B6" w:rsidRDefault="00ED74CB" w:rsidP="00ED74CB">
      <w:pPr>
        <w:ind w:left="1620" w:hanging="900"/>
      </w:pPr>
      <w:r>
        <w:rPr>
          <w:rFonts w:eastAsia="Times New Roman" w:cs="Arial"/>
          <w:color w:val="000000"/>
          <w:szCs w:val="24"/>
          <w:lang w:val="en-US" w:eastAsia="en-ZA"/>
        </w:rPr>
        <w:t>[162.1]</w:t>
      </w:r>
      <w:r>
        <w:rPr>
          <w:rFonts w:eastAsia="Times New Roman" w:cs="Arial"/>
          <w:color w:val="000000"/>
          <w:szCs w:val="24"/>
          <w:lang w:val="en-US" w:eastAsia="en-ZA"/>
        </w:rPr>
        <w:tab/>
      </w:r>
      <w:r w:rsidR="001115B6" w:rsidRPr="001115B6">
        <w:t xml:space="preserve">The </w:t>
      </w:r>
      <w:r w:rsidR="001115B6">
        <w:t>lockout rule “</w:t>
      </w:r>
      <w:r w:rsidR="001115B6" w:rsidRPr="008E48CE">
        <w:t>forces the applicants out onto the streets during the da</w:t>
      </w:r>
      <w:r w:rsidR="008E48CE" w:rsidRPr="008E48CE">
        <w:t>y</w:t>
      </w:r>
      <w:r w:rsidR="001115B6" w:rsidRPr="008E48CE">
        <w:t xml:space="preserve"> with no place whatsoever to call their own and to rest. As a result, people seek refuge on the street while they wait for the Shelter to re-open.</w:t>
      </w:r>
      <w:r w:rsidR="001115B6">
        <w:t>”</w:t>
      </w:r>
      <w:r w:rsidR="00D611A1">
        <w:rPr>
          <w:rStyle w:val="FootnoteReference"/>
        </w:rPr>
        <w:footnoteReference w:id="51"/>
      </w:r>
      <w:r w:rsidR="00D611A1">
        <w:t xml:space="preserve"> For those who work at night, it meant they had no place to stay – for them “</w:t>
      </w:r>
      <w:r w:rsidR="00D611A1" w:rsidRPr="008E48CE">
        <w:t>the Shelter is no shelter at all</w:t>
      </w:r>
      <w:r w:rsidR="00424BE4" w:rsidRPr="008E48CE">
        <w:t>.</w:t>
      </w:r>
      <w:r w:rsidR="00424BE4">
        <w:t>”</w:t>
      </w:r>
      <w:r w:rsidR="00424BE4">
        <w:rPr>
          <w:rStyle w:val="FootnoteReference"/>
        </w:rPr>
        <w:footnoteReference w:id="52"/>
      </w:r>
      <w:r w:rsidR="00424BE4">
        <w:t xml:space="preserve"> The rule also </w:t>
      </w:r>
      <w:r w:rsidR="00424BE4">
        <w:lastRenderedPageBreak/>
        <w:t>infantili</w:t>
      </w:r>
      <w:r w:rsidR="00E41ACA">
        <w:t>s</w:t>
      </w:r>
      <w:r w:rsidR="00424BE4">
        <w:t>ed the applicants, undercutting their right and ability to manage their own lives and to be “</w:t>
      </w:r>
      <w:r w:rsidR="00424BE4" w:rsidRPr="008E48CE">
        <w:t>shepherded to and fro</w:t>
      </w:r>
      <w:r w:rsidR="00424BE4" w:rsidRPr="00ED74CB">
        <w:rPr>
          <w:i/>
          <w:iCs/>
        </w:rPr>
        <w:t>.</w:t>
      </w:r>
      <w:r w:rsidR="00424BE4">
        <w:t>”</w:t>
      </w:r>
      <w:r w:rsidR="00424BE4">
        <w:rPr>
          <w:rStyle w:val="FootnoteReference"/>
        </w:rPr>
        <w:footnoteReference w:id="53"/>
      </w:r>
    </w:p>
    <w:p w14:paraId="146E2A6E" w14:textId="3DE8ACB5" w:rsidR="00E41ACA" w:rsidRPr="008E48CE" w:rsidRDefault="00ED74CB" w:rsidP="00ED74CB">
      <w:pPr>
        <w:ind w:left="1620" w:hanging="900"/>
      </w:pPr>
      <w:r w:rsidRPr="008E48CE">
        <w:rPr>
          <w:rFonts w:eastAsia="Times New Roman" w:cs="Arial"/>
          <w:color w:val="000000"/>
          <w:szCs w:val="24"/>
          <w:lang w:val="en-US" w:eastAsia="en-ZA"/>
        </w:rPr>
        <w:t>[162.2]</w:t>
      </w:r>
      <w:r w:rsidRPr="008E48CE">
        <w:rPr>
          <w:rFonts w:eastAsia="Times New Roman" w:cs="Arial"/>
          <w:color w:val="000000"/>
          <w:szCs w:val="24"/>
          <w:lang w:val="en-US" w:eastAsia="en-ZA"/>
        </w:rPr>
        <w:tab/>
      </w:r>
      <w:r w:rsidR="00E41ACA">
        <w:t xml:space="preserve">Being forced onto the streets during the day denied them the privacy </w:t>
      </w:r>
      <w:r w:rsidR="00E41ACA" w:rsidRPr="008E48CE">
        <w:t>the shelter offered them, at least at night.</w:t>
      </w:r>
      <w:r w:rsidR="003D7761" w:rsidRPr="008E48CE">
        <w:t xml:space="preserve"> The lockout rule</w:t>
      </w:r>
      <w:r w:rsidR="00E72DCF" w:rsidRPr="008E48CE">
        <w:t xml:space="preserve"> denied them “</w:t>
      </w:r>
      <w:r w:rsidR="00D81F1B" w:rsidRPr="008E48CE">
        <w:t>a place they can call their own to which they can retreat at any time.”</w:t>
      </w:r>
      <w:r w:rsidR="00D81F1B" w:rsidRPr="008E48CE">
        <w:rPr>
          <w:rStyle w:val="FootnoteReference"/>
        </w:rPr>
        <w:footnoteReference w:id="54"/>
      </w:r>
      <w:r w:rsidR="003D7761" w:rsidRPr="008E48CE">
        <w:t xml:space="preserve"> Mhlantla J held: “One would think that people who have been evicted from their homes in which they had some privacy would be provided a substitute with a measure of the same. They were not.”</w:t>
      </w:r>
      <w:r w:rsidR="003D7761" w:rsidRPr="008E48CE">
        <w:rPr>
          <w:rStyle w:val="FootnoteReference"/>
        </w:rPr>
        <w:footnoteReference w:id="55"/>
      </w:r>
    </w:p>
    <w:p w14:paraId="31B2A4A1" w14:textId="568CED5D" w:rsidR="00424BE4" w:rsidRPr="001115B6" w:rsidRDefault="00ED74CB" w:rsidP="00ED74CB">
      <w:pPr>
        <w:ind w:left="1620" w:hanging="900"/>
      </w:pPr>
      <w:r w:rsidRPr="001115B6">
        <w:rPr>
          <w:rFonts w:eastAsia="Times New Roman" w:cs="Arial"/>
          <w:color w:val="000000"/>
          <w:szCs w:val="24"/>
          <w:lang w:val="en-US" w:eastAsia="en-ZA"/>
        </w:rPr>
        <w:t>[162.3]</w:t>
      </w:r>
      <w:r w:rsidRPr="001115B6">
        <w:rPr>
          <w:rFonts w:eastAsia="Times New Roman" w:cs="Arial"/>
          <w:color w:val="000000"/>
          <w:szCs w:val="24"/>
          <w:lang w:val="en-US" w:eastAsia="en-ZA"/>
        </w:rPr>
        <w:tab/>
      </w:r>
      <w:r w:rsidR="00234F02">
        <w:t xml:space="preserve">The lockout rule forced the applicants onto the street </w:t>
      </w:r>
      <w:r w:rsidR="00CA4BA0">
        <w:t>both during the day and – if they missed the 20:00 cut off to return – at night. Being on the street placed them at risk of assault.</w:t>
      </w:r>
    </w:p>
    <w:p w14:paraId="6E572B4B" w14:textId="54E5C1CB" w:rsidR="00C30A39" w:rsidRDefault="00ED74CB" w:rsidP="00ED74CB">
      <w:r>
        <w:rPr>
          <w:rFonts w:eastAsia="Times New Roman" w:cs="Arial"/>
          <w:color w:val="000000"/>
          <w:szCs w:val="24"/>
          <w:lang w:val="en-US" w:eastAsia="en-ZA"/>
        </w:rPr>
        <w:t>[163]</w:t>
      </w:r>
      <w:r>
        <w:rPr>
          <w:rFonts w:eastAsia="Times New Roman" w:cs="Arial"/>
          <w:color w:val="000000"/>
          <w:szCs w:val="24"/>
          <w:lang w:val="en-US" w:eastAsia="en-ZA"/>
        </w:rPr>
        <w:tab/>
      </w:r>
      <w:r w:rsidR="0052119E" w:rsidRPr="00ED74CB">
        <w:rPr>
          <w:u w:val="single"/>
        </w:rPr>
        <w:t>Third</w:t>
      </w:r>
      <w:r w:rsidR="0052119E">
        <w:t xml:space="preserve">, the Court also held that the family separation rule </w:t>
      </w:r>
      <w:r w:rsidR="004C64F1">
        <w:t>infringed the same three rights – dignity, privacy and freedom and security of the person.</w:t>
      </w:r>
      <w:r w:rsidR="004C64F1">
        <w:rPr>
          <w:rStyle w:val="FootnoteReference"/>
        </w:rPr>
        <w:footnoteReference w:id="56"/>
      </w:r>
      <w:r w:rsidR="00C435E6">
        <w:t xml:space="preserve"> The focus was on the right to dignity which, since </w:t>
      </w:r>
      <w:r w:rsidR="00C435E6" w:rsidRPr="00ED74CB">
        <w:rPr>
          <w:i/>
          <w:iCs/>
        </w:rPr>
        <w:t>Dawood</w:t>
      </w:r>
      <w:r w:rsidR="00C435E6">
        <w:t>,</w:t>
      </w:r>
      <w:r w:rsidR="009C0741">
        <w:rPr>
          <w:rStyle w:val="FootnoteReference"/>
        </w:rPr>
        <w:footnoteReference w:id="57"/>
      </w:r>
      <w:r w:rsidR="00C435E6">
        <w:t xml:space="preserve"> has included the right to family life and to cohabit with your family.</w:t>
      </w:r>
      <w:r w:rsidR="00E32E21">
        <w:t xml:space="preserve"> “</w:t>
      </w:r>
      <w:r w:rsidR="00E32E21" w:rsidRPr="00A23419">
        <w:t>The family separation rule creates a vast chasm – between parents and children, between partners and between siblings – where there should be only intimacy and love.</w:t>
      </w:r>
      <w:r w:rsidR="00E32E21">
        <w:t>”</w:t>
      </w:r>
      <w:r w:rsidR="00E32E21">
        <w:rPr>
          <w:rStyle w:val="FootnoteReference"/>
        </w:rPr>
        <w:footnoteReference w:id="58"/>
      </w:r>
    </w:p>
    <w:p w14:paraId="5F4FAC41" w14:textId="5B97723B" w:rsidR="003E5FD1" w:rsidRDefault="00ED74CB" w:rsidP="00ED74CB">
      <w:r>
        <w:rPr>
          <w:rFonts w:eastAsia="Times New Roman" w:cs="Arial"/>
          <w:color w:val="000000"/>
          <w:szCs w:val="24"/>
          <w:lang w:val="en-US" w:eastAsia="en-ZA"/>
        </w:rPr>
        <w:lastRenderedPageBreak/>
        <w:t>[164]</w:t>
      </w:r>
      <w:r>
        <w:rPr>
          <w:rFonts w:eastAsia="Times New Roman" w:cs="Arial"/>
          <w:color w:val="000000"/>
          <w:szCs w:val="24"/>
          <w:lang w:val="en-US" w:eastAsia="en-ZA"/>
        </w:rPr>
        <w:tab/>
      </w:r>
      <w:r w:rsidR="003E5FD1" w:rsidRPr="00ED74CB">
        <w:rPr>
          <w:u w:val="single"/>
        </w:rPr>
        <w:t>Fourth</w:t>
      </w:r>
      <w:r w:rsidR="003E5FD1">
        <w:t xml:space="preserve">, </w:t>
      </w:r>
      <w:r w:rsidR="00A5700E">
        <w:t>it was not possible for the City to justify these limitations of the occupiers’ rights</w:t>
      </w:r>
      <w:r w:rsidR="00435ED5">
        <w:t>.</w:t>
      </w:r>
      <w:r w:rsidR="00A5700E">
        <w:t xml:space="preserve"> </w:t>
      </w:r>
      <w:r w:rsidR="00435ED5">
        <w:t>T</w:t>
      </w:r>
      <w:r w:rsidR="00A5700E">
        <w:t>he rules were imposed by a contract between the City and MES, and not by a “</w:t>
      </w:r>
      <w:r w:rsidR="00A5700E" w:rsidRPr="00ED74CB">
        <w:rPr>
          <w:i/>
          <w:iCs/>
        </w:rPr>
        <w:t>law of</w:t>
      </w:r>
      <w:r w:rsidR="00435ED5" w:rsidRPr="00ED74CB">
        <w:rPr>
          <w:i/>
          <w:iCs/>
        </w:rPr>
        <w:t xml:space="preserve"> general application</w:t>
      </w:r>
      <w:r w:rsidR="00435ED5">
        <w:t>” as required by s 36(1) of the Constitution.</w:t>
      </w:r>
      <w:r w:rsidR="00355877">
        <w:rPr>
          <w:rStyle w:val="FootnoteReference"/>
        </w:rPr>
        <w:footnoteReference w:id="59"/>
      </w:r>
      <w:r w:rsidR="00A5700E" w:rsidRPr="00ED74CB">
        <w:rPr>
          <w:i/>
          <w:iCs/>
        </w:rPr>
        <w:t xml:space="preserve"> </w:t>
      </w:r>
      <w:r w:rsidR="00F702E7">
        <w:t>The majority therefore did not consider the justifications for the rules. It did not consider, for example, the reason why the shelter separated male</w:t>
      </w:r>
      <w:r w:rsidR="009D746E">
        <w:t>s and females. And it did not decide whether those reasons justified the rules.</w:t>
      </w:r>
    </w:p>
    <w:p w14:paraId="0CFC90B3" w14:textId="4B0E1A38" w:rsidR="00F14151" w:rsidRPr="00ED74CB" w:rsidRDefault="00ED74CB" w:rsidP="00ED74CB">
      <w:pPr>
        <w:rPr>
          <w:i/>
          <w:iCs/>
        </w:rPr>
      </w:pPr>
      <w:r w:rsidRPr="00F14151">
        <w:rPr>
          <w:rFonts w:eastAsia="Times New Roman" w:cs="Arial"/>
          <w:color w:val="000000"/>
          <w:szCs w:val="24"/>
          <w:lang w:val="en-US" w:eastAsia="en-ZA"/>
        </w:rPr>
        <w:t>[165]</w:t>
      </w:r>
      <w:r w:rsidRPr="00F14151">
        <w:rPr>
          <w:rFonts w:eastAsia="Times New Roman" w:cs="Arial"/>
          <w:color w:val="000000"/>
          <w:szCs w:val="24"/>
          <w:lang w:val="en-US" w:eastAsia="en-ZA"/>
        </w:rPr>
        <w:tab/>
      </w:r>
      <w:r w:rsidR="00F14151" w:rsidRPr="00ED74CB">
        <w:rPr>
          <w:i/>
          <w:iCs/>
        </w:rPr>
        <w:t xml:space="preserve">Dladla </w:t>
      </w:r>
      <w:r w:rsidR="00F14151">
        <w:t>naturally casts serious doubt over the similar rules that are imposed at the City’s safe spaces. But, nonetheless, for the reasons that follow I find that the existence of those rules do not</w:t>
      </w:r>
      <w:r w:rsidR="008B48B7">
        <w:t xml:space="preserve"> prevent the safe spaces from constituting adequate alternative accommodation.</w:t>
      </w:r>
    </w:p>
    <w:p w14:paraId="5E0B65BA" w14:textId="77777777" w:rsidR="004C64F1" w:rsidRDefault="004C64F1" w:rsidP="004C64F1"/>
    <w:p w14:paraId="2087C851" w14:textId="30A83D27" w:rsidR="004C64F1" w:rsidRDefault="00370881" w:rsidP="00435ED5">
      <w:pPr>
        <w:pStyle w:val="Heading4"/>
      </w:pPr>
      <w:r>
        <w:t>The Safe Spaces’ Rules are Reasonable</w:t>
      </w:r>
    </w:p>
    <w:p w14:paraId="4BEE6F68" w14:textId="5F3EED12" w:rsidR="00F92E39" w:rsidRDefault="00ED74CB" w:rsidP="00ED74CB">
      <w:r>
        <w:rPr>
          <w:rFonts w:eastAsia="Times New Roman" w:cs="Arial"/>
          <w:color w:val="000000"/>
          <w:szCs w:val="24"/>
          <w:lang w:val="en-US" w:eastAsia="en-ZA"/>
        </w:rPr>
        <w:t>[166]</w:t>
      </w:r>
      <w:r>
        <w:rPr>
          <w:rFonts w:eastAsia="Times New Roman" w:cs="Arial"/>
          <w:color w:val="000000"/>
          <w:szCs w:val="24"/>
          <w:lang w:val="en-US" w:eastAsia="en-ZA"/>
        </w:rPr>
        <w:tab/>
      </w:r>
      <w:r w:rsidR="00F92E39">
        <w:t xml:space="preserve">There </w:t>
      </w:r>
      <w:r w:rsidR="00876C11">
        <w:t xml:space="preserve">are </w:t>
      </w:r>
      <w:r w:rsidR="00BA6099">
        <w:t xml:space="preserve">two preliminary </w:t>
      </w:r>
      <w:r w:rsidR="002B11EC">
        <w:t>issues to address before considering each of the rules with which the Occupiers took issue.</w:t>
      </w:r>
    </w:p>
    <w:p w14:paraId="218A62BD" w14:textId="55329AA4" w:rsidR="00370881" w:rsidRDefault="00ED74CB" w:rsidP="00ED74CB">
      <w:r>
        <w:rPr>
          <w:rFonts w:eastAsia="Times New Roman" w:cs="Arial"/>
          <w:color w:val="000000"/>
          <w:szCs w:val="24"/>
          <w:lang w:val="en-US" w:eastAsia="en-ZA"/>
        </w:rPr>
        <w:t>[167]</w:t>
      </w:r>
      <w:r>
        <w:rPr>
          <w:rFonts w:eastAsia="Times New Roman" w:cs="Arial"/>
          <w:color w:val="000000"/>
          <w:szCs w:val="24"/>
          <w:lang w:val="en-US" w:eastAsia="en-ZA"/>
        </w:rPr>
        <w:tab/>
      </w:r>
      <w:r w:rsidR="002B11EC" w:rsidRPr="00ED74CB">
        <w:rPr>
          <w:u w:val="single"/>
        </w:rPr>
        <w:t>First</w:t>
      </w:r>
      <w:r w:rsidR="002B11EC" w:rsidRPr="002B11EC">
        <w:t>, u</w:t>
      </w:r>
      <w:r w:rsidR="004C0EF6">
        <w:t xml:space="preserve">nlike in </w:t>
      </w:r>
      <w:r w:rsidR="004C0EF6" w:rsidRPr="00ED74CB">
        <w:rPr>
          <w:i/>
          <w:iCs/>
        </w:rPr>
        <w:t>Dladla</w:t>
      </w:r>
      <w:r w:rsidR="004C0EF6">
        <w:t>, this case is not a challenge to the rules of the safe space</w:t>
      </w:r>
      <w:r w:rsidR="00686B9C">
        <w:t>s</w:t>
      </w:r>
      <w:r w:rsidR="004C0EF6">
        <w:t xml:space="preserve">. The Occupiers have not brought a counter-application contending that those rules are unconstitutional and invalid. </w:t>
      </w:r>
      <w:r w:rsidR="00472F7A">
        <w:t xml:space="preserve">The permissibility of the rules arises in a different context – whether the </w:t>
      </w:r>
      <w:r w:rsidR="003C6299">
        <w:t>safe spaces are adequate alternative accommodation.</w:t>
      </w:r>
    </w:p>
    <w:p w14:paraId="0D56B877" w14:textId="00EE5AC0" w:rsidR="00FE3A65" w:rsidRDefault="00ED74CB" w:rsidP="00ED74CB">
      <w:r>
        <w:rPr>
          <w:rFonts w:eastAsia="Times New Roman" w:cs="Arial"/>
          <w:color w:val="000000"/>
          <w:szCs w:val="24"/>
          <w:lang w:val="en-US" w:eastAsia="en-ZA"/>
        </w:rPr>
        <w:t>[168]</w:t>
      </w:r>
      <w:r>
        <w:rPr>
          <w:rFonts w:eastAsia="Times New Roman" w:cs="Arial"/>
          <w:color w:val="000000"/>
          <w:szCs w:val="24"/>
          <w:lang w:val="en-US" w:eastAsia="en-ZA"/>
        </w:rPr>
        <w:tab/>
      </w:r>
      <w:r w:rsidR="003C6299">
        <w:t>The Occupiers were not obliged to separately challenge the rules. But the fact that they have not done so has an important</w:t>
      </w:r>
      <w:r w:rsidR="00DB35F5">
        <w:t xml:space="preserve"> doctrinal</w:t>
      </w:r>
      <w:r w:rsidR="003C6299">
        <w:t xml:space="preserve"> consequence that distinguishes this case from </w:t>
      </w:r>
      <w:r w:rsidR="003C6299" w:rsidRPr="00ED74CB">
        <w:rPr>
          <w:i/>
          <w:iCs/>
        </w:rPr>
        <w:t>Dladla</w:t>
      </w:r>
      <w:r w:rsidR="00F702E7">
        <w:t xml:space="preserve"> – I am concerned not only with whether the rules limit rights, but </w:t>
      </w:r>
      <w:r w:rsidR="00F702E7">
        <w:lastRenderedPageBreak/>
        <w:t>whether the safe</w:t>
      </w:r>
      <w:r w:rsidR="00D26256">
        <w:t xml:space="preserve"> spaces’ rules mean that the accommodation is not adequate</w:t>
      </w:r>
      <w:r w:rsidR="009F5E2D">
        <w:t xml:space="preserve"> for these Occupiers</w:t>
      </w:r>
      <w:r w:rsidR="00D26256">
        <w:t xml:space="preserve">. As I have already explained, that assessment is a </w:t>
      </w:r>
      <w:r w:rsidR="00DB35F5">
        <w:t>case-specific</w:t>
      </w:r>
      <w:r w:rsidR="00D26256">
        <w:t xml:space="preserve">, </w:t>
      </w:r>
      <w:r w:rsidR="00977695">
        <w:t>proportional enquiry that requires me to consider all relevant factors.</w:t>
      </w:r>
      <w:r w:rsidR="00C84C2A">
        <w:t xml:space="preserve"> I </w:t>
      </w:r>
      <w:r w:rsidR="006B02F2">
        <w:t>could notionally</w:t>
      </w:r>
      <w:r w:rsidR="00C84C2A">
        <w:t xml:space="preserve"> conclude that the rules limit rights, but still determine that the </w:t>
      </w:r>
      <w:r w:rsidR="001967FF">
        <w:t>safe spaces provide adequate alternative accommodation.</w:t>
      </w:r>
      <w:r w:rsidR="00F603FD">
        <w:rPr>
          <w:rStyle w:val="FootnoteReference"/>
        </w:rPr>
        <w:footnoteReference w:id="60"/>
      </w:r>
    </w:p>
    <w:p w14:paraId="279BDD7A" w14:textId="05F239D0" w:rsidR="003C6299" w:rsidRDefault="00ED74CB" w:rsidP="00ED74CB">
      <w:r>
        <w:rPr>
          <w:rFonts w:eastAsia="Times New Roman" w:cs="Arial"/>
          <w:color w:val="000000"/>
          <w:szCs w:val="24"/>
          <w:lang w:val="en-US" w:eastAsia="en-ZA"/>
        </w:rPr>
        <w:t>[169]</w:t>
      </w:r>
      <w:r>
        <w:rPr>
          <w:rFonts w:eastAsia="Times New Roman" w:cs="Arial"/>
          <w:color w:val="000000"/>
          <w:szCs w:val="24"/>
          <w:lang w:val="en-US" w:eastAsia="en-ZA"/>
        </w:rPr>
        <w:tab/>
      </w:r>
      <w:r w:rsidR="009F5E2D">
        <w:t xml:space="preserve">It also means that I must assess the rules with the </w:t>
      </w:r>
      <w:r w:rsidR="00FE3A65">
        <w:t xml:space="preserve">concessions that the City has made for these Applicants. Other homeless people who voluntarily enter the </w:t>
      </w:r>
      <w:r w:rsidR="005F0995">
        <w:t>s</w:t>
      </w:r>
      <w:r w:rsidR="00FE3A65">
        <w:t xml:space="preserve">afe </w:t>
      </w:r>
      <w:r w:rsidR="005F0995">
        <w:t>s</w:t>
      </w:r>
      <w:r w:rsidR="00FE3A65">
        <w:t xml:space="preserve">paces may not get the benefit of </w:t>
      </w:r>
      <w:r w:rsidR="0001754B">
        <w:t xml:space="preserve">guaranteed couples accommodation or guaranteed accommodation beyond six months. But then, they enter the </w:t>
      </w:r>
      <w:r w:rsidR="005F0995">
        <w:t>s</w:t>
      </w:r>
      <w:r w:rsidR="0001754B">
        <w:t xml:space="preserve">afe </w:t>
      </w:r>
      <w:r w:rsidR="005F0995">
        <w:t>s</w:t>
      </w:r>
      <w:r w:rsidR="0001754B">
        <w:t>paces voluntarily, not under threat of eviction.</w:t>
      </w:r>
    </w:p>
    <w:p w14:paraId="0CF37731" w14:textId="717C5B5B" w:rsidR="00E022CC" w:rsidRDefault="00ED74CB" w:rsidP="00ED74CB">
      <w:r>
        <w:rPr>
          <w:rFonts w:eastAsia="Times New Roman" w:cs="Arial"/>
          <w:color w:val="000000"/>
          <w:szCs w:val="24"/>
          <w:lang w:val="en-US" w:eastAsia="en-ZA"/>
        </w:rPr>
        <w:t>[170]</w:t>
      </w:r>
      <w:r>
        <w:rPr>
          <w:rFonts w:eastAsia="Times New Roman" w:cs="Arial"/>
          <w:color w:val="000000"/>
          <w:szCs w:val="24"/>
          <w:lang w:val="en-US" w:eastAsia="en-ZA"/>
        </w:rPr>
        <w:tab/>
      </w:r>
      <w:r w:rsidR="00126D86" w:rsidRPr="00ED74CB">
        <w:rPr>
          <w:u w:val="single"/>
        </w:rPr>
        <w:t>Second</w:t>
      </w:r>
      <w:r w:rsidR="00126D86">
        <w:t xml:space="preserve">, the City has – in the course of this litigation – significantly modified or relaxed the rules it initially imposed. </w:t>
      </w:r>
      <w:r w:rsidR="00142289">
        <w:t xml:space="preserve">It has made express compromises to address some of the Occupiers’ legitimate complaints. </w:t>
      </w:r>
      <w:r w:rsidR="00126D86">
        <w:t>I detail the nature of th</w:t>
      </w:r>
      <w:r w:rsidR="00142289">
        <w:t xml:space="preserve">ose </w:t>
      </w:r>
      <w:r w:rsidR="00C00BCE">
        <w:t xml:space="preserve">modifications when I address each rule below. </w:t>
      </w:r>
    </w:p>
    <w:p w14:paraId="03A38BE9" w14:textId="080C3761" w:rsidR="00E022CC" w:rsidRDefault="00ED74CB" w:rsidP="00ED74CB">
      <w:r>
        <w:rPr>
          <w:rFonts w:eastAsia="Times New Roman" w:cs="Arial"/>
          <w:color w:val="000000"/>
          <w:szCs w:val="24"/>
          <w:lang w:val="en-US" w:eastAsia="en-ZA"/>
        </w:rPr>
        <w:t>[171]</w:t>
      </w:r>
      <w:r>
        <w:rPr>
          <w:rFonts w:eastAsia="Times New Roman" w:cs="Arial"/>
          <w:color w:val="000000"/>
          <w:szCs w:val="24"/>
          <w:lang w:val="en-US" w:eastAsia="en-ZA"/>
        </w:rPr>
        <w:tab/>
      </w:r>
      <w:r w:rsidR="0048086A">
        <w:t xml:space="preserve">The Occupiers have, to some extent, been faced with a shifting target. </w:t>
      </w:r>
      <w:r w:rsidR="00C00BCE">
        <w:t xml:space="preserve">But the City should be praised for making </w:t>
      </w:r>
      <w:r w:rsidR="0048086A">
        <w:t xml:space="preserve">concessions </w:t>
      </w:r>
      <w:r w:rsidR="00E022CC">
        <w:t xml:space="preserve">in response to the concerns raised by the residents, even if it </w:t>
      </w:r>
      <w:r w:rsidR="00F758B1">
        <w:t>did</w:t>
      </w:r>
      <w:r w:rsidR="00E022CC">
        <w:t xml:space="preserve"> so</w:t>
      </w:r>
      <w:r w:rsidR="00F758B1">
        <w:t xml:space="preserve"> only in the course of litigation</w:t>
      </w:r>
      <w:r w:rsidR="00C00BCE">
        <w:t xml:space="preserve">. </w:t>
      </w:r>
      <w:r w:rsidR="00E022CC">
        <w:t xml:space="preserve">In </w:t>
      </w:r>
      <w:r w:rsidR="00E022CC" w:rsidRPr="00ED74CB">
        <w:rPr>
          <w:i/>
          <w:iCs/>
        </w:rPr>
        <w:t>Mazibuko</w:t>
      </w:r>
      <w:r w:rsidR="00E022CC">
        <w:t>, the Constitutional Court explained that, if</w:t>
      </w:r>
      <w:r w:rsidR="00E022CC" w:rsidRPr="00E022CC">
        <w:t xml:space="preserve"> </w:t>
      </w:r>
      <w:r w:rsidR="00E022CC">
        <w:t>“</w:t>
      </w:r>
      <w:r w:rsidR="00E022CC" w:rsidRPr="002D0D46">
        <w:t xml:space="preserve">one of the key goals of the entrenchment of social and economic rights is to ensure that government is responsive and </w:t>
      </w:r>
      <w:r w:rsidR="00E022CC" w:rsidRPr="002D0D46">
        <w:lastRenderedPageBreak/>
        <w:t>accountable to citizens through both the ballot box and litigation, then that goal will be served when a government respondent takes steps in response to litigation to ensure that the measures it adopts are reasonable, within the meaning of the Constitution.</w:t>
      </w:r>
      <w:r w:rsidR="009E06C9">
        <w:t>”</w:t>
      </w:r>
      <w:r w:rsidR="009E06C9">
        <w:rPr>
          <w:rStyle w:val="FootnoteReference"/>
        </w:rPr>
        <w:footnoteReference w:id="61"/>
      </w:r>
    </w:p>
    <w:p w14:paraId="40B85D8B" w14:textId="38609BEC" w:rsidR="00126D86" w:rsidRDefault="00ED74CB" w:rsidP="00ED74CB">
      <w:r>
        <w:rPr>
          <w:rFonts w:eastAsia="Times New Roman" w:cs="Arial"/>
          <w:color w:val="000000"/>
          <w:szCs w:val="24"/>
          <w:lang w:val="en-US" w:eastAsia="en-ZA"/>
        </w:rPr>
        <w:t>[172]</w:t>
      </w:r>
      <w:r>
        <w:rPr>
          <w:rFonts w:eastAsia="Times New Roman" w:cs="Arial"/>
          <w:color w:val="000000"/>
          <w:szCs w:val="24"/>
          <w:lang w:val="en-US" w:eastAsia="en-ZA"/>
        </w:rPr>
        <w:tab/>
      </w:r>
      <w:r w:rsidR="003B0CBC">
        <w:t>In the specific context of eviction litigation, t</w:t>
      </w:r>
      <w:r w:rsidR="00C00BCE">
        <w:t xml:space="preserve">he purpose of meaningful engagement in the context of an eviction is to listen. </w:t>
      </w:r>
      <w:r w:rsidR="003B0CBC">
        <w:t>O</w:t>
      </w:r>
      <w:r w:rsidR="00BC2C98">
        <w:t xml:space="preserve">ne of the key indications that the City </w:t>
      </w:r>
      <w:r w:rsidR="00BC2C98" w:rsidRPr="00ED74CB">
        <w:rPr>
          <w:i/>
          <w:iCs/>
        </w:rPr>
        <w:t xml:space="preserve">was </w:t>
      </w:r>
      <w:r w:rsidR="00BC2C98">
        <w:t>listening is that it altered its rules. The fact that it did so during the litigation rather than before</w:t>
      </w:r>
      <w:r w:rsidR="00DE51A4">
        <w:t xml:space="preserve">, should not </w:t>
      </w:r>
      <w:r w:rsidR="009641B2">
        <w:t>count against it in assessing the adequacy of the safe spaces.</w:t>
      </w:r>
    </w:p>
    <w:p w14:paraId="60FD510C" w14:textId="2FC31BD7" w:rsidR="00977695" w:rsidRDefault="00ED74CB" w:rsidP="00ED74CB">
      <w:r>
        <w:rPr>
          <w:rFonts w:eastAsia="Times New Roman" w:cs="Arial"/>
          <w:color w:val="000000"/>
          <w:szCs w:val="24"/>
          <w:lang w:val="en-US" w:eastAsia="en-ZA"/>
        </w:rPr>
        <w:t>[173]</w:t>
      </w:r>
      <w:r>
        <w:rPr>
          <w:rFonts w:eastAsia="Times New Roman" w:cs="Arial"/>
          <w:color w:val="000000"/>
          <w:szCs w:val="24"/>
          <w:lang w:val="en-US" w:eastAsia="en-ZA"/>
        </w:rPr>
        <w:tab/>
      </w:r>
      <w:r w:rsidR="00DE51A4">
        <w:t>That brings us to the specific rules.</w:t>
      </w:r>
    </w:p>
    <w:p w14:paraId="65BEDEBA" w14:textId="77777777" w:rsidR="002E2309" w:rsidRDefault="002E2309" w:rsidP="002E2309"/>
    <w:p w14:paraId="3DA22ECC" w14:textId="04CC5F54" w:rsidR="002E2309" w:rsidRDefault="002E2309" w:rsidP="002E2309">
      <w:r>
        <w:t>Security of Tenure</w:t>
      </w:r>
    </w:p>
    <w:p w14:paraId="0165ACE8" w14:textId="4277E5C6" w:rsidR="00767CDF" w:rsidRDefault="00ED74CB" w:rsidP="00ED74CB">
      <w:r>
        <w:rPr>
          <w:rFonts w:eastAsia="Times New Roman" w:cs="Arial"/>
          <w:color w:val="000000"/>
          <w:szCs w:val="24"/>
          <w:lang w:val="en-US" w:eastAsia="en-ZA"/>
        </w:rPr>
        <w:t>[174]</w:t>
      </w:r>
      <w:r>
        <w:rPr>
          <w:rFonts w:eastAsia="Times New Roman" w:cs="Arial"/>
          <w:color w:val="000000"/>
          <w:szCs w:val="24"/>
          <w:lang w:val="en-US" w:eastAsia="en-ZA"/>
        </w:rPr>
        <w:tab/>
      </w:r>
      <w:r w:rsidR="002E2309">
        <w:t xml:space="preserve">Initially, the </w:t>
      </w:r>
      <w:r w:rsidR="00592CF6">
        <w:t>s</w:t>
      </w:r>
      <w:r w:rsidR="002E2309">
        <w:t xml:space="preserve">afe </w:t>
      </w:r>
      <w:r w:rsidR="00592CF6">
        <w:t>s</w:t>
      </w:r>
      <w:r w:rsidR="002E2309">
        <w:t>pace rules provided</w:t>
      </w:r>
      <w:r w:rsidR="00170ABC">
        <w:t xml:space="preserve"> that the “</w:t>
      </w:r>
      <w:r w:rsidR="00170ABC" w:rsidRPr="00592CF6">
        <w:t>period of initial stay</w:t>
      </w:r>
      <w:r w:rsidR="00170ABC">
        <w:t xml:space="preserve">” was six months. </w:t>
      </w:r>
      <w:r w:rsidR="009641B2">
        <w:t>The City</w:t>
      </w:r>
      <w:r w:rsidR="00170ABC">
        <w:t xml:space="preserve"> explained in its replying affidavit and heads of argument that this was applied flexibly.</w:t>
      </w:r>
      <w:r w:rsidR="00767CDF">
        <w:t xml:space="preserve"> The Occupiers claimed that this was insufficient to guarantee that they would not again be rendered homeless after six months. </w:t>
      </w:r>
    </w:p>
    <w:p w14:paraId="3F1E8B9A" w14:textId="008D12B2" w:rsidR="00732D72" w:rsidRDefault="00ED74CB" w:rsidP="00ED74CB">
      <w:r>
        <w:rPr>
          <w:rFonts w:eastAsia="Times New Roman" w:cs="Arial"/>
          <w:color w:val="000000"/>
          <w:szCs w:val="24"/>
          <w:lang w:val="en-US" w:eastAsia="en-ZA"/>
        </w:rPr>
        <w:t>[175]</w:t>
      </w:r>
      <w:r>
        <w:rPr>
          <w:rFonts w:eastAsia="Times New Roman" w:cs="Arial"/>
          <w:color w:val="000000"/>
          <w:szCs w:val="24"/>
          <w:lang w:val="en-US" w:eastAsia="en-ZA"/>
        </w:rPr>
        <w:tab/>
      </w:r>
      <w:r w:rsidR="00767CDF">
        <w:t xml:space="preserve">Following the request by this Court, </w:t>
      </w:r>
      <w:r w:rsidR="009641B2">
        <w:t>the City</w:t>
      </w:r>
      <w:r w:rsidR="00767CDF">
        <w:t xml:space="preserve"> </w:t>
      </w:r>
      <w:r w:rsidR="00732D72">
        <w:t>stated that it would accept an order in these terms:</w:t>
      </w:r>
      <w:r w:rsidR="00BF709D">
        <w:t xml:space="preserve"> “</w:t>
      </w:r>
      <w:r w:rsidR="00BF709D" w:rsidRPr="00592CF6">
        <w:t>The Respondents who take up the Safe Spaces shall be entitled to an initial six-month stay, which shall be extended until they have acquired alternative accommodation</w:t>
      </w:r>
      <w:r w:rsidR="00C07AE6">
        <w:t>”. This offer is subject only to one proviso:</w:t>
      </w:r>
      <w:r w:rsidR="00BA09CB" w:rsidRPr="00ED74CB">
        <w:rPr>
          <w:i/>
          <w:iCs/>
        </w:rPr>
        <w:t xml:space="preserve"> </w:t>
      </w:r>
      <w:r w:rsidR="00BA09CB">
        <w:t>that the occupier engages</w:t>
      </w:r>
      <w:r w:rsidR="00BF709D" w:rsidRPr="00ED74CB">
        <w:rPr>
          <w:i/>
          <w:iCs/>
        </w:rPr>
        <w:t xml:space="preserve"> </w:t>
      </w:r>
      <w:r w:rsidR="00BA09CB">
        <w:t>“</w:t>
      </w:r>
      <w:r w:rsidR="00BF709D" w:rsidRPr="00592CF6">
        <w:t>with the City and co-operating in meeting their Personal Development Plan.</w:t>
      </w:r>
      <w:r w:rsidR="00BF709D">
        <w:t>”</w:t>
      </w:r>
      <w:r w:rsidR="00957843">
        <w:t xml:space="preserve"> </w:t>
      </w:r>
    </w:p>
    <w:p w14:paraId="48D0892C" w14:textId="265A4BE0" w:rsidR="00CD29CB" w:rsidRDefault="00ED74CB" w:rsidP="00ED74CB">
      <w:r>
        <w:rPr>
          <w:rFonts w:eastAsia="Times New Roman" w:cs="Arial"/>
          <w:color w:val="000000"/>
          <w:szCs w:val="24"/>
          <w:lang w:val="en-US" w:eastAsia="en-ZA"/>
        </w:rPr>
        <w:lastRenderedPageBreak/>
        <w:t>[176]</w:t>
      </w:r>
      <w:r>
        <w:rPr>
          <w:rFonts w:eastAsia="Times New Roman" w:cs="Arial"/>
          <w:color w:val="000000"/>
          <w:szCs w:val="24"/>
          <w:lang w:val="en-US" w:eastAsia="en-ZA"/>
        </w:rPr>
        <w:tab/>
      </w:r>
      <w:r w:rsidR="00CD29CB">
        <w:t xml:space="preserve">In response, the Occupiers </w:t>
      </w:r>
      <w:r w:rsidR="00701D65">
        <w:t>did not object to the proviso</w:t>
      </w:r>
      <w:r w:rsidR="00C07AE6">
        <w:t>.</w:t>
      </w:r>
      <w:r w:rsidR="00BA09CB">
        <w:t xml:space="preserve"> Instead, they </w:t>
      </w:r>
      <w:r w:rsidR="00CD29CB">
        <w:t xml:space="preserve">contended that this would have the unintentional effect of making safe spaces – which are </w:t>
      </w:r>
      <w:r w:rsidR="002D3AA5">
        <w:t>intended to be temporary – into permanent or semi-permanent accommodation. While the safe spaces may be adequate as a temporary measure,</w:t>
      </w:r>
      <w:r w:rsidR="00701D65">
        <w:t xml:space="preserve"> the Occupiers argued,</w:t>
      </w:r>
      <w:r w:rsidR="002D3AA5">
        <w:t xml:space="preserve"> they could not be adequate for long term stays.</w:t>
      </w:r>
    </w:p>
    <w:p w14:paraId="55AF7B2B" w14:textId="479CD70E" w:rsidR="002D3AA5" w:rsidRDefault="00ED74CB" w:rsidP="00ED74CB">
      <w:r>
        <w:rPr>
          <w:rFonts w:eastAsia="Times New Roman" w:cs="Arial"/>
          <w:color w:val="000000"/>
          <w:szCs w:val="24"/>
          <w:lang w:val="en-US" w:eastAsia="en-ZA"/>
        </w:rPr>
        <w:t>[177]</w:t>
      </w:r>
      <w:r>
        <w:rPr>
          <w:rFonts w:eastAsia="Times New Roman" w:cs="Arial"/>
          <w:color w:val="000000"/>
          <w:szCs w:val="24"/>
          <w:lang w:val="en-US" w:eastAsia="en-ZA"/>
        </w:rPr>
        <w:tab/>
      </w:r>
      <w:r w:rsidR="00C21156">
        <w:t>As originally stated, the six-month rule was unsatisfactory. I agree with the Occupiers that it would not be adequate to rely simply on “flexibility” in applying that rule without some guidelines to indicate when people would be required to leave and when they would be permitted to stay.</w:t>
      </w:r>
      <w:r w:rsidR="00294BA3">
        <w:rPr>
          <w:rStyle w:val="FootnoteReference"/>
        </w:rPr>
        <w:footnoteReference w:id="62"/>
      </w:r>
    </w:p>
    <w:p w14:paraId="2DEC6BE9" w14:textId="7D823319" w:rsidR="00F9576A" w:rsidRDefault="00ED74CB" w:rsidP="00ED74CB">
      <w:r>
        <w:rPr>
          <w:rFonts w:eastAsia="Times New Roman" w:cs="Arial"/>
          <w:color w:val="000000"/>
          <w:szCs w:val="24"/>
          <w:lang w:val="en-US" w:eastAsia="en-ZA"/>
        </w:rPr>
        <w:t>[178]</w:t>
      </w:r>
      <w:r>
        <w:rPr>
          <w:rFonts w:eastAsia="Times New Roman" w:cs="Arial"/>
          <w:color w:val="000000"/>
          <w:szCs w:val="24"/>
          <w:lang w:val="en-US" w:eastAsia="en-ZA"/>
        </w:rPr>
        <w:tab/>
      </w:r>
      <w:r w:rsidR="00C21156">
        <w:t xml:space="preserve">But the City has now committed that – at least for these Occupiers – </w:t>
      </w:r>
      <w:r w:rsidR="00075218">
        <w:t>they can stay for as long as they need</w:t>
      </w:r>
      <w:r w:rsidR="008209B1">
        <w:t>;</w:t>
      </w:r>
      <w:r w:rsidR="00701D65">
        <w:t xml:space="preserve"> provided </w:t>
      </w:r>
      <w:r w:rsidR="00BA09CB">
        <w:t xml:space="preserve">only that they </w:t>
      </w:r>
      <w:r w:rsidR="005A7824">
        <w:t>cooperate</w:t>
      </w:r>
      <w:r w:rsidR="00BA09CB">
        <w:t xml:space="preserve"> with the City</w:t>
      </w:r>
      <w:r w:rsidR="00075218">
        <w:t xml:space="preserve">. </w:t>
      </w:r>
      <w:r w:rsidR="008B3E67">
        <w:t xml:space="preserve">In my view the offer is reasonable. I accept the Occupiers’ concern that the </w:t>
      </w:r>
      <w:r w:rsidR="00DC593C">
        <w:t>s</w:t>
      </w:r>
      <w:r w:rsidR="008B3E67">
        <w:t xml:space="preserve">afe </w:t>
      </w:r>
      <w:r w:rsidR="00DC593C">
        <w:t>s</w:t>
      </w:r>
      <w:r w:rsidR="008B3E67">
        <w:t>paces should not become permanent accommodation. But the City has no incentive to do that</w:t>
      </w:r>
      <w:r w:rsidR="002E40F7">
        <w:t>; i</w:t>
      </w:r>
      <w:r w:rsidR="008B3E67">
        <w:t xml:space="preserve">ts goal is to get people out of </w:t>
      </w:r>
      <w:r w:rsidR="00DC593C">
        <w:t>s</w:t>
      </w:r>
      <w:r w:rsidR="00B8540C">
        <w:t xml:space="preserve">afe </w:t>
      </w:r>
      <w:r w:rsidR="00DC593C">
        <w:t>s</w:t>
      </w:r>
      <w:r w:rsidR="00B8540C">
        <w:t xml:space="preserve">paces and into more permanent accommodation. </w:t>
      </w:r>
      <w:r w:rsidR="00DC593C">
        <w:t xml:space="preserve">That not only achieves the goal of </w:t>
      </w:r>
      <w:r w:rsidR="00F9576A">
        <w:t>reintegrating those in the safe spaces, it frees up spots for other people</w:t>
      </w:r>
      <w:r w:rsidR="002564CC">
        <w:t>.</w:t>
      </w:r>
    </w:p>
    <w:p w14:paraId="27959961" w14:textId="292770C1" w:rsidR="00C21156" w:rsidRDefault="00ED74CB" w:rsidP="00ED74CB">
      <w:r>
        <w:rPr>
          <w:rFonts w:eastAsia="Times New Roman" w:cs="Arial"/>
          <w:color w:val="000000"/>
          <w:szCs w:val="24"/>
          <w:lang w:val="en-US" w:eastAsia="en-ZA"/>
        </w:rPr>
        <w:t>[179]</w:t>
      </w:r>
      <w:r>
        <w:rPr>
          <w:rFonts w:eastAsia="Times New Roman" w:cs="Arial"/>
          <w:color w:val="000000"/>
          <w:szCs w:val="24"/>
          <w:lang w:val="en-US" w:eastAsia="en-ZA"/>
        </w:rPr>
        <w:tab/>
      </w:r>
      <w:r w:rsidR="00B8540C">
        <w:t xml:space="preserve">We also cannot lose sight </w:t>
      </w:r>
      <w:r w:rsidR="005A7824">
        <w:t xml:space="preserve">of </w:t>
      </w:r>
      <w:r w:rsidR="002E40F7">
        <w:t>where the Occupiers are currently</w:t>
      </w:r>
      <w:r w:rsidR="00B8540C">
        <w:t xml:space="preserve"> living</w:t>
      </w:r>
      <w:r w:rsidR="002E40F7">
        <w:t>;</w:t>
      </w:r>
      <w:r w:rsidR="00B8540C">
        <w:t xml:space="preserve"> on the pavement. </w:t>
      </w:r>
      <w:r w:rsidR="002E40F7">
        <w:t xml:space="preserve">Unlike in </w:t>
      </w:r>
      <w:r w:rsidR="002E40F7" w:rsidRPr="00ED74CB">
        <w:rPr>
          <w:i/>
          <w:iCs/>
        </w:rPr>
        <w:t>Dladla</w:t>
      </w:r>
      <w:r w:rsidR="002E40F7">
        <w:t>,</w:t>
      </w:r>
      <w:r w:rsidR="002E40F7" w:rsidRPr="00ED74CB">
        <w:rPr>
          <w:i/>
          <w:iCs/>
        </w:rPr>
        <w:t xml:space="preserve"> </w:t>
      </w:r>
      <w:r w:rsidR="002E40F7">
        <w:t>the Safe Spaces are more dignified than their current situation, not less.</w:t>
      </w:r>
    </w:p>
    <w:p w14:paraId="4D04AA9E" w14:textId="77777777" w:rsidR="00DE51A4" w:rsidRDefault="00DE51A4" w:rsidP="00DE51A4"/>
    <w:p w14:paraId="7CDD9441" w14:textId="5EB07FFD" w:rsidR="00DE51A4" w:rsidRDefault="00DE51A4" w:rsidP="00DE51A4">
      <w:r>
        <w:lastRenderedPageBreak/>
        <w:t xml:space="preserve">The </w:t>
      </w:r>
      <w:r w:rsidR="00504FFA">
        <w:t>Family Separation Rule</w:t>
      </w:r>
    </w:p>
    <w:p w14:paraId="2074C950" w14:textId="2893C651" w:rsidR="00DE51A4" w:rsidRDefault="00ED74CB" w:rsidP="00ED74CB">
      <w:r>
        <w:rPr>
          <w:rFonts w:eastAsia="Times New Roman" w:cs="Arial"/>
          <w:color w:val="000000"/>
          <w:szCs w:val="24"/>
          <w:lang w:val="en-US" w:eastAsia="en-ZA"/>
        </w:rPr>
        <w:t>[180]</w:t>
      </w:r>
      <w:r>
        <w:rPr>
          <w:rFonts w:eastAsia="Times New Roman" w:cs="Arial"/>
          <w:color w:val="000000"/>
          <w:szCs w:val="24"/>
          <w:lang w:val="en-US" w:eastAsia="en-ZA"/>
        </w:rPr>
        <w:tab/>
      </w:r>
      <w:r w:rsidR="00E46823">
        <w:t>The Cit</w:t>
      </w:r>
      <w:r w:rsidR="001F4C4A">
        <w:t>y defended the Safe Space rules to keep single men and women separately. This was necessary primarily to ensure that women are protected from gender</w:t>
      </w:r>
      <w:r w:rsidR="003165DA">
        <w:t>-</w:t>
      </w:r>
      <w:r w:rsidR="001F4C4A">
        <w:t>based violence. The Occupiers did not take issue with this basic goal</w:t>
      </w:r>
      <w:r w:rsidR="005A7824">
        <w:t xml:space="preserve"> for single people</w:t>
      </w:r>
      <w:r w:rsidR="001F4C4A">
        <w:t>.</w:t>
      </w:r>
      <w:r w:rsidR="005A7824">
        <w:t xml:space="preserve"> But they argued that the safe spaces should make provision for couples and families.</w:t>
      </w:r>
    </w:p>
    <w:p w14:paraId="5ED2B3C0" w14:textId="38332FC6" w:rsidR="001F4C4A" w:rsidRDefault="00ED74CB" w:rsidP="00ED74CB">
      <w:r>
        <w:rPr>
          <w:rFonts w:eastAsia="Times New Roman" w:cs="Arial"/>
          <w:color w:val="000000"/>
          <w:szCs w:val="24"/>
          <w:lang w:val="en-US" w:eastAsia="en-ZA"/>
        </w:rPr>
        <w:t>[181]</w:t>
      </w:r>
      <w:r>
        <w:rPr>
          <w:rFonts w:eastAsia="Times New Roman" w:cs="Arial"/>
          <w:color w:val="000000"/>
          <w:szCs w:val="24"/>
          <w:lang w:val="en-US" w:eastAsia="en-ZA"/>
        </w:rPr>
        <w:tab/>
      </w:r>
      <w:r w:rsidR="001F4C4A">
        <w:t xml:space="preserve">Initially, the City </w:t>
      </w:r>
      <w:r w:rsidR="00653955">
        <w:t xml:space="preserve">made a limited offer for couples. It noted that couples’ accommodation was already available at Safe Space </w:t>
      </w:r>
      <w:r w:rsidR="005A7824">
        <w:t>1</w:t>
      </w:r>
      <w:r w:rsidR="00EA3536">
        <w:t xml:space="preserve">, and that it could be made available at Paint City. Eventually, through the process of engagement, it offered to ensure that couples accommodation would be available for </w:t>
      </w:r>
      <w:r w:rsidR="00EA3536" w:rsidRPr="00ED74CB">
        <w:rPr>
          <w:u w:val="single"/>
        </w:rPr>
        <w:t>all couples</w:t>
      </w:r>
      <w:r w:rsidR="00EA3536">
        <w:t>.</w:t>
      </w:r>
      <w:r w:rsidR="001075CC">
        <w:t xml:space="preserve"> To my mind, that answers the Occupiers’ complaint. The </w:t>
      </w:r>
      <w:r w:rsidR="00B441D5">
        <w:t>basis on which alternative accommodation will be provided under my order will be on the condition that every couple is accommodated as a couple.</w:t>
      </w:r>
    </w:p>
    <w:p w14:paraId="7E43AC0F" w14:textId="6D15B768" w:rsidR="00F93408" w:rsidRDefault="00ED74CB" w:rsidP="00ED74CB">
      <w:r>
        <w:rPr>
          <w:rFonts w:eastAsia="Times New Roman" w:cs="Arial"/>
          <w:color w:val="000000"/>
          <w:szCs w:val="24"/>
          <w:lang w:val="en-US" w:eastAsia="en-ZA"/>
        </w:rPr>
        <w:t>[182]</w:t>
      </w:r>
      <w:r>
        <w:rPr>
          <w:rFonts w:eastAsia="Times New Roman" w:cs="Arial"/>
          <w:color w:val="000000"/>
          <w:szCs w:val="24"/>
          <w:lang w:val="en-US" w:eastAsia="en-ZA"/>
        </w:rPr>
        <w:tab/>
      </w:r>
      <w:r w:rsidR="00F93408">
        <w:t>The Occupiers complain that the couples’ accommodation is inadequate</w:t>
      </w:r>
      <w:r w:rsidR="00295A6F">
        <w:t>. They are permitted to erect “flimsy” separation that</w:t>
      </w:r>
      <w:r w:rsidR="00F93408">
        <w:t xml:space="preserve"> offers insufficient privacy</w:t>
      </w:r>
      <w:r w:rsidR="00491DDC">
        <w:t xml:space="preserve">. I accept that the </w:t>
      </w:r>
      <w:r w:rsidR="0059033D">
        <w:t xml:space="preserve">privacy may be limited. Ideally, couples would have separate rooms which they could lock. </w:t>
      </w:r>
      <w:r w:rsidR="008A6535">
        <w:t>If the City upgrades the safe spaces it may consider increasing the privacy couples can enjoy. But in my view, the City has done enough to meet the minimum requirements to accommodate couples.</w:t>
      </w:r>
    </w:p>
    <w:p w14:paraId="3BA28F10" w14:textId="502644D1" w:rsidR="0067708F" w:rsidRDefault="00ED74CB" w:rsidP="00ED74CB">
      <w:r>
        <w:rPr>
          <w:rFonts w:eastAsia="Times New Roman" w:cs="Arial"/>
          <w:color w:val="000000"/>
          <w:szCs w:val="24"/>
          <w:lang w:val="en-US" w:eastAsia="en-ZA"/>
        </w:rPr>
        <w:t>[183]</w:t>
      </w:r>
      <w:r>
        <w:rPr>
          <w:rFonts w:eastAsia="Times New Roman" w:cs="Arial"/>
          <w:color w:val="000000"/>
          <w:szCs w:val="24"/>
          <w:lang w:val="en-US" w:eastAsia="en-ZA"/>
        </w:rPr>
        <w:tab/>
      </w:r>
      <w:r w:rsidR="0067708F">
        <w:t xml:space="preserve">The City took the view – and the Occupiers did not disagree – that the </w:t>
      </w:r>
      <w:r w:rsidR="00877766">
        <w:t>s</w:t>
      </w:r>
      <w:r w:rsidR="0067708F">
        <w:t xml:space="preserve">afe </w:t>
      </w:r>
      <w:r w:rsidR="00877766">
        <w:t>s</w:t>
      </w:r>
      <w:r w:rsidR="0067708F">
        <w:t>paces were not suitable for children. It undertook that those children</w:t>
      </w:r>
      <w:r w:rsidR="00877766">
        <w:t xml:space="preserve"> (and their families)</w:t>
      </w:r>
      <w:r w:rsidR="0067708F">
        <w:t xml:space="preserve"> that were found to be present at the site</w:t>
      </w:r>
      <w:r w:rsidR="00877766">
        <w:t>s</w:t>
      </w:r>
      <w:r w:rsidR="0067708F">
        <w:t xml:space="preserve"> </w:t>
      </w:r>
      <w:r w:rsidR="002E7F2B">
        <w:t>would be dealt with differently. I return to that issue when I address the just and equitable remedy.</w:t>
      </w:r>
    </w:p>
    <w:p w14:paraId="35DF827C" w14:textId="77777777" w:rsidR="00811A31" w:rsidRDefault="00811A31" w:rsidP="00811A31"/>
    <w:p w14:paraId="0D6702B4" w14:textId="06E8ACFA" w:rsidR="00811A31" w:rsidRDefault="00811A31" w:rsidP="00811A31">
      <w:r>
        <w:t>Lockout</w:t>
      </w:r>
    </w:p>
    <w:p w14:paraId="4ED51464" w14:textId="31EF0841" w:rsidR="00811A31" w:rsidRDefault="00ED74CB" w:rsidP="00ED74CB">
      <w:r>
        <w:rPr>
          <w:rFonts w:eastAsia="Times New Roman" w:cs="Arial"/>
          <w:color w:val="000000"/>
          <w:szCs w:val="24"/>
          <w:lang w:val="en-US" w:eastAsia="en-ZA"/>
        </w:rPr>
        <w:t>[184]</w:t>
      </w:r>
      <w:r>
        <w:rPr>
          <w:rFonts w:eastAsia="Times New Roman" w:cs="Arial"/>
          <w:color w:val="000000"/>
          <w:szCs w:val="24"/>
          <w:lang w:val="en-US" w:eastAsia="en-ZA"/>
        </w:rPr>
        <w:tab/>
      </w:r>
      <w:r w:rsidR="002E0FFD">
        <w:t>Initially, the lockout rule was strictly stated. But the City relaxed it so that it now reads: “</w:t>
      </w:r>
      <w:r w:rsidR="002E0FFD" w:rsidRPr="00877766">
        <w:t xml:space="preserve">Residents will be encouraged to </w:t>
      </w:r>
      <w:r w:rsidR="00D27927" w:rsidRPr="00877766">
        <w:t>vacate the site between 8:30 and 17h00 every day unless the personal circumstances of any resident makes this unreasonable on a day or for a period of time.</w:t>
      </w:r>
      <w:r w:rsidR="00D27927">
        <w:t xml:space="preserve">” The Occupiers expressly accepted in their counsels’ heads of argument that </w:t>
      </w:r>
      <w:r w:rsidR="004B3E95">
        <w:t>t</w:t>
      </w:r>
      <w:r w:rsidR="00D27927">
        <w:t>his amended rule “</w:t>
      </w:r>
      <w:r w:rsidR="00D27927" w:rsidRPr="00877766">
        <w:t>is now consistent with the Constitution.</w:t>
      </w:r>
      <w:r w:rsidR="00D27927">
        <w:t>”</w:t>
      </w:r>
    </w:p>
    <w:p w14:paraId="75A1F600" w14:textId="480BDDCA" w:rsidR="00D27927" w:rsidRDefault="00ED74CB" w:rsidP="00ED74CB">
      <w:r>
        <w:rPr>
          <w:rFonts w:eastAsia="Times New Roman" w:cs="Arial"/>
          <w:color w:val="000000"/>
          <w:szCs w:val="24"/>
          <w:lang w:val="en-US" w:eastAsia="en-ZA"/>
        </w:rPr>
        <w:t>[185]</w:t>
      </w:r>
      <w:r>
        <w:rPr>
          <w:rFonts w:eastAsia="Times New Roman" w:cs="Arial"/>
          <w:color w:val="000000"/>
          <w:szCs w:val="24"/>
          <w:lang w:val="en-US" w:eastAsia="en-ZA"/>
        </w:rPr>
        <w:tab/>
      </w:r>
      <w:r w:rsidR="00D27927">
        <w:t xml:space="preserve">In my view, that concession was correctly made. </w:t>
      </w:r>
      <w:r w:rsidR="00361DD8">
        <w:t xml:space="preserve">As </w:t>
      </w:r>
      <w:r w:rsidR="00361DD8" w:rsidRPr="00ED74CB">
        <w:rPr>
          <w:i/>
          <w:iCs/>
        </w:rPr>
        <w:t xml:space="preserve">Dladla </w:t>
      </w:r>
      <w:r w:rsidR="00361DD8">
        <w:t>holds, a strictly</w:t>
      </w:r>
      <w:r w:rsidR="00361DD8">
        <w:noBreakHyphen/>
        <w:t xml:space="preserve">enforced lockout rule </w:t>
      </w:r>
      <w:r w:rsidR="00F02062">
        <w:t>is unconstitutional. But a rule which encourages people to leave the safe space, rather than kicking them out, does not.</w:t>
      </w:r>
    </w:p>
    <w:p w14:paraId="3378B24C" w14:textId="77777777" w:rsidR="00673EB9" w:rsidRDefault="00673EB9" w:rsidP="00673EB9"/>
    <w:p w14:paraId="6F85A45F" w14:textId="202B9DF3" w:rsidR="00673EB9" w:rsidRDefault="00673EB9" w:rsidP="00673EB9">
      <w:pPr>
        <w:pStyle w:val="Heading4"/>
      </w:pPr>
      <w:r>
        <w:t>Conclusion</w:t>
      </w:r>
    </w:p>
    <w:p w14:paraId="46E33DEF" w14:textId="6CE8E9EE" w:rsidR="00626CDB" w:rsidRDefault="00ED74CB" w:rsidP="00ED74CB">
      <w:r>
        <w:rPr>
          <w:rFonts w:eastAsia="Times New Roman" w:cs="Arial"/>
          <w:color w:val="000000"/>
          <w:szCs w:val="24"/>
          <w:lang w:val="en-US" w:eastAsia="en-ZA"/>
        </w:rPr>
        <w:t>[186]</w:t>
      </w:r>
      <w:r>
        <w:rPr>
          <w:rFonts w:eastAsia="Times New Roman" w:cs="Arial"/>
          <w:color w:val="000000"/>
          <w:szCs w:val="24"/>
          <w:lang w:val="en-US" w:eastAsia="en-ZA"/>
        </w:rPr>
        <w:tab/>
      </w:r>
      <w:r w:rsidR="00626CDB">
        <w:t>As they originally stood, the rules of the safe spaces may well hav</w:t>
      </w:r>
      <w:r w:rsidR="005F3374">
        <w:t>e been too restrictive. But the rules have been relaxed to accommodate all the Occupiers’ legitimate concerns.</w:t>
      </w:r>
    </w:p>
    <w:p w14:paraId="61A9E954" w14:textId="74367643" w:rsidR="00673EB9" w:rsidRDefault="00ED74CB" w:rsidP="00ED74CB">
      <w:r>
        <w:rPr>
          <w:rFonts w:eastAsia="Times New Roman" w:cs="Arial"/>
          <w:color w:val="000000"/>
          <w:szCs w:val="24"/>
          <w:lang w:val="en-US" w:eastAsia="en-ZA"/>
        </w:rPr>
        <w:t>[187]</w:t>
      </w:r>
      <w:r>
        <w:rPr>
          <w:rFonts w:eastAsia="Times New Roman" w:cs="Arial"/>
          <w:color w:val="000000"/>
          <w:szCs w:val="24"/>
          <w:lang w:val="en-US" w:eastAsia="en-ZA"/>
        </w:rPr>
        <w:tab/>
      </w:r>
      <w:r w:rsidR="00673EB9">
        <w:t xml:space="preserve">The safe spaces are adequate alternative accommodation for these Occupiers. They are better than the occupiers’ current conditions, and offer enough to meet the standard of adequacy. </w:t>
      </w:r>
      <w:r w:rsidR="00315419">
        <w:t xml:space="preserve">Most importantly, Safe Space 1 is in the city centre where the City acknowledges the Occupiers must stay to earn a living. </w:t>
      </w:r>
      <w:r w:rsidR="00673EB9">
        <w:t xml:space="preserve">Not only do they offer accommodation, they </w:t>
      </w:r>
      <w:r w:rsidR="004B3E95">
        <w:t>offer meals, toiletries, safety, access to healthcare, drug rehabilitation</w:t>
      </w:r>
      <w:r w:rsidR="00886455">
        <w:t xml:space="preserve">, work opportunities and, most importantly, a </w:t>
      </w:r>
      <w:r w:rsidR="00673EB9">
        <w:t xml:space="preserve">promise a </w:t>
      </w:r>
      <w:r w:rsidR="001F201E">
        <w:t>plausible path out of homelessness and to permanent accommodation.</w:t>
      </w:r>
    </w:p>
    <w:p w14:paraId="2948F464" w14:textId="738523FE" w:rsidR="00E474BF" w:rsidRDefault="00ED74CB" w:rsidP="00ED74CB">
      <w:r>
        <w:rPr>
          <w:rFonts w:eastAsia="Times New Roman" w:cs="Arial"/>
          <w:color w:val="000000"/>
          <w:szCs w:val="24"/>
          <w:lang w:val="en-US" w:eastAsia="en-ZA"/>
        </w:rPr>
        <w:lastRenderedPageBreak/>
        <w:t>[188]</w:t>
      </w:r>
      <w:r>
        <w:rPr>
          <w:rFonts w:eastAsia="Times New Roman" w:cs="Arial"/>
          <w:color w:val="000000"/>
          <w:szCs w:val="24"/>
          <w:lang w:val="en-US" w:eastAsia="en-ZA"/>
        </w:rPr>
        <w:tab/>
      </w:r>
      <w:r w:rsidR="00E474BF">
        <w:t xml:space="preserve">The Occupiers aver that the </w:t>
      </w:r>
      <w:r w:rsidR="00EC1571">
        <w:t>safe spaces create “a perpetual cycle of homelessness”.</w:t>
      </w:r>
      <w:r w:rsidR="00DD6995">
        <w:t xml:space="preserve"> T</w:t>
      </w:r>
      <w:r w:rsidR="00EC1571">
        <w:t xml:space="preserve">hat claim is not borne out </w:t>
      </w:r>
      <w:r w:rsidR="00025CA6">
        <w:t>by</w:t>
      </w:r>
      <w:r w:rsidR="00EC1571">
        <w:t xml:space="preserve"> the evidence before me.</w:t>
      </w:r>
      <w:r w:rsidR="00DD6995">
        <w:t xml:space="preserve"> The evidence before me </w:t>
      </w:r>
      <w:r w:rsidR="00986B52">
        <w:t xml:space="preserve">is that they provide the basic shelter people need, and at least some of the resources to escape homelessness. </w:t>
      </w:r>
      <w:r w:rsidR="00AD26C6">
        <w:t>The evidence shows that they have had at least some success. Indeed, the report put up by the Occupiers themselves calls for the expansion of the safe space model.</w:t>
      </w:r>
      <w:r w:rsidR="009447FD">
        <w:t xml:space="preserve"> Roughly a third of the Occupiers have indicated they would be willing to move to the safe spaces if evicted.</w:t>
      </w:r>
    </w:p>
    <w:p w14:paraId="36258EC7" w14:textId="5B6F9B7A" w:rsidR="00673EB9" w:rsidRDefault="00ED74CB" w:rsidP="00ED74CB">
      <w:r>
        <w:rPr>
          <w:rFonts w:eastAsia="Times New Roman" w:cs="Arial"/>
          <w:color w:val="000000"/>
          <w:szCs w:val="24"/>
          <w:lang w:val="en-US" w:eastAsia="en-ZA"/>
        </w:rPr>
        <w:t>[189]</w:t>
      </w:r>
      <w:r>
        <w:rPr>
          <w:rFonts w:eastAsia="Times New Roman" w:cs="Arial"/>
          <w:color w:val="000000"/>
          <w:szCs w:val="24"/>
          <w:lang w:val="en-US" w:eastAsia="en-ZA"/>
        </w:rPr>
        <w:tab/>
      </w:r>
      <w:r w:rsidR="00673EB9">
        <w:t>That does not mean the</w:t>
      </w:r>
      <w:r w:rsidR="009447FD">
        <w:t xml:space="preserve"> safe spaces</w:t>
      </w:r>
      <w:r w:rsidR="00673EB9">
        <w:t xml:space="preserve"> are perfect. No </w:t>
      </w:r>
      <w:r w:rsidR="001F201E">
        <w:t xml:space="preserve">doubt they can be improved. The City should always be open to improvement. </w:t>
      </w:r>
      <w:r w:rsidR="00B532C8">
        <w:t>And i</w:t>
      </w:r>
      <w:r w:rsidR="00CE0362">
        <w:t xml:space="preserve">t does not mean they are the best or only solution to homelessness in the City. </w:t>
      </w:r>
      <w:r w:rsidR="001F201E">
        <w:t xml:space="preserve">But they </w:t>
      </w:r>
      <w:r w:rsidR="00CE0362">
        <w:t>meet the standard of reasonableness.</w:t>
      </w:r>
    </w:p>
    <w:p w14:paraId="11FEC84D" w14:textId="445D09FE" w:rsidR="009738B4" w:rsidRDefault="00ED74CB" w:rsidP="00ED74CB">
      <w:r>
        <w:rPr>
          <w:rFonts w:eastAsia="Times New Roman" w:cs="Arial"/>
          <w:color w:val="000000"/>
          <w:szCs w:val="24"/>
          <w:lang w:val="en-US" w:eastAsia="en-ZA"/>
        </w:rPr>
        <w:t>[190]</w:t>
      </w:r>
      <w:r>
        <w:rPr>
          <w:rFonts w:eastAsia="Times New Roman" w:cs="Arial"/>
          <w:color w:val="000000"/>
          <w:szCs w:val="24"/>
          <w:lang w:val="en-US" w:eastAsia="en-ZA"/>
        </w:rPr>
        <w:tab/>
      </w:r>
      <w:r w:rsidR="009738B4">
        <w:t xml:space="preserve">Finally, the Occupiers raised concerns about whether the rules would in fact be implemented as the City promised. It asked this Court to maintain supervision of the eviction to ensure the City </w:t>
      </w:r>
      <w:r w:rsidR="007460FD">
        <w:t>complies with its promises. For reasons I set out below, I do intend to maintain supervision of this matter. That will accommodate this concern.</w:t>
      </w:r>
    </w:p>
    <w:p w14:paraId="69177710" w14:textId="218C6A6A" w:rsidR="00740AB9" w:rsidRDefault="00740AB9" w:rsidP="003C6299"/>
    <w:p w14:paraId="6F8DC0A7" w14:textId="0DB71E88" w:rsidR="000753ED" w:rsidRDefault="000753ED" w:rsidP="000753ED">
      <w:pPr>
        <w:pStyle w:val="Heading3"/>
      </w:pPr>
      <w:r>
        <w:t>Is Eviction Just and Equitable?</w:t>
      </w:r>
    </w:p>
    <w:p w14:paraId="18F4A38A" w14:textId="33000AEF" w:rsidR="006928BD" w:rsidRDefault="00ED74CB" w:rsidP="00ED74CB">
      <w:r>
        <w:rPr>
          <w:rFonts w:eastAsia="Times New Roman" w:cs="Arial"/>
          <w:color w:val="000000"/>
          <w:szCs w:val="24"/>
          <w:lang w:val="en-US" w:eastAsia="en-ZA"/>
        </w:rPr>
        <w:t>[191]</w:t>
      </w:r>
      <w:r>
        <w:rPr>
          <w:rFonts w:eastAsia="Times New Roman" w:cs="Arial"/>
          <w:color w:val="000000"/>
          <w:szCs w:val="24"/>
          <w:lang w:val="en-US" w:eastAsia="en-ZA"/>
        </w:rPr>
        <w:tab/>
      </w:r>
      <w:r w:rsidR="006C6A7A">
        <w:t xml:space="preserve">Whether eviction is just and equitable must </w:t>
      </w:r>
      <w:r w:rsidR="0053018C">
        <w:t>“</w:t>
      </w:r>
      <w:r w:rsidR="005A4AFB" w:rsidRPr="005A4AFB">
        <w:t>be decided not on generalities but in the light of its own particular circumstances. Every situation has its own history, its own dynamics, its own intractable elements that have to be lived with (at least, for the time being)</w:t>
      </w:r>
      <w:r w:rsidR="0053018C">
        <w:t>”</w:t>
      </w:r>
      <w:r w:rsidR="005A4AFB" w:rsidRPr="005A4AFB">
        <w:t>.</w:t>
      </w:r>
      <w:r w:rsidR="006928BD">
        <w:rPr>
          <w:rStyle w:val="FootnoteReference"/>
        </w:rPr>
        <w:footnoteReference w:id="63"/>
      </w:r>
      <w:r w:rsidR="005A4AFB" w:rsidRPr="005A4AFB">
        <w:t xml:space="preserve"> </w:t>
      </w:r>
      <w:r w:rsidR="006928BD">
        <w:t>This fact specific enquiry also means that, “</w:t>
      </w:r>
      <w:r w:rsidR="006928BD" w:rsidRPr="005F09C0">
        <w:t xml:space="preserve">when balancing the </w:t>
      </w:r>
      <w:r w:rsidR="006928BD" w:rsidRPr="005F09C0">
        <w:lastRenderedPageBreak/>
        <w:t>interests, compromises have to be made by both parties, in order to reach a just and equitable outcome.</w:t>
      </w:r>
      <w:r w:rsidR="006928BD">
        <w:t>”</w:t>
      </w:r>
      <w:bookmarkStart w:id="8" w:name="_Ref169529241"/>
      <w:r w:rsidR="006928BD">
        <w:rPr>
          <w:rStyle w:val="FootnoteReference"/>
        </w:rPr>
        <w:footnoteReference w:id="64"/>
      </w:r>
      <w:bookmarkEnd w:id="8"/>
    </w:p>
    <w:p w14:paraId="00AD4B18" w14:textId="0B726D3E" w:rsidR="001051A0" w:rsidRDefault="00ED74CB" w:rsidP="00ED74CB">
      <w:r>
        <w:rPr>
          <w:rFonts w:eastAsia="Times New Roman" w:cs="Arial"/>
          <w:color w:val="000000"/>
          <w:szCs w:val="24"/>
          <w:lang w:val="en-US" w:eastAsia="en-ZA"/>
        </w:rPr>
        <w:t>[192]</w:t>
      </w:r>
      <w:r>
        <w:rPr>
          <w:rFonts w:eastAsia="Times New Roman" w:cs="Arial"/>
          <w:color w:val="000000"/>
          <w:szCs w:val="24"/>
          <w:lang w:val="en-US" w:eastAsia="en-ZA"/>
        </w:rPr>
        <w:tab/>
      </w:r>
      <w:r w:rsidR="00DB59DC">
        <w:t>Having carefully considered all the relevant factors, I conclude that eviction is just and equitabl</w:t>
      </w:r>
      <w:r w:rsidR="00DB59DC" w:rsidRPr="00DB59DC">
        <w:t xml:space="preserve">e. </w:t>
      </w:r>
      <w:r w:rsidR="001051A0" w:rsidRPr="00DB59DC">
        <w:t>There are ultimately</w:t>
      </w:r>
      <w:r w:rsidR="00DB59DC" w:rsidRPr="00DB59DC">
        <w:t xml:space="preserve"> six</w:t>
      </w:r>
      <w:r w:rsidR="001051A0" w:rsidRPr="00DB59DC">
        <w:t xml:space="preserve"> reasons.</w:t>
      </w:r>
    </w:p>
    <w:p w14:paraId="070DA7DB" w14:textId="462CB8B9" w:rsidR="001051A0" w:rsidRDefault="00ED74CB" w:rsidP="00ED74CB">
      <w:r>
        <w:rPr>
          <w:rFonts w:eastAsia="Times New Roman" w:cs="Arial"/>
          <w:color w:val="000000"/>
          <w:szCs w:val="24"/>
          <w:lang w:val="en-US" w:eastAsia="en-ZA"/>
        </w:rPr>
        <w:t>[193]</w:t>
      </w:r>
      <w:r>
        <w:rPr>
          <w:rFonts w:eastAsia="Times New Roman" w:cs="Arial"/>
          <w:color w:val="000000"/>
          <w:szCs w:val="24"/>
          <w:lang w:val="en-US" w:eastAsia="en-ZA"/>
        </w:rPr>
        <w:tab/>
      </w:r>
      <w:r w:rsidR="001051A0" w:rsidRPr="00ED74CB">
        <w:rPr>
          <w:u w:val="single"/>
        </w:rPr>
        <w:t>First</w:t>
      </w:r>
      <w:r w:rsidR="001051A0">
        <w:t xml:space="preserve">, </w:t>
      </w:r>
      <w:r w:rsidR="002F0424">
        <w:t xml:space="preserve">the Occupiers’ occupation is not only unlawful, it is unsustainable. In </w:t>
      </w:r>
      <w:r w:rsidR="005C4BE2">
        <w:t>other</w:t>
      </w:r>
      <w:r w:rsidR="002F0424">
        <w:t xml:space="preserve"> cases, illegal occupation has grown</w:t>
      </w:r>
      <w:r w:rsidR="000923A0">
        <w:t>, or people have become so entrenched that eviction is no longer feasible and the only option is to live with the occupation.</w:t>
      </w:r>
      <w:r w:rsidR="000923A0">
        <w:rPr>
          <w:rStyle w:val="FootnoteReference"/>
        </w:rPr>
        <w:footnoteReference w:id="65"/>
      </w:r>
      <w:r w:rsidR="009375EB">
        <w:t xml:space="preserve"> That is not the case here. The City has persuasively explained why the Occupiers cannot remain indefinitely on the Properties.</w:t>
      </w:r>
      <w:r w:rsidR="000C3E30">
        <w:t xml:space="preserve"> </w:t>
      </w:r>
      <w:r w:rsidR="006E52BA">
        <w:t xml:space="preserve">The Occupiers obstruct the pavements, create a danger for the City’s infrastructure, and live in </w:t>
      </w:r>
      <w:r w:rsidR="008C7687">
        <w:t>objectively unacceptable conditions. The</w:t>
      </w:r>
      <w:r w:rsidR="004628BB">
        <w:t xml:space="preserve"> Occupiers</w:t>
      </w:r>
      <w:r w:rsidR="008C7687">
        <w:t xml:space="preserve"> do not contend </w:t>
      </w:r>
      <w:r w:rsidR="004628BB">
        <w:t>that they may or should remain on the Properties indefinitely.</w:t>
      </w:r>
    </w:p>
    <w:p w14:paraId="6AEBFC24" w14:textId="40B09D72" w:rsidR="000C3E30" w:rsidRDefault="00ED74CB" w:rsidP="00ED74CB">
      <w:r>
        <w:rPr>
          <w:rFonts w:eastAsia="Times New Roman" w:cs="Arial"/>
          <w:color w:val="000000"/>
          <w:szCs w:val="24"/>
          <w:lang w:val="en-US" w:eastAsia="en-ZA"/>
        </w:rPr>
        <w:t>[194]</w:t>
      </w:r>
      <w:r>
        <w:rPr>
          <w:rFonts w:eastAsia="Times New Roman" w:cs="Arial"/>
          <w:color w:val="000000"/>
          <w:szCs w:val="24"/>
          <w:lang w:val="en-US" w:eastAsia="en-ZA"/>
        </w:rPr>
        <w:tab/>
      </w:r>
      <w:r w:rsidR="000C3E30">
        <w:t xml:space="preserve">The value of pavements and the government’s legitimate interest in ensuring people do not live on them was recognized by the Indian Supreme Court in </w:t>
      </w:r>
      <w:r w:rsidR="000C3E30" w:rsidRPr="00ED74CB">
        <w:rPr>
          <w:i/>
          <w:iCs/>
        </w:rPr>
        <w:t>Olga Tellis</w:t>
      </w:r>
      <w:r w:rsidR="000C3E30">
        <w:t>.</w:t>
      </w:r>
      <w:r w:rsidR="000C3E30">
        <w:rPr>
          <w:rStyle w:val="FootnoteReference"/>
        </w:rPr>
        <w:footnoteReference w:id="66"/>
      </w:r>
      <w:r w:rsidR="000C3E30">
        <w:t xml:space="preserve"> </w:t>
      </w:r>
      <w:r w:rsidR="000C3E30" w:rsidRPr="00281461">
        <w:t>Chandrachud CJ</w:t>
      </w:r>
      <w:r w:rsidR="000C3E30">
        <w:t xml:space="preserve"> explained that “</w:t>
      </w:r>
      <w:r w:rsidR="000C3E30" w:rsidRPr="00271A2A">
        <w:t>footpaths or pavements are public properties which are intended to serve the convenience of the general public. They are not laid for private use and indeed, their use for a private purpose frustrates the very object for which they are carved out from portions of public streets.</w:t>
      </w:r>
      <w:r w:rsidR="000C3E30">
        <w:t xml:space="preserve">” It rejected an argument that homeless people – that in India were called “pavement dwellers” – were entitled to live </w:t>
      </w:r>
      <w:r w:rsidR="000C3E30">
        <w:lastRenderedPageBreak/>
        <w:t xml:space="preserve">on </w:t>
      </w:r>
      <w:r w:rsidR="00100F6A">
        <w:t>pavements</w:t>
      </w:r>
      <w:r w:rsidR="000C3E30">
        <w:t xml:space="preserve">: </w:t>
      </w:r>
      <w:r w:rsidR="00100F6A">
        <w:t>“</w:t>
      </w:r>
      <w:r w:rsidR="000C3E30" w:rsidRPr="0054451B">
        <w:t>No one has the right to make use of a public property for a private purpose without the requisite authorisation and, therefore, it is erroneous to contend that the pavement dwellers have the right to encroach upon pavement</w:t>
      </w:r>
      <w:r w:rsidR="000C3E30">
        <w:t>[s]</w:t>
      </w:r>
      <w:r w:rsidR="000C3E30" w:rsidRPr="0054451B">
        <w:t xml:space="preserve"> by constructing dwellings thereon.</w:t>
      </w:r>
      <w:r w:rsidR="000C3E30">
        <w:t>”</w:t>
      </w:r>
      <w:r w:rsidR="000C3E30">
        <w:rPr>
          <w:rStyle w:val="FootnoteReference"/>
        </w:rPr>
        <w:footnoteReference w:id="67"/>
      </w:r>
    </w:p>
    <w:p w14:paraId="6C9DDB4A" w14:textId="4FA42FFB" w:rsidR="007C1E02" w:rsidRDefault="00ED74CB" w:rsidP="00ED74CB">
      <w:r>
        <w:rPr>
          <w:rFonts w:eastAsia="Times New Roman" w:cs="Arial"/>
          <w:color w:val="000000"/>
          <w:szCs w:val="24"/>
          <w:lang w:val="en-US" w:eastAsia="en-ZA"/>
        </w:rPr>
        <w:t>[195]</w:t>
      </w:r>
      <w:r>
        <w:rPr>
          <w:rFonts w:eastAsia="Times New Roman" w:cs="Arial"/>
          <w:color w:val="000000"/>
          <w:szCs w:val="24"/>
          <w:lang w:val="en-US" w:eastAsia="en-ZA"/>
        </w:rPr>
        <w:tab/>
      </w:r>
      <w:r w:rsidR="00813A3D">
        <w:t xml:space="preserve">The City is entitled to ensure that pavements and roads can be used for their intended purpose. It is entitled to protect its infrastructure. And it is not only entitled, but obliged, to </w:t>
      </w:r>
      <w:r w:rsidR="00715903">
        <w:t>provide suitable alternative accommodation for homeless people who live on its pavements and roads.</w:t>
      </w:r>
      <w:r w:rsidR="00C11DF4">
        <w:t xml:space="preserve"> </w:t>
      </w:r>
      <w:r w:rsidR="00C96D05">
        <w:t>As the Occupiers refuse to vacate the Properties, i</w:t>
      </w:r>
      <w:r w:rsidR="00C11DF4">
        <w:t>t can only do that if it evicts the Occupiers.</w:t>
      </w:r>
    </w:p>
    <w:p w14:paraId="79DF0ED2" w14:textId="23FF7C74" w:rsidR="00460ED5" w:rsidRDefault="00ED74CB" w:rsidP="00ED74CB">
      <w:r>
        <w:rPr>
          <w:rFonts w:eastAsia="Times New Roman" w:cs="Arial"/>
          <w:color w:val="000000"/>
          <w:szCs w:val="24"/>
          <w:lang w:val="en-US" w:eastAsia="en-ZA"/>
        </w:rPr>
        <w:t>[196]</w:t>
      </w:r>
      <w:r>
        <w:rPr>
          <w:rFonts w:eastAsia="Times New Roman" w:cs="Arial"/>
          <w:color w:val="000000"/>
          <w:szCs w:val="24"/>
          <w:lang w:val="en-US" w:eastAsia="en-ZA"/>
        </w:rPr>
        <w:tab/>
      </w:r>
      <w:r w:rsidR="008C7687" w:rsidRPr="00ED74CB">
        <w:rPr>
          <w:u w:val="single"/>
        </w:rPr>
        <w:t>Second</w:t>
      </w:r>
      <w:r w:rsidR="008C7687">
        <w:t>, the City has engaged meaningfully with the Occupiers.</w:t>
      </w:r>
      <w:r w:rsidR="005A3D8A">
        <w:t xml:space="preserve"> The engagement was not perfect. But the City did enough to inform the Occupiers of their options, listen to their concerns, and make reasonable compromises.</w:t>
      </w:r>
    </w:p>
    <w:p w14:paraId="688D1172" w14:textId="2CABC30B" w:rsidR="007E3E51" w:rsidRDefault="00ED74CB" w:rsidP="00ED74CB">
      <w:r>
        <w:rPr>
          <w:rFonts w:eastAsia="Times New Roman" w:cs="Arial"/>
          <w:color w:val="000000"/>
          <w:szCs w:val="24"/>
          <w:lang w:val="en-US" w:eastAsia="en-ZA"/>
        </w:rPr>
        <w:t>[197]</w:t>
      </w:r>
      <w:r>
        <w:rPr>
          <w:rFonts w:eastAsia="Times New Roman" w:cs="Arial"/>
          <w:color w:val="000000"/>
          <w:szCs w:val="24"/>
          <w:lang w:val="en-US" w:eastAsia="en-ZA"/>
        </w:rPr>
        <w:tab/>
      </w:r>
      <w:r w:rsidR="008C7687" w:rsidRPr="00ED74CB">
        <w:rPr>
          <w:u w:val="single"/>
        </w:rPr>
        <w:t>Third</w:t>
      </w:r>
      <w:r w:rsidR="008C7687">
        <w:t>,</w:t>
      </w:r>
      <w:r w:rsidR="007E3E51" w:rsidRPr="007E3E51">
        <w:t xml:space="preserve"> </w:t>
      </w:r>
      <w:r w:rsidR="007E3E51">
        <w:t xml:space="preserve">the City has recognized that the Occupiers must remain in the City centre and has offered alternative accommodation that will allow them to do so. </w:t>
      </w:r>
      <w:r w:rsidR="00C11DF4">
        <w:t>Again, t</w:t>
      </w:r>
      <w:r w:rsidR="007E3E51" w:rsidRPr="001D66B5">
        <w:t xml:space="preserve">he </w:t>
      </w:r>
      <w:r w:rsidR="007E3E51">
        <w:t>Supreme Court of India described the futility of seeking to move homeless people away from where they can make a living as</w:t>
      </w:r>
      <w:r w:rsidR="007E3E51" w:rsidRPr="001D66B5">
        <w:t xml:space="preserve"> </w:t>
      </w:r>
      <w:r w:rsidR="007E3E51">
        <w:t>“</w:t>
      </w:r>
      <w:r w:rsidR="007E3E51" w:rsidRPr="001D66B5">
        <w:t>a game of hide and seek.</w:t>
      </w:r>
      <w:r w:rsidR="007E3E51">
        <w:t>”</w:t>
      </w:r>
      <w:r w:rsidR="007E3E51">
        <w:rPr>
          <w:rStyle w:val="FootnoteReference"/>
        </w:rPr>
        <w:footnoteReference w:id="68"/>
      </w:r>
      <w:r w:rsidR="007E3E51" w:rsidRPr="001D66B5">
        <w:t xml:space="preserve"> </w:t>
      </w:r>
      <w:r w:rsidR="007E3E51">
        <w:t>The government “</w:t>
      </w:r>
      <w:r w:rsidR="007E3E51" w:rsidRPr="001D66B5">
        <w:t xml:space="preserve">removes the ramshackle shelters on the pavements </w:t>
      </w:r>
      <w:r w:rsidR="007E3E51">
        <w:t xml:space="preserve">… </w:t>
      </w:r>
      <w:r w:rsidR="007E3E51" w:rsidRPr="001D66B5">
        <w:t>, the pavement dwellers flee to less conspicuous pavements in by-lanes and, when the officials are gone, they return to their old habitats. Their main attachment to those places is the nearness thereof to their place of work.”</w:t>
      </w:r>
      <w:r w:rsidR="002A7E86">
        <w:rPr>
          <w:rStyle w:val="FootnoteReference"/>
        </w:rPr>
        <w:footnoteReference w:id="69"/>
      </w:r>
      <w:r w:rsidR="007E3E51">
        <w:t xml:space="preserve"> The safe spaces </w:t>
      </w:r>
      <w:r w:rsidR="006369EE">
        <w:t xml:space="preserve">at least try to </w:t>
      </w:r>
      <w:r w:rsidR="007E3E51">
        <w:t xml:space="preserve">avoid that </w:t>
      </w:r>
      <w:r w:rsidR="007E3E51">
        <w:lastRenderedPageBreak/>
        <w:t>inevitable result</w:t>
      </w:r>
      <w:r w:rsidR="006369EE">
        <w:t xml:space="preserve"> by ensuring that the Occupiers remain close to employment opportunities</w:t>
      </w:r>
      <w:r w:rsidR="009C2074">
        <w:t>.</w:t>
      </w:r>
    </w:p>
    <w:p w14:paraId="5F1DA5A9" w14:textId="64A7AEDC" w:rsidR="008C7687" w:rsidRDefault="00ED74CB" w:rsidP="00ED74CB">
      <w:r>
        <w:rPr>
          <w:rFonts w:eastAsia="Times New Roman" w:cs="Arial"/>
          <w:color w:val="000000"/>
          <w:szCs w:val="24"/>
          <w:lang w:val="en-US" w:eastAsia="en-ZA"/>
        </w:rPr>
        <w:t>[198]</w:t>
      </w:r>
      <w:r>
        <w:rPr>
          <w:rFonts w:eastAsia="Times New Roman" w:cs="Arial"/>
          <w:color w:val="000000"/>
          <w:szCs w:val="24"/>
          <w:lang w:val="en-US" w:eastAsia="en-ZA"/>
        </w:rPr>
        <w:tab/>
      </w:r>
      <w:r w:rsidR="007E3E51" w:rsidRPr="00ED74CB">
        <w:rPr>
          <w:u w:val="single"/>
        </w:rPr>
        <w:t>Fourth</w:t>
      </w:r>
      <w:r w:rsidR="007E3E51">
        <w:t xml:space="preserve">, </w:t>
      </w:r>
      <w:r w:rsidR="008C7687">
        <w:t xml:space="preserve">the </w:t>
      </w:r>
      <w:r w:rsidR="000C2148">
        <w:t xml:space="preserve">City does not seek the Occupiers’ eviction without a plan. It seeks their eviction to safe spaces that, on the evidence before me, offer not only suitable alternative accommodation, but a plausible path out of homelessness. </w:t>
      </w:r>
      <w:r w:rsidR="00F300C1">
        <w:t xml:space="preserve">I do not suggest that moving to the safe spaces will ensure that none of the Occupiers return to the streets. Inevitably some of them will (which is why the City seeks an interdict). But the facts show that </w:t>
      </w:r>
      <w:r w:rsidR="00673EB9">
        <w:t xml:space="preserve">there is a reasonable possibility that the safe spaces will help some of them to escape </w:t>
      </w:r>
      <w:r w:rsidR="008F5028">
        <w:t>homelessness.</w:t>
      </w:r>
    </w:p>
    <w:p w14:paraId="498B3E4D" w14:textId="3D209F28" w:rsidR="009D7D43" w:rsidRDefault="00ED74CB" w:rsidP="00ED74CB">
      <w:r>
        <w:rPr>
          <w:rFonts w:eastAsia="Times New Roman" w:cs="Arial"/>
          <w:color w:val="000000"/>
          <w:szCs w:val="24"/>
          <w:lang w:val="en-US" w:eastAsia="en-ZA"/>
        </w:rPr>
        <w:t>[199]</w:t>
      </w:r>
      <w:r>
        <w:rPr>
          <w:rFonts w:eastAsia="Times New Roman" w:cs="Arial"/>
          <w:color w:val="000000"/>
          <w:szCs w:val="24"/>
          <w:lang w:val="en-US" w:eastAsia="en-ZA"/>
        </w:rPr>
        <w:tab/>
      </w:r>
      <w:r w:rsidR="009D7D43" w:rsidRPr="00ED74CB">
        <w:rPr>
          <w:u w:val="single"/>
        </w:rPr>
        <w:t>Fifth</w:t>
      </w:r>
      <w:r w:rsidR="009D7D43">
        <w:t xml:space="preserve">, </w:t>
      </w:r>
      <w:r w:rsidR="00CC0FA2">
        <w:t>the City has shown that there is no other better, reasonably available option. TRAs are far from the City centre and are not a realistic solution for the Occupiers. It does not have the funds</w:t>
      </w:r>
      <w:r w:rsidR="009E45FB">
        <w:t xml:space="preserve"> or the land to build temporary accommodation other than safe spaces in the City Centre. Its decision not to do so has been upheld by the </w:t>
      </w:r>
      <w:r w:rsidR="009447FD">
        <w:t>Supreme Court of Appeal.</w:t>
      </w:r>
    </w:p>
    <w:p w14:paraId="3DDB07F5" w14:textId="176E3D5D" w:rsidR="00D92442" w:rsidRDefault="00ED74CB" w:rsidP="00ED74CB">
      <w:r>
        <w:rPr>
          <w:rFonts w:eastAsia="Times New Roman" w:cs="Arial"/>
          <w:color w:val="000000"/>
          <w:szCs w:val="24"/>
          <w:lang w:val="en-US" w:eastAsia="en-ZA"/>
        </w:rPr>
        <w:t>[200]</w:t>
      </w:r>
      <w:r>
        <w:rPr>
          <w:rFonts w:eastAsia="Times New Roman" w:cs="Arial"/>
          <w:color w:val="000000"/>
          <w:szCs w:val="24"/>
          <w:lang w:val="en-US" w:eastAsia="en-ZA"/>
        </w:rPr>
        <w:tab/>
      </w:r>
      <w:r w:rsidR="00D92442" w:rsidRPr="00ED74CB">
        <w:rPr>
          <w:u w:val="single"/>
        </w:rPr>
        <w:t>Sixth</w:t>
      </w:r>
      <w:r w:rsidR="00D92442" w:rsidRPr="00D92442">
        <w:t xml:space="preserve">, </w:t>
      </w:r>
      <w:r w:rsidR="00D92442">
        <w:t>I accept that most of the Occupiers would prefer to remain where they are, rather than move to the safe spaces. They have built homes, some of them over many years. They have formed communities and become used to where they are and how they live. The safe spaces come with advantages, but do somewhat limit their freedom. But “t</w:t>
      </w:r>
      <w:r w:rsidR="00D92442" w:rsidRPr="00835DFA">
        <w:t xml:space="preserve">he wishes or personal preferences of the unlawful occupier are not relevant. An unlawful occupier </w:t>
      </w:r>
      <w:r w:rsidR="00D92442">
        <w:t>…</w:t>
      </w:r>
      <w:r w:rsidR="00D92442" w:rsidRPr="00835DFA">
        <w:t xml:space="preserve"> does not have a right to refuse to be evicted on the basis that she prefers or wishes to remain in the property that she is occupying unlawfully.</w:t>
      </w:r>
      <w:r w:rsidR="00D92442">
        <w:t>”</w:t>
      </w:r>
      <w:r w:rsidR="00D92442">
        <w:rPr>
          <w:rStyle w:val="FootnoteReference"/>
        </w:rPr>
        <w:footnoteReference w:id="70"/>
      </w:r>
      <w:r w:rsidR="00D92442">
        <w:t xml:space="preserve"> </w:t>
      </w:r>
      <w:r w:rsidR="002C3935">
        <w:t xml:space="preserve">While that was said in a very different context, it seems to me it applies </w:t>
      </w:r>
      <w:r w:rsidR="002C3935">
        <w:lastRenderedPageBreak/>
        <w:t>equally here. The Occupiers</w:t>
      </w:r>
      <w:r w:rsidR="00E75427">
        <w:t>’</w:t>
      </w:r>
      <w:r w:rsidR="002C3935">
        <w:t xml:space="preserve"> desire to continue occupying land unlawfully cannot be a reason to refuse eviction.</w:t>
      </w:r>
    </w:p>
    <w:p w14:paraId="517FAACF" w14:textId="620EE49B" w:rsidR="00277D4B" w:rsidRDefault="00ED74CB" w:rsidP="00ED74CB">
      <w:r>
        <w:rPr>
          <w:rFonts w:eastAsia="Times New Roman" w:cs="Arial"/>
          <w:color w:val="000000"/>
          <w:szCs w:val="24"/>
          <w:lang w:val="en-US" w:eastAsia="en-ZA"/>
        </w:rPr>
        <w:t>[201]</w:t>
      </w:r>
      <w:r>
        <w:rPr>
          <w:rFonts w:eastAsia="Times New Roman" w:cs="Arial"/>
          <w:color w:val="000000"/>
          <w:szCs w:val="24"/>
          <w:lang w:val="en-US" w:eastAsia="en-ZA"/>
        </w:rPr>
        <w:tab/>
      </w:r>
      <w:r w:rsidR="00277D4B" w:rsidRPr="00ED74CB">
        <w:rPr>
          <w:u w:val="single"/>
        </w:rPr>
        <w:t>In the end</w:t>
      </w:r>
      <w:r w:rsidR="00277D4B">
        <w:t xml:space="preserve">, on these facts, eviction is just and equitable. </w:t>
      </w:r>
      <w:r w:rsidR="008875CB">
        <w:t>But to ensure the eviction does not impact unduly harshly on the Occupiers, the conditions under which it will be carried out must be carefully regulated.</w:t>
      </w:r>
    </w:p>
    <w:p w14:paraId="470D61FA" w14:textId="77777777" w:rsidR="001051A0" w:rsidRDefault="001051A0" w:rsidP="000753ED">
      <w:pPr>
        <w:pStyle w:val="Heading3"/>
      </w:pPr>
    </w:p>
    <w:p w14:paraId="35349780" w14:textId="3E4A7C0F" w:rsidR="000753ED" w:rsidRDefault="000753ED" w:rsidP="000753ED">
      <w:pPr>
        <w:pStyle w:val="Heading3"/>
      </w:pPr>
      <w:r>
        <w:t>When and How should the Occupiers be Evicted?</w:t>
      </w:r>
    </w:p>
    <w:p w14:paraId="3BC52899" w14:textId="7E5BB158" w:rsidR="000753ED" w:rsidRDefault="00ED74CB" w:rsidP="00ED74CB">
      <w:r>
        <w:rPr>
          <w:rFonts w:eastAsia="Times New Roman" w:cs="Arial"/>
          <w:color w:val="000000"/>
          <w:szCs w:val="24"/>
          <w:lang w:val="en-US" w:eastAsia="en-ZA"/>
        </w:rPr>
        <w:t>[202]</w:t>
      </w:r>
      <w:r>
        <w:rPr>
          <w:rFonts w:eastAsia="Times New Roman" w:cs="Arial"/>
          <w:color w:val="000000"/>
          <w:szCs w:val="24"/>
          <w:lang w:val="en-US" w:eastAsia="en-ZA"/>
        </w:rPr>
        <w:tab/>
      </w:r>
      <w:r w:rsidR="00FE50F0">
        <w:t xml:space="preserve">I have concluded that the City is entitled to an eviction order. But there remain several thorny problems about how exactly to implement this order. </w:t>
      </w:r>
      <w:r w:rsidR="007D6C87">
        <w:t xml:space="preserve">Some of those problems are inherent </w:t>
      </w:r>
      <w:r w:rsidR="00516EE3">
        <w:t>in this</w:t>
      </w:r>
      <w:r w:rsidR="007D6C87">
        <w:t xml:space="preserve"> type of eviction </w:t>
      </w:r>
      <w:r w:rsidR="00516EE3">
        <w:t xml:space="preserve">– that of </w:t>
      </w:r>
      <w:r w:rsidR="007D6C87">
        <w:t xml:space="preserve">a transient population </w:t>
      </w:r>
      <w:r w:rsidR="00E75427">
        <w:t xml:space="preserve">– </w:t>
      </w:r>
      <w:r w:rsidR="007D6C87">
        <w:t xml:space="preserve">where neither the City nor the Occupiers’ attorneys can say with certainty who occupies the Properties. It has, unfortunately, been exacerbated by my own delay in delivering this judgment. The result of that </w:t>
      </w:r>
      <w:r w:rsidR="00E75427">
        <w:t xml:space="preserve">regrettable </w:t>
      </w:r>
      <w:r w:rsidR="007D6C87">
        <w:t>delay is that the information carefully gathered by both the City and the Occupiers after the hearing is likely no longer accurate.</w:t>
      </w:r>
    </w:p>
    <w:p w14:paraId="29738DF4" w14:textId="4018160E" w:rsidR="007D6C87" w:rsidRDefault="00ED74CB" w:rsidP="00ED74CB">
      <w:r>
        <w:rPr>
          <w:rFonts w:eastAsia="Times New Roman" w:cs="Arial"/>
          <w:color w:val="000000"/>
          <w:szCs w:val="24"/>
          <w:lang w:val="en-US" w:eastAsia="en-ZA"/>
        </w:rPr>
        <w:t>[203]</w:t>
      </w:r>
      <w:r>
        <w:rPr>
          <w:rFonts w:eastAsia="Times New Roman" w:cs="Arial"/>
          <w:color w:val="000000"/>
          <w:szCs w:val="24"/>
          <w:lang w:val="en-US" w:eastAsia="en-ZA"/>
        </w:rPr>
        <w:tab/>
      </w:r>
      <w:r w:rsidR="007D6C87">
        <w:t xml:space="preserve">To my mind, there are </w:t>
      </w:r>
      <w:r w:rsidR="008875CB">
        <w:t>six</w:t>
      </w:r>
      <w:r w:rsidR="007D6C87">
        <w:t xml:space="preserve"> practical issues to address:</w:t>
      </w:r>
    </w:p>
    <w:p w14:paraId="170AF66F" w14:textId="22600AC2" w:rsidR="007D6C87" w:rsidRDefault="00ED74CB" w:rsidP="00ED74CB">
      <w:pPr>
        <w:ind w:left="1620" w:hanging="900"/>
      </w:pPr>
      <w:r>
        <w:rPr>
          <w:rFonts w:eastAsia="Times New Roman" w:cs="Arial"/>
          <w:color w:val="000000"/>
          <w:szCs w:val="24"/>
          <w:lang w:val="en-US" w:eastAsia="en-ZA"/>
        </w:rPr>
        <w:t>[203.1]</w:t>
      </w:r>
      <w:r>
        <w:rPr>
          <w:rFonts w:eastAsia="Times New Roman" w:cs="Arial"/>
          <w:color w:val="000000"/>
          <w:szCs w:val="24"/>
          <w:lang w:val="en-US" w:eastAsia="en-ZA"/>
        </w:rPr>
        <w:tab/>
      </w:r>
      <w:r w:rsidR="00184E77">
        <w:t>Ensuring that the City has enough places a</w:t>
      </w:r>
      <w:r w:rsidR="004D6A62">
        <w:t>t</w:t>
      </w:r>
      <w:r w:rsidR="00184E77">
        <w:t xml:space="preserve"> Safe Space</w:t>
      </w:r>
      <w:r w:rsidR="004D6A62">
        <w:t xml:space="preserve"> 1</w:t>
      </w:r>
      <w:r w:rsidR="00184E77">
        <w:t xml:space="preserve"> in Culemborg for all the Occupiers </w:t>
      </w:r>
      <w:r w:rsidR="00A4214A">
        <w:t xml:space="preserve">(including couples) </w:t>
      </w:r>
      <w:r w:rsidR="00184E77">
        <w:t>who wish to take advantage of them;</w:t>
      </w:r>
    </w:p>
    <w:p w14:paraId="34A3C16E" w14:textId="3976C146" w:rsidR="00184E77" w:rsidRDefault="00ED74CB" w:rsidP="00ED74CB">
      <w:pPr>
        <w:ind w:left="1620" w:hanging="900"/>
      </w:pPr>
      <w:r>
        <w:rPr>
          <w:rFonts w:eastAsia="Times New Roman" w:cs="Arial"/>
          <w:color w:val="000000"/>
          <w:szCs w:val="24"/>
          <w:lang w:val="en-US" w:eastAsia="en-ZA"/>
        </w:rPr>
        <w:t>[203.2]</w:t>
      </w:r>
      <w:r>
        <w:rPr>
          <w:rFonts w:eastAsia="Times New Roman" w:cs="Arial"/>
          <w:color w:val="000000"/>
          <w:szCs w:val="24"/>
          <w:lang w:val="en-US" w:eastAsia="en-ZA"/>
        </w:rPr>
        <w:tab/>
      </w:r>
      <w:r w:rsidR="00C946EE">
        <w:t>Providing</w:t>
      </w:r>
      <w:r w:rsidR="00184E77">
        <w:t xml:space="preserve"> special protection for any children that are occupying the Properties;</w:t>
      </w:r>
    </w:p>
    <w:p w14:paraId="5D72DA61" w14:textId="2AE4FA15" w:rsidR="00A4214A" w:rsidRDefault="00ED74CB" w:rsidP="00ED74CB">
      <w:pPr>
        <w:ind w:left="1620" w:hanging="900"/>
      </w:pPr>
      <w:r>
        <w:rPr>
          <w:rFonts w:eastAsia="Times New Roman" w:cs="Arial"/>
          <w:color w:val="000000"/>
          <w:szCs w:val="24"/>
          <w:lang w:val="en-US" w:eastAsia="en-ZA"/>
        </w:rPr>
        <w:t>[203.3]</w:t>
      </w:r>
      <w:r>
        <w:rPr>
          <w:rFonts w:eastAsia="Times New Roman" w:cs="Arial"/>
          <w:color w:val="000000"/>
          <w:szCs w:val="24"/>
          <w:lang w:val="en-US" w:eastAsia="en-ZA"/>
        </w:rPr>
        <w:tab/>
      </w:r>
      <w:r w:rsidR="00C946EE">
        <w:t>Addressing the needs of the elderly and disabled;</w:t>
      </w:r>
    </w:p>
    <w:p w14:paraId="3902D72B" w14:textId="53778C5E" w:rsidR="00184E77" w:rsidRDefault="00ED74CB" w:rsidP="00ED74CB">
      <w:pPr>
        <w:ind w:left="1620" w:hanging="900"/>
      </w:pPr>
      <w:r>
        <w:rPr>
          <w:rFonts w:eastAsia="Times New Roman" w:cs="Arial"/>
          <w:color w:val="000000"/>
          <w:szCs w:val="24"/>
          <w:lang w:val="en-US" w:eastAsia="en-ZA"/>
        </w:rPr>
        <w:lastRenderedPageBreak/>
        <w:t>[203.4]</w:t>
      </w:r>
      <w:r>
        <w:rPr>
          <w:rFonts w:eastAsia="Times New Roman" w:cs="Arial"/>
          <w:color w:val="000000"/>
          <w:szCs w:val="24"/>
          <w:lang w:val="en-US" w:eastAsia="en-ZA"/>
        </w:rPr>
        <w:tab/>
      </w:r>
      <w:r w:rsidR="00C946EE">
        <w:t xml:space="preserve">Dealing with </w:t>
      </w:r>
      <w:r w:rsidR="00184E77">
        <w:t>the Occupiers’ possessions;</w:t>
      </w:r>
    </w:p>
    <w:p w14:paraId="51F672CB" w14:textId="034D36AB" w:rsidR="005C27E4" w:rsidRDefault="00ED74CB" w:rsidP="00ED74CB">
      <w:pPr>
        <w:ind w:left="1620" w:hanging="900"/>
      </w:pPr>
      <w:r>
        <w:rPr>
          <w:rFonts w:eastAsia="Times New Roman" w:cs="Arial"/>
          <w:color w:val="000000"/>
          <w:szCs w:val="24"/>
          <w:lang w:val="en-US" w:eastAsia="en-ZA"/>
        </w:rPr>
        <w:t>[203.5]</w:t>
      </w:r>
      <w:r>
        <w:rPr>
          <w:rFonts w:eastAsia="Times New Roman" w:cs="Arial"/>
          <w:color w:val="000000"/>
          <w:szCs w:val="24"/>
          <w:lang w:val="en-US" w:eastAsia="en-ZA"/>
        </w:rPr>
        <w:tab/>
      </w:r>
      <w:r w:rsidR="005C27E4">
        <w:t>Service of the Order on the Occupiers;</w:t>
      </w:r>
    </w:p>
    <w:p w14:paraId="3855BECD" w14:textId="4196FF30" w:rsidR="006E40A8" w:rsidRDefault="00ED74CB" w:rsidP="00ED74CB">
      <w:pPr>
        <w:ind w:left="1620" w:hanging="900"/>
      </w:pPr>
      <w:r>
        <w:rPr>
          <w:rFonts w:eastAsia="Times New Roman" w:cs="Arial"/>
          <w:color w:val="000000"/>
          <w:szCs w:val="24"/>
          <w:lang w:val="en-US" w:eastAsia="en-ZA"/>
        </w:rPr>
        <w:t>[203.6]</w:t>
      </w:r>
      <w:r>
        <w:rPr>
          <w:rFonts w:eastAsia="Times New Roman" w:cs="Arial"/>
          <w:color w:val="000000"/>
          <w:szCs w:val="24"/>
          <w:lang w:val="en-US" w:eastAsia="en-ZA"/>
        </w:rPr>
        <w:tab/>
      </w:r>
      <w:r w:rsidR="00C946EE">
        <w:t>The timing of the eviction</w:t>
      </w:r>
      <w:r w:rsidR="006771C1">
        <w:t>;</w:t>
      </w:r>
    </w:p>
    <w:p w14:paraId="02932036" w14:textId="6A54976C" w:rsidR="00C946EE" w:rsidRDefault="00ED74CB" w:rsidP="00ED74CB">
      <w:pPr>
        <w:ind w:left="1620" w:hanging="900"/>
      </w:pPr>
      <w:r>
        <w:rPr>
          <w:rFonts w:eastAsia="Times New Roman" w:cs="Arial"/>
          <w:color w:val="000000"/>
          <w:szCs w:val="24"/>
          <w:lang w:val="en-US" w:eastAsia="en-ZA"/>
        </w:rPr>
        <w:t>[203.7]</w:t>
      </w:r>
      <w:r>
        <w:rPr>
          <w:rFonts w:eastAsia="Times New Roman" w:cs="Arial"/>
          <w:color w:val="000000"/>
          <w:szCs w:val="24"/>
          <w:lang w:val="en-US" w:eastAsia="en-ZA"/>
        </w:rPr>
        <w:tab/>
      </w:r>
      <w:r w:rsidR="006E40A8">
        <w:t>To whom the eviction applies;</w:t>
      </w:r>
      <w:r w:rsidR="006771C1">
        <w:t xml:space="preserve"> and</w:t>
      </w:r>
    </w:p>
    <w:p w14:paraId="250AC096" w14:textId="3C684E9D" w:rsidR="006771C1" w:rsidRDefault="00ED74CB" w:rsidP="00ED74CB">
      <w:pPr>
        <w:ind w:left="1620" w:hanging="900"/>
      </w:pPr>
      <w:r>
        <w:rPr>
          <w:rFonts w:eastAsia="Times New Roman" w:cs="Arial"/>
          <w:color w:val="000000"/>
          <w:szCs w:val="24"/>
          <w:lang w:val="en-US" w:eastAsia="en-ZA"/>
        </w:rPr>
        <w:t>[203.8]</w:t>
      </w:r>
      <w:r>
        <w:rPr>
          <w:rFonts w:eastAsia="Times New Roman" w:cs="Arial"/>
          <w:color w:val="000000"/>
          <w:szCs w:val="24"/>
          <w:lang w:val="en-US" w:eastAsia="en-ZA"/>
        </w:rPr>
        <w:tab/>
      </w:r>
      <w:r w:rsidR="006771C1">
        <w:t>Supervision.</w:t>
      </w:r>
    </w:p>
    <w:p w14:paraId="6EF03941" w14:textId="77777777" w:rsidR="005C27E4" w:rsidRDefault="005C27E4" w:rsidP="005C27E4"/>
    <w:p w14:paraId="489F41F0" w14:textId="1E3E16B2" w:rsidR="005C27E4" w:rsidRDefault="005121FD" w:rsidP="005121FD">
      <w:pPr>
        <w:pStyle w:val="Heading4"/>
      </w:pPr>
      <w:r>
        <w:t>Adequate Places at the Safe Spaces</w:t>
      </w:r>
    </w:p>
    <w:p w14:paraId="500F3E1B" w14:textId="23060541" w:rsidR="005C27E4" w:rsidRDefault="00ED74CB" w:rsidP="00ED74CB">
      <w:r>
        <w:rPr>
          <w:rFonts w:eastAsia="Times New Roman" w:cs="Arial"/>
          <w:color w:val="000000"/>
          <w:szCs w:val="24"/>
          <w:lang w:val="en-US" w:eastAsia="en-ZA"/>
        </w:rPr>
        <w:t>[204]</w:t>
      </w:r>
      <w:r>
        <w:rPr>
          <w:rFonts w:eastAsia="Times New Roman" w:cs="Arial"/>
          <w:color w:val="000000"/>
          <w:szCs w:val="24"/>
          <w:lang w:val="en-US" w:eastAsia="en-ZA"/>
        </w:rPr>
        <w:tab/>
      </w:r>
      <w:r w:rsidR="0042407F">
        <w:t xml:space="preserve">In the affidavits filed after the hearing, the City informed this Court that it could accommodate 184 persons at the Safe Spaces. </w:t>
      </w:r>
      <w:r w:rsidR="004E5261">
        <w:t xml:space="preserve">The high estimate of how many people were occupying the Properties was 140. </w:t>
      </w:r>
      <w:r w:rsidR="003871E8">
        <w:t xml:space="preserve">Between 37 and </w:t>
      </w:r>
      <w:r w:rsidR="0009447D">
        <w:t xml:space="preserve">64 indicated they wanted to move to the Safe Spaces. </w:t>
      </w:r>
      <w:r w:rsidR="0051001D">
        <w:t xml:space="preserve">Similarly, the maximum number of couples that could be accommodated was 17. The City stated it could accommodate all these </w:t>
      </w:r>
      <w:r w:rsidR="000F7DB5">
        <w:t>couples</w:t>
      </w:r>
      <w:r w:rsidR="0051001D">
        <w:t>.</w:t>
      </w:r>
    </w:p>
    <w:p w14:paraId="1E5E7C74" w14:textId="4E58FF95" w:rsidR="0051001D" w:rsidRDefault="00ED74CB" w:rsidP="00ED74CB">
      <w:r>
        <w:rPr>
          <w:rFonts w:eastAsia="Times New Roman" w:cs="Arial"/>
          <w:color w:val="000000"/>
          <w:szCs w:val="24"/>
          <w:lang w:val="en-US" w:eastAsia="en-ZA"/>
        </w:rPr>
        <w:t>[205]</w:t>
      </w:r>
      <w:r>
        <w:rPr>
          <w:rFonts w:eastAsia="Times New Roman" w:cs="Arial"/>
          <w:color w:val="000000"/>
          <w:szCs w:val="24"/>
          <w:lang w:val="en-US" w:eastAsia="en-ZA"/>
        </w:rPr>
        <w:tab/>
      </w:r>
      <w:r w:rsidR="000F7DB5">
        <w:t xml:space="preserve">At the hearing, the City had sought a staggered order that would require people to vacate the Properties in stages to ensure it had sufficient capacity to accommodate them all. However, my understanding is that – as things stood on 10 December 2023 – it could immediately accommodate all the </w:t>
      </w:r>
      <w:r w:rsidR="001313AB">
        <w:t xml:space="preserve">Occupiers and did not require a staggered </w:t>
      </w:r>
      <w:r w:rsidR="00566433">
        <w:t>process.</w:t>
      </w:r>
    </w:p>
    <w:p w14:paraId="377A8130" w14:textId="5320217B" w:rsidR="0018554B" w:rsidRDefault="00ED74CB" w:rsidP="00ED74CB">
      <w:r>
        <w:rPr>
          <w:rFonts w:eastAsia="Times New Roman" w:cs="Arial"/>
          <w:color w:val="000000"/>
          <w:szCs w:val="24"/>
          <w:lang w:val="en-US" w:eastAsia="en-ZA"/>
        </w:rPr>
        <w:t>[206]</w:t>
      </w:r>
      <w:r>
        <w:rPr>
          <w:rFonts w:eastAsia="Times New Roman" w:cs="Arial"/>
          <w:color w:val="000000"/>
          <w:szCs w:val="24"/>
          <w:lang w:val="en-US" w:eastAsia="en-ZA"/>
        </w:rPr>
        <w:tab/>
      </w:r>
      <w:r w:rsidR="00566433">
        <w:t xml:space="preserve">However, things may have changed in the months since then. It may not be possible for the City to immediately accommodate all those who want to take </w:t>
      </w:r>
      <w:r w:rsidR="006E07D4">
        <w:lastRenderedPageBreak/>
        <w:t xml:space="preserve">advantage of the offer of alternative accommodation at the Safe Spaces. </w:t>
      </w:r>
      <w:r w:rsidR="0018554B">
        <w:t>There may be more Occupiers, or fewer spaces.</w:t>
      </w:r>
    </w:p>
    <w:p w14:paraId="2A7C0A7B" w14:textId="66EE4AB4" w:rsidR="00566433" w:rsidRDefault="00ED74CB" w:rsidP="00ED74CB">
      <w:r>
        <w:rPr>
          <w:rFonts w:eastAsia="Times New Roman" w:cs="Arial"/>
          <w:color w:val="000000"/>
          <w:szCs w:val="24"/>
          <w:lang w:val="en-US" w:eastAsia="en-ZA"/>
        </w:rPr>
        <w:t>[207]</w:t>
      </w:r>
      <w:r>
        <w:rPr>
          <w:rFonts w:eastAsia="Times New Roman" w:cs="Arial"/>
          <w:color w:val="000000"/>
          <w:szCs w:val="24"/>
          <w:lang w:val="en-US" w:eastAsia="en-ZA"/>
        </w:rPr>
        <w:tab/>
      </w:r>
      <w:r w:rsidR="006D7F1C">
        <w:t xml:space="preserve">Given </w:t>
      </w:r>
      <w:r w:rsidR="00475BA2">
        <w:t>my</w:t>
      </w:r>
      <w:r w:rsidR="006D7F1C">
        <w:t xml:space="preserve"> delay in </w:t>
      </w:r>
      <w:r w:rsidR="000D4EC6">
        <w:t>delivering judgment, I do not believe it is in the interests of justice to require the parties to conduct yet another count of the number of Occupiers before I deliver judgment. Rather,</w:t>
      </w:r>
      <w:r w:rsidR="006D7F1C">
        <w:t xml:space="preserve"> the best way to deal with the uncertainty is as follows:</w:t>
      </w:r>
    </w:p>
    <w:p w14:paraId="624A2858" w14:textId="0F7F740B" w:rsidR="006D7F1C" w:rsidRDefault="00ED74CB" w:rsidP="00ED74CB">
      <w:pPr>
        <w:ind w:left="1620" w:hanging="900"/>
      </w:pPr>
      <w:r>
        <w:rPr>
          <w:rFonts w:eastAsia="Times New Roman" w:cs="Arial"/>
          <w:color w:val="000000"/>
          <w:szCs w:val="24"/>
          <w:lang w:val="en-US" w:eastAsia="en-ZA"/>
        </w:rPr>
        <w:t>[207.1]</w:t>
      </w:r>
      <w:r>
        <w:rPr>
          <w:rFonts w:eastAsia="Times New Roman" w:cs="Arial"/>
          <w:color w:val="000000"/>
          <w:szCs w:val="24"/>
          <w:lang w:val="en-US" w:eastAsia="en-ZA"/>
        </w:rPr>
        <w:tab/>
      </w:r>
      <w:r w:rsidR="0018554B">
        <w:t>The Order will be structured on the default assumption that the City can</w:t>
      </w:r>
      <w:r w:rsidR="00FC2B08">
        <w:t xml:space="preserve"> immediately</w:t>
      </w:r>
      <w:r w:rsidR="0018554B">
        <w:t xml:space="preserve"> accommodate all the Occupiers who </w:t>
      </w:r>
      <w:r w:rsidR="00255C1E">
        <w:t>wish to take up the offer of Safe Spaces.</w:t>
      </w:r>
    </w:p>
    <w:p w14:paraId="23A93BB1" w14:textId="20BE10E2" w:rsidR="00255C1E" w:rsidRDefault="00ED74CB" w:rsidP="00ED74CB">
      <w:pPr>
        <w:ind w:left="1620" w:hanging="900"/>
      </w:pPr>
      <w:r>
        <w:rPr>
          <w:rFonts w:eastAsia="Times New Roman" w:cs="Arial"/>
          <w:color w:val="000000"/>
          <w:szCs w:val="24"/>
          <w:lang w:val="en-US" w:eastAsia="en-ZA"/>
        </w:rPr>
        <w:t>[207.2]</w:t>
      </w:r>
      <w:r>
        <w:rPr>
          <w:rFonts w:eastAsia="Times New Roman" w:cs="Arial"/>
          <w:color w:val="000000"/>
          <w:szCs w:val="24"/>
          <w:lang w:val="en-US" w:eastAsia="en-ZA"/>
        </w:rPr>
        <w:tab/>
      </w:r>
      <w:r w:rsidR="00255C1E">
        <w:t>However, it will build in flexibility</w:t>
      </w:r>
      <w:r w:rsidR="008B3D59">
        <w:t xml:space="preserve"> in case the City is </w:t>
      </w:r>
      <w:r w:rsidR="0002434E">
        <w:t>unable to meet the demand</w:t>
      </w:r>
      <w:r w:rsidR="0009447D">
        <w:t xml:space="preserve"> at the time of eviction</w:t>
      </w:r>
      <w:r w:rsidR="0002434E">
        <w:t xml:space="preserve">. In my view, the best way to achieve that is </w:t>
      </w:r>
      <w:r w:rsidR="00FD5315">
        <w:t>t</w:t>
      </w:r>
      <w:r w:rsidR="001C3B36">
        <w:t>hree</w:t>
      </w:r>
      <w:r w:rsidR="00FD5315">
        <w:t>fold:</w:t>
      </w:r>
    </w:p>
    <w:p w14:paraId="103326A8" w14:textId="10396BF8" w:rsidR="0071792F" w:rsidRDefault="00ED74CB" w:rsidP="00ED74CB">
      <w:pPr>
        <w:ind w:left="2700" w:hanging="1080"/>
      </w:pPr>
      <w:r>
        <w:rPr>
          <w:rFonts w:eastAsia="Times New Roman" w:cs="Arial"/>
          <w:color w:val="000000"/>
          <w:szCs w:val="24"/>
          <w:lang w:val="en-US" w:eastAsia="en-ZA"/>
        </w:rPr>
        <w:t>[207.2.1]</w:t>
      </w:r>
      <w:r>
        <w:rPr>
          <w:rFonts w:eastAsia="Times New Roman" w:cs="Arial"/>
          <w:color w:val="000000"/>
          <w:szCs w:val="24"/>
          <w:lang w:val="en-US" w:eastAsia="en-ZA"/>
        </w:rPr>
        <w:tab/>
      </w:r>
      <w:r w:rsidR="0071792F">
        <w:t xml:space="preserve">Require the Occupiers to indicate within one week of the date of the Order whether they intend to take advantage of the Safe Spaces. </w:t>
      </w:r>
      <w:r w:rsidR="005F7E7D">
        <w:t>This should give the City enough information to determine whether it has enough capacity. However, the Order will not prevent Occupiers who subsequently wish to take up a space at the Safe Spaces from doing so.</w:t>
      </w:r>
    </w:p>
    <w:p w14:paraId="0E655012" w14:textId="08B1C7BB" w:rsidR="00FD5315" w:rsidRDefault="00ED74CB" w:rsidP="00ED74CB">
      <w:pPr>
        <w:ind w:left="2700" w:hanging="1080"/>
      </w:pPr>
      <w:r>
        <w:rPr>
          <w:rFonts w:eastAsia="Times New Roman" w:cs="Arial"/>
          <w:color w:val="000000"/>
          <w:szCs w:val="24"/>
          <w:lang w:val="en-US" w:eastAsia="en-ZA"/>
        </w:rPr>
        <w:t>[207.2.2]</w:t>
      </w:r>
      <w:r>
        <w:rPr>
          <w:rFonts w:eastAsia="Times New Roman" w:cs="Arial"/>
          <w:color w:val="000000"/>
          <w:szCs w:val="24"/>
          <w:lang w:val="en-US" w:eastAsia="en-ZA"/>
        </w:rPr>
        <w:tab/>
      </w:r>
      <w:r w:rsidR="004F019F">
        <w:t>Permit the City itself to stagger the eviction to meet its capacity constraints; and</w:t>
      </w:r>
    </w:p>
    <w:p w14:paraId="07A012C1" w14:textId="2583B229" w:rsidR="004F019F" w:rsidRDefault="00ED74CB" w:rsidP="00ED74CB">
      <w:pPr>
        <w:ind w:left="2700" w:hanging="1080"/>
      </w:pPr>
      <w:r>
        <w:rPr>
          <w:rFonts w:eastAsia="Times New Roman" w:cs="Arial"/>
          <w:color w:val="000000"/>
          <w:szCs w:val="24"/>
          <w:lang w:val="en-US" w:eastAsia="en-ZA"/>
        </w:rPr>
        <w:lastRenderedPageBreak/>
        <w:t>[207.2.3]</w:t>
      </w:r>
      <w:r>
        <w:rPr>
          <w:rFonts w:eastAsia="Times New Roman" w:cs="Arial"/>
          <w:color w:val="000000"/>
          <w:szCs w:val="24"/>
          <w:lang w:val="en-US" w:eastAsia="en-ZA"/>
        </w:rPr>
        <w:tab/>
      </w:r>
      <w:r w:rsidR="001C3B36">
        <w:t>If this approach proves unworkable, p</w:t>
      </w:r>
      <w:r w:rsidR="004F019F">
        <w:t xml:space="preserve">ermit </w:t>
      </w:r>
      <w:r w:rsidR="001C3B36">
        <w:t>the</w:t>
      </w:r>
      <w:r w:rsidR="004F019F">
        <w:t xml:space="preserve"> parties to approach this Court to vary or supplement the Order if necessary.</w:t>
      </w:r>
    </w:p>
    <w:p w14:paraId="70EA3070" w14:textId="5210A49A" w:rsidR="005F7E7D" w:rsidRDefault="00ED74CB" w:rsidP="00ED74CB">
      <w:r>
        <w:rPr>
          <w:rFonts w:eastAsia="Times New Roman" w:cs="Arial"/>
          <w:color w:val="000000"/>
          <w:szCs w:val="24"/>
          <w:lang w:val="en-US" w:eastAsia="en-ZA"/>
        </w:rPr>
        <w:t>[208]</w:t>
      </w:r>
      <w:r>
        <w:rPr>
          <w:rFonts w:eastAsia="Times New Roman" w:cs="Arial"/>
          <w:color w:val="000000"/>
          <w:szCs w:val="24"/>
          <w:lang w:val="en-US" w:eastAsia="en-ZA"/>
        </w:rPr>
        <w:tab/>
      </w:r>
      <w:r w:rsidR="005F7E7D">
        <w:t xml:space="preserve">The same principle applies to couples’ accommodation. I do not think it is necessary to provide a separate process for that particular capacity issue. The Order will simply make clear that the City is obliged to provide </w:t>
      </w:r>
      <w:r w:rsidR="00C44991">
        <w:t>couples’ accommodation to those Occupiers that require it.</w:t>
      </w:r>
    </w:p>
    <w:p w14:paraId="0DDF2838" w14:textId="77777777" w:rsidR="00C44991" w:rsidRDefault="00C44991" w:rsidP="00C44991"/>
    <w:p w14:paraId="0C011112" w14:textId="33DFD7C8" w:rsidR="00C44991" w:rsidRDefault="00C44991" w:rsidP="00C44991">
      <w:pPr>
        <w:pStyle w:val="Heading4"/>
      </w:pPr>
      <w:r>
        <w:t>Protecting Children</w:t>
      </w:r>
    </w:p>
    <w:p w14:paraId="0A67047D" w14:textId="6EBD5E91" w:rsidR="005B74FF" w:rsidRDefault="00ED74CB" w:rsidP="00ED74CB">
      <w:r>
        <w:rPr>
          <w:rFonts w:eastAsia="Times New Roman" w:cs="Arial"/>
          <w:color w:val="000000"/>
          <w:szCs w:val="24"/>
          <w:lang w:val="en-US" w:eastAsia="en-ZA"/>
        </w:rPr>
        <w:t>[209]</w:t>
      </w:r>
      <w:r>
        <w:rPr>
          <w:rFonts w:eastAsia="Times New Roman" w:cs="Arial"/>
          <w:color w:val="000000"/>
          <w:szCs w:val="24"/>
          <w:lang w:val="en-US" w:eastAsia="en-ZA"/>
        </w:rPr>
        <w:tab/>
      </w:r>
      <w:r w:rsidR="00C44991">
        <w:t xml:space="preserve">The latest evidence available is that in December 2023, there were no children living on the Properties. </w:t>
      </w:r>
      <w:r w:rsidR="00DD29AB">
        <w:t xml:space="preserve">There had been children, but they had all been moved from the Properties. </w:t>
      </w:r>
      <w:r w:rsidR="00464AAC">
        <w:t xml:space="preserve">If that is still the case, then there is no need to address the issue. However, if minor children have since moved to the Properties, then the City accepted that they cannot simply be evicted and required to fend for themselves. Nor can they responsibly be accommodated at the Safe Spaces. </w:t>
      </w:r>
    </w:p>
    <w:p w14:paraId="157EB85A" w14:textId="7D5D7282" w:rsidR="00C44991" w:rsidRDefault="00ED74CB" w:rsidP="00ED74CB">
      <w:r>
        <w:rPr>
          <w:rFonts w:eastAsia="Times New Roman" w:cs="Arial"/>
          <w:color w:val="000000"/>
          <w:szCs w:val="24"/>
          <w:lang w:val="en-US" w:eastAsia="en-ZA"/>
        </w:rPr>
        <w:t>[210]</w:t>
      </w:r>
      <w:r>
        <w:rPr>
          <w:rFonts w:eastAsia="Times New Roman" w:cs="Arial"/>
          <w:color w:val="000000"/>
          <w:szCs w:val="24"/>
          <w:lang w:val="en-US" w:eastAsia="en-ZA"/>
        </w:rPr>
        <w:tab/>
      </w:r>
      <w:r w:rsidR="005B74FF">
        <w:t>Children’s best interests must be paramount in every matter concerning that child.</w:t>
      </w:r>
      <w:r w:rsidR="005B74FF">
        <w:rPr>
          <w:rStyle w:val="FootnoteReference"/>
        </w:rPr>
        <w:footnoteReference w:id="71"/>
      </w:r>
      <w:r w:rsidR="005B74FF">
        <w:t xml:space="preserve"> That includes where there is a risk that children will be evicted</w:t>
      </w:r>
      <w:r w:rsidR="0042657A">
        <w:t>, particularly when everyone accepted that the safe spaces were not appropriate for children</w:t>
      </w:r>
      <w:r w:rsidR="005B74FF">
        <w:t xml:space="preserve">. Special provision for </w:t>
      </w:r>
      <w:r w:rsidR="0042657A">
        <w:t>any</w:t>
      </w:r>
      <w:r w:rsidR="005B74FF">
        <w:t xml:space="preserve"> children is needed.</w:t>
      </w:r>
    </w:p>
    <w:p w14:paraId="1663CE00" w14:textId="151B98D1" w:rsidR="001A2862" w:rsidRDefault="00ED74CB" w:rsidP="00ED74CB">
      <w:r>
        <w:rPr>
          <w:rFonts w:eastAsia="Times New Roman" w:cs="Arial"/>
          <w:color w:val="000000"/>
          <w:szCs w:val="24"/>
          <w:lang w:val="en-US" w:eastAsia="en-ZA"/>
        </w:rPr>
        <w:lastRenderedPageBreak/>
        <w:t>[211]</w:t>
      </w:r>
      <w:r>
        <w:rPr>
          <w:rFonts w:eastAsia="Times New Roman" w:cs="Arial"/>
          <w:color w:val="000000"/>
          <w:szCs w:val="24"/>
          <w:lang w:val="en-US" w:eastAsia="en-ZA"/>
        </w:rPr>
        <w:tab/>
      </w:r>
      <w:r w:rsidR="001A2862">
        <w:t>The City proposed a mechanism to address the possible needs of any children at the Properties. With some minor changes, I have adopted that proposal. In short, it will operate as follows:</w:t>
      </w:r>
    </w:p>
    <w:p w14:paraId="36F5080D" w14:textId="12EB0951" w:rsidR="001A2862" w:rsidRDefault="00ED74CB" w:rsidP="00ED74CB">
      <w:pPr>
        <w:ind w:left="1620" w:hanging="900"/>
      </w:pPr>
      <w:r>
        <w:rPr>
          <w:rFonts w:eastAsia="Times New Roman" w:cs="Arial"/>
          <w:color w:val="000000"/>
          <w:szCs w:val="24"/>
          <w:lang w:val="en-US" w:eastAsia="en-ZA"/>
        </w:rPr>
        <w:t>[211.1]</w:t>
      </w:r>
      <w:r>
        <w:rPr>
          <w:rFonts w:eastAsia="Times New Roman" w:cs="Arial"/>
          <w:color w:val="000000"/>
          <w:szCs w:val="24"/>
          <w:lang w:val="en-US" w:eastAsia="en-ZA"/>
        </w:rPr>
        <w:tab/>
      </w:r>
      <w:r w:rsidR="001A2862">
        <w:t xml:space="preserve">Children and their parents or caregivers will not be evicted together with the other </w:t>
      </w:r>
      <w:r w:rsidR="0042657A">
        <w:t>O</w:t>
      </w:r>
      <w:r w:rsidR="001A2862">
        <w:t>ccupiers.</w:t>
      </w:r>
    </w:p>
    <w:p w14:paraId="7FC68716" w14:textId="3FA3B703" w:rsidR="001A2862" w:rsidRDefault="00ED74CB" w:rsidP="00ED74CB">
      <w:pPr>
        <w:ind w:left="1620" w:hanging="900"/>
      </w:pPr>
      <w:r>
        <w:rPr>
          <w:rFonts w:eastAsia="Times New Roman" w:cs="Arial"/>
          <w:color w:val="000000"/>
          <w:szCs w:val="24"/>
          <w:lang w:val="en-US" w:eastAsia="en-ZA"/>
        </w:rPr>
        <w:t>[211.2]</w:t>
      </w:r>
      <w:r>
        <w:rPr>
          <w:rFonts w:eastAsia="Times New Roman" w:cs="Arial"/>
          <w:color w:val="000000"/>
          <w:szCs w:val="24"/>
          <w:lang w:val="en-US" w:eastAsia="en-ZA"/>
        </w:rPr>
        <w:tab/>
      </w:r>
      <w:r w:rsidR="001A2862">
        <w:t xml:space="preserve">The City will ensure that the Provincial Department of Social Development conducts an assessment of any </w:t>
      </w:r>
      <w:r w:rsidR="008D5E47">
        <w:t>child and produces a report for the City.</w:t>
      </w:r>
    </w:p>
    <w:p w14:paraId="4A435F5A" w14:textId="0CF74142" w:rsidR="008D5E47" w:rsidRDefault="00ED74CB" w:rsidP="00ED74CB">
      <w:pPr>
        <w:ind w:left="1620" w:hanging="900"/>
      </w:pPr>
      <w:r>
        <w:rPr>
          <w:rFonts w:eastAsia="Times New Roman" w:cs="Arial"/>
          <w:color w:val="000000"/>
          <w:szCs w:val="24"/>
          <w:lang w:val="en-US" w:eastAsia="en-ZA"/>
        </w:rPr>
        <w:t>[211.3]</w:t>
      </w:r>
      <w:r>
        <w:rPr>
          <w:rFonts w:eastAsia="Times New Roman" w:cs="Arial"/>
          <w:color w:val="000000"/>
          <w:szCs w:val="24"/>
          <w:lang w:val="en-US" w:eastAsia="en-ZA"/>
        </w:rPr>
        <w:tab/>
      </w:r>
      <w:r w:rsidR="008D5E47">
        <w:t>The City will engage with the parents or caregivers (and if appropriate in light of their age, also the child) about the alternative accommodation options that are available.</w:t>
      </w:r>
    </w:p>
    <w:p w14:paraId="4B171552" w14:textId="7E010634" w:rsidR="00027B20" w:rsidRDefault="00ED74CB" w:rsidP="00ED74CB">
      <w:pPr>
        <w:ind w:left="1620" w:hanging="900"/>
      </w:pPr>
      <w:r>
        <w:rPr>
          <w:rFonts w:eastAsia="Times New Roman" w:cs="Arial"/>
          <w:color w:val="000000"/>
          <w:szCs w:val="24"/>
          <w:lang w:val="en-US" w:eastAsia="en-ZA"/>
        </w:rPr>
        <w:t>[211.4]</w:t>
      </w:r>
      <w:r>
        <w:rPr>
          <w:rFonts w:eastAsia="Times New Roman" w:cs="Arial"/>
          <w:color w:val="000000"/>
          <w:szCs w:val="24"/>
          <w:lang w:val="en-US" w:eastAsia="en-ZA"/>
        </w:rPr>
        <w:tab/>
      </w:r>
      <w:r w:rsidR="008D5E47">
        <w:t xml:space="preserve">The City will file an affidavit with the Court setting out </w:t>
      </w:r>
      <w:r w:rsidR="00027B20">
        <w:t>the report of the DSD, the outcomes of its engagement, and its proposals.</w:t>
      </w:r>
    </w:p>
    <w:p w14:paraId="6DF80EE9" w14:textId="18E880F3" w:rsidR="00027B20" w:rsidRDefault="00ED74CB" w:rsidP="00ED74CB">
      <w:pPr>
        <w:ind w:left="1620" w:hanging="900"/>
      </w:pPr>
      <w:r>
        <w:rPr>
          <w:rFonts w:eastAsia="Times New Roman" w:cs="Arial"/>
          <w:color w:val="000000"/>
          <w:szCs w:val="24"/>
          <w:lang w:val="en-US" w:eastAsia="en-ZA"/>
        </w:rPr>
        <w:t>[211.5]</w:t>
      </w:r>
      <w:r>
        <w:rPr>
          <w:rFonts w:eastAsia="Times New Roman" w:cs="Arial"/>
          <w:color w:val="000000"/>
          <w:szCs w:val="24"/>
          <w:lang w:val="en-US" w:eastAsia="en-ZA"/>
        </w:rPr>
        <w:tab/>
      </w:r>
      <w:r w:rsidR="00027B20">
        <w:t>The affected Occupiers will be entitled to file a responding affidavit.</w:t>
      </w:r>
    </w:p>
    <w:p w14:paraId="2EF66D1D" w14:textId="495E8DA5" w:rsidR="00027B20" w:rsidRDefault="00ED74CB" w:rsidP="00ED74CB">
      <w:pPr>
        <w:ind w:left="1620" w:hanging="900"/>
      </w:pPr>
      <w:r>
        <w:rPr>
          <w:rFonts w:eastAsia="Times New Roman" w:cs="Arial"/>
          <w:color w:val="000000"/>
          <w:szCs w:val="24"/>
          <w:lang w:val="en-US" w:eastAsia="en-ZA"/>
        </w:rPr>
        <w:t>[211.6]</w:t>
      </w:r>
      <w:r>
        <w:rPr>
          <w:rFonts w:eastAsia="Times New Roman" w:cs="Arial"/>
          <w:color w:val="000000"/>
          <w:szCs w:val="24"/>
          <w:lang w:val="en-US" w:eastAsia="en-ZA"/>
        </w:rPr>
        <w:tab/>
      </w:r>
      <w:r w:rsidR="00027B20">
        <w:t>The Court will then make a specific order for how any children should be dealt with in light of that information.</w:t>
      </w:r>
    </w:p>
    <w:p w14:paraId="07017C66" w14:textId="77777777" w:rsidR="003A00AA" w:rsidRDefault="003A00AA" w:rsidP="003A00AA"/>
    <w:p w14:paraId="7D856762" w14:textId="2093230D" w:rsidR="003A00AA" w:rsidRDefault="00AA776D" w:rsidP="00AA776D">
      <w:pPr>
        <w:pStyle w:val="Heading4"/>
      </w:pPr>
      <w:r>
        <w:lastRenderedPageBreak/>
        <w:t>The Elderly and Disabled</w:t>
      </w:r>
    </w:p>
    <w:p w14:paraId="0D20E347" w14:textId="5BE6B924" w:rsidR="00027B20" w:rsidRDefault="00ED74CB" w:rsidP="00ED74CB">
      <w:r>
        <w:rPr>
          <w:rFonts w:eastAsia="Times New Roman" w:cs="Arial"/>
          <w:color w:val="000000"/>
          <w:szCs w:val="24"/>
          <w:lang w:val="en-US" w:eastAsia="en-ZA"/>
        </w:rPr>
        <w:t>[212]</w:t>
      </w:r>
      <w:r>
        <w:rPr>
          <w:rFonts w:eastAsia="Times New Roman" w:cs="Arial"/>
          <w:color w:val="000000"/>
          <w:szCs w:val="24"/>
          <w:lang w:val="en-US" w:eastAsia="en-ZA"/>
        </w:rPr>
        <w:tab/>
      </w:r>
      <w:r w:rsidR="00AA776D">
        <w:t xml:space="preserve">PIE requires courts to have specific regard for </w:t>
      </w:r>
      <w:r w:rsidR="00A75429">
        <w:t>the elderly and the disabled when granting eviction orders.</w:t>
      </w:r>
      <w:r w:rsidR="00A75429">
        <w:rPr>
          <w:rStyle w:val="FootnoteReference"/>
        </w:rPr>
        <w:footnoteReference w:id="72"/>
      </w:r>
      <w:r w:rsidR="00A75429">
        <w:t xml:space="preserve"> The Court asked the parties to report on whether there were any elderly or disabled people amongst the Occupiers.</w:t>
      </w:r>
    </w:p>
    <w:p w14:paraId="790C7916" w14:textId="6B5F435F" w:rsidR="0081779E" w:rsidRDefault="00ED74CB" w:rsidP="00ED74CB">
      <w:r>
        <w:rPr>
          <w:rFonts w:eastAsia="Times New Roman" w:cs="Arial"/>
          <w:color w:val="000000"/>
          <w:szCs w:val="24"/>
          <w:lang w:val="en-US" w:eastAsia="en-ZA"/>
        </w:rPr>
        <w:t>[213]</w:t>
      </w:r>
      <w:r>
        <w:rPr>
          <w:rFonts w:eastAsia="Times New Roman" w:cs="Arial"/>
          <w:color w:val="000000"/>
          <w:szCs w:val="24"/>
          <w:lang w:val="en-US" w:eastAsia="en-ZA"/>
        </w:rPr>
        <w:tab/>
      </w:r>
      <w:r w:rsidR="00D53FA2">
        <w:t xml:space="preserve">The post-hearing engagement revealed one </w:t>
      </w:r>
      <w:r w:rsidR="00D61535">
        <w:t>person living at the Helen Suzman site who is</w:t>
      </w:r>
      <w:r w:rsidR="0081779E">
        <w:t xml:space="preserve"> disabled. </w:t>
      </w:r>
      <w:r w:rsidR="00A63208">
        <w:t>Ashton Jumat</w:t>
      </w:r>
      <w:r w:rsidR="00895F42">
        <w:t xml:space="preserve"> has impaired mobility and struggles to walk</w:t>
      </w:r>
      <w:r w:rsidR="00A63208">
        <w:t xml:space="preserve">. The City proposed that he be accommodated with his mother </w:t>
      </w:r>
      <w:r w:rsidR="00145D47">
        <w:t>at Safe Space 1. Alternatively, he can be accommodated at Safe Space 2, which has disabled bathrooms.</w:t>
      </w:r>
      <w:r w:rsidR="00355FC0">
        <w:t xml:space="preserve"> The Occupiers did not directly respond to this offer.</w:t>
      </w:r>
    </w:p>
    <w:p w14:paraId="2A5B4422" w14:textId="4C8321BF" w:rsidR="00AA746A" w:rsidRDefault="00ED74CB" w:rsidP="00ED74CB">
      <w:r>
        <w:rPr>
          <w:rFonts w:eastAsia="Times New Roman" w:cs="Arial"/>
          <w:color w:val="000000"/>
          <w:szCs w:val="24"/>
          <w:lang w:val="en-US" w:eastAsia="en-ZA"/>
        </w:rPr>
        <w:t>[214]</w:t>
      </w:r>
      <w:r>
        <w:rPr>
          <w:rFonts w:eastAsia="Times New Roman" w:cs="Arial"/>
          <w:color w:val="000000"/>
          <w:szCs w:val="24"/>
          <w:lang w:val="en-US" w:eastAsia="en-ZA"/>
        </w:rPr>
        <w:tab/>
      </w:r>
      <w:r w:rsidR="00AA746A">
        <w:t xml:space="preserve">There was only one person who the Occupiers described as elderly – </w:t>
      </w:r>
      <w:r w:rsidR="00F9561B">
        <w:t>Nceba Manyela who is 57 or 58. I agree with the City that this does not qualify as elderly as contemplated in PIE.</w:t>
      </w:r>
    </w:p>
    <w:p w14:paraId="304F0D8E" w14:textId="35F5814D" w:rsidR="003563AF" w:rsidRDefault="00ED74CB" w:rsidP="00ED74CB">
      <w:r>
        <w:rPr>
          <w:rFonts w:eastAsia="Times New Roman" w:cs="Arial"/>
          <w:color w:val="000000"/>
          <w:szCs w:val="24"/>
          <w:lang w:val="en-US" w:eastAsia="en-ZA"/>
        </w:rPr>
        <w:t>[215]</w:t>
      </w:r>
      <w:r>
        <w:rPr>
          <w:rFonts w:eastAsia="Times New Roman" w:cs="Arial"/>
          <w:color w:val="000000"/>
          <w:szCs w:val="24"/>
          <w:lang w:val="en-US" w:eastAsia="en-ZA"/>
        </w:rPr>
        <w:tab/>
      </w:r>
      <w:r w:rsidR="00355FC0">
        <w:t xml:space="preserve">In my view, the City’s approach seems reasonable. </w:t>
      </w:r>
      <w:r w:rsidR="0017129A">
        <w:t xml:space="preserve">If once the Order is granted, it emerges that there are other disabled persons living on the Properties, </w:t>
      </w:r>
      <w:r w:rsidR="003563AF">
        <w:t>they can be dealt with in two ways:</w:t>
      </w:r>
    </w:p>
    <w:p w14:paraId="171E249A" w14:textId="6E8FC99F" w:rsidR="003563AF" w:rsidRDefault="00ED74CB" w:rsidP="00ED74CB">
      <w:pPr>
        <w:ind w:left="1620" w:hanging="900"/>
      </w:pPr>
      <w:r>
        <w:rPr>
          <w:rFonts w:eastAsia="Times New Roman" w:cs="Arial"/>
          <w:color w:val="000000"/>
          <w:szCs w:val="24"/>
          <w:lang w:val="en-US" w:eastAsia="en-ZA"/>
        </w:rPr>
        <w:t>[215.1]</w:t>
      </w:r>
      <w:r>
        <w:rPr>
          <w:rFonts w:eastAsia="Times New Roman" w:cs="Arial"/>
          <w:color w:val="000000"/>
          <w:szCs w:val="24"/>
          <w:lang w:val="en-US" w:eastAsia="en-ZA"/>
        </w:rPr>
        <w:tab/>
      </w:r>
      <w:r w:rsidR="003563AF">
        <w:t>The Order will i</w:t>
      </w:r>
      <w:r w:rsidR="00676839">
        <w:t xml:space="preserve">nclude a general requirement that the City reasonably accommodate any disabled person who wishes to take up a place at the Safe Spaces. </w:t>
      </w:r>
    </w:p>
    <w:p w14:paraId="57138782" w14:textId="09073600" w:rsidR="00355FC0" w:rsidRDefault="00ED74CB" w:rsidP="00ED74CB">
      <w:pPr>
        <w:ind w:left="1620" w:hanging="900"/>
      </w:pPr>
      <w:r>
        <w:rPr>
          <w:rFonts w:eastAsia="Times New Roman" w:cs="Arial"/>
          <w:color w:val="000000"/>
          <w:szCs w:val="24"/>
          <w:lang w:val="en-US" w:eastAsia="en-ZA"/>
        </w:rPr>
        <w:t>[215.2]</w:t>
      </w:r>
      <w:r>
        <w:rPr>
          <w:rFonts w:eastAsia="Times New Roman" w:cs="Arial"/>
          <w:color w:val="000000"/>
          <w:szCs w:val="24"/>
          <w:lang w:val="en-US" w:eastAsia="en-ZA"/>
        </w:rPr>
        <w:tab/>
      </w:r>
      <w:r w:rsidR="00676839">
        <w:t>If there is a dispute,</w:t>
      </w:r>
      <w:r w:rsidR="003563AF">
        <w:t xml:space="preserve"> about whether the City has done so, it can be dealt with under this Court’s general ongoing supervision.</w:t>
      </w:r>
    </w:p>
    <w:p w14:paraId="54EDAFB0" w14:textId="77777777" w:rsidR="000B6E28" w:rsidRDefault="000B6E28" w:rsidP="000B6E28"/>
    <w:p w14:paraId="7012CC94" w14:textId="150DFA3E" w:rsidR="000B6E28" w:rsidRDefault="000B6E28" w:rsidP="000B6E28">
      <w:pPr>
        <w:pStyle w:val="Heading4"/>
      </w:pPr>
      <w:r>
        <w:t>The Occupiers’ Possessions</w:t>
      </w:r>
    </w:p>
    <w:p w14:paraId="382643E6" w14:textId="464B7F62" w:rsidR="000B6E28" w:rsidRDefault="00ED74CB" w:rsidP="00ED74CB">
      <w:r>
        <w:rPr>
          <w:rFonts w:eastAsia="Times New Roman" w:cs="Arial"/>
          <w:color w:val="000000"/>
          <w:szCs w:val="24"/>
          <w:lang w:val="en-US" w:eastAsia="en-ZA"/>
        </w:rPr>
        <w:t>[216]</w:t>
      </w:r>
      <w:r>
        <w:rPr>
          <w:rFonts w:eastAsia="Times New Roman" w:cs="Arial"/>
          <w:color w:val="000000"/>
          <w:szCs w:val="24"/>
          <w:lang w:val="en-US" w:eastAsia="en-ZA"/>
        </w:rPr>
        <w:tab/>
      </w:r>
      <w:r w:rsidR="008F06E3">
        <w:t xml:space="preserve">The Occupiers all have possessions – their clothes, their shelters, and all the other things that make up a life. They may seem meagre to some, but they are part of a dignified life. </w:t>
      </w:r>
      <w:r w:rsidR="00EB0201">
        <w:t xml:space="preserve">The Occupiers have collected them over a period of time, and should not be required to give them up. </w:t>
      </w:r>
      <w:r w:rsidR="000B6E28">
        <w:t>There are three categories of issues.</w:t>
      </w:r>
    </w:p>
    <w:p w14:paraId="4FEE0653" w14:textId="768A23F5" w:rsidR="000B6E28" w:rsidRDefault="00ED74CB" w:rsidP="00ED74CB">
      <w:r>
        <w:rPr>
          <w:rFonts w:eastAsia="Times New Roman" w:cs="Arial"/>
          <w:color w:val="000000"/>
          <w:szCs w:val="24"/>
          <w:lang w:val="en-US" w:eastAsia="en-ZA"/>
        </w:rPr>
        <w:t>[217]</w:t>
      </w:r>
      <w:r>
        <w:rPr>
          <w:rFonts w:eastAsia="Times New Roman" w:cs="Arial"/>
          <w:color w:val="000000"/>
          <w:szCs w:val="24"/>
          <w:lang w:val="en-US" w:eastAsia="en-ZA"/>
        </w:rPr>
        <w:tab/>
      </w:r>
      <w:r w:rsidR="000B6E28" w:rsidRPr="00ED74CB">
        <w:rPr>
          <w:u w:val="single"/>
        </w:rPr>
        <w:t>First</w:t>
      </w:r>
      <w:r w:rsidR="000B6E28">
        <w:t xml:space="preserve">, there may be Occupiers who do not wish to </w:t>
      </w:r>
      <w:r w:rsidR="002433B5">
        <w:t>go to the Safe Spaces, but have somewhere else that they wish to go. The City has agreed to transport those Occupiers’ belongings</w:t>
      </w:r>
      <w:r w:rsidR="00071424">
        <w:t xml:space="preserve"> to their new home provided that: (a) it is within 40km of the city centre; and (b) the person has permission to occupy that property or store their belongings there. Those conditions seem reasonable to me. The City cannot be complicit in facilitating a fresh unlawful occupation of its own or another’s property.</w:t>
      </w:r>
      <w:r w:rsidR="007B6683">
        <w:t xml:space="preserve"> I accept that there may be few if any Occupiers who can demonstrate consent to occupy alternative land, but if they can, the City should assist them to transport their possessions.</w:t>
      </w:r>
    </w:p>
    <w:p w14:paraId="08AFB7E9" w14:textId="5B0B47C4" w:rsidR="00032B28" w:rsidRDefault="00ED74CB" w:rsidP="00ED74CB">
      <w:r>
        <w:rPr>
          <w:rFonts w:eastAsia="Times New Roman" w:cs="Arial"/>
          <w:color w:val="000000"/>
          <w:szCs w:val="24"/>
          <w:lang w:val="en-US" w:eastAsia="en-ZA"/>
        </w:rPr>
        <w:t>[218]</w:t>
      </w:r>
      <w:r>
        <w:rPr>
          <w:rFonts w:eastAsia="Times New Roman" w:cs="Arial"/>
          <w:color w:val="000000"/>
          <w:szCs w:val="24"/>
          <w:lang w:val="en-US" w:eastAsia="en-ZA"/>
        </w:rPr>
        <w:tab/>
      </w:r>
      <w:r w:rsidR="00071424" w:rsidRPr="00ED74CB">
        <w:rPr>
          <w:u w:val="single"/>
        </w:rPr>
        <w:t>Second</w:t>
      </w:r>
      <w:r w:rsidR="00071424">
        <w:t>, for those who are evicted</w:t>
      </w:r>
      <w:r w:rsidR="00E80D71">
        <w:t xml:space="preserve">, the City has agreed to store their possessions in </w:t>
      </w:r>
      <w:r w:rsidR="007B6683">
        <w:t xml:space="preserve">its facility in </w:t>
      </w:r>
      <w:r w:rsidR="00E80D71">
        <w:t xml:space="preserve">Maitland for six months. </w:t>
      </w:r>
      <w:r w:rsidR="00536864">
        <w:t xml:space="preserve">The Occupier can regather their possessions later if they require them. </w:t>
      </w:r>
      <w:r w:rsidR="009F2FF9">
        <w:t xml:space="preserve">This offer is well made. However, I intend to impose </w:t>
      </w:r>
      <w:r w:rsidR="00032B28">
        <w:t>two</w:t>
      </w:r>
      <w:r w:rsidR="009F2FF9">
        <w:t xml:space="preserve"> additional requirement</w:t>
      </w:r>
      <w:r w:rsidR="00032B28">
        <w:t>s</w:t>
      </w:r>
      <w:r w:rsidR="009F2FF9">
        <w:t xml:space="preserve"> on the City</w:t>
      </w:r>
      <w:r w:rsidR="00032B28">
        <w:t>:</w:t>
      </w:r>
    </w:p>
    <w:p w14:paraId="0ABF479D" w14:textId="5F88EA96" w:rsidR="00071424" w:rsidRDefault="00ED74CB" w:rsidP="00ED74CB">
      <w:pPr>
        <w:ind w:left="1800" w:hanging="1080"/>
      </w:pPr>
      <w:r>
        <w:rPr>
          <w:rFonts w:eastAsia="Times New Roman" w:cs="Arial"/>
          <w:color w:val="000000"/>
          <w:szCs w:val="24"/>
          <w:lang w:val="en-US" w:eastAsia="en-ZA"/>
        </w:rPr>
        <w:t>[218.1]</w:t>
      </w:r>
      <w:r>
        <w:rPr>
          <w:rFonts w:eastAsia="Times New Roman" w:cs="Arial"/>
          <w:color w:val="000000"/>
          <w:szCs w:val="24"/>
          <w:lang w:val="en-US" w:eastAsia="en-ZA"/>
        </w:rPr>
        <w:tab/>
      </w:r>
      <w:r w:rsidR="00032B28">
        <w:t>I</w:t>
      </w:r>
      <w:r w:rsidR="009F2FF9">
        <w:t>f an Occupier subsequently collects their possessions, the City will transport them to the person’s new place o</w:t>
      </w:r>
      <w:r w:rsidR="004074F0">
        <w:t>f living, subject to the same conditions that apply to those who choose to relocate at the time of eviction.</w:t>
      </w:r>
    </w:p>
    <w:p w14:paraId="3D31E8D2" w14:textId="5DB284DD" w:rsidR="00032B28" w:rsidRDefault="00ED74CB" w:rsidP="00ED74CB">
      <w:pPr>
        <w:ind w:left="1800" w:hanging="1080"/>
      </w:pPr>
      <w:r>
        <w:rPr>
          <w:rFonts w:eastAsia="Times New Roman" w:cs="Arial"/>
          <w:color w:val="000000"/>
          <w:szCs w:val="24"/>
          <w:lang w:val="en-US" w:eastAsia="en-ZA"/>
        </w:rPr>
        <w:lastRenderedPageBreak/>
        <w:t>[218.2]</w:t>
      </w:r>
      <w:r>
        <w:rPr>
          <w:rFonts w:eastAsia="Times New Roman" w:cs="Arial"/>
          <w:color w:val="000000"/>
          <w:szCs w:val="24"/>
          <w:lang w:val="en-US" w:eastAsia="en-ZA"/>
        </w:rPr>
        <w:tab/>
      </w:r>
      <w:r w:rsidR="00032B28">
        <w:t>A</w:t>
      </w:r>
      <w:r w:rsidR="002C5E80">
        <w:t>n</w:t>
      </w:r>
      <w:r w:rsidR="00032B28">
        <w:t xml:space="preserve"> occupier may request a on</w:t>
      </w:r>
      <w:r w:rsidR="00192692">
        <w:t>c</w:t>
      </w:r>
      <w:r w:rsidR="00032B28">
        <w:t>e-off six month extension</w:t>
      </w:r>
      <w:r w:rsidR="002C5E80">
        <w:t xml:space="preserve"> of the period </w:t>
      </w:r>
      <w:r w:rsidR="00CA02C6">
        <w:t xml:space="preserve">for which </w:t>
      </w:r>
      <w:r w:rsidR="002C5E80">
        <w:t>the City will store their possessions.</w:t>
      </w:r>
    </w:p>
    <w:p w14:paraId="7B7ACF51" w14:textId="4A1AC0FB" w:rsidR="004074F0" w:rsidRDefault="00ED74CB" w:rsidP="00ED74CB">
      <w:r>
        <w:rPr>
          <w:rFonts w:eastAsia="Times New Roman" w:cs="Arial"/>
          <w:color w:val="000000"/>
          <w:szCs w:val="24"/>
          <w:lang w:val="en-US" w:eastAsia="en-ZA"/>
        </w:rPr>
        <w:t>[219]</w:t>
      </w:r>
      <w:r>
        <w:rPr>
          <w:rFonts w:eastAsia="Times New Roman" w:cs="Arial"/>
          <w:color w:val="000000"/>
          <w:szCs w:val="24"/>
          <w:lang w:val="en-US" w:eastAsia="en-ZA"/>
        </w:rPr>
        <w:tab/>
      </w:r>
      <w:r w:rsidR="00175A2B" w:rsidRPr="00ED74CB">
        <w:rPr>
          <w:u w:val="single"/>
        </w:rPr>
        <w:t>Third</w:t>
      </w:r>
      <w:r w:rsidR="00175A2B">
        <w:t xml:space="preserve">, </w:t>
      </w:r>
      <w:r w:rsidR="0095622F">
        <w:t>what of the possessions of those who do take up the Safe Space offer</w:t>
      </w:r>
      <w:r w:rsidR="0001753C">
        <w:t xml:space="preserve">? </w:t>
      </w:r>
      <w:r w:rsidR="001A18E0">
        <w:t>Some of them can be taken to the Safe Space.</w:t>
      </w:r>
      <w:r w:rsidR="007D2FB3">
        <w:t xml:space="preserve"> The City should transport those limited possessions for the Occupiers. </w:t>
      </w:r>
      <w:r w:rsidR="001A18E0">
        <w:t xml:space="preserve"> But the storage capacity there is limited. </w:t>
      </w:r>
      <w:r w:rsidR="007D2FB3">
        <w:t xml:space="preserve">It may not accommodate all </w:t>
      </w:r>
      <w:r w:rsidR="00EB0201">
        <w:t>an</w:t>
      </w:r>
      <w:r w:rsidR="007D2FB3">
        <w:t xml:space="preserve"> </w:t>
      </w:r>
      <w:r w:rsidR="00EB0201">
        <w:t xml:space="preserve">Occupier’s </w:t>
      </w:r>
      <w:r w:rsidR="007D2FB3">
        <w:t>possessions</w:t>
      </w:r>
      <w:r w:rsidR="00EB0201">
        <w:t xml:space="preserve">. The </w:t>
      </w:r>
      <w:r w:rsidR="00E16CA5">
        <w:t xml:space="preserve">Occupier may not need the things she used to construct a shelter while she is in the </w:t>
      </w:r>
      <w:r w:rsidR="00BB0005">
        <w:t>S</w:t>
      </w:r>
      <w:r w:rsidR="00E16CA5">
        <w:t xml:space="preserve">afe </w:t>
      </w:r>
      <w:r w:rsidR="00BB0005">
        <w:t>S</w:t>
      </w:r>
      <w:r w:rsidR="00E16CA5">
        <w:t xml:space="preserve">pace. </w:t>
      </w:r>
      <w:r w:rsidR="00BB0005">
        <w:t xml:space="preserve">But she </w:t>
      </w:r>
      <w:r w:rsidR="00192692">
        <w:t xml:space="preserve">may </w:t>
      </w:r>
      <w:r w:rsidR="00BB0005">
        <w:t xml:space="preserve">need them later. An Occupier should not be required to sacrifice all her possessions as a condition for </w:t>
      </w:r>
      <w:r w:rsidR="003631A4">
        <w:t>entering a Safe Space. I therefore intend to make the same regime applicable to those who are evicted available for Occupiers who take up the offer of a Safe Space and indicate they wish to have their possessions stored.</w:t>
      </w:r>
    </w:p>
    <w:p w14:paraId="440868A8" w14:textId="77777777" w:rsidR="00920C60" w:rsidRDefault="00920C60" w:rsidP="00920C60"/>
    <w:p w14:paraId="2808F65E" w14:textId="5BB42E87" w:rsidR="00920C60" w:rsidRDefault="00920C60" w:rsidP="00920C60">
      <w:pPr>
        <w:pStyle w:val="Heading4"/>
      </w:pPr>
      <w:r>
        <w:t>Service</w:t>
      </w:r>
    </w:p>
    <w:p w14:paraId="44C372E3" w14:textId="2C1D2207" w:rsidR="00920C60" w:rsidRDefault="00ED74CB" w:rsidP="00ED74CB">
      <w:r>
        <w:rPr>
          <w:rFonts w:eastAsia="Times New Roman" w:cs="Arial"/>
          <w:color w:val="000000"/>
          <w:szCs w:val="24"/>
          <w:lang w:val="en-US" w:eastAsia="en-ZA"/>
        </w:rPr>
        <w:t>[220]</w:t>
      </w:r>
      <w:r>
        <w:rPr>
          <w:rFonts w:eastAsia="Times New Roman" w:cs="Arial"/>
          <w:color w:val="000000"/>
          <w:szCs w:val="24"/>
          <w:lang w:val="en-US" w:eastAsia="en-ZA"/>
        </w:rPr>
        <w:tab/>
      </w:r>
      <w:r w:rsidR="00920C60">
        <w:t>The City has proposed a two-pronged method of service – reading the Order by loudhailer at each of the sites, and affixing it to a notice board or permanent structure at each site. This seems appropriate. I have made some minor amendments to the proposal to make it clear when and how often the Order must be read.</w:t>
      </w:r>
    </w:p>
    <w:p w14:paraId="47F41200" w14:textId="420047D7" w:rsidR="00920C60" w:rsidRDefault="00ED74CB" w:rsidP="00ED74CB">
      <w:r>
        <w:rPr>
          <w:rFonts w:eastAsia="Times New Roman" w:cs="Arial"/>
          <w:color w:val="000000"/>
          <w:szCs w:val="24"/>
          <w:lang w:val="en-US" w:eastAsia="en-ZA"/>
        </w:rPr>
        <w:t>[221]</w:t>
      </w:r>
      <w:r>
        <w:rPr>
          <w:rFonts w:eastAsia="Times New Roman" w:cs="Arial"/>
          <w:color w:val="000000"/>
          <w:szCs w:val="24"/>
          <w:lang w:val="en-US" w:eastAsia="en-ZA"/>
        </w:rPr>
        <w:tab/>
      </w:r>
      <w:r w:rsidR="00920C60">
        <w:t xml:space="preserve">In addition, I </w:t>
      </w:r>
      <w:r w:rsidR="00CC14F7">
        <w:t xml:space="preserve">require </w:t>
      </w:r>
      <w:r w:rsidR="00920C60">
        <w:t xml:space="preserve">that the Occupiers’ attorneys themselves must </w:t>
      </w:r>
      <w:r w:rsidR="00D43765">
        <w:t>use their best efforts to ensure all the Occupiers are aware of the Order. I have no doubt that they would have done so in any event. But I include it in the Order because it seems to me that may be the most effective way to ensure that the Occupiers understand the content and effect of the Order.</w:t>
      </w:r>
    </w:p>
    <w:p w14:paraId="19CFBC52" w14:textId="77777777" w:rsidR="00D849DE" w:rsidRDefault="00D849DE" w:rsidP="00D849DE"/>
    <w:p w14:paraId="006DB1BC" w14:textId="25EC9F48" w:rsidR="00D849DE" w:rsidRDefault="00D849DE" w:rsidP="00D849DE">
      <w:pPr>
        <w:pStyle w:val="Heading4"/>
      </w:pPr>
      <w:r>
        <w:lastRenderedPageBreak/>
        <w:t>Timing of the Eviction</w:t>
      </w:r>
    </w:p>
    <w:p w14:paraId="45D7116B" w14:textId="4AFDE680" w:rsidR="00EA6189" w:rsidRDefault="00ED74CB" w:rsidP="00ED74CB">
      <w:r>
        <w:rPr>
          <w:rFonts w:eastAsia="Times New Roman" w:cs="Arial"/>
          <w:color w:val="000000"/>
          <w:szCs w:val="24"/>
          <w:lang w:val="en-US" w:eastAsia="en-ZA"/>
        </w:rPr>
        <w:t>[222]</w:t>
      </w:r>
      <w:r>
        <w:rPr>
          <w:rFonts w:eastAsia="Times New Roman" w:cs="Arial"/>
          <w:color w:val="000000"/>
          <w:szCs w:val="24"/>
          <w:lang w:val="en-US" w:eastAsia="en-ZA"/>
        </w:rPr>
        <w:tab/>
      </w:r>
      <w:r w:rsidR="008E1CD9">
        <w:t xml:space="preserve">How long should the Occupiers be granted before they are required to vacate the Properties? </w:t>
      </w:r>
      <w:r w:rsidR="001F732F">
        <w:t>The City initially asked for</w:t>
      </w:r>
      <w:r w:rsidR="00B94667">
        <w:t xml:space="preserve"> an order that they vacate the Properties within 30 days failing which they could be forcibly evicted. </w:t>
      </w:r>
      <w:r w:rsidR="00EA6189">
        <w:t xml:space="preserve">The draft order provided at the hearing would have afforded the Occupiers between </w:t>
      </w:r>
      <w:r w:rsidR="0035116E">
        <w:t>two weeks and four months. That staggered approach was designed to meet the City’s capacity at the Safe Spaces.</w:t>
      </w:r>
    </w:p>
    <w:p w14:paraId="4A43F2D3" w14:textId="2448FBBC" w:rsidR="00D849DE" w:rsidRDefault="00ED74CB" w:rsidP="00ED74CB">
      <w:r>
        <w:rPr>
          <w:rFonts w:eastAsia="Times New Roman" w:cs="Arial"/>
          <w:color w:val="000000"/>
          <w:szCs w:val="24"/>
          <w:lang w:val="en-US" w:eastAsia="en-ZA"/>
        </w:rPr>
        <w:t>[223]</w:t>
      </w:r>
      <w:r>
        <w:rPr>
          <w:rFonts w:eastAsia="Times New Roman" w:cs="Arial"/>
          <w:color w:val="000000"/>
          <w:szCs w:val="24"/>
          <w:lang w:val="en-US" w:eastAsia="en-ZA"/>
        </w:rPr>
        <w:tab/>
      </w:r>
      <w:r w:rsidR="00FE5C60">
        <w:t>Six weeks – thirty court</w:t>
      </w:r>
      <w:r w:rsidR="0035116E">
        <w:t xml:space="preserve"> days</w:t>
      </w:r>
      <w:r w:rsidR="00FE5C60">
        <w:t xml:space="preserve"> –</w:t>
      </w:r>
      <w:r w:rsidR="00B94667">
        <w:t xml:space="preserve"> seems reasonable to me in these circumstances.  </w:t>
      </w:r>
      <w:r w:rsidR="00B15F7E">
        <w:t xml:space="preserve">It will provide enough time for the City and the Occupiers to perform the various tasks that need to be done before the eviction can take place. It </w:t>
      </w:r>
      <w:r w:rsidR="00B9520C">
        <w:t xml:space="preserve">will </w:t>
      </w:r>
      <w:r w:rsidR="00B15F7E">
        <w:t>also provide sufficient time for the Occupiers to consider their position</w:t>
      </w:r>
      <w:r w:rsidR="00D83377">
        <w:t xml:space="preserve"> and, if they wish, to make alternative arrangements.</w:t>
      </w:r>
    </w:p>
    <w:p w14:paraId="25D0D532" w14:textId="77777777" w:rsidR="00ED576D" w:rsidRDefault="00ED576D" w:rsidP="00ED576D"/>
    <w:p w14:paraId="0ADECE26" w14:textId="038D442E" w:rsidR="00ED576D" w:rsidRDefault="00ED576D" w:rsidP="00ED576D">
      <w:pPr>
        <w:pStyle w:val="Heading4"/>
      </w:pPr>
      <w:r>
        <w:t>To Whom Does the Eviction Order Apply?</w:t>
      </w:r>
    </w:p>
    <w:p w14:paraId="66EBDBA4" w14:textId="265F5319" w:rsidR="00D171ED" w:rsidRDefault="00ED74CB" w:rsidP="00ED74CB">
      <w:r>
        <w:rPr>
          <w:rFonts w:eastAsia="Times New Roman" w:cs="Arial"/>
          <w:color w:val="000000"/>
          <w:szCs w:val="24"/>
          <w:lang w:val="en-US" w:eastAsia="en-ZA"/>
        </w:rPr>
        <w:t>[224]</w:t>
      </w:r>
      <w:r>
        <w:rPr>
          <w:rFonts w:eastAsia="Times New Roman" w:cs="Arial"/>
          <w:color w:val="000000"/>
          <w:szCs w:val="24"/>
          <w:lang w:val="en-US" w:eastAsia="en-ZA"/>
        </w:rPr>
        <w:tab/>
      </w:r>
      <w:r w:rsidR="00ED576D">
        <w:t xml:space="preserve">As I have set out in detail above, there </w:t>
      </w:r>
      <w:r w:rsidR="00C2587E">
        <w:t>has been ongoing uncertainty about who lives on the Properties. Both the City and the Occupiers accepted that it was impossible to obtain a single</w:t>
      </w:r>
      <w:r w:rsidR="00D171ED">
        <w:t>, comprehensive</w:t>
      </w:r>
      <w:r w:rsidR="00C2587E">
        <w:t xml:space="preserve"> list of all </w:t>
      </w:r>
      <w:r w:rsidR="0017129A">
        <w:t xml:space="preserve">those </w:t>
      </w:r>
      <w:r w:rsidR="00D171ED">
        <w:t xml:space="preserve">living on the Properties. There are </w:t>
      </w:r>
      <w:r w:rsidR="00876F30">
        <w:t>three</w:t>
      </w:r>
      <w:r w:rsidR="00D171ED">
        <w:t xml:space="preserve"> groups of people:</w:t>
      </w:r>
    </w:p>
    <w:p w14:paraId="45F6DBBC" w14:textId="4C74DAF8" w:rsidR="00ED576D" w:rsidRDefault="00ED74CB" w:rsidP="00ED74CB">
      <w:pPr>
        <w:ind w:left="1620" w:hanging="900"/>
      </w:pPr>
      <w:r>
        <w:rPr>
          <w:rFonts w:eastAsia="Times New Roman" w:cs="Arial"/>
          <w:color w:val="000000"/>
          <w:szCs w:val="24"/>
          <w:lang w:val="en-US" w:eastAsia="en-ZA"/>
        </w:rPr>
        <w:t>[224.1]</w:t>
      </w:r>
      <w:r>
        <w:rPr>
          <w:rFonts w:eastAsia="Times New Roman" w:cs="Arial"/>
          <w:color w:val="000000"/>
          <w:szCs w:val="24"/>
          <w:lang w:val="en-US" w:eastAsia="en-ZA"/>
        </w:rPr>
        <w:tab/>
      </w:r>
      <w:r w:rsidR="00D171ED">
        <w:t>Those who</w:t>
      </w:r>
      <w:r w:rsidR="00771856">
        <w:t>m</w:t>
      </w:r>
      <w:r w:rsidR="00D171ED">
        <w:t xml:space="preserve"> the City and/or the Occupiers</w:t>
      </w:r>
      <w:r w:rsidR="00771856">
        <w:t>’</w:t>
      </w:r>
      <w:r w:rsidR="00D171ED">
        <w:t xml:space="preserve"> attorneys have confirmed have at some point between the launching of the application and the pos</w:t>
      </w:r>
      <w:r w:rsidR="002863DC">
        <w:t>t-hearing engagement</w:t>
      </w:r>
      <w:r w:rsidR="00D171ED">
        <w:t>, lived on the Properties</w:t>
      </w:r>
      <w:r w:rsidR="002863DC">
        <w:t>; and</w:t>
      </w:r>
    </w:p>
    <w:p w14:paraId="40AE847F" w14:textId="1A3869E3" w:rsidR="002863DC" w:rsidRDefault="00ED74CB" w:rsidP="00ED74CB">
      <w:pPr>
        <w:ind w:left="1620" w:hanging="900"/>
      </w:pPr>
      <w:r>
        <w:rPr>
          <w:rFonts w:eastAsia="Times New Roman" w:cs="Arial"/>
          <w:color w:val="000000"/>
          <w:szCs w:val="24"/>
          <w:lang w:val="en-US" w:eastAsia="en-ZA"/>
        </w:rPr>
        <w:lastRenderedPageBreak/>
        <w:t>[224.2]</w:t>
      </w:r>
      <w:r>
        <w:rPr>
          <w:rFonts w:eastAsia="Times New Roman" w:cs="Arial"/>
          <w:color w:val="000000"/>
          <w:szCs w:val="24"/>
          <w:lang w:val="en-US" w:eastAsia="en-ZA"/>
        </w:rPr>
        <w:tab/>
      </w:r>
      <w:r w:rsidR="002863DC">
        <w:t>Unnamed people who lived on the Properties previously, but do not do so currently; and</w:t>
      </w:r>
    </w:p>
    <w:p w14:paraId="3E91C742" w14:textId="537EDBC9" w:rsidR="002863DC" w:rsidRDefault="00ED74CB" w:rsidP="00ED74CB">
      <w:pPr>
        <w:ind w:left="1620" w:hanging="900"/>
      </w:pPr>
      <w:r>
        <w:rPr>
          <w:rFonts w:eastAsia="Times New Roman" w:cs="Arial"/>
          <w:color w:val="000000"/>
          <w:szCs w:val="24"/>
          <w:lang w:val="en-US" w:eastAsia="en-ZA"/>
        </w:rPr>
        <w:t>[224.3]</w:t>
      </w:r>
      <w:r>
        <w:rPr>
          <w:rFonts w:eastAsia="Times New Roman" w:cs="Arial"/>
          <w:color w:val="000000"/>
          <w:szCs w:val="24"/>
          <w:lang w:val="en-US" w:eastAsia="en-ZA"/>
        </w:rPr>
        <w:tab/>
      </w:r>
      <w:r w:rsidR="002863DC">
        <w:t>Unnamed people who live on the Property when this Order is granted and</w:t>
      </w:r>
      <w:r w:rsidR="0020633D">
        <w:t>/or</w:t>
      </w:r>
      <w:r w:rsidR="002863DC">
        <w:t xml:space="preserve"> when the eviction is sought to be carried out.</w:t>
      </w:r>
    </w:p>
    <w:p w14:paraId="22339671" w14:textId="66715376" w:rsidR="00876F30" w:rsidRDefault="00ED74CB" w:rsidP="00ED74CB">
      <w:r>
        <w:rPr>
          <w:rFonts w:eastAsia="Times New Roman" w:cs="Arial"/>
          <w:color w:val="000000"/>
          <w:szCs w:val="24"/>
          <w:lang w:val="en-US" w:eastAsia="en-ZA"/>
        </w:rPr>
        <w:t>[225]</w:t>
      </w:r>
      <w:r>
        <w:rPr>
          <w:rFonts w:eastAsia="Times New Roman" w:cs="Arial"/>
          <w:color w:val="000000"/>
          <w:szCs w:val="24"/>
          <w:lang w:val="en-US" w:eastAsia="en-ZA"/>
        </w:rPr>
        <w:tab/>
      </w:r>
      <w:r w:rsidR="00876F30">
        <w:t xml:space="preserve">For the purposes of the eviction order, it does not matter. All those who are </w:t>
      </w:r>
      <w:r w:rsidR="00057FC2">
        <w:t>occupying the</w:t>
      </w:r>
      <w:r w:rsidR="00C931B1">
        <w:t xml:space="preserve"> P</w:t>
      </w:r>
      <w:r w:rsidR="00057FC2">
        <w:t>roperties when the eviction order is effected may be evicted.</w:t>
      </w:r>
      <w:r w:rsidR="00984081">
        <w:t xml:space="preserve"> Both those who have already indicated they wish to move to Safe Space 1, and those who </w:t>
      </w:r>
      <w:r w:rsidR="00174B31">
        <w:t>indicate that intention after this order must be accommodated.</w:t>
      </w:r>
    </w:p>
    <w:p w14:paraId="35981B1F" w14:textId="77777777" w:rsidR="00174B31" w:rsidRDefault="00174B31" w:rsidP="00174B31"/>
    <w:p w14:paraId="5B7E72A7" w14:textId="1603ED34" w:rsidR="00174B31" w:rsidRDefault="00174B31" w:rsidP="00174B31">
      <w:pPr>
        <w:pStyle w:val="Heading4"/>
      </w:pPr>
      <w:r>
        <w:t>Supervision</w:t>
      </w:r>
    </w:p>
    <w:p w14:paraId="774DA600" w14:textId="529949E7" w:rsidR="00174B31" w:rsidRDefault="00ED74CB" w:rsidP="00ED74CB">
      <w:r>
        <w:rPr>
          <w:rFonts w:eastAsia="Times New Roman" w:cs="Arial"/>
          <w:color w:val="000000"/>
          <w:szCs w:val="24"/>
          <w:lang w:val="en-US" w:eastAsia="en-ZA"/>
        </w:rPr>
        <w:t>[226]</w:t>
      </w:r>
      <w:r>
        <w:rPr>
          <w:rFonts w:eastAsia="Times New Roman" w:cs="Arial"/>
          <w:color w:val="000000"/>
          <w:szCs w:val="24"/>
          <w:lang w:val="en-US" w:eastAsia="en-ZA"/>
        </w:rPr>
        <w:tab/>
      </w:r>
      <w:r w:rsidR="00174B31">
        <w:t>This is an unusual eviction</w:t>
      </w:r>
      <w:r w:rsidR="005C2B4F">
        <w:t>. The order is, necessarily, lengthy and somewhat complicated. I am also concerned that the position on the ground may have c</w:t>
      </w:r>
      <w:r w:rsidR="009E7C9D">
        <w:t>h</w:t>
      </w:r>
      <w:r w:rsidR="005C2B4F">
        <w:t>a</w:t>
      </w:r>
      <w:r w:rsidR="009E7C9D">
        <w:t>n</w:t>
      </w:r>
      <w:r w:rsidR="005C2B4F">
        <w:t>ged substantially since the last affidavits were filed.</w:t>
      </w:r>
      <w:r w:rsidR="006E40A8">
        <w:t xml:space="preserve"> As mentioned earlier, the Occupiers are concerned about how the rules at</w:t>
      </w:r>
      <w:r w:rsidR="001E7862">
        <w:t xml:space="preserve"> Safe Space 1 will be implemented.</w:t>
      </w:r>
    </w:p>
    <w:p w14:paraId="1A6EB5A1" w14:textId="5423A462" w:rsidR="005C2B4F" w:rsidRDefault="00ED74CB" w:rsidP="00ED74CB">
      <w:r>
        <w:rPr>
          <w:rFonts w:eastAsia="Times New Roman" w:cs="Arial"/>
          <w:color w:val="000000"/>
          <w:szCs w:val="24"/>
          <w:lang w:val="en-US" w:eastAsia="en-ZA"/>
        </w:rPr>
        <w:t>[227]</w:t>
      </w:r>
      <w:r>
        <w:rPr>
          <w:rFonts w:eastAsia="Times New Roman" w:cs="Arial"/>
          <w:color w:val="000000"/>
          <w:szCs w:val="24"/>
          <w:lang w:val="en-US" w:eastAsia="en-ZA"/>
        </w:rPr>
        <w:tab/>
      </w:r>
      <w:r w:rsidR="005C2B4F">
        <w:t xml:space="preserve">I have therefore decided to maintain light supervision of the eviction. I do not think it is necessary to have ongoing reports (save as concerns any children). But I do think it is appropriate to require the City to file an affidavit at the conclusion of the eviction, and to permit the Occupiers to respond. The purpose is twofold – to </w:t>
      </w:r>
      <w:r w:rsidR="00C10D64">
        <w:t>ensure that the City has complied with the order, and to deal with any outstanding issues that may arise.</w:t>
      </w:r>
      <w:r w:rsidR="001E7862">
        <w:t xml:space="preserve"> If the parties want further supervision at that stage, they can explain why they think it is needed. I will then decide whether to continue supervision and, if so, on what terms.</w:t>
      </w:r>
    </w:p>
    <w:p w14:paraId="46245348" w14:textId="58F18F1E" w:rsidR="00C10D64" w:rsidRDefault="00ED74CB" w:rsidP="00ED74CB">
      <w:r>
        <w:rPr>
          <w:rFonts w:eastAsia="Times New Roman" w:cs="Arial"/>
          <w:color w:val="000000"/>
          <w:szCs w:val="24"/>
          <w:lang w:val="en-US" w:eastAsia="en-ZA"/>
        </w:rPr>
        <w:lastRenderedPageBreak/>
        <w:t>[228]</w:t>
      </w:r>
      <w:r>
        <w:rPr>
          <w:rFonts w:eastAsia="Times New Roman" w:cs="Arial"/>
          <w:color w:val="000000"/>
          <w:szCs w:val="24"/>
          <w:lang w:val="en-US" w:eastAsia="en-ZA"/>
        </w:rPr>
        <w:tab/>
      </w:r>
      <w:r w:rsidR="00C10D64">
        <w:t>In addition, in order to address any eventualities that occur during the process, I will permit any party to approach this court for a variation of the order on notice to the other parties.</w:t>
      </w:r>
    </w:p>
    <w:p w14:paraId="5684563F" w14:textId="434CA1DB" w:rsidR="00C10D64" w:rsidRDefault="00ED74CB" w:rsidP="00ED74CB">
      <w:r>
        <w:rPr>
          <w:rFonts w:eastAsia="Times New Roman" w:cs="Arial"/>
          <w:color w:val="000000"/>
          <w:szCs w:val="24"/>
          <w:lang w:val="en-US" w:eastAsia="en-ZA"/>
        </w:rPr>
        <w:t>[229]</w:t>
      </w:r>
      <w:r>
        <w:rPr>
          <w:rFonts w:eastAsia="Times New Roman" w:cs="Arial"/>
          <w:color w:val="000000"/>
          <w:szCs w:val="24"/>
          <w:lang w:val="en-US" w:eastAsia="en-ZA"/>
        </w:rPr>
        <w:tab/>
      </w:r>
      <w:r w:rsidR="00C10D64">
        <w:t>I emphasise that the purpose of this supervision is not punishment</w:t>
      </w:r>
      <w:r w:rsidR="00F804EA">
        <w:t>, not is it motivated by</w:t>
      </w:r>
      <w:r w:rsidR="00C10D64">
        <w:t xml:space="preserve"> </w:t>
      </w:r>
      <w:r w:rsidR="00F804EA">
        <w:t>suspicion</w:t>
      </w:r>
      <w:r w:rsidR="00C10D64">
        <w:t xml:space="preserve">. It is about trying to ensure that the </w:t>
      </w:r>
      <w:r w:rsidR="00372132">
        <w:t xml:space="preserve">different branches of state </w:t>
      </w:r>
      <w:r w:rsidR="00F804EA">
        <w:t>work together to achieve constitutional outcomes</w:t>
      </w:r>
      <w:r w:rsidR="001E7862">
        <w:t xml:space="preserve"> in difficult circumstances</w:t>
      </w:r>
      <w:r w:rsidR="00F804EA">
        <w:t>.</w:t>
      </w:r>
      <w:r w:rsidR="00F804EA">
        <w:rPr>
          <w:rStyle w:val="FootnoteReference"/>
        </w:rPr>
        <w:footnoteReference w:id="73"/>
      </w:r>
    </w:p>
    <w:p w14:paraId="1E547BB2" w14:textId="77777777" w:rsidR="00A4214A" w:rsidRDefault="00A4214A" w:rsidP="005121FD">
      <w:pPr>
        <w:pStyle w:val="ListParagraph"/>
        <w:numPr>
          <w:ilvl w:val="0"/>
          <w:numId w:val="0"/>
        </w:numPr>
        <w:ind w:left="1620"/>
      </w:pPr>
    </w:p>
    <w:p w14:paraId="6266D67D" w14:textId="592A0518" w:rsidR="000753ED" w:rsidRDefault="000753ED" w:rsidP="000753ED">
      <w:pPr>
        <w:pStyle w:val="Heading1"/>
        <w:rPr>
          <w:lang w:val="en-US"/>
        </w:rPr>
      </w:pPr>
      <w:r>
        <w:rPr>
          <w:lang w:val="en-US"/>
        </w:rPr>
        <w:t>interdict</w:t>
      </w:r>
    </w:p>
    <w:p w14:paraId="4C6CA70B" w14:textId="40340638" w:rsidR="00A43B6A" w:rsidRDefault="00ED74CB" w:rsidP="00ED74CB">
      <w:r>
        <w:rPr>
          <w:rFonts w:eastAsia="Times New Roman" w:cs="Arial"/>
          <w:color w:val="000000"/>
          <w:szCs w:val="24"/>
          <w:lang w:val="en-US" w:eastAsia="en-ZA"/>
        </w:rPr>
        <w:t>[230]</w:t>
      </w:r>
      <w:r>
        <w:rPr>
          <w:rFonts w:eastAsia="Times New Roman" w:cs="Arial"/>
          <w:color w:val="000000"/>
          <w:szCs w:val="24"/>
          <w:lang w:val="en-US" w:eastAsia="en-ZA"/>
        </w:rPr>
        <w:tab/>
      </w:r>
      <w:r w:rsidR="0056470E">
        <w:t>In addition to the eviction, the City seeks an interdict. Initially, the interdict it sought was again</w:t>
      </w:r>
      <w:r w:rsidR="00C60620">
        <w:t xml:space="preserve">st all the Occupiers – named and unnamed </w:t>
      </w:r>
      <w:r w:rsidR="00B00F95">
        <w:t>– and sough to prohibit them “from occupying the properties or engaging in prohibited conduct on the properties and any other properties owned and/or controlled by the” City</w:t>
      </w:r>
      <w:r w:rsidR="00A43B6A">
        <w:t>. In the draft order handed up at the hearing of the matter, the relief was altered slightly. It applied only to the named Occupiers, and it sought</w:t>
      </w:r>
      <w:r w:rsidR="003519CF">
        <w:t xml:space="preserve"> to</w:t>
      </w:r>
      <w:r w:rsidR="00A43B6A">
        <w:t xml:space="preserve"> interdict them “from occupying the properties, and taking any action that denies the Applicant or other members of the public from accessing or using the properties and any other properties owned and/or controlled by the Applicant.”</w:t>
      </w:r>
    </w:p>
    <w:p w14:paraId="6DEED3DD" w14:textId="618A6198" w:rsidR="00B70457" w:rsidRDefault="00ED74CB" w:rsidP="00ED74CB">
      <w:r>
        <w:rPr>
          <w:rFonts w:eastAsia="Times New Roman" w:cs="Arial"/>
          <w:color w:val="000000"/>
          <w:szCs w:val="24"/>
          <w:lang w:val="en-US" w:eastAsia="en-ZA"/>
        </w:rPr>
        <w:lastRenderedPageBreak/>
        <w:t>[231]</w:t>
      </w:r>
      <w:r>
        <w:rPr>
          <w:rFonts w:eastAsia="Times New Roman" w:cs="Arial"/>
          <w:color w:val="000000"/>
          <w:szCs w:val="24"/>
          <w:lang w:val="en-US" w:eastAsia="en-ZA"/>
        </w:rPr>
        <w:tab/>
      </w:r>
      <w:r w:rsidR="00B70457">
        <w:t xml:space="preserve">Limiting the interdict to named applicants was proper. Courts </w:t>
      </w:r>
      <w:r w:rsidR="00A70464">
        <w:t>should not generally grant</w:t>
      </w:r>
      <w:r w:rsidR="00B70457">
        <w:t xml:space="preserve"> interdicts against unnamed persons.</w:t>
      </w:r>
      <w:r w:rsidR="00A70464">
        <w:rPr>
          <w:rStyle w:val="FootnoteReference"/>
        </w:rPr>
        <w:footnoteReference w:id="74"/>
      </w:r>
      <w:r w:rsidR="00B70457">
        <w:t xml:space="preserve"> </w:t>
      </w:r>
      <w:r w:rsidR="00A70464">
        <w:t>In this case, it would be impossible to know who had been interdicted and who had not.</w:t>
      </w:r>
    </w:p>
    <w:p w14:paraId="5BB73BD5" w14:textId="0E819802" w:rsidR="00A70464" w:rsidRDefault="00ED74CB" w:rsidP="00ED74CB">
      <w:r>
        <w:rPr>
          <w:rFonts w:eastAsia="Times New Roman" w:cs="Arial"/>
          <w:color w:val="000000"/>
          <w:szCs w:val="24"/>
          <w:lang w:val="en-US" w:eastAsia="en-ZA"/>
        </w:rPr>
        <w:t>[232]</w:t>
      </w:r>
      <w:r>
        <w:rPr>
          <w:rFonts w:eastAsia="Times New Roman" w:cs="Arial"/>
          <w:color w:val="000000"/>
          <w:szCs w:val="24"/>
          <w:lang w:val="en-US" w:eastAsia="en-ZA"/>
        </w:rPr>
        <w:tab/>
      </w:r>
      <w:r w:rsidR="00A70464">
        <w:t xml:space="preserve">But the question still is whether the interdict is justified. </w:t>
      </w:r>
      <w:r w:rsidR="00004780">
        <w:t xml:space="preserve">There are two parts to what was sought. First, an interdict against the named Occupiers </w:t>
      </w:r>
      <w:r w:rsidR="00E75437">
        <w:t xml:space="preserve">from re-occupying the specific properties from which they </w:t>
      </w:r>
      <w:r w:rsidR="00652821">
        <w:t>were evicted, or other Occupiers were evicted. I have no difficulty with this part of the interdict. In my view, it is implicit in any eviction order that the person cannot re-occupy the same property with impunity.</w:t>
      </w:r>
      <w:r w:rsidR="00C85825">
        <w:t xml:space="preserve"> </w:t>
      </w:r>
      <w:r w:rsidR="00DD4149">
        <w:t>I am not sure the interdict is even necessary; the original eviction order could be used to “re-evict” someone who re-occupied the property.</w:t>
      </w:r>
    </w:p>
    <w:p w14:paraId="4BD15AE8" w14:textId="7DD16A9F" w:rsidR="00C71356" w:rsidRDefault="00ED74CB" w:rsidP="00ED74CB">
      <w:r>
        <w:rPr>
          <w:rFonts w:eastAsia="Times New Roman" w:cs="Arial"/>
          <w:color w:val="000000"/>
          <w:szCs w:val="24"/>
          <w:lang w:val="en-US" w:eastAsia="en-ZA"/>
        </w:rPr>
        <w:t>[233]</w:t>
      </w:r>
      <w:r>
        <w:rPr>
          <w:rFonts w:eastAsia="Times New Roman" w:cs="Arial"/>
          <w:color w:val="000000"/>
          <w:szCs w:val="24"/>
          <w:lang w:val="en-US" w:eastAsia="en-ZA"/>
        </w:rPr>
        <w:tab/>
      </w:r>
      <w:r w:rsidR="00C71356">
        <w:t xml:space="preserve">The difference here is that </w:t>
      </w:r>
      <w:r w:rsidR="00184D6F">
        <w:t xml:space="preserve">the City seeks </w:t>
      </w:r>
      <w:r w:rsidR="008B6C9D">
        <w:t>to interdict re-occupation not only of the properties from which a particular occupier w</w:t>
      </w:r>
      <w:r w:rsidR="00E463FA">
        <w:t>ill be</w:t>
      </w:r>
      <w:r w:rsidR="008B6C9D">
        <w:t xml:space="preserve"> evicted, but from </w:t>
      </w:r>
      <w:r w:rsidR="00E463FA">
        <w:t>all the other properties from which other occupiers will be evicted.</w:t>
      </w:r>
      <w:r w:rsidR="000D3664">
        <w:t xml:space="preserve"> </w:t>
      </w:r>
      <w:r w:rsidR="00944DF3">
        <w:t>I am satisfied that is just and equitable. I have determined that an eviction order is appropriate for all the Occupiers on all the Properties. I am willing to interdict them all from re-occupying any of the Properties, not only the particular one that they occupied.</w:t>
      </w:r>
    </w:p>
    <w:p w14:paraId="6908C8F4" w14:textId="32238A69" w:rsidR="005F376A" w:rsidRDefault="00ED74CB" w:rsidP="00ED74CB">
      <w:r>
        <w:rPr>
          <w:rFonts w:eastAsia="Times New Roman" w:cs="Arial"/>
          <w:color w:val="000000"/>
          <w:szCs w:val="24"/>
          <w:lang w:val="en-US" w:eastAsia="en-ZA"/>
        </w:rPr>
        <w:t>[234]</w:t>
      </w:r>
      <w:r>
        <w:rPr>
          <w:rFonts w:eastAsia="Times New Roman" w:cs="Arial"/>
          <w:color w:val="000000"/>
          <w:szCs w:val="24"/>
          <w:lang w:val="en-US" w:eastAsia="en-ZA"/>
        </w:rPr>
        <w:tab/>
      </w:r>
      <w:r w:rsidR="005F376A">
        <w:t>That leaves the question of which Occupiers should be covered by the interdict. In my view, it should apply to all those Occupiers whose names have been provided to the Court</w:t>
      </w:r>
      <w:r w:rsidR="00C97E64">
        <w:t xml:space="preserve"> during this litigation</w:t>
      </w:r>
      <w:r w:rsidR="005F376A">
        <w:t>.</w:t>
      </w:r>
    </w:p>
    <w:p w14:paraId="5BCFB364" w14:textId="19C61089" w:rsidR="0034629D" w:rsidRDefault="00ED74CB" w:rsidP="00ED74CB">
      <w:r>
        <w:rPr>
          <w:rFonts w:eastAsia="Times New Roman" w:cs="Arial"/>
          <w:color w:val="000000"/>
          <w:szCs w:val="24"/>
          <w:lang w:val="en-US" w:eastAsia="en-ZA"/>
        </w:rPr>
        <w:t>[235]</w:t>
      </w:r>
      <w:r>
        <w:rPr>
          <w:rFonts w:eastAsia="Times New Roman" w:cs="Arial"/>
          <w:color w:val="000000"/>
          <w:szCs w:val="24"/>
          <w:lang w:val="en-US" w:eastAsia="en-ZA"/>
        </w:rPr>
        <w:tab/>
      </w:r>
      <w:r w:rsidR="0034629D">
        <w:t xml:space="preserve">The second part of the interdict the City seeks is more problematic. It seeks to interdict the named Occupiers from </w:t>
      </w:r>
      <w:r w:rsidR="005979C3">
        <w:t xml:space="preserve">stopping the City or the public from using any other property owned by the City. That relief is wide-ranging. </w:t>
      </w:r>
      <w:r w:rsidR="0067377D">
        <w:t xml:space="preserve">It would impose a specific legal </w:t>
      </w:r>
      <w:r w:rsidR="0067377D">
        <w:lastRenderedPageBreak/>
        <w:t>regime on the Occupiers that would not apply to other homeless people in the City.</w:t>
      </w:r>
      <w:r w:rsidR="00BE4F02">
        <w:t xml:space="preserve"> It would prevent them from living on any other City-owned land </w:t>
      </w:r>
      <w:r w:rsidR="0003185F">
        <w:t>in a manner that interfered with its ordinary use.</w:t>
      </w:r>
    </w:p>
    <w:p w14:paraId="65D35920" w14:textId="0C265D19" w:rsidR="0056470E" w:rsidRDefault="00ED74CB" w:rsidP="00ED74CB">
      <w:r>
        <w:rPr>
          <w:rFonts w:eastAsia="Times New Roman" w:cs="Arial"/>
          <w:color w:val="000000"/>
          <w:szCs w:val="24"/>
          <w:lang w:val="en-US" w:eastAsia="en-ZA"/>
        </w:rPr>
        <w:t>[236]</w:t>
      </w:r>
      <w:r>
        <w:rPr>
          <w:rFonts w:eastAsia="Times New Roman" w:cs="Arial"/>
          <w:color w:val="000000"/>
          <w:szCs w:val="24"/>
          <w:lang w:val="en-US" w:eastAsia="en-ZA"/>
        </w:rPr>
        <w:tab/>
      </w:r>
      <w:r w:rsidR="005224AD">
        <w:t xml:space="preserve">The City explained that without the interdict, its eviction order would be futile. The Occupiers could simply move across the street to another </w:t>
      </w:r>
      <w:r w:rsidR="00E2415B">
        <w:t>pavement owned by the City, but not listed in this case. The City would then have to apply for a new eviction order. It would</w:t>
      </w:r>
      <w:r w:rsidR="00CB6632">
        <w:t>, in its view, be back to square one.</w:t>
      </w:r>
    </w:p>
    <w:p w14:paraId="3904FD9F" w14:textId="00168635" w:rsidR="00384474" w:rsidRDefault="00ED74CB" w:rsidP="00ED74CB">
      <w:r>
        <w:rPr>
          <w:rFonts w:eastAsia="Times New Roman" w:cs="Arial"/>
          <w:color w:val="000000"/>
          <w:szCs w:val="24"/>
          <w:lang w:val="en-US" w:eastAsia="en-ZA"/>
        </w:rPr>
        <w:t>[237]</w:t>
      </w:r>
      <w:r>
        <w:rPr>
          <w:rFonts w:eastAsia="Times New Roman" w:cs="Arial"/>
          <w:color w:val="000000"/>
          <w:szCs w:val="24"/>
          <w:lang w:val="en-US" w:eastAsia="en-ZA"/>
        </w:rPr>
        <w:tab/>
      </w:r>
      <w:r w:rsidR="00384474">
        <w:t xml:space="preserve">The Occupiers </w:t>
      </w:r>
      <w:r w:rsidR="008C46D1">
        <w:t xml:space="preserve">saw the interdict differently. </w:t>
      </w:r>
      <w:r w:rsidR="00DB35EA">
        <w:t xml:space="preserve">In their view, it would authorize </w:t>
      </w:r>
      <w:r w:rsidR="00760EFA">
        <w:t xml:space="preserve">the City to evict </w:t>
      </w:r>
      <w:r w:rsidR="00592D6E">
        <w:t xml:space="preserve">the Occupiers from different properties in the future without following the requirements of PIE. </w:t>
      </w:r>
      <w:r w:rsidR="00E8155C">
        <w:t>Th</w:t>
      </w:r>
      <w:r w:rsidR="00393F22">
        <w:t xml:space="preserve">at, it argues, is unconstitutional. </w:t>
      </w:r>
      <w:r w:rsidR="00065E98">
        <w:t xml:space="preserve">Moreover, the City has alternative remedies available to it – an eviction application or its own </w:t>
      </w:r>
      <w:r w:rsidR="00697704">
        <w:t>B</w:t>
      </w:r>
      <w:r w:rsidR="00065E98">
        <w:t>y-law that permits it to remove people from public places in certain circumstances.</w:t>
      </w:r>
    </w:p>
    <w:p w14:paraId="1DA8B87C" w14:textId="58AB6C0C" w:rsidR="00065E98" w:rsidRDefault="00ED74CB" w:rsidP="00ED74CB">
      <w:r>
        <w:rPr>
          <w:rFonts w:eastAsia="Times New Roman" w:cs="Arial"/>
          <w:color w:val="000000"/>
          <w:szCs w:val="24"/>
          <w:lang w:val="en-US" w:eastAsia="en-ZA"/>
        </w:rPr>
        <w:t>[238]</w:t>
      </w:r>
      <w:r>
        <w:rPr>
          <w:rFonts w:eastAsia="Times New Roman" w:cs="Arial"/>
          <w:color w:val="000000"/>
          <w:szCs w:val="24"/>
          <w:lang w:val="en-US" w:eastAsia="en-ZA"/>
        </w:rPr>
        <w:tab/>
      </w:r>
      <w:r w:rsidR="00065E98">
        <w:t xml:space="preserve">I am not inclined to grant the broader part of the interdict. </w:t>
      </w:r>
      <w:r w:rsidR="00D247B7">
        <w:t>In my view, while it may have some short</w:t>
      </w:r>
      <w:r w:rsidR="00771856">
        <w:t>-</w:t>
      </w:r>
      <w:r w:rsidR="00D247B7">
        <w:t>term utility for the City, it is unlawful</w:t>
      </w:r>
      <w:r w:rsidR="00855315">
        <w:t>,</w:t>
      </w:r>
      <w:r w:rsidR="00D247B7">
        <w:t xml:space="preserve"> unnecessary</w:t>
      </w:r>
      <w:r w:rsidR="00855315">
        <w:t xml:space="preserve"> and ineffective</w:t>
      </w:r>
      <w:r w:rsidR="00D247B7">
        <w:t>.</w:t>
      </w:r>
    </w:p>
    <w:p w14:paraId="6FCF9A72" w14:textId="77777777" w:rsidR="00A954D5" w:rsidRDefault="00A954D5" w:rsidP="00A954D5"/>
    <w:p w14:paraId="5BBB4FBA" w14:textId="524473FA" w:rsidR="00A954D5" w:rsidRDefault="00A954D5" w:rsidP="00A954D5">
      <w:pPr>
        <w:pStyle w:val="Heading3"/>
      </w:pPr>
      <w:r>
        <w:t>The Interdict is Unlawful</w:t>
      </w:r>
    </w:p>
    <w:p w14:paraId="741477FF" w14:textId="1D3386C6" w:rsidR="005224AD" w:rsidRDefault="00ED74CB" w:rsidP="00ED74CB">
      <w:r>
        <w:rPr>
          <w:rFonts w:eastAsia="Times New Roman" w:cs="Arial"/>
          <w:color w:val="000000"/>
          <w:szCs w:val="24"/>
          <w:lang w:val="en-US" w:eastAsia="en-ZA"/>
        </w:rPr>
        <w:t>[239]</w:t>
      </w:r>
      <w:r>
        <w:rPr>
          <w:rFonts w:eastAsia="Times New Roman" w:cs="Arial"/>
          <w:color w:val="000000"/>
          <w:szCs w:val="24"/>
          <w:lang w:val="en-US" w:eastAsia="en-ZA"/>
        </w:rPr>
        <w:tab/>
      </w:r>
      <w:r w:rsidR="00A815A5">
        <w:t xml:space="preserve">I agree with the Occupiers that the interdict will – and is intended to – </w:t>
      </w:r>
      <w:r w:rsidR="004D1D94">
        <w:t xml:space="preserve">permit their </w:t>
      </w:r>
      <w:r w:rsidR="00F309FF">
        <w:t>eviction</w:t>
      </w:r>
      <w:r w:rsidR="004D1D94">
        <w:t xml:space="preserve"> in the future from City land without a</w:t>
      </w:r>
      <w:r w:rsidR="00F309FF">
        <w:t xml:space="preserve">n eviction order that is compliant with either PIE or s 26(3) of the Constitution. That is the whole point of the interdict – to </w:t>
      </w:r>
      <w:r w:rsidR="00F309FF">
        <w:lastRenderedPageBreak/>
        <w:t xml:space="preserve">avoid the cost </w:t>
      </w:r>
      <w:r w:rsidR="00077CDE">
        <w:t>of eviction applications in the future.</w:t>
      </w:r>
      <w:r w:rsidR="00A82396">
        <w:t xml:space="preserve"> In </w:t>
      </w:r>
      <w:r w:rsidR="00A82396" w:rsidRPr="00ED74CB">
        <w:rPr>
          <w:i/>
          <w:iCs/>
        </w:rPr>
        <w:t>Zulu</w:t>
      </w:r>
      <w:r w:rsidR="00A82396">
        <w:t>,</w:t>
      </w:r>
      <w:r w:rsidR="00A97DDA">
        <w:rPr>
          <w:rStyle w:val="FootnoteReference"/>
        </w:rPr>
        <w:footnoteReference w:id="75"/>
      </w:r>
      <w:r w:rsidR="00A82396">
        <w:t xml:space="preserve"> the Constitutional Court held that a similar interdict that was used to remove people from informal settlements constituted an eviction order. I do not see how the interdict the City seeks is different.</w:t>
      </w:r>
    </w:p>
    <w:p w14:paraId="68D9BD9E" w14:textId="4C229C6E" w:rsidR="00A37A74" w:rsidRDefault="00ED74CB" w:rsidP="00ED74CB">
      <w:r>
        <w:rPr>
          <w:rFonts w:eastAsia="Times New Roman" w:cs="Arial"/>
          <w:color w:val="000000"/>
          <w:szCs w:val="24"/>
          <w:lang w:val="en-US" w:eastAsia="en-ZA"/>
        </w:rPr>
        <w:t>[240]</w:t>
      </w:r>
      <w:r>
        <w:rPr>
          <w:rFonts w:eastAsia="Times New Roman" w:cs="Arial"/>
          <w:color w:val="000000"/>
          <w:szCs w:val="24"/>
          <w:lang w:val="en-US" w:eastAsia="en-ZA"/>
        </w:rPr>
        <w:tab/>
      </w:r>
      <w:r w:rsidR="00077CDE">
        <w:t xml:space="preserve">But s 26(3) is clear: </w:t>
      </w:r>
      <w:r w:rsidR="00710BFA">
        <w:t>“</w:t>
      </w:r>
      <w:r w:rsidR="00710BFA" w:rsidRPr="00710BFA">
        <w:t>No one may be evicted from their home, or have their home demolished, without an order of court made after considering all the relevant circumstances.</w:t>
      </w:r>
      <w:r w:rsidR="00710BFA">
        <w:t xml:space="preserve">” </w:t>
      </w:r>
      <w:r w:rsidR="00771408">
        <w:t xml:space="preserve">PIE is the legislation enacted to give effect to s 26(3) and sets out the process for an eviction order and the factors that must be considered. </w:t>
      </w:r>
      <w:r w:rsidR="00813EE2">
        <w:t>The enforcement of the interdict would result in an eviction without following that process.</w:t>
      </w:r>
    </w:p>
    <w:p w14:paraId="6AA460DD" w14:textId="34DE3387" w:rsidR="00077CDE" w:rsidRDefault="00ED74CB" w:rsidP="00ED74CB">
      <w:r>
        <w:rPr>
          <w:rFonts w:eastAsia="Times New Roman" w:cs="Arial"/>
          <w:color w:val="000000"/>
          <w:szCs w:val="24"/>
          <w:lang w:val="en-US" w:eastAsia="en-ZA"/>
        </w:rPr>
        <w:t>[241]</w:t>
      </w:r>
      <w:r>
        <w:rPr>
          <w:rFonts w:eastAsia="Times New Roman" w:cs="Arial"/>
          <w:color w:val="000000"/>
          <w:szCs w:val="24"/>
          <w:lang w:val="en-US" w:eastAsia="en-ZA"/>
        </w:rPr>
        <w:tab/>
      </w:r>
      <w:r w:rsidR="00710BFA">
        <w:t>I accept that the interdict the City seeks would not only apply to situations where the Occupiers had made a new home on City land – it would also apply to other conduct that obstructed access or use</w:t>
      </w:r>
      <w:r w:rsidR="00A37A74">
        <w:t xml:space="preserve"> and </w:t>
      </w:r>
      <w:r w:rsidR="00E66E7B">
        <w:t>enforcing it then would not violate s 26(3)</w:t>
      </w:r>
      <w:r w:rsidR="00710BFA">
        <w:t>. But its purpose is primarily directed at preventing them from re-</w:t>
      </w:r>
      <w:r w:rsidR="00710BFA" w:rsidRPr="00ED74CB">
        <w:rPr>
          <w:i/>
          <w:iCs/>
        </w:rPr>
        <w:t>occupying</w:t>
      </w:r>
      <w:r w:rsidR="00710BFA">
        <w:t xml:space="preserve"> City-owned land</w:t>
      </w:r>
      <w:r w:rsidR="00D60C68">
        <w:t>, and allowing the City to remove them through a process other than an eviction</w:t>
      </w:r>
      <w:r w:rsidR="00710BFA">
        <w:t xml:space="preserve">. </w:t>
      </w:r>
      <w:r w:rsidR="000222FE">
        <w:t xml:space="preserve">That is the purpose of the interdict. </w:t>
      </w:r>
      <w:r w:rsidR="00710BFA">
        <w:t>In my view, this Court cannot do that.</w:t>
      </w:r>
    </w:p>
    <w:p w14:paraId="7A24F2BD" w14:textId="36BBD683" w:rsidR="00157D73" w:rsidRDefault="00ED74CB" w:rsidP="00ED74CB">
      <w:r>
        <w:rPr>
          <w:rFonts w:eastAsia="Times New Roman" w:cs="Arial"/>
          <w:color w:val="000000"/>
          <w:szCs w:val="24"/>
          <w:lang w:val="en-US" w:eastAsia="en-ZA"/>
        </w:rPr>
        <w:t>[242]</w:t>
      </w:r>
      <w:r>
        <w:rPr>
          <w:rFonts w:eastAsia="Times New Roman" w:cs="Arial"/>
          <w:color w:val="000000"/>
          <w:szCs w:val="24"/>
          <w:lang w:val="en-US" w:eastAsia="en-ZA"/>
        </w:rPr>
        <w:tab/>
      </w:r>
      <w:r w:rsidR="00B818C3">
        <w:t>If the interdict were granted, t</w:t>
      </w:r>
      <w:r w:rsidR="00157D73">
        <w:t xml:space="preserve">he Occupiers would be evicted without </w:t>
      </w:r>
      <w:r w:rsidR="00245F9D">
        <w:t>an order of court that considered all relevant circumstances</w:t>
      </w:r>
      <w:r w:rsidR="00BB1808">
        <w:t>, an</w:t>
      </w:r>
      <w:r w:rsidR="00362C40">
        <w:t>d</w:t>
      </w:r>
      <w:r w:rsidR="00BB1808">
        <w:t xml:space="preserve"> without an eviction order granted in terms of PIE</w:t>
      </w:r>
      <w:r w:rsidR="00245F9D">
        <w:t xml:space="preserve">. </w:t>
      </w:r>
      <w:r w:rsidR="00E13F43">
        <w:t>They could be evicted</w:t>
      </w:r>
      <w:r w:rsidR="00245F9D">
        <w:t xml:space="preserve"> without meaningful engagement, and without </w:t>
      </w:r>
      <w:r w:rsidR="00923A92">
        <w:t>a consideration of whether alternative accommodation is available.</w:t>
      </w:r>
      <w:r w:rsidR="00E13F43">
        <w:t xml:space="preserve"> </w:t>
      </w:r>
      <w:r w:rsidR="00BB1808">
        <w:t>That</w:t>
      </w:r>
      <w:r w:rsidR="00362C40">
        <w:t>, as I understand it,</w:t>
      </w:r>
      <w:r w:rsidR="00BB1808">
        <w:t xml:space="preserve"> is the entire point of the interdict.</w:t>
      </w:r>
    </w:p>
    <w:p w14:paraId="31EB5C40" w14:textId="14E5367A" w:rsidR="002B6415" w:rsidRDefault="00ED74CB" w:rsidP="00ED74CB">
      <w:r>
        <w:rPr>
          <w:rFonts w:eastAsia="Times New Roman" w:cs="Arial"/>
          <w:color w:val="000000"/>
          <w:szCs w:val="24"/>
          <w:lang w:val="en-US" w:eastAsia="en-ZA"/>
        </w:rPr>
        <w:t>[243]</w:t>
      </w:r>
      <w:r>
        <w:rPr>
          <w:rFonts w:eastAsia="Times New Roman" w:cs="Arial"/>
          <w:color w:val="000000"/>
          <w:szCs w:val="24"/>
          <w:lang w:val="en-US" w:eastAsia="en-ZA"/>
        </w:rPr>
        <w:tab/>
      </w:r>
      <w:r w:rsidR="003842BE">
        <w:t>Th</w:t>
      </w:r>
      <w:r w:rsidR="00A97DDA">
        <w:t xml:space="preserve">e majority in </w:t>
      </w:r>
      <w:r w:rsidR="00A97DDA" w:rsidRPr="00ED74CB">
        <w:rPr>
          <w:i/>
          <w:iCs/>
        </w:rPr>
        <w:t xml:space="preserve">Zulu </w:t>
      </w:r>
      <w:r w:rsidR="00A97DDA">
        <w:t xml:space="preserve">declined to make a finding on whether the interdict was unlawful or not for procedural reasons. </w:t>
      </w:r>
      <w:r w:rsidR="00CF315E">
        <w:t xml:space="preserve"> </w:t>
      </w:r>
      <w:r w:rsidR="00327787">
        <w:t xml:space="preserve">But in a concurring judgment, </w:t>
      </w:r>
      <w:r w:rsidR="00BD6AA8">
        <w:t xml:space="preserve">Van der </w:t>
      </w:r>
      <w:r w:rsidR="00BD6AA8">
        <w:lastRenderedPageBreak/>
        <w:t>Westhuizen J</w:t>
      </w:r>
      <w:r w:rsidR="00327787">
        <w:t xml:space="preserve"> (joined by Froneman J)</w:t>
      </w:r>
      <w:r w:rsidR="00BD6AA8">
        <w:t xml:space="preserve"> held that it was unconstitutional and unlawful to grant interdicts that effectively permitted evictions</w:t>
      </w:r>
      <w:r w:rsidR="001E2E31">
        <w:t>. He held: “</w:t>
      </w:r>
      <w:r w:rsidR="00971A44" w:rsidRPr="00971A44">
        <w:t>An order of this nature deprives unlawful occupiers of rights enshrined in the Constitution and recalls a time when the destitute and landless were considered unworthy of a hearing before they were unceremoniously removed from the land where they had tried to make their homes.</w:t>
      </w:r>
      <w:r w:rsidR="00971A44">
        <w:t>”</w:t>
      </w:r>
      <w:r w:rsidR="00971A44">
        <w:rPr>
          <w:rStyle w:val="FootnoteReference"/>
        </w:rPr>
        <w:footnoteReference w:id="76"/>
      </w:r>
    </w:p>
    <w:p w14:paraId="58FC49EB" w14:textId="40687BFB" w:rsidR="008E11C8" w:rsidRDefault="00ED74CB" w:rsidP="00ED74CB">
      <w:r>
        <w:rPr>
          <w:rFonts w:eastAsia="Times New Roman" w:cs="Arial"/>
          <w:color w:val="000000"/>
          <w:szCs w:val="24"/>
          <w:lang w:val="en-US" w:eastAsia="en-ZA"/>
        </w:rPr>
        <w:t>[244]</w:t>
      </w:r>
      <w:r>
        <w:rPr>
          <w:rFonts w:eastAsia="Times New Roman" w:cs="Arial"/>
          <w:color w:val="000000"/>
          <w:szCs w:val="24"/>
          <w:lang w:val="en-US" w:eastAsia="en-ZA"/>
        </w:rPr>
        <w:tab/>
      </w:r>
      <w:r w:rsidR="008E11C8">
        <w:t xml:space="preserve">Wilson AJ (as he then was) reached a similar conclusion in </w:t>
      </w:r>
      <w:r w:rsidR="004501A0" w:rsidRPr="00ED74CB">
        <w:rPr>
          <w:i/>
          <w:iCs/>
        </w:rPr>
        <w:t>Johannesburg City v K2016498847 (Pty) Ltd</w:t>
      </w:r>
      <w:r w:rsidR="004501A0">
        <w:t>.</w:t>
      </w:r>
      <w:r w:rsidR="004501A0">
        <w:rPr>
          <w:rStyle w:val="FootnoteReference"/>
        </w:rPr>
        <w:footnoteReference w:id="77"/>
      </w:r>
      <w:r w:rsidR="004501A0" w:rsidRPr="004501A0">
        <w:t xml:space="preserve"> </w:t>
      </w:r>
      <w:r w:rsidR="0076619D">
        <w:t>He held that a municipality was not entitled to a</w:t>
      </w:r>
      <w:r w:rsidR="00BC414F">
        <w:t xml:space="preserve">n interdict to enforce a land use scheme that would have the effect of evicting people from their home unless it met the requirements </w:t>
      </w:r>
      <w:r w:rsidR="00F43463">
        <w:t>for an eviction under</w:t>
      </w:r>
      <w:r w:rsidR="00BC414F">
        <w:t xml:space="preserve"> s 26(3)</w:t>
      </w:r>
      <w:r w:rsidR="00F43463">
        <w:t xml:space="preserve"> of the Constitution.</w:t>
      </w:r>
      <w:r w:rsidR="00F43463">
        <w:rPr>
          <w:rStyle w:val="FootnoteReference"/>
        </w:rPr>
        <w:footnoteReference w:id="78"/>
      </w:r>
      <w:r w:rsidR="00F43463">
        <w:t xml:space="preserve"> </w:t>
      </w:r>
      <w:r w:rsidR="00A578C3">
        <w:t xml:space="preserve">That would include </w:t>
      </w:r>
      <w:r w:rsidR="00BC414F">
        <w:t>meaningful engagement and the offer of alternative</w:t>
      </w:r>
      <w:r w:rsidR="00A578C3">
        <w:t xml:space="preserve"> </w:t>
      </w:r>
      <w:r w:rsidR="00BC414F">
        <w:t>accommodation if there was a risk of homelessness.</w:t>
      </w:r>
      <w:r w:rsidR="00C6355D">
        <w:t xml:space="preserve"> The same principle, to my mind, applies here.</w:t>
      </w:r>
    </w:p>
    <w:p w14:paraId="41797E95" w14:textId="494A550C" w:rsidR="00007665" w:rsidRDefault="00ED74CB" w:rsidP="00ED74CB">
      <w:r>
        <w:rPr>
          <w:rFonts w:eastAsia="Times New Roman" w:cs="Arial"/>
          <w:color w:val="000000"/>
          <w:szCs w:val="24"/>
          <w:lang w:val="en-US" w:eastAsia="en-ZA"/>
        </w:rPr>
        <w:t>[245]</w:t>
      </w:r>
      <w:r>
        <w:rPr>
          <w:rFonts w:eastAsia="Times New Roman" w:cs="Arial"/>
          <w:color w:val="000000"/>
          <w:szCs w:val="24"/>
          <w:lang w:val="en-US" w:eastAsia="en-ZA"/>
        </w:rPr>
        <w:tab/>
      </w:r>
      <w:r w:rsidR="009C64DC">
        <w:t>In short</w:t>
      </w:r>
      <w:r w:rsidR="00DD1F1F">
        <w:t xml:space="preserve">, while evictions may be expensive and time-consuming </w:t>
      </w:r>
      <w:r w:rsidR="00580F45">
        <w:t>that is because they have serious consequences. People should not lose their homes unless the proper process has been followed and a court has considered all the relevant circumstances. I do not believe the City has a clear right to bypass those requirements.</w:t>
      </w:r>
    </w:p>
    <w:p w14:paraId="5BECF96D" w14:textId="77777777" w:rsidR="00716861" w:rsidRDefault="00716861" w:rsidP="00716861"/>
    <w:p w14:paraId="32DFCF23" w14:textId="2D6ADEC9" w:rsidR="00716861" w:rsidRDefault="00716861" w:rsidP="00716861">
      <w:pPr>
        <w:pStyle w:val="Heading3"/>
      </w:pPr>
      <w:r>
        <w:lastRenderedPageBreak/>
        <w:t>The Eviction is Unnecessary</w:t>
      </w:r>
    </w:p>
    <w:p w14:paraId="5A9F1763" w14:textId="2806899F" w:rsidR="00D72CB9" w:rsidRPr="00ED74CB" w:rsidRDefault="00ED74CB" w:rsidP="00ED74CB">
      <w:pPr>
        <w:rPr>
          <w:u w:val="single"/>
        </w:rPr>
      </w:pPr>
      <w:r w:rsidRPr="00666C9E">
        <w:rPr>
          <w:rFonts w:eastAsia="Times New Roman" w:cs="Arial"/>
          <w:color w:val="000000"/>
          <w:szCs w:val="24"/>
          <w:lang w:val="en-US" w:eastAsia="en-ZA"/>
        </w:rPr>
        <w:t>[246]</w:t>
      </w:r>
      <w:r w:rsidRPr="00666C9E">
        <w:rPr>
          <w:rFonts w:eastAsia="Times New Roman" w:cs="Arial"/>
          <w:color w:val="000000"/>
          <w:szCs w:val="24"/>
          <w:lang w:val="en-US" w:eastAsia="en-ZA"/>
        </w:rPr>
        <w:tab/>
      </w:r>
      <w:r w:rsidR="00716861" w:rsidRPr="00716861">
        <w:t>T</w:t>
      </w:r>
      <w:r w:rsidR="00CC7FDD">
        <w:t>he City claims that without the interdict</w:t>
      </w:r>
      <w:r w:rsidR="008B33CC">
        <w:t xml:space="preserve"> the costs of addressing new occupations by the Occupiers will be too high. It will be hamstrung</w:t>
      </w:r>
      <w:r w:rsidR="00AD3FEA">
        <w:t xml:space="preserve"> from clearing its pavements and other public places. As I have explained, that is the price s 26(3) requires the state to pay. But there is another </w:t>
      </w:r>
      <w:r w:rsidR="00666C9E">
        <w:t>reason to refuse relief. The City has an alternative remedy – its own By-Law.</w:t>
      </w:r>
    </w:p>
    <w:p w14:paraId="3809BD5C" w14:textId="0A05504B" w:rsidR="00666C9E" w:rsidRPr="00ED74CB" w:rsidRDefault="00ED74CB" w:rsidP="00ED74CB">
      <w:pPr>
        <w:rPr>
          <w:u w:val="single"/>
        </w:rPr>
      </w:pPr>
      <w:r w:rsidRPr="00305EA4">
        <w:rPr>
          <w:rFonts w:eastAsia="Times New Roman" w:cs="Arial"/>
          <w:color w:val="000000"/>
          <w:szCs w:val="24"/>
          <w:lang w:val="en-US" w:eastAsia="en-ZA"/>
        </w:rPr>
        <w:t>[247]</w:t>
      </w:r>
      <w:r w:rsidRPr="00305EA4">
        <w:rPr>
          <w:rFonts w:eastAsia="Times New Roman" w:cs="Arial"/>
          <w:color w:val="000000"/>
          <w:szCs w:val="24"/>
          <w:lang w:val="en-US" w:eastAsia="en-ZA"/>
        </w:rPr>
        <w:tab/>
      </w:r>
      <w:r w:rsidR="002A47AD">
        <w:t xml:space="preserve">The City’s </w:t>
      </w:r>
      <w:r w:rsidR="00D47329">
        <w:t xml:space="preserve">By-Law </w:t>
      </w:r>
      <w:r w:rsidR="00BF3691">
        <w:t xml:space="preserve">permits </w:t>
      </w:r>
      <w:r w:rsidR="00466867">
        <w:t>the City to, in effect, evict people who have made their homes in public places</w:t>
      </w:r>
      <w:r w:rsidR="00216E34">
        <w:t xml:space="preserve"> without a court order, at least in certain circumstances</w:t>
      </w:r>
      <w:r w:rsidR="00466867">
        <w:t xml:space="preserve">. </w:t>
      </w:r>
      <w:r w:rsidR="004B2D87">
        <w:t>Section 2 of the By-Law prohibits a range of conduct in public. In particular, s 2(3)(m) prohibits sleeping overnigh</w:t>
      </w:r>
      <w:r w:rsidR="00024F44">
        <w:t>t</w:t>
      </w:r>
      <w:r w:rsidR="004B2D87">
        <w:t xml:space="preserve"> or erecting any shelter in a public place</w:t>
      </w:r>
      <w:r w:rsidR="00024F44">
        <w:t xml:space="preserve">. Section 22A </w:t>
      </w:r>
      <w:r w:rsidR="00E43B5F">
        <w:t xml:space="preserve">– which was introduced in 2022 – </w:t>
      </w:r>
      <w:r w:rsidR="009F427F">
        <w:t xml:space="preserve">permits the City’s officials to direct people to comply with </w:t>
      </w:r>
      <w:r w:rsidR="00771856">
        <w:t>t</w:t>
      </w:r>
      <w:r w:rsidR="009F427F">
        <w:t>he By-Law and, if they refuse, to arre</w:t>
      </w:r>
      <w:r w:rsidR="00F9557A">
        <w:t>st the person. That power is subject to an important proviso. Section 22A</w:t>
      </w:r>
      <w:r w:rsidR="00FA6074">
        <w:t>(2) provides that the power to arrest “may only be exercised in respect of a contravention of section 2(3)(m) if the person refuses to accept an offer of alternative shelter.”</w:t>
      </w:r>
      <w:r w:rsidR="00E43B5F">
        <w:rPr>
          <w:rStyle w:val="FootnoteReference"/>
        </w:rPr>
        <w:footnoteReference w:id="79"/>
      </w:r>
      <w:r w:rsidR="00FA6074">
        <w:t xml:space="preserve"> The same</w:t>
      </w:r>
      <w:r w:rsidR="00A947A8">
        <w:t xml:space="preserve"> proviso </w:t>
      </w:r>
      <w:r w:rsidR="00FA6074">
        <w:t xml:space="preserve">appears to apply </w:t>
      </w:r>
      <w:r w:rsidR="00A947A8">
        <w:t xml:space="preserve">to the power to </w:t>
      </w:r>
      <w:r w:rsidR="00E43B5F">
        <w:t>impound a person’s possessions in s 22A(1)(e).</w:t>
      </w:r>
    </w:p>
    <w:p w14:paraId="5746CDCB" w14:textId="0A40EC70" w:rsidR="00305EA4" w:rsidRPr="00ED74CB" w:rsidRDefault="00ED74CB" w:rsidP="00ED74CB">
      <w:pPr>
        <w:rPr>
          <w:u w:val="single"/>
        </w:rPr>
      </w:pPr>
      <w:r>
        <w:rPr>
          <w:rFonts w:eastAsia="Times New Roman" w:cs="Arial"/>
          <w:color w:val="000000"/>
          <w:szCs w:val="24"/>
          <w:lang w:val="en-US" w:eastAsia="en-ZA"/>
        </w:rPr>
        <w:t>[248]</w:t>
      </w:r>
      <w:r>
        <w:rPr>
          <w:rFonts w:eastAsia="Times New Roman" w:cs="Arial"/>
          <w:color w:val="000000"/>
          <w:szCs w:val="24"/>
          <w:lang w:val="en-US" w:eastAsia="en-ZA"/>
        </w:rPr>
        <w:tab/>
      </w:r>
      <w:r w:rsidR="00305EA4">
        <w:t xml:space="preserve">In short, the By-Law permits the City to, in effect, evict (and even arrest) people who are living in public places, provided only that </w:t>
      </w:r>
      <w:r w:rsidR="00780273">
        <w:t>the person refuses an offer of alternative shelter. If there is no alternative shelter available the City cannot, under its own By-Law, remove/evict the person.</w:t>
      </w:r>
    </w:p>
    <w:p w14:paraId="6834D509" w14:textId="183AD97B" w:rsidR="009C6EA9" w:rsidRPr="00ED74CB" w:rsidRDefault="00ED74CB" w:rsidP="00ED74CB">
      <w:pPr>
        <w:rPr>
          <w:u w:val="single"/>
        </w:rPr>
      </w:pPr>
      <w:r w:rsidRPr="00880B54">
        <w:rPr>
          <w:rFonts w:eastAsia="Times New Roman" w:cs="Arial"/>
          <w:color w:val="000000"/>
          <w:szCs w:val="24"/>
          <w:lang w:val="en-US" w:eastAsia="en-ZA"/>
        </w:rPr>
        <w:lastRenderedPageBreak/>
        <w:t>[249]</w:t>
      </w:r>
      <w:r w:rsidRPr="00880B54">
        <w:rPr>
          <w:rFonts w:eastAsia="Times New Roman" w:cs="Arial"/>
          <w:color w:val="000000"/>
          <w:szCs w:val="24"/>
          <w:lang w:val="en-US" w:eastAsia="en-ZA"/>
        </w:rPr>
        <w:tab/>
      </w:r>
      <w:r w:rsidR="000F4C9C">
        <w:t>When I heard this matter, t</w:t>
      </w:r>
      <w:r w:rsidR="009C6EA9">
        <w:t xml:space="preserve">here </w:t>
      </w:r>
      <w:r w:rsidR="000F4C9C">
        <w:t>was</w:t>
      </w:r>
      <w:r w:rsidR="009C6EA9">
        <w:t xml:space="preserve"> a </w:t>
      </w:r>
      <w:r w:rsidR="000F4C9C">
        <w:t xml:space="preserve">pending </w:t>
      </w:r>
      <w:r w:rsidR="009C6EA9">
        <w:t>challenge to the constitutionality of the By</w:t>
      </w:r>
      <w:r w:rsidR="009C6EA9">
        <w:noBreakHyphen/>
      </w:r>
      <w:r w:rsidR="00DB30F9">
        <w:t>L</w:t>
      </w:r>
      <w:r w:rsidR="009C6EA9">
        <w:t>aw</w:t>
      </w:r>
      <w:r w:rsidR="001513D6">
        <w:t xml:space="preserve">; that was </w:t>
      </w:r>
      <w:r w:rsidR="000F4C9C">
        <w:t>part of the reason</w:t>
      </w:r>
      <w:r w:rsidR="001513D6">
        <w:t xml:space="preserve"> the Occupiers did not proceed with their counter-application</w:t>
      </w:r>
      <w:r w:rsidR="009C6EA9">
        <w:t>.</w:t>
      </w:r>
      <w:r w:rsidR="00DB30F9">
        <w:rPr>
          <w:rStyle w:val="FootnoteReference"/>
        </w:rPr>
        <w:footnoteReference w:id="80"/>
      </w:r>
      <w:r w:rsidR="00880B54">
        <w:t xml:space="preserve"> </w:t>
      </w:r>
      <w:r w:rsidR="000F4C9C">
        <w:t>To the best of my knowledge, it is still pending.</w:t>
      </w:r>
      <w:r w:rsidR="00737FB3">
        <w:t xml:space="preserve"> Until it is decided, the By-law remains valid.</w:t>
      </w:r>
      <w:r w:rsidR="000F4C9C">
        <w:t xml:space="preserve"> </w:t>
      </w:r>
      <w:r w:rsidR="009C6EA9">
        <w:t>I express no view on whether that ch</w:t>
      </w:r>
      <w:r w:rsidR="00880B54">
        <w:t>allenge or any other constitutional challenge to the By-Law is good or bad. Either way, the City should not get its interdict.</w:t>
      </w:r>
    </w:p>
    <w:p w14:paraId="1C3958DC" w14:textId="76CB6085" w:rsidR="00D73D78" w:rsidRPr="00ED74CB" w:rsidRDefault="00ED74CB" w:rsidP="00ED74CB">
      <w:pPr>
        <w:rPr>
          <w:u w:val="single"/>
        </w:rPr>
      </w:pPr>
      <w:r w:rsidRPr="00D73D78">
        <w:rPr>
          <w:rFonts w:eastAsia="Times New Roman" w:cs="Arial"/>
          <w:color w:val="000000"/>
          <w:szCs w:val="24"/>
          <w:lang w:val="en-US" w:eastAsia="en-ZA"/>
        </w:rPr>
        <w:t>[250]</w:t>
      </w:r>
      <w:r w:rsidRPr="00D73D78">
        <w:rPr>
          <w:rFonts w:eastAsia="Times New Roman" w:cs="Arial"/>
          <w:color w:val="000000"/>
          <w:szCs w:val="24"/>
          <w:lang w:val="en-US" w:eastAsia="en-ZA"/>
        </w:rPr>
        <w:tab/>
      </w:r>
      <w:r w:rsidR="00880B54">
        <w:t xml:space="preserve">If the challenge is bad, then the City has an alternative remedy and need not enlist the Court to </w:t>
      </w:r>
      <w:r w:rsidR="001513D6">
        <w:t xml:space="preserve">provide a remedy through an interdict that it already has through its own laws. If the challenge is good, then </w:t>
      </w:r>
      <w:r w:rsidR="00FC1B54">
        <w:t xml:space="preserve">the City would be seeking to do through court orders what it cannot constitutionally do through </w:t>
      </w:r>
      <w:r w:rsidR="00D73D78">
        <w:t>its by-</w:t>
      </w:r>
      <w:r w:rsidR="00FC1B54">
        <w:t xml:space="preserve">laws. </w:t>
      </w:r>
    </w:p>
    <w:p w14:paraId="0C1E27B1" w14:textId="5A029478" w:rsidR="00880B54" w:rsidRPr="00ED74CB" w:rsidRDefault="00ED74CB" w:rsidP="00ED74CB">
      <w:pPr>
        <w:rPr>
          <w:u w:val="single"/>
        </w:rPr>
      </w:pPr>
      <w:r w:rsidRPr="00961201">
        <w:rPr>
          <w:rFonts w:eastAsia="Times New Roman" w:cs="Arial"/>
          <w:color w:val="000000"/>
          <w:szCs w:val="24"/>
          <w:lang w:val="en-US" w:eastAsia="en-ZA"/>
        </w:rPr>
        <w:t>[251]</w:t>
      </w:r>
      <w:r w:rsidRPr="00961201">
        <w:rPr>
          <w:rFonts w:eastAsia="Times New Roman" w:cs="Arial"/>
          <w:color w:val="000000"/>
          <w:szCs w:val="24"/>
          <w:lang w:val="en-US" w:eastAsia="en-ZA"/>
        </w:rPr>
        <w:tab/>
      </w:r>
      <w:r w:rsidR="00300F46">
        <w:t>T</w:t>
      </w:r>
      <w:r w:rsidR="00FC1B54">
        <w:t>he Constitution binds a</w:t>
      </w:r>
      <w:r w:rsidR="009645A4">
        <w:t xml:space="preserve">ll branches of government – the legislature, the executive </w:t>
      </w:r>
      <w:r w:rsidR="009645A4" w:rsidRPr="00ED74CB">
        <w:rPr>
          <w:u w:val="single"/>
        </w:rPr>
        <w:t>and the judiciary</w:t>
      </w:r>
      <w:r w:rsidR="009645A4">
        <w:t>.</w:t>
      </w:r>
      <w:r w:rsidR="00300F46">
        <w:rPr>
          <w:rStyle w:val="FootnoteReference"/>
        </w:rPr>
        <w:footnoteReference w:id="81"/>
      </w:r>
      <w:r w:rsidR="009645A4">
        <w:t xml:space="preserve"> If the removal of homeless people from the streets without an eviction order is unconstitutional when done through a By-Law, it is</w:t>
      </w:r>
      <w:r w:rsidR="00BD1CC4">
        <w:t xml:space="preserve"> also</w:t>
      </w:r>
      <w:r w:rsidR="009645A4">
        <w:t xml:space="preserve"> unconstitutional when done through </w:t>
      </w:r>
      <w:r w:rsidR="00300F46">
        <w:t>a court order.</w:t>
      </w:r>
      <w:r w:rsidR="00BD1CC4">
        <w:rPr>
          <w:rStyle w:val="FootnoteReference"/>
        </w:rPr>
        <w:footnoteReference w:id="82"/>
      </w:r>
      <w:r w:rsidR="0009454E">
        <w:t xml:space="preserve"> And if it can be done through the By-law, the City does not need its interdict.</w:t>
      </w:r>
    </w:p>
    <w:p w14:paraId="533A4E7E" w14:textId="0DF09015" w:rsidR="00961201" w:rsidRPr="00ED74CB" w:rsidRDefault="00ED74CB" w:rsidP="00ED74CB">
      <w:pPr>
        <w:rPr>
          <w:u w:val="single"/>
        </w:rPr>
      </w:pPr>
      <w:r w:rsidRPr="00791BA3">
        <w:rPr>
          <w:rFonts w:eastAsia="Times New Roman" w:cs="Arial"/>
          <w:color w:val="000000"/>
          <w:szCs w:val="24"/>
          <w:lang w:val="en-US" w:eastAsia="en-ZA"/>
        </w:rPr>
        <w:t>[252]</w:t>
      </w:r>
      <w:r w:rsidRPr="00791BA3">
        <w:rPr>
          <w:rFonts w:eastAsia="Times New Roman" w:cs="Arial"/>
          <w:color w:val="000000"/>
          <w:szCs w:val="24"/>
          <w:lang w:val="en-US" w:eastAsia="en-ZA"/>
        </w:rPr>
        <w:tab/>
      </w:r>
      <w:r w:rsidR="00961201">
        <w:t xml:space="preserve">The City argues that this case is different because </w:t>
      </w:r>
      <w:r w:rsidR="00E00728">
        <w:t>it involves an interdict against people who have already been evicted. I do not see why that makes a difference. Section 26(3) applies</w:t>
      </w:r>
      <w:r w:rsidR="00BE0902">
        <w:t xml:space="preserve"> to all people, whether they have previously been evicted or not. It is not a once-off guarantee. In any event, the City could amend its </w:t>
      </w:r>
      <w:r w:rsidR="00BE0902">
        <w:lastRenderedPageBreak/>
        <w:t xml:space="preserve">By-Law so that it would only permit removal without court order of people </w:t>
      </w:r>
      <w:r w:rsidR="00102378">
        <w:t>who have already been evicted from City-owned land. If it believes that justifies a limitation of s 26(3), it should enact it into law and defend it.</w:t>
      </w:r>
    </w:p>
    <w:p w14:paraId="58894639" w14:textId="4B30A6A0" w:rsidR="002B1644" w:rsidRPr="00ED74CB" w:rsidRDefault="00ED74CB" w:rsidP="00ED74CB">
      <w:pPr>
        <w:rPr>
          <w:u w:val="single"/>
        </w:rPr>
      </w:pPr>
      <w:r w:rsidRPr="002B1644">
        <w:rPr>
          <w:rFonts w:eastAsia="Times New Roman" w:cs="Arial"/>
          <w:color w:val="000000"/>
          <w:szCs w:val="24"/>
          <w:lang w:val="en-US" w:eastAsia="en-ZA"/>
        </w:rPr>
        <w:t>[253]</w:t>
      </w:r>
      <w:r w:rsidRPr="002B1644">
        <w:rPr>
          <w:rFonts w:eastAsia="Times New Roman" w:cs="Arial"/>
          <w:color w:val="000000"/>
          <w:szCs w:val="24"/>
          <w:lang w:val="en-US" w:eastAsia="en-ZA"/>
        </w:rPr>
        <w:tab/>
      </w:r>
      <w:r w:rsidR="00791BA3">
        <w:t xml:space="preserve">The City is not an ordinary litigant that must live within the existing legislative universe. It is a law-maker. It can enact </w:t>
      </w:r>
      <w:r w:rsidR="0067772B">
        <w:t xml:space="preserve">new by-laws </w:t>
      </w:r>
      <w:r w:rsidR="00791BA3">
        <w:t xml:space="preserve">and amend </w:t>
      </w:r>
      <w:r w:rsidR="0067772B">
        <w:t>existing by-</w:t>
      </w:r>
      <w:r w:rsidR="00791BA3">
        <w:t>laws. It should do so, rather than seeking to legislate through court orders against specific groups of people.</w:t>
      </w:r>
      <w:r w:rsidR="00065FE4">
        <w:t xml:space="preserve"> </w:t>
      </w:r>
    </w:p>
    <w:p w14:paraId="58DB40B4" w14:textId="64A6F036" w:rsidR="00716861" w:rsidRPr="00ED74CB" w:rsidRDefault="00ED74CB" w:rsidP="00ED74CB">
      <w:pPr>
        <w:rPr>
          <w:u w:val="single"/>
        </w:rPr>
      </w:pPr>
      <w:r>
        <w:rPr>
          <w:rFonts w:eastAsia="Times New Roman" w:cs="Arial"/>
          <w:color w:val="000000"/>
          <w:szCs w:val="24"/>
          <w:lang w:val="en-US" w:eastAsia="en-ZA"/>
        </w:rPr>
        <w:t>[254]</w:t>
      </w:r>
      <w:r>
        <w:rPr>
          <w:rFonts w:eastAsia="Times New Roman" w:cs="Arial"/>
          <w:color w:val="000000"/>
          <w:szCs w:val="24"/>
          <w:lang w:val="en-US" w:eastAsia="en-ZA"/>
        </w:rPr>
        <w:tab/>
      </w:r>
      <w:r w:rsidR="00065FE4">
        <w:t xml:space="preserve">I accept that the scope for by-laws that permit evictions outside of PIE may be narrow, not only because of s 26(3), but also because of s 156(3) which </w:t>
      </w:r>
      <w:r w:rsidR="00D6473E">
        <w:t>provides that by-laws contrary to national legislation are</w:t>
      </w:r>
      <w:r w:rsidR="00871745">
        <w:t xml:space="preserve"> ordinarily</w:t>
      </w:r>
      <w:r w:rsidR="00D6473E">
        <w:t xml:space="preserve"> invalid.</w:t>
      </w:r>
      <w:r w:rsidR="00D6473E">
        <w:rPr>
          <w:rStyle w:val="FootnoteReference"/>
        </w:rPr>
        <w:footnoteReference w:id="83"/>
      </w:r>
      <w:r w:rsidR="008C63D1">
        <w:t xml:space="preserve"> But that is the constitutional scheme. I do not see why the City should be able to escape it through interdicts.</w:t>
      </w:r>
    </w:p>
    <w:p w14:paraId="52F62356" w14:textId="77777777" w:rsidR="00716861" w:rsidRDefault="00716861" w:rsidP="00716861">
      <w:pPr>
        <w:pStyle w:val="ListParagraph"/>
        <w:numPr>
          <w:ilvl w:val="0"/>
          <w:numId w:val="0"/>
        </w:numPr>
        <w:rPr>
          <w:u w:val="single"/>
        </w:rPr>
      </w:pPr>
    </w:p>
    <w:p w14:paraId="3FA10381" w14:textId="3DA106B5" w:rsidR="00716861" w:rsidRPr="00716861" w:rsidRDefault="00716861" w:rsidP="00716861">
      <w:pPr>
        <w:pStyle w:val="Heading3"/>
      </w:pPr>
      <w:r>
        <w:t>The Interdict will be Ineffective</w:t>
      </w:r>
    </w:p>
    <w:p w14:paraId="29748AA4" w14:textId="095234BA" w:rsidR="00871745" w:rsidRPr="00ED74CB" w:rsidRDefault="00ED74CB" w:rsidP="00ED74CB">
      <w:pPr>
        <w:rPr>
          <w:u w:val="single"/>
        </w:rPr>
      </w:pPr>
      <w:r w:rsidRPr="00A97F0D">
        <w:rPr>
          <w:rFonts w:eastAsia="Times New Roman" w:cs="Arial"/>
          <w:color w:val="000000"/>
          <w:szCs w:val="24"/>
          <w:lang w:val="en-US" w:eastAsia="en-ZA"/>
        </w:rPr>
        <w:t>[255]</w:t>
      </w:r>
      <w:r w:rsidRPr="00A97F0D">
        <w:rPr>
          <w:rFonts w:eastAsia="Times New Roman" w:cs="Arial"/>
          <w:color w:val="000000"/>
          <w:szCs w:val="24"/>
          <w:lang w:val="en-US" w:eastAsia="en-ZA"/>
        </w:rPr>
        <w:tab/>
      </w:r>
      <w:r w:rsidR="00716861">
        <w:t>T</w:t>
      </w:r>
      <w:r w:rsidR="00871745">
        <w:t>h</w:t>
      </w:r>
      <w:r w:rsidR="003C1919">
        <w:t xml:space="preserve">is interdict on its own will not solve the City’s </w:t>
      </w:r>
      <w:r w:rsidR="00716861">
        <w:t>“</w:t>
      </w:r>
      <w:r w:rsidR="003C1919">
        <w:t>problem</w:t>
      </w:r>
      <w:r w:rsidR="00716861">
        <w:t>”</w:t>
      </w:r>
      <w:r w:rsidR="003C1919">
        <w:t>. It would only permit to evict without court order those named</w:t>
      </w:r>
      <w:r w:rsidR="003C42CB">
        <w:t xml:space="preserve"> Occupiers</w:t>
      </w:r>
      <w:r w:rsidR="003C1919">
        <w:t xml:space="preserve"> who re-occupy </w:t>
      </w:r>
      <w:r w:rsidR="005A7780">
        <w:t xml:space="preserve">City land. But it would still need to obtain an eviction order for all the other homeless people who will likely be </w:t>
      </w:r>
      <w:r w:rsidR="003C42CB">
        <w:t xml:space="preserve">occupying the same land. It seems inherently unlikely that there will be a future occupation solely of the named Occupiers. But if it must obtain an eviction order for some </w:t>
      </w:r>
      <w:r w:rsidR="00A97F0D">
        <w:t>people occupying the same portion of land, why not all of them?</w:t>
      </w:r>
    </w:p>
    <w:p w14:paraId="38C60645" w14:textId="582FEABB" w:rsidR="00D96111" w:rsidRPr="00ED74CB" w:rsidRDefault="00ED74CB" w:rsidP="00ED74CB">
      <w:pPr>
        <w:rPr>
          <w:u w:val="single"/>
        </w:rPr>
      </w:pPr>
      <w:r w:rsidRPr="00C40207">
        <w:rPr>
          <w:rFonts w:eastAsia="Times New Roman" w:cs="Arial"/>
          <w:color w:val="000000"/>
          <w:szCs w:val="24"/>
          <w:lang w:val="en-US" w:eastAsia="en-ZA"/>
        </w:rPr>
        <w:lastRenderedPageBreak/>
        <w:t>[256]</w:t>
      </w:r>
      <w:r w:rsidRPr="00C40207">
        <w:rPr>
          <w:rFonts w:eastAsia="Times New Roman" w:cs="Arial"/>
          <w:color w:val="000000"/>
          <w:szCs w:val="24"/>
          <w:lang w:val="en-US" w:eastAsia="en-ZA"/>
        </w:rPr>
        <w:tab/>
      </w:r>
      <w:r w:rsidR="00D96111">
        <w:t>This interdict will not avoid the need for an eviction order. It will – at most – mean some people on a particular property must be evicted under PIE and some can be evicted outside of PIE. That will not</w:t>
      </w:r>
      <w:r w:rsidR="00741309">
        <w:t xml:space="preserve"> significantly</w:t>
      </w:r>
      <w:r w:rsidR="00D96111">
        <w:t xml:space="preserve"> re</w:t>
      </w:r>
      <w:r w:rsidR="00D96111" w:rsidRPr="00C40207">
        <w:t>duce the City’s costs.</w:t>
      </w:r>
    </w:p>
    <w:p w14:paraId="77A669AC" w14:textId="4B87FBB0" w:rsidR="00A97F0D" w:rsidRPr="00ED74CB" w:rsidRDefault="00ED74CB" w:rsidP="00ED74CB">
      <w:pPr>
        <w:rPr>
          <w:u w:val="single"/>
        </w:rPr>
      </w:pPr>
      <w:r w:rsidRPr="00C40207">
        <w:rPr>
          <w:rFonts w:eastAsia="Times New Roman" w:cs="Arial"/>
          <w:color w:val="000000"/>
          <w:szCs w:val="24"/>
          <w:lang w:val="en-US" w:eastAsia="en-ZA"/>
        </w:rPr>
        <w:t>[257]</w:t>
      </w:r>
      <w:r w:rsidRPr="00C40207">
        <w:rPr>
          <w:rFonts w:eastAsia="Times New Roman" w:cs="Arial"/>
          <w:color w:val="000000"/>
          <w:szCs w:val="24"/>
          <w:lang w:val="en-US" w:eastAsia="en-ZA"/>
        </w:rPr>
        <w:tab/>
      </w:r>
      <w:r w:rsidR="00741309">
        <w:t>All t</w:t>
      </w:r>
      <w:r w:rsidR="00A97F0D" w:rsidRPr="00C40207">
        <w:t xml:space="preserve">he interdict would </w:t>
      </w:r>
      <w:r w:rsidR="00741309">
        <w:t xml:space="preserve">achieve is to </w:t>
      </w:r>
      <w:r w:rsidR="00A97F0D" w:rsidRPr="00C40207">
        <w:t>create a special category of homeless people subject to a different regime than all other homeless people in the City. The only reason would be that they had previously been evicted from different City-owned land.</w:t>
      </w:r>
      <w:r w:rsidR="004202AE" w:rsidRPr="00C40207">
        <w:t xml:space="preserve"> </w:t>
      </w:r>
      <w:r w:rsidR="00741309">
        <w:t>I do not see the value in that outcome.</w:t>
      </w:r>
    </w:p>
    <w:p w14:paraId="32F5E144" w14:textId="58D063E1" w:rsidR="00ED6250" w:rsidRPr="00ED74CB" w:rsidRDefault="00ED74CB" w:rsidP="00ED74CB">
      <w:pPr>
        <w:rPr>
          <w:u w:val="single"/>
        </w:rPr>
      </w:pPr>
      <w:r w:rsidRPr="00C40207">
        <w:rPr>
          <w:rFonts w:eastAsia="Times New Roman" w:cs="Arial"/>
          <w:color w:val="000000"/>
          <w:szCs w:val="24"/>
          <w:lang w:val="en-US" w:eastAsia="en-ZA"/>
        </w:rPr>
        <w:t>[258]</w:t>
      </w:r>
      <w:r w:rsidRPr="00C40207">
        <w:rPr>
          <w:rFonts w:eastAsia="Times New Roman" w:cs="Arial"/>
          <w:color w:val="000000"/>
          <w:szCs w:val="24"/>
          <w:lang w:val="en-US" w:eastAsia="en-ZA"/>
        </w:rPr>
        <w:tab/>
      </w:r>
      <w:r w:rsidR="00D96111" w:rsidRPr="00C40207">
        <w:t>I was informed from the bar that, depending on the outcome of this application, the City would seek to bring further similar eviction-plus-interdict applications. The plan, it seems, is to capture as many homeless people as possible within a net of interdicts. To my mind, that just shows this is an attempt to legislate through courts, rather than through the legislative process.</w:t>
      </w:r>
      <w:r w:rsidR="00C40207" w:rsidRPr="00C40207">
        <w:t xml:space="preserve"> In any event, I cannot grant an interdict that will be ineffective now because it may become effective </w:t>
      </w:r>
      <w:r w:rsidR="00C40207">
        <w:t xml:space="preserve">only </w:t>
      </w:r>
      <w:r w:rsidR="00C40207" w:rsidRPr="00C40207">
        <w:t xml:space="preserve">once numerous future interdicts are granted. </w:t>
      </w:r>
      <w:r w:rsidR="000C69AA">
        <w:t xml:space="preserve"> Put simply, the interdict will not prevent the injury.</w:t>
      </w:r>
    </w:p>
    <w:p w14:paraId="6E8DF3ED" w14:textId="77777777" w:rsidR="00E043F1" w:rsidRPr="00C40207" w:rsidRDefault="00E043F1" w:rsidP="00E043F1">
      <w:pPr>
        <w:rPr>
          <w:u w:val="single"/>
        </w:rPr>
      </w:pPr>
    </w:p>
    <w:p w14:paraId="5F3DCECB" w14:textId="47B5581E" w:rsidR="00E043F1" w:rsidRPr="00E043F1" w:rsidRDefault="00E043F1" w:rsidP="00E043F1">
      <w:pPr>
        <w:pStyle w:val="Heading3"/>
      </w:pPr>
      <w:r w:rsidRPr="00E043F1">
        <w:t>Conclusion on the Interdict</w:t>
      </w:r>
    </w:p>
    <w:p w14:paraId="3BD9126E" w14:textId="23D167FD" w:rsidR="008D263F" w:rsidRPr="00ED74CB" w:rsidRDefault="00ED74CB" w:rsidP="00ED74CB">
      <w:pPr>
        <w:rPr>
          <w:u w:val="single"/>
        </w:rPr>
      </w:pPr>
      <w:r w:rsidRPr="001414FE">
        <w:rPr>
          <w:rFonts w:eastAsia="Times New Roman" w:cs="Arial"/>
          <w:color w:val="000000"/>
          <w:szCs w:val="24"/>
          <w:lang w:val="en-US" w:eastAsia="en-ZA"/>
        </w:rPr>
        <w:t>[259]</w:t>
      </w:r>
      <w:r w:rsidRPr="001414FE">
        <w:rPr>
          <w:rFonts w:eastAsia="Times New Roman" w:cs="Arial"/>
          <w:color w:val="000000"/>
          <w:szCs w:val="24"/>
          <w:lang w:val="en-US" w:eastAsia="en-ZA"/>
        </w:rPr>
        <w:tab/>
      </w:r>
      <w:r w:rsidR="008D263F">
        <w:t xml:space="preserve">For these reasons, I take the view that I cannot grant the broad interdict the City seeks. The interdict would be unlawful and unconstitutional. If the City is permitted to limit s 26(3) and circumvent PIE, then it must do so through its by-laws. </w:t>
      </w:r>
      <w:r w:rsidR="001414FE">
        <w:t>And the interdict would only aid the City if it obtained a similar interdict for all or most homeless people in the City.</w:t>
      </w:r>
    </w:p>
    <w:p w14:paraId="1C8A4EAC" w14:textId="12A73368" w:rsidR="001414FE" w:rsidRPr="00ED74CB" w:rsidRDefault="00ED74CB" w:rsidP="00ED74CB">
      <w:pPr>
        <w:rPr>
          <w:u w:val="single"/>
        </w:rPr>
      </w:pPr>
      <w:r w:rsidRPr="00CD5546">
        <w:rPr>
          <w:rFonts w:eastAsia="Times New Roman" w:cs="Arial"/>
          <w:color w:val="000000"/>
          <w:szCs w:val="24"/>
          <w:lang w:val="en-US" w:eastAsia="en-ZA"/>
        </w:rPr>
        <w:t>[260]</w:t>
      </w:r>
      <w:r w:rsidRPr="00CD5546">
        <w:rPr>
          <w:rFonts w:eastAsia="Times New Roman" w:cs="Arial"/>
          <w:color w:val="000000"/>
          <w:szCs w:val="24"/>
          <w:lang w:val="en-US" w:eastAsia="en-ZA"/>
        </w:rPr>
        <w:tab/>
      </w:r>
      <w:r w:rsidR="001414FE">
        <w:t xml:space="preserve">In refusing the interdict I do not mean to undermine the City’s goals. I have accepted that the City has a right and an obligation to ensure that </w:t>
      </w:r>
      <w:r w:rsidR="009C0EB8">
        <w:t xml:space="preserve">all </w:t>
      </w:r>
      <w:r w:rsidR="001414FE">
        <w:t xml:space="preserve">public places are </w:t>
      </w:r>
      <w:r w:rsidR="001414FE">
        <w:lastRenderedPageBreak/>
        <w:t xml:space="preserve">accessible for all its residents. It has a right and an obligation to assist homeless people </w:t>
      </w:r>
      <w:r w:rsidR="001E5073">
        <w:t>to leave the streets and reintegrate and rehabilitate. It has a right and an obligation to protect its infrastructure from damage and degradation.</w:t>
      </w:r>
      <w:r w:rsidR="009C0EB8">
        <w:t xml:space="preserve"> But the Constitution imposes limits on how it can achieve those goals when people are living on the streets. The City must work within those limits because they protect the fundamental rights of all </w:t>
      </w:r>
      <w:r w:rsidR="00CD5546">
        <w:t>its residents, including those experiencing homelessness.</w:t>
      </w:r>
    </w:p>
    <w:p w14:paraId="0DB04CE6" w14:textId="4ADA377E" w:rsidR="005C5A89" w:rsidRPr="00ED74CB" w:rsidRDefault="00ED74CB" w:rsidP="00ED74CB">
      <w:pPr>
        <w:rPr>
          <w:u w:val="single"/>
        </w:rPr>
      </w:pPr>
      <w:r w:rsidRPr="005C5A89">
        <w:rPr>
          <w:rFonts w:eastAsia="Times New Roman" w:cs="Arial"/>
          <w:color w:val="000000"/>
          <w:szCs w:val="24"/>
          <w:lang w:val="en-US" w:eastAsia="en-ZA"/>
        </w:rPr>
        <w:t>[261]</w:t>
      </w:r>
      <w:r w:rsidRPr="005C5A89">
        <w:rPr>
          <w:rFonts w:eastAsia="Times New Roman" w:cs="Arial"/>
          <w:color w:val="000000"/>
          <w:szCs w:val="24"/>
          <w:lang w:val="en-US" w:eastAsia="en-ZA"/>
        </w:rPr>
        <w:tab/>
      </w:r>
      <w:r w:rsidR="00CD5546">
        <w:t>That may require more carrot than stick</w:t>
      </w:r>
      <w:r w:rsidR="00E41675">
        <w:t xml:space="preserve"> – incentivizing homeless people to leave the streets rather than threatening them</w:t>
      </w:r>
      <w:r w:rsidR="00CD5546">
        <w:t>.</w:t>
      </w:r>
      <w:r w:rsidR="00914A1E">
        <w:t xml:space="preserve"> </w:t>
      </w:r>
      <w:r w:rsidR="00290964">
        <w:t>T</w:t>
      </w:r>
      <w:r w:rsidR="00914A1E">
        <w:t>he expansion of the safe space model seeks to achieve exactly that.</w:t>
      </w:r>
      <w:r w:rsidR="00CD5546">
        <w:t xml:space="preserve"> </w:t>
      </w:r>
      <w:r w:rsidR="00290964">
        <w:t>Or i</w:t>
      </w:r>
      <w:r w:rsidR="00977BF7">
        <w:t>t may require new, imaginative solutions</w:t>
      </w:r>
      <w:r w:rsidR="00E41675">
        <w:t xml:space="preserve"> and collaborations</w:t>
      </w:r>
      <w:r w:rsidR="00977BF7">
        <w:t xml:space="preserve">. </w:t>
      </w:r>
      <w:r w:rsidR="00CD5546">
        <w:t xml:space="preserve">Or it may be that the law as it stands makes it impossible for the City to effectively achieve its </w:t>
      </w:r>
      <w:r w:rsidR="002C03E7">
        <w:t xml:space="preserve">goals. </w:t>
      </w:r>
      <w:r w:rsidR="005C5A89">
        <w:t>But the law is the law and this Court cannot ignore it.</w:t>
      </w:r>
    </w:p>
    <w:p w14:paraId="3C41DBB0" w14:textId="77777777" w:rsidR="000753ED" w:rsidRDefault="000753ED" w:rsidP="000753ED">
      <w:pPr>
        <w:rPr>
          <w:lang w:val="en-US"/>
        </w:rPr>
      </w:pPr>
    </w:p>
    <w:p w14:paraId="1D053A53" w14:textId="13C4BFC0" w:rsidR="000753ED" w:rsidRDefault="00B770DD" w:rsidP="000753ED">
      <w:pPr>
        <w:pStyle w:val="Heading1"/>
        <w:rPr>
          <w:lang w:val="en-US"/>
        </w:rPr>
      </w:pPr>
      <w:r>
        <w:rPr>
          <w:lang w:val="en-US"/>
        </w:rPr>
        <w:t xml:space="preserve">CONCLUSION AND </w:t>
      </w:r>
      <w:r w:rsidR="000753ED">
        <w:rPr>
          <w:lang w:val="en-US"/>
        </w:rPr>
        <w:t>Costs</w:t>
      </w:r>
    </w:p>
    <w:p w14:paraId="18E3D8FC" w14:textId="54204E48" w:rsidR="000753ED" w:rsidRDefault="00ED74CB" w:rsidP="00ED74CB">
      <w:r>
        <w:rPr>
          <w:rFonts w:eastAsia="Times New Roman" w:cs="Arial"/>
          <w:color w:val="000000"/>
          <w:szCs w:val="24"/>
          <w:lang w:val="en-US" w:eastAsia="en-ZA"/>
        </w:rPr>
        <w:t>[262]</w:t>
      </w:r>
      <w:r>
        <w:rPr>
          <w:rFonts w:eastAsia="Times New Roman" w:cs="Arial"/>
          <w:color w:val="000000"/>
          <w:szCs w:val="24"/>
          <w:lang w:val="en-US" w:eastAsia="en-ZA"/>
        </w:rPr>
        <w:tab/>
      </w:r>
      <w:r w:rsidR="00E136DE">
        <w:t xml:space="preserve">The City has achieved substantial success in this case. It has </w:t>
      </w:r>
      <w:r w:rsidR="0096374B">
        <w:t xml:space="preserve">obtained its eviction, and an interdict – albeit on much narrower terms than it sought. </w:t>
      </w:r>
      <w:r w:rsidR="008C2352">
        <w:t xml:space="preserve">However, the Occupiers have also had some success. Through the litigation they have extracted substantial concessions from the City. </w:t>
      </w:r>
      <w:r w:rsidR="00E4688F">
        <w:t>If the City had not engaged further with the Occupiers after the application was launched,</w:t>
      </w:r>
      <w:r w:rsidR="00021843">
        <w:t xml:space="preserve"> and adjusted the rules for the safe spaces,</w:t>
      </w:r>
      <w:r w:rsidR="00E4688F">
        <w:t xml:space="preserve"> </w:t>
      </w:r>
      <w:r w:rsidR="0069327E">
        <w:t>I would likely have refused the eviction.</w:t>
      </w:r>
      <w:r w:rsidR="00021843">
        <w:t xml:space="preserve"> On the other hand, the Occupiers continued to oppose the eviction even after the further engagement and the adjustments to the rules.</w:t>
      </w:r>
    </w:p>
    <w:p w14:paraId="36FA0290" w14:textId="78FB7AF4" w:rsidR="00021843" w:rsidRDefault="00ED74CB" w:rsidP="00ED74CB">
      <w:r>
        <w:rPr>
          <w:rFonts w:eastAsia="Times New Roman" w:cs="Arial"/>
          <w:color w:val="000000"/>
          <w:szCs w:val="24"/>
          <w:lang w:val="en-US" w:eastAsia="en-ZA"/>
        </w:rPr>
        <w:lastRenderedPageBreak/>
        <w:t>[263]</w:t>
      </w:r>
      <w:r>
        <w:rPr>
          <w:rFonts w:eastAsia="Times New Roman" w:cs="Arial"/>
          <w:color w:val="000000"/>
          <w:szCs w:val="24"/>
          <w:lang w:val="en-US" w:eastAsia="en-ZA"/>
        </w:rPr>
        <w:tab/>
      </w:r>
      <w:r w:rsidR="0069327E">
        <w:t>This litigation is covered by the principles for costs in</w:t>
      </w:r>
      <w:r w:rsidR="00233E96">
        <w:t xml:space="preserve"> non-frivolous</w:t>
      </w:r>
      <w:r w:rsidR="0069327E">
        <w:t xml:space="preserve"> constitutional </w:t>
      </w:r>
      <w:r w:rsidR="00270524">
        <w:t>litigation between private parties and the state</w:t>
      </w:r>
      <w:r w:rsidR="0069327E">
        <w:t>.</w:t>
      </w:r>
      <w:r w:rsidR="00270524">
        <w:rPr>
          <w:rStyle w:val="FootnoteReference"/>
        </w:rPr>
        <w:footnoteReference w:id="84"/>
      </w:r>
      <w:r w:rsidR="0069327E">
        <w:t xml:space="preserve"> The City has no right to recover costs from the Occupiers</w:t>
      </w:r>
      <w:r w:rsidR="005945A4">
        <w:t xml:space="preserve"> even if it successful</w:t>
      </w:r>
      <w:r w:rsidR="0069327E">
        <w:t>. The Occupiers</w:t>
      </w:r>
      <w:r w:rsidR="00EB0DA6">
        <w:t xml:space="preserve">, on the other </w:t>
      </w:r>
      <w:r w:rsidR="00641E7E">
        <w:t>hand would be entitled to their costs against the City if they had been successful.</w:t>
      </w:r>
      <w:r w:rsidR="005945A4">
        <w:t xml:space="preserve"> </w:t>
      </w:r>
    </w:p>
    <w:p w14:paraId="6373FDA8" w14:textId="0678EF00" w:rsidR="0069327E" w:rsidRDefault="00ED74CB" w:rsidP="00ED74CB">
      <w:r>
        <w:rPr>
          <w:rFonts w:eastAsia="Times New Roman" w:cs="Arial"/>
          <w:color w:val="000000"/>
          <w:szCs w:val="24"/>
          <w:lang w:val="en-US" w:eastAsia="en-ZA"/>
        </w:rPr>
        <w:t>[264]</w:t>
      </w:r>
      <w:r>
        <w:rPr>
          <w:rFonts w:eastAsia="Times New Roman" w:cs="Arial"/>
          <w:color w:val="000000"/>
          <w:szCs w:val="24"/>
          <w:lang w:val="en-US" w:eastAsia="en-ZA"/>
        </w:rPr>
        <w:tab/>
      </w:r>
      <w:r w:rsidR="005945A4">
        <w:t xml:space="preserve">In this case, where the Occupiers have been partially successful, the appropriate order is to award them part of their costs. In my view </w:t>
      </w:r>
      <w:r w:rsidR="00021843">
        <w:t>30</w:t>
      </w:r>
      <w:r w:rsidR="005945A4">
        <w:t xml:space="preserve">% </w:t>
      </w:r>
      <w:r w:rsidR="00270524">
        <w:t>fairly reflects the extent of their success.</w:t>
      </w:r>
      <w:r w:rsidR="001B6052">
        <w:t xml:space="preserve"> As this case was resolved prior to 12 April 2024, Rule 67A has no application.</w:t>
      </w:r>
    </w:p>
    <w:p w14:paraId="7D4F2B77" w14:textId="14947DFD" w:rsidR="009268AD" w:rsidRDefault="00ED74CB" w:rsidP="00ED74CB">
      <w:r>
        <w:rPr>
          <w:rFonts w:eastAsia="Times New Roman" w:cs="Arial"/>
          <w:color w:val="000000"/>
          <w:szCs w:val="24"/>
          <w:lang w:val="en-US" w:eastAsia="en-ZA"/>
        </w:rPr>
        <w:t>[265]</w:t>
      </w:r>
      <w:r>
        <w:rPr>
          <w:rFonts w:eastAsia="Times New Roman" w:cs="Arial"/>
          <w:color w:val="000000"/>
          <w:szCs w:val="24"/>
          <w:lang w:val="en-US" w:eastAsia="en-ZA"/>
        </w:rPr>
        <w:tab/>
      </w:r>
      <w:r w:rsidR="00B770DD">
        <w:t xml:space="preserve">For all the above reasons, </w:t>
      </w:r>
      <w:r w:rsidR="009268AD">
        <w:t>I make the following order:</w:t>
      </w:r>
    </w:p>
    <w:p w14:paraId="5C2050F8" w14:textId="77777777" w:rsidR="009268AD" w:rsidRDefault="009268AD" w:rsidP="009268AD">
      <w:pPr>
        <w:pStyle w:val="ListParagraph"/>
        <w:numPr>
          <w:ilvl w:val="0"/>
          <w:numId w:val="0"/>
        </w:numPr>
      </w:pPr>
    </w:p>
    <w:p w14:paraId="7B60E49B" w14:textId="35D52FA0" w:rsidR="009268AD" w:rsidRDefault="00ED74CB" w:rsidP="00ED74CB">
      <w:pPr>
        <w:ind w:left="720" w:hanging="720"/>
      </w:pPr>
      <w:r>
        <w:rPr>
          <w:rFonts w:eastAsia="Times New Roman" w:cs="Arial"/>
          <w:color w:val="000000"/>
          <w:szCs w:val="24"/>
          <w:lang w:val="en-US" w:eastAsia="en-ZA"/>
        </w:rPr>
        <w:t>1.</w:t>
      </w:r>
      <w:r>
        <w:rPr>
          <w:rFonts w:eastAsia="Times New Roman" w:cs="Arial"/>
          <w:color w:val="000000"/>
          <w:szCs w:val="24"/>
          <w:lang w:val="en-US" w:eastAsia="en-ZA"/>
        </w:rPr>
        <w:tab/>
      </w:r>
      <w:r w:rsidR="007B0B22">
        <w:t>In terms of section 4, read with section 6 of the Prevention of Illegal Eviction and Unlawful Occupation of Land Act 19 of 1998, t</w:t>
      </w:r>
      <w:r w:rsidR="00532D1D">
        <w:t xml:space="preserve">he Respondents are evicted from properties </w:t>
      </w:r>
      <w:r w:rsidR="00981C46">
        <w:t>de</w:t>
      </w:r>
      <w:r w:rsidR="00AC5F13">
        <w:t>scribed in paragraph 1 of Part A of the Notice of Motion, and graphically depicted in Annexure B to the Notice of Motion</w:t>
      </w:r>
      <w:r w:rsidR="0052463D">
        <w:t xml:space="preserve"> (</w:t>
      </w:r>
      <w:r w:rsidR="0052463D" w:rsidRPr="00ED74CB">
        <w:rPr>
          <w:b/>
          <w:bCs/>
        </w:rPr>
        <w:t>the Properties</w:t>
      </w:r>
      <w:r w:rsidR="0052463D">
        <w:t>)</w:t>
      </w:r>
      <w:r w:rsidR="00AC5F13">
        <w:t>.</w:t>
      </w:r>
    </w:p>
    <w:p w14:paraId="19AA7D94" w14:textId="5F04581E" w:rsidR="00AC5F13" w:rsidRDefault="00ED74CB" w:rsidP="00ED74CB">
      <w:pPr>
        <w:ind w:left="720" w:hanging="720"/>
      </w:pPr>
      <w:r>
        <w:rPr>
          <w:rFonts w:eastAsia="Times New Roman" w:cs="Arial"/>
          <w:color w:val="000000"/>
          <w:szCs w:val="24"/>
          <w:lang w:val="en-US" w:eastAsia="en-ZA"/>
        </w:rPr>
        <w:t>2.</w:t>
      </w:r>
      <w:r>
        <w:rPr>
          <w:rFonts w:eastAsia="Times New Roman" w:cs="Arial"/>
          <w:color w:val="000000"/>
          <w:szCs w:val="24"/>
          <w:lang w:val="en-US" w:eastAsia="en-ZA"/>
        </w:rPr>
        <w:tab/>
      </w:r>
      <w:r w:rsidR="00AC5F13">
        <w:t xml:space="preserve">The Respondents shall vacate the </w:t>
      </w:r>
      <w:r w:rsidR="0052463D">
        <w:t>P</w:t>
      </w:r>
      <w:r w:rsidR="00AC5F13">
        <w:t>roperties</w:t>
      </w:r>
      <w:r w:rsidR="001E7862">
        <w:t xml:space="preserve"> by </w:t>
      </w:r>
      <w:r w:rsidR="004F3B69">
        <w:t>30 July 2024</w:t>
      </w:r>
      <w:r w:rsidR="0052463D">
        <w:t>.</w:t>
      </w:r>
    </w:p>
    <w:p w14:paraId="6EC62210" w14:textId="46A2E6B8" w:rsidR="009D18FD" w:rsidRDefault="00ED74CB" w:rsidP="00ED74CB">
      <w:pPr>
        <w:ind w:left="720" w:hanging="720"/>
      </w:pPr>
      <w:r>
        <w:rPr>
          <w:rFonts w:eastAsia="Times New Roman" w:cs="Arial"/>
          <w:color w:val="000000"/>
          <w:szCs w:val="24"/>
          <w:lang w:val="en-US" w:eastAsia="en-ZA"/>
        </w:rPr>
        <w:t>3.</w:t>
      </w:r>
      <w:r>
        <w:rPr>
          <w:rFonts w:eastAsia="Times New Roman" w:cs="Arial"/>
          <w:color w:val="000000"/>
          <w:szCs w:val="24"/>
          <w:lang w:val="en-US" w:eastAsia="en-ZA"/>
        </w:rPr>
        <w:tab/>
      </w:r>
      <w:r w:rsidR="00F71BBB">
        <w:t>The Applicant (</w:t>
      </w:r>
      <w:r w:rsidR="00F71BBB" w:rsidRPr="00ED74CB">
        <w:rPr>
          <w:b/>
          <w:bCs/>
        </w:rPr>
        <w:t>the City</w:t>
      </w:r>
      <w:r w:rsidR="00F71BBB">
        <w:t>) shall</w:t>
      </w:r>
      <w:r w:rsidR="00B26099">
        <w:t xml:space="preserve"> p</w:t>
      </w:r>
      <w:r w:rsidR="00F71BBB">
        <w:t xml:space="preserve">rovide </w:t>
      </w:r>
      <w:r w:rsidR="00B26099">
        <w:t xml:space="preserve">alternative accommodation in the form of </w:t>
      </w:r>
      <w:r w:rsidR="00F71BBB">
        <w:t xml:space="preserve">a place at </w:t>
      </w:r>
      <w:r w:rsidR="00355442">
        <w:t xml:space="preserve">its </w:t>
      </w:r>
      <w:r w:rsidR="00F71BBB">
        <w:t>Safe Space</w:t>
      </w:r>
      <w:r w:rsidR="00CB5557">
        <w:t xml:space="preserve"> 1</w:t>
      </w:r>
      <w:r w:rsidR="00355442">
        <w:t xml:space="preserve"> located in Culemborg</w:t>
      </w:r>
      <w:r w:rsidR="00FE5B17">
        <w:t xml:space="preserve"> (</w:t>
      </w:r>
      <w:r w:rsidR="00FE5B17" w:rsidRPr="00ED74CB">
        <w:rPr>
          <w:b/>
          <w:bCs/>
        </w:rPr>
        <w:t>the Safe Space</w:t>
      </w:r>
      <w:r w:rsidR="00FE5B17">
        <w:t>)</w:t>
      </w:r>
      <w:r w:rsidR="00CB5557">
        <w:t xml:space="preserve"> </w:t>
      </w:r>
      <w:r w:rsidR="00355442">
        <w:t xml:space="preserve">to any </w:t>
      </w:r>
      <w:r w:rsidR="00B26099">
        <w:t xml:space="preserve">of the </w:t>
      </w:r>
      <w:r w:rsidR="00FD5266">
        <w:t>R</w:t>
      </w:r>
      <w:r w:rsidR="00B26099">
        <w:t>espondents who</w:t>
      </w:r>
      <w:r w:rsidR="00FD5266">
        <w:t xml:space="preserve"> has</w:t>
      </w:r>
      <w:r w:rsidR="00B26099">
        <w:t xml:space="preserve"> </w:t>
      </w:r>
      <w:r w:rsidR="009D18FD">
        <w:t>inform</w:t>
      </w:r>
      <w:r w:rsidR="00FD5266">
        <w:t>ed</w:t>
      </w:r>
      <w:r w:rsidR="009D18FD">
        <w:t xml:space="preserve"> the City,</w:t>
      </w:r>
      <w:r w:rsidR="00FD5266">
        <w:t xml:space="preserve"> or</w:t>
      </w:r>
      <w:r w:rsidR="009D18FD">
        <w:t xml:space="preserve"> at any point prior to eviction</w:t>
      </w:r>
      <w:r w:rsidR="00FD5266">
        <w:t xml:space="preserve"> informs the City</w:t>
      </w:r>
      <w:r w:rsidR="009D18FD">
        <w:t>, that they wish to be accommodated at a Safe Space</w:t>
      </w:r>
      <w:r w:rsidR="005F7ADC">
        <w:t>. To give effect to this order:</w:t>
      </w:r>
    </w:p>
    <w:p w14:paraId="64CAC9EE" w14:textId="67D5EA1C" w:rsidR="008C5F98" w:rsidRDefault="00ED74CB" w:rsidP="00ED74CB">
      <w:pPr>
        <w:ind w:left="1440" w:hanging="720"/>
      </w:pPr>
      <w:r>
        <w:rPr>
          <w:rFonts w:eastAsia="Times New Roman" w:cs="Arial"/>
          <w:color w:val="000000"/>
          <w:szCs w:val="24"/>
          <w:lang w:val="en-US" w:eastAsia="en-ZA"/>
        </w:rPr>
        <w:lastRenderedPageBreak/>
        <w:t>3.1.</w:t>
      </w:r>
      <w:r>
        <w:rPr>
          <w:rFonts w:eastAsia="Times New Roman" w:cs="Arial"/>
          <w:color w:val="000000"/>
          <w:szCs w:val="24"/>
          <w:lang w:val="en-US" w:eastAsia="en-ZA"/>
        </w:rPr>
        <w:tab/>
      </w:r>
      <w:r w:rsidR="00A7798F">
        <w:t>The Respondents’ attorneys shall,</w:t>
      </w:r>
      <w:r w:rsidR="00CB5557">
        <w:t xml:space="preserve"> within ten days of the date of this order, provide a list of Respondents who wish to move to the Safe Space</w:t>
      </w:r>
      <w:r w:rsidR="005B195E">
        <w:t>; and</w:t>
      </w:r>
    </w:p>
    <w:p w14:paraId="601D973F" w14:textId="29A4ACB7" w:rsidR="00A7798F" w:rsidRDefault="00ED74CB" w:rsidP="00ED74CB">
      <w:pPr>
        <w:ind w:left="1440" w:hanging="720"/>
      </w:pPr>
      <w:r>
        <w:rPr>
          <w:rFonts w:eastAsia="Times New Roman" w:cs="Arial"/>
          <w:color w:val="000000"/>
          <w:szCs w:val="24"/>
          <w:lang w:val="en-US" w:eastAsia="en-ZA"/>
        </w:rPr>
        <w:t>3.2.</w:t>
      </w:r>
      <w:r>
        <w:rPr>
          <w:rFonts w:eastAsia="Times New Roman" w:cs="Arial"/>
          <w:color w:val="000000"/>
          <w:szCs w:val="24"/>
          <w:lang w:val="en-US" w:eastAsia="en-ZA"/>
        </w:rPr>
        <w:tab/>
      </w:r>
      <w:r w:rsidR="00FE5B17">
        <w:t xml:space="preserve">The City </w:t>
      </w:r>
      <w:r w:rsidR="00E9794A">
        <w:t>may, depending on the number of Respondents</w:t>
      </w:r>
      <w:r w:rsidR="008C5F98" w:rsidRPr="008C5F98">
        <w:t xml:space="preserve"> </w:t>
      </w:r>
      <w:r w:rsidR="008C5F98">
        <w:t>who indicate an intention to move to the Safe Space</w:t>
      </w:r>
      <w:r w:rsidR="00E9794A">
        <w:t>, stagger the eviction to ensure it has enough space to accommodate all the Respondents</w:t>
      </w:r>
      <w:r w:rsidR="008C5F98">
        <w:t>.</w:t>
      </w:r>
    </w:p>
    <w:p w14:paraId="5FF92E95" w14:textId="71DCA9A8" w:rsidR="00326F89" w:rsidRDefault="00ED74CB" w:rsidP="00ED74CB">
      <w:pPr>
        <w:ind w:left="720" w:hanging="720"/>
      </w:pPr>
      <w:r>
        <w:rPr>
          <w:rFonts w:eastAsia="Times New Roman" w:cs="Arial"/>
          <w:color w:val="000000"/>
          <w:szCs w:val="24"/>
          <w:lang w:val="en-US" w:eastAsia="en-ZA"/>
        </w:rPr>
        <w:t>4.</w:t>
      </w:r>
      <w:r>
        <w:rPr>
          <w:rFonts w:eastAsia="Times New Roman" w:cs="Arial"/>
          <w:color w:val="000000"/>
          <w:szCs w:val="24"/>
          <w:lang w:val="en-US" w:eastAsia="en-ZA"/>
        </w:rPr>
        <w:tab/>
      </w:r>
      <w:r w:rsidR="0001582E">
        <w:t>The Respondents who take up the alternative accommodation at the Safe Space shall be entitled to an initial six-month stay, which shall be extended until they have acquired alternative accommodation, subject to such individuals engaging with the City and co-operating in meeting their respective Persona</w:t>
      </w:r>
      <w:r w:rsidR="00326F89">
        <w:t>l Development Plans.</w:t>
      </w:r>
    </w:p>
    <w:p w14:paraId="56AA78BF" w14:textId="5A530A40" w:rsidR="00F71BBB" w:rsidRDefault="00ED74CB" w:rsidP="00ED74CB">
      <w:pPr>
        <w:ind w:left="720" w:hanging="720"/>
      </w:pPr>
      <w:r>
        <w:rPr>
          <w:rFonts w:eastAsia="Times New Roman" w:cs="Arial"/>
          <w:color w:val="000000"/>
          <w:szCs w:val="24"/>
          <w:lang w:val="en-US" w:eastAsia="en-ZA"/>
        </w:rPr>
        <w:t>5.</w:t>
      </w:r>
      <w:r>
        <w:rPr>
          <w:rFonts w:eastAsia="Times New Roman" w:cs="Arial"/>
          <w:color w:val="000000"/>
          <w:szCs w:val="24"/>
          <w:lang w:val="en-US" w:eastAsia="en-ZA"/>
        </w:rPr>
        <w:tab/>
      </w:r>
      <w:r w:rsidR="00EB2516">
        <w:t>The City shall ensure that those Respondents who take up the alternative accommodation at the Safe Spaces</w:t>
      </w:r>
      <w:r w:rsidR="00F72A37">
        <w:t>, who are in a partnership with another Respondent,</w:t>
      </w:r>
      <w:r w:rsidR="00EB2516">
        <w:t xml:space="preserve"> and who require accommodation with their partner</w:t>
      </w:r>
      <w:r w:rsidR="00F72A37">
        <w:t>,</w:t>
      </w:r>
      <w:r w:rsidR="00EB2516">
        <w:t xml:space="preserve"> </w:t>
      </w:r>
      <w:r w:rsidR="00F72A37">
        <w:t>are provided with accommodation for couples.</w:t>
      </w:r>
    </w:p>
    <w:p w14:paraId="579E74BC" w14:textId="4491FE85" w:rsidR="00DB50F5" w:rsidRDefault="00ED74CB" w:rsidP="00ED74CB">
      <w:pPr>
        <w:ind w:left="720" w:hanging="720"/>
      </w:pPr>
      <w:r>
        <w:rPr>
          <w:rFonts w:eastAsia="Times New Roman" w:cs="Arial"/>
          <w:color w:val="000000"/>
          <w:szCs w:val="24"/>
          <w:lang w:val="en-US" w:eastAsia="en-ZA"/>
        </w:rPr>
        <w:t>6.</w:t>
      </w:r>
      <w:r>
        <w:rPr>
          <w:rFonts w:eastAsia="Times New Roman" w:cs="Arial"/>
          <w:color w:val="000000"/>
          <w:szCs w:val="24"/>
          <w:lang w:val="en-US" w:eastAsia="en-ZA"/>
        </w:rPr>
        <w:tab/>
      </w:r>
      <w:r w:rsidR="00C1723E">
        <w:t xml:space="preserve">The City shall provide storage for the belongings of the Respondents who take up the offer of </w:t>
      </w:r>
      <w:r w:rsidR="00932934">
        <w:t>accommodation at the Safe Space for six months</w:t>
      </w:r>
      <w:r w:rsidR="00D26261">
        <w:t>.</w:t>
      </w:r>
      <w:r w:rsidR="00C51923">
        <w:t xml:space="preserve"> In addition:</w:t>
      </w:r>
      <w:r w:rsidR="00D26261">
        <w:t xml:space="preserve"> </w:t>
      </w:r>
    </w:p>
    <w:p w14:paraId="5B08E252" w14:textId="22EA1D17" w:rsidR="00C1723E" w:rsidRDefault="00ED74CB" w:rsidP="00ED74CB">
      <w:pPr>
        <w:ind w:left="1440" w:hanging="720"/>
      </w:pPr>
      <w:r>
        <w:rPr>
          <w:rFonts w:eastAsia="Times New Roman" w:cs="Arial"/>
          <w:color w:val="000000"/>
          <w:szCs w:val="24"/>
          <w:lang w:val="en-US" w:eastAsia="en-ZA"/>
        </w:rPr>
        <w:t>6.1.</w:t>
      </w:r>
      <w:r>
        <w:rPr>
          <w:rFonts w:eastAsia="Times New Roman" w:cs="Arial"/>
          <w:color w:val="000000"/>
          <w:szCs w:val="24"/>
          <w:lang w:val="en-US" w:eastAsia="en-ZA"/>
        </w:rPr>
        <w:tab/>
      </w:r>
      <w:r w:rsidR="00D26261">
        <w:t>That period may</w:t>
      </w:r>
      <w:r w:rsidR="00932934">
        <w:t xml:space="preserve"> be extended for a single period of six months at the Respondent’s request</w:t>
      </w:r>
      <w:r w:rsidR="00C51923">
        <w:t>;</w:t>
      </w:r>
    </w:p>
    <w:p w14:paraId="761F2EB2" w14:textId="12087854" w:rsidR="00DB50F5" w:rsidRDefault="00ED74CB" w:rsidP="00ED74CB">
      <w:pPr>
        <w:ind w:left="1440" w:hanging="720"/>
      </w:pPr>
      <w:r>
        <w:rPr>
          <w:rFonts w:eastAsia="Times New Roman" w:cs="Arial"/>
          <w:color w:val="000000"/>
          <w:szCs w:val="24"/>
          <w:lang w:val="en-US" w:eastAsia="en-ZA"/>
        </w:rPr>
        <w:t>6.2.</w:t>
      </w:r>
      <w:r>
        <w:rPr>
          <w:rFonts w:eastAsia="Times New Roman" w:cs="Arial"/>
          <w:color w:val="000000"/>
          <w:szCs w:val="24"/>
          <w:lang w:val="en-US" w:eastAsia="en-ZA"/>
        </w:rPr>
        <w:tab/>
      </w:r>
      <w:r w:rsidR="00DB50F5">
        <w:t xml:space="preserve">If the Respondent wishes to collect their possessions, the City shall transfer them on the same conditions set out in paragraphs </w:t>
      </w:r>
      <w:r w:rsidR="00DB50F5">
        <w:fldChar w:fldCharType="begin"/>
      </w:r>
      <w:r w:rsidR="00DB50F5">
        <w:instrText xml:space="preserve"> REF _Ref169544766 \r \h </w:instrText>
      </w:r>
      <w:r w:rsidR="00DB50F5">
        <w:fldChar w:fldCharType="separate"/>
      </w:r>
      <w:r w:rsidR="00CB298F">
        <w:t>9.1</w:t>
      </w:r>
      <w:r w:rsidR="00DB50F5">
        <w:fldChar w:fldCharType="end"/>
      </w:r>
      <w:r w:rsidR="00DB50F5">
        <w:t xml:space="preserve"> and </w:t>
      </w:r>
      <w:r w:rsidR="00DB50F5">
        <w:fldChar w:fldCharType="begin"/>
      </w:r>
      <w:r w:rsidR="00DB50F5">
        <w:instrText xml:space="preserve"> REF _Ref169544768 \r \h </w:instrText>
      </w:r>
      <w:r w:rsidR="00DB50F5">
        <w:fldChar w:fldCharType="separate"/>
      </w:r>
      <w:r w:rsidR="00CB298F">
        <w:t>9.2</w:t>
      </w:r>
      <w:r w:rsidR="00DB50F5">
        <w:fldChar w:fldCharType="end"/>
      </w:r>
      <w:r w:rsidR="00B03C25">
        <w:t xml:space="preserve">, save that </w:t>
      </w:r>
      <w:r w:rsidR="00AA6B0B">
        <w:t xml:space="preserve">the information in </w:t>
      </w:r>
      <w:r w:rsidR="00AA6B0B">
        <w:fldChar w:fldCharType="begin"/>
      </w:r>
      <w:r w:rsidR="00AA6B0B">
        <w:instrText xml:space="preserve"> REF _Ref169544768 \r \h </w:instrText>
      </w:r>
      <w:r w:rsidR="00AA6B0B">
        <w:fldChar w:fldCharType="separate"/>
      </w:r>
      <w:r w:rsidR="00CB298F">
        <w:t>9.2</w:t>
      </w:r>
      <w:r w:rsidR="00AA6B0B">
        <w:fldChar w:fldCharType="end"/>
      </w:r>
      <w:r w:rsidR="00AA6B0B">
        <w:t xml:space="preserve"> need only be provided when the Respondent wishes to collect their possessions</w:t>
      </w:r>
      <w:r w:rsidR="00DB50F5">
        <w:t>; and</w:t>
      </w:r>
    </w:p>
    <w:p w14:paraId="5F285A27" w14:textId="1C61BBFA" w:rsidR="00DB50F5" w:rsidRDefault="00ED74CB" w:rsidP="00ED74CB">
      <w:pPr>
        <w:ind w:left="1440" w:hanging="720"/>
      </w:pPr>
      <w:r>
        <w:rPr>
          <w:rFonts w:eastAsia="Times New Roman" w:cs="Arial"/>
          <w:color w:val="000000"/>
          <w:szCs w:val="24"/>
          <w:lang w:val="en-US" w:eastAsia="en-ZA"/>
        </w:rPr>
        <w:lastRenderedPageBreak/>
        <w:t>6.3.</w:t>
      </w:r>
      <w:r>
        <w:rPr>
          <w:rFonts w:eastAsia="Times New Roman" w:cs="Arial"/>
          <w:color w:val="000000"/>
          <w:szCs w:val="24"/>
          <w:lang w:val="en-US" w:eastAsia="en-ZA"/>
        </w:rPr>
        <w:tab/>
      </w:r>
      <w:r w:rsidR="00DB50F5">
        <w:t>If the Respondent does not collect their possessions, the City shall be permitted to dispose of those possessions.</w:t>
      </w:r>
    </w:p>
    <w:p w14:paraId="2283A063" w14:textId="7D3E1160" w:rsidR="00755997" w:rsidRDefault="00ED74CB" w:rsidP="00ED74CB">
      <w:pPr>
        <w:ind w:left="720" w:hanging="720"/>
      </w:pPr>
      <w:bookmarkStart w:id="9" w:name="_Ref167182767"/>
      <w:r>
        <w:rPr>
          <w:rFonts w:eastAsia="Times New Roman" w:cs="Arial"/>
          <w:color w:val="000000"/>
          <w:szCs w:val="24"/>
          <w:lang w:val="en-US" w:eastAsia="en-ZA"/>
        </w:rPr>
        <w:t>7.</w:t>
      </w:r>
      <w:r>
        <w:rPr>
          <w:rFonts w:eastAsia="Times New Roman" w:cs="Arial"/>
          <w:color w:val="000000"/>
          <w:szCs w:val="24"/>
          <w:lang w:val="en-US" w:eastAsia="en-ZA"/>
        </w:rPr>
        <w:tab/>
      </w:r>
      <w:r w:rsidR="004104B5">
        <w:t>The City shall ensure that</w:t>
      </w:r>
      <w:r w:rsidR="00755997">
        <w:t xml:space="preserve"> if there are</w:t>
      </w:r>
      <w:r w:rsidR="004104B5">
        <w:t xml:space="preserve"> any minor children occupying the Properties as at the date of thi</w:t>
      </w:r>
      <w:r w:rsidR="0059226B">
        <w:t>s</w:t>
      </w:r>
      <w:r w:rsidR="004104B5">
        <w:t xml:space="preserve"> Order</w:t>
      </w:r>
      <w:r w:rsidR="00755997">
        <w:t>:</w:t>
      </w:r>
      <w:bookmarkEnd w:id="9"/>
    </w:p>
    <w:p w14:paraId="2FC559FD" w14:textId="7B075422" w:rsidR="00A0663C" w:rsidRDefault="00ED74CB" w:rsidP="00ED74CB">
      <w:pPr>
        <w:ind w:left="1440" w:hanging="720"/>
      </w:pPr>
      <w:r>
        <w:rPr>
          <w:rFonts w:eastAsia="Times New Roman" w:cs="Arial"/>
          <w:color w:val="000000"/>
          <w:szCs w:val="24"/>
          <w:lang w:val="en-US" w:eastAsia="en-ZA"/>
        </w:rPr>
        <w:t>7.1.</w:t>
      </w:r>
      <w:r>
        <w:rPr>
          <w:rFonts w:eastAsia="Times New Roman" w:cs="Arial"/>
          <w:color w:val="000000"/>
          <w:szCs w:val="24"/>
          <w:lang w:val="en-US" w:eastAsia="en-ZA"/>
        </w:rPr>
        <w:tab/>
      </w:r>
      <w:r w:rsidR="00755997">
        <w:t>Those children are</w:t>
      </w:r>
      <w:r w:rsidR="004104B5">
        <w:t xml:space="preserve"> referred to the Provincial </w:t>
      </w:r>
      <w:r w:rsidR="0059226B">
        <w:t>Department of Social Development</w:t>
      </w:r>
      <w:r w:rsidR="00755997">
        <w:t xml:space="preserve"> (</w:t>
      </w:r>
      <w:r w:rsidR="00755997" w:rsidRPr="00ED74CB">
        <w:rPr>
          <w:b/>
          <w:bCs/>
        </w:rPr>
        <w:t>DSD</w:t>
      </w:r>
      <w:r w:rsidR="00755997">
        <w:t>)</w:t>
      </w:r>
      <w:r w:rsidR="0059226B">
        <w:t xml:space="preserve"> for an assessment of the minor child and their parents to be undertaken</w:t>
      </w:r>
      <w:r w:rsidR="00A0663C">
        <w:t>, including options for the alternative accommodation of the minor children and their parents</w:t>
      </w:r>
      <w:r w:rsidR="00623797">
        <w:t xml:space="preserve"> or caregivers</w:t>
      </w:r>
      <w:r w:rsidR="00A0663C">
        <w:t>;</w:t>
      </w:r>
    </w:p>
    <w:p w14:paraId="07B36645" w14:textId="584F9781" w:rsidR="00BC055E" w:rsidRDefault="00ED74CB" w:rsidP="00ED74CB">
      <w:pPr>
        <w:ind w:left="1440" w:hanging="720"/>
      </w:pPr>
      <w:r>
        <w:rPr>
          <w:rFonts w:eastAsia="Times New Roman" w:cs="Arial"/>
          <w:color w:val="000000"/>
          <w:szCs w:val="24"/>
          <w:lang w:val="en-US" w:eastAsia="en-ZA"/>
        </w:rPr>
        <w:t>7.2.</w:t>
      </w:r>
      <w:r>
        <w:rPr>
          <w:rFonts w:eastAsia="Times New Roman" w:cs="Arial"/>
          <w:color w:val="000000"/>
          <w:szCs w:val="24"/>
          <w:lang w:val="en-US" w:eastAsia="en-ZA"/>
        </w:rPr>
        <w:tab/>
      </w:r>
      <w:r w:rsidR="00623797">
        <w:t xml:space="preserve">The City shall consider </w:t>
      </w:r>
      <w:r w:rsidR="00BA5856">
        <w:t xml:space="preserve">the </w:t>
      </w:r>
      <w:r w:rsidR="00623797">
        <w:t>DSD’s report, engage with the children’s parents or caregivers</w:t>
      </w:r>
      <w:r w:rsidR="00BC055E">
        <w:t xml:space="preserve"> </w:t>
      </w:r>
      <w:r w:rsidR="00F87459">
        <w:t xml:space="preserve">and, if appropriate in light of the child’s age, the child, </w:t>
      </w:r>
      <w:r w:rsidR="00BC055E">
        <w:t xml:space="preserve">about alternative accommodation options; </w:t>
      </w:r>
    </w:p>
    <w:p w14:paraId="015A2614" w14:textId="49A3E2F8" w:rsidR="00623797" w:rsidRDefault="00ED74CB" w:rsidP="00ED74CB">
      <w:pPr>
        <w:ind w:left="1440" w:hanging="720"/>
      </w:pPr>
      <w:r>
        <w:rPr>
          <w:rFonts w:eastAsia="Times New Roman" w:cs="Arial"/>
          <w:color w:val="000000"/>
          <w:szCs w:val="24"/>
          <w:lang w:val="en-US" w:eastAsia="en-ZA"/>
        </w:rPr>
        <w:t>7.3.</w:t>
      </w:r>
      <w:r>
        <w:rPr>
          <w:rFonts w:eastAsia="Times New Roman" w:cs="Arial"/>
          <w:color w:val="000000"/>
          <w:szCs w:val="24"/>
          <w:lang w:val="en-US" w:eastAsia="en-ZA"/>
        </w:rPr>
        <w:tab/>
      </w:r>
      <w:r w:rsidR="00BC055E">
        <w:t xml:space="preserve">The City shall, as soon as possible, and </w:t>
      </w:r>
      <w:r w:rsidR="00DD2CC6">
        <w:t xml:space="preserve">within 10 days of the date of this order </w:t>
      </w:r>
      <w:r w:rsidR="00BC055E">
        <w:t>file an affidavit with the Court</w:t>
      </w:r>
      <w:r w:rsidR="00DD2CC6">
        <w:t xml:space="preserve"> setting out the assessment by DSD, its engagement with the </w:t>
      </w:r>
      <w:r w:rsidR="00F87459">
        <w:t xml:space="preserve">child and the parents or caregivers, </w:t>
      </w:r>
      <w:r w:rsidR="00F2255E">
        <w:t>and the offer of alternative accommodation;</w:t>
      </w:r>
    </w:p>
    <w:p w14:paraId="3A49F034" w14:textId="694E4719" w:rsidR="00F2255E" w:rsidRDefault="00ED74CB" w:rsidP="00ED74CB">
      <w:pPr>
        <w:ind w:left="1440" w:hanging="720"/>
      </w:pPr>
      <w:r>
        <w:rPr>
          <w:rFonts w:eastAsia="Times New Roman" w:cs="Arial"/>
          <w:color w:val="000000"/>
          <w:szCs w:val="24"/>
          <w:lang w:val="en-US" w:eastAsia="en-ZA"/>
        </w:rPr>
        <w:t>7.4.</w:t>
      </w:r>
      <w:r>
        <w:rPr>
          <w:rFonts w:eastAsia="Times New Roman" w:cs="Arial"/>
          <w:color w:val="000000"/>
          <w:szCs w:val="24"/>
          <w:lang w:val="en-US" w:eastAsia="en-ZA"/>
        </w:rPr>
        <w:tab/>
      </w:r>
      <w:r w:rsidR="00F2255E">
        <w:t>The Respondents shall, within five days of the date the City files its affidavit, file a</w:t>
      </w:r>
      <w:r w:rsidR="00B15A8A">
        <w:t>n affidavit in response;</w:t>
      </w:r>
    </w:p>
    <w:p w14:paraId="7B4E30F5" w14:textId="4918E550" w:rsidR="00B15A8A" w:rsidRDefault="00ED74CB" w:rsidP="00ED74CB">
      <w:pPr>
        <w:ind w:left="1440" w:hanging="720"/>
      </w:pPr>
      <w:r>
        <w:rPr>
          <w:rFonts w:eastAsia="Times New Roman" w:cs="Arial"/>
          <w:color w:val="000000"/>
          <w:szCs w:val="24"/>
          <w:lang w:val="en-US" w:eastAsia="en-ZA"/>
        </w:rPr>
        <w:t>7.5.</w:t>
      </w:r>
      <w:r>
        <w:rPr>
          <w:rFonts w:eastAsia="Times New Roman" w:cs="Arial"/>
          <w:color w:val="000000"/>
          <w:szCs w:val="24"/>
          <w:lang w:val="en-US" w:eastAsia="en-ZA"/>
        </w:rPr>
        <w:tab/>
      </w:r>
      <w:r w:rsidR="00B15A8A">
        <w:t xml:space="preserve">The Court shall determine the date of the </w:t>
      </w:r>
      <w:r w:rsidR="00756433">
        <w:t>eviction of any minor child, and the alternative accommodation that shall be offered; and</w:t>
      </w:r>
    </w:p>
    <w:p w14:paraId="6D113748" w14:textId="0BE752AC" w:rsidR="00A0663C" w:rsidRDefault="00ED74CB" w:rsidP="00ED74CB">
      <w:pPr>
        <w:ind w:left="1440" w:hanging="720"/>
      </w:pPr>
      <w:r>
        <w:rPr>
          <w:rFonts w:eastAsia="Times New Roman" w:cs="Arial"/>
          <w:color w:val="000000"/>
          <w:szCs w:val="24"/>
          <w:lang w:val="en-US" w:eastAsia="en-ZA"/>
        </w:rPr>
        <w:t>7.6.</w:t>
      </w:r>
      <w:r>
        <w:rPr>
          <w:rFonts w:eastAsia="Times New Roman" w:cs="Arial"/>
          <w:color w:val="000000"/>
          <w:szCs w:val="24"/>
          <w:lang w:val="en-US" w:eastAsia="en-ZA"/>
        </w:rPr>
        <w:tab/>
      </w:r>
      <w:r w:rsidR="00A0663C">
        <w:t>Th</w:t>
      </w:r>
      <w:r w:rsidR="00C879FD">
        <w:t xml:space="preserve">ose children and their parents or caregivers shall not be evicted </w:t>
      </w:r>
      <w:r w:rsidR="00623797">
        <w:t>from the Properties until the above process is complete.</w:t>
      </w:r>
    </w:p>
    <w:p w14:paraId="065273DD" w14:textId="2F2F175C" w:rsidR="00061398" w:rsidRDefault="00ED74CB" w:rsidP="00ED74CB">
      <w:pPr>
        <w:ind w:left="720" w:hanging="720"/>
      </w:pPr>
      <w:r>
        <w:rPr>
          <w:rFonts w:eastAsia="Times New Roman" w:cs="Arial"/>
          <w:color w:val="000000"/>
          <w:szCs w:val="24"/>
          <w:lang w:val="en-US" w:eastAsia="en-ZA"/>
        </w:rPr>
        <w:lastRenderedPageBreak/>
        <w:t>8.</w:t>
      </w:r>
      <w:r>
        <w:rPr>
          <w:rFonts w:eastAsia="Times New Roman" w:cs="Arial"/>
          <w:color w:val="000000"/>
          <w:szCs w:val="24"/>
          <w:lang w:val="en-US" w:eastAsia="en-ZA"/>
        </w:rPr>
        <w:tab/>
      </w:r>
      <w:r w:rsidR="00061398">
        <w:t xml:space="preserve">The City shall reasonably accommodate any </w:t>
      </w:r>
      <w:r w:rsidR="00AF42AD">
        <w:t>Respondent who chooses to move to the Safe Space and is elderly or disabled.</w:t>
      </w:r>
    </w:p>
    <w:p w14:paraId="7D19C568" w14:textId="497C13B2" w:rsidR="004104B5" w:rsidRDefault="00ED74CB" w:rsidP="00ED74CB">
      <w:pPr>
        <w:ind w:left="720" w:hanging="720"/>
      </w:pPr>
      <w:r>
        <w:rPr>
          <w:rFonts w:eastAsia="Times New Roman" w:cs="Arial"/>
          <w:color w:val="000000"/>
          <w:szCs w:val="24"/>
          <w:lang w:val="en-US" w:eastAsia="en-ZA"/>
        </w:rPr>
        <w:t>9.</w:t>
      </w:r>
      <w:r>
        <w:rPr>
          <w:rFonts w:eastAsia="Times New Roman" w:cs="Arial"/>
          <w:color w:val="000000"/>
          <w:szCs w:val="24"/>
          <w:lang w:val="en-US" w:eastAsia="en-ZA"/>
        </w:rPr>
        <w:tab/>
      </w:r>
      <w:r w:rsidR="006F611C">
        <w:t xml:space="preserve">If any Respondent elects to </w:t>
      </w:r>
      <w:r w:rsidR="002F3A2A">
        <w:t xml:space="preserve">voluntarily relocate </w:t>
      </w:r>
      <w:r w:rsidR="00F17552">
        <w:t xml:space="preserve">to a place other than the Safe Spaces, the City shall assist that Respondent to transport </w:t>
      </w:r>
      <w:r w:rsidR="00C2379D">
        <w:t>their possessions to their chosen relocation destination</w:t>
      </w:r>
      <w:r w:rsidR="00E22A8F">
        <w:t>, subject to the following conditions:</w:t>
      </w:r>
    </w:p>
    <w:p w14:paraId="0B031A87" w14:textId="65FE89AA" w:rsidR="00E22A8F" w:rsidRDefault="00ED74CB" w:rsidP="00ED74CB">
      <w:pPr>
        <w:ind w:left="1440" w:hanging="720"/>
      </w:pPr>
      <w:bookmarkStart w:id="10" w:name="_Ref169544766"/>
      <w:r>
        <w:rPr>
          <w:rFonts w:eastAsia="Times New Roman" w:cs="Arial"/>
          <w:color w:val="000000"/>
          <w:szCs w:val="24"/>
          <w:lang w:val="en-US" w:eastAsia="en-ZA"/>
        </w:rPr>
        <w:t>9.1.</w:t>
      </w:r>
      <w:r>
        <w:rPr>
          <w:rFonts w:eastAsia="Times New Roman" w:cs="Arial"/>
          <w:color w:val="000000"/>
          <w:szCs w:val="24"/>
          <w:lang w:val="en-US" w:eastAsia="en-ZA"/>
        </w:rPr>
        <w:tab/>
      </w:r>
      <w:r w:rsidR="00E22A8F">
        <w:t>The relocation destination is within a 40km radius of the Cape Town Central Business District;</w:t>
      </w:r>
      <w:r w:rsidR="00417AD2">
        <w:t xml:space="preserve"> and</w:t>
      </w:r>
      <w:bookmarkEnd w:id="10"/>
    </w:p>
    <w:p w14:paraId="1742B520" w14:textId="734DC1F1" w:rsidR="00417AD2" w:rsidRDefault="00ED74CB" w:rsidP="00ED74CB">
      <w:pPr>
        <w:ind w:left="1440" w:hanging="720"/>
      </w:pPr>
      <w:bookmarkStart w:id="11" w:name="_Ref169544768"/>
      <w:r>
        <w:rPr>
          <w:rFonts w:eastAsia="Times New Roman" w:cs="Arial"/>
          <w:color w:val="000000"/>
          <w:szCs w:val="24"/>
          <w:lang w:val="en-US" w:eastAsia="en-ZA"/>
        </w:rPr>
        <w:t>9.2.</w:t>
      </w:r>
      <w:r>
        <w:rPr>
          <w:rFonts w:eastAsia="Times New Roman" w:cs="Arial"/>
          <w:color w:val="000000"/>
          <w:szCs w:val="24"/>
          <w:lang w:val="en-US" w:eastAsia="en-ZA"/>
        </w:rPr>
        <w:tab/>
      </w:r>
      <w:r w:rsidR="00E22A8F">
        <w:t xml:space="preserve">The Respondents’ attorneys shall, within </w:t>
      </w:r>
      <w:r w:rsidR="00201BF7">
        <w:t>two weeks of the date of this order,</w:t>
      </w:r>
      <w:r w:rsidR="00E22A8F">
        <w:t xml:space="preserve"> provide the City’s attorneys w</w:t>
      </w:r>
      <w:r w:rsidR="00201BF7">
        <w:t>it</w:t>
      </w:r>
      <w:r w:rsidR="003B069C">
        <w:t>h:</w:t>
      </w:r>
      <w:bookmarkEnd w:id="11"/>
    </w:p>
    <w:p w14:paraId="30D0FFD2" w14:textId="23956753" w:rsidR="00417AD2" w:rsidRDefault="00ED74CB" w:rsidP="00ED74CB">
      <w:pPr>
        <w:ind w:left="2304" w:hanging="864"/>
      </w:pPr>
      <w:r>
        <w:rPr>
          <w:rFonts w:eastAsia="Times New Roman" w:cs="Arial"/>
          <w:color w:val="000000"/>
          <w:szCs w:val="24"/>
          <w:lang w:val="en-US" w:eastAsia="en-ZA"/>
        </w:rPr>
        <w:t>9.2.1.</w:t>
      </w:r>
      <w:r>
        <w:rPr>
          <w:rFonts w:eastAsia="Times New Roman" w:cs="Arial"/>
          <w:color w:val="000000"/>
          <w:szCs w:val="24"/>
          <w:lang w:val="en-US" w:eastAsia="en-ZA"/>
        </w:rPr>
        <w:tab/>
      </w:r>
      <w:r w:rsidR="00417AD2">
        <w:t>T</w:t>
      </w:r>
      <w:r w:rsidR="00201BF7">
        <w:t xml:space="preserve">he full names of the Respondents </w:t>
      </w:r>
      <w:r w:rsidR="003B069C">
        <w:t xml:space="preserve">who require the City’s assistance; </w:t>
      </w:r>
    </w:p>
    <w:p w14:paraId="3955A1C6" w14:textId="47E57407" w:rsidR="00417AD2" w:rsidRDefault="00ED74CB" w:rsidP="00ED74CB">
      <w:pPr>
        <w:ind w:left="2304" w:hanging="864"/>
      </w:pPr>
      <w:r>
        <w:rPr>
          <w:rFonts w:eastAsia="Times New Roman" w:cs="Arial"/>
          <w:color w:val="000000"/>
          <w:szCs w:val="24"/>
          <w:lang w:val="en-US" w:eastAsia="en-ZA"/>
        </w:rPr>
        <w:t>9.2.2.</w:t>
      </w:r>
      <w:r>
        <w:rPr>
          <w:rFonts w:eastAsia="Times New Roman" w:cs="Arial"/>
          <w:color w:val="000000"/>
          <w:szCs w:val="24"/>
          <w:lang w:val="en-US" w:eastAsia="en-ZA"/>
        </w:rPr>
        <w:tab/>
      </w:r>
      <w:r w:rsidR="00417AD2">
        <w:t>T</w:t>
      </w:r>
      <w:r w:rsidR="003B069C">
        <w:t>he destination to which the possessions must be transported;</w:t>
      </w:r>
      <w:r w:rsidR="00417AD2">
        <w:t xml:space="preserve"> and</w:t>
      </w:r>
    </w:p>
    <w:p w14:paraId="1E03A5AC" w14:textId="219A55D8" w:rsidR="00E22A8F" w:rsidRDefault="00ED74CB" w:rsidP="00ED74CB">
      <w:pPr>
        <w:ind w:left="2304" w:hanging="864"/>
      </w:pPr>
      <w:r>
        <w:rPr>
          <w:rFonts w:eastAsia="Times New Roman" w:cs="Arial"/>
          <w:color w:val="000000"/>
          <w:szCs w:val="24"/>
          <w:lang w:val="en-US" w:eastAsia="en-ZA"/>
        </w:rPr>
        <w:t>9.2.3.</w:t>
      </w:r>
      <w:r>
        <w:rPr>
          <w:rFonts w:eastAsia="Times New Roman" w:cs="Arial"/>
          <w:color w:val="000000"/>
          <w:szCs w:val="24"/>
          <w:lang w:val="en-US" w:eastAsia="en-ZA"/>
        </w:rPr>
        <w:tab/>
      </w:r>
      <w:r w:rsidR="00417AD2">
        <w:t>Evidence that the owner or person in charge of the property has given their consent for the Respondent to occupy their property and/or store their possessions at their property.</w:t>
      </w:r>
    </w:p>
    <w:p w14:paraId="27514EE3" w14:textId="01C01BBC" w:rsidR="003B069C" w:rsidRDefault="00ED74CB" w:rsidP="00ED74CB">
      <w:pPr>
        <w:ind w:left="720" w:hanging="720"/>
      </w:pPr>
      <w:r>
        <w:rPr>
          <w:rFonts w:eastAsia="Times New Roman" w:cs="Arial"/>
          <w:color w:val="000000"/>
          <w:szCs w:val="24"/>
          <w:lang w:val="en-US" w:eastAsia="en-ZA"/>
        </w:rPr>
        <w:t>10.</w:t>
      </w:r>
      <w:r>
        <w:rPr>
          <w:rFonts w:eastAsia="Times New Roman" w:cs="Arial"/>
          <w:color w:val="000000"/>
          <w:szCs w:val="24"/>
          <w:lang w:val="en-US" w:eastAsia="en-ZA"/>
        </w:rPr>
        <w:tab/>
      </w:r>
      <w:r w:rsidR="002E799A">
        <w:t>In the event that the Respondents fail and/or refuse to vacate the Properties in terms of this Order,</w:t>
      </w:r>
      <w:r w:rsidR="00416E0B">
        <w:t xml:space="preserve"> subject to the special provision for children in paragraph </w:t>
      </w:r>
      <w:r w:rsidR="00416E0B">
        <w:fldChar w:fldCharType="begin"/>
      </w:r>
      <w:r w:rsidR="00416E0B">
        <w:instrText xml:space="preserve"> REF _Ref167182767 \r \h </w:instrText>
      </w:r>
      <w:r w:rsidR="00416E0B">
        <w:fldChar w:fldCharType="separate"/>
      </w:r>
      <w:r w:rsidR="00CB298F">
        <w:t>7</w:t>
      </w:r>
      <w:r w:rsidR="00416E0B">
        <w:fldChar w:fldCharType="end"/>
      </w:r>
      <w:r w:rsidR="00AD5553">
        <w:t>,</w:t>
      </w:r>
      <w:r w:rsidR="002E799A">
        <w:t xml:space="preserve"> the </w:t>
      </w:r>
      <w:r w:rsidR="00DC07CC">
        <w:t>City and/or any person appointed by the City, duly assisted by the South African Police Services to the extent necessary, is authorised to:</w:t>
      </w:r>
    </w:p>
    <w:p w14:paraId="46757E4D" w14:textId="655FB89F" w:rsidR="00DC07CC" w:rsidRDefault="00ED74CB" w:rsidP="00ED74CB">
      <w:pPr>
        <w:ind w:left="1440" w:hanging="720"/>
      </w:pPr>
      <w:r>
        <w:rPr>
          <w:rFonts w:eastAsia="Times New Roman" w:cs="Arial"/>
          <w:color w:val="000000"/>
          <w:szCs w:val="24"/>
          <w:lang w:val="en-US" w:eastAsia="en-ZA"/>
        </w:rPr>
        <w:lastRenderedPageBreak/>
        <w:t>10.1.</w:t>
      </w:r>
      <w:r>
        <w:rPr>
          <w:rFonts w:eastAsia="Times New Roman" w:cs="Arial"/>
          <w:color w:val="000000"/>
          <w:szCs w:val="24"/>
          <w:lang w:val="en-US" w:eastAsia="en-ZA"/>
        </w:rPr>
        <w:tab/>
      </w:r>
      <w:r w:rsidR="00DC07CC">
        <w:t xml:space="preserve">Eject </w:t>
      </w:r>
      <w:r w:rsidR="009236B8">
        <w:t>any</w:t>
      </w:r>
      <w:r w:rsidR="00DC07CC">
        <w:t xml:space="preserve"> Respondent</w:t>
      </w:r>
      <w:r w:rsidR="009236B8">
        <w:t xml:space="preserve"> who has not indicated an intention to accept an offer of alternative accommodation at the City’s Safe Spaces</w:t>
      </w:r>
      <w:r w:rsidR="00DC07CC">
        <w:t xml:space="preserve"> from the </w:t>
      </w:r>
      <w:r w:rsidR="009236B8">
        <w:t>P</w:t>
      </w:r>
      <w:r w:rsidR="00DC07CC">
        <w:t>roperties;</w:t>
      </w:r>
    </w:p>
    <w:p w14:paraId="196D61E7" w14:textId="4F920122" w:rsidR="00DC07CC" w:rsidRDefault="00ED74CB" w:rsidP="00ED74CB">
      <w:pPr>
        <w:ind w:left="1440" w:hanging="720"/>
      </w:pPr>
      <w:r>
        <w:rPr>
          <w:rFonts w:eastAsia="Times New Roman" w:cs="Arial"/>
          <w:color w:val="000000"/>
          <w:szCs w:val="24"/>
          <w:lang w:val="en-US" w:eastAsia="en-ZA"/>
        </w:rPr>
        <w:t>10.2.</w:t>
      </w:r>
      <w:r>
        <w:rPr>
          <w:rFonts w:eastAsia="Times New Roman" w:cs="Arial"/>
          <w:color w:val="000000"/>
          <w:szCs w:val="24"/>
          <w:lang w:val="en-US" w:eastAsia="en-ZA"/>
        </w:rPr>
        <w:tab/>
      </w:r>
      <w:r w:rsidR="00DC07CC">
        <w:t>Demolish and or remove any structure unlawfully occupied by the Respondents on the Properties; and</w:t>
      </w:r>
    </w:p>
    <w:p w14:paraId="79B9F581" w14:textId="6A4B2688" w:rsidR="00210123" w:rsidRDefault="00ED74CB" w:rsidP="00ED74CB">
      <w:pPr>
        <w:ind w:left="1440" w:hanging="720"/>
      </w:pPr>
      <w:r>
        <w:rPr>
          <w:rFonts w:eastAsia="Times New Roman" w:cs="Arial"/>
          <w:color w:val="000000"/>
          <w:szCs w:val="24"/>
          <w:lang w:val="en-US" w:eastAsia="en-ZA"/>
        </w:rPr>
        <w:t>10.3.</w:t>
      </w:r>
      <w:r>
        <w:rPr>
          <w:rFonts w:eastAsia="Times New Roman" w:cs="Arial"/>
          <w:color w:val="000000"/>
          <w:szCs w:val="24"/>
          <w:lang w:val="en-US" w:eastAsia="en-ZA"/>
        </w:rPr>
        <w:tab/>
      </w:r>
      <w:r w:rsidR="00DC07CC">
        <w:t xml:space="preserve">Remove any possessions found at the properties belonging to the Respondents, </w:t>
      </w:r>
      <w:r w:rsidR="00210123">
        <w:t>save that:</w:t>
      </w:r>
    </w:p>
    <w:p w14:paraId="5C5D6E78" w14:textId="1B8396B3" w:rsidR="00210123" w:rsidRDefault="00ED74CB" w:rsidP="00ED74CB">
      <w:pPr>
        <w:ind w:left="2304" w:hanging="864"/>
      </w:pPr>
      <w:r>
        <w:rPr>
          <w:rFonts w:eastAsia="Times New Roman" w:cs="Arial"/>
          <w:color w:val="000000"/>
          <w:szCs w:val="24"/>
          <w:lang w:val="en-US" w:eastAsia="en-ZA"/>
        </w:rPr>
        <w:t>10.3.1.</w:t>
      </w:r>
      <w:r>
        <w:rPr>
          <w:rFonts w:eastAsia="Times New Roman" w:cs="Arial"/>
          <w:color w:val="000000"/>
          <w:szCs w:val="24"/>
          <w:lang w:val="en-US" w:eastAsia="en-ZA"/>
        </w:rPr>
        <w:tab/>
      </w:r>
      <w:r w:rsidR="00210123">
        <w:t>Those</w:t>
      </w:r>
      <w:r w:rsidR="00DC07CC">
        <w:t xml:space="preserve"> possessions shall be kept in safe custody by the Applicant for a period of six months</w:t>
      </w:r>
      <w:r w:rsidR="00346EC4">
        <w:t>,</w:t>
      </w:r>
      <w:r w:rsidR="00E41B21">
        <w:t xml:space="preserve"> which may be renewed for one further period of six months at the </w:t>
      </w:r>
      <w:r w:rsidR="00933830">
        <w:t>Respondent</w:t>
      </w:r>
      <w:r w:rsidR="00E41B21">
        <w:t>’s request</w:t>
      </w:r>
      <w:r w:rsidR="00210123">
        <w:t>;</w:t>
      </w:r>
    </w:p>
    <w:p w14:paraId="2C1A6E2E" w14:textId="09372F1F" w:rsidR="00D26261" w:rsidRDefault="00ED74CB" w:rsidP="00ED74CB">
      <w:pPr>
        <w:ind w:left="2304" w:hanging="864"/>
      </w:pPr>
      <w:r>
        <w:rPr>
          <w:rFonts w:eastAsia="Times New Roman" w:cs="Arial"/>
          <w:color w:val="000000"/>
          <w:szCs w:val="24"/>
          <w:lang w:val="en-US" w:eastAsia="en-ZA"/>
        </w:rPr>
        <w:t>10.3.2.</w:t>
      </w:r>
      <w:r>
        <w:rPr>
          <w:rFonts w:eastAsia="Times New Roman" w:cs="Arial"/>
          <w:color w:val="000000"/>
          <w:szCs w:val="24"/>
          <w:lang w:val="en-US" w:eastAsia="en-ZA"/>
        </w:rPr>
        <w:tab/>
      </w:r>
      <w:r w:rsidR="00693061">
        <w:t xml:space="preserve">If the Respondent wishes to collect their possessions, the City shall transfer them on the same conditions set out in paragraphs </w:t>
      </w:r>
      <w:r w:rsidR="00693061">
        <w:fldChar w:fldCharType="begin"/>
      </w:r>
      <w:r w:rsidR="00693061">
        <w:instrText xml:space="preserve"> REF _Ref169544766 \r \h </w:instrText>
      </w:r>
      <w:r w:rsidR="00693061">
        <w:fldChar w:fldCharType="separate"/>
      </w:r>
      <w:r w:rsidR="00CB298F">
        <w:t>9.1</w:t>
      </w:r>
      <w:r w:rsidR="00693061">
        <w:fldChar w:fldCharType="end"/>
      </w:r>
      <w:r w:rsidR="00693061">
        <w:t xml:space="preserve"> and </w:t>
      </w:r>
      <w:r w:rsidR="00693061">
        <w:fldChar w:fldCharType="begin"/>
      </w:r>
      <w:r w:rsidR="00693061">
        <w:instrText xml:space="preserve"> REF _Ref169544768 \r \h </w:instrText>
      </w:r>
      <w:r w:rsidR="00693061">
        <w:fldChar w:fldCharType="separate"/>
      </w:r>
      <w:r w:rsidR="00CB298F">
        <w:t>9.2</w:t>
      </w:r>
      <w:r w:rsidR="00693061">
        <w:fldChar w:fldCharType="end"/>
      </w:r>
      <w:r w:rsidR="00933830">
        <w:t xml:space="preserve">, save that the information in </w:t>
      </w:r>
      <w:r w:rsidR="00933830">
        <w:fldChar w:fldCharType="begin"/>
      </w:r>
      <w:r w:rsidR="00933830">
        <w:instrText xml:space="preserve"> REF _Ref169544768 \r \h </w:instrText>
      </w:r>
      <w:r w:rsidR="00933830">
        <w:fldChar w:fldCharType="separate"/>
      </w:r>
      <w:r w:rsidR="00CB298F">
        <w:t>9.2</w:t>
      </w:r>
      <w:r w:rsidR="00933830">
        <w:fldChar w:fldCharType="end"/>
      </w:r>
      <w:r w:rsidR="00933830">
        <w:t xml:space="preserve"> need only be provided when the Respondent wishes to collect their possessions</w:t>
      </w:r>
      <w:r w:rsidR="00D26261">
        <w:t>; and</w:t>
      </w:r>
    </w:p>
    <w:p w14:paraId="7991FAD8" w14:textId="5E95A129" w:rsidR="00DC07CC" w:rsidRDefault="00ED74CB" w:rsidP="00ED74CB">
      <w:pPr>
        <w:ind w:left="2304" w:hanging="864"/>
      </w:pPr>
      <w:r>
        <w:rPr>
          <w:rFonts w:eastAsia="Times New Roman" w:cs="Arial"/>
          <w:color w:val="000000"/>
          <w:szCs w:val="24"/>
          <w:lang w:val="en-US" w:eastAsia="en-ZA"/>
        </w:rPr>
        <w:t>10.3.3.</w:t>
      </w:r>
      <w:r>
        <w:rPr>
          <w:rFonts w:eastAsia="Times New Roman" w:cs="Arial"/>
          <w:color w:val="000000"/>
          <w:szCs w:val="24"/>
          <w:lang w:val="en-US" w:eastAsia="en-ZA"/>
        </w:rPr>
        <w:tab/>
      </w:r>
      <w:r w:rsidR="00D26261">
        <w:t>If the Respondent does not collect their possessions,</w:t>
      </w:r>
      <w:r w:rsidR="00346EC4">
        <w:t xml:space="preserve"> the City shall be permitted to dispose of those possessions.</w:t>
      </w:r>
    </w:p>
    <w:p w14:paraId="3BB05B59" w14:textId="005FC4FA" w:rsidR="003D6416" w:rsidRDefault="00ED74CB" w:rsidP="00ED74CB">
      <w:pPr>
        <w:ind w:left="720" w:hanging="720"/>
      </w:pPr>
      <w:r>
        <w:rPr>
          <w:rFonts w:eastAsia="Times New Roman" w:cs="Arial"/>
          <w:color w:val="000000"/>
          <w:szCs w:val="24"/>
          <w:lang w:val="en-US" w:eastAsia="en-ZA"/>
        </w:rPr>
        <w:t>11.</w:t>
      </w:r>
      <w:r>
        <w:rPr>
          <w:rFonts w:eastAsia="Times New Roman" w:cs="Arial"/>
          <w:color w:val="000000"/>
          <w:szCs w:val="24"/>
          <w:lang w:val="en-US" w:eastAsia="en-ZA"/>
        </w:rPr>
        <w:tab/>
      </w:r>
      <w:r w:rsidR="00AD5553">
        <w:t xml:space="preserve">The </w:t>
      </w:r>
      <w:r w:rsidR="008D3EF4">
        <w:t xml:space="preserve">following </w:t>
      </w:r>
      <w:r w:rsidR="00AD5553">
        <w:t>Respondents</w:t>
      </w:r>
      <w:r w:rsidR="008D3EF4">
        <w:t>,</w:t>
      </w:r>
      <w:r w:rsidR="008D3EF4" w:rsidRPr="008D3EF4">
        <w:t xml:space="preserve"> </w:t>
      </w:r>
      <w:r w:rsidR="008D3EF4">
        <w:t xml:space="preserve">once they are evicted or voluntarily vacate the Properties, are interdicted and restrained from </w:t>
      </w:r>
      <w:r w:rsidR="003D6416">
        <w:t>re-</w:t>
      </w:r>
      <w:r w:rsidR="008D3EF4">
        <w:t>occupying t</w:t>
      </w:r>
      <w:r w:rsidR="003D6416">
        <w:t>h</w:t>
      </w:r>
      <w:r w:rsidR="008D3EF4">
        <w:t>e Properties</w:t>
      </w:r>
      <w:r w:rsidR="003D6416">
        <w:t>:</w:t>
      </w:r>
    </w:p>
    <w:p w14:paraId="4E7BFD50" w14:textId="646B1210" w:rsidR="00E62FB8" w:rsidRDefault="00ED74CB" w:rsidP="00ED74CB">
      <w:pPr>
        <w:ind w:left="1440" w:hanging="720"/>
      </w:pPr>
      <w:r>
        <w:rPr>
          <w:rFonts w:eastAsia="Times New Roman" w:cs="Arial"/>
          <w:color w:val="000000"/>
          <w:szCs w:val="24"/>
          <w:lang w:val="en-US" w:eastAsia="en-ZA"/>
        </w:rPr>
        <w:t>11.1.</w:t>
      </w:r>
      <w:r>
        <w:rPr>
          <w:rFonts w:eastAsia="Times New Roman" w:cs="Arial"/>
          <w:color w:val="000000"/>
          <w:szCs w:val="24"/>
          <w:lang w:val="en-US" w:eastAsia="en-ZA"/>
        </w:rPr>
        <w:tab/>
      </w:r>
      <w:r w:rsidR="00E62FB8">
        <w:t>The Respondents listed in Annexure A to the Notice of Motion;</w:t>
      </w:r>
    </w:p>
    <w:p w14:paraId="5E2DCAF1" w14:textId="10945D14" w:rsidR="00AD5553" w:rsidRDefault="00ED74CB" w:rsidP="00ED74CB">
      <w:pPr>
        <w:ind w:left="1440" w:hanging="720"/>
      </w:pPr>
      <w:r>
        <w:rPr>
          <w:rFonts w:eastAsia="Times New Roman" w:cs="Arial"/>
          <w:color w:val="000000"/>
          <w:szCs w:val="24"/>
          <w:lang w:val="en-US" w:eastAsia="en-ZA"/>
        </w:rPr>
        <w:t>11.2.</w:t>
      </w:r>
      <w:r>
        <w:rPr>
          <w:rFonts w:eastAsia="Times New Roman" w:cs="Arial"/>
          <w:color w:val="000000"/>
          <w:szCs w:val="24"/>
          <w:lang w:val="en-US" w:eastAsia="en-ZA"/>
        </w:rPr>
        <w:tab/>
      </w:r>
      <w:r w:rsidR="003D6416">
        <w:t>The Respondents</w:t>
      </w:r>
      <w:r w:rsidR="00AD5553">
        <w:t xml:space="preserve"> listed in </w:t>
      </w:r>
      <w:r w:rsidR="00A2698C">
        <w:t>Annexure</w:t>
      </w:r>
      <w:r w:rsidR="00062FDA">
        <w:t xml:space="preserve"> KB1</w:t>
      </w:r>
      <w:r w:rsidR="00A2698C">
        <w:t xml:space="preserve"> to the</w:t>
      </w:r>
      <w:r w:rsidR="00461555">
        <w:t xml:space="preserve"> Supplementary</w:t>
      </w:r>
      <w:r w:rsidR="00A2698C">
        <w:t xml:space="preserve"> </w:t>
      </w:r>
      <w:r w:rsidR="00461555">
        <w:t>A</w:t>
      </w:r>
      <w:r w:rsidR="00A2698C">
        <w:t>ffidavit</w:t>
      </w:r>
      <w:r w:rsidR="00461555">
        <w:t xml:space="preserve"> of Khululiwe Bhengu dated </w:t>
      </w:r>
      <w:r w:rsidR="00A2698C">
        <w:t xml:space="preserve"> </w:t>
      </w:r>
      <w:r w:rsidR="008D3EF4">
        <w:t>9 October 2023</w:t>
      </w:r>
      <w:r w:rsidR="003D6416">
        <w:t>;</w:t>
      </w:r>
    </w:p>
    <w:p w14:paraId="6F9C362F" w14:textId="09EC6FCE" w:rsidR="003D6416" w:rsidRDefault="00ED74CB" w:rsidP="00ED74CB">
      <w:pPr>
        <w:ind w:left="1440" w:hanging="720"/>
      </w:pPr>
      <w:r>
        <w:rPr>
          <w:rFonts w:eastAsia="Times New Roman" w:cs="Arial"/>
          <w:color w:val="000000"/>
          <w:szCs w:val="24"/>
          <w:lang w:val="en-US" w:eastAsia="en-ZA"/>
        </w:rPr>
        <w:lastRenderedPageBreak/>
        <w:t>11.3.</w:t>
      </w:r>
      <w:r>
        <w:rPr>
          <w:rFonts w:eastAsia="Times New Roman" w:cs="Arial"/>
          <w:color w:val="000000"/>
          <w:szCs w:val="24"/>
          <w:lang w:val="en-US" w:eastAsia="en-ZA"/>
        </w:rPr>
        <w:tab/>
      </w:r>
      <w:r w:rsidR="003D6416">
        <w:t xml:space="preserve">The Respondents listed in </w:t>
      </w:r>
      <w:r w:rsidR="003C1DF0">
        <w:t>the Affidavit of Nazlie Du Toit dated 10 November 2023</w:t>
      </w:r>
      <w:r w:rsidR="003E1814">
        <w:t>;</w:t>
      </w:r>
    </w:p>
    <w:p w14:paraId="612F91A6" w14:textId="539BF7F0" w:rsidR="003E1814" w:rsidRDefault="00ED74CB" w:rsidP="00ED74CB">
      <w:pPr>
        <w:ind w:left="1440" w:hanging="720"/>
      </w:pPr>
      <w:r>
        <w:rPr>
          <w:rFonts w:eastAsia="Times New Roman" w:cs="Arial"/>
          <w:color w:val="000000"/>
          <w:szCs w:val="24"/>
          <w:lang w:val="en-US" w:eastAsia="en-ZA"/>
        </w:rPr>
        <w:t>11.4.</w:t>
      </w:r>
      <w:r>
        <w:rPr>
          <w:rFonts w:eastAsia="Times New Roman" w:cs="Arial"/>
          <w:color w:val="000000"/>
          <w:szCs w:val="24"/>
          <w:lang w:val="en-US" w:eastAsia="en-ZA"/>
        </w:rPr>
        <w:tab/>
      </w:r>
      <w:r w:rsidR="003E1814">
        <w:t xml:space="preserve">Annexure PK9 to </w:t>
      </w:r>
      <w:r w:rsidR="00093EF6">
        <w:t>the Affidavit of Portia Dyantyi dated 28 November 2023</w:t>
      </w:r>
      <w:r w:rsidR="000B61DD">
        <w:t>; and</w:t>
      </w:r>
    </w:p>
    <w:p w14:paraId="37A14C8F" w14:textId="6051222D" w:rsidR="000B61DD" w:rsidRDefault="00ED74CB" w:rsidP="00ED74CB">
      <w:pPr>
        <w:ind w:left="1440" w:hanging="720"/>
      </w:pPr>
      <w:r>
        <w:rPr>
          <w:rFonts w:eastAsia="Times New Roman" w:cs="Arial"/>
          <w:color w:val="000000"/>
          <w:szCs w:val="24"/>
          <w:lang w:val="en-US" w:eastAsia="en-ZA"/>
        </w:rPr>
        <w:t>11.5.</w:t>
      </w:r>
      <w:r>
        <w:rPr>
          <w:rFonts w:eastAsia="Times New Roman" w:cs="Arial"/>
          <w:color w:val="000000"/>
          <w:szCs w:val="24"/>
          <w:lang w:val="en-US" w:eastAsia="en-ZA"/>
        </w:rPr>
        <w:tab/>
      </w:r>
      <w:r w:rsidR="000B61DD">
        <w:t>The Respondents listed in the affidavit of Megan Pangeni filed on 8 December 2023.</w:t>
      </w:r>
    </w:p>
    <w:p w14:paraId="7C9E6DCE" w14:textId="339E4F7E" w:rsidR="00AD5553" w:rsidRDefault="00ED74CB" w:rsidP="00ED74CB">
      <w:pPr>
        <w:ind w:left="720" w:hanging="720"/>
      </w:pPr>
      <w:r>
        <w:rPr>
          <w:rFonts w:eastAsia="Times New Roman" w:cs="Arial"/>
          <w:color w:val="000000"/>
          <w:szCs w:val="24"/>
          <w:lang w:val="en-US" w:eastAsia="en-ZA"/>
        </w:rPr>
        <w:t>12.</w:t>
      </w:r>
      <w:r>
        <w:rPr>
          <w:rFonts w:eastAsia="Times New Roman" w:cs="Arial"/>
          <w:color w:val="000000"/>
          <w:szCs w:val="24"/>
          <w:lang w:val="en-US" w:eastAsia="en-ZA"/>
        </w:rPr>
        <w:tab/>
      </w:r>
      <w:r w:rsidR="00B94BBE">
        <w:t>This Order shall be served on the Respondents in the following manner:</w:t>
      </w:r>
    </w:p>
    <w:p w14:paraId="4739FCA7" w14:textId="7A847717" w:rsidR="00547FA0" w:rsidRDefault="00ED74CB" w:rsidP="00ED74CB">
      <w:pPr>
        <w:ind w:left="1440" w:hanging="720"/>
      </w:pPr>
      <w:r>
        <w:rPr>
          <w:rFonts w:eastAsia="Times New Roman" w:cs="Arial"/>
          <w:color w:val="000000"/>
          <w:szCs w:val="24"/>
          <w:lang w:val="en-US" w:eastAsia="en-ZA"/>
        </w:rPr>
        <w:t>12.1.</w:t>
      </w:r>
      <w:r>
        <w:rPr>
          <w:rFonts w:eastAsia="Times New Roman" w:cs="Arial"/>
          <w:color w:val="000000"/>
          <w:szCs w:val="24"/>
          <w:lang w:val="en-US" w:eastAsia="en-ZA"/>
        </w:rPr>
        <w:tab/>
      </w:r>
      <w:r w:rsidR="00547FA0">
        <w:t>By delivery of the Judgment by the Registrar to the Respondents’ attorneys by email;</w:t>
      </w:r>
    </w:p>
    <w:p w14:paraId="6AF772B1" w14:textId="26E771B9" w:rsidR="00B94BBE" w:rsidRDefault="00ED74CB" w:rsidP="00ED74CB">
      <w:pPr>
        <w:ind w:left="1440" w:hanging="720"/>
      </w:pPr>
      <w:r>
        <w:rPr>
          <w:rFonts w:eastAsia="Times New Roman" w:cs="Arial"/>
          <w:color w:val="000000"/>
          <w:szCs w:val="24"/>
          <w:lang w:val="en-US" w:eastAsia="en-ZA"/>
        </w:rPr>
        <w:t>12.2.</w:t>
      </w:r>
      <w:r>
        <w:rPr>
          <w:rFonts w:eastAsia="Times New Roman" w:cs="Arial"/>
          <w:color w:val="000000"/>
          <w:szCs w:val="24"/>
          <w:lang w:val="en-US" w:eastAsia="en-ZA"/>
        </w:rPr>
        <w:tab/>
      </w:r>
      <w:r w:rsidR="00B94BBE">
        <w:t>By the City’s officials reading aloud at the Properties, the contents of this Order by loudhailer in English, Afrikaans and isiXhosa before 9 AM and after 6 PM</w:t>
      </w:r>
      <w:r w:rsidR="0007259D">
        <w:t xml:space="preserve"> for three consecutive days, beginning two days after the date of this Order;</w:t>
      </w:r>
    </w:p>
    <w:p w14:paraId="15C2ABB6" w14:textId="367A886A" w:rsidR="00483C99" w:rsidRDefault="00ED74CB" w:rsidP="00ED74CB">
      <w:pPr>
        <w:ind w:left="1440" w:hanging="720"/>
      </w:pPr>
      <w:r>
        <w:rPr>
          <w:rFonts w:eastAsia="Times New Roman" w:cs="Arial"/>
          <w:color w:val="000000"/>
          <w:szCs w:val="24"/>
          <w:lang w:val="en-US" w:eastAsia="en-ZA"/>
        </w:rPr>
        <w:t>12.3.</w:t>
      </w:r>
      <w:r>
        <w:rPr>
          <w:rFonts w:eastAsia="Times New Roman" w:cs="Arial"/>
          <w:color w:val="000000"/>
          <w:szCs w:val="24"/>
          <w:lang w:val="en-US" w:eastAsia="en-ZA"/>
        </w:rPr>
        <w:tab/>
      </w:r>
      <w:r w:rsidR="000A17B4">
        <w:t>By the City’s officials</w:t>
      </w:r>
      <w:r w:rsidR="00483C99">
        <w:t>, within two days of the date of this order:</w:t>
      </w:r>
    </w:p>
    <w:p w14:paraId="7162D766" w14:textId="744C44CE" w:rsidR="00483C99" w:rsidRDefault="00ED74CB" w:rsidP="00ED74CB">
      <w:pPr>
        <w:ind w:left="2304" w:hanging="864"/>
      </w:pPr>
      <w:r>
        <w:rPr>
          <w:rFonts w:eastAsia="Times New Roman" w:cs="Arial"/>
          <w:color w:val="000000"/>
          <w:szCs w:val="24"/>
          <w:lang w:val="en-US" w:eastAsia="en-ZA"/>
        </w:rPr>
        <w:t>12.3.1.</w:t>
      </w:r>
      <w:r>
        <w:rPr>
          <w:rFonts w:eastAsia="Times New Roman" w:cs="Arial"/>
          <w:color w:val="000000"/>
          <w:szCs w:val="24"/>
          <w:lang w:val="en-US" w:eastAsia="en-ZA"/>
        </w:rPr>
        <w:tab/>
      </w:r>
      <w:r w:rsidR="00483C99">
        <w:t>E</w:t>
      </w:r>
      <w:r w:rsidR="000A17B4">
        <w:t xml:space="preserve">recting two notice boards at each of the </w:t>
      </w:r>
      <w:r w:rsidR="00844693">
        <w:t>P</w:t>
      </w:r>
      <w:r w:rsidR="000A17B4">
        <w:t>roperties, where the erection of such notice boards is possible, and affixing thereto copies of this Order</w:t>
      </w:r>
      <w:r w:rsidR="00816967" w:rsidRPr="00816967">
        <w:t xml:space="preserve"> </w:t>
      </w:r>
      <w:r w:rsidR="00816967">
        <w:t>in English, Afrikaans and isiXhosa</w:t>
      </w:r>
      <w:r w:rsidR="00483C99">
        <w:t>;</w:t>
      </w:r>
      <w:r w:rsidR="00844693">
        <w:t xml:space="preserve"> or </w:t>
      </w:r>
    </w:p>
    <w:p w14:paraId="113EF979" w14:textId="75F350BC" w:rsidR="0007259D" w:rsidRDefault="00ED74CB" w:rsidP="00ED74CB">
      <w:pPr>
        <w:ind w:left="2304" w:hanging="864"/>
      </w:pPr>
      <w:r>
        <w:rPr>
          <w:rFonts w:eastAsia="Times New Roman" w:cs="Arial"/>
          <w:color w:val="000000"/>
          <w:szCs w:val="24"/>
          <w:lang w:val="en-US" w:eastAsia="en-ZA"/>
        </w:rPr>
        <w:t>12.3.2.</w:t>
      </w:r>
      <w:r>
        <w:rPr>
          <w:rFonts w:eastAsia="Times New Roman" w:cs="Arial"/>
          <w:color w:val="000000"/>
          <w:szCs w:val="24"/>
          <w:lang w:val="en-US" w:eastAsia="en-ZA"/>
        </w:rPr>
        <w:tab/>
      </w:r>
      <w:r w:rsidR="00483C99">
        <w:t>W</w:t>
      </w:r>
      <w:r w:rsidR="00844693">
        <w:t xml:space="preserve">here it is not possible to erect a notice board, by affixing three copies of this </w:t>
      </w:r>
      <w:r w:rsidR="00CE026B">
        <w:t>O</w:t>
      </w:r>
      <w:r w:rsidR="00844693">
        <w:t>rder to any wall, fence and/or permanent structure on each of the Properties</w:t>
      </w:r>
      <w:r w:rsidR="00B604CD">
        <w:t>; and</w:t>
      </w:r>
    </w:p>
    <w:p w14:paraId="61637C96" w14:textId="2D7318DC" w:rsidR="00547FA0" w:rsidRDefault="00ED74CB" w:rsidP="00ED74CB">
      <w:pPr>
        <w:ind w:left="1440" w:hanging="720"/>
      </w:pPr>
      <w:r>
        <w:rPr>
          <w:rFonts w:eastAsia="Times New Roman" w:cs="Arial"/>
          <w:color w:val="000000"/>
          <w:szCs w:val="24"/>
          <w:lang w:val="en-US" w:eastAsia="en-ZA"/>
        </w:rPr>
        <w:lastRenderedPageBreak/>
        <w:t>12.4.</w:t>
      </w:r>
      <w:r>
        <w:rPr>
          <w:rFonts w:eastAsia="Times New Roman" w:cs="Arial"/>
          <w:color w:val="000000"/>
          <w:szCs w:val="24"/>
          <w:lang w:val="en-US" w:eastAsia="en-ZA"/>
        </w:rPr>
        <w:tab/>
      </w:r>
      <w:r w:rsidR="00547FA0">
        <w:t xml:space="preserve">By the Respondents’ </w:t>
      </w:r>
      <w:r w:rsidR="00816967">
        <w:t xml:space="preserve">attorneys communicating to the Respondents in the </w:t>
      </w:r>
      <w:r w:rsidR="00483C99">
        <w:t>way they deem most appropriate, the content of this Order.</w:t>
      </w:r>
    </w:p>
    <w:p w14:paraId="01E5E053" w14:textId="1F9CDBDC" w:rsidR="00B02523" w:rsidRDefault="00ED74CB" w:rsidP="00ED74CB">
      <w:pPr>
        <w:ind w:left="720" w:hanging="720"/>
      </w:pPr>
      <w:r>
        <w:rPr>
          <w:rFonts w:eastAsia="Times New Roman" w:cs="Arial"/>
          <w:color w:val="000000"/>
          <w:szCs w:val="24"/>
          <w:lang w:val="en-US" w:eastAsia="en-ZA"/>
        </w:rPr>
        <w:t>13.</w:t>
      </w:r>
      <w:r>
        <w:rPr>
          <w:rFonts w:eastAsia="Times New Roman" w:cs="Arial"/>
          <w:color w:val="000000"/>
          <w:szCs w:val="24"/>
          <w:lang w:val="en-US" w:eastAsia="en-ZA"/>
        </w:rPr>
        <w:tab/>
      </w:r>
      <w:r w:rsidR="00B02523">
        <w:t>This Court shall retain supervision of the implementation of this Order</w:t>
      </w:r>
      <w:r w:rsidR="00E45112">
        <w:t xml:space="preserve"> on the following terms:</w:t>
      </w:r>
    </w:p>
    <w:p w14:paraId="00CA723E" w14:textId="1E4E0D99" w:rsidR="00E45112" w:rsidRDefault="00ED74CB" w:rsidP="00ED74CB">
      <w:pPr>
        <w:ind w:left="1440" w:hanging="720"/>
      </w:pPr>
      <w:r>
        <w:rPr>
          <w:rFonts w:eastAsia="Times New Roman" w:cs="Arial"/>
          <w:color w:val="000000"/>
          <w:szCs w:val="24"/>
          <w:lang w:val="en-US" w:eastAsia="en-ZA"/>
        </w:rPr>
        <w:t>13.1.</w:t>
      </w:r>
      <w:r>
        <w:rPr>
          <w:rFonts w:eastAsia="Times New Roman" w:cs="Arial"/>
          <w:color w:val="000000"/>
          <w:szCs w:val="24"/>
          <w:lang w:val="en-US" w:eastAsia="en-ZA"/>
        </w:rPr>
        <w:tab/>
      </w:r>
      <w:r w:rsidR="00E45112">
        <w:t>The City shall</w:t>
      </w:r>
      <w:r w:rsidR="007B4665">
        <w:t xml:space="preserve">, within ten days of the </w:t>
      </w:r>
      <w:r w:rsidR="002D17CE">
        <w:t xml:space="preserve">final </w:t>
      </w:r>
      <w:r w:rsidR="007B4665">
        <w:t>eviction,</w:t>
      </w:r>
      <w:r w:rsidR="00E45112">
        <w:t xml:space="preserve"> file a</w:t>
      </w:r>
      <w:r w:rsidR="007B4665">
        <w:t xml:space="preserve">n affidavit </w:t>
      </w:r>
      <w:r w:rsidR="00E45112">
        <w:t>with this Court specifying which Respondents accepted offers of accommodation at the Safe Space</w:t>
      </w:r>
      <w:r w:rsidR="007B4665">
        <w:t>, and including any other information the City believe</w:t>
      </w:r>
      <w:r w:rsidR="002D17CE">
        <w:t>s</w:t>
      </w:r>
      <w:r w:rsidR="007B4665">
        <w:t xml:space="preserve"> relevant</w:t>
      </w:r>
      <w:r w:rsidR="00326F28">
        <w:t>;</w:t>
      </w:r>
    </w:p>
    <w:p w14:paraId="1C95DCCD" w14:textId="22AB2E71" w:rsidR="007B4665" w:rsidRDefault="00ED74CB" w:rsidP="00ED74CB">
      <w:pPr>
        <w:ind w:left="1440" w:hanging="720"/>
      </w:pPr>
      <w:r>
        <w:rPr>
          <w:rFonts w:eastAsia="Times New Roman" w:cs="Arial"/>
          <w:color w:val="000000"/>
          <w:szCs w:val="24"/>
          <w:lang w:val="en-US" w:eastAsia="en-ZA"/>
        </w:rPr>
        <w:t>13.2.</w:t>
      </w:r>
      <w:r>
        <w:rPr>
          <w:rFonts w:eastAsia="Times New Roman" w:cs="Arial"/>
          <w:color w:val="000000"/>
          <w:szCs w:val="24"/>
          <w:lang w:val="en-US" w:eastAsia="en-ZA"/>
        </w:rPr>
        <w:tab/>
      </w:r>
      <w:r w:rsidR="007B4665">
        <w:t xml:space="preserve">The Respondents shall be entitled, within </w:t>
      </w:r>
      <w:r w:rsidR="00326F28">
        <w:t>ten</w:t>
      </w:r>
      <w:r w:rsidR="007B4665">
        <w:t xml:space="preserve"> days thereafter, to file an affidavit in response</w:t>
      </w:r>
      <w:r w:rsidR="00326F28">
        <w:t>;</w:t>
      </w:r>
    </w:p>
    <w:p w14:paraId="3139CACF" w14:textId="0D865E01" w:rsidR="00FA2FCB" w:rsidRDefault="00ED74CB" w:rsidP="00ED74CB">
      <w:pPr>
        <w:ind w:left="1440" w:hanging="720"/>
      </w:pPr>
      <w:r>
        <w:rPr>
          <w:rFonts w:eastAsia="Times New Roman" w:cs="Arial"/>
          <w:color w:val="000000"/>
          <w:szCs w:val="24"/>
          <w:lang w:val="en-US" w:eastAsia="en-ZA"/>
        </w:rPr>
        <w:t>13.3.</w:t>
      </w:r>
      <w:r>
        <w:rPr>
          <w:rFonts w:eastAsia="Times New Roman" w:cs="Arial"/>
          <w:color w:val="000000"/>
          <w:szCs w:val="24"/>
          <w:lang w:val="en-US" w:eastAsia="en-ZA"/>
        </w:rPr>
        <w:tab/>
      </w:r>
      <w:r w:rsidR="007B4665">
        <w:t xml:space="preserve">The Court shall consider the </w:t>
      </w:r>
      <w:r w:rsidR="00FA2FCB">
        <w:t>affidavits and make any further order it deems just, including terminating its supervision</w:t>
      </w:r>
      <w:r w:rsidR="00326F28">
        <w:t>; and</w:t>
      </w:r>
    </w:p>
    <w:p w14:paraId="534ACCFC" w14:textId="2BDD27D8" w:rsidR="00FA2FCB" w:rsidRDefault="00ED74CB" w:rsidP="00ED74CB">
      <w:pPr>
        <w:ind w:left="1440" w:hanging="720"/>
      </w:pPr>
      <w:r>
        <w:rPr>
          <w:rFonts w:eastAsia="Times New Roman" w:cs="Arial"/>
          <w:color w:val="000000"/>
          <w:szCs w:val="24"/>
          <w:lang w:val="en-US" w:eastAsia="en-ZA"/>
        </w:rPr>
        <w:t>13.4.</w:t>
      </w:r>
      <w:r>
        <w:rPr>
          <w:rFonts w:eastAsia="Times New Roman" w:cs="Arial"/>
          <w:color w:val="000000"/>
          <w:szCs w:val="24"/>
          <w:lang w:val="en-US" w:eastAsia="en-ZA"/>
        </w:rPr>
        <w:tab/>
      </w:r>
      <w:r w:rsidR="00FA2FCB">
        <w:t>Any party may, at any stage,</w:t>
      </w:r>
      <w:r w:rsidR="00A435F5">
        <w:t xml:space="preserve"> and on notice to the other parties,</w:t>
      </w:r>
      <w:r w:rsidR="00FA2FCB">
        <w:t xml:space="preserve"> approach the Court for </w:t>
      </w:r>
      <w:r w:rsidR="00A435F5">
        <w:t>a variation of this order.</w:t>
      </w:r>
    </w:p>
    <w:p w14:paraId="389E4BB4" w14:textId="1F10BF86" w:rsidR="00B02523" w:rsidRDefault="00ED74CB" w:rsidP="00ED74CB">
      <w:pPr>
        <w:ind w:left="720" w:hanging="720"/>
      </w:pPr>
      <w:r>
        <w:rPr>
          <w:rFonts w:eastAsia="Times New Roman" w:cs="Arial"/>
          <w:color w:val="000000"/>
          <w:szCs w:val="24"/>
          <w:lang w:val="en-US" w:eastAsia="en-ZA"/>
        </w:rPr>
        <w:t>14.</w:t>
      </w:r>
      <w:r>
        <w:rPr>
          <w:rFonts w:eastAsia="Times New Roman" w:cs="Arial"/>
          <w:color w:val="000000"/>
          <w:szCs w:val="24"/>
          <w:lang w:val="en-US" w:eastAsia="en-ZA"/>
        </w:rPr>
        <w:tab/>
      </w:r>
      <w:r w:rsidR="00B02523">
        <w:t>The City shall pay 30% of the Respondents’ costs.</w:t>
      </w:r>
    </w:p>
    <w:p w14:paraId="51CF349C" w14:textId="77777777" w:rsidR="001B6052" w:rsidRDefault="001B6052" w:rsidP="008654D1">
      <w:pPr>
        <w:spacing w:after="80" w:line="240" w:lineRule="auto"/>
        <w:jc w:val="right"/>
        <w:rPr>
          <w:rFonts w:cs="Arial"/>
        </w:rPr>
      </w:pPr>
    </w:p>
    <w:p w14:paraId="777439F8" w14:textId="77777777" w:rsidR="00326F28" w:rsidRDefault="00326F28" w:rsidP="008654D1">
      <w:pPr>
        <w:spacing w:after="80" w:line="240" w:lineRule="auto"/>
        <w:jc w:val="right"/>
        <w:rPr>
          <w:rFonts w:cs="Arial"/>
        </w:rPr>
      </w:pPr>
    </w:p>
    <w:p w14:paraId="4450C45D" w14:textId="77777777" w:rsidR="009F420E" w:rsidRDefault="009F420E" w:rsidP="008654D1">
      <w:pPr>
        <w:spacing w:after="80" w:line="240" w:lineRule="auto"/>
        <w:jc w:val="right"/>
        <w:rPr>
          <w:rFonts w:cs="Arial"/>
        </w:rPr>
      </w:pPr>
    </w:p>
    <w:p w14:paraId="10F29C06" w14:textId="7994856A" w:rsidR="008654D1" w:rsidRPr="00613EF5" w:rsidRDefault="008654D1" w:rsidP="008654D1">
      <w:pPr>
        <w:spacing w:after="80" w:line="240" w:lineRule="auto"/>
        <w:jc w:val="right"/>
        <w:rPr>
          <w:rFonts w:cs="Arial"/>
          <w:b/>
        </w:rPr>
      </w:pPr>
      <w:r w:rsidRPr="00613EF5">
        <w:rPr>
          <w:rFonts w:cs="Arial"/>
        </w:rPr>
        <w:t>____________________</w:t>
      </w:r>
    </w:p>
    <w:p w14:paraId="46585D55" w14:textId="77777777" w:rsidR="008654D1" w:rsidRPr="00613EF5" w:rsidRDefault="008654D1" w:rsidP="008654D1">
      <w:pPr>
        <w:spacing w:after="80" w:line="240" w:lineRule="auto"/>
        <w:jc w:val="right"/>
        <w:rPr>
          <w:rFonts w:cs="Arial"/>
        </w:rPr>
      </w:pPr>
      <w:r w:rsidRPr="00613EF5">
        <w:rPr>
          <w:rFonts w:cs="Arial"/>
        </w:rPr>
        <w:t>M J BISHOP</w:t>
      </w:r>
    </w:p>
    <w:p w14:paraId="470166D6" w14:textId="77777777" w:rsidR="008654D1" w:rsidRPr="00613EF5" w:rsidRDefault="008654D1" w:rsidP="008654D1">
      <w:pPr>
        <w:spacing w:after="80" w:line="240" w:lineRule="auto"/>
        <w:jc w:val="right"/>
        <w:rPr>
          <w:rFonts w:cs="Arial"/>
        </w:rPr>
      </w:pPr>
      <w:r w:rsidRPr="00613EF5">
        <w:rPr>
          <w:rFonts w:cs="Arial"/>
        </w:rPr>
        <w:t xml:space="preserve">Acting Judge of the High Court </w:t>
      </w:r>
    </w:p>
    <w:p w14:paraId="1BD2FB3B" w14:textId="77777777" w:rsidR="008654D1" w:rsidRDefault="008654D1" w:rsidP="008654D1">
      <w:pPr>
        <w:spacing w:after="80" w:line="240" w:lineRule="auto"/>
        <w:rPr>
          <w:rFonts w:cs="Arial"/>
          <w:b/>
        </w:rPr>
      </w:pPr>
    </w:p>
    <w:p w14:paraId="09F59D76" w14:textId="77777777" w:rsidR="008654D1" w:rsidRDefault="008654D1" w:rsidP="008654D1">
      <w:pPr>
        <w:spacing w:after="80" w:line="240" w:lineRule="auto"/>
        <w:rPr>
          <w:rFonts w:cs="Arial"/>
          <w:b/>
        </w:rPr>
      </w:pPr>
    </w:p>
    <w:p w14:paraId="2EA667F9" w14:textId="77777777" w:rsidR="008654D1" w:rsidRDefault="008654D1" w:rsidP="008654D1">
      <w:pPr>
        <w:spacing w:after="80" w:line="240" w:lineRule="auto"/>
        <w:rPr>
          <w:rFonts w:cs="Arial"/>
          <w:b/>
        </w:rPr>
      </w:pPr>
    </w:p>
    <w:p w14:paraId="6E692E12" w14:textId="77777777" w:rsidR="009F420E" w:rsidRDefault="009F420E" w:rsidP="008654D1">
      <w:pPr>
        <w:spacing w:after="80" w:line="240" w:lineRule="auto"/>
        <w:rPr>
          <w:rFonts w:cs="Arial"/>
          <w:b/>
        </w:rPr>
      </w:pPr>
    </w:p>
    <w:p w14:paraId="40EF8676" w14:textId="5ABE0CA0" w:rsidR="008654D1" w:rsidRPr="00613EF5" w:rsidRDefault="008654D1" w:rsidP="008328E0">
      <w:pPr>
        <w:spacing w:after="80" w:line="240" w:lineRule="auto"/>
        <w:ind w:left="4320" w:hanging="4320"/>
        <w:rPr>
          <w:rFonts w:cs="Arial"/>
          <w:b/>
        </w:rPr>
      </w:pPr>
      <w:r w:rsidRPr="00613EF5">
        <w:rPr>
          <w:rFonts w:cs="Arial"/>
          <w:b/>
        </w:rPr>
        <w:lastRenderedPageBreak/>
        <w:t xml:space="preserve">Counsel for </w:t>
      </w:r>
      <w:r>
        <w:rPr>
          <w:rFonts w:cs="Arial"/>
          <w:b/>
        </w:rPr>
        <w:t>Applicant</w:t>
      </w:r>
      <w:r w:rsidRPr="00613EF5">
        <w:rPr>
          <w:rFonts w:cs="Arial"/>
          <w:b/>
        </w:rPr>
        <w:t>:</w:t>
      </w:r>
      <w:r w:rsidRPr="00613EF5">
        <w:rPr>
          <w:rFonts w:cs="Arial"/>
          <w:b/>
        </w:rPr>
        <w:tab/>
        <w:t xml:space="preserve">Adv </w:t>
      </w:r>
      <w:r w:rsidR="007E2FEA">
        <w:rPr>
          <w:rFonts w:cs="Arial"/>
          <w:b/>
        </w:rPr>
        <w:t>K Pillay SC, Adv M Ad</w:t>
      </w:r>
      <w:r w:rsidR="007F20D7">
        <w:rPr>
          <w:rFonts w:cs="Arial"/>
          <w:b/>
        </w:rPr>
        <w:t>h</w:t>
      </w:r>
      <w:r w:rsidR="00A53DE7">
        <w:rPr>
          <w:rFonts w:cs="Arial"/>
          <w:b/>
        </w:rPr>
        <w:t>ikari</w:t>
      </w:r>
      <w:r w:rsidR="007F20D7">
        <w:rPr>
          <w:rFonts w:cs="Arial"/>
          <w:b/>
        </w:rPr>
        <w:t xml:space="preserve">, Adv </w:t>
      </w:r>
      <w:r w:rsidR="008328E0">
        <w:rPr>
          <w:rFonts w:cs="Arial"/>
          <w:b/>
        </w:rPr>
        <w:t>M Ebrahim</w:t>
      </w:r>
    </w:p>
    <w:p w14:paraId="40062FE3" w14:textId="7A6D0993" w:rsidR="008654D1" w:rsidRDefault="008654D1" w:rsidP="008654D1">
      <w:pPr>
        <w:spacing w:after="80" w:line="240" w:lineRule="auto"/>
        <w:rPr>
          <w:rFonts w:cs="Arial"/>
          <w:i/>
        </w:rPr>
      </w:pPr>
      <w:r w:rsidRPr="00613EF5">
        <w:rPr>
          <w:rFonts w:cs="Arial"/>
          <w:i/>
        </w:rPr>
        <w:t>Attorneys for Applicant</w:t>
      </w:r>
      <w:r>
        <w:rPr>
          <w:rFonts w:cs="Arial"/>
          <w:i/>
        </w:rPr>
        <w:t>:</w:t>
      </w:r>
      <w:r w:rsidRPr="00613EF5">
        <w:rPr>
          <w:rFonts w:cs="Arial"/>
          <w:i/>
        </w:rPr>
        <w:t xml:space="preserve"> </w:t>
      </w:r>
      <w:r w:rsidRPr="00613EF5">
        <w:rPr>
          <w:rFonts w:cs="Arial"/>
          <w:i/>
        </w:rPr>
        <w:tab/>
      </w:r>
      <w:r w:rsidRPr="00613EF5">
        <w:rPr>
          <w:rFonts w:cs="Arial"/>
          <w:i/>
        </w:rPr>
        <w:tab/>
      </w:r>
      <w:r w:rsidRPr="00613EF5">
        <w:rPr>
          <w:rFonts w:cs="Arial"/>
          <w:i/>
        </w:rPr>
        <w:tab/>
      </w:r>
      <w:r w:rsidR="008328E0">
        <w:rPr>
          <w:rFonts w:cs="Arial"/>
          <w:i/>
        </w:rPr>
        <w:t>Fairbridges Wertheim Becker</w:t>
      </w:r>
    </w:p>
    <w:p w14:paraId="4867FB32" w14:textId="77777777" w:rsidR="008654D1" w:rsidRDefault="008654D1" w:rsidP="008654D1">
      <w:pPr>
        <w:spacing w:after="80" w:line="240" w:lineRule="auto"/>
        <w:rPr>
          <w:rFonts w:cs="Arial"/>
          <w:i/>
        </w:rPr>
      </w:pPr>
      <w:r w:rsidRPr="00613EF5">
        <w:rPr>
          <w:rFonts w:cs="Arial"/>
          <w:i/>
        </w:rPr>
        <w:tab/>
      </w:r>
      <w:r w:rsidRPr="00613EF5">
        <w:rPr>
          <w:rFonts w:cs="Arial"/>
          <w:i/>
        </w:rPr>
        <w:tab/>
      </w:r>
      <w:r w:rsidRPr="00613EF5">
        <w:rPr>
          <w:rFonts w:cs="Arial"/>
          <w:i/>
        </w:rPr>
        <w:tab/>
      </w:r>
    </w:p>
    <w:p w14:paraId="2183999B" w14:textId="77777777" w:rsidR="009D56EE" w:rsidRPr="00613EF5" w:rsidRDefault="009D56EE" w:rsidP="008654D1">
      <w:pPr>
        <w:spacing w:after="80" w:line="240" w:lineRule="auto"/>
        <w:rPr>
          <w:rFonts w:cs="Arial"/>
          <w:i/>
        </w:rPr>
      </w:pPr>
    </w:p>
    <w:p w14:paraId="581C7DF0" w14:textId="7754AF59" w:rsidR="008654D1" w:rsidRPr="00613EF5" w:rsidRDefault="008654D1" w:rsidP="008654D1">
      <w:pPr>
        <w:spacing w:after="80" w:line="240" w:lineRule="auto"/>
        <w:ind w:left="4320" w:hanging="4320"/>
        <w:rPr>
          <w:rFonts w:cs="Arial"/>
          <w:b/>
        </w:rPr>
      </w:pPr>
      <w:r w:rsidRPr="00613EF5">
        <w:rPr>
          <w:rFonts w:cs="Arial"/>
          <w:b/>
        </w:rPr>
        <w:t xml:space="preserve">Counsel for </w:t>
      </w:r>
      <w:r>
        <w:rPr>
          <w:rFonts w:cs="Arial"/>
          <w:b/>
        </w:rPr>
        <w:t>Respondent</w:t>
      </w:r>
      <w:r w:rsidR="007E2FEA">
        <w:rPr>
          <w:rFonts w:cs="Arial"/>
          <w:b/>
        </w:rPr>
        <w:t>s</w:t>
      </w:r>
      <w:r w:rsidRPr="00613EF5">
        <w:rPr>
          <w:rFonts w:cs="Arial"/>
          <w:b/>
        </w:rPr>
        <w:t>:</w:t>
      </w:r>
      <w:r w:rsidRPr="00613EF5">
        <w:rPr>
          <w:rFonts w:cs="Arial"/>
          <w:b/>
        </w:rPr>
        <w:tab/>
        <w:t xml:space="preserve">Adv </w:t>
      </w:r>
      <w:r w:rsidR="007E2FEA">
        <w:rPr>
          <w:rFonts w:cs="Arial"/>
          <w:b/>
        </w:rPr>
        <w:t>J Brickhill, Adv N Simmons</w:t>
      </w:r>
    </w:p>
    <w:p w14:paraId="774CF722" w14:textId="02A2B503" w:rsidR="008654D1" w:rsidRPr="00E136DE" w:rsidRDefault="008654D1" w:rsidP="009D56EE">
      <w:pPr>
        <w:spacing w:after="0" w:line="240" w:lineRule="auto"/>
        <w:ind w:left="4320" w:hanging="4320"/>
      </w:pPr>
      <w:r w:rsidRPr="00613EF5">
        <w:rPr>
          <w:rFonts w:cs="Arial"/>
          <w:i/>
        </w:rPr>
        <w:t xml:space="preserve">Attorneys for </w:t>
      </w:r>
      <w:r w:rsidR="009D56EE">
        <w:rPr>
          <w:rFonts w:cs="Arial"/>
          <w:i/>
        </w:rPr>
        <w:t>Respondents</w:t>
      </w:r>
      <w:r>
        <w:rPr>
          <w:rFonts w:cs="Arial"/>
          <w:i/>
        </w:rPr>
        <w:t>:</w:t>
      </w:r>
      <w:r w:rsidRPr="00613EF5">
        <w:rPr>
          <w:rFonts w:cs="Arial"/>
          <w:i/>
        </w:rPr>
        <w:tab/>
      </w:r>
      <w:r w:rsidR="007E2FEA">
        <w:rPr>
          <w:rFonts w:cs="Arial"/>
          <w:i/>
        </w:rPr>
        <w:t>Socio-Economic Rights Institute of South Africa</w:t>
      </w:r>
    </w:p>
    <w:sectPr w:rsidR="008654D1" w:rsidRPr="00E136D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E3FB0" w14:textId="77777777" w:rsidR="00483F16" w:rsidRDefault="00483F16" w:rsidP="00BF2152">
      <w:pPr>
        <w:spacing w:after="0" w:line="240" w:lineRule="auto"/>
      </w:pPr>
      <w:r>
        <w:separator/>
      </w:r>
    </w:p>
  </w:endnote>
  <w:endnote w:type="continuationSeparator" w:id="0">
    <w:p w14:paraId="7AB31C94" w14:textId="77777777" w:rsidR="00483F16" w:rsidRDefault="00483F16" w:rsidP="00BF2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A7F44" w14:textId="77777777" w:rsidR="00483F16" w:rsidRDefault="00483F16" w:rsidP="00BF2152">
      <w:pPr>
        <w:spacing w:after="0" w:line="240" w:lineRule="auto"/>
      </w:pPr>
      <w:r>
        <w:separator/>
      </w:r>
    </w:p>
  </w:footnote>
  <w:footnote w:type="continuationSeparator" w:id="0">
    <w:p w14:paraId="185A4690" w14:textId="77777777" w:rsidR="00483F16" w:rsidRDefault="00483F16" w:rsidP="00BF2152">
      <w:pPr>
        <w:spacing w:after="0" w:line="240" w:lineRule="auto"/>
      </w:pPr>
      <w:r>
        <w:continuationSeparator/>
      </w:r>
    </w:p>
  </w:footnote>
  <w:footnote w:id="1">
    <w:p w14:paraId="4465AADD" w14:textId="387FCE8E" w:rsidR="008719D3" w:rsidRDefault="008719D3">
      <w:pPr>
        <w:pStyle w:val="FootnoteText"/>
      </w:pPr>
      <w:r>
        <w:rPr>
          <w:rStyle w:val="FootnoteReference"/>
        </w:rPr>
        <w:footnoteRef/>
      </w:r>
      <w:r>
        <w:t xml:space="preserve"> </w:t>
      </w:r>
      <w:r w:rsidRPr="008719D3">
        <w:rPr>
          <w:i/>
          <w:iCs/>
        </w:rPr>
        <w:t>Soobramoney v Minister of Health (Kwazulu-Natal)</w:t>
      </w:r>
      <w:r w:rsidRPr="008719D3">
        <w:t xml:space="preserve"> [1997] ZACC 17; 1998 (1) SA 765 (CC); 1997 (12) BCLR 1696 (</w:t>
      </w:r>
      <w:r>
        <w:t>CC) at para 8.</w:t>
      </w:r>
    </w:p>
  </w:footnote>
  <w:footnote w:id="2">
    <w:p w14:paraId="709E64DA" w14:textId="4804F658" w:rsidR="008719D3" w:rsidRDefault="008719D3">
      <w:pPr>
        <w:pStyle w:val="FootnoteText"/>
      </w:pPr>
      <w:r>
        <w:rPr>
          <w:rStyle w:val="FootnoteReference"/>
        </w:rPr>
        <w:footnoteRef/>
      </w:r>
      <w:r>
        <w:t xml:space="preserve"> Ibid.</w:t>
      </w:r>
    </w:p>
  </w:footnote>
  <w:footnote w:id="3">
    <w:p w14:paraId="6FBCC6BE" w14:textId="0FE4BB0C" w:rsidR="00163CDF" w:rsidRPr="00163CDF" w:rsidRDefault="00163CDF">
      <w:pPr>
        <w:pStyle w:val="FootnoteText"/>
      </w:pPr>
      <w:r>
        <w:rPr>
          <w:rStyle w:val="FootnoteReference"/>
        </w:rPr>
        <w:footnoteRef/>
      </w:r>
      <w:r>
        <w:t xml:space="preserve"> </w:t>
      </w:r>
      <w:r w:rsidR="005E05B1" w:rsidRPr="005E05B1">
        <w:rPr>
          <w:i/>
          <w:iCs/>
        </w:rPr>
        <w:t>City of Cape Town v Commando and Others</w:t>
      </w:r>
      <w:r w:rsidR="005E05B1" w:rsidRPr="005E05B1">
        <w:t xml:space="preserve"> [2023] ZASCA 7; [2023] 2 All SA 23 (SCA); 2023 (4) SA 465 (SCA)</w:t>
      </w:r>
      <w:r>
        <w:rPr>
          <w:i/>
          <w:iCs/>
        </w:rPr>
        <w:t xml:space="preserve"> </w:t>
      </w:r>
      <w:r>
        <w:t>at para 5.</w:t>
      </w:r>
    </w:p>
  </w:footnote>
  <w:footnote w:id="4">
    <w:p w14:paraId="05EFA4F3" w14:textId="0ABE84E5" w:rsidR="00324821" w:rsidRDefault="00324821">
      <w:pPr>
        <w:pStyle w:val="FootnoteText"/>
      </w:pPr>
      <w:r>
        <w:rPr>
          <w:rStyle w:val="FootnoteReference"/>
        </w:rPr>
        <w:footnoteRef/>
      </w:r>
      <w:r>
        <w:t xml:space="preserve"> </w:t>
      </w:r>
      <w:r w:rsidRPr="00324821">
        <w:rPr>
          <w:i/>
          <w:iCs/>
        </w:rPr>
        <w:t>Government of the Republic of South Africa and Others v Grootboom and Others</w:t>
      </w:r>
      <w:r w:rsidRPr="00324821">
        <w:t xml:space="preserve"> [2000] ZACC 19; 2001 (1) SA 46; 2000 (11) BCLR 1169 (</w:t>
      </w:r>
      <w:r>
        <w:t>CC) at para 44.</w:t>
      </w:r>
    </w:p>
  </w:footnote>
  <w:footnote w:id="5">
    <w:p w14:paraId="72B4B6FA" w14:textId="01CE167C" w:rsidR="00464144" w:rsidRPr="00464144" w:rsidRDefault="00464144">
      <w:pPr>
        <w:pStyle w:val="FootnoteText"/>
      </w:pPr>
      <w:r>
        <w:rPr>
          <w:rStyle w:val="FootnoteReference"/>
        </w:rPr>
        <w:footnoteRef/>
      </w:r>
      <w:r>
        <w:t xml:space="preserve"> Queen </w:t>
      </w:r>
      <w:r>
        <w:rPr>
          <w:i/>
          <w:iCs/>
        </w:rPr>
        <w:t xml:space="preserve">Under Pressure </w:t>
      </w:r>
      <w:r>
        <w:t>(</w:t>
      </w:r>
      <w:r w:rsidR="00D56BC3">
        <w:t>1981).</w:t>
      </w:r>
    </w:p>
  </w:footnote>
  <w:footnote w:id="6">
    <w:p w14:paraId="71E82106" w14:textId="4B7E7BAD" w:rsidR="00B53EA4" w:rsidRDefault="00B53EA4">
      <w:pPr>
        <w:pStyle w:val="FootnoteText"/>
      </w:pPr>
      <w:r>
        <w:rPr>
          <w:rStyle w:val="FootnoteReference"/>
        </w:rPr>
        <w:footnoteRef/>
      </w:r>
      <w:r>
        <w:t xml:space="preserve"> </w:t>
      </w:r>
      <w:r w:rsidR="00C73FE0">
        <w:t xml:space="preserve">See </w:t>
      </w:r>
      <w:r w:rsidR="00C73FE0" w:rsidRPr="008F63A4">
        <w:rPr>
          <w:i/>
          <w:iCs/>
        </w:rPr>
        <w:t>New Nation Movement NPC and Others v President of the Republic of South Africa and Others</w:t>
      </w:r>
      <w:r w:rsidR="00C73FE0" w:rsidRPr="00C73FE0">
        <w:t xml:space="preserve"> [2020] ZACC 11; 2020 (8) BCLR 950 (CC); 2020 (6) SA 257 (CC) </w:t>
      </w:r>
      <w:r w:rsidR="00C73FE0">
        <w:t>at para 25, fn 31: “</w:t>
      </w:r>
      <w:r w:rsidRPr="00B53EA4">
        <w:t xml:space="preserve">IsiXhosa for: </w:t>
      </w:r>
      <w:r w:rsidR="00C73FE0">
        <w:t>‘</w:t>
      </w:r>
      <w:r w:rsidRPr="00B53EA4">
        <w:t>One becomes a fulfilled human being because of others.</w:t>
      </w:r>
      <w:r w:rsidR="00C73FE0">
        <w:t>’</w:t>
      </w:r>
      <w:r w:rsidRPr="00B53EA4">
        <w:t xml:space="preserve"> Literally, </w:t>
      </w:r>
      <w:r w:rsidR="00C73FE0">
        <w:t>‘</w:t>
      </w:r>
      <w:r w:rsidRPr="00B53EA4">
        <w:t>A person is a person because of other people.</w:t>
      </w:r>
      <w:r w:rsidR="00C73FE0">
        <w:t>’”</w:t>
      </w:r>
    </w:p>
  </w:footnote>
  <w:footnote w:id="7">
    <w:p w14:paraId="7F6E8045" w14:textId="793AC50E" w:rsidR="00FB4210" w:rsidRPr="00FB4210" w:rsidRDefault="00FB4210">
      <w:pPr>
        <w:pStyle w:val="FootnoteText"/>
      </w:pPr>
      <w:r>
        <w:rPr>
          <w:rStyle w:val="FootnoteReference"/>
        </w:rPr>
        <w:footnoteRef/>
      </w:r>
      <w:r>
        <w:t xml:space="preserve"> </w:t>
      </w:r>
      <w:r w:rsidR="005E05B1" w:rsidRPr="005E05B1">
        <w:rPr>
          <w:i/>
          <w:iCs/>
        </w:rPr>
        <w:t xml:space="preserve">Olga Tellis v. Bombay Municipal Corporation </w:t>
      </w:r>
      <w:r w:rsidR="005E05B1" w:rsidRPr="005E05B1">
        <w:t>1986 AIR 180, 1985 SCR Supl. (2) 51</w:t>
      </w:r>
      <w:r w:rsidR="005E05B1">
        <w:t>.</w:t>
      </w:r>
    </w:p>
  </w:footnote>
  <w:footnote w:id="8">
    <w:p w14:paraId="1936874A" w14:textId="77777777" w:rsidR="00D472BD" w:rsidRDefault="00D472BD" w:rsidP="00D472BD">
      <w:pPr>
        <w:pStyle w:val="FootnoteText"/>
      </w:pPr>
      <w:r>
        <w:rPr>
          <w:rStyle w:val="FootnoteReference"/>
        </w:rPr>
        <w:footnoteRef/>
      </w:r>
      <w:r>
        <w:t xml:space="preserve"> </w:t>
      </w:r>
      <w:r w:rsidRPr="00C64B98">
        <w:t>Some of the Occupiers claim they have been occupying the properties for longer than this, but nothing turns on the dispute.</w:t>
      </w:r>
    </w:p>
  </w:footnote>
  <w:footnote w:id="9">
    <w:p w14:paraId="0A00C67C" w14:textId="2B703531" w:rsidR="00B376DC" w:rsidRPr="00B376DC" w:rsidRDefault="00B376DC">
      <w:pPr>
        <w:pStyle w:val="FootnoteText"/>
      </w:pPr>
      <w:r>
        <w:rPr>
          <w:rStyle w:val="FootnoteReference"/>
        </w:rPr>
        <w:footnoteRef/>
      </w:r>
      <w:r w:rsidR="00811434">
        <w:t xml:space="preserve"> </w:t>
      </w:r>
      <w:r w:rsidR="00811434" w:rsidRPr="00811434">
        <w:rPr>
          <w:i/>
          <w:iCs/>
        </w:rPr>
        <w:t xml:space="preserve">Port Elizabeth Municipality v Various Occupiers </w:t>
      </w:r>
      <w:r w:rsidR="00811434" w:rsidRPr="00811434">
        <w:t>[2004] ZACC 7; 2005 (1) SA 217 (CC); 2004 (12) BCLR 1268 (CC)</w:t>
      </w:r>
      <w:r>
        <w:rPr>
          <w:i/>
          <w:iCs/>
        </w:rPr>
        <w:t xml:space="preserve"> </w:t>
      </w:r>
      <w:r>
        <w:t>at para 32.</w:t>
      </w:r>
    </w:p>
  </w:footnote>
  <w:footnote w:id="10">
    <w:p w14:paraId="1AE75A09" w14:textId="52255582" w:rsidR="00B376DC" w:rsidRPr="00B376DC" w:rsidRDefault="00B376DC">
      <w:pPr>
        <w:pStyle w:val="FootnoteText"/>
      </w:pPr>
      <w:r>
        <w:rPr>
          <w:rStyle w:val="FootnoteReference"/>
        </w:rPr>
        <w:footnoteRef/>
      </w:r>
      <w:r>
        <w:t xml:space="preserve"> </w:t>
      </w:r>
      <w:r w:rsidR="00811434">
        <w:t>Ibid</w:t>
      </w:r>
      <w:r>
        <w:rPr>
          <w:i/>
          <w:iCs/>
        </w:rPr>
        <w:t xml:space="preserve"> </w:t>
      </w:r>
      <w:r>
        <w:t>at para 36.</w:t>
      </w:r>
    </w:p>
  </w:footnote>
  <w:footnote w:id="11">
    <w:p w14:paraId="3E389A13" w14:textId="719B1353" w:rsidR="009D2EAD" w:rsidRPr="009D2EAD" w:rsidRDefault="009D2EAD">
      <w:pPr>
        <w:pStyle w:val="FootnoteText"/>
      </w:pPr>
      <w:r>
        <w:rPr>
          <w:rStyle w:val="FootnoteReference"/>
        </w:rPr>
        <w:footnoteRef/>
      </w:r>
      <w:r>
        <w:t xml:space="preserve"> </w:t>
      </w:r>
      <w:r w:rsidR="009530C8" w:rsidRPr="009530C8">
        <w:rPr>
          <w:i/>
          <w:iCs/>
        </w:rPr>
        <w:t>City of Johannesburg v Changing Tides 74 (Pty) Ltd and Others</w:t>
      </w:r>
      <w:r w:rsidR="009530C8" w:rsidRPr="009530C8">
        <w:t xml:space="preserve"> [2012] ZASCA 116; 2012 (6) SA 294 (SCA); 2012 (11) BCLR 1206 (SCA); [2013] 1 All SA 8 (SCA)</w:t>
      </w:r>
      <w:r>
        <w:rPr>
          <w:i/>
          <w:iCs/>
        </w:rPr>
        <w:t xml:space="preserve"> </w:t>
      </w:r>
      <w:r>
        <w:t>at para 27.</w:t>
      </w:r>
    </w:p>
  </w:footnote>
  <w:footnote w:id="12">
    <w:p w14:paraId="7929F0C9" w14:textId="3071ED60" w:rsidR="00BD7A72" w:rsidRDefault="00BD7A72">
      <w:pPr>
        <w:pStyle w:val="FootnoteText"/>
      </w:pPr>
      <w:r>
        <w:rPr>
          <w:rStyle w:val="FootnoteReference"/>
        </w:rPr>
        <w:footnoteRef/>
      </w:r>
      <w:r>
        <w:t xml:space="preserve"> </w:t>
      </w:r>
      <w:r w:rsidR="00305F10" w:rsidRPr="00305F10">
        <w:rPr>
          <w:i/>
          <w:iCs/>
        </w:rPr>
        <w:t>Fischer and Another v Ramahlele and Others</w:t>
      </w:r>
      <w:r w:rsidR="00305F10" w:rsidRPr="00305F10">
        <w:t xml:space="preserve"> [2014] ZASCA 88; 2014 (4) SA 614 (SCA); [2014] 3 All SA 395 (SCA)</w:t>
      </w:r>
      <w:r w:rsidR="00FC3276">
        <w:t xml:space="preserve"> at para 13.</w:t>
      </w:r>
    </w:p>
  </w:footnote>
  <w:footnote w:id="13">
    <w:p w14:paraId="1330ADF2" w14:textId="0C213F6A" w:rsidR="005F5386" w:rsidRDefault="005F5386">
      <w:pPr>
        <w:pStyle w:val="FootnoteText"/>
      </w:pPr>
      <w:r>
        <w:rPr>
          <w:rStyle w:val="FootnoteReference"/>
        </w:rPr>
        <w:footnoteRef/>
      </w:r>
      <w:r>
        <w:t xml:space="preserve"> </w:t>
      </w:r>
      <w:r w:rsidR="00933A1E" w:rsidRPr="00933A1E">
        <w:rPr>
          <w:i/>
          <w:iCs/>
        </w:rPr>
        <w:t>Port Elizabeth Municipality v Various Occupiers</w:t>
      </w:r>
      <w:r w:rsidR="00933A1E" w:rsidRPr="00933A1E">
        <w:t xml:space="preserve"> [2004] ZACC 7; 2005 (1) SA 217 (CC); 2004 (12) BCLR 1268 (CC)</w:t>
      </w:r>
      <w:r w:rsidR="00933A1E">
        <w:t xml:space="preserve"> at para 11.</w:t>
      </w:r>
    </w:p>
  </w:footnote>
  <w:footnote w:id="14">
    <w:p w14:paraId="4EE45A4E" w14:textId="15F3C06D" w:rsidR="00D55477" w:rsidRDefault="00D55477">
      <w:pPr>
        <w:pStyle w:val="FootnoteText"/>
      </w:pPr>
      <w:r>
        <w:rPr>
          <w:rStyle w:val="FootnoteReference"/>
        </w:rPr>
        <w:footnoteRef/>
      </w:r>
      <w:r>
        <w:t xml:space="preserve"> PIE s 6(6).</w:t>
      </w:r>
    </w:p>
  </w:footnote>
  <w:footnote w:id="15">
    <w:p w14:paraId="3AFA3832" w14:textId="1C24B482" w:rsidR="00205265" w:rsidRDefault="00205265">
      <w:pPr>
        <w:pStyle w:val="FootnoteText"/>
      </w:pPr>
      <w:r>
        <w:rPr>
          <w:rStyle w:val="FootnoteReference"/>
        </w:rPr>
        <w:footnoteRef/>
      </w:r>
      <w:r>
        <w:t xml:space="preserve"> PIE s 6(1).</w:t>
      </w:r>
    </w:p>
  </w:footnote>
  <w:footnote w:id="16">
    <w:p w14:paraId="3E9204D3" w14:textId="6C1E5A49" w:rsidR="00205265" w:rsidRDefault="00205265">
      <w:pPr>
        <w:pStyle w:val="FootnoteText"/>
      </w:pPr>
      <w:r>
        <w:rPr>
          <w:rStyle w:val="FootnoteReference"/>
        </w:rPr>
        <w:footnoteRef/>
      </w:r>
      <w:r>
        <w:t xml:space="preserve"> PIE s 6(2).</w:t>
      </w:r>
    </w:p>
  </w:footnote>
  <w:footnote w:id="17">
    <w:p w14:paraId="436D8E23" w14:textId="77777777" w:rsidR="00A6223D" w:rsidRDefault="00A6223D" w:rsidP="00A6223D">
      <w:pPr>
        <w:pStyle w:val="FootnoteText"/>
      </w:pPr>
      <w:r>
        <w:rPr>
          <w:rStyle w:val="FootnoteReference"/>
        </w:rPr>
        <w:footnoteRef/>
      </w:r>
      <w:r>
        <w:t xml:space="preserve"> </w:t>
      </w:r>
      <w:r w:rsidRPr="00E047A5">
        <w:rPr>
          <w:i/>
          <w:iCs/>
        </w:rPr>
        <w:t>Occupiers of 51 Olivia Road, Berea Township and 197 Main Street Johannesburg v City of Johannesburg and Others</w:t>
      </w:r>
      <w:r w:rsidRPr="00E047A5">
        <w:t xml:space="preserve"> [2008] ZACC 1; 2008 (3) SA 208 (CC) ; 2008 (5) BCLR 475 (CC)</w:t>
      </w:r>
      <w:r>
        <w:t xml:space="preserve"> at paras 9-22.</w:t>
      </w:r>
    </w:p>
  </w:footnote>
  <w:footnote w:id="18">
    <w:p w14:paraId="5CF2A2DD" w14:textId="77777777" w:rsidR="00A6223D" w:rsidRDefault="00A6223D" w:rsidP="00A6223D">
      <w:pPr>
        <w:pStyle w:val="FootnoteText"/>
      </w:pPr>
      <w:r>
        <w:rPr>
          <w:rStyle w:val="FootnoteReference"/>
        </w:rPr>
        <w:footnoteRef/>
      </w:r>
      <w:r>
        <w:t xml:space="preserve"> Ibid at para 15.</w:t>
      </w:r>
    </w:p>
  </w:footnote>
  <w:footnote w:id="19">
    <w:p w14:paraId="30693D20" w14:textId="000CA3F1" w:rsidR="006D2D17" w:rsidRPr="006D2D17" w:rsidRDefault="006D2D17">
      <w:pPr>
        <w:pStyle w:val="FootnoteText"/>
      </w:pPr>
      <w:r>
        <w:rPr>
          <w:rStyle w:val="FootnoteReference"/>
        </w:rPr>
        <w:footnoteRef/>
      </w:r>
      <w:r>
        <w:t xml:space="preserve"> </w:t>
      </w:r>
      <w:r>
        <w:rPr>
          <w:i/>
          <w:iCs/>
        </w:rPr>
        <w:t xml:space="preserve">Changing Tides </w:t>
      </w:r>
      <w:r w:rsidR="00396AF2">
        <w:t xml:space="preserve">(n </w:t>
      </w:r>
      <w:r w:rsidR="00396AF2">
        <w:fldChar w:fldCharType="begin"/>
      </w:r>
      <w:r w:rsidR="00396AF2">
        <w:instrText xml:space="preserve"> NOTEREF _Ref169459971 \h </w:instrText>
      </w:r>
      <w:r w:rsidR="00396AF2">
        <w:fldChar w:fldCharType="separate"/>
      </w:r>
      <w:r w:rsidR="00CB298F">
        <w:t>11</w:t>
      </w:r>
      <w:r w:rsidR="00396AF2">
        <w:fldChar w:fldCharType="end"/>
      </w:r>
      <w:r w:rsidR="00396AF2">
        <w:t xml:space="preserve">) </w:t>
      </w:r>
      <w:r>
        <w:t>at para 15.</w:t>
      </w:r>
    </w:p>
  </w:footnote>
  <w:footnote w:id="20">
    <w:p w14:paraId="3987F5AA" w14:textId="3BD98ABD" w:rsidR="000210D7" w:rsidRDefault="000210D7">
      <w:pPr>
        <w:pStyle w:val="FootnoteText"/>
      </w:pPr>
      <w:r>
        <w:rPr>
          <w:rStyle w:val="FootnoteReference"/>
        </w:rPr>
        <w:footnoteRef/>
      </w:r>
      <w:r>
        <w:t xml:space="preserve"> This case is distinguishable from </w:t>
      </w:r>
      <w:r w:rsidR="00D046D3" w:rsidRPr="00D046D3">
        <w:rPr>
          <w:i/>
          <w:iCs/>
        </w:rPr>
        <w:t>Ngomane and Others v City of Johannesburg Metropolitan Municipality and Another</w:t>
      </w:r>
      <w:r w:rsidR="00D046D3" w:rsidRPr="00D046D3">
        <w:t xml:space="preserve"> [2019] ZASCA 57; [2019] 3 All SA 69 (SCA); 2020 (1) SA 52 (SCA)</w:t>
      </w:r>
      <w:r w:rsidR="00D046D3">
        <w:t xml:space="preserve"> where the SCA held there was no eviction because</w:t>
      </w:r>
      <w:r w:rsidR="00F477E4">
        <w:t>, while people were removed from land they were occupying, there were no structures on the land, just loose wooden pallets, cardboard boxes and plastic. While the Occupiers here used many of the same materials, they had constructed structures.</w:t>
      </w:r>
    </w:p>
  </w:footnote>
  <w:footnote w:id="21">
    <w:p w14:paraId="708D47C5" w14:textId="362F84ED" w:rsidR="00AF0967" w:rsidRDefault="00AF0967">
      <w:pPr>
        <w:pStyle w:val="FootnoteText"/>
      </w:pPr>
      <w:r>
        <w:rPr>
          <w:rStyle w:val="FootnoteReference"/>
        </w:rPr>
        <w:footnoteRef/>
      </w:r>
      <w:r>
        <w:t xml:space="preserve"> </w:t>
      </w:r>
      <w:r w:rsidR="00646B0B" w:rsidRPr="00646B0B">
        <w:rPr>
          <w:i/>
          <w:iCs/>
        </w:rPr>
        <w:t>Olivia Road</w:t>
      </w:r>
      <w:r w:rsidR="00666883">
        <w:rPr>
          <w:i/>
          <w:iCs/>
        </w:rPr>
        <w:t xml:space="preserve"> </w:t>
      </w:r>
      <w:r w:rsidR="00666883">
        <w:t xml:space="preserve">(n </w:t>
      </w:r>
      <w:r w:rsidR="00666883" w:rsidRPr="00666883">
        <w:fldChar w:fldCharType="begin"/>
      </w:r>
      <w:r w:rsidR="00666883" w:rsidRPr="00666883">
        <w:instrText xml:space="preserve"> NOTEREF _Ref169460160 \h </w:instrText>
      </w:r>
      <w:r w:rsidR="00666883">
        <w:instrText xml:space="preserve"> \* MERGEFORMAT </w:instrText>
      </w:r>
      <w:r w:rsidR="00666883" w:rsidRPr="00666883">
        <w:fldChar w:fldCharType="separate"/>
      </w:r>
      <w:r w:rsidR="00CB298F">
        <w:t>17</w:t>
      </w:r>
      <w:r w:rsidR="00666883" w:rsidRPr="00666883">
        <w:fldChar w:fldCharType="end"/>
      </w:r>
      <w:r w:rsidR="00666883">
        <w:t>)</w:t>
      </w:r>
      <w:r w:rsidR="00646B0B">
        <w:t>.</w:t>
      </w:r>
    </w:p>
  </w:footnote>
  <w:footnote w:id="22">
    <w:p w14:paraId="733FB68A" w14:textId="570DCA41" w:rsidR="006C6EA1" w:rsidRPr="006C6EA1" w:rsidRDefault="006C6EA1">
      <w:pPr>
        <w:pStyle w:val="FootnoteText"/>
      </w:pPr>
      <w:r>
        <w:rPr>
          <w:rStyle w:val="FootnoteReference"/>
        </w:rPr>
        <w:footnoteRef/>
      </w:r>
      <w:r>
        <w:t xml:space="preserve"> </w:t>
      </w:r>
      <w:r w:rsidR="00350458">
        <w:t xml:space="preserve">Ibid </w:t>
      </w:r>
      <w:r>
        <w:t xml:space="preserve">at para </w:t>
      </w:r>
      <w:r w:rsidR="00DF6859">
        <w:t>18.</w:t>
      </w:r>
    </w:p>
  </w:footnote>
  <w:footnote w:id="23">
    <w:p w14:paraId="73377287" w14:textId="56EE90B6" w:rsidR="003220A3" w:rsidRDefault="003220A3">
      <w:pPr>
        <w:pStyle w:val="FootnoteText"/>
      </w:pPr>
      <w:r>
        <w:rPr>
          <w:rStyle w:val="FootnoteReference"/>
        </w:rPr>
        <w:footnoteRef/>
      </w:r>
      <w:r>
        <w:t xml:space="preserve"> Ibid.</w:t>
      </w:r>
    </w:p>
  </w:footnote>
  <w:footnote w:id="24">
    <w:p w14:paraId="580549A7" w14:textId="3A4BF5E8" w:rsidR="00D17502" w:rsidRPr="00D17502" w:rsidRDefault="00D17502">
      <w:pPr>
        <w:pStyle w:val="FootnoteText"/>
      </w:pPr>
      <w:r>
        <w:rPr>
          <w:rStyle w:val="FootnoteReference"/>
        </w:rPr>
        <w:footnoteRef/>
      </w:r>
      <w:r>
        <w:t xml:space="preserve"> </w:t>
      </w:r>
      <w:r w:rsidR="00350458">
        <w:t xml:space="preserve">Ibid </w:t>
      </w:r>
      <w:r>
        <w:t xml:space="preserve">at para </w:t>
      </w:r>
      <w:r w:rsidR="00A14271">
        <w:t>21.</w:t>
      </w:r>
    </w:p>
  </w:footnote>
  <w:footnote w:id="25">
    <w:p w14:paraId="5A68DDB3" w14:textId="0D193749" w:rsidR="00534886" w:rsidRPr="00534886" w:rsidRDefault="00534886">
      <w:pPr>
        <w:pStyle w:val="FootnoteText"/>
      </w:pPr>
      <w:r>
        <w:rPr>
          <w:rStyle w:val="FootnoteReference"/>
        </w:rPr>
        <w:footnoteRef/>
      </w:r>
      <w:r>
        <w:t xml:space="preserve"> </w:t>
      </w:r>
      <w:r w:rsidR="000030DB" w:rsidRPr="000030DB">
        <w:rPr>
          <w:i/>
          <w:iCs/>
        </w:rPr>
        <w:t xml:space="preserve">Residents of Joe Slovo Community, Western Cape v Thubelisha Homes and Others </w:t>
      </w:r>
      <w:r w:rsidR="000030DB" w:rsidRPr="000030DB">
        <w:t xml:space="preserve">[2009] ZACC 16; 2009 (9) BCLR 847 (CC); 2010 (3) SA 454 (CC) </w:t>
      </w:r>
      <w:r>
        <w:t xml:space="preserve">at para </w:t>
      </w:r>
      <w:r w:rsidR="00C61E5B">
        <w:t>243 (</w:t>
      </w:r>
      <w:r w:rsidR="00D51158">
        <w:t>Moseneke DCJ and Sachs J concurring)</w:t>
      </w:r>
      <w:r w:rsidR="00C61E5B">
        <w:t>.</w:t>
      </w:r>
    </w:p>
  </w:footnote>
  <w:footnote w:id="26">
    <w:p w14:paraId="2C2AF821" w14:textId="593788C6" w:rsidR="00F83CAC" w:rsidRDefault="00F83CAC">
      <w:pPr>
        <w:pStyle w:val="FootnoteText"/>
      </w:pPr>
      <w:r>
        <w:rPr>
          <w:rStyle w:val="FootnoteReference"/>
        </w:rPr>
        <w:footnoteRef/>
      </w:r>
      <w:r>
        <w:t xml:space="preserve"> Ibid.</w:t>
      </w:r>
    </w:p>
  </w:footnote>
  <w:footnote w:id="27">
    <w:p w14:paraId="28029C30" w14:textId="5F9D0A28" w:rsidR="005C4B3D" w:rsidRPr="007138E6" w:rsidRDefault="005C4B3D">
      <w:pPr>
        <w:pStyle w:val="FootnoteText"/>
      </w:pPr>
      <w:r>
        <w:rPr>
          <w:rStyle w:val="FootnoteReference"/>
        </w:rPr>
        <w:footnoteRef/>
      </w:r>
      <w:r>
        <w:t xml:space="preserve"> </w:t>
      </w:r>
      <w:r w:rsidR="004540B1">
        <w:t>Ibid</w:t>
      </w:r>
      <w:r w:rsidR="007138E6">
        <w:rPr>
          <w:i/>
          <w:iCs/>
        </w:rPr>
        <w:t xml:space="preserve"> </w:t>
      </w:r>
      <w:r w:rsidR="007138E6">
        <w:t>at para 113.</w:t>
      </w:r>
    </w:p>
  </w:footnote>
  <w:footnote w:id="28">
    <w:p w14:paraId="6CDB2DF6" w14:textId="343238BE" w:rsidR="00C80B2D" w:rsidRPr="00C80B2D" w:rsidRDefault="00C80B2D">
      <w:pPr>
        <w:pStyle w:val="FootnoteText"/>
      </w:pPr>
      <w:r>
        <w:rPr>
          <w:rStyle w:val="FootnoteReference"/>
        </w:rPr>
        <w:footnoteRef/>
      </w:r>
      <w:r>
        <w:t xml:space="preserve"> </w:t>
      </w:r>
      <w:r w:rsidR="004540B1">
        <w:t xml:space="preserve">Ibid </w:t>
      </w:r>
      <w:r>
        <w:t>at para 117.</w:t>
      </w:r>
    </w:p>
  </w:footnote>
  <w:footnote w:id="29">
    <w:p w14:paraId="6AA985C8" w14:textId="0817B920" w:rsidR="001A418D" w:rsidRDefault="001A418D">
      <w:pPr>
        <w:pStyle w:val="FootnoteText"/>
      </w:pPr>
      <w:r>
        <w:rPr>
          <w:rStyle w:val="FootnoteReference"/>
        </w:rPr>
        <w:footnoteRef/>
      </w:r>
      <w:r>
        <w:t xml:space="preserve"> Ibid.</w:t>
      </w:r>
    </w:p>
  </w:footnote>
  <w:footnote w:id="30">
    <w:p w14:paraId="0614C255" w14:textId="249D0F57" w:rsidR="00EE139B" w:rsidRPr="00EE139B" w:rsidRDefault="00EE139B">
      <w:pPr>
        <w:pStyle w:val="FootnoteText"/>
      </w:pPr>
      <w:r>
        <w:rPr>
          <w:rStyle w:val="FootnoteReference"/>
        </w:rPr>
        <w:footnoteRef/>
      </w:r>
      <w:r>
        <w:t xml:space="preserve"> </w:t>
      </w:r>
      <w:r w:rsidR="004540B1">
        <w:t xml:space="preserve">Ibid </w:t>
      </w:r>
      <w:r>
        <w:t>at para 302.</w:t>
      </w:r>
    </w:p>
  </w:footnote>
  <w:footnote w:id="31">
    <w:p w14:paraId="40D08DBE" w14:textId="15A89A76" w:rsidR="002D7B1E" w:rsidRDefault="002D7B1E">
      <w:pPr>
        <w:pStyle w:val="FootnoteText"/>
      </w:pPr>
      <w:r>
        <w:rPr>
          <w:rStyle w:val="FootnoteReference"/>
        </w:rPr>
        <w:footnoteRef/>
      </w:r>
      <w:r>
        <w:t xml:space="preserve"> Ibid</w:t>
      </w:r>
      <w:r w:rsidR="00926471">
        <w:t>.</w:t>
      </w:r>
    </w:p>
  </w:footnote>
  <w:footnote w:id="32">
    <w:p w14:paraId="43158806" w14:textId="659334FF" w:rsidR="003105A1" w:rsidRDefault="003105A1">
      <w:pPr>
        <w:pStyle w:val="FootnoteText"/>
      </w:pPr>
      <w:r>
        <w:rPr>
          <w:rStyle w:val="FootnoteReference"/>
        </w:rPr>
        <w:footnoteRef/>
      </w:r>
      <w:r>
        <w:t xml:space="preserve"> Ibid.</w:t>
      </w:r>
    </w:p>
  </w:footnote>
  <w:footnote w:id="33">
    <w:p w14:paraId="7E3719A1" w14:textId="34FE6B6D" w:rsidR="00A52F62" w:rsidRDefault="00A52F62">
      <w:pPr>
        <w:pStyle w:val="FootnoteText"/>
      </w:pPr>
      <w:r>
        <w:rPr>
          <w:rStyle w:val="FootnoteReference"/>
        </w:rPr>
        <w:footnoteRef/>
      </w:r>
      <w:r>
        <w:t xml:space="preserve"> </w:t>
      </w:r>
      <w:r w:rsidR="00B95545" w:rsidRPr="00B95545">
        <w:rPr>
          <w:i/>
          <w:iCs/>
        </w:rPr>
        <w:t>Occupiers of Saratoga Avenue v City of Johannesburg Metropolitan Municipality and Another</w:t>
      </w:r>
      <w:r w:rsidR="00B95545" w:rsidRPr="00B95545">
        <w:t xml:space="preserve"> [2012] ZACC 9; 2012 (9) BCLR 951 (CC)</w:t>
      </w:r>
      <w:r w:rsidR="00B95545">
        <w:t>.</w:t>
      </w:r>
    </w:p>
  </w:footnote>
  <w:footnote w:id="34">
    <w:p w14:paraId="5A128213" w14:textId="4125E5F8" w:rsidR="0088350E" w:rsidRPr="0088350E" w:rsidRDefault="0088350E">
      <w:pPr>
        <w:pStyle w:val="FootnoteText"/>
      </w:pPr>
      <w:r>
        <w:rPr>
          <w:rStyle w:val="FootnoteReference"/>
        </w:rPr>
        <w:footnoteRef/>
      </w:r>
      <w:r>
        <w:t xml:space="preserve"> See </w:t>
      </w:r>
      <w:r>
        <w:rPr>
          <w:i/>
          <w:iCs/>
        </w:rPr>
        <w:t xml:space="preserve">Commando </w:t>
      </w:r>
      <w:r>
        <w:t xml:space="preserve">(n </w:t>
      </w:r>
      <w:r>
        <w:fldChar w:fldCharType="begin"/>
      </w:r>
      <w:r>
        <w:instrText xml:space="preserve"> NOTEREF _Ref169461702 \h </w:instrText>
      </w:r>
      <w:r>
        <w:fldChar w:fldCharType="separate"/>
      </w:r>
      <w:r w:rsidR="00CB298F">
        <w:t>3</w:t>
      </w:r>
      <w:r>
        <w:fldChar w:fldCharType="end"/>
      </w:r>
      <w:r>
        <w:t>) at para 37.</w:t>
      </w:r>
    </w:p>
  </w:footnote>
  <w:footnote w:id="35">
    <w:p w14:paraId="6DAF6360" w14:textId="61F8AB4A" w:rsidR="00986A8E" w:rsidRDefault="00986A8E">
      <w:pPr>
        <w:pStyle w:val="FootnoteText"/>
      </w:pPr>
      <w:r>
        <w:rPr>
          <w:rStyle w:val="FootnoteReference"/>
        </w:rPr>
        <w:footnoteRef/>
      </w:r>
      <w:r>
        <w:t xml:space="preserve"> </w:t>
      </w:r>
      <w:r w:rsidR="00C15D43" w:rsidRPr="00C15D43">
        <w:rPr>
          <w:i/>
          <w:iCs/>
        </w:rPr>
        <w:t>Dladla and Another v City of Johannesburg and Others</w:t>
      </w:r>
      <w:r w:rsidR="00C15D43" w:rsidRPr="00C15D43">
        <w:t xml:space="preserve"> [2017] ZACC 42; 2018 (2) BCLR 119 (CC); 2018 (2) SA 327 (CC)</w:t>
      </w:r>
      <w:r w:rsidR="00C15D43">
        <w:t>.</w:t>
      </w:r>
    </w:p>
  </w:footnote>
  <w:footnote w:id="36">
    <w:p w14:paraId="7A9D4E09" w14:textId="08F14919" w:rsidR="00A6059E" w:rsidRDefault="00A6059E">
      <w:pPr>
        <w:pStyle w:val="FootnoteText"/>
      </w:pPr>
      <w:r>
        <w:rPr>
          <w:rStyle w:val="FootnoteReference"/>
        </w:rPr>
        <w:footnoteRef/>
      </w:r>
      <w:r>
        <w:t xml:space="preserve"> </w:t>
      </w:r>
      <w:r w:rsidR="00292398" w:rsidRPr="00051068">
        <w:rPr>
          <w:i/>
          <w:iCs/>
        </w:rPr>
        <w:t>City of Johannesburg Metropolitan Municipality v Blue Moonlight Properties 39 (Pty) Ltd and Another</w:t>
      </w:r>
      <w:r w:rsidR="00292398" w:rsidRPr="00292398">
        <w:t xml:space="preserve"> [2011] ZACC 33; 2012 (2) BCLR 150 (CC); 2012 (2) SA 104 (CC)</w:t>
      </w:r>
      <w:r w:rsidR="00051068">
        <w:t xml:space="preserve"> at para 74.</w:t>
      </w:r>
    </w:p>
  </w:footnote>
  <w:footnote w:id="37">
    <w:p w14:paraId="6784388D" w14:textId="6454C9DB" w:rsidR="00527ADF" w:rsidRDefault="00527ADF" w:rsidP="00527ADF">
      <w:pPr>
        <w:pStyle w:val="FootnoteText"/>
      </w:pPr>
      <w:r>
        <w:rPr>
          <w:rStyle w:val="FootnoteReference"/>
        </w:rPr>
        <w:footnoteRef/>
      </w:r>
      <w:r>
        <w:t xml:space="preserve"> </w:t>
      </w:r>
      <w:r w:rsidR="0095325F">
        <w:rPr>
          <w:i/>
          <w:iCs/>
        </w:rPr>
        <w:t xml:space="preserve">Commando </w:t>
      </w:r>
      <w:r w:rsidR="0095325F">
        <w:t xml:space="preserve">(n </w:t>
      </w:r>
      <w:r w:rsidR="0095325F">
        <w:fldChar w:fldCharType="begin"/>
      </w:r>
      <w:r w:rsidR="0095325F">
        <w:instrText xml:space="preserve"> NOTEREF _Ref169461702 \h </w:instrText>
      </w:r>
      <w:r w:rsidR="0095325F">
        <w:fldChar w:fldCharType="separate"/>
      </w:r>
      <w:r w:rsidR="00CB298F">
        <w:t>3</w:t>
      </w:r>
      <w:r w:rsidR="0095325F">
        <w:fldChar w:fldCharType="end"/>
      </w:r>
      <w:r w:rsidR="0095325F">
        <w:t>)</w:t>
      </w:r>
      <w:r>
        <w:t xml:space="preserve">. </w:t>
      </w:r>
      <w:r w:rsidRPr="00F6502A">
        <w:t>That decision has in turn been appealed to the Constitutional Court</w:t>
      </w:r>
      <w:r>
        <w:t xml:space="preserve"> and judgment has been reserved</w:t>
      </w:r>
      <w:r w:rsidRPr="00F6502A">
        <w:t>.</w:t>
      </w:r>
      <w:r>
        <w:t xml:space="preserve"> It is possible that Court will disagree with the SCA’s conclusions.</w:t>
      </w:r>
      <w:r w:rsidRPr="00F6502A">
        <w:t xml:space="preserve"> But unless and until</w:t>
      </w:r>
      <w:r>
        <w:t xml:space="preserve"> Braamfontein reverses Bloemfontein, I am bound by the SCA’s judgment.</w:t>
      </w:r>
    </w:p>
  </w:footnote>
  <w:footnote w:id="38">
    <w:p w14:paraId="567A6378" w14:textId="77777777" w:rsidR="00527ADF" w:rsidRDefault="00527ADF" w:rsidP="00527ADF">
      <w:pPr>
        <w:pStyle w:val="FootnoteText"/>
      </w:pPr>
      <w:r>
        <w:rPr>
          <w:rStyle w:val="FootnoteReference"/>
        </w:rPr>
        <w:footnoteRef/>
      </w:r>
      <w:r>
        <w:t xml:space="preserve"> </w:t>
      </w:r>
      <w:r w:rsidRPr="009F4141">
        <w:rPr>
          <w:i/>
          <w:iCs/>
        </w:rPr>
        <w:t>Commando and Others v Woodstock Hub (Pty) Ltd and Another</w:t>
      </w:r>
      <w:r w:rsidRPr="009F4141">
        <w:t xml:space="preserve"> [2021] ZAWCHC 179; [2021] 4 All SA 408 (WCC)</w:t>
      </w:r>
      <w:r>
        <w:t>.</w:t>
      </w:r>
    </w:p>
  </w:footnote>
  <w:footnote w:id="39">
    <w:p w14:paraId="3046E22A" w14:textId="1C89D700" w:rsidR="00527ADF" w:rsidRDefault="00527ADF" w:rsidP="00527ADF">
      <w:pPr>
        <w:pStyle w:val="FootnoteText"/>
      </w:pPr>
      <w:r>
        <w:rPr>
          <w:rStyle w:val="FootnoteReference"/>
        </w:rPr>
        <w:footnoteRef/>
      </w:r>
      <w:r>
        <w:t xml:space="preserve"> </w:t>
      </w:r>
      <w:r w:rsidR="0095325F">
        <w:rPr>
          <w:i/>
          <w:iCs/>
        </w:rPr>
        <w:t xml:space="preserve">Commando </w:t>
      </w:r>
      <w:r w:rsidR="0095325F">
        <w:t xml:space="preserve">(n </w:t>
      </w:r>
      <w:r w:rsidR="0095325F">
        <w:fldChar w:fldCharType="begin"/>
      </w:r>
      <w:r w:rsidR="0095325F">
        <w:instrText xml:space="preserve"> NOTEREF _Ref169461702 \h </w:instrText>
      </w:r>
      <w:r w:rsidR="0095325F">
        <w:fldChar w:fldCharType="separate"/>
      </w:r>
      <w:r w:rsidR="00CB298F">
        <w:t>3</w:t>
      </w:r>
      <w:r w:rsidR="0095325F">
        <w:fldChar w:fldCharType="end"/>
      </w:r>
      <w:r w:rsidR="0095325F">
        <w:t>)</w:t>
      </w:r>
      <w:r>
        <w:t xml:space="preserve"> at para 60.</w:t>
      </w:r>
    </w:p>
  </w:footnote>
  <w:footnote w:id="40">
    <w:p w14:paraId="5F32C013" w14:textId="6328B0AF" w:rsidR="00A02A5C" w:rsidRDefault="00A02A5C" w:rsidP="00911738">
      <w:pPr>
        <w:pStyle w:val="FootnoteText"/>
      </w:pPr>
      <w:r>
        <w:rPr>
          <w:rStyle w:val="FootnoteReference"/>
        </w:rPr>
        <w:footnoteRef/>
      </w:r>
      <w:r>
        <w:t xml:space="preserve"> </w:t>
      </w:r>
      <w:r w:rsidR="00911738">
        <w:t xml:space="preserve">ICESCR </w:t>
      </w:r>
      <w:r w:rsidR="00911738" w:rsidRPr="00980FF4">
        <w:rPr>
          <w:i/>
          <w:iCs/>
        </w:rPr>
        <w:t xml:space="preserve">General </w:t>
      </w:r>
      <w:r w:rsidR="00961ADC">
        <w:rPr>
          <w:i/>
          <w:iCs/>
        </w:rPr>
        <w:t>C</w:t>
      </w:r>
      <w:r w:rsidR="00911738" w:rsidRPr="00980FF4">
        <w:rPr>
          <w:i/>
          <w:iCs/>
        </w:rPr>
        <w:t xml:space="preserve">omment No. 4: The </w:t>
      </w:r>
      <w:r w:rsidR="00961ADC">
        <w:rPr>
          <w:i/>
          <w:iCs/>
        </w:rPr>
        <w:t>R</w:t>
      </w:r>
      <w:r w:rsidR="00911738" w:rsidRPr="00980FF4">
        <w:rPr>
          <w:i/>
          <w:iCs/>
        </w:rPr>
        <w:t xml:space="preserve">ight to </w:t>
      </w:r>
      <w:r w:rsidR="00961ADC">
        <w:rPr>
          <w:i/>
          <w:iCs/>
        </w:rPr>
        <w:t>A</w:t>
      </w:r>
      <w:r w:rsidR="00911738" w:rsidRPr="00980FF4">
        <w:rPr>
          <w:i/>
          <w:iCs/>
        </w:rPr>
        <w:t xml:space="preserve">dequate </w:t>
      </w:r>
      <w:r w:rsidR="00961ADC">
        <w:rPr>
          <w:i/>
          <w:iCs/>
        </w:rPr>
        <w:t>H</w:t>
      </w:r>
      <w:r w:rsidR="00911738" w:rsidRPr="00980FF4">
        <w:rPr>
          <w:i/>
          <w:iCs/>
        </w:rPr>
        <w:t>ousing</w:t>
      </w:r>
      <w:r w:rsidR="00980FF4">
        <w:t xml:space="preserve"> (1991).</w:t>
      </w:r>
      <w:r w:rsidR="0054066F">
        <w:t xml:space="preserve"> South Africa has ratified the treaty the ICESCR was interpreting – the Covenant </w:t>
      </w:r>
      <w:r w:rsidR="00276424">
        <w:t>on Economic, Social and Cultural Rights – and our courts have repeatedly re</w:t>
      </w:r>
      <w:r w:rsidR="00656959">
        <w:t>ferred to</w:t>
      </w:r>
      <w:r w:rsidR="00276424">
        <w:t xml:space="preserve"> its General Comments to interpret socio-economic rights in our Constitution</w:t>
      </w:r>
      <w:r w:rsidR="00656959">
        <w:t xml:space="preserve"> (although our courts have not always agreed that the obligations under the CESCR should be adopted in South African law)</w:t>
      </w:r>
      <w:r w:rsidR="00276424">
        <w:t xml:space="preserve">. See, for example, </w:t>
      </w:r>
      <w:r w:rsidR="0014199B" w:rsidRPr="0014199B">
        <w:rPr>
          <w:i/>
          <w:iCs/>
        </w:rPr>
        <w:t>Mazibuko and Others v City of Johannesburg and Others</w:t>
      </w:r>
      <w:r w:rsidR="0014199B" w:rsidRPr="0014199B">
        <w:t xml:space="preserve"> [2009] ZACC 28; 2010 (3) BCLR 239 (CC); 2010 (4) SA 1 (CC)</w:t>
      </w:r>
      <w:r w:rsidR="0014199B">
        <w:t xml:space="preserve"> at para 52.</w:t>
      </w:r>
    </w:p>
  </w:footnote>
  <w:footnote w:id="41">
    <w:p w14:paraId="3B0088A7" w14:textId="665FAEB2" w:rsidR="00A02A5C" w:rsidRDefault="00A02A5C">
      <w:pPr>
        <w:pStyle w:val="FootnoteText"/>
      </w:pPr>
      <w:r>
        <w:rPr>
          <w:rStyle w:val="FootnoteReference"/>
        </w:rPr>
        <w:footnoteRef/>
      </w:r>
      <w:r>
        <w:t xml:space="preserve"> </w:t>
      </w:r>
      <w:r w:rsidR="00154E72">
        <w:rPr>
          <w:i/>
          <w:iCs/>
        </w:rPr>
        <w:t xml:space="preserve">General Comment 4 </w:t>
      </w:r>
      <w:r w:rsidR="00154E72">
        <w:t xml:space="preserve">(n </w:t>
      </w:r>
      <w:r w:rsidR="00154E72">
        <w:fldChar w:fldCharType="begin"/>
      </w:r>
      <w:r w:rsidR="00154E72">
        <w:instrText xml:space="preserve"> NOTEREF _Ref169525666 \h </w:instrText>
      </w:r>
      <w:r w:rsidR="00154E72">
        <w:fldChar w:fldCharType="separate"/>
      </w:r>
      <w:r w:rsidR="00CB298F">
        <w:t>40</w:t>
      </w:r>
      <w:r w:rsidR="00154E72">
        <w:fldChar w:fldCharType="end"/>
      </w:r>
      <w:r w:rsidR="00154E72">
        <w:t>)</w:t>
      </w:r>
      <w:r>
        <w:t xml:space="preserve"> at para 8.</w:t>
      </w:r>
    </w:p>
  </w:footnote>
  <w:footnote w:id="42">
    <w:p w14:paraId="22E30FC4" w14:textId="3236B603" w:rsidR="00676940" w:rsidRPr="00676940" w:rsidRDefault="00676940">
      <w:pPr>
        <w:pStyle w:val="FootnoteText"/>
      </w:pPr>
      <w:r>
        <w:rPr>
          <w:rStyle w:val="FootnoteReference"/>
        </w:rPr>
        <w:footnoteRef/>
      </w:r>
      <w:r>
        <w:t xml:space="preserve"> </w:t>
      </w:r>
      <w:r>
        <w:rPr>
          <w:i/>
          <w:iCs/>
        </w:rPr>
        <w:t xml:space="preserve">Commando </w:t>
      </w:r>
      <w:r w:rsidR="00154E72">
        <w:t xml:space="preserve">(n </w:t>
      </w:r>
      <w:r w:rsidR="00154E72">
        <w:fldChar w:fldCharType="begin"/>
      </w:r>
      <w:r w:rsidR="00154E72">
        <w:instrText xml:space="preserve"> NOTEREF _Ref169461702 \h </w:instrText>
      </w:r>
      <w:r w:rsidR="00154E72">
        <w:fldChar w:fldCharType="separate"/>
      </w:r>
      <w:r w:rsidR="00CB298F">
        <w:t>3</w:t>
      </w:r>
      <w:r w:rsidR="00154E72">
        <w:fldChar w:fldCharType="end"/>
      </w:r>
      <w:r w:rsidR="00154E72">
        <w:t xml:space="preserve">) </w:t>
      </w:r>
      <w:r>
        <w:t xml:space="preserve">at para 62, quoting </w:t>
      </w:r>
      <w:r w:rsidR="003F4122" w:rsidRPr="003F4122">
        <w:rPr>
          <w:i/>
          <w:iCs/>
        </w:rPr>
        <w:t xml:space="preserve">City of Johannesburg v Dladla and Others </w:t>
      </w:r>
      <w:r w:rsidR="003F4122" w:rsidRPr="003F4122">
        <w:t>[2016] ZASCA 66; 2016 (6) SA 377 (SCA) para 20.</w:t>
      </w:r>
    </w:p>
  </w:footnote>
  <w:footnote w:id="43">
    <w:p w14:paraId="75E0D17E" w14:textId="2C992969" w:rsidR="003C4CE6" w:rsidRDefault="003C4CE6">
      <w:pPr>
        <w:pStyle w:val="FootnoteText"/>
      </w:pPr>
      <w:r>
        <w:rPr>
          <w:rStyle w:val="FootnoteReference"/>
        </w:rPr>
        <w:footnoteRef/>
      </w:r>
      <w:r>
        <w:t xml:space="preserve"> </w:t>
      </w:r>
      <w:r w:rsidR="00676940">
        <w:t>Ibid.</w:t>
      </w:r>
    </w:p>
  </w:footnote>
  <w:footnote w:id="44">
    <w:p w14:paraId="3F1993F0" w14:textId="2E4DC0CE" w:rsidR="00A149BD" w:rsidRDefault="00A149BD">
      <w:pPr>
        <w:pStyle w:val="FootnoteText"/>
      </w:pPr>
      <w:r>
        <w:rPr>
          <w:rStyle w:val="FootnoteReference"/>
        </w:rPr>
        <w:footnoteRef/>
      </w:r>
      <w:r>
        <w:t xml:space="preserve"> </w:t>
      </w:r>
      <w:r w:rsidR="00E41199" w:rsidRPr="00E41199">
        <w:rPr>
          <w:i/>
          <w:iCs/>
        </w:rPr>
        <w:t>Baron and others v Claytile (Pty) Limited and Another</w:t>
      </w:r>
      <w:r w:rsidR="00E41199" w:rsidRPr="00E41199">
        <w:t xml:space="preserve"> [2017] ZACC 24; 2017 (10) BCLR 1225 (CC); 2017 (5) SA 329 (CC)</w:t>
      </w:r>
      <w:r w:rsidR="00E41199">
        <w:t xml:space="preserve"> at para 50.</w:t>
      </w:r>
    </w:p>
  </w:footnote>
  <w:footnote w:id="45">
    <w:p w14:paraId="78891817" w14:textId="020210C3" w:rsidR="002704CA" w:rsidRPr="002704CA" w:rsidRDefault="002704CA">
      <w:pPr>
        <w:pStyle w:val="FootnoteText"/>
      </w:pPr>
      <w:r>
        <w:rPr>
          <w:rStyle w:val="FootnoteReference"/>
        </w:rPr>
        <w:footnoteRef/>
      </w:r>
      <w:r>
        <w:t xml:space="preserve"> </w:t>
      </w:r>
      <w:r>
        <w:rPr>
          <w:i/>
          <w:iCs/>
        </w:rPr>
        <w:t xml:space="preserve">Dladla </w:t>
      </w:r>
      <w:r w:rsidR="0080541D">
        <w:t xml:space="preserve">(n </w:t>
      </w:r>
      <w:r w:rsidR="0080541D">
        <w:fldChar w:fldCharType="begin"/>
      </w:r>
      <w:r w:rsidR="0080541D">
        <w:instrText xml:space="preserve"> NOTEREF _Ref169526450 \h </w:instrText>
      </w:r>
      <w:r w:rsidR="0080541D">
        <w:fldChar w:fldCharType="separate"/>
      </w:r>
      <w:r w:rsidR="00CB298F">
        <w:t>35</w:t>
      </w:r>
      <w:r w:rsidR="0080541D">
        <w:fldChar w:fldCharType="end"/>
      </w:r>
      <w:r w:rsidR="0080541D">
        <w:t xml:space="preserve">) </w:t>
      </w:r>
      <w:r>
        <w:t>at para 7.</w:t>
      </w:r>
    </w:p>
  </w:footnote>
  <w:footnote w:id="46">
    <w:p w14:paraId="7B616D95" w14:textId="657A8CE9" w:rsidR="004E1E3C" w:rsidRPr="004E1E3C" w:rsidRDefault="004E1E3C">
      <w:pPr>
        <w:pStyle w:val="FootnoteText"/>
      </w:pPr>
      <w:r>
        <w:rPr>
          <w:rStyle w:val="FootnoteReference"/>
        </w:rPr>
        <w:footnoteRef/>
      </w:r>
      <w:r>
        <w:t xml:space="preserve"> </w:t>
      </w:r>
      <w:r w:rsidR="0080541D">
        <w:t xml:space="preserve">Ibid </w:t>
      </w:r>
      <w:r>
        <w:t>at para 13.</w:t>
      </w:r>
    </w:p>
  </w:footnote>
  <w:footnote w:id="47">
    <w:p w14:paraId="3CF5C164" w14:textId="2F46B529" w:rsidR="003E5FD1" w:rsidRPr="003E5FD1" w:rsidRDefault="003E5FD1">
      <w:pPr>
        <w:pStyle w:val="FootnoteText"/>
      </w:pPr>
      <w:r>
        <w:rPr>
          <w:rStyle w:val="FootnoteReference"/>
        </w:rPr>
        <w:footnoteRef/>
      </w:r>
      <w:r>
        <w:t xml:space="preserve"> </w:t>
      </w:r>
      <w:r w:rsidR="0080541D">
        <w:t>Ibid</w:t>
      </w:r>
      <w:r>
        <w:rPr>
          <w:i/>
          <w:iCs/>
        </w:rPr>
        <w:t xml:space="preserve"> </w:t>
      </w:r>
      <w:r>
        <w:t>at para 12.</w:t>
      </w:r>
    </w:p>
  </w:footnote>
  <w:footnote w:id="48">
    <w:p w14:paraId="06B7A5AE" w14:textId="78800133" w:rsidR="00211600" w:rsidRPr="00211600" w:rsidRDefault="00211600">
      <w:pPr>
        <w:pStyle w:val="FootnoteText"/>
      </w:pPr>
      <w:r>
        <w:rPr>
          <w:rStyle w:val="FootnoteReference"/>
        </w:rPr>
        <w:footnoteRef/>
      </w:r>
      <w:r>
        <w:t xml:space="preserve"> </w:t>
      </w:r>
      <w:r w:rsidR="002857D2">
        <w:t>Ibid</w:t>
      </w:r>
      <w:r>
        <w:rPr>
          <w:i/>
          <w:iCs/>
        </w:rPr>
        <w:t xml:space="preserve"> </w:t>
      </w:r>
      <w:r>
        <w:t>at para 41.</w:t>
      </w:r>
    </w:p>
  </w:footnote>
  <w:footnote w:id="49">
    <w:p w14:paraId="7C06155C" w14:textId="46D9DF68" w:rsidR="00211600" w:rsidRDefault="00211600">
      <w:pPr>
        <w:pStyle w:val="FootnoteText"/>
      </w:pPr>
      <w:r>
        <w:rPr>
          <w:rStyle w:val="FootnoteReference"/>
        </w:rPr>
        <w:footnoteRef/>
      </w:r>
      <w:r>
        <w:t xml:space="preserve"> Ibid.</w:t>
      </w:r>
    </w:p>
  </w:footnote>
  <w:footnote w:id="50">
    <w:p w14:paraId="43B57FAF" w14:textId="2DA63D0C" w:rsidR="00AE3965" w:rsidRDefault="00AE3965">
      <w:pPr>
        <w:pStyle w:val="FootnoteText"/>
      </w:pPr>
      <w:r>
        <w:rPr>
          <w:rStyle w:val="FootnoteReference"/>
        </w:rPr>
        <w:footnoteRef/>
      </w:r>
      <w:r>
        <w:t xml:space="preserve"> </w:t>
      </w:r>
      <w:r w:rsidRPr="00AE3965">
        <w:t xml:space="preserve">I accept immediately that the shelters in Dladla were different from the safe spaces. They were permanent buildings; the safe spaces are not. But for the reasons I have given, it is not appropriate for me to reject the safe spaces as suitable alternative accommodation </w:t>
      </w:r>
      <w:r w:rsidR="00492441">
        <w:t>based on their physical attributed</w:t>
      </w:r>
      <w:r w:rsidRPr="00AE3965">
        <w:t xml:space="preserve"> given the pleadings and (lack of) evidence before me.</w:t>
      </w:r>
    </w:p>
  </w:footnote>
  <w:footnote w:id="51">
    <w:p w14:paraId="77B188BD" w14:textId="38B0E4CB" w:rsidR="00D611A1" w:rsidRPr="00D611A1" w:rsidRDefault="00D611A1">
      <w:pPr>
        <w:pStyle w:val="FootnoteText"/>
      </w:pPr>
      <w:r>
        <w:rPr>
          <w:rStyle w:val="FootnoteReference"/>
        </w:rPr>
        <w:footnoteRef/>
      </w:r>
      <w:r>
        <w:t xml:space="preserve"> </w:t>
      </w:r>
      <w:r>
        <w:rPr>
          <w:i/>
          <w:iCs/>
        </w:rPr>
        <w:t>Dladla</w:t>
      </w:r>
      <w:r w:rsidR="00492441">
        <w:rPr>
          <w:i/>
          <w:iCs/>
        </w:rPr>
        <w:t xml:space="preserve"> </w:t>
      </w:r>
      <w:r w:rsidR="00492441">
        <w:t xml:space="preserve">(n </w:t>
      </w:r>
      <w:r w:rsidR="00492441">
        <w:fldChar w:fldCharType="begin"/>
      </w:r>
      <w:r w:rsidR="00492441">
        <w:instrText xml:space="preserve"> NOTEREF _Ref169526450 \h </w:instrText>
      </w:r>
      <w:r w:rsidR="00492441">
        <w:fldChar w:fldCharType="separate"/>
      </w:r>
      <w:r w:rsidR="00CB298F">
        <w:t>35</w:t>
      </w:r>
      <w:r w:rsidR="00492441">
        <w:fldChar w:fldCharType="end"/>
      </w:r>
      <w:r w:rsidR="00492441">
        <w:t>)</w:t>
      </w:r>
      <w:r>
        <w:rPr>
          <w:i/>
          <w:iCs/>
        </w:rPr>
        <w:t xml:space="preserve"> </w:t>
      </w:r>
      <w:r>
        <w:t>at para 48.</w:t>
      </w:r>
    </w:p>
  </w:footnote>
  <w:footnote w:id="52">
    <w:p w14:paraId="753299FB" w14:textId="62A1FC7F" w:rsidR="00424BE4" w:rsidRDefault="00424BE4">
      <w:pPr>
        <w:pStyle w:val="FootnoteText"/>
      </w:pPr>
      <w:r>
        <w:rPr>
          <w:rStyle w:val="FootnoteReference"/>
        </w:rPr>
        <w:footnoteRef/>
      </w:r>
      <w:r>
        <w:t xml:space="preserve"> Ibid.</w:t>
      </w:r>
    </w:p>
  </w:footnote>
  <w:footnote w:id="53">
    <w:p w14:paraId="175E1921" w14:textId="3FF8CD43" w:rsidR="00424BE4" w:rsidRDefault="00424BE4">
      <w:pPr>
        <w:pStyle w:val="FootnoteText"/>
      </w:pPr>
      <w:r>
        <w:rPr>
          <w:rStyle w:val="FootnoteReference"/>
        </w:rPr>
        <w:footnoteRef/>
      </w:r>
      <w:r>
        <w:t xml:space="preserve"> Ibid.</w:t>
      </w:r>
    </w:p>
  </w:footnote>
  <w:footnote w:id="54">
    <w:p w14:paraId="4D3ECB0B" w14:textId="1AC1059B" w:rsidR="00D81F1B" w:rsidRPr="00D81F1B" w:rsidRDefault="00D81F1B">
      <w:pPr>
        <w:pStyle w:val="FootnoteText"/>
      </w:pPr>
      <w:r>
        <w:rPr>
          <w:rStyle w:val="FootnoteReference"/>
        </w:rPr>
        <w:footnoteRef/>
      </w:r>
      <w:r>
        <w:t xml:space="preserve"> </w:t>
      </w:r>
      <w:r w:rsidR="00294C71">
        <w:t>Ibid</w:t>
      </w:r>
      <w:r>
        <w:rPr>
          <w:i/>
          <w:iCs/>
        </w:rPr>
        <w:t xml:space="preserve"> </w:t>
      </w:r>
      <w:r>
        <w:t>at para 50.</w:t>
      </w:r>
    </w:p>
  </w:footnote>
  <w:footnote w:id="55">
    <w:p w14:paraId="5AB9C9E5" w14:textId="5247728C" w:rsidR="003D7761" w:rsidRPr="003D7761" w:rsidRDefault="003D7761">
      <w:pPr>
        <w:pStyle w:val="FootnoteText"/>
      </w:pPr>
      <w:r>
        <w:rPr>
          <w:rStyle w:val="FootnoteReference"/>
        </w:rPr>
        <w:footnoteRef/>
      </w:r>
      <w:r>
        <w:t xml:space="preserve"> </w:t>
      </w:r>
      <w:r w:rsidR="00294C71">
        <w:t>Ibid</w:t>
      </w:r>
      <w:r>
        <w:rPr>
          <w:i/>
          <w:iCs/>
        </w:rPr>
        <w:t xml:space="preserve"> </w:t>
      </w:r>
      <w:r>
        <w:t>at para 50.</w:t>
      </w:r>
    </w:p>
  </w:footnote>
  <w:footnote w:id="56">
    <w:p w14:paraId="3A89B708" w14:textId="78306833" w:rsidR="004C64F1" w:rsidRPr="004C64F1" w:rsidRDefault="004C64F1">
      <w:pPr>
        <w:pStyle w:val="FootnoteText"/>
      </w:pPr>
      <w:r>
        <w:rPr>
          <w:rStyle w:val="FootnoteReference"/>
        </w:rPr>
        <w:footnoteRef/>
      </w:r>
      <w:r>
        <w:t xml:space="preserve"> </w:t>
      </w:r>
      <w:r w:rsidR="00294C71">
        <w:t>Ibid</w:t>
      </w:r>
      <w:r>
        <w:rPr>
          <w:i/>
          <w:iCs/>
        </w:rPr>
        <w:t xml:space="preserve"> </w:t>
      </w:r>
      <w:r>
        <w:t>at para 48.</w:t>
      </w:r>
    </w:p>
  </w:footnote>
  <w:footnote w:id="57">
    <w:p w14:paraId="50A587FF" w14:textId="077EDB67" w:rsidR="009C0741" w:rsidRDefault="009C0741">
      <w:pPr>
        <w:pStyle w:val="FootnoteText"/>
      </w:pPr>
      <w:r>
        <w:rPr>
          <w:rStyle w:val="FootnoteReference"/>
        </w:rPr>
        <w:footnoteRef/>
      </w:r>
      <w:r>
        <w:t xml:space="preserve"> </w:t>
      </w:r>
      <w:r w:rsidR="002824DA" w:rsidRPr="00294C71">
        <w:rPr>
          <w:i/>
          <w:iCs/>
        </w:rPr>
        <w:t>Dawood and Another v Minister of Home Affairs and Others</w:t>
      </w:r>
      <w:r w:rsidR="002824DA" w:rsidRPr="002824DA">
        <w:t xml:space="preserve"> [2000] ZACC 8; 2000 (3) SA 936</w:t>
      </w:r>
      <w:r w:rsidR="00A23419">
        <w:t xml:space="preserve"> (CC)</w:t>
      </w:r>
      <w:r w:rsidR="002824DA" w:rsidRPr="002824DA">
        <w:t>; 2000 (8) BCLR 837</w:t>
      </w:r>
      <w:r w:rsidR="002824DA">
        <w:t xml:space="preserve"> (CC).</w:t>
      </w:r>
    </w:p>
  </w:footnote>
  <w:footnote w:id="58">
    <w:p w14:paraId="4FB55714" w14:textId="1EAC3185" w:rsidR="00E32E21" w:rsidRPr="00E32E21" w:rsidRDefault="00E32E21">
      <w:pPr>
        <w:pStyle w:val="FootnoteText"/>
      </w:pPr>
      <w:r>
        <w:rPr>
          <w:rStyle w:val="FootnoteReference"/>
        </w:rPr>
        <w:footnoteRef/>
      </w:r>
      <w:r>
        <w:t xml:space="preserve"> </w:t>
      </w:r>
      <w:r>
        <w:rPr>
          <w:i/>
          <w:iCs/>
        </w:rPr>
        <w:t xml:space="preserve">Dladla </w:t>
      </w:r>
      <w:r w:rsidR="000F1242">
        <w:t xml:space="preserve">(n </w:t>
      </w:r>
      <w:r w:rsidR="000F1242">
        <w:fldChar w:fldCharType="begin"/>
      </w:r>
      <w:r w:rsidR="000F1242">
        <w:instrText xml:space="preserve"> NOTEREF _Ref169526450 \h </w:instrText>
      </w:r>
      <w:r w:rsidR="000F1242">
        <w:fldChar w:fldCharType="separate"/>
      </w:r>
      <w:r w:rsidR="00CB298F">
        <w:t>35</w:t>
      </w:r>
      <w:r w:rsidR="000F1242">
        <w:fldChar w:fldCharType="end"/>
      </w:r>
      <w:r w:rsidR="000F1242">
        <w:t xml:space="preserve">) </w:t>
      </w:r>
      <w:r>
        <w:t>at para 49.</w:t>
      </w:r>
    </w:p>
  </w:footnote>
  <w:footnote w:id="59">
    <w:p w14:paraId="03CF8BA3" w14:textId="07AA8D4E" w:rsidR="00355877" w:rsidRDefault="00355877">
      <w:pPr>
        <w:pStyle w:val="FootnoteText"/>
      </w:pPr>
      <w:r>
        <w:rPr>
          <w:rStyle w:val="FootnoteReference"/>
        </w:rPr>
        <w:footnoteRef/>
      </w:r>
      <w:r>
        <w:t xml:space="preserve"> </w:t>
      </w:r>
      <w:r w:rsidR="000F1242">
        <w:t>Ibid at paras 52-3.</w:t>
      </w:r>
    </w:p>
  </w:footnote>
  <w:footnote w:id="60">
    <w:p w14:paraId="5C474999" w14:textId="23C26270" w:rsidR="00F603FD" w:rsidRDefault="00F603FD">
      <w:pPr>
        <w:pStyle w:val="FootnoteText"/>
      </w:pPr>
      <w:r>
        <w:rPr>
          <w:rStyle w:val="FootnoteReference"/>
        </w:rPr>
        <w:footnoteRef/>
      </w:r>
      <w:r>
        <w:t xml:space="preserve"> </w:t>
      </w:r>
      <w:r w:rsidRPr="00F603FD">
        <w:t xml:space="preserve">Even if there had been a challenge to the rules, I am not sure that </w:t>
      </w:r>
      <w:r w:rsidRPr="0017402F">
        <w:rPr>
          <w:i/>
          <w:iCs/>
        </w:rPr>
        <w:t>Dladla</w:t>
      </w:r>
      <w:r w:rsidRPr="00F603FD">
        <w:t xml:space="preserve"> would preclude a </w:t>
      </w:r>
      <w:r w:rsidR="00D62CDA">
        <w:t>s 36(1)</w:t>
      </w:r>
      <w:r w:rsidRPr="00F603FD">
        <w:t xml:space="preserve"> enquiry. In </w:t>
      </w:r>
      <w:r w:rsidRPr="0017402F">
        <w:rPr>
          <w:i/>
          <w:iCs/>
        </w:rPr>
        <w:t>Dladla</w:t>
      </w:r>
      <w:r w:rsidRPr="00F603FD">
        <w:t>, the rules were imposed through a contract between the City of Johannesburg and a service provider. Here the City itself runs the safe spaces and</w:t>
      </w:r>
      <w:r w:rsidR="00BC1CBF">
        <w:t xml:space="preserve"> it seems</w:t>
      </w:r>
      <w:r w:rsidRPr="00F603FD">
        <w:t xml:space="preserve"> has enacted the rules to regulate them. It is unclear </w:t>
      </w:r>
      <w:r w:rsidR="00BC1CBF">
        <w:t xml:space="preserve">to me </w:t>
      </w:r>
      <w:r w:rsidRPr="00F603FD">
        <w:t>whether</w:t>
      </w:r>
      <w:r w:rsidR="00BC1CBF">
        <w:t xml:space="preserve">, applying </w:t>
      </w:r>
      <w:r w:rsidR="00BC1CBF">
        <w:rPr>
          <w:i/>
          <w:iCs/>
        </w:rPr>
        <w:t>Dladla</w:t>
      </w:r>
      <w:r w:rsidR="00BC1CBF">
        <w:t>,</w:t>
      </w:r>
      <w:r w:rsidRPr="00F603FD">
        <w:t xml:space="preserve"> these rules are a law of general application for the purposes of s</w:t>
      </w:r>
      <w:r w:rsidR="00BC1CBF">
        <w:t> </w:t>
      </w:r>
      <w:r w:rsidRPr="00F603FD">
        <w:t>36(1). I prefer not to decide the issue as it was not argued before me and, for the reasons already given, is not determinative.</w:t>
      </w:r>
    </w:p>
  </w:footnote>
  <w:footnote w:id="61">
    <w:p w14:paraId="196686BD" w14:textId="51CECB25" w:rsidR="009E06C9" w:rsidRDefault="009E06C9">
      <w:pPr>
        <w:pStyle w:val="FootnoteText"/>
      </w:pPr>
      <w:r>
        <w:rPr>
          <w:rStyle w:val="FootnoteReference"/>
        </w:rPr>
        <w:footnoteRef/>
      </w:r>
      <w:r>
        <w:t xml:space="preserve"> </w:t>
      </w:r>
      <w:r w:rsidRPr="009E06C9">
        <w:rPr>
          <w:i/>
          <w:iCs/>
        </w:rPr>
        <w:t>Mazibuko and Others v City of Johannesburg and Others</w:t>
      </w:r>
      <w:r w:rsidRPr="009E06C9">
        <w:t xml:space="preserve"> [2009] ZACC 28; 2010 (3) BCLR 239 (CC); 2010 (4) SA 1 (CC)</w:t>
      </w:r>
      <w:r>
        <w:t xml:space="preserve"> at pa</w:t>
      </w:r>
      <w:r w:rsidR="00F3246D">
        <w:t>r</w:t>
      </w:r>
      <w:r>
        <w:t>a 96.</w:t>
      </w:r>
    </w:p>
  </w:footnote>
  <w:footnote w:id="62">
    <w:p w14:paraId="2DF896CD" w14:textId="491F9A20" w:rsidR="00294BA3" w:rsidRDefault="00294BA3">
      <w:pPr>
        <w:pStyle w:val="FootnoteText"/>
      </w:pPr>
      <w:r>
        <w:rPr>
          <w:rStyle w:val="FootnoteReference"/>
        </w:rPr>
        <w:footnoteRef/>
      </w:r>
      <w:r>
        <w:t xml:space="preserve"> This applies only to people who enter the safe spaces following an eviction, not those who freely chose the safe spaces without any threat of eviction.</w:t>
      </w:r>
    </w:p>
  </w:footnote>
  <w:footnote w:id="63">
    <w:p w14:paraId="467AF345" w14:textId="123FB3F0" w:rsidR="006928BD" w:rsidRPr="006928BD" w:rsidRDefault="006928BD">
      <w:pPr>
        <w:pStyle w:val="FootnoteText"/>
      </w:pPr>
      <w:r>
        <w:rPr>
          <w:rStyle w:val="FootnoteReference"/>
        </w:rPr>
        <w:footnoteRef/>
      </w:r>
      <w:r>
        <w:t xml:space="preserve"> </w:t>
      </w:r>
      <w:r>
        <w:rPr>
          <w:i/>
          <w:iCs/>
        </w:rPr>
        <w:t xml:space="preserve">PE Municipality </w:t>
      </w:r>
      <w:r>
        <w:t xml:space="preserve">(n </w:t>
      </w:r>
      <w:r>
        <w:fldChar w:fldCharType="begin"/>
      </w:r>
      <w:r>
        <w:instrText xml:space="preserve"> NOTEREF _Ref169529084 \h </w:instrText>
      </w:r>
      <w:r>
        <w:fldChar w:fldCharType="separate"/>
      </w:r>
      <w:r w:rsidR="00CB298F">
        <w:t>9</w:t>
      </w:r>
      <w:r>
        <w:fldChar w:fldCharType="end"/>
      </w:r>
      <w:r>
        <w:t xml:space="preserve">) at para </w:t>
      </w:r>
      <w:r w:rsidR="009F378C">
        <w:t>31.</w:t>
      </w:r>
    </w:p>
  </w:footnote>
  <w:footnote w:id="64">
    <w:p w14:paraId="3E0F5395" w14:textId="28A074A6" w:rsidR="006928BD" w:rsidRDefault="006928BD" w:rsidP="006928BD">
      <w:pPr>
        <w:pStyle w:val="FootnoteText"/>
      </w:pPr>
      <w:r>
        <w:rPr>
          <w:rStyle w:val="FootnoteReference"/>
        </w:rPr>
        <w:footnoteRef/>
      </w:r>
      <w:r>
        <w:t xml:space="preserve"> </w:t>
      </w:r>
      <w:r w:rsidR="009F378C" w:rsidRPr="009F378C">
        <w:rPr>
          <w:i/>
          <w:iCs/>
        </w:rPr>
        <w:t>Grobler v Phillips and Others</w:t>
      </w:r>
      <w:r w:rsidR="009F378C" w:rsidRPr="009F378C">
        <w:t xml:space="preserve"> [2022] ZACC 32; 2023 (1) SA 321 (CC); 2024 (1) BCLR 115 (CC) </w:t>
      </w:r>
      <w:r>
        <w:t>at para 40.</w:t>
      </w:r>
    </w:p>
  </w:footnote>
  <w:footnote w:id="65">
    <w:p w14:paraId="42462C0B" w14:textId="35D5E637" w:rsidR="000923A0" w:rsidRDefault="000923A0">
      <w:pPr>
        <w:pStyle w:val="FootnoteText"/>
      </w:pPr>
      <w:r>
        <w:rPr>
          <w:rStyle w:val="FootnoteReference"/>
        </w:rPr>
        <w:footnoteRef/>
      </w:r>
      <w:r>
        <w:t xml:space="preserve"> See, for example, </w:t>
      </w:r>
      <w:r w:rsidR="00AB58BB" w:rsidRPr="00AB58BB">
        <w:rPr>
          <w:i/>
          <w:iCs/>
        </w:rPr>
        <w:t>President of the Republic of South Africa and Another v Modderklip Boerdery (Pty) Ltd</w:t>
      </w:r>
      <w:r w:rsidR="00AB58BB" w:rsidRPr="00AB58BB">
        <w:t xml:space="preserve"> [2005] ZACC 5; 2005 (5) SA 3 (CC); 2005 (8) BCLR 786 (CC)</w:t>
      </w:r>
      <w:r w:rsidR="00AB58BB">
        <w:t>.</w:t>
      </w:r>
    </w:p>
  </w:footnote>
  <w:footnote w:id="66">
    <w:p w14:paraId="7A34E9C9" w14:textId="1FA1BCC2" w:rsidR="000C3E30" w:rsidRDefault="000C3E30" w:rsidP="000C3E30">
      <w:pPr>
        <w:pStyle w:val="FootnoteText"/>
      </w:pPr>
      <w:r>
        <w:rPr>
          <w:rStyle w:val="FootnoteReference"/>
        </w:rPr>
        <w:footnoteRef/>
      </w:r>
      <w:r>
        <w:t xml:space="preserve"> </w:t>
      </w:r>
      <w:r w:rsidRPr="00481CF9">
        <w:rPr>
          <w:i/>
          <w:iCs/>
        </w:rPr>
        <w:t>Olga Tellis</w:t>
      </w:r>
      <w:r w:rsidR="000543A6">
        <w:rPr>
          <w:i/>
          <w:iCs/>
        </w:rPr>
        <w:t xml:space="preserve"> </w:t>
      </w:r>
      <w:r w:rsidR="000543A6" w:rsidRPr="000543A6">
        <w:t xml:space="preserve">(n </w:t>
      </w:r>
      <w:r w:rsidR="000543A6" w:rsidRPr="000543A6">
        <w:fldChar w:fldCharType="begin"/>
      </w:r>
      <w:r w:rsidR="000543A6" w:rsidRPr="000543A6">
        <w:instrText xml:space="preserve"> NOTEREF _Ref169529509 \h </w:instrText>
      </w:r>
      <w:r w:rsidR="000543A6">
        <w:instrText xml:space="preserve"> \* MERGEFORMAT </w:instrText>
      </w:r>
      <w:r w:rsidR="000543A6" w:rsidRPr="000543A6">
        <w:fldChar w:fldCharType="separate"/>
      </w:r>
      <w:r w:rsidR="00CB298F">
        <w:t>7</w:t>
      </w:r>
      <w:r w:rsidR="000543A6" w:rsidRPr="000543A6">
        <w:fldChar w:fldCharType="end"/>
      </w:r>
      <w:r w:rsidR="000543A6" w:rsidRPr="000543A6">
        <w:t>).</w:t>
      </w:r>
    </w:p>
  </w:footnote>
  <w:footnote w:id="67">
    <w:p w14:paraId="7888277D" w14:textId="5DFCF921" w:rsidR="000C3E30" w:rsidRDefault="000C3E30">
      <w:pPr>
        <w:pStyle w:val="FootnoteText"/>
      </w:pPr>
      <w:r>
        <w:rPr>
          <w:rStyle w:val="FootnoteReference"/>
        </w:rPr>
        <w:footnoteRef/>
      </w:r>
      <w:r>
        <w:t xml:space="preserve"> Ibid.</w:t>
      </w:r>
    </w:p>
  </w:footnote>
  <w:footnote w:id="68">
    <w:p w14:paraId="1CBC8DE4" w14:textId="5D5BD549" w:rsidR="007E3E51" w:rsidRPr="00260405" w:rsidRDefault="007E3E51" w:rsidP="007E3E51">
      <w:pPr>
        <w:pStyle w:val="FootnoteText"/>
      </w:pPr>
      <w:r>
        <w:rPr>
          <w:rStyle w:val="FootnoteReference"/>
        </w:rPr>
        <w:footnoteRef/>
      </w:r>
      <w:r>
        <w:t xml:space="preserve"> </w:t>
      </w:r>
      <w:r w:rsidR="00F513F9">
        <w:t>Ibid.</w:t>
      </w:r>
    </w:p>
  </w:footnote>
  <w:footnote w:id="69">
    <w:p w14:paraId="2EDDF5FC" w14:textId="6D06CBAA" w:rsidR="002A7E86" w:rsidRDefault="002A7E86">
      <w:pPr>
        <w:pStyle w:val="FootnoteText"/>
      </w:pPr>
      <w:r>
        <w:rPr>
          <w:rStyle w:val="FootnoteReference"/>
        </w:rPr>
        <w:footnoteRef/>
      </w:r>
      <w:r>
        <w:t xml:space="preserve"> Ibid.</w:t>
      </w:r>
    </w:p>
  </w:footnote>
  <w:footnote w:id="70">
    <w:p w14:paraId="55B4DF03" w14:textId="2E648F50" w:rsidR="00D92442" w:rsidRPr="00B676F0" w:rsidRDefault="00D92442" w:rsidP="00D92442">
      <w:pPr>
        <w:pStyle w:val="FootnoteText"/>
      </w:pPr>
      <w:r>
        <w:rPr>
          <w:rStyle w:val="FootnoteReference"/>
        </w:rPr>
        <w:footnoteRef/>
      </w:r>
      <w:r>
        <w:t xml:space="preserve"> </w:t>
      </w:r>
      <w:r>
        <w:rPr>
          <w:i/>
          <w:iCs/>
        </w:rPr>
        <w:t xml:space="preserve">Grobler </w:t>
      </w:r>
      <w:r>
        <w:t xml:space="preserve">(n </w:t>
      </w:r>
      <w:r>
        <w:fldChar w:fldCharType="begin"/>
      </w:r>
      <w:r>
        <w:instrText xml:space="preserve"> NOTEREF _Ref169529241 \h </w:instrText>
      </w:r>
      <w:r>
        <w:fldChar w:fldCharType="separate"/>
      </w:r>
      <w:r w:rsidR="00CB298F">
        <w:t>64</w:t>
      </w:r>
      <w:r>
        <w:fldChar w:fldCharType="end"/>
      </w:r>
      <w:r>
        <w:t>) at para 36.</w:t>
      </w:r>
    </w:p>
  </w:footnote>
  <w:footnote w:id="71">
    <w:p w14:paraId="095A53F7" w14:textId="6420CA2E" w:rsidR="005B74FF" w:rsidRDefault="005B74FF">
      <w:pPr>
        <w:pStyle w:val="FootnoteText"/>
      </w:pPr>
      <w:r>
        <w:rPr>
          <w:rStyle w:val="FootnoteReference"/>
        </w:rPr>
        <w:footnoteRef/>
      </w:r>
      <w:r>
        <w:t xml:space="preserve"> Constitution s 28(2).</w:t>
      </w:r>
    </w:p>
  </w:footnote>
  <w:footnote w:id="72">
    <w:p w14:paraId="0AD36835" w14:textId="1A460826" w:rsidR="00A75429" w:rsidRDefault="00A75429">
      <w:pPr>
        <w:pStyle w:val="FootnoteText"/>
      </w:pPr>
      <w:r>
        <w:rPr>
          <w:rStyle w:val="FootnoteReference"/>
        </w:rPr>
        <w:footnoteRef/>
      </w:r>
      <w:r>
        <w:t xml:space="preserve"> </w:t>
      </w:r>
      <w:r w:rsidR="00617942">
        <w:t>PIE s 4(6).</w:t>
      </w:r>
    </w:p>
  </w:footnote>
  <w:footnote w:id="73">
    <w:p w14:paraId="39616EB6" w14:textId="13BE4DAE" w:rsidR="00F804EA" w:rsidRDefault="00F804EA">
      <w:pPr>
        <w:pStyle w:val="FootnoteText"/>
      </w:pPr>
      <w:r>
        <w:rPr>
          <w:rStyle w:val="FootnoteReference"/>
        </w:rPr>
        <w:footnoteRef/>
      </w:r>
      <w:r>
        <w:t xml:space="preserve"> </w:t>
      </w:r>
      <w:r w:rsidRPr="006B6BD2">
        <w:rPr>
          <w:i/>
          <w:iCs/>
        </w:rPr>
        <w:t xml:space="preserve">Mwelase and Others v Director-General for the Department of Rural Development and Land Reform and Another </w:t>
      </w:r>
      <w:r w:rsidRPr="00F804EA">
        <w:t>[2019] ZACC 30; 2019 (11) BCLR 1358 (CC); 2019 (6) SA 597 (CC)</w:t>
      </w:r>
      <w:r w:rsidR="006B6BD2">
        <w:t xml:space="preserve"> at para 46.</w:t>
      </w:r>
    </w:p>
  </w:footnote>
  <w:footnote w:id="74">
    <w:p w14:paraId="1E50E85A" w14:textId="5FF9C3D8" w:rsidR="00A70464" w:rsidRDefault="00A70464">
      <w:pPr>
        <w:pStyle w:val="FootnoteText"/>
      </w:pPr>
      <w:r>
        <w:rPr>
          <w:rStyle w:val="FootnoteReference"/>
        </w:rPr>
        <w:footnoteRef/>
      </w:r>
      <w:r>
        <w:t xml:space="preserve"> </w:t>
      </w:r>
      <w:r w:rsidR="00224927" w:rsidRPr="00262086">
        <w:rPr>
          <w:i/>
          <w:iCs/>
        </w:rPr>
        <w:t>City of Cape Town v Yawa and others</w:t>
      </w:r>
      <w:r w:rsidR="00262086">
        <w:t xml:space="preserve"> </w:t>
      </w:r>
      <w:r w:rsidR="00262086" w:rsidRPr="00262086">
        <w:t>[2004] 2 All SA 281 (C)</w:t>
      </w:r>
      <w:r w:rsidR="00262086">
        <w:t>.</w:t>
      </w:r>
    </w:p>
  </w:footnote>
  <w:footnote w:id="75">
    <w:p w14:paraId="611F0EE6" w14:textId="77777777" w:rsidR="00A97DDA" w:rsidRDefault="00A97DDA" w:rsidP="00A97DDA">
      <w:pPr>
        <w:pStyle w:val="FootnoteText"/>
      </w:pPr>
      <w:r>
        <w:rPr>
          <w:rStyle w:val="FootnoteReference"/>
        </w:rPr>
        <w:footnoteRef/>
      </w:r>
      <w:r>
        <w:t xml:space="preserve"> </w:t>
      </w:r>
      <w:r w:rsidRPr="00CE765C">
        <w:rPr>
          <w:i/>
          <w:iCs/>
        </w:rPr>
        <w:t>Zulu and Others v eThekwini Municipality and Others</w:t>
      </w:r>
      <w:r w:rsidRPr="00CE765C">
        <w:t xml:space="preserve"> [2014] ZACC 17; 2014 (4) SA 590 (CC); 2014 (8) BCLR 971 (CC)</w:t>
      </w:r>
      <w:r>
        <w:t>.</w:t>
      </w:r>
    </w:p>
  </w:footnote>
  <w:footnote w:id="76">
    <w:p w14:paraId="76155605" w14:textId="394DB77F" w:rsidR="00971A44" w:rsidRPr="00971A44" w:rsidRDefault="00971A44">
      <w:pPr>
        <w:pStyle w:val="FootnoteText"/>
      </w:pPr>
      <w:r>
        <w:rPr>
          <w:rStyle w:val="FootnoteReference"/>
        </w:rPr>
        <w:footnoteRef/>
      </w:r>
      <w:r>
        <w:t xml:space="preserve"> </w:t>
      </w:r>
      <w:r w:rsidR="00DD1F1F">
        <w:t>Ibid</w:t>
      </w:r>
      <w:r>
        <w:rPr>
          <w:i/>
          <w:iCs/>
        </w:rPr>
        <w:t xml:space="preserve"> </w:t>
      </w:r>
      <w:r>
        <w:t>at para 44.</w:t>
      </w:r>
    </w:p>
  </w:footnote>
  <w:footnote w:id="77">
    <w:p w14:paraId="3C164E2D" w14:textId="059C7737" w:rsidR="004501A0" w:rsidRDefault="004501A0">
      <w:pPr>
        <w:pStyle w:val="FootnoteText"/>
      </w:pPr>
      <w:r>
        <w:rPr>
          <w:rStyle w:val="FootnoteReference"/>
        </w:rPr>
        <w:footnoteRef/>
      </w:r>
      <w:r>
        <w:t xml:space="preserve"> </w:t>
      </w:r>
      <w:r w:rsidRPr="004501A0">
        <w:t>2022 (3) SA 497 (GJ)</w:t>
      </w:r>
      <w:r>
        <w:t>.</w:t>
      </w:r>
      <w:r w:rsidR="00B11562">
        <w:t xml:space="preserve"> See also </w:t>
      </w:r>
      <w:r w:rsidR="00B11562" w:rsidRPr="00B11562">
        <w:rPr>
          <w:i/>
          <w:iCs/>
        </w:rPr>
        <w:t>Ekurhuleni Metropolitan Municipality v Harmse and Others</w:t>
      </w:r>
      <w:r w:rsidR="00B11562" w:rsidRPr="00B11562">
        <w:t xml:space="preserve"> [2023] ZAGPJHC 860</w:t>
      </w:r>
      <w:r w:rsidR="00B11562">
        <w:t xml:space="preserve"> and </w:t>
      </w:r>
      <w:r w:rsidR="00007665" w:rsidRPr="00007665">
        <w:rPr>
          <w:i/>
          <w:iCs/>
        </w:rPr>
        <w:t>Ekurhuleni Metropolitan Municipality v Sibanda</w:t>
      </w:r>
      <w:r w:rsidR="00007665">
        <w:t xml:space="preserve"> </w:t>
      </w:r>
      <w:r w:rsidR="005372C1" w:rsidRPr="005372C1">
        <w:t>[2022] ZAGPJHC 286</w:t>
      </w:r>
      <w:r w:rsidR="00007665">
        <w:t>.</w:t>
      </w:r>
    </w:p>
  </w:footnote>
  <w:footnote w:id="78">
    <w:p w14:paraId="105647C5" w14:textId="0E47A622" w:rsidR="00F43463" w:rsidRDefault="00F43463">
      <w:pPr>
        <w:pStyle w:val="FootnoteText"/>
      </w:pPr>
      <w:r>
        <w:rPr>
          <w:rStyle w:val="FootnoteReference"/>
        </w:rPr>
        <w:footnoteRef/>
      </w:r>
      <w:r>
        <w:t xml:space="preserve"> Wilson AJ concluded that PIE may not apply because the people facing eviction in that case were not “unlawful occupiers” as defined in PIE. The implication is that if they were unlawful occupiers, the Municipality would be required to comply not only with s 26(3), but also with </w:t>
      </w:r>
      <w:r w:rsidR="00A578C3">
        <w:t>PIE.</w:t>
      </w:r>
    </w:p>
  </w:footnote>
  <w:footnote w:id="79">
    <w:p w14:paraId="19AFFD25" w14:textId="418430B4" w:rsidR="00E43B5F" w:rsidRDefault="00E43B5F">
      <w:pPr>
        <w:pStyle w:val="FootnoteText"/>
      </w:pPr>
      <w:r>
        <w:rPr>
          <w:rStyle w:val="FootnoteReference"/>
        </w:rPr>
        <w:footnoteRef/>
      </w:r>
      <w:r>
        <w:t xml:space="preserve"> Section 22A(2) must be read with </w:t>
      </w:r>
      <w:r w:rsidR="00A9608C">
        <w:t>s 22(1)(d) which expressly makes the power to arrest “subject to subsection (2)”.</w:t>
      </w:r>
    </w:p>
  </w:footnote>
  <w:footnote w:id="80">
    <w:p w14:paraId="27D60571" w14:textId="5B664A67" w:rsidR="00DB30F9" w:rsidRDefault="00DB30F9">
      <w:pPr>
        <w:pStyle w:val="FootnoteText"/>
      </w:pPr>
      <w:r>
        <w:rPr>
          <w:rStyle w:val="FootnoteReference"/>
        </w:rPr>
        <w:footnoteRef/>
      </w:r>
      <w:r>
        <w:t xml:space="preserve"> </w:t>
      </w:r>
      <w:r w:rsidRPr="00DB30F9">
        <w:t>I was initially allocated to hear that application as part of a Full Court</w:t>
      </w:r>
      <w:r>
        <w:t xml:space="preserve"> shortly after this application was heard</w:t>
      </w:r>
      <w:r w:rsidRPr="00DB30F9">
        <w:t>, but it was postponed</w:t>
      </w:r>
      <w:r>
        <w:t xml:space="preserve"> by agreement</w:t>
      </w:r>
      <w:r w:rsidRPr="00DB30F9">
        <w:t>.</w:t>
      </w:r>
    </w:p>
  </w:footnote>
  <w:footnote w:id="81">
    <w:p w14:paraId="32118FF8" w14:textId="1247A60A" w:rsidR="00300F46" w:rsidRDefault="00300F46">
      <w:pPr>
        <w:pStyle w:val="FootnoteText"/>
      </w:pPr>
      <w:r>
        <w:rPr>
          <w:rStyle w:val="FootnoteReference"/>
        </w:rPr>
        <w:footnoteRef/>
      </w:r>
      <w:r>
        <w:t xml:space="preserve"> Constitution s </w:t>
      </w:r>
      <w:r w:rsidR="0050494E">
        <w:t>8</w:t>
      </w:r>
      <w:r>
        <w:t>(1).</w:t>
      </w:r>
    </w:p>
  </w:footnote>
  <w:footnote w:id="82">
    <w:p w14:paraId="79DEDC45" w14:textId="0B135F49" w:rsidR="00BD1CC4" w:rsidRDefault="00BD1CC4">
      <w:pPr>
        <w:pStyle w:val="FootnoteText"/>
      </w:pPr>
      <w:r>
        <w:rPr>
          <w:rStyle w:val="FootnoteReference"/>
        </w:rPr>
        <w:footnoteRef/>
      </w:r>
      <w:r>
        <w:t xml:space="preserve"> There may be circumstances where removal without a court order</w:t>
      </w:r>
      <w:r w:rsidR="0028523E">
        <w:t>, or without an eviction order,</w:t>
      </w:r>
      <w:r>
        <w:t xml:space="preserve"> is justified</w:t>
      </w:r>
      <w:r w:rsidR="0028523E">
        <w:t xml:space="preserve">. For example, in emergency situations, or to prevent imminent safety risks. But then that limitation of s 26(3) will be </w:t>
      </w:r>
      <w:r w:rsidR="00961201">
        <w:t>justifiable whether enacted in By-Law or court order.</w:t>
      </w:r>
    </w:p>
  </w:footnote>
  <w:footnote w:id="83">
    <w:p w14:paraId="72446B47" w14:textId="30CB8183" w:rsidR="00D6473E" w:rsidRDefault="00D6473E">
      <w:pPr>
        <w:pStyle w:val="FootnoteText"/>
      </w:pPr>
      <w:r>
        <w:rPr>
          <w:rStyle w:val="FootnoteReference"/>
        </w:rPr>
        <w:footnoteRef/>
      </w:r>
      <w:r>
        <w:t xml:space="preserve"> The relevant part of s 156(3) reads: “</w:t>
      </w:r>
      <w:r w:rsidRPr="00D6473E">
        <w:t>Subject to section 151(4), a by-law that conflicts with national or provincial legislation is invalid.</w:t>
      </w:r>
      <w:r>
        <w:t>”</w:t>
      </w:r>
      <w:r w:rsidR="004C6E0F">
        <w:t xml:space="preserve"> Section 151(4) reads: “</w:t>
      </w:r>
      <w:r w:rsidR="004C6E0F" w:rsidRPr="004C6E0F">
        <w:t>The national or a provincial government may not compromise or impede a municipality’s ability or right to exercise its powers or perform its functions.</w:t>
      </w:r>
      <w:r w:rsidR="008C63D1">
        <w:t xml:space="preserve">” </w:t>
      </w:r>
    </w:p>
  </w:footnote>
  <w:footnote w:id="84">
    <w:p w14:paraId="3DAE703E" w14:textId="3446C4B9" w:rsidR="00270524" w:rsidRDefault="00270524">
      <w:pPr>
        <w:pStyle w:val="FootnoteText"/>
      </w:pPr>
      <w:r>
        <w:rPr>
          <w:rStyle w:val="FootnoteReference"/>
        </w:rPr>
        <w:footnoteRef/>
      </w:r>
      <w:r>
        <w:t xml:space="preserve"> </w:t>
      </w:r>
      <w:r w:rsidR="00233E96" w:rsidRPr="00233E96">
        <w:rPr>
          <w:i/>
          <w:iCs/>
        </w:rPr>
        <w:t>Biowatch Trust v Registrar Genetic Resources and Other</w:t>
      </w:r>
      <w:r w:rsidR="00233E96">
        <w:rPr>
          <w:i/>
          <w:iCs/>
        </w:rPr>
        <w:t>s</w:t>
      </w:r>
      <w:r w:rsidR="00233E96" w:rsidRPr="00233E96">
        <w:t xml:space="preserve"> [2009] ZACC 14; 2009 (6) SA 232 (CC); 2009 (10) BCLR 1014 (CC)</w:t>
      </w:r>
      <w:r w:rsidR="00233E96">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968283"/>
      <w:docPartObj>
        <w:docPartGallery w:val="Page Numbers (Top of Page)"/>
        <w:docPartUnique/>
      </w:docPartObj>
    </w:sdtPr>
    <w:sdtEndPr>
      <w:rPr>
        <w:noProof/>
      </w:rPr>
    </w:sdtEndPr>
    <w:sdtContent>
      <w:p w14:paraId="5BCDB062" w14:textId="4EA1ED71" w:rsidR="00DF3105" w:rsidRDefault="00DF3105">
        <w:pPr>
          <w:pStyle w:val="Header"/>
          <w:jc w:val="right"/>
        </w:pPr>
        <w:r>
          <w:fldChar w:fldCharType="begin"/>
        </w:r>
        <w:r>
          <w:instrText xml:space="preserve"> PAGE   \* MERGEFORMAT </w:instrText>
        </w:r>
        <w:r>
          <w:fldChar w:fldCharType="separate"/>
        </w:r>
        <w:r w:rsidR="00ED74CB">
          <w:rPr>
            <w:noProof/>
          </w:rPr>
          <w:t>1</w:t>
        </w:r>
        <w:r>
          <w:rPr>
            <w:noProof/>
          </w:rPr>
          <w:fldChar w:fldCharType="end"/>
        </w:r>
      </w:p>
    </w:sdtContent>
  </w:sdt>
  <w:p w14:paraId="1C2DAE2F" w14:textId="77777777" w:rsidR="00DF3105" w:rsidRDefault="00DF31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C2879"/>
    <w:multiLevelType w:val="multilevel"/>
    <w:tmpl w:val="E6E6822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 w15:restartNumberingAfterBreak="0">
    <w:nsid w:val="53330394"/>
    <w:multiLevelType w:val="multilevel"/>
    <w:tmpl w:val="6E2C2116"/>
    <w:lvl w:ilvl="0">
      <w:start w:val="1"/>
      <w:numFmt w:val="decimal"/>
      <w:lvlText w:val="%1."/>
      <w:lvlJc w:val="left"/>
      <w:pPr>
        <w:ind w:left="720" w:hanging="720"/>
      </w:pPr>
      <w:rPr>
        <w:rFonts w:hint="default"/>
        <w:b w:val="0"/>
        <w:i w:val="0"/>
        <w:iCs w:val="0"/>
        <w:sz w:val="24"/>
        <w:szCs w:val="24"/>
      </w:rPr>
    </w:lvl>
    <w:lvl w:ilvl="1">
      <w:start w:val="1"/>
      <w:numFmt w:val="decimal"/>
      <w:lvlText w:val="%1.%2."/>
      <w:lvlJc w:val="left"/>
      <w:pPr>
        <w:ind w:left="1440" w:hanging="720"/>
      </w:pPr>
      <w:rPr>
        <w:rFonts w:ascii="Arial" w:hAnsi="Arial" w:cs="Arial" w:hint="default"/>
        <w:b w:val="0"/>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 w15:restartNumberingAfterBreak="0">
    <w:nsid w:val="542D002C"/>
    <w:multiLevelType w:val="multilevel"/>
    <w:tmpl w:val="6986A80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 w15:restartNumberingAfterBreak="0">
    <w:nsid w:val="6BF0335A"/>
    <w:multiLevelType w:val="multilevel"/>
    <w:tmpl w:val="AA1EC7E6"/>
    <w:lvl w:ilvl="0">
      <w:start w:val="1"/>
      <w:numFmt w:val="decimal"/>
      <w:lvlText w:val="%1."/>
      <w:lvlJc w:val="left"/>
      <w:pPr>
        <w:ind w:left="720" w:hanging="720"/>
      </w:pPr>
      <w:rPr>
        <w:rFonts w:ascii="Arial" w:hAnsi="Arial" w:cs="Aria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 w15:restartNumberingAfterBreak="0">
    <w:nsid w:val="6E9A49FF"/>
    <w:multiLevelType w:val="multilevel"/>
    <w:tmpl w:val="96EA21E2"/>
    <w:lvl w:ilvl="0">
      <w:start w:val="1"/>
      <w:numFmt w:val="decimal"/>
      <w:pStyle w:val="ListParagraph"/>
      <w:lvlText w:val="[%1]"/>
      <w:lvlJc w:val="left"/>
      <w:pPr>
        <w:ind w:left="0" w:firstLine="0"/>
      </w:pPr>
      <w:rPr>
        <w:rFonts w:hint="default"/>
        <w:i w:val="0"/>
        <w:iCs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2"/>
  </w:num>
  <w:num w:numId="8">
    <w:abstractNumId w:val="2"/>
  </w:num>
  <w:num w:numId="9">
    <w:abstractNumId w:val="2"/>
  </w:num>
  <w:num w:numId="10">
    <w:abstractNumId w:val="2"/>
  </w:num>
  <w:num w:numId="11">
    <w:abstractNumId w:val="1"/>
  </w:num>
  <w:num w:numId="12">
    <w:abstractNumId w:val="4"/>
  </w:num>
  <w:num w:numId="13">
    <w:abstractNumId w:val="4"/>
  </w:num>
  <w:num w:numId="14">
    <w:abstractNumId w:val="0"/>
  </w:num>
  <w:num w:numId="15">
    <w:abstractNumId w:val="4"/>
  </w:num>
  <w:num w:numId="16">
    <w:abstractNumId w:val="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ED"/>
    <w:rsid w:val="00001A21"/>
    <w:rsid w:val="00002288"/>
    <w:rsid w:val="000030DB"/>
    <w:rsid w:val="00004780"/>
    <w:rsid w:val="000048A8"/>
    <w:rsid w:val="00004B45"/>
    <w:rsid w:val="00005885"/>
    <w:rsid w:val="00007665"/>
    <w:rsid w:val="00007726"/>
    <w:rsid w:val="00011C49"/>
    <w:rsid w:val="00014F7B"/>
    <w:rsid w:val="0001582E"/>
    <w:rsid w:val="000161D8"/>
    <w:rsid w:val="0001753C"/>
    <w:rsid w:val="0001754B"/>
    <w:rsid w:val="000176F6"/>
    <w:rsid w:val="000210D7"/>
    <w:rsid w:val="00021843"/>
    <w:rsid w:val="000222FE"/>
    <w:rsid w:val="0002434E"/>
    <w:rsid w:val="00024F44"/>
    <w:rsid w:val="00025CA6"/>
    <w:rsid w:val="00027B20"/>
    <w:rsid w:val="00027FC4"/>
    <w:rsid w:val="0003020A"/>
    <w:rsid w:val="00030D73"/>
    <w:rsid w:val="0003185F"/>
    <w:rsid w:val="00032B28"/>
    <w:rsid w:val="00032BF7"/>
    <w:rsid w:val="00034340"/>
    <w:rsid w:val="000347F7"/>
    <w:rsid w:val="00036E68"/>
    <w:rsid w:val="00037918"/>
    <w:rsid w:val="000412BC"/>
    <w:rsid w:val="0004419F"/>
    <w:rsid w:val="00045672"/>
    <w:rsid w:val="00045C4F"/>
    <w:rsid w:val="00047748"/>
    <w:rsid w:val="00051068"/>
    <w:rsid w:val="00051069"/>
    <w:rsid w:val="00051457"/>
    <w:rsid w:val="000543A6"/>
    <w:rsid w:val="000549F1"/>
    <w:rsid w:val="00054AE2"/>
    <w:rsid w:val="00054D48"/>
    <w:rsid w:val="00057EAB"/>
    <w:rsid w:val="00057FC2"/>
    <w:rsid w:val="00060AC5"/>
    <w:rsid w:val="00061398"/>
    <w:rsid w:val="00061706"/>
    <w:rsid w:val="00062034"/>
    <w:rsid w:val="00062FDA"/>
    <w:rsid w:val="00064EA0"/>
    <w:rsid w:val="00065C93"/>
    <w:rsid w:val="00065E98"/>
    <w:rsid w:val="00065FE4"/>
    <w:rsid w:val="00071424"/>
    <w:rsid w:val="0007259D"/>
    <w:rsid w:val="00074423"/>
    <w:rsid w:val="00075218"/>
    <w:rsid w:val="000753ED"/>
    <w:rsid w:val="00075DE4"/>
    <w:rsid w:val="00077CDE"/>
    <w:rsid w:val="000815E5"/>
    <w:rsid w:val="0008333A"/>
    <w:rsid w:val="00084482"/>
    <w:rsid w:val="00084814"/>
    <w:rsid w:val="00091342"/>
    <w:rsid w:val="000923A0"/>
    <w:rsid w:val="00092F55"/>
    <w:rsid w:val="000933E0"/>
    <w:rsid w:val="00093BFE"/>
    <w:rsid w:val="00093EF6"/>
    <w:rsid w:val="00093F41"/>
    <w:rsid w:val="00094359"/>
    <w:rsid w:val="0009447D"/>
    <w:rsid w:val="0009454E"/>
    <w:rsid w:val="00096111"/>
    <w:rsid w:val="00096232"/>
    <w:rsid w:val="00096264"/>
    <w:rsid w:val="00096601"/>
    <w:rsid w:val="00096779"/>
    <w:rsid w:val="000A17B4"/>
    <w:rsid w:val="000A5179"/>
    <w:rsid w:val="000A5595"/>
    <w:rsid w:val="000A6AB0"/>
    <w:rsid w:val="000B2B27"/>
    <w:rsid w:val="000B34B0"/>
    <w:rsid w:val="000B3CD5"/>
    <w:rsid w:val="000B3F72"/>
    <w:rsid w:val="000B60BE"/>
    <w:rsid w:val="000B61DD"/>
    <w:rsid w:val="000B6E28"/>
    <w:rsid w:val="000C2148"/>
    <w:rsid w:val="000C3E30"/>
    <w:rsid w:val="000C648D"/>
    <w:rsid w:val="000C65E2"/>
    <w:rsid w:val="000C6933"/>
    <w:rsid w:val="000C69AA"/>
    <w:rsid w:val="000C69CC"/>
    <w:rsid w:val="000C7F94"/>
    <w:rsid w:val="000D0070"/>
    <w:rsid w:val="000D2D4B"/>
    <w:rsid w:val="000D3664"/>
    <w:rsid w:val="000D44D4"/>
    <w:rsid w:val="000D4EC6"/>
    <w:rsid w:val="000D5B4C"/>
    <w:rsid w:val="000D6DF1"/>
    <w:rsid w:val="000E3868"/>
    <w:rsid w:val="000E40FF"/>
    <w:rsid w:val="000E494B"/>
    <w:rsid w:val="000F1225"/>
    <w:rsid w:val="000F1242"/>
    <w:rsid w:val="000F1D8A"/>
    <w:rsid w:val="000F4C9C"/>
    <w:rsid w:val="000F4F32"/>
    <w:rsid w:val="000F560A"/>
    <w:rsid w:val="000F5C9A"/>
    <w:rsid w:val="000F664F"/>
    <w:rsid w:val="000F7DB5"/>
    <w:rsid w:val="00100F6A"/>
    <w:rsid w:val="00102378"/>
    <w:rsid w:val="001035CC"/>
    <w:rsid w:val="0010385D"/>
    <w:rsid w:val="00104392"/>
    <w:rsid w:val="001051A0"/>
    <w:rsid w:val="001075CC"/>
    <w:rsid w:val="00110030"/>
    <w:rsid w:val="001107DA"/>
    <w:rsid w:val="001115B6"/>
    <w:rsid w:val="00111B49"/>
    <w:rsid w:val="00113D9E"/>
    <w:rsid w:val="001152D5"/>
    <w:rsid w:val="0012051A"/>
    <w:rsid w:val="00124EA5"/>
    <w:rsid w:val="00124EC5"/>
    <w:rsid w:val="0012654E"/>
    <w:rsid w:val="00126D86"/>
    <w:rsid w:val="001300B8"/>
    <w:rsid w:val="001313AB"/>
    <w:rsid w:val="001352D4"/>
    <w:rsid w:val="00136FA4"/>
    <w:rsid w:val="00140AFF"/>
    <w:rsid w:val="001414FE"/>
    <w:rsid w:val="0014199B"/>
    <w:rsid w:val="00142289"/>
    <w:rsid w:val="00145D47"/>
    <w:rsid w:val="001469B8"/>
    <w:rsid w:val="00150AA7"/>
    <w:rsid w:val="001513D6"/>
    <w:rsid w:val="00151B48"/>
    <w:rsid w:val="00152644"/>
    <w:rsid w:val="00154096"/>
    <w:rsid w:val="00154E72"/>
    <w:rsid w:val="0015643E"/>
    <w:rsid w:val="00157D73"/>
    <w:rsid w:val="00162057"/>
    <w:rsid w:val="00163228"/>
    <w:rsid w:val="00163CDF"/>
    <w:rsid w:val="001650EE"/>
    <w:rsid w:val="00167035"/>
    <w:rsid w:val="00167737"/>
    <w:rsid w:val="00170ABC"/>
    <w:rsid w:val="0017129A"/>
    <w:rsid w:val="00172722"/>
    <w:rsid w:val="00172AF8"/>
    <w:rsid w:val="0017402F"/>
    <w:rsid w:val="00174B31"/>
    <w:rsid w:val="00175A2B"/>
    <w:rsid w:val="00175F72"/>
    <w:rsid w:val="00175FC3"/>
    <w:rsid w:val="00176570"/>
    <w:rsid w:val="00176A70"/>
    <w:rsid w:val="00176D34"/>
    <w:rsid w:val="00177DAE"/>
    <w:rsid w:val="00180B8D"/>
    <w:rsid w:val="00184550"/>
    <w:rsid w:val="00184D6F"/>
    <w:rsid w:val="00184E77"/>
    <w:rsid w:val="0018554B"/>
    <w:rsid w:val="00187460"/>
    <w:rsid w:val="00187CDC"/>
    <w:rsid w:val="00192692"/>
    <w:rsid w:val="00193FCC"/>
    <w:rsid w:val="0019465C"/>
    <w:rsid w:val="00195C67"/>
    <w:rsid w:val="001967FF"/>
    <w:rsid w:val="001A0A4F"/>
    <w:rsid w:val="001A18E0"/>
    <w:rsid w:val="001A235F"/>
    <w:rsid w:val="001A2862"/>
    <w:rsid w:val="001A3E65"/>
    <w:rsid w:val="001A418D"/>
    <w:rsid w:val="001A4F57"/>
    <w:rsid w:val="001A5958"/>
    <w:rsid w:val="001B13B0"/>
    <w:rsid w:val="001B42D7"/>
    <w:rsid w:val="001B5015"/>
    <w:rsid w:val="001B6052"/>
    <w:rsid w:val="001B7CEA"/>
    <w:rsid w:val="001C04DF"/>
    <w:rsid w:val="001C1B19"/>
    <w:rsid w:val="001C3448"/>
    <w:rsid w:val="001C3B36"/>
    <w:rsid w:val="001C3FEC"/>
    <w:rsid w:val="001C699C"/>
    <w:rsid w:val="001C6F84"/>
    <w:rsid w:val="001D2A31"/>
    <w:rsid w:val="001D66B5"/>
    <w:rsid w:val="001D768F"/>
    <w:rsid w:val="001E2300"/>
    <w:rsid w:val="001E2E31"/>
    <w:rsid w:val="001E4552"/>
    <w:rsid w:val="001E5073"/>
    <w:rsid w:val="001E6F20"/>
    <w:rsid w:val="001E73FB"/>
    <w:rsid w:val="001E7862"/>
    <w:rsid w:val="001E7CA6"/>
    <w:rsid w:val="001F201E"/>
    <w:rsid w:val="001F2A69"/>
    <w:rsid w:val="001F3A4D"/>
    <w:rsid w:val="001F3C0C"/>
    <w:rsid w:val="001F4777"/>
    <w:rsid w:val="001F4C4A"/>
    <w:rsid w:val="001F4CA8"/>
    <w:rsid w:val="001F598A"/>
    <w:rsid w:val="001F732F"/>
    <w:rsid w:val="00201052"/>
    <w:rsid w:val="00201BF7"/>
    <w:rsid w:val="00205265"/>
    <w:rsid w:val="0020633D"/>
    <w:rsid w:val="00207397"/>
    <w:rsid w:val="00210123"/>
    <w:rsid w:val="002105CD"/>
    <w:rsid w:val="0021106D"/>
    <w:rsid w:val="00211600"/>
    <w:rsid w:val="002116B1"/>
    <w:rsid w:val="0021184F"/>
    <w:rsid w:val="00212368"/>
    <w:rsid w:val="00212681"/>
    <w:rsid w:val="00216E34"/>
    <w:rsid w:val="002179EE"/>
    <w:rsid w:val="002204C3"/>
    <w:rsid w:val="00221A91"/>
    <w:rsid w:val="00221E3E"/>
    <w:rsid w:val="00221E68"/>
    <w:rsid w:val="00222514"/>
    <w:rsid w:val="00223761"/>
    <w:rsid w:val="0022392C"/>
    <w:rsid w:val="00224927"/>
    <w:rsid w:val="00225B52"/>
    <w:rsid w:val="00230444"/>
    <w:rsid w:val="0023232E"/>
    <w:rsid w:val="00233E96"/>
    <w:rsid w:val="00234497"/>
    <w:rsid w:val="00234F02"/>
    <w:rsid w:val="00236560"/>
    <w:rsid w:val="00237270"/>
    <w:rsid w:val="002433B5"/>
    <w:rsid w:val="0024428C"/>
    <w:rsid w:val="00245F9D"/>
    <w:rsid w:val="00246EA6"/>
    <w:rsid w:val="002471B6"/>
    <w:rsid w:val="00247E22"/>
    <w:rsid w:val="00251EE5"/>
    <w:rsid w:val="0025244D"/>
    <w:rsid w:val="00253B17"/>
    <w:rsid w:val="00253D36"/>
    <w:rsid w:val="00255C1E"/>
    <w:rsid w:val="002564CC"/>
    <w:rsid w:val="00260405"/>
    <w:rsid w:val="00262086"/>
    <w:rsid w:val="002633E4"/>
    <w:rsid w:val="0026396D"/>
    <w:rsid w:val="00263DDD"/>
    <w:rsid w:val="00264857"/>
    <w:rsid w:val="00267CF9"/>
    <w:rsid w:val="002700FA"/>
    <w:rsid w:val="002704CA"/>
    <w:rsid w:val="00270524"/>
    <w:rsid w:val="00271A2A"/>
    <w:rsid w:val="00271DDD"/>
    <w:rsid w:val="00276424"/>
    <w:rsid w:val="002770A0"/>
    <w:rsid w:val="00277CD1"/>
    <w:rsid w:val="00277D4B"/>
    <w:rsid w:val="00281461"/>
    <w:rsid w:val="002824DA"/>
    <w:rsid w:val="00282DC0"/>
    <w:rsid w:val="0028523E"/>
    <w:rsid w:val="002857D2"/>
    <w:rsid w:val="00285A94"/>
    <w:rsid w:val="002863DC"/>
    <w:rsid w:val="00287CED"/>
    <w:rsid w:val="00287F71"/>
    <w:rsid w:val="00290243"/>
    <w:rsid w:val="00290964"/>
    <w:rsid w:val="00292398"/>
    <w:rsid w:val="00294BA3"/>
    <w:rsid w:val="00294C71"/>
    <w:rsid w:val="00295A6F"/>
    <w:rsid w:val="00295FD9"/>
    <w:rsid w:val="00296001"/>
    <w:rsid w:val="002A0220"/>
    <w:rsid w:val="002A2A5B"/>
    <w:rsid w:val="002A3645"/>
    <w:rsid w:val="002A3AA6"/>
    <w:rsid w:val="002A47AD"/>
    <w:rsid w:val="002A4D04"/>
    <w:rsid w:val="002A4D9E"/>
    <w:rsid w:val="002A602E"/>
    <w:rsid w:val="002A7E86"/>
    <w:rsid w:val="002B0AAB"/>
    <w:rsid w:val="002B11EC"/>
    <w:rsid w:val="002B1644"/>
    <w:rsid w:val="002B1B8A"/>
    <w:rsid w:val="002B1CC9"/>
    <w:rsid w:val="002B3301"/>
    <w:rsid w:val="002B3C64"/>
    <w:rsid w:val="002B4FA8"/>
    <w:rsid w:val="002B5A20"/>
    <w:rsid w:val="002B6415"/>
    <w:rsid w:val="002C038E"/>
    <w:rsid w:val="002C03E7"/>
    <w:rsid w:val="002C1462"/>
    <w:rsid w:val="002C167B"/>
    <w:rsid w:val="002C2AF4"/>
    <w:rsid w:val="002C3935"/>
    <w:rsid w:val="002C5E80"/>
    <w:rsid w:val="002C72F5"/>
    <w:rsid w:val="002D0D46"/>
    <w:rsid w:val="002D17CE"/>
    <w:rsid w:val="002D2160"/>
    <w:rsid w:val="002D2326"/>
    <w:rsid w:val="002D3AA5"/>
    <w:rsid w:val="002D4D38"/>
    <w:rsid w:val="002D7741"/>
    <w:rsid w:val="002D7B1E"/>
    <w:rsid w:val="002D7E32"/>
    <w:rsid w:val="002E0D18"/>
    <w:rsid w:val="002E0FFD"/>
    <w:rsid w:val="002E2309"/>
    <w:rsid w:val="002E40F7"/>
    <w:rsid w:val="002E4895"/>
    <w:rsid w:val="002E6FDE"/>
    <w:rsid w:val="002E75D7"/>
    <w:rsid w:val="002E75DD"/>
    <w:rsid w:val="002E799A"/>
    <w:rsid w:val="002E7F2B"/>
    <w:rsid w:val="002F0424"/>
    <w:rsid w:val="002F2694"/>
    <w:rsid w:val="002F26B5"/>
    <w:rsid w:val="002F33F8"/>
    <w:rsid w:val="002F3A2A"/>
    <w:rsid w:val="002F45F6"/>
    <w:rsid w:val="002F6CAA"/>
    <w:rsid w:val="0030074A"/>
    <w:rsid w:val="003009BB"/>
    <w:rsid w:val="00300F46"/>
    <w:rsid w:val="00304F6A"/>
    <w:rsid w:val="00305EA4"/>
    <w:rsid w:val="00305F10"/>
    <w:rsid w:val="00306D55"/>
    <w:rsid w:val="003105A1"/>
    <w:rsid w:val="00311C76"/>
    <w:rsid w:val="003129D7"/>
    <w:rsid w:val="003134DF"/>
    <w:rsid w:val="00315419"/>
    <w:rsid w:val="003165DA"/>
    <w:rsid w:val="003170EC"/>
    <w:rsid w:val="003220A3"/>
    <w:rsid w:val="00324821"/>
    <w:rsid w:val="00324C9E"/>
    <w:rsid w:val="00326F28"/>
    <w:rsid w:val="00326F89"/>
    <w:rsid w:val="00327787"/>
    <w:rsid w:val="003278F9"/>
    <w:rsid w:val="00327DAF"/>
    <w:rsid w:val="003313FD"/>
    <w:rsid w:val="00333D7C"/>
    <w:rsid w:val="003345AE"/>
    <w:rsid w:val="00337A7A"/>
    <w:rsid w:val="00337D56"/>
    <w:rsid w:val="00341608"/>
    <w:rsid w:val="00342481"/>
    <w:rsid w:val="00342C61"/>
    <w:rsid w:val="003443C6"/>
    <w:rsid w:val="0034629D"/>
    <w:rsid w:val="00346A07"/>
    <w:rsid w:val="00346EC4"/>
    <w:rsid w:val="00347154"/>
    <w:rsid w:val="00350458"/>
    <w:rsid w:val="00350912"/>
    <w:rsid w:val="0035116E"/>
    <w:rsid w:val="003519CF"/>
    <w:rsid w:val="003538E9"/>
    <w:rsid w:val="003539C6"/>
    <w:rsid w:val="00355442"/>
    <w:rsid w:val="00355877"/>
    <w:rsid w:val="00355FC0"/>
    <w:rsid w:val="003563AF"/>
    <w:rsid w:val="0035748C"/>
    <w:rsid w:val="00361276"/>
    <w:rsid w:val="00361DD8"/>
    <w:rsid w:val="003624FE"/>
    <w:rsid w:val="00362C40"/>
    <w:rsid w:val="003631A4"/>
    <w:rsid w:val="00363213"/>
    <w:rsid w:val="003632F3"/>
    <w:rsid w:val="003657C3"/>
    <w:rsid w:val="00366FFA"/>
    <w:rsid w:val="00370881"/>
    <w:rsid w:val="00370D50"/>
    <w:rsid w:val="00372132"/>
    <w:rsid w:val="00373445"/>
    <w:rsid w:val="003739C4"/>
    <w:rsid w:val="003769D8"/>
    <w:rsid w:val="00377126"/>
    <w:rsid w:val="00380358"/>
    <w:rsid w:val="003842BE"/>
    <w:rsid w:val="00384474"/>
    <w:rsid w:val="003871E8"/>
    <w:rsid w:val="00391C2C"/>
    <w:rsid w:val="00392CDB"/>
    <w:rsid w:val="00392CFD"/>
    <w:rsid w:val="00393F22"/>
    <w:rsid w:val="003963CB"/>
    <w:rsid w:val="003963D7"/>
    <w:rsid w:val="00396AF2"/>
    <w:rsid w:val="00397A98"/>
    <w:rsid w:val="003A00AA"/>
    <w:rsid w:val="003A0C74"/>
    <w:rsid w:val="003A1D3F"/>
    <w:rsid w:val="003A7F38"/>
    <w:rsid w:val="003B069C"/>
    <w:rsid w:val="003B0CBC"/>
    <w:rsid w:val="003B1077"/>
    <w:rsid w:val="003B3B1B"/>
    <w:rsid w:val="003B5D1A"/>
    <w:rsid w:val="003B7363"/>
    <w:rsid w:val="003B7F71"/>
    <w:rsid w:val="003C0A9E"/>
    <w:rsid w:val="003C1919"/>
    <w:rsid w:val="003C1DF0"/>
    <w:rsid w:val="003C1FA0"/>
    <w:rsid w:val="003C42CB"/>
    <w:rsid w:val="003C4CE6"/>
    <w:rsid w:val="003C6299"/>
    <w:rsid w:val="003C6BE4"/>
    <w:rsid w:val="003D13F7"/>
    <w:rsid w:val="003D38E2"/>
    <w:rsid w:val="003D6323"/>
    <w:rsid w:val="003D6416"/>
    <w:rsid w:val="003D7761"/>
    <w:rsid w:val="003E1814"/>
    <w:rsid w:val="003E1883"/>
    <w:rsid w:val="003E1B50"/>
    <w:rsid w:val="003E54C5"/>
    <w:rsid w:val="003E5FD1"/>
    <w:rsid w:val="003E7D11"/>
    <w:rsid w:val="003F4122"/>
    <w:rsid w:val="00400676"/>
    <w:rsid w:val="0040137B"/>
    <w:rsid w:val="004066F9"/>
    <w:rsid w:val="004074F0"/>
    <w:rsid w:val="0041042C"/>
    <w:rsid w:val="004104B5"/>
    <w:rsid w:val="00412390"/>
    <w:rsid w:val="00412D7F"/>
    <w:rsid w:val="00413772"/>
    <w:rsid w:val="00416954"/>
    <w:rsid w:val="00416E0B"/>
    <w:rsid w:val="00417AD2"/>
    <w:rsid w:val="00417E80"/>
    <w:rsid w:val="004202AE"/>
    <w:rsid w:val="00422AC3"/>
    <w:rsid w:val="00423B1D"/>
    <w:rsid w:val="00423EF3"/>
    <w:rsid w:val="0042407F"/>
    <w:rsid w:val="00424BE4"/>
    <w:rsid w:val="00424D55"/>
    <w:rsid w:val="0042657A"/>
    <w:rsid w:val="004312A0"/>
    <w:rsid w:val="004356FA"/>
    <w:rsid w:val="00435ED5"/>
    <w:rsid w:val="0043799D"/>
    <w:rsid w:val="0044102C"/>
    <w:rsid w:val="0044193E"/>
    <w:rsid w:val="00442F53"/>
    <w:rsid w:val="00443213"/>
    <w:rsid w:val="004501A0"/>
    <w:rsid w:val="00451CA2"/>
    <w:rsid w:val="00453192"/>
    <w:rsid w:val="00453669"/>
    <w:rsid w:val="004540B1"/>
    <w:rsid w:val="004570C1"/>
    <w:rsid w:val="004605C5"/>
    <w:rsid w:val="00460ED5"/>
    <w:rsid w:val="00461555"/>
    <w:rsid w:val="004628BB"/>
    <w:rsid w:val="00464144"/>
    <w:rsid w:val="00464AAC"/>
    <w:rsid w:val="00465A1B"/>
    <w:rsid w:val="004663EB"/>
    <w:rsid w:val="00466867"/>
    <w:rsid w:val="00466B67"/>
    <w:rsid w:val="00470F54"/>
    <w:rsid w:val="0047174C"/>
    <w:rsid w:val="00471BCC"/>
    <w:rsid w:val="00471D01"/>
    <w:rsid w:val="00471D7E"/>
    <w:rsid w:val="00472F7A"/>
    <w:rsid w:val="00473B79"/>
    <w:rsid w:val="00474CDD"/>
    <w:rsid w:val="00475BA2"/>
    <w:rsid w:val="00476498"/>
    <w:rsid w:val="00476881"/>
    <w:rsid w:val="00476DDB"/>
    <w:rsid w:val="0048086A"/>
    <w:rsid w:val="00481CF9"/>
    <w:rsid w:val="00481DC8"/>
    <w:rsid w:val="00481FB5"/>
    <w:rsid w:val="00482274"/>
    <w:rsid w:val="00482EED"/>
    <w:rsid w:val="00483398"/>
    <w:rsid w:val="00483BE7"/>
    <w:rsid w:val="00483C99"/>
    <w:rsid w:val="00483F16"/>
    <w:rsid w:val="00483F7F"/>
    <w:rsid w:val="00485AEC"/>
    <w:rsid w:val="00485C2E"/>
    <w:rsid w:val="0048753E"/>
    <w:rsid w:val="00491DDC"/>
    <w:rsid w:val="00492441"/>
    <w:rsid w:val="00492CBC"/>
    <w:rsid w:val="00493734"/>
    <w:rsid w:val="00495879"/>
    <w:rsid w:val="00496DF1"/>
    <w:rsid w:val="004A11F4"/>
    <w:rsid w:val="004A1EF9"/>
    <w:rsid w:val="004A4AC0"/>
    <w:rsid w:val="004A6FC5"/>
    <w:rsid w:val="004B180D"/>
    <w:rsid w:val="004B2D87"/>
    <w:rsid w:val="004B2F83"/>
    <w:rsid w:val="004B3E95"/>
    <w:rsid w:val="004B3FBE"/>
    <w:rsid w:val="004C0EF6"/>
    <w:rsid w:val="004C208D"/>
    <w:rsid w:val="004C573B"/>
    <w:rsid w:val="004C64F1"/>
    <w:rsid w:val="004C6E0F"/>
    <w:rsid w:val="004C7826"/>
    <w:rsid w:val="004D1D45"/>
    <w:rsid w:val="004D1D94"/>
    <w:rsid w:val="004D3B06"/>
    <w:rsid w:val="004D3C65"/>
    <w:rsid w:val="004D6A62"/>
    <w:rsid w:val="004E161E"/>
    <w:rsid w:val="004E1E3C"/>
    <w:rsid w:val="004E5261"/>
    <w:rsid w:val="004E67E5"/>
    <w:rsid w:val="004F019F"/>
    <w:rsid w:val="004F091B"/>
    <w:rsid w:val="004F2BEA"/>
    <w:rsid w:val="004F37D8"/>
    <w:rsid w:val="004F3B69"/>
    <w:rsid w:val="004F43C2"/>
    <w:rsid w:val="004F55B8"/>
    <w:rsid w:val="004F7D2B"/>
    <w:rsid w:val="005025BC"/>
    <w:rsid w:val="00503955"/>
    <w:rsid w:val="0050494E"/>
    <w:rsid w:val="00504FFA"/>
    <w:rsid w:val="005064E0"/>
    <w:rsid w:val="00506868"/>
    <w:rsid w:val="0051001D"/>
    <w:rsid w:val="00510B36"/>
    <w:rsid w:val="005121FD"/>
    <w:rsid w:val="005138C9"/>
    <w:rsid w:val="0051453E"/>
    <w:rsid w:val="00516EE3"/>
    <w:rsid w:val="005170DF"/>
    <w:rsid w:val="00517CA0"/>
    <w:rsid w:val="00520BDE"/>
    <w:rsid w:val="0052119E"/>
    <w:rsid w:val="005224AD"/>
    <w:rsid w:val="005232A2"/>
    <w:rsid w:val="0052463D"/>
    <w:rsid w:val="00524D2D"/>
    <w:rsid w:val="00527ADF"/>
    <w:rsid w:val="00527FC8"/>
    <w:rsid w:val="0053018C"/>
    <w:rsid w:val="00531C97"/>
    <w:rsid w:val="00532D1D"/>
    <w:rsid w:val="00534886"/>
    <w:rsid w:val="00534F0D"/>
    <w:rsid w:val="00536311"/>
    <w:rsid w:val="00536864"/>
    <w:rsid w:val="0053688C"/>
    <w:rsid w:val="005372C1"/>
    <w:rsid w:val="0054066F"/>
    <w:rsid w:val="005440DA"/>
    <w:rsid w:val="00544371"/>
    <w:rsid w:val="0054451B"/>
    <w:rsid w:val="00547F99"/>
    <w:rsid w:val="00547FA0"/>
    <w:rsid w:val="00551EDA"/>
    <w:rsid w:val="00552526"/>
    <w:rsid w:val="005525AE"/>
    <w:rsid w:val="00560AA3"/>
    <w:rsid w:val="005630B3"/>
    <w:rsid w:val="00563CDD"/>
    <w:rsid w:val="00563E41"/>
    <w:rsid w:val="0056414E"/>
    <w:rsid w:val="0056470E"/>
    <w:rsid w:val="00565EF7"/>
    <w:rsid w:val="00566433"/>
    <w:rsid w:val="005666A2"/>
    <w:rsid w:val="005703AE"/>
    <w:rsid w:val="00570660"/>
    <w:rsid w:val="005719F6"/>
    <w:rsid w:val="0057259E"/>
    <w:rsid w:val="00573946"/>
    <w:rsid w:val="00573F82"/>
    <w:rsid w:val="00574CDB"/>
    <w:rsid w:val="00575707"/>
    <w:rsid w:val="00576165"/>
    <w:rsid w:val="0057666B"/>
    <w:rsid w:val="00577EB9"/>
    <w:rsid w:val="00580F45"/>
    <w:rsid w:val="00581690"/>
    <w:rsid w:val="00581CFA"/>
    <w:rsid w:val="00581E1E"/>
    <w:rsid w:val="00582AF5"/>
    <w:rsid w:val="005837AF"/>
    <w:rsid w:val="00583B73"/>
    <w:rsid w:val="005862C0"/>
    <w:rsid w:val="005879C0"/>
    <w:rsid w:val="0059033D"/>
    <w:rsid w:val="0059226B"/>
    <w:rsid w:val="00592306"/>
    <w:rsid w:val="00592CF6"/>
    <w:rsid w:val="00592D6E"/>
    <w:rsid w:val="005945A4"/>
    <w:rsid w:val="0059783A"/>
    <w:rsid w:val="005979C3"/>
    <w:rsid w:val="005A0D70"/>
    <w:rsid w:val="005A1884"/>
    <w:rsid w:val="005A2A59"/>
    <w:rsid w:val="005A2E1A"/>
    <w:rsid w:val="005A3D8A"/>
    <w:rsid w:val="005A4115"/>
    <w:rsid w:val="005A4AFB"/>
    <w:rsid w:val="005A7780"/>
    <w:rsid w:val="005A7824"/>
    <w:rsid w:val="005B08D2"/>
    <w:rsid w:val="005B195E"/>
    <w:rsid w:val="005B31BF"/>
    <w:rsid w:val="005B3243"/>
    <w:rsid w:val="005B498C"/>
    <w:rsid w:val="005B4A6C"/>
    <w:rsid w:val="005B74FF"/>
    <w:rsid w:val="005C006F"/>
    <w:rsid w:val="005C0A69"/>
    <w:rsid w:val="005C0E98"/>
    <w:rsid w:val="005C0ED6"/>
    <w:rsid w:val="005C27E4"/>
    <w:rsid w:val="005C2B4F"/>
    <w:rsid w:val="005C321C"/>
    <w:rsid w:val="005C356B"/>
    <w:rsid w:val="005C4B3D"/>
    <w:rsid w:val="005C4BE2"/>
    <w:rsid w:val="005C5A89"/>
    <w:rsid w:val="005C766A"/>
    <w:rsid w:val="005D2053"/>
    <w:rsid w:val="005D338C"/>
    <w:rsid w:val="005D5BAA"/>
    <w:rsid w:val="005E05B1"/>
    <w:rsid w:val="005E2BD7"/>
    <w:rsid w:val="005E2DE0"/>
    <w:rsid w:val="005E2DE9"/>
    <w:rsid w:val="005E4B1E"/>
    <w:rsid w:val="005E7262"/>
    <w:rsid w:val="005F0995"/>
    <w:rsid w:val="005F09C0"/>
    <w:rsid w:val="005F0BC7"/>
    <w:rsid w:val="005F134A"/>
    <w:rsid w:val="005F19B6"/>
    <w:rsid w:val="005F3374"/>
    <w:rsid w:val="005F376A"/>
    <w:rsid w:val="005F5386"/>
    <w:rsid w:val="005F79ED"/>
    <w:rsid w:val="005F7ADC"/>
    <w:rsid w:val="005F7E7D"/>
    <w:rsid w:val="00601137"/>
    <w:rsid w:val="00601553"/>
    <w:rsid w:val="00602BC4"/>
    <w:rsid w:val="006048C9"/>
    <w:rsid w:val="00604CC4"/>
    <w:rsid w:val="00610190"/>
    <w:rsid w:val="00613E7B"/>
    <w:rsid w:val="0061489B"/>
    <w:rsid w:val="00616299"/>
    <w:rsid w:val="00617942"/>
    <w:rsid w:val="00623797"/>
    <w:rsid w:val="0062468E"/>
    <w:rsid w:val="00626CDB"/>
    <w:rsid w:val="00630027"/>
    <w:rsid w:val="00630713"/>
    <w:rsid w:val="00631741"/>
    <w:rsid w:val="00633408"/>
    <w:rsid w:val="006342C5"/>
    <w:rsid w:val="006346A9"/>
    <w:rsid w:val="006369EE"/>
    <w:rsid w:val="00637798"/>
    <w:rsid w:val="00641E7E"/>
    <w:rsid w:val="006427E8"/>
    <w:rsid w:val="006432EB"/>
    <w:rsid w:val="00643B34"/>
    <w:rsid w:val="00643D9A"/>
    <w:rsid w:val="006458FE"/>
    <w:rsid w:val="0064676C"/>
    <w:rsid w:val="00646B0B"/>
    <w:rsid w:val="00650985"/>
    <w:rsid w:val="006513CB"/>
    <w:rsid w:val="00651704"/>
    <w:rsid w:val="006518DD"/>
    <w:rsid w:val="00651AF1"/>
    <w:rsid w:val="00652821"/>
    <w:rsid w:val="006537AE"/>
    <w:rsid w:val="00653955"/>
    <w:rsid w:val="00656959"/>
    <w:rsid w:val="00662ABC"/>
    <w:rsid w:val="00664292"/>
    <w:rsid w:val="006647CE"/>
    <w:rsid w:val="0066570F"/>
    <w:rsid w:val="00666883"/>
    <w:rsid w:val="00666C9E"/>
    <w:rsid w:val="006675DC"/>
    <w:rsid w:val="0067377D"/>
    <w:rsid w:val="00673930"/>
    <w:rsid w:val="00673EB9"/>
    <w:rsid w:val="0067447B"/>
    <w:rsid w:val="0067466B"/>
    <w:rsid w:val="00676839"/>
    <w:rsid w:val="00676940"/>
    <w:rsid w:val="00676E70"/>
    <w:rsid w:val="0067708F"/>
    <w:rsid w:val="006771C1"/>
    <w:rsid w:val="006776A8"/>
    <w:rsid w:val="0067772B"/>
    <w:rsid w:val="0067775A"/>
    <w:rsid w:val="00677A8F"/>
    <w:rsid w:val="00680E13"/>
    <w:rsid w:val="00680F0C"/>
    <w:rsid w:val="00680FA0"/>
    <w:rsid w:val="006821D3"/>
    <w:rsid w:val="00683766"/>
    <w:rsid w:val="00684537"/>
    <w:rsid w:val="00684A70"/>
    <w:rsid w:val="00686B9C"/>
    <w:rsid w:val="00687E42"/>
    <w:rsid w:val="006928BD"/>
    <w:rsid w:val="00692B06"/>
    <w:rsid w:val="0069300B"/>
    <w:rsid w:val="00693061"/>
    <w:rsid w:val="0069327E"/>
    <w:rsid w:val="00693809"/>
    <w:rsid w:val="00693E93"/>
    <w:rsid w:val="00694AB6"/>
    <w:rsid w:val="00695E8A"/>
    <w:rsid w:val="00696189"/>
    <w:rsid w:val="006969CD"/>
    <w:rsid w:val="00697704"/>
    <w:rsid w:val="006A0D27"/>
    <w:rsid w:val="006A2977"/>
    <w:rsid w:val="006A57D7"/>
    <w:rsid w:val="006A6369"/>
    <w:rsid w:val="006A6503"/>
    <w:rsid w:val="006A6D9B"/>
    <w:rsid w:val="006B02F2"/>
    <w:rsid w:val="006B03A1"/>
    <w:rsid w:val="006B3040"/>
    <w:rsid w:val="006B38A8"/>
    <w:rsid w:val="006B52C3"/>
    <w:rsid w:val="006B6BD2"/>
    <w:rsid w:val="006C090F"/>
    <w:rsid w:val="006C0BCE"/>
    <w:rsid w:val="006C6A7A"/>
    <w:rsid w:val="006C6C6B"/>
    <w:rsid w:val="006C6EA1"/>
    <w:rsid w:val="006C7447"/>
    <w:rsid w:val="006D00F5"/>
    <w:rsid w:val="006D18A8"/>
    <w:rsid w:val="006D2C99"/>
    <w:rsid w:val="006D2D17"/>
    <w:rsid w:val="006D38E1"/>
    <w:rsid w:val="006D42C4"/>
    <w:rsid w:val="006D65EE"/>
    <w:rsid w:val="006D6854"/>
    <w:rsid w:val="006D7F1C"/>
    <w:rsid w:val="006E07D4"/>
    <w:rsid w:val="006E40A8"/>
    <w:rsid w:val="006E4A88"/>
    <w:rsid w:val="006E52BA"/>
    <w:rsid w:val="006E53FF"/>
    <w:rsid w:val="006E5BD0"/>
    <w:rsid w:val="006E6880"/>
    <w:rsid w:val="006E6910"/>
    <w:rsid w:val="006E6B96"/>
    <w:rsid w:val="006F30A1"/>
    <w:rsid w:val="006F4CF2"/>
    <w:rsid w:val="006F611C"/>
    <w:rsid w:val="00701D65"/>
    <w:rsid w:val="00704BAA"/>
    <w:rsid w:val="00705628"/>
    <w:rsid w:val="0070661D"/>
    <w:rsid w:val="00710BFA"/>
    <w:rsid w:val="007124FB"/>
    <w:rsid w:val="007138E6"/>
    <w:rsid w:val="00714126"/>
    <w:rsid w:val="00715903"/>
    <w:rsid w:val="00716861"/>
    <w:rsid w:val="0071792F"/>
    <w:rsid w:val="007179C2"/>
    <w:rsid w:val="00720783"/>
    <w:rsid w:val="00722927"/>
    <w:rsid w:val="00724527"/>
    <w:rsid w:val="00724618"/>
    <w:rsid w:val="00724F5C"/>
    <w:rsid w:val="0072552B"/>
    <w:rsid w:val="007264A3"/>
    <w:rsid w:val="007278AA"/>
    <w:rsid w:val="00730200"/>
    <w:rsid w:val="0073274B"/>
    <w:rsid w:val="00732D72"/>
    <w:rsid w:val="00736459"/>
    <w:rsid w:val="007370AA"/>
    <w:rsid w:val="00737243"/>
    <w:rsid w:val="00737FB3"/>
    <w:rsid w:val="00740AB9"/>
    <w:rsid w:val="00741309"/>
    <w:rsid w:val="007416E9"/>
    <w:rsid w:val="00742133"/>
    <w:rsid w:val="007460FD"/>
    <w:rsid w:val="00746CA4"/>
    <w:rsid w:val="00746E4F"/>
    <w:rsid w:val="0074765C"/>
    <w:rsid w:val="0075045B"/>
    <w:rsid w:val="00755997"/>
    <w:rsid w:val="00756433"/>
    <w:rsid w:val="00756DE1"/>
    <w:rsid w:val="00757782"/>
    <w:rsid w:val="0076095E"/>
    <w:rsid w:val="00760EFA"/>
    <w:rsid w:val="00762227"/>
    <w:rsid w:val="007648FE"/>
    <w:rsid w:val="0076619D"/>
    <w:rsid w:val="007678C4"/>
    <w:rsid w:val="00767CDF"/>
    <w:rsid w:val="00771408"/>
    <w:rsid w:val="00771856"/>
    <w:rsid w:val="0077235E"/>
    <w:rsid w:val="00772BE7"/>
    <w:rsid w:val="007735F0"/>
    <w:rsid w:val="007743CF"/>
    <w:rsid w:val="00780273"/>
    <w:rsid w:val="00780857"/>
    <w:rsid w:val="00781330"/>
    <w:rsid w:val="00783611"/>
    <w:rsid w:val="00783F0D"/>
    <w:rsid w:val="00785EF9"/>
    <w:rsid w:val="00791BA3"/>
    <w:rsid w:val="0079211C"/>
    <w:rsid w:val="007930F8"/>
    <w:rsid w:val="00795A9A"/>
    <w:rsid w:val="00796583"/>
    <w:rsid w:val="007979B2"/>
    <w:rsid w:val="007A0528"/>
    <w:rsid w:val="007A122D"/>
    <w:rsid w:val="007A4C03"/>
    <w:rsid w:val="007A4F6E"/>
    <w:rsid w:val="007A5711"/>
    <w:rsid w:val="007A58A1"/>
    <w:rsid w:val="007A59DA"/>
    <w:rsid w:val="007B05C5"/>
    <w:rsid w:val="007B0813"/>
    <w:rsid w:val="007B0B22"/>
    <w:rsid w:val="007B4665"/>
    <w:rsid w:val="007B6683"/>
    <w:rsid w:val="007B722F"/>
    <w:rsid w:val="007C01D5"/>
    <w:rsid w:val="007C1BEF"/>
    <w:rsid w:val="007C1E02"/>
    <w:rsid w:val="007C3577"/>
    <w:rsid w:val="007C3A7A"/>
    <w:rsid w:val="007C538B"/>
    <w:rsid w:val="007C71DB"/>
    <w:rsid w:val="007D1A0C"/>
    <w:rsid w:val="007D2A48"/>
    <w:rsid w:val="007D2FB3"/>
    <w:rsid w:val="007D6C87"/>
    <w:rsid w:val="007E2FEA"/>
    <w:rsid w:val="007E3E51"/>
    <w:rsid w:val="007E4136"/>
    <w:rsid w:val="007E4E85"/>
    <w:rsid w:val="007E51CA"/>
    <w:rsid w:val="007E5BB0"/>
    <w:rsid w:val="007E79F0"/>
    <w:rsid w:val="007F09AA"/>
    <w:rsid w:val="007F1566"/>
    <w:rsid w:val="007F20D7"/>
    <w:rsid w:val="007F2AB4"/>
    <w:rsid w:val="007F3B30"/>
    <w:rsid w:val="007F74E8"/>
    <w:rsid w:val="007F7FE6"/>
    <w:rsid w:val="008014A3"/>
    <w:rsid w:val="0080170E"/>
    <w:rsid w:val="00803FD3"/>
    <w:rsid w:val="0080541D"/>
    <w:rsid w:val="00805703"/>
    <w:rsid w:val="008058FC"/>
    <w:rsid w:val="00805BDC"/>
    <w:rsid w:val="008105A5"/>
    <w:rsid w:val="00811434"/>
    <w:rsid w:val="008117E8"/>
    <w:rsid w:val="00811A31"/>
    <w:rsid w:val="00813A3D"/>
    <w:rsid w:val="00813EE2"/>
    <w:rsid w:val="008144DB"/>
    <w:rsid w:val="008148A7"/>
    <w:rsid w:val="00815A5C"/>
    <w:rsid w:val="00816967"/>
    <w:rsid w:val="0081779E"/>
    <w:rsid w:val="00820739"/>
    <w:rsid w:val="008209B1"/>
    <w:rsid w:val="00822E15"/>
    <w:rsid w:val="00823284"/>
    <w:rsid w:val="0082793B"/>
    <w:rsid w:val="00830713"/>
    <w:rsid w:val="008328E0"/>
    <w:rsid w:val="00832B71"/>
    <w:rsid w:val="00832DC8"/>
    <w:rsid w:val="00834DCD"/>
    <w:rsid w:val="00835DFA"/>
    <w:rsid w:val="008374FD"/>
    <w:rsid w:val="00840E7C"/>
    <w:rsid w:val="008427DF"/>
    <w:rsid w:val="00842E48"/>
    <w:rsid w:val="0084350A"/>
    <w:rsid w:val="00843AD9"/>
    <w:rsid w:val="00844693"/>
    <w:rsid w:val="008501F7"/>
    <w:rsid w:val="00850F42"/>
    <w:rsid w:val="00855315"/>
    <w:rsid w:val="00857019"/>
    <w:rsid w:val="0086054A"/>
    <w:rsid w:val="00863D47"/>
    <w:rsid w:val="008654D1"/>
    <w:rsid w:val="008660DC"/>
    <w:rsid w:val="00867ED7"/>
    <w:rsid w:val="00870D1E"/>
    <w:rsid w:val="00871745"/>
    <w:rsid w:val="008719D3"/>
    <w:rsid w:val="00875D61"/>
    <w:rsid w:val="00876580"/>
    <w:rsid w:val="008766EB"/>
    <w:rsid w:val="00876C11"/>
    <w:rsid w:val="00876F30"/>
    <w:rsid w:val="00877766"/>
    <w:rsid w:val="00880B54"/>
    <w:rsid w:val="00881DFC"/>
    <w:rsid w:val="0088350E"/>
    <w:rsid w:val="0088475F"/>
    <w:rsid w:val="0088528C"/>
    <w:rsid w:val="00885DA0"/>
    <w:rsid w:val="00886455"/>
    <w:rsid w:val="00886EA9"/>
    <w:rsid w:val="00887056"/>
    <w:rsid w:val="008871E0"/>
    <w:rsid w:val="008875CB"/>
    <w:rsid w:val="008926F2"/>
    <w:rsid w:val="00892E7E"/>
    <w:rsid w:val="0089346E"/>
    <w:rsid w:val="00895F42"/>
    <w:rsid w:val="008961AE"/>
    <w:rsid w:val="008A0F91"/>
    <w:rsid w:val="008A31B8"/>
    <w:rsid w:val="008A5879"/>
    <w:rsid w:val="008A6535"/>
    <w:rsid w:val="008A7ABC"/>
    <w:rsid w:val="008B0C19"/>
    <w:rsid w:val="008B2C07"/>
    <w:rsid w:val="008B33CC"/>
    <w:rsid w:val="008B369C"/>
    <w:rsid w:val="008B3D59"/>
    <w:rsid w:val="008B3E67"/>
    <w:rsid w:val="008B48B7"/>
    <w:rsid w:val="008B4A7C"/>
    <w:rsid w:val="008B5047"/>
    <w:rsid w:val="008B625D"/>
    <w:rsid w:val="008B6C9D"/>
    <w:rsid w:val="008B6F7A"/>
    <w:rsid w:val="008C03D7"/>
    <w:rsid w:val="008C07CD"/>
    <w:rsid w:val="008C0FE2"/>
    <w:rsid w:val="008C2352"/>
    <w:rsid w:val="008C2461"/>
    <w:rsid w:val="008C4006"/>
    <w:rsid w:val="008C46D1"/>
    <w:rsid w:val="008C5F98"/>
    <w:rsid w:val="008C63D1"/>
    <w:rsid w:val="008C7234"/>
    <w:rsid w:val="008C7687"/>
    <w:rsid w:val="008D21B9"/>
    <w:rsid w:val="008D263F"/>
    <w:rsid w:val="008D3EF4"/>
    <w:rsid w:val="008D5E47"/>
    <w:rsid w:val="008D5EAB"/>
    <w:rsid w:val="008E0000"/>
    <w:rsid w:val="008E11C8"/>
    <w:rsid w:val="008E1295"/>
    <w:rsid w:val="008E1CD9"/>
    <w:rsid w:val="008E284F"/>
    <w:rsid w:val="008E3F5F"/>
    <w:rsid w:val="008E48CE"/>
    <w:rsid w:val="008E599A"/>
    <w:rsid w:val="008F06E3"/>
    <w:rsid w:val="008F0DB4"/>
    <w:rsid w:val="008F1E6D"/>
    <w:rsid w:val="008F5028"/>
    <w:rsid w:val="008F63A4"/>
    <w:rsid w:val="008F765A"/>
    <w:rsid w:val="008F776F"/>
    <w:rsid w:val="009022C0"/>
    <w:rsid w:val="0090270B"/>
    <w:rsid w:val="00903C97"/>
    <w:rsid w:val="00907B80"/>
    <w:rsid w:val="00910865"/>
    <w:rsid w:val="00911738"/>
    <w:rsid w:val="00911A9F"/>
    <w:rsid w:val="009149B5"/>
    <w:rsid w:val="00914A1E"/>
    <w:rsid w:val="009205C6"/>
    <w:rsid w:val="00920C60"/>
    <w:rsid w:val="009236B8"/>
    <w:rsid w:val="00923A92"/>
    <w:rsid w:val="00923DF7"/>
    <w:rsid w:val="0092602B"/>
    <w:rsid w:val="00926471"/>
    <w:rsid w:val="009268AD"/>
    <w:rsid w:val="009319F2"/>
    <w:rsid w:val="00932934"/>
    <w:rsid w:val="00933830"/>
    <w:rsid w:val="00933A1E"/>
    <w:rsid w:val="009346EF"/>
    <w:rsid w:val="009369FC"/>
    <w:rsid w:val="009375EB"/>
    <w:rsid w:val="009402EC"/>
    <w:rsid w:val="009407BA"/>
    <w:rsid w:val="0094398A"/>
    <w:rsid w:val="00944446"/>
    <w:rsid w:val="009447FD"/>
    <w:rsid w:val="00944DF3"/>
    <w:rsid w:val="00947401"/>
    <w:rsid w:val="009530C8"/>
    <w:rsid w:val="0095325F"/>
    <w:rsid w:val="0095622F"/>
    <w:rsid w:val="00957843"/>
    <w:rsid w:val="00960C84"/>
    <w:rsid w:val="00961201"/>
    <w:rsid w:val="00961ADC"/>
    <w:rsid w:val="0096374B"/>
    <w:rsid w:val="009641B2"/>
    <w:rsid w:val="009645A4"/>
    <w:rsid w:val="00964F95"/>
    <w:rsid w:val="0096568A"/>
    <w:rsid w:val="0096622A"/>
    <w:rsid w:val="00971A44"/>
    <w:rsid w:val="0097290B"/>
    <w:rsid w:val="009733F6"/>
    <w:rsid w:val="009738B4"/>
    <w:rsid w:val="00977695"/>
    <w:rsid w:val="009777E3"/>
    <w:rsid w:val="00977BF7"/>
    <w:rsid w:val="00980FF4"/>
    <w:rsid w:val="00981C46"/>
    <w:rsid w:val="00982216"/>
    <w:rsid w:val="00982B2F"/>
    <w:rsid w:val="00984081"/>
    <w:rsid w:val="00986A8E"/>
    <w:rsid w:val="00986B52"/>
    <w:rsid w:val="009935E8"/>
    <w:rsid w:val="00994D9F"/>
    <w:rsid w:val="0099509A"/>
    <w:rsid w:val="00997407"/>
    <w:rsid w:val="00997694"/>
    <w:rsid w:val="009A0A73"/>
    <w:rsid w:val="009A2567"/>
    <w:rsid w:val="009A6680"/>
    <w:rsid w:val="009B0F1B"/>
    <w:rsid w:val="009B5AEB"/>
    <w:rsid w:val="009B5E91"/>
    <w:rsid w:val="009B6A38"/>
    <w:rsid w:val="009C0741"/>
    <w:rsid w:val="009C0EB8"/>
    <w:rsid w:val="009C136D"/>
    <w:rsid w:val="009C1A88"/>
    <w:rsid w:val="009C1EDF"/>
    <w:rsid w:val="009C2074"/>
    <w:rsid w:val="009C35B5"/>
    <w:rsid w:val="009C3E4A"/>
    <w:rsid w:val="009C4537"/>
    <w:rsid w:val="009C64DC"/>
    <w:rsid w:val="009C6EA9"/>
    <w:rsid w:val="009C6EE7"/>
    <w:rsid w:val="009C7234"/>
    <w:rsid w:val="009D0250"/>
    <w:rsid w:val="009D04E6"/>
    <w:rsid w:val="009D1045"/>
    <w:rsid w:val="009D18FD"/>
    <w:rsid w:val="009D2EAD"/>
    <w:rsid w:val="009D56EE"/>
    <w:rsid w:val="009D746E"/>
    <w:rsid w:val="009D7D43"/>
    <w:rsid w:val="009E06C9"/>
    <w:rsid w:val="009E45FB"/>
    <w:rsid w:val="009E6B2C"/>
    <w:rsid w:val="009E7C9D"/>
    <w:rsid w:val="009F0238"/>
    <w:rsid w:val="009F290E"/>
    <w:rsid w:val="009F2FF9"/>
    <w:rsid w:val="009F3573"/>
    <w:rsid w:val="009F378C"/>
    <w:rsid w:val="009F4141"/>
    <w:rsid w:val="009F420E"/>
    <w:rsid w:val="009F427F"/>
    <w:rsid w:val="009F559D"/>
    <w:rsid w:val="009F5E2D"/>
    <w:rsid w:val="009F6E44"/>
    <w:rsid w:val="00A019AF"/>
    <w:rsid w:val="00A01AE9"/>
    <w:rsid w:val="00A023A9"/>
    <w:rsid w:val="00A02A5C"/>
    <w:rsid w:val="00A04394"/>
    <w:rsid w:val="00A05783"/>
    <w:rsid w:val="00A0663C"/>
    <w:rsid w:val="00A07FD6"/>
    <w:rsid w:val="00A10AD4"/>
    <w:rsid w:val="00A12D89"/>
    <w:rsid w:val="00A14271"/>
    <w:rsid w:val="00A149BD"/>
    <w:rsid w:val="00A200FD"/>
    <w:rsid w:val="00A21087"/>
    <w:rsid w:val="00A211BC"/>
    <w:rsid w:val="00A228EB"/>
    <w:rsid w:val="00A23419"/>
    <w:rsid w:val="00A239A8"/>
    <w:rsid w:val="00A252FD"/>
    <w:rsid w:val="00A2587C"/>
    <w:rsid w:val="00A25F4D"/>
    <w:rsid w:val="00A2698C"/>
    <w:rsid w:val="00A26F6C"/>
    <w:rsid w:val="00A27C53"/>
    <w:rsid w:val="00A34463"/>
    <w:rsid w:val="00A361D4"/>
    <w:rsid w:val="00A3694B"/>
    <w:rsid w:val="00A37A74"/>
    <w:rsid w:val="00A41042"/>
    <w:rsid w:val="00A4214A"/>
    <w:rsid w:val="00A435F5"/>
    <w:rsid w:val="00A43B6A"/>
    <w:rsid w:val="00A443B0"/>
    <w:rsid w:val="00A52F62"/>
    <w:rsid w:val="00A53DE7"/>
    <w:rsid w:val="00A53F31"/>
    <w:rsid w:val="00A5430F"/>
    <w:rsid w:val="00A550B5"/>
    <w:rsid w:val="00A552B9"/>
    <w:rsid w:val="00A5700E"/>
    <w:rsid w:val="00A578C3"/>
    <w:rsid w:val="00A6059E"/>
    <w:rsid w:val="00A61759"/>
    <w:rsid w:val="00A6223D"/>
    <w:rsid w:val="00A63208"/>
    <w:rsid w:val="00A66CE5"/>
    <w:rsid w:val="00A70464"/>
    <w:rsid w:val="00A71FC2"/>
    <w:rsid w:val="00A74495"/>
    <w:rsid w:val="00A752A4"/>
    <w:rsid w:val="00A75429"/>
    <w:rsid w:val="00A761AB"/>
    <w:rsid w:val="00A774F5"/>
    <w:rsid w:val="00A777B0"/>
    <w:rsid w:val="00A7798F"/>
    <w:rsid w:val="00A77B05"/>
    <w:rsid w:val="00A8016C"/>
    <w:rsid w:val="00A815A5"/>
    <w:rsid w:val="00A81915"/>
    <w:rsid w:val="00A82396"/>
    <w:rsid w:val="00A83346"/>
    <w:rsid w:val="00A856E1"/>
    <w:rsid w:val="00A85AFA"/>
    <w:rsid w:val="00A8705F"/>
    <w:rsid w:val="00A90757"/>
    <w:rsid w:val="00A91566"/>
    <w:rsid w:val="00A941CF"/>
    <w:rsid w:val="00A947A8"/>
    <w:rsid w:val="00A954D5"/>
    <w:rsid w:val="00A95AD3"/>
    <w:rsid w:val="00A9608C"/>
    <w:rsid w:val="00A97DDA"/>
    <w:rsid w:val="00A97F0D"/>
    <w:rsid w:val="00AA270B"/>
    <w:rsid w:val="00AA6B0B"/>
    <w:rsid w:val="00AA71FD"/>
    <w:rsid w:val="00AA746A"/>
    <w:rsid w:val="00AA776D"/>
    <w:rsid w:val="00AB0052"/>
    <w:rsid w:val="00AB077C"/>
    <w:rsid w:val="00AB234C"/>
    <w:rsid w:val="00AB31A6"/>
    <w:rsid w:val="00AB58BB"/>
    <w:rsid w:val="00AC2297"/>
    <w:rsid w:val="00AC2DE7"/>
    <w:rsid w:val="00AC5711"/>
    <w:rsid w:val="00AC5F13"/>
    <w:rsid w:val="00AD0581"/>
    <w:rsid w:val="00AD0E67"/>
    <w:rsid w:val="00AD103F"/>
    <w:rsid w:val="00AD1A1F"/>
    <w:rsid w:val="00AD2651"/>
    <w:rsid w:val="00AD26C6"/>
    <w:rsid w:val="00AD388A"/>
    <w:rsid w:val="00AD3FEA"/>
    <w:rsid w:val="00AD405F"/>
    <w:rsid w:val="00AD46C2"/>
    <w:rsid w:val="00AD4715"/>
    <w:rsid w:val="00AD49F8"/>
    <w:rsid w:val="00AD5553"/>
    <w:rsid w:val="00AD5CC7"/>
    <w:rsid w:val="00AD72EC"/>
    <w:rsid w:val="00AE09EF"/>
    <w:rsid w:val="00AE3965"/>
    <w:rsid w:val="00AE5814"/>
    <w:rsid w:val="00AE5E31"/>
    <w:rsid w:val="00AE64C6"/>
    <w:rsid w:val="00AE6733"/>
    <w:rsid w:val="00AE6A55"/>
    <w:rsid w:val="00AE6EEF"/>
    <w:rsid w:val="00AF0967"/>
    <w:rsid w:val="00AF1282"/>
    <w:rsid w:val="00AF1CA5"/>
    <w:rsid w:val="00AF257B"/>
    <w:rsid w:val="00AF385C"/>
    <w:rsid w:val="00AF42AD"/>
    <w:rsid w:val="00AF490F"/>
    <w:rsid w:val="00AF71D0"/>
    <w:rsid w:val="00B00F95"/>
    <w:rsid w:val="00B01CA7"/>
    <w:rsid w:val="00B02523"/>
    <w:rsid w:val="00B03C25"/>
    <w:rsid w:val="00B05E5E"/>
    <w:rsid w:val="00B11562"/>
    <w:rsid w:val="00B11E50"/>
    <w:rsid w:val="00B12455"/>
    <w:rsid w:val="00B148FA"/>
    <w:rsid w:val="00B1548E"/>
    <w:rsid w:val="00B15633"/>
    <w:rsid w:val="00B15670"/>
    <w:rsid w:val="00B15A8A"/>
    <w:rsid w:val="00B15F7E"/>
    <w:rsid w:val="00B16CC2"/>
    <w:rsid w:val="00B17773"/>
    <w:rsid w:val="00B20E0B"/>
    <w:rsid w:val="00B22E1D"/>
    <w:rsid w:val="00B242A6"/>
    <w:rsid w:val="00B24393"/>
    <w:rsid w:val="00B25CA3"/>
    <w:rsid w:val="00B26099"/>
    <w:rsid w:val="00B26947"/>
    <w:rsid w:val="00B27383"/>
    <w:rsid w:val="00B27F7A"/>
    <w:rsid w:val="00B32275"/>
    <w:rsid w:val="00B3338A"/>
    <w:rsid w:val="00B3595F"/>
    <w:rsid w:val="00B364EE"/>
    <w:rsid w:val="00B376DC"/>
    <w:rsid w:val="00B37BDD"/>
    <w:rsid w:val="00B407E9"/>
    <w:rsid w:val="00B441D5"/>
    <w:rsid w:val="00B44C02"/>
    <w:rsid w:val="00B46ACD"/>
    <w:rsid w:val="00B46F4D"/>
    <w:rsid w:val="00B5006E"/>
    <w:rsid w:val="00B532C8"/>
    <w:rsid w:val="00B53EA4"/>
    <w:rsid w:val="00B574B1"/>
    <w:rsid w:val="00B604CD"/>
    <w:rsid w:val="00B60EFD"/>
    <w:rsid w:val="00B62A17"/>
    <w:rsid w:val="00B63F4E"/>
    <w:rsid w:val="00B66C7A"/>
    <w:rsid w:val="00B676F0"/>
    <w:rsid w:val="00B700A8"/>
    <w:rsid w:val="00B70457"/>
    <w:rsid w:val="00B70F7A"/>
    <w:rsid w:val="00B726C7"/>
    <w:rsid w:val="00B74445"/>
    <w:rsid w:val="00B74916"/>
    <w:rsid w:val="00B75A0B"/>
    <w:rsid w:val="00B76F8C"/>
    <w:rsid w:val="00B770DD"/>
    <w:rsid w:val="00B77ADC"/>
    <w:rsid w:val="00B8046A"/>
    <w:rsid w:val="00B80643"/>
    <w:rsid w:val="00B81077"/>
    <w:rsid w:val="00B811B3"/>
    <w:rsid w:val="00B818C3"/>
    <w:rsid w:val="00B82974"/>
    <w:rsid w:val="00B8540C"/>
    <w:rsid w:val="00B94667"/>
    <w:rsid w:val="00B94BBE"/>
    <w:rsid w:val="00B9520C"/>
    <w:rsid w:val="00B95545"/>
    <w:rsid w:val="00B95635"/>
    <w:rsid w:val="00B97F54"/>
    <w:rsid w:val="00BA09CB"/>
    <w:rsid w:val="00BA2C55"/>
    <w:rsid w:val="00BA4115"/>
    <w:rsid w:val="00BA5309"/>
    <w:rsid w:val="00BA5856"/>
    <w:rsid w:val="00BA6099"/>
    <w:rsid w:val="00BA7429"/>
    <w:rsid w:val="00BB0005"/>
    <w:rsid w:val="00BB1808"/>
    <w:rsid w:val="00BB18FB"/>
    <w:rsid w:val="00BB2907"/>
    <w:rsid w:val="00BB56AB"/>
    <w:rsid w:val="00BB59A5"/>
    <w:rsid w:val="00BB6F65"/>
    <w:rsid w:val="00BB7F9F"/>
    <w:rsid w:val="00BC055E"/>
    <w:rsid w:val="00BC1736"/>
    <w:rsid w:val="00BC1CBF"/>
    <w:rsid w:val="00BC2C98"/>
    <w:rsid w:val="00BC379A"/>
    <w:rsid w:val="00BC3DFA"/>
    <w:rsid w:val="00BC414F"/>
    <w:rsid w:val="00BC476E"/>
    <w:rsid w:val="00BC74DE"/>
    <w:rsid w:val="00BD0DAE"/>
    <w:rsid w:val="00BD105B"/>
    <w:rsid w:val="00BD1CC4"/>
    <w:rsid w:val="00BD1F87"/>
    <w:rsid w:val="00BD6AA8"/>
    <w:rsid w:val="00BD6D93"/>
    <w:rsid w:val="00BD701D"/>
    <w:rsid w:val="00BD7A72"/>
    <w:rsid w:val="00BE0902"/>
    <w:rsid w:val="00BE2EBF"/>
    <w:rsid w:val="00BE4F02"/>
    <w:rsid w:val="00BF000F"/>
    <w:rsid w:val="00BF2152"/>
    <w:rsid w:val="00BF3691"/>
    <w:rsid w:val="00BF3DE9"/>
    <w:rsid w:val="00BF5E6D"/>
    <w:rsid w:val="00BF67A0"/>
    <w:rsid w:val="00BF709D"/>
    <w:rsid w:val="00C00BCE"/>
    <w:rsid w:val="00C00EED"/>
    <w:rsid w:val="00C02D13"/>
    <w:rsid w:val="00C03BB8"/>
    <w:rsid w:val="00C05EBE"/>
    <w:rsid w:val="00C07783"/>
    <w:rsid w:val="00C07AE6"/>
    <w:rsid w:val="00C07C1E"/>
    <w:rsid w:val="00C10D64"/>
    <w:rsid w:val="00C11067"/>
    <w:rsid w:val="00C11BC5"/>
    <w:rsid w:val="00C11DF4"/>
    <w:rsid w:val="00C15D43"/>
    <w:rsid w:val="00C16D35"/>
    <w:rsid w:val="00C1723E"/>
    <w:rsid w:val="00C21056"/>
    <w:rsid w:val="00C21156"/>
    <w:rsid w:val="00C2332A"/>
    <w:rsid w:val="00C2379D"/>
    <w:rsid w:val="00C23EE2"/>
    <w:rsid w:val="00C256C9"/>
    <w:rsid w:val="00C2587E"/>
    <w:rsid w:val="00C27857"/>
    <w:rsid w:val="00C278D3"/>
    <w:rsid w:val="00C30A39"/>
    <w:rsid w:val="00C3347C"/>
    <w:rsid w:val="00C3464D"/>
    <w:rsid w:val="00C364CD"/>
    <w:rsid w:val="00C40207"/>
    <w:rsid w:val="00C4024F"/>
    <w:rsid w:val="00C409E8"/>
    <w:rsid w:val="00C40E6E"/>
    <w:rsid w:val="00C435E6"/>
    <w:rsid w:val="00C44991"/>
    <w:rsid w:val="00C45BB8"/>
    <w:rsid w:val="00C4634A"/>
    <w:rsid w:val="00C471CE"/>
    <w:rsid w:val="00C51923"/>
    <w:rsid w:val="00C51AB2"/>
    <w:rsid w:val="00C52777"/>
    <w:rsid w:val="00C540A2"/>
    <w:rsid w:val="00C54552"/>
    <w:rsid w:val="00C560D3"/>
    <w:rsid w:val="00C570F5"/>
    <w:rsid w:val="00C60620"/>
    <w:rsid w:val="00C6193B"/>
    <w:rsid w:val="00C61E5B"/>
    <w:rsid w:val="00C62F4A"/>
    <w:rsid w:val="00C6355D"/>
    <w:rsid w:val="00C644B1"/>
    <w:rsid w:val="00C647D7"/>
    <w:rsid w:val="00C64B98"/>
    <w:rsid w:val="00C65300"/>
    <w:rsid w:val="00C6535D"/>
    <w:rsid w:val="00C71356"/>
    <w:rsid w:val="00C71A4E"/>
    <w:rsid w:val="00C71B5C"/>
    <w:rsid w:val="00C72ADE"/>
    <w:rsid w:val="00C73714"/>
    <w:rsid w:val="00C73FE0"/>
    <w:rsid w:val="00C743CB"/>
    <w:rsid w:val="00C76D4A"/>
    <w:rsid w:val="00C77034"/>
    <w:rsid w:val="00C7730F"/>
    <w:rsid w:val="00C80B2D"/>
    <w:rsid w:val="00C80CA5"/>
    <w:rsid w:val="00C82730"/>
    <w:rsid w:val="00C83CF4"/>
    <w:rsid w:val="00C83DD4"/>
    <w:rsid w:val="00C84C2A"/>
    <w:rsid w:val="00C84F7A"/>
    <w:rsid w:val="00C85825"/>
    <w:rsid w:val="00C86AD7"/>
    <w:rsid w:val="00C879FD"/>
    <w:rsid w:val="00C91587"/>
    <w:rsid w:val="00C91B29"/>
    <w:rsid w:val="00C91C6A"/>
    <w:rsid w:val="00C931B1"/>
    <w:rsid w:val="00C946EE"/>
    <w:rsid w:val="00C95E59"/>
    <w:rsid w:val="00C96D05"/>
    <w:rsid w:val="00C97BC7"/>
    <w:rsid w:val="00C97E64"/>
    <w:rsid w:val="00CA02C6"/>
    <w:rsid w:val="00CA30C9"/>
    <w:rsid w:val="00CA4966"/>
    <w:rsid w:val="00CA4BA0"/>
    <w:rsid w:val="00CA578F"/>
    <w:rsid w:val="00CB1A83"/>
    <w:rsid w:val="00CB298F"/>
    <w:rsid w:val="00CB536C"/>
    <w:rsid w:val="00CB5557"/>
    <w:rsid w:val="00CB6632"/>
    <w:rsid w:val="00CC0FA2"/>
    <w:rsid w:val="00CC14F7"/>
    <w:rsid w:val="00CC22BB"/>
    <w:rsid w:val="00CC286D"/>
    <w:rsid w:val="00CC3A94"/>
    <w:rsid w:val="00CC60C5"/>
    <w:rsid w:val="00CC6E9F"/>
    <w:rsid w:val="00CC7FDD"/>
    <w:rsid w:val="00CD29CB"/>
    <w:rsid w:val="00CD341C"/>
    <w:rsid w:val="00CD5546"/>
    <w:rsid w:val="00CE026B"/>
    <w:rsid w:val="00CE0274"/>
    <w:rsid w:val="00CE0362"/>
    <w:rsid w:val="00CE2C7C"/>
    <w:rsid w:val="00CE61D2"/>
    <w:rsid w:val="00CE765C"/>
    <w:rsid w:val="00CF1273"/>
    <w:rsid w:val="00CF315E"/>
    <w:rsid w:val="00CF374C"/>
    <w:rsid w:val="00CF566F"/>
    <w:rsid w:val="00CF5B2E"/>
    <w:rsid w:val="00CF7AB4"/>
    <w:rsid w:val="00D004FF"/>
    <w:rsid w:val="00D00C66"/>
    <w:rsid w:val="00D013B0"/>
    <w:rsid w:val="00D030D9"/>
    <w:rsid w:val="00D046D3"/>
    <w:rsid w:val="00D04774"/>
    <w:rsid w:val="00D0546B"/>
    <w:rsid w:val="00D05CD1"/>
    <w:rsid w:val="00D06A8B"/>
    <w:rsid w:val="00D0762B"/>
    <w:rsid w:val="00D12400"/>
    <w:rsid w:val="00D132D9"/>
    <w:rsid w:val="00D13C7A"/>
    <w:rsid w:val="00D14EAF"/>
    <w:rsid w:val="00D171ED"/>
    <w:rsid w:val="00D17502"/>
    <w:rsid w:val="00D17C01"/>
    <w:rsid w:val="00D2024E"/>
    <w:rsid w:val="00D2189C"/>
    <w:rsid w:val="00D22B59"/>
    <w:rsid w:val="00D2346F"/>
    <w:rsid w:val="00D247B7"/>
    <w:rsid w:val="00D24A1F"/>
    <w:rsid w:val="00D256C0"/>
    <w:rsid w:val="00D26256"/>
    <w:rsid w:val="00D26261"/>
    <w:rsid w:val="00D2685F"/>
    <w:rsid w:val="00D26CF6"/>
    <w:rsid w:val="00D27927"/>
    <w:rsid w:val="00D318D2"/>
    <w:rsid w:val="00D36663"/>
    <w:rsid w:val="00D427F0"/>
    <w:rsid w:val="00D43765"/>
    <w:rsid w:val="00D450F6"/>
    <w:rsid w:val="00D45307"/>
    <w:rsid w:val="00D4641D"/>
    <w:rsid w:val="00D472BD"/>
    <w:rsid w:val="00D47329"/>
    <w:rsid w:val="00D47948"/>
    <w:rsid w:val="00D51158"/>
    <w:rsid w:val="00D53FA2"/>
    <w:rsid w:val="00D54CE8"/>
    <w:rsid w:val="00D55477"/>
    <w:rsid w:val="00D56BC3"/>
    <w:rsid w:val="00D60C68"/>
    <w:rsid w:val="00D611A1"/>
    <w:rsid w:val="00D61535"/>
    <w:rsid w:val="00D62CDA"/>
    <w:rsid w:val="00D631CB"/>
    <w:rsid w:val="00D633B8"/>
    <w:rsid w:val="00D6473E"/>
    <w:rsid w:val="00D701B7"/>
    <w:rsid w:val="00D70B6B"/>
    <w:rsid w:val="00D70F62"/>
    <w:rsid w:val="00D71971"/>
    <w:rsid w:val="00D72CB9"/>
    <w:rsid w:val="00D73D78"/>
    <w:rsid w:val="00D743B9"/>
    <w:rsid w:val="00D746A4"/>
    <w:rsid w:val="00D76ED8"/>
    <w:rsid w:val="00D77438"/>
    <w:rsid w:val="00D81F1B"/>
    <w:rsid w:val="00D82ED6"/>
    <w:rsid w:val="00D83377"/>
    <w:rsid w:val="00D84394"/>
    <w:rsid w:val="00D849DE"/>
    <w:rsid w:val="00D851B2"/>
    <w:rsid w:val="00D869BC"/>
    <w:rsid w:val="00D870A7"/>
    <w:rsid w:val="00D90023"/>
    <w:rsid w:val="00D92442"/>
    <w:rsid w:val="00D95DAA"/>
    <w:rsid w:val="00D96111"/>
    <w:rsid w:val="00D97F92"/>
    <w:rsid w:val="00DA39F0"/>
    <w:rsid w:val="00DA45EB"/>
    <w:rsid w:val="00DB257A"/>
    <w:rsid w:val="00DB30F9"/>
    <w:rsid w:val="00DB35EA"/>
    <w:rsid w:val="00DB35F5"/>
    <w:rsid w:val="00DB41C7"/>
    <w:rsid w:val="00DB4B99"/>
    <w:rsid w:val="00DB50F5"/>
    <w:rsid w:val="00DB59DC"/>
    <w:rsid w:val="00DB7780"/>
    <w:rsid w:val="00DB7C94"/>
    <w:rsid w:val="00DC07CC"/>
    <w:rsid w:val="00DC1F32"/>
    <w:rsid w:val="00DC3AB3"/>
    <w:rsid w:val="00DC593C"/>
    <w:rsid w:val="00DC6668"/>
    <w:rsid w:val="00DC6F1B"/>
    <w:rsid w:val="00DD1F1F"/>
    <w:rsid w:val="00DD29AB"/>
    <w:rsid w:val="00DD2CC6"/>
    <w:rsid w:val="00DD3828"/>
    <w:rsid w:val="00DD4149"/>
    <w:rsid w:val="00DD6995"/>
    <w:rsid w:val="00DD6B48"/>
    <w:rsid w:val="00DE0A5A"/>
    <w:rsid w:val="00DE0D06"/>
    <w:rsid w:val="00DE267D"/>
    <w:rsid w:val="00DE31B7"/>
    <w:rsid w:val="00DE38B7"/>
    <w:rsid w:val="00DE51A4"/>
    <w:rsid w:val="00DF3105"/>
    <w:rsid w:val="00DF6859"/>
    <w:rsid w:val="00E00728"/>
    <w:rsid w:val="00E022CC"/>
    <w:rsid w:val="00E025B3"/>
    <w:rsid w:val="00E043F1"/>
    <w:rsid w:val="00E047A5"/>
    <w:rsid w:val="00E0496D"/>
    <w:rsid w:val="00E07B1C"/>
    <w:rsid w:val="00E10C72"/>
    <w:rsid w:val="00E1114E"/>
    <w:rsid w:val="00E13488"/>
    <w:rsid w:val="00E136DE"/>
    <w:rsid w:val="00E13F43"/>
    <w:rsid w:val="00E141B6"/>
    <w:rsid w:val="00E151D5"/>
    <w:rsid w:val="00E16660"/>
    <w:rsid w:val="00E16CA5"/>
    <w:rsid w:val="00E17045"/>
    <w:rsid w:val="00E219F7"/>
    <w:rsid w:val="00E21C6D"/>
    <w:rsid w:val="00E22A8F"/>
    <w:rsid w:val="00E23FA3"/>
    <w:rsid w:val="00E2415B"/>
    <w:rsid w:val="00E32E21"/>
    <w:rsid w:val="00E33669"/>
    <w:rsid w:val="00E34181"/>
    <w:rsid w:val="00E362AD"/>
    <w:rsid w:val="00E37602"/>
    <w:rsid w:val="00E40E9F"/>
    <w:rsid w:val="00E41199"/>
    <w:rsid w:val="00E41675"/>
    <w:rsid w:val="00E41ACA"/>
    <w:rsid w:val="00E41B21"/>
    <w:rsid w:val="00E42465"/>
    <w:rsid w:val="00E43458"/>
    <w:rsid w:val="00E43B5F"/>
    <w:rsid w:val="00E44947"/>
    <w:rsid w:val="00E45112"/>
    <w:rsid w:val="00E455F6"/>
    <w:rsid w:val="00E45F34"/>
    <w:rsid w:val="00E463FA"/>
    <w:rsid w:val="00E464C8"/>
    <w:rsid w:val="00E46823"/>
    <w:rsid w:val="00E4688F"/>
    <w:rsid w:val="00E46A4E"/>
    <w:rsid w:val="00E474BF"/>
    <w:rsid w:val="00E47CB9"/>
    <w:rsid w:val="00E50104"/>
    <w:rsid w:val="00E504B1"/>
    <w:rsid w:val="00E510C3"/>
    <w:rsid w:val="00E520B2"/>
    <w:rsid w:val="00E54885"/>
    <w:rsid w:val="00E62FB8"/>
    <w:rsid w:val="00E66E7B"/>
    <w:rsid w:val="00E70E61"/>
    <w:rsid w:val="00E72DCF"/>
    <w:rsid w:val="00E7333C"/>
    <w:rsid w:val="00E74F18"/>
    <w:rsid w:val="00E75427"/>
    <w:rsid w:val="00E75437"/>
    <w:rsid w:val="00E766C4"/>
    <w:rsid w:val="00E767E9"/>
    <w:rsid w:val="00E80D71"/>
    <w:rsid w:val="00E8106C"/>
    <w:rsid w:val="00E8155C"/>
    <w:rsid w:val="00E81638"/>
    <w:rsid w:val="00E83B6B"/>
    <w:rsid w:val="00E862BE"/>
    <w:rsid w:val="00E9200F"/>
    <w:rsid w:val="00E951C0"/>
    <w:rsid w:val="00E96CFD"/>
    <w:rsid w:val="00E96F2A"/>
    <w:rsid w:val="00E9794A"/>
    <w:rsid w:val="00EA0088"/>
    <w:rsid w:val="00EA02E0"/>
    <w:rsid w:val="00EA080B"/>
    <w:rsid w:val="00EA0C10"/>
    <w:rsid w:val="00EA3536"/>
    <w:rsid w:val="00EA6189"/>
    <w:rsid w:val="00EA6F06"/>
    <w:rsid w:val="00EA7DEB"/>
    <w:rsid w:val="00EB0201"/>
    <w:rsid w:val="00EB0DA6"/>
    <w:rsid w:val="00EB0EF5"/>
    <w:rsid w:val="00EB132C"/>
    <w:rsid w:val="00EB139D"/>
    <w:rsid w:val="00EB1F1A"/>
    <w:rsid w:val="00EB23FA"/>
    <w:rsid w:val="00EB2516"/>
    <w:rsid w:val="00EB2D18"/>
    <w:rsid w:val="00EB4D56"/>
    <w:rsid w:val="00EB7381"/>
    <w:rsid w:val="00EB7587"/>
    <w:rsid w:val="00EB75BD"/>
    <w:rsid w:val="00EB79EB"/>
    <w:rsid w:val="00EC1571"/>
    <w:rsid w:val="00EC4CD1"/>
    <w:rsid w:val="00EC6A75"/>
    <w:rsid w:val="00ED0985"/>
    <w:rsid w:val="00ED19DA"/>
    <w:rsid w:val="00ED2536"/>
    <w:rsid w:val="00ED2CC4"/>
    <w:rsid w:val="00ED312E"/>
    <w:rsid w:val="00ED576D"/>
    <w:rsid w:val="00ED5BDC"/>
    <w:rsid w:val="00ED6250"/>
    <w:rsid w:val="00ED64CF"/>
    <w:rsid w:val="00ED6530"/>
    <w:rsid w:val="00ED74CB"/>
    <w:rsid w:val="00EE094D"/>
    <w:rsid w:val="00EE139B"/>
    <w:rsid w:val="00EE251C"/>
    <w:rsid w:val="00EE3AE7"/>
    <w:rsid w:val="00EE49C0"/>
    <w:rsid w:val="00EE4A58"/>
    <w:rsid w:val="00EE7BBC"/>
    <w:rsid w:val="00EF111F"/>
    <w:rsid w:val="00EF1B77"/>
    <w:rsid w:val="00EF2FE0"/>
    <w:rsid w:val="00F0028E"/>
    <w:rsid w:val="00F01C70"/>
    <w:rsid w:val="00F02062"/>
    <w:rsid w:val="00F02196"/>
    <w:rsid w:val="00F06139"/>
    <w:rsid w:val="00F0747E"/>
    <w:rsid w:val="00F10A9B"/>
    <w:rsid w:val="00F132DF"/>
    <w:rsid w:val="00F139F4"/>
    <w:rsid w:val="00F14151"/>
    <w:rsid w:val="00F17552"/>
    <w:rsid w:val="00F17AF9"/>
    <w:rsid w:val="00F17EC0"/>
    <w:rsid w:val="00F22376"/>
    <w:rsid w:val="00F2255E"/>
    <w:rsid w:val="00F22838"/>
    <w:rsid w:val="00F25E6A"/>
    <w:rsid w:val="00F2663E"/>
    <w:rsid w:val="00F26802"/>
    <w:rsid w:val="00F271DD"/>
    <w:rsid w:val="00F300C1"/>
    <w:rsid w:val="00F309FF"/>
    <w:rsid w:val="00F3104E"/>
    <w:rsid w:val="00F31DE5"/>
    <w:rsid w:val="00F3246D"/>
    <w:rsid w:val="00F32944"/>
    <w:rsid w:val="00F33138"/>
    <w:rsid w:val="00F36B2B"/>
    <w:rsid w:val="00F372F2"/>
    <w:rsid w:val="00F4126A"/>
    <w:rsid w:val="00F42268"/>
    <w:rsid w:val="00F43463"/>
    <w:rsid w:val="00F477E4"/>
    <w:rsid w:val="00F51018"/>
    <w:rsid w:val="00F513F9"/>
    <w:rsid w:val="00F55D75"/>
    <w:rsid w:val="00F55E03"/>
    <w:rsid w:val="00F562BF"/>
    <w:rsid w:val="00F603FD"/>
    <w:rsid w:val="00F608F3"/>
    <w:rsid w:val="00F60D3D"/>
    <w:rsid w:val="00F61CA8"/>
    <w:rsid w:val="00F62301"/>
    <w:rsid w:val="00F63338"/>
    <w:rsid w:val="00F6502A"/>
    <w:rsid w:val="00F702E7"/>
    <w:rsid w:val="00F70B46"/>
    <w:rsid w:val="00F711BD"/>
    <w:rsid w:val="00F71BBB"/>
    <w:rsid w:val="00F720F6"/>
    <w:rsid w:val="00F72A37"/>
    <w:rsid w:val="00F758B1"/>
    <w:rsid w:val="00F77591"/>
    <w:rsid w:val="00F77A56"/>
    <w:rsid w:val="00F77D50"/>
    <w:rsid w:val="00F804EA"/>
    <w:rsid w:val="00F8090E"/>
    <w:rsid w:val="00F82E5B"/>
    <w:rsid w:val="00F83CAC"/>
    <w:rsid w:val="00F83DE3"/>
    <w:rsid w:val="00F86BEB"/>
    <w:rsid w:val="00F87459"/>
    <w:rsid w:val="00F904A1"/>
    <w:rsid w:val="00F92E39"/>
    <w:rsid w:val="00F93408"/>
    <w:rsid w:val="00F937DC"/>
    <w:rsid w:val="00F9557A"/>
    <w:rsid w:val="00F9561B"/>
    <w:rsid w:val="00F9576A"/>
    <w:rsid w:val="00FA0861"/>
    <w:rsid w:val="00FA08F7"/>
    <w:rsid w:val="00FA162A"/>
    <w:rsid w:val="00FA18EC"/>
    <w:rsid w:val="00FA2FCB"/>
    <w:rsid w:val="00FA3AF0"/>
    <w:rsid w:val="00FA6074"/>
    <w:rsid w:val="00FA60ED"/>
    <w:rsid w:val="00FA66CF"/>
    <w:rsid w:val="00FA6BBA"/>
    <w:rsid w:val="00FA76FF"/>
    <w:rsid w:val="00FB06B7"/>
    <w:rsid w:val="00FB0F3E"/>
    <w:rsid w:val="00FB3018"/>
    <w:rsid w:val="00FB4210"/>
    <w:rsid w:val="00FB42E2"/>
    <w:rsid w:val="00FB4BA0"/>
    <w:rsid w:val="00FB514C"/>
    <w:rsid w:val="00FB5428"/>
    <w:rsid w:val="00FC1B54"/>
    <w:rsid w:val="00FC2372"/>
    <w:rsid w:val="00FC2B08"/>
    <w:rsid w:val="00FC3276"/>
    <w:rsid w:val="00FC3AC8"/>
    <w:rsid w:val="00FC626D"/>
    <w:rsid w:val="00FD31EF"/>
    <w:rsid w:val="00FD3F0A"/>
    <w:rsid w:val="00FD426E"/>
    <w:rsid w:val="00FD4DAE"/>
    <w:rsid w:val="00FD5266"/>
    <w:rsid w:val="00FD5315"/>
    <w:rsid w:val="00FD649E"/>
    <w:rsid w:val="00FD6C13"/>
    <w:rsid w:val="00FD72A1"/>
    <w:rsid w:val="00FD743B"/>
    <w:rsid w:val="00FE0DAB"/>
    <w:rsid w:val="00FE101A"/>
    <w:rsid w:val="00FE11EE"/>
    <w:rsid w:val="00FE3A65"/>
    <w:rsid w:val="00FE50F0"/>
    <w:rsid w:val="00FE521E"/>
    <w:rsid w:val="00FE5B17"/>
    <w:rsid w:val="00FE5B4D"/>
    <w:rsid w:val="00FE5C60"/>
    <w:rsid w:val="00FF0802"/>
    <w:rsid w:val="00FF10A0"/>
    <w:rsid w:val="00FF35B1"/>
    <w:rsid w:val="00FF38BE"/>
    <w:rsid w:val="00FF3B05"/>
    <w:rsid w:val="00FF69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993FD"/>
  <w15:chartTrackingRefBased/>
  <w15:docId w15:val="{68675925-1EBE-4C89-8C81-44B631E8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05CD1"/>
    <w:pPr>
      <w:spacing w:after="240" w:line="480" w:lineRule="auto"/>
      <w:jc w:val="both"/>
    </w:pPr>
    <w:rPr>
      <w:rFonts w:ascii="Arial" w:eastAsia="Calibri" w:hAnsi="Arial" w:cs="Times New Roman"/>
      <w:sz w:val="24"/>
    </w:rPr>
  </w:style>
  <w:style w:type="paragraph" w:styleId="Heading1">
    <w:name w:val="heading 1"/>
    <w:basedOn w:val="Normal"/>
    <w:next w:val="Normal"/>
    <w:link w:val="Heading1Char"/>
    <w:uiPriority w:val="9"/>
    <w:qFormat/>
    <w:rsid w:val="00B407E9"/>
    <w:pPr>
      <w:keepNext/>
      <w:keepLines/>
      <w:outlineLvl w:val="0"/>
    </w:pPr>
    <w:rPr>
      <w:rFonts w:eastAsiaTheme="majorEastAsia" w:cstheme="majorBidi"/>
      <w:b/>
      <w:caps/>
      <w:szCs w:val="32"/>
    </w:rPr>
  </w:style>
  <w:style w:type="paragraph" w:styleId="Heading2">
    <w:name w:val="heading 2"/>
    <w:basedOn w:val="Heading1"/>
    <w:next w:val="Normal"/>
    <w:link w:val="Heading2Char"/>
    <w:uiPriority w:val="9"/>
    <w:unhideWhenUsed/>
    <w:qFormat/>
    <w:rsid w:val="007735F0"/>
    <w:pPr>
      <w:outlineLvl w:val="1"/>
    </w:pPr>
    <w:rPr>
      <w:caps w:val="0"/>
      <w:smallCaps/>
      <w:u w:val="single"/>
      <w:lang w:val="en-US"/>
    </w:rPr>
  </w:style>
  <w:style w:type="paragraph" w:styleId="Heading3">
    <w:name w:val="heading 3"/>
    <w:basedOn w:val="Heading2"/>
    <w:next w:val="Normal"/>
    <w:link w:val="Heading3Char"/>
    <w:uiPriority w:val="9"/>
    <w:unhideWhenUsed/>
    <w:qFormat/>
    <w:rsid w:val="007735F0"/>
    <w:pPr>
      <w:outlineLvl w:val="2"/>
    </w:pPr>
    <w:rPr>
      <w:smallCaps w:val="0"/>
    </w:rPr>
  </w:style>
  <w:style w:type="paragraph" w:styleId="Heading4">
    <w:name w:val="heading 4"/>
    <w:basedOn w:val="Heading3"/>
    <w:next w:val="Normal"/>
    <w:link w:val="Heading4Char"/>
    <w:uiPriority w:val="9"/>
    <w:unhideWhenUsed/>
    <w:qFormat/>
    <w:rsid w:val="007735F0"/>
    <w:pPr>
      <w:outlineLvl w:val="3"/>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35F0"/>
    <w:rPr>
      <w:rFonts w:ascii="Garamond" w:eastAsiaTheme="majorEastAsia" w:hAnsi="Garamond" w:cstheme="majorBidi"/>
      <w:b/>
      <w:smallCaps/>
      <w:sz w:val="24"/>
      <w:szCs w:val="32"/>
      <w:u w:val="single"/>
      <w:lang w:val="en-US"/>
    </w:rPr>
  </w:style>
  <w:style w:type="character" w:customStyle="1" w:styleId="Heading1Char">
    <w:name w:val="Heading 1 Char"/>
    <w:basedOn w:val="DefaultParagraphFont"/>
    <w:link w:val="Heading1"/>
    <w:uiPriority w:val="9"/>
    <w:rsid w:val="00B407E9"/>
    <w:rPr>
      <w:rFonts w:ascii="Arial" w:eastAsiaTheme="majorEastAsia" w:hAnsi="Arial" w:cstheme="majorBidi"/>
      <w:b/>
      <w:caps/>
      <w:sz w:val="24"/>
      <w:szCs w:val="32"/>
    </w:rPr>
  </w:style>
  <w:style w:type="character" w:customStyle="1" w:styleId="Heading3Char">
    <w:name w:val="Heading 3 Char"/>
    <w:basedOn w:val="DefaultParagraphFont"/>
    <w:link w:val="Heading3"/>
    <w:uiPriority w:val="9"/>
    <w:rsid w:val="007735F0"/>
    <w:rPr>
      <w:rFonts w:ascii="Garamond" w:eastAsiaTheme="majorEastAsia" w:hAnsi="Garamond" w:cstheme="majorBidi"/>
      <w:b/>
      <w:sz w:val="24"/>
      <w:szCs w:val="32"/>
      <w:u w:val="single"/>
      <w:lang w:val="en-US"/>
    </w:rPr>
  </w:style>
  <w:style w:type="character" w:customStyle="1" w:styleId="Heading4Char">
    <w:name w:val="Heading 4 Char"/>
    <w:basedOn w:val="DefaultParagraphFont"/>
    <w:link w:val="Heading4"/>
    <w:uiPriority w:val="9"/>
    <w:rsid w:val="007735F0"/>
    <w:rPr>
      <w:rFonts w:ascii="Garamond" w:eastAsiaTheme="majorEastAsia" w:hAnsi="Garamond" w:cstheme="majorBidi"/>
      <w:i/>
      <w:sz w:val="24"/>
      <w:szCs w:val="32"/>
      <w:u w:val="single"/>
      <w:lang w:val="en-US"/>
    </w:rPr>
  </w:style>
  <w:style w:type="paragraph" w:styleId="ListParagraph">
    <w:name w:val="List Paragraph"/>
    <w:aliases w:val="Numbered Para"/>
    <w:basedOn w:val="Normal"/>
    <w:uiPriority w:val="34"/>
    <w:qFormat/>
    <w:rsid w:val="00177DAE"/>
    <w:pPr>
      <w:numPr>
        <w:numId w:val="13"/>
      </w:numPr>
      <w:suppressAutoHyphens/>
    </w:pPr>
    <w:rPr>
      <w:rFonts w:eastAsia="Times New Roman" w:cs="Arial"/>
      <w:color w:val="000000"/>
      <w:szCs w:val="24"/>
      <w:lang w:val="en-US" w:eastAsia="en-ZA"/>
    </w:rPr>
  </w:style>
  <w:style w:type="paragraph" w:styleId="FootnoteText">
    <w:name w:val="footnote text"/>
    <w:basedOn w:val="Normal"/>
    <w:link w:val="FootnoteTextChar"/>
    <w:uiPriority w:val="99"/>
    <w:unhideWhenUsed/>
    <w:rsid w:val="00694AB6"/>
    <w:pPr>
      <w:spacing w:after="120" w:line="360" w:lineRule="auto"/>
    </w:pPr>
    <w:rPr>
      <w:sz w:val="20"/>
      <w:szCs w:val="20"/>
    </w:rPr>
  </w:style>
  <w:style w:type="character" w:customStyle="1" w:styleId="FootnoteTextChar">
    <w:name w:val="Footnote Text Char"/>
    <w:basedOn w:val="DefaultParagraphFont"/>
    <w:link w:val="FootnoteText"/>
    <w:uiPriority w:val="99"/>
    <w:rsid w:val="00694AB6"/>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BF2152"/>
    <w:rPr>
      <w:vertAlign w:val="superscript"/>
    </w:rPr>
  </w:style>
  <w:style w:type="paragraph" w:styleId="Quote">
    <w:name w:val="Quote"/>
    <w:basedOn w:val="Normal"/>
    <w:next w:val="Normal"/>
    <w:link w:val="QuoteChar"/>
    <w:uiPriority w:val="29"/>
    <w:qFormat/>
    <w:rsid w:val="00867ED7"/>
    <w:pPr>
      <w:spacing w:before="240" w:after="360" w:line="360" w:lineRule="auto"/>
      <w:ind w:left="1440"/>
    </w:pPr>
    <w:rPr>
      <w:i/>
      <w:iCs/>
      <w:sz w:val="22"/>
    </w:rPr>
  </w:style>
  <w:style w:type="character" w:customStyle="1" w:styleId="QuoteChar">
    <w:name w:val="Quote Char"/>
    <w:basedOn w:val="DefaultParagraphFont"/>
    <w:link w:val="Quote"/>
    <w:uiPriority w:val="29"/>
    <w:rsid w:val="00867ED7"/>
    <w:rPr>
      <w:rFonts w:ascii="Arial" w:eastAsia="Calibri" w:hAnsi="Arial" w:cs="Times New Roman"/>
      <w:i/>
      <w:iCs/>
    </w:rPr>
  </w:style>
  <w:style w:type="paragraph" w:customStyle="1" w:styleId="Default">
    <w:name w:val="Default"/>
    <w:rsid w:val="008766E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A270B"/>
    <w:rPr>
      <w:sz w:val="16"/>
      <w:szCs w:val="16"/>
    </w:rPr>
  </w:style>
  <w:style w:type="paragraph" w:styleId="CommentText">
    <w:name w:val="annotation text"/>
    <w:basedOn w:val="Normal"/>
    <w:link w:val="CommentTextChar"/>
    <w:uiPriority w:val="99"/>
    <w:unhideWhenUsed/>
    <w:rsid w:val="00AA270B"/>
    <w:pPr>
      <w:spacing w:line="240" w:lineRule="auto"/>
    </w:pPr>
    <w:rPr>
      <w:sz w:val="20"/>
      <w:szCs w:val="20"/>
    </w:rPr>
  </w:style>
  <w:style w:type="character" w:customStyle="1" w:styleId="CommentTextChar">
    <w:name w:val="Comment Text Char"/>
    <w:basedOn w:val="DefaultParagraphFont"/>
    <w:link w:val="CommentText"/>
    <w:uiPriority w:val="99"/>
    <w:rsid w:val="00AA270B"/>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AA270B"/>
    <w:rPr>
      <w:b/>
      <w:bCs/>
    </w:rPr>
  </w:style>
  <w:style w:type="character" w:customStyle="1" w:styleId="CommentSubjectChar">
    <w:name w:val="Comment Subject Char"/>
    <w:basedOn w:val="CommentTextChar"/>
    <w:link w:val="CommentSubject"/>
    <w:uiPriority w:val="99"/>
    <w:semiHidden/>
    <w:rsid w:val="00AA270B"/>
    <w:rPr>
      <w:rFonts w:ascii="Arial" w:eastAsia="Calibri" w:hAnsi="Arial" w:cs="Times New Roman"/>
      <w:b/>
      <w:bCs/>
      <w:sz w:val="20"/>
      <w:szCs w:val="20"/>
    </w:rPr>
  </w:style>
  <w:style w:type="paragraph" w:styleId="Header">
    <w:name w:val="header"/>
    <w:basedOn w:val="Normal"/>
    <w:link w:val="HeaderChar"/>
    <w:uiPriority w:val="99"/>
    <w:unhideWhenUsed/>
    <w:rsid w:val="00DF31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105"/>
    <w:rPr>
      <w:rFonts w:ascii="Arial" w:eastAsia="Calibri" w:hAnsi="Arial" w:cs="Times New Roman"/>
      <w:sz w:val="24"/>
    </w:rPr>
  </w:style>
  <w:style w:type="paragraph" w:styleId="Footer">
    <w:name w:val="footer"/>
    <w:basedOn w:val="Normal"/>
    <w:link w:val="FooterChar"/>
    <w:uiPriority w:val="99"/>
    <w:unhideWhenUsed/>
    <w:rsid w:val="00DF31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105"/>
    <w:rPr>
      <w:rFonts w:ascii="Arial" w:eastAsia="Calibri" w:hAnsi="Arial" w:cs="Times New Roman"/>
      <w:sz w:val="24"/>
    </w:rPr>
  </w:style>
  <w:style w:type="paragraph" w:styleId="EndnoteText">
    <w:name w:val="endnote text"/>
    <w:basedOn w:val="Normal"/>
    <w:link w:val="EndnoteTextChar"/>
    <w:uiPriority w:val="99"/>
    <w:semiHidden/>
    <w:unhideWhenUsed/>
    <w:rsid w:val="00B148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48FA"/>
    <w:rPr>
      <w:rFonts w:ascii="Arial" w:eastAsia="Calibri" w:hAnsi="Arial" w:cs="Times New Roman"/>
      <w:sz w:val="20"/>
      <w:szCs w:val="20"/>
    </w:rPr>
  </w:style>
  <w:style w:type="character" w:styleId="EndnoteReference">
    <w:name w:val="endnote reference"/>
    <w:basedOn w:val="DefaultParagraphFont"/>
    <w:uiPriority w:val="99"/>
    <w:semiHidden/>
    <w:unhideWhenUsed/>
    <w:rsid w:val="00B148FA"/>
    <w:rPr>
      <w:vertAlign w:val="superscript"/>
    </w:rPr>
  </w:style>
  <w:style w:type="paragraph" w:styleId="Revision">
    <w:name w:val="Revision"/>
    <w:hidden/>
    <w:uiPriority w:val="99"/>
    <w:semiHidden/>
    <w:rsid w:val="00D71971"/>
    <w:pPr>
      <w:spacing w:after="0" w:line="240" w:lineRule="auto"/>
    </w:pPr>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3917">
      <w:bodyDiv w:val="1"/>
      <w:marLeft w:val="0"/>
      <w:marRight w:val="0"/>
      <w:marTop w:val="0"/>
      <w:marBottom w:val="0"/>
      <w:divBdr>
        <w:top w:val="none" w:sz="0" w:space="0" w:color="auto"/>
        <w:left w:val="none" w:sz="0" w:space="0" w:color="auto"/>
        <w:bottom w:val="none" w:sz="0" w:space="0" w:color="auto"/>
        <w:right w:val="none" w:sz="0" w:space="0" w:color="auto"/>
      </w:divBdr>
    </w:div>
    <w:div w:id="90782971">
      <w:bodyDiv w:val="1"/>
      <w:marLeft w:val="0"/>
      <w:marRight w:val="0"/>
      <w:marTop w:val="0"/>
      <w:marBottom w:val="0"/>
      <w:divBdr>
        <w:top w:val="none" w:sz="0" w:space="0" w:color="auto"/>
        <w:left w:val="none" w:sz="0" w:space="0" w:color="auto"/>
        <w:bottom w:val="none" w:sz="0" w:space="0" w:color="auto"/>
        <w:right w:val="none" w:sz="0" w:space="0" w:color="auto"/>
      </w:divBdr>
    </w:div>
    <w:div w:id="294724374">
      <w:bodyDiv w:val="1"/>
      <w:marLeft w:val="0"/>
      <w:marRight w:val="0"/>
      <w:marTop w:val="0"/>
      <w:marBottom w:val="0"/>
      <w:divBdr>
        <w:top w:val="none" w:sz="0" w:space="0" w:color="auto"/>
        <w:left w:val="none" w:sz="0" w:space="0" w:color="auto"/>
        <w:bottom w:val="none" w:sz="0" w:space="0" w:color="auto"/>
        <w:right w:val="none" w:sz="0" w:space="0" w:color="auto"/>
      </w:divBdr>
    </w:div>
    <w:div w:id="310409916">
      <w:bodyDiv w:val="1"/>
      <w:marLeft w:val="0"/>
      <w:marRight w:val="0"/>
      <w:marTop w:val="0"/>
      <w:marBottom w:val="0"/>
      <w:divBdr>
        <w:top w:val="none" w:sz="0" w:space="0" w:color="auto"/>
        <w:left w:val="none" w:sz="0" w:space="0" w:color="auto"/>
        <w:bottom w:val="none" w:sz="0" w:space="0" w:color="auto"/>
        <w:right w:val="none" w:sz="0" w:space="0" w:color="auto"/>
      </w:divBdr>
    </w:div>
    <w:div w:id="327247560">
      <w:bodyDiv w:val="1"/>
      <w:marLeft w:val="0"/>
      <w:marRight w:val="0"/>
      <w:marTop w:val="0"/>
      <w:marBottom w:val="0"/>
      <w:divBdr>
        <w:top w:val="none" w:sz="0" w:space="0" w:color="auto"/>
        <w:left w:val="none" w:sz="0" w:space="0" w:color="auto"/>
        <w:bottom w:val="none" w:sz="0" w:space="0" w:color="auto"/>
        <w:right w:val="none" w:sz="0" w:space="0" w:color="auto"/>
      </w:divBdr>
    </w:div>
    <w:div w:id="366177670">
      <w:bodyDiv w:val="1"/>
      <w:marLeft w:val="0"/>
      <w:marRight w:val="0"/>
      <w:marTop w:val="0"/>
      <w:marBottom w:val="0"/>
      <w:divBdr>
        <w:top w:val="none" w:sz="0" w:space="0" w:color="auto"/>
        <w:left w:val="none" w:sz="0" w:space="0" w:color="auto"/>
        <w:bottom w:val="none" w:sz="0" w:space="0" w:color="auto"/>
        <w:right w:val="none" w:sz="0" w:space="0" w:color="auto"/>
      </w:divBdr>
      <w:divsChild>
        <w:div w:id="1354070638">
          <w:marLeft w:val="0"/>
          <w:marRight w:val="0"/>
          <w:marTop w:val="0"/>
          <w:marBottom w:val="0"/>
          <w:divBdr>
            <w:top w:val="none" w:sz="0" w:space="0" w:color="auto"/>
            <w:left w:val="none" w:sz="0" w:space="0" w:color="auto"/>
            <w:bottom w:val="none" w:sz="0" w:space="0" w:color="auto"/>
            <w:right w:val="none" w:sz="0" w:space="0" w:color="auto"/>
          </w:divBdr>
        </w:div>
        <w:div w:id="1911889256">
          <w:marLeft w:val="0"/>
          <w:marRight w:val="0"/>
          <w:marTop w:val="0"/>
          <w:marBottom w:val="0"/>
          <w:divBdr>
            <w:top w:val="none" w:sz="0" w:space="0" w:color="auto"/>
            <w:left w:val="none" w:sz="0" w:space="0" w:color="auto"/>
            <w:bottom w:val="none" w:sz="0" w:space="0" w:color="auto"/>
            <w:right w:val="none" w:sz="0" w:space="0" w:color="auto"/>
          </w:divBdr>
        </w:div>
        <w:div w:id="747187500">
          <w:marLeft w:val="0"/>
          <w:marRight w:val="0"/>
          <w:marTop w:val="0"/>
          <w:marBottom w:val="0"/>
          <w:divBdr>
            <w:top w:val="none" w:sz="0" w:space="0" w:color="auto"/>
            <w:left w:val="none" w:sz="0" w:space="0" w:color="auto"/>
            <w:bottom w:val="none" w:sz="0" w:space="0" w:color="auto"/>
            <w:right w:val="none" w:sz="0" w:space="0" w:color="auto"/>
          </w:divBdr>
        </w:div>
      </w:divsChild>
    </w:div>
    <w:div w:id="380445837">
      <w:bodyDiv w:val="1"/>
      <w:marLeft w:val="0"/>
      <w:marRight w:val="0"/>
      <w:marTop w:val="0"/>
      <w:marBottom w:val="0"/>
      <w:divBdr>
        <w:top w:val="none" w:sz="0" w:space="0" w:color="auto"/>
        <w:left w:val="none" w:sz="0" w:space="0" w:color="auto"/>
        <w:bottom w:val="none" w:sz="0" w:space="0" w:color="auto"/>
        <w:right w:val="none" w:sz="0" w:space="0" w:color="auto"/>
      </w:divBdr>
    </w:div>
    <w:div w:id="677997971">
      <w:bodyDiv w:val="1"/>
      <w:marLeft w:val="0"/>
      <w:marRight w:val="0"/>
      <w:marTop w:val="0"/>
      <w:marBottom w:val="0"/>
      <w:divBdr>
        <w:top w:val="none" w:sz="0" w:space="0" w:color="auto"/>
        <w:left w:val="none" w:sz="0" w:space="0" w:color="auto"/>
        <w:bottom w:val="none" w:sz="0" w:space="0" w:color="auto"/>
        <w:right w:val="none" w:sz="0" w:space="0" w:color="auto"/>
      </w:divBdr>
    </w:div>
    <w:div w:id="730156982">
      <w:bodyDiv w:val="1"/>
      <w:marLeft w:val="0"/>
      <w:marRight w:val="0"/>
      <w:marTop w:val="0"/>
      <w:marBottom w:val="0"/>
      <w:divBdr>
        <w:top w:val="none" w:sz="0" w:space="0" w:color="auto"/>
        <w:left w:val="none" w:sz="0" w:space="0" w:color="auto"/>
        <w:bottom w:val="none" w:sz="0" w:space="0" w:color="auto"/>
        <w:right w:val="none" w:sz="0" w:space="0" w:color="auto"/>
      </w:divBdr>
    </w:div>
    <w:div w:id="834153583">
      <w:bodyDiv w:val="1"/>
      <w:marLeft w:val="0"/>
      <w:marRight w:val="0"/>
      <w:marTop w:val="0"/>
      <w:marBottom w:val="0"/>
      <w:divBdr>
        <w:top w:val="none" w:sz="0" w:space="0" w:color="auto"/>
        <w:left w:val="none" w:sz="0" w:space="0" w:color="auto"/>
        <w:bottom w:val="none" w:sz="0" w:space="0" w:color="auto"/>
        <w:right w:val="none" w:sz="0" w:space="0" w:color="auto"/>
      </w:divBdr>
    </w:div>
    <w:div w:id="958147349">
      <w:bodyDiv w:val="1"/>
      <w:marLeft w:val="0"/>
      <w:marRight w:val="0"/>
      <w:marTop w:val="0"/>
      <w:marBottom w:val="0"/>
      <w:divBdr>
        <w:top w:val="none" w:sz="0" w:space="0" w:color="auto"/>
        <w:left w:val="none" w:sz="0" w:space="0" w:color="auto"/>
        <w:bottom w:val="none" w:sz="0" w:space="0" w:color="auto"/>
        <w:right w:val="none" w:sz="0" w:space="0" w:color="auto"/>
      </w:divBdr>
    </w:div>
    <w:div w:id="1078406392">
      <w:bodyDiv w:val="1"/>
      <w:marLeft w:val="0"/>
      <w:marRight w:val="0"/>
      <w:marTop w:val="0"/>
      <w:marBottom w:val="0"/>
      <w:divBdr>
        <w:top w:val="none" w:sz="0" w:space="0" w:color="auto"/>
        <w:left w:val="none" w:sz="0" w:space="0" w:color="auto"/>
        <w:bottom w:val="none" w:sz="0" w:space="0" w:color="auto"/>
        <w:right w:val="none" w:sz="0" w:space="0" w:color="auto"/>
      </w:divBdr>
    </w:div>
    <w:div w:id="1121533943">
      <w:bodyDiv w:val="1"/>
      <w:marLeft w:val="0"/>
      <w:marRight w:val="0"/>
      <w:marTop w:val="0"/>
      <w:marBottom w:val="0"/>
      <w:divBdr>
        <w:top w:val="none" w:sz="0" w:space="0" w:color="auto"/>
        <w:left w:val="none" w:sz="0" w:space="0" w:color="auto"/>
        <w:bottom w:val="none" w:sz="0" w:space="0" w:color="auto"/>
        <w:right w:val="none" w:sz="0" w:space="0" w:color="auto"/>
      </w:divBdr>
    </w:div>
    <w:div w:id="1207833892">
      <w:bodyDiv w:val="1"/>
      <w:marLeft w:val="0"/>
      <w:marRight w:val="0"/>
      <w:marTop w:val="0"/>
      <w:marBottom w:val="0"/>
      <w:divBdr>
        <w:top w:val="none" w:sz="0" w:space="0" w:color="auto"/>
        <w:left w:val="none" w:sz="0" w:space="0" w:color="auto"/>
        <w:bottom w:val="none" w:sz="0" w:space="0" w:color="auto"/>
        <w:right w:val="none" w:sz="0" w:space="0" w:color="auto"/>
      </w:divBdr>
    </w:div>
    <w:div w:id="1227371931">
      <w:bodyDiv w:val="1"/>
      <w:marLeft w:val="0"/>
      <w:marRight w:val="0"/>
      <w:marTop w:val="0"/>
      <w:marBottom w:val="0"/>
      <w:divBdr>
        <w:top w:val="none" w:sz="0" w:space="0" w:color="auto"/>
        <w:left w:val="none" w:sz="0" w:space="0" w:color="auto"/>
        <w:bottom w:val="none" w:sz="0" w:space="0" w:color="auto"/>
        <w:right w:val="none" w:sz="0" w:space="0" w:color="auto"/>
      </w:divBdr>
    </w:div>
    <w:div w:id="1252423108">
      <w:bodyDiv w:val="1"/>
      <w:marLeft w:val="0"/>
      <w:marRight w:val="0"/>
      <w:marTop w:val="0"/>
      <w:marBottom w:val="0"/>
      <w:divBdr>
        <w:top w:val="none" w:sz="0" w:space="0" w:color="auto"/>
        <w:left w:val="none" w:sz="0" w:space="0" w:color="auto"/>
        <w:bottom w:val="none" w:sz="0" w:space="0" w:color="auto"/>
        <w:right w:val="none" w:sz="0" w:space="0" w:color="auto"/>
      </w:divBdr>
    </w:div>
    <w:div w:id="1296368652">
      <w:bodyDiv w:val="1"/>
      <w:marLeft w:val="0"/>
      <w:marRight w:val="0"/>
      <w:marTop w:val="0"/>
      <w:marBottom w:val="0"/>
      <w:divBdr>
        <w:top w:val="none" w:sz="0" w:space="0" w:color="auto"/>
        <w:left w:val="none" w:sz="0" w:space="0" w:color="auto"/>
        <w:bottom w:val="none" w:sz="0" w:space="0" w:color="auto"/>
        <w:right w:val="none" w:sz="0" w:space="0" w:color="auto"/>
      </w:divBdr>
    </w:div>
    <w:div w:id="1442719906">
      <w:bodyDiv w:val="1"/>
      <w:marLeft w:val="0"/>
      <w:marRight w:val="0"/>
      <w:marTop w:val="0"/>
      <w:marBottom w:val="0"/>
      <w:divBdr>
        <w:top w:val="none" w:sz="0" w:space="0" w:color="auto"/>
        <w:left w:val="none" w:sz="0" w:space="0" w:color="auto"/>
        <w:bottom w:val="none" w:sz="0" w:space="0" w:color="auto"/>
        <w:right w:val="none" w:sz="0" w:space="0" w:color="auto"/>
      </w:divBdr>
    </w:div>
    <w:div w:id="1475373390">
      <w:bodyDiv w:val="1"/>
      <w:marLeft w:val="0"/>
      <w:marRight w:val="0"/>
      <w:marTop w:val="0"/>
      <w:marBottom w:val="0"/>
      <w:divBdr>
        <w:top w:val="none" w:sz="0" w:space="0" w:color="auto"/>
        <w:left w:val="none" w:sz="0" w:space="0" w:color="auto"/>
        <w:bottom w:val="none" w:sz="0" w:space="0" w:color="auto"/>
        <w:right w:val="none" w:sz="0" w:space="0" w:color="auto"/>
      </w:divBdr>
    </w:div>
    <w:div w:id="1535195099">
      <w:bodyDiv w:val="1"/>
      <w:marLeft w:val="0"/>
      <w:marRight w:val="0"/>
      <w:marTop w:val="0"/>
      <w:marBottom w:val="0"/>
      <w:divBdr>
        <w:top w:val="none" w:sz="0" w:space="0" w:color="auto"/>
        <w:left w:val="none" w:sz="0" w:space="0" w:color="auto"/>
        <w:bottom w:val="none" w:sz="0" w:space="0" w:color="auto"/>
        <w:right w:val="none" w:sz="0" w:space="0" w:color="auto"/>
      </w:divBdr>
    </w:div>
    <w:div w:id="1549412913">
      <w:bodyDiv w:val="1"/>
      <w:marLeft w:val="0"/>
      <w:marRight w:val="0"/>
      <w:marTop w:val="0"/>
      <w:marBottom w:val="0"/>
      <w:divBdr>
        <w:top w:val="none" w:sz="0" w:space="0" w:color="auto"/>
        <w:left w:val="none" w:sz="0" w:space="0" w:color="auto"/>
        <w:bottom w:val="none" w:sz="0" w:space="0" w:color="auto"/>
        <w:right w:val="none" w:sz="0" w:space="0" w:color="auto"/>
      </w:divBdr>
    </w:div>
    <w:div w:id="1668556547">
      <w:bodyDiv w:val="1"/>
      <w:marLeft w:val="0"/>
      <w:marRight w:val="0"/>
      <w:marTop w:val="0"/>
      <w:marBottom w:val="0"/>
      <w:divBdr>
        <w:top w:val="none" w:sz="0" w:space="0" w:color="auto"/>
        <w:left w:val="none" w:sz="0" w:space="0" w:color="auto"/>
        <w:bottom w:val="none" w:sz="0" w:space="0" w:color="auto"/>
        <w:right w:val="none" w:sz="0" w:space="0" w:color="auto"/>
      </w:divBdr>
    </w:div>
    <w:div w:id="1672104468">
      <w:bodyDiv w:val="1"/>
      <w:marLeft w:val="0"/>
      <w:marRight w:val="0"/>
      <w:marTop w:val="0"/>
      <w:marBottom w:val="0"/>
      <w:divBdr>
        <w:top w:val="none" w:sz="0" w:space="0" w:color="auto"/>
        <w:left w:val="none" w:sz="0" w:space="0" w:color="auto"/>
        <w:bottom w:val="none" w:sz="0" w:space="0" w:color="auto"/>
        <w:right w:val="none" w:sz="0" w:space="0" w:color="auto"/>
      </w:divBdr>
    </w:div>
    <w:div w:id="1798329580">
      <w:bodyDiv w:val="1"/>
      <w:marLeft w:val="0"/>
      <w:marRight w:val="0"/>
      <w:marTop w:val="0"/>
      <w:marBottom w:val="0"/>
      <w:divBdr>
        <w:top w:val="none" w:sz="0" w:space="0" w:color="auto"/>
        <w:left w:val="none" w:sz="0" w:space="0" w:color="auto"/>
        <w:bottom w:val="none" w:sz="0" w:space="0" w:color="auto"/>
        <w:right w:val="none" w:sz="0" w:space="0" w:color="auto"/>
      </w:divBdr>
    </w:div>
    <w:div w:id="1923634736">
      <w:bodyDiv w:val="1"/>
      <w:marLeft w:val="0"/>
      <w:marRight w:val="0"/>
      <w:marTop w:val="0"/>
      <w:marBottom w:val="0"/>
      <w:divBdr>
        <w:top w:val="none" w:sz="0" w:space="0" w:color="auto"/>
        <w:left w:val="none" w:sz="0" w:space="0" w:color="auto"/>
        <w:bottom w:val="none" w:sz="0" w:space="0" w:color="auto"/>
        <w:right w:val="none" w:sz="0" w:space="0" w:color="auto"/>
      </w:divBdr>
    </w:div>
    <w:div w:id="1983924874">
      <w:bodyDiv w:val="1"/>
      <w:marLeft w:val="0"/>
      <w:marRight w:val="0"/>
      <w:marTop w:val="0"/>
      <w:marBottom w:val="0"/>
      <w:divBdr>
        <w:top w:val="none" w:sz="0" w:space="0" w:color="auto"/>
        <w:left w:val="none" w:sz="0" w:space="0" w:color="auto"/>
        <w:bottom w:val="none" w:sz="0" w:space="0" w:color="auto"/>
        <w:right w:val="none" w:sz="0" w:space="0" w:color="auto"/>
      </w:divBdr>
    </w:div>
    <w:div w:id="2046253608">
      <w:bodyDiv w:val="1"/>
      <w:marLeft w:val="0"/>
      <w:marRight w:val="0"/>
      <w:marTop w:val="0"/>
      <w:marBottom w:val="0"/>
      <w:divBdr>
        <w:top w:val="none" w:sz="0" w:space="0" w:color="auto"/>
        <w:left w:val="none" w:sz="0" w:space="0" w:color="auto"/>
        <w:bottom w:val="none" w:sz="0" w:space="0" w:color="auto"/>
        <w:right w:val="none" w:sz="0" w:space="0" w:color="auto"/>
      </w:divBdr>
    </w:div>
    <w:div w:id="207993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128E0.21B01BF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bis\OneDrive\Desktop\Standard%20Leg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212BC-9E09-4ACF-956D-F3AE72094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Legal Template</Template>
  <TotalTime>0</TotalTime>
  <Pages>95</Pages>
  <Words>21011</Words>
  <Characters>119764</Characters>
  <Application>Microsoft Office Word</Application>
  <DocSecurity>0</DocSecurity>
  <Lines>998</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Bishop</dc:creator>
  <cp:keywords/>
  <dc:description/>
  <cp:lastModifiedBy>Mary Bruce</cp:lastModifiedBy>
  <cp:revision>3</cp:revision>
  <dcterms:created xsi:type="dcterms:W3CDTF">2024-06-19T13:30:00Z</dcterms:created>
  <dcterms:modified xsi:type="dcterms:W3CDTF">2024-06-19T14:36:00Z</dcterms:modified>
</cp:coreProperties>
</file>