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FC8CD" w14:textId="3FBCB0F9" w:rsidR="0003190F" w:rsidRPr="0003190F" w:rsidRDefault="0003190F" w:rsidP="0003190F">
      <w:pPr>
        <w:rPr>
          <w:color w:val="FF0000"/>
          <w:u w:val="single"/>
        </w:rPr>
      </w:pPr>
      <w:r>
        <w:rPr>
          <w:rFonts w:ascii="Arial" w:hAnsi="Arial" w:cs="Arial"/>
          <w:color w:val="FF0000"/>
        </w:rPr>
        <w:t>Editorial note: Certain information has been redacted from this judgment in compliance with the law.</w:t>
      </w:r>
    </w:p>
    <w:p w14:paraId="5504332F" w14:textId="7A08039E" w:rsidR="008C164C" w:rsidRDefault="008C164C" w:rsidP="008C164C">
      <w:pPr>
        <w:jc w:val="center"/>
      </w:pPr>
      <w:r w:rsidRPr="009928A5">
        <w:rPr>
          <w:rFonts w:ascii="Calibri" w:eastAsia="Calibri" w:hAnsi="Calibri" w:cs="Times New Roman"/>
          <w:noProof/>
          <w:kern w:val="0"/>
          <w:lang w:val="en-ZA" w:eastAsia="en-ZA"/>
          <w14:ligatures w14:val="none"/>
        </w:rPr>
        <w:drawing>
          <wp:inline distT="0" distB="0" distL="0" distR="0" wp14:anchorId="52B1D380" wp14:editId="0B0BBBB5">
            <wp:extent cx="841375" cy="1097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1097280"/>
                    </a:xfrm>
                    <a:prstGeom prst="rect">
                      <a:avLst/>
                    </a:prstGeom>
                    <a:noFill/>
                  </pic:spPr>
                </pic:pic>
              </a:graphicData>
            </a:graphic>
          </wp:inline>
        </w:drawing>
      </w:r>
    </w:p>
    <w:p w14:paraId="0E976AA4" w14:textId="77777777" w:rsidR="008C164C" w:rsidRPr="00E44850" w:rsidRDefault="008C164C" w:rsidP="008C164C">
      <w:pPr>
        <w:spacing w:after="0" w:line="240" w:lineRule="auto"/>
        <w:jc w:val="center"/>
        <w:rPr>
          <w:rFonts w:ascii="Arial" w:eastAsia="Times New Roman" w:hAnsi="Arial" w:cs="Arial"/>
          <w:b/>
          <w:bCs/>
        </w:rPr>
      </w:pPr>
      <w:r w:rsidRPr="00E44850">
        <w:rPr>
          <w:rFonts w:ascii="Arial" w:eastAsia="Times New Roman" w:hAnsi="Arial" w:cs="Arial"/>
          <w:b/>
          <w:bCs/>
        </w:rPr>
        <w:t>IN THE HIGH COURT OF SOUTH AFRICA</w:t>
      </w:r>
    </w:p>
    <w:p w14:paraId="61E2CE39" w14:textId="7D3BA03A" w:rsidR="008C164C" w:rsidRPr="0007599B" w:rsidRDefault="008C164C" w:rsidP="008C164C">
      <w:pPr>
        <w:rPr>
          <w:rFonts w:ascii="Arial" w:hAnsi="Arial" w:cs="Arial"/>
          <w:b/>
          <w:bCs/>
          <w:sz w:val="16"/>
          <w:szCs w:val="16"/>
        </w:rPr>
      </w:pPr>
      <w:r>
        <w:rPr>
          <w:rFonts w:ascii="Arial" w:hAnsi="Arial" w:cs="Arial"/>
          <w:b/>
          <w:bCs/>
        </w:rPr>
        <w:t xml:space="preserve">                               </w:t>
      </w:r>
      <w:r w:rsidRPr="00E44850">
        <w:rPr>
          <w:rFonts w:ascii="Arial" w:hAnsi="Arial" w:cs="Arial"/>
          <w:b/>
          <w:bCs/>
        </w:rPr>
        <w:t>[WESTERN CAPE DIVISION, CAPE TOWN]</w:t>
      </w:r>
      <w:r>
        <w:rPr>
          <w:rFonts w:ascii="Arial" w:hAnsi="Arial" w:cs="Arial"/>
          <w:b/>
          <w:bCs/>
        </w:rPr>
        <w:t xml:space="preserve">             </w:t>
      </w:r>
    </w:p>
    <w:p w14:paraId="550E46D5" w14:textId="7566D066" w:rsidR="008C164C" w:rsidRDefault="008C164C" w:rsidP="008C164C">
      <w:pPr>
        <w:spacing w:after="0"/>
        <w:ind w:left="2160" w:firstLine="720"/>
        <w:rPr>
          <w:rFonts w:ascii="Arial" w:eastAsia="Calibri" w:hAnsi="Arial" w:cs="Arial"/>
          <w:bCs/>
        </w:rPr>
      </w:pPr>
      <w:r>
        <w:rPr>
          <w:rFonts w:ascii="Arial" w:eastAsia="Calibri" w:hAnsi="Arial" w:cs="Arial"/>
          <w:bCs/>
        </w:rPr>
        <w:t xml:space="preserve">                                                       Review case</w:t>
      </w:r>
      <w:r w:rsidRPr="004C26C2">
        <w:rPr>
          <w:rFonts w:ascii="Arial" w:eastAsia="Calibri" w:hAnsi="Arial" w:cs="Arial"/>
          <w:bCs/>
        </w:rPr>
        <w:t xml:space="preserve"> no: </w:t>
      </w:r>
      <w:r>
        <w:rPr>
          <w:rFonts w:ascii="Arial" w:eastAsia="Calibri" w:hAnsi="Arial" w:cs="Arial"/>
          <w:bCs/>
        </w:rPr>
        <w:t>36/</w:t>
      </w:r>
      <w:r w:rsidRPr="004C26C2">
        <w:rPr>
          <w:rFonts w:ascii="Arial" w:eastAsia="Calibri" w:hAnsi="Arial" w:cs="Arial"/>
          <w:bCs/>
        </w:rPr>
        <w:t>2</w:t>
      </w:r>
      <w:r>
        <w:rPr>
          <w:rFonts w:ascii="Arial" w:eastAsia="Calibri" w:hAnsi="Arial" w:cs="Arial"/>
          <w:bCs/>
        </w:rPr>
        <w:t>4</w:t>
      </w:r>
    </w:p>
    <w:p w14:paraId="1FC04953" w14:textId="0EB24DD1" w:rsidR="008C164C" w:rsidRPr="004C26C2" w:rsidRDefault="008C164C" w:rsidP="008C164C">
      <w:pPr>
        <w:spacing w:after="0"/>
        <w:rPr>
          <w:rFonts w:ascii="Arial" w:eastAsia="Calibri" w:hAnsi="Arial" w:cs="Arial"/>
          <w:bCs/>
        </w:rPr>
      </w:pPr>
      <w:r>
        <w:rPr>
          <w:rFonts w:ascii="Arial" w:eastAsia="Calibri" w:hAnsi="Arial" w:cs="Arial"/>
          <w:bCs/>
        </w:rPr>
        <w:t xml:space="preserve">                                                                                  Ex </w:t>
      </w:r>
      <w:proofErr w:type="spellStart"/>
      <w:r>
        <w:rPr>
          <w:rFonts w:ascii="Arial" w:eastAsia="Calibri" w:hAnsi="Arial" w:cs="Arial"/>
          <w:bCs/>
        </w:rPr>
        <w:t>Hermanus</w:t>
      </w:r>
      <w:proofErr w:type="spellEnd"/>
      <w:r>
        <w:rPr>
          <w:rFonts w:ascii="Arial" w:eastAsia="Calibri" w:hAnsi="Arial" w:cs="Arial"/>
          <w:bCs/>
        </w:rPr>
        <w:t xml:space="preserve"> Mag </w:t>
      </w:r>
      <w:proofErr w:type="spellStart"/>
      <w:r>
        <w:rPr>
          <w:rFonts w:ascii="Arial" w:eastAsia="Calibri" w:hAnsi="Arial" w:cs="Arial"/>
          <w:bCs/>
        </w:rPr>
        <w:t>Crt</w:t>
      </w:r>
      <w:proofErr w:type="spellEnd"/>
      <w:r>
        <w:rPr>
          <w:rFonts w:ascii="Arial" w:eastAsia="Calibri" w:hAnsi="Arial" w:cs="Arial"/>
          <w:bCs/>
        </w:rPr>
        <w:t>: A2643/23</w:t>
      </w:r>
      <w:r w:rsidRPr="004C26C2">
        <w:rPr>
          <w:rFonts w:ascii="Arial" w:eastAsia="Calibri" w:hAnsi="Arial" w:cs="Arial"/>
          <w:bCs/>
        </w:rPr>
        <w:t xml:space="preserve">                                                                                               </w:t>
      </w:r>
    </w:p>
    <w:p w14:paraId="2EC9B6DE" w14:textId="77777777" w:rsidR="008C164C" w:rsidRPr="004C26C2" w:rsidRDefault="008C164C" w:rsidP="008C164C">
      <w:pPr>
        <w:spacing w:line="240" w:lineRule="auto"/>
        <w:rPr>
          <w:rFonts w:ascii="Arial" w:eastAsia="Calibri" w:hAnsi="Arial" w:cs="Arial"/>
          <w:bCs/>
        </w:rPr>
      </w:pPr>
      <w:r w:rsidRPr="004C26C2">
        <w:rPr>
          <w:rFonts w:ascii="Arial" w:eastAsia="Calibri" w:hAnsi="Arial" w:cs="Arial"/>
          <w:bCs/>
        </w:rPr>
        <w:t xml:space="preserve">                                                                     </w:t>
      </w:r>
    </w:p>
    <w:p w14:paraId="0B792197" w14:textId="77777777" w:rsidR="008C164C" w:rsidRPr="004C26C2" w:rsidRDefault="008C164C" w:rsidP="008C164C">
      <w:pPr>
        <w:spacing w:after="0" w:line="240" w:lineRule="auto"/>
        <w:rPr>
          <w:rFonts w:ascii="Arial" w:eastAsia="Calibri" w:hAnsi="Arial" w:cs="Arial"/>
        </w:rPr>
      </w:pPr>
      <w:bookmarkStart w:id="0" w:name="_Hlk120021438"/>
      <w:r w:rsidRPr="004C26C2">
        <w:rPr>
          <w:rFonts w:ascii="Arial" w:eastAsia="Calibri" w:hAnsi="Arial" w:cs="Arial"/>
        </w:rPr>
        <w:t xml:space="preserve">In the matter </w:t>
      </w:r>
      <w:r>
        <w:rPr>
          <w:rFonts w:ascii="Arial" w:eastAsia="Calibri" w:hAnsi="Arial" w:cs="Arial"/>
        </w:rPr>
        <w:t>of</w:t>
      </w:r>
      <w:r w:rsidRPr="004C26C2">
        <w:rPr>
          <w:rFonts w:ascii="Arial" w:eastAsia="Calibri" w:hAnsi="Arial" w:cs="Arial"/>
        </w:rPr>
        <w:t>:</w:t>
      </w:r>
    </w:p>
    <w:bookmarkEnd w:id="0"/>
    <w:p w14:paraId="410A6783" w14:textId="77777777" w:rsidR="008C164C" w:rsidRPr="004C26C2" w:rsidRDefault="008C164C" w:rsidP="008C164C">
      <w:pPr>
        <w:spacing w:after="0" w:line="240" w:lineRule="auto"/>
        <w:rPr>
          <w:rFonts w:ascii="Arial" w:eastAsia="Calibri" w:hAnsi="Arial" w:cs="Arial"/>
          <w:b/>
          <w:bCs/>
        </w:rPr>
      </w:pPr>
    </w:p>
    <w:p w14:paraId="4731D545" w14:textId="77777777" w:rsidR="008C164C" w:rsidRPr="004C26C2" w:rsidRDefault="008C164C" w:rsidP="008C164C">
      <w:pPr>
        <w:spacing w:after="0" w:line="240" w:lineRule="auto"/>
        <w:rPr>
          <w:rFonts w:ascii="Arial" w:eastAsia="Calibri" w:hAnsi="Arial" w:cs="Arial"/>
          <w:b/>
          <w:bCs/>
        </w:rPr>
      </w:pPr>
      <w:bookmarkStart w:id="1" w:name="_Hlk120022196"/>
      <w:r>
        <w:rPr>
          <w:rFonts w:ascii="Arial" w:eastAsia="Calibri" w:hAnsi="Arial" w:cs="Arial"/>
          <w:b/>
          <w:bCs/>
        </w:rPr>
        <w:t>T</w:t>
      </w:r>
      <w:r w:rsidRPr="009928A5">
        <w:rPr>
          <w:rFonts w:ascii="Arial" w:eastAsia="Calibri" w:hAnsi="Arial" w:cs="Arial"/>
          <w:b/>
          <w:bCs/>
        </w:rPr>
        <w:t>HE</w:t>
      </w:r>
      <w:r>
        <w:rPr>
          <w:rFonts w:ascii="Arial" w:eastAsia="Calibri" w:hAnsi="Arial" w:cs="Arial"/>
          <w:b/>
          <w:bCs/>
        </w:rPr>
        <w:t xml:space="preserve"> </w:t>
      </w:r>
      <w:r w:rsidRPr="009928A5">
        <w:rPr>
          <w:rFonts w:ascii="Arial" w:eastAsia="Calibri" w:hAnsi="Arial" w:cs="Arial"/>
          <w:b/>
          <w:bCs/>
        </w:rPr>
        <w:t>S</w:t>
      </w:r>
      <w:r>
        <w:rPr>
          <w:rFonts w:ascii="Arial" w:eastAsia="Calibri" w:hAnsi="Arial" w:cs="Arial"/>
          <w:b/>
          <w:bCs/>
        </w:rPr>
        <w:t>TATE</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rPr>
        <w:t xml:space="preserve"> </w:t>
      </w:r>
      <w:r w:rsidRPr="004C26C2">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w:t>
      </w:r>
    </w:p>
    <w:p w14:paraId="5DCF993F" w14:textId="77777777" w:rsidR="008C164C" w:rsidRPr="004C26C2" w:rsidRDefault="008C164C" w:rsidP="008C164C">
      <w:pPr>
        <w:spacing w:after="0" w:line="240" w:lineRule="auto"/>
        <w:rPr>
          <w:rFonts w:ascii="Arial" w:eastAsia="Calibri" w:hAnsi="Arial" w:cs="Arial"/>
          <w:b/>
          <w:bCs/>
        </w:rPr>
      </w:pPr>
      <w:r w:rsidRPr="004C26C2">
        <w:rPr>
          <w:rFonts w:ascii="Arial" w:eastAsia="Calibri" w:hAnsi="Arial" w:cs="Arial"/>
          <w:b/>
          <w:bCs/>
        </w:rPr>
        <w:t xml:space="preserve">                                                                                     </w:t>
      </w:r>
    </w:p>
    <w:bookmarkEnd w:id="1"/>
    <w:p w14:paraId="0036F649" w14:textId="77777777" w:rsidR="008C164C" w:rsidRPr="004C26C2" w:rsidRDefault="008C164C" w:rsidP="008C164C">
      <w:pPr>
        <w:spacing w:after="0" w:line="240" w:lineRule="auto"/>
        <w:rPr>
          <w:rFonts w:ascii="Arial" w:eastAsia="Calibri" w:hAnsi="Arial" w:cs="Arial"/>
          <w:lang w:val="en-ZA"/>
        </w:rPr>
      </w:pPr>
      <w:r>
        <w:rPr>
          <w:rFonts w:ascii="Arial" w:eastAsia="Calibri" w:hAnsi="Arial" w:cs="Arial"/>
          <w:lang w:val="en-ZA"/>
        </w:rPr>
        <w:t>v</w:t>
      </w:r>
    </w:p>
    <w:p w14:paraId="5792ED50" w14:textId="77777777" w:rsidR="008C164C" w:rsidRPr="004C26C2" w:rsidRDefault="008C164C" w:rsidP="008C164C">
      <w:pPr>
        <w:spacing w:after="0" w:line="240" w:lineRule="auto"/>
        <w:rPr>
          <w:rFonts w:ascii="Arial" w:eastAsia="Calibri" w:hAnsi="Arial" w:cs="Arial"/>
          <w:b/>
        </w:rPr>
      </w:pPr>
    </w:p>
    <w:p w14:paraId="3AA70901" w14:textId="1E35D540" w:rsidR="008C164C" w:rsidRPr="004C26C2" w:rsidRDefault="008C164C" w:rsidP="008C164C">
      <w:pPr>
        <w:spacing w:after="0" w:line="240" w:lineRule="auto"/>
        <w:rPr>
          <w:rFonts w:ascii="Arial" w:eastAsia="Calibri" w:hAnsi="Arial" w:cs="Arial"/>
          <w:b/>
          <w:bCs/>
        </w:rPr>
      </w:pPr>
      <w:bookmarkStart w:id="2" w:name="_Hlk120021644"/>
      <w:r>
        <w:rPr>
          <w:rFonts w:ascii="Arial" w:eastAsia="Calibri" w:hAnsi="Arial" w:cs="Arial"/>
          <w:b/>
          <w:bCs/>
        </w:rPr>
        <w:t>D</w:t>
      </w:r>
      <w:r w:rsidR="0003190F">
        <w:rPr>
          <w:rFonts w:ascii="Arial" w:eastAsia="Calibri" w:hAnsi="Arial" w:cs="Arial"/>
          <w:b/>
          <w:bCs/>
        </w:rPr>
        <w:t>[…]</w:t>
      </w:r>
      <w:r>
        <w:rPr>
          <w:rFonts w:ascii="Arial" w:eastAsia="Calibri" w:hAnsi="Arial" w:cs="Arial"/>
          <w:b/>
          <w:bCs/>
        </w:rPr>
        <w:t xml:space="preserve"> A</w:t>
      </w:r>
      <w:r w:rsidR="0003190F">
        <w:rPr>
          <w:rFonts w:ascii="Arial" w:eastAsia="Calibri" w:hAnsi="Arial" w:cs="Arial"/>
          <w:b/>
          <w:bCs/>
        </w:rPr>
        <w:t>[…]</w:t>
      </w:r>
      <w:bookmarkStart w:id="3" w:name="_GoBack"/>
      <w:bookmarkEnd w:id="3"/>
      <w:r>
        <w:rPr>
          <w:rFonts w:ascii="Arial" w:eastAsia="Calibri" w:hAnsi="Arial" w:cs="Arial"/>
          <w:b/>
          <w:bCs/>
        </w:rPr>
        <w:t xml:space="preserve">                          </w:t>
      </w:r>
      <w:r>
        <w:rPr>
          <w:rFonts w:ascii="Arial" w:eastAsia="Calibri" w:hAnsi="Arial" w:cs="Arial"/>
          <w:bCs/>
        </w:rPr>
        <w:t xml:space="preserve">                                                    </w:t>
      </w:r>
    </w:p>
    <w:bookmarkEnd w:id="2"/>
    <w:p w14:paraId="351145A7" w14:textId="77777777" w:rsidR="008C164C" w:rsidRPr="004C26C2" w:rsidRDefault="008C164C" w:rsidP="008C164C">
      <w:pPr>
        <w:pBdr>
          <w:bottom w:val="single" w:sz="12" w:space="1" w:color="auto"/>
        </w:pBdr>
        <w:adjustRightInd w:val="0"/>
        <w:spacing w:after="0" w:line="240" w:lineRule="auto"/>
        <w:jc w:val="both"/>
        <w:textAlignment w:val="baseline"/>
        <w:rPr>
          <w:rFonts w:ascii="Arial" w:eastAsia="Times New Roman" w:hAnsi="Arial" w:cs="Arial"/>
          <w:snapToGrid w:val="0"/>
        </w:rPr>
      </w:pPr>
    </w:p>
    <w:p w14:paraId="72A9ECC9" w14:textId="77777777" w:rsidR="008C164C" w:rsidRPr="004C26C2" w:rsidRDefault="008C164C" w:rsidP="008C164C">
      <w:pPr>
        <w:pBdr>
          <w:bottom w:val="single" w:sz="12" w:space="1" w:color="auto"/>
        </w:pBdr>
        <w:adjustRightInd w:val="0"/>
        <w:spacing w:after="0" w:line="240" w:lineRule="auto"/>
        <w:jc w:val="both"/>
        <w:textAlignment w:val="baseline"/>
        <w:rPr>
          <w:rFonts w:ascii="Arial" w:eastAsia="Times New Roman" w:hAnsi="Arial" w:cs="Arial"/>
          <w:b/>
          <w:bCs/>
          <w:snapToGrid w:val="0"/>
        </w:rPr>
      </w:pPr>
    </w:p>
    <w:p w14:paraId="7BEDC20B" w14:textId="77777777" w:rsidR="008C164C" w:rsidRPr="004C26C2" w:rsidRDefault="008C164C" w:rsidP="008C164C">
      <w:pPr>
        <w:adjustRightInd w:val="0"/>
        <w:spacing w:after="0" w:line="240" w:lineRule="auto"/>
        <w:jc w:val="both"/>
        <w:textAlignment w:val="baseline"/>
        <w:rPr>
          <w:rFonts w:ascii="Arial" w:eastAsia="Times New Roman" w:hAnsi="Arial" w:cs="Arial"/>
          <w:b/>
          <w:bCs/>
          <w:snapToGrid w:val="0"/>
        </w:rPr>
      </w:pPr>
    </w:p>
    <w:p w14:paraId="6B3A16E8" w14:textId="121B94A8" w:rsidR="008C164C" w:rsidRPr="004C26C2" w:rsidRDefault="008C164C" w:rsidP="008C164C">
      <w:pPr>
        <w:adjustRightInd w:val="0"/>
        <w:spacing w:after="0" w:line="240" w:lineRule="auto"/>
        <w:jc w:val="center"/>
        <w:textAlignment w:val="baseline"/>
        <w:rPr>
          <w:rFonts w:ascii="Arial" w:eastAsia="Times New Roman" w:hAnsi="Arial" w:cs="Arial"/>
          <w:b/>
          <w:bCs/>
          <w:snapToGrid w:val="0"/>
        </w:rPr>
      </w:pPr>
      <w:r>
        <w:rPr>
          <w:rFonts w:ascii="Arial" w:eastAsia="Times New Roman" w:hAnsi="Arial" w:cs="Arial"/>
          <w:b/>
          <w:bCs/>
          <w:snapToGrid w:val="0"/>
        </w:rPr>
        <w:t xml:space="preserve"> REVIEW </w:t>
      </w:r>
      <w:r w:rsidR="00AF4867" w:rsidRPr="004C26C2">
        <w:rPr>
          <w:rFonts w:ascii="Arial" w:eastAsia="Times New Roman" w:hAnsi="Arial" w:cs="Arial"/>
          <w:b/>
          <w:bCs/>
          <w:snapToGrid w:val="0"/>
        </w:rPr>
        <w:t>JUDGMENT</w:t>
      </w:r>
      <w:r w:rsidR="00AF4867">
        <w:rPr>
          <w:rFonts w:ascii="Arial" w:eastAsia="Times New Roman" w:hAnsi="Arial" w:cs="Arial"/>
          <w:b/>
          <w:bCs/>
          <w:snapToGrid w:val="0"/>
        </w:rPr>
        <w:t>:</w:t>
      </w:r>
      <w:r>
        <w:rPr>
          <w:rFonts w:ascii="Arial" w:eastAsia="Times New Roman" w:hAnsi="Arial" w:cs="Arial"/>
          <w:b/>
          <w:bCs/>
          <w:snapToGrid w:val="0"/>
        </w:rPr>
        <w:t xml:space="preserve"> </w:t>
      </w:r>
      <w:r w:rsidR="00DB35B6">
        <w:rPr>
          <w:rFonts w:ascii="Arial" w:eastAsia="Times New Roman" w:hAnsi="Arial" w:cs="Arial"/>
          <w:b/>
          <w:bCs/>
          <w:snapToGrid w:val="0"/>
        </w:rPr>
        <w:t>19</w:t>
      </w:r>
      <w:r>
        <w:rPr>
          <w:rFonts w:ascii="Arial" w:eastAsia="Times New Roman" w:hAnsi="Arial" w:cs="Arial"/>
          <w:b/>
          <w:bCs/>
          <w:snapToGrid w:val="0"/>
        </w:rPr>
        <w:t xml:space="preserve"> JUNE 2024</w:t>
      </w:r>
      <w:r w:rsidRPr="004C26C2">
        <w:rPr>
          <w:rFonts w:ascii="Arial" w:eastAsia="Times New Roman" w:hAnsi="Arial" w:cs="Arial"/>
          <w:b/>
          <w:bCs/>
          <w:snapToGrid w:val="0"/>
        </w:rPr>
        <w:t xml:space="preserve">   </w:t>
      </w:r>
    </w:p>
    <w:p w14:paraId="2E8DA650" w14:textId="41A5DCD9" w:rsidR="008C164C" w:rsidRPr="004C26C2" w:rsidRDefault="008C164C" w:rsidP="008C164C">
      <w:pPr>
        <w:adjustRightInd w:val="0"/>
        <w:spacing w:after="0" w:line="240" w:lineRule="auto"/>
        <w:jc w:val="both"/>
        <w:textAlignment w:val="baseline"/>
        <w:rPr>
          <w:rFonts w:ascii="Arial" w:eastAsia="Times New Roman" w:hAnsi="Arial" w:cs="Arial"/>
          <w:b/>
          <w:bCs/>
          <w:snapToGrid w:val="0"/>
        </w:rPr>
      </w:pPr>
      <w:r w:rsidRPr="004C26C2">
        <w:rPr>
          <w:rFonts w:ascii="Arial" w:eastAsia="Times New Roman" w:hAnsi="Arial" w:cs="Arial"/>
          <w:b/>
          <w:bCs/>
          <w:snapToGrid w:val="0"/>
        </w:rPr>
        <w:t>___________________________________________________________________</w:t>
      </w:r>
    </w:p>
    <w:p w14:paraId="0B32116C" w14:textId="77777777" w:rsidR="008C164C" w:rsidRPr="004C26C2" w:rsidRDefault="008C164C" w:rsidP="008C164C">
      <w:pPr>
        <w:adjustRightInd w:val="0"/>
        <w:spacing w:line="360" w:lineRule="auto"/>
        <w:jc w:val="both"/>
        <w:textAlignment w:val="baseline"/>
        <w:rPr>
          <w:rFonts w:ascii="Arial" w:eastAsia="Times New Roman" w:hAnsi="Arial" w:cs="Arial"/>
          <w:b/>
          <w:bCs/>
        </w:rPr>
      </w:pPr>
    </w:p>
    <w:p w14:paraId="1AD32538" w14:textId="242C0434" w:rsidR="008C164C" w:rsidRPr="004C26C2" w:rsidRDefault="008C164C" w:rsidP="008C164C">
      <w:pPr>
        <w:adjustRightInd w:val="0"/>
        <w:spacing w:line="360" w:lineRule="auto"/>
        <w:jc w:val="both"/>
        <w:textAlignment w:val="baseline"/>
        <w:rPr>
          <w:rFonts w:ascii="Arial" w:eastAsia="Times New Roman" w:hAnsi="Arial" w:cs="Arial"/>
          <w:b/>
          <w:bCs/>
        </w:rPr>
      </w:pPr>
      <w:r w:rsidRPr="004C26C2">
        <w:rPr>
          <w:rFonts w:ascii="Arial" w:eastAsia="Times New Roman" w:hAnsi="Arial" w:cs="Arial"/>
          <w:b/>
          <w:bCs/>
        </w:rPr>
        <w:t>SHER, J</w:t>
      </w:r>
      <w:r>
        <w:rPr>
          <w:rFonts w:ascii="Arial" w:eastAsia="Times New Roman" w:hAnsi="Arial" w:cs="Arial"/>
          <w:b/>
          <w:bCs/>
        </w:rPr>
        <w:t xml:space="preserve"> (HENNEY J) concurring: </w:t>
      </w:r>
    </w:p>
    <w:p w14:paraId="57872ECA" w14:textId="75249D76" w:rsidR="009E1B92" w:rsidRPr="009E1B92" w:rsidRDefault="008C795E" w:rsidP="008C795E">
      <w:pPr>
        <w:adjustRightInd w:val="0"/>
        <w:spacing w:after="0" w:line="360" w:lineRule="auto"/>
        <w:ind w:left="720" w:hanging="720"/>
        <w:contextualSpacing/>
        <w:jc w:val="both"/>
        <w:textAlignment w:val="baseline"/>
        <w:rPr>
          <w:rFonts w:ascii="Arial" w:eastAsia="Calibri" w:hAnsi="Arial" w:cs="Arial"/>
        </w:rPr>
      </w:pPr>
      <w:r w:rsidRPr="009E1B92">
        <w:rPr>
          <w:rFonts w:ascii="Arial" w:eastAsia="Calibri" w:hAnsi="Arial" w:cs="Arial"/>
        </w:rPr>
        <w:t>1.</w:t>
      </w:r>
      <w:r w:rsidRPr="009E1B92">
        <w:rPr>
          <w:rFonts w:ascii="Arial" w:eastAsia="Calibri" w:hAnsi="Arial" w:cs="Arial"/>
        </w:rPr>
        <w:tab/>
      </w:r>
      <w:r w:rsidR="008C164C" w:rsidRPr="008704A1">
        <w:rPr>
          <w:rFonts w:ascii="Arial" w:eastAsia="Times New Roman" w:hAnsi="Arial" w:cs="Arial"/>
          <w:bCs/>
        </w:rPr>
        <w:t>Th</w:t>
      </w:r>
      <w:r w:rsidR="0007418B">
        <w:rPr>
          <w:rFonts w:ascii="Arial" w:eastAsia="Times New Roman" w:hAnsi="Arial" w:cs="Arial"/>
          <w:bCs/>
        </w:rPr>
        <w:t>is</w:t>
      </w:r>
      <w:r w:rsidR="008C164C" w:rsidRPr="008704A1">
        <w:rPr>
          <w:rFonts w:ascii="Arial" w:eastAsia="Times New Roman" w:hAnsi="Arial" w:cs="Arial"/>
          <w:bCs/>
        </w:rPr>
        <w:t xml:space="preserve"> matter comes before us on automatic review. The accused was arraigned in the Hermanus magistrate</w:t>
      </w:r>
      <w:r w:rsidR="008704A1" w:rsidRPr="008704A1">
        <w:rPr>
          <w:rFonts w:ascii="Arial" w:eastAsia="Times New Roman" w:hAnsi="Arial" w:cs="Arial"/>
          <w:bCs/>
        </w:rPr>
        <w:t>’</w:t>
      </w:r>
      <w:r w:rsidR="008C164C" w:rsidRPr="008704A1">
        <w:rPr>
          <w:rFonts w:ascii="Arial" w:eastAsia="Times New Roman" w:hAnsi="Arial" w:cs="Arial"/>
          <w:bCs/>
        </w:rPr>
        <w:t xml:space="preserve">s court on 2 charges, each of which had an alternative. He was convicted on </w:t>
      </w:r>
      <w:r w:rsidR="00F313EC">
        <w:rPr>
          <w:rFonts w:ascii="Arial" w:eastAsia="Times New Roman" w:hAnsi="Arial" w:cs="Arial"/>
          <w:bCs/>
        </w:rPr>
        <w:t>both</w:t>
      </w:r>
      <w:r w:rsidR="008C164C" w:rsidRPr="008704A1">
        <w:rPr>
          <w:rFonts w:ascii="Arial" w:eastAsia="Times New Roman" w:hAnsi="Arial" w:cs="Arial"/>
          <w:bCs/>
        </w:rPr>
        <w:t xml:space="preserve"> main counts and sentenced to a term of 24 </w:t>
      </w:r>
      <w:proofErr w:type="gramStart"/>
      <w:r w:rsidR="008C164C" w:rsidRPr="008704A1">
        <w:rPr>
          <w:rFonts w:ascii="Arial" w:eastAsia="Times New Roman" w:hAnsi="Arial" w:cs="Arial"/>
          <w:bCs/>
        </w:rPr>
        <w:t>months</w:t>
      </w:r>
      <w:proofErr w:type="gramEnd"/>
      <w:r w:rsidR="008C164C" w:rsidRPr="008704A1">
        <w:rPr>
          <w:rFonts w:ascii="Arial" w:eastAsia="Times New Roman" w:hAnsi="Arial" w:cs="Arial"/>
          <w:bCs/>
        </w:rPr>
        <w:t xml:space="preserve"> imprisonment in respect of the </w:t>
      </w:r>
      <w:r w:rsidR="008E7592">
        <w:rPr>
          <w:rFonts w:ascii="Arial" w:eastAsia="Times New Roman" w:hAnsi="Arial" w:cs="Arial"/>
          <w:bCs/>
        </w:rPr>
        <w:t>1</w:t>
      </w:r>
      <w:r w:rsidR="008E7592" w:rsidRPr="008E7592">
        <w:rPr>
          <w:rFonts w:ascii="Arial" w:eastAsia="Times New Roman" w:hAnsi="Arial" w:cs="Arial"/>
          <w:bCs/>
          <w:vertAlign w:val="superscript"/>
        </w:rPr>
        <w:t>st</w:t>
      </w:r>
      <w:r w:rsidR="008E7592">
        <w:rPr>
          <w:rFonts w:ascii="Arial" w:eastAsia="Times New Roman" w:hAnsi="Arial" w:cs="Arial"/>
          <w:bCs/>
        </w:rPr>
        <w:t xml:space="preserve"> </w:t>
      </w:r>
      <w:r w:rsidR="00E2283C">
        <w:rPr>
          <w:rFonts w:ascii="Arial" w:eastAsia="Times New Roman" w:hAnsi="Arial" w:cs="Arial"/>
          <w:bCs/>
        </w:rPr>
        <w:t xml:space="preserve">charge </w:t>
      </w:r>
      <w:r w:rsidR="008C164C" w:rsidRPr="008704A1">
        <w:rPr>
          <w:rFonts w:ascii="Arial" w:eastAsia="Times New Roman" w:hAnsi="Arial" w:cs="Arial"/>
          <w:bCs/>
        </w:rPr>
        <w:t>and 6 months imprisonment in respect of the</w:t>
      </w:r>
      <w:r w:rsidR="00F313EC">
        <w:rPr>
          <w:rFonts w:ascii="Arial" w:eastAsia="Times New Roman" w:hAnsi="Arial" w:cs="Arial"/>
          <w:bCs/>
        </w:rPr>
        <w:t xml:space="preserve"> </w:t>
      </w:r>
      <w:r w:rsidR="008E7592">
        <w:rPr>
          <w:rFonts w:ascii="Arial" w:eastAsia="Times New Roman" w:hAnsi="Arial" w:cs="Arial"/>
          <w:bCs/>
        </w:rPr>
        <w:t>2</w:t>
      </w:r>
      <w:r w:rsidR="004D6715" w:rsidRPr="008E7592">
        <w:rPr>
          <w:rFonts w:ascii="Arial" w:eastAsia="Times New Roman" w:hAnsi="Arial" w:cs="Arial"/>
          <w:bCs/>
          <w:vertAlign w:val="superscript"/>
        </w:rPr>
        <w:t>nd</w:t>
      </w:r>
      <w:r w:rsidR="004D6715">
        <w:rPr>
          <w:rFonts w:ascii="Arial" w:eastAsia="Times New Roman" w:hAnsi="Arial" w:cs="Arial"/>
          <w:bCs/>
        </w:rPr>
        <w:t>,</w:t>
      </w:r>
      <w:r w:rsidR="008C164C" w:rsidRPr="008704A1">
        <w:rPr>
          <w:rFonts w:ascii="Arial" w:eastAsia="Times New Roman" w:hAnsi="Arial" w:cs="Arial"/>
          <w:bCs/>
        </w:rPr>
        <w:t xml:space="preserve"> which w</w:t>
      </w:r>
      <w:r w:rsidR="008704A1">
        <w:rPr>
          <w:rFonts w:ascii="Arial" w:eastAsia="Times New Roman" w:hAnsi="Arial" w:cs="Arial"/>
          <w:bCs/>
        </w:rPr>
        <w:t>ere</w:t>
      </w:r>
      <w:r w:rsidR="008C164C" w:rsidRPr="008704A1">
        <w:rPr>
          <w:rFonts w:ascii="Arial" w:eastAsia="Times New Roman" w:hAnsi="Arial" w:cs="Arial"/>
          <w:bCs/>
        </w:rPr>
        <w:t xml:space="preserve"> ordered to run concurrently. </w:t>
      </w:r>
    </w:p>
    <w:p w14:paraId="750A9D16" w14:textId="79E584CD" w:rsidR="008C164C" w:rsidRPr="008704A1" w:rsidRDefault="008C795E" w:rsidP="008C795E">
      <w:pPr>
        <w:adjustRightInd w:val="0"/>
        <w:spacing w:after="0" w:line="360" w:lineRule="auto"/>
        <w:ind w:left="720" w:hanging="720"/>
        <w:contextualSpacing/>
        <w:jc w:val="both"/>
        <w:textAlignment w:val="baseline"/>
        <w:rPr>
          <w:rFonts w:ascii="Arial" w:eastAsia="Calibri" w:hAnsi="Arial" w:cs="Arial"/>
        </w:rPr>
      </w:pPr>
      <w:r w:rsidRPr="008704A1">
        <w:rPr>
          <w:rFonts w:ascii="Arial" w:eastAsia="Calibri" w:hAnsi="Arial" w:cs="Arial"/>
        </w:rPr>
        <w:t>2.</w:t>
      </w:r>
      <w:r w:rsidRPr="008704A1">
        <w:rPr>
          <w:rFonts w:ascii="Arial" w:eastAsia="Calibri" w:hAnsi="Arial" w:cs="Arial"/>
        </w:rPr>
        <w:tab/>
      </w:r>
      <w:r w:rsidR="009E1B92">
        <w:rPr>
          <w:rFonts w:ascii="Arial" w:eastAsia="Times New Roman" w:hAnsi="Arial" w:cs="Arial"/>
          <w:bCs/>
        </w:rPr>
        <w:t>As will be apparent f</w:t>
      </w:r>
      <w:r w:rsidR="00EB30C4">
        <w:rPr>
          <w:rFonts w:ascii="Arial" w:eastAsia="Times New Roman" w:hAnsi="Arial" w:cs="Arial"/>
          <w:bCs/>
        </w:rPr>
        <w:t>r</w:t>
      </w:r>
      <w:r w:rsidR="009E1B92">
        <w:rPr>
          <w:rFonts w:ascii="Arial" w:eastAsia="Times New Roman" w:hAnsi="Arial" w:cs="Arial"/>
          <w:bCs/>
        </w:rPr>
        <w:t xml:space="preserve">om the narrative which </w:t>
      </w:r>
      <w:r w:rsidR="00EB30C4">
        <w:rPr>
          <w:rFonts w:ascii="Arial" w:eastAsia="Times New Roman" w:hAnsi="Arial" w:cs="Arial"/>
          <w:bCs/>
        </w:rPr>
        <w:t>ensues</w:t>
      </w:r>
      <w:r w:rsidR="009E1B92">
        <w:rPr>
          <w:rFonts w:ascii="Arial" w:eastAsia="Times New Roman" w:hAnsi="Arial" w:cs="Arial"/>
          <w:bCs/>
        </w:rPr>
        <w:t>, th</w:t>
      </w:r>
      <w:r w:rsidR="00B417E0">
        <w:rPr>
          <w:rFonts w:ascii="Arial" w:eastAsia="Times New Roman" w:hAnsi="Arial" w:cs="Arial"/>
          <w:bCs/>
        </w:rPr>
        <w:t xml:space="preserve">e process that was followed in the trial </w:t>
      </w:r>
      <w:r w:rsidR="009E1B92">
        <w:rPr>
          <w:rFonts w:ascii="Arial" w:eastAsia="Times New Roman" w:hAnsi="Arial" w:cs="Arial"/>
          <w:bCs/>
        </w:rPr>
        <w:t xml:space="preserve">and conviction </w:t>
      </w:r>
      <w:r w:rsidR="00B417E0">
        <w:rPr>
          <w:rFonts w:ascii="Arial" w:eastAsia="Times New Roman" w:hAnsi="Arial" w:cs="Arial"/>
          <w:bCs/>
        </w:rPr>
        <w:t>of the accused can only be described as extraordinary</w:t>
      </w:r>
      <w:r w:rsidR="00EB30C4">
        <w:rPr>
          <w:rFonts w:ascii="Arial" w:eastAsia="Times New Roman" w:hAnsi="Arial" w:cs="Arial"/>
          <w:bCs/>
        </w:rPr>
        <w:t xml:space="preserve"> and highly irregular</w:t>
      </w:r>
      <w:r w:rsidR="00B417E0">
        <w:rPr>
          <w:rFonts w:ascii="Arial" w:eastAsia="Times New Roman" w:hAnsi="Arial" w:cs="Arial"/>
          <w:bCs/>
        </w:rPr>
        <w:t xml:space="preserve">.  </w:t>
      </w:r>
      <w:r w:rsidR="008C164C" w:rsidRPr="008704A1">
        <w:rPr>
          <w:rFonts w:ascii="Arial" w:eastAsia="Times New Roman" w:hAnsi="Arial" w:cs="Arial"/>
          <w:bCs/>
        </w:rPr>
        <w:t xml:space="preserve"> </w:t>
      </w:r>
    </w:p>
    <w:p w14:paraId="3339520C" w14:textId="77777777" w:rsidR="008C164C" w:rsidRPr="00ED035A" w:rsidRDefault="008C164C" w:rsidP="008C164C">
      <w:pPr>
        <w:adjustRightInd w:val="0"/>
        <w:spacing w:after="0" w:line="360" w:lineRule="auto"/>
        <w:contextualSpacing/>
        <w:jc w:val="both"/>
        <w:textAlignment w:val="baseline"/>
        <w:rPr>
          <w:rFonts w:ascii="Arial" w:eastAsia="Calibri" w:hAnsi="Arial" w:cs="Arial"/>
          <w:b/>
        </w:rPr>
      </w:pPr>
      <w:r w:rsidRPr="00ED035A">
        <w:rPr>
          <w:rFonts w:ascii="Arial" w:eastAsia="Times New Roman" w:hAnsi="Arial" w:cs="Arial"/>
          <w:b/>
        </w:rPr>
        <w:t>The facts</w:t>
      </w:r>
    </w:p>
    <w:p w14:paraId="74C0CD01" w14:textId="3FA361A3" w:rsidR="00F313EC" w:rsidRPr="00F313EC" w:rsidRDefault="008C795E" w:rsidP="008C795E">
      <w:pPr>
        <w:adjustRightInd w:val="0"/>
        <w:spacing w:after="0" w:line="360" w:lineRule="auto"/>
        <w:ind w:left="720" w:hanging="720"/>
        <w:contextualSpacing/>
        <w:jc w:val="both"/>
        <w:textAlignment w:val="baseline"/>
        <w:rPr>
          <w:rFonts w:ascii="Arial" w:eastAsia="Calibri" w:hAnsi="Arial" w:cs="Arial"/>
        </w:rPr>
      </w:pPr>
      <w:r w:rsidRPr="00F313EC">
        <w:rPr>
          <w:rFonts w:ascii="Arial" w:eastAsia="Calibri" w:hAnsi="Arial" w:cs="Arial"/>
        </w:rPr>
        <w:t>3.</w:t>
      </w:r>
      <w:r w:rsidRPr="00F313EC">
        <w:rPr>
          <w:rFonts w:ascii="Arial" w:eastAsia="Calibri" w:hAnsi="Arial" w:cs="Arial"/>
        </w:rPr>
        <w:tab/>
      </w:r>
      <w:r w:rsidR="008C164C">
        <w:rPr>
          <w:rFonts w:ascii="Arial" w:eastAsia="Times New Roman" w:hAnsi="Arial" w:cs="Arial"/>
          <w:bCs/>
        </w:rPr>
        <w:t xml:space="preserve">The accused was </w:t>
      </w:r>
      <w:r w:rsidR="008704A1">
        <w:rPr>
          <w:rFonts w:ascii="Arial" w:eastAsia="Times New Roman" w:hAnsi="Arial" w:cs="Arial"/>
          <w:bCs/>
        </w:rPr>
        <w:t xml:space="preserve">arrested on 4 September 2023 for allegedly breaching a </w:t>
      </w:r>
      <w:r w:rsidR="00990F62">
        <w:rPr>
          <w:rFonts w:ascii="Arial" w:eastAsia="Times New Roman" w:hAnsi="Arial" w:cs="Arial"/>
          <w:bCs/>
        </w:rPr>
        <w:t>‘</w:t>
      </w:r>
      <w:r w:rsidR="008704A1">
        <w:rPr>
          <w:rFonts w:ascii="Arial" w:eastAsia="Times New Roman" w:hAnsi="Arial" w:cs="Arial"/>
          <w:bCs/>
        </w:rPr>
        <w:t>protection order</w:t>
      </w:r>
      <w:r w:rsidR="00990F62">
        <w:rPr>
          <w:rFonts w:ascii="Arial" w:eastAsia="Times New Roman" w:hAnsi="Arial" w:cs="Arial"/>
          <w:bCs/>
        </w:rPr>
        <w:t>’</w:t>
      </w:r>
      <w:r w:rsidR="008704A1">
        <w:rPr>
          <w:rFonts w:ascii="Arial" w:eastAsia="Times New Roman" w:hAnsi="Arial" w:cs="Arial"/>
          <w:bCs/>
        </w:rPr>
        <w:t xml:space="preserve"> which </w:t>
      </w:r>
      <w:r w:rsidR="00076F69">
        <w:rPr>
          <w:rFonts w:ascii="Arial" w:eastAsia="Times New Roman" w:hAnsi="Arial" w:cs="Arial"/>
          <w:bCs/>
        </w:rPr>
        <w:t xml:space="preserve">was </w:t>
      </w:r>
      <w:r w:rsidR="008704A1">
        <w:rPr>
          <w:rFonts w:ascii="Arial" w:eastAsia="Times New Roman" w:hAnsi="Arial" w:cs="Arial"/>
          <w:bCs/>
        </w:rPr>
        <w:t xml:space="preserve">granted in favour of his mother on 6 May 2022, in </w:t>
      </w:r>
      <w:r w:rsidR="008704A1">
        <w:rPr>
          <w:rFonts w:ascii="Arial" w:eastAsia="Times New Roman" w:hAnsi="Arial" w:cs="Arial"/>
          <w:bCs/>
        </w:rPr>
        <w:lastRenderedPageBreak/>
        <w:t xml:space="preserve">terms of the </w:t>
      </w:r>
      <w:r w:rsidR="00990F62">
        <w:rPr>
          <w:rFonts w:ascii="Arial" w:eastAsia="Times New Roman" w:hAnsi="Arial" w:cs="Arial"/>
          <w:bCs/>
        </w:rPr>
        <w:t>D</w:t>
      </w:r>
      <w:r w:rsidR="008704A1">
        <w:rPr>
          <w:rFonts w:ascii="Arial" w:eastAsia="Times New Roman" w:hAnsi="Arial" w:cs="Arial"/>
          <w:bCs/>
        </w:rPr>
        <w:t xml:space="preserve">omestic </w:t>
      </w:r>
      <w:r w:rsidR="00990F62">
        <w:rPr>
          <w:rFonts w:ascii="Arial" w:eastAsia="Times New Roman" w:hAnsi="Arial" w:cs="Arial"/>
          <w:bCs/>
        </w:rPr>
        <w:t>V</w:t>
      </w:r>
      <w:r w:rsidR="008704A1">
        <w:rPr>
          <w:rFonts w:ascii="Arial" w:eastAsia="Times New Roman" w:hAnsi="Arial" w:cs="Arial"/>
          <w:bCs/>
        </w:rPr>
        <w:t xml:space="preserve">iolence </w:t>
      </w:r>
      <w:r w:rsidR="00990F62">
        <w:rPr>
          <w:rFonts w:ascii="Arial" w:eastAsia="Times New Roman" w:hAnsi="Arial" w:cs="Arial"/>
          <w:bCs/>
        </w:rPr>
        <w:t>A</w:t>
      </w:r>
      <w:r w:rsidR="008704A1">
        <w:rPr>
          <w:rFonts w:ascii="Arial" w:eastAsia="Times New Roman" w:hAnsi="Arial" w:cs="Arial"/>
          <w:bCs/>
        </w:rPr>
        <w:t xml:space="preserve">ct (‘the DVA’). </w:t>
      </w:r>
      <w:r w:rsidR="008704A1">
        <w:rPr>
          <w:rStyle w:val="FootnoteReference"/>
          <w:rFonts w:ascii="Arial" w:eastAsia="Times New Roman" w:hAnsi="Arial" w:cs="Arial"/>
          <w:bCs/>
        </w:rPr>
        <w:footnoteReference w:id="1"/>
      </w:r>
      <w:r w:rsidR="008C164C">
        <w:rPr>
          <w:rFonts w:ascii="Arial" w:eastAsia="Times New Roman" w:hAnsi="Arial" w:cs="Arial"/>
          <w:bCs/>
        </w:rPr>
        <w:t xml:space="preserve"> </w:t>
      </w:r>
      <w:r w:rsidR="00990F62">
        <w:rPr>
          <w:rFonts w:ascii="Arial" w:eastAsia="Times New Roman" w:hAnsi="Arial" w:cs="Arial"/>
          <w:bCs/>
        </w:rPr>
        <w:t>A</w:t>
      </w:r>
      <w:r w:rsidR="008704A1">
        <w:rPr>
          <w:rFonts w:ascii="Arial" w:eastAsia="Times New Roman" w:hAnsi="Arial" w:cs="Arial"/>
          <w:bCs/>
        </w:rPr>
        <w:t xml:space="preserve">mongst its terms the order prohibited him from entering her residence in </w:t>
      </w:r>
      <w:proofErr w:type="spellStart"/>
      <w:r w:rsidR="00760CF7">
        <w:rPr>
          <w:rFonts w:ascii="Arial" w:eastAsia="Times New Roman" w:hAnsi="Arial" w:cs="Arial"/>
          <w:bCs/>
        </w:rPr>
        <w:t>Haws</w:t>
      </w:r>
      <w:r w:rsidR="008704A1">
        <w:rPr>
          <w:rFonts w:ascii="Arial" w:eastAsia="Times New Roman" w:hAnsi="Arial" w:cs="Arial"/>
          <w:bCs/>
        </w:rPr>
        <w:t>ton</w:t>
      </w:r>
      <w:proofErr w:type="spellEnd"/>
      <w:r w:rsidR="008704A1">
        <w:rPr>
          <w:rFonts w:ascii="Arial" w:eastAsia="Times New Roman" w:hAnsi="Arial" w:cs="Arial"/>
          <w:bCs/>
        </w:rPr>
        <w:t xml:space="preserve"> and from damaging her property. </w:t>
      </w:r>
    </w:p>
    <w:p w14:paraId="390D7658" w14:textId="4E161152" w:rsidR="008C164C" w:rsidRPr="00EE18B9" w:rsidRDefault="008C795E" w:rsidP="008C795E">
      <w:pPr>
        <w:adjustRightInd w:val="0"/>
        <w:spacing w:after="0" w:line="360" w:lineRule="auto"/>
        <w:ind w:left="720" w:hanging="720"/>
        <w:contextualSpacing/>
        <w:jc w:val="both"/>
        <w:textAlignment w:val="baseline"/>
        <w:rPr>
          <w:rFonts w:ascii="Arial" w:eastAsia="Calibri" w:hAnsi="Arial" w:cs="Arial"/>
        </w:rPr>
      </w:pPr>
      <w:r w:rsidRPr="00EE18B9">
        <w:rPr>
          <w:rFonts w:ascii="Arial" w:eastAsia="Calibri" w:hAnsi="Arial" w:cs="Arial"/>
        </w:rPr>
        <w:t>4.</w:t>
      </w:r>
      <w:r w:rsidRPr="00EE18B9">
        <w:rPr>
          <w:rFonts w:ascii="Arial" w:eastAsia="Calibri" w:hAnsi="Arial" w:cs="Arial"/>
        </w:rPr>
        <w:tab/>
      </w:r>
      <w:r w:rsidR="008704A1">
        <w:rPr>
          <w:rFonts w:ascii="Arial" w:eastAsia="Times New Roman" w:hAnsi="Arial" w:cs="Arial"/>
          <w:bCs/>
        </w:rPr>
        <w:t>Following his 1</w:t>
      </w:r>
      <w:r w:rsidR="008704A1" w:rsidRPr="008704A1">
        <w:rPr>
          <w:rFonts w:ascii="Arial" w:eastAsia="Times New Roman" w:hAnsi="Arial" w:cs="Arial"/>
          <w:bCs/>
          <w:vertAlign w:val="superscript"/>
        </w:rPr>
        <w:t>st</w:t>
      </w:r>
      <w:r w:rsidR="008704A1">
        <w:rPr>
          <w:rFonts w:ascii="Arial" w:eastAsia="Times New Roman" w:hAnsi="Arial" w:cs="Arial"/>
          <w:bCs/>
        </w:rPr>
        <w:t xml:space="preserve"> appearance on 6 September 2023 the matter was remanded on </w:t>
      </w:r>
      <w:r w:rsidR="00760CF7">
        <w:rPr>
          <w:rFonts w:ascii="Arial" w:eastAsia="Times New Roman" w:hAnsi="Arial" w:cs="Arial"/>
          <w:bCs/>
        </w:rPr>
        <w:t>several</w:t>
      </w:r>
      <w:r w:rsidR="008704A1">
        <w:rPr>
          <w:rFonts w:ascii="Arial" w:eastAsia="Times New Roman" w:hAnsi="Arial" w:cs="Arial"/>
          <w:bCs/>
        </w:rPr>
        <w:t xml:space="preserve"> occasions for a bail application and legal aid representation. However, the accused subsequently indicated he no longer sought bail and at his appearance on 21 November 2023 </w:t>
      </w:r>
      <w:r w:rsidR="00760CF7">
        <w:rPr>
          <w:rFonts w:ascii="Arial" w:eastAsia="Times New Roman" w:hAnsi="Arial" w:cs="Arial"/>
          <w:bCs/>
        </w:rPr>
        <w:t xml:space="preserve">he </w:t>
      </w:r>
      <w:r w:rsidR="008704A1">
        <w:rPr>
          <w:rFonts w:ascii="Arial" w:eastAsia="Times New Roman" w:hAnsi="Arial" w:cs="Arial"/>
          <w:bCs/>
        </w:rPr>
        <w:t>informed the magistrate that he wished to represent himself, at which time the charges w</w:t>
      </w:r>
      <w:r w:rsidR="00760CF7">
        <w:rPr>
          <w:rFonts w:ascii="Arial" w:eastAsia="Times New Roman" w:hAnsi="Arial" w:cs="Arial"/>
          <w:bCs/>
        </w:rPr>
        <w:t>ere</w:t>
      </w:r>
      <w:r w:rsidR="008704A1">
        <w:rPr>
          <w:rFonts w:ascii="Arial" w:eastAsia="Times New Roman" w:hAnsi="Arial" w:cs="Arial"/>
          <w:bCs/>
        </w:rPr>
        <w:t xml:space="preserve"> put to him. </w:t>
      </w:r>
    </w:p>
    <w:p w14:paraId="10FF146D" w14:textId="17DE8160" w:rsidR="00990F62" w:rsidRPr="00990F62" w:rsidRDefault="008C795E" w:rsidP="008C795E">
      <w:pPr>
        <w:adjustRightInd w:val="0"/>
        <w:spacing w:after="0" w:line="360" w:lineRule="auto"/>
        <w:ind w:left="720" w:hanging="720"/>
        <w:contextualSpacing/>
        <w:jc w:val="both"/>
        <w:textAlignment w:val="baseline"/>
        <w:rPr>
          <w:rFonts w:ascii="Arial" w:eastAsia="Calibri" w:hAnsi="Arial" w:cs="Arial"/>
        </w:rPr>
      </w:pPr>
      <w:r w:rsidRPr="00990F62">
        <w:rPr>
          <w:rFonts w:ascii="Arial" w:eastAsia="Calibri" w:hAnsi="Arial" w:cs="Arial"/>
        </w:rPr>
        <w:t>5.</w:t>
      </w:r>
      <w:r w:rsidRPr="00990F62">
        <w:rPr>
          <w:rFonts w:ascii="Arial" w:eastAsia="Calibri" w:hAnsi="Arial" w:cs="Arial"/>
        </w:rPr>
        <w:tab/>
      </w:r>
      <w:r w:rsidR="00B574A5">
        <w:rPr>
          <w:rFonts w:ascii="Arial" w:eastAsia="Times New Roman" w:hAnsi="Arial" w:cs="Arial"/>
          <w:bCs/>
        </w:rPr>
        <w:t>The 1</w:t>
      </w:r>
      <w:r w:rsidR="00B574A5" w:rsidRPr="00B574A5">
        <w:rPr>
          <w:rFonts w:ascii="Arial" w:eastAsia="Times New Roman" w:hAnsi="Arial" w:cs="Arial"/>
          <w:bCs/>
          <w:vertAlign w:val="superscript"/>
        </w:rPr>
        <w:t>st</w:t>
      </w:r>
      <w:r w:rsidR="00B574A5">
        <w:rPr>
          <w:rFonts w:ascii="Arial" w:eastAsia="Times New Roman" w:hAnsi="Arial" w:cs="Arial"/>
          <w:bCs/>
        </w:rPr>
        <w:t xml:space="preserve"> charge was </w:t>
      </w:r>
      <w:r w:rsidR="000B2808">
        <w:rPr>
          <w:rFonts w:ascii="Arial" w:eastAsia="Times New Roman" w:hAnsi="Arial" w:cs="Arial"/>
          <w:bCs/>
        </w:rPr>
        <w:t xml:space="preserve">that he had </w:t>
      </w:r>
      <w:r w:rsidR="00B574A5">
        <w:rPr>
          <w:rFonts w:ascii="Arial" w:eastAsia="Times New Roman" w:hAnsi="Arial" w:cs="Arial"/>
          <w:bCs/>
        </w:rPr>
        <w:t>contraven</w:t>
      </w:r>
      <w:r w:rsidR="000B2808">
        <w:rPr>
          <w:rFonts w:ascii="Arial" w:eastAsia="Times New Roman" w:hAnsi="Arial" w:cs="Arial"/>
          <w:bCs/>
        </w:rPr>
        <w:t>ed</w:t>
      </w:r>
      <w:r w:rsidR="00B574A5">
        <w:rPr>
          <w:rFonts w:ascii="Arial" w:eastAsia="Times New Roman" w:hAnsi="Arial" w:cs="Arial"/>
          <w:bCs/>
        </w:rPr>
        <w:t xml:space="preserve"> </w:t>
      </w:r>
      <w:r w:rsidR="00990F62">
        <w:rPr>
          <w:rFonts w:ascii="Arial" w:eastAsia="Times New Roman" w:hAnsi="Arial" w:cs="Arial"/>
          <w:bCs/>
        </w:rPr>
        <w:t>s</w:t>
      </w:r>
      <w:r w:rsidR="00B574A5">
        <w:rPr>
          <w:rFonts w:ascii="Arial" w:eastAsia="Times New Roman" w:hAnsi="Arial" w:cs="Arial"/>
          <w:bCs/>
        </w:rPr>
        <w:t xml:space="preserve"> 17(1)(a) of the DVA by breaching the </w:t>
      </w:r>
      <w:r w:rsidR="00760CF7">
        <w:rPr>
          <w:rFonts w:ascii="Arial" w:eastAsia="Times New Roman" w:hAnsi="Arial" w:cs="Arial"/>
          <w:bCs/>
        </w:rPr>
        <w:t>protection</w:t>
      </w:r>
      <w:r w:rsidR="00B574A5">
        <w:rPr>
          <w:rFonts w:ascii="Arial" w:eastAsia="Times New Roman" w:hAnsi="Arial" w:cs="Arial"/>
          <w:bCs/>
        </w:rPr>
        <w:t xml:space="preserve"> order on 2 September 2023</w:t>
      </w:r>
      <w:r w:rsidR="00760CF7">
        <w:rPr>
          <w:rFonts w:ascii="Arial" w:eastAsia="Times New Roman" w:hAnsi="Arial" w:cs="Arial"/>
          <w:bCs/>
        </w:rPr>
        <w:t>, in that he had allegedly</w:t>
      </w:r>
      <w:r w:rsidR="00B574A5">
        <w:rPr>
          <w:rFonts w:ascii="Arial" w:eastAsia="Times New Roman" w:hAnsi="Arial" w:cs="Arial"/>
          <w:bCs/>
        </w:rPr>
        <w:t xml:space="preserve"> enter</w:t>
      </w:r>
      <w:r w:rsidR="00760CF7">
        <w:rPr>
          <w:rFonts w:ascii="Arial" w:eastAsia="Times New Roman" w:hAnsi="Arial" w:cs="Arial"/>
          <w:bCs/>
        </w:rPr>
        <w:t>ed</w:t>
      </w:r>
      <w:r w:rsidR="00B574A5">
        <w:rPr>
          <w:rFonts w:ascii="Arial" w:eastAsia="Times New Roman" w:hAnsi="Arial" w:cs="Arial"/>
          <w:bCs/>
        </w:rPr>
        <w:t xml:space="preserve"> the residence of his mother and </w:t>
      </w:r>
      <w:r w:rsidR="00F0177C">
        <w:rPr>
          <w:rFonts w:ascii="Arial" w:eastAsia="Times New Roman" w:hAnsi="Arial" w:cs="Arial"/>
          <w:bCs/>
        </w:rPr>
        <w:t xml:space="preserve">had </w:t>
      </w:r>
      <w:r w:rsidR="00B574A5">
        <w:rPr>
          <w:rFonts w:ascii="Arial" w:eastAsia="Times New Roman" w:hAnsi="Arial" w:cs="Arial"/>
          <w:bCs/>
        </w:rPr>
        <w:t>br</w:t>
      </w:r>
      <w:r w:rsidR="00760CF7">
        <w:rPr>
          <w:rFonts w:ascii="Arial" w:eastAsia="Times New Roman" w:hAnsi="Arial" w:cs="Arial"/>
          <w:bCs/>
        </w:rPr>
        <w:t>oke</w:t>
      </w:r>
      <w:r w:rsidR="00F0177C">
        <w:rPr>
          <w:rFonts w:ascii="Arial" w:eastAsia="Times New Roman" w:hAnsi="Arial" w:cs="Arial"/>
          <w:bCs/>
        </w:rPr>
        <w:t>n</w:t>
      </w:r>
      <w:r w:rsidR="00B574A5">
        <w:rPr>
          <w:rFonts w:ascii="Arial" w:eastAsia="Times New Roman" w:hAnsi="Arial" w:cs="Arial"/>
          <w:bCs/>
        </w:rPr>
        <w:t xml:space="preserve"> her kettle and window. In the alternative</w:t>
      </w:r>
      <w:r w:rsidR="00372591">
        <w:rPr>
          <w:rFonts w:ascii="Arial" w:eastAsia="Times New Roman" w:hAnsi="Arial" w:cs="Arial"/>
          <w:bCs/>
        </w:rPr>
        <w:t xml:space="preserve"> thereto</w:t>
      </w:r>
      <w:r w:rsidR="00B574A5">
        <w:rPr>
          <w:rFonts w:ascii="Arial" w:eastAsia="Times New Roman" w:hAnsi="Arial" w:cs="Arial"/>
          <w:bCs/>
        </w:rPr>
        <w:t xml:space="preserve"> </w:t>
      </w:r>
      <w:r w:rsidR="00760CF7">
        <w:rPr>
          <w:rFonts w:ascii="Arial" w:eastAsia="Times New Roman" w:hAnsi="Arial" w:cs="Arial"/>
          <w:bCs/>
        </w:rPr>
        <w:t xml:space="preserve">he </w:t>
      </w:r>
      <w:r w:rsidR="00B574A5">
        <w:rPr>
          <w:rFonts w:ascii="Arial" w:eastAsia="Times New Roman" w:hAnsi="Arial" w:cs="Arial"/>
          <w:bCs/>
        </w:rPr>
        <w:t>was charged with malicious injury to his mother’s property. The 2</w:t>
      </w:r>
      <w:r w:rsidR="00B574A5" w:rsidRPr="00B574A5">
        <w:rPr>
          <w:rFonts w:ascii="Arial" w:eastAsia="Times New Roman" w:hAnsi="Arial" w:cs="Arial"/>
          <w:bCs/>
          <w:vertAlign w:val="superscript"/>
        </w:rPr>
        <w:t>nd</w:t>
      </w:r>
      <w:r w:rsidR="00B574A5">
        <w:rPr>
          <w:rFonts w:ascii="Arial" w:eastAsia="Times New Roman" w:hAnsi="Arial" w:cs="Arial"/>
          <w:bCs/>
        </w:rPr>
        <w:t xml:space="preserve"> charge </w:t>
      </w:r>
      <w:r w:rsidR="00372591">
        <w:rPr>
          <w:rFonts w:ascii="Arial" w:eastAsia="Times New Roman" w:hAnsi="Arial" w:cs="Arial"/>
          <w:bCs/>
        </w:rPr>
        <w:t xml:space="preserve">alleged, in both the main and the alternative count, </w:t>
      </w:r>
      <w:r w:rsidR="00B574A5">
        <w:rPr>
          <w:rFonts w:ascii="Arial" w:eastAsia="Times New Roman" w:hAnsi="Arial" w:cs="Arial"/>
          <w:bCs/>
        </w:rPr>
        <w:t>that on the same date and at the same place he had assaulted his sister with intent to cause her grievous bodily harm</w:t>
      </w:r>
      <w:r w:rsidR="00990F62">
        <w:rPr>
          <w:rFonts w:ascii="Arial" w:eastAsia="Times New Roman" w:hAnsi="Arial" w:cs="Arial"/>
          <w:bCs/>
        </w:rPr>
        <w:t>, b</w:t>
      </w:r>
      <w:r w:rsidR="00760CF7">
        <w:rPr>
          <w:rFonts w:ascii="Arial" w:eastAsia="Times New Roman" w:hAnsi="Arial" w:cs="Arial"/>
          <w:bCs/>
        </w:rPr>
        <w:t>y kickin</w:t>
      </w:r>
      <w:r w:rsidR="00990F62">
        <w:rPr>
          <w:rFonts w:ascii="Arial" w:eastAsia="Times New Roman" w:hAnsi="Arial" w:cs="Arial"/>
          <w:bCs/>
        </w:rPr>
        <w:t>g her on her back, hitting her with his fists</w:t>
      </w:r>
      <w:r w:rsidR="00760CF7">
        <w:rPr>
          <w:rFonts w:ascii="Arial" w:eastAsia="Times New Roman" w:hAnsi="Arial" w:cs="Arial"/>
          <w:bCs/>
        </w:rPr>
        <w:t>,</w:t>
      </w:r>
      <w:r w:rsidR="00990F62">
        <w:rPr>
          <w:rFonts w:ascii="Arial" w:eastAsia="Times New Roman" w:hAnsi="Arial" w:cs="Arial"/>
          <w:bCs/>
        </w:rPr>
        <w:t xml:space="preserve"> and threatening to kill her.</w:t>
      </w:r>
    </w:p>
    <w:p w14:paraId="1E8EB588" w14:textId="3331C850" w:rsidR="00990F62" w:rsidRPr="00990F62" w:rsidRDefault="008C795E" w:rsidP="008C795E">
      <w:pPr>
        <w:adjustRightInd w:val="0"/>
        <w:spacing w:after="0" w:line="360" w:lineRule="auto"/>
        <w:ind w:left="720" w:hanging="720"/>
        <w:contextualSpacing/>
        <w:jc w:val="both"/>
        <w:textAlignment w:val="baseline"/>
        <w:rPr>
          <w:rFonts w:ascii="Arial" w:eastAsia="Calibri" w:hAnsi="Arial" w:cs="Arial"/>
        </w:rPr>
      </w:pPr>
      <w:r w:rsidRPr="00990F62">
        <w:rPr>
          <w:rFonts w:ascii="Arial" w:eastAsia="Calibri" w:hAnsi="Arial" w:cs="Arial"/>
        </w:rPr>
        <w:t>6.</w:t>
      </w:r>
      <w:r w:rsidRPr="00990F62">
        <w:rPr>
          <w:rFonts w:ascii="Arial" w:eastAsia="Calibri" w:hAnsi="Arial" w:cs="Arial"/>
        </w:rPr>
        <w:tab/>
      </w:r>
      <w:r w:rsidR="00990F62">
        <w:rPr>
          <w:rFonts w:ascii="Arial" w:eastAsia="Times New Roman" w:hAnsi="Arial" w:cs="Arial"/>
          <w:bCs/>
        </w:rPr>
        <w:t xml:space="preserve">In its formulation the </w:t>
      </w:r>
      <w:r w:rsidR="00B62109">
        <w:rPr>
          <w:rFonts w:ascii="Arial" w:eastAsia="Times New Roman" w:hAnsi="Arial" w:cs="Arial"/>
          <w:bCs/>
        </w:rPr>
        <w:t>main count o</w:t>
      </w:r>
      <w:r w:rsidR="0007418B">
        <w:rPr>
          <w:rFonts w:ascii="Arial" w:eastAsia="Times New Roman" w:hAnsi="Arial" w:cs="Arial"/>
          <w:bCs/>
        </w:rPr>
        <w:t>f</w:t>
      </w:r>
      <w:r w:rsidR="00B62109">
        <w:rPr>
          <w:rFonts w:ascii="Arial" w:eastAsia="Times New Roman" w:hAnsi="Arial" w:cs="Arial"/>
          <w:bCs/>
        </w:rPr>
        <w:t xml:space="preserve"> the </w:t>
      </w:r>
      <w:r w:rsidR="00760CF7">
        <w:rPr>
          <w:rFonts w:ascii="Arial" w:eastAsia="Times New Roman" w:hAnsi="Arial" w:cs="Arial"/>
          <w:bCs/>
        </w:rPr>
        <w:t>2</w:t>
      </w:r>
      <w:r w:rsidR="00760CF7" w:rsidRPr="00760CF7">
        <w:rPr>
          <w:rFonts w:ascii="Arial" w:eastAsia="Times New Roman" w:hAnsi="Arial" w:cs="Arial"/>
          <w:bCs/>
          <w:vertAlign w:val="superscript"/>
        </w:rPr>
        <w:t>nd</w:t>
      </w:r>
      <w:r w:rsidR="00760CF7">
        <w:rPr>
          <w:rFonts w:ascii="Arial" w:eastAsia="Times New Roman" w:hAnsi="Arial" w:cs="Arial"/>
          <w:bCs/>
        </w:rPr>
        <w:t xml:space="preserve"> </w:t>
      </w:r>
      <w:r w:rsidR="00990F62">
        <w:rPr>
          <w:rFonts w:ascii="Arial" w:eastAsia="Times New Roman" w:hAnsi="Arial" w:cs="Arial"/>
          <w:bCs/>
        </w:rPr>
        <w:t xml:space="preserve">charge referred to the provisions of </w:t>
      </w:r>
      <w:r w:rsidR="00760CF7">
        <w:rPr>
          <w:rFonts w:ascii="Arial" w:eastAsia="Times New Roman" w:hAnsi="Arial" w:cs="Arial"/>
          <w:bCs/>
        </w:rPr>
        <w:t>s</w:t>
      </w:r>
      <w:r w:rsidR="00990F62">
        <w:rPr>
          <w:rFonts w:ascii="Arial" w:eastAsia="Times New Roman" w:hAnsi="Arial" w:cs="Arial"/>
          <w:bCs/>
        </w:rPr>
        <w:t xml:space="preserve"> 51(2) and </w:t>
      </w:r>
      <w:r w:rsidR="00760CF7">
        <w:rPr>
          <w:rFonts w:ascii="Arial" w:eastAsia="Times New Roman" w:hAnsi="Arial" w:cs="Arial"/>
          <w:bCs/>
        </w:rPr>
        <w:t xml:space="preserve">Part 3 of </w:t>
      </w:r>
      <w:r w:rsidR="002A45A8">
        <w:rPr>
          <w:rFonts w:ascii="Arial" w:eastAsia="Times New Roman" w:hAnsi="Arial" w:cs="Arial"/>
          <w:bCs/>
        </w:rPr>
        <w:t>S</w:t>
      </w:r>
      <w:r w:rsidR="00990F62">
        <w:rPr>
          <w:rFonts w:ascii="Arial" w:eastAsia="Times New Roman" w:hAnsi="Arial" w:cs="Arial"/>
          <w:bCs/>
        </w:rPr>
        <w:t xml:space="preserve">chedule 2 of the </w:t>
      </w:r>
      <w:r w:rsidR="00760CF7">
        <w:rPr>
          <w:rFonts w:ascii="Arial" w:eastAsia="Times New Roman" w:hAnsi="Arial" w:cs="Arial"/>
          <w:bCs/>
        </w:rPr>
        <w:t>C</w:t>
      </w:r>
      <w:r w:rsidR="00990F62">
        <w:rPr>
          <w:rFonts w:ascii="Arial" w:eastAsia="Times New Roman" w:hAnsi="Arial" w:cs="Arial"/>
          <w:bCs/>
        </w:rPr>
        <w:t xml:space="preserve">riminal Law Amendment </w:t>
      </w:r>
      <w:r w:rsidR="00760CF7">
        <w:rPr>
          <w:rFonts w:ascii="Arial" w:eastAsia="Times New Roman" w:hAnsi="Arial" w:cs="Arial"/>
          <w:bCs/>
        </w:rPr>
        <w:t>A</w:t>
      </w:r>
      <w:r w:rsidR="00990F62">
        <w:rPr>
          <w:rFonts w:ascii="Arial" w:eastAsia="Times New Roman" w:hAnsi="Arial" w:cs="Arial"/>
          <w:bCs/>
        </w:rPr>
        <w:t>ct</w:t>
      </w:r>
      <w:r w:rsidR="00AA16C1">
        <w:rPr>
          <w:rFonts w:ascii="Arial" w:eastAsia="Times New Roman" w:hAnsi="Arial" w:cs="Arial"/>
          <w:bCs/>
        </w:rPr>
        <w:t xml:space="preserve"> (‘the CLA’)</w:t>
      </w:r>
      <w:r w:rsidR="00990F62">
        <w:rPr>
          <w:rStyle w:val="FootnoteReference"/>
          <w:rFonts w:ascii="Arial" w:eastAsia="Times New Roman" w:hAnsi="Arial" w:cs="Arial"/>
          <w:bCs/>
        </w:rPr>
        <w:footnoteReference w:id="2"/>
      </w:r>
      <w:r w:rsidR="00990F62">
        <w:rPr>
          <w:rFonts w:ascii="Arial" w:eastAsia="Times New Roman" w:hAnsi="Arial" w:cs="Arial"/>
          <w:bCs/>
        </w:rPr>
        <w:t xml:space="preserve"> read with the provisions of </w:t>
      </w:r>
      <w:r w:rsidR="00760CF7">
        <w:rPr>
          <w:rFonts w:ascii="Arial" w:eastAsia="Times New Roman" w:hAnsi="Arial" w:cs="Arial"/>
          <w:bCs/>
        </w:rPr>
        <w:t>ss</w:t>
      </w:r>
      <w:r w:rsidR="00990F62">
        <w:rPr>
          <w:rFonts w:ascii="Arial" w:eastAsia="Times New Roman" w:hAnsi="Arial" w:cs="Arial"/>
          <w:bCs/>
        </w:rPr>
        <w:t xml:space="preserve"> 256 and 266 of the </w:t>
      </w:r>
      <w:r w:rsidR="00760CF7">
        <w:rPr>
          <w:rFonts w:ascii="Arial" w:eastAsia="Times New Roman" w:hAnsi="Arial" w:cs="Arial"/>
          <w:bCs/>
        </w:rPr>
        <w:t>C</w:t>
      </w:r>
      <w:r w:rsidR="00990F62">
        <w:rPr>
          <w:rFonts w:ascii="Arial" w:eastAsia="Times New Roman" w:hAnsi="Arial" w:cs="Arial"/>
          <w:bCs/>
        </w:rPr>
        <w:t xml:space="preserve">riminal </w:t>
      </w:r>
      <w:r w:rsidR="00760CF7">
        <w:rPr>
          <w:rFonts w:ascii="Arial" w:eastAsia="Times New Roman" w:hAnsi="Arial" w:cs="Arial"/>
          <w:bCs/>
        </w:rPr>
        <w:t>P</w:t>
      </w:r>
      <w:r w:rsidR="00990F62">
        <w:rPr>
          <w:rFonts w:ascii="Arial" w:eastAsia="Times New Roman" w:hAnsi="Arial" w:cs="Arial"/>
          <w:bCs/>
        </w:rPr>
        <w:t xml:space="preserve">rocedure </w:t>
      </w:r>
      <w:r w:rsidR="00760CF7">
        <w:rPr>
          <w:rFonts w:ascii="Arial" w:eastAsia="Times New Roman" w:hAnsi="Arial" w:cs="Arial"/>
          <w:bCs/>
        </w:rPr>
        <w:t>A</w:t>
      </w:r>
      <w:r w:rsidR="00990F62">
        <w:rPr>
          <w:rFonts w:ascii="Arial" w:eastAsia="Times New Roman" w:hAnsi="Arial" w:cs="Arial"/>
          <w:bCs/>
        </w:rPr>
        <w:t>ct (‘the CPA’)</w:t>
      </w:r>
      <w:r w:rsidR="00990F62">
        <w:rPr>
          <w:rStyle w:val="FootnoteReference"/>
          <w:rFonts w:ascii="Arial" w:eastAsia="Times New Roman" w:hAnsi="Arial" w:cs="Arial"/>
          <w:bCs/>
        </w:rPr>
        <w:footnoteReference w:id="3"/>
      </w:r>
      <w:r w:rsidR="00990F62">
        <w:rPr>
          <w:rFonts w:ascii="Arial" w:eastAsia="Times New Roman" w:hAnsi="Arial" w:cs="Arial"/>
          <w:bCs/>
        </w:rPr>
        <w:t xml:space="preserve"> and s 1 (the definitions </w:t>
      </w:r>
      <w:r w:rsidR="00760CF7">
        <w:rPr>
          <w:rFonts w:ascii="Arial" w:eastAsia="Times New Roman" w:hAnsi="Arial" w:cs="Arial"/>
          <w:bCs/>
        </w:rPr>
        <w:t>section</w:t>
      </w:r>
      <w:r w:rsidR="00990F62">
        <w:rPr>
          <w:rFonts w:ascii="Arial" w:eastAsia="Times New Roman" w:hAnsi="Arial" w:cs="Arial"/>
          <w:bCs/>
        </w:rPr>
        <w:t>) of the DVA. As far as the provisions of the CPA are concerned</w:t>
      </w:r>
      <w:r w:rsidR="00760CF7">
        <w:rPr>
          <w:rFonts w:ascii="Arial" w:eastAsia="Times New Roman" w:hAnsi="Arial" w:cs="Arial"/>
          <w:bCs/>
        </w:rPr>
        <w:t>,</w:t>
      </w:r>
      <w:r w:rsidR="00990F62">
        <w:rPr>
          <w:rFonts w:ascii="Arial" w:eastAsia="Times New Roman" w:hAnsi="Arial" w:cs="Arial"/>
          <w:bCs/>
        </w:rPr>
        <w:t xml:space="preserve"> s 256 provides that if the evidence in criminal proceedings does not prove the commission of the offence with which an accused has been charged but </w:t>
      </w:r>
      <w:r w:rsidR="00F313EC">
        <w:rPr>
          <w:rFonts w:ascii="Arial" w:eastAsia="Times New Roman" w:hAnsi="Arial" w:cs="Arial"/>
          <w:bCs/>
        </w:rPr>
        <w:t xml:space="preserve">merely </w:t>
      </w:r>
      <w:r w:rsidR="00990F62">
        <w:rPr>
          <w:rFonts w:ascii="Arial" w:eastAsia="Times New Roman" w:hAnsi="Arial" w:cs="Arial"/>
          <w:bCs/>
        </w:rPr>
        <w:t xml:space="preserve">an attempt to do so, he may be convicted accordingly, and s 266 provides that if the evidence does not prove the offence of assault with intent to commit grievous bodily harm but that of common assault, an accused </w:t>
      </w:r>
      <w:proofErr w:type="gramStart"/>
      <w:r w:rsidR="00990F62">
        <w:rPr>
          <w:rFonts w:ascii="Arial" w:eastAsia="Times New Roman" w:hAnsi="Arial" w:cs="Arial"/>
          <w:bCs/>
        </w:rPr>
        <w:t>may  be</w:t>
      </w:r>
      <w:proofErr w:type="gramEnd"/>
      <w:r w:rsidR="00990F62">
        <w:rPr>
          <w:rFonts w:ascii="Arial" w:eastAsia="Times New Roman" w:hAnsi="Arial" w:cs="Arial"/>
          <w:bCs/>
        </w:rPr>
        <w:t xml:space="preserve"> convicted thereof. </w:t>
      </w:r>
    </w:p>
    <w:p w14:paraId="31001A2B" w14:textId="51D3535C" w:rsidR="00FB492E" w:rsidRPr="00FB492E" w:rsidRDefault="008C795E" w:rsidP="008C795E">
      <w:pPr>
        <w:adjustRightInd w:val="0"/>
        <w:spacing w:after="0" w:line="360" w:lineRule="auto"/>
        <w:ind w:left="720" w:hanging="720"/>
        <w:contextualSpacing/>
        <w:jc w:val="both"/>
        <w:textAlignment w:val="baseline"/>
        <w:rPr>
          <w:rFonts w:ascii="Arial" w:eastAsia="Calibri" w:hAnsi="Arial" w:cs="Arial"/>
        </w:rPr>
      </w:pPr>
      <w:r w:rsidRPr="00FB492E">
        <w:rPr>
          <w:rFonts w:ascii="Arial" w:eastAsia="Calibri" w:hAnsi="Arial" w:cs="Arial"/>
        </w:rPr>
        <w:t>7.</w:t>
      </w:r>
      <w:r w:rsidRPr="00FB492E">
        <w:rPr>
          <w:rFonts w:ascii="Arial" w:eastAsia="Calibri" w:hAnsi="Arial" w:cs="Arial"/>
        </w:rPr>
        <w:tab/>
      </w:r>
      <w:r w:rsidR="00990F62">
        <w:rPr>
          <w:rFonts w:ascii="Arial" w:eastAsia="Times New Roman" w:hAnsi="Arial" w:cs="Arial"/>
          <w:bCs/>
        </w:rPr>
        <w:t xml:space="preserve">Section 51(2) and </w:t>
      </w:r>
      <w:r w:rsidR="00760CF7">
        <w:rPr>
          <w:rFonts w:ascii="Arial" w:eastAsia="Times New Roman" w:hAnsi="Arial" w:cs="Arial"/>
          <w:bCs/>
        </w:rPr>
        <w:t xml:space="preserve">Part 3 of </w:t>
      </w:r>
      <w:r w:rsidR="002A45A8">
        <w:rPr>
          <w:rFonts w:ascii="Arial" w:eastAsia="Times New Roman" w:hAnsi="Arial" w:cs="Arial"/>
          <w:bCs/>
        </w:rPr>
        <w:t>S</w:t>
      </w:r>
      <w:r w:rsidR="00760CF7">
        <w:rPr>
          <w:rFonts w:ascii="Arial" w:eastAsia="Times New Roman" w:hAnsi="Arial" w:cs="Arial"/>
          <w:bCs/>
        </w:rPr>
        <w:t>chedule 2 of the C</w:t>
      </w:r>
      <w:r w:rsidR="00AA16C1">
        <w:rPr>
          <w:rFonts w:ascii="Arial" w:eastAsia="Times New Roman" w:hAnsi="Arial" w:cs="Arial"/>
          <w:bCs/>
        </w:rPr>
        <w:t>L</w:t>
      </w:r>
      <w:r w:rsidR="00760CF7">
        <w:rPr>
          <w:rFonts w:ascii="Arial" w:eastAsia="Times New Roman" w:hAnsi="Arial" w:cs="Arial"/>
          <w:bCs/>
        </w:rPr>
        <w:t>A are</w:t>
      </w:r>
      <w:r w:rsidR="00990F62">
        <w:rPr>
          <w:rFonts w:ascii="Arial" w:eastAsia="Times New Roman" w:hAnsi="Arial" w:cs="Arial"/>
          <w:bCs/>
        </w:rPr>
        <w:t xml:space="preserve"> so-called minimum sentence</w:t>
      </w:r>
      <w:r w:rsidR="008C164C">
        <w:rPr>
          <w:rFonts w:ascii="Arial" w:eastAsia="Times New Roman" w:hAnsi="Arial" w:cs="Arial"/>
          <w:bCs/>
        </w:rPr>
        <w:t xml:space="preserve"> </w:t>
      </w:r>
      <w:r w:rsidR="00760CF7">
        <w:rPr>
          <w:rFonts w:ascii="Arial" w:eastAsia="Times New Roman" w:hAnsi="Arial" w:cs="Arial"/>
          <w:bCs/>
        </w:rPr>
        <w:t xml:space="preserve">provisions. They provide that a person convicted of an offence which is listed in </w:t>
      </w:r>
      <w:r w:rsidR="00E2283C">
        <w:rPr>
          <w:rFonts w:ascii="Arial" w:eastAsia="Times New Roman" w:hAnsi="Arial" w:cs="Arial"/>
          <w:bCs/>
        </w:rPr>
        <w:t>P</w:t>
      </w:r>
      <w:r w:rsidR="00760CF7">
        <w:rPr>
          <w:rFonts w:ascii="Arial" w:eastAsia="Times New Roman" w:hAnsi="Arial" w:cs="Arial"/>
          <w:bCs/>
        </w:rPr>
        <w:t xml:space="preserve">art </w:t>
      </w:r>
      <w:r w:rsidR="00E2283C">
        <w:rPr>
          <w:rFonts w:ascii="Arial" w:eastAsia="Times New Roman" w:hAnsi="Arial" w:cs="Arial"/>
          <w:bCs/>
        </w:rPr>
        <w:t xml:space="preserve">3 </w:t>
      </w:r>
      <w:r w:rsidR="00760CF7">
        <w:rPr>
          <w:rFonts w:ascii="Arial" w:eastAsia="Times New Roman" w:hAnsi="Arial" w:cs="Arial"/>
          <w:bCs/>
        </w:rPr>
        <w:t xml:space="preserve">will be liable to a prescribed minimum sentence of not less than 15, 20 or 25 </w:t>
      </w:r>
      <w:proofErr w:type="gramStart"/>
      <w:r w:rsidR="00760CF7">
        <w:rPr>
          <w:rFonts w:ascii="Arial" w:eastAsia="Times New Roman" w:hAnsi="Arial" w:cs="Arial"/>
          <w:bCs/>
        </w:rPr>
        <w:t>years</w:t>
      </w:r>
      <w:proofErr w:type="gramEnd"/>
      <w:r w:rsidR="00760CF7">
        <w:rPr>
          <w:rFonts w:ascii="Arial" w:eastAsia="Times New Roman" w:hAnsi="Arial" w:cs="Arial"/>
          <w:bCs/>
        </w:rPr>
        <w:t xml:space="preserve"> imprisonment depending on whether they are 1</w:t>
      </w:r>
      <w:r w:rsidR="00760CF7" w:rsidRPr="00760CF7">
        <w:rPr>
          <w:rFonts w:ascii="Arial" w:eastAsia="Times New Roman" w:hAnsi="Arial" w:cs="Arial"/>
          <w:bCs/>
          <w:vertAlign w:val="superscript"/>
        </w:rPr>
        <w:t>st</w:t>
      </w:r>
      <w:r w:rsidR="00760CF7">
        <w:rPr>
          <w:rFonts w:ascii="Arial" w:eastAsia="Times New Roman" w:hAnsi="Arial" w:cs="Arial"/>
          <w:bCs/>
        </w:rPr>
        <w:t>, 2</w:t>
      </w:r>
      <w:r w:rsidR="00760CF7" w:rsidRPr="00760CF7">
        <w:rPr>
          <w:rFonts w:ascii="Arial" w:eastAsia="Times New Roman" w:hAnsi="Arial" w:cs="Arial"/>
          <w:bCs/>
          <w:vertAlign w:val="superscript"/>
        </w:rPr>
        <w:t>nd</w:t>
      </w:r>
      <w:r w:rsidR="00760CF7">
        <w:rPr>
          <w:rFonts w:ascii="Arial" w:eastAsia="Times New Roman" w:hAnsi="Arial" w:cs="Arial"/>
          <w:bCs/>
        </w:rPr>
        <w:t xml:space="preserve"> or 3</w:t>
      </w:r>
      <w:r w:rsidR="00760CF7" w:rsidRPr="00760CF7">
        <w:rPr>
          <w:rFonts w:ascii="Arial" w:eastAsia="Times New Roman" w:hAnsi="Arial" w:cs="Arial"/>
          <w:bCs/>
          <w:vertAlign w:val="superscript"/>
        </w:rPr>
        <w:t>rd</w:t>
      </w:r>
      <w:r w:rsidR="00760CF7">
        <w:rPr>
          <w:rFonts w:ascii="Arial" w:eastAsia="Times New Roman" w:hAnsi="Arial" w:cs="Arial"/>
          <w:bCs/>
        </w:rPr>
        <w:t xml:space="preserve"> time offenders. </w:t>
      </w:r>
      <w:r w:rsidR="00E2283C">
        <w:rPr>
          <w:rFonts w:ascii="Arial" w:eastAsia="Times New Roman" w:hAnsi="Arial" w:cs="Arial"/>
          <w:bCs/>
        </w:rPr>
        <w:t>However, a</w:t>
      </w:r>
      <w:r w:rsidR="00F313EC">
        <w:rPr>
          <w:rFonts w:ascii="Arial" w:eastAsia="Times New Roman" w:hAnsi="Arial" w:cs="Arial"/>
          <w:bCs/>
        </w:rPr>
        <w:t xml:space="preserve">lthough assault with intent to commit grievous </w:t>
      </w:r>
      <w:r w:rsidR="00F313EC">
        <w:rPr>
          <w:rFonts w:ascii="Arial" w:eastAsia="Times New Roman" w:hAnsi="Arial" w:cs="Arial"/>
          <w:bCs/>
        </w:rPr>
        <w:lastRenderedPageBreak/>
        <w:t xml:space="preserve">bodily harm is one of the offences which is listed in </w:t>
      </w:r>
      <w:r w:rsidR="00E2283C">
        <w:rPr>
          <w:rFonts w:ascii="Arial" w:eastAsia="Times New Roman" w:hAnsi="Arial" w:cs="Arial"/>
          <w:bCs/>
        </w:rPr>
        <w:t>P</w:t>
      </w:r>
      <w:r w:rsidR="00F313EC">
        <w:rPr>
          <w:rFonts w:ascii="Arial" w:eastAsia="Times New Roman" w:hAnsi="Arial" w:cs="Arial"/>
          <w:bCs/>
        </w:rPr>
        <w:t xml:space="preserve">art 3, it only attracts </w:t>
      </w:r>
      <w:r w:rsidR="008E2AB3">
        <w:rPr>
          <w:rFonts w:ascii="Arial" w:eastAsia="Times New Roman" w:hAnsi="Arial" w:cs="Arial"/>
          <w:bCs/>
        </w:rPr>
        <w:t>a</w:t>
      </w:r>
      <w:r w:rsidR="00F313EC">
        <w:rPr>
          <w:rFonts w:ascii="Arial" w:eastAsia="Times New Roman" w:hAnsi="Arial" w:cs="Arial"/>
          <w:bCs/>
        </w:rPr>
        <w:t xml:space="preserve"> prescribed minimum sentence whe</w:t>
      </w:r>
      <w:r w:rsidR="00E2283C">
        <w:rPr>
          <w:rFonts w:ascii="Arial" w:eastAsia="Times New Roman" w:hAnsi="Arial" w:cs="Arial"/>
          <w:bCs/>
        </w:rPr>
        <w:t>n</w:t>
      </w:r>
      <w:r w:rsidR="00F313EC">
        <w:rPr>
          <w:rFonts w:ascii="Arial" w:eastAsia="Times New Roman" w:hAnsi="Arial" w:cs="Arial"/>
          <w:bCs/>
        </w:rPr>
        <w:t xml:space="preserve"> it </w:t>
      </w:r>
      <w:r w:rsidR="00E2283C">
        <w:rPr>
          <w:rFonts w:ascii="Arial" w:eastAsia="Times New Roman" w:hAnsi="Arial" w:cs="Arial"/>
          <w:bCs/>
        </w:rPr>
        <w:t>i</w:t>
      </w:r>
      <w:r w:rsidR="00F313EC">
        <w:rPr>
          <w:rFonts w:ascii="Arial" w:eastAsia="Times New Roman" w:hAnsi="Arial" w:cs="Arial"/>
          <w:bCs/>
        </w:rPr>
        <w:t>s committed on a child wh</w:t>
      </w:r>
      <w:r w:rsidR="003D2893">
        <w:rPr>
          <w:rFonts w:ascii="Arial" w:eastAsia="Times New Roman" w:hAnsi="Arial" w:cs="Arial"/>
          <w:bCs/>
        </w:rPr>
        <w:t>o</w:t>
      </w:r>
      <w:r w:rsidR="00F313EC">
        <w:rPr>
          <w:rFonts w:ascii="Arial" w:eastAsia="Times New Roman" w:hAnsi="Arial" w:cs="Arial"/>
          <w:bCs/>
        </w:rPr>
        <w:t xml:space="preserve"> is under the age of 16. </w:t>
      </w:r>
    </w:p>
    <w:p w14:paraId="668DE857" w14:textId="16583AC5" w:rsidR="008B1094" w:rsidRPr="008B1094" w:rsidRDefault="008C795E" w:rsidP="008C795E">
      <w:pPr>
        <w:adjustRightInd w:val="0"/>
        <w:spacing w:after="0" w:line="360" w:lineRule="auto"/>
        <w:ind w:left="720" w:hanging="720"/>
        <w:contextualSpacing/>
        <w:jc w:val="both"/>
        <w:textAlignment w:val="baseline"/>
        <w:rPr>
          <w:rFonts w:ascii="Arial" w:eastAsia="Calibri" w:hAnsi="Arial" w:cs="Arial"/>
        </w:rPr>
      </w:pPr>
      <w:r w:rsidRPr="008B1094">
        <w:rPr>
          <w:rFonts w:ascii="Arial" w:eastAsia="Calibri" w:hAnsi="Arial" w:cs="Arial"/>
        </w:rPr>
        <w:t>8.</w:t>
      </w:r>
      <w:r w:rsidRPr="008B1094">
        <w:rPr>
          <w:rFonts w:ascii="Arial" w:eastAsia="Calibri" w:hAnsi="Arial" w:cs="Arial"/>
        </w:rPr>
        <w:tab/>
      </w:r>
      <w:r w:rsidR="00FB492E">
        <w:rPr>
          <w:rFonts w:ascii="Arial" w:eastAsia="Times New Roman" w:hAnsi="Arial" w:cs="Arial"/>
          <w:bCs/>
        </w:rPr>
        <w:t xml:space="preserve">In this regard </w:t>
      </w:r>
      <w:r w:rsidR="00F313EC">
        <w:rPr>
          <w:rFonts w:ascii="Arial" w:eastAsia="Times New Roman" w:hAnsi="Arial" w:cs="Arial"/>
          <w:bCs/>
        </w:rPr>
        <w:t>the charge</w:t>
      </w:r>
      <w:r w:rsidR="00FB492E">
        <w:rPr>
          <w:rFonts w:ascii="Arial" w:eastAsia="Times New Roman" w:hAnsi="Arial" w:cs="Arial"/>
          <w:bCs/>
        </w:rPr>
        <w:t xml:space="preserve"> was nonsensical. It alleged that the accused’s sister was a child under the age of 16 years ‘to wit 17’ (sic) at the time, and</w:t>
      </w:r>
      <w:r w:rsidR="00F313EC">
        <w:rPr>
          <w:rFonts w:ascii="Arial" w:eastAsia="Times New Roman" w:hAnsi="Arial" w:cs="Arial"/>
          <w:bCs/>
        </w:rPr>
        <w:t xml:space="preserve"> that the </w:t>
      </w:r>
      <w:r w:rsidR="00FB492E">
        <w:rPr>
          <w:rFonts w:ascii="Arial" w:eastAsia="Times New Roman" w:hAnsi="Arial" w:cs="Arial"/>
          <w:bCs/>
        </w:rPr>
        <w:t xml:space="preserve">age difference between the </w:t>
      </w:r>
      <w:r w:rsidR="00F313EC">
        <w:rPr>
          <w:rFonts w:ascii="Arial" w:eastAsia="Times New Roman" w:hAnsi="Arial" w:cs="Arial"/>
          <w:bCs/>
        </w:rPr>
        <w:t>accused</w:t>
      </w:r>
      <w:r w:rsidR="00FB492E">
        <w:rPr>
          <w:rFonts w:ascii="Arial" w:eastAsia="Times New Roman" w:hAnsi="Arial" w:cs="Arial"/>
          <w:bCs/>
        </w:rPr>
        <w:t xml:space="preserve"> and his</w:t>
      </w:r>
      <w:r w:rsidR="00F313EC">
        <w:rPr>
          <w:rFonts w:ascii="Arial" w:eastAsia="Times New Roman" w:hAnsi="Arial" w:cs="Arial"/>
          <w:bCs/>
        </w:rPr>
        <w:t xml:space="preserve"> sister was </w:t>
      </w:r>
      <w:r w:rsidR="00FB492E">
        <w:rPr>
          <w:rFonts w:ascii="Arial" w:eastAsia="Times New Roman" w:hAnsi="Arial" w:cs="Arial"/>
          <w:bCs/>
        </w:rPr>
        <w:t xml:space="preserve">more than 4 years. </w:t>
      </w:r>
      <w:r w:rsidR="008B1094">
        <w:rPr>
          <w:rFonts w:ascii="Arial" w:eastAsia="Times New Roman" w:hAnsi="Arial" w:cs="Arial"/>
          <w:bCs/>
        </w:rPr>
        <w:t xml:space="preserve">Given the averment that the accused’s sister was </w:t>
      </w:r>
      <w:r w:rsidR="00F313EC">
        <w:rPr>
          <w:rFonts w:ascii="Arial" w:eastAsia="Times New Roman" w:hAnsi="Arial" w:cs="Arial"/>
          <w:bCs/>
        </w:rPr>
        <w:t xml:space="preserve">17 years of age at the time of the offence, the minimum sentence provisions referred to </w:t>
      </w:r>
      <w:r w:rsidR="0007418B">
        <w:rPr>
          <w:rFonts w:ascii="Arial" w:eastAsia="Times New Roman" w:hAnsi="Arial" w:cs="Arial"/>
          <w:bCs/>
        </w:rPr>
        <w:t xml:space="preserve">in Part 3 </w:t>
      </w:r>
      <w:r w:rsidR="00F313EC">
        <w:rPr>
          <w:rFonts w:ascii="Arial" w:eastAsia="Times New Roman" w:hAnsi="Arial" w:cs="Arial"/>
          <w:bCs/>
        </w:rPr>
        <w:t xml:space="preserve">were </w:t>
      </w:r>
      <w:r w:rsidR="00E2283C">
        <w:rPr>
          <w:rFonts w:ascii="Arial" w:eastAsia="Times New Roman" w:hAnsi="Arial" w:cs="Arial"/>
          <w:bCs/>
        </w:rPr>
        <w:t xml:space="preserve">therefore </w:t>
      </w:r>
      <w:r w:rsidR="00F313EC">
        <w:rPr>
          <w:rFonts w:ascii="Arial" w:eastAsia="Times New Roman" w:hAnsi="Arial" w:cs="Arial"/>
          <w:bCs/>
        </w:rPr>
        <w:t xml:space="preserve">not applicable to </w:t>
      </w:r>
      <w:r w:rsidR="008B1094">
        <w:rPr>
          <w:rFonts w:ascii="Arial" w:eastAsia="Times New Roman" w:hAnsi="Arial" w:cs="Arial"/>
          <w:bCs/>
        </w:rPr>
        <w:t xml:space="preserve">him </w:t>
      </w:r>
      <w:r w:rsidR="00F313EC">
        <w:rPr>
          <w:rFonts w:ascii="Arial" w:eastAsia="Times New Roman" w:hAnsi="Arial" w:cs="Arial"/>
          <w:bCs/>
        </w:rPr>
        <w:t xml:space="preserve">and the charge was not a competent one. </w:t>
      </w:r>
    </w:p>
    <w:p w14:paraId="5481DB98" w14:textId="51286930" w:rsidR="008C164C" w:rsidRPr="0036253F" w:rsidRDefault="008C795E" w:rsidP="008C795E">
      <w:pPr>
        <w:adjustRightInd w:val="0"/>
        <w:spacing w:after="0" w:line="360" w:lineRule="auto"/>
        <w:ind w:left="720" w:hanging="720"/>
        <w:contextualSpacing/>
        <w:jc w:val="both"/>
        <w:textAlignment w:val="baseline"/>
        <w:rPr>
          <w:rFonts w:ascii="Arial" w:eastAsia="Calibri" w:hAnsi="Arial" w:cs="Arial"/>
        </w:rPr>
      </w:pPr>
      <w:r w:rsidRPr="0036253F">
        <w:rPr>
          <w:rFonts w:ascii="Arial" w:eastAsia="Calibri" w:hAnsi="Arial" w:cs="Arial"/>
        </w:rPr>
        <w:t>9.</w:t>
      </w:r>
      <w:r w:rsidRPr="0036253F">
        <w:rPr>
          <w:rFonts w:ascii="Arial" w:eastAsia="Calibri" w:hAnsi="Arial" w:cs="Arial"/>
        </w:rPr>
        <w:tab/>
      </w:r>
      <w:r w:rsidR="00E2283C">
        <w:rPr>
          <w:rFonts w:ascii="Arial" w:eastAsia="Times New Roman" w:hAnsi="Arial" w:cs="Arial"/>
          <w:bCs/>
        </w:rPr>
        <w:t>As an</w:t>
      </w:r>
      <w:r w:rsidR="0036253F">
        <w:rPr>
          <w:rFonts w:ascii="Arial" w:eastAsia="Times New Roman" w:hAnsi="Arial" w:cs="Arial"/>
          <w:bCs/>
        </w:rPr>
        <w:t xml:space="preserve"> alternative thereto the accused was charged with </w:t>
      </w:r>
      <w:r w:rsidR="00EB566F">
        <w:rPr>
          <w:rFonts w:ascii="Arial" w:eastAsia="Times New Roman" w:hAnsi="Arial" w:cs="Arial"/>
          <w:bCs/>
        </w:rPr>
        <w:t>common law</w:t>
      </w:r>
      <w:r w:rsidR="003D2893">
        <w:rPr>
          <w:rFonts w:ascii="Arial" w:eastAsia="Times New Roman" w:hAnsi="Arial" w:cs="Arial"/>
          <w:bCs/>
        </w:rPr>
        <w:t xml:space="preserve"> </w:t>
      </w:r>
      <w:r w:rsidR="0036253F">
        <w:rPr>
          <w:rFonts w:ascii="Arial" w:eastAsia="Times New Roman" w:hAnsi="Arial" w:cs="Arial"/>
          <w:bCs/>
        </w:rPr>
        <w:t xml:space="preserve">assault with intent to do grievous bodily harm, without any reference to any </w:t>
      </w:r>
      <w:r w:rsidR="008E2AB3">
        <w:rPr>
          <w:rFonts w:ascii="Arial" w:eastAsia="Times New Roman" w:hAnsi="Arial" w:cs="Arial"/>
          <w:bCs/>
        </w:rPr>
        <w:t xml:space="preserve">of the aforesaid </w:t>
      </w:r>
      <w:r w:rsidR="0036253F">
        <w:rPr>
          <w:rFonts w:ascii="Arial" w:eastAsia="Times New Roman" w:hAnsi="Arial" w:cs="Arial"/>
          <w:bCs/>
        </w:rPr>
        <w:t>statutory provisions.</w:t>
      </w:r>
    </w:p>
    <w:p w14:paraId="0BC1BAE9" w14:textId="1F245D9F" w:rsidR="0036253F" w:rsidRDefault="008C795E" w:rsidP="008C795E">
      <w:pPr>
        <w:adjustRightInd w:val="0"/>
        <w:spacing w:after="0" w:line="360" w:lineRule="auto"/>
        <w:ind w:left="720" w:hanging="720"/>
        <w:contextualSpacing/>
        <w:jc w:val="both"/>
        <w:textAlignment w:val="baseline"/>
        <w:rPr>
          <w:rFonts w:ascii="Arial" w:eastAsia="Calibri" w:hAnsi="Arial" w:cs="Arial"/>
        </w:rPr>
      </w:pPr>
      <w:r>
        <w:rPr>
          <w:rFonts w:ascii="Arial" w:eastAsia="Calibri" w:hAnsi="Arial" w:cs="Arial"/>
        </w:rPr>
        <w:t>10.</w:t>
      </w:r>
      <w:r>
        <w:rPr>
          <w:rFonts w:ascii="Arial" w:eastAsia="Calibri" w:hAnsi="Arial" w:cs="Arial"/>
        </w:rPr>
        <w:tab/>
      </w:r>
      <w:r w:rsidR="00FB492E">
        <w:rPr>
          <w:rFonts w:ascii="Arial" w:eastAsia="Calibri" w:hAnsi="Arial" w:cs="Arial"/>
        </w:rPr>
        <w:t xml:space="preserve">Although </w:t>
      </w:r>
      <w:r w:rsidR="0036253F">
        <w:rPr>
          <w:rFonts w:ascii="Arial" w:eastAsia="Calibri" w:hAnsi="Arial" w:cs="Arial"/>
        </w:rPr>
        <w:t xml:space="preserve">the intricacies pertaining to the </w:t>
      </w:r>
      <w:r w:rsidR="008E2AB3">
        <w:rPr>
          <w:rFonts w:ascii="Arial" w:eastAsia="Calibri" w:hAnsi="Arial" w:cs="Arial"/>
        </w:rPr>
        <w:t>main count o</w:t>
      </w:r>
      <w:r w:rsidR="0007418B">
        <w:rPr>
          <w:rFonts w:ascii="Arial" w:eastAsia="Calibri" w:hAnsi="Arial" w:cs="Arial"/>
        </w:rPr>
        <w:t>f</w:t>
      </w:r>
      <w:r w:rsidR="008E2AB3">
        <w:rPr>
          <w:rFonts w:ascii="Arial" w:eastAsia="Calibri" w:hAnsi="Arial" w:cs="Arial"/>
        </w:rPr>
        <w:t xml:space="preserve"> the </w:t>
      </w:r>
      <w:r w:rsidR="0036253F">
        <w:rPr>
          <w:rFonts w:ascii="Arial" w:eastAsia="Calibri" w:hAnsi="Arial" w:cs="Arial"/>
        </w:rPr>
        <w:t>2</w:t>
      </w:r>
      <w:r w:rsidR="0036253F" w:rsidRPr="0036253F">
        <w:rPr>
          <w:rFonts w:ascii="Arial" w:eastAsia="Calibri" w:hAnsi="Arial" w:cs="Arial"/>
          <w:vertAlign w:val="superscript"/>
        </w:rPr>
        <w:t>nd</w:t>
      </w:r>
      <w:r w:rsidR="0036253F">
        <w:rPr>
          <w:rFonts w:ascii="Arial" w:eastAsia="Calibri" w:hAnsi="Arial" w:cs="Arial"/>
        </w:rPr>
        <w:t xml:space="preserve"> charge were not explained to the </w:t>
      </w:r>
      <w:proofErr w:type="gramStart"/>
      <w:r w:rsidR="0036253F">
        <w:rPr>
          <w:rFonts w:ascii="Arial" w:eastAsia="Calibri" w:hAnsi="Arial" w:cs="Arial"/>
        </w:rPr>
        <w:t>accused,</w:t>
      </w:r>
      <w:proofErr w:type="gramEnd"/>
      <w:r w:rsidR="0036253F">
        <w:rPr>
          <w:rFonts w:ascii="Arial" w:eastAsia="Calibri" w:hAnsi="Arial" w:cs="Arial"/>
        </w:rPr>
        <w:t xml:space="preserve"> he was asked to confirm that he understood the charges as they were presented. In response he s</w:t>
      </w:r>
      <w:r w:rsidR="0007418B">
        <w:rPr>
          <w:rFonts w:ascii="Arial" w:eastAsia="Calibri" w:hAnsi="Arial" w:cs="Arial"/>
        </w:rPr>
        <w:t>aid</w:t>
      </w:r>
      <w:r w:rsidR="0036253F">
        <w:rPr>
          <w:rFonts w:ascii="Arial" w:eastAsia="Calibri" w:hAnsi="Arial" w:cs="Arial"/>
        </w:rPr>
        <w:t xml:space="preserve"> that he intended to plead not guilty in respect of all the charges. However, on being questioned by the magistrate it was evident that he did not appreciate the distinction between the various charges, so the magistrate put them to him again</w:t>
      </w:r>
      <w:r w:rsidR="00E2283C">
        <w:rPr>
          <w:rFonts w:ascii="Arial" w:eastAsia="Calibri" w:hAnsi="Arial" w:cs="Arial"/>
        </w:rPr>
        <w:t>, without explaining them</w:t>
      </w:r>
      <w:r w:rsidR="0036253F">
        <w:rPr>
          <w:rFonts w:ascii="Arial" w:eastAsia="Calibri" w:hAnsi="Arial" w:cs="Arial"/>
        </w:rPr>
        <w:t xml:space="preserve">, at which time </w:t>
      </w:r>
      <w:r w:rsidR="003E2944">
        <w:rPr>
          <w:rFonts w:ascii="Arial" w:eastAsia="Calibri" w:hAnsi="Arial" w:cs="Arial"/>
        </w:rPr>
        <w:t>the accused</w:t>
      </w:r>
      <w:r w:rsidR="0036253F">
        <w:rPr>
          <w:rFonts w:ascii="Arial" w:eastAsia="Calibri" w:hAnsi="Arial" w:cs="Arial"/>
        </w:rPr>
        <w:t xml:space="preserve"> indicated that he wished to plead not guilty to the main </w:t>
      </w:r>
      <w:r w:rsidR="003D2893">
        <w:rPr>
          <w:rFonts w:ascii="Arial" w:eastAsia="Calibri" w:hAnsi="Arial" w:cs="Arial"/>
        </w:rPr>
        <w:t>count</w:t>
      </w:r>
      <w:r w:rsidR="0036253F">
        <w:rPr>
          <w:rFonts w:ascii="Arial" w:eastAsia="Calibri" w:hAnsi="Arial" w:cs="Arial"/>
        </w:rPr>
        <w:t xml:space="preserve"> in respect of the 1</w:t>
      </w:r>
      <w:r w:rsidR="0036253F" w:rsidRPr="0036253F">
        <w:rPr>
          <w:rFonts w:ascii="Arial" w:eastAsia="Calibri" w:hAnsi="Arial" w:cs="Arial"/>
          <w:vertAlign w:val="superscript"/>
        </w:rPr>
        <w:t>st</w:t>
      </w:r>
      <w:r w:rsidR="0036253F">
        <w:rPr>
          <w:rFonts w:ascii="Arial" w:eastAsia="Calibri" w:hAnsi="Arial" w:cs="Arial"/>
        </w:rPr>
        <w:t xml:space="preserve"> c</w:t>
      </w:r>
      <w:r w:rsidR="003D2893">
        <w:rPr>
          <w:rFonts w:ascii="Arial" w:eastAsia="Calibri" w:hAnsi="Arial" w:cs="Arial"/>
        </w:rPr>
        <w:t>harge</w:t>
      </w:r>
      <w:r w:rsidR="0036253F">
        <w:rPr>
          <w:rFonts w:ascii="Arial" w:eastAsia="Calibri" w:hAnsi="Arial" w:cs="Arial"/>
        </w:rPr>
        <w:t>, but guilty to the alternative</w:t>
      </w:r>
      <w:r w:rsidR="006704D5">
        <w:rPr>
          <w:rFonts w:ascii="Arial" w:eastAsia="Calibri" w:hAnsi="Arial" w:cs="Arial"/>
        </w:rPr>
        <w:t>,</w:t>
      </w:r>
      <w:r w:rsidR="0036253F">
        <w:rPr>
          <w:rFonts w:ascii="Arial" w:eastAsia="Calibri" w:hAnsi="Arial" w:cs="Arial"/>
        </w:rPr>
        <w:t xml:space="preserve"> an</w:t>
      </w:r>
      <w:r w:rsidR="006704D5">
        <w:rPr>
          <w:rFonts w:ascii="Arial" w:eastAsia="Calibri" w:hAnsi="Arial" w:cs="Arial"/>
        </w:rPr>
        <w:t>d</w:t>
      </w:r>
      <w:r w:rsidR="0036253F">
        <w:rPr>
          <w:rFonts w:ascii="Arial" w:eastAsia="Calibri" w:hAnsi="Arial" w:cs="Arial"/>
        </w:rPr>
        <w:t xml:space="preserve"> guilty to both the main an</w:t>
      </w:r>
      <w:r w:rsidR="006704D5">
        <w:rPr>
          <w:rFonts w:ascii="Arial" w:eastAsia="Calibri" w:hAnsi="Arial" w:cs="Arial"/>
        </w:rPr>
        <w:t>d</w:t>
      </w:r>
      <w:r w:rsidR="00E2283C">
        <w:rPr>
          <w:rFonts w:ascii="Arial" w:eastAsia="Calibri" w:hAnsi="Arial" w:cs="Arial"/>
        </w:rPr>
        <w:t xml:space="preserve"> the </w:t>
      </w:r>
      <w:r w:rsidR="0036253F">
        <w:rPr>
          <w:rFonts w:ascii="Arial" w:eastAsia="Calibri" w:hAnsi="Arial" w:cs="Arial"/>
        </w:rPr>
        <w:t xml:space="preserve">alternative </w:t>
      </w:r>
      <w:r w:rsidR="003D2893">
        <w:rPr>
          <w:rFonts w:ascii="Arial" w:eastAsia="Calibri" w:hAnsi="Arial" w:cs="Arial"/>
        </w:rPr>
        <w:t>counts</w:t>
      </w:r>
      <w:r w:rsidR="0036253F">
        <w:rPr>
          <w:rFonts w:ascii="Arial" w:eastAsia="Calibri" w:hAnsi="Arial" w:cs="Arial"/>
        </w:rPr>
        <w:t xml:space="preserve"> in respect of the 2</w:t>
      </w:r>
      <w:r w:rsidR="0036253F" w:rsidRPr="0036253F">
        <w:rPr>
          <w:rFonts w:ascii="Arial" w:eastAsia="Calibri" w:hAnsi="Arial" w:cs="Arial"/>
          <w:vertAlign w:val="superscript"/>
        </w:rPr>
        <w:t>nd</w:t>
      </w:r>
      <w:r w:rsidR="0036253F">
        <w:rPr>
          <w:rFonts w:ascii="Arial" w:eastAsia="Calibri" w:hAnsi="Arial" w:cs="Arial"/>
        </w:rPr>
        <w:t xml:space="preserve"> </w:t>
      </w:r>
      <w:r w:rsidR="003D2893">
        <w:rPr>
          <w:rFonts w:ascii="Arial" w:eastAsia="Calibri" w:hAnsi="Arial" w:cs="Arial"/>
        </w:rPr>
        <w:t>charge</w:t>
      </w:r>
      <w:r w:rsidR="0036253F">
        <w:rPr>
          <w:rFonts w:ascii="Arial" w:eastAsia="Calibri" w:hAnsi="Arial" w:cs="Arial"/>
        </w:rPr>
        <w:t>.</w:t>
      </w:r>
    </w:p>
    <w:p w14:paraId="45ADC1DF" w14:textId="4494E510" w:rsidR="006704D5" w:rsidRDefault="008C795E" w:rsidP="008C795E">
      <w:pPr>
        <w:adjustRightInd w:val="0"/>
        <w:spacing w:after="0" w:line="360" w:lineRule="auto"/>
        <w:ind w:left="720" w:hanging="720"/>
        <w:contextualSpacing/>
        <w:jc w:val="both"/>
        <w:textAlignment w:val="baseline"/>
        <w:rPr>
          <w:rFonts w:ascii="Arial" w:eastAsia="Calibri" w:hAnsi="Arial" w:cs="Arial"/>
        </w:rPr>
      </w:pPr>
      <w:r>
        <w:rPr>
          <w:rFonts w:ascii="Arial" w:eastAsia="Calibri" w:hAnsi="Arial" w:cs="Arial"/>
        </w:rPr>
        <w:t>11.</w:t>
      </w:r>
      <w:r>
        <w:rPr>
          <w:rFonts w:ascii="Arial" w:eastAsia="Calibri" w:hAnsi="Arial" w:cs="Arial"/>
        </w:rPr>
        <w:tab/>
      </w:r>
      <w:r w:rsidR="003D2893">
        <w:rPr>
          <w:rFonts w:ascii="Arial" w:eastAsia="Calibri" w:hAnsi="Arial" w:cs="Arial"/>
        </w:rPr>
        <w:t>T</w:t>
      </w:r>
      <w:r w:rsidR="006704D5">
        <w:rPr>
          <w:rFonts w:ascii="Arial" w:eastAsia="Calibri" w:hAnsi="Arial" w:cs="Arial"/>
        </w:rPr>
        <w:t xml:space="preserve">he magistrate did not </w:t>
      </w:r>
      <w:r w:rsidR="00E2283C">
        <w:rPr>
          <w:rFonts w:ascii="Arial" w:eastAsia="Calibri" w:hAnsi="Arial" w:cs="Arial"/>
        </w:rPr>
        <w:t>ascertain from</w:t>
      </w:r>
      <w:r w:rsidR="006704D5">
        <w:rPr>
          <w:rFonts w:ascii="Arial" w:eastAsia="Calibri" w:hAnsi="Arial" w:cs="Arial"/>
        </w:rPr>
        <w:t xml:space="preserve"> the prosecutor whether the state w</w:t>
      </w:r>
      <w:r w:rsidR="00E2283C">
        <w:rPr>
          <w:rFonts w:ascii="Arial" w:eastAsia="Calibri" w:hAnsi="Arial" w:cs="Arial"/>
        </w:rPr>
        <w:t>as prepared</w:t>
      </w:r>
      <w:r w:rsidR="006704D5">
        <w:rPr>
          <w:rFonts w:ascii="Arial" w:eastAsia="Calibri" w:hAnsi="Arial" w:cs="Arial"/>
        </w:rPr>
        <w:t xml:space="preserve"> </w:t>
      </w:r>
      <w:r w:rsidR="00E2283C">
        <w:rPr>
          <w:rFonts w:ascii="Arial" w:eastAsia="Calibri" w:hAnsi="Arial" w:cs="Arial"/>
        </w:rPr>
        <w:t xml:space="preserve">to </w:t>
      </w:r>
      <w:r w:rsidR="006704D5">
        <w:rPr>
          <w:rFonts w:ascii="Arial" w:eastAsia="Calibri" w:hAnsi="Arial" w:cs="Arial"/>
        </w:rPr>
        <w:t>accept the accused’s plea as tendered</w:t>
      </w:r>
      <w:r w:rsidR="00E2283C">
        <w:rPr>
          <w:rFonts w:ascii="Arial" w:eastAsia="Calibri" w:hAnsi="Arial" w:cs="Arial"/>
        </w:rPr>
        <w:t xml:space="preserve"> on any of the charges,</w:t>
      </w:r>
      <w:r w:rsidR="006704D5">
        <w:rPr>
          <w:rFonts w:ascii="Arial" w:eastAsia="Calibri" w:hAnsi="Arial" w:cs="Arial"/>
        </w:rPr>
        <w:t xml:space="preserve"> and did not enquire w</w:t>
      </w:r>
      <w:r w:rsidR="00E2283C">
        <w:rPr>
          <w:rFonts w:ascii="Arial" w:eastAsia="Calibri" w:hAnsi="Arial" w:cs="Arial"/>
        </w:rPr>
        <w:t xml:space="preserve">hether </w:t>
      </w:r>
      <w:r w:rsidR="003D2893">
        <w:rPr>
          <w:rFonts w:ascii="Arial" w:eastAsia="Calibri" w:hAnsi="Arial" w:cs="Arial"/>
        </w:rPr>
        <w:t>t</w:t>
      </w:r>
      <w:r w:rsidR="00E2283C">
        <w:rPr>
          <w:rFonts w:ascii="Arial" w:eastAsia="Calibri" w:hAnsi="Arial" w:cs="Arial"/>
        </w:rPr>
        <w:t>he</w:t>
      </w:r>
      <w:r w:rsidR="006704D5">
        <w:rPr>
          <w:rFonts w:ascii="Arial" w:eastAsia="Calibri" w:hAnsi="Arial" w:cs="Arial"/>
        </w:rPr>
        <w:t xml:space="preserve"> </w:t>
      </w:r>
      <w:r w:rsidR="003D2893">
        <w:rPr>
          <w:rFonts w:ascii="Arial" w:eastAsia="Calibri" w:hAnsi="Arial" w:cs="Arial"/>
        </w:rPr>
        <w:t xml:space="preserve">accused </w:t>
      </w:r>
      <w:r w:rsidR="006704D5">
        <w:rPr>
          <w:rFonts w:ascii="Arial" w:eastAsia="Calibri" w:hAnsi="Arial" w:cs="Arial"/>
        </w:rPr>
        <w:t xml:space="preserve">was prepared to submit an explanation in respect of his plea of not guilty </w:t>
      </w:r>
      <w:r w:rsidR="00381344">
        <w:rPr>
          <w:rFonts w:ascii="Arial" w:eastAsia="Calibri" w:hAnsi="Arial" w:cs="Arial"/>
        </w:rPr>
        <w:t xml:space="preserve">(in terms of s 115 of the CPA) </w:t>
      </w:r>
      <w:r w:rsidR="00E2283C">
        <w:rPr>
          <w:rFonts w:ascii="Arial" w:eastAsia="Calibri" w:hAnsi="Arial" w:cs="Arial"/>
        </w:rPr>
        <w:t xml:space="preserve">or inform him </w:t>
      </w:r>
      <w:r w:rsidR="006704D5">
        <w:rPr>
          <w:rFonts w:ascii="Arial" w:eastAsia="Calibri" w:hAnsi="Arial" w:cs="Arial"/>
        </w:rPr>
        <w:t xml:space="preserve">that he could be questioned </w:t>
      </w:r>
      <w:r w:rsidR="00381344">
        <w:rPr>
          <w:rFonts w:ascii="Arial" w:eastAsia="Calibri" w:hAnsi="Arial" w:cs="Arial"/>
        </w:rPr>
        <w:t>(</w:t>
      </w:r>
      <w:r w:rsidR="006704D5">
        <w:rPr>
          <w:rFonts w:ascii="Arial" w:eastAsia="Calibri" w:hAnsi="Arial" w:cs="Arial"/>
        </w:rPr>
        <w:t xml:space="preserve">in terms of </w:t>
      </w:r>
      <w:r w:rsidR="00E2283C">
        <w:rPr>
          <w:rFonts w:ascii="Arial" w:eastAsia="Calibri" w:hAnsi="Arial" w:cs="Arial"/>
        </w:rPr>
        <w:t xml:space="preserve">s </w:t>
      </w:r>
      <w:r w:rsidR="006704D5">
        <w:rPr>
          <w:rFonts w:ascii="Arial" w:eastAsia="Calibri" w:hAnsi="Arial" w:cs="Arial"/>
        </w:rPr>
        <w:t>112</w:t>
      </w:r>
      <w:r w:rsidR="00E2283C">
        <w:rPr>
          <w:rFonts w:ascii="Arial" w:eastAsia="Calibri" w:hAnsi="Arial" w:cs="Arial"/>
        </w:rPr>
        <w:t>(1)(b)</w:t>
      </w:r>
      <w:r w:rsidR="00381344">
        <w:rPr>
          <w:rFonts w:ascii="Arial" w:eastAsia="Calibri" w:hAnsi="Arial" w:cs="Arial"/>
        </w:rPr>
        <w:t>)</w:t>
      </w:r>
      <w:r w:rsidR="006704D5">
        <w:rPr>
          <w:rFonts w:ascii="Arial" w:eastAsia="Calibri" w:hAnsi="Arial" w:cs="Arial"/>
        </w:rPr>
        <w:t xml:space="preserve"> in respect of the charges to which he had pleaded guilty. Instead of following </w:t>
      </w:r>
      <w:r w:rsidR="00E2283C">
        <w:rPr>
          <w:rFonts w:ascii="Arial" w:eastAsia="Calibri" w:hAnsi="Arial" w:cs="Arial"/>
        </w:rPr>
        <w:t xml:space="preserve">the </w:t>
      </w:r>
      <w:r w:rsidR="00381344">
        <w:rPr>
          <w:rFonts w:ascii="Arial" w:eastAsia="Calibri" w:hAnsi="Arial" w:cs="Arial"/>
        </w:rPr>
        <w:t xml:space="preserve">well-established </w:t>
      </w:r>
      <w:r w:rsidR="006704D5">
        <w:rPr>
          <w:rFonts w:ascii="Arial" w:eastAsia="Calibri" w:hAnsi="Arial" w:cs="Arial"/>
        </w:rPr>
        <w:t>procedure</w:t>
      </w:r>
      <w:r w:rsidR="00E2283C">
        <w:rPr>
          <w:rFonts w:ascii="Arial" w:eastAsia="Calibri" w:hAnsi="Arial" w:cs="Arial"/>
        </w:rPr>
        <w:t>s set out in these provisions</w:t>
      </w:r>
      <w:r w:rsidR="006704D5">
        <w:rPr>
          <w:rFonts w:ascii="Arial" w:eastAsia="Calibri" w:hAnsi="Arial" w:cs="Arial"/>
        </w:rPr>
        <w:t xml:space="preserve"> the magistrate </w:t>
      </w:r>
      <w:r w:rsidR="003E2944">
        <w:rPr>
          <w:rFonts w:ascii="Arial" w:eastAsia="Calibri" w:hAnsi="Arial" w:cs="Arial"/>
        </w:rPr>
        <w:t>directed</w:t>
      </w:r>
      <w:r w:rsidR="006704D5">
        <w:rPr>
          <w:rFonts w:ascii="Arial" w:eastAsia="Calibri" w:hAnsi="Arial" w:cs="Arial"/>
        </w:rPr>
        <w:t xml:space="preserve"> the state </w:t>
      </w:r>
      <w:r w:rsidR="003E2944">
        <w:rPr>
          <w:rFonts w:ascii="Arial" w:eastAsia="Calibri" w:hAnsi="Arial" w:cs="Arial"/>
        </w:rPr>
        <w:t>to</w:t>
      </w:r>
      <w:r w:rsidR="006704D5">
        <w:rPr>
          <w:rFonts w:ascii="Arial" w:eastAsia="Calibri" w:hAnsi="Arial" w:cs="Arial"/>
        </w:rPr>
        <w:t xml:space="preserve"> proceed with evidence</w:t>
      </w:r>
      <w:r w:rsidR="008B1094">
        <w:rPr>
          <w:rFonts w:ascii="Arial" w:eastAsia="Calibri" w:hAnsi="Arial" w:cs="Arial"/>
        </w:rPr>
        <w:t xml:space="preserve"> in relation to the first charge</w:t>
      </w:r>
      <w:r w:rsidR="00E2283C">
        <w:rPr>
          <w:rFonts w:ascii="Arial" w:eastAsia="Calibri" w:hAnsi="Arial" w:cs="Arial"/>
        </w:rPr>
        <w:t>,</w:t>
      </w:r>
      <w:r w:rsidR="006704D5">
        <w:rPr>
          <w:rFonts w:ascii="Arial" w:eastAsia="Calibri" w:hAnsi="Arial" w:cs="Arial"/>
        </w:rPr>
        <w:t xml:space="preserve"> whereupon the accused’s mother was called to the witness stand. </w:t>
      </w:r>
      <w:r w:rsidR="003E2944">
        <w:rPr>
          <w:rFonts w:ascii="Arial" w:eastAsia="Calibri" w:hAnsi="Arial" w:cs="Arial"/>
        </w:rPr>
        <w:t>Th</w:t>
      </w:r>
      <w:r w:rsidR="00E2283C">
        <w:rPr>
          <w:rFonts w:ascii="Arial" w:eastAsia="Calibri" w:hAnsi="Arial" w:cs="Arial"/>
        </w:rPr>
        <w:t xml:space="preserve">e </w:t>
      </w:r>
      <w:r w:rsidR="006704D5">
        <w:rPr>
          <w:rFonts w:ascii="Arial" w:eastAsia="Calibri" w:hAnsi="Arial" w:cs="Arial"/>
        </w:rPr>
        <w:t>magistrate inform</w:t>
      </w:r>
      <w:r w:rsidR="00E2283C">
        <w:rPr>
          <w:rFonts w:ascii="Arial" w:eastAsia="Calibri" w:hAnsi="Arial" w:cs="Arial"/>
        </w:rPr>
        <w:t>ed</w:t>
      </w:r>
      <w:r w:rsidR="006704D5">
        <w:rPr>
          <w:rFonts w:ascii="Arial" w:eastAsia="Calibri" w:hAnsi="Arial" w:cs="Arial"/>
        </w:rPr>
        <w:t xml:space="preserve"> the accused that after she had given evidence in </w:t>
      </w:r>
      <w:r w:rsidR="00E2283C">
        <w:rPr>
          <w:rFonts w:ascii="Arial" w:eastAsia="Calibri" w:hAnsi="Arial" w:cs="Arial"/>
        </w:rPr>
        <w:t>chief,</w:t>
      </w:r>
      <w:r w:rsidR="006704D5">
        <w:rPr>
          <w:rFonts w:ascii="Arial" w:eastAsia="Calibri" w:hAnsi="Arial" w:cs="Arial"/>
        </w:rPr>
        <w:t xml:space="preserve"> he would have an opportunity to ask her </w:t>
      </w:r>
      <w:r w:rsidR="00E2283C">
        <w:rPr>
          <w:rFonts w:ascii="Arial" w:eastAsia="Calibri" w:hAnsi="Arial" w:cs="Arial"/>
        </w:rPr>
        <w:t xml:space="preserve">any </w:t>
      </w:r>
      <w:r w:rsidR="006704D5">
        <w:rPr>
          <w:rFonts w:ascii="Arial" w:eastAsia="Calibri" w:hAnsi="Arial" w:cs="Arial"/>
        </w:rPr>
        <w:t xml:space="preserve">questions that he wanted. </w:t>
      </w:r>
      <w:r w:rsidR="003E2944">
        <w:rPr>
          <w:rFonts w:ascii="Arial" w:eastAsia="Calibri" w:hAnsi="Arial" w:cs="Arial"/>
        </w:rPr>
        <w:t>He</w:t>
      </w:r>
      <w:r w:rsidR="006704D5">
        <w:rPr>
          <w:rFonts w:ascii="Arial" w:eastAsia="Calibri" w:hAnsi="Arial" w:cs="Arial"/>
        </w:rPr>
        <w:t xml:space="preserve"> did not inform the accused that, insofar as he </w:t>
      </w:r>
      <w:r w:rsidR="00E2283C">
        <w:rPr>
          <w:rFonts w:ascii="Arial" w:eastAsia="Calibri" w:hAnsi="Arial" w:cs="Arial"/>
        </w:rPr>
        <w:t>differed</w:t>
      </w:r>
      <w:r w:rsidR="006704D5">
        <w:rPr>
          <w:rFonts w:ascii="Arial" w:eastAsia="Calibri" w:hAnsi="Arial" w:cs="Arial"/>
        </w:rPr>
        <w:t xml:space="preserve"> from the evidence that was to be </w:t>
      </w:r>
      <w:r w:rsidR="00580129">
        <w:rPr>
          <w:rFonts w:ascii="Arial" w:eastAsia="Calibri" w:hAnsi="Arial" w:cs="Arial"/>
        </w:rPr>
        <w:t>led,</w:t>
      </w:r>
      <w:r w:rsidR="006704D5">
        <w:rPr>
          <w:rFonts w:ascii="Arial" w:eastAsia="Calibri" w:hAnsi="Arial" w:cs="Arial"/>
        </w:rPr>
        <w:t xml:space="preserve"> he had a duty to contest </w:t>
      </w:r>
      <w:r w:rsidR="00E2283C">
        <w:rPr>
          <w:rFonts w:ascii="Arial" w:eastAsia="Calibri" w:hAnsi="Arial" w:cs="Arial"/>
        </w:rPr>
        <w:t xml:space="preserve">it, </w:t>
      </w:r>
      <w:r w:rsidR="006704D5">
        <w:rPr>
          <w:rFonts w:ascii="Arial" w:eastAsia="Calibri" w:hAnsi="Arial" w:cs="Arial"/>
        </w:rPr>
        <w:t>or that he had a duty to put his version.</w:t>
      </w:r>
    </w:p>
    <w:p w14:paraId="117B9BDB" w14:textId="7B108A41" w:rsidR="006704D5" w:rsidRDefault="008C795E" w:rsidP="008C795E">
      <w:pPr>
        <w:adjustRightInd w:val="0"/>
        <w:spacing w:after="0" w:line="360" w:lineRule="auto"/>
        <w:ind w:left="720" w:hanging="720"/>
        <w:contextualSpacing/>
        <w:jc w:val="both"/>
        <w:textAlignment w:val="baseline"/>
        <w:rPr>
          <w:rFonts w:ascii="Arial" w:eastAsia="Calibri" w:hAnsi="Arial" w:cs="Arial"/>
        </w:rPr>
      </w:pPr>
      <w:r>
        <w:rPr>
          <w:rFonts w:ascii="Arial" w:eastAsia="Calibri" w:hAnsi="Arial" w:cs="Arial"/>
        </w:rPr>
        <w:lastRenderedPageBreak/>
        <w:t>12.</w:t>
      </w:r>
      <w:r>
        <w:rPr>
          <w:rFonts w:ascii="Arial" w:eastAsia="Calibri" w:hAnsi="Arial" w:cs="Arial"/>
        </w:rPr>
        <w:tab/>
      </w:r>
      <w:r w:rsidR="006704D5">
        <w:rPr>
          <w:rFonts w:ascii="Arial" w:eastAsia="Calibri" w:hAnsi="Arial" w:cs="Arial"/>
        </w:rPr>
        <w:t xml:space="preserve">The accused’s mother </w:t>
      </w:r>
      <w:r w:rsidR="00E2283C">
        <w:rPr>
          <w:rFonts w:ascii="Arial" w:eastAsia="Calibri" w:hAnsi="Arial" w:cs="Arial"/>
        </w:rPr>
        <w:t>confirmed</w:t>
      </w:r>
      <w:r w:rsidR="006704D5">
        <w:rPr>
          <w:rFonts w:ascii="Arial" w:eastAsia="Calibri" w:hAnsi="Arial" w:cs="Arial"/>
        </w:rPr>
        <w:t xml:space="preserve"> that she had obtained </w:t>
      </w:r>
      <w:r w:rsidR="00580129">
        <w:rPr>
          <w:rFonts w:ascii="Arial" w:eastAsia="Calibri" w:hAnsi="Arial" w:cs="Arial"/>
        </w:rPr>
        <w:t xml:space="preserve">the </w:t>
      </w:r>
      <w:r w:rsidR="006704D5">
        <w:rPr>
          <w:rFonts w:ascii="Arial" w:eastAsia="Calibri" w:hAnsi="Arial" w:cs="Arial"/>
        </w:rPr>
        <w:t>protection order</w:t>
      </w:r>
      <w:r w:rsidR="00580129">
        <w:rPr>
          <w:rFonts w:ascii="Arial" w:eastAsia="Calibri" w:hAnsi="Arial" w:cs="Arial"/>
        </w:rPr>
        <w:t xml:space="preserve"> which was referred to in the charge-sheet</w:t>
      </w:r>
      <w:r w:rsidR="003E2944">
        <w:rPr>
          <w:rFonts w:ascii="Arial" w:eastAsia="Calibri" w:hAnsi="Arial" w:cs="Arial"/>
        </w:rPr>
        <w:t>,</w:t>
      </w:r>
      <w:r w:rsidR="00580129">
        <w:rPr>
          <w:rFonts w:ascii="Arial" w:eastAsia="Calibri" w:hAnsi="Arial" w:cs="Arial"/>
        </w:rPr>
        <w:t xml:space="preserve"> against the accused</w:t>
      </w:r>
      <w:r w:rsidR="006704D5">
        <w:rPr>
          <w:rFonts w:ascii="Arial" w:eastAsia="Calibri" w:hAnsi="Arial" w:cs="Arial"/>
        </w:rPr>
        <w:t xml:space="preserve">. She was </w:t>
      </w:r>
      <w:r w:rsidR="0007418B">
        <w:rPr>
          <w:rFonts w:ascii="Arial" w:eastAsia="Calibri" w:hAnsi="Arial" w:cs="Arial"/>
        </w:rPr>
        <w:t xml:space="preserve">however </w:t>
      </w:r>
      <w:r w:rsidR="006704D5">
        <w:rPr>
          <w:rFonts w:ascii="Arial" w:eastAsia="Calibri" w:hAnsi="Arial" w:cs="Arial"/>
        </w:rPr>
        <w:t xml:space="preserve">not asked to confirm that a copy of </w:t>
      </w:r>
      <w:r w:rsidR="00580129">
        <w:rPr>
          <w:rFonts w:ascii="Arial" w:eastAsia="Calibri" w:hAnsi="Arial" w:cs="Arial"/>
        </w:rPr>
        <w:t xml:space="preserve">it </w:t>
      </w:r>
      <w:r w:rsidR="00DF045E">
        <w:rPr>
          <w:rFonts w:ascii="Arial" w:eastAsia="Calibri" w:hAnsi="Arial" w:cs="Arial"/>
        </w:rPr>
        <w:t>had been</w:t>
      </w:r>
      <w:r w:rsidR="006704D5">
        <w:rPr>
          <w:rFonts w:ascii="Arial" w:eastAsia="Calibri" w:hAnsi="Arial" w:cs="Arial"/>
        </w:rPr>
        <w:t xml:space="preserve"> served on </w:t>
      </w:r>
      <w:r w:rsidR="00580129">
        <w:rPr>
          <w:rFonts w:ascii="Arial" w:eastAsia="Calibri" w:hAnsi="Arial" w:cs="Arial"/>
        </w:rPr>
        <w:t xml:space="preserve">him </w:t>
      </w:r>
      <w:r w:rsidR="006704D5">
        <w:rPr>
          <w:rFonts w:ascii="Arial" w:eastAsia="Calibri" w:hAnsi="Arial" w:cs="Arial"/>
        </w:rPr>
        <w:t xml:space="preserve">or that he was otherwise aware of </w:t>
      </w:r>
      <w:r w:rsidR="00580129">
        <w:rPr>
          <w:rFonts w:ascii="Arial" w:eastAsia="Calibri" w:hAnsi="Arial" w:cs="Arial"/>
        </w:rPr>
        <w:t>it</w:t>
      </w:r>
      <w:r w:rsidR="006704D5">
        <w:rPr>
          <w:rFonts w:ascii="Arial" w:eastAsia="Calibri" w:hAnsi="Arial" w:cs="Arial"/>
        </w:rPr>
        <w:t xml:space="preserve">. From the documents that were received by the court it appears that only a copy </w:t>
      </w:r>
      <w:r w:rsidR="00580129">
        <w:rPr>
          <w:rFonts w:ascii="Arial" w:eastAsia="Calibri" w:hAnsi="Arial" w:cs="Arial"/>
        </w:rPr>
        <w:t xml:space="preserve">of </w:t>
      </w:r>
      <w:r w:rsidR="006704D5">
        <w:rPr>
          <w:rFonts w:ascii="Arial" w:eastAsia="Calibri" w:hAnsi="Arial" w:cs="Arial"/>
        </w:rPr>
        <w:t xml:space="preserve">the interim order which was issued on 8 April 2022 was served on the </w:t>
      </w:r>
      <w:r w:rsidR="00DF045E">
        <w:rPr>
          <w:rFonts w:ascii="Arial" w:eastAsia="Calibri" w:hAnsi="Arial" w:cs="Arial"/>
        </w:rPr>
        <w:t>accused,</w:t>
      </w:r>
      <w:r w:rsidR="006704D5">
        <w:rPr>
          <w:rFonts w:ascii="Arial" w:eastAsia="Calibri" w:hAnsi="Arial" w:cs="Arial"/>
        </w:rPr>
        <w:t xml:space="preserve"> on 19 April 202</w:t>
      </w:r>
      <w:r w:rsidR="003E2944">
        <w:rPr>
          <w:rFonts w:ascii="Arial" w:eastAsia="Calibri" w:hAnsi="Arial" w:cs="Arial"/>
        </w:rPr>
        <w:t>2,</w:t>
      </w:r>
      <w:r w:rsidR="006704D5">
        <w:rPr>
          <w:rFonts w:ascii="Arial" w:eastAsia="Calibri" w:hAnsi="Arial" w:cs="Arial"/>
        </w:rPr>
        <w:t xml:space="preserve"> </w:t>
      </w:r>
      <w:r w:rsidR="00580129">
        <w:rPr>
          <w:rFonts w:ascii="Arial" w:eastAsia="Calibri" w:hAnsi="Arial" w:cs="Arial"/>
        </w:rPr>
        <w:t>and</w:t>
      </w:r>
      <w:r w:rsidR="006704D5">
        <w:rPr>
          <w:rFonts w:ascii="Arial" w:eastAsia="Calibri" w:hAnsi="Arial" w:cs="Arial"/>
        </w:rPr>
        <w:t xml:space="preserve"> there is no indication that the final order </w:t>
      </w:r>
      <w:r w:rsidR="00580129">
        <w:rPr>
          <w:rFonts w:ascii="Arial" w:eastAsia="Calibri" w:hAnsi="Arial" w:cs="Arial"/>
        </w:rPr>
        <w:t xml:space="preserve">which was </w:t>
      </w:r>
      <w:r w:rsidR="003D2893">
        <w:rPr>
          <w:rFonts w:ascii="Arial" w:eastAsia="Calibri" w:hAnsi="Arial" w:cs="Arial"/>
        </w:rPr>
        <w:t>granted on</w:t>
      </w:r>
      <w:r w:rsidR="00580129">
        <w:rPr>
          <w:rFonts w:ascii="Arial" w:eastAsia="Calibri" w:hAnsi="Arial" w:cs="Arial"/>
        </w:rPr>
        <w:t xml:space="preserve"> 6 May 2022 </w:t>
      </w:r>
      <w:r w:rsidR="006704D5">
        <w:rPr>
          <w:rFonts w:ascii="Arial" w:eastAsia="Calibri" w:hAnsi="Arial" w:cs="Arial"/>
        </w:rPr>
        <w:t>was served on him.</w:t>
      </w:r>
    </w:p>
    <w:p w14:paraId="653F1E36" w14:textId="6832AC80" w:rsidR="006704D5" w:rsidRDefault="008C795E" w:rsidP="008C795E">
      <w:pPr>
        <w:adjustRightInd w:val="0"/>
        <w:spacing w:after="0" w:line="360" w:lineRule="auto"/>
        <w:ind w:left="720" w:hanging="720"/>
        <w:contextualSpacing/>
        <w:jc w:val="both"/>
        <w:textAlignment w:val="baseline"/>
        <w:rPr>
          <w:rFonts w:ascii="Arial" w:eastAsia="Calibri" w:hAnsi="Arial" w:cs="Arial"/>
        </w:rPr>
      </w:pPr>
      <w:r>
        <w:rPr>
          <w:rFonts w:ascii="Arial" w:eastAsia="Calibri" w:hAnsi="Arial" w:cs="Arial"/>
        </w:rPr>
        <w:t>13.</w:t>
      </w:r>
      <w:r>
        <w:rPr>
          <w:rFonts w:ascii="Arial" w:eastAsia="Calibri" w:hAnsi="Arial" w:cs="Arial"/>
        </w:rPr>
        <w:tab/>
      </w:r>
      <w:r w:rsidR="006704D5">
        <w:rPr>
          <w:rFonts w:ascii="Arial" w:eastAsia="Calibri" w:hAnsi="Arial" w:cs="Arial"/>
        </w:rPr>
        <w:t xml:space="preserve">As to the incidents which gave rise to the charges it </w:t>
      </w:r>
      <w:r w:rsidR="00754891">
        <w:rPr>
          <w:rFonts w:ascii="Arial" w:eastAsia="Calibri" w:hAnsi="Arial" w:cs="Arial"/>
        </w:rPr>
        <w:t>was</w:t>
      </w:r>
      <w:r w:rsidR="006704D5">
        <w:rPr>
          <w:rFonts w:ascii="Arial" w:eastAsia="Calibri" w:hAnsi="Arial" w:cs="Arial"/>
        </w:rPr>
        <w:t xml:space="preserve"> evident, from the outset of her evidence</w:t>
      </w:r>
      <w:r w:rsidR="003D2893">
        <w:rPr>
          <w:rFonts w:ascii="Arial" w:eastAsia="Calibri" w:hAnsi="Arial" w:cs="Arial"/>
        </w:rPr>
        <w:t>,</w:t>
      </w:r>
      <w:r w:rsidR="006704D5">
        <w:rPr>
          <w:rFonts w:ascii="Arial" w:eastAsia="Calibri" w:hAnsi="Arial" w:cs="Arial"/>
        </w:rPr>
        <w:t xml:space="preserve"> that the accused’s mother was at a </w:t>
      </w:r>
      <w:r w:rsidR="00580129">
        <w:rPr>
          <w:rFonts w:ascii="Arial" w:eastAsia="Calibri" w:hAnsi="Arial" w:cs="Arial"/>
        </w:rPr>
        <w:t>friend’s</w:t>
      </w:r>
      <w:r w:rsidR="006704D5">
        <w:rPr>
          <w:rFonts w:ascii="Arial" w:eastAsia="Calibri" w:hAnsi="Arial" w:cs="Arial"/>
        </w:rPr>
        <w:t xml:space="preserve"> house </w:t>
      </w:r>
      <w:r w:rsidR="003D2893">
        <w:rPr>
          <w:rFonts w:ascii="Arial" w:eastAsia="Calibri" w:hAnsi="Arial" w:cs="Arial"/>
        </w:rPr>
        <w:t>at t</w:t>
      </w:r>
      <w:r w:rsidR="006704D5">
        <w:rPr>
          <w:rFonts w:ascii="Arial" w:eastAsia="Calibri" w:hAnsi="Arial" w:cs="Arial"/>
        </w:rPr>
        <w:t xml:space="preserve">he </w:t>
      </w:r>
      <w:r w:rsidR="003D2893">
        <w:rPr>
          <w:rFonts w:ascii="Arial" w:eastAsia="Calibri" w:hAnsi="Arial" w:cs="Arial"/>
        </w:rPr>
        <w:t>time</w:t>
      </w:r>
      <w:r w:rsidR="006704D5">
        <w:rPr>
          <w:rFonts w:ascii="Arial" w:eastAsia="Calibri" w:hAnsi="Arial" w:cs="Arial"/>
        </w:rPr>
        <w:t xml:space="preserve"> and did not witness or have personal knowledge of the accused’s alleged breaches of the protection order. </w:t>
      </w:r>
      <w:r w:rsidR="003D2893">
        <w:rPr>
          <w:rFonts w:ascii="Arial" w:eastAsia="Calibri" w:hAnsi="Arial" w:cs="Arial"/>
        </w:rPr>
        <w:t>S</w:t>
      </w:r>
      <w:r w:rsidR="009E67B3">
        <w:rPr>
          <w:rFonts w:ascii="Arial" w:eastAsia="Calibri" w:hAnsi="Arial" w:cs="Arial"/>
        </w:rPr>
        <w:t xml:space="preserve">he said she was informed by her daughter </w:t>
      </w:r>
      <w:r w:rsidR="00580129">
        <w:rPr>
          <w:rFonts w:ascii="Arial" w:eastAsia="Calibri" w:hAnsi="Arial" w:cs="Arial"/>
        </w:rPr>
        <w:t>(</w:t>
      </w:r>
      <w:r w:rsidR="003D2893">
        <w:rPr>
          <w:rFonts w:ascii="Arial" w:eastAsia="Calibri" w:hAnsi="Arial" w:cs="Arial"/>
        </w:rPr>
        <w:t>who</w:t>
      </w:r>
      <w:r w:rsidR="009E67B3">
        <w:rPr>
          <w:rFonts w:ascii="Arial" w:eastAsia="Calibri" w:hAnsi="Arial" w:cs="Arial"/>
        </w:rPr>
        <w:t xml:space="preserve"> came to her </w:t>
      </w:r>
      <w:r w:rsidR="00EB566F">
        <w:rPr>
          <w:rFonts w:ascii="Arial" w:eastAsia="Calibri" w:hAnsi="Arial" w:cs="Arial"/>
        </w:rPr>
        <w:t xml:space="preserve">whilst she was at her </w:t>
      </w:r>
      <w:r w:rsidR="00580129">
        <w:rPr>
          <w:rFonts w:ascii="Arial" w:eastAsia="Calibri" w:hAnsi="Arial" w:cs="Arial"/>
        </w:rPr>
        <w:t>friend’s</w:t>
      </w:r>
      <w:r w:rsidR="009E67B3">
        <w:rPr>
          <w:rFonts w:ascii="Arial" w:eastAsia="Calibri" w:hAnsi="Arial" w:cs="Arial"/>
        </w:rPr>
        <w:t xml:space="preserve"> house</w:t>
      </w:r>
      <w:r w:rsidR="00580129">
        <w:rPr>
          <w:rFonts w:ascii="Arial" w:eastAsia="Calibri" w:hAnsi="Arial" w:cs="Arial"/>
        </w:rPr>
        <w:t>)</w:t>
      </w:r>
      <w:r w:rsidR="009E67B3">
        <w:rPr>
          <w:rFonts w:ascii="Arial" w:eastAsia="Calibri" w:hAnsi="Arial" w:cs="Arial"/>
        </w:rPr>
        <w:t xml:space="preserve"> that she had found the accused in </w:t>
      </w:r>
      <w:r w:rsidR="00580129">
        <w:rPr>
          <w:rFonts w:ascii="Arial" w:eastAsia="Calibri" w:hAnsi="Arial" w:cs="Arial"/>
        </w:rPr>
        <w:t xml:space="preserve">her </w:t>
      </w:r>
      <w:r w:rsidR="00E60A5C">
        <w:rPr>
          <w:rFonts w:ascii="Arial" w:eastAsia="Calibri" w:hAnsi="Arial" w:cs="Arial"/>
        </w:rPr>
        <w:t>h</w:t>
      </w:r>
      <w:r w:rsidR="003D2893">
        <w:rPr>
          <w:rFonts w:ascii="Arial" w:eastAsia="Calibri" w:hAnsi="Arial" w:cs="Arial"/>
        </w:rPr>
        <w:t>ome</w:t>
      </w:r>
      <w:r w:rsidR="00E60A5C">
        <w:rPr>
          <w:rFonts w:ascii="Arial" w:eastAsia="Calibri" w:hAnsi="Arial" w:cs="Arial"/>
        </w:rPr>
        <w:t>,</w:t>
      </w:r>
      <w:r w:rsidR="009E67B3">
        <w:rPr>
          <w:rFonts w:ascii="Arial" w:eastAsia="Calibri" w:hAnsi="Arial" w:cs="Arial"/>
        </w:rPr>
        <w:t xml:space="preserve"> and he had kicked the kettle </w:t>
      </w:r>
      <w:r w:rsidR="00E60A5C">
        <w:rPr>
          <w:rFonts w:ascii="Arial" w:eastAsia="Calibri" w:hAnsi="Arial" w:cs="Arial"/>
        </w:rPr>
        <w:t>t</w:t>
      </w:r>
      <w:r w:rsidR="009E67B3">
        <w:rPr>
          <w:rFonts w:ascii="Arial" w:eastAsia="Calibri" w:hAnsi="Arial" w:cs="Arial"/>
        </w:rPr>
        <w:t>hereby breaking it</w:t>
      </w:r>
      <w:r w:rsidR="00580129">
        <w:rPr>
          <w:rFonts w:ascii="Arial" w:eastAsia="Calibri" w:hAnsi="Arial" w:cs="Arial"/>
        </w:rPr>
        <w:t>,</w:t>
      </w:r>
      <w:r w:rsidR="00AB3FAE">
        <w:rPr>
          <w:rFonts w:ascii="Arial" w:eastAsia="Calibri" w:hAnsi="Arial" w:cs="Arial"/>
        </w:rPr>
        <w:t xml:space="preserve"> and had </w:t>
      </w:r>
      <w:r w:rsidR="00580129">
        <w:rPr>
          <w:rFonts w:ascii="Arial" w:eastAsia="Calibri" w:hAnsi="Arial" w:cs="Arial"/>
        </w:rPr>
        <w:t>‘</w:t>
      </w:r>
      <w:r w:rsidR="00AB3FAE">
        <w:rPr>
          <w:rFonts w:ascii="Arial" w:eastAsia="Calibri" w:hAnsi="Arial" w:cs="Arial"/>
        </w:rPr>
        <w:t>beaten</w:t>
      </w:r>
      <w:r w:rsidR="00580129">
        <w:rPr>
          <w:rFonts w:ascii="Arial" w:eastAsia="Calibri" w:hAnsi="Arial" w:cs="Arial"/>
        </w:rPr>
        <w:t>’</w:t>
      </w:r>
      <w:r w:rsidR="00AB3FAE">
        <w:rPr>
          <w:rFonts w:ascii="Arial" w:eastAsia="Calibri" w:hAnsi="Arial" w:cs="Arial"/>
        </w:rPr>
        <w:t xml:space="preserve"> her</w:t>
      </w:r>
      <w:r w:rsidR="009E67B3">
        <w:rPr>
          <w:rFonts w:ascii="Arial" w:eastAsia="Calibri" w:hAnsi="Arial" w:cs="Arial"/>
        </w:rPr>
        <w:t>.</w:t>
      </w:r>
    </w:p>
    <w:p w14:paraId="2EEDA428" w14:textId="4064703D" w:rsidR="00E60A5C" w:rsidRDefault="008C795E" w:rsidP="008C795E">
      <w:pPr>
        <w:adjustRightInd w:val="0"/>
        <w:spacing w:after="0" w:line="360" w:lineRule="auto"/>
        <w:ind w:left="720" w:hanging="720"/>
        <w:contextualSpacing/>
        <w:jc w:val="both"/>
        <w:textAlignment w:val="baseline"/>
        <w:rPr>
          <w:rFonts w:ascii="Arial" w:eastAsia="Calibri" w:hAnsi="Arial" w:cs="Arial"/>
        </w:rPr>
      </w:pPr>
      <w:r>
        <w:rPr>
          <w:rFonts w:ascii="Arial" w:eastAsia="Calibri" w:hAnsi="Arial" w:cs="Arial"/>
        </w:rPr>
        <w:t>14.</w:t>
      </w:r>
      <w:r>
        <w:rPr>
          <w:rFonts w:ascii="Arial" w:eastAsia="Calibri" w:hAnsi="Arial" w:cs="Arial"/>
        </w:rPr>
        <w:tab/>
      </w:r>
      <w:r w:rsidR="00AB3FAE">
        <w:rPr>
          <w:rFonts w:ascii="Arial" w:eastAsia="Calibri" w:hAnsi="Arial" w:cs="Arial"/>
        </w:rPr>
        <w:t xml:space="preserve">Although this evidence was clearly hearsay evidence of an incriminating nature and, as such, should not simply have been </w:t>
      </w:r>
      <w:r w:rsidR="00E60A5C">
        <w:rPr>
          <w:rFonts w:ascii="Arial" w:eastAsia="Calibri" w:hAnsi="Arial" w:cs="Arial"/>
        </w:rPr>
        <w:t>admitted</w:t>
      </w:r>
      <w:r w:rsidR="00AB3FAE">
        <w:rPr>
          <w:rFonts w:ascii="Arial" w:eastAsia="Calibri" w:hAnsi="Arial" w:cs="Arial"/>
        </w:rPr>
        <w:t xml:space="preserve"> unless there was an indication by the prosecutor that the source thereof </w:t>
      </w:r>
      <w:r w:rsidR="003D2893">
        <w:rPr>
          <w:rFonts w:ascii="Arial" w:eastAsia="Calibri" w:hAnsi="Arial" w:cs="Arial"/>
        </w:rPr>
        <w:t>i.e.</w:t>
      </w:r>
      <w:r w:rsidR="00AB3FAE">
        <w:rPr>
          <w:rFonts w:ascii="Arial" w:eastAsia="Calibri" w:hAnsi="Arial" w:cs="Arial"/>
        </w:rPr>
        <w:t xml:space="preserve"> the accused</w:t>
      </w:r>
      <w:r w:rsidR="00E60A5C">
        <w:rPr>
          <w:rFonts w:ascii="Arial" w:eastAsia="Calibri" w:hAnsi="Arial" w:cs="Arial"/>
        </w:rPr>
        <w:t>’s</w:t>
      </w:r>
      <w:r w:rsidR="00AB3FAE">
        <w:rPr>
          <w:rFonts w:ascii="Arial" w:eastAsia="Calibri" w:hAnsi="Arial" w:cs="Arial"/>
        </w:rPr>
        <w:t xml:space="preserve"> sister</w:t>
      </w:r>
      <w:r w:rsidR="00E60A5C">
        <w:rPr>
          <w:rFonts w:ascii="Arial" w:eastAsia="Calibri" w:hAnsi="Arial" w:cs="Arial"/>
        </w:rPr>
        <w:t>,</w:t>
      </w:r>
      <w:r w:rsidR="00AB3FAE">
        <w:rPr>
          <w:rFonts w:ascii="Arial" w:eastAsia="Calibri" w:hAnsi="Arial" w:cs="Arial"/>
        </w:rPr>
        <w:t xml:space="preserve"> on whom the probative value of the evidence depende</w:t>
      </w:r>
      <w:r w:rsidR="00E60A5C">
        <w:rPr>
          <w:rFonts w:ascii="Arial" w:eastAsia="Calibri" w:hAnsi="Arial" w:cs="Arial"/>
        </w:rPr>
        <w:t>d</w:t>
      </w:r>
      <w:r w:rsidR="00AB3FAE">
        <w:rPr>
          <w:rFonts w:ascii="Arial" w:eastAsia="Calibri" w:hAnsi="Arial" w:cs="Arial"/>
        </w:rPr>
        <w:t xml:space="preserve">, would be called, the magistrate simply allowed it to go in without </w:t>
      </w:r>
      <w:r w:rsidR="00E60A5C">
        <w:rPr>
          <w:rFonts w:ascii="Arial" w:eastAsia="Calibri" w:hAnsi="Arial" w:cs="Arial"/>
        </w:rPr>
        <w:t>demur</w:t>
      </w:r>
      <w:r w:rsidR="00AB3FAE">
        <w:rPr>
          <w:rFonts w:ascii="Arial" w:eastAsia="Calibri" w:hAnsi="Arial" w:cs="Arial"/>
        </w:rPr>
        <w:t xml:space="preserve">. </w:t>
      </w:r>
    </w:p>
    <w:p w14:paraId="68D5E37C" w14:textId="2997D21D" w:rsidR="00EB566F" w:rsidRDefault="008C795E" w:rsidP="008C795E">
      <w:pPr>
        <w:adjustRightInd w:val="0"/>
        <w:spacing w:after="0" w:line="360" w:lineRule="auto"/>
        <w:ind w:left="720" w:hanging="720"/>
        <w:contextualSpacing/>
        <w:jc w:val="both"/>
        <w:textAlignment w:val="baseline"/>
        <w:rPr>
          <w:rFonts w:ascii="Arial" w:eastAsia="Calibri" w:hAnsi="Arial" w:cs="Arial"/>
        </w:rPr>
      </w:pPr>
      <w:r>
        <w:rPr>
          <w:rFonts w:ascii="Arial" w:eastAsia="Calibri" w:hAnsi="Arial" w:cs="Arial"/>
        </w:rPr>
        <w:t>15.</w:t>
      </w:r>
      <w:r>
        <w:rPr>
          <w:rFonts w:ascii="Arial" w:eastAsia="Calibri" w:hAnsi="Arial" w:cs="Arial"/>
        </w:rPr>
        <w:tab/>
      </w:r>
      <w:r w:rsidR="00AB3FAE">
        <w:rPr>
          <w:rFonts w:ascii="Arial" w:eastAsia="Calibri" w:hAnsi="Arial" w:cs="Arial"/>
        </w:rPr>
        <w:t xml:space="preserve">The accused’s mother </w:t>
      </w:r>
      <w:r w:rsidR="003D2893">
        <w:rPr>
          <w:rFonts w:ascii="Arial" w:eastAsia="Calibri" w:hAnsi="Arial" w:cs="Arial"/>
        </w:rPr>
        <w:t>said</w:t>
      </w:r>
      <w:r w:rsidR="00E60A5C">
        <w:rPr>
          <w:rFonts w:ascii="Arial" w:eastAsia="Calibri" w:hAnsi="Arial" w:cs="Arial"/>
        </w:rPr>
        <w:t xml:space="preserve"> </w:t>
      </w:r>
      <w:r w:rsidR="00AB3FAE">
        <w:rPr>
          <w:rFonts w:ascii="Arial" w:eastAsia="Calibri" w:hAnsi="Arial" w:cs="Arial"/>
        </w:rPr>
        <w:t xml:space="preserve">that after her daughter had made a report to her in relation to the incident the accused had arrived and had started swearing at </w:t>
      </w:r>
      <w:r w:rsidR="00E60A5C">
        <w:rPr>
          <w:rFonts w:ascii="Arial" w:eastAsia="Calibri" w:hAnsi="Arial" w:cs="Arial"/>
        </w:rPr>
        <w:t xml:space="preserve">her, </w:t>
      </w:r>
      <w:r w:rsidR="00AB3FAE">
        <w:rPr>
          <w:rFonts w:ascii="Arial" w:eastAsia="Calibri" w:hAnsi="Arial" w:cs="Arial"/>
        </w:rPr>
        <w:t xml:space="preserve">whereupon the police were </w:t>
      </w:r>
      <w:r w:rsidR="00E60A5C">
        <w:rPr>
          <w:rFonts w:ascii="Arial" w:eastAsia="Calibri" w:hAnsi="Arial" w:cs="Arial"/>
        </w:rPr>
        <w:t>summoned</w:t>
      </w:r>
      <w:r w:rsidR="00AB3FAE">
        <w:rPr>
          <w:rFonts w:ascii="Arial" w:eastAsia="Calibri" w:hAnsi="Arial" w:cs="Arial"/>
        </w:rPr>
        <w:t>. According to the accused</w:t>
      </w:r>
      <w:r w:rsidR="00E60A5C">
        <w:rPr>
          <w:rFonts w:ascii="Arial" w:eastAsia="Calibri" w:hAnsi="Arial" w:cs="Arial"/>
        </w:rPr>
        <w:t>’s</w:t>
      </w:r>
      <w:r w:rsidR="00AB3FAE">
        <w:rPr>
          <w:rFonts w:ascii="Arial" w:eastAsia="Calibri" w:hAnsi="Arial" w:cs="Arial"/>
        </w:rPr>
        <w:t xml:space="preserve"> mother the side of </w:t>
      </w:r>
      <w:r w:rsidR="00E60A5C">
        <w:rPr>
          <w:rFonts w:ascii="Arial" w:eastAsia="Calibri" w:hAnsi="Arial" w:cs="Arial"/>
        </w:rPr>
        <w:t>her</w:t>
      </w:r>
      <w:r w:rsidR="00AB3FAE">
        <w:rPr>
          <w:rFonts w:ascii="Arial" w:eastAsia="Calibri" w:hAnsi="Arial" w:cs="Arial"/>
        </w:rPr>
        <w:t xml:space="preserve"> daughter</w:t>
      </w:r>
      <w:r w:rsidR="00E60A5C">
        <w:rPr>
          <w:rFonts w:ascii="Arial" w:eastAsia="Calibri" w:hAnsi="Arial" w:cs="Arial"/>
        </w:rPr>
        <w:t>’</w:t>
      </w:r>
      <w:r w:rsidR="00AB3FAE">
        <w:rPr>
          <w:rFonts w:ascii="Arial" w:eastAsia="Calibri" w:hAnsi="Arial" w:cs="Arial"/>
        </w:rPr>
        <w:t xml:space="preserve">s face was </w:t>
      </w:r>
      <w:r w:rsidR="00E60A5C">
        <w:rPr>
          <w:rFonts w:ascii="Arial" w:eastAsia="Calibri" w:hAnsi="Arial" w:cs="Arial"/>
        </w:rPr>
        <w:t>‘</w:t>
      </w:r>
      <w:r w:rsidR="00AB3FAE">
        <w:rPr>
          <w:rFonts w:ascii="Arial" w:eastAsia="Calibri" w:hAnsi="Arial" w:cs="Arial"/>
        </w:rPr>
        <w:t>swollen</w:t>
      </w:r>
      <w:r w:rsidR="00E60A5C">
        <w:rPr>
          <w:rFonts w:ascii="Arial" w:eastAsia="Calibri" w:hAnsi="Arial" w:cs="Arial"/>
        </w:rPr>
        <w:t>’</w:t>
      </w:r>
      <w:r w:rsidR="00AB3FAE">
        <w:rPr>
          <w:rFonts w:ascii="Arial" w:eastAsia="Calibri" w:hAnsi="Arial" w:cs="Arial"/>
        </w:rPr>
        <w:t xml:space="preserve"> because ‘she was beaten’. </w:t>
      </w:r>
      <w:r w:rsidR="00EB566F">
        <w:rPr>
          <w:rFonts w:ascii="Arial" w:eastAsia="Calibri" w:hAnsi="Arial" w:cs="Arial"/>
        </w:rPr>
        <w:t>N</w:t>
      </w:r>
      <w:r w:rsidR="003E2944">
        <w:rPr>
          <w:rFonts w:ascii="Arial" w:eastAsia="Calibri" w:hAnsi="Arial" w:cs="Arial"/>
        </w:rPr>
        <w:t xml:space="preserve">otwithstanding </w:t>
      </w:r>
      <w:r w:rsidR="00AB3FAE">
        <w:rPr>
          <w:rFonts w:ascii="Arial" w:eastAsia="Calibri" w:hAnsi="Arial" w:cs="Arial"/>
        </w:rPr>
        <w:t xml:space="preserve">the </w:t>
      </w:r>
      <w:r w:rsidR="00EB566F">
        <w:rPr>
          <w:rFonts w:ascii="Arial" w:eastAsia="Calibri" w:hAnsi="Arial" w:cs="Arial"/>
        </w:rPr>
        <w:t xml:space="preserve">possible </w:t>
      </w:r>
      <w:r w:rsidR="00AB3FAE">
        <w:rPr>
          <w:rFonts w:ascii="Arial" w:eastAsia="Calibri" w:hAnsi="Arial" w:cs="Arial"/>
        </w:rPr>
        <w:t xml:space="preserve">hearsay </w:t>
      </w:r>
      <w:r w:rsidR="00294AF6">
        <w:rPr>
          <w:rFonts w:ascii="Arial" w:eastAsia="Calibri" w:hAnsi="Arial" w:cs="Arial"/>
        </w:rPr>
        <w:t xml:space="preserve">or otherwise inadmissible </w:t>
      </w:r>
      <w:r w:rsidR="00AB3FAE">
        <w:rPr>
          <w:rFonts w:ascii="Arial" w:eastAsia="Calibri" w:hAnsi="Arial" w:cs="Arial"/>
        </w:rPr>
        <w:t>nature of th</w:t>
      </w:r>
      <w:r w:rsidR="00E60A5C">
        <w:rPr>
          <w:rFonts w:ascii="Arial" w:eastAsia="Calibri" w:hAnsi="Arial" w:cs="Arial"/>
        </w:rPr>
        <w:t>is</w:t>
      </w:r>
      <w:r w:rsidR="00AB3FAE">
        <w:rPr>
          <w:rFonts w:ascii="Arial" w:eastAsia="Calibri" w:hAnsi="Arial" w:cs="Arial"/>
        </w:rPr>
        <w:t xml:space="preserve"> evidence insofar as </w:t>
      </w:r>
      <w:r w:rsidR="003E2944">
        <w:rPr>
          <w:rFonts w:ascii="Arial" w:eastAsia="Calibri" w:hAnsi="Arial" w:cs="Arial"/>
        </w:rPr>
        <w:t xml:space="preserve">it related to </w:t>
      </w:r>
      <w:r w:rsidR="00AB3FAE">
        <w:rPr>
          <w:rFonts w:ascii="Arial" w:eastAsia="Calibri" w:hAnsi="Arial" w:cs="Arial"/>
        </w:rPr>
        <w:t xml:space="preserve">the </w:t>
      </w:r>
      <w:r w:rsidR="00EB566F">
        <w:rPr>
          <w:rFonts w:ascii="Arial" w:eastAsia="Calibri" w:hAnsi="Arial" w:cs="Arial"/>
        </w:rPr>
        <w:t>reason</w:t>
      </w:r>
      <w:r w:rsidR="00AB3FAE">
        <w:rPr>
          <w:rFonts w:ascii="Arial" w:eastAsia="Calibri" w:hAnsi="Arial" w:cs="Arial"/>
        </w:rPr>
        <w:t xml:space="preserve"> which was given for her daughter</w:t>
      </w:r>
      <w:r w:rsidR="00E60A5C">
        <w:rPr>
          <w:rFonts w:ascii="Arial" w:eastAsia="Calibri" w:hAnsi="Arial" w:cs="Arial"/>
        </w:rPr>
        <w:t>’</w:t>
      </w:r>
      <w:r w:rsidR="00AB3FAE">
        <w:rPr>
          <w:rFonts w:ascii="Arial" w:eastAsia="Calibri" w:hAnsi="Arial" w:cs="Arial"/>
        </w:rPr>
        <w:t xml:space="preserve">s </w:t>
      </w:r>
      <w:r w:rsidR="00EB566F">
        <w:rPr>
          <w:rFonts w:ascii="Arial" w:eastAsia="Calibri" w:hAnsi="Arial" w:cs="Arial"/>
        </w:rPr>
        <w:t xml:space="preserve">allegedly </w:t>
      </w:r>
      <w:r w:rsidR="00AB3FAE">
        <w:rPr>
          <w:rFonts w:ascii="Arial" w:eastAsia="Calibri" w:hAnsi="Arial" w:cs="Arial"/>
        </w:rPr>
        <w:t xml:space="preserve">swollen face, </w:t>
      </w:r>
      <w:r w:rsidR="003E2944">
        <w:rPr>
          <w:rFonts w:ascii="Arial" w:eastAsia="Calibri" w:hAnsi="Arial" w:cs="Arial"/>
        </w:rPr>
        <w:t xml:space="preserve">it </w:t>
      </w:r>
      <w:r w:rsidR="00AB3FAE">
        <w:rPr>
          <w:rFonts w:ascii="Arial" w:eastAsia="Calibri" w:hAnsi="Arial" w:cs="Arial"/>
        </w:rPr>
        <w:t xml:space="preserve">was </w:t>
      </w:r>
      <w:r w:rsidR="00E60A5C">
        <w:rPr>
          <w:rFonts w:ascii="Arial" w:eastAsia="Calibri" w:hAnsi="Arial" w:cs="Arial"/>
        </w:rPr>
        <w:t xml:space="preserve">not placed in </w:t>
      </w:r>
      <w:r w:rsidR="00294AF6">
        <w:rPr>
          <w:rFonts w:ascii="Arial" w:eastAsia="Calibri" w:hAnsi="Arial" w:cs="Arial"/>
        </w:rPr>
        <w:t>issue</w:t>
      </w:r>
      <w:r w:rsidR="00E60A5C">
        <w:rPr>
          <w:rFonts w:ascii="Arial" w:eastAsia="Calibri" w:hAnsi="Arial" w:cs="Arial"/>
        </w:rPr>
        <w:t xml:space="preserve"> and was </w:t>
      </w:r>
      <w:r w:rsidR="003E2944">
        <w:rPr>
          <w:rFonts w:ascii="Arial" w:eastAsia="Calibri" w:hAnsi="Arial" w:cs="Arial"/>
        </w:rPr>
        <w:t xml:space="preserve">simply </w:t>
      </w:r>
      <w:r w:rsidR="00AB3FAE">
        <w:rPr>
          <w:rFonts w:ascii="Arial" w:eastAsia="Calibri" w:hAnsi="Arial" w:cs="Arial"/>
        </w:rPr>
        <w:t>allowed</w:t>
      </w:r>
      <w:r w:rsidR="00E60A5C">
        <w:rPr>
          <w:rFonts w:ascii="Arial" w:eastAsia="Calibri" w:hAnsi="Arial" w:cs="Arial"/>
        </w:rPr>
        <w:t xml:space="preserve"> </w:t>
      </w:r>
      <w:r w:rsidR="00AB3FAE">
        <w:rPr>
          <w:rFonts w:ascii="Arial" w:eastAsia="Calibri" w:hAnsi="Arial" w:cs="Arial"/>
        </w:rPr>
        <w:t xml:space="preserve">without a query by the magistrate. </w:t>
      </w:r>
    </w:p>
    <w:p w14:paraId="56AA6991" w14:textId="032B2785" w:rsidR="00AB3FAE" w:rsidRDefault="008C795E" w:rsidP="008C795E">
      <w:pPr>
        <w:adjustRightInd w:val="0"/>
        <w:spacing w:after="0" w:line="360" w:lineRule="auto"/>
        <w:ind w:left="720" w:hanging="720"/>
        <w:contextualSpacing/>
        <w:jc w:val="both"/>
        <w:textAlignment w:val="baseline"/>
        <w:rPr>
          <w:rFonts w:ascii="Arial" w:eastAsia="Calibri" w:hAnsi="Arial" w:cs="Arial"/>
        </w:rPr>
      </w:pPr>
      <w:r>
        <w:rPr>
          <w:rFonts w:ascii="Arial" w:eastAsia="Calibri" w:hAnsi="Arial" w:cs="Arial"/>
        </w:rPr>
        <w:t>16.</w:t>
      </w:r>
      <w:r>
        <w:rPr>
          <w:rFonts w:ascii="Arial" w:eastAsia="Calibri" w:hAnsi="Arial" w:cs="Arial"/>
        </w:rPr>
        <w:tab/>
      </w:r>
      <w:r w:rsidR="00AB3FAE">
        <w:rPr>
          <w:rFonts w:ascii="Arial" w:eastAsia="Calibri" w:hAnsi="Arial" w:cs="Arial"/>
        </w:rPr>
        <w:t>As far as the alleged damage to her property</w:t>
      </w:r>
      <w:r w:rsidR="00E60A5C">
        <w:rPr>
          <w:rFonts w:ascii="Arial" w:eastAsia="Calibri" w:hAnsi="Arial" w:cs="Arial"/>
        </w:rPr>
        <w:t xml:space="preserve"> was </w:t>
      </w:r>
      <w:r w:rsidR="003D2893">
        <w:rPr>
          <w:rFonts w:ascii="Arial" w:eastAsia="Calibri" w:hAnsi="Arial" w:cs="Arial"/>
        </w:rPr>
        <w:t xml:space="preserve">concerned </w:t>
      </w:r>
      <w:r w:rsidR="00AB3FAE">
        <w:rPr>
          <w:rFonts w:ascii="Arial" w:eastAsia="Calibri" w:hAnsi="Arial" w:cs="Arial"/>
        </w:rPr>
        <w:t xml:space="preserve">the accused’s mother said that on </w:t>
      </w:r>
      <w:r w:rsidR="00E60A5C">
        <w:rPr>
          <w:rFonts w:ascii="Arial" w:eastAsia="Calibri" w:hAnsi="Arial" w:cs="Arial"/>
        </w:rPr>
        <w:t>her</w:t>
      </w:r>
      <w:r w:rsidR="00AB3FAE">
        <w:rPr>
          <w:rFonts w:ascii="Arial" w:eastAsia="Calibri" w:hAnsi="Arial" w:cs="Arial"/>
        </w:rPr>
        <w:t xml:space="preserve"> return </w:t>
      </w:r>
      <w:r w:rsidR="00E60A5C">
        <w:rPr>
          <w:rFonts w:ascii="Arial" w:eastAsia="Calibri" w:hAnsi="Arial" w:cs="Arial"/>
        </w:rPr>
        <w:t>home</w:t>
      </w:r>
      <w:r w:rsidR="00AB3FAE">
        <w:rPr>
          <w:rFonts w:ascii="Arial" w:eastAsia="Calibri" w:hAnsi="Arial" w:cs="Arial"/>
        </w:rPr>
        <w:t xml:space="preserve"> a day </w:t>
      </w:r>
      <w:r w:rsidR="00E60A5C">
        <w:rPr>
          <w:rFonts w:ascii="Arial" w:eastAsia="Calibri" w:hAnsi="Arial" w:cs="Arial"/>
        </w:rPr>
        <w:t>later,</w:t>
      </w:r>
      <w:r w:rsidR="00AB3FAE">
        <w:rPr>
          <w:rFonts w:ascii="Arial" w:eastAsia="Calibri" w:hAnsi="Arial" w:cs="Arial"/>
        </w:rPr>
        <w:t xml:space="preserve"> </w:t>
      </w:r>
      <w:r w:rsidR="00E60A5C">
        <w:rPr>
          <w:rFonts w:ascii="Arial" w:eastAsia="Calibri" w:hAnsi="Arial" w:cs="Arial"/>
        </w:rPr>
        <w:t>s</w:t>
      </w:r>
      <w:r w:rsidR="00AB3FAE">
        <w:rPr>
          <w:rFonts w:ascii="Arial" w:eastAsia="Calibri" w:hAnsi="Arial" w:cs="Arial"/>
        </w:rPr>
        <w:t xml:space="preserve">he found that the handle of the bathroom window </w:t>
      </w:r>
      <w:r w:rsidR="003E2944">
        <w:rPr>
          <w:rFonts w:ascii="Arial" w:eastAsia="Calibri" w:hAnsi="Arial" w:cs="Arial"/>
        </w:rPr>
        <w:t xml:space="preserve">was </w:t>
      </w:r>
      <w:r w:rsidR="00AB3FAE">
        <w:rPr>
          <w:rFonts w:ascii="Arial" w:eastAsia="Calibri" w:hAnsi="Arial" w:cs="Arial"/>
        </w:rPr>
        <w:t>broken</w:t>
      </w:r>
      <w:r w:rsidR="00E60A5C">
        <w:rPr>
          <w:rFonts w:ascii="Arial" w:eastAsia="Calibri" w:hAnsi="Arial" w:cs="Arial"/>
        </w:rPr>
        <w:t xml:space="preserve">, and </w:t>
      </w:r>
      <w:r w:rsidR="00AB3FAE">
        <w:rPr>
          <w:rFonts w:ascii="Arial" w:eastAsia="Calibri" w:hAnsi="Arial" w:cs="Arial"/>
        </w:rPr>
        <w:t>the accused had put his hand through the window. When the prosecutor asked her how she knew this she said she had been told this by her neighbour. Once again, this hearsay evidence was allowed by the magistrate without obtaining an</w:t>
      </w:r>
      <w:r w:rsidR="00E60A5C">
        <w:rPr>
          <w:rFonts w:ascii="Arial" w:eastAsia="Calibri" w:hAnsi="Arial" w:cs="Arial"/>
        </w:rPr>
        <w:t>y</w:t>
      </w:r>
      <w:r w:rsidR="00AB3FAE">
        <w:rPr>
          <w:rFonts w:ascii="Arial" w:eastAsia="Calibri" w:hAnsi="Arial" w:cs="Arial"/>
        </w:rPr>
        <w:t xml:space="preserve"> indication</w:t>
      </w:r>
      <w:r w:rsidR="00E60A5C">
        <w:rPr>
          <w:rFonts w:ascii="Arial" w:eastAsia="Calibri" w:hAnsi="Arial" w:cs="Arial"/>
        </w:rPr>
        <w:t xml:space="preserve"> </w:t>
      </w:r>
      <w:r w:rsidR="00AB3FAE">
        <w:rPr>
          <w:rFonts w:ascii="Arial" w:eastAsia="Calibri" w:hAnsi="Arial" w:cs="Arial"/>
        </w:rPr>
        <w:t xml:space="preserve">from the prosecutor that the source thereof </w:t>
      </w:r>
      <w:r w:rsidR="003D2893">
        <w:rPr>
          <w:rFonts w:ascii="Arial" w:eastAsia="Calibri" w:hAnsi="Arial" w:cs="Arial"/>
        </w:rPr>
        <w:t xml:space="preserve">(the neighbour) </w:t>
      </w:r>
      <w:r w:rsidR="00AB3FAE">
        <w:rPr>
          <w:rFonts w:ascii="Arial" w:eastAsia="Calibri" w:hAnsi="Arial" w:cs="Arial"/>
        </w:rPr>
        <w:t>would be called to confirm it.</w:t>
      </w:r>
    </w:p>
    <w:p w14:paraId="4E9B9F5A" w14:textId="63991799" w:rsidR="00AB3FAE" w:rsidRDefault="008C795E" w:rsidP="008C795E">
      <w:pPr>
        <w:adjustRightInd w:val="0"/>
        <w:spacing w:after="0" w:line="360" w:lineRule="auto"/>
        <w:ind w:left="720" w:hanging="720"/>
        <w:contextualSpacing/>
        <w:jc w:val="both"/>
        <w:textAlignment w:val="baseline"/>
        <w:rPr>
          <w:rFonts w:ascii="Arial" w:eastAsia="Calibri" w:hAnsi="Arial" w:cs="Arial"/>
        </w:rPr>
      </w:pPr>
      <w:r>
        <w:rPr>
          <w:rFonts w:ascii="Arial" w:eastAsia="Calibri" w:hAnsi="Arial" w:cs="Arial"/>
        </w:rPr>
        <w:lastRenderedPageBreak/>
        <w:t>17.</w:t>
      </w:r>
      <w:r>
        <w:rPr>
          <w:rFonts w:ascii="Arial" w:eastAsia="Calibri" w:hAnsi="Arial" w:cs="Arial"/>
        </w:rPr>
        <w:tab/>
      </w:r>
      <w:r w:rsidR="00AB3FAE">
        <w:rPr>
          <w:rFonts w:ascii="Arial" w:eastAsia="Calibri" w:hAnsi="Arial" w:cs="Arial"/>
        </w:rPr>
        <w:t xml:space="preserve">At the conclusion of her evidence in chief </w:t>
      </w:r>
      <w:r w:rsidR="003D2893">
        <w:rPr>
          <w:rFonts w:ascii="Arial" w:eastAsia="Calibri" w:hAnsi="Arial" w:cs="Arial"/>
        </w:rPr>
        <w:t xml:space="preserve">the </w:t>
      </w:r>
      <w:r w:rsidR="00AB3FAE">
        <w:rPr>
          <w:rFonts w:ascii="Arial" w:eastAsia="Calibri" w:hAnsi="Arial" w:cs="Arial"/>
        </w:rPr>
        <w:t xml:space="preserve">magistrate indicated that the accused </w:t>
      </w:r>
      <w:r w:rsidR="00E60A5C">
        <w:rPr>
          <w:rFonts w:ascii="Arial" w:eastAsia="Calibri" w:hAnsi="Arial" w:cs="Arial"/>
        </w:rPr>
        <w:t xml:space="preserve">could </w:t>
      </w:r>
      <w:r w:rsidR="00AB3FAE">
        <w:rPr>
          <w:rFonts w:ascii="Arial" w:eastAsia="Calibri" w:hAnsi="Arial" w:cs="Arial"/>
        </w:rPr>
        <w:t xml:space="preserve">cross-examine </w:t>
      </w:r>
      <w:r w:rsidR="00E60A5C">
        <w:rPr>
          <w:rFonts w:ascii="Arial" w:eastAsia="Calibri" w:hAnsi="Arial" w:cs="Arial"/>
        </w:rPr>
        <w:t>her</w:t>
      </w:r>
      <w:r w:rsidR="00AB3FAE">
        <w:rPr>
          <w:rFonts w:ascii="Arial" w:eastAsia="Calibri" w:hAnsi="Arial" w:cs="Arial"/>
        </w:rPr>
        <w:t xml:space="preserve">. At the outset the accused attempted to put to her that she </w:t>
      </w:r>
      <w:r w:rsidR="00E60A5C">
        <w:rPr>
          <w:rFonts w:ascii="Arial" w:eastAsia="Calibri" w:hAnsi="Arial" w:cs="Arial"/>
        </w:rPr>
        <w:t xml:space="preserve">had not been </w:t>
      </w:r>
      <w:r w:rsidR="00AB3FAE">
        <w:rPr>
          <w:rFonts w:ascii="Arial" w:eastAsia="Calibri" w:hAnsi="Arial" w:cs="Arial"/>
        </w:rPr>
        <w:t xml:space="preserve">at home </w:t>
      </w:r>
      <w:r w:rsidR="00246CDF">
        <w:rPr>
          <w:rFonts w:ascii="Arial" w:eastAsia="Calibri" w:hAnsi="Arial" w:cs="Arial"/>
        </w:rPr>
        <w:t>at the time</w:t>
      </w:r>
      <w:r w:rsidR="00AB3FAE">
        <w:rPr>
          <w:rFonts w:ascii="Arial" w:eastAsia="Calibri" w:hAnsi="Arial" w:cs="Arial"/>
        </w:rPr>
        <w:t xml:space="preserve"> of the alleged incident and </w:t>
      </w:r>
      <w:r w:rsidR="00E60A5C">
        <w:rPr>
          <w:rFonts w:ascii="Arial" w:eastAsia="Calibri" w:hAnsi="Arial" w:cs="Arial"/>
        </w:rPr>
        <w:t>when he</w:t>
      </w:r>
      <w:r w:rsidR="003E2944">
        <w:rPr>
          <w:rFonts w:ascii="Arial" w:eastAsia="Calibri" w:hAnsi="Arial" w:cs="Arial"/>
        </w:rPr>
        <w:t xml:space="preserve"> had seen</w:t>
      </w:r>
      <w:r w:rsidR="00E60A5C">
        <w:rPr>
          <w:rFonts w:ascii="Arial" w:eastAsia="Calibri" w:hAnsi="Arial" w:cs="Arial"/>
        </w:rPr>
        <w:t xml:space="preserve"> her at her friend’s house she was </w:t>
      </w:r>
      <w:r w:rsidR="00AB3FAE">
        <w:rPr>
          <w:rFonts w:ascii="Arial" w:eastAsia="Calibri" w:hAnsi="Arial" w:cs="Arial"/>
        </w:rPr>
        <w:t>under the influence of alcohol</w:t>
      </w:r>
      <w:r w:rsidR="00E60A5C">
        <w:rPr>
          <w:rFonts w:ascii="Arial" w:eastAsia="Calibri" w:hAnsi="Arial" w:cs="Arial"/>
        </w:rPr>
        <w:t xml:space="preserve">, </w:t>
      </w:r>
      <w:r w:rsidR="00AB3FAE">
        <w:rPr>
          <w:rFonts w:ascii="Arial" w:eastAsia="Calibri" w:hAnsi="Arial" w:cs="Arial"/>
        </w:rPr>
        <w:t>but the court repeatedly intervened</w:t>
      </w:r>
      <w:r w:rsidR="00E60A5C">
        <w:rPr>
          <w:rFonts w:ascii="Arial" w:eastAsia="Calibri" w:hAnsi="Arial" w:cs="Arial"/>
        </w:rPr>
        <w:t xml:space="preserve"> in this line of questioning, which was then abandoned</w:t>
      </w:r>
      <w:r w:rsidR="00AB3FAE">
        <w:rPr>
          <w:rFonts w:ascii="Arial" w:eastAsia="Calibri" w:hAnsi="Arial" w:cs="Arial"/>
        </w:rPr>
        <w:t xml:space="preserve">. The magistrate </w:t>
      </w:r>
      <w:r w:rsidR="00E60A5C">
        <w:rPr>
          <w:rFonts w:ascii="Arial" w:eastAsia="Calibri" w:hAnsi="Arial" w:cs="Arial"/>
        </w:rPr>
        <w:t xml:space="preserve">then </w:t>
      </w:r>
      <w:r w:rsidR="00AB3FAE">
        <w:rPr>
          <w:rFonts w:ascii="Arial" w:eastAsia="Calibri" w:hAnsi="Arial" w:cs="Arial"/>
        </w:rPr>
        <w:t>allowed the cross</w:t>
      </w:r>
      <w:r w:rsidR="00E60A5C">
        <w:rPr>
          <w:rFonts w:ascii="Arial" w:eastAsia="Calibri" w:hAnsi="Arial" w:cs="Arial"/>
        </w:rPr>
        <w:t>-</w:t>
      </w:r>
      <w:r w:rsidR="00AB3FAE">
        <w:rPr>
          <w:rFonts w:ascii="Arial" w:eastAsia="Calibri" w:hAnsi="Arial" w:cs="Arial"/>
        </w:rPr>
        <w:t>examination to meander into an attempt</w:t>
      </w:r>
      <w:r w:rsidR="001129D7">
        <w:rPr>
          <w:rFonts w:ascii="Arial" w:eastAsia="Calibri" w:hAnsi="Arial" w:cs="Arial"/>
        </w:rPr>
        <w:t>,</w:t>
      </w:r>
      <w:r w:rsidR="00AB3FAE">
        <w:rPr>
          <w:rFonts w:ascii="Arial" w:eastAsia="Calibri" w:hAnsi="Arial" w:cs="Arial"/>
        </w:rPr>
        <w:t xml:space="preserve"> by the accused</w:t>
      </w:r>
      <w:r w:rsidR="00E60A5C">
        <w:rPr>
          <w:rFonts w:ascii="Arial" w:eastAsia="Calibri" w:hAnsi="Arial" w:cs="Arial"/>
        </w:rPr>
        <w:t>,</w:t>
      </w:r>
      <w:r w:rsidR="00AB3FAE">
        <w:rPr>
          <w:rFonts w:ascii="Arial" w:eastAsia="Calibri" w:hAnsi="Arial" w:cs="Arial"/>
        </w:rPr>
        <w:t xml:space="preserve"> to canvass the underlying family issues between him and his mother rather than to focus on the evidence which she gave. </w:t>
      </w:r>
      <w:r w:rsidR="00E60A5C">
        <w:rPr>
          <w:rFonts w:ascii="Arial" w:eastAsia="Calibri" w:hAnsi="Arial" w:cs="Arial"/>
        </w:rPr>
        <w:t>Although the m</w:t>
      </w:r>
      <w:r w:rsidR="00AB3FAE">
        <w:rPr>
          <w:rFonts w:ascii="Arial" w:eastAsia="Calibri" w:hAnsi="Arial" w:cs="Arial"/>
        </w:rPr>
        <w:t>agistrate did ask the accused</w:t>
      </w:r>
      <w:r w:rsidR="003E2944">
        <w:rPr>
          <w:rFonts w:ascii="Arial" w:eastAsia="Calibri" w:hAnsi="Arial" w:cs="Arial"/>
        </w:rPr>
        <w:t>,</w:t>
      </w:r>
      <w:r w:rsidR="00AB3FAE">
        <w:rPr>
          <w:rFonts w:ascii="Arial" w:eastAsia="Calibri" w:hAnsi="Arial" w:cs="Arial"/>
        </w:rPr>
        <w:t xml:space="preserve"> on more than one occasion</w:t>
      </w:r>
      <w:r w:rsidR="003E2944">
        <w:rPr>
          <w:rFonts w:ascii="Arial" w:eastAsia="Calibri" w:hAnsi="Arial" w:cs="Arial"/>
        </w:rPr>
        <w:t>,</w:t>
      </w:r>
      <w:r w:rsidR="00AB3FAE">
        <w:rPr>
          <w:rFonts w:ascii="Arial" w:eastAsia="Calibri" w:hAnsi="Arial" w:cs="Arial"/>
        </w:rPr>
        <w:t xml:space="preserve"> whether he had any questions in relation to the charges</w:t>
      </w:r>
      <w:r w:rsidR="00E60A5C">
        <w:rPr>
          <w:rFonts w:ascii="Arial" w:eastAsia="Calibri" w:hAnsi="Arial" w:cs="Arial"/>
        </w:rPr>
        <w:t>, he</w:t>
      </w:r>
      <w:r w:rsidR="00AB3FAE">
        <w:rPr>
          <w:rFonts w:ascii="Arial" w:eastAsia="Calibri" w:hAnsi="Arial" w:cs="Arial"/>
        </w:rPr>
        <w:t xml:space="preserve"> did not</w:t>
      </w:r>
      <w:r w:rsidR="00497407">
        <w:rPr>
          <w:rFonts w:ascii="Arial" w:eastAsia="Calibri" w:hAnsi="Arial" w:cs="Arial"/>
        </w:rPr>
        <w:t xml:space="preserve"> inform the accused that he was required to put his </w:t>
      </w:r>
      <w:r w:rsidR="003E2944">
        <w:rPr>
          <w:rFonts w:ascii="Arial" w:eastAsia="Calibri" w:hAnsi="Arial" w:cs="Arial"/>
        </w:rPr>
        <w:t>case</w:t>
      </w:r>
      <w:r w:rsidR="00497407">
        <w:rPr>
          <w:rFonts w:ascii="Arial" w:eastAsia="Calibri" w:hAnsi="Arial" w:cs="Arial"/>
        </w:rPr>
        <w:t xml:space="preserve"> to his mother</w:t>
      </w:r>
      <w:r w:rsidR="00E60A5C">
        <w:rPr>
          <w:rFonts w:ascii="Arial" w:eastAsia="Calibri" w:hAnsi="Arial" w:cs="Arial"/>
        </w:rPr>
        <w:t xml:space="preserve"> in relation to what had occurred between him and his sister</w:t>
      </w:r>
      <w:r w:rsidR="00497407">
        <w:rPr>
          <w:rFonts w:ascii="Arial" w:eastAsia="Calibri" w:hAnsi="Arial" w:cs="Arial"/>
        </w:rPr>
        <w:t xml:space="preserve">. The nearest that the </w:t>
      </w:r>
      <w:r w:rsidR="00EC06DC">
        <w:rPr>
          <w:rFonts w:ascii="Arial" w:eastAsia="Calibri" w:hAnsi="Arial" w:cs="Arial"/>
        </w:rPr>
        <w:t xml:space="preserve">accused </w:t>
      </w:r>
      <w:r w:rsidR="00497407">
        <w:rPr>
          <w:rFonts w:ascii="Arial" w:eastAsia="Calibri" w:hAnsi="Arial" w:cs="Arial"/>
        </w:rPr>
        <w:t>came to dealing with the charges was when</w:t>
      </w:r>
      <w:r w:rsidR="00EC06DC">
        <w:rPr>
          <w:rFonts w:ascii="Arial" w:eastAsia="Calibri" w:hAnsi="Arial" w:cs="Arial"/>
        </w:rPr>
        <w:t xml:space="preserve"> he</w:t>
      </w:r>
      <w:r w:rsidR="00497407">
        <w:rPr>
          <w:rFonts w:ascii="Arial" w:eastAsia="Calibri" w:hAnsi="Arial" w:cs="Arial"/>
        </w:rPr>
        <w:t xml:space="preserve"> put</w:t>
      </w:r>
      <w:r w:rsidR="00EC06DC">
        <w:rPr>
          <w:rFonts w:ascii="Arial" w:eastAsia="Calibri" w:hAnsi="Arial" w:cs="Arial"/>
        </w:rPr>
        <w:t xml:space="preserve"> to his mother </w:t>
      </w:r>
      <w:r w:rsidR="00497407">
        <w:rPr>
          <w:rFonts w:ascii="Arial" w:eastAsia="Calibri" w:hAnsi="Arial" w:cs="Arial"/>
        </w:rPr>
        <w:t xml:space="preserve">that he did not break the kettle and that </w:t>
      </w:r>
      <w:r w:rsidR="00EC06DC">
        <w:rPr>
          <w:rFonts w:ascii="Arial" w:eastAsia="Calibri" w:hAnsi="Arial" w:cs="Arial"/>
        </w:rPr>
        <w:t>his</w:t>
      </w:r>
      <w:r w:rsidR="00497407">
        <w:rPr>
          <w:rFonts w:ascii="Arial" w:eastAsia="Calibri" w:hAnsi="Arial" w:cs="Arial"/>
        </w:rPr>
        <w:t xml:space="preserve"> sister had done so when she threw it to the floor, which </w:t>
      </w:r>
      <w:r w:rsidR="003E2944">
        <w:rPr>
          <w:rFonts w:ascii="Arial" w:eastAsia="Calibri" w:hAnsi="Arial" w:cs="Arial"/>
        </w:rPr>
        <w:t xml:space="preserve">he claimed </w:t>
      </w:r>
      <w:r w:rsidR="00497407">
        <w:rPr>
          <w:rFonts w:ascii="Arial" w:eastAsia="Calibri" w:hAnsi="Arial" w:cs="Arial"/>
        </w:rPr>
        <w:t>had resulted in his feet be</w:t>
      </w:r>
      <w:r w:rsidR="00EC06DC">
        <w:rPr>
          <w:rFonts w:ascii="Arial" w:eastAsia="Calibri" w:hAnsi="Arial" w:cs="Arial"/>
        </w:rPr>
        <w:t>ing</w:t>
      </w:r>
      <w:r w:rsidR="00497407">
        <w:rPr>
          <w:rFonts w:ascii="Arial" w:eastAsia="Calibri" w:hAnsi="Arial" w:cs="Arial"/>
        </w:rPr>
        <w:t xml:space="preserve"> burnt, which his mother </w:t>
      </w:r>
      <w:r w:rsidR="00EC06DC">
        <w:rPr>
          <w:rFonts w:ascii="Arial" w:eastAsia="Calibri" w:hAnsi="Arial" w:cs="Arial"/>
        </w:rPr>
        <w:t>was unable</w:t>
      </w:r>
      <w:r w:rsidR="00497407">
        <w:rPr>
          <w:rFonts w:ascii="Arial" w:eastAsia="Calibri" w:hAnsi="Arial" w:cs="Arial"/>
        </w:rPr>
        <w:t xml:space="preserve"> to </w:t>
      </w:r>
      <w:r w:rsidR="00246CDF">
        <w:rPr>
          <w:rFonts w:ascii="Arial" w:eastAsia="Calibri" w:hAnsi="Arial" w:cs="Arial"/>
        </w:rPr>
        <w:t>respond</w:t>
      </w:r>
      <w:r w:rsidR="00497407">
        <w:rPr>
          <w:rFonts w:ascii="Arial" w:eastAsia="Calibri" w:hAnsi="Arial" w:cs="Arial"/>
        </w:rPr>
        <w:t xml:space="preserve"> to. </w:t>
      </w:r>
      <w:r w:rsidR="00EC06DC">
        <w:rPr>
          <w:rFonts w:ascii="Arial" w:eastAsia="Calibri" w:hAnsi="Arial" w:cs="Arial"/>
        </w:rPr>
        <w:t>The accused did indicate</w:t>
      </w:r>
      <w:r w:rsidR="00497407">
        <w:rPr>
          <w:rFonts w:ascii="Arial" w:eastAsia="Calibri" w:hAnsi="Arial" w:cs="Arial"/>
        </w:rPr>
        <w:t xml:space="preserve"> that he had broken the bathroom window</w:t>
      </w:r>
      <w:r w:rsidR="00EC06DC">
        <w:rPr>
          <w:rFonts w:ascii="Arial" w:eastAsia="Calibri" w:hAnsi="Arial" w:cs="Arial"/>
        </w:rPr>
        <w:t xml:space="preserve"> and his </w:t>
      </w:r>
      <w:r w:rsidR="00497407">
        <w:rPr>
          <w:rFonts w:ascii="Arial" w:eastAsia="Calibri" w:hAnsi="Arial" w:cs="Arial"/>
        </w:rPr>
        <w:t xml:space="preserve">mother said that she had replaced </w:t>
      </w:r>
      <w:r w:rsidR="003E2944">
        <w:rPr>
          <w:rFonts w:ascii="Arial" w:eastAsia="Calibri" w:hAnsi="Arial" w:cs="Arial"/>
        </w:rPr>
        <w:t xml:space="preserve">the </w:t>
      </w:r>
      <w:r w:rsidR="00497407">
        <w:rPr>
          <w:rFonts w:ascii="Arial" w:eastAsia="Calibri" w:hAnsi="Arial" w:cs="Arial"/>
        </w:rPr>
        <w:t xml:space="preserve">pane and had bought a new </w:t>
      </w:r>
      <w:r w:rsidR="0005703B">
        <w:rPr>
          <w:rFonts w:ascii="Arial" w:eastAsia="Calibri" w:hAnsi="Arial" w:cs="Arial"/>
        </w:rPr>
        <w:t>kettle</w:t>
      </w:r>
      <w:r w:rsidR="00EB19EC">
        <w:rPr>
          <w:rFonts w:ascii="Arial" w:eastAsia="Calibri" w:hAnsi="Arial" w:cs="Arial"/>
        </w:rPr>
        <w:t>,</w:t>
      </w:r>
      <w:r w:rsidR="0005703B">
        <w:rPr>
          <w:rFonts w:ascii="Arial" w:eastAsia="Calibri" w:hAnsi="Arial" w:cs="Arial"/>
        </w:rPr>
        <w:t xml:space="preserve"> and</w:t>
      </w:r>
      <w:r w:rsidR="00497407">
        <w:rPr>
          <w:rFonts w:ascii="Arial" w:eastAsia="Calibri" w:hAnsi="Arial" w:cs="Arial"/>
        </w:rPr>
        <w:t xml:space="preserve"> </w:t>
      </w:r>
      <w:r w:rsidR="00EB19EC">
        <w:rPr>
          <w:rFonts w:ascii="Arial" w:eastAsia="Calibri" w:hAnsi="Arial" w:cs="Arial"/>
        </w:rPr>
        <w:t>t</w:t>
      </w:r>
      <w:r w:rsidR="00497407">
        <w:rPr>
          <w:rFonts w:ascii="Arial" w:eastAsia="Calibri" w:hAnsi="Arial" w:cs="Arial"/>
        </w:rPr>
        <w:t xml:space="preserve">he accused had given her his bank card </w:t>
      </w:r>
      <w:r w:rsidR="00EC06DC">
        <w:rPr>
          <w:rFonts w:ascii="Arial" w:eastAsia="Calibri" w:hAnsi="Arial" w:cs="Arial"/>
        </w:rPr>
        <w:t xml:space="preserve">so that she could </w:t>
      </w:r>
      <w:r w:rsidR="00497407">
        <w:rPr>
          <w:rFonts w:ascii="Arial" w:eastAsia="Calibri" w:hAnsi="Arial" w:cs="Arial"/>
        </w:rPr>
        <w:t>reimburse</w:t>
      </w:r>
      <w:r w:rsidR="003E2944">
        <w:rPr>
          <w:rFonts w:ascii="Arial" w:eastAsia="Calibri" w:hAnsi="Arial" w:cs="Arial"/>
        </w:rPr>
        <w:t xml:space="preserve"> herself for</w:t>
      </w:r>
      <w:r w:rsidR="00497407">
        <w:rPr>
          <w:rFonts w:ascii="Arial" w:eastAsia="Calibri" w:hAnsi="Arial" w:cs="Arial"/>
        </w:rPr>
        <w:t xml:space="preserve"> these expenses.</w:t>
      </w:r>
      <w:r w:rsidR="00EC06DC">
        <w:rPr>
          <w:rFonts w:ascii="Arial" w:eastAsia="Calibri" w:hAnsi="Arial" w:cs="Arial"/>
        </w:rPr>
        <w:t xml:space="preserve"> She had however not drawn </w:t>
      </w:r>
      <w:r w:rsidR="00342947">
        <w:rPr>
          <w:rFonts w:ascii="Arial" w:eastAsia="Calibri" w:hAnsi="Arial" w:cs="Arial"/>
        </w:rPr>
        <w:t xml:space="preserve">any </w:t>
      </w:r>
      <w:r w:rsidR="00EC06DC">
        <w:rPr>
          <w:rFonts w:ascii="Arial" w:eastAsia="Calibri" w:hAnsi="Arial" w:cs="Arial"/>
        </w:rPr>
        <w:t>money from the accused’s account for this.</w:t>
      </w:r>
    </w:p>
    <w:p w14:paraId="490CF22E" w14:textId="7D0929E4" w:rsidR="00497407" w:rsidRDefault="008C795E" w:rsidP="008C795E">
      <w:pPr>
        <w:adjustRightInd w:val="0"/>
        <w:spacing w:after="0" w:line="360" w:lineRule="auto"/>
        <w:ind w:left="720" w:hanging="720"/>
        <w:contextualSpacing/>
        <w:jc w:val="both"/>
        <w:textAlignment w:val="baseline"/>
        <w:rPr>
          <w:rFonts w:ascii="Arial" w:eastAsia="Calibri" w:hAnsi="Arial" w:cs="Arial"/>
        </w:rPr>
      </w:pPr>
      <w:r>
        <w:rPr>
          <w:rFonts w:ascii="Arial" w:eastAsia="Calibri" w:hAnsi="Arial" w:cs="Arial"/>
        </w:rPr>
        <w:t>18.</w:t>
      </w:r>
      <w:r>
        <w:rPr>
          <w:rFonts w:ascii="Arial" w:eastAsia="Calibri" w:hAnsi="Arial" w:cs="Arial"/>
        </w:rPr>
        <w:tab/>
      </w:r>
      <w:r w:rsidR="00EC06DC">
        <w:rPr>
          <w:rFonts w:ascii="Arial" w:eastAsia="Calibri" w:hAnsi="Arial" w:cs="Arial"/>
        </w:rPr>
        <w:t>At the conc</w:t>
      </w:r>
      <w:r w:rsidR="00497407">
        <w:rPr>
          <w:rFonts w:ascii="Arial" w:eastAsia="Calibri" w:hAnsi="Arial" w:cs="Arial"/>
        </w:rPr>
        <w:t xml:space="preserve">lusion of her evidence the prosecutor asked for the matter to be postponed </w:t>
      </w:r>
      <w:r w:rsidR="00EC06DC">
        <w:rPr>
          <w:rFonts w:ascii="Arial" w:eastAsia="Calibri" w:hAnsi="Arial" w:cs="Arial"/>
        </w:rPr>
        <w:t>so</w:t>
      </w:r>
      <w:r w:rsidR="00497407">
        <w:rPr>
          <w:rFonts w:ascii="Arial" w:eastAsia="Calibri" w:hAnsi="Arial" w:cs="Arial"/>
        </w:rPr>
        <w:t xml:space="preserve"> that she could call a witness who </w:t>
      </w:r>
      <w:r w:rsidR="00EC06DC">
        <w:rPr>
          <w:rFonts w:ascii="Arial" w:eastAsia="Calibri" w:hAnsi="Arial" w:cs="Arial"/>
        </w:rPr>
        <w:t xml:space="preserve">was </w:t>
      </w:r>
      <w:r w:rsidR="00497407">
        <w:rPr>
          <w:rFonts w:ascii="Arial" w:eastAsia="Calibri" w:hAnsi="Arial" w:cs="Arial"/>
        </w:rPr>
        <w:t xml:space="preserve">17 years of age. </w:t>
      </w:r>
      <w:r w:rsidR="00DD0B6D">
        <w:rPr>
          <w:rFonts w:ascii="Arial" w:eastAsia="Calibri" w:hAnsi="Arial" w:cs="Arial"/>
        </w:rPr>
        <w:t xml:space="preserve">In all likelihood this was an indication that </w:t>
      </w:r>
      <w:r w:rsidR="00EC06DC">
        <w:rPr>
          <w:rFonts w:ascii="Arial" w:eastAsia="Calibri" w:hAnsi="Arial" w:cs="Arial"/>
        </w:rPr>
        <w:t>the state intended to call</w:t>
      </w:r>
      <w:r w:rsidR="00497407">
        <w:rPr>
          <w:rFonts w:ascii="Arial" w:eastAsia="Calibri" w:hAnsi="Arial" w:cs="Arial"/>
        </w:rPr>
        <w:t xml:space="preserve"> the accused</w:t>
      </w:r>
      <w:r w:rsidR="00EC06DC">
        <w:rPr>
          <w:rFonts w:ascii="Arial" w:eastAsia="Calibri" w:hAnsi="Arial" w:cs="Arial"/>
        </w:rPr>
        <w:t>’s</w:t>
      </w:r>
      <w:r w:rsidR="00497407">
        <w:rPr>
          <w:rFonts w:ascii="Arial" w:eastAsia="Calibri" w:hAnsi="Arial" w:cs="Arial"/>
        </w:rPr>
        <w:t xml:space="preserve"> sister. The matter was consequently remanded to 29 November 2023 </w:t>
      </w:r>
      <w:r w:rsidR="00EC06DC">
        <w:rPr>
          <w:rFonts w:ascii="Arial" w:eastAsia="Calibri" w:hAnsi="Arial" w:cs="Arial"/>
        </w:rPr>
        <w:t>for</w:t>
      </w:r>
      <w:r w:rsidR="00497407">
        <w:rPr>
          <w:rFonts w:ascii="Arial" w:eastAsia="Calibri" w:hAnsi="Arial" w:cs="Arial"/>
        </w:rPr>
        <w:t xml:space="preserve"> further trial, at which time the prosecutor indicated that she was no longer intending to call any further witnesses in respect of the 1</w:t>
      </w:r>
      <w:r w:rsidR="00497407" w:rsidRPr="00497407">
        <w:rPr>
          <w:rFonts w:ascii="Arial" w:eastAsia="Calibri" w:hAnsi="Arial" w:cs="Arial"/>
          <w:vertAlign w:val="superscript"/>
        </w:rPr>
        <w:t>st</w:t>
      </w:r>
      <w:r w:rsidR="00497407">
        <w:rPr>
          <w:rFonts w:ascii="Arial" w:eastAsia="Calibri" w:hAnsi="Arial" w:cs="Arial"/>
        </w:rPr>
        <w:t xml:space="preserve"> charge and was closing the </w:t>
      </w:r>
      <w:r w:rsidR="00EC06DC">
        <w:rPr>
          <w:rFonts w:ascii="Arial" w:eastAsia="Calibri" w:hAnsi="Arial" w:cs="Arial"/>
        </w:rPr>
        <w:t>state’s</w:t>
      </w:r>
      <w:r w:rsidR="00497407">
        <w:rPr>
          <w:rFonts w:ascii="Arial" w:eastAsia="Calibri" w:hAnsi="Arial" w:cs="Arial"/>
        </w:rPr>
        <w:t xml:space="preserve"> case</w:t>
      </w:r>
      <w:r w:rsidR="00DD0B6D">
        <w:rPr>
          <w:rFonts w:ascii="Arial" w:eastAsia="Calibri" w:hAnsi="Arial" w:cs="Arial"/>
        </w:rPr>
        <w:t xml:space="preserve">, and </w:t>
      </w:r>
      <w:r w:rsidR="00497407">
        <w:rPr>
          <w:rFonts w:ascii="Arial" w:eastAsia="Calibri" w:hAnsi="Arial" w:cs="Arial"/>
        </w:rPr>
        <w:t xml:space="preserve">requested that </w:t>
      </w:r>
      <w:r w:rsidR="00EC06DC">
        <w:rPr>
          <w:rFonts w:ascii="Arial" w:eastAsia="Calibri" w:hAnsi="Arial" w:cs="Arial"/>
        </w:rPr>
        <w:t xml:space="preserve">the matter </w:t>
      </w:r>
      <w:r w:rsidR="00497407">
        <w:rPr>
          <w:rFonts w:ascii="Arial" w:eastAsia="Calibri" w:hAnsi="Arial" w:cs="Arial"/>
        </w:rPr>
        <w:t xml:space="preserve">be finalised in terms of </w:t>
      </w:r>
      <w:r w:rsidR="00EC06DC">
        <w:rPr>
          <w:rFonts w:ascii="Arial" w:eastAsia="Calibri" w:hAnsi="Arial" w:cs="Arial"/>
        </w:rPr>
        <w:t xml:space="preserve">s </w:t>
      </w:r>
      <w:r w:rsidR="00497407">
        <w:rPr>
          <w:rFonts w:ascii="Arial" w:eastAsia="Calibri" w:hAnsi="Arial" w:cs="Arial"/>
        </w:rPr>
        <w:t>112(</w:t>
      </w:r>
      <w:r w:rsidR="00EC06DC">
        <w:rPr>
          <w:rFonts w:ascii="Arial" w:eastAsia="Calibri" w:hAnsi="Arial" w:cs="Arial"/>
        </w:rPr>
        <w:t>1</w:t>
      </w:r>
      <w:r w:rsidR="00497407">
        <w:rPr>
          <w:rFonts w:ascii="Arial" w:eastAsia="Calibri" w:hAnsi="Arial" w:cs="Arial"/>
        </w:rPr>
        <w:t>)</w:t>
      </w:r>
      <w:r w:rsidR="00EC06DC">
        <w:rPr>
          <w:rFonts w:ascii="Arial" w:eastAsia="Calibri" w:hAnsi="Arial" w:cs="Arial"/>
        </w:rPr>
        <w:t>(b</w:t>
      </w:r>
      <w:r w:rsidR="00497407">
        <w:rPr>
          <w:rFonts w:ascii="Arial" w:eastAsia="Calibri" w:hAnsi="Arial" w:cs="Arial"/>
        </w:rPr>
        <w:t xml:space="preserve">) </w:t>
      </w:r>
      <w:r w:rsidR="00EC06DC">
        <w:rPr>
          <w:rFonts w:ascii="Arial" w:eastAsia="Calibri" w:hAnsi="Arial" w:cs="Arial"/>
        </w:rPr>
        <w:t xml:space="preserve">of the CPA </w:t>
      </w:r>
      <w:r w:rsidR="00497407">
        <w:rPr>
          <w:rFonts w:ascii="Arial" w:eastAsia="Calibri" w:hAnsi="Arial" w:cs="Arial"/>
        </w:rPr>
        <w:t xml:space="preserve">i.e. that the court </w:t>
      </w:r>
      <w:r w:rsidR="00EC06DC">
        <w:rPr>
          <w:rFonts w:ascii="Arial" w:eastAsia="Calibri" w:hAnsi="Arial" w:cs="Arial"/>
        </w:rPr>
        <w:t xml:space="preserve">should </w:t>
      </w:r>
      <w:r w:rsidR="00497407">
        <w:rPr>
          <w:rFonts w:ascii="Arial" w:eastAsia="Calibri" w:hAnsi="Arial" w:cs="Arial"/>
        </w:rPr>
        <w:t>question the accused in order to determine whether he admitted all the necessary elements of th</w:t>
      </w:r>
      <w:r w:rsidR="00EC06DC">
        <w:rPr>
          <w:rFonts w:ascii="Arial" w:eastAsia="Calibri" w:hAnsi="Arial" w:cs="Arial"/>
        </w:rPr>
        <w:t>e</w:t>
      </w:r>
      <w:r w:rsidR="00497407">
        <w:rPr>
          <w:rFonts w:ascii="Arial" w:eastAsia="Calibri" w:hAnsi="Arial" w:cs="Arial"/>
        </w:rPr>
        <w:t xml:space="preserve"> charge</w:t>
      </w:r>
      <w:r w:rsidR="00EC06DC">
        <w:rPr>
          <w:rFonts w:ascii="Arial" w:eastAsia="Calibri" w:hAnsi="Arial" w:cs="Arial"/>
        </w:rPr>
        <w:t>s to which he had pleaded guilty</w:t>
      </w:r>
      <w:r w:rsidR="00497407">
        <w:rPr>
          <w:rFonts w:ascii="Arial" w:eastAsia="Calibri" w:hAnsi="Arial" w:cs="Arial"/>
        </w:rPr>
        <w:t>. On what basis the prosecutor sought to invoke th</w:t>
      </w:r>
      <w:r w:rsidR="00E467BC">
        <w:rPr>
          <w:rFonts w:ascii="Arial" w:eastAsia="Calibri" w:hAnsi="Arial" w:cs="Arial"/>
        </w:rPr>
        <w:t>e</w:t>
      </w:r>
      <w:r w:rsidR="00497407">
        <w:rPr>
          <w:rFonts w:ascii="Arial" w:eastAsia="Calibri" w:hAnsi="Arial" w:cs="Arial"/>
        </w:rPr>
        <w:t xml:space="preserve"> provision is not apparent. It is of application at the time when an accused </w:t>
      </w:r>
      <w:r w:rsidR="003E2944">
        <w:rPr>
          <w:rFonts w:ascii="Arial" w:eastAsia="Calibri" w:hAnsi="Arial" w:cs="Arial"/>
        </w:rPr>
        <w:t xml:space="preserve">first </w:t>
      </w:r>
      <w:r w:rsidR="00497407">
        <w:rPr>
          <w:rFonts w:ascii="Arial" w:eastAsia="Calibri" w:hAnsi="Arial" w:cs="Arial"/>
        </w:rPr>
        <w:t xml:space="preserve">pleads guilty to </w:t>
      </w:r>
      <w:r w:rsidR="00E467BC">
        <w:rPr>
          <w:rFonts w:ascii="Arial" w:eastAsia="Calibri" w:hAnsi="Arial" w:cs="Arial"/>
        </w:rPr>
        <w:t>an</w:t>
      </w:r>
      <w:r w:rsidR="00497407">
        <w:rPr>
          <w:rFonts w:ascii="Arial" w:eastAsia="Calibri" w:hAnsi="Arial" w:cs="Arial"/>
        </w:rPr>
        <w:t xml:space="preserve"> offence with which they are </w:t>
      </w:r>
      <w:r w:rsidR="00E467BC">
        <w:rPr>
          <w:rFonts w:ascii="Arial" w:eastAsia="Calibri" w:hAnsi="Arial" w:cs="Arial"/>
        </w:rPr>
        <w:t>charged,</w:t>
      </w:r>
      <w:r w:rsidR="00497407">
        <w:rPr>
          <w:rFonts w:ascii="Arial" w:eastAsia="Calibri" w:hAnsi="Arial" w:cs="Arial"/>
        </w:rPr>
        <w:t xml:space="preserve"> and the prosecutor accepts the</w:t>
      </w:r>
      <w:r w:rsidR="00E467BC">
        <w:rPr>
          <w:rFonts w:ascii="Arial" w:eastAsia="Calibri" w:hAnsi="Arial" w:cs="Arial"/>
        </w:rPr>
        <w:t>ir</w:t>
      </w:r>
      <w:r w:rsidR="00497407">
        <w:rPr>
          <w:rFonts w:ascii="Arial" w:eastAsia="Calibri" w:hAnsi="Arial" w:cs="Arial"/>
        </w:rPr>
        <w:t xml:space="preserve"> plea. It does not find application when a prosecutor seemingly does not accept a guilty plea and chooses to </w:t>
      </w:r>
      <w:r w:rsidR="00B4033A">
        <w:rPr>
          <w:rFonts w:ascii="Arial" w:eastAsia="Calibri" w:hAnsi="Arial" w:cs="Arial"/>
        </w:rPr>
        <w:t>present</w:t>
      </w:r>
      <w:r w:rsidR="00497407">
        <w:rPr>
          <w:rFonts w:ascii="Arial" w:eastAsia="Calibri" w:hAnsi="Arial" w:cs="Arial"/>
        </w:rPr>
        <w:t xml:space="preserve"> evidence</w:t>
      </w:r>
      <w:r w:rsidR="00B4033A">
        <w:rPr>
          <w:rFonts w:ascii="Arial" w:eastAsia="Calibri" w:hAnsi="Arial" w:cs="Arial"/>
        </w:rPr>
        <w:t xml:space="preserve"> to prove a case against the </w:t>
      </w:r>
      <w:r w:rsidR="00B4033A">
        <w:rPr>
          <w:rFonts w:ascii="Arial" w:eastAsia="Calibri" w:hAnsi="Arial" w:cs="Arial"/>
        </w:rPr>
        <w:lastRenderedPageBreak/>
        <w:t>accused</w:t>
      </w:r>
      <w:r w:rsidR="00497407">
        <w:rPr>
          <w:rFonts w:ascii="Arial" w:eastAsia="Calibri" w:hAnsi="Arial" w:cs="Arial"/>
        </w:rPr>
        <w:t xml:space="preserve">. In such </w:t>
      </w:r>
      <w:r w:rsidR="00B4033A">
        <w:rPr>
          <w:rFonts w:ascii="Arial" w:eastAsia="Calibri" w:hAnsi="Arial" w:cs="Arial"/>
        </w:rPr>
        <w:t>instances</w:t>
      </w:r>
      <w:r w:rsidR="00497407">
        <w:rPr>
          <w:rFonts w:ascii="Arial" w:eastAsia="Calibri" w:hAnsi="Arial" w:cs="Arial"/>
        </w:rPr>
        <w:t xml:space="preserve"> the court is required to determine whether the </w:t>
      </w:r>
      <w:r w:rsidR="003E2944">
        <w:rPr>
          <w:rFonts w:ascii="Arial" w:eastAsia="Calibri" w:hAnsi="Arial" w:cs="Arial"/>
        </w:rPr>
        <w:t>evidence</w:t>
      </w:r>
      <w:r w:rsidR="00497407">
        <w:rPr>
          <w:rFonts w:ascii="Arial" w:eastAsia="Calibri" w:hAnsi="Arial" w:cs="Arial"/>
        </w:rPr>
        <w:t xml:space="preserve"> which </w:t>
      </w:r>
      <w:r w:rsidR="003E2944">
        <w:rPr>
          <w:rFonts w:ascii="Arial" w:eastAsia="Calibri" w:hAnsi="Arial" w:cs="Arial"/>
        </w:rPr>
        <w:t>i</w:t>
      </w:r>
      <w:r w:rsidR="00497407">
        <w:rPr>
          <w:rFonts w:ascii="Arial" w:eastAsia="Calibri" w:hAnsi="Arial" w:cs="Arial"/>
        </w:rPr>
        <w:t>s p</w:t>
      </w:r>
      <w:r w:rsidR="00E467BC">
        <w:rPr>
          <w:rFonts w:ascii="Arial" w:eastAsia="Calibri" w:hAnsi="Arial" w:cs="Arial"/>
        </w:rPr>
        <w:t xml:space="preserve">laced </w:t>
      </w:r>
      <w:r w:rsidR="00497407">
        <w:rPr>
          <w:rFonts w:ascii="Arial" w:eastAsia="Calibri" w:hAnsi="Arial" w:cs="Arial"/>
        </w:rPr>
        <w:t xml:space="preserve">before it by the state, together with any evidence that may be produced by the accused, </w:t>
      </w:r>
      <w:r w:rsidR="00E467BC">
        <w:rPr>
          <w:rFonts w:ascii="Arial" w:eastAsia="Calibri" w:hAnsi="Arial" w:cs="Arial"/>
        </w:rPr>
        <w:t>justifies a</w:t>
      </w:r>
      <w:r w:rsidR="00497407">
        <w:rPr>
          <w:rFonts w:ascii="Arial" w:eastAsia="Calibri" w:hAnsi="Arial" w:cs="Arial"/>
        </w:rPr>
        <w:t xml:space="preserve"> conviction on the charge</w:t>
      </w:r>
      <w:r w:rsidR="00E467BC">
        <w:rPr>
          <w:rFonts w:ascii="Arial" w:eastAsia="Calibri" w:hAnsi="Arial" w:cs="Arial"/>
        </w:rPr>
        <w:t>(s)</w:t>
      </w:r>
      <w:r w:rsidR="00497407">
        <w:rPr>
          <w:rFonts w:ascii="Arial" w:eastAsia="Calibri" w:hAnsi="Arial" w:cs="Arial"/>
        </w:rPr>
        <w:t>.</w:t>
      </w:r>
    </w:p>
    <w:p w14:paraId="7C59667C" w14:textId="2AFE68D9" w:rsidR="00497407" w:rsidRDefault="008C795E" w:rsidP="008C795E">
      <w:pPr>
        <w:adjustRightInd w:val="0"/>
        <w:spacing w:after="0" w:line="360" w:lineRule="auto"/>
        <w:ind w:left="720" w:hanging="720"/>
        <w:contextualSpacing/>
        <w:jc w:val="both"/>
        <w:textAlignment w:val="baseline"/>
        <w:rPr>
          <w:rFonts w:ascii="Arial" w:eastAsia="Calibri" w:hAnsi="Arial" w:cs="Arial"/>
        </w:rPr>
      </w:pPr>
      <w:r>
        <w:rPr>
          <w:rFonts w:ascii="Arial" w:eastAsia="Calibri" w:hAnsi="Arial" w:cs="Arial"/>
        </w:rPr>
        <w:t>19.</w:t>
      </w:r>
      <w:r>
        <w:rPr>
          <w:rFonts w:ascii="Arial" w:eastAsia="Calibri" w:hAnsi="Arial" w:cs="Arial"/>
        </w:rPr>
        <w:tab/>
      </w:r>
      <w:r w:rsidR="00497407">
        <w:rPr>
          <w:rFonts w:ascii="Arial" w:eastAsia="Calibri" w:hAnsi="Arial" w:cs="Arial"/>
        </w:rPr>
        <w:t xml:space="preserve">The magistrate did not </w:t>
      </w:r>
      <w:r w:rsidR="004319B6">
        <w:rPr>
          <w:rFonts w:ascii="Arial" w:eastAsia="Calibri" w:hAnsi="Arial" w:cs="Arial"/>
        </w:rPr>
        <w:t>proceed to invoke s 112(1)(b)</w:t>
      </w:r>
      <w:r w:rsidR="00497407">
        <w:rPr>
          <w:rFonts w:ascii="Arial" w:eastAsia="Calibri" w:hAnsi="Arial" w:cs="Arial"/>
        </w:rPr>
        <w:t xml:space="preserve"> and inform</w:t>
      </w:r>
      <w:r w:rsidR="004319B6">
        <w:rPr>
          <w:rFonts w:ascii="Arial" w:eastAsia="Calibri" w:hAnsi="Arial" w:cs="Arial"/>
        </w:rPr>
        <w:t>ed</w:t>
      </w:r>
      <w:r w:rsidR="00497407">
        <w:rPr>
          <w:rFonts w:ascii="Arial" w:eastAsia="Calibri" w:hAnsi="Arial" w:cs="Arial"/>
        </w:rPr>
        <w:t xml:space="preserve"> the accused that he </w:t>
      </w:r>
      <w:r w:rsidR="003E2944">
        <w:rPr>
          <w:rFonts w:ascii="Arial" w:eastAsia="Calibri" w:hAnsi="Arial" w:cs="Arial"/>
        </w:rPr>
        <w:t>sh</w:t>
      </w:r>
      <w:r w:rsidR="00497407">
        <w:rPr>
          <w:rFonts w:ascii="Arial" w:eastAsia="Calibri" w:hAnsi="Arial" w:cs="Arial"/>
        </w:rPr>
        <w:t xml:space="preserve">ould address the court as to whether, in his </w:t>
      </w:r>
      <w:r w:rsidR="007C16F1">
        <w:rPr>
          <w:rFonts w:ascii="Arial" w:eastAsia="Calibri" w:hAnsi="Arial" w:cs="Arial"/>
        </w:rPr>
        <w:t>‘</w:t>
      </w:r>
      <w:r w:rsidR="00497407">
        <w:rPr>
          <w:rFonts w:ascii="Arial" w:eastAsia="Calibri" w:hAnsi="Arial" w:cs="Arial"/>
        </w:rPr>
        <w:t>opinion</w:t>
      </w:r>
      <w:r w:rsidR="007C16F1">
        <w:rPr>
          <w:rFonts w:ascii="Arial" w:eastAsia="Calibri" w:hAnsi="Arial" w:cs="Arial"/>
        </w:rPr>
        <w:t>’</w:t>
      </w:r>
      <w:r w:rsidR="00497407">
        <w:rPr>
          <w:rFonts w:ascii="Arial" w:eastAsia="Calibri" w:hAnsi="Arial" w:cs="Arial"/>
        </w:rPr>
        <w:t xml:space="preserve">, the evidence which had been presented </w:t>
      </w:r>
      <w:r w:rsidR="001D323E">
        <w:rPr>
          <w:rFonts w:ascii="Arial" w:eastAsia="Calibri" w:hAnsi="Arial" w:cs="Arial"/>
        </w:rPr>
        <w:t xml:space="preserve">on the charge </w:t>
      </w:r>
      <w:r w:rsidR="00497407">
        <w:rPr>
          <w:rFonts w:ascii="Arial" w:eastAsia="Calibri" w:hAnsi="Arial" w:cs="Arial"/>
        </w:rPr>
        <w:t>w</w:t>
      </w:r>
      <w:r w:rsidR="007C16F1">
        <w:rPr>
          <w:rFonts w:ascii="Arial" w:eastAsia="Calibri" w:hAnsi="Arial" w:cs="Arial"/>
        </w:rPr>
        <w:t>as</w:t>
      </w:r>
      <w:r w:rsidR="00497407">
        <w:rPr>
          <w:rFonts w:ascii="Arial" w:eastAsia="Calibri" w:hAnsi="Arial" w:cs="Arial"/>
        </w:rPr>
        <w:t xml:space="preserve"> sufficient to justify a conviction. Thus, it </w:t>
      </w:r>
      <w:r w:rsidR="007C16F1">
        <w:rPr>
          <w:rFonts w:ascii="Arial" w:eastAsia="Calibri" w:hAnsi="Arial" w:cs="Arial"/>
        </w:rPr>
        <w:t xml:space="preserve">appears </w:t>
      </w:r>
      <w:r w:rsidR="00497407">
        <w:rPr>
          <w:rFonts w:ascii="Arial" w:eastAsia="Calibri" w:hAnsi="Arial" w:cs="Arial"/>
        </w:rPr>
        <w:t>that the magistrate request</w:t>
      </w:r>
      <w:r w:rsidR="007C16F1">
        <w:rPr>
          <w:rFonts w:ascii="Arial" w:eastAsia="Calibri" w:hAnsi="Arial" w:cs="Arial"/>
        </w:rPr>
        <w:t>ed</w:t>
      </w:r>
      <w:r w:rsidR="00497407">
        <w:rPr>
          <w:rFonts w:ascii="Arial" w:eastAsia="Calibri" w:hAnsi="Arial" w:cs="Arial"/>
        </w:rPr>
        <w:t xml:space="preserve"> the accused </w:t>
      </w:r>
      <w:r w:rsidR="00DD0B6D">
        <w:rPr>
          <w:rFonts w:ascii="Arial" w:eastAsia="Calibri" w:hAnsi="Arial" w:cs="Arial"/>
        </w:rPr>
        <w:t xml:space="preserve">to </w:t>
      </w:r>
      <w:r w:rsidR="00497407">
        <w:rPr>
          <w:rFonts w:ascii="Arial" w:eastAsia="Calibri" w:hAnsi="Arial" w:cs="Arial"/>
        </w:rPr>
        <w:t>address him as to whether the state had made out a sufficient case for him not to be discharged, in terms of</w:t>
      </w:r>
      <w:r w:rsidR="00EB566F">
        <w:rPr>
          <w:rFonts w:ascii="Arial" w:eastAsia="Calibri" w:hAnsi="Arial" w:cs="Arial"/>
        </w:rPr>
        <w:t xml:space="preserve"> </w:t>
      </w:r>
      <w:r w:rsidR="007C16F1">
        <w:rPr>
          <w:rFonts w:ascii="Arial" w:eastAsia="Calibri" w:hAnsi="Arial" w:cs="Arial"/>
        </w:rPr>
        <w:t xml:space="preserve">s </w:t>
      </w:r>
      <w:r w:rsidR="00497407">
        <w:rPr>
          <w:rFonts w:ascii="Arial" w:eastAsia="Calibri" w:hAnsi="Arial" w:cs="Arial"/>
        </w:rPr>
        <w:t>174 of the CPA. In doing so the magistrate did not draw to the accused’s attention that the state’s case was based entirely on hearsay evidence which had not been corroborated by the source</w:t>
      </w:r>
      <w:r w:rsidR="00DD0B6D">
        <w:rPr>
          <w:rFonts w:ascii="Arial" w:eastAsia="Calibri" w:hAnsi="Arial" w:cs="Arial"/>
        </w:rPr>
        <w:t>s</w:t>
      </w:r>
      <w:r w:rsidR="00497407">
        <w:rPr>
          <w:rFonts w:ascii="Arial" w:eastAsia="Calibri" w:hAnsi="Arial" w:cs="Arial"/>
        </w:rPr>
        <w:t xml:space="preserve"> thereof. In response the accused indicated that he had no submissions to make, whereupon the prosecutor submitted that the accused’s mother had ‘testified clearly’ to the offence that the accused had been charged with, </w:t>
      </w:r>
      <w:r w:rsidR="00B0469A">
        <w:rPr>
          <w:rFonts w:ascii="Arial" w:eastAsia="Calibri" w:hAnsi="Arial" w:cs="Arial"/>
        </w:rPr>
        <w:t>and</w:t>
      </w:r>
      <w:r w:rsidR="00497407">
        <w:rPr>
          <w:rFonts w:ascii="Arial" w:eastAsia="Calibri" w:hAnsi="Arial" w:cs="Arial"/>
        </w:rPr>
        <w:t xml:space="preserve"> the accused had not given any ‘rebutting evidence’. Given that the court was dealing with the issue of whether </w:t>
      </w:r>
      <w:r w:rsidR="00A9481C">
        <w:rPr>
          <w:rFonts w:ascii="Arial" w:eastAsia="Calibri" w:hAnsi="Arial" w:cs="Arial"/>
        </w:rPr>
        <w:t>discharge</w:t>
      </w:r>
      <w:r w:rsidR="00497407">
        <w:rPr>
          <w:rFonts w:ascii="Arial" w:eastAsia="Calibri" w:hAnsi="Arial" w:cs="Arial"/>
        </w:rPr>
        <w:t xml:space="preserve"> should be granted at the </w:t>
      </w:r>
      <w:r w:rsidR="001D323E">
        <w:rPr>
          <w:rFonts w:ascii="Arial" w:eastAsia="Calibri" w:hAnsi="Arial" w:cs="Arial"/>
        </w:rPr>
        <w:t>close</w:t>
      </w:r>
      <w:r w:rsidR="00497407">
        <w:rPr>
          <w:rFonts w:ascii="Arial" w:eastAsia="Calibri" w:hAnsi="Arial" w:cs="Arial"/>
        </w:rPr>
        <w:t xml:space="preserve"> of the state’s case, the statement that the accused had not given any rebutting evidence </w:t>
      </w:r>
      <w:r w:rsidR="00666EDA">
        <w:rPr>
          <w:rFonts w:ascii="Arial" w:eastAsia="Calibri" w:hAnsi="Arial" w:cs="Arial"/>
        </w:rPr>
        <w:t>was nonsensical</w:t>
      </w:r>
      <w:r w:rsidR="00497407">
        <w:rPr>
          <w:rFonts w:ascii="Arial" w:eastAsia="Calibri" w:hAnsi="Arial" w:cs="Arial"/>
        </w:rPr>
        <w:t>. Notwithstanding this and notwithstanding that the evidence the state sought to rely on was largely inadmissible</w:t>
      </w:r>
      <w:r w:rsidR="00DD0B6D">
        <w:rPr>
          <w:rFonts w:ascii="Arial" w:eastAsia="Calibri" w:hAnsi="Arial" w:cs="Arial"/>
        </w:rPr>
        <w:t xml:space="preserve"> as it was</w:t>
      </w:r>
      <w:r w:rsidR="00497407">
        <w:rPr>
          <w:rFonts w:ascii="Arial" w:eastAsia="Calibri" w:hAnsi="Arial" w:cs="Arial"/>
        </w:rPr>
        <w:t xml:space="preserve"> uncorroborated hearsay evidence</w:t>
      </w:r>
      <w:r w:rsidR="00DD0B6D">
        <w:rPr>
          <w:rFonts w:ascii="Arial" w:eastAsia="Calibri" w:hAnsi="Arial" w:cs="Arial"/>
        </w:rPr>
        <w:t>,</w:t>
      </w:r>
      <w:r w:rsidR="00497407">
        <w:rPr>
          <w:rFonts w:ascii="Arial" w:eastAsia="Calibri" w:hAnsi="Arial" w:cs="Arial"/>
        </w:rPr>
        <w:t xml:space="preserve"> and without affording the accused </w:t>
      </w:r>
      <w:r w:rsidR="00900B9B">
        <w:rPr>
          <w:rFonts w:ascii="Arial" w:eastAsia="Calibri" w:hAnsi="Arial" w:cs="Arial"/>
        </w:rPr>
        <w:t>an</w:t>
      </w:r>
      <w:r w:rsidR="00497407">
        <w:rPr>
          <w:rFonts w:ascii="Arial" w:eastAsia="Calibri" w:hAnsi="Arial" w:cs="Arial"/>
        </w:rPr>
        <w:t xml:space="preserve"> opportunity to reply to the state</w:t>
      </w:r>
      <w:r w:rsidR="00DD0B6D">
        <w:rPr>
          <w:rFonts w:ascii="Arial" w:eastAsia="Calibri" w:hAnsi="Arial" w:cs="Arial"/>
        </w:rPr>
        <w:t>’s</w:t>
      </w:r>
      <w:r w:rsidR="00497407">
        <w:rPr>
          <w:rFonts w:ascii="Arial" w:eastAsia="Calibri" w:hAnsi="Arial" w:cs="Arial"/>
        </w:rPr>
        <w:t xml:space="preserve"> submissions</w:t>
      </w:r>
      <w:r w:rsidR="00B0469A">
        <w:rPr>
          <w:rFonts w:ascii="Arial" w:eastAsia="Calibri" w:hAnsi="Arial" w:cs="Arial"/>
        </w:rPr>
        <w:t>,</w:t>
      </w:r>
      <w:r w:rsidR="00497407">
        <w:rPr>
          <w:rFonts w:ascii="Arial" w:eastAsia="Calibri" w:hAnsi="Arial" w:cs="Arial"/>
        </w:rPr>
        <w:t xml:space="preserve"> </w:t>
      </w:r>
      <w:r w:rsidR="00DD0B6D">
        <w:rPr>
          <w:rFonts w:ascii="Arial" w:eastAsia="Calibri" w:hAnsi="Arial" w:cs="Arial"/>
        </w:rPr>
        <w:t xml:space="preserve">the magistrate </w:t>
      </w:r>
      <w:r w:rsidR="00497407">
        <w:rPr>
          <w:rFonts w:ascii="Arial" w:eastAsia="Calibri" w:hAnsi="Arial" w:cs="Arial"/>
        </w:rPr>
        <w:t xml:space="preserve">proceeded to deliver an </w:t>
      </w:r>
      <w:r w:rsidR="00497407" w:rsidRPr="00DD0B6D">
        <w:rPr>
          <w:rFonts w:ascii="Arial" w:eastAsia="Calibri" w:hAnsi="Arial" w:cs="Arial"/>
          <w:i/>
          <w:iCs/>
        </w:rPr>
        <w:t>ex tempore</w:t>
      </w:r>
      <w:r w:rsidR="00497407">
        <w:rPr>
          <w:rFonts w:ascii="Arial" w:eastAsia="Calibri" w:hAnsi="Arial" w:cs="Arial"/>
        </w:rPr>
        <w:t xml:space="preserve"> judgment in which he held that, </w:t>
      </w:r>
      <w:r w:rsidR="00DD0B6D">
        <w:rPr>
          <w:rFonts w:ascii="Arial" w:eastAsia="Calibri" w:hAnsi="Arial" w:cs="Arial"/>
        </w:rPr>
        <w:t>upon</w:t>
      </w:r>
      <w:r w:rsidR="00497407">
        <w:rPr>
          <w:rFonts w:ascii="Arial" w:eastAsia="Calibri" w:hAnsi="Arial" w:cs="Arial"/>
        </w:rPr>
        <w:t xml:space="preserve"> a consideration of the evidence which </w:t>
      </w:r>
      <w:r w:rsidR="00B0469A">
        <w:rPr>
          <w:rFonts w:ascii="Arial" w:eastAsia="Calibri" w:hAnsi="Arial" w:cs="Arial"/>
        </w:rPr>
        <w:t>was</w:t>
      </w:r>
      <w:r w:rsidR="00497407">
        <w:rPr>
          <w:rFonts w:ascii="Arial" w:eastAsia="Calibri" w:hAnsi="Arial" w:cs="Arial"/>
        </w:rPr>
        <w:t xml:space="preserve"> presented by the complainant </w:t>
      </w:r>
      <w:r w:rsidR="00B0469A">
        <w:rPr>
          <w:rFonts w:ascii="Arial" w:eastAsia="Calibri" w:hAnsi="Arial" w:cs="Arial"/>
        </w:rPr>
        <w:t>and</w:t>
      </w:r>
      <w:r w:rsidR="00497407">
        <w:rPr>
          <w:rFonts w:ascii="Arial" w:eastAsia="Calibri" w:hAnsi="Arial" w:cs="Arial"/>
        </w:rPr>
        <w:t xml:space="preserve"> the </w:t>
      </w:r>
      <w:r w:rsidR="00B0469A">
        <w:rPr>
          <w:rFonts w:ascii="Arial" w:eastAsia="Calibri" w:hAnsi="Arial" w:cs="Arial"/>
        </w:rPr>
        <w:t>‘</w:t>
      </w:r>
      <w:r w:rsidR="00497407">
        <w:rPr>
          <w:rFonts w:ascii="Arial" w:eastAsia="Calibri" w:hAnsi="Arial" w:cs="Arial"/>
        </w:rPr>
        <w:t>evidence</w:t>
      </w:r>
      <w:r w:rsidR="00B0469A">
        <w:rPr>
          <w:rFonts w:ascii="Arial" w:eastAsia="Calibri" w:hAnsi="Arial" w:cs="Arial"/>
        </w:rPr>
        <w:t>’</w:t>
      </w:r>
      <w:r w:rsidR="00497407">
        <w:rPr>
          <w:rFonts w:ascii="Arial" w:eastAsia="Calibri" w:hAnsi="Arial" w:cs="Arial"/>
        </w:rPr>
        <w:t xml:space="preserve"> which had been presented by the accused ‘under oath</w:t>
      </w:r>
      <w:r w:rsidR="00B0469A">
        <w:rPr>
          <w:rFonts w:ascii="Arial" w:eastAsia="Calibri" w:hAnsi="Arial" w:cs="Arial"/>
        </w:rPr>
        <w:t>’</w:t>
      </w:r>
      <w:r w:rsidR="00497407">
        <w:rPr>
          <w:rFonts w:ascii="Arial" w:eastAsia="Calibri" w:hAnsi="Arial" w:cs="Arial"/>
        </w:rPr>
        <w:t>, in which he had admitted to all the allegations that had been made by h</w:t>
      </w:r>
      <w:r w:rsidR="00BF1145">
        <w:rPr>
          <w:rFonts w:ascii="Arial" w:eastAsia="Calibri" w:hAnsi="Arial" w:cs="Arial"/>
        </w:rPr>
        <w:t>is mother</w:t>
      </w:r>
      <w:r w:rsidR="00497407">
        <w:rPr>
          <w:rFonts w:ascii="Arial" w:eastAsia="Calibri" w:hAnsi="Arial" w:cs="Arial"/>
        </w:rPr>
        <w:t xml:space="preserve">, </w:t>
      </w:r>
      <w:r w:rsidR="00B0469A">
        <w:rPr>
          <w:rFonts w:ascii="Arial" w:eastAsia="Calibri" w:hAnsi="Arial" w:cs="Arial"/>
        </w:rPr>
        <w:t>he</w:t>
      </w:r>
      <w:r w:rsidR="00497407">
        <w:rPr>
          <w:rFonts w:ascii="Arial" w:eastAsia="Calibri" w:hAnsi="Arial" w:cs="Arial"/>
        </w:rPr>
        <w:t xml:space="preserve"> was guilty of breaching </w:t>
      </w:r>
      <w:r w:rsidR="00B0469A">
        <w:rPr>
          <w:rFonts w:ascii="Arial" w:eastAsia="Calibri" w:hAnsi="Arial" w:cs="Arial"/>
        </w:rPr>
        <w:t>the</w:t>
      </w:r>
      <w:r w:rsidR="00497407">
        <w:rPr>
          <w:rFonts w:ascii="Arial" w:eastAsia="Calibri" w:hAnsi="Arial" w:cs="Arial"/>
        </w:rPr>
        <w:t xml:space="preserve"> protection order as charged, on </w:t>
      </w:r>
      <w:r w:rsidR="00DD0B6D">
        <w:rPr>
          <w:rFonts w:ascii="Arial" w:eastAsia="Calibri" w:hAnsi="Arial" w:cs="Arial"/>
        </w:rPr>
        <w:t>the first charge</w:t>
      </w:r>
      <w:r w:rsidR="00497407">
        <w:rPr>
          <w:rFonts w:ascii="Arial" w:eastAsia="Calibri" w:hAnsi="Arial" w:cs="Arial"/>
        </w:rPr>
        <w:t>.</w:t>
      </w:r>
      <w:r w:rsidR="00CA47BC">
        <w:rPr>
          <w:rFonts w:ascii="Arial" w:eastAsia="Calibri" w:hAnsi="Arial" w:cs="Arial"/>
        </w:rPr>
        <w:t xml:space="preserve"> In this regard he </w:t>
      </w:r>
      <w:r w:rsidR="001D323E">
        <w:rPr>
          <w:rFonts w:ascii="Arial" w:eastAsia="Calibri" w:hAnsi="Arial" w:cs="Arial"/>
        </w:rPr>
        <w:t>found</w:t>
      </w:r>
      <w:r w:rsidR="00CA47BC">
        <w:rPr>
          <w:rFonts w:ascii="Arial" w:eastAsia="Calibri" w:hAnsi="Arial" w:cs="Arial"/>
        </w:rPr>
        <w:t xml:space="preserve"> that the accused had breached the conditions which were imposed in the protection order by entering his mother’s residence and br</w:t>
      </w:r>
      <w:r w:rsidR="001A17D6">
        <w:rPr>
          <w:rFonts w:ascii="Arial" w:eastAsia="Calibri" w:hAnsi="Arial" w:cs="Arial"/>
        </w:rPr>
        <w:t>eaking</w:t>
      </w:r>
      <w:r w:rsidR="00CA47BC">
        <w:rPr>
          <w:rFonts w:ascii="Arial" w:eastAsia="Calibri" w:hAnsi="Arial" w:cs="Arial"/>
        </w:rPr>
        <w:t xml:space="preserve"> her kettle and window.</w:t>
      </w:r>
    </w:p>
    <w:p w14:paraId="07D0F397" w14:textId="024BA4D0" w:rsidR="00497407" w:rsidRDefault="008C795E" w:rsidP="008C795E">
      <w:pPr>
        <w:adjustRightInd w:val="0"/>
        <w:spacing w:after="0" w:line="360" w:lineRule="auto"/>
        <w:ind w:left="720" w:hanging="720"/>
        <w:contextualSpacing/>
        <w:jc w:val="both"/>
        <w:textAlignment w:val="baseline"/>
        <w:rPr>
          <w:rFonts w:ascii="Arial" w:eastAsia="Calibri" w:hAnsi="Arial" w:cs="Arial"/>
        </w:rPr>
      </w:pPr>
      <w:r>
        <w:rPr>
          <w:rFonts w:ascii="Arial" w:eastAsia="Calibri" w:hAnsi="Arial" w:cs="Arial"/>
        </w:rPr>
        <w:t>20.</w:t>
      </w:r>
      <w:r>
        <w:rPr>
          <w:rFonts w:ascii="Arial" w:eastAsia="Calibri" w:hAnsi="Arial" w:cs="Arial"/>
        </w:rPr>
        <w:tab/>
      </w:r>
      <w:r w:rsidR="00B0469A">
        <w:rPr>
          <w:rFonts w:ascii="Arial" w:eastAsia="Calibri" w:hAnsi="Arial" w:cs="Arial"/>
        </w:rPr>
        <w:t>Bizarrely, d</w:t>
      </w:r>
      <w:r w:rsidR="00497407">
        <w:rPr>
          <w:rFonts w:ascii="Arial" w:eastAsia="Calibri" w:hAnsi="Arial" w:cs="Arial"/>
        </w:rPr>
        <w:t xml:space="preserve">espite </w:t>
      </w:r>
      <w:r w:rsidR="00DD0B6D">
        <w:rPr>
          <w:rFonts w:ascii="Arial" w:eastAsia="Calibri" w:hAnsi="Arial" w:cs="Arial"/>
        </w:rPr>
        <w:t xml:space="preserve">the accused </w:t>
      </w:r>
      <w:r w:rsidR="00497407">
        <w:rPr>
          <w:rFonts w:ascii="Arial" w:eastAsia="Calibri" w:hAnsi="Arial" w:cs="Arial"/>
        </w:rPr>
        <w:t>having plea</w:t>
      </w:r>
      <w:r w:rsidR="00B0469A">
        <w:rPr>
          <w:rFonts w:ascii="Arial" w:eastAsia="Calibri" w:hAnsi="Arial" w:cs="Arial"/>
        </w:rPr>
        <w:t>ded</w:t>
      </w:r>
      <w:r w:rsidR="00497407">
        <w:rPr>
          <w:rFonts w:ascii="Arial" w:eastAsia="Calibri" w:hAnsi="Arial" w:cs="Arial"/>
        </w:rPr>
        <w:t xml:space="preserve"> </w:t>
      </w:r>
      <w:r w:rsidR="00DD0B6D">
        <w:rPr>
          <w:rFonts w:ascii="Arial" w:eastAsia="Calibri" w:hAnsi="Arial" w:cs="Arial"/>
        </w:rPr>
        <w:t xml:space="preserve">to </w:t>
      </w:r>
      <w:r w:rsidR="00497407">
        <w:rPr>
          <w:rFonts w:ascii="Arial" w:eastAsia="Calibri" w:hAnsi="Arial" w:cs="Arial"/>
        </w:rPr>
        <w:t xml:space="preserve">all the charges </w:t>
      </w:r>
      <w:r w:rsidR="008E7898">
        <w:rPr>
          <w:rFonts w:ascii="Arial" w:eastAsia="Calibri" w:hAnsi="Arial" w:cs="Arial"/>
        </w:rPr>
        <w:t>a while</w:t>
      </w:r>
      <w:r w:rsidR="00497407">
        <w:rPr>
          <w:rFonts w:ascii="Arial" w:eastAsia="Calibri" w:hAnsi="Arial" w:cs="Arial"/>
        </w:rPr>
        <w:t xml:space="preserve"> earlier, and despite having found </w:t>
      </w:r>
      <w:r w:rsidR="00DD0B6D">
        <w:rPr>
          <w:rFonts w:ascii="Arial" w:eastAsia="Calibri" w:hAnsi="Arial" w:cs="Arial"/>
        </w:rPr>
        <w:t xml:space="preserve">him </w:t>
      </w:r>
      <w:r w:rsidR="00497407">
        <w:rPr>
          <w:rFonts w:ascii="Arial" w:eastAsia="Calibri" w:hAnsi="Arial" w:cs="Arial"/>
        </w:rPr>
        <w:t>guilty on the main count in respect of the 1</w:t>
      </w:r>
      <w:r w:rsidR="00497407" w:rsidRPr="00497407">
        <w:rPr>
          <w:rFonts w:ascii="Arial" w:eastAsia="Calibri" w:hAnsi="Arial" w:cs="Arial"/>
          <w:vertAlign w:val="superscript"/>
        </w:rPr>
        <w:t>st</w:t>
      </w:r>
      <w:r w:rsidR="00497407">
        <w:rPr>
          <w:rFonts w:ascii="Arial" w:eastAsia="Calibri" w:hAnsi="Arial" w:cs="Arial"/>
        </w:rPr>
        <w:t xml:space="preserve"> charge, the magistrate then proceeded to ask the accused whether he was pleading guilty or not guilty on the alternative </w:t>
      </w:r>
      <w:r w:rsidR="00DD0B6D">
        <w:rPr>
          <w:rFonts w:ascii="Arial" w:eastAsia="Calibri" w:hAnsi="Arial" w:cs="Arial"/>
        </w:rPr>
        <w:t xml:space="preserve">count </w:t>
      </w:r>
      <w:r w:rsidR="00B0469A">
        <w:rPr>
          <w:rFonts w:ascii="Arial" w:eastAsia="Calibri" w:hAnsi="Arial" w:cs="Arial"/>
        </w:rPr>
        <w:t xml:space="preserve">thereto, </w:t>
      </w:r>
      <w:r w:rsidR="00CA47BC">
        <w:rPr>
          <w:rFonts w:ascii="Arial" w:eastAsia="Calibri" w:hAnsi="Arial" w:cs="Arial"/>
        </w:rPr>
        <w:t>whereupon</w:t>
      </w:r>
      <w:r w:rsidR="00DD0B6D">
        <w:rPr>
          <w:rFonts w:ascii="Arial" w:eastAsia="Calibri" w:hAnsi="Arial" w:cs="Arial"/>
        </w:rPr>
        <w:t xml:space="preserve"> </w:t>
      </w:r>
      <w:r w:rsidR="009D0363">
        <w:rPr>
          <w:rFonts w:ascii="Arial" w:eastAsia="Calibri" w:hAnsi="Arial" w:cs="Arial"/>
        </w:rPr>
        <w:t xml:space="preserve">the prosecutor again asked the magistrate to apply the provisions of </w:t>
      </w:r>
      <w:r w:rsidR="00DD0B6D">
        <w:rPr>
          <w:rFonts w:ascii="Arial" w:eastAsia="Calibri" w:hAnsi="Arial" w:cs="Arial"/>
        </w:rPr>
        <w:t xml:space="preserve">s </w:t>
      </w:r>
      <w:r w:rsidR="009D0363">
        <w:rPr>
          <w:rFonts w:ascii="Arial" w:eastAsia="Calibri" w:hAnsi="Arial" w:cs="Arial"/>
        </w:rPr>
        <w:t>112(</w:t>
      </w:r>
      <w:r w:rsidR="00DD0B6D">
        <w:rPr>
          <w:rFonts w:ascii="Arial" w:eastAsia="Calibri" w:hAnsi="Arial" w:cs="Arial"/>
        </w:rPr>
        <w:t>1</w:t>
      </w:r>
      <w:r w:rsidR="009D0363">
        <w:rPr>
          <w:rFonts w:ascii="Arial" w:eastAsia="Calibri" w:hAnsi="Arial" w:cs="Arial"/>
        </w:rPr>
        <w:t>)(</w:t>
      </w:r>
      <w:r w:rsidR="00DD0B6D">
        <w:rPr>
          <w:rFonts w:ascii="Arial" w:eastAsia="Calibri" w:hAnsi="Arial" w:cs="Arial"/>
        </w:rPr>
        <w:t>b)</w:t>
      </w:r>
      <w:r w:rsidR="009D0363">
        <w:rPr>
          <w:rFonts w:ascii="Arial" w:eastAsia="Calibri" w:hAnsi="Arial" w:cs="Arial"/>
        </w:rPr>
        <w:t>.</w:t>
      </w:r>
    </w:p>
    <w:p w14:paraId="70BB758F" w14:textId="77B1FD34" w:rsidR="009D0363" w:rsidRDefault="008C795E" w:rsidP="008C795E">
      <w:pPr>
        <w:adjustRightInd w:val="0"/>
        <w:spacing w:after="0" w:line="360" w:lineRule="auto"/>
        <w:ind w:left="720" w:hanging="720"/>
        <w:contextualSpacing/>
        <w:jc w:val="both"/>
        <w:textAlignment w:val="baseline"/>
        <w:rPr>
          <w:rFonts w:ascii="Arial" w:eastAsia="Calibri" w:hAnsi="Arial" w:cs="Arial"/>
        </w:rPr>
      </w:pPr>
      <w:r>
        <w:rPr>
          <w:rFonts w:ascii="Arial" w:eastAsia="Calibri" w:hAnsi="Arial" w:cs="Arial"/>
        </w:rPr>
        <w:lastRenderedPageBreak/>
        <w:t>21.</w:t>
      </w:r>
      <w:r>
        <w:rPr>
          <w:rFonts w:ascii="Arial" w:eastAsia="Calibri" w:hAnsi="Arial" w:cs="Arial"/>
        </w:rPr>
        <w:tab/>
      </w:r>
      <w:r w:rsidR="009D0363">
        <w:rPr>
          <w:rFonts w:ascii="Arial" w:eastAsia="Calibri" w:hAnsi="Arial" w:cs="Arial"/>
        </w:rPr>
        <w:t xml:space="preserve">Given that the accused had already been found guilty on the main </w:t>
      </w:r>
      <w:r w:rsidR="00DD0B6D">
        <w:rPr>
          <w:rFonts w:ascii="Arial" w:eastAsia="Calibri" w:hAnsi="Arial" w:cs="Arial"/>
        </w:rPr>
        <w:t>count of the 1</w:t>
      </w:r>
      <w:r w:rsidR="00DD0B6D" w:rsidRPr="00DD0B6D">
        <w:rPr>
          <w:rFonts w:ascii="Arial" w:eastAsia="Calibri" w:hAnsi="Arial" w:cs="Arial"/>
          <w:vertAlign w:val="superscript"/>
        </w:rPr>
        <w:t>st</w:t>
      </w:r>
      <w:r w:rsidR="00DD0B6D">
        <w:rPr>
          <w:rFonts w:ascii="Arial" w:eastAsia="Calibri" w:hAnsi="Arial" w:cs="Arial"/>
        </w:rPr>
        <w:t xml:space="preserve"> charge </w:t>
      </w:r>
      <w:r w:rsidR="009D0363">
        <w:rPr>
          <w:rFonts w:ascii="Arial" w:eastAsia="Calibri" w:hAnsi="Arial" w:cs="Arial"/>
        </w:rPr>
        <w:t xml:space="preserve">this was wholly inappropriate. The magistrate did not </w:t>
      </w:r>
      <w:r w:rsidR="00BF1145">
        <w:rPr>
          <w:rFonts w:ascii="Arial" w:eastAsia="Calibri" w:hAnsi="Arial" w:cs="Arial"/>
        </w:rPr>
        <w:t xml:space="preserve">immediately </w:t>
      </w:r>
      <w:r w:rsidR="009D0363">
        <w:rPr>
          <w:rFonts w:ascii="Arial" w:eastAsia="Calibri" w:hAnsi="Arial" w:cs="Arial"/>
        </w:rPr>
        <w:t xml:space="preserve">proceed to question the accused in terms of the aforesaid </w:t>
      </w:r>
      <w:r w:rsidR="00DD0B6D">
        <w:rPr>
          <w:rFonts w:ascii="Arial" w:eastAsia="Calibri" w:hAnsi="Arial" w:cs="Arial"/>
        </w:rPr>
        <w:t>provision but</w:t>
      </w:r>
      <w:r w:rsidR="009D0363">
        <w:rPr>
          <w:rFonts w:ascii="Arial" w:eastAsia="Calibri" w:hAnsi="Arial" w:cs="Arial"/>
        </w:rPr>
        <w:t xml:space="preserve"> asked the prosecutor to re-put the alternative </w:t>
      </w:r>
      <w:r w:rsidR="00DD0B6D">
        <w:rPr>
          <w:rFonts w:ascii="Arial" w:eastAsia="Calibri" w:hAnsi="Arial" w:cs="Arial"/>
        </w:rPr>
        <w:t xml:space="preserve">count </w:t>
      </w:r>
      <w:r w:rsidR="009D0363">
        <w:rPr>
          <w:rFonts w:ascii="Arial" w:eastAsia="Calibri" w:hAnsi="Arial" w:cs="Arial"/>
        </w:rPr>
        <w:t xml:space="preserve">to the accused </w:t>
      </w:r>
      <w:r w:rsidR="00B0469A">
        <w:rPr>
          <w:rFonts w:ascii="Arial" w:eastAsia="Calibri" w:hAnsi="Arial" w:cs="Arial"/>
        </w:rPr>
        <w:t>(</w:t>
      </w:r>
      <w:r w:rsidR="009D0363">
        <w:rPr>
          <w:rFonts w:ascii="Arial" w:eastAsia="Calibri" w:hAnsi="Arial" w:cs="Arial"/>
        </w:rPr>
        <w:t xml:space="preserve">to which he had previously pleaded </w:t>
      </w:r>
      <w:r w:rsidR="001A17D6">
        <w:rPr>
          <w:rFonts w:ascii="Arial" w:eastAsia="Calibri" w:hAnsi="Arial" w:cs="Arial"/>
        </w:rPr>
        <w:t xml:space="preserve">not </w:t>
      </w:r>
      <w:r w:rsidR="009D0363">
        <w:rPr>
          <w:rFonts w:ascii="Arial" w:eastAsia="Calibri" w:hAnsi="Arial" w:cs="Arial"/>
        </w:rPr>
        <w:t>guilty</w:t>
      </w:r>
      <w:r w:rsidR="00B0469A">
        <w:rPr>
          <w:rFonts w:ascii="Arial" w:eastAsia="Calibri" w:hAnsi="Arial" w:cs="Arial"/>
        </w:rPr>
        <w:t>)</w:t>
      </w:r>
      <w:r w:rsidR="009D0363">
        <w:rPr>
          <w:rFonts w:ascii="Arial" w:eastAsia="Calibri" w:hAnsi="Arial" w:cs="Arial"/>
        </w:rPr>
        <w:t xml:space="preserve"> for a 2</w:t>
      </w:r>
      <w:r w:rsidR="009D0363" w:rsidRPr="009D0363">
        <w:rPr>
          <w:rFonts w:ascii="Arial" w:eastAsia="Calibri" w:hAnsi="Arial" w:cs="Arial"/>
          <w:vertAlign w:val="superscript"/>
        </w:rPr>
        <w:t>nd</w:t>
      </w:r>
      <w:r w:rsidR="009D0363">
        <w:rPr>
          <w:rFonts w:ascii="Arial" w:eastAsia="Calibri" w:hAnsi="Arial" w:cs="Arial"/>
        </w:rPr>
        <w:t xml:space="preserve"> </w:t>
      </w:r>
      <w:r w:rsidR="00B0469A">
        <w:rPr>
          <w:rFonts w:ascii="Arial" w:eastAsia="Calibri" w:hAnsi="Arial" w:cs="Arial"/>
        </w:rPr>
        <w:t>time and</w:t>
      </w:r>
      <w:r w:rsidR="00DD0B6D">
        <w:rPr>
          <w:rFonts w:ascii="Arial" w:eastAsia="Calibri" w:hAnsi="Arial" w:cs="Arial"/>
        </w:rPr>
        <w:t xml:space="preserve"> directed the accused to plead to it again</w:t>
      </w:r>
      <w:r w:rsidR="009D0363">
        <w:rPr>
          <w:rFonts w:ascii="Arial" w:eastAsia="Calibri" w:hAnsi="Arial" w:cs="Arial"/>
        </w:rPr>
        <w:t xml:space="preserve">. </w:t>
      </w:r>
      <w:r w:rsidR="00CA47BC">
        <w:rPr>
          <w:rFonts w:ascii="Arial" w:eastAsia="Calibri" w:hAnsi="Arial" w:cs="Arial"/>
        </w:rPr>
        <w:t>Once again, the accused entered a plea of not guilty. The magistrate</w:t>
      </w:r>
      <w:r w:rsidR="009D0363">
        <w:rPr>
          <w:rFonts w:ascii="Arial" w:eastAsia="Calibri" w:hAnsi="Arial" w:cs="Arial"/>
        </w:rPr>
        <w:t xml:space="preserve"> </w:t>
      </w:r>
      <w:r w:rsidR="00B0469A">
        <w:rPr>
          <w:rFonts w:ascii="Arial" w:eastAsia="Calibri" w:hAnsi="Arial" w:cs="Arial"/>
        </w:rPr>
        <w:t xml:space="preserve">then </w:t>
      </w:r>
      <w:r w:rsidR="009D0363">
        <w:rPr>
          <w:rFonts w:ascii="Arial" w:eastAsia="Calibri" w:hAnsi="Arial" w:cs="Arial"/>
        </w:rPr>
        <w:t xml:space="preserve">proceeded to direct a series of questions to </w:t>
      </w:r>
      <w:r w:rsidR="00CA47BC">
        <w:rPr>
          <w:rFonts w:ascii="Arial" w:eastAsia="Calibri" w:hAnsi="Arial" w:cs="Arial"/>
        </w:rPr>
        <w:t>him in terms of s 112(1)(b)</w:t>
      </w:r>
      <w:r w:rsidR="009D0363">
        <w:rPr>
          <w:rFonts w:ascii="Arial" w:eastAsia="Calibri" w:hAnsi="Arial" w:cs="Arial"/>
        </w:rPr>
        <w:t xml:space="preserve"> in relation to the </w:t>
      </w:r>
      <w:r w:rsidR="00B0469A">
        <w:rPr>
          <w:rFonts w:ascii="Arial" w:eastAsia="Calibri" w:hAnsi="Arial" w:cs="Arial"/>
        </w:rPr>
        <w:t>alternative count</w:t>
      </w:r>
      <w:r w:rsidR="009D0363">
        <w:rPr>
          <w:rFonts w:ascii="Arial" w:eastAsia="Calibri" w:hAnsi="Arial" w:cs="Arial"/>
        </w:rPr>
        <w:t xml:space="preserve">. During this exchange the accused stated that whilst he was at his mother’s residence </w:t>
      </w:r>
      <w:r w:rsidR="00DD0B6D">
        <w:rPr>
          <w:rFonts w:ascii="Arial" w:eastAsia="Calibri" w:hAnsi="Arial" w:cs="Arial"/>
        </w:rPr>
        <w:t>his sister had arr</w:t>
      </w:r>
      <w:r w:rsidR="009D0363">
        <w:rPr>
          <w:rFonts w:ascii="Arial" w:eastAsia="Calibri" w:hAnsi="Arial" w:cs="Arial"/>
        </w:rPr>
        <w:t xml:space="preserve">ived and started </w:t>
      </w:r>
      <w:r w:rsidR="00DD0B6D">
        <w:rPr>
          <w:rFonts w:ascii="Arial" w:eastAsia="Calibri" w:hAnsi="Arial" w:cs="Arial"/>
        </w:rPr>
        <w:t>shouting</w:t>
      </w:r>
      <w:r w:rsidR="009D0363">
        <w:rPr>
          <w:rFonts w:ascii="Arial" w:eastAsia="Calibri" w:hAnsi="Arial" w:cs="Arial"/>
        </w:rPr>
        <w:t xml:space="preserve"> and swearing </w:t>
      </w:r>
      <w:r w:rsidR="00DD0B6D">
        <w:rPr>
          <w:rFonts w:ascii="Arial" w:eastAsia="Calibri" w:hAnsi="Arial" w:cs="Arial"/>
        </w:rPr>
        <w:t>at him</w:t>
      </w:r>
      <w:r w:rsidR="00BB3033">
        <w:rPr>
          <w:rFonts w:ascii="Arial" w:eastAsia="Calibri" w:hAnsi="Arial" w:cs="Arial"/>
        </w:rPr>
        <w:t>. She also</w:t>
      </w:r>
      <w:r w:rsidR="009D0363">
        <w:rPr>
          <w:rFonts w:ascii="Arial" w:eastAsia="Calibri" w:hAnsi="Arial" w:cs="Arial"/>
        </w:rPr>
        <w:t xml:space="preserve"> </w:t>
      </w:r>
      <w:r w:rsidR="009A2CE8">
        <w:rPr>
          <w:rFonts w:ascii="Arial" w:eastAsia="Calibri" w:hAnsi="Arial" w:cs="Arial"/>
        </w:rPr>
        <w:t>allegedly referred to</w:t>
      </w:r>
      <w:r w:rsidR="009D0363">
        <w:rPr>
          <w:rFonts w:ascii="Arial" w:eastAsia="Calibri" w:hAnsi="Arial" w:cs="Arial"/>
        </w:rPr>
        <w:t xml:space="preserve"> </w:t>
      </w:r>
      <w:r w:rsidR="00CA47BC">
        <w:rPr>
          <w:rFonts w:ascii="Arial" w:eastAsia="Calibri" w:hAnsi="Arial" w:cs="Arial"/>
        </w:rPr>
        <w:t>his c</w:t>
      </w:r>
      <w:r w:rsidR="009D0363">
        <w:rPr>
          <w:rFonts w:ascii="Arial" w:eastAsia="Calibri" w:hAnsi="Arial" w:cs="Arial"/>
        </w:rPr>
        <w:t>hild, who had been born HIV-positive</w:t>
      </w:r>
      <w:r w:rsidR="00BB3033">
        <w:rPr>
          <w:rFonts w:ascii="Arial" w:eastAsia="Calibri" w:hAnsi="Arial" w:cs="Arial"/>
        </w:rPr>
        <w:t>,</w:t>
      </w:r>
      <w:r w:rsidR="00666EDA">
        <w:rPr>
          <w:rFonts w:ascii="Arial" w:eastAsia="Calibri" w:hAnsi="Arial" w:cs="Arial"/>
        </w:rPr>
        <w:t xml:space="preserve"> in</w:t>
      </w:r>
      <w:r w:rsidR="00BB3033">
        <w:rPr>
          <w:rFonts w:ascii="Arial" w:eastAsia="Calibri" w:hAnsi="Arial" w:cs="Arial"/>
        </w:rPr>
        <w:t xml:space="preserve"> disparaging</w:t>
      </w:r>
      <w:r w:rsidR="00666EDA">
        <w:rPr>
          <w:rFonts w:ascii="Arial" w:eastAsia="Calibri" w:hAnsi="Arial" w:cs="Arial"/>
        </w:rPr>
        <w:t xml:space="preserve"> terms</w:t>
      </w:r>
      <w:r w:rsidR="009D0363">
        <w:rPr>
          <w:rFonts w:ascii="Arial" w:eastAsia="Calibri" w:hAnsi="Arial" w:cs="Arial"/>
        </w:rPr>
        <w:t xml:space="preserve">. </w:t>
      </w:r>
      <w:r w:rsidR="00BB3033">
        <w:rPr>
          <w:rFonts w:ascii="Arial" w:eastAsia="Calibri" w:hAnsi="Arial" w:cs="Arial"/>
        </w:rPr>
        <w:t>The a</w:t>
      </w:r>
      <w:r w:rsidR="009D0363">
        <w:rPr>
          <w:rFonts w:ascii="Arial" w:eastAsia="Calibri" w:hAnsi="Arial" w:cs="Arial"/>
        </w:rPr>
        <w:t xml:space="preserve">ccused </w:t>
      </w:r>
      <w:r w:rsidR="00BB3033">
        <w:rPr>
          <w:rFonts w:ascii="Arial" w:eastAsia="Calibri" w:hAnsi="Arial" w:cs="Arial"/>
        </w:rPr>
        <w:t xml:space="preserve">said this made him </w:t>
      </w:r>
      <w:r w:rsidR="009D0363">
        <w:rPr>
          <w:rFonts w:ascii="Arial" w:eastAsia="Calibri" w:hAnsi="Arial" w:cs="Arial"/>
        </w:rPr>
        <w:t xml:space="preserve">angry and </w:t>
      </w:r>
      <w:r w:rsidR="00BB3033">
        <w:rPr>
          <w:rFonts w:ascii="Arial" w:eastAsia="Calibri" w:hAnsi="Arial" w:cs="Arial"/>
        </w:rPr>
        <w:t xml:space="preserve">he </w:t>
      </w:r>
      <w:r w:rsidR="00CA47BC">
        <w:rPr>
          <w:rFonts w:ascii="Arial" w:eastAsia="Calibri" w:hAnsi="Arial" w:cs="Arial"/>
        </w:rPr>
        <w:t>struck</w:t>
      </w:r>
      <w:r w:rsidR="009D0363">
        <w:rPr>
          <w:rFonts w:ascii="Arial" w:eastAsia="Calibri" w:hAnsi="Arial" w:cs="Arial"/>
        </w:rPr>
        <w:t xml:space="preserve"> </w:t>
      </w:r>
      <w:r w:rsidR="00CA47BC">
        <w:rPr>
          <w:rFonts w:ascii="Arial" w:eastAsia="Calibri" w:hAnsi="Arial" w:cs="Arial"/>
        </w:rPr>
        <w:t>her with his fist</w:t>
      </w:r>
      <w:r w:rsidR="00BB3033">
        <w:rPr>
          <w:rFonts w:ascii="Arial" w:eastAsia="Calibri" w:hAnsi="Arial" w:cs="Arial"/>
        </w:rPr>
        <w:t>,</w:t>
      </w:r>
      <w:r w:rsidR="009D0363">
        <w:rPr>
          <w:rFonts w:ascii="Arial" w:eastAsia="Calibri" w:hAnsi="Arial" w:cs="Arial"/>
        </w:rPr>
        <w:t xml:space="preserve"> whereupon </w:t>
      </w:r>
      <w:r w:rsidR="00BB3033">
        <w:rPr>
          <w:rFonts w:ascii="Arial" w:eastAsia="Calibri" w:hAnsi="Arial" w:cs="Arial"/>
        </w:rPr>
        <w:t xml:space="preserve">she </w:t>
      </w:r>
      <w:r w:rsidR="009D0363">
        <w:rPr>
          <w:rFonts w:ascii="Arial" w:eastAsia="Calibri" w:hAnsi="Arial" w:cs="Arial"/>
        </w:rPr>
        <w:t xml:space="preserve">took the kettle and threw it on the floor </w:t>
      </w:r>
      <w:r w:rsidR="00BB3033">
        <w:rPr>
          <w:rFonts w:ascii="Arial" w:eastAsia="Calibri" w:hAnsi="Arial" w:cs="Arial"/>
        </w:rPr>
        <w:t>and ran</w:t>
      </w:r>
      <w:r w:rsidR="009D0363">
        <w:rPr>
          <w:rFonts w:ascii="Arial" w:eastAsia="Calibri" w:hAnsi="Arial" w:cs="Arial"/>
        </w:rPr>
        <w:t xml:space="preserve"> out of the house. </w:t>
      </w:r>
      <w:r w:rsidR="00666EDA">
        <w:rPr>
          <w:rFonts w:ascii="Arial" w:eastAsia="Calibri" w:hAnsi="Arial" w:cs="Arial"/>
        </w:rPr>
        <w:t>He</w:t>
      </w:r>
      <w:r w:rsidR="009D0363">
        <w:rPr>
          <w:rFonts w:ascii="Arial" w:eastAsia="Calibri" w:hAnsi="Arial" w:cs="Arial"/>
        </w:rPr>
        <w:t xml:space="preserve"> followed </w:t>
      </w:r>
      <w:r w:rsidR="00BB3033">
        <w:rPr>
          <w:rFonts w:ascii="Arial" w:eastAsia="Calibri" w:hAnsi="Arial" w:cs="Arial"/>
        </w:rPr>
        <w:t xml:space="preserve">her to </w:t>
      </w:r>
      <w:r w:rsidR="009D0363">
        <w:rPr>
          <w:rFonts w:ascii="Arial" w:eastAsia="Calibri" w:hAnsi="Arial" w:cs="Arial"/>
        </w:rPr>
        <w:t xml:space="preserve">the </w:t>
      </w:r>
      <w:r w:rsidR="00B0469A">
        <w:rPr>
          <w:rFonts w:ascii="Arial" w:eastAsia="Calibri" w:hAnsi="Arial" w:cs="Arial"/>
        </w:rPr>
        <w:t xml:space="preserve">place </w:t>
      </w:r>
      <w:r w:rsidR="009D0363">
        <w:rPr>
          <w:rFonts w:ascii="Arial" w:eastAsia="Calibri" w:hAnsi="Arial" w:cs="Arial"/>
        </w:rPr>
        <w:t>w</w:t>
      </w:r>
      <w:r w:rsidR="00BB3033">
        <w:rPr>
          <w:rFonts w:ascii="Arial" w:eastAsia="Calibri" w:hAnsi="Arial" w:cs="Arial"/>
        </w:rPr>
        <w:t>here his</w:t>
      </w:r>
      <w:r w:rsidR="009D0363">
        <w:rPr>
          <w:rFonts w:ascii="Arial" w:eastAsia="Calibri" w:hAnsi="Arial" w:cs="Arial"/>
        </w:rPr>
        <w:t xml:space="preserve"> mother was drinking with a friend</w:t>
      </w:r>
      <w:r w:rsidR="00BB3033">
        <w:rPr>
          <w:rFonts w:ascii="Arial" w:eastAsia="Calibri" w:hAnsi="Arial" w:cs="Arial"/>
        </w:rPr>
        <w:t xml:space="preserve">, and </w:t>
      </w:r>
      <w:r w:rsidR="009D0363">
        <w:rPr>
          <w:rFonts w:ascii="Arial" w:eastAsia="Calibri" w:hAnsi="Arial" w:cs="Arial"/>
        </w:rPr>
        <w:t>an argument ensued between</w:t>
      </w:r>
      <w:r w:rsidR="00BB3033">
        <w:rPr>
          <w:rFonts w:ascii="Arial" w:eastAsia="Calibri" w:hAnsi="Arial" w:cs="Arial"/>
        </w:rPr>
        <w:t xml:space="preserve"> them</w:t>
      </w:r>
      <w:r w:rsidR="009D0363">
        <w:rPr>
          <w:rFonts w:ascii="Arial" w:eastAsia="Calibri" w:hAnsi="Arial" w:cs="Arial"/>
        </w:rPr>
        <w:t xml:space="preserve">. The accused then left and went to live elsewhere for a few days during which time he was attacked and stabbed by a group of </w:t>
      </w:r>
      <w:r w:rsidR="00BB3033">
        <w:rPr>
          <w:rFonts w:ascii="Arial" w:eastAsia="Calibri" w:hAnsi="Arial" w:cs="Arial"/>
        </w:rPr>
        <w:t xml:space="preserve">unknown </w:t>
      </w:r>
      <w:r w:rsidR="009D0363">
        <w:rPr>
          <w:rFonts w:ascii="Arial" w:eastAsia="Calibri" w:hAnsi="Arial" w:cs="Arial"/>
        </w:rPr>
        <w:t xml:space="preserve">assailants. He was arrested by the police a few days </w:t>
      </w:r>
      <w:proofErr w:type="gramStart"/>
      <w:r w:rsidR="009D0363">
        <w:rPr>
          <w:rFonts w:ascii="Arial" w:eastAsia="Calibri" w:hAnsi="Arial" w:cs="Arial"/>
        </w:rPr>
        <w:t>later</w:t>
      </w:r>
      <w:r w:rsidR="00B0469A">
        <w:rPr>
          <w:rFonts w:ascii="Arial" w:eastAsia="Calibri" w:hAnsi="Arial" w:cs="Arial"/>
        </w:rPr>
        <w:t>,</w:t>
      </w:r>
      <w:proofErr w:type="gramEnd"/>
      <w:r w:rsidR="009D0363">
        <w:rPr>
          <w:rFonts w:ascii="Arial" w:eastAsia="Calibri" w:hAnsi="Arial" w:cs="Arial"/>
        </w:rPr>
        <w:t xml:space="preserve"> a</w:t>
      </w:r>
      <w:r w:rsidR="00B0469A">
        <w:rPr>
          <w:rFonts w:ascii="Arial" w:eastAsia="Calibri" w:hAnsi="Arial" w:cs="Arial"/>
        </w:rPr>
        <w:t>t which time he w</w:t>
      </w:r>
      <w:r w:rsidR="009D0363">
        <w:rPr>
          <w:rFonts w:ascii="Arial" w:eastAsia="Calibri" w:hAnsi="Arial" w:cs="Arial"/>
        </w:rPr>
        <w:t>as also allegedly assaulted by them.</w:t>
      </w:r>
    </w:p>
    <w:p w14:paraId="48513F4C" w14:textId="764CB468" w:rsidR="00BB3033" w:rsidRDefault="008C795E" w:rsidP="008C795E">
      <w:pPr>
        <w:adjustRightInd w:val="0"/>
        <w:spacing w:after="0" w:line="360" w:lineRule="auto"/>
        <w:ind w:left="720" w:hanging="720"/>
        <w:contextualSpacing/>
        <w:jc w:val="both"/>
        <w:textAlignment w:val="baseline"/>
        <w:rPr>
          <w:rFonts w:ascii="Arial" w:eastAsia="Calibri" w:hAnsi="Arial" w:cs="Arial"/>
        </w:rPr>
      </w:pPr>
      <w:r>
        <w:rPr>
          <w:rFonts w:ascii="Arial" w:eastAsia="Calibri" w:hAnsi="Arial" w:cs="Arial"/>
        </w:rPr>
        <w:t>22.</w:t>
      </w:r>
      <w:r>
        <w:rPr>
          <w:rFonts w:ascii="Arial" w:eastAsia="Calibri" w:hAnsi="Arial" w:cs="Arial"/>
        </w:rPr>
        <w:tab/>
      </w:r>
      <w:r w:rsidR="009D0363">
        <w:rPr>
          <w:rFonts w:ascii="Arial" w:eastAsia="Calibri" w:hAnsi="Arial" w:cs="Arial"/>
        </w:rPr>
        <w:t xml:space="preserve">After considering what the accused told him the magistrate was not satisfied that he had </w:t>
      </w:r>
      <w:r w:rsidR="00BB3033">
        <w:rPr>
          <w:rFonts w:ascii="Arial" w:eastAsia="Calibri" w:hAnsi="Arial" w:cs="Arial"/>
        </w:rPr>
        <w:t xml:space="preserve">properly </w:t>
      </w:r>
      <w:r w:rsidR="009D0363">
        <w:rPr>
          <w:rFonts w:ascii="Arial" w:eastAsia="Calibri" w:hAnsi="Arial" w:cs="Arial"/>
        </w:rPr>
        <w:t xml:space="preserve">admitted to all the elements of the charge </w:t>
      </w:r>
      <w:r w:rsidR="00BB3033">
        <w:rPr>
          <w:rFonts w:ascii="Arial" w:eastAsia="Calibri" w:hAnsi="Arial" w:cs="Arial"/>
        </w:rPr>
        <w:t xml:space="preserve">and </w:t>
      </w:r>
      <w:r w:rsidR="00B0469A">
        <w:rPr>
          <w:rFonts w:ascii="Arial" w:eastAsia="Calibri" w:hAnsi="Arial" w:cs="Arial"/>
        </w:rPr>
        <w:t xml:space="preserve">he </w:t>
      </w:r>
      <w:r w:rsidR="009D0363">
        <w:rPr>
          <w:rFonts w:ascii="Arial" w:eastAsia="Calibri" w:hAnsi="Arial" w:cs="Arial"/>
        </w:rPr>
        <w:t xml:space="preserve">consequently altered the accused’s plea to one of not guilty and directed the prosecutor to present evidence in respect </w:t>
      </w:r>
      <w:r w:rsidR="00B0469A">
        <w:rPr>
          <w:rFonts w:ascii="Arial" w:eastAsia="Calibri" w:hAnsi="Arial" w:cs="Arial"/>
        </w:rPr>
        <w:t>there</w:t>
      </w:r>
      <w:r w:rsidR="009D0363">
        <w:rPr>
          <w:rFonts w:ascii="Arial" w:eastAsia="Calibri" w:hAnsi="Arial" w:cs="Arial"/>
        </w:rPr>
        <w:t xml:space="preserve">of, whereupon the prosecutor proceeded to </w:t>
      </w:r>
      <w:r w:rsidR="00BB3033">
        <w:rPr>
          <w:rFonts w:ascii="Arial" w:eastAsia="Calibri" w:hAnsi="Arial" w:cs="Arial"/>
        </w:rPr>
        <w:t>re</w:t>
      </w:r>
      <w:r w:rsidR="009D0363">
        <w:rPr>
          <w:rFonts w:ascii="Arial" w:eastAsia="Calibri" w:hAnsi="Arial" w:cs="Arial"/>
        </w:rPr>
        <w:t xml:space="preserve">call </w:t>
      </w:r>
      <w:r w:rsidR="00BB3033">
        <w:rPr>
          <w:rFonts w:ascii="Arial" w:eastAsia="Calibri" w:hAnsi="Arial" w:cs="Arial"/>
        </w:rPr>
        <w:t xml:space="preserve">the </w:t>
      </w:r>
      <w:r w:rsidR="009D0363">
        <w:rPr>
          <w:rFonts w:ascii="Arial" w:eastAsia="Calibri" w:hAnsi="Arial" w:cs="Arial"/>
        </w:rPr>
        <w:t>accused</w:t>
      </w:r>
      <w:r w:rsidR="00BB3033">
        <w:rPr>
          <w:rFonts w:ascii="Arial" w:eastAsia="Calibri" w:hAnsi="Arial" w:cs="Arial"/>
        </w:rPr>
        <w:t>’s</w:t>
      </w:r>
      <w:r w:rsidR="009D0363">
        <w:rPr>
          <w:rFonts w:ascii="Arial" w:eastAsia="Calibri" w:hAnsi="Arial" w:cs="Arial"/>
        </w:rPr>
        <w:t xml:space="preserve"> mother to give evidence for a 2</w:t>
      </w:r>
      <w:r w:rsidR="009D0363" w:rsidRPr="009D0363">
        <w:rPr>
          <w:rFonts w:ascii="Arial" w:eastAsia="Calibri" w:hAnsi="Arial" w:cs="Arial"/>
          <w:vertAlign w:val="superscript"/>
        </w:rPr>
        <w:t>nd</w:t>
      </w:r>
      <w:r w:rsidR="009D0363">
        <w:rPr>
          <w:rFonts w:ascii="Arial" w:eastAsia="Calibri" w:hAnsi="Arial" w:cs="Arial"/>
        </w:rPr>
        <w:t xml:space="preserve"> time, even though, as p</w:t>
      </w:r>
      <w:r w:rsidR="00BB3033">
        <w:rPr>
          <w:rFonts w:ascii="Arial" w:eastAsia="Calibri" w:hAnsi="Arial" w:cs="Arial"/>
        </w:rPr>
        <w:t>reviously</w:t>
      </w:r>
      <w:r w:rsidR="009D0363">
        <w:rPr>
          <w:rFonts w:ascii="Arial" w:eastAsia="Calibri" w:hAnsi="Arial" w:cs="Arial"/>
        </w:rPr>
        <w:t xml:space="preserve"> pointed out she had no personal, </w:t>
      </w:r>
      <w:r w:rsidR="00B0469A">
        <w:rPr>
          <w:rFonts w:ascii="Arial" w:eastAsia="Calibri" w:hAnsi="Arial" w:cs="Arial"/>
        </w:rPr>
        <w:t>first-</w:t>
      </w:r>
      <w:r w:rsidR="00BB3033">
        <w:rPr>
          <w:rFonts w:ascii="Arial" w:eastAsia="Calibri" w:hAnsi="Arial" w:cs="Arial"/>
        </w:rPr>
        <w:t xml:space="preserve">hand </w:t>
      </w:r>
      <w:r w:rsidR="009D0363">
        <w:rPr>
          <w:rFonts w:ascii="Arial" w:eastAsia="Calibri" w:hAnsi="Arial" w:cs="Arial"/>
        </w:rPr>
        <w:t xml:space="preserve">knowledge of the events which gave rise to </w:t>
      </w:r>
      <w:r w:rsidR="00906A9B">
        <w:rPr>
          <w:rFonts w:ascii="Arial" w:eastAsia="Calibri" w:hAnsi="Arial" w:cs="Arial"/>
        </w:rPr>
        <w:t xml:space="preserve">either of the </w:t>
      </w:r>
      <w:r w:rsidR="009D0363">
        <w:rPr>
          <w:rFonts w:ascii="Arial" w:eastAsia="Calibri" w:hAnsi="Arial" w:cs="Arial"/>
        </w:rPr>
        <w:t>charge</w:t>
      </w:r>
      <w:r w:rsidR="00906A9B">
        <w:rPr>
          <w:rFonts w:ascii="Arial" w:eastAsia="Calibri" w:hAnsi="Arial" w:cs="Arial"/>
        </w:rPr>
        <w:t>s</w:t>
      </w:r>
      <w:r w:rsidR="009D0363">
        <w:rPr>
          <w:rFonts w:ascii="Arial" w:eastAsia="Calibri" w:hAnsi="Arial" w:cs="Arial"/>
        </w:rPr>
        <w:t xml:space="preserve"> and had not witnessed the accused </w:t>
      </w:r>
      <w:r w:rsidR="00CA47BC">
        <w:rPr>
          <w:rFonts w:ascii="Arial" w:eastAsia="Calibri" w:hAnsi="Arial" w:cs="Arial"/>
        </w:rPr>
        <w:t>damaging he</w:t>
      </w:r>
      <w:r w:rsidR="001A17D6">
        <w:rPr>
          <w:rFonts w:ascii="Arial" w:eastAsia="Calibri" w:hAnsi="Arial" w:cs="Arial"/>
        </w:rPr>
        <w:t>r</w:t>
      </w:r>
      <w:r w:rsidR="00CA47BC">
        <w:rPr>
          <w:rFonts w:ascii="Arial" w:eastAsia="Calibri" w:hAnsi="Arial" w:cs="Arial"/>
        </w:rPr>
        <w:t xml:space="preserve"> property or </w:t>
      </w:r>
      <w:r w:rsidR="00BB3033">
        <w:rPr>
          <w:rFonts w:ascii="Arial" w:eastAsia="Calibri" w:hAnsi="Arial" w:cs="Arial"/>
        </w:rPr>
        <w:t>as</w:t>
      </w:r>
      <w:r w:rsidR="009D0363">
        <w:rPr>
          <w:rFonts w:ascii="Arial" w:eastAsia="Calibri" w:hAnsi="Arial" w:cs="Arial"/>
        </w:rPr>
        <w:t>s</w:t>
      </w:r>
      <w:r w:rsidR="00BB3033">
        <w:rPr>
          <w:rFonts w:ascii="Arial" w:eastAsia="Calibri" w:hAnsi="Arial" w:cs="Arial"/>
        </w:rPr>
        <w:t>aulting</w:t>
      </w:r>
      <w:r w:rsidR="009D0363">
        <w:rPr>
          <w:rFonts w:ascii="Arial" w:eastAsia="Calibri" w:hAnsi="Arial" w:cs="Arial"/>
        </w:rPr>
        <w:t xml:space="preserve"> his sister. </w:t>
      </w:r>
      <w:r w:rsidR="00BB3033">
        <w:rPr>
          <w:rFonts w:ascii="Arial" w:eastAsia="Calibri" w:hAnsi="Arial" w:cs="Arial"/>
        </w:rPr>
        <w:t>No surprise then that, w</w:t>
      </w:r>
      <w:r w:rsidR="009D0363">
        <w:rPr>
          <w:rFonts w:ascii="Arial" w:eastAsia="Calibri" w:hAnsi="Arial" w:cs="Arial"/>
        </w:rPr>
        <w:t xml:space="preserve">hen </w:t>
      </w:r>
      <w:r w:rsidR="00BB3033">
        <w:rPr>
          <w:rFonts w:ascii="Arial" w:eastAsia="Calibri" w:hAnsi="Arial" w:cs="Arial"/>
        </w:rPr>
        <w:t xml:space="preserve">she was </w:t>
      </w:r>
      <w:r w:rsidR="009D0363">
        <w:rPr>
          <w:rFonts w:ascii="Arial" w:eastAsia="Calibri" w:hAnsi="Arial" w:cs="Arial"/>
        </w:rPr>
        <w:t>asked</w:t>
      </w:r>
      <w:r w:rsidR="00CA47BC">
        <w:rPr>
          <w:rFonts w:ascii="Arial" w:eastAsia="Calibri" w:hAnsi="Arial" w:cs="Arial"/>
        </w:rPr>
        <w:t>,</w:t>
      </w:r>
      <w:r w:rsidR="009D0363">
        <w:rPr>
          <w:rFonts w:ascii="Arial" w:eastAsia="Calibri" w:hAnsi="Arial" w:cs="Arial"/>
        </w:rPr>
        <w:t xml:space="preserve"> at the commencement of her </w:t>
      </w:r>
      <w:r w:rsidR="00B0469A">
        <w:rPr>
          <w:rFonts w:ascii="Arial" w:eastAsia="Calibri" w:hAnsi="Arial" w:cs="Arial"/>
        </w:rPr>
        <w:t xml:space="preserve">second </w:t>
      </w:r>
      <w:r w:rsidR="00BB3033">
        <w:rPr>
          <w:rFonts w:ascii="Arial" w:eastAsia="Calibri" w:hAnsi="Arial" w:cs="Arial"/>
        </w:rPr>
        <w:t>t</w:t>
      </w:r>
      <w:r w:rsidR="009D0363">
        <w:rPr>
          <w:rFonts w:ascii="Arial" w:eastAsia="Calibri" w:hAnsi="Arial" w:cs="Arial"/>
        </w:rPr>
        <w:t>estimony</w:t>
      </w:r>
      <w:r w:rsidR="00B0469A">
        <w:rPr>
          <w:rFonts w:ascii="Arial" w:eastAsia="Calibri" w:hAnsi="Arial" w:cs="Arial"/>
        </w:rPr>
        <w:t>,</w:t>
      </w:r>
      <w:r w:rsidR="009D0363">
        <w:rPr>
          <w:rFonts w:ascii="Arial" w:eastAsia="Calibri" w:hAnsi="Arial" w:cs="Arial"/>
        </w:rPr>
        <w:t xml:space="preserve"> what </w:t>
      </w:r>
      <w:r w:rsidR="00B0469A">
        <w:rPr>
          <w:rFonts w:ascii="Arial" w:eastAsia="Calibri" w:hAnsi="Arial" w:cs="Arial"/>
        </w:rPr>
        <w:t xml:space="preserve">had </w:t>
      </w:r>
      <w:r w:rsidR="009D0363">
        <w:rPr>
          <w:rFonts w:ascii="Arial" w:eastAsia="Calibri" w:hAnsi="Arial" w:cs="Arial"/>
        </w:rPr>
        <w:t>happened on th</w:t>
      </w:r>
      <w:r w:rsidR="00BB3033">
        <w:rPr>
          <w:rFonts w:ascii="Arial" w:eastAsia="Calibri" w:hAnsi="Arial" w:cs="Arial"/>
        </w:rPr>
        <w:t>e day</w:t>
      </w:r>
      <w:r w:rsidR="00B0469A">
        <w:rPr>
          <w:rFonts w:ascii="Arial" w:eastAsia="Calibri" w:hAnsi="Arial" w:cs="Arial"/>
        </w:rPr>
        <w:t>,</w:t>
      </w:r>
      <w:r w:rsidR="00BB3033">
        <w:rPr>
          <w:rFonts w:ascii="Arial" w:eastAsia="Calibri" w:hAnsi="Arial" w:cs="Arial"/>
        </w:rPr>
        <w:t xml:space="preserve"> she</w:t>
      </w:r>
      <w:r w:rsidR="009D0363">
        <w:rPr>
          <w:rFonts w:ascii="Arial" w:eastAsia="Calibri" w:hAnsi="Arial" w:cs="Arial"/>
        </w:rPr>
        <w:t xml:space="preserve"> </w:t>
      </w:r>
      <w:r w:rsidR="00B0469A">
        <w:rPr>
          <w:rFonts w:ascii="Arial" w:eastAsia="Calibri" w:hAnsi="Arial" w:cs="Arial"/>
        </w:rPr>
        <w:t>said</w:t>
      </w:r>
      <w:r w:rsidR="00BB3033">
        <w:rPr>
          <w:rFonts w:ascii="Arial" w:eastAsia="Calibri" w:hAnsi="Arial" w:cs="Arial"/>
        </w:rPr>
        <w:t xml:space="preserve"> that she </w:t>
      </w:r>
      <w:r w:rsidR="009D0363">
        <w:rPr>
          <w:rFonts w:ascii="Arial" w:eastAsia="Calibri" w:hAnsi="Arial" w:cs="Arial"/>
        </w:rPr>
        <w:t xml:space="preserve">had not been at home </w:t>
      </w:r>
      <w:r w:rsidR="00BB3033">
        <w:rPr>
          <w:rFonts w:ascii="Arial" w:eastAsia="Calibri" w:hAnsi="Arial" w:cs="Arial"/>
        </w:rPr>
        <w:t xml:space="preserve">at the time </w:t>
      </w:r>
      <w:r w:rsidR="009D0363">
        <w:rPr>
          <w:rFonts w:ascii="Arial" w:eastAsia="Calibri" w:hAnsi="Arial" w:cs="Arial"/>
        </w:rPr>
        <w:t>and had simply been told certain things by her daughter</w:t>
      </w:r>
      <w:r w:rsidR="00BB3033">
        <w:rPr>
          <w:rFonts w:ascii="Arial" w:eastAsia="Calibri" w:hAnsi="Arial" w:cs="Arial"/>
        </w:rPr>
        <w:t>.</w:t>
      </w:r>
    </w:p>
    <w:p w14:paraId="6BCBBB10" w14:textId="4505459F" w:rsidR="009D0363" w:rsidRDefault="008C795E" w:rsidP="008C795E">
      <w:pPr>
        <w:adjustRightInd w:val="0"/>
        <w:spacing w:after="0" w:line="360" w:lineRule="auto"/>
        <w:ind w:left="720" w:hanging="720"/>
        <w:contextualSpacing/>
        <w:jc w:val="both"/>
        <w:textAlignment w:val="baseline"/>
        <w:rPr>
          <w:rFonts w:ascii="Arial" w:eastAsia="Calibri" w:hAnsi="Arial" w:cs="Arial"/>
        </w:rPr>
      </w:pPr>
      <w:r>
        <w:rPr>
          <w:rFonts w:ascii="Arial" w:eastAsia="Calibri" w:hAnsi="Arial" w:cs="Arial"/>
        </w:rPr>
        <w:t>23.</w:t>
      </w:r>
      <w:r>
        <w:rPr>
          <w:rFonts w:ascii="Arial" w:eastAsia="Calibri" w:hAnsi="Arial" w:cs="Arial"/>
        </w:rPr>
        <w:tab/>
      </w:r>
      <w:r w:rsidR="009D0363">
        <w:rPr>
          <w:rFonts w:ascii="Arial" w:eastAsia="Calibri" w:hAnsi="Arial" w:cs="Arial"/>
        </w:rPr>
        <w:t xml:space="preserve"> </w:t>
      </w:r>
      <w:r w:rsidR="00BB3033">
        <w:rPr>
          <w:rFonts w:ascii="Arial" w:eastAsia="Calibri" w:hAnsi="Arial" w:cs="Arial"/>
        </w:rPr>
        <w:t>A</w:t>
      </w:r>
      <w:r w:rsidR="009D0363">
        <w:rPr>
          <w:rFonts w:ascii="Arial" w:eastAsia="Calibri" w:hAnsi="Arial" w:cs="Arial"/>
        </w:rPr>
        <w:t xml:space="preserve">t this point the court adjourned for a few minutes. On resumption of proceedings the prosecutor </w:t>
      </w:r>
      <w:r w:rsidR="005B34A6">
        <w:rPr>
          <w:rFonts w:ascii="Arial" w:eastAsia="Calibri" w:hAnsi="Arial" w:cs="Arial"/>
        </w:rPr>
        <w:t xml:space="preserve">again </w:t>
      </w:r>
      <w:r w:rsidR="009D0363">
        <w:rPr>
          <w:rFonts w:ascii="Arial" w:eastAsia="Calibri" w:hAnsi="Arial" w:cs="Arial"/>
        </w:rPr>
        <w:t xml:space="preserve">pointed </w:t>
      </w:r>
      <w:r w:rsidR="005B34A6">
        <w:rPr>
          <w:rFonts w:ascii="Arial" w:eastAsia="Calibri" w:hAnsi="Arial" w:cs="Arial"/>
        </w:rPr>
        <w:t xml:space="preserve">out </w:t>
      </w:r>
      <w:r w:rsidR="009D0363">
        <w:rPr>
          <w:rFonts w:ascii="Arial" w:eastAsia="Calibri" w:hAnsi="Arial" w:cs="Arial"/>
        </w:rPr>
        <w:t>that the accused had already been found guilty on the main c</w:t>
      </w:r>
      <w:r w:rsidR="00BB3033">
        <w:rPr>
          <w:rFonts w:ascii="Arial" w:eastAsia="Calibri" w:hAnsi="Arial" w:cs="Arial"/>
        </w:rPr>
        <w:t>ount</w:t>
      </w:r>
      <w:r w:rsidR="009D0363">
        <w:rPr>
          <w:rFonts w:ascii="Arial" w:eastAsia="Calibri" w:hAnsi="Arial" w:cs="Arial"/>
        </w:rPr>
        <w:t xml:space="preserve"> of the 1</w:t>
      </w:r>
      <w:r w:rsidR="009D0363" w:rsidRPr="009D0363">
        <w:rPr>
          <w:rFonts w:ascii="Arial" w:eastAsia="Calibri" w:hAnsi="Arial" w:cs="Arial"/>
          <w:vertAlign w:val="superscript"/>
        </w:rPr>
        <w:t>st</w:t>
      </w:r>
      <w:r w:rsidR="009D0363">
        <w:rPr>
          <w:rFonts w:ascii="Arial" w:eastAsia="Calibri" w:hAnsi="Arial" w:cs="Arial"/>
        </w:rPr>
        <w:t xml:space="preserve"> charge. Notwithstanding th</w:t>
      </w:r>
      <w:r w:rsidR="004E6B6B">
        <w:rPr>
          <w:rFonts w:ascii="Arial" w:eastAsia="Calibri" w:hAnsi="Arial" w:cs="Arial"/>
        </w:rPr>
        <w:t>e</w:t>
      </w:r>
      <w:r w:rsidR="009D0363">
        <w:rPr>
          <w:rFonts w:ascii="Arial" w:eastAsia="Calibri" w:hAnsi="Arial" w:cs="Arial"/>
        </w:rPr>
        <w:t xml:space="preserve"> reminder the magistrate allowed the accused’s mother to </w:t>
      </w:r>
      <w:r w:rsidR="00BB3033">
        <w:rPr>
          <w:rFonts w:ascii="Arial" w:eastAsia="Calibri" w:hAnsi="Arial" w:cs="Arial"/>
        </w:rPr>
        <w:t xml:space="preserve">continue to </w:t>
      </w:r>
      <w:r w:rsidR="009D0363">
        <w:rPr>
          <w:rFonts w:ascii="Arial" w:eastAsia="Calibri" w:hAnsi="Arial" w:cs="Arial"/>
        </w:rPr>
        <w:t>give evidence, at which time</w:t>
      </w:r>
      <w:r w:rsidR="009F08BC">
        <w:rPr>
          <w:rFonts w:ascii="Arial" w:eastAsia="Calibri" w:hAnsi="Arial" w:cs="Arial"/>
        </w:rPr>
        <w:t>,</w:t>
      </w:r>
      <w:r w:rsidR="009D0363">
        <w:rPr>
          <w:rFonts w:ascii="Arial" w:eastAsia="Calibri" w:hAnsi="Arial" w:cs="Arial"/>
        </w:rPr>
        <w:t xml:space="preserve"> instead of eliciting admissible evidence </w:t>
      </w:r>
      <w:r w:rsidR="0024079F">
        <w:rPr>
          <w:rFonts w:ascii="Arial" w:eastAsia="Calibri" w:hAnsi="Arial" w:cs="Arial"/>
        </w:rPr>
        <w:t>she</w:t>
      </w:r>
      <w:r w:rsidR="009D0363">
        <w:rPr>
          <w:rFonts w:ascii="Arial" w:eastAsia="Calibri" w:hAnsi="Arial" w:cs="Arial"/>
        </w:rPr>
        <w:t xml:space="preserve"> again </w:t>
      </w:r>
      <w:r w:rsidR="009D0363">
        <w:rPr>
          <w:rFonts w:ascii="Arial" w:eastAsia="Calibri" w:hAnsi="Arial" w:cs="Arial"/>
        </w:rPr>
        <w:lastRenderedPageBreak/>
        <w:t xml:space="preserve">referred to certain hearsay intimations which had been </w:t>
      </w:r>
      <w:r w:rsidR="00B0469A">
        <w:rPr>
          <w:rFonts w:ascii="Arial" w:eastAsia="Calibri" w:hAnsi="Arial" w:cs="Arial"/>
        </w:rPr>
        <w:t xml:space="preserve">imparted </w:t>
      </w:r>
      <w:r w:rsidR="00BB3033">
        <w:rPr>
          <w:rFonts w:ascii="Arial" w:eastAsia="Calibri" w:hAnsi="Arial" w:cs="Arial"/>
        </w:rPr>
        <w:t xml:space="preserve">to her </w:t>
      </w:r>
      <w:r w:rsidR="009D0363">
        <w:rPr>
          <w:rFonts w:ascii="Arial" w:eastAsia="Calibri" w:hAnsi="Arial" w:cs="Arial"/>
        </w:rPr>
        <w:t xml:space="preserve">by her daughter and a neighbour. When asked by the </w:t>
      </w:r>
      <w:r w:rsidR="00BB3033">
        <w:rPr>
          <w:rFonts w:ascii="Arial" w:eastAsia="Calibri" w:hAnsi="Arial" w:cs="Arial"/>
        </w:rPr>
        <w:t>magistrate whether</w:t>
      </w:r>
      <w:r w:rsidR="009D0363">
        <w:rPr>
          <w:rFonts w:ascii="Arial" w:eastAsia="Calibri" w:hAnsi="Arial" w:cs="Arial"/>
        </w:rPr>
        <w:t xml:space="preserve"> she personally knew anything about the kettle </w:t>
      </w:r>
      <w:r w:rsidR="00BB3033">
        <w:rPr>
          <w:rFonts w:ascii="Arial" w:eastAsia="Calibri" w:hAnsi="Arial" w:cs="Arial"/>
        </w:rPr>
        <w:t>and</w:t>
      </w:r>
      <w:r w:rsidR="009D0363">
        <w:rPr>
          <w:rFonts w:ascii="Arial" w:eastAsia="Calibri" w:hAnsi="Arial" w:cs="Arial"/>
        </w:rPr>
        <w:t xml:space="preserve"> the window she </w:t>
      </w:r>
      <w:r w:rsidR="00BB3033">
        <w:rPr>
          <w:rFonts w:ascii="Arial" w:eastAsia="Calibri" w:hAnsi="Arial" w:cs="Arial"/>
        </w:rPr>
        <w:t xml:space="preserve">said </w:t>
      </w:r>
      <w:r w:rsidR="009D0363">
        <w:rPr>
          <w:rFonts w:ascii="Arial" w:eastAsia="Calibri" w:hAnsi="Arial" w:cs="Arial"/>
        </w:rPr>
        <w:t xml:space="preserve">that she had not seen the accused damage or break either of them. </w:t>
      </w:r>
      <w:r w:rsidR="004E6B6B">
        <w:rPr>
          <w:rFonts w:ascii="Arial" w:eastAsia="Calibri" w:hAnsi="Arial" w:cs="Arial"/>
        </w:rPr>
        <w:t xml:space="preserve">How the magistrate could have asked the accused’s mother this after finding that the accused had broken the kettle and the window, when convicting him on the main count, is beyond comprehension. </w:t>
      </w:r>
      <w:r w:rsidR="009D0363">
        <w:rPr>
          <w:rFonts w:ascii="Arial" w:eastAsia="Calibri" w:hAnsi="Arial" w:cs="Arial"/>
        </w:rPr>
        <w:t xml:space="preserve">Understandably, given this evidence the accused had no questions </w:t>
      </w:r>
      <w:r w:rsidR="00BB3033">
        <w:rPr>
          <w:rFonts w:ascii="Arial" w:eastAsia="Calibri" w:hAnsi="Arial" w:cs="Arial"/>
        </w:rPr>
        <w:t xml:space="preserve">in further </w:t>
      </w:r>
      <w:r w:rsidR="009D0363">
        <w:rPr>
          <w:rFonts w:ascii="Arial" w:eastAsia="Calibri" w:hAnsi="Arial" w:cs="Arial"/>
        </w:rPr>
        <w:t xml:space="preserve">cross-examination, whereupon the state again reminded the magistrate that the accused had already been found guilty on the main </w:t>
      </w:r>
      <w:r w:rsidR="00BB3033">
        <w:rPr>
          <w:rFonts w:ascii="Arial" w:eastAsia="Calibri" w:hAnsi="Arial" w:cs="Arial"/>
        </w:rPr>
        <w:t>count of the 1</w:t>
      </w:r>
      <w:r w:rsidR="00BB3033" w:rsidRPr="00BB3033">
        <w:rPr>
          <w:rFonts w:ascii="Arial" w:eastAsia="Calibri" w:hAnsi="Arial" w:cs="Arial"/>
          <w:vertAlign w:val="superscript"/>
        </w:rPr>
        <w:t>st</w:t>
      </w:r>
      <w:r w:rsidR="00BB3033">
        <w:rPr>
          <w:rFonts w:ascii="Arial" w:eastAsia="Calibri" w:hAnsi="Arial" w:cs="Arial"/>
        </w:rPr>
        <w:t xml:space="preserve"> charge</w:t>
      </w:r>
      <w:r w:rsidR="009D0363">
        <w:rPr>
          <w:rFonts w:ascii="Arial" w:eastAsia="Calibri" w:hAnsi="Arial" w:cs="Arial"/>
        </w:rPr>
        <w:t xml:space="preserve"> and </w:t>
      </w:r>
      <w:r w:rsidR="00BB3033">
        <w:rPr>
          <w:rFonts w:ascii="Arial" w:eastAsia="Calibri" w:hAnsi="Arial" w:cs="Arial"/>
        </w:rPr>
        <w:t xml:space="preserve">proceeded to </w:t>
      </w:r>
      <w:r w:rsidR="009D0363">
        <w:rPr>
          <w:rFonts w:ascii="Arial" w:eastAsia="Calibri" w:hAnsi="Arial" w:cs="Arial"/>
        </w:rPr>
        <w:t>close its case, for a 2</w:t>
      </w:r>
      <w:r w:rsidR="009D0363" w:rsidRPr="009D0363">
        <w:rPr>
          <w:rFonts w:ascii="Arial" w:eastAsia="Calibri" w:hAnsi="Arial" w:cs="Arial"/>
          <w:vertAlign w:val="superscript"/>
        </w:rPr>
        <w:t>nd</w:t>
      </w:r>
      <w:r w:rsidR="009D0363">
        <w:rPr>
          <w:rFonts w:ascii="Arial" w:eastAsia="Calibri" w:hAnsi="Arial" w:cs="Arial"/>
        </w:rPr>
        <w:t xml:space="preserve"> time.</w:t>
      </w:r>
    </w:p>
    <w:p w14:paraId="46EF8F7F" w14:textId="7D266533" w:rsidR="00E968FA" w:rsidRPr="00E968FA" w:rsidRDefault="008C795E" w:rsidP="008C795E">
      <w:pPr>
        <w:adjustRightInd w:val="0"/>
        <w:spacing w:after="0" w:line="360" w:lineRule="auto"/>
        <w:ind w:left="720" w:hanging="720"/>
        <w:contextualSpacing/>
        <w:jc w:val="both"/>
        <w:textAlignment w:val="baseline"/>
      </w:pPr>
      <w:r w:rsidRPr="00E968FA">
        <w:rPr>
          <w:rFonts w:ascii="Arial" w:hAnsi="Arial" w:cs="Arial"/>
        </w:rPr>
        <w:t>24.</w:t>
      </w:r>
      <w:r w:rsidRPr="00E968FA">
        <w:rPr>
          <w:rFonts w:ascii="Arial" w:hAnsi="Arial" w:cs="Arial"/>
        </w:rPr>
        <w:tab/>
      </w:r>
      <w:r w:rsidR="009D0363" w:rsidRPr="009D0363">
        <w:rPr>
          <w:rFonts w:ascii="Arial" w:eastAsia="Calibri" w:hAnsi="Arial" w:cs="Arial"/>
        </w:rPr>
        <w:t xml:space="preserve">The magistrate then informed the accused </w:t>
      </w:r>
      <w:r w:rsidR="00BB3033">
        <w:rPr>
          <w:rFonts w:ascii="Arial" w:eastAsia="Calibri" w:hAnsi="Arial" w:cs="Arial"/>
        </w:rPr>
        <w:t>(</w:t>
      </w:r>
      <w:r w:rsidR="009D0363" w:rsidRPr="009D0363">
        <w:rPr>
          <w:rFonts w:ascii="Arial" w:eastAsia="Calibri" w:hAnsi="Arial" w:cs="Arial"/>
        </w:rPr>
        <w:t>for the 1</w:t>
      </w:r>
      <w:r w:rsidR="009D0363" w:rsidRPr="009D0363">
        <w:rPr>
          <w:rFonts w:ascii="Arial" w:eastAsia="Calibri" w:hAnsi="Arial" w:cs="Arial"/>
          <w:vertAlign w:val="superscript"/>
        </w:rPr>
        <w:t>st</w:t>
      </w:r>
      <w:r w:rsidR="009D0363" w:rsidRPr="009D0363">
        <w:rPr>
          <w:rFonts w:ascii="Arial" w:eastAsia="Calibri" w:hAnsi="Arial" w:cs="Arial"/>
        </w:rPr>
        <w:t xml:space="preserve"> time</w:t>
      </w:r>
      <w:r w:rsidR="00BB3033">
        <w:rPr>
          <w:rFonts w:ascii="Arial" w:eastAsia="Calibri" w:hAnsi="Arial" w:cs="Arial"/>
        </w:rPr>
        <w:t>)</w:t>
      </w:r>
      <w:r w:rsidR="009D0363" w:rsidRPr="009D0363">
        <w:rPr>
          <w:rFonts w:ascii="Arial" w:eastAsia="Calibri" w:hAnsi="Arial" w:cs="Arial"/>
        </w:rPr>
        <w:t xml:space="preserve"> that he had the right to give evidence. The accused elected not to testify. The magistrate then proceeded to deliver </w:t>
      </w:r>
      <w:r w:rsidR="00E968FA">
        <w:rPr>
          <w:rFonts w:ascii="Arial" w:eastAsia="Calibri" w:hAnsi="Arial" w:cs="Arial"/>
        </w:rPr>
        <w:t xml:space="preserve">a </w:t>
      </w:r>
      <w:r w:rsidR="009D0363" w:rsidRPr="009D0363">
        <w:rPr>
          <w:rFonts w:ascii="Arial" w:eastAsia="Calibri" w:hAnsi="Arial" w:cs="Arial"/>
        </w:rPr>
        <w:t xml:space="preserve">judgment on the alternative </w:t>
      </w:r>
      <w:r w:rsidR="00E47726">
        <w:rPr>
          <w:rFonts w:ascii="Arial" w:eastAsia="Calibri" w:hAnsi="Arial" w:cs="Arial"/>
        </w:rPr>
        <w:t>count</w:t>
      </w:r>
      <w:r w:rsidR="009D0363" w:rsidRPr="009D0363">
        <w:rPr>
          <w:rFonts w:ascii="Arial" w:eastAsia="Calibri" w:hAnsi="Arial" w:cs="Arial"/>
        </w:rPr>
        <w:t xml:space="preserve"> to the 1</w:t>
      </w:r>
      <w:r w:rsidR="009D0363" w:rsidRPr="009D0363">
        <w:rPr>
          <w:rFonts w:ascii="Arial" w:eastAsia="Calibri" w:hAnsi="Arial" w:cs="Arial"/>
          <w:vertAlign w:val="superscript"/>
        </w:rPr>
        <w:t>st</w:t>
      </w:r>
      <w:r w:rsidR="009D0363" w:rsidRPr="009D0363">
        <w:rPr>
          <w:rFonts w:ascii="Arial" w:eastAsia="Calibri" w:hAnsi="Arial" w:cs="Arial"/>
        </w:rPr>
        <w:t xml:space="preserve"> </w:t>
      </w:r>
      <w:r w:rsidR="00E47726">
        <w:rPr>
          <w:rFonts w:ascii="Arial" w:eastAsia="Calibri" w:hAnsi="Arial" w:cs="Arial"/>
        </w:rPr>
        <w:t>charge, notwithstanding that he had already convicted the accused on the main count thereto,</w:t>
      </w:r>
      <w:r w:rsidR="009D0363" w:rsidRPr="009D0363">
        <w:rPr>
          <w:rFonts w:ascii="Arial" w:eastAsia="Calibri" w:hAnsi="Arial" w:cs="Arial"/>
        </w:rPr>
        <w:t xml:space="preserve"> in which he held that the elements of the offence had not been established and acquitted the accused. </w:t>
      </w:r>
    </w:p>
    <w:p w14:paraId="5393DF51" w14:textId="0420E60E" w:rsidR="00035B92" w:rsidRPr="00035B92" w:rsidRDefault="008C795E" w:rsidP="008C795E">
      <w:pPr>
        <w:adjustRightInd w:val="0"/>
        <w:spacing w:after="0" w:line="360" w:lineRule="auto"/>
        <w:ind w:left="720" w:hanging="720"/>
        <w:contextualSpacing/>
        <w:jc w:val="both"/>
        <w:textAlignment w:val="baseline"/>
      </w:pPr>
      <w:r w:rsidRPr="00035B92">
        <w:rPr>
          <w:rFonts w:ascii="Arial" w:hAnsi="Arial" w:cs="Arial"/>
        </w:rPr>
        <w:t>25.</w:t>
      </w:r>
      <w:r w:rsidRPr="00035B92">
        <w:rPr>
          <w:rFonts w:ascii="Arial" w:hAnsi="Arial" w:cs="Arial"/>
        </w:rPr>
        <w:tab/>
      </w:r>
      <w:r w:rsidR="009D0363" w:rsidRPr="009D0363">
        <w:rPr>
          <w:rFonts w:ascii="Arial" w:eastAsia="Calibri" w:hAnsi="Arial" w:cs="Arial"/>
        </w:rPr>
        <w:t>Thereafter, the magistrate proceeded to direct the state to present evidence on the 2</w:t>
      </w:r>
      <w:r w:rsidR="009D0363" w:rsidRPr="009D0363">
        <w:rPr>
          <w:rFonts w:ascii="Arial" w:eastAsia="Calibri" w:hAnsi="Arial" w:cs="Arial"/>
          <w:vertAlign w:val="superscript"/>
        </w:rPr>
        <w:t>nd</w:t>
      </w:r>
      <w:r w:rsidR="009D0363" w:rsidRPr="009D0363">
        <w:rPr>
          <w:rFonts w:ascii="Arial" w:eastAsia="Calibri" w:hAnsi="Arial" w:cs="Arial"/>
        </w:rPr>
        <w:t xml:space="preserve"> charge</w:t>
      </w:r>
      <w:r w:rsidR="00E47726">
        <w:rPr>
          <w:rFonts w:ascii="Arial" w:eastAsia="Calibri" w:hAnsi="Arial" w:cs="Arial"/>
        </w:rPr>
        <w:t xml:space="preserve">. </w:t>
      </w:r>
      <w:r w:rsidR="00430E4B">
        <w:rPr>
          <w:rFonts w:ascii="Arial" w:eastAsia="Calibri" w:hAnsi="Arial" w:cs="Arial"/>
        </w:rPr>
        <w:t>B</w:t>
      </w:r>
      <w:r w:rsidR="0024079F">
        <w:rPr>
          <w:rFonts w:ascii="Arial" w:eastAsia="Calibri" w:hAnsi="Arial" w:cs="Arial"/>
        </w:rPr>
        <w:t>e</w:t>
      </w:r>
      <w:r w:rsidR="00430E4B">
        <w:rPr>
          <w:rFonts w:ascii="Arial" w:eastAsia="Calibri" w:hAnsi="Arial" w:cs="Arial"/>
        </w:rPr>
        <w:t xml:space="preserve">fore the prosecutor </w:t>
      </w:r>
      <w:r w:rsidR="0024079F">
        <w:rPr>
          <w:rFonts w:ascii="Arial" w:eastAsia="Calibri" w:hAnsi="Arial" w:cs="Arial"/>
        </w:rPr>
        <w:t>did</w:t>
      </w:r>
      <w:r w:rsidR="00430E4B">
        <w:rPr>
          <w:rFonts w:ascii="Arial" w:eastAsia="Calibri" w:hAnsi="Arial" w:cs="Arial"/>
        </w:rPr>
        <w:t xml:space="preserve"> so h</w:t>
      </w:r>
      <w:r w:rsidR="00E47726">
        <w:rPr>
          <w:rFonts w:ascii="Arial" w:eastAsia="Calibri" w:hAnsi="Arial" w:cs="Arial"/>
        </w:rPr>
        <w:t xml:space="preserve">e </w:t>
      </w:r>
      <w:r w:rsidR="009D0363" w:rsidRPr="009D0363">
        <w:rPr>
          <w:rFonts w:ascii="Arial" w:eastAsia="Calibri" w:hAnsi="Arial" w:cs="Arial"/>
        </w:rPr>
        <w:t xml:space="preserve">directed </w:t>
      </w:r>
      <w:r w:rsidR="00E47726">
        <w:rPr>
          <w:rFonts w:ascii="Arial" w:eastAsia="Calibri" w:hAnsi="Arial" w:cs="Arial"/>
        </w:rPr>
        <w:t>that the main count o</w:t>
      </w:r>
      <w:r w:rsidR="00430E4B">
        <w:rPr>
          <w:rFonts w:ascii="Arial" w:eastAsia="Calibri" w:hAnsi="Arial" w:cs="Arial"/>
        </w:rPr>
        <w:t>f</w:t>
      </w:r>
      <w:r w:rsidR="00E47726">
        <w:rPr>
          <w:rFonts w:ascii="Arial" w:eastAsia="Calibri" w:hAnsi="Arial" w:cs="Arial"/>
        </w:rPr>
        <w:t xml:space="preserve"> the 2</w:t>
      </w:r>
      <w:r w:rsidR="00E47726" w:rsidRPr="00E47726">
        <w:rPr>
          <w:rFonts w:ascii="Arial" w:eastAsia="Calibri" w:hAnsi="Arial" w:cs="Arial"/>
          <w:vertAlign w:val="superscript"/>
        </w:rPr>
        <w:t>nd</w:t>
      </w:r>
      <w:r w:rsidR="00E47726">
        <w:rPr>
          <w:rFonts w:ascii="Arial" w:eastAsia="Calibri" w:hAnsi="Arial" w:cs="Arial"/>
        </w:rPr>
        <w:t xml:space="preserve"> charge</w:t>
      </w:r>
      <w:r w:rsidR="00430E4B">
        <w:rPr>
          <w:rFonts w:ascii="Arial" w:eastAsia="Calibri" w:hAnsi="Arial" w:cs="Arial"/>
        </w:rPr>
        <w:t xml:space="preserve"> be put to</w:t>
      </w:r>
      <w:r w:rsidR="00E47726">
        <w:rPr>
          <w:rFonts w:ascii="Arial" w:eastAsia="Calibri" w:hAnsi="Arial" w:cs="Arial"/>
        </w:rPr>
        <w:t xml:space="preserve"> the </w:t>
      </w:r>
      <w:r w:rsidR="00E47726" w:rsidRPr="009D0363">
        <w:rPr>
          <w:rFonts w:ascii="Arial" w:eastAsia="Calibri" w:hAnsi="Arial" w:cs="Arial"/>
        </w:rPr>
        <w:t>accused</w:t>
      </w:r>
      <w:r w:rsidR="00E47726">
        <w:rPr>
          <w:rFonts w:ascii="Arial" w:eastAsia="Calibri" w:hAnsi="Arial" w:cs="Arial"/>
        </w:rPr>
        <w:t xml:space="preserve"> </w:t>
      </w:r>
      <w:r w:rsidR="00430E4B">
        <w:rPr>
          <w:rFonts w:ascii="Arial" w:eastAsia="Calibri" w:hAnsi="Arial" w:cs="Arial"/>
        </w:rPr>
        <w:t xml:space="preserve">again </w:t>
      </w:r>
      <w:r w:rsidR="00E47726">
        <w:rPr>
          <w:rFonts w:ascii="Arial" w:eastAsia="Calibri" w:hAnsi="Arial" w:cs="Arial"/>
        </w:rPr>
        <w:t>and</w:t>
      </w:r>
      <w:r w:rsidR="009D0363" w:rsidRPr="009D0363">
        <w:rPr>
          <w:rFonts w:ascii="Arial" w:eastAsia="Calibri" w:hAnsi="Arial" w:cs="Arial"/>
        </w:rPr>
        <w:t xml:space="preserve"> </w:t>
      </w:r>
      <w:r w:rsidR="00E47726">
        <w:rPr>
          <w:rFonts w:ascii="Arial" w:eastAsia="Calibri" w:hAnsi="Arial" w:cs="Arial"/>
        </w:rPr>
        <w:t>required him to</w:t>
      </w:r>
      <w:r w:rsidR="009D0363" w:rsidRPr="009D0363">
        <w:rPr>
          <w:rFonts w:ascii="Arial" w:eastAsia="Calibri" w:hAnsi="Arial" w:cs="Arial"/>
        </w:rPr>
        <w:t xml:space="preserve"> plead to</w:t>
      </w:r>
      <w:r w:rsidR="0024079F">
        <w:rPr>
          <w:rFonts w:ascii="Arial" w:eastAsia="Calibri" w:hAnsi="Arial" w:cs="Arial"/>
        </w:rPr>
        <w:t xml:space="preserve"> it</w:t>
      </w:r>
      <w:r w:rsidR="00E47726">
        <w:rPr>
          <w:rFonts w:ascii="Arial" w:eastAsia="Calibri" w:hAnsi="Arial" w:cs="Arial"/>
        </w:rPr>
        <w:t xml:space="preserve"> </w:t>
      </w:r>
      <w:r w:rsidR="00430E4B">
        <w:rPr>
          <w:rFonts w:ascii="Arial" w:eastAsia="Calibri" w:hAnsi="Arial" w:cs="Arial"/>
        </w:rPr>
        <w:t>for a 2</w:t>
      </w:r>
      <w:r w:rsidR="00430E4B" w:rsidRPr="00430E4B">
        <w:rPr>
          <w:rFonts w:ascii="Arial" w:eastAsia="Calibri" w:hAnsi="Arial" w:cs="Arial"/>
          <w:vertAlign w:val="superscript"/>
        </w:rPr>
        <w:t>nd</w:t>
      </w:r>
      <w:r w:rsidR="00430E4B">
        <w:rPr>
          <w:rFonts w:ascii="Arial" w:eastAsia="Calibri" w:hAnsi="Arial" w:cs="Arial"/>
        </w:rPr>
        <w:t xml:space="preserve"> time</w:t>
      </w:r>
      <w:r w:rsidR="009D0363" w:rsidRPr="009D0363">
        <w:rPr>
          <w:rFonts w:ascii="Arial" w:eastAsia="Calibri" w:hAnsi="Arial" w:cs="Arial"/>
        </w:rPr>
        <w:t>.</w:t>
      </w:r>
      <w:r w:rsidR="0024079F">
        <w:rPr>
          <w:rFonts w:ascii="Arial" w:eastAsia="Calibri" w:hAnsi="Arial" w:cs="Arial"/>
        </w:rPr>
        <w:t xml:space="preserve">  </w:t>
      </w:r>
      <w:r w:rsidR="00E47726">
        <w:rPr>
          <w:rFonts w:ascii="Arial" w:eastAsia="Calibri" w:hAnsi="Arial" w:cs="Arial"/>
        </w:rPr>
        <w:t xml:space="preserve">After </w:t>
      </w:r>
      <w:r w:rsidR="009D0363" w:rsidRPr="009D0363">
        <w:rPr>
          <w:rFonts w:ascii="Arial" w:eastAsia="Calibri" w:hAnsi="Arial" w:cs="Arial"/>
        </w:rPr>
        <w:t xml:space="preserve">the accused </w:t>
      </w:r>
      <w:r w:rsidR="00E47726">
        <w:rPr>
          <w:rFonts w:ascii="Arial" w:eastAsia="Calibri" w:hAnsi="Arial" w:cs="Arial"/>
        </w:rPr>
        <w:t xml:space="preserve">again entered a </w:t>
      </w:r>
      <w:r w:rsidR="009D0363" w:rsidRPr="009D0363">
        <w:rPr>
          <w:rFonts w:ascii="Arial" w:eastAsia="Calibri" w:hAnsi="Arial" w:cs="Arial"/>
        </w:rPr>
        <w:t>plea</w:t>
      </w:r>
      <w:r w:rsidR="00E47726">
        <w:rPr>
          <w:rFonts w:ascii="Arial" w:eastAsia="Calibri" w:hAnsi="Arial" w:cs="Arial"/>
        </w:rPr>
        <w:t xml:space="preserve"> of</w:t>
      </w:r>
      <w:r w:rsidR="009D0363" w:rsidRPr="009D0363">
        <w:rPr>
          <w:rFonts w:ascii="Arial" w:eastAsia="Calibri" w:hAnsi="Arial" w:cs="Arial"/>
        </w:rPr>
        <w:t xml:space="preserve"> guilty </w:t>
      </w:r>
      <w:r w:rsidR="0024079F">
        <w:rPr>
          <w:rFonts w:ascii="Arial" w:eastAsia="Calibri" w:hAnsi="Arial" w:cs="Arial"/>
        </w:rPr>
        <w:t>there</w:t>
      </w:r>
      <w:r w:rsidR="009D0363" w:rsidRPr="009D0363">
        <w:rPr>
          <w:rFonts w:ascii="Arial" w:eastAsia="Calibri" w:hAnsi="Arial" w:cs="Arial"/>
        </w:rPr>
        <w:t xml:space="preserve">to the magistrate sought to question him </w:t>
      </w:r>
      <w:r w:rsidR="0024079F">
        <w:rPr>
          <w:rFonts w:ascii="Arial" w:eastAsia="Calibri" w:hAnsi="Arial" w:cs="Arial"/>
        </w:rPr>
        <w:t xml:space="preserve">again </w:t>
      </w:r>
      <w:r w:rsidR="009D0363" w:rsidRPr="009D0363">
        <w:rPr>
          <w:rFonts w:ascii="Arial" w:eastAsia="Calibri" w:hAnsi="Arial" w:cs="Arial"/>
        </w:rPr>
        <w:t xml:space="preserve">in terms of </w:t>
      </w:r>
      <w:r w:rsidR="00035B92">
        <w:rPr>
          <w:rFonts w:ascii="Arial" w:eastAsia="Calibri" w:hAnsi="Arial" w:cs="Arial"/>
        </w:rPr>
        <w:t>s 112(1)(b).</w:t>
      </w:r>
      <w:r w:rsidR="009D0363" w:rsidRPr="009D0363">
        <w:rPr>
          <w:rFonts w:ascii="Arial" w:eastAsia="Calibri" w:hAnsi="Arial" w:cs="Arial"/>
        </w:rPr>
        <w:t xml:space="preserve"> </w:t>
      </w:r>
      <w:r w:rsidR="007D299C">
        <w:rPr>
          <w:rFonts w:ascii="Arial" w:eastAsia="Calibri" w:hAnsi="Arial" w:cs="Arial"/>
        </w:rPr>
        <w:t xml:space="preserve">In response the accused largely repeated what he had previously said i.e. that whilst he was at his mother’s house his sister </w:t>
      </w:r>
      <w:r w:rsidR="00035B92">
        <w:rPr>
          <w:rFonts w:ascii="Arial" w:eastAsia="Calibri" w:hAnsi="Arial" w:cs="Arial"/>
        </w:rPr>
        <w:t>ar</w:t>
      </w:r>
      <w:r w:rsidR="007D299C">
        <w:rPr>
          <w:rFonts w:ascii="Arial" w:eastAsia="Calibri" w:hAnsi="Arial" w:cs="Arial"/>
        </w:rPr>
        <w:t>rived and they became embroiled in an argument</w:t>
      </w:r>
      <w:r w:rsidR="00035B92">
        <w:rPr>
          <w:rFonts w:ascii="Arial" w:eastAsia="Calibri" w:hAnsi="Arial" w:cs="Arial"/>
        </w:rPr>
        <w:t>,</w:t>
      </w:r>
      <w:r w:rsidR="007D299C">
        <w:rPr>
          <w:rFonts w:ascii="Arial" w:eastAsia="Calibri" w:hAnsi="Arial" w:cs="Arial"/>
        </w:rPr>
        <w:t xml:space="preserve"> as a result of which he struck his sister</w:t>
      </w:r>
      <w:r w:rsidR="0024079F" w:rsidRPr="0024079F">
        <w:rPr>
          <w:rFonts w:ascii="Arial" w:eastAsia="Calibri" w:hAnsi="Arial" w:cs="Arial"/>
        </w:rPr>
        <w:t xml:space="preserve"> </w:t>
      </w:r>
      <w:r w:rsidR="0024079F">
        <w:rPr>
          <w:rFonts w:ascii="Arial" w:eastAsia="Calibri" w:hAnsi="Arial" w:cs="Arial"/>
        </w:rPr>
        <w:t>on her neck. But this time he added that</w:t>
      </w:r>
      <w:r w:rsidR="007D299C">
        <w:rPr>
          <w:rFonts w:ascii="Arial" w:eastAsia="Calibri" w:hAnsi="Arial" w:cs="Arial"/>
        </w:rPr>
        <w:t xml:space="preserve"> </w:t>
      </w:r>
      <w:r w:rsidR="0024079F">
        <w:rPr>
          <w:rFonts w:ascii="Arial" w:eastAsia="Calibri" w:hAnsi="Arial" w:cs="Arial"/>
        </w:rPr>
        <w:t xml:space="preserve">he had also </w:t>
      </w:r>
      <w:r w:rsidR="007D299C">
        <w:rPr>
          <w:rFonts w:ascii="Arial" w:eastAsia="Calibri" w:hAnsi="Arial" w:cs="Arial"/>
        </w:rPr>
        <w:t>kicked in her back</w:t>
      </w:r>
      <w:r w:rsidR="00035B92">
        <w:rPr>
          <w:rFonts w:ascii="Arial" w:eastAsia="Calibri" w:hAnsi="Arial" w:cs="Arial"/>
        </w:rPr>
        <w:t>, whereupon</w:t>
      </w:r>
      <w:r w:rsidR="007D299C">
        <w:rPr>
          <w:rFonts w:ascii="Arial" w:eastAsia="Calibri" w:hAnsi="Arial" w:cs="Arial"/>
        </w:rPr>
        <w:t xml:space="preserve"> she thr</w:t>
      </w:r>
      <w:r w:rsidR="00035B92">
        <w:rPr>
          <w:rFonts w:ascii="Arial" w:eastAsia="Calibri" w:hAnsi="Arial" w:cs="Arial"/>
        </w:rPr>
        <w:t xml:space="preserve">ew </w:t>
      </w:r>
      <w:r w:rsidR="007D299C">
        <w:rPr>
          <w:rFonts w:ascii="Arial" w:eastAsia="Calibri" w:hAnsi="Arial" w:cs="Arial"/>
        </w:rPr>
        <w:t xml:space="preserve">the kettle </w:t>
      </w:r>
      <w:r w:rsidR="00035B92">
        <w:rPr>
          <w:rFonts w:ascii="Arial" w:eastAsia="Calibri" w:hAnsi="Arial" w:cs="Arial"/>
        </w:rPr>
        <w:t>at</w:t>
      </w:r>
      <w:r w:rsidR="007D299C">
        <w:rPr>
          <w:rFonts w:ascii="Arial" w:eastAsia="Calibri" w:hAnsi="Arial" w:cs="Arial"/>
        </w:rPr>
        <w:t xml:space="preserve"> him. He said he knew that it was wrong for him to </w:t>
      </w:r>
      <w:r w:rsidR="00035B92">
        <w:rPr>
          <w:rFonts w:ascii="Arial" w:eastAsia="Calibri" w:hAnsi="Arial" w:cs="Arial"/>
        </w:rPr>
        <w:t xml:space="preserve">hit her, </w:t>
      </w:r>
      <w:r w:rsidR="007D299C">
        <w:rPr>
          <w:rFonts w:ascii="Arial" w:eastAsia="Calibri" w:hAnsi="Arial" w:cs="Arial"/>
        </w:rPr>
        <w:t xml:space="preserve">but he had not caused </w:t>
      </w:r>
      <w:r w:rsidR="00035B92">
        <w:rPr>
          <w:rFonts w:ascii="Arial" w:eastAsia="Calibri" w:hAnsi="Arial" w:cs="Arial"/>
        </w:rPr>
        <w:t xml:space="preserve">her </w:t>
      </w:r>
      <w:r w:rsidR="007D299C">
        <w:rPr>
          <w:rFonts w:ascii="Arial" w:eastAsia="Calibri" w:hAnsi="Arial" w:cs="Arial"/>
        </w:rPr>
        <w:t xml:space="preserve">any injuries. </w:t>
      </w:r>
    </w:p>
    <w:p w14:paraId="2958E7E9" w14:textId="164F87FE" w:rsidR="001A17D6" w:rsidRPr="001A17D6" w:rsidRDefault="008C795E" w:rsidP="008C795E">
      <w:pPr>
        <w:adjustRightInd w:val="0"/>
        <w:spacing w:after="0" w:line="360" w:lineRule="auto"/>
        <w:ind w:left="720" w:hanging="720"/>
        <w:contextualSpacing/>
        <w:jc w:val="both"/>
        <w:textAlignment w:val="baseline"/>
      </w:pPr>
      <w:r w:rsidRPr="001A17D6">
        <w:rPr>
          <w:rFonts w:ascii="Arial" w:hAnsi="Arial" w:cs="Arial"/>
        </w:rPr>
        <w:t>26.</w:t>
      </w:r>
      <w:r w:rsidRPr="001A17D6">
        <w:rPr>
          <w:rFonts w:ascii="Arial" w:hAnsi="Arial" w:cs="Arial"/>
        </w:rPr>
        <w:tab/>
      </w:r>
      <w:r w:rsidR="007D299C">
        <w:rPr>
          <w:rFonts w:ascii="Arial" w:eastAsia="Calibri" w:hAnsi="Arial" w:cs="Arial"/>
        </w:rPr>
        <w:t xml:space="preserve">Upon completion of the questioning </w:t>
      </w:r>
      <w:r w:rsidR="00035B92">
        <w:rPr>
          <w:rFonts w:ascii="Arial" w:eastAsia="Calibri" w:hAnsi="Arial" w:cs="Arial"/>
        </w:rPr>
        <w:t xml:space="preserve">the </w:t>
      </w:r>
      <w:r w:rsidR="007D299C">
        <w:rPr>
          <w:rFonts w:ascii="Arial" w:eastAsia="Calibri" w:hAnsi="Arial" w:cs="Arial"/>
        </w:rPr>
        <w:t>magistrate proceeded to deliver yet another judgment, which was all of a paragraph long, in which he held that he was satisfied that the accused admitted all the elements of the offence of which had been charged on the main c</w:t>
      </w:r>
      <w:r w:rsidR="00035B92">
        <w:rPr>
          <w:rFonts w:ascii="Arial" w:eastAsia="Calibri" w:hAnsi="Arial" w:cs="Arial"/>
        </w:rPr>
        <w:t>ount</w:t>
      </w:r>
      <w:r w:rsidR="007D299C">
        <w:rPr>
          <w:rFonts w:ascii="Arial" w:eastAsia="Calibri" w:hAnsi="Arial" w:cs="Arial"/>
        </w:rPr>
        <w:t xml:space="preserve"> </w:t>
      </w:r>
      <w:r w:rsidR="003F26CC">
        <w:rPr>
          <w:rFonts w:ascii="Arial" w:eastAsia="Calibri" w:hAnsi="Arial" w:cs="Arial"/>
        </w:rPr>
        <w:t xml:space="preserve">in </w:t>
      </w:r>
      <w:r w:rsidR="007D299C">
        <w:rPr>
          <w:rFonts w:ascii="Arial" w:eastAsia="Calibri" w:hAnsi="Arial" w:cs="Arial"/>
        </w:rPr>
        <w:t>respect of the 2</w:t>
      </w:r>
      <w:r w:rsidR="007D299C" w:rsidRPr="007D299C">
        <w:rPr>
          <w:rFonts w:ascii="Arial" w:eastAsia="Calibri" w:hAnsi="Arial" w:cs="Arial"/>
          <w:vertAlign w:val="superscript"/>
        </w:rPr>
        <w:t>nd</w:t>
      </w:r>
      <w:r w:rsidR="007D299C">
        <w:rPr>
          <w:rFonts w:ascii="Arial" w:eastAsia="Calibri" w:hAnsi="Arial" w:cs="Arial"/>
        </w:rPr>
        <w:t xml:space="preserve"> charge i.e. assault with intent to commit grievous bodily harm</w:t>
      </w:r>
      <w:r w:rsidR="00035B92">
        <w:rPr>
          <w:rFonts w:ascii="Arial" w:eastAsia="Calibri" w:hAnsi="Arial" w:cs="Arial"/>
        </w:rPr>
        <w:t>,</w:t>
      </w:r>
      <w:r w:rsidR="007D299C">
        <w:rPr>
          <w:rFonts w:ascii="Arial" w:eastAsia="Calibri" w:hAnsi="Arial" w:cs="Arial"/>
        </w:rPr>
        <w:t xml:space="preserve"> read with the relevant statutory provisions previously referred to.</w:t>
      </w:r>
      <w:r w:rsidR="00035B92">
        <w:rPr>
          <w:rFonts w:ascii="Arial" w:eastAsia="Calibri" w:hAnsi="Arial" w:cs="Arial"/>
        </w:rPr>
        <w:t xml:space="preserve"> </w:t>
      </w:r>
    </w:p>
    <w:p w14:paraId="0D123567" w14:textId="39E80D35" w:rsidR="008C164C" w:rsidRPr="007D299C" w:rsidRDefault="008C795E" w:rsidP="008C795E">
      <w:pPr>
        <w:adjustRightInd w:val="0"/>
        <w:spacing w:after="0" w:line="360" w:lineRule="auto"/>
        <w:ind w:left="720" w:hanging="720"/>
        <w:contextualSpacing/>
        <w:jc w:val="both"/>
        <w:textAlignment w:val="baseline"/>
      </w:pPr>
      <w:r w:rsidRPr="007D299C">
        <w:rPr>
          <w:rFonts w:ascii="Arial" w:hAnsi="Arial" w:cs="Arial"/>
        </w:rPr>
        <w:lastRenderedPageBreak/>
        <w:t>27.</w:t>
      </w:r>
      <w:r w:rsidRPr="007D299C">
        <w:rPr>
          <w:rFonts w:ascii="Arial" w:hAnsi="Arial" w:cs="Arial"/>
        </w:rPr>
        <w:tab/>
      </w:r>
      <w:r w:rsidR="00CF6A4E">
        <w:rPr>
          <w:rFonts w:ascii="Arial" w:eastAsia="Calibri" w:hAnsi="Arial" w:cs="Arial"/>
        </w:rPr>
        <w:t>From the transcript it appears that the magistrate made no finding or determination</w:t>
      </w:r>
      <w:r w:rsidR="004E6B6B">
        <w:rPr>
          <w:rFonts w:ascii="Arial" w:eastAsia="Calibri" w:hAnsi="Arial" w:cs="Arial"/>
        </w:rPr>
        <w:t xml:space="preserve"> in open court</w:t>
      </w:r>
      <w:r w:rsidR="001A17D6">
        <w:rPr>
          <w:rFonts w:ascii="Arial" w:eastAsia="Calibri" w:hAnsi="Arial" w:cs="Arial"/>
        </w:rPr>
        <w:t>,</w:t>
      </w:r>
      <w:r w:rsidR="00CF6A4E">
        <w:rPr>
          <w:rFonts w:ascii="Arial" w:eastAsia="Calibri" w:hAnsi="Arial" w:cs="Arial"/>
        </w:rPr>
        <w:t xml:space="preserve"> </w:t>
      </w:r>
      <w:r w:rsidR="001A17D6">
        <w:rPr>
          <w:rFonts w:ascii="Arial" w:eastAsia="Calibri" w:hAnsi="Arial" w:cs="Arial"/>
        </w:rPr>
        <w:t>during the proceedings, in</w:t>
      </w:r>
      <w:r w:rsidR="00CF6A4E">
        <w:rPr>
          <w:rFonts w:ascii="Arial" w:eastAsia="Calibri" w:hAnsi="Arial" w:cs="Arial"/>
        </w:rPr>
        <w:t xml:space="preserve"> respect of the alternative count on the 2</w:t>
      </w:r>
      <w:r w:rsidR="00CF6A4E" w:rsidRPr="00CF6A4E">
        <w:rPr>
          <w:rFonts w:ascii="Arial" w:eastAsia="Calibri" w:hAnsi="Arial" w:cs="Arial"/>
          <w:vertAlign w:val="superscript"/>
        </w:rPr>
        <w:t>nd</w:t>
      </w:r>
      <w:r w:rsidR="00CF6A4E">
        <w:rPr>
          <w:rFonts w:ascii="Arial" w:eastAsia="Calibri" w:hAnsi="Arial" w:cs="Arial"/>
        </w:rPr>
        <w:t xml:space="preserve"> charge. </w:t>
      </w:r>
      <w:r w:rsidR="005847F1">
        <w:rPr>
          <w:rFonts w:ascii="Arial" w:eastAsia="Calibri" w:hAnsi="Arial" w:cs="Arial"/>
        </w:rPr>
        <w:t xml:space="preserve"> However, i</w:t>
      </w:r>
      <w:r w:rsidR="00CF6A4E">
        <w:rPr>
          <w:rFonts w:ascii="Arial" w:eastAsia="Calibri" w:hAnsi="Arial" w:cs="Arial"/>
        </w:rPr>
        <w:t>t appears f</w:t>
      </w:r>
      <w:r w:rsidR="001A17D6">
        <w:rPr>
          <w:rFonts w:ascii="Arial" w:eastAsia="Calibri" w:hAnsi="Arial" w:cs="Arial"/>
        </w:rPr>
        <w:t>rom the J15 that he initially recorded on 29 November 2023 that he had also found the accused guilty on the alternative count to the 2</w:t>
      </w:r>
      <w:r w:rsidR="001A17D6" w:rsidRPr="001A17D6">
        <w:rPr>
          <w:rFonts w:ascii="Arial" w:eastAsia="Calibri" w:hAnsi="Arial" w:cs="Arial"/>
          <w:vertAlign w:val="superscript"/>
        </w:rPr>
        <w:t>nd</w:t>
      </w:r>
      <w:r w:rsidR="001A17D6">
        <w:rPr>
          <w:rFonts w:ascii="Arial" w:eastAsia="Calibri" w:hAnsi="Arial" w:cs="Arial"/>
        </w:rPr>
        <w:t xml:space="preserve"> charge, which he then ‘immediately corrected’ by </w:t>
      </w:r>
      <w:r w:rsidR="00020A12">
        <w:rPr>
          <w:rFonts w:ascii="Arial" w:eastAsia="Calibri" w:hAnsi="Arial" w:cs="Arial"/>
        </w:rPr>
        <w:t>drawing a</w:t>
      </w:r>
      <w:r w:rsidR="004E6B6B">
        <w:rPr>
          <w:rFonts w:ascii="Arial" w:eastAsia="Calibri" w:hAnsi="Arial" w:cs="Arial"/>
        </w:rPr>
        <w:t xml:space="preserve"> </w:t>
      </w:r>
      <w:r w:rsidR="00020A12">
        <w:rPr>
          <w:rFonts w:ascii="Arial" w:eastAsia="Calibri" w:hAnsi="Arial" w:cs="Arial"/>
        </w:rPr>
        <w:t>line through it.</w:t>
      </w:r>
      <w:r w:rsidR="001A17D6">
        <w:rPr>
          <w:rFonts w:ascii="Arial" w:eastAsia="Calibri" w:hAnsi="Arial" w:cs="Arial"/>
        </w:rPr>
        <w:t xml:space="preserve">     </w:t>
      </w:r>
      <w:r w:rsidR="00CF6A4E">
        <w:rPr>
          <w:rFonts w:ascii="Arial" w:eastAsia="Calibri" w:hAnsi="Arial" w:cs="Arial"/>
        </w:rPr>
        <w:t xml:space="preserve">  </w:t>
      </w:r>
    </w:p>
    <w:p w14:paraId="3B17B5A3" w14:textId="001ED543" w:rsidR="007D299C" w:rsidRDefault="008C795E" w:rsidP="008C795E">
      <w:pPr>
        <w:adjustRightInd w:val="0"/>
        <w:spacing w:after="0" w:line="360" w:lineRule="auto"/>
        <w:ind w:left="720" w:hanging="720"/>
        <w:contextualSpacing/>
        <w:jc w:val="both"/>
        <w:textAlignment w:val="baseline"/>
        <w:rPr>
          <w:rFonts w:ascii="Arial" w:hAnsi="Arial" w:cs="Arial"/>
        </w:rPr>
      </w:pPr>
      <w:r>
        <w:rPr>
          <w:rFonts w:ascii="Arial" w:hAnsi="Arial" w:cs="Arial"/>
        </w:rPr>
        <w:t>28.</w:t>
      </w:r>
      <w:r>
        <w:rPr>
          <w:rFonts w:ascii="Arial" w:hAnsi="Arial" w:cs="Arial"/>
        </w:rPr>
        <w:tab/>
      </w:r>
      <w:r w:rsidR="00020A12">
        <w:rPr>
          <w:rFonts w:ascii="Arial" w:hAnsi="Arial" w:cs="Arial"/>
        </w:rPr>
        <w:t>Upon the conclusion of the proceedings in respect of conviction t</w:t>
      </w:r>
      <w:r w:rsidR="007D299C" w:rsidRPr="00076F69">
        <w:rPr>
          <w:rFonts w:ascii="Arial" w:hAnsi="Arial" w:cs="Arial"/>
        </w:rPr>
        <w:t xml:space="preserve">he </w:t>
      </w:r>
      <w:r w:rsidR="005E7060" w:rsidRPr="00076F69">
        <w:rPr>
          <w:rFonts w:ascii="Arial" w:hAnsi="Arial" w:cs="Arial"/>
        </w:rPr>
        <w:t>state proceeded</w:t>
      </w:r>
      <w:r w:rsidR="007D299C" w:rsidRPr="00076F69">
        <w:rPr>
          <w:rFonts w:ascii="Arial" w:hAnsi="Arial" w:cs="Arial"/>
        </w:rPr>
        <w:t xml:space="preserve"> to prove the accused’s previous convictions</w:t>
      </w:r>
      <w:r w:rsidR="00CF6A4E">
        <w:rPr>
          <w:rFonts w:ascii="Arial" w:hAnsi="Arial" w:cs="Arial"/>
        </w:rPr>
        <w:t>.</w:t>
      </w:r>
      <w:r w:rsidR="003F26CC">
        <w:rPr>
          <w:rFonts w:ascii="Arial" w:hAnsi="Arial" w:cs="Arial"/>
        </w:rPr>
        <w:t xml:space="preserve"> These </w:t>
      </w:r>
      <w:r w:rsidR="007D299C" w:rsidRPr="00076F69">
        <w:rPr>
          <w:rFonts w:ascii="Arial" w:hAnsi="Arial" w:cs="Arial"/>
        </w:rPr>
        <w:t xml:space="preserve">included </w:t>
      </w:r>
      <w:r w:rsidR="00076F69">
        <w:rPr>
          <w:rFonts w:ascii="Arial" w:hAnsi="Arial" w:cs="Arial"/>
        </w:rPr>
        <w:t xml:space="preserve">a </w:t>
      </w:r>
      <w:r w:rsidR="007D299C" w:rsidRPr="00076F69">
        <w:rPr>
          <w:rFonts w:ascii="Arial" w:hAnsi="Arial" w:cs="Arial"/>
        </w:rPr>
        <w:t xml:space="preserve">conviction </w:t>
      </w:r>
      <w:r w:rsidR="003F26CC">
        <w:rPr>
          <w:rFonts w:ascii="Arial" w:hAnsi="Arial" w:cs="Arial"/>
        </w:rPr>
        <w:t>some 1</w:t>
      </w:r>
      <w:r w:rsidR="003F26CC" w:rsidRPr="00076F69">
        <w:rPr>
          <w:rFonts w:ascii="Arial" w:hAnsi="Arial" w:cs="Arial"/>
        </w:rPr>
        <w:t xml:space="preserve">0 years ago </w:t>
      </w:r>
      <w:r w:rsidR="007D299C" w:rsidRPr="00076F69">
        <w:rPr>
          <w:rFonts w:ascii="Arial" w:hAnsi="Arial" w:cs="Arial"/>
        </w:rPr>
        <w:t>on a charge of malicious injury to property</w:t>
      </w:r>
      <w:r w:rsidR="003F26CC">
        <w:rPr>
          <w:rFonts w:ascii="Arial" w:hAnsi="Arial" w:cs="Arial"/>
        </w:rPr>
        <w:t>,</w:t>
      </w:r>
      <w:r w:rsidR="007D299C" w:rsidRPr="00076F69">
        <w:rPr>
          <w:rFonts w:ascii="Arial" w:hAnsi="Arial" w:cs="Arial"/>
        </w:rPr>
        <w:t xml:space="preserve"> and </w:t>
      </w:r>
      <w:r w:rsidR="00076F69">
        <w:rPr>
          <w:rFonts w:ascii="Arial" w:hAnsi="Arial" w:cs="Arial"/>
        </w:rPr>
        <w:t>convictions of</w:t>
      </w:r>
      <w:r w:rsidR="007D299C" w:rsidRPr="00076F69">
        <w:rPr>
          <w:rFonts w:ascii="Arial" w:hAnsi="Arial" w:cs="Arial"/>
        </w:rPr>
        <w:t xml:space="preserve"> </w:t>
      </w:r>
      <w:r w:rsidR="00076F69">
        <w:rPr>
          <w:rFonts w:ascii="Arial" w:hAnsi="Arial" w:cs="Arial"/>
        </w:rPr>
        <w:t>b</w:t>
      </w:r>
      <w:r w:rsidR="007D299C" w:rsidRPr="00076F69">
        <w:rPr>
          <w:rFonts w:ascii="Arial" w:hAnsi="Arial" w:cs="Arial"/>
        </w:rPr>
        <w:t xml:space="preserve">reaching </w:t>
      </w:r>
      <w:r w:rsidR="00076F69">
        <w:rPr>
          <w:rFonts w:ascii="Arial" w:hAnsi="Arial" w:cs="Arial"/>
        </w:rPr>
        <w:t>a</w:t>
      </w:r>
      <w:r w:rsidR="007D299C" w:rsidRPr="00076F69">
        <w:rPr>
          <w:rFonts w:ascii="Arial" w:hAnsi="Arial" w:cs="Arial"/>
        </w:rPr>
        <w:t xml:space="preserve"> protection order in November 2022 and March 2023, for which </w:t>
      </w:r>
      <w:r w:rsidR="00076F69">
        <w:rPr>
          <w:rFonts w:ascii="Arial" w:hAnsi="Arial" w:cs="Arial"/>
        </w:rPr>
        <w:t xml:space="preserve">the accused </w:t>
      </w:r>
      <w:r w:rsidR="007D299C" w:rsidRPr="00076F69">
        <w:rPr>
          <w:rFonts w:ascii="Arial" w:hAnsi="Arial" w:cs="Arial"/>
        </w:rPr>
        <w:t xml:space="preserve">received a suspended sentence of 6 </w:t>
      </w:r>
      <w:proofErr w:type="gramStart"/>
      <w:r w:rsidR="007D299C" w:rsidRPr="00076F69">
        <w:rPr>
          <w:rFonts w:ascii="Arial" w:hAnsi="Arial" w:cs="Arial"/>
        </w:rPr>
        <w:t>months</w:t>
      </w:r>
      <w:proofErr w:type="gramEnd"/>
      <w:r w:rsidR="007D299C" w:rsidRPr="00076F69">
        <w:rPr>
          <w:rFonts w:ascii="Arial" w:hAnsi="Arial" w:cs="Arial"/>
        </w:rPr>
        <w:t xml:space="preserve"> imprisonment and a sentence of 90 days imprisonment</w:t>
      </w:r>
      <w:r w:rsidR="00076F69">
        <w:rPr>
          <w:rFonts w:ascii="Arial" w:hAnsi="Arial" w:cs="Arial"/>
        </w:rPr>
        <w:t>,</w:t>
      </w:r>
      <w:r w:rsidR="007D299C" w:rsidRPr="00076F69">
        <w:rPr>
          <w:rFonts w:ascii="Arial" w:hAnsi="Arial" w:cs="Arial"/>
        </w:rPr>
        <w:t xml:space="preserve"> respectively. After eliciting the accused’s personal </w:t>
      </w:r>
      <w:proofErr w:type="gramStart"/>
      <w:r w:rsidR="007D299C" w:rsidRPr="00076F69">
        <w:rPr>
          <w:rFonts w:ascii="Arial" w:hAnsi="Arial" w:cs="Arial"/>
        </w:rPr>
        <w:t>circumstances</w:t>
      </w:r>
      <w:proofErr w:type="gramEnd"/>
      <w:r w:rsidR="007D299C" w:rsidRPr="00076F69">
        <w:rPr>
          <w:rFonts w:ascii="Arial" w:hAnsi="Arial" w:cs="Arial"/>
        </w:rPr>
        <w:t xml:space="preserve"> the magistrate then sentence</w:t>
      </w:r>
      <w:r w:rsidR="00020A12">
        <w:rPr>
          <w:rFonts w:ascii="Arial" w:hAnsi="Arial" w:cs="Arial"/>
        </w:rPr>
        <w:t>d</w:t>
      </w:r>
      <w:r w:rsidR="003F26CC">
        <w:rPr>
          <w:rFonts w:ascii="Arial" w:hAnsi="Arial" w:cs="Arial"/>
        </w:rPr>
        <w:t xml:space="preserve"> him</w:t>
      </w:r>
      <w:r w:rsidR="00076F69">
        <w:rPr>
          <w:rFonts w:ascii="Arial" w:hAnsi="Arial" w:cs="Arial"/>
        </w:rPr>
        <w:t xml:space="preserve"> to 24 months imprisonment on the 1</w:t>
      </w:r>
      <w:r w:rsidR="00076F69" w:rsidRPr="00076F69">
        <w:rPr>
          <w:rFonts w:ascii="Arial" w:hAnsi="Arial" w:cs="Arial"/>
          <w:vertAlign w:val="superscript"/>
        </w:rPr>
        <w:t>st</w:t>
      </w:r>
      <w:r w:rsidR="00076F69">
        <w:rPr>
          <w:rFonts w:ascii="Arial" w:hAnsi="Arial" w:cs="Arial"/>
        </w:rPr>
        <w:t xml:space="preserve"> charge and 6 months imprisonment on the second, which w</w:t>
      </w:r>
      <w:r w:rsidR="00020A12">
        <w:rPr>
          <w:rFonts w:ascii="Arial" w:hAnsi="Arial" w:cs="Arial"/>
        </w:rPr>
        <w:t>ere</w:t>
      </w:r>
      <w:r w:rsidR="00076F69">
        <w:rPr>
          <w:rFonts w:ascii="Arial" w:hAnsi="Arial" w:cs="Arial"/>
        </w:rPr>
        <w:t xml:space="preserve"> ordered to run concurrently.</w:t>
      </w:r>
    </w:p>
    <w:p w14:paraId="455E61FE" w14:textId="337DB084" w:rsidR="00076F69" w:rsidRPr="00076F69" w:rsidRDefault="00076F69" w:rsidP="00076F69">
      <w:pPr>
        <w:adjustRightInd w:val="0"/>
        <w:spacing w:after="0" w:line="360" w:lineRule="auto"/>
        <w:contextualSpacing/>
        <w:jc w:val="both"/>
        <w:textAlignment w:val="baseline"/>
        <w:rPr>
          <w:rFonts w:ascii="Arial" w:hAnsi="Arial" w:cs="Arial"/>
          <w:b/>
          <w:bCs/>
        </w:rPr>
      </w:pPr>
      <w:r w:rsidRPr="00076F69">
        <w:rPr>
          <w:rFonts w:ascii="Arial" w:hAnsi="Arial" w:cs="Arial"/>
          <w:b/>
          <w:bCs/>
        </w:rPr>
        <w:t>An assessment</w:t>
      </w:r>
    </w:p>
    <w:p w14:paraId="3BB60F28" w14:textId="1BA766C8" w:rsidR="00020A12" w:rsidRDefault="008C795E" w:rsidP="008C795E">
      <w:pPr>
        <w:adjustRightInd w:val="0"/>
        <w:spacing w:after="0" w:line="360" w:lineRule="auto"/>
        <w:ind w:left="720" w:hanging="720"/>
        <w:contextualSpacing/>
        <w:jc w:val="both"/>
        <w:textAlignment w:val="baseline"/>
        <w:rPr>
          <w:rFonts w:ascii="Arial" w:hAnsi="Arial" w:cs="Arial"/>
        </w:rPr>
      </w:pPr>
      <w:r>
        <w:rPr>
          <w:rFonts w:ascii="Arial" w:hAnsi="Arial" w:cs="Arial"/>
        </w:rPr>
        <w:t>29.</w:t>
      </w:r>
      <w:r>
        <w:rPr>
          <w:rFonts w:ascii="Arial" w:hAnsi="Arial" w:cs="Arial"/>
        </w:rPr>
        <w:tab/>
      </w:r>
      <w:r w:rsidR="007D299C" w:rsidRPr="0013608B">
        <w:rPr>
          <w:rFonts w:ascii="Arial" w:hAnsi="Arial" w:cs="Arial"/>
        </w:rPr>
        <w:t xml:space="preserve">As </w:t>
      </w:r>
      <w:r w:rsidR="004167CF" w:rsidRPr="0013608B">
        <w:rPr>
          <w:rFonts w:ascii="Arial" w:hAnsi="Arial" w:cs="Arial"/>
        </w:rPr>
        <w:t>is</w:t>
      </w:r>
      <w:r w:rsidR="007D299C" w:rsidRPr="0013608B">
        <w:rPr>
          <w:rFonts w:ascii="Arial" w:hAnsi="Arial" w:cs="Arial"/>
        </w:rPr>
        <w:t xml:space="preserve"> evident from what has been set out</w:t>
      </w:r>
      <w:r w:rsidR="00076F69" w:rsidRPr="0013608B">
        <w:rPr>
          <w:rFonts w:ascii="Arial" w:hAnsi="Arial" w:cs="Arial"/>
        </w:rPr>
        <w:t xml:space="preserve">, </w:t>
      </w:r>
      <w:r w:rsidR="003F26CC" w:rsidRPr="0013608B">
        <w:rPr>
          <w:rFonts w:ascii="Arial" w:hAnsi="Arial" w:cs="Arial"/>
        </w:rPr>
        <w:t>several</w:t>
      </w:r>
      <w:r w:rsidR="007D299C" w:rsidRPr="0013608B">
        <w:rPr>
          <w:rFonts w:ascii="Arial" w:hAnsi="Arial" w:cs="Arial"/>
        </w:rPr>
        <w:t xml:space="preserve"> </w:t>
      </w:r>
      <w:r w:rsidR="004167CF" w:rsidRPr="0013608B">
        <w:rPr>
          <w:rFonts w:ascii="Arial" w:hAnsi="Arial" w:cs="Arial"/>
        </w:rPr>
        <w:t xml:space="preserve">gross and material </w:t>
      </w:r>
      <w:r w:rsidR="007D299C" w:rsidRPr="0013608B">
        <w:rPr>
          <w:rFonts w:ascii="Arial" w:hAnsi="Arial" w:cs="Arial"/>
        </w:rPr>
        <w:t xml:space="preserve">irregularities </w:t>
      </w:r>
      <w:r w:rsidR="003F26CC" w:rsidRPr="0013608B">
        <w:rPr>
          <w:rFonts w:ascii="Arial" w:hAnsi="Arial" w:cs="Arial"/>
        </w:rPr>
        <w:t xml:space="preserve">occurred in </w:t>
      </w:r>
      <w:r w:rsidR="007D299C" w:rsidRPr="0013608B">
        <w:rPr>
          <w:rFonts w:ascii="Arial" w:hAnsi="Arial" w:cs="Arial"/>
        </w:rPr>
        <w:t>the arraignment of the accused.</w:t>
      </w:r>
      <w:r w:rsidR="0013608B">
        <w:rPr>
          <w:rFonts w:ascii="Arial" w:hAnsi="Arial" w:cs="Arial"/>
        </w:rPr>
        <w:t xml:space="preserve"> </w:t>
      </w:r>
    </w:p>
    <w:p w14:paraId="38F56EE8" w14:textId="60AE595E" w:rsidR="005E7060" w:rsidRDefault="008C795E" w:rsidP="008C795E">
      <w:pPr>
        <w:adjustRightInd w:val="0"/>
        <w:spacing w:after="0" w:line="360" w:lineRule="auto"/>
        <w:ind w:left="720" w:hanging="720"/>
        <w:contextualSpacing/>
        <w:jc w:val="both"/>
        <w:textAlignment w:val="baseline"/>
        <w:rPr>
          <w:rFonts w:ascii="Arial" w:hAnsi="Arial" w:cs="Arial"/>
        </w:rPr>
      </w:pPr>
      <w:r>
        <w:rPr>
          <w:rFonts w:ascii="Arial" w:hAnsi="Arial" w:cs="Arial"/>
        </w:rPr>
        <w:t>30.</w:t>
      </w:r>
      <w:r>
        <w:rPr>
          <w:rFonts w:ascii="Arial" w:hAnsi="Arial" w:cs="Arial"/>
        </w:rPr>
        <w:tab/>
      </w:r>
      <w:r w:rsidR="007D299C" w:rsidRPr="0013608B">
        <w:rPr>
          <w:rFonts w:ascii="Arial" w:hAnsi="Arial" w:cs="Arial"/>
        </w:rPr>
        <w:t xml:space="preserve">Instead of </w:t>
      </w:r>
      <w:r w:rsidR="003F26CC" w:rsidRPr="0013608B">
        <w:rPr>
          <w:rFonts w:ascii="Arial" w:hAnsi="Arial" w:cs="Arial"/>
        </w:rPr>
        <w:t xml:space="preserve">applying the </w:t>
      </w:r>
      <w:r w:rsidR="004167CF" w:rsidRPr="0013608B">
        <w:rPr>
          <w:rFonts w:ascii="Arial" w:hAnsi="Arial" w:cs="Arial"/>
        </w:rPr>
        <w:t xml:space="preserve">established </w:t>
      </w:r>
      <w:r w:rsidR="007D299C" w:rsidRPr="0013608B">
        <w:rPr>
          <w:rFonts w:ascii="Arial" w:hAnsi="Arial" w:cs="Arial"/>
        </w:rPr>
        <w:t xml:space="preserve">processes </w:t>
      </w:r>
      <w:r w:rsidR="004167CF" w:rsidRPr="0013608B">
        <w:rPr>
          <w:rFonts w:ascii="Arial" w:hAnsi="Arial" w:cs="Arial"/>
        </w:rPr>
        <w:t xml:space="preserve">which are </w:t>
      </w:r>
      <w:r w:rsidR="007D299C" w:rsidRPr="0013608B">
        <w:rPr>
          <w:rFonts w:ascii="Arial" w:hAnsi="Arial" w:cs="Arial"/>
        </w:rPr>
        <w:t xml:space="preserve">provided for in </w:t>
      </w:r>
      <w:r w:rsidR="003F26CC" w:rsidRPr="0013608B">
        <w:rPr>
          <w:rFonts w:ascii="Arial" w:hAnsi="Arial" w:cs="Arial"/>
        </w:rPr>
        <w:t>ss 112 and</w:t>
      </w:r>
      <w:r w:rsidR="007D299C" w:rsidRPr="0013608B">
        <w:rPr>
          <w:rFonts w:ascii="Arial" w:hAnsi="Arial" w:cs="Arial"/>
        </w:rPr>
        <w:t xml:space="preserve"> </w:t>
      </w:r>
      <w:r w:rsidR="009F08BC">
        <w:rPr>
          <w:rFonts w:ascii="Arial" w:hAnsi="Arial" w:cs="Arial"/>
        </w:rPr>
        <w:t>1</w:t>
      </w:r>
      <w:r w:rsidR="007D299C" w:rsidRPr="0013608B">
        <w:rPr>
          <w:rFonts w:ascii="Arial" w:hAnsi="Arial" w:cs="Arial"/>
        </w:rPr>
        <w:t>15 of the CPA</w:t>
      </w:r>
      <w:r w:rsidR="004167CF" w:rsidRPr="0013608B">
        <w:rPr>
          <w:rFonts w:ascii="Arial" w:hAnsi="Arial" w:cs="Arial"/>
        </w:rPr>
        <w:t>,</w:t>
      </w:r>
      <w:r w:rsidR="007D299C" w:rsidRPr="0013608B">
        <w:rPr>
          <w:rFonts w:ascii="Arial" w:hAnsi="Arial" w:cs="Arial"/>
        </w:rPr>
        <w:t xml:space="preserve"> in a </w:t>
      </w:r>
      <w:r w:rsidR="003F26CC" w:rsidRPr="0013608B">
        <w:rPr>
          <w:rFonts w:ascii="Arial" w:hAnsi="Arial" w:cs="Arial"/>
        </w:rPr>
        <w:t xml:space="preserve">holistic, </w:t>
      </w:r>
      <w:r w:rsidR="007D299C" w:rsidRPr="0013608B">
        <w:rPr>
          <w:rFonts w:ascii="Arial" w:hAnsi="Arial" w:cs="Arial"/>
        </w:rPr>
        <w:t xml:space="preserve">single exercise </w:t>
      </w:r>
      <w:r w:rsidR="003F26CC" w:rsidRPr="0013608B">
        <w:rPr>
          <w:rFonts w:ascii="Arial" w:hAnsi="Arial" w:cs="Arial"/>
        </w:rPr>
        <w:t xml:space="preserve">at the time </w:t>
      </w:r>
      <w:r w:rsidR="007D299C" w:rsidRPr="0013608B">
        <w:rPr>
          <w:rFonts w:ascii="Arial" w:hAnsi="Arial" w:cs="Arial"/>
        </w:rPr>
        <w:t xml:space="preserve">when the accused was </w:t>
      </w:r>
      <w:r w:rsidR="003F26CC" w:rsidRPr="0013608B">
        <w:rPr>
          <w:rFonts w:ascii="Arial" w:hAnsi="Arial" w:cs="Arial"/>
        </w:rPr>
        <w:t>first</w:t>
      </w:r>
      <w:r w:rsidR="007D299C" w:rsidRPr="0013608B">
        <w:rPr>
          <w:rFonts w:ascii="Arial" w:hAnsi="Arial" w:cs="Arial"/>
        </w:rPr>
        <w:t xml:space="preserve"> called upon to plead</w:t>
      </w:r>
      <w:r w:rsidR="004167CF" w:rsidRPr="0013608B">
        <w:rPr>
          <w:rFonts w:ascii="Arial" w:hAnsi="Arial" w:cs="Arial"/>
        </w:rPr>
        <w:t>,</w:t>
      </w:r>
      <w:r w:rsidR="003F26CC" w:rsidRPr="0013608B">
        <w:rPr>
          <w:rFonts w:ascii="Arial" w:hAnsi="Arial" w:cs="Arial"/>
        </w:rPr>
        <w:t xml:space="preserve"> </w:t>
      </w:r>
      <w:r w:rsidR="004167CF" w:rsidRPr="0013608B">
        <w:rPr>
          <w:rFonts w:ascii="Arial" w:hAnsi="Arial" w:cs="Arial"/>
        </w:rPr>
        <w:t xml:space="preserve">and without even ascertaining from the state whether it was prepared to accept the accused’s plea </w:t>
      </w:r>
      <w:r w:rsidR="009F08BC">
        <w:rPr>
          <w:rFonts w:ascii="Arial" w:hAnsi="Arial" w:cs="Arial"/>
        </w:rPr>
        <w:t>to</w:t>
      </w:r>
      <w:r w:rsidR="004167CF" w:rsidRPr="0013608B">
        <w:rPr>
          <w:rFonts w:ascii="Arial" w:hAnsi="Arial" w:cs="Arial"/>
        </w:rPr>
        <w:t xml:space="preserve"> any of the charges, </w:t>
      </w:r>
      <w:r w:rsidR="007D299C" w:rsidRPr="0013608B">
        <w:rPr>
          <w:rFonts w:ascii="Arial" w:hAnsi="Arial" w:cs="Arial"/>
        </w:rPr>
        <w:t xml:space="preserve">the magistrate diverted </w:t>
      </w:r>
      <w:r w:rsidR="003F26CC" w:rsidRPr="0013608B">
        <w:rPr>
          <w:rFonts w:ascii="Arial" w:hAnsi="Arial" w:cs="Arial"/>
        </w:rPr>
        <w:t xml:space="preserve">therefrom </w:t>
      </w:r>
      <w:r w:rsidR="007D299C" w:rsidRPr="0013608B">
        <w:rPr>
          <w:rFonts w:ascii="Arial" w:hAnsi="Arial" w:cs="Arial"/>
        </w:rPr>
        <w:t xml:space="preserve">and directed </w:t>
      </w:r>
      <w:r w:rsidR="001D2397" w:rsidRPr="0013608B">
        <w:rPr>
          <w:rFonts w:ascii="Arial" w:hAnsi="Arial" w:cs="Arial"/>
        </w:rPr>
        <w:t xml:space="preserve">that </w:t>
      </w:r>
      <w:r w:rsidR="007D299C" w:rsidRPr="0013608B">
        <w:rPr>
          <w:rFonts w:ascii="Arial" w:hAnsi="Arial" w:cs="Arial"/>
        </w:rPr>
        <w:t xml:space="preserve">the </w:t>
      </w:r>
      <w:r w:rsidR="009E3843">
        <w:rPr>
          <w:rFonts w:ascii="Arial" w:hAnsi="Arial" w:cs="Arial"/>
        </w:rPr>
        <w:t>trial</w:t>
      </w:r>
      <w:r w:rsidR="001D2397" w:rsidRPr="0013608B">
        <w:rPr>
          <w:rFonts w:ascii="Arial" w:hAnsi="Arial" w:cs="Arial"/>
        </w:rPr>
        <w:t xml:space="preserve"> </w:t>
      </w:r>
      <w:r w:rsidR="0013608B">
        <w:rPr>
          <w:rFonts w:ascii="Arial" w:hAnsi="Arial" w:cs="Arial"/>
        </w:rPr>
        <w:t>take place</w:t>
      </w:r>
      <w:r w:rsidR="001D2397" w:rsidRPr="0013608B">
        <w:rPr>
          <w:rFonts w:ascii="Arial" w:hAnsi="Arial" w:cs="Arial"/>
        </w:rPr>
        <w:t xml:space="preserve"> in a piecemeal </w:t>
      </w:r>
      <w:r w:rsidR="003B4333" w:rsidRPr="0013608B">
        <w:rPr>
          <w:rFonts w:ascii="Arial" w:hAnsi="Arial" w:cs="Arial"/>
        </w:rPr>
        <w:t>an</w:t>
      </w:r>
      <w:r w:rsidR="00F612B6">
        <w:rPr>
          <w:rFonts w:ascii="Arial" w:hAnsi="Arial" w:cs="Arial"/>
        </w:rPr>
        <w:t>d</w:t>
      </w:r>
      <w:r w:rsidR="003B4333" w:rsidRPr="0013608B">
        <w:rPr>
          <w:rFonts w:ascii="Arial" w:hAnsi="Arial" w:cs="Arial"/>
        </w:rPr>
        <w:t xml:space="preserve"> haphazard </w:t>
      </w:r>
      <w:r w:rsidR="001D2397" w:rsidRPr="0013608B">
        <w:rPr>
          <w:rFonts w:ascii="Arial" w:hAnsi="Arial" w:cs="Arial"/>
        </w:rPr>
        <w:t xml:space="preserve">fashion. </w:t>
      </w:r>
    </w:p>
    <w:p w14:paraId="1F9D8A19" w14:textId="550CA1F7" w:rsidR="005E7060" w:rsidRDefault="008C795E" w:rsidP="008C795E">
      <w:pPr>
        <w:adjustRightInd w:val="0"/>
        <w:spacing w:after="0" w:line="360" w:lineRule="auto"/>
        <w:ind w:left="720" w:hanging="720"/>
        <w:contextualSpacing/>
        <w:jc w:val="both"/>
        <w:textAlignment w:val="baseline"/>
        <w:rPr>
          <w:rFonts w:ascii="Arial" w:hAnsi="Arial" w:cs="Arial"/>
        </w:rPr>
      </w:pPr>
      <w:r>
        <w:rPr>
          <w:rFonts w:ascii="Arial" w:hAnsi="Arial" w:cs="Arial"/>
        </w:rPr>
        <w:t>31.</w:t>
      </w:r>
      <w:r>
        <w:rPr>
          <w:rFonts w:ascii="Arial" w:hAnsi="Arial" w:cs="Arial"/>
        </w:rPr>
        <w:tab/>
      </w:r>
      <w:r w:rsidR="005E7060">
        <w:rPr>
          <w:rFonts w:ascii="Arial" w:hAnsi="Arial" w:cs="Arial"/>
        </w:rPr>
        <w:t>I</w:t>
      </w:r>
      <w:r w:rsidR="00020A12">
        <w:rPr>
          <w:rFonts w:ascii="Arial" w:hAnsi="Arial" w:cs="Arial"/>
        </w:rPr>
        <w:t xml:space="preserve">mmediately after the accused pleaded to the charges the magistrate </w:t>
      </w:r>
      <w:r w:rsidR="001263F4">
        <w:rPr>
          <w:rFonts w:ascii="Arial" w:hAnsi="Arial" w:cs="Arial"/>
        </w:rPr>
        <w:t>instructed</w:t>
      </w:r>
      <w:r w:rsidR="001D2397" w:rsidRPr="0013608B">
        <w:rPr>
          <w:rFonts w:ascii="Arial" w:hAnsi="Arial" w:cs="Arial"/>
        </w:rPr>
        <w:t xml:space="preserve"> the </w:t>
      </w:r>
      <w:r w:rsidR="007D299C" w:rsidRPr="0013608B">
        <w:rPr>
          <w:rFonts w:ascii="Arial" w:hAnsi="Arial" w:cs="Arial"/>
        </w:rPr>
        <w:t>state to produce evidence</w:t>
      </w:r>
      <w:r w:rsidR="003F26CC" w:rsidRPr="0013608B">
        <w:rPr>
          <w:rFonts w:ascii="Arial" w:hAnsi="Arial" w:cs="Arial"/>
        </w:rPr>
        <w:t xml:space="preserve"> </w:t>
      </w:r>
      <w:r w:rsidR="007D299C" w:rsidRPr="0013608B">
        <w:rPr>
          <w:rFonts w:ascii="Arial" w:hAnsi="Arial" w:cs="Arial"/>
        </w:rPr>
        <w:t>on the 1</w:t>
      </w:r>
      <w:r w:rsidR="007D299C" w:rsidRPr="0013608B">
        <w:rPr>
          <w:rFonts w:ascii="Arial" w:hAnsi="Arial" w:cs="Arial"/>
          <w:vertAlign w:val="superscript"/>
        </w:rPr>
        <w:t>st</w:t>
      </w:r>
      <w:r w:rsidR="007D299C" w:rsidRPr="0013608B">
        <w:rPr>
          <w:rFonts w:ascii="Arial" w:hAnsi="Arial" w:cs="Arial"/>
        </w:rPr>
        <w:t xml:space="preserve"> charge</w:t>
      </w:r>
      <w:r w:rsidR="007D292B">
        <w:rPr>
          <w:rFonts w:ascii="Arial" w:hAnsi="Arial" w:cs="Arial"/>
        </w:rPr>
        <w:t xml:space="preserve"> only</w:t>
      </w:r>
      <w:r w:rsidR="007D299C" w:rsidRPr="0013608B">
        <w:rPr>
          <w:rFonts w:ascii="Arial" w:hAnsi="Arial" w:cs="Arial"/>
        </w:rPr>
        <w:t xml:space="preserve">. </w:t>
      </w:r>
      <w:r w:rsidR="0013608B">
        <w:rPr>
          <w:rFonts w:ascii="Arial" w:hAnsi="Arial" w:cs="Arial"/>
        </w:rPr>
        <w:t xml:space="preserve">In </w:t>
      </w:r>
      <w:r w:rsidR="00020A12">
        <w:rPr>
          <w:rFonts w:ascii="Arial" w:hAnsi="Arial" w:cs="Arial"/>
        </w:rPr>
        <w:t>the process</w:t>
      </w:r>
      <w:r w:rsidR="0013608B">
        <w:rPr>
          <w:rFonts w:ascii="Arial" w:hAnsi="Arial" w:cs="Arial"/>
        </w:rPr>
        <w:t xml:space="preserve"> he</w:t>
      </w:r>
      <w:r w:rsidR="007D299C" w:rsidRPr="0013608B">
        <w:rPr>
          <w:rFonts w:ascii="Arial" w:hAnsi="Arial" w:cs="Arial"/>
        </w:rPr>
        <w:t xml:space="preserve"> allowed the state to elicit incriminat</w:t>
      </w:r>
      <w:r w:rsidR="003F26CC" w:rsidRPr="0013608B">
        <w:rPr>
          <w:rFonts w:ascii="Arial" w:hAnsi="Arial" w:cs="Arial"/>
        </w:rPr>
        <w:t xml:space="preserve">ing </w:t>
      </w:r>
      <w:r w:rsidR="007D299C" w:rsidRPr="0013608B">
        <w:rPr>
          <w:rFonts w:ascii="Arial" w:hAnsi="Arial" w:cs="Arial"/>
        </w:rPr>
        <w:t>evidence against the accused</w:t>
      </w:r>
      <w:r w:rsidR="003F26CC" w:rsidRPr="0013608B">
        <w:rPr>
          <w:rFonts w:ascii="Arial" w:hAnsi="Arial" w:cs="Arial"/>
        </w:rPr>
        <w:t>,</w:t>
      </w:r>
      <w:r w:rsidR="007D299C" w:rsidRPr="0013608B">
        <w:rPr>
          <w:rFonts w:ascii="Arial" w:hAnsi="Arial" w:cs="Arial"/>
        </w:rPr>
        <w:t xml:space="preserve"> which was inadmissible</w:t>
      </w:r>
      <w:r w:rsidR="003F26CC" w:rsidRPr="0013608B">
        <w:rPr>
          <w:rFonts w:ascii="Arial" w:hAnsi="Arial" w:cs="Arial"/>
        </w:rPr>
        <w:t>,</w:t>
      </w:r>
      <w:r w:rsidR="007D299C" w:rsidRPr="0013608B">
        <w:rPr>
          <w:rFonts w:ascii="Arial" w:hAnsi="Arial" w:cs="Arial"/>
        </w:rPr>
        <w:t xml:space="preserve"> in that it was entirely of </w:t>
      </w:r>
      <w:r w:rsidR="003F26CC" w:rsidRPr="0013608B">
        <w:rPr>
          <w:rFonts w:ascii="Arial" w:hAnsi="Arial" w:cs="Arial"/>
        </w:rPr>
        <w:t xml:space="preserve">a </w:t>
      </w:r>
      <w:r w:rsidR="007D299C" w:rsidRPr="0013608B">
        <w:rPr>
          <w:rFonts w:ascii="Arial" w:hAnsi="Arial" w:cs="Arial"/>
        </w:rPr>
        <w:t xml:space="preserve">hearsay nature and </w:t>
      </w:r>
      <w:r w:rsidR="001D2397" w:rsidRPr="0013608B">
        <w:rPr>
          <w:rFonts w:ascii="Arial" w:hAnsi="Arial" w:cs="Arial"/>
        </w:rPr>
        <w:t xml:space="preserve">there </w:t>
      </w:r>
      <w:r w:rsidR="007D299C" w:rsidRPr="0013608B">
        <w:rPr>
          <w:rFonts w:ascii="Arial" w:hAnsi="Arial" w:cs="Arial"/>
        </w:rPr>
        <w:t>was n</w:t>
      </w:r>
      <w:r w:rsidR="001D2397" w:rsidRPr="0013608B">
        <w:rPr>
          <w:rFonts w:ascii="Arial" w:hAnsi="Arial" w:cs="Arial"/>
        </w:rPr>
        <w:t>o indication that it would be</w:t>
      </w:r>
      <w:r w:rsidR="007D299C" w:rsidRPr="0013608B">
        <w:rPr>
          <w:rFonts w:ascii="Arial" w:hAnsi="Arial" w:cs="Arial"/>
        </w:rPr>
        <w:t xml:space="preserve"> </w:t>
      </w:r>
      <w:r w:rsidR="004167CF" w:rsidRPr="0013608B">
        <w:rPr>
          <w:rFonts w:ascii="Arial" w:hAnsi="Arial" w:cs="Arial"/>
        </w:rPr>
        <w:t>c</w:t>
      </w:r>
      <w:r w:rsidR="007D299C" w:rsidRPr="0013608B">
        <w:rPr>
          <w:rFonts w:ascii="Arial" w:hAnsi="Arial" w:cs="Arial"/>
        </w:rPr>
        <w:t xml:space="preserve">onfirmed by the </w:t>
      </w:r>
      <w:r w:rsidR="003F26CC" w:rsidRPr="0013608B">
        <w:rPr>
          <w:rFonts w:ascii="Arial" w:hAnsi="Arial" w:cs="Arial"/>
        </w:rPr>
        <w:t xml:space="preserve">original </w:t>
      </w:r>
      <w:r w:rsidR="007D299C" w:rsidRPr="0013608B">
        <w:rPr>
          <w:rFonts w:ascii="Arial" w:hAnsi="Arial" w:cs="Arial"/>
        </w:rPr>
        <w:t>source</w:t>
      </w:r>
      <w:r w:rsidR="003F26CC" w:rsidRPr="0013608B">
        <w:rPr>
          <w:rFonts w:ascii="Arial" w:hAnsi="Arial" w:cs="Arial"/>
        </w:rPr>
        <w:t>s</w:t>
      </w:r>
      <w:r w:rsidR="007D299C" w:rsidRPr="0013608B">
        <w:rPr>
          <w:rFonts w:ascii="Arial" w:hAnsi="Arial" w:cs="Arial"/>
        </w:rPr>
        <w:t xml:space="preserve"> thereof. Thereafter, he invited the accused to make submissions pertaining to </w:t>
      </w:r>
      <w:r w:rsidR="001D2397" w:rsidRPr="0013608B">
        <w:rPr>
          <w:rFonts w:ascii="Arial" w:hAnsi="Arial" w:cs="Arial"/>
        </w:rPr>
        <w:t xml:space="preserve">a possible </w:t>
      </w:r>
      <w:r w:rsidR="007D299C" w:rsidRPr="0013608B">
        <w:rPr>
          <w:rFonts w:ascii="Arial" w:hAnsi="Arial" w:cs="Arial"/>
        </w:rPr>
        <w:t xml:space="preserve">discharge </w:t>
      </w:r>
      <w:r w:rsidR="00236DAC" w:rsidRPr="0013608B">
        <w:rPr>
          <w:rFonts w:ascii="Arial" w:hAnsi="Arial" w:cs="Arial"/>
        </w:rPr>
        <w:t>on th</w:t>
      </w:r>
      <w:r w:rsidR="00020A12">
        <w:rPr>
          <w:rFonts w:ascii="Arial" w:hAnsi="Arial" w:cs="Arial"/>
        </w:rPr>
        <w:t>e 1</w:t>
      </w:r>
      <w:r w:rsidR="00020A12" w:rsidRPr="00020A12">
        <w:rPr>
          <w:rFonts w:ascii="Arial" w:hAnsi="Arial" w:cs="Arial"/>
          <w:vertAlign w:val="superscript"/>
        </w:rPr>
        <w:t>st</w:t>
      </w:r>
      <w:r w:rsidR="00020A12">
        <w:rPr>
          <w:rFonts w:ascii="Arial" w:hAnsi="Arial" w:cs="Arial"/>
        </w:rPr>
        <w:t xml:space="preserve"> </w:t>
      </w:r>
      <w:r w:rsidR="00236DAC" w:rsidRPr="0013608B">
        <w:rPr>
          <w:rFonts w:ascii="Arial" w:hAnsi="Arial" w:cs="Arial"/>
        </w:rPr>
        <w:t xml:space="preserve">charge </w:t>
      </w:r>
      <w:r w:rsidR="007D299C" w:rsidRPr="0013608B">
        <w:rPr>
          <w:rFonts w:ascii="Arial" w:hAnsi="Arial" w:cs="Arial"/>
        </w:rPr>
        <w:t xml:space="preserve">even though there was no admissible evidence on which </w:t>
      </w:r>
      <w:r w:rsidR="003F26CC" w:rsidRPr="0013608B">
        <w:rPr>
          <w:rFonts w:ascii="Arial" w:hAnsi="Arial" w:cs="Arial"/>
        </w:rPr>
        <w:t xml:space="preserve">he </w:t>
      </w:r>
      <w:r w:rsidR="007D299C" w:rsidRPr="0013608B">
        <w:rPr>
          <w:rFonts w:ascii="Arial" w:hAnsi="Arial" w:cs="Arial"/>
        </w:rPr>
        <w:t xml:space="preserve">could </w:t>
      </w:r>
      <w:r w:rsidR="003F26CC" w:rsidRPr="0013608B">
        <w:rPr>
          <w:rFonts w:ascii="Arial" w:hAnsi="Arial" w:cs="Arial"/>
        </w:rPr>
        <w:t xml:space="preserve">properly </w:t>
      </w:r>
      <w:r w:rsidR="007D299C" w:rsidRPr="0013608B">
        <w:rPr>
          <w:rFonts w:ascii="Arial" w:hAnsi="Arial" w:cs="Arial"/>
        </w:rPr>
        <w:t xml:space="preserve">be </w:t>
      </w:r>
      <w:r w:rsidR="005E7060" w:rsidRPr="0013608B">
        <w:rPr>
          <w:rFonts w:ascii="Arial" w:hAnsi="Arial" w:cs="Arial"/>
        </w:rPr>
        <w:t>convicted,</w:t>
      </w:r>
      <w:r w:rsidR="005E7060">
        <w:rPr>
          <w:rFonts w:ascii="Arial" w:hAnsi="Arial" w:cs="Arial"/>
        </w:rPr>
        <w:t xml:space="preserve"> and </w:t>
      </w:r>
      <w:r w:rsidR="004E6B6B">
        <w:rPr>
          <w:rFonts w:ascii="Arial" w:hAnsi="Arial" w:cs="Arial"/>
        </w:rPr>
        <w:t xml:space="preserve">even though </w:t>
      </w:r>
      <w:r w:rsidR="00963C7F">
        <w:rPr>
          <w:rFonts w:ascii="Arial" w:hAnsi="Arial" w:cs="Arial"/>
        </w:rPr>
        <w:t>discharge</w:t>
      </w:r>
      <w:r w:rsidR="005E7060">
        <w:rPr>
          <w:rFonts w:ascii="Arial" w:hAnsi="Arial" w:cs="Arial"/>
        </w:rPr>
        <w:t xml:space="preserve"> proceedings only take place at the conclusion of the state’s case in respect of all the charges which an accused is facing</w:t>
      </w:r>
      <w:r w:rsidR="003F26CC" w:rsidRPr="0013608B">
        <w:rPr>
          <w:rFonts w:ascii="Arial" w:hAnsi="Arial" w:cs="Arial"/>
        </w:rPr>
        <w:t xml:space="preserve">. </w:t>
      </w:r>
    </w:p>
    <w:p w14:paraId="3F222F7C" w14:textId="5BEAAD71" w:rsidR="004167CF" w:rsidRPr="0013608B" w:rsidRDefault="008C795E" w:rsidP="008C795E">
      <w:pPr>
        <w:adjustRightInd w:val="0"/>
        <w:spacing w:after="0" w:line="360" w:lineRule="auto"/>
        <w:ind w:left="720" w:hanging="720"/>
        <w:contextualSpacing/>
        <w:jc w:val="both"/>
        <w:textAlignment w:val="baseline"/>
        <w:rPr>
          <w:rFonts w:ascii="Arial" w:hAnsi="Arial" w:cs="Arial"/>
        </w:rPr>
      </w:pPr>
      <w:r w:rsidRPr="0013608B">
        <w:rPr>
          <w:rFonts w:ascii="Arial" w:hAnsi="Arial" w:cs="Arial"/>
        </w:rPr>
        <w:lastRenderedPageBreak/>
        <w:t>32.</w:t>
      </w:r>
      <w:r w:rsidRPr="0013608B">
        <w:rPr>
          <w:rFonts w:ascii="Arial" w:hAnsi="Arial" w:cs="Arial"/>
        </w:rPr>
        <w:tab/>
      </w:r>
      <w:r w:rsidR="0013608B">
        <w:rPr>
          <w:rFonts w:ascii="Arial" w:hAnsi="Arial" w:cs="Arial"/>
        </w:rPr>
        <w:t>He</w:t>
      </w:r>
      <w:r w:rsidR="003F26CC" w:rsidRPr="0013608B">
        <w:rPr>
          <w:rFonts w:ascii="Arial" w:hAnsi="Arial" w:cs="Arial"/>
        </w:rPr>
        <w:t xml:space="preserve"> </w:t>
      </w:r>
      <w:r w:rsidR="0013608B">
        <w:rPr>
          <w:rFonts w:ascii="Arial" w:hAnsi="Arial" w:cs="Arial"/>
        </w:rPr>
        <w:t xml:space="preserve">then </w:t>
      </w:r>
      <w:r w:rsidR="007D299C" w:rsidRPr="0013608B">
        <w:rPr>
          <w:rFonts w:ascii="Arial" w:hAnsi="Arial" w:cs="Arial"/>
        </w:rPr>
        <w:t xml:space="preserve">proceeded to convict </w:t>
      </w:r>
      <w:r w:rsidR="004167CF" w:rsidRPr="0013608B">
        <w:rPr>
          <w:rFonts w:ascii="Arial" w:hAnsi="Arial" w:cs="Arial"/>
        </w:rPr>
        <w:t>the accused on the main count of th</w:t>
      </w:r>
      <w:r w:rsidR="0013608B">
        <w:rPr>
          <w:rFonts w:ascii="Arial" w:hAnsi="Arial" w:cs="Arial"/>
        </w:rPr>
        <w:t>at</w:t>
      </w:r>
      <w:r w:rsidR="004167CF" w:rsidRPr="0013608B">
        <w:rPr>
          <w:rFonts w:ascii="Arial" w:hAnsi="Arial" w:cs="Arial"/>
        </w:rPr>
        <w:t xml:space="preserve"> charge, </w:t>
      </w:r>
      <w:r w:rsidR="007D299C" w:rsidRPr="0013608B">
        <w:rPr>
          <w:rFonts w:ascii="Arial" w:hAnsi="Arial" w:cs="Arial"/>
        </w:rPr>
        <w:t xml:space="preserve">on the basis that </w:t>
      </w:r>
      <w:r w:rsidR="004167CF" w:rsidRPr="0013608B">
        <w:rPr>
          <w:rFonts w:ascii="Arial" w:hAnsi="Arial" w:cs="Arial"/>
        </w:rPr>
        <w:t xml:space="preserve">his guilt </w:t>
      </w:r>
      <w:r w:rsidR="005E7060">
        <w:rPr>
          <w:rFonts w:ascii="Arial" w:hAnsi="Arial" w:cs="Arial"/>
        </w:rPr>
        <w:t>had been</w:t>
      </w:r>
      <w:r w:rsidR="004167CF" w:rsidRPr="0013608B">
        <w:rPr>
          <w:rFonts w:ascii="Arial" w:hAnsi="Arial" w:cs="Arial"/>
        </w:rPr>
        <w:t xml:space="preserve"> proven by the hearsay evidence which </w:t>
      </w:r>
      <w:r w:rsidR="007D292B">
        <w:rPr>
          <w:rFonts w:ascii="Arial" w:hAnsi="Arial" w:cs="Arial"/>
        </w:rPr>
        <w:t>had been</w:t>
      </w:r>
      <w:r w:rsidR="004167CF" w:rsidRPr="0013608B">
        <w:rPr>
          <w:rFonts w:ascii="Arial" w:hAnsi="Arial" w:cs="Arial"/>
        </w:rPr>
        <w:t xml:space="preserve"> given by his mother and the ‘evidence’ which he had given ‘</w:t>
      </w:r>
      <w:r w:rsidR="007D299C" w:rsidRPr="0013608B">
        <w:rPr>
          <w:rFonts w:ascii="Arial" w:hAnsi="Arial" w:cs="Arial"/>
        </w:rPr>
        <w:t>under oath</w:t>
      </w:r>
      <w:r w:rsidR="004167CF" w:rsidRPr="0013608B">
        <w:rPr>
          <w:rFonts w:ascii="Arial" w:hAnsi="Arial" w:cs="Arial"/>
        </w:rPr>
        <w:t>’,</w:t>
      </w:r>
      <w:r w:rsidR="007D299C" w:rsidRPr="0013608B">
        <w:rPr>
          <w:rFonts w:ascii="Arial" w:hAnsi="Arial" w:cs="Arial"/>
        </w:rPr>
        <w:t xml:space="preserve"> in which he had supposedly admitted to the elements of the charge</w:t>
      </w:r>
      <w:r w:rsidR="004167CF" w:rsidRPr="0013608B">
        <w:rPr>
          <w:rFonts w:ascii="Arial" w:hAnsi="Arial" w:cs="Arial"/>
        </w:rPr>
        <w:t xml:space="preserve">, when he had </w:t>
      </w:r>
      <w:r w:rsidR="001D2397" w:rsidRPr="0013608B">
        <w:rPr>
          <w:rFonts w:ascii="Arial" w:hAnsi="Arial" w:cs="Arial"/>
        </w:rPr>
        <w:t xml:space="preserve">in fact </w:t>
      </w:r>
      <w:r w:rsidR="004167CF" w:rsidRPr="0013608B">
        <w:rPr>
          <w:rFonts w:ascii="Arial" w:hAnsi="Arial" w:cs="Arial"/>
        </w:rPr>
        <w:t>n</w:t>
      </w:r>
      <w:r w:rsidR="004E6B6B">
        <w:rPr>
          <w:rFonts w:ascii="Arial" w:hAnsi="Arial" w:cs="Arial"/>
        </w:rPr>
        <w:t>ot</w:t>
      </w:r>
      <w:r w:rsidR="004167CF" w:rsidRPr="0013608B">
        <w:rPr>
          <w:rFonts w:ascii="Arial" w:hAnsi="Arial" w:cs="Arial"/>
        </w:rPr>
        <w:t xml:space="preserve"> testified and the proceedings </w:t>
      </w:r>
      <w:r w:rsidR="005E7060">
        <w:rPr>
          <w:rFonts w:ascii="Arial" w:hAnsi="Arial" w:cs="Arial"/>
        </w:rPr>
        <w:t xml:space="preserve">were </w:t>
      </w:r>
      <w:r w:rsidR="004167CF" w:rsidRPr="0013608B">
        <w:rPr>
          <w:rFonts w:ascii="Arial" w:hAnsi="Arial" w:cs="Arial"/>
        </w:rPr>
        <w:t xml:space="preserve">concerned </w:t>
      </w:r>
      <w:r w:rsidR="005E7060">
        <w:rPr>
          <w:rFonts w:ascii="Arial" w:hAnsi="Arial" w:cs="Arial"/>
        </w:rPr>
        <w:t xml:space="preserve">with </w:t>
      </w:r>
      <w:r w:rsidR="004167CF" w:rsidRPr="0013608B">
        <w:rPr>
          <w:rFonts w:ascii="Arial" w:hAnsi="Arial" w:cs="Arial"/>
        </w:rPr>
        <w:t>an application for discharge</w:t>
      </w:r>
      <w:r w:rsidR="007D299C" w:rsidRPr="0013608B">
        <w:rPr>
          <w:rFonts w:ascii="Arial" w:hAnsi="Arial" w:cs="Arial"/>
        </w:rPr>
        <w:t xml:space="preserve">. </w:t>
      </w:r>
    </w:p>
    <w:p w14:paraId="097FB404" w14:textId="1856FB12" w:rsidR="001D2397" w:rsidRDefault="008C795E" w:rsidP="008C795E">
      <w:pPr>
        <w:adjustRightInd w:val="0"/>
        <w:spacing w:after="0" w:line="360" w:lineRule="auto"/>
        <w:ind w:left="720" w:hanging="720"/>
        <w:contextualSpacing/>
        <w:jc w:val="both"/>
        <w:textAlignment w:val="baseline"/>
        <w:rPr>
          <w:rFonts w:ascii="Arial" w:hAnsi="Arial" w:cs="Arial"/>
        </w:rPr>
      </w:pPr>
      <w:r>
        <w:rPr>
          <w:rFonts w:ascii="Arial" w:hAnsi="Arial" w:cs="Arial"/>
        </w:rPr>
        <w:t>33.</w:t>
      </w:r>
      <w:r>
        <w:rPr>
          <w:rFonts w:ascii="Arial" w:hAnsi="Arial" w:cs="Arial"/>
        </w:rPr>
        <w:tab/>
      </w:r>
      <w:r w:rsidR="007D299C" w:rsidRPr="00076F69">
        <w:rPr>
          <w:rFonts w:ascii="Arial" w:hAnsi="Arial" w:cs="Arial"/>
        </w:rPr>
        <w:t>Then, notwithstanding that he had already convicted the accused on the main c</w:t>
      </w:r>
      <w:r w:rsidR="004167CF">
        <w:rPr>
          <w:rFonts w:ascii="Arial" w:hAnsi="Arial" w:cs="Arial"/>
        </w:rPr>
        <w:t>ount</w:t>
      </w:r>
      <w:r w:rsidR="007D299C" w:rsidRPr="00076F69">
        <w:rPr>
          <w:rFonts w:ascii="Arial" w:hAnsi="Arial" w:cs="Arial"/>
        </w:rPr>
        <w:t xml:space="preserve">, </w:t>
      </w:r>
      <w:r w:rsidR="004167CF">
        <w:rPr>
          <w:rFonts w:ascii="Arial" w:hAnsi="Arial" w:cs="Arial"/>
        </w:rPr>
        <w:t xml:space="preserve">he </w:t>
      </w:r>
      <w:r w:rsidR="007D299C" w:rsidRPr="00076F69">
        <w:rPr>
          <w:rFonts w:ascii="Arial" w:hAnsi="Arial" w:cs="Arial"/>
        </w:rPr>
        <w:t>proceeded to direct the prosecutor to put up evidence pertaining to the alternative thereto</w:t>
      </w:r>
      <w:r w:rsidR="004167CF">
        <w:rPr>
          <w:rFonts w:ascii="Arial" w:hAnsi="Arial" w:cs="Arial"/>
        </w:rPr>
        <w:t>,</w:t>
      </w:r>
      <w:r w:rsidR="007D299C" w:rsidRPr="00076F69">
        <w:rPr>
          <w:rFonts w:ascii="Arial" w:hAnsi="Arial" w:cs="Arial"/>
        </w:rPr>
        <w:t xml:space="preserve"> and require</w:t>
      </w:r>
      <w:r w:rsidR="004167CF">
        <w:rPr>
          <w:rFonts w:ascii="Arial" w:hAnsi="Arial" w:cs="Arial"/>
        </w:rPr>
        <w:t>d</w:t>
      </w:r>
      <w:r w:rsidR="007D299C" w:rsidRPr="00076F69">
        <w:rPr>
          <w:rFonts w:ascii="Arial" w:hAnsi="Arial" w:cs="Arial"/>
        </w:rPr>
        <w:t xml:space="preserve"> the accused to re-plead </w:t>
      </w:r>
      <w:r w:rsidR="0013608B">
        <w:rPr>
          <w:rFonts w:ascii="Arial" w:hAnsi="Arial" w:cs="Arial"/>
        </w:rPr>
        <w:t xml:space="preserve">to it </w:t>
      </w:r>
      <w:r w:rsidR="007D299C" w:rsidRPr="00076F69">
        <w:rPr>
          <w:rFonts w:ascii="Arial" w:hAnsi="Arial" w:cs="Arial"/>
        </w:rPr>
        <w:t>for</w:t>
      </w:r>
      <w:r w:rsidR="004167CF">
        <w:rPr>
          <w:rFonts w:ascii="Arial" w:hAnsi="Arial" w:cs="Arial"/>
        </w:rPr>
        <w:t xml:space="preserve"> </w:t>
      </w:r>
      <w:proofErr w:type="gramStart"/>
      <w:r w:rsidR="004167CF">
        <w:rPr>
          <w:rFonts w:ascii="Arial" w:hAnsi="Arial" w:cs="Arial"/>
        </w:rPr>
        <w:t xml:space="preserve">a </w:t>
      </w:r>
      <w:r w:rsidR="007D299C" w:rsidRPr="00076F69">
        <w:rPr>
          <w:rFonts w:ascii="Arial" w:hAnsi="Arial" w:cs="Arial"/>
        </w:rPr>
        <w:t xml:space="preserve"> 2</w:t>
      </w:r>
      <w:proofErr w:type="gramEnd"/>
      <w:r w:rsidR="007D299C" w:rsidRPr="00076F69">
        <w:rPr>
          <w:rFonts w:ascii="Arial" w:hAnsi="Arial" w:cs="Arial"/>
          <w:vertAlign w:val="superscript"/>
        </w:rPr>
        <w:t>nd</w:t>
      </w:r>
      <w:r w:rsidR="007D299C" w:rsidRPr="00076F69">
        <w:rPr>
          <w:rFonts w:ascii="Arial" w:hAnsi="Arial" w:cs="Arial"/>
        </w:rPr>
        <w:t xml:space="preserve"> </w:t>
      </w:r>
      <w:r w:rsidR="004167CF">
        <w:rPr>
          <w:rFonts w:ascii="Arial" w:hAnsi="Arial" w:cs="Arial"/>
        </w:rPr>
        <w:t>time, a</w:t>
      </w:r>
      <w:r w:rsidR="007D299C" w:rsidRPr="00076F69">
        <w:rPr>
          <w:rFonts w:ascii="Arial" w:hAnsi="Arial" w:cs="Arial"/>
        </w:rPr>
        <w:t xml:space="preserve">nd </w:t>
      </w:r>
      <w:r w:rsidR="004167CF">
        <w:rPr>
          <w:rFonts w:ascii="Arial" w:hAnsi="Arial" w:cs="Arial"/>
        </w:rPr>
        <w:t xml:space="preserve">again </w:t>
      </w:r>
      <w:r w:rsidR="007D299C" w:rsidRPr="00076F69">
        <w:rPr>
          <w:rFonts w:ascii="Arial" w:hAnsi="Arial" w:cs="Arial"/>
        </w:rPr>
        <w:t>allowed the witness</w:t>
      </w:r>
      <w:r w:rsidR="004167CF">
        <w:rPr>
          <w:rFonts w:ascii="Arial" w:hAnsi="Arial" w:cs="Arial"/>
        </w:rPr>
        <w:t xml:space="preserve"> who </w:t>
      </w:r>
      <w:r w:rsidR="007D299C" w:rsidRPr="00076F69">
        <w:rPr>
          <w:rFonts w:ascii="Arial" w:hAnsi="Arial" w:cs="Arial"/>
        </w:rPr>
        <w:t>had previously testified</w:t>
      </w:r>
      <w:r w:rsidR="004167CF">
        <w:rPr>
          <w:rFonts w:ascii="Arial" w:hAnsi="Arial" w:cs="Arial"/>
        </w:rPr>
        <w:t>,</w:t>
      </w:r>
      <w:r w:rsidR="007D299C" w:rsidRPr="00076F69">
        <w:rPr>
          <w:rFonts w:ascii="Arial" w:hAnsi="Arial" w:cs="Arial"/>
        </w:rPr>
        <w:t xml:space="preserve"> to be recalled and to give evidence on aspects on which she was unable to provide any direct, admissible evidence.</w:t>
      </w:r>
      <w:r w:rsidR="0013608B">
        <w:rPr>
          <w:rFonts w:ascii="Arial" w:hAnsi="Arial" w:cs="Arial"/>
        </w:rPr>
        <w:t xml:space="preserve"> </w:t>
      </w:r>
      <w:r w:rsidR="00BC6D38">
        <w:rPr>
          <w:rFonts w:ascii="Arial" w:hAnsi="Arial" w:cs="Arial"/>
        </w:rPr>
        <w:t>He</w:t>
      </w:r>
      <w:r w:rsidR="007D299C" w:rsidRPr="00076F69">
        <w:rPr>
          <w:rFonts w:ascii="Arial" w:hAnsi="Arial" w:cs="Arial"/>
        </w:rPr>
        <w:t xml:space="preserve"> then proceeded to deliver a 2</w:t>
      </w:r>
      <w:r w:rsidR="007D299C" w:rsidRPr="00076F69">
        <w:rPr>
          <w:rFonts w:ascii="Arial" w:hAnsi="Arial" w:cs="Arial"/>
          <w:vertAlign w:val="superscript"/>
        </w:rPr>
        <w:t>nd</w:t>
      </w:r>
      <w:r w:rsidR="007D299C" w:rsidRPr="00076F69">
        <w:rPr>
          <w:rFonts w:ascii="Arial" w:hAnsi="Arial" w:cs="Arial"/>
        </w:rPr>
        <w:t xml:space="preserve"> judgment</w:t>
      </w:r>
      <w:r w:rsidR="001D2397">
        <w:rPr>
          <w:rFonts w:ascii="Arial" w:hAnsi="Arial" w:cs="Arial"/>
        </w:rPr>
        <w:t xml:space="preserve"> </w:t>
      </w:r>
      <w:r w:rsidR="00020A12">
        <w:rPr>
          <w:rFonts w:ascii="Arial" w:hAnsi="Arial" w:cs="Arial"/>
        </w:rPr>
        <w:t>(</w:t>
      </w:r>
      <w:r w:rsidR="001D2397">
        <w:rPr>
          <w:rFonts w:ascii="Arial" w:hAnsi="Arial" w:cs="Arial"/>
        </w:rPr>
        <w:t xml:space="preserve">in respect of the </w:t>
      </w:r>
      <w:r w:rsidR="00020A12">
        <w:rPr>
          <w:rFonts w:ascii="Arial" w:hAnsi="Arial" w:cs="Arial"/>
        </w:rPr>
        <w:t xml:space="preserve">same </w:t>
      </w:r>
      <w:r w:rsidR="001D2397">
        <w:rPr>
          <w:rFonts w:ascii="Arial" w:hAnsi="Arial" w:cs="Arial"/>
        </w:rPr>
        <w:t>charge</w:t>
      </w:r>
      <w:r w:rsidR="00020A12">
        <w:rPr>
          <w:rFonts w:ascii="Arial" w:hAnsi="Arial" w:cs="Arial"/>
        </w:rPr>
        <w:t xml:space="preserve">) </w:t>
      </w:r>
      <w:r w:rsidR="007D299C" w:rsidRPr="00076F69">
        <w:rPr>
          <w:rFonts w:ascii="Arial" w:hAnsi="Arial" w:cs="Arial"/>
        </w:rPr>
        <w:t xml:space="preserve">in which he acquitted the accused on the alternative </w:t>
      </w:r>
      <w:r w:rsidR="001D2397">
        <w:rPr>
          <w:rFonts w:ascii="Arial" w:hAnsi="Arial" w:cs="Arial"/>
        </w:rPr>
        <w:t>count</w:t>
      </w:r>
      <w:r w:rsidR="00556224">
        <w:rPr>
          <w:rFonts w:ascii="Arial" w:hAnsi="Arial" w:cs="Arial"/>
        </w:rPr>
        <w:t xml:space="preserve"> thereto</w:t>
      </w:r>
      <w:r w:rsidR="001D2397">
        <w:rPr>
          <w:rFonts w:ascii="Arial" w:hAnsi="Arial" w:cs="Arial"/>
        </w:rPr>
        <w:t xml:space="preserve"> </w:t>
      </w:r>
      <w:r w:rsidR="007D299C" w:rsidRPr="00076F69">
        <w:rPr>
          <w:rFonts w:ascii="Arial" w:hAnsi="Arial" w:cs="Arial"/>
        </w:rPr>
        <w:t>before direct</w:t>
      </w:r>
      <w:r w:rsidR="001D2397">
        <w:rPr>
          <w:rFonts w:ascii="Arial" w:hAnsi="Arial" w:cs="Arial"/>
        </w:rPr>
        <w:t>ing</w:t>
      </w:r>
      <w:r w:rsidR="007D299C" w:rsidRPr="00076F69">
        <w:rPr>
          <w:rFonts w:ascii="Arial" w:hAnsi="Arial" w:cs="Arial"/>
        </w:rPr>
        <w:t xml:space="preserve"> the state </w:t>
      </w:r>
      <w:r w:rsidR="001D2397">
        <w:rPr>
          <w:rFonts w:ascii="Arial" w:hAnsi="Arial" w:cs="Arial"/>
        </w:rPr>
        <w:t xml:space="preserve">to </w:t>
      </w:r>
      <w:r w:rsidR="007D299C" w:rsidRPr="00076F69">
        <w:rPr>
          <w:rFonts w:ascii="Arial" w:hAnsi="Arial" w:cs="Arial"/>
        </w:rPr>
        <w:t>present evidence on the 2</w:t>
      </w:r>
      <w:r w:rsidR="007D299C" w:rsidRPr="00076F69">
        <w:rPr>
          <w:rFonts w:ascii="Arial" w:hAnsi="Arial" w:cs="Arial"/>
          <w:vertAlign w:val="superscript"/>
        </w:rPr>
        <w:t>nd</w:t>
      </w:r>
      <w:r w:rsidR="007D299C" w:rsidRPr="00076F69">
        <w:rPr>
          <w:rFonts w:ascii="Arial" w:hAnsi="Arial" w:cs="Arial"/>
        </w:rPr>
        <w:t xml:space="preserve"> charge and requiring the accused to plead to </w:t>
      </w:r>
      <w:r w:rsidR="001D2397">
        <w:rPr>
          <w:rFonts w:ascii="Arial" w:hAnsi="Arial" w:cs="Arial"/>
        </w:rPr>
        <w:t>it</w:t>
      </w:r>
      <w:r w:rsidR="007D299C" w:rsidRPr="00076F69">
        <w:rPr>
          <w:rFonts w:ascii="Arial" w:hAnsi="Arial" w:cs="Arial"/>
        </w:rPr>
        <w:t xml:space="preserve"> again. </w:t>
      </w:r>
    </w:p>
    <w:p w14:paraId="024F811C" w14:textId="28DF4496" w:rsidR="00BC6D38" w:rsidRDefault="008C795E" w:rsidP="008C795E">
      <w:pPr>
        <w:adjustRightInd w:val="0"/>
        <w:spacing w:after="0" w:line="360" w:lineRule="auto"/>
        <w:ind w:left="720" w:hanging="720"/>
        <w:contextualSpacing/>
        <w:jc w:val="both"/>
        <w:textAlignment w:val="baseline"/>
        <w:rPr>
          <w:rFonts w:ascii="Arial" w:hAnsi="Arial" w:cs="Arial"/>
        </w:rPr>
      </w:pPr>
      <w:r>
        <w:rPr>
          <w:rFonts w:ascii="Arial" w:hAnsi="Arial" w:cs="Arial"/>
        </w:rPr>
        <w:t>34.</w:t>
      </w:r>
      <w:r>
        <w:rPr>
          <w:rFonts w:ascii="Arial" w:hAnsi="Arial" w:cs="Arial"/>
        </w:rPr>
        <w:tab/>
      </w:r>
      <w:r w:rsidR="00BC6D38">
        <w:rPr>
          <w:rFonts w:ascii="Arial" w:hAnsi="Arial" w:cs="Arial"/>
        </w:rPr>
        <w:t>He then</w:t>
      </w:r>
      <w:r w:rsidR="001D2397">
        <w:rPr>
          <w:rFonts w:ascii="Arial" w:hAnsi="Arial" w:cs="Arial"/>
        </w:rPr>
        <w:t xml:space="preserve"> again purported to apply the provisions of s112(1)(b) of the CPA, before delivering a </w:t>
      </w:r>
      <w:r w:rsidR="00236DAC">
        <w:rPr>
          <w:rFonts w:ascii="Arial" w:hAnsi="Arial" w:cs="Arial"/>
        </w:rPr>
        <w:t>3</w:t>
      </w:r>
      <w:r w:rsidR="00236DAC" w:rsidRPr="00236DAC">
        <w:rPr>
          <w:rFonts w:ascii="Arial" w:hAnsi="Arial" w:cs="Arial"/>
          <w:vertAlign w:val="superscript"/>
        </w:rPr>
        <w:t>rd</w:t>
      </w:r>
      <w:r w:rsidR="00236DAC">
        <w:rPr>
          <w:rFonts w:ascii="Arial" w:hAnsi="Arial" w:cs="Arial"/>
        </w:rPr>
        <w:t xml:space="preserve"> judgment, in which he held, in a single paragraph, that the accused was guilty on the main count</w:t>
      </w:r>
      <w:r w:rsidR="004E6B6B">
        <w:rPr>
          <w:rFonts w:ascii="Arial" w:hAnsi="Arial" w:cs="Arial"/>
        </w:rPr>
        <w:t xml:space="preserve"> of the 2</w:t>
      </w:r>
      <w:r w:rsidR="004E6B6B" w:rsidRPr="004E6B6B">
        <w:rPr>
          <w:rFonts w:ascii="Arial" w:hAnsi="Arial" w:cs="Arial"/>
          <w:vertAlign w:val="superscript"/>
        </w:rPr>
        <w:t>nd</w:t>
      </w:r>
      <w:r w:rsidR="004E6B6B">
        <w:rPr>
          <w:rFonts w:ascii="Arial" w:hAnsi="Arial" w:cs="Arial"/>
        </w:rPr>
        <w:t xml:space="preserve"> charge</w:t>
      </w:r>
      <w:r w:rsidR="000C5902">
        <w:rPr>
          <w:rFonts w:ascii="Arial" w:hAnsi="Arial" w:cs="Arial"/>
        </w:rPr>
        <w:t>, as charged</w:t>
      </w:r>
      <w:r w:rsidR="00236DAC">
        <w:rPr>
          <w:rFonts w:ascii="Arial" w:hAnsi="Arial" w:cs="Arial"/>
        </w:rPr>
        <w:t xml:space="preserve">. </w:t>
      </w:r>
      <w:r w:rsidR="007D299C" w:rsidRPr="00076F69">
        <w:rPr>
          <w:rFonts w:ascii="Arial" w:hAnsi="Arial" w:cs="Arial"/>
        </w:rPr>
        <w:t xml:space="preserve">As </w:t>
      </w:r>
      <w:r w:rsidR="0013608B">
        <w:rPr>
          <w:rFonts w:ascii="Arial" w:hAnsi="Arial" w:cs="Arial"/>
        </w:rPr>
        <w:t xml:space="preserve">previously </w:t>
      </w:r>
      <w:r w:rsidR="007D299C" w:rsidRPr="00076F69">
        <w:rPr>
          <w:rFonts w:ascii="Arial" w:hAnsi="Arial" w:cs="Arial"/>
        </w:rPr>
        <w:t xml:space="preserve">pointed out, the </w:t>
      </w:r>
      <w:r w:rsidR="0013608B">
        <w:rPr>
          <w:rFonts w:ascii="Arial" w:hAnsi="Arial" w:cs="Arial"/>
        </w:rPr>
        <w:t xml:space="preserve">main count </w:t>
      </w:r>
      <w:r w:rsidR="007D299C" w:rsidRPr="00076F69">
        <w:rPr>
          <w:rFonts w:ascii="Arial" w:hAnsi="Arial" w:cs="Arial"/>
        </w:rPr>
        <w:t xml:space="preserve">was defective in that, although </w:t>
      </w:r>
      <w:r w:rsidR="00236DAC">
        <w:rPr>
          <w:rFonts w:ascii="Arial" w:hAnsi="Arial" w:cs="Arial"/>
        </w:rPr>
        <w:t xml:space="preserve">in its formulation </w:t>
      </w:r>
      <w:r w:rsidR="007D299C" w:rsidRPr="00076F69">
        <w:rPr>
          <w:rFonts w:ascii="Arial" w:hAnsi="Arial" w:cs="Arial"/>
        </w:rPr>
        <w:t xml:space="preserve">it made reference to various provisions </w:t>
      </w:r>
      <w:r w:rsidR="00236DAC">
        <w:rPr>
          <w:rFonts w:ascii="Arial" w:hAnsi="Arial" w:cs="Arial"/>
        </w:rPr>
        <w:t>of</w:t>
      </w:r>
      <w:r w:rsidR="007D299C" w:rsidRPr="00076F69">
        <w:rPr>
          <w:rFonts w:ascii="Arial" w:hAnsi="Arial" w:cs="Arial"/>
        </w:rPr>
        <w:t xml:space="preserve"> the </w:t>
      </w:r>
      <w:r w:rsidR="00236DAC">
        <w:rPr>
          <w:rFonts w:ascii="Arial" w:hAnsi="Arial" w:cs="Arial"/>
        </w:rPr>
        <w:t>C</w:t>
      </w:r>
      <w:r w:rsidR="007D299C" w:rsidRPr="00076F69">
        <w:rPr>
          <w:rFonts w:ascii="Arial" w:hAnsi="Arial" w:cs="Arial"/>
        </w:rPr>
        <w:t>riminal Law Amendment Act</w:t>
      </w:r>
      <w:r w:rsidR="00500109" w:rsidRPr="00500109">
        <w:rPr>
          <w:rFonts w:ascii="Arial" w:eastAsia="Times New Roman" w:hAnsi="Arial" w:cs="Arial"/>
          <w:bCs/>
        </w:rPr>
        <w:t xml:space="preserve"> </w:t>
      </w:r>
      <w:r w:rsidR="00500109">
        <w:rPr>
          <w:rFonts w:ascii="Arial" w:eastAsia="Times New Roman" w:hAnsi="Arial" w:cs="Arial"/>
          <w:bCs/>
        </w:rPr>
        <w:t>of 1997</w:t>
      </w:r>
      <w:r w:rsidR="007D299C" w:rsidRPr="00076F69">
        <w:rPr>
          <w:rFonts w:ascii="Arial" w:hAnsi="Arial" w:cs="Arial"/>
        </w:rPr>
        <w:t xml:space="preserve"> pertaining to prescribed minimum sentences these were not applicable as the victim of </w:t>
      </w:r>
      <w:r w:rsidR="00236DAC">
        <w:rPr>
          <w:rFonts w:ascii="Arial" w:hAnsi="Arial" w:cs="Arial"/>
        </w:rPr>
        <w:t xml:space="preserve">the </w:t>
      </w:r>
      <w:r w:rsidR="007D299C" w:rsidRPr="00076F69">
        <w:rPr>
          <w:rFonts w:ascii="Arial" w:hAnsi="Arial" w:cs="Arial"/>
        </w:rPr>
        <w:t xml:space="preserve">alleged </w:t>
      </w:r>
      <w:r w:rsidR="00236DAC">
        <w:rPr>
          <w:rFonts w:ascii="Arial" w:hAnsi="Arial" w:cs="Arial"/>
        </w:rPr>
        <w:t>a</w:t>
      </w:r>
      <w:r w:rsidR="007D299C" w:rsidRPr="00076F69">
        <w:rPr>
          <w:rFonts w:ascii="Arial" w:hAnsi="Arial" w:cs="Arial"/>
        </w:rPr>
        <w:t>s</w:t>
      </w:r>
      <w:r w:rsidR="00236DAC">
        <w:rPr>
          <w:rFonts w:ascii="Arial" w:hAnsi="Arial" w:cs="Arial"/>
        </w:rPr>
        <w:t>s</w:t>
      </w:r>
      <w:r w:rsidR="007D299C" w:rsidRPr="00076F69">
        <w:rPr>
          <w:rFonts w:ascii="Arial" w:hAnsi="Arial" w:cs="Arial"/>
        </w:rPr>
        <w:t>a</w:t>
      </w:r>
      <w:r w:rsidR="00236DAC">
        <w:rPr>
          <w:rFonts w:ascii="Arial" w:hAnsi="Arial" w:cs="Arial"/>
        </w:rPr>
        <w:t>u</w:t>
      </w:r>
      <w:r w:rsidR="007D299C" w:rsidRPr="00076F69">
        <w:rPr>
          <w:rFonts w:ascii="Arial" w:hAnsi="Arial" w:cs="Arial"/>
        </w:rPr>
        <w:t>lt was not a child under the age of 16, according to the charge</w:t>
      </w:r>
      <w:r w:rsidR="00020A12">
        <w:rPr>
          <w:rFonts w:ascii="Arial" w:hAnsi="Arial" w:cs="Arial"/>
        </w:rPr>
        <w:t>-</w:t>
      </w:r>
      <w:r w:rsidR="007D299C" w:rsidRPr="00076F69">
        <w:rPr>
          <w:rFonts w:ascii="Arial" w:hAnsi="Arial" w:cs="Arial"/>
        </w:rPr>
        <w:t>sheet itself</w:t>
      </w:r>
      <w:r w:rsidR="00F339C4">
        <w:rPr>
          <w:rFonts w:ascii="Arial" w:hAnsi="Arial" w:cs="Arial"/>
        </w:rPr>
        <w:t xml:space="preserve">. </w:t>
      </w:r>
      <w:r w:rsidR="00BC6D38">
        <w:rPr>
          <w:rFonts w:ascii="Arial" w:hAnsi="Arial" w:cs="Arial"/>
        </w:rPr>
        <w:t>T</w:t>
      </w:r>
      <w:r w:rsidR="00F339C4">
        <w:rPr>
          <w:rFonts w:ascii="Arial" w:hAnsi="Arial" w:cs="Arial"/>
        </w:rPr>
        <w:t xml:space="preserve">he </w:t>
      </w:r>
      <w:r w:rsidR="00020A12">
        <w:rPr>
          <w:rFonts w:ascii="Arial" w:hAnsi="Arial" w:cs="Arial"/>
        </w:rPr>
        <w:t>accused was never</w:t>
      </w:r>
      <w:r w:rsidR="00F339C4">
        <w:rPr>
          <w:rFonts w:ascii="Arial" w:hAnsi="Arial" w:cs="Arial"/>
        </w:rPr>
        <w:t xml:space="preserve"> asked about his sister’s age and no evidence was tendered by the state in this regard </w:t>
      </w:r>
      <w:r w:rsidR="00BC6D38">
        <w:rPr>
          <w:rFonts w:ascii="Arial" w:hAnsi="Arial" w:cs="Arial"/>
        </w:rPr>
        <w:t xml:space="preserve">and </w:t>
      </w:r>
      <w:r w:rsidR="00F339C4">
        <w:rPr>
          <w:rFonts w:ascii="Arial" w:hAnsi="Arial" w:cs="Arial"/>
        </w:rPr>
        <w:t>he</w:t>
      </w:r>
      <w:r w:rsidR="0013608B">
        <w:rPr>
          <w:rFonts w:ascii="Arial" w:hAnsi="Arial" w:cs="Arial"/>
        </w:rPr>
        <w:t xml:space="preserve"> could </w:t>
      </w:r>
      <w:r w:rsidR="00BC6D38">
        <w:rPr>
          <w:rFonts w:ascii="Arial" w:hAnsi="Arial" w:cs="Arial"/>
        </w:rPr>
        <w:t xml:space="preserve">accordingly </w:t>
      </w:r>
      <w:r w:rsidR="0013608B">
        <w:rPr>
          <w:rFonts w:ascii="Arial" w:hAnsi="Arial" w:cs="Arial"/>
        </w:rPr>
        <w:t>not be convicted on this count</w:t>
      </w:r>
      <w:r w:rsidR="00BC6D38">
        <w:rPr>
          <w:rFonts w:ascii="Arial" w:hAnsi="Arial" w:cs="Arial"/>
        </w:rPr>
        <w:t xml:space="preserve"> on t</w:t>
      </w:r>
      <w:r w:rsidR="000C5902">
        <w:rPr>
          <w:rFonts w:ascii="Arial" w:hAnsi="Arial" w:cs="Arial"/>
        </w:rPr>
        <w:t>h</w:t>
      </w:r>
      <w:r w:rsidR="005847F1">
        <w:rPr>
          <w:rFonts w:ascii="Arial" w:hAnsi="Arial" w:cs="Arial"/>
        </w:rPr>
        <w:t>is</w:t>
      </w:r>
      <w:r w:rsidR="00BC6D38">
        <w:rPr>
          <w:rFonts w:ascii="Arial" w:hAnsi="Arial" w:cs="Arial"/>
        </w:rPr>
        <w:t xml:space="preserve"> basis</w:t>
      </w:r>
      <w:r w:rsidR="0013608B">
        <w:rPr>
          <w:rFonts w:ascii="Arial" w:hAnsi="Arial" w:cs="Arial"/>
        </w:rPr>
        <w:t>.</w:t>
      </w:r>
      <w:r w:rsidR="00C02B6C">
        <w:rPr>
          <w:rFonts w:ascii="Arial" w:hAnsi="Arial" w:cs="Arial"/>
        </w:rPr>
        <w:t xml:space="preserve"> </w:t>
      </w:r>
      <w:r w:rsidR="00020A12">
        <w:rPr>
          <w:rFonts w:ascii="Arial" w:hAnsi="Arial" w:cs="Arial"/>
        </w:rPr>
        <w:t xml:space="preserve"> </w:t>
      </w:r>
    </w:p>
    <w:p w14:paraId="35D62791" w14:textId="48420C50" w:rsidR="00460F49" w:rsidRDefault="008C795E" w:rsidP="008C795E">
      <w:pPr>
        <w:adjustRightInd w:val="0"/>
        <w:spacing w:after="0" w:line="360" w:lineRule="auto"/>
        <w:ind w:left="720" w:hanging="720"/>
        <w:contextualSpacing/>
        <w:jc w:val="both"/>
        <w:textAlignment w:val="baseline"/>
        <w:rPr>
          <w:rFonts w:ascii="Arial" w:hAnsi="Arial" w:cs="Arial"/>
        </w:rPr>
      </w:pPr>
      <w:r>
        <w:rPr>
          <w:rFonts w:ascii="Arial" w:hAnsi="Arial" w:cs="Arial"/>
        </w:rPr>
        <w:t>35.</w:t>
      </w:r>
      <w:r>
        <w:rPr>
          <w:rFonts w:ascii="Arial" w:hAnsi="Arial" w:cs="Arial"/>
        </w:rPr>
        <w:tab/>
      </w:r>
      <w:r w:rsidR="00462EFC">
        <w:rPr>
          <w:rFonts w:ascii="Arial" w:hAnsi="Arial" w:cs="Arial"/>
        </w:rPr>
        <w:t>Another reason why he could not be found guilty ‘as charged’ on this count is that</w:t>
      </w:r>
      <w:r w:rsidR="000C5902">
        <w:rPr>
          <w:rFonts w:ascii="Arial" w:hAnsi="Arial" w:cs="Arial"/>
        </w:rPr>
        <w:t xml:space="preserve"> he was never asked whether he intended to inflict grievous bodily harm </w:t>
      </w:r>
      <w:r w:rsidR="0052556D">
        <w:rPr>
          <w:rFonts w:ascii="Arial" w:hAnsi="Arial" w:cs="Arial"/>
        </w:rPr>
        <w:t>to</w:t>
      </w:r>
      <w:r w:rsidR="000C5902">
        <w:rPr>
          <w:rFonts w:ascii="Arial" w:hAnsi="Arial" w:cs="Arial"/>
        </w:rPr>
        <w:t xml:space="preserve"> his sister during his </w:t>
      </w:r>
      <w:r w:rsidR="008E7898">
        <w:rPr>
          <w:rFonts w:ascii="Arial" w:hAnsi="Arial" w:cs="Arial"/>
        </w:rPr>
        <w:t xml:space="preserve">initial </w:t>
      </w:r>
      <w:r w:rsidR="000C5902">
        <w:rPr>
          <w:rFonts w:ascii="Arial" w:hAnsi="Arial" w:cs="Arial"/>
        </w:rPr>
        <w:t>questioning in terms of s112(1)(b) and</w:t>
      </w:r>
      <w:r w:rsidR="005847F1">
        <w:rPr>
          <w:rFonts w:ascii="Arial" w:hAnsi="Arial" w:cs="Arial"/>
        </w:rPr>
        <w:t xml:space="preserve"> </w:t>
      </w:r>
      <w:r w:rsidR="000C5902">
        <w:rPr>
          <w:rFonts w:ascii="Arial" w:hAnsi="Arial" w:cs="Arial"/>
        </w:rPr>
        <w:t>he made no admissions to this effect.</w:t>
      </w:r>
      <w:r w:rsidR="005847F1">
        <w:rPr>
          <w:rFonts w:ascii="Arial" w:hAnsi="Arial" w:cs="Arial"/>
        </w:rPr>
        <w:t xml:space="preserve"> Likewise, a</w:t>
      </w:r>
      <w:r w:rsidR="00462EFC">
        <w:rPr>
          <w:rFonts w:ascii="Arial" w:hAnsi="Arial" w:cs="Arial"/>
        </w:rPr>
        <w:t>lthough when he</w:t>
      </w:r>
      <w:r w:rsidR="00462EFC" w:rsidRPr="00076F69">
        <w:rPr>
          <w:rFonts w:ascii="Arial" w:hAnsi="Arial" w:cs="Arial"/>
        </w:rPr>
        <w:t xml:space="preserve"> </w:t>
      </w:r>
      <w:r w:rsidR="00462EFC">
        <w:rPr>
          <w:rFonts w:ascii="Arial" w:hAnsi="Arial" w:cs="Arial"/>
        </w:rPr>
        <w:t>was questioned again</w:t>
      </w:r>
      <w:r w:rsidR="008E7898">
        <w:rPr>
          <w:rFonts w:ascii="Arial" w:hAnsi="Arial" w:cs="Arial"/>
        </w:rPr>
        <w:t xml:space="preserve"> he</w:t>
      </w:r>
      <w:r w:rsidR="000C5902">
        <w:rPr>
          <w:rFonts w:ascii="Arial" w:hAnsi="Arial" w:cs="Arial"/>
        </w:rPr>
        <w:t xml:space="preserve"> </w:t>
      </w:r>
      <w:r w:rsidR="00462EFC" w:rsidRPr="00076F69">
        <w:rPr>
          <w:rFonts w:ascii="Arial" w:hAnsi="Arial" w:cs="Arial"/>
        </w:rPr>
        <w:t>seemingly admitted to having assaulted his sister by striking her</w:t>
      </w:r>
      <w:r w:rsidR="00462EFC">
        <w:rPr>
          <w:rFonts w:ascii="Arial" w:hAnsi="Arial" w:cs="Arial"/>
        </w:rPr>
        <w:t xml:space="preserve"> on her neck and kicking her, after she had provoked him,</w:t>
      </w:r>
      <w:r w:rsidR="00462EFC" w:rsidRPr="00076F69">
        <w:rPr>
          <w:rFonts w:ascii="Arial" w:hAnsi="Arial" w:cs="Arial"/>
        </w:rPr>
        <w:t xml:space="preserve"> nothing in </w:t>
      </w:r>
      <w:r w:rsidR="00462EFC">
        <w:rPr>
          <w:rFonts w:ascii="Arial" w:hAnsi="Arial" w:cs="Arial"/>
        </w:rPr>
        <w:t xml:space="preserve">the </w:t>
      </w:r>
      <w:r w:rsidR="00462EFC" w:rsidRPr="00076F69">
        <w:rPr>
          <w:rFonts w:ascii="Arial" w:hAnsi="Arial" w:cs="Arial"/>
        </w:rPr>
        <w:t xml:space="preserve">exchange between </w:t>
      </w:r>
      <w:r w:rsidR="00BC6D38">
        <w:rPr>
          <w:rFonts w:ascii="Arial" w:hAnsi="Arial" w:cs="Arial"/>
        </w:rPr>
        <w:t xml:space="preserve">him and the </w:t>
      </w:r>
      <w:r w:rsidR="00462EFC" w:rsidRPr="00076F69">
        <w:rPr>
          <w:rFonts w:ascii="Arial" w:hAnsi="Arial" w:cs="Arial"/>
        </w:rPr>
        <w:t>magistrate indicate</w:t>
      </w:r>
      <w:r w:rsidR="00462EFC">
        <w:rPr>
          <w:rFonts w:ascii="Arial" w:hAnsi="Arial" w:cs="Arial"/>
        </w:rPr>
        <w:t>d</w:t>
      </w:r>
      <w:r w:rsidR="00462EFC" w:rsidRPr="00076F69">
        <w:rPr>
          <w:rFonts w:ascii="Arial" w:hAnsi="Arial" w:cs="Arial"/>
        </w:rPr>
        <w:t xml:space="preserve"> that </w:t>
      </w:r>
      <w:r w:rsidR="00462EFC">
        <w:rPr>
          <w:rFonts w:ascii="Arial" w:hAnsi="Arial" w:cs="Arial"/>
        </w:rPr>
        <w:t xml:space="preserve">in doing so he </w:t>
      </w:r>
      <w:r w:rsidR="00462EFC" w:rsidRPr="00076F69">
        <w:rPr>
          <w:rFonts w:ascii="Arial" w:hAnsi="Arial" w:cs="Arial"/>
        </w:rPr>
        <w:t xml:space="preserve">ever had any </w:t>
      </w:r>
      <w:r w:rsidR="00462EFC">
        <w:rPr>
          <w:rFonts w:ascii="Arial" w:hAnsi="Arial" w:cs="Arial"/>
        </w:rPr>
        <w:t xml:space="preserve">intention </w:t>
      </w:r>
      <w:r w:rsidR="00462EFC" w:rsidRPr="00076F69">
        <w:rPr>
          <w:rFonts w:ascii="Arial" w:hAnsi="Arial" w:cs="Arial"/>
        </w:rPr>
        <w:t>to inflict grievous bodily harm</w:t>
      </w:r>
      <w:r w:rsidR="00462EFC">
        <w:rPr>
          <w:rFonts w:ascii="Arial" w:hAnsi="Arial" w:cs="Arial"/>
        </w:rPr>
        <w:t>, or to plead guilty to such a charge,</w:t>
      </w:r>
      <w:r w:rsidR="00462EFC" w:rsidRPr="00076F69">
        <w:rPr>
          <w:rFonts w:ascii="Arial" w:hAnsi="Arial" w:cs="Arial"/>
        </w:rPr>
        <w:t xml:space="preserve"> and no admissible, first-hand evidence </w:t>
      </w:r>
      <w:r w:rsidR="00462EFC">
        <w:rPr>
          <w:rFonts w:ascii="Arial" w:hAnsi="Arial" w:cs="Arial"/>
        </w:rPr>
        <w:t xml:space="preserve">pertaining to any injuries which his sister may </w:t>
      </w:r>
      <w:r w:rsidR="00462EFC">
        <w:rPr>
          <w:rFonts w:ascii="Arial" w:hAnsi="Arial" w:cs="Arial"/>
        </w:rPr>
        <w:lastRenderedPageBreak/>
        <w:t>have sustained</w:t>
      </w:r>
      <w:r w:rsidR="00462EFC" w:rsidRPr="00076F69">
        <w:rPr>
          <w:rFonts w:ascii="Arial" w:hAnsi="Arial" w:cs="Arial"/>
        </w:rPr>
        <w:t xml:space="preserve"> </w:t>
      </w:r>
      <w:r w:rsidR="00462EFC">
        <w:rPr>
          <w:rFonts w:ascii="Arial" w:hAnsi="Arial" w:cs="Arial"/>
        </w:rPr>
        <w:t>was tendered. In fact, the accused claimed that she had not sustained any injuries at all. A</w:t>
      </w:r>
      <w:r w:rsidR="005847F1">
        <w:rPr>
          <w:rFonts w:ascii="Arial" w:hAnsi="Arial" w:cs="Arial"/>
        </w:rPr>
        <w:t>lthough a</w:t>
      </w:r>
      <w:r w:rsidR="00462EFC">
        <w:rPr>
          <w:rFonts w:ascii="Arial" w:hAnsi="Arial" w:cs="Arial"/>
        </w:rPr>
        <w:t xml:space="preserve">ccording to the accused’s mother her daughter’s face was ‘swollen’, the accused </w:t>
      </w:r>
      <w:r w:rsidR="005847F1">
        <w:rPr>
          <w:rFonts w:ascii="Arial" w:hAnsi="Arial" w:cs="Arial"/>
        </w:rPr>
        <w:t xml:space="preserve">claimed </w:t>
      </w:r>
      <w:r w:rsidR="00462EFC">
        <w:rPr>
          <w:rFonts w:ascii="Arial" w:hAnsi="Arial" w:cs="Arial"/>
        </w:rPr>
        <w:t xml:space="preserve">he had struck her in the neck, and whether the alleged </w:t>
      </w:r>
      <w:r w:rsidR="00BC6D38">
        <w:rPr>
          <w:rFonts w:ascii="Arial" w:hAnsi="Arial" w:cs="Arial"/>
        </w:rPr>
        <w:t>swelling of one side of her</w:t>
      </w:r>
      <w:r w:rsidR="00462EFC">
        <w:rPr>
          <w:rFonts w:ascii="Arial" w:hAnsi="Arial" w:cs="Arial"/>
        </w:rPr>
        <w:t xml:space="preserve"> face was in fact sustained in the </w:t>
      </w:r>
      <w:r w:rsidR="005847F1">
        <w:rPr>
          <w:rFonts w:ascii="Arial" w:hAnsi="Arial" w:cs="Arial"/>
        </w:rPr>
        <w:t xml:space="preserve">incident </w:t>
      </w:r>
      <w:r w:rsidR="00462EFC">
        <w:rPr>
          <w:rFonts w:ascii="Arial" w:hAnsi="Arial" w:cs="Arial"/>
        </w:rPr>
        <w:t>was therefore unclear.</w:t>
      </w:r>
      <w:r w:rsidR="00C71976">
        <w:rPr>
          <w:rFonts w:ascii="Arial" w:hAnsi="Arial" w:cs="Arial"/>
        </w:rPr>
        <w:t xml:space="preserve"> In the circumstances, at best the accused could </w:t>
      </w:r>
      <w:r w:rsidR="00360542">
        <w:rPr>
          <w:rFonts w:ascii="Arial" w:hAnsi="Arial" w:cs="Arial"/>
        </w:rPr>
        <w:t xml:space="preserve">possibly </w:t>
      </w:r>
      <w:r w:rsidR="00C71976">
        <w:rPr>
          <w:rFonts w:ascii="Arial" w:hAnsi="Arial" w:cs="Arial"/>
        </w:rPr>
        <w:t>have been convicted of common assault, as it was a competent verdict.</w:t>
      </w:r>
    </w:p>
    <w:p w14:paraId="31AB6F42" w14:textId="2B5A74DD" w:rsidR="00F339C4" w:rsidRDefault="008C795E" w:rsidP="008C795E">
      <w:pPr>
        <w:adjustRightInd w:val="0"/>
        <w:spacing w:after="0" w:line="360" w:lineRule="auto"/>
        <w:ind w:left="720" w:hanging="720"/>
        <w:contextualSpacing/>
        <w:jc w:val="both"/>
        <w:textAlignment w:val="baseline"/>
        <w:rPr>
          <w:rFonts w:ascii="Arial" w:hAnsi="Arial" w:cs="Arial"/>
        </w:rPr>
      </w:pPr>
      <w:r>
        <w:rPr>
          <w:rFonts w:ascii="Arial" w:hAnsi="Arial" w:cs="Arial"/>
        </w:rPr>
        <w:t>36.</w:t>
      </w:r>
      <w:r>
        <w:rPr>
          <w:rFonts w:ascii="Arial" w:hAnsi="Arial" w:cs="Arial"/>
        </w:rPr>
        <w:tab/>
      </w:r>
      <w:r w:rsidR="00460F49">
        <w:rPr>
          <w:rFonts w:ascii="Arial" w:hAnsi="Arial" w:cs="Arial"/>
        </w:rPr>
        <w:t xml:space="preserve">There is a further problem with the </w:t>
      </w:r>
      <w:r w:rsidR="00070EC0">
        <w:rPr>
          <w:rFonts w:ascii="Arial" w:hAnsi="Arial" w:cs="Arial"/>
        </w:rPr>
        <w:t xml:space="preserve">trial and </w:t>
      </w:r>
      <w:r w:rsidR="00460F49">
        <w:rPr>
          <w:rFonts w:ascii="Arial" w:hAnsi="Arial" w:cs="Arial"/>
        </w:rPr>
        <w:t>conviction</w:t>
      </w:r>
      <w:r w:rsidR="004A7FB3">
        <w:rPr>
          <w:rFonts w:ascii="Arial" w:hAnsi="Arial" w:cs="Arial"/>
        </w:rPr>
        <w:t xml:space="preserve"> of the accused </w:t>
      </w:r>
      <w:r w:rsidR="00070EC0">
        <w:rPr>
          <w:rFonts w:ascii="Arial" w:hAnsi="Arial" w:cs="Arial"/>
        </w:rPr>
        <w:t>on this count</w:t>
      </w:r>
      <w:r w:rsidR="00460F49">
        <w:rPr>
          <w:rFonts w:ascii="Arial" w:hAnsi="Arial" w:cs="Arial"/>
        </w:rPr>
        <w:t>.</w:t>
      </w:r>
      <w:r w:rsidR="004A7FB3">
        <w:rPr>
          <w:rFonts w:ascii="Arial" w:hAnsi="Arial" w:cs="Arial"/>
        </w:rPr>
        <w:t xml:space="preserve"> As indicated previously, i</w:t>
      </w:r>
      <w:r w:rsidR="00460F49">
        <w:rPr>
          <w:rFonts w:ascii="Arial" w:hAnsi="Arial" w:cs="Arial"/>
        </w:rPr>
        <w:t>n terms of s 51(2)</w:t>
      </w:r>
      <w:r w:rsidR="004A7FB3">
        <w:rPr>
          <w:rFonts w:ascii="Arial" w:hAnsi="Arial" w:cs="Arial"/>
        </w:rPr>
        <w:t>(b)</w:t>
      </w:r>
      <w:r w:rsidR="00462EFC">
        <w:rPr>
          <w:rFonts w:ascii="Arial" w:hAnsi="Arial" w:cs="Arial"/>
        </w:rPr>
        <w:t xml:space="preserve"> </w:t>
      </w:r>
      <w:r w:rsidR="00047257">
        <w:rPr>
          <w:rFonts w:ascii="Arial" w:eastAsia="Times New Roman" w:hAnsi="Arial" w:cs="Arial"/>
          <w:bCs/>
        </w:rPr>
        <w:t>of the Criminal Law Amendment Act</w:t>
      </w:r>
      <w:r w:rsidR="004A7FB3">
        <w:rPr>
          <w:rFonts w:ascii="Arial" w:eastAsia="Times New Roman" w:hAnsi="Arial" w:cs="Arial"/>
          <w:bCs/>
        </w:rPr>
        <w:t>, an accused who is convicted of an offence in terms of Part 3 of Schedule 2 of the C</w:t>
      </w:r>
      <w:r w:rsidR="00DC1184">
        <w:rPr>
          <w:rFonts w:ascii="Arial" w:eastAsia="Times New Roman" w:hAnsi="Arial" w:cs="Arial"/>
          <w:bCs/>
        </w:rPr>
        <w:t>L</w:t>
      </w:r>
      <w:r w:rsidR="004A7FB3">
        <w:rPr>
          <w:rFonts w:ascii="Arial" w:eastAsia="Times New Roman" w:hAnsi="Arial" w:cs="Arial"/>
          <w:bCs/>
        </w:rPr>
        <w:t xml:space="preserve">A becomes liable to a prescribed minimum sentence. But in terms of the section that sentence can only be imposed by a regional court or a High Court, and a magistrate’s court does not have the jurisdiction to do so. </w:t>
      </w:r>
      <w:r w:rsidR="00070EC0">
        <w:rPr>
          <w:rFonts w:ascii="Arial" w:eastAsia="Times New Roman" w:hAnsi="Arial" w:cs="Arial"/>
          <w:bCs/>
        </w:rPr>
        <w:t>I</w:t>
      </w:r>
      <w:r w:rsidR="00500109">
        <w:rPr>
          <w:rFonts w:ascii="Arial" w:eastAsia="Times New Roman" w:hAnsi="Arial" w:cs="Arial"/>
          <w:bCs/>
        </w:rPr>
        <w:t>t seems to me that, in</w:t>
      </w:r>
      <w:r w:rsidR="00070EC0">
        <w:rPr>
          <w:rFonts w:ascii="Arial" w:eastAsia="Times New Roman" w:hAnsi="Arial" w:cs="Arial"/>
          <w:bCs/>
        </w:rPr>
        <w:t xml:space="preserve"> seeking to arraign the accused on a charge formulated in terms of the section read with Part 3 of Schedule 2, the state </w:t>
      </w:r>
      <w:r w:rsidR="00556224">
        <w:rPr>
          <w:rFonts w:ascii="Arial" w:eastAsia="Times New Roman" w:hAnsi="Arial" w:cs="Arial"/>
          <w:bCs/>
        </w:rPr>
        <w:t xml:space="preserve">therefore </w:t>
      </w:r>
      <w:r w:rsidR="00070EC0">
        <w:rPr>
          <w:rFonts w:ascii="Arial" w:eastAsia="Times New Roman" w:hAnsi="Arial" w:cs="Arial"/>
          <w:bCs/>
        </w:rPr>
        <w:t>sought to try the accused before a court which did not have the necessary jurisdiction, as far as the charge, as formulated, was concerned.</w:t>
      </w:r>
      <w:r w:rsidR="00500109">
        <w:rPr>
          <w:rFonts w:ascii="Arial" w:eastAsia="Times New Roman" w:hAnsi="Arial" w:cs="Arial"/>
          <w:bCs/>
        </w:rPr>
        <w:t xml:space="preserve"> </w:t>
      </w:r>
      <w:r w:rsidR="00070EC0">
        <w:rPr>
          <w:rFonts w:ascii="Arial" w:eastAsia="Times New Roman" w:hAnsi="Arial" w:cs="Arial"/>
          <w:bCs/>
        </w:rPr>
        <w:t xml:space="preserve"> </w:t>
      </w:r>
      <w:r w:rsidR="00500109">
        <w:rPr>
          <w:rFonts w:ascii="Arial" w:eastAsia="Times New Roman" w:hAnsi="Arial" w:cs="Arial"/>
          <w:bCs/>
        </w:rPr>
        <w:t xml:space="preserve">But even if the court did have jurisdiction to try the accused on the charge, </w:t>
      </w:r>
      <w:r w:rsidR="00070EC0">
        <w:rPr>
          <w:rFonts w:ascii="Arial" w:eastAsia="Times New Roman" w:hAnsi="Arial" w:cs="Arial"/>
          <w:bCs/>
        </w:rPr>
        <w:t>ha</w:t>
      </w:r>
      <w:r w:rsidR="004A7FB3">
        <w:rPr>
          <w:rFonts w:ascii="Arial" w:eastAsia="Times New Roman" w:hAnsi="Arial" w:cs="Arial"/>
          <w:bCs/>
        </w:rPr>
        <w:t xml:space="preserve">ving found </w:t>
      </w:r>
      <w:r w:rsidR="00500109">
        <w:rPr>
          <w:rFonts w:ascii="Arial" w:eastAsia="Times New Roman" w:hAnsi="Arial" w:cs="Arial"/>
          <w:bCs/>
        </w:rPr>
        <w:t>him</w:t>
      </w:r>
      <w:r w:rsidR="004A7FB3">
        <w:rPr>
          <w:rFonts w:ascii="Arial" w:eastAsia="Times New Roman" w:hAnsi="Arial" w:cs="Arial"/>
          <w:bCs/>
        </w:rPr>
        <w:t xml:space="preserve"> guilty </w:t>
      </w:r>
      <w:r w:rsidR="00500109">
        <w:rPr>
          <w:rFonts w:ascii="Arial" w:eastAsia="Times New Roman" w:hAnsi="Arial" w:cs="Arial"/>
          <w:bCs/>
        </w:rPr>
        <w:t xml:space="preserve">thereof </w:t>
      </w:r>
      <w:r w:rsidR="004A7FB3">
        <w:rPr>
          <w:rFonts w:ascii="Arial" w:eastAsia="Times New Roman" w:hAnsi="Arial" w:cs="Arial"/>
          <w:bCs/>
        </w:rPr>
        <w:t>the magistrate did not have the power to impose an appropriate sentence on him</w:t>
      </w:r>
      <w:r w:rsidR="00500109">
        <w:rPr>
          <w:rFonts w:ascii="Arial" w:eastAsia="Times New Roman" w:hAnsi="Arial" w:cs="Arial"/>
          <w:bCs/>
        </w:rPr>
        <w:t>,</w:t>
      </w:r>
      <w:r w:rsidR="004A7FB3">
        <w:rPr>
          <w:rFonts w:ascii="Arial" w:eastAsia="Times New Roman" w:hAnsi="Arial" w:cs="Arial"/>
          <w:bCs/>
        </w:rPr>
        <w:t xml:space="preserve"> as required </w:t>
      </w:r>
      <w:r w:rsidR="00070EC0">
        <w:rPr>
          <w:rFonts w:ascii="Arial" w:eastAsia="Times New Roman" w:hAnsi="Arial" w:cs="Arial"/>
          <w:bCs/>
        </w:rPr>
        <w:t xml:space="preserve">and prescribed </w:t>
      </w:r>
      <w:r w:rsidR="004A7FB3">
        <w:rPr>
          <w:rFonts w:ascii="Arial" w:eastAsia="Times New Roman" w:hAnsi="Arial" w:cs="Arial"/>
          <w:bCs/>
        </w:rPr>
        <w:t>by the section</w:t>
      </w:r>
      <w:r w:rsidR="00500109">
        <w:rPr>
          <w:rFonts w:ascii="Arial" w:eastAsia="Times New Roman" w:hAnsi="Arial" w:cs="Arial"/>
          <w:bCs/>
        </w:rPr>
        <w:t>, and was required to refer the matter to the regional court for this purpose</w:t>
      </w:r>
      <w:r w:rsidR="004A7FB3">
        <w:rPr>
          <w:rFonts w:ascii="Arial" w:eastAsia="Times New Roman" w:hAnsi="Arial" w:cs="Arial"/>
          <w:bCs/>
        </w:rPr>
        <w:t xml:space="preserve">.       </w:t>
      </w:r>
      <w:r w:rsidR="00462EFC">
        <w:rPr>
          <w:rFonts w:ascii="Arial" w:hAnsi="Arial" w:cs="Arial"/>
        </w:rPr>
        <w:t xml:space="preserve">  </w:t>
      </w:r>
    </w:p>
    <w:p w14:paraId="539931EA" w14:textId="48A98B86" w:rsidR="00963C7F" w:rsidRDefault="008C795E" w:rsidP="008C795E">
      <w:pPr>
        <w:adjustRightInd w:val="0"/>
        <w:spacing w:after="0" w:line="360" w:lineRule="auto"/>
        <w:ind w:left="720" w:hanging="720"/>
        <w:contextualSpacing/>
        <w:jc w:val="both"/>
        <w:textAlignment w:val="baseline"/>
        <w:rPr>
          <w:rFonts w:ascii="Arial" w:hAnsi="Arial" w:cs="Arial"/>
        </w:rPr>
      </w:pPr>
      <w:r>
        <w:rPr>
          <w:rFonts w:ascii="Arial" w:hAnsi="Arial" w:cs="Arial"/>
        </w:rPr>
        <w:t>37.</w:t>
      </w:r>
      <w:r>
        <w:rPr>
          <w:rFonts w:ascii="Arial" w:hAnsi="Arial" w:cs="Arial"/>
        </w:rPr>
        <w:tab/>
      </w:r>
      <w:r w:rsidR="00020A12">
        <w:rPr>
          <w:rFonts w:ascii="Arial" w:hAnsi="Arial" w:cs="Arial"/>
        </w:rPr>
        <w:t>Then,</w:t>
      </w:r>
      <w:r w:rsidR="00556224">
        <w:rPr>
          <w:rFonts w:ascii="Arial" w:hAnsi="Arial" w:cs="Arial"/>
        </w:rPr>
        <w:t xml:space="preserve"> to compound the irregularity</w:t>
      </w:r>
      <w:r w:rsidR="00020A12">
        <w:rPr>
          <w:rFonts w:ascii="Arial" w:hAnsi="Arial" w:cs="Arial"/>
        </w:rPr>
        <w:t xml:space="preserve"> it appears from the J15 that the accused was also convicted on the alternative count</w:t>
      </w:r>
      <w:r w:rsidR="007D292B">
        <w:rPr>
          <w:rFonts w:ascii="Arial" w:hAnsi="Arial" w:cs="Arial"/>
        </w:rPr>
        <w:t xml:space="preserve"> to the 2</w:t>
      </w:r>
      <w:r w:rsidR="007D292B" w:rsidRPr="007D292B">
        <w:rPr>
          <w:rFonts w:ascii="Arial" w:hAnsi="Arial" w:cs="Arial"/>
          <w:vertAlign w:val="superscript"/>
        </w:rPr>
        <w:t>nd</w:t>
      </w:r>
      <w:r w:rsidR="007D292B">
        <w:rPr>
          <w:rFonts w:ascii="Arial" w:hAnsi="Arial" w:cs="Arial"/>
        </w:rPr>
        <w:t xml:space="preserve"> charge</w:t>
      </w:r>
      <w:r w:rsidR="00020A12">
        <w:rPr>
          <w:rFonts w:ascii="Arial" w:hAnsi="Arial" w:cs="Arial"/>
        </w:rPr>
        <w:t>, albeit not in open court</w:t>
      </w:r>
      <w:r w:rsidR="009D0561">
        <w:rPr>
          <w:rFonts w:ascii="Arial" w:hAnsi="Arial" w:cs="Arial"/>
        </w:rPr>
        <w:t xml:space="preserve"> and in his presence</w:t>
      </w:r>
      <w:r w:rsidR="00020A12">
        <w:rPr>
          <w:rFonts w:ascii="Arial" w:hAnsi="Arial" w:cs="Arial"/>
        </w:rPr>
        <w:t xml:space="preserve">, </w:t>
      </w:r>
      <w:r w:rsidR="00F339C4">
        <w:rPr>
          <w:rFonts w:ascii="Arial" w:hAnsi="Arial" w:cs="Arial"/>
        </w:rPr>
        <w:t>a</w:t>
      </w:r>
      <w:r w:rsidR="00020A12">
        <w:rPr>
          <w:rFonts w:ascii="Arial" w:hAnsi="Arial" w:cs="Arial"/>
        </w:rPr>
        <w:t xml:space="preserve"> conviction </w:t>
      </w:r>
      <w:r w:rsidR="007D292B">
        <w:rPr>
          <w:rFonts w:ascii="Arial" w:hAnsi="Arial" w:cs="Arial"/>
        </w:rPr>
        <w:t xml:space="preserve">which </w:t>
      </w:r>
      <w:r w:rsidR="00020A12">
        <w:rPr>
          <w:rFonts w:ascii="Arial" w:hAnsi="Arial" w:cs="Arial"/>
        </w:rPr>
        <w:t>was then scrapped</w:t>
      </w:r>
      <w:r w:rsidR="007D292B">
        <w:rPr>
          <w:rFonts w:ascii="Arial" w:hAnsi="Arial" w:cs="Arial"/>
        </w:rPr>
        <w:t xml:space="preserve"> </w:t>
      </w:r>
      <w:r w:rsidR="003F3649">
        <w:rPr>
          <w:rFonts w:ascii="Arial" w:hAnsi="Arial" w:cs="Arial"/>
        </w:rPr>
        <w:t xml:space="preserve">or reversed </w:t>
      </w:r>
      <w:r w:rsidR="007D292B">
        <w:rPr>
          <w:rFonts w:ascii="Arial" w:hAnsi="Arial" w:cs="Arial"/>
        </w:rPr>
        <w:t>by the magistrate</w:t>
      </w:r>
      <w:r w:rsidR="00020A12">
        <w:rPr>
          <w:rFonts w:ascii="Arial" w:hAnsi="Arial" w:cs="Arial"/>
        </w:rPr>
        <w:t>, as an ‘immediate correction’.</w:t>
      </w:r>
      <w:r w:rsidR="007D292B">
        <w:rPr>
          <w:rFonts w:ascii="Arial" w:hAnsi="Arial" w:cs="Arial"/>
        </w:rPr>
        <w:t xml:space="preserve"> </w:t>
      </w:r>
    </w:p>
    <w:p w14:paraId="1F05ED7A" w14:textId="4312F0B8" w:rsidR="003F3649" w:rsidRDefault="008C795E" w:rsidP="008C795E">
      <w:pPr>
        <w:adjustRightInd w:val="0"/>
        <w:spacing w:after="0" w:line="360" w:lineRule="auto"/>
        <w:ind w:left="720" w:hanging="720"/>
        <w:contextualSpacing/>
        <w:jc w:val="both"/>
        <w:textAlignment w:val="baseline"/>
        <w:rPr>
          <w:rFonts w:ascii="Arial" w:hAnsi="Arial" w:cs="Arial"/>
        </w:rPr>
      </w:pPr>
      <w:r>
        <w:rPr>
          <w:rFonts w:ascii="Arial" w:hAnsi="Arial" w:cs="Arial"/>
        </w:rPr>
        <w:t>38.</w:t>
      </w:r>
      <w:r>
        <w:rPr>
          <w:rFonts w:ascii="Arial" w:hAnsi="Arial" w:cs="Arial"/>
        </w:rPr>
        <w:tab/>
      </w:r>
      <w:r w:rsidR="007D292B">
        <w:rPr>
          <w:rFonts w:ascii="Arial" w:hAnsi="Arial" w:cs="Arial"/>
        </w:rPr>
        <w:t xml:space="preserve">A magistrate does not </w:t>
      </w:r>
      <w:r w:rsidR="00461D53">
        <w:rPr>
          <w:rFonts w:ascii="Arial" w:hAnsi="Arial" w:cs="Arial"/>
        </w:rPr>
        <w:t>ordinarily have</w:t>
      </w:r>
      <w:r w:rsidR="007D292B">
        <w:rPr>
          <w:rFonts w:ascii="Arial" w:hAnsi="Arial" w:cs="Arial"/>
        </w:rPr>
        <w:t xml:space="preserve"> the power to scrap </w:t>
      </w:r>
      <w:r w:rsidR="00963C7F">
        <w:rPr>
          <w:rFonts w:ascii="Arial" w:hAnsi="Arial" w:cs="Arial"/>
        </w:rPr>
        <w:t xml:space="preserve">or reverse </w:t>
      </w:r>
      <w:r w:rsidR="007D292B">
        <w:rPr>
          <w:rFonts w:ascii="Arial" w:hAnsi="Arial" w:cs="Arial"/>
        </w:rPr>
        <w:t>a conviction that he/she has wrongly entered against an accused: that is something only a higher court can do</w:t>
      </w:r>
      <w:r w:rsidR="00016E5C">
        <w:rPr>
          <w:rFonts w:ascii="Arial" w:hAnsi="Arial" w:cs="Arial"/>
        </w:rPr>
        <w:t xml:space="preserve">, as he is considered to be </w:t>
      </w:r>
      <w:r w:rsidR="00016E5C" w:rsidRPr="00016E5C">
        <w:rPr>
          <w:rFonts w:ascii="Arial" w:hAnsi="Arial" w:cs="Arial"/>
          <w:i/>
          <w:iCs/>
        </w:rPr>
        <w:t>functus officio</w:t>
      </w:r>
      <w:r w:rsidR="00016E5C">
        <w:rPr>
          <w:rFonts w:ascii="Arial" w:hAnsi="Arial" w:cs="Arial"/>
        </w:rPr>
        <w:t xml:space="preserve"> i.e</w:t>
      </w:r>
      <w:r w:rsidR="009D0561">
        <w:rPr>
          <w:rFonts w:ascii="Arial" w:hAnsi="Arial" w:cs="Arial"/>
        </w:rPr>
        <w:t>.</w:t>
      </w:r>
      <w:r w:rsidR="00016E5C">
        <w:rPr>
          <w:rFonts w:ascii="Arial" w:hAnsi="Arial" w:cs="Arial"/>
        </w:rPr>
        <w:t xml:space="preserve"> to have discharged the powers </w:t>
      </w:r>
      <w:r w:rsidR="001263F4">
        <w:rPr>
          <w:rFonts w:ascii="Arial" w:hAnsi="Arial" w:cs="Arial"/>
        </w:rPr>
        <w:t>he</w:t>
      </w:r>
      <w:r w:rsidR="00016E5C">
        <w:rPr>
          <w:rFonts w:ascii="Arial" w:hAnsi="Arial" w:cs="Arial"/>
        </w:rPr>
        <w:t xml:space="preserve"> has to convict or to acquit, once he has pronounced on an accused’s guilt.</w:t>
      </w:r>
      <w:r w:rsidR="00963C7F">
        <w:rPr>
          <w:rFonts w:ascii="Arial" w:hAnsi="Arial" w:cs="Arial"/>
        </w:rPr>
        <w:t xml:space="preserve"> </w:t>
      </w:r>
    </w:p>
    <w:p w14:paraId="630D05D1" w14:textId="22AC3250" w:rsidR="001263F4" w:rsidRDefault="008C795E" w:rsidP="008C795E">
      <w:pPr>
        <w:adjustRightInd w:val="0"/>
        <w:spacing w:after="0" w:line="360" w:lineRule="auto"/>
        <w:ind w:left="720" w:hanging="720"/>
        <w:contextualSpacing/>
        <w:jc w:val="both"/>
        <w:textAlignment w:val="baseline"/>
        <w:rPr>
          <w:rFonts w:ascii="Arial" w:hAnsi="Arial" w:cs="Arial"/>
        </w:rPr>
      </w:pPr>
      <w:r>
        <w:rPr>
          <w:rFonts w:ascii="Arial" w:hAnsi="Arial" w:cs="Arial"/>
        </w:rPr>
        <w:t>39.</w:t>
      </w:r>
      <w:r>
        <w:rPr>
          <w:rFonts w:ascii="Arial" w:hAnsi="Arial" w:cs="Arial"/>
        </w:rPr>
        <w:tab/>
      </w:r>
      <w:r w:rsidR="00963C7F">
        <w:rPr>
          <w:rFonts w:ascii="Arial" w:hAnsi="Arial" w:cs="Arial"/>
        </w:rPr>
        <w:t>I</w:t>
      </w:r>
      <w:r w:rsidR="009D0561">
        <w:rPr>
          <w:rFonts w:ascii="Arial" w:hAnsi="Arial" w:cs="Arial"/>
        </w:rPr>
        <w:t>t is so that in</w:t>
      </w:r>
      <w:r w:rsidR="00963C7F">
        <w:rPr>
          <w:rFonts w:ascii="Arial" w:hAnsi="Arial" w:cs="Arial"/>
        </w:rPr>
        <w:t xml:space="preserve"> terms of s 176 of the CPA where ‘by mistake’ a ‘wrong judgment’</w:t>
      </w:r>
      <w:r w:rsidR="00BC6D38">
        <w:rPr>
          <w:rFonts w:ascii="Arial" w:hAnsi="Arial" w:cs="Arial"/>
        </w:rPr>
        <w:t xml:space="preserve"> is ‘delivered</w:t>
      </w:r>
      <w:r w:rsidR="00016E5C">
        <w:rPr>
          <w:rFonts w:ascii="Arial" w:hAnsi="Arial" w:cs="Arial"/>
        </w:rPr>
        <w:t xml:space="preserve">’ in a criminal matter, it may be ‘amended’ immediately after it is </w:t>
      </w:r>
      <w:r w:rsidR="00016E5C">
        <w:rPr>
          <w:rFonts w:ascii="Arial" w:hAnsi="Arial" w:cs="Arial"/>
        </w:rPr>
        <w:lastRenderedPageBreak/>
        <w:t>recorded.</w:t>
      </w:r>
      <w:r w:rsidR="00016E5C">
        <w:rPr>
          <w:rStyle w:val="FootnoteReference"/>
          <w:rFonts w:ascii="Arial" w:hAnsi="Arial" w:cs="Arial"/>
        </w:rPr>
        <w:footnoteReference w:id="4"/>
      </w:r>
      <w:r w:rsidR="00963C7F">
        <w:rPr>
          <w:rFonts w:ascii="Arial" w:hAnsi="Arial" w:cs="Arial"/>
        </w:rPr>
        <w:t xml:space="preserve"> </w:t>
      </w:r>
      <w:r w:rsidR="009D0561">
        <w:rPr>
          <w:rFonts w:ascii="Arial" w:hAnsi="Arial" w:cs="Arial"/>
        </w:rPr>
        <w:t>But a</w:t>
      </w:r>
      <w:r w:rsidR="003F3649">
        <w:rPr>
          <w:rFonts w:ascii="Arial" w:hAnsi="Arial" w:cs="Arial"/>
        </w:rPr>
        <w:t>s is evident from the transcript, the magistrate never formally pronounced upon the alternative count to the 2</w:t>
      </w:r>
      <w:r w:rsidR="003F3649" w:rsidRPr="003F3649">
        <w:rPr>
          <w:rFonts w:ascii="Arial" w:hAnsi="Arial" w:cs="Arial"/>
          <w:vertAlign w:val="superscript"/>
        </w:rPr>
        <w:t>nd</w:t>
      </w:r>
      <w:r w:rsidR="003F3649">
        <w:rPr>
          <w:rFonts w:ascii="Arial" w:hAnsi="Arial" w:cs="Arial"/>
        </w:rPr>
        <w:t xml:space="preserve"> charge</w:t>
      </w:r>
      <w:r w:rsidR="001263F4">
        <w:rPr>
          <w:rFonts w:ascii="Arial" w:hAnsi="Arial" w:cs="Arial"/>
        </w:rPr>
        <w:t xml:space="preserve"> during </w:t>
      </w:r>
      <w:r w:rsidR="009D0561">
        <w:rPr>
          <w:rFonts w:ascii="Arial" w:hAnsi="Arial" w:cs="Arial"/>
        </w:rPr>
        <w:t xml:space="preserve">the course of </w:t>
      </w:r>
      <w:r w:rsidR="001263F4">
        <w:rPr>
          <w:rFonts w:ascii="Arial" w:hAnsi="Arial" w:cs="Arial"/>
        </w:rPr>
        <w:t>any of the 3 judgments he rendered</w:t>
      </w:r>
      <w:r w:rsidR="009D0561">
        <w:rPr>
          <w:rFonts w:ascii="Arial" w:hAnsi="Arial" w:cs="Arial"/>
        </w:rPr>
        <w:t xml:space="preserve"> and </w:t>
      </w:r>
      <w:r w:rsidR="001263F4">
        <w:rPr>
          <w:rFonts w:ascii="Arial" w:hAnsi="Arial" w:cs="Arial"/>
        </w:rPr>
        <w:t>it is therefore doubtful whether he could ‘correct’ the conviction he noted</w:t>
      </w:r>
      <w:r w:rsidR="009D0561">
        <w:rPr>
          <w:rFonts w:ascii="Arial" w:hAnsi="Arial" w:cs="Arial"/>
        </w:rPr>
        <w:t xml:space="preserve"> outside of court</w:t>
      </w:r>
      <w:r w:rsidR="001263F4">
        <w:rPr>
          <w:rFonts w:ascii="Arial" w:hAnsi="Arial" w:cs="Arial"/>
        </w:rPr>
        <w:t xml:space="preserve">, </w:t>
      </w:r>
      <w:r w:rsidR="009D0561">
        <w:rPr>
          <w:rFonts w:ascii="Arial" w:hAnsi="Arial" w:cs="Arial"/>
        </w:rPr>
        <w:t>in terms of this provision</w:t>
      </w:r>
      <w:r w:rsidR="001263F4">
        <w:rPr>
          <w:rFonts w:ascii="Arial" w:hAnsi="Arial" w:cs="Arial"/>
        </w:rPr>
        <w:t xml:space="preserve">.  </w:t>
      </w:r>
    </w:p>
    <w:p w14:paraId="0FD7BBA9" w14:textId="25B16CEB" w:rsidR="001263F4" w:rsidRDefault="008C795E" w:rsidP="008C795E">
      <w:pPr>
        <w:adjustRightInd w:val="0"/>
        <w:spacing w:after="0" w:line="360" w:lineRule="auto"/>
        <w:ind w:left="720" w:hanging="720"/>
        <w:contextualSpacing/>
        <w:jc w:val="both"/>
        <w:textAlignment w:val="baseline"/>
        <w:rPr>
          <w:rFonts w:ascii="Arial" w:hAnsi="Arial" w:cs="Arial"/>
        </w:rPr>
      </w:pPr>
      <w:r>
        <w:rPr>
          <w:rFonts w:ascii="Arial" w:hAnsi="Arial" w:cs="Arial"/>
        </w:rPr>
        <w:t>40.</w:t>
      </w:r>
      <w:r>
        <w:rPr>
          <w:rFonts w:ascii="Arial" w:hAnsi="Arial" w:cs="Arial"/>
        </w:rPr>
        <w:tab/>
      </w:r>
      <w:r w:rsidR="001263F4">
        <w:rPr>
          <w:rFonts w:ascii="Arial" w:hAnsi="Arial" w:cs="Arial"/>
        </w:rPr>
        <w:t xml:space="preserve">In </w:t>
      </w:r>
      <w:r w:rsidR="00016E5C" w:rsidRPr="00461D53">
        <w:rPr>
          <w:rFonts w:ascii="Arial" w:hAnsi="Arial" w:cs="Arial"/>
          <w:i/>
          <w:iCs/>
        </w:rPr>
        <w:t>Wells</w:t>
      </w:r>
      <w:r w:rsidR="001263F4">
        <w:rPr>
          <w:rFonts w:ascii="Arial" w:hAnsi="Arial" w:cs="Arial"/>
          <w:i/>
          <w:iCs/>
        </w:rPr>
        <w:t>,</w:t>
      </w:r>
      <w:r w:rsidR="00461D53">
        <w:rPr>
          <w:rFonts w:ascii="Arial" w:hAnsi="Arial" w:cs="Arial"/>
          <w:i/>
          <w:iCs/>
        </w:rPr>
        <w:t xml:space="preserve"> </w:t>
      </w:r>
      <w:r w:rsidR="00016E5C">
        <w:rPr>
          <w:rStyle w:val="FootnoteReference"/>
          <w:rFonts w:ascii="Arial" w:hAnsi="Arial" w:cs="Arial"/>
        </w:rPr>
        <w:footnoteReference w:id="5"/>
      </w:r>
      <w:r w:rsidR="000C5902">
        <w:rPr>
          <w:rFonts w:ascii="Arial" w:hAnsi="Arial" w:cs="Arial"/>
        </w:rPr>
        <w:t xml:space="preserve"> </w:t>
      </w:r>
      <w:r w:rsidR="00016E5C">
        <w:rPr>
          <w:rFonts w:ascii="Arial" w:hAnsi="Arial" w:cs="Arial"/>
        </w:rPr>
        <w:t>s</w:t>
      </w:r>
      <w:r w:rsidR="001263F4">
        <w:rPr>
          <w:rFonts w:ascii="Arial" w:hAnsi="Arial" w:cs="Arial"/>
        </w:rPr>
        <w:t xml:space="preserve"> 176 </w:t>
      </w:r>
      <w:r w:rsidR="009D0561">
        <w:rPr>
          <w:rFonts w:ascii="Arial" w:hAnsi="Arial" w:cs="Arial"/>
        </w:rPr>
        <w:t xml:space="preserve"> was </w:t>
      </w:r>
      <w:r w:rsidR="00BF6949">
        <w:rPr>
          <w:rFonts w:ascii="Arial" w:hAnsi="Arial" w:cs="Arial"/>
        </w:rPr>
        <w:t>held</w:t>
      </w:r>
      <w:r w:rsidR="009D0561">
        <w:rPr>
          <w:rFonts w:ascii="Arial" w:hAnsi="Arial" w:cs="Arial"/>
        </w:rPr>
        <w:t xml:space="preserve"> by the Appellate Division</w:t>
      </w:r>
      <w:r w:rsidR="00016E5C">
        <w:rPr>
          <w:rFonts w:ascii="Arial" w:hAnsi="Arial" w:cs="Arial"/>
        </w:rPr>
        <w:t xml:space="preserve"> to afford </w:t>
      </w:r>
      <w:r w:rsidR="00A55F65">
        <w:rPr>
          <w:rFonts w:ascii="Arial" w:hAnsi="Arial" w:cs="Arial"/>
        </w:rPr>
        <w:t>a</w:t>
      </w:r>
      <w:r w:rsidR="00016E5C">
        <w:rPr>
          <w:rFonts w:ascii="Arial" w:hAnsi="Arial" w:cs="Arial"/>
        </w:rPr>
        <w:t xml:space="preserve"> presiding officer in a criminal matter the power </w:t>
      </w:r>
      <w:r w:rsidR="0067367C">
        <w:rPr>
          <w:rFonts w:ascii="Arial" w:hAnsi="Arial" w:cs="Arial"/>
        </w:rPr>
        <w:t xml:space="preserve">of </w:t>
      </w:r>
      <w:proofErr w:type="spellStart"/>
      <w:r w:rsidR="0067367C" w:rsidRPr="00BF6949">
        <w:rPr>
          <w:rFonts w:ascii="Arial" w:hAnsi="Arial" w:cs="Arial"/>
          <w:i/>
          <w:iCs/>
        </w:rPr>
        <w:t>explicare</w:t>
      </w:r>
      <w:proofErr w:type="spellEnd"/>
      <w:r w:rsidR="00016E5C" w:rsidRPr="00016E5C">
        <w:rPr>
          <w:rFonts w:ascii="Arial" w:hAnsi="Arial" w:cs="Arial"/>
          <w:i/>
          <w:iCs/>
        </w:rPr>
        <w:t xml:space="preserve"> et </w:t>
      </w:r>
      <w:proofErr w:type="spellStart"/>
      <w:r w:rsidR="00016E5C" w:rsidRPr="00016E5C">
        <w:rPr>
          <w:rFonts w:ascii="Arial" w:hAnsi="Arial" w:cs="Arial"/>
          <w:i/>
          <w:iCs/>
        </w:rPr>
        <w:t>amendare</w:t>
      </w:r>
      <w:proofErr w:type="spellEnd"/>
      <w:r w:rsidR="00016E5C">
        <w:rPr>
          <w:rFonts w:ascii="Arial" w:hAnsi="Arial" w:cs="Arial"/>
        </w:rPr>
        <w:t xml:space="preserve"> </w:t>
      </w:r>
      <w:r w:rsidR="001263F4">
        <w:rPr>
          <w:rFonts w:ascii="Arial" w:hAnsi="Arial" w:cs="Arial"/>
        </w:rPr>
        <w:t xml:space="preserve">in relation to a judgment that has been delivered </w:t>
      </w:r>
      <w:r w:rsidR="000C5902">
        <w:rPr>
          <w:rFonts w:ascii="Arial" w:hAnsi="Arial" w:cs="Arial"/>
        </w:rPr>
        <w:t>i.e</w:t>
      </w:r>
      <w:r w:rsidR="00155797">
        <w:rPr>
          <w:rFonts w:ascii="Arial" w:hAnsi="Arial" w:cs="Arial"/>
        </w:rPr>
        <w:t>.</w:t>
      </w:r>
      <w:r w:rsidR="000C5902">
        <w:rPr>
          <w:rFonts w:ascii="Arial" w:hAnsi="Arial" w:cs="Arial"/>
        </w:rPr>
        <w:t xml:space="preserve"> the power to explain what m</w:t>
      </w:r>
      <w:r w:rsidR="00461D53">
        <w:rPr>
          <w:rFonts w:ascii="Arial" w:hAnsi="Arial" w:cs="Arial"/>
        </w:rPr>
        <w:t>ight</w:t>
      </w:r>
      <w:r w:rsidR="000C5902">
        <w:rPr>
          <w:rFonts w:ascii="Arial" w:hAnsi="Arial" w:cs="Arial"/>
        </w:rPr>
        <w:t xml:space="preserve"> be obscure </w:t>
      </w:r>
      <w:r w:rsidR="00461D53">
        <w:rPr>
          <w:rFonts w:ascii="Arial" w:hAnsi="Arial" w:cs="Arial"/>
        </w:rPr>
        <w:t xml:space="preserve">or unclear </w:t>
      </w:r>
      <w:r w:rsidR="000C5902">
        <w:rPr>
          <w:rFonts w:ascii="Arial" w:hAnsi="Arial" w:cs="Arial"/>
        </w:rPr>
        <w:t xml:space="preserve">in </w:t>
      </w:r>
      <w:r w:rsidR="00A55F65">
        <w:rPr>
          <w:rFonts w:ascii="Arial" w:hAnsi="Arial" w:cs="Arial"/>
        </w:rPr>
        <w:t>the</w:t>
      </w:r>
      <w:r w:rsidR="000C5902">
        <w:rPr>
          <w:rFonts w:ascii="Arial" w:hAnsi="Arial" w:cs="Arial"/>
        </w:rPr>
        <w:t xml:space="preserve"> judgment and</w:t>
      </w:r>
      <w:r w:rsidR="0067367C">
        <w:rPr>
          <w:rFonts w:ascii="Arial" w:hAnsi="Arial" w:cs="Arial"/>
        </w:rPr>
        <w:t>,</w:t>
      </w:r>
      <w:r w:rsidR="000C5902">
        <w:rPr>
          <w:rFonts w:ascii="Arial" w:hAnsi="Arial" w:cs="Arial"/>
        </w:rPr>
        <w:t xml:space="preserve"> </w:t>
      </w:r>
      <w:r w:rsidR="00461D53">
        <w:rPr>
          <w:rFonts w:ascii="Arial" w:hAnsi="Arial" w:cs="Arial"/>
        </w:rPr>
        <w:t>in doing so</w:t>
      </w:r>
      <w:r w:rsidR="0067367C">
        <w:rPr>
          <w:rFonts w:ascii="Arial" w:hAnsi="Arial" w:cs="Arial"/>
        </w:rPr>
        <w:t>,</w:t>
      </w:r>
      <w:r w:rsidR="00461D53">
        <w:rPr>
          <w:rFonts w:ascii="Arial" w:hAnsi="Arial" w:cs="Arial"/>
        </w:rPr>
        <w:t xml:space="preserve"> to </w:t>
      </w:r>
      <w:r w:rsidR="000C5902">
        <w:rPr>
          <w:rFonts w:ascii="Arial" w:hAnsi="Arial" w:cs="Arial"/>
        </w:rPr>
        <w:t>correct the wording thereof</w:t>
      </w:r>
      <w:r w:rsidR="0067367C">
        <w:rPr>
          <w:rFonts w:ascii="Arial" w:hAnsi="Arial" w:cs="Arial"/>
        </w:rPr>
        <w:t xml:space="preserve"> where necessary</w:t>
      </w:r>
      <w:r w:rsidR="000C5902">
        <w:rPr>
          <w:rFonts w:ascii="Arial" w:hAnsi="Arial" w:cs="Arial"/>
        </w:rPr>
        <w:t xml:space="preserve">, provided </w:t>
      </w:r>
      <w:r w:rsidR="0067367C">
        <w:rPr>
          <w:rFonts w:ascii="Arial" w:hAnsi="Arial" w:cs="Arial"/>
        </w:rPr>
        <w:t xml:space="preserve">that </w:t>
      </w:r>
      <w:r w:rsidR="000C5902">
        <w:rPr>
          <w:rFonts w:ascii="Arial" w:hAnsi="Arial" w:cs="Arial"/>
        </w:rPr>
        <w:t xml:space="preserve">the substance and tenor of the judgment is preserved. </w:t>
      </w:r>
      <w:r w:rsidR="001263F4">
        <w:rPr>
          <w:rFonts w:ascii="Arial" w:hAnsi="Arial" w:cs="Arial"/>
        </w:rPr>
        <w:t xml:space="preserve">Thus, this power </w:t>
      </w:r>
      <w:r w:rsidR="00B63702">
        <w:rPr>
          <w:rFonts w:ascii="Arial" w:hAnsi="Arial" w:cs="Arial"/>
        </w:rPr>
        <w:t>has</w:t>
      </w:r>
      <w:r w:rsidR="001263F4">
        <w:rPr>
          <w:rFonts w:ascii="Arial" w:hAnsi="Arial" w:cs="Arial"/>
        </w:rPr>
        <w:t xml:space="preserve"> commonly </w:t>
      </w:r>
      <w:r w:rsidR="00B63702">
        <w:rPr>
          <w:rFonts w:ascii="Arial" w:hAnsi="Arial" w:cs="Arial"/>
        </w:rPr>
        <w:t xml:space="preserve">been </w:t>
      </w:r>
      <w:r w:rsidR="001263F4">
        <w:rPr>
          <w:rFonts w:ascii="Arial" w:hAnsi="Arial" w:cs="Arial"/>
        </w:rPr>
        <w:t>exercised to correct patent typographical or grammatical errors</w:t>
      </w:r>
      <w:r w:rsidR="007A301F">
        <w:rPr>
          <w:rFonts w:ascii="Arial" w:hAnsi="Arial" w:cs="Arial"/>
        </w:rPr>
        <w:t xml:space="preserve"> or word choices</w:t>
      </w:r>
      <w:r w:rsidR="009D0561">
        <w:rPr>
          <w:rFonts w:ascii="Arial" w:hAnsi="Arial" w:cs="Arial"/>
        </w:rPr>
        <w:t xml:space="preserve"> or obvious omissions</w:t>
      </w:r>
      <w:r w:rsidR="007A301F">
        <w:rPr>
          <w:rFonts w:ascii="Arial" w:hAnsi="Arial" w:cs="Arial"/>
        </w:rPr>
        <w:t>, or</w:t>
      </w:r>
      <w:r w:rsidR="009D0561">
        <w:rPr>
          <w:rFonts w:ascii="Arial" w:hAnsi="Arial" w:cs="Arial"/>
        </w:rPr>
        <w:t xml:space="preserve"> to clarify</w:t>
      </w:r>
      <w:r w:rsidR="007A301F">
        <w:rPr>
          <w:rFonts w:ascii="Arial" w:hAnsi="Arial" w:cs="Arial"/>
        </w:rPr>
        <w:t xml:space="preserve"> ‘obscure formulations’.</w:t>
      </w:r>
      <w:r w:rsidR="001263F4">
        <w:rPr>
          <w:rStyle w:val="FootnoteReference"/>
          <w:rFonts w:ascii="Arial" w:hAnsi="Arial" w:cs="Arial"/>
        </w:rPr>
        <w:footnoteReference w:id="6"/>
      </w:r>
      <w:r w:rsidR="001263F4">
        <w:rPr>
          <w:rFonts w:ascii="Arial" w:hAnsi="Arial" w:cs="Arial"/>
        </w:rPr>
        <w:t xml:space="preserve"> </w:t>
      </w:r>
    </w:p>
    <w:p w14:paraId="4AF79C8D" w14:textId="2C17BCC4" w:rsidR="00A55F65" w:rsidRDefault="008C795E" w:rsidP="008C795E">
      <w:pPr>
        <w:adjustRightInd w:val="0"/>
        <w:spacing w:after="0" w:line="360" w:lineRule="auto"/>
        <w:ind w:left="720" w:hanging="720"/>
        <w:contextualSpacing/>
        <w:jc w:val="both"/>
        <w:textAlignment w:val="baseline"/>
        <w:rPr>
          <w:rFonts w:ascii="Arial" w:hAnsi="Arial" w:cs="Arial"/>
        </w:rPr>
      </w:pPr>
      <w:r>
        <w:rPr>
          <w:rFonts w:ascii="Arial" w:hAnsi="Arial" w:cs="Arial"/>
        </w:rPr>
        <w:t>41.</w:t>
      </w:r>
      <w:r>
        <w:rPr>
          <w:rFonts w:ascii="Arial" w:hAnsi="Arial" w:cs="Arial"/>
        </w:rPr>
        <w:tab/>
      </w:r>
      <w:r w:rsidR="00461D53">
        <w:rPr>
          <w:rFonts w:ascii="Arial" w:hAnsi="Arial" w:cs="Arial"/>
        </w:rPr>
        <w:t>Recently, i</w:t>
      </w:r>
      <w:r w:rsidR="000C5902">
        <w:rPr>
          <w:rFonts w:ascii="Arial" w:hAnsi="Arial" w:cs="Arial"/>
        </w:rPr>
        <w:t xml:space="preserve">n </w:t>
      </w:r>
      <w:proofErr w:type="spellStart"/>
      <w:r w:rsidR="000C5902" w:rsidRPr="00461D53">
        <w:rPr>
          <w:rFonts w:ascii="Arial" w:hAnsi="Arial" w:cs="Arial"/>
          <w:i/>
          <w:iCs/>
        </w:rPr>
        <w:t>Tuta</w:t>
      </w:r>
      <w:proofErr w:type="spellEnd"/>
      <w:r w:rsidR="00461D53">
        <w:rPr>
          <w:rFonts w:ascii="Arial" w:hAnsi="Arial" w:cs="Arial"/>
        </w:rPr>
        <w:t xml:space="preserve"> </w:t>
      </w:r>
      <w:r w:rsidR="000C5902">
        <w:rPr>
          <w:rStyle w:val="FootnoteReference"/>
          <w:rFonts w:ascii="Arial" w:hAnsi="Arial" w:cs="Arial"/>
        </w:rPr>
        <w:footnoteReference w:id="7"/>
      </w:r>
      <w:r w:rsidR="00016E5C">
        <w:rPr>
          <w:rFonts w:ascii="Arial" w:hAnsi="Arial" w:cs="Arial"/>
        </w:rPr>
        <w:t xml:space="preserve"> </w:t>
      </w:r>
      <w:r w:rsidR="00461D53">
        <w:rPr>
          <w:rFonts w:ascii="Arial" w:hAnsi="Arial" w:cs="Arial"/>
        </w:rPr>
        <w:t xml:space="preserve">the Constitutional Court </w:t>
      </w:r>
      <w:r w:rsidR="0052556D">
        <w:rPr>
          <w:rFonts w:ascii="Arial" w:hAnsi="Arial" w:cs="Arial"/>
        </w:rPr>
        <w:t xml:space="preserve">narrowed the ambit of this power of correction. It </w:t>
      </w:r>
      <w:r w:rsidR="00461D53">
        <w:rPr>
          <w:rFonts w:ascii="Arial" w:hAnsi="Arial" w:cs="Arial"/>
        </w:rPr>
        <w:t>pointed out that</w:t>
      </w:r>
      <w:r w:rsidR="009D0561">
        <w:rPr>
          <w:rFonts w:ascii="Arial" w:hAnsi="Arial" w:cs="Arial"/>
        </w:rPr>
        <w:t xml:space="preserve"> as</w:t>
      </w:r>
      <w:r w:rsidR="00461D53">
        <w:rPr>
          <w:rFonts w:ascii="Arial" w:hAnsi="Arial" w:cs="Arial"/>
        </w:rPr>
        <w:t xml:space="preserve"> an accused is entitled to know the reasons upon which a court relied to convict him, thes</w:t>
      </w:r>
      <w:r w:rsidR="0067367C">
        <w:rPr>
          <w:rFonts w:ascii="Arial" w:hAnsi="Arial" w:cs="Arial"/>
        </w:rPr>
        <w:t>e</w:t>
      </w:r>
      <w:r w:rsidR="00461D53">
        <w:rPr>
          <w:rFonts w:ascii="Arial" w:hAnsi="Arial" w:cs="Arial"/>
        </w:rPr>
        <w:t xml:space="preserve"> should accordingly be clearly and precisely form</w:t>
      </w:r>
      <w:r w:rsidR="0067367C">
        <w:rPr>
          <w:rFonts w:ascii="Arial" w:hAnsi="Arial" w:cs="Arial"/>
        </w:rPr>
        <w:t>ul</w:t>
      </w:r>
      <w:r w:rsidR="00461D53">
        <w:rPr>
          <w:rFonts w:ascii="Arial" w:hAnsi="Arial" w:cs="Arial"/>
        </w:rPr>
        <w:t xml:space="preserve">ated, so that he/she </w:t>
      </w:r>
      <w:r w:rsidR="0067367C">
        <w:rPr>
          <w:rFonts w:ascii="Arial" w:hAnsi="Arial" w:cs="Arial"/>
        </w:rPr>
        <w:t>i</w:t>
      </w:r>
      <w:r w:rsidR="00461D53">
        <w:rPr>
          <w:rFonts w:ascii="Arial" w:hAnsi="Arial" w:cs="Arial"/>
        </w:rPr>
        <w:t xml:space="preserve">s able to consider the merits of the </w:t>
      </w:r>
      <w:r w:rsidR="0067367C">
        <w:rPr>
          <w:rFonts w:ascii="Arial" w:hAnsi="Arial" w:cs="Arial"/>
        </w:rPr>
        <w:t xml:space="preserve">court’s </w:t>
      </w:r>
      <w:r w:rsidR="00461D53">
        <w:rPr>
          <w:rFonts w:ascii="Arial" w:hAnsi="Arial" w:cs="Arial"/>
        </w:rPr>
        <w:t xml:space="preserve">decision, with a view to exercising the right to </w:t>
      </w:r>
      <w:r w:rsidR="001263F4">
        <w:rPr>
          <w:rFonts w:ascii="Arial" w:hAnsi="Arial" w:cs="Arial"/>
        </w:rPr>
        <w:t xml:space="preserve">a possible </w:t>
      </w:r>
      <w:r w:rsidR="00461D53">
        <w:rPr>
          <w:rFonts w:ascii="Arial" w:hAnsi="Arial" w:cs="Arial"/>
        </w:rPr>
        <w:t xml:space="preserve">appeal, if warranted. </w:t>
      </w:r>
      <w:r w:rsidR="001263F4">
        <w:rPr>
          <w:rFonts w:ascii="Arial" w:hAnsi="Arial" w:cs="Arial"/>
        </w:rPr>
        <w:t>Consequently</w:t>
      </w:r>
      <w:r w:rsidR="00461D53">
        <w:rPr>
          <w:rFonts w:ascii="Arial" w:hAnsi="Arial" w:cs="Arial"/>
        </w:rPr>
        <w:t>, an accused mu</w:t>
      </w:r>
      <w:r w:rsidR="001263F4">
        <w:rPr>
          <w:rFonts w:ascii="Arial" w:hAnsi="Arial" w:cs="Arial"/>
        </w:rPr>
        <w:t>s</w:t>
      </w:r>
      <w:r w:rsidR="00461D53">
        <w:rPr>
          <w:rFonts w:ascii="Arial" w:hAnsi="Arial" w:cs="Arial"/>
        </w:rPr>
        <w:t xml:space="preserve">t be able to rely on the reasons which are given in </w:t>
      </w:r>
      <w:r w:rsidR="0052556D">
        <w:rPr>
          <w:rFonts w:ascii="Arial" w:hAnsi="Arial" w:cs="Arial"/>
        </w:rPr>
        <w:t>the</w:t>
      </w:r>
      <w:r w:rsidR="00461D53">
        <w:rPr>
          <w:rFonts w:ascii="Arial" w:hAnsi="Arial" w:cs="Arial"/>
        </w:rPr>
        <w:t xml:space="preserve"> judgment, as they reflect </w:t>
      </w:r>
      <w:r w:rsidR="001263F4">
        <w:rPr>
          <w:rFonts w:ascii="Arial" w:hAnsi="Arial" w:cs="Arial"/>
        </w:rPr>
        <w:t>the</w:t>
      </w:r>
      <w:r w:rsidR="00461D53">
        <w:rPr>
          <w:rFonts w:ascii="Arial" w:hAnsi="Arial" w:cs="Arial"/>
        </w:rPr>
        <w:t xml:space="preserve"> curial </w:t>
      </w:r>
      <w:r w:rsidR="001263F4">
        <w:rPr>
          <w:rFonts w:ascii="Arial" w:hAnsi="Arial" w:cs="Arial"/>
        </w:rPr>
        <w:t>pronouncement</w:t>
      </w:r>
      <w:r w:rsidR="00461D53">
        <w:rPr>
          <w:rFonts w:ascii="Arial" w:hAnsi="Arial" w:cs="Arial"/>
        </w:rPr>
        <w:t xml:space="preserve"> of the court’s authority</w:t>
      </w:r>
      <w:r w:rsidR="009D61E9">
        <w:rPr>
          <w:rFonts w:ascii="Arial" w:hAnsi="Arial" w:cs="Arial"/>
        </w:rPr>
        <w:t>, and these should be made known in open court</w:t>
      </w:r>
      <w:r w:rsidR="000B2848">
        <w:rPr>
          <w:rFonts w:ascii="Arial" w:hAnsi="Arial" w:cs="Arial"/>
        </w:rPr>
        <w:t>, in his presence</w:t>
      </w:r>
      <w:r w:rsidR="00461D53">
        <w:rPr>
          <w:rFonts w:ascii="Arial" w:hAnsi="Arial" w:cs="Arial"/>
        </w:rPr>
        <w:t xml:space="preserve">. </w:t>
      </w:r>
      <w:r w:rsidR="009D61E9">
        <w:rPr>
          <w:rFonts w:ascii="Arial" w:hAnsi="Arial" w:cs="Arial"/>
        </w:rPr>
        <w:t>As a result</w:t>
      </w:r>
      <w:r w:rsidR="001263F4">
        <w:rPr>
          <w:rFonts w:ascii="Arial" w:hAnsi="Arial" w:cs="Arial"/>
        </w:rPr>
        <w:t>, a</w:t>
      </w:r>
      <w:r w:rsidR="00461D53">
        <w:rPr>
          <w:rFonts w:ascii="Arial" w:hAnsi="Arial" w:cs="Arial"/>
        </w:rPr>
        <w:t xml:space="preserve"> person who is convicted </w:t>
      </w:r>
      <w:r w:rsidR="001263F4">
        <w:rPr>
          <w:rFonts w:ascii="Arial" w:hAnsi="Arial" w:cs="Arial"/>
        </w:rPr>
        <w:t>of</w:t>
      </w:r>
      <w:r w:rsidR="00461D53">
        <w:rPr>
          <w:rFonts w:ascii="Arial" w:hAnsi="Arial" w:cs="Arial"/>
        </w:rPr>
        <w:t xml:space="preserve"> a</w:t>
      </w:r>
      <w:r w:rsidR="009D61E9">
        <w:rPr>
          <w:rFonts w:ascii="Arial" w:hAnsi="Arial" w:cs="Arial"/>
        </w:rPr>
        <w:t xml:space="preserve">n offence </w:t>
      </w:r>
      <w:r w:rsidR="00461D53">
        <w:rPr>
          <w:rFonts w:ascii="Arial" w:hAnsi="Arial" w:cs="Arial"/>
        </w:rPr>
        <w:t>should not be required</w:t>
      </w:r>
      <w:r w:rsidR="003F3649">
        <w:rPr>
          <w:rFonts w:ascii="Arial" w:hAnsi="Arial" w:cs="Arial"/>
        </w:rPr>
        <w:t xml:space="preserve"> to suffer </w:t>
      </w:r>
      <w:r w:rsidR="009D61E9">
        <w:rPr>
          <w:rFonts w:ascii="Arial" w:hAnsi="Arial" w:cs="Arial"/>
        </w:rPr>
        <w:t>‘</w:t>
      </w:r>
      <w:r w:rsidR="003F3649" w:rsidRPr="009D61E9">
        <w:rPr>
          <w:rFonts w:ascii="Arial" w:hAnsi="Arial" w:cs="Arial"/>
          <w:i/>
          <w:iCs/>
        </w:rPr>
        <w:t>ex post</w:t>
      </w:r>
      <w:r w:rsidR="003F3649">
        <w:rPr>
          <w:rFonts w:ascii="Arial" w:hAnsi="Arial" w:cs="Arial"/>
        </w:rPr>
        <w:t xml:space="preserve"> reformulations</w:t>
      </w:r>
      <w:r w:rsidR="009D61E9">
        <w:rPr>
          <w:rFonts w:ascii="Arial" w:hAnsi="Arial" w:cs="Arial"/>
        </w:rPr>
        <w:t>’</w:t>
      </w:r>
      <w:r w:rsidR="003F3649">
        <w:rPr>
          <w:rFonts w:ascii="Arial" w:hAnsi="Arial" w:cs="Arial"/>
        </w:rPr>
        <w:t xml:space="preserve"> </w:t>
      </w:r>
      <w:r w:rsidR="00155797">
        <w:rPr>
          <w:rFonts w:ascii="Arial" w:hAnsi="Arial" w:cs="Arial"/>
        </w:rPr>
        <w:t xml:space="preserve">(sic) </w:t>
      </w:r>
      <w:r w:rsidR="009D61E9">
        <w:rPr>
          <w:rFonts w:ascii="Arial" w:hAnsi="Arial" w:cs="Arial"/>
        </w:rPr>
        <w:t>or</w:t>
      </w:r>
      <w:r w:rsidR="003F3649">
        <w:rPr>
          <w:rFonts w:ascii="Arial" w:hAnsi="Arial" w:cs="Arial"/>
        </w:rPr>
        <w:t xml:space="preserve"> explanations which the presiding officer considers, on ref</w:t>
      </w:r>
      <w:r w:rsidR="001263F4">
        <w:rPr>
          <w:rFonts w:ascii="Arial" w:hAnsi="Arial" w:cs="Arial"/>
        </w:rPr>
        <w:t>lection</w:t>
      </w:r>
      <w:r w:rsidR="009D61E9">
        <w:rPr>
          <w:rFonts w:ascii="Arial" w:hAnsi="Arial" w:cs="Arial"/>
        </w:rPr>
        <w:t>, to best express the reasons for finding as he/she did. The CC held that</w:t>
      </w:r>
      <w:r w:rsidR="00BF6949">
        <w:rPr>
          <w:rFonts w:ascii="Arial" w:hAnsi="Arial" w:cs="Arial"/>
        </w:rPr>
        <w:t xml:space="preserve"> therefore</w:t>
      </w:r>
      <w:r w:rsidR="009D61E9">
        <w:rPr>
          <w:rFonts w:ascii="Arial" w:hAnsi="Arial" w:cs="Arial"/>
        </w:rPr>
        <w:t>, whereas</w:t>
      </w:r>
      <w:r w:rsidR="00B63702">
        <w:rPr>
          <w:rFonts w:ascii="Arial" w:hAnsi="Arial" w:cs="Arial"/>
        </w:rPr>
        <w:t xml:space="preserve"> revisions in respect of</w:t>
      </w:r>
      <w:r w:rsidR="009D61E9">
        <w:rPr>
          <w:rFonts w:ascii="Arial" w:hAnsi="Arial" w:cs="Arial"/>
        </w:rPr>
        <w:t xml:space="preserve"> ‘infelicities of style, grammar, spelling and word choice’ </w:t>
      </w:r>
      <w:r w:rsidR="00B63702">
        <w:rPr>
          <w:rFonts w:ascii="Arial" w:hAnsi="Arial" w:cs="Arial"/>
        </w:rPr>
        <w:t xml:space="preserve">in judgments that are handed down </w:t>
      </w:r>
      <w:r w:rsidR="00B63702" w:rsidRPr="009D61E9">
        <w:rPr>
          <w:rFonts w:ascii="Arial" w:hAnsi="Arial" w:cs="Arial"/>
          <w:i/>
          <w:iCs/>
        </w:rPr>
        <w:t>ex tempore</w:t>
      </w:r>
      <w:r w:rsidR="00B63702">
        <w:rPr>
          <w:rFonts w:ascii="Arial" w:hAnsi="Arial" w:cs="Arial"/>
        </w:rPr>
        <w:t xml:space="preserve"> in criminal matters, </w:t>
      </w:r>
      <w:r w:rsidR="009D61E9">
        <w:rPr>
          <w:rFonts w:ascii="Arial" w:hAnsi="Arial" w:cs="Arial"/>
        </w:rPr>
        <w:t xml:space="preserve">may </w:t>
      </w:r>
      <w:r w:rsidR="000B2848">
        <w:rPr>
          <w:rFonts w:ascii="Arial" w:hAnsi="Arial" w:cs="Arial"/>
        </w:rPr>
        <w:t xml:space="preserve">be permitted </w:t>
      </w:r>
      <w:r w:rsidR="00B63702">
        <w:rPr>
          <w:rFonts w:ascii="Arial" w:hAnsi="Arial" w:cs="Arial"/>
        </w:rPr>
        <w:t>afterwards, t</w:t>
      </w:r>
      <w:r w:rsidR="009D61E9">
        <w:rPr>
          <w:rFonts w:ascii="Arial" w:hAnsi="Arial" w:cs="Arial"/>
        </w:rPr>
        <w:t>he re</w:t>
      </w:r>
      <w:r w:rsidR="000B2848">
        <w:rPr>
          <w:rFonts w:ascii="Arial" w:hAnsi="Arial" w:cs="Arial"/>
        </w:rPr>
        <w:t>asons</w:t>
      </w:r>
      <w:r w:rsidR="009D61E9">
        <w:rPr>
          <w:rFonts w:ascii="Arial" w:hAnsi="Arial" w:cs="Arial"/>
        </w:rPr>
        <w:t xml:space="preserve"> given by the court in its judgment may not be </w:t>
      </w:r>
      <w:r w:rsidR="009D0561">
        <w:rPr>
          <w:rFonts w:ascii="Arial" w:hAnsi="Arial" w:cs="Arial"/>
        </w:rPr>
        <w:t xml:space="preserve">altered or </w:t>
      </w:r>
      <w:r w:rsidR="009D61E9">
        <w:rPr>
          <w:rFonts w:ascii="Arial" w:hAnsi="Arial" w:cs="Arial"/>
        </w:rPr>
        <w:t>embellished</w:t>
      </w:r>
      <w:r w:rsidR="009D0561">
        <w:rPr>
          <w:rFonts w:ascii="Arial" w:hAnsi="Arial" w:cs="Arial"/>
        </w:rPr>
        <w:t xml:space="preserve"> to give further expression to what the court meant to convey.</w:t>
      </w:r>
      <w:r w:rsidR="001263F4">
        <w:rPr>
          <w:rFonts w:ascii="Arial" w:hAnsi="Arial" w:cs="Arial"/>
        </w:rPr>
        <w:t xml:space="preserve"> </w:t>
      </w:r>
    </w:p>
    <w:p w14:paraId="323BFD3E" w14:textId="3CB94EFB" w:rsidR="0056241E" w:rsidRPr="0056241E" w:rsidRDefault="008C795E" w:rsidP="008C795E">
      <w:pPr>
        <w:adjustRightInd w:val="0"/>
        <w:spacing w:after="0" w:line="360" w:lineRule="auto"/>
        <w:ind w:left="720" w:hanging="720"/>
        <w:contextualSpacing/>
        <w:jc w:val="both"/>
        <w:textAlignment w:val="baseline"/>
        <w:rPr>
          <w:rFonts w:ascii="Arial" w:hAnsi="Arial" w:cs="Arial"/>
          <w:b/>
          <w:bCs/>
        </w:rPr>
      </w:pPr>
      <w:r w:rsidRPr="0056241E">
        <w:rPr>
          <w:rFonts w:ascii="Arial" w:hAnsi="Arial" w:cs="Arial"/>
          <w:b/>
          <w:bCs/>
        </w:rPr>
        <w:t>42.</w:t>
      </w:r>
      <w:r w:rsidRPr="0056241E">
        <w:rPr>
          <w:rFonts w:ascii="Arial" w:hAnsi="Arial" w:cs="Arial"/>
          <w:b/>
          <w:bCs/>
        </w:rPr>
        <w:tab/>
      </w:r>
      <w:r w:rsidR="0056241E" w:rsidRPr="0056241E">
        <w:rPr>
          <w:rFonts w:ascii="Arial" w:hAnsi="Arial" w:cs="Arial"/>
        </w:rPr>
        <w:t>On the face of it th</w:t>
      </w:r>
      <w:r w:rsidR="00A55F65" w:rsidRPr="0056241E">
        <w:rPr>
          <w:rFonts w:ascii="Arial" w:hAnsi="Arial" w:cs="Arial"/>
        </w:rPr>
        <w:t>e deletion of the finding of guilty on the alternative count to the 2</w:t>
      </w:r>
      <w:r w:rsidR="00A55F65" w:rsidRPr="0056241E">
        <w:rPr>
          <w:rFonts w:ascii="Arial" w:hAnsi="Arial" w:cs="Arial"/>
          <w:vertAlign w:val="superscript"/>
        </w:rPr>
        <w:t>nd</w:t>
      </w:r>
      <w:r w:rsidR="00A55F65" w:rsidRPr="0056241E">
        <w:rPr>
          <w:rFonts w:ascii="Arial" w:hAnsi="Arial" w:cs="Arial"/>
        </w:rPr>
        <w:t xml:space="preserve"> charge </w:t>
      </w:r>
      <w:r w:rsidR="0056241E" w:rsidRPr="0056241E">
        <w:rPr>
          <w:rFonts w:ascii="Arial" w:hAnsi="Arial" w:cs="Arial"/>
        </w:rPr>
        <w:t xml:space="preserve">does not appear </w:t>
      </w:r>
      <w:r w:rsidR="00A55F65" w:rsidRPr="0056241E">
        <w:rPr>
          <w:rFonts w:ascii="Arial" w:hAnsi="Arial" w:cs="Arial"/>
        </w:rPr>
        <w:t xml:space="preserve">to </w:t>
      </w:r>
      <w:r w:rsidR="0056241E" w:rsidRPr="0056241E">
        <w:rPr>
          <w:rFonts w:ascii="Arial" w:hAnsi="Arial" w:cs="Arial"/>
        </w:rPr>
        <w:t xml:space="preserve">amount to a </w:t>
      </w:r>
      <w:r w:rsidR="00A55F65" w:rsidRPr="0056241E">
        <w:rPr>
          <w:rFonts w:ascii="Arial" w:hAnsi="Arial" w:cs="Arial"/>
        </w:rPr>
        <w:t xml:space="preserve">correction of the kind envisaged </w:t>
      </w:r>
      <w:r w:rsidR="00A55F65" w:rsidRPr="0056241E">
        <w:rPr>
          <w:rFonts w:ascii="Arial" w:hAnsi="Arial" w:cs="Arial"/>
        </w:rPr>
        <w:lastRenderedPageBreak/>
        <w:t xml:space="preserve">in </w:t>
      </w:r>
      <w:r w:rsidR="00BF6949">
        <w:rPr>
          <w:rFonts w:ascii="Arial" w:hAnsi="Arial" w:cs="Arial"/>
        </w:rPr>
        <w:t xml:space="preserve">either </w:t>
      </w:r>
      <w:r w:rsidR="00A55F65" w:rsidRPr="0056241E">
        <w:rPr>
          <w:rFonts w:ascii="Arial" w:hAnsi="Arial" w:cs="Arial"/>
          <w:i/>
          <w:iCs/>
        </w:rPr>
        <w:t>Wells</w:t>
      </w:r>
      <w:r w:rsidR="00A55F65" w:rsidRPr="0056241E">
        <w:rPr>
          <w:rFonts w:ascii="Arial" w:hAnsi="Arial" w:cs="Arial"/>
        </w:rPr>
        <w:t xml:space="preserve"> or </w:t>
      </w:r>
      <w:r w:rsidR="00A55F65" w:rsidRPr="0056241E">
        <w:rPr>
          <w:rFonts w:ascii="Arial" w:hAnsi="Arial" w:cs="Arial"/>
          <w:i/>
          <w:iCs/>
        </w:rPr>
        <w:t>Tuta</w:t>
      </w:r>
      <w:r w:rsidR="00B63702">
        <w:rPr>
          <w:rFonts w:ascii="Arial" w:hAnsi="Arial" w:cs="Arial"/>
          <w:i/>
          <w:iCs/>
        </w:rPr>
        <w:t xml:space="preserve">. </w:t>
      </w:r>
      <w:r w:rsidR="00B63702">
        <w:rPr>
          <w:rFonts w:ascii="Arial" w:hAnsi="Arial" w:cs="Arial"/>
        </w:rPr>
        <w:t>It was clearly not</w:t>
      </w:r>
      <w:r w:rsidR="0056241E" w:rsidRPr="0056241E">
        <w:rPr>
          <w:rFonts w:ascii="Arial" w:hAnsi="Arial" w:cs="Arial"/>
        </w:rPr>
        <w:t xml:space="preserve"> the correction of a typographical or grammatical error or unfortunate word choice, or </w:t>
      </w:r>
      <w:r w:rsidR="008F3DD3">
        <w:rPr>
          <w:rFonts w:ascii="Arial" w:hAnsi="Arial" w:cs="Arial"/>
        </w:rPr>
        <w:t xml:space="preserve">of </w:t>
      </w:r>
      <w:r w:rsidR="0056241E" w:rsidRPr="0056241E">
        <w:rPr>
          <w:rFonts w:ascii="Arial" w:hAnsi="Arial" w:cs="Arial"/>
        </w:rPr>
        <w:t xml:space="preserve">an obscure formulation. The only way it </w:t>
      </w:r>
      <w:r w:rsidR="0003480F">
        <w:rPr>
          <w:rFonts w:ascii="Arial" w:hAnsi="Arial" w:cs="Arial"/>
        </w:rPr>
        <w:t>c</w:t>
      </w:r>
      <w:r w:rsidR="0056241E" w:rsidRPr="0056241E">
        <w:rPr>
          <w:rFonts w:ascii="Arial" w:hAnsi="Arial" w:cs="Arial"/>
        </w:rPr>
        <w:t xml:space="preserve">ould qualify is if one considers it to have been an attempt to correct a patent error that was made, </w:t>
      </w:r>
      <w:r w:rsidR="00BF6949">
        <w:rPr>
          <w:rFonts w:ascii="Arial" w:hAnsi="Arial" w:cs="Arial"/>
        </w:rPr>
        <w:t>in</w:t>
      </w:r>
      <w:r w:rsidR="0056241E" w:rsidRPr="0056241E">
        <w:rPr>
          <w:rFonts w:ascii="Arial" w:hAnsi="Arial" w:cs="Arial"/>
        </w:rPr>
        <w:t xml:space="preserve"> noting that the accused had been found guilty on this count, instead of recording that the accused was found not guilty, as he had already been found guilty on the main count</w:t>
      </w:r>
      <w:r w:rsidR="00ED4363">
        <w:rPr>
          <w:rFonts w:ascii="Arial" w:hAnsi="Arial" w:cs="Arial"/>
        </w:rPr>
        <w:t xml:space="preserve">. The difficulty that I have with such a construction is that it is evident </w:t>
      </w:r>
      <w:r w:rsidR="00BF6949">
        <w:rPr>
          <w:rFonts w:ascii="Arial" w:hAnsi="Arial" w:cs="Arial"/>
        </w:rPr>
        <w:t>from</w:t>
      </w:r>
      <w:r w:rsidR="00ED4363">
        <w:rPr>
          <w:rFonts w:ascii="Arial" w:hAnsi="Arial" w:cs="Arial"/>
        </w:rPr>
        <w:t xml:space="preserve"> the transcript that the magistrate never </w:t>
      </w:r>
      <w:r w:rsidR="0003480F">
        <w:rPr>
          <w:rFonts w:ascii="Arial" w:hAnsi="Arial" w:cs="Arial"/>
        </w:rPr>
        <w:t xml:space="preserve">formally </w:t>
      </w:r>
      <w:r w:rsidR="00ED4363">
        <w:rPr>
          <w:rFonts w:ascii="Arial" w:hAnsi="Arial" w:cs="Arial"/>
        </w:rPr>
        <w:t>pronounced on the alternative count to the 2</w:t>
      </w:r>
      <w:r w:rsidR="00ED4363" w:rsidRPr="00ED4363">
        <w:rPr>
          <w:rFonts w:ascii="Arial" w:hAnsi="Arial" w:cs="Arial"/>
          <w:vertAlign w:val="superscript"/>
        </w:rPr>
        <w:t>nd</w:t>
      </w:r>
      <w:r w:rsidR="00ED4363">
        <w:rPr>
          <w:rFonts w:ascii="Arial" w:hAnsi="Arial" w:cs="Arial"/>
        </w:rPr>
        <w:t xml:space="preserve"> charge, </w:t>
      </w:r>
      <w:r w:rsidR="00BF6949">
        <w:rPr>
          <w:rFonts w:ascii="Arial" w:hAnsi="Arial" w:cs="Arial"/>
        </w:rPr>
        <w:t xml:space="preserve">at any time </w:t>
      </w:r>
      <w:r w:rsidR="00ED4363">
        <w:rPr>
          <w:rFonts w:ascii="Arial" w:hAnsi="Arial" w:cs="Arial"/>
        </w:rPr>
        <w:t xml:space="preserve">during the proceedings. Such a construction may have been tenable it the magistrate had, upon convicting the accused on the main count to the </w:t>
      </w:r>
      <w:r w:rsidR="00BF6949">
        <w:rPr>
          <w:rFonts w:ascii="Arial" w:hAnsi="Arial" w:cs="Arial"/>
        </w:rPr>
        <w:t>2</w:t>
      </w:r>
      <w:r w:rsidR="00BF6949" w:rsidRPr="00BF6949">
        <w:rPr>
          <w:rFonts w:ascii="Arial" w:hAnsi="Arial" w:cs="Arial"/>
          <w:vertAlign w:val="superscript"/>
        </w:rPr>
        <w:t>nd</w:t>
      </w:r>
      <w:r w:rsidR="00BF6949">
        <w:rPr>
          <w:rFonts w:ascii="Arial" w:hAnsi="Arial" w:cs="Arial"/>
        </w:rPr>
        <w:t xml:space="preserve"> </w:t>
      </w:r>
      <w:r w:rsidR="00ED4363">
        <w:rPr>
          <w:rFonts w:ascii="Arial" w:hAnsi="Arial" w:cs="Arial"/>
        </w:rPr>
        <w:t>charge, or at any time before sentence, informed the accused that he had found him not guilty on the alternative</w:t>
      </w:r>
      <w:r w:rsidR="00BF6949">
        <w:rPr>
          <w:rFonts w:ascii="Arial" w:hAnsi="Arial" w:cs="Arial"/>
        </w:rPr>
        <w:t>.</w:t>
      </w:r>
      <w:r w:rsidR="00ED4363">
        <w:rPr>
          <w:rFonts w:ascii="Arial" w:hAnsi="Arial" w:cs="Arial"/>
        </w:rPr>
        <w:t xml:space="preserve"> </w:t>
      </w:r>
      <w:r w:rsidR="00155797">
        <w:rPr>
          <w:rFonts w:ascii="Arial" w:hAnsi="Arial" w:cs="Arial"/>
        </w:rPr>
        <w:t xml:space="preserve">Then it would </w:t>
      </w:r>
      <w:r w:rsidR="00EB5323">
        <w:rPr>
          <w:rFonts w:ascii="Arial" w:hAnsi="Arial" w:cs="Arial"/>
        </w:rPr>
        <w:t xml:space="preserve">have </w:t>
      </w:r>
      <w:r w:rsidR="00155797">
        <w:rPr>
          <w:rFonts w:ascii="Arial" w:hAnsi="Arial" w:cs="Arial"/>
        </w:rPr>
        <w:t>be</w:t>
      </w:r>
      <w:r w:rsidR="00EB5323">
        <w:rPr>
          <w:rFonts w:ascii="Arial" w:hAnsi="Arial" w:cs="Arial"/>
        </w:rPr>
        <w:t>en</w:t>
      </w:r>
      <w:r w:rsidR="00155797">
        <w:rPr>
          <w:rFonts w:ascii="Arial" w:hAnsi="Arial" w:cs="Arial"/>
        </w:rPr>
        <w:t xml:space="preserve"> clear that the ‘correction’ which was made on the J15 was made simply to bring the record in line with the </w:t>
      </w:r>
      <w:r w:rsidR="00EB5323">
        <w:rPr>
          <w:rFonts w:ascii="Arial" w:hAnsi="Arial" w:cs="Arial"/>
        </w:rPr>
        <w:t>finding that was made in open court.</w:t>
      </w:r>
      <w:r w:rsidR="00155797">
        <w:rPr>
          <w:rFonts w:ascii="Arial" w:hAnsi="Arial" w:cs="Arial"/>
        </w:rPr>
        <w:t xml:space="preserve"> </w:t>
      </w:r>
      <w:r w:rsidR="00ED4363">
        <w:rPr>
          <w:rFonts w:ascii="Arial" w:hAnsi="Arial" w:cs="Arial"/>
        </w:rPr>
        <w:t xml:space="preserve">  </w:t>
      </w:r>
      <w:r w:rsidR="0056241E" w:rsidRPr="0056241E">
        <w:rPr>
          <w:rFonts w:ascii="Arial" w:hAnsi="Arial" w:cs="Arial"/>
        </w:rPr>
        <w:t xml:space="preserve"> </w:t>
      </w:r>
    </w:p>
    <w:p w14:paraId="4F5B6512" w14:textId="661E8AA2" w:rsidR="00ED4363" w:rsidRDefault="008C795E" w:rsidP="008C795E">
      <w:pPr>
        <w:adjustRightInd w:val="0"/>
        <w:spacing w:after="0" w:line="360" w:lineRule="auto"/>
        <w:ind w:left="720" w:hanging="720"/>
        <w:contextualSpacing/>
        <w:jc w:val="both"/>
        <w:textAlignment w:val="baseline"/>
        <w:rPr>
          <w:rFonts w:ascii="Arial" w:hAnsi="Arial" w:cs="Arial"/>
        </w:rPr>
      </w:pPr>
      <w:r>
        <w:rPr>
          <w:rFonts w:ascii="Arial" w:hAnsi="Arial" w:cs="Arial"/>
        </w:rPr>
        <w:t>43.</w:t>
      </w:r>
      <w:r>
        <w:rPr>
          <w:rFonts w:ascii="Arial" w:hAnsi="Arial" w:cs="Arial"/>
        </w:rPr>
        <w:tab/>
      </w:r>
      <w:r w:rsidR="00ED4363">
        <w:rPr>
          <w:rFonts w:ascii="Arial" w:hAnsi="Arial" w:cs="Arial"/>
        </w:rPr>
        <w:t xml:space="preserve">But, even if one accepts this as an explanation </w:t>
      </w:r>
      <w:r w:rsidR="00BF6949">
        <w:rPr>
          <w:rFonts w:ascii="Arial" w:hAnsi="Arial" w:cs="Arial"/>
        </w:rPr>
        <w:t xml:space="preserve">for what happened, </w:t>
      </w:r>
      <w:r w:rsidR="00ED4363">
        <w:rPr>
          <w:rFonts w:ascii="Arial" w:hAnsi="Arial" w:cs="Arial"/>
        </w:rPr>
        <w:t xml:space="preserve">the difficulty I have is that the </w:t>
      </w:r>
      <w:r w:rsidR="00D735B9">
        <w:rPr>
          <w:rFonts w:ascii="Arial" w:hAnsi="Arial" w:cs="Arial"/>
        </w:rPr>
        <w:t>‘</w:t>
      </w:r>
      <w:r w:rsidR="00ED4363">
        <w:rPr>
          <w:rFonts w:ascii="Arial" w:hAnsi="Arial" w:cs="Arial"/>
        </w:rPr>
        <w:t>conviction</w:t>
      </w:r>
      <w:r w:rsidR="00D735B9">
        <w:rPr>
          <w:rFonts w:ascii="Arial" w:hAnsi="Arial" w:cs="Arial"/>
        </w:rPr>
        <w:t>’</w:t>
      </w:r>
      <w:r w:rsidR="00ED4363">
        <w:rPr>
          <w:rFonts w:ascii="Arial" w:hAnsi="Arial" w:cs="Arial"/>
        </w:rPr>
        <w:t xml:space="preserve"> on this charge was </w:t>
      </w:r>
      <w:r w:rsidR="008B6CC7">
        <w:rPr>
          <w:rFonts w:ascii="Arial" w:hAnsi="Arial" w:cs="Arial"/>
        </w:rPr>
        <w:t xml:space="preserve">deleted or </w:t>
      </w:r>
      <w:r w:rsidR="00ED4363">
        <w:rPr>
          <w:rFonts w:ascii="Arial" w:hAnsi="Arial" w:cs="Arial"/>
        </w:rPr>
        <w:t xml:space="preserve">scrapped by the magistrate, in the absence of the accused. This was contrary to the provisions of ss 152 and </w:t>
      </w:r>
      <w:r w:rsidR="00DC1184">
        <w:rPr>
          <w:rFonts w:ascii="Arial" w:hAnsi="Arial" w:cs="Arial"/>
        </w:rPr>
        <w:t xml:space="preserve">158 </w:t>
      </w:r>
      <w:r w:rsidR="00ED4363">
        <w:rPr>
          <w:rFonts w:ascii="Arial" w:hAnsi="Arial" w:cs="Arial"/>
        </w:rPr>
        <w:t>of the CPA which require that</w:t>
      </w:r>
      <w:r w:rsidR="00BF6949">
        <w:rPr>
          <w:rFonts w:ascii="Arial" w:hAnsi="Arial" w:cs="Arial"/>
        </w:rPr>
        <w:t>,</w:t>
      </w:r>
      <w:r w:rsidR="00ED4363">
        <w:rPr>
          <w:rFonts w:ascii="Arial" w:hAnsi="Arial" w:cs="Arial"/>
        </w:rPr>
        <w:t xml:space="preserve"> except where otherwise provided for by the Act, criminal proceedings must take place in open court</w:t>
      </w:r>
      <w:r w:rsidR="000834FA">
        <w:rPr>
          <w:rFonts w:ascii="Arial" w:hAnsi="Arial" w:cs="Arial"/>
        </w:rPr>
        <w:t xml:space="preserve"> and in the presence of the accused. Neither the error in recording a </w:t>
      </w:r>
      <w:r w:rsidR="0052556D">
        <w:rPr>
          <w:rFonts w:ascii="Arial" w:hAnsi="Arial" w:cs="Arial"/>
        </w:rPr>
        <w:t>‘</w:t>
      </w:r>
      <w:r w:rsidR="000834FA">
        <w:rPr>
          <w:rFonts w:ascii="Arial" w:hAnsi="Arial" w:cs="Arial"/>
        </w:rPr>
        <w:t>conviction</w:t>
      </w:r>
      <w:r w:rsidR="0052556D">
        <w:rPr>
          <w:rFonts w:ascii="Arial" w:hAnsi="Arial" w:cs="Arial"/>
        </w:rPr>
        <w:t>’</w:t>
      </w:r>
      <w:r w:rsidR="000834FA">
        <w:rPr>
          <w:rFonts w:ascii="Arial" w:hAnsi="Arial" w:cs="Arial"/>
        </w:rPr>
        <w:t xml:space="preserve"> on the alternative count to the 2</w:t>
      </w:r>
      <w:r w:rsidR="000834FA" w:rsidRPr="000834FA">
        <w:rPr>
          <w:rFonts w:ascii="Arial" w:hAnsi="Arial" w:cs="Arial"/>
          <w:vertAlign w:val="superscript"/>
        </w:rPr>
        <w:t>nd</w:t>
      </w:r>
      <w:r w:rsidR="000834FA">
        <w:rPr>
          <w:rFonts w:ascii="Arial" w:hAnsi="Arial" w:cs="Arial"/>
        </w:rPr>
        <w:t xml:space="preserve"> charge nor the ‘correction’ thereof were disclosed </w:t>
      </w:r>
      <w:r w:rsidR="00BF6949">
        <w:rPr>
          <w:rFonts w:ascii="Arial" w:hAnsi="Arial" w:cs="Arial"/>
        </w:rPr>
        <w:t xml:space="preserve">or made known </w:t>
      </w:r>
      <w:r w:rsidR="000834FA">
        <w:rPr>
          <w:rFonts w:ascii="Arial" w:hAnsi="Arial" w:cs="Arial"/>
        </w:rPr>
        <w:t xml:space="preserve">to the accused, in </w:t>
      </w:r>
      <w:r w:rsidR="00D735B9">
        <w:rPr>
          <w:rFonts w:ascii="Arial" w:hAnsi="Arial" w:cs="Arial"/>
        </w:rPr>
        <w:t xml:space="preserve">proceedings in </w:t>
      </w:r>
      <w:r w:rsidR="000834FA">
        <w:rPr>
          <w:rFonts w:ascii="Arial" w:hAnsi="Arial" w:cs="Arial"/>
        </w:rPr>
        <w:t>open court</w:t>
      </w:r>
      <w:r w:rsidR="00BF6949">
        <w:rPr>
          <w:rFonts w:ascii="Arial" w:hAnsi="Arial" w:cs="Arial"/>
        </w:rPr>
        <w:t>.</w:t>
      </w:r>
      <w:r w:rsidR="000834FA">
        <w:rPr>
          <w:rFonts w:ascii="Arial" w:hAnsi="Arial" w:cs="Arial"/>
        </w:rPr>
        <w:t xml:space="preserve"> In my view </w:t>
      </w:r>
      <w:r w:rsidR="0052556D">
        <w:rPr>
          <w:rFonts w:ascii="Arial" w:hAnsi="Arial" w:cs="Arial"/>
        </w:rPr>
        <w:t>what was done therefore also amounted to</w:t>
      </w:r>
      <w:r w:rsidR="000834FA">
        <w:rPr>
          <w:rFonts w:ascii="Arial" w:hAnsi="Arial" w:cs="Arial"/>
        </w:rPr>
        <w:t xml:space="preserve"> an irregularity. In any event, </w:t>
      </w:r>
      <w:r w:rsidR="00ED4363">
        <w:rPr>
          <w:rFonts w:ascii="Arial" w:hAnsi="Arial" w:cs="Arial"/>
        </w:rPr>
        <w:t>a</w:t>
      </w:r>
      <w:r w:rsidR="007D292B">
        <w:rPr>
          <w:rFonts w:ascii="Arial" w:hAnsi="Arial" w:cs="Arial"/>
        </w:rPr>
        <w:t xml:space="preserve">s is evident, the accused was impermissibly </w:t>
      </w:r>
      <w:r w:rsidR="00500109">
        <w:rPr>
          <w:rFonts w:ascii="Arial" w:hAnsi="Arial" w:cs="Arial"/>
        </w:rPr>
        <w:t xml:space="preserve">subjected to a piecemeal process in which he was </w:t>
      </w:r>
      <w:r w:rsidR="007D292B">
        <w:rPr>
          <w:rFonts w:ascii="Arial" w:hAnsi="Arial" w:cs="Arial"/>
        </w:rPr>
        <w:t xml:space="preserve">required to plead </w:t>
      </w:r>
      <w:r w:rsidR="008B6CC7">
        <w:rPr>
          <w:rFonts w:ascii="Arial" w:hAnsi="Arial" w:cs="Arial"/>
        </w:rPr>
        <w:t>repeatedly</w:t>
      </w:r>
      <w:r w:rsidR="007D292B">
        <w:rPr>
          <w:rFonts w:ascii="Arial" w:hAnsi="Arial" w:cs="Arial"/>
        </w:rPr>
        <w:t xml:space="preserve"> to charges he had previously pleaded to, and was subjected more than once to questioning, purportedly in terms of s 112(1)(b) of the CPA. He was wrongly convicted on </w:t>
      </w:r>
      <w:r w:rsidR="00B3458B">
        <w:rPr>
          <w:rFonts w:ascii="Arial" w:hAnsi="Arial" w:cs="Arial"/>
        </w:rPr>
        <w:t>the</w:t>
      </w:r>
      <w:r w:rsidR="007D292B">
        <w:rPr>
          <w:rFonts w:ascii="Arial" w:hAnsi="Arial" w:cs="Arial"/>
        </w:rPr>
        <w:t xml:space="preserve"> </w:t>
      </w:r>
      <w:r w:rsidR="004E6B6B">
        <w:rPr>
          <w:rFonts w:ascii="Arial" w:hAnsi="Arial" w:cs="Arial"/>
        </w:rPr>
        <w:t xml:space="preserve">first </w:t>
      </w:r>
      <w:r w:rsidR="007D292B">
        <w:rPr>
          <w:rFonts w:ascii="Arial" w:hAnsi="Arial" w:cs="Arial"/>
        </w:rPr>
        <w:t>charge on the basis that he had testified, when he had never given evidence at all</w:t>
      </w:r>
      <w:r w:rsidR="008B6CC7">
        <w:rPr>
          <w:rFonts w:ascii="Arial" w:hAnsi="Arial" w:cs="Arial"/>
        </w:rPr>
        <w:t xml:space="preserve">, and </w:t>
      </w:r>
      <w:r w:rsidR="00EB5323">
        <w:rPr>
          <w:rFonts w:ascii="Arial" w:hAnsi="Arial" w:cs="Arial"/>
        </w:rPr>
        <w:t>when the evidence which had been tendered was</w:t>
      </w:r>
      <w:r w:rsidR="00B26B0C">
        <w:rPr>
          <w:rFonts w:ascii="Arial" w:hAnsi="Arial" w:cs="Arial"/>
        </w:rPr>
        <w:t xml:space="preserve"> inadmissible evidence that had no value</w:t>
      </w:r>
      <w:r w:rsidR="009E3843">
        <w:rPr>
          <w:rFonts w:ascii="Arial" w:hAnsi="Arial" w:cs="Arial"/>
        </w:rPr>
        <w:t xml:space="preserve">. On the </w:t>
      </w:r>
      <w:r w:rsidR="004E6B6B">
        <w:rPr>
          <w:rFonts w:ascii="Arial" w:hAnsi="Arial" w:cs="Arial"/>
        </w:rPr>
        <w:t>second</w:t>
      </w:r>
      <w:r w:rsidR="009E3843">
        <w:rPr>
          <w:rFonts w:ascii="Arial" w:hAnsi="Arial" w:cs="Arial"/>
        </w:rPr>
        <w:t xml:space="preserve"> charge he was convicted on the main count</w:t>
      </w:r>
      <w:r w:rsidR="000834FA">
        <w:rPr>
          <w:rFonts w:ascii="Arial" w:hAnsi="Arial" w:cs="Arial"/>
        </w:rPr>
        <w:t xml:space="preserve"> as charged, when the charge as formulated was defective and the evidence did not substantiate it.</w:t>
      </w:r>
      <w:r w:rsidR="00FA1968">
        <w:rPr>
          <w:rFonts w:ascii="Arial" w:hAnsi="Arial" w:cs="Arial"/>
        </w:rPr>
        <w:t xml:space="preserve">  </w:t>
      </w:r>
    </w:p>
    <w:p w14:paraId="61073D47" w14:textId="3E20DAE9" w:rsidR="007D292B" w:rsidRDefault="00ED4363" w:rsidP="00ED4363">
      <w:pPr>
        <w:adjustRightInd w:val="0"/>
        <w:spacing w:after="0" w:line="360" w:lineRule="auto"/>
        <w:jc w:val="both"/>
        <w:textAlignment w:val="baseline"/>
        <w:rPr>
          <w:rFonts w:ascii="Arial" w:hAnsi="Arial" w:cs="Arial"/>
        </w:rPr>
      </w:pPr>
      <w:r w:rsidRPr="00ED4363">
        <w:rPr>
          <w:rFonts w:ascii="Arial" w:hAnsi="Arial" w:cs="Arial"/>
          <w:b/>
          <w:bCs/>
        </w:rPr>
        <w:t>Conclusion</w:t>
      </w:r>
      <w:r w:rsidR="007D292B">
        <w:rPr>
          <w:rFonts w:ascii="Arial" w:hAnsi="Arial" w:cs="Arial"/>
        </w:rPr>
        <w:t xml:space="preserve">   </w:t>
      </w:r>
    </w:p>
    <w:p w14:paraId="702B1FA4" w14:textId="50B26020" w:rsidR="007D292B" w:rsidRDefault="008C795E" w:rsidP="008C795E">
      <w:pPr>
        <w:adjustRightInd w:val="0"/>
        <w:spacing w:after="0" w:line="360" w:lineRule="auto"/>
        <w:ind w:left="720" w:hanging="720"/>
        <w:contextualSpacing/>
        <w:jc w:val="both"/>
        <w:textAlignment w:val="baseline"/>
        <w:rPr>
          <w:rFonts w:ascii="Arial" w:hAnsi="Arial" w:cs="Arial"/>
        </w:rPr>
      </w:pPr>
      <w:r>
        <w:rPr>
          <w:rFonts w:ascii="Arial" w:hAnsi="Arial" w:cs="Arial"/>
        </w:rPr>
        <w:lastRenderedPageBreak/>
        <w:t>44.</w:t>
      </w:r>
      <w:r>
        <w:rPr>
          <w:rFonts w:ascii="Arial" w:hAnsi="Arial" w:cs="Arial"/>
        </w:rPr>
        <w:tab/>
      </w:r>
      <w:r w:rsidR="004D6715" w:rsidRPr="00076F69">
        <w:rPr>
          <w:rFonts w:ascii="Arial" w:hAnsi="Arial" w:cs="Arial"/>
        </w:rPr>
        <w:t>In my view the</w:t>
      </w:r>
      <w:r w:rsidR="003B4333">
        <w:rPr>
          <w:rFonts w:ascii="Arial" w:hAnsi="Arial" w:cs="Arial"/>
        </w:rPr>
        <w:t xml:space="preserve"> numerous, egregious</w:t>
      </w:r>
      <w:r w:rsidR="004D6715" w:rsidRPr="00076F69">
        <w:rPr>
          <w:rFonts w:ascii="Arial" w:hAnsi="Arial" w:cs="Arial"/>
        </w:rPr>
        <w:t xml:space="preserve"> irregularities in the process which was adopted resulted in</w:t>
      </w:r>
      <w:r w:rsidR="003B4333">
        <w:rPr>
          <w:rFonts w:ascii="Arial" w:hAnsi="Arial" w:cs="Arial"/>
        </w:rPr>
        <w:t xml:space="preserve"> a</w:t>
      </w:r>
      <w:r w:rsidR="004D6715" w:rsidRPr="00076F69">
        <w:rPr>
          <w:rFonts w:ascii="Arial" w:hAnsi="Arial" w:cs="Arial"/>
        </w:rPr>
        <w:t xml:space="preserve"> trial which was manifestly</w:t>
      </w:r>
      <w:r w:rsidR="007D292B">
        <w:rPr>
          <w:rFonts w:ascii="Arial" w:hAnsi="Arial" w:cs="Arial"/>
        </w:rPr>
        <w:t xml:space="preserve"> irregular and</w:t>
      </w:r>
      <w:r w:rsidR="004D6715" w:rsidRPr="00076F69">
        <w:rPr>
          <w:rFonts w:ascii="Arial" w:hAnsi="Arial" w:cs="Arial"/>
        </w:rPr>
        <w:t xml:space="preserve"> unfair</w:t>
      </w:r>
      <w:r w:rsidR="007D292B">
        <w:rPr>
          <w:rFonts w:ascii="Arial" w:hAnsi="Arial" w:cs="Arial"/>
        </w:rPr>
        <w:t>,</w:t>
      </w:r>
      <w:r w:rsidR="004D6715" w:rsidRPr="00076F69">
        <w:rPr>
          <w:rFonts w:ascii="Arial" w:hAnsi="Arial" w:cs="Arial"/>
        </w:rPr>
        <w:t xml:space="preserve"> contrary to the accused’s constitutional rights </w:t>
      </w:r>
      <w:r w:rsidR="008F3DD3">
        <w:rPr>
          <w:rFonts w:ascii="Arial" w:hAnsi="Arial" w:cs="Arial"/>
        </w:rPr>
        <w:t xml:space="preserve">to a fair trial </w:t>
      </w:r>
      <w:r w:rsidR="004D6715" w:rsidRPr="00076F69">
        <w:rPr>
          <w:rFonts w:ascii="Arial" w:hAnsi="Arial" w:cs="Arial"/>
        </w:rPr>
        <w:t xml:space="preserve">in terms of </w:t>
      </w:r>
      <w:r w:rsidR="003B4333">
        <w:rPr>
          <w:rFonts w:ascii="Arial" w:hAnsi="Arial" w:cs="Arial"/>
        </w:rPr>
        <w:t>s</w:t>
      </w:r>
      <w:r w:rsidR="004D6715" w:rsidRPr="00076F69">
        <w:rPr>
          <w:rFonts w:ascii="Arial" w:hAnsi="Arial" w:cs="Arial"/>
        </w:rPr>
        <w:t xml:space="preserve"> 35 of the Constitution</w:t>
      </w:r>
      <w:r w:rsidR="007D292B">
        <w:rPr>
          <w:rFonts w:ascii="Arial" w:hAnsi="Arial" w:cs="Arial"/>
        </w:rPr>
        <w:t>,</w:t>
      </w:r>
      <w:r w:rsidR="004D6715" w:rsidRPr="00076F69">
        <w:rPr>
          <w:rFonts w:ascii="Arial" w:hAnsi="Arial" w:cs="Arial"/>
        </w:rPr>
        <w:t xml:space="preserve"> and </w:t>
      </w:r>
      <w:r w:rsidR="003B4333">
        <w:rPr>
          <w:rFonts w:ascii="Arial" w:hAnsi="Arial" w:cs="Arial"/>
        </w:rPr>
        <w:t xml:space="preserve">it would </w:t>
      </w:r>
      <w:r w:rsidR="00FA1968">
        <w:rPr>
          <w:rFonts w:ascii="Arial" w:hAnsi="Arial" w:cs="Arial"/>
        </w:rPr>
        <w:t>constitute</w:t>
      </w:r>
      <w:r w:rsidR="003B4333">
        <w:rPr>
          <w:rFonts w:ascii="Arial" w:hAnsi="Arial" w:cs="Arial"/>
        </w:rPr>
        <w:t xml:space="preserve"> an abject failure of justice were t</w:t>
      </w:r>
      <w:r w:rsidR="004D6715" w:rsidRPr="00076F69">
        <w:rPr>
          <w:rFonts w:ascii="Arial" w:hAnsi="Arial" w:cs="Arial"/>
        </w:rPr>
        <w:t xml:space="preserve">he convictions </w:t>
      </w:r>
      <w:r w:rsidR="003B4333">
        <w:rPr>
          <w:rFonts w:ascii="Arial" w:hAnsi="Arial" w:cs="Arial"/>
        </w:rPr>
        <w:t xml:space="preserve">to be </w:t>
      </w:r>
      <w:r w:rsidR="004D6715" w:rsidRPr="00076F69">
        <w:rPr>
          <w:rFonts w:ascii="Arial" w:hAnsi="Arial" w:cs="Arial"/>
        </w:rPr>
        <w:t>allowed to stand</w:t>
      </w:r>
      <w:r w:rsidR="003B4333">
        <w:rPr>
          <w:rFonts w:ascii="Arial" w:hAnsi="Arial" w:cs="Arial"/>
        </w:rPr>
        <w:t>.</w:t>
      </w:r>
      <w:r w:rsidR="003F3649">
        <w:rPr>
          <w:rFonts w:ascii="Arial" w:hAnsi="Arial" w:cs="Arial"/>
        </w:rPr>
        <w:t xml:space="preserve"> </w:t>
      </w:r>
    </w:p>
    <w:p w14:paraId="0C8083B3" w14:textId="60A90F07" w:rsidR="004D6715" w:rsidRPr="0067367C" w:rsidRDefault="008C795E" w:rsidP="008C795E">
      <w:pPr>
        <w:adjustRightInd w:val="0"/>
        <w:spacing w:after="0" w:line="360" w:lineRule="auto"/>
        <w:ind w:left="720" w:hanging="720"/>
        <w:contextualSpacing/>
        <w:jc w:val="both"/>
        <w:textAlignment w:val="baseline"/>
        <w:rPr>
          <w:rFonts w:ascii="Arial" w:hAnsi="Arial" w:cs="Arial"/>
        </w:rPr>
      </w:pPr>
      <w:r w:rsidRPr="0067367C">
        <w:rPr>
          <w:rFonts w:ascii="Arial" w:hAnsi="Arial" w:cs="Arial"/>
        </w:rPr>
        <w:t>45.</w:t>
      </w:r>
      <w:r w:rsidRPr="0067367C">
        <w:rPr>
          <w:rFonts w:ascii="Arial" w:hAnsi="Arial" w:cs="Arial"/>
        </w:rPr>
        <w:tab/>
      </w:r>
      <w:r w:rsidR="003B4333" w:rsidRPr="0067367C">
        <w:rPr>
          <w:rFonts w:ascii="Arial" w:hAnsi="Arial" w:cs="Arial"/>
        </w:rPr>
        <w:t>This is a</w:t>
      </w:r>
      <w:r w:rsidR="007D292B" w:rsidRPr="0067367C">
        <w:rPr>
          <w:rFonts w:ascii="Arial" w:hAnsi="Arial" w:cs="Arial"/>
        </w:rPr>
        <w:t xml:space="preserve"> most</w:t>
      </w:r>
      <w:r w:rsidR="003B4333" w:rsidRPr="0067367C">
        <w:rPr>
          <w:rFonts w:ascii="Arial" w:hAnsi="Arial" w:cs="Arial"/>
        </w:rPr>
        <w:t xml:space="preserve"> unfortunate state of affairs given the</w:t>
      </w:r>
      <w:r w:rsidR="004D6715" w:rsidRPr="0067367C">
        <w:rPr>
          <w:rFonts w:ascii="Arial" w:hAnsi="Arial" w:cs="Arial"/>
        </w:rPr>
        <w:t xml:space="preserve"> admissions which were made by the accused during the course of the repeated questioning</w:t>
      </w:r>
      <w:r w:rsidR="007D292B" w:rsidRPr="0067367C">
        <w:rPr>
          <w:rFonts w:ascii="Arial" w:hAnsi="Arial" w:cs="Arial"/>
        </w:rPr>
        <w:t>s</w:t>
      </w:r>
      <w:r w:rsidR="004D6715" w:rsidRPr="0067367C">
        <w:rPr>
          <w:rFonts w:ascii="Arial" w:hAnsi="Arial" w:cs="Arial"/>
        </w:rPr>
        <w:t xml:space="preserve"> to which he was subjected by the magistrate</w:t>
      </w:r>
      <w:r w:rsidR="003B4333" w:rsidRPr="0067367C">
        <w:rPr>
          <w:rFonts w:ascii="Arial" w:hAnsi="Arial" w:cs="Arial"/>
        </w:rPr>
        <w:t xml:space="preserve"> in relation to both charges, but in my view the proceedings </w:t>
      </w:r>
      <w:r w:rsidR="007D292B" w:rsidRPr="0067367C">
        <w:rPr>
          <w:rFonts w:ascii="Arial" w:hAnsi="Arial" w:cs="Arial"/>
        </w:rPr>
        <w:t xml:space="preserve">as a whole </w:t>
      </w:r>
      <w:r w:rsidR="003B4333" w:rsidRPr="0067367C">
        <w:rPr>
          <w:rFonts w:ascii="Arial" w:hAnsi="Arial" w:cs="Arial"/>
        </w:rPr>
        <w:t xml:space="preserve">were </w:t>
      </w:r>
      <w:r w:rsidR="005E7060" w:rsidRPr="0067367C">
        <w:rPr>
          <w:rFonts w:ascii="Arial" w:hAnsi="Arial" w:cs="Arial"/>
        </w:rPr>
        <w:t>vitiated</w:t>
      </w:r>
      <w:r w:rsidR="003B4333" w:rsidRPr="0067367C">
        <w:rPr>
          <w:rFonts w:ascii="Arial" w:hAnsi="Arial" w:cs="Arial"/>
        </w:rPr>
        <w:t xml:space="preserve"> </w:t>
      </w:r>
      <w:r w:rsidR="000834FA">
        <w:rPr>
          <w:rFonts w:ascii="Arial" w:hAnsi="Arial" w:cs="Arial"/>
        </w:rPr>
        <w:t xml:space="preserve">cumulatively </w:t>
      </w:r>
      <w:r w:rsidR="003B4333" w:rsidRPr="0067367C">
        <w:rPr>
          <w:rFonts w:ascii="Arial" w:hAnsi="Arial" w:cs="Arial"/>
        </w:rPr>
        <w:t>by the</w:t>
      </w:r>
      <w:r w:rsidR="007D292B" w:rsidRPr="0067367C">
        <w:rPr>
          <w:rFonts w:ascii="Arial" w:hAnsi="Arial" w:cs="Arial"/>
        </w:rPr>
        <w:t xml:space="preserve"> </w:t>
      </w:r>
      <w:r w:rsidR="003B4333" w:rsidRPr="0067367C">
        <w:rPr>
          <w:rFonts w:ascii="Arial" w:hAnsi="Arial" w:cs="Arial"/>
        </w:rPr>
        <w:t>irregularities</w:t>
      </w:r>
      <w:r w:rsidR="005E7060" w:rsidRPr="0067367C">
        <w:rPr>
          <w:rFonts w:ascii="Arial" w:hAnsi="Arial" w:cs="Arial"/>
        </w:rPr>
        <w:t xml:space="preserve"> </w:t>
      </w:r>
      <w:r w:rsidR="00B3458B" w:rsidRPr="0067367C">
        <w:rPr>
          <w:rFonts w:ascii="Arial" w:hAnsi="Arial" w:cs="Arial"/>
        </w:rPr>
        <w:t>that have been highlighted</w:t>
      </w:r>
      <w:r w:rsidR="00D735B9">
        <w:rPr>
          <w:rFonts w:ascii="Arial" w:hAnsi="Arial" w:cs="Arial"/>
        </w:rPr>
        <w:t>. I</w:t>
      </w:r>
      <w:r w:rsidR="005E7060" w:rsidRPr="0067367C">
        <w:rPr>
          <w:rFonts w:ascii="Arial" w:hAnsi="Arial" w:cs="Arial"/>
        </w:rPr>
        <w:t>n the interests of the due and proper administration of justice it is important that the necessary corrective</w:t>
      </w:r>
      <w:r w:rsidR="00B3458B" w:rsidRPr="0067367C">
        <w:rPr>
          <w:rFonts w:ascii="Arial" w:hAnsi="Arial" w:cs="Arial"/>
        </w:rPr>
        <w:t xml:space="preserve"> measures</w:t>
      </w:r>
      <w:r w:rsidR="005E7060" w:rsidRPr="0067367C">
        <w:rPr>
          <w:rFonts w:ascii="Arial" w:hAnsi="Arial" w:cs="Arial"/>
        </w:rPr>
        <w:t xml:space="preserve"> be applied</w:t>
      </w:r>
      <w:r w:rsidR="00B3458B" w:rsidRPr="0067367C">
        <w:rPr>
          <w:rFonts w:ascii="Arial" w:hAnsi="Arial" w:cs="Arial"/>
        </w:rPr>
        <w:t>, in order to en</w:t>
      </w:r>
      <w:r w:rsidR="00FA1968" w:rsidRPr="0067367C">
        <w:rPr>
          <w:rFonts w:ascii="Arial" w:hAnsi="Arial" w:cs="Arial"/>
        </w:rPr>
        <w:t>sure that</w:t>
      </w:r>
      <w:r w:rsidR="00D735B9">
        <w:rPr>
          <w:rFonts w:ascii="Arial" w:hAnsi="Arial" w:cs="Arial"/>
        </w:rPr>
        <w:t xml:space="preserve"> criminal proceedings in </w:t>
      </w:r>
      <w:r w:rsidR="00D735B9" w:rsidRPr="0067367C">
        <w:rPr>
          <w:rFonts w:ascii="Arial" w:hAnsi="Arial" w:cs="Arial"/>
        </w:rPr>
        <w:t>magistrate’s</w:t>
      </w:r>
      <w:r w:rsidR="00D735B9">
        <w:rPr>
          <w:rFonts w:ascii="Arial" w:hAnsi="Arial" w:cs="Arial"/>
        </w:rPr>
        <w:t xml:space="preserve"> courts</w:t>
      </w:r>
      <w:r w:rsidR="00B3458B" w:rsidRPr="0067367C">
        <w:rPr>
          <w:rFonts w:ascii="Arial" w:hAnsi="Arial" w:cs="Arial"/>
        </w:rPr>
        <w:t xml:space="preserve"> </w:t>
      </w:r>
      <w:r w:rsidR="00940094">
        <w:rPr>
          <w:rFonts w:ascii="Arial" w:hAnsi="Arial" w:cs="Arial"/>
        </w:rPr>
        <w:t>adhere to</w:t>
      </w:r>
      <w:r w:rsidR="00B3458B" w:rsidRPr="0067367C">
        <w:rPr>
          <w:rFonts w:ascii="Arial" w:hAnsi="Arial" w:cs="Arial"/>
        </w:rPr>
        <w:t xml:space="preserve"> due and proper process</w:t>
      </w:r>
      <w:r w:rsidR="005E7060" w:rsidRPr="0067367C">
        <w:rPr>
          <w:rFonts w:ascii="Arial" w:hAnsi="Arial" w:cs="Arial"/>
        </w:rPr>
        <w:t>.</w:t>
      </w:r>
      <w:r w:rsidR="003B4333" w:rsidRPr="0067367C">
        <w:rPr>
          <w:rFonts w:ascii="Arial" w:hAnsi="Arial" w:cs="Arial"/>
        </w:rPr>
        <w:t xml:space="preserve"> </w:t>
      </w:r>
      <w:r w:rsidR="0067367C" w:rsidRPr="0067367C">
        <w:rPr>
          <w:rFonts w:ascii="Arial" w:hAnsi="Arial" w:cs="Arial"/>
        </w:rPr>
        <w:t xml:space="preserve">In this regard in </w:t>
      </w:r>
      <w:proofErr w:type="spellStart"/>
      <w:r w:rsidR="0067367C" w:rsidRPr="0067367C">
        <w:rPr>
          <w:rFonts w:ascii="Arial" w:hAnsi="Arial" w:cs="Arial"/>
          <w:i/>
          <w:iCs/>
        </w:rPr>
        <w:t>Thebus</w:t>
      </w:r>
      <w:proofErr w:type="spellEnd"/>
      <w:r w:rsidR="0067367C" w:rsidRPr="0067367C">
        <w:rPr>
          <w:rFonts w:ascii="Arial" w:hAnsi="Arial" w:cs="Arial"/>
          <w:i/>
          <w:iCs/>
        </w:rPr>
        <w:t xml:space="preserve"> </w:t>
      </w:r>
      <w:r w:rsidR="0067367C">
        <w:rPr>
          <w:rStyle w:val="FootnoteReference"/>
          <w:rFonts w:ascii="Arial" w:hAnsi="Arial" w:cs="Arial"/>
        </w:rPr>
        <w:footnoteReference w:id="8"/>
      </w:r>
      <w:r w:rsidR="00D735B9">
        <w:rPr>
          <w:rFonts w:ascii="Arial" w:hAnsi="Arial" w:cs="Arial"/>
          <w:i/>
          <w:iCs/>
        </w:rPr>
        <w:t xml:space="preserve"> </w:t>
      </w:r>
      <w:r w:rsidR="0067367C" w:rsidRPr="0067367C">
        <w:rPr>
          <w:rFonts w:ascii="Arial" w:hAnsi="Arial" w:cs="Arial"/>
        </w:rPr>
        <w:t xml:space="preserve">the Constitutional Court pointed out that the concept of a fair trial is not limited to ensuring fairness to an </w:t>
      </w:r>
      <w:r w:rsidR="00D735B9" w:rsidRPr="0067367C">
        <w:rPr>
          <w:rFonts w:ascii="Arial" w:hAnsi="Arial" w:cs="Arial"/>
        </w:rPr>
        <w:t>accused but</w:t>
      </w:r>
      <w:r w:rsidR="0067367C" w:rsidRPr="0067367C">
        <w:rPr>
          <w:rFonts w:ascii="Arial" w:hAnsi="Arial" w:cs="Arial"/>
        </w:rPr>
        <w:t xml:space="preserve"> must also have regard for the interests of society and the administration of justice</w:t>
      </w:r>
      <w:r w:rsidR="00BF6949">
        <w:rPr>
          <w:rFonts w:ascii="Arial" w:hAnsi="Arial" w:cs="Arial"/>
        </w:rPr>
        <w:t>.</w:t>
      </w:r>
      <w:r w:rsidR="003B4333" w:rsidRPr="0067367C">
        <w:rPr>
          <w:rFonts w:ascii="Arial" w:hAnsi="Arial" w:cs="Arial"/>
        </w:rPr>
        <w:t xml:space="preserve"> </w:t>
      </w:r>
    </w:p>
    <w:p w14:paraId="02D87222" w14:textId="03313FDD" w:rsidR="00687E81" w:rsidRPr="00FA1968" w:rsidRDefault="008C795E" w:rsidP="008C795E">
      <w:pPr>
        <w:adjustRightInd w:val="0"/>
        <w:spacing w:after="0" w:line="360" w:lineRule="auto"/>
        <w:ind w:left="720" w:hanging="720"/>
        <w:contextualSpacing/>
        <w:jc w:val="both"/>
        <w:textAlignment w:val="baseline"/>
        <w:rPr>
          <w:rFonts w:ascii="Arial" w:hAnsi="Arial" w:cs="Arial"/>
        </w:rPr>
      </w:pPr>
      <w:r w:rsidRPr="00FA1968">
        <w:rPr>
          <w:rFonts w:ascii="Arial" w:hAnsi="Arial" w:cs="Arial"/>
        </w:rPr>
        <w:t>46.</w:t>
      </w:r>
      <w:r w:rsidRPr="00FA1968">
        <w:rPr>
          <w:rFonts w:ascii="Arial" w:hAnsi="Arial" w:cs="Arial"/>
        </w:rPr>
        <w:tab/>
      </w:r>
      <w:r w:rsidR="004D6715" w:rsidRPr="00FA1968">
        <w:rPr>
          <w:rFonts w:ascii="Arial" w:hAnsi="Arial" w:cs="Arial"/>
        </w:rPr>
        <w:t>In the result I would make an order setting aside both the convictions and the sentences imposed</w:t>
      </w:r>
      <w:r w:rsidR="003B4333" w:rsidRPr="00FA1968">
        <w:rPr>
          <w:rFonts w:ascii="Arial" w:hAnsi="Arial" w:cs="Arial"/>
        </w:rPr>
        <w:t>.</w:t>
      </w:r>
      <w:r w:rsidR="00FA1968" w:rsidRPr="00FA1968">
        <w:rPr>
          <w:rFonts w:ascii="Arial" w:hAnsi="Arial" w:cs="Arial"/>
        </w:rPr>
        <w:t xml:space="preserve"> I would also order that a copy of the judgment be sent to the Chief Magistrate for the district</w:t>
      </w:r>
      <w:r w:rsidR="00D319C8">
        <w:rPr>
          <w:rFonts w:ascii="Arial" w:hAnsi="Arial" w:cs="Arial"/>
        </w:rPr>
        <w:t xml:space="preserve"> of Hermanus</w:t>
      </w:r>
      <w:r w:rsidR="00FA1968" w:rsidRPr="00FA1968">
        <w:rPr>
          <w:rFonts w:ascii="Arial" w:hAnsi="Arial" w:cs="Arial"/>
        </w:rPr>
        <w:t>.</w:t>
      </w:r>
    </w:p>
    <w:p w14:paraId="059843D8" w14:textId="77777777" w:rsidR="00687E81" w:rsidRDefault="00687E81" w:rsidP="00687E81">
      <w:pPr>
        <w:adjustRightInd w:val="0"/>
        <w:spacing w:after="0" w:line="360" w:lineRule="auto"/>
        <w:contextualSpacing/>
        <w:jc w:val="both"/>
        <w:textAlignment w:val="baseline"/>
        <w:rPr>
          <w:rFonts w:ascii="Arial" w:hAnsi="Arial" w:cs="Arial"/>
        </w:rPr>
      </w:pPr>
    </w:p>
    <w:p w14:paraId="755F05FD" w14:textId="77777777" w:rsidR="00687E81" w:rsidRDefault="00687E81" w:rsidP="00687E81">
      <w:pPr>
        <w:adjustRightInd w:val="0"/>
        <w:spacing w:after="0" w:line="360" w:lineRule="auto"/>
        <w:contextualSpacing/>
        <w:jc w:val="both"/>
        <w:textAlignment w:val="baseline"/>
        <w:rPr>
          <w:rFonts w:ascii="Arial" w:hAnsi="Arial" w:cs="Arial"/>
        </w:rPr>
      </w:pPr>
    </w:p>
    <w:p w14:paraId="6EA11A0D" w14:textId="77777777" w:rsidR="00DC1184" w:rsidRDefault="00DC1184" w:rsidP="00687E81">
      <w:pPr>
        <w:adjustRightInd w:val="0"/>
        <w:spacing w:after="0" w:line="360" w:lineRule="auto"/>
        <w:contextualSpacing/>
        <w:jc w:val="both"/>
        <w:textAlignment w:val="baseline"/>
        <w:rPr>
          <w:rFonts w:ascii="Arial" w:hAnsi="Arial" w:cs="Arial"/>
        </w:rPr>
      </w:pPr>
    </w:p>
    <w:p w14:paraId="57488BBA" w14:textId="77777777" w:rsidR="00DC1184" w:rsidRDefault="00DC1184" w:rsidP="00687E81">
      <w:pPr>
        <w:adjustRightInd w:val="0"/>
        <w:spacing w:after="0" w:line="360" w:lineRule="auto"/>
        <w:contextualSpacing/>
        <w:jc w:val="both"/>
        <w:textAlignment w:val="baseline"/>
        <w:rPr>
          <w:rFonts w:ascii="Arial" w:hAnsi="Arial" w:cs="Arial"/>
        </w:rPr>
      </w:pPr>
    </w:p>
    <w:p w14:paraId="51C0B0FF" w14:textId="77777777" w:rsidR="00DC1184" w:rsidRDefault="00DC1184" w:rsidP="00687E81">
      <w:pPr>
        <w:adjustRightInd w:val="0"/>
        <w:spacing w:after="0" w:line="360" w:lineRule="auto"/>
        <w:contextualSpacing/>
        <w:jc w:val="both"/>
        <w:textAlignment w:val="baseline"/>
        <w:rPr>
          <w:rFonts w:ascii="Arial" w:hAnsi="Arial" w:cs="Arial"/>
        </w:rPr>
      </w:pPr>
    </w:p>
    <w:p w14:paraId="5182CE4C" w14:textId="77777777" w:rsidR="00DC1184" w:rsidRDefault="00DC1184" w:rsidP="00687E81">
      <w:pPr>
        <w:adjustRightInd w:val="0"/>
        <w:spacing w:after="0" w:line="360" w:lineRule="auto"/>
        <w:contextualSpacing/>
        <w:jc w:val="both"/>
        <w:textAlignment w:val="baseline"/>
        <w:rPr>
          <w:rFonts w:ascii="Arial" w:hAnsi="Arial" w:cs="Arial"/>
        </w:rPr>
      </w:pPr>
    </w:p>
    <w:p w14:paraId="6C2B0E41" w14:textId="77777777" w:rsidR="00DB35B6" w:rsidRDefault="00EB5323" w:rsidP="00687E81">
      <w:pPr>
        <w:adjustRightInd w:val="0"/>
        <w:spacing w:after="0" w:line="360" w:lineRule="auto"/>
        <w:contextualSpacing/>
        <w:jc w:val="both"/>
        <w:textAlignment w:val="baseline"/>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D76AE3B" w14:textId="45C33091" w:rsidR="00D735B9" w:rsidRDefault="00EB5323" w:rsidP="00687E81">
      <w:pPr>
        <w:adjustRightInd w:val="0"/>
        <w:spacing w:after="0" w:line="360" w:lineRule="auto"/>
        <w:contextualSpacing/>
        <w:jc w:val="both"/>
        <w:textAlignment w:val="baseline"/>
        <w:rPr>
          <w:rFonts w:ascii="Arial" w:hAnsi="Arial" w:cs="Arial"/>
        </w:rPr>
      </w:pPr>
      <w:r>
        <w:rPr>
          <w:rFonts w:ascii="Arial" w:hAnsi="Arial" w:cs="Arial"/>
        </w:rPr>
        <w:tab/>
      </w:r>
    </w:p>
    <w:p w14:paraId="7316D81F" w14:textId="77777777" w:rsidR="00687E81" w:rsidRDefault="00687E81" w:rsidP="00687E81">
      <w:pPr>
        <w:adjustRightInd w:val="0"/>
        <w:spacing w:after="0" w:line="360" w:lineRule="auto"/>
        <w:contextualSpacing/>
        <w:jc w:val="both"/>
        <w:textAlignment w:val="baseline"/>
        <w:rPr>
          <w:rFonts w:ascii="Arial" w:hAnsi="Arial" w:cs="Arial"/>
        </w:rPr>
      </w:pPr>
    </w:p>
    <w:p w14:paraId="717B8F41" w14:textId="77777777" w:rsidR="00687E81" w:rsidRDefault="00687E81" w:rsidP="00687E81">
      <w:pPr>
        <w:adjustRightInd w:val="0"/>
        <w:spacing w:after="0" w:line="360" w:lineRule="auto"/>
        <w:contextualSpacing/>
        <w:jc w:val="both"/>
        <w:textAlignment w:val="baseline"/>
        <w:rPr>
          <w:rFonts w:ascii="Arial" w:hAnsi="Arial" w:cs="Arial"/>
        </w:rPr>
      </w:pPr>
    </w:p>
    <w:p w14:paraId="52EB5816" w14:textId="423D0C96" w:rsidR="00687E81" w:rsidRPr="0013608B" w:rsidRDefault="00687E81" w:rsidP="00687E81">
      <w:pPr>
        <w:adjustRightInd w:val="0"/>
        <w:spacing w:after="0" w:line="360" w:lineRule="auto"/>
        <w:contextualSpacing/>
        <w:jc w:val="both"/>
        <w:textAlignment w:val="baseline"/>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3608B">
        <w:rPr>
          <w:rFonts w:ascii="Arial" w:hAnsi="Arial" w:cs="Arial"/>
          <w:b/>
          <w:bCs/>
        </w:rPr>
        <w:t>M SHER</w:t>
      </w:r>
    </w:p>
    <w:p w14:paraId="3F5965B8" w14:textId="10D7C208" w:rsidR="00687E81" w:rsidRDefault="00687E81" w:rsidP="00687E81">
      <w:pPr>
        <w:adjustRightInd w:val="0"/>
        <w:spacing w:after="0" w:line="360" w:lineRule="auto"/>
        <w:contextualSpacing/>
        <w:jc w:val="both"/>
        <w:textAlignment w:val="baseline"/>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3608B">
        <w:rPr>
          <w:rFonts w:ascii="Arial" w:hAnsi="Arial" w:cs="Arial"/>
          <w:b/>
          <w:bCs/>
        </w:rPr>
        <w:t>Judge of the High Court</w:t>
      </w:r>
    </w:p>
    <w:p w14:paraId="187AB52C" w14:textId="70C0C857" w:rsidR="00EB5323" w:rsidRPr="0013608B" w:rsidRDefault="00EB5323" w:rsidP="00687E81">
      <w:pPr>
        <w:adjustRightInd w:val="0"/>
        <w:spacing w:after="0" w:line="360" w:lineRule="auto"/>
        <w:contextualSpacing/>
        <w:jc w:val="both"/>
        <w:textAlignment w:val="baseline"/>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(Signature appended digitally)</w:t>
      </w:r>
    </w:p>
    <w:p w14:paraId="41CD9730" w14:textId="77777777" w:rsidR="00687E81" w:rsidRDefault="00687E81" w:rsidP="00687E81">
      <w:pPr>
        <w:adjustRightInd w:val="0"/>
        <w:spacing w:after="0" w:line="360" w:lineRule="auto"/>
        <w:contextualSpacing/>
        <w:jc w:val="both"/>
        <w:textAlignment w:val="baseline"/>
        <w:rPr>
          <w:rFonts w:ascii="Arial" w:hAnsi="Arial" w:cs="Arial"/>
        </w:rPr>
      </w:pPr>
    </w:p>
    <w:p w14:paraId="65D12AB7" w14:textId="77777777" w:rsidR="00687E81" w:rsidRDefault="00687E81" w:rsidP="00687E81">
      <w:pPr>
        <w:adjustRightInd w:val="0"/>
        <w:spacing w:after="0" w:line="360" w:lineRule="auto"/>
        <w:contextualSpacing/>
        <w:jc w:val="both"/>
        <w:textAlignment w:val="baseline"/>
        <w:rPr>
          <w:rFonts w:ascii="Arial" w:hAnsi="Arial" w:cs="Arial"/>
        </w:rPr>
      </w:pPr>
    </w:p>
    <w:p w14:paraId="2B372B77" w14:textId="77777777" w:rsidR="00687E81" w:rsidRDefault="00687E81" w:rsidP="00687E81">
      <w:pPr>
        <w:adjustRightInd w:val="0"/>
        <w:spacing w:after="0" w:line="360" w:lineRule="auto"/>
        <w:contextualSpacing/>
        <w:jc w:val="both"/>
        <w:textAlignment w:val="baseline"/>
        <w:rPr>
          <w:rFonts w:ascii="Arial" w:hAnsi="Arial" w:cs="Arial"/>
        </w:rPr>
      </w:pPr>
    </w:p>
    <w:p w14:paraId="6FD11B0E" w14:textId="77777777" w:rsidR="00DB35B6" w:rsidRDefault="00DB35B6" w:rsidP="00687E81">
      <w:pPr>
        <w:adjustRightInd w:val="0"/>
        <w:spacing w:after="0" w:line="360" w:lineRule="auto"/>
        <w:contextualSpacing/>
        <w:jc w:val="both"/>
        <w:textAlignment w:val="baseline"/>
        <w:rPr>
          <w:rFonts w:ascii="Arial" w:hAnsi="Arial" w:cs="Arial"/>
        </w:rPr>
      </w:pPr>
    </w:p>
    <w:p w14:paraId="60A820FD" w14:textId="77777777" w:rsidR="00DB35B6" w:rsidRDefault="00DB35B6" w:rsidP="00687E81">
      <w:pPr>
        <w:adjustRightInd w:val="0"/>
        <w:spacing w:after="0" w:line="360" w:lineRule="auto"/>
        <w:contextualSpacing/>
        <w:jc w:val="both"/>
        <w:textAlignment w:val="baseline"/>
        <w:rPr>
          <w:rFonts w:ascii="Arial" w:hAnsi="Arial" w:cs="Arial"/>
        </w:rPr>
      </w:pPr>
    </w:p>
    <w:p w14:paraId="6BFC2E17" w14:textId="77777777" w:rsidR="00DB35B6" w:rsidRDefault="00DB35B6" w:rsidP="00687E81">
      <w:pPr>
        <w:adjustRightInd w:val="0"/>
        <w:spacing w:after="0" w:line="360" w:lineRule="auto"/>
        <w:contextualSpacing/>
        <w:jc w:val="both"/>
        <w:textAlignment w:val="baseline"/>
        <w:rPr>
          <w:rFonts w:ascii="Arial" w:hAnsi="Arial" w:cs="Arial"/>
        </w:rPr>
      </w:pPr>
    </w:p>
    <w:p w14:paraId="2501811E" w14:textId="77777777" w:rsidR="00DB35B6" w:rsidRDefault="00DB35B6" w:rsidP="00687E81">
      <w:pPr>
        <w:adjustRightInd w:val="0"/>
        <w:spacing w:after="0" w:line="360" w:lineRule="auto"/>
        <w:contextualSpacing/>
        <w:jc w:val="both"/>
        <w:textAlignment w:val="baseline"/>
        <w:rPr>
          <w:rFonts w:ascii="Arial" w:hAnsi="Arial" w:cs="Arial"/>
        </w:rPr>
      </w:pPr>
    </w:p>
    <w:p w14:paraId="04A91D55" w14:textId="7E8B39E9" w:rsidR="00687E81" w:rsidRDefault="00687E81" w:rsidP="00687E81">
      <w:pPr>
        <w:adjustRightInd w:val="0"/>
        <w:spacing w:after="0" w:line="360" w:lineRule="auto"/>
        <w:contextualSpacing/>
        <w:jc w:val="both"/>
        <w:textAlignment w:val="baseline"/>
        <w:rPr>
          <w:rFonts w:ascii="Arial" w:hAnsi="Arial" w:cs="Arial"/>
        </w:rPr>
      </w:pPr>
      <w:r>
        <w:rPr>
          <w:rFonts w:ascii="Arial" w:hAnsi="Arial" w:cs="Arial"/>
        </w:rPr>
        <w:t>I agree, and it is so ordered.</w:t>
      </w:r>
    </w:p>
    <w:p w14:paraId="4348DE7E" w14:textId="77777777" w:rsidR="00687E81" w:rsidRDefault="00687E81" w:rsidP="00687E81">
      <w:pPr>
        <w:adjustRightInd w:val="0"/>
        <w:spacing w:after="0" w:line="360" w:lineRule="auto"/>
        <w:contextualSpacing/>
        <w:jc w:val="both"/>
        <w:textAlignment w:val="baseline"/>
        <w:rPr>
          <w:rFonts w:ascii="Arial" w:hAnsi="Arial" w:cs="Arial"/>
        </w:rPr>
      </w:pPr>
    </w:p>
    <w:p w14:paraId="6EFC6505" w14:textId="77777777" w:rsidR="00687E81" w:rsidRDefault="00687E81" w:rsidP="00687E81">
      <w:pPr>
        <w:adjustRightInd w:val="0"/>
        <w:spacing w:after="0" w:line="360" w:lineRule="auto"/>
        <w:contextualSpacing/>
        <w:jc w:val="both"/>
        <w:textAlignment w:val="baseline"/>
        <w:rPr>
          <w:rFonts w:ascii="Arial" w:hAnsi="Arial" w:cs="Arial"/>
        </w:rPr>
      </w:pPr>
    </w:p>
    <w:p w14:paraId="500935F9" w14:textId="77777777" w:rsidR="00687E81" w:rsidRDefault="00687E81" w:rsidP="00687E81">
      <w:pPr>
        <w:adjustRightInd w:val="0"/>
        <w:spacing w:after="0" w:line="360" w:lineRule="auto"/>
        <w:contextualSpacing/>
        <w:jc w:val="both"/>
        <w:textAlignment w:val="baseline"/>
        <w:rPr>
          <w:rFonts w:ascii="Arial" w:hAnsi="Arial" w:cs="Arial"/>
        </w:rPr>
      </w:pPr>
    </w:p>
    <w:p w14:paraId="1DCC2A11" w14:textId="77777777" w:rsidR="00687E81" w:rsidRDefault="00687E81" w:rsidP="00687E81">
      <w:pPr>
        <w:adjustRightInd w:val="0"/>
        <w:spacing w:after="0" w:line="360" w:lineRule="auto"/>
        <w:contextualSpacing/>
        <w:jc w:val="both"/>
        <w:textAlignment w:val="baseline"/>
        <w:rPr>
          <w:rFonts w:ascii="Arial" w:hAnsi="Arial" w:cs="Arial"/>
        </w:rPr>
      </w:pPr>
    </w:p>
    <w:p w14:paraId="2C3B741B" w14:textId="77777777" w:rsidR="00687E81" w:rsidRDefault="00687E81" w:rsidP="00687E81">
      <w:pPr>
        <w:adjustRightInd w:val="0"/>
        <w:spacing w:after="0" w:line="360" w:lineRule="auto"/>
        <w:contextualSpacing/>
        <w:jc w:val="both"/>
        <w:textAlignment w:val="baseline"/>
        <w:rPr>
          <w:rFonts w:ascii="Arial" w:hAnsi="Arial" w:cs="Arial"/>
        </w:rPr>
      </w:pPr>
    </w:p>
    <w:p w14:paraId="1A09BFFA" w14:textId="77777777" w:rsidR="00687E81" w:rsidRDefault="00687E81" w:rsidP="00687E81">
      <w:pPr>
        <w:adjustRightInd w:val="0"/>
        <w:spacing w:after="0" w:line="360" w:lineRule="auto"/>
        <w:contextualSpacing/>
        <w:jc w:val="both"/>
        <w:textAlignment w:val="baseline"/>
        <w:rPr>
          <w:rFonts w:ascii="Arial" w:hAnsi="Arial" w:cs="Arial"/>
        </w:rPr>
      </w:pPr>
    </w:p>
    <w:p w14:paraId="1376AB70" w14:textId="77777777" w:rsidR="00687E81" w:rsidRDefault="00687E81" w:rsidP="00687E81">
      <w:pPr>
        <w:adjustRightInd w:val="0"/>
        <w:spacing w:after="0" w:line="360" w:lineRule="auto"/>
        <w:contextualSpacing/>
        <w:jc w:val="both"/>
        <w:textAlignment w:val="baseline"/>
        <w:rPr>
          <w:rFonts w:ascii="Arial" w:hAnsi="Arial" w:cs="Arial"/>
        </w:rPr>
      </w:pPr>
    </w:p>
    <w:p w14:paraId="5234598C" w14:textId="004B6E6B" w:rsidR="00687E81" w:rsidRPr="0013608B" w:rsidRDefault="00687E81" w:rsidP="00687E81">
      <w:pPr>
        <w:adjustRightInd w:val="0"/>
        <w:spacing w:after="0" w:line="360" w:lineRule="auto"/>
        <w:contextualSpacing/>
        <w:jc w:val="both"/>
        <w:textAlignment w:val="baseline"/>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3608B">
        <w:rPr>
          <w:rFonts w:ascii="Arial" w:hAnsi="Arial" w:cs="Arial"/>
          <w:b/>
          <w:bCs/>
        </w:rPr>
        <w:t>R HENNEY</w:t>
      </w:r>
    </w:p>
    <w:p w14:paraId="341306D4" w14:textId="08E3CC38" w:rsidR="00687E81" w:rsidRPr="0013608B" w:rsidRDefault="00687E81" w:rsidP="00687E81">
      <w:pPr>
        <w:adjustRightInd w:val="0"/>
        <w:spacing w:after="0" w:line="360" w:lineRule="auto"/>
        <w:contextualSpacing/>
        <w:jc w:val="both"/>
        <w:textAlignment w:val="baseline"/>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3608B">
        <w:rPr>
          <w:rFonts w:ascii="Arial" w:hAnsi="Arial" w:cs="Arial"/>
          <w:b/>
          <w:bCs/>
        </w:rPr>
        <w:t>Judge of the High Court</w:t>
      </w:r>
    </w:p>
    <w:sectPr w:rsidR="00687E81" w:rsidRPr="0013608B" w:rsidSect="008E7592">
      <w:headerReference w:type="defaul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E99A7" w14:textId="77777777" w:rsidR="00040B26" w:rsidRDefault="00040B26" w:rsidP="008704A1">
      <w:pPr>
        <w:spacing w:after="0" w:line="240" w:lineRule="auto"/>
      </w:pPr>
      <w:r>
        <w:separator/>
      </w:r>
    </w:p>
  </w:endnote>
  <w:endnote w:type="continuationSeparator" w:id="0">
    <w:p w14:paraId="6CD4EDF8" w14:textId="77777777" w:rsidR="00040B26" w:rsidRDefault="00040B26" w:rsidP="0087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BA436" w14:textId="77777777" w:rsidR="00040B26" w:rsidRDefault="00040B26" w:rsidP="008704A1">
      <w:pPr>
        <w:spacing w:after="0" w:line="240" w:lineRule="auto"/>
      </w:pPr>
      <w:r>
        <w:separator/>
      </w:r>
    </w:p>
  </w:footnote>
  <w:footnote w:type="continuationSeparator" w:id="0">
    <w:p w14:paraId="5C531A1A" w14:textId="77777777" w:rsidR="00040B26" w:rsidRDefault="00040B26" w:rsidP="008704A1">
      <w:pPr>
        <w:spacing w:after="0" w:line="240" w:lineRule="auto"/>
      </w:pPr>
      <w:r>
        <w:continuationSeparator/>
      </w:r>
    </w:p>
  </w:footnote>
  <w:footnote w:id="1">
    <w:p w14:paraId="2FE241B0" w14:textId="1300DDE9" w:rsidR="008704A1" w:rsidRDefault="008704A1">
      <w:pPr>
        <w:pStyle w:val="FootnoteText"/>
      </w:pPr>
      <w:r>
        <w:rPr>
          <w:rStyle w:val="FootnoteReference"/>
        </w:rPr>
        <w:footnoteRef/>
      </w:r>
      <w:r>
        <w:t xml:space="preserve"> </w:t>
      </w:r>
      <w:r w:rsidR="00C9573B">
        <w:t>A</w:t>
      </w:r>
      <w:r>
        <w:t>ct 116 of 1998.</w:t>
      </w:r>
    </w:p>
  </w:footnote>
  <w:footnote w:id="2">
    <w:p w14:paraId="7DFC6E86" w14:textId="4A25B527" w:rsidR="00990F62" w:rsidRDefault="00990F62">
      <w:pPr>
        <w:pStyle w:val="FootnoteText"/>
      </w:pPr>
      <w:r>
        <w:rPr>
          <w:rStyle w:val="FootnoteReference"/>
        </w:rPr>
        <w:footnoteRef/>
      </w:r>
      <w:r>
        <w:t xml:space="preserve"> </w:t>
      </w:r>
      <w:r w:rsidR="00F313EC">
        <w:t>A</w:t>
      </w:r>
      <w:r>
        <w:t>ct 105 of 1997.</w:t>
      </w:r>
    </w:p>
  </w:footnote>
  <w:footnote w:id="3">
    <w:p w14:paraId="18FDA5CB" w14:textId="532EE67D" w:rsidR="00990F62" w:rsidRDefault="00990F62">
      <w:pPr>
        <w:pStyle w:val="FootnoteText"/>
      </w:pPr>
      <w:r>
        <w:rPr>
          <w:rStyle w:val="FootnoteReference"/>
        </w:rPr>
        <w:footnoteRef/>
      </w:r>
      <w:r>
        <w:t xml:space="preserve"> </w:t>
      </w:r>
      <w:r w:rsidR="00F313EC">
        <w:t>A</w:t>
      </w:r>
      <w:r>
        <w:t>ct 51 of 1977.</w:t>
      </w:r>
    </w:p>
  </w:footnote>
  <w:footnote w:id="4">
    <w:p w14:paraId="42258189" w14:textId="63BF42CB" w:rsidR="00016E5C" w:rsidRPr="00016E5C" w:rsidRDefault="00016E5C">
      <w:pPr>
        <w:pStyle w:val="FootnoteText"/>
        <w:rPr>
          <w:lang w:val="en-ZA"/>
        </w:rPr>
      </w:pPr>
      <w:r>
        <w:rPr>
          <w:rStyle w:val="FootnoteReference"/>
        </w:rPr>
        <w:footnoteRef/>
      </w:r>
      <w:r>
        <w:t xml:space="preserve"> Section</w:t>
      </w:r>
      <w:r>
        <w:rPr>
          <w:lang w:val="en-ZA"/>
        </w:rPr>
        <w:t xml:space="preserve"> 298 of the CPA similarly provides that in instances where a wrong sentence is passed ‘by mistake’ it may be amended. </w:t>
      </w:r>
    </w:p>
  </w:footnote>
  <w:footnote w:id="5">
    <w:p w14:paraId="4D279B9F" w14:textId="421C513C" w:rsidR="00016E5C" w:rsidRPr="00016E5C" w:rsidRDefault="00016E5C">
      <w:pPr>
        <w:pStyle w:val="FootnoteText"/>
        <w:rPr>
          <w:lang w:val="en-ZA"/>
        </w:rPr>
      </w:pPr>
      <w:r>
        <w:rPr>
          <w:rStyle w:val="FootnoteReference"/>
        </w:rPr>
        <w:footnoteRef/>
      </w:r>
      <w:r>
        <w:t xml:space="preserve"> </w:t>
      </w:r>
      <w:r w:rsidRPr="00016E5C">
        <w:rPr>
          <w:i/>
          <w:iCs/>
          <w:lang w:val="en-ZA"/>
        </w:rPr>
        <w:t>S v Wells</w:t>
      </w:r>
      <w:r>
        <w:rPr>
          <w:lang w:val="en-ZA"/>
        </w:rPr>
        <w:t xml:space="preserve"> [1990] 2 All SA 1(A) at 820E-F  </w:t>
      </w:r>
    </w:p>
  </w:footnote>
  <w:footnote w:id="6">
    <w:p w14:paraId="6AF4C967" w14:textId="2A7D2922" w:rsidR="001263F4" w:rsidRPr="001263F4" w:rsidRDefault="001263F4">
      <w:pPr>
        <w:pStyle w:val="FootnoteText"/>
        <w:rPr>
          <w:lang w:val="en-ZA"/>
        </w:rPr>
      </w:pPr>
      <w:r>
        <w:rPr>
          <w:rStyle w:val="FootnoteReference"/>
        </w:rPr>
        <w:footnoteRef/>
      </w:r>
      <w:r>
        <w:t xml:space="preserve"> </w:t>
      </w:r>
      <w:r w:rsidRPr="000C5902">
        <w:rPr>
          <w:i/>
          <w:iCs/>
          <w:lang w:val="en-ZA"/>
        </w:rPr>
        <w:t>Tuta v S</w:t>
      </w:r>
      <w:r>
        <w:rPr>
          <w:lang w:val="en-ZA"/>
        </w:rPr>
        <w:t xml:space="preserve"> 2024 (1) SACR (CC) para 123.</w:t>
      </w:r>
    </w:p>
  </w:footnote>
  <w:footnote w:id="7">
    <w:p w14:paraId="155BE24F" w14:textId="5EA74989" w:rsidR="000C5902" w:rsidRPr="000C5902" w:rsidRDefault="000C5902">
      <w:pPr>
        <w:pStyle w:val="FootnoteText"/>
        <w:rPr>
          <w:lang w:val="en-ZA"/>
        </w:rPr>
      </w:pPr>
      <w:r w:rsidRPr="000C5902">
        <w:rPr>
          <w:rStyle w:val="FootnoteReference"/>
          <w:i/>
          <w:iCs/>
        </w:rPr>
        <w:footnoteRef/>
      </w:r>
      <w:r w:rsidRPr="000C5902">
        <w:rPr>
          <w:i/>
          <w:iCs/>
        </w:rPr>
        <w:t xml:space="preserve"> </w:t>
      </w:r>
      <w:r w:rsidR="00BF6949">
        <w:t xml:space="preserve">Id </w:t>
      </w:r>
      <w:r w:rsidR="00BF6949">
        <w:rPr>
          <w:lang w:val="en-ZA"/>
        </w:rPr>
        <w:t>para</w:t>
      </w:r>
      <w:r w:rsidR="009D61E9">
        <w:rPr>
          <w:lang w:val="en-ZA"/>
        </w:rPr>
        <w:t xml:space="preserve"> 61.</w:t>
      </w:r>
    </w:p>
  </w:footnote>
  <w:footnote w:id="8">
    <w:p w14:paraId="7FFD35DA" w14:textId="77777777" w:rsidR="0067367C" w:rsidRPr="003F3649" w:rsidRDefault="0067367C" w:rsidP="0067367C">
      <w:pPr>
        <w:pStyle w:val="FootnoteText"/>
        <w:rPr>
          <w:lang w:val="en-ZA"/>
        </w:rPr>
      </w:pPr>
      <w:r>
        <w:rPr>
          <w:rStyle w:val="FootnoteReference"/>
        </w:rPr>
        <w:footnoteRef/>
      </w:r>
      <w:r>
        <w:t xml:space="preserve"> </w:t>
      </w:r>
      <w:proofErr w:type="spellStart"/>
      <w:r w:rsidRPr="003F3649">
        <w:rPr>
          <w:i/>
          <w:iCs/>
          <w:lang w:val="en-ZA"/>
        </w:rPr>
        <w:t>Thebus</w:t>
      </w:r>
      <w:proofErr w:type="spellEnd"/>
      <w:r w:rsidRPr="003F3649">
        <w:rPr>
          <w:i/>
          <w:iCs/>
          <w:lang w:val="en-ZA"/>
        </w:rPr>
        <w:t xml:space="preserve"> v S</w:t>
      </w:r>
      <w:r>
        <w:rPr>
          <w:lang w:val="en-ZA"/>
        </w:rPr>
        <w:t xml:space="preserve"> 2003 (6) SA 505 (CC) para 107.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797986"/>
      <w:docPartObj>
        <w:docPartGallery w:val="Page Numbers (Top of Page)"/>
        <w:docPartUnique/>
      </w:docPartObj>
    </w:sdtPr>
    <w:sdtEndPr/>
    <w:sdtContent>
      <w:p w14:paraId="406AED4F" w14:textId="40890C3A" w:rsidR="008E7592" w:rsidRDefault="008E7592">
        <w:pPr>
          <w:pStyle w:val="Header"/>
          <w:jc w:val="right"/>
        </w:pPr>
        <w:r>
          <w:fldChar w:fldCharType="begin"/>
        </w:r>
        <w:r>
          <w:instrText>PAGE   \* MERGEFORMAT</w:instrText>
        </w:r>
        <w:r>
          <w:fldChar w:fldCharType="separate"/>
        </w:r>
        <w:r w:rsidR="00087442">
          <w:rPr>
            <w:noProof/>
          </w:rPr>
          <w:t>2</w:t>
        </w:r>
        <w:r>
          <w:fldChar w:fldCharType="end"/>
        </w:r>
      </w:p>
    </w:sdtContent>
  </w:sdt>
  <w:p w14:paraId="5535E3C8" w14:textId="77777777" w:rsidR="008E7592" w:rsidRDefault="008E75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E3E50"/>
    <w:multiLevelType w:val="multilevel"/>
    <w:tmpl w:val="3B8A8D64"/>
    <w:lvl w:ilvl="0">
      <w:start w:val="1"/>
      <w:numFmt w:val="decimal"/>
      <w:lvlText w:val="%1."/>
      <w:lvlJc w:val="left"/>
      <w:pPr>
        <w:ind w:left="1080" w:hanging="720"/>
      </w:pPr>
      <w:rPr>
        <w:rFonts w:ascii="Arial" w:hAnsi="Arial" w:cs="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3C816A-15CB-42B8-B5E9-42B8A2BA21D6}"/>
    <w:docVar w:name="dgnword-drafile" w:val="C:\Users\MarkSher\AppData\Local\Temp\dra6432.tmp"/>
    <w:docVar w:name="dgnword-eventsink" w:val="575834928"/>
  </w:docVars>
  <w:rsids>
    <w:rsidRoot w:val="008C164C"/>
    <w:rsid w:val="00016E5C"/>
    <w:rsid w:val="00020A12"/>
    <w:rsid w:val="0003190F"/>
    <w:rsid w:val="0003480F"/>
    <w:rsid w:val="00035B92"/>
    <w:rsid w:val="00040B26"/>
    <w:rsid w:val="00047257"/>
    <w:rsid w:val="0005703B"/>
    <w:rsid w:val="0006611E"/>
    <w:rsid w:val="00070EC0"/>
    <w:rsid w:val="0007418B"/>
    <w:rsid w:val="00076F69"/>
    <w:rsid w:val="000834FA"/>
    <w:rsid w:val="00087442"/>
    <w:rsid w:val="000B2808"/>
    <w:rsid w:val="000B2848"/>
    <w:rsid w:val="000C5902"/>
    <w:rsid w:val="001129D7"/>
    <w:rsid w:val="001263F4"/>
    <w:rsid w:val="0013608B"/>
    <w:rsid w:val="00155797"/>
    <w:rsid w:val="001573DE"/>
    <w:rsid w:val="001A17D6"/>
    <w:rsid w:val="001C743B"/>
    <w:rsid w:val="001D2397"/>
    <w:rsid w:val="001D323E"/>
    <w:rsid w:val="001D3D37"/>
    <w:rsid w:val="00236DAC"/>
    <w:rsid w:val="0024079F"/>
    <w:rsid w:val="00246CDF"/>
    <w:rsid w:val="00261535"/>
    <w:rsid w:val="00272BC0"/>
    <w:rsid w:val="00277B4E"/>
    <w:rsid w:val="00294AF6"/>
    <w:rsid w:val="002A45A8"/>
    <w:rsid w:val="002B50E0"/>
    <w:rsid w:val="00342947"/>
    <w:rsid w:val="00346DD7"/>
    <w:rsid w:val="00360542"/>
    <w:rsid w:val="0036253F"/>
    <w:rsid w:val="00372591"/>
    <w:rsid w:val="00381344"/>
    <w:rsid w:val="003B4333"/>
    <w:rsid w:val="003D2893"/>
    <w:rsid w:val="003E09E5"/>
    <w:rsid w:val="003E2944"/>
    <w:rsid w:val="003F26CC"/>
    <w:rsid w:val="003F3649"/>
    <w:rsid w:val="004167CF"/>
    <w:rsid w:val="004232C0"/>
    <w:rsid w:val="00430E4B"/>
    <w:rsid w:val="004319B6"/>
    <w:rsid w:val="00460F49"/>
    <w:rsid w:val="00461D53"/>
    <w:rsid w:val="00462EFC"/>
    <w:rsid w:val="00497407"/>
    <w:rsid w:val="004A7FB3"/>
    <w:rsid w:val="004D6715"/>
    <w:rsid w:val="004E6B6B"/>
    <w:rsid w:val="004F738A"/>
    <w:rsid w:val="00500109"/>
    <w:rsid w:val="0052556D"/>
    <w:rsid w:val="00540871"/>
    <w:rsid w:val="00556224"/>
    <w:rsid w:val="0056241E"/>
    <w:rsid w:val="00580129"/>
    <w:rsid w:val="005847F1"/>
    <w:rsid w:val="005A6282"/>
    <w:rsid w:val="005B34A6"/>
    <w:rsid w:val="005E7060"/>
    <w:rsid w:val="00640C20"/>
    <w:rsid w:val="006554DA"/>
    <w:rsid w:val="00666EDA"/>
    <w:rsid w:val="006704D5"/>
    <w:rsid w:val="0067367C"/>
    <w:rsid w:val="00687E81"/>
    <w:rsid w:val="006A3B3C"/>
    <w:rsid w:val="00704C21"/>
    <w:rsid w:val="007072D6"/>
    <w:rsid w:val="00754891"/>
    <w:rsid w:val="00760CF7"/>
    <w:rsid w:val="007A301F"/>
    <w:rsid w:val="007C16F1"/>
    <w:rsid w:val="007D292B"/>
    <w:rsid w:val="007D299C"/>
    <w:rsid w:val="00842D7C"/>
    <w:rsid w:val="008704A1"/>
    <w:rsid w:val="00896793"/>
    <w:rsid w:val="008B1094"/>
    <w:rsid w:val="008B6CC7"/>
    <w:rsid w:val="008C164C"/>
    <w:rsid w:val="008C795E"/>
    <w:rsid w:val="008E2AB3"/>
    <w:rsid w:val="008E7592"/>
    <w:rsid w:val="008E7898"/>
    <w:rsid w:val="008F3DD3"/>
    <w:rsid w:val="008F6C94"/>
    <w:rsid w:val="00900B9B"/>
    <w:rsid w:val="00906A9B"/>
    <w:rsid w:val="00940094"/>
    <w:rsid w:val="00963C7F"/>
    <w:rsid w:val="00990F62"/>
    <w:rsid w:val="009A2CE8"/>
    <w:rsid w:val="009C0663"/>
    <w:rsid w:val="009D0363"/>
    <w:rsid w:val="009D0561"/>
    <w:rsid w:val="009D61E9"/>
    <w:rsid w:val="009E1B92"/>
    <w:rsid w:val="009E3843"/>
    <w:rsid w:val="009E67B3"/>
    <w:rsid w:val="009F08BC"/>
    <w:rsid w:val="00A35E64"/>
    <w:rsid w:val="00A36D9B"/>
    <w:rsid w:val="00A4036C"/>
    <w:rsid w:val="00A55F65"/>
    <w:rsid w:val="00A8790F"/>
    <w:rsid w:val="00A9481C"/>
    <w:rsid w:val="00AA16C1"/>
    <w:rsid w:val="00AB3FAE"/>
    <w:rsid w:val="00AF4867"/>
    <w:rsid w:val="00B0469A"/>
    <w:rsid w:val="00B2637F"/>
    <w:rsid w:val="00B26B0C"/>
    <w:rsid w:val="00B3458B"/>
    <w:rsid w:val="00B4033A"/>
    <w:rsid w:val="00B417E0"/>
    <w:rsid w:val="00B574A5"/>
    <w:rsid w:val="00B62109"/>
    <w:rsid w:val="00B63702"/>
    <w:rsid w:val="00BA0989"/>
    <w:rsid w:val="00BB06E3"/>
    <w:rsid w:val="00BB3033"/>
    <w:rsid w:val="00BC6D38"/>
    <w:rsid w:val="00BC79C3"/>
    <w:rsid w:val="00BE535A"/>
    <w:rsid w:val="00BF1145"/>
    <w:rsid w:val="00BF6949"/>
    <w:rsid w:val="00BF7F7B"/>
    <w:rsid w:val="00C02B6C"/>
    <w:rsid w:val="00C7009F"/>
    <w:rsid w:val="00C71976"/>
    <w:rsid w:val="00C9573B"/>
    <w:rsid w:val="00CA47BC"/>
    <w:rsid w:val="00CE1E01"/>
    <w:rsid w:val="00CF6A4E"/>
    <w:rsid w:val="00D05855"/>
    <w:rsid w:val="00D319C8"/>
    <w:rsid w:val="00D5016F"/>
    <w:rsid w:val="00D735B9"/>
    <w:rsid w:val="00D83774"/>
    <w:rsid w:val="00DB35B6"/>
    <w:rsid w:val="00DC1184"/>
    <w:rsid w:val="00DC47F3"/>
    <w:rsid w:val="00DD0B6D"/>
    <w:rsid w:val="00DF045E"/>
    <w:rsid w:val="00E2283C"/>
    <w:rsid w:val="00E45612"/>
    <w:rsid w:val="00E467BC"/>
    <w:rsid w:val="00E47726"/>
    <w:rsid w:val="00E60A5C"/>
    <w:rsid w:val="00E85CED"/>
    <w:rsid w:val="00E968FA"/>
    <w:rsid w:val="00EB19EC"/>
    <w:rsid w:val="00EB30C4"/>
    <w:rsid w:val="00EB5323"/>
    <w:rsid w:val="00EB566F"/>
    <w:rsid w:val="00EC06DC"/>
    <w:rsid w:val="00ED06FE"/>
    <w:rsid w:val="00ED4363"/>
    <w:rsid w:val="00F0177C"/>
    <w:rsid w:val="00F022AE"/>
    <w:rsid w:val="00F313EC"/>
    <w:rsid w:val="00F339C4"/>
    <w:rsid w:val="00F612B6"/>
    <w:rsid w:val="00FA1968"/>
    <w:rsid w:val="00FB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34A6"/>
  <w15:chartTrackingRefBased/>
  <w15:docId w15:val="{AE0809B9-51E3-4951-891D-7D87DF9C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16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C16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164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164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C164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164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164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164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164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64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164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164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164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164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164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164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164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164C"/>
    <w:rPr>
      <w:rFonts w:eastAsiaTheme="majorEastAsia" w:cstheme="majorBidi"/>
      <w:color w:val="272727" w:themeColor="text1" w:themeTint="D8"/>
    </w:rPr>
  </w:style>
  <w:style w:type="paragraph" w:styleId="Title">
    <w:name w:val="Title"/>
    <w:basedOn w:val="Normal"/>
    <w:next w:val="Normal"/>
    <w:link w:val="TitleChar"/>
    <w:uiPriority w:val="10"/>
    <w:qFormat/>
    <w:rsid w:val="008C16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64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164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164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164C"/>
    <w:pPr>
      <w:spacing w:before="160"/>
      <w:jc w:val="center"/>
    </w:pPr>
    <w:rPr>
      <w:i/>
      <w:iCs/>
      <w:color w:val="404040" w:themeColor="text1" w:themeTint="BF"/>
    </w:rPr>
  </w:style>
  <w:style w:type="character" w:customStyle="1" w:styleId="QuoteChar">
    <w:name w:val="Quote Char"/>
    <w:basedOn w:val="DefaultParagraphFont"/>
    <w:link w:val="Quote"/>
    <w:uiPriority w:val="29"/>
    <w:rsid w:val="008C164C"/>
    <w:rPr>
      <w:i/>
      <w:iCs/>
      <w:color w:val="404040" w:themeColor="text1" w:themeTint="BF"/>
    </w:rPr>
  </w:style>
  <w:style w:type="paragraph" w:styleId="ListParagraph">
    <w:name w:val="List Paragraph"/>
    <w:basedOn w:val="Normal"/>
    <w:uiPriority w:val="34"/>
    <w:qFormat/>
    <w:rsid w:val="008C164C"/>
    <w:pPr>
      <w:ind w:left="720"/>
      <w:contextualSpacing/>
    </w:pPr>
  </w:style>
  <w:style w:type="character" w:styleId="IntenseEmphasis">
    <w:name w:val="Intense Emphasis"/>
    <w:basedOn w:val="DefaultParagraphFont"/>
    <w:uiPriority w:val="21"/>
    <w:qFormat/>
    <w:rsid w:val="008C164C"/>
    <w:rPr>
      <w:i/>
      <w:iCs/>
      <w:color w:val="0F4761" w:themeColor="accent1" w:themeShade="BF"/>
    </w:rPr>
  </w:style>
  <w:style w:type="paragraph" w:styleId="IntenseQuote">
    <w:name w:val="Intense Quote"/>
    <w:basedOn w:val="Normal"/>
    <w:next w:val="Normal"/>
    <w:link w:val="IntenseQuoteChar"/>
    <w:uiPriority w:val="30"/>
    <w:qFormat/>
    <w:rsid w:val="008C16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164C"/>
    <w:rPr>
      <w:i/>
      <w:iCs/>
      <w:color w:val="0F4761" w:themeColor="accent1" w:themeShade="BF"/>
    </w:rPr>
  </w:style>
  <w:style w:type="character" w:styleId="IntenseReference">
    <w:name w:val="Intense Reference"/>
    <w:basedOn w:val="DefaultParagraphFont"/>
    <w:uiPriority w:val="32"/>
    <w:qFormat/>
    <w:rsid w:val="008C164C"/>
    <w:rPr>
      <w:b/>
      <w:bCs/>
      <w:smallCaps/>
      <w:color w:val="0F4761" w:themeColor="accent1" w:themeShade="BF"/>
      <w:spacing w:val="5"/>
    </w:rPr>
  </w:style>
  <w:style w:type="paragraph" w:styleId="FootnoteText">
    <w:name w:val="footnote text"/>
    <w:basedOn w:val="Normal"/>
    <w:link w:val="FootnoteTextChar"/>
    <w:uiPriority w:val="99"/>
    <w:semiHidden/>
    <w:unhideWhenUsed/>
    <w:rsid w:val="008704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04A1"/>
    <w:rPr>
      <w:sz w:val="20"/>
      <w:szCs w:val="20"/>
    </w:rPr>
  </w:style>
  <w:style w:type="character" w:styleId="FootnoteReference">
    <w:name w:val="footnote reference"/>
    <w:basedOn w:val="DefaultParagraphFont"/>
    <w:uiPriority w:val="99"/>
    <w:semiHidden/>
    <w:unhideWhenUsed/>
    <w:rsid w:val="008704A1"/>
    <w:rPr>
      <w:vertAlign w:val="superscript"/>
    </w:rPr>
  </w:style>
  <w:style w:type="paragraph" w:styleId="Header">
    <w:name w:val="header"/>
    <w:basedOn w:val="Normal"/>
    <w:link w:val="HeaderChar"/>
    <w:uiPriority w:val="99"/>
    <w:unhideWhenUsed/>
    <w:rsid w:val="008E7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592"/>
  </w:style>
  <w:style w:type="paragraph" w:styleId="Footer">
    <w:name w:val="footer"/>
    <w:basedOn w:val="Normal"/>
    <w:link w:val="FooterChar"/>
    <w:uiPriority w:val="99"/>
    <w:unhideWhenUsed/>
    <w:rsid w:val="008E7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4864</Words>
  <Characters>27725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Sher</dc:creator>
  <cp:keywords/>
  <dc:description/>
  <cp:lastModifiedBy>Mary Bruce</cp:lastModifiedBy>
  <cp:revision>8</cp:revision>
  <dcterms:created xsi:type="dcterms:W3CDTF">2024-06-19T12:23:00Z</dcterms:created>
  <dcterms:modified xsi:type="dcterms:W3CDTF">2024-06-20T11:41:00Z</dcterms:modified>
</cp:coreProperties>
</file>