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Caledon River Properties (Pty) Ltd t/a Magwa Constrution Profteam CC v Special Investigating Unit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https://lawlibrary.org.za/za/judgment/special-tribunal-south-africa/2022/40</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17 of 2020) [2022] ZAST 40</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7 September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Appeal, application, high court, tribunal, right to appeal, automatic, unqualified, decisions, rulings, orders, powers</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for leave to appeal dismissed with costs, and costs shall be costs in the appeal </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Court proceedings </w:t>
            </w:r>
            <w:r w:rsidDel="00000000" w:rsidR="00000000" w:rsidRPr="00000000">
              <w:rPr>
                <w:rFonts w:ascii="Gill Sans" w:cs="Gill Sans" w:eastAsia="Gill Sans" w:hAnsi="Gill Sans"/>
                <w:rtl w:val="0"/>
              </w:rPr>
              <w:t xml:space="preserve">– appeal against Tribunal’s decisions – litigants have an automatic, unqualified right to appeal and is not required to apply to the Tribunal for leave to appeal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8(7) of the Special Investigating Units and Special Tribunals Act (</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SIU Act</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16 and 17 of the Superior Courts Act</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Investigating Unit and Another v Msagala and Others (GP03 of 2020)</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Ledla Structural Development (Pty) Ltd and Others v Special Investigating Unit (GP07 2019) [2021] ZAST 32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Investigating Unit v Fikile Mpofana (Pty) Ltd and Others (GP13/2021) [2022] ZAST 4</w:t>
            </w:r>
          </w:p>
        </w:tc>
      </w:tr>
      <w:tr>
        <w:trPr>
          <w:cantSplit w:val="0"/>
          <w:tblHeader w:val="0"/>
        </w:trPr>
        <w:tc>
          <w:tcPr/>
          <w:p w:rsidR="00000000" w:rsidDel="00000000" w:rsidP="00000000" w:rsidRDefault="00000000" w:rsidRPr="00000000" w14:paraId="0000001B">
            <w:pPr>
              <w:tabs>
                <w:tab w:val="right" w:leader="none"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C">
            <w:pPr>
              <w:tabs>
                <w:tab w:val="right" w:leader="none"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defendants applied for leave to appeal to the Full Court of the Gauteng Division against the Tribunal’s earlier judgement. The Tribunal raised the following questions </w:t>
            </w:r>
            <w:r w:rsidDel="00000000" w:rsidR="00000000" w:rsidRPr="00000000">
              <w:rPr>
                <w:rFonts w:ascii="Gill Sans" w:cs="Gill Sans" w:eastAsia="Gill Sans" w:hAnsi="Gill Sans"/>
                <w:i w:val="1"/>
                <w:rtl w:val="0"/>
              </w:rPr>
              <w:t xml:space="preserve">mero motu</w:t>
            </w:r>
            <w:r w:rsidDel="00000000" w:rsidR="00000000" w:rsidRPr="00000000">
              <w:rPr>
                <w:rFonts w:ascii="Gill Sans" w:cs="Gill Sans" w:eastAsia="Gill Sans" w:hAnsi="Gill Sans"/>
                <w:rtl w:val="0"/>
              </w:rPr>
              <w:t xml:space="preserve">, namely: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whether section 8(7) of the SIU Act and the regulations published in terms thereof provided for the right to appeal against the Tribunals’ decision on leave being granted by the Tribunal; and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whether sections 16 and 17 of the Superior Courts Act were applicable to determine applications for leave to appeal in the Tribunal. </w:t>
            </w:r>
          </w:p>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second defendant argued that section 16 of the Superior Courts Act qualified a litigant’s right to appeal against the Tribunal’s decision, and therefore required a party to obtain the Tribunal’s leave to appeal against its decision.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2">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asked to determine whether section 8(7) of the SIU Act provided parties with an automatic, unqualified right to appeal against the Tribunal’s decisions to the Full Court of a Division of the High Court with jurisdiction, or whether it required the Tribunal’s leave to appeal such decision as per the Superior Courts Act. </w:t>
            </w:r>
          </w:p>
        </w:tc>
      </w:tr>
      <w:tr>
        <w:trPr>
          <w:cantSplit w:val="0"/>
          <w:tblHeader w:val="0"/>
        </w:trPr>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4">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the first and second defendants’ application for leave to appeal before the Tribunal was not proper and dismissed the application, and the costs of the application were ordered to the costs in the appeal.  </w:t>
            </w:r>
          </w:p>
        </w:tc>
      </w:tr>
      <w:tr>
        <w:trPr>
          <w:cantSplit w:val="0"/>
          <w:tblHeader w:val="0"/>
        </w:trPr>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held that the wording of section 8(7) of the SIU Act was clear and expressly provided a litigant with the right to appeal against a Tribunal’s ruling, decision or order to a Division of the High Court with jurisdiction. It was an automatic right and unqualified. The Tribunal derived its powers from the SIU Act and not the Superior Courts Act, and therefore section 16 of the Superior Courts Act could not be used to qualify a litigant’s right to appeal against the Tribunal’s decision, orders and rulings. </w:t>
            </w:r>
          </w:p>
        </w:tc>
      </w:tr>
      <w:tr>
        <w:trPr>
          <w:cantSplit w:val="0"/>
          <w:tblHeader w:val="0"/>
        </w:trPr>
        <w:tc>
          <w:tcPr/>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8">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7 September 2022</w:t>
            </w:r>
          </w:p>
        </w:tc>
      </w:tr>
    </w:tbl>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2">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5">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7">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fricanli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ZM0rdQZsa28yt6Bi5dnNAjwzDg==">AMUW2mXzMQc3JjX2OrtrWe+8Gl07lOwqlSa60reSJypuhFN9UZLSX3l4Efg8hgK9VayclG4YdsnzhY5l5NNp0FNuC50MBiTWmL83piB56eFDmysAp7osKIMoLDvmX75b1vWK1bKTqH92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2022-09-07T18:35:00Z</dcterms:created>
  <dc:creator>Suzanne Nyehita</dc:creator>
</cp:coreProperties>
</file>