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5BB8" w14:textId="686D0287" w:rsidR="007911A9" w:rsidRDefault="00457358" w:rsidP="00916B30">
      <w:pPr>
        <w:jc w:val="both"/>
        <w:rPr>
          <w:b/>
          <w:bCs/>
          <w:sz w:val="28"/>
          <w:szCs w:val="28"/>
        </w:rPr>
      </w:pPr>
      <w:proofErr w:type="spellStart"/>
      <w:r>
        <w:rPr>
          <w:b/>
          <w:bCs/>
          <w:sz w:val="28"/>
          <w:szCs w:val="28"/>
        </w:rPr>
        <w:t>Viveiros</w:t>
      </w:r>
      <w:proofErr w:type="spellEnd"/>
      <w:r>
        <w:rPr>
          <w:b/>
          <w:bCs/>
          <w:sz w:val="28"/>
          <w:szCs w:val="28"/>
        </w:rPr>
        <w:t xml:space="preserve"> v S (75/98) [2000] ZASCA 95; [2000]2 All SA 86 (A) (9 March 2000)</w:t>
      </w:r>
    </w:p>
    <w:p w14:paraId="6F0426D4" w14:textId="77777777" w:rsidR="000B6FD4" w:rsidRPr="000B6FD4" w:rsidRDefault="000B6FD4" w:rsidP="00916B30">
      <w:pPr>
        <w:jc w:val="both"/>
        <w:rPr>
          <w:b/>
          <w:bCs/>
          <w:sz w:val="28"/>
          <w:szCs w:val="28"/>
        </w:rPr>
      </w:pPr>
    </w:p>
    <w:tbl>
      <w:tblPr>
        <w:tblStyle w:val="TableGrid"/>
        <w:tblW w:w="0" w:type="auto"/>
        <w:tblInd w:w="108" w:type="dxa"/>
        <w:tblLook w:val="04A0" w:firstRow="1" w:lastRow="0" w:firstColumn="1" w:lastColumn="0" w:noHBand="0" w:noVBand="1"/>
      </w:tblPr>
      <w:tblGrid>
        <w:gridCol w:w="4432"/>
        <w:gridCol w:w="4476"/>
      </w:tblGrid>
      <w:tr w:rsidR="000B6FD4" w:rsidRPr="00D525D0" w14:paraId="49D17FF9" w14:textId="77777777" w:rsidTr="00F21104">
        <w:tc>
          <w:tcPr>
            <w:tcW w:w="8908" w:type="dxa"/>
            <w:gridSpan w:val="2"/>
            <w:shd w:val="clear" w:color="auto" w:fill="ACB9CA" w:themeFill="text2" w:themeFillTint="66"/>
          </w:tcPr>
          <w:p w14:paraId="67B94679" w14:textId="77777777" w:rsidR="000B6FD4" w:rsidRPr="00D525D0" w:rsidRDefault="000B6FD4" w:rsidP="00F21104">
            <w:pPr>
              <w:spacing w:line="360" w:lineRule="auto"/>
              <w:jc w:val="center"/>
              <w:rPr>
                <w:rFonts w:cs="Tunga"/>
                <w:b/>
                <w:sz w:val="24"/>
                <w:szCs w:val="24"/>
              </w:rPr>
            </w:pPr>
            <w:r w:rsidRPr="00D525D0">
              <w:rPr>
                <w:rFonts w:cs="Tunga"/>
                <w:b/>
                <w:sz w:val="24"/>
                <w:szCs w:val="24"/>
              </w:rPr>
              <w:t>KEY CONCEPTS</w:t>
            </w:r>
          </w:p>
        </w:tc>
      </w:tr>
      <w:tr w:rsidR="000B6FD4" w:rsidRPr="00D525D0" w14:paraId="754C689A" w14:textId="77777777" w:rsidTr="00F21104">
        <w:tc>
          <w:tcPr>
            <w:tcW w:w="4432" w:type="dxa"/>
          </w:tcPr>
          <w:p w14:paraId="05276281" w14:textId="045EB646" w:rsidR="000B6FD4" w:rsidRPr="00D525D0" w:rsidRDefault="00146AA5" w:rsidP="00F21104">
            <w:pPr>
              <w:jc w:val="both"/>
              <w:rPr>
                <w:rFonts w:cs="Tunga"/>
                <w:sz w:val="24"/>
                <w:szCs w:val="24"/>
              </w:rPr>
            </w:pPr>
            <w:r>
              <w:rPr>
                <w:rFonts w:cs="Tunga"/>
                <w:sz w:val="24"/>
                <w:szCs w:val="24"/>
              </w:rPr>
              <w:t>Cautionary Rule</w:t>
            </w:r>
          </w:p>
        </w:tc>
        <w:tc>
          <w:tcPr>
            <w:tcW w:w="4476" w:type="dxa"/>
          </w:tcPr>
          <w:p w14:paraId="52FAA9AE" w14:textId="49807A9B" w:rsidR="000B6FD4" w:rsidRPr="00D525D0" w:rsidRDefault="008942B9" w:rsidP="00F21104">
            <w:pPr>
              <w:spacing w:line="360" w:lineRule="auto"/>
              <w:jc w:val="both"/>
              <w:rPr>
                <w:rFonts w:cs="Tunga"/>
                <w:sz w:val="24"/>
                <w:szCs w:val="24"/>
              </w:rPr>
            </w:pPr>
            <w:r>
              <w:rPr>
                <w:rFonts w:cs="Tunga"/>
                <w:sz w:val="24"/>
                <w:szCs w:val="24"/>
              </w:rPr>
              <w:t>Onus of Proof</w:t>
            </w:r>
          </w:p>
        </w:tc>
      </w:tr>
      <w:tr w:rsidR="0090037C" w:rsidRPr="00D525D0" w14:paraId="5E392AC2" w14:textId="77777777" w:rsidTr="00CB31E2">
        <w:tc>
          <w:tcPr>
            <w:tcW w:w="8908" w:type="dxa"/>
            <w:gridSpan w:val="2"/>
          </w:tcPr>
          <w:p w14:paraId="68D2133E" w14:textId="6F85F04C" w:rsidR="0090037C" w:rsidRPr="00D525D0" w:rsidRDefault="0090037C" w:rsidP="00F21104">
            <w:pPr>
              <w:spacing w:line="360" w:lineRule="auto"/>
              <w:jc w:val="both"/>
              <w:rPr>
                <w:rFonts w:cs="Tunga"/>
                <w:sz w:val="24"/>
                <w:szCs w:val="24"/>
              </w:rPr>
            </w:pPr>
            <w:r>
              <w:rPr>
                <w:rFonts w:cs="Tunga"/>
                <w:sz w:val="24"/>
                <w:szCs w:val="24"/>
              </w:rPr>
              <w:t>Contradictions and inconsistencies in evidence</w:t>
            </w:r>
          </w:p>
        </w:tc>
      </w:tr>
    </w:tbl>
    <w:p w14:paraId="424C9C9D" w14:textId="77777777" w:rsidR="000B6FD4" w:rsidRPr="000B6FD4" w:rsidRDefault="000B6FD4" w:rsidP="00916B30">
      <w:pPr>
        <w:jc w:val="both"/>
        <w:rPr>
          <w:b/>
          <w:bCs/>
          <w:sz w:val="24"/>
          <w:szCs w:val="24"/>
        </w:rPr>
      </w:pPr>
    </w:p>
    <w:p w14:paraId="707E4324" w14:textId="6DB1C3C3" w:rsidR="009F749C" w:rsidRPr="009F749C" w:rsidRDefault="00146AA5" w:rsidP="0020525F">
      <w:pPr>
        <w:jc w:val="both"/>
        <w:rPr>
          <w:sz w:val="24"/>
          <w:szCs w:val="24"/>
        </w:rPr>
      </w:pPr>
      <w:r w:rsidRPr="00146AA5">
        <w:rPr>
          <w:b/>
          <w:bCs/>
          <w:sz w:val="24"/>
          <w:szCs w:val="24"/>
        </w:rPr>
        <w:t>BACKGROUND</w:t>
      </w:r>
      <w:r>
        <w:rPr>
          <w:sz w:val="24"/>
          <w:szCs w:val="24"/>
        </w:rPr>
        <w:t xml:space="preserve">: </w:t>
      </w:r>
      <w:r w:rsidR="009F749C" w:rsidRPr="009F749C">
        <w:rPr>
          <w:sz w:val="24"/>
          <w:szCs w:val="24"/>
        </w:rPr>
        <w:t xml:space="preserve">The appellant was formerly the principal of </w:t>
      </w:r>
      <w:r w:rsidR="00734BC5">
        <w:rPr>
          <w:sz w:val="24"/>
          <w:szCs w:val="24"/>
        </w:rPr>
        <w:t xml:space="preserve">a home on the Cape Flats for </w:t>
      </w:r>
      <w:r w:rsidR="009F749C" w:rsidRPr="009F749C">
        <w:rPr>
          <w:sz w:val="24"/>
          <w:szCs w:val="24"/>
        </w:rPr>
        <w:t>homeless,</w:t>
      </w:r>
      <w:r w:rsidR="00734BC5">
        <w:rPr>
          <w:sz w:val="24"/>
          <w:szCs w:val="24"/>
        </w:rPr>
        <w:t xml:space="preserve"> </w:t>
      </w:r>
      <w:r w:rsidR="009F749C" w:rsidRPr="009F749C">
        <w:rPr>
          <w:sz w:val="24"/>
          <w:szCs w:val="24"/>
        </w:rPr>
        <w:t>abandoned or abused children. He was charged in the Regional Magistrate’s Court,</w:t>
      </w:r>
      <w:r w:rsidR="0020525F">
        <w:rPr>
          <w:sz w:val="24"/>
          <w:szCs w:val="24"/>
        </w:rPr>
        <w:t xml:space="preserve"> with </w:t>
      </w:r>
      <w:r w:rsidR="009F749C" w:rsidRPr="009F749C">
        <w:rPr>
          <w:sz w:val="24"/>
          <w:szCs w:val="24"/>
        </w:rPr>
        <w:t xml:space="preserve">six counts of indecent assault and one of sodomy. </w:t>
      </w:r>
      <w:r w:rsidR="0020525F">
        <w:rPr>
          <w:sz w:val="24"/>
          <w:szCs w:val="24"/>
        </w:rPr>
        <w:t xml:space="preserve"> The complainants were all minors at the time of the offences, some </w:t>
      </w:r>
      <w:r w:rsidR="009F749C" w:rsidRPr="009F749C">
        <w:rPr>
          <w:sz w:val="24"/>
          <w:szCs w:val="24"/>
        </w:rPr>
        <w:t>very</w:t>
      </w:r>
      <w:r w:rsidR="0020525F">
        <w:rPr>
          <w:sz w:val="24"/>
          <w:szCs w:val="24"/>
        </w:rPr>
        <w:t xml:space="preserve"> young while others at the age of puberty, and they were all cared for at the home.   The accused was convicted on 4 counts of indecent assault and one of sodomy.  He appealed to the High Court and the sodomy charge was set aside, but the others confirmed.  In this matter he appealed against the 4 remaining convictions of indecent assault.</w:t>
      </w:r>
    </w:p>
    <w:p w14:paraId="6F54824A" w14:textId="452C4878" w:rsidR="00146AA5" w:rsidRDefault="00146AA5" w:rsidP="009F749C">
      <w:pPr>
        <w:jc w:val="both"/>
        <w:rPr>
          <w:sz w:val="24"/>
          <w:szCs w:val="24"/>
        </w:rPr>
      </w:pPr>
      <w:r w:rsidRPr="00146AA5">
        <w:rPr>
          <w:b/>
          <w:bCs/>
          <w:sz w:val="24"/>
          <w:szCs w:val="24"/>
        </w:rPr>
        <w:t>DISCUSSION</w:t>
      </w:r>
      <w:r>
        <w:rPr>
          <w:sz w:val="24"/>
          <w:szCs w:val="24"/>
        </w:rPr>
        <w:t>: The court reminded itself that the evidence of a child</w:t>
      </w:r>
      <w:r w:rsidR="00DF62D5">
        <w:rPr>
          <w:sz w:val="24"/>
          <w:szCs w:val="24"/>
        </w:rPr>
        <w:t xml:space="preserve"> needed to be treated with caution and that the evidence in a particular case involving sexual misconduct may call for a cautionary approach. The present case was plainly one which required caution.</w:t>
      </w:r>
    </w:p>
    <w:p w14:paraId="4EE50C31" w14:textId="73558301" w:rsidR="00B96938" w:rsidRDefault="00B96938" w:rsidP="00B96938">
      <w:pPr>
        <w:spacing w:after="0"/>
        <w:jc w:val="both"/>
        <w:rPr>
          <w:sz w:val="24"/>
          <w:szCs w:val="24"/>
        </w:rPr>
      </w:pPr>
      <w:r w:rsidRPr="00B96938">
        <w:rPr>
          <w:b/>
          <w:bCs/>
          <w:sz w:val="24"/>
          <w:szCs w:val="24"/>
        </w:rPr>
        <w:t>Onus of proof</w:t>
      </w:r>
    </w:p>
    <w:p w14:paraId="328FC1B0" w14:textId="76D17707" w:rsidR="00B96938" w:rsidRDefault="004850C0" w:rsidP="00B96938">
      <w:pPr>
        <w:spacing w:after="0"/>
        <w:jc w:val="both"/>
        <w:rPr>
          <w:sz w:val="24"/>
          <w:szCs w:val="24"/>
        </w:rPr>
      </w:pPr>
      <w:r>
        <w:rPr>
          <w:sz w:val="24"/>
          <w:szCs w:val="24"/>
        </w:rPr>
        <w:t>The SCA noted the following:</w:t>
      </w:r>
    </w:p>
    <w:p w14:paraId="6CE07054" w14:textId="5FACB6A7" w:rsidR="009F749C" w:rsidRDefault="004A3E1F" w:rsidP="009F749C">
      <w:pPr>
        <w:pStyle w:val="ListParagraph"/>
        <w:numPr>
          <w:ilvl w:val="0"/>
          <w:numId w:val="5"/>
        </w:numPr>
        <w:spacing w:after="0"/>
        <w:jc w:val="both"/>
        <w:rPr>
          <w:sz w:val="24"/>
          <w:szCs w:val="24"/>
        </w:rPr>
      </w:pPr>
      <w:r w:rsidRPr="00014400">
        <w:rPr>
          <w:sz w:val="24"/>
          <w:szCs w:val="24"/>
        </w:rPr>
        <w:t xml:space="preserve">The magistrate failed </w:t>
      </w:r>
      <w:r w:rsidR="009F749C" w:rsidRPr="00014400">
        <w:rPr>
          <w:sz w:val="24"/>
          <w:szCs w:val="24"/>
        </w:rPr>
        <w:t>to properly appreciate the significance of</w:t>
      </w:r>
      <w:r w:rsidRPr="00014400">
        <w:rPr>
          <w:sz w:val="24"/>
          <w:szCs w:val="24"/>
        </w:rPr>
        <w:t xml:space="preserve"> </w:t>
      </w:r>
      <w:r w:rsidR="009F749C" w:rsidRPr="00014400">
        <w:rPr>
          <w:sz w:val="24"/>
          <w:szCs w:val="24"/>
        </w:rPr>
        <w:t xml:space="preserve">the onus which rested </w:t>
      </w:r>
      <w:r w:rsidRPr="00014400">
        <w:rPr>
          <w:sz w:val="24"/>
          <w:szCs w:val="24"/>
        </w:rPr>
        <w:t>u</w:t>
      </w:r>
      <w:r w:rsidR="009F749C" w:rsidRPr="00014400">
        <w:rPr>
          <w:sz w:val="24"/>
          <w:szCs w:val="24"/>
        </w:rPr>
        <w:t>pon the State</w:t>
      </w:r>
      <w:r w:rsidRPr="00014400">
        <w:rPr>
          <w:sz w:val="24"/>
          <w:szCs w:val="24"/>
        </w:rPr>
        <w:t xml:space="preserve">, as he </w:t>
      </w:r>
      <w:r w:rsidR="009F749C" w:rsidRPr="00014400">
        <w:rPr>
          <w:sz w:val="24"/>
          <w:szCs w:val="24"/>
        </w:rPr>
        <w:t>stated</w:t>
      </w:r>
      <w:r w:rsidRPr="00014400">
        <w:rPr>
          <w:sz w:val="24"/>
          <w:szCs w:val="24"/>
        </w:rPr>
        <w:t xml:space="preserve">: </w:t>
      </w:r>
      <w:r w:rsidR="009F749C" w:rsidRPr="00014400">
        <w:rPr>
          <w:sz w:val="24"/>
          <w:szCs w:val="24"/>
        </w:rPr>
        <w:t>“The accused’s failure to convince the court is a further</w:t>
      </w:r>
      <w:r w:rsidRPr="00014400">
        <w:rPr>
          <w:sz w:val="24"/>
          <w:szCs w:val="24"/>
        </w:rPr>
        <w:t xml:space="preserve"> </w:t>
      </w:r>
      <w:r w:rsidR="009F749C" w:rsidRPr="00014400">
        <w:rPr>
          <w:sz w:val="24"/>
          <w:szCs w:val="24"/>
        </w:rPr>
        <w:t>guarantee of the veracity of the evidence tendered by the State.”</w:t>
      </w:r>
      <w:r w:rsidR="00014400" w:rsidRPr="00014400">
        <w:rPr>
          <w:sz w:val="24"/>
          <w:szCs w:val="24"/>
        </w:rPr>
        <w:t xml:space="preserve">  There is </w:t>
      </w:r>
      <w:r w:rsidR="009F749C" w:rsidRPr="00014400">
        <w:rPr>
          <w:sz w:val="24"/>
          <w:szCs w:val="24"/>
        </w:rPr>
        <w:t>no obligation upon an accused person</w:t>
      </w:r>
      <w:r w:rsidR="00014400" w:rsidRPr="00014400">
        <w:rPr>
          <w:sz w:val="24"/>
          <w:szCs w:val="24"/>
        </w:rPr>
        <w:t xml:space="preserve"> “to convince the court” where the onus is on the State.  If the accused’s version is </w:t>
      </w:r>
      <w:r w:rsidR="009F749C" w:rsidRPr="00014400">
        <w:rPr>
          <w:sz w:val="24"/>
          <w:szCs w:val="24"/>
        </w:rPr>
        <w:t>reasonably possibly true he is entitled to his acquittal even though his</w:t>
      </w:r>
      <w:r w:rsidR="00014400" w:rsidRPr="00014400">
        <w:rPr>
          <w:sz w:val="24"/>
          <w:szCs w:val="24"/>
        </w:rPr>
        <w:t xml:space="preserve"> </w:t>
      </w:r>
      <w:r w:rsidR="009F749C" w:rsidRPr="00014400">
        <w:rPr>
          <w:sz w:val="24"/>
          <w:szCs w:val="24"/>
        </w:rPr>
        <w:t>explanation is improbable. A court is not entitled to convict unless it</w:t>
      </w:r>
      <w:r w:rsidR="00014400" w:rsidRPr="00014400">
        <w:rPr>
          <w:sz w:val="24"/>
          <w:szCs w:val="24"/>
        </w:rPr>
        <w:t xml:space="preserve"> </w:t>
      </w:r>
      <w:r w:rsidR="009F749C" w:rsidRPr="00014400">
        <w:rPr>
          <w:sz w:val="24"/>
          <w:szCs w:val="24"/>
        </w:rPr>
        <w:t>is satisfied not only that the explanation is improbable but that beyond</w:t>
      </w:r>
      <w:r w:rsidR="00014400" w:rsidRPr="00014400">
        <w:rPr>
          <w:sz w:val="24"/>
          <w:szCs w:val="24"/>
        </w:rPr>
        <w:t xml:space="preserve"> </w:t>
      </w:r>
      <w:r w:rsidR="009F749C" w:rsidRPr="00014400">
        <w:rPr>
          <w:sz w:val="24"/>
          <w:szCs w:val="24"/>
        </w:rPr>
        <w:t xml:space="preserve">any reasonable doubt it is false. </w:t>
      </w:r>
      <w:r w:rsidR="00014400" w:rsidRPr="00014400">
        <w:rPr>
          <w:sz w:val="24"/>
          <w:szCs w:val="24"/>
        </w:rPr>
        <w:t>The</w:t>
      </w:r>
      <w:r w:rsidR="009F749C" w:rsidRPr="00014400">
        <w:rPr>
          <w:sz w:val="24"/>
          <w:szCs w:val="24"/>
        </w:rPr>
        <w:t xml:space="preserve"> test is whether there is a reasonable possibility that the</w:t>
      </w:r>
      <w:r w:rsidR="00014400" w:rsidRPr="00014400">
        <w:rPr>
          <w:sz w:val="24"/>
          <w:szCs w:val="24"/>
        </w:rPr>
        <w:t xml:space="preserve"> </w:t>
      </w:r>
      <w:r w:rsidR="009F749C" w:rsidRPr="00014400">
        <w:rPr>
          <w:sz w:val="24"/>
          <w:szCs w:val="24"/>
        </w:rPr>
        <w:t>accused’s evidence may be true.</w:t>
      </w:r>
    </w:p>
    <w:p w14:paraId="1DE6B66F" w14:textId="4468F220" w:rsidR="009F749C" w:rsidRDefault="009C6D5A" w:rsidP="009F749C">
      <w:pPr>
        <w:pStyle w:val="ListParagraph"/>
        <w:numPr>
          <w:ilvl w:val="0"/>
          <w:numId w:val="5"/>
        </w:numPr>
        <w:spacing w:after="0"/>
        <w:jc w:val="both"/>
        <w:rPr>
          <w:sz w:val="24"/>
          <w:szCs w:val="24"/>
        </w:rPr>
      </w:pPr>
      <w:r w:rsidRPr="008B5F42">
        <w:rPr>
          <w:sz w:val="24"/>
          <w:szCs w:val="24"/>
        </w:rPr>
        <w:t xml:space="preserve">The magistrate found it improbable that </w:t>
      </w:r>
      <w:r w:rsidR="009F749C" w:rsidRPr="008B5F42">
        <w:rPr>
          <w:sz w:val="24"/>
          <w:szCs w:val="24"/>
        </w:rPr>
        <w:t>the</w:t>
      </w:r>
      <w:r w:rsidRPr="008B5F42">
        <w:rPr>
          <w:sz w:val="24"/>
          <w:szCs w:val="24"/>
        </w:rPr>
        <w:t xml:space="preserve"> </w:t>
      </w:r>
      <w:r w:rsidR="009F749C" w:rsidRPr="008B5F42">
        <w:rPr>
          <w:sz w:val="24"/>
          <w:szCs w:val="24"/>
        </w:rPr>
        <w:t>complainants would conspire to fabricate charges against the</w:t>
      </w:r>
      <w:r w:rsidR="008B5F42" w:rsidRPr="008B5F42">
        <w:rPr>
          <w:sz w:val="24"/>
          <w:szCs w:val="24"/>
        </w:rPr>
        <w:t xml:space="preserve"> </w:t>
      </w:r>
      <w:r w:rsidR="009F749C" w:rsidRPr="008B5F42">
        <w:rPr>
          <w:sz w:val="24"/>
          <w:szCs w:val="24"/>
        </w:rPr>
        <w:t xml:space="preserve">appellant. The magistrate is incorrect when he </w:t>
      </w:r>
      <w:r w:rsidR="008B5F42">
        <w:rPr>
          <w:sz w:val="24"/>
          <w:szCs w:val="24"/>
        </w:rPr>
        <w:t xml:space="preserve">found that there was no evidence to support this.  The appellant had provided reasonable grounds for suspecting that some of the witnesses may have had a grudge against him and a motive to falsely implicate him.  </w:t>
      </w:r>
    </w:p>
    <w:p w14:paraId="40EF79EC" w14:textId="064D4448" w:rsidR="009F749C" w:rsidRDefault="008B5F42" w:rsidP="009F749C">
      <w:pPr>
        <w:pStyle w:val="ListParagraph"/>
        <w:numPr>
          <w:ilvl w:val="0"/>
          <w:numId w:val="5"/>
        </w:numPr>
        <w:spacing w:after="0"/>
        <w:jc w:val="both"/>
        <w:rPr>
          <w:sz w:val="24"/>
          <w:szCs w:val="24"/>
        </w:rPr>
      </w:pPr>
      <w:r w:rsidRPr="000C43EB">
        <w:rPr>
          <w:sz w:val="24"/>
          <w:szCs w:val="24"/>
        </w:rPr>
        <w:t xml:space="preserve">The magistrate judged the accused </w:t>
      </w:r>
      <w:r w:rsidR="009F749C" w:rsidRPr="000C43EB">
        <w:rPr>
          <w:sz w:val="24"/>
          <w:szCs w:val="24"/>
        </w:rPr>
        <w:t>on his demeanour in the</w:t>
      </w:r>
      <w:r w:rsidRPr="000C43EB">
        <w:rPr>
          <w:sz w:val="24"/>
          <w:szCs w:val="24"/>
        </w:rPr>
        <w:t xml:space="preserve"> </w:t>
      </w:r>
      <w:r w:rsidR="009F749C" w:rsidRPr="000C43EB">
        <w:rPr>
          <w:sz w:val="24"/>
          <w:szCs w:val="24"/>
        </w:rPr>
        <w:t>witness box and</w:t>
      </w:r>
      <w:r w:rsidR="00EF5322" w:rsidRPr="000C43EB">
        <w:rPr>
          <w:sz w:val="24"/>
          <w:szCs w:val="24"/>
        </w:rPr>
        <w:t xml:space="preserve"> </w:t>
      </w:r>
      <w:r w:rsidR="009F749C" w:rsidRPr="000C43EB">
        <w:rPr>
          <w:sz w:val="24"/>
          <w:szCs w:val="24"/>
        </w:rPr>
        <w:t>convict</w:t>
      </w:r>
      <w:r w:rsidR="00EF5322" w:rsidRPr="000C43EB">
        <w:rPr>
          <w:sz w:val="24"/>
          <w:szCs w:val="24"/>
        </w:rPr>
        <w:t>ed</w:t>
      </w:r>
      <w:r w:rsidR="009F749C" w:rsidRPr="000C43EB">
        <w:rPr>
          <w:sz w:val="24"/>
          <w:szCs w:val="24"/>
        </w:rPr>
        <w:t xml:space="preserve"> on this ground</w:t>
      </w:r>
      <w:r w:rsidR="007C4D6F" w:rsidRPr="000C43EB">
        <w:rPr>
          <w:sz w:val="24"/>
          <w:szCs w:val="24"/>
        </w:rPr>
        <w:t>, finding that “</w:t>
      </w:r>
      <w:r w:rsidR="009F749C" w:rsidRPr="000C43EB">
        <w:rPr>
          <w:sz w:val="24"/>
          <w:szCs w:val="24"/>
        </w:rPr>
        <w:t>the accused was ill at ease when testifying</w:t>
      </w:r>
      <w:r w:rsidR="007C4D6F" w:rsidRPr="000C43EB">
        <w:rPr>
          <w:sz w:val="24"/>
          <w:szCs w:val="24"/>
        </w:rPr>
        <w:t>.</w:t>
      </w:r>
      <w:r w:rsidR="009F749C" w:rsidRPr="000C43EB">
        <w:rPr>
          <w:sz w:val="24"/>
          <w:szCs w:val="24"/>
        </w:rPr>
        <w:t>”</w:t>
      </w:r>
      <w:r w:rsidR="007C4D6F" w:rsidRPr="000C43EB">
        <w:rPr>
          <w:sz w:val="24"/>
          <w:szCs w:val="24"/>
        </w:rPr>
        <w:t xml:space="preserve">  The SCA </w:t>
      </w:r>
      <w:r w:rsidR="000C43EB" w:rsidRPr="000C43EB">
        <w:rPr>
          <w:sz w:val="24"/>
          <w:szCs w:val="24"/>
        </w:rPr>
        <w:t xml:space="preserve">was of the opinion that this was </w:t>
      </w:r>
      <w:r w:rsidR="009F749C" w:rsidRPr="000C43EB">
        <w:rPr>
          <w:sz w:val="24"/>
          <w:szCs w:val="24"/>
        </w:rPr>
        <w:t>not unusual nor surprising amongst accused persons</w:t>
      </w:r>
      <w:r w:rsidR="000C43EB" w:rsidRPr="000C43EB">
        <w:rPr>
          <w:sz w:val="24"/>
          <w:szCs w:val="24"/>
        </w:rPr>
        <w:t xml:space="preserve"> and even </w:t>
      </w:r>
      <w:r w:rsidR="009F749C" w:rsidRPr="000C43EB">
        <w:rPr>
          <w:sz w:val="24"/>
          <w:szCs w:val="24"/>
        </w:rPr>
        <w:t>witnesses generally who may be afraid or even overwhelmed</w:t>
      </w:r>
      <w:r w:rsidR="000C43EB" w:rsidRPr="000C43EB">
        <w:rPr>
          <w:sz w:val="24"/>
          <w:szCs w:val="24"/>
        </w:rPr>
        <w:t xml:space="preserve"> </w:t>
      </w:r>
      <w:r w:rsidR="009F749C" w:rsidRPr="000C43EB">
        <w:rPr>
          <w:sz w:val="24"/>
          <w:szCs w:val="24"/>
        </w:rPr>
        <w:t>at the experience of giving evidence in a court</w:t>
      </w:r>
      <w:r w:rsidR="000C43EB">
        <w:rPr>
          <w:sz w:val="24"/>
          <w:szCs w:val="24"/>
        </w:rPr>
        <w:t>.</w:t>
      </w:r>
    </w:p>
    <w:p w14:paraId="5D413F0B" w14:textId="0127FB54" w:rsidR="00252C27" w:rsidRDefault="001B553B" w:rsidP="001B553B">
      <w:pPr>
        <w:pStyle w:val="ListParagraph"/>
        <w:numPr>
          <w:ilvl w:val="0"/>
          <w:numId w:val="5"/>
        </w:numPr>
        <w:tabs>
          <w:tab w:val="left" w:pos="6804"/>
        </w:tabs>
        <w:spacing w:after="0"/>
        <w:jc w:val="both"/>
        <w:rPr>
          <w:sz w:val="24"/>
          <w:szCs w:val="24"/>
        </w:rPr>
      </w:pPr>
      <w:r>
        <w:rPr>
          <w:sz w:val="24"/>
          <w:szCs w:val="24"/>
        </w:rPr>
        <w:lastRenderedPageBreak/>
        <w:t>The magistrate’s findings concerning two of the witnesses was inconsistent.  He said that their evidence “must be regarded as of no value” yet he used their evidence to discredit the appellant.</w:t>
      </w:r>
    </w:p>
    <w:p w14:paraId="5B3D5B66" w14:textId="77777777" w:rsidR="007D1D27" w:rsidRDefault="006148BF" w:rsidP="001B553B">
      <w:pPr>
        <w:pStyle w:val="ListParagraph"/>
        <w:numPr>
          <w:ilvl w:val="0"/>
          <w:numId w:val="5"/>
        </w:numPr>
        <w:tabs>
          <w:tab w:val="left" w:pos="6804"/>
        </w:tabs>
        <w:spacing w:after="0"/>
        <w:jc w:val="both"/>
        <w:rPr>
          <w:sz w:val="24"/>
          <w:szCs w:val="24"/>
        </w:rPr>
      </w:pPr>
      <w:r>
        <w:rPr>
          <w:sz w:val="24"/>
          <w:szCs w:val="24"/>
        </w:rPr>
        <w:t xml:space="preserve">There was a long delay between the alleged incident and the trial (about 3 years) and, </w:t>
      </w:r>
      <w:r w:rsidR="006E6203">
        <w:rPr>
          <w:sz w:val="24"/>
          <w:szCs w:val="24"/>
        </w:rPr>
        <w:t xml:space="preserve"> </w:t>
      </w:r>
      <w:r>
        <w:rPr>
          <w:sz w:val="24"/>
          <w:szCs w:val="24"/>
        </w:rPr>
        <w:t xml:space="preserve">although </w:t>
      </w:r>
      <w:r w:rsidR="006E6203">
        <w:rPr>
          <w:sz w:val="24"/>
          <w:szCs w:val="24"/>
        </w:rPr>
        <w:t xml:space="preserve">the time delay could be responsible for </w:t>
      </w:r>
      <w:r w:rsidR="008D5A44">
        <w:rPr>
          <w:sz w:val="24"/>
          <w:szCs w:val="24"/>
        </w:rPr>
        <w:t>discrepancies, it was nevertheless necessary to be cautious when evaluating the evidence.</w:t>
      </w:r>
      <w:r w:rsidR="007D1D27">
        <w:rPr>
          <w:sz w:val="24"/>
          <w:szCs w:val="24"/>
        </w:rPr>
        <w:t xml:space="preserve">  The court found a number of discrepancies in the evidence of all the complainants as well as motives for the witnesses to have grudges against the appellant.</w:t>
      </w:r>
    </w:p>
    <w:p w14:paraId="6BE57A79" w14:textId="77777777" w:rsidR="007D1D27" w:rsidRDefault="007D1D27" w:rsidP="007D1D27">
      <w:pPr>
        <w:tabs>
          <w:tab w:val="left" w:pos="6804"/>
        </w:tabs>
        <w:spacing w:after="0"/>
        <w:jc w:val="both"/>
        <w:rPr>
          <w:sz w:val="24"/>
          <w:szCs w:val="24"/>
        </w:rPr>
      </w:pPr>
    </w:p>
    <w:p w14:paraId="0EA05B3A" w14:textId="3F304C77" w:rsidR="005E10D3" w:rsidRPr="00916B30" w:rsidRDefault="007D1D27" w:rsidP="00F440D2">
      <w:pPr>
        <w:tabs>
          <w:tab w:val="left" w:pos="6804"/>
        </w:tabs>
        <w:spacing w:after="0"/>
        <w:jc w:val="both"/>
      </w:pPr>
      <w:r w:rsidRPr="007D1D27">
        <w:rPr>
          <w:b/>
          <w:bCs/>
          <w:sz w:val="24"/>
          <w:szCs w:val="24"/>
        </w:rPr>
        <w:t>FINDING</w:t>
      </w:r>
      <w:r>
        <w:rPr>
          <w:sz w:val="24"/>
          <w:szCs w:val="24"/>
        </w:rPr>
        <w:t>:  In view of the discrepancies and contradictions in the evidence of all the complainants</w:t>
      </w:r>
      <w:r w:rsidR="00F440D2">
        <w:rPr>
          <w:sz w:val="24"/>
          <w:szCs w:val="24"/>
        </w:rPr>
        <w:t>, on which the conviction was based, t</w:t>
      </w:r>
      <w:r>
        <w:rPr>
          <w:sz w:val="24"/>
          <w:szCs w:val="24"/>
        </w:rPr>
        <w:t xml:space="preserve">he </w:t>
      </w:r>
      <w:r w:rsidR="00F440D2">
        <w:rPr>
          <w:sz w:val="24"/>
          <w:szCs w:val="24"/>
        </w:rPr>
        <w:t xml:space="preserve">SCA found that the </w:t>
      </w:r>
      <w:r w:rsidR="009F749C" w:rsidRPr="009F749C">
        <w:rPr>
          <w:sz w:val="24"/>
          <w:szCs w:val="24"/>
        </w:rPr>
        <w:t>magistrate was incorrect in</w:t>
      </w:r>
      <w:r w:rsidR="00F440D2">
        <w:rPr>
          <w:sz w:val="24"/>
          <w:szCs w:val="24"/>
        </w:rPr>
        <w:t xml:space="preserve"> </w:t>
      </w:r>
      <w:r w:rsidR="009F749C" w:rsidRPr="009F749C">
        <w:rPr>
          <w:sz w:val="24"/>
          <w:szCs w:val="24"/>
        </w:rPr>
        <w:t xml:space="preserve">convicting the appellant on the four counts in question. </w:t>
      </w:r>
      <w:r w:rsidR="00F440D2">
        <w:rPr>
          <w:sz w:val="24"/>
          <w:szCs w:val="24"/>
        </w:rPr>
        <w:t xml:space="preserve"> The </w:t>
      </w:r>
      <w:r w:rsidR="009F749C" w:rsidRPr="009F749C">
        <w:rPr>
          <w:sz w:val="24"/>
          <w:szCs w:val="24"/>
        </w:rPr>
        <w:t xml:space="preserve">appeal </w:t>
      </w:r>
      <w:r w:rsidR="00F440D2">
        <w:rPr>
          <w:sz w:val="24"/>
          <w:szCs w:val="24"/>
        </w:rPr>
        <w:t>wa</w:t>
      </w:r>
      <w:r w:rsidR="009F749C" w:rsidRPr="009F749C">
        <w:rPr>
          <w:sz w:val="24"/>
          <w:szCs w:val="24"/>
        </w:rPr>
        <w:t>s allowed and the convictions and sentences</w:t>
      </w:r>
      <w:r w:rsidR="00F440D2">
        <w:rPr>
          <w:sz w:val="24"/>
          <w:szCs w:val="24"/>
        </w:rPr>
        <w:t xml:space="preserve"> </w:t>
      </w:r>
      <w:r w:rsidR="009F749C" w:rsidRPr="009F749C">
        <w:rPr>
          <w:sz w:val="24"/>
          <w:szCs w:val="24"/>
        </w:rPr>
        <w:t>set aside.</w:t>
      </w:r>
    </w:p>
    <w:sectPr w:rsidR="005E10D3" w:rsidRPr="00916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14D"/>
    <w:multiLevelType w:val="hybridMultilevel"/>
    <w:tmpl w:val="17F69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B14152"/>
    <w:multiLevelType w:val="hybridMultilevel"/>
    <w:tmpl w:val="5FA21F2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2" w15:restartNumberingAfterBreak="0">
    <w:nsid w:val="3B613180"/>
    <w:multiLevelType w:val="hybridMultilevel"/>
    <w:tmpl w:val="660EC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D9E252E"/>
    <w:multiLevelType w:val="hybridMultilevel"/>
    <w:tmpl w:val="3A4023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EEF712E"/>
    <w:multiLevelType w:val="hybridMultilevel"/>
    <w:tmpl w:val="8EE8E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8"/>
    <w:rsid w:val="00014400"/>
    <w:rsid w:val="0001444A"/>
    <w:rsid w:val="000B6FD4"/>
    <w:rsid w:val="000C43EB"/>
    <w:rsid w:val="000C45B1"/>
    <w:rsid w:val="0010539B"/>
    <w:rsid w:val="001268FF"/>
    <w:rsid w:val="0013639C"/>
    <w:rsid w:val="00146AA5"/>
    <w:rsid w:val="00153961"/>
    <w:rsid w:val="0019275C"/>
    <w:rsid w:val="0019559F"/>
    <w:rsid w:val="001B3C7A"/>
    <w:rsid w:val="001B553B"/>
    <w:rsid w:val="001D1E3E"/>
    <w:rsid w:val="0020525F"/>
    <w:rsid w:val="00214D12"/>
    <w:rsid w:val="00252C27"/>
    <w:rsid w:val="00254C9E"/>
    <w:rsid w:val="002705D8"/>
    <w:rsid w:val="00297988"/>
    <w:rsid w:val="00304131"/>
    <w:rsid w:val="00326117"/>
    <w:rsid w:val="00352D55"/>
    <w:rsid w:val="003A66E9"/>
    <w:rsid w:val="003D4890"/>
    <w:rsid w:val="00426847"/>
    <w:rsid w:val="00457358"/>
    <w:rsid w:val="004646DF"/>
    <w:rsid w:val="004679FD"/>
    <w:rsid w:val="004850C0"/>
    <w:rsid w:val="004864DB"/>
    <w:rsid w:val="004A3E1F"/>
    <w:rsid w:val="004C55A3"/>
    <w:rsid w:val="004F450D"/>
    <w:rsid w:val="005B07D2"/>
    <w:rsid w:val="005E10D3"/>
    <w:rsid w:val="005F01A3"/>
    <w:rsid w:val="00611531"/>
    <w:rsid w:val="006148BF"/>
    <w:rsid w:val="006415E7"/>
    <w:rsid w:val="00643158"/>
    <w:rsid w:val="006B2388"/>
    <w:rsid w:val="006B5642"/>
    <w:rsid w:val="006E5D74"/>
    <w:rsid w:val="006E6203"/>
    <w:rsid w:val="00734BC5"/>
    <w:rsid w:val="007911A9"/>
    <w:rsid w:val="007B2A11"/>
    <w:rsid w:val="007C4D6F"/>
    <w:rsid w:val="007D1D27"/>
    <w:rsid w:val="0083342E"/>
    <w:rsid w:val="00841F9E"/>
    <w:rsid w:val="0088171D"/>
    <w:rsid w:val="008942B9"/>
    <w:rsid w:val="008A7BE2"/>
    <w:rsid w:val="008B5F42"/>
    <w:rsid w:val="008D0470"/>
    <w:rsid w:val="008D5A44"/>
    <w:rsid w:val="0090037C"/>
    <w:rsid w:val="00912A9A"/>
    <w:rsid w:val="00916B30"/>
    <w:rsid w:val="009A7517"/>
    <w:rsid w:val="009C6D5A"/>
    <w:rsid w:val="009F749C"/>
    <w:rsid w:val="00A93392"/>
    <w:rsid w:val="00AA3F3E"/>
    <w:rsid w:val="00AE4820"/>
    <w:rsid w:val="00B26419"/>
    <w:rsid w:val="00B76F78"/>
    <w:rsid w:val="00B96938"/>
    <w:rsid w:val="00BE3958"/>
    <w:rsid w:val="00C02D30"/>
    <w:rsid w:val="00C43C70"/>
    <w:rsid w:val="00C45141"/>
    <w:rsid w:val="00C621EF"/>
    <w:rsid w:val="00C90CFD"/>
    <w:rsid w:val="00CB64BE"/>
    <w:rsid w:val="00CF64B3"/>
    <w:rsid w:val="00D31992"/>
    <w:rsid w:val="00D37736"/>
    <w:rsid w:val="00D40ED3"/>
    <w:rsid w:val="00DD76BB"/>
    <w:rsid w:val="00DF62D5"/>
    <w:rsid w:val="00EA05E4"/>
    <w:rsid w:val="00EC2A7B"/>
    <w:rsid w:val="00ED46AC"/>
    <w:rsid w:val="00EF5322"/>
    <w:rsid w:val="00F43AE1"/>
    <w:rsid w:val="00F440D2"/>
    <w:rsid w:val="00F92052"/>
    <w:rsid w:val="00FA4615"/>
    <w:rsid w:val="00FE5C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F25D"/>
  <w15:chartTrackingRefBased/>
  <w15:docId w15:val="{CD258376-D444-4868-B7C9-CD859AC6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20"/>
    <w:pPr>
      <w:ind w:left="720"/>
      <w:contextualSpacing/>
    </w:pPr>
  </w:style>
  <w:style w:type="table" w:styleId="TableGrid">
    <w:name w:val="Table Grid"/>
    <w:basedOn w:val="TableNormal"/>
    <w:uiPriority w:val="59"/>
    <w:rsid w:val="000B6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24</cp:revision>
  <dcterms:created xsi:type="dcterms:W3CDTF">2021-04-19T08:35:00Z</dcterms:created>
  <dcterms:modified xsi:type="dcterms:W3CDTF">2021-04-19T15:06:00Z</dcterms:modified>
</cp:coreProperties>
</file>