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v Mlangeni Brothers and Another</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https://lawlibrary.org.za/akn/za/judgment/zast/2022/47/eng@2022-11-14</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(GP07/2021) [2022] ZAST 47</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14 November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Special Tribunal, administrative law, review, legality, just and equitable relief, burden of proof, setting aside, tender, personal protective equipment, PPE, covid-19, pandemic, contract, irregularities, procurement, costs, application, profit, retain, expenses, condonation</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Successful</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Administrative law </w:t>
            </w:r>
            <w:r w:rsidDel="00000000" w:rsidR="00000000" w:rsidRPr="00000000">
              <w:rPr>
                <w:rFonts w:ascii="Gill Sans" w:cs="Gill Sans" w:eastAsia="Gill Sans" w:hAnsi="Gill Sans"/>
                <w:rtl w:val="0"/>
              </w:rPr>
              <w:t xml:space="preserve">– just and equitable relief – the party seeking to retain reasonable expenses incurred in the supply of goods in terms of an impugned contract bears the evidentiary burden of proof</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172(1)(b) of the Constitution </w:t>
            </w:r>
          </w:p>
        </w:tc>
      </w:tr>
      <w:tr>
        <w:trPr>
          <w:cantSplit w:val="0"/>
          <w:tblHeader w:val="0"/>
        </w:trPr>
        <w:tc>
          <w:tcPr/>
          <w:p w:rsidR="00000000" w:rsidDel="00000000" w:rsidP="00000000" w:rsidRDefault="00000000" w:rsidRPr="00000000" w14:paraId="0000001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Steenkamp NO v Provincial Tender Board of the Eastern Cape 2007</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(3) SA 121 (CC)</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AllPay Consolidated Investment Holdings (Pty) Ltd and Others v CEO of the South African Social Security Agency and Others</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2014 (4) SA 179 (CC)</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Pillay v Krishna</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1946 AD 946</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State Information Technology SOC Ltd v Gijima Holdings (Pty) Ltd</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2018 (2) SA (CC).</w:t>
            </w:r>
          </w:p>
        </w:tc>
      </w:tr>
      <w:tr>
        <w:trPr>
          <w:cantSplit w:val="0"/>
          <w:tblHeader w:val="0"/>
        </w:trPr>
        <w:tc>
          <w:tcPr/>
          <w:p w:rsidR="00000000" w:rsidDel="00000000" w:rsidP="00000000" w:rsidRDefault="00000000" w:rsidRPr="00000000" w14:paraId="0000001B">
            <w:pPr>
              <w:tabs>
                <w:tab w:val="right" w:leader="none"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C">
            <w:pPr>
              <w:tabs>
                <w:tab w:val="right" w:leader="none"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second respondent, the Gauteng Department of Health (</w:t>
            </w:r>
            <w:r w:rsidDel="00000000" w:rsidR="00000000" w:rsidRPr="00000000">
              <w:rPr>
                <w:rFonts w:ascii="Gill Sans" w:cs="Gill Sans" w:eastAsia="Gill Sans" w:hAnsi="Gill Sans"/>
                <w:b w:val="1"/>
                <w:rtl w:val="0"/>
              </w:rPr>
              <w:t xml:space="preserve">GDOH</w:t>
            </w:r>
            <w:r w:rsidDel="00000000" w:rsidR="00000000" w:rsidRPr="00000000">
              <w:rPr>
                <w:rFonts w:ascii="Gill Sans" w:cs="Gill Sans" w:eastAsia="Gill Sans" w:hAnsi="Gill Sans"/>
                <w:rtl w:val="0"/>
              </w:rPr>
              <w:t xml:space="preserve">), had awarded the first respondent, Mlangeni Brothers Events CC (</w:t>
            </w:r>
            <w:r w:rsidDel="00000000" w:rsidR="00000000" w:rsidRPr="00000000">
              <w:rPr>
                <w:rFonts w:ascii="Gill Sans" w:cs="Gill Sans" w:eastAsia="Gill Sans" w:hAnsi="Gill Sans"/>
                <w:b w:val="1"/>
                <w:rtl w:val="0"/>
              </w:rPr>
              <w:t xml:space="preserve">MBE</w:t>
            </w:r>
            <w:r w:rsidDel="00000000" w:rsidR="00000000" w:rsidRPr="00000000">
              <w:rPr>
                <w:rFonts w:ascii="Gill Sans" w:cs="Gill Sans" w:eastAsia="Gill Sans" w:hAnsi="Gill Sans"/>
                <w:rtl w:val="0"/>
              </w:rPr>
              <w:t xml:space="preserve">), a contract (</w:t>
            </w:r>
            <w:r w:rsidDel="00000000" w:rsidR="00000000" w:rsidRPr="00000000">
              <w:rPr>
                <w:rFonts w:ascii="Gill Sans" w:cs="Gill Sans" w:eastAsia="Gill Sans" w:hAnsi="Gill Sans"/>
                <w:b w:val="1"/>
                <w:rtl w:val="0"/>
              </w:rPr>
              <w:t xml:space="preserve">the impugned contract</w:t>
            </w:r>
            <w:r w:rsidDel="00000000" w:rsidR="00000000" w:rsidRPr="00000000">
              <w:rPr>
                <w:rFonts w:ascii="Gill Sans" w:cs="Gill Sans" w:eastAsia="Gill Sans" w:hAnsi="Gill Sans"/>
                <w:rtl w:val="0"/>
              </w:rPr>
              <w:t xml:space="preserve">) for the supply of personal protective equipment (</w:t>
            </w:r>
            <w:r w:rsidDel="00000000" w:rsidR="00000000" w:rsidRPr="00000000">
              <w:rPr>
                <w:rFonts w:ascii="Gill Sans" w:cs="Gill Sans" w:eastAsia="Gill Sans" w:hAnsi="Gill Sans"/>
                <w:b w:val="1"/>
                <w:rtl w:val="0"/>
              </w:rPr>
              <w:t xml:space="preserve">PPE items</w:t>
            </w:r>
            <w:r w:rsidDel="00000000" w:rsidR="00000000" w:rsidRPr="00000000">
              <w:rPr>
                <w:rFonts w:ascii="Gill Sans" w:cs="Gill Sans" w:eastAsia="Gill Sans" w:hAnsi="Gill Sans"/>
                <w:rtl w:val="0"/>
              </w:rPr>
              <w:t xml:space="preserve">) during the Covid-19 pandemic. The applicant, the Special Investigating Unit (</w:t>
            </w:r>
            <w:r w:rsidDel="00000000" w:rsidR="00000000" w:rsidRPr="00000000">
              <w:rPr>
                <w:rFonts w:ascii="Gill Sans" w:cs="Gill Sans" w:eastAsia="Gill Sans" w:hAnsi="Gill Sans"/>
                <w:b w:val="1"/>
                <w:rtl w:val="0"/>
              </w:rPr>
              <w:t xml:space="preserve">SIU</w:t>
            </w:r>
            <w:r w:rsidDel="00000000" w:rsidR="00000000" w:rsidRPr="00000000">
              <w:rPr>
                <w:rFonts w:ascii="Gill Sans" w:cs="Gill Sans" w:eastAsia="Gill Sans" w:hAnsi="Gill Sans"/>
                <w:rtl w:val="0"/>
              </w:rPr>
              <w:t xml:space="preserve">), had investigated the impugned contract and instituted proceedings to review and set aside the contract, citing various procurement irregularities. The Special Tribunal granted the order, but reserved the costs of the application for determination in the present proceedings, and directed MBE to file an Income and Expenditure Statement (</w:t>
            </w:r>
            <w:r w:rsidDel="00000000" w:rsidR="00000000" w:rsidRPr="00000000">
              <w:rPr>
                <w:rFonts w:ascii="Gill Sans" w:cs="Gill Sans" w:eastAsia="Gill Sans" w:hAnsi="Gill Sans"/>
                <w:b w:val="1"/>
                <w:rtl w:val="0"/>
              </w:rPr>
              <w:t xml:space="preserve">IES</w:t>
            </w:r>
            <w:r w:rsidDel="00000000" w:rsidR="00000000" w:rsidRPr="00000000">
              <w:rPr>
                <w:rFonts w:ascii="Gill Sans" w:cs="Gill Sans" w:eastAsia="Gill Sans" w:hAnsi="Gill Sans"/>
                <w:rtl w:val="0"/>
              </w:rPr>
              <w:t xml:space="preserve">) by a specific date. The SIU sought a just and equitable order, asking the Special Tribunal to divest MBE of the profit it stood to gain from the impugned contract and to order that it only be permitted to retain the reasonable expenses incurred in the supply of the PPE items to the GDOH. </w:t>
            </w:r>
          </w:p>
        </w:tc>
      </w:tr>
      <w:tr>
        <w:trPr>
          <w:cantSplit w:val="0"/>
          <w:tblHeader w:val="0"/>
        </w:trPr>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F">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Special Tribunal was asked to determine what would be regarded as just and equitable relief in terms of section 172(1)(b) of the Constitution. </w:t>
            </w:r>
          </w:p>
        </w:tc>
      </w:tr>
      <w:tr>
        <w:trPr>
          <w:cantSplit w:val="0"/>
          <w:tblHeader w:val="0"/>
        </w:trPr>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1">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MBE was divested of the profit it had earned from the impugned contract with the GDOH, and the GDOH was ordered only to pay MBE the amount which the Special Tribunal found to be reasonable expenses incurred in the supply of PPE items to the GDOH. Each party was ordered to pay their own legal costs. </w:t>
            </w:r>
          </w:p>
        </w:tc>
      </w:tr>
      <w:tr>
        <w:trPr>
          <w:cantSplit w:val="0"/>
          <w:tblHeader w:val="0"/>
        </w:trPr>
        <w:tc>
          <w:tcPr/>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terms of the just and equitable relief sought by the SIU to divest MBE of its profits, the Special Tribunal held that MBE bore the evidentiary burden in proving the reasonable expenses it incurred in the supply of PPE items to the GDOH, as well as establishing that exceptional circumstances existed for the Special Tribunal to exercise discretion in its favour to allow it to benefit from the profit it stood to earn from the impugned contract. </w:t>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found several difficulties arising from the IES filed by MBE in proving such reasonable expenses. Although the “no profit no loss principle” enabled MBE to recover reasonable expenses from the GDOH, the Special Tribunal found that MBE had overstated its operating expenses to retain as much of the amount it charged to the GDOH as possible. The Special Tribunal found the IES unreliable, and therefore disallowed various operating expenses except for one, which it found to be a reasonable expenditure. </w:t>
            </w:r>
          </w:p>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also held that, as the bidding process for the impugned contract had failed to meet the requirements of proper procurement processes, divesting MBE of its profits would be the only just and equitable way of ensuring that any loss to the fiscus from the impugned contract would be averted. </w:t>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found that it was just and equitable for each party to pay their own legal costs.  </w:t>
            </w:r>
          </w:p>
        </w:tc>
      </w:tr>
      <w:tr>
        <w:trPr>
          <w:cantSplit w:val="0"/>
          <w:tblHeader w:val="0"/>
        </w:trPr>
        <w:tc>
          <w:tcPr/>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8">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14 November 2022</w:t>
            </w:r>
          </w:p>
        </w:tc>
      </w:tr>
    </w:tbl>
    <w:p w:rsidR="00000000" w:rsidDel="00000000" w:rsidP="00000000" w:rsidRDefault="00000000" w:rsidRPr="00000000" w14:paraId="0000002E">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rPr>
          <w:rFonts w:ascii="Gill Sans" w:cs="Gill Sans" w:eastAsia="Gill Sans" w:hAnsi="Gill Sans"/>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5">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8">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A">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fricanli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IZHG2+QpxbpID6xT2BMKyk55+g==">AMUW2mWGH3MlRC1Zo2iCgqwRzcO/oulCaGC8aEQkd3eVhSDoMkcycVe6NaK++qi42pUyNo5UTAIeo1eG9n5he/2DVot5I5lXOhouMzGCjRa0D3mMjnG2HlIyJm46j6xmzBhtTlakQYlD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2022-11-14T19:37:00Z</dcterms:created>
  <dc:creator>Suzanne Nyehita</dc:creator>
</cp:coreProperties>
</file>