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4176" w14:textId="77777777" w:rsidR="00F86251" w:rsidRDefault="00000000">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SPECIAL TRIBUNAL OF SOUTH AFRICA</w:t>
      </w:r>
    </w:p>
    <w:p w14:paraId="42E50231" w14:textId="77777777" w:rsidR="00F86251" w:rsidRDefault="00000000">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14:paraId="6691DFB9" w14:textId="77777777" w:rsidR="00F86251" w:rsidRDefault="00F86251">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F86251" w14:paraId="1EFEE007" w14:textId="77777777">
        <w:tc>
          <w:tcPr>
            <w:tcW w:w="9007" w:type="dxa"/>
            <w:gridSpan w:val="2"/>
          </w:tcPr>
          <w:p w14:paraId="0540B8D1" w14:textId="77777777" w:rsidR="00F86251" w:rsidRDefault="00000000">
            <w:pPr>
              <w:spacing w:after="0" w:line="276" w:lineRule="auto"/>
              <w:jc w:val="center"/>
              <w:rPr>
                <w:rFonts w:ascii="Gill Sans" w:eastAsia="Gill Sans" w:hAnsi="Gill Sans" w:cs="Gill Sans"/>
                <w:b/>
                <w:i/>
              </w:rPr>
            </w:pPr>
            <w:r>
              <w:rPr>
                <w:rFonts w:ascii="Gill Sans" w:eastAsia="Gill Sans" w:hAnsi="Gill Sans" w:cs="Gill Sans"/>
                <w:b/>
                <w:i/>
              </w:rPr>
              <w:t>The Special Investigating Unit v The Alfred Nzo Local Municipality and Others</w:t>
            </w:r>
          </w:p>
        </w:tc>
      </w:tr>
      <w:tr w:rsidR="00F86251" w14:paraId="5173FDB5" w14:textId="77777777">
        <w:tc>
          <w:tcPr>
            <w:tcW w:w="2689" w:type="dxa"/>
          </w:tcPr>
          <w:p w14:paraId="32E52591"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1BDEE7EC" w14:textId="35460E01" w:rsidR="00F86251" w:rsidRDefault="002E7B73">
            <w:pPr>
              <w:spacing w:after="0" w:line="276" w:lineRule="auto"/>
              <w:jc w:val="both"/>
              <w:rPr>
                <w:rFonts w:ascii="Gill Sans" w:eastAsia="Gill Sans" w:hAnsi="Gill Sans" w:cs="Gill Sans"/>
              </w:rPr>
            </w:pPr>
            <w:r w:rsidRPr="002E7B73">
              <w:rPr>
                <w:rFonts w:ascii="Gill Sans" w:eastAsia="Gill Sans" w:hAnsi="Gill Sans" w:cs="Gill Sans"/>
              </w:rPr>
              <w:t>https://lawlibrary.org.za/akn/za/judgment/zast/2023/8/eng@2023-04-14</w:t>
            </w:r>
          </w:p>
        </w:tc>
      </w:tr>
      <w:tr w:rsidR="00F86251" w14:paraId="34F39CB6" w14:textId="77777777">
        <w:tc>
          <w:tcPr>
            <w:tcW w:w="2689" w:type="dxa"/>
          </w:tcPr>
          <w:p w14:paraId="69D8F2B3"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42E3B716" w14:textId="7B6BC07C" w:rsidR="00F86251" w:rsidRDefault="002E7B73">
            <w:pPr>
              <w:spacing w:after="0" w:line="276" w:lineRule="auto"/>
              <w:jc w:val="both"/>
              <w:rPr>
                <w:rFonts w:ascii="Gill Sans" w:eastAsia="Gill Sans" w:hAnsi="Gill Sans" w:cs="Gill Sans"/>
              </w:rPr>
            </w:pPr>
            <w:r w:rsidRPr="002E7B73">
              <w:rPr>
                <w:rFonts w:ascii="Gill Sans" w:eastAsia="Gill Sans" w:hAnsi="Gill Sans" w:cs="Gill Sans"/>
              </w:rPr>
              <w:t>[2023] ZAST 8 (14 April 2023)</w:t>
            </w:r>
          </w:p>
        </w:tc>
      </w:tr>
      <w:tr w:rsidR="00F86251" w14:paraId="0ABF8C9D" w14:textId="77777777">
        <w:tc>
          <w:tcPr>
            <w:tcW w:w="2689" w:type="dxa"/>
          </w:tcPr>
          <w:p w14:paraId="00CFC42B"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3DA55520" w14:textId="76BDB42F" w:rsidR="00F86251" w:rsidRDefault="002E7B73">
            <w:pPr>
              <w:spacing w:after="0" w:line="276" w:lineRule="auto"/>
              <w:jc w:val="both"/>
              <w:rPr>
                <w:rFonts w:ascii="Gill Sans" w:eastAsia="Gill Sans" w:hAnsi="Gill Sans" w:cs="Gill Sans"/>
              </w:rPr>
            </w:pPr>
            <w:r>
              <w:rPr>
                <w:rFonts w:ascii="Gill Sans" w:eastAsia="Gill Sans" w:hAnsi="Gill Sans" w:cs="Gill Sans"/>
              </w:rPr>
              <w:t>14 April</w:t>
            </w:r>
            <w:r w:rsidR="00000000">
              <w:rPr>
                <w:rFonts w:ascii="Gill Sans" w:eastAsia="Gill Sans" w:hAnsi="Gill Sans" w:cs="Gill Sans"/>
              </w:rPr>
              <w:t xml:space="preserve"> 2023</w:t>
            </w:r>
          </w:p>
        </w:tc>
      </w:tr>
      <w:tr w:rsidR="00F86251" w14:paraId="0B93CDD4" w14:textId="77777777">
        <w:tc>
          <w:tcPr>
            <w:tcW w:w="2689" w:type="dxa"/>
          </w:tcPr>
          <w:p w14:paraId="718215C2" w14:textId="2EF9987A" w:rsidR="00F86251" w:rsidRDefault="00000000">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p>
        </w:tc>
        <w:tc>
          <w:tcPr>
            <w:tcW w:w="6318" w:type="dxa"/>
          </w:tcPr>
          <w:p w14:paraId="2689B28F"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Special Tribunal, Special Investigating Unit, order, unlawful, contracts, rental, assets, application, action, amend, pleadings, discretion, injustice, lacuna, summons, defective, non-compliance, notice, objection, proper service, prejudice, cost order</w:t>
            </w:r>
          </w:p>
        </w:tc>
      </w:tr>
      <w:tr w:rsidR="00F86251" w14:paraId="375E6338" w14:textId="77777777">
        <w:tc>
          <w:tcPr>
            <w:tcW w:w="2689" w:type="dxa"/>
          </w:tcPr>
          <w:p w14:paraId="404BE222" w14:textId="385B3A04" w:rsidR="00F86251" w:rsidRDefault="00000000">
            <w:pPr>
              <w:spacing w:after="0" w:line="276" w:lineRule="auto"/>
              <w:jc w:val="both"/>
              <w:rPr>
                <w:rFonts w:ascii="Gill Sans" w:eastAsia="Gill Sans" w:hAnsi="Gill Sans" w:cs="Gill Sans"/>
              </w:rPr>
            </w:pPr>
            <w:r>
              <w:rPr>
                <w:rFonts w:ascii="Gill Sans" w:eastAsia="Gill Sans" w:hAnsi="Gill Sans" w:cs="Gill Sans"/>
              </w:rPr>
              <w:t>Case type</w:t>
            </w:r>
          </w:p>
        </w:tc>
        <w:tc>
          <w:tcPr>
            <w:tcW w:w="6318" w:type="dxa"/>
          </w:tcPr>
          <w:p w14:paraId="3A2EFAF5"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Application</w:t>
            </w:r>
          </w:p>
        </w:tc>
      </w:tr>
      <w:tr w:rsidR="00F86251" w14:paraId="50C37AD5" w14:textId="77777777">
        <w:tc>
          <w:tcPr>
            <w:tcW w:w="2689" w:type="dxa"/>
          </w:tcPr>
          <w:p w14:paraId="3B11297F"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14:paraId="1C71B1EC"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Granted</w:t>
            </w:r>
          </w:p>
        </w:tc>
      </w:tr>
      <w:tr w:rsidR="00F86251" w14:paraId="25F9F030" w14:textId="77777777">
        <w:tc>
          <w:tcPr>
            <w:tcW w:w="2689" w:type="dxa"/>
          </w:tcPr>
          <w:p w14:paraId="764C1DE2" w14:textId="1ECD800D" w:rsidR="00F86251" w:rsidRDefault="00000000">
            <w:pPr>
              <w:spacing w:after="0" w:line="276" w:lineRule="auto"/>
              <w:jc w:val="both"/>
              <w:rPr>
                <w:rFonts w:ascii="Gill Sans" w:eastAsia="Gill Sans" w:hAnsi="Gill Sans" w:cs="Gill Sans"/>
              </w:rPr>
            </w:pPr>
            <w:r>
              <w:rPr>
                <w:rFonts w:ascii="Gill Sans" w:eastAsia="Gill Sans" w:hAnsi="Gill Sans" w:cs="Gill Sans"/>
              </w:rPr>
              <w:t>Flynote</w:t>
            </w:r>
          </w:p>
        </w:tc>
        <w:tc>
          <w:tcPr>
            <w:tcW w:w="6318" w:type="dxa"/>
          </w:tcPr>
          <w:p w14:paraId="61236581"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b/>
              </w:rPr>
              <w:t>Civil Procedure –</w:t>
            </w:r>
            <w:r>
              <w:rPr>
                <w:rFonts w:ascii="Gill Sans" w:eastAsia="Gill Sans" w:hAnsi="Gill Sans" w:cs="Gill Sans"/>
              </w:rPr>
              <w:t xml:space="preserve"> application of the Uniform Rules to Tribunal proceedings – a party opposing an application must establish appropriate circumstances exist to justify the exercise of the Tribunal’s discretion to invoke the Uniform Rules it seeks to rely upon </w:t>
            </w:r>
          </w:p>
        </w:tc>
      </w:tr>
      <w:tr w:rsidR="00F86251" w14:paraId="7FE98A46" w14:textId="77777777">
        <w:tc>
          <w:tcPr>
            <w:tcW w:w="2689" w:type="dxa"/>
          </w:tcPr>
          <w:p w14:paraId="0080319D" w14:textId="4CB628F8" w:rsidR="00F86251" w:rsidRDefault="00000000">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p>
        </w:tc>
        <w:tc>
          <w:tcPr>
            <w:tcW w:w="6318" w:type="dxa"/>
          </w:tcPr>
          <w:p w14:paraId="50FC1526" w14:textId="77777777" w:rsidR="00F86251"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Rules 28(1), 4(1)(a) and 17(4) of the Uniform Rules of the Court</w:t>
            </w:r>
          </w:p>
          <w:p w14:paraId="71C426B9" w14:textId="77777777" w:rsidR="00F86251"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Tribunal Rule 15</w:t>
            </w:r>
          </w:p>
          <w:p w14:paraId="0D0E7D4C" w14:textId="77777777" w:rsidR="00F86251" w:rsidRDefault="00F86251">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p>
        </w:tc>
      </w:tr>
      <w:tr w:rsidR="00F86251" w14:paraId="1C80475A" w14:textId="77777777">
        <w:tc>
          <w:tcPr>
            <w:tcW w:w="2689" w:type="dxa"/>
          </w:tcPr>
          <w:p w14:paraId="3D6A8C14" w14:textId="034E9F6B" w:rsidR="00F86251" w:rsidRDefault="00000000">
            <w:pPr>
              <w:spacing w:after="0" w:line="276" w:lineRule="auto"/>
              <w:jc w:val="both"/>
              <w:rPr>
                <w:rFonts w:ascii="Gill Sans" w:eastAsia="Gill Sans" w:hAnsi="Gill Sans" w:cs="Gill Sans"/>
              </w:rPr>
            </w:pPr>
            <w:r>
              <w:rPr>
                <w:rFonts w:ascii="Gill Sans" w:eastAsia="Gill Sans" w:hAnsi="Gill Sans" w:cs="Gill Sans"/>
              </w:rPr>
              <w:t>Cases cited as authority</w:t>
            </w:r>
          </w:p>
        </w:tc>
        <w:tc>
          <w:tcPr>
            <w:tcW w:w="6318" w:type="dxa"/>
          </w:tcPr>
          <w:p w14:paraId="3B8C9D6E" w14:textId="77777777" w:rsidR="00F86251" w:rsidRDefault="00000000">
            <w:pPr>
              <w:numPr>
                <w:ilvl w:val="0"/>
                <w:numId w:val="1"/>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N/a</w:t>
            </w:r>
          </w:p>
        </w:tc>
      </w:tr>
      <w:tr w:rsidR="00F86251" w14:paraId="68BEEAF3" w14:textId="77777777">
        <w:tc>
          <w:tcPr>
            <w:tcW w:w="2689" w:type="dxa"/>
          </w:tcPr>
          <w:p w14:paraId="003DF8A1" w14:textId="7DA46A19" w:rsidR="00F86251" w:rsidRDefault="00000000">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p>
          <w:p w14:paraId="6477DD0D" w14:textId="77777777" w:rsidR="00F86251" w:rsidRDefault="00F86251">
            <w:pPr>
              <w:tabs>
                <w:tab w:val="right" w:pos="2473"/>
              </w:tabs>
              <w:spacing w:after="0" w:line="276" w:lineRule="auto"/>
              <w:jc w:val="both"/>
              <w:rPr>
                <w:rFonts w:ascii="Gill Sans" w:eastAsia="Gill Sans" w:hAnsi="Gill Sans" w:cs="Gill Sans"/>
              </w:rPr>
            </w:pPr>
          </w:p>
        </w:tc>
        <w:tc>
          <w:tcPr>
            <w:tcW w:w="6318" w:type="dxa"/>
          </w:tcPr>
          <w:p w14:paraId="65682E23"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In the main action, the plaintiff, the Special Investigating Unit (</w:t>
            </w:r>
            <w:r>
              <w:rPr>
                <w:rFonts w:ascii="Gill Sans" w:eastAsia="Gill Sans" w:hAnsi="Gill Sans" w:cs="Gill Sans"/>
                <w:b/>
              </w:rPr>
              <w:t>SIU</w:t>
            </w:r>
            <w:r>
              <w:rPr>
                <w:rFonts w:ascii="Gill Sans" w:eastAsia="Gill Sans" w:hAnsi="Gill Sans" w:cs="Gill Sans"/>
              </w:rPr>
              <w:t>), sought an order declaring unlawful and setting aside contracts concluded between the first and second defendants for the rental of assets. The SIU later brought an application seeking several amendments to its particulars of claim, relating mainly to the correction of the citation of the second defendant (</w:t>
            </w:r>
            <w:r>
              <w:rPr>
                <w:rFonts w:ascii="Gill Sans" w:eastAsia="Gill Sans" w:hAnsi="Gill Sans" w:cs="Gill Sans"/>
                <w:b/>
              </w:rPr>
              <w:t>Amendment Application</w:t>
            </w:r>
            <w:r>
              <w:rPr>
                <w:rFonts w:ascii="Gill Sans" w:eastAsia="Gill Sans" w:hAnsi="Gill Sans" w:cs="Gill Sans"/>
              </w:rPr>
              <w:t>). Kwane Capital (Pty) Ltd (</w:t>
            </w:r>
            <w:r>
              <w:rPr>
                <w:rFonts w:ascii="Gill Sans" w:eastAsia="Gill Sans" w:hAnsi="Gill Sans" w:cs="Gill Sans"/>
                <w:b/>
              </w:rPr>
              <w:t>Kwane Capital</w:t>
            </w:r>
            <w:r>
              <w:rPr>
                <w:rFonts w:ascii="Gill Sans" w:eastAsia="Gill Sans" w:hAnsi="Gill Sans" w:cs="Gill Sans"/>
              </w:rPr>
              <w:t xml:space="preserve">), a party not cited in the main action, opposed the Amendment Application. </w:t>
            </w:r>
          </w:p>
        </w:tc>
      </w:tr>
      <w:tr w:rsidR="00F86251" w14:paraId="7889F2E8" w14:textId="77777777">
        <w:tc>
          <w:tcPr>
            <w:tcW w:w="2689" w:type="dxa"/>
          </w:tcPr>
          <w:p w14:paraId="7F485E3D" w14:textId="27873AFE" w:rsidR="00F86251" w:rsidRDefault="00000000">
            <w:pPr>
              <w:spacing w:after="0" w:line="276" w:lineRule="auto"/>
              <w:jc w:val="both"/>
              <w:rPr>
                <w:rFonts w:ascii="Gill Sans" w:eastAsia="Gill Sans" w:hAnsi="Gill Sans" w:cs="Gill Sans"/>
              </w:rPr>
            </w:pPr>
            <w:r>
              <w:rPr>
                <w:rFonts w:ascii="Gill Sans" w:eastAsia="Gill Sans" w:hAnsi="Gill Sans" w:cs="Gill Sans"/>
              </w:rPr>
              <w:t>Summary</w:t>
            </w:r>
          </w:p>
        </w:tc>
        <w:tc>
          <w:tcPr>
            <w:tcW w:w="6318" w:type="dxa"/>
          </w:tcPr>
          <w:p w14:paraId="165454EE" w14:textId="77777777" w:rsidR="00F86251" w:rsidRDefault="00000000">
            <w:pPr>
              <w:spacing w:after="0" w:line="276" w:lineRule="auto"/>
              <w:jc w:val="both"/>
              <w:rPr>
                <w:rFonts w:ascii="Gill Sans" w:eastAsia="Gill Sans" w:hAnsi="Gill Sans" w:cs="Gill Sans"/>
              </w:rPr>
            </w:pPr>
            <w:bookmarkStart w:id="0" w:name="_heading=h.gjdgxs" w:colFirst="0" w:colLast="0"/>
            <w:bookmarkEnd w:id="0"/>
            <w:r>
              <w:rPr>
                <w:rFonts w:ascii="Gill Sans" w:eastAsia="Gill Sans" w:hAnsi="Gill Sans" w:cs="Gill Sans"/>
              </w:rPr>
              <w:t>Kwane Capital relied on Tribunal Rule 28(1) to invoke the application of the Uniform Rules to oppose the Amendment Application on the following grounds:</w:t>
            </w:r>
          </w:p>
          <w:p w14:paraId="3C4AF139" w14:textId="77777777" w:rsidR="00F86251" w:rsidRDefault="00000000">
            <w:pPr>
              <w:numPr>
                <w:ilvl w:val="0"/>
                <w:numId w:val="2"/>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that the summons was defectively served on non-existent entities;</w:t>
            </w:r>
          </w:p>
          <w:p w14:paraId="2214EB7B" w14:textId="77777777" w:rsidR="00F86251" w:rsidRDefault="00000000">
            <w:pPr>
              <w:numPr>
                <w:ilvl w:val="0"/>
                <w:numId w:val="2"/>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th</w:t>
            </w:r>
            <w:r>
              <w:rPr>
                <w:rFonts w:ascii="Gill Sans" w:eastAsia="Gill Sans" w:hAnsi="Gill Sans" w:cs="Gill Sans"/>
              </w:rPr>
              <w:t>at there was no</w:t>
            </w:r>
            <w:r>
              <w:rPr>
                <w:rFonts w:ascii="Gill Sans" w:eastAsia="Gill Sans" w:hAnsi="Gill Sans" w:cs="Gill Sans"/>
                <w:color w:val="000000"/>
              </w:rPr>
              <w:t xml:space="preserve"> proper service of </w:t>
            </w:r>
            <w:r>
              <w:rPr>
                <w:rFonts w:ascii="Gill Sans" w:eastAsia="Gill Sans" w:hAnsi="Gill Sans" w:cs="Gill Sans"/>
              </w:rPr>
              <w:t>summons</w:t>
            </w:r>
            <w:r>
              <w:rPr>
                <w:rFonts w:ascii="Gill Sans" w:eastAsia="Gill Sans" w:hAnsi="Gill Sans" w:cs="Gill Sans"/>
                <w:color w:val="000000"/>
              </w:rPr>
              <w:t xml:space="preserve"> on Kwane Capital; and </w:t>
            </w:r>
          </w:p>
          <w:p w14:paraId="179A8402" w14:textId="77777777" w:rsidR="00F86251" w:rsidRDefault="00000000">
            <w:pPr>
              <w:numPr>
                <w:ilvl w:val="0"/>
                <w:numId w:val="2"/>
              </w:num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lastRenderedPageBreak/>
              <w:t xml:space="preserve">that it was prevented from raising a special plea due to the defective service. </w:t>
            </w:r>
          </w:p>
          <w:p w14:paraId="1DC70EA8" w14:textId="77777777" w:rsidR="00F86251" w:rsidRDefault="00000000">
            <w:pPr>
              <w:spacing w:after="0" w:line="276" w:lineRule="auto"/>
              <w:jc w:val="both"/>
              <w:rPr>
                <w:rFonts w:ascii="Gill Sans" w:eastAsia="Gill Sans" w:hAnsi="Gill Sans" w:cs="Gill Sans"/>
              </w:rPr>
            </w:pPr>
            <w:bookmarkStart w:id="1" w:name="_heading=h.jnwmbrohwg7k" w:colFirst="0" w:colLast="0"/>
            <w:bookmarkEnd w:id="1"/>
            <w:r>
              <w:rPr>
                <w:rFonts w:ascii="Gill Sans" w:eastAsia="Gill Sans" w:hAnsi="Gill Sans" w:cs="Gill Sans"/>
              </w:rPr>
              <w:t xml:space="preserve">The Special Tribunal was asked to exercise its discretion in determining whether Kwane Capital could rely on the Uniform Rules it invoked, by considering whether the grounds of objection raised by Kwane Capital adequately established appropriate circumstances to justify this.  </w:t>
            </w:r>
          </w:p>
        </w:tc>
      </w:tr>
      <w:tr w:rsidR="00F86251" w14:paraId="20515226" w14:textId="77777777">
        <w:tc>
          <w:tcPr>
            <w:tcW w:w="2689" w:type="dxa"/>
          </w:tcPr>
          <w:p w14:paraId="5F38B11B" w14:textId="09EEEA22" w:rsidR="00F86251" w:rsidRDefault="00000000">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p>
        </w:tc>
        <w:tc>
          <w:tcPr>
            <w:tcW w:w="6318" w:type="dxa"/>
          </w:tcPr>
          <w:p w14:paraId="1CEF3858" w14:textId="77777777" w:rsidR="00F86251" w:rsidRDefault="00000000">
            <w:pPr>
              <w:spacing w:after="0"/>
              <w:jc w:val="both"/>
              <w:rPr>
                <w:rFonts w:ascii="Gill Sans" w:eastAsia="Gill Sans" w:hAnsi="Gill Sans" w:cs="Gill Sans"/>
              </w:rPr>
            </w:pPr>
            <w:r>
              <w:rPr>
                <w:rFonts w:ascii="Gill Sans" w:eastAsia="Gill Sans" w:hAnsi="Gill Sans" w:cs="Gill Sans"/>
              </w:rPr>
              <w:t xml:space="preserve">The Special Tribunal dismissed Kwane Capital’s grounds of objection and the Amendment Application was granted. </w:t>
            </w:r>
          </w:p>
        </w:tc>
      </w:tr>
      <w:tr w:rsidR="00F86251" w14:paraId="7ABCE631" w14:textId="77777777">
        <w:tc>
          <w:tcPr>
            <w:tcW w:w="2689" w:type="dxa"/>
          </w:tcPr>
          <w:p w14:paraId="6AC94EE6" w14:textId="2D98D53F" w:rsidR="00F86251" w:rsidRDefault="00000000">
            <w:pPr>
              <w:spacing w:after="0" w:line="276" w:lineRule="auto"/>
              <w:jc w:val="both"/>
              <w:rPr>
                <w:rFonts w:ascii="Gill Sans" w:eastAsia="Gill Sans" w:hAnsi="Gill Sans" w:cs="Gill Sans"/>
              </w:rPr>
            </w:pPr>
            <w:r>
              <w:rPr>
                <w:rFonts w:ascii="Gill Sans" w:eastAsia="Gill Sans" w:hAnsi="Gill Sans" w:cs="Gill Sans"/>
              </w:rPr>
              <w:t>Basis of the decision</w:t>
            </w:r>
          </w:p>
        </w:tc>
        <w:tc>
          <w:tcPr>
            <w:tcW w:w="6318" w:type="dxa"/>
          </w:tcPr>
          <w:p w14:paraId="47E4B841"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 xml:space="preserve">The Special Tribunal found that Kwane Capital’s grounds of objection had no merit. Despite Kwane Capital’s submission that the summons was defectively served on non-existent entities and that the summons was not properly served, Kwane Capital did in fact receive the notice of the main action and had accordingly responded. Furthermore, Kwane Capital’s complaint that it was unable to file a special plea was unfounded as it would still be able to do so once the SIU had amended its particulars of claims and properly cited Kwane Capital. The Special Tribunal, therefore, found that Kwane Capital would not suffer any prejudice as a result of the SIU’s proposed amendments and that the circumstances did not justify the invocation of the Uniform Rules on which Kwane Capital relied in its objection. </w:t>
            </w:r>
          </w:p>
          <w:p w14:paraId="2C7D6244" w14:textId="77777777" w:rsidR="00F86251" w:rsidRDefault="00F86251">
            <w:pPr>
              <w:spacing w:after="0" w:line="276" w:lineRule="auto"/>
              <w:jc w:val="both"/>
              <w:rPr>
                <w:rFonts w:ascii="Gill Sans" w:eastAsia="Gill Sans" w:hAnsi="Gill Sans" w:cs="Gill Sans"/>
              </w:rPr>
            </w:pPr>
          </w:p>
          <w:p w14:paraId="612F9D92"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 xml:space="preserve">The Special Tribunal also ordered Kwane Capital to pay the costs of its opposition as the grounds of objection raised lacked merit and Kwane Capital had unnecessarily delayed the proceedings.  </w:t>
            </w:r>
          </w:p>
        </w:tc>
      </w:tr>
      <w:tr w:rsidR="00F86251" w14:paraId="27A10F64" w14:textId="77777777">
        <w:tc>
          <w:tcPr>
            <w:tcW w:w="2689" w:type="dxa"/>
          </w:tcPr>
          <w:p w14:paraId="3BD7E52E"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Reported by</w:t>
            </w:r>
          </w:p>
          <w:p w14:paraId="647FE775"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19DF53DD" w14:textId="77777777" w:rsidR="00F86251" w:rsidRDefault="00000000">
            <w:pPr>
              <w:spacing w:after="0" w:line="276" w:lineRule="auto"/>
              <w:jc w:val="both"/>
              <w:rPr>
                <w:rFonts w:ascii="Gill Sans" w:eastAsia="Gill Sans" w:hAnsi="Gill Sans" w:cs="Gill Sans"/>
              </w:rPr>
            </w:pPr>
            <w:r>
              <w:rPr>
                <w:rFonts w:ascii="Gill Sans" w:eastAsia="Gill Sans" w:hAnsi="Gill Sans" w:cs="Gill Sans"/>
              </w:rPr>
              <w:t>African Legal Information Institute (</w:t>
            </w:r>
            <w:hyperlink r:id="rId8">
              <w:r>
                <w:rPr>
                  <w:rFonts w:ascii="Gill Sans" w:eastAsia="Gill Sans" w:hAnsi="Gill Sans" w:cs="Gill Sans"/>
                  <w:color w:val="1155CC"/>
                  <w:u w:val="single"/>
                </w:rPr>
                <w:t>AfricanLII</w:t>
              </w:r>
            </w:hyperlink>
            <w:r>
              <w:rPr>
                <w:rFonts w:ascii="Gill Sans" w:eastAsia="Gill Sans" w:hAnsi="Gill Sans" w:cs="Gill Sans"/>
              </w:rPr>
              <w:t>)</w:t>
            </w:r>
          </w:p>
        </w:tc>
      </w:tr>
    </w:tbl>
    <w:p w14:paraId="68D83B74" w14:textId="77777777" w:rsidR="00F86251" w:rsidRDefault="00F86251">
      <w:pPr>
        <w:spacing w:after="0" w:line="276" w:lineRule="auto"/>
        <w:jc w:val="both"/>
        <w:rPr>
          <w:rFonts w:ascii="Gill Sans" w:eastAsia="Gill Sans" w:hAnsi="Gill Sans" w:cs="Gill Sans"/>
        </w:rPr>
      </w:pPr>
    </w:p>
    <w:p w14:paraId="4A6DBFF6" w14:textId="77777777" w:rsidR="00F86251" w:rsidRDefault="00F86251">
      <w:pPr>
        <w:rPr>
          <w:rFonts w:ascii="Gill Sans" w:eastAsia="Gill Sans" w:hAnsi="Gill Sans" w:cs="Gill Sans"/>
        </w:rPr>
      </w:pPr>
    </w:p>
    <w:p w14:paraId="6F6A0CA4" w14:textId="77777777" w:rsidR="00F86251" w:rsidRDefault="00F86251"/>
    <w:p w14:paraId="5273EC55" w14:textId="77777777" w:rsidR="00F86251" w:rsidRDefault="00F86251"/>
    <w:p w14:paraId="443E635A" w14:textId="77777777" w:rsidR="00F86251" w:rsidRDefault="00F86251"/>
    <w:sectPr w:rsidR="00F8625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B0D9" w14:textId="77777777" w:rsidR="004E1737" w:rsidRDefault="004E1737">
      <w:pPr>
        <w:spacing w:after="0" w:line="240" w:lineRule="auto"/>
      </w:pPr>
      <w:r>
        <w:separator/>
      </w:r>
    </w:p>
  </w:endnote>
  <w:endnote w:type="continuationSeparator" w:id="0">
    <w:p w14:paraId="2B484265" w14:textId="77777777" w:rsidR="004E1737" w:rsidRDefault="004E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8DED" w14:textId="77777777" w:rsidR="004E1737" w:rsidRDefault="004E1737">
      <w:pPr>
        <w:spacing w:after="0" w:line="240" w:lineRule="auto"/>
      </w:pPr>
      <w:r>
        <w:separator/>
      </w:r>
    </w:p>
  </w:footnote>
  <w:footnote w:type="continuationSeparator" w:id="0">
    <w:p w14:paraId="7B59AF85" w14:textId="77777777" w:rsidR="004E1737" w:rsidRDefault="004E1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B47BD"/>
    <w:multiLevelType w:val="multilevel"/>
    <w:tmpl w:val="9D8C9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7F37E1"/>
    <w:multiLevelType w:val="multilevel"/>
    <w:tmpl w:val="DB249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7241759">
    <w:abstractNumId w:val="1"/>
  </w:num>
  <w:num w:numId="2" w16cid:durableId="174891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51"/>
    <w:rsid w:val="002E7B73"/>
    <w:rsid w:val="004E1737"/>
    <w:rsid w:val="007276A3"/>
    <w:rsid w:val="00F862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4F25"/>
  <w15:docId w15:val="{ABBAF63E-3AC6-4DA0-9895-1EA9FAF9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fricanli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UazOGlWnhEQx/0pwRrUqBkL2jw==">AMUW2mVhdzHFrARDxzsIexpJqkeoPIXORlL990XMJeiaBNWzdi5GhBJc6UMVDfmx2t/JRWJUPm9RXdwnzjjI8uM5eD4AqEBqj0Ew+7J4H/aXr7IQWGPR9DjvWcGxW1AeRSaMNdESIHjHN1znyEMtZhBA6S4u/cVBeA==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Inge Papp</cp:lastModifiedBy>
  <cp:revision>3</cp:revision>
  <dcterms:created xsi:type="dcterms:W3CDTF">2023-03-23T18:25:00Z</dcterms:created>
  <dcterms:modified xsi:type="dcterms:W3CDTF">2023-04-14T06:01:00Z</dcterms:modified>
</cp:coreProperties>
</file>