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263F" w14:textId="77777777" w:rsidR="003069A6" w:rsidRDefault="00000000">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SPECIAL TRIBUNAL OF SOUTH AFRICA</w:t>
      </w:r>
    </w:p>
    <w:p w14:paraId="5D5CF19D" w14:textId="77777777" w:rsidR="003069A6" w:rsidRDefault="00000000">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14:paraId="51ADECC0" w14:textId="77777777" w:rsidR="003069A6" w:rsidRDefault="003069A6">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3069A6" w14:paraId="44027D64" w14:textId="77777777">
        <w:tc>
          <w:tcPr>
            <w:tcW w:w="9007" w:type="dxa"/>
            <w:gridSpan w:val="2"/>
          </w:tcPr>
          <w:p w14:paraId="18605DFD" w14:textId="77777777" w:rsidR="003069A6" w:rsidRDefault="00000000">
            <w:pPr>
              <w:spacing w:after="0" w:line="276" w:lineRule="auto"/>
              <w:jc w:val="center"/>
              <w:rPr>
                <w:rFonts w:ascii="Gill Sans" w:eastAsia="Gill Sans" w:hAnsi="Gill Sans" w:cs="Gill Sans"/>
                <w:b/>
                <w:i/>
              </w:rPr>
            </w:pPr>
            <w:r>
              <w:rPr>
                <w:rFonts w:ascii="Gill Sans" w:eastAsia="Gill Sans" w:hAnsi="Gill Sans" w:cs="Gill Sans"/>
                <w:b/>
                <w:i/>
              </w:rPr>
              <w:t xml:space="preserve">Special Investigating Unit v </w:t>
            </w:r>
            <w:proofErr w:type="spellStart"/>
            <w:r>
              <w:rPr>
                <w:rFonts w:ascii="Gill Sans" w:eastAsia="Gill Sans" w:hAnsi="Gill Sans" w:cs="Gill Sans"/>
                <w:b/>
                <w:i/>
              </w:rPr>
              <w:t>Cultiver</w:t>
            </w:r>
            <w:proofErr w:type="spellEnd"/>
            <w:r>
              <w:rPr>
                <w:rFonts w:ascii="Gill Sans" w:eastAsia="Gill Sans" w:hAnsi="Gill Sans" w:cs="Gill Sans"/>
                <w:b/>
                <w:i/>
              </w:rPr>
              <w:t xml:space="preserve"> Investments (Pty) Ltd and Others </w:t>
            </w:r>
          </w:p>
        </w:tc>
      </w:tr>
      <w:tr w:rsidR="003069A6" w14:paraId="0653C1C9" w14:textId="77777777">
        <w:tc>
          <w:tcPr>
            <w:tcW w:w="2689" w:type="dxa"/>
          </w:tcPr>
          <w:p w14:paraId="2E912DEF"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129C040A" w14:textId="66D5E696" w:rsidR="003069A6" w:rsidRDefault="009F7D5C">
            <w:pPr>
              <w:spacing w:after="0" w:line="276" w:lineRule="auto"/>
              <w:jc w:val="both"/>
              <w:rPr>
                <w:rFonts w:ascii="Gill Sans" w:eastAsia="Gill Sans" w:hAnsi="Gill Sans" w:cs="Gill Sans"/>
              </w:rPr>
            </w:pPr>
            <w:r w:rsidRPr="009F7D5C">
              <w:rPr>
                <w:rFonts w:ascii="Gill Sans" w:eastAsia="Gill Sans" w:hAnsi="Gill Sans" w:cs="Gill Sans"/>
              </w:rPr>
              <w:t>https://lawlibrary.org.za/akn/za/judgment/zast/2023/9/eng@2023-04-19</w:t>
            </w:r>
          </w:p>
        </w:tc>
      </w:tr>
      <w:tr w:rsidR="003069A6" w14:paraId="7290E754" w14:textId="77777777">
        <w:tc>
          <w:tcPr>
            <w:tcW w:w="2689" w:type="dxa"/>
          </w:tcPr>
          <w:p w14:paraId="563E00CD"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23B1AEF0" w14:textId="74A9EBAB" w:rsidR="003069A6" w:rsidRDefault="009F7D5C">
            <w:pPr>
              <w:spacing w:after="0" w:line="276" w:lineRule="auto"/>
              <w:jc w:val="both"/>
              <w:rPr>
                <w:rFonts w:ascii="Gill Sans" w:eastAsia="Gill Sans" w:hAnsi="Gill Sans" w:cs="Gill Sans"/>
              </w:rPr>
            </w:pPr>
            <w:r w:rsidRPr="009F7D5C">
              <w:rPr>
                <w:rFonts w:ascii="Gill Sans" w:eastAsia="Gill Sans" w:hAnsi="Gill Sans" w:cs="Gill Sans"/>
              </w:rPr>
              <w:t>[2023] ZAST 9</w:t>
            </w:r>
          </w:p>
        </w:tc>
      </w:tr>
      <w:tr w:rsidR="003069A6" w14:paraId="0C2F30D7" w14:textId="77777777">
        <w:tc>
          <w:tcPr>
            <w:tcW w:w="2689" w:type="dxa"/>
          </w:tcPr>
          <w:p w14:paraId="3C077FEC"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06C344B3" w14:textId="25458661" w:rsidR="003069A6" w:rsidRDefault="009F7D5C">
            <w:pPr>
              <w:spacing w:after="0" w:line="276" w:lineRule="auto"/>
              <w:jc w:val="both"/>
              <w:rPr>
                <w:rFonts w:ascii="Gill Sans" w:eastAsia="Gill Sans" w:hAnsi="Gill Sans" w:cs="Gill Sans"/>
              </w:rPr>
            </w:pPr>
            <w:r>
              <w:rPr>
                <w:rFonts w:ascii="Gill Sans" w:eastAsia="Gill Sans" w:hAnsi="Gill Sans" w:cs="Gill Sans"/>
              </w:rPr>
              <w:t>19 April 2023</w:t>
            </w:r>
          </w:p>
        </w:tc>
      </w:tr>
      <w:tr w:rsidR="003069A6" w14:paraId="13ACBDF7" w14:textId="77777777">
        <w:tc>
          <w:tcPr>
            <w:tcW w:w="2689" w:type="dxa"/>
          </w:tcPr>
          <w:p w14:paraId="09716939" w14:textId="724C1282" w:rsidR="003069A6" w:rsidRDefault="00000000">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p>
        </w:tc>
        <w:tc>
          <w:tcPr>
            <w:tcW w:w="6318" w:type="dxa"/>
          </w:tcPr>
          <w:p w14:paraId="5EDE5D43"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Application, Special Investigating Unit, Special Tribunal, land acquisition, lease agreement, land reform, agriculture, impugned decisions, condonation, irregular, opposition, irrational, inappropriate, political interference, prejudice, food chain, farming operations, jurisdiction, shareholder agreement, caretaker agreement, shareholding, external, internal, investigation, grant funding, due diligence, business rescue practitioner, long-term lease, process, viable project, emerging farmers, fruitless and wasteful expenditure, review, principle of legality, reasonable time, discretion, delay, interests of justice, factual enquiry, prospects of success, maladministration, just and equitable relief, constitutional values, unlawful occupation</w:t>
            </w:r>
          </w:p>
        </w:tc>
      </w:tr>
      <w:tr w:rsidR="003069A6" w14:paraId="6788BAEB" w14:textId="77777777">
        <w:tc>
          <w:tcPr>
            <w:tcW w:w="2689" w:type="dxa"/>
          </w:tcPr>
          <w:p w14:paraId="65007269" w14:textId="6B6EF278" w:rsidR="003069A6" w:rsidRDefault="00000000">
            <w:pPr>
              <w:spacing w:after="0" w:line="276" w:lineRule="auto"/>
              <w:jc w:val="both"/>
              <w:rPr>
                <w:rFonts w:ascii="Gill Sans" w:eastAsia="Gill Sans" w:hAnsi="Gill Sans" w:cs="Gill Sans"/>
              </w:rPr>
            </w:pPr>
            <w:r>
              <w:rPr>
                <w:rFonts w:ascii="Gill Sans" w:eastAsia="Gill Sans" w:hAnsi="Gill Sans" w:cs="Gill Sans"/>
              </w:rPr>
              <w:t>Case type</w:t>
            </w:r>
          </w:p>
        </w:tc>
        <w:tc>
          <w:tcPr>
            <w:tcW w:w="6318" w:type="dxa"/>
          </w:tcPr>
          <w:p w14:paraId="5D322380"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 xml:space="preserve">Application </w:t>
            </w:r>
          </w:p>
        </w:tc>
      </w:tr>
      <w:tr w:rsidR="003069A6" w14:paraId="37737456" w14:textId="77777777">
        <w:tc>
          <w:tcPr>
            <w:tcW w:w="2689" w:type="dxa"/>
          </w:tcPr>
          <w:p w14:paraId="0377A5E9"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14:paraId="20249BA3"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 xml:space="preserve">Granted </w:t>
            </w:r>
          </w:p>
        </w:tc>
      </w:tr>
      <w:tr w:rsidR="003069A6" w14:paraId="420F1EA1" w14:textId="77777777">
        <w:tc>
          <w:tcPr>
            <w:tcW w:w="2689" w:type="dxa"/>
          </w:tcPr>
          <w:p w14:paraId="6342E2F4" w14:textId="1A58DF81" w:rsidR="003069A6" w:rsidRDefault="00000000">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p>
        </w:tc>
        <w:tc>
          <w:tcPr>
            <w:tcW w:w="6318" w:type="dxa"/>
          </w:tcPr>
          <w:p w14:paraId="18099112"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b/>
              </w:rPr>
              <w:t xml:space="preserve">Special Tribunal </w:t>
            </w:r>
            <w:r>
              <w:rPr>
                <w:rFonts w:ascii="Gill Sans" w:eastAsia="Gill Sans" w:hAnsi="Gill Sans" w:cs="Gill Sans"/>
              </w:rPr>
              <w:t xml:space="preserve">– review application – sufficient information must be placed before the Tribunal to enable the Tribunal to determine consequential relief in terms of the SIU Act </w:t>
            </w:r>
          </w:p>
        </w:tc>
      </w:tr>
      <w:tr w:rsidR="003069A6" w14:paraId="652BD728" w14:textId="77777777">
        <w:tc>
          <w:tcPr>
            <w:tcW w:w="2689" w:type="dxa"/>
          </w:tcPr>
          <w:p w14:paraId="5916DE14" w14:textId="5E831FB8" w:rsidR="003069A6" w:rsidRDefault="00000000">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p>
        </w:tc>
        <w:tc>
          <w:tcPr>
            <w:tcW w:w="6318" w:type="dxa"/>
          </w:tcPr>
          <w:p w14:paraId="5D528C11" w14:textId="77777777" w:rsidR="003069A6"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Section 10 of the Provision of Land Assistance Act</w:t>
            </w:r>
          </w:p>
          <w:p w14:paraId="42D44A1B" w14:textId="77777777" w:rsidR="003069A6"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Section 4(1)(c) of the Special Investigations Unit and Special Tribunals Act (</w:t>
            </w:r>
            <w:r>
              <w:rPr>
                <w:rFonts w:ascii="Gill Sans" w:eastAsia="Gill Sans" w:hAnsi="Gill Sans" w:cs="Gill Sans"/>
                <w:b/>
                <w:color w:val="000000"/>
              </w:rPr>
              <w:t>SIU Act</w:t>
            </w:r>
            <w:r>
              <w:rPr>
                <w:rFonts w:ascii="Gill Sans" w:eastAsia="Gill Sans" w:hAnsi="Gill Sans" w:cs="Gill Sans"/>
                <w:color w:val="000000"/>
              </w:rPr>
              <w:t>)</w:t>
            </w:r>
          </w:p>
        </w:tc>
      </w:tr>
      <w:tr w:rsidR="003069A6" w14:paraId="1108AB31" w14:textId="77777777">
        <w:tc>
          <w:tcPr>
            <w:tcW w:w="2689" w:type="dxa"/>
          </w:tcPr>
          <w:p w14:paraId="5DEA0234" w14:textId="6764B719" w:rsidR="003069A6" w:rsidRDefault="00000000">
            <w:pPr>
              <w:spacing w:after="0" w:line="276" w:lineRule="auto"/>
              <w:jc w:val="both"/>
              <w:rPr>
                <w:rFonts w:ascii="Gill Sans" w:eastAsia="Gill Sans" w:hAnsi="Gill Sans" w:cs="Gill Sans"/>
              </w:rPr>
            </w:pPr>
            <w:r>
              <w:rPr>
                <w:rFonts w:ascii="Gill Sans" w:eastAsia="Gill Sans" w:hAnsi="Gill Sans" w:cs="Gill Sans"/>
              </w:rPr>
              <w:t>Cases cited as authority</w:t>
            </w:r>
          </w:p>
        </w:tc>
        <w:tc>
          <w:tcPr>
            <w:tcW w:w="6318" w:type="dxa"/>
          </w:tcPr>
          <w:p w14:paraId="75637B93" w14:textId="77777777" w:rsidR="003069A6"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 xml:space="preserve">Buffalo City Metropolitan Municipality v </w:t>
            </w:r>
            <w:proofErr w:type="spellStart"/>
            <w:r>
              <w:rPr>
                <w:rFonts w:ascii="Gill Sans" w:eastAsia="Gill Sans" w:hAnsi="Gill Sans" w:cs="Gill Sans"/>
                <w:color w:val="000000"/>
              </w:rPr>
              <w:t>Asla</w:t>
            </w:r>
            <w:proofErr w:type="spellEnd"/>
            <w:r>
              <w:rPr>
                <w:rFonts w:ascii="Gill Sans" w:eastAsia="Gill Sans" w:hAnsi="Gill Sans" w:cs="Gill Sans"/>
                <w:color w:val="000000"/>
              </w:rPr>
              <w:t xml:space="preserve"> Construction (Pty) Limited (CCT91/17) [2019] ZACC 15; 2019 (6) BCLR 661 (CC); 2019 (4) SA 331 (CC)</w:t>
            </w:r>
          </w:p>
          <w:p w14:paraId="0488ABD2" w14:textId="77777777" w:rsidR="003069A6"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Democratic Alliance v President of the Republic of South Africa and Others 2013 (1) SA 248 (CC)</w:t>
            </w:r>
          </w:p>
          <w:p w14:paraId="0A343CAF" w14:textId="77777777" w:rsidR="003069A6"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proofErr w:type="spellStart"/>
            <w:r>
              <w:rPr>
                <w:rFonts w:ascii="Gill Sans" w:eastAsia="Gill Sans" w:hAnsi="Gill Sans" w:cs="Gill Sans"/>
                <w:color w:val="000000"/>
              </w:rPr>
              <w:t>Ledla</w:t>
            </w:r>
            <w:proofErr w:type="spellEnd"/>
            <w:r>
              <w:rPr>
                <w:rFonts w:ascii="Gill Sans" w:eastAsia="Gill Sans" w:hAnsi="Gill Sans" w:cs="Gill Sans"/>
                <w:color w:val="000000"/>
              </w:rPr>
              <w:t xml:space="preserve"> Structural Development (Pty) Ltd and Others v Special Investigating Unit [2023] ZACC 8</w:t>
            </w:r>
          </w:p>
        </w:tc>
      </w:tr>
      <w:tr w:rsidR="003069A6" w14:paraId="79C9CDF0" w14:textId="77777777">
        <w:tc>
          <w:tcPr>
            <w:tcW w:w="2689" w:type="dxa"/>
          </w:tcPr>
          <w:p w14:paraId="149C3153" w14:textId="1DD13172" w:rsidR="003069A6" w:rsidRDefault="00000000">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r>
              <w:rPr>
                <w:rFonts w:ascii="Gill Sans" w:eastAsia="Gill Sans" w:hAnsi="Gill Sans" w:cs="Gill Sans"/>
              </w:rPr>
              <w:tab/>
            </w:r>
          </w:p>
          <w:p w14:paraId="471CEB4F" w14:textId="77777777" w:rsidR="003069A6" w:rsidRDefault="003069A6">
            <w:pPr>
              <w:tabs>
                <w:tab w:val="right" w:pos="2473"/>
              </w:tabs>
              <w:spacing w:after="0" w:line="276" w:lineRule="auto"/>
              <w:jc w:val="both"/>
              <w:rPr>
                <w:rFonts w:ascii="Gill Sans" w:eastAsia="Gill Sans" w:hAnsi="Gill Sans" w:cs="Gill Sans"/>
              </w:rPr>
            </w:pPr>
          </w:p>
        </w:tc>
        <w:tc>
          <w:tcPr>
            <w:tcW w:w="6318" w:type="dxa"/>
          </w:tcPr>
          <w:p w14:paraId="3B7C0B58"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 xml:space="preserve">The Department of Rural Development and Land Reform (the </w:t>
            </w:r>
            <w:r>
              <w:rPr>
                <w:rFonts w:ascii="Gill Sans" w:eastAsia="Gill Sans" w:hAnsi="Gill Sans" w:cs="Gill Sans"/>
                <w:b/>
              </w:rPr>
              <w:t>Department</w:t>
            </w:r>
            <w:r>
              <w:rPr>
                <w:rFonts w:ascii="Gill Sans" w:eastAsia="Gill Sans" w:hAnsi="Gill Sans" w:cs="Gill Sans"/>
              </w:rPr>
              <w:t xml:space="preserve">) acquired various properties belonging to Mike’s Chicken and appointed </w:t>
            </w:r>
            <w:proofErr w:type="spellStart"/>
            <w:r>
              <w:rPr>
                <w:rFonts w:ascii="Gill Sans" w:eastAsia="Gill Sans" w:hAnsi="Gill Sans" w:cs="Gill Sans"/>
              </w:rPr>
              <w:t>Cultiver</w:t>
            </w:r>
            <w:proofErr w:type="spellEnd"/>
            <w:r>
              <w:rPr>
                <w:rFonts w:ascii="Gill Sans" w:eastAsia="Gill Sans" w:hAnsi="Gill Sans" w:cs="Gill Sans"/>
              </w:rPr>
              <w:t xml:space="preserve"> Investments (Pty) Ltd (</w:t>
            </w:r>
            <w:proofErr w:type="spellStart"/>
            <w:r>
              <w:rPr>
                <w:rFonts w:ascii="Gill Sans" w:eastAsia="Gill Sans" w:hAnsi="Gill Sans" w:cs="Gill Sans"/>
                <w:b/>
              </w:rPr>
              <w:t>Cultiver</w:t>
            </w:r>
            <w:proofErr w:type="spellEnd"/>
            <w:r>
              <w:rPr>
                <w:rFonts w:ascii="Gill Sans" w:eastAsia="Gill Sans" w:hAnsi="Gill Sans" w:cs="Gill Sans"/>
              </w:rPr>
              <w:t>) as a beneficiary on its provincial land acquisition strategy (</w:t>
            </w:r>
            <w:r>
              <w:rPr>
                <w:rFonts w:ascii="Gill Sans" w:eastAsia="Gill Sans" w:hAnsi="Gill Sans" w:cs="Gill Sans"/>
                <w:b/>
              </w:rPr>
              <w:t>PLAS</w:t>
            </w:r>
            <w:r>
              <w:rPr>
                <w:rFonts w:ascii="Gill Sans" w:eastAsia="Gill Sans" w:hAnsi="Gill Sans" w:cs="Gill Sans"/>
              </w:rPr>
              <w:t xml:space="preserve">) programme in respect of Mike’s Chicken. </w:t>
            </w:r>
            <w:proofErr w:type="spellStart"/>
            <w:r>
              <w:rPr>
                <w:rFonts w:ascii="Gill Sans" w:eastAsia="Gill Sans" w:hAnsi="Gill Sans" w:cs="Gill Sans"/>
              </w:rPr>
              <w:t>Cultiver’s</w:t>
            </w:r>
            <w:proofErr w:type="spellEnd"/>
            <w:r>
              <w:rPr>
                <w:rFonts w:ascii="Gill Sans" w:eastAsia="Gill Sans" w:hAnsi="Gill Sans" w:cs="Gill Sans"/>
              </w:rPr>
              <w:t xml:space="preserve"> application to </w:t>
            </w:r>
            <w:r>
              <w:rPr>
                <w:rFonts w:ascii="Gill Sans" w:eastAsia="Gill Sans" w:hAnsi="Gill Sans" w:cs="Gill Sans"/>
              </w:rPr>
              <w:lastRenderedPageBreak/>
              <w:t xml:space="preserve">the Department for grant funding for Mike’s Chicken’s operations was declined following investigations which revealed irregularities regarding the acquisition of Mike’s Chicken and the approval of </w:t>
            </w:r>
            <w:proofErr w:type="spellStart"/>
            <w:r>
              <w:rPr>
                <w:rFonts w:ascii="Gill Sans" w:eastAsia="Gill Sans" w:hAnsi="Gill Sans" w:cs="Gill Sans"/>
              </w:rPr>
              <w:t>Cultiver</w:t>
            </w:r>
            <w:proofErr w:type="spellEnd"/>
            <w:r>
              <w:rPr>
                <w:rFonts w:ascii="Gill Sans" w:eastAsia="Gill Sans" w:hAnsi="Gill Sans" w:cs="Gill Sans"/>
              </w:rPr>
              <w:t xml:space="preserve"> as a PLAS beneficiary. </w:t>
            </w:r>
            <w:proofErr w:type="spellStart"/>
            <w:r>
              <w:rPr>
                <w:rFonts w:ascii="Gill Sans" w:eastAsia="Gill Sans" w:hAnsi="Gill Sans" w:cs="Gill Sans"/>
              </w:rPr>
              <w:t>Cultiver</w:t>
            </w:r>
            <w:proofErr w:type="spellEnd"/>
            <w:r>
              <w:rPr>
                <w:rFonts w:ascii="Gill Sans" w:eastAsia="Gill Sans" w:hAnsi="Gill Sans" w:cs="Gill Sans"/>
              </w:rPr>
              <w:t xml:space="preserve"> then instituted an urgent application to compel the Department to extend PLAS benefits to </w:t>
            </w:r>
            <w:proofErr w:type="spellStart"/>
            <w:r>
              <w:rPr>
                <w:rFonts w:ascii="Gill Sans" w:eastAsia="Gill Sans" w:hAnsi="Gill Sans" w:cs="Gill Sans"/>
              </w:rPr>
              <w:t>Cultiver</w:t>
            </w:r>
            <w:proofErr w:type="spellEnd"/>
            <w:r>
              <w:rPr>
                <w:rFonts w:ascii="Gill Sans" w:eastAsia="Gill Sans" w:hAnsi="Gill Sans" w:cs="Gill Sans"/>
              </w:rPr>
              <w:t xml:space="preserve"> (</w:t>
            </w:r>
            <w:r>
              <w:rPr>
                <w:rFonts w:ascii="Gill Sans" w:eastAsia="Gill Sans" w:hAnsi="Gill Sans" w:cs="Gill Sans"/>
                <w:b/>
              </w:rPr>
              <w:t>Polokwane Application</w:t>
            </w:r>
            <w:r>
              <w:rPr>
                <w:rFonts w:ascii="Gill Sans" w:eastAsia="Gill Sans" w:hAnsi="Gill Sans" w:cs="Gill Sans"/>
              </w:rPr>
              <w:t xml:space="preserve">). </w:t>
            </w:r>
            <w:proofErr w:type="spellStart"/>
            <w:r>
              <w:rPr>
                <w:rFonts w:ascii="Gill Sans" w:eastAsia="Gill Sans" w:hAnsi="Gill Sans" w:cs="Gill Sans"/>
              </w:rPr>
              <w:t>Cultiver</w:t>
            </w:r>
            <w:proofErr w:type="spellEnd"/>
            <w:r>
              <w:rPr>
                <w:rFonts w:ascii="Gill Sans" w:eastAsia="Gill Sans" w:hAnsi="Gill Sans" w:cs="Gill Sans"/>
              </w:rPr>
              <w:t xml:space="preserve"> requested the then Minister of Rural Development and Land Reform (</w:t>
            </w:r>
            <w:r>
              <w:rPr>
                <w:rFonts w:ascii="Gill Sans" w:eastAsia="Gill Sans" w:hAnsi="Gill Sans" w:cs="Gill Sans"/>
                <w:b/>
              </w:rPr>
              <w:t>Minister NM</w:t>
            </w:r>
            <w:r>
              <w:rPr>
                <w:rFonts w:ascii="Gill Sans" w:eastAsia="Gill Sans" w:hAnsi="Gill Sans" w:cs="Gill Sans"/>
              </w:rPr>
              <w:t xml:space="preserve">) to intervene in the dispute. Minister NM subsequently decided to withdraw the Department’s opposition to the Polokwane Application and ordered the Department to conclude the lease with </w:t>
            </w:r>
            <w:proofErr w:type="spellStart"/>
            <w:r>
              <w:rPr>
                <w:rFonts w:ascii="Gill Sans" w:eastAsia="Gill Sans" w:hAnsi="Gill Sans" w:cs="Gill Sans"/>
              </w:rPr>
              <w:t>Cultiver</w:t>
            </w:r>
            <w:proofErr w:type="spellEnd"/>
            <w:r>
              <w:rPr>
                <w:rFonts w:ascii="Gill Sans" w:eastAsia="Gill Sans" w:hAnsi="Gill Sans" w:cs="Gill Sans"/>
              </w:rPr>
              <w:t xml:space="preserve">. </w:t>
            </w:r>
          </w:p>
          <w:p w14:paraId="20CBFA0D" w14:textId="77777777" w:rsidR="003069A6" w:rsidRDefault="003069A6">
            <w:pPr>
              <w:spacing w:after="0" w:line="276" w:lineRule="auto"/>
              <w:jc w:val="both"/>
              <w:rPr>
                <w:rFonts w:ascii="Gill Sans" w:eastAsia="Gill Sans" w:hAnsi="Gill Sans" w:cs="Gill Sans"/>
              </w:rPr>
            </w:pPr>
          </w:p>
          <w:p w14:paraId="4C447859"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The Special Investigating Unit (</w:t>
            </w:r>
            <w:r>
              <w:rPr>
                <w:rFonts w:ascii="Gill Sans" w:eastAsia="Gill Sans" w:hAnsi="Gill Sans" w:cs="Gill Sans"/>
                <w:b/>
              </w:rPr>
              <w:t>SIU</w:t>
            </w:r>
            <w:r>
              <w:rPr>
                <w:rFonts w:ascii="Gill Sans" w:eastAsia="Gill Sans" w:hAnsi="Gill Sans" w:cs="Gill Sans"/>
              </w:rPr>
              <w:t xml:space="preserve">) sought to review and set aside the decision taken by Minister NM to conclude the lease agreement with </w:t>
            </w:r>
            <w:proofErr w:type="spellStart"/>
            <w:r>
              <w:rPr>
                <w:rFonts w:ascii="Gill Sans" w:eastAsia="Gill Sans" w:hAnsi="Gill Sans" w:cs="Gill Sans"/>
              </w:rPr>
              <w:t>Cultiver</w:t>
            </w:r>
            <w:proofErr w:type="spellEnd"/>
            <w:r>
              <w:rPr>
                <w:rFonts w:ascii="Gill Sans" w:eastAsia="Gill Sans" w:hAnsi="Gill Sans" w:cs="Gill Sans"/>
              </w:rPr>
              <w:t xml:space="preserve">.  </w:t>
            </w:r>
          </w:p>
        </w:tc>
      </w:tr>
      <w:tr w:rsidR="003069A6" w14:paraId="65BB83F1" w14:textId="77777777">
        <w:tc>
          <w:tcPr>
            <w:tcW w:w="2689" w:type="dxa"/>
          </w:tcPr>
          <w:p w14:paraId="4DEE67B3" w14:textId="7D62A373" w:rsidR="003069A6" w:rsidRDefault="00000000">
            <w:pPr>
              <w:spacing w:after="0" w:line="276" w:lineRule="auto"/>
              <w:jc w:val="both"/>
              <w:rPr>
                <w:rFonts w:ascii="Gill Sans" w:eastAsia="Gill Sans" w:hAnsi="Gill Sans" w:cs="Gill Sans"/>
              </w:rPr>
            </w:pPr>
            <w:r>
              <w:rPr>
                <w:rFonts w:ascii="Gill Sans" w:eastAsia="Gill Sans" w:hAnsi="Gill Sans" w:cs="Gill Sans"/>
              </w:rPr>
              <w:lastRenderedPageBreak/>
              <w:t>Summary</w:t>
            </w:r>
          </w:p>
        </w:tc>
        <w:tc>
          <w:tcPr>
            <w:tcW w:w="6318" w:type="dxa"/>
          </w:tcPr>
          <w:p w14:paraId="4E0D0D13" w14:textId="77777777" w:rsidR="003069A6" w:rsidRDefault="00000000">
            <w:pPr>
              <w:spacing w:after="0" w:line="276" w:lineRule="auto"/>
              <w:jc w:val="both"/>
              <w:rPr>
                <w:rFonts w:ascii="Gill Sans" w:eastAsia="Gill Sans" w:hAnsi="Gill Sans" w:cs="Gill Sans"/>
              </w:rPr>
            </w:pPr>
            <w:bookmarkStart w:id="0" w:name="_heading=h.jnwmbrohwg7k" w:colFirst="0" w:colLast="0"/>
            <w:bookmarkEnd w:id="0"/>
            <w:r>
              <w:rPr>
                <w:rFonts w:ascii="Gill Sans" w:eastAsia="Gill Sans" w:hAnsi="Gill Sans" w:cs="Gill Sans"/>
              </w:rPr>
              <w:t xml:space="preserve">The Special Tribunal was asked to determine whether the decision taken by Minister NM to conclude the lease agreement with </w:t>
            </w:r>
            <w:proofErr w:type="spellStart"/>
            <w:r>
              <w:rPr>
                <w:rFonts w:ascii="Gill Sans" w:eastAsia="Gill Sans" w:hAnsi="Gill Sans" w:cs="Gill Sans"/>
              </w:rPr>
              <w:t>Cultiver</w:t>
            </w:r>
            <w:proofErr w:type="spellEnd"/>
            <w:r>
              <w:rPr>
                <w:rFonts w:ascii="Gill Sans" w:eastAsia="Gill Sans" w:hAnsi="Gill Sans" w:cs="Gill Sans"/>
              </w:rPr>
              <w:t xml:space="preserve"> should be reviewed and set aside and whether the lease agreement itself should be set aside, too. The Special Tribunal was also asked to determine whether the SIU’s condonation application should be granted. </w:t>
            </w:r>
          </w:p>
        </w:tc>
      </w:tr>
      <w:tr w:rsidR="003069A6" w14:paraId="1DE5F7CF" w14:textId="77777777">
        <w:tc>
          <w:tcPr>
            <w:tcW w:w="2689" w:type="dxa"/>
          </w:tcPr>
          <w:p w14:paraId="65C19FEC" w14:textId="4C256617" w:rsidR="003069A6" w:rsidRDefault="00000000">
            <w:pPr>
              <w:spacing w:after="0" w:line="276" w:lineRule="auto"/>
              <w:jc w:val="both"/>
              <w:rPr>
                <w:rFonts w:ascii="Gill Sans" w:eastAsia="Gill Sans" w:hAnsi="Gill Sans" w:cs="Gill Sans"/>
              </w:rPr>
            </w:pPr>
            <w:r>
              <w:rPr>
                <w:rFonts w:ascii="Gill Sans" w:eastAsia="Gill Sans" w:hAnsi="Gill Sans" w:cs="Gill Sans"/>
              </w:rPr>
              <w:t>Decision/ Judgment</w:t>
            </w:r>
          </w:p>
        </w:tc>
        <w:tc>
          <w:tcPr>
            <w:tcW w:w="6318" w:type="dxa"/>
          </w:tcPr>
          <w:p w14:paraId="502105BD" w14:textId="77777777" w:rsidR="003069A6" w:rsidRDefault="00000000">
            <w:pPr>
              <w:spacing w:after="0"/>
              <w:jc w:val="both"/>
              <w:rPr>
                <w:rFonts w:ascii="Gill Sans" w:eastAsia="Gill Sans" w:hAnsi="Gill Sans" w:cs="Gill Sans"/>
              </w:rPr>
            </w:pPr>
            <w:r>
              <w:rPr>
                <w:rFonts w:ascii="Gill Sans" w:eastAsia="Gill Sans" w:hAnsi="Gill Sans" w:cs="Gill Sans"/>
              </w:rPr>
              <w:t xml:space="preserve">The Special Tribunal set aside Minister NM’s </w:t>
            </w:r>
            <w:proofErr w:type="gramStart"/>
            <w:r>
              <w:rPr>
                <w:rFonts w:ascii="Gill Sans" w:eastAsia="Gill Sans" w:hAnsi="Gill Sans" w:cs="Gill Sans"/>
              </w:rPr>
              <w:t>decision, and</w:t>
            </w:r>
            <w:proofErr w:type="gramEnd"/>
            <w:r>
              <w:rPr>
                <w:rFonts w:ascii="Gill Sans" w:eastAsia="Gill Sans" w:hAnsi="Gill Sans" w:cs="Gill Sans"/>
              </w:rPr>
              <w:t xml:space="preserve"> declared the lease agreement unlawful and having no legal effect from inception. The Special Tribunal also accepted the SIU’s application for condonation and directed the Tribunal Registrar to convene a case management meeting with the parties to determine the further conduct of the matter for the determination of appropriate consequential remedy in terms of section 4 of the SIU Act. </w:t>
            </w:r>
          </w:p>
        </w:tc>
      </w:tr>
      <w:tr w:rsidR="003069A6" w14:paraId="5D99A101" w14:textId="77777777">
        <w:tc>
          <w:tcPr>
            <w:tcW w:w="2689" w:type="dxa"/>
          </w:tcPr>
          <w:p w14:paraId="1A607301" w14:textId="51CA6F2C" w:rsidR="003069A6" w:rsidRDefault="00000000">
            <w:pPr>
              <w:spacing w:after="0" w:line="276" w:lineRule="auto"/>
              <w:jc w:val="both"/>
              <w:rPr>
                <w:rFonts w:ascii="Gill Sans" w:eastAsia="Gill Sans" w:hAnsi="Gill Sans" w:cs="Gill Sans"/>
              </w:rPr>
            </w:pPr>
            <w:r>
              <w:rPr>
                <w:rFonts w:ascii="Gill Sans" w:eastAsia="Gill Sans" w:hAnsi="Gill Sans" w:cs="Gill Sans"/>
              </w:rPr>
              <w:t>Basis of the decision</w:t>
            </w:r>
          </w:p>
        </w:tc>
        <w:tc>
          <w:tcPr>
            <w:tcW w:w="6318" w:type="dxa"/>
          </w:tcPr>
          <w:p w14:paraId="0128A6B0"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 xml:space="preserve">The Special Tribunal found that Minister NM’s impugned decision and lack of reasoning for such a decision, failed to display transparency and accountability in decision-making. The Special Tribunal held that, as the Minister’s decision had been taken irrationally, the lease agreement was found to have been irregularly concluded. </w:t>
            </w:r>
          </w:p>
          <w:p w14:paraId="0F8F5FB1" w14:textId="77777777" w:rsidR="003069A6" w:rsidRDefault="003069A6">
            <w:pPr>
              <w:spacing w:after="0" w:line="276" w:lineRule="auto"/>
              <w:jc w:val="both"/>
              <w:rPr>
                <w:rFonts w:ascii="Gill Sans" w:eastAsia="Gill Sans" w:hAnsi="Gill Sans" w:cs="Gill Sans"/>
              </w:rPr>
            </w:pPr>
          </w:p>
          <w:p w14:paraId="0A56D429"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 xml:space="preserve">In terms of the SIU’s condonation application, the Special Tribunal did not find the SIU’s delay </w:t>
            </w:r>
            <w:proofErr w:type="gramStart"/>
            <w:r>
              <w:rPr>
                <w:rFonts w:ascii="Gill Sans" w:eastAsia="Gill Sans" w:hAnsi="Gill Sans" w:cs="Gill Sans"/>
              </w:rPr>
              <w:t>to be</w:t>
            </w:r>
            <w:proofErr w:type="gramEnd"/>
            <w:r>
              <w:rPr>
                <w:rFonts w:ascii="Gill Sans" w:eastAsia="Gill Sans" w:hAnsi="Gill Sans" w:cs="Gill Sans"/>
              </w:rPr>
              <w:t xml:space="preserve"> unreasonable and held that any prejudice that </w:t>
            </w:r>
            <w:proofErr w:type="spellStart"/>
            <w:r>
              <w:rPr>
                <w:rFonts w:ascii="Gill Sans" w:eastAsia="Gill Sans" w:hAnsi="Gill Sans" w:cs="Gill Sans"/>
              </w:rPr>
              <w:t>Cultiver</w:t>
            </w:r>
            <w:proofErr w:type="spellEnd"/>
            <w:r>
              <w:rPr>
                <w:rFonts w:ascii="Gill Sans" w:eastAsia="Gill Sans" w:hAnsi="Gill Sans" w:cs="Gill Sans"/>
              </w:rPr>
              <w:t xml:space="preserve"> stood to suffer would be lessened by the just and equitable relief to be granted by the Special Tribunal. </w:t>
            </w:r>
          </w:p>
          <w:p w14:paraId="4015D31E" w14:textId="77777777" w:rsidR="003069A6" w:rsidRDefault="003069A6">
            <w:pPr>
              <w:spacing w:after="0" w:line="276" w:lineRule="auto"/>
              <w:jc w:val="both"/>
              <w:rPr>
                <w:rFonts w:ascii="Gill Sans" w:eastAsia="Gill Sans" w:hAnsi="Gill Sans" w:cs="Gill Sans"/>
              </w:rPr>
            </w:pPr>
          </w:p>
          <w:p w14:paraId="2050FA28"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lastRenderedPageBreak/>
              <w:t xml:space="preserve">Finally, the Special Tribunal held that, due to the lack of information placed before it, it was not able to determine a suitable remedy and therefore ordered that a case management meeting be convened to devise an appropriate approach to determining consequential relief in terms of the SIU Act.  </w:t>
            </w:r>
          </w:p>
        </w:tc>
      </w:tr>
      <w:tr w:rsidR="003069A6" w14:paraId="052B7623" w14:textId="77777777">
        <w:tc>
          <w:tcPr>
            <w:tcW w:w="2689" w:type="dxa"/>
          </w:tcPr>
          <w:p w14:paraId="69C28059"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lastRenderedPageBreak/>
              <w:t>Reported by</w:t>
            </w:r>
          </w:p>
          <w:p w14:paraId="65C2C021"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7B519E1B" w14:textId="77777777" w:rsidR="003069A6" w:rsidRDefault="00000000">
            <w:pPr>
              <w:spacing w:after="0" w:line="276" w:lineRule="auto"/>
              <w:jc w:val="both"/>
              <w:rPr>
                <w:rFonts w:ascii="Gill Sans" w:eastAsia="Gill Sans" w:hAnsi="Gill Sans" w:cs="Gill Sans"/>
              </w:rPr>
            </w:pPr>
            <w:r>
              <w:rPr>
                <w:rFonts w:ascii="Gill Sans" w:eastAsia="Gill Sans" w:hAnsi="Gill Sans" w:cs="Gill Sans"/>
              </w:rPr>
              <w:t>African Legal Information Institute (</w:t>
            </w:r>
            <w:hyperlink r:id="rId8">
              <w:r>
                <w:rPr>
                  <w:rFonts w:ascii="Gill Sans" w:eastAsia="Gill Sans" w:hAnsi="Gill Sans" w:cs="Gill Sans"/>
                  <w:color w:val="1155CC"/>
                  <w:u w:val="single"/>
                </w:rPr>
                <w:t>AfricanLII</w:t>
              </w:r>
            </w:hyperlink>
            <w:r>
              <w:rPr>
                <w:rFonts w:ascii="Gill Sans" w:eastAsia="Gill Sans" w:hAnsi="Gill Sans" w:cs="Gill Sans"/>
              </w:rPr>
              <w:t>)</w:t>
            </w:r>
          </w:p>
        </w:tc>
      </w:tr>
    </w:tbl>
    <w:p w14:paraId="6F5FC7CC" w14:textId="77777777" w:rsidR="003069A6" w:rsidRDefault="003069A6">
      <w:pPr>
        <w:spacing w:after="0" w:line="276" w:lineRule="auto"/>
        <w:jc w:val="both"/>
        <w:rPr>
          <w:rFonts w:ascii="Gill Sans" w:eastAsia="Gill Sans" w:hAnsi="Gill Sans" w:cs="Gill Sans"/>
        </w:rPr>
      </w:pPr>
    </w:p>
    <w:p w14:paraId="471F9828" w14:textId="77777777" w:rsidR="003069A6" w:rsidRDefault="003069A6"/>
    <w:sectPr w:rsidR="003069A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CB74" w14:textId="77777777" w:rsidR="00832964" w:rsidRDefault="00832964">
      <w:pPr>
        <w:spacing w:after="0" w:line="240" w:lineRule="auto"/>
      </w:pPr>
      <w:r>
        <w:separator/>
      </w:r>
    </w:p>
  </w:endnote>
  <w:endnote w:type="continuationSeparator" w:id="0">
    <w:p w14:paraId="702157CD" w14:textId="77777777" w:rsidR="00832964" w:rsidRDefault="0083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B435" w14:textId="77777777" w:rsidR="00832964" w:rsidRDefault="00832964">
      <w:pPr>
        <w:spacing w:after="0" w:line="240" w:lineRule="auto"/>
      </w:pPr>
      <w:r>
        <w:separator/>
      </w:r>
    </w:p>
  </w:footnote>
  <w:footnote w:type="continuationSeparator" w:id="0">
    <w:p w14:paraId="65E36369" w14:textId="77777777" w:rsidR="00832964" w:rsidRDefault="00832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F269E"/>
    <w:multiLevelType w:val="multilevel"/>
    <w:tmpl w:val="8DA45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280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A6"/>
    <w:rsid w:val="003069A6"/>
    <w:rsid w:val="00832964"/>
    <w:rsid w:val="009F7D5C"/>
    <w:rsid w:val="00F762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0C85"/>
  <w15:docId w15:val="{B203A44E-8FAC-4F1B-894C-BFDCE5AB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6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fricanli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oT6BZHRO6rcGaLCKAVq2Z408QA==">AMUW2mUa6p2i8X4w4/3GoBgaih9nDDC5pejfdqf99pHpWYZvrDPT5nbnaYX3evPL8PgGF/Q2w60ViWwRFaHbvfYSS+b8UZqcBFN1ZzpjhEOTofn8aOxoqqWTELQSZ6ZmOl3Ld0d25ylu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Inge Papp</cp:lastModifiedBy>
  <cp:revision>3</cp:revision>
  <dcterms:created xsi:type="dcterms:W3CDTF">2023-03-24T19:15:00Z</dcterms:created>
  <dcterms:modified xsi:type="dcterms:W3CDTF">2023-04-19T09:32:00Z</dcterms:modified>
</cp:coreProperties>
</file>