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2F" w:rsidRPr="00A9149A" w:rsidRDefault="00B97471" w:rsidP="004D103A">
      <w:pPr>
        <w:spacing w:line="360" w:lineRule="auto"/>
        <w:rPr>
          <w:rFonts w:asciiTheme="minorHAnsi" w:hAnsiTheme="minorHAnsi" w:cs="Tunga"/>
          <w:b/>
        </w:rPr>
      </w:pPr>
      <w:r>
        <w:rPr>
          <w:rFonts w:asciiTheme="minorHAnsi" w:hAnsiTheme="minorHAnsi" w:cs="Tunga"/>
          <w:b/>
        </w:rPr>
        <w:t>JUDICIAL MANAGEMENT IN CHILD SEXUAL ABUSE CASES</w:t>
      </w:r>
      <w:r w:rsidR="00CC01D0">
        <w:rPr>
          <w:rStyle w:val="FootnoteReference"/>
          <w:rFonts w:asciiTheme="minorHAnsi" w:hAnsiTheme="minorHAnsi" w:cs="Tunga"/>
          <w:b/>
        </w:rPr>
        <w:footnoteReference w:id="1"/>
      </w:r>
    </w:p>
    <w:p w:rsidR="0052382F" w:rsidRPr="00A9149A" w:rsidRDefault="0052382F" w:rsidP="004D103A">
      <w:pPr>
        <w:spacing w:line="360" w:lineRule="auto"/>
        <w:rPr>
          <w:rFonts w:asciiTheme="minorHAnsi" w:hAnsiTheme="minorHAnsi" w:cs="Tunga"/>
        </w:rPr>
      </w:pPr>
      <w:r w:rsidRPr="00A9149A">
        <w:rPr>
          <w:rFonts w:asciiTheme="minorHAnsi" w:hAnsiTheme="minorHAnsi" w:cs="Tunga"/>
        </w:rPr>
        <w:t>Submitted by the Child Witness Institute</w:t>
      </w:r>
    </w:p>
    <w:p w:rsidR="00713D22" w:rsidRDefault="00713D22" w:rsidP="004D103A">
      <w:pPr>
        <w:spacing w:line="360" w:lineRule="auto"/>
        <w:jc w:val="both"/>
        <w:rPr>
          <w:rFonts w:asciiTheme="minorHAnsi" w:hAnsiTheme="minorHAnsi" w:cs="Tunga"/>
        </w:rPr>
      </w:pPr>
    </w:p>
    <w:tbl>
      <w:tblPr>
        <w:tblStyle w:val="TableGrid"/>
        <w:tblW w:w="0" w:type="auto"/>
        <w:tblInd w:w="108" w:type="dxa"/>
        <w:tblLook w:val="04A0"/>
      </w:tblPr>
      <w:tblGrid>
        <w:gridCol w:w="4513"/>
        <w:gridCol w:w="4559"/>
      </w:tblGrid>
      <w:tr w:rsidR="00713D22" w:rsidTr="00387D42">
        <w:tc>
          <w:tcPr>
            <w:tcW w:w="9072" w:type="dxa"/>
            <w:gridSpan w:val="2"/>
            <w:shd w:val="clear" w:color="auto" w:fill="8DB3E2" w:themeFill="text2" w:themeFillTint="66"/>
          </w:tcPr>
          <w:p w:rsidR="00713D22" w:rsidRPr="00713D22" w:rsidRDefault="00713D22" w:rsidP="004D103A">
            <w:pPr>
              <w:spacing w:line="360" w:lineRule="auto"/>
              <w:jc w:val="center"/>
              <w:rPr>
                <w:rFonts w:asciiTheme="minorHAnsi" w:hAnsiTheme="minorHAnsi" w:cs="Tunga"/>
                <w:b/>
              </w:rPr>
            </w:pPr>
            <w:r>
              <w:rPr>
                <w:rFonts w:asciiTheme="minorHAnsi" w:hAnsiTheme="minorHAnsi" w:cs="Tunga"/>
                <w:b/>
              </w:rPr>
              <w:t>KEY CONCEPTS</w:t>
            </w:r>
          </w:p>
        </w:tc>
      </w:tr>
      <w:tr w:rsidR="00713D22" w:rsidTr="00387D42">
        <w:tc>
          <w:tcPr>
            <w:tcW w:w="4513" w:type="dxa"/>
          </w:tcPr>
          <w:p w:rsidR="00713D22" w:rsidRDefault="00713D22" w:rsidP="004D103A">
            <w:pPr>
              <w:spacing w:line="360" w:lineRule="auto"/>
              <w:jc w:val="both"/>
              <w:rPr>
                <w:rFonts w:asciiTheme="minorHAnsi" w:hAnsiTheme="minorHAnsi" w:cs="Tunga"/>
              </w:rPr>
            </w:pPr>
            <w:r>
              <w:rPr>
                <w:rFonts w:asciiTheme="minorHAnsi" w:hAnsiTheme="minorHAnsi" w:cs="Tunga"/>
              </w:rPr>
              <w:t>Child Abuse</w:t>
            </w:r>
          </w:p>
        </w:tc>
        <w:tc>
          <w:tcPr>
            <w:tcW w:w="4559" w:type="dxa"/>
          </w:tcPr>
          <w:p w:rsidR="00713D22" w:rsidRDefault="00713D22" w:rsidP="004D103A">
            <w:pPr>
              <w:spacing w:line="360" w:lineRule="auto"/>
              <w:jc w:val="both"/>
              <w:rPr>
                <w:rFonts w:asciiTheme="minorHAnsi" w:hAnsiTheme="minorHAnsi" w:cs="Tunga"/>
              </w:rPr>
            </w:pPr>
            <w:r>
              <w:rPr>
                <w:rFonts w:asciiTheme="minorHAnsi" w:hAnsiTheme="minorHAnsi" w:cs="Tunga"/>
              </w:rPr>
              <w:t>Child Sexual Abuse</w:t>
            </w:r>
          </w:p>
        </w:tc>
      </w:tr>
      <w:tr w:rsidR="00713D22" w:rsidTr="00387D42">
        <w:tc>
          <w:tcPr>
            <w:tcW w:w="4513" w:type="dxa"/>
          </w:tcPr>
          <w:p w:rsidR="00713D22" w:rsidRDefault="00B97471" w:rsidP="004D103A">
            <w:pPr>
              <w:spacing w:line="360" w:lineRule="auto"/>
              <w:jc w:val="both"/>
              <w:rPr>
                <w:rFonts w:asciiTheme="minorHAnsi" w:hAnsiTheme="minorHAnsi" w:cs="Tunga"/>
              </w:rPr>
            </w:pPr>
            <w:r>
              <w:rPr>
                <w:rFonts w:asciiTheme="minorHAnsi" w:hAnsiTheme="minorHAnsi" w:cs="Tunga"/>
              </w:rPr>
              <w:t>Presiding Officer</w:t>
            </w:r>
          </w:p>
        </w:tc>
        <w:tc>
          <w:tcPr>
            <w:tcW w:w="4559" w:type="dxa"/>
          </w:tcPr>
          <w:p w:rsidR="00713D22" w:rsidRDefault="00B97471" w:rsidP="004D103A">
            <w:pPr>
              <w:spacing w:line="360" w:lineRule="auto"/>
              <w:jc w:val="both"/>
              <w:rPr>
                <w:rFonts w:asciiTheme="minorHAnsi" w:hAnsiTheme="minorHAnsi" w:cs="Tunga"/>
              </w:rPr>
            </w:pPr>
            <w:r>
              <w:rPr>
                <w:rFonts w:asciiTheme="minorHAnsi" w:hAnsiTheme="minorHAnsi" w:cs="Tunga"/>
              </w:rPr>
              <w:t>Court Management</w:t>
            </w:r>
          </w:p>
        </w:tc>
      </w:tr>
    </w:tbl>
    <w:p w:rsidR="00713D22" w:rsidRDefault="00713D22" w:rsidP="004D103A">
      <w:pPr>
        <w:spacing w:line="360" w:lineRule="auto"/>
        <w:jc w:val="both"/>
        <w:rPr>
          <w:rFonts w:asciiTheme="minorHAnsi" w:hAnsiTheme="minorHAnsi" w:cs="Tunga"/>
        </w:rPr>
      </w:pPr>
    </w:p>
    <w:p w:rsidR="00D72811" w:rsidRDefault="00647A80" w:rsidP="00534429">
      <w:pPr>
        <w:jc w:val="both"/>
        <w:rPr>
          <w:rFonts w:asciiTheme="minorHAnsi" w:hAnsiTheme="minorHAnsi" w:cs="Tunga"/>
          <w:b/>
        </w:rPr>
      </w:pPr>
      <w:r w:rsidRPr="00D72811">
        <w:rPr>
          <w:rFonts w:asciiTheme="minorHAnsi" w:hAnsiTheme="minorHAnsi" w:cs="Tunga"/>
          <w:b/>
        </w:rPr>
        <w:t>1. Introduction</w:t>
      </w:r>
    </w:p>
    <w:p w:rsidR="001B4255" w:rsidRDefault="001B4255" w:rsidP="00534429">
      <w:pPr>
        <w:jc w:val="both"/>
        <w:rPr>
          <w:rFonts w:asciiTheme="minorHAnsi" w:hAnsiTheme="minorHAnsi" w:cs="Tunga"/>
          <w:b/>
        </w:rPr>
      </w:pPr>
    </w:p>
    <w:p w:rsidR="00830B25" w:rsidRPr="00830B25" w:rsidRDefault="00830B25" w:rsidP="00830B25">
      <w:pPr>
        <w:jc w:val="both"/>
        <w:rPr>
          <w:rFonts w:asciiTheme="minorHAnsi" w:hAnsiTheme="minorHAnsi" w:cs="Tahoma"/>
        </w:rPr>
      </w:pPr>
      <w:r w:rsidRPr="00830B25">
        <w:rPr>
          <w:rFonts w:asciiTheme="minorHAnsi" w:hAnsiTheme="minorHAnsi" w:cs="Tahoma"/>
        </w:rPr>
        <w:t xml:space="preserve">It is the normal procedure for a judicial officer to allow attorneys or advocates </w:t>
      </w:r>
      <w:r w:rsidR="00DC71BA" w:rsidRPr="00830B25">
        <w:rPr>
          <w:rFonts w:asciiTheme="minorHAnsi" w:hAnsiTheme="minorHAnsi" w:cs="Tahoma"/>
        </w:rPr>
        <w:t>fairly</w:t>
      </w:r>
      <w:r w:rsidRPr="00830B25">
        <w:rPr>
          <w:rFonts w:asciiTheme="minorHAnsi" w:hAnsiTheme="minorHAnsi" w:cs="Tahoma"/>
        </w:rPr>
        <w:t xml:space="preserve"> wide latitude in shaping their cases.  When child witnesses are involved, however, there is a greater need for judicial involvement.  Myers, Saywitz and Goodman</w:t>
      </w:r>
      <w:r>
        <w:rPr>
          <w:rStyle w:val="FootnoteReference"/>
          <w:rFonts w:asciiTheme="minorHAnsi" w:hAnsiTheme="minorHAnsi" w:cs="Tahoma"/>
        </w:rPr>
        <w:footnoteReference w:id="2"/>
      </w:r>
      <w:r w:rsidRPr="00830B25">
        <w:rPr>
          <w:rFonts w:asciiTheme="minorHAnsi" w:hAnsiTheme="minorHAnsi" w:cs="Tahoma"/>
        </w:rPr>
        <w:t xml:space="preserve"> argue that ‘enhanced judicial involvement is a necessity’ for the following reasons:</w:t>
      </w:r>
    </w:p>
    <w:p w:rsidR="00830B25" w:rsidRPr="00830B25" w:rsidRDefault="00830B25" w:rsidP="00830B25">
      <w:pPr>
        <w:jc w:val="both"/>
        <w:rPr>
          <w:rFonts w:asciiTheme="minorHAnsi" w:hAnsiTheme="minorHAnsi" w:cs="Tahoma"/>
        </w:rPr>
      </w:pPr>
    </w:p>
    <w:p w:rsidR="00830B25" w:rsidRPr="00830B25" w:rsidRDefault="00830B25" w:rsidP="00830B25">
      <w:pPr>
        <w:ind w:left="720" w:right="720"/>
        <w:jc w:val="both"/>
        <w:rPr>
          <w:rFonts w:asciiTheme="minorHAnsi" w:hAnsiTheme="minorHAnsi" w:cs="Tahoma"/>
          <w:sz w:val="20"/>
          <w:szCs w:val="20"/>
        </w:rPr>
      </w:pPr>
      <w:r w:rsidRPr="00830B25">
        <w:rPr>
          <w:rFonts w:asciiTheme="minorHAnsi" w:hAnsiTheme="minorHAnsi" w:cs="Tahoma"/>
          <w:sz w:val="20"/>
          <w:szCs w:val="20"/>
        </w:rPr>
        <w:t>“Children’s relative lack of knowledge regarding the legal system, along with embarrassment and fear of public speaking, can fuel stress and anxiety, with deleterious consequences for performance on the witness stand.”</w:t>
      </w:r>
    </w:p>
    <w:p w:rsidR="00830B25" w:rsidRDefault="00830B25" w:rsidP="00830B25">
      <w:pPr>
        <w:jc w:val="both"/>
        <w:rPr>
          <w:rFonts w:asciiTheme="minorHAnsi" w:hAnsiTheme="minorHAnsi" w:cs="Tahoma"/>
        </w:rPr>
      </w:pPr>
    </w:p>
    <w:p w:rsidR="00830B25" w:rsidRPr="00830B25" w:rsidRDefault="00830B25" w:rsidP="00830B25">
      <w:pPr>
        <w:jc w:val="both"/>
        <w:rPr>
          <w:rFonts w:asciiTheme="minorHAnsi" w:hAnsiTheme="minorHAnsi" w:cs="Tahoma"/>
        </w:rPr>
      </w:pPr>
      <w:r w:rsidRPr="00830B25">
        <w:rPr>
          <w:rFonts w:asciiTheme="minorHAnsi" w:hAnsiTheme="minorHAnsi" w:cs="Tahoma"/>
        </w:rPr>
        <w:t>Adults are to a certain extent able to manage their stress through their general understanding of what happens in court. Some children may believe that they will go to jail if they give the wrong answer. A stressful courtroom situation may cause a young child to be unable or unwilling to testify.</w:t>
      </w:r>
    </w:p>
    <w:p w:rsidR="00830B25" w:rsidRPr="00830B25" w:rsidRDefault="00830B25" w:rsidP="00830B25">
      <w:pPr>
        <w:jc w:val="both"/>
        <w:rPr>
          <w:rFonts w:asciiTheme="minorHAnsi" w:hAnsiTheme="minorHAnsi" w:cs="Tahoma"/>
        </w:rPr>
      </w:pPr>
    </w:p>
    <w:p w:rsidR="00830B25" w:rsidRDefault="000C2627" w:rsidP="00534429">
      <w:pPr>
        <w:jc w:val="both"/>
        <w:rPr>
          <w:rFonts w:asciiTheme="minorHAnsi" w:hAnsiTheme="minorHAnsi" w:cs="Tunga"/>
          <w:b/>
        </w:rPr>
      </w:pPr>
      <w:r>
        <w:rPr>
          <w:rFonts w:asciiTheme="minorHAnsi" w:hAnsiTheme="minorHAnsi" w:cs="Tunga"/>
          <w:b/>
        </w:rPr>
        <w:t>2. The Need for Judicial Management</w:t>
      </w:r>
    </w:p>
    <w:p w:rsidR="000C2627" w:rsidRDefault="000C2627" w:rsidP="00534429">
      <w:pPr>
        <w:jc w:val="both"/>
        <w:rPr>
          <w:rFonts w:asciiTheme="minorHAnsi" w:hAnsiTheme="minorHAnsi" w:cs="Tunga"/>
          <w:b/>
        </w:rPr>
      </w:pPr>
    </w:p>
    <w:p w:rsidR="00045354" w:rsidRPr="00045354" w:rsidRDefault="00045354" w:rsidP="00045354">
      <w:pPr>
        <w:jc w:val="both"/>
        <w:rPr>
          <w:rFonts w:asciiTheme="minorHAnsi" w:hAnsiTheme="minorHAnsi" w:cs="Tahoma"/>
        </w:rPr>
      </w:pPr>
      <w:r>
        <w:rPr>
          <w:rFonts w:asciiTheme="minorHAnsi" w:hAnsiTheme="minorHAnsi" w:cs="Tahoma"/>
        </w:rPr>
        <w:t xml:space="preserve">The need </w:t>
      </w:r>
      <w:r w:rsidR="008D5E01">
        <w:rPr>
          <w:rFonts w:asciiTheme="minorHAnsi" w:hAnsiTheme="minorHAnsi" w:cs="Tahoma"/>
        </w:rPr>
        <w:t>f</w:t>
      </w:r>
      <w:r>
        <w:rPr>
          <w:rFonts w:asciiTheme="minorHAnsi" w:hAnsiTheme="minorHAnsi" w:cs="Tahoma"/>
        </w:rPr>
        <w:t xml:space="preserve">or judicial management is well described in </w:t>
      </w:r>
      <w:r w:rsidRPr="00045354">
        <w:rPr>
          <w:rFonts w:asciiTheme="minorHAnsi" w:hAnsiTheme="minorHAnsi" w:cs="Tahoma"/>
        </w:rPr>
        <w:t>a remark of the Alaskan Supreme Court: “Despite the adoption of procedures making the process of testifying less intimidating for a young child, the fact remains that many children are not able to discuss incidents of abuse even in a modified courtroom setting...... Generally speaking the rules of evidence were not developed to handle the problems presented by the child witness. Therefore our courts must be free to adapt these rules, where appropriate, to accommodate these unique (circumstances). However, this increased flexibility places a proportionately greater burden on the trial judge” (</w:t>
      </w:r>
      <w:r w:rsidRPr="00045354">
        <w:rPr>
          <w:rFonts w:asciiTheme="minorHAnsi" w:hAnsiTheme="minorHAnsi" w:cs="Tahoma"/>
          <w:b/>
          <w:bCs/>
          <w:i/>
          <w:iCs/>
        </w:rPr>
        <w:t>In re T. P.</w:t>
      </w:r>
      <w:r w:rsidRPr="00045354">
        <w:rPr>
          <w:rFonts w:asciiTheme="minorHAnsi" w:hAnsiTheme="minorHAnsi" w:cs="Tahoma"/>
        </w:rPr>
        <w:t>, 838 P. 2nd 1236, 1240-41</w:t>
      </w:r>
      <w:r w:rsidR="008D5E01">
        <w:rPr>
          <w:rFonts w:asciiTheme="minorHAnsi" w:hAnsiTheme="minorHAnsi" w:cs="Tahoma"/>
        </w:rPr>
        <w:t xml:space="preserve"> </w:t>
      </w:r>
      <w:r w:rsidRPr="00045354">
        <w:rPr>
          <w:rFonts w:asciiTheme="minorHAnsi" w:hAnsiTheme="minorHAnsi" w:cs="Tahoma"/>
        </w:rPr>
        <w:t xml:space="preserve">Alaska 1992). </w:t>
      </w:r>
    </w:p>
    <w:p w:rsidR="000C2627" w:rsidRPr="00A9538D" w:rsidRDefault="000C2627" w:rsidP="00534429">
      <w:pPr>
        <w:jc w:val="both"/>
        <w:rPr>
          <w:rFonts w:asciiTheme="minorHAnsi" w:hAnsiTheme="minorHAnsi" w:cs="Tunga"/>
          <w:b/>
        </w:rPr>
      </w:pPr>
    </w:p>
    <w:p w:rsidR="00A9538D" w:rsidRPr="00A9538D" w:rsidRDefault="00A9538D" w:rsidP="00A9538D">
      <w:pPr>
        <w:jc w:val="both"/>
        <w:rPr>
          <w:rFonts w:asciiTheme="minorHAnsi" w:hAnsiTheme="minorHAnsi" w:cs="Tahoma"/>
        </w:rPr>
      </w:pPr>
      <w:r w:rsidRPr="00A9538D">
        <w:rPr>
          <w:rFonts w:asciiTheme="minorHAnsi" w:hAnsiTheme="minorHAnsi" w:cs="Tahoma"/>
        </w:rPr>
        <w:t>In order for judicial officers to fulfill properly their responsibility of managing the testimony of the child witness, they must be trained to identify and apply various techniques during trial to reduce unnecessary emotional trauma for the child witness.</w:t>
      </w:r>
    </w:p>
    <w:p w:rsidR="00A9538D" w:rsidRPr="00A9538D" w:rsidRDefault="00A9538D" w:rsidP="00534429">
      <w:pPr>
        <w:jc w:val="both"/>
        <w:rPr>
          <w:rFonts w:asciiTheme="minorHAnsi" w:hAnsiTheme="minorHAnsi" w:cs="Tunga"/>
          <w:b/>
        </w:rPr>
      </w:pPr>
    </w:p>
    <w:sectPr w:rsidR="00A9538D" w:rsidRPr="00A9538D" w:rsidSect="007615E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556" w:rsidRDefault="00912556" w:rsidP="00710D25">
      <w:r>
        <w:separator/>
      </w:r>
    </w:p>
  </w:endnote>
  <w:endnote w:type="continuationSeparator" w:id="0">
    <w:p w:rsidR="00912556" w:rsidRDefault="00912556" w:rsidP="00710D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25" w:rsidRDefault="00830B25">
    <w:pPr>
      <w:spacing w:line="240" w:lineRule="exact"/>
    </w:pPr>
  </w:p>
  <w:p w:rsidR="00830B25" w:rsidRDefault="00FC6A44" w:rsidP="00451BA9">
    <w:pPr>
      <w:framePr w:w="7405" w:wrap="notBeside" w:vAnchor="text" w:hAnchor="page" w:x="2431" w:y="47"/>
      <w:jc w:val="center"/>
    </w:pPr>
    <w:fldSimple w:instr="PAGE ">
      <w:r w:rsidR="008C5279">
        <w:rPr>
          <w:noProof/>
        </w:rPr>
        <w:t>1</w:t>
      </w:r>
    </w:fldSimple>
  </w:p>
  <w:p w:rsidR="00830B25" w:rsidRDefault="00830B25">
    <w:pPr>
      <w:ind w:left="-3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556" w:rsidRDefault="00912556" w:rsidP="00710D25">
      <w:r>
        <w:separator/>
      </w:r>
    </w:p>
  </w:footnote>
  <w:footnote w:type="continuationSeparator" w:id="0">
    <w:p w:rsidR="00912556" w:rsidRDefault="00912556" w:rsidP="00710D25">
      <w:r>
        <w:continuationSeparator/>
      </w:r>
    </w:p>
  </w:footnote>
  <w:footnote w:id="1">
    <w:p w:rsidR="00CC01D0" w:rsidRPr="008C5279" w:rsidRDefault="00CC01D0">
      <w:pPr>
        <w:pStyle w:val="FootnoteText"/>
        <w:rPr>
          <w:rFonts w:asciiTheme="minorHAnsi" w:hAnsiTheme="minorHAnsi"/>
          <w:lang w:val="en-ZA"/>
        </w:rPr>
      </w:pPr>
      <w:r w:rsidRPr="008C5279">
        <w:rPr>
          <w:rStyle w:val="FootnoteReference"/>
          <w:rFonts w:asciiTheme="minorHAnsi" w:hAnsiTheme="minorHAnsi"/>
        </w:rPr>
        <w:footnoteRef/>
      </w:r>
      <w:r w:rsidRPr="008C5279">
        <w:rPr>
          <w:rFonts w:asciiTheme="minorHAnsi" w:hAnsiTheme="minorHAnsi"/>
        </w:rPr>
        <w:t xml:space="preserve"> </w:t>
      </w:r>
      <w:r w:rsidRPr="008C5279">
        <w:rPr>
          <w:rFonts w:asciiTheme="minorHAnsi" w:hAnsiTheme="minorHAnsi"/>
          <w:lang w:val="en-ZA"/>
        </w:rPr>
        <w:t xml:space="preserve">This paper is an excerpt from the book: </w:t>
      </w:r>
      <w:r w:rsidRPr="008C5279">
        <w:rPr>
          <w:rFonts w:asciiTheme="minorHAnsi" w:hAnsiTheme="minorHAnsi" w:cstheme="minorHAnsi"/>
          <w:lang w:val="en-GB"/>
        </w:rPr>
        <w:t xml:space="preserve">Müller, K.D.  2002.  </w:t>
      </w:r>
      <w:r w:rsidRPr="008C5279">
        <w:rPr>
          <w:rFonts w:asciiTheme="minorHAnsi" w:hAnsiTheme="minorHAnsi" w:cstheme="minorHAnsi"/>
          <w:b/>
          <w:bCs/>
          <w:lang w:val="en-GB"/>
        </w:rPr>
        <w:t>The Judicial Officer and the Child Witness</w:t>
      </w:r>
      <w:r w:rsidRPr="008C5279">
        <w:rPr>
          <w:rFonts w:asciiTheme="minorHAnsi" w:hAnsiTheme="minorHAnsi" w:cstheme="minorHAnsi"/>
          <w:lang w:val="en-GB"/>
        </w:rPr>
        <w:t>.  Printrite. pp1-380</w:t>
      </w:r>
      <w:r w:rsidR="00285795" w:rsidRPr="008C5279">
        <w:rPr>
          <w:rFonts w:asciiTheme="minorHAnsi" w:hAnsiTheme="minorHAnsi" w:cstheme="minorHAnsi"/>
          <w:lang w:val="en-GB"/>
        </w:rPr>
        <w:t>, and was compiled by Dr Karen Muller (CEO of the Child Witness Institute) and Prof Annette van der Merwe (Child Witness Institute consultant).</w:t>
      </w:r>
    </w:p>
  </w:footnote>
  <w:footnote w:id="2">
    <w:p w:rsidR="00830B25" w:rsidRPr="008C5279" w:rsidRDefault="00830B25" w:rsidP="00830B25">
      <w:pPr>
        <w:pStyle w:val="1BulletList"/>
        <w:ind w:left="0" w:firstLine="0"/>
        <w:rPr>
          <w:rFonts w:ascii="Calibri" w:hAnsi="Calibri" w:cs="Calibri"/>
          <w:sz w:val="20"/>
          <w:szCs w:val="20"/>
          <w:lang w:val="en-GB"/>
        </w:rPr>
      </w:pPr>
      <w:r w:rsidRPr="008C5279">
        <w:rPr>
          <w:rStyle w:val="FootnoteReference"/>
          <w:rFonts w:asciiTheme="minorHAnsi" w:hAnsiTheme="minorHAnsi"/>
          <w:sz w:val="20"/>
          <w:szCs w:val="20"/>
        </w:rPr>
        <w:footnoteRef/>
      </w:r>
      <w:r w:rsidRPr="008C5279">
        <w:rPr>
          <w:rFonts w:asciiTheme="minorHAnsi" w:hAnsiTheme="minorHAnsi" w:cs="Calibri"/>
          <w:sz w:val="20"/>
          <w:szCs w:val="20"/>
          <w:lang w:val="en-GB"/>
        </w:rPr>
        <w:t xml:space="preserve">Müller, K.D. and Van der Merwe, I.A.  2005. </w:t>
      </w:r>
      <w:r w:rsidRPr="008C5279">
        <w:rPr>
          <w:rFonts w:asciiTheme="minorHAnsi" w:hAnsiTheme="minorHAnsi" w:cs="Calibri"/>
          <w:i/>
          <w:iCs/>
          <w:sz w:val="20"/>
          <w:szCs w:val="20"/>
          <w:lang w:val="en-GB"/>
        </w:rPr>
        <w:t>Judicial Management in child abuse cases: Empowering</w:t>
      </w:r>
      <w:r w:rsidRPr="008C5279">
        <w:rPr>
          <w:rFonts w:ascii="Calibri" w:hAnsi="Calibri" w:cs="Calibri"/>
          <w:i/>
          <w:iCs/>
          <w:sz w:val="20"/>
          <w:szCs w:val="20"/>
          <w:lang w:val="en-GB"/>
        </w:rPr>
        <w:t xml:space="preserve"> judicial officers to be `the boss of the court’.</w:t>
      </w:r>
      <w:r w:rsidRPr="008C5279">
        <w:rPr>
          <w:rFonts w:ascii="Calibri" w:hAnsi="Calibri" w:cs="Calibri"/>
          <w:b/>
          <w:bCs/>
          <w:i/>
          <w:iCs/>
          <w:sz w:val="20"/>
          <w:szCs w:val="20"/>
          <w:lang w:val="en-GB"/>
        </w:rPr>
        <w:t xml:space="preserve"> </w:t>
      </w:r>
      <w:r w:rsidRPr="008C5279">
        <w:rPr>
          <w:rFonts w:ascii="Calibri" w:hAnsi="Calibri" w:cs="Calibri"/>
          <w:b/>
          <w:bCs/>
          <w:sz w:val="20"/>
          <w:szCs w:val="20"/>
          <w:lang w:val="en-GB"/>
        </w:rPr>
        <w:t xml:space="preserve">  SACJ.</w:t>
      </w:r>
      <w:r w:rsidRPr="008C5279">
        <w:rPr>
          <w:rFonts w:ascii="Calibri" w:hAnsi="Calibri" w:cs="Calibri"/>
          <w:sz w:val="20"/>
          <w:szCs w:val="20"/>
          <w:lang w:val="en-GB"/>
        </w:rPr>
        <w:t xml:space="preserve"> 18(1): 41 - 55.  </w:t>
      </w:r>
    </w:p>
    <w:p w:rsidR="00830B25" w:rsidRPr="00830B25" w:rsidRDefault="00830B25">
      <w:pPr>
        <w:pStyle w:val="FootnoteText"/>
        <w:rPr>
          <w:lang w:val="en-Z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4480"/>
    <w:multiLevelType w:val="hybridMultilevel"/>
    <w:tmpl w:val="62B41AEA"/>
    <w:lvl w:ilvl="0" w:tplc="60C4CAD0">
      <w:start w:val="1"/>
      <w:numFmt w:val="bullet"/>
      <w:lvlText w:val=""/>
      <w:lvlJc w:val="left"/>
      <w:pPr>
        <w:tabs>
          <w:tab w:val="num" w:pos="2520"/>
        </w:tabs>
        <w:ind w:left="2520" w:hanging="360"/>
      </w:pPr>
      <w:rPr>
        <w:rFonts w:ascii="Wingdings" w:hAnsi="Wingdings"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60C4CAD0">
      <w:start w:val="1"/>
      <w:numFmt w:val="bullet"/>
      <w:lvlText w:val=""/>
      <w:lvlJc w:val="left"/>
      <w:pPr>
        <w:tabs>
          <w:tab w:val="num" w:pos="4320"/>
        </w:tabs>
        <w:ind w:left="4320" w:hanging="360"/>
      </w:pPr>
      <w:rPr>
        <w:rFonts w:ascii="Wingdings" w:hAnsi="Wingdings" w:hint="default"/>
        <w:color w:val="auto"/>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23E00039"/>
    <w:multiLevelType w:val="hybridMultilevel"/>
    <w:tmpl w:val="63563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C2B3A58"/>
    <w:multiLevelType w:val="hybridMultilevel"/>
    <w:tmpl w:val="EC0892B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
    <w:nsid w:val="5C7C3E0A"/>
    <w:multiLevelType w:val="hybridMultilevel"/>
    <w:tmpl w:val="7A50F136"/>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4">
    <w:nsid w:val="6C961077"/>
    <w:multiLevelType w:val="hybridMultilevel"/>
    <w:tmpl w:val="9926E4AE"/>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5">
    <w:nsid w:val="6FAF5817"/>
    <w:multiLevelType w:val="hybridMultilevel"/>
    <w:tmpl w:val="4328B598"/>
    <w:lvl w:ilvl="0" w:tplc="60C4CAD0">
      <w:start w:val="1"/>
      <w:numFmt w:val="bullet"/>
      <w:lvlText w:val=""/>
      <w:lvlJc w:val="left"/>
      <w:pPr>
        <w:tabs>
          <w:tab w:val="num" w:pos="2520"/>
        </w:tabs>
        <w:ind w:left="2520" w:hanging="360"/>
      </w:pPr>
      <w:rPr>
        <w:rFonts w:ascii="Wingdings" w:hAnsi="Wingdings"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color w:val="auto"/>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761A1AC9"/>
    <w:multiLevelType w:val="hybridMultilevel"/>
    <w:tmpl w:val="39E6B70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737AF"/>
    <w:multiLevelType w:val="multilevel"/>
    <w:tmpl w:val="0AF836C4"/>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nsid w:val="7BC174B8"/>
    <w:multiLevelType w:val="hybridMultilevel"/>
    <w:tmpl w:val="D082B458"/>
    <w:lvl w:ilvl="0" w:tplc="60C4CAD0">
      <w:start w:val="1"/>
      <w:numFmt w:val="bullet"/>
      <w:lvlText w:val=""/>
      <w:lvlJc w:val="left"/>
      <w:pPr>
        <w:tabs>
          <w:tab w:val="num" w:pos="2520"/>
        </w:tabs>
        <w:ind w:left="2520" w:hanging="360"/>
      </w:pPr>
      <w:rPr>
        <w:rFonts w:ascii="Wingdings" w:hAnsi="Wingdings"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60C4CAD0">
      <w:start w:val="1"/>
      <w:numFmt w:val="bullet"/>
      <w:lvlText w:val=""/>
      <w:lvlJc w:val="left"/>
      <w:pPr>
        <w:tabs>
          <w:tab w:val="num" w:pos="4320"/>
        </w:tabs>
        <w:ind w:left="4320" w:hanging="360"/>
      </w:pPr>
      <w:rPr>
        <w:rFonts w:ascii="Wingdings" w:hAnsi="Wingdings" w:hint="default"/>
        <w:color w:val="auto"/>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2382F"/>
    <w:rsid w:val="00025884"/>
    <w:rsid w:val="00031E74"/>
    <w:rsid w:val="00045354"/>
    <w:rsid w:val="000A2C07"/>
    <w:rsid w:val="000C2627"/>
    <w:rsid w:val="000C2F40"/>
    <w:rsid w:val="001047A4"/>
    <w:rsid w:val="00116D7D"/>
    <w:rsid w:val="001630C3"/>
    <w:rsid w:val="0018087A"/>
    <w:rsid w:val="001B4255"/>
    <w:rsid w:val="001F2699"/>
    <w:rsid w:val="00285795"/>
    <w:rsid w:val="002A7F3B"/>
    <w:rsid w:val="002D1C5A"/>
    <w:rsid w:val="002E45D3"/>
    <w:rsid w:val="00305485"/>
    <w:rsid w:val="00313751"/>
    <w:rsid w:val="0037428A"/>
    <w:rsid w:val="00387D42"/>
    <w:rsid w:val="003C3231"/>
    <w:rsid w:val="003E46CE"/>
    <w:rsid w:val="003F2F98"/>
    <w:rsid w:val="00451BA9"/>
    <w:rsid w:val="004D103A"/>
    <w:rsid w:val="0052382F"/>
    <w:rsid w:val="00534429"/>
    <w:rsid w:val="005541B4"/>
    <w:rsid w:val="00570356"/>
    <w:rsid w:val="005831AD"/>
    <w:rsid w:val="005A1A7F"/>
    <w:rsid w:val="00613185"/>
    <w:rsid w:val="00647A80"/>
    <w:rsid w:val="0068692A"/>
    <w:rsid w:val="00686CE4"/>
    <w:rsid w:val="006F23FE"/>
    <w:rsid w:val="00710D25"/>
    <w:rsid w:val="00713D22"/>
    <w:rsid w:val="0072324A"/>
    <w:rsid w:val="0074026E"/>
    <w:rsid w:val="007426E5"/>
    <w:rsid w:val="00757386"/>
    <w:rsid w:val="007615E3"/>
    <w:rsid w:val="0078019E"/>
    <w:rsid w:val="00780751"/>
    <w:rsid w:val="007E726E"/>
    <w:rsid w:val="00830B25"/>
    <w:rsid w:val="00861C4C"/>
    <w:rsid w:val="00863604"/>
    <w:rsid w:val="00887B73"/>
    <w:rsid w:val="008C5279"/>
    <w:rsid w:val="008D5E01"/>
    <w:rsid w:val="008D78BD"/>
    <w:rsid w:val="00912556"/>
    <w:rsid w:val="00923C00"/>
    <w:rsid w:val="00936189"/>
    <w:rsid w:val="009537C3"/>
    <w:rsid w:val="00966E21"/>
    <w:rsid w:val="00974B8E"/>
    <w:rsid w:val="009D362D"/>
    <w:rsid w:val="009E3C7B"/>
    <w:rsid w:val="009E43B4"/>
    <w:rsid w:val="00A838BB"/>
    <w:rsid w:val="00A9149A"/>
    <w:rsid w:val="00A9538D"/>
    <w:rsid w:val="00AD643E"/>
    <w:rsid w:val="00AF442E"/>
    <w:rsid w:val="00B147E5"/>
    <w:rsid w:val="00B4448A"/>
    <w:rsid w:val="00B97471"/>
    <w:rsid w:val="00BA1F51"/>
    <w:rsid w:val="00BD3B7E"/>
    <w:rsid w:val="00C97735"/>
    <w:rsid w:val="00CA2F12"/>
    <w:rsid w:val="00CA7FF4"/>
    <w:rsid w:val="00CC01D0"/>
    <w:rsid w:val="00CC3240"/>
    <w:rsid w:val="00CE69E0"/>
    <w:rsid w:val="00D1236C"/>
    <w:rsid w:val="00D31E60"/>
    <w:rsid w:val="00D72811"/>
    <w:rsid w:val="00D81923"/>
    <w:rsid w:val="00D86FAE"/>
    <w:rsid w:val="00DA01E6"/>
    <w:rsid w:val="00DC71BA"/>
    <w:rsid w:val="00E56A92"/>
    <w:rsid w:val="00F101AC"/>
    <w:rsid w:val="00F64E82"/>
    <w:rsid w:val="00FA5FE6"/>
    <w:rsid w:val="00FC6A44"/>
    <w:rsid w:val="00FD5442"/>
    <w:rsid w:val="00FE47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0D25"/>
    <w:rPr>
      <w:sz w:val="20"/>
      <w:szCs w:val="20"/>
    </w:rPr>
  </w:style>
  <w:style w:type="character" w:customStyle="1" w:styleId="FootnoteTextChar">
    <w:name w:val="Footnote Text Char"/>
    <w:basedOn w:val="DefaultParagraphFont"/>
    <w:link w:val="FootnoteText"/>
    <w:uiPriority w:val="99"/>
    <w:semiHidden/>
    <w:rsid w:val="00710D2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10D25"/>
    <w:rPr>
      <w:vertAlign w:val="superscript"/>
    </w:rPr>
  </w:style>
  <w:style w:type="table" w:styleId="TableGrid">
    <w:name w:val="Table Grid"/>
    <w:basedOn w:val="TableNormal"/>
    <w:uiPriority w:val="59"/>
    <w:rsid w:val="00713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87D42"/>
    <w:rPr>
      <w:color w:val="0000FF" w:themeColor="hyperlink"/>
      <w:u w:val="single"/>
    </w:rPr>
  </w:style>
  <w:style w:type="paragraph" w:styleId="ListParagraph">
    <w:name w:val="List Paragraph"/>
    <w:basedOn w:val="Normal"/>
    <w:uiPriority w:val="34"/>
    <w:qFormat/>
    <w:rsid w:val="00D31E60"/>
    <w:pPr>
      <w:ind w:left="720"/>
      <w:contextualSpacing/>
    </w:pPr>
  </w:style>
  <w:style w:type="paragraph" w:customStyle="1" w:styleId="1BulletList">
    <w:name w:val="1Bullet List"/>
    <w:rsid w:val="009E3C7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US"/>
    </w:rPr>
  </w:style>
  <w:style w:type="paragraph" w:customStyle="1" w:styleId="Default">
    <w:name w:val="Default"/>
    <w:rsid w:val="0057035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451BA9"/>
    <w:pPr>
      <w:tabs>
        <w:tab w:val="center" w:pos="4513"/>
        <w:tab w:val="right" w:pos="9026"/>
      </w:tabs>
    </w:pPr>
  </w:style>
  <w:style w:type="character" w:customStyle="1" w:styleId="HeaderChar">
    <w:name w:val="Header Char"/>
    <w:basedOn w:val="DefaultParagraphFont"/>
    <w:link w:val="Header"/>
    <w:uiPriority w:val="99"/>
    <w:semiHidden/>
    <w:rsid w:val="00451BA9"/>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451BA9"/>
    <w:pPr>
      <w:tabs>
        <w:tab w:val="center" w:pos="4513"/>
        <w:tab w:val="right" w:pos="9026"/>
      </w:tabs>
    </w:pPr>
  </w:style>
  <w:style w:type="character" w:customStyle="1" w:styleId="FooterChar">
    <w:name w:val="Footer Char"/>
    <w:basedOn w:val="DefaultParagraphFont"/>
    <w:link w:val="Footer"/>
    <w:uiPriority w:val="99"/>
    <w:semiHidden/>
    <w:rsid w:val="00451BA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B5FE-2C4D-4D82-B1B0-448906A68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dcterms:created xsi:type="dcterms:W3CDTF">2021-05-10T07:32:00Z</dcterms:created>
  <dcterms:modified xsi:type="dcterms:W3CDTF">2021-08-02T15:59:00Z</dcterms:modified>
</cp:coreProperties>
</file>