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7F4C" w14:textId="77777777" w:rsidR="00012E96" w:rsidRPr="00012E96" w:rsidRDefault="00012E96" w:rsidP="00012E96">
      <w:pPr>
        <w:spacing w:line="240" w:lineRule="auto"/>
        <w:rPr>
          <w:rFonts w:ascii="Arial" w:hAnsi="Arial" w:cs="Arial"/>
          <w:b/>
          <w:sz w:val="24"/>
          <w:szCs w:val="24"/>
        </w:rPr>
      </w:pPr>
      <w:bookmarkStart w:id="0" w:name="_GoBack"/>
      <w:bookmarkEnd w:id="0"/>
      <w:r w:rsidRPr="00012E96">
        <w:rPr>
          <w:rFonts w:ascii="Arial" w:hAnsi="Arial" w:cs="Arial"/>
          <w:b/>
          <w:sz w:val="24"/>
          <w:szCs w:val="24"/>
        </w:rPr>
        <w:t xml:space="preserve">                                          REPUBLIC OF SOUTH AFRICA</w:t>
      </w:r>
    </w:p>
    <w:p w14:paraId="143C676B" w14:textId="77777777" w:rsidR="00012E96" w:rsidRPr="00012E96" w:rsidRDefault="00012E96" w:rsidP="00012E96">
      <w:pPr>
        <w:spacing w:line="240" w:lineRule="auto"/>
        <w:jc w:val="center"/>
        <w:rPr>
          <w:rFonts w:ascii="Arial" w:hAnsi="Arial" w:cs="Arial"/>
          <w:b/>
          <w:sz w:val="24"/>
          <w:szCs w:val="24"/>
        </w:rPr>
      </w:pPr>
      <w:r w:rsidRPr="00012E96">
        <w:rPr>
          <w:rFonts w:ascii="Arial" w:hAnsi="Arial" w:cs="Arial"/>
          <w:sz w:val="24"/>
          <w:szCs w:val="24"/>
          <w:lang w:val="en-US"/>
        </w:rPr>
        <w:t xml:space="preserve">         </w:t>
      </w:r>
      <w:r w:rsidRPr="00012E96">
        <w:rPr>
          <w:rFonts w:ascii="Arial" w:hAnsi="Arial" w:cs="Arial"/>
          <w:noProof/>
          <w:sz w:val="24"/>
          <w:szCs w:val="24"/>
          <w:lang w:eastAsia="en-ZA"/>
        </w:rPr>
        <w:drawing>
          <wp:inline distT="0" distB="0" distL="0" distR="0" wp14:anchorId="7668D139" wp14:editId="2E2F66FA">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012E96">
        <w:rPr>
          <w:rFonts w:ascii="Arial" w:hAnsi="Arial" w:cs="Arial"/>
          <w:noProof/>
          <w:sz w:val="24"/>
          <w:szCs w:val="24"/>
          <w:lang w:eastAsia="en-ZA"/>
        </w:rPr>
        <mc:AlternateContent>
          <mc:Choice Requires="wpg">
            <w:drawing>
              <wp:inline distT="0" distB="0" distL="0" distR="0" wp14:anchorId="6B8E549E" wp14:editId="4E511C65">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052A8C6"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6C58416B" w14:textId="6FE23125" w:rsidR="00012E96" w:rsidRPr="00012E96" w:rsidRDefault="001F71F0" w:rsidP="00012E96">
      <w:pPr>
        <w:spacing w:line="240" w:lineRule="auto"/>
        <w:jc w:val="center"/>
        <w:rPr>
          <w:rFonts w:ascii="Arial" w:hAnsi="Arial" w:cs="Arial"/>
          <w:b/>
          <w:sz w:val="24"/>
          <w:szCs w:val="24"/>
        </w:rPr>
      </w:pPr>
      <w:r>
        <w:rPr>
          <w:rFonts w:ascii="Arial" w:hAnsi="Arial" w:cs="Arial"/>
          <w:b/>
          <w:sz w:val="24"/>
          <w:szCs w:val="24"/>
        </w:rPr>
        <w:t xml:space="preserve">IN THE COMPETITION APPEAL </w:t>
      </w:r>
      <w:r w:rsidR="00012E96" w:rsidRPr="00012E96">
        <w:rPr>
          <w:rFonts w:ascii="Arial" w:hAnsi="Arial" w:cs="Arial"/>
          <w:b/>
          <w:sz w:val="24"/>
          <w:szCs w:val="24"/>
        </w:rPr>
        <w:t xml:space="preserve">COURT OF SOUTH AFRICA, </w:t>
      </w:r>
    </w:p>
    <w:p w14:paraId="10D2A600" w14:textId="580879C7" w:rsidR="00012E96" w:rsidRPr="00012E96" w:rsidRDefault="004755EE" w:rsidP="00012E96">
      <w:pPr>
        <w:spacing w:line="240" w:lineRule="auto"/>
        <w:jc w:val="center"/>
        <w:rPr>
          <w:rFonts w:ascii="Arial" w:hAnsi="Arial" w:cs="Arial"/>
          <w:b/>
          <w:sz w:val="24"/>
          <w:szCs w:val="24"/>
        </w:rPr>
      </w:pPr>
      <w:r>
        <w:rPr>
          <w:rFonts w:ascii="Arial" w:hAnsi="Arial" w:cs="Arial"/>
          <w:b/>
          <w:sz w:val="24"/>
          <w:szCs w:val="24"/>
        </w:rPr>
        <w:t xml:space="preserve"> </w:t>
      </w:r>
      <w:r w:rsidR="001F71F0">
        <w:rPr>
          <w:rFonts w:ascii="Arial" w:hAnsi="Arial" w:cs="Arial"/>
          <w:b/>
          <w:sz w:val="24"/>
          <w:szCs w:val="24"/>
        </w:rPr>
        <w:t xml:space="preserve">HELD IN </w:t>
      </w:r>
      <w:r w:rsidR="00BD01EA">
        <w:rPr>
          <w:rFonts w:ascii="Arial" w:hAnsi="Arial" w:cs="Arial"/>
          <w:b/>
          <w:sz w:val="24"/>
          <w:szCs w:val="24"/>
        </w:rPr>
        <w:t>JOHANNESBURG</w:t>
      </w:r>
    </w:p>
    <w:p w14:paraId="7C3718DA" w14:textId="46CF8AE2" w:rsidR="00012E96" w:rsidRPr="00012E96" w:rsidRDefault="00012E96" w:rsidP="00012E96">
      <w:pPr>
        <w:spacing w:line="360" w:lineRule="auto"/>
        <w:jc w:val="center"/>
        <w:rPr>
          <w:rFonts w:ascii="Arial" w:hAnsi="Arial" w:cs="Arial"/>
          <w:b/>
          <w:sz w:val="24"/>
          <w:szCs w:val="24"/>
        </w:rPr>
      </w:pPr>
      <w:r w:rsidRPr="00D804AB">
        <w:rPr>
          <w:rFonts w:ascii="Arial" w:hAnsi="Arial" w:cs="Arial"/>
          <w:noProof/>
          <w:sz w:val="20"/>
          <w:szCs w:val="20"/>
          <w:lang w:eastAsia="en-ZA"/>
        </w:rPr>
        <mc:AlternateContent>
          <mc:Choice Requires="wps">
            <w:drawing>
              <wp:anchor distT="0" distB="0" distL="114300" distR="114300" simplePos="0" relativeHeight="251659264" behindDoc="0" locked="0" layoutInCell="1" allowOverlap="1" wp14:anchorId="26D183C5" wp14:editId="4EB8DE6E">
                <wp:simplePos x="0" y="0"/>
                <wp:positionH relativeFrom="column">
                  <wp:posOffset>213360</wp:posOffset>
                </wp:positionH>
                <wp:positionV relativeFrom="paragraph">
                  <wp:posOffset>114300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D719E54" w14:textId="77777777" w:rsidR="0070760F" w:rsidRDefault="0070760F" w:rsidP="00012E96">
                            <w:pPr>
                              <w:jc w:val="center"/>
                              <w:rPr>
                                <w:rFonts w:ascii="Century Gothic" w:hAnsi="Century Gothic"/>
                                <w:b/>
                                <w:sz w:val="20"/>
                                <w:szCs w:val="20"/>
                              </w:rPr>
                            </w:pPr>
                          </w:p>
                          <w:p w14:paraId="6AD3EA5C" w14:textId="4F3CF9F7" w:rsidR="0070760F" w:rsidRDefault="0070760F" w:rsidP="00012E9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B95A64">
                              <w:rPr>
                                <w:rFonts w:ascii="Century Gothic" w:hAnsi="Century Gothic"/>
                                <w:sz w:val="20"/>
                                <w:szCs w:val="20"/>
                              </w:rPr>
                              <w:t>YES</w:t>
                            </w:r>
                          </w:p>
                          <w:p w14:paraId="5ED2B033" w14:textId="6264F4D6" w:rsidR="0070760F" w:rsidRDefault="0070760F" w:rsidP="00012E9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B95A64">
                              <w:rPr>
                                <w:rFonts w:ascii="Century Gothic" w:hAnsi="Century Gothic"/>
                                <w:sz w:val="20"/>
                                <w:szCs w:val="20"/>
                              </w:rPr>
                              <w:t xml:space="preserve"> YES</w:t>
                            </w:r>
                          </w:p>
                          <w:p w14:paraId="53BE7A34" w14:textId="7C1F8D4B" w:rsidR="0070760F" w:rsidRDefault="0070760F" w:rsidP="00175F8C">
                            <w:pPr>
                              <w:spacing w:after="0" w:line="240" w:lineRule="auto"/>
                              <w:ind w:left="180"/>
                              <w:rPr>
                                <w:rFonts w:ascii="Century Gothic" w:hAnsi="Century Gothic"/>
                                <w:sz w:val="20"/>
                                <w:szCs w:val="20"/>
                              </w:rPr>
                            </w:pPr>
                          </w:p>
                          <w:p w14:paraId="4D630963" w14:textId="77777777" w:rsidR="0070760F" w:rsidRDefault="0070760F" w:rsidP="00012E96">
                            <w:pPr>
                              <w:rPr>
                                <w:rFonts w:ascii="Century Gothic" w:hAnsi="Century Gothic"/>
                                <w:b/>
                                <w:sz w:val="18"/>
                                <w:szCs w:val="18"/>
                              </w:rPr>
                            </w:pPr>
                          </w:p>
                          <w:p w14:paraId="6B6BF567" w14:textId="77777777" w:rsidR="0070760F" w:rsidRDefault="0070760F" w:rsidP="00012E96">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27B2537A" w14:textId="77777777" w:rsidR="0070760F" w:rsidRDefault="0070760F" w:rsidP="00012E9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6D183C5" id="_x0000_t202" coordsize="21600,21600" o:spt="202" path="m,l,21600r21600,l21600,xe">
                <v:stroke joinstyle="miter"/>
                <v:path gradientshapeok="t" o:connecttype="rect"/>
              </v:shapetype>
              <v:shape id="Text Box 2"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">
                <v:textbox>
                  <w:txbxContent>
                    <w:p w14:paraId="5D719E54" w14:textId="77777777" w:rsidR="0070760F" w:rsidRDefault="0070760F" w:rsidP="00012E96">
                      <w:pPr>
                        <w:jc w:val="center"/>
                        <w:rPr>
                          <w:rFonts w:ascii="Century Gothic" w:hAnsi="Century Gothic"/>
                          <w:b/>
                          <w:sz w:val="20"/>
                          <w:szCs w:val="20"/>
                        </w:rPr>
                      </w:pPr>
                    </w:p>
                    <w:p w14:paraId="6AD3EA5C" w14:textId="4F3CF9F7" w:rsidR="0070760F" w:rsidRDefault="0070760F" w:rsidP="00012E9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B95A64">
                        <w:rPr>
                          <w:rFonts w:ascii="Century Gothic" w:hAnsi="Century Gothic"/>
                          <w:sz w:val="20"/>
                          <w:szCs w:val="20"/>
                        </w:rPr>
                        <w:t>YES</w:t>
                      </w:r>
                    </w:p>
                    <w:p w14:paraId="5ED2B033" w14:textId="6264F4D6" w:rsidR="0070760F" w:rsidRDefault="0070760F" w:rsidP="00012E9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B95A64">
                        <w:rPr>
                          <w:rFonts w:ascii="Century Gothic" w:hAnsi="Century Gothic"/>
                          <w:sz w:val="20"/>
                          <w:szCs w:val="20"/>
                        </w:rPr>
                        <w:t xml:space="preserve"> YES</w:t>
                      </w:r>
                    </w:p>
                    <w:p w14:paraId="53BE7A34" w14:textId="7C1F8D4B" w:rsidR="0070760F" w:rsidRDefault="0070760F" w:rsidP="00175F8C">
                      <w:pPr>
                        <w:spacing w:after="0" w:line="240" w:lineRule="auto"/>
                        <w:ind w:left="180"/>
                        <w:rPr>
                          <w:rFonts w:ascii="Century Gothic" w:hAnsi="Century Gothic"/>
                          <w:sz w:val="20"/>
                          <w:szCs w:val="20"/>
                        </w:rPr>
                      </w:pPr>
                    </w:p>
                    <w:p w14:paraId="4D630963" w14:textId="77777777" w:rsidR="0070760F" w:rsidRDefault="0070760F" w:rsidP="00012E96">
                      <w:pPr>
                        <w:rPr>
                          <w:rFonts w:ascii="Century Gothic" w:hAnsi="Century Gothic"/>
                          <w:b/>
                          <w:sz w:val="18"/>
                          <w:szCs w:val="18"/>
                        </w:rPr>
                      </w:pPr>
                    </w:p>
                    <w:p w14:paraId="6B6BF567" w14:textId="77777777" w:rsidR="0070760F" w:rsidRDefault="0070760F" w:rsidP="00012E96">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27B2537A" w14:textId="77777777" w:rsidR="0070760F" w:rsidRDefault="0070760F" w:rsidP="00012E9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D804AB">
        <w:rPr>
          <w:rFonts w:ascii="Arial" w:hAnsi="Arial" w:cs="Arial"/>
          <w:b/>
          <w:sz w:val="20"/>
          <w:szCs w:val="20"/>
        </w:rPr>
        <w:t xml:space="preserve">                                                                                       </w:t>
      </w:r>
      <w:r w:rsidR="001F71F0">
        <w:rPr>
          <w:rFonts w:ascii="Arial" w:hAnsi="Arial" w:cs="Arial"/>
          <w:b/>
          <w:sz w:val="20"/>
          <w:szCs w:val="20"/>
        </w:rPr>
        <w:t xml:space="preserve">        </w:t>
      </w:r>
      <w:r>
        <w:rPr>
          <w:rFonts w:ascii="Arial" w:hAnsi="Arial" w:cs="Arial"/>
          <w:b/>
          <w:sz w:val="20"/>
          <w:szCs w:val="20"/>
        </w:rPr>
        <w:t xml:space="preserve">  </w:t>
      </w:r>
      <w:r w:rsidRPr="00012E96">
        <w:rPr>
          <w:rFonts w:ascii="Arial" w:hAnsi="Arial" w:cs="Arial"/>
          <w:b/>
          <w:sz w:val="24"/>
          <w:szCs w:val="24"/>
        </w:rPr>
        <w:t xml:space="preserve">Case </w:t>
      </w:r>
      <w:r w:rsidR="001F71F0">
        <w:rPr>
          <w:rFonts w:ascii="Arial" w:hAnsi="Arial" w:cs="Arial"/>
          <w:b/>
          <w:sz w:val="24"/>
          <w:szCs w:val="24"/>
        </w:rPr>
        <w:t>No</w:t>
      </w:r>
      <w:r w:rsidRPr="00012E96">
        <w:rPr>
          <w:rFonts w:ascii="Arial" w:hAnsi="Arial" w:cs="Arial"/>
          <w:b/>
          <w:sz w:val="24"/>
          <w:szCs w:val="24"/>
        </w:rPr>
        <w:t xml:space="preserve">: </w:t>
      </w:r>
      <w:r w:rsidR="001F71F0">
        <w:rPr>
          <w:rFonts w:ascii="Arial" w:hAnsi="Arial" w:cs="Arial"/>
          <w:sz w:val="24"/>
          <w:szCs w:val="24"/>
        </w:rPr>
        <w:t>195/CAC/Oct21</w:t>
      </w:r>
    </w:p>
    <w:p w14:paraId="68C14EA4" w14:textId="77777777" w:rsidR="00012E96" w:rsidRPr="00D804AB" w:rsidRDefault="00012E96" w:rsidP="00012E96">
      <w:pPr>
        <w:spacing w:line="360" w:lineRule="auto"/>
        <w:jc w:val="both"/>
        <w:rPr>
          <w:rFonts w:ascii="Arial" w:hAnsi="Arial" w:cs="Arial"/>
          <w:sz w:val="20"/>
          <w:szCs w:val="20"/>
        </w:rPr>
      </w:pPr>
    </w:p>
    <w:p w14:paraId="5AF2D5B3" w14:textId="77777777" w:rsidR="00012E96" w:rsidRPr="00D804AB" w:rsidRDefault="00012E96" w:rsidP="00012E96">
      <w:pPr>
        <w:spacing w:line="360" w:lineRule="auto"/>
        <w:jc w:val="both"/>
        <w:rPr>
          <w:rFonts w:ascii="Arial" w:hAnsi="Arial" w:cs="Arial"/>
          <w:sz w:val="20"/>
          <w:szCs w:val="20"/>
        </w:rPr>
      </w:pPr>
    </w:p>
    <w:p w14:paraId="30FD11FD" w14:textId="77777777" w:rsidR="00012E96" w:rsidRPr="00D804AB" w:rsidRDefault="00012E96" w:rsidP="00012E96">
      <w:pPr>
        <w:spacing w:line="360" w:lineRule="auto"/>
        <w:jc w:val="both"/>
        <w:rPr>
          <w:rFonts w:ascii="Arial" w:hAnsi="Arial" w:cs="Arial"/>
          <w:sz w:val="20"/>
          <w:szCs w:val="20"/>
        </w:rPr>
      </w:pPr>
    </w:p>
    <w:p w14:paraId="77A7E834" w14:textId="77777777" w:rsidR="00012E96" w:rsidRPr="00D804AB" w:rsidRDefault="00012E96" w:rsidP="00012E96">
      <w:pPr>
        <w:spacing w:line="360" w:lineRule="auto"/>
        <w:rPr>
          <w:rFonts w:ascii="Arial" w:hAnsi="Arial" w:cs="Arial"/>
          <w:sz w:val="20"/>
          <w:szCs w:val="20"/>
        </w:rPr>
      </w:pPr>
    </w:p>
    <w:p w14:paraId="7F841629" w14:textId="77777777" w:rsidR="00012E96" w:rsidRPr="00D804AB" w:rsidRDefault="00012E96" w:rsidP="00012E96">
      <w:pPr>
        <w:spacing w:line="360" w:lineRule="auto"/>
        <w:jc w:val="both"/>
        <w:rPr>
          <w:rFonts w:ascii="Arial" w:hAnsi="Arial" w:cs="Arial"/>
          <w:sz w:val="20"/>
          <w:szCs w:val="20"/>
          <w:lang w:val="en-GB"/>
        </w:rPr>
      </w:pPr>
    </w:p>
    <w:p w14:paraId="09532C18" w14:textId="77777777" w:rsidR="00012E96" w:rsidRPr="00E3480B" w:rsidRDefault="00012E96" w:rsidP="00012E96">
      <w:pPr>
        <w:spacing w:line="360" w:lineRule="auto"/>
        <w:rPr>
          <w:rFonts w:ascii="Arial" w:hAnsi="Arial" w:cs="Arial"/>
          <w:sz w:val="24"/>
          <w:szCs w:val="24"/>
          <w:lang w:val="en-US"/>
        </w:rPr>
      </w:pPr>
      <w:r w:rsidRPr="00E3480B">
        <w:rPr>
          <w:rFonts w:ascii="Arial" w:hAnsi="Arial" w:cs="Arial"/>
          <w:sz w:val="24"/>
          <w:szCs w:val="24"/>
          <w:lang w:val="en-US"/>
        </w:rPr>
        <w:t>In the matter between:</w:t>
      </w:r>
    </w:p>
    <w:p w14:paraId="5F4A57E3" w14:textId="1C1DDE58" w:rsidR="008D77EC" w:rsidRPr="00F76144" w:rsidRDefault="001F71F0" w:rsidP="00012E96">
      <w:pPr>
        <w:spacing w:line="360" w:lineRule="auto"/>
        <w:jc w:val="both"/>
        <w:rPr>
          <w:rFonts w:ascii="Arial" w:hAnsi="Arial" w:cs="Arial"/>
          <w:sz w:val="24"/>
          <w:szCs w:val="24"/>
          <w:lang w:val="en-US"/>
        </w:rPr>
      </w:pPr>
      <w:r>
        <w:rPr>
          <w:rFonts w:ascii="Arial" w:hAnsi="Arial" w:cs="Arial"/>
          <w:b/>
          <w:sz w:val="24"/>
          <w:szCs w:val="24"/>
          <w:lang w:val="en-US"/>
        </w:rPr>
        <w:t>TOURVEST HOLDINGS (Pty) LTD</w:t>
      </w:r>
      <w:r w:rsidR="00562F32">
        <w:rPr>
          <w:rFonts w:ascii="Arial" w:hAnsi="Arial" w:cs="Arial"/>
          <w:b/>
          <w:sz w:val="24"/>
          <w:szCs w:val="24"/>
          <w:lang w:val="en-US"/>
        </w:rPr>
        <w:t xml:space="preserve">                   </w:t>
      </w:r>
      <w:r>
        <w:rPr>
          <w:rFonts w:ascii="Arial" w:hAnsi="Arial" w:cs="Arial"/>
          <w:b/>
          <w:sz w:val="24"/>
          <w:szCs w:val="24"/>
          <w:lang w:val="en-US"/>
        </w:rPr>
        <w:t xml:space="preserve">     </w:t>
      </w:r>
      <w:r w:rsidR="008D77EC">
        <w:rPr>
          <w:rFonts w:ascii="Arial" w:hAnsi="Arial" w:cs="Arial"/>
          <w:b/>
          <w:sz w:val="24"/>
          <w:szCs w:val="24"/>
          <w:lang w:val="en-US"/>
        </w:rPr>
        <w:t xml:space="preserve"> </w:t>
      </w:r>
      <w:r>
        <w:rPr>
          <w:rFonts w:ascii="Arial" w:hAnsi="Arial" w:cs="Arial"/>
          <w:b/>
          <w:sz w:val="24"/>
          <w:szCs w:val="24"/>
          <w:lang w:val="en-US"/>
        </w:rPr>
        <w:t xml:space="preserve">                                         </w:t>
      </w:r>
      <w:r>
        <w:rPr>
          <w:rFonts w:ascii="Arial" w:hAnsi="Arial" w:cs="Arial"/>
          <w:sz w:val="24"/>
          <w:szCs w:val="24"/>
          <w:lang w:val="en-US"/>
        </w:rPr>
        <w:t>Appellant</w:t>
      </w:r>
    </w:p>
    <w:p w14:paraId="7E7C8889" w14:textId="7B6F12D6" w:rsidR="00562F32" w:rsidRDefault="00175F8C" w:rsidP="00562F32">
      <w:pPr>
        <w:spacing w:line="360" w:lineRule="auto"/>
        <w:jc w:val="both"/>
        <w:rPr>
          <w:rFonts w:ascii="Arial" w:hAnsi="Arial" w:cs="Arial"/>
          <w:sz w:val="24"/>
          <w:szCs w:val="24"/>
          <w:lang w:val="en-GB"/>
        </w:rPr>
      </w:pPr>
      <w:r>
        <w:rPr>
          <w:rFonts w:ascii="Arial" w:hAnsi="Arial" w:cs="Arial"/>
          <w:sz w:val="24"/>
          <w:szCs w:val="24"/>
          <w:lang w:val="en-GB"/>
        </w:rPr>
        <w:t>a</w:t>
      </w:r>
      <w:r w:rsidR="00012E96" w:rsidRPr="00012E96">
        <w:rPr>
          <w:rFonts w:ascii="Arial" w:hAnsi="Arial" w:cs="Arial"/>
          <w:sz w:val="24"/>
          <w:szCs w:val="24"/>
          <w:lang w:val="en-GB"/>
        </w:rPr>
        <w:t>nd,</w:t>
      </w:r>
    </w:p>
    <w:p w14:paraId="7D77BDA3" w14:textId="77777777" w:rsidR="003A3121" w:rsidRPr="003A3121" w:rsidRDefault="003A3121" w:rsidP="003A3121">
      <w:pPr>
        <w:spacing w:line="240" w:lineRule="auto"/>
        <w:jc w:val="both"/>
        <w:rPr>
          <w:rFonts w:ascii="Arial" w:hAnsi="Arial" w:cs="Arial"/>
          <w:b/>
          <w:sz w:val="24"/>
          <w:szCs w:val="24"/>
          <w:lang w:val="en-US"/>
        </w:rPr>
      </w:pPr>
    </w:p>
    <w:p w14:paraId="638A6C25" w14:textId="6D144B46" w:rsidR="001F71F0" w:rsidRDefault="001F71F0" w:rsidP="00562F32">
      <w:pPr>
        <w:spacing w:line="360" w:lineRule="auto"/>
        <w:jc w:val="both"/>
        <w:rPr>
          <w:rFonts w:ascii="Arial" w:hAnsi="Arial" w:cs="Arial"/>
          <w:b/>
          <w:sz w:val="24"/>
          <w:szCs w:val="24"/>
          <w:lang w:val="en-US"/>
        </w:rPr>
      </w:pPr>
      <w:r>
        <w:rPr>
          <w:rFonts w:ascii="Arial" w:hAnsi="Arial" w:cs="Arial"/>
          <w:b/>
          <w:sz w:val="24"/>
          <w:szCs w:val="24"/>
          <w:lang w:val="en-US"/>
        </w:rPr>
        <w:t xml:space="preserve">COMPETITION COMISSION </w:t>
      </w:r>
      <w:r w:rsidR="00F6575A">
        <w:rPr>
          <w:rFonts w:ascii="Arial" w:hAnsi="Arial" w:cs="Arial"/>
          <w:b/>
          <w:sz w:val="24"/>
          <w:szCs w:val="24"/>
          <w:lang w:val="en-US"/>
        </w:rPr>
        <w:t xml:space="preserve">                                                                 </w:t>
      </w:r>
      <w:r w:rsidR="00F6575A" w:rsidRPr="00F6575A">
        <w:rPr>
          <w:rFonts w:ascii="Arial" w:hAnsi="Arial" w:cs="Arial"/>
          <w:sz w:val="24"/>
          <w:szCs w:val="24"/>
          <w:lang w:val="en-US"/>
        </w:rPr>
        <w:t>First Respondent</w:t>
      </w:r>
    </w:p>
    <w:p w14:paraId="058465A0" w14:textId="58F19CFF" w:rsidR="00562F32" w:rsidRDefault="001F71F0" w:rsidP="00562F32">
      <w:pPr>
        <w:spacing w:line="360" w:lineRule="auto"/>
        <w:jc w:val="both"/>
        <w:rPr>
          <w:rFonts w:ascii="Arial" w:hAnsi="Arial" w:cs="Arial"/>
          <w:sz w:val="24"/>
          <w:szCs w:val="24"/>
          <w:lang w:val="en-US"/>
        </w:rPr>
      </w:pPr>
      <w:r>
        <w:rPr>
          <w:rFonts w:ascii="Arial" w:hAnsi="Arial" w:cs="Arial"/>
          <w:b/>
          <w:sz w:val="24"/>
          <w:szCs w:val="24"/>
          <w:lang w:val="en-US"/>
        </w:rPr>
        <w:t>SIYAZISIZA TRUST</w:t>
      </w:r>
      <w:r w:rsidR="003A3121">
        <w:rPr>
          <w:rFonts w:ascii="Arial" w:hAnsi="Arial" w:cs="Arial"/>
          <w:b/>
          <w:sz w:val="24"/>
          <w:szCs w:val="24"/>
          <w:lang w:val="en-US"/>
        </w:rPr>
        <w:t xml:space="preserve"> </w:t>
      </w:r>
      <w:r w:rsidR="006F26DF" w:rsidRPr="003A3121">
        <w:rPr>
          <w:rFonts w:ascii="Arial" w:hAnsi="Arial" w:cs="Arial"/>
          <w:b/>
          <w:sz w:val="24"/>
          <w:szCs w:val="24"/>
          <w:lang w:val="en-US"/>
        </w:rPr>
        <w:t xml:space="preserve">                        </w:t>
      </w:r>
      <w:r w:rsidR="00562F32" w:rsidRPr="003A3121">
        <w:rPr>
          <w:rFonts w:ascii="Arial" w:hAnsi="Arial" w:cs="Arial"/>
          <w:b/>
          <w:sz w:val="24"/>
          <w:szCs w:val="24"/>
          <w:lang w:val="en-US"/>
        </w:rPr>
        <w:t xml:space="preserve">   </w:t>
      </w:r>
      <w:r w:rsidR="006F26DF" w:rsidRPr="003A3121">
        <w:rPr>
          <w:rFonts w:ascii="Arial" w:hAnsi="Arial" w:cs="Arial"/>
          <w:b/>
          <w:sz w:val="24"/>
          <w:szCs w:val="24"/>
          <w:lang w:val="en-US"/>
        </w:rPr>
        <w:t xml:space="preserve">          </w:t>
      </w:r>
      <w:r w:rsidR="00562F32" w:rsidRPr="003A3121">
        <w:rPr>
          <w:rFonts w:ascii="Arial" w:hAnsi="Arial" w:cs="Arial"/>
          <w:b/>
          <w:sz w:val="24"/>
          <w:szCs w:val="24"/>
          <w:lang w:val="en-US"/>
        </w:rPr>
        <w:t xml:space="preserve"> </w:t>
      </w:r>
      <w:r w:rsidR="003A3121" w:rsidRPr="003A3121">
        <w:rPr>
          <w:rFonts w:ascii="Arial" w:hAnsi="Arial" w:cs="Arial"/>
          <w:b/>
          <w:sz w:val="24"/>
          <w:szCs w:val="24"/>
          <w:lang w:val="en-US"/>
        </w:rPr>
        <w:t xml:space="preserve">                                  </w:t>
      </w:r>
      <w:r w:rsidR="00F6575A">
        <w:rPr>
          <w:rFonts w:ascii="Arial" w:hAnsi="Arial" w:cs="Arial"/>
          <w:sz w:val="24"/>
          <w:szCs w:val="24"/>
          <w:lang w:val="en-US"/>
        </w:rPr>
        <w:t xml:space="preserve">  Second</w:t>
      </w:r>
      <w:r>
        <w:rPr>
          <w:rFonts w:ascii="Arial" w:hAnsi="Arial" w:cs="Arial"/>
          <w:sz w:val="24"/>
          <w:szCs w:val="24"/>
          <w:lang w:val="en-US"/>
        </w:rPr>
        <w:t xml:space="preserve"> </w:t>
      </w:r>
      <w:r w:rsidR="003A3121">
        <w:rPr>
          <w:rFonts w:ascii="Arial" w:hAnsi="Arial" w:cs="Arial"/>
          <w:sz w:val="24"/>
          <w:szCs w:val="24"/>
          <w:lang w:val="en-US"/>
        </w:rPr>
        <w:t>Respondent</w:t>
      </w:r>
    </w:p>
    <w:p w14:paraId="4A6BE895" w14:textId="74BB8A3F" w:rsidR="004433CB" w:rsidRDefault="003A3121" w:rsidP="001F71F0">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16A44998" w14:textId="77777777" w:rsidR="00012E96" w:rsidRPr="00D804AB" w:rsidRDefault="00012E96" w:rsidP="00012E96">
      <w:pPr>
        <w:spacing w:line="360" w:lineRule="auto"/>
        <w:jc w:val="both"/>
        <w:rPr>
          <w:rFonts w:ascii="Arial" w:hAnsi="Arial" w:cs="Arial"/>
          <w:sz w:val="20"/>
          <w:szCs w:val="20"/>
        </w:rPr>
      </w:pPr>
      <w:r w:rsidRPr="00D804AB">
        <w:rPr>
          <w:rFonts w:ascii="Arial" w:hAnsi="Arial" w:cs="Arial"/>
          <w:sz w:val="20"/>
          <w:szCs w:val="20"/>
          <w:lang w:val="en-GB"/>
        </w:rPr>
        <w:t>_________________________________________________________________________</w:t>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t>________</w:t>
      </w:r>
    </w:p>
    <w:p w14:paraId="37A8034B" w14:textId="01EA3208" w:rsidR="00012E96" w:rsidRDefault="00012E96" w:rsidP="00012E96">
      <w:pPr>
        <w:spacing w:line="360" w:lineRule="auto"/>
        <w:jc w:val="both"/>
        <w:rPr>
          <w:rFonts w:ascii="Arial" w:hAnsi="Arial" w:cs="Arial"/>
          <w:lang w:val="en-GB"/>
        </w:rPr>
      </w:pPr>
      <w:r w:rsidRPr="002712FE">
        <w:rPr>
          <w:rFonts w:ascii="Arial" w:hAnsi="Arial" w:cs="Arial"/>
          <w:b/>
          <w:sz w:val="28"/>
          <w:lang w:val="en-GB"/>
        </w:rPr>
        <w:t xml:space="preserve">                                              JUDGMENT </w:t>
      </w:r>
      <w:r w:rsidRPr="002712FE">
        <w:rPr>
          <w:rFonts w:ascii="Arial" w:hAnsi="Arial" w:cs="Arial"/>
          <w:lang w:val="en-GB"/>
        </w:rPr>
        <w:t>___________________________________________________________________</w:t>
      </w:r>
      <w:r>
        <w:rPr>
          <w:rFonts w:ascii="Arial" w:hAnsi="Arial" w:cs="Arial"/>
          <w:lang w:val="en-GB"/>
        </w:rPr>
        <w:t>______</w:t>
      </w:r>
    </w:p>
    <w:p w14:paraId="551EE45E" w14:textId="767F6947" w:rsidR="00B95A64" w:rsidRPr="00B95A64" w:rsidRDefault="00B95A64" w:rsidP="00B95A64">
      <w:pPr>
        <w:pStyle w:val="ListParagraph"/>
        <w:spacing w:line="360" w:lineRule="auto"/>
        <w:ind w:left="0"/>
        <w:jc w:val="both"/>
        <w:rPr>
          <w:rFonts w:ascii="Arial" w:hAnsi="Arial" w:cs="Arial"/>
          <w:b/>
          <w:i/>
          <w:sz w:val="22"/>
          <w:szCs w:val="22"/>
        </w:rPr>
      </w:pPr>
      <w:r>
        <w:rPr>
          <w:rFonts w:ascii="Arial" w:hAnsi="Arial" w:cs="Arial"/>
          <w:b/>
          <w:sz w:val="22"/>
          <w:szCs w:val="22"/>
        </w:rPr>
        <w:t>Summary:</w:t>
      </w:r>
      <w:r w:rsidRPr="00B95A64">
        <w:rPr>
          <w:rFonts w:ascii="Arial" w:hAnsi="Arial" w:cs="Arial"/>
          <w:lang w:val="en-GB"/>
        </w:rPr>
        <w:t xml:space="preserve"> </w:t>
      </w:r>
      <w:r w:rsidRPr="00B95A64">
        <w:rPr>
          <w:rFonts w:ascii="Arial" w:hAnsi="Arial" w:cs="Arial"/>
          <w:b/>
          <w:i/>
          <w:sz w:val="22"/>
          <w:szCs w:val="22"/>
          <w:lang w:val="en-GB"/>
        </w:rPr>
        <w:t xml:space="preserve">Accepted competition theory in the characterisation </w:t>
      </w:r>
      <w:r>
        <w:rPr>
          <w:rFonts w:ascii="Arial" w:hAnsi="Arial" w:cs="Arial"/>
          <w:b/>
          <w:i/>
          <w:sz w:val="22"/>
          <w:szCs w:val="22"/>
          <w:lang w:val="en-GB"/>
        </w:rPr>
        <w:t>inquiry</w:t>
      </w:r>
      <w:r w:rsidRPr="00B95A64">
        <w:rPr>
          <w:rFonts w:ascii="Arial" w:hAnsi="Arial" w:cs="Arial"/>
          <w:b/>
          <w:i/>
          <w:sz w:val="22"/>
          <w:szCs w:val="22"/>
          <w:lang w:val="en-GB"/>
        </w:rPr>
        <w:t xml:space="preserve"> to be undertaken under section 4(1)(b) of the Competition Act 89 of 1998 (</w:t>
      </w:r>
      <w:r>
        <w:rPr>
          <w:rFonts w:ascii="Arial" w:hAnsi="Arial" w:cs="Arial"/>
          <w:b/>
          <w:i/>
          <w:sz w:val="22"/>
          <w:szCs w:val="22"/>
          <w:lang w:val="en-GB"/>
        </w:rPr>
        <w:t>‘</w:t>
      </w:r>
      <w:r w:rsidRPr="00B95A64">
        <w:rPr>
          <w:rFonts w:ascii="Arial" w:hAnsi="Arial" w:cs="Arial"/>
          <w:b/>
          <w:i/>
          <w:sz w:val="22"/>
          <w:szCs w:val="22"/>
          <w:lang w:val="en-GB"/>
        </w:rPr>
        <w:t>‘the Act’</w:t>
      </w:r>
      <w:r>
        <w:rPr>
          <w:rFonts w:ascii="Arial" w:hAnsi="Arial" w:cs="Arial"/>
          <w:b/>
          <w:i/>
          <w:sz w:val="22"/>
          <w:szCs w:val="22"/>
          <w:lang w:val="en-GB"/>
        </w:rPr>
        <w:t>’</w:t>
      </w:r>
      <w:r w:rsidRPr="00B95A64">
        <w:rPr>
          <w:rFonts w:ascii="Arial" w:hAnsi="Arial" w:cs="Arial"/>
          <w:b/>
          <w:i/>
          <w:sz w:val="22"/>
          <w:szCs w:val="22"/>
          <w:lang w:val="en-GB"/>
        </w:rPr>
        <w:t xml:space="preserve">) </w:t>
      </w:r>
      <w:r w:rsidR="00FD0BC8">
        <w:rPr>
          <w:rFonts w:ascii="Arial" w:hAnsi="Arial" w:cs="Arial"/>
          <w:b/>
          <w:i/>
          <w:sz w:val="22"/>
          <w:szCs w:val="22"/>
        </w:rPr>
        <w:t>/</w:t>
      </w:r>
      <w:r w:rsidRPr="00B95A64">
        <w:rPr>
          <w:rFonts w:ascii="Arial" w:hAnsi="Arial" w:cs="Arial"/>
          <w:b/>
          <w:i/>
          <w:color w:val="2A2A2A"/>
          <w:spacing w:val="-2"/>
          <w:w w:val="105"/>
          <w:sz w:val="22"/>
          <w:szCs w:val="22"/>
        </w:rPr>
        <w:t xml:space="preserve">  </w:t>
      </w:r>
      <w:r w:rsidRPr="00B95A64">
        <w:rPr>
          <w:rFonts w:ascii="Arial" w:hAnsi="Arial" w:cs="Arial"/>
          <w:b/>
          <w:i/>
          <w:sz w:val="22"/>
          <w:szCs w:val="22"/>
        </w:rPr>
        <w:t xml:space="preserve"> Section 4(1)(</w:t>
      </w:r>
      <w:r>
        <w:rPr>
          <w:rFonts w:ascii="Arial" w:hAnsi="Arial" w:cs="Arial"/>
          <w:b/>
          <w:i/>
          <w:sz w:val="22"/>
          <w:szCs w:val="22"/>
        </w:rPr>
        <w:t>b</w:t>
      </w:r>
      <w:r w:rsidRPr="00B95A64">
        <w:rPr>
          <w:rFonts w:ascii="Arial" w:hAnsi="Arial" w:cs="Arial"/>
          <w:b/>
          <w:i/>
          <w:sz w:val="22"/>
          <w:szCs w:val="22"/>
        </w:rPr>
        <w:t>) properly construed</w:t>
      </w:r>
      <w:r>
        <w:rPr>
          <w:rFonts w:ascii="Arial" w:hAnsi="Arial" w:cs="Arial"/>
          <w:b/>
          <w:i/>
          <w:sz w:val="22"/>
          <w:szCs w:val="22"/>
        </w:rPr>
        <w:t>,</w:t>
      </w:r>
      <w:r w:rsidRPr="00B95A64">
        <w:rPr>
          <w:rFonts w:ascii="Arial" w:hAnsi="Arial" w:cs="Arial"/>
          <w:b/>
          <w:i/>
          <w:sz w:val="22"/>
          <w:szCs w:val="22"/>
        </w:rPr>
        <w:t xml:space="preserve"> requires the parties to be in </w:t>
      </w:r>
      <w:r>
        <w:rPr>
          <w:rFonts w:ascii="Arial" w:hAnsi="Arial" w:cs="Arial"/>
          <w:b/>
          <w:i/>
          <w:sz w:val="22"/>
          <w:szCs w:val="22"/>
        </w:rPr>
        <w:t xml:space="preserve"> </w:t>
      </w:r>
      <w:r w:rsidRPr="00B95A64">
        <w:rPr>
          <w:rFonts w:ascii="Arial" w:hAnsi="Arial" w:cs="Arial"/>
          <w:b/>
          <w:i/>
          <w:sz w:val="22"/>
          <w:szCs w:val="22"/>
        </w:rPr>
        <w:t>a</w:t>
      </w:r>
      <w:r>
        <w:rPr>
          <w:rFonts w:ascii="Arial" w:hAnsi="Arial" w:cs="Arial"/>
          <w:b/>
          <w:i/>
          <w:sz w:val="22"/>
          <w:szCs w:val="22"/>
        </w:rPr>
        <w:t xml:space="preserve">n actual or potential </w:t>
      </w:r>
      <w:r w:rsidRPr="00B95A64">
        <w:rPr>
          <w:rFonts w:ascii="Arial" w:hAnsi="Arial" w:cs="Arial"/>
          <w:b/>
          <w:i/>
          <w:sz w:val="22"/>
          <w:szCs w:val="22"/>
        </w:rPr>
        <w:t xml:space="preserve"> horizontal relationship</w:t>
      </w:r>
      <w:r w:rsidRPr="00B95A64">
        <w:rPr>
          <w:rFonts w:ascii="Arial" w:hAnsi="Arial" w:cs="Arial"/>
          <w:sz w:val="22"/>
          <w:szCs w:val="22"/>
        </w:rPr>
        <w:t xml:space="preserve"> </w:t>
      </w:r>
      <w:r>
        <w:rPr>
          <w:rFonts w:ascii="Arial" w:hAnsi="Arial" w:cs="Arial"/>
          <w:b/>
          <w:i/>
          <w:sz w:val="22"/>
          <w:szCs w:val="22"/>
        </w:rPr>
        <w:t>at the time that</w:t>
      </w:r>
      <w:r w:rsidRPr="00B95A64">
        <w:rPr>
          <w:rFonts w:ascii="Arial" w:hAnsi="Arial" w:cs="Arial"/>
          <w:b/>
          <w:i/>
          <w:sz w:val="22"/>
          <w:szCs w:val="22"/>
        </w:rPr>
        <w:t xml:space="preserve"> they commit the offence in issue</w:t>
      </w:r>
      <w:r>
        <w:rPr>
          <w:rFonts w:ascii="Arial" w:hAnsi="Arial" w:cs="Arial"/>
          <w:b/>
          <w:i/>
          <w:sz w:val="22"/>
          <w:szCs w:val="22"/>
        </w:rPr>
        <w:t>/</w:t>
      </w:r>
      <w:r w:rsidR="00FD0BC8">
        <w:rPr>
          <w:rFonts w:ascii="Arial" w:hAnsi="Arial" w:cs="Arial"/>
          <w:b/>
          <w:i/>
          <w:sz w:val="22"/>
          <w:szCs w:val="22"/>
        </w:rPr>
        <w:t xml:space="preserve"> Misdirection </w:t>
      </w:r>
      <w:r w:rsidR="00FD0BC8">
        <w:rPr>
          <w:rFonts w:ascii="Arial" w:hAnsi="Arial" w:cs="Arial"/>
          <w:b/>
          <w:i/>
          <w:sz w:val="22"/>
          <w:szCs w:val="22"/>
        </w:rPr>
        <w:lastRenderedPageBreak/>
        <w:t>to conduct</w:t>
      </w:r>
      <w:r>
        <w:rPr>
          <w:rFonts w:ascii="Arial" w:hAnsi="Arial" w:cs="Arial"/>
          <w:b/>
          <w:i/>
          <w:sz w:val="22"/>
          <w:szCs w:val="22"/>
        </w:rPr>
        <w:t xml:space="preserve"> </w:t>
      </w:r>
      <w:r w:rsidR="00FD0BC8">
        <w:rPr>
          <w:rFonts w:ascii="Arial" w:hAnsi="Arial" w:cs="Arial"/>
          <w:b/>
          <w:i/>
          <w:sz w:val="22"/>
          <w:szCs w:val="22"/>
        </w:rPr>
        <w:t>i</w:t>
      </w:r>
      <w:r>
        <w:rPr>
          <w:rFonts w:ascii="Arial" w:hAnsi="Arial" w:cs="Arial"/>
          <w:b/>
          <w:i/>
          <w:sz w:val="22"/>
          <w:szCs w:val="22"/>
        </w:rPr>
        <w:t xml:space="preserve">nquiry on the basis that the horizontal relationship </w:t>
      </w:r>
      <w:r w:rsidR="00FD0BC8">
        <w:rPr>
          <w:rFonts w:ascii="Arial" w:hAnsi="Arial" w:cs="Arial"/>
          <w:b/>
          <w:i/>
          <w:sz w:val="22"/>
          <w:szCs w:val="22"/>
        </w:rPr>
        <w:t>can be</w:t>
      </w:r>
      <w:r>
        <w:rPr>
          <w:rFonts w:ascii="Arial" w:hAnsi="Arial" w:cs="Arial"/>
          <w:b/>
          <w:i/>
          <w:sz w:val="22"/>
          <w:szCs w:val="22"/>
        </w:rPr>
        <w:t xml:space="preserve"> located in the impugned conduct itself.</w:t>
      </w:r>
      <w:r w:rsidRPr="00B95A64">
        <w:rPr>
          <w:rFonts w:ascii="Arial" w:hAnsi="Arial" w:cs="Arial"/>
          <w:b/>
          <w:i/>
          <w:color w:val="2A2A2A"/>
          <w:spacing w:val="-2"/>
          <w:w w:val="105"/>
          <w:sz w:val="22"/>
          <w:szCs w:val="22"/>
        </w:rPr>
        <w:t xml:space="preserve"> </w:t>
      </w:r>
    </w:p>
    <w:p w14:paraId="105F7466" w14:textId="184CCB45" w:rsidR="00E55E48" w:rsidRPr="00B95A64" w:rsidRDefault="00E55E48" w:rsidP="00E55E48">
      <w:pPr>
        <w:pStyle w:val="ListParagraph"/>
        <w:spacing w:line="360" w:lineRule="auto"/>
        <w:ind w:left="0"/>
        <w:jc w:val="both"/>
        <w:rPr>
          <w:rFonts w:ascii="Arial" w:hAnsi="Arial" w:cs="Arial"/>
          <w:b/>
          <w:sz w:val="22"/>
          <w:szCs w:val="22"/>
        </w:rPr>
      </w:pPr>
    </w:p>
    <w:p w14:paraId="0FD16673" w14:textId="1D6D518A" w:rsidR="00D939F1" w:rsidRPr="00175F8C" w:rsidRDefault="00A92E54" w:rsidP="00012E96">
      <w:pPr>
        <w:spacing w:line="360" w:lineRule="auto"/>
        <w:rPr>
          <w:rFonts w:ascii="Arial" w:hAnsi="Arial" w:cs="Arial"/>
          <w:b/>
          <w:sz w:val="24"/>
          <w:szCs w:val="24"/>
          <w:u w:val="single"/>
          <w:lang w:val="en-US"/>
        </w:rPr>
      </w:pPr>
      <w:r>
        <w:rPr>
          <w:rFonts w:ascii="Arial" w:hAnsi="Arial" w:cs="Arial"/>
          <w:b/>
          <w:sz w:val="24"/>
          <w:szCs w:val="24"/>
          <w:u w:val="single"/>
          <w:lang w:val="en-US"/>
        </w:rPr>
        <w:t>FISHER AJA</w:t>
      </w:r>
      <w:r w:rsidR="00562F32" w:rsidRPr="00175F8C">
        <w:rPr>
          <w:rFonts w:ascii="Arial" w:hAnsi="Arial" w:cs="Arial"/>
          <w:b/>
          <w:sz w:val="24"/>
          <w:szCs w:val="24"/>
          <w:u w:val="single"/>
          <w:lang w:val="en-US"/>
        </w:rPr>
        <w:t>:</w:t>
      </w:r>
      <w:r>
        <w:rPr>
          <w:rFonts w:ascii="Arial" w:hAnsi="Arial" w:cs="Arial"/>
          <w:b/>
          <w:sz w:val="24"/>
          <w:szCs w:val="24"/>
          <w:u w:val="single"/>
          <w:lang w:val="en-US"/>
        </w:rPr>
        <w:t xml:space="preserve"> </w:t>
      </w:r>
    </w:p>
    <w:p w14:paraId="609A6C05" w14:textId="16EC1157" w:rsidR="00562F32" w:rsidRPr="00B136F7" w:rsidRDefault="00B136F7" w:rsidP="009630C0">
      <w:pPr>
        <w:spacing w:line="360" w:lineRule="auto"/>
        <w:jc w:val="both"/>
        <w:rPr>
          <w:rFonts w:ascii="Arial" w:hAnsi="Arial" w:cs="Arial"/>
          <w:b/>
          <w:sz w:val="24"/>
          <w:szCs w:val="24"/>
        </w:rPr>
      </w:pPr>
      <w:r w:rsidRPr="00B136F7">
        <w:rPr>
          <w:rFonts w:ascii="Arial" w:hAnsi="Arial" w:cs="Arial"/>
          <w:b/>
          <w:sz w:val="24"/>
          <w:szCs w:val="24"/>
        </w:rPr>
        <w:t xml:space="preserve">Introduction </w:t>
      </w:r>
    </w:p>
    <w:p w14:paraId="72581260" w14:textId="1337D7BD" w:rsidR="001274B5" w:rsidRDefault="00D939F1" w:rsidP="00B95A64">
      <w:pPr>
        <w:pStyle w:val="ListParagraph"/>
        <w:numPr>
          <w:ilvl w:val="0"/>
          <w:numId w:val="2"/>
        </w:numPr>
        <w:spacing w:line="360" w:lineRule="auto"/>
        <w:ind w:left="0" w:firstLine="0"/>
        <w:jc w:val="both"/>
        <w:rPr>
          <w:rFonts w:ascii="Arial" w:hAnsi="Arial" w:cs="Arial"/>
        </w:rPr>
      </w:pPr>
      <w:r w:rsidRPr="00B95A64">
        <w:rPr>
          <w:rFonts w:ascii="Arial" w:hAnsi="Arial" w:cs="Arial"/>
          <w:lang w:val="en-GB"/>
        </w:rPr>
        <w:t>T</w:t>
      </w:r>
      <w:r w:rsidR="0046436D" w:rsidRPr="00B95A64">
        <w:rPr>
          <w:rFonts w:ascii="Arial" w:hAnsi="Arial" w:cs="Arial"/>
          <w:lang w:val="en-GB"/>
        </w:rPr>
        <w:t>his matter involves</w:t>
      </w:r>
      <w:r w:rsidR="00B95A64" w:rsidRPr="00B95A64">
        <w:rPr>
          <w:rFonts w:ascii="Arial" w:hAnsi="Arial" w:cs="Arial"/>
          <w:lang w:val="en-GB"/>
        </w:rPr>
        <w:t xml:space="preserve"> a referral by the </w:t>
      </w:r>
      <w:r w:rsidR="00B95A64">
        <w:rPr>
          <w:rFonts w:ascii="Arial" w:hAnsi="Arial" w:cs="Arial"/>
          <w:lang w:val="en-GB"/>
        </w:rPr>
        <w:t>C</w:t>
      </w:r>
      <w:r w:rsidR="00B95A64" w:rsidRPr="00B95A64">
        <w:rPr>
          <w:rFonts w:ascii="Arial" w:hAnsi="Arial" w:cs="Arial"/>
          <w:lang w:val="en-GB"/>
        </w:rPr>
        <w:t xml:space="preserve">ommission </w:t>
      </w:r>
      <w:r w:rsidR="00B95A64">
        <w:rPr>
          <w:rFonts w:ascii="Arial" w:hAnsi="Arial" w:cs="Arial"/>
          <w:lang w:val="en-GB"/>
        </w:rPr>
        <w:t>of</w:t>
      </w:r>
      <w:r w:rsidR="00B95A64" w:rsidRPr="00B95A64">
        <w:rPr>
          <w:rFonts w:ascii="Arial" w:hAnsi="Arial" w:cs="Arial"/>
          <w:lang w:val="en-GB"/>
        </w:rPr>
        <w:t xml:space="preserve"> a complaint by </w:t>
      </w:r>
      <w:r w:rsidR="00B95A64" w:rsidRPr="00D939F1">
        <w:rPr>
          <w:rFonts w:ascii="Arial" w:hAnsi="Arial" w:cs="Arial"/>
        </w:rPr>
        <w:t>Airports Company of South Africa (SOC) Ltd (</w:t>
      </w:r>
      <w:r w:rsidR="00B95A64">
        <w:rPr>
          <w:rFonts w:ascii="Arial" w:hAnsi="Arial" w:cs="Arial"/>
        </w:rPr>
        <w:t>“</w:t>
      </w:r>
      <w:r w:rsidR="00B95A64" w:rsidRPr="00D939F1">
        <w:rPr>
          <w:rFonts w:ascii="Arial" w:hAnsi="Arial" w:cs="Arial"/>
        </w:rPr>
        <w:t>ACSA</w:t>
      </w:r>
      <w:r w:rsidR="00B95A64">
        <w:rPr>
          <w:rFonts w:ascii="Arial" w:hAnsi="Arial" w:cs="Arial"/>
        </w:rPr>
        <w:t>’’</w:t>
      </w:r>
      <w:r w:rsidR="00B95A64" w:rsidRPr="00D939F1">
        <w:rPr>
          <w:rFonts w:ascii="Arial" w:hAnsi="Arial" w:cs="Arial"/>
        </w:rPr>
        <w:t>)</w:t>
      </w:r>
      <w:r w:rsidR="00B95A64">
        <w:rPr>
          <w:rFonts w:ascii="Arial" w:hAnsi="Arial" w:cs="Arial"/>
          <w:lang w:val="en-GB"/>
        </w:rPr>
        <w:t xml:space="preserve"> alleging collusion</w:t>
      </w:r>
      <w:r w:rsidRPr="00B95A64">
        <w:rPr>
          <w:rFonts w:ascii="Arial" w:hAnsi="Arial" w:cs="Arial"/>
          <w:lang w:val="en-GB"/>
        </w:rPr>
        <w:t xml:space="preserve"> </w:t>
      </w:r>
      <w:r w:rsidR="00C907BA" w:rsidRPr="00B95A64">
        <w:rPr>
          <w:rFonts w:ascii="Arial" w:hAnsi="Arial" w:cs="Arial"/>
          <w:lang w:val="en-GB"/>
        </w:rPr>
        <w:t>between</w:t>
      </w:r>
      <w:r w:rsidRPr="00B95A64">
        <w:rPr>
          <w:rFonts w:ascii="Arial" w:hAnsi="Arial" w:cs="Arial"/>
          <w:lang w:val="en-GB"/>
        </w:rPr>
        <w:t xml:space="preserve"> a supplier of curio crafts, the second respondent (</w:t>
      </w:r>
      <w:r w:rsidR="00B95A64" w:rsidRPr="00B95A64">
        <w:rPr>
          <w:rFonts w:ascii="Arial" w:hAnsi="Arial" w:cs="Arial"/>
          <w:lang w:val="en-GB"/>
        </w:rPr>
        <w:t>‘</w:t>
      </w:r>
      <w:r w:rsidR="00A5213D" w:rsidRPr="00B95A64">
        <w:rPr>
          <w:rFonts w:ascii="Arial" w:hAnsi="Arial" w:cs="Arial"/>
          <w:lang w:val="en-GB"/>
        </w:rPr>
        <w:t>‘</w:t>
      </w:r>
      <w:r w:rsidRPr="00B95A64">
        <w:rPr>
          <w:rFonts w:ascii="Arial" w:hAnsi="Arial" w:cs="Arial"/>
          <w:lang w:val="en-GB"/>
        </w:rPr>
        <w:t>the Trust</w:t>
      </w:r>
      <w:r w:rsidR="00492DB5" w:rsidRPr="00B95A64">
        <w:rPr>
          <w:rFonts w:ascii="Arial" w:hAnsi="Arial" w:cs="Arial"/>
          <w:lang w:val="en-GB"/>
        </w:rPr>
        <w:t>’</w:t>
      </w:r>
      <w:r w:rsidR="00B95A64" w:rsidRPr="00B95A64">
        <w:rPr>
          <w:rFonts w:ascii="Arial" w:hAnsi="Arial" w:cs="Arial"/>
          <w:lang w:val="en-GB"/>
        </w:rPr>
        <w:t>’</w:t>
      </w:r>
      <w:r w:rsidR="00492DB5" w:rsidRPr="00B95A64">
        <w:rPr>
          <w:rFonts w:ascii="Arial" w:hAnsi="Arial" w:cs="Arial"/>
          <w:lang w:val="en-GB"/>
        </w:rPr>
        <w:t>) and</w:t>
      </w:r>
      <w:r w:rsidR="00A771DE" w:rsidRPr="00B95A64">
        <w:rPr>
          <w:rFonts w:ascii="Arial" w:hAnsi="Arial" w:cs="Arial"/>
          <w:lang w:val="en-GB"/>
        </w:rPr>
        <w:t xml:space="preserve"> the appellant</w:t>
      </w:r>
      <w:r w:rsidR="008F33CA" w:rsidRPr="00B95A64">
        <w:rPr>
          <w:rFonts w:ascii="Arial" w:hAnsi="Arial" w:cs="Arial"/>
          <w:lang w:val="en-GB"/>
        </w:rPr>
        <w:t>,</w:t>
      </w:r>
      <w:r w:rsidR="00A771DE" w:rsidRPr="00B95A64">
        <w:rPr>
          <w:rFonts w:ascii="Arial" w:hAnsi="Arial" w:cs="Arial"/>
          <w:lang w:val="en-GB"/>
        </w:rPr>
        <w:t xml:space="preserve"> (</w:t>
      </w:r>
      <w:r w:rsidR="00B95A64" w:rsidRPr="00B95A64">
        <w:rPr>
          <w:rFonts w:ascii="Arial" w:hAnsi="Arial" w:cs="Arial"/>
          <w:lang w:val="en-GB"/>
        </w:rPr>
        <w:t>‘</w:t>
      </w:r>
      <w:r w:rsidR="0046436D" w:rsidRPr="00B95A64">
        <w:rPr>
          <w:rFonts w:ascii="Arial" w:hAnsi="Arial" w:cs="Arial"/>
          <w:lang w:val="en-GB"/>
        </w:rPr>
        <w:t>‘</w:t>
      </w:r>
      <w:r w:rsidR="00A771DE" w:rsidRPr="00B95A64">
        <w:rPr>
          <w:rFonts w:ascii="Arial" w:hAnsi="Arial" w:cs="Arial"/>
          <w:lang w:val="en-GB"/>
        </w:rPr>
        <w:t>Tourvest</w:t>
      </w:r>
      <w:r w:rsidR="0046436D" w:rsidRPr="00B95A64">
        <w:rPr>
          <w:rFonts w:ascii="Arial" w:hAnsi="Arial" w:cs="Arial"/>
          <w:lang w:val="en-GB"/>
        </w:rPr>
        <w:t>’</w:t>
      </w:r>
      <w:r w:rsidR="00B95A64" w:rsidRPr="00B95A64">
        <w:rPr>
          <w:rFonts w:ascii="Arial" w:hAnsi="Arial" w:cs="Arial"/>
          <w:lang w:val="en-GB"/>
        </w:rPr>
        <w:t>’</w:t>
      </w:r>
      <w:r w:rsidR="00A771DE" w:rsidRPr="00B95A64">
        <w:rPr>
          <w:rFonts w:ascii="Arial" w:hAnsi="Arial" w:cs="Arial"/>
          <w:lang w:val="en-GB"/>
        </w:rPr>
        <w:t>)</w:t>
      </w:r>
      <w:r w:rsidR="00B95A64">
        <w:rPr>
          <w:rFonts w:ascii="Arial" w:hAnsi="Arial" w:cs="Arial"/>
          <w:lang w:val="en-GB"/>
        </w:rPr>
        <w:t xml:space="preserve"> a</w:t>
      </w:r>
      <w:r w:rsidR="00492DB5" w:rsidRPr="00B95A64">
        <w:rPr>
          <w:rFonts w:ascii="Arial" w:hAnsi="Arial" w:cs="Arial"/>
          <w:lang w:val="en-GB"/>
        </w:rPr>
        <w:t xml:space="preserve"> </w:t>
      </w:r>
      <w:r w:rsidRPr="00B95A64">
        <w:rPr>
          <w:rFonts w:ascii="Arial" w:hAnsi="Arial" w:cs="Arial"/>
          <w:lang w:val="en-GB"/>
        </w:rPr>
        <w:t xml:space="preserve">specialist </w:t>
      </w:r>
      <w:r w:rsidR="00B95A64" w:rsidRPr="00B95A64">
        <w:rPr>
          <w:rFonts w:ascii="Arial" w:hAnsi="Arial" w:cs="Arial"/>
          <w:lang w:val="en-GB"/>
        </w:rPr>
        <w:t>retailor</w:t>
      </w:r>
      <w:r w:rsidRPr="00B95A64">
        <w:rPr>
          <w:rFonts w:ascii="Arial" w:hAnsi="Arial" w:cs="Arial"/>
          <w:lang w:val="en-GB"/>
        </w:rPr>
        <w:t xml:space="preserve"> in the sale of such craft products, </w:t>
      </w:r>
      <w:r w:rsidR="008F33CA" w:rsidRPr="00B95A64">
        <w:rPr>
          <w:rFonts w:ascii="Arial" w:hAnsi="Arial" w:cs="Arial"/>
          <w:lang w:val="en-GB"/>
        </w:rPr>
        <w:t>in</w:t>
      </w:r>
      <w:r w:rsidRPr="00B95A64">
        <w:rPr>
          <w:rFonts w:ascii="Arial" w:hAnsi="Arial" w:cs="Arial"/>
          <w:lang w:val="en-GB"/>
        </w:rPr>
        <w:t xml:space="preserve"> </w:t>
      </w:r>
      <w:r w:rsidR="00B95A64">
        <w:rPr>
          <w:rFonts w:ascii="Arial" w:hAnsi="Arial" w:cs="Arial"/>
          <w:lang w:val="en-GB"/>
        </w:rPr>
        <w:t>a tendering for a</w:t>
      </w:r>
      <w:r w:rsidR="006D70AD" w:rsidRPr="00B95A64">
        <w:rPr>
          <w:rFonts w:ascii="Arial" w:hAnsi="Arial" w:cs="Arial"/>
        </w:rPr>
        <w:t xml:space="preserve"> retail</w:t>
      </w:r>
      <w:r w:rsidR="00B95A64" w:rsidRPr="00B95A64">
        <w:rPr>
          <w:rFonts w:ascii="Arial" w:hAnsi="Arial" w:cs="Arial"/>
        </w:rPr>
        <w:t xml:space="preserve"> </w:t>
      </w:r>
      <w:r w:rsidR="00B95A64">
        <w:rPr>
          <w:rFonts w:ascii="Arial" w:hAnsi="Arial" w:cs="Arial"/>
        </w:rPr>
        <w:t>opportunity</w:t>
      </w:r>
      <w:r w:rsidR="00B95A64" w:rsidRPr="00B95A64">
        <w:rPr>
          <w:rFonts w:ascii="Arial" w:hAnsi="Arial" w:cs="Arial"/>
        </w:rPr>
        <w:t xml:space="preserve"> at Oliver</w:t>
      </w:r>
      <w:r w:rsidR="006D70AD" w:rsidRPr="00B95A64">
        <w:rPr>
          <w:rFonts w:ascii="Arial" w:hAnsi="Arial" w:cs="Arial"/>
        </w:rPr>
        <w:t xml:space="preserve"> Tambo International Airport (</w:t>
      </w:r>
      <w:r w:rsidR="00B95A64" w:rsidRPr="00B95A64">
        <w:rPr>
          <w:rFonts w:ascii="Arial" w:hAnsi="Arial" w:cs="Arial"/>
        </w:rPr>
        <w:t>‘</w:t>
      </w:r>
      <w:r w:rsidR="0007008B" w:rsidRPr="00B95A64">
        <w:rPr>
          <w:rFonts w:ascii="Arial" w:hAnsi="Arial" w:cs="Arial"/>
        </w:rPr>
        <w:t>‘</w:t>
      </w:r>
      <w:r w:rsidR="006D70AD" w:rsidRPr="00B95A64">
        <w:rPr>
          <w:rFonts w:ascii="Arial" w:hAnsi="Arial" w:cs="Arial"/>
        </w:rPr>
        <w:t>ORTIA</w:t>
      </w:r>
      <w:r w:rsidR="0007008B" w:rsidRPr="00B95A64">
        <w:rPr>
          <w:rFonts w:ascii="Arial" w:hAnsi="Arial" w:cs="Arial"/>
        </w:rPr>
        <w:t>’</w:t>
      </w:r>
      <w:r w:rsidR="00B95A64" w:rsidRPr="00B95A64">
        <w:rPr>
          <w:rFonts w:ascii="Arial" w:hAnsi="Arial" w:cs="Arial"/>
        </w:rPr>
        <w:t>’</w:t>
      </w:r>
      <w:r w:rsidR="006D70AD" w:rsidRPr="00B95A64">
        <w:rPr>
          <w:rFonts w:ascii="Arial" w:hAnsi="Arial" w:cs="Arial"/>
        </w:rPr>
        <w:t>)</w:t>
      </w:r>
      <w:r w:rsidR="00B95A64">
        <w:rPr>
          <w:rFonts w:ascii="Arial" w:hAnsi="Arial" w:cs="Arial"/>
        </w:rPr>
        <w:t>.</w:t>
      </w:r>
      <w:r w:rsidR="001F7B30" w:rsidRPr="00B95A64">
        <w:rPr>
          <w:rFonts w:ascii="Arial" w:hAnsi="Arial" w:cs="Arial"/>
        </w:rPr>
        <w:t xml:space="preserve"> </w:t>
      </w:r>
    </w:p>
    <w:p w14:paraId="0BB8C6E5" w14:textId="77777777" w:rsidR="00B95A64" w:rsidRPr="00B95A64" w:rsidRDefault="00B95A64" w:rsidP="00B95A64">
      <w:pPr>
        <w:pStyle w:val="ListParagraph"/>
        <w:spacing w:line="360" w:lineRule="auto"/>
        <w:ind w:left="0"/>
        <w:jc w:val="both"/>
        <w:rPr>
          <w:rFonts w:ascii="Arial" w:hAnsi="Arial" w:cs="Arial"/>
        </w:rPr>
      </w:pPr>
    </w:p>
    <w:p w14:paraId="560D609D" w14:textId="538D36E6" w:rsidR="00D939F1" w:rsidRPr="00B95A64" w:rsidRDefault="00771171" w:rsidP="00B95A64">
      <w:pPr>
        <w:pStyle w:val="ListParagraph"/>
        <w:numPr>
          <w:ilvl w:val="0"/>
          <w:numId w:val="2"/>
        </w:numPr>
        <w:spacing w:line="360" w:lineRule="auto"/>
        <w:ind w:left="0" w:firstLine="0"/>
        <w:jc w:val="both"/>
        <w:rPr>
          <w:rFonts w:ascii="Arial" w:hAnsi="Arial" w:cs="Arial"/>
          <w:b/>
          <w:lang w:val="en-GB"/>
        </w:rPr>
      </w:pPr>
      <w:r w:rsidRPr="001F7B30">
        <w:rPr>
          <w:rFonts w:ascii="Arial" w:hAnsi="Arial" w:cs="Arial"/>
          <w:lang w:val="en-GB"/>
        </w:rPr>
        <w:t>Th</w:t>
      </w:r>
      <w:r w:rsidR="0046436D" w:rsidRPr="001F7B30">
        <w:rPr>
          <w:rFonts w:ascii="Arial" w:hAnsi="Arial" w:cs="Arial"/>
          <w:lang w:val="en-GB"/>
        </w:rPr>
        <w:t>e</w:t>
      </w:r>
      <w:r w:rsidRPr="001F7B30">
        <w:rPr>
          <w:rFonts w:ascii="Arial" w:hAnsi="Arial" w:cs="Arial"/>
          <w:lang w:val="en-GB"/>
        </w:rPr>
        <w:t xml:space="preserve"> appeal </w:t>
      </w:r>
      <w:r w:rsidR="0046436D" w:rsidRPr="001F7B30">
        <w:rPr>
          <w:rFonts w:ascii="Arial" w:hAnsi="Arial" w:cs="Arial"/>
          <w:lang w:val="en-GB"/>
        </w:rPr>
        <w:t>relates to</w:t>
      </w:r>
      <w:r w:rsidR="00D939F1" w:rsidRPr="001F7B30">
        <w:rPr>
          <w:rFonts w:ascii="Arial" w:hAnsi="Arial" w:cs="Arial"/>
          <w:lang w:val="en-GB"/>
        </w:rPr>
        <w:t xml:space="preserve"> </w:t>
      </w:r>
      <w:r w:rsidRPr="001F7B30">
        <w:rPr>
          <w:rFonts w:ascii="Arial" w:hAnsi="Arial" w:cs="Arial"/>
          <w:lang w:val="en-GB"/>
        </w:rPr>
        <w:t>the</w:t>
      </w:r>
      <w:r w:rsidR="00D939F1" w:rsidRPr="001F7B30">
        <w:rPr>
          <w:rFonts w:ascii="Arial" w:hAnsi="Arial" w:cs="Arial"/>
          <w:lang w:val="en-GB"/>
        </w:rPr>
        <w:t xml:space="preserve"> </w:t>
      </w:r>
      <w:r w:rsidR="00453563" w:rsidRPr="001F7B30">
        <w:rPr>
          <w:rFonts w:ascii="Arial" w:hAnsi="Arial" w:cs="Arial"/>
          <w:lang w:val="en-GB"/>
        </w:rPr>
        <w:t xml:space="preserve">proper </w:t>
      </w:r>
      <w:r w:rsidR="00D939F1" w:rsidRPr="001F7B30">
        <w:rPr>
          <w:rFonts w:ascii="Arial" w:hAnsi="Arial" w:cs="Arial"/>
          <w:lang w:val="en-GB"/>
        </w:rPr>
        <w:t xml:space="preserve">application of economic </w:t>
      </w:r>
      <w:r w:rsidR="00453563" w:rsidRPr="001F7B30">
        <w:rPr>
          <w:rFonts w:ascii="Arial" w:hAnsi="Arial" w:cs="Arial"/>
          <w:lang w:val="en-GB"/>
        </w:rPr>
        <w:t>theory</w:t>
      </w:r>
      <w:r w:rsidR="00D939F1" w:rsidRPr="001F7B30">
        <w:rPr>
          <w:rFonts w:ascii="Arial" w:hAnsi="Arial" w:cs="Arial"/>
          <w:lang w:val="en-GB"/>
        </w:rPr>
        <w:t xml:space="preserve"> and competition </w:t>
      </w:r>
      <w:r w:rsidR="00F36A89" w:rsidRPr="001F7B30">
        <w:rPr>
          <w:rFonts w:ascii="Arial" w:hAnsi="Arial" w:cs="Arial"/>
          <w:lang w:val="en-GB"/>
        </w:rPr>
        <w:t>law</w:t>
      </w:r>
      <w:r w:rsidRPr="001F7B30">
        <w:rPr>
          <w:rFonts w:ascii="Arial" w:hAnsi="Arial" w:cs="Arial"/>
          <w:lang w:val="en-GB"/>
        </w:rPr>
        <w:t xml:space="preserve"> in the characterisation exercise to be undertaken under section 4(1)(b) of the Competition Act 89 of 1998 (‘the Act’</w:t>
      </w:r>
      <w:r w:rsidR="00B95A64">
        <w:rPr>
          <w:rFonts w:ascii="Arial" w:hAnsi="Arial" w:cs="Arial"/>
          <w:lang w:val="en-GB"/>
        </w:rPr>
        <w:t>’</w:t>
      </w:r>
      <w:r w:rsidRPr="001F7B30">
        <w:rPr>
          <w:rFonts w:ascii="Arial" w:hAnsi="Arial" w:cs="Arial"/>
          <w:lang w:val="en-GB"/>
        </w:rPr>
        <w:t>)</w:t>
      </w:r>
      <w:r w:rsidR="008D476B" w:rsidRPr="00B95A64">
        <w:rPr>
          <w:rFonts w:ascii="Arial" w:hAnsi="Arial" w:cs="Arial"/>
          <w:lang w:val="en-GB"/>
        </w:rPr>
        <w:t xml:space="preserve">. </w:t>
      </w:r>
      <w:r w:rsidR="00B95A64" w:rsidRPr="00B95A64">
        <w:rPr>
          <w:rFonts w:ascii="Arial" w:hAnsi="Arial" w:cs="Arial"/>
          <w:lang w:val="en-GB"/>
        </w:rPr>
        <w:t xml:space="preserve">It </w:t>
      </w:r>
      <w:r w:rsidR="00B95A64">
        <w:rPr>
          <w:rFonts w:ascii="Arial" w:hAnsi="Arial" w:cs="Arial"/>
          <w:lang w:val="en-GB"/>
        </w:rPr>
        <w:t>relates</w:t>
      </w:r>
      <w:r w:rsidR="00FD0BC8">
        <w:rPr>
          <w:rFonts w:ascii="Arial" w:hAnsi="Arial" w:cs="Arial"/>
          <w:lang w:val="en-GB"/>
        </w:rPr>
        <w:t>,</w:t>
      </w:r>
      <w:r w:rsidR="00B95A64">
        <w:rPr>
          <w:rFonts w:ascii="Arial" w:hAnsi="Arial" w:cs="Arial"/>
          <w:lang w:val="en-GB"/>
        </w:rPr>
        <w:t xml:space="preserve"> </w:t>
      </w:r>
      <w:r w:rsidR="001274B5" w:rsidRPr="00B95A64">
        <w:rPr>
          <w:rFonts w:ascii="Arial" w:hAnsi="Arial" w:cs="Arial"/>
          <w:lang w:val="en-GB"/>
        </w:rPr>
        <w:t>specifically</w:t>
      </w:r>
      <w:r w:rsidR="00FD0BC8">
        <w:rPr>
          <w:rFonts w:ascii="Arial" w:hAnsi="Arial" w:cs="Arial"/>
          <w:lang w:val="en-GB"/>
        </w:rPr>
        <w:t>,</w:t>
      </w:r>
      <w:r w:rsidR="008D476B" w:rsidRPr="00B95A64">
        <w:rPr>
          <w:rFonts w:ascii="Arial" w:hAnsi="Arial" w:cs="Arial"/>
          <w:lang w:val="en-GB"/>
        </w:rPr>
        <w:t xml:space="preserve"> </w:t>
      </w:r>
      <w:r w:rsidR="00B95A64">
        <w:rPr>
          <w:rFonts w:ascii="Arial" w:hAnsi="Arial" w:cs="Arial"/>
          <w:lang w:val="en-GB"/>
        </w:rPr>
        <w:t>to</w:t>
      </w:r>
      <w:r w:rsidR="008D476B" w:rsidRPr="00B95A64">
        <w:rPr>
          <w:rFonts w:ascii="Arial" w:hAnsi="Arial" w:cs="Arial"/>
          <w:lang w:val="en-GB"/>
        </w:rPr>
        <w:t xml:space="preserve"> </w:t>
      </w:r>
      <w:r w:rsidR="001274B5" w:rsidRPr="00B95A64">
        <w:rPr>
          <w:rFonts w:ascii="Arial" w:hAnsi="Arial" w:cs="Arial"/>
          <w:lang w:val="en-GB"/>
        </w:rPr>
        <w:t>the situation</w:t>
      </w:r>
      <w:r w:rsidR="00D939F1" w:rsidRPr="00B95A64">
        <w:rPr>
          <w:rFonts w:ascii="Arial" w:hAnsi="Arial" w:cs="Arial"/>
          <w:lang w:val="en-GB"/>
        </w:rPr>
        <w:t xml:space="preserve"> where parties who were not previously in a horizontal relationship bid </w:t>
      </w:r>
      <w:r w:rsidR="001274B5" w:rsidRPr="00B95A64">
        <w:rPr>
          <w:rFonts w:ascii="Arial" w:hAnsi="Arial" w:cs="Arial"/>
          <w:lang w:val="en-GB"/>
        </w:rPr>
        <w:t>for the same tender</w:t>
      </w:r>
      <w:r w:rsidR="00D939F1" w:rsidRPr="00B95A64">
        <w:rPr>
          <w:rFonts w:ascii="Arial" w:hAnsi="Arial" w:cs="Arial"/>
          <w:lang w:val="en-GB"/>
        </w:rPr>
        <w:t>.</w:t>
      </w:r>
      <w:r w:rsidR="00205340" w:rsidRPr="00B95A64">
        <w:rPr>
          <w:rFonts w:ascii="Arial" w:hAnsi="Arial" w:cs="Arial"/>
          <w:lang w:val="en-GB"/>
        </w:rPr>
        <w:t xml:space="preserve"> </w:t>
      </w:r>
    </w:p>
    <w:p w14:paraId="5A2988B9" w14:textId="799717B0" w:rsidR="00D939F1" w:rsidRDefault="00D939F1" w:rsidP="00D939F1">
      <w:pPr>
        <w:pStyle w:val="ListParagraph"/>
        <w:spacing w:line="360" w:lineRule="auto"/>
        <w:ind w:left="0"/>
        <w:jc w:val="both"/>
        <w:rPr>
          <w:rFonts w:ascii="Arial" w:hAnsi="Arial" w:cs="Arial"/>
          <w:b/>
          <w:lang w:val="en-GB"/>
        </w:rPr>
      </w:pPr>
    </w:p>
    <w:p w14:paraId="26130911" w14:textId="51F90B0B" w:rsidR="00D939F1" w:rsidRPr="00D939F1" w:rsidRDefault="00D939F1" w:rsidP="00D939F1">
      <w:pPr>
        <w:pStyle w:val="ListParagraph"/>
        <w:spacing w:line="360" w:lineRule="auto"/>
        <w:ind w:left="0"/>
        <w:jc w:val="both"/>
        <w:rPr>
          <w:rFonts w:ascii="Arial" w:hAnsi="Arial" w:cs="Arial"/>
        </w:rPr>
      </w:pPr>
      <w:r w:rsidRPr="00D939F1">
        <w:rPr>
          <w:rFonts w:ascii="Arial" w:hAnsi="Arial" w:cs="Arial"/>
          <w:b/>
          <w:lang w:val="en-GB"/>
        </w:rPr>
        <w:t>Factual background</w:t>
      </w:r>
    </w:p>
    <w:p w14:paraId="23E17349" w14:textId="77777777" w:rsidR="00D939F1" w:rsidRPr="00D939F1" w:rsidRDefault="00D939F1" w:rsidP="00D939F1">
      <w:pPr>
        <w:pStyle w:val="ListParagraph"/>
        <w:rPr>
          <w:rFonts w:ascii="Arial" w:hAnsi="Arial" w:cs="Arial"/>
          <w:lang w:val="en-GB"/>
        </w:rPr>
      </w:pPr>
    </w:p>
    <w:p w14:paraId="7EB88819" w14:textId="30BAA294" w:rsidR="00D939F1" w:rsidRDefault="00D939F1" w:rsidP="00D939F1">
      <w:pPr>
        <w:pStyle w:val="ListParagraph"/>
        <w:numPr>
          <w:ilvl w:val="0"/>
          <w:numId w:val="2"/>
        </w:numPr>
        <w:spacing w:line="360" w:lineRule="auto"/>
        <w:ind w:left="0" w:firstLine="0"/>
        <w:jc w:val="both"/>
        <w:rPr>
          <w:rFonts w:ascii="Arial" w:hAnsi="Arial" w:cs="Arial"/>
        </w:rPr>
      </w:pPr>
      <w:r w:rsidRPr="00D939F1">
        <w:rPr>
          <w:rFonts w:ascii="Arial" w:hAnsi="Arial" w:cs="Arial"/>
          <w:lang w:val="en-GB"/>
        </w:rPr>
        <w:t xml:space="preserve"> </w:t>
      </w:r>
      <w:r w:rsidRPr="00D939F1">
        <w:rPr>
          <w:rFonts w:ascii="Arial" w:hAnsi="Arial" w:cs="Arial"/>
        </w:rPr>
        <w:t>Tourvest’s destination retail business</w:t>
      </w:r>
      <w:r w:rsidR="00205340">
        <w:rPr>
          <w:rFonts w:ascii="Arial" w:hAnsi="Arial" w:cs="Arial"/>
        </w:rPr>
        <w:t xml:space="preserve"> (which is also known as </w:t>
      </w:r>
      <w:r w:rsidR="00205340" w:rsidRPr="00205340">
        <w:rPr>
          <w:rFonts w:ascii="Arial" w:hAnsi="Arial" w:cs="Arial"/>
          <w:i/>
        </w:rPr>
        <w:t>Tiger’s Eye</w:t>
      </w:r>
      <w:r w:rsidR="00205340">
        <w:rPr>
          <w:rFonts w:ascii="Arial" w:hAnsi="Arial" w:cs="Arial"/>
        </w:rPr>
        <w:t>)</w:t>
      </w:r>
      <w:r w:rsidRPr="00D939F1">
        <w:rPr>
          <w:rFonts w:ascii="Arial" w:hAnsi="Arial" w:cs="Arial"/>
        </w:rPr>
        <w:t xml:space="preserve"> focusses on the sale of destination-themed souvenir products to foreign visitors.  It</w:t>
      </w:r>
      <w:r w:rsidR="003517D1">
        <w:rPr>
          <w:rFonts w:ascii="Arial" w:hAnsi="Arial" w:cs="Arial"/>
        </w:rPr>
        <w:t xml:space="preserve">s </w:t>
      </w:r>
      <w:r w:rsidRPr="00D939F1">
        <w:rPr>
          <w:rFonts w:ascii="Arial" w:hAnsi="Arial" w:cs="Arial"/>
        </w:rPr>
        <w:t>stores are located in areas which have a large exposure to foreign tourists</w:t>
      </w:r>
      <w:r w:rsidR="00205340">
        <w:rPr>
          <w:rFonts w:ascii="Arial" w:hAnsi="Arial" w:cs="Arial"/>
        </w:rPr>
        <w:t xml:space="preserve"> and </w:t>
      </w:r>
      <w:r w:rsidRPr="00D939F1">
        <w:rPr>
          <w:rFonts w:ascii="Arial" w:hAnsi="Arial" w:cs="Arial"/>
        </w:rPr>
        <w:t xml:space="preserve">mainly </w:t>
      </w:r>
      <w:r w:rsidR="003517D1">
        <w:rPr>
          <w:rFonts w:ascii="Arial" w:hAnsi="Arial" w:cs="Arial"/>
        </w:rPr>
        <w:t xml:space="preserve">at </w:t>
      </w:r>
      <w:r w:rsidRPr="00D939F1">
        <w:rPr>
          <w:rFonts w:ascii="Arial" w:hAnsi="Arial" w:cs="Arial"/>
        </w:rPr>
        <w:t>the international departur</w:t>
      </w:r>
      <w:r>
        <w:rPr>
          <w:rFonts w:ascii="Arial" w:hAnsi="Arial" w:cs="Arial"/>
        </w:rPr>
        <w:t xml:space="preserve">es airside areas </w:t>
      </w:r>
      <w:r w:rsidR="003517D1">
        <w:rPr>
          <w:rFonts w:ascii="Arial" w:hAnsi="Arial" w:cs="Arial"/>
        </w:rPr>
        <w:t>in i</w:t>
      </w:r>
      <w:r>
        <w:rPr>
          <w:rFonts w:ascii="Arial" w:hAnsi="Arial" w:cs="Arial"/>
        </w:rPr>
        <w:t xml:space="preserve">nternational </w:t>
      </w:r>
      <w:r w:rsidRPr="00D939F1">
        <w:rPr>
          <w:rFonts w:ascii="Arial" w:hAnsi="Arial" w:cs="Arial"/>
        </w:rPr>
        <w:t>airports.</w:t>
      </w:r>
    </w:p>
    <w:p w14:paraId="4D3C1249" w14:textId="75A6FD50" w:rsidR="00D939F1" w:rsidRPr="00C62F32" w:rsidRDefault="00D939F1" w:rsidP="00C62F32">
      <w:pPr>
        <w:jc w:val="both"/>
        <w:rPr>
          <w:rFonts w:ascii="Arial" w:hAnsi="Arial" w:cs="Arial"/>
        </w:rPr>
      </w:pPr>
    </w:p>
    <w:p w14:paraId="56D48BC1" w14:textId="77777777" w:rsidR="00DE6B37" w:rsidRPr="00D939F1" w:rsidRDefault="00DE6B37" w:rsidP="00D939F1">
      <w:pPr>
        <w:pStyle w:val="ListParagraph"/>
        <w:jc w:val="both"/>
        <w:rPr>
          <w:rFonts w:ascii="Arial" w:eastAsia="Times New Roman" w:hAnsi="Arial" w:cs="Arial"/>
        </w:rPr>
      </w:pPr>
    </w:p>
    <w:p w14:paraId="3438725B" w14:textId="000AAA19" w:rsidR="00C55E7F" w:rsidRPr="00393034" w:rsidRDefault="00D939F1" w:rsidP="00C55E7F">
      <w:pPr>
        <w:pStyle w:val="ListParagraph"/>
        <w:numPr>
          <w:ilvl w:val="0"/>
          <w:numId w:val="2"/>
        </w:numPr>
        <w:spacing w:line="360" w:lineRule="auto"/>
        <w:ind w:left="0" w:firstLine="0"/>
        <w:jc w:val="both"/>
        <w:rPr>
          <w:rFonts w:ascii="Arial" w:hAnsi="Arial" w:cs="Arial"/>
        </w:rPr>
      </w:pPr>
      <w:r w:rsidRPr="00D939F1">
        <w:rPr>
          <w:rFonts w:ascii="Arial" w:eastAsia="Times New Roman" w:hAnsi="Arial" w:cs="Arial"/>
        </w:rPr>
        <w:t>Mr</w:t>
      </w:r>
      <w:r w:rsidR="00AF6920">
        <w:rPr>
          <w:rFonts w:ascii="Arial" w:eastAsia="Times New Roman" w:hAnsi="Arial" w:cs="Arial"/>
        </w:rPr>
        <w:t xml:space="preserve"> Eric</w:t>
      </w:r>
      <w:r w:rsidRPr="00D939F1">
        <w:rPr>
          <w:rFonts w:ascii="Arial" w:eastAsia="Times New Roman" w:hAnsi="Arial" w:cs="Arial"/>
        </w:rPr>
        <w:t xml:space="preserve"> </w:t>
      </w:r>
      <w:r w:rsidR="00645C3F">
        <w:rPr>
          <w:rFonts w:ascii="Arial" w:eastAsia="Times New Roman" w:hAnsi="Arial" w:cs="Arial"/>
        </w:rPr>
        <w:t>d</w:t>
      </w:r>
      <w:r w:rsidRPr="00D939F1">
        <w:rPr>
          <w:rFonts w:ascii="Arial" w:eastAsia="Times New Roman" w:hAnsi="Arial" w:cs="Arial"/>
        </w:rPr>
        <w:t>e Jager</w:t>
      </w:r>
      <w:r w:rsidR="00492DB5">
        <w:rPr>
          <w:rFonts w:ascii="Arial" w:eastAsia="Times New Roman" w:hAnsi="Arial" w:cs="Arial"/>
        </w:rPr>
        <w:t>,</w:t>
      </w:r>
      <w:r w:rsidRPr="00D939F1">
        <w:rPr>
          <w:rFonts w:ascii="Arial" w:eastAsia="Times New Roman" w:hAnsi="Arial" w:cs="Arial"/>
        </w:rPr>
        <w:t xml:space="preserve"> the Chief Operations</w:t>
      </w:r>
      <w:r>
        <w:rPr>
          <w:rFonts w:ascii="Arial" w:eastAsia="Times New Roman" w:hAnsi="Arial" w:cs="Arial"/>
        </w:rPr>
        <w:t xml:space="preserve"> Officer of Tourvest explained</w:t>
      </w:r>
      <w:r w:rsidR="00AF6920">
        <w:rPr>
          <w:rFonts w:ascii="Arial" w:eastAsia="Times New Roman" w:hAnsi="Arial" w:cs="Arial"/>
        </w:rPr>
        <w:t xml:space="preserve"> in his evidence</w:t>
      </w:r>
      <w:r>
        <w:rPr>
          <w:rFonts w:ascii="Arial" w:eastAsia="Times New Roman" w:hAnsi="Arial" w:cs="Arial"/>
        </w:rPr>
        <w:t xml:space="preserve"> </w:t>
      </w:r>
      <w:r w:rsidR="00B95A64">
        <w:rPr>
          <w:rFonts w:ascii="Arial" w:eastAsia="Times New Roman" w:hAnsi="Arial" w:cs="Arial"/>
        </w:rPr>
        <w:t xml:space="preserve">before the Tribunal </w:t>
      </w:r>
      <w:r w:rsidRPr="00D939F1">
        <w:rPr>
          <w:rFonts w:ascii="Arial" w:eastAsia="Times New Roman" w:hAnsi="Arial" w:cs="Arial"/>
        </w:rPr>
        <w:t xml:space="preserve">that the ability to tender competitively for such </w:t>
      </w:r>
      <w:r w:rsidR="00DE6B37">
        <w:rPr>
          <w:rFonts w:ascii="Arial" w:eastAsia="Times New Roman" w:hAnsi="Arial" w:cs="Arial"/>
        </w:rPr>
        <w:t>retail concessions</w:t>
      </w:r>
      <w:r w:rsidRPr="00D939F1">
        <w:rPr>
          <w:rFonts w:ascii="Arial" w:eastAsia="Times New Roman" w:hAnsi="Arial" w:cs="Arial"/>
        </w:rPr>
        <w:t xml:space="preserve"> requires considerable resources as well as specialist skills and experience.</w:t>
      </w:r>
      <w:r w:rsidR="00393034" w:rsidRPr="00523046">
        <w:rPr>
          <w:rFonts w:ascii="Arial" w:eastAsia="Times New Roman" w:hAnsi="Arial" w:cs="Arial"/>
        </w:rPr>
        <w:t xml:space="preserve"> </w:t>
      </w:r>
      <w:r w:rsidRPr="00523046">
        <w:rPr>
          <w:rFonts w:ascii="Arial" w:eastAsia="Times New Roman" w:hAnsi="Arial" w:cs="Arial"/>
        </w:rPr>
        <w:t>Access is difficult and logistics are challenging. In order to ensure consistent stock replenishment, it is necessary to have strong logistical in</w:t>
      </w:r>
      <w:r w:rsidR="00523046">
        <w:rPr>
          <w:rFonts w:ascii="Arial" w:eastAsia="Times New Roman" w:hAnsi="Arial" w:cs="Arial"/>
        </w:rPr>
        <w:t>frastructures</w:t>
      </w:r>
      <w:r w:rsidR="00C55E7F">
        <w:rPr>
          <w:rFonts w:ascii="Arial" w:eastAsia="Times New Roman" w:hAnsi="Arial" w:cs="Arial"/>
        </w:rPr>
        <w:t>,</w:t>
      </w:r>
      <w:r w:rsidR="00C55E7F" w:rsidRPr="00393034">
        <w:rPr>
          <w:rFonts w:ascii="Arial" w:eastAsia="Times New Roman" w:hAnsi="Arial" w:cs="Arial"/>
        </w:rPr>
        <w:t xml:space="preserve"> good computer systems and the operational capability to trade 365 days per year </w:t>
      </w:r>
      <w:r w:rsidR="00B95A64">
        <w:rPr>
          <w:rFonts w:ascii="Arial" w:eastAsia="Times New Roman" w:hAnsi="Arial" w:cs="Arial"/>
        </w:rPr>
        <w:t xml:space="preserve">and </w:t>
      </w:r>
      <w:r w:rsidR="00C55E7F" w:rsidRPr="00393034">
        <w:rPr>
          <w:rFonts w:ascii="Arial" w:eastAsia="Times New Roman" w:hAnsi="Arial" w:cs="Arial"/>
        </w:rPr>
        <w:t>up to 17 hours per day.</w:t>
      </w:r>
    </w:p>
    <w:p w14:paraId="04C69261" w14:textId="263AF843" w:rsidR="00393034" w:rsidRPr="00523046" w:rsidRDefault="00393034" w:rsidP="00E03C5A">
      <w:pPr>
        <w:pStyle w:val="ListParagraph"/>
        <w:spacing w:line="360" w:lineRule="auto"/>
        <w:ind w:left="0"/>
        <w:jc w:val="both"/>
        <w:rPr>
          <w:rFonts w:ascii="Arial" w:hAnsi="Arial" w:cs="Arial"/>
        </w:rPr>
      </w:pPr>
    </w:p>
    <w:p w14:paraId="1A1A0719" w14:textId="77777777" w:rsidR="00393034" w:rsidRPr="00393034" w:rsidRDefault="00393034" w:rsidP="00393034">
      <w:pPr>
        <w:pStyle w:val="ListParagraph"/>
        <w:rPr>
          <w:rFonts w:ascii="Arial" w:eastAsia="Times New Roman" w:hAnsi="Arial" w:cs="Arial"/>
        </w:rPr>
      </w:pPr>
    </w:p>
    <w:p w14:paraId="7D5E27F7" w14:textId="556EE1EE" w:rsidR="00393034" w:rsidRPr="00F16D75" w:rsidRDefault="00D939F1" w:rsidP="00F16D75">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lastRenderedPageBreak/>
        <w:t xml:space="preserve">The Trust </w:t>
      </w:r>
      <w:r w:rsidR="00645C3F">
        <w:rPr>
          <w:rFonts w:ascii="Arial" w:eastAsia="Times New Roman" w:hAnsi="Arial" w:cs="Arial"/>
        </w:rPr>
        <w:t>was</w:t>
      </w:r>
      <w:r w:rsidRPr="00393034">
        <w:rPr>
          <w:rFonts w:ascii="Arial" w:eastAsia="Times New Roman" w:hAnsi="Arial" w:cs="Arial"/>
        </w:rPr>
        <w:t xml:space="preserve"> founded in 1987 with the purpose of providing assistance to women in rural areas through upliftment and training projects.</w:t>
      </w:r>
      <w:r w:rsidR="00393034">
        <w:rPr>
          <w:rFonts w:ascii="Arial" w:eastAsia="Times New Roman" w:hAnsi="Arial" w:cs="Arial"/>
        </w:rPr>
        <w:t xml:space="preserve"> </w:t>
      </w:r>
      <w:r w:rsidR="00523046">
        <w:rPr>
          <w:rFonts w:ascii="Arial" w:eastAsia="Times New Roman" w:hAnsi="Arial" w:cs="Arial"/>
        </w:rPr>
        <w:t xml:space="preserve"> </w:t>
      </w:r>
      <w:r w:rsidRPr="00393034">
        <w:rPr>
          <w:rFonts w:ascii="Arial" w:eastAsia="Times New Roman" w:hAnsi="Arial" w:cs="Arial"/>
        </w:rPr>
        <w:t xml:space="preserve">Ms </w:t>
      </w:r>
      <w:r w:rsidR="00523046">
        <w:rPr>
          <w:rFonts w:ascii="Arial" w:eastAsia="Times New Roman" w:hAnsi="Arial" w:cs="Arial"/>
        </w:rPr>
        <w:t xml:space="preserve">Jane </w:t>
      </w:r>
      <w:r w:rsidRPr="00393034">
        <w:rPr>
          <w:rFonts w:ascii="Arial" w:eastAsia="Times New Roman" w:hAnsi="Arial" w:cs="Arial"/>
        </w:rPr>
        <w:t>Zimmermann</w:t>
      </w:r>
      <w:r w:rsidR="00B95A64">
        <w:rPr>
          <w:rFonts w:ascii="Arial" w:eastAsia="Times New Roman" w:hAnsi="Arial" w:cs="Arial"/>
        </w:rPr>
        <w:t>,</w:t>
      </w:r>
      <w:r w:rsidR="00523046">
        <w:rPr>
          <w:rFonts w:ascii="Arial" w:eastAsia="Times New Roman" w:hAnsi="Arial" w:cs="Arial"/>
        </w:rPr>
        <w:t xml:space="preserve"> </w:t>
      </w:r>
      <w:r w:rsidR="00B95A64">
        <w:rPr>
          <w:rFonts w:ascii="Arial" w:eastAsia="Times New Roman" w:hAnsi="Arial" w:cs="Arial"/>
        </w:rPr>
        <w:t>its</w:t>
      </w:r>
      <w:r w:rsidRPr="00393034">
        <w:rPr>
          <w:rFonts w:ascii="Arial" w:eastAsia="Times New Roman" w:hAnsi="Arial" w:cs="Arial"/>
        </w:rPr>
        <w:t xml:space="preserve"> Executive Director</w:t>
      </w:r>
      <w:r w:rsidR="00B95A64">
        <w:rPr>
          <w:rFonts w:ascii="Arial" w:eastAsia="Times New Roman" w:hAnsi="Arial" w:cs="Arial"/>
        </w:rPr>
        <w:t>,</w:t>
      </w:r>
      <w:r w:rsidRPr="00393034">
        <w:rPr>
          <w:rFonts w:ascii="Arial" w:eastAsia="Times New Roman" w:hAnsi="Arial" w:cs="Arial"/>
        </w:rPr>
        <w:t xml:space="preserve"> </w:t>
      </w:r>
      <w:r w:rsidR="00A151BB">
        <w:rPr>
          <w:rFonts w:ascii="Arial" w:eastAsia="Times New Roman" w:hAnsi="Arial" w:cs="Arial"/>
        </w:rPr>
        <w:t>stated</w:t>
      </w:r>
      <w:r w:rsidRPr="00393034">
        <w:rPr>
          <w:rFonts w:ascii="Arial" w:eastAsia="Times New Roman" w:hAnsi="Arial" w:cs="Arial"/>
        </w:rPr>
        <w:t xml:space="preserve"> that </w:t>
      </w:r>
      <w:r w:rsidR="00B95A64">
        <w:rPr>
          <w:rFonts w:ascii="Arial" w:eastAsia="Times New Roman" w:hAnsi="Arial" w:cs="Arial"/>
        </w:rPr>
        <w:t>its</w:t>
      </w:r>
      <w:r w:rsidRPr="00393034">
        <w:rPr>
          <w:rFonts w:ascii="Arial" w:eastAsia="Times New Roman" w:hAnsi="Arial" w:cs="Arial"/>
        </w:rPr>
        <w:t xml:space="preserve"> principal objective is to facilitate the economic</w:t>
      </w:r>
      <w:r w:rsidR="00B95A64">
        <w:rPr>
          <w:rFonts w:ascii="Arial" w:eastAsia="Times New Roman" w:hAnsi="Arial" w:cs="Arial"/>
        </w:rPr>
        <w:t xml:space="preserve"> </w:t>
      </w:r>
      <w:r w:rsidRPr="00393034">
        <w:rPr>
          <w:rFonts w:ascii="Arial" w:eastAsia="Times New Roman" w:hAnsi="Arial" w:cs="Arial"/>
        </w:rPr>
        <w:t>viability of rural communities by promoting sustainable enterprise development</w:t>
      </w:r>
      <w:r w:rsidRPr="00F16D75">
        <w:rPr>
          <w:rFonts w:ascii="Arial" w:eastAsia="Times New Roman" w:hAnsi="Arial" w:cs="Arial"/>
        </w:rPr>
        <w:t xml:space="preserve"> support to rural crafters</w:t>
      </w:r>
      <w:r w:rsidR="00C55E7F">
        <w:rPr>
          <w:rFonts w:ascii="Arial" w:eastAsia="Times New Roman" w:hAnsi="Arial" w:cs="Arial"/>
        </w:rPr>
        <w:t>.</w:t>
      </w:r>
      <w:r w:rsidR="00694AA1">
        <w:rPr>
          <w:rFonts w:ascii="Arial" w:eastAsia="Times New Roman" w:hAnsi="Arial" w:cs="Arial"/>
        </w:rPr>
        <w:t xml:space="preserve"> </w:t>
      </w:r>
      <w:r w:rsidR="0034140A">
        <w:rPr>
          <w:rFonts w:ascii="Arial" w:eastAsia="Times New Roman" w:hAnsi="Arial" w:cs="Arial"/>
        </w:rPr>
        <w:t>This has placed the Trust in the position of ‘</w:t>
      </w:r>
      <w:r w:rsidR="00B95A64">
        <w:rPr>
          <w:rFonts w:ascii="Arial" w:eastAsia="Times New Roman" w:hAnsi="Arial" w:cs="Arial"/>
        </w:rPr>
        <w:t>’</w:t>
      </w:r>
      <w:r w:rsidR="0034140A">
        <w:rPr>
          <w:rFonts w:ascii="Arial" w:eastAsia="Times New Roman" w:hAnsi="Arial" w:cs="Arial"/>
        </w:rPr>
        <w:t>middleman</w:t>
      </w:r>
      <w:r w:rsidR="00B95A64">
        <w:rPr>
          <w:rFonts w:ascii="Arial" w:eastAsia="Times New Roman" w:hAnsi="Arial" w:cs="Arial"/>
        </w:rPr>
        <w:t>’</w:t>
      </w:r>
      <w:r w:rsidR="0034140A">
        <w:rPr>
          <w:rFonts w:ascii="Arial" w:eastAsia="Times New Roman" w:hAnsi="Arial" w:cs="Arial"/>
        </w:rPr>
        <w:t>’ in the supply of crafts generated by these communities to retailers.</w:t>
      </w:r>
      <w:r w:rsidR="00B95A64">
        <w:rPr>
          <w:rFonts w:ascii="Arial" w:eastAsia="Times New Roman" w:hAnsi="Arial" w:cs="Arial"/>
        </w:rPr>
        <w:t xml:space="preserve"> </w:t>
      </w:r>
    </w:p>
    <w:p w14:paraId="5C653686" w14:textId="77777777" w:rsidR="0034140A" w:rsidRPr="00393034" w:rsidRDefault="0034140A" w:rsidP="009F0AA9">
      <w:pPr>
        <w:pStyle w:val="ListParagraph"/>
        <w:spacing w:line="360" w:lineRule="auto"/>
        <w:ind w:left="0"/>
        <w:jc w:val="both"/>
        <w:rPr>
          <w:rFonts w:ascii="Arial" w:hAnsi="Arial" w:cs="Arial"/>
        </w:rPr>
      </w:pPr>
    </w:p>
    <w:p w14:paraId="7B506756" w14:textId="77777777" w:rsidR="00393034" w:rsidRPr="00393034" w:rsidRDefault="00393034" w:rsidP="00393034">
      <w:pPr>
        <w:pStyle w:val="ListParagraph"/>
        <w:rPr>
          <w:rFonts w:ascii="Arial" w:eastAsia="Times New Roman" w:hAnsi="Arial" w:cs="Arial"/>
        </w:rPr>
      </w:pPr>
    </w:p>
    <w:p w14:paraId="1FF3BDE9" w14:textId="03F18A85" w:rsidR="00393034" w:rsidRPr="00DD7E0E" w:rsidRDefault="00D939F1" w:rsidP="00DD7E0E">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t>On 17 February 2013 ACSA published a request for bids (</w:t>
      </w:r>
      <w:r w:rsidR="00B95A64">
        <w:rPr>
          <w:rFonts w:ascii="Arial" w:eastAsia="Times New Roman" w:hAnsi="Arial" w:cs="Arial"/>
        </w:rPr>
        <w:t>‘</w:t>
      </w:r>
      <w:r w:rsidR="00C55E7F">
        <w:rPr>
          <w:rFonts w:ascii="Arial" w:eastAsia="Times New Roman" w:hAnsi="Arial" w:cs="Arial"/>
        </w:rPr>
        <w:t>‘</w:t>
      </w:r>
      <w:r w:rsidRPr="00393034">
        <w:rPr>
          <w:rFonts w:ascii="Arial" w:eastAsia="Times New Roman" w:hAnsi="Arial" w:cs="Arial"/>
        </w:rPr>
        <w:t>RFB</w:t>
      </w:r>
      <w:r w:rsidR="00C55E7F">
        <w:rPr>
          <w:rFonts w:ascii="Arial" w:eastAsia="Times New Roman" w:hAnsi="Arial" w:cs="Arial"/>
        </w:rPr>
        <w:t>’</w:t>
      </w:r>
      <w:r w:rsidR="00B95A64">
        <w:rPr>
          <w:rFonts w:ascii="Arial" w:eastAsia="Times New Roman" w:hAnsi="Arial" w:cs="Arial"/>
        </w:rPr>
        <w:t>’</w:t>
      </w:r>
      <w:r w:rsidRPr="00393034">
        <w:rPr>
          <w:rFonts w:ascii="Arial" w:eastAsia="Times New Roman" w:hAnsi="Arial" w:cs="Arial"/>
        </w:rPr>
        <w:t xml:space="preserve">) for the </w:t>
      </w:r>
      <w:r w:rsidR="00E03C5A">
        <w:rPr>
          <w:rFonts w:ascii="Arial" w:eastAsia="Times New Roman" w:hAnsi="Arial" w:cs="Arial"/>
        </w:rPr>
        <w:t xml:space="preserve"> </w:t>
      </w:r>
      <w:r w:rsidRPr="00393034">
        <w:rPr>
          <w:rFonts w:ascii="Arial" w:eastAsia="Times New Roman" w:hAnsi="Arial" w:cs="Arial"/>
        </w:rPr>
        <w:t xml:space="preserve">leasing of </w:t>
      </w:r>
      <w:r w:rsidRPr="00DD7E0E">
        <w:rPr>
          <w:rFonts w:ascii="Arial" w:eastAsia="Times New Roman" w:hAnsi="Arial" w:cs="Arial"/>
        </w:rPr>
        <w:t xml:space="preserve"> retail</w:t>
      </w:r>
      <w:r w:rsidR="00DE6B37">
        <w:rPr>
          <w:rFonts w:ascii="Arial" w:eastAsia="Times New Roman" w:hAnsi="Arial" w:cs="Arial"/>
        </w:rPr>
        <w:t xml:space="preserve"> space</w:t>
      </w:r>
      <w:r w:rsidRPr="00DD7E0E">
        <w:rPr>
          <w:rFonts w:ascii="Arial" w:eastAsia="Times New Roman" w:hAnsi="Arial" w:cs="Arial"/>
        </w:rPr>
        <w:t xml:space="preserve">  described as Opportunit</w:t>
      </w:r>
      <w:r w:rsidR="00B95A64">
        <w:rPr>
          <w:rFonts w:ascii="Arial" w:eastAsia="Times New Roman" w:hAnsi="Arial" w:cs="Arial"/>
        </w:rPr>
        <w:t>ies 1</w:t>
      </w:r>
      <w:r w:rsidRPr="00DD7E0E">
        <w:rPr>
          <w:rFonts w:ascii="Arial" w:eastAsia="Times New Roman" w:hAnsi="Arial" w:cs="Arial"/>
        </w:rPr>
        <w:t xml:space="preserve">,  2 and  3. Opportunity 3 (which is the relevant tender </w:t>
      </w:r>
      <w:r w:rsidR="001E6E3B">
        <w:rPr>
          <w:rFonts w:ascii="Arial" w:eastAsia="Times New Roman" w:hAnsi="Arial" w:cs="Arial"/>
        </w:rPr>
        <w:t>in</w:t>
      </w:r>
      <w:r w:rsidRPr="00DD7E0E">
        <w:rPr>
          <w:rFonts w:ascii="Arial" w:eastAsia="Times New Roman" w:hAnsi="Arial" w:cs="Arial"/>
        </w:rPr>
        <w:t xml:space="preserve"> this case) concerned three stores</w:t>
      </w:r>
      <w:r w:rsidR="00B95A64">
        <w:rPr>
          <w:rFonts w:ascii="Arial" w:eastAsia="Times New Roman" w:hAnsi="Arial" w:cs="Arial"/>
        </w:rPr>
        <w:t>,</w:t>
      </w:r>
      <w:r w:rsidRPr="00DD7E0E">
        <w:rPr>
          <w:rFonts w:ascii="Arial" w:eastAsia="Times New Roman" w:hAnsi="Arial" w:cs="Arial"/>
        </w:rPr>
        <w:t xml:space="preserve"> in which Tourves</w:t>
      </w:r>
      <w:r w:rsidR="001E6E3B">
        <w:rPr>
          <w:rFonts w:ascii="Arial" w:eastAsia="Times New Roman" w:hAnsi="Arial" w:cs="Arial"/>
        </w:rPr>
        <w:t>t</w:t>
      </w:r>
      <w:r w:rsidR="00B95A64">
        <w:rPr>
          <w:rFonts w:ascii="Arial" w:eastAsia="Times New Roman" w:hAnsi="Arial" w:cs="Arial"/>
        </w:rPr>
        <w:t xml:space="preserve"> </w:t>
      </w:r>
      <w:r w:rsidR="009F0AA9" w:rsidRPr="00DD7E0E">
        <w:rPr>
          <w:rFonts w:ascii="Arial" w:eastAsia="Times New Roman" w:hAnsi="Arial" w:cs="Arial"/>
        </w:rPr>
        <w:t xml:space="preserve"> </w:t>
      </w:r>
      <w:r w:rsidR="00F45D33" w:rsidRPr="00DD7E0E">
        <w:rPr>
          <w:rFonts w:ascii="Arial" w:eastAsia="Times New Roman" w:hAnsi="Arial" w:cs="Arial"/>
        </w:rPr>
        <w:t>was then the incumbent,</w:t>
      </w:r>
      <w:r w:rsidRPr="00DD7E0E">
        <w:rPr>
          <w:rFonts w:ascii="Arial" w:eastAsia="Times New Roman" w:hAnsi="Arial" w:cs="Arial"/>
        </w:rPr>
        <w:t xml:space="preserve"> conducted African arts, crafts and curio retail businesses under the names </w:t>
      </w:r>
      <w:r w:rsidRPr="00DD7E0E">
        <w:rPr>
          <w:rFonts w:ascii="Arial" w:eastAsia="Times New Roman" w:hAnsi="Arial" w:cs="Arial"/>
          <w:i/>
        </w:rPr>
        <w:t>Out of Africa Impulse</w:t>
      </w:r>
      <w:r w:rsidRPr="00DD7E0E">
        <w:rPr>
          <w:rFonts w:ascii="Arial" w:eastAsia="Times New Roman" w:hAnsi="Arial" w:cs="Arial"/>
        </w:rPr>
        <w:t xml:space="preserve">, </w:t>
      </w:r>
      <w:r w:rsidRPr="00DD7E0E">
        <w:rPr>
          <w:rFonts w:ascii="Arial" w:eastAsia="Times New Roman" w:hAnsi="Arial" w:cs="Arial"/>
          <w:i/>
        </w:rPr>
        <w:t>Indaba Origins</w:t>
      </w:r>
      <w:r w:rsidRPr="00DD7E0E">
        <w:rPr>
          <w:rFonts w:ascii="Arial" w:eastAsia="Times New Roman" w:hAnsi="Arial" w:cs="Arial"/>
        </w:rPr>
        <w:t xml:space="preserve"> and </w:t>
      </w:r>
      <w:r w:rsidRPr="00DD7E0E">
        <w:rPr>
          <w:rFonts w:ascii="Arial" w:eastAsia="Times New Roman" w:hAnsi="Arial" w:cs="Arial"/>
          <w:i/>
        </w:rPr>
        <w:t>Out of Africa Kiosk</w:t>
      </w:r>
      <w:r w:rsidR="00F45D33" w:rsidRPr="00DD7E0E">
        <w:rPr>
          <w:rFonts w:ascii="Arial" w:eastAsia="Times New Roman" w:hAnsi="Arial" w:cs="Arial"/>
        </w:rPr>
        <w:t>.</w:t>
      </w:r>
    </w:p>
    <w:p w14:paraId="1F0880AD" w14:textId="77777777" w:rsidR="00393034" w:rsidRPr="00393034" w:rsidRDefault="00393034" w:rsidP="00393034">
      <w:pPr>
        <w:pStyle w:val="ListParagraph"/>
        <w:rPr>
          <w:rFonts w:ascii="Arial" w:eastAsia="Times New Roman" w:hAnsi="Arial" w:cs="Arial"/>
        </w:rPr>
      </w:pPr>
    </w:p>
    <w:p w14:paraId="5D7AD939" w14:textId="3FE66A69" w:rsidR="00393034" w:rsidRPr="00E03C24" w:rsidRDefault="00D939F1" w:rsidP="001E6E3B">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t>The RFB provided that bidders had to bid for each of these opportunities separately</w:t>
      </w:r>
      <w:r w:rsidRPr="00393034">
        <w:rPr>
          <w:rFonts w:ascii="Arial" w:eastAsia="Times New Roman" w:hAnsi="Arial" w:cs="Arial"/>
          <w:position w:val="8"/>
        </w:rPr>
        <w:t xml:space="preserve"> </w:t>
      </w:r>
      <w:r w:rsidRPr="00393034">
        <w:rPr>
          <w:rFonts w:ascii="Arial" w:eastAsia="Times New Roman" w:hAnsi="Arial" w:cs="Arial"/>
        </w:rPr>
        <w:t>and that no single bidder could be awarded more than two of the three opportunities.</w:t>
      </w:r>
      <w:r w:rsidRPr="00393034">
        <w:rPr>
          <w:rFonts w:ascii="Arial" w:eastAsia="Times New Roman" w:hAnsi="Arial" w:cs="Arial"/>
          <w:position w:val="8"/>
        </w:rPr>
        <w:t xml:space="preserve"> </w:t>
      </w:r>
      <w:r w:rsidR="001E6E3B">
        <w:rPr>
          <w:rFonts w:ascii="Arial" w:hAnsi="Arial" w:cs="Arial"/>
        </w:rPr>
        <w:t xml:space="preserve">This was a change </w:t>
      </w:r>
      <w:r w:rsidR="00E03C24">
        <w:rPr>
          <w:rFonts w:ascii="Arial" w:hAnsi="Arial" w:cs="Arial"/>
        </w:rPr>
        <w:t>in policy from previous tenders</w:t>
      </w:r>
      <w:r w:rsidR="000373A7">
        <w:rPr>
          <w:rFonts w:ascii="Arial" w:hAnsi="Arial" w:cs="Arial"/>
        </w:rPr>
        <w:t xml:space="preserve"> and was apparently driven by the need for</w:t>
      </w:r>
      <w:r w:rsidRPr="001E6E3B">
        <w:rPr>
          <w:rFonts w:ascii="Arial" w:eastAsia="Times New Roman" w:hAnsi="Arial" w:cs="Arial"/>
        </w:rPr>
        <w:t xml:space="preserve"> enterprise development</w:t>
      </w:r>
      <w:r w:rsidR="00E03C24">
        <w:rPr>
          <w:rFonts w:ascii="Arial" w:eastAsia="Times New Roman" w:hAnsi="Arial" w:cs="Arial"/>
        </w:rPr>
        <w:t xml:space="preserve"> of smaller craft retailers.</w:t>
      </w:r>
      <w:r w:rsidRPr="001E6E3B">
        <w:rPr>
          <w:rFonts w:ascii="Arial" w:eastAsia="Times New Roman" w:hAnsi="Arial" w:cs="Arial"/>
        </w:rPr>
        <w:t xml:space="preserve"> </w:t>
      </w:r>
    </w:p>
    <w:p w14:paraId="692D9E44" w14:textId="77777777" w:rsidR="00E03C24" w:rsidRPr="001E6E3B" w:rsidRDefault="00E03C24" w:rsidP="00E03C24">
      <w:pPr>
        <w:pStyle w:val="ListParagraph"/>
        <w:spacing w:line="360" w:lineRule="auto"/>
        <w:ind w:left="0"/>
        <w:jc w:val="both"/>
        <w:rPr>
          <w:rFonts w:ascii="Arial" w:hAnsi="Arial" w:cs="Arial"/>
        </w:rPr>
      </w:pPr>
    </w:p>
    <w:p w14:paraId="44E7D8E6" w14:textId="77777777" w:rsidR="00393034" w:rsidRPr="00393034" w:rsidRDefault="00393034" w:rsidP="00393034">
      <w:pPr>
        <w:pStyle w:val="ListParagraph"/>
        <w:rPr>
          <w:rFonts w:ascii="Arial" w:eastAsia="Times New Roman" w:hAnsi="Arial" w:cs="Arial"/>
        </w:rPr>
      </w:pPr>
    </w:p>
    <w:p w14:paraId="33D097D0" w14:textId="0A8E9A15" w:rsidR="00393034" w:rsidRPr="00E75DFB" w:rsidRDefault="00D939F1" w:rsidP="00BA7179">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t>However, ACSA</w:t>
      </w:r>
      <w:r w:rsidR="000A209B">
        <w:rPr>
          <w:rFonts w:ascii="Arial" w:eastAsia="Times New Roman" w:hAnsi="Arial" w:cs="Arial"/>
        </w:rPr>
        <w:t>,</w:t>
      </w:r>
      <w:r w:rsidRPr="00393034">
        <w:rPr>
          <w:rFonts w:ascii="Arial" w:eastAsia="Times New Roman" w:hAnsi="Arial" w:cs="Arial"/>
        </w:rPr>
        <w:t xml:space="preserve"> at the same time</w:t>
      </w:r>
      <w:r w:rsidR="000A209B">
        <w:rPr>
          <w:rFonts w:ascii="Arial" w:eastAsia="Times New Roman" w:hAnsi="Arial" w:cs="Arial"/>
        </w:rPr>
        <w:t>,</w:t>
      </w:r>
      <w:r w:rsidRPr="00393034">
        <w:rPr>
          <w:rFonts w:ascii="Arial" w:eastAsia="Times New Roman" w:hAnsi="Arial" w:cs="Arial"/>
        </w:rPr>
        <w:t xml:space="preserve"> stipulated onerous minimum financial requirements for all the opportunities including Opportunity 3. For </w:t>
      </w:r>
      <w:r w:rsidR="005D3C9E">
        <w:rPr>
          <w:rFonts w:ascii="Arial" w:eastAsia="Times New Roman" w:hAnsi="Arial" w:cs="Arial"/>
        </w:rPr>
        <w:t>example</w:t>
      </w:r>
      <w:r w:rsidR="00B95A64">
        <w:rPr>
          <w:rFonts w:ascii="Arial" w:eastAsia="Times New Roman" w:hAnsi="Arial" w:cs="Arial"/>
        </w:rPr>
        <w:t>,</w:t>
      </w:r>
      <w:r w:rsidRPr="00393034">
        <w:rPr>
          <w:rFonts w:ascii="Arial" w:eastAsia="Times New Roman" w:hAnsi="Arial" w:cs="Arial"/>
        </w:rPr>
        <w:t xml:space="preserve"> ACSA required a minimum guaranteed rental of R450 000 per month and a bank guarantee of three months’ rental.</w:t>
      </w:r>
      <w:r w:rsidR="00393034">
        <w:rPr>
          <w:rFonts w:ascii="Arial" w:eastAsia="Times New Roman" w:hAnsi="Arial" w:cs="Arial"/>
        </w:rPr>
        <w:t xml:space="preserve"> </w:t>
      </w:r>
      <w:r w:rsidRPr="00393034">
        <w:rPr>
          <w:rFonts w:ascii="Arial" w:eastAsia="Times New Roman" w:hAnsi="Arial" w:cs="Arial"/>
        </w:rPr>
        <w:t xml:space="preserve">Furthermore, in order to ensure that bidders had the minimum level of experience and qualifications required to operate the various opportunities, </w:t>
      </w:r>
      <w:r w:rsidRPr="00BA7179">
        <w:rPr>
          <w:rFonts w:ascii="Arial" w:eastAsia="Times New Roman" w:hAnsi="Arial" w:cs="Arial"/>
        </w:rPr>
        <w:t xml:space="preserve"> no bid would be considered unless it met certain specified </w:t>
      </w:r>
      <w:r w:rsidRPr="00BA7179">
        <w:rPr>
          <w:rFonts w:ascii="Arial" w:eastAsia="Times New Roman" w:hAnsi="Arial" w:cs="Arial"/>
          <w:iCs/>
        </w:rPr>
        <w:t xml:space="preserve">mandatory </w:t>
      </w:r>
      <w:r w:rsidRPr="00E75DFB">
        <w:rPr>
          <w:rFonts w:ascii="Arial" w:eastAsia="Times New Roman" w:hAnsi="Arial" w:cs="Arial"/>
          <w:iCs/>
        </w:rPr>
        <w:t>administrative requirements</w:t>
      </w:r>
      <w:r w:rsidR="009F5D04">
        <w:rPr>
          <w:rFonts w:ascii="Arial" w:eastAsia="Times New Roman" w:hAnsi="Arial" w:cs="Arial"/>
          <w:iCs/>
        </w:rPr>
        <w:t>.</w:t>
      </w:r>
      <w:r w:rsidRPr="00BA7179">
        <w:rPr>
          <w:rFonts w:ascii="Arial" w:eastAsia="Times New Roman" w:hAnsi="Arial" w:cs="Arial"/>
        </w:rPr>
        <w:t xml:space="preserve"> </w:t>
      </w:r>
    </w:p>
    <w:p w14:paraId="0B6547D2" w14:textId="77777777" w:rsidR="00E75DFB" w:rsidRPr="00E75DFB" w:rsidRDefault="00E75DFB" w:rsidP="00E75DFB">
      <w:pPr>
        <w:pStyle w:val="ListParagraph"/>
        <w:rPr>
          <w:rFonts w:ascii="Arial" w:hAnsi="Arial" w:cs="Arial"/>
        </w:rPr>
      </w:pPr>
    </w:p>
    <w:p w14:paraId="0A8A54FA" w14:textId="6F944EFA" w:rsidR="00393034" w:rsidRPr="00B365CF" w:rsidRDefault="00A83753" w:rsidP="00E75DFB">
      <w:pPr>
        <w:pStyle w:val="ListParagraph"/>
        <w:numPr>
          <w:ilvl w:val="0"/>
          <w:numId w:val="2"/>
        </w:numPr>
        <w:spacing w:line="360" w:lineRule="auto"/>
        <w:ind w:left="0" w:firstLine="0"/>
        <w:jc w:val="both"/>
        <w:rPr>
          <w:rFonts w:ascii="Arial" w:hAnsi="Arial" w:cs="Arial"/>
        </w:rPr>
      </w:pPr>
      <w:r>
        <w:rPr>
          <w:rFonts w:ascii="Arial" w:hAnsi="Arial" w:cs="Arial"/>
        </w:rPr>
        <w:t xml:space="preserve">One </w:t>
      </w:r>
      <w:r w:rsidR="009F5D04">
        <w:rPr>
          <w:rFonts w:ascii="Arial" w:hAnsi="Arial" w:cs="Arial"/>
        </w:rPr>
        <w:t xml:space="preserve">such requirement </w:t>
      </w:r>
      <w:r w:rsidR="00E75DFB">
        <w:rPr>
          <w:rFonts w:ascii="Arial" w:hAnsi="Arial" w:cs="Arial"/>
        </w:rPr>
        <w:t xml:space="preserve"> was that the</w:t>
      </w:r>
      <w:r w:rsidR="00393034" w:rsidRPr="00E75DFB">
        <w:rPr>
          <w:rFonts w:ascii="Arial" w:eastAsia="Times New Roman" w:hAnsi="Arial" w:cs="Arial"/>
          <w:i/>
          <w:iCs/>
        </w:rPr>
        <w:t xml:space="preserve"> </w:t>
      </w:r>
      <w:r w:rsidR="00393034" w:rsidRPr="00B365CF">
        <w:rPr>
          <w:rFonts w:ascii="Arial" w:eastAsia="Times New Roman" w:hAnsi="Arial" w:cs="Arial"/>
          <w:iCs/>
        </w:rPr>
        <w:t>bidder</w:t>
      </w:r>
      <w:r w:rsidR="00B365CF">
        <w:rPr>
          <w:rFonts w:ascii="Arial" w:eastAsia="Times New Roman" w:hAnsi="Arial" w:cs="Arial"/>
          <w:iCs/>
        </w:rPr>
        <w:t xml:space="preserve"> have </w:t>
      </w:r>
      <w:r w:rsidR="009F5D04">
        <w:rPr>
          <w:rFonts w:ascii="Arial" w:eastAsia="Times New Roman" w:hAnsi="Arial" w:cs="Arial"/>
          <w:iCs/>
        </w:rPr>
        <w:t>“</w:t>
      </w:r>
      <w:r w:rsidR="00393034" w:rsidRPr="00B365CF">
        <w:rPr>
          <w:rFonts w:ascii="Arial" w:eastAsia="Times New Roman" w:hAnsi="Arial" w:cs="Arial"/>
          <w:iCs/>
        </w:rPr>
        <w:t>sufficient experience and/or qualifications to effectively exploit the Retail Opportunity to the mutual advantage of the Bidder and ACSA in a manner consistent with the standards set by ACSA</w:t>
      </w:r>
      <w:r w:rsidR="009F5D04">
        <w:rPr>
          <w:rFonts w:ascii="Arial" w:eastAsia="Times New Roman" w:hAnsi="Arial" w:cs="Arial"/>
          <w:iCs/>
        </w:rPr>
        <w:t>”</w:t>
      </w:r>
      <w:r w:rsidR="00B365CF" w:rsidRPr="00B365CF">
        <w:rPr>
          <w:rFonts w:ascii="Arial" w:eastAsia="Times New Roman" w:hAnsi="Arial" w:cs="Arial"/>
          <w:iCs/>
        </w:rPr>
        <w:t>.</w:t>
      </w:r>
      <w:r w:rsidR="00B365CF">
        <w:rPr>
          <w:rFonts w:ascii="Arial" w:eastAsia="Times New Roman" w:hAnsi="Arial" w:cs="Arial"/>
          <w:iCs/>
        </w:rPr>
        <w:t xml:space="preserve"> </w:t>
      </w:r>
      <w:r w:rsidR="00706636">
        <w:rPr>
          <w:rFonts w:ascii="Arial" w:eastAsia="Times New Roman" w:hAnsi="Arial" w:cs="Arial"/>
          <w:iCs/>
        </w:rPr>
        <w:t>‘</w:t>
      </w:r>
      <w:r w:rsidR="00393034" w:rsidRPr="00B365CF">
        <w:rPr>
          <w:rFonts w:ascii="Arial" w:eastAsia="Times New Roman" w:hAnsi="Arial" w:cs="Arial"/>
          <w:iCs/>
        </w:rPr>
        <w:t>Sufficient experience</w:t>
      </w:r>
      <w:r w:rsidR="00706636">
        <w:rPr>
          <w:rFonts w:ascii="Arial" w:eastAsia="Times New Roman" w:hAnsi="Arial" w:cs="Arial"/>
          <w:iCs/>
        </w:rPr>
        <w:t xml:space="preserve">’ was defined </w:t>
      </w:r>
      <w:r w:rsidR="00B95A64">
        <w:rPr>
          <w:rFonts w:ascii="Arial" w:eastAsia="Times New Roman" w:hAnsi="Arial" w:cs="Arial"/>
          <w:iCs/>
        </w:rPr>
        <w:t>as</w:t>
      </w:r>
      <w:r w:rsidR="00393034" w:rsidRPr="00B365CF">
        <w:rPr>
          <w:rFonts w:ascii="Arial" w:eastAsia="Times New Roman" w:hAnsi="Arial" w:cs="Arial"/>
          <w:iCs/>
        </w:rPr>
        <w:t xml:space="preserve"> </w:t>
      </w:r>
      <w:r w:rsidR="00706636">
        <w:rPr>
          <w:rFonts w:ascii="Arial" w:eastAsia="Times New Roman" w:hAnsi="Arial" w:cs="Arial"/>
          <w:iCs/>
        </w:rPr>
        <w:t>‘</w:t>
      </w:r>
      <w:r w:rsidR="00393034" w:rsidRPr="00B365CF">
        <w:rPr>
          <w:rFonts w:ascii="Arial" w:eastAsia="Times New Roman" w:hAnsi="Arial" w:cs="Arial"/>
          <w:iCs/>
        </w:rPr>
        <w:t>the successful management of at least one retail store with minimum monthly sales of R500 000.00 or R6 million per annum in any two of the last three years.</w:t>
      </w:r>
      <w:r w:rsidR="00B365CF">
        <w:rPr>
          <w:rFonts w:ascii="Arial" w:eastAsia="Times New Roman" w:hAnsi="Arial" w:cs="Arial"/>
          <w:iCs/>
        </w:rPr>
        <w:t>’</w:t>
      </w:r>
      <w:r w:rsidR="00B95A64">
        <w:rPr>
          <w:rFonts w:ascii="Arial" w:eastAsia="Times New Roman" w:hAnsi="Arial" w:cs="Arial"/>
          <w:iCs/>
        </w:rPr>
        <w:t>’</w:t>
      </w:r>
      <w:r w:rsidR="00393034" w:rsidRPr="00B365CF">
        <w:rPr>
          <w:rFonts w:ascii="Arial" w:eastAsia="Times New Roman" w:hAnsi="Arial" w:cs="Arial"/>
          <w:iCs/>
          <w:position w:val="10"/>
        </w:rPr>
        <w:t xml:space="preserve"> </w:t>
      </w:r>
    </w:p>
    <w:p w14:paraId="10949115" w14:textId="25174A00" w:rsidR="00393034" w:rsidRPr="000373A7" w:rsidRDefault="00393034" w:rsidP="000373A7">
      <w:pPr>
        <w:pStyle w:val="ListParagraph"/>
        <w:spacing w:line="360" w:lineRule="auto"/>
        <w:ind w:left="0"/>
        <w:jc w:val="both"/>
        <w:rPr>
          <w:rFonts w:ascii="Arial" w:hAnsi="Arial" w:cs="Arial"/>
        </w:rPr>
      </w:pPr>
    </w:p>
    <w:p w14:paraId="6E6CDF71" w14:textId="77777777" w:rsidR="00393034" w:rsidRPr="00393034" w:rsidRDefault="00393034" w:rsidP="00393034">
      <w:pPr>
        <w:pStyle w:val="ListParagraph"/>
        <w:rPr>
          <w:rFonts w:ascii="Arial" w:eastAsia="Times New Roman" w:hAnsi="Arial" w:cs="Arial"/>
        </w:rPr>
      </w:pPr>
    </w:p>
    <w:p w14:paraId="27E1B70E" w14:textId="20CFBAF8" w:rsidR="00393034" w:rsidRPr="00393034" w:rsidRDefault="00D939F1" w:rsidP="00393034">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t xml:space="preserve">In addition, </w:t>
      </w:r>
      <w:r w:rsidR="001503E4">
        <w:rPr>
          <w:rFonts w:ascii="Arial" w:eastAsia="Times New Roman" w:hAnsi="Arial" w:cs="Arial"/>
        </w:rPr>
        <w:t>bids</w:t>
      </w:r>
      <w:r w:rsidRPr="00393034">
        <w:rPr>
          <w:rFonts w:ascii="Arial" w:eastAsia="Times New Roman" w:hAnsi="Arial" w:cs="Arial"/>
        </w:rPr>
        <w:t xml:space="preserve"> would be disqualified</w:t>
      </w:r>
      <w:r w:rsidR="00D5339C">
        <w:rPr>
          <w:rFonts w:ascii="Arial" w:eastAsia="Times New Roman" w:hAnsi="Arial" w:cs="Arial"/>
        </w:rPr>
        <w:t xml:space="preserve"> from consideration</w:t>
      </w:r>
      <w:r w:rsidRPr="00393034">
        <w:rPr>
          <w:rFonts w:ascii="Arial" w:eastAsia="Times New Roman" w:hAnsi="Arial" w:cs="Arial"/>
        </w:rPr>
        <w:t xml:space="preserve"> </w:t>
      </w:r>
      <w:r w:rsidR="002A4CF7">
        <w:rPr>
          <w:rFonts w:ascii="Arial" w:eastAsia="Times New Roman" w:hAnsi="Arial" w:cs="Arial"/>
        </w:rPr>
        <w:t>if they failed to meet two</w:t>
      </w:r>
      <w:r w:rsidRPr="00393034">
        <w:rPr>
          <w:rFonts w:ascii="Arial" w:eastAsia="Times New Roman" w:hAnsi="Arial" w:cs="Arial"/>
        </w:rPr>
        <w:t xml:space="preserve"> antecedent requirements</w:t>
      </w:r>
      <w:r w:rsidR="00B95A64">
        <w:rPr>
          <w:rFonts w:ascii="Arial" w:eastAsia="Times New Roman" w:hAnsi="Arial" w:cs="Arial"/>
        </w:rPr>
        <w:t>, viz.</w:t>
      </w:r>
      <w:r w:rsidRPr="00393034">
        <w:rPr>
          <w:rFonts w:ascii="Arial" w:eastAsia="Times New Roman" w:hAnsi="Arial" w:cs="Arial"/>
        </w:rPr>
        <w:t xml:space="preserve"> that the bidder (i) </w:t>
      </w:r>
      <w:r w:rsidR="00393034" w:rsidRPr="00393034">
        <w:rPr>
          <w:rFonts w:ascii="Arial" w:eastAsia="Times New Roman" w:hAnsi="Arial" w:cs="Arial"/>
        </w:rPr>
        <w:t>p</w:t>
      </w:r>
      <w:r w:rsidRPr="00393034">
        <w:rPr>
          <w:rFonts w:ascii="Arial" w:eastAsia="Times New Roman" w:hAnsi="Arial" w:cs="Arial"/>
        </w:rPr>
        <w:t>urchased the relevant bid document from ACSA and (ii) attended a bid presentation by ACSA</w:t>
      </w:r>
      <w:r w:rsidR="001A6F9E">
        <w:rPr>
          <w:rFonts w:ascii="Arial" w:eastAsia="Times New Roman" w:hAnsi="Arial" w:cs="Arial"/>
        </w:rPr>
        <w:t>.</w:t>
      </w:r>
      <w:r w:rsidRPr="00393034">
        <w:rPr>
          <w:rFonts w:ascii="Arial" w:eastAsia="Times New Roman" w:hAnsi="Arial" w:cs="Arial"/>
          <w:position w:val="8"/>
        </w:rPr>
        <w:t xml:space="preserve"> </w:t>
      </w:r>
    </w:p>
    <w:p w14:paraId="5A8C7939" w14:textId="2AF6E26A" w:rsidR="00393034" w:rsidRPr="00C62F32" w:rsidRDefault="00393034" w:rsidP="00C62F32">
      <w:pPr>
        <w:rPr>
          <w:rFonts w:ascii="Arial" w:eastAsia="Times New Roman" w:hAnsi="Arial" w:cs="Arial"/>
        </w:rPr>
      </w:pPr>
    </w:p>
    <w:p w14:paraId="37A7B864" w14:textId="77777777" w:rsidR="00D13FE2" w:rsidRPr="00393034" w:rsidRDefault="00D13FE2" w:rsidP="00393034">
      <w:pPr>
        <w:pStyle w:val="ListParagraph"/>
        <w:rPr>
          <w:rFonts w:ascii="Arial" w:eastAsia="Times New Roman" w:hAnsi="Arial" w:cs="Arial"/>
        </w:rPr>
      </w:pPr>
    </w:p>
    <w:p w14:paraId="711E8FDA" w14:textId="0565B8BA" w:rsidR="009F5D04" w:rsidRPr="009F5D04" w:rsidRDefault="00EF0BCA" w:rsidP="00393034">
      <w:pPr>
        <w:pStyle w:val="ListParagraph"/>
        <w:numPr>
          <w:ilvl w:val="0"/>
          <w:numId w:val="2"/>
        </w:numPr>
        <w:spacing w:line="360" w:lineRule="auto"/>
        <w:ind w:left="0" w:firstLine="0"/>
        <w:jc w:val="both"/>
        <w:rPr>
          <w:rFonts w:ascii="Arial" w:hAnsi="Arial" w:cs="Arial"/>
        </w:rPr>
      </w:pPr>
      <w:r>
        <w:rPr>
          <w:rFonts w:ascii="Arial" w:eastAsia="Times New Roman" w:hAnsi="Arial" w:cs="Arial"/>
        </w:rPr>
        <w:t>The Trust neither bought the bid documents nor</w:t>
      </w:r>
      <w:r w:rsidR="00B95A64">
        <w:rPr>
          <w:rFonts w:ascii="Arial" w:eastAsia="Times New Roman" w:hAnsi="Arial" w:cs="Arial"/>
        </w:rPr>
        <w:t xml:space="preserve"> attended</w:t>
      </w:r>
      <w:r>
        <w:rPr>
          <w:rFonts w:ascii="Arial" w:eastAsia="Times New Roman" w:hAnsi="Arial" w:cs="Arial"/>
        </w:rPr>
        <w:t xml:space="preserve"> the bid </w:t>
      </w:r>
      <w:r w:rsidR="00D5339C">
        <w:rPr>
          <w:rFonts w:ascii="Arial" w:eastAsia="Times New Roman" w:hAnsi="Arial" w:cs="Arial"/>
        </w:rPr>
        <w:t>presentation</w:t>
      </w:r>
      <w:r>
        <w:rPr>
          <w:rFonts w:ascii="Arial" w:eastAsia="Times New Roman" w:hAnsi="Arial" w:cs="Arial"/>
        </w:rPr>
        <w:t>. Tourvest did both</w:t>
      </w:r>
      <w:r w:rsidR="00D5339C">
        <w:rPr>
          <w:rFonts w:ascii="Arial" w:eastAsia="Times New Roman" w:hAnsi="Arial" w:cs="Arial"/>
        </w:rPr>
        <w:t xml:space="preserve">. </w:t>
      </w:r>
    </w:p>
    <w:p w14:paraId="512B3D75" w14:textId="77777777" w:rsidR="009F5D04" w:rsidRPr="009F5D04" w:rsidRDefault="009F5D04" w:rsidP="00D05ED5">
      <w:pPr>
        <w:pStyle w:val="ListParagraph"/>
        <w:spacing w:line="360" w:lineRule="auto"/>
        <w:ind w:left="0"/>
        <w:jc w:val="both"/>
        <w:rPr>
          <w:rFonts w:ascii="Arial" w:hAnsi="Arial" w:cs="Arial"/>
        </w:rPr>
      </w:pPr>
    </w:p>
    <w:p w14:paraId="7FBCDB5A" w14:textId="2D20ABED" w:rsidR="00393034" w:rsidRPr="00B95A64" w:rsidRDefault="00D5339C" w:rsidP="00B95A64">
      <w:pPr>
        <w:pStyle w:val="ListParagraph"/>
        <w:numPr>
          <w:ilvl w:val="0"/>
          <w:numId w:val="2"/>
        </w:numPr>
        <w:spacing w:line="360" w:lineRule="auto"/>
        <w:ind w:left="0" w:firstLine="0"/>
        <w:jc w:val="both"/>
        <w:rPr>
          <w:rFonts w:ascii="Arial" w:hAnsi="Arial" w:cs="Arial"/>
        </w:rPr>
      </w:pPr>
      <w:r>
        <w:rPr>
          <w:rFonts w:ascii="Arial" w:eastAsia="Times New Roman" w:hAnsi="Arial" w:cs="Arial"/>
        </w:rPr>
        <w:t>At the bid presentation</w:t>
      </w:r>
      <w:r w:rsidR="00B95A64">
        <w:rPr>
          <w:rFonts w:ascii="Arial" w:eastAsia="Times New Roman" w:hAnsi="Arial" w:cs="Arial"/>
        </w:rPr>
        <w:t>,</w:t>
      </w:r>
      <w:r>
        <w:rPr>
          <w:rFonts w:ascii="Arial" w:eastAsia="Times New Roman" w:hAnsi="Arial" w:cs="Arial"/>
        </w:rPr>
        <w:t xml:space="preserve"> Tourvest asked </w:t>
      </w:r>
      <w:r w:rsidR="00D939F1" w:rsidRPr="00393034">
        <w:rPr>
          <w:rFonts w:ascii="Arial" w:eastAsia="Times New Roman" w:hAnsi="Arial" w:cs="Arial"/>
        </w:rPr>
        <w:t>ACSA  whether it would be permissible</w:t>
      </w:r>
      <w:r w:rsidR="000373A7">
        <w:rPr>
          <w:rFonts w:ascii="Arial" w:eastAsia="Times New Roman" w:hAnsi="Arial" w:cs="Arial"/>
        </w:rPr>
        <w:t xml:space="preserve"> for</w:t>
      </w:r>
      <w:r w:rsidR="00D939F1" w:rsidRPr="00393034">
        <w:rPr>
          <w:rFonts w:ascii="Arial" w:eastAsia="Times New Roman" w:hAnsi="Arial" w:cs="Arial"/>
        </w:rPr>
        <w:t xml:space="preserve"> a</w:t>
      </w:r>
      <w:r w:rsidR="000373A7">
        <w:rPr>
          <w:rFonts w:ascii="Arial" w:eastAsia="Times New Roman" w:hAnsi="Arial" w:cs="Arial"/>
        </w:rPr>
        <w:t xml:space="preserve"> bidder </w:t>
      </w:r>
      <w:r w:rsidR="00121317">
        <w:rPr>
          <w:rFonts w:ascii="Arial" w:eastAsia="Times New Roman" w:hAnsi="Arial" w:cs="Arial"/>
        </w:rPr>
        <w:t>to be part of</w:t>
      </w:r>
      <w:r w:rsidR="00D939F1" w:rsidRPr="00393034">
        <w:rPr>
          <w:rFonts w:ascii="Arial" w:eastAsia="Times New Roman" w:hAnsi="Arial" w:cs="Arial"/>
        </w:rPr>
        <w:t xml:space="preserve"> more than one consorti</w:t>
      </w:r>
      <w:r w:rsidR="0077681B">
        <w:rPr>
          <w:rFonts w:ascii="Arial" w:eastAsia="Times New Roman" w:hAnsi="Arial" w:cs="Arial"/>
        </w:rPr>
        <w:t>um</w:t>
      </w:r>
      <w:r w:rsidR="00D939F1" w:rsidRPr="00393034">
        <w:rPr>
          <w:rFonts w:ascii="Arial" w:eastAsia="Times New Roman" w:hAnsi="Arial" w:cs="Arial"/>
        </w:rPr>
        <w:t>.</w:t>
      </w:r>
      <w:r w:rsidR="00D939F1" w:rsidRPr="00393034">
        <w:rPr>
          <w:rFonts w:ascii="Arial" w:eastAsia="Times New Roman" w:hAnsi="Arial" w:cs="Arial"/>
          <w:position w:val="8"/>
        </w:rPr>
        <w:t xml:space="preserve"> </w:t>
      </w:r>
      <w:r w:rsidR="00D939F1" w:rsidRPr="00B95A64">
        <w:rPr>
          <w:rFonts w:ascii="Arial" w:eastAsia="Times New Roman" w:hAnsi="Arial" w:cs="Arial"/>
        </w:rPr>
        <w:t xml:space="preserve">In </w:t>
      </w:r>
      <w:r w:rsidR="00B95A64" w:rsidRPr="00B95A64">
        <w:rPr>
          <w:rFonts w:ascii="Arial" w:eastAsia="Times New Roman" w:hAnsi="Arial" w:cs="Arial"/>
        </w:rPr>
        <w:t>ACSA’s</w:t>
      </w:r>
      <w:r w:rsidR="00D939F1" w:rsidRPr="00B95A64">
        <w:rPr>
          <w:rFonts w:ascii="Arial" w:eastAsia="Times New Roman" w:hAnsi="Arial" w:cs="Arial"/>
        </w:rPr>
        <w:t xml:space="preserve"> minute</w:t>
      </w:r>
      <w:r w:rsidR="00B95A64">
        <w:rPr>
          <w:rFonts w:ascii="Arial" w:eastAsia="Times New Roman" w:hAnsi="Arial" w:cs="Arial"/>
        </w:rPr>
        <w:t xml:space="preserve"> of the presentation the</w:t>
      </w:r>
      <w:r w:rsidR="00D939F1" w:rsidRPr="00B95A64">
        <w:rPr>
          <w:rFonts w:ascii="Arial" w:eastAsia="Times New Roman" w:hAnsi="Arial" w:cs="Arial"/>
        </w:rPr>
        <w:t xml:space="preserve"> answer</w:t>
      </w:r>
      <w:r w:rsidR="00B95A64">
        <w:rPr>
          <w:rFonts w:ascii="Arial" w:eastAsia="Times New Roman" w:hAnsi="Arial" w:cs="Arial"/>
        </w:rPr>
        <w:t xml:space="preserve"> to this question</w:t>
      </w:r>
      <w:r w:rsidR="00D939F1" w:rsidRPr="00B95A64">
        <w:rPr>
          <w:rFonts w:ascii="Arial" w:eastAsia="Times New Roman" w:hAnsi="Arial" w:cs="Arial"/>
        </w:rPr>
        <w:t xml:space="preserve"> was recorded as follows: </w:t>
      </w:r>
    </w:p>
    <w:p w14:paraId="2661EE25" w14:textId="18220B94" w:rsidR="00393034" w:rsidRDefault="00B70486" w:rsidP="00645C3F">
      <w:pPr>
        <w:spacing w:before="100" w:beforeAutospacing="1" w:after="100" w:afterAutospacing="1"/>
        <w:jc w:val="both"/>
        <w:rPr>
          <w:rFonts w:ascii="Arial" w:eastAsia="Times New Roman" w:hAnsi="Arial" w:cs="Arial"/>
        </w:rPr>
      </w:pPr>
      <w:r>
        <w:rPr>
          <w:rFonts w:ascii="Arial" w:eastAsia="Times New Roman" w:hAnsi="Arial" w:cs="Arial"/>
        </w:rPr>
        <w:t>‘</w:t>
      </w:r>
      <w:r w:rsidR="00393034" w:rsidRPr="00393034">
        <w:rPr>
          <w:rFonts w:ascii="Arial" w:eastAsia="Times New Roman" w:hAnsi="Arial" w:cs="Arial"/>
          <w:i/>
          <w:iCs/>
        </w:rPr>
        <w:t>Yes, you are allowed as long as you will declare this involvement to ACSA as required in the RFB form (VI)(12).</w:t>
      </w:r>
      <w:r>
        <w:rPr>
          <w:rFonts w:ascii="Arial" w:eastAsia="Times New Roman" w:hAnsi="Arial" w:cs="Arial"/>
        </w:rPr>
        <w:t>’</w:t>
      </w:r>
      <w:r w:rsidR="00393034" w:rsidRPr="00393034">
        <w:rPr>
          <w:rFonts w:ascii="Arial" w:eastAsia="Times New Roman" w:hAnsi="Arial" w:cs="Arial"/>
          <w:position w:val="8"/>
        </w:rPr>
        <w:t xml:space="preserve"> </w:t>
      </w:r>
    </w:p>
    <w:p w14:paraId="48114432" w14:textId="77777777" w:rsidR="00CA0A44" w:rsidRPr="00393034" w:rsidRDefault="00CA0A44" w:rsidP="00393034">
      <w:pPr>
        <w:pStyle w:val="ListParagraph"/>
        <w:spacing w:line="360" w:lineRule="auto"/>
        <w:ind w:left="0"/>
        <w:jc w:val="both"/>
        <w:rPr>
          <w:rFonts w:ascii="Arial" w:hAnsi="Arial" w:cs="Arial"/>
        </w:rPr>
      </w:pPr>
    </w:p>
    <w:p w14:paraId="7FE785D3" w14:textId="543BB2FA" w:rsidR="00BE6D28" w:rsidRDefault="00121317" w:rsidP="0070760F">
      <w:pPr>
        <w:pStyle w:val="ListParagraph"/>
        <w:numPr>
          <w:ilvl w:val="0"/>
          <w:numId w:val="2"/>
        </w:numPr>
        <w:spacing w:line="360" w:lineRule="auto"/>
        <w:ind w:left="0" w:firstLine="0"/>
        <w:jc w:val="both"/>
        <w:rPr>
          <w:rFonts w:ascii="Arial" w:hAnsi="Arial" w:cs="Arial"/>
        </w:rPr>
      </w:pPr>
      <w:r w:rsidRPr="00BE6D28">
        <w:rPr>
          <w:rFonts w:ascii="Arial" w:eastAsia="Times New Roman" w:hAnsi="Arial" w:cs="Arial"/>
        </w:rPr>
        <w:t>David Brenner</w:t>
      </w:r>
      <w:r w:rsidR="00B95A64">
        <w:rPr>
          <w:rFonts w:ascii="Arial" w:eastAsia="Times New Roman" w:hAnsi="Arial" w:cs="Arial"/>
        </w:rPr>
        <w:t xml:space="preserve">, </w:t>
      </w:r>
      <w:r w:rsidRPr="00BE6D28">
        <w:rPr>
          <w:rFonts w:ascii="Arial" w:eastAsia="Times New Roman" w:hAnsi="Arial" w:cs="Arial"/>
        </w:rPr>
        <w:t xml:space="preserve">the CEO of </w:t>
      </w:r>
      <w:r w:rsidRPr="00BE6D28">
        <w:rPr>
          <w:rFonts w:ascii="Arial" w:eastAsia="Times New Roman" w:hAnsi="Arial" w:cs="Arial"/>
          <w:i/>
        </w:rPr>
        <w:t>Tiger’s Eye</w:t>
      </w:r>
      <w:r w:rsidRPr="00BE6D28">
        <w:rPr>
          <w:rFonts w:ascii="Arial" w:eastAsia="Times New Roman" w:hAnsi="Arial" w:cs="Arial"/>
        </w:rPr>
        <w:t xml:space="preserve"> at the time and Mr </w:t>
      </w:r>
      <w:r w:rsidR="00645C3F">
        <w:rPr>
          <w:rFonts w:ascii="Arial" w:eastAsia="Times New Roman" w:hAnsi="Arial" w:cs="Arial"/>
        </w:rPr>
        <w:t>d</w:t>
      </w:r>
      <w:r w:rsidRPr="00BE6D28">
        <w:rPr>
          <w:rFonts w:ascii="Arial" w:eastAsia="Times New Roman" w:hAnsi="Arial" w:cs="Arial"/>
        </w:rPr>
        <w:t xml:space="preserve">e Jager thus gave consideration to a structure in terms of which the Trust could participate as a bidder for Opportunity 3 based on the support and experience of Tourvest. </w:t>
      </w:r>
      <w:r w:rsidR="00B95A64">
        <w:rPr>
          <w:rFonts w:ascii="Arial" w:eastAsia="Times New Roman" w:hAnsi="Arial" w:cs="Arial"/>
        </w:rPr>
        <w:t>It was reasoned that t</w:t>
      </w:r>
      <w:r w:rsidRPr="00BE6D28">
        <w:rPr>
          <w:rFonts w:ascii="Arial" w:eastAsia="Times New Roman" w:hAnsi="Arial" w:cs="Arial"/>
        </w:rPr>
        <w:t xml:space="preserve">his would give Tourvest a stake </w:t>
      </w:r>
      <w:r w:rsidR="00315DC4" w:rsidRPr="00BE6D28">
        <w:rPr>
          <w:rFonts w:ascii="Arial" w:eastAsia="Times New Roman" w:hAnsi="Arial" w:cs="Arial"/>
        </w:rPr>
        <w:t>in the enterprise development aspect of the Tender and</w:t>
      </w:r>
      <w:r w:rsidR="00B95A64">
        <w:rPr>
          <w:rFonts w:ascii="Arial" w:eastAsia="Times New Roman" w:hAnsi="Arial" w:cs="Arial"/>
        </w:rPr>
        <w:t xml:space="preserve"> that </w:t>
      </w:r>
      <w:r w:rsidR="00315DC4" w:rsidRPr="00BE6D28">
        <w:rPr>
          <w:rFonts w:ascii="Arial" w:eastAsia="Times New Roman" w:hAnsi="Arial" w:cs="Arial"/>
        </w:rPr>
        <w:t xml:space="preserve"> the Trust </w:t>
      </w:r>
      <w:r w:rsidR="00B95A64">
        <w:rPr>
          <w:rFonts w:ascii="Arial" w:eastAsia="Times New Roman" w:hAnsi="Arial" w:cs="Arial"/>
        </w:rPr>
        <w:t>would</w:t>
      </w:r>
      <w:r w:rsidR="00315DC4" w:rsidRPr="00BE6D28">
        <w:rPr>
          <w:rFonts w:ascii="Arial" w:eastAsia="Times New Roman" w:hAnsi="Arial" w:cs="Arial"/>
        </w:rPr>
        <w:t xml:space="preserve"> benefit from the acquisition of </w:t>
      </w:r>
      <w:r w:rsidR="00BE6D28" w:rsidRPr="00BE6D28">
        <w:rPr>
          <w:rFonts w:ascii="Arial" w:hAnsi="Arial" w:cs="Arial"/>
        </w:rPr>
        <w:t>retail skills over time.</w:t>
      </w:r>
    </w:p>
    <w:p w14:paraId="2FA42CBD" w14:textId="77777777" w:rsidR="00BE6D28" w:rsidRPr="00BE6D28" w:rsidRDefault="00BE6D28" w:rsidP="00BE6D28">
      <w:pPr>
        <w:pStyle w:val="ListParagraph"/>
        <w:spacing w:line="360" w:lineRule="auto"/>
        <w:ind w:left="0"/>
        <w:jc w:val="both"/>
        <w:rPr>
          <w:rFonts w:ascii="Arial" w:hAnsi="Arial" w:cs="Arial"/>
        </w:rPr>
      </w:pPr>
    </w:p>
    <w:p w14:paraId="34945A48" w14:textId="277FB6D0" w:rsidR="00393034" w:rsidRPr="00BE6D28" w:rsidRDefault="00BE6D28" w:rsidP="0070760F">
      <w:pPr>
        <w:pStyle w:val="ListParagraph"/>
        <w:numPr>
          <w:ilvl w:val="0"/>
          <w:numId w:val="2"/>
        </w:numPr>
        <w:spacing w:line="360" w:lineRule="auto"/>
        <w:ind w:left="0" w:firstLine="0"/>
        <w:jc w:val="both"/>
        <w:rPr>
          <w:rFonts w:ascii="Arial" w:hAnsi="Arial" w:cs="Arial"/>
        </w:rPr>
      </w:pPr>
      <w:r>
        <w:rPr>
          <w:rFonts w:ascii="Arial" w:eastAsia="Times New Roman" w:hAnsi="Arial" w:cs="Arial"/>
        </w:rPr>
        <w:t>The Trust and Tourvest</w:t>
      </w:r>
      <w:r w:rsidR="00FD0BC8">
        <w:rPr>
          <w:rFonts w:ascii="Arial" w:eastAsia="Times New Roman" w:hAnsi="Arial" w:cs="Arial"/>
        </w:rPr>
        <w:t>,</w:t>
      </w:r>
      <w:r>
        <w:rPr>
          <w:rFonts w:ascii="Arial" w:eastAsia="Times New Roman" w:hAnsi="Arial" w:cs="Arial"/>
        </w:rPr>
        <w:t xml:space="preserve"> </w:t>
      </w:r>
      <w:r w:rsidR="00D05ED5">
        <w:rPr>
          <w:rFonts w:ascii="Arial" w:eastAsia="Times New Roman" w:hAnsi="Arial" w:cs="Arial"/>
        </w:rPr>
        <w:t>to this end</w:t>
      </w:r>
      <w:r w:rsidR="00FD0BC8">
        <w:rPr>
          <w:rFonts w:ascii="Arial" w:eastAsia="Times New Roman" w:hAnsi="Arial" w:cs="Arial"/>
        </w:rPr>
        <w:t>,</w:t>
      </w:r>
      <w:r>
        <w:rPr>
          <w:rFonts w:ascii="Arial" w:eastAsia="Times New Roman" w:hAnsi="Arial" w:cs="Arial"/>
        </w:rPr>
        <w:t xml:space="preserve"> entered into an agreement in terms of which they would collaborate on </w:t>
      </w:r>
      <w:r w:rsidR="00A34A95">
        <w:rPr>
          <w:rFonts w:ascii="Arial" w:eastAsia="Times New Roman" w:hAnsi="Arial" w:cs="Arial"/>
        </w:rPr>
        <w:t>the bid for Opportunity 3.</w:t>
      </w:r>
      <w:r w:rsidR="00B95A64">
        <w:rPr>
          <w:rFonts w:ascii="Arial" w:eastAsia="Times New Roman" w:hAnsi="Arial" w:cs="Arial"/>
        </w:rPr>
        <w:t xml:space="preserve"> </w:t>
      </w:r>
      <w:r w:rsidR="00A34A95">
        <w:rPr>
          <w:rFonts w:ascii="Arial" w:eastAsia="Times New Roman" w:hAnsi="Arial" w:cs="Arial"/>
        </w:rPr>
        <w:t>In terms of this agreement</w:t>
      </w:r>
      <w:r w:rsidR="00492DB5">
        <w:rPr>
          <w:rFonts w:ascii="Arial" w:eastAsia="Times New Roman" w:hAnsi="Arial" w:cs="Arial"/>
        </w:rPr>
        <w:t>,</w:t>
      </w:r>
      <w:r w:rsidR="00D939F1" w:rsidRPr="00BE6D28">
        <w:rPr>
          <w:rFonts w:ascii="Arial" w:eastAsia="Times New Roman" w:hAnsi="Arial" w:cs="Arial"/>
        </w:rPr>
        <w:t xml:space="preserve"> Tourvest would provide the necessary experience</w:t>
      </w:r>
      <w:r w:rsidR="00B95A64">
        <w:rPr>
          <w:rFonts w:ascii="Arial" w:eastAsia="Times New Roman" w:hAnsi="Arial" w:cs="Arial"/>
        </w:rPr>
        <w:t>,</w:t>
      </w:r>
      <w:r w:rsidR="00D939F1" w:rsidRPr="00BE6D28">
        <w:rPr>
          <w:rFonts w:ascii="Arial" w:eastAsia="Times New Roman" w:hAnsi="Arial" w:cs="Arial"/>
        </w:rPr>
        <w:t xml:space="preserve"> management infrastructure, technology and training required to enable</w:t>
      </w:r>
      <w:r w:rsidR="00B95A64">
        <w:rPr>
          <w:rFonts w:ascii="Arial" w:eastAsia="Times New Roman" w:hAnsi="Arial" w:cs="Arial"/>
        </w:rPr>
        <w:t xml:space="preserve"> the Trust</w:t>
      </w:r>
      <w:r w:rsidR="00D939F1" w:rsidRPr="00BE6D28">
        <w:rPr>
          <w:rFonts w:ascii="Arial" w:eastAsia="Times New Roman" w:hAnsi="Arial" w:cs="Arial"/>
        </w:rPr>
        <w:t xml:space="preserve"> to </w:t>
      </w:r>
      <w:r w:rsidR="00B95A64">
        <w:rPr>
          <w:rFonts w:ascii="Arial" w:eastAsia="Times New Roman" w:hAnsi="Arial" w:cs="Arial"/>
        </w:rPr>
        <w:t>bid for the opportunity.</w:t>
      </w:r>
    </w:p>
    <w:p w14:paraId="4AB84EE2" w14:textId="77777777" w:rsidR="00393034" w:rsidRPr="00393034" w:rsidRDefault="00393034" w:rsidP="00393034">
      <w:pPr>
        <w:pStyle w:val="ListParagraph"/>
        <w:rPr>
          <w:rFonts w:ascii="Arial" w:eastAsia="Times New Roman" w:hAnsi="Arial" w:cs="Arial"/>
        </w:rPr>
      </w:pPr>
    </w:p>
    <w:p w14:paraId="50EE1292" w14:textId="501D6B85" w:rsidR="00393034" w:rsidRPr="00B95A64" w:rsidRDefault="00D939F1" w:rsidP="00B95A64">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t xml:space="preserve"> Tourvest decided that it </w:t>
      </w:r>
      <w:r w:rsidR="00B95A64">
        <w:rPr>
          <w:rFonts w:ascii="Arial" w:eastAsia="Times New Roman" w:hAnsi="Arial" w:cs="Arial"/>
        </w:rPr>
        <w:t>would be prudent to</w:t>
      </w:r>
      <w:r w:rsidRPr="00393034">
        <w:rPr>
          <w:rFonts w:ascii="Arial" w:eastAsia="Times New Roman" w:hAnsi="Arial" w:cs="Arial"/>
        </w:rPr>
        <w:t xml:space="preserve"> submit an alternative bid to that of the Trust in its own name. Mr De Jager explained that Tourvest was concerned that ACSA might decide that the Trust’s bid did not meet the mandatory</w:t>
      </w:r>
      <w:r w:rsidR="00B95A64">
        <w:rPr>
          <w:rFonts w:ascii="Arial" w:eastAsia="Times New Roman" w:hAnsi="Arial" w:cs="Arial"/>
        </w:rPr>
        <w:t xml:space="preserve"> criteria  and i</w:t>
      </w:r>
      <w:r w:rsidR="003865F6" w:rsidRPr="00B95A64">
        <w:rPr>
          <w:rFonts w:ascii="Arial" w:eastAsia="Times New Roman" w:hAnsi="Arial" w:cs="Arial"/>
        </w:rPr>
        <w:t xml:space="preserve">f the </w:t>
      </w:r>
      <w:r w:rsidRPr="00B95A64">
        <w:rPr>
          <w:rFonts w:ascii="Arial" w:eastAsia="Times New Roman" w:hAnsi="Arial" w:cs="Arial"/>
        </w:rPr>
        <w:t>Trust were disqualified</w:t>
      </w:r>
      <w:r w:rsidR="00B95A64">
        <w:rPr>
          <w:rFonts w:ascii="Arial" w:eastAsia="Times New Roman" w:hAnsi="Arial" w:cs="Arial"/>
        </w:rPr>
        <w:t>,</w:t>
      </w:r>
      <w:r w:rsidRPr="00B95A64">
        <w:rPr>
          <w:rFonts w:ascii="Arial" w:eastAsia="Times New Roman" w:hAnsi="Arial" w:cs="Arial"/>
        </w:rPr>
        <w:t xml:space="preserve"> Tourvest </w:t>
      </w:r>
      <w:r w:rsidR="003865F6" w:rsidRPr="00B95A64">
        <w:rPr>
          <w:rFonts w:ascii="Arial" w:eastAsia="Times New Roman" w:hAnsi="Arial" w:cs="Arial"/>
        </w:rPr>
        <w:t>wanted to still be in the running</w:t>
      </w:r>
      <w:r w:rsidR="00B95A64">
        <w:rPr>
          <w:rFonts w:ascii="Arial" w:eastAsia="Times New Roman" w:hAnsi="Arial" w:cs="Arial"/>
        </w:rPr>
        <w:t xml:space="preserve"> in its own right</w:t>
      </w:r>
      <w:r w:rsidR="003865F6" w:rsidRPr="00B95A64">
        <w:rPr>
          <w:rFonts w:ascii="Arial" w:eastAsia="Times New Roman" w:hAnsi="Arial" w:cs="Arial"/>
        </w:rPr>
        <w:t>.</w:t>
      </w:r>
    </w:p>
    <w:p w14:paraId="51633FD6" w14:textId="77777777" w:rsidR="00393034" w:rsidRPr="00393034" w:rsidRDefault="00393034" w:rsidP="00393034">
      <w:pPr>
        <w:pStyle w:val="ListParagraph"/>
        <w:rPr>
          <w:rFonts w:ascii="Arial" w:eastAsia="Times New Roman" w:hAnsi="Arial" w:cs="Arial"/>
        </w:rPr>
      </w:pPr>
    </w:p>
    <w:p w14:paraId="50F42628" w14:textId="50B6ED34" w:rsidR="00393034" w:rsidRPr="00C62F32" w:rsidRDefault="00D60AB3" w:rsidP="00C62F32">
      <w:pPr>
        <w:pStyle w:val="ListParagraph"/>
        <w:numPr>
          <w:ilvl w:val="0"/>
          <w:numId w:val="2"/>
        </w:numPr>
        <w:spacing w:line="360" w:lineRule="auto"/>
        <w:ind w:left="0" w:firstLine="0"/>
        <w:jc w:val="both"/>
        <w:rPr>
          <w:rFonts w:ascii="Arial" w:hAnsi="Arial" w:cs="Arial"/>
        </w:rPr>
      </w:pPr>
      <w:r>
        <w:rPr>
          <w:rFonts w:ascii="Arial" w:eastAsia="Times New Roman" w:hAnsi="Arial" w:cs="Arial"/>
        </w:rPr>
        <w:t>Mr de Jager and Ms Zimmerman testified that the</w:t>
      </w:r>
      <w:r w:rsidR="003E5FC7">
        <w:rPr>
          <w:rFonts w:ascii="Arial" w:eastAsia="Times New Roman" w:hAnsi="Arial" w:cs="Arial"/>
        </w:rPr>
        <w:t xml:space="preserve"> object of </w:t>
      </w:r>
      <w:r>
        <w:rPr>
          <w:rFonts w:ascii="Arial" w:eastAsia="Times New Roman" w:hAnsi="Arial" w:cs="Arial"/>
        </w:rPr>
        <w:t xml:space="preserve"> providing </w:t>
      </w:r>
      <w:r w:rsidR="003E5FC7">
        <w:rPr>
          <w:rFonts w:ascii="Arial" w:eastAsia="Times New Roman" w:hAnsi="Arial" w:cs="Arial"/>
        </w:rPr>
        <w:t>bids by</w:t>
      </w:r>
      <w:r w:rsidR="00D939F1" w:rsidRPr="00393034">
        <w:rPr>
          <w:rFonts w:ascii="Arial" w:eastAsia="Times New Roman" w:hAnsi="Arial" w:cs="Arial"/>
        </w:rPr>
        <w:t xml:space="preserve"> Tourvest and the Trust</w:t>
      </w:r>
      <w:r w:rsidR="003E5FC7">
        <w:rPr>
          <w:rFonts w:ascii="Arial" w:eastAsia="Times New Roman" w:hAnsi="Arial" w:cs="Arial"/>
        </w:rPr>
        <w:t xml:space="preserve"> was</w:t>
      </w:r>
      <w:r w:rsidR="00D939F1" w:rsidRPr="00393034">
        <w:rPr>
          <w:rFonts w:ascii="Arial" w:eastAsia="Times New Roman" w:hAnsi="Arial" w:cs="Arial"/>
        </w:rPr>
        <w:t xml:space="preserve"> to offer ACSA a choice</w:t>
      </w:r>
      <w:r w:rsidR="00B95A64">
        <w:rPr>
          <w:rFonts w:ascii="Arial" w:eastAsia="Times New Roman" w:hAnsi="Arial" w:cs="Arial"/>
        </w:rPr>
        <w:t>. It could</w:t>
      </w:r>
      <w:r w:rsidR="00D939F1" w:rsidRPr="00393034">
        <w:rPr>
          <w:rFonts w:ascii="Arial" w:eastAsia="Times New Roman" w:hAnsi="Arial" w:cs="Arial"/>
        </w:rPr>
        <w:t xml:space="preserve"> either award the bid to a rural craft enterprise development initiative in the form of the Trust (with </w:t>
      </w:r>
      <w:r w:rsidR="00393034" w:rsidRPr="00393034">
        <w:rPr>
          <w:rFonts w:ascii="Arial" w:eastAsia="Times New Roman" w:hAnsi="Arial" w:cs="Arial"/>
        </w:rPr>
        <w:t>initial</w:t>
      </w:r>
      <w:r w:rsidR="00D939F1" w:rsidRPr="00393034">
        <w:rPr>
          <w:rFonts w:ascii="Arial" w:eastAsia="Times New Roman" w:hAnsi="Arial" w:cs="Arial"/>
        </w:rPr>
        <w:t xml:space="preserve"> </w:t>
      </w:r>
      <w:r w:rsidR="00D939F1" w:rsidRPr="00393034">
        <w:rPr>
          <w:rFonts w:ascii="Arial" w:eastAsia="Times New Roman" w:hAnsi="Arial" w:cs="Arial"/>
        </w:rPr>
        <w:lastRenderedPageBreak/>
        <w:t>management, support, qualifications and experience to be provided to the Trust by Tourvest)</w:t>
      </w:r>
      <w:r w:rsidR="00DD39CA">
        <w:rPr>
          <w:rFonts w:ascii="Arial" w:eastAsia="Times New Roman" w:hAnsi="Arial" w:cs="Arial"/>
        </w:rPr>
        <w:t xml:space="preserve"> </w:t>
      </w:r>
      <w:r w:rsidR="00D939F1" w:rsidRPr="00393034">
        <w:rPr>
          <w:rFonts w:ascii="Arial" w:eastAsia="Times New Roman" w:hAnsi="Arial" w:cs="Arial"/>
        </w:rPr>
        <w:t xml:space="preserve">or to a well-established retailer with a proven track record at ORTIA, being Tourvest. </w:t>
      </w:r>
    </w:p>
    <w:p w14:paraId="491417EA" w14:textId="77777777" w:rsidR="007E0D1C" w:rsidRPr="00393034" w:rsidRDefault="007E0D1C" w:rsidP="00393034">
      <w:pPr>
        <w:pStyle w:val="ListParagraph"/>
        <w:rPr>
          <w:rFonts w:ascii="Arial" w:eastAsia="Times New Roman" w:hAnsi="Arial" w:cs="Arial"/>
        </w:rPr>
      </w:pPr>
    </w:p>
    <w:p w14:paraId="44EA09A7" w14:textId="5ACB8CC9" w:rsidR="00393034" w:rsidRDefault="00472219" w:rsidP="0070760F">
      <w:pPr>
        <w:pStyle w:val="ListParagraph"/>
        <w:numPr>
          <w:ilvl w:val="0"/>
          <w:numId w:val="2"/>
        </w:numPr>
        <w:spacing w:line="360" w:lineRule="auto"/>
        <w:ind w:left="0" w:firstLine="0"/>
        <w:jc w:val="both"/>
        <w:rPr>
          <w:rFonts w:ascii="Arial" w:eastAsia="Times New Roman" w:hAnsi="Arial" w:cs="Arial"/>
        </w:rPr>
      </w:pPr>
      <w:r>
        <w:rPr>
          <w:rFonts w:ascii="Arial" w:eastAsia="Times New Roman" w:hAnsi="Arial" w:cs="Arial"/>
        </w:rPr>
        <w:t>The Trust was assisted by Tourvest i</w:t>
      </w:r>
      <w:r w:rsidR="007E0D1C">
        <w:rPr>
          <w:rFonts w:ascii="Arial" w:eastAsia="Times New Roman" w:hAnsi="Arial" w:cs="Arial"/>
        </w:rPr>
        <w:t xml:space="preserve">n the </w:t>
      </w:r>
      <w:r w:rsidR="001A5C13">
        <w:rPr>
          <w:rFonts w:ascii="Arial" w:eastAsia="Times New Roman" w:hAnsi="Arial" w:cs="Arial"/>
        </w:rPr>
        <w:t>comp</w:t>
      </w:r>
      <w:r>
        <w:rPr>
          <w:rFonts w:ascii="Arial" w:eastAsia="Times New Roman" w:hAnsi="Arial" w:cs="Arial"/>
        </w:rPr>
        <w:t>iling of its bid</w:t>
      </w:r>
      <w:r w:rsidR="007E0D1C">
        <w:rPr>
          <w:rFonts w:ascii="Arial" w:eastAsia="Times New Roman" w:hAnsi="Arial" w:cs="Arial"/>
        </w:rPr>
        <w:t xml:space="preserve"> </w:t>
      </w:r>
      <w:r>
        <w:rPr>
          <w:rFonts w:ascii="Arial" w:eastAsia="Times New Roman" w:hAnsi="Arial" w:cs="Arial"/>
        </w:rPr>
        <w:t>and</w:t>
      </w:r>
      <w:r w:rsidR="00D55632" w:rsidRPr="00D55632">
        <w:rPr>
          <w:rFonts w:ascii="Arial" w:eastAsia="Times New Roman" w:hAnsi="Arial" w:cs="Arial"/>
        </w:rPr>
        <w:t xml:space="preserve"> specifically the calculation of the rental proposed</w:t>
      </w:r>
      <w:r w:rsidR="00D939F1" w:rsidRPr="00D55632">
        <w:rPr>
          <w:rFonts w:ascii="Arial" w:eastAsia="Times New Roman" w:hAnsi="Arial" w:cs="Arial"/>
        </w:rPr>
        <w:t xml:space="preserve">. </w:t>
      </w:r>
    </w:p>
    <w:p w14:paraId="37D24AEB" w14:textId="68E7C1D7" w:rsidR="00D55632" w:rsidRPr="00D55632" w:rsidRDefault="00D55632" w:rsidP="00D55632">
      <w:pPr>
        <w:pStyle w:val="ListParagraph"/>
        <w:spacing w:line="360" w:lineRule="auto"/>
        <w:ind w:left="0"/>
        <w:jc w:val="both"/>
        <w:rPr>
          <w:rFonts w:ascii="Arial" w:eastAsia="Times New Roman" w:hAnsi="Arial" w:cs="Arial"/>
        </w:rPr>
      </w:pPr>
    </w:p>
    <w:p w14:paraId="39EB433A" w14:textId="0DDED43D" w:rsidR="00393034" w:rsidRPr="00472219" w:rsidRDefault="00A6000E" w:rsidP="00472219">
      <w:pPr>
        <w:pStyle w:val="ListParagraph"/>
        <w:numPr>
          <w:ilvl w:val="0"/>
          <w:numId w:val="2"/>
        </w:numPr>
        <w:spacing w:line="360" w:lineRule="auto"/>
        <w:ind w:left="0" w:firstLine="0"/>
        <w:jc w:val="both"/>
        <w:rPr>
          <w:rFonts w:ascii="Arial" w:eastAsia="Times New Roman" w:hAnsi="Arial" w:cs="Arial"/>
        </w:rPr>
      </w:pPr>
      <w:r w:rsidRPr="00472219">
        <w:rPr>
          <w:rFonts w:ascii="Arial" w:eastAsia="Times New Roman" w:hAnsi="Arial" w:cs="Arial"/>
        </w:rPr>
        <w:t>A</w:t>
      </w:r>
      <w:r w:rsidR="00D939F1" w:rsidRPr="00472219">
        <w:rPr>
          <w:rFonts w:ascii="Arial" w:eastAsia="Times New Roman" w:hAnsi="Arial" w:cs="Arial"/>
        </w:rPr>
        <w:t xml:space="preserve"> Memorandum of Understanding (“M</w:t>
      </w:r>
      <w:r w:rsidR="00BA17A4" w:rsidRPr="00472219">
        <w:rPr>
          <w:rFonts w:ascii="Arial" w:eastAsia="Times New Roman" w:hAnsi="Arial" w:cs="Arial"/>
        </w:rPr>
        <w:t>o</w:t>
      </w:r>
      <w:r w:rsidR="00D939F1" w:rsidRPr="00472219">
        <w:rPr>
          <w:rFonts w:ascii="Arial" w:eastAsia="Times New Roman" w:hAnsi="Arial" w:cs="Arial"/>
        </w:rPr>
        <w:t>U”)</w:t>
      </w:r>
      <w:r w:rsidR="005060CE">
        <w:rPr>
          <w:rFonts w:ascii="Arial" w:eastAsia="Times New Roman" w:hAnsi="Arial" w:cs="Arial"/>
        </w:rPr>
        <w:t xml:space="preserve"> which detailed</w:t>
      </w:r>
      <w:r w:rsidRPr="00472219">
        <w:rPr>
          <w:rFonts w:ascii="Arial" w:eastAsia="Times New Roman" w:hAnsi="Arial" w:cs="Arial"/>
        </w:rPr>
        <w:t xml:space="preserve"> how the collaboration would be orchestrated </w:t>
      </w:r>
      <w:r w:rsidR="00B95A64">
        <w:rPr>
          <w:rFonts w:ascii="Arial" w:eastAsia="Times New Roman" w:hAnsi="Arial" w:cs="Arial"/>
        </w:rPr>
        <w:t xml:space="preserve">was concluded. </w:t>
      </w:r>
      <w:r w:rsidR="00FD0BC8">
        <w:rPr>
          <w:rFonts w:ascii="Arial" w:eastAsia="Times New Roman" w:hAnsi="Arial" w:cs="Arial"/>
        </w:rPr>
        <w:t>The MoU</w:t>
      </w:r>
      <w:r w:rsidR="00B95A64">
        <w:rPr>
          <w:rFonts w:ascii="Arial" w:eastAsia="Times New Roman" w:hAnsi="Arial" w:cs="Arial"/>
        </w:rPr>
        <w:t xml:space="preserve"> was submitted</w:t>
      </w:r>
      <w:r w:rsidR="001A5C13" w:rsidRPr="00472219">
        <w:rPr>
          <w:rFonts w:ascii="Arial" w:eastAsia="Times New Roman" w:hAnsi="Arial" w:cs="Arial"/>
        </w:rPr>
        <w:t xml:space="preserve">  </w:t>
      </w:r>
      <w:r w:rsidR="00B95A64">
        <w:rPr>
          <w:rFonts w:ascii="Arial" w:eastAsia="Times New Roman" w:hAnsi="Arial" w:cs="Arial"/>
        </w:rPr>
        <w:t>as part of the</w:t>
      </w:r>
      <w:r w:rsidR="00D939F1" w:rsidRPr="00472219">
        <w:rPr>
          <w:rFonts w:ascii="Arial" w:eastAsia="Times New Roman" w:hAnsi="Arial" w:cs="Arial"/>
        </w:rPr>
        <w:t xml:space="preserve"> bid documents.</w:t>
      </w:r>
      <w:r w:rsidR="007E0D1C" w:rsidRPr="00472219">
        <w:rPr>
          <w:rFonts w:ascii="Arial" w:eastAsia="Times New Roman" w:hAnsi="Arial" w:cs="Arial"/>
        </w:rPr>
        <w:t xml:space="preserve"> </w:t>
      </w:r>
      <w:r w:rsidR="00472219">
        <w:rPr>
          <w:rFonts w:ascii="Arial" w:eastAsia="Times New Roman" w:hAnsi="Arial" w:cs="Arial"/>
        </w:rPr>
        <w:t>In terms of th</w:t>
      </w:r>
      <w:r w:rsidR="00B95A64">
        <w:rPr>
          <w:rFonts w:ascii="Arial" w:eastAsia="Times New Roman" w:hAnsi="Arial" w:cs="Arial"/>
        </w:rPr>
        <w:t>is</w:t>
      </w:r>
      <w:r w:rsidR="00472219">
        <w:rPr>
          <w:rFonts w:ascii="Arial" w:eastAsia="Times New Roman" w:hAnsi="Arial" w:cs="Arial"/>
        </w:rPr>
        <w:t xml:space="preserve"> agreement</w:t>
      </w:r>
      <w:r w:rsidR="005C54F0">
        <w:rPr>
          <w:rFonts w:ascii="Arial" w:eastAsia="Times New Roman" w:hAnsi="Arial" w:cs="Arial"/>
        </w:rPr>
        <w:t>,</w:t>
      </w:r>
      <w:r w:rsidR="00472219">
        <w:rPr>
          <w:rFonts w:ascii="Arial" w:eastAsia="Times New Roman" w:hAnsi="Arial" w:cs="Arial"/>
        </w:rPr>
        <w:t xml:space="preserve"> all</w:t>
      </w:r>
      <w:r w:rsidR="00D939F1" w:rsidRPr="00472219">
        <w:rPr>
          <w:rFonts w:ascii="Arial" w:eastAsia="Times New Roman" w:hAnsi="Arial" w:cs="Arial"/>
        </w:rPr>
        <w:t xml:space="preserve"> aspects of managing the Opportunity 3 stores would</w:t>
      </w:r>
      <w:r w:rsidR="00B95A64">
        <w:rPr>
          <w:rFonts w:ascii="Arial" w:eastAsia="Times New Roman" w:hAnsi="Arial" w:cs="Arial"/>
        </w:rPr>
        <w:t>,</w:t>
      </w:r>
      <w:r w:rsidR="00D939F1" w:rsidRPr="00472219">
        <w:rPr>
          <w:rFonts w:ascii="Arial" w:eastAsia="Times New Roman" w:hAnsi="Arial" w:cs="Arial"/>
        </w:rPr>
        <w:t xml:space="preserve"> initially</w:t>
      </w:r>
      <w:r w:rsidR="00B95A64">
        <w:rPr>
          <w:rFonts w:ascii="Arial" w:eastAsia="Times New Roman" w:hAnsi="Arial" w:cs="Arial"/>
        </w:rPr>
        <w:t>,</w:t>
      </w:r>
      <w:r w:rsidR="00D939F1" w:rsidRPr="00472219">
        <w:rPr>
          <w:rFonts w:ascii="Arial" w:eastAsia="Times New Roman" w:hAnsi="Arial" w:cs="Arial"/>
        </w:rPr>
        <w:t xml:space="preserve"> be conducted by Tourvest. However, Tourvest would provide skills transfer and capacity to the Trust</w:t>
      </w:r>
      <w:r w:rsidR="00B95A64">
        <w:rPr>
          <w:rFonts w:ascii="Arial" w:eastAsia="Times New Roman" w:hAnsi="Arial" w:cs="Arial"/>
        </w:rPr>
        <w:t xml:space="preserve"> and</w:t>
      </w:r>
      <w:r w:rsidR="00D939F1" w:rsidRPr="00472219">
        <w:rPr>
          <w:rFonts w:ascii="Arial" w:eastAsia="Times New Roman" w:hAnsi="Arial" w:cs="Arial"/>
        </w:rPr>
        <w:t>, once the Trust had developed the necessary expertise to operate the stores on its own, th</w:t>
      </w:r>
      <w:r w:rsidR="00B95A64">
        <w:rPr>
          <w:rFonts w:ascii="Arial" w:eastAsia="Times New Roman" w:hAnsi="Arial" w:cs="Arial"/>
        </w:rPr>
        <w:t>e</w:t>
      </w:r>
      <w:r w:rsidR="00D939F1" w:rsidRPr="00472219">
        <w:rPr>
          <w:rFonts w:ascii="Arial" w:eastAsia="Times New Roman" w:hAnsi="Arial" w:cs="Arial"/>
        </w:rPr>
        <w:t xml:space="preserve"> managerial responsibility would be</w:t>
      </w:r>
      <w:r w:rsidR="00B95A64">
        <w:rPr>
          <w:rFonts w:ascii="Arial" w:eastAsia="Times New Roman" w:hAnsi="Arial" w:cs="Arial"/>
        </w:rPr>
        <w:t xml:space="preserve"> assumed by</w:t>
      </w:r>
      <w:r w:rsidR="00D939F1" w:rsidRPr="00472219">
        <w:rPr>
          <w:rFonts w:ascii="Arial" w:eastAsia="Times New Roman" w:hAnsi="Arial" w:cs="Arial"/>
        </w:rPr>
        <w:t xml:space="preserve">  the Trust. It was expected that this hand-over would take place in the third year of the business.</w:t>
      </w:r>
      <w:r w:rsidR="009B7FF0" w:rsidRPr="00472219">
        <w:rPr>
          <w:rFonts w:ascii="Arial" w:eastAsia="Times New Roman" w:hAnsi="Arial" w:cs="Arial"/>
          <w:position w:val="8"/>
        </w:rPr>
        <w:t xml:space="preserve"> </w:t>
      </w:r>
      <w:r w:rsidR="00D939F1" w:rsidRPr="00472219">
        <w:rPr>
          <w:rFonts w:ascii="Arial" w:eastAsia="Times New Roman" w:hAnsi="Arial" w:cs="Arial"/>
        </w:rPr>
        <w:t>Tourvest would receive a management fee equivalent to 7.5% of the turnover of the Opportunity 3 business for all aspects of managing the business</w:t>
      </w:r>
      <w:r w:rsidR="00B95A64">
        <w:rPr>
          <w:rFonts w:ascii="Arial" w:eastAsia="Times New Roman" w:hAnsi="Arial" w:cs="Arial"/>
        </w:rPr>
        <w:t>,</w:t>
      </w:r>
      <w:r w:rsidR="00B11D66" w:rsidRPr="00472219">
        <w:rPr>
          <w:rFonts w:ascii="Arial" w:eastAsia="Times New Roman" w:hAnsi="Arial" w:cs="Arial"/>
        </w:rPr>
        <w:t xml:space="preserve"> including</w:t>
      </w:r>
      <w:r w:rsidR="00D939F1" w:rsidRPr="00472219">
        <w:rPr>
          <w:rFonts w:ascii="Arial" w:eastAsia="Times New Roman" w:hAnsi="Arial" w:cs="Arial"/>
        </w:rPr>
        <w:t xml:space="preserve"> </w:t>
      </w:r>
      <w:r w:rsidR="00D939F1" w:rsidRPr="00472219">
        <w:rPr>
          <w:rFonts w:ascii="Arial" w:eastAsia="Times New Roman" w:hAnsi="Arial" w:cs="Arial"/>
          <w:iCs/>
        </w:rPr>
        <w:t>product range planning, pricing strategy, retail operations</w:t>
      </w:r>
      <w:r w:rsidR="00F902AD">
        <w:rPr>
          <w:rFonts w:ascii="Arial" w:eastAsia="Times New Roman" w:hAnsi="Arial" w:cs="Arial"/>
        </w:rPr>
        <w:t xml:space="preserve"> and </w:t>
      </w:r>
      <w:r w:rsidR="00D939F1" w:rsidRPr="00472219">
        <w:rPr>
          <w:rFonts w:ascii="Arial" w:eastAsia="Times New Roman" w:hAnsi="Arial" w:cs="Arial"/>
          <w:iCs/>
        </w:rPr>
        <w:t>warehousing and distribution</w:t>
      </w:r>
      <w:r w:rsidR="00B11D66" w:rsidRPr="00472219">
        <w:rPr>
          <w:rFonts w:ascii="Arial" w:eastAsia="Times New Roman" w:hAnsi="Arial" w:cs="Arial"/>
        </w:rPr>
        <w:t>.</w:t>
      </w:r>
    </w:p>
    <w:p w14:paraId="254026EC" w14:textId="77777777" w:rsidR="00393034" w:rsidRPr="00393034" w:rsidRDefault="00393034" w:rsidP="00393034">
      <w:pPr>
        <w:pStyle w:val="ListParagraph"/>
        <w:rPr>
          <w:rFonts w:ascii="Arial" w:eastAsia="Times New Roman" w:hAnsi="Arial" w:cs="Arial"/>
        </w:rPr>
      </w:pPr>
    </w:p>
    <w:p w14:paraId="3435113A" w14:textId="24DE4EBD" w:rsidR="005D0519" w:rsidRPr="005D0519" w:rsidRDefault="00393034" w:rsidP="005D0519">
      <w:pPr>
        <w:pStyle w:val="ListParagraph"/>
        <w:numPr>
          <w:ilvl w:val="0"/>
          <w:numId w:val="2"/>
        </w:numPr>
        <w:spacing w:line="360" w:lineRule="auto"/>
        <w:ind w:left="0" w:firstLine="0"/>
        <w:jc w:val="both"/>
        <w:rPr>
          <w:rFonts w:ascii="Arial" w:hAnsi="Arial" w:cs="Arial"/>
        </w:rPr>
      </w:pPr>
      <w:r>
        <w:rPr>
          <w:rFonts w:ascii="Arial" w:eastAsia="Times New Roman" w:hAnsi="Arial" w:cs="Arial"/>
        </w:rPr>
        <w:t>C</w:t>
      </w:r>
      <w:r w:rsidR="00D939F1" w:rsidRPr="00393034">
        <w:rPr>
          <w:rFonts w:ascii="Arial" w:eastAsia="Times New Roman" w:hAnsi="Arial" w:cs="Arial"/>
        </w:rPr>
        <w:t xml:space="preserve">lause 16 </w:t>
      </w:r>
      <w:r w:rsidR="00DD39CA">
        <w:rPr>
          <w:rFonts w:ascii="Arial" w:eastAsia="Times New Roman" w:hAnsi="Arial" w:cs="Arial"/>
        </w:rPr>
        <w:t xml:space="preserve">of </w:t>
      </w:r>
      <w:r w:rsidR="00D939F1" w:rsidRPr="00393034">
        <w:rPr>
          <w:rFonts w:ascii="Arial" w:eastAsia="Times New Roman" w:hAnsi="Arial" w:cs="Arial"/>
        </w:rPr>
        <w:t xml:space="preserve">MOU </w:t>
      </w:r>
      <w:r w:rsidR="00F902AD">
        <w:rPr>
          <w:rFonts w:ascii="Arial" w:eastAsia="Times New Roman" w:hAnsi="Arial" w:cs="Arial"/>
        </w:rPr>
        <w:t>read</w:t>
      </w:r>
      <w:r w:rsidR="005C54F0">
        <w:rPr>
          <w:rFonts w:ascii="Arial" w:eastAsia="Times New Roman" w:hAnsi="Arial" w:cs="Arial"/>
        </w:rPr>
        <w:t>s</w:t>
      </w:r>
      <w:r w:rsidR="00F902AD">
        <w:rPr>
          <w:rFonts w:ascii="Arial" w:eastAsia="Times New Roman" w:hAnsi="Arial" w:cs="Arial"/>
        </w:rPr>
        <w:t xml:space="preserve"> as follows</w:t>
      </w:r>
      <w:r w:rsidR="00D939F1" w:rsidRPr="00393034">
        <w:rPr>
          <w:rFonts w:ascii="Arial" w:eastAsia="Times New Roman" w:hAnsi="Arial" w:cs="Arial"/>
        </w:rPr>
        <w:t xml:space="preserve">: </w:t>
      </w:r>
    </w:p>
    <w:p w14:paraId="47C8EEF1" w14:textId="2A09EFD5" w:rsidR="00393034" w:rsidRPr="00F902AD" w:rsidRDefault="00393034" w:rsidP="00F902AD">
      <w:pPr>
        <w:pStyle w:val="ListParagraph"/>
        <w:spacing w:line="360" w:lineRule="auto"/>
        <w:ind w:left="0"/>
        <w:jc w:val="both"/>
        <w:rPr>
          <w:rFonts w:ascii="Arial" w:hAnsi="Arial" w:cs="Arial"/>
          <w:sz w:val="22"/>
          <w:szCs w:val="22"/>
        </w:rPr>
      </w:pPr>
      <w:r w:rsidRPr="00F902AD">
        <w:rPr>
          <w:rFonts w:ascii="Arial" w:eastAsia="Times New Roman" w:hAnsi="Arial" w:cs="Arial"/>
          <w:b/>
          <w:bCs/>
          <w:iCs/>
        </w:rPr>
        <w:br/>
      </w:r>
      <w:r w:rsidR="005D0519" w:rsidRPr="00F902AD">
        <w:rPr>
          <w:rFonts w:ascii="Arial" w:eastAsia="Times New Roman" w:hAnsi="Arial" w:cs="Arial"/>
          <w:iCs/>
          <w:sz w:val="22"/>
          <w:szCs w:val="22"/>
        </w:rPr>
        <w:t>’</w:t>
      </w:r>
      <w:r w:rsidR="00B11D66" w:rsidRPr="00F902AD">
        <w:rPr>
          <w:rFonts w:ascii="Arial" w:eastAsia="Times New Roman" w:hAnsi="Arial" w:cs="Arial"/>
          <w:iCs/>
          <w:sz w:val="22"/>
          <w:szCs w:val="22"/>
        </w:rPr>
        <w:t>16</w:t>
      </w:r>
      <w:r w:rsidR="005D0519" w:rsidRPr="00F902AD">
        <w:rPr>
          <w:rFonts w:ascii="Arial" w:eastAsia="Times New Roman" w:hAnsi="Arial" w:cs="Arial"/>
          <w:iCs/>
          <w:sz w:val="22"/>
          <w:szCs w:val="22"/>
        </w:rPr>
        <w:t>.</w:t>
      </w:r>
      <w:r w:rsidR="00B11D66" w:rsidRPr="00F902AD">
        <w:rPr>
          <w:rFonts w:ascii="Arial" w:eastAsia="Times New Roman" w:hAnsi="Arial" w:cs="Arial"/>
          <w:iCs/>
          <w:sz w:val="22"/>
          <w:szCs w:val="22"/>
        </w:rPr>
        <w:t xml:space="preserve"> </w:t>
      </w:r>
      <w:r w:rsidRPr="00F902AD">
        <w:rPr>
          <w:rFonts w:ascii="Arial" w:eastAsia="Times New Roman" w:hAnsi="Arial" w:cs="Arial"/>
          <w:iCs/>
          <w:sz w:val="22"/>
          <w:szCs w:val="22"/>
        </w:rPr>
        <w:t xml:space="preserve">The parties hereby note that they are aware of and agreed to the following aspects of the proposed tender for opportunity 3: </w:t>
      </w:r>
    </w:p>
    <w:p w14:paraId="0283635A" w14:textId="77777777" w:rsidR="00393034" w:rsidRPr="00F902AD" w:rsidRDefault="00393034" w:rsidP="00B11D66">
      <w:pPr>
        <w:spacing w:before="100" w:beforeAutospacing="1" w:after="100" w:afterAutospacing="1" w:line="240" w:lineRule="auto"/>
        <w:ind w:left="1440"/>
        <w:jc w:val="both"/>
        <w:rPr>
          <w:rFonts w:ascii="Arial" w:eastAsia="Times New Roman" w:hAnsi="Arial" w:cs="Arial"/>
        </w:rPr>
      </w:pPr>
      <w:r w:rsidRPr="00F902AD">
        <w:rPr>
          <w:rFonts w:ascii="Arial" w:eastAsia="Times New Roman" w:hAnsi="Arial" w:cs="Arial"/>
          <w:iCs/>
        </w:rPr>
        <w:t xml:space="preserve">16.1  Tourvest is tendering for the same opportunity in its own right as the 100% shareholder. </w:t>
      </w:r>
    </w:p>
    <w:p w14:paraId="17B64C3F" w14:textId="5FBEC780" w:rsidR="005D0519" w:rsidRPr="00C62F32" w:rsidRDefault="005060CE" w:rsidP="00C62F32">
      <w:pPr>
        <w:spacing w:before="100" w:beforeAutospacing="1" w:after="100" w:afterAutospacing="1" w:line="240" w:lineRule="auto"/>
        <w:ind w:left="1440"/>
        <w:jc w:val="both"/>
        <w:rPr>
          <w:rFonts w:ascii="Arial" w:eastAsia="Times New Roman" w:hAnsi="Arial" w:cs="Arial"/>
          <w:iCs/>
        </w:rPr>
      </w:pPr>
      <w:r>
        <w:rPr>
          <w:rFonts w:ascii="Arial" w:eastAsia="Times New Roman" w:hAnsi="Arial" w:cs="Arial"/>
          <w:iCs/>
        </w:rPr>
        <w:t>16.2 T</w:t>
      </w:r>
      <w:r w:rsidR="00393034" w:rsidRPr="00F902AD">
        <w:rPr>
          <w:rFonts w:ascii="Arial" w:eastAsia="Times New Roman" w:hAnsi="Arial" w:cs="Arial"/>
          <w:iCs/>
        </w:rPr>
        <w:t>he rental proposal for the tender proposed in this agreement shall be the</w:t>
      </w:r>
      <w:r w:rsidR="00393034" w:rsidRPr="005D0519">
        <w:rPr>
          <w:rFonts w:ascii="Arial" w:eastAsia="Times New Roman" w:hAnsi="Arial" w:cs="Arial"/>
          <w:iCs/>
        </w:rPr>
        <w:t xml:space="preserve"> same as that offered by the Tourvest tender referred to in 16.1 above.”</w:t>
      </w:r>
    </w:p>
    <w:p w14:paraId="369CDE98" w14:textId="5F7EF3DD" w:rsidR="00393034" w:rsidRPr="00393034" w:rsidRDefault="005D0519" w:rsidP="00393034">
      <w:pPr>
        <w:pStyle w:val="ListParagraph"/>
        <w:numPr>
          <w:ilvl w:val="0"/>
          <w:numId w:val="2"/>
        </w:numPr>
        <w:spacing w:line="360" w:lineRule="auto"/>
        <w:ind w:left="0" w:firstLine="0"/>
        <w:jc w:val="both"/>
        <w:rPr>
          <w:rFonts w:ascii="Arial" w:hAnsi="Arial" w:cs="Arial"/>
        </w:rPr>
      </w:pPr>
      <w:r>
        <w:rPr>
          <w:rFonts w:ascii="Arial" w:eastAsia="Times New Roman" w:hAnsi="Arial" w:cs="Arial"/>
        </w:rPr>
        <w:t>Thus</w:t>
      </w:r>
      <w:r w:rsidR="005C54F0">
        <w:rPr>
          <w:rFonts w:ascii="Arial" w:eastAsia="Times New Roman" w:hAnsi="Arial" w:cs="Arial"/>
        </w:rPr>
        <w:t>,</w:t>
      </w:r>
      <w:r>
        <w:rPr>
          <w:rFonts w:ascii="Arial" w:eastAsia="Times New Roman" w:hAnsi="Arial" w:cs="Arial"/>
        </w:rPr>
        <w:t xml:space="preserve"> </w:t>
      </w:r>
      <w:r w:rsidR="00B95A64">
        <w:rPr>
          <w:rFonts w:ascii="Arial" w:eastAsia="Times New Roman" w:hAnsi="Arial" w:cs="Arial"/>
        </w:rPr>
        <w:t xml:space="preserve">it was </w:t>
      </w:r>
      <w:r>
        <w:rPr>
          <w:rFonts w:ascii="Arial" w:eastAsia="Times New Roman" w:hAnsi="Arial" w:cs="Arial"/>
        </w:rPr>
        <w:t>stated</w:t>
      </w:r>
      <w:r w:rsidR="00D939F1" w:rsidRPr="00393034">
        <w:rPr>
          <w:rFonts w:ascii="Arial" w:eastAsia="Times New Roman" w:hAnsi="Arial" w:cs="Arial"/>
        </w:rPr>
        <w:t xml:space="preserve"> in the MOU </w:t>
      </w:r>
      <w:r>
        <w:rPr>
          <w:rFonts w:ascii="Arial" w:eastAsia="Times New Roman" w:hAnsi="Arial" w:cs="Arial"/>
        </w:rPr>
        <w:t xml:space="preserve">in clear terms </w:t>
      </w:r>
      <w:r w:rsidR="00D939F1" w:rsidRPr="00393034">
        <w:rPr>
          <w:rFonts w:ascii="Arial" w:eastAsia="Times New Roman" w:hAnsi="Arial" w:cs="Arial"/>
        </w:rPr>
        <w:t xml:space="preserve">that Tourvest would be submitting a separate bid for Opportunity 3 in its own name and that the rental proposed in the Trust’s bid would be the same as that in Tourvest’s bid. </w:t>
      </w:r>
    </w:p>
    <w:p w14:paraId="5B96CA84" w14:textId="77777777" w:rsidR="00393034" w:rsidRPr="00393034" w:rsidRDefault="00393034" w:rsidP="00393034">
      <w:pPr>
        <w:pStyle w:val="ListParagraph"/>
        <w:spacing w:line="360" w:lineRule="auto"/>
        <w:ind w:left="0"/>
        <w:jc w:val="both"/>
        <w:rPr>
          <w:rFonts w:ascii="Arial" w:hAnsi="Arial" w:cs="Arial"/>
        </w:rPr>
      </w:pPr>
    </w:p>
    <w:p w14:paraId="6EE4D720" w14:textId="3E6D1EA1" w:rsidR="00393034" w:rsidRPr="00B4517C" w:rsidRDefault="00D939F1" w:rsidP="00B4517C">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t xml:space="preserve">Mr </w:t>
      </w:r>
      <w:r w:rsidR="00340762">
        <w:rPr>
          <w:rFonts w:ascii="Arial" w:eastAsia="Times New Roman" w:hAnsi="Arial" w:cs="Arial"/>
        </w:rPr>
        <w:t>d</w:t>
      </w:r>
      <w:r w:rsidRPr="00393034">
        <w:rPr>
          <w:rFonts w:ascii="Arial" w:eastAsia="Times New Roman" w:hAnsi="Arial" w:cs="Arial"/>
        </w:rPr>
        <w:t xml:space="preserve">e Jager explained </w:t>
      </w:r>
      <w:r w:rsidR="005C54F0">
        <w:rPr>
          <w:rFonts w:ascii="Arial" w:eastAsia="Times New Roman" w:hAnsi="Arial" w:cs="Arial"/>
        </w:rPr>
        <w:t xml:space="preserve">that </w:t>
      </w:r>
      <w:r w:rsidR="00AA78DD">
        <w:rPr>
          <w:rFonts w:ascii="Arial" w:eastAsia="Times New Roman" w:hAnsi="Arial" w:cs="Arial"/>
        </w:rPr>
        <w:t xml:space="preserve">the rental </w:t>
      </w:r>
      <w:r w:rsidR="00B95A64">
        <w:rPr>
          <w:rFonts w:ascii="Arial" w:eastAsia="Times New Roman" w:hAnsi="Arial" w:cs="Arial"/>
        </w:rPr>
        <w:t xml:space="preserve">offering </w:t>
      </w:r>
      <w:r w:rsidR="00AA78DD">
        <w:rPr>
          <w:rFonts w:ascii="Arial" w:eastAsia="Times New Roman" w:hAnsi="Arial" w:cs="Arial"/>
        </w:rPr>
        <w:t xml:space="preserve">was the same in both bids because </w:t>
      </w:r>
      <w:r w:rsidRPr="00393034">
        <w:rPr>
          <w:rFonts w:ascii="Arial" w:eastAsia="Times New Roman" w:hAnsi="Arial" w:cs="Arial"/>
        </w:rPr>
        <w:t xml:space="preserve"> Opportunity 3 would</w:t>
      </w:r>
      <w:r w:rsidR="00C619D8">
        <w:rPr>
          <w:rFonts w:ascii="Arial" w:eastAsia="Times New Roman" w:hAnsi="Arial" w:cs="Arial"/>
        </w:rPr>
        <w:t>,</w:t>
      </w:r>
      <w:r w:rsidRPr="00393034">
        <w:rPr>
          <w:rFonts w:ascii="Arial" w:eastAsia="Times New Roman" w:hAnsi="Arial" w:cs="Arial"/>
        </w:rPr>
        <w:t xml:space="preserve"> in both instances</w:t>
      </w:r>
      <w:r w:rsidR="00C619D8">
        <w:rPr>
          <w:rFonts w:ascii="Arial" w:eastAsia="Times New Roman" w:hAnsi="Arial" w:cs="Arial"/>
        </w:rPr>
        <w:t>,</w:t>
      </w:r>
      <w:r w:rsidRPr="00393034">
        <w:rPr>
          <w:rFonts w:ascii="Arial" w:eastAsia="Times New Roman" w:hAnsi="Arial" w:cs="Arial"/>
        </w:rPr>
        <w:t xml:space="preserve"> be managed by Tourvest for the first </w:t>
      </w:r>
      <w:r w:rsidR="00340762">
        <w:rPr>
          <w:rFonts w:ascii="Arial" w:eastAsia="Times New Roman" w:hAnsi="Arial" w:cs="Arial"/>
        </w:rPr>
        <w:t xml:space="preserve">approximately </w:t>
      </w:r>
      <w:r w:rsidRPr="00393034">
        <w:rPr>
          <w:rFonts w:ascii="Arial" w:eastAsia="Times New Roman" w:hAnsi="Arial" w:cs="Arial"/>
        </w:rPr>
        <w:t xml:space="preserve">three years of the tender. </w:t>
      </w:r>
      <w:r w:rsidRPr="00B4517C">
        <w:rPr>
          <w:rFonts w:ascii="Arial" w:eastAsia="Times New Roman" w:hAnsi="Arial" w:cs="Arial"/>
        </w:rPr>
        <w:t xml:space="preserve">Tourvest therefore assumed, for purposes of </w:t>
      </w:r>
      <w:r w:rsidRPr="00B4517C">
        <w:rPr>
          <w:rFonts w:ascii="Arial" w:eastAsia="Times New Roman" w:hAnsi="Arial" w:cs="Arial"/>
        </w:rPr>
        <w:lastRenderedPageBreak/>
        <w:t>determining the rental, that the performance of the businesses would be the same</w:t>
      </w:r>
      <w:r w:rsidR="00C619D8">
        <w:rPr>
          <w:rFonts w:ascii="Arial" w:eastAsia="Times New Roman" w:hAnsi="Arial" w:cs="Arial"/>
        </w:rPr>
        <w:t>,</w:t>
      </w:r>
      <w:r w:rsidRPr="00B4517C">
        <w:rPr>
          <w:rFonts w:ascii="Arial" w:eastAsia="Times New Roman" w:hAnsi="Arial" w:cs="Arial"/>
        </w:rPr>
        <w:t xml:space="preserve"> irrespective of whether </w:t>
      </w:r>
      <w:r w:rsidR="00B95A64">
        <w:rPr>
          <w:rFonts w:ascii="Arial" w:eastAsia="Times New Roman" w:hAnsi="Arial" w:cs="Arial"/>
        </w:rPr>
        <w:t>it</w:t>
      </w:r>
      <w:r w:rsidRPr="00B4517C">
        <w:rPr>
          <w:rFonts w:ascii="Arial" w:eastAsia="Times New Roman" w:hAnsi="Arial" w:cs="Arial"/>
        </w:rPr>
        <w:t xml:space="preserve"> or the Trust won the tender. </w:t>
      </w:r>
    </w:p>
    <w:p w14:paraId="44723F24" w14:textId="77777777" w:rsidR="00393034" w:rsidRPr="00393034" w:rsidRDefault="00393034" w:rsidP="00393034">
      <w:pPr>
        <w:pStyle w:val="ListParagraph"/>
        <w:spacing w:line="360" w:lineRule="auto"/>
        <w:ind w:left="0"/>
        <w:jc w:val="both"/>
        <w:rPr>
          <w:rFonts w:ascii="Arial" w:hAnsi="Arial" w:cs="Arial"/>
        </w:rPr>
      </w:pPr>
    </w:p>
    <w:p w14:paraId="7CDAA829" w14:textId="13B05D86" w:rsidR="00F25977" w:rsidRPr="007F076F" w:rsidRDefault="00D939F1" w:rsidP="007F076F">
      <w:pPr>
        <w:pStyle w:val="ListParagraph"/>
        <w:numPr>
          <w:ilvl w:val="0"/>
          <w:numId w:val="2"/>
        </w:numPr>
        <w:spacing w:line="360" w:lineRule="auto"/>
        <w:ind w:left="0" w:firstLine="0"/>
        <w:jc w:val="both"/>
        <w:rPr>
          <w:rFonts w:ascii="Arial" w:hAnsi="Arial" w:cs="Arial"/>
        </w:rPr>
      </w:pPr>
      <w:r w:rsidRPr="00393034">
        <w:rPr>
          <w:rFonts w:ascii="Arial" w:eastAsia="Times New Roman" w:hAnsi="Arial" w:cs="Arial"/>
        </w:rPr>
        <w:t xml:space="preserve">Furthermore, the Trust did not </w:t>
      </w:r>
      <w:r w:rsidR="007F076F">
        <w:rPr>
          <w:rFonts w:ascii="Arial" w:eastAsia="Times New Roman" w:hAnsi="Arial" w:cs="Arial"/>
        </w:rPr>
        <w:t>have the capacity to calculate the</w:t>
      </w:r>
      <w:r w:rsidRPr="00393034">
        <w:rPr>
          <w:rFonts w:ascii="Arial" w:eastAsia="Times New Roman" w:hAnsi="Arial" w:cs="Arial"/>
        </w:rPr>
        <w:t xml:space="preserve"> rental figures for its bid</w:t>
      </w:r>
      <w:r w:rsidR="007F076F">
        <w:rPr>
          <w:rFonts w:ascii="Arial" w:eastAsia="Times New Roman" w:hAnsi="Arial" w:cs="Arial"/>
        </w:rPr>
        <w:t>.</w:t>
      </w:r>
      <w:r w:rsidRPr="00393034">
        <w:rPr>
          <w:rFonts w:ascii="Arial" w:eastAsia="Times New Roman" w:hAnsi="Arial" w:cs="Arial"/>
          <w:position w:val="8"/>
        </w:rPr>
        <w:t xml:space="preserve"> </w:t>
      </w:r>
      <w:r w:rsidRPr="00393034">
        <w:rPr>
          <w:rFonts w:ascii="Arial" w:eastAsia="Times New Roman" w:hAnsi="Arial" w:cs="Arial"/>
        </w:rPr>
        <w:t xml:space="preserve">Ms Zimmermann </w:t>
      </w:r>
      <w:r w:rsidR="007F076F">
        <w:rPr>
          <w:rFonts w:ascii="Arial" w:eastAsia="Times New Roman" w:hAnsi="Arial" w:cs="Arial"/>
        </w:rPr>
        <w:t>stated</w:t>
      </w:r>
      <w:r w:rsidRPr="00393034">
        <w:rPr>
          <w:rFonts w:ascii="Arial" w:eastAsia="Times New Roman" w:hAnsi="Arial" w:cs="Arial"/>
        </w:rPr>
        <w:t xml:space="preserve">: </w:t>
      </w:r>
    </w:p>
    <w:p w14:paraId="6BBD8B0E" w14:textId="77777777" w:rsidR="00F25977" w:rsidRPr="00F25977" w:rsidRDefault="00F25977" w:rsidP="00F25977">
      <w:pPr>
        <w:pStyle w:val="ListParagraph"/>
        <w:spacing w:line="360" w:lineRule="auto"/>
        <w:ind w:left="0"/>
        <w:jc w:val="both"/>
        <w:rPr>
          <w:rFonts w:ascii="Arial" w:hAnsi="Arial" w:cs="Arial"/>
        </w:rPr>
      </w:pPr>
    </w:p>
    <w:p w14:paraId="19265870" w14:textId="64681BE4" w:rsidR="00F25977" w:rsidRPr="00B4517C" w:rsidRDefault="00F25977" w:rsidP="00C62F32">
      <w:pPr>
        <w:spacing w:before="100" w:beforeAutospacing="1" w:after="100" w:afterAutospacing="1" w:line="360" w:lineRule="auto"/>
        <w:ind w:left="720"/>
        <w:jc w:val="both"/>
        <w:rPr>
          <w:rFonts w:ascii="Arial" w:eastAsia="Times New Roman" w:hAnsi="Arial" w:cs="Arial"/>
        </w:rPr>
      </w:pPr>
      <w:r w:rsidRPr="00D939F1">
        <w:rPr>
          <w:rFonts w:ascii="Arial" w:eastAsia="Times New Roman" w:hAnsi="Arial" w:cs="Arial"/>
          <w:sz w:val="24"/>
          <w:szCs w:val="24"/>
        </w:rPr>
        <w:t>“</w:t>
      </w:r>
      <w:r w:rsidRPr="00B4517C">
        <w:rPr>
          <w:rFonts w:ascii="Arial" w:eastAsia="Times New Roman" w:hAnsi="Arial" w:cs="Arial"/>
          <w:iCs/>
        </w:rPr>
        <w:t>We have never run a shop, let alone a store the magnitude of any of Tiger’s Eye shops at OR Tambo or any other destination. We have no skills within our staff to even contemplate what putting the finances together for such a bid would comprise. We simply did not have the wherewithal to either question it or put it together.</w:t>
      </w:r>
      <w:r w:rsidRPr="00B4517C">
        <w:rPr>
          <w:rFonts w:ascii="Arial" w:eastAsia="Times New Roman" w:hAnsi="Arial" w:cs="Arial"/>
        </w:rPr>
        <w:t>”</w:t>
      </w:r>
      <w:r w:rsidRPr="00B4517C">
        <w:rPr>
          <w:rFonts w:ascii="Arial" w:eastAsia="Times New Roman" w:hAnsi="Arial" w:cs="Arial"/>
          <w:position w:val="8"/>
        </w:rPr>
        <w:t xml:space="preserve"> </w:t>
      </w:r>
    </w:p>
    <w:p w14:paraId="005FC62D" w14:textId="3556BF87" w:rsidR="00D07C12" w:rsidRPr="00D07C12" w:rsidRDefault="00D07C12" w:rsidP="00D07C12">
      <w:pPr>
        <w:rPr>
          <w:rFonts w:ascii="Arial" w:eastAsia="Times New Roman" w:hAnsi="Arial" w:cs="Arial"/>
        </w:rPr>
      </w:pPr>
    </w:p>
    <w:p w14:paraId="0DD4EDEC" w14:textId="4BF3C8AA" w:rsidR="00F25977" w:rsidRPr="00D07C12" w:rsidRDefault="00D939F1" w:rsidP="00D07C12">
      <w:pPr>
        <w:pStyle w:val="ListParagraph"/>
        <w:numPr>
          <w:ilvl w:val="0"/>
          <w:numId w:val="2"/>
        </w:numPr>
        <w:spacing w:line="360" w:lineRule="auto"/>
        <w:ind w:left="0" w:firstLine="0"/>
        <w:jc w:val="both"/>
        <w:rPr>
          <w:rFonts w:ascii="Arial" w:hAnsi="Arial" w:cs="Arial"/>
        </w:rPr>
      </w:pPr>
      <w:r w:rsidRPr="00F25977">
        <w:rPr>
          <w:rFonts w:ascii="Arial" w:eastAsia="Times New Roman" w:hAnsi="Arial" w:cs="Arial"/>
        </w:rPr>
        <w:t>A</w:t>
      </w:r>
      <w:r w:rsidR="007F076F">
        <w:rPr>
          <w:rFonts w:ascii="Arial" w:eastAsia="Times New Roman" w:hAnsi="Arial" w:cs="Arial"/>
        </w:rPr>
        <w:t>s it turned out</w:t>
      </w:r>
      <w:r w:rsidR="00DD39CA">
        <w:rPr>
          <w:rFonts w:ascii="Arial" w:eastAsia="Times New Roman" w:hAnsi="Arial" w:cs="Arial"/>
        </w:rPr>
        <w:t>,</w:t>
      </w:r>
      <w:r w:rsidR="007F076F">
        <w:rPr>
          <w:rFonts w:ascii="Arial" w:eastAsia="Times New Roman" w:hAnsi="Arial" w:cs="Arial"/>
        </w:rPr>
        <w:t xml:space="preserve"> at </w:t>
      </w:r>
      <w:r w:rsidRPr="00D07C12">
        <w:rPr>
          <w:rFonts w:ascii="Arial" w:eastAsia="Times New Roman" w:hAnsi="Arial" w:cs="Arial"/>
        </w:rPr>
        <w:t>the opening of the bids and before any evaluation of the merits thereof, the Trust</w:t>
      </w:r>
      <w:r w:rsidR="0012725F">
        <w:rPr>
          <w:rFonts w:ascii="Arial" w:eastAsia="Times New Roman" w:hAnsi="Arial" w:cs="Arial"/>
        </w:rPr>
        <w:t xml:space="preserve">’s bid </w:t>
      </w:r>
      <w:r w:rsidRPr="00D07C12">
        <w:rPr>
          <w:rFonts w:ascii="Arial" w:eastAsia="Times New Roman" w:hAnsi="Arial" w:cs="Arial"/>
        </w:rPr>
        <w:t xml:space="preserve">was eliminated by </w:t>
      </w:r>
      <w:r w:rsidR="00C62F32">
        <w:rPr>
          <w:rFonts w:ascii="Arial" w:eastAsia="Times New Roman" w:hAnsi="Arial" w:cs="Arial"/>
        </w:rPr>
        <w:t>the</w:t>
      </w:r>
      <w:r w:rsidRPr="00D07C12">
        <w:rPr>
          <w:rFonts w:ascii="Arial" w:eastAsia="Times New Roman" w:hAnsi="Arial" w:cs="Arial"/>
        </w:rPr>
        <w:t xml:space="preserve"> B</w:t>
      </w:r>
      <w:r w:rsidR="0012725F">
        <w:rPr>
          <w:rFonts w:ascii="Arial" w:eastAsia="Times New Roman" w:hAnsi="Arial" w:cs="Arial"/>
        </w:rPr>
        <w:t xml:space="preserve">id </w:t>
      </w:r>
      <w:r w:rsidRPr="00D07C12">
        <w:rPr>
          <w:rFonts w:ascii="Arial" w:eastAsia="Times New Roman" w:hAnsi="Arial" w:cs="Arial"/>
        </w:rPr>
        <w:t>E</w:t>
      </w:r>
      <w:r w:rsidR="0012725F">
        <w:rPr>
          <w:rFonts w:ascii="Arial" w:eastAsia="Times New Roman" w:hAnsi="Arial" w:cs="Arial"/>
        </w:rPr>
        <w:t xml:space="preserve">valuation </w:t>
      </w:r>
      <w:r w:rsidRPr="00D07C12">
        <w:rPr>
          <w:rFonts w:ascii="Arial" w:eastAsia="Times New Roman" w:hAnsi="Arial" w:cs="Arial"/>
        </w:rPr>
        <w:t>C</w:t>
      </w:r>
      <w:r w:rsidR="0012725F">
        <w:rPr>
          <w:rFonts w:ascii="Arial" w:eastAsia="Times New Roman" w:hAnsi="Arial" w:cs="Arial"/>
        </w:rPr>
        <w:t xml:space="preserve">ommittee </w:t>
      </w:r>
      <w:r w:rsidRPr="00D07C12">
        <w:rPr>
          <w:rFonts w:ascii="Arial" w:eastAsia="Times New Roman" w:hAnsi="Arial" w:cs="Arial"/>
        </w:rPr>
        <w:t xml:space="preserve"> </w:t>
      </w:r>
      <w:r w:rsidR="0012725F">
        <w:rPr>
          <w:rFonts w:ascii="Arial" w:eastAsia="Times New Roman" w:hAnsi="Arial" w:cs="Arial"/>
        </w:rPr>
        <w:t>(BEC)</w:t>
      </w:r>
      <w:r w:rsidR="003963AA">
        <w:rPr>
          <w:rFonts w:ascii="Arial" w:eastAsia="Times New Roman" w:hAnsi="Arial" w:cs="Arial"/>
        </w:rPr>
        <w:t xml:space="preserve"> </w:t>
      </w:r>
      <w:r w:rsidRPr="00D07C12">
        <w:rPr>
          <w:rFonts w:ascii="Arial" w:eastAsia="Times New Roman" w:hAnsi="Arial" w:cs="Arial"/>
        </w:rPr>
        <w:t xml:space="preserve">on the grounds </w:t>
      </w:r>
      <w:r w:rsidRPr="00D07C12">
        <w:rPr>
          <w:rFonts w:ascii="Arial" w:eastAsia="Times New Roman" w:hAnsi="Arial" w:cs="Arial"/>
          <w:position w:val="8"/>
        </w:rPr>
        <w:t xml:space="preserve"> </w:t>
      </w:r>
      <w:r w:rsidRPr="00D07C12">
        <w:rPr>
          <w:rFonts w:ascii="Arial" w:eastAsia="Times New Roman" w:hAnsi="Arial" w:cs="Arial"/>
        </w:rPr>
        <w:t>the Trust had not</w:t>
      </w:r>
      <w:r w:rsidR="00B95A64">
        <w:rPr>
          <w:rFonts w:ascii="Arial" w:eastAsia="Times New Roman" w:hAnsi="Arial" w:cs="Arial"/>
        </w:rPr>
        <w:t>,</w:t>
      </w:r>
      <w:r w:rsidRPr="00D07C12">
        <w:rPr>
          <w:rFonts w:ascii="Arial" w:eastAsia="Times New Roman" w:hAnsi="Arial" w:cs="Arial"/>
        </w:rPr>
        <w:t xml:space="preserve"> itself</w:t>
      </w:r>
      <w:r w:rsidR="00B95A64">
        <w:rPr>
          <w:rFonts w:ascii="Arial" w:eastAsia="Times New Roman" w:hAnsi="Arial" w:cs="Arial"/>
        </w:rPr>
        <w:t>,</w:t>
      </w:r>
      <w:r w:rsidRPr="00D07C12">
        <w:rPr>
          <w:rFonts w:ascii="Arial" w:eastAsia="Times New Roman" w:hAnsi="Arial" w:cs="Arial"/>
        </w:rPr>
        <w:t xml:space="preserve"> purchased the requisite bid documents or attended the compulsory briefing session</w:t>
      </w:r>
      <w:r w:rsidR="00B95A64">
        <w:rPr>
          <w:rFonts w:ascii="Arial" w:eastAsia="Times New Roman" w:hAnsi="Arial" w:cs="Arial"/>
        </w:rPr>
        <w:t>.</w:t>
      </w:r>
    </w:p>
    <w:p w14:paraId="1D1D98D6" w14:textId="77777777" w:rsidR="00F25977" w:rsidRPr="00F25977" w:rsidRDefault="00F25977" w:rsidP="00F25977">
      <w:pPr>
        <w:pStyle w:val="ListParagraph"/>
        <w:spacing w:line="360" w:lineRule="auto"/>
        <w:ind w:left="0"/>
        <w:jc w:val="both"/>
        <w:rPr>
          <w:rFonts w:ascii="Arial" w:hAnsi="Arial" w:cs="Arial"/>
        </w:rPr>
      </w:pPr>
    </w:p>
    <w:p w14:paraId="5675622D" w14:textId="2E6898BA" w:rsidR="00F25977" w:rsidRPr="00F25977" w:rsidRDefault="00D939F1" w:rsidP="00F25977">
      <w:pPr>
        <w:pStyle w:val="ListParagraph"/>
        <w:numPr>
          <w:ilvl w:val="0"/>
          <w:numId w:val="2"/>
        </w:numPr>
        <w:spacing w:line="360" w:lineRule="auto"/>
        <w:ind w:left="0" w:firstLine="0"/>
        <w:jc w:val="both"/>
        <w:rPr>
          <w:rFonts w:ascii="Arial" w:hAnsi="Arial" w:cs="Arial"/>
        </w:rPr>
      </w:pPr>
      <w:r w:rsidRPr="00F25977">
        <w:rPr>
          <w:rFonts w:ascii="Arial" w:eastAsia="Times New Roman" w:hAnsi="Arial" w:cs="Arial"/>
        </w:rPr>
        <w:t>As a result, the BEC did not proceed</w:t>
      </w:r>
      <w:r w:rsidR="00C619D8">
        <w:rPr>
          <w:rFonts w:ascii="Arial" w:eastAsia="Times New Roman" w:hAnsi="Arial" w:cs="Arial"/>
        </w:rPr>
        <w:t xml:space="preserve"> even</w:t>
      </w:r>
      <w:r w:rsidRPr="00F25977">
        <w:rPr>
          <w:rFonts w:ascii="Arial" w:eastAsia="Times New Roman" w:hAnsi="Arial" w:cs="Arial"/>
        </w:rPr>
        <w:t xml:space="preserve"> to consider  whether the Trust’s bid had complied with any of </w:t>
      </w:r>
      <w:r w:rsidR="00C619D8">
        <w:rPr>
          <w:rFonts w:ascii="Arial" w:eastAsia="Times New Roman" w:hAnsi="Arial" w:cs="Arial"/>
        </w:rPr>
        <w:t xml:space="preserve">the </w:t>
      </w:r>
      <w:r w:rsidRPr="00F25977">
        <w:rPr>
          <w:rFonts w:ascii="Arial" w:eastAsia="Times New Roman" w:hAnsi="Arial" w:cs="Arial"/>
        </w:rPr>
        <w:t>mandatory administrative criteria for qualification let alone evaluate the Trust’s bid for functionality</w:t>
      </w:r>
      <w:r w:rsidR="00827A05">
        <w:rPr>
          <w:rFonts w:ascii="Arial" w:eastAsia="Times New Roman" w:hAnsi="Arial" w:cs="Arial"/>
        </w:rPr>
        <w:t xml:space="preserve"> or price.</w:t>
      </w:r>
    </w:p>
    <w:p w14:paraId="3112B79F" w14:textId="77777777" w:rsidR="00F25977" w:rsidRPr="00F25977" w:rsidRDefault="00F25977" w:rsidP="00F25977">
      <w:pPr>
        <w:pStyle w:val="ListParagraph"/>
        <w:rPr>
          <w:rFonts w:ascii="Arial" w:eastAsia="Times New Roman" w:hAnsi="Arial" w:cs="Arial"/>
        </w:rPr>
      </w:pPr>
    </w:p>
    <w:p w14:paraId="5C58F3A2" w14:textId="4024F19B" w:rsidR="00F25977" w:rsidRPr="00F25977" w:rsidRDefault="00D939F1" w:rsidP="00F25977">
      <w:pPr>
        <w:pStyle w:val="ListParagraph"/>
        <w:numPr>
          <w:ilvl w:val="0"/>
          <w:numId w:val="2"/>
        </w:numPr>
        <w:spacing w:line="360" w:lineRule="auto"/>
        <w:ind w:left="0" w:firstLine="0"/>
        <w:jc w:val="both"/>
        <w:rPr>
          <w:rFonts w:ascii="Arial" w:hAnsi="Arial" w:cs="Arial"/>
        </w:rPr>
      </w:pPr>
      <w:r w:rsidRPr="00F25977">
        <w:rPr>
          <w:rFonts w:ascii="Arial" w:eastAsia="Times New Roman" w:hAnsi="Arial" w:cs="Arial"/>
        </w:rPr>
        <w:t xml:space="preserve"> ACSA’s Bid Evaluation</w:t>
      </w:r>
      <w:r w:rsidR="00827A05">
        <w:rPr>
          <w:rFonts w:ascii="Arial" w:eastAsia="Times New Roman" w:hAnsi="Arial" w:cs="Arial"/>
        </w:rPr>
        <w:t xml:space="preserve"> Report reveals</w:t>
      </w:r>
      <w:r w:rsidR="00FD0BC8">
        <w:rPr>
          <w:rFonts w:ascii="Arial" w:eastAsia="Times New Roman" w:hAnsi="Arial" w:cs="Arial"/>
        </w:rPr>
        <w:t>,</w:t>
      </w:r>
      <w:r w:rsidR="00827A05">
        <w:rPr>
          <w:rFonts w:ascii="Arial" w:eastAsia="Times New Roman" w:hAnsi="Arial" w:cs="Arial"/>
        </w:rPr>
        <w:t xml:space="preserve"> </w:t>
      </w:r>
      <w:r w:rsidR="003963AA">
        <w:rPr>
          <w:rFonts w:ascii="Arial" w:eastAsia="Times New Roman" w:hAnsi="Arial" w:cs="Arial"/>
        </w:rPr>
        <w:t>however</w:t>
      </w:r>
      <w:r w:rsidR="00FD0BC8">
        <w:rPr>
          <w:rFonts w:ascii="Arial" w:eastAsia="Times New Roman" w:hAnsi="Arial" w:cs="Arial"/>
        </w:rPr>
        <w:t>,</w:t>
      </w:r>
      <w:r w:rsidR="003963AA">
        <w:rPr>
          <w:rFonts w:ascii="Arial" w:eastAsia="Times New Roman" w:hAnsi="Arial" w:cs="Arial"/>
        </w:rPr>
        <w:t xml:space="preserve"> </w:t>
      </w:r>
      <w:r w:rsidR="00827A05">
        <w:rPr>
          <w:rFonts w:ascii="Arial" w:eastAsia="Times New Roman" w:hAnsi="Arial" w:cs="Arial"/>
        </w:rPr>
        <w:t>that</w:t>
      </w:r>
      <w:r w:rsidR="003963AA">
        <w:rPr>
          <w:rFonts w:ascii="Arial" w:eastAsia="Times New Roman" w:hAnsi="Arial" w:cs="Arial"/>
        </w:rPr>
        <w:t>,</w:t>
      </w:r>
      <w:r w:rsidR="00827A05">
        <w:rPr>
          <w:rFonts w:ascii="Arial" w:eastAsia="Times New Roman" w:hAnsi="Arial" w:cs="Arial"/>
        </w:rPr>
        <w:t xml:space="preserve"> </w:t>
      </w:r>
      <w:r w:rsidRPr="00F25977">
        <w:rPr>
          <w:rFonts w:ascii="Arial" w:eastAsia="Times New Roman" w:hAnsi="Arial" w:cs="Arial"/>
        </w:rPr>
        <w:t>notwithstanding the upfront elimination of the Trust’s b</w:t>
      </w:r>
      <w:r w:rsidR="003963AA">
        <w:rPr>
          <w:rFonts w:ascii="Arial" w:eastAsia="Times New Roman" w:hAnsi="Arial" w:cs="Arial"/>
        </w:rPr>
        <w:t>id</w:t>
      </w:r>
      <w:r w:rsidR="00C619D8">
        <w:rPr>
          <w:rFonts w:ascii="Arial" w:eastAsia="Times New Roman" w:hAnsi="Arial" w:cs="Arial"/>
        </w:rPr>
        <w:t>,</w:t>
      </w:r>
      <w:r w:rsidR="003963AA">
        <w:rPr>
          <w:rFonts w:ascii="Arial" w:eastAsia="Times New Roman" w:hAnsi="Arial" w:cs="Arial"/>
        </w:rPr>
        <w:t xml:space="preserve"> the BEC</w:t>
      </w:r>
      <w:r w:rsidRPr="00F25977">
        <w:rPr>
          <w:rFonts w:ascii="Arial" w:eastAsia="Times New Roman" w:hAnsi="Arial" w:cs="Arial"/>
        </w:rPr>
        <w:t xml:space="preserve"> proceeded to compare the contents of the Trust and Tourvest</w:t>
      </w:r>
      <w:r w:rsidR="003963AA">
        <w:rPr>
          <w:rFonts w:ascii="Arial" w:eastAsia="Times New Roman" w:hAnsi="Arial" w:cs="Arial"/>
        </w:rPr>
        <w:t>’s</w:t>
      </w:r>
      <w:r w:rsidRPr="00F25977">
        <w:rPr>
          <w:rFonts w:ascii="Arial" w:eastAsia="Times New Roman" w:hAnsi="Arial" w:cs="Arial"/>
        </w:rPr>
        <w:t xml:space="preserve"> bids</w:t>
      </w:r>
      <w:r w:rsidR="003963AA">
        <w:rPr>
          <w:rFonts w:ascii="Arial" w:eastAsia="Times New Roman" w:hAnsi="Arial" w:cs="Arial"/>
        </w:rPr>
        <w:t xml:space="preserve"> and noted that there</w:t>
      </w:r>
      <w:r w:rsidR="003128A1">
        <w:rPr>
          <w:rFonts w:ascii="Arial" w:eastAsia="Times New Roman" w:hAnsi="Arial" w:cs="Arial"/>
        </w:rPr>
        <w:t xml:space="preserve"> were</w:t>
      </w:r>
      <w:r w:rsidRPr="00F25977">
        <w:rPr>
          <w:rFonts w:ascii="Arial" w:eastAsia="Times New Roman" w:hAnsi="Arial" w:cs="Arial"/>
        </w:rPr>
        <w:t xml:space="preserve"> </w:t>
      </w:r>
      <w:r w:rsidRPr="002F7265">
        <w:rPr>
          <w:rFonts w:ascii="Arial" w:eastAsia="Times New Roman" w:hAnsi="Arial" w:cs="Arial"/>
          <w:iCs/>
        </w:rPr>
        <w:t xml:space="preserve"> similarities</w:t>
      </w:r>
      <w:r w:rsidRPr="00F25977">
        <w:rPr>
          <w:rFonts w:ascii="Arial" w:eastAsia="Times New Roman" w:hAnsi="Arial" w:cs="Arial"/>
        </w:rPr>
        <w:t xml:space="preserve"> between the bids</w:t>
      </w:r>
      <w:r w:rsidR="00B95A64">
        <w:rPr>
          <w:rFonts w:ascii="Arial" w:eastAsia="Times New Roman" w:hAnsi="Arial" w:cs="Arial"/>
        </w:rPr>
        <w:t xml:space="preserve"> in most,</w:t>
      </w:r>
      <w:r w:rsidRPr="002F7265">
        <w:rPr>
          <w:rFonts w:ascii="Arial" w:eastAsia="Times New Roman" w:hAnsi="Arial" w:cs="Arial"/>
          <w:iCs/>
        </w:rPr>
        <w:t xml:space="preserve"> if not all</w:t>
      </w:r>
      <w:r w:rsidR="00B95A64">
        <w:rPr>
          <w:rFonts w:ascii="Arial" w:eastAsia="Times New Roman" w:hAnsi="Arial" w:cs="Arial"/>
          <w:iCs/>
        </w:rPr>
        <w:t>,</w:t>
      </w:r>
      <w:r w:rsidRPr="002F7265">
        <w:rPr>
          <w:rFonts w:ascii="Arial" w:eastAsia="Times New Roman" w:hAnsi="Arial" w:cs="Arial"/>
          <w:iCs/>
        </w:rPr>
        <w:t xml:space="preserve"> material respects</w:t>
      </w:r>
      <w:r w:rsidRPr="00F25977">
        <w:rPr>
          <w:rFonts w:ascii="Arial" w:eastAsia="Times New Roman" w:hAnsi="Arial" w:cs="Arial"/>
        </w:rPr>
        <w:t>.</w:t>
      </w:r>
    </w:p>
    <w:p w14:paraId="64B7D002" w14:textId="77777777" w:rsidR="00F25977" w:rsidRPr="00F25977" w:rsidRDefault="00F25977" w:rsidP="00F25977">
      <w:pPr>
        <w:pStyle w:val="ListParagraph"/>
        <w:rPr>
          <w:rFonts w:ascii="Arial" w:eastAsia="Times New Roman" w:hAnsi="Arial" w:cs="Arial"/>
        </w:rPr>
      </w:pPr>
    </w:p>
    <w:p w14:paraId="30759157" w14:textId="71F7B9B8" w:rsidR="005846EA" w:rsidRPr="005846EA" w:rsidRDefault="003128A1" w:rsidP="00F22F6C">
      <w:pPr>
        <w:pStyle w:val="ListParagraph"/>
        <w:numPr>
          <w:ilvl w:val="0"/>
          <w:numId w:val="2"/>
        </w:numPr>
        <w:spacing w:line="360" w:lineRule="auto"/>
        <w:ind w:left="0" w:firstLine="0"/>
        <w:jc w:val="both"/>
        <w:rPr>
          <w:rFonts w:ascii="Arial" w:hAnsi="Arial" w:cs="Arial"/>
        </w:rPr>
      </w:pPr>
      <w:r>
        <w:rPr>
          <w:rFonts w:ascii="Arial" w:eastAsia="Times New Roman" w:hAnsi="Arial" w:cs="Arial"/>
        </w:rPr>
        <w:t>After further inquiry,</w:t>
      </w:r>
      <w:r w:rsidR="00D939F1" w:rsidRPr="00F22F6C">
        <w:rPr>
          <w:rFonts w:ascii="Arial" w:eastAsia="Times New Roman" w:hAnsi="Arial" w:cs="Arial"/>
        </w:rPr>
        <w:t xml:space="preserve"> </w:t>
      </w:r>
      <w:r w:rsidR="00B95A64">
        <w:rPr>
          <w:rFonts w:ascii="Arial" w:eastAsia="Times New Roman" w:hAnsi="Arial" w:cs="Arial"/>
        </w:rPr>
        <w:t>ACSA</w:t>
      </w:r>
      <w:r w:rsidR="00D939F1" w:rsidRPr="00F22F6C">
        <w:rPr>
          <w:rFonts w:ascii="Arial" w:eastAsia="Times New Roman" w:hAnsi="Arial" w:cs="Arial"/>
        </w:rPr>
        <w:t xml:space="preserve"> decided</w:t>
      </w:r>
      <w:r w:rsidR="002F7265" w:rsidRPr="00F22F6C">
        <w:rPr>
          <w:rFonts w:ascii="Arial" w:eastAsia="Times New Roman" w:hAnsi="Arial" w:cs="Arial"/>
        </w:rPr>
        <w:t xml:space="preserve"> to</w:t>
      </w:r>
      <w:r w:rsidR="00D939F1" w:rsidRPr="00F22F6C">
        <w:rPr>
          <w:rFonts w:ascii="Arial" w:eastAsia="Times New Roman" w:hAnsi="Arial" w:cs="Arial"/>
        </w:rPr>
        <w:t xml:space="preserve"> disqualify all of Tourvest’s bids on the grounds that Tourvest had allegedly </w:t>
      </w:r>
      <w:r w:rsidR="00D939F1" w:rsidRPr="00F22F6C">
        <w:rPr>
          <w:rFonts w:ascii="Arial" w:eastAsia="Times New Roman" w:hAnsi="Arial" w:cs="Arial"/>
          <w:iCs/>
        </w:rPr>
        <w:t>colluded</w:t>
      </w:r>
      <w:r w:rsidR="00D939F1" w:rsidRPr="00F22F6C">
        <w:rPr>
          <w:rFonts w:ascii="Arial" w:eastAsia="Times New Roman" w:hAnsi="Arial" w:cs="Arial"/>
        </w:rPr>
        <w:t xml:space="preserve"> with the Trust in respect of Opportunity 3.</w:t>
      </w:r>
      <w:r w:rsidR="00F22F6C" w:rsidRPr="00F22F6C">
        <w:rPr>
          <w:rFonts w:ascii="Arial" w:eastAsia="Times New Roman" w:hAnsi="Arial" w:cs="Arial"/>
        </w:rPr>
        <w:t xml:space="preserve"> </w:t>
      </w:r>
    </w:p>
    <w:p w14:paraId="2DF12730" w14:textId="77777777" w:rsidR="005846EA" w:rsidRPr="005846EA" w:rsidRDefault="005846EA" w:rsidP="005846EA">
      <w:pPr>
        <w:pStyle w:val="ListParagraph"/>
        <w:rPr>
          <w:rFonts w:ascii="Arial" w:hAnsi="Arial" w:cs="Arial"/>
        </w:rPr>
      </w:pPr>
    </w:p>
    <w:p w14:paraId="74EC727D" w14:textId="4ED6B5AE" w:rsidR="005846EA" w:rsidRPr="005846EA" w:rsidRDefault="005846EA" w:rsidP="00F22F6C">
      <w:pPr>
        <w:pStyle w:val="ListParagraph"/>
        <w:numPr>
          <w:ilvl w:val="0"/>
          <w:numId w:val="2"/>
        </w:numPr>
        <w:spacing w:line="360" w:lineRule="auto"/>
        <w:ind w:left="0" w:firstLine="0"/>
        <w:jc w:val="both"/>
        <w:rPr>
          <w:rFonts w:ascii="Arial" w:hAnsi="Arial" w:cs="Arial"/>
        </w:rPr>
      </w:pPr>
      <w:r>
        <w:rPr>
          <w:rFonts w:ascii="Arial" w:hAnsi="Arial" w:cs="Arial"/>
        </w:rPr>
        <w:t xml:space="preserve">This was notwithstanding the clear disclosure  by the Trust and Tourvest </w:t>
      </w:r>
      <w:r w:rsidR="00325362">
        <w:rPr>
          <w:rFonts w:ascii="Arial" w:hAnsi="Arial" w:cs="Arial"/>
        </w:rPr>
        <w:t xml:space="preserve"> in their tender documents that they were collaborating on the Trust</w:t>
      </w:r>
      <w:r w:rsidR="003128A1">
        <w:rPr>
          <w:rFonts w:ascii="Arial" w:hAnsi="Arial" w:cs="Arial"/>
        </w:rPr>
        <w:t>’</w:t>
      </w:r>
      <w:r w:rsidR="00325362">
        <w:rPr>
          <w:rFonts w:ascii="Arial" w:hAnsi="Arial" w:cs="Arial"/>
        </w:rPr>
        <w:t xml:space="preserve">s Bid and </w:t>
      </w:r>
      <w:r>
        <w:rPr>
          <w:rFonts w:ascii="Arial" w:hAnsi="Arial" w:cs="Arial"/>
        </w:rPr>
        <w:t xml:space="preserve"> the details of the</w:t>
      </w:r>
      <w:r w:rsidR="00B95A64">
        <w:rPr>
          <w:rFonts w:ascii="Arial" w:hAnsi="Arial" w:cs="Arial"/>
        </w:rPr>
        <w:t>ir</w:t>
      </w:r>
      <w:r>
        <w:rPr>
          <w:rFonts w:ascii="Arial" w:hAnsi="Arial" w:cs="Arial"/>
        </w:rPr>
        <w:t xml:space="preserve"> collaboration</w:t>
      </w:r>
      <w:r w:rsidR="00B95A64">
        <w:rPr>
          <w:rFonts w:ascii="Arial" w:hAnsi="Arial" w:cs="Arial"/>
        </w:rPr>
        <w:t>.</w:t>
      </w:r>
    </w:p>
    <w:p w14:paraId="29557F5D" w14:textId="77777777" w:rsidR="005846EA" w:rsidRPr="005846EA" w:rsidRDefault="005846EA" w:rsidP="005846EA">
      <w:pPr>
        <w:pStyle w:val="ListParagraph"/>
        <w:rPr>
          <w:rFonts w:ascii="Arial" w:eastAsia="Times New Roman" w:hAnsi="Arial" w:cs="Arial"/>
        </w:rPr>
      </w:pPr>
    </w:p>
    <w:p w14:paraId="3AC436B0" w14:textId="531960FF" w:rsidR="00F22F6C" w:rsidRPr="00F25977" w:rsidRDefault="00F22F6C" w:rsidP="00F22F6C">
      <w:pPr>
        <w:pStyle w:val="ListParagraph"/>
        <w:numPr>
          <w:ilvl w:val="0"/>
          <w:numId w:val="2"/>
        </w:numPr>
        <w:spacing w:line="360" w:lineRule="auto"/>
        <w:ind w:left="0" w:firstLine="0"/>
        <w:jc w:val="both"/>
        <w:rPr>
          <w:rFonts w:ascii="Arial" w:hAnsi="Arial" w:cs="Arial"/>
        </w:rPr>
      </w:pPr>
      <w:r w:rsidRPr="00F25977">
        <w:rPr>
          <w:rFonts w:ascii="Arial" w:eastAsia="Times New Roman" w:hAnsi="Arial" w:cs="Arial"/>
        </w:rPr>
        <w:lastRenderedPageBreak/>
        <w:t xml:space="preserve">Significantly, it was </w:t>
      </w:r>
      <w:r w:rsidR="003128A1">
        <w:rPr>
          <w:rFonts w:ascii="Arial" w:eastAsia="Times New Roman" w:hAnsi="Arial" w:cs="Arial"/>
        </w:rPr>
        <w:t xml:space="preserve">later </w:t>
      </w:r>
      <w:r w:rsidRPr="00F25977">
        <w:rPr>
          <w:rFonts w:ascii="Arial" w:eastAsia="Times New Roman" w:hAnsi="Arial" w:cs="Arial"/>
        </w:rPr>
        <w:t xml:space="preserve">acknowledged in the internal motivation </w:t>
      </w:r>
      <w:r w:rsidR="00B95A64">
        <w:rPr>
          <w:rFonts w:ascii="Arial" w:eastAsia="Times New Roman" w:hAnsi="Arial" w:cs="Arial"/>
        </w:rPr>
        <w:t>of the BEC to</w:t>
      </w:r>
      <w:r w:rsidRPr="00F25977">
        <w:rPr>
          <w:rFonts w:ascii="Arial" w:eastAsia="Times New Roman" w:hAnsi="Arial" w:cs="Arial"/>
        </w:rPr>
        <w:t xml:space="preserve"> the ACSA Board </w:t>
      </w:r>
      <w:r>
        <w:rPr>
          <w:rFonts w:ascii="Arial" w:eastAsia="Times New Roman" w:hAnsi="Arial" w:cs="Arial"/>
        </w:rPr>
        <w:t>that</w:t>
      </w:r>
      <w:r w:rsidR="003128A1">
        <w:rPr>
          <w:rFonts w:ascii="Arial" w:eastAsia="Times New Roman" w:hAnsi="Arial" w:cs="Arial"/>
        </w:rPr>
        <w:t>:</w:t>
      </w:r>
      <w:r>
        <w:rPr>
          <w:rFonts w:ascii="Arial" w:eastAsia="Times New Roman" w:hAnsi="Arial" w:cs="Arial"/>
        </w:rPr>
        <w:t xml:space="preserve"> </w:t>
      </w:r>
    </w:p>
    <w:p w14:paraId="1472CFB0" w14:textId="77777777" w:rsidR="00F22F6C" w:rsidRPr="00F25977" w:rsidRDefault="00F22F6C" w:rsidP="00F22F6C">
      <w:pPr>
        <w:pStyle w:val="ListParagraph"/>
        <w:rPr>
          <w:rFonts w:ascii="Arial" w:eastAsia="Times New Roman" w:hAnsi="Arial" w:cs="Arial"/>
          <w:i/>
          <w:iCs/>
        </w:rPr>
      </w:pPr>
    </w:p>
    <w:p w14:paraId="5CDB73B3" w14:textId="7F4C8007" w:rsidR="00F22F6C" w:rsidRPr="00C619D8" w:rsidRDefault="00F22F6C" w:rsidP="00F22F6C">
      <w:pPr>
        <w:pStyle w:val="ListParagraph"/>
        <w:spacing w:line="360" w:lineRule="auto"/>
        <w:ind w:left="0"/>
        <w:jc w:val="both"/>
        <w:rPr>
          <w:rFonts w:ascii="Arial" w:eastAsia="Times New Roman" w:hAnsi="Arial" w:cs="Arial"/>
          <w:sz w:val="22"/>
          <w:szCs w:val="22"/>
        </w:rPr>
      </w:pPr>
      <w:r w:rsidRPr="00BD0291">
        <w:rPr>
          <w:rFonts w:ascii="Arial" w:eastAsia="Times New Roman" w:hAnsi="Arial" w:cs="Arial"/>
          <w:iCs/>
        </w:rPr>
        <w:t>“</w:t>
      </w:r>
      <w:r w:rsidRPr="00C619D8">
        <w:rPr>
          <w:rFonts w:ascii="Arial" w:eastAsia="Times New Roman" w:hAnsi="Arial" w:cs="Arial"/>
          <w:iCs/>
          <w:sz w:val="22"/>
          <w:szCs w:val="22"/>
        </w:rPr>
        <w:t>Tourvest Holdings nevertheless declared their relationship with the other bidder, Siyazisiza Trust as required in the bid conditions</w:t>
      </w:r>
      <w:r w:rsidR="005846EA" w:rsidRPr="00C619D8">
        <w:rPr>
          <w:rFonts w:ascii="Arial" w:eastAsia="Times New Roman" w:hAnsi="Arial" w:cs="Arial"/>
          <w:iCs/>
          <w:sz w:val="22"/>
          <w:szCs w:val="22"/>
        </w:rPr>
        <w:t>.</w:t>
      </w:r>
      <w:r w:rsidRPr="00C619D8">
        <w:rPr>
          <w:rFonts w:ascii="Arial" w:eastAsia="Times New Roman" w:hAnsi="Arial" w:cs="Arial"/>
          <w:iCs/>
          <w:sz w:val="22"/>
          <w:szCs w:val="22"/>
        </w:rPr>
        <w:t>”</w:t>
      </w:r>
    </w:p>
    <w:p w14:paraId="3F1B0924" w14:textId="77777777" w:rsidR="00F25977" w:rsidRPr="00C619D8" w:rsidRDefault="00F25977" w:rsidP="00F25977">
      <w:pPr>
        <w:pStyle w:val="ListParagraph"/>
        <w:spacing w:line="360" w:lineRule="auto"/>
        <w:ind w:left="0"/>
        <w:jc w:val="both"/>
        <w:rPr>
          <w:rFonts w:ascii="Arial" w:hAnsi="Arial" w:cs="Arial"/>
          <w:sz w:val="22"/>
          <w:szCs w:val="22"/>
        </w:rPr>
      </w:pPr>
    </w:p>
    <w:p w14:paraId="40325736" w14:textId="77777777" w:rsidR="00F25977" w:rsidRPr="00F25977" w:rsidRDefault="00F25977" w:rsidP="00F25977">
      <w:pPr>
        <w:pStyle w:val="ListParagraph"/>
        <w:rPr>
          <w:rFonts w:ascii="Arial" w:hAnsi="Arial" w:cs="Arial"/>
          <w:lang w:val="en-US"/>
        </w:rPr>
      </w:pPr>
    </w:p>
    <w:p w14:paraId="4D7890B6" w14:textId="39339F7E" w:rsidR="00B95A64" w:rsidRPr="00C62F32" w:rsidRDefault="00555C46" w:rsidP="0071119B">
      <w:pPr>
        <w:pStyle w:val="ListParagraph"/>
        <w:numPr>
          <w:ilvl w:val="0"/>
          <w:numId w:val="2"/>
        </w:numPr>
        <w:spacing w:line="360" w:lineRule="auto"/>
        <w:ind w:left="0" w:firstLine="0"/>
        <w:jc w:val="both"/>
        <w:rPr>
          <w:rFonts w:ascii="Arial" w:hAnsi="Arial" w:cs="Arial"/>
        </w:rPr>
      </w:pPr>
      <w:r>
        <w:rPr>
          <w:rFonts w:ascii="Arial" w:hAnsi="Arial" w:cs="Arial"/>
        </w:rPr>
        <w:t>In light of the fact that the Trust’s bid was technically not allowed in</w:t>
      </w:r>
      <w:r w:rsidR="008854F2">
        <w:rPr>
          <w:rFonts w:ascii="Arial" w:hAnsi="Arial" w:cs="Arial"/>
        </w:rPr>
        <w:t>,</w:t>
      </w:r>
      <w:r>
        <w:rPr>
          <w:rFonts w:ascii="Arial" w:hAnsi="Arial" w:cs="Arial"/>
        </w:rPr>
        <w:t xml:space="preserve"> Mr Maritz SC argued on behalf of Tourvest that this Court should find that there was no tendering </w:t>
      </w:r>
      <w:r w:rsidR="004E0391">
        <w:rPr>
          <w:rFonts w:ascii="Arial" w:hAnsi="Arial" w:cs="Arial"/>
        </w:rPr>
        <w:t xml:space="preserve">to speak of and that section 4(1)(b) was thus not even engaged. We have decided that </w:t>
      </w:r>
      <w:r w:rsidR="00C619D8">
        <w:rPr>
          <w:rFonts w:ascii="Arial" w:hAnsi="Arial" w:cs="Arial"/>
        </w:rPr>
        <w:t>,</w:t>
      </w:r>
      <w:r w:rsidR="004E0391">
        <w:rPr>
          <w:rFonts w:ascii="Arial" w:hAnsi="Arial" w:cs="Arial"/>
        </w:rPr>
        <w:t>in light of the findings of the Tribunal</w:t>
      </w:r>
      <w:r w:rsidR="00B95A64">
        <w:rPr>
          <w:rFonts w:ascii="Arial" w:hAnsi="Arial" w:cs="Arial"/>
        </w:rPr>
        <w:t>,</w:t>
      </w:r>
      <w:r w:rsidR="005D3C9E">
        <w:rPr>
          <w:rFonts w:ascii="Arial" w:hAnsi="Arial" w:cs="Arial"/>
        </w:rPr>
        <w:t xml:space="preserve"> it is </w:t>
      </w:r>
      <w:r w:rsidR="004E0391">
        <w:rPr>
          <w:rFonts w:ascii="Arial" w:hAnsi="Arial" w:cs="Arial"/>
        </w:rPr>
        <w:t>best that the matter be dealt with on competition princ</w:t>
      </w:r>
      <w:r w:rsidR="007809D8">
        <w:rPr>
          <w:rFonts w:ascii="Arial" w:hAnsi="Arial" w:cs="Arial"/>
        </w:rPr>
        <w:t>iples and on the arguments made on behalf of Tourvest  by M</w:t>
      </w:r>
      <w:r w:rsidR="003128A1">
        <w:rPr>
          <w:rFonts w:ascii="Arial" w:hAnsi="Arial" w:cs="Arial"/>
        </w:rPr>
        <w:t>r</w:t>
      </w:r>
      <w:r w:rsidR="007809D8">
        <w:rPr>
          <w:rFonts w:ascii="Arial" w:hAnsi="Arial" w:cs="Arial"/>
        </w:rPr>
        <w:t xml:space="preserve"> Wilson SC and</w:t>
      </w:r>
      <w:r w:rsidR="005A277A">
        <w:rPr>
          <w:rFonts w:ascii="Arial" w:hAnsi="Arial" w:cs="Arial"/>
        </w:rPr>
        <w:t xml:space="preserve"> by</w:t>
      </w:r>
      <w:r w:rsidR="007809D8">
        <w:rPr>
          <w:rFonts w:ascii="Arial" w:hAnsi="Arial" w:cs="Arial"/>
        </w:rPr>
        <w:t xml:space="preserve"> M</w:t>
      </w:r>
      <w:r w:rsidR="00BD0291">
        <w:rPr>
          <w:rFonts w:ascii="Arial" w:hAnsi="Arial" w:cs="Arial"/>
        </w:rPr>
        <w:t>aenetje</w:t>
      </w:r>
      <w:r w:rsidR="007809D8">
        <w:rPr>
          <w:rFonts w:ascii="Arial" w:hAnsi="Arial" w:cs="Arial"/>
        </w:rPr>
        <w:t xml:space="preserve"> SC for</w:t>
      </w:r>
      <w:r w:rsidR="00BD0291">
        <w:rPr>
          <w:rFonts w:ascii="Arial" w:hAnsi="Arial" w:cs="Arial"/>
        </w:rPr>
        <w:t xml:space="preserve"> the Trust</w:t>
      </w:r>
      <w:r w:rsidR="00FD0BC8">
        <w:rPr>
          <w:rFonts w:ascii="Arial" w:hAnsi="Arial" w:cs="Arial"/>
        </w:rPr>
        <w:t xml:space="preserve"> and Mr </w:t>
      </w:r>
      <w:r w:rsidR="00FD0BC8">
        <w:rPr>
          <w:rFonts w:ascii="Arial" w:eastAsia="Calibri" w:hAnsi="Arial" w:cs="Arial"/>
          <w:bCs/>
        </w:rPr>
        <w:t xml:space="preserve"> Ngcukaitobi SC for the Commission.</w:t>
      </w:r>
    </w:p>
    <w:p w14:paraId="34B3AC07" w14:textId="77777777" w:rsidR="00B95A64" w:rsidRDefault="00B95A64" w:rsidP="0071119B">
      <w:pPr>
        <w:pStyle w:val="ListParagraph"/>
        <w:spacing w:line="360" w:lineRule="auto"/>
        <w:ind w:left="0"/>
        <w:jc w:val="both"/>
        <w:rPr>
          <w:rFonts w:ascii="Arial" w:hAnsi="Arial" w:cs="Arial"/>
        </w:rPr>
      </w:pPr>
    </w:p>
    <w:p w14:paraId="4F5CF09F" w14:textId="6AFD2CA6" w:rsidR="00BD0291" w:rsidRPr="00C62F32" w:rsidRDefault="0071119B" w:rsidP="00C62F32">
      <w:pPr>
        <w:spacing w:line="360" w:lineRule="auto"/>
        <w:jc w:val="both"/>
        <w:rPr>
          <w:rFonts w:ascii="Arial" w:hAnsi="Arial" w:cs="Arial"/>
          <w:b/>
          <w:sz w:val="24"/>
          <w:szCs w:val="24"/>
          <w:lang w:val="en-GB"/>
        </w:rPr>
      </w:pPr>
      <w:r w:rsidRPr="00B95A64">
        <w:rPr>
          <w:rFonts w:ascii="Arial" w:hAnsi="Arial" w:cs="Arial"/>
          <w:b/>
          <w:sz w:val="24"/>
          <w:szCs w:val="24"/>
          <w:lang w:val="en-GB"/>
        </w:rPr>
        <w:t>The Disputes</w:t>
      </w:r>
    </w:p>
    <w:p w14:paraId="77AEBE05" w14:textId="2E0A6A6C" w:rsidR="00F25977" w:rsidRPr="00EA7572" w:rsidRDefault="00D939F1" w:rsidP="00EA7572">
      <w:pPr>
        <w:pStyle w:val="ListParagraph"/>
        <w:numPr>
          <w:ilvl w:val="0"/>
          <w:numId w:val="2"/>
        </w:numPr>
        <w:spacing w:line="360" w:lineRule="auto"/>
        <w:ind w:left="0" w:firstLine="0"/>
        <w:jc w:val="both"/>
        <w:rPr>
          <w:rFonts w:ascii="Arial" w:hAnsi="Arial" w:cs="Arial"/>
        </w:rPr>
      </w:pPr>
      <w:r w:rsidRPr="00F25977">
        <w:rPr>
          <w:rFonts w:ascii="Arial" w:hAnsi="Arial" w:cs="Arial"/>
          <w:lang w:val="en-US"/>
        </w:rPr>
        <w:t xml:space="preserve"> </w:t>
      </w:r>
      <w:r w:rsidRPr="00B95A64">
        <w:rPr>
          <w:rFonts w:ascii="Arial" w:hAnsi="Arial" w:cs="Arial"/>
          <w:u w:val="single"/>
          <w:lang w:val="en-US"/>
        </w:rPr>
        <w:t>First,</w:t>
      </w:r>
      <w:r w:rsidRPr="00F25977">
        <w:rPr>
          <w:rFonts w:ascii="Arial" w:hAnsi="Arial" w:cs="Arial"/>
          <w:lang w:val="en-US"/>
        </w:rPr>
        <w:t xml:space="preserve"> there is a dispute as to the existence of a horizontal relationship.</w:t>
      </w:r>
      <w:r w:rsidR="00F6575A">
        <w:rPr>
          <w:rFonts w:ascii="Arial" w:hAnsi="Arial" w:cs="Arial"/>
          <w:lang w:val="en-US"/>
        </w:rPr>
        <w:t xml:space="preserve"> The </w:t>
      </w:r>
      <w:r w:rsidRPr="00F25977">
        <w:rPr>
          <w:rFonts w:ascii="Arial" w:hAnsi="Arial" w:cs="Arial"/>
          <w:lang w:val="en-US"/>
        </w:rPr>
        <w:t>Commission arg</w:t>
      </w:r>
      <w:r w:rsidR="00F6575A">
        <w:rPr>
          <w:rFonts w:ascii="Arial" w:hAnsi="Arial" w:cs="Arial"/>
          <w:lang w:val="en-US"/>
        </w:rPr>
        <w:t>ued and the Tribunal found that</w:t>
      </w:r>
      <w:r w:rsidRPr="00F25977">
        <w:rPr>
          <w:rFonts w:ascii="Arial" w:hAnsi="Arial" w:cs="Arial"/>
          <w:lang w:val="en-US"/>
        </w:rPr>
        <w:t xml:space="preserve"> Tourvest and the Trust became actual or potential competitors when they tendered for Opportunity 3 and </w:t>
      </w:r>
      <w:r w:rsidR="00FD0BC8" w:rsidRPr="00F25977">
        <w:rPr>
          <w:rFonts w:ascii="Arial" w:hAnsi="Arial" w:cs="Arial"/>
          <w:lang w:val="en-US"/>
        </w:rPr>
        <w:t>that they</w:t>
      </w:r>
      <w:r w:rsidRPr="00F25977">
        <w:rPr>
          <w:rFonts w:ascii="Arial" w:hAnsi="Arial" w:cs="Arial"/>
          <w:lang w:val="en-US"/>
        </w:rPr>
        <w:t xml:space="preserve"> were</w:t>
      </w:r>
      <w:r w:rsidR="00FD0BC8">
        <w:rPr>
          <w:rFonts w:ascii="Arial" w:hAnsi="Arial" w:cs="Arial"/>
          <w:lang w:val="en-US"/>
        </w:rPr>
        <w:t>,</w:t>
      </w:r>
      <w:r w:rsidRPr="00F25977">
        <w:rPr>
          <w:rFonts w:ascii="Arial" w:hAnsi="Arial" w:cs="Arial"/>
          <w:lang w:val="en-US"/>
        </w:rPr>
        <w:t xml:space="preserve"> </w:t>
      </w:r>
      <w:r w:rsidR="005A277A">
        <w:rPr>
          <w:rFonts w:ascii="Arial" w:hAnsi="Arial" w:cs="Arial"/>
          <w:lang w:val="en-US"/>
        </w:rPr>
        <w:t>thus</w:t>
      </w:r>
      <w:r w:rsidR="00FD0BC8">
        <w:rPr>
          <w:rFonts w:ascii="Arial" w:hAnsi="Arial" w:cs="Arial"/>
          <w:lang w:val="en-US"/>
        </w:rPr>
        <w:t>,</w:t>
      </w:r>
      <w:r w:rsidR="005A277A">
        <w:rPr>
          <w:rFonts w:ascii="Arial" w:hAnsi="Arial" w:cs="Arial"/>
          <w:lang w:val="en-US"/>
        </w:rPr>
        <w:t xml:space="preserve"> </w:t>
      </w:r>
      <w:r w:rsidRPr="00F25977">
        <w:rPr>
          <w:rFonts w:ascii="Arial" w:hAnsi="Arial" w:cs="Arial"/>
          <w:lang w:val="en-US"/>
        </w:rPr>
        <w:t>in a horizontal relationship for the purposes of the sect</w:t>
      </w:r>
      <w:r w:rsidR="00EA7572">
        <w:rPr>
          <w:rFonts w:ascii="Arial" w:hAnsi="Arial" w:cs="Arial"/>
          <w:lang w:val="en-US"/>
        </w:rPr>
        <w:t>ion 4(1)(b)</w:t>
      </w:r>
      <w:r w:rsidRPr="00F25977">
        <w:rPr>
          <w:rFonts w:ascii="Arial" w:hAnsi="Arial" w:cs="Arial"/>
          <w:lang w:val="en-US"/>
        </w:rPr>
        <w:t>.</w:t>
      </w:r>
      <w:r w:rsidR="00EA7572">
        <w:rPr>
          <w:rFonts w:ascii="Arial" w:hAnsi="Arial" w:cs="Arial"/>
        </w:rPr>
        <w:t xml:space="preserve"> </w:t>
      </w:r>
      <w:r w:rsidRPr="00EA7572">
        <w:rPr>
          <w:rFonts w:ascii="Arial" w:hAnsi="Arial" w:cs="Arial"/>
          <w:lang w:val="en-US"/>
        </w:rPr>
        <w:t xml:space="preserve"> Tourvest and the Trust argue that </w:t>
      </w:r>
      <w:r w:rsidR="00BD0291" w:rsidRPr="00EA7572">
        <w:rPr>
          <w:rFonts w:ascii="Arial" w:hAnsi="Arial" w:cs="Arial"/>
          <w:lang w:val="en-US"/>
        </w:rPr>
        <w:t xml:space="preserve">accepted </w:t>
      </w:r>
      <w:r w:rsidR="00D27226" w:rsidRPr="00EA7572">
        <w:rPr>
          <w:rFonts w:ascii="Arial" w:hAnsi="Arial" w:cs="Arial"/>
          <w:lang w:val="en-US"/>
        </w:rPr>
        <w:t xml:space="preserve">competition law and economic principles dictate that </w:t>
      </w:r>
      <w:r w:rsidRPr="00EA7572">
        <w:rPr>
          <w:rFonts w:ascii="Arial" w:hAnsi="Arial" w:cs="Arial"/>
          <w:lang w:val="en-US"/>
        </w:rPr>
        <w:t>the i</w:t>
      </w:r>
      <w:r w:rsidR="00F25977" w:rsidRPr="00EA7572">
        <w:rPr>
          <w:rFonts w:ascii="Arial" w:hAnsi="Arial" w:cs="Arial"/>
          <w:lang w:val="en-US"/>
        </w:rPr>
        <w:t>nquiry into horizontality</w:t>
      </w:r>
      <w:r w:rsidRPr="00EA7572">
        <w:rPr>
          <w:rFonts w:ascii="Arial" w:hAnsi="Arial" w:cs="Arial"/>
          <w:lang w:val="en-US"/>
        </w:rPr>
        <w:t xml:space="preserve"> be </w:t>
      </w:r>
      <w:r w:rsidR="00F6575A" w:rsidRPr="00EA7572">
        <w:rPr>
          <w:rFonts w:ascii="Arial" w:hAnsi="Arial" w:cs="Arial"/>
          <w:lang w:val="en-US"/>
        </w:rPr>
        <w:t>characterized</w:t>
      </w:r>
      <w:r w:rsidRPr="00EA7572">
        <w:rPr>
          <w:rFonts w:ascii="Arial" w:hAnsi="Arial" w:cs="Arial"/>
          <w:lang w:val="en-US"/>
        </w:rPr>
        <w:t xml:space="preserve"> </w:t>
      </w:r>
      <w:r w:rsidR="00F25977" w:rsidRPr="00EA7572">
        <w:rPr>
          <w:rFonts w:ascii="Arial" w:hAnsi="Arial" w:cs="Arial"/>
          <w:lang w:val="en-US"/>
        </w:rPr>
        <w:t>absent the</w:t>
      </w:r>
      <w:r w:rsidRPr="00EA7572">
        <w:rPr>
          <w:rFonts w:ascii="Arial" w:hAnsi="Arial" w:cs="Arial"/>
          <w:lang w:val="en-US"/>
        </w:rPr>
        <w:t xml:space="preserve"> impugned agreement and that the Tribunal erred in failing to apply t</w:t>
      </w:r>
      <w:r w:rsidR="00F25977" w:rsidRPr="00EA7572">
        <w:rPr>
          <w:rFonts w:ascii="Arial" w:hAnsi="Arial" w:cs="Arial"/>
          <w:lang w:val="en-US"/>
        </w:rPr>
        <w:t xml:space="preserve">hese principles to </w:t>
      </w:r>
      <w:r w:rsidR="00EA7572" w:rsidRPr="00EA7572">
        <w:rPr>
          <w:rFonts w:ascii="Arial" w:hAnsi="Arial" w:cs="Arial"/>
          <w:lang w:val="en-US"/>
        </w:rPr>
        <w:t xml:space="preserve">this </w:t>
      </w:r>
      <w:r w:rsidR="00EA7572">
        <w:rPr>
          <w:rFonts w:ascii="Arial" w:hAnsi="Arial" w:cs="Arial"/>
          <w:lang w:val="en-US"/>
        </w:rPr>
        <w:t xml:space="preserve">part of the characterization </w:t>
      </w:r>
      <w:r w:rsidR="00F25977" w:rsidRPr="00EA7572">
        <w:rPr>
          <w:rFonts w:ascii="Arial" w:hAnsi="Arial" w:cs="Arial"/>
          <w:lang w:val="en-US"/>
        </w:rPr>
        <w:t>inquiry</w:t>
      </w:r>
      <w:r w:rsidR="00EA7572" w:rsidRPr="00EA7572">
        <w:rPr>
          <w:rFonts w:ascii="Arial" w:hAnsi="Arial" w:cs="Arial"/>
          <w:lang w:val="en-US"/>
        </w:rPr>
        <w:t>.</w:t>
      </w:r>
    </w:p>
    <w:p w14:paraId="49B53A92" w14:textId="77777777" w:rsidR="00F25977" w:rsidRPr="00F25977" w:rsidRDefault="00F25977" w:rsidP="00F25977">
      <w:pPr>
        <w:pStyle w:val="ListParagraph"/>
        <w:rPr>
          <w:rFonts w:ascii="Arial" w:hAnsi="Arial" w:cs="Arial"/>
          <w:lang w:val="en-US"/>
        </w:rPr>
      </w:pPr>
    </w:p>
    <w:p w14:paraId="3D7C20BE" w14:textId="154C8E08" w:rsidR="00F25977" w:rsidRPr="005A277A" w:rsidRDefault="00D939F1" w:rsidP="005A277A">
      <w:pPr>
        <w:pStyle w:val="ListParagraph"/>
        <w:numPr>
          <w:ilvl w:val="0"/>
          <w:numId w:val="2"/>
        </w:numPr>
        <w:spacing w:line="360" w:lineRule="auto"/>
        <w:ind w:left="0" w:firstLine="0"/>
        <w:jc w:val="both"/>
        <w:rPr>
          <w:rFonts w:ascii="Arial" w:hAnsi="Arial" w:cs="Arial"/>
          <w:lang w:val="en-US"/>
        </w:rPr>
      </w:pPr>
      <w:r w:rsidRPr="00B95A64">
        <w:rPr>
          <w:rFonts w:ascii="Arial" w:hAnsi="Arial" w:cs="Arial"/>
          <w:u w:val="single"/>
          <w:lang w:val="en-US"/>
        </w:rPr>
        <w:t>Second</w:t>
      </w:r>
      <w:r w:rsidRPr="00D27226">
        <w:rPr>
          <w:rFonts w:ascii="Arial" w:hAnsi="Arial" w:cs="Arial"/>
          <w:lang w:val="en-US"/>
        </w:rPr>
        <w:t xml:space="preserve">, there is a dispute as to whether the conduct was correctly </w:t>
      </w:r>
      <w:r w:rsidR="00EA7572" w:rsidRPr="00D27226">
        <w:rPr>
          <w:rFonts w:ascii="Arial" w:hAnsi="Arial" w:cs="Arial"/>
          <w:lang w:val="en-US"/>
        </w:rPr>
        <w:t>characterized</w:t>
      </w:r>
      <w:r w:rsidRPr="00D27226">
        <w:rPr>
          <w:rFonts w:ascii="Arial" w:hAnsi="Arial" w:cs="Arial"/>
          <w:lang w:val="en-US"/>
        </w:rPr>
        <w:t xml:space="preserve"> as collusive tendering. Tourvest and the Trust </w:t>
      </w:r>
      <w:r w:rsidR="00B95A64">
        <w:rPr>
          <w:rFonts w:ascii="Arial" w:hAnsi="Arial" w:cs="Arial"/>
          <w:lang w:val="en-US"/>
        </w:rPr>
        <w:t>argue</w:t>
      </w:r>
      <w:r w:rsidRPr="00D27226">
        <w:rPr>
          <w:rFonts w:ascii="Arial" w:hAnsi="Arial" w:cs="Arial"/>
          <w:lang w:val="en-US"/>
        </w:rPr>
        <w:t xml:space="preserve"> that the bids were n</w:t>
      </w:r>
      <w:r w:rsidR="00B95A64">
        <w:rPr>
          <w:rFonts w:ascii="Arial" w:hAnsi="Arial" w:cs="Arial"/>
          <w:lang w:val="en-US"/>
        </w:rPr>
        <w:t>either</w:t>
      </w:r>
      <w:r w:rsidRPr="00D27226">
        <w:rPr>
          <w:rFonts w:ascii="Arial" w:hAnsi="Arial" w:cs="Arial"/>
          <w:lang w:val="en-US"/>
        </w:rPr>
        <w:t xml:space="preserve"> intended to be </w:t>
      </w:r>
      <w:r w:rsidR="00B95A64">
        <w:rPr>
          <w:rFonts w:ascii="Arial" w:hAnsi="Arial" w:cs="Arial"/>
          <w:lang w:val="en-US"/>
        </w:rPr>
        <w:t>n</w:t>
      </w:r>
      <w:r w:rsidRPr="00D27226">
        <w:rPr>
          <w:rFonts w:ascii="Arial" w:hAnsi="Arial" w:cs="Arial"/>
          <w:lang w:val="en-US"/>
        </w:rPr>
        <w:t>or portrayed as competing bids but rather as alternative forms of the same bid.</w:t>
      </w:r>
      <w:r w:rsidR="00F25977" w:rsidRPr="00D27226">
        <w:rPr>
          <w:rFonts w:ascii="Arial" w:hAnsi="Arial" w:cs="Arial"/>
          <w:lang w:val="en-US"/>
        </w:rPr>
        <w:t xml:space="preserve"> </w:t>
      </w:r>
      <w:r w:rsidR="00F25977" w:rsidRPr="005A277A">
        <w:rPr>
          <w:rFonts w:ascii="Arial" w:hAnsi="Arial" w:cs="Arial"/>
          <w:lang w:val="en-US"/>
        </w:rPr>
        <w:t xml:space="preserve">The Commission argues that the </w:t>
      </w:r>
      <w:r w:rsidR="00F6575A" w:rsidRPr="005A277A">
        <w:rPr>
          <w:rFonts w:ascii="Arial" w:hAnsi="Arial" w:cs="Arial"/>
          <w:lang w:val="en-US"/>
        </w:rPr>
        <w:t xml:space="preserve">conduct of </w:t>
      </w:r>
      <w:r w:rsidRPr="005A277A">
        <w:rPr>
          <w:rFonts w:ascii="Arial" w:hAnsi="Arial" w:cs="Arial"/>
          <w:lang w:val="en-US"/>
        </w:rPr>
        <w:t xml:space="preserve">submitting materially the same bid constitutes collusive tendering in terms of section 4(1)(b) and </w:t>
      </w:r>
      <w:r w:rsidR="00D27226" w:rsidRPr="005A277A">
        <w:rPr>
          <w:rFonts w:ascii="Arial" w:hAnsi="Arial" w:cs="Arial"/>
          <w:lang w:val="en-US"/>
        </w:rPr>
        <w:t xml:space="preserve">that </w:t>
      </w:r>
      <w:r w:rsidRPr="005A277A">
        <w:rPr>
          <w:rFonts w:ascii="Arial" w:hAnsi="Arial" w:cs="Arial"/>
          <w:lang w:val="en-US"/>
        </w:rPr>
        <w:t xml:space="preserve">the intention of the parties and </w:t>
      </w:r>
      <w:r w:rsidR="00FD0BC8" w:rsidRPr="005A277A">
        <w:rPr>
          <w:rFonts w:ascii="Arial" w:hAnsi="Arial" w:cs="Arial"/>
          <w:lang w:val="en-US"/>
        </w:rPr>
        <w:t xml:space="preserve">object </w:t>
      </w:r>
      <w:r w:rsidR="00FD0BC8">
        <w:rPr>
          <w:rFonts w:ascii="Arial" w:hAnsi="Arial" w:cs="Arial"/>
          <w:lang w:val="en-US"/>
        </w:rPr>
        <w:t>and</w:t>
      </w:r>
      <w:r w:rsidR="00B95A64">
        <w:rPr>
          <w:rFonts w:ascii="Arial" w:hAnsi="Arial" w:cs="Arial"/>
          <w:lang w:val="en-US"/>
        </w:rPr>
        <w:t xml:space="preserve"> effect </w:t>
      </w:r>
      <w:r w:rsidRPr="005A277A">
        <w:rPr>
          <w:rFonts w:ascii="Arial" w:hAnsi="Arial" w:cs="Arial"/>
          <w:lang w:val="en-US"/>
        </w:rPr>
        <w:t xml:space="preserve">of the collaboration is irrelevant given the </w:t>
      </w:r>
      <w:r w:rsidR="00B95A64">
        <w:rPr>
          <w:rFonts w:ascii="Arial" w:hAnsi="Arial" w:cs="Arial"/>
          <w:lang w:val="en-US"/>
        </w:rPr>
        <w:t>per se</w:t>
      </w:r>
      <w:r w:rsidRPr="005A277A">
        <w:rPr>
          <w:rFonts w:ascii="Arial" w:hAnsi="Arial" w:cs="Arial"/>
          <w:i/>
          <w:lang w:val="en-US"/>
        </w:rPr>
        <w:t xml:space="preserve"> </w:t>
      </w:r>
      <w:r w:rsidRPr="005A277A">
        <w:rPr>
          <w:rFonts w:ascii="Arial" w:hAnsi="Arial" w:cs="Arial"/>
          <w:lang w:val="en-US"/>
        </w:rPr>
        <w:t>status of the prohibition.</w:t>
      </w:r>
    </w:p>
    <w:p w14:paraId="12C86EF0" w14:textId="77777777" w:rsidR="00F25977" w:rsidRPr="00F25977" w:rsidRDefault="00F25977" w:rsidP="00F25977">
      <w:pPr>
        <w:pStyle w:val="ListParagraph"/>
        <w:rPr>
          <w:rFonts w:ascii="Arial" w:hAnsi="Arial" w:cs="Arial"/>
        </w:rPr>
      </w:pPr>
    </w:p>
    <w:p w14:paraId="35EF1C78" w14:textId="6F6309FA" w:rsidR="00F25977" w:rsidRPr="00C62F32" w:rsidRDefault="00D939F1" w:rsidP="00C62F32">
      <w:pPr>
        <w:pStyle w:val="ListParagraph"/>
        <w:numPr>
          <w:ilvl w:val="0"/>
          <w:numId w:val="2"/>
        </w:numPr>
        <w:spacing w:line="360" w:lineRule="auto"/>
        <w:ind w:left="0" w:firstLine="0"/>
        <w:jc w:val="both"/>
        <w:rPr>
          <w:rFonts w:ascii="Arial" w:hAnsi="Arial" w:cs="Arial"/>
        </w:rPr>
      </w:pPr>
      <w:r w:rsidRPr="00F25977">
        <w:rPr>
          <w:rFonts w:ascii="Arial" w:hAnsi="Arial" w:cs="Arial"/>
        </w:rPr>
        <w:t>The Commission expressly abandoned its initial case that the respondents were competitors in a retail market prior to the submission of their bids. Thus</w:t>
      </w:r>
      <w:r w:rsidR="005A277A">
        <w:rPr>
          <w:rFonts w:ascii="Arial" w:hAnsi="Arial" w:cs="Arial"/>
        </w:rPr>
        <w:t>,</w:t>
      </w:r>
      <w:r w:rsidRPr="00F25977">
        <w:rPr>
          <w:rFonts w:ascii="Arial" w:hAnsi="Arial" w:cs="Arial"/>
        </w:rPr>
        <w:t xml:space="preserve"> the appeal centres on the</w:t>
      </w:r>
      <w:r w:rsidR="00A94295">
        <w:rPr>
          <w:rFonts w:ascii="Arial" w:hAnsi="Arial" w:cs="Arial"/>
        </w:rPr>
        <w:t xml:space="preserve"> characterization</w:t>
      </w:r>
      <w:r w:rsidRPr="00F25977">
        <w:rPr>
          <w:rFonts w:ascii="Arial" w:hAnsi="Arial" w:cs="Arial"/>
        </w:rPr>
        <w:t xml:space="preserve"> inquiry in relation to </w:t>
      </w:r>
      <w:r w:rsidR="00A94295">
        <w:rPr>
          <w:rFonts w:ascii="Arial" w:hAnsi="Arial" w:cs="Arial"/>
        </w:rPr>
        <w:t>the bid</w:t>
      </w:r>
      <w:r w:rsidR="008854F2">
        <w:rPr>
          <w:rFonts w:ascii="Arial" w:hAnsi="Arial" w:cs="Arial"/>
        </w:rPr>
        <w:t xml:space="preserve"> </w:t>
      </w:r>
      <w:r w:rsidR="00B95A64">
        <w:rPr>
          <w:rFonts w:ascii="Arial" w:hAnsi="Arial" w:cs="Arial"/>
        </w:rPr>
        <w:t>process</w:t>
      </w:r>
      <w:r w:rsidR="005A277A">
        <w:rPr>
          <w:rFonts w:ascii="Arial" w:hAnsi="Arial" w:cs="Arial"/>
        </w:rPr>
        <w:t xml:space="preserve"> </w:t>
      </w:r>
      <w:r w:rsidR="008854F2">
        <w:rPr>
          <w:rFonts w:ascii="Arial" w:hAnsi="Arial" w:cs="Arial"/>
        </w:rPr>
        <w:t>only</w:t>
      </w:r>
    </w:p>
    <w:p w14:paraId="0A9EA3C0" w14:textId="1E54AC65" w:rsidR="005A277A" w:rsidRPr="00B95A64" w:rsidRDefault="00F25977" w:rsidP="00F25977">
      <w:pPr>
        <w:pStyle w:val="ListParagraph"/>
        <w:numPr>
          <w:ilvl w:val="0"/>
          <w:numId w:val="2"/>
        </w:numPr>
        <w:spacing w:line="360" w:lineRule="auto"/>
        <w:ind w:left="0" w:firstLine="0"/>
        <w:jc w:val="both"/>
        <w:rPr>
          <w:rFonts w:ascii="Arial" w:hAnsi="Arial" w:cs="Arial"/>
        </w:rPr>
      </w:pPr>
      <w:r>
        <w:rPr>
          <w:rFonts w:ascii="Arial" w:hAnsi="Arial" w:cs="Arial"/>
        </w:rPr>
        <w:lastRenderedPageBreak/>
        <w:t>The Tribunal</w:t>
      </w:r>
      <w:r w:rsidR="00A73C56">
        <w:rPr>
          <w:rFonts w:ascii="Arial" w:hAnsi="Arial" w:cs="Arial"/>
        </w:rPr>
        <w:t xml:space="preserve"> found the appellant and the Trust guilty of collusive tendering. It imposed an administrative  penalty</w:t>
      </w:r>
      <w:r w:rsidR="00022F3A">
        <w:rPr>
          <w:rFonts w:ascii="Arial" w:hAnsi="Arial" w:cs="Arial"/>
        </w:rPr>
        <w:t xml:space="preserve"> on Tourvest in an amount of in excess of </w:t>
      </w:r>
      <w:r w:rsidR="009E5331">
        <w:rPr>
          <w:rFonts w:ascii="Arial" w:hAnsi="Arial" w:cs="Arial"/>
        </w:rPr>
        <w:t>R9 million but</w:t>
      </w:r>
      <w:r>
        <w:rPr>
          <w:rFonts w:ascii="Arial" w:hAnsi="Arial" w:cs="Arial"/>
        </w:rPr>
        <w:t xml:space="preserve"> did not </w:t>
      </w:r>
      <w:r w:rsidR="00D939F1" w:rsidRPr="00F25977">
        <w:rPr>
          <w:rFonts w:ascii="Arial" w:hAnsi="Arial" w:cs="Arial"/>
        </w:rPr>
        <w:t>impose an administrative penalty</w:t>
      </w:r>
      <w:r w:rsidR="009E5331">
        <w:rPr>
          <w:rFonts w:ascii="Arial" w:hAnsi="Arial" w:cs="Arial"/>
        </w:rPr>
        <w:t xml:space="preserve"> on</w:t>
      </w:r>
      <w:r w:rsidR="00D939F1" w:rsidRPr="00F25977">
        <w:rPr>
          <w:rFonts w:ascii="Arial" w:hAnsi="Arial" w:cs="Arial"/>
        </w:rPr>
        <w:t xml:space="preserve"> the Trust</w:t>
      </w:r>
      <w:r w:rsidR="00B95A64">
        <w:rPr>
          <w:rFonts w:ascii="Arial" w:hAnsi="Arial" w:cs="Arial"/>
        </w:rPr>
        <w:t xml:space="preserve"> given its non-profit status</w:t>
      </w:r>
      <w:r w:rsidR="00D939F1" w:rsidRPr="00F25977">
        <w:rPr>
          <w:rFonts w:ascii="Arial" w:hAnsi="Arial" w:cs="Arial"/>
        </w:rPr>
        <w:t xml:space="preserve">. The Commission does not appeal against the Tribunal decision in this respect. Tourvest </w:t>
      </w:r>
      <w:r w:rsidR="00FD0BC8">
        <w:rPr>
          <w:rFonts w:ascii="Arial" w:hAnsi="Arial" w:cs="Arial"/>
        </w:rPr>
        <w:t>appeals</w:t>
      </w:r>
      <w:r w:rsidR="00D939F1" w:rsidRPr="00F25977">
        <w:rPr>
          <w:rFonts w:ascii="Arial" w:hAnsi="Arial" w:cs="Arial"/>
        </w:rPr>
        <w:t xml:space="preserve"> the whole of the Tribunal’s decision.  </w:t>
      </w:r>
      <w:r w:rsidR="00FD0BC8">
        <w:rPr>
          <w:rFonts w:ascii="Arial" w:hAnsi="Arial" w:cs="Arial"/>
        </w:rPr>
        <w:t>Whilst t</w:t>
      </w:r>
      <w:r w:rsidR="00D939F1" w:rsidRPr="005A277A">
        <w:rPr>
          <w:rFonts w:ascii="Arial" w:hAnsi="Arial" w:cs="Arial"/>
        </w:rPr>
        <w:t xml:space="preserve">he Trust </w:t>
      </w:r>
      <w:r w:rsidR="009E5331" w:rsidRPr="005A277A">
        <w:rPr>
          <w:rFonts w:ascii="Arial" w:hAnsi="Arial" w:cs="Arial"/>
        </w:rPr>
        <w:t>does not</w:t>
      </w:r>
      <w:r w:rsidR="00D939F1" w:rsidRPr="005A277A">
        <w:rPr>
          <w:rFonts w:ascii="Arial" w:hAnsi="Arial" w:cs="Arial"/>
        </w:rPr>
        <w:t xml:space="preserve"> appeal </w:t>
      </w:r>
      <w:r w:rsidR="00FD0BC8">
        <w:rPr>
          <w:rFonts w:ascii="Arial" w:hAnsi="Arial" w:cs="Arial"/>
        </w:rPr>
        <w:t xml:space="preserve"> it did</w:t>
      </w:r>
      <w:r w:rsidRPr="005A277A">
        <w:rPr>
          <w:rFonts w:ascii="Arial" w:hAnsi="Arial" w:cs="Arial"/>
        </w:rPr>
        <w:t xml:space="preserve">  </w:t>
      </w:r>
      <w:r w:rsidR="00D939F1" w:rsidRPr="005A277A">
        <w:rPr>
          <w:rFonts w:ascii="Arial" w:hAnsi="Arial" w:cs="Arial"/>
        </w:rPr>
        <w:t xml:space="preserve">participate as a respondent in support of </w:t>
      </w:r>
      <w:r w:rsidR="00B95A64">
        <w:rPr>
          <w:rFonts w:ascii="Arial" w:hAnsi="Arial" w:cs="Arial"/>
        </w:rPr>
        <w:t>the appeal</w:t>
      </w:r>
      <w:r w:rsidR="00D939F1" w:rsidRPr="005A277A">
        <w:rPr>
          <w:rFonts w:ascii="Arial" w:hAnsi="Arial" w:cs="Arial"/>
        </w:rPr>
        <w:t xml:space="preserve">. </w:t>
      </w:r>
      <w:r w:rsidR="008854F2" w:rsidRPr="005A277A">
        <w:rPr>
          <w:rFonts w:ascii="Arial" w:hAnsi="Arial" w:cs="Arial"/>
        </w:rPr>
        <w:t>The</w:t>
      </w:r>
      <w:r w:rsidR="00D939F1" w:rsidRPr="005A277A">
        <w:rPr>
          <w:rFonts w:ascii="Arial" w:hAnsi="Arial" w:cs="Arial"/>
        </w:rPr>
        <w:t xml:space="preserve"> finding that it contravened section 4(1)(b)(iii) of the Act </w:t>
      </w:r>
      <w:r w:rsidR="00FD0BC8">
        <w:rPr>
          <w:rFonts w:ascii="Arial" w:hAnsi="Arial" w:cs="Arial"/>
        </w:rPr>
        <w:t xml:space="preserve">obviously </w:t>
      </w:r>
      <w:r w:rsidR="00D939F1" w:rsidRPr="005A277A">
        <w:rPr>
          <w:rFonts w:ascii="Arial" w:hAnsi="Arial" w:cs="Arial"/>
        </w:rPr>
        <w:t>impacts adversely upon t</w:t>
      </w:r>
      <w:r w:rsidRPr="005A277A">
        <w:rPr>
          <w:rFonts w:ascii="Arial" w:hAnsi="Arial" w:cs="Arial"/>
        </w:rPr>
        <w:t xml:space="preserve">he </w:t>
      </w:r>
      <w:r w:rsidR="00BE2320" w:rsidRPr="005A277A">
        <w:rPr>
          <w:rFonts w:ascii="Arial" w:hAnsi="Arial" w:cs="Arial"/>
        </w:rPr>
        <w:t>Trust’s</w:t>
      </w:r>
      <w:r w:rsidRPr="005A277A">
        <w:rPr>
          <w:rFonts w:ascii="Arial" w:hAnsi="Arial" w:cs="Arial"/>
        </w:rPr>
        <w:t xml:space="preserve"> reputation and  this</w:t>
      </w:r>
      <w:r w:rsidR="00D939F1" w:rsidRPr="005A277A">
        <w:rPr>
          <w:rFonts w:ascii="Arial" w:hAnsi="Arial" w:cs="Arial"/>
        </w:rPr>
        <w:t xml:space="preserve"> is material to its ability to attract donations to fund its activities. It r</w:t>
      </w:r>
      <w:r w:rsidRPr="005A277A">
        <w:rPr>
          <w:rFonts w:ascii="Arial" w:hAnsi="Arial" w:cs="Arial"/>
        </w:rPr>
        <w:t>elied on pro bono representation</w:t>
      </w:r>
      <w:r w:rsidR="00BE2320" w:rsidRPr="005A277A">
        <w:rPr>
          <w:rFonts w:ascii="Arial" w:hAnsi="Arial" w:cs="Arial"/>
        </w:rPr>
        <w:t xml:space="preserve"> in the appeal</w:t>
      </w:r>
      <w:r w:rsidRPr="005A277A">
        <w:rPr>
          <w:rFonts w:ascii="Arial" w:hAnsi="Arial" w:cs="Arial"/>
        </w:rPr>
        <w:t>.</w:t>
      </w:r>
    </w:p>
    <w:p w14:paraId="309A4E6B" w14:textId="77777777" w:rsidR="005A277A" w:rsidRPr="00D939F1" w:rsidRDefault="005A277A" w:rsidP="00F25977">
      <w:pPr>
        <w:spacing w:line="360" w:lineRule="auto"/>
        <w:jc w:val="both"/>
        <w:rPr>
          <w:rFonts w:ascii="Arial" w:hAnsi="Arial" w:cs="Arial"/>
          <w:sz w:val="24"/>
          <w:szCs w:val="24"/>
          <w:lang w:val="en-GB"/>
        </w:rPr>
      </w:pPr>
    </w:p>
    <w:p w14:paraId="517600B1" w14:textId="073850F3" w:rsidR="00F25977" w:rsidRPr="00F25977" w:rsidRDefault="00F25977" w:rsidP="00F25977">
      <w:pPr>
        <w:spacing w:line="360" w:lineRule="auto"/>
        <w:jc w:val="both"/>
        <w:rPr>
          <w:rFonts w:ascii="Arial" w:hAnsi="Arial" w:cs="Arial"/>
          <w:b/>
          <w:sz w:val="24"/>
          <w:szCs w:val="24"/>
          <w:lang w:val="en-GB"/>
        </w:rPr>
      </w:pPr>
      <w:r w:rsidRPr="00D939F1">
        <w:rPr>
          <w:rFonts w:ascii="Arial" w:hAnsi="Arial" w:cs="Arial"/>
          <w:b/>
          <w:sz w:val="24"/>
          <w:szCs w:val="24"/>
          <w:lang w:val="en-GB"/>
        </w:rPr>
        <w:t>The competition law and economic framework</w:t>
      </w:r>
    </w:p>
    <w:p w14:paraId="2C0B0111" w14:textId="77777777" w:rsidR="00F25977" w:rsidRPr="00F25977" w:rsidRDefault="00F25977" w:rsidP="00F25977">
      <w:pPr>
        <w:pStyle w:val="ListParagraph"/>
        <w:rPr>
          <w:rFonts w:ascii="Arial" w:hAnsi="Arial" w:cs="Arial"/>
          <w:lang w:val="en-US"/>
        </w:rPr>
      </w:pPr>
    </w:p>
    <w:p w14:paraId="684047AC" w14:textId="3EA70452" w:rsidR="00F25977" w:rsidRPr="00F25977" w:rsidRDefault="00D939F1" w:rsidP="00D939F1">
      <w:pPr>
        <w:pStyle w:val="ListParagraph"/>
        <w:numPr>
          <w:ilvl w:val="0"/>
          <w:numId w:val="2"/>
        </w:numPr>
        <w:spacing w:line="360" w:lineRule="auto"/>
        <w:ind w:left="0" w:firstLine="0"/>
        <w:jc w:val="both"/>
        <w:rPr>
          <w:rFonts w:ascii="Arial" w:hAnsi="Arial" w:cs="Arial"/>
        </w:rPr>
      </w:pPr>
      <w:r w:rsidRPr="00F25977">
        <w:rPr>
          <w:rFonts w:ascii="Arial" w:hAnsi="Arial" w:cs="Arial"/>
          <w:lang w:val="en-US"/>
        </w:rPr>
        <w:t xml:space="preserve">Section 4(1)(b) of the Act concerns the </w:t>
      </w:r>
      <w:r w:rsidRPr="00B95A64">
        <w:rPr>
          <w:rFonts w:ascii="Arial" w:hAnsi="Arial" w:cs="Arial"/>
          <w:lang w:val="en-US"/>
        </w:rPr>
        <w:t>per se</w:t>
      </w:r>
      <w:r w:rsidRPr="00F25977">
        <w:rPr>
          <w:rFonts w:ascii="Arial" w:hAnsi="Arial" w:cs="Arial"/>
          <w:lang w:val="en-US"/>
        </w:rPr>
        <w:t xml:space="preserve"> prohibition of specific collusive </w:t>
      </w:r>
      <w:r w:rsidR="00B95A64">
        <w:rPr>
          <w:rFonts w:ascii="Arial" w:hAnsi="Arial" w:cs="Arial"/>
          <w:lang w:val="en-US"/>
        </w:rPr>
        <w:t>practices</w:t>
      </w:r>
      <w:r w:rsidRPr="00F25977">
        <w:rPr>
          <w:rFonts w:ascii="Arial" w:hAnsi="Arial" w:cs="Arial"/>
          <w:lang w:val="en-US"/>
        </w:rPr>
        <w:t xml:space="preserve"> between competitors. The </w:t>
      </w:r>
      <w:r w:rsidRPr="00B95A64">
        <w:rPr>
          <w:rFonts w:ascii="Arial" w:hAnsi="Arial" w:cs="Arial"/>
          <w:lang w:val="en-US"/>
        </w:rPr>
        <w:t>per se</w:t>
      </w:r>
      <w:r w:rsidRPr="00F25977">
        <w:rPr>
          <w:rFonts w:ascii="Arial" w:hAnsi="Arial" w:cs="Arial"/>
          <w:lang w:val="en-US"/>
        </w:rPr>
        <w:t xml:space="preserve"> nature of the prohibition means that no defence is available if the conduct is found to fall within the </w:t>
      </w:r>
      <w:r w:rsidR="00B95A64">
        <w:rPr>
          <w:rFonts w:ascii="Arial" w:hAnsi="Arial" w:cs="Arial"/>
          <w:lang w:val="en-US"/>
        </w:rPr>
        <w:t>pracitices</w:t>
      </w:r>
      <w:r w:rsidRPr="00F25977">
        <w:rPr>
          <w:rFonts w:ascii="Arial" w:hAnsi="Arial" w:cs="Arial"/>
          <w:lang w:val="en-US"/>
        </w:rPr>
        <w:t xml:space="preserve"> described in this section of the Act.</w:t>
      </w:r>
      <w:r w:rsidRPr="00F25977">
        <w:rPr>
          <w:rFonts w:ascii="Arial" w:eastAsia="Times New Roman" w:hAnsi="Arial" w:cs="Arial"/>
          <w:color w:val="242121"/>
          <w:lang w:val="en-US"/>
        </w:rPr>
        <w:t xml:space="preserve"> </w:t>
      </w:r>
    </w:p>
    <w:p w14:paraId="7D186627" w14:textId="77777777" w:rsidR="00F25977" w:rsidRPr="00F25977" w:rsidRDefault="00F25977" w:rsidP="00F25977">
      <w:pPr>
        <w:pStyle w:val="ListParagraph"/>
        <w:spacing w:line="360" w:lineRule="auto"/>
        <w:ind w:left="0"/>
        <w:jc w:val="both"/>
        <w:rPr>
          <w:rFonts w:ascii="Arial" w:hAnsi="Arial" w:cs="Arial"/>
        </w:rPr>
      </w:pPr>
    </w:p>
    <w:p w14:paraId="1CAB09AB" w14:textId="77777777" w:rsidR="00F25977" w:rsidRDefault="00D939F1" w:rsidP="00D939F1">
      <w:pPr>
        <w:pStyle w:val="ListParagraph"/>
        <w:numPr>
          <w:ilvl w:val="0"/>
          <w:numId w:val="2"/>
        </w:numPr>
        <w:spacing w:line="360" w:lineRule="auto"/>
        <w:ind w:left="0" w:firstLine="0"/>
        <w:jc w:val="both"/>
        <w:rPr>
          <w:rFonts w:ascii="Arial" w:hAnsi="Arial" w:cs="Arial"/>
        </w:rPr>
      </w:pPr>
      <w:r w:rsidRPr="00F25977">
        <w:rPr>
          <w:rFonts w:ascii="Arial" w:hAnsi="Arial" w:cs="Arial"/>
        </w:rPr>
        <w:t>Section 4(1) provides as follows in relevant part –</w:t>
      </w:r>
    </w:p>
    <w:p w14:paraId="236A89CD" w14:textId="640F9A65" w:rsidR="00F25977" w:rsidRDefault="00F25977" w:rsidP="00F25977">
      <w:pPr>
        <w:pStyle w:val="ListParagraph"/>
        <w:spacing w:line="360" w:lineRule="auto"/>
        <w:ind w:left="0"/>
        <w:jc w:val="both"/>
        <w:rPr>
          <w:rFonts w:ascii="Arial" w:hAnsi="Arial" w:cs="Arial"/>
        </w:rPr>
      </w:pPr>
    </w:p>
    <w:p w14:paraId="14CA89BA" w14:textId="77777777" w:rsidR="00F25977" w:rsidRPr="0096665C" w:rsidRDefault="00F25977" w:rsidP="00F25977">
      <w:pPr>
        <w:spacing w:line="360" w:lineRule="auto"/>
        <w:jc w:val="both"/>
        <w:rPr>
          <w:rFonts w:ascii="Arial" w:hAnsi="Arial" w:cs="Arial"/>
        </w:rPr>
      </w:pPr>
      <w:r w:rsidRPr="0096665C">
        <w:rPr>
          <w:rFonts w:ascii="Arial" w:hAnsi="Arial" w:cs="Arial"/>
        </w:rPr>
        <w:t xml:space="preserve">“An agreement between, or concerted practice by, firms, or a decision by an association of firms, is prohibited </w:t>
      </w:r>
      <w:r w:rsidRPr="0096665C">
        <w:rPr>
          <w:rFonts w:ascii="Arial" w:hAnsi="Arial" w:cs="Arial"/>
          <w:u w:val="single"/>
        </w:rPr>
        <w:t>if it is between parties in a horizontal relationship</w:t>
      </w:r>
      <w:r w:rsidRPr="0096665C">
        <w:rPr>
          <w:rFonts w:ascii="Arial" w:hAnsi="Arial" w:cs="Arial"/>
        </w:rPr>
        <w:t xml:space="preserve"> and if - ... </w:t>
      </w:r>
    </w:p>
    <w:p w14:paraId="3912502E" w14:textId="77777777" w:rsidR="00F25977" w:rsidRPr="0096665C" w:rsidRDefault="00F25977" w:rsidP="00F25977">
      <w:pPr>
        <w:spacing w:line="360" w:lineRule="auto"/>
        <w:jc w:val="both"/>
        <w:rPr>
          <w:rFonts w:ascii="Arial" w:hAnsi="Arial" w:cs="Arial"/>
        </w:rPr>
      </w:pPr>
      <w:r w:rsidRPr="0096665C">
        <w:rPr>
          <w:rFonts w:ascii="Arial" w:hAnsi="Arial" w:cs="Arial"/>
        </w:rPr>
        <w:t xml:space="preserve">(b) it </w:t>
      </w:r>
      <w:r w:rsidRPr="0096665C">
        <w:rPr>
          <w:rFonts w:ascii="Arial" w:hAnsi="Arial" w:cs="Arial"/>
          <w:u w:val="single"/>
        </w:rPr>
        <w:t>involves any of the following restrictive horizontal practices</w:t>
      </w:r>
      <w:r w:rsidRPr="0096665C">
        <w:rPr>
          <w:rFonts w:ascii="Arial" w:hAnsi="Arial" w:cs="Arial"/>
        </w:rPr>
        <w:t xml:space="preserve">: </w:t>
      </w:r>
    </w:p>
    <w:p w14:paraId="0E9AC39D" w14:textId="77777777" w:rsidR="00F25977" w:rsidRPr="0096665C" w:rsidRDefault="00F25977" w:rsidP="00F25977">
      <w:pPr>
        <w:spacing w:line="360" w:lineRule="auto"/>
        <w:ind w:left="720"/>
        <w:jc w:val="both"/>
        <w:rPr>
          <w:rFonts w:ascii="Arial" w:hAnsi="Arial" w:cs="Arial"/>
        </w:rPr>
      </w:pPr>
      <w:r w:rsidRPr="0096665C">
        <w:rPr>
          <w:rFonts w:ascii="Arial" w:hAnsi="Arial" w:cs="Arial"/>
        </w:rPr>
        <w:t xml:space="preserve">(i)  directly or indirectly fixing a purchase or selling price or any other trading condition; </w:t>
      </w:r>
    </w:p>
    <w:p w14:paraId="624F1BC6" w14:textId="77777777" w:rsidR="00F25977" w:rsidRPr="0096665C" w:rsidRDefault="00F25977" w:rsidP="00F25977">
      <w:pPr>
        <w:spacing w:line="360" w:lineRule="auto"/>
        <w:ind w:left="720"/>
        <w:jc w:val="both"/>
        <w:rPr>
          <w:rFonts w:ascii="Arial" w:hAnsi="Arial" w:cs="Arial"/>
        </w:rPr>
      </w:pPr>
      <w:r w:rsidRPr="0096665C">
        <w:rPr>
          <w:rFonts w:ascii="Arial" w:hAnsi="Arial" w:cs="Arial"/>
        </w:rPr>
        <w:t xml:space="preserve">(ii)  dividing markets by allocating customers, suppliers, territories, or specific types goods or services; or </w:t>
      </w:r>
    </w:p>
    <w:p w14:paraId="0FE96E8C" w14:textId="267FC62E" w:rsidR="00F25977" w:rsidRPr="0096665C" w:rsidRDefault="00F25977" w:rsidP="00F25977">
      <w:pPr>
        <w:spacing w:line="360" w:lineRule="auto"/>
        <w:ind w:left="720"/>
        <w:jc w:val="both"/>
        <w:rPr>
          <w:rFonts w:ascii="Arial" w:hAnsi="Arial" w:cs="Arial"/>
          <w:sz w:val="24"/>
          <w:szCs w:val="24"/>
        </w:rPr>
      </w:pPr>
      <w:r w:rsidRPr="0096665C">
        <w:rPr>
          <w:rFonts w:ascii="Arial" w:hAnsi="Arial" w:cs="Arial"/>
        </w:rPr>
        <w:t xml:space="preserve">(iii)  collusive tendering”. </w:t>
      </w:r>
      <w:r w:rsidRPr="0096665C">
        <w:rPr>
          <w:rFonts w:ascii="Arial" w:hAnsi="Arial" w:cs="Arial"/>
          <w:sz w:val="24"/>
          <w:szCs w:val="24"/>
        </w:rPr>
        <w:t>(</w:t>
      </w:r>
      <w:r w:rsidR="009B3007" w:rsidRPr="0096665C">
        <w:rPr>
          <w:rFonts w:ascii="Arial" w:hAnsi="Arial" w:cs="Arial"/>
          <w:sz w:val="24"/>
          <w:szCs w:val="24"/>
        </w:rPr>
        <w:t>Emphasis</w:t>
      </w:r>
      <w:r w:rsidRPr="0096665C">
        <w:rPr>
          <w:rFonts w:ascii="Arial" w:hAnsi="Arial" w:cs="Arial"/>
          <w:sz w:val="24"/>
          <w:szCs w:val="24"/>
        </w:rPr>
        <w:t xml:space="preserve"> added)</w:t>
      </w:r>
    </w:p>
    <w:p w14:paraId="012A6D73" w14:textId="4738FF5B" w:rsidR="00F25977" w:rsidRPr="00F25977" w:rsidRDefault="00F25977" w:rsidP="00F25977">
      <w:pPr>
        <w:pStyle w:val="ListParagraph"/>
        <w:spacing w:line="360" w:lineRule="auto"/>
        <w:ind w:left="0"/>
        <w:jc w:val="both"/>
        <w:rPr>
          <w:rFonts w:ascii="Arial" w:hAnsi="Arial" w:cs="Arial"/>
        </w:rPr>
      </w:pPr>
    </w:p>
    <w:p w14:paraId="139149E3" w14:textId="3BE1BB92" w:rsidR="00F25977" w:rsidRPr="00082760" w:rsidRDefault="00D939F1" w:rsidP="00082760">
      <w:pPr>
        <w:pStyle w:val="ListParagraph"/>
        <w:numPr>
          <w:ilvl w:val="0"/>
          <w:numId w:val="2"/>
        </w:numPr>
        <w:spacing w:line="360" w:lineRule="auto"/>
        <w:ind w:left="0" w:firstLine="0"/>
        <w:jc w:val="both"/>
        <w:rPr>
          <w:rFonts w:ascii="Arial" w:hAnsi="Arial" w:cs="Arial"/>
        </w:rPr>
      </w:pPr>
      <w:r w:rsidRPr="00F25977">
        <w:rPr>
          <w:rFonts w:ascii="Arial" w:hAnsi="Arial" w:cs="Arial"/>
          <w:lang w:val="en-GB"/>
        </w:rPr>
        <w:t xml:space="preserve">This case is not the </w:t>
      </w:r>
      <w:r w:rsidR="00FD0BC8">
        <w:rPr>
          <w:rFonts w:ascii="Arial" w:hAnsi="Arial" w:cs="Arial"/>
          <w:lang w:val="en-GB"/>
        </w:rPr>
        <w:t>common</w:t>
      </w:r>
      <w:r w:rsidRPr="00F25977">
        <w:rPr>
          <w:rFonts w:ascii="Arial" w:hAnsi="Arial" w:cs="Arial"/>
          <w:lang w:val="en-GB"/>
        </w:rPr>
        <w:t xml:space="preserve"> situation where the conduct complained of is </w:t>
      </w:r>
      <w:r w:rsidR="00C62F32">
        <w:rPr>
          <w:rFonts w:ascii="Arial" w:hAnsi="Arial" w:cs="Arial"/>
          <w:lang w:val="en-GB"/>
        </w:rPr>
        <w:t xml:space="preserve">of </w:t>
      </w:r>
      <w:r w:rsidR="00FD0BC8">
        <w:rPr>
          <w:rFonts w:ascii="Arial" w:hAnsi="Arial" w:cs="Arial"/>
          <w:lang w:val="en-GB"/>
        </w:rPr>
        <w:t xml:space="preserve">the nature of </w:t>
      </w:r>
      <w:r w:rsidRPr="00F25977">
        <w:rPr>
          <w:rFonts w:ascii="Arial" w:hAnsi="Arial" w:cs="Arial"/>
          <w:lang w:val="en-GB"/>
        </w:rPr>
        <w:t xml:space="preserve">obviously harmful </w:t>
      </w:r>
      <w:r w:rsidR="0019610F">
        <w:rPr>
          <w:rFonts w:ascii="Arial" w:hAnsi="Arial" w:cs="Arial"/>
          <w:lang w:val="en-GB"/>
        </w:rPr>
        <w:t>fixing of a price</w:t>
      </w:r>
      <w:r w:rsidR="00082760">
        <w:rPr>
          <w:rFonts w:ascii="Arial" w:hAnsi="Arial" w:cs="Arial"/>
          <w:lang w:val="en-GB"/>
        </w:rPr>
        <w:t>.</w:t>
      </w:r>
      <w:r w:rsidRPr="00082760">
        <w:rPr>
          <w:rFonts w:ascii="Arial" w:hAnsi="Arial" w:cs="Arial"/>
          <w:lang w:val="en-GB"/>
        </w:rPr>
        <w:t xml:space="preserve"> </w:t>
      </w:r>
      <w:r w:rsidR="0096665C" w:rsidRPr="00082760">
        <w:rPr>
          <w:rFonts w:ascii="Arial" w:hAnsi="Arial" w:cs="Arial"/>
          <w:lang w:val="en-GB"/>
        </w:rPr>
        <w:t>It</w:t>
      </w:r>
      <w:r w:rsidRPr="00082760">
        <w:rPr>
          <w:rFonts w:ascii="Arial" w:hAnsi="Arial" w:cs="Arial"/>
          <w:lang w:val="en-GB"/>
        </w:rPr>
        <w:t xml:space="preserve"> was thus necessary for the Tribunal to engage in an inquiry as to whether the true character of the c</w:t>
      </w:r>
      <w:r w:rsidR="00082760">
        <w:rPr>
          <w:rFonts w:ascii="Arial" w:hAnsi="Arial" w:cs="Arial"/>
          <w:lang w:val="en-GB"/>
        </w:rPr>
        <w:t>ollaboration between the parties</w:t>
      </w:r>
      <w:r w:rsidRPr="00082760">
        <w:rPr>
          <w:rFonts w:ascii="Arial" w:hAnsi="Arial" w:cs="Arial"/>
          <w:lang w:val="en-GB"/>
        </w:rPr>
        <w:t xml:space="preserve"> </w:t>
      </w:r>
      <w:r w:rsidR="000058F6">
        <w:rPr>
          <w:rFonts w:ascii="Arial" w:hAnsi="Arial" w:cs="Arial"/>
          <w:lang w:val="en-GB"/>
        </w:rPr>
        <w:t>was</w:t>
      </w:r>
      <w:r w:rsidRPr="00082760">
        <w:rPr>
          <w:rFonts w:ascii="Arial" w:hAnsi="Arial" w:cs="Arial"/>
          <w:lang w:val="en-GB"/>
        </w:rPr>
        <w:t xml:space="preserve"> such that it falls within the type of economically harmful behaviour covered by section 4(1)(b).</w:t>
      </w:r>
    </w:p>
    <w:p w14:paraId="453EDF40" w14:textId="77777777" w:rsidR="00F25977" w:rsidRPr="00F25977" w:rsidRDefault="00F25977" w:rsidP="00F25977">
      <w:pPr>
        <w:pStyle w:val="ListParagraph"/>
        <w:rPr>
          <w:rFonts w:ascii="Arial" w:hAnsi="Arial" w:cs="Arial"/>
        </w:rPr>
      </w:pPr>
    </w:p>
    <w:p w14:paraId="33EC2FDE" w14:textId="359C9347" w:rsidR="00F25977" w:rsidRDefault="00D939F1" w:rsidP="00D939F1">
      <w:pPr>
        <w:pStyle w:val="ListParagraph"/>
        <w:numPr>
          <w:ilvl w:val="0"/>
          <w:numId w:val="2"/>
        </w:numPr>
        <w:spacing w:line="360" w:lineRule="auto"/>
        <w:ind w:left="0" w:firstLine="0"/>
        <w:jc w:val="both"/>
        <w:rPr>
          <w:rFonts w:ascii="Arial" w:hAnsi="Arial" w:cs="Arial"/>
        </w:rPr>
      </w:pPr>
      <w:r w:rsidRPr="00F25977">
        <w:rPr>
          <w:rFonts w:ascii="Arial" w:hAnsi="Arial" w:cs="Arial"/>
        </w:rPr>
        <w:t>the concept of characterisation was incorporated into our law as a result of the judgment in </w:t>
      </w:r>
      <w:r w:rsidRPr="00F25977">
        <w:rPr>
          <w:rFonts w:ascii="Arial" w:hAnsi="Arial" w:cs="Arial"/>
          <w:bCs/>
          <w:i/>
        </w:rPr>
        <w:t>American Natural Soda Ash Corporation and another v Competition Commission and others</w:t>
      </w:r>
      <w:r w:rsidR="000058F6">
        <w:rPr>
          <w:rStyle w:val="FootnoteReference"/>
          <w:rFonts w:ascii="Arial" w:hAnsi="Arial" w:cs="Arial"/>
          <w:bCs/>
          <w:i/>
        </w:rPr>
        <w:footnoteReference w:id="1"/>
      </w:r>
      <w:r w:rsidRPr="00F25977">
        <w:rPr>
          <w:rFonts w:ascii="Arial" w:hAnsi="Arial" w:cs="Arial"/>
          <w:i/>
        </w:rPr>
        <w:t> </w:t>
      </w:r>
      <w:hyperlink r:id="rId10" w:tooltip="View LawCiteRecord" w:history="1"/>
      <w:r w:rsidR="00302302">
        <w:rPr>
          <w:rStyle w:val="Hyperlink"/>
          <w:rFonts w:ascii="Arial" w:hAnsi="Arial" w:cs="Arial"/>
          <w:bCs/>
          <w:i/>
          <w:color w:val="auto"/>
          <w:u w:val="none"/>
        </w:rPr>
        <w:t xml:space="preserve"> </w:t>
      </w:r>
      <w:r w:rsidRPr="00F25977">
        <w:rPr>
          <w:rFonts w:ascii="Arial" w:hAnsi="Arial" w:cs="Arial"/>
        </w:rPr>
        <w:t xml:space="preserve"> (</w:t>
      </w:r>
      <w:r w:rsidR="00B95A64">
        <w:rPr>
          <w:rFonts w:ascii="Arial" w:hAnsi="Arial" w:cs="Arial"/>
        </w:rPr>
        <w:t>“</w:t>
      </w:r>
      <w:r w:rsidRPr="00F25977">
        <w:rPr>
          <w:rFonts w:ascii="Arial" w:hAnsi="Arial" w:cs="Arial"/>
          <w:i/>
        </w:rPr>
        <w:t>ANSAC</w:t>
      </w:r>
      <w:r w:rsidR="00B95A64">
        <w:rPr>
          <w:rFonts w:ascii="Arial" w:hAnsi="Arial" w:cs="Arial"/>
          <w:i/>
        </w:rPr>
        <w:t>”</w:t>
      </w:r>
      <w:r w:rsidR="00B95A64">
        <w:rPr>
          <w:rFonts w:ascii="Arial" w:hAnsi="Arial" w:cs="Arial"/>
        </w:rPr>
        <w:t>)</w:t>
      </w:r>
      <w:r w:rsidR="00FE32E2">
        <w:rPr>
          <w:rFonts w:ascii="Arial" w:hAnsi="Arial" w:cs="Arial"/>
        </w:rPr>
        <w:t>.</w:t>
      </w:r>
      <w:r w:rsidRPr="00F25977">
        <w:rPr>
          <w:rFonts w:ascii="Arial" w:hAnsi="Arial" w:cs="Arial"/>
        </w:rPr>
        <w:t xml:space="preserve">  </w:t>
      </w:r>
    </w:p>
    <w:p w14:paraId="09B9B43B" w14:textId="77777777" w:rsidR="00F25977" w:rsidRPr="00F25977" w:rsidRDefault="00F25977" w:rsidP="00F25977">
      <w:pPr>
        <w:pStyle w:val="ListParagraph"/>
        <w:rPr>
          <w:rFonts w:ascii="Arial" w:hAnsi="Arial" w:cs="Arial"/>
        </w:rPr>
      </w:pPr>
    </w:p>
    <w:p w14:paraId="16B18BEA" w14:textId="52CAD2E0" w:rsidR="00F25977" w:rsidRDefault="00D939F1" w:rsidP="00D939F1">
      <w:pPr>
        <w:pStyle w:val="ListParagraph"/>
        <w:numPr>
          <w:ilvl w:val="0"/>
          <w:numId w:val="2"/>
        </w:numPr>
        <w:spacing w:line="360" w:lineRule="auto"/>
        <w:ind w:left="0" w:firstLine="0"/>
        <w:jc w:val="both"/>
        <w:rPr>
          <w:rFonts w:ascii="Arial" w:hAnsi="Arial" w:cs="Arial"/>
        </w:rPr>
      </w:pPr>
      <w:r w:rsidRPr="00F25977">
        <w:rPr>
          <w:rFonts w:ascii="Arial" w:hAnsi="Arial" w:cs="Arial"/>
        </w:rPr>
        <w:t> </w:t>
      </w:r>
      <w:r w:rsidRPr="00F25977">
        <w:rPr>
          <w:rFonts w:ascii="Arial" w:hAnsi="Arial" w:cs="Arial"/>
          <w:i/>
        </w:rPr>
        <w:t>ANSAC</w:t>
      </w:r>
      <w:r w:rsidR="00F25977">
        <w:rPr>
          <w:rFonts w:ascii="Arial" w:hAnsi="Arial" w:cs="Arial"/>
        </w:rPr>
        <w:t xml:space="preserve">  recognised</w:t>
      </w:r>
      <w:r w:rsidRPr="00F25977">
        <w:rPr>
          <w:rFonts w:ascii="Arial" w:hAnsi="Arial" w:cs="Arial"/>
        </w:rPr>
        <w:t xml:space="preserve"> that there are instances</w:t>
      </w:r>
      <w:r w:rsidR="00B95A64">
        <w:rPr>
          <w:rFonts w:ascii="Arial" w:hAnsi="Arial" w:cs="Arial"/>
        </w:rPr>
        <w:t xml:space="preserve"> w</w:t>
      </w:r>
      <w:r w:rsidRPr="00F25977">
        <w:rPr>
          <w:rFonts w:ascii="Arial" w:hAnsi="Arial" w:cs="Arial"/>
        </w:rPr>
        <w:t>here conduct may, on the face of it</w:t>
      </w:r>
      <w:r w:rsidR="00A25899">
        <w:rPr>
          <w:rFonts w:ascii="Arial" w:hAnsi="Arial" w:cs="Arial"/>
        </w:rPr>
        <w:t xml:space="preserve">, </w:t>
      </w:r>
      <w:r w:rsidRPr="00F25977">
        <w:rPr>
          <w:rFonts w:ascii="Arial" w:hAnsi="Arial" w:cs="Arial"/>
        </w:rPr>
        <w:t xml:space="preserve">seem to be collusion as to pricing but when closer scrutiny is brought to bear on the conduct it emerges as benign.  </w:t>
      </w:r>
    </w:p>
    <w:p w14:paraId="313F620D" w14:textId="77777777" w:rsidR="00F25977" w:rsidRPr="00F25977" w:rsidRDefault="00F25977" w:rsidP="00F25977">
      <w:pPr>
        <w:pStyle w:val="ListParagraph"/>
        <w:rPr>
          <w:rFonts w:ascii="Arial" w:hAnsi="Arial" w:cs="Arial"/>
        </w:rPr>
      </w:pPr>
    </w:p>
    <w:p w14:paraId="1181B772" w14:textId="313FF2A2" w:rsidR="00F25977" w:rsidRDefault="00F25977" w:rsidP="00D939F1">
      <w:pPr>
        <w:pStyle w:val="ListParagraph"/>
        <w:numPr>
          <w:ilvl w:val="0"/>
          <w:numId w:val="2"/>
        </w:numPr>
        <w:spacing w:line="360" w:lineRule="auto"/>
        <w:ind w:left="0" w:firstLine="0"/>
        <w:jc w:val="both"/>
        <w:rPr>
          <w:rFonts w:ascii="Arial" w:hAnsi="Arial" w:cs="Arial"/>
        </w:rPr>
      </w:pPr>
      <w:r>
        <w:rPr>
          <w:rFonts w:ascii="Arial" w:hAnsi="Arial" w:cs="Arial"/>
        </w:rPr>
        <w:t>In their judgment</w:t>
      </w:r>
      <w:r w:rsidR="00CE001D">
        <w:rPr>
          <w:rFonts w:ascii="Arial" w:hAnsi="Arial" w:cs="Arial"/>
        </w:rPr>
        <w:t xml:space="preserve"> in </w:t>
      </w:r>
      <w:r w:rsidR="00CE001D" w:rsidRPr="00CE001D">
        <w:rPr>
          <w:rFonts w:ascii="Arial" w:hAnsi="Arial" w:cs="Arial"/>
          <w:i/>
        </w:rPr>
        <w:t>ANSAC</w:t>
      </w:r>
      <w:r w:rsidRPr="00CE001D">
        <w:rPr>
          <w:rFonts w:ascii="Arial" w:hAnsi="Arial" w:cs="Arial"/>
          <w:i/>
        </w:rPr>
        <w:t xml:space="preserve"> </w:t>
      </w:r>
      <w:r>
        <w:rPr>
          <w:rFonts w:ascii="Arial" w:hAnsi="Arial" w:cs="Arial"/>
        </w:rPr>
        <w:t>Cameron and Nugent JJA</w:t>
      </w:r>
      <w:r w:rsidR="00D939F1" w:rsidRPr="00F25977">
        <w:rPr>
          <w:rFonts w:ascii="Arial" w:hAnsi="Arial" w:cs="Arial"/>
        </w:rPr>
        <w:t xml:space="preserve"> formulated the inquiry to be undertaken</w:t>
      </w:r>
      <w:r>
        <w:rPr>
          <w:rFonts w:ascii="Arial" w:hAnsi="Arial" w:cs="Arial"/>
        </w:rPr>
        <w:t xml:space="preserve"> when there was doubt</w:t>
      </w:r>
      <w:r w:rsidR="00D939F1" w:rsidRPr="00F25977">
        <w:rPr>
          <w:rFonts w:ascii="Arial" w:hAnsi="Arial" w:cs="Arial"/>
        </w:rPr>
        <w:t xml:space="preserve"> as to whether the conduct in question was of the character of the </w:t>
      </w:r>
      <w:r w:rsidR="00D939F1" w:rsidRPr="00B95A64">
        <w:rPr>
          <w:rFonts w:ascii="Arial" w:hAnsi="Arial" w:cs="Arial"/>
        </w:rPr>
        <w:t>per se</w:t>
      </w:r>
      <w:r w:rsidR="00D939F1" w:rsidRPr="00F25977">
        <w:rPr>
          <w:rFonts w:ascii="Arial" w:hAnsi="Arial" w:cs="Arial"/>
        </w:rPr>
        <w:t xml:space="preserve"> conduct contemplated in section 4(1)(b). </w:t>
      </w:r>
    </w:p>
    <w:p w14:paraId="04BC5623" w14:textId="77777777" w:rsidR="00F25977" w:rsidRPr="00F25977" w:rsidRDefault="00F25977" w:rsidP="00F25977">
      <w:pPr>
        <w:pStyle w:val="ListParagraph"/>
        <w:rPr>
          <w:rFonts w:ascii="Arial" w:hAnsi="Arial" w:cs="Arial"/>
        </w:rPr>
      </w:pPr>
    </w:p>
    <w:p w14:paraId="36F14D4D" w14:textId="6148389E" w:rsidR="00F25977" w:rsidRDefault="00F25977" w:rsidP="00D939F1">
      <w:pPr>
        <w:pStyle w:val="ListParagraph"/>
        <w:numPr>
          <w:ilvl w:val="0"/>
          <w:numId w:val="2"/>
        </w:numPr>
        <w:spacing w:line="360" w:lineRule="auto"/>
        <w:ind w:left="0" w:firstLine="0"/>
        <w:jc w:val="both"/>
        <w:rPr>
          <w:rFonts w:ascii="Arial" w:hAnsi="Arial" w:cs="Arial"/>
        </w:rPr>
      </w:pPr>
      <w:r>
        <w:rPr>
          <w:rFonts w:ascii="Arial" w:hAnsi="Arial" w:cs="Arial"/>
        </w:rPr>
        <w:t xml:space="preserve"> </w:t>
      </w:r>
      <w:r w:rsidR="00630E51">
        <w:rPr>
          <w:rFonts w:ascii="Arial" w:hAnsi="Arial" w:cs="Arial"/>
        </w:rPr>
        <w:t>A</w:t>
      </w:r>
      <w:r w:rsidRPr="00F25977">
        <w:rPr>
          <w:rFonts w:ascii="Arial" w:hAnsi="Arial" w:cs="Arial"/>
        </w:rPr>
        <w:t>fter</w:t>
      </w:r>
      <w:r w:rsidR="00D939F1" w:rsidRPr="00F25977">
        <w:rPr>
          <w:rFonts w:ascii="Arial" w:hAnsi="Arial" w:cs="Arial"/>
        </w:rPr>
        <w:t xml:space="preserve"> comparing the US position of </w:t>
      </w:r>
      <w:r w:rsidR="00630E51">
        <w:rPr>
          <w:rFonts w:ascii="Arial" w:hAnsi="Arial" w:cs="Arial"/>
        </w:rPr>
        <w:t>judicial evaluation</w:t>
      </w:r>
      <w:r w:rsidR="00D939F1" w:rsidRPr="00F25977">
        <w:rPr>
          <w:rFonts w:ascii="Arial" w:hAnsi="Arial" w:cs="Arial"/>
        </w:rPr>
        <w:t xml:space="preserve"> to the South African statutory s</w:t>
      </w:r>
      <w:r w:rsidR="00630E51">
        <w:rPr>
          <w:rFonts w:ascii="Arial" w:hAnsi="Arial" w:cs="Arial"/>
        </w:rPr>
        <w:t>cheme embodied in section 4(1)</w:t>
      </w:r>
      <w:r w:rsidR="00B95A64">
        <w:rPr>
          <w:rFonts w:ascii="Arial" w:hAnsi="Arial" w:cs="Arial"/>
        </w:rPr>
        <w:t>,</w:t>
      </w:r>
      <w:r w:rsidR="00630E51">
        <w:rPr>
          <w:rFonts w:ascii="Arial" w:hAnsi="Arial" w:cs="Arial"/>
        </w:rPr>
        <w:t xml:space="preserve"> the learned </w:t>
      </w:r>
      <w:r w:rsidR="00B95A64">
        <w:rPr>
          <w:rFonts w:ascii="Arial" w:hAnsi="Arial" w:cs="Arial"/>
        </w:rPr>
        <w:t>J</w:t>
      </w:r>
      <w:r w:rsidR="00630E51">
        <w:rPr>
          <w:rFonts w:ascii="Arial" w:hAnsi="Arial" w:cs="Arial"/>
        </w:rPr>
        <w:t>udges concluded</w:t>
      </w:r>
      <w:r w:rsidR="00D939F1" w:rsidRPr="00F25977">
        <w:rPr>
          <w:rFonts w:ascii="Arial" w:hAnsi="Arial" w:cs="Arial"/>
        </w:rPr>
        <w:t xml:space="preserve"> :</w:t>
      </w:r>
    </w:p>
    <w:p w14:paraId="75522BD8" w14:textId="77777777" w:rsidR="00F25977" w:rsidRPr="00F25977" w:rsidRDefault="00F25977" w:rsidP="00F25977">
      <w:pPr>
        <w:pStyle w:val="ListParagraph"/>
        <w:rPr>
          <w:rFonts w:ascii="Arial" w:hAnsi="Arial" w:cs="Arial"/>
        </w:rPr>
      </w:pPr>
    </w:p>
    <w:p w14:paraId="5AE06C3A" w14:textId="73E71B66" w:rsidR="00F25977" w:rsidRDefault="00F25977" w:rsidP="00F25977">
      <w:pPr>
        <w:spacing w:line="360" w:lineRule="auto"/>
        <w:jc w:val="both"/>
        <w:rPr>
          <w:rFonts w:ascii="Arial" w:hAnsi="Arial" w:cs="Arial"/>
        </w:rPr>
      </w:pPr>
      <w:r w:rsidRPr="00D939F1">
        <w:rPr>
          <w:rFonts w:ascii="Arial" w:hAnsi="Arial" w:cs="Arial"/>
          <w:sz w:val="24"/>
          <w:szCs w:val="24"/>
        </w:rPr>
        <w:t>‘</w:t>
      </w:r>
      <w:r w:rsidRPr="00F25977">
        <w:rPr>
          <w:rFonts w:ascii="Arial" w:hAnsi="Arial" w:cs="Arial"/>
        </w:rPr>
        <w:t>Whichever approach is adopted, the essential enquiry remains the same.  It is to establish whether the character of the conduct complained of coincides with the character of the prohibited conduct: and this process necessarily embodies two elements.  One is the scope of the prohibition: a matter of statutory construction. The other is the nature of the conduct complained of: this is a factual enquiry.   In ordinary language this can be termed ‘characterising’ the conduct – the term used in the United S</w:t>
      </w:r>
      <w:r>
        <w:rPr>
          <w:rFonts w:ascii="Arial" w:hAnsi="Arial" w:cs="Arial"/>
        </w:rPr>
        <w:t>tates, which Ansac has adopted.</w:t>
      </w:r>
      <w:r w:rsidR="00A25899">
        <w:rPr>
          <w:rFonts w:ascii="Arial" w:hAnsi="Arial" w:cs="Arial"/>
        </w:rPr>
        <w:t>’</w:t>
      </w:r>
      <w:r w:rsidR="00630E51">
        <w:rPr>
          <w:rStyle w:val="FootnoteReference"/>
          <w:rFonts w:ascii="Arial" w:hAnsi="Arial" w:cs="Arial"/>
        </w:rPr>
        <w:footnoteReference w:id="2"/>
      </w:r>
    </w:p>
    <w:p w14:paraId="5EE7D5C4" w14:textId="10BBCFE1" w:rsidR="00F25977" w:rsidRPr="00F25977" w:rsidRDefault="00F25977" w:rsidP="00F25977">
      <w:pPr>
        <w:rPr>
          <w:rFonts w:ascii="Arial" w:hAnsi="Arial" w:cs="Arial"/>
        </w:rPr>
      </w:pPr>
    </w:p>
    <w:p w14:paraId="5337218D" w14:textId="7C664382" w:rsidR="00F25977" w:rsidRPr="00FD0BC8" w:rsidRDefault="00D939F1" w:rsidP="00FD0BC8">
      <w:pPr>
        <w:pStyle w:val="ListParagraph"/>
        <w:numPr>
          <w:ilvl w:val="0"/>
          <w:numId w:val="2"/>
        </w:numPr>
        <w:spacing w:line="360" w:lineRule="auto"/>
        <w:ind w:left="0" w:firstLine="0"/>
        <w:jc w:val="both"/>
        <w:rPr>
          <w:rFonts w:ascii="Arial" w:hAnsi="Arial" w:cs="Arial"/>
        </w:rPr>
      </w:pPr>
      <w:r w:rsidRPr="00FD0BC8">
        <w:rPr>
          <w:rFonts w:ascii="Arial" w:hAnsi="Arial" w:cs="Arial"/>
        </w:rPr>
        <w:t xml:space="preserve">The process of characterisation was </w:t>
      </w:r>
      <w:r w:rsidR="003F7122" w:rsidRPr="00FD0BC8">
        <w:rPr>
          <w:rFonts w:ascii="Arial" w:hAnsi="Arial" w:cs="Arial"/>
        </w:rPr>
        <w:t>described</w:t>
      </w:r>
      <w:r w:rsidRPr="00FD0BC8">
        <w:rPr>
          <w:rFonts w:ascii="Arial" w:hAnsi="Arial" w:cs="Arial"/>
        </w:rPr>
        <w:t xml:space="preserve"> by this court in </w:t>
      </w:r>
      <w:r w:rsidRPr="00FD0BC8">
        <w:rPr>
          <w:rFonts w:ascii="Arial" w:hAnsi="Arial" w:cs="Arial"/>
          <w:i/>
          <w:iCs/>
        </w:rPr>
        <w:t>Competition Commission v South African Breweries Ltd &amp; others</w:t>
      </w:r>
      <w:r w:rsidR="00A25899">
        <w:rPr>
          <w:rStyle w:val="FootnoteReference"/>
          <w:rFonts w:ascii="Arial" w:hAnsi="Arial" w:cs="Arial"/>
          <w:i/>
          <w:iCs/>
        </w:rPr>
        <w:footnoteReference w:id="3"/>
      </w:r>
      <w:r w:rsidR="003F7122" w:rsidRPr="00FD0BC8">
        <w:rPr>
          <w:rFonts w:ascii="Arial" w:hAnsi="Arial" w:cs="Arial"/>
          <w:i/>
          <w:iCs/>
        </w:rPr>
        <w:t>(</w:t>
      </w:r>
      <w:r w:rsidR="00B95A64" w:rsidRPr="00FD0BC8">
        <w:rPr>
          <w:rFonts w:ascii="Arial" w:hAnsi="Arial" w:cs="Arial"/>
          <w:i/>
          <w:iCs/>
        </w:rPr>
        <w:t>“</w:t>
      </w:r>
      <w:r w:rsidR="003F7122" w:rsidRPr="00FD0BC8">
        <w:rPr>
          <w:rFonts w:ascii="Arial" w:hAnsi="Arial" w:cs="Arial"/>
          <w:i/>
          <w:iCs/>
        </w:rPr>
        <w:t>SAB</w:t>
      </w:r>
      <w:r w:rsidR="00B95A64" w:rsidRPr="00FD0BC8">
        <w:rPr>
          <w:rFonts w:ascii="Arial" w:hAnsi="Arial" w:cs="Arial"/>
          <w:i/>
          <w:iCs/>
        </w:rPr>
        <w:t>”</w:t>
      </w:r>
      <w:r w:rsidR="003F7122" w:rsidRPr="00FD0BC8">
        <w:rPr>
          <w:rFonts w:ascii="Arial" w:hAnsi="Arial" w:cs="Arial"/>
          <w:i/>
          <w:iCs/>
        </w:rPr>
        <w:t>)</w:t>
      </w:r>
      <w:r w:rsidR="00FD0BC8">
        <w:rPr>
          <w:rFonts w:ascii="Arial" w:hAnsi="Arial" w:cs="Arial"/>
          <w:i/>
          <w:iCs/>
        </w:rPr>
        <w:t>.</w:t>
      </w:r>
      <w:r w:rsidR="00F25977" w:rsidRPr="00FD0BC8">
        <w:rPr>
          <w:rFonts w:ascii="Arial" w:eastAsia="Times New Roman" w:hAnsi="Arial" w:cs="Arial"/>
          <w:color w:val="242121"/>
          <w:shd w:val="clear" w:color="auto" w:fill="FFFFFF"/>
        </w:rPr>
        <w:t xml:space="preserve"> Davis JP and </w:t>
      </w:r>
      <w:r w:rsidRPr="00FD0BC8">
        <w:rPr>
          <w:rFonts w:ascii="Arial" w:eastAsia="Times New Roman" w:hAnsi="Arial" w:cs="Arial"/>
          <w:color w:val="242121"/>
          <w:shd w:val="clear" w:color="auto" w:fill="FFFFFF"/>
        </w:rPr>
        <w:t>Rogers AJA (as they then were)</w:t>
      </w:r>
      <w:r w:rsidRPr="00FD0BC8">
        <w:rPr>
          <w:rFonts w:ascii="Arial" w:hAnsi="Arial" w:cs="Arial"/>
        </w:rPr>
        <w:t xml:space="preserve"> explained the characterisation principle thus:</w:t>
      </w:r>
    </w:p>
    <w:p w14:paraId="2A4FCE73" w14:textId="1E5B8B27" w:rsidR="00F25977" w:rsidRPr="00F25977" w:rsidRDefault="00F25977" w:rsidP="00F6575A">
      <w:pPr>
        <w:pStyle w:val="ListParagraph"/>
        <w:spacing w:line="360" w:lineRule="auto"/>
        <w:ind w:left="0"/>
        <w:jc w:val="both"/>
        <w:rPr>
          <w:rFonts w:ascii="Arial" w:hAnsi="Arial" w:cs="Arial"/>
        </w:rPr>
      </w:pPr>
    </w:p>
    <w:p w14:paraId="7B95CC62" w14:textId="6C2807F0" w:rsidR="00F25977" w:rsidRPr="00F25977" w:rsidRDefault="00F25977" w:rsidP="00F6575A">
      <w:pPr>
        <w:spacing w:line="360" w:lineRule="auto"/>
        <w:jc w:val="both"/>
        <w:rPr>
          <w:rFonts w:ascii="Arial" w:hAnsi="Arial" w:cs="Arial"/>
          <w:sz w:val="24"/>
          <w:szCs w:val="24"/>
        </w:rPr>
      </w:pPr>
      <w:r w:rsidRPr="00F25977">
        <w:rPr>
          <w:rFonts w:ascii="Arial" w:hAnsi="Arial" w:cs="Arial"/>
        </w:rPr>
        <w:t>‘</w:t>
      </w:r>
      <w:r w:rsidR="00FD0BC8">
        <w:rPr>
          <w:rFonts w:ascii="Arial" w:hAnsi="Arial" w:cs="Arial"/>
        </w:rPr>
        <w:t>”</w:t>
      </w:r>
      <w:r w:rsidRPr="00F25977">
        <w:rPr>
          <w:rFonts w:ascii="Arial" w:hAnsi="Arial" w:cs="Arial"/>
        </w:rPr>
        <w:t xml:space="preserve">The animating idea of the characterisation principle is to ensure that s 4(1)(b) is so construed that only those economic activities in regard to which no defence should be tolerated are held to be within the scope of the prohibition.  Whether conduct is of such a character that no </w:t>
      </w:r>
      <w:r w:rsidRPr="00F25977">
        <w:rPr>
          <w:rFonts w:ascii="Arial" w:hAnsi="Arial" w:cs="Arial"/>
        </w:rPr>
        <w:lastRenderedPageBreak/>
        <w:t>defence should be entertained is informed both by common sense and competition economics</w:t>
      </w:r>
      <w:r w:rsidR="00FD0BC8">
        <w:rPr>
          <w:rFonts w:ascii="Arial" w:hAnsi="Arial" w:cs="Arial"/>
        </w:rPr>
        <w:t>”</w:t>
      </w:r>
      <w:r>
        <w:rPr>
          <w:rFonts w:ascii="Arial" w:hAnsi="Arial" w:cs="Arial"/>
        </w:rPr>
        <w:t xml:space="preserve">.  </w:t>
      </w:r>
    </w:p>
    <w:p w14:paraId="005F7E47" w14:textId="77777777" w:rsidR="00F25977" w:rsidRPr="00F25977" w:rsidRDefault="00F25977" w:rsidP="00F25977">
      <w:pPr>
        <w:pStyle w:val="ListParagraph"/>
        <w:rPr>
          <w:rFonts w:ascii="Arial" w:hAnsi="Arial" w:cs="Arial"/>
        </w:rPr>
      </w:pPr>
    </w:p>
    <w:p w14:paraId="377FC459" w14:textId="0624E37E" w:rsidR="00F25977" w:rsidRDefault="00F25977" w:rsidP="00D939F1">
      <w:pPr>
        <w:pStyle w:val="ListParagraph"/>
        <w:numPr>
          <w:ilvl w:val="0"/>
          <w:numId w:val="2"/>
        </w:numPr>
        <w:spacing w:line="360" w:lineRule="auto"/>
        <w:ind w:left="0" w:firstLine="0"/>
        <w:jc w:val="both"/>
        <w:rPr>
          <w:rFonts w:ascii="Arial" w:hAnsi="Arial" w:cs="Arial"/>
        </w:rPr>
      </w:pPr>
      <w:r>
        <w:rPr>
          <w:rFonts w:ascii="Arial" w:hAnsi="Arial" w:cs="Arial"/>
        </w:rPr>
        <w:t xml:space="preserve">They went on to </w:t>
      </w:r>
      <w:r w:rsidR="00D939F1" w:rsidRPr="00F25977">
        <w:rPr>
          <w:rFonts w:ascii="Arial" w:hAnsi="Arial" w:cs="Arial"/>
        </w:rPr>
        <w:t>explain that the South African legislature</w:t>
      </w:r>
      <w:r w:rsidR="00B95A64">
        <w:rPr>
          <w:rFonts w:ascii="Arial" w:hAnsi="Arial" w:cs="Arial"/>
        </w:rPr>
        <w:t>,</w:t>
      </w:r>
      <w:r w:rsidR="009713B4">
        <w:rPr>
          <w:rFonts w:ascii="Arial" w:hAnsi="Arial" w:cs="Arial"/>
        </w:rPr>
        <w:t xml:space="preserve"> in passing the Act</w:t>
      </w:r>
      <w:r w:rsidR="00B95A64">
        <w:rPr>
          <w:rFonts w:ascii="Arial" w:hAnsi="Arial" w:cs="Arial"/>
        </w:rPr>
        <w:t>,</w:t>
      </w:r>
      <w:r w:rsidR="00D939F1" w:rsidRPr="00F25977">
        <w:rPr>
          <w:rFonts w:ascii="Arial" w:hAnsi="Arial" w:cs="Arial"/>
        </w:rPr>
        <w:t xml:space="preserve"> favoured a statutory rule rather than</w:t>
      </w:r>
      <w:r w:rsidR="009713B4">
        <w:rPr>
          <w:rFonts w:ascii="Arial" w:hAnsi="Arial" w:cs="Arial"/>
        </w:rPr>
        <w:t xml:space="preserve"> the</w:t>
      </w:r>
      <w:r w:rsidR="00D939F1" w:rsidRPr="00F25977">
        <w:rPr>
          <w:rFonts w:ascii="Arial" w:hAnsi="Arial" w:cs="Arial"/>
        </w:rPr>
        <w:t xml:space="preserve"> judicially constructed one preferred</w:t>
      </w:r>
      <w:r w:rsidR="00341EF7">
        <w:rPr>
          <w:rFonts w:ascii="Arial" w:hAnsi="Arial" w:cs="Arial"/>
        </w:rPr>
        <w:t xml:space="preserve"> in the US</w:t>
      </w:r>
      <w:r w:rsidR="00DD3246">
        <w:rPr>
          <w:rFonts w:ascii="Arial" w:hAnsi="Arial" w:cs="Arial"/>
        </w:rPr>
        <w:t xml:space="preserve"> and</w:t>
      </w:r>
      <w:r w:rsidR="00D939F1" w:rsidRPr="00F25977">
        <w:rPr>
          <w:rFonts w:ascii="Arial" w:hAnsi="Arial" w:cs="Arial"/>
        </w:rPr>
        <w:t xml:space="preserve"> set out t</w:t>
      </w:r>
      <w:r>
        <w:rPr>
          <w:rFonts w:ascii="Arial" w:hAnsi="Arial" w:cs="Arial"/>
        </w:rPr>
        <w:t>he process under the statutory inquiry thus</w:t>
      </w:r>
      <w:r w:rsidR="00D939F1" w:rsidRPr="00F25977">
        <w:rPr>
          <w:rFonts w:ascii="Arial" w:hAnsi="Arial" w:cs="Arial"/>
        </w:rPr>
        <w:t xml:space="preserve">: </w:t>
      </w:r>
    </w:p>
    <w:p w14:paraId="6FA2846B" w14:textId="530C8965" w:rsidR="00F25977" w:rsidRDefault="00F25977" w:rsidP="00F25977">
      <w:pPr>
        <w:pStyle w:val="ListParagraph"/>
        <w:spacing w:line="360" w:lineRule="auto"/>
        <w:ind w:left="0"/>
        <w:jc w:val="both"/>
        <w:rPr>
          <w:rFonts w:ascii="Arial" w:hAnsi="Arial" w:cs="Arial"/>
        </w:rPr>
      </w:pPr>
    </w:p>
    <w:p w14:paraId="141CF17C" w14:textId="03905393" w:rsidR="00F25977" w:rsidRPr="00F25977" w:rsidRDefault="00F25977" w:rsidP="00F25977">
      <w:pPr>
        <w:spacing w:line="360" w:lineRule="auto"/>
        <w:rPr>
          <w:rFonts w:ascii="Arial" w:hAnsi="Arial" w:cs="Arial"/>
          <w:i/>
          <w:iCs/>
        </w:rPr>
      </w:pPr>
      <w:r>
        <w:rPr>
          <w:rFonts w:ascii="Arial" w:hAnsi="Arial" w:cs="Arial"/>
        </w:rPr>
        <w:t>“</w:t>
      </w:r>
      <w:r>
        <w:rPr>
          <w:rFonts w:ascii="Arial" w:hAnsi="Arial" w:cs="Arial"/>
          <w:i/>
          <w:iCs/>
        </w:rPr>
        <w:t>the “characterisation” that is required under our legislation is to determine: (i) whether the parties are in a horizontal relationship, and if so (ii) whether the case involves direct or indirect fixing of a purchase or selling price, the division of markets or collusive tendering within the meaning of section 4(1)(b)</w:t>
      </w:r>
      <w:r w:rsidR="009913FF">
        <w:rPr>
          <w:rFonts w:ascii="Arial" w:hAnsi="Arial" w:cs="Arial"/>
          <w:i/>
          <w:iCs/>
        </w:rPr>
        <w:t>.</w:t>
      </w:r>
      <w:r w:rsidR="00DD3246">
        <w:rPr>
          <w:rStyle w:val="FootnoteReference"/>
          <w:rFonts w:ascii="Arial" w:hAnsi="Arial" w:cs="Arial"/>
          <w:i/>
          <w:iCs/>
        </w:rPr>
        <w:footnoteReference w:id="4"/>
      </w:r>
      <w:r>
        <w:rPr>
          <w:rFonts w:ascii="Arial" w:hAnsi="Arial" w:cs="Arial"/>
          <w:i/>
          <w:iCs/>
        </w:rPr>
        <w:t xml:space="preserve"> </w:t>
      </w:r>
    </w:p>
    <w:p w14:paraId="1A58ED0D" w14:textId="77777777" w:rsidR="00F25977" w:rsidRDefault="00F25977" w:rsidP="00F25977">
      <w:pPr>
        <w:pStyle w:val="ListParagraph"/>
        <w:spacing w:line="360" w:lineRule="auto"/>
        <w:ind w:left="0"/>
        <w:jc w:val="both"/>
        <w:rPr>
          <w:rFonts w:ascii="Arial" w:hAnsi="Arial" w:cs="Arial"/>
        </w:rPr>
      </w:pPr>
    </w:p>
    <w:p w14:paraId="7B0E2E78" w14:textId="61278FBB" w:rsidR="00486E2D" w:rsidRPr="00C62F32" w:rsidRDefault="00D939F1" w:rsidP="00486E2D">
      <w:pPr>
        <w:pStyle w:val="ListParagraph"/>
        <w:numPr>
          <w:ilvl w:val="0"/>
          <w:numId w:val="2"/>
        </w:numPr>
        <w:spacing w:line="360" w:lineRule="auto"/>
        <w:ind w:left="0" w:firstLine="0"/>
        <w:jc w:val="both"/>
        <w:rPr>
          <w:rFonts w:ascii="Arial" w:hAnsi="Arial" w:cs="Arial"/>
        </w:rPr>
      </w:pPr>
      <w:r w:rsidRPr="00F25977">
        <w:rPr>
          <w:rFonts w:ascii="Arial" w:hAnsi="Arial" w:cs="Arial"/>
          <w:iCs/>
        </w:rPr>
        <w:t>They went on to state:</w:t>
      </w:r>
    </w:p>
    <w:p w14:paraId="712FC3C0" w14:textId="34694197" w:rsidR="00486E2D" w:rsidRPr="00486E2D" w:rsidRDefault="00486E2D" w:rsidP="00486E2D">
      <w:pPr>
        <w:spacing w:line="360" w:lineRule="auto"/>
        <w:rPr>
          <w:rFonts w:ascii="Arial" w:hAnsi="Arial" w:cs="Arial"/>
          <w:iCs/>
        </w:rPr>
      </w:pPr>
      <w:r w:rsidRPr="00486E2D">
        <w:rPr>
          <w:rFonts w:ascii="Arial" w:hAnsi="Arial" w:cs="Arial"/>
          <w:i/>
          <w:iCs/>
        </w:rPr>
        <w:t>‘…, since characterisation in this sense involves statutory interpretation, the bodies entrusted with interpreting and applying the Act (principally the Tribunal and this Court) must inevitably shape the scope of the prohibition, drawing on their legal and economic expertise and on the experience and wisdom of other legal systems which have grappled with similar issues for longer than we have.</w:t>
      </w:r>
      <w:r w:rsidRPr="00486E2D">
        <w:rPr>
          <w:rFonts w:ascii="Arial" w:hAnsi="Arial" w:cs="Arial"/>
          <w:iCs/>
        </w:rPr>
        <w:t>”</w:t>
      </w:r>
      <w:r>
        <w:rPr>
          <w:vertAlign w:val="superscript"/>
        </w:rPr>
        <w:footnoteReference w:id="5"/>
      </w:r>
      <w:r w:rsidRPr="00486E2D">
        <w:rPr>
          <w:rFonts w:ascii="Arial" w:hAnsi="Arial" w:cs="Arial"/>
          <w:iCs/>
        </w:rPr>
        <w:t xml:space="preserve"> </w:t>
      </w:r>
    </w:p>
    <w:p w14:paraId="5A0493CF" w14:textId="77777777" w:rsidR="00486E2D" w:rsidRPr="00486E2D" w:rsidRDefault="00486E2D" w:rsidP="00486E2D">
      <w:pPr>
        <w:spacing w:line="360" w:lineRule="auto"/>
        <w:jc w:val="both"/>
        <w:rPr>
          <w:rFonts w:ascii="Arial" w:hAnsi="Arial" w:cs="Arial"/>
        </w:rPr>
      </w:pPr>
    </w:p>
    <w:p w14:paraId="140870FC" w14:textId="092D4563" w:rsidR="00486E2D" w:rsidRPr="00486E2D" w:rsidRDefault="00D939F1" w:rsidP="00486E2D">
      <w:pPr>
        <w:pStyle w:val="ListParagraph"/>
        <w:numPr>
          <w:ilvl w:val="0"/>
          <w:numId w:val="2"/>
        </w:numPr>
        <w:spacing w:line="360" w:lineRule="auto"/>
        <w:ind w:left="0" w:firstLine="0"/>
        <w:jc w:val="both"/>
        <w:rPr>
          <w:rFonts w:ascii="Arial" w:hAnsi="Arial" w:cs="Arial"/>
        </w:rPr>
      </w:pPr>
      <w:r w:rsidRPr="00486E2D">
        <w:rPr>
          <w:rFonts w:ascii="Arial" w:hAnsi="Arial" w:cs="Arial"/>
          <w:iCs/>
        </w:rPr>
        <w:t xml:space="preserve">The economic thinking behind the </w:t>
      </w:r>
      <w:r w:rsidRPr="00B95A64">
        <w:rPr>
          <w:rFonts w:ascii="Arial" w:hAnsi="Arial" w:cs="Arial"/>
          <w:iCs/>
        </w:rPr>
        <w:t>per se</w:t>
      </w:r>
      <w:r w:rsidRPr="00486E2D">
        <w:rPr>
          <w:rFonts w:ascii="Arial" w:hAnsi="Arial" w:cs="Arial"/>
          <w:i/>
          <w:iCs/>
        </w:rPr>
        <w:t xml:space="preserve"> </w:t>
      </w:r>
      <w:r w:rsidRPr="00486E2D">
        <w:rPr>
          <w:rFonts w:ascii="Arial" w:hAnsi="Arial" w:cs="Arial"/>
          <w:iCs/>
        </w:rPr>
        <w:t>offences that are intended to be captured under section 4(1)(b) is that there is</w:t>
      </w:r>
      <w:r w:rsidR="00C619D8">
        <w:rPr>
          <w:rFonts w:ascii="Arial" w:hAnsi="Arial" w:cs="Arial"/>
          <w:iCs/>
        </w:rPr>
        <w:t>,</w:t>
      </w:r>
      <w:r w:rsidRPr="00486E2D">
        <w:rPr>
          <w:rFonts w:ascii="Arial" w:hAnsi="Arial" w:cs="Arial"/>
          <w:iCs/>
        </w:rPr>
        <w:t xml:space="preserve"> almost certainly</w:t>
      </w:r>
      <w:r w:rsidR="00C619D8">
        <w:rPr>
          <w:rFonts w:ascii="Arial" w:hAnsi="Arial" w:cs="Arial"/>
          <w:iCs/>
        </w:rPr>
        <w:t xml:space="preserve">, </w:t>
      </w:r>
      <w:r w:rsidRPr="00486E2D">
        <w:rPr>
          <w:rFonts w:ascii="Arial" w:hAnsi="Arial" w:cs="Arial"/>
          <w:iCs/>
        </w:rPr>
        <w:t>harm to competition from such conduct and rarely, if ever, redeeming features that might outweigh such harm.</w:t>
      </w:r>
    </w:p>
    <w:p w14:paraId="4AAC6ED2" w14:textId="77777777" w:rsidR="00486E2D" w:rsidRPr="00486E2D" w:rsidRDefault="00486E2D" w:rsidP="00486E2D">
      <w:pPr>
        <w:pStyle w:val="ListParagraph"/>
        <w:spacing w:line="360" w:lineRule="auto"/>
        <w:ind w:left="0"/>
        <w:jc w:val="both"/>
        <w:rPr>
          <w:rFonts w:ascii="Arial" w:hAnsi="Arial" w:cs="Arial"/>
        </w:rPr>
      </w:pPr>
    </w:p>
    <w:p w14:paraId="4E9E3024" w14:textId="55F4D6DC" w:rsidR="004B0086" w:rsidRPr="00B95A64" w:rsidRDefault="003C245A" w:rsidP="00B95A64">
      <w:pPr>
        <w:pStyle w:val="ListParagraph"/>
        <w:numPr>
          <w:ilvl w:val="0"/>
          <w:numId w:val="2"/>
        </w:numPr>
        <w:spacing w:line="360" w:lineRule="auto"/>
        <w:ind w:left="0" w:firstLine="0"/>
        <w:jc w:val="both"/>
        <w:rPr>
          <w:rFonts w:ascii="Arial" w:hAnsi="Arial" w:cs="Arial"/>
        </w:rPr>
      </w:pPr>
      <w:r w:rsidRPr="00B95A64">
        <w:rPr>
          <w:rFonts w:ascii="Arial" w:hAnsi="Arial" w:cs="Arial"/>
          <w:color w:val="2A2A2A"/>
          <w:w w:val="105"/>
        </w:rPr>
        <w:t>Mr James Hodge, employed by Tourvest</w:t>
      </w:r>
      <w:r w:rsidR="006C1E2F" w:rsidRPr="00B95A64">
        <w:rPr>
          <w:rFonts w:ascii="Arial" w:hAnsi="Arial" w:cs="Arial"/>
          <w:color w:val="2A2A2A"/>
          <w:w w:val="105"/>
        </w:rPr>
        <w:t>,</w:t>
      </w:r>
      <w:r w:rsidRPr="00B95A64">
        <w:rPr>
          <w:rFonts w:ascii="Arial" w:hAnsi="Arial" w:cs="Arial"/>
          <w:color w:val="2A2A2A"/>
          <w:w w:val="105"/>
        </w:rPr>
        <w:t xml:space="preserve"> was the sole expert on economics in the case.  </w:t>
      </w:r>
      <w:r w:rsidR="00D939F1" w:rsidRPr="00B95A64">
        <w:rPr>
          <w:rFonts w:ascii="Arial" w:hAnsi="Arial" w:cs="Arial"/>
          <w:color w:val="2A2A2A"/>
          <w:w w:val="105"/>
        </w:rPr>
        <w:t xml:space="preserve"> </w:t>
      </w:r>
      <w:r w:rsidR="00D939F1" w:rsidRPr="00B95A64">
        <w:rPr>
          <w:rFonts w:ascii="Arial" w:hAnsi="Arial" w:cs="Arial"/>
          <w:color w:val="2A2A2A"/>
          <w:spacing w:val="-2"/>
          <w:w w:val="105"/>
        </w:rPr>
        <w:t>Mr Hodge was called on to explain</w:t>
      </w:r>
      <w:r w:rsidR="00022585" w:rsidRPr="00B95A64">
        <w:rPr>
          <w:rFonts w:ascii="Arial" w:hAnsi="Arial" w:cs="Arial"/>
          <w:color w:val="2A2A2A"/>
          <w:spacing w:val="-2"/>
          <w:w w:val="105"/>
        </w:rPr>
        <w:t xml:space="preserve"> </w:t>
      </w:r>
      <w:r w:rsidR="00D939F1" w:rsidRPr="00B95A64">
        <w:rPr>
          <w:rFonts w:ascii="Arial" w:hAnsi="Arial" w:cs="Arial"/>
          <w:color w:val="2A2A2A"/>
          <w:spacing w:val="-2"/>
          <w:w w:val="105"/>
        </w:rPr>
        <w:t xml:space="preserve"> the economic principles </w:t>
      </w:r>
      <w:r w:rsidR="00715780" w:rsidRPr="00B95A64">
        <w:rPr>
          <w:rFonts w:ascii="Arial" w:hAnsi="Arial" w:cs="Arial"/>
          <w:color w:val="2A2A2A"/>
          <w:spacing w:val="-2"/>
          <w:w w:val="105"/>
        </w:rPr>
        <w:t>behind</w:t>
      </w:r>
      <w:r w:rsidR="00D939F1" w:rsidRPr="00B95A64">
        <w:rPr>
          <w:rFonts w:ascii="Arial" w:hAnsi="Arial" w:cs="Arial"/>
          <w:color w:val="2A2A2A"/>
          <w:spacing w:val="-2"/>
          <w:w w:val="105"/>
        </w:rPr>
        <w:t xml:space="preserve">  the two elements of the characterisation exercise.</w:t>
      </w:r>
      <w:r w:rsidR="004B0086" w:rsidRPr="00B95A64">
        <w:rPr>
          <w:rFonts w:ascii="Arial" w:hAnsi="Arial" w:cs="Arial"/>
          <w:color w:val="2A2A2A"/>
          <w:w w:val="105"/>
        </w:rPr>
        <w:t xml:space="preserve"> He </w:t>
      </w:r>
      <w:r w:rsidR="00022585" w:rsidRPr="00B95A64">
        <w:rPr>
          <w:rFonts w:ascii="Arial" w:hAnsi="Arial" w:cs="Arial"/>
          <w:color w:val="2A2A2A"/>
          <w:w w:val="105"/>
        </w:rPr>
        <w:t>succinctly</w:t>
      </w:r>
      <w:r w:rsidR="004B0086" w:rsidRPr="00B95A64">
        <w:rPr>
          <w:rFonts w:ascii="Arial" w:hAnsi="Arial" w:cs="Arial"/>
          <w:color w:val="2A2A2A"/>
          <w:w w:val="105"/>
        </w:rPr>
        <w:t xml:space="preserve"> described </w:t>
      </w:r>
      <w:r w:rsidR="00BD5DF8" w:rsidRPr="00B95A64">
        <w:rPr>
          <w:rFonts w:ascii="Arial" w:hAnsi="Arial" w:cs="Arial"/>
          <w:color w:val="2A2A2A"/>
          <w:w w:val="105"/>
        </w:rPr>
        <w:t xml:space="preserve">relevant </w:t>
      </w:r>
      <w:r w:rsidR="00022585" w:rsidRPr="00B95A64">
        <w:rPr>
          <w:rFonts w:ascii="Arial" w:hAnsi="Arial" w:cs="Arial"/>
          <w:color w:val="2A2A2A"/>
          <w:w w:val="105"/>
        </w:rPr>
        <w:t xml:space="preserve"> economic theory</w:t>
      </w:r>
      <w:r w:rsidR="004B0086" w:rsidRPr="00B95A64">
        <w:rPr>
          <w:rFonts w:ascii="Arial" w:hAnsi="Arial" w:cs="Arial"/>
          <w:color w:val="2A2A2A"/>
          <w:w w:val="105"/>
        </w:rPr>
        <w:t xml:space="preserve">  and emphasized tha</w:t>
      </w:r>
      <w:r w:rsidR="00BD5DF8" w:rsidRPr="00B95A64">
        <w:rPr>
          <w:rFonts w:ascii="Arial" w:hAnsi="Arial" w:cs="Arial"/>
          <w:color w:val="2A2A2A"/>
          <w:w w:val="105"/>
        </w:rPr>
        <w:t>t it  has its roots</w:t>
      </w:r>
      <w:r w:rsidR="00B95A64">
        <w:rPr>
          <w:rFonts w:ascii="Arial" w:hAnsi="Arial" w:cs="Arial"/>
          <w:color w:val="2A2A2A"/>
          <w:spacing w:val="48"/>
          <w:w w:val="105"/>
        </w:rPr>
        <w:t xml:space="preserve"> in an</w:t>
      </w:r>
      <w:r w:rsidR="004B0086" w:rsidRPr="00B95A64">
        <w:rPr>
          <w:rFonts w:ascii="Arial" w:hAnsi="Arial" w:cs="Arial"/>
          <w:color w:val="2A2A2A"/>
          <w:spacing w:val="40"/>
          <w:w w:val="105"/>
        </w:rPr>
        <w:t xml:space="preserve"> </w:t>
      </w:r>
      <w:r w:rsidR="004B0086" w:rsidRPr="00B95A64">
        <w:rPr>
          <w:rFonts w:ascii="Arial" w:hAnsi="Arial" w:cs="Arial"/>
          <w:color w:val="2A2A2A"/>
          <w:w w:val="105"/>
        </w:rPr>
        <w:t>underlying</w:t>
      </w:r>
      <w:r w:rsidR="004B0086" w:rsidRPr="00B95A64">
        <w:rPr>
          <w:rFonts w:ascii="Arial" w:hAnsi="Arial" w:cs="Arial"/>
          <w:color w:val="2A2A2A"/>
          <w:spacing w:val="57"/>
          <w:w w:val="105"/>
        </w:rPr>
        <w:t xml:space="preserve"> </w:t>
      </w:r>
      <w:r w:rsidR="004B0086" w:rsidRPr="00B95A64">
        <w:rPr>
          <w:rFonts w:ascii="Arial" w:hAnsi="Arial" w:cs="Arial"/>
          <w:color w:val="2A2A2A"/>
          <w:w w:val="105"/>
        </w:rPr>
        <w:t>economic</w:t>
      </w:r>
      <w:r w:rsidR="004B0086" w:rsidRPr="00B95A64">
        <w:rPr>
          <w:rFonts w:ascii="Arial" w:hAnsi="Arial" w:cs="Arial"/>
          <w:color w:val="2A2A2A"/>
          <w:spacing w:val="52"/>
          <w:w w:val="105"/>
        </w:rPr>
        <w:t xml:space="preserve"> </w:t>
      </w:r>
      <w:r w:rsidR="004B0086" w:rsidRPr="00B95A64">
        <w:rPr>
          <w:rFonts w:ascii="Arial" w:hAnsi="Arial" w:cs="Arial"/>
          <w:color w:val="2A2A2A"/>
          <w:w w:val="105"/>
        </w:rPr>
        <w:t>determination</w:t>
      </w:r>
      <w:r w:rsidR="004B0086" w:rsidRPr="00B95A64">
        <w:rPr>
          <w:rFonts w:ascii="Arial" w:hAnsi="Arial" w:cs="Arial"/>
          <w:color w:val="2A2A2A"/>
          <w:spacing w:val="52"/>
          <w:w w:val="105"/>
        </w:rPr>
        <w:t xml:space="preserve"> </w:t>
      </w:r>
      <w:r w:rsidR="004B0086" w:rsidRPr="00B95A64">
        <w:rPr>
          <w:rFonts w:ascii="Arial" w:hAnsi="Arial" w:cs="Arial"/>
          <w:color w:val="2A2A2A"/>
          <w:w w:val="105"/>
        </w:rPr>
        <w:t>of</w:t>
      </w:r>
      <w:r w:rsidR="004B0086" w:rsidRPr="00B95A64">
        <w:rPr>
          <w:rFonts w:ascii="Arial" w:hAnsi="Arial" w:cs="Arial"/>
          <w:color w:val="2A2A2A"/>
          <w:spacing w:val="45"/>
          <w:w w:val="105"/>
        </w:rPr>
        <w:t xml:space="preserve"> </w:t>
      </w:r>
      <w:r w:rsidR="004B0086" w:rsidRPr="00B95A64">
        <w:rPr>
          <w:rFonts w:ascii="Arial" w:hAnsi="Arial" w:cs="Arial"/>
          <w:color w:val="2A2A2A"/>
          <w:spacing w:val="-5"/>
          <w:w w:val="105"/>
        </w:rPr>
        <w:t>the</w:t>
      </w:r>
      <w:r w:rsidR="004B0086" w:rsidRPr="00B95A64">
        <w:rPr>
          <w:rFonts w:ascii="Arial" w:hAnsi="Arial" w:cs="Arial"/>
          <w:color w:val="2A2A2A"/>
        </w:rPr>
        <w:t xml:space="preserve"> </w:t>
      </w:r>
      <w:r w:rsidR="004B0086" w:rsidRPr="00B95A64">
        <w:rPr>
          <w:rFonts w:ascii="Arial" w:hAnsi="Arial" w:cs="Arial"/>
          <w:color w:val="2A2A2A"/>
          <w:w w:val="105"/>
        </w:rPr>
        <w:t>potential</w:t>
      </w:r>
      <w:r w:rsidR="004B0086" w:rsidRPr="00B95A64">
        <w:rPr>
          <w:rFonts w:ascii="Arial" w:hAnsi="Arial" w:cs="Arial"/>
          <w:color w:val="2A2A2A"/>
          <w:spacing w:val="10"/>
          <w:w w:val="105"/>
        </w:rPr>
        <w:t xml:space="preserve"> </w:t>
      </w:r>
      <w:r w:rsidR="004B0086" w:rsidRPr="00B95A64">
        <w:rPr>
          <w:rFonts w:ascii="Arial" w:hAnsi="Arial" w:cs="Arial"/>
          <w:color w:val="2A2A2A"/>
          <w:w w:val="105"/>
        </w:rPr>
        <w:t>for</w:t>
      </w:r>
      <w:r w:rsidR="004B0086" w:rsidRPr="00B95A64">
        <w:rPr>
          <w:rFonts w:ascii="Arial" w:hAnsi="Arial" w:cs="Arial"/>
          <w:color w:val="2A2A2A"/>
          <w:spacing w:val="1"/>
          <w:w w:val="105"/>
        </w:rPr>
        <w:t xml:space="preserve"> </w:t>
      </w:r>
      <w:r w:rsidR="004B0086" w:rsidRPr="00B95A64">
        <w:rPr>
          <w:rFonts w:ascii="Arial" w:hAnsi="Arial" w:cs="Arial"/>
          <w:color w:val="2A2A2A"/>
          <w:w w:val="105"/>
        </w:rPr>
        <w:t>such</w:t>
      </w:r>
      <w:r w:rsidR="004B0086" w:rsidRPr="00B95A64">
        <w:rPr>
          <w:rFonts w:ascii="Arial" w:hAnsi="Arial" w:cs="Arial"/>
          <w:color w:val="2A2A2A"/>
          <w:spacing w:val="4"/>
          <w:w w:val="105"/>
        </w:rPr>
        <w:t xml:space="preserve"> </w:t>
      </w:r>
      <w:r w:rsidR="004B0086" w:rsidRPr="00B95A64">
        <w:rPr>
          <w:rFonts w:ascii="Arial" w:hAnsi="Arial" w:cs="Arial"/>
          <w:color w:val="2A2A2A"/>
          <w:w w:val="105"/>
        </w:rPr>
        <w:t>agreements</w:t>
      </w:r>
      <w:r w:rsidR="004B0086" w:rsidRPr="00B95A64">
        <w:rPr>
          <w:rFonts w:ascii="Arial" w:hAnsi="Arial" w:cs="Arial"/>
          <w:color w:val="2A2A2A"/>
          <w:spacing w:val="20"/>
          <w:w w:val="105"/>
        </w:rPr>
        <w:t xml:space="preserve"> </w:t>
      </w:r>
      <w:r w:rsidR="004B0086" w:rsidRPr="00B95A64">
        <w:rPr>
          <w:rFonts w:ascii="Arial" w:hAnsi="Arial" w:cs="Arial"/>
          <w:color w:val="2A2A2A"/>
          <w:w w:val="105"/>
        </w:rPr>
        <w:t>to</w:t>
      </w:r>
      <w:r w:rsidR="004B0086" w:rsidRPr="00B95A64">
        <w:rPr>
          <w:rFonts w:ascii="Arial" w:hAnsi="Arial" w:cs="Arial"/>
          <w:color w:val="2A2A2A"/>
          <w:spacing w:val="-4"/>
          <w:w w:val="105"/>
        </w:rPr>
        <w:t xml:space="preserve"> </w:t>
      </w:r>
      <w:r w:rsidR="004B0086" w:rsidRPr="00B95A64">
        <w:rPr>
          <w:rFonts w:ascii="Arial" w:hAnsi="Arial" w:cs="Arial"/>
          <w:color w:val="2A2A2A"/>
          <w:w w:val="105"/>
        </w:rPr>
        <w:t>result</w:t>
      </w:r>
      <w:r w:rsidR="004B0086" w:rsidRPr="00B95A64">
        <w:rPr>
          <w:rFonts w:ascii="Arial" w:hAnsi="Arial" w:cs="Arial"/>
          <w:color w:val="2A2A2A"/>
          <w:spacing w:val="5"/>
          <w:w w:val="105"/>
        </w:rPr>
        <w:t xml:space="preserve"> </w:t>
      </w:r>
      <w:r w:rsidR="004B0086" w:rsidRPr="00B95A64">
        <w:rPr>
          <w:rFonts w:ascii="Arial" w:hAnsi="Arial" w:cs="Arial"/>
          <w:color w:val="2A2A2A"/>
          <w:w w:val="105"/>
        </w:rPr>
        <w:t>in</w:t>
      </w:r>
      <w:r w:rsidR="004B0086" w:rsidRPr="00B95A64">
        <w:rPr>
          <w:rFonts w:ascii="Arial" w:hAnsi="Arial" w:cs="Arial"/>
          <w:color w:val="2A2A2A"/>
          <w:spacing w:val="-3"/>
          <w:w w:val="105"/>
        </w:rPr>
        <w:t xml:space="preserve"> </w:t>
      </w:r>
      <w:r w:rsidR="004B0086" w:rsidRPr="00B95A64">
        <w:rPr>
          <w:rFonts w:ascii="Arial" w:hAnsi="Arial" w:cs="Arial"/>
          <w:color w:val="2A2A2A"/>
          <w:w w:val="105"/>
        </w:rPr>
        <w:t>harm</w:t>
      </w:r>
      <w:r w:rsidR="004B0086" w:rsidRPr="00B95A64">
        <w:rPr>
          <w:rFonts w:ascii="Arial" w:hAnsi="Arial" w:cs="Arial"/>
          <w:color w:val="2A2A2A"/>
          <w:spacing w:val="14"/>
          <w:w w:val="105"/>
        </w:rPr>
        <w:t xml:space="preserve"> </w:t>
      </w:r>
      <w:r w:rsidR="004B0086" w:rsidRPr="00B95A64">
        <w:rPr>
          <w:rFonts w:ascii="Arial" w:hAnsi="Arial" w:cs="Arial"/>
          <w:color w:val="2A2A2A"/>
          <w:w w:val="105"/>
        </w:rPr>
        <w:t>to</w:t>
      </w:r>
      <w:r w:rsidR="004B0086" w:rsidRPr="00B95A64">
        <w:rPr>
          <w:rFonts w:ascii="Arial" w:hAnsi="Arial" w:cs="Arial"/>
          <w:color w:val="2A2A2A"/>
          <w:spacing w:val="-3"/>
          <w:w w:val="105"/>
        </w:rPr>
        <w:t xml:space="preserve"> </w:t>
      </w:r>
      <w:r w:rsidR="004B0086" w:rsidRPr="00B95A64">
        <w:rPr>
          <w:rFonts w:ascii="Arial" w:hAnsi="Arial" w:cs="Arial"/>
          <w:color w:val="2A2A2A"/>
          <w:spacing w:val="-2"/>
          <w:w w:val="105"/>
        </w:rPr>
        <w:t xml:space="preserve">competition. </w:t>
      </w:r>
    </w:p>
    <w:p w14:paraId="7A0405D7" w14:textId="6DED95F1" w:rsidR="00486E2D" w:rsidRPr="004B0086" w:rsidRDefault="00486E2D" w:rsidP="004B0086">
      <w:pPr>
        <w:pStyle w:val="ListParagraph"/>
        <w:spacing w:line="360" w:lineRule="auto"/>
        <w:ind w:left="0"/>
        <w:jc w:val="both"/>
        <w:rPr>
          <w:rFonts w:ascii="Arial" w:hAnsi="Arial" w:cs="Arial"/>
          <w:color w:val="2A2A2A"/>
          <w:spacing w:val="-2"/>
          <w:w w:val="105"/>
        </w:rPr>
      </w:pPr>
    </w:p>
    <w:p w14:paraId="06EB7CBE" w14:textId="77777777" w:rsidR="00486E2D" w:rsidRPr="00486E2D" w:rsidRDefault="00486E2D" w:rsidP="00486E2D">
      <w:pPr>
        <w:pStyle w:val="ListParagraph"/>
        <w:rPr>
          <w:rFonts w:ascii="Arial" w:hAnsi="Arial" w:cs="Arial"/>
          <w:color w:val="2A2A2A"/>
          <w:spacing w:val="-2"/>
          <w:w w:val="105"/>
        </w:rPr>
      </w:pPr>
    </w:p>
    <w:p w14:paraId="1540E292" w14:textId="777BA1A9" w:rsidR="00486E2D" w:rsidRPr="00C62F32" w:rsidRDefault="00BD5DF8" w:rsidP="00C62F32">
      <w:pPr>
        <w:pStyle w:val="ListParagraph"/>
        <w:numPr>
          <w:ilvl w:val="0"/>
          <w:numId w:val="2"/>
        </w:numPr>
        <w:spacing w:line="360" w:lineRule="auto"/>
        <w:ind w:left="0" w:firstLine="0"/>
        <w:jc w:val="both"/>
        <w:rPr>
          <w:rFonts w:ascii="Arial" w:hAnsi="Arial" w:cs="Arial"/>
        </w:rPr>
      </w:pPr>
      <w:r>
        <w:rPr>
          <w:rFonts w:ascii="Arial" w:hAnsi="Arial" w:cs="Arial"/>
          <w:color w:val="2A2A2A"/>
          <w:spacing w:val="-2"/>
          <w:w w:val="105"/>
        </w:rPr>
        <w:lastRenderedPageBreak/>
        <w:t>Mr Hodge</w:t>
      </w:r>
      <w:r w:rsidR="00D939F1" w:rsidRPr="00486E2D">
        <w:rPr>
          <w:rFonts w:ascii="Arial" w:hAnsi="Arial" w:cs="Arial"/>
          <w:color w:val="2A2A2A"/>
          <w:spacing w:val="-2"/>
          <w:w w:val="105"/>
        </w:rPr>
        <w:t xml:space="preserve"> made the point that it is important</w:t>
      </w:r>
      <w:r w:rsidR="00F5669A">
        <w:rPr>
          <w:rFonts w:ascii="Arial" w:hAnsi="Arial" w:cs="Arial"/>
          <w:color w:val="2A2A2A"/>
          <w:spacing w:val="-2"/>
          <w:w w:val="105"/>
        </w:rPr>
        <w:t xml:space="preserve"> rigorously</w:t>
      </w:r>
      <w:r w:rsidR="00D939F1" w:rsidRPr="00486E2D">
        <w:rPr>
          <w:rFonts w:ascii="Arial" w:hAnsi="Arial" w:cs="Arial"/>
          <w:color w:val="2A2A2A"/>
          <w:spacing w:val="-2"/>
          <w:w w:val="105"/>
        </w:rPr>
        <w:t xml:space="preserve"> to apply  economic </w:t>
      </w:r>
      <w:r>
        <w:rPr>
          <w:rFonts w:ascii="Arial" w:hAnsi="Arial" w:cs="Arial"/>
          <w:color w:val="2A2A2A"/>
          <w:spacing w:val="-2"/>
          <w:w w:val="105"/>
        </w:rPr>
        <w:t>discipl</w:t>
      </w:r>
      <w:r w:rsidR="00F5669A">
        <w:rPr>
          <w:rFonts w:ascii="Arial" w:hAnsi="Arial" w:cs="Arial"/>
          <w:color w:val="2A2A2A"/>
          <w:spacing w:val="-2"/>
          <w:w w:val="105"/>
        </w:rPr>
        <w:t xml:space="preserve">ines </w:t>
      </w:r>
      <w:r w:rsidR="00D939F1" w:rsidRPr="00486E2D">
        <w:rPr>
          <w:rFonts w:ascii="Arial" w:hAnsi="Arial" w:cs="Arial"/>
          <w:color w:val="2A2A2A"/>
          <w:spacing w:val="-2"/>
          <w:w w:val="105"/>
        </w:rPr>
        <w:t xml:space="preserve"> to the facts</w:t>
      </w:r>
      <w:r w:rsidR="00B95A64">
        <w:rPr>
          <w:rFonts w:ascii="Arial" w:hAnsi="Arial" w:cs="Arial"/>
          <w:color w:val="2A2A2A"/>
          <w:spacing w:val="-2"/>
          <w:w w:val="105"/>
        </w:rPr>
        <w:t xml:space="preserve"> of each case</w:t>
      </w:r>
      <w:r w:rsidR="00D939F1" w:rsidRPr="00486E2D">
        <w:rPr>
          <w:rFonts w:ascii="Arial" w:hAnsi="Arial" w:cs="Arial"/>
          <w:color w:val="2A2A2A"/>
          <w:spacing w:val="-2"/>
          <w:w w:val="105"/>
        </w:rPr>
        <w:t>.</w:t>
      </w:r>
      <w:r w:rsidR="00FD0BC8">
        <w:rPr>
          <w:rFonts w:ascii="Arial" w:hAnsi="Arial" w:cs="Arial"/>
          <w:color w:val="2A2A2A"/>
          <w:spacing w:val="-2"/>
          <w:w w:val="105"/>
        </w:rPr>
        <w:t xml:space="preserve"> He</w:t>
      </w:r>
      <w:r w:rsidR="00D939F1" w:rsidRPr="00FD0BC8">
        <w:rPr>
          <w:rFonts w:ascii="Arial" w:hAnsi="Arial" w:cs="Arial"/>
          <w:color w:val="2A2A2A"/>
          <w:spacing w:val="-2"/>
          <w:w w:val="105"/>
        </w:rPr>
        <w:t xml:space="preserve"> pointed out that economic competition theory </w:t>
      </w:r>
      <w:r w:rsidR="000D5E95" w:rsidRPr="00FD0BC8">
        <w:rPr>
          <w:rFonts w:ascii="Arial" w:hAnsi="Arial" w:cs="Arial"/>
          <w:color w:val="2A2A2A"/>
          <w:spacing w:val="-2"/>
          <w:w w:val="105"/>
        </w:rPr>
        <w:t>operates</w:t>
      </w:r>
      <w:r w:rsidR="00D939F1" w:rsidRPr="00FD0BC8">
        <w:rPr>
          <w:rFonts w:ascii="Arial" w:hAnsi="Arial" w:cs="Arial"/>
          <w:color w:val="2A2A2A"/>
          <w:spacing w:val="-2"/>
          <w:w w:val="105"/>
        </w:rPr>
        <w:t xml:space="preserve"> on the basis that parties must</w:t>
      </w:r>
      <w:r w:rsidR="00FB009F" w:rsidRPr="00FD0BC8">
        <w:rPr>
          <w:rFonts w:ascii="Arial" w:hAnsi="Arial" w:cs="Arial"/>
          <w:color w:val="2A2A2A"/>
          <w:spacing w:val="-2"/>
          <w:w w:val="105"/>
        </w:rPr>
        <w:t xml:space="preserve"> be</w:t>
      </w:r>
      <w:r w:rsidR="00D939F1" w:rsidRPr="00FD0BC8">
        <w:rPr>
          <w:rFonts w:ascii="Arial" w:hAnsi="Arial" w:cs="Arial"/>
          <w:color w:val="2A2A2A"/>
          <w:spacing w:val="-2"/>
          <w:w w:val="105"/>
        </w:rPr>
        <w:t xml:space="preserve"> potential or actual competitors at the time that they enter into the impugned agreement. Th</w:t>
      </w:r>
      <w:r w:rsidR="009D6521" w:rsidRPr="00FD0BC8">
        <w:rPr>
          <w:rFonts w:ascii="Arial" w:hAnsi="Arial" w:cs="Arial"/>
          <w:color w:val="2A2A2A"/>
          <w:spacing w:val="-2"/>
          <w:w w:val="105"/>
        </w:rPr>
        <w:t>eir</w:t>
      </w:r>
      <w:r w:rsidR="00D939F1" w:rsidRPr="00FD0BC8">
        <w:rPr>
          <w:rFonts w:ascii="Arial" w:hAnsi="Arial" w:cs="Arial"/>
          <w:color w:val="2A2A2A"/>
          <w:spacing w:val="-2"/>
          <w:w w:val="105"/>
        </w:rPr>
        <w:t xml:space="preserve"> status</w:t>
      </w:r>
      <w:r w:rsidR="00B95A64" w:rsidRPr="00FD0BC8">
        <w:rPr>
          <w:rFonts w:ascii="Arial" w:hAnsi="Arial" w:cs="Arial"/>
          <w:color w:val="2A2A2A"/>
          <w:spacing w:val="-2"/>
          <w:w w:val="105"/>
        </w:rPr>
        <w:t>,</w:t>
      </w:r>
      <w:r w:rsidR="00C247C5" w:rsidRPr="00FD0BC8">
        <w:rPr>
          <w:rFonts w:ascii="Arial" w:hAnsi="Arial" w:cs="Arial"/>
          <w:color w:val="2A2A2A"/>
          <w:spacing w:val="-2"/>
          <w:w w:val="105"/>
        </w:rPr>
        <w:t xml:space="preserve"> at this time</w:t>
      </w:r>
      <w:r w:rsidR="00B95A64" w:rsidRPr="00FD0BC8">
        <w:rPr>
          <w:rFonts w:ascii="Arial" w:hAnsi="Arial" w:cs="Arial"/>
          <w:color w:val="2A2A2A"/>
          <w:spacing w:val="-2"/>
          <w:w w:val="105"/>
        </w:rPr>
        <w:t>,</w:t>
      </w:r>
      <w:r w:rsidR="00D939F1" w:rsidRPr="00FD0BC8">
        <w:rPr>
          <w:rFonts w:ascii="Arial" w:hAnsi="Arial" w:cs="Arial"/>
          <w:color w:val="2A2A2A"/>
          <w:spacing w:val="-2"/>
          <w:w w:val="105"/>
        </w:rPr>
        <w:t xml:space="preserve"> defines the economic inquiry to be undertaken.</w:t>
      </w:r>
    </w:p>
    <w:p w14:paraId="3D5FB5C1" w14:textId="77777777" w:rsidR="00C65B2B" w:rsidRPr="00C65B2B" w:rsidRDefault="00C65B2B" w:rsidP="00C65B2B">
      <w:pPr>
        <w:rPr>
          <w:rFonts w:ascii="Arial" w:hAnsi="Arial" w:cs="Arial"/>
          <w:color w:val="2A2A2A"/>
          <w:spacing w:val="-2"/>
          <w:w w:val="105"/>
        </w:rPr>
      </w:pPr>
    </w:p>
    <w:p w14:paraId="49416A28" w14:textId="5D147734" w:rsidR="00B95A64" w:rsidRDefault="00D939F1" w:rsidP="00FB4937">
      <w:pPr>
        <w:pStyle w:val="ListParagraph"/>
        <w:numPr>
          <w:ilvl w:val="0"/>
          <w:numId w:val="2"/>
        </w:numPr>
        <w:spacing w:line="360" w:lineRule="auto"/>
        <w:ind w:left="0" w:firstLine="0"/>
        <w:jc w:val="both"/>
        <w:rPr>
          <w:rFonts w:ascii="Arial" w:hAnsi="Arial" w:cs="Arial"/>
        </w:rPr>
      </w:pPr>
      <w:r w:rsidRPr="00486E2D">
        <w:rPr>
          <w:rFonts w:ascii="Arial" w:hAnsi="Arial" w:cs="Arial"/>
          <w:color w:val="2A2A2A"/>
          <w:spacing w:val="-2"/>
          <w:w w:val="105"/>
        </w:rPr>
        <w:t xml:space="preserve"> The accepted economic discipline</w:t>
      </w:r>
      <w:r w:rsidR="00B95A64">
        <w:rPr>
          <w:rFonts w:ascii="Arial" w:hAnsi="Arial" w:cs="Arial"/>
          <w:color w:val="2A2A2A"/>
          <w:spacing w:val="-2"/>
          <w:w w:val="105"/>
        </w:rPr>
        <w:t xml:space="preserve"> employed in the determination of this status</w:t>
      </w:r>
      <w:r w:rsidRPr="00486E2D">
        <w:rPr>
          <w:rFonts w:ascii="Arial" w:hAnsi="Arial" w:cs="Arial"/>
          <w:color w:val="2A2A2A"/>
          <w:spacing w:val="-2"/>
          <w:w w:val="105"/>
        </w:rPr>
        <w:t xml:space="preserve"> is to examine the relationship in the absence of the </w:t>
      </w:r>
      <w:r w:rsidR="00FD0BC8">
        <w:rPr>
          <w:rFonts w:ascii="Arial" w:hAnsi="Arial" w:cs="Arial"/>
          <w:color w:val="2A2A2A"/>
          <w:spacing w:val="-2"/>
          <w:w w:val="105"/>
        </w:rPr>
        <w:t xml:space="preserve">impugned </w:t>
      </w:r>
      <w:r w:rsidRPr="00486E2D">
        <w:rPr>
          <w:rFonts w:ascii="Arial" w:hAnsi="Arial" w:cs="Arial"/>
          <w:color w:val="2A2A2A"/>
          <w:spacing w:val="-2"/>
          <w:w w:val="105"/>
        </w:rPr>
        <w:t>agreement</w:t>
      </w:r>
      <w:r w:rsidR="00760FDC">
        <w:rPr>
          <w:rFonts w:ascii="Arial" w:hAnsi="Arial" w:cs="Arial"/>
          <w:color w:val="2A2A2A"/>
          <w:spacing w:val="-2"/>
          <w:w w:val="105"/>
        </w:rPr>
        <w:t>.</w:t>
      </w:r>
      <w:r w:rsidR="00760FDC">
        <w:rPr>
          <w:rFonts w:ascii="Arial" w:hAnsi="Arial" w:cs="Arial"/>
        </w:rPr>
        <w:t xml:space="preserve"> </w:t>
      </w:r>
    </w:p>
    <w:p w14:paraId="752DEA97" w14:textId="77777777" w:rsidR="00FD0BC8" w:rsidRDefault="00FD0BC8" w:rsidP="00FD0BC8">
      <w:pPr>
        <w:pStyle w:val="ListParagraph"/>
        <w:spacing w:line="360" w:lineRule="auto"/>
        <w:ind w:left="0"/>
        <w:jc w:val="both"/>
        <w:rPr>
          <w:rFonts w:ascii="Arial" w:hAnsi="Arial" w:cs="Arial"/>
        </w:rPr>
      </w:pPr>
    </w:p>
    <w:p w14:paraId="33557E8C" w14:textId="3E6D3FEB" w:rsidR="00486E2D" w:rsidRPr="00FB4937" w:rsidRDefault="00D939F1" w:rsidP="00FB4937">
      <w:pPr>
        <w:pStyle w:val="ListParagraph"/>
        <w:numPr>
          <w:ilvl w:val="0"/>
          <w:numId w:val="2"/>
        </w:numPr>
        <w:spacing w:line="360" w:lineRule="auto"/>
        <w:ind w:left="0" w:firstLine="0"/>
        <w:jc w:val="both"/>
        <w:rPr>
          <w:rFonts w:ascii="Arial" w:hAnsi="Arial" w:cs="Arial"/>
        </w:rPr>
      </w:pPr>
      <w:r w:rsidRPr="00760FDC">
        <w:rPr>
          <w:rFonts w:ascii="Arial" w:hAnsi="Arial" w:cs="Arial"/>
          <w:color w:val="2A2A2A"/>
          <w:spacing w:val="-2"/>
          <w:w w:val="105"/>
        </w:rPr>
        <w:t xml:space="preserve">The </w:t>
      </w:r>
      <w:r w:rsidR="00760FDC">
        <w:rPr>
          <w:rFonts w:ascii="Arial" w:hAnsi="Arial" w:cs="Arial"/>
          <w:color w:val="2A2A2A"/>
          <w:spacing w:val="-2"/>
          <w:w w:val="105"/>
        </w:rPr>
        <w:t>EU</w:t>
      </w:r>
      <w:r w:rsidRPr="00760FDC">
        <w:rPr>
          <w:rFonts w:ascii="Arial" w:hAnsi="Arial" w:cs="Arial"/>
          <w:color w:val="2A2A2A"/>
          <w:spacing w:val="-2"/>
          <w:w w:val="105"/>
        </w:rPr>
        <w:t xml:space="preserve"> and US guidelines on potential competitors both espouse this economic </w:t>
      </w:r>
      <w:r w:rsidR="00D5329D" w:rsidRPr="00760FDC">
        <w:rPr>
          <w:rFonts w:ascii="Arial" w:hAnsi="Arial" w:cs="Arial"/>
          <w:color w:val="2A2A2A"/>
          <w:spacing w:val="-2"/>
          <w:w w:val="105"/>
        </w:rPr>
        <w:t>approach</w:t>
      </w:r>
      <w:r w:rsidRPr="00760FDC">
        <w:rPr>
          <w:rFonts w:ascii="Arial" w:hAnsi="Arial" w:cs="Arial"/>
          <w:color w:val="2A2A2A"/>
          <w:spacing w:val="-2"/>
          <w:w w:val="105"/>
        </w:rPr>
        <w:t>.</w:t>
      </w:r>
      <w:r>
        <w:rPr>
          <w:rStyle w:val="FootnoteReference"/>
          <w:rFonts w:ascii="Arial" w:hAnsi="Arial" w:cs="Arial"/>
          <w:color w:val="2A2A2A"/>
          <w:spacing w:val="-2"/>
          <w:w w:val="105"/>
        </w:rPr>
        <w:footnoteReference w:id="6"/>
      </w:r>
      <w:r w:rsidR="00FB4937">
        <w:rPr>
          <w:rFonts w:ascii="Arial" w:hAnsi="Arial" w:cs="Arial"/>
        </w:rPr>
        <w:t xml:space="preserve"> </w:t>
      </w:r>
      <w:r w:rsidRPr="00FB4937">
        <w:rPr>
          <w:rFonts w:ascii="Arial" w:hAnsi="Arial" w:cs="Arial"/>
          <w:color w:val="2A2A2A"/>
          <w:spacing w:val="-2"/>
          <w:w w:val="105"/>
          <w:lang w:val="en-US"/>
        </w:rPr>
        <w:t xml:space="preserve">The application of this discipline enables an examination of the counterfactual position (where there is no agreement) to the existing factual position (where the agreement is in place). </w:t>
      </w:r>
      <w:r w:rsidR="00FB4937">
        <w:rPr>
          <w:rFonts w:ascii="Arial" w:hAnsi="Arial" w:cs="Arial"/>
        </w:rPr>
        <w:t>This</w:t>
      </w:r>
      <w:r w:rsidR="00486E2D" w:rsidRPr="00FB4937">
        <w:rPr>
          <w:rFonts w:ascii="Arial" w:hAnsi="Arial" w:cs="Arial"/>
          <w:color w:val="2A2A2A"/>
          <w:spacing w:val="-2"/>
          <w:w w:val="105"/>
          <w:lang w:val="en-US"/>
        </w:rPr>
        <w:t xml:space="preserve"> is generally accepted as</w:t>
      </w:r>
      <w:r w:rsidRPr="00FB4937">
        <w:rPr>
          <w:rFonts w:ascii="Arial" w:hAnsi="Arial" w:cs="Arial"/>
          <w:color w:val="2A2A2A"/>
          <w:spacing w:val="-2"/>
          <w:w w:val="105"/>
          <w:lang w:val="en-US"/>
        </w:rPr>
        <w:t xml:space="preserve"> the appropriate means to determine whether the agreement itself resulted in harm to competition or not and</w:t>
      </w:r>
      <w:r w:rsidR="00FD0BC8">
        <w:rPr>
          <w:rFonts w:ascii="Arial" w:hAnsi="Arial" w:cs="Arial"/>
          <w:color w:val="2A2A2A"/>
          <w:spacing w:val="-2"/>
          <w:w w:val="105"/>
          <w:lang w:val="en-US"/>
        </w:rPr>
        <w:t>,</w:t>
      </w:r>
      <w:r w:rsidRPr="00FB4937">
        <w:rPr>
          <w:rFonts w:ascii="Arial" w:hAnsi="Arial" w:cs="Arial"/>
          <w:color w:val="2A2A2A"/>
          <w:spacing w:val="-2"/>
          <w:w w:val="105"/>
          <w:lang w:val="en-US"/>
        </w:rPr>
        <w:t xml:space="preserve"> therefore</w:t>
      </w:r>
      <w:r w:rsidR="00FD0BC8">
        <w:rPr>
          <w:rFonts w:ascii="Arial" w:hAnsi="Arial" w:cs="Arial"/>
          <w:color w:val="2A2A2A"/>
          <w:spacing w:val="-2"/>
          <w:w w:val="105"/>
          <w:lang w:val="en-US"/>
        </w:rPr>
        <w:t>,</w:t>
      </w:r>
      <w:r w:rsidRPr="00FB4937">
        <w:rPr>
          <w:rFonts w:ascii="Arial" w:hAnsi="Arial" w:cs="Arial"/>
          <w:color w:val="2A2A2A"/>
          <w:spacing w:val="-2"/>
          <w:w w:val="105"/>
          <w:lang w:val="en-US"/>
        </w:rPr>
        <w:t xml:space="preserve"> whether the conduct should fall into the type of economic offences for which no defence should be permitted.</w:t>
      </w:r>
    </w:p>
    <w:p w14:paraId="5B36D4E1" w14:textId="77777777" w:rsidR="00486E2D" w:rsidRPr="00486E2D" w:rsidRDefault="00486E2D" w:rsidP="00486E2D">
      <w:pPr>
        <w:pStyle w:val="ListParagraph"/>
        <w:rPr>
          <w:rFonts w:ascii="Arial" w:hAnsi="Arial" w:cs="Arial"/>
          <w:color w:val="2A2A2A"/>
          <w:spacing w:val="-2"/>
          <w:w w:val="105"/>
          <w:lang w:val="en-US"/>
        </w:rPr>
      </w:pPr>
    </w:p>
    <w:p w14:paraId="0EDE15F5" w14:textId="4C0F79A2" w:rsidR="00486E2D" w:rsidRPr="00B95A64" w:rsidRDefault="003C334B" w:rsidP="00B95A64">
      <w:pPr>
        <w:pStyle w:val="ListParagraph"/>
        <w:numPr>
          <w:ilvl w:val="0"/>
          <w:numId w:val="2"/>
        </w:numPr>
        <w:spacing w:line="360" w:lineRule="auto"/>
        <w:ind w:left="0" w:firstLine="0"/>
        <w:jc w:val="both"/>
        <w:rPr>
          <w:rFonts w:ascii="Arial" w:hAnsi="Arial" w:cs="Arial"/>
        </w:rPr>
      </w:pPr>
      <w:r>
        <w:rPr>
          <w:rFonts w:ascii="Arial" w:hAnsi="Arial" w:cs="Arial"/>
          <w:color w:val="2A2A2A"/>
          <w:spacing w:val="-2"/>
          <w:w w:val="105"/>
          <w:lang w:val="en-US"/>
        </w:rPr>
        <w:t>The</w:t>
      </w:r>
      <w:r w:rsidR="00D939F1" w:rsidRPr="00486E2D">
        <w:rPr>
          <w:rFonts w:ascii="Arial" w:hAnsi="Arial" w:cs="Arial"/>
          <w:color w:val="2A2A2A"/>
          <w:spacing w:val="-2"/>
          <w:w w:val="105"/>
          <w:lang w:val="en-US"/>
        </w:rPr>
        <w:t xml:space="preserve"> question posed in this counterfactual analysis is whether the parties were potential competitors </w:t>
      </w:r>
      <w:r w:rsidR="00D939F1" w:rsidRPr="00486E2D">
        <w:rPr>
          <w:rFonts w:ascii="Arial" w:hAnsi="Arial" w:cs="Arial"/>
          <w:color w:val="2A2A2A"/>
          <w:spacing w:val="-2"/>
          <w:w w:val="105"/>
          <w:u w:val="single"/>
          <w:lang w:val="en-US"/>
        </w:rPr>
        <w:t>in the absence of the impugned agreement</w:t>
      </w:r>
      <w:r w:rsidR="00D939F1" w:rsidRPr="00486E2D">
        <w:rPr>
          <w:rFonts w:ascii="Arial" w:hAnsi="Arial" w:cs="Arial"/>
          <w:color w:val="2A2A2A"/>
          <w:spacing w:val="-2"/>
          <w:w w:val="105"/>
          <w:lang w:val="en-US"/>
        </w:rPr>
        <w:t xml:space="preserve">. </w:t>
      </w:r>
      <w:r w:rsidR="00D939F1" w:rsidRPr="00B95A64">
        <w:rPr>
          <w:rFonts w:ascii="Arial" w:hAnsi="Arial" w:cs="Arial"/>
          <w:color w:val="2A2A2A"/>
          <w:spacing w:val="-2"/>
          <w:w w:val="105"/>
          <w:lang w:val="en-US"/>
        </w:rPr>
        <w:t xml:space="preserve">If the answer to the question is in the affirmative, then competition may have been harmed as the </w:t>
      </w:r>
      <w:r w:rsidR="00FD0BC8" w:rsidRPr="00B95A64">
        <w:rPr>
          <w:rFonts w:ascii="Arial" w:hAnsi="Arial" w:cs="Arial"/>
          <w:color w:val="2A2A2A"/>
          <w:spacing w:val="-2"/>
          <w:w w:val="105"/>
          <w:lang w:val="en-US"/>
        </w:rPr>
        <w:t>agreement would</w:t>
      </w:r>
      <w:r w:rsidR="00D939F1" w:rsidRPr="00B95A64">
        <w:rPr>
          <w:rFonts w:ascii="Arial" w:hAnsi="Arial" w:cs="Arial"/>
          <w:color w:val="2A2A2A"/>
          <w:spacing w:val="-2"/>
          <w:w w:val="105"/>
          <w:lang w:val="en-US"/>
        </w:rPr>
        <w:t xml:space="preserve"> then have removed a potential competitor from the market and therefore</w:t>
      </w:r>
      <w:r w:rsidR="00B95A64">
        <w:rPr>
          <w:rFonts w:ascii="Arial" w:hAnsi="Arial" w:cs="Arial"/>
          <w:color w:val="2A2A2A"/>
          <w:spacing w:val="-2"/>
          <w:w w:val="105"/>
          <w:lang w:val="en-US"/>
        </w:rPr>
        <w:t>,</w:t>
      </w:r>
      <w:r w:rsidR="00D939F1" w:rsidRPr="00B95A64">
        <w:rPr>
          <w:rFonts w:ascii="Arial" w:hAnsi="Arial" w:cs="Arial"/>
          <w:color w:val="2A2A2A"/>
          <w:spacing w:val="-2"/>
          <w:w w:val="105"/>
          <w:lang w:val="en-US"/>
        </w:rPr>
        <w:t xml:space="preserve"> itself</w:t>
      </w:r>
      <w:r w:rsidR="00B95A64">
        <w:rPr>
          <w:rFonts w:ascii="Arial" w:hAnsi="Arial" w:cs="Arial"/>
          <w:color w:val="2A2A2A"/>
          <w:spacing w:val="-2"/>
          <w:w w:val="105"/>
          <w:lang w:val="en-US"/>
        </w:rPr>
        <w:t>,</w:t>
      </w:r>
      <w:r w:rsidR="00D939F1" w:rsidRPr="00B95A64">
        <w:rPr>
          <w:rFonts w:ascii="Arial" w:hAnsi="Arial" w:cs="Arial"/>
          <w:color w:val="2A2A2A"/>
          <w:spacing w:val="-2"/>
          <w:w w:val="105"/>
          <w:lang w:val="en-US"/>
        </w:rPr>
        <w:t xml:space="preserve"> resulted in potential harm to competition. For instance, this would be the case in a situation of blatant market division.</w:t>
      </w:r>
    </w:p>
    <w:p w14:paraId="605D7B7A" w14:textId="77777777" w:rsidR="00486E2D" w:rsidRPr="00486E2D" w:rsidRDefault="00486E2D" w:rsidP="00486E2D">
      <w:pPr>
        <w:pStyle w:val="ListParagraph"/>
        <w:rPr>
          <w:rFonts w:ascii="Arial" w:hAnsi="Arial" w:cs="Arial"/>
          <w:color w:val="2A2A2A"/>
          <w:spacing w:val="-2"/>
          <w:w w:val="105"/>
          <w:lang w:val="en-US"/>
        </w:rPr>
      </w:pPr>
    </w:p>
    <w:p w14:paraId="3D51F122" w14:textId="63EADDDC" w:rsidR="00486E2D" w:rsidRPr="00B95A64" w:rsidRDefault="00D939F1" w:rsidP="007D689D">
      <w:pPr>
        <w:pStyle w:val="ListParagraph"/>
        <w:numPr>
          <w:ilvl w:val="0"/>
          <w:numId w:val="2"/>
        </w:numPr>
        <w:spacing w:line="360" w:lineRule="auto"/>
        <w:ind w:left="0" w:firstLine="0"/>
        <w:jc w:val="both"/>
        <w:rPr>
          <w:rFonts w:ascii="Arial" w:hAnsi="Arial" w:cs="Arial"/>
          <w:iCs/>
          <w:lang w:val="en-US"/>
        </w:rPr>
      </w:pPr>
      <w:r w:rsidRPr="00B95A64">
        <w:rPr>
          <w:rFonts w:ascii="Arial" w:hAnsi="Arial" w:cs="Arial"/>
          <w:color w:val="2A2A2A"/>
          <w:spacing w:val="-2"/>
          <w:w w:val="105"/>
          <w:lang w:val="en-US"/>
        </w:rPr>
        <w:t xml:space="preserve">However, if the answer to this question is in the negative - i.e. the two firms would not have been competitors absent the agreement - then the agreement itself </w:t>
      </w:r>
      <w:r w:rsidRPr="00B95A64">
        <w:rPr>
          <w:rFonts w:ascii="Arial" w:hAnsi="Arial" w:cs="Arial"/>
          <w:color w:val="2A2A2A"/>
          <w:spacing w:val="-2"/>
          <w:w w:val="105"/>
          <w:lang w:val="en-US"/>
        </w:rPr>
        <w:lastRenderedPageBreak/>
        <w:t>did not remove a potential competitor from the market and</w:t>
      </w:r>
      <w:r w:rsidR="00FD0BC8">
        <w:rPr>
          <w:rFonts w:ascii="Arial" w:hAnsi="Arial" w:cs="Arial"/>
          <w:color w:val="2A2A2A"/>
          <w:spacing w:val="-2"/>
          <w:w w:val="105"/>
          <w:lang w:val="en-US"/>
        </w:rPr>
        <w:t>,</w:t>
      </w:r>
      <w:r w:rsidRPr="00B95A64">
        <w:rPr>
          <w:rFonts w:ascii="Arial" w:hAnsi="Arial" w:cs="Arial"/>
          <w:color w:val="2A2A2A"/>
          <w:spacing w:val="-2"/>
          <w:w w:val="105"/>
          <w:lang w:val="en-US"/>
        </w:rPr>
        <w:t xml:space="preserve"> therefore</w:t>
      </w:r>
      <w:r w:rsidR="00FD0BC8">
        <w:rPr>
          <w:rFonts w:ascii="Arial" w:hAnsi="Arial" w:cs="Arial"/>
          <w:color w:val="2A2A2A"/>
          <w:spacing w:val="-2"/>
          <w:w w:val="105"/>
          <w:lang w:val="en-US"/>
        </w:rPr>
        <w:t>,</w:t>
      </w:r>
      <w:r w:rsidRPr="00B95A64">
        <w:rPr>
          <w:rFonts w:ascii="Arial" w:hAnsi="Arial" w:cs="Arial"/>
          <w:color w:val="2A2A2A"/>
          <w:spacing w:val="-2"/>
          <w:w w:val="105"/>
          <w:lang w:val="en-US"/>
        </w:rPr>
        <w:t xml:space="preserve"> the </w:t>
      </w:r>
      <w:r w:rsidR="00B95A64" w:rsidRPr="00B95A64">
        <w:rPr>
          <w:rFonts w:ascii="Arial" w:hAnsi="Arial" w:cs="Arial"/>
          <w:color w:val="2A2A2A"/>
          <w:spacing w:val="-2"/>
          <w:w w:val="105"/>
          <w:lang w:val="en-US"/>
        </w:rPr>
        <w:t>agreement could</w:t>
      </w:r>
      <w:r w:rsidRPr="00B95A64">
        <w:rPr>
          <w:rFonts w:ascii="Arial" w:hAnsi="Arial" w:cs="Arial"/>
          <w:color w:val="2A2A2A"/>
          <w:spacing w:val="-2"/>
          <w:w w:val="105"/>
          <w:lang w:val="en-US"/>
        </w:rPr>
        <w:t xml:space="preserve"> not have harmed competition</w:t>
      </w:r>
      <w:r w:rsidR="00B95A64" w:rsidRPr="00B95A64">
        <w:rPr>
          <w:rFonts w:ascii="Arial" w:hAnsi="Arial" w:cs="Arial"/>
          <w:color w:val="2A2A2A"/>
          <w:spacing w:val="-2"/>
          <w:w w:val="105"/>
          <w:lang w:val="en-US"/>
        </w:rPr>
        <w:t>.</w:t>
      </w:r>
      <w:r w:rsidRPr="00B95A64">
        <w:rPr>
          <w:rFonts w:ascii="Arial" w:hAnsi="Arial" w:cs="Arial"/>
          <w:color w:val="2A2A2A"/>
          <w:spacing w:val="-2"/>
          <w:w w:val="105"/>
          <w:lang w:val="en-US"/>
        </w:rPr>
        <w:t xml:space="preserve"> </w:t>
      </w:r>
    </w:p>
    <w:p w14:paraId="0DEE9C6C" w14:textId="77777777" w:rsidR="00B95A64" w:rsidRPr="00B95A64" w:rsidRDefault="00B95A64" w:rsidP="00B95A64">
      <w:pPr>
        <w:pStyle w:val="ListParagraph"/>
        <w:spacing w:line="360" w:lineRule="auto"/>
        <w:ind w:left="0"/>
        <w:jc w:val="both"/>
        <w:rPr>
          <w:rFonts w:ascii="Arial" w:hAnsi="Arial" w:cs="Arial"/>
          <w:iCs/>
          <w:lang w:val="en-US"/>
        </w:rPr>
      </w:pPr>
    </w:p>
    <w:p w14:paraId="21CEDBE2" w14:textId="77777777" w:rsidR="00486E2D" w:rsidRPr="00486E2D"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iCs/>
          <w:lang w:val="en-US"/>
        </w:rPr>
        <w:t xml:space="preserve">Put simply, where the firm in question is not a potential competitor in either the factual scenario or the counterfactual scenario, it follows that competition is the same in each scenario. </w:t>
      </w:r>
    </w:p>
    <w:p w14:paraId="7D64EBA1" w14:textId="77777777" w:rsidR="00486E2D" w:rsidRPr="00486E2D" w:rsidRDefault="00486E2D" w:rsidP="00486E2D">
      <w:pPr>
        <w:pStyle w:val="ListParagraph"/>
        <w:rPr>
          <w:rFonts w:ascii="Arial" w:hAnsi="Arial" w:cs="Arial"/>
          <w:iCs/>
        </w:rPr>
      </w:pPr>
    </w:p>
    <w:p w14:paraId="1B052562" w14:textId="5BBCAD7A" w:rsidR="00486E2D" w:rsidRPr="00486E2D"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iCs/>
        </w:rPr>
        <w:t xml:space="preserve">This counterfactual discipline was recognised and employed in </w:t>
      </w:r>
      <w:r w:rsidRPr="00486E2D">
        <w:rPr>
          <w:rFonts w:ascii="Arial" w:hAnsi="Arial" w:cs="Arial"/>
          <w:i/>
          <w:iCs/>
        </w:rPr>
        <w:t xml:space="preserve">SAB </w:t>
      </w:r>
      <w:r w:rsidRPr="00486E2D">
        <w:rPr>
          <w:rFonts w:ascii="Arial" w:hAnsi="Arial" w:cs="Arial"/>
          <w:iCs/>
        </w:rPr>
        <w:t>by this Court</w:t>
      </w:r>
      <w:r w:rsidRPr="00486E2D">
        <w:rPr>
          <w:rFonts w:ascii="Arial" w:hAnsi="Arial" w:cs="Arial"/>
          <w:i/>
          <w:iCs/>
        </w:rPr>
        <w:t xml:space="preserve"> </w:t>
      </w:r>
      <w:r w:rsidR="00486E2D">
        <w:rPr>
          <w:rFonts w:ascii="Arial" w:hAnsi="Arial" w:cs="Arial"/>
          <w:iCs/>
        </w:rPr>
        <w:t>in</w:t>
      </w:r>
      <w:r w:rsidR="00F6575A">
        <w:rPr>
          <w:rFonts w:ascii="Arial" w:hAnsi="Arial" w:cs="Arial"/>
          <w:iCs/>
        </w:rPr>
        <w:t xml:space="preserve"> the characterisation of</w:t>
      </w:r>
      <w:r w:rsidRPr="00486E2D">
        <w:rPr>
          <w:rFonts w:ascii="Arial" w:hAnsi="Arial" w:cs="Arial"/>
          <w:iCs/>
        </w:rPr>
        <w:t xml:space="preserve"> an agreement which, as in this case, had both vertical and horizontal elements</w:t>
      </w:r>
      <w:r w:rsidR="000641A9">
        <w:rPr>
          <w:rFonts w:ascii="Arial" w:hAnsi="Arial" w:cs="Arial"/>
          <w:iCs/>
        </w:rPr>
        <w:t>.</w:t>
      </w:r>
      <w:r>
        <w:rPr>
          <w:rStyle w:val="FootnoteReference"/>
          <w:rFonts w:ascii="Arial" w:hAnsi="Arial" w:cs="Arial"/>
          <w:iCs/>
        </w:rPr>
        <w:footnoteReference w:id="7"/>
      </w:r>
      <w:r w:rsidRPr="00486E2D">
        <w:rPr>
          <w:rFonts w:ascii="Arial" w:hAnsi="Arial" w:cs="Arial"/>
          <w:iCs/>
        </w:rPr>
        <w:t xml:space="preserve"> </w:t>
      </w:r>
      <w:r w:rsidR="000641A9">
        <w:rPr>
          <w:rFonts w:ascii="Arial" w:hAnsi="Arial" w:cs="Arial"/>
          <w:iCs/>
        </w:rPr>
        <w:t xml:space="preserve">The court held </w:t>
      </w:r>
      <w:r w:rsidRPr="00486E2D">
        <w:rPr>
          <w:rFonts w:ascii="Arial" w:hAnsi="Arial" w:cs="Arial"/>
          <w:iCs/>
        </w:rPr>
        <w:t>‘if an undertaking would have not competed, absent the impugned agreement, then the agreement itself cannot be said to have been entered into between horizontal competitors but rather stands to be classified as an agreement between an upstream manufacturer who is engaged in a new distribution strategy with its downstream suppliers</w:t>
      </w:r>
      <w:r w:rsidR="003C334B">
        <w:rPr>
          <w:rFonts w:ascii="Arial" w:hAnsi="Arial" w:cs="Arial"/>
          <w:iCs/>
        </w:rPr>
        <w:t>.</w:t>
      </w:r>
      <w:r w:rsidRPr="00486E2D">
        <w:rPr>
          <w:rFonts w:ascii="Arial" w:hAnsi="Arial" w:cs="Arial"/>
          <w:iCs/>
        </w:rPr>
        <w:t xml:space="preserve">’ </w:t>
      </w:r>
      <w:r>
        <w:rPr>
          <w:vertAlign w:val="superscript"/>
        </w:rPr>
        <w:footnoteReference w:id="8"/>
      </w:r>
      <w:r w:rsidRPr="00486E2D">
        <w:rPr>
          <w:rFonts w:ascii="Arial" w:hAnsi="Arial" w:cs="Arial"/>
          <w:iCs/>
        </w:rPr>
        <w:t>  </w:t>
      </w:r>
    </w:p>
    <w:p w14:paraId="61761AE9" w14:textId="77777777" w:rsidR="00486E2D" w:rsidRPr="00486E2D" w:rsidRDefault="00486E2D" w:rsidP="00486E2D">
      <w:pPr>
        <w:pStyle w:val="ListParagraph"/>
        <w:rPr>
          <w:rFonts w:ascii="Arial" w:hAnsi="Arial" w:cs="Arial"/>
          <w:iCs/>
        </w:rPr>
      </w:pPr>
    </w:p>
    <w:p w14:paraId="7B9F2D2B" w14:textId="7E45704C" w:rsidR="00486E2D" w:rsidRPr="00486E2D" w:rsidRDefault="00AD4636" w:rsidP="00D939F1">
      <w:pPr>
        <w:pStyle w:val="ListParagraph"/>
        <w:numPr>
          <w:ilvl w:val="0"/>
          <w:numId w:val="2"/>
        </w:numPr>
        <w:spacing w:line="360" w:lineRule="auto"/>
        <w:ind w:left="0" w:firstLine="0"/>
        <w:jc w:val="both"/>
        <w:rPr>
          <w:rFonts w:ascii="Arial" w:hAnsi="Arial" w:cs="Arial"/>
        </w:rPr>
      </w:pPr>
      <w:r>
        <w:rPr>
          <w:rFonts w:ascii="Arial" w:hAnsi="Arial" w:cs="Arial"/>
          <w:iCs/>
        </w:rPr>
        <w:t>T</w:t>
      </w:r>
      <w:r w:rsidR="008F2132">
        <w:rPr>
          <w:rFonts w:ascii="Arial" w:hAnsi="Arial" w:cs="Arial"/>
          <w:iCs/>
        </w:rPr>
        <w:t>his</w:t>
      </w:r>
      <w:r>
        <w:rPr>
          <w:rFonts w:ascii="Arial" w:hAnsi="Arial" w:cs="Arial"/>
          <w:iCs/>
        </w:rPr>
        <w:t xml:space="preserve"> </w:t>
      </w:r>
      <w:r w:rsidR="00D939F1" w:rsidRPr="00486E2D">
        <w:rPr>
          <w:rFonts w:ascii="Arial" w:hAnsi="Arial" w:cs="Arial"/>
          <w:iCs/>
        </w:rPr>
        <w:t>approach has sound  economic foundations</w:t>
      </w:r>
      <w:r w:rsidR="000641A9">
        <w:rPr>
          <w:rFonts w:ascii="Arial" w:hAnsi="Arial" w:cs="Arial"/>
          <w:iCs/>
        </w:rPr>
        <w:t>.</w:t>
      </w:r>
      <w:r w:rsidR="00D939F1" w:rsidRPr="00486E2D">
        <w:rPr>
          <w:rFonts w:ascii="Arial" w:hAnsi="Arial" w:cs="Arial"/>
          <w:iCs/>
        </w:rPr>
        <w:t xml:space="preserve"> If the counterfactual scenario is indeed that one party would not be active in a market at all, then competition cannot be any worse as a result of an agreement between that party and an existing market participant in terms of which the former party becomes active in the market on terms determined by the agreement. In neither the factual nor the counterfactual scenario does the one party bring any independent competition to the market and therefore one cannot say that the agreement has worsened competition as there was none to start with. </w:t>
      </w:r>
    </w:p>
    <w:p w14:paraId="4D8536F7" w14:textId="77777777" w:rsidR="00486E2D" w:rsidRPr="00486E2D" w:rsidRDefault="00486E2D" w:rsidP="00486E2D">
      <w:pPr>
        <w:pStyle w:val="ListParagraph"/>
        <w:rPr>
          <w:rFonts w:ascii="Arial" w:hAnsi="Arial" w:cs="Arial"/>
          <w:iCs/>
        </w:rPr>
      </w:pPr>
    </w:p>
    <w:p w14:paraId="0A5ABAB7" w14:textId="23F46924" w:rsidR="00486E2D" w:rsidRPr="00486E2D" w:rsidRDefault="00F6575A" w:rsidP="00D939F1">
      <w:pPr>
        <w:pStyle w:val="ListParagraph"/>
        <w:numPr>
          <w:ilvl w:val="0"/>
          <w:numId w:val="2"/>
        </w:numPr>
        <w:spacing w:line="360" w:lineRule="auto"/>
        <w:ind w:left="0" w:firstLine="0"/>
        <w:jc w:val="both"/>
        <w:rPr>
          <w:rFonts w:ascii="Arial" w:hAnsi="Arial" w:cs="Arial"/>
        </w:rPr>
      </w:pPr>
      <w:r>
        <w:rPr>
          <w:rFonts w:ascii="Arial" w:hAnsi="Arial" w:cs="Arial"/>
          <w:iCs/>
        </w:rPr>
        <w:t>The purpose of section 4(1</w:t>
      </w:r>
      <w:r w:rsidR="00D939F1" w:rsidRPr="00486E2D">
        <w:rPr>
          <w:rFonts w:ascii="Arial" w:hAnsi="Arial" w:cs="Arial"/>
          <w:iCs/>
        </w:rPr>
        <w:t xml:space="preserve">)(b) is to capture conduct which is  so egregious that no defence is permitted. </w:t>
      </w:r>
      <w:r w:rsidR="00B95A64">
        <w:rPr>
          <w:rFonts w:ascii="Arial" w:hAnsi="Arial" w:cs="Arial"/>
          <w:iCs/>
        </w:rPr>
        <w:t>Thus, it</w:t>
      </w:r>
      <w:r w:rsidR="00D939F1" w:rsidRPr="00486E2D">
        <w:rPr>
          <w:rFonts w:ascii="Arial" w:hAnsi="Arial" w:cs="Arial"/>
          <w:iCs/>
        </w:rPr>
        <w:t xml:space="preserve"> stands to </w:t>
      </w:r>
      <w:r w:rsidR="00486E2D">
        <w:rPr>
          <w:rFonts w:ascii="Arial" w:hAnsi="Arial" w:cs="Arial"/>
          <w:iCs/>
        </w:rPr>
        <w:t>reason that it does not seek to</w:t>
      </w:r>
      <w:r w:rsidR="00D939F1" w:rsidRPr="00486E2D">
        <w:rPr>
          <w:rFonts w:ascii="Arial" w:hAnsi="Arial" w:cs="Arial"/>
          <w:iCs/>
        </w:rPr>
        <w:t xml:space="preserve"> capture conduct which</w:t>
      </w:r>
      <w:r w:rsidR="009D6521">
        <w:rPr>
          <w:rFonts w:ascii="Arial" w:hAnsi="Arial" w:cs="Arial"/>
          <w:iCs/>
        </w:rPr>
        <w:t xml:space="preserve"> is not </w:t>
      </w:r>
      <w:r w:rsidR="00AD4636">
        <w:rPr>
          <w:rFonts w:ascii="Arial" w:hAnsi="Arial" w:cs="Arial"/>
          <w:iCs/>
        </w:rPr>
        <w:t>of</w:t>
      </w:r>
      <w:r w:rsidR="009D6521">
        <w:rPr>
          <w:rFonts w:ascii="Arial" w:hAnsi="Arial" w:cs="Arial"/>
          <w:iCs/>
        </w:rPr>
        <w:t xml:space="preserve"> character that causes</w:t>
      </w:r>
      <w:r w:rsidR="00D939F1" w:rsidRPr="00486E2D">
        <w:rPr>
          <w:rFonts w:ascii="Arial" w:hAnsi="Arial" w:cs="Arial"/>
          <w:iCs/>
        </w:rPr>
        <w:t xml:space="preserve"> harm </w:t>
      </w:r>
      <w:r w:rsidR="00684D81">
        <w:rPr>
          <w:rFonts w:ascii="Arial" w:hAnsi="Arial" w:cs="Arial"/>
          <w:iCs/>
        </w:rPr>
        <w:t xml:space="preserve">to </w:t>
      </w:r>
      <w:r w:rsidR="00D939F1" w:rsidRPr="00486E2D">
        <w:rPr>
          <w:rFonts w:ascii="Arial" w:hAnsi="Arial" w:cs="Arial"/>
          <w:iCs/>
        </w:rPr>
        <w:t>competition.</w:t>
      </w:r>
    </w:p>
    <w:p w14:paraId="44E0906B" w14:textId="77777777" w:rsidR="00486E2D" w:rsidRPr="00486E2D" w:rsidRDefault="00486E2D" w:rsidP="00486E2D">
      <w:pPr>
        <w:pStyle w:val="ListParagraph"/>
        <w:rPr>
          <w:rFonts w:ascii="Arial" w:hAnsi="Arial" w:cs="Arial"/>
        </w:rPr>
      </w:pPr>
    </w:p>
    <w:p w14:paraId="4B6DB68F" w14:textId="27C3B350" w:rsidR="00486E2D"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rPr>
        <w:t xml:space="preserve"> I </w:t>
      </w:r>
      <w:r w:rsidR="000641A9">
        <w:rPr>
          <w:rFonts w:ascii="Arial" w:hAnsi="Arial" w:cs="Arial"/>
        </w:rPr>
        <w:t xml:space="preserve">now </w:t>
      </w:r>
      <w:r w:rsidRPr="00486E2D">
        <w:rPr>
          <w:rFonts w:ascii="Arial" w:hAnsi="Arial" w:cs="Arial"/>
        </w:rPr>
        <w:t>move to a discussion of the horizontal case</w:t>
      </w:r>
      <w:r w:rsidR="007D214E">
        <w:rPr>
          <w:rFonts w:ascii="Arial" w:hAnsi="Arial" w:cs="Arial"/>
        </w:rPr>
        <w:t xml:space="preserve"> in this matter</w:t>
      </w:r>
      <w:r w:rsidR="000641A9">
        <w:rPr>
          <w:rFonts w:ascii="Arial" w:hAnsi="Arial" w:cs="Arial"/>
        </w:rPr>
        <w:t xml:space="preserve"> with these principles in mind</w:t>
      </w:r>
      <w:r w:rsidR="007D214E">
        <w:rPr>
          <w:rFonts w:ascii="Arial" w:hAnsi="Arial" w:cs="Arial"/>
        </w:rPr>
        <w:t>.</w:t>
      </w:r>
    </w:p>
    <w:p w14:paraId="1D7022B2" w14:textId="77777777" w:rsidR="00486E2D" w:rsidRDefault="00486E2D" w:rsidP="00486E2D">
      <w:pPr>
        <w:spacing w:line="360" w:lineRule="auto"/>
        <w:rPr>
          <w:rFonts w:ascii="Arial" w:hAnsi="Arial" w:cs="Arial"/>
          <w:b/>
        </w:rPr>
      </w:pPr>
    </w:p>
    <w:p w14:paraId="4F30C68D" w14:textId="78FFF3F1" w:rsidR="00486E2D" w:rsidRPr="00B95A64" w:rsidRDefault="00486E2D" w:rsidP="00486E2D">
      <w:pPr>
        <w:spacing w:line="360" w:lineRule="auto"/>
        <w:rPr>
          <w:rFonts w:ascii="Arial" w:hAnsi="Arial" w:cs="Arial"/>
          <w:b/>
          <w:sz w:val="24"/>
          <w:szCs w:val="24"/>
        </w:rPr>
      </w:pPr>
      <w:r w:rsidRPr="00B95A64">
        <w:rPr>
          <w:rFonts w:ascii="Arial" w:hAnsi="Arial" w:cs="Arial"/>
          <w:b/>
          <w:sz w:val="24"/>
          <w:szCs w:val="24"/>
        </w:rPr>
        <w:t>The Horizontal case</w:t>
      </w:r>
    </w:p>
    <w:p w14:paraId="3A53573E" w14:textId="77F59671" w:rsidR="00486E2D" w:rsidRPr="00B95A64" w:rsidRDefault="00486E2D" w:rsidP="00C62F32">
      <w:pPr>
        <w:tabs>
          <w:tab w:val="left" w:pos="3060"/>
        </w:tabs>
        <w:spacing w:line="360" w:lineRule="auto"/>
        <w:rPr>
          <w:rFonts w:ascii="Arial" w:hAnsi="Arial" w:cs="Arial"/>
          <w:i/>
          <w:sz w:val="24"/>
          <w:szCs w:val="24"/>
        </w:rPr>
      </w:pPr>
      <w:r w:rsidRPr="00B95A64">
        <w:rPr>
          <w:rFonts w:ascii="Arial" w:hAnsi="Arial" w:cs="Arial"/>
          <w:i/>
          <w:sz w:val="24"/>
          <w:szCs w:val="24"/>
        </w:rPr>
        <w:t>The Tribunal’s decision</w:t>
      </w:r>
      <w:r w:rsidR="00C62F32">
        <w:rPr>
          <w:rFonts w:ascii="Arial" w:hAnsi="Arial" w:cs="Arial"/>
          <w:i/>
          <w:sz w:val="24"/>
          <w:szCs w:val="24"/>
        </w:rPr>
        <w:tab/>
      </w:r>
    </w:p>
    <w:p w14:paraId="79E84816" w14:textId="77777777" w:rsidR="00486E2D" w:rsidRPr="00486E2D" w:rsidRDefault="00486E2D" w:rsidP="00486E2D">
      <w:pPr>
        <w:pStyle w:val="ListParagraph"/>
        <w:rPr>
          <w:rFonts w:ascii="Arial" w:hAnsi="Arial" w:cs="Arial"/>
        </w:rPr>
      </w:pPr>
    </w:p>
    <w:p w14:paraId="48E2763A" w14:textId="0D8501CB" w:rsidR="00486E2D"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rPr>
        <w:t xml:space="preserve">In its horizontal inquiry the Tribunal accepted, on the authority of its own decisions  in </w:t>
      </w:r>
      <w:r w:rsidRPr="00486E2D">
        <w:rPr>
          <w:rFonts w:ascii="Arial" w:hAnsi="Arial" w:cs="Arial"/>
          <w:i/>
        </w:rPr>
        <w:t>Eye Way</w:t>
      </w:r>
      <w:r>
        <w:rPr>
          <w:rStyle w:val="FootnoteReference"/>
          <w:rFonts w:ascii="Arial" w:hAnsi="Arial" w:cs="Arial"/>
        </w:rPr>
        <w:footnoteReference w:id="9"/>
      </w:r>
      <w:r w:rsidRPr="00486E2D">
        <w:rPr>
          <w:rFonts w:ascii="Arial" w:hAnsi="Arial" w:cs="Arial"/>
        </w:rPr>
        <w:t xml:space="preserve"> and </w:t>
      </w:r>
      <w:r w:rsidRPr="00486E2D">
        <w:rPr>
          <w:rFonts w:ascii="Arial" w:hAnsi="Arial" w:cs="Arial"/>
          <w:i/>
        </w:rPr>
        <w:t>Aranda</w:t>
      </w:r>
      <w:r>
        <w:rPr>
          <w:rStyle w:val="FootnoteReference"/>
          <w:rFonts w:ascii="Arial" w:hAnsi="Arial" w:cs="Arial"/>
          <w:i/>
        </w:rPr>
        <w:footnoteReference w:id="10"/>
      </w:r>
      <w:r w:rsidRPr="00486E2D">
        <w:rPr>
          <w:rFonts w:ascii="Arial" w:hAnsi="Arial" w:cs="Arial"/>
        </w:rPr>
        <w:t>, that the Trust and Tourvest became actual or potential competitors by reason of the fact that they both tendered for the same opportunity.</w:t>
      </w:r>
      <w:r>
        <w:rPr>
          <w:rStyle w:val="FootnoteReference"/>
          <w:rFonts w:ascii="Arial" w:hAnsi="Arial" w:cs="Arial"/>
        </w:rPr>
        <w:footnoteReference w:id="11"/>
      </w:r>
      <w:r w:rsidRPr="00486E2D">
        <w:rPr>
          <w:rFonts w:ascii="Arial" w:hAnsi="Arial" w:cs="Arial"/>
        </w:rPr>
        <w:t xml:space="preserve"> This acceptance is fundamental to its decision. </w:t>
      </w:r>
    </w:p>
    <w:p w14:paraId="42A27E65" w14:textId="77777777" w:rsidR="007D214E" w:rsidRDefault="007D214E" w:rsidP="007D214E">
      <w:pPr>
        <w:pStyle w:val="ListParagraph"/>
        <w:spacing w:line="360" w:lineRule="auto"/>
        <w:ind w:left="0"/>
        <w:jc w:val="both"/>
        <w:rPr>
          <w:rFonts w:ascii="Arial" w:hAnsi="Arial" w:cs="Arial"/>
        </w:rPr>
      </w:pPr>
    </w:p>
    <w:p w14:paraId="5B4DFA21" w14:textId="41C51AF3" w:rsidR="00486E2D" w:rsidRPr="00486E2D" w:rsidRDefault="00D939F1" w:rsidP="00486E2D">
      <w:pPr>
        <w:pStyle w:val="ListParagraph"/>
        <w:numPr>
          <w:ilvl w:val="0"/>
          <w:numId w:val="2"/>
        </w:numPr>
        <w:spacing w:line="360" w:lineRule="auto"/>
        <w:ind w:left="0" w:firstLine="0"/>
        <w:jc w:val="both"/>
        <w:rPr>
          <w:rFonts w:ascii="Arial" w:hAnsi="Arial" w:cs="Arial"/>
        </w:rPr>
      </w:pPr>
      <w:r w:rsidRPr="00486E2D">
        <w:rPr>
          <w:rFonts w:ascii="Arial" w:hAnsi="Arial" w:cs="Arial"/>
          <w:lang w:val="en-GB"/>
        </w:rPr>
        <w:t xml:space="preserve">The Tribunal found also that the parties </w:t>
      </w:r>
      <w:r w:rsidR="00B95A64">
        <w:rPr>
          <w:rFonts w:ascii="Arial" w:hAnsi="Arial" w:cs="Arial"/>
          <w:lang w:val="en-GB"/>
        </w:rPr>
        <w:t>“</w:t>
      </w:r>
      <w:r w:rsidRPr="00486E2D">
        <w:rPr>
          <w:rFonts w:ascii="Arial" w:hAnsi="Arial" w:cs="Arial"/>
          <w:lang w:val="en-GB"/>
        </w:rPr>
        <w:t>held themselves out to be competitors</w:t>
      </w:r>
      <w:r w:rsidR="00B95A64">
        <w:rPr>
          <w:rFonts w:ascii="Arial" w:hAnsi="Arial" w:cs="Arial"/>
          <w:lang w:val="en-GB"/>
        </w:rPr>
        <w:t>”</w:t>
      </w:r>
      <w:r w:rsidRPr="00486E2D">
        <w:rPr>
          <w:rFonts w:ascii="Arial" w:hAnsi="Arial" w:cs="Arial"/>
          <w:lang w:val="en-GB"/>
        </w:rPr>
        <w:t xml:space="preserve"> and it appeared to find that </w:t>
      </w:r>
      <w:r w:rsidR="007D214E">
        <w:rPr>
          <w:rFonts w:ascii="Arial" w:hAnsi="Arial" w:cs="Arial"/>
          <w:lang w:val="en-GB"/>
        </w:rPr>
        <w:t xml:space="preserve">this could </w:t>
      </w:r>
      <w:r w:rsidR="007E10A7">
        <w:rPr>
          <w:rFonts w:ascii="Arial" w:hAnsi="Arial" w:cs="Arial"/>
          <w:lang w:val="en-GB"/>
        </w:rPr>
        <w:t>be a basis for finding</w:t>
      </w:r>
      <w:r w:rsidRPr="00486E2D">
        <w:rPr>
          <w:rFonts w:ascii="Arial" w:hAnsi="Arial" w:cs="Arial"/>
          <w:lang w:val="en-GB"/>
        </w:rPr>
        <w:t xml:space="preserve"> that they were in a horizontal relationship.</w:t>
      </w:r>
    </w:p>
    <w:p w14:paraId="741477FF" w14:textId="77777777" w:rsidR="00486E2D" w:rsidRPr="00486E2D" w:rsidRDefault="00486E2D" w:rsidP="00486E2D">
      <w:pPr>
        <w:pStyle w:val="ListParagraph"/>
        <w:spacing w:line="360" w:lineRule="auto"/>
        <w:ind w:left="0"/>
        <w:jc w:val="both"/>
        <w:rPr>
          <w:rFonts w:ascii="Arial" w:hAnsi="Arial" w:cs="Arial"/>
        </w:rPr>
      </w:pPr>
    </w:p>
    <w:p w14:paraId="6632F455" w14:textId="1D355A80" w:rsidR="00486E2D"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rPr>
        <w:t xml:space="preserve">  It concluded</w:t>
      </w:r>
      <w:r w:rsidR="00486E2D">
        <w:rPr>
          <w:rFonts w:ascii="Arial" w:hAnsi="Arial" w:cs="Arial"/>
        </w:rPr>
        <w:t xml:space="preserve"> as follows in relation to its </w:t>
      </w:r>
      <w:r w:rsidRPr="00486E2D">
        <w:rPr>
          <w:rFonts w:ascii="Arial" w:hAnsi="Arial" w:cs="Arial"/>
        </w:rPr>
        <w:t>horizonta</w:t>
      </w:r>
      <w:r w:rsidR="00341EF7">
        <w:rPr>
          <w:rFonts w:ascii="Arial" w:hAnsi="Arial" w:cs="Arial"/>
        </w:rPr>
        <w:t>l</w:t>
      </w:r>
      <w:r w:rsidRPr="00486E2D">
        <w:rPr>
          <w:rFonts w:ascii="Arial" w:hAnsi="Arial" w:cs="Arial"/>
        </w:rPr>
        <w:t xml:space="preserve"> inquiry:</w:t>
      </w:r>
    </w:p>
    <w:p w14:paraId="23E7CD06" w14:textId="4D87BC0D" w:rsidR="00486E2D" w:rsidRPr="00C62F32" w:rsidRDefault="00486E2D" w:rsidP="00C62F32">
      <w:pPr>
        <w:shd w:val="clear" w:color="auto" w:fill="FFFFFF"/>
        <w:spacing w:before="144" w:after="475" w:line="360" w:lineRule="auto"/>
        <w:jc w:val="both"/>
        <w:rPr>
          <w:rFonts w:ascii="Arial" w:hAnsi="Arial" w:cs="Arial"/>
          <w:sz w:val="24"/>
          <w:szCs w:val="24"/>
        </w:rPr>
      </w:pPr>
      <w:r w:rsidRPr="00486E2D">
        <w:rPr>
          <w:rFonts w:ascii="Arial" w:hAnsi="Arial" w:cs="Arial"/>
        </w:rPr>
        <w:t>‘</w:t>
      </w:r>
      <w:r w:rsidR="00B95A64">
        <w:rPr>
          <w:rFonts w:ascii="Arial" w:hAnsi="Arial" w:cs="Arial"/>
        </w:rPr>
        <w:t>”</w:t>
      </w:r>
      <w:r w:rsidRPr="00486E2D">
        <w:rPr>
          <w:rFonts w:ascii="Arial" w:hAnsi="Arial" w:cs="Arial"/>
        </w:rPr>
        <w:t xml:space="preserve">Accordingly, we find that </w:t>
      </w:r>
      <w:r w:rsidRPr="00B95A64">
        <w:rPr>
          <w:rFonts w:ascii="Arial" w:hAnsi="Arial" w:cs="Arial"/>
          <w:u w:val="single"/>
        </w:rPr>
        <w:t>at the point the bid was submitted</w:t>
      </w:r>
      <w:r w:rsidRPr="00486E2D">
        <w:rPr>
          <w:rFonts w:ascii="Arial" w:hAnsi="Arial" w:cs="Arial"/>
        </w:rPr>
        <w:t xml:space="preserve">, the Trust was in fact </w:t>
      </w:r>
      <w:r w:rsidRPr="00B95A64">
        <w:rPr>
          <w:rFonts w:ascii="Arial" w:hAnsi="Arial" w:cs="Arial"/>
          <w:u w:val="single"/>
        </w:rPr>
        <w:t xml:space="preserve">holding itself out as a competitor </w:t>
      </w:r>
      <w:r w:rsidRPr="00486E2D">
        <w:rPr>
          <w:rFonts w:ascii="Arial" w:hAnsi="Arial" w:cs="Arial"/>
        </w:rPr>
        <w:t>of Tourvest and the other bidders. We therefor conclude that Tourvest and the Trust were in a horizontal relationship in relation to Opportunity 3</w:t>
      </w:r>
      <w:r>
        <w:rPr>
          <w:rFonts w:ascii="Arial" w:hAnsi="Arial" w:cs="Arial"/>
        </w:rPr>
        <w:t>.</w:t>
      </w:r>
      <w:r w:rsidR="00B95A64">
        <w:rPr>
          <w:rFonts w:ascii="Arial" w:hAnsi="Arial" w:cs="Arial"/>
        </w:rPr>
        <w:t>” (</w:t>
      </w:r>
      <w:r w:rsidR="00B95A64">
        <w:rPr>
          <w:rFonts w:ascii="Arial" w:hAnsi="Arial" w:cs="Arial"/>
          <w:sz w:val="24"/>
          <w:szCs w:val="24"/>
        </w:rPr>
        <w:t>Emphasis added.)</w:t>
      </w:r>
    </w:p>
    <w:p w14:paraId="2C6BAF83" w14:textId="0695D7C9" w:rsidR="00B95A64" w:rsidRDefault="00684D81" w:rsidP="000F68A7">
      <w:pPr>
        <w:pStyle w:val="ListParagraph"/>
        <w:numPr>
          <w:ilvl w:val="0"/>
          <w:numId w:val="2"/>
        </w:numPr>
        <w:spacing w:line="360" w:lineRule="auto"/>
        <w:ind w:left="0" w:firstLine="0"/>
        <w:jc w:val="both"/>
        <w:rPr>
          <w:rFonts w:ascii="Arial" w:hAnsi="Arial" w:cs="Arial"/>
        </w:rPr>
      </w:pPr>
      <w:r>
        <w:rPr>
          <w:rFonts w:ascii="Arial" w:hAnsi="Arial" w:cs="Arial"/>
        </w:rPr>
        <w:t>This</w:t>
      </w:r>
      <w:r w:rsidR="00D939F1" w:rsidRPr="00486E2D">
        <w:rPr>
          <w:rFonts w:ascii="Arial" w:hAnsi="Arial" w:cs="Arial"/>
        </w:rPr>
        <w:t xml:space="preserve"> conclusion elide</w:t>
      </w:r>
      <w:r>
        <w:rPr>
          <w:rFonts w:ascii="Arial" w:hAnsi="Arial" w:cs="Arial"/>
        </w:rPr>
        <w:t>s</w:t>
      </w:r>
      <w:r w:rsidR="00D939F1" w:rsidRPr="00486E2D">
        <w:rPr>
          <w:rFonts w:ascii="Arial" w:hAnsi="Arial" w:cs="Arial"/>
        </w:rPr>
        <w:t xml:space="preserve"> two findings</w:t>
      </w:r>
      <w:r w:rsidR="00B95A64">
        <w:rPr>
          <w:rFonts w:ascii="Arial" w:hAnsi="Arial" w:cs="Arial"/>
        </w:rPr>
        <w:t>:</w:t>
      </w:r>
      <w:r w:rsidR="007E10A7">
        <w:rPr>
          <w:rFonts w:ascii="Arial" w:hAnsi="Arial" w:cs="Arial"/>
        </w:rPr>
        <w:t xml:space="preserve"> first,</w:t>
      </w:r>
      <w:r w:rsidR="00D939F1" w:rsidRPr="00486E2D">
        <w:rPr>
          <w:rFonts w:ascii="Arial" w:hAnsi="Arial" w:cs="Arial"/>
        </w:rPr>
        <w:t xml:space="preserve"> that the parties became competitors</w:t>
      </w:r>
      <w:r w:rsidR="007E10A7">
        <w:rPr>
          <w:rFonts w:ascii="Arial" w:hAnsi="Arial" w:cs="Arial"/>
        </w:rPr>
        <w:t xml:space="preserve"> merely </w:t>
      </w:r>
      <w:r w:rsidR="00D939F1" w:rsidRPr="00486E2D">
        <w:rPr>
          <w:rFonts w:ascii="Arial" w:hAnsi="Arial" w:cs="Arial"/>
        </w:rPr>
        <w:t>by bidding and second</w:t>
      </w:r>
      <w:r w:rsidR="00FD0BC8">
        <w:rPr>
          <w:rFonts w:ascii="Arial" w:hAnsi="Arial" w:cs="Arial"/>
        </w:rPr>
        <w:t>,</w:t>
      </w:r>
      <w:r w:rsidR="00D939F1" w:rsidRPr="00486E2D">
        <w:rPr>
          <w:rFonts w:ascii="Arial" w:hAnsi="Arial" w:cs="Arial"/>
        </w:rPr>
        <w:t xml:space="preserve"> that </w:t>
      </w:r>
      <w:r w:rsidR="007E10A7">
        <w:rPr>
          <w:rFonts w:ascii="Arial" w:hAnsi="Arial" w:cs="Arial"/>
        </w:rPr>
        <w:t xml:space="preserve">the </w:t>
      </w:r>
      <w:r w:rsidR="00D939F1" w:rsidRPr="00486E2D">
        <w:rPr>
          <w:rFonts w:ascii="Arial" w:hAnsi="Arial" w:cs="Arial"/>
        </w:rPr>
        <w:t>Trust was holding itself out to be in a competitive relationship. The Tribunal  appears also  to have found that the parties were potential competitors on the basis that  the Trust would, as a result of the assistance provided to it in terms of the M</w:t>
      </w:r>
      <w:r>
        <w:rPr>
          <w:rFonts w:ascii="Arial" w:hAnsi="Arial" w:cs="Arial"/>
        </w:rPr>
        <w:t>o</w:t>
      </w:r>
      <w:r w:rsidR="00D939F1" w:rsidRPr="00486E2D">
        <w:rPr>
          <w:rFonts w:ascii="Arial" w:hAnsi="Arial" w:cs="Arial"/>
        </w:rPr>
        <w:t>U, be able to compete independently with Tourvest and other retail outlets at some time in the future.</w:t>
      </w:r>
      <w:r w:rsidR="00D939F1">
        <w:rPr>
          <w:rStyle w:val="FootnoteReference"/>
          <w:rFonts w:ascii="Arial" w:hAnsi="Arial" w:cs="Arial"/>
        </w:rPr>
        <w:footnoteReference w:id="12"/>
      </w:r>
      <w:r w:rsidR="00D939F1" w:rsidRPr="00486E2D">
        <w:rPr>
          <w:rFonts w:ascii="Arial" w:hAnsi="Arial" w:cs="Arial"/>
        </w:rPr>
        <w:t xml:space="preserve"> </w:t>
      </w:r>
    </w:p>
    <w:p w14:paraId="3598B56D" w14:textId="77777777" w:rsidR="00B95A64" w:rsidRDefault="00B95A64" w:rsidP="00B95A64">
      <w:pPr>
        <w:pStyle w:val="ListParagraph"/>
        <w:spacing w:line="360" w:lineRule="auto"/>
        <w:ind w:left="0"/>
        <w:jc w:val="both"/>
        <w:rPr>
          <w:rFonts w:ascii="Arial" w:hAnsi="Arial" w:cs="Arial"/>
        </w:rPr>
      </w:pPr>
    </w:p>
    <w:p w14:paraId="3850DA49" w14:textId="252C37F6" w:rsidR="00486E2D" w:rsidRPr="00B95A64" w:rsidRDefault="00D939F1" w:rsidP="000F68A7">
      <w:pPr>
        <w:pStyle w:val="ListParagraph"/>
        <w:numPr>
          <w:ilvl w:val="0"/>
          <w:numId w:val="2"/>
        </w:numPr>
        <w:spacing w:line="360" w:lineRule="auto"/>
        <w:ind w:left="0" w:firstLine="0"/>
        <w:jc w:val="both"/>
        <w:rPr>
          <w:rFonts w:ascii="Arial" w:hAnsi="Arial" w:cs="Arial"/>
        </w:rPr>
      </w:pPr>
      <w:r w:rsidRPr="00B95A64">
        <w:rPr>
          <w:rFonts w:ascii="Arial" w:hAnsi="Arial" w:cs="Arial"/>
        </w:rPr>
        <w:t xml:space="preserve">Thus the Tribunals findings on the horizontal case </w:t>
      </w:r>
      <w:r w:rsidR="007E10A7" w:rsidRPr="00B95A64">
        <w:rPr>
          <w:rFonts w:ascii="Arial" w:hAnsi="Arial" w:cs="Arial"/>
        </w:rPr>
        <w:t>are,</w:t>
      </w:r>
      <w:r w:rsidRPr="00B95A64">
        <w:rPr>
          <w:rFonts w:ascii="Arial" w:hAnsi="Arial" w:cs="Arial"/>
        </w:rPr>
        <w:t xml:space="preserve"> simply stated</w:t>
      </w:r>
      <w:r w:rsidR="007E10A7" w:rsidRPr="00B95A64">
        <w:rPr>
          <w:rFonts w:ascii="Arial" w:hAnsi="Arial" w:cs="Arial"/>
        </w:rPr>
        <w:t>,</w:t>
      </w:r>
      <w:r w:rsidRPr="00B95A64">
        <w:rPr>
          <w:rFonts w:ascii="Arial" w:hAnsi="Arial" w:cs="Arial"/>
        </w:rPr>
        <w:t xml:space="preserve"> as follows:</w:t>
      </w:r>
      <w:r w:rsidR="00486E2D" w:rsidRPr="00B95A64">
        <w:rPr>
          <w:rFonts w:ascii="Arial" w:hAnsi="Arial" w:cs="Arial"/>
        </w:rPr>
        <w:t xml:space="preserve"> </w:t>
      </w:r>
      <w:r w:rsidR="00AD4636" w:rsidRPr="00B95A64">
        <w:rPr>
          <w:rFonts w:ascii="Arial" w:hAnsi="Arial" w:cs="Arial"/>
        </w:rPr>
        <w:t>a</w:t>
      </w:r>
      <w:r w:rsidR="00486E2D" w:rsidRPr="00B95A64">
        <w:rPr>
          <w:rFonts w:ascii="Arial" w:hAnsi="Arial" w:cs="Arial"/>
        </w:rPr>
        <w:t xml:space="preserve">lthough the parties were not in a horizontal relationship before they bid in the tender, </w:t>
      </w:r>
      <w:r w:rsidR="00486E2D" w:rsidRPr="00B95A64">
        <w:rPr>
          <w:rFonts w:ascii="Arial" w:hAnsi="Arial" w:cs="Arial"/>
        </w:rPr>
        <w:lastRenderedPageBreak/>
        <w:t xml:space="preserve">they became </w:t>
      </w:r>
      <w:r w:rsidR="007E10A7" w:rsidRPr="00B95A64">
        <w:rPr>
          <w:rFonts w:ascii="Arial" w:hAnsi="Arial" w:cs="Arial"/>
        </w:rPr>
        <w:t xml:space="preserve"> actual </w:t>
      </w:r>
      <w:r w:rsidR="00486E2D" w:rsidRPr="00B95A64">
        <w:rPr>
          <w:rFonts w:ascii="Arial" w:hAnsi="Arial" w:cs="Arial"/>
        </w:rPr>
        <w:t xml:space="preserve">competitors by bidding in the </w:t>
      </w:r>
      <w:r w:rsidR="007E10A7" w:rsidRPr="00B95A64">
        <w:rPr>
          <w:rFonts w:ascii="Arial" w:hAnsi="Arial" w:cs="Arial"/>
        </w:rPr>
        <w:t>tender; they</w:t>
      </w:r>
      <w:r w:rsidR="00486E2D" w:rsidRPr="00B95A64">
        <w:rPr>
          <w:rFonts w:ascii="Arial" w:hAnsi="Arial" w:cs="Arial"/>
        </w:rPr>
        <w:t xml:space="preserve"> furthermore became potential competitors under the agreement</w:t>
      </w:r>
      <w:r w:rsidR="007E10A7" w:rsidRPr="00B95A64">
        <w:rPr>
          <w:rFonts w:ascii="Arial" w:hAnsi="Arial" w:cs="Arial"/>
        </w:rPr>
        <w:t xml:space="preserve">; </w:t>
      </w:r>
      <w:r w:rsidR="001E0E43" w:rsidRPr="00B95A64">
        <w:rPr>
          <w:rFonts w:ascii="Arial" w:hAnsi="Arial" w:cs="Arial"/>
        </w:rPr>
        <w:t>a</w:t>
      </w:r>
      <w:r w:rsidR="007E10A7" w:rsidRPr="00B95A64">
        <w:rPr>
          <w:rFonts w:ascii="Arial" w:hAnsi="Arial" w:cs="Arial"/>
        </w:rPr>
        <w:t>lternatively</w:t>
      </w:r>
      <w:r w:rsidR="00486E2D" w:rsidRPr="00B95A64">
        <w:rPr>
          <w:rFonts w:ascii="Arial" w:hAnsi="Arial" w:cs="Arial"/>
        </w:rPr>
        <w:t>, they became competitors because they held themselves out in the tender to be bidding against each other.</w:t>
      </w:r>
    </w:p>
    <w:p w14:paraId="36DEFBF9" w14:textId="77777777" w:rsidR="00486E2D" w:rsidRDefault="00486E2D" w:rsidP="00486E2D">
      <w:pPr>
        <w:pStyle w:val="ListParagraph"/>
        <w:spacing w:line="360" w:lineRule="auto"/>
        <w:ind w:left="0"/>
        <w:jc w:val="both"/>
        <w:rPr>
          <w:rFonts w:ascii="Arial" w:hAnsi="Arial" w:cs="Arial"/>
        </w:rPr>
      </w:pPr>
    </w:p>
    <w:p w14:paraId="58159F64" w14:textId="77777777" w:rsidR="00486E2D" w:rsidRPr="00486E2D" w:rsidRDefault="00486E2D" w:rsidP="00486E2D">
      <w:pPr>
        <w:pStyle w:val="ListParagraph"/>
        <w:rPr>
          <w:rFonts w:ascii="Arial" w:hAnsi="Arial" w:cs="Arial"/>
        </w:rPr>
      </w:pPr>
    </w:p>
    <w:p w14:paraId="03C9F754" w14:textId="0A8616F5" w:rsidR="00700C64" w:rsidRDefault="0036236C" w:rsidP="00486E2D">
      <w:pPr>
        <w:pStyle w:val="ListParagraph"/>
        <w:numPr>
          <w:ilvl w:val="0"/>
          <w:numId w:val="2"/>
        </w:numPr>
        <w:spacing w:line="360" w:lineRule="auto"/>
        <w:ind w:left="0" w:firstLine="0"/>
        <w:jc w:val="both"/>
        <w:rPr>
          <w:rFonts w:ascii="Arial" w:hAnsi="Arial" w:cs="Arial"/>
        </w:rPr>
      </w:pPr>
      <w:r w:rsidRPr="00486E2D">
        <w:rPr>
          <w:rFonts w:ascii="Arial" w:hAnsi="Arial" w:cs="Arial"/>
        </w:rPr>
        <w:t>M</w:t>
      </w:r>
      <w:r>
        <w:rPr>
          <w:rFonts w:ascii="Arial" w:hAnsi="Arial" w:cs="Arial"/>
        </w:rPr>
        <w:t>essrs</w:t>
      </w:r>
      <w:r w:rsidR="00D939F1" w:rsidRPr="00486E2D">
        <w:rPr>
          <w:rFonts w:ascii="Arial" w:hAnsi="Arial" w:cs="Arial"/>
        </w:rPr>
        <w:t xml:space="preserve"> Wilson  and Mr M</w:t>
      </w:r>
      <w:r w:rsidR="009E117C">
        <w:rPr>
          <w:rFonts w:ascii="Arial" w:hAnsi="Arial" w:cs="Arial"/>
        </w:rPr>
        <w:t>a</w:t>
      </w:r>
      <w:r w:rsidR="00D3333E">
        <w:rPr>
          <w:rFonts w:ascii="Arial" w:hAnsi="Arial" w:cs="Arial"/>
        </w:rPr>
        <w:t>ene</w:t>
      </w:r>
      <w:r w:rsidR="001E0E43">
        <w:rPr>
          <w:rFonts w:ascii="Arial" w:hAnsi="Arial" w:cs="Arial"/>
        </w:rPr>
        <w:t>t</w:t>
      </w:r>
      <w:r w:rsidR="00D3333E">
        <w:rPr>
          <w:rFonts w:ascii="Arial" w:hAnsi="Arial" w:cs="Arial"/>
        </w:rPr>
        <w:t>je</w:t>
      </w:r>
      <w:r w:rsidR="00D939F1" w:rsidRPr="00486E2D">
        <w:rPr>
          <w:rFonts w:ascii="Arial" w:hAnsi="Arial" w:cs="Arial"/>
        </w:rPr>
        <w:t xml:space="preserve">  argue that these findings of horizontality are at odds with the applicable statutory and economic prescripts.</w:t>
      </w:r>
    </w:p>
    <w:p w14:paraId="7197EBDE" w14:textId="6C408F65" w:rsidR="00700C64" w:rsidRDefault="00D939F1" w:rsidP="00700C64">
      <w:pPr>
        <w:pStyle w:val="ListParagraph"/>
        <w:spacing w:line="360" w:lineRule="auto"/>
        <w:ind w:left="0"/>
        <w:jc w:val="both"/>
        <w:rPr>
          <w:rFonts w:ascii="Arial" w:hAnsi="Arial" w:cs="Arial"/>
        </w:rPr>
      </w:pPr>
      <w:r w:rsidRPr="00486E2D">
        <w:rPr>
          <w:rFonts w:ascii="Arial" w:hAnsi="Arial" w:cs="Arial"/>
        </w:rPr>
        <w:t xml:space="preserve"> </w:t>
      </w:r>
    </w:p>
    <w:p w14:paraId="4BD21B15" w14:textId="4BD2D08F" w:rsidR="00486E2D" w:rsidRPr="00700C64" w:rsidRDefault="00D939F1" w:rsidP="00486E2D">
      <w:pPr>
        <w:pStyle w:val="ListParagraph"/>
        <w:numPr>
          <w:ilvl w:val="0"/>
          <w:numId w:val="2"/>
        </w:numPr>
        <w:spacing w:line="360" w:lineRule="auto"/>
        <w:ind w:left="0" w:firstLine="0"/>
        <w:jc w:val="both"/>
        <w:rPr>
          <w:rFonts w:ascii="Arial" w:hAnsi="Arial" w:cs="Arial"/>
        </w:rPr>
      </w:pPr>
      <w:r w:rsidRPr="00700C64">
        <w:rPr>
          <w:rFonts w:ascii="Arial" w:hAnsi="Arial" w:cs="Arial"/>
        </w:rPr>
        <w:t>I move to deal with each of the findings with reference to the legal and competition prescripts outlined above.</w:t>
      </w:r>
    </w:p>
    <w:p w14:paraId="272A0F9E" w14:textId="77777777" w:rsidR="00486E2D" w:rsidRPr="00486E2D" w:rsidRDefault="00486E2D" w:rsidP="00486E2D">
      <w:pPr>
        <w:pStyle w:val="ListParagraph"/>
        <w:rPr>
          <w:rFonts w:ascii="Arial" w:hAnsi="Arial" w:cs="Arial"/>
        </w:rPr>
      </w:pPr>
    </w:p>
    <w:p w14:paraId="180FE929" w14:textId="1EFEA725" w:rsidR="00486E2D" w:rsidRDefault="00486E2D" w:rsidP="00486E2D">
      <w:pPr>
        <w:pStyle w:val="ListParagraph"/>
        <w:spacing w:line="360" w:lineRule="auto"/>
        <w:ind w:left="0"/>
        <w:jc w:val="both"/>
        <w:rPr>
          <w:rFonts w:ascii="Arial" w:hAnsi="Arial" w:cs="Arial"/>
        </w:rPr>
      </w:pPr>
    </w:p>
    <w:p w14:paraId="2A5EE74C" w14:textId="666B421A" w:rsidR="00486E2D" w:rsidRDefault="00486E2D" w:rsidP="00486E2D">
      <w:pPr>
        <w:pStyle w:val="ListParagraph"/>
        <w:spacing w:line="360" w:lineRule="auto"/>
        <w:ind w:left="0"/>
        <w:jc w:val="both"/>
        <w:rPr>
          <w:rFonts w:ascii="Arial" w:hAnsi="Arial" w:cs="Arial"/>
        </w:rPr>
      </w:pPr>
      <w:r>
        <w:rPr>
          <w:rFonts w:ascii="Arial" w:hAnsi="Arial" w:cs="Arial"/>
          <w:i/>
        </w:rPr>
        <w:t>Horizontality by bidding</w:t>
      </w:r>
    </w:p>
    <w:p w14:paraId="55A41851" w14:textId="77777777" w:rsidR="00486E2D" w:rsidRPr="00486E2D" w:rsidRDefault="00486E2D" w:rsidP="00486E2D">
      <w:pPr>
        <w:pStyle w:val="ListParagraph"/>
        <w:rPr>
          <w:rFonts w:ascii="Arial" w:hAnsi="Arial" w:cs="Arial"/>
        </w:rPr>
      </w:pPr>
    </w:p>
    <w:p w14:paraId="1D62EBA9" w14:textId="0BFE12FF" w:rsidR="00486E2D" w:rsidRDefault="00486E2D" w:rsidP="00D939F1">
      <w:pPr>
        <w:pStyle w:val="ListParagraph"/>
        <w:numPr>
          <w:ilvl w:val="0"/>
          <w:numId w:val="2"/>
        </w:numPr>
        <w:spacing w:line="360" w:lineRule="auto"/>
        <w:ind w:left="0" w:firstLine="0"/>
        <w:jc w:val="both"/>
        <w:rPr>
          <w:rFonts w:ascii="Arial" w:hAnsi="Arial" w:cs="Arial"/>
        </w:rPr>
      </w:pPr>
      <w:r>
        <w:rPr>
          <w:rFonts w:ascii="Arial" w:hAnsi="Arial" w:cs="Arial"/>
        </w:rPr>
        <w:t xml:space="preserve">The </w:t>
      </w:r>
      <w:r w:rsidRPr="000F68A7">
        <w:rPr>
          <w:rFonts w:ascii="Arial" w:hAnsi="Arial" w:cs="Arial"/>
          <w:i/>
        </w:rPr>
        <w:t>Eye Way</w:t>
      </w:r>
      <w:r>
        <w:rPr>
          <w:rFonts w:ascii="Arial" w:hAnsi="Arial" w:cs="Arial"/>
        </w:rPr>
        <w:t xml:space="preserve"> and </w:t>
      </w:r>
      <w:r w:rsidR="00D939F1" w:rsidRPr="000F68A7">
        <w:rPr>
          <w:rFonts w:ascii="Arial" w:hAnsi="Arial" w:cs="Arial"/>
          <w:i/>
        </w:rPr>
        <w:t>Aranda</w:t>
      </w:r>
      <w:r w:rsidR="00D939F1" w:rsidRPr="00486E2D">
        <w:rPr>
          <w:rFonts w:ascii="Arial" w:hAnsi="Arial" w:cs="Arial"/>
        </w:rPr>
        <w:t xml:space="preserve"> decis</w:t>
      </w:r>
      <w:r>
        <w:rPr>
          <w:rFonts w:ascii="Arial" w:hAnsi="Arial" w:cs="Arial"/>
        </w:rPr>
        <w:t>ions relied on for this finding</w:t>
      </w:r>
      <w:r w:rsidR="00B95A64">
        <w:rPr>
          <w:rFonts w:ascii="Arial" w:hAnsi="Arial" w:cs="Arial"/>
        </w:rPr>
        <w:t>,</w:t>
      </w:r>
      <w:r w:rsidR="00FD0BC8">
        <w:rPr>
          <w:rFonts w:ascii="Arial" w:hAnsi="Arial" w:cs="Arial"/>
        </w:rPr>
        <w:t xml:space="preserve"> </w:t>
      </w:r>
      <w:r w:rsidR="00700C64">
        <w:rPr>
          <w:rFonts w:ascii="Arial" w:hAnsi="Arial" w:cs="Arial"/>
        </w:rPr>
        <w:t>in fact</w:t>
      </w:r>
      <w:r w:rsidR="00B95A64">
        <w:rPr>
          <w:rFonts w:ascii="Arial" w:hAnsi="Arial" w:cs="Arial"/>
        </w:rPr>
        <w:t>,</w:t>
      </w:r>
      <w:r w:rsidR="00700C64">
        <w:rPr>
          <w:rFonts w:ascii="Arial" w:hAnsi="Arial" w:cs="Arial"/>
        </w:rPr>
        <w:t xml:space="preserve"> </w:t>
      </w:r>
      <w:r>
        <w:rPr>
          <w:rFonts w:ascii="Arial" w:hAnsi="Arial" w:cs="Arial"/>
        </w:rPr>
        <w:t xml:space="preserve">demonstrate </w:t>
      </w:r>
      <w:r w:rsidR="00D939F1" w:rsidRPr="00486E2D">
        <w:rPr>
          <w:rFonts w:ascii="Arial" w:hAnsi="Arial" w:cs="Arial"/>
        </w:rPr>
        <w:t>that</w:t>
      </w:r>
      <w:r w:rsidR="00B95A64">
        <w:rPr>
          <w:rFonts w:ascii="Arial" w:hAnsi="Arial" w:cs="Arial"/>
        </w:rPr>
        <w:t>,</w:t>
      </w:r>
      <w:r w:rsidR="00D939F1" w:rsidRPr="00486E2D">
        <w:rPr>
          <w:rFonts w:ascii="Arial" w:hAnsi="Arial" w:cs="Arial"/>
        </w:rPr>
        <w:t xml:space="preserve"> had the proper economic discipline been co</w:t>
      </w:r>
      <w:r w:rsidR="002A75DA">
        <w:rPr>
          <w:rFonts w:ascii="Arial" w:hAnsi="Arial" w:cs="Arial"/>
        </w:rPr>
        <w:t>nsciously applied in both cases</w:t>
      </w:r>
      <w:r w:rsidR="00B95A64">
        <w:rPr>
          <w:rFonts w:ascii="Arial" w:hAnsi="Arial" w:cs="Arial"/>
        </w:rPr>
        <w:t xml:space="preserve">, </w:t>
      </w:r>
      <w:r w:rsidR="00D939F1" w:rsidRPr="00486E2D">
        <w:rPr>
          <w:rFonts w:ascii="Arial" w:hAnsi="Arial" w:cs="Arial"/>
        </w:rPr>
        <w:t>the lack of horizontality in the relationships would have been clear.</w:t>
      </w:r>
    </w:p>
    <w:p w14:paraId="72C6A0C4" w14:textId="77777777" w:rsidR="00486E2D" w:rsidRDefault="00486E2D" w:rsidP="00486E2D">
      <w:pPr>
        <w:pStyle w:val="ListParagraph"/>
        <w:spacing w:line="360" w:lineRule="auto"/>
        <w:ind w:left="0"/>
        <w:jc w:val="both"/>
        <w:rPr>
          <w:rFonts w:ascii="Arial" w:hAnsi="Arial" w:cs="Arial"/>
        </w:rPr>
      </w:pPr>
    </w:p>
    <w:p w14:paraId="64F2274F" w14:textId="7CC9AD2A" w:rsidR="002C7962" w:rsidRPr="002C7962"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lang w:val="en-GB"/>
        </w:rPr>
        <w:t xml:space="preserve">Applying the discipline to </w:t>
      </w:r>
      <w:r w:rsidRPr="004C0CDB">
        <w:rPr>
          <w:rFonts w:ascii="Arial" w:hAnsi="Arial" w:cs="Arial"/>
          <w:i/>
          <w:lang w:val="en-GB"/>
        </w:rPr>
        <w:t>Eye way</w:t>
      </w:r>
      <w:r w:rsidRPr="00486E2D">
        <w:rPr>
          <w:rFonts w:ascii="Arial" w:hAnsi="Arial" w:cs="Arial"/>
          <w:lang w:val="en-GB"/>
        </w:rPr>
        <w:t xml:space="preserve"> – the parties were potential competitors </w:t>
      </w:r>
      <w:r w:rsidR="00AF513B">
        <w:rPr>
          <w:rFonts w:ascii="Arial" w:hAnsi="Arial" w:cs="Arial"/>
          <w:lang w:val="en-GB"/>
        </w:rPr>
        <w:t>in the vertical space</w:t>
      </w:r>
      <w:r w:rsidR="0077188E">
        <w:rPr>
          <w:rFonts w:ascii="Arial" w:hAnsi="Arial" w:cs="Arial"/>
          <w:lang w:val="en-GB"/>
        </w:rPr>
        <w:t xml:space="preserve"> </w:t>
      </w:r>
      <w:r w:rsidRPr="00486E2D">
        <w:rPr>
          <w:rFonts w:ascii="Arial" w:hAnsi="Arial" w:cs="Arial"/>
          <w:lang w:val="en-GB"/>
        </w:rPr>
        <w:t xml:space="preserve">absent the </w:t>
      </w:r>
      <w:r w:rsidR="0036236C" w:rsidRPr="00486E2D">
        <w:rPr>
          <w:rFonts w:ascii="Arial" w:hAnsi="Arial" w:cs="Arial"/>
          <w:lang w:val="en-GB"/>
        </w:rPr>
        <w:t>agreement in</w:t>
      </w:r>
      <w:r w:rsidRPr="00486E2D">
        <w:rPr>
          <w:rFonts w:ascii="Arial" w:hAnsi="Arial" w:cs="Arial"/>
          <w:lang w:val="en-GB"/>
        </w:rPr>
        <w:t xml:space="preserve"> that the tender was for the supply of fabric not manufacture</w:t>
      </w:r>
      <w:r w:rsidR="00AF513B">
        <w:rPr>
          <w:rFonts w:ascii="Arial" w:hAnsi="Arial" w:cs="Arial"/>
          <w:lang w:val="en-GB"/>
        </w:rPr>
        <w:t xml:space="preserve"> and</w:t>
      </w:r>
      <w:r w:rsidRPr="00486E2D">
        <w:rPr>
          <w:rFonts w:ascii="Arial" w:hAnsi="Arial" w:cs="Arial"/>
          <w:lang w:val="en-GB"/>
        </w:rPr>
        <w:t xml:space="preserve"> thus it mattered not that Eye way had no manufacturing capacity. Thus, the </w:t>
      </w:r>
      <w:r w:rsidR="0077188E">
        <w:rPr>
          <w:rFonts w:ascii="Arial" w:hAnsi="Arial" w:cs="Arial"/>
          <w:lang w:val="en-GB"/>
        </w:rPr>
        <w:t xml:space="preserve">correct </w:t>
      </w:r>
      <w:r w:rsidRPr="00486E2D">
        <w:rPr>
          <w:rFonts w:ascii="Arial" w:hAnsi="Arial" w:cs="Arial"/>
          <w:lang w:val="en-GB"/>
        </w:rPr>
        <w:t xml:space="preserve">application of the legal and economic prescripts leads to the same conclusion that was ultimately reached by the Tribunal in </w:t>
      </w:r>
      <w:r w:rsidRPr="00FD0BC8">
        <w:rPr>
          <w:rFonts w:ascii="Arial" w:hAnsi="Arial" w:cs="Arial"/>
          <w:i/>
          <w:lang w:val="en-GB"/>
        </w:rPr>
        <w:t>Eye Way</w:t>
      </w:r>
      <w:r w:rsidR="00B95A64">
        <w:rPr>
          <w:rFonts w:ascii="Arial" w:hAnsi="Arial" w:cs="Arial"/>
          <w:lang w:val="en-GB"/>
        </w:rPr>
        <w:t xml:space="preserve"> - albeit</w:t>
      </w:r>
      <w:r w:rsidR="0036236C">
        <w:rPr>
          <w:rFonts w:ascii="Arial" w:hAnsi="Arial" w:cs="Arial"/>
          <w:lang w:val="en-GB"/>
        </w:rPr>
        <w:t xml:space="preserve"> via a different route</w:t>
      </w:r>
      <w:r w:rsidR="00B95A64">
        <w:rPr>
          <w:rFonts w:ascii="Arial" w:hAnsi="Arial" w:cs="Arial"/>
          <w:lang w:val="en-GB"/>
        </w:rPr>
        <w:t xml:space="preserve"> </w:t>
      </w:r>
      <w:r w:rsidR="001E0E43">
        <w:rPr>
          <w:rFonts w:ascii="Arial" w:hAnsi="Arial" w:cs="Arial"/>
          <w:lang w:val="en-GB"/>
        </w:rPr>
        <w:t xml:space="preserve">- </w:t>
      </w:r>
      <w:r w:rsidRPr="00486E2D">
        <w:rPr>
          <w:rFonts w:ascii="Arial" w:hAnsi="Arial" w:cs="Arial"/>
          <w:lang w:val="en-GB"/>
        </w:rPr>
        <w:t xml:space="preserve">being that the parties were competitors. </w:t>
      </w:r>
    </w:p>
    <w:p w14:paraId="2E493CB9" w14:textId="64B51545" w:rsidR="00486E2D" w:rsidRPr="00C62F32" w:rsidRDefault="00486E2D" w:rsidP="00C62F32">
      <w:pPr>
        <w:rPr>
          <w:rFonts w:ascii="Arial" w:hAnsi="Arial" w:cs="Arial"/>
          <w:lang w:val="en-GB"/>
        </w:rPr>
      </w:pPr>
    </w:p>
    <w:p w14:paraId="5DD426B1" w14:textId="23190802" w:rsidR="00486E2D"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lang w:val="en-GB"/>
        </w:rPr>
        <w:t>The application of th</w:t>
      </w:r>
      <w:r w:rsidR="002C7962">
        <w:rPr>
          <w:rFonts w:ascii="Arial" w:hAnsi="Arial" w:cs="Arial"/>
          <w:lang w:val="en-GB"/>
        </w:rPr>
        <w:t>e</w:t>
      </w:r>
      <w:r w:rsidRPr="00486E2D">
        <w:rPr>
          <w:rFonts w:ascii="Arial" w:hAnsi="Arial" w:cs="Arial"/>
          <w:lang w:val="en-GB"/>
        </w:rPr>
        <w:t xml:space="preserve"> discipline to the facts in </w:t>
      </w:r>
      <w:r w:rsidRPr="00486E2D">
        <w:rPr>
          <w:rFonts w:ascii="Arial" w:hAnsi="Arial" w:cs="Arial"/>
          <w:i/>
          <w:lang w:val="en-GB"/>
        </w:rPr>
        <w:t xml:space="preserve">Aranda </w:t>
      </w:r>
      <w:r w:rsidR="00486E2D">
        <w:rPr>
          <w:rFonts w:ascii="Arial" w:hAnsi="Arial" w:cs="Arial"/>
          <w:lang w:val="en-GB"/>
        </w:rPr>
        <w:t xml:space="preserve">yields </w:t>
      </w:r>
      <w:r w:rsidRPr="00486E2D">
        <w:rPr>
          <w:rFonts w:ascii="Arial" w:hAnsi="Arial" w:cs="Arial"/>
          <w:lang w:val="en-GB"/>
        </w:rPr>
        <w:t>a similar conclusion</w:t>
      </w:r>
      <w:r w:rsidR="00B95A64">
        <w:rPr>
          <w:rFonts w:ascii="Arial" w:hAnsi="Arial" w:cs="Arial"/>
          <w:lang w:val="en-GB"/>
        </w:rPr>
        <w:t>.</w:t>
      </w:r>
      <w:r w:rsidRPr="00486E2D">
        <w:rPr>
          <w:rFonts w:ascii="Arial" w:hAnsi="Arial" w:cs="Arial"/>
          <w:lang w:val="en-GB"/>
        </w:rPr>
        <w:t xml:space="preserve"> Aranda was the </w:t>
      </w:r>
      <w:r w:rsidRPr="00486E2D">
        <w:rPr>
          <w:rFonts w:ascii="Arial" w:hAnsi="Arial" w:cs="Arial"/>
        </w:rPr>
        <w:t xml:space="preserve">only manufacturer and supplier of the </w:t>
      </w:r>
      <w:r w:rsidR="00B95A64">
        <w:rPr>
          <w:rFonts w:ascii="Arial" w:hAnsi="Arial" w:cs="Arial"/>
        </w:rPr>
        <w:t xml:space="preserve">type of </w:t>
      </w:r>
      <w:r w:rsidRPr="00486E2D">
        <w:rPr>
          <w:rFonts w:ascii="Arial" w:hAnsi="Arial" w:cs="Arial"/>
        </w:rPr>
        <w:t>blanket</w:t>
      </w:r>
      <w:r w:rsidR="00FD0BC8">
        <w:rPr>
          <w:rFonts w:ascii="Arial" w:hAnsi="Arial" w:cs="Arial"/>
        </w:rPr>
        <w:t>s</w:t>
      </w:r>
      <w:r w:rsidRPr="00486E2D">
        <w:rPr>
          <w:rFonts w:ascii="Arial" w:hAnsi="Arial" w:cs="Arial"/>
        </w:rPr>
        <w:t xml:space="preserve"> required by t</w:t>
      </w:r>
      <w:r w:rsidR="00486E2D">
        <w:rPr>
          <w:rFonts w:ascii="Arial" w:hAnsi="Arial" w:cs="Arial"/>
        </w:rPr>
        <w:t>he tender. It bid in the tender</w:t>
      </w:r>
      <w:r w:rsidR="00B95A64">
        <w:rPr>
          <w:rFonts w:ascii="Arial" w:hAnsi="Arial" w:cs="Arial"/>
        </w:rPr>
        <w:t xml:space="preserve"> itself</w:t>
      </w:r>
      <w:r w:rsidR="00486E2D">
        <w:rPr>
          <w:rFonts w:ascii="Arial" w:hAnsi="Arial" w:cs="Arial"/>
        </w:rPr>
        <w:t xml:space="preserve"> and also </w:t>
      </w:r>
      <w:r w:rsidRPr="00486E2D">
        <w:rPr>
          <w:rFonts w:ascii="Arial" w:hAnsi="Arial" w:cs="Arial"/>
        </w:rPr>
        <w:t xml:space="preserve">imposed significantly more onerous </w:t>
      </w:r>
      <w:r w:rsidR="00FD0BC8">
        <w:rPr>
          <w:rFonts w:ascii="Arial" w:hAnsi="Arial" w:cs="Arial"/>
        </w:rPr>
        <w:t xml:space="preserve">supply </w:t>
      </w:r>
      <w:r w:rsidRPr="00486E2D">
        <w:rPr>
          <w:rFonts w:ascii="Arial" w:hAnsi="Arial" w:cs="Arial"/>
        </w:rPr>
        <w:t>terms on other bidders in the tender, save for Mzan</w:t>
      </w:r>
      <w:r w:rsidR="0077188E">
        <w:rPr>
          <w:rFonts w:ascii="Arial" w:hAnsi="Arial" w:cs="Arial"/>
        </w:rPr>
        <w:t>s</w:t>
      </w:r>
      <w:r w:rsidRPr="00486E2D">
        <w:rPr>
          <w:rFonts w:ascii="Arial" w:hAnsi="Arial" w:cs="Arial"/>
        </w:rPr>
        <w:t>i which was</w:t>
      </w:r>
      <w:r w:rsidR="0077188E">
        <w:rPr>
          <w:rFonts w:ascii="Arial" w:hAnsi="Arial" w:cs="Arial"/>
        </w:rPr>
        <w:t xml:space="preserve"> its</w:t>
      </w:r>
      <w:r w:rsidRPr="00486E2D">
        <w:rPr>
          <w:rFonts w:ascii="Arial" w:hAnsi="Arial" w:cs="Arial"/>
        </w:rPr>
        <w:t xml:space="preserve"> preferred customer in the vertical space. The horizontal relationship in issue</w:t>
      </w:r>
      <w:r w:rsidR="0055515B">
        <w:rPr>
          <w:rFonts w:ascii="Arial" w:hAnsi="Arial" w:cs="Arial"/>
        </w:rPr>
        <w:t xml:space="preserve"> related to</w:t>
      </w:r>
      <w:r w:rsidRPr="00486E2D">
        <w:rPr>
          <w:rFonts w:ascii="Arial" w:hAnsi="Arial" w:cs="Arial"/>
        </w:rPr>
        <w:t xml:space="preserve"> the supply of blankets under the tender.  The Tribunal found, incorrectly, that the parties were in a horizontal relationship. </w:t>
      </w:r>
    </w:p>
    <w:p w14:paraId="4E5DCD2C" w14:textId="77777777" w:rsidR="00486E2D" w:rsidRPr="00486E2D" w:rsidRDefault="00486E2D" w:rsidP="00486E2D">
      <w:pPr>
        <w:pStyle w:val="ListParagraph"/>
        <w:rPr>
          <w:rFonts w:ascii="Arial" w:hAnsi="Arial" w:cs="Arial"/>
        </w:rPr>
      </w:pPr>
    </w:p>
    <w:p w14:paraId="4305F19A" w14:textId="22D2D328" w:rsidR="00486E2D" w:rsidRDefault="00D939F1" w:rsidP="00D939F1">
      <w:pPr>
        <w:pStyle w:val="ListParagraph"/>
        <w:numPr>
          <w:ilvl w:val="0"/>
          <w:numId w:val="2"/>
        </w:numPr>
        <w:spacing w:line="360" w:lineRule="auto"/>
        <w:ind w:left="0" w:firstLine="0"/>
        <w:jc w:val="both"/>
        <w:rPr>
          <w:rFonts w:ascii="Arial" w:hAnsi="Arial" w:cs="Arial"/>
        </w:rPr>
      </w:pPr>
      <w:r w:rsidRPr="00486E2D">
        <w:rPr>
          <w:rFonts w:ascii="Arial" w:hAnsi="Arial" w:cs="Arial"/>
        </w:rPr>
        <w:lastRenderedPageBreak/>
        <w:t>This finding was reversed on appeal to this Court.</w:t>
      </w:r>
      <w:r>
        <w:rPr>
          <w:rStyle w:val="FootnoteReference"/>
          <w:rFonts w:ascii="Arial" w:hAnsi="Arial" w:cs="Arial"/>
        </w:rPr>
        <w:footnoteReference w:id="13"/>
      </w:r>
      <w:r w:rsidRPr="00486E2D">
        <w:rPr>
          <w:rFonts w:ascii="Arial" w:hAnsi="Arial" w:cs="Arial"/>
        </w:rPr>
        <w:t xml:space="preserve">  On the </w:t>
      </w:r>
      <w:r w:rsidR="0077188E">
        <w:rPr>
          <w:rFonts w:ascii="Arial" w:hAnsi="Arial" w:cs="Arial"/>
        </w:rPr>
        <w:t xml:space="preserve">proper </w:t>
      </w:r>
      <w:r w:rsidRPr="00486E2D">
        <w:rPr>
          <w:rFonts w:ascii="Arial" w:hAnsi="Arial" w:cs="Arial"/>
        </w:rPr>
        <w:t xml:space="preserve">application  of competition law and economics it is clear that the parties in </w:t>
      </w:r>
      <w:r w:rsidRPr="0055515B">
        <w:rPr>
          <w:rFonts w:ascii="Arial" w:hAnsi="Arial" w:cs="Arial"/>
          <w:i/>
        </w:rPr>
        <w:t xml:space="preserve">Aranda </w:t>
      </w:r>
      <w:r w:rsidRPr="00486E2D">
        <w:rPr>
          <w:rFonts w:ascii="Arial" w:hAnsi="Arial" w:cs="Arial"/>
        </w:rPr>
        <w:t xml:space="preserve">were  not in a horizontal relationship in that, absent the impugned supply agreement,  they could not be competitors. </w:t>
      </w:r>
    </w:p>
    <w:p w14:paraId="2BD39E57" w14:textId="77777777" w:rsidR="00486E2D" w:rsidRPr="00486E2D" w:rsidRDefault="00486E2D" w:rsidP="00486E2D">
      <w:pPr>
        <w:pStyle w:val="ListParagraph"/>
        <w:rPr>
          <w:rFonts w:ascii="Arial" w:hAnsi="Arial" w:cs="Arial"/>
        </w:rPr>
      </w:pPr>
    </w:p>
    <w:p w14:paraId="63FF10FE" w14:textId="0E7DBBB7" w:rsidR="00486E2D" w:rsidRDefault="00D939F1" w:rsidP="00486E2D">
      <w:pPr>
        <w:pStyle w:val="ListParagraph"/>
        <w:numPr>
          <w:ilvl w:val="0"/>
          <w:numId w:val="2"/>
        </w:numPr>
        <w:spacing w:line="360" w:lineRule="auto"/>
        <w:ind w:left="0" w:firstLine="0"/>
        <w:jc w:val="both"/>
        <w:rPr>
          <w:rFonts w:ascii="Arial" w:hAnsi="Arial" w:cs="Arial"/>
        </w:rPr>
      </w:pPr>
      <w:r w:rsidRPr="00486E2D">
        <w:rPr>
          <w:rFonts w:ascii="Arial" w:hAnsi="Arial" w:cs="Arial"/>
        </w:rPr>
        <w:t xml:space="preserve">This Court found that the Tribunal had incorrectly applied the characterisation </w:t>
      </w:r>
      <w:r w:rsidR="0055515B">
        <w:rPr>
          <w:rFonts w:ascii="Arial" w:hAnsi="Arial" w:cs="Arial"/>
        </w:rPr>
        <w:t>process</w:t>
      </w:r>
      <w:r w:rsidRPr="00486E2D">
        <w:rPr>
          <w:rFonts w:ascii="Arial" w:hAnsi="Arial" w:cs="Arial"/>
        </w:rPr>
        <w:t xml:space="preserve"> because it had failed to appreciate that the conduct in issue was a function of the vertical relationship between the parties as supplier and customer in relation to Mzansi’s bid, and not a function of the horizontal relationship between them as bidders in the tender.</w:t>
      </w:r>
      <w:r>
        <w:rPr>
          <w:rStyle w:val="FootnoteReference"/>
          <w:rFonts w:ascii="Arial" w:hAnsi="Arial" w:cs="Arial"/>
        </w:rPr>
        <w:footnoteReference w:id="14"/>
      </w:r>
    </w:p>
    <w:p w14:paraId="739373C9" w14:textId="77777777" w:rsidR="00486E2D" w:rsidRPr="00486E2D" w:rsidRDefault="00486E2D" w:rsidP="00486E2D">
      <w:pPr>
        <w:pStyle w:val="ListParagraph"/>
        <w:rPr>
          <w:rFonts w:ascii="Arial" w:hAnsi="Arial" w:cs="Arial"/>
        </w:rPr>
      </w:pPr>
    </w:p>
    <w:p w14:paraId="02D76FAA" w14:textId="70ADF42A" w:rsidR="00486E2D" w:rsidRDefault="00D939F1" w:rsidP="00486E2D">
      <w:pPr>
        <w:pStyle w:val="ListParagraph"/>
        <w:numPr>
          <w:ilvl w:val="0"/>
          <w:numId w:val="2"/>
        </w:numPr>
        <w:spacing w:line="360" w:lineRule="auto"/>
        <w:ind w:left="0" w:firstLine="0"/>
        <w:jc w:val="both"/>
        <w:rPr>
          <w:rFonts w:ascii="Arial" w:hAnsi="Arial" w:cs="Arial"/>
        </w:rPr>
      </w:pPr>
      <w:r w:rsidRPr="00486E2D">
        <w:rPr>
          <w:rFonts w:ascii="Arial" w:hAnsi="Arial" w:cs="Arial"/>
        </w:rPr>
        <w:t xml:space="preserve">A case which has similar features  to this case is  </w:t>
      </w:r>
      <w:r w:rsidRPr="00486E2D">
        <w:rPr>
          <w:rFonts w:ascii="Arial" w:hAnsi="Arial" w:cs="Arial"/>
          <w:i/>
        </w:rPr>
        <w:t>A'Africa Pest Prevention CC and Another v Competition Commssion of South Africa.</w:t>
      </w:r>
      <w:r>
        <w:rPr>
          <w:rStyle w:val="FootnoteReference"/>
          <w:rFonts w:ascii="Arial" w:hAnsi="Arial" w:cs="Arial"/>
          <w:i/>
        </w:rPr>
        <w:footnoteReference w:id="15"/>
      </w:r>
      <w:r w:rsidRPr="00486E2D">
        <w:rPr>
          <w:rFonts w:ascii="Arial" w:hAnsi="Arial" w:cs="Arial"/>
          <w:i/>
        </w:rPr>
        <w:t xml:space="preserve"> </w:t>
      </w:r>
      <w:r w:rsidR="00972D12">
        <w:rPr>
          <w:rFonts w:ascii="Arial" w:hAnsi="Arial" w:cs="Arial"/>
        </w:rPr>
        <w:t xml:space="preserve"> </w:t>
      </w:r>
      <w:r w:rsidRPr="00486E2D">
        <w:rPr>
          <w:rFonts w:ascii="Arial" w:hAnsi="Arial" w:cs="Arial"/>
        </w:rPr>
        <w:t xml:space="preserve">In </w:t>
      </w:r>
      <w:r w:rsidR="00BB70B3" w:rsidRPr="00BB70B3">
        <w:rPr>
          <w:rFonts w:ascii="Arial" w:hAnsi="Arial" w:cs="Arial"/>
          <w:i/>
        </w:rPr>
        <w:t>A’Africa</w:t>
      </w:r>
      <w:r w:rsidRPr="00486E2D">
        <w:rPr>
          <w:rFonts w:ascii="Arial" w:hAnsi="Arial" w:cs="Arial"/>
        </w:rPr>
        <w:t xml:space="preserve"> the bids were submitted by two </w:t>
      </w:r>
      <w:r w:rsidR="00FD0BC8">
        <w:rPr>
          <w:rFonts w:ascii="Arial" w:hAnsi="Arial" w:cs="Arial"/>
        </w:rPr>
        <w:t>associated</w:t>
      </w:r>
      <w:r w:rsidRPr="00486E2D">
        <w:rPr>
          <w:rFonts w:ascii="Arial" w:hAnsi="Arial" w:cs="Arial"/>
        </w:rPr>
        <w:t xml:space="preserve"> entities </w:t>
      </w:r>
      <w:r w:rsidR="00972D12">
        <w:rPr>
          <w:rFonts w:ascii="Arial" w:hAnsi="Arial" w:cs="Arial"/>
        </w:rPr>
        <w:t>and the bids,</w:t>
      </w:r>
      <w:r w:rsidRPr="00486E2D">
        <w:rPr>
          <w:rFonts w:ascii="Arial" w:hAnsi="Arial" w:cs="Arial"/>
        </w:rPr>
        <w:t xml:space="preserve"> in effect, amounted to a conflation of the running of their affairs, staff complement, equipment, management strategy and businesses. As in this case, the </w:t>
      </w:r>
      <w:r w:rsidR="00972D12">
        <w:rPr>
          <w:rFonts w:ascii="Arial" w:hAnsi="Arial" w:cs="Arial"/>
        </w:rPr>
        <w:t xml:space="preserve">same </w:t>
      </w:r>
      <w:r w:rsidRPr="00486E2D">
        <w:rPr>
          <w:rFonts w:ascii="Arial" w:hAnsi="Arial" w:cs="Arial"/>
        </w:rPr>
        <w:t>person decided on the prices contained in both tender forms and other identical information submitted</w:t>
      </w:r>
      <w:r w:rsidR="00486E2D">
        <w:rPr>
          <w:rFonts w:ascii="Arial" w:hAnsi="Arial" w:cs="Arial"/>
        </w:rPr>
        <w:t xml:space="preserve"> therein.</w:t>
      </w:r>
    </w:p>
    <w:p w14:paraId="7A7773EF" w14:textId="77777777" w:rsidR="00486E2D" w:rsidRPr="00486E2D" w:rsidRDefault="00486E2D" w:rsidP="00486E2D">
      <w:pPr>
        <w:pStyle w:val="ListParagraph"/>
        <w:rPr>
          <w:rFonts w:ascii="Arial" w:hAnsi="Arial" w:cs="Arial"/>
        </w:rPr>
      </w:pPr>
    </w:p>
    <w:p w14:paraId="783F9FAB" w14:textId="0B49AD79" w:rsidR="00486E2D" w:rsidRPr="004C0CDB" w:rsidRDefault="00D939F1" w:rsidP="004C0CDB">
      <w:pPr>
        <w:pStyle w:val="ListParagraph"/>
        <w:numPr>
          <w:ilvl w:val="0"/>
          <w:numId w:val="2"/>
        </w:numPr>
        <w:spacing w:line="360" w:lineRule="auto"/>
        <w:ind w:left="0" w:firstLine="0"/>
        <w:jc w:val="both"/>
        <w:rPr>
          <w:rFonts w:ascii="Arial" w:hAnsi="Arial" w:cs="Arial"/>
        </w:rPr>
      </w:pPr>
      <w:r w:rsidRPr="00486E2D">
        <w:rPr>
          <w:rFonts w:ascii="Arial" w:hAnsi="Arial" w:cs="Arial"/>
        </w:rPr>
        <w:t>The Tribunal, adopting</w:t>
      </w:r>
      <w:r w:rsidR="00BB70B3">
        <w:rPr>
          <w:rFonts w:ascii="Arial" w:hAnsi="Arial" w:cs="Arial"/>
        </w:rPr>
        <w:t xml:space="preserve"> similar reasoning</w:t>
      </w:r>
      <w:r w:rsidRPr="00486E2D">
        <w:rPr>
          <w:rFonts w:ascii="Arial" w:hAnsi="Arial" w:cs="Arial"/>
        </w:rPr>
        <w:t xml:space="preserve"> to the one adopted in this case, found that this amounted to price fixing. Th</w:t>
      </w:r>
      <w:r w:rsidR="00FD0BC8">
        <w:rPr>
          <w:rFonts w:ascii="Arial" w:hAnsi="Arial" w:cs="Arial"/>
        </w:rPr>
        <w:t>is</w:t>
      </w:r>
      <w:r w:rsidRPr="00486E2D">
        <w:rPr>
          <w:rFonts w:ascii="Arial" w:hAnsi="Arial" w:cs="Arial"/>
        </w:rPr>
        <w:t xml:space="preserve"> finding was based on the submission of two quotations which, in its view, exhibited dishonest behaviour </w:t>
      </w:r>
      <w:r w:rsidR="0040053D">
        <w:rPr>
          <w:rFonts w:ascii="Arial" w:hAnsi="Arial" w:cs="Arial"/>
        </w:rPr>
        <w:t xml:space="preserve">directed at </w:t>
      </w:r>
      <w:r w:rsidRPr="00486E2D">
        <w:rPr>
          <w:rFonts w:ascii="Arial" w:hAnsi="Arial" w:cs="Arial"/>
        </w:rPr>
        <w:t xml:space="preserve"> gaining a BEE advantage over others. </w:t>
      </w:r>
      <w:r w:rsidR="00486E2D" w:rsidRPr="004C0CDB">
        <w:rPr>
          <w:rFonts w:ascii="Arial" w:hAnsi="Arial" w:cs="Arial"/>
        </w:rPr>
        <w:t>In its view, “ </w:t>
      </w:r>
      <w:r w:rsidR="00486E2D" w:rsidRPr="004C0CDB">
        <w:rPr>
          <w:rFonts w:ascii="Arial" w:hAnsi="Arial" w:cs="Arial"/>
          <w:iCs/>
        </w:rPr>
        <w:t xml:space="preserve">the appellants could not be allowed to benefit from their dishonest actions and </w:t>
      </w:r>
      <w:r w:rsidR="00486E2D" w:rsidRPr="007A5B24">
        <w:rPr>
          <w:rFonts w:ascii="Arial" w:hAnsi="Arial" w:cs="Arial"/>
          <w:iCs/>
          <w:u w:val="single"/>
        </w:rPr>
        <w:t>the illusions of competing for the work</w:t>
      </w:r>
      <w:r w:rsidR="00486E2D" w:rsidRPr="004C0CDB">
        <w:rPr>
          <w:rFonts w:ascii="Arial" w:hAnsi="Arial" w:cs="Arial"/>
        </w:rPr>
        <w:t>.”</w:t>
      </w:r>
      <w:r w:rsidR="00486E2D" w:rsidRPr="004C0CDB">
        <w:rPr>
          <w:vertAlign w:val="superscript"/>
        </w:rPr>
        <w:footnoteReference w:id="16"/>
      </w:r>
      <w:r w:rsidR="002A75DA" w:rsidRPr="004C0CDB">
        <w:rPr>
          <w:rFonts w:ascii="Arial" w:hAnsi="Arial" w:cs="Arial"/>
        </w:rPr>
        <w:t xml:space="preserve"> (Emphasis added.)</w:t>
      </w:r>
    </w:p>
    <w:p w14:paraId="2274D6C5" w14:textId="77777777" w:rsidR="00486E2D" w:rsidRPr="00486E2D" w:rsidRDefault="00486E2D" w:rsidP="00486E2D">
      <w:pPr>
        <w:pStyle w:val="ListParagraph"/>
        <w:rPr>
          <w:rFonts w:ascii="Arial" w:hAnsi="Arial" w:cs="Arial"/>
        </w:rPr>
      </w:pPr>
    </w:p>
    <w:p w14:paraId="1808D35B" w14:textId="57ABF3A8" w:rsidR="00486E2D" w:rsidRPr="00486E2D" w:rsidRDefault="00486E2D" w:rsidP="00486E2D">
      <w:pPr>
        <w:pStyle w:val="ListParagraph"/>
        <w:numPr>
          <w:ilvl w:val="0"/>
          <w:numId w:val="2"/>
        </w:numPr>
        <w:spacing w:line="360" w:lineRule="auto"/>
        <w:ind w:left="0" w:firstLine="0"/>
        <w:jc w:val="both"/>
        <w:rPr>
          <w:rFonts w:ascii="Arial" w:hAnsi="Arial" w:cs="Arial"/>
        </w:rPr>
      </w:pPr>
      <w:r>
        <w:rPr>
          <w:rFonts w:ascii="Arial" w:hAnsi="Arial" w:cs="Arial"/>
        </w:rPr>
        <w:t>On appeal, this Court (</w:t>
      </w:r>
      <w:r w:rsidR="00D939F1" w:rsidRPr="00486E2D">
        <w:rPr>
          <w:rFonts w:ascii="Arial" w:hAnsi="Arial" w:cs="Arial"/>
        </w:rPr>
        <w:t xml:space="preserve">per Boqwana JA as she was then) reversed this finding. </w:t>
      </w:r>
      <w:r w:rsidR="00B95A64">
        <w:rPr>
          <w:rFonts w:ascii="Arial" w:hAnsi="Arial" w:cs="Arial"/>
        </w:rPr>
        <w:t xml:space="preserve">Although the case was decided on the basis of the application of section 4(5), </w:t>
      </w:r>
      <w:r w:rsidR="00D939F1" w:rsidRPr="00486E2D">
        <w:rPr>
          <w:rFonts w:ascii="Arial" w:hAnsi="Arial" w:cs="Arial"/>
        </w:rPr>
        <w:t>It was held that the submission of the two separate bids in the same terms could not, on its own, bring the impugned conduct within the ambit of </w:t>
      </w:r>
      <w:hyperlink r:id="rId11" w:anchor="s4" w:history="1">
        <w:r w:rsidR="00D939F1" w:rsidRPr="002C7962">
          <w:rPr>
            <w:rStyle w:val="Hyperlink"/>
            <w:rFonts w:ascii="Arial" w:hAnsi="Arial" w:cs="Arial"/>
            <w:bCs/>
            <w:color w:val="000000" w:themeColor="text1"/>
            <w:u w:val="none"/>
          </w:rPr>
          <w:t>section 4</w:t>
        </w:r>
      </w:hyperlink>
      <w:r w:rsidR="00D939F1" w:rsidRPr="00486E2D">
        <w:rPr>
          <w:rFonts w:ascii="Arial" w:hAnsi="Arial" w:cs="Arial"/>
          <w:color w:val="000000" w:themeColor="text1"/>
        </w:rPr>
        <w:t> (1)(b).</w:t>
      </w:r>
      <w:r w:rsidR="00D939F1">
        <w:rPr>
          <w:color w:val="000000" w:themeColor="text1"/>
          <w:vertAlign w:val="superscript"/>
        </w:rPr>
        <w:footnoteReference w:id="17"/>
      </w:r>
    </w:p>
    <w:p w14:paraId="00976518" w14:textId="77777777" w:rsidR="00486E2D" w:rsidRPr="00486E2D" w:rsidRDefault="00486E2D" w:rsidP="00486E2D">
      <w:pPr>
        <w:pStyle w:val="ListParagraph"/>
        <w:spacing w:line="360" w:lineRule="auto"/>
        <w:ind w:left="0"/>
        <w:jc w:val="both"/>
        <w:rPr>
          <w:rFonts w:ascii="Arial" w:hAnsi="Arial" w:cs="Arial"/>
        </w:rPr>
      </w:pPr>
    </w:p>
    <w:p w14:paraId="0C1975E0" w14:textId="66B8C3E0" w:rsidR="00771741" w:rsidRDefault="00972D12" w:rsidP="00771741">
      <w:pPr>
        <w:pStyle w:val="ListParagraph"/>
        <w:numPr>
          <w:ilvl w:val="0"/>
          <w:numId w:val="2"/>
        </w:numPr>
        <w:spacing w:line="360" w:lineRule="auto"/>
        <w:ind w:left="0" w:firstLine="0"/>
        <w:jc w:val="both"/>
        <w:rPr>
          <w:rFonts w:ascii="Arial" w:hAnsi="Arial" w:cs="Arial"/>
        </w:rPr>
      </w:pPr>
      <w:r>
        <w:rPr>
          <w:rFonts w:ascii="Arial" w:hAnsi="Arial" w:cs="Arial"/>
        </w:rPr>
        <w:lastRenderedPageBreak/>
        <w:t>Again</w:t>
      </w:r>
      <w:r w:rsidR="0040053D">
        <w:rPr>
          <w:rFonts w:ascii="Arial" w:hAnsi="Arial" w:cs="Arial"/>
        </w:rPr>
        <w:t>,</w:t>
      </w:r>
      <w:r>
        <w:rPr>
          <w:rFonts w:ascii="Arial" w:hAnsi="Arial" w:cs="Arial"/>
        </w:rPr>
        <w:t xml:space="preserve"> the</w:t>
      </w:r>
      <w:r w:rsidR="00D939F1" w:rsidRPr="00486E2D">
        <w:rPr>
          <w:rFonts w:ascii="Arial" w:hAnsi="Arial" w:cs="Arial"/>
        </w:rPr>
        <w:t xml:space="preserve"> application of counterfactual economic theory to the facts of </w:t>
      </w:r>
      <w:r w:rsidR="00D939F1" w:rsidRPr="00486E2D">
        <w:rPr>
          <w:rFonts w:ascii="Arial" w:hAnsi="Arial" w:cs="Arial"/>
          <w:i/>
        </w:rPr>
        <w:t xml:space="preserve">A’Africa </w:t>
      </w:r>
      <w:r w:rsidR="00D939F1" w:rsidRPr="00486E2D">
        <w:rPr>
          <w:rFonts w:ascii="Arial" w:hAnsi="Arial" w:cs="Arial"/>
        </w:rPr>
        <w:t>yields the conclusion that the two entities were never in an actual or potential horizontal relationship.</w:t>
      </w:r>
    </w:p>
    <w:p w14:paraId="2036291A" w14:textId="77777777" w:rsidR="004C0CDB" w:rsidRDefault="004C0CDB" w:rsidP="004C0CDB">
      <w:pPr>
        <w:pStyle w:val="ListParagraph"/>
        <w:spacing w:line="360" w:lineRule="auto"/>
        <w:ind w:left="0"/>
        <w:jc w:val="both"/>
        <w:rPr>
          <w:rFonts w:ascii="Arial" w:hAnsi="Arial" w:cs="Arial"/>
        </w:rPr>
      </w:pPr>
    </w:p>
    <w:p w14:paraId="59946EB2" w14:textId="77777777" w:rsidR="00771741" w:rsidRPr="00771741" w:rsidRDefault="00771741" w:rsidP="00771741">
      <w:pPr>
        <w:pStyle w:val="ListParagraph"/>
        <w:rPr>
          <w:rFonts w:ascii="Arial" w:hAnsi="Arial" w:cs="Arial"/>
        </w:rPr>
      </w:pPr>
    </w:p>
    <w:p w14:paraId="2366CB76" w14:textId="7B21C4B7" w:rsidR="00771741" w:rsidRPr="00C62F32" w:rsidRDefault="00771741" w:rsidP="00C62F32">
      <w:pPr>
        <w:shd w:val="clear" w:color="auto" w:fill="FFFFFF"/>
        <w:spacing w:before="144" w:after="475" w:line="360" w:lineRule="auto"/>
        <w:rPr>
          <w:rFonts w:ascii="Arial" w:hAnsi="Arial" w:cs="Arial"/>
          <w:i/>
          <w:sz w:val="24"/>
          <w:szCs w:val="24"/>
        </w:rPr>
      </w:pPr>
      <w:r w:rsidRPr="00B95A64">
        <w:rPr>
          <w:rFonts w:ascii="Arial" w:hAnsi="Arial" w:cs="Arial"/>
          <w:i/>
          <w:sz w:val="24"/>
          <w:szCs w:val="24"/>
        </w:rPr>
        <w:t>Horizontality by illusion</w:t>
      </w:r>
    </w:p>
    <w:p w14:paraId="101BF093" w14:textId="7DF2CB60" w:rsid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  </w:t>
      </w:r>
      <w:r w:rsidR="00FD0BC8">
        <w:rPr>
          <w:rFonts w:ascii="Arial" w:hAnsi="Arial" w:cs="Arial"/>
        </w:rPr>
        <w:t>Reference to the above</w:t>
      </w:r>
      <w:r w:rsidR="00C62F32">
        <w:rPr>
          <w:rFonts w:ascii="Arial" w:hAnsi="Arial" w:cs="Arial"/>
        </w:rPr>
        <w:t xml:space="preserve"> quotation from the decision in</w:t>
      </w:r>
      <w:r w:rsidRPr="00771741">
        <w:rPr>
          <w:rFonts w:ascii="Arial" w:hAnsi="Arial" w:cs="Arial"/>
        </w:rPr>
        <w:t xml:space="preserve"> </w:t>
      </w:r>
      <w:r w:rsidRPr="00771741">
        <w:rPr>
          <w:rFonts w:ascii="Arial" w:hAnsi="Arial" w:cs="Arial"/>
          <w:i/>
        </w:rPr>
        <w:t>A’Africa</w:t>
      </w:r>
      <w:r w:rsidR="00FD0BC8">
        <w:rPr>
          <w:rFonts w:ascii="Arial" w:hAnsi="Arial" w:cs="Arial"/>
          <w:i/>
        </w:rPr>
        <w:t xml:space="preserve">, </w:t>
      </w:r>
      <w:r w:rsidR="00FD0BC8">
        <w:rPr>
          <w:rFonts w:ascii="Arial" w:hAnsi="Arial" w:cs="Arial"/>
        </w:rPr>
        <w:t>shows that</w:t>
      </w:r>
      <w:r w:rsidR="00771741">
        <w:rPr>
          <w:rFonts w:ascii="Arial" w:hAnsi="Arial" w:cs="Arial"/>
        </w:rPr>
        <w:t xml:space="preserve"> the Tribunal </w:t>
      </w:r>
      <w:r w:rsidRPr="00771741">
        <w:rPr>
          <w:rFonts w:ascii="Arial" w:hAnsi="Arial" w:cs="Arial"/>
        </w:rPr>
        <w:t>adopted a similar</w:t>
      </w:r>
      <w:r w:rsidR="00C62F32">
        <w:rPr>
          <w:rFonts w:ascii="Arial" w:hAnsi="Arial" w:cs="Arial"/>
        </w:rPr>
        <w:t xml:space="preserve"> approach to the one adopted in</w:t>
      </w:r>
      <w:r w:rsidR="0040053D">
        <w:rPr>
          <w:rFonts w:ascii="Arial" w:hAnsi="Arial" w:cs="Arial"/>
        </w:rPr>
        <w:t xml:space="preserve"> this </w:t>
      </w:r>
      <w:r w:rsidRPr="00771741">
        <w:rPr>
          <w:rFonts w:ascii="Arial" w:hAnsi="Arial" w:cs="Arial"/>
        </w:rPr>
        <w:t>case being that horizontality can be found in</w:t>
      </w:r>
      <w:r w:rsidR="00C62F32">
        <w:rPr>
          <w:rFonts w:ascii="Arial" w:hAnsi="Arial" w:cs="Arial"/>
        </w:rPr>
        <w:t xml:space="preserve"> the creating of an ‘</w:t>
      </w:r>
      <w:r w:rsidRPr="00771741">
        <w:rPr>
          <w:rFonts w:ascii="Arial" w:hAnsi="Arial" w:cs="Arial"/>
        </w:rPr>
        <w:t>illusion’ of competition</w:t>
      </w:r>
      <w:r w:rsidR="007A5B24">
        <w:rPr>
          <w:rFonts w:ascii="Arial" w:hAnsi="Arial" w:cs="Arial"/>
        </w:rPr>
        <w:t>’</w:t>
      </w:r>
      <w:r w:rsidRPr="00771741">
        <w:rPr>
          <w:rFonts w:ascii="Arial" w:hAnsi="Arial" w:cs="Arial"/>
        </w:rPr>
        <w:t>.</w:t>
      </w:r>
    </w:p>
    <w:p w14:paraId="06306664" w14:textId="77777777" w:rsidR="00771741" w:rsidRDefault="00771741" w:rsidP="00771741">
      <w:pPr>
        <w:pStyle w:val="ListParagraph"/>
        <w:spacing w:line="360" w:lineRule="auto"/>
        <w:ind w:left="0"/>
        <w:jc w:val="both"/>
        <w:rPr>
          <w:rFonts w:ascii="Arial" w:hAnsi="Arial" w:cs="Arial"/>
        </w:rPr>
      </w:pPr>
    </w:p>
    <w:p w14:paraId="3B1E642B" w14:textId="12D39F84" w:rsid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 The Tribunal reasons that because the parties sought to</w:t>
      </w:r>
      <w:r w:rsidR="0014100A">
        <w:rPr>
          <w:rFonts w:ascii="Arial" w:hAnsi="Arial" w:cs="Arial"/>
        </w:rPr>
        <w:t xml:space="preserve"> ‘</w:t>
      </w:r>
      <w:r w:rsidRPr="00771741">
        <w:rPr>
          <w:rFonts w:ascii="Arial" w:hAnsi="Arial" w:cs="Arial"/>
        </w:rPr>
        <w:t xml:space="preserve">hold the </w:t>
      </w:r>
      <w:r w:rsidR="007A5B24">
        <w:rPr>
          <w:rFonts w:ascii="Arial" w:hAnsi="Arial" w:cs="Arial"/>
        </w:rPr>
        <w:t>T</w:t>
      </w:r>
      <w:r w:rsidRPr="00771741">
        <w:rPr>
          <w:rFonts w:ascii="Arial" w:hAnsi="Arial" w:cs="Arial"/>
        </w:rPr>
        <w:t xml:space="preserve">rust out as a competitor’ they can and should be </w:t>
      </w:r>
      <w:r w:rsidR="00FD0BC8">
        <w:rPr>
          <w:rFonts w:ascii="Arial" w:hAnsi="Arial" w:cs="Arial"/>
        </w:rPr>
        <w:t>found</w:t>
      </w:r>
      <w:r w:rsidRPr="00771741">
        <w:rPr>
          <w:rFonts w:ascii="Arial" w:hAnsi="Arial" w:cs="Arial"/>
        </w:rPr>
        <w:t xml:space="preserve"> to be in a horizontal relationship.</w:t>
      </w:r>
      <w:r>
        <w:rPr>
          <w:rStyle w:val="FootnoteReference"/>
          <w:rFonts w:ascii="Arial" w:hAnsi="Arial" w:cs="Arial"/>
        </w:rPr>
        <w:footnoteReference w:id="18"/>
      </w:r>
    </w:p>
    <w:p w14:paraId="6F3C49A3" w14:textId="77777777" w:rsidR="00771741" w:rsidRPr="00771741" w:rsidRDefault="00771741" w:rsidP="00771741">
      <w:pPr>
        <w:pStyle w:val="ListParagraph"/>
        <w:rPr>
          <w:rFonts w:ascii="Arial" w:hAnsi="Arial" w:cs="Arial"/>
        </w:rPr>
      </w:pPr>
    </w:p>
    <w:p w14:paraId="1C3E392C" w14:textId="77777777" w:rsid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This approach to horizontality defies logic.  It holds within it the assumption that the parties are not actually in a horizontal relationship. Thus it constitutes, in and of itself, a finding which is contrary to the express provisions of section 4(1)(b) which requires the parties to be in an actual (or potential) horizontal relationship. </w:t>
      </w:r>
    </w:p>
    <w:p w14:paraId="72C8A116" w14:textId="77777777" w:rsidR="00771741" w:rsidRPr="00771741" w:rsidRDefault="00771741" w:rsidP="00771741">
      <w:pPr>
        <w:pStyle w:val="ListParagraph"/>
        <w:rPr>
          <w:rFonts w:ascii="Arial" w:hAnsi="Arial" w:cs="Arial"/>
        </w:rPr>
      </w:pPr>
    </w:p>
    <w:p w14:paraId="2DFE7BF4" w14:textId="77777777" w:rsid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hAnsi="Arial" w:cs="Arial"/>
        </w:rPr>
        <w:t>The section cannot be construed so as to import strict liability to a party for pretending to be a competitor when it is not one.</w:t>
      </w:r>
    </w:p>
    <w:p w14:paraId="75B94D2A" w14:textId="77777777" w:rsidR="00771741" w:rsidRPr="00771741" w:rsidRDefault="00771741" w:rsidP="00771741">
      <w:pPr>
        <w:pStyle w:val="ListParagraph"/>
        <w:rPr>
          <w:rFonts w:ascii="Arial" w:hAnsi="Arial" w:cs="Arial"/>
        </w:rPr>
      </w:pPr>
    </w:p>
    <w:p w14:paraId="62EE5CAD" w14:textId="0AFF971E" w:rsidR="00771741" w:rsidRP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This approach of the Tribunal is founded on an incorrect reading </w:t>
      </w:r>
      <w:r w:rsidRPr="00771741">
        <w:rPr>
          <w:rFonts w:ascii="Arial" w:hAnsi="Arial" w:cs="Arial"/>
          <w:i/>
        </w:rPr>
        <w:t>of United States v Reicher.</w:t>
      </w:r>
      <w:r>
        <w:rPr>
          <w:rStyle w:val="FootnoteReference"/>
          <w:rFonts w:ascii="Arial" w:hAnsi="Arial" w:cs="Arial"/>
          <w:i/>
        </w:rPr>
        <w:footnoteReference w:id="19"/>
      </w:r>
      <w:r w:rsidRPr="00771741">
        <w:rPr>
          <w:rFonts w:eastAsia="Times New Roman"/>
        </w:rPr>
        <w:t xml:space="preserve">   </w:t>
      </w:r>
      <w:r w:rsidR="00FD0BC8">
        <w:rPr>
          <w:rFonts w:ascii="Arial" w:eastAsia="Times New Roman" w:hAnsi="Arial" w:cs="Arial"/>
        </w:rPr>
        <w:t>The Tribunal</w:t>
      </w:r>
      <w:r w:rsidRPr="00771741">
        <w:rPr>
          <w:rFonts w:ascii="Arial" w:eastAsia="Times New Roman" w:hAnsi="Arial" w:cs="Arial"/>
        </w:rPr>
        <w:t xml:space="preserve"> cited the following passage as purported authority for the proposition that, if a party holds itself out as a competitor for the purposes of bid rigging, it can be held to be in a horizontal relationship:</w:t>
      </w:r>
    </w:p>
    <w:p w14:paraId="48C21461" w14:textId="77777777" w:rsidR="00771741" w:rsidRPr="00771741" w:rsidRDefault="00771741" w:rsidP="00771741">
      <w:pPr>
        <w:pStyle w:val="ListParagraph"/>
        <w:rPr>
          <w:rFonts w:ascii="Arial" w:eastAsia="Times New Roman" w:hAnsi="Arial" w:cs="Arial"/>
        </w:rPr>
      </w:pPr>
    </w:p>
    <w:p w14:paraId="0C46FD8B" w14:textId="77777777" w:rsidR="00771741" w:rsidRPr="00771741" w:rsidRDefault="00D939F1" w:rsidP="007A5B24">
      <w:pPr>
        <w:pStyle w:val="ListParagraph"/>
        <w:spacing w:line="360" w:lineRule="auto"/>
        <w:ind w:left="0"/>
        <w:jc w:val="both"/>
        <w:rPr>
          <w:rFonts w:ascii="Arial" w:hAnsi="Arial" w:cs="Arial"/>
        </w:rPr>
      </w:pPr>
      <w:r w:rsidRPr="00771741">
        <w:rPr>
          <w:rFonts w:ascii="Arial" w:eastAsia="Times New Roman" w:hAnsi="Arial" w:cs="Arial"/>
        </w:rPr>
        <w:t>“</w:t>
      </w:r>
      <w:r w:rsidRPr="00C6565E">
        <w:rPr>
          <w:rFonts w:ascii="Arial" w:eastAsia="Times New Roman" w:hAnsi="Arial" w:cs="Arial"/>
          <w:sz w:val="22"/>
          <w:szCs w:val="22"/>
        </w:rPr>
        <w:t>Here the decisive circumstances in defining “competitors” is the simple fact that Giolas Sales submitted a bid for the OCA contract. Despite its ultimate inability to perform the contract, Giolas held itself out as a competitor for purposes of rigging what was supposed to be a competitive bidding process. This is exactly the sort of “threat to the central nervous system of the economy” ... that the antitrust laws are meant to address</w:t>
      </w:r>
      <w:r w:rsidRPr="00771741">
        <w:rPr>
          <w:rFonts w:ascii="Arial" w:eastAsia="Times New Roman" w:hAnsi="Arial" w:cs="Arial"/>
        </w:rPr>
        <w:t xml:space="preserve"> ...”</w:t>
      </w:r>
      <w:r>
        <w:rPr>
          <w:rStyle w:val="FootnoteReference"/>
          <w:rFonts w:ascii="Arial" w:eastAsia="Times New Roman" w:hAnsi="Arial" w:cs="Arial"/>
        </w:rPr>
        <w:footnoteReference w:id="20"/>
      </w:r>
      <w:r w:rsidRPr="00771741">
        <w:rPr>
          <w:rFonts w:ascii="Arial" w:eastAsia="Times New Roman" w:hAnsi="Arial" w:cs="Arial"/>
          <w:position w:val="10"/>
        </w:rPr>
        <w:t xml:space="preserve"> </w:t>
      </w:r>
    </w:p>
    <w:p w14:paraId="030FF0FB" w14:textId="77777777" w:rsidR="00771741" w:rsidRPr="00771741" w:rsidRDefault="00771741" w:rsidP="00771741">
      <w:pPr>
        <w:pStyle w:val="ListParagraph"/>
        <w:rPr>
          <w:rFonts w:ascii="Arial" w:eastAsia="Times New Roman" w:hAnsi="Arial" w:cs="Arial"/>
        </w:rPr>
      </w:pPr>
    </w:p>
    <w:p w14:paraId="7C6026A7" w14:textId="30247950" w:rsidR="00771741" w:rsidRP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eastAsia="Times New Roman" w:hAnsi="Arial" w:cs="Arial"/>
        </w:rPr>
        <w:t xml:space="preserve"> </w:t>
      </w:r>
      <w:r w:rsidRPr="00771741">
        <w:rPr>
          <w:rFonts w:ascii="Arial" w:eastAsia="Times New Roman" w:hAnsi="Arial" w:cs="Arial"/>
          <w:i/>
        </w:rPr>
        <w:t xml:space="preserve">Reicher </w:t>
      </w:r>
      <w:r w:rsidRPr="00771741">
        <w:rPr>
          <w:rFonts w:ascii="Arial" w:eastAsia="Times New Roman" w:hAnsi="Arial" w:cs="Arial"/>
        </w:rPr>
        <w:t xml:space="preserve">involved a </w:t>
      </w:r>
      <w:r w:rsidR="0040053D">
        <w:rPr>
          <w:rFonts w:ascii="Arial" w:eastAsia="Times New Roman" w:hAnsi="Arial" w:cs="Arial"/>
        </w:rPr>
        <w:t>charge</w:t>
      </w:r>
      <w:r w:rsidRPr="00771741">
        <w:rPr>
          <w:rFonts w:ascii="Arial" w:eastAsia="Times New Roman" w:hAnsi="Arial" w:cs="Arial"/>
        </w:rPr>
        <w:t xml:space="preserve"> of conspiracy to rig bids in violation of the Sherman Act. The tender in question was for a project involving the building of a specialised structure for laser testing at a national laboratory. </w:t>
      </w:r>
      <w:r w:rsidR="006D62C8">
        <w:rPr>
          <w:rFonts w:ascii="Arial" w:eastAsia="Times New Roman" w:hAnsi="Arial" w:cs="Arial"/>
        </w:rPr>
        <w:t>The laboratory compiled a</w:t>
      </w:r>
      <w:r w:rsidRPr="00771741">
        <w:rPr>
          <w:rFonts w:ascii="Arial" w:eastAsia="Times New Roman" w:hAnsi="Arial" w:cs="Arial"/>
        </w:rPr>
        <w:t xml:space="preserve"> </w:t>
      </w:r>
      <w:r w:rsidR="006D62C8">
        <w:rPr>
          <w:rFonts w:ascii="Arial" w:eastAsia="Times New Roman" w:hAnsi="Arial" w:cs="Arial"/>
        </w:rPr>
        <w:t>list</w:t>
      </w:r>
      <w:r w:rsidRPr="00771741">
        <w:rPr>
          <w:rFonts w:ascii="Arial" w:eastAsia="Times New Roman" w:hAnsi="Arial" w:cs="Arial"/>
        </w:rPr>
        <w:t xml:space="preserve"> </w:t>
      </w:r>
      <w:r w:rsidR="006D62C8">
        <w:rPr>
          <w:rFonts w:ascii="Arial" w:eastAsia="Times New Roman" w:hAnsi="Arial" w:cs="Arial"/>
        </w:rPr>
        <w:t xml:space="preserve">of </w:t>
      </w:r>
      <w:r w:rsidRPr="00771741">
        <w:rPr>
          <w:rFonts w:ascii="Arial" w:eastAsia="Times New Roman" w:hAnsi="Arial" w:cs="Arial"/>
        </w:rPr>
        <w:t xml:space="preserve">prospective bidders and Reicher was on the </w:t>
      </w:r>
      <w:r w:rsidR="00882852">
        <w:rPr>
          <w:rFonts w:ascii="Arial" w:eastAsia="Times New Roman" w:hAnsi="Arial" w:cs="Arial"/>
        </w:rPr>
        <w:t>list. The procurement procedure</w:t>
      </w:r>
      <w:r w:rsidRPr="00771741">
        <w:rPr>
          <w:rFonts w:ascii="Arial" w:eastAsia="Times New Roman" w:hAnsi="Arial" w:cs="Arial"/>
        </w:rPr>
        <w:t xml:space="preserve"> entailed that there be at least two bids for the tender to proceed. As the deadline for bid submission approached</w:t>
      </w:r>
      <w:r w:rsidR="00C6565E">
        <w:rPr>
          <w:rFonts w:ascii="Arial" w:eastAsia="Times New Roman" w:hAnsi="Arial" w:cs="Arial"/>
        </w:rPr>
        <w:t>,</w:t>
      </w:r>
      <w:r w:rsidRPr="00771741">
        <w:rPr>
          <w:rFonts w:ascii="Arial" w:eastAsia="Times New Roman" w:hAnsi="Arial" w:cs="Arial"/>
        </w:rPr>
        <w:t xml:space="preserve"> it became clear that Reicher’s company was likely to be the only bidder. To ensure that the bid process went ahead and that his company would be the successful bidder Reicher arranged with James Giolas, the </w:t>
      </w:r>
      <w:r w:rsidRPr="00771741">
        <w:rPr>
          <w:rFonts w:ascii="Arial" w:eastAsia="Times New Roman" w:hAnsi="Arial" w:cs="Arial"/>
          <w:u w:val="single"/>
        </w:rPr>
        <w:t>proprietor of another potential bidder appearing on the list of prospective bidders</w:t>
      </w:r>
      <w:r w:rsidRPr="00771741">
        <w:rPr>
          <w:rFonts w:ascii="Arial" w:eastAsia="Times New Roman" w:hAnsi="Arial" w:cs="Arial"/>
        </w:rPr>
        <w:t xml:space="preserve"> to sign a blank bid form which Reicher </w:t>
      </w:r>
      <w:r w:rsidR="00FD0BC8">
        <w:rPr>
          <w:rFonts w:ascii="Arial" w:eastAsia="Times New Roman" w:hAnsi="Arial" w:cs="Arial"/>
        </w:rPr>
        <w:t xml:space="preserve"> then </w:t>
      </w:r>
      <w:r w:rsidRPr="00771741">
        <w:rPr>
          <w:rFonts w:ascii="Arial" w:eastAsia="Times New Roman" w:hAnsi="Arial" w:cs="Arial"/>
        </w:rPr>
        <w:t>completed and submitted</w:t>
      </w:r>
      <w:r w:rsidR="00C6565E">
        <w:rPr>
          <w:rFonts w:ascii="Arial" w:eastAsia="Times New Roman" w:hAnsi="Arial" w:cs="Arial"/>
        </w:rPr>
        <w:t xml:space="preserve"> in the name of Giolas</w:t>
      </w:r>
      <w:r w:rsidRPr="00771741">
        <w:rPr>
          <w:rFonts w:ascii="Arial" w:eastAsia="Times New Roman" w:hAnsi="Arial" w:cs="Arial"/>
        </w:rPr>
        <w:t xml:space="preserve">. </w:t>
      </w:r>
      <w:r w:rsidR="006D62C8">
        <w:rPr>
          <w:rFonts w:ascii="Arial" w:eastAsia="Times New Roman" w:hAnsi="Arial" w:cs="Arial"/>
        </w:rPr>
        <w:t>Giolas</w:t>
      </w:r>
      <w:r w:rsidRPr="00771741">
        <w:rPr>
          <w:rFonts w:ascii="Arial" w:eastAsia="Times New Roman" w:hAnsi="Arial" w:cs="Arial"/>
        </w:rPr>
        <w:t xml:space="preserve"> had neither the ability nor the inclination to perform the project. In essence</w:t>
      </w:r>
      <w:r w:rsidR="006D62C8">
        <w:rPr>
          <w:rFonts w:ascii="Arial" w:eastAsia="Times New Roman" w:hAnsi="Arial" w:cs="Arial"/>
        </w:rPr>
        <w:t>,</w:t>
      </w:r>
      <w:r w:rsidRPr="00771741">
        <w:rPr>
          <w:rFonts w:ascii="Arial" w:eastAsia="Times New Roman" w:hAnsi="Arial" w:cs="Arial"/>
        </w:rPr>
        <w:t xml:space="preserve"> Giolas’. bid was a ‘dummy’.</w:t>
      </w:r>
    </w:p>
    <w:p w14:paraId="34A0E193" w14:textId="77777777" w:rsidR="00771741" w:rsidRPr="00771741" w:rsidRDefault="00771741" w:rsidP="00771741">
      <w:pPr>
        <w:pStyle w:val="ListParagraph"/>
        <w:rPr>
          <w:rFonts w:ascii="Arial" w:eastAsia="Times New Roman" w:hAnsi="Arial" w:cs="Arial"/>
        </w:rPr>
      </w:pPr>
    </w:p>
    <w:p w14:paraId="3EC7A460" w14:textId="26F94BB3" w:rsid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eastAsia="Times New Roman" w:hAnsi="Arial" w:cs="Arial"/>
        </w:rPr>
        <w:t xml:space="preserve">Reicher’s company was awarded the bid as the low bidder. </w:t>
      </w:r>
      <w:r w:rsidRPr="00771741">
        <w:rPr>
          <w:rFonts w:ascii="Arial" w:hAnsi="Arial" w:cs="Arial"/>
        </w:rPr>
        <w:t xml:space="preserve">Thus, notwithstanding Giolas' undisputed incapacity, through their agreement Reicher and Giolas were able to manipulate the bidding and lull the </w:t>
      </w:r>
      <w:r w:rsidR="00FD135D">
        <w:rPr>
          <w:rFonts w:ascii="Arial" w:hAnsi="Arial" w:cs="Arial"/>
        </w:rPr>
        <w:t xml:space="preserve">laboratory </w:t>
      </w:r>
      <w:r w:rsidRPr="00771741">
        <w:rPr>
          <w:rFonts w:ascii="Arial" w:hAnsi="Arial" w:cs="Arial"/>
        </w:rPr>
        <w:t xml:space="preserve">into the belief </w:t>
      </w:r>
      <w:r w:rsidR="00341EF7">
        <w:rPr>
          <w:rFonts w:ascii="Arial" w:hAnsi="Arial" w:cs="Arial"/>
        </w:rPr>
        <w:t xml:space="preserve">that </w:t>
      </w:r>
      <w:r w:rsidRPr="00771741">
        <w:rPr>
          <w:rFonts w:ascii="Arial" w:hAnsi="Arial" w:cs="Arial"/>
        </w:rPr>
        <w:t>it had the benefits of true competition. Having bid on the job, and having created the appearance of legitimate competition in a bidding process, the court held that they</w:t>
      </w:r>
      <w:r w:rsidR="00FD135D">
        <w:rPr>
          <w:rFonts w:ascii="Arial" w:hAnsi="Arial" w:cs="Arial"/>
        </w:rPr>
        <w:t xml:space="preserve"> could not escape</w:t>
      </w:r>
      <w:r w:rsidRPr="00771741">
        <w:rPr>
          <w:rFonts w:ascii="Arial" w:hAnsi="Arial" w:cs="Arial"/>
        </w:rPr>
        <w:t xml:space="preserve"> the inevitable conclusion of dirty dealing by denying that they were competitors.</w:t>
      </w:r>
      <w:r>
        <w:rPr>
          <w:rStyle w:val="FootnoteReference"/>
          <w:rFonts w:ascii="Arial" w:hAnsi="Arial" w:cs="Arial"/>
        </w:rPr>
        <w:footnoteReference w:id="21"/>
      </w:r>
    </w:p>
    <w:p w14:paraId="013B18FD" w14:textId="77777777" w:rsidR="00771741" w:rsidRPr="00771741" w:rsidRDefault="00771741" w:rsidP="00771741">
      <w:pPr>
        <w:pStyle w:val="ListParagraph"/>
        <w:rPr>
          <w:rFonts w:ascii="Arial" w:hAnsi="Arial" w:cs="Arial"/>
        </w:rPr>
      </w:pPr>
    </w:p>
    <w:p w14:paraId="7CFCBABE" w14:textId="46B4BD73" w:rsid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hAnsi="Arial" w:cs="Arial"/>
        </w:rPr>
        <w:t>The Tribunal approache</w:t>
      </w:r>
      <w:r w:rsidR="00771741">
        <w:rPr>
          <w:rFonts w:ascii="Arial" w:hAnsi="Arial" w:cs="Arial"/>
        </w:rPr>
        <w:t xml:space="preserve">d </w:t>
      </w:r>
      <w:r w:rsidR="00771741" w:rsidRPr="006D62C8">
        <w:rPr>
          <w:rFonts w:ascii="Arial" w:hAnsi="Arial" w:cs="Arial"/>
          <w:i/>
        </w:rPr>
        <w:t>Reicher</w:t>
      </w:r>
      <w:r w:rsidR="00771741">
        <w:rPr>
          <w:rFonts w:ascii="Arial" w:hAnsi="Arial" w:cs="Arial"/>
        </w:rPr>
        <w:t xml:space="preserve"> on the basis that it</w:t>
      </w:r>
      <w:r w:rsidR="00FD135D">
        <w:rPr>
          <w:rFonts w:ascii="Arial" w:hAnsi="Arial" w:cs="Arial"/>
        </w:rPr>
        <w:t>,</w:t>
      </w:r>
      <w:r w:rsidR="00771741">
        <w:rPr>
          <w:rFonts w:ascii="Arial" w:hAnsi="Arial" w:cs="Arial"/>
        </w:rPr>
        <w:t xml:space="preserve"> </w:t>
      </w:r>
      <w:r w:rsidRPr="00771741">
        <w:rPr>
          <w:rFonts w:ascii="Arial" w:hAnsi="Arial" w:cs="Arial"/>
        </w:rPr>
        <w:t xml:space="preserve">like </w:t>
      </w:r>
      <w:r w:rsidR="006D62C8">
        <w:rPr>
          <w:rFonts w:ascii="Arial" w:hAnsi="Arial" w:cs="Arial"/>
        </w:rPr>
        <w:t>the Tribunal</w:t>
      </w:r>
      <w:r w:rsidR="00827978">
        <w:rPr>
          <w:rFonts w:ascii="Arial" w:hAnsi="Arial" w:cs="Arial"/>
        </w:rPr>
        <w:t>’s</w:t>
      </w:r>
      <w:r w:rsidRPr="00771741">
        <w:rPr>
          <w:rFonts w:ascii="Arial" w:hAnsi="Arial" w:cs="Arial"/>
        </w:rPr>
        <w:t xml:space="preserve"> decisions in </w:t>
      </w:r>
      <w:r w:rsidRPr="00771741">
        <w:rPr>
          <w:rFonts w:ascii="Arial" w:hAnsi="Arial" w:cs="Arial"/>
          <w:i/>
        </w:rPr>
        <w:t>Eye Way</w:t>
      </w:r>
      <w:r w:rsidRPr="00771741">
        <w:rPr>
          <w:rFonts w:ascii="Arial" w:hAnsi="Arial" w:cs="Arial"/>
        </w:rPr>
        <w:t xml:space="preserve"> and </w:t>
      </w:r>
      <w:r w:rsidRPr="00771741">
        <w:rPr>
          <w:rFonts w:ascii="Arial" w:hAnsi="Arial" w:cs="Arial"/>
          <w:i/>
        </w:rPr>
        <w:t>Ara</w:t>
      </w:r>
      <w:r w:rsidR="00771741">
        <w:rPr>
          <w:rFonts w:ascii="Arial" w:hAnsi="Arial" w:cs="Arial"/>
          <w:i/>
        </w:rPr>
        <w:t>nda</w:t>
      </w:r>
      <w:r w:rsidR="00FD135D">
        <w:rPr>
          <w:rFonts w:ascii="Arial" w:hAnsi="Arial" w:cs="Arial"/>
          <w:i/>
        </w:rPr>
        <w:t>,</w:t>
      </w:r>
      <w:r w:rsidRPr="00771741">
        <w:rPr>
          <w:rFonts w:ascii="Arial" w:hAnsi="Arial" w:cs="Arial"/>
        </w:rPr>
        <w:t xml:space="preserve"> is authority f</w:t>
      </w:r>
      <w:r w:rsidR="00771741">
        <w:rPr>
          <w:rFonts w:ascii="Arial" w:hAnsi="Arial" w:cs="Arial"/>
        </w:rPr>
        <w:t xml:space="preserve">or the </w:t>
      </w:r>
      <w:r w:rsidR="00827978">
        <w:rPr>
          <w:rFonts w:ascii="Arial" w:hAnsi="Arial" w:cs="Arial"/>
        </w:rPr>
        <w:t xml:space="preserve">proposition </w:t>
      </w:r>
      <w:r w:rsidR="00771741">
        <w:rPr>
          <w:rFonts w:ascii="Arial" w:hAnsi="Arial" w:cs="Arial"/>
        </w:rPr>
        <w:t xml:space="preserve"> that </w:t>
      </w:r>
      <w:r w:rsidRPr="00771741">
        <w:rPr>
          <w:rFonts w:ascii="Arial" w:hAnsi="Arial" w:cs="Arial"/>
        </w:rPr>
        <w:t>horizontality can be achieved merely by bidding.  As set out above this is contrary to the plain meaning of section 4(1)(b) and accepted competition economic theory.</w:t>
      </w:r>
    </w:p>
    <w:p w14:paraId="678F736D" w14:textId="77777777" w:rsidR="00771741" w:rsidRPr="00771741" w:rsidRDefault="00771741" w:rsidP="00771741">
      <w:pPr>
        <w:pStyle w:val="ListParagraph"/>
        <w:rPr>
          <w:rFonts w:ascii="Arial" w:hAnsi="Arial" w:cs="Arial"/>
        </w:rPr>
      </w:pPr>
    </w:p>
    <w:p w14:paraId="4D308F7A" w14:textId="06115A58" w:rsidR="00771741" w:rsidRDefault="00D939F1" w:rsidP="0028234F">
      <w:pPr>
        <w:pStyle w:val="ListParagraph"/>
        <w:numPr>
          <w:ilvl w:val="0"/>
          <w:numId w:val="2"/>
        </w:numPr>
        <w:spacing w:line="360" w:lineRule="auto"/>
        <w:ind w:left="0" w:firstLine="0"/>
        <w:jc w:val="both"/>
        <w:rPr>
          <w:rFonts w:ascii="Arial" w:hAnsi="Arial" w:cs="Arial"/>
        </w:rPr>
      </w:pPr>
      <w:r w:rsidRPr="00FD0BC8">
        <w:rPr>
          <w:rFonts w:ascii="Arial" w:hAnsi="Arial" w:cs="Arial"/>
        </w:rPr>
        <w:t xml:space="preserve">In fact, </w:t>
      </w:r>
      <w:r w:rsidRPr="00FD0BC8">
        <w:rPr>
          <w:rFonts w:ascii="Arial" w:hAnsi="Arial" w:cs="Arial"/>
          <w:i/>
        </w:rPr>
        <w:t>Reicher</w:t>
      </w:r>
      <w:r w:rsidRPr="00FD0BC8">
        <w:rPr>
          <w:rFonts w:ascii="Arial" w:hAnsi="Arial" w:cs="Arial"/>
        </w:rPr>
        <w:t xml:space="preserve"> was decided on the bas</w:t>
      </w:r>
      <w:r w:rsidR="00771741" w:rsidRPr="00FD0BC8">
        <w:rPr>
          <w:rFonts w:ascii="Arial" w:hAnsi="Arial" w:cs="Arial"/>
        </w:rPr>
        <w:t>is that a</w:t>
      </w:r>
      <w:r w:rsidRPr="00FD0BC8">
        <w:rPr>
          <w:rFonts w:ascii="Arial" w:hAnsi="Arial" w:cs="Arial"/>
        </w:rPr>
        <w:t xml:space="preserve"> determination of a </w:t>
      </w:r>
      <w:r w:rsidRPr="00FD0BC8">
        <w:rPr>
          <w:rFonts w:ascii="Arial" w:hAnsi="Arial" w:cs="Arial"/>
          <w:i/>
        </w:rPr>
        <w:t>per se</w:t>
      </w:r>
      <w:r w:rsidRPr="00FD0BC8">
        <w:rPr>
          <w:rFonts w:ascii="Arial" w:hAnsi="Arial" w:cs="Arial"/>
        </w:rPr>
        <w:t xml:space="preserve"> antitrust violation depends on whether t</w:t>
      </w:r>
      <w:r w:rsidRPr="00FD0BC8">
        <w:rPr>
          <w:rFonts w:ascii="Arial" w:hAnsi="Arial" w:cs="Arial"/>
          <w:u w:val="single"/>
        </w:rPr>
        <w:t>here was an agreement to subvert the competition</w:t>
      </w:r>
      <w:r w:rsidRPr="00FD0BC8">
        <w:rPr>
          <w:rFonts w:ascii="Arial" w:hAnsi="Arial" w:cs="Arial"/>
        </w:rPr>
        <w:t xml:space="preserve">, as opposed to whether each party to the scam could perform. </w:t>
      </w:r>
      <w:r w:rsidR="00FD0BC8" w:rsidRPr="00FD0BC8">
        <w:rPr>
          <w:rFonts w:ascii="Arial" w:hAnsi="Arial" w:cs="Arial"/>
        </w:rPr>
        <w:t xml:space="preserve"> </w:t>
      </w:r>
    </w:p>
    <w:p w14:paraId="62C399A4" w14:textId="77777777" w:rsidR="00FD0BC8" w:rsidRPr="00FD0BC8" w:rsidRDefault="00FD0BC8" w:rsidP="00FD0BC8">
      <w:pPr>
        <w:pStyle w:val="ListParagraph"/>
        <w:spacing w:line="360" w:lineRule="auto"/>
        <w:ind w:left="0"/>
        <w:jc w:val="both"/>
        <w:rPr>
          <w:rFonts w:ascii="Arial" w:hAnsi="Arial" w:cs="Arial"/>
        </w:rPr>
      </w:pPr>
    </w:p>
    <w:p w14:paraId="458664F1" w14:textId="2F8805E0" w:rsidR="00771741" w:rsidRPr="00341EF7" w:rsidRDefault="00D939F1" w:rsidP="00341EF7">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The argument of the Trust and Tourvest that the Trust could not carry out the tender without Tourvest because it was </w:t>
      </w:r>
      <w:r w:rsidR="00F04E1D">
        <w:rPr>
          <w:rFonts w:ascii="Arial" w:hAnsi="Arial" w:cs="Arial"/>
        </w:rPr>
        <w:t xml:space="preserve">in a vertical relationship without the agreement </w:t>
      </w:r>
      <w:r w:rsidR="00F04E1D">
        <w:rPr>
          <w:rFonts w:ascii="Arial" w:hAnsi="Arial" w:cs="Arial"/>
        </w:rPr>
        <w:lastRenderedPageBreak/>
        <w:t>,</w:t>
      </w:r>
      <w:r w:rsidRPr="00771741">
        <w:rPr>
          <w:rFonts w:ascii="Arial" w:hAnsi="Arial" w:cs="Arial"/>
        </w:rPr>
        <w:t>was met with reliance</w:t>
      </w:r>
      <w:r w:rsidR="00FD135D">
        <w:rPr>
          <w:rFonts w:ascii="Arial" w:hAnsi="Arial" w:cs="Arial"/>
        </w:rPr>
        <w:t xml:space="preserve"> b</w:t>
      </w:r>
      <w:r w:rsidR="009B1122">
        <w:rPr>
          <w:rFonts w:ascii="Arial" w:hAnsi="Arial" w:cs="Arial"/>
        </w:rPr>
        <w:t>y</w:t>
      </w:r>
      <w:r w:rsidR="004317F0">
        <w:rPr>
          <w:rFonts w:ascii="Arial" w:hAnsi="Arial" w:cs="Arial"/>
        </w:rPr>
        <w:t xml:space="preserve"> the</w:t>
      </w:r>
      <w:r w:rsidR="00F04E1D">
        <w:rPr>
          <w:rFonts w:ascii="Arial" w:hAnsi="Arial" w:cs="Arial"/>
        </w:rPr>
        <w:t xml:space="preserve"> Commission</w:t>
      </w:r>
      <w:r w:rsidR="004317F0">
        <w:rPr>
          <w:rFonts w:ascii="Arial" w:hAnsi="Arial" w:cs="Arial"/>
        </w:rPr>
        <w:t xml:space="preserve"> </w:t>
      </w:r>
      <w:r w:rsidRPr="00771741">
        <w:rPr>
          <w:rFonts w:ascii="Arial" w:hAnsi="Arial" w:cs="Arial"/>
        </w:rPr>
        <w:t xml:space="preserve">on the proposition in </w:t>
      </w:r>
      <w:r w:rsidRPr="00771741">
        <w:rPr>
          <w:rFonts w:ascii="Arial" w:hAnsi="Arial" w:cs="Arial"/>
          <w:i/>
        </w:rPr>
        <w:t>Reicher</w:t>
      </w:r>
      <w:r w:rsidRPr="00771741">
        <w:rPr>
          <w:rFonts w:ascii="Arial" w:hAnsi="Arial" w:cs="Arial"/>
        </w:rPr>
        <w:t xml:space="preserve"> to the effect that ability to perform was not a relevant c</w:t>
      </w:r>
      <w:r w:rsidR="009B1122">
        <w:rPr>
          <w:rFonts w:ascii="Arial" w:hAnsi="Arial" w:cs="Arial"/>
        </w:rPr>
        <w:t>onsideration</w:t>
      </w:r>
      <w:r w:rsidRPr="00771741">
        <w:rPr>
          <w:rFonts w:ascii="Arial" w:hAnsi="Arial" w:cs="Arial"/>
        </w:rPr>
        <w:t xml:space="preserve"> in the evaluation. But this is to misunderstand that</w:t>
      </w:r>
      <w:r w:rsidR="0014100A">
        <w:rPr>
          <w:rFonts w:ascii="Arial" w:hAnsi="Arial" w:cs="Arial"/>
        </w:rPr>
        <w:t>,</w:t>
      </w:r>
      <w:r w:rsidRPr="00771741">
        <w:rPr>
          <w:rFonts w:ascii="Arial" w:hAnsi="Arial" w:cs="Arial"/>
        </w:rPr>
        <w:t xml:space="preserve"> in Reicher</w:t>
      </w:r>
      <w:r w:rsidR="0014100A">
        <w:rPr>
          <w:rFonts w:ascii="Arial" w:hAnsi="Arial" w:cs="Arial"/>
        </w:rPr>
        <w:t>,</w:t>
      </w:r>
      <w:r w:rsidRPr="00771741">
        <w:rPr>
          <w:rFonts w:ascii="Arial" w:hAnsi="Arial" w:cs="Arial"/>
        </w:rPr>
        <w:t xml:space="preserve"> the parties were actual or potential competitors absent the bid rigging arrangement. They both appeared on the list of potential bidders and were both invited to bid. </w:t>
      </w:r>
      <w:r w:rsidRPr="00341EF7">
        <w:rPr>
          <w:rFonts w:ascii="Arial" w:hAnsi="Arial" w:cs="Arial"/>
        </w:rPr>
        <w:t>On the application of the economic principles, the only purpose of the arrangement was thus to subvert competition.</w:t>
      </w:r>
    </w:p>
    <w:p w14:paraId="53DADA5A" w14:textId="77777777" w:rsidR="00771741" w:rsidRPr="00771741" w:rsidRDefault="00771741" w:rsidP="00771741">
      <w:pPr>
        <w:pStyle w:val="ListParagraph"/>
        <w:rPr>
          <w:rFonts w:ascii="Arial" w:hAnsi="Arial" w:cs="Arial"/>
        </w:rPr>
      </w:pPr>
    </w:p>
    <w:p w14:paraId="61A0B82C" w14:textId="33ACC5C7" w:rsidR="00771741" w:rsidRPr="00437769" w:rsidRDefault="00D939F1" w:rsidP="00437769">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 In  </w:t>
      </w:r>
      <w:r w:rsidRPr="00771741">
        <w:rPr>
          <w:rFonts w:ascii="Arial" w:hAnsi="Arial" w:cs="Arial"/>
          <w:i/>
          <w:iCs/>
        </w:rPr>
        <w:t>United States v</w:t>
      </w:r>
      <w:r w:rsidR="00B95A64">
        <w:rPr>
          <w:rFonts w:ascii="Arial" w:hAnsi="Arial" w:cs="Arial"/>
          <w:i/>
          <w:iCs/>
        </w:rPr>
        <w:t xml:space="preserve"> </w:t>
      </w:r>
      <w:r w:rsidRPr="00771741">
        <w:rPr>
          <w:rFonts w:ascii="Arial" w:hAnsi="Arial" w:cs="Arial"/>
          <w:i/>
          <w:iCs/>
        </w:rPr>
        <w:t xml:space="preserve"> Sargent Elec. Co</w:t>
      </w:r>
      <w:r>
        <w:rPr>
          <w:rStyle w:val="FootnoteReference"/>
          <w:rFonts w:ascii="Arial" w:hAnsi="Arial" w:cs="Arial"/>
          <w:i/>
          <w:iCs/>
        </w:rPr>
        <w:footnoteReference w:id="22"/>
      </w:r>
      <w:r w:rsidRPr="00771741">
        <w:rPr>
          <w:rFonts w:ascii="Arial" w:hAnsi="Arial" w:cs="Arial"/>
        </w:rPr>
        <w:t xml:space="preserve"> which was relied on in </w:t>
      </w:r>
      <w:r w:rsidRPr="0014100A">
        <w:rPr>
          <w:rFonts w:ascii="Arial" w:hAnsi="Arial" w:cs="Arial"/>
          <w:i/>
        </w:rPr>
        <w:t xml:space="preserve">Reicher </w:t>
      </w:r>
      <w:r w:rsidRPr="00771741">
        <w:rPr>
          <w:rFonts w:ascii="Arial" w:hAnsi="Arial" w:cs="Arial"/>
        </w:rPr>
        <w:t xml:space="preserve"> the Court defined ‘competitors’ for bid rigging purposes according to who was eligible to  bid.</w:t>
      </w:r>
      <w:r>
        <w:rPr>
          <w:rStyle w:val="FootnoteReference"/>
          <w:rFonts w:ascii="Arial" w:hAnsi="Arial" w:cs="Arial"/>
        </w:rPr>
        <w:footnoteReference w:id="23"/>
      </w:r>
      <w:r w:rsidR="00437769">
        <w:rPr>
          <w:rFonts w:ascii="Arial" w:hAnsi="Arial" w:cs="Arial"/>
        </w:rPr>
        <w:t xml:space="preserve"> </w:t>
      </w:r>
      <w:r w:rsidRPr="00437769">
        <w:rPr>
          <w:rFonts w:ascii="Arial" w:hAnsi="Arial" w:cs="Arial"/>
        </w:rPr>
        <w:t>The Court held:</w:t>
      </w:r>
    </w:p>
    <w:p w14:paraId="1C5157EA" w14:textId="77777777" w:rsidR="00771741" w:rsidRPr="00771741" w:rsidRDefault="00771741" w:rsidP="00771741">
      <w:pPr>
        <w:pStyle w:val="ListParagraph"/>
        <w:rPr>
          <w:rFonts w:ascii="Arial" w:hAnsi="Arial" w:cs="Arial"/>
        </w:rPr>
      </w:pPr>
    </w:p>
    <w:p w14:paraId="6B4C7F32" w14:textId="2443565A" w:rsidR="003C4EE6" w:rsidRPr="00771741" w:rsidRDefault="00771741" w:rsidP="00771741">
      <w:pPr>
        <w:shd w:val="clear" w:color="auto" w:fill="FFFFFF"/>
        <w:spacing w:before="144" w:after="475" w:line="360" w:lineRule="auto"/>
        <w:rPr>
          <w:rFonts w:ascii="Arial" w:hAnsi="Arial" w:cs="Arial"/>
        </w:rPr>
      </w:pPr>
      <w:r>
        <w:rPr>
          <w:rFonts w:ascii="Arial" w:hAnsi="Arial" w:cs="Arial"/>
        </w:rPr>
        <w:t>‘There is no potential competition between a party not on an approved list of vendors and a party</w:t>
      </w:r>
      <w:r w:rsidRPr="00C62F32">
        <w:rPr>
          <w:rFonts w:ascii="Arial" w:hAnsi="Arial" w:cs="Arial"/>
        </w:rPr>
        <w:t xml:space="preserve"> </w:t>
      </w:r>
      <w:r>
        <w:rPr>
          <w:rFonts w:ascii="Arial" w:hAnsi="Arial" w:cs="Arial"/>
        </w:rPr>
        <w:t>on such a list.’</w:t>
      </w:r>
      <w:r>
        <w:rPr>
          <w:rStyle w:val="FootnoteReference"/>
          <w:rFonts w:ascii="Arial" w:hAnsi="Arial" w:cs="Arial"/>
        </w:rPr>
        <w:footnoteReference w:id="24"/>
      </w:r>
      <w:r>
        <w:rPr>
          <w:rFonts w:ascii="Arial" w:hAnsi="Arial" w:cs="Arial"/>
        </w:rPr>
        <w:t xml:space="preserve">  </w:t>
      </w:r>
    </w:p>
    <w:p w14:paraId="04051E38" w14:textId="77777777" w:rsidR="00771741" w:rsidRPr="00771741" w:rsidRDefault="00771741" w:rsidP="00771741">
      <w:pPr>
        <w:pStyle w:val="ListParagraph"/>
        <w:rPr>
          <w:rFonts w:ascii="Arial" w:hAnsi="Arial" w:cs="Arial"/>
        </w:rPr>
      </w:pPr>
    </w:p>
    <w:p w14:paraId="323E26B3" w14:textId="2AAE2B00" w:rsidR="003C4EE6" w:rsidRDefault="00D939F1" w:rsidP="00D939F1">
      <w:pPr>
        <w:pStyle w:val="ListParagraph"/>
        <w:numPr>
          <w:ilvl w:val="0"/>
          <w:numId w:val="2"/>
        </w:numPr>
        <w:spacing w:line="360" w:lineRule="auto"/>
        <w:ind w:left="0" w:firstLine="0"/>
        <w:jc w:val="both"/>
        <w:rPr>
          <w:rFonts w:ascii="Arial" w:hAnsi="Arial" w:cs="Arial"/>
        </w:rPr>
      </w:pPr>
      <w:r w:rsidRPr="00771741">
        <w:rPr>
          <w:rFonts w:ascii="Arial" w:hAnsi="Arial" w:cs="Arial"/>
        </w:rPr>
        <w:t>Put simply</w:t>
      </w:r>
      <w:r w:rsidR="00437769">
        <w:rPr>
          <w:rFonts w:ascii="Arial" w:hAnsi="Arial" w:cs="Arial"/>
        </w:rPr>
        <w:t>,</w:t>
      </w:r>
      <w:r w:rsidRPr="00771741">
        <w:rPr>
          <w:rFonts w:ascii="Arial" w:hAnsi="Arial" w:cs="Arial"/>
        </w:rPr>
        <w:t xml:space="preserve"> if the parties are found to be ‘ineligible’ as competitors</w:t>
      </w:r>
      <w:r w:rsidR="00FD0BC8">
        <w:rPr>
          <w:rFonts w:ascii="Arial" w:hAnsi="Arial" w:cs="Arial"/>
        </w:rPr>
        <w:t xml:space="preserve"> in a tender</w:t>
      </w:r>
      <w:r w:rsidRPr="00771741">
        <w:rPr>
          <w:rFonts w:ascii="Arial" w:hAnsi="Arial" w:cs="Arial"/>
        </w:rPr>
        <w:t xml:space="preserve"> for reasons which attach to the</w:t>
      </w:r>
      <w:r w:rsidR="00771741">
        <w:rPr>
          <w:rFonts w:ascii="Arial" w:hAnsi="Arial" w:cs="Arial"/>
        </w:rPr>
        <w:t xml:space="preserve"> environment </w:t>
      </w:r>
      <w:r w:rsidR="00437769">
        <w:rPr>
          <w:rFonts w:ascii="Arial" w:hAnsi="Arial" w:cs="Arial"/>
        </w:rPr>
        <w:t>in which they</w:t>
      </w:r>
      <w:r w:rsidR="00771741">
        <w:rPr>
          <w:rFonts w:ascii="Arial" w:hAnsi="Arial" w:cs="Arial"/>
        </w:rPr>
        <w:t xml:space="preserve"> trade</w:t>
      </w:r>
      <w:r w:rsidR="00437769">
        <w:rPr>
          <w:rFonts w:ascii="Arial" w:hAnsi="Arial" w:cs="Arial"/>
        </w:rPr>
        <w:t>,</w:t>
      </w:r>
      <w:r w:rsidRPr="00771741">
        <w:rPr>
          <w:rFonts w:ascii="Arial" w:hAnsi="Arial" w:cs="Arial"/>
        </w:rPr>
        <w:t xml:space="preserve"> they are not potential competitors.</w:t>
      </w:r>
    </w:p>
    <w:p w14:paraId="59C1FF02" w14:textId="46547CA2" w:rsidR="00437769" w:rsidRDefault="00D939F1" w:rsidP="003C4EE6">
      <w:pPr>
        <w:pStyle w:val="ListParagraph"/>
        <w:spacing w:line="360" w:lineRule="auto"/>
        <w:ind w:left="0"/>
        <w:jc w:val="both"/>
        <w:rPr>
          <w:rFonts w:ascii="Arial" w:hAnsi="Arial" w:cs="Arial"/>
        </w:rPr>
      </w:pPr>
      <w:r w:rsidRPr="00771741">
        <w:rPr>
          <w:rFonts w:ascii="Arial" w:hAnsi="Arial" w:cs="Arial"/>
        </w:rPr>
        <w:t xml:space="preserve"> </w:t>
      </w:r>
    </w:p>
    <w:p w14:paraId="3259819B" w14:textId="61FB0A2A" w:rsidR="00771741" w:rsidRDefault="00D939F1" w:rsidP="00EF36FF">
      <w:pPr>
        <w:pStyle w:val="ListParagraph"/>
        <w:numPr>
          <w:ilvl w:val="0"/>
          <w:numId w:val="2"/>
        </w:numPr>
        <w:spacing w:line="360" w:lineRule="auto"/>
        <w:ind w:left="0" w:firstLine="0"/>
        <w:jc w:val="both"/>
        <w:rPr>
          <w:rFonts w:ascii="Arial" w:hAnsi="Arial" w:cs="Arial"/>
        </w:rPr>
      </w:pPr>
      <w:r w:rsidRPr="00FD0BC8">
        <w:rPr>
          <w:rFonts w:ascii="Arial" w:hAnsi="Arial" w:cs="Arial"/>
        </w:rPr>
        <w:t>Th</w:t>
      </w:r>
      <w:r w:rsidR="00B95A64" w:rsidRPr="00FD0BC8">
        <w:rPr>
          <w:rFonts w:ascii="Arial" w:hAnsi="Arial" w:cs="Arial"/>
        </w:rPr>
        <w:t>is</w:t>
      </w:r>
      <w:r w:rsidRPr="00FD0BC8">
        <w:rPr>
          <w:rFonts w:ascii="Arial" w:hAnsi="Arial" w:cs="Arial"/>
        </w:rPr>
        <w:t xml:space="preserve"> ineligibility factor is not merely about exclusion from a tender but the character of the relationship. In this case</w:t>
      </w:r>
      <w:r w:rsidR="00437769" w:rsidRPr="00FD0BC8">
        <w:rPr>
          <w:rFonts w:ascii="Arial" w:hAnsi="Arial" w:cs="Arial"/>
        </w:rPr>
        <w:t>,</w:t>
      </w:r>
      <w:r w:rsidRPr="00FD0BC8">
        <w:rPr>
          <w:rFonts w:ascii="Arial" w:hAnsi="Arial" w:cs="Arial"/>
        </w:rPr>
        <w:t xml:space="preserve"> the Trust was not eligible to participate in the tender because it did not meet the criteria</w:t>
      </w:r>
      <w:r w:rsidR="00B95A64" w:rsidRPr="00FD0BC8">
        <w:rPr>
          <w:rFonts w:ascii="Arial" w:hAnsi="Arial" w:cs="Arial"/>
        </w:rPr>
        <w:t xml:space="preserve"> - </w:t>
      </w:r>
      <w:r w:rsidRPr="00FD0BC8">
        <w:rPr>
          <w:rFonts w:ascii="Arial" w:hAnsi="Arial" w:cs="Arial"/>
        </w:rPr>
        <w:t xml:space="preserve"> and thus </w:t>
      </w:r>
      <w:r w:rsidR="00FD0BC8" w:rsidRPr="00FD0BC8">
        <w:rPr>
          <w:rFonts w:ascii="Arial" w:hAnsi="Arial" w:cs="Arial"/>
        </w:rPr>
        <w:t xml:space="preserve">it </w:t>
      </w:r>
      <w:r w:rsidRPr="00FD0BC8">
        <w:rPr>
          <w:rFonts w:ascii="Arial" w:hAnsi="Arial" w:cs="Arial"/>
        </w:rPr>
        <w:t>was excluded</w:t>
      </w:r>
      <w:r w:rsidR="00B95A64" w:rsidRPr="00FD0BC8">
        <w:rPr>
          <w:rFonts w:ascii="Arial" w:hAnsi="Arial" w:cs="Arial"/>
        </w:rPr>
        <w:t xml:space="preserve"> </w:t>
      </w:r>
      <w:r w:rsidRPr="00FD0BC8">
        <w:rPr>
          <w:rFonts w:ascii="Arial" w:hAnsi="Arial" w:cs="Arial"/>
        </w:rPr>
        <w:t xml:space="preserve">- but it also, was not a business which had the means, experience, acumen, structure and character which would allow it to </w:t>
      </w:r>
      <w:r w:rsidR="00FD0BC8">
        <w:rPr>
          <w:rFonts w:ascii="Arial" w:hAnsi="Arial" w:cs="Arial"/>
        </w:rPr>
        <w:t>be a competitor in the first place</w:t>
      </w:r>
      <w:r w:rsidRPr="00FD0BC8">
        <w:rPr>
          <w:rFonts w:ascii="Arial" w:hAnsi="Arial" w:cs="Arial"/>
        </w:rPr>
        <w:t xml:space="preserve">. </w:t>
      </w:r>
    </w:p>
    <w:p w14:paraId="4D4DA28A" w14:textId="77777777" w:rsidR="00FD0BC8" w:rsidRPr="00FD0BC8" w:rsidRDefault="00FD0BC8" w:rsidP="00FD0BC8">
      <w:pPr>
        <w:pStyle w:val="ListParagraph"/>
        <w:spacing w:line="360" w:lineRule="auto"/>
        <w:ind w:left="0"/>
        <w:jc w:val="both"/>
        <w:rPr>
          <w:rFonts w:ascii="Arial" w:hAnsi="Arial" w:cs="Arial"/>
        </w:rPr>
      </w:pPr>
    </w:p>
    <w:p w14:paraId="26D55FE0" w14:textId="7D926CD2" w:rsidR="00771741" w:rsidRDefault="00F077E6" w:rsidP="00D939F1">
      <w:pPr>
        <w:pStyle w:val="ListParagraph"/>
        <w:numPr>
          <w:ilvl w:val="0"/>
          <w:numId w:val="2"/>
        </w:numPr>
        <w:spacing w:line="360" w:lineRule="auto"/>
        <w:ind w:left="0" w:firstLine="0"/>
        <w:jc w:val="both"/>
        <w:rPr>
          <w:rFonts w:ascii="Arial" w:hAnsi="Arial" w:cs="Arial"/>
        </w:rPr>
      </w:pPr>
      <w:r>
        <w:rPr>
          <w:rFonts w:ascii="Arial" w:hAnsi="Arial" w:cs="Arial"/>
        </w:rPr>
        <w:t>In contrast, the</w:t>
      </w:r>
      <w:r w:rsidR="00D939F1" w:rsidRPr="00771741">
        <w:rPr>
          <w:rFonts w:ascii="Arial" w:hAnsi="Arial" w:cs="Arial"/>
        </w:rPr>
        <w:t xml:space="preserve"> parties in </w:t>
      </w:r>
      <w:r w:rsidR="00D939F1" w:rsidRPr="00B04A08">
        <w:rPr>
          <w:rFonts w:ascii="Arial" w:hAnsi="Arial" w:cs="Arial"/>
          <w:i/>
        </w:rPr>
        <w:t>Reicher</w:t>
      </w:r>
      <w:r w:rsidR="00D939F1" w:rsidRPr="00771741">
        <w:rPr>
          <w:rFonts w:ascii="Arial" w:hAnsi="Arial" w:cs="Arial"/>
        </w:rPr>
        <w:t xml:space="preserve"> were potential competitors for the horizontality analysis absent the agreement. They were both on the list of prospective bidders and thus fell into the realm of eligibility. </w:t>
      </w:r>
      <w:r>
        <w:rPr>
          <w:rFonts w:ascii="Arial" w:hAnsi="Arial" w:cs="Arial"/>
        </w:rPr>
        <w:t xml:space="preserve"> Reicher is not authority for the proposition that the act of bidding determines </w:t>
      </w:r>
      <w:r w:rsidR="00B92B86">
        <w:rPr>
          <w:rFonts w:ascii="Arial" w:hAnsi="Arial" w:cs="Arial"/>
        </w:rPr>
        <w:t>horizontality. Were this the case, the characterisation exercise would be redundant. Parties in cases such as this</w:t>
      </w:r>
      <w:r w:rsidR="00341EF7">
        <w:rPr>
          <w:rFonts w:ascii="Arial" w:hAnsi="Arial" w:cs="Arial"/>
        </w:rPr>
        <w:t xml:space="preserve"> one</w:t>
      </w:r>
      <w:r w:rsidR="00B92B86">
        <w:rPr>
          <w:rFonts w:ascii="Arial" w:hAnsi="Arial" w:cs="Arial"/>
        </w:rPr>
        <w:t xml:space="preserve"> would axiomatically become competitors.</w:t>
      </w:r>
    </w:p>
    <w:p w14:paraId="7EBD629B" w14:textId="77777777" w:rsidR="00054193" w:rsidRPr="00054193" w:rsidRDefault="00054193" w:rsidP="00054193">
      <w:pPr>
        <w:pStyle w:val="ListParagraph"/>
        <w:rPr>
          <w:rFonts w:ascii="Arial" w:hAnsi="Arial" w:cs="Arial"/>
        </w:rPr>
      </w:pPr>
    </w:p>
    <w:p w14:paraId="33A60FEE" w14:textId="163C0F93" w:rsidR="00054193" w:rsidRDefault="00054193" w:rsidP="00D939F1">
      <w:pPr>
        <w:pStyle w:val="ListParagraph"/>
        <w:numPr>
          <w:ilvl w:val="0"/>
          <w:numId w:val="2"/>
        </w:numPr>
        <w:spacing w:line="360" w:lineRule="auto"/>
        <w:ind w:left="0" w:firstLine="0"/>
        <w:jc w:val="both"/>
        <w:rPr>
          <w:rFonts w:ascii="Arial" w:hAnsi="Arial" w:cs="Arial"/>
        </w:rPr>
      </w:pPr>
      <w:r>
        <w:rPr>
          <w:rFonts w:ascii="Arial" w:hAnsi="Arial" w:cs="Arial"/>
        </w:rPr>
        <w:lastRenderedPageBreak/>
        <w:t>Th</w:t>
      </w:r>
      <w:r w:rsidR="007F2ADF">
        <w:rPr>
          <w:rFonts w:ascii="Arial" w:hAnsi="Arial" w:cs="Arial"/>
        </w:rPr>
        <w:t>e lead opinion in</w:t>
      </w:r>
      <w:r w:rsidRPr="007F2ADF">
        <w:rPr>
          <w:rFonts w:ascii="Arial" w:hAnsi="Arial" w:cs="Arial"/>
          <w:i/>
        </w:rPr>
        <w:t xml:space="preserve"> Sargent</w:t>
      </w:r>
      <w:r>
        <w:rPr>
          <w:rFonts w:ascii="Arial" w:hAnsi="Arial" w:cs="Arial"/>
        </w:rPr>
        <w:t xml:space="preserve"> confirmed that the initial inquiry is whether each </w:t>
      </w:r>
      <w:r w:rsidR="007F2ADF">
        <w:rPr>
          <w:rFonts w:ascii="Arial" w:hAnsi="Arial" w:cs="Arial"/>
        </w:rPr>
        <w:t xml:space="preserve">party </w:t>
      </w:r>
      <w:r>
        <w:rPr>
          <w:rFonts w:ascii="Arial" w:hAnsi="Arial" w:cs="Arial"/>
        </w:rPr>
        <w:t>to a conspiracy was “an actual or potential competitor in that market” and that “</w:t>
      </w:r>
      <w:r w:rsidR="007F2ADF">
        <w:rPr>
          <w:rFonts w:ascii="Arial" w:hAnsi="Arial" w:cs="Arial"/>
        </w:rPr>
        <w:t xml:space="preserve">[a]n agreement among persons who are not actual or potential competitors in a relevant market is for Sherman Act </w:t>
      </w:r>
      <w:r w:rsidR="0014100A">
        <w:rPr>
          <w:rFonts w:ascii="Arial" w:hAnsi="Arial" w:cs="Arial"/>
        </w:rPr>
        <w:t>p</w:t>
      </w:r>
      <w:r w:rsidR="007F2ADF">
        <w:rPr>
          <w:rFonts w:ascii="Arial" w:hAnsi="Arial" w:cs="Arial"/>
        </w:rPr>
        <w:t xml:space="preserve">urposes </w:t>
      </w:r>
      <w:r w:rsidR="007F2ADF" w:rsidRPr="007F2ADF">
        <w:rPr>
          <w:rFonts w:ascii="Arial" w:hAnsi="Arial" w:cs="Arial"/>
          <w:i/>
        </w:rPr>
        <w:t>brutum fulmen</w:t>
      </w:r>
      <w:r w:rsidR="007F2ADF">
        <w:rPr>
          <w:rFonts w:ascii="Arial" w:hAnsi="Arial" w:cs="Arial"/>
        </w:rPr>
        <w:t xml:space="preserve"> [an empty threat].</w:t>
      </w:r>
      <w:r w:rsidR="007F2ADF">
        <w:rPr>
          <w:rStyle w:val="FootnoteReference"/>
          <w:rFonts w:ascii="Arial" w:hAnsi="Arial" w:cs="Arial"/>
        </w:rPr>
        <w:footnoteReference w:id="25"/>
      </w:r>
    </w:p>
    <w:p w14:paraId="61EDB55D" w14:textId="77777777" w:rsidR="007F2ADF" w:rsidRPr="007F2ADF" w:rsidRDefault="007F2ADF" w:rsidP="007F2ADF">
      <w:pPr>
        <w:pStyle w:val="ListParagraph"/>
        <w:rPr>
          <w:rFonts w:ascii="Arial" w:hAnsi="Arial" w:cs="Arial"/>
        </w:rPr>
      </w:pPr>
    </w:p>
    <w:p w14:paraId="307353B4" w14:textId="2B62B389" w:rsidR="00BB1C4F" w:rsidRPr="00341EF7" w:rsidRDefault="007F2ADF" w:rsidP="0070760F">
      <w:pPr>
        <w:pStyle w:val="ListParagraph"/>
        <w:numPr>
          <w:ilvl w:val="0"/>
          <w:numId w:val="2"/>
        </w:numPr>
        <w:spacing w:line="360" w:lineRule="auto"/>
        <w:ind w:left="0" w:firstLine="0"/>
        <w:jc w:val="both"/>
        <w:rPr>
          <w:rFonts w:ascii="Arial" w:hAnsi="Arial" w:cs="Arial"/>
          <w:i/>
        </w:rPr>
      </w:pPr>
      <w:r w:rsidRPr="00BB1C4F">
        <w:rPr>
          <w:rFonts w:ascii="Arial" w:hAnsi="Arial" w:cs="Arial"/>
        </w:rPr>
        <w:t xml:space="preserve">Applying </w:t>
      </w:r>
      <w:r w:rsidR="00BB1C4F" w:rsidRPr="00BB1C4F">
        <w:rPr>
          <w:rFonts w:ascii="Arial" w:hAnsi="Arial" w:cs="Arial"/>
        </w:rPr>
        <w:t>economic theory</w:t>
      </w:r>
      <w:r w:rsidRPr="00BB1C4F">
        <w:rPr>
          <w:rFonts w:ascii="Arial" w:hAnsi="Arial" w:cs="Arial"/>
        </w:rPr>
        <w:t xml:space="preserve"> in the pre-tender environment (which is the correct environment to assess the existence or otherwise </w:t>
      </w:r>
      <w:r w:rsidR="00341EF7">
        <w:rPr>
          <w:rFonts w:ascii="Arial" w:hAnsi="Arial" w:cs="Arial"/>
        </w:rPr>
        <w:t xml:space="preserve">of </w:t>
      </w:r>
      <w:r w:rsidRPr="00BB1C4F">
        <w:rPr>
          <w:rFonts w:ascii="Arial" w:hAnsi="Arial" w:cs="Arial"/>
        </w:rPr>
        <w:t>actual or potential competition) the Trust could never have been assessed to be a competitor. And</w:t>
      </w:r>
      <w:r w:rsidR="00BB1C4F" w:rsidRPr="00BB1C4F">
        <w:rPr>
          <w:rFonts w:ascii="Arial" w:hAnsi="Arial" w:cs="Arial"/>
        </w:rPr>
        <w:t>,</w:t>
      </w:r>
      <w:r w:rsidRPr="00BB1C4F">
        <w:rPr>
          <w:rFonts w:ascii="Arial" w:hAnsi="Arial" w:cs="Arial"/>
        </w:rPr>
        <w:t xml:space="preserve"> </w:t>
      </w:r>
      <w:r w:rsidR="00341EF7" w:rsidRPr="00BB1C4F">
        <w:rPr>
          <w:rFonts w:ascii="Arial" w:hAnsi="Arial" w:cs="Arial"/>
        </w:rPr>
        <w:t>hypothetically,</w:t>
      </w:r>
      <w:r w:rsidR="00341EF7">
        <w:rPr>
          <w:rFonts w:ascii="Arial" w:hAnsi="Arial" w:cs="Arial"/>
        </w:rPr>
        <w:t xml:space="preserve"> even </w:t>
      </w:r>
      <w:r w:rsidRPr="00BB1C4F">
        <w:rPr>
          <w:rFonts w:ascii="Arial" w:hAnsi="Arial" w:cs="Arial"/>
        </w:rPr>
        <w:t xml:space="preserve"> if it </w:t>
      </w:r>
      <w:r w:rsidR="00341EF7">
        <w:rPr>
          <w:rFonts w:ascii="Arial" w:hAnsi="Arial" w:cs="Arial"/>
        </w:rPr>
        <w:t>were</w:t>
      </w:r>
      <w:r w:rsidRPr="00BB1C4F">
        <w:rPr>
          <w:rFonts w:ascii="Arial" w:hAnsi="Arial" w:cs="Arial"/>
        </w:rPr>
        <w:t xml:space="preserve"> </w:t>
      </w:r>
      <w:r w:rsidR="00341EF7">
        <w:rPr>
          <w:rFonts w:ascii="Arial" w:hAnsi="Arial" w:cs="Arial"/>
        </w:rPr>
        <w:t xml:space="preserve"> </w:t>
      </w:r>
      <w:r w:rsidR="00D72614">
        <w:rPr>
          <w:rFonts w:ascii="Arial" w:hAnsi="Arial" w:cs="Arial"/>
        </w:rPr>
        <w:t>pretending</w:t>
      </w:r>
      <w:r w:rsidR="00341EF7">
        <w:rPr>
          <w:rFonts w:ascii="Arial" w:hAnsi="Arial" w:cs="Arial"/>
        </w:rPr>
        <w:t xml:space="preserve"> </w:t>
      </w:r>
      <w:r w:rsidRPr="00BB1C4F">
        <w:rPr>
          <w:rFonts w:ascii="Arial" w:hAnsi="Arial" w:cs="Arial"/>
        </w:rPr>
        <w:t xml:space="preserve"> to be a competitor</w:t>
      </w:r>
      <w:r w:rsidR="00341EF7">
        <w:rPr>
          <w:rFonts w:ascii="Arial" w:hAnsi="Arial" w:cs="Arial"/>
        </w:rPr>
        <w:t>,</w:t>
      </w:r>
      <w:r w:rsidRPr="00BB1C4F">
        <w:rPr>
          <w:rFonts w:ascii="Arial" w:hAnsi="Arial" w:cs="Arial"/>
        </w:rPr>
        <w:t xml:space="preserve"> this would not</w:t>
      </w:r>
      <w:r w:rsidR="00341EF7">
        <w:rPr>
          <w:rFonts w:ascii="Arial" w:hAnsi="Arial" w:cs="Arial"/>
        </w:rPr>
        <w:t xml:space="preserve"> make it a competitor </w:t>
      </w:r>
    </w:p>
    <w:p w14:paraId="535EFCB4" w14:textId="77777777" w:rsidR="00BB1C4F" w:rsidRPr="00BB1C4F" w:rsidRDefault="00BB1C4F" w:rsidP="00BB1C4F">
      <w:pPr>
        <w:pStyle w:val="ListParagraph"/>
        <w:rPr>
          <w:rFonts w:ascii="Arial" w:eastAsia="Times New Roman" w:hAnsi="Arial" w:cs="Arial"/>
        </w:rPr>
      </w:pPr>
    </w:p>
    <w:p w14:paraId="51CCCC9C" w14:textId="7B2067E3" w:rsidR="00771741" w:rsidRPr="00BB1C4F" w:rsidRDefault="00D939F1" w:rsidP="0070760F">
      <w:pPr>
        <w:pStyle w:val="ListParagraph"/>
        <w:numPr>
          <w:ilvl w:val="0"/>
          <w:numId w:val="2"/>
        </w:numPr>
        <w:spacing w:line="360" w:lineRule="auto"/>
        <w:ind w:left="0" w:firstLine="0"/>
        <w:jc w:val="both"/>
        <w:rPr>
          <w:rFonts w:ascii="Arial" w:hAnsi="Arial" w:cs="Arial"/>
        </w:rPr>
      </w:pPr>
      <w:r w:rsidRPr="00BB1C4F">
        <w:rPr>
          <w:rFonts w:ascii="Arial" w:eastAsia="Times New Roman" w:hAnsi="Arial" w:cs="Arial"/>
        </w:rPr>
        <w:t>This brings me to a discussion regarding the Tribunal</w:t>
      </w:r>
      <w:r w:rsidR="00BB1C4F">
        <w:rPr>
          <w:rFonts w:ascii="Arial" w:eastAsia="Times New Roman" w:hAnsi="Arial" w:cs="Arial"/>
        </w:rPr>
        <w:t>’</w:t>
      </w:r>
      <w:r w:rsidRPr="00BB1C4F">
        <w:rPr>
          <w:rFonts w:ascii="Arial" w:eastAsia="Times New Roman" w:hAnsi="Arial" w:cs="Arial"/>
        </w:rPr>
        <w:t xml:space="preserve">s understanding </w:t>
      </w:r>
      <w:r w:rsidR="00BB1C4F">
        <w:rPr>
          <w:rFonts w:ascii="Arial" w:eastAsia="Times New Roman" w:hAnsi="Arial" w:cs="Arial"/>
        </w:rPr>
        <w:t>that</w:t>
      </w:r>
      <w:r w:rsidRPr="00BB1C4F">
        <w:rPr>
          <w:rFonts w:ascii="Arial" w:eastAsia="Times New Roman" w:hAnsi="Arial" w:cs="Arial"/>
        </w:rPr>
        <w:t xml:space="preserve"> the </w:t>
      </w:r>
      <w:r w:rsidR="00771741" w:rsidRPr="00BB1C4F">
        <w:rPr>
          <w:rFonts w:ascii="Arial" w:eastAsia="Times New Roman" w:hAnsi="Arial" w:cs="Arial"/>
        </w:rPr>
        <w:t>Trust could be characterised as</w:t>
      </w:r>
      <w:r w:rsidRPr="00BB1C4F">
        <w:rPr>
          <w:rFonts w:ascii="Arial" w:eastAsia="Times New Roman" w:hAnsi="Arial" w:cs="Arial"/>
        </w:rPr>
        <w:t xml:space="preserve"> a potential competitor by virtue of the impugned agreement.</w:t>
      </w:r>
    </w:p>
    <w:p w14:paraId="11D758C4" w14:textId="28C0D726" w:rsidR="00771741" w:rsidRDefault="00771741" w:rsidP="00771741">
      <w:pPr>
        <w:spacing w:line="360" w:lineRule="auto"/>
        <w:jc w:val="both"/>
        <w:rPr>
          <w:rFonts w:ascii="Arial" w:hAnsi="Arial" w:cs="Arial"/>
        </w:rPr>
      </w:pPr>
    </w:p>
    <w:p w14:paraId="0B664C68" w14:textId="124C959E" w:rsidR="00771741" w:rsidRDefault="00771741" w:rsidP="005060CE">
      <w:pPr>
        <w:spacing w:line="360" w:lineRule="auto"/>
        <w:jc w:val="both"/>
        <w:rPr>
          <w:rFonts w:ascii="Arial" w:hAnsi="Arial" w:cs="Arial"/>
          <w:i/>
          <w:sz w:val="24"/>
          <w:szCs w:val="24"/>
        </w:rPr>
      </w:pPr>
      <w:r w:rsidRPr="00B95A64">
        <w:rPr>
          <w:rFonts w:ascii="Arial" w:hAnsi="Arial" w:cs="Arial"/>
          <w:i/>
          <w:sz w:val="24"/>
          <w:szCs w:val="24"/>
        </w:rPr>
        <w:t xml:space="preserve">Potential competitor </w:t>
      </w:r>
      <w:r w:rsidR="00B95A64">
        <w:rPr>
          <w:rFonts w:ascii="Arial" w:hAnsi="Arial" w:cs="Arial"/>
          <w:i/>
          <w:sz w:val="24"/>
          <w:szCs w:val="24"/>
        </w:rPr>
        <w:t>via</w:t>
      </w:r>
      <w:r w:rsidR="00CA2664" w:rsidRPr="00B95A64">
        <w:rPr>
          <w:rFonts w:ascii="Arial" w:hAnsi="Arial" w:cs="Arial"/>
          <w:i/>
          <w:sz w:val="24"/>
          <w:szCs w:val="24"/>
        </w:rPr>
        <w:t xml:space="preserve"> the</w:t>
      </w:r>
      <w:r w:rsidRPr="00B95A64">
        <w:rPr>
          <w:rFonts w:ascii="Arial" w:hAnsi="Arial" w:cs="Arial"/>
          <w:i/>
          <w:sz w:val="24"/>
          <w:szCs w:val="24"/>
        </w:rPr>
        <w:t xml:space="preserve"> agreement</w:t>
      </w:r>
    </w:p>
    <w:p w14:paraId="1F147AFC" w14:textId="77777777" w:rsidR="005060CE" w:rsidRPr="005060CE" w:rsidRDefault="005060CE" w:rsidP="005060CE">
      <w:pPr>
        <w:spacing w:line="360" w:lineRule="auto"/>
        <w:jc w:val="both"/>
        <w:rPr>
          <w:rFonts w:ascii="Arial" w:hAnsi="Arial" w:cs="Arial"/>
          <w:i/>
          <w:sz w:val="24"/>
          <w:szCs w:val="24"/>
        </w:rPr>
      </w:pPr>
    </w:p>
    <w:p w14:paraId="7E9E5DEF" w14:textId="36F54FA4" w:rsidR="00771741" w:rsidRDefault="00771741" w:rsidP="00D939F1">
      <w:pPr>
        <w:pStyle w:val="ListParagraph"/>
        <w:numPr>
          <w:ilvl w:val="0"/>
          <w:numId w:val="2"/>
        </w:numPr>
        <w:spacing w:line="360" w:lineRule="auto"/>
        <w:ind w:left="0" w:firstLine="0"/>
        <w:jc w:val="both"/>
        <w:rPr>
          <w:rFonts w:ascii="Arial" w:hAnsi="Arial" w:cs="Arial"/>
        </w:rPr>
      </w:pPr>
      <w:r>
        <w:rPr>
          <w:rFonts w:ascii="Arial" w:hAnsi="Arial" w:cs="Arial"/>
        </w:rPr>
        <w:t>The Tribunal’s finding</w:t>
      </w:r>
      <w:r w:rsidR="00D939F1" w:rsidRPr="00771741">
        <w:rPr>
          <w:rFonts w:ascii="Arial" w:hAnsi="Arial" w:cs="Arial"/>
        </w:rPr>
        <w:t xml:space="preserve"> that the parties horizontal relationship could be found in t</w:t>
      </w:r>
      <w:r>
        <w:rPr>
          <w:rFonts w:ascii="Arial" w:hAnsi="Arial" w:cs="Arial"/>
        </w:rPr>
        <w:t>he</w:t>
      </w:r>
      <w:r w:rsidR="00D939F1" w:rsidRPr="00771741">
        <w:rPr>
          <w:rFonts w:ascii="Arial" w:hAnsi="Arial" w:cs="Arial"/>
        </w:rPr>
        <w:t xml:space="preserve"> potential for the</w:t>
      </w:r>
      <w:r>
        <w:rPr>
          <w:rFonts w:ascii="Arial" w:hAnsi="Arial" w:cs="Arial"/>
        </w:rPr>
        <w:t xml:space="preserve"> Trust to compete in the future</w:t>
      </w:r>
      <w:r w:rsidR="00D939F1" w:rsidRPr="00771741">
        <w:rPr>
          <w:rFonts w:ascii="Arial" w:hAnsi="Arial" w:cs="Arial"/>
        </w:rPr>
        <w:t xml:space="preserve"> in light of the enterprise development purpose of the tender is also illogical and contrary to the provisions of section 4(1)(b). </w:t>
      </w:r>
    </w:p>
    <w:p w14:paraId="06801035" w14:textId="77777777" w:rsidR="00771741" w:rsidRDefault="00771741" w:rsidP="00771741">
      <w:pPr>
        <w:pStyle w:val="ListParagraph"/>
        <w:spacing w:line="360" w:lineRule="auto"/>
        <w:ind w:left="0"/>
        <w:jc w:val="both"/>
        <w:rPr>
          <w:rFonts w:ascii="Arial" w:hAnsi="Arial" w:cs="Arial"/>
        </w:rPr>
      </w:pPr>
    </w:p>
    <w:p w14:paraId="09AD482A" w14:textId="77777777" w:rsidR="00771741" w:rsidRDefault="00D939F1" w:rsidP="00D939F1">
      <w:pPr>
        <w:pStyle w:val="ListParagraph"/>
        <w:numPr>
          <w:ilvl w:val="0"/>
          <w:numId w:val="2"/>
        </w:numPr>
        <w:spacing w:line="360" w:lineRule="auto"/>
        <w:ind w:left="0" w:firstLine="0"/>
        <w:jc w:val="both"/>
        <w:rPr>
          <w:rFonts w:ascii="Arial" w:hAnsi="Arial" w:cs="Arial"/>
        </w:rPr>
      </w:pPr>
      <w:r w:rsidRPr="00771741">
        <w:rPr>
          <w:rFonts w:ascii="Arial" w:hAnsi="Arial" w:cs="Arial"/>
        </w:rPr>
        <w:t>The MoU itself reflects the extent of the deficit in experience and infrastructure the Trust had at the time. It was disclosed that It was only with this agreement that the Trust could overcome this deficit.</w:t>
      </w:r>
    </w:p>
    <w:p w14:paraId="7F84163C" w14:textId="77777777" w:rsidR="00771741" w:rsidRPr="00771741" w:rsidRDefault="00771741" w:rsidP="00771741">
      <w:pPr>
        <w:pStyle w:val="ListParagraph"/>
        <w:rPr>
          <w:rFonts w:ascii="Arial" w:hAnsi="Arial" w:cs="Arial"/>
        </w:rPr>
      </w:pPr>
    </w:p>
    <w:p w14:paraId="64FF69F7" w14:textId="4F53942E" w:rsidR="00771741" w:rsidRDefault="00771741" w:rsidP="00D939F1">
      <w:pPr>
        <w:pStyle w:val="ListParagraph"/>
        <w:numPr>
          <w:ilvl w:val="0"/>
          <w:numId w:val="2"/>
        </w:numPr>
        <w:spacing w:line="360" w:lineRule="auto"/>
        <w:ind w:left="0" w:firstLine="0"/>
        <w:jc w:val="both"/>
        <w:rPr>
          <w:rFonts w:ascii="Arial" w:hAnsi="Arial" w:cs="Arial"/>
        </w:rPr>
      </w:pPr>
      <w:r>
        <w:rPr>
          <w:rFonts w:ascii="Arial" w:hAnsi="Arial" w:cs="Arial"/>
        </w:rPr>
        <w:t xml:space="preserve">The </w:t>
      </w:r>
      <w:r w:rsidR="00D939F1" w:rsidRPr="00771741">
        <w:rPr>
          <w:rFonts w:ascii="Arial" w:hAnsi="Arial" w:cs="Arial"/>
        </w:rPr>
        <w:t xml:space="preserve">accepted evidence of Ms Zimmerman was that </w:t>
      </w:r>
      <w:r w:rsidR="00D939F1" w:rsidRPr="00771741">
        <w:rPr>
          <w:rFonts w:ascii="Arial" w:hAnsi="Arial" w:cs="Arial"/>
          <w:u w:val="single"/>
        </w:rPr>
        <w:t>absent the agreement</w:t>
      </w:r>
      <w:r>
        <w:rPr>
          <w:rFonts w:ascii="Arial" w:hAnsi="Arial" w:cs="Arial"/>
        </w:rPr>
        <w:t xml:space="preserve"> the </w:t>
      </w:r>
      <w:r w:rsidR="00D939F1" w:rsidRPr="00771741">
        <w:rPr>
          <w:rFonts w:ascii="Arial" w:hAnsi="Arial" w:cs="Arial"/>
        </w:rPr>
        <w:t xml:space="preserve">Trust would not have been able to develop the skills and resources which would allow it to occupy a specialised retail space. </w:t>
      </w:r>
    </w:p>
    <w:p w14:paraId="750D73E0" w14:textId="77777777" w:rsidR="00771741" w:rsidRPr="00771741" w:rsidRDefault="00771741" w:rsidP="00771741">
      <w:pPr>
        <w:pStyle w:val="ListParagraph"/>
        <w:rPr>
          <w:rFonts w:ascii="Arial" w:hAnsi="Arial" w:cs="Arial"/>
        </w:rPr>
      </w:pPr>
    </w:p>
    <w:p w14:paraId="57793E94" w14:textId="640ECDE6" w:rsidR="006846A2" w:rsidRPr="005060CE" w:rsidRDefault="00D939F1" w:rsidP="006846A2">
      <w:pPr>
        <w:pStyle w:val="ListParagraph"/>
        <w:numPr>
          <w:ilvl w:val="0"/>
          <w:numId w:val="2"/>
        </w:numPr>
        <w:spacing w:line="360" w:lineRule="auto"/>
        <w:ind w:left="0" w:firstLine="0"/>
        <w:jc w:val="both"/>
        <w:rPr>
          <w:rFonts w:ascii="Arial" w:hAnsi="Arial" w:cs="Arial"/>
        </w:rPr>
      </w:pPr>
      <w:r w:rsidRPr="006846A2">
        <w:rPr>
          <w:rFonts w:ascii="Arial" w:hAnsi="Arial" w:cs="Arial"/>
        </w:rPr>
        <w:t xml:space="preserve"> Section 4(1)(b) provides that the prohibited agreement must be between parties in a horizontal relationship. </w:t>
      </w:r>
      <w:r w:rsidR="00FD0BC8">
        <w:rPr>
          <w:rFonts w:ascii="Arial" w:hAnsi="Arial" w:cs="Arial"/>
        </w:rPr>
        <w:t>It</w:t>
      </w:r>
      <w:r w:rsidRPr="006846A2">
        <w:rPr>
          <w:rFonts w:ascii="Arial" w:hAnsi="Arial" w:cs="Arial"/>
        </w:rPr>
        <w:t xml:space="preserve"> is illogical to suggest that this potential can be found within the impugned agreement. </w:t>
      </w:r>
      <w:r w:rsidR="00B95A64">
        <w:rPr>
          <w:rFonts w:ascii="Arial" w:hAnsi="Arial" w:cs="Arial"/>
        </w:rPr>
        <w:t>Section 4(1)(b) properly construed requires the parties to be in a horizontal relationship when they commit the offence in issue.</w:t>
      </w:r>
    </w:p>
    <w:p w14:paraId="05C217CE" w14:textId="3D4FAE8D" w:rsidR="00771741" w:rsidRDefault="00D939F1" w:rsidP="00D939F1">
      <w:pPr>
        <w:pStyle w:val="ListParagraph"/>
        <w:numPr>
          <w:ilvl w:val="0"/>
          <w:numId w:val="2"/>
        </w:numPr>
        <w:spacing w:line="360" w:lineRule="auto"/>
        <w:ind w:left="0" w:firstLine="0"/>
        <w:jc w:val="both"/>
        <w:rPr>
          <w:rFonts w:ascii="Arial" w:hAnsi="Arial" w:cs="Arial"/>
        </w:rPr>
      </w:pPr>
      <w:r w:rsidRPr="00771741">
        <w:rPr>
          <w:rFonts w:ascii="Arial" w:hAnsi="Arial" w:cs="Arial"/>
        </w:rPr>
        <w:lastRenderedPageBreak/>
        <w:t>Thus i</w:t>
      </w:r>
      <w:r w:rsidR="00771741">
        <w:rPr>
          <w:rFonts w:ascii="Arial" w:hAnsi="Arial" w:cs="Arial"/>
        </w:rPr>
        <w:t>n sum on the horizontal case</w:t>
      </w:r>
      <w:r w:rsidR="00BB1C4F">
        <w:rPr>
          <w:rFonts w:ascii="Arial" w:hAnsi="Arial" w:cs="Arial"/>
        </w:rPr>
        <w:t>,</w:t>
      </w:r>
      <w:r w:rsidR="00771741">
        <w:rPr>
          <w:rFonts w:ascii="Arial" w:hAnsi="Arial" w:cs="Arial"/>
        </w:rPr>
        <w:t xml:space="preserve"> </w:t>
      </w:r>
      <w:r w:rsidRPr="00771741">
        <w:rPr>
          <w:rFonts w:ascii="Arial" w:hAnsi="Arial" w:cs="Arial"/>
        </w:rPr>
        <w:t>accepted economic theory and the proper application of the terms of section 4(1)(b) does not accommodate the approach taken by the Tribunal</w:t>
      </w:r>
      <w:r w:rsidR="00FD0BC8">
        <w:rPr>
          <w:rFonts w:ascii="Arial" w:hAnsi="Arial" w:cs="Arial"/>
        </w:rPr>
        <w:t>,</w:t>
      </w:r>
      <w:r w:rsidRPr="00771741">
        <w:rPr>
          <w:rFonts w:ascii="Arial" w:hAnsi="Arial" w:cs="Arial"/>
        </w:rPr>
        <w:t xml:space="preserve"> being that the horizontal relationship contemplated in the Act may be located within the impugned conduct itself. Such an approach is anathema the statutory scheme created by section 4(1) and accepted competition economic theory.</w:t>
      </w:r>
    </w:p>
    <w:p w14:paraId="2A59AA15" w14:textId="77777777" w:rsidR="00771741" w:rsidRPr="00771741" w:rsidRDefault="00771741" w:rsidP="00771741">
      <w:pPr>
        <w:pStyle w:val="ListParagraph"/>
        <w:rPr>
          <w:rFonts w:ascii="Arial" w:hAnsi="Arial" w:cs="Arial"/>
        </w:rPr>
      </w:pPr>
    </w:p>
    <w:p w14:paraId="62975F89" w14:textId="631F0C47" w:rsidR="00771741" w:rsidRDefault="00D939F1" w:rsidP="00D939F1">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 Having made its erroneous determination on the horizontal case, the Tribunal proceeded to consider the second component of the characterisation exercise, namely whether the respondents’ conduct constituted collusive tendering in contravention of section 4(1)(b)(iii).  </w:t>
      </w:r>
      <w:r w:rsidR="00FD0BC8">
        <w:rPr>
          <w:rFonts w:ascii="Arial" w:hAnsi="Arial" w:cs="Arial"/>
        </w:rPr>
        <w:t>It</w:t>
      </w:r>
      <w:r w:rsidRPr="00771741">
        <w:rPr>
          <w:rFonts w:ascii="Arial" w:hAnsi="Arial" w:cs="Arial"/>
        </w:rPr>
        <w:t xml:space="preserve"> concluded that it did. </w:t>
      </w:r>
    </w:p>
    <w:p w14:paraId="64EB4E47" w14:textId="77777777" w:rsidR="00771741" w:rsidRPr="00771741" w:rsidRDefault="00771741" w:rsidP="00771741">
      <w:pPr>
        <w:pStyle w:val="ListParagraph"/>
        <w:rPr>
          <w:rFonts w:ascii="Arial" w:hAnsi="Arial" w:cs="Arial"/>
        </w:rPr>
      </w:pPr>
    </w:p>
    <w:p w14:paraId="31D6559C" w14:textId="4FF6F3D8" w:rsidR="00771741" w:rsidRDefault="00D939F1" w:rsidP="00771741">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The case for </w:t>
      </w:r>
      <w:r w:rsidR="000D662A">
        <w:rPr>
          <w:rFonts w:ascii="Arial" w:hAnsi="Arial" w:cs="Arial"/>
        </w:rPr>
        <w:t xml:space="preserve">thus </w:t>
      </w:r>
      <w:r w:rsidRPr="00771741">
        <w:rPr>
          <w:rFonts w:ascii="Arial" w:hAnsi="Arial" w:cs="Arial"/>
        </w:rPr>
        <w:t xml:space="preserve">characterising the conduct is simply that </w:t>
      </w:r>
      <w:r w:rsidR="000D662A">
        <w:rPr>
          <w:rFonts w:ascii="Arial" w:hAnsi="Arial" w:cs="Arial"/>
        </w:rPr>
        <w:t xml:space="preserve"> the </w:t>
      </w:r>
      <w:r w:rsidRPr="00771741">
        <w:rPr>
          <w:rFonts w:ascii="Arial" w:hAnsi="Arial" w:cs="Arial"/>
        </w:rPr>
        <w:t>parties literally fixed the price.</w:t>
      </w:r>
    </w:p>
    <w:p w14:paraId="0189D800" w14:textId="77777777" w:rsidR="00771741" w:rsidRPr="00771741" w:rsidRDefault="00771741" w:rsidP="00771741">
      <w:pPr>
        <w:pStyle w:val="ListParagraph"/>
        <w:rPr>
          <w:rFonts w:ascii="Arial" w:hAnsi="Arial" w:cs="Arial"/>
        </w:rPr>
      </w:pPr>
    </w:p>
    <w:p w14:paraId="052416E3" w14:textId="64F70478" w:rsidR="00771741" w:rsidRDefault="00D939F1" w:rsidP="00D939F1">
      <w:pPr>
        <w:pStyle w:val="ListParagraph"/>
        <w:numPr>
          <w:ilvl w:val="0"/>
          <w:numId w:val="2"/>
        </w:numPr>
        <w:spacing w:line="360" w:lineRule="auto"/>
        <w:ind w:left="0" w:firstLine="0"/>
        <w:jc w:val="both"/>
        <w:rPr>
          <w:rFonts w:ascii="Arial" w:hAnsi="Arial" w:cs="Arial"/>
        </w:rPr>
      </w:pPr>
      <w:r w:rsidRPr="00771741">
        <w:rPr>
          <w:rFonts w:ascii="Arial" w:hAnsi="Arial" w:cs="Arial"/>
        </w:rPr>
        <w:t>Once it is accepted that the parties were not in a horizontal relationship</w:t>
      </w:r>
      <w:r w:rsidR="0040721C">
        <w:rPr>
          <w:rFonts w:ascii="Arial" w:hAnsi="Arial" w:cs="Arial"/>
        </w:rPr>
        <w:t>,</w:t>
      </w:r>
      <w:r w:rsidRPr="00771741">
        <w:rPr>
          <w:rFonts w:ascii="Arial" w:hAnsi="Arial" w:cs="Arial"/>
        </w:rPr>
        <w:t xml:space="preserve"> an enquiry as to the characterisation of the conduct as collusive tendering canno</w:t>
      </w:r>
      <w:r w:rsidR="00771741">
        <w:rPr>
          <w:rFonts w:ascii="Arial" w:hAnsi="Arial" w:cs="Arial"/>
        </w:rPr>
        <w:t>t follow as a matter of law.</w:t>
      </w:r>
    </w:p>
    <w:p w14:paraId="6A4CF8BB" w14:textId="77777777" w:rsidR="00771741" w:rsidRPr="00771741" w:rsidRDefault="00771741" w:rsidP="00771741">
      <w:pPr>
        <w:pStyle w:val="ListParagraph"/>
        <w:rPr>
          <w:rFonts w:ascii="Arial" w:hAnsi="Arial" w:cs="Arial"/>
        </w:rPr>
      </w:pPr>
    </w:p>
    <w:p w14:paraId="34605760" w14:textId="0EE2A057" w:rsidR="00771741" w:rsidRDefault="00771741" w:rsidP="00771741">
      <w:pPr>
        <w:pStyle w:val="ListParagraph"/>
        <w:spacing w:line="360" w:lineRule="auto"/>
        <w:ind w:left="0"/>
        <w:jc w:val="both"/>
        <w:rPr>
          <w:rFonts w:ascii="Arial" w:hAnsi="Arial" w:cs="Arial"/>
        </w:rPr>
      </w:pPr>
      <w:r w:rsidRPr="00771741">
        <w:rPr>
          <w:rFonts w:ascii="Arial" w:hAnsi="Arial" w:cs="Arial"/>
        </w:rPr>
        <w:t>I will, however, deal briefly with the Tribunal’s theory of collusive tendering.</w:t>
      </w:r>
    </w:p>
    <w:p w14:paraId="272DE3FA" w14:textId="77777777" w:rsidR="009B3007" w:rsidRPr="00771741" w:rsidRDefault="009B3007" w:rsidP="00771741">
      <w:pPr>
        <w:pStyle w:val="ListParagraph"/>
        <w:spacing w:line="360" w:lineRule="auto"/>
        <w:ind w:left="0"/>
        <w:jc w:val="both"/>
        <w:rPr>
          <w:rFonts w:ascii="Arial" w:hAnsi="Arial" w:cs="Arial"/>
        </w:rPr>
      </w:pPr>
    </w:p>
    <w:p w14:paraId="1EFDA9E6" w14:textId="7EFC9AC7" w:rsidR="00771741" w:rsidRPr="00FD0BC8" w:rsidRDefault="00771741" w:rsidP="000D662A">
      <w:pPr>
        <w:shd w:val="clear" w:color="auto" w:fill="FFFFFF"/>
        <w:spacing w:before="144" w:after="475" w:line="360" w:lineRule="auto"/>
        <w:rPr>
          <w:rFonts w:ascii="Arial" w:hAnsi="Arial" w:cs="Arial"/>
          <w:b/>
          <w:sz w:val="24"/>
          <w:szCs w:val="24"/>
        </w:rPr>
      </w:pPr>
      <w:r w:rsidRPr="00FD0BC8">
        <w:rPr>
          <w:rFonts w:ascii="Arial" w:hAnsi="Arial" w:cs="Arial"/>
          <w:b/>
          <w:sz w:val="24"/>
          <w:szCs w:val="24"/>
        </w:rPr>
        <w:t>Collusive tendering</w:t>
      </w:r>
    </w:p>
    <w:p w14:paraId="7557554F" w14:textId="593DD359" w:rsidR="00771741" w:rsidRDefault="00D939F1" w:rsidP="00D939F1">
      <w:pPr>
        <w:pStyle w:val="ListParagraph"/>
        <w:numPr>
          <w:ilvl w:val="0"/>
          <w:numId w:val="2"/>
        </w:numPr>
        <w:spacing w:line="360" w:lineRule="auto"/>
        <w:ind w:left="0" w:firstLine="0"/>
        <w:jc w:val="both"/>
        <w:rPr>
          <w:rFonts w:ascii="Arial" w:hAnsi="Arial" w:cs="Arial"/>
        </w:rPr>
      </w:pPr>
      <w:r w:rsidRPr="00771741">
        <w:rPr>
          <w:rFonts w:ascii="Arial" w:hAnsi="Arial" w:cs="Arial"/>
        </w:rPr>
        <w:t>On the case accepted by the Tribunal</w:t>
      </w:r>
      <w:r w:rsidR="004C76DB">
        <w:rPr>
          <w:rFonts w:ascii="Arial" w:hAnsi="Arial" w:cs="Arial"/>
        </w:rPr>
        <w:t>,</w:t>
      </w:r>
      <w:r w:rsidRPr="00771741">
        <w:rPr>
          <w:rFonts w:ascii="Arial" w:hAnsi="Arial" w:cs="Arial"/>
        </w:rPr>
        <w:t xml:space="preserve"> the </w:t>
      </w:r>
      <w:r w:rsidR="00681DD2">
        <w:rPr>
          <w:rFonts w:ascii="Arial" w:hAnsi="Arial" w:cs="Arial"/>
        </w:rPr>
        <w:t>‘</w:t>
      </w:r>
      <w:r w:rsidRPr="00771741">
        <w:rPr>
          <w:rFonts w:ascii="Arial" w:hAnsi="Arial" w:cs="Arial"/>
        </w:rPr>
        <w:t>collusion</w:t>
      </w:r>
      <w:r w:rsidR="00681DD2">
        <w:rPr>
          <w:rFonts w:ascii="Arial" w:hAnsi="Arial" w:cs="Arial"/>
        </w:rPr>
        <w:t>’</w:t>
      </w:r>
      <w:r w:rsidRPr="00771741">
        <w:rPr>
          <w:rFonts w:ascii="Arial" w:hAnsi="Arial" w:cs="Arial"/>
        </w:rPr>
        <w:t xml:space="preserve"> lay in the fact that the parties tendered on the same terms and at the same price. It </w:t>
      </w:r>
      <w:r w:rsidR="00FD0BC8">
        <w:rPr>
          <w:rFonts w:ascii="Arial" w:hAnsi="Arial" w:cs="Arial"/>
        </w:rPr>
        <w:t>went on to</w:t>
      </w:r>
      <w:r w:rsidRPr="00771741">
        <w:rPr>
          <w:rFonts w:ascii="Arial" w:hAnsi="Arial" w:cs="Arial"/>
        </w:rPr>
        <w:t xml:space="preserve"> theorise that Tourvest had forced the Trust to </w:t>
      </w:r>
      <w:r w:rsidR="00DA493B">
        <w:rPr>
          <w:rFonts w:ascii="Arial" w:hAnsi="Arial" w:cs="Arial"/>
        </w:rPr>
        <w:t>bid at the same rental</w:t>
      </w:r>
      <w:r w:rsidRPr="00771741">
        <w:rPr>
          <w:rFonts w:ascii="Arial" w:hAnsi="Arial" w:cs="Arial"/>
        </w:rPr>
        <w:t xml:space="preserve"> and thereby prevented </w:t>
      </w:r>
      <w:r w:rsidR="00681DD2">
        <w:rPr>
          <w:rFonts w:ascii="Arial" w:hAnsi="Arial" w:cs="Arial"/>
        </w:rPr>
        <w:t>it</w:t>
      </w:r>
      <w:r w:rsidRPr="00771741">
        <w:rPr>
          <w:rFonts w:ascii="Arial" w:hAnsi="Arial" w:cs="Arial"/>
        </w:rPr>
        <w:t xml:space="preserve"> from </w:t>
      </w:r>
      <w:r w:rsidR="00DA493B">
        <w:rPr>
          <w:rFonts w:ascii="Arial" w:hAnsi="Arial" w:cs="Arial"/>
        </w:rPr>
        <w:t>putting in a</w:t>
      </w:r>
      <w:r w:rsidRPr="00771741">
        <w:rPr>
          <w:rFonts w:ascii="Arial" w:hAnsi="Arial" w:cs="Arial"/>
        </w:rPr>
        <w:t xml:space="preserve"> competitive </w:t>
      </w:r>
      <w:r w:rsidR="00DA493B">
        <w:rPr>
          <w:rFonts w:ascii="Arial" w:hAnsi="Arial" w:cs="Arial"/>
        </w:rPr>
        <w:t>bid</w:t>
      </w:r>
      <w:r w:rsidRPr="00771741">
        <w:rPr>
          <w:rFonts w:ascii="Arial" w:hAnsi="Arial" w:cs="Arial"/>
        </w:rPr>
        <w:t>.</w:t>
      </w:r>
      <w:r>
        <w:rPr>
          <w:rStyle w:val="FootnoteReference"/>
          <w:rFonts w:ascii="Arial" w:hAnsi="Arial" w:cs="Arial"/>
        </w:rPr>
        <w:footnoteReference w:id="26"/>
      </w:r>
      <w:r w:rsidR="005453DD">
        <w:rPr>
          <w:rFonts w:ascii="Arial" w:hAnsi="Arial" w:cs="Arial"/>
        </w:rPr>
        <w:t xml:space="preserve"> This was </w:t>
      </w:r>
      <w:r w:rsidR="00726C59">
        <w:rPr>
          <w:rFonts w:ascii="Arial" w:hAnsi="Arial" w:cs="Arial"/>
        </w:rPr>
        <w:t xml:space="preserve">purely </w:t>
      </w:r>
      <w:r w:rsidR="005453DD">
        <w:rPr>
          <w:rFonts w:ascii="Arial" w:hAnsi="Arial" w:cs="Arial"/>
        </w:rPr>
        <w:t xml:space="preserve">on the basis that Mr de Jager </w:t>
      </w:r>
      <w:r w:rsidR="009B3FFC">
        <w:rPr>
          <w:rFonts w:ascii="Arial" w:hAnsi="Arial" w:cs="Arial"/>
        </w:rPr>
        <w:t>conceded</w:t>
      </w:r>
      <w:r w:rsidR="005453DD">
        <w:rPr>
          <w:rFonts w:ascii="Arial" w:hAnsi="Arial" w:cs="Arial"/>
        </w:rPr>
        <w:t xml:space="preserve"> that </w:t>
      </w:r>
      <w:r w:rsidR="00726C59">
        <w:rPr>
          <w:rFonts w:ascii="Arial" w:hAnsi="Arial" w:cs="Arial"/>
        </w:rPr>
        <w:t>Tourvest would not provide its services under the MoI at a lower rate.</w:t>
      </w:r>
    </w:p>
    <w:p w14:paraId="617C11FD" w14:textId="6E34F791" w:rsidR="00771741" w:rsidRDefault="00771741" w:rsidP="00771741">
      <w:pPr>
        <w:pStyle w:val="ListParagraph"/>
        <w:spacing w:line="360" w:lineRule="auto"/>
        <w:ind w:left="0"/>
        <w:jc w:val="both"/>
        <w:rPr>
          <w:rFonts w:ascii="Arial" w:hAnsi="Arial" w:cs="Arial"/>
        </w:rPr>
      </w:pPr>
    </w:p>
    <w:p w14:paraId="139C9E73" w14:textId="77777777" w:rsidR="004C76DB" w:rsidRDefault="004C76DB" w:rsidP="00771741">
      <w:pPr>
        <w:pStyle w:val="ListParagraph"/>
        <w:spacing w:line="360" w:lineRule="auto"/>
        <w:ind w:left="0"/>
        <w:jc w:val="both"/>
        <w:rPr>
          <w:rFonts w:ascii="Arial" w:hAnsi="Arial" w:cs="Arial"/>
        </w:rPr>
      </w:pPr>
    </w:p>
    <w:p w14:paraId="52FC17BA" w14:textId="5BFEE1A5" w:rsidR="00FD0BC8" w:rsidRPr="00FD0BC8" w:rsidRDefault="00D939F1" w:rsidP="00FD0BC8">
      <w:pPr>
        <w:pStyle w:val="ListParagraph"/>
        <w:numPr>
          <w:ilvl w:val="0"/>
          <w:numId w:val="2"/>
        </w:numPr>
        <w:spacing w:line="360" w:lineRule="auto"/>
        <w:ind w:left="0" w:firstLine="0"/>
        <w:jc w:val="both"/>
        <w:rPr>
          <w:rFonts w:ascii="Arial" w:hAnsi="Arial" w:cs="Arial"/>
        </w:rPr>
      </w:pPr>
      <w:r w:rsidRPr="00771741">
        <w:rPr>
          <w:rFonts w:ascii="Arial" w:hAnsi="Arial" w:cs="Arial"/>
        </w:rPr>
        <w:t xml:space="preserve"> </w:t>
      </w:r>
      <w:r w:rsidR="00726C59">
        <w:rPr>
          <w:rFonts w:ascii="Arial" w:hAnsi="Arial" w:cs="Arial"/>
        </w:rPr>
        <w:t>Thus</w:t>
      </w:r>
      <w:r w:rsidR="00FD0BC8">
        <w:rPr>
          <w:rFonts w:ascii="Arial" w:hAnsi="Arial" w:cs="Arial"/>
        </w:rPr>
        <w:t>,</w:t>
      </w:r>
      <w:r w:rsidR="00726C59">
        <w:rPr>
          <w:rFonts w:ascii="Arial" w:hAnsi="Arial" w:cs="Arial"/>
        </w:rPr>
        <w:t xml:space="preserve"> </w:t>
      </w:r>
      <w:r w:rsidR="009B3FFC">
        <w:rPr>
          <w:rFonts w:ascii="Arial" w:hAnsi="Arial" w:cs="Arial"/>
        </w:rPr>
        <w:t>the Tribunal</w:t>
      </w:r>
      <w:r w:rsidR="00FD0BC8">
        <w:rPr>
          <w:rFonts w:ascii="Arial" w:hAnsi="Arial" w:cs="Arial"/>
        </w:rPr>
        <w:t xml:space="preserve"> worked backwards in its reasoning. Having</w:t>
      </w:r>
      <w:r w:rsidR="008048A4">
        <w:rPr>
          <w:rFonts w:ascii="Arial" w:hAnsi="Arial" w:cs="Arial"/>
        </w:rPr>
        <w:t xml:space="preserve"> </w:t>
      </w:r>
      <w:r w:rsidR="00FD0BC8">
        <w:rPr>
          <w:rFonts w:ascii="Arial" w:hAnsi="Arial" w:cs="Arial"/>
        </w:rPr>
        <w:t>decided</w:t>
      </w:r>
      <w:r w:rsidR="009B3FFC">
        <w:rPr>
          <w:rFonts w:ascii="Arial" w:hAnsi="Arial" w:cs="Arial"/>
        </w:rPr>
        <w:t xml:space="preserve"> that the price was </w:t>
      </w:r>
      <w:r w:rsidR="00341EF7">
        <w:rPr>
          <w:rFonts w:ascii="Arial" w:hAnsi="Arial" w:cs="Arial"/>
        </w:rPr>
        <w:t>“</w:t>
      </w:r>
      <w:r w:rsidR="009B3FFC">
        <w:rPr>
          <w:rFonts w:ascii="Arial" w:hAnsi="Arial" w:cs="Arial"/>
        </w:rPr>
        <w:t>fixed</w:t>
      </w:r>
      <w:r w:rsidR="00341EF7">
        <w:rPr>
          <w:rFonts w:ascii="Arial" w:hAnsi="Arial" w:cs="Arial"/>
        </w:rPr>
        <w:t>”</w:t>
      </w:r>
      <w:r w:rsidRPr="00771741">
        <w:rPr>
          <w:rFonts w:ascii="Arial" w:hAnsi="Arial" w:cs="Arial"/>
        </w:rPr>
        <w:t xml:space="preserve"> </w:t>
      </w:r>
      <w:r w:rsidR="008048A4">
        <w:rPr>
          <w:rFonts w:ascii="Arial" w:hAnsi="Arial" w:cs="Arial"/>
        </w:rPr>
        <w:t xml:space="preserve"> in terms of the MoU</w:t>
      </w:r>
      <w:r w:rsidR="001A21DA">
        <w:rPr>
          <w:rFonts w:ascii="Arial" w:hAnsi="Arial" w:cs="Arial"/>
        </w:rPr>
        <w:t>,</w:t>
      </w:r>
      <w:r w:rsidR="008048A4">
        <w:rPr>
          <w:rFonts w:ascii="Arial" w:hAnsi="Arial" w:cs="Arial"/>
        </w:rPr>
        <w:t xml:space="preserve"> </w:t>
      </w:r>
      <w:r w:rsidR="00FD0BC8">
        <w:rPr>
          <w:rFonts w:ascii="Arial" w:hAnsi="Arial" w:cs="Arial"/>
        </w:rPr>
        <w:t xml:space="preserve">it </w:t>
      </w:r>
      <w:r w:rsidR="008048A4">
        <w:rPr>
          <w:rFonts w:ascii="Arial" w:hAnsi="Arial" w:cs="Arial"/>
        </w:rPr>
        <w:t xml:space="preserve">reasoned </w:t>
      </w:r>
      <w:r w:rsidR="00FD0BC8">
        <w:rPr>
          <w:rFonts w:ascii="Arial" w:hAnsi="Arial" w:cs="Arial"/>
        </w:rPr>
        <w:t xml:space="preserve">that </w:t>
      </w:r>
      <w:r w:rsidRPr="00771741">
        <w:rPr>
          <w:rFonts w:ascii="Arial" w:hAnsi="Arial" w:cs="Arial"/>
        </w:rPr>
        <w:t>this must</w:t>
      </w:r>
      <w:r w:rsidR="00FD0BC8">
        <w:rPr>
          <w:rFonts w:ascii="Arial" w:hAnsi="Arial" w:cs="Arial"/>
        </w:rPr>
        <w:t>,</w:t>
      </w:r>
      <w:r w:rsidRPr="00771741">
        <w:rPr>
          <w:rFonts w:ascii="Arial" w:hAnsi="Arial" w:cs="Arial"/>
        </w:rPr>
        <w:t xml:space="preserve"> </w:t>
      </w:r>
      <w:r w:rsidR="008048A4">
        <w:rPr>
          <w:rFonts w:ascii="Arial" w:hAnsi="Arial" w:cs="Arial"/>
        </w:rPr>
        <w:t>somehow</w:t>
      </w:r>
      <w:r w:rsidR="00FD0BC8">
        <w:rPr>
          <w:rFonts w:ascii="Arial" w:hAnsi="Arial" w:cs="Arial"/>
        </w:rPr>
        <w:t>,</w:t>
      </w:r>
      <w:r w:rsidR="008048A4">
        <w:rPr>
          <w:rFonts w:ascii="Arial" w:hAnsi="Arial" w:cs="Arial"/>
        </w:rPr>
        <w:t xml:space="preserve"> </w:t>
      </w:r>
      <w:r w:rsidRPr="00771741">
        <w:rPr>
          <w:rFonts w:ascii="Arial" w:hAnsi="Arial" w:cs="Arial"/>
        </w:rPr>
        <w:t xml:space="preserve">mean </w:t>
      </w:r>
      <w:r w:rsidR="00A52623">
        <w:rPr>
          <w:rFonts w:ascii="Arial" w:hAnsi="Arial" w:cs="Arial"/>
        </w:rPr>
        <w:t>that there was collusion</w:t>
      </w:r>
      <w:r w:rsidRPr="00771741">
        <w:rPr>
          <w:rFonts w:ascii="Arial" w:hAnsi="Arial" w:cs="Arial"/>
        </w:rPr>
        <w:t xml:space="preserve"> of the sort contemplated in section 4(1)(b)(iii). It then</w:t>
      </w:r>
      <w:r w:rsidR="008048A4">
        <w:rPr>
          <w:rFonts w:ascii="Arial" w:hAnsi="Arial" w:cs="Arial"/>
        </w:rPr>
        <w:t xml:space="preserve"> sought to develop a theory of collusi</w:t>
      </w:r>
      <w:r w:rsidR="000E2E94">
        <w:rPr>
          <w:rFonts w:ascii="Arial" w:hAnsi="Arial" w:cs="Arial"/>
        </w:rPr>
        <w:t>ve tendering</w:t>
      </w:r>
      <w:r w:rsidR="00FD0BC8">
        <w:rPr>
          <w:rFonts w:ascii="Arial" w:hAnsi="Arial" w:cs="Arial"/>
        </w:rPr>
        <w:t>.</w:t>
      </w:r>
      <w:r w:rsidR="008048A4">
        <w:rPr>
          <w:rFonts w:ascii="Arial" w:hAnsi="Arial" w:cs="Arial"/>
        </w:rPr>
        <w:t xml:space="preserve"> </w:t>
      </w:r>
      <w:r w:rsidR="00FD0BC8" w:rsidRPr="00FD0BC8">
        <w:rPr>
          <w:rFonts w:ascii="Arial" w:hAnsi="Arial" w:cs="Arial"/>
        </w:rPr>
        <w:t xml:space="preserve">This </w:t>
      </w:r>
      <w:r w:rsidR="00FD0BC8">
        <w:rPr>
          <w:rFonts w:ascii="Arial" w:hAnsi="Arial" w:cs="Arial"/>
        </w:rPr>
        <w:t>led to it</w:t>
      </w:r>
      <w:r w:rsidR="00FD0BC8" w:rsidRPr="00FD0BC8">
        <w:rPr>
          <w:rFonts w:ascii="Arial" w:hAnsi="Arial" w:cs="Arial"/>
        </w:rPr>
        <w:t xml:space="preserve"> having to construct, by inference, </w:t>
      </w:r>
      <w:r w:rsidR="00FD0BC8" w:rsidRPr="00FD0BC8">
        <w:rPr>
          <w:rFonts w:ascii="Arial" w:hAnsi="Arial" w:cs="Arial"/>
        </w:rPr>
        <w:lastRenderedPageBreak/>
        <w:t>a corrupt design</w:t>
      </w:r>
      <w:r w:rsidR="00FD0BC8">
        <w:rPr>
          <w:rFonts w:ascii="Arial" w:hAnsi="Arial" w:cs="Arial"/>
        </w:rPr>
        <w:t>. It’s collusion theory</w:t>
      </w:r>
      <w:r w:rsidR="00FD0BC8" w:rsidRPr="00FD0BC8">
        <w:rPr>
          <w:rFonts w:ascii="Arial" w:hAnsi="Arial" w:cs="Arial"/>
        </w:rPr>
        <w:t xml:space="preserve"> failed to take into account that the collaboration was  disclosed and that there was no anti-competitive object which could be found in the MoU. </w:t>
      </w:r>
      <w:r w:rsidR="00FD0BC8">
        <w:rPr>
          <w:rFonts w:ascii="Arial" w:hAnsi="Arial" w:cs="Arial"/>
        </w:rPr>
        <w:t>The Tribunal</w:t>
      </w:r>
      <w:r w:rsidR="00FD0BC8" w:rsidRPr="00FD0BC8">
        <w:rPr>
          <w:rFonts w:ascii="Arial" w:hAnsi="Arial" w:cs="Arial"/>
        </w:rPr>
        <w:t>, somewhat cryptically, theorised that this disclosure was designed to create the illusion that the two bids were competitive.</w:t>
      </w:r>
      <w:r w:rsidR="00FD0BC8">
        <w:rPr>
          <w:rStyle w:val="FootnoteReference"/>
          <w:rFonts w:ascii="Arial" w:hAnsi="Arial" w:cs="Arial"/>
        </w:rPr>
        <w:footnoteReference w:id="27"/>
      </w:r>
      <w:r w:rsidR="00FD0BC8" w:rsidRPr="00FD0BC8">
        <w:rPr>
          <w:rFonts w:ascii="Arial" w:hAnsi="Arial" w:cs="Arial"/>
        </w:rPr>
        <w:t xml:space="preserve"> But this does not explain any anti-competitive purpose.</w:t>
      </w:r>
    </w:p>
    <w:p w14:paraId="04C64F66" w14:textId="3290400B" w:rsidR="00EE60F9" w:rsidRDefault="00EE60F9" w:rsidP="00EE60F9">
      <w:pPr>
        <w:pStyle w:val="ListParagraph"/>
        <w:spacing w:line="360" w:lineRule="auto"/>
        <w:ind w:left="0"/>
        <w:jc w:val="both"/>
        <w:rPr>
          <w:rFonts w:ascii="Arial" w:hAnsi="Arial" w:cs="Arial"/>
        </w:rPr>
      </w:pPr>
    </w:p>
    <w:p w14:paraId="0DBB4E59" w14:textId="679179D7" w:rsidR="008539C7" w:rsidRPr="00FD0BC8" w:rsidRDefault="00D939F1" w:rsidP="00C043CD">
      <w:pPr>
        <w:pStyle w:val="ListParagraph"/>
        <w:numPr>
          <w:ilvl w:val="0"/>
          <w:numId w:val="2"/>
        </w:numPr>
        <w:spacing w:line="360" w:lineRule="auto"/>
        <w:ind w:left="0" w:firstLine="0"/>
        <w:jc w:val="both"/>
        <w:rPr>
          <w:rFonts w:ascii="Arial" w:hAnsi="Arial" w:cs="Arial"/>
        </w:rPr>
      </w:pPr>
      <w:r w:rsidRPr="00FD0BC8">
        <w:rPr>
          <w:rFonts w:ascii="Arial" w:hAnsi="Arial" w:cs="Arial"/>
        </w:rPr>
        <w:t xml:space="preserve">There is nothing objectionable about working backward for the purposes of the assessment. </w:t>
      </w:r>
      <w:r w:rsidR="00A52623" w:rsidRPr="00FD0BC8">
        <w:rPr>
          <w:rFonts w:ascii="Arial" w:hAnsi="Arial" w:cs="Arial"/>
        </w:rPr>
        <w:t>However,</w:t>
      </w:r>
      <w:r w:rsidRPr="00FD0BC8">
        <w:rPr>
          <w:rFonts w:ascii="Arial" w:hAnsi="Arial" w:cs="Arial"/>
        </w:rPr>
        <w:t xml:space="preserve"> in embarking on </w:t>
      </w:r>
      <w:r w:rsidR="00A52623" w:rsidRPr="00FD0BC8">
        <w:rPr>
          <w:rFonts w:ascii="Arial" w:hAnsi="Arial" w:cs="Arial"/>
        </w:rPr>
        <w:t>an assessment in this direction</w:t>
      </w:r>
      <w:r w:rsidR="001A21DA" w:rsidRPr="00FD0BC8">
        <w:rPr>
          <w:rFonts w:ascii="Arial" w:hAnsi="Arial" w:cs="Arial"/>
        </w:rPr>
        <w:t>,</w:t>
      </w:r>
      <w:r w:rsidRPr="00FD0BC8">
        <w:rPr>
          <w:rFonts w:ascii="Arial" w:hAnsi="Arial" w:cs="Arial"/>
        </w:rPr>
        <w:t xml:space="preserve"> one must be cautious not to make the </w:t>
      </w:r>
      <w:r w:rsidR="00A52623" w:rsidRPr="00FD0BC8">
        <w:rPr>
          <w:rFonts w:ascii="Arial" w:hAnsi="Arial" w:cs="Arial"/>
        </w:rPr>
        <w:t>determination and then contrive</w:t>
      </w:r>
      <w:r w:rsidRPr="00FD0BC8">
        <w:rPr>
          <w:rFonts w:ascii="Arial" w:hAnsi="Arial" w:cs="Arial"/>
        </w:rPr>
        <w:t xml:space="preserve"> a case which seeks to support this determination.</w:t>
      </w:r>
      <w:r w:rsidR="000E2E94" w:rsidRPr="00FD0BC8">
        <w:rPr>
          <w:rFonts w:ascii="Arial" w:hAnsi="Arial" w:cs="Arial"/>
        </w:rPr>
        <w:t xml:space="preserve"> </w:t>
      </w:r>
    </w:p>
    <w:p w14:paraId="54740FC5" w14:textId="77777777" w:rsidR="00F93A85" w:rsidRPr="00F93A85" w:rsidRDefault="00F93A85" w:rsidP="00F93A85">
      <w:pPr>
        <w:pStyle w:val="ListParagraph"/>
        <w:rPr>
          <w:rFonts w:ascii="Arial" w:hAnsi="Arial" w:cs="Arial"/>
        </w:rPr>
      </w:pPr>
    </w:p>
    <w:p w14:paraId="4D3B8D83" w14:textId="1273AE7B" w:rsidR="00F93A85" w:rsidRDefault="00F93A85" w:rsidP="00F93A85">
      <w:pPr>
        <w:pStyle w:val="ListParagraph"/>
        <w:numPr>
          <w:ilvl w:val="0"/>
          <w:numId w:val="2"/>
        </w:numPr>
        <w:spacing w:line="360" w:lineRule="auto"/>
        <w:ind w:left="0" w:firstLine="0"/>
        <w:jc w:val="both"/>
        <w:rPr>
          <w:rFonts w:ascii="Arial" w:hAnsi="Arial" w:cs="Arial"/>
        </w:rPr>
      </w:pPr>
      <w:r w:rsidRPr="00F35979">
        <w:rPr>
          <w:rFonts w:ascii="Arial" w:hAnsi="Arial" w:cs="Arial"/>
        </w:rPr>
        <w:t xml:space="preserve">The tribunal appears to have been fortified in its approach by the inability of Mr Hodge to point it to any authority where a ‘bid rigging’ case was decided as lawful because of characterisation. </w:t>
      </w:r>
      <w:r w:rsidR="00FD0BC8">
        <w:rPr>
          <w:rFonts w:ascii="Arial" w:hAnsi="Arial" w:cs="Arial"/>
        </w:rPr>
        <w:t>This begs the question. The point is it was not bid rigging in the first place.</w:t>
      </w:r>
    </w:p>
    <w:p w14:paraId="6EAD0DC0" w14:textId="36E9C703" w:rsidR="00A52623" w:rsidRDefault="00A52623" w:rsidP="00A52623">
      <w:pPr>
        <w:pStyle w:val="ListParagraph"/>
        <w:spacing w:line="360" w:lineRule="auto"/>
        <w:ind w:left="0"/>
        <w:jc w:val="both"/>
        <w:rPr>
          <w:rFonts w:ascii="Arial" w:hAnsi="Arial" w:cs="Arial"/>
        </w:rPr>
      </w:pPr>
    </w:p>
    <w:p w14:paraId="1E5E5A2B" w14:textId="072BFDA8" w:rsidR="00A52623" w:rsidRDefault="00D939F1" w:rsidP="00D939F1">
      <w:pPr>
        <w:pStyle w:val="ListParagraph"/>
        <w:numPr>
          <w:ilvl w:val="0"/>
          <w:numId w:val="2"/>
        </w:numPr>
        <w:spacing w:line="360" w:lineRule="auto"/>
        <w:ind w:left="0" w:firstLine="0"/>
        <w:jc w:val="both"/>
        <w:rPr>
          <w:rFonts w:ascii="Arial" w:hAnsi="Arial" w:cs="Arial"/>
        </w:rPr>
      </w:pPr>
      <w:r w:rsidRPr="00A52623">
        <w:rPr>
          <w:rFonts w:ascii="Arial" w:hAnsi="Arial" w:cs="Arial"/>
        </w:rPr>
        <w:t xml:space="preserve">In </w:t>
      </w:r>
      <w:r w:rsidRPr="000E2E94">
        <w:rPr>
          <w:rFonts w:ascii="Arial" w:hAnsi="Arial" w:cs="Arial"/>
          <w:i/>
        </w:rPr>
        <w:t>ANSAC</w:t>
      </w:r>
      <w:r w:rsidRPr="00A52623">
        <w:rPr>
          <w:rFonts w:ascii="Arial" w:hAnsi="Arial" w:cs="Arial"/>
        </w:rPr>
        <w:t xml:space="preserve"> the SCA noted:</w:t>
      </w:r>
    </w:p>
    <w:p w14:paraId="1B316FFD" w14:textId="77777777" w:rsidR="00A52623" w:rsidRPr="00A52623" w:rsidRDefault="00A52623" w:rsidP="00A52623">
      <w:pPr>
        <w:pStyle w:val="ListParagraph"/>
        <w:jc w:val="both"/>
        <w:rPr>
          <w:rFonts w:ascii="Arial" w:hAnsi="Arial" w:cs="Arial"/>
        </w:rPr>
      </w:pPr>
    </w:p>
    <w:p w14:paraId="732654EA" w14:textId="77777777" w:rsidR="00A52623" w:rsidRDefault="00A52623" w:rsidP="00A52623">
      <w:pPr>
        <w:spacing w:line="360" w:lineRule="auto"/>
        <w:jc w:val="both"/>
        <w:rPr>
          <w:rFonts w:ascii="Arial" w:hAnsi="Arial" w:cs="Arial"/>
        </w:rPr>
      </w:pPr>
      <w:r>
        <w:rPr>
          <w:rFonts w:ascii="Arial" w:hAnsi="Arial" w:cs="Arial"/>
        </w:rPr>
        <w:t>‘There is in principle no reason why the enquiry should not be conducted in reverse. The enquirer might choose first to identify the true character of the conduct that is the subject of the complaint, and only then turn to whether the conduct (so characterised) constitutes price-fixing as contemplated by s 4(1)(b). (This is how the enquiry is conducted in the United States, though there the two elements tend to be elided, because the scope of the prohibition is itself a matter of judicial rather than legislative determination.)</w:t>
      </w:r>
      <w:r>
        <w:rPr>
          <w:rStyle w:val="FootnoteReference"/>
          <w:rFonts w:ascii="Arial" w:hAnsi="Arial" w:cs="Arial"/>
        </w:rPr>
        <w:footnoteReference w:id="28"/>
      </w:r>
    </w:p>
    <w:p w14:paraId="1F4EBA20" w14:textId="77777777" w:rsidR="00BB7B9A" w:rsidRDefault="00BB7B9A" w:rsidP="00BB7B9A">
      <w:pPr>
        <w:pStyle w:val="ListParagraph"/>
        <w:spacing w:line="360" w:lineRule="auto"/>
        <w:ind w:left="0"/>
        <w:jc w:val="both"/>
        <w:rPr>
          <w:rFonts w:ascii="Arial" w:hAnsi="Arial" w:cs="Arial"/>
        </w:rPr>
      </w:pPr>
    </w:p>
    <w:p w14:paraId="6F2AF033" w14:textId="2E545EC9" w:rsidR="00F35979" w:rsidRPr="005060CE" w:rsidRDefault="00F93A85" w:rsidP="00F35979">
      <w:pPr>
        <w:pStyle w:val="ListParagraph"/>
        <w:numPr>
          <w:ilvl w:val="0"/>
          <w:numId w:val="2"/>
        </w:numPr>
        <w:spacing w:line="360" w:lineRule="auto"/>
        <w:ind w:left="0" w:firstLine="0"/>
        <w:jc w:val="both"/>
        <w:rPr>
          <w:rFonts w:ascii="Arial" w:hAnsi="Arial" w:cs="Arial"/>
        </w:rPr>
      </w:pPr>
      <w:r>
        <w:rPr>
          <w:rFonts w:ascii="Arial" w:hAnsi="Arial" w:cs="Arial"/>
        </w:rPr>
        <w:t xml:space="preserve">The Court </w:t>
      </w:r>
      <w:r w:rsidR="000E2E94">
        <w:rPr>
          <w:rFonts w:ascii="Arial" w:hAnsi="Arial" w:cs="Arial"/>
        </w:rPr>
        <w:t>was</w:t>
      </w:r>
      <w:r w:rsidR="00FD0BC8">
        <w:rPr>
          <w:rFonts w:ascii="Arial" w:hAnsi="Arial" w:cs="Arial"/>
        </w:rPr>
        <w:t xml:space="preserve"> ,however,</w:t>
      </w:r>
      <w:r w:rsidR="000E2E94">
        <w:rPr>
          <w:rFonts w:ascii="Arial" w:hAnsi="Arial" w:cs="Arial"/>
        </w:rPr>
        <w:t xml:space="preserve"> at pains to explain that</w:t>
      </w:r>
      <w:r w:rsidR="008539C7">
        <w:rPr>
          <w:rFonts w:ascii="Arial" w:hAnsi="Arial" w:cs="Arial"/>
        </w:rPr>
        <w:t>,</w:t>
      </w:r>
      <w:r w:rsidR="00A54135">
        <w:rPr>
          <w:rFonts w:ascii="Arial" w:hAnsi="Arial" w:cs="Arial"/>
        </w:rPr>
        <w:t xml:space="preserve"> whilst</w:t>
      </w:r>
      <w:r w:rsidR="00D939F1" w:rsidRPr="00A52623">
        <w:rPr>
          <w:rFonts w:ascii="Arial" w:hAnsi="Arial" w:cs="Arial"/>
        </w:rPr>
        <w:t xml:space="preserve"> </w:t>
      </w:r>
      <w:r w:rsidR="00A54135">
        <w:rPr>
          <w:rFonts w:ascii="Arial" w:hAnsi="Arial" w:cs="Arial"/>
        </w:rPr>
        <w:t>‘</w:t>
      </w:r>
      <w:r w:rsidR="00D939F1" w:rsidRPr="00A52623">
        <w:rPr>
          <w:rFonts w:ascii="Arial" w:hAnsi="Arial" w:cs="Arial"/>
        </w:rPr>
        <w:t>price fixing</w:t>
      </w:r>
      <w:r w:rsidR="00A54135">
        <w:rPr>
          <w:rFonts w:ascii="Arial" w:hAnsi="Arial" w:cs="Arial"/>
        </w:rPr>
        <w:t>’</w:t>
      </w:r>
      <w:r w:rsidR="00D939F1" w:rsidRPr="00A52623">
        <w:rPr>
          <w:rFonts w:ascii="Arial" w:hAnsi="Arial" w:cs="Arial"/>
        </w:rPr>
        <w:t xml:space="preserve"> always involves consensual price determination by comp</w:t>
      </w:r>
      <w:r w:rsidR="00A52623">
        <w:rPr>
          <w:rFonts w:ascii="Arial" w:hAnsi="Arial" w:cs="Arial"/>
        </w:rPr>
        <w:t>etitors</w:t>
      </w:r>
      <w:r w:rsidR="00F35979">
        <w:rPr>
          <w:rFonts w:ascii="Arial" w:hAnsi="Arial" w:cs="Arial"/>
        </w:rPr>
        <w:t>,</w:t>
      </w:r>
      <w:r w:rsidR="00A52623">
        <w:rPr>
          <w:rFonts w:ascii="Arial" w:hAnsi="Arial" w:cs="Arial"/>
        </w:rPr>
        <w:t xml:space="preserve"> it does not follow that</w:t>
      </w:r>
      <w:r w:rsidR="00D939F1" w:rsidRPr="00A52623">
        <w:rPr>
          <w:rFonts w:ascii="Arial" w:hAnsi="Arial" w:cs="Arial"/>
        </w:rPr>
        <w:t xml:space="preserve"> price fixing has necessarily occurred whenever there is an arrangement between competitors that results in their goods reaching the market at a uniform price. In the language that the Act uses</w:t>
      </w:r>
      <w:r w:rsidR="0040721C">
        <w:rPr>
          <w:rFonts w:ascii="Arial" w:hAnsi="Arial" w:cs="Arial"/>
        </w:rPr>
        <w:t>,</w:t>
      </w:r>
      <w:r w:rsidR="00D939F1" w:rsidRPr="00A52623">
        <w:rPr>
          <w:rFonts w:ascii="Arial" w:hAnsi="Arial" w:cs="Arial"/>
        </w:rPr>
        <w:t xml:space="preserve"> the </w:t>
      </w:r>
      <w:r w:rsidR="00F35979">
        <w:rPr>
          <w:rFonts w:ascii="Arial" w:hAnsi="Arial" w:cs="Arial"/>
        </w:rPr>
        <w:t>‘</w:t>
      </w:r>
      <w:r w:rsidR="00D939F1" w:rsidRPr="00A52623">
        <w:rPr>
          <w:rFonts w:ascii="Arial" w:hAnsi="Arial" w:cs="Arial"/>
        </w:rPr>
        <w:t xml:space="preserve">collusive </w:t>
      </w:r>
      <w:r w:rsidR="00FD0BC8">
        <w:rPr>
          <w:rFonts w:ascii="Arial" w:hAnsi="Arial" w:cs="Arial"/>
        </w:rPr>
        <w:t>tendering</w:t>
      </w:r>
      <w:r w:rsidR="00F35979">
        <w:rPr>
          <w:rFonts w:ascii="Arial" w:hAnsi="Arial" w:cs="Arial"/>
        </w:rPr>
        <w:t>’</w:t>
      </w:r>
      <w:r w:rsidR="00D939F1" w:rsidRPr="00A52623">
        <w:rPr>
          <w:rFonts w:ascii="Arial" w:hAnsi="Arial" w:cs="Arial"/>
        </w:rPr>
        <w:t xml:space="preserve"> by competitors refers to </w:t>
      </w:r>
      <w:r w:rsidR="00F35979">
        <w:rPr>
          <w:rFonts w:ascii="Arial" w:hAnsi="Arial" w:cs="Arial"/>
        </w:rPr>
        <w:t xml:space="preserve">conduct </w:t>
      </w:r>
      <w:r w:rsidR="00D939F1" w:rsidRPr="00A52623">
        <w:rPr>
          <w:rFonts w:ascii="Arial" w:hAnsi="Arial" w:cs="Arial"/>
        </w:rPr>
        <w:t>designed to avoid competition, as opposed to conduct that merely has that incidental effect.</w:t>
      </w:r>
      <w:r w:rsidR="00D939F1">
        <w:rPr>
          <w:rStyle w:val="FootnoteReference"/>
          <w:rFonts w:ascii="Arial" w:hAnsi="Arial" w:cs="Arial"/>
        </w:rPr>
        <w:footnoteReference w:id="29"/>
      </w:r>
    </w:p>
    <w:p w14:paraId="5AA2D3BD" w14:textId="2DDA44C2" w:rsidR="00054193" w:rsidRDefault="00054193" w:rsidP="00054193">
      <w:pPr>
        <w:pStyle w:val="ListParagraph"/>
        <w:numPr>
          <w:ilvl w:val="0"/>
          <w:numId w:val="2"/>
        </w:numPr>
        <w:spacing w:line="360" w:lineRule="auto"/>
        <w:ind w:left="0" w:firstLine="0"/>
        <w:jc w:val="both"/>
        <w:rPr>
          <w:rFonts w:ascii="Arial" w:hAnsi="Arial" w:cs="Arial"/>
        </w:rPr>
      </w:pPr>
      <w:r w:rsidRPr="00054193">
        <w:rPr>
          <w:rFonts w:ascii="Arial" w:hAnsi="Arial" w:cs="Arial"/>
        </w:rPr>
        <w:lastRenderedPageBreak/>
        <w:t xml:space="preserve">This Court in </w:t>
      </w:r>
      <w:r w:rsidRPr="00054193">
        <w:rPr>
          <w:rFonts w:ascii="Arial" w:hAnsi="Arial" w:cs="Arial"/>
          <w:i/>
        </w:rPr>
        <w:t xml:space="preserve">SAB </w:t>
      </w:r>
      <w:r w:rsidR="00BC1D29">
        <w:rPr>
          <w:rFonts w:ascii="Arial" w:hAnsi="Arial" w:cs="Arial"/>
        </w:rPr>
        <w:t>referred</w:t>
      </w:r>
      <w:r w:rsidRPr="00054193">
        <w:rPr>
          <w:rFonts w:ascii="Arial" w:hAnsi="Arial" w:cs="Arial"/>
        </w:rPr>
        <w:t xml:space="preserve"> </w:t>
      </w:r>
      <w:r w:rsidR="00FD0BC8">
        <w:rPr>
          <w:rFonts w:ascii="Arial" w:hAnsi="Arial" w:cs="Arial"/>
        </w:rPr>
        <w:t xml:space="preserve">to the </w:t>
      </w:r>
      <w:r w:rsidRPr="00054193">
        <w:rPr>
          <w:rFonts w:ascii="Arial" w:hAnsi="Arial" w:cs="Arial"/>
        </w:rPr>
        <w:t xml:space="preserve">US Supreme Court’s decision in </w:t>
      </w:r>
      <w:r w:rsidRPr="00054193">
        <w:rPr>
          <w:rFonts w:ascii="Arial" w:hAnsi="Arial" w:cs="Arial"/>
          <w:i/>
        </w:rPr>
        <w:t xml:space="preserve">BMI </w:t>
      </w:r>
      <w:r w:rsidRPr="00054193">
        <w:rPr>
          <w:rFonts w:ascii="Arial" w:hAnsi="Arial" w:cs="Arial"/>
        </w:rPr>
        <w:t>which cautioned against an overly literal approach to price fixing</w:t>
      </w:r>
      <w:r w:rsidR="00BC1D29">
        <w:rPr>
          <w:rFonts w:ascii="Arial" w:hAnsi="Arial" w:cs="Arial"/>
        </w:rPr>
        <w:t>. It quoted the</w:t>
      </w:r>
      <w:r w:rsidRPr="00054193">
        <w:rPr>
          <w:rFonts w:ascii="Arial" w:hAnsi="Arial" w:cs="Arial"/>
        </w:rPr>
        <w:t xml:space="preserve"> following passage in relation to the characterisation of the conduct:</w:t>
      </w:r>
    </w:p>
    <w:p w14:paraId="2103B32D" w14:textId="77777777" w:rsidR="00D7584C" w:rsidRPr="00054193" w:rsidRDefault="00D7584C" w:rsidP="00D7584C">
      <w:pPr>
        <w:pStyle w:val="ListParagraph"/>
        <w:spacing w:line="360" w:lineRule="auto"/>
        <w:ind w:left="0"/>
        <w:jc w:val="both"/>
        <w:rPr>
          <w:rFonts w:ascii="Arial" w:hAnsi="Arial" w:cs="Arial"/>
        </w:rPr>
      </w:pPr>
    </w:p>
    <w:p w14:paraId="500D806A" w14:textId="6B454F7A" w:rsidR="00F93A85" w:rsidRPr="00F93A85" w:rsidRDefault="00BC1D29" w:rsidP="00B17067">
      <w:pPr>
        <w:spacing w:line="360" w:lineRule="auto"/>
        <w:jc w:val="both"/>
        <w:rPr>
          <w:rFonts w:ascii="Arial" w:hAnsi="Arial" w:cs="Arial"/>
        </w:rPr>
      </w:pPr>
      <w:r>
        <w:rPr>
          <w:rFonts w:ascii="Arial" w:hAnsi="Arial" w:cs="Arial"/>
        </w:rPr>
        <w:t>‘</w:t>
      </w:r>
      <w:r w:rsidR="00054193">
        <w:rPr>
          <w:rFonts w:ascii="Arial" w:hAnsi="Arial" w:cs="Arial"/>
          <w:i/>
          <w:iCs/>
        </w:rPr>
        <w:t xml:space="preserve"> </w:t>
      </w:r>
      <w:r w:rsidR="00054193">
        <w:rPr>
          <w:rFonts w:ascii="Arial" w:hAnsi="Arial" w:cs="Arial"/>
          <w:iCs/>
        </w:rPr>
        <w:t>But this is not a question simply of determining whether two or more potential competitors have literally ‘fixed’ a ‘price’. As generally used in the antitrust field, ‘price fixing’ is a shorthand way of describing certain categories of business behavior to which the per se rule has been held applicable. The Court of Appeals’ literal approach does not alone establish that this particular practice is one of those types or that it is ‘plainly anticompetitive’ and very likely without ‘redeeming virtue’. Literalness is overly simplistic and often overbroad . . . ’</w:t>
      </w:r>
      <w:r w:rsidR="00D939F1" w:rsidRPr="0070760F">
        <w:rPr>
          <w:rFonts w:ascii="Arial" w:hAnsi="Arial" w:cs="Arial"/>
          <w:iCs/>
        </w:rPr>
        <w:t xml:space="preserve"> </w:t>
      </w:r>
      <w:r w:rsidR="00D939F1">
        <w:rPr>
          <w:rStyle w:val="FootnoteReference"/>
          <w:rFonts w:ascii="Arial" w:hAnsi="Arial" w:cs="Arial"/>
          <w:iCs/>
        </w:rPr>
        <w:footnoteReference w:id="30"/>
      </w:r>
      <w:r w:rsidR="00D939F1" w:rsidRPr="0070760F">
        <w:rPr>
          <w:rFonts w:ascii="Arial" w:hAnsi="Arial" w:cs="Arial"/>
          <w:iCs/>
        </w:rPr>
        <w:t xml:space="preserve"> </w:t>
      </w:r>
    </w:p>
    <w:p w14:paraId="36F0CC03" w14:textId="1BEA47E8" w:rsidR="00054193" w:rsidRPr="00A82FB4" w:rsidRDefault="00D939F1" w:rsidP="00B17067">
      <w:pPr>
        <w:pStyle w:val="ListParagraph"/>
        <w:spacing w:line="360" w:lineRule="auto"/>
        <w:ind w:left="0"/>
        <w:jc w:val="both"/>
        <w:rPr>
          <w:rFonts w:ascii="Arial" w:hAnsi="Arial" w:cs="Arial"/>
        </w:rPr>
      </w:pPr>
      <w:r w:rsidRPr="00A82FB4">
        <w:rPr>
          <w:rFonts w:ascii="Arial" w:hAnsi="Arial" w:cs="Arial"/>
        </w:rPr>
        <w:t xml:space="preserve"> </w:t>
      </w:r>
    </w:p>
    <w:p w14:paraId="61D2363E" w14:textId="5CE62D11" w:rsidR="00054193" w:rsidRDefault="00FD0BC8" w:rsidP="00F71BCB">
      <w:pPr>
        <w:pStyle w:val="ListParagraph"/>
        <w:numPr>
          <w:ilvl w:val="0"/>
          <w:numId w:val="2"/>
        </w:numPr>
        <w:spacing w:line="360" w:lineRule="auto"/>
        <w:ind w:left="0" w:firstLine="0"/>
        <w:jc w:val="both"/>
        <w:rPr>
          <w:rFonts w:ascii="Arial" w:hAnsi="Arial" w:cs="Arial"/>
        </w:rPr>
      </w:pPr>
      <w:r w:rsidRPr="00FD0BC8">
        <w:rPr>
          <w:rFonts w:ascii="Arial" w:hAnsi="Arial" w:cs="Arial"/>
        </w:rPr>
        <w:t>Thus although</w:t>
      </w:r>
      <w:r w:rsidR="00D939F1" w:rsidRPr="00FD0BC8">
        <w:rPr>
          <w:rFonts w:ascii="Arial" w:hAnsi="Arial" w:cs="Arial"/>
        </w:rPr>
        <w:t xml:space="preserve"> the Tribunal repeatedly posed the question why Tourvest bid in its own name and made much of Ms Zimmerman’s concession that the Trust</w:t>
      </w:r>
      <w:r w:rsidR="00B17067" w:rsidRPr="00FD0BC8">
        <w:rPr>
          <w:rFonts w:ascii="Arial" w:hAnsi="Arial" w:cs="Arial"/>
        </w:rPr>
        <w:t>’s</w:t>
      </w:r>
      <w:r w:rsidR="00D939F1" w:rsidRPr="00FD0BC8">
        <w:rPr>
          <w:rFonts w:ascii="Arial" w:hAnsi="Arial" w:cs="Arial"/>
        </w:rPr>
        <w:t xml:space="preserve"> bid could</w:t>
      </w:r>
      <w:r w:rsidR="00433D9B" w:rsidRPr="00FD0BC8">
        <w:rPr>
          <w:rFonts w:ascii="Arial" w:hAnsi="Arial" w:cs="Arial"/>
        </w:rPr>
        <w:t>,</w:t>
      </w:r>
      <w:r w:rsidR="00D939F1" w:rsidRPr="00FD0BC8">
        <w:rPr>
          <w:rFonts w:ascii="Arial" w:hAnsi="Arial" w:cs="Arial"/>
        </w:rPr>
        <w:t xml:space="preserve"> in theory</w:t>
      </w:r>
      <w:r w:rsidR="00741444" w:rsidRPr="00FD0BC8">
        <w:rPr>
          <w:rFonts w:ascii="Arial" w:hAnsi="Arial" w:cs="Arial"/>
        </w:rPr>
        <w:t>,</w:t>
      </w:r>
      <w:r w:rsidR="00D939F1" w:rsidRPr="00FD0BC8">
        <w:rPr>
          <w:rFonts w:ascii="Arial" w:hAnsi="Arial" w:cs="Arial"/>
        </w:rPr>
        <w:t xml:space="preserve"> be seen to be in competition with </w:t>
      </w:r>
      <w:r w:rsidR="00E375E3" w:rsidRPr="00FD0BC8">
        <w:rPr>
          <w:rFonts w:ascii="Arial" w:hAnsi="Arial" w:cs="Arial"/>
        </w:rPr>
        <w:t>that</w:t>
      </w:r>
      <w:r w:rsidR="00741444" w:rsidRPr="00FD0BC8">
        <w:rPr>
          <w:rFonts w:ascii="Arial" w:hAnsi="Arial" w:cs="Arial"/>
        </w:rPr>
        <w:t xml:space="preserve"> of</w:t>
      </w:r>
      <w:r w:rsidR="00E375E3" w:rsidRPr="00FD0BC8">
        <w:rPr>
          <w:rFonts w:ascii="Arial" w:hAnsi="Arial" w:cs="Arial"/>
        </w:rPr>
        <w:t xml:space="preserve"> </w:t>
      </w:r>
      <w:r w:rsidR="00D939F1" w:rsidRPr="00FD0BC8">
        <w:rPr>
          <w:rFonts w:ascii="Arial" w:hAnsi="Arial" w:cs="Arial"/>
        </w:rPr>
        <w:t>Tourvest</w:t>
      </w:r>
      <w:r w:rsidR="000D454F" w:rsidRPr="00FD0BC8">
        <w:rPr>
          <w:rFonts w:ascii="Arial" w:hAnsi="Arial" w:cs="Arial"/>
        </w:rPr>
        <w:t>,</w:t>
      </w:r>
      <w:r w:rsidR="00D939F1" w:rsidRPr="00FD0BC8">
        <w:rPr>
          <w:rFonts w:ascii="Arial" w:hAnsi="Arial" w:cs="Arial"/>
        </w:rPr>
        <w:t xml:space="preserve"> it was unable </w:t>
      </w:r>
      <w:r w:rsidR="00C953F8" w:rsidRPr="00FD0BC8">
        <w:rPr>
          <w:rFonts w:ascii="Arial" w:hAnsi="Arial" w:cs="Arial"/>
        </w:rPr>
        <w:t>to put up a cogent</w:t>
      </w:r>
      <w:r w:rsidR="00D939F1" w:rsidRPr="00FD0BC8">
        <w:rPr>
          <w:rFonts w:ascii="Arial" w:hAnsi="Arial" w:cs="Arial"/>
        </w:rPr>
        <w:t xml:space="preserve"> </w:t>
      </w:r>
      <w:r w:rsidR="00C953F8" w:rsidRPr="00FD0BC8">
        <w:rPr>
          <w:rFonts w:ascii="Arial" w:hAnsi="Arial" w:cs="Arial"/>
        </w:rPr>
        <w:t>collusion</w:t>
      </w:r>
      <w:r w:rsidR="00D939F1" w:rsidRPr="00FD0BC8">
        <w:rPr>
          <w:rFonts w:ascii="Arial" w:hAnsi="Arial" w:cs="Arial"/>
        </w:rPr>
        <w:t xml:space="preserve"> theory. On the other </w:t>
      </w:r>
      <w:r w:rsidR="00054193" w:rsidRPr="00FD0BC8">
        <w:rPr>
          <w:rFonts w:ascii="Arial" w:hAnsi="Arial" w:cs="Arial"/>
        </w:rPr>
        <w:t>hand,</w:t>
      </w:r>
      <w:r w:rsidR="00D939F1" w:rsidRPr="00FD0BC8">
        <w:rPr>
          <w:rFonts w:ascii="Arial" w:hAnsi="Arial" w:cs="Arial"/>
        </w:rPr>
        <w:t xml:space="preserve"> Mr </w:t>
      </w:r>
      <w:r w:rsidR="00073CA9" w:rsidRPr="00FD0BC8">
        <w:rPr>
          <w:rFonts w:ascii="Arial" w:hAnsi="Arial" w:cs="Arial"/>
        </w:rPr>
        <w:t>de Jager’s</w:t>
      </w:r>
      <w:r w:rsidR="00D939F1" w:rsidRPr="00FD0BC8">
        <w:rPr>
          <w:rFonts w:ascii="Arial" w:hAnsi="Arial" w:cs="Arial"/>
        </w:rPr>
        <w:t xml:space="preserve"> explanation that the To</w:t>
      </w:r>
      <w:r w:rsidR="00B97E95" w:rsidRPr="00FD0BC8">
        <w:rPr>
          <w:rFonts w:ascii="Arial" w:hAnsi="Arial" w:cs="Arial"/>
        </w:rPr>
        <w:t>ur</w:t>
      </w:r>
      <w:r w:rsidR="00D939F1" w:rsidRPr="00FD0BC8">
        <w:rPr>
          <w:rFonts w:ascii="Arial" w:hAnsi="Arial" w:cs="Arial"/>
        </w:rPr>
        <w:t xml:space="preserve">vest bid was put in because there was </w:t>
      </w:r>
      <w:r w:rsidRPr="00FD0BC8">
        <w:rPr>
          <w:rFonts w:ascii="Arial" w:hAnsi="Arial" w:cs="Arial"/>
        </w:rPr>
        <w:t xml:space="preserve">a </w:t>
      </w:r>
      <w:r w:rsidR="00D939F1" w:rsidRPr="00FD0BC8">
        <w:rPr>
          <w:rFonts w:ascii="Arial" w:hAnsi="Arial" w:cs="Arial"/>
        </w:rPr>
        <w:t>rationa</w:t>
      </w:r>
      <w:r w:rsidR="00054193" w:rsidRPr="00FD0BC8">
        <w:rPr>
          <w:rFonts w:ascii="Arial" w:hAnsi="Arial" w:cs="Arial"/>
        </w:rPr>
        <w:t xml:space="preserve">l fear that the Trust would be </w:t>
      </w:r>
      <w:r w:rsidR="00D939F1" w:rsidRPr="00FD0BC8">
        <w:rPr>
          <w:rFonts w:ascii="Arial" w:hAnsi="Arial" w:cs="Arial"/>
        </w:rPr>
        <w:t xml:space="preserve">disqualified from the bid leaving Tourvest </w:t>
      </w:r>
      <w:r w:rsidR="00D939F1" w:rsidRPr="00FD0BC8">
        <w:rPr>
          <w:rFonts w:ascii="Arial" w:hAnsi="Arial" w:cs="Arial"/>
          <w:i/>
        </w:rPr>
        <w:t xml:space="preserve">between two stools </w:t>
      </w:r>
      <w:r w:rsidR="00D939F1" w:rsidRPr="00FD0BC8">
        <w:rPr>
          <w:rFonts w:ascii="Arial" w:hAnsi="Arial" w:cs="Arial"/>
        </w:rPr>
        <w:t xml:space="preserve">is an obvious explanation. </w:t>
      </w:r>
    </w:p>
    <w:p w14:paraId="055BCA7C" w14:textId="77777777" w:rsidR="00FD0BC8" w:rsidRPr="00FD0BC8" w:rsidRDefault="00FD0BC8" w:rsidP="00FD0BC8">
      <w:pPr>
        <w:pStyle w:val="ListParagraph"/>
        <w:spacing w:line="360" w:lineRule="auto"/>
        <w:ind w:left="0"/>
        <w:jc w:val="both"/>
        <w:rPr>
          <w:rFonts w:ascii="Arial" w:hAnsi="Arial" w:cs="Arial"/>
        </w:rPr>
      </w:pPr>
    </w:p>
    <w:p w14:paraId="226944E9" w14:textId="424B7AA3" w:rsidR="00054193" w:rsidRDefault="00054193" w:rsidP="00054193">
      <w:pPr>
        <w:pStyle w:val="ListParagraph"/>
        <w:spacing w:line="360" w:lineRule="auto"/>
        <w:ind w:left="0"/>
        <w:jc w:val="both"/>
        <w:rPr>
          <w:rFonts w:ascii="Arial" w:hAnsi="Arial" w:cs="Arial"/>
        </w:rPr>
      </w:pPr>
      <w:r>
        <w:rPr>
          <w:rFonts w:ascii="Arial" w:hAnsi="Arial" w:cs="Arial"/>
          <w:b/>
        </w:rPr>
        <w:t>Conclusion</w:t>
      </w:r>
    </w:p>
    <w:p w14:paraId="5F4107ED" w14:textId="77777777" w:rsidR="00054193" w:rsidRPr="00054193" w:rsidRDefault="00054193" w:rsidP="00054193">
      <w:pPr>
        <w:pStyle w:val="ListParagraph"/>
        <w:rPr>
          <w:rFonts w:ascii="Arial" w:hAnsi="Arial" w:cs="Arial"/>
        </w:rPr>
      </w:pPr>
    </w:p>
    <w:p w14:paraId="64AD5980" w14:textId="2EB3C1E3" w:rsidR="00054193" w:rsidRDefault="00BA39B1" w:rsidP="00054193">
      <w:pPr>
        <w:pStyle w:val="ListParagraph"/>
        <w:numPr>
          <w:ilvl w:val="0"/>
          <w:numId w:val="2"/>
        </w:numPr>
        <w:spacing w:line="360" w:lineRule="auto"/>
        <w:ind w:left="0" w:firstLine="0"/>
        <w:jc w:val="both"/>
        <w:rPr>
          <w:rFonts w:ascii="Arial" w:hAnsi="Arial" w:cs="Arial"/>
        </w:rPr>
      </w:pPr>
      <w:r>
        <w:rPr>
          <w:rFonts w:ascii="Arial" w:hAnsi="Arial" w:cs="Arial"/>
        </w:rPr>
        <w:t>In conclusion, the central misdirection</w:t>
      </w:r>
      <w:r w:rsidR="00FD0BC8">
        <w:rPr>
          <w:rFonts w:ascii="Arial" w:hAnsi="Arial" w:cs="Arial"/>
        </w:rPr>
        <w:t xml:space="preserve"> of the Tribunal</w:t>
      </w:r>
      <w:r>
        <w:rPr>
          <w:rFonts w:ascii="Arial" w:hAnsi="Arial" w:cs="Arial"/>
        </w:rPr>
        <w:t xml:space="preserve"> </w:t>
      </w:r>
      <w:r w:rsidR="00603630">
        <w:rPr>
          <w:rFonts w:ascii="Arial" w:hAnsi="Arial" w:cs="Arial"/>
        </w:rPr>
        <w:t xml:space="preserve">in this case </w:t>
      </w:r>
      <w:r w:rsidR="004B758F">
        <w:rPr>
          <w:rFonts w:ascii="Arial" w:hAnsi="Arial" w:cs="Arial"/>
        </w:rPr>
        <w:t xml:space="preserve">was the failure to appreciate that </w:t>
      </w:r>
      <w:r w:rsidR="00341EF7">
        <w:rPr>
          <w:rFonts w:ascii="Arial" w:hAnsi="Arial" w:cs="Arial"/>
        </w:rPr>
        <w:t xml:space="preserve">the </w:t>
      </w:r>
      <w:r w:rsidR="004B758F">
        <w:rPr>
          <w:rFonts w:ascii="Arial" w:hAnsi="Arial" w:cs="Arial"/>
        </w:rPr>
        <w:t>accepted</w:t>
      </w:r>
      <w:r w:rsidR="00D939F1" w:rsidRPr="00054193">
        <w:rPr>
          <w:rFonts w:ascii="Arial" w:hAnsi="Arial" w:cs="Arial"/>
        </w:rPr>
        <w:t xml:space="preserve"> legal and economic prescripts did not allow it to embark on a</w:t>
      </w:r>
      <w:r>
        <w:rPr>
          <w:rFonts w:ascii="Arial" w:hAnsi="Arial" w:cs="Arial"/>
        </w:rPr>
        <w:t xml:space="preserve"> characterisation</w:t>
      </w:r>
      <w:r w:rsidR="00603630">
        <w:rPr>
          <w:rFonts w:ascii="Arial" w:hAnsi="Arial" w:cs="Arial"/>
        </w:rPr>
        <w:t xml:space="preserve"> enquiry</w:t>
      </w:r>
      <w:r w:rsidR="00D939F1" w:rsidRPr="00054193">
        <w:rPr>
          <w:rFonts w:ascii="Arial" w:hAnsi="Arial" w:cs="Arial"/>
        </w:rPr>
        <w:t xml:space="preserve"> which failed to take account of the character of the parties’ relationship absent the impugned agreement – which </w:t>
      </w:r>
      <w:r w:rsidR="00887E2B">
        <w:rPr>
          <w:rFonts w:ascii="Arial" w:hAnsi="Arial" w:cs="Arial"/>
        </w:rPr>
        <w:t xml:space="preserve">relationship </w:t>
      </w:r>
      <w:r w:rsidR="00D939F1" w:rsidRPr="00054193">
        <w:rPr>
          <w:rFonts w:ascii="Arial" w:hAnsi="Arial" w:cs="Arial"/>
        </w:rPr>
        <w:t>was</w:t>
      </w:r>
      <w:r w:rsidR="00B97E95">
        <w:rPr>
          <w:rFonts w:ascii="Arial" w:hAnsi="Arial" w:cs="Arial"/>
        </w:rPr>
        <w:t>,</w:t>
      </w:r>
      <w:r w:rsidR="00887E2B">
        <w:rPr>
          <w:rFonts w:ascii="Arial" w:hAnsi="Arial" w:cs="Arial"/>
        </w:rPr>
        <w:t xml:space="preserve"> on all the facts</w:t>
      </w:r>
      <w:r w:rsidR="00B97E95">
        <w:rPr>
          <w:rFonts w:ascii="Arial" w:hAnsi="Arial" w:cs="Arial"/>
        </w:rPr>
        <w:t>,</w:t>
      </w:r>
      <w:r w:rsidR="00D939F1" w:rsidRPr="00054193">
        <w:rPr>
          <w:rFonts w:ascii="Arial" w:hAnsi="Arial" w:cs="Arial"/>
        </w:rPr>
        <w:t xml:space="preserve"> plainly vertical.  </w:t>
      </w:r>
    </w:p>
    <w:p w14:paraId="4121E6C6" w14:textId="77777777" w:rsidR="005060CE" w:rsidRDefault="005060CE" w:rsidP="005060CE">
      <w:pPr>
        <w:pStyle w:val="ListParagraph"/>
        <w:spacing w:line="360" w:lineRule="auto"/>
        <w:ind w:left="0"/>
        <w:jc w:val="both"/>
        <w:rPr>
          <w:rFonts w:ascii="Arial" w:hAnsi="Arial" w:cs="Arial"/>
        </w:rPr>
      </w:pPr>
    </w:p>
    <w:p w14:paraId="702510F8" w14:textId="4615FEBC" w:rsidR="00FD0BC8" w:rsidRDefault="00D72614" w:rsidP="00054193">
      <w:pPr>
        <w:pStyle w:val="ListParagraph"/>
        <w:numPr>
          <w:ilvl w:val="0"/>
          <w:numId w:val="2"/>
        </w:numPr>
        <w:spacing w:line="360" w:lineRule="auto"/>
        <w:ind w:left="0" w:firstLine="0"/>
        <w:jc w:val="both"/>
        <w:rPr>
          <w:rFonts w:ascii="Arial" w:hAnsi="Arial" w:cs="Arial"/>
        </w:rPr>
      </w:pPr>
      <w:r w:rsidRPr="00D72614">
        <w:rPr>
          <w:rFonts w:ascii="Arial" w:hAnsi="Arial" w:cs="Arial"/>
        </w:rPr>
        <w:t>The approach by the Tribunal on characterisation</w:t>
      </w:r>
      <w:r>
        <w:rPr>
          <w:rFonts w:ascii="Arial" w:hAnsi="Arial" w:cs="Arial"/>
        </w:rPr>
        <w:t xml:space="preserve"> does not accord</w:t>
      </w:r>
      <w:r w:rsidRPr="00D72614">
        <w:rPr>
          <w:rFonts w:ascii="Arial" w:hAnsi="Arial" w:cs="Arial"/>
        </w:rPr>
        <w:t xml:space="preserve"> with the </w:t>
      </w:r>
      <w:r>
        <w:rPr>
          <w:rFonts w:ascii="Arial" w:hAnsi="Arial" w:cs="Arial"/>
        </w:rPr>
        <w:t xml:space="preserve">approach outlined in </w:t>
      </w:r>
      <w:r w:rsidRPr="00D72614">
        <w:rPr>
          <w:rFonts w:ascii="Arial" w:hAnsi="Arial" w:cs="Arial"/>
        </w:rPr>
        <w:t> </w:t>
      </w:r>
      <w:r w:rsidRPr="00D72614">
        <w:rPr>
          <w:rFonts w:ascii="Arial" w:hAnsi="Arial" w:cs="Arial"/>
          <w:i/>
          <w:iCs/>
        </w:rPr>
        <w:t>ANSAC </w:t>
      </w:r>
      <w:r w:rsidRPr="00D72614">
        <w:rPr>
          <w:rFonts w:ascii="Arial" w:hAnsi="Arial" w:cs="Arial"/>
        </w:rPr>
        <w:t>and this Court’s jurisprudence in </w:t>
      </w:r>
      <w:r w:rsidRPr="00D72614">
        <w:rPr>
          <w:rFonts w:ascii="Arial" w:hAnsi="Arial" w:cs="Arial"/>
          <w:i/>
          <w:iCs/>
        </w:rPr>
        <w:t>SAB</w:t>
      </w:r>
      <w:r w:rsidRPr="00D72614">
        <w:rPr>
          <w:rFonts w:ascii="Arial" w:hAnsi="Arial" w:cs="Arial"/>
        </w:rPr>
        <w:t> and</w:t>
      </w:r>
      <w:r>
        <w:rPr>
          <w:rFonts w:ascii="Arial" w:hAnsi="Arial" w:cs="Arial"/>
        </w:rPr>
        <w:t xml:space="preserve"> more</w:t>
      </w:r>
      <w:r w:rsidRPr="00D72614">
        <w:rPr>
          <w:rFonts w:ascii="Arial" w:hAnsi="Arial" w:cs="Arial"/>
        </w:rPr>
        <w:t xml:space="preserve"> recently in </w:t>
      </w:r>
      <w:r w:rsidRPr="00D72614">
        <w:rPr>
          <w:rFonts w:ascii="Arial" w:hAnsi="Arial" w:cs="Arial"/>
          <w:i/>
          <w:iCs/>
        </w:rPr>
        <w:t>Dawn</w:t>
      </w:r>
      <w:r>
        <w:rPr>
          <w:rFonts w:ascii="Arial" w:hAnsi="Arial" w:cs="Arial"/>
          <w:i/>
          <w:iCs/>
        </w:rPr>
        <w:t>.</w:t>
      </w:r>
      <w:r>
        <w:rPr>
          <w:rStyle w:val="FootnoteReference"/>
          <w:rFonts w:ascii="Arial" w:hAnsi="Arial" w:cs="Arial"/>
          <w:i/>
          <w:iCs/>
        </w:rPr>
        <w:footnoteReference w:id="31"/>
      </w:r>
      <w:r w:rsidRPr="00D72614">
        <w:rPr>
          <w:rFonts w:ascii="Arial" w:hAnsi="Arial" w:cs="Arial"/>
          <w:i/>
          <w:iCs/>
        </w:rPr>
        <w:t>  </w:t>
      </w:r>
    </w:p>
    <w:p w14:paraId="4F9E6E2B" w14:textId="4B273A54" w:rsidR="00FD0BC8" w:rsidRPr="00FD0BC8" w:rsidRDefault="00FD0BC8" w:rsidP="00FD0BC8">
      <w:pPr>
        <w:spacing w:line="360" w:lineRule="auto"/>
        <w:jc w:val="both"/>
        <w:rPr>
          <w:rFonts w:ascii="Arial" w:hAnsi="Arial" w:cs="Arial"/>
        </w:rPr>
      </w:pPr>
    </w:p>
    <w:p w14:paraId="48E0D1E0" w14:textId="0BF550D3" w:rsidR="00054193" w:rsidRPr="00FD0BC8" w:rsidRDefault="00054193" w:rsidP="00FD0BC8">
      <w:pPr>
        <w:widowControl w:val="0"/>
        <w:tabs>
          <w:tab w:val="left" w:pos="1247"/>
        </w:tabs>
        <w:autoSpaceDE w:val="0"/>
        <w:autoSpaceDN w:val="0"/>
        <w:spacing w:before="204" w:line="360" w:lineRule="auto"/>
        <w:ind w:right="1004"/>
        <w:jc w:val="both"/>
        <w:rPr>
          <w:rFonts w:ascii="Arial" w:hAnsi="Arial" w:cs="Arial"/>
          <w:b/>
          <w:color w:val="2A2A2A"/>
        </w:rPr>
      </w:pPr>
      <w:r>
        <w:rPr>
          <w:rFonts w:ascii="Arial" w:hAnsi="Arial" w:cs="Arial"/>
          <w:b/>
          <w:color w:val="2A2A2A"/>
        </w:rPr>
        <w:t>Order</w:t>
      </w:r>
    </w:p>
    <w:p w14:paraId="55967304" w14:textId="77777777" w:rsidR="00054193" w:rsidRDefault="00054193" w:rsidP="00054193">
      <w:pPr>
        <w:pStyle w:val="ListParagraph"/>
        <w:spacing w:line="360" w:lineRule="auto"/>
        <w:ind w:left="0"/>
        <w:jc w:val="both"/>
        <w:rPr>
          <w:rFonts w:ascii="Arial" w:hAnsi="Arial" w:cs="Arial"/>
        </w:rPr>
      </w:pPr>
    </w:p>
    <w:p w14:paraId="34E87EC1" w14:textId="2EEFC208" w:rsidR="00054193" w:rsidRPr="00054193" w:rsidRDefault="00D939F1" w:rsidP="00054193">
      <w:pPr>
        <w:pStyle w:val="ListParagraph"/>
        <w:numPr>
          <w:ilvl w:val="0"/>
          <w:numId w:val="2"/>
        </w:numPr>
        <w:spacing w:line="360" w:lineRule="auto"/>
        <w:ind w:left="0" w:firstLine="0"/>
        <w:jc w:val="both"/>
        <w:rPr>
          <w:rFonts w:ascii="Arial" w:hAnsi="Arial" w:cs="Arial"/>
        </w:rPr>
      </w:pPr>
      <w:r w:rsidRPr="00054193">
        <w:rPr>
          <w:rFonts w:ascii="Arial" w:hAnsi="Arial" w:cs="Arial"/>
          <w:color w:val="2A2A2A"/>
        </w:rPr>
        <w:t>The following order is thus made:</w:t>
      </w:r>
    </w:p>
    <w:p w14:paraId="3EF38672" w14:textId="77777777" w:rsidR="00054193" w:rsidRPr="00054193" w:rsidRDefault="00054193" w:rsidP="00054193">
      <w:pPr>
        <w:pStyle w:val="ListParagraph"/>
        <w:spacing w:line="360" w:lineRule="auto"/>
        <w:ind w:left="0"/>
        <w:jc w:val="both"/>
        <w:rPr>
          <w:rFonts w:ascii="Arial" w:hAnsi="Arial" w:cs="Arial"/>
        </w:rPr>
      </w:pPr>
    </w:p>
    <w:p w14:paraId="6EA52216" w14:textId="77777777" w:rsidR="00D50452" w:rsidRPr="00D50452" w:rsidRDefault="00D939F1" w:rsidP="00D50452">
      <w:pPr>
        <w:pStyle w:val="ListParagraph"/>
        <w:numPr>
          <w:ilvl w:val="2"/>
          <w:numId w:val="22"/>
        </w:numPr>
        <w:spacing w:line="360" w:lineRule="auto"/>
        <w:jc w:val="both"/>
        <w:rPr>
          <w:rFonts w:ascii="Arial" w:hAnsi="Arial" w:cs="Arial"/>
        </w:rPr>
      </w:pPr>
      <w:r w:rsidRPr="00054193">
        <w:rPr>
          <w:rFonts w:ascii="Arial" w:eastAsia="Times New Roman" w:hAnsi="Arial" w:cs="Arial"/>
          <w:color w:val="242121"/>
        </w:rPr>
        <w:t>The appeal is upheld.</w:t>
      </w:r>
      <w:r w:rsidR="00054193" w:rsidRPr="00054193">
        <w:rPr>
          <w:rFonts w:ascii="Arial" w:eastAsia="Times New Roman" w:hAnsi="Arial" w:cs="Arial"/>
          <w:color w:val="242121"/>
        </w:rPr>
        <w:t xml:space="preserve"> </w:t>
      </w:r>
    </w:p>
    <w:p w14:paraId="7E7BCC15" w14:textId="3362C17A" w:rsidR="00D939F1" w:rsidRPr="00D50452" w:rsidRDefault="00D939F1" w:rsidP="00D50452">
      <w:pPr>
        <w:pStyle w:val="ListParagraph"/>
        <w:numPr>
          <w:ilvl w:val="2"/>
          <w:numId w:val="22"/>
        </w:numPr>
        <w:spacing w:line="360" w:lineRule="auto"/>
        <w:jc w:val="both"/>
        <w:rPr>
          <w:rFonts w:ascii="Arial" w:hAnsi="Arial" w:cs="Arial"/>
        </w:rPr>
      </w:pPr>
      <w:r w:rsidRPr="00D50452">
        <w:rPr>
          <w:rFonts w:ascii="Arial" w:eastAsia="Times New Roman" w:hAnsi="Arial" w:cs="Arial"/>
          <w:color w:val="242121"/>
        </w:rPr>
        <w:t>The Tribun</w:t>
      </w:r>
      <w:r w:rsidR="00054193" w:rsidRPr="00D50452">
        <w:rPr>
          <w:rFonts w:ascii="Arial" w:eastAsia="Times New Roman" w:hAnsi="Arial" w:cs="Arial"/>
          <w:color w:val="242121"/>
        </w:rPr>
        <w:t>al’s order of 29 September 2021</w:t>
      </w:r>
      <w:r w:rsidRPr="00D50452">
        <w:rPr>
          <w:rFonts w:ascii="Arial" w:eastAsia="Times New Roman" w:hAnsi="Arial" w:cs="Arial"/>
          <w:color w:val="242121"/>
        </w:rPr>
        <w:t xml:space="preserve"> is set aside an</w:t>
      </w:r>
      <w:r w:rsidR="00054193" w:rsidRPr="00D50452">
        <w:rPr>
          <w:rFonts w:ascii="Arial" w:eastAsia="Times New Roman" w:hAnsi="Arial" w:cs="Arial"/>
          <w:color w:val="242121"/>
        </w:rPr>
        <w:t xml:space="preserve">d replaced by </w:t>
      </w:r>
      <w:r w:rsidRPr="00D50452">
        <w:rPr>
          <w:rFonts w:ascii="Arial" w:eastAsia="Times New Roman" w:hAnsi="Arial" w:cs="Arial"/>
          <w:color w:val="242121"/>
        </w:rPr>
        <w:t>the following order:</w:t>
      </w:r>
    </w:p>
    <w:p w14:paraId="7F6B103A" w14:textId="77777777" w:rsidR="00054193" w:rsidRDefault="00D939F1" w:rsidP="00341EF7">
      <w:pPr>
        <w:pStyle w:val="ListParagraph"/>
        <w:shd w:val="clear" w:color="auto" w:fill="FFFFFF"/>
        <w:spacing w:before="144" w:line="480" w:lineRule="atLeast"/>
        <w:ind w:left="2160"/>
        <w:rPr>
          <w:rFonts w:ascii="Arial" w:eastAsia="Times New Roman" w:hAnsi="Arial" w:cs="Arial"/>
          <w:color w:val="242121"/>
        </w:rPr>
      </w:pPr>
      <w:r w:rsidRPr="00054193">
        <w:rPr>
          <w:rFonts w:ascii="Arial" w:eastAsia="Times New Roman" w:hAnsi="Arial" w:cs="Arial"/>
          <w:color w:val="242121"/>
        </w:rPr>
        <w:t>“The Competition Commission’s Complaint Referral against Tourvest Holdings (Pty) Ltd and Siyazisiza Trust (under CR 022May15) is dismissed.”</w:t>
      </w:r>
    </w:p>
    <w:p w14:paraId="5C59FF7B" w14:textId="6D1017F5" w:rsidR="00D939F1" w:rsidRDefault="00D939F1" w:rsidP="00FD0BC8">
      <w:pPr>
        <w:pStyle w:val="ListParagraph"/>
        <w:numPr>
          <w:ilvl w:val="2"/>
          <w:numId w:val="22"/>
        </w:numPr>
        <w:shd w:val="clear" w:color="auto" w:fill="FFFFFF"/>
        <w:spacing w:before="144" w:line="480" w:lineRule="atLeast"/>
        <w:rPr>
          <w:rFonts w:ascii="Arial" w:eastAsia="Times New Roman" w:hAnsi="Arial" w:cs="Arial"/>
          <w:color w:val="242121"/>
        </w:rPr>
      </w:pPr>
      <w:r w:rsidRPr="00054193">
        <w:rPr>
          <w:rFonts w:ascii="Arial" w:eastAsia="Times New Roman" w:hAnsi="Arial" w:cs="Arial"/>
          <w:color w:val="242121"/>
        </w:rPr>
        <w:t xml:space="preserve"> The Commission is</w:t>
      </w:r>
      <w:r w:rsidR="00054193">
        <w:rPr>
          <w:rFonts w:ascii="Arial" w:eastAsia="Times New Roman" w:hAnsi="Arial" w:cs="Arial"/>
          <w:color w:val="242121"/>
        </w:rPr>
        <w:t xml:space="preserve"> ordered to pay the appellant’s</w:t>
      </w:r>
      <w:r w:rsidRPr="00054193">
        <w:rPr>
          <w:rFonts w:ascii="Arial" w:eastAsia="Times New Roman" w:hAnsi="Arial" w:cs="Arial"/>
          <w:color w:val="242121"/>
        </w:rPr>
        <w:t xml:space="preserve"> costs including the cost of two counsel where employe</w:t>
      </w:r>
      <w:r w:rsidR="00FD0BC8">
        <w:rPr>
          <w:rFonts w:ascii="Arial" w:eastAsia="Times New Roman" w:hAnsi="Arial" w:cs="Arial"/>
          <w:color w:val="242121"/>
        </w:rPr>
        <w:t>d</w:t>
      </w:r>
    </w:p>
    <w:p w14:paraId="302924A2" w14:textId="190ABC6B" w:rsidR="00FD0BC8" w:rsidRDefault="00FD0BC8" w:rsidP="00FD0BC8">
      <w:pPr>
        <w:shd w:val="clear" w:color="auto" w:fill="FFFFFF"/>
        <w:spacing w:before="144" w:line="480" w:lineRule="atLeast"/>
        <w:rPr>
          <w:rFonts w:ascii="Arial" w:eastAsia="Times New Roman" w:hAnsi="Arial" w:cs="Arial"/>
          <w:color w:val="242121"/>
        </w:rPr>
      </w:pPr>
    </w:p>
    <w:p w14:paraId="4BEB184E" w14:textId="15105476" w:rsidR="00FD0BC8" w:rsidRDefault="00FD0BC8" w:rsidP="00FD0BC8">
      <w:pPr>
        <w:shd w:val="clear" w:color="auto" w:fill="FFFFFF"/>
        <w:spacing w:before="144" w:line="480" w:lineRule="atLeast"/>
        <w:rPr>
          <w:rFonts w:ascii="Arial" w:eastAsia="Times New Roman" w:hAnsi="Arial" w:cs="Arial"/>
          <w:color w:val="242121"/>
        </w:rPr>
      </w:pPr>
    </w:p>
    <w:p w14:paraId="2E84EA77" w14:textId="3C23A887" w:rsidR="00FD0BC8" w:rsidRDefault="00FD0BC8" w:rsidP="00FD0BC8">
      <w:pPr>
        <w:shd w:val="clear" w:color="auto" w:fill="FFFFFF"/>
        <w:spacing w:before="144" w:line="480" w:lineRule="atLeast"/>
        <w:rPr>
          <w:rFonts w:ascii="Arial" w:eastAsia="Times New Roman" w:hAnsi="Arial" w:cs="Arial"/>
          <w:color w:val="242121"/>
        </w:rPr>
      </w:pPr>
    </w:p>
    <w:p w14:paraId="3F051FF4" w14:textId="42A7B679" w:rsidR="00FD0BC8" w:rsidRDefault="00FD0BC8" w:rsidP="00FD0BC8">
      <w:pPr>
        <w:shd w:val="clear" w:color="auto" w:fill="FFFFFF"/>
        <w:spacing w:before="144" w:line="480" w:lineRule="atLeast"/>
        <w:rPr>
          <w:rFonts w:ascii="Arial" w:eastAsia="Times New Roman" w:hAnsi="Arial" w:cs="Arial"/>
          <w:color w:val="242121"/>
        </w:rPr>
      </w:pPr>
    </w:p>
    <w:p w14:paraId="371009D6" w14:textId="7D563453" w:rsidR="00FD0BC8" w:rsidRDefault="00FD0BC8" w:rsidP="00FD0BC8">
      <w:pPr>
        <w:shd w:val="clear" w:color="auto" w:fill="FFFFFF"/>
        <w:spacing w:before="144" w:line="480" w:lineRule="atLeast"/>
        <w:rPr>
          <w:rFonts w:ascii="Arial" w:eastAsia="Times New Roman" w:hAnsi="Arial" w:cs="Arial"/>
          <w:color w:val="242121"/>
        </w:rPr>
      </w:pPr>
    </w:p>
    <w:p w14:paraId="6F224F55" w14:textId="77777777" w:rsidR="00FD0BC8" w:rsidRPr="00FD0BC8" w:rsidRDefault="00FD0BC8" w:rsidP="00FD0BC8">
      <w:pPr>
        <w:shd w:val="clear" w:color="auto" w:fill="FFFFFF"/>
        <w:spacing w:before="144" w:line="480" w:lineRule="atLeast"/>
        <w:rPr>
          <w:rFonts w:ascii="Arial" w:eastAsia="Times New Roman" w:hAnsi="Arial" w:cs="Arial"/>
          <w:color w:val="242121"/>
        </w:rPr>
      </w:pPr>
    </w:p>
    <w:p w14:paraId="781A8CD5" w14:textId="4796658F" w:rsidR="008C3242" w:rsidRDefault="008C3242" w:rsidP="00B136F7">
      <w:pPr>
        <w:pStyle w:val="ListParagraph"/>
        <w:spacing w:line="360" w:lineRule="auto"/>
        <w:ind w:left="0"/>
        <w:jc w:val="both"/>
        <w:rPr>
          <w:rFonts w:ascii="Arial" w:hAnsi="Arial" w:cs="Arial"/>
          <w:lang w:val="en-GB"/>
        </w:rPr>
      </w:pPr>
    </w:p>
    <w:p w14:paraId="5CD7E782" w14:textId="77777777" w:rsidR="00B136F7" w:rsidRPr="006F26DF" w:rsidRDefault="00B136F7" w:rsidP="00B136F7">
      <w:pPr>
        <w:pStyle w:val="ListParagraph"/>
        <w:spacing w:line="360" w:lineRule="auto"/>
        <w:ind w:left="0"/>
        <w:jc w:val="both"/>
        <w:rPr>
          <w:rFonts w:ascii="Arial" w:hAnsi="Arial" w:cs="Arial"/>
        </w:rPr>
      </w:pPr>
    </w:p>
    <w:p w14:paraId="7BBCFE7A" w14:textId="20132682" w:rsidR="00012E96" w:rsidRPr="002712FE" w:rsidRDefault="00B136F7" w:rsidP="00B136F7">
      <w:pPr>
        <w:pStyle w:val="ListParagraph"/>
        <w:spacing w:line="360" w:lineRule="auto"/>
        <w:ind w:left="0"/>
        <w:jc w:val="both"/>
        <w:rPr>
          <w:rFonts w:ascii="Arial" w:hAnsi="Arial" w:cs="Arial"/>
        </w:rPr>
      </w:pPr>
      <w:r>
        <w:rPr>
          <w:rFonts w:ascii="Arial" w:hAnsi="Arial" w:cs="Arial"/>
        </w:rPr>
        <w:t xml:space="preserve">             </w:t>
      </w:r>
      <w:r w:rsidR="00C6334E">
        <w:rPr>
          <w:rFonts w:ascii="Arial" w:hAnsi="Arial" w:cs="Arial"/>
        </w:rPr>
        <w:t xml:space="preserve">    </w:t>
      </w:r>
      <w:r>
        <w:rPr>
          <w:rFonts w:ascii="Arial" w:hAnsi="Arial" w:cs="Arial"/>
        </w:rPr>
        <w:t xml:space="preserve">  </w:t>
      </w:r>
      <w:r w:rsidR="00310B0F">
        <w:rPr>
          <w:rFonts w:ascii="Arial" w:hAnsi="Arial" w:cs="Arial"/>
        </w:rPr>
        <w:t xml:space="preserve">  </w:t>
      </w:r>
      <w:r>
        <w:rPr>
          <w:rFonts w:ascii="Arial" w:hAnsi="Arial" w:cs="Arial"/>
        </w:rPr>
        <w:t xml:space="preserve">     </w:t>
      </w:r>
      <w:r w:rsidR="00012E96">
        <w:rPr>
          <w:rFonts w:ascii="Arial" w:hAnsi="Arial" w:cs="Arial"/>
        </w:rPr>
        <w:t>_______________</w:t>
      </w:r>
      <w:r w:rsidR="00012E96" w:rsidRPr="002712FE">
        <w:rPr>
          <w:rFonts w:ascii="Arial" w:hAnsi="Arial" w:cs="Arial"/>
        </w:rPr>
        <w:t>______________</w:t>
      </w:r>
    </w:p>
    <w:p w14:paraId="1C7B877B" w14:textId="7F5D416B" w:rsidR="00012E96" w:rsidRPr="00310B0F" w:rsidRDefault="00012E96" w:rsidP="00AB61F0">
      <w:pPr>
        <w:widowControl w:val="0"/>
        <w:spacing w:before="120" w:line="240" w:lineRule="auto"/>
        <w:jc w:val="both"/>
        <w:rPr>
          <w:rFonts w:ascii="Arial" w:hAnsi="Arial" w:cs="Arial"/>
          <w:sz w:val="24"/>
          <w:szCs w:val="24"/>
        </w:rPr>
      </w:pPr>
      <w:r w:rsidRPr="00310B0F">
        <w:rPr>
          <w:rFonts w:ascii="Arial" w:hAnsi="Arial" w:cs="Arial"/>
          <w:sz w:val="24"/>
          <w:szCs w:val="24"/>
        </w:rPr>
        <w:t xml:space="preserve">                                       </w:t>
      </w:r>
      <w:r w:rsidRPr="00310B0F">
        <w:rPr>
          <w:rFonts w:ascii="Arial" w:hAnsi="Arial" w:cs="Arial"/>
          <w:b/>
          <w:bCs/>
          <w:sz w:val="24"/>
          <w:szCs w:val="24"/>
        </w:rPr>
        <w:t xml:space="preserve">    </w:t>
      </w:r>
      <w:r w:rsidR="00C6334E">
        <w:rPr>
          <w:rFonts w:ascii="Arial" w:hAnsi="Arial" w:cs="Arial"/>
          <w:b/>
          <w:bCs/>
          <w:sz w:val="24"/>
          <w:szCs w:val="24"/>
        </w:rPr>
        <w:t>D</w:t>
      </w:r>
      <w:r w:rsidRPr="00310B0F">
        <w:rPr>
          <w:rFonts w:ascii="Arial" w:hAnsi="Arial" w:cs="Arial"/>
          <w:b/>
          <w:bCs/>
          <w:sz w:val="24"/>
          <w:szCs w:val="24"/>
        </w:rPr>
        <w:t xml:space="preserve">   FISHER </w:t>
      </w:r>
      <w:r w:rsidR="00BD01EA" w:rsidRPr="00310B0F">
        <w:rPr>
          <w:rFonts w:ascii="Arial" w:hAnsi="Arial" w:cs="Arial"/>
          <w:b/>
          <w:bCs/>
          <w:sz w:val="24"/>
          <w:szCs w:val="24"/>
        </w:rPr>
        <w:t>A</w:t>
      </w:r>
      <w:r w:rsidRPr="00310B0F">
        <w:rPr>
          <w:rFonts w:ascii="Arial" w:hAnsi="Arial" w:cs="Arial"/>
          <w:b/>
          <w:bCs/>
          <w:sz w:val="24"/>
          <w:szCs w:val="24"/>
        </w:rPr>
        <w:t>J</w:t>
      </w:r>
      <w:r w:rsidR="00093E28" w:rsidRPr="00310B0F">
        <w:rPr>
          <w:rFonts w:ascii="Arial" w:hAnsi="Arial" w:cs="Arial"/>
          <w:b/>
          <w:bCs/>
          <w:sz w:val="24"/>
          <w:szCs w:val="24"/>
        </w:rPr>
        <w:t>A</w:t>
      </w:r>
    </w:p>
    <w:p w14:paraId="4A094895" w14:textId="77777777" w:rsidR="00012E96" w:rsidRPr="00310B0F" w:rsidRDefault="00012E96" w:rsidP="00AB61F0">
      <w:pPr>
        <w:spacing w:line="240" w:lineRule="auto"/>
        <w:jc w:val="both"/>
        <w:rPr>
          <w:rFonts w:ascii="Arial" w:hAnsi="Arial" w:cs="Arial"/>
          <w:b/>
          <w:bCs/>
          <w:sz w:val="24"/>
          <w:szCs w:val="24"/>
        </w:rPr>
      </w:pPr>
    </w:p>
    <w:p w14:paraId="64A2AB0C" w14:textId="61E0A692" w:rsidR="00012E96" w:rsidRPr="00310B0F" w:rsidRDefault="00310B0F" w:rsidP="00AB61F0">
      <w:pPr>
        <w:tabs>
          <w:tab w:val="right" w:pos="0"/>
        </w:tabs>
        <w:spacing w:after="200" w:line="240" w:lineRule="auto"/>
        <w:jc w:val="both"/>
        <w:rPr>
          <w:rFonts w:ascii="Arial" w:hAnsi="Arial" w:cs="Arial"/>
          <w:b/>
          <w:sz w:val="24"/>
          <w:szCs w:val="24"/>
        </w:rPr>
      </w:pPr>
      <w:r w:rsidRPr="00310B0F">
        <w:rPr>
          <w:rFonts w:ascii="Arial" w:hAnsi="Arial" w:cs="Arial"/>
          <w:b/>
          <w:sz w:val="24"/>
          <w:szCs w:val="24"/>
        </w:rPr>
        <w:t xml:space="preserve">             ACTING JUDGE OF THE COMPETITION APPEAL COURT</w:t>
      </w:r>
      <w:r w:rsidR="00012E96" w:rsidRPr="00310B0F">
        <w:rPr>
          <w:rFonts w:ascii="Arial" w:hAnsi="Arial" w:cs="Arial"/>
          <w:sz w:val="24"/>
          <w:szCs w:val="24"/>
        </w:rPr>
        <w:tab/>
      </w:r>
      <w:r w:rsidR="007659AF" w:rsidRPr="00310B0F">
        <w:rPr>
          <w:rFonts w:ascii="Arial" w:hAnsi="Arial" w:cs="Arial"/>
          <w:sz w:val="24"/>
          <w:szCs w:val="24"/>
        </w:rPr>
        <w:t xml:space="preserve">     </w:t>
      </w:r>
      <w:r w:rsidR="00012E96" w:rsidRPr="00310B0F">
        <w:rPr>
          <w:rFonts w:ascii="Arial" w:hAnsi="Arial" w:cs="Arial"/>
          <w:sz w:val="24"/>
          <w:szCs w:val="24"/>
        </w:rPr>
        <w:t xml:space="preserve">                  </w:t>
      </w:r>
    </w:p>
    <w:p w14:paraId="1AA69719" w14:textId="550141A8" w:rsidR="001A5DFF" w:rsidRPr="00310B0F" w:rsidRDefault="001A5DFF" w:rsidP="00AB61F0">
      <w:pPr>
        <w:widowControl w:val="0"/>
        <w:spacing w:before="120" w:line="240" w:lineRule="auto"/>
        <w:jc w:val="both"/>
        <w:rPr>
          <w:rFonts w:ascii="Arial" w:hAnsi="Arial" w:cs="Arial"/>
          <w:sz w:val="24"/>
          <w:szCs w:val="24"/>
        </w:rPr>
      </w:pPr>
    </w:p>
    <w:p w14:paraId="1F43E964" w14:textId="77777777" w:rsidR="00F6575A" w:rsidRDefault="00F6575A" w:rsidP="00E3480B">
      <w:pPr>
        <w:widowControl w:val="0"/>
        <w:spacing w:before="120"/>
        <w:jc w:val="both"/>
        <w:rPr>
          <w:rFonts w:ascii="Arial" w:hAnsi="Arial" w:cs="Arial"/>
        </w:rPr>
      </w:pPr>
    </w:p>
    <w:p w14:paraId="2FA88A18" w14:textId="77777777" w:rsidR="00F6575A" w:rsidRDefault="00F6575A" w:rsidP="00E3480B">
      <w:pPr>
        <w:widowControl w:val="0"/>
        <w:spacing w:before="120"/>
        <w:jc w:val="both"/>
        <w:rPr>
          <w:rFonts w:ascii="Arial" w:hAnsi="Arial" w:cs="Arial"/>
        </w:rPr>
      </w:pPr>
    </w:p>
    <w:p w14:paraId="2C21F084" w14:textId="5BA34309" w:rsidR="00F6575A" w:rsidRDefault="00F6575A" w:rsidP="00E3480B">
      <w:pPr>
        <w:widowControl w:val="0"/>
        <w:spacing w:before="120"/>
        <w:jc w:val="both"/>
        <w:rPr>
          <w:rFonts w:ascii="Arial" w:hAnsi="Arial" w:cs="Arial"/>
        </w:rPr>
      </w:pPr>
    </w:p>
    <w:p w14:paraId="20938EBF" w14:textId="64CA47EE" w:rsidR="00F6575A" w:rsidRDefault="00F6575A" w:rsidP="00FD0BC8">
      <w:pPr>
        <w:widowControl w:val="0"/>
        <w:spacing w:before="120"/>
        <w:jc w:val="both"/>
        <w:rPr>
          <w:rFonts w:ascii="Arial" w:hAnsi="Arial" w:cs="Arial"/>
          <w:sz w:val="24"/>
          <w:szCs w:val="24"/>
        </w:rPr>
      </w:pPr>
      <w:r w:rsidRPr="00B97E95">
        <w:rPr>
          <w:rFonts w:ascii="Arial" w:hAnsi="Arial" w:cs="Arial"/>
          <w:sz w:val="24"/>
          <w:szCs w:val="24"/>
        </w:rPr>
        <w:t>I concur,</w:t>
      </w:r>
    </w:p>
    <w:p w14:paraId="3F365991" w14:textId="1763DC88" w:rsidR="00FD0BC8" w:rsidRPr="00FD0BC8" w:rsidRDefault="00FD0BC8" w:rsidP="00FD0BC8">
      <w:pPr>
        <w:widowControl w:val="0"/>
        <w:spacing w:before="120"/>
        <w:jc w:val="both"/>
        <w:rPr>
          <w:rFonts w:ascii="Arial" w:hAnsi="Arial" w:cs="Arial"/>
          <w:b/>
          <w:sz w:val="24"/>
          <w:szCs w:val="24"/>
        </w:rPr>
      </w:pPr>
      <w:r w:rsidRPr="00FD0BC8">
        <w:rPr>
          <w:rFonts w:ascii="Arial" w:hAnsi="Arial" w:cs="Arial"/>
          <w:sz w:val="24"/>
          <w:szCs w:val="24"/>
        </w:rPr>
        <w:t xml:space="preserve">                           </w:t>
      </w:r>
      <w:r w:rsidRPr="00FD0BC8">
        <w:rPr>
          <w:rFonts w:ascii="Arial" w:hAnsi="Arial" w:cs="Arial"/>
          <w:b/>
          <w:sz w:val="24"/>
          <w:szCs w:val="24"/>
        </w:rPr>
        <w:t>PP</w:t>
      </w:r>
    </w:p>
    <w:p w14:paraId="57D7E9C3" w14:textId="77777777" w:rsidR="00F6575A" w:rsidRPr="00FD0BC8" w:rsidRDefault="00F6575A" w:rsidP="00F6575A">
      <w:pPr>
        <w:pStyle w:val="ListParagraph"/>
        <w:spacing w:line="360" w:lineRule="auto"/>
        <w:ind w:left="0"/>
        <w:jc w:val="both"/>
        <w:rPr>
          <w:rFonts w:ascii="Arial" w:hAnsi="Arial" w:cs="Arial"/>
        </w:rPr>
      </w:pPr>
      <w:r w:rsidRPr="00FD0BC8">
        <w:rPr>
          <w:rFonts w:ascii="Arial" w:hAnsi="Arial" w:cs="Arial"/>
        </w:rPr>
        <w:t xml:space="preserve">                    _____________________________</w:t>
      </w:r>
    </w:p>
    <w:p w14:paraId="112FB669" w14:textId="634EA753" w:rsidR="00093E28" w:rsidRPr="00FD0BC8" w:rsidRDefault="00F6575A" w:rsidP="00AB61F0">
      <w:pPr>
        <w:widowControl w:val="0"/>
        <w:spacing w:before="120" w:line="240" w:lineRule="auto"/>
        <w:jc w:val="both"/>
        <w:rPr>
          <w:rFonts w:ascii="Arial" w:hAnsi="Arial" w:cs="Arial"/>
          <w:sz w:val="24"/>
          <w:szCs w:val="24"/>
        </w:rPr>
      </w:pPr>
      <w:r w:rsidRPr="00FD0BC8">
        <w:rPr>
          <w:rFonts w:ascii="Arial" w:hAnsi="Arial" w:cs="Arial"/>
          <w:sz w:val="24"/>
          <w:szCs w:val="24"/>
        </w:rPr>
        <w:t xml:space="preserve">                                       </w:t>
      </w:r>
      <w:r w:rsidRPr="00FD0BC8">
        <w:rPr>
          <w:rFonts w:ascii="Arial" w:hAnsi="Arial" w:cs="Arial"/>
          <w:b/>
          <w:bCs/>
          <w:sz w:val="24"/>
          <w:szCs w:val="24"/>
        </w:rPr>
        <w:t xml:space="preserve">      </w:t>
      </w:r>
      <w:r w:rsidR="00093E28" w:rsidRPr="00FD0BC8">
        <w:rPr>
          <w:rFonts w:ascii="Arial" w:hAnsi="Arial" w:cs="Arial"/>
          <w:b/>
          <w:bCs/>
          <w:sz w:val="24"/>
          <w:szCs w:val="24"/>
        </w:rPr>
        <w:t>M VICTOR</w:t>
      </w:r>
      <w:r w:rsidR="00AB61F0" w:rsidRPr="00FD0BC8">
        <w:rPr>
          <w:rFonts w:ascii="Arial" w:hAnsi="Arial" w:cs="Arial"/>
          <w:b/>
          <w:bCs/>
          <w:sz w:val="24"/>
          <w:szCs w:val="24"/>
        </w:rPr>
        <w:t xml:space="preserve"> AJP</w:t>
      </w:r>
    </w:p>
    <w:p w14:paraId="47F46E8D" w14:textId="014295D7" w:rsidR="00F6575A" w:rsidRPr="00FD0BC8" w:rsidRDefault="00F6575A" w:rsidP="00AB61F0">
      <w:pPr>
        <w:tabs>
          <w:tab w:val="right" w:pos="0"/>
        </w:tabs>
        <w:spacing w:after="200" w:line="240" w:lineRule="auto"/>
        <w:jc w:val="both"/>
        <w:rPr>
          <w:rFonts w:ascii="Arial" w:hAnsi="Arial" w:cs="Arial"/>
          <w:b/>
          <w:sz w:val="24"/>
          <w:szCs w:val="24"/>
        </w:rPr>
      </w:pPr>
      <w:r w:rsidRPr="00FD0BC8">
        <w:rPr>
          <w:rFonts w:ascii="Arial" w:hAnsi="Arial" w:cs="Arial"/>
          <w:sz w:val="24"/>
          <w:szCs w:val="24"/>
        </w:rPr>
        <w:t xml:space="preserve">                  </w:t>
      </w:r>
    </w:p>
    <w:p w14:paraId="0741F87C" w14:textId="2D2380B1" w:rsidR="00F6575A" w:rsidRPr="00FD0BC8" w:rsidRDefault="00310B0F" w:rsidP="00AB61F0">
      <w:pPr>
        <w:widowControl w:val="0"/>
        <w:spacing w:before="120" w:line="240" w:lineRule="auto"/>
        <w:jc w:val="both"/>
        <w:rPr>
          <w:rFonts w:ascii="Arial" w:hAnsi="Arial" w:cs="Arial"/>
          <w:b/>
          <w:sz w:val="24"/>
          <w:szCs w:val="24"/>
        </w:rPr>
      </w:pPr>
      <w:r w:rsidRPr="00FD0BC8">
        <w:rPr>
          <w:rFonts w:ascii="Arial" w:hAnsi="Arial" w:cs="Arial"/>
          <w:sz w:val="24"/>
          <w:szCs w:val="24"/>
        </w:rPr>
        <w:t xml:space="preserve">   </w:t>
      </w:r>
      <w:r w:rsidR="00AB61F0" w:rsidRPr="00FD0BC8">
        <w:rPr>
          <w:rFonts w:ascii="Arial" w:hAnsi="Arial" w:cs="Arial"/>
          <w:b/>
          <w:sz w:val="24"/>
          <w:szCs w:val="24"/>
        </w:rPr>
        <w:t>ACTING JUDGE PRESIDENT OF THE COMPETITION APPEAL COURT</w:t>
      </w:r>
    </w:p>
    <w:p w14:paraId="66911482" w14:textId="6E8CC7BD" w:rsidR="00F6575A" w:rsidRPr="00FD0BC8" w:rsidRDefault="00F6575A" w:rsidP="00AB61F0">
      <w:pPr>
        <w:widowControl w:val="0"/>
        <w:spacing w:before="120" w:line="240" w:lineRule="auto"/>
        <w:jc w:val="both"/>
        <w:rPr>
          <w:rFonts w:ascii="Arial" w:hAnsi="Arial" w:cs="Arial"/>
          <w:b/>
          <w:sz w:val="24"/>
          <w:szCs w:val="24"/>
        </w:rPr>
      </w:pPr>
    </w:p>
    <w:p w14:paraId="5FF6EBEB" w14:textId="77777777" w:rsidR="00F6575A" w:rsidRPr="00FD0BC8" w:rsidRDefault="00F6575A" w:rsidP="00E3480B">
      <w:pPr>
        <w:widowControl w:val="0"/>
        <w:spacing w:before="120"/>
        <w:jc w:val="both"/>
        <w:rPr>
          <w:rFonts w:ascii="Arial" w:hAnsi="Arial" w:cs="Arial"/>
          <w:sz w:val="24"/>
          <w:szCs w:val="24"/>
        </w:rPr>
      </w:pPr>
    </w:p>
    <w:p w14:paraId="36677EC4" w14:textId="77777777" w:rsidR="00F6575A" w:rsidRPr="00FD0BC8" w:rsidRDefault="00F6575A" w:rsidP="00E3480B">
      <w:pPr>
        <w:widowControl w:val="0"/>
        <w:spacing w:before="120"/>
        <w:jc w:val="both"/>
        <w:rPr>
          <w:rFonts w:ascii="Arial" w:hAnsi="Arial" w:cs="Arial"/>
          <w:sz w:val="24"/>
          <w:szCs w:val="24"/>
        </w:rPr>
      </w:pPr>
    </w:p>
    <w:p w14:paraId="380AA113" w14:textId="1E463AC0" w:rsidR="00F6575A" w:rsidRPr="00FD0BC8" w:rsidRDefault="00F6575A" w:rsidP="00E3480B">
      <w:pPr>
        <w:widowControl w:val="0"/>
        <w:spacing w:before="120"/>
        <w:jc w:val="both"/>
        <w:rPr>
          <w:rFonts w:ascii="Arial" w:hAnsi="Arial" w:cs="Arial"/>
          <w:sz w:val="24"/>
          <w:szCs w:val="24"/>
        </w:rPr>
      </w:pPr>
    </w:p>
    <w:p w14:paraId="07489B30" w14:textId="2F8C396A" w:rsidR="00F6575A" w:rsidRPr="00FD0BC8" w:rsidRDefault="00AB61F0" w:rsidP="00E3480B">
      <w:pPr>
        <w:widowControl w:val="0"/>
        <w:spacing w:before="120"/>
        <w:jc w:val="both"/>
        <w:rPr>
          <w:rFonts w:ascii="Arial" w:hAnsi="Arial" w:cs="Arial"/>
          <w:sz w:val="24"/>
          <w:szCs w:val="24"/>
        </w:rPr>
      </w:pPr>
      <w:r w:rsidRPr="00FD0BC8">
        <w:rPr>
          <w:rFonts w:ascii="Arial" w:hAnsi="Arial" w:cs="Arial"/>
          <w:sz w:val="24"/>
          <w:szCs w:val="24"/>
        </w:rPr>
        <w:t>I concur,</w:t>
      </w:r>
    </w:p>
    <w:p w14:paraId="6A9E3694" w14:textId="5F971467" w:rsidR="00F6575A" w:rsidRPr="00FD0BC8" w:rsidRDefault="00F6575A" w:rsidP="00E3480B">
      <w:pPr>
        <w:widowControl w:val="0"/>
        <w:spacing w:before="120"/>
        <w:jc w:val="both"/>
        <w:rPr>
          <w:rFonts w:ascii="Arial" w:hAnsi="Arial" w:cs="Arial"/>
          <w:sz w:val="24"/>
          <w:szCs w:val="24"/>
        </w:rPr>
      </w:pPr>
    </w:p>
    <w:p w14:paraId="3617D28C" w14:textId="4D8FAC7B" w:rsidR="00F6575A" w:rsidRPr="00FD0BC8" w:rsidRDefault="00FD0BC8" w:rsidP="00E3480B">
      <w:pPr>
        <w:widowControl w:val="0"/>
        <w:spacing w:before="120"/>
        <w:jc w:val="both"/>
        <w:rPr>
          <w:rFonts w:ascii="Arial" w:hAnsi="Arial" w:cs="Arial"/>
          <w:b/>
          <w:sz w:val="24"/>
          <w:szCs w:val="24"/>
        </w:rPr>
      </w:pPr>
      <w:r w:rsidRPr="00FD0BC8">
        <w:rPr>
          <w:rFonts w:ascii="Arial" w:hAnsi="Arial" w:cs="Arial"/>
          <w:sz w:val="24"/>
          <w:szCs w:val="24"/>
        </w:rPr>
        <w:t xml:space="preserve">                                  </w:t>
      </w:r>
      <w:r w:rsidRPr="00FD0BC8">
        <w:rPr>
          <w:rFonts w:ascii="Arial" w:hAnsi="Arial" w:cs="Arial"/>
          <w:b/>
          <w:sz w:val="24"/>
          <w:szCs w:val="24"/>
        </w:rPr>
        <w:t>PP</w:t>
      </w:r>
    </w:p>
    <w:p w14:paraId="3755A623" w14:textId="0D4D4E56" w:rsidR="00F6575A" w:rsidRPr="00FD0BC8" w:rsidRDefault="00F6575A" w:rsidP="00F6575A">
      <w:pPr>
        <w:pStyle w:val="ListParagraph"/>
        <w:spacing w:line="360" w:lineRule="auto"/>
        <w:ind w:left="0"/>
        <w:jc w:val="both"/>
        <w:rPr>
          <w:rFonts w:ascii="Arial" w:hAnsi="Arial" w:cs="Arial"/>
        </w:rPr>
      </w:pPr>
      <w:r w:rsidRPr="00FD0BC8">
        <w:rPr>
          <w:rFonts w:ascii="Arial" w:hAnsi="Arial" w:cs="Arial"/>
        </w:rPr>
        <w:t xml:space="preserve">                 </w:t>
      </w:r>
      <w:r w:rsidR="00C6334E" w:rsidRPr="00FD0BC8">
        <w:rPr>
          <w:rFonts w:ascii="Arial" w:hAnsi="Arial" w:cs="Arial"/>
        </w:rPr>
        <w:t xml:space="preserve">    </w:t>
      </w:r>
      <w:r w:rsidR="00B1763D" w:rsidRPr="00FD0BC8">
        <w:rPr>
          <w:rFonts w:ascii="Arial" w:hAnsi="Arial" w:cs="Arial"/>
        </w:rPr>
        <w:t xml:space="preserve"> </w:t>
      </w:r>
      <w:r w:rsidRPr="00FD0BC8">
        <w:rPr>
          <w:rFonts w:ascii="Arial" w:hAnsi="Arial" w:cs="Arial"/>
        </w:rPr>
        <w:t xml:space="preserve">    _____________________________</w:t>
      </w:r>
    </w:p>
    <w:p w14:paraId="6BD36E32" w14:textId="66618533" w:rsidR="00F6575A" w:rsidRPr="00FD0BC8" w:rsidRDefault="00F6575A" w:rsidP="00F6575A">
      <w:pPr>
        <w:widowControl w:val="0"/>
        <w:spacing w:before="120"/>
        <w:jc w:val="both"/>
        <w:rPr>
          <w:rFonts w:ascii="Arial" w:hAnsi="Arial" w:cs="Arial"/>
          <w:b/>
          <w:sz w:val="24"/>
          <w:szCs w:val="24"/>
        </w:rPr>
      </w:pPr>
      <w:r w:rsidRPr="00FD0BC8">
        <w:rPr>
          <w:rFonts w:ascii="Arial" w:hAnsi="Arial" w:cs="Arial"/>
          <w:b/>
          <w:sz w:val="24"/>
          <w:szCs w:val="24"/>
        </w:rPr>
        <w:t xml:space="preserve">                                   </w:t>
      </w:r>
      <w:r w:rsidR="00C6334E" w:rsidRPr="00FD0BC8">
        <w:rPr>
          <w:rFonts w:ascii="Arial" w:hAnsi="Arial" w:cs="Arial"/>
          <w:b/>
          <w:sz w:val="24"/>
          <w:szCs w:val="24"/>
        </w:rPr>
        <w:t xml:space="preserve">            </w:t>
      </w:r>
      <w:r w:rsidRPr="00FD0BC8">
        <w:rPr>
          <w:rFonts w:ascii="Arial" w:hAnsi="Arial" w:cs="Arial"/>
          <w:b/>
          <w:sz w:val="24"/>
          <w:szCs w:val="24"/>
        </w:rPr>
        <w:t xml:space="preserve">  </w:t>
      </w:r>
      <w:r w:rsidR="00C6334E" w:rsidRPr="00FD0BC8">
        <w:rPr>
          <w:rFonts w:ascii="Arial" w:hAnsi="Arial" w:cs="Arial"/>
          <w:b/>
          <w:sz w:val="24"/>
          <w:szCs w:val="24"/>
        </w:rPr>
        <w:t>L NUKU</w:t>
      </w:r>
      <w:r w:rsidRPr="00FD0BC8">
        <w:rPr>
          <w:rFonts w:ascii="Arial" w:hAnsi="Arial" w:cs="Arial"/>
          <w:b/>
          <w:sz w:val="24"/>
          <w:szCs w:val="24"/>
        </w:rPr>
        <w:t xml:space="preserve">  </w:t>
      </w:r>
      <w:r w:rsidRPr="00FD0BC8">
        <w:rPr>
          <w:rFonts w:ascii="Arial" w:hAnsi="Arial" w:cs="Arial"/>
          <w:b/>
          <w:bCs/>
          <w:sz w:val="24"/>
          <w:szCs w:val="24"/>
        </w:rPr>
        <w:t xml:space="preserve">          </w:t>
      </w:r>
    </w:p>
    <w:p w14:paraId="29375A11" w14:textId="31B7809B" w:rsidR="00F6575A" w:rsidRPr="00FD0BC8" w:rsidRDefault="00B1763D" w:rsidP="00F6575A">
      <w:pPr>
        <w:jc w:val="both"/>
        <w:rPr>
          <w:rFonts w:ascii="Arial" w:hAnsi="Arial" w:cs="Arial"/>
          <w:b/>
          <w:bCs/>
          <w:sz w:val="24"/>
          <w:szCs w:val="24"/>
        </w:rPr>
      </w:pPr>
      <w:r w:rsidRPr="00FD0BC8">
        <w:rPr>
          <w:rFonts w:ascii="Arial" w:hAnsi="Arial" w:cs="Arial"/>
          <w:b/>
          <w:bCs/>
          <w:sz w:val="24"/>
          <w:szCs w:val="24"/>
        </w:rPr>
        <w:t xml:space="preserve">       </w:t>
      </w:r>
      <w:r w:rsidR="00C6334E" w:rsidRPr="00FD0BC8">
        <w:rPr>
          <w:rFonts w:ascii="Arial" w:hAnsi="Arial" w:cs="Arial"/>
          <w:b/>
          <w:bCs/>
          <w:sz w:val="24"/>
          <w:szCs w:val="24"/>
        </w:rPr>
        <w:t xml:space="preserve">      </w:t>
      </w:r>
      <w:r w:rsidRPr="00FD0BC8">
        <w:rPr>
          <w:rFonts w:ascii="Arial" w:hAnsi="Arial" w:cs="Arial"/>
          <w:b/>
          <w:bCs/>
          <w:sz w:val="24"/>
          <w:szCs w:val="24"/>
        </w:rPr>
        <w:t xml:space="preserve">    ACTING JUDGE OF THE COMPETITION APPEAL COURT</w:t>
      </w:r>
    </w:p>
    <w:p w14:paraId="4B871937" w14:textId="4654DA6F" w:rsidR="00F6575A" w:rsidRPr="002712FE" w:rsidRDefault="00F6575A" w:rsidP="00F6575A">
      <w:pPr>
        <w:tabs>
          <w:tab w:val="right" w:pos="0"/>
        </w:tabs>
        <w:spacing w:after="200" w:line="276" w:lineRule="auto"/>
        <w:jc w:val="both"/>
        <w:rPr>
          <w:rFonts w:ascii="Arial" w:hAnsi="Arial" w:cs="Arial"/>
          <w:b/>
        </w:rPr>
      </w:pPr>
      <w:r w:rsidRPr="002712FE">
        <w:rPr>
          <w:rFonts w:ascii="Arial" w:hAnsi="Arial" w:cs="Arial"/>
          <w:b/>
        </w:rPr>
        <w:t xml:space="preserve">                                          </w:t>
      </w:r>
    </w:p>
    <w:p w14:paraId="18DF210F" w14:textId="1600A739" w:rsidR="00F6575A" w:rsidRPr="002712FE" w:rsidRDefault="00F6575A" w:rsidP="00F6575A">
      <w:pPr>
        <w:tabs>
          <w:tab w:val="right" w:pos="0"/>
        </w:tabs>
        <w:spacing w:after="200" w:line="276" w:lineRule="auto"/>
        <w:jc w:val="both"/>
        <w:rPr>
          <w:rFonts w:ascii="Arial" w:hAnsi="Arial" w:cs="Arial"/>
          <w:b/>
        </w:rPr>
      </w:pPr>
      <w:r w:rsidRPr="002712FE">
        <w:rPr>
          <w:rFonts w:ascii="Arial" w:hAnsi="Arial" w:cs="Arial"/>
        </w:rPr>
        <w:tab/>
      </w:r>
      <w:r>
        <w:rPr>
          <w:rFonts w:ascii="Arial" w:hAnsi="Arial" w:cs="Arial"/>
        </w:rPr>
        <w:t xml:space="preserve">  </w:t>
      </w:r>
      <w:r w:rsidRPr="002712FE">
        <w:rPr>
          <w:rFonts w:ascii="Arial" w:hAnsi="Arial" w:cs="Arial"/>
        </w:rPr>
        <w:t xml:space="preserve">                 </w:t>
      </w:r>
    </w:p>
    <w:p w14:paraId="4303FA44" w14:textId="77777777" w:rsidR="00F6575A" w:rsidRDefault="00F6575A" w:rsidP="00F6575A">
      <w:pPr>
        <w:widowControl w:val="0"/>
        <w:spacing w:before="120"/>
        <w:jc w:val="both"/>
        <w:rPr>
          <w:rFonts w:ascii="Arial" w:hAnsi="Arial" w:cs="Arial"/>
        </w:rPr>
      </w:pPr>
    </w:p>
    <w:p w14:paraId="6E9E53FD" w14:textId="77777777" w:rsidR="00F6575A" w:rsidRDefault="00F6575A" w:rsidP="00E3480B">
      <w:pPr>
        <w:widowControl w:val="0"/>
        <w:spacing w:before="120"/>
        <w:jc w:val="both"/>
        <w:rPr>
          <w:rFonts w:ascii="Arial" w:hAnsi="Arial" w:cs="Arial"/>
        </w:rPr>
      </w:pPr>
    </w:p>
    <w:p w14:paraId="0F60505E" w14:textId="77777777" w:rsidR="00F6575A" w:rsidRDefault="00F6575A" w:rsidP="00E3480B">
      <w:pPr>
        <w:widowControl w:val="0"/>
        <w:spacing w:before="120"/>
        <w:jc w:val="both"/>
        <w:rPr>
          <w:rFonts w:ascii="Arial" w:hAnsi="Arial" w:cs="Arial"/>
        </w:rPr>
      </w:pPr>
    </w:p>
    <w:p w14:paraId="630EF6AD" w14:textId="7879457C" w:rsidR="00F6575A" w:rsidRDefault="00F6575A" w:rsidP="00E3480B">
      <w:pPr>
        <w:widowControl w:val="0"/>
        <w:spacing w:before="120"/>
        <w:jc w:val="both"/>
        <w:rPr>
          <w:rFonts w:ascii="Arial" w:hAnsi="Arial" w:cs="Arial"/>
        </w:rPr>
      </w:pPr>
    </w:p>
    <w:p w14:paraId="6E989780" w14:textId="77777777" w:rsidR="00F6575A" w:rsidRDefault="00F6575A" w:rsidP="00E3480B">
      <w:pPr>
        <w:widowControl w:val="0"/>
        <w:spacing w:before="120"/>
        <w:jc w:val="both"/>
        <w:rPr>
          <w:rFonts w:ascii="Arial" w:hAnsi="Arial" w:cs="Arial"/>
        </w:rPr>
      </w:pPr>
    </w:p>
    <w:p w14:paraId="1105717E" w14:textId="6C643C0E" w:rsidR="00F6575A" w:rsidRDefault="00F6575A" w:rsidP="00E3480B">
      <w:pPr>
        <w:widowControl w:val="0"/>
        <w:spacing w:before="120"/>
        <w:jc w:val="both"/>
        <w:rPr>
          <w:rFonts w:ascii="Arial" w:hAnsi="Arial" w:cs="Arial"/>
        </w:rPr>
      </w:pPr>
    </w:p>
    <w:p w14:paraId="5C60D51A" w14:textId="57466A22" w:rsidR="005060CE" w:rsidRDefault="005060CE" w:rsidP="00E3480B">
      <w:pPr>
        <w:widowControl w:val="0"/>
        <w:spacing w:before="120"/>
        <w:jc w:val="both"/>
        <w:rPr>
          <w:rFonts w:ascii="Arial" w:hAnsi="Arial" w:cs="Arial"/>
        </w:rPr>
      </w:pPr>
    </w:p>
    <w:p w14:paraId="43628ABE" w14:textId="11A7F324" w:rsidR="005060CE" w:rsidRDefault="005060CE" w:rsidP="00E3480B">
      <w:pPr>
        <w:widowControl w:val="0"/>
        <w:spacing w:before="120"/>
        <w:jc w:val="both"/>
        <w:rPr>
          <w:rFonts w:ascii="Arial" w:hAnsi="Arial" w:cs="Arial"/>
        </w:rPr>
      </w:pPr>
    </w:p>
    <w:p w14:paraId="732768FE" w14:textId="1CD37409" w:rsidR="005060CE" w:rsidRDefault="005060CE" w:rsidP="00E3480B">
      <w:pPr>
        <w:widowControl w:val="0"/>
        <w:spacing w:before="120"/>
        <w:jc w:val="both"/>
        <w:rPr>
          <w:rFonts w:ascii="Arial" w:hAnsi="Arial" w:cs="Arial"/>
        </w:rPr>
      </w:pPr>
    </w:p>
    <w:p w14:paraId="7717517C" w14:textId="20321BA4" w:rsidR="005060CE" w:rsidRDefault="005060CE" w:rsidP="00E3480B">
      <w:pPr>
        <w:widowControl w:val="0"/>
        <w:spacing w:before="120"/>
        <w:jc w:val="both"/>
        <w:rPr>
          <w:rFonts w:ascii="Arial" w:hAnsi="Arial" w:cs="Arial"/>
        </w:rPr>
      </w:pPr>
    </w:p>
    <w:p w14:paraId="3D5B3584" w14:textId="77777777" w:rsidR="005060CE" w:rsidRDefault="005060CE" w:rsidP="00E3480B">
      <w:pPr>
        <w:widowControl w:val="0"/>
        <w:spacing w:before="120"/>
        <w:jc w:val="both"/>
        <w:rPr>
          <w:rFonts w:ascii="Arial" w:hAnsi="Arial" w:cs="Arial"/>
        </w:rPr>
      </w:pPr>
    </w:p>
    <w:p w14:paraId="5F35A479" w14:textId="77777777" w:rsidR="00F6575A" w:rsidRDefault="00F6575A" w:rsidP="00E3480B">
      <w:pPr>
        <w:widowControl w:val="0"/>
        <w:spacing w:before="120"/>
        <w:jc w:val="both"/>
        <w:rPr>
          <w:rFonts w:ascii="Arial" w:hAnsi="Arial" w:cs="Arial"/>
        </w:rPr>
      </w:pPr>
    </w:p>
    <w:p w14:paraId="787F20A7" w14:textId="77F077ED" w:rsidR="003F037E" w:rsidRPr="00E3480B" w:rsidRDefault="00E3480B" w:rsidP="00E3480B">
      <w:pPr>
        <w:widowControl w:val="0"/>
        <w:spacing w:before="120"/>
        <w:jc w:val="both"/>
        <w:rPr>
          <w:rFonts w:ascii="Arial" w:hAnsi="Arial" w:cs="Arial"/>
        </w:rPr>
      </w:pPr>
      <w:r>
        <w:rPr>
          <w:rFonts w:ascii="Arial" w:hAnsi="Arial" w:cs="Arial"/>
        </w:rPr>
        <w:lastRenderedPageBreak/>
        <w:t xml:space="preserve">       </w:t>
      </w:r>
    </w:p>
    <w:p w14:paraId="3AC6564E" w14:textId="082FDEB3" w:rsidR="007B2E6A" w:rsidRPr="002712FE" w:rsidRDefault="00012E96" w:rsidP="00012E96">
      <w:pPr>
        <w:tabs>
          <w:tab w:val="right" w:pos="0"/>
        </w:tabs>
        <w:spacing w:after="200" w:line="480" w:lineRule="auto"/>
        <w:jc w:val="both"/>
        <w:outlineLvl w:val="0"/>
        <w:rPr>
          <w:rFonts w:ascii="Arial" w:hAnsi="Arial" w:cs="Arial"/>
          <w:sz w:val="24"/>
          <w:szCs w:val="24"/>
        </w:rPr>
      </w:pPr>
      <w:r w:rsidRPr="002712FE">
        <w:rPr>
          <w:rFonts w:ascii="Arial" w:hAnsi="Arial" w:cs="Arial"/>
          <w:b/>
          <w:sz w:val="24"/>
          <w:szCs w:val="24"/>
        </w:rPr>
        <w:t xml:space="preserve">Date of </w:t>
      </w:r>
      <w:r w:rsidR="007B2E6A">
        <w:rPr>
          <w:rFonts w:ascii="Arial" w:hAnsi="Arial" w:cs="Arial"/>
          <w:b/>
          <w:sz w:val="24"/>
          <w:szCs w:val="24"/>
        </w:rPr>
        <w:t>h</w:t>
      </w:r>
      <w:r w:rsidRPr="002712FE">
        <w:rPr>
          <w:rFonts w:ascii="Arial" w:hAnsi="Arial" w:cs="Arial"/>
          <w:b/>
          <w:sz w:val="24"/>
          <w:szCs w:val="24"/>
        </w:rPr>
        <w:t xml:space="preserve">earing:  </w:t>
      </w:r>
      <w:r w:rsidR="00FD0BC8">
        <w:rPr>
          <w:rFonts w:ascii="Arial" w:hAnsi="Arial" w:cs="Arial"/>
          <w:b/>
          <w:sz w:val="24"/>
          <w:szCs w:val="24"/>
        </w:rPr>
        <w:t xml:space="preserve">                                               </w:t>
      </w:r>
      <w:r w:rsidR="00FD0BC8">
        <w:rPr>
          <w:rFonts w:ascii="Arial" w:hAnsi="Arial" w:cs="Arial"/>
          <w:sz w:val="24"/>
          <w:szCs w:val="24"/>
        </w:rPr>
        <w:t>29 April</w:t>
      </w:r>
      <w:r w:rsidR="005A1BCC">
        <w:rPr>
          <w:rFonts w:ascii="Arial" w:hAnsi="Arial" w:cs="Arial"/>
          <w:sz w:val="24"/>
          <w:szCs w:val="24"/>
        </w:rPr>
        <w:t xml:space="preserve"> 2022.</w:t>
      </w:r>
    </w:p>
    <w:p w14:paraId="74525F2C" w14:textId="40EC4705" w:rsidR="00012E96" w:rsidRPr="00E3480B" w:rsidRDefault="007535DA" w:rsidP="00012E96">
      <w:pPr>
        <w:tabs>
          <w:tab w:val="right" w:pos="0"/>
        </w:tabs>
        <w:spacing w:after="200" w:line="480" w:lineRule="auto"/>
        <w:jc w:val="both"/>
        <w:outlineLvl w:val="0"/>
        <w:rPr>
          <w:rFonts w:ascii="Arial" w:hAnsi="Arial" w:cs="Arial"/>
          <w:sz w:val="24"/>
          <w:szCs w:val="24"/>
        </w:rPr>
      </w:pPr>
      <w:r>
        <w:rPr>
          <w:rFonts w:ascii="Arial" w:hAnsi="Arial" w:cs="Arial"/>
          <w:b/>
          <w:sz w:val="24"/>
          <w:szCs w:val="24"/>
        </w:rPr>
        <w:t xml:space="preserve">Judgment </w:t>
      </w:r>
      <w:r w:rsidR="007B2E6A">
        <w:rPr>
          <w:rFonts w:ascii="Arial" w:hAnsi="Arial" w:cs="Arial"/>
          <w:b/>
          <w:sz w:val="24"/>
          <w:szCs w:val="24"/>
        </w:rPr>
        <w:t>d</w:t>
      </w:r>
      <w:r>
        <w:rPr>
          <w:rFonts w:ascii="Arial" w:hAnsi="Arial" w:cs="Arial"/>
          <w:b/>
          <w:sz w:val="24"/>
          <w:szCs w:val="24"/>
        </w:rPr>
        <w:t xml:space="preserve">elivered: </w:t>
      </w:r>
      <w:r w:rsidR="00FD0BC8">
        <w:rPr>
          <w:rFonts w:ascii="Arial" w:hAnsi="Arial" w:cs="Arial"/>
          <w:b/>
          <w:sz w:val="24"/>
          <w:szCs w:val="24"/>
        </w:rPr>
        <w:t xml:space="preserve"> </w:t>
      </w:r>
      <w:r w:rsidR="00FD0BC8">
        <w:rPr>
          <w:rFonts w:ascii="Arial" w:hAnsi="Arial" w:cs="Arial"/>
          <w:sz w:val="24"/>
          <w:szCs w:val="24"/>
        </w:rPr>
        <w:t xml:space="preserve">                                       30 June</w:t>
      </w:r>
      <w:r>
        <w:rPr>
          <w:rFonts w:ascii="Arial" w:hAnsi="Arial" w:cs="Arial"/>
          <w:b/>
          <w:sz w:val="24"/>
          <w:szCs w:val="24"/>
        </w:rPr>
        <w:t xml:space="preserve"> </w:t>
      </w:r>
      <w:r w:rsidRPr="007535DA">
        <w:rPr>
          <w:rFonts w:ascii="Arial" w:hAnsi="Arial" w:cs="Arial"/>
          <w:sz w:val="24"/>
          <w:szCs w:val="24"/>
        </w:rPr>
        <w:t>2022</w:t>
      </w:r>
      <w:r w:rsidR="001A5DFF">
        <w:rPr>
          <w:rFonts w:ascii="Arial" w:hAnsi="Arial" w:cs="Arial"/>
          <w:sz w:val="24"/>
          <w:szCs w:val="24"/>
        </w:rPr>
        <w:t>.</w:t>
      </w:r>
    </w:p>
    <w:p w14:paraId="4A96104E" w14:textId="39E75DB8" w:rsidR="00054193" w:rsidRDefault="00054193" w:rsidP="00012E96">
      <w:pPr>
        <w:tabs>
          <w:tab w:val="right" w:pos="0"/>
        </w:tabs>
        <w:spacing w:after="200" w:line="480" w:lineRule="auto"/>
        <w:jc w:val="both"/>
        <w:outlineLvl w:val="0"/>
        <w:rPr>
          <w:rFonts w:ascii="Arial" w:hAnsi="Arial" w:cs="Arial"/>
          <w:b/>
          <w:i/>
          <w:sz w:val="24"/>
          <w:szCs w:val="24"/>
        </w:rPr>
      </w:pPr>
    </w:p>
    <w:p w14:paraId="171A053C" w14:textId="1F52E7DF" w:rsidR="00012E96" w:rsidRPr="00FD0BC8" w:rsidRDefault="00012E96" w:rsidP="00012E96">
      <w:pPr>
        <w:tabs>
          <w:tab w:val="right" w:pos="0"/>
        </w:tabs>
        <w:spacing w:after="200" w:line="480" w:lineRule="auto"/>
        <w:jc w:val="both"/>
        <w:outlineLvl w:val="0"/>
        <w:rPr>
          <w:rFonts w:ascii="Arial" w:hAnsi="Arial" w:cs="Arial"/>
          <w:b/>
          <w:sz w:val="24"/>
          <w:szCs w:val="24"/>
        </w:rPr>
      </w:pPr>
      <w:r w:rsidRPr="00FD0BC8">
        <w:rPr>
          <w:rFonts w:ascii="Arial" w:hAnsi="Arial" w:cs="Arial"/>
          <w:b/>
          <w:sz w:val="24"/>
          <w:szCs w:val="24"/>
        </w:rPr>
        <w:t>APPEARANCES:</w:t>
      </w:r>
    </w:p>
    <w:p w14:paraId="5C479826" w14:textId="5DF3D0E5" w:rsidR="00012E96" w:rsidRDefault="00F6575A" w:rsidP="00012E96">
      <w:pPr>
        <w:spacing w:before="120" w:line="360" w:lineRule="auto"/>
        <w:rPr>
          <w:rFonts w:ascii="Arial" w:eastAsia="Calibri" w:hAnsi="Arial" w:cs="Arial"/>
          <w:bCs/>
          <w:sz w:val="24"/>
          <w:szCs w:val="24"/>
        </w:rPr>
      </w:pPr>
      <w:r>
        <w:rPr>
          <w:rFonts w:ascii="Arial" w:hAnsi="Arial" w:cs="Arial"/>
          <w:b/>
          <w:sz w:val="24"/>
          <w:szCs w:val="24"/>
        </w:rPr>
        <w:t>For the Appellant</w:t>
      </w:r>
      <w:r w:rsidR="008C3242" w:rsidRPr="008C3242">
        <w:rPr>
          <w:rFonts w:ascii="Arial" w:hAnsi="Arial" w:cs="Arial"/>
          <w:b/>
          <w:sz w:val="24"/>
          <w:szCs w:val="24"/>
        </w:rPr>
        <w:t>:</w:t>
      </w:r>
      <w:r w:rsidR="00012E96" w:rsidRPr="008C3242">
        <w:rPr>
          <w:rFonts w:ascii="Arial" w:eastAsia="Calibri" w:hAnsi="Arial" w:cs="Arial"/>
          <w:b/>
          <w:bCs/>
          <w:sz w:val="24"/>
          <w:szCs w:val="24"/>
        </w:rPr>
        <w:tab/>
      </w:r>
      <w:r w:rsidR="00012E96" w:rsidRPr="008C3242">
        <w:rPr>
          <w:rFonts w:ascii="Arial" w:eastAsia="Calibri" w:hAnsi="Arial" w:cs="Arial"/>
          <w:b/>
          <w:bCs/>
          <w:sz w:val="24"/>
          <w:szCs w:val="24"/>
        </w:rPr>
        <w:tab/>
        <w:t xml:space="preserve">           </w:t>
      </w:r>
      <w:r w:rsidR="007535DA" w:rsidRPr="008C3242">
        <w:rPr>
          <w:rFonts w:ascii="Arial" w:eastAsia="Calibri" w:hAnsi="Arial" w:cs="Arial"/>
          <w:b/>
          <w:bCs/>
          <w:sz w:val="24"/>
          <w:szCs w:val="24"/>
        </w:rPr>
        <w:t xml:space="preserve">          </w:t>
      </w:r>
      <w:r w:rsidR="00012E96" w:rsidRPr="008C3242">
        <w:rPr>
          <w:rFonts w:ascii="Arial" w:eastAsia="Calibri" w:hAnsi="Arial" w:cs="Arial"/>
          <w:bCs/>
          <w:sz w:val="24"/>
          <w:szCs w:val="24"/>
        </w:rPr>
        <w:t xml:space="preserve"> </w:t>
      </w:r>
      <w:r w:rsidR="0003660F" w:rsidRPr="008C3242">
        <w:rPr>
          <w:rFonts w:ascii="Arial" w:eastAsia="Calibri" w:hAnsi="Arial" w:cs="Arial"/>
          <w:bCs/>
          <w:sz w:val="24"/>
          <w:szCs w:val="24"/>
        </w:rPr>
        <w:t>Adv</w:t>
      </w:r>
      <w:r>
        <w:rPr>
          <w:rFonts w:ascii="Arial" w:eastAsia="Calibri" w:hAnsi="Arial" w:cs="Arial"/>
          <w:bCs/>
          <w:sz w:val="24"/>
          <w:szCs w:val="24"/>
        </w:rPr>
        <w:t xml:space="preserve"> N.G.D Maritz SC</w:t>
      </w:r>
      <w:r w:rsidR="001C29F6">
        <w:rPr>
          <w:rFonts w:ascii="Arial" w:eastAsia="Calibri" w:hAnsi="Arial" w:cs="Arial"/>
          <w:bCs/>
          <w:sz w:val="24"/>
          <w:szCs w:val="24"/>
        </w:rPr>
        <w:t>.</w:t>
      </w:r>
    </w:p>
    <w:p w14:paraId="009EE966" w14:textId="1E59D629" w:rsidR="00F6575A" w:rsidRPr="008C3242" w:rsidRDefault="00F6575A" w:rsidP="00012E96">
      <w:pPr>
        <w:spacing w:before="120" w:line="360" w:lineRule="auto"/>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t xml:space="preserve">                                           </w:t>
      </w:r>
      <w:r w:rsidR="00FD0BC8">
        <w:rPr>
          <w:rFonts w:ascii="Arial" w:eastAsia="Calibri" w:hAnsi="Arial" w:cs="Arial"/>
          <w:bCs/>
          <w:sz w:val="24"/>
          <w:szCs w:val="24"/>
        </w:rPr>
        <w:t xml:space="preserve"> </w:t>
      </w:r>
      <w:r>
        <w:rPr>
          <w:rFonts w:ascii="Arial" w:eastAsia="Calibri" w:hAnsi="Arial" w:cs="Arial"/>
          <w:bCs/>
          <w:sz w:val="24"/>
          <w:szCs w:val="24"/>
        </w:rPr>
        <w:t>Adv J Wilson SC.</w:t>
      </w:r>
    </w:p>
    <w:p w14:paraId="56944C5E" w14:textId="1B2A722D" w:rsidR="001A5DFF" w:rsidRPr="008C3242" w:rsidRDefault="001A5DFF" w:rsidP="00012E96">
      <w:pPr>
        <w:spacing w:before="120" w:line="360" w:lineRule="auto"/>
        <w:rPr>
          <w:rFonts w:ascii="Arial" w:eastAsia="Calibri" w:hAnsi="Arial" w:cs="Times New Roman"/>
          <w:sz w:val="24"/>
          <w:szCs w:val="24"/>
          <w:lang w:val="en-US"/>
        </w:rPr>
      </w:pPr>
      <w:r w:rsidRPr="008C3242">
        <w:rPr>
          <w:rFonts w:ascii="Arial" w:eastAsia="Calibri" w:hAnsi="Arial" w:cs="Arial"/>
          <w:bCs/>
          <w:sz w:val="24"/>
          <w:szCs w:val="24"/>
        </w:rPr>
        <w:t xml:space="preserve">                                                                  </w:t>
      </w:r>
      <w:r w:rsidR="007535DA" w:rsidRPr="008C3242">
        <w:rPr>
          <w:rFonts w:ascii="Arial" w:eastAsia="Calibri" w:hAnsi="Arial" w:cs="Arial"/>
          <w:bCs/>
          <w:sz w:val="24"/>
          <w:szCs w:val="24"/>
        </w:rPr>
        <w:t xml:space="preserve"> </w:t>
      </w:r>
      <w:r w:rsidR="00FC4A26" w:rsidRPr="008C3242">
        <w:rPr>
          <w:rFonts w:ascii="Arial" w:eastAsia="Calibri" w:hAnsi="Arial" w:cs="Arial"/>
          <w:bCs/>
          <w:sz w:val="24"/>
          <w:szCs w:val="24"/>
        </w:rPr>
        <w:t xml:space="preserve">  </w:t>
      </w:r>
      <w:r w:rsidR="0003660F" w:rsidRPr="008C3242">
        <w:rPr>
          <w:rFonts w:ascii="Arial" w:eastAsia="Calibri" w:hAnsi="Arial" w:cs="Arial"/>
          <w:bCs/>
          <w:sz w:val="24"/>
          <w:szCs w:val="24"/>
        </w:rPr>
        <w:t xml:space="preserve">                   </w:t>
      </w:r>
    </w:p>
    <w:p w14:paraId="41A4E357" w14:textId="77777777" w:rsidR="00012E96" w:rsidRPr="008C3242" w:rsidRDefault="00012E96" w:rsidP="00012E96">
      <w:pPr>
        <w:spacing w:after="0" w:line="276" w:lineRule="auto"/>
        <w:ind w:left="3600" w:hanging="3600"/>
        <w:jc w:val="both"/>
        <w:outlineLvl w:val="0"/>
        <w:rPr>
          <w:rFonts w:ascii="Arial" w:hAnsi="Arial" w:cs="Arial"/>
          <w:sz w:val="24"/>
          <w:szCs w:val="24"/>
        </w:rPr>
      </w:pPr>
    </w:p>
    <w:p w14:paraId="6DB24BE8" w14:textId="78A64DE9" w:rsidR="00012E96" w:rsidRPr="008C3242" w:rsidRDefault="0003660F" w:rsidP="00012E96">
      <w:pPr>
        <w:spacing w:after="0" w:line="276" w:lineRule="auto"/>
        <w:ind w:left="3600" w:hanging="3600"/>
        <w:jc w:val="both"/>
        <w:outlineLvl w:val="0"/>
        <w:rPr>
          <w:rFonts w:ascii="Arial" w:hAnsi="Arial" w:cs="Arial"/>
          <w:sz w:val="24"/>
          <w:szCs w:val="24"/>
        </w:rPr>
      </w:pPr>
      <w:r w:rsidRPr="008C3242">
        <w:rPr>
          <w:rFonts w:ascii="Arial" w:hAnsi="Arial" w:cs="Arial"/>
          <w:b/>
          <w:sz w:val="24"/>
          <w:szCs w:val="24"/>
        </w:rPr>
        <w:t>Instructed by</w:t>
      </w:r>
      <w:r w:rsidRPr="005A1BCC">
        <w:rPr>
          <w:rFonts w:ascii="Arial" w:hAnsi="Arial" w:cs="Arial"/>
          <w:sz w:val="24"/>
          <w:szCs w:val="24"/>
        </w:rPr>
        <w:t>:</w:t>
      </w:r>
      <w:r w:rsidR="00012E96" w:rsidRPr="005A1BCC">
        <w:rPr>
          <w:rFonts w:ascii="Arial" w:hAnsi="Arial" w:cs="Arial"/>
          <w:sz w:val="24"/>
          <w:szCs w:val="24"/>
        </w:rPr>
        <w:t xml:space="preserve">        </w:t>
      </w:r>
      <w:r w:rsidRPr="005A1BCC">
        <w:rPr>
          <w:rFonts w:ascii="Arial" w:hAnsi="Arial" w:cs="Arial"/>
          <w:sz w:val="24"/>
          <w:szCs w:val="24"/>
        </w:rPr>
        <w:t xml:space="preserve">                          </w:t>
      </w:r>
      <w:r w:rsidR="005A1BCC" w:rsidRPr="005A1BCC">
        <w:rPr>
          <w:rFonts w:ascii="Arial" w:hAnsi="Arial" w:cs="Arial"/>
          <w:sz w:val="24"/>
          <w:szCs w:val="24"/>
        </w:rPr>
        <w:t xml:space="preserve"> </w:t>
      </w:r>
      <w:r w:rsidR="005060CE">
        <w:rPr>
          <w:rFonts w:ascii="Arial" w:hAnsi="Arial" w:cs="Arial"/>
          <w:sz w:val="24"/>
          <w:szCs w:val="24"/>
        </w:rPr>
        <w:t xml:space="preserve">    </w:t>
      </w:r>
      <w:r w:rsidR="005A1BCC" w:rsidRPr="005A1BCC">
        <w:rPr>
          <w:rFonts w:ascii="Arial" w:hAnsi="Arial" w:cs="Arial"/>
          <w:sz w:val="24"/>
          <w:szCs w:val="24"/>
        </w:rPr>
        <w:t xml:space="preserve">   </w:t>
      </w:r>
      <w:r w:rsidR="00FD0BC8">
        <w:rPr>
          <w:rFonts w:ascii="Arial" w:hAnsi="Arial" w:cs="Arial"/>
          <w:sz w:val="24"/>
          <w:szCs w:val="24"/>
        </w:rPr>
        <w:t>MacRobert Attorneys</w:t>
      </w:r>
      <w:r w:rsidR="005060CE">
        <w:rPr>
          <w:rFonts w:ascii="Arial" w:hAnsi="Arial" w:cs="Arial"/>
          <w:sz w:val="24"/>
          <w:szCs w:val="24"/>
        </w:rPr>
        <w:t>.</w:t>
      </w:r>
      <w:r w:rsidR="005A1BCC" w:rsidRPr="005A1BCC">
        <w:rPr>
          <w:rFonts w:ascii="Arial" w:hAnsi="Arial" w:cs="Arial"/>
          <w:sz w:val="24"/>
          <w:szCs w:val="24"/>
        </w:rPr>
        <w:t xml:space="preserve">    </w:t>
      </w:r>
      <w:r w:rsidR="00012E96" w:rsidRPr="008C3242">
        <w:rPr>
          <w:rFonts w:ascii="Arial" w:hAnsi="Arial" w:cs="Arial"/>
          <w:i/>
          <w:sz w:val="24"/>
          <w:szCs w:val="24"/>
        </w:rPr>
        <w:t xml:space="preserve">           </w:t>
      </w:r>
      <w:r w:rsidR="00012E96" w:rsidRPr="008C3242">
        <w:rPr>
          <w:rFonts w:ascii="Arial" w:hAnsi="Arial" w:cs="Arial"/>
          <w:b/>
          <w:i/>
          <w:sz w:val="24"/>
          <w:szCs w:val="24"/>
        </w:rPr>
        <w:tab/>
      </w:r>
      <w:r w:rsidR="00012E96" w:rsidRPr="008C3242">
        <w:rPr>
          <w:rFonts w:ascii="Arial" w:hAnsi="Arial" w:cs="Arial"/>
          <w:b/>
          <w:sz w:val="24"/>
          <w:szCs w:val="24"/>
        </w:rPr>
        <w:tab/>
      </w:r>
      <w:r w:rsidRPr="008C3242">
        <w:rPr>
          <w:rFonts w:ascii="Arial" w:hAnsi="Arial" w:cs="Arial"/>
          <w:b/>
          <w:sz w:val="24"/>
          <w:szCs w:val="24"/>
        </w:rPr>
        <w:t xml:space="preserve">                 </w:t>
      </w:r>
      <w:r w:rsidR="00012E96" w:rsidRPr="008C3242">
        <w:rPr>
          <w:rFonts w:ascii="Arial" w:hAnsi="Arial" w:cs="Arial"/>
          <w:b/>
          <w:sz w:val="24"/>
          <w:szCs w:val="24"/>
        </w:rPr>
        <w:t xml:space="preserve"> </w:t>
      </w:r>
      <w:r w:rsidRPr="008C3242">
        <w:rPr>
          <w:rFonts w:ascii="Arial" w:hAnsi="Arial" w:cs="Arial"/>
          <w:b/>
          <w:sz w:val="24"/>
          <w:szCs w:val="24"/>
        </w:rPr>
        <w:t xml:space="preserve">     </w:t>
      </w:r>
      <w:r w:rsidR="001A5DFF" w:rsidRPr="008C3242">
        <w:rPr>
          <w:rFonts w:ascii="Arial" w:hAnsi="Arial" w:cs="Arial"/>
          <w:sz w:val="24"/>
          <w:szCs w:val="24"/>
        </w:rPr>
        <w:t xml:space="preserve"> </w:t>
      </w:r>
    </w:p>
    <w:p w14:paraId="14A9B26F" w14:textId="781E318F" w:rsidR="00FC4A26" w:rsidRPr="008C3242" w:rsidRDefault="00FC4A26" w:rsidP="00012E96">
      <w:pPr>
        <w:spacing w:after="0" w:line="276" w:lineRule="auto"/>
        <w:ind w:left="3600" w:hanging="3600"/>
        <w:jc w:val="both"/>
        <w:outlineLvl w:val="0"/>
        <w:rPr>
          <w:rFonts w:ascii="Arial" w:hAnsi="Arial" w:cs="Arial"/>
          <w:sz w:val="24"/>
          <w:szCs w:val="24"/>
        </w:rPr>
      </w:pPr>
    </w:p>
    <w:p w14:paraId="6A0A6727" w14:textId="206636D9" w:rsidR="001C29F6" w:rsidRDefault="00FD0BC8" w:rsidP="008C3242">
      <w:pPr>
        <w:spacing w:before="120" w:line="360" w:lineRule="auto"/>
        <w:rPr>
          <w:rFonts w:ascii="Arial" w:hAnsi="Arial" w:cs="Arial"/>
          <w:sz w:val="24"/>
          <w:szCs w:val="24"/>
        </w:rPr>
      </w:pPr>
      <w:r>
        <w:rPr>
          <w:rFonts w:ascii="Arial" w:hAnsi="Arial" w:cs="Arial"/>
          <w:sz w:val="24"/>
          <w:szCs w:val="24"/>
        </w:rPr>
        <w:t xml:space="preserve">                                                              </w:t>
      </w:r>
    </w:p>
    <w:p w14:paraId="52FD4523" w14:textId="66A5F2E4" w:rsidR="008C3242" w:rsidRDefault="008C3242" w:rsidP="008C3242">
      <w:pPr>
        <w:spacing w:before="120" w:line="360" w:lineRule="auto"/>
        <w:rPr>
          <w:rFonts w:ascii="Arial" w:eastAsia="Calibri" w:hAnsi="Arial" w:cs="Arial"/>
          <w:bCs/>
          <w:sz w:val="24"/>
          <w:szCs w:val="24"/>
        </w:rPr>
      </w:pPr>
      <w:r w:rsidRPr="008C3242">
        <w:rPr>
          <w:rFonts w:ascii="Arial" w:hAnsi="Arial" w:cs="Arial"/>
          <w:b/>
          <w:sz w:val="24"/>
          <w:szCs w:val="24"/>
        </w:rPr>
        <w:t xml:space="preserve">For the </w:t>
      </w:r>
      <w:r w:rsidR="001A3B04">
        <w:rPr>
          <w:rFonts w:ascii="Arial" w:hAnsi="Arial" w:cs="Arial"/>
          <w:b/>
          <w:sz w:val="24"/>
          <w:szCs w:val="24"/>
        </w:rPr>
        <w:t xml:space="preserve">Commission </w:t>
      </w:r>
      <w:r w:rsidRPr="008C3242">
        <w:rPr>
          <w:rFonts w:ascii="Arial" w:hAnsi="Arial" w:cs="Arial"/>
          <w:b/>
          <w:sz w:val="24"/>
          <w:szCs w:val="24"/>
        </w:rPr>
        <w:t>:</w:t>
      </w:r>
      <w:r w:rsidR="005A1BCC">
        <w:rPr>
          <w:rFonts w:ascii="Arial" w:eastAsia="Calibri" w:hAnsi="Arial" w:cs="Arial"/>
          <w:b/>
          <w:bCs/>
          <w:sz w:val="24"/>
          <w:szCs w:val="24"/>
        </w:rPr>
        <w:tab/>
      </w:r>
      <w:r w:rsidR="005A1BCC">
        <w:rPr>
          <w:rFonts w:ascii="Arial" w:eastAsia="Calibri" w:hAnsi="Arial" w:cs="Arial"/>
          <w:b/>
          <w:bCs/>
          <w:sz w:val="24"/>
          <w:szCs w:val="24"/>
        </w:rPr>
        <w:tab/>
      </w:r>
      <w:r w:rsidR="00BD01EA">
        <w:rPr>
          <w:rFonts w:ascii="Arial" w:eastAsia="Calibri" w:hAnsi="Arial" w:cs="Arial"/>
          <w:b/>
          <w:bCs/>
          <w:sz w:val="24"/>
          <w:szCs w:val="24"/>
        </w:rPr>
        <w:t xml:space="preserve">       </w:t>
      </w:r>
      <w:r w:rsidR="005A1BCC">
        <w:rPr>
          <w:rFonts w:ascii="Arial" w:eastAsia="Calibri" w:hAnsi="Arial" w:cs="Arial"/>
          <w:b/>
          <w:bCs/>
          <w:sz w:val="24"/>
          <w:szCs w:val="24"/>
        </w:rPr>
        <w:t xml:space="preserve">  </w:t>
      </w:r>
      <w:r w:rsidR="001C29F6">
        <w:rPr>
          <w:rFonts w:ascii="Arial" w:eastAsia="Calibri" w:hAnsi="Arial" w:cs="Arial"/>
          <w:bCs/>
          <w:sz w:val="24"/>
          <w:szCs w:val="24"/>
        </w:rPr>
        <w:t xml:space="preserve">Adv T Ngcukaitobi </w:t>
      </w:r>
      <w:r w:rsidR="001C29F6">
        <w:rPr>
          <w:rFonts w:ascii="Arial" w:eastAsia="Calibri" w:hAnsi="Arial" w:cs="Arial"/>
          <w:bCs/>
          <w:sz w:val="24"/>
          <w:szCs w:val="24"/>
        </w:rPr>
        <w:tab/>
        <w:t>SC.</w:t>
      </w:r>
    </w:p>
    <w:p w14:paraId="39DC715E" w14:textId="3D39153A" w:rsidR="001C29F6" w:rsidRPr="005A1BCC" w:rsidRDefault="001C29F6" w:rsidP="008C3242">
      <w:pPr>
        <w:spacing w:before="120" w:line="360" w:lineRule="auto"/>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00BD01EA">
        <w:rPr>
          <w:rFonts w:ascii="Arial" w:eastAsia="Calibri" w:hAnsi="Arial" w:cs="Arial"/>
          <w:bCs/>
          <w:sz w:val="24"/>
          <w:szCs w:val="24"/>
        </w:rPr>
        <w:t xml:space="preserve">         </w:t>
      </w:r>
      <w:r w:rsidR="001A3B04">
        <w:rPr>
          <w:rFonts w:ascii="Arial" w:eastAsia="Calibri" w:hAnsi="Arial" w:cs="Arial"/>
          <w:bCs/>
          <w:sz w:val="24"/>
          <w:szCs w:val="24"/>
        </w:rPr>
        <w:t xml:space="preserve"> </w:t>
      </w:r>
      <w:r>
        <w:rPr>
          <w:rFonts w:ascii="Arial" w:eastAsia="Calibri" w:hAnsi="Arial" w:cs="Arial"/>
          <w:bCs/>
          <w:sz w:val="24"/>
          <w:szCs w:val="24"/>
        </w:rPr>
        <w:t>Adv K Monareng.</w:t>
      </w:r>
    </w:p>
    <w:p w14:paraId="59523E62" w14:textId="314DFC78" w:rsidR="008C3242" w:rsidRPr="008C3242" w:rsidRDefault="008C3242" w:rsidP="008C3242">
      <w:pPr>
        <w:spacing w:before="120" w:line="360" w:lineRule="auto"/>
        <w:rPr>
          <w:rFonts w:ascii="Arial" w:eastAsia="Calibri" w:hAnsi="Arial" w:cs="Times New Roman"/>
          <w:sz w:val="24"/>
          <w:szCs w:val="24"/>
          <w:lang w:val="en-US"/>
        </w:rPr>
      </w:pPr>
      <w:r w:rsidRPr="008C3242">
        <w:rPr>
          <w:rFonts w:ascii="Arial" w:eastAsia="Calibri" w:hAnsi="Arial" w:cs="Arial"/>
          <w:bCs/>
          <w:sz w:val="24"/>
          <w:szCs w:val="24"/>
        </w:rPr>
        <w:t xml:space="preserve">                                                                     </w:t>
      </w:r>
      <w:r w:rsidR="005A1BCC">
        <w:rPr>
          <w:rFonts w:ascii="Arial" w:eastAsia="Calibri" w:hAnsi="Arial" w:cs="Arial"/>
          <w:bCs/>
          <w:sz w:val="24"/>
          <w:szCs w:val="24"/>
        </w:rPr>
        <w:t xml:space="preserve">             </w:t>
      </w:r>
    </w:p>
    <w:p w14:paraId="43301A4E" w14:textId="77777777" w:rsidR="008C3242" w:rsidRPr="008C3242" w:rsidRDefault="008C3242" w:rsidP="008C3242">
      <w:pPr>
        <w:spacing w:after="0" w:line="276" w:lineRule="auto"/>
        <w:ind w:left="3600" w:hanging="3600"/>
        <w:jc w:val="both"/>
        <w:outlineLvl w:val="0"/>
        <w:rPr>
          <w:rFonts w:ascii="Arial" w:hAnsi="Arial" w:cs="Arial"/>
          <w:sz w:val="24"/>
          <w:szCs w:val="24"/>
        </w:rPr>
      </w:pPr>
    </w:p>
    <w:p w14:paraId="0C966AF6" w14:textId="58A9610C" w:rsidR="001A3B04" w:rsidRPr="00FD0BC8" w:rsidRDefault="008C3242" w:rsidP="008C3242">
      <w:pPr>
        <w:spacing w:after="0" w:line="276" w:lineRule="auto"/>
        <w:ind w:left="3600" w:hanging="3600"/>
        <w:jc w:val="both"/>
        <w:outlineLvl w:val="0"/>
        <w:rPr>
          <w:rFonts w:ascii="Arial" w:hAnsi="Arial" w:cs="Arial"/>
          <w:sz w:val="24"/>
          <w:szCs w:val="24"/>
        </w:rPr>
      </w:pPr>
      <w:r w:rsidRPr="008C3242">
        <w:rPr>
          <w:rFonts w:ascii="Arial" w:hAnsi="Arial" w:cs="Arial"/>
          <w:b/>
          <w:sz w:val="24"/>
          <w:szCs w:val="24"/>
        </w:rPr>
        <w:t xml:space="preserve">Instructed by:      </w:t>
      </w:r>
      <w:r w:rsidR="00FD0BC8">
        <w:rPr>
          <w:rFonts w:ascii="Arial" w:hAnsi="Arial" w:cs="Arial"/>
          <w:b/>
          <w:sz w:val="24"/>
          <w:szCs w:val="24"/>
        </w:rPr>
        <w:t xml:space="preserve">                                </w:t>
      </w:r>
      <w:r w:rsidR="00FD0BC8">
        <w:rPr>
          <w:rFonts w:ascii="Arial" w:hAnsi="Arial" w:cs="Arial"/>
          <w:sz w:val="24"/>
          <w:szCs w:val="24"/>
        </w:rPr>
        <w:t>Ndzabandzaba Attorneys inc</w:t>
      </w:r>
      <w:r w:rsidR="005060CE">
        <w:rPr>
          <w:rFonts w:ascii="Arial" w:hAnsi="Arial" w:cs="Arial"/>
          <w:sz w:val="24"/>
          <w:szCs w:val="24"/>
        </w:rPr>
        <w:t>.</w:t>
      </w:r>
      <w:r w:rsidR="00FD0BC8">
        <w:rPr>
          <w:rFonts w:ascii="Arial" w:hAnsi="Arial" w:cs="Arial"/>
          <w:sz w:val="24"/>
          <w:szCs w:val="24"/>
        </w:rPr>
        <w:t xml:space="preserve"> </w:t>
      </w:r>
    </w:p>
    <w:p w14:paraId="276E00F9" w14:textId="58CB5C07" w:rsidR="008C3242" w:rsidRPr="008C3242" w:rsidRDefault="008C3242" w:rsidP="008C3242">
      <w:pPr>
        <w:spacing w:after="0" w:line="276" w:lineRule="auto"/>
        <w:ind w:left="3600" w:hanging="3600"/>
        <w:jc w:val="both"/>
        <w:outlineLvl w:val="0"/>
        <w:rPr>
          <w:rFonts w:ascii="Arial" w:hAnsi="Arial" w:cs="Arial"/>
          <w:sz w:val="24"/>
          <w:szCs w:val="24"/>
        </w:rPr>
      </w:pPr>
      <w:r w:rsidRPr="008C3242">
        <w:rPr>
          <w:rFonts w:ascii="Arial" w:hAnsi="Arial" w:cs="Arial"/>
          <w:b/>
          <w:sz w:val="24"/>
          <w:szCs w:val="24"/>
        </w:rPr>
        <w:t xml:space="preserve">                            </w:t>
      </w:r>
      <w:r w:rsidR="005A1BCC">
        <w:rPr>
          <w:rFonts w:ascii="Arial" w:hAnsi="Arial" w:cs="Arial"/>
          <w:b/>
          <w:sz w:val="24"/>
          <w:szCs w:val="24"/>
        </w:rPr>
        <w:t xml:space="preserve">        </w:t>
      </w:r>
      <w:r w:rsidRPr="008C3242">
        <w:rPr>
          <w:rFonts w:ascii="Arial" w:hAnsi="Arial" w:cs="Arial"/>
          <w:sz w:val="24"/>
          <w:szCs w:val="24"/>
        </w:rPr>
        <w:t xml:space="preserve">          </w:t>
      </w:r>
      <w:r w:rsidRPr="008C3242">
        <w:rPr>
          <w:rFonts w:ascii="Arial" w:hAnsi="Arial" w:cs="Arial"/>
          <w:b/>
          <w:sz w:val="24"/>
          <w:szCs w:val="24"/>
        </w:rPr>
        <w:tab/>
      </w:r>
      <w:r w:rsidRPr="008C3242">
        <w:rPr>
          <w:rFonts w:ascii="Arial" w:hAnsi="Arial" w:cs="Arial"/>
          <w:b/>
          <w:sz w:val="24"/>
          <w:szCs w:val="24"/>
        </w:rPr>
        <w:tab/>
        <w:t xml:space="preserve">                       </w:t>
      </w:r>
      <w:r w:rsidRPr="008C3242">
        <w:rPr>
          <w:rFonts w:ascii="Arial" w:hAnsi="Arial" w:cs="Arial"/>
          <w:sz w:val="24"/>
          <w:szCs w:val="24"/>
        </w:rPr>
        <w:t xml:space="preserve"> </w:t>
      </w:r>
    </w:p>
    <w:p w14:paraId="5E872F9D" w14:textId="093308AA" w:rsidR="002D42AF" w:rsidRDefault="002D42AF">
      <w:pPr>
        <w:rPr>
          <w:rFonts w:ascii="Arial" w:hAnsi="Arial" w:cs="Arial"/>
          <w:sz w:val="24"/>
          <w:szCs w:val="24"/>
        </w:rPr>
      </w:pPr>
    </w:p>
    <w:p w14:paraId="05E00BF2" w14:textId="117EE044" w:rsidR="001A3B04" w:rsidRPr="00EC07CC" w:rsidRDefault="001A3B04">
      <w:pPr>
        <w:rPr>
          <w:rFonts w:ascii="Arial" w:hAnsi="Arial" w:cs="Arial"/>
          <w:sz w:val="24"/>
          <w:szCs w:val="24"/>
        </w:rPr>
      </w:pPr>
      <w:r w:rsidRPr="001A3B04">
        <w:rPr>
          <w:rFonts w:ascii="Arial" w:hAnsi="Arial" w:cs="Arial"/>
          <w:b/>
          <w:sz w:val="24"/>
          <w:szCs w:val="24"/>
        </w:rPr>
        <w:t>For the second respondent</w:t>
      </w:r>
      <w:r w:rsidR="00EC07CC">
        <w:rPr>
          <w:rFonts w:ascii="Arial" w:hAnsi="Arial" w:cs="Arial"/>
          <w:b/>
          <w:sz w:val="24"/>
          <w:szCs w:val="24"/>
        </w:rPr>
        <w:t xml:space="preserve">:    </w:t>
      </w:r>
      <w:r w:rsidR="00BD01EA">
        <w:rPr>
          <w:rFonts w:ascii="Arial" w:hAnsi="Arial" w:cs="Arial"/>
          <w:b/>
          <w:sz w:val="24"/>
          <w:szCs w:val="24"/>
        </w:rPr>
        <w:t xml:space="preserve">      </w:t>
      </w:r>
      <w:r w:rsidR="005060CE">
        <w:rPr>
          <w:rFonts w:ascii="Arial" w:hAnsi="Arial" w:cs="Arial"/>
          <w:b/>
          <w:sz w:val="24"/>
          <w:szCs w:val="24"/>
        </w:rPr>
        <w:t xml:space="preserve">  </w:t>
      </w:r>
      <w:r w:rsidR="00EC07CC">
        <w:rPr>
          <w:rFonts w:ascii="Arial" w:hAnsi="Arial" w:cs="Arial"/>
          <w:sz w:val="24"/>
          <w:szCs w:val="24"/>
        </w:rPr>
        <w:t xml:space="preserve"> Adv N M</w:t>
      </w:r>
      <w:r w:rsidR="00BD01EA">
        <w:rPr>
          <w:rFonts w:ascii="Arial" w:hAnsi="Arial" w:cs="Arial"/>
          <w:sz w:val="24"/>
          <w:szCs w:val="24"/>
        </w:rPr>
        <w:t>aenetje</w:t>
      </w:r>
      <w:r w:rsidR="00FD0BC8">
        <w:rPr>
          <w:rFonts w:ascii="Arial" w:hAnsi="Arial" w:cs="Arial"/>
          <w:sz w:val="24"/>
          <w:szCs w:val="24"/>
        </w:rPr>
        <w:t xml:space="preserve"> SC</w:t>
      </w:r>
      <w:r w:rsidR="005060CE">
        <w:rPr>
          <w:rFonts w:ascii="Arial" w:hAnsi="Arial" w:cs="Arial"/>
          <w:sz w:val="24"/>
          <w:szCs w:val="24"/>
        </w:rPr>
        <w:t>.</w:t>
      </w:r>
    </w:p>
    <w:p w14:paraId="5C183C1F" w14:textId="28C74B41" w:rsidR="001A3B04" w:rsidRDefault="001A3B04">
      <w:pPr>
        <w:rPr>
          <w:rFonts w:ascii="Arial" w:hAnsi="Arial" w:cs="Arial"/>
          <w:b/>
          <w:sz w:val="24"/>
          <w:szCs w:val="24"/>
        </w:rPr>
      </w:pPr>
    </w:p>
    <w:p w14:paraId="009EB5DD" w14:textId="63B38A11" w:rsidR="001A3B04" w:rsidRDefault="001A3B04">
      <w:pPr>
        <w:rPr>
          <w:rFonts w:ascii="Arial" w:hAnsi="Arial" w:cs="Arial"/>
          <w:b/>
          <w:sz w:val="24"/>
          <w:szCs w:val="24"/>
        </w:rPr>
      </w:pPr>
    </w:p>
    <w:p w14:paraId="79C4A383" w14:textId="68B929C6" w:rsidR="001A3B04" w:rsidRPr="00FD0BC8" w:rsidRDefault="001A3B04">
      <w:pPr>
        <w:rPr>
          <w:rFonts w:ascii="Arial" w:hAnsi="Arial" w:cs="Arial"/>
          <w:sz w:val="24"/>
          <w:szCs w:val="24"/>
        </w:rPr>
      </w:pPr>
      <w:r>
        <w:rPr>
          <w:rFonts w:ascii="Arial" w:hAnsi="Arial" w:cs="Arial"/>
          <w:b/>
          <w:sz w:val="24"/>
          <w:szCs w:val="24"/>
        </w:rPr>
        <w:t>Instructed by:</w:t>
      </w:r>
      <w:r w:rsidR="00FD0BC8">
        <w:rPr>
          <w:rFonts w:ascii="Arial" w:hAnsi="Arial" w:cs="Arial"/>
          <w:b/>
          <w:sz w:val="24"/>
          <w:szCs w:val="24"/>
        </w:rPr>
        <w:t xml:space="preserve">                                     </w:t>
      </w:r>
      <w:r w:rsidR="005060CE">
        <w:rPr>
          <w:rFonts w:ascii="Arial" w:hAnsi="Arial" w:cs="Arial"/>
          <w:sz w:val="24"/>
          <w:szCs w:val="24"/>
        </w:rPr>
        <w:t>Werksmans Attorneys.</w:t>
      </w:r>
    </w:p>
    <w:p w14:paraId="120D9130" w14:textId="2D8792F7" w:rsidR="001A3B04" w:rsidRPr="001A3B04" w:rsidRDefault="001A3B04">
      <w:pPr>
        <w:rPr>
          <w:b/>
        </w:rPr>
      </w:pPr>
    </w:p>
    <w:p w14:paraId="451DCDDE" w14:textId="236FAA12" w:rsidR="001A3B04" w:rsidRDefault="001A3B04"/>
    <w:p w14:paraId="0DDC4803" w14:textId="6AE90A0A" w:rsidR="001A3B04" w:rsidRDefault="001A3B04"/>
    <w:sectPr w:rsidR="001A3B04" w:rsidSect="00DC2E5D">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39A0A" w14:textId="77777777" w:rsidR="003C4E83" w:rsidRDefault="003C4E83" w:rsidP="00012E96">
      <w:pPr>
        <w:spacing w:after="0" w:line="240" w:lineRule="auto"/>
      </w:pPr>
      <w:r>
        <w:separator/>
      </w:r>
    </w:p>
  </w:endnote>
  <w:endnote w:type="continuationSeparator" w:id="0">
    <w:p w14:paraId="4C084226" w14:textId="77777777" w:rsidR="003C4E83" w:rsidRDefault="003C4E83" w:rsidP="0001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9DE76" w14:textId="77777777" w:rsidR="003C4E83" w:rsidRDefault="003C4E83" w:rsidP="00012E96">
      <w:pPr>
        <w:spacing w:after="0" w:line="240" w:lineRule="auto"/>
      </w:pPr>
      <w:r>
        <w:separator/>
      </w:r>
    </w:p>
  </w:footnote>
  <w:footnote w:type="continuationSeparator" w:id="0">
    <w:p w14:paraId="3C904804" w14:textId="77777777" w:rsidR="003C4E83" w:rsidRDefault="003C4E83" w:rsidP="00012E96">
      <w:pPr>
        <w:spacing w:after="0" w:line="240" w:lineRule="auto"/>
      </w:pPr>
      <w:r>
        <w:continuationSeparator/>
      </w:r>
    </w:p>
  </w:footnote>
  <w:footnote w:id="1">
    <w:p w14:paraId="61126081" w14:textId="404DC54A" w:rsidR="0070760F" w:rsidRPr="005060CE" w:rsidRDefault="0070760F" w:rsidP="00C62F32">
      <w:pPr>
        <w:pStyle w:val="ListParagraph"/>
        <w:ind w:left="0"/>
        <w:jc w:val="both"/>
        <w:rPr>
          <w:rFonts w:ascii="Arial" w:hAnsi="Arial" w:cs="Arial"/>
          <w:sz w:val="20"/>
          <w:szCs w:val="20"/>
        </w:rPr>
      </w:pPr>
      <w:r>
        <w:rPr>
          <w:rStyle w:val="FootnoteReference"/>
        </w:rPr>
        <w:footnoteRef/>
      </w:r>
      <w:r>
        <w:t xml:space="preserve"> </w:t>
      </w:r>
      <w:r w:rsidRPr="005060CE">
        <w:rPr>
          <w:rFonts w:ascii="Arial" w:hAnsi="Arial" w:cs="Arial"/>
          <w:bCs/>
          <w:i/>
          <w:sz w:val="20"/>
          <w:szCs w:val="20"/>
        </w:rPr>
        <w:t>American Natural Soda Ash Corporation and another v Competition Commission and others</w:t>
      </w:r>
      <w:r w:rsidRPr="005060CE">
        <w:rPr>
          <w:rFonts w:ascii="Arial" w:hAnsi="Arial" w:cs="Arial"/>
          <w:i/>
          <w:sz w:val="20"/>
          <w:szCs w:val="20"/>
        </w:rPr>
        <w:t> </w:t>
      </w:r>
      <w:hyperlink r:id="rId1" w:tooltip="View LawCiteRecord" w:history="1">
        <w:r w:rsidRPr="005060CE">
          <w:rPr>
            <w:rStyle w:val="Hyperlink"/>
            <w:rFonts w:ascii="Arial" w:hAnsi="Arial" w:cs="Arial"/>
            <w:bCs/>
            <w:i/>
            <w:color w:val="auto"/>
            <w:sz w:val="20"/>
            <w:szCs w:val="20"/>
            <w:u w:val="none"/>
          </w:rPr>
          <w:t>2005 (6) SA 158</w:t>
        </w:r>
      </w:hyperlink>
      <w:r w:rsidRPr="005060CE">
        <w:rPr>
          <w:rFonts w:ascii="Arial" w:hAnsi="Arial" w:cs="Arial"/>
          <w:i/>
          <w:sz w:val="20"/>
          <w:szCs w:val="20"/>
        </w:rPr>
        <w:t> </w:t>
      </w:r>
      <w:r w:rsidRPr="005060CE">
        <w:rPr>
          <w:rFonts w:ascii="Arial" w:hAnsi="Arial" w:cs="Arial"/>
          <w:sz w:val="20"/>
          <w:szCs w:val="20"/>
        </w:rPr>
        <w:t>(SCA) (‘</w:t>
      </w:r>
      <w:r w:rsidRPr="005060CE">
        <w:rPr>
          <w:rFonts w:ascii="Arial" w:hAnsi="Arial" w:cs="Arial"/>
          <w:i/>
          <w:sz w:val="20"/>
          <w:szCs w:val="20"/>
        </w:rPr>
        <w:t>ANSAC’</w:t>
      </w:r>
      <w:r w:rsidRPr="005060CE">
        <w:rPr>
          <w:rFonts w:ascii="Arial" w:hAnsi="Arial" w:cs="Arial"/>
          <w:sz w:val="20"/>
          <w:szCs w:val="20"/>
        </w:rPr>
        <w:t xml:space="preserve">)  at paras 43 – 47.  </w:t>
      </w:r>
    </w:p>
  </w:footnote>
  <w:footnote w:id="2">
    <w:p w14:paraId="04130CCC" w14:textId="452E0AFE" w:rsidR="0070760F" w:rsidRPr="005060CE" w:rsidRDefault="0070760F">
      <w:pPr>
        <w:pStyle w:val="FootnoteText"/>
        <w:rPr>
          <w:rFonts w:ascii="Arial" w:hAnsi="Arial" w:cs="Arial"/>
          <w:i/>
          <w:lang w:val="en-GB"/>
        </w:rPr>
      </w:pPr>
      <w:r w:rsidRPr="005060CE">
        <w:rPr>
          <w:rStyle w:val="FootnoteReference"/>
          <w:rFonts w:ascii="Arial" w:hAnsi="Arial" w:cs="Arial"/>
        </w:rPr>
        <w:footnoteRef/>
      </w:r>
      <w:r w:rsidRPr="005060CE">
        <w:rPr>
          <w:rFonts w:ascii="Arial" w:hAnsi="Arial" w:cs="Arial"/>
        </w:rPr>
        <w:t xml:space="preserve"> </w:t>
      </w:r>
      <w:r w:rsidRPr="005060CE">
        <w:rPr>
          <w:rFonts w:ascii="Arial" w:hAnsi="Arial" w:cs="Arial"/>
          <w:i/>
          <w:lang w:val="en-GB"/>
        </w:rPr>
        <w:t>Id at para 47</w:t>
      </w:r>
      <w:r w:rsidR="00C62F32" w:rsidRPr="005060CE">
        <w:rPr>
          <w:rFonts w:ascii="Arial" w:hAnsi="Arial" w:cs="Arial"/>
          <w:i/>
          <w:lang w:val="en-GB"/>
        </w:rPr>
        <w:t>.</w:t>
      </w:r>
    </w:p>
  </w:footnote>
  <w:footnote w:id="3">
    <w:p w14:paraId="179D19CE" w14:textId="6B27E274" w:rsidR="0070760F" w:rsidRPr="00FD0BC8" w:rsidRDefault="0070760F">
      <w:pPr>
        <w:pStyle w:val="FootnoteText"/>
        <w:rPr>
          <w:rFonts w:cstheme="minorHAnsi"/>
          <w:i/>
          <w:sz w:val="22"/>
          <w:szCs w:val="22"/>
          <w:lang w:val="en-GB"/>
        </w:rPr>
      </w:pPr>
      <w:r w:rsidRPr="005060CE">
        <w:rPr>
          <w:rStyle w:val="FootnoteReference"/>
          <w:rFonts w:ascii="Arial" w:hAnsi="Arial" w:cs="Arial"/>
          <w:i/>
        </w:rPr>
        <w:footnoteRef/>
      </w:r>
      <w:r w:rsidRPr="005060CE">
        <w:rPr>
          <w:rFonts w:ascii="Arial" w:hAnsi="Arial" w:cs="Arial"/>
          <w:i/>
        </w:rPr>
        <w:t xml:space="preserve"> </w:t>
      </w:r>
      <w:r w:rsidRPr="005060CE">
        <w:rPr>
          <w:rFonts w:ascii="Arial" w:hAnsi="Arial" w:cs="Arial"/>
          <w:i/>
          <w:iCs/>
        </w:rPr>
        <w:t>Competition Commission v South African Breweries Ltd &amp; others</w:t>
      </w:r>
      <w:r w:rsidRPr="005060CE">
        <w:rPr>
          <w:rStyle w:val="FootnoteReference"/>
          <w:rFonts w:ascii="Arial" w:hAnsi="Arial" w:cs="Arial"/>
          <w:i/>
          <w:iCs/>
        </w:rPr>
        <w:footnoteRef/>
      </w:r>
      <w:r w:rsidRPr="005060CE">
        <w:rPr>
          <w:rFonts w:ascii="Arial" w:hAnsi="Arial" w:cs="Arial"/>
          <w:i/>
          <w:iCs/>
        </w:rPr>
        <w:t>(SAB)) </w:t>
      </w:r>
      <w:hyperlink r:id="rId2" w:tooltip="View LawCiteRecord" w:history="1">
        <w:r w:rsidRPr="005060CE">
          <w:rPr>
            <w:rStyle w:val="Hyperlink"/>
            <w:rFonts w:ascii="Arial" w:hAnsi="Arial" w:cs="Arial"/>
            <w:bCs/>
            <w:i/>
            <w:color w:val="auto"/>
            <w:u w:val="none"/>
          </w:rPr>
          <w:t>[2014] 2 CPLR 339</w:t>
        </w:r>
      </w:hyperlink>
      <w:r w:rsidRPr="005060CE">
        <w:rPr>
          <w:rFonts w:ascii="Arial" w:hAnsi="Arial" w:cs="Arial"/>
          <w:i/>
        </w:rPr>
        <w:t> (CAC) paras 25-47</w:t>
      </w:r>
      <w:r w:rsidR="00C62F32" w:rsidRPr="005060CE">
        <w:rPr>
          <w:rFonts w:ascii="Arial" w:hAnsi="Arial" w:cs="Arial"/>
          <w:i/>
        </w:rPr>
        <w:t>.</w:t>
      </w:r>
    </w:p>
  </w:footnote>
  <w:footnote w:id="4">
    <w:p w14:paraId="59A8334B" w14:textId="67676C20" w:rsidR="0070760F" w:rsidRPr="005060CE" w:rsidRDefault="0070760F">
      <w:pPr>
        <w:pStyle w:val="FootnoteText"/>
        <w:rPr>
          <w:rFonts w:ascii="Arial" w:hAnsi="Arial" w:cs="Arial"/>
          <w:i/>
          <w:lang w:val="en-GB"/>
        </w:rPr>
      </w:pPr>
      <w:r w:rsidRPr="005060CE">
        <w:rPr>
          <w:rStyle w:val="FootnoteReference"/>
          <w:rFonts w:ascii="Arial" w:hAnsi="Arial" w:cs="Arial"/>
          <w:i/>
        </w:rPr>
        <w:footnoteRef/>
      </w:r>
      <w:r w:rsidRPr="005060CE">
        <w:rPr>
          <w:rFonts w:ascii="Arial" w:hAnsi="Arial" w:cs="Arial"/>
          <w:i/>
        </w:rPr>
        <w:t xml:space="preserve"> Id at para 37</w:t>
      </w:r>
      <w:r w:rsidR="00C62F32" w:rsidRPr="005060CE">
        <w:rPr>
          <w:rFonts w:ascii="Arial" w:hAnsi="Arial" w:cs="Arial"/>
          <w:i/>
        </w:rPr>
        <w:t>.</w:t>
      </w:r>
    </w:p>
  </w:footnote>
  <w:footnote w:id="5">
    <w:p w14:paraId="5F7D1A96" w14:textId="7CDDF59E" w:rsidR="0070760F" w:rsidRPr="00FD0BC8" w:rsidRDefault="0070760F" w:rsidP="00486E2D">
      <w:pPr>
        <w:pStyle w:val="FootnoteText"/>
        <w:rPr>
          <w:rFonts w:cstheme="minorHAnsi"/>
          <w:i/>
          <w:sz w:val="22"/>
          <w:szCs w:val="22"/>
          <w:lang w:val="en-GB"/>
        </w:rPr>
      </w:pPr>
      <w:r w:rsidRPr="005060CE">
        <w:rPr>
          <w:rStyle w:val="FootnoteReference"/>
          <w:rFonts w:ascii="Arial" w:hAnsi="Arial" w:cs="Arial"/>
          <w:i/>
        </w:rPr>
        <w:footnoteRef/>
      </w:r>
      <w:r w:rsidRPr="005060CE">
        <w:rPr>
          <w:rFonts w:ascii="Arial" w:hAnsi="Arial" w:cs="Arial"/>
          <w:i/>
        </w:rPr>
        <w:t xml:space="preserve"> </w:t>
      </w:r>
      <w:r w:rsidRPr="005060CE">
        <w:rPr>
          <w:rFonts w:ascii="Arial" w:hAnsi="Arial" w:cs="Arial"/>
          <w:i/>
          <w:lang w:val="en-GB"/>
        </w:rPr>
        <w:t xml:space="preserve"> Id at para- 37.</w:t>
      </w:r>
    </w:p>
  </w:footnote>
  <w:footnote w:id="6">
    <w:p w14:paraId="7D3A929E" w14:textId="77777777" w:rsidR="0070760F" w:rsidRPr="005060CE" w:rsidRDefault="0070760F" w:rsidP="00F6575A">
      <w:pPr>
        <w:pStyle w:val="FootnoteText"/>
        <w:jc w:val="both"/>
        <w:rPr>
          <w:rFonts w:ascii="Arial" w:hAnsi="Arial" w:cs="Arial"/>
          <w:lang w:val="en-US"/>
        </w:rPr>
      </w:pPr>
      <w:r w:rsidRPr="005060CE">
        <w:rPr>
          <w:rStyle w:val="FootnoteReference"/>
          <w:rFonts w:ascii="Arial" w:hAnsi="Arial" w:cs="Arial"/>
        </w:rPr>
        <w:footnoteRef/>
      </w:r>
      <w:r w:rsidRPr="005060CE">
        <w:rPr>
          <w:rFonts w:ascii="Arial" w:hAnsi="Arial" w:cs="Arial"/>
        </w:rPr>
        <w:t xml:space="preserve"> </w:t>
      </w:r>
      <w:r w:rsidRPr="005060CE">
        <w:rPr>
          <w:rFonts w:ascii="Arial" w:hAnsi="Arial" w:cs="Arial"/>
          <w:lang w:val="en-US"/>
        </w:rPr>
        <w:t>European Commission (2011). "Guidelines on the applicability of Article 101 of the Treaty on the Functioning of the European Union to horizontal co-operation agreements." para. 10 reads as follows in relevant part:</w:t>
      </w:r>
    </w:p>
    <w:p w14:paraId="22A114BC" w14:textId="4283AB50" w:rsidR="0070760F" w:rsidRPr="005060CE" w:rsidRDefault="0070760F" w:rsidP="00F6575A">
      <w:pPr>
        <w:pStyle w:val="FootnoteText"/>
        <w:jc w:val="both"/>
        <w:rPr>
          <w:rFonts w:ascii="Arial" w:hAnsi="Arial" w:cs="Arial"/>
          <w:i/>
          <w:u w:val="single"/>
          <w:lang w:val="en-US"/>
        </w:rPr>
      </w:pPr>
      <w:r w:rsidRPr="005060CE">
        <w:rPr>
          <w:rFonts w:ascii="Arial" w:hAnsi="Arial" w:cs="Arial"/>
          <w:i/>
          <w:lang w:val="en-US"/>
        </w:rPr>
        <w:t xml:space="preserve">"A company is treated as </w:t>
      </w:r>
      <w:r w:rsidRPr="005060CE">
        <w:rPr>
          <w:rFonts w:ascii="Arial" w:hAnsi="Arial" w:cs="Arial"/>
          <w:lang w:val="en-US"/>
        </w:rPr>
        <w:t xml:space="preserve">a </w:t>
      </w:r>
      <w:r w:rsidRPr="005060CE">
        <w:rPr>
          <w:rFonts w:ascii="Arial" w:hAnsi="Arial" w:cs="Arial"/>
          <w:i/>
          <w:lang w:val="en-US"/>
        </w:rPr>
        <w:t>potential</w:t>
      </w:r>
      <w:r w:rsidRPr="005060CE">
        <w:rPr>
          <w:rFonts w:ascii="Arial" w:eastAsia="Arial" w:hAnsi="Arial" w:cs="Arial"/>
          <w:i/>
          <w:color w:val="3B3B3B"/>
          <w:w w:val="105"/>
          <w:lang w:val="en-US"/>
        </w:rPr>
        <w:t xml:space="preserve"> </w:t>
      </w:r>
      <w:r w:rsidR="00C62F32" w:rsidRPr="005060CE">
        <w:rPr>
          <w:rFonts w:ascii="Arial" w:hAnsi="Arial" w:cs="Arial"/>
          <w:i/>
          <w:lang w:val="en-US"/>
        </w:rPr>
        <w:t>competitor of another</w:t>
      </w:r>
      <w:r w:rsidR="005060CE">
        <w:rPr>
          <w:rFonts w:ascii="Arial" w:hAnsi="Arial" w:cs="Arial"/>
          <w:i/>
          <w:lang w:val="en-US"/>
        </w:rPr>
        <w:t xml:space="preserve"> company</w:t>
      </w:r>
      <w:r w:rsidRPr="005060CE">
        <w:rPr>
          <w:rFonts w:ascii="Arial" w:hAnsi="Arial" w:cs="Arial"/>
          <w:i/>
          <w:lang w:val="en-US"/>
        </w:rPr>
        <w:t xml:space="preserve"> if, </w:t>
      </w:r>
      <w:r w:rsidRPr="005060CE">
        <w:rPr>
          <w:rFonts w:ascii="Arial" w:hAnsi="Arial" w:cs="Arial"/>
          <w:i/>
          <w:u w:val="single"/>
          <w:lang w:val="en-US"/>
        </w:rPr>
        <w:t>in the absence  of the agreement,..</w:t>
      </w:r>
    </w:p>
    <w:p w14:paraId="57F11072" w14:textId="1DD15835" w:rsidR="0070760F" w:rsidRPr="005060CE" w:rsidRDefault="0070760F" w:rsidP="00F6575A">
      <w:pPr>
        <w:pStyle w:val="FootnoteText"/>
        <w:jc w:val="both"/>
        <w:rPr>
          <w:rFonts w:ascii="Arial" w:hAnsi="Arial" w:cs="Arial"/>
          <w:lang w:val="en-US"/>
        </w:rPr>
      </w:pPr>
      <w:r w:rsidRPr="005060CE">
        <w:rPr>
          <w:rFonts w:ascii="Arial" w:hAnsi="Arial" w:cs="Arial"/>
          <w:lang w:val="en-US"/>
        </w:rPr>
        <w:t xml:space="preserve">United States Federal Trade Commission and Department of Justice (2000), "Antitrust Guidelines   for collaborations among competitors define a potential competitor in much the same way: </w:t>
      </w:r>
      <w:r w:rsidRPr="005060CE">
        <w:rPr>
          <w:rFonts w:ascii="Arial" w:hAnsi="Arial" w:cs="Arial"/>
          <w:i/>
          <w:lang w:val="en-US"/>
        </w:rPr>
        <w:t xml:space="preserve">"A firm is treated as </w:t>
      </w:r>
      <w:r w:rsidRPr="005060CE">
        <w:rPr>
          <w:rFonts w:ascii="Arial" w:hAnsi="Arial" w:cs="Arial"/>
          <w:lang w:val="en-US"/>
        </w:rPr>
        <w:t xml:space="preserve">a </w:t>
      </w:r>
      <w:r w:rsidRPr="005060CE">
        <w:rPr>
          <w:rFonts w:ascii="Arial" w:hAnsi="Arial" w:cs="Arial"/>
          <w:i/>
          <w:lang w:val="en-US"/>
        </w:rPr>
        <w:t xml:space="preserve">potential competitor if there is evidence that entry by that firm is reasonably probable </w:t>
      </w:r>
      <w:r w:rsidRPr="005060CE">
        <w:rPr>
          <w:rFonts w:ascii="Arial" w:hAnsi="Arial" w:cs="Arial"/>
          <w:i/>
          <w:u w:val="single"/>
          <w:lang w:val="en-US"/>
        </w:rPr>
        <w:t>in the absence of the relevant agreement,</w:t>
      </w:r>
      <w:r w:rsidRPr="005060CE">
        <w:rPr>
          <w:rFonts w:ascii="Arial" w:hAnsi="Arial" w:cs="Arial"/>
          <w:i/>
          <w:lang w:val="en-US"/>
        </w:rPr>
        <w:t xml:space="preserve">  </w:t>
      </w:r>
      <w:r w:rsidRPr="005060CE">
        <w:rPr>
          <w:rFonts w:ascii="Arial" w:hAnsi="Arial" w:cs="Arial"/>
          <w:lang w:val="en-US"/>
        </w:rPr>
        <w:t>,.’ (emphasis added).</w:t>
      </w:r>
    </w:p>
    <w:p w14:paraId="5610CF49" w14:textId="77777777" w:rsidR="0070760F" w:rsidRPr="005060CE" w:rsidRDefault="0070760F" w:rsidP="00F6575A">
      <w:pPr>
        <w:pStyle w:val="FootnoteText"/>
        <w:jc w:val="both"/>
        <w:rPr>
          <w:rFonts w:cstheme="minorHAnsi"/>
          <w:lang w:val="en-US"/>
        </w:rPr>
      </w:pPr>
    </w:p>
    <w:p w14:paraId="5DED169C" w14:textId="77777777" w:rsidR="0070760F" w:rsidRPr="005060CE" w:rsidRDefault="0070760F" w:rsidP="00F6575A">
      <w:pPr>
        <w:pStyle w:val="FootnoteText"/>
        <w:jc w:val="both"/>
        <w:rPr>
          <w:rFonts w:cstheme="minorHAnsi"/>
          <w:lang w:val="en-US"/>
        </w:rPr>
      </w:pPr>
    </w:p>
  </w:footnote>
  <w:footnote w:id="7">
    <w:p w14:paraId="6B893882" w14:textId="1571BC07" w:rsidR="0070760F" w:rsidRPr="005060CE" w:rsidRDefault="0070760F" w:rsidP="00F6575A">
      <w:pPr>
        <w:pStyle w:val="FootnoteText"/>
        <w:jc w:val="both"/>
        <w:rPr>
          <w:rFonts w:ascii="Arial" w:hAnsi="Arial" w:cs="Arial"/>
          <w:i/>
          <w:iCs/>
        </w:rPr>
      </w:pPr>
      <w:r w:rsidRPr="005060CE">
        <w:rPr>
          <w:rStyle w:val="FootnoteReference"/>
          <w:rFonts w:cstheme="minorHAnsi"/>
          <w:i/>
        </w:rPr>
        <w:footnoteRef/>
      </w:r>
      <w:r w:rsidRPr="005060CE">
        <w:rPr>
          <w:rFonts w:cstheme="minorHAnsi"/>
          <w:i/>
        </w:rPr>
        <w:t xml:space="preserve"> </w:t>
      </w:r>
      <w:r w:rsidRPr="005060CE">
        <w:rPr>
          <w:rFonts w:ascii="Arial" w:hAnsi="Arial" w:cs="Arial"/>
          <w:i/>
          <w:iCs/>
        </w:rPr>
        <w:t>Reference was made to the European Commission in its Guidelines to Technol</w:t>
      </w:r>
      <w:r w:rsidR="005060CE">
        <w:rPr>
          <w:rFonts w:ascii="Arial" w:hAnsi="Arial" w:cs="Arial"/>
          <w:i/>
          <w:iCs/>
        </w:rPr>
        <w:t>ogy Transfers Agreements (2004)</w:t>
      </w:r>
      <w:r w:rsidRPr="005060CE">
        <w:rPr>
          <w:rFonts w:ascii="Arial" w:hAnsi="Arial" w:cs="Arial"/>
          <w:i/>
          <w:iCs/>
        </w:rPr>
        <w:t xml:space="preserve"> which states:</w:t>
      </w:r>
    </w:p>
    <w:p w14:paraId="4C07A2E1" w14:textId="20D112AA" w:rsidR="0070760F" w:rsidRPr="005060CE" w:rsidRDefault="0070760F" w:rsidP="00F6575A">
      <w:pPr>
        <w:pStyle w:val="FootnoteText"/>
        <w:jc w:val="both"/>
        <w:rPr>
          <w:rFonts w:ascii="Arial" w:hAnsi="Arial" w:cs="Arial"/>
          <w:i/>
          <w:iCs/>
        </w:rPr>
      </w:pPr>
      <w:r w:rsidRPr="005060CE">
        <w:rPr>
          <w:rFonts w:ascii="Arial" w:hAnsi="Arial" w:cs="Arial"/>
          <w:i/>
          <w:iCs/>
        </w:rPr>
        <w:t>‘In order to determine the competitive relationship between the parties it is necessary to examine whether the parties would have been actual or potential competitors in the absence of the agreement.  If without the agreement the parties would not have been actual or potential competitors in any relevant market affected by the agreement they are deemed to be non-competitors.’</w:t>
      </w:r>
    </w:p>
  </w:footnote>
  <w:footnote w:id="8">
    <w:p w14:paraId="5C006DE6" w14:textId="1CC9B5BC" w:rsidR="0070760F" w:rsidRPr="00FD0BC8" w:rsidRDefault="0070760F" w:rsidP="00D939F1">
      <w:pPr>
        <w:pStyle w:val="FootnoteText"/>
        <w:rPr>
          <w:rFonts w:cstheme="minorHAnsi"/>
          <w:i/>
          <w:sz w:val="22"/>
          <w:szCs w:val="22"/>
          <w:lang w:val="en-GB"/>
        </w:rPr>
      </w:pPr>
      <w:r w:rsidRPr="005060CE">
        <w:rPr>
          <w:rStyle w:val="FootnoteReference"/>
          <w:rFonts w:ascii="Arial" w:hAnsi="Arial" w:cs="Arial"/>
          <w:i/>
        </w:rPr>
        <w:footnoteRef/>
      </w:r>
      <w:r w:rsidRPr="005060CE">
        <w:rPr>
          <w:rFonts w:ascii="Arial" w:hAnsi="Arial" w:cs="Arial"/>
          <w:i/>
        </w:rPr>
        <w:t xml:space="preserve"> </w:t>
      </w:r>
      <w:r w:rsidRPr="005060CE">
        <w:rPr>
          <w:rFonts w:ascii="Arial" w:hAnsi="Arial" w:cs="Arial"/>
          <w:i/>
          <w:lang w:val="en-GB"/>
        </w:rPr>
        <w:t>SAB at par 41</w:t>
      </w:r>
      <w:r w:rsidR="00C62F32" w:rsidRPr="005060CE">
        <w:rPr>
          <w:rFonts w:ascii="Arial" w:hAnsi="Arial" w:cs="Arial"/>
          <w:i/>
          <w:lang w:val="en-GB"/>
        </w:rPr>
        <w:t>.</w:t>
      </w:r>
    </w:p>
  </w:footnote>
  <w:footnote w:id="9">
    <w:p w14:paraId="63881AB0" w14:textId="14560EB6" w:rsidR="0070760F" w:rsidRPr="00C62F32" w:rsidRDefault="0070760F" w:rsidP="00486E2D">
      <w:pPr>
        <w:pStyle w:val="NormalWeb"/>
        <w:rPr>
          <w:rFonts w:ascii="Arial" w:eastAsia="Times New Roman" w:hAnsi="Arial" w:cs="Arial"/>
          <w:sz w:val="20"/>
          <w:szCs w:val="20"/>
        </w:rPr>
      </w:pPr>
      <w:r w:rsidRPr="00FD0BC8">
        <w:rPr>
          <w:rStyle w:val="FootnoteReference"/>
          <w:rFonts w:asciiTheme="minorHAnsi" w:hAnsiTheme="minorHAnsi" w:cstheme="minorHAnsi"/>
          <w:sz w:val="22"/>
          <w:szCs w:val="22"/>
        </w:rPr>
        <w:footnoteRef/>
      </w:r>
      <w:r w:rsidRPr="00FD0BC8">
        <w:rPr>
          <w:rFonts w:asciiTheme="minorHAnsi" w:hAnsiTheme="minorHAnsi" w:cstheme="minorHAnsi"/>
          <w:sz w:val="22"/>
          <w:szCs w:val="22"/>
        </w:rPr>
        <w:t xml:space="preserve"> </w:t>
      </w:r>
      <w:r w:rsidRPr="00C62F32">
        <w:rPr>
          <w:rFonts w:ascii="Arial" w:eastAsia="Times New Roman" w:hAnsi="Arial" w:cs="Arial"/>
          <w:sz w:val="20"/>
          <w:szCs w:val="20"/>
        </w:rPr>
        <w:t>Competition Commission v Eye Way Trading and Another CR073Aug16/ CR074Aug16.</w:t>
      </w:r>
    </w:p>
  </w:footnote>
  <w:footnote w:id="10">
    <w:p w14:paraId="7774ABC6" w14:textId="289451DC" w:rsidR="0070760F" w:rsidRPr="00C62F32" w:rsidRDefault="0070760F" w:rsidP="00D939F1">
      <w:pPr>
        <w:pStyle w:val="FootnoteText"/>
        <w:rPr>
          <w:rFonts w:ascii="Arial" w:hAnsi="Arial" w:cs="Arial"/>
          <w:lang w:val="en-GB"/>
        </w:rPr>
      </w:pPr>
      <w:r w:rsidRPr="00C62F32">
        <w:rPr>
          <w:rStyle w:val="FootnoteReference"/>
          <w:rFonts w:ascii="Arial" w:hAnsi="Arial" w:cs="Arial"/>
        </w:rPr>
        <w:footnoteRef/>
      </w:r>
      <w:r w:rsidRPr="00C62F32">
        <w:rPr>
          <w:rFonts w:ascii="Arial" w:hAnsi="Arial" w:cs="Arial"/>
        </w:rPr>
        <w:t xml:space="preserve"> </w:t>
      </w:r>
      <w:r w:rsidRPr="00C62F32">
        <w:rPr>
          <w:rFonts w:ascii="Arial" w:hAnsi="Arial" w:cs="Arial"/>
          <w:i/>
          <w:lang w:val="en-GB"/>
        </w:rPr>
        <w:t>Competition Commission v Aranda Textile Mills (Pty)Ltd; Mzansi Blanket supplies</w:t>
      </w:r>
      <w:r w:rsidRPr="00C62F32">
        <w:rPr>
          <w:rFonts w:ascii="Arial" w:hAnsi="Arial" w:cs="Arial"/>
          <w:lang w:val="en-GB"/>
        </w:rPr>
        <w:t xml:space="preserve"> Case no CR016APR 18.</w:t>
      </w:r>
    </w:p>
  </w:footnote>
  <w:footnote w:id="11">
    <w:p w14:paraId="51EEC2F7" w14:textId="77777777" w:rsidR="0070760F" w:rsidRPr="00C62F32" w:rsidRDefault="0070760F" w:rsidP="00D939F1">
      <w:pPr>
        <w:pStyle w:val="FootnoteText"/>
        <w:rPr>
          <w:rFonts w:ascii="Arial" w:hAnsi="Arial" w:cs="Arial"/>
          <w:lang w:val="en-GB"/>
        </w:rPr>
      </w:pPr>
      <w:r w:rsidRPr="00C62F32">
        <w:rPr>
          <w:rStyle w:val="FootnoteReference"/>
          <w:rFonts w:ascii="Arial" w:hAnsi="Arial" w:cs="Arial"/>
        </w:rPr>
        <w:footnoteRef/>
      </w:r>
      <w:r w:rsidRPr="00C62F32">
        <w:rPr>
          <w:rFonts w:ascii="Arial" w:hAnsi="Arial" w:cs="Arial"/>
        </w:rPr>
        <w:t xml:space="preserve"> </w:t>
      </w:r>
      <w:r w:rsidRPr="00C62F32">
        <w:rPr>
          <w:rFonts w:ascii="Arial" w:hAnsi="Arial" w:cs="Arial"/>
          <w:lang w:val="en-GB"/>
        </w:rPr>
        <w:t xml:space="preserve">Tribunal decision para 128. The decision in this case was reversed in </w:t>
      </w:r>
    </w:p>
  </w:footnote>
  <w:footnote w:id="12">
    <w:p w14:paraId="4FBA5745" w14:textId="77777777" w:rsidR="0070760F" w:rsidRPr="00C62F32" w:rsidRDefault="0070760F" w:rsidP="00D939F1">
      <w:pPr>
        <w:pStyle w:val="FootnoteText"/>
        <w:rPr>
          <w:rFonts w:ascii="Arial" w:hAnsi="Arial" w:cs="Arial"/>
        </w:rPr>
      </w:pPr>
      <w:r w:rsidRPr="00C62F32">
        <w:rPr>
          <w:rStyle w:val="FootnoteReference"/>
          <w:rFonts w:ascii="Arial" w:hAnsi="Arial" w:cs="Arial"/>
        </w:rPr>
        <w:footnoteRef/>
      </w:r>
      <w:r w:rsidRPr="00C62F32">
        <w:rPr>
          <w:rFonts w:ascii="Arial" w:hAnsi="Arial" w:cs="Arial"/>
        </w:rPr>
        <w:t xml:space="preserve"> Tribunal decision, paras 120-128, Vol 24, p 2450:25 – p 2454:17. </w:t>
      </w:r>
    </w:p>
    <w:p w14:paraId="3AB2CE3B" w14:textId="77777777" w:rsidR="0070760F" w:rsidRPr="00C62F32" w:rsidRDefault="0070760F" w:rsidP="00D939F1">
      <w:pPr>
        <w:pStyle w:val="FootnoteText"/>
        <w:rPr>
          <w:rFonts w:ascii="Arial" w:hAnsi="Arial" w:cs="Arial"/>
          <w:lang w:val="en-GB"/>
        </w:rPr>
      </w:pPr>
    </w:p>
  </w:footnote>
  <w:footnote w:id="13">
    <w:p w14:paraId="789E70F1" w14:textId="77777777" w:rsidR="0070760F" w:rsidRPr="00C62F32" w:rsidRDefault="0070760F" w:rsidP="00486E2D">
      <w:pPr>
        <w:pStyle w:val="FootnoteText"/>
        <w:rPr>
          <w:rFonts w:ascii="Arial" w:hAnsi="Arial" w:cs="Arial"/>
        </w:rPr>
      </w:pPr>
      <w:r w:rsidRPr="00C62F32">
        <w:rPr>
          <w:rStyle w:val="FootnoteReference"/>
          <w:rFonts w:ascii="Arial" w:hAnsi="Arial" w:cs="Arial"/>
        </w:rPr>
        <w:footnoteRef/>
      </w:r>
      <w:r w:rsidRPr="00C62F32">
        <w:rPr>
          <w:rFonts w:ascii="Arial" w:hAnsi="Arial" w:cs="Arial"/>
        </w:rPr>
        <w:t xml:space="preserve"> </w:t>
      </w:r>
      <w:r w:rsidRPr="00C62F32">
        <w:rPr>
          <w:rFonts w:ascii="Arial" w:hAnsi="Arial" w:cs="Arial"/>
          <w:i/>
        </w:rPr>
        <w:t>Aranda Textiles (Pty) Ltd and Another v The Competition Commission of South Africa</w:t>
      </w:r>
      <w:r w:rsidRPr="00C62F32">
        <w:rPr>
          <w:rFonts w:ascii="Arial" w:hAnsi="Arial" w:cs="Arial"/>
        </w:rPr>
        <w:t xml:space="preserve"> </w:t>
      </w:r>
    </w:p>
    <w:p w14:paraId="715FC0A3" w14:textId="45CD061D" w:rsidR="0070760F" w:rsidRPr="00C62F32" w:rsidRDefault="0070760F" w:rsidP="00486E2D">
      <w:pPr>
        <w:pStyle w:val="FootnoteText"/>
        <w:rPr>
          <w:rFonts w:ascii="Arial" w:hAnsi="Arial" w:cs="Arial"/>
        </w:rPr>
      </w:pPr>
      <w:r w:rsidRPr="00C62F32">
        <w:rPr>
          <w:rFonts w:ascii="Arial" w:hAnsi="Arial" w:cs="Arial"/>
        </w:rPr>
        <w:t xml:space="preserve">(190/CAC/Dec20) [2021] ZACAC 1. </w:t>
      </w:r>
    </w:p>
  </w:footnote>
  <w:footnote w:id="14">
    <w:p w14:paraId="016E2D6C" w14:textId="77777777" w:rsidR="0070760F" w:rsidRPr="00C62F32" w:rsidRDefault="0070760F" w:rsidP="00D939F1">
      <w:pPr>
        <w:pStyle w:val="FootnoteText"/>
        <w:rPr>
          <w:rFonts w:ascii="Arial" w:hAnsi="Arial" w:cs="Arial"/>
          <w:lang w:val="en-GB"/>
        </w:rPr>
      </w:pPr>
      <w:r w:rsidRPr="00C62F32">
        <w:rPr>
          <w:rStyle w:val="FootnoteReference"/>
          <w:rFonts w:ascii="Arial" w:hAnsi="Arial" w:cs="Arial"/>
        </w:rPr>
        <w:footnoteRef/>
      </w:r>
      <w:r w:rsidRPr="00C62F32">
        <w:rPr>
          <w:rFonts w:ascii="Arial" w:hAnsi="Arial" w:cs="Arial"/>
        </w:rPr>
        <w:t xml:space="preserve"> Id at para 87.</w:t>
      </w:r>
    </w:p>
  </w:footnote>
  <w:footnote w:id="15">
    <w:p w14:paraId="7AD1339D" w14:textId="77777777" w:rsidR="0070760F" w:rsidRPr="00C62F32" w:rsidRDefault="0070760F" w:rsidP="00D939F1">
      <w:pPr>
        <w:pStyle w:val="FootnoteText"/>
        <w:rPr>
          <w:rFonts w:ascii="Arial" w:hAnsi="Arial" w:cs="Arial"/>
          <w:lang w:val="en-GB"/>
        </w:rPr>
      </w:pPr>
      <w:r w:rsidRPr="00C62F32">
        <w:rPr>
          <w:rStyle w:val="FootnoteReference"/>
          <w:rFonts w:ascii="Arial" w:hAnsi="Arial" w:cs="Arial"/>
        </w:rPr>
        <w:footnoteRef/>
      </w:r>
      <w:r w:rsidRPr="00C62F32">
        <w:rPr>
          <w:rFonts w:ascii="Arial" w:hAnsi="Arial" w:cs="Arial"/>
        </w:rPr>
        <w:t xml:space="preserve"> (168/CAC/Oct18) [2019] ZACAC 2 (2 July 2019)</w:t>
      </w:r>
    </w:p>
  </w:footnote>
  <w:footnote w:id="16">
    <w:p w14:paraId="72EE8F75" w14:textId="037B609E" w:rsidR="0070760F" w:rsidRPr="00C62F32" w:rsidRDefault="0070760F" w:rsidP="00486E2D">
      <w:pPr>
        <w:pStyle w:val="FootnoteText"/>
        <w:rPr>
          <w:rFonts w:ascii="Arial" w:hAnsi="Arial" w:cs="Arial"/>
          <w:i/>
          <w:lang w:val="en-GB"/>
        </w:rPr>
      </w:pPr>
      <w:r w:rsidRPr="00C62F32">
        <w:rPr>
          <w:rStyle w:val="FootnoteReference"/>
          <w:rFonts w:ascii="Arial" w:hAnsi="Arial" w:cs="Arial"/>
        </w:rPr>
        <w:footnoteRef/>
      </w:r>
      <w:r w:rsidRPr="00C62F32">
        <w:rPr>
          <w:rFonts w:ascii="Arial" w:hAnsi="Arial" w:cs="Arial"/>
        </w:rPr>
        <w:t xml:space="preserve"> </w:t>
      </w:r>
      <w:r w:rsidRPr="00C62F32">
        <w:rPr>
          <w:rFonts w:ascii="Arial" w:hAnsi="Arial" w:cs="Arial"/>
          <w:i/>
        </w:rPr>
        <w:t>A’Africa at para 64.</w:t>
      </w:r>
    </w:p>
  </w:footnote>
  <w:footnote w:id="17">
    <w:p w14:paraId="52472C1E" w14:textId="5E8D78FA" w:rsidR="0070760F" w:rsidRPr="00FD0BC8" w:rsidRDefault="0070760F" w:rsidP="00D939F1">
      <w:pPr>
        <w:pStyle w:val="FootnoteText"/>
        <w:rPr>
          <w:rFonts w:cstheme="minorHAnsi"/>
          <w:i/>
          <w:sz w:val="22"/>
          <w:szCs w:val="22"/>
          <w:lang w:val="en-GB"/>
        </w:rPr>
      </w:pPr>
      <w:r w:rsidRPr="00C62F32">
        <w:rPr>
          <w:rStyle w:val="FootnoteReference"/>
          <w:rFonts w:ascii="Arial" w:hAnsi="Arial" w:cs="Arial"/>
          <w:i/>
        </w:rPr>
        <w:footnoteRef/>
      </w:r>
      <w:r w:rsidRPr="00C62F32">
        <w:rPr>
          <w:rFonts w:ascii="Arial" w:hAnsi="Arial" w:cs="Arial"/>
          <w:i/>
        </w:rPr>
        <w:t xml:space="preserve"> Id at para 67.</w:t>
      </w:r>
    </w:p>
  </w:footnote>
  <w:footnote w:id="18">
    <w:p w14:paraId="0F746C58" w14:textId="77777777" w:rsidR="0070760F" w:rsidRPr="005060CE" w:rsidRDefault="0070760F" w:rsidP="00D939F1">
      <w:pPr>
        <w:pStyle w:val="FootnoteText"/>
        <w:rPr>
          <w:rFonts w:ascii="Arial" w:hAnsi="Arial" w:cs="Arial"/>
          <w:i/>
          <w:lang w:val="en-GB"/>
        </w:rPr>
      </w:pPr>
      <w:r w:rsidRPr="005060CE">
        <w:rPr>
          <w:rStyle w:val="FootnoteReference"/>
          <w:rFonts w:ascii="Arial" w:hAnsi="Arial" w:cs="Arial"/>
          <w:i/>
        </w:rPr>
        <w:footnoteRef/>
      </w:r>
      <w:r w:rsidRPr="005060CE">
        <w:rPr>
          <w:rFonts w:ascii="Arial" w:hAnsi="Arial" w:cs="Arial"/>
          <w:i/>
        </w:rPr>
        <w:t xml:space="preserve"> </w:t>
      </w:r>
      <w:r w:rsidRPr="005060CE">
        <w:rPr>
          <w:rFonts w:ascii="Arial" w:hAnsi="Arial" w:cs="Arial"/>
          <w:i/>
          <w:lang w:val="en-GB"/>
        </w:rPr>
        <w:t xml:space="preserve">Tribunal Decision para [128] </w:t>
      </w:r>
    </w:p>
  </w:footnote>
  <w:footnote w:id="19">
    <w:p w14:paraId="006D1F99" w14:textId="77777777" w:rsidR="0070760F" w:rsidRPr="005060CE" w:rsidRDefault="0070760F" w:rsidP="00D939F1">
      <w:pPr>
        <w:pStyle w:val="FootnoteText"/>
        <w:rPr>
          <w:rFonts w:ascii="Arial" w:hAnsi="Arial" w:cs="Arial"/>
          <w:i/>
        </w:rPr>
      </w:pPr>
      <w:r w:rsidRPr="005060CE">
        <w:rPr>
          <w:rStyle w:val="FootnoteReference"/>
          <w:rFonts w:ascii="Arial" w:hAnsi="Arial" w:cs="Arial"/>
          <w:i/>
        </w:rPr>
        <w:footnoteRef/>
      </w:r>
      <w:r w:rsidRPr="005060CE">
        <w:rPr>
          <w:rFonts w:ascii="Arial" w:hAnsi="Arial" w:cs="Arial"/>
          <w:i/>
        </w:rPr>
        <w:t xml:space="preserve">United States v Reicher 983 F.2d 168 (10th Cir. 1992). </w:t>
      </w:r>
    </w:p>
  </w:footnote>
  <w:footnote w:id="20">
    <w:p w14:paraId="7561E9D3" w14:textId="77777777" w:rsidR="0070760F" w:rsidRPr="005060CE" w:rsidRDefault="0070760F" w:rsidP="00D939F1">
      <w:pPr>
        <w:pStyle w:val="FootnoteText"/>
        <w:rPr>
          <w:rFonts w:ascii="Arial" w:hAnsi="Arial" w:cs="Arial"/>
        </w:rPr>
      </w:pPr>
      <w:r w:rsidRPr="005060CE">
        <w:rPr>
          <w:rStyle w:val="FootnoteReference"/>
          <w:rFonts w:ascii="Arial" w:hAnsi="Arial" w:cs="Arial"/>
        </w:rPr>
        <w:footnoteRef/>
      </w:r>
      <w:r w:rsidRPr="005060CE">
        <w:rPr>
          <w:rFonts w:ascii="Arial" w:hAnsi="Arial" w:cs="Arial"/>
        </w:rPr>
        <w:t xml:space="preserve"> Ibid para 170.</w:t>
      </w:r>
    </w:p>
    <w:p w14:paraId="48543B2A" w14:textId="77777777" w:rsidR="0070760F" w:rsidRPr="00FD0BC8" w:rsidRDefault="0070760F" w:rsidP="00D939F1">
      <w:pPr>
        <w:pStyle w:val="FootnoteText"/>
        <w:rPr>
          <w:sz w:val="22"/>
          <w:szCs w:val="22"/>
          <w:lang w:val="en-GB"/>
        </w:rPr>
      </w:pPr>
    </w:p>
  </w:footnote>
  <w:footnote w:id="21">
    <w:p w14:paraId="626E94D8" w14:textId="5E9DA1DF" w:rsidR="0070760F" w:rsidRPr="005060CE" w:rsidRDefault="0070760F" w:rsidP="00D939F1">
      <w:pPr>
        <w:pStyle w:val="FootnoteText"/>
        <w:rPr>
          <w:rFonts w:ascii="Arial" w:hAnsi="Arial" w:cs="Arial"/>
        </w:rPr>
      </w:pPr>
      <w:r w:rsidRPr="005060CE">
        <w:rPr>
          <w:rStyle w:val="FootnoteReference"/>
          <w:rFonts w:ascii="Arial" w:hAnsi="Arial" w:cs="Arial"/>
        </w:rPr>
        <w:footnoteRef/>
      </w:r>
      <w:r w:rsidRPr="005060CE">
        <w:rPr>
          <w:rFonts w:ascii="Arial" w:hAnsi="Arial" w:cs="Arial"/>
        </w:rPr>
        <w:t xml:space="preserve"> </w:t>
      </w:r>
      <w:r w:rsidRPr="005060CE">
        <w:rPr>
          <w:rFonts w:ascii="Arial" w:hAnsi="Arial" w:cs="Arial"/>
          <w:i/>
          <w:iCs/>
        </w:rPr>
        <w:t xml:space="preserve"> Reicher</w:t>
      </w:r>
      <w:r w:rsidRPr="005060CE">
        <w:rPr>
          <w:rFonts w:ascii="Arial" w:hAnsi="Arial" w:cs="Arial"/>
        </w:rPr>
        <w:t>, 983 F.2d 168, 172.</w:t>
      </w:r>
    </w:p>
    <w:p w14:paraId="47511376" w14:textId="77777777" w:rsidR="0070760F" w:rsidRPr="00FD0BC8" w:rsidRDefault="0070760F" w:rsidP="00D939F1">
      <w:pPr>
        <w:pStyle w:val="FootnoteText"/>
        <w:rPr>
          <w:rFonts w:cstheme="minorHAnsi"/>
          <w:sz w:val="22"/>
          <w:szCs w:val="22"/>
          <w:lang w:val="en-GB"/>
        </w:rPr>
      </w:pPr>
    </w:p>
  </w:footnote>
  <w:footnote w:id="22">
    <w:p w14:paraId="0C646C6A" w14:textId="2490A72B" w:rsidR="0070760F" w:rsidRPr="005060CE" w:rsidRDefault="0070760F" w:rsidP="00D939F1">
      <w:pPr>
        <w:pStyle w:val="FootnoteText"/>
        <w:rPr>
          <w:rFonts w:ascii="Arial" w:hAnsi="Arial" w:cs="Arial"/>
          <w:i/>
          <w:lang w:val="en-GB"/>
        </w:rPr>
      </w:pPr>
      <w:r w:rsidRPr="005060CE">
        <w:rPr>
          <w:rStyle w:val="FootnoteReference"/>
          <w:rFonts w:ascii="Arial" w:hAnsi="Arial" w:cs="Arial"/>
        </w:rPr>
        <w:footnoteRef/>
      </w:r>
      <w:r w:rsidRPr="005060CE">
        <w:rPr>
          <w:rFonts w:ascii="Arial" w:hAnsi="Arial" w:cs="Arial"/>
          <w:i/>
          <w:iCs/>
        </w:rPr>
        <w:t xml:space="preserve"> United States v. Sargent Elec. Co,</w:t>
      </w:r>
      <w:hyperlink r:id="rId3" w:history="1">
        <w:r w:rsidRPr="005060CE">
          <w:rPr>
            <w:rStyle w:val="Hyperlink"/>
            <w:rFonts w:ascii="Arial" w:hAnsi="Arial" w:cs="Arial"/>
            <w:i/>
            <w:color w:val="auto"/>
            <w:u w:val="none"/>
          </w:rPr>
          <w:t>785 F.2d 1123</w:t>
        </w:r>
      </w:hyperlink>
      <w:r w:rsidRPr="005060CE">
        <w:rPr>
          <w:rFonts w:ascii="Arial" w:hAnsi="Arial" w:cs="Arial"/>
          <w:i/>
        </w:rPr>
        <w:t> (3d Cir.) (1986)</w:t>
      </w:r>
    </w:p>
  </w:footnote>
  <w:footnote w:id="23">
    <w:p w14:paraId="039FCA1F" w14:textId="61C4BA58" w:rsidR="0070760F" w:rsidRPr="005060CE" w:rsidRDefault="0070760F" w:rsidP="00D939F1">
      <w:pPr>
        <w:pStyle w:val="FootnoteText"/>
        <w:rPr>
          <w:rFonts w:ascii="Arial" w:hAnsi="Arial" w:cs="Arial"/>
          <w:i/>
          <w:lang w:val="en-GB"/>
        </w:rPr>
      </w:pPr>
      <w:r w:rsidRPr="005060CE">
        <w:rPr>
          <w:rStyle w:val="FootnoteReference"/>
          <w:rFonts w:ascii="Arial" w:hAnsi="Arial" w:cs="Arial"/>
          <w:i/>
        </w:rPr>
        <w:footnoteRef/>
      </w:r>
      <w:r w:rsidRPr="005060CE">
        <w:rPr>
          <w:rFonts w:ascii="Arial" w:hAnsi="Arial" w:cs="Arial"/>
          <w:i/>
        </w:rPr>
        <w:t xml:space="preserve"> </w:t>
      </w:r>
      <w:r w:rsidR="006846A2" w:rsidRPr="005060CE">
        <w:rPr>
          <w:rFonts w:ascii="Arial" w:hAnsi="Arial" w:cs="Arial"/>
          <w:i/>
        </w:rPr>
        <w:t>Id at 1129</w:t>
      </w:r>
      <w:r w:rsidR="005060CE" w:rsidRPr="005060CE">
        <w:rPr>
          <w:rFonts w:ascii="Arial" w:hAnsi="Arial" w:cs="Arial"/>
          <w:i/>
        </w:rPr>
        <w:t>.</w:t>
      </w:r>
    </w:p>
  </w:footnote>
  <w:footnote w:id="24">
    <w:p w14:paraId="4FCB6186" w14:textId="1742E987" w:rsidR="0070760F" w:rsidRPr="00FD0BC8" w:rsidRDefault="0070760F" w:rsidP="00771741">
      <w:pPr>
        <w:pStyle w:val="FootnoteText"/>
        <w:rPr>
          <w:i/>
          <w:sz w:val="22"/>
          <w:szCs w:val="22"/>
          <w:lang w:val="en-GB"/>
        </w:rPr>
      </w:pPr>
      <w:r w:rsidRPr="005060CE">
        <w:rPr>
          <w:rStyle w:val="FootnoteReference"/>
          <w:rFonts w:ascii="Arial" w:hAnsi="Arial" w:cs="Arial"/>
          <w:i/>
        </w:rPr>
        <w:footnoteRef/>
      </w:r>
      <w:r w:rsidRPr="005060CE">
        <w:rPr>
          <w:rFonts w:ascii="Arial" w:hAnsi="Arial" w:cs="Arial"/>
          <w:i/>
        </w:rPr>
        <w:t xml:space="preserve"> </w:t>
      </w:r>
      <w:r w:rsidRPr="005060CE">
        <w:rPr>
          <w:rFonts w:ascii="Arial" w:hAnsi="Arial" w:cs="Arial"/>
          <w:i/>
          <w:iCs/>
        </w:rPr>
        <w:t>Id.</w:t>
      </w:r>
      <w:r w:rsidRPr="005060CE">
        <w:rPr>
          <w:rFonts w:ascii="Arial" w:hAnsi="Arial" w:cs="Arial"/>
          <w:i/>
        </w:rPr>
        <w:t> at 1130</w:t>
      </w:r>
      <w:r w:rsidR="005060CE" w:rsidRPr="005060CE">
        <w:rPr>
          <w:rFonts w:ascii="Arial" w:hAnsi="Arial" w:cs="Arial"/>
          <w:i/>
        </w:rPr>
        <w:t>.</w:t>
      </w:r>
    </w:p>
  </w:footnote>
  <w:footnote w:id="25">
    <w:p w14:paraId="060E96CA" w14:textId="5C4CE69F" w:rsidR="0070760F" w:rsidRPr="005060CE" w:rsidRDefault="0070760F">
      <w:pPr>
        <w:pStyle w:val="FootnoteText"/>
        <w:rPr>
          <w:rFonts w:ascii="Arial" w:hAnsi="Arial" w:cs="Arial"/>
          <w:i/>
          <w:lang w:val="en-US"/>
        </w:rPr>
      </w:pPr>
      <w:r w:rsidRPr="005060CE">
        <w:rPr>
          <w:rStyle w:val="FootnoteReference"/>
          <w:rFonts w:ascii="Arial" w:hAnsi="Arial" w:cs="Arial"/>
          <w:i/>
        </w:rPr>
        <w:footnoteRef/>
      </w:r>
      <w:r w:rsidRPr="005060CE">
        <w:rPr>
          <w:rFonts w:ascii="Arial" w:hAnsi="Arial" w:cs="Arial"/>
          <w:i/>
        </w:rPr>
        <w:t xml:space="preserve"> </w:t>
      </w:r>
      <w:r w:rsidR="00D9062A" w:rsidRPr="005060CE">
        <w:rPr>
          <w:rFonts w:ascii="Arial" w:hAnsi="Arial" w:cs="Arial"/>
          <w:i/>
        </w:rPr>
        <w:t>Id at 1127</w:t>
      </w:r>
      <w:r w:rsidR="005060CE" w:rsidRPr="005060CE">
        <w:rPr>
          <w:rFonts w:ascii="Arial" w:hAnsi="Arial" w:cs="Arial"/>
          <w:i/>
        </w:rPr>
        <w:t>.</w:t>
      </w:r>
    </w:p>
  </w:footnote>
  <w:footnote w:id="26">
    <w:p w14:paraId="08D2CBB1" w14:textId="635855A1" w:rsidR="0070760F" w:rsidRPr="005060CE" w:rsidRDefault="0070760F" w:rsidP="00D939F1">
      <w:pPr>
        <w:pStyle w:val="FootnoteText"/>
        <w:rPr>
          <w:rFonts w:ascii="Arial" w:hAnsi="Arial" w:cs="Arial"/>
          <w:i/>
        </w:rPr>
      </w:pPr>
      <w:r w:rsidRPr="005060CE">
        <w:rPr>
          <w:rStyle w:val="FootnoteReference"/>
          <w:rFonts w:ascii="Arial" w:hAnsi="Arial" w:cs="Arial"/>
        </w:rPr>
        <w:footnoteRef/>
      </w:r>
      <w:r w:rsidRPr="005060CE">
        <w:rPr>
          <w:rFonts w:ascii="Arial" w:hAnsi="Arial" w:cs="Arial"/>
        </w:rPr>
        <w:t xml:space="preserve"> </w:t>
      </w:r>
      <w:r w:rsidRPr="005060CE">
        <w:rPr>
          <w:rFonts w:ascii="Arial" w:hAnsi="Arial" w:cs="Arial"/>
          <w:i/>
        </w:rPr>
        <w:t xml:space="preserve">Tribunal </w:t>
      </w:r>
      <w:r w:rsidR="00FD0BC8" w:rsidRPr="005060CE">
        <w:rPr>
          <w:rFonts w:ascii="Arial" w:hAnsi="Arial" w:cs="Arial"/>
          <w:i/>
        </w:rPr>
        <w:t>D</w:t>
      </w:r>
      <w:r w:rsidRPr="005060CE">
        <w:rPr>
          <w:rFonts w:ascii="Arial" w:hAnsi="Arial" w:cs="Arial"/>
          <w:i/>
        </w:rPr>
        <w:t>ecision, paras 129-142</w:t>
      </w:r>
      <w:r w:rsidR="00B97E95" w:rsidRPr="005060CE">
        <w:rPr>
          <w:rFonts w:ascii="Arial" w:hAnsi="Arial" w:cs="Arial"/>
          <w:i/>
        </w:rPr>
        <w:t>.</w:t>
      </w:r>
      <w:r w:rsidRPr="005060CE">
        <w:rPr>
          <w:rFonts w:ascii="Arial" w:hAnsi="Arial" w:cs="Arial"/>
          <w:i/>
        </w:rPr>
        <w:t xml:space="preserve"> </w:t>
      </w:r>
    </w:p>
  </w:footnote>
  <w:footnote w:id="27">
    <w:p w14:paraId="2C27269E" w14:textId="3CD9EF32" w:rsidR="00FD0BC8" w:rsidRPr="005060CE" w:rsidRDefault="00FD0BC8" w:rsidP="00FD0BC8">
      <w:pPr>
        <w:pStyle w:val="FootnoteText"/>
        <w:rPr>
          <w:rFonts w:ascii="Arial" w:hAnsi="Arial" w:cs="Arial"/>
          <w:i/>
          <w:lang w:val="en-GB"/>
        </w:rPr>
      </w:pPr>
      <w:r w:rsidRPr="005060CE">
        <w:rPr>
          <w:rStyle w:val="FootnoteReference"/>
          <w:rFonts w:ascii="Arial" w:hAnsi="Arial" w:cs="Arial"/>
        </w:rPr>
        <w:footnoteRef/>
      </w:r>
      <w:r w:rsidRPr="005060CE">
        <w:rPr>
          <w:rFonts w:ascii="Arial" w:hAnsi="Arial" w:cs="Arial"/>
        </w:rPr>
        <w:t xml:space="preserve"> </w:t>
      </w:r>
      <w:r w:rsidRPr="005060CE">
        <w:rPr>
          <w:rFonts w:ascii="Arial" w:hAnsi="Arial" w:cs="Arial"/>
          <w:i/>
        </w:rPr>
        <w:t>Tribunal Decision at para 146</w:t>
      </w:r>
      <w:r w:rsidR="005060CE" w:rsidRPr="005060CE">
        <w:rPr>
          <w:rFonts w:ascii="Arial" w:hAnsi="Arial" w:cs="Arial"/>
          <w:i/>
        </w:rPr>
        <w:t>.</w:t>
      </w:r>
    </w:p>
  </w:footnote>
  <w:footnote w:id="28">
    <w:p w14:paraId="20947FDC" w14:textId="4F83FE74" w:rsidR="0070760F" w:rsidRPr="005060CE" w:rsidRDefault="0070760F" w:rsidP="00A52623">
      <w:pPr>
        <w:pStyle w:val="FootnoteText"/>
        <w:rPr>
          <w:rFonts w:cstheme="minorHAnsi"/>
          <w:i/>
          <w:lang w:val="en-GB"/>
        </w:rPr>
      </w:pPr>
      <w:r w:rsidRPr="005060CE">
        <w:rPr>
          <w:rStyle w:val="FootnoteReference"/>
          <w:rFonts w:ascii="Arial" w:hAnsi="Arial" w:cs="Arial"/>
        </w:rPr>
        <w:footnoteRef/>
      </w:r>
      <w:r w:rsidRPr="005060CE">
        <w:rPr>
          <w:rFonts w:ascii="Arial" w:hAnsi="Arial" w:cs="Arial"/>
        </w:rPr>
        <w:t xml:space="preserve"> </w:t>
      </w:r>
      <w:r w:rsidRPr="005060CE">
        <w:rPr>
          <w:rFonts w:ascii="Arial" w:hAnsi="Arial" w:cs="Arial"/>
          <w:i/>
          <w:lang w:val="en-GB"/>
        </w:rPr>
        <w:t>ANSAC at para 46.</w:t>
      </w:r>
    </w:p>
  </w:footnote>
  <w:footnote w:id="29">
    <w:p w14:paraId="41829ECE" w14:textId="4ED9F819" w:rsidR="0070760F" w:rsidRPr="00FD0BC8" w:rsidRDefault="0070760F" w:rsidP="00D939F1">
      <w:pPr>
        <w:pStyle w:val="FootnoteText"/>
        <w:rPr>
          <w:rFonts w:cstheme="minorHAnsi"/>
          <w:i/>
          <w:sz w:val="22"/>
          <w:szCs w:val="22"/>
          <w:lang w:val="en-GB"/>
        </w:rPr>
      </w:pPr>
      <w:r w:rsidRPr="005060CE">
        <w:rPr>
          <w:rStyle w:val="FootnoteReference"/>
          <w:rFonts w:cstheme="minorHAnsi"/>
          <w:i/>
        </w:rPr>
        <w:footnoteRef/>
      </w:r>
      <w:r w:rsidR="00FD0BC8" w:rsidRPr="005060CE">
        <w:rPr>
          <w:rFonts w:cstheme="minorHAnsi"/>
          <w:i/>
        </w:rPr>
        <w:t xml:space="preserve"> </w:t>
      </w:r>
      <w:r w:rsidR="00B97E95" w:rsidRPr="005060CE">
        <w:rPr>
          <w:rFonts w:cstheme="minorHAnsi"/>
          <w:i/>
        </w:rPr>
        <w:t>Id</w:t>
      </w:r>
      <w:r w:rsidRPr="005060CE">
        <w:rPr>
          <w:rFonts w:cstheme="minorHAnsi"/>
          <w:i/>
          <w:lang w:val="en-GB"/>
        </w:rPr>
        <w:t xml:space="preserve"> at para 47.</w:t>
      </w:r>
    </w:p>
  </w:footnote>
  <w:footnote w:id="30">
    <w:p w14:paraId="37618676" w14:textId="3C0EA0F3" w:rsidR="0070760F" w:rsidRPr="005060CE" w:rsidRDefault="0070760F" w:rsidP="005060CE">
      <w:pPr>
        <w:pStyle w:val="FootnoteText"/>
        <w:jc w:val="both"/>
        <w:rPr>
          <w:rFonts w:ascii="Arial" w:hAnsi="Arial" w:cs="Arial"/>
          <w:i/>
        </w:rPr>
      </w:pPr>
      <w:r w:rsidRPr="005060CE">
        <w:rPr>
          <w:rStyle w:val="FootnoteReference"/>
          <w:rFonts w:ascii="Arial" w:hAnsi="Arial" w:cs="Arial"/>
        </w:rPr>
        <w:footnoteRef/>
      </w:r>
      <w:r w:rsidRPr="005060CE">
        <w:rPr>
          <w:rFonts w:ascii="Arial" w:hAnsi="Arial" w:cs="Arial"/>
        </w:rPr>
        <w:t xml:space="preserve"> </w:t>
      </w:r>
      <w:r w:rsidRPr="005060CE">
        <w:rPr>
          <w:rFonts w:ascii="Arial" w:hAnsi="Arial" w:cs="Arial"/>
          <w:i/>
        </w:rPr>
        <w:t>B</w:t>
      </w:r>
      <w:r w:rsidRPr="005060CE">
        <w:rPr>
          <w:rFonts w:ascii="Arial" w:hAnsi="Arial" w:cs="Arial"/>
          <w:i/>
          <w:iCs/>
        </w:rPr>
        <w:t xml:space="preserve">roadcast Music, Inc v Columbia Broadcasting System, Inc </w:t>
      </w:r>
      <w:r w:rsidRPr="005060CE">
        <w:rPr>
          <w:rFonts w:ascii="Arial" w:hAnsi="Arial" w:cs="Arial"/>
          <w:i/>
        </w:rPr>
        <w:t xml:space="preserve">441 US 1 at 7-9 and 19-23 (1978), quoted with approval in </w:t>
      </w:r>
      <w:r w:rsidRPr="005060CE">
        <w:rPr>
          <w:rFonts w:ascii="Arial" w:hAnsi="Arial" w:cs="Arial"/>
          <w:i/>
          <w:iCs/>
        </w:rPr>
        <w:t>SAB</w:t>
      </w:r>
      <w:r w:rsidRPr="005060CE">
        <w:rPr>
          <w:rFonts w:ascii="Arial" w:hAnsi="Arial" w:cs="Arial"/>
          <w:i/>
        </w:rPr>
        <w:t xml:space="preserve">, at paras 33 and 35. </w:t>
      </w:r>
    </w:p>
  </w:footnote>
  <w:footnote w:id="31">
    <w:p w14:paraId="58323D67" w14:textId="7EC7D4C7" w:rsidR="00D72614" w:rsidRPr="005060CE" w:rsidRDefault="00D72614" w:rsidP="005060CE">
      <w:pPr>
        <w:pStyle w:val="FootnoteText"/>
        <w:jc w:val="both"/>
        <w:rPr>
          <w:rFonts w:ascii="Arial" w:hAnsi="Arial" w:cs="Arial"/>
        </w:rPr>
      </w:pPr>
      <w:r w:rsidRPr="005060CE">
        <w:rPr>
          <w:rStyle w:val="FootnoteReference"/>
          <w:rFonts w:ascii="Arial" w:hAnsi="Arial" w:cs="Arial"/>
        </w:rPr>
        <w:footnoteRef/>
      </w:r>
      <w:r w:rsidRPr="005060CE">
        <w:rPr>
          <w:rFonts w:ascii="Arial" w:hAnsi="Arial" w:cs="Arial"/>
          <w:i/>
          <w:iCs/>
        </w:rPr>
        <w:t>Dawn Consolidated Holdings (Pty) Ltd &amp; Others v The Competition</w:t>
      </w:r>
      <w:r w:rsidR="005060CE">
        <w:rPr>
          <w:rFonts w:ascii="Arial" w:hAnsi="Arial" w:cs="Arial"/>
          <w:i/>
          <w:iCs/>
        </w:rPr>
        <w:t>.</w:t>
      </w:r>
      <w:r w:rsidRPr="005060CE">
        <w:rPr>
          <w:rFonts w:ascii="Arial" w:hAnsi="Arial" w:cs="Arial"/>
          <w:i/>
          <w:iCs/>
        </w:rPr>
        <w:t xml:space="preserve"> Commission </w:t>
      </w:r>
      <w:r w:rsidRPr="005060CE">
        <w:rPr>
          <w:rFonts w:ascii="Arial" w:hAnsi="Arial" w:cs="Arial"/>
        </w:rPr>
        <w:t>(155/CAC/Oct2017) </w:t>
      </w:r>
      <w:hyperlink r:id="rId4" w:tooltip="View LawCiteRecord" w:history="1">
        <w:r w:rsidRPr="005060CE">
          <w:rPr>
            <w:rStyle w:val="Hyperlink"/>
            <w:rFonts w:ascii="Arial" w:hAnsi="Arial" w:cs="Arial"/>
            <w:bCs/>
            <w:color w:val="auto"/>
            <w:u w:val="none"/>
          </w:rPr>
          <w:t>[2018] ZACAC 2</w:t>
        </w:r>
      </w:hyperlink>
      <w:r w:rsidRPr="005060CE">
        <w:rPr>
          <w:rFonts w:ascii="Arial" w:hAnsi="Arial" w:cs="Arial"/>
        </w:rPr>
        <w:t> (4 May 2018)</w:t>
      </w:r>
      <w:r w:rsidR="005060CE">
        <w:rPr>
          <w:rFonts w:ascii="Arial" w:hAnsi="Arial" w:cs="Arial"/>
        </w:rPr>
        <w:t>.</w:t>
      </w:r>
    </w:p>
    <w:p w14:paraId="2FA79F2B" w14:textId="1AE28F4D" w:rsidR="00D72614" w:rsidRPr="00FD0BC8" w:rsidRDefault="00D72614">
      <w:pPr>
        <w:pStyle w:val="FootnoteText"/>
        <w:rPr>
          <w:sz w:val="22"/>
          <w:szCs w:val="22"/>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722575"/>
      <w:docPartObj>
        <w:docPartGallery w:val="Page Numbers (Top of Page)"/>
        <w:docPartUnique/>
      </w:docPartObj>
    </w:sdtPr>
    <w:sdtEndPr>
      <w:rPr>
        <w:noProof/>
      </w:rPr>
    </w:sdtEndPr>
    <w:sdtContent>
      <w:p w14:paraId="4626E5E4" w14:textId="3EBD5897" w:rsidR="0070760F" w:rsidRDefault="0070760F">
        <w:pPr>
          <w:pStyle w:val="Header"/>
          <w:jc w:val="right"/>
        </w:pPr>
        <w:r>
          <w:fldChar w:fldCharType="begin"/>
        </w:r>
        <w:r>
          <w:instrText xml:space="preserve"> PAGE   \* MERGEFORMAT </w:instrText>
        </w:r>
        <w:r>
          <w:fldChar w:fldCharType="separate"/>
        </w:r>
        <w:r w:rsidR="00EA5455">
          <w:rPr>
            <w:noProof/>
          </w:rPr>
          <w:t>21</w:t>
        </w:r>
        <w:r>
          <w:rPr>
            <w:noProof/>
          </w:rPr>
          <w:fldChar w:fldCharType="end"/>
        </w:r>
      </w:p>
    </w:sdtContent>
  </w:sdt>
  <w:p w14:paraId="5D4E300C" w14:textId="77777777" w:rsidR="0070760F" w:rsidRDefault="0070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C32"/>
    <w:multiLevelType w:val="hybridMultilevel"/>
    <w:tmpl w:val="1EA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03FC"/>
    <w:multiLevelType w:val="hybridMultilevel"/>
    <w:tmpl w:val="270E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2033"/>
    <w:multiLevelType w:val="hybridMultilevel"/>
    <w:tmpl w:val="DAC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0B671A3B"/>
    <w:multiLevelType w:val="hybridMultilevel"/>
    <w:tmpl w:val="1F485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3D495E"/>
    <w:multiLevelType w:val="hybridMultilevel"/>
    <w:tmpl w:val="E0E8A2D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6" w15:restartNumberingAfterBreak="0">
    <w:nsid w:val="1E347640"/>
    <w:multiLevelType w:val="hybridMultilevel"/>
    <w:tmpl w:val="65668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443243"/>
    <w:multiLevelType w:val="multilevel"/>
    <w:tmpl w:val="D1763EBA"/>
    <w:lvl w:ilvl="0">
      <w:start w:val="6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C61969"/>
    <w:multiLevelType w:val="hybridMultilevel"/>
    <w:tmpl w:val="00EE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6E289D"/>
    <w:multiLevelType w:val="hybridMultilevel"/>
    <w:tmpl w:val="A328B4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3443380F"/>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4740D5"/>
    <w:multiLevelType w:val="multilevel"/>
    <w:tmpl w:val="B6020818"/>
    <w:lvl w:ilvl="0">
      <w:start w:val="5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665F37"/>
    <w:multiLevelType w:val="hybridMultilevel"/>
    <w:tmpl w:val="FC8C1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F4E31B8"/>
    <w:multiLevelType w:val="hybridMultilevel"/>
    <w:tmpl w:val="5936E1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D845E7"/>
    <w:multiLevelType w:val="hybridMultilevel"/>
    <w:tmpl w:val="F89623F6"/>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5" w15:restartNumberingAfterBreak="0">
    <w:nsid w:val="542C63C0"/>
    <w:multiLevelType w:val="hybridMultilevel"/>
    <w:tmpl w:val="02A8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85893"/>
    <w:multiLevelType w:val="hybridMultilevel"/>
    <w:tmpl w:val="88746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4D026F"/>
    <w:multiLevelType w:val="hybridMultilevel"/>
    <w:tmpl w:val="00BA1EDC"/>
    <w:lvl w:ilvl="0" w:tplc="57C2151A">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434F6B"/>
    <w:multiLevelType w:val="hybridMultilevel"/>
    <w:tmpl w:val="999C7DE4"/>
    <w:lvl w:ilvl="0" w:tplc="9E7EC3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53561B1"/>
    <w:multiLevelType w:val="hybridMultilevel"/>
    <w:tmpl w:val="CA34D7E4"/>
    <w:lvl w:ilvl="0" w:tplc="66CE4E48">
      <w:start w:val="1"/>
      <w:numFmt w:val="decimal"/>
      <w:lvlText w:val="[%1] "/>
      <w:lvlJc w:val="left"/>
      <w:pPr>
        <w:ind w:left="360" w:hanging="360"/>
      </w:pPr>
      <w:rPr>
        <w:rFonts w:hint="default"/>
        <w:b w:val="0"/>
        <w:i w:val="0"/>
      </w:rPr>
    </w:lvl>
    <w:lvl w:ilvl="1" w:tplc="1C090019">
      <w:start w:val="1"/>
      <w:numFmt w:val="lowerLetter"/>
      <w:lvlText w:val="%2."/>
      <w:lvlJc w:val="left"/>
      <w:pPr>
        <w:ind w:left="22" w:hanging="360"/>
      </w:pPr>
    </w:lvl>
    <w:lvl w:ilvl="2" w:tplc="1C09001B">
      <w:start w:val="1"/>
      <w:numFmt w:val="lowerRoman"/>
      <w:lvlText w:val="%3."/>
      <w:lvlJc w:val="right"/>
      <w:pPr>
        <w:ind w:left="742" w:hanging="180"/>
      </w:pPr>
    </w:lvl>
    <w:lvl w:ilvl="3" w:tplc="1C09000F" w:tentative="1">
      <w:start w:val="1"/>
      <w:numFmt w:val="decimal"/>
      <w:lvlText w:val="%4."/>
      <w:lvlJc w:val="left"/>
      <w:pPr>
        <w:ind w:left="1462" w:hanging="360"/>
      </w:pPr>
    </w:lvl>
    <w:lvl w:ilvl="4" w:tplc="1C090019" w:tentative="1">
      <w:start w:val="1"/>
      <w:numFmt w:val="lowerLetter"/>
      <w:lvlText w:val="%5."/>
      <w:lvlJc w:val="left"/>
      <w:pPr>
        <w:ind w:left="2182" w:hanging="360"/>
      </w:pPr>
    </w:lvl>
    <w:lvl w:ilvl="5" w:tplc="1C09001B" w:tentative="1">
      <w:start w:val="1"/>
      <w:numFmt w:val="lowerRoman"/>
      <w:lvlText w:val="%6."/>
      <w:lvlJc w:val="right"/>
      <w:pPr>
        <w:ind w:left="2902" w:hanging="180"/>
      </w:pPr>
    </w:lvl>
    <w:lvl w:ilvl="6" w:tplc="1C09000F" w:tentative="1">
      <w:start w:val="1"/>
      <w:numFmt w:val="decimal"/>
      <w:lvlText w:val="%7."/>
      <w:lvlJc w:val="left"/>
      <w:pPr>
        <w:ind w:left="3622" w:hanging="360"/>
      </w:pPr>
    </w:lvl>
    <w:lvl w:ilvl="7" w:tplc="1C090019" w:tentative="1">
      <w:start w:val="1"/>
      <w:numFmt w:val="lowerLetter"/>
      <w:lvlText w:val="%8."/>
      <w:lvlJc w:val="left"/>
      <w:pPr>
        <w:ind w:left="4342" w:hanging="360"/>
      </w:pPr>
    </w:lvl>
    <w:lvl w:ilvl="8" w:tplc="1C09001B" w:tentative="1">
      <w:start w:val="1"/>
      <w:numFmt w:val="lowerRoman"/>
      <w:lvlText w:val="%9."/>
      <w:lvlJc w:val="right"/>
      <w:pPr>
        <w:ind w:left="5062" w:hanging="180"/>
      </w:pPr>
    </w:lvl>
  </w:abstractNum>
  <w:abstractNum w:abstractNumId="20" w15:restartNumberingAfterBreak="0">
    <w:nsid w:val="681779B1"/>
    <w:multiLevelType w:val="hybridMultilevel"/>
    <w:tmpl w:val="93D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B4C55"/>
    <w:multiLevelType w:val="hybridMultilevel"/>
    <w:tmpl w:val="23BC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986851"/>
    <w:multiLevelType w:val="hybridMultilevel"/>
    <w:tmpl w:val="534E57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73CF2A35"/>
    <w:multiLevelType w:val="hybridMultilevel"/>
    <w:tmpl w:val="EEAE3A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9"/>
  </w:num>
  <w:num w:numId="5">
    <w:abstractNumId w:val="12"/>
  </w:num>
  <w:num w:numId="6">
    <w:abstractNumId w:val="20"/>
  </w:num>
  <w:num w:numId="7">
    <w:abstractNumId w:val="5"/>
  </w:num>
  <w:num w:numId="8">
    <w:abstractNumId w:val="2"/>
  </w:num>
  <w:num w:numId="9">
    <w:abstractNumId w:val="1"/>
  </w:num>
  <w:num w:numId="10">
    <w:abstractNumId w:val="8"/>
  </w:num>
  <w:num w:numId="11">
    <w:abstractNumId w:val="4"/>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num>
  <w:num w:numId="17">
    <w:abstractNumId w:val="13"/>
  </w:num>
  <w:num w:numId="18">
    <w:abstractNumId w:val="23"/>
  </w:num>
  <w:num w:numId="19">
    <w:abstractNumId w:val="6"/>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96"/>
    <w:rsid w:val="0000391C"/>
    <w:rsid w:val="000058F6"/>
    <w:rsid w:val="000068B9"/>
    <w:rsid w:val="00012BC7"/>
    <w:rsid w:val="00012E96"/>
    <w:rsid w:val="00014483"/>
    <w:rsid w:val="000151CC"/>
    <w:rsid w:val="0001793C"/>
    <w:rsid w:val="00022157"/>
    <w:rsid w:val="00022585"/>
    <w:rsid w:val="00022ABD"/>
    <w:rsid w:val="00022F3A"/>
    <w:rsid w:val="00030BBB"/>
    <w:rsid w:val="00030F7A"/>
    <w:rsid w:val="00031578"/>
    <w:rsid w:val="00033059"/>
    <w:rsid w:val="00033FDC"/>
    <w:rsid w:val="0003660F"/>
    <w:rsid w:val="000373A7"/>
    <w:rsid w:val="000407C5"/>
    <w:rsid w:val="0004289F"/>
    <w:rsid w:val="0004425A"/>
    <w:rsid w:val="00045BAA"/>
    <w:rsid w:val="00045C37"/>
    <w:rsid w:val="000475C3"/>
    <w:rsid w:val="00054193"/>
    <w:rsid w:val="00054398"/>
    <w:rsid w:val="00054498"/>
    <w:rsid w:val="0005586B"/>
    <w:rsid w:val="0005768B"/>
    <w:rsid w:val="0006245B"/>
    <w:rsid w:val="000641A9"/>
    <w:rsid w:val="00065D2B"/>
    <w:rsid w:val="0007008B"/>
    <w:rsid w:val="000700B7"/>
    <w:rsid w:val="00071958"/>
    <w:rsid w:val="000728AC"/>
    <w:rsid w:val="00073CA9"/>
    <w:rsid w:val="00074113"/>
    <w:rsid w:val="00075201"/>
    <w:rsid w:val="00082452"/>
    <w:rsid w:val="00082760"/>
    <w:rsid w:val="00082E02"/>
    <w:rsid w:val="00084FE8"/>
    <w:rsid w:val="00085987"/>
    <w:rsid w:val="00093E28"/>
    <w:rsid w:val="000943DB"/>
    <w:rsid w:val="000A209B"/>
    <w:rsid w:val="000A2B3C"/>
    <w:rsid w:val="000A7837"/>
    <w:rsid w:val="000B0B42"/>
    <w:rsid w:val="000B216D"/>
    <w:rsid w:val="000B2CE2"/>
    <w:rsid w:val="000B4120"/>
    <w:rsid w:val="000B4322"/>
    <w:rsid w:val="000B4CE0"/>
    <w:rsid w:val="000B799E"/>
    <w:rsid w:val="000C05F6"/>
    <w:rsid w:val="000C7ACC"/>
    <w:rsid w:val="000D0EEB"/>
    <w:rsid w:val="000D1074"/>
    <w:rsid w:val="000D454F"/>
    <w:rsid w:val="000D5E95"/>
    <w:rsid w:val="000D662A"/>
    <w:rsid w:val="000E1BF2"/>
    <w:rsid w:val="000E2E94"/>
    <w:rsid w:val="000E3218"/>
    <w:rsid w:val="000E4F28"/>
    <w:rsid w:val="000F0A56"/>
    <w:rsid w:val="000F4206"/>
    <w:rsid w:val="000F553B"/>
    <w:rsid w:val="000F68A7"/>
    <w:rsid w:val="00110D52"/>
    <w:rsid w:val="00111C6F"/>
    <w:rsid w:val="00112C26"/>
    <w:rsid w:val="001212A0"/>
    <w:rsid w:val="00121317"/>
    <w:rsid w:val="00126CDA"/>
    <w:rsid w:val="0012725F"/>
    <w:rsid w:val="001274B5"/>
    <w:rsid w:val="00130012"/>
    <w:rsid w:val="001305E6"/>
    <w:rsid w:val="001309ED"/>
    <w:rsid w:val="00130E36"/>
    <w:rsid w:val="001317DD"/>
    <w:rsid w:val="00132EA5"/>
    <w:rsid w:val="00134E52"/>
    <w:rsid w:val="00137097"/>
    <w:rsid w:val="00140A0B"/>
    <w:rsid w:val="0014100A"/>
    <w:rsid w:val="001503E4"/>
    <w:rsid w:val="00151659"/>
    <w:rsid w:val="00162297"/>
    <w:rsid w:val="00175F8C"/>
    <w:rsid w:val="00176E16"/>
    <w:rsid w:val="0018011D"/>
    <w:rsid w:val="00185227"/>
    <w:rsid w:val="001905B4"/>
    <w:rsid w:val="00192CFA"/>
    <w:rsid w:val="00193A5B"/>
    <w:rsid w:val="0019610F"/>
    <w:rsid w:val="001A21DA"/>
    <w:rsid w:val="001A3A31"/>
    <w:rsid w:val="001A3B04"/>
    <w:rsid w:val="001A5C13"/>
    <w:rsid w:val="001A5DFF"/>
    <w:rsid w:val="001A6F9E"/>
    <w:rsid w:val="001B6825"/>
    <w:rsid w:val="001B7D27"/>
    <w:rsid w:val="001C0964"/>
    <w:rsid w:val="001C29F6"/>
    <w:rsid w:val="001C3D3E"/>
    <w:rsid w:val="001C507E"/>
    <w:rsid w:val="001D77A3"/>
    <w:rsid w:val="001E0E43"/>
    <w:rsid w:val="001E1113"/>
    <w:rsid w:val="001E2A3A"/>
    <w:rsid w:val="001E6E3B"/>
    <w:rsid w:val="001F00E6"/>
    <w:rsid w:val="001F1405"/>
    <w:rsid w:val="001F347E"/>
    <w:rsid w:val="001F52BD"/>
    <w:rsid w:val="001F71F0"/>
    <w:rsid w:val="001F7B30"/>
    <w:rsid w:val="00201989"/>
    <w:rsid w:val="00205340"/>
    <w:rsid w:val="0020705B"/>
    <w:rsid w:val="00210FE8"/>
    <w:rsid w:val="0021170B"/>
    <w:rsid w:val="00212BB3"/>
    <w:rsid w:val="00215702"/>
    <w:rsid w:val="00215BDB"/>
    <w:rsid w:val="00216353"/>
    <w:rsid w:val="0021758B"/>
    <w:rsid w:val="00217A14"/>
    <w:rsid w:val="0022384B"/>
    <w:rsid w:val="00223F6B"/>
    <w:rsid w:val="00225741"/>
    <w:rsid w:val="00225770"/>
    <w:rsid w:val="00225930"/>
    <w:rsid w:val="00225B34"/>
    <w:rsid w:val="0023073C"/>
    <w:rsid w:val="00232F13"/>
    <w:rsid w:val="00236139"/>
    <w:rsid w:val="00241A98"/>
    <w:rsid w:val="0024246F"/>
    <w:rsid w:val="00246107"/>
    <w:rsid w:val="0024759B"/>
    <w:rsid w:val="002507B3"/>
    <w:rsid w:val="00250F74"/>
    <w:rsid w:val="00251F23"/>
    <w:rsid w:val="002525BB"/>
    <w:rsid w:val="002611AD"/>
    <w:rsid w:val="0026174C"/>
    <w:rsid w:val="0026272F"/>
    <w:rsid w:val="00273F50"/>
    <w:rsid w:val="00274524"/>
    <w:rsid w:val="00275113"/>
    <w:rsid w:val="00275EC3"/>
    <w:rsid w:val="00283954"/>
    <w:rsid w:val="00291E12"/>
    <w:rsid w:val="00293A72"/>
    <w:rsid w:val="00293C4D"/>
    <w:rsid w:val="002949E0"/>
    <w:rsid w:val="00294CA7"/>
    <w:rsid w:val="002962A6"/>
    <w:rsid w:val="002A03FA"/>
    <w:rsid w:val="002A1810"/>
    <w:rsid w:val="002A24F9"/>
    <w:rsid w:val="002A3644"/>
    <w:rsid w:val="002A4CF7"/>
    <w:rsid w:val="002A75DA"/>
    <w:rsid w:val="002B03E3"/>
    <w:rsid w:val="002B09B5"/>
    <w:rsid w:val="002B7466"/>
    <w:rsid w:val="002C60DE"/>
    <w:rsid w:val="002C7759"/>
    <w:rsid w:val="002C7962"/>
    <w:rsid w:val="002D3D75"/>
    <w:rsid w:val="002D42AF"/>
    <w:rsid w:val="002D798D"/>
    <w:rsid w:val="002E4272"/>
    <w:rsid w:val="002E4977"/>
    <w:rsid w:val="002E7FE4"/>
    <w:rsid w:val="002F177F"/>
    <w:rsid w:val="002F304D"/>
    <w:rsid w:val="002F7265"/>
    <w:rsid w:val="003007A3"/>
    <w:rsid w:val="00302302"/>
    <w:rsid w:val="00310B0F"/>
    <w:rsid w:val="0031258A"/>
    <w:rsid w:val="003128A1"/>
    <w:rsid w:val="00315DC4"/>
    <w:rsid w:val="00325362"/>
    <w:rsid w:val="00327280"/>
    <w:rsid w:val="00331EC9"/>
    <w:rsid w:val="00333780"/>
    <w:rsid w:val="00334CEB"/>
    <w:rsid w:val="003360E0"/>
    <w:rsid w:val="00340762"/>
    <w:rsid w:val="0034140A"/>
    <w:rsid w:val="00341EF7"/>
    <w:rsid w:val="00345504"/>
    <w:rsid w:val="003478C8"/>
    <w:rsid w:val="003517D1"/>
    <w:rsid w:val="00354B1B"/>
    <w:rsid w:val="00354E9A"/>
    <w:rsid w:val="0035743A"/>
    <w:rsid w:val="00361271"/>
    <w:rsid w:val="0036236C"/>
    <w:rsid w:val="003657AE"/>
    <w:rsid w:val="00365C41"/>
    <w:rsid w:val="00371446"/>
    <w:rsid w:val="003719AF"/>
    <w:rsid w:val="00371A27"/>
    <w:rsid w:val="0038277C"/>
    <w:rsid w:val="0038389D"/>
    <w:rsid w:val="003865F6"/>
    <w:rsid w:val="003924C5"/>
    <w:rsid w:val="00393034"/>
    <w:rsid w:val="003963AA"/>
    <w:rsid w:val="003A3121"/>
    <w:rsid w:val="003B303C"/>
    <w:rsid w:val="003B429F"/>
    <w:rsid w:val="003B5103"/>
    <w:rsid w:val="003B6DA3"/>
    <w:rsid w:val="003C245A"/>
    <w:rsid w:val="003C334B"/>
    <w:rsid w:val="003C4E83"/>
    <w:rsid w:val="003C4EE6"/>
    <w:rsid w:val="003C681C"/>
    <w:rsid w:val="003D6809"/>
    <w:rsid w:val="003D712B"/>
    <w:rsid w:val="003D7F8C"/>
    <w:rsid w:val="003E1777"/>
    <w:rsid w:val="003E5FC7"/>
    <w:rsid w:val="003E6B26"/>
    <w:rsid w:val="003E7F56"/>
    <w:rsid w:val="003F037E"/>
    <w:rsid w:val="003F1A3C"/>
    <w:rsid w:val="003F4E81"/>
    <w:rsid w:val="003F548D"/>
    <w:rsid w:val="003F7122"/>
    <w:rsid w:val="003F73A9"/>
    <w:rsid w:val="0040053D"/>
    <w:rsid w:val="004035F1"/>
    <w:rsid w:val="00404745"/>
    <w:rsid w:val="0040721C"/>
    <w:rsid w:val="00415132"/>
    <w:rsid w:val="00415329"/>
    <w:rsid w:val="00430959"/>
    <w:rsid w:val="004317F0"/>
    <w:rsid w:val="00432A6F"/>
    <w:rsid w:val="0043327C"/>
    <w:rsid w:val="00433C70"/>
    <w:rsid w:val="00433D9B"/>
    <w:rsid w:val="00436041"/>
    <w:rsid w:val="00437769"/>
    <w:rsid w:val="00442218"/>
    <w:rsid w:val="004433CB"/>
    <w:rsid w:val="0044505E"/>
    <w:rsid w:val="00446986"/>
    <w:rsid w:val="00453563"/>
    <w:rsid w:val="00455BBD"/>
    <w:rsid w:val="00462C5E"/>
    <w:rsid w:val="0046436D"/>
    <w:rsid w:val="00465843"/>
    <w:rsid w:val="00467263"/>
    <w:rsid w:val="00467377"/>
    <w:rsid w:val="00470B40"/>
    <w:rsid w:val="00472219"/>
    <w:rsid w:val="00473299"/>
    <w:rsid w:val="004755EE"/>
    <w:rsid w:val="0048682B"/>
    <w:rsid w:val="00486E2D"/>
    <w:rsid w:val="00490605"/>
    <w:rsid w:val="00492DB5"/>
    <w:rsid w:val="004972E6"/>
    <w:rsid w:val="004A0B88"/>
    <w:rsid w:val="004A4B49"/>
    <w:rsid w:val="004B0086"/>
    <w:rsid w:val="004B3F34"/>
    <w:rsid w:val="004B5A9A"/>
    <w:rsid w:val="004B758F"/>
    <w:rsid w:val="004C0CDB"/>
    <w:rsid w:val="004C290F"/>
    <w:rsid w:val="004C4F34"/>
    <w:rsid w:val="004C76DB"/>
    <w:rsid w:val="004C77EE"/>
    <w:rsid w:val="004D64F7"/>
    <w:rsid w:val="004E010A"/>
    <w:rsid w:val="004E0391"/>
    <w:rsid w:val="004E2062"/>
    <w:rsid w:val="004E319F"/>
    <w:rsid w:val="004E6C2B"/>
    <w:rsid w:val="004F0109"/>
    <w:rsid w:val="004F1FDA"/>
    <w:rsid w:val="004F2AF1"/>
    <w:rsid w:val="004F3D18"/>
    <w:rsid w:val="00503B8D"/>
    <w:rsid w:val="005060CE"/>
    <w:rsid w:val="00506D0D"/>
    <w:rsid w:val="0050776B"/>
    <w:rsid w:val="00512E89"/>
    <w:rsid w:val="005139DE"/>
    <w:rsid w:val="00517EE0"/>
    <w:rsid w:val="00520972"/>
    <w:rsid w:val="00522131"/>
    <w:rsid w:val="00523046"/>
    <w:rsid w:val="005230F2"/>
    <w:rsid w:val="00523676"/>
    <w:rsid w:val="005250F0"/>
    <w:rsid w:val="0052568E"/>
    <w:rsid w:val="00525FC1"/>
    <w:rsid w:val="00533200"/>
    <w:rsid w:val="005407BF"/>
    <w:rsid w:val="00541498"/>
    <w:rsid w:val="00541D7E"/>
    <w:rsid w:val="00543EDE"/>
    <w:rsid w:val="005453DD"/>
    <w:rsid w:val="00545B50"/>
    <w:rsid w:val="00547D55"/>
    <w:rsid w:val="00551897"/>
    <w:rsid w:val="0055515B"/>
    <w:rsid w:val="00555453"/>
    <w:rsid w:val="00555C46"/>
    <w:rsid w:val="00556F97"/>
    <w:rsid w:val="00562B59"/>
    <w:rsid w:val="00562F32"/>
    <w:rsid w:val="0056415F"/>
    <w:rsid w:val="00565B1D"/>
    <w:rsid w:val="00576BC3"/>
    <w:rsid w:val="00583477"/>
    <w:rsid w:val="0058417D"/>
    <w:rsid w:val="005846EA"/>
    <w:rsid w:val="00590C67"/>
    <w:rsid w:val="005915B2"/>
    <w:rsid w:val="00591E16"/>
    <w:rsid w:val="00591F92"/>
    <w:rsid w:val="005A1BCC"/>
    <w:rsid w:val="005A277A"/>
    <w:rsid w:val="005A3349"/>
    <w:rsid w:val="005A3D4E"/>
    <w:rsid w:val="005A541B"/>
    <w:rsid w:val="005A6288"/>
    <w:rsid w:val="005A681B"/>
    <w:rsid w:val="005A7EFF"/>
    <w:rsid w:val="005B0530"/>
    <w:rsid w:val="005B11C4"/>
    <w:rsid w:val="005B6063"/>
    <w:rsid w:val="005B6FD1"/>
    <w:rsid w:val="005B7684"/>
    <w:rsid w:val="005C190D"/>
    <w:rsid w:val="005C513C"/>
    <w:rsid w:val="005C54F0"/>
    <w:rsid w:val="005C59B4"/>
    <w:rsid w:val="005C6F49"/>
    <w:rsid w:val="005D0519"/>
    <w:rsid w:val="005D3C9E"/>
    <w:rsid w:val="005D3FE3"/>
    <w:rsid w:val="005E2BBB"/>
    <w:rsid w:val="005E57D0"/>
    <w:rsid w:val="005E5C75"/>
    <w:rsid w:val="005F036E"/>
    <w:rsid w:val="005F6C88"/>
    <w:rsid w:val="00603630"/>
    <w:rsid w:val="00603E70"/>
    <w:rsid w:val="00604A62"/>
    <w:rsid w:val="006055DE"/>
    <w:rsid w:val="00613D39"/>
    <w:rsid w:val="00615789"/>
    <w:rsid w:val="006218BB"/>
    <w:rsid w:val="00630E51"/>
    <w:rsid w:val="00630F40"/>
    <w:rsid w:val="006342AA"/>
    <w:rsid w:val="0064011E"/>
    <w:rsid w:val="006416F8"/>
    <w:rsid w:val="006437A7"/>
    <w:rsid w:val="00644E15"/>
    <w:rsid w:val="00645C3F"/>
    <w:rsid w:val="00650A16"/>
    <w:rsid w:val="006515A9"/>
    <w:rsid w:val="00652566"/>
    <w:rsid w:val="00652705"/>
    <w:rsid w:val="00653076"/>
    <w:rsid w:val="00654BF1"/>
    <w:rsid w:val="00654C29"/>
    <w:rsid w:val="00655A3C"/>
    <w:rsid w:val="00657510"/>
    <w:rsid w:val="006625FC"/>
    <w:rsid w:val="00667459"/>
    <w:rsid w:val="00667566"/>
    <w:rsid w:val="00673D9F"/>
    <w:rsid w:val="00674F8A"/>
    <w:rsid w:val="00675C0B"/>
    <w:rsid w:val="00676F46"/>
    <w:rsid w:val="0068170F"/>
    <w:rsid w:val="00681DD2"/>
    <w:rsid w:val="00682B79"/>
    <w:rsid w:val="006846A2"/>
    <w:rsid w:val="00684D81"/>
    <w:rsid w:val="00690AEA"/>
    <w:rsid w:val="00692540"/>
    <w:rsid w:val="00694515"/>
    <w:rsid w:val="00694AA1"/>
    <w:rsid w:val="00695F62"/>
    <w:rsid w:val="0069652A"/>
    <w:rsid w:val="00697483"/>
    <w:rsid w:val="006A0E2A"/>
    <w:rsid w:val="006A10EF"/>
    <w:rsid w:val="006A3C7F"/>
    <w:rsid w:val="006A439E"/>
    <w:rsid w:val="006B25BF"/>
    <w:rsid w:val="006C0737"/>
    <w:rsid w:val="006C1E2F"/>
    <w:rsid w:val="006C2A23"/>
    <w:rsid w:val="006C4815"/>
    <w:rsid w:val="006C4B1C"/>
    <w:rsid w:val="006C5318"/>
    <w:rsid w:val="006C763C"/>
    <w:rsid w:val="006D4311"/>
    <w:rsid w:val="006D62C8"/>
    <w:rsid w:val="006D6F18"/>
    <w:rsid w:val="006D70AD"/>
    <w:rsid w:val="006D7B88"/>
    <w:rsid w:val="006E0E41"/>
    <w:rsid w:val="006E232D"/>
    <w:rsid w:val="006E476E"/>
    <w:rsid w:val="006F26DF"/>
    <w:rsid w:val="006F2DD5"/>
    <w:rsid w:val="006F2E26"/>
    <w:rsid w:val="006F5612"/>
    <w:rsid w:val="006F735F"/>
    <w:rsid w:val="00700C64"/>
    <w:rsid w:val="00706636"/>
    <w:rsid w:val="0070760F"/>
    <w:rsid w:val="0071119B"/>
    <w:rsid w:val="00712C92"/>
    <w:rsid w:val="00713DDD"/>
    <w:rsid w:val="00714CB4"/>
    <w:rsid w:val="00715780"/>
    <w:rsid w:val="00717BF5"/>
    <w:rsid w:val="00721F04"/>
    <w:rsid w:val="00723E24"/>
    <w:rsid w:val="00723F09"/>
    <w:rsid w:val="00724C54"/>
    <w:rsid w:val="00726179"/>
    <w:rsid w:val="007268DB"/>
    <w:rsid w:val="00726C59"/>
    <w:rsid w:val="007305EA"/>
    <w:rsid w:val="00733014"/>
    <w:rsid w:val="00736F5C"/>
    <w:rsid w:val="00741444"/>
    <w:rsid w:val="007435BB"/>
    <w:rsid w:val="00747D7F"/>
    <w:rsid w:val="0075165A"/>
    <w:rsid w:val="00752DCA"/>
    <w:rsid w:val="00752FD5"/>
    <w:rsid w:val="007535DA"/>
    <w:rsid w:val="00755047"/>
    <w:rsid w:val="00760FDC"/>
    <w:rsid w:val="0076245E"/>
    <w:rsid w:val="00764424"/>
    <w:rsid w:val="007659AF"/>
    <w:rsid w:val="00771171"/>
    <w:rsid w:val="00771741"/>
    <w:rsid w:val="0077188E"/>
    <w:rsid w:val="007729C2"/>
    <w:rsid w:val="0077681B"/>
    <w:rsid w:val="007809D8"/>
    <w:rsid w:val="007814B0"/>
    <w:rsid w:val="00783EED"/>
    <w:rsid w:val="00791813"/>
    <w:rsid w:val="00792B4C"/>
    <w:rsid w:val="00795233"/>
    <w:rsid w:val="00797E46"/>
    <w:rsid w:val="007A1D19"/>
    <w:rsid w:val="007A22FC"/>
    <w:rsid w:val="007A373E"/>
    <w:rsid w:val="007A5B24"/>
    <w:rsid w:val="007B0676"/>
    <w:rsid w:val="007B2C11"/>
    <w:rsid w:val="007B2E6A"/>
    <w:rsid w:val="007B3104"/>
    <w:rsid w:val="007B74F0"/>
    <w:rsid w:val="007B7F1E"/>
    <w:rsid w:val="007C4A76"/>
    <w:rsid w:val="007C5D6D"/>
    <w:rsid w:val="007D214E"/>
    <w:rsid w:val="007D5AA8"/>
    <w:rsid w:val="007E0D1C"/>
    <w:rsid w:val="007E10A7"/>
    <w:rsid w:val="007E1FB3"/>
    <w:rsid w:val="007E42BA"/>
    <w:rsid w:val="007E607B"/>
    <w:rsid w:val="007F076F"/>
    <w:rsid w:val="007F2ADF"/>
    <w:rsid w:val="007F3A5B"/>
    <w:rsid w:val="007F7163"/>
    <w:rsid w:val="00801BA6"/>
    <w:rsid w:val="008035FA"/>
    <w:rsid w:val="008048A4"/>
    <w:rsid w:val="00804F01"/>
    <w:rsid w:val="0080629E"/>
    <w:rsid w:val="00806951"/>
    <w:rsid w:val="0080798E"/>
    <w:rsid w:val="0081558A"/>
    <w:rsid w:val="00816404"/>
    <w:rsid w:val="00816A13"/>
    <w:rsid w:val="0081768D"/>
    <w:rsid w:val="00817AF5"/>
    <w:rsid w:val="00823A4F"/>
    <w:rsid w:val="00824624"/>
    <w:rsid w:val="00827978"/>
    <w:rsid w:val="00827A05"/>
    <w:rsid w:val="00833B10"/>
    <w:rsid w:val="00840706"/>
    <w:rsid w:val="00840BF4"/>
    <w:rsid w:val="00843727"/>
    <w:rsid w:val="00845EF7"/>
    <w:rsid w:val="008460E0"/>
    <w:rsid w:val="008463DD"/>
    <w:rsid w:val="00846B9F"/>
    <w:rsid w:val="008511A4"/>
    <w:rsid w:val="008526D6"/>
    <w:rsid w:val="008539C7"/>
    <w:rsid w:val="008559CF"/>
    <w:rsid w:val="00855B36"/>
    <w:rsid w:val="00857B65"/>
    <w:rsid w:val="00867FC8"/>
    <w:rsid w:val="008754C1"/>
    <w:rsid w:val="008754C7"/>
    <w:rsid w:val="00882852"/>
    <w:rsid w:val="00882EA3"/>
    <w:rsid w:val="00882FF4"/>
    <w:rsid w:val="00883227"/>
    <w:rsid w:val="0088369D"/>
    <w:rsid w:val="008854F2"/>
    <w:rsid w:val="0088623D"/>
    <w:rsid w:val="00886F6A"/>
    <w:rsid w:val="00887E2B"/>
    <w:rsid w:val="00891776"/>
    <w:rsid w:val="00893464"/>
    <w:rsid w:val="008944B1"/>
    <w:rsid w:val="00895670"/>
    <w:rsid w:val="008A3BDF"/>
    <w:rsid w:val="008A58A5"/>
    <w:rsid w:val="008A6123"/>
    <w:rsid w:val="008A775A"/>
    <w:rsid w:val="008A7A66"/>
    <w:rsid w:val="008B1A3D"/>
    <w:rsid w:val="008B1D22"/>
    <w:rsid w:val="008B42A0"/>
    <w:rsid w:val="008B7B10"/>
    <w:rsid w:val="008C1A84"/>
    <w:rsid w:val="008C3242"/>
    <w:rsid w:val="008C3B0F"/>
    <w:rsid w:val="008D236E"/>
    <w:rsid w:val="008D32A6"/>
    <w:rsid w:val="008D476B"/>
    <w:rsid w:val="008D77EC"/>
    <w:rsid w:val="008E46EF"/>
    <w:rsid w:val="008E631C"/>
    <w:rsid w:val="008E6C5F"/>
    <w:rsid w:val="008E772B"/>
    <w:rsid w:val="008F0FAE"/>
    <w:rsid w:val="008F2132"/>
    <w:rsid w:val="008F27A3"/>
    <w:rsid w:val="008F2FC4"/>
    <w:rsid w:val="008F33CA"/>
    <w:rsid w:val="008F4C6C"/>
    <w:rsid w:val="008F5CD5"/>
    <w:rsid w:val="008F6F0B"/>
    <w:rsid w:val="008F7144"/>
    <w:rsid w:val="0091592A"/>
    <w:rsid w:val="009203CE"/>
    <w:rsid w:val="009237CF"/>
    <w:rsid w:val="009239FA"/>
    <w:rsid w:val="0092700E"/>
    <w:rsid w:val="00940FE9"/>
    <w:rsid w:val="00941F80"/>
    <w:rsid w:val="00944A81"/>
    <w:rsid w:val="009520A8"/>
    <w:rsid w:val="00952D1A"/>
    <w:rsid w:val="009630C0"/>
    <w:rsid w:val="009636FB"/>
    <w:rsid w:val="00966422"/>
    <w:rsid w:val="0096665C"/>
    <w:rsid w:val="00967C35"/>
    <w:rsid w:val="009713B4"/>
    <w:rsid w:val="00972644"/>
    <w:rsid w:val="00972C00"/>
    <w:rsid w:val="00972D12"/>
    <w:rsid w:val="009767FF"/>
    <w:rsid w:val="009779BD"/>
    <w:rsid w:val="00985A5F"/>
    <w:rsid w:val="009870B5"/>
    <w:rsid w:val="00987FC9"/>
    <w:rsid w:val="009902A2"/>
    <w:rsid w:val="009913FF"/>
    <w:rsid w:val="00996C35"/>
    <w:rsid w:val="009A14C7"/>
    <w:rsid w:val="009A2690"/>
    <w:rsid w:val="009A3FCB"/>
    <w:rsid w:val="009A6FA7"/>
    <w:rsid w:val="009A71C5"/>
    <w:rsid w:val="009B0366"/>
    <w:rsid w:val="009B1122"/>
    <w:rsid w:val="009B3007"/>
    <w:rsid w:val="009B3E71"/>
    <w:rsid w:val="009B3FFC"/>
    <w:rsid w:val="009B41CE"/>
    <w:rsid w:val="009B7FF0"/>
    <w:rsid w:val="009C66C4"/>
    <w:rsid w:val="009D0F04"/>
    <w:rsid w:val="009D1ED1"/>
    <w:rsid w:val="009D25AF"/>
    <w:rsid w:val="009D40D0"/>
    <w:rsid w:val="009D506A"/>
    <w:rsid w:val="009D603D"/>
    <w:rsid w:val="009D6521"/>
    <w:rsid w:val="009D6F97"/>
    <w:rsid w:val="009E0560"/>
    <w:rsid w:val="009E117C"/>
    <w:rsid w:val="009E1325"/>
    <w:rsid w:val="009E1884"/>
    <w:rsid w:val="009E5331"/>
    <w:rsid w:val="009E5CFE"/>
    <w:rsid w:val="009E7C26"/>
    <w:rsid w:val="009F0AA9"/>
    <w:rsid w:val="009F2379"/>
    <w:rsid w:val="009F5A4D"/>
    <w:rsid w:val="009F5D04"/>
    <w:rsid w:val="00A000A6"/>
    <w:rsid w:val="00A009A4"/>
    <w:rsid w:val="00A01461"/>
    <w:rsid w:val="00A01C59"/>
    <w:rsid w:val="00A0581F"/>
    <w:rsid w:val="00A07E23"/>
    <w:rsid w:val="00A11495"/>
    <w:rsid w:val="00A128E3"/>
    <w:rsid w:val="00A129BF"/>
    <w:rsid w:val="00A151BB"/>
    <w:rsid w:val="00A16BC1"/>
    <w:rsid w:val="00A22BCA"/>
    <w:rsid w:val="00A230D5"/>
    <w:rsid w:val="00A231CD"/>
    <w:rsid w:val="00A25899"/>
    <w:rsid w:val="00A25C1D"/>
    <w:rsid w:val="00A30350"/>
    <w:rsid w:val="00A30899"/>
    <w:rsid w:val="00A32DCD"/>
    <w:rsid w:val="00A34A95"/>
    <w:rsid w:val="00A35915"/>
    <w:rsid w:val="00A40474"/>
    <w:rsid w:val="00A447E7"/>
    <w:rsid w:val="00A45F78"/>
    <w:rsid w:val="00A4701E"/>
    <w:rsid w:val="00A5213D"/>
    <w:rsid w:val="00A52623"/>
    <w:rsid w:val="00A531D9"/>
    <w:rsid w:val="00A54135"/>
    <w:rsid w:val="00A6000E"/>
    <w:rsid w:val="00A63A72"/>
    <w:rsid w:val="00A6460E"/>
    <w:rsid w:val="00A667A0"/>
    <w:rsid w:val="00A72BC2"/>
    <w:rsid w:val="00A73C56"/>
    <w:rsid w:val="00A7540F"/>
    <w:rsid w:val="00A771DE"/>
    <w:rsid w:val="00A77591"/>
    <w:rsid w:val="00A8290E"/>
    <w:rsid w:val="00A82FB4"/>
    <w:rsid w:val="00A83753"/>
    <w:rsid w:val="00A83CE8"/>
    <w:rsid w:val="00A8473C"/>
    <w:rsid w:val="00A84CEA"/>
    <w:rsid w:val="00A87F80"/>
    <w:rsid w:val="00A92E54"/>
    <w:rsid w:val="00A94295"/>
    <w:rsid w:val="00A946B0"/>
    <w:rsid w:val="00AA2FCB"/>
    <w:rsid w:val="00AA49D2"/>
    <w:rsid w:val="00AA61E3"/>
    <w:rsid w:val="00AA6946"/>
    <w:rsid w:val="00AA78DD"/>
    <w:rsid w:val="00AB0391"/>
    <w:rsid w:val="00AB61F0"/>
    <w:rsid w:val="00AC2AA8"/>
    <w:rsid w:val="00AC37B1"/>
    <w:rsid w:val="00AC3EFB"/>
    <w:rsid w:val="00AC4BD1"/>
    <w:rsid w:val="00AC4DC1"/>
    <w:rsid w:val="00AC5D6B"/>
    <w:rsid w:val="00AD2CE5"/>
    <w:rsid w:val="00AD4636"/>
    <w:rsid w:val="00AE03F8"/>
    <w:rsid w:val="00AF21B1"/>
    <w:rsid w:val="00AF28B1"/>
    <w:rsid w:val="00AF513B"/>
    <w:rsid w:val="00AF53AD"/>
    <w:rsid w:val="00AF6920"/>
    <w:rsid w:val="00AF75E7"/>
    <w:rsid w:val="00B01EA4"/>
    <w:rsid w:val="00B049B4"/>
    <w:rsid w:val="00B04A08"/>
    <w:rsid w:val="00B04FDD"/>
    <w:rsid w:val="00B05248"/>
    <w:rsid w:val="00B05C9B"/>
    <w:rsid w:val="00B11D66"/>
    <w:rsid w:val="00B12684"/>
    <w:rsid w:val="00B134AA"/>
    <w:rsid w:val="00B136F7"/>
    <w:rsid w:val="00B14FE8"/>
    <w:rsid w:val="00B15736"/>
    <w:rsid w:val="00B168D3"/>
    <w:rsid w:val="00B17067"/>
    <w:rsid w:val="00B1763D"/>
    <w:rsid w:val="00B17EF3"/>
    <w:rsid w:val="00B26916"/>
    <w:rsid w:val="00B31220"/>
    <w:rsid w:val="00B31C48"/>
    <w:rsid w:val="00B3558E"/>
    <w:rsid w:val="00B359A7"/>
    <w:rsid w:val="00B365CF"/>
    <w:rsid w:val="00B36763"/>
    <w:rsid w:val="00B374E0"/>
    <w:rsid w:val="00B4135B"/>
    <w:rsid w:val="00B428DE"/>
    <w:rsid w:val="00B4517C"/>
    <w:rsid w:val="00B46412"/>
    <w:rsid w:val="00B50166"/>
    <w:rsid w:val="00B527CA"/>
    <w:rsid w:val="00B57561"/>
    <w:rsid w:val="00B70486"/>
    <w:rsid w:val="00B70DFD"/>
    <w:rsid w:val="00B7382D"/>
    <w:rsid w:val="00B74759"/>
    <w:rsid w:val="00B755FB"/>
    <w:rsid w:val="00B80E38"/>
    <w:rsid w:val="00B835A6"/>
    <w:rsid w:val="00B83D12"/>
    <w:rsid w:val="00B847CB"/>
    <w:rsid w:val="00B9103F"/>
    <w:rsid w:val="00B92B86"/>
    <w:rsid w:val="00B95A64"/>
    <w:rsid w:val="00B96937"/>
    <w:rsid w:val="00B96A2E"/>
    <w:rsid w:val="00B97E95"/>
    <w:rsid w:val="00BA0896"/>
    <w:rsid w:val="00BA17A4"/>
    <w:rsid w:val="00BA1A30"/>
    <w:rsid w:val="00BA39B1"/>
    <w:rsid w:val="00BA7179"/>
    <w:rsid w:val="00BB1B6A"/>
    <w:rsid w:val="00BB1C4F"/>
    <w:rsid w:val="00BB2666"/>
    <w:rsid w:val="00BB2E24"/>
    <w:rsid w:val="00BB6AE2"/>
    <w:rsid w:val="00BB70B3"/>
    <w:rsid w:val="00BB7B9A"/>
    <w:rsid w:val="00BC1D29"/>
    <w:rsid w:val="00BC1F4C"/>
    <w:rsid w:val="00BC55C6"/>
    <w:rsid w:val="00BD01EA"/>
    <w:rsid w:val="00BD0291"/>
    <w:rsid w:val="00BD0FE7"/>
    <w:rsid w:val="00BD472A"/>
    <w:rsid w:val="00BD5DF8"/>
    <w:rsid w:val="00BE0C80"/>
    <w:rsid w:val="00BE2320"/>
    <w:rsid w:val="00BE3486"/>
    <w:rsid w:val="00BE440F"/>
    <w:rsid w:val="00BE5C6D"/>
    <w:rsid w:val="00BE64BE"/>
    <w:rsid w:val="00BE6D28"/>
    <w:rsid w:val="00BE785A"/>
    <w:rsid w:val="00BF08A5"/>
    <w:rsid w:val="00BF17A9"/>
    <w:rsid w:val="00BF1B12"/>
    <w:rsid w:val="00BF2986"/>
    <w:rsid w:val="00BF2DEA"/>
    <w:rsid w:val="00BF3D66"/>
    <w:rsid w:val="00C01899"/>
    <w:rsid w:val="00C01D9F"/>
    <w:rsid w:val="00C079A2"/>
    <w:rsid w:val="00C10279"/>
    <w:rsid w:val="00C1051C"/>
    <w:rsid w:val="00C10649"/>
    <w:rsid w:val="00C11521"/>
    <w:rsid w:val="00C11CBE"/>
    <w:rsid w:val="00C13FE5"/>
    <w:rsid w:val="00C165BA"/>
    <w:rsid w:val="00C225B6"/>
    <w:rsid w:val="00C247C5"/>
    <w:rsid w:val="00C30D8B"/>
    <w:rsid w:val="00C31835"/>
    <w:rsid w:val="00C31DF8"/>
    <w:rsid w:val="00C35A3F"/>
    <w:rsid w:val="00C4048A"/>
    <w:rsid w:val="00C40672"/>
    <w:rsid w:val="00C4115B"/>
    <w:rsid w:val="00C43350"/>
    <w:rsid w:val="00C459DD"/>
    <w:rsid w:val="00C4798A"/>
    <w:rsid w:val="00C5127B"/>
    <w:rsid w:val="00C51C86"/>
    <w:rsid w:val="00C52F12"/>
    <w:rsid w:val="00C54978"/>
    <w:rsid w:val="00C54CD2"/>
    <w:rsid w:val="00C55A11"/>
    <w:rsid w:val="00C55C7F"/>
    <w:rsid w:val="00C55E7F"/>
    <w:rsid w:val="00C56700"/>
    <w:rsid w:val="00C619D8"/>
    <w:rsid w:val="00C624DD"/>
    <w:rsid w:val="00C62F32"/>
    <w:rsid w:val="00C6310A"/>
    <w:rsid w:val="00C6334E"/>
    <w:rsid w:val="00C6565E"/>
    <w:rsid w:val="00C65B2B"/>
    <w:rsid w:val="00C6637A"/>
    <w:rsid w:val="00C66BF8"/>
    <w:rsid w:val="00C71132"/>
    <w:rsid w:val="00C763CE"/>
    <w:rsid w:val="00C907BA"/>
    <w:rsid w:val="00C92E93"/>
    <w:rsid w:val="00C953F8"/>
    <w:rsid w:val="00C96538"/>
    <w:rsid w:val="00C977D6"/>
    <w:rsid w:val="00CA0A44"/>
    <w:rsid w:val="00CA0EB4"/>
    <w:rsid w:val="00CA2664"/>
    <w:rsid w:val="00CA5DD3"/>
    <w:rsid w:val="00CB217A"/>
    <w:rsid w:val="00CB4768"/>
    <w:rsid w:val="00CB6712"/>
    <w:rsid w:val="00CC0214"/>
    <w:rsid w:val="00CC0C82"/>
    <w:rsid w:val="00CC1AB7"/>
    <w:rsid w:val="00CC312E"/>
    <w:rsid w:val="00CC56DE"/>
    <w:rsid w:val="00CC5CDF"/>
    <w:rsid w:val="00CD26C4"/>
    <w:rsid w:val="00CD4A3E"/>
    <w:rsid w:val="00CE001D"/>
    <w:rsid w:val="00CE129A"/>
    <w:rsid w:val="00CE2380"/>
    <w:rsid w:val="00CE5189"/>
    <w:rsid w:val="00CE5663"/>
    <w:rsid w:val="00CE7B46"/>
    <w:rsid w:val="00CF1569"/>
    <w:rsid w:val="00CF238F"/>
    <w:rsid w:val="00CF37E3"/>
    <w:rsid w:val="00CF6CD6"/>
    <w:rsid w:val="00D027FB"/>
    <w:rsid w:val="00D05ED5"/>
    <w:rsid w:val="00D07C12"/>
    <w:rsid w:val="00D1214D"/>
    <w:rsid w:val="00D13FE2"/>
    <w:rsid w:val="00D157CB"/>
    <w:rsid w:val="00D15CF8"/>
    <w:rsid w:val="00D202CA"/>
    <w:rsid w:val="00D25CE9"/>
    <w:rsid w:val="00D27226"/>
    <w:rsid w:val="00D30814"/>
    <w:rsid w:val="00D3333E"/>
    <w:rsid w:val="00D345FE"/>
    <w:rsid w:val="00D42188"/>
    <w:rsid w:val="00D45CD3"/>
    <w:rsid w:val="00D50452"/>
    <w:rsid w:val="00D51D12"/>
    <w:rsid w:val="00D5329D"/>
    <w:rsid w:val="00D53371"/>
    <w:rsid w:val="00D5339C"/>
    <w:rsid w:val="00D533AE"/>
    <w:rsid w:val="00D53C5A"/>
    <w:rsid w:val="00D55632"/>
    <w:rsid w:val="00D60AB3"/>
    <w:rsid w:val="00D617DE"/>
    <w:rsid w:val="00D61A04"/>
    <w:rsid w:val="00D63C05"/>
    <w:rsid w:val="00D63D05"/>
    <w:rsid w:val="00D65DD0"/>
    <w:rsid w:val="00D66F96"/>
    <w:rsid w:val="00D67839"/>
    <w:rsid w:val="00D72614"/>
    <w:rsid w:val="00D750FB"/>
    <w:rsid w:val="00D752DB"/>
    <w:rsid w:val="00D7584C"/>
    <w:rsid w:val="00D84E12"/>
    <w:rsid w:val="00D85682"/>
    <w:rsid w:val="00D9062A"/>
    <w:rsid w:val="00D90752"/>
    <w:rsid w:val="00D918CD"/>
    <w:rsid w:val="00D91CFD"/>
    <w:rsid w:val="00D93300"/>
    <w:rsid w:val="00D939F1"/>
    <w:rsid w:val="00DA2C72"/>
    <w:rsid w:val="00DA493B"/>
    <w:rsid w:val="00DA6487"/>
    <w:rsid w:val="00DB3E59"/>
    <w:rsid w:val="00DC2E5D"/>
    <w:rsid w:val="00DC4F62"/>
    <w:rsid w:val="00DD2B67"/>
    <w:rsid w:val="00DD3246"/>
    <w:rsid w:val="00DD39CA"/>
    <w:rsid w:val="00DD7E0E"/>
    <w:rsid w:val="00DE0206"/>
    <w:rsid w:val="00DE1280"/>
    <w:rsid w:val="00DE3DC0"/>
    <w:rsid w:val="00DE64CA"/>
    <w:rsid w:val="00DE6B37"/>
    <w:rsid w:val="00DF05C7"/>
    <w:rsid w:val="00DF0CD0"/>
    <w:rsid w:val="00DF29F0"/>
    <w:rsid w:val="00DF6C51"/>
    <w:rsid w:val="00DF7D1E"/>
    <w:rsid w:val="00E01EA7"/>
    <w:rsid w:val="00E03590"/>
    <w:rsid w:val="00E03A63"/>
    <w:rsid w:val="00E03C24"/>
    <w:rsid w:val="00E03C5A"/>
    <w:rsid w:val="00E04583"/>
    <w:rsid w:val="00E04FFF"/>
    <w:rsid w:val="00E05092"/>
    <w:rsid w:val="00E10D44"/>
    <w:rsid w:val="00E152AE"/>
    <w:rsid w:val="00E237EC"/>
    <w:rsid w:val="00E308FA"/>
    <w:rsid w:val="00E31152"/>
    <w:rsid w:val="00E32DE3"/>
    <w:rsid w:val="00E33324"/>
    <w:rsid w:val="00E333E5"/>
    <w:rsid w:val="00E3480B"/>
    <w:rsid w:val="00E372CF"/>
    <w:rsid w:val="00E375E3"/>
    <w:rsid w:val="00E37DCB"/>
    <w:rsid w:val="00E4175C"/>
    <w:rsid w:val="00E45325"/>
    <w:rsid w:val="00E45DA1"/>
    <w:rsid w:val="00E47626"/>
    <w:rsid w:val="00E514FB"/>
    <w:rsid w:val="00E55E48"/>
    <w:rsid w:val="00E637BE"/>
    <w:rsid w:val="00E71AF8"/>
    <w:rsid w:val="00E72BD5"/>
    <w:rsid w:val="00E75DFB"/>
    <w:rsid w:val="00E777C4"/>
    <w:rsid w:val="00E80176"/>
    <w:rsid w:val="00E84EAB"/>
    <w:rsid w:val="00E853BA"/>
    <w:rsid w:val="00E91410"/>
    <w:rsid w:val="00E9366C"/>
    <w:rsid w:val="00E94D19"/>
    <w:rsid w:val="00E97F52"/>
    <w:rsid w:val="00EA119A"/>
    <w:rsid w:val="00EA20BF"/>
    <w:rsid w:val="00EA27F7"/>
    <w:rsid w:val="00EA4625"/>
    <w:rsid w:val="00EA5455"/>
    <w:rsid w:val="00EA7572"/>
    <w:rsid w:val="00EB0C6F"/>
    <w:rsid w:val="00EB6430"/>
    <w:rsid w:val="00EC07CC"/>
    <w:rsid w:val="00EC2150"/>
    <w:rsid w:val="00EC46E7"/>
    <w:rsid w:val="00EC5642"/>
    <w:rsid w:val="00EC5A2C"/>
    <w:rsid w:val="00ED0482"/>
    <w:rsid w:val="00ED18A2"/>
    <w:rsid w:val="00ED485B"/>
    <w:rsid w:val="00ED57DF"/>
    <w:rsid w:val="00ED7809"/>
    <w:rsid w:val="00EE0AC5"/>
    <w:rsid w:val="00EE25CC"/>
    <w:rsid w:val="00EE60F9"/>
    <w:rsid w:val="00EF09DE"/>
    <w:rsid w:val="00EF0A0A"/>
    <w:rsid w:val="00EF0BCA"/>
    <w:rsid w:val="00EF2A50"/>
    <w:rsid w:val="00EF45C8"/>
    <w:rsid w:val="00EF4626"/>
    <w:rsid w:val="00EF4DE4"/>
    <w:rsid w:val="00F0086E"/>
    <w:rsid w:val="00F04142"/>
    <w:rsid w:val="00F04A55"/>
    <w:rsid w:val="00F04E1D"/>
    <w:rsid w:val="00F077E6"/>
    <w:rsid w:val="00F078FF"/>
    <w:rsid w:val="00F07AB9"/>
    <w:rsid w:val="00F1282F"/>
    <w:rsid w:val="00F150FA"/>
    <w:rsid w:val="00F1558B"/>
    <w:rsid w:val="00F16D75"/>
    <w:rsid w:val="00F17994"/>
    <w:rsid w:val="00F17C90"/>
    <w:rsid w:val="00F22F6C"/>
    <w:rsid w:val="00F25977"/>
    <w:rsid w:val="00F25ABA"/>
    <w:rsid w:val="00F314D3"/>
    <w:rsid w:val="00F3531B"/>
    <w:rsid w:val="00F35979"/>
    <w:rsid w:val="00F36A89"/>
    <w:rsid w:val="00F36D33"/>
    <w:rsid w:val="00F42527"/>
    <w:rsid w:val="00F432F3"/>
    <w:rsid w:val="00F4401C"/>
    <w:rsid w:val="00F45D33"/>
    <w:rsid w:val="00F500FD"/>
    <w:rsid w:val="00F55195"/>
    <w:rsid w:val="00F5669A"/>
    <w:rsid w:val="00F575DF"/>
    <w:rsid w:val="00F60669"/>
    <w:rsid w:val="00F606CA"/>
    <w:rsid w:val="00F621FE"/>
    <w:rsid w:val="00F6237A"/>
    <w:rsid w:val="00F64BD6"/>
    <w:rsid w:val="00F6575A"/>
    <w:rsid w:val="00F717BA"/>
    <w:rsid w:val="00F72EFA"/>
    <w:rsid w:val="00F735EF"/>
    <w:rsid w:val="00F76144"/>
    <w:rsid w:val="00F82E9D"/>
    <w:rsid w:val="00F873F6"/>
    <w:rsid w:val="00F87886"/>
    <w:rsid w:val="00F902AD"/>
    <w:rsid w:val="00F93A85"/>
    <w:rsid w:val="00F97EFE"/>
    <w:rsid w:val="00F97FF9"/>
    <w:rsid w:val="00FA3C02"/>
    <w:rsid w:val="00FA4B31"/>
    <w:rsid w:val="00FB009F"/>
    <w:rsid w:val="00FB2A50"/>
    <w:rsid w:val="00FB4937"/>
    <w:rsid w:val="00FB551B"/>
    <w:rsid w:val="00FB71C3"/>
    <w:rsid w:val="00FB7E1F"/>
    <w:rsid w:val="00FC0E44"/>
    <w:rsid w:val="00FC35C7"/>
    <w:rsid w:val="00FC436E"/>
    <w:rsid w:val="00FC4468"/>
    <w:rsid w:val="00FC4A26"/>
    <w:rsid w:val="00FC6B83"/>
    <w:rsid w:val="00FD0BC8"/>
    <w:rsid w:val="00FD133B"/>
    <w:rsid w:val="00FD135D"/>
    <w:rsid w:val="00FD66D7"/>
    <w:rsid w:val="00FD7109"/>
    <w:rsid w:val="00FE0F5D"/>
    <w:rsid w:val="00FE158A"/>
    <w:rsid w:val="00FE32E2"/>
    <w:rsid w:val="00FE5ADC"/>
    <w:rsid w:val="00FF4217"/>
    <w:rsid w:val="00FF63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3FD3"/>
  <w15:chartTrackingRefBased/>
  <w15:docId w15:val="{0303F5D3-4053-44A3-93F5-521FF10F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96"/>
  </w:style>
  <w:style w:type="paragraph" w:styleId="Heading2">
    <w:name w:val="heading 2"/>
    <w:basedOn w:val="Normal"/>
    <w:next w:val="Normal"/>
    <w:link w:val="Heading2Char"/>
    <w:uiPriority w:val="9"/>
    <w:semiHidden/>
    <w:unhideWhenUsed/>
    <w:qFormat/>
    <w:rsid w:val="009D6F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96"/>
  </w:style>
  <w:style w:type="paragraph" w:styleId="FootnoteText">
    <w:name w:val="footnote text"/>
    <w:basedOn w:val="Normal"/>
    <w:link w:val="FootnoteTextChar"/>
    <w:uiPriority w:val="99"/>
    <w:semiHidden/>
    <w:unhideWhenUsed/>
    <w:rsid w:val="00012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E96"/>
    <w:rPr>
      <w:sz w:val="20"/>
      <w:szCs w:val="20"/>
    </w:rPr>
  </w:style>
  <w:style w:type="character" w:styleId="FootnoteReference">
    <w:name w:val="footnote reference"/>
    <w:basedOn w:val="DefaultParagraphFont"/>
    <w:uiPriority w:val="99"/>
    <w:semiHidden/>
    <w:unhideWhenUsed/>
    <w:rsid w:val="00012E96"/>
    <w:rPr>
      <w:vertAlign w:val="superscript"/>
    </w:rPr>
  </w:style>
  <w:style w:type="paragraph" w:styleId="ListParagraph">
    <w:name w:val="List Paragraph"/>
    <w:basedOn w:val="Normal"/>
    <w:uiPriority w:val="34"/>
    <w:qFormat/>
    <w:rsid w:val="00012E96"/>
    <w:pPr>
      <w:spacing w:after="0" w:line="240" w:lineRule="auto"/>
      <w:ind w:left="720"/>
      <w:contextualSpacing/>
    </w:pPr>
    <w:rPr>
      <w:sz w:val="24"/>
      <w:szCs w:val="24"/>
    </w:rPr>
  </w:style>
  <w:style w:type="paragraph" w:styleId="Footer">
    <w:name w:val="footer"/>
    <w:basedOn w:val="Normal"/>
    <w:link w:val="FooterChar"/>
    <w:uiPriority w:val="99"/>
    <w:unhideWhenUsed/>
    <w:rsid w:val="008F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0B"/>
  </w:style>
  <w:style w:type="character" w:styleId="CommentReference">
    <w:name w:val="annotation reference"/>
    <w:basedOn w:val="DefaultParagraphFont"/>
    <w:uiPriority w:val="99"/>
    <w:semiHidden/>
    <w:unhideWhenUsed/>
    <w:rsid w:val="00CC1AB7"/>
    <w:rPr>
      <w:sz w:val="16"/>
      <w:szCs w:val="16"/>
    </w:rPr>
  </w:style>
  <w:style w:type="paragraph" w:styleId="CommentText">
    <w:name w:val="annotation text"/>
    <w:basedOn w:val="Normal"/>
    <w:link w:val="CommentTextChar"/>
    <w:uiPriority w:val="99"/>
    <w:semiHidden/>
    <w:unhideWhenUsed/>
    <w:rsid w:val="00CC1AB7"/>
    <w:pPr>
      <w:spacing w:line="240" w:lineRule="auto"/>
    </w:pPr>
    <w:rPr>
      <w:sz w:val="20"/>
      <w:szCs w:val="20"/>
    </w:rPr>
  </w:style>
  <w:style w:type="character" w:customStyle="1" w:styleId="CommentTextChar">
    <w:name w:val="Comment Text Char"/>
    <w:basedOn w:val="DefaultParagraphFont"/>
    <w:link w:val="CommentText"/>
    <w:uiPriority w:val="99"/>
    <w:semiHidden/>
    <w:rsid w:val="00CC1AB7"/>
    <w:rPr>
      <w:sz w:val="20"/>
      <w:szCs w:val="20"/>
    </w:rPr>
  </w:style>
  <w:style w:type="paragraph" w:styleId="CommentSubject">
    <w:name w:val="annotation subject"/>
    <w:basedOn w:val="CommentText"/>
    <w:next w:val="CommentText"/>
    <w:link w:val="CommentSubjectChar"/>
    <w:uiPriority w:val="99"/>
    <w:semiHidden/>
    <w:unhideWhenUsed/>
    <w:rsid w:val="00CC1AB7"/>
    <w:rPr>
      <w:b/>
      <w:bCs/>
    </w:rPr>
  </w:style>
  <w:style w:type="character" w:customStyle="1" w:styleId="CommentSubjectChar">
    <w:name w:val="Comment Subject Char"/>
    <w:basedOn w:val="CommentTextChar"/>
    <w:link w:val="CommentSubject"/>
    <w:uiPriority w:val="99"/>
    <w:semiHidden/>
    <w:rsid w:val="00CC1AB7"/>
    <w:rPr>
      <w:b/>
      <w:bCs/>
      <w:sz w:val="20"/>
      <w:szCs w:val="20"/>
    </w:rPr>
  </w:style>
  <w:style w:type="paragraph" w:styleId="BalloonText">
    <w:name w:val="Balloon Text"/>
    <w:basedOn w:val="Normal"/>
    <w:link w:val="BalloonTextChar"/>
    <w:uiPriority w:val="99"/>
    <w:semiHidden/>
    <w:unhideWhenUsed/>
    <w:rsid w:val="00CC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B7"/>
    <w:rPr>
      <w:rFonts w:ascii="Segoe UI" w:hAnsi="Segoe UI" w:cs="Segoe UI"/>
      <w:sz w:val="18"/>
      <w:szCs w:val="18"/>
    </w:rPr>
  </w:style>
  <w:style w:type="paragraph" w:styleId="NormalWeb">
    <w:name w:val="Normal (Web)"/>
    <w:basedOn w:val="Normal"/>
    <w:uiPriority w:val="99"/>
    <w:unhideWhenUsed/>
    <w:rsid w:val="00C6637A"/>
    <w:rPr>
      <w:rFonts w:ascii="Times New Roman" w:hAnsi="Times New Roman" w:cs="Times New Roman"/>
      <w:sz w:val="24"/>
      <w:szCs w:val="24"/>
    </w:rPr>
  </w:style>
  <w:style w:type="character" w:styleId="Hyperlink">
    <w:name w:val="Hyperlink"/>
    <w:basedOn w:val="DefaultParagraphFont"/>
    <w:uiPriority w:val="99"/>
    <w:unhideWhenUsed/>
    <w:rsid w:val="008D77EC"/>
    <w:rPr>
      <w:color w:val="0563C1" w:themeColor="hyperlink"/>
      <w:u w:val="single"/>
    </w:rPr>
  </w:style>
  <w:style w:type="character" w:customStyle="1" w:styleId="UnresolvedMention1">
    <w:name w:val="Unresolved Mention1"/>
    <w:basedOn w:val="DefaultParagraphFont"/>
    <w:uiPriority w:val="99"/>
    <w:semiHidden/>
    <w:unhideWhenUsed/>
    <w:rsid w:val="00AC37B1"/>
    <w:rPr>
      <w:color w:val="605E5C"/>
      <w:shd w:val="clear" w:color="auto" w:fill="E1DFDD"/>
    </w:rPr>
  </w:style>
  <w:style w:type="character" w:customStyle="1" w:styleId="Heading2Char">
    <w:name w:val="Heading 2 Char"/>
    <w:basedOn w:val="DefaultParagraphFont"/>
    <w:link w:val="Heading2"/>
    <w:uiPriority w:val="9"/>
    <w:semiHidden/>
    <w:rsid w:val="009D6F97"/>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A25899"/>
    <w:rPr>
      <w:color w:val="605E5C"/>
      <w:shd w:val="clear" w:color="auto" w:fill="E1DFDD"/>
    </w:rPr>
  </w:style>
  <w:style w:type="character" w:styleId="FollowedHyperlink">
    <w:name w:val="FollowedHyperlink"/>
    <w:basedOn w:val="DefaultParagraphFont"/>
    <w:uiPriority w:val="99"/>
    <w:semiHidden/>
    <w:unhideWhenUsed/>
    <w:rsid w:val="00684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24">
      <w:bodyDiv w:val="1"/>
      <w:marLeft w:val="0"/>
      <w:marRight w:val="0"/>
      <w:marTop w:val="0"/>
      <w:marBottom w:val="0"/>
      <w:divBdr>
        <w:top w:val="none" w:sz="0" w:space="0" w:color="auto"/>
        <w:left w:val="none" w:sz="0" w:space="0" w:color="auto"/>
        <w:bottom w:val="none" w:sz="0" w:space="0" w:color="auto"/>
        <w:right w:val="none" w:sz="0" w:space="0" w:color="auto"/>
      </w:divBdr>
    </w:div>
    <w:div w:id="226845032">
      <w:bodyDiv w:val="1"/>
      <w:marLeft w:val="0"/>
      <w:marRight w:val="0"/>
      <w:marTop w:val="0"/>
      <w:marBottom w:val="0"/>
      <w:divBdr>
        <w:top w:val="none" w:sz="0" w:space="0" w:color="auto"/>
        <w:left w:val="none" w:sz="0" w:space="0" w:color="auto"/>
        <w:bottom w:val="none" w:sz="0" w:space="0" w:color="auto"/>
        <w:right w:val="none" w:sz="0" w:space="0" w:color="auto"/>
      </w:divBdr>
    </w:div>
    <w:div w:id="699941163">
      <w:bodyDiv w:val="1"/>
      <w:marLeft w:val="0"/>
      <w:marRight w:val="0"/>
      <w:marTop w:val="0"/>
      <w:marBottom w:val="0"/>
      <w:divBdr>
        <w:top w:val="none" w:sz="0" w:space="0" w:color="auto"/>
        <w:left w:val="none" w:sz="0" w:space="0" w:color="auto"/>
        <w:bottom w:val="none" w:sz="0" w:space="0" w:color="auto"/>
        <w:right w:val="none" w:sz="0" w:space="0" w:color="auto"/>
      </w:divBdr>
    </w:div>
    <w:div w:id="764498152">
      <w:bodyDiv w:val="1"/>
      <w:marLeft w:val="0"/>
      <w:marRight w:val="0"/>
      <w:marTop w:val="0"/>
      <w:marBottom w:val="0"/>
      <w:divBdr>
        <w:top w:val="none" w:sz="0" w:space="0" w:color="auto"/>
        <w:left w:val="none" w:sz="0" w:space="0" w:color="auto"/>
        <w:bottom w:val="none" w:sz="0" w:space="0" w:color="auto"/>
        <w:right w:val="none" w:sz="0" w:space="0" w:color="auto"/>
      </w:divBdr>
    </w:div>
    <w:div w:id="817958442">
      <w:bodyDiv w:val="1"/>
      <w:marLeft w:val="0"/>
      <w:marRight w:val="0"/>
      <w:marTop w:val="0"/>
      <w:marBottom w:val="0"/>
      <w:divBdr>
        <w:top w:val="none" w:sz="0" w:space="0" w:color="auto"/>
        <w:left w:val="none" w:sz="0" w:space="0" w:color="auto"/>
        <w:bottom w:val="none" w:sz="0" w:space="0" w:color="auto"/>
        <w:right w:val="none" w:sz="0" w:space="0" w:color="auto"/>
      </w:divBdr>
    </w:div>
    <w:div w:id="913667887">
      <w:bodyDiv w:val="1"/>
      <w:marLeft w:val="0"/>
      <w:marRight w:val="0"/>
      <w:marTop w:val="0"/>
      <w:marBottom w:val="0"/>
      <w:divBdr>
        <w:top w:val="none" w:sz="0" w:space="0" w:color="auto"/>
        <w:left w:val="none" w:sz="0" w:space="0" w:color="auto"/>
        <w:bottom w:val="none" w:sz="0" w:space="0" w:color="auto"/>
        <w:right w:val="none" w:sz="0" w:space="0" w:color="auto"/>
      </w:divBdr>
    </w:div>
    <w:div w:id="934554084">
      <w:bodyDiv w:val="1"/>
      <w:marLeft w:val="0"/>
      <w:marRight w:val="0"/>
      <w:marTop w:val="0"/>
      <w:marBottom w:val="0"/>
      <w:divBdr>
        <w:top w:val="none" w:sz="0" w:space="0" w:color="auto"/>
        <w:left w:val="none" w:sz="0" w:space="0" w:color="auto"/>
        <w:bottom w:val="none" w:sz="0" w:space="0" w:color="auto"/>
        <w:right w:val="none" w:sz="0" w:space="0" w:color="auto"/>
      </w:divBdr>
    </w:div>
    <w:div w:id="1139766306">
      <w:bodyDiv w:val="1"/>
      <w:marLeft w:val="0"/>
      <w:marRight w:val="0"/>
      <w:marTop w:val="0"/>
      <w:marBottom w:val="0"/>
      <w:divBdr>
        <w:top w:val="none" w:sz="0" w:space="0" w:color="auto"/>
        <w:left w:val="none" w:sz="0" w:space="0" w:color="auto"/>
        <w:bottom w:val="none" w:sz="0" w:space="0" w:color="auto"/>
        <w:right w:val="none" w:sz="0" w:space="0" w:color="auto"/>
      </w:divBdr>
    </w:div>
    <w:div w:id="1297024931">
      <w:bodyDiv w:val="1"/>
      <w:marLeft w:val="0"/>
      <w:marRight w:val="0"/>
      <w:marTop w:val="0"/>
      <w:marBottom w:val="0"/>
      <w:divBdr>
        <w:top w:val="none" w:sz="0" w:space="0" w:color="auto"/>
        <w:left w:val="none" w:sz="0" w:space="0" w:color="auto"/>
        <w:bottom w:val="none" w:sz="0" w:space="0" w:color="auto"/>
        <w:right w:val="none" w:sz="0" w:space="0" w:color="auto"/>
      </w:divBdr>
    </w:div>
    <w:div w:id="1300721804">
      <w:bodyDiv w:val="1"/>
      <w:marLeft w:val="0"/>
      <w:marRight w:val="0"/>
      <w:marTop w:val="0"/>
      <w:marBottom w:val="0"/>
      <w:divBdr>
        <w:top w:val="none" w:sz="0" w:space="0" w:color="auto"/>
        <w:left w:val="none" w:sz="0" w:space="0" w:color="auto"/>
        <w:bottom w:val="none" w:sz="0" w:space="0" w:color="auto"/>
        <w:right w:val="none" w:sz="0" w:space="0" w:color="auto"/>
      </w:divBdr>
    </w:div>
    <w:div w:id="1611163863">
      <w:bodyDiv w:val="1"/>
      <w:marLeft w:val="0"/>
      <w:marRight w:val="0"/>
      <w:marTop w:val="0"/>
      <w:marBottom w:val="0"/>
      <w:divBdr>
        <w:top w:val="none" w:sz="0" w:space="0" w:color="auto"/>
        <w:left w:val="none" w:sz="0" w:space="0" w:color="auto"/>
        <w:bottom w:val="none" w:sz="0" w:space="0" w:color="auto"/>
        <w:right w:val="none" w:sz="0" w:space="0" w:color="auto"/>
      </w:divBdr>
    </w:div>
    <w:div w:id="1683438070">
      <w:bodyDiv w:val="1"/>
      <w:marLeft w:val="0"/>
      <w:marRight w:val="0"/>
      <w:marTop w:val="0"/>
      <w:marBottom w:val="0"/>
      <w:divBdr>
        <w:top w:val="none" w:sz="0" w:space="0" w:color="auto"/>
        <w:left w:val="none" w:sz="0" w:space="0" w:color="auto"/>
        <w:bottom w:val="none" w:sz="0" w:space="0" w:color="auto"/>
        <w:right w:val="none" w:sz="0" w:space="0" w:color="auto"/>
      </w:divBdr>
    </w:div>
    <w:div w:id="1813131797">
      <w:bodyDiv w:val="1"/>
      <w:marLeft w:val="0"/>
      <w:marRight w:val="0"/>
      <w:marTop w:val="0"/>
      <w:marBottom w:val="0"/>
      <w:divBdr>
        <w:top w:val="none" w:sz="0" w:space="0" w:color="auto"/>
        <w:left w:val="none" w:sz="0" w:space="0" w:color="auto"/>
        <w:bottom w:val="none" w:sz="0" w:space="0" w:color="auto"/>
        <w:right w:val="none" w:sz="0" w:space="0" w:color="auto"/>
      </w:divBdr>
    </w:div>
    <w:div w:id="1862206977">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76699488">
      <w:bodyDiv w:val="1"/>
      <w:marLeft w:val="0"/>
      <w:marRight w:val="0"/>
      <w:marTop w:val="0"/>
      <w:marBottom w:val="0"/>
      <w:divBdr>
        <w:top w:val="none" w:sz="0" w:space="0" w:color="auto"/>
        <w:left w:val="none" w:sz="0" w:space="0" w:color="auto"/>
        <w:bottom w:val="none" w:sz="0" w:space="0" w:color="auto"/>
        <w:right w:val="none" w:sz="0" w:space="0" w:color="auto"/>
      </w:divBdr>
    </w:div>
    <w:div w:id="1905483964">
      <w:bodyDiv w:val="1"/>
      <w:marLeft w:val="0"/>
      <w:marRight w:val="0"/>
      <w:marTop w:val="0"/>
      <w:marBottom w:val="0"/>
      <w:divBdr>
        <w:top w:val="none" w:sz="0" w:space="0" w:color="auto"/>
        <w:left w:val="none" w:sz="0" w:space="0" w:color="auto"/>
        <w:bottom w:val="none" w:sz="0" w:space="0" w:color="auto"/>
        <w:right w:val="none" w:sz="0" w:space="0" w:color="auto"/>
      </w:divBdr>
    </w:div>
    <w:div w:id="20303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a2008107/index.html" TargetMode="External"/><Relationship Id="rId5" Type="http://schemas.openxmlformats.org/officeDocument/2006/relationships/webSettings" Target="webSettings.xml"/><Relationship Id="rId10" Type="http://schemas.openxmlformats.org/officeDocument/2006/relationships/hyperlink" Target="https://www.saflii.org/cgi-bin/LawCite?cit=2005%20%286%29%20SA%20158"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asetext.com/case/united-states-v-sargent-elec-co" TargetMode="External"/><Relationship Id="rId2" Type="http://schemas.openxmlformats.org/officeDocument/2006/relationships/hyperlink" Target="http://www.saflii.org/cgi-bin/LawCite?cit=%5b2014%5d%202%20CPLR%20339" TargetMode="External"/><Relationship Id="rId1" Type="http://schemas.openxmlformats.org/officeDocument/2006/relationships/hyperlink" Target="https://www.saflii.org/cgi-bin/LawCite?cit=2005%20%286%29%20SA%20158" TargetMode="External"/><Relationship Id="rId4" Type="http://schemas.openxmlformats.org/officeDocument/2006/relationships/hyperlink" Target="http://www.saflii.org/cgi-bin/LawCite?cit=%5b2018%5d%20ZACAC%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5006D9-5D67-BE4C-9FEA-E275310DE6D1}">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0EE5-F48E-4550-B2D6-15AFBB77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HOME</cp:lastModifiedBy>
  <cp:revision>2</cp:revision>
  <dcterms:created xsi:type="dcterms:W3CDTF">2022-07-10T09:36:00Z</dcterms:created>
  <dcterms:modified xsi:type="dcterms:W3CDTF">2022-07-10T09:36:00Z</dcterms:modified>
</cp:coreProperties>
</file>