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96AC5" w14:textId="77777777" w:rsidR="00745A38" w:rsidRDefault="00745A38" w:rsidP="00C307F7">
      <w:pPr>
        <w:pStyle w:val="BODYNON-NUMBERED"/>
        <w:jc w:val="center"/>
      </w:pPr>
      <w:bookmarkStart w:id="0" w:name="_Toc508706455"/>
      <w:r w:rsidRPr="0003374F">
        <w:rPr>
          <w:noProof/>
          <w:lang w:eastAsia="en-ZA"/>
        </w:rPr>
        <w:drawing>
          <wp:inline distT="0" distB="0" distL="0" distR="0" wp14:anchorId="070922D3" wp14:editId="0489A085">
            <wp:extent cx="849732" cy="876300"/>
            <wp:effectExtent l="19050" t="0" r="7518"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732" cy="876300"/>
                    </a:xfrm>
                    <a:prstGeom prst="rect">
                      <a:avLst/>
                    </a:prstGeom>
                    <a:noFill/>
                    <a:ln w="9525">
                      <a:noFill/>
                      <a:miter lim="800000"/>
                      <a:headEnd/>
                      <a:tailEnd/>
                    </a:ln>
                  </pic:spPr>
                </pic:pic>
              </a:graphicData>
            </a:graphic>
          </wp:inline>
        </w:drawing>
      </w:r>
    </w:p>
    <w:p w14:paraId="4BC1C1DC" w14:textId="77777777" w:rsidR="00745A38" w:rsidRDefault="00745A38" w:rsidP="00745A38">
      <w:pPr>
        <w:spacing w:line="240" w:lineRule="auto"/>
        <w:jc w:val="center"/>
        <w:outlineLvl w:val="0"/>
      </w:pPr>
    </w:p>
    <w:p w14:paraId="6336FAE6" w14:textId="77777777" w:rsidR="00745A38" w:rsidRPr="00271C49" w:rsidRDefault="00745A38" w:rsidP="00745A38">
      <w:pPr>
        <w:spacing w:line="240" w:lineRule="auto"/>
        <w:jc w:val="center"/>
        <w:outlineLvl w:val="0"/>
        <w:rPr>
          <w:b/>
        </w:rPr>
      </w:pPr>
      <w:r w:rsidRPr="00271C49">
        <w:rPr>
          <w:b/>
        </w:rPr>
        <w:t>CONSTITUTIONAL COURT OF SOUTH AFRICA</w:t>
      </w:r>
    </w:p>
    <w:p w14:paraId="4F442B8F" w14:textId="77777777" w:rsidR="00745A38" w:rsidRDefault="00745A38" w:rsidP="00745A38">
      <w:pPr>
        <w:spacing w:line="240" w:lineRule="auto"/>
      </w:pPr>
    </w:p>
    <w:p w14:paraId="0547FD45" w14:textId="77777777" w:rsidR="00745A38" w:rsidRPr="009C3888" w:rsidRDefault="00745A38" w:rsidP="00745A38">
      <w:pPr>
        <w:spacing w:line="240" w:lineRule="auto"/>
      </w:pPr>
    </w:p>
    <w:p w14:paraId="35CBFE42" w14:textId="77777777" w:rsidR="00745A38" w:rsidRPr="00961263" w:rsidRDefault="00745A38" w:rsidP="00745A38">
      <w:pPr>
        <w:tabs>
          <w:tab w:val="right" w:pos="9029"/>
        </w:tabs>
        <w:spacing w:line="240" w:lineRule="auto"/>
      </w:pPr>
      <w:r w:rsidRPr="00961263">
        <w:tab/>
        <w:t xml:space="preserve">Case CCT </w:t>
      </w:r>
      <w:r w:rsidR="00705439">
        <w:t>165</w:t>
      </w:r>
      <w:r w:rsidRPr="00961263">
        <w:t>/</w:t>
      </w:r>
      <w:r w:rsidR="005163E4">
        <w:t>1</w:t>
      </w:r>
      <w:r w:rsidR="00F43A91">
        <w:t>7</w:t>
      </w:r>
    </w:p>
    <w:p w14:paraId="6DE5FAAC" w14:textId="77777777" w:rsidR="00745A38" w:rsidRDefault="00745A38" w:rsidP="00745A38">
      <w:pPr>
        <w:tabs>
          <w:tab w:val="left" w:pos="8998"/>
        </w:tabs>
        <w:spacing w:line="240" w:lineRule="auto"/>
      </w:pPr>
    </w:p>
    <w:p w14:paraId="2ACE8A61" w14:textId="77777777" w:rsidR="00745A38" w:rsidRPr="00E6071A" w:rsidRDefault="00745A38" w:rsidP="00745A38">
      <w:pPr>
        <w:tabs>
          <w:tab w:val="left" w:pos="8998"/>
        </w:tabs>
        <w:spacing w:line="240" w:lineRule="auto"/>
      </w:pPr>
      <w:r w:rsidRPr="00E6071A">
        <w:t>In the matter between:</w:t>
      </w:r>
    </w:p>
    <w:p w14:paraId="509F624F" w14:textId="77777777" w:rsidR="00745A38" w:rsidRDefault="00745A38" w:rsidP="00745A38">
      <w:pPr>
        <w:tabs>
          <w:tab w:val="left" w:pos="8998"/>
        </w:tabs>
        <w:spacing w:line="240" w:lineRule="auto"/>
      </w:pPr>
    </w:p>
    <w:p w14:paraId="0D8B5DF3" w14:textId="77777777" w:rsidR="00745A38" w:rsidRPr="009C3888" w:rsidRDefault="00745A38" w:rsidP="00745A38">
      <w:pPr>
        <w:tabs>
          <w:tab w:val="left" w:pos="8998"/>
        </w:tabs>
        <w:spacing w:line="240" w:lineRule="auto"/>
      </w:pPr>
    </w:p>
    <w:p w14:paraId="369FE04F" w14:textId="77777777" w:rsidR="00745A38" w:rsidRPr="00EE02D5" w:rsidRDefault="005163E4" w:rsidP="00745A38">
      <w:pPr>
        <w:tabs>
          <w:tab w:val="right" w:pos="9029"/>
        </w:tabs>
        <w:spacing w:line="240" w:lineRule="auto"/>
        <w:rPr>
          <w:szCs w:val="26"/>
        </w:rPr>
      </w:pPr>
      <w:r w:rsidRPr="00167113">
        <w:rPr>
          <w:b/>
          <w:szCs w:val="26"/>
        </w:rPr>
        <w:t>ROSEMARY THÉRÉSÉ HUNTER</w:t>
      </w:r>
      <w:r w:rsidR="00745A38" w:rsidRPr="00EE02D5">
        <w:rPr>
          <w:szCs w:val="26"/>
        </w:rPr>
        <w:tab/>
        <w:t>Applicant</w:t>
      </w:r>
    </w:p>
    <w:p w14:paraId="2E6D16E9" w14:textId="77777777" w:rsidR="00745A38" w:rsidRPr="00EE02D5" w:rsidRDefault="00745A38" w:rsidP="00745A38">
      <w:pPr>
        <w:spacing w:line="240" w:lineRule="auto"/>
        <w:rPr>
          <w:szCs w:val="26"/>
        </w:rPr>
      </w:pPr>
    </w:p>
    <w:p w14:paraId="2A14A4D0" w14:textId="77777777" w:rsidR="00745A38" w:rsidRPr="005163E4" w:rsidRDefault="00745A38" w:rsidP="00745A38">
      <w:pPr>
        <w:spacing w:line="240" w:lineRule="auto"/>
        <w:rPr>
          <w:szCs w:val="26"/>
        </w:rPr>
      </w:pPr>
      <w:r w:rsidRPr="005163E4">
        <w:rPr>
          <w:szCs w:val="26"/>
        </w:rPr>
        <w:t>and</w:t>
      </w:r>
    </w:p>
    <w:p w14:paraId="750393EE" w14:textId="77777777" w:rsidR="00745A38" w:rsidRPr="005163E4" w:rsidRDefault="00745A38" w:rsidP="00745A38">
      <w:pPr>
        <w:spacing w:line="240" w:lineRule="auto"/>
        <w:rPr>
          <w:szCs w:val="26"/>
        </w:rPr>
      </w:pPr>
    </w:p>
    <w:p w14:paraId="254EFF88" w14:textId="5727B27F" w:rsidR="00FE673B" w:rsidRDefault="005163E4" w:rsidP="00745A38">
      <w:pPr>
        <w:tabs>
          <w:tab w:val="right" w:pos="9029"/>
        </w:tabs>
        <w:spacing w:line="240" w:lineRule="auto"/>
        <w:rPr>
          <w:rFonts w:eastAsia="Times New Roman"/>
          <w:b/>
          <w:szCs w:val="26"/>
        </w:rPr>
      </w:pPr>
      <w:r w:rsidRPr="005163E4">
        <w:rPr>
          <w:rFonts w:eastAsia="Times New Roman"/>
          <w:b/>
          <w:szCs w:val="26"/>
        </w:rPr>
        <w:t>FINANCIAL</w:t>
      </w:r>
      <w:r w:rsidR="00FE673B">
        <w:rPr>
          <w:rFonts w:eastAsia="Times New Roman"/>
          <w:b/>
          <w:szCs w:val="26"/>
        </w:rPr>
        <w:t xml:space="preserve"> SECTOR CONDUCT</w:t>
      </w:r>
    </w:p>
    <w:p w14:paraId="62ADD7CD" w14:textId="77777777" w:rsidR="00745A38" w:rsidRPr="005163E4" w:rsidRDefault="00FE673B" w:rsidP="00745A38">
      <w:pPr>
        <w:tabs>
          <w:tab w:val="right" w:pos="9029"/>
        </w:tabs>
        <w:spacing w:line="240" w:lineRule="auto"/>
        <w:rPr>
          <w:szCs w:val="26"/>
        </w:rPr>
      </w:pPr>
      <w:r>
        <w:rPr>
          <w:rFonts w:eastAsia="Times New Roman"/>
          <w:b/>
          <w:szCs w:val="26"/>
        </w:rPr>
        <w:t>AUTHORITY</w:t>
      </w:r>
      <w:r w:rsidR="00745A38" w:rsidRPr="005163E4">
        <w:rPr>
          <w:szCs w:val="26"/>
        </w:rPr>
        <w:tab/>
        <w:t>First Respondent</w:t>
      </w:r>
    </w:p>
    <w:p w14:paraId="423CB3AE" w14:textId="77777777" w:rsidR="00745A38" w:rsidRPr="005163E4" w:rsidRDefault="00745A38" w:rsidP="00745A38">
      <w:pPr>
        <w:tabs>
          <w:tab w:val="right" w:pos="9029"/>
        </w:tabs>
        <w:spacing w:line="240" w:lineRule="auto"/>
        <w:rPr>
          <w:szCs w:val="26"/>
        </w:rPr>
      </w:pPr>
    </w:p>
    <w:p w14:paraId="2DC5FCBE" w14:textId="77777777" w:rsidR="00745A38" w:rsidRPr="005163E4" w:rsidRDefault="005163E4" w:rsidP="00745A38">
      <w:pPr>
        <w:tabs>
          <w:tab w:val="right" w:pos="9029"/>
        </w:tabs>
        <w:spacing w:line="240" w:lineRule="auto"/>
        <w:rPr>
          <w:szCs w:val="26"/>
        </w:rPr>
      </w:pPr>
      <w:r w:rsidRPr="005163E4">
        <w:rPr>
          <w:b/>
          <w:szCs w:val="26"/>
        </w:rPr>
        <w:t>ABEL MOFFAT SITHOLE N.O.</w:t>
      </w:r>
      <w:r w:rsidR="00745A38" w:rsidRPr="005163E4">
        <w:rPr>
          <w:szCs w:val="26"/>
        </w:rPr>
        <w:tab/>
        <w:t>Second Respondent</w:t>
      </w:r>
    </w:p>
    <w:p w14:paraId="1F7DD965" w14:textId="77777777" w:rsidR="005163E4" w:rsidRPr="005163E4" w:rsidRDefault="005163E4" w:rsidP="00745A38">
      <w:pPr>
        <w:tabs>
          <w:tab w:val="right" w:pos="9029"/>
        </w:tabs>
        <w:spacing w:line="240" w:lineRule="auto"/>
        <w:rPr>
          <w:szCs w:val="26"/>
        </w:rPr>
      </w:pPr>
    </w:p>
    <w:p w14:paraId="3A09BF66" w14:textId="77777777" w:rsidR="005163E4" w:rsidRPr="005163E4" w:rsidRDefault="005163E4" w:rsidP="005163E4">
      <w:pPr>
        <w:tabs>
          <w:tab w:val="left" w:pos="7088"/>
        </w:tabs>
        <w:spacing w:line="240" w:lineRule="auto"/>
        <w:ind w:left="7230" w:hanging="7230"/>
        <w:jc w:val="left"/>
        <w:rPr>
          <w:szCs w:val="26"/>
        </w:rPr>
      </w:pPr>
      <w:r w:rsidRPr="005163E4">
        <w:rPr>
          <w:b/>
          <w:szCs w:val="26"/>
        </w:rPr>
        <w:t>DUBE PHINEAS TSHIDI N.O.</w:t>
      </w:r>
      <w:r w:rsidRPr="005163E4">
        <w:rPr>
          <w:szCs w:val="26"/>
        </w:rPr>
        <w:tab/>
        <w:t>Third Respondent</w:t>
      </w:r>
    </w:p>
    <w:p w14:paraId="23007F61" w14:textId="77777777" w:rsidR="005163E4" w:rsidRPr="005163E4" w:rsidRDefault="005163E4" w:rsidP="005163E4">
      <w:pPr>
        <w:tabs>
          <w:tab w:val="left" w:pos="7088"/>
        </w:tabs>
        <w:spacing w:line="240" w:lineRule="auto"/>
        <w:ind w:left="7230" w:hanging="7230"/>
        <w:jc w:val="left"/>
        <w:rPr>
          <w:szCs w:val="26"/>
        </w:rPr>
      </w:pPr>
    </w:p>
    <w:p w14:paraId="65235F1D" w14:textId="4FD5C404" w:rsidR="005163E4" w:rsidRPr="005163E4" w:rsidRDefault="005163E4" w:rsidP="00745A38">
      <w:pPr>
        <w:tabs>
          <w:tab w:val="right" w:pos="9029"/>
        </w:tabs>
        <w:spacing w:line="240" w:lineRule="auto"/>
        <w:rPr>
          <w:szCs w:val="26"/>
        </w:rPr>
      </w:pPr>
      <w:r w:rsidRPr="005163E4">
        <w:rPr>
          <w:b/>
          <w:szCs w:val="26"/>
        </w:rPr>
        <w:t>JURGEN ARNOLD BOYD N.O</w:t>
      </w:r>
      <w:r w:rsidR="00B46C6E">
        <w:rPr>
          <w:b/>
          <w:szCs w:val="26"/>
        </w:rPr>
        <w:t>.</w:t>
      </w:r>
      <w:r w:rsidRPr="005163E4">
        <w:rPr>
          <w:b/>
          <w:szCs w:val="26"/>
        </w:rPr>
        <w:tab/>
      </w:r>
      <w:r w:rsidRPr="005163E4">
        <w:rPr>
          <w:szCs w:val="26"/>
        </w:rPr>
        <w:t>Fourth Respondent</w:t>
      </w:r>
    </w:p>
    <w:p w14:paraId="1904C231" w14:textId="77777777" w:rsidR="005163E4" w:rsidRPr="005163E4" w:rsidRDefault="005163E4" w:rsidP="00745A38">
      <w:pPr>
        <w:tabs>
          <w:tab w:val="right" w:pos="9029"/>
        </w:tabs>
        <w:spacing w:line="240" w:lineRule="auto"/>
        <w:rPr>
          <w:b/>
          <w:szCs w:val="26"/>
        </w:rPr>
      </w:pPr>
    </w:p>
    <w:p w14:paraId="05220FC6" w14:textId="77777777" w:rsidR="00983022" w:rsidRDefault="005163E4" w:rsidP="00745A38">
      <w:pPr>
        <w:tabs>
          <w:tab w:val="right" w:pos="9029"/>
        </w:tabs>
        <w:spacing w:line="240" w:lineRule="auto"/>
        <w:rPr>
          <w:b/>
          <w:szCs w:val="26"/>
        </w:rPr>
      </w:pPr>
      <w:r w:rsidRPr="005163E4">
        <w:rPr>
          <w:b/>
          <w:szCs w:val="26"/>
        </w:rPr>
        <w:t xml:space="preserve">KNOWLEDGE MALUSI NKANYEZI </w:t>
      </w:r>
    </w:p>
    <w:p w14:paraId="669A7F6E" w14:textId="06C3C167" w:rsidR="005163E4" w:rsidRPr="005163E4" w:rsidRDefault="005163E4" w:rsidP="00745A38">
      <w:pPr>
        <w:tabs>
          <w:tab w:val="right" w:pos="9029"/>
        </w:tabs>
        <w:spacing w:line="240" w:lineRule="auto"/>
        <w:rPr>
          <w:szCs w:val="26"/>
        </w:rPr>
      </w:pPr>
      <w:r w:rsidRPr="005163E4">
        <w:rPr>
          <w:b/>
          <w:szCs w:val="26"/>
        </w:rPr>
        <w:t>GIGABA N.O.</w:t>
      </w:r>
      <w:r w:rsidRPr="005163E4">
        <w:rPr>
          <w:b/>
          <w:szCs w:val="26"/>
        </w:rPr>
        <w:tab/>
      </w:r>
      <w:r w:rsidRPr="005163E4">
        <w:rPr>
          <w:szCs w:val="26"/>
        </w:rPr>
        <w:t>Fifth Respondent</w:t>
      </w:r>
    </w:p>
    <w:p w14:paraId="5017908D" w14:textId="77777777" w:rsidR="00745A38" w:rsidRPr="005163E4" w:rsidRDefault="00745A38" w:rsidP="00745A38">
      <w:pPr>
        <w:spacing w:line="240" w:lineRule="auto"/>
        <w:rPr>
          <w:szCs w:val="26"/>
        </w:rPr>
      </w:pPr>
    </w:p>
    <w:p w14:paraId="33115926" w14:textId="77777777" w:rsidR="00745A38" w:rsidRPr="005163E4" w:rsidRDefault="00745A38" w:rsidP="00745A38">
      <w:pPr>
        <w:spacing w:line="240" w:lineRule="auto"/>
        <w:rPr>
          <w:szCs w:val="26"/>
        </w:rPr>
      </w:pPr>
      <w:r w:rsidRPr="005163E4">
        <w:rPr>
          <w:szCs w:val="26"/>
        </w:rPr>
        <w:t>and</w:t>
      </w:r>
    </w:p>
    <w:p w14:paraId="3B95DE2C" w14:textId="77777777" w:rsidR="00745A38" w:rsidRPr="005163E4" w:rsidRDefault="00745A38" w:rsidP="00745A38">
      <w:pPr>
        <w:spacing w:line="240" w:lineRule="auto"/>
        <w:rPr>
          <w:szCs w:val="26"/>
        </w:rPr>
      </w:pPr>
    </w:p>
    <w:p w14:paraId="7F790FE1" w14:textId="77777777" w:rsidR="00745A38" w:rsidRPr="005163E4" w:rsidRDefault="005163E4" w:rsidP="00745A38">
      <w:pPr>
        <w:tabs>
          <w:tab w:val="right" w:pos="9029"/>
        </w:tabs>
        <w:spacing w:line="240" w:lineRule="auto"/>
        <w:rPr>
          <w:szCs w:val="26"/>
        </w:rPr>
      </w:pPr>
      <w:r w:rsidRPr="005163E4">
        <w:rPr>
          <w:b/>
        </w:rPr>
        <w:t>CASUAL WORKERS ADVICE OFFICE</w:t>
      </w:r>
      <w:r w:rsidR="00745A38" w:rsidRPr="005163E4">
        <w:rPr>
          <w:szCs w:val="26"/>
        </w:rPr>
        <w:tab/>
        <w:t>First Amicus Curiae</w:t>
      </w:r>
    </w:p>
    <w:p w14:paraId="62631908" w14:textId="77777777" w:rsidR="00745A38" w:rsidRPr="005163E4" w:rsidRDefault="00745A38" w:rsidP="00745A38">
      <w:pPr>
        <w:tabs>
          <w:tab w:val="right" w:pos="9029"/>
        </w:tabs>
        <w:spacing w:line="240" w:lineRule="auto"/>
        <w:rPr>
          <w:szCs w:val="26"/>
        </w:rPr>
      </w:pPr>
    </w:p>
    <w:p w14:paraId="0EC43023" w14:textId="77777777" w:rsidR="00745A38" w:rsidRPr="00EE02D5" w:rsidRDefault="005163E4" w:rsidP="00745A38">
      <w:pPr>
        <w:tabs>
          <w:tab w:val="right" w:pos="9029"/>
        </w:tabs>
        <w:spacing w:line="240" w:lineRule="auto"/>
        <w:rPr>
          <w:szCs w:val="26"/>
        </w:rPr>
      </w:pPr>
      <w:r w:rsidRPr="005163E4">
        <w:rPr>
          <w:b/>
        </w:rPr>
        <w:t>RIGHT2KNOW CAMPAIGN</w:t>
      </w:r>
      <w:r w:rsidR="00745A38" w:rsidRPr="005163E4">
        <w:rPr>
          <w:szCs w:val="26"/>
        </w:rPr>
        <w:tab/>
        <w:t>Second Amicus Curiae</w:t>
      </w:r>
    </w:p>
    <w:p w14:paraId="1777553B" w14:textId="77777777" w:rsidR="00745A38" w:rsidRDefault="00745A38" w:rsidP="00745A38">
      <w:pPr>
        <w:spacing w:line="240" w:lineRule="auto"/>
      </w:pPr>
    </w:p>
    <w:p w14:paraId="580D79D8" w14:textId="77777777" w:rsidR="00745A38" w:rsidRPr="009C3888" w:rsidRDefault="00745A38" w:rsidP="00745A38">
      <w:pPr>
        <w:spacing w:line="240" w:lineRule="auto"/>
      </w:pPr>
    </w:p>
    <w:p w14:paraId="18084344" w14:textId="77777777" w:rsidR="00745A38" w:rsidRPr="009C3888" w:rsidRDefault="00745A38" w:rsidP="00745A38">
      <w:pPr>
        <w:spacing w:line="240" w:lineRule="auto"/>
      </w:pPr>
    </w:p>
    <w:p w14:paraId="10093B7B" w14:textId="214DE585" w:rsidR="00745A38" w:rsidRPr="00F05BBD" w:rsidRDefault="00745A38" w:rsidP="00745A38">
      <w:pPr>
        <w:spacing w:line="240" w:lineRule="auto"/>
        <w:ind w:left="2160" w:hanging="2160"/>
      </w:pPr>
      <w:r w:rsidRPr="008B40EE">
        <w:rPr>
          <w:b/>
        </w:rPr>
        <w:t>Neutral citation:</w:t>
      </w:r>
      <w:r>
        <w:tab/>
      </w:r>
      <w:r w:rsidR="005163E4" w:rsidRPr="006D5AC2">
        <w:rPr>
          <w:i/>
        </w:rPr>
        <w:t>Hunter</w:t>
      </w:r>
      <w:r w:rsidR="005163E4">
        <w:t xml:space="preserve"> </w:t>
      </w:r>
      <w:r w:rsidR="005163E4" w:rsidRPr="00AB383F">
        <w:rPr>
          <w:i/>
        </w:rPr>
        <w:t>v Fina</w:t>
      </w:r>
      <w:r w:rsidR="001F6AC8">
        <w:rPr>
          <w:i/>
        </w:rPr>
        <w:t xml:space="preserve">ncial </w:t>
      </w:r>
      <w:r w:rsidR="001C5479" w:rsidRPr="00B131E8">
        <w:rPr>
          <w:i/>
        </w:rPr>
        <w:t xml:space="preserve">Sector Conduct Authority </w:t>
      </w:r>
      <w:r w:rsidR="001F6AC8">
        <w:rPr>
          <w:i/>
        </w:rPr>
        <w:t>and Others</w:t>
      </w:r>
      <w:r w:rsidR="005163E4">
        <w:rPr>
          <w:i/>
        </w:rPr>
        <w:t xml:space="preserve"> </w:t>
      </w:r>
      <w:r w:rsidR="005163E4">
        <w:t xml:space="preserve">[2018] ZACC </w:t>
      </w:r>
      <w:r w:rsidR="006147BF">
        <w:t>31</w:t>
      </w:r>
    </w:p>
    <w:p w14:paraId="4D3BA4DD" w14:textId="77777777" w:rsidR="00745A38" w:rsidRDefault="00745A38" w:rsidP="00745A38">
      <w:pPr>
        <w:spacing w:line="240" w:lineRule="auto"/>
      </w:pPr>
    </w:p>
    <w:p w14:paraId="6B50DFEB" w14:textId="77777777" w:rsidR="00BA74EF" w:rsidRDefault="00745A38" w:rsidP="00745A38">
      <w:pPr>
        <w:pStyle w:val="BODYNON-NUMBERED"/>
        <w:spacing w:after="0"/>
        <w:ind w:left="2160" w:hanging="2160"/>
        <w:rPr>
          <w:szCs w:val="26"/>
        </w:rPr>
        <w:sectPr w:rsidR="00BA74EF" w:rsidSect="00BA74EF">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40" w:right="1440" w:bottom="1440" w:left="1440" w:header="708" w:footer="708" w:gutter="0"/>
          <w:pgNumType w:start="1"/>
          <w:cols w:space="708"/>
          <w:docGrid w:linePitch="360"/>
        </w:sectPr>
      </w:pPr>
      <w:r w:rsidRPr="008B40EE">
        <w:rPr>
          <w:b/>
        </w:rPr>
        <w:t>Coram:</w:t>
      </w:r>
      <w:r>
        <w:tab/>
      </w:r>
      <w:proofErr w:type="spellStart"/>
      <w:r w:rsidR="005163E4">
        <w:rPr>
          <w:szCs w:val="26"/>
        </w:rPr>
        <w:t>Mogoeng</w:t>
      </w:r>
      <w:proofErr w:type="spellEnd"/>
      <w:r w:rsidR="005163E4">
        <w:rPr>
          <w:szCs w:val="26"/>
        </w:rPr>
        <w:t xml:space="preserve"> CJ</w:t>
      </w:r>
      <w:r w:rsidR="005163E4" w:rsidRPr="00366550">
        <w:rPr>
          <w:szCs w:val="26"/>
        </w:rPr>
        <w:t xml:space="preserve">, </w:t>
      </w:r>
      <w:proofErr w:type="spellStart"/>
      <w:r w:rsidR="005163E4">
        <w:rPr>
          <w:szCs w:val="26"/>
        </w:rPr>
        <w:t>Cachalia</w:t>
      </w:r>
      <w:proofErr w:type="spellEnd"/>
      <w:r w:rsidR="005163E4">
        <w:rPr>
          <w:szCs w:val="26"/>
        </w:rPr>
        <w:t xml:space="preserve"> AJ, </w:t>
      </w:r>
      <w:proofErr w:type="spellStart"/>
      <w:r w:rsidR="005163E4">
        <w:rPr>
          <w:szCs w:val="26"/>
        </w:rPr>
        <w:t>Dlodlo</w:t>
      </w:r>
      <w:proofErr w:type="spellEnd"/>
      <w:r w:rsidR="005163E4">
        <w:rPr>
          <w:szCs w:val="26"/>
        </w:rPr>
        <w:t xml:space="preserve"> AJ, </w:t>
      </w:r>
      <w:proofErr w:type="spellStart"/>
      <w:r w:rsidR="005163E4" w:rsidRPr="00366550">
        <w:rPr>
          <w:szCs w:val="26"/>
        </w:rPr>
        <w:t>Froneman</w:t>
      </w:r>
      <w:proofErr w:type="spellEnd"/>
      <w:r w:rsidR="005163E4" w:rsidRPr="00366550">
        <w:rPr>
          <w:szCs w:val="26"/>
        </w:rPr>
        <w:t xml:space="preserve"> J, </w:t>
      </w:r>
      <w:r w:rsidR="005163E4">
        <w:rPr>
          <w:szCs w:val="26"/>
        </w:rPr>
        <w:t xml:space="preserve">Goliath AJ, </w:t>
      </w:r>
      <w:proofErr w:type="spellStart"/>
      <w:r w:rsidR="005163E4">
        <w:rPr>
          <w:szCs w:val="26"/>
        </w:rPr>
        <w:t>Jafta</w:t>
      </w:r>
      <w:proofErr w:type="spellEnd"/>
      <w:r w:rsidR="005163E4">
        <w:rPr>
          <w:szCs w:val="26"/>
        </w:rPr>
        <w:t xml:space="preserve"> J, </w:t>
      </w:r>
      <w:proofErr w:type="spellStart"/>
      <w:r w:rsidR="005163E4">
        <w:rPr>
          <w:szCs w:val="26"/>
        </w:rPr>
        <w:t>Khampepe</w:t>
      </w:r>
      <w:proofErr w:type="spellEnd"/>
      <w:r w:rsidR="005163E4">
        <w:rPr>
          <w:szCs w:val="26"/>
        </w:rPr>
        <w:t xml:space="preserve"> J, </w:t>
      </w:r>
      <w:proofErr w:type="spellStart"/>
      <w:r w:rsidR="005163E4">
        <w:rPr>
          <w:szCs w:val="26"/>
        </w:rPr>
        <w:t>Madlanga</w:t>
      </w:r>
      <w:proofErr w:type="spellEnd"/>
      <w:r w:rsidR="005163E4">
        <w:rPr>
          <w:szCs w:val="26"/>
        </w:rPr>
        <w:t xml:space="preserve"> J</w:t>
      </w:r>
      <w:r w:rsidR="0051740A">
        <w:rPr>
          <w:szCs w:val="26"/>
        </w:rPr>
        <w:t>,</w:t>
      </w:r>
      <w:r w:rsidR="005163E4">
        <w:rPr>
          <w:szCs w:val="26"/>
        </w:rPr>
        <w:t xml:space="preserve"> </w:t>
      </w:r>
      <w:proofErr w:type="spellStart"/>
      <w:r w:rsidR="005163E4">
        <w:rPr>
          <w:szCs w:val="26"/>
        </w:rPr>
        <w:t>Petse</w:t>
      </w:r>
      <w:proofErr w:type="spellEnd"/>
      <w:r w:rsidR="005163E4">
        <w:rPr>
          <w:szCs w:val="26"/>
        </w:rPr>
        <w:t xml:space="preserve"> AJ</w:t>
      </w:r>
      <w:r w:rsidR="00B46C6E">
        <w:rPr>
          <w:szCs w:val="26"/>
        </w:rPr>
        <w:t>,</w:t>
      </w:r>
      <w:r w:rsidR="00B83C68">
        <w:rPr>
          <w:szCs w:val="26"/>
        </w:rPr>
        <w:t xml:space="preserve"> </w:t>
      </w:r>
      <w:r w:rsidR="001C5479">
        <w:rPr>
          <w:szCs w:val="26"/>
        </w:rPr>
        <w:t xml:space="preserve">and </w:t>
      </w:r>
      <w:r w:rsidR="00B83C68" w:rsidRPr="00B83C68">
        <w:rPr>
          <w:szCs w:val="26"/>
        </w:rPr>
        <w:t>Theron</w:t>
      </w:r>
      <w:r w:rsidR="0056358A">
        <w:rPr>
          <w:szCs w:val="26"/>
        </w:rPr>
        <w:t xml:space="preserve"> </w:t>
      </w:r>
      <w:r w:rsidR="00B83C68" w:rsidRPr="00B83C68">
        <w:rPr>
          <w:szCs w:val="26"/>
        </w:rPr>
        <w:t>J</w:t>
      </w:r>
      <w:r w:rsidR="00B46C6E">
        <w:rPr>
          <w:szCs w:val="26"/>
        </w:rPr>
        <w:t xml:space="preserve"> </w:t>
      </w:r>
    </w:p>
    <w:p w14:paraId="0430A18F" w14:textId="331297A8" w:rsidR="00745A38" w:rsidRPr="00A8146A" w:rsidRDefault="00745A38" w:rsidP="00745A38">
      <w:pPr>
        <w:pStyle w:val="BODYNON-NUMBERED"/>
        <w:spacing w:after="0"/>
        <w:ind w:left="2160" w:hanging="2160"/>
        <w:rPr>
          <w:szCs w:val="26"/>
        </w:rPr>
      </w:pPr>
    </w:p>
    <w:p w14:paraId="58B2944F" w14:textId="77777777" w:rsidR="00745A38" w:rsidRDefault="00745A38" w:rsidP="00745A38">
      <w:pPr>
        <w:spacing w:line="240" w:lineRule="auto"/>
        <w:ind w:left="2160" w:hanging="2160"/>
      </w:pPr>
    </w:p>
    <w:p w14:paraId="55F07EBA" w14:textId="77777777" w:rsidR="00745A38" w:rsidRDefault="00745A38" w:rsidP="00745A38">
      <w:pPr>
        <w:spacing w:line="240" w:lineRule="auto"/>
      </w:pPr>
    </w:p>
    <w:p w14:paraId="063A9238" w14:textId="2306C8BD" w:rsidR="00745A38" w:rsidRDefault="00745A38" w:rsidP="00745A38">
      <w:pPr>
        <w:spacing w:line="240" w:lineRule="auto"/>
        <w:ind w:left="2160" w:hanging="2160"/>
      </w:pPr>
      <w:r>
        <w:rPr>
          <w:b/>
        </w:rPr>
        <w:t>Judgments</w:t>
      </w:r>
      <w:r w:rsidRPr="008B40EE">
        <w:rPr>
          <w:b/>
        </w:rPr>
        <w:t>:</w:t>
      </w:r>
      <w:r>
        <w:tab/>
      </w:r>
      <w:proofErr w:type="spellStart"/>
      <w:r w:rsidR="005163E4">
        <w:t>Khampepe</w:t>
      </w:r>
      <w:proofErr w:type="spellEnd"/>
      <w:r w:rsidR="005163E4">
        <w:t xml:space="preserve"> J</w:t>
      </w:r>
      <w:r>
        <w:t xml:space="preserve"> </w:t>
      </w:r>
      <w:r w:rsidR="0056358A">
        <w:t>(</w:t>
      </w:r>
      <w:r w:rsidRPr="0056358A">
        <w:t>majority):</w:t>
      </w:r>
      <w:r>
        <w:t xml:space="preserve"> [</w:t>
      </w:r>
      <w:r w:rsidR="0056358A">
        <w:t>1</w:t>
      </w:r>
      <w:r>
        <w:t>] to [</w:t>
      </w:r>
      <w:r w:rsidR="0056358A">
        <w:t>61]</w:t>
      </w:r>
    </w:p>
    <w:p w14:paraId="1008305C" w14:textId="495203F0" w:rsidR="00745A38" w:rsidRDefault="00745A38" w:rsidP="00745A38">
      <w:pPr>
        <w:spacing w:line="240" w:lineRule="auto"/>
        <w:ind w:left="2160" w:hanging="2160"/>
      </w:pPr>
      <w:r>
        <w:rPr>
          <w:b/>
        </w:rPr>
        <w:tab/>
      </w:r>
      <w:proofErr w:type="spellStart"/>
      <w:r w:rsidR="00B83C68" w:rsidRPr="0056358A">
        <w:t>Froneman</w:t>
      </w:r>
      <w:proofErr w:type="spellEnd"/>
      <w:r w:rsidR="00B83C68" w:rsidRPr="0056358A">
        <w:t xml:space="preserve"> J</w:t>
      </w:r>
      <w:r>
        <w:t xml:space="preserve"> (</w:t>
      </w:r>
      <w:r w:rsidR="0056358A">
        <w:t>minority</w:t>
      </w:r>
      <w:r>
        <w:t>): [</w:t>
      </w:r>
      <w:r w:rsidR="0056358A">
        <w:t>62</w:t>
      </w:r>
      <w:r>
        <w:t>] to [</w:t>
      </w:r>
      <w:r w:rsidR="0056358A">
        <w:t>137</w:t>
      </w:r>
      <w:r>
        <w:t>]</w:t>
      </w:r>
    </w:p>
    <w:p w14:paraId="2533EDE0" w14:textId="09729658" w:rsidR="00745A38" w:rsidRDefault="00745A38" w:rsidP="00745A38">
      <w:pPr>
        <w:spacing w:line="240" w:lineRule="auto"/>
        <w:ind w:left="2160" w:hanging="2160"/>
      </w:pPr>
      <w:r w:rsidRPr="00AE7143">
        <w:tab/>
      </w:r>
      <w:proofErr w:type="spellStart"/>
      <w:r w:rsidR="00B83C68">
        <w:t>Cachalia</w:t>
      </w:r>
      <w:proofErr w:type="spellEnd"/>
      <w:r w:rsidR="00B83C68">
        <w:t xml:space="preserve"> AJ</w:t>
      </w:r>
      <w:r>
        <w:t xml:space="preserve"> (</w:t>
      </w:r>
      <w:r w:rsidRPr="0056358A">
        <w:t>dissenting</w:t>
      </w:r>
      <w:r w:rsidR="00EE4D14">
        <w:t xml:space="preserve"> in part</w:t>
      </w:r>
      <w:r>
        <w:t>): [</w:t>
      </w:r>
      <w:r w:rsidR="0056358A">
        <w:t>138</w:t>
      </w:r>
      <w:r>
        <w:t>] to [</w:t>
      </w:r>
      <w:r w:rsidR="0056358A">
        <w:t>184</w:t>
      </w:r>
      <w:r>
        <w:t>]</w:t>
      </w:r>
    </w:p>
    <w:p w14:paraId="5439638B" w14:textId="77777777" w:rsidR="00745A38" w:rsidRDefault="00745A38" w:rsidP="00745A38">
      <w:pPr>
        <w:spacing w:line="240" w:lineRule="auto"/>
      </w:pPr>
    </w:p>
    <w:p w14:paraId="38ACBC0A" w14:textId="77777777" w:rsidR="00745A38" w:rsidRPr="009C3888" w:rsidRDefault="00745A38" w:rsidP="00745A38">
      <w:pPr>
        <w:spacing w:line="240" w:lineRule="auto"/>
        <w:ind w:left="2160" w:hanging="2160"/>
      </w:pPr>
      <w:r w:rsidRPr="008B40EE">
        <w:rPr>
          <w:b/>
        </w:rPr>
        <w:t>Heard on:</w:t>
      </w:r>
      <w:r>
        <w:tab/>
      </w:r>
      <w:r w:rsidR="005163E4">
        <w:t>13 February 2018</w:t>
      </w:r>
    </w:p>
    <w:p w14:paraId="55B69EBA" w14:textId="77777777" w:rsidR="00745A38" w:rsidRPr="009C3888" w:rsidRDefault="00745A38" w:rsidP="00745A38">
      <w:pPr>
        <w:spacing w:line="240" w:lineRule="auto"/>
        <w:ind w:left="2160" w:hanging="2160"/>
      </w:pPr>
    </w:p>
    <w:p w14:paraId="59F43044" w14:textId="28ABF214" w:rsidR="00745A38" w:rsidRDefault="00745A38" w:rsidP="00745A38">
      <w:pPr>
        <w:spacing w:line="240" w:lineRule="auto"/>
        <w:ind w:left="2160" w:hanging="2160"/>
      </w:pPr>
      <w:r w:rsidRPr="00EA1216">
        <w:rPr>
          <w:b/>
        </w:rPr>
        <w:t>Decided on:</w:t>
      </w:r>
      <w:r w:rsidRPr="00EA1216">
        <w:tab/>
      </w:r>
      <w:r w:rsidR="00871601" w:rsidRPr="00EA1216">
        <w:t>20</w:t>
      </w:r>
      <w:r w:rsidRPr="00EA1216">
        <w:t xml:space="preserve"> </w:t>
      </w:r>
      <w:r w:rsidR="0056358A" w:rsidRPr="00EA1216">
        <w:t>September</w:t>
      </w:r>
      <w:r w:rsidRPr="00EA1216">
        <w:t xml:space="preserve"> </w:t>
      </w:r>
      <w:r w:rsidR="0056358A" w:rsidRPr="00EA1216">
        <w:t>2018</w:t>
      </w:r>
    </w:p>
    <w:p w14:paraId="07EC93B9" w14:textId="77777777" w:rsidR="00745A38" w:rsidRDefault="00745A38" w:rsidP="00745A38">
      <w:pPr>
        <w:spacing w:line="240" w:lineRule="auto"/>
      </w:pPr>
    </w:p>
    <w:p w14:paraId="19EBCCB8" w14:textId="23E2EE3A" w:rsidR="00745A38" w:rsidRDefault="00745A38" w:rsidP="00745A38">
      <w:pPr>
        <w:spacing w:line="240" w:lineRule="auto"/>
        <w:ind w:left="2160" w:hanging="2160"/>
      </w:pPr>
      <w:r>
        <w:rPr>
          <w:b/>
        </w:rPr>
        <w:t>Summary:</w:t>
      </w:r>
      <w:r>
        <w:rPr>
          <w:b/>
        </w:rPr>
        <w:tab/>
      </w:r>
      <w:r w:rsidR="00F24241" w:rsidRPr="00F24241">
        <w:t>Pension Funds Act</w:t>
      </w:r>
      <w:r w:rsidR="00F24241" w:rsidRPr="00542F53">
        <w:t xml:space="preserve"> </w:t>
      </w:r>
      <w:r w:rsidR="00F24241">
        <w:t>—</w:t>
      </w:r>
      <w:r w:rsidR="00F24241" w:rsidRPr="00542F53">
        <w:t xml:space="preserve"> </w:t>
      </w:r>
      <w:r w:rsidR="00F24241">
        <w:t>p</w:t>
      </w:r>
      <w:r w:rsidR="005E5D20">
        <w:t>ension funds</w:t>
      </w:r>
      <w:r w:rsidRPr="00542F53">
        <w:t xml:space="preserve"> </w:t>
      </w:r>
      <w:r>
        <w:t>—</w:t>
      </w:r>
      <w:r w:rsidRPr="00542F53">
        <w:t xml:space="preserve"> </w:t>
      </w:r>
      <w:r w:rsidR="005E5D20">
        <w:t>orphan funds</w:t>
      </w:r>
      <w:r w:rsidRPr="00542F53">
        <w:t xml:space="preserve"> </w:t>
      </w:r>
      <w:r>
        <w:t>—</w:t>
      </w:r>
      <w:r w:rsidRPr="00542F53">
        <w:t xml:space="preserve"> </w:t>
      </w:r>
      <w:r w:rsidR="005E5D20">
        <w:t>pension funds cancellations</w:t>
      </w:r>
      <w:r w:rsidRPr="00542F53">
        <w:t xml:space="preserve"> </w:t>
      </w:r>
      <w:r w:rsidR="005E5D20">
        <w:t xml:space="preserve">project — locus </w:t>
      </w:r>
      <w:proofErr w:type="spellStart"/>
      <w:r w:rsidR="005E5D20">
        <w:t>standi</w:t>
      </w:r>
      <w:proofErr w:type="spellEnd"/>
      <w:r w:rsidR="00F64116">
        <w:t xml:space="preserve"> — misjoinder</w:t>
      </w:r>
      <w:r w:rsidR="00F24241" w:rsidRPr="005E5D20">
        <w:t xml:space="preserve"> —</w:t>
      </w:r>
      <w:r w:rsidR="00F24241">
        <w:t xml:space="preserve"> a</w:t>
      </w:r>
      <w:r w:rsidR="00F24241" w:rsidRPr="00F24241">
        <w:t>mendment of pleadings</w:t>
      </w:r>
    </w:p>
    <w:p w14:paraId="06195E47" w14:textId="77777777" w:rsidR="00745A38" w:rsidRDefault="00745A38" w:rsidP="00745A38">
      <w:pPr>
        <w:spacing w:line="240" w:lineRule="auto"/>
        <w:ind w:left="2160" w:hanging="2160"/>
      </w:pPr>
    </w:p>
    <w:p w14:paraId="78F94C40" w14:textId="0C8593E1" w:rsidR="00745A38" w:rsidRDefault="005E5D20" w:rsidP="005E5D20">
      <w:pPr>
        <w:spacing w:line="240" w:lineRule="auto"/>
        <w:ind w:left="2160"/>
      </w:pPr>
      <w:r>
        <w:t>Financial Sector Conduct Authority</w:t>
      </w:r>
      <w:r w:rsidRPr="00542F53">
        <w:t xml:space="preserve"> </w:t>
      </w:r>
      <w:r>
        <w:t>—</w:t>
      </w:r>
      <w:r w:rsidRPr="00542F53">
        <w:t xml:space="preserve"> </w:t>
      </w:r>
      <w:r>
        <w:t>public service</w:t>
      </w:r>
      <w:r w:rsidR="00745A38" w:rsidRPr="00542F53">
        <w:t xml:space="preserve"> </w:t>
      </w:r>
      <w:r w:rsidR="00745A38">
        <w:t>—</w:t>
      </w:r>
      <w:r w:rsidR="00745A38" w:rsidRPr="00542F53">
        <w:t xml:space="preserve"> </w:t>
      </w:r>
      <w:r>
        <w:t>public functionary</w:t>
      </w:r>
      <w:r w:rsidR="00745A38" w:rsidRPr="00542F53">
        <w:t xml:space="preserve"> </w:t>
      </w:r>
      <w:r w:rsidR="00745A38">
        <w:t>—</w:t>
      </w:r>
      <w:r w:rsidR="00745A38" w:rsidRPr="00542F53">
        <w:t xml:space="preserve"> </w:t>
      </w:r>
      <w:r w:rsidR="00843E4B">
        <w:t>unlawful conduct</w:t>
      </w:r>
      <w:r w:rsidR="00843E4B" w:rsidRPr="00542F53">
        <w:t xml:space="preserve"> </w:t>
      </w:r>
      <w:r w:rsidR="00843E4B">
        <w:t>—</w:t>
      </w:r>
      <w:r w:rsidR="00843E4B" w:rsidRPr="00542F53">
        <w:t xml:space="preserve"> </w:t>
      </w:r>
      <w:r>
        <w:t xml:space="preserve">duty </w:t>
      </w:r>
      <w:r w:rsidRPr="005E5D20">
        <w:t>to investigate</w:t>
      </w:r>
      <w:r w:rsidR="00745A38" w:rsidRPr="005E5D20">
        <w:t xml:space="preserve"> —</w:t>
      </w:r>
      <w:r w:rsidR="00843E4B">
        <w:t xml:space="preserve"> </w:t>
      </w:r>
      <w:r w:rsidR="008D3C4C">
        <w:t>Ministerial Intervention</w:t>
      </w:r>
      <w:r w:rsidR="008D3C4C" w:rsidRPr="00542F53">
        <w:t xml:space="preserve"> </w:t>
      </w:r>
      <w:r w:rsidR="008D3C4C">
        <w:t>—</w:t>
      </w:r>
      <w:r w:rsidR="008D3C4C" w:rsidRPr="00542F53">
        <w:t xml:space="preserve"> </w:t>
      </w:r>
      <w:r w:rsidR="00F24241" w:rsidRPr="00F24241">
        <w:t xml:space="preserve">Treasury Regulation </w:t>
      </w:r>
      <w:r w:rsidR="00F24241">
        <w:t>33</w:t>
      </w:r>
      <w:r w:rsidR="00F24241" w:rsidRPr="005E5D20">
        <w:t xml:space="preserve"> —</w:t>
      </w:r>
      <w:r w:rsidR="00F24241">
        <w:t xml:space="preserve"> a</w:t>
      </w:r>
      <w:r w:rsidRPr="005E5D20">
        <w:t>dministrative action —</w:t>
      </w:r>
      <w:r>
        <w:t xml:space="preserve"> </w:t>
      </w:r>
      <w:r w:rsidRPr="005E5D20">
        <w:t>Promotion of Administrative Justice</w:t>
      </w:r>
      <w:r w:rsidR="00F24241">
        <w:t xml:space="preserve"> Act</w:t>
      </w:r>
    </w:p>
    <w:p w14:paraId="6FBA3EA5" w14:textId="77777777" w:rsidR="005E5D20" w:rsidRDefault="005E5D20" w:rsidP="005E5D20">
      <w:pPr>
        <w:spacing w:line="240" w:lineRule="auto"/>
      </w:pPr>
    </w:p>
    <w:p w14:paraId="57023341" w14:textId="77777777" w:rsidR="005E5D20" w:rsidRDefault="005E5D20" w:rsidP="005E5D20">
      <w:pPr>
        <w:spacing w:line="240" w:lineRule="auto"/>
      </w:pPr>
    </w:p>
    <w:p w14:paraId="0EEF23B8" w14:textId="77777777" w:rsidR="00745A38" w:rsidRPr="004110F6" w:rsidRDefault="00745A38" w:rsidP="00745A38">
      <w:pPr>
        <w:spacing w:line="240" w:lineRule="auto"/>
      </w:pPr>
    </w:p>
    <w:p w14:paraId="073A160D" w14:textId="77777777" w:rsidR="00745A38" w:rsidRPr="009C3888" w:rsidRDefault="00745A38" w:rsidP="00745A38">
      <w:pPr>
        <w:keepNext/>
        <w:pBdr>
          <w:top w:val="single" w:sz="4" w:space="1" w:color="auto"/>
          <w:bottom w:val="single" w:sz="4" w:space="1" w:color="auto"/>
        </w:pBdr>
        <w:spacing w:line="240" w:lineRule="auto"/>
        <w:jc w:val="center"/>
      </w:pPr>
    </w:p>
    <w:p w14:paraId="5A6C99C8" w14:textId="77777777" w:rsidR="00745A38" w:rsidRPr="005C6482" w:rsidRDefault="00745A38" w:rsidP="00745A38">
      <w:pPr>
        <w:keepNext/>
        <w:pBdr>
          <w:top w:val="single" w:sz="4" w:space="1" w:color="auto"/>
          <w:bottom w:val="single" w:sz="4" w:space="1" w:color="auto"/>
        </w:pBdr>
        <w:spacing w:line="240" w:lineRule="auto"/>
        <w:jc w:val="center"/>
        <w:outlineLvl w:val="0"/>
        <w:rPr>
          <w:b/>
        </w:rPr>
      </w:pPr>
      <w:r>
        <w:rPr>
          <w:b/>
        </w:rPr>
        <w:t>ORDER</w:t>
      </w:r>
    </w:p>
    <w:p w14:paraId="13547C2E" w14:textId="77777777" w:rsidR="00745A38" w:rsidRPr="009C3888" w:rsidRDefault="00745A38" w:rsidP="00745A38">
      <w:pPr>
        <w:pBdr>
          <w:top w:val="single" w:sz="4" w:space="1" w:color="auto"/>
          <w:bottom w:val="single" w:sz="4" w:space="1" w:color="auto"/>
        </w:pBdr>
        <w:spacing w:line="240" w:lineRule="auto"/>
        <w:jc w:val="center"/>
      </w:pPr>
    </w:p>
    <w:p w14:paraId="010C7923" w14:textId="77777777" w:rsidR="00AA1B36" w:rsidRPr="00CB0CB2" w:rsidRDefault="00AA1B36" w:rsidP="00AA1B36">
      <w:pPr>
        <w:pStyle w:val="JUDGMENTCONTINUED"/>
      </w:pPr>
    </w:p>
    <w:p w14:paraId="568FD608" w14:textId="77777777" w:rsidR="00AA1B36" w:rsidRDefault="00AA1B36" w:rsidP="00AA1B36">
      <w:pPr>
        <w:pStyle w:val="JUDGMENTCONTINUED"/>
        <w:sectPr w:rsidR="00AA1B36" w:rsidSect="00BA74EF">
          <w:footerReference w:type="default" r:id="rId15"/>
          <w:type w:val="continuous"/>
          <w:pgSz w:w="11907" w:h="16839" w:code="9"/>
          <w:pgMar w:top="1440" w:right="1440" w:bottom="1440" w:left="1440" w:header="708" w:footer="708" w:gutter="0"/>
          <w:pgNumType w:start="1"/>
          <w:cols w:space="708"/>
          <w:docGrid w:linePitch="360"/>
        </w:sectPr>
      </w:pPr>
    </w:p>
    <w:p w14:paraId="77A1F10B" w14:textId="26548299" w:rsidR="00E85C80" w:rsidRPr="00E85C80" w:rsidRDefault="00745A38" w:rsidP="00745A38">
      <w:pPr>
        <w:pStyle w:val="JUDGMENTCONTINUED"/>
      </w:pPr>
      <w:r w:rsidRPr="00E85C80">
        <w:lastRenderedPageBreak/>
        <w:t xml:space="preserve">On appeal from </w:t>
      </w:r>
      <w:r w:rsidR="00E85C80" w:rsidRPr="00E85C80">
        <w:t>the</w:t>
      </w:r>
      <w:r w:rsidR="00E85C80">
        <w:t xml:space="preserve"> Supreme Court of Appeal</w:t>
      </w:r>
      <w:r w:rsidR="00B46C6E">
        <w:t xml:space="preserve"> (hearing an appeal from</w:t>
      </w:r>
      <w:r w:rsidR="00983022">
        <w:t xml:space="preserve"> the High Court of South Africa, Gauteng Division, Pretoria</w:t>
      </w:r>
      <w:r w:rsidR="00B46C6E">
        <w:t>)</w:t>
      </w:r>
      <w:r w:rsidR="00E85C80" w:rsidRPr="00E85C80">
        <w:t xml:space="preserve">: </w:t>
      </w:r>
    </w:p>
    <w:p w14:paraId="1AA9183A" w14:textId="604395BC" w:rsidR="00E85C80" w:rsidRDefault="00811729" w:rsidP="00811729">
      <w:pPr>
        <w:spacing w:line="360" w:lineRule="auto"/>
        <w:ind w:left="1134" w:hanging="425"/>
      </w:pPr>
      <w:r>
        <w:t>1.</w:t>
      </w:r>
      <w:r>
        <w:tab/>
      </w:r>
      <w:r w:rsidR="00E85C80">
        <w:t>The application for leave to appeal is granted.</w:t>
      </w:r>
    </w:p>
    <w:p w14:paraId="64132BD4" w14:textId="1F4F1D75" w:rsidR="00E85C80" w:rsidRDefault="00811729" w:rsidP="00811729">
      <w:pPr>
        <w:spacing w:line="360" w:lineRule="auto"/>
        <w:ind w:left="1134" w:hanging="425"/>
      </w:pPr>
      <w:r>
        <w:t>2.</w:t>
      </w:r>
      <w:r>
        <w:tab/>
      </w:r>
      <w:r w:rsidR="00E85C80">
        <w:t>The appeal is dismissed.</w:t>
      </w:r>
    </w:p>
    <w:p w14:paraId="4E855E26" w14:textId="066BB606" w:rsidR="00E85C80" w:rsidRPr="00ED3EA9" w:rsidRDefault="00811729" w:rsidP="00811729">
      <w:pPr>
        <w:spacing w:line="360" w:lineRule="auto"/>
        <w:ind w:left="1134" w:hanging="425"/>
      </w:pPr>
      <w:r w:rsidRPr="00ED3EA9">
        <w:t>3.</w:t>
      </w:r>
      <w:r w:rsidRPr="00ED3EA9">
        <w:tab/>
      </w:r>
      <w:r w:rsidR="00E85C80" w:rsidRPr="00ED3EA9">
        <w:t>The third and fourth respondents</w:t>
      </w:r>
      <w:r w:rsidR="00E85C80">
        <w:t>’</w:t>
      </w:r>
      <w:r w:rsidR="00E85C80" w:rsidRPr="00ED3EA9">
        <w:t xml:space="preserve"> conditional counter-appeal is dismissed.</w:t>
      </w:r>
    </w:p>
    <w:p w14:paraId="54B2B7CC" w14:textId="10A255FB" w:rsidR="00B46C6E" w:rsidRDefault="00811729" w:rsidP="00811729">
      <w:pPr>
        <w:spacing w:line="360" w:lineRule="auto"/>
        <w:ind w:left="1134" w:hanging="425"/>
      </w:pPr>
      <w:r>
        <w:t>4.</w:t>
      </w:r>
      <w:r>
        <w:tab/>
      </w:r>
      <w:r w:rsidR="00B46C6E" w:rsidRPr="00ED3EA9">
        <w:t>The application by Right2Know Campaign</w:t>
      </w:r>
      <w:r w:rsidR="0056358A">
        <w:t xml:space="preserve"> (R2K)</w:t>
      </w:r>
      <w:r w:rsidR="00B46C6E" w:rsidRPr="00ED3EA9">
        <w:t xml:space="preserve"> for admission as </w:t>
      </w:r>
      <w:r w:rsidR="00B46C6E" w:rsidRPr="00EA1216">
        <w:t>amicus curiae</w:t>
      </w:r>
      <w:r w:rsidR="00B46C6E" w:rsidRPr="00ED3EA9">
        <w:t xml:space="preserve"> is</w:t>
      </w:r>
      <w:r w:rsidR="00B46C6E">
        <w:t xml:space="preserve"> granted</w:t>
      </w:r>
      <w:r w:rsidR="00B46C6E" w:rsidRPr="00ED3EA9">
        <w:t>.</w:t>
      </w:r>
    </w:p>
    <w:p w14:paraId="6D79B47D" w14:textId="09A58E3F" w:rsidR="00E85C80" w:rsidRDefault="00811729" w:rsidP="00811729">
      <w:pPr>
        <w:spacing w:line="360" w:lineRule="auto"/>
        <w:ind w:left="1134" w:hanging="425"/>
      </w:pPr>
      <w:r>
        <w:t>5.</w:t>
      </w:r>
      <w:r>
        <w:tab/>
      </w:r>
      <w:r w:rsidR="00E85C80" w:rsidRPr="00ED3EA9">
        <w:t xml:space="preserve">Condonation is </w:t>
      </w:r>
      <w:r w:rsidR="00E85C80">
        <w:t>granted for the late filing of the a</w:t>
      </w:r>
      <w:r w:rsidR="0056358A">
        <w:t>pplication for leave to appeal.</w:t>
      </w:r>
    </w:p>
    <w:p w14:paraId="710E13B2" w14:textId="66CA17E9" w:rsidR="00E85C80" w:rsidRPr="00ED3EA9" w:rsidRDefault="00811729" w:rsidP="00811729">
      <w:pPr>
        <w:spacing w:line="360" w:lineRule="auto"/>
        <w:ind w:left="1134" w:hanging="425"/>
      </w:pPr>
      <w:r w:rsidRPr="00ED3EA9">
        <w:t>6.</w:t>
      </w:r>
      <w:r w:rsidRPr="00ED3EA9">
        <w:tab/>
      </w:r>
      <w:r w:rsidR="00E85C80" w:rsidRPr="00ED3EA9">
        <w:t xml:space="preserve">Condonation is </w:t>
      </w:r>
      <w:r w:rsidR="00E85C80">
        <w:t>granted for the late filing of the applicant’s written submissions.</w:t>
      </w:r>
    </w:p>
    <w:p w14:paraId="44169045" w14:textId="38E11EB4" w:rsidR="00E85C80" w:rsidRDefault="00811729" w:rsidP="00811729">
      <w:pPr>
        <w:spacing w:line="360" w:lineRule="auto"/>
        <w:ind w:left="1134" w:hanging="425"/>
      </w:pPr>
      <w:r>
        <w:t>7.</w:t>
      </w:r>
      <w:r>
        <w:tab/>
      </w:r>
      <w:r w:rsidR="00E85C80" w:rsidRPr="00ED3EA9">
        <w:t xml:space="preserve">Condonation is </w:t>
      </w:r>
      <w:r w:rsidR="00E85C80">
        <w:t>granted for the late filing of the third and fourth respondents’ written submissions.</w:t>
      </w:r>
    </w:p>
    <w:p w14:paraId="30A9839B" w14:textId="544A17C0" w:rsidR="00E85C80" w:rsidRDefault="00811729" w:rsidP="00811729">
      <w:pPr>
        <w:spacing w:line="360" w:lineRule="auto"/>
        <w:ind w:left="1134" w:hanging="425"/>
      </w:pPr>
      <w:r>
        <w:t>8.</w:t>
      </w:r>
      <w:r>
        <w:tab/>
      </w:r>
      <w:r w:rsidR="00E85C80" w:rsidRPr="00ED3EA9">
        <w:t xml:space="preserve">Condonation is granted for the late </w:t>
      </w:r>
      <w:r w:rsidR="00E85C80">
        <w:t xml:space="preserve">filing </w:t>
      </w:r>
      <w:r w:rsidR="00365DC8">
        <w:t xml:space="preserve">of </w:t>
      </w:r>
      <w:r w:rsidR="00E85C80" w:rsidRPr="00ED3EA9">
        <w:t>R</w:t>
      </w:r>
      <w:r w:rsidR="004B1650">
        <w:t>2K</w:t>
      </w:r>
      <w:r w:rsidR="00E85C80" w:rsidRPr="00ED3EA9">
        <w:t>’s written submissions.</w:t>
      </w:r>
    </w:p>
    <w:p w14:paraId="722A914B" w14:textId="1787B73B" w:rsidR="00E85C80" w:rsidRPr="00ED3EA9" w:rsidRDefault="00811729" w:rsidP="00811729">
      <w:pPr>
        <w:spacing w:line="360" w:lineRule="auto"/>
        <w:ind w:left="1134" w:hanging="425"/>
      </w:pPr>
      <w:r w:rsidRPr="00ED3EA9">
        <w:lastRenderedPageBreak/>
        <w:t>9.</w:t>
      </w:r>
      <w:r w:rsidRPr="00ED3EA9">
        <w:tab/>
      </w:r>
      <w:r w:rsidR="00E85C80">
        <w:t>The application</w:t>
      </w:r>
      <w:r w:rsidR="00B46C6E">
        <w:t>s</w:t>
      </w:r>
      <w:r w:rsidR="00E85C80">
        <w:t xml:space="preserve"> for the admission of the further supplementary affidavits of Mr Mort are granted.</w:t>
      </w:r>
    </w:p>
    <w:p w14:paraId="4C254781" w14:textId="007B2A08" w:rsidR="00FE673B" w:rsidRPr="00ED3EA9" w:rsidRDefault="00811729" w:rsidP="00811729">
      <w:pPr>
        <w:spacing w:line="360" w:lineRule="auto"/>
        <w:ind w:left="1134" w:hanging="425"/>
      </w:pPr>
      <w:r w:rsidRPr="00ED3EA9">
        <w:t>10.</w:t>
      </w:r>
      <w:r w:rsidRPr="00ED3EA9">
        <w:tab/>
      </w:r>
      <w:r w:rsidR="00FE673B">
        <w:t>The</w:t>
      </w:r>
      <w:r w:rsidR="001A05FB">
        <w:t xml:space="preserve"> application</w:t>
      </w:r>
      <w:r w:rsidR="00BE1314">
        <w:t>s</w:t>
      </w:r>
      <w:r w:rsidR="001A05FB">
        <w:t xml:space="preserve"> by the applicant for leave to file an order and papers in r</w:t>
      </w:r>
      <w:r w:rsidR="00BE1314">
        <w:t>elated High Court proceedings are</w:t>
      </w:r>
      <w:r w:rsidR="001A05FB">
        <w:t xml:space="preserve"> dismissed.</w:t>
      </w:r>
    </w:p>
    <w:p w14:paraId="4D350D42" w14:textId="5795326A" w:rsidR="00E85C80" w:rsidRDefault="00811729" w:rsidP="00811729">
      <w:pPr>
        <w:spacing w:line="360" w:lineRule="auto"/>
        <w:ind w:left="1134" w:hanging="425"/>
      </w:pPr>
      <w:r>
        <w:t>11.</w:t>
      </w:r>
      <w:r>
        <w:tab/>
      </w:r>
      <w:r w:rsidR="00E85C80">
        <w:t>The cost</w:t>
      </w:r>
      <w:r w:rsidR="00960C9C">
        <w:t>s</w:t>
      </w:r>
      <w:r w:rsidR="00E85C80">
        <w:t xml:space="preserve"> orders of </w:t>
      </w:r>
      <w:r w:rsidR="00F940EF" w:rsidRPr="00167113">
        <w:t xml:space="preserve">the </w:t>
      </w:r>
      <w:r w:rsidR="00F940EF">
        <w:t xml:space="preserve">High Court of South Africa, </w:t>
      </w:r>
      <w:r w:rsidR="00F940EF" w:rsidRPr="00167113">
        <w:t>Gauteng Division</w:t>
      </w:r>
      <w:r w:rsidR="00F940EF">
        <w:t>, Pretoria</w:t>
      </w:r>
      <w:r w:rsidR="00F940EF" w:rsidRPr="00167113">
        <w:t xml:space="preserve"> </w:t>
      </w:r>
      <w:r w:rsidR="00E85C80">
        <w:t>and the Supreme Court of Appeal are set aside</w:t>
      </w:r>
      <w:r w:rsidR="00160EE9">
        <w:t xml:space="preserve"> and replaced with no order as to costs</w:t>
      </w:r>
      <w:r w:rsidR="00E85C80">
        <w:t>.</w:t>
      </w:r>
    </w:p>
    <w:p w14:paraId="4FDC74AA" w14:textId="69252E10" w:rsidR="00745A38" w:rsidRDefault="00811729" w:rsidP="00811729">
      <w:pPr>
        <w:spacing w:line="360" w:lineRule="auto"/>
        <w:ind w:left="1134" w:hanging="425"/>
      </w:pPr>
      <w:r>
        <w:t>12.</w:t>
      </w:r>
      <w:r>
        <w:tab/>
      </w:r>
      <w:r w:rsidR="001C5479">
        <w:t>There is n</w:t>
      </w:r>
      <w:r w:rsidR="00E85C80">
        <w:t>o order as to costs.</w:t>
      </w:r>
    </w:p>
    <w:p w14:paraId="57748109" w14:textId="77777777" w:rsidR="00745A38" w:rsidRPr="00CB0CB2" w:rsidRDefault="00745A38" w:rsidP="00745A38">
      <w:pPr>
        <w:pStyle w:val="JUDGMENTCONTINUED"/>
      </w:pPr>
    </w:p>
    <w:p w14:paraId="2B8729F6" w14:textId="77777777" w:rsidR="00745A38" w:rsidRDefault="00745A38" w:rsidP="00745A38">
      <w:pPr>
        <w:pStyle w:val="JUDGMENTCONTINUED"/>
        <w:sectPr w:rsidR="00745A38" w:rsidSect="00BA74EF">
          <w:headerReference w:type="default" r:id="rId16"/>
          <w:footerReference w:type="default" r:id="rId17"/>
          <w:footerReference w:type="first" r:id="rId18"/>
          <w:type w:val="continuous"/>
          <w:pgSz w:w="11907" w:h="16839" w:code="9"/>
          <w:pgMar w:top="1440" w:right="1440" w:bottom="1440" w:left="1440" w:header="708" w:footer="708" w:gutter="0"/>
          <w:cols w:space="708"/>
          <w:docGrid w:linePitch="360"/>
        </w:sectPr>
      </w:pPr>
    </w:p>
    <w:p w14:paraId="7B618739" w14:textId="77777777" w:rsidR="00745A38" w:rsidRPr="009C3888" w:rsidRDefault="00745A38" w:rsidP="00745A38">
      <w:pPr>
        <w:keepNext/>
        <w:pBdr>
          <w:top w:val="single" w:sz="4" w:space="1" w:color="auto"/>
          <w:bottom w:val="single" w:sz="4" w:space="1" w:color="auto"/>
        </w:pBdr>
        <w:spacing w:line="240" w:lineRule="auto"/>
        <w:jc w:val="center"/>
      </w:pPr>
    </w:p>
    <w:p w14:paraId="678D9323" w14:textId="2C58B81D" w:rsidR="00745A38" w:rsidRPr="003A18CF" w:rsidRDefault="00BA7226" w:rsidP="00745A38">
      <w:pPr>
        <w:keepNext/>
        <w:pBdr>
          <w:top w:val="single" w:sz="4" w:space="1" w:color="auto"/>
          <w:bottom w:val="single" w:sz="4" w:space="1" w:color="auto"/>
        </w:pBdr>
        <w:spacing w:line="240" w:lineRule="auto"/>
        <w:jc w:val="center"/>
        <w:outlineLvl w:val="0"/>
        <w:rPr>
          <w:b/>
        </w:rPr>
      </w:pPr>
      <w:r>
        <w:rPr>
          <w:b/>
        </w:rPr>
        <w:t>JUDGMENT</w:t>
      </w:r>
    </w:p>
    <w:p w14:paraId="3D528240" w14:textId="77777777" w:rsidR="00745A38" w:rsidRPr="009C3888" w:rsidRDefault="00745A38" w:rsidP="00745A38">
      <w:pPr>
        <w:pBdr>
          <w:top w:val="single" w:sz="4" w:space="1" w:color="auto"/>
          <w:bottom w:val="single" w:sz="4" w:space="1" w:color="auto"/>
        </w:pBdr>
        <w:spacing w:line="240" w:lineRule="auto"/>
        <w:jc w:val="center"/>
      </w:pPr>
    </w:p>
    <w:p w14:paraId="215BB79B" w14:textId="77777777" w:rsidR="00745A38" w:rsidRPr="009C3888" w:rsidRDefault="00745A38" w:rsidP="002B701A">
      <w:pPr>
        <w:spacing w:line="240" w:lineRule="auto"/>
      </w:pPr>
    </w:p>
    <w:p w14:paraId="3D35F0AC" w14:textId="77777777" w:rsidR="00745A38" w:rsidRPr="009C3888" w:rsidRDefault="00745A38" w:rsidP="002B701A">
      <w:pPr>
        <w:spacing w:line="240" w:lineRule="auto"/>
      </w:pPr>
    </w:p>
    <w:p w14:paraId="595EDCE9" w14:textId="26AD03E1" w:rsidR="00745A38" w:rsidRPr="007B5814" w:rsidRDefault="00466FFA" w:rsidP="00BE1314">
      <w:pPr>
        <w:pStyle w:val="BODYNON-NUMBERED"/>
        <w:spacing w:after="0" w:line="240" w:lineRule="auto"/>
        <w:rPr>
          <w:szCs w:val="26"/>
        </w:rPr>
      </w:pPr>
      <w:r>
        <w:t>KHAMPEPE</w:t>
      </w:r>
      <w:r w:rsidR="00745A38">
        <w:t> </w:t>
      </w:r>
      <w:r w:rsidR="00745A38" w:rsidRPr="009C3888">
        <w:t>J</w:t>
      </w:r>
      <w:r w:rsidR="00745A38">
        <w:t xml:space="preserve"> (</w:t>
      </w:r>
      <w:proofErr w:type="spellStart"/>
      <w:r w:rsidR="00BE1314" w:rsidRPr="00BE1314">
        <w:t>Mogoeng</w:t>
      </w:r>
      <w:proofErr w:type="spellEnd"/>
      <w:r w:rsidR="00BE1314" w:rsidRPr="00BE1314">
        <w:t xml:space="preserve"> CJ, Goliath AJ, </w:t>
      </w:r>
      <w:proofErr w:type="spellStart"/>
      <w:r w:rsidR="00BE1314" w:rsidRPr="00BE1314">
        <w:t>Jafta</w:t>
      </w:r>
      <w:proofErr w:type="spellEnd"/>
      <w:r w:rsidR="00BE1314" w:rsidRPr="00BE1314">
        <w:t xml:space="preserve"> J, </w:t>
      </w:r>
      <w:proofErr w:type="spellStart"/>
      <w:r w:rsidR="00BE1314" w:rsidRPr="00BE1314">
        <w:t>Petse</w:t>
      </w:r>
      <w:proofErr w:type="spellEnd"/>
      <w:r w:rsidR="00BE1314" w:rsidRPr="00BE1314">
        <w:t xml:space="preserve"> AJ and Theron J</w:t>
      </w:r>
      <w:r w:rsidR="00BE1314">
        <w:t xml:space="preserve">, </w:t>
      </w:r>
      <w:r w:rsidR="00745A38" w:rsidRPr="00BE1314">
        <w:t>concurring):</w:t>
      </w:r>
    </w:p>
    <w:p w14:paraId="274DBC19" w14:textId="77777777" w:rsidR="002B5E37" w:rsidRDefault="002B5E37" w:rsidP="00BE1314">
      <w:pPr>
        <w:pStyle w:val="JUDGMENTCONTINUED"/>
        <w:spacing w:line="240" w:lineRule="auto"/>
      </w:pPr>
    </w:p>
    <w:p w14:paraId="6227C978" w14:textId="77777777" w:rsidR="002B701A" w:rsidRPr="00A50AC1" w:rsidRDefault="002B701A" w:rsidP="00BE1314">
      <w:pPr>
        <w:pStyle w:val="JUDGMENTNUMBERED"/>
        <w:numPr>
          <w:ilvl w:val="0"/>
          <w:numId w:val="0"/>
        </w:numPr>
        <w:spacing w:line="240" w:lineRule="auto"/>
        <w:ind w:left="357" w:hanging="357"/>
      </w:pPr>
    </w:p>
    <w:p w14:paraId="6C35E2AC" w14:textId="77777777" w:rsidR="004C7588" w:rsidRDefault="00127A47" w:rsidP="00276ABC">
      <w:pPr>
        <w:pStyle w:val="HEADING"/>
      </w:pPr>
      <w:r w:rsidRPr="005B40AA">
        <w:t>Introduction</w:t>
      </w:r>
      <w:bookmarkEnd w:id="0"/>
    </w:p>
    <w:p w14:paraId="6A45C749" w14:textId="3739ED1A" w:rsidR="004573E0" w:rsidRDefault="00811729" w:rsidP="00811729">
      <w:pPr>
        <w:pStyle w:val="JUDGMENTNUMBERED"/>
        <w:numPr>
          <w:ilvl w:val="0"/>
          <w:numId w:val="0"/>
        </w:numPr>
      </w:pPr>
      <w:bookmarkStart w:id="1" w:name="_Toc508706456"/>
      <w:r>
        <w:rPr>
          <w:color w:val="000000"/>
        </w:rPr>
        <w:t>[1]</w:t>
      </w:r>
      <w:r>
        <w:rPr>
          <w:color w:val="000000"/>
        </w:rPr>
        <w:tab/>
      </w:r>
      <w:r w:rsidR="004573E0" w:rsidRPr="00167113">
        <w:t xml:space="preserve">This is an application for leave to appeal against the whole judgment </w:t>
      </w:r>
      <w:r w:rsidR="005B3900">
        <w:t xml:space="preserve">and order </w:t>
      </w:r>
      <w:r w:rsidR="004573E0" w:rsidRPr="00167113">
        <w:t xml:space="preserve">of the </w:t>
      </w:r>
      <w:r w:rsidR="004573E0">
        <w:t xml:space="preserve">High Court of South Africa, </w:t>
      </w:r>
      <w:r w:rsidR="004573E0" w:rsidRPr="00167113">
        <w:t>Gauteng Division</w:t>
      </w:r>
      <w:r w:rsidR="004573E0">
        <w:t>, Pretoria</w:t>
      </w:r>
      <w:r w:rsidR="004573E0" w:rsidRPr="00167113">
        <w:t xml:space="preserve"> (High Court) </w:t>
      </w:r>
      <w:r w:rsidR="004573E0">
        <w:t>and the Supreme Court of Appeal</w:t>
      </w:r>
      <w:r w:rsidR="005768ED">
        <w:t>’s</w:t>
      </w:r>
      <w:r w:rsidR="004573E0">
        <w:t xml:space="preserve"> </w:t>
      </w:r>
      <w:r w:rsidR="004573E0" w:rsidRPr="00167113">
        <w:t>dismiss</w:t>
      </w:r>
      <w:r w:rsidR="005768ED">
        <w:t>al of</w:t>
      </w:r>
      <w:r w:rsidR="004573E0" w:rsidRPr="00167113">
        <w:t xml:space="preserve"> </w:t>
      </w:r>
      <w:r w:rsidR="00DE02B2">
        <w:t xml:space="preserve">the </w:t>
      </w:r>
      <w:r w:rsidR="00B04B04">
        <w:t>application by</w:t>
      </w:r>
      <w:r w:rsidR="00DE02B2">
        <w:t xml:space="preserve"> </w:t>
      </w:r>
      <w:r w:rsidR="005B3900">
        <w:t>Ms</w:t>
      </w:r>
      <w:r w:rsidR="00DE5AC6">
        <w:t xml:space="preserve"> </w:t>
      </w:r>
      <w:r w:rsidR="00DE5AC6" w:rsidRPr="00DE5AC6">
        <w:t xml:space="preserve">Rosemary </w:t>
      </w:r>
      <w:proofErr w:type="spellStart"/>
      <w:r w:rsidR="00DE5AC6" w:rsidRPr="00DE5AC6">
        <w:t>Thérésé</w:t>
      </w:r>
      <w:proofErr w:type="spellEnd"/>
      <w:r w:rsidR="005B3900">
        <w:t xml:space="preserve"> Hunter</w:t>
      </w:r>
      <w:r w:rsidR="000364D3">
        <w:t xml:space="preserve"> (Ms Hunter)</w:t>
      </w:r>
      <w:r w:rsidR="004573E0" w:rsidRPr="00167113">
        <w:t xml:space="preserve"> to compel the </w:t>
      </w:r>
      <w:r w:rsidR="005B3900">
        <w:t>Financial Sector Conduct Authority (FSCA)</w:t>
      </w:r>
      <w:r w:rsidR="00FE673B" w:rsidRPr="00167113">
        <w:t xml:space="preserve"> </w:t>
      </w:r>
      <w:r w:rsidR="004573E0" w:rsidRPr="00167113">
        <w:t xml:space="preserve">to procure an investigation into alleged irregularities that occurred during the implementation of the </w:t>
      </w:r>
      <w:r w:rsidR="00D7509F">
        <w:t>“</w:t>
      </w:r>
      <w:r w:rsidR="001C5479">
        <w:t>c</w:t>
      </w:r>
      <w:r w:rsidR="00D7509F">
        <w:t xml:space="preserve">ancellations </w:t>
      </w:r>
      <w:r w:rsidR="001C5479">
        <w:t>p</w:t>
      </w:r>
      <w:r w:rsidR="004573E0" w:rsidRPr="00167113">
        <w:t>roject</w:t>
      </w:r>
      <w:r w:rsidR="00D7509F">
        <w:t>”</w:t>
      </w:r>
      <w:r w:rsidR="005B3900">
        <w:t>.</w:t>
      </w:r>
      <w:r w:rsidR="004573E0" w:rsidRPr="00167113">
        <w:t xml:space="preserve"> </w:t>
      </w:r>
      <w:r w:rsidR="00DE0023">
        <w:t xml:space="preserve"> </w:t>
      </w:r>
      <w:r w:rsidR="005B3900">
        <w:t>M</w:t>
      </w:r>
      <w:r w:rsidR="004573E0" w:rsidRPr="00167113">
        <w:t>ore than 4600 pension funds without properly constitute</w:t>
      </w:r>
      <w:r w:rsidR="00F918F1">
        <w:t xml:space="preserve">d boards were cancelled by the </w:t>
      </w:r>
      <w:r w:rsidR="00DE0023">
        <w:t>r</w:t>
      </w:r>
      <w:r w:rsidR="004573E0" w:rsidRPr="00167113">
        <w:t xml:space="preserve">egistrar in terms of </w:t>
      </w:r>
      <w:r w:rsidR="00B04B04">
        <w:t>section</w:t>
      </w:r>
      <w:r w:rsidR="00315512">
        <w:t> </w:t>
      </w:r>
      <w:r w:rsidR="004573E0" w:rsidRPr="00167113">
        <w:t>27</w:t>
      </w:r>
      <w:r w:rsidR="00F918F1">
        <w:rPr>
          <w:rStyle w:val="FootnoteReference"/>
        </w:rPr>
        <w:footnoteReference w:id="1"/>
      </w:r>
      <w:r w:rsidR="004573E0" w:rsidRPr="00167113">
        <w:t xml:space="preserve"> of the Pension Funds Act</w:t>
      </w:r>
      <w:r w:rsidR="00F918F1">
        <w:rPr>
          <w:rStyle w:val="FootnoteReference"/>
        </w:rPr>
        <w:footnoteReference w:id="2"/>
      </w:r>
      <w:r w:rsidR="00F918F1">
        <w:t xml:space="preserve"> (PFA)</w:t>
      </w:r>
      <w:r w:rsidR="004573E0" w:rsidRPr="00167113">
        <w:t>.</w:t>
      </w:r>
    </w:p>
    <w:p w14:paraId="11FB1D74" w14:textId="77777777" w:rsidR="004573E0" w:rsidRPr="00E85C80" w:rsidRDefault="004573E0" w:rsidP="004573E0">
      <w:pPr>
        <w:pStyle w:val="JUDGMENTCONTINUED"/>
      </w:pPr>
    </w:p>
    <w:p w14:paraId="3A2F88AC" w14:textId="1CB718AA" w:rsidR="0011477F" w:rsidRDefault="00811729" w:rsidP="00811729">
      <w:pPr>
        <w:pStyle w:val="JUDGMENTNUMBERED"/>
        <w:numPr>
          <w:ilvl w:val="0"/>
          <w:numId w:val="0"/>
        </w:numPr>
        <w:sectPr w:rsidR="0011477F" w:rsidSect="006147BF">
          <w:headerReference w:type="default" r:id="rId19"/>
          <w:footerReference w:type="default" r:id="rId20"/>
          <w:footerReference w:type="first" r:id="rId21"/>
          <w:type w:val="continuous"/>
          <w:pgSz w:w="11907" w:h="16839" w:code="9"/>
          <w:pgMar w:top="1440" w:right="1440" w:bottom="1440" w:left="1440" w:header="708" w:footer="708" w:gutter="0"/>
          <w:cols w:space="708"/>
          <w:titlePg/>
          <w:docGrid w:linePitch="360"/>
        </w:sectPr>
      </w:pPr>
      <w:r>
        <w:rPr>
          <w:color w:val="000000"/>
        </w:rPr>
        <w:t>[2]</w:t>
      </w:r>
      <w:r>
        <w:rPr>
          <w:color w:val="000000"/>
        </w:rPr>
        <w:tab/>
      </w:r>
      <w:r w:rsidR="004573E0">
        <w:t xml:space="preserve">The application is opposed by the first to fifth respondents. </w:t>
      </w:r>
      <w:r w:rsidR="00FE0359">
        <w:t xml:space="preserve"> </w:t>
      </w:r>
      <w:r w:rsidR="004573E0">
        <w:t xml:space="preserve">The third and fourth respondents brought a conditional counter-application in respect of the issue of costs in </w:t>
      </w:r>
      <w:r w:rsidR="004573E0">
        <w:lastRenderedPageBreak/>
        <w:t xml:space="preserve">the High Court. </w:t>
      </w:r>
      <w:r w:rsidR="00C624A7">
        <w:t xml:space="preserve"> </w:t>
      </w:r>
      <w:r w:rsidR="004573E0">
        <w:t xml:space="preserve">Casual Workers Advice Office (CWAO) has been admitted as the first </w:t>
      </w:r>
      <w:r w:rsidR="004573E0" w:rsidRPr="00793A70">
        <w:t>amicus curiae</w:t>
      </w:r>
      <w:r w:rsidR="004573E0">
        <w:t xml:space="preserve">. </w:t>
      </w:r>
      <w:r w:rsidR="00FE0359">
        <w:t xml:space="preserve"> </w:t>
      </w:r>
      <w:r w:rsidR="004573E0">
        <w:t xml:space="preserve">Right2Know Campaign (R2K) has brought an application </w:t>
      </w:r>
    </w:p>
    <w:p w14:paraId="69A5AE20" w14:textId="50893127" w:rsidR="004573E0" w:rsidRDefault="004573E0" w:rsidP="0011477F">
      <w:pPr>
        <w:pStyle w:val="JUDGMENTNUMBERED"/>
        <w:numPr>
          <w:ilvl w:val="0"/>
          <w:numId w:val="0"/>
        </w:numPr>
      </w:pPr>
      <w:r>
        <w:lastRenderedPageBreak/>
        <w:t xml:space="preserve">to be admitted as second </w:t>
      </w:r>
      <w:r w:rsidRPr="00793A70">
        <w:t>amicus curiae</w:t>
      </w:r>
      <w:r>
        <w:t xml:space="preserve">. </w:t>
      </w:r>
      <w:r w:rsidR="00DE0023">
        <w:t xml:space="preserve"> </w:t>
      </w:r>
      <w:r w:rsidR="005B3900">
        <w:t>For the reasons set o</w:t>
      </w:r>
      <w:r w:rsidR="00793A70">
        <w:t xml:space="preserve">ut later, R2K is admitted as an </w:t>
      </w:r>
      <w:r w:rsidR="005B3900" w:rsidRPr="00793A70">
        <w:t>amicus</w:t>
      </w:r>
      <w:r w:rsidR="00793A70" w:rsidRPr="00793A70">
        <w:t xml:space="preserve"> curiae</w:t>
      </w:r>
      <w:r w:rsidR="005B3900">
        <w:t>.</w:t>
      </w:r>
      <w:r w:rsidR="001A4270">
        <w:rPr>
          <w:rStyle w:val="FootnoteReference"/>
        </w:rPr>
        <w:footnoteReference w:id="3"/>
      </w:r>
    </w:p>
    <w:p w14:paraId="1415EA4E" w14:textId="77777777" w:rsidR="006079A2" w:rsidRDefault="006079A2" w:rsidP="001E4BFA">
      <w:pPr>
        <w:pStyle w:val="JUDGMENTCONTINUED"/>
      </w:pPr>
    </w:p>
    <w:p w14:paraId="27CA5C4C" w14:textId="41CAD0BF" w:rsidR="006079A2" w:rsidRPr="006079A2" w:rsidRDefault="00811729" w:rsidP="00811729">
      <w:pPr>
        <w:pStyle w:val="JUDGMENTNUMBERED"/>
        <w:numPr>
          <w:ilvl w:val="0"/>
          <w:numId w:val="0"/>
        </w:numPr>
      </w:pPr>
      <w:r w:rsidRPr="006079A2">
        <w:rPr>
          <w:color w:val="000000"/>
        </w:rPr>
        <w:t>[3]</w:t>
      </w:r>
      <w:r w:rsidRPr="006079A2">
        <w:rPr>
          <w:color w:val="000000"/>
        </w:rPr>
        <w:tab/>
      </w:r>
      <w:r w:rsidR="006079A2">
        <w:t xml:space="preserve">After the hearing of this matter, </w:t>
      </w:r>
      <w:r w:rsidR="00DE5AC6">
        <w:t>Ms Hunter</w:t>
      </w:r>
      <w:r w:rsidR="006079A2">
        <w:t xml:space="preserve"> brought a further application for leave to file an order made by the High Court on 14 March 2018 </w:t>
      </w:r>
      <w:r w:rsidR="00B04B04">
        <w:t>and a founding affidavit in the same matter. The order set</w:t>
      </w:r>
      <w:r w:rsidR="006079A2">
        <w:t xml:space="preserve"> aside the cancellation of the registrations of 25 pension funds. </w:t>
      </w:r>
      <w:r w:rsidR="00DE0023">
        <w:t xml:space="preserve"> </w:t>
      </w:r>
      <w:r w:rsidR="006079A2">
        <w:t>This application is opposed by the respondents.</w:t>
      </w:r>
    </w:p>
    <w:p w14:paraId="19439EA9" w14:textId="77777777" w:rsidR="004573E0" w:rsidRPr="00795C03" w:rsidRDefault="004573E0" w:rsidP="00652213">
      <w:pPr>
        <w:pStyle w:val="JUDGMENTCONTINUED"/>
      </w:pPr>
    </w:p>
    <w:p w14:paraId="522A8512" w14:textId="77777777" w:rsidR="004573E0" w:rsidRDefault="004573E0" w:rsidP="00276ABC">
      <w:pPr>
        <w:pStyle w:val="HEADING"/>
      </w:pPr>
      <w:r w:rsidRPr="005B40AA">
        <w:t>Parties</w:t>
      </w:r>
    </w:p>
    <w:p w14:paraId="443FEEE9" w14:textId="6D4D1927" w:rsidR="004573E0" w:rsidRDefault="00811729" w:rsidP="00811729">
      <w:pPr>
        <w:pStyle w:val="JUDGMENTNUMBERED"/>
        <w:numPr>
          <w:ilvl w:val="0"/>
          <w:numId w:val="0"/>
        </w:numPr>
      </w:pPr>
      <w:r>
        <w:rPr>
          <w:color w:val="000000"/>
        </w:rPr>
        <w:t>[4]</w:t>
      </w:r>
      <w:r>
        <w:rPr>
          <w:color w:val="000000"/>
        </w:rPr>
        <w:tab/>
      </w:r>
      <w:r w:rsidR="008C28C6">
        <w:t>Ms Hunter</w:t>
      </w:r>
      <w:r w:rsidR="00DE02B2">
        <w:t xml:space="preserve"> </w:t>
      </w:r>
      <w:r w:rsidR="00DE5AC6">
        <w:t>is</w:t>
      </w:r>
      <w:r w:rsidR="004573E0" w:rsidRPr="00FB4D54">
        <w:t xml:space="preserve"> the </w:t>
      </w:r>
      <w:r w:rsidR="004573E0">
        <w:t xml:space="preserve">former </w:t>
      </w:r>
      <w:r w:rsidR="004573E0" w:rsidRPr="00FB4D54">
        <w:t xml:space="preserve">deputy registrar of pension funds and deputy executive officer of </w:t>
      </w:r>
      <w:r w:rsidR="001C5479">
        <w:t xml:space="preserve">the </w:t>
      </w:r>
      <w:r w:rsidR="00DE5AC6">
        <w:t>FSCA</w:t>
      </w:r>
      <w:r w:rsidR="004573E0">
        <w:t xml:space="preserve">.  </w:t>
      </w:r>
      <w:r w:rsidR="008C28C6">
        <w:t>Ms Hunter</w:t>
      </w:r>
      <w:r w:rsidR="004573E0">
        <w:t xml:space="preserve"> brought this application </w:t>
      </w:r>
      <w:r w:rsidR="004573E0" w:rsidRPr="00DD56E1">
        <w:t>in the public intere</w:t>
      </w:r>
      <w:r w:rsidR="004573E0">
        <w:t>st and in compliance with what she understood to be her</w:t>
      </w:r>
      <w:r w:rsidR="004573E0" w:rsidRPr="00DD56E1">
        <w:t xml:space="preserve"> duty as a senior public official to take all reasonable steps to ensure that </w:t>
      </w:r>
      <w:r w:rsidR="004573E0">
        <w:t>the registrar of pension funds and her</w:t>
      </w:r>
      <w:r w:rsidR="004573E0" w:rsidRPr="00DD56E1">
        <w:t xml:space="preserve"> employer</w:t>
      </w:r>
      <w:r w:rsidR="004573E0">
        <w:t xml:space="preserve"> at the time</w:t>
      </w:r>
      <w:r w:rsidR="004573E0" w:rsidRPr="00DD56E1">
        <w:t xml:space="preserve">, </w:t>
      </w:r>
      <w:r w:rsidR="00DE5AC6">
        <w:t>FSCA</w:t>
      </w:r>
      <w:r w:rsidR="004573E0" w:rsidRPr="00DD56E1">
        <w:t>, act</w:t>
      </w:r>
      <w:r w:rsidR="004573E0">
        <w:t>ed</w:t>
      </w:r>
      <w:r w:rsidR="004573E0" w:rsidRPr="00DD56E1">
        <w:t xml:space="preserve"> in compliance with </w:t>
      </w:r>
      <w:r w:rsidR="004573E0">
        <w:t>their</w:t>
      </w:r>
      <w:r w:rsidR="004573E0" w:rsidRPr="00DD56E1">
        <w:t xml:space="preserve"> constitutional and statutory duties.</w:t>
      </w:r>
    </w:p>
    <w:p w14:paraId="63BD45A5" w14:textId="77777777" w:rsidR="004573E0" w:rsidRPr="00FB4D54" w:rsidRDefault="004573E0" w:rsidP="004573E0">
      <w:pPr>
        <w:pStyle w:val="JUDGMENTCONTINUED"/>
      </w:pPr>
    </w:p>
    <w:p w14:paraId="6F25C572" w14:textId="179C96AD" w:rsidR="004573E0" w:rsidRDefault="00811729" w:rsidP="00811729">
      <w:pPr>
        <w:pStyle w:val="JUDGMENTNUMBERED"/>
        <w:numPr>
          <w:ilvl w:val="0"/>
          <w:numId w:val="0"/>
        </w:numPr>
      </w:pPr>
      <w:r>
        <w:rPr>
          <w:color w:val="000000"/>
        </w:rPr>
        <w:t>[5]</w:t>
      </w:r>
      <w:r>
        <w:rPr>
          <w:color w:val="000000"/>
        </w:rPr>
        <w:tab/>
      </w:r>
      <w:r w:rsidR="004573E0" w:rsidRPr="00DD56E1">
        <w:t xml:space="preserve">The </w:t>
      </w:r>
      <w:r w:rsidR="004573E0">
        <w:t>FS</w:t>
      </w:r>
      <w:r w:rsidR="00FE673B">
        <w:t>CA</w:t>
      </w:r>
      <w:r w:rsidR="006979B7">
        <w:t xml:space="preserve"> </w:t>
      </w:r>
      <w:r w:rsidR="00DE5AC6">
        <w:t>is</w:t>
      </w:r>
      <w:r w:rsidR="004573E0" w:rsidRPr="00DD56E1">
        <w:t xml:space="preserve"> a juristic person established in terms of section 2(1) of the Financial Serv</w:t>
      </w:r>
      <w:r w:rsidR="004573E0">
        <w:t>ic</w:t>
      </w:r>
      <w:r w:rsidR="00D7509F">
        <w:t>es Board Act 97 of 1990</w:t>
      </w:r>
      <w:r w:rsidR="004573E0" w:rsidRPr="00DD56E1">
        <w:t>.</w:t>
      </w:r>
      <w:r w:rsidR="00FE673B">
        <w:t xml:space="preserve"> </w:t>
      </w:r>
      <w:r w:rsidR="005768ED">
        <w:t xml:space="preserve"> </w:t>
      </w:r>
      <w:r w:rsidR="00DE5AC6">
        <w:t>It</w:t>
      </w:r>
      <w:r w:rsidR="00FE673B">
        <w:t xml:space="preserve"> was formerly known as the Financial Services Board, but was substituted with the FSCA by virtue of section 300(3) of the Financial Sector Regulation Act.</w:t>
      </w:r>
      <w:r w:rsidR="00FE673B">
        <w:rPr>
          <w:rStyle w:val="FootnoteReference"/>
        </w:rPr>
        <w:footnoteReference w:id="4"/>
      </w:r>
    </w:p>
    <w:p w14:paraId="1714A5F2" w14:textId="77777777" w:rsidR="004573E0" w:rsidRPr="00FB4D54" w:rsidRDefault="004573E0" w:rsidP="004573E0">
      <w:pPr>
        <w:pStyle w:val="JUDGMENTCONTINUED"/>
      </w:pPr>
    </w:p>
    <w:p w14:paraId="0E2EEE63" w14:textId="50563E30" w:rsidR="004573E0" w:rsidRDefault="00811729" w:rsidP="00811729">
      <w:pPr>
        <w:pStyle w:val="JUDGMENTNUMBERED"/>
        <w:numPr>
          <w:ilvl w:val="0"/>
          <w:numId w:val="0"/>
        </w:numPr>
      </w:pPr>
      <w:r>
        <w:rPr>
          <w:color w:val="000000"/>
        </w:rPr>
        <w:t>[6]</w:t>
      </w:r>
      <w:r>
        <w:rPr>
          <w:color w:val="000000"/>
        </w:rPr>
        <w:tab/>
      </w:r>
      <w:r w:rsidR="004573E0" w:rsidRPr="00DD56E1">
        <w:t xml:space="preserve">The second respondent </w:t>
      </w:r>
      <w:r w:rsidR="004573E0">
        <w:t xml:space="preserve">is </w:t>
      </w:r>
      <w:r w:rsidR="00DE5AC6">
        <w:t xml:space="preserve">Mr </w:t>
      </w:r>
      <w:r w:rsidR="004573E0">
        <w:t xml:space="preserve">Abel </w:t>
      </w:r>
      <w:proofErr w:type="spellStart"/>
      <w:r w:rsidR="004573E0">
        <w:t>Moffat</w:t>
      </w:r>
      <w:proofErr w:type="spellEnd"/>
      <w:r w:rsidR="004573E0">
        <w:t xml:space="preserve"> </w:t>
      </w:r>
      <w:proofErr w:type="spellStart"/>
      <w:r w:rsidR="004573E0">
        <w:t>Sithole</w:t>
      </w:r>
      <w:proofErr w:type="spellEnd"/>
      <w:r w:rsidR="004573E0">
        <w:t xml:space="preserve"> N.O.</w:t>
      </w:r>
      <w:r w:rsidR="004573E0" w:rsidRPr="00DD56E1">
        <w:t xml:space="preserve">, who is cited in his capacity as the chairperson of the board of the </w:t>
      </w:r>
      <w:r w:rsidR="00FE673B">
        <w:t>FSCA</w:t>
      </w:r>
      <w:r w:rsidR="004573E0" w:rsidRPr="00DD56E1">
        <w:t>.</w:t>
      </w:r>
    </w:p>
    <w:p w14:paraId="397C0BA8" w14:textId="77777777" w:rsidR="004573E0" w:rsidRPr="00FB4D54" w:rsidRDefault="004573E0" w:rsidP="004573E0">
      <w:pPr>
        <w:pStyle w:val="JUDGMENTCONTINUED"/>
      </w:pPr>
    </w:p>
    <w:p w14:paraId="66D7EEA4" w14:textId="44BE3724" w:rsidR="004573E0" w:rsidRDefault="00811729" w:rsidP="00811729">
      <w:pPr>
        <w:pStyle w:val="JUDGMENTNUMBERED"/>
        <w:numPr>
          <w:ilvl w:val="0"/>
          <w:numId w:val="0"/>
        </w:numPr>
      </w:pPr>
      <w:r>
        <w:rPr>
          <w:color w:val="000000"/>
        </w:rPr>
        <w:lastRenderedPageBreak/>
        <w:t>[7]</w:t>
      </w:r>
      <w:r>
        <w:rPr>
          <w:color w:val="000000"/>
        </w:rPr>
        <w:tab/>
      </w:r>
      <w:r w:rsidR="004573E0" w:rsidRPr="00DD56E1">
        <w:t xml:space="preserve">The third respondent </w:t>
      </w:r>
      <w:r w:rsidR="004573E0">
        <w:t xml:space="preserve">is </w:t>
      </w:r>
      <w:r w:rsidR="00DE5AC6">
        <w:t xml:space="preserve">Mr </w:t>
      </w:r>
      <w:proofErr w:type="spellStart"/>
      <w:r w:rsidR="004573E0">
        <w:t>Dube</w:t>
      </w:r>
      <w:proofErr w:type="spellEnd"/>
      <w:r w:rsidR="004573E0">
        <w:t xml:space="preserve"> Phineas </w:t>
      </w:r>
      <w:proofErr w:type="spellStart"/>
      <w:r w:rsidR="004573E0">
        <w:t>Tshidi</w:t>
      </w:r>
      <w:proofErr w:type="spellEnd"/>
      <w:r w:rsidR="004573E0">
        <w:t xml:space="preserve"> N.O.</w:t>
      </w:r>
      <w:r w:rsidR="004573E0" w:rsidRPr="00DD56E1">
        <w:t xml:space="preserve">, who is cited in his capacity as the executive officer of the </w:t>
      </w:r>
      <w:r w:rsidR="00FE673B">
        <w:t>FSCA</w:t>
      </w:r>
      <w:r w:rsidR="004573E0" w:rsidRPr="00DD56E1">
        <w:t xml:space="preserve"> and the registrar of pension funds in terms of the PFA.</w:t>
      </w:r>
    </w:p>
    <w:p w14:paraId="04EAF5C7" w14:textId="77777777" w:rsidR="004573E0" w:rsidRPr="00FB4D54" w:rsidRDefault="004573E0" w:rsidP="004573E0">
      <w:pPr>
        <w:pStyle w:val="JUDGMENTCONTINUED"/>
      </w:pPr>
    </w:p>
    <w:p w14:paraId="44E391DC" w14:textId="4928FEA7" w:rsidR="004573E0" w:rsidRDefault="00811729" w:rsidP="00811729">
      <w:pPr>
        <w:pStyle w:val="JUDGMENTNUMBERED"/>
        <w:numPr>
          <w:ilvl w:val="0"/>
          <w:numId w:val="0"/>
        </w:numPr>
      </w:pPr>
      <w:r>
        <w:rPr>
          <w:color w:val="000000"/>
        </w:rPr>
        <w:t>[8]</w:t>
      </w:r>
      <w:r>
        <w:rPr>
          <w:color w:val="000000"/>
        </w:rPr>
        <w:tab/>
      </w:r>
      <w:r w:rsidR="004573E0" w:rsidRPr="00DD56E1">
        <w:t>The fourth respondent</w:t>
      </w:r>
      <w:r w:rsidR="004573E0">
        <w:t xml:space="preserve"> is </w:t>
      </w:r>
      <w:r w:rsidR="00DE5AC6">
        <w:t xml:space="preserve">Mr </w:t>
      </w:r>
      <w:proofErr w:type="spellStart"/>
      <w:r w:rsidR="004573E0">
        <w:t>Jurgen</w:t>
      </w:r>
      <w:proofErr w:type="spellEnd"/>
      <w:r w:rsidR="004573E0">
        <w:t xml:space="preserve"> Arnold Boyd N.O.</w:t>
      </w:r>
      <w:r w:rsidR="004573E0" w:rsidRPr="00DD56E1">
        <w:t xml:space="preserve">, who is cited in his capacity as a deputy executive officer of the </w:t>
      </w:r>
      <w:r w:rsidR="00FE673B">
        <w:t>FSCA</w:t>
      </w:r>
      <w:r w:rsidR="004573E0" w:rsidRPr="00DD56E1">
        <w:t>.  He was the deputy registrar of pension funds or acting deputy registrar when the cancellations project was implemented during the period between 2007 and 2013.</w:t>
      </w:r>
    </w:p>
    <w:p w14:paraId="695F7219" w14:textId="77777777" w:rsidR="004573E0" w:rsidRPr="00FB4D54" w:rsidRDefault="004573E0" w:rsidP="004573E0">
      <w:pPr>
        <w:pStyle w:val="JUDGMENTCONTINUED"/>
      </w:pPr>
    </w:p>
    <w:p w14:paraId="0DA9065F" w14:textId="2EC1500E" w:rsidR="004573E0" w:rsidRDefault="00811729" w:rsidP="00811729">
      <w:pPr>
        <w:pStyle w:val="JUDGMENTNUMBERED"/>
        <w:numPr>
          <w:ilvl w:val="0"/>
          <w:numId w:val="0"/>
        </w:numPr>
      </w:pPr>
      <w:r>
        <w:rPr>
          <w:color w:val="000000"/>
        </w:rPr>
        <w:t>[9]</w:t>
      </w:r>
      <w:r>
        <w:rPr>
          <w:color w:val="000000"/>
        </w:rPr>
        <w:tab/>
      </w:r>
      <w:r w:rsidR="004573E0" w:rsidRPr="00DD56E1">
        <w:t xml:space="preserve">The fifth respondent </w:t>
      </w:r>
      <w:r w:rsidR="00365DC8">
        <w:t>is</w:t>
      </w:r>
      <w:r w:rsidR="00FE4EB6" w:rsidRPr="003725DF">
        <w:t xml:space="preserve"> Mr Knowledge </w:t>
      </w:r>
      <w:proofErr w:type="spellStart"/>
      <w:r w:rsidR="00FE4EB6" w:rsidRPr="003725DF">
        <w:t>Malusi</w:t>
      </w:r>
      <w:proofErr w:type="spellEnd"/>
      <w:r w:rsidR="00FE4EB6" w:rsidRPr="003725DF">
        <w:t xml:space="preserve"> </w:t>
      </w:r>
      <w:proofErr w:type="spellStart"/>
      <w:r w:rsidR="00FE4EB6" w:rsidRPr="003725DF">
        <w:t>Nkanyezi</w:t>
      </w:r>
      <w:proofErr w:type="spellEnd"/>
      <w:r w:rsidR="00FE4EB6" w:rsidRPr="003725DF">
        <w:t xml:space="preserve"> </w:t>
      </w:r>
      <w:proofErr w:type="spellStart"/>
      <w:r w:rsidR="00FE4EB6" w:rsidRPr="003725DF">
        <w:t>Gigaba</w:t>
      </w:r>
      <w:proofErr w:type="spellEnd"/>
      <w:r w:rsidR="00FE4EB6" w:rsidRPr="003725DF">
        <w:t xml:space="preserve"> N.O.,</w:t>
      </w:r>
      <w:r w:rsidR="00365DC8">
        <w:t xml:space="preserve"> the </w:t>
      </w:r>
      <w:r w:rsidR="001C5479">
        <w:t xml:space="preserve">former </w:t>
      </w:r>
      <w:r w:rsidR="00365DC8">
        <w:t>Minister of Finance</w:t>
      </w:r>
      <w:r w:rsidR="004573E0" w:rsidRPr="00DD56E1">
        <w:t>, who ha</w:t>
      </w:r>
      <w:r w:rsidR="001C5479">
        <w:t>d</w:t>
      </w:r>
      <w:r w:rsidR="004573E0" w:rsidRPr="00DD56E1">
        <w:t xml:space="preserve"> political and legal oversight of the</w:t>
      </w:r>
      <w:r w:rsidR="004573E0">
        <w:t xml:space="preserve"> </w:t>
      </w:r>
      <w:r w:rsidR="00FE673B">
        <w:t>FSCA</w:t>
      </w:r>
      <w:r w:rsidR="00062DAE">
        <w:t xml:space="preserve"> (Minister)</w:t>
      </w:r>
      <w:r w:rsidR="004573E0">
        <w:t>.</w:t>
      </w:r>
    </w:p>
    <w:p w14:paraId="28662376" w14:textId="77777777" w:rsidR="004573E0" w:rsidRDefault="004573E0" w:rsidP="004573E0">
      <w:pPr>
        <w:pStyle w:val="JUDGMENTCONTINUED"/>
      </w:pPr>
    </w:p>
    <w:p w14:paraId="716B1B23" w14:textId="059E8E2F" w:rsidR="004573E0" w:rsidRDefault="00811729" w:rsidP="00811729">
      <w:pPr>
        <w:pStyle w:val="JUDGMENTNUMBERED"/>
        <w:numPr>
          <w:ilvl w:val="0"/>
          <w:numId w:val="0"/>
        </w:numPr>
        <w:rPr>
          <w:rFonts w:cs="Arial"/>
        </w:rPr>
      </w:pPr>
      <w:r>
        <w:rPr>
          <w:color w:val="000000"/>
        </w:rPr>
        <w:t>[10]</w:t>
      </w:r>
      <w:r>
        <w:rPr>
          <w:color w:val="000000"/>
        </w:rPr>
        <w:tab/>
      </w:r>
      <w:r w:rsidR="004573E0">
        <w:t xml:space="preserve">The first </w:t>
      </w:r>
      <w:r w:rsidR="004573E0" w:rsidRPr="00A1396A">
        <w:t>amicus curiae</w:t>
      </w:r>
      <w:r w:rsidR="004573E0" w:rsidRPr="00357CC8">
        <w:rPr>
          <w:i/>
        </w:rPr>
        <w:t xml:space="preserve"> </w:t>
      </w:r>
      <w:proofErr w:type="gramStart"/>
      <w:r w:rsidR="004573E0">
        <w:t>is</w:t>
      </w:r>
      <w:proofErr w:type="gramEnd"/>
      <w:r w:rsidR="004573E0">
        <w:t xml:space="preserve"> CWAO,</w:t>
      </w:r>
      <w:r w:rsidR="004573E0" w:rsidRPr="00E80233">
        <w:rPr>
          <w:rFonts w:cs="Arial"/>
        </w:rPr>
        <w:t xml:space="preserve"> a non-profit, independen</w:t>
      </w:r>
      <w:r w:rsidR="004573E0">
        <w:rPr>
          <w:rFonts w:cs="Arial"/>
        </w:rPr>
        <w:t xml:space="preserve">t organisation which </w:t>
      </w:r>
      <w:r w:rsidR="004573E0" w:rsidRPr="00E80233">
        <w:rPr>
          <w:rFonts w:cs="Arial"/>
        </w:rPr>
        <w:t>provides advice and support to casual, contract, labour broker and other precarious workers</w:t>
      </w:r>
      <w:r w:rsidR="004573E0">
        <w:rPr>
          <w:rFonts w:cs="Arial"/>
        </w:rPr>
        <w:t xml:space="preserve"> for purposes of assisting such workers to defend and improve upon their rights in order to ensure social justice for such workers</w:t>
      </w:r>
      <w:r w:rsidR="004573E0" w:rsidRPr="00E80233">
        <w:rPr>
          <w:rFonts w:cs="Arial"/>
        </w:rPr>
        <w:t>.</w:t>
      </w:r>
    </w:p>
    <w:p w14:paraId="34FD138A" w14:textId="77777777" w:rsidR="004573E0" w:rsidRPr="00DE7FDA" w:rsidRDefault="004573E0" w:rsidP="004573E0">
      <w:pPr>
        <w:pStyle w:val="JUDGMENTCONTINUED"/>
      </w:pPr>
    </w:p>
    <w:p w14:paraId="6BE3587E" w14:textId="369ED001" w:rsidR="004573E0" w:rsidRPr="00DE7FDA" w:rsidRDefault="00811729" w:rsidP="00811729">
      <w:pPr>
        <w:pStyle w:val="JUDGMENTNUMBERED"/>
        <w:numPr>
          <w:ilvl w:val="0"/>
          <w:numId w:val="0"/>
        </w:numPr>
      </w:pPr>
      <w:r w:rsidRPr="00DE7FDA">
        <w:rPr>
          <w:color w:val="000000"/>
        </w:rPr>
        <w:t>[11]</w:t>
      </w:r>
      <w:r w:rsidRPr="00DE7FDA">
        <w:rPr>
          <w:color w:val="000000"/>
        </w:rPr>
        <w:tab/>
      </w:r>
      <w:r w:rsidR="004573E0">
        <w:t xml:space="preserve">The second </w:t>
      </w:r>
      <w:r w:rsidR="004573E0" w:rsidRPr="00A1396A">
        <w:t>amicus curiae</w:t>
      </w:r>
      <w:r w:rsidR="004573E0" w:rsidRPr="00357CC8">
        <w:rPr>
          <w:i/>
        </w:rPr>
        <w:t xml:space="preserve"> </w:t>
      </w:r>
      <w:proofErr w:type="gramStart"/>
      <w:r w:rsidR="004573E0">
        <w:t>is</w:t>
      </w:r>
      <w:proofErr w:type="gramEnd"/>
      <w:r w:rsidR="004573E0">
        <w:t xml:space="preserve"> </w:t>
      </w:r>
      <w:r w:rsidR="0087120A">
        <w:t>R2K</w:t>
      </w:r>
      <w:r w:rsidR="004573E0">
        <w:t>, a voluntary association founded in 2010 to campaign for the free flow of information people require to fulfil their social, economic, political and ecological needs, and to live free from want, in equality and in dignity.</w:t>
      </w:r>
    </w:p>
    <w:p w14:paraId="0BC6BEEE" w14:textId="77777777" w:rsidR="004573E0" w:rsidRDefault="004573E0" w:rsidP="003725DF">
      <w:pPr>
        <w:pStyle w:val="JUDGMENTCONTINUED"/>
      </w:pPr>
    </w:p>
    <w:p w14:paraId="6623B15F" w14:textId="097D15EA" w:rsidR="00F918F1" w:rsidRPr="00F918F1" w:rsidRDefault="004573E0" w:rsidP="0056430F">
      <w:pPr>
        <w:pStyle w:val="HEADING"/>
      </w:pPr>
      <w:r w:rsidRPr="004573E0">
        <w:t xml:space="preserve">Factual </w:t>
      </w:r>
      <w:r w:rsidR="00DE5AC6">
        <w:t>b</w:t>
      </w:r>
      <w:r w:rsidRPr="004573E0">
        <w:t>ackground</w:t>
      </w:r>
    </w:p>
    <w:p w14:paraId="02588812" w14:textId="208C04BF" w:rsidR="00F43A91" w:rsidRDefault="00811729" w:rsidP="00811729">
      <w:pPr>
        <w:pStyle w:val="JUDGMENTNUMBERED"/>
        <w:numPr>
          <w:ilvl w:val="0"/>
          <w:numId w:val="0"/>
        </w:numPr>
      </w:pPr>
      <w:r>
        <w:rPr>
          <w:color w:val="000000"/>
        </w:rPr>
        <w:t>[12]</w:t>
      </w:r>
      <w:r>
        <w:rPr>
          <w:color w:val="000000"/>
        </w:rPr>
        <w:tab/>
      </w:r>
      <w:r w:rsidR="00F43A91">
        <w:t xml:space="preserve">South Africa’s retirement funding practice has changed fundamentally in recent decades.  The most relevant change was occasioned by the decision of many employers to move their occupational retirement funding agreements from defined benefit funds to defined contribution funds.  </w:t>
      </w:r>
      <w:r w:rsidR="004573E0">
        <w:t>T</w:t>
      </w:r>
      <w:r w:rsidR="00F43A91">
        <w:t xml:space="preserve">here was a shift from single employer or stand-alone occupational retirement funds to umbrella funds.  The consequence of these transfers was that thousands of the original stand-alone funds subsequently became what is commonly </w:t>
      </w:r>
      <w:r w:rsidR="00AE5E3D">
        <w:t>known as</w:t>
      </w:r>
      <w:r w:rsidR="00F43A91">
        <w:t xml:space="preserve"> </w:t>
      </w:r>
      <w:r w:rsidR="00A1396A">
        <w:t>“</w:t>
      </w:r>
      <w:r w:rsidR="00F43A91">
        <w:t>orphan funds</w:t>
      </w:r>
      <w:r w:rsidR="00A1396A">
        <w:t>”</w:t>
      </w:r>
      <w:r w:rsidR="00B75900">
        <w:t xml:space="preserve"> – </w:t>
      </w:r>
      <w:r w:rsidR="004573E0">
        <w:t xml:space="preserve">funds </w:t>
      </w:r>
      <w:r w:rsidR="00F43A91">
        <w:t>that do not have properly constituted boards</w:t>
      </w:r>
      <w:r w:rsidR="008C28C6">
        <w:t xml:space="preserve"> and often have no assets </w:t>
      </w:r>
      <w:r w:rsidR="00160340" w:rsidRPr="00160340">
        <w:t>o</w:t>
      </w:r>
      <w:r w:rsidR="008C28C6" w:rsidRPr="00160340">
        <w:t>r</w:t>
      </w:r>
      <w:r w:rsidR="008C28C6">
        <w:t xml:space="preserve"> liabilities.</w:t>
      </w:r>
    </w:p>
    <w:p w14:paraId="1968C600" w14:textId="77777777" w:rsidR="00A24A41" w:rsidRDefault="00A24A41" w:rsidP="00A24A41">
      <w:pPr>
        <w:pStyle w:val="JUDGMENTCONTINUED"/>
      </w:pPr>
    </w:p>
    <w:p w14:paraId="6380AEF7" w14:textId="5F9CE1B7" w:rsidR="00A92273" w:rsidRDefault="00811729" w:rsidP="00811729">
      <w:pPr>
        <w:pStyle w:val="JUDGMENTNUMBERED"/>
        <w:numPr>
          <w:ilvl w:val="0"/>
          <w:numId w:val="0"/>
        </w:numPr>
        <w:rPr>
          <w:lang w:val="en-GB" w:eastAsia="zh-CN"/>
        </w:rPr>
      </w:pPr>
      <w:r>
        <w:rPr>
          <w:color w:val="000000"/>
          <w:lang w:val="en-GB" w:eastAsia="zh-CN"/>
        </w:rPr>
        <w:lastRenderedPageBreak/>
        <w:t>[13]</w:t>
      </w:r>
      <w:r>
        <w:rPr>
          <w:color w:val="000000"/>
          <w:lang w:val="en-GB" w:eastAsia="zh-CN"/>
        </w:rPr>
        <w:tab/>
      </w:r>
      <w:r w:rsidR="00A24A41" w:rsidRPr="00526783">
        <w:rPr>
          <w:lang w:val="en-GB"/>
        </w:rPr>
        <w:t xml:space="preserve">In response to the large </w:t>
      </w:r>
      <w:r w:rsidR="00DE5AC6">
        <w:rPr>
          <w:lang w:val="en-GB"/>
        </w:rPr>
        <w:t>number</w:t>
      </w:r>
      <w:r w:rsidR="00A24A41" w:rsidRPr="00526783">
        <w:rPr>
          <w:lang w:val="en-GB"/>
        </w:rPr>
        <w:t xml:space="preserve"> of apparently </w:t>
      </w:r>
      <w:r w:rsidR="00A1396A">
        <w:rPr>
          <w:lang w:val="en-GB"/>
        </w:rPr>
        <w:t>“</w:t>
      </w:r>
      <w:r w:rsidR="00A24A41">
        <w:rPr>
          <w:lang w:val="en-GB"/>
        </w:rPr>
        <w:t xml:space="preserve">orphan </w:t>
      </w:r>
      <w:r w:rsidR="00A24A41" w:rsidRPr="00526783">
        <w:rPr>
          <w:lang w:val="en-GB"/>
        </w:rPr>
        <w:t>funds</w:t>
      </w:r>
      <w:r w:rsidR="00A1396A">
        <w:rPr>
          <w:lang w:val="en-GB"/>
        </w:rPr>
        <w:t>”,</w:t>
      </w:r>
      <w:r w:rsidR="00A24A41" w:rsidRPr="00526783">
        <w:rPr>
          <w:lang w:val="en-GB"/>
        </w:rPr>
        <w:t xml:space="preserve"> the fourth respondent</w:t>
      </w:r>
      <w:r w:rsidR="0014699F">
        <w:rPr>
          <w:rFonts w:hint="eastAsia"/>
          <w:lang w:val="en-GB" w:eastAsia="zh-CN"/>
        </w:rPr>
        <w:t xml:space="preserve"> </w:t>
      </w:r>
      <w:r w:rsidR="00A24A41" w:rsidRPr="00526783">
        <w:rPr>
          <w:lang w:val="en-GB"/>
        </w:rPr>
        <w:t xml:space="preserve">initiated the </w:t>
      </w:r>
      <w:r w:rsidR="001C5479">
        <w:rPr>
          <w:lang w:val="en-GB"/>
        </w:rPr>
        <w:t>c</w:t>
      </w:r>
      <w:r w:rsidR="00A24A41" w:rsidRPr="00526783">
        <w:rPr>
          <w:lang w:val="en-GB"/>
        </w:rPr>
        <w:t xml:space="preserve">ancellations </w:t>
      </w:r>
      <w:r w:rsidR="001C5479">
        <w:rPr>
          <w:lang w:val="en-GB"/>
        </w:rPr>
        <w:t>p</w:t>
      </w:r>
      <w:r w:rsidR="00A24A41" w:rsidRPr="00526783">
        <w:rPr>
          <w:lang w:val="en-GB"/>
        </w:rPr>
        <w:t xml:space="preserve">roject.  This </w:t>
      </w:r>
      <w:r w:rsidR="00711E3D">
        <w:rPr>
          <w:rFonts w:hint="eastAsia"/>
          <w:lang w:val="en-GB" w:eastAsia="zh-CN"/>
        </w:rPr>
        <w:t>p</w:t>
      </w:r>
      <w:r w:rsidR="00A24A41" w:rsidRPr="00526783">
        <w:rPr>
          <w:lang w:val="en-GB"/>
        </w:rPr>
        <w:t xml:space="preserve">roject involved </w:t>
      </w:r>
      <w:r w:rsidR="00A92273">
        <w:rPr>
          <w:lang w:val="en-GB"/>
        </w:rPr>
        <w:t xml:space="preserve">the </w:t>
      </w:r>
      <w:r w:rsidR="00A24A41" w:rsidRPr="00526783">
        <w:rPr>
          <w:lang w:val="en-GB"/>
        </w:rPr>
        <w:t>appoint</w:t>
      </w:r>
      <w:r w:rsidR="00A92273">
        <w:rPr>
          <w:lang w:val="en-GB"/>
        </w:rPr>
        <w:t xml:space="preserve">ment of </w:t>
      </w:r>
      <w:r w:rsidR="00A24A41" w:rsidRPr="00526783">
        <w:rPr>
          <w:lang w:val="en-GB"/>
        </w:rPr>
        <w:t xml:space="preserve">“authorised representatives” </w:t>
      </w:r>
      <w:r w:rsidR="00A24A41" w:rsidRPr="00160340">
        <w:rPr>
          <w:lang w:val="en-GB"/>
        </w:rPr>
        <w:t>or</w:t>
      </w:r>
      <w:r w:rsidR="00A24A41" w:rsidRPr="00526783">
        <w:rPr>
          <w:lang w:val="en-GB"/>
        </w:rPr>
        <w:t xml:space="preserve"> trustees </w:t>
      </w:r>
      <w:r w:rsidR="00D7509F">
        <w:rPr>
          <w:lang w:val="en-GB"/>
        </w:rPr>
        <w:t xml:space="preserve">appointed </w:t>
      </w:r>
      <w:r w:rsidR="00A24A41" w:rsidRPr="00526783">
        <w:rPr>
          <w:lang w:val="en-GB"/>
        </w:rPr>
        <w:t xml:space="preserve">in terms of section 26(2) of the </w:t>
      </w:r>
      <w:r w:rsidR="00A92273">
        <w:rPr>
          <w:lang w:val="en-GB"/>
        </w:rPr>
        <w:t>PFA</w:t>
      </w:r>
      <w:r w:rsidR="00372187">
        <w:rPr>
          <w:lang w:val="en-GB"/>
        </w:rPr>
        <w:t xml:space="preserve"> </w:t>
      </w:r>
      <w:r w:rsidR="00A24A41" w:rsidRPr="00526783">
        <w:rPr>
          <w:lang w:val="en-GB"/>
        </w:rPr>
        <w:t xml:space="preserve">to manage the funds and </w:t>
      </w:r>
      <w:r w:rsidR="00A24A41">
        <w:rPr>
          <w:lang w:val="en-GB"/>
        </w:rPr>
        <w:t xml:space="preserve">facilitate the </w:t>
      </w:r>
      <w:r w:rsidR="00A24A41" w:rsidRPr="00526783">
        <w:rPr>
          <w:lang w:val="en-GB"/>
        </w:rPr>
        <w:t>cancellation</w:t>
      </w:r>
      <w:r w:rsidR="00A24A41">
        <w:rPr>
          <w:lang w:val="en-GB"/>
        </w:rPr>
        <w:t xml:space="preserve"> of the registration of the respective funds.</w:t>
      </w:r>
      <w:r w:rsidR="00F219F8">
        <w:rPr>
          <w:rStyle w:val="FootnoteReference"/>
          <w:lang w:val="en-GB"/>
        </w:rPr>
        <w:footnoteReference w:id="5"/>
      </w:r>
      <w:r w:rsidR="00A24A41">
        <w:rPr>
          <w:lang w:val="en-GB"/>
        </w:rPr>
        <w:t xml:space="preserve">  </w:t>
      </w:r>
      <w:r w:rsidR="008C28C6">
        <w:rPr>
          <w:lang w:val="en-GB"/>
        </w:rPr>
        <w:t>T</w:t>
      </w:r>
      <w:r w:rsidR="00A24A41" w:rsidRPr="00526783">
        <w:rPr>
          <w:lang w:val="en-GB"/>
        </w:rPr>
        <w:t>h</w:t>
      </w:r>
      <w:r w:rsidR="00A24A41">
        <w:rPr>
          <w:lang w:val="en-GB"/>
        </w:rPr>
        <w:t xml:space="preserve">is process </w:t>
      </w:r>
      <w:r w:rsidR="00627CD2">
        <w:rPr>
          <w:lang w:val="en-GB"/>
        </w:rPr>
        <w:t>also</w:t>
      </w:r>
      <w:r w:rsidR="006760DF">
        <w:rPr>
          <w:lang w:val="en-GB"/>
        </w:rPr>
        <w:t xml:space="preserve"> </w:t>
      </w:r>
      <w:r w:rsidR="00A24A41">
        <w:rPr>
          <w:lang w:val="en-GB"/>
        </w:rPr>
        <w:t xml:space="preserve">involved the publication by the </w:t>
      </w:r>
      <w:r w:rsidR="00834AC9">
        <w:rPr>
          <w:lang w:val="en-GB"/>
        </w:rPr>
        <w:t>r</w:t>
      </w:r>
      <w:r w:rsidR="00A24A41" w:rsidRPr="00526783">
        <w:rPr>
          <w:lang w:val="en-GB"/>
        </w:rPr>
        <w:t xml:space="preserve">egistrar </w:t>
      </w:r>
      <w:r w:rsidR="00A24A41">
        <w:rPr>
          <w:lang w:val="en-GB"/>
        </w:rPr>
        <w:t xml:space="preserve">of </w:t>
      </w:r>
      <w:r w:rsidR="00A24A41" w:rsidRPr="00526783">
        <w:rPr>
          <w:lang w:val="en-GB"/>
        </w:rPr>
        <w:t>notices of the intention to cancel specified funds</w:t>
      </w:r>
      <w:r w:rsidR="00A92273">
        <w:rPr>
          <w:lang w:val="en-GB"/>
        </w:rPr>
        <w:t>’ registration</w:t>
      </w:r>
      <w:r w:rsidR="00F219F8">
        <w:rPr>
          <w:lang w:val="en-GB"/>
        </w:rPr>
        <w:t xml:space="preserve"> in the Government </w:t>
      </w:r>
      <w:r w:rsidR="00A24A41" w:rsidRPr="00526783">
        <w:rPr>
          <w:lang w:val="en-GB"/>
        </w:rPr>
        <w:t>Gazette</w:t>
      </w:r>
      <w:r w:rsidR="00A24A41">
        <w:rPr>
          <w:lang w:val="en-GB"/>
        </w:rPr>
        <w:t>,</w:t>
      </w:r>
      <w:r w:rsidR="00372187">
        <w:rPr>
          <w:lang w:val="en-GB"/>
        </w:rPr>
        <w:t xml:space="preserve"> </w:t>
      </w:r>
      <w:r w:rsidR="00A24A41" w:rsidRPr="00526783">
        <w:rPr>
          <w:lang w:val="en-GB"/>
        </w:rPr>
        <w:t>call</w:t>
      </w:r>
      <w:r w:rsidR="00A24A41">
        <w:rPr>
          <w:lang w:val="en-GB"/>
        </w:rPr>
        <w:t>ing</w:t>
      </w:r>
      <w:r w:rsidR="00A24A41" w:rsidRPr="00526783">
        <w:rPr>
          <w:lang w:val="en-GB"/>
        </w:rPr>
        <w:t xml:space="preserve"> on </w:t>
      </w:r>
      <w:r w:rsidR="00A24A41">
        <w:rPr>
          <w:lang w:val="en-GB"/>
        </w:rPr>
        <w:t xml:space="preserve">all </w:t>
      </w:r>
      <w:r w:rsidR="00A24A41" w:rsidRPr="00526783">
        <w:rPr>
          <w:lang w:val="en-GB"/>
        </w:rPr>
        <w:t xml:space="preserve">interested persons to object to the proposed cancellations by a specified date.  </w:t>
      </w:r>
      <w:r w:rsidR="00D7509F">
        <w:rPr>
          <w:lang w:val="en-GB"/>
        </w:rPr>
        <w:t>T</w:t>
      </w:r>
      <w:r w:rsidR="00A24A41">
        <w:rPr>
          <w:lang w:val="en-GB"/>
        </w:rPr>
        <w:t xml:space="preserve">he </w:t>
      </w:r>
      <w:r w:rsidR="00FE673B">
        <w:rPr>
          <w:lang w:val="en-GB"/>
        </w:rPr>
        <w:t>FSCA</w:t>
      </w:r>
      <w:r w:rsidR="00F918F1">
        <w:rPr>
          <w:lang w:val="en-GB"/>
        </w:rPr>
        <w:t xml:space="preserve"> and the </w:t>
      </w:r>
      <w:r w:rsidR="00DE5AC6">
        <w:rPr>
          <w:lang w:val="en-GB"/>
        </w:rPr>
        <w:t>registrar</w:t>
      </w:r>
      <w:r w:rsidR="00A30783">
        <w:rPr>
          <w:rFonts w:hint="eastAsia"/>
          <w:lang w:val="en-GB" w:eastAsia="zh-CN"/>
        </w:rPr>
        <w:t xml:space="preserve"> </w:t>
      </w:r>
      <w:r w:rsidR="00A24A41">
        <w:rPr>
          <w:lang w:val="en-GB"/>
        </w:rPr>
        <w:t>facilitated the cancellation of the registration of approximately 6757 funds d</w:t>
      </w:r>
      <w:r w:rsidR="00A24A41" w:rsidRPr="00526783">
        <w:rPr>
          <w:lang w:val="en-GB"/>
        </w:rPr>
        <w:t>uring the period from 2007 to 2013</w:t>
      </w:r>
      <w:r w:rsidR="00A24A41">
        <w:rPr>
          <w:lang w:val="en-GB"/>
        </w:rPr>
        <w:t>.</w:t>
      </w:r>
    </w:p>
    <w:p w14:paraId="5AC516B7" w14:textId="77777777" w:rsidR="00DE7FDA" w:rsidRPr="00167113" w:rsidRDefault="00DE7FDA" w:rsidP="00DE7FDA">
      <w:pPr>
        <w:pStyle w:val="JUDGMENTCONTINUED"/>
        <w:rPr>
          <w:lang w:val="en-GB"/>
        </w:rPr>
      </w:pPr>
      <w:bookmarkStart w:id="2" w:name="_Toc508706458"/>
      <w:bookmarkEnd w:id="1"/>
    </w:p>
    <w:p w14:paraId="56055447" w14:textId="0632D268" w:rsidR="0042451E" w:rsidRDefault="00811729" w:rsidP="00811729">
      <w:pPr>
        <w:pStyle w:val="JUDGMENTNUMBERED"/>
        <w:numPr>
          <w:ilvl w:val="0"/>
          <w:numId w:val="0"/>
        </w:numPr>
        <w:rPr>
          <w:lang w:val="en-GB"/>
        </w:rPr>
      </w:pPr>
      <w:r>
        <w:rPr>
          <w:color w:val="000000"/>
          <w:lang w:val="en-GB"/>
        </w:rPr>
        <w:t>[14]</w:t>
      </w:r>
      <w:r>
        <w:rPr>
          <w:color w:val="000000"/>
          <w:lang w:val="en-GB"/>
        </w:rPr>
        <w:tab/>
      </w:r>
      <w:r w:rsidR="00372187">
        <w:rPr>
          <w:lang w:val="en-GB"/>
        </w:rPr>
        <w:t xml:space="preserve">Shortly after her appointment as deputy registrar of pension funds at the </w:t>
      </w:r>
      <w:r w:rsidR="00FE673B">
        <w:rPr>
          <w:lang w:val="en-GB"/>
        </w:rPr>
        <w:t>FSCA</w:t>
      </w:r>
      <w:r w:rsidR="00372187">
        <w:rPr>
          <w:lang w:val="en-GB"/>
        </w:rPr>
        <w:t xml:space="preserve">, Ms Hunter raised concerns regarding the manner in which the </w:t>
      </w:r>
      <w:r w:rsidR="001C5479">
        <w:rPr>
          <w:lang w:val="en-GB"/>
        </w:rPr>
        <w:t>c</w:t>
      </w:r>
      <w:r w:rsidR="00372187">
        <w:rPr>
          <w:lang w:val="en-GB"/>
        </w:rPr>
        <w:t xml:space="preserve">ancellations </w:t>
      </w:r>
      <w:r w:rsidR="001C5479">
        <w:rPr>
          <w:lang w:val="en-GB"/>
        </w:rPr>
        <w:t>p</w:t>
      </w:r>
      <w:r w:rsidR="00372187">
        <w:rPr>
          <w:lang w:val="en-GB"/>
        </w:rPr>
        <w:t xml:space="preserve">roject was being conducted. </w:t>
      </w:r>
      <w:r w:rsidR="00FE0359">
        <w:rPr>
          <w:lang w:val="en-GB"/>
        </w:rPr>
        <w:t xml:space="preserve"> </w:t>
      </w:r>
      <w:r w:rsidR="008C28C6">
        <w:rPr>
          <w:lang w:val="en-GB"/>
        </w:rPr>
        <w:t>Ms Hunter</w:t>
      </w:r>
      <w:r w:rsidR="00A72337">
        <w:rPr>
          <w:lang w:val="en-GB"/>
        </w:rPr>
        <w:t>’</w:t>
      </w:r>
      <w:r w:rsidR="0042451E">
        <w:rPr>
          <w:lang w:val="en-GB"/>
        </w:rPr>
        <w:t xml:space="preserve">s conduct </w:t>
      </w:r>
      <w:r w:rsidR="00F219F8">
        <w:rPr>
          <w:lang w:val="en-GB"/>
        </w:rPr>
        <w:t>in probing the legality of the cancellations p</w:t>
      </w:r>
      <w:r w:rsidR="0042451E">
        <w:rPr>
          <w:lang w:val="en-GB"/>
        </w:rPr>
        <w:t>roject brought her in</w:t>
      </w:r>
      <w:r w:rsidR="00A72337">
        <w:rPr>
          <w:lang w:val="en-GB"/>
        </w:rPr>
        <w:t>to</w:t>
      </w:r>
      <w:r w:rsidR="0042451E">
        <w:rPr>
          <w:lang w:val="en-GB"/>
        </w:rPr>
        <w:t xml:space="preserve"> conflict with her colleagues, supervisors and subordinates at the </w:t>
      </w:r>
      <w:r w:rsidR="00FE673B">
        <w:rPr>
          <w:lang w:val="en-GB"/>
        </w:rPr>
        <w:t>FSCA</w:t>
      </w:r>
      <w:r w:rsidR="0042451E">
        <w:rPr>
          <w:lang w:val="en-GB"/>
        </w:rPr>
        <w:t xml:space="preserve"> and resulted in disciplinary complaints being lodged against her. </w:t>
      </w:r>
      <w:r w:rsidR="00C56F0C">
        <w:rPr>
          <w:lang w:val="en-GB"/>
        </w:rPr>
        <w:t xml:space="preserve"> The </w:t>
      </w:r>
      <w:r w:rsidR="00DE5AC6">
        <w:rPr>
          <w:lang w:val="en-GB"/>
        </w:rPr>
        <w:t>registrar</w:t>
      </w:r>
      <w:r w:rsidR="00C56F0C">
        <w:rPr>
          <w:lang w:val="en-GB"/>
        </w:rPr>
        <w:t xml:space="preserve"> </w:t>
      </w:r>
      <w:r w:rsidR="0042451E">
        <w:rPr>
          <w:lang w:val="en-GB"/>
        </w:rPr>
        <w:t xml:space="preserve">appointed </w:t>
      </w:r>
      <w:proofErr w:type="spellStart"/>
      <w:r w:rsidR="0042451E" w:rsidRPr="0037223E">
        <w:rPr>
          <w:lang w:val="en-GB"/>
        </w:rPr>
        <w:t>Gobodo</w:t>
      </w:r>
      <w:proofErr w:type="spellEnd"/>
      <w:r w:rsidR="0042451E" w:rsidRPr="0037223E">
        <w:rPr>
          <w:lang w:val="en-GB"/>
        </w:rPr>
        <w:t xml:space="preserve"> Forensic and Investigative Accounting (</w:t>
      </w:r>
      <w:proofErr w:type="spellStart"/>
      <w:r w:rsidR="0042451E" w:rsidRPr="0037223E">
        <w:rPr>
          <w:lang w:val="en-GB"/>
        </w:rPr>
        <w:t>Gobodo</w:t>
      </w:r>
      <w:proofErr w:type="spellEnd"/>
      <w:r w:rsidR="0042451E" w:rsidRPr="0037223E">
        <w:rPr>
          <w:lang w:val="en-GB"/>
        </w:rPr>
        <w:t xml:space="preserve">) to conduct </w:t>
      </w:r>
      <w:r w:rsidR="0042451E">
        <w:rPr>
          <w:lang w:val="en-GB"/>
        </w:rPr>
        <w:t xml:space="preserve">an </w:t>
      </w:r>
      <w:r w:rsidR="0042451E" w:rsidRPr="0037223E">
        <w:rPr>
          <w:lang w:val="en-GB"/>
        </w:rPr>
        <w:t xml:space="preserve">investigation into </w:t>
      </w:r>
      <w:r w:rsidR="0042451E">
        <w:rPr>
          <w:lang w:val="en-GB"/>
        </w:rPr>
        <w:t>the conduct of Ms Hunter</w:t>
      </w:r>
      <w:r w:rsidR="00C56F0C">
        <w:rPr>
          <w:lang w:val="en-GB"/>
        </w:rPr>
        <w:t xml:space="preserve">.  The </w:t>
      </w:r>
      <w:proofErr w:type="spellStart"/>
      <w:r w:rsidR="00C56F0C">
        <w:rPr>
          <w:lang w:val="en-GB"/>
        </w:rPr>
        <w:t>Gobodo</w:t>
      </w:r>
      <w:proofErr w:type="spellEnd"/>
      <w:r w:rsidR="00C56F0C">
        <w:rPr>
          <w:lang w:val="en-GB"/>
        </w:rPr>
        <w:t xml:space="preserve"> investigation found that Ms Hunter had intentionally implemented a practice of deliberately blind-copying internal </w:t>
      </w:r>
      <w:r w:rsidR="00FE673B">
        <w:rPr>
          <w:lang w:val="en-GB"/>
        </w:rPr>
        <w:t>FSCA</w:t>
      </w:r>
      <w:r w:rsidR="00C56F0C">
        <w:rPr>
          <w:lang w:val="en-GB"/>
        </w:rPr>
        <w:t xml:space="preserve"> correspondence to external recipients in order to conceal the wider distribution of correspondence relating</w:t>
      </w:r>
      <w:r w:rsidR="00FE4EB6">
        <w:rPr>
          <w:lang w:val="en-GB"/>
        </w:rPr>
        <w:t xml:space="preserve"> to</w:t>
      </w:r>
      <w:r w:rsidR="003F59FE">
        <w:rPr>
          <w:lang w:val="en-GB"/>
        </w:rPr>
        <w:t>,</w:t>
      </w:r>
      <w:r w:rsidR="00C56F0C">
        <w:rPr>
          <w:lang w:val="en-GB"/>
        </w:rPr>
        <w:t xml:space="preserve"> </w:t>
      </w:r>
      <w:r w:rsidR="003F59FE">
        <w:rPr>
          <w:lang w:val="en-GB"/>
        </w:rPr>
        <w:t xml:space="preserve">amongst </w:t>
      </w:r>
      <w:r w:rsidR="002206F1">
        <w:rPr>
          <w:lang w:val="en-GB"/>
        </w:rPr>
        <w:t>others,</w:t>
      </w:r>
      <w:r w:rsidR="00C56F0C">
        <w:rPr>
          <w:lang w:val="en-GB"/>
        </w:rPr>
        <w:t xml:space="preserve"> the </w:t>
      </w:r>
      <w:r w:rsidR="001C5479">
        <w:rPr>
          <w:lang w:val="en-GB"/>
        </w:rPr>
        <w:t>c</w:t>
      </w:r>
      <w:r w:rsidR="00C56F0C">
        <w:rPr>
          <w:lang w:val="en-GB"/>
        </w:rPr>
        <w:t xml:space="preserve">ancellations </w:t>
      </w:r>
      <w:r w:rsidR="001C5479">
        <w:rPr>
          <w:lang w:val="en-GB"/>
        </w:rPr>
        <w:t>p</w:t>
      </w:r>
      <w:r w:rsidR="00C56F0C">
        <w:rPr>
          <w:lang w:val="en-GB"/>
        </w:rPr>
        <w:t xml:space="preserve">roject. </w:t>
      </w:r>
      <w:r w:rsidR="0042451E">
        <w:rPr>
          <w:lang w:val="en-GB"/>
        </w:rPr>
        <w:t xml:space="preserve"> </w:t>
      </w:r>
      <w:r w:rsidR="00372187">
        <w:rPr>
          <w:lang w:val="en-GB"/>
        </w:rPr>
        <w:t>Ms Hunter alleged</w:t>
      </w:r>
      <w:r w:rsidR="0042451E">
        <w:rPr>
          <w:lang w:val="en-GB"/>
        </w:rPr>
        <w:t xml:space="preserve"> that the </w:t>
      </w:r>
      <w:proofErr w:type="spellStart"/>
      <w:r w:rsidR="0042451E">
        <w:rPr>
          <w:lang w:val="en-GB"/>
        </w:rPr>
        <w:t>Gobodo</w:t>
      </w:r>
      <w:proofErr w:type="spellEnd"/>
      <w:r w:rsidR="0042451E">
        <w:rPr>
          <w:lang w:val="en-GB"/>
        </w:rPr>
        <w:t xml:space="preserve"> investigation was </w:t>
      </w:r>
      <w:r w:rsidR="00A72337">
        <w:rPr>
          <w:lang w:val="en-GB"/>
        </w:rPr>
        <w:t xml:space="preserve">unjustified </w:t>
      </w:r>
      <w:r w:rsidR="0042451E">
        <w:rPr>
          <w:lang w:val="en-GB"/>
        </w:rPr>
        <w:t xml:space="preserve">and gave rise to </w:t>
      </w:r>
      <w:r w:rsidR="00A72337">
        <w:rPr>
          <w:lang w:val="en-GB"/>
        </w:rPr>
        <w:t xml:space="preserve">considerable </w:t>
      </w:r>
      <w:r w:rsidR="0042451E">
        <w:rPr>
          <w:lang w:val="en-GB"/>
        </w:rPr>
        <w:t xml:space="preserve">expenditure. </w:t>
      </w:r>
      <w:r w:rsidR="00C56F0C">
        <w:rPr>
          <w:lang w:val="en-GB"/>
        </w:rPr>
        <w:t xml:space="preserve"> </w:t>
      </w:r>
      <w:r w:rsidR="009C0CFE">
        <w:rPr>
          <w:lang w:val="en-GB"/>
        </w:rPr>
        <w:t>She also alleged</w:t>
      </w:r>
      <w:r w:rsidR="00C56F0C">
        <w:rPr>
          <w:lang w:val="en-GB"/>
        </w:rPr>
        <w:t xml:space="preserve"> that the </w:t>
      </w:r>
      <w:r w:rsidR="00FE673B">
        <w:rPr>
          <w:lang w:val="en-GB"/>
        </w:rPr>
        <w:t>FSCA</w:t>
      </w:r>
      <w:r w:rsidR="00C56F0C">
        <w:rPr>
          <w:lang w:val="en-GB"/>
        </w:rPr>
        <w:t xml:space="preserve"> </w:t>
      </w:r>
      <w:r w:rsidR="003F59FE">
        <w:rPr>
          <w:lang w:val="en-GB"/>
        </w:rPr>
        <w:t>was</w:t>
      </w:r>
      <w:r w:rsidR="00C56F0C">
        <w:rPr>
          <w:lang w:val="en-GB"/>
        </w:rPr>
        <w:t xml:space="preserve"> guilty of financial misconduct for not investigating the commissioning of the </w:t>
      </w:r>
      <w:proofErr w:type="spellStart"/>
      <w:r w:rsidR="00C56F0C">
        <w:rPr>
          <w:lang w:val="en-GB"/>
        </w:rPr>
        <w:t>Gobodo</w:t>
      </w:r>
      <w:proofErr w:type="spellEnd"/>
      <w:r w:rsidR="00C56F0C">
        <w:rPr>
          <w:lang w:val="en-GB"/>
        </w:rPr>
        <w:t xml:space="preserve"> investigation.  Ms Hunter</w:t>
      </w:r>
      <w:r w:rsidR="009C0CFE">
        <w:rPr>
          <w:lang w:val="en-GB"/>
        </w:rPr>
        <w:t xml:space="preserve"> therefore</w:t>
      </w:r>
      <w:r w:rsidR="00C56F0C">
        <w:rPr>
          <w:lang w:val="en-GB"/>
        </w:rPr>
        <w:t xml:space="preserve"> requested that the Minister intervene pursuant to Treasury Regulation </w:t>
      </w:r>
      <w:r w:rsidR="00C56F0C">
        <w:rPr>
          <w:lang w:val="en-GB"/>
        </w:rPr>
        <w:lastRenderedPageBreak/>
        <w:t>33.</w:t>
      </w:r>
      <w:r w:rsidR="00F112CE">
        <w:rPr>
          <w:rStyle w:val="FootnoteReference"/>
          <w:lang w:val="en-GB"/>
        </w:rPr>
        <w:footnoteReference w:id="6"/>
      </w:r>
      <w:r w:rsidR="00C56F0C">
        <w:rPr>
          <w:lang w:val="en-GB"/>
        </w:rPr>
        <w:t xml:space="preserve"> </w:t>
      </w:r>
      <w:r w:rsidR="00627CD2">
        <w:rPr>
          <w:lang w:val="en-GB"/>
        </w:rPr>
        <w:t xml:space="preserve"> </w:t>
      </w:r>
      <w:r w:rsidR="00C56F0C">
        <w:rPr>
          <w:lang w:val="en-GB"/>
        </w:rPr>
        <w:t xml:space="preserve">The Minister declined to do so on the basis that </w:t>
      </w:r>
      <w:r w:rsidR="0042451E">
        <w:rPr>
          <w:lang w:val="en-GB"/>
        </w:rPr>
        <w:t xml:space="preserve">it would be premature to intervene whilst </w:t>
      </w:r>
      <w:r w:rsidR="00C56F0C">
        <w:rPr>
          <w:lang w:val="en-GB"/>
        </w:rPr>
        <w:t>there were ongoing internal investigations</w:t>
      </w:r>
      <w:r w:rsidR="0042451E">
        <w:rPr>
          <w:lang w:val="en-GB"/>
        </w:rPr>
        <w:t>.</w:t>
      </w:r>
    </w:p>
    <w:p w14:paraId="257F13EB" w14:textId="77777777" w:rsidR="0079288C" w:rsidRDefault="0079288C" w:rsidP="0079288C">
      <w:pPr>
        <w:pStyle w:val="JUDGMENTCONTINUED"/>
        <w:rPr>
          <w:lang w:val="en-GB"/>
        </w:rPr>
      </w:pPr>
    </w:p>
    <w:p w14:paraId="172BD5F9" w14:textId="12E21456" w:rsidR="00DE7FDA" w:rsidRDefault="00811729" w:rsidP="00811729">
      <w:pPr>
        <w:pStyle w:val="JUDGMENTNUMBERED"/>
        <w:numPr>
          <w:ilvl w:val="0"/>
          <w:numId w:val="0"/>
        </w:numPr>
        <w:rPr>
          <w:lang w:val="en-GB"/>
        </w:rPr>
      </w:pPr>
      <w:r>
        <w:rPr>
          <w:color w:val="000000"/>
          <w:lang w:val="en-GB"/>
        </w:rPr>
        <w:t>[15]</w:t>
      </w:r>
      <w:r>
        <w:rPr>
          <w:color w:val="000000"/>
          <w:lang w:val="en-GB"/>
        </w:rPr>
        <w:tab/>
      </w:r>
      <w:r w:rsidR="008C28C6">
        <w:t>Ms Hunter</w:t>
      </w:r>
      <w:r w:rsidR="0037223E">
        <w:t xml:space="preserve"> lodged an internal complaint with the </w:t>
      </w:r>
      <w:r w:rsidR="00FE673B">
        <w:t>FSCA</w:t>
      </w:r>
      <w:r w:rsidR="0037223E">
        <w:t xml:space="preserve"> </w:t>
      </w:r>
      <w:r w:rsidR="0082251D">
        <w:t>(</w:t>
      </w:r>
      <w:r w:rsidR="0037223E">
        <w:t>NCN</w:t>
      </w:r>
      <w:r w:rsidR="00FE0359">
        <w:t xml:space="preserve"> </w:t>
      </w:r>
      <w:r w:rsidR="0037223E">
        <w:t xml:space="preserve">1) </w:t>
      </w:r>
      <w:r w:rsidR="00F04D1D">
        <w:t xml:space="preserve">where she raised her concerns </w:t>
      </w:r>
      <w:r w:rsidR="00B17551">
        <w:t>about</w:t>
      </w:r>
      <w:r w:rsidR="00F04D1D">
        <w:t xml:space="preserve"> </w:t>
      </w:r>
      <w:r w:rsidR="0037223E">
        <w:t>th</w:t>
      </w:r>
      <w:r w:rsidR="00F04D1D">
        <w:t>e</w:t>
      </w:r>
      <w:r w:rsidR="0037223E">
        <w:t xml:space="preserve"> alleged unlawful conduct</w:t>
      </w:r>
      <w:r w:rsidR="00F04D1D">
        <w:t xml:space="preserve"> in respect of the </w:t>
      </w:r>
      <w:r w:rsidR="003F1E77">
        <w:t>c</w:t>
      </w:r>
      <w:r w:rsidR="00D7509F">
        <w:t xml:space="preserve">ancellations </w:t>
      </w:r>
      <w:r w:rsidR="003F1E77">
        <w:t>p</w:t>
      </w:r>
      <w:r w:rsidR="00F04D1D">
        <w:t>roject</w:t>
      </w:r>
      <w:r w:rsidR="0037223E">
        <w:t>.</w:t>
      </w:r>
      <w:r w:rsidR="00DF3B6D">
        <w:rPr>
          <w:rStyle w:val="FootnoteReference"/>
        </w:rPr>
        <w:footnoteReference w:id="7"/>
      </w:r>
      <w:r w:rsidR="0037223E">
        <w:t xml:space="preserve"> </w:t>
      </w:r>
      <w:r w:rsidR="00FE4EB6">
        <w:t xml:space="preserve"> </w:t>
      </w:r>
      <w:r w:rsidR="0037223E">
        <w:t xml:space="preserve">In response, the </w:t>
      </w:r>
      <w:r w:rsidR="00FE673B">
        <w:rPr>
          <w:lang w:val="en-GB"/>
        </w:rPr>
        <w:t>FSCA</w:t>
      </w:r>
      <w:r w:rsidR="00DE7FDA" w:rsidRPr="0079288C">
        <w:rPr>
          <w:lang w:val="en-GB"/>
        </w:rPr>
        <w:t xml:space="preserve"> appointed former </w:t>
      </w:r>
      <w:r w:rsidR="001C5479">
        <w:rPr>
          <w:lang w:val="en-GB"/>
        </w:rPr>
        <w:t xml:space="preserve">Judge of the </w:t>
      </w:r>
      <w:r w:rsidR="00DE7FDA" w:rsidRPr="0079288C">
        <w:rPr>
          <w:lang w:val="en-GB"/>
        </w:rPr>
        <w:t xml:space="preserve">Constitutional Court, </w:t>
      </w:r>
      <w:r w:rsidR="0042451E" w:rsidRPr="0079288C">
        <w:rPr>
          <w:lang w:val="en-GB"/>
        </w:rPr>
        <w:t xml:space="preserve">Justice </w:t>
      </w:r>
      <w:proofErr w:type="spellStart"/>
      <w:r w:rsidR="00DE7FDA" w:rsidRPr="0079288C">
        <w:rPr>
          <w:lang w:val="en-GB"/>
        </w:rPr>
        <w:t>O’Regan</w:t>
      </w:r>
      <w:proofErr w:type="spellEnd"/>
      <w:r w:rsidR="00DE7FDA" w:rsidRPr="0079288C">
        <w:rPr>
          <w:lang w:val="en-GB"/>
        </w:rPr>
        <w:t xml:space="preserve">, to chair an </w:t>
      </w:r>
      <w:r w:rsidR="000A6875">
        <w:rPr>
          <w:lang w:val="en-GB"/>
        </w:rPr>
        <w:t>i</w:t>
      </w:r>
      <w:r w:rsidR="00D51C71">
        <w:rPr>
          <w:lang w:val="en-GB"/>
        </w:rPr>
        <w:t>nquiry</w:t>
      </w:r>
      <w:r w:rsidR="00DE7FDA" w:rsidRPr="0079288C">
        <w:rPr>
          <w:lang w:val="en-GB"/>
        </w:rPr>
        <w:t xml:space="preserve"> into </w:t>
      </w:r>
      <w:r w:rsidR="008C28C6">
        <w:t>Ms Hunter</w:t>
      </w:r>
      <w:r w:rsidR="00DE7FDA" w:rsidRPr="0079288C">
        <w:rPr>
          <w:lang w:val="en-GB"/>
        </w:rPr>
        <w:t>’s NCN</w:t>
      </w:r>
      <w:r w:rsidR="00DF3B6D" w:rsidRPr="0079288C">
        <w:rPr>
          <w:lang w:val="en-GB"/>
        </w:rPr>
        <w:t xml:space="preserve"> </w:t>
      </w:r>
      <w:r w:rsidR="00DE7FDA" w:rsidRPr="0079288C">
        <w:rPr>
          <w:lang w:val="en-GB"/>
        </w:rPr>
        <w:t xml:space="preserve">1.  </w:t>
      </w:r>
      <w:r w:rsidR="0053786B">
        <w:rPr>
          <w:lang w:val="en-GB"/>
        </w:rPr>
        <w:t>The</w:t>
      </w:r>
      <w:r w:rsidR="00DE7FDA" w:rsidRPr="0079288C">
        <w:rPr>
          <w:lang w:val="en-GB"/>
        </w:rPr>
        <w:t xml:space="preserve"> </w:t>
      </w:r>
      <w:proofErr w:type="spellStart"/>
      <w:r w:rsidR="00DE7FDA" w:rsidRPr="0079288C">
        <w:rPr>
          <w:lang w:val="en-GB"/>
        </w:rPr>
        <w:t>O’Regan</w:t>
      </w:r>
      <w:proofErr w:type="spellEnd"/>
      <w:r w:rsidR="00DE7FDA" w:rsidRPr="0079288C">
        <w:rPr>
          <w:lang w:val="en-GB"/>
        </w:rPr>
        <w:t xml:space="preserve"> report</w:t>
      </w:r>
      <w:r w:rsidR="009B1DC1">
        <w:rPr>
          <w:rStyle w:val="FootnoteReference"/>
          <w:lang w:val="en-GB"/>
        </w:rPr>
        <w:footnoteReference w:id="8"/>
      </w:r>
      <w:r w:rsidR="009C0CFE" w:rsidRPr="0079288C">
        <w:rPr>
          <w:lang w:val="en-GB"/>
        </w:rPr>
        <w:t xml:space="preserve"> </w:t>
      </w:r>
      <w:r w:rsidR="0037223E" w:rsidRPr="0079288C">
        <w:rPr>
          <w:lang w:val="en-GB"/>
        </w:rPr>
        <w:t xml:space="preserve">found, amongst other things, that the </w:t>
      </w:r>
      <w:r w:rsidR="0053786B">
        <w:rPr>
          <w:lang w:val="en-GB"/>
        </w:rPr>
        <w:t>r</w:t>
      </w:r>
      <w:r w:rsidR="0037223E" w:rsidRPr="0079288C">
        <w:rPr>
          <w:lang w:val="en-GB"/>
        </w:rPr>
        <w:t>egistrar’s appointment of the “</w:t>
      </w:r>
      <w:r w:rsidR="00DE7FDA" w:rsidRPr="0079288C">
        <w:rPr>
          <w:lang w:val="en-GB"/>
        </w:rPr>
        <w:t>authorised</w:t>
      </w:r>
      <w:r w:rsidR="0037223E" w:rsidRPr="0079288C">
        <w:rPr>
          <w:lang w:val="en-GB"/>
        </w:rPr>
        <w:t xml:space="preserve"> representatives” was unlawful but that the issue of the lawfulness of the appointment of the section 26(2) trustees was uncertain. </w:t>
      </w:r>
      <w:r w:rsidR="00FE0359" w:rsidRPr="0079288C">
        <w:rPr>
          <w:lang w:val="en-GB"/>
        </w:rPr>
        <w:t xml:space="preserve"> </w:t>
      </w:r>
      <w:r w:rsidR="0037223E" w:rsidRPr="0079288C">
        <w:rPr>
          <w:lang w:val="en-GB"/>
        </w:rPr>
        <w:t xml:space="preserve">Justice </w:t>
      </w:r>
      <w:proofErr w:type="spellStart"/>
      <w:r w:rsidR="0037223E" w:rsidRPr="0079288C">
        <w:rPr>
          <w:lang w:val="en-GB"/>
        </w:rPr>
        <w:t>O’Regan</w:t>
      </w:r>
      <w:proofErr w:type="spellEnd"/>
      <w:r w:rsidR="0037223E" w:rsidRPr="0079288C">
        <w:rPr>
          <w:lang w:val="en-GB"/>
        </w:rPr>
        <w:t xml:space="preserve"> </w:t>
      </w:r>
      <w:r w:rsidR="00DA72C1" w:rsidRPr="0079288C">
        <w:rPr>
          <w:lang w:val="en-GB"/>
        </w:rPr>
        <w:t xml:space="preserve">recommended that the </w:t>
      </w:r>
      <w:r w:rsidR="00FE673B">
        <w:rPr>
          <w:lang w:val="en-GB"/>
        </w:rPr>
        <w:t>FSCA</w:t>
      </w:r>
      <w:r w:rsidR="00DA72C1" w:rsidRPr="0079288C">
        <w:rPr>
          <w:lang w:val="en-GB"/>
        </w:rPr>
        <w:t xml:space="preserve"> </w:t>
      </w:r>
      <w:r w:rsidR="0037223E" w:rsidRPr="0079288C">
        <w:rPr>
          <w:lang w:val="en-GB"/>
        </w:rPr>
        <w:t xml:space="preserve">appoint an independent firm of auditors to </w:t>
      </w:r>
      <w:r w:rsidR="00DA72C1" w:rsidRPr="0079288C">
        <w:rPr>
          <w:lang w:val="en-GB"/>
        </w:rPr>
        <w:t xml:space="preserve">conduct an investigation of a statistically significant sample of funds to determine the likelihood of </w:t>
      </w:r>
      <w:r w:rsidR="00F34DDA">
        <w:rPr>
          <w:lang w:val="en-GB"/>
        </w:rPr>
        <w:t xml:space="preserve">material </w:t>
      </w:r>
      <w:r w:rsidR="00DA72C1" w:rsidRPr="0079288C">
        <w:rPr>
          <w:lang w:val="en-GB"/>
        </w:rPr>
        <w:t xml:space="preserve">financial prejudice that may have occurred due to the manner in which the </w:t>
      </w:r>
      <w:r w:rsidR="001C5479">
        <w:rPr>
          <w:lang w:val="en-GB" w:eastAsia="zh-CN"/>
        </w:rPr>
        <w:t>c</w:t>
      </w:r>
      <w:r w:rsidR="00DA72C1" w:rsidRPr="0079288C">
        <w:rPr>
          <w:lang w:val="en-GB"/>
        </w:rPr>
        <w:t xml:space="preserve">ancellations </w:t>
      </w:r>
      <w:r w:rsidR="001C5479">
        <w:rPr>
          <w:lang w:val="en-GB" w:eastAsia="zh-CN"/>
        </w:rPr>
        <w:t>p</w:t>
      </w:r>
      <w:r w:rsidR="00DA72C1" w:rsidRPr="0079288C">
        <w:rPr>
          <w:lang w:val="en-GB"/>
        </w:rPr>
        <w:t xml:space="preserve">roject was conducted. </w:t>
      </w:r>
      <w:r w:rsidR="002D1E15" w:rsidRPr="0079288C">
        <w:rPr>
          <w:lang w:val="en-GB" w:eastAsia="zh-CN"/>
        </w:rPr>
        <w:t xml:space="preserve"> </w:t>
      </w:r>
      <w:r w:rsidR="00DA72C1" w:rsidRPr="0079288C">
        <w:rPr>
          <w:lang w:val="en-GB"/>
        </w:rPr>
        <w:t xml:space="preserve">In her report, Justice </w:t>
      </w:r>
      <w:proofErr w:type="spellStart"/>
      <w:r w:rsidR="00DA72C1" w:rsidRPr="0079288C">
        <w:rPr>
          <w:lang w:val="en-GB"/>
        </w:rPr>
        <w:t>O’Regan</w:t>
      </w:r>
      <w:proofErr w:type="spellEnd"/>
      <w:r w:rsidR="00DA72C1" w:rsidRPr="0079288C">
        <w:rPr>
          <w:lang w:val="en-GB"/>
        </w:rPr>
        <w:t xml:space="preserve"> stated that no </w:t>
      </w:r>
      <w:r w:rsidR="00DE7FDA" w:rsidRPr="0079288C">
        <w:rPr>
          <w:lang w:val="en-GB"/>
        </w:rPr>
        <w:t xml:space="preserve">evidence was placed before </w:t>
      </w:r>
      <w:r w:rsidR="00DA72C1" w:rsidRPr="0079288C">
        <w:rPr>
          <w:lang w:val="en-GB"/>
        </w:rPr>
        <w:t xml:space="preserve">her that </w:t>
      </w:r>
      <w:r w:rsidR="00DE7FDA" w:rsidRPr="0079288C">
        <w:rPr>
          <w:lang w:val="en-GB"/>
        </w:rPr>
        <w:t>suggested that there w</w:t>
      </w:r>
      <w:r w:rsidR="0053786B">
        <w:rPr>
          <w:lang w:val="en-GB"/>
        </w:rPr>
        <w:t>ere</w:t>
      </w:r>
      <w:r w:rsidR="00DE7FDA" w:rsidRPr="0079288C">
        <w:rPr>
          <w:lang w:val="en-GB"/>
        </w:rPr>
        <w:t xml:space="preserve"> improper</w:t>
      </w:r>
      <w:r w:rsidR="003F59FE" w:rsidRPr="0079288C">
        <w:rPr>
          <w:lang w:val="en-GB"/>
        </w:rPr>
        <w:t>,</w:t>
      </w:r>
      <w:r w:rsidR="00DE7FDA" w:rsidRPr="0079288C">
        <w:rPr>
          <w:lang w:val="en-GB"/>
        </w:rPr>
        <w:t xml:space="preserve"> dishonest or corrupt actions in administering and deal</w:t>
      </w:r>
      <w:r w:rsidR="00DA72C1" w:rsidRPr="0079288C">
        <w:rPr>
          <w:lang w:val="en-GB"/>
        </w:rPr>
        <w:t>ing with dormant pension funds</w:t>
      </w:r>
      <w:r w:rsidR="003F59FE" w:rsidRPr="0079288C">
        <w:rPr>
          <w:lang w:val="en-GB"/>
        </w:rPr>
        <w:t>.</w:t>
      </w:r>
    </w:p>
    <w:p w14:paraId="07BC5C65" w14:textId="77777777" w:rsidR="0079288C" w:rsidRPr="0079288C" w:rsidRDefault="0079288C" w:rsidP="0079288C">
      <w:pPr>
        <w:pStyle w:val="JUDGMENTCONTINUED"/>
        <w:rPr>
          <w:lang w:val="en-GB"/>
        </w:rPr>
      </w:pPr>
    </w:p>
    <w:p w14:paraId="6031453D" w14:textId="3EF9DEB8" w:rsidR="00DE7FDA" w:rsidRPr="00167113" w:rsidRDefault="00811729" w:rsidP="00811729">
      <w:pPr>
        <w:pStyle w:val="JUDGMENTNUMBERED"/>
        <w:numPr>
          <w:ilvl w:val="0"/>
          <w:numId w:val="0"/>
        </w:numPr>
      </w:pPr>
      <w:r w:rsidRPr="00167113">
        <w:rPr>
          <w:color w:val="000000"/>
        </w:rPr>
        <w:lastRenderedPageBreak/>
        <w:t>[16]</w:t>
      </w:r>
      <w:r w:rsidRPr="00167113">
        <w:rPr>
          <w:color w:val="000000"/>
        </w:rPr>
        <w:tab/>
      </w:r>
      <w:r w:rsidR="00DA72C1">
        <w:t xml:space="preserve">Pursuant to Justice </w:t>
      </w:r>
      <w:proofErr w:type="spellStart"/>
      <w:r w:rsidR="00DA72C1">
        <w:t>O’Regan’s</w:t>
      </w:r>
      <w:proofErr w:type="spellEnd"/>
      <w:r w:rsidR="00DA72C1">
        <w:t xml:space="preserve"> recommendations, the </w:t>
      </w:r>
      <w:r w:rsidR="00FE673B">
        <w:t>FSCA</w:t>
      </w:r>
      <w:r w:rsidR="00DA72C1">
        <w:t xml:space="preserve"> appointed </w:t>
      </w:r>
      <w:r w:rsidR="00DE7FDA" w:rsidRPr="00167113">
        <w:t>KPMG to conduct</w:t>
      </w:r>
      <w:r w:rsidR="00DA72C1">
        <w:t xml:space="preserve"> an investigation.  </w:t>
      </w:r>
      <w:r w:rsidR="00FA1C3F">
        <w:rPr>
          <w:lang w:eastAsia="zh-CN"/>
        </w:rPr>
        <w:t>D</w:t>
      </w:r>
      <w:r w:rsidR="002D1E15">
        <w:t xml:space="preserve">issatisfied with the </w:t>
      </w:r>
      <w:r w:rsidR="00FE673B">
        <w:t>FSCA</w:t>
      </w:r>
      <w:r w:rsidR="002D1E15">
        <w:t xml:space="preserve">’s response to her complaints, </w:t>
      </w:r>
      <w:r w:rsidR="008C28C6">
        <w:t>Ms Hunter</w:t>
      </w:r>
      <w:r w:rsidR="002D1E15">
        <w:t xml:space="preserve"> lodged a second internal complaint (NCN 2) dealing with the </w:t>
      </w:r>
      <w:r w:rsidR="00FE673B">
        <w:t>FSCA</w:t>
      </w:r>
      <w:r w:rsidR="002D1E15" w:rsidRPr="00167113">
        <w:t xml:space="preserve">’s failure </w:t>
      </w:r>
      <w:r w:rsidR="002D1E15">
        <w:t xml:space="preserve">to </w:t>
      </w:r>
      <w:r w:rsidR="002D1E15" w:rsidRPr="00167113">
        <w:t xml:space="preserve">properly deal with her allegations against </w:t>
      </w:r>
      <w:r w:rsidR="002D1E15">
        <w:t xml:space="preserve">the </w:t>
      </w:r>
      <w:r w:rsidR="0053786B">
        <w:t>registrar</w:t>
      </w:r>
      <w:r w:rsidR="002D1E15" w:rsidRPr="00167113">
        <w:t>.</w:t>
      </w:r>
      <w:r w:rsidR="00DF3B6D">
        <w:rPr>
          <w:rStyle w:val="FootnoteReference"/>
        </w:rPr>
        <w:footnoteReference w:id="9"/>
      </w:r>
      <w:r w:rsidR="002D1E15">
        <w:t xml:space="preserve"> </w:t>
      </w:r>
      <w:r w:rsidR="002D1E15">
        <w:rPr>
          <w:rFonts w:hint="eastAsia"/>
          <w:lang w:eastAsia="zh-CN"/>
        </w:rPr>
        <w:t xml:space="preserve"> </w:t>
      </w:r>
      <w:r w:rsidR="0082251D">
        <w:t>K</w:t>
      </w:r>
      <w:r w:rsidR="00D454CA">
        <w:t>PMG investigated a sample of 510</w:t>
      </w:r>
      <w:r w:rsidR="000A6875">
        <w:t xml:space="preserve"> cancelled</w:t>
      </w:r>
      <w:r w:rsidR="0082251D">
        <w:t xml:space="preserve"> funds and subm</w:t>
      </w:r>
      <w:r w:rsidR="009E69CD">
        <w:t>itted its report in October 2015</w:t>
      </w:r>
      <w:r w:rsidR="0082251D">
        <w:t xml:space="preserve">. </w:t>
      </w:r>
      <w:r w:rsidR="009C69B0">
        <w:rPr>
          <w:rFonts w:hint="eastAsia"/>
          <w:lang w:eastAsia="zh-CN"/>
        </w:rPr>
        <w:t xml:space="preserve"> </w:t>
      </w:r>
      <w:r w:rsidR="009B1DC1">
        <w:rPr>
          <w:lang w:eastAsia="zh-CN"/>
        </w:rPr>
        <w:t xml:space="preserve">In its report, </w:t>
      </w:r>
      <w:r w:rsidR="0082251D">
        <w:t>KPMG</w:t>
      </w:r>
      <w:r w:rsidR="009B1DC1">
        <w:t xml:space="preserve"> indicated that it</w:t>
      </w:r>
      <w:r w:rsidR="00DE7FDA" w:rsidRPr="00167113">
        <w:t xml:space="preserve"> was unable to confirm that the </w:t>
      </w:r>
      <w:r w:rsidR="00DA72C1">
        <w:t xml:space="preserve">information available to the </w:t>
      </w:r>
      <w:r w:rsidR="0053786B">
        <w:t>r</w:t>
      </w:r>
      <w:r w:rsidR="00DE7FDA" w:rsidRPr="00167113">
        <w:t xml:space="preserve">egistrar </w:t>
      </w:r>
      <w:r w:rsidR="009B1DC1">
        <w:t xml:space="preserve">when taking the decision to cancel the funds in question </w:t>
      </w:r>
      <w:r w:rsidR="00DE7FDA" w:rsidRPr="00167113">
        <w:t>was sufficient for a reasonable per</w:t>
      </w:r>
      <w:r w:rsidR="0082251D">
        <w:t>son</w:t>
      </w:r>
      <w:r w:rsidR="00E315E4">
        <w:t xml:space="preserve"> in the position of the </w:t>
      </w:r>
      <w:r w:rsidR="0053786B">
        <w:t>r</w:t>
      </w:r>
      <w:r w:rsidR="00E315E4">
        <w:t>egistrar</w:t>
      </w:r>
      <w:r w:rsidR="0082251D">
        <w:t xml:space="preserve"> to have concluded that the</w:t>
      </w:r>
      <w:r w:rsidR="00DE7FDA" w:rsidRPr="00167113">
        <w:t xml:space="preserve"> funds had ceased to exist.  </w:t>
      </w:r>
      <w:r w:rsidR="00E315E4">
        <w:t xml:space="preserve">KPMG then recommended that a further investigation be conducted with a view </w:t>
      </w:r>
      <w:r w:rsidR="0053786B">
        <w:t>to</w:t>
      </w:r>
      <w:r w:rsidR="00E315E4">
        <w:t xml:space="preserve"> provid</w:t>
      </w:r>
      <w:r w:rsidR="0053786B">
        <w:t>e</w:t>
      </w:r>
      <w:r w:rsidR="00E315E4">
        <w:t xml:space="preserve"> “a final determination and quantification of actual prejudice, if any”.</w:t>
      </w:r>
    </w:p>
    <w:p w14:paraId="5D3A17FD" w14:textId="77777777" w:rsidR="009E69CD" w:rsidRDefault="009E69CD" w:rsidP="003725DF">
      <w:pPr>
        <w:pStyle w:val="JUDGMENTCONTINUED"/>
      </w:pPr>
    </w:p>
    <w:p w14:paraId="18B73528" w14:textId="3A43329F" w:rsidR="00D250A3" w:rsidRPr="00D250A3" w:rsidRDefault="00811729" w:rsidP="00811729">
      <w:pPr>
        <w:pStyle w:val="JUDGMENTNUMBERED"/>
        <w:numPr>
          <w:ilvl w:val="0"/>
          <w:numId w:val="0"/>
        </w:numPr>
      </w:pPr>
      <w:r w:rsidRPr="00D250A3">
        <w:rPr>
          <w:color w:val="000000"/>
        </w:rPr>
        <w:t>[17]</w:t>
      </w:r>
      <w:r w:rsidRPr="00D250A3">
        <w:rPr>
          <w:color w:val="000000"/>
        </w:rPr>
        <w:tab/>
      </w:r>
      <w:r w:rsidR="009E69CD">
        <w:t>T</w:t>
      </w:r>
      <w:r w:rsidR="00DE7FDA" w:rsidRPr="00167113">
        <w:t xml:space="preserve">he </w:t>
      </w:r>
      <w:r w:rsidR="00FE673B">
        <w:t>FSCA</w:t>
      </w:r>
      <w:r w:rsidR="00DF3B6D">
        <w:t xml:space="preserve"> </w:t>
      </w:r>
      <w:r w:rsidR="00F04D1D">
        <w:t xml:space="preserve">was </w:t>
      </w:r>
      <w:r w:rsidR="00DE7FDA" w:rsidRPr="00167113">
        <w:t>not satisfied with th</w:t>
      </w:r>
      <w:r w:rsidR="00D250A3">
        <w:t xml:space="preserve">e KPMG investigation and report. </w:t>
      </w:r>
      <w:r w:rsidR="00EE41A3">
        <w:t xml:space="preserve"> </w:t>
      </w:r>
      <w:r w:rsidR="00D250A3">
        <w:t>I</w:t>
      </w:r>
      <w:r w:rsidR="00EE41A3">
        <w:t>n its view,</w:t>
      </w:r>
      <w:r w:rsidR="00D250A3">
        <w:t xml:space="preserve"> KPMG merely calculated a statistical possibility of prejudice using a computer analysis of only the </w:t>
      </w:r>
      <w:r w:rsidR="00FE673B">
        <w:t>FSCA</w:t>
      </w:r>
      <w:r w:rsidR="00D250A3">
        <w:t>’s records and based their assessment as auditors o</w:t>
      </w:r>
      <w:r w:rsidR="003F59FE">
        <w:t>n</w:t>
      </w:r>
      <w:r w:rsidR="00D250A3">
        <w:t xml:space="preserve"> the reliability of the evidence in possession of the </w:t>
      </w:r>
      <w:r w:rsidR="00FE673B">
        <w:t>FSCA</w:t>
      </w:r>
      <w:r w:rsidR="00D250A3">
        <w:t xml:space="preserve"> that the funds no longer had any assets or liabilities. </w:t>
      </w:r>
      <w:r w:rsidR="00EE41A3">
        <w:t xml:space="preserve"> </w:t>
      </w:r>
      <w:r w:rsidR="00D250A3">
        <w:t>In its report, KPMG merely stated that it ha</w:t>
      </w:r>
      <w:r w:rsidR="003F59FE">
        <w:t>d</w:t>
      </w:r>
      <w:r w:rsidR="00D250A3">
        <w:t xml:space="preserve"> calculated the indicative potential prejudice and that further investigation would have to be done to determine </w:t>
      </w:r>
      <w:r w:rsidR="003503AB">
        <w:t xml:space="preserve">the </w:t>
      </w:r>
      <w:r w:rsidR="00D250A3">
        <w:t xml:space="preserve">actual prejudice, if any. </w:t>
      </w:r>
      <w:r w:rsidR="00EE41A3">
        <w:t xml:space="preserve"> </w:t>
      </w:r>
      <w:r w:rsidR="00B74394">
        <w:t xml:space="preserve">KPMG reported to the </w:t>
      </w:r>
      <w:r w:rsidR="00FE673B">
        <w:t>FSCA</w:t>
      </w:r>
      <w:r w:rsidR="00B74394">
        <w:t xml:space="preserve"> that they had made an assessment of the “likeliness of potential prejudice” which it said was “a lower burden of certainty than prima facie”. </w:t>
      </w:r>
      <w:r w:rsidR="00FE0359">
        <w:t xml:space="preserve"> </w:t>
      </w:r>
      <w:r w:rsidR="00B74394">
        <w:t xml:space="preserve">When the </w:t>
      </w:r>
      <w:r w:rsidR="00FE673B">
        <w:t>FSCA</w:t>
      </w:r>
      <w:r w:rsidR="00B74394">
        <w:t xml:space="preserve"> expressed its dissatisfaction, KPMG suggested that it</w:t>
      </w:r>
      <w:r w:rsidR="0053786B">
        <w:t>s report be</w:t>
      </w:r>
      <w:r w:rsidR="00C81701">
        <w:t xml:space="preserve"> </w:t>
      </w:r>
      <w:r w:rsidR="00B74394">
        <w:t>refer</w:t>
      </w:r>
      <w:r w:rsidR="0053786B">
        <w:t>red</w:t>
      </w:r>
      <w:r w:rsidR="00B74394">
        <w:t xml:space="preserve"> to Justice </w:t>
      </w:r>
      <w:proofErr w:type="spellStart"/>
      <w:r w:rsidR="00B74394">
        <w:t>O’Regan</w:t>
      </w:r>
      <w:proofErr w:type="spellEnd"/>
      <w:r w:rsidR="00B74394">
        <w:t xml:space="preserve"> for consideration. </w:t>
      </w:r>
      <w:r w:rsidR="00FE0359">
        <w:t xml:space="preserve"> </w:t>
      </w:r>
      <w:r w:rsidR="00B74394">
        <w:t xml:space="preserve">The </w:t>
      </w:r>
      <w:r w:rsidR="00FE673B">
        <w:t>FSCA</w:t>
      </w:r>
      <w:r w:rsidR="00B74394">
        <w:t xml:space="preserve"> accordingly approached </w:t>
      </w:r>
      <w:r w:rsidR="00D250A3">
        <w:t xml:space="preserve">Justice </w:t>
      </w:r>
      <w:proofErr w:type="spellStart"/>
      <w:r w:rsidR="00D250A3">
        <w:t>O’Regan</w:t>
      </w:r>
      <w:proofErr w:type="spellEnd"/>
      <w:r w:rsidR="00B74394">
        <w:t xml:space="preserve"> but she</w:t>
      </w:r>
      <w:r w:rsidR="00D250A3">
        <w:t xml:space="preserve"> declined to review the report</w:t>
      </w:r>
      <w:r w:rsidR="00B74394">
        <w:t xml:space="preserve"> </w:t>
      </w:r>
      <w:r w:rsidR="003F59FE">
        <w:t xml:space="preserve">citing </w:t>
      </w:r>
      <w:r w:rsidR="00B74394">
        <w:t xml:space="preserve">her lack of expertise in the field of pension law </w:t>
      </w:r>
      <w:r w:rsidR="00D250A3">
        <w:t xml:space="preserve">and recommended that the </w:t>
      </w:r>
      <w:r w:rsidR="00FE673B">
        <w:t>FSCA</w:t>
      </w:r>
      <w:r w:rsidR="00D250A3">
        <w:t xml:space="preserve"> approach senior counsel </w:t>
      </w:r>
      <w:r w:rsidR="00DF3B6D">
        <w:t xml:space="preserve">who specialised in the field of pension law </w:t>
      </w:r>
      <w:r w:rsidR="00D250A3">
        <w:t>instead</w:t>
      </w:r>
      <w:r w:rsidR="00B74394">
        <w:t>.</w:t>
      </w:r>
    </w:p>
    <w:p w14:paraId="477EF6C1" w14:textId="77777777" w:rsidR="00AD5E0E" w:rsidRPr="00AD5E0E" w:rsidRDefault="00AD5E0E" w:rsidP="00AD5E0E">
      <w:pPr>
        <w:pStyle w:val="JUDGMENTCONTINUED"/>
      </w:pPr>
    </w:p>
    <w:p w14:paraId="6CCD1EEE" w14:textId="2EDB9DD8" w:rsidR="00DE7FDA" w:rsidRPr="00AD5E0E" w:rsidRDefault="00811729" w:rsidP="00811729">
      <w:pPr>
        <w:pStyle w:val="JUDGMENTNUMBERED"/>
        <w:numPr>
          <w:ilvl w:val="0"/>
          <w:numId w:val="0"/>
        </w:numPr>
        <w:rPr>
          <w:i/>
        </w:rPr>
      </w:pPr>
      <w:r w:rsidRPr="00AD5E0E">
        <w:rPr>
          <w:color w:val="000000"/>
        </w:rPr>
        <w:t>[18]</w:t>
      </w:r>
      <w:r w:rsidRPr="00AD5E0E">
        <w:rPr>
          <w:color w:val="000000"/>
        </w:rPr>
        <w:tab/>
      </w:r>
      <w:r w:rsidR="00AD5E0E">
        <w:t xml:space="preserve">The </w:t>
      </w:r>
      <w:r w:rsidR="00FE673B">
        <w:t>FSCA</w:t>
      </w:r>
      <w:r w:rsidR="00AD5E0E">
        <w:t xml:space="preserve"> </w:t>
      </w:r>
      <w:r w:rsidR="00EE41A3">
        <w:t xml:space="preserve">proceeded to </w:t>
      </w:r>
      <w:r w:rsidR="00DE7FDA" w:rsidRPr="00167113">
        <w:t>appoint Mr Mort, an attorne</w:t>
      </w:r>
      <w:r w:rsidR="00AD5E0E">
        <w:t xml:space="preserve">y specialising in pension funds, with the assistance of </w:t>
      </w:r>
      <w:r w:rsidR="00DE7FDA" w:rsidRPr="00167113">
        <w:t>an ex</w:t>
      </w:r>
      <w:r w:rsidR="00AD5E0E">
        <w:t xml:space="preserve">perienced pension funds actuary, to </w:t>
      </w:r>
      <w:r w:rsidR="00DE7FDA" w:rsidRPr="00167113">
        <w:t>review the KPMG report</w:t>
      </w:r>
      <w:r w:rsidR="00AD5E0E">
        <w:t xml:space="preserve"> and advise the </w:t>
      </w:r>
      <w:r w:rsidR="00FE673B">
        <w:t>FSCA</w:t>
      </w:r>
      <w:r w:rsidR="00AD5E0E">
        <w:t xml:space="preserve"> on the way forward. </w:t>
      </w:r>
      <w:r w:rsidR="00AD5E0E" w:rsidRPr="003725DF">
        <w:t xml:space="preserve"> </w:t>
      </w:r>
      <w:r w:rsidR="00DE7FDA" w:rsidRPr="00167113">
        <w:t>Mr Mort submitted his First</w:t>
      </w:r>
      <w:r w:rsidR="00315512">
        <w:t> </w:t>
      </w:r>
      <w:r w:rsidR="00DE7FDA" w:rsidRPr="00167113">
        <w:t>Inspection Report on 7 J</w:t>
      </w:r>
      <w:r w:rsidR="00AD5E0E">
        <w:t xml:space="preserve">une 2016 in which </w:t>
      </w:r>
      <w:r w:rsidR="008B2975">
        <w:t xml:space="preserve">he </w:t>
      </w:r>
      <w:r w:rsidR="00AD5E0E">
        <w:t xml:space="preserve">concluded that, although some of the funds assessed </w:t>
      </w:r>
      <w:r w:rsidR="00AD5E0E">
        <w:lastRenderedPageBreak/>
        <w:t xml:space="preserve">had assets at the time of their cancellations, there was </w:t>
      </w:r>
      <w:r w:rsidR="00DE7FDA" w:rsidRPr="00167113">
        <w:t>no evidence of any material financial prejudice having been su</w:t>
      </w:r>
      <w:r w:rsidR="008B2975">
        <w:t>stained</w:t>
      </w:r>
      <w:r w:rsidR="00DE7FDA" w:rsidRPr="00167113">
        <w:t xml:space="preserve"> by any member, beneficiary or creditor of those funds. </w:t>
      </w:r>
      <w:r w:rsidR="008B2975">
        <w:t xml:space="preserve"> </w:t>
      </w:r>
      <w:r w:rsidR="00DE7FDA" w:rsidRPr="00167113">
        <w:t>Mr Mort submitted his Second Inspection R</w:t>
      </w:r>
      <w:r w:rsidR="00AD5E0E">
        <w:t xml:space="preserve">eport on </w:t>
      </w:r>
      <w:r w:rsidR="001752BB">
        <w:t>24 </w:t>
      </w:r>
      <w:r w:rsidR="00AD5E0E">
        <w:t xml:space="preserve">November 2016 in which he found that </w:t>
      </w:r>
      <w:r w:rsidR="00DE7FDA" w:rsidRPr="00167113">
        <w:t xml:space="preserve">there </w:t>
      </w:r>
      <w:r w:rsidR="008B2975">
        <w:t>was</w:t>
      </w:r>
      <w:r w:rsidR="00DE7FDA" w:rsidRPr="00167113">
        <w:t xml:space="preserve"> no indication that any section</w:t>
      </w:r>
      <w:r w:rsidR="00324ED4">
        <w:t> </w:t>
      </w:r>
      <w:r w:rsidR="00DE7FDA" w:rsidRPr="00167113">
        <w:t>26</w:t>
      </w:r>
      <w:r w:rsidR="006760DF">
        <w:t>(2)</w:t>
      </w:r>
      <w:r w:rsidR="00DE7FDA" w:rsidRPr="00167113">
        <w:t xml:space="preserve"> trustee or authorised representative employ</w:t>
      </w:r>
      <w:r w:rsidR="008B2975">
        <w:t>ed by an</w:t>
      </w:r>
      <w:r w:rsidR="008B2975" w:rsidRPr="00167113">
        <w:t xml:space="preserve"> administrator</w:t>
      </w:r>
      <w:r w:rsidR="00DE7FDA" w:rsidRPr="00167113">
        <w:t xml:space="preserve"> </w:t>
      </w:r>
      <w:r w:rsidR="008B2975">
        <w:t xml:space="preserve">had </w:t>
      </w:r>
      <w:r w:rsidR="00DE7FDA" w:rsidRPr="00167113">
        <w:t xml:space="preserve">acted in </w:t>
      </w:r>
      <w:r w:rsidR="008B2975">
        <w:t xml:space="preserve">a manner that </w:t>
      </w:r>
      <w:r w:rsidR="009E69CD" w:rsidRPr="00167113">
        <w:t>confer</w:t>
      </w:r>
      <w:r w:rsidR="009E69CD">
        <w:t>red</w:t>
      </w:r>
      <w:r w:rsidR="00DE7FDA" w:rsidRPr="00167113">
        <w:t xml:space="preserve"> an improper advantage or benefit on their employer</w:t>
      </w:r>
      <w:r w:rsidR="008B2975">
        <w:t>,</w:t>
      </w:r>
      <w:r w:rsidR="009E69CD">
        <w:t xml:space="preserve"> </w:t>
      </w:r>
      <w:r w:rsidR="00AD5E0E">
        <w:t>being the pension fund administrators</w:t>
      </w:r>
      <w:r w:rsidR="00DE7FDA" w:rsidRPr="00167113">
        <w:t xml:space="preserve">. </w:t>
      </w:r>
      <w:r w:rsidR="008B2975">
        <w:t xml:space="preserve"> The Third Inspection </w:t>
      </w:r>
      <w:r w:rsidR="0053786B">
        <w:t>R</w:t>
      </w:r>
      <w:r w:rsidR="008B2975">
        <w:t>eport was issued o</w:t>
      </w:r>
      <w:r w:rsidR="00DE7FDA" w:rsidRPr="00167113">
        <w:t xml:space="preserve">n </w:t>
      </w:r>
      <w:r w:rsidR="001752BB" w:rsidRPr="00167113">
        <w:t>21</w:t>
      </w:r>
      <w:r w:rsidR="001752BB">
        <w:t> </w:t>
      </w:r>
      <w:r w:rsidR="00DE7FDA" w:rsidRPr="00167113">
        <w:t>December 2016</w:t>
      </w:r>
      <w:r w:rsidR="009C69B0">
        <w:rPr>
          <w:rFonts w:hint="eastAsia"/>
          <w:lang w:eastAsia="zh-CN"/>
        </w:rPr>
        <w:t xml:space="preserve"> </w:t>
      </w:r>
      <w:r w:rsidR="008B2975">
        <w:t>w</w:t>
      </w:r>
      <w:r w:rsidR="009C69B0">
        <w:rPr>
          <w:rFonts w:hint="eastAsia"/>
          <w:lang w:eastAsia="zh-CN"/>
        </w:rPr>
        <w:t>h</w:t>
      </w:r>
      <w:r w:rsidR="008B2975">
        <w:t>erein Mr Mort</w:t>
      </w:r>
      <w:r w:rsidR="00DE7FDA" w:rsidRPr="00167113">
        <w:t xml:space="preserve"> f</w:t>
      </w:r>
      <w:r w:rsidR="008B2975">
        <w:t>ound</w:t>
      </w:r>
      <w:r w:rsidR="009E69CD">
        <w:t xml:space="preserve"> </w:t>
      </w:r>
      <w:r w:rsidR="00DE7FDA" w:rsidRPr="00167113">
        <w:t xml:space="preserve">that despite certain areas of concern, it </w:t>
      </w:r>
      <w:r w:rsidR="008B2975">
        <w:t>was</w:t>
      </w:r>
      <w:r w:rsidR="00DE7FDA" w:rsidRPr="00167113">
        <w:t xml:space="preserve"> apparent that there was </w:t>
      </w:r>
      <w:r w:rsidR="008B2975">
        <w:t xml:space="preserve">an </w:t>
      </w:r>
      <w:r w:rsidR="00DE7FDA" w:rsidRPr="00167113">
        <w:t xml:space="preserve">ongoing effort by </w:t>
      </w:r>
      <w:r w:rsidR="008B2975">
        <w:t xml:space="preserve">the respective </w:t>
      </w:r>
      <w:r w:rsidR="00DE7FDA" w:rsidRPr="00167113">
        <w:t xml:space="preserve">administrators to trace the beneficiaries of </w:t>
      </w:r>
      <w:r w:rsidR="008B2975">
        <w:t xml:space="preserve">the </w:t>
      </w:r>
      <w:r w:rsidR="00DE7FDA" w:rsidRPr="00167113">
        <w:t>unclaimed benefits.</w:t>
      </w:r>
    </w:p>
    <w:p w14:paraId="142881FB" w14:textId="77777777" w:rsidR="00D3041E" w:rsidRDefault="00D3041E" w:rsidP="003725DF">
      <w:pPr>
        <w:pStyle w:val="JUDGMENTCONTINUED"/>
      </w:pPr>
    </w:p>
    <w:p w14:paraId="6F6B71A6" w14:textId="16778A01" w:rsidR="00837575" w:rsidRPr="00127A47" w:rsidRDefault="00127A47" w:rsidP="003725DF">
      <w:pPr>
        <w:pStyle w:val="HEADING"/>
      </w:pPr>
      <w:r w:rsidRPr="00127A47">
        <w:t>Litigation history</w:t>
      </w:r>
      <w:bookmarkEnd w:id="2"/>
    </w:p>
    <w:p w14:paraId="07F3E139" w14:textId="4A1E244F" w:rsidR="00127A47" w:rsidRDefault="00127A47" w:rsidP="006147BF">
      <w:pPr>
        <w:pStyle w:val="HEADING"/>
        <w:tabs>
          <w:tab w:val="center" w:pos="4873"/>
        </w:tabs>
        <w:ind w:firstLine="720"/>
      </w:pPr>
      <w:bookmarkStart w:id="3" w:name="_Toc508706459"/>
      <w:r w:rsidRPr="00127A47">
        <w:t xml:space="preserve">High </w:t>
      </w:r>
      <w:r w:rsidR="0053786B">
        <w:t>C</w:t>
      </w:r>
      <w:r w:rsidRPr="00127A47">
        <w:t>ourt</w:t>
      </w:r>
      <w:bookmarkEnd w:id="3"/>
      <w:r w:rsidR="006147BF">
        <w:tab/>
      </w:r>
    </w:p>
    <w:p w14:paraId="3213FB2F" w14:textId="758C9FCE" w:rsidR="00DE7FDA" w:rsidRPr="0089285A" w:rsidRDefault="00811729" w:rsidP="00811729">
      <w:pPr>
        <w:pStyle w:val="JUDGMENTNUMBERED"/>
        <w:numPr>
          <w:ilvl w:val="0"/>
          <w:numId w:val="0"/>
        </w:numPr>
        <w:rPr>
          <w:color w:val="151515"/>
        </w:rPr>
      </w:pPr>
      <w:r w:rsidRPr="0089285A">
        <w:rPr>
          <w:color w:val="000000"/>
        </w:rPr>
        <w:t>[19]</w:t>
      </w:r>
      <w:r w:rsidRPr="0089285A">
        <w:rPr>
          <w:color w:val="000000"/>
        </w:rPr>
        <w:tab/>
      </w:r>
      <w:r w:rsidR="00365DC8">
        <w:rPr>
          <w:color w:val="151515"/>
        </w:rPr>
        <w:t>In the High Court</w:t>
      </w:r>
      <w:r w:rsidR="00DE7FDA" w:rsidRPr="00167113">
        <w:rPr>
          <w:color w:val="151515"/>
        </w:rPr>
        <w:t xml:space="preserve"> </w:t>
      </w:r>
      <w:r w:rsidR="008C28C6">
        <w:rPr>
          <w:color w:val="151515"/>
        </w:rPr>
        <w:t>Ms Hunter</w:t>
      </w:r>
      <w:r w:rsidR="00D97D3E">
        <w:rPr>
          <w:color w:val="151515"/>
        </w:rPr>
        <w:t xml:space="preserve"> sought an order compelling the </w:t>
      </w:r>
      <w:r w:rsidR="00FE673B">
        <w:t>FSCA</w:t>
      </w:r>
      <w:r w:rsidR="00D97D3E">
        <w:t xml:space="preserve"> </w:t>
      </w:r>
      <w:r w:rsidR="008B2975">
        <w:t xml:space="preserve">to </w:t>
      </w:r>
      <w:r w:rsidR="00DE7FDA" w:rsidRPr="00167113">
        <w:t xml:space="preserve">unconditionally </w:t>
      </w:r>
      <w:r w:rsidR="008B2975">
        <w:t xml:space="preserve">make the </w:t>
      </w:r>
      <w:r w:rsidR="00D97D3E">
        <w:t>copies</w:t>
      </w:r>
      <w:r w:rsidR="00DE7FDA" w:rsidRPr="00167113">
        <w:t xml:space="preserve"> of the final </w:t>
      </w:r>
      <w:proofErr w:type="spellStart"/>
      <w:r w:rsidR="00DE7FDA" w:rsidRPr="00167113">
        <w:t>O’Regan</w:t>
      </w:r>
      <w:proofErr w:type="spellEnd"/>
      <w:r w:rsidR="00DE7FDA" w:rsidRPr="00167113">
        <w:t xml:space="preserve"> </w:t>
      </w:r>
      <w:r w:rsidR="00D97D3E">
        <w:t>and KPMG reports</w:t>
      </w:r>
      <w:r w:rsidR="008B2975">
        <w:t xml:space="preserve"> available</w:t>
      </w:r>
      <w:r w:rsidR="00D97D3E">
        <w:t xml:space="preserve">; </w:t>
      </w:r>
      <w:r w:rsidR="0089285A">
        <w:t xml:space="preserve">compelling the </w:t>
      </w:r>
      <w:r w:rsidR="00FE673B">
        <w:t>FSCA</w:t>
      </w:r>
      <w:r w:rsidR="0089285A">
        <w:t xml:space="preserve"> </w:t>
      </w:r>
      <w:r w:rsidR="00D97D3E">
        <w:t xml:space="preserve">to investigate the matters in </w:t>
      </w:r>
      <w:r w:rsidR="008C28C6">
        <w:t>Ms Hunter</w:t>
      </w:r>
      <w:r w:rsidR="00D97D3E">
        <w:t xml:space="preserve">’s NCN 1; and compelling </w:t>
      </w:r>
      <w:r w:rsidR="0089285A">
        <w:t xml:space="preserve">the </w:t>
      </w:r>
      <w:r w:rsidR="00FE673B">
        <w:t>FSCA</w:t>
      </w:r>
      <w:r w:rsidR="0089285A">
        <w:t xml:space="preserve">, alternatively the Minister, </w:t>
      </w:r>
      <w:r w:rsidR="00DE7FDA" w:rsidRPr="00167113">
        <w:t xml:space="preserve">to </w:t>
      </w:r>
      <w:r w:rsidR="0089285A">
        <w:t xml:space="preserve">investigate </w:t>
      </w:r>
      <w:r w:rsidR="00DE7FDA" w:rsidRPr="00167113">
        <w:t xml:space="preserve">the matters referred to in </w:t>
      </w:r>
      <w:r w:rsidR="008C28C6">
        <w:t>Ms Hunter</w:t>
      </w:r>
      <w:r w:rsidR="001C5479">
        <w:t>’</w:t>
      </w:r>
      <w:r w:rsidR="00DE7FDA" w:rsidRPr="00167113">
        <w:t xml:space="preserve">s NCN </w:t>
      </w:r>
      <w:r w:rsidR="0089285A">
        <w:t xml:space="preserve">2. </w:t>
      </w:r>
      <w:r w:rsidR="008B2975">
        <w:t xml:space="preserve"> Subsequent to</w:t>
      </w:r>
      <w:r w:rsidR="00DE7FDA" w:rsidRPr="00167113">
        <w:t xml:space="preserve"> the delivery of her replying affidavit and a mere </w:t>
      </w:r>
      <w:r w:rsidR="00264396">
        <w:rPr>
          <w:rFonts w:hint="eastAsia"/>
          <w:lang w:eastAsia="zh-CN"/>
        </w:rPr>
        <w:t>six</w:t>
      </w:r>
      <w:r w:rsidR="00DE7FDA" w:rsidRPr="00167113">
        <w:t xml:space="preserve"> weeks before the hearing, </w:t>
      </w:r>
      <w:r w:rsidR="008C28C6">
        <w:t>Ms Hunter</w:t>
      </w:r>
      <w:r w:rsidR="00DE7FDA" w:rsidRPr="00167113">
        <w:t xml:space="preserve"> applied to amend her original notice of motion.  In the amended notice of motion, </w:t>
      </w:r>
      <w:r w:rsidR="008C28C6">
        <w:t>Ms Hunter</w:t>
      </w:r>
      <w:r w:rsidR="00DE7FDA" w:rsidRPr="00167113">
        <w:t xml:space="preserve"> sought additional orders declaring </w:t>
      </w:r>
      <w:r w:rsidR="00B90F63">
        <w:t xml:space="preserve">that </w:t>
      </w:r>
      <w:r w:rsidR="00DE7FDA" w:rsidRPr="00167113">
        <w:t xml:space="preserve">the respondents had acted unlawfully in the execution of the </w:t>
      </w:r>
      <w:r w:rsidR="00324ED4">
        <w:t>c</w:t>
      </w:r>
      <w:r w:rsidR="00DE7FDA" w:rsidRPr="00167113">
        <w:t xml:space="preserve">ancellations </w:t>
      </w:r>
      <w:r w:rsidR="00324ED4">
        <w:t>p</w:t>
      </w:r>
      <w:r w:rsidR="00DE7FDA" w:rsidRPr="00167113">
        <w:t xml:space="preserve">roject and </w:t>
      </w:r>
      <w:r w:rsidR="008B2975">
        <w:t xml:space="preserve">in </w:t>
      </w:r>
      <w:r w:rsidR="00DE7FDA" w:rsidRPr="00167113">
        <w:t xml:space="preserve">handling her complaints in this regard. </w:t>
      </w:r>
      <w:r w:rsidR="008B2975">
        <w:t xml:space="preserve"> </w:t>
      </w:r>
      <w:r w:rsidR="00DE7FDA" w:rsidRPr="00167113">
        <w:t xml:space="preserve">In addition, </w:t>
      </w:r>
      <w:r w:rsidR="008C28C6">
        <w:t>Ms</w:t>
      </w:r>
      <w:r w:rsidR="00315512">
        <w:t> </w:t>
      </w:r>
      <w:r w:rsidR="008C28C6">
        <w:t>Hunter</w:t>
      </w:r>
      <w:r w:rsidR="00DE7FDA" w:rsidRPr="00167113">
        <w:t xml:space="preserve"> elaborated on the exact matters which she wished to be investigated in the investigation she sought to compel in the original notice of motion.  She also set out in great detail the exact manner in which the proposed investigation should be conducted and who would bear the costs of </w:t>
      </w:r>
      <w:r w:rsidR="00DF3B6D">
        <w:t>this</w:t>
      </w:r>
      <w:r w:rsidR="00DE7FDA" w:rsidRPr="00167113">
        <w:t xml:space="preserve"> investigation.</w:t>
      </w:r>
    </w:p>
    <w:p w14:paraId="43980BBF" w14:textId="77777777" w:rsidR="00DE7FDA" w:rsidRPr="00167113" w:rsidRDefault="00DE7FDA" w:rsidP="00DE7FDA">
      <w:pPr>
        <w:pStyle w:val="JUDGMENTCONTINUED"/>
      </w:pPr>
    </w:p>
    <w:p w14:paraId="3B0777C7" w14:textId="18D66FD3" w:rsidR="00DE7FDA" w:rsidRPr="00167113" w:rsidRDefault="00811729" w:rsidP="00811729">
      <w:pPr>
        <w:pStyle w:val="JUDGMENTNUMBERED"/>
        <w:numPr>
          <w:ilvl w:val="0"/>
          <w:numId w:val="0"/>
        </w:numPr>
      </w:pPr>
      <w:r w:rsidRPr="00167113">
        <w:rPr>
          <w:color w:val="000000"/>
        </w:rPr>
        <w:t>[20]</w:t>
      </w:r>
      <w:r w:rsidRPr="00167113">
        <w:rPr>
          <w:color w:val="000000"/>
        </w:rPr>
        <w:tab/>
      </w:r>
      <w:r w:rsidR="00DE7FDA" w:rsidRPr="00167113">
        <w:rPr>
          <w:szCs w:val="26"/>
        </w:rPr>
        <w:t>The</w:t>
      </w:r>
      <w:r w:rsidR="00B90F63">
        <w:rPr>
          <w:szCs w:val="26"/>
        </w:rPr>
        <w:t xml:space="preserve"> High</w:t>
      </w:r>
      <w:r w:rsidR="00DE7FDA" w:rsidRPr="00167113">
        <w:rPr>
          <w:szCs w:val="26"/>
        </w:rPr>
        <w:t xml:space="preserve"> </w:t>
      </w:r>
      <w:r w:rsidR="00B90F63">
        <w:rPr>
          <w:szCs w:val="26"/>
        </w:rPr>
        <w:t>C</w:t>
      </w:r>
      <w:r w:rsidR="00DE7FDA" w:rsidRPr="00167113">
        <w:rPr>
          <w:szCs w:val="26"/>
        </w:rPr>
        <w:t xml:space="preserve">ourt </w:t>
      </w:r>
      <w:r w:rsidR="00B90F63">
        <w:rPr>
          <w:szCs w:val="26"/>
        </w:rPr>
        <w:t>held</w:t>
      </w:r>
      <w:r w:rsidR="00B90F63" w:rsidRPr="00167113">
        <w:rPr>
          <w:szCs w:val="26"/>
        </w:rPr>
        <w:t xml:space="preserve"> </w:t>
      </w:r>
      <w:r w:rsidR="00DE7FDA" w:rsidRPr="00167113">
        <w:rPr>
          <w:szCs w:val="26"/>
        </w:rPr>
        <w:t xml:space="preserve">that </w:t>
      </w:r>
      <w:r w:rsidR="008C28C6">
        <w:rPr>
          <w:szCs w:val="26"/>
        </w:rPr>
        <w:t>Ms Hunter</w:t>
      </w:r>
      <w:r w:rsidR="00DE7FDA" w:rsidRPr="00167113">
        <w:rPr>
          <w:szCs w:val="26"/>
        </w:rPr>
        <w:t xml:space="preserve"> did not have the necessary standing in law to claim the relief sought in the original notice of motion or the amended notice of </w:t>
      </w:r>
      <w:r w:rsidR="00DE7FDA" w:rsidRPr="00167113">
        <w:rPr>
          <w:szCs w:val="26"/>
        </w:rPr>
        <w:lastRenderedPageBreak/>
        <w:t xml:space="preserve">motion </w:t>
      </w:r>
      <w:r w:rsidR="00B90F63">
        <w:rPr>
          <w:szCs w:val="26"/>
        </w:rPr>
        <w:t xml:space="preserve">and therefore </w:t>
      </w:r>
      <w:r w:rsidR="00DE7FDA" w:rsidRPr="00167113">
        <w:t>refused the application to amend the notice of motion and dismissed the main application.</w:t>
      </w:r>
    </w:p>
    <w:p w14:paraId="288ADB85" w14:textId="77777777" w:rsidR="00DE7FDA" w:rsidRPr="00167113" w:rsidRDefault="00DE7FDA" w:rsidP="00DE7FDA">
      <w:pPr>
        <w:pStyle w:val="JUDGMENTCONTINUED"/>
      </w:pPr>
    </w:p>
    <w:p w14:paraId="72144911" w14:textId="533AFBB0" w:rsidR="00DE7FDA" w:rsidRPr="00167113" w:rsidRDefault="00811729" w:rsidP="00811729">
      <w:pPr>
        <w:pStyle w:val="JUDGMENTNUMBERED"/>
        <w:numPr>
          <w:ilvl w:val="0"/>
          <w:numId w:val="0"/>
        </w:numPr>
      </w:pPr>
      <w:r w:rsidRPr="00167113">
        <w:rPr>
          <w:color w:val="000000"/>
        </w:rPr>
        <w:t>[21]</w:t>
      </w:r>
      <w:r w:rsidRPr="00167113">
        <w:rPr>
          <w:color w:val="000000"/>
        </w:rPr>
        <w:tab/>
      </w:r>
      <w:r w:rsidR="0089285A">
        <w:t>On the issue of costs, the High Court</w:t>
      </w:r>
      <w:r w:rsidR="00DE7FDA" w:rsidRPr="00167113">
        <w:t xml:space="preserve"> held that the application was not one of genuine </w:t>
      </w:r>
      <w:r w:rsidR="0089285A">
        <w:t xml:space="preserve">constitutional import and </w:t>
      </w:r>
      <w:r w:rsidR="008B2975">
        <w:t>thus</w:t>
      </w:r>
      <w:r w:rsidR="0089285A">
        <w:t xml:space="preserve"> </w:t>
      </w:r>
      <w:r w:rsidR="0089285A" w:rsidRPr="00AD054C">
        <w:t xml:space="preserve">the principle set out in </w:t>
      </w:r>
      <w:proofErr w:type="spellStart"/>
      <w:r w:rsidR="0089285A" w:rsidRPr="00AD054C">
        <w:rPr>
          <w:i/>
        </w:rPr>
        <w:t>Biowatch</w:t>
      </w:r>
      <w:proofErr w:type="spellEnd"/>
      <w:r w:rsidR="00365DC8">
        <w:rPr>
          <w:i/>
        </w:rPr>
        <w:t>,</w:t>
      </w:r>
      <w:bookmarkStart w:id="4" w:name="_Ref524683038"/>
      <w:r w:rsidR="0089285A" w:rsidRPr="00315512">
        <w:rPr>
          <w:rStyle w:val="FootnoteReference"/>
        </w:rPr>
        <w:footnoteReference w:id="10"/>
      </w:r>
      <w:bookmarkEnd w:id="4"/>
      <w:r w:rsidR="0089285A">
        <w:rPr>
          <w:i/>
        </w:rPr>
        <w:t xml:space="preserve"> </w:t>
      </w:r>
      <w:r w:rsidR="0089285A">
        <w:t xml:space="preserve">which requires that an unsuccessful party in proceedings against the </w:t>
      </w:r>
      <w:r w:rsidR="001C5479">
        <w:t xml:space="preserve">state </w:t>
      </w:r>
      <w:r w:rsidR="0089285A">
        <w:t xml:space="preserve">be spared from paying the </w:t>
      </w:r>
      <w:r w:rsidR="001C5479">
        <w:t>s</w:t>
      </w:r>
      <w:r w:rsidR="0089285A">
        <w:t>tate’s costs in constitutional matters</w:t>
      </w:r>
      <w:r w:rsidR="00DE7FDA" w:rsidRPr="00167113">
        <w:t xml:space="preserve"> </w:t>
      </w:r>
      <w:r w:rsidR="0089285A">
        <w:t>would not apply.  The High C</w:t>
      </w:r>
      <w:r w:rsidR="00DE7FDA" w:rsidRPr="00167113">
        <w:t xml:space="preserve">ourt ordered the </w:t>
      </w:r>
      <w:r w:rsidR="00FE673B">
        <w:t>FSCA</w:t>
      </w:r>
      <w:r w:rsidR="00DE7FDA" w:rsidRPr="00167113">
        <w:t xml:space="preserve"> to pay </w:t>
      </w:r>
      <w:r w:rsidR="008C28C6">
        <w:t>Ms Hunter</w:t>
      </w:r>
      <w:r w:rsidR="00DE7FDA" w:rsidRPr="00167113">
        <w:t xml:space="preserve">’s costs until 1 August 2016, and the second to fifth respondents to bear their own costs up to 1 August 2016.  </w:t>
      </w:r>
      <w:r w:rsidR="008C28C6">
        <w:t>Ms Hunter</w:t>
      </w:r>
      <w:r w:rsidR="00DE7FDA" w:rsidRPr="00167113">
        <w:t xml:space="preserve"> was directed to pay the costs of the respondents from </w:t>
      </w:r>
      <w:r w:rsidR="00A103EE">
        <w:t>2</w:t>
      </w:r>
      <w:r w:rsidR="00DE7FDA" w:rsidRPr="00167113">
        <w:t xml:space="preserve"> August 2016.</w:t>
      </w:r>
    </w:p>
    <w:p w14:paraId="0F440385" w14:textId="77777777" w:rsidR="00DE7FDA" w:rsidRPr="00167113" w:rsidRDefault="00DE7FDA" w:rsidP="005D532B">
      <w:pPr>
        <w:pStyle w:val="JUDGMENTCONTINUED"/>
      </w:pPr>
    </w:p>
    <w:p w14:paraId="38763FF3" w14:textId="7B0CDDD3" w:rsidR="00A103EE" w:rsidRPr="00A103EE" w:rsidRDefault="00DE7FDA" w:rsidP="00255496">
      <w:pPr>
        <w:pStyle w:val="HEADING"/>
        <w:ind w:left="720"/>
      </w:pPr>
      <w:r w:rsidRPr="0089285A">
        <w:t xml:space="preserve">Application for leave to appeal in the High Court </w:t>
      </w:r>
      <w:r w:rsidR="00B90F63">
        <w:t xml:space="preserve">and the </w:t>
      </w:r>
      <w:r w:rsidR="00255496">
        <w:br/>
      </w:r>
      <w:r w:rsidR="00B90F63">
        <w:t>Supreme Court of Appeal</w:t>
      </w:r>
    </w:p>
    <w:p w14:paraId="296F38C4" w14:textId="712FD63E" w:rsidR="009C0CFE" w:rsidRPr="00365DC8" w:rsidRDefault="00811729" w:rsidP="00811729">
      <w:pPr>
        <w:pStyle w:val="JUDGMENTNUMBERED"/>
        <w:numPr>
          <w:ilvl w:val="0"/>
          <w:numId w:val="0"/>
        </w:numPr>
      </w:pPr>
      <w:r w:rsidRPr="00365DC8">
        <w:rPr>
          <w:color w:val="000000"/>
        </w:rPr>
        <w:t>[22]</w:t>
      </w:r>
      <w:r w:rsidRPr="00365DC8">
        <w:rPr>
          <w:color w:val="000000"/>
        </w:rPr>
        <w:tab/>
      </w:r>
      <w:r w:rsidR="00B90F63">
        <w:t>Both the High Court and the Supreme Court of Appeal dismissed M</w:t>
      </w:r>
      <w:r w:rsidR="0053786B">
        <w:t>s</w:t>
      </w:r>
      <w:r w:rsidR="00B90F63">
        <w:t xml:space="preserve"> Hunter’s application for leave to appeal with costs, on the grounds that there were no reasonable prospects of success and no other compelling reason why the appeal should be heard.</w:t>
      </w:r>
      <w:bookmarkStart w:id="5" w:name="_Toc508706461"/>
    </w:p>
    <w:p w14:paraId="2AE18308" w14:textId="77777777" w:rsidR="00365DC8" w:rsidRDefault="00365DC8" w:rsidP="003725DF">
      <w:pPr>
        <w:pStyle w:val="JUDGMENTCONTINUED"/>
      </w:pPr>
    </w:p>
    <w:p w14:paraId="286C9CDB" w14:textId="77777777" w:rsidR="00FF6428" w:rsidRPr="009C0CFE" w:rsidRDefault="00127A47" w:rsidP="005768ED">
      <w:pPr>
        <w:pStyle w:val="HEADING"/>
      </w:pPr>
      <w:r w:rsidRPr="00127A47">
        <w:t>This Court</w:t>
      </w:r>
      <w:bookmarkEnd w:id="5"/>
    </w:p>
    <w:p w14:paraId="69CA33F4" w14:textId="45232ADA" w:rsidR="0089285A" w:rsidRDefault="00811729" w:rsidP="00811729">
      <w:pPr>
        <w:pStyle w:val="JUDGMENTNUMBERED"/>
        <w:numPr>
          <w:ilvl w:val="0"/>
          <w:numId w:val="0"/>
        </w:numPr>
      </w:pPr>
      <w:r>
        <w:rPr>
          <w:color w:val="000000"/>
        </w:rPr>
        <w:t>[23]</w:t>
      </w:r>
      <w:r>
        <w:rPr>
          <w:color w:val="000000"/>
        </w:rPr>
        <w:tab/>
      </w:r>
      <w:r w:rsidR="0089285A">
        <w:t xml:space="preserve">In this Court, </w:t>
      </w:r>
      <w:r w:rsidR="008C28C6">
        <w:t>Ms Hunter</w:t>
      </w:r>
      <w:r w:rsidR="0089285A">
        <w:t xml:space="preserve"> contends that the </w:t>
      </w:r>
      <w:r w:rsidR="00FE673B">
        <w:t>FSCA</w:t>
      </w:r>
      <w:r w:rsidR="0089285A">
        <w:t xml:space="preserve"> has a duty to conduct an investigation into the alleged irregularities in the </w:t>
      </w:r>
      <w:r w:rsidR="003F1E77">
        <w:rPr>
          <w:lang w:eastAsia="zh-CN"/>
        </w:rPr>
        <w:t>c</w:t>
      </w:r>
      <w:r w:rsidR="0089285A">
        <w:t xml:space="preserve">ancellations </w:t>
      </w:r>
      <w:r w:rsidR="003F1E77">
        <w:rPr>
          <w:lang w:eastAsia="zh-CN"/>
        </w:rPr>
        <w:t>p</w:t>
      </w:r>
      <w:r w:rsidR="0089285A">
        <w:t xml:space="preserve">roject particularly in view of the fact that there is substantial evidence of actual financial prejudice as a result of the project. </w:t>
      </w:r>
      <w:r w:rsidR="00FE0359">
        <w:t xml:space="preserve"> </w:t>
      </w:r>
      <w:r w:rsidR="008C28C6">
        <w:t>Ms Hunter</w:t>
      </w:r>
      <w:r w:rsidR="0089285A">
        <w:t xml:space="preserve"> further contends that all other investigations conducted by the </w:t>
      </w:r>
      <w:r w:rsidR="00FE673B">
        <w:t>FSCA</w:t>
      </w:r>
      <w:r w:rsidR="0089285A">
        <w:t xml:space="preserve"> are inadequate and th</w:t>
      </w:r>
      <w:r w:rsidR="001C5479">
        <w:t>at</w:t>
      </w:r>
      <w:r w:rsidR="0089285A">
        <w:t xml:space="preserve"> this Court should make a supervisory court order compelling the </w:t>
      </w:r>
      <w:r w:rsidR="00FE673B">
        <w:t>FSCA</w:t>
      </w:r>
      <w:r w:rsidR="0089285A">
        <w:t xml:space="preserve"> to conduct a </w:t>
      </w:r>
      <w:r w:rsidR="00B90F63">
        <w:t xml:space="preserve">further </w:t>
      </w:r>
      <w:r w:rsidR="0089285A">
        <w:t>investigation.</w:t>
      </w:r>
    </w:p>
    <w:p w14:paraId="0D3812E7" w14:textId="77777777" w:rsidR="000E157A" w:rsidRDefault="000E157A" w:rsidP="003725DF">
      <w:pPr>
        <w:pStyle w:val="JUDGMENTCONTINUED"/>
      </w:pPr>
    </w:p>
    <w:p w14:paraId="3B39D3AD" w14:textId="130BC221" w:rsidR="000A1A1F" w:rsidRPr="00167113" w:rsidRDefault="00811729" w:rsidP="00811729">
      <w:pPr>
        <w:pStyle w:val="JUDGMENTNUMBERED"/>
        <w:numPr>
          <w:ilvl w:val="0"/>
          <w:numId w:val="0"/>
        </w:numPr>
      </w:pPr>
      <w:r w:rsidRPr="00167113">
        <w:rPr>
          <w:color w:val="000000"/>
        </w:rPr>
        <w:t>[24]</w:t>
      </w:r>
      <w:r w:rsidRPr="00167113">
        <w:rPr>
          <w:color w:val="000000"/>
        </w:rPr>
        <w:tab/>
      </w:r>
      <w:r w:rsidR="000A1A1F">
        <w:t xml:space="preserve">The </w:t>
      </w:r>
      <w:r w:rsidR="00FE673B">
        <w:t>FSCA</w:t>
      </w:r>
      <w:r w:rsidR="00705AC5">
        <w:t xml:space="preserve"> </w:t>
      </w:r>
      <w:r w:rsidR="000A1A1F">
        <w:t xml:space="preserve">and second </w:t>
      </w:r>
      <w:r w:rsidR="008B2975" w:rsidRPr="00167113">
        <w:t>respondent</w:t>
      </w:r>
      <w:r w:rsidR="000A1A1F" w:rsidRPr="00167113">
        <w:t xml:space="preserve"> </w:t>
      </w:r>
      <w:r w:rsidR="008B2975" w:rsidRPr="00167113">
        <w:t>submit</w:t>
      </w:r>
      <w:r w:rsidR="000A1A1F" w:rsidRPr="00167113">
        <w:t xml:space="preserve"> that the </w:t>
      </w:r>
      <w:r w:rsidR="000A1A1F">
        <w:t xml:space="preserve">manner in which the </w:t>
      </w:r>
      <w:r w:rsidR="00324ED4">
        <w:rPr>
          <w:lang w:eastAsia="zh-CN"/>
        </w:rPr>
        <w:t>c</w:t>
      </w:r>
      <w:r w:rsidR="000A1A1F">
        <w:t xml:space="preserve">ancellations </w:t>
      </w:r>
      <w:r w:rsidR="00324ED4">
        <w:rPr>
          <w:lang w:eastAsia="zh-CN"/>
        </w:rPr>
        <w:t>p</w:t>
      </w:r>
      <w:r w:rsidR="000A1A1F">
        <w:t xml:space="preserve">roject was conducted was perfectly lawful and that </w:t>
      </w:r>
      <w:r w:rsidR="008C28C6">
        <w:t>Ms Hunter</w:t>
      </w:r>
      <w:r w:rsidR="000A1A1F">
        <w:t xml:space="preserve"> has failed to prove that there were any systemic irregularities. </w:t>
      </w:r>
      <w:r w:rsidR="008B2975">
        <w:t xml:space="preserve"> </w:t>
      </w:r>
      <w:r w:rsidR="000A1A1F">
        <w:t xml:space="preserve">The </w:t>
      </w:r>
      <w:r w:rsidR="00FE673B">
        <w:t>FSCA</w:t>
      </w:r>
      <w:r w:rsidR="00705AC5">
        <w:t xml:space="preserve"> </w:t>
      </w:r>
      <w:r w:rsidR="000A1A1F">
        <w:t xml:space="preserve">and second respondent </w:t>
      </w:r>
      <w:r w:rsidR="000A1A1F">
        <w:lastRenderedPageBreak/>
        <w:t>argue that although the appointment of the “authorised representatives” may have been unlawful, this did no</w:t>
      </w:r>
      <w:r w:rsidR="00D454CA">
        <w:t>t affect the lawfulness of the r</w:t>
      </w:r>
      <w:r w:rsidR="000A1A1F">
        <w:t xml:space="preserve">egistrar’s decision to cancel the funds in terms of section 27 of the PFA. </w:t>
      </w:r>
      <w:r w:rsidR="008B2975">
        <w:t xml:space="preserve"> </w:t>
      </w:r>
      <w:r w:rsidR="000A1A1F">
        <w:t xml:space="preserve">They therefore submit that the </w:t>
      </w:r>
      <w:r w:rsidR="00FE673B">
        <w:t>FSCA</w:t>
      </w:r>
      <w:r w:rsidR="000A1A1F" w:rsidRPr="00167113">
        <w:t xml:space="preserve"> is under no obligation or duty to investigate the </w:t>
      </w:r>
      <w:r w:rsidR="003F1E77">
        <w:rPr>
          <w:lang w:eastAsia="zh-CN"/>
        </w:rPr>
        <w:t>c</w:t>
      </w:r>
      <w:r w:rsidR="000A1A1F" w:rsidRPr="00167113">
        <w:t xml:space="preserve">ancellations </w:t>
      </w:r>
      <w:r w:rsidR="003F1E77">
        <w:rPr>
          <w:lang w:eastAsia="zh-CN"/>
        </w:rPr>
        <w:t>p</w:t>
      </w:r>
      <w:r w:rsidR="000A1A1F" w:rsidRPr="00167113">
        <w:t xml:space="preserve">roject. </w:t>
      </w:r>
      <w:r w:rsidR="008B2975">
        <w:t xml:space="preserve"> </w:t>
      </w:r>
      <w:r w:rsidR="000A1A1F">
        <w:t xml:space="preserve">Even if there was such a duty, the first and second respondents submit that this duty has been properly discharged and there is no basis for </w:t>
      </w:r>
      <w:r w:rsidR="008C28C6">
        <w:t>Ms Hunter</w:t>
      </w:r>
      <w:r w:rsidR="000A1A1F">
        <w:t xml:space="preserve"> to demand a “bigger and better” investigation. </w:t>
      </w:r>
      <w:r w:rsidR="008B2975">
        <w:t xml:space="preserve"> </w:t>
      </w:r>
      <w:r w:rsidR="000A1A1F">
        <w:t xml:space="preserve">The first and second respondents also contend that the structural supervisory relief sought by </w:t>
      </w:r>
      <w:r w:rsidR="008C28C6">
        <w:t>Ms Hunter</w:t>
      </w:r>
      <w:r w:rsidR="000A1A1F">
        <w:t xml:space="preserve"> is not competent.</w:t>
      </w:r>
    </w:p>
    <w:p w14:paraId="347A70AF" w14:textId="77777777" w:rsidR="000E157A" w:rsidRDefault="000E157A" w:rsidP="003725DF">
      <w:pPr>
        <w:pStyle w:val="JUDGMENTCONTINUED"/>
      </w:pPr>
    </w:p>
    <w:p w14:paraId="5841C56F" w14:textId="6F3D0593" w:rsidR="002D4843" w:rsidRDefault="00811729" w:rsidP="00811729">
      <w:pPr>
        <w:pStyle w:val="JUDGMENTNUMBERED"/>
        <w:numPr>
          <w:ilvl w:val="0"/>
          <w:numId w:val="0"/>
        </w:numPr>
      </w:pPr>
      <w:r>
        <w:rPr>
          <w:color w:val="000000"/>
        </w:rPr>
        <w:t>[25]</w:t>
      </w:r>
      <w:r>
        <w:rPr>
          <w:color w:val="000000"/>
        </w:rPr>
        <w:tab/>
      </w:r>
      <w:r w:rsidR="00C14CE4">
        <w:t>T</w:t>
      </w:r>
      <w:r w:rsidR="00C14CE4" w:rsidRPr="00167113">
        <w:t>he</w:t>
      </w:r>
      <w:r w:rsidR="00C14CE4">
        <w:t xml:space="preserve"> third and fourth</w:t>
      </w:r>
      <w:r w:rsidR="00C14CE4" w:rsidRPr="00167113">
        <w:t xml:space="preserve"> respondents </w:t>
      </w:r>
      <w:r w:rsidR="008B2975" w:rsidRPr="00167113">
        <w:t>submit</w:t>
      </w:r>
      <w:r w:rsidR="00C14CE4" w:rsidRPr="00167113">
        <w:t xml:space="preserve"> </w:t>
      </w:r>
      <w:r w:rsidR="00C14CE4">
        <w:t>that n</w:t>
      </w:r>
      <w:r w:rsidR="00C14CE4" w:rsidRPr="00167113">
        <w:t xml:space="preserve">either the relief claimed, nor the supposed cause of action pleaded in the founding affidavit, justified </w:t>
      </w:r>
      <w:r w:rsidR="00C14CE4">
        <w:t xml:space="preserve">their </w:t>
      </w:r>
      <w:r w:rsidR="00C14CE4" w:rsidRPr="00167113">
        <w:t>joinder as parties to the proceedings</w:t>
      </w:r>
      <w:r w:rsidR="00C14CE4">
        <w:t xml:space="preserve"> as no relief was sought against them</w:t>
      </w:r>
      <w:r w:rsidR="001646BF">
        <w:t xml:space="preserve"> and seek a punitive cost</w:t>
      </w:r>
      <w:r w:rsidR="0035257E">
        <w:t>s</w:t>
      </w:r>
      <w:r w:rsidR="001646BF">
        <w:t xml:space="preserve"> order against </w:t>
      </w:r>
      <w:r w:rsidR="008C28C6">
        <w:t>Ms Hunter</w:t>
      </w:r>
      <w:r w:rsidR="001646BF">
        <w:t xml:space="preserve"> in this regard. </w:t>
      </w:r>
      <w:r w:rsidR="00AA76DE">
        <w:t xml:space="preserve"> </w:t>
      </w:r>
      <w:r w:rsidR="001646BF">
        <w:t xml:space="preserve">The third and fourth respondents also seek to cross-appeal on the issue of costs in the High Court in the event that </w:t>
      </w:r>
      <w:r w:rsidR="008C28C6">
        <w:t>Ms</w:t>
      </w:r>
      <w:r w:rsidR="00315512">
        <w:t> </w:t>
      </w:r>
      <w:r w:rsidR="008C28C6">
        <w:t>Hunter</w:t>
      </w:r>
      <w:r w:rsidR="001646BF">
        <w:t xml:space="preserve"> is granted leave to appeal as they allege that the High Court arbitrarily deprived them of a substantial portion of their costs.</w:t>
      </w:r>
    </w:p>
    <w:p w14:paraId="6E4027AF" w14:textId="77777777" w:rsidR="001646BF" w:rsidRPr="001646BF" w:rsidRDefault="001646BF" w:rsidP="001646BF">
      <w:pPr>
        <w:pStyle w:val="JUDGMENTCONTINUED"/>
      </w:pPr>
    </w:p>
    <w:p w14:paraId="2E3F6826" w14:textId="23AE4295" w:rsidR="0040442D" w:rsidRPr="00167113" w:rsidRDefault="00811729" w:rsidP="00811729">
      <w:pPr>
        <w:spacing w:line="360" w:lineRule="auto"/>
      </w:pPr>
      <w:r w:rsidRPr="00167113">
        <w:rPr>
          <w:color w:val="000000"/>
        </w:rPr>
        <w:t>[26]</w:t>
      </w:r>
      <w:r w:rsidRPr="00167113">
        <w:rPr>
          <w:color w:val="000000"/>
        </w:rPr>
        <w:tab/>
      </w:r>
      <w:r w:rsidR="00DE1B2A" w:rsidRPr="00167113">
        <w:t xml:space="preserve">The </w:t>
      </w:r>
      <w:r w:rsidR="00B51F5B" w:rsidRPr="00DD56E1">
        <w:t xml:space="preserve">Minister </w:t>
      </w:r>
      <w:r w:rsidR="00DE1B2A" w:rsidRPr="00167113">
        <w:t xml:space="preserve">contends that </w:t>
      </w:r>
      <w:r w:rsidR="008C28C6">
        <w:t>Ms Hunter</w:t>
      </w:r>
      <w:r w:rsidR="00DE1B2A" w:rsidRPr="00167113">
        <w:t xml:space="preserve"> failed to establish any culpable remissness on the part of the </w:t>
      </w:r>
      <w:r w:rsidR="00FE673B">
        <w:t>FSCA</w:t>
      </w:r>
      <w:r w:rsidR="00DE1B2A" w:rsidRPr="00167113">
        <w:t xml:space="preserve"> which warrants ministerial intervention.  </w:t>
      </w:r>
      <w:r w:rsidR="00DE1B2A">
        <w:t xml:space="preserve">The Minister </w:t>
      </w:r>
      <w:r w:rsidR="00AA76DE">
        <w:t>submit</w:t>
      </w:r>
      <w:r w:rsidR="000C61B5">
        <w:t>s</w:t>
      </w:r>
      <w:r w:rsidR="00DE1B2A">
        <w:t xml:space="preserve"> that t</w:t>
      </w:r>
      <w:r w:rsidR="00DE1B2A" w:rsidRPr="00167113">
        <w:t xml:space="preserve">he </w:t>
      </w:r>
      <w:r w:rsidR="00324ED4">
        <w:rPr>
          <w:lang w:eastAsia="zh-CN"/>
        </w:rPr>
        <w:t>c</w:t>
      </w:r>
      <w:r w:rsidR="00DE1B2A" w:rsidRPr="00167113">
        <w:t xml:space="preserve">ancellations </w:t>
      </w:r>
      <w:r w:rsidR="00324ED4">
        <w:rPr>
          <w:lang w:eastAsia="zh-CN"/>
        </w:rPr>
        <w:t>p</w:t>
      </w:r>
      <w:r w:rsidR="00DE1B2A" w:rsidRPr="00167113">
        <w:t xml:space="preserve">roject is still being investigated and the employment grievances have been facilitated to exhaustion, and </w:t>
      </w:r>
      <w:r w:rsidR="008C28C6">
        <w:t>Ms Hunter</w:t>
      </w:r>
      <w:r w:rsidR="00DE1B2A" w:rsidRPr="00167113">
        <w:t xml:space="preserve">’s employment has run its full course.  </w:t>
      </w:r>
      <w:r w:rsidR="00DE1B2A">
        <w:t xml:space="preserve">The Minister </w:t>
      </w:r>
      <w:r w:rsidR="000C61B5">
        <w:t xml:space="preserve">further submits </w:t>
      </w:r>
      <w:r w:rsidR="00DE1B2A">
        <w:t>that t</w:t>
      </w:r>
      <w:r w:rsidR="00DE1B2A" w:rsidRPr="00167113">
        <w:t>he P</w:t>
      </w:r>
      <w:r w:rsidR="00CF75A5">
        <w:rPr>
          <w:rFonts w:hint="eastAsia"/>
          <w:lang w:eastAsia="zh-CN"/>
        </w:rPr>
        <w:t>ublic</w:t>
      </w:r>
      <w:r w:rsidR="00315512">
        <w:rPr>
          <w:lang w:eastAsia="zh-CN"/>
        </w:rPr>
        <w:t> </w:t>
      </w:r>
      <w:r w:rsidR="00DE1B2A" w:rsidRPr="00167113">
        <w:t>F</w:t>
      </w:r>
      <w:r w:rsidR="00CF75A5">
        <w:rPr>
          <w:rFonts w:hint="eastAsia"/>
          <w:lang w:eastAsia="zh-CN"/>
        </w:rPr>
        <w:t xml:space="preserve">inance </w:t>
      </w:r>
      <w:r w:rsidR="00DE1B2A" w:rsidRPr="00167113">
        <w:t>M</w:t>
      </w:r>
      <w:r w:rsidR="00CF75A5">
        <w:rPr>
          <w:rFonts w:hint="eastAsia"/>
          <w:lang w:eastAsia="zh-CN"/>
        </w:rPr>
        <w:t xml:space="preserve">anagement </w:t>
      </w:r>
      <w:r w:rsidR="00DE1B2A" w:rsidRPr="00167113">
        <w:t>A</w:t>
      </w:r>
      <w:r w:rsidR="00CF75A5">
        <w:rPr>
          <w:rFonts w:hint="eastAsia"/>
          <w:lang w:eastAsia="zh-CN"/>
        </w:rPr>
        <w:t>ct</w:t>
      </w:r>
      <w:r w:rsidR="00506A3F">
        <w:rPr>
          <w:lang w:eastAsia="zh-CN"/>
        </w:rPr>
        <w:t xml:space="preserve"> (PFMA)</w:t>
      </w:r>
      <w:r w:rsidR="00CF75A5">
        <w:rPr>
          <w:rStyle w:val="FootnoteReference"/>
          <w:lang w:eastAsia="zh-CN"/>
        </w:rPr>
        <w:footnoteReference w:id="11"/>
      </w:r>
      <w:r w:rsidR="00DE1B2A" w:rsidRPr="00167113">
        <w:t xml:space="preserve"> issue does not arise as the expenditure incurred in procuring the services of </w:t>
      </w:r>
      <w:proofErr w:type="spellStart"/>
      <w:r w:rsidR="00DE1B2A" w:rsidRPr="00167113">
        <w:t>Gobodo</w:t>
      </w:r>
      <w:proofErr w:type="spellEnd"/>
      <w:r w:rsidR="00DE1B2A" w:rsidRPr="00167113">
        <w:t xml:space="preserve"> </w:t>
      </w:r>
      <w:r w:rsidR="000C61B5">
        <w:t xml:space="preserve">did not constitute </w:t>
      </w:r>
      <w:r w:rsidR="00DE1B2A" w:rsidRPr="00167113">
        <w:t xml:space="preserve">an irregular expenditure and there was no other form of financial misconduct proven by </w:t>
      </w:r>
      <w:r w:rsidR="008C28C6">
        <w:t>Ms Hunter</w:t>
      </w:r>
      <w:r w:rsidR="00DE1B2A" w:rsidRPr="00167113">
        <w:t xml:space="preserve">.  Thus, </w:t>
      </w:r>
      <w:r w:rsidR="008C28C6">
        <w:t>Ms Hunter</w:t>
      </w:r>
      <w:r w:rsidR="00DE1B2A" w:rsidRPr="00167113">
        <w:t xml:space="preserve"> has not made out a proper case for structural relief at all, least of </w:t>
      </w:r>
      <w:r w:rsidR="00DE1B2A">
        <w:t xml:space="preserve">all </w:t>
      </w:r>
      <w:r w:rsidR="00DE1B2A" w:rsidRPr="00167113">
        <w:t>one including the Minister.</w:t>
      </w:r>
    </w:p>
    <w:p w14:paraId="518B5225" w14:textId="77777777" w:rsidR="001E7549" w:rsidRPr="0054744E" w:rsidRDefault="001E7549" w:rsidP="0054744E">
      <w:pPr>
        <w:pStyle w:val="JUDGMENTCONTINUED"/>
      </w:pPr>
    </w:p>
    <w:p w14:paraId="68DB3533" w14:textId="2F8BDD1C" w:rsidR="00B10544" w:rsidRDefault="00811729" w:rsidP="00811729">
      <w:pPr>
        <w:spacing w:line="360" w:lineRule="auto"/>
      </w:pPr>
      <w:r>
        <w:rPr>
          <w:color w:val="000000"/>
        </w:rPr>
        <w:t>[27]</w:t>
      </w:r>
      <w:r>
        <w:rPr>
          <w:color w:val="000000"/>
        </w:rPr>
        <w:tab/>
      </w:r>
      <w:r w:rsidR="00B10544" w:rsidRPr="00167113">
        <w:t xml:space="preserve">CWAO </w:t>
      </w:r>
      <w:r w:rsidR="00AA76DE" w:rsidRPr="00167113">
        <w:t>submit</w:t>
      </w:r>
      <w:r w:rsidR="005D5D17">
        <w:rPr>
          <w:rFonts w:hint="eastAsia"/>
          <w:lang w:eastAsia="zh-CN"/>
        </w:rPr>
        <w:t>s</w:t>
      </w:r>
      <w:r w:rsidR="00B10544" w:rsidRPr="00167113">
        <w:t xml:space="preserve"> that the </w:t>
      </w:r>
      <w:r w:rsidR="0035257E">
        <w:t>r</w:t>
      </w:r>
      <w:r w:rsidR="00B10544" w:rsidRPr="00167113">
        <w:t xml:space="preserve">egistrar did not adequately take into account the duty to consult the beneficiaries in conducting the </w:t>
      </w:r>
      <w:r w:rsidR="003F1E77">
        <w:rPr>
          <w:lang w:eastAsia="zh-CN"/>
        </w:rPr>
        <w:t>c</w:t>
      </w:r>
      <w:r w:rsidR="00B10544" w:rsidRPr="00167113">
        <w:t xml:space="preserve">ancellations </w:t>
      </w:r>
      <w:r w:rsidR="003F1E77">
        <w:rPr>
          <w:lang w:eastAsia="zh-CN"/>
        </w:rPr>
        <w:t>p</w:t>
      </w:r>
      <w:r w:rsidR="00B10544" w:rsidRPr="00167113">
        <w:t>roject and</w:t>
      </w:r>
      <w:r w:rsidR="00B10544">
        <w:t xml:space="preserve"> that </w:t>
      </w:r>
      <w:r w:rsidR="00DF3B6D">
        <w:t>this</w:t>
      </w:r>
      <w:r w:rsidR="00AA76DE">
        <w:t xml:space="preserve"> </w:t>
      </w:r>
      <w:r w:rsidR="00B10544">
        <w:t xml:space="preserve">failure </w:t>
      </w:r>
      <w:r w:rsidR="00AA76DE">
        <w:lastRenderedPageBreak/>
        <w:t>was</w:t>
      </w:r>
      <w:r w:rsidR="00B10544">
        <w:t xml:space="preserve"> unlawful. </w:t>
      </w:r>
      <w:r w:rsidR="00AA76DE">
        <w:t xml:space="preserve"> </w:t>
      </w:r>
      <w:r w:rsidR="00B10544">
        <w:t xml:space="preserve">CWAO seeks </w:t>
      </w:r>
      <w:r w:rsidR="00FE4EB6">
        <w:t xml:space="preserve">for </w:t>
      </w:r>
      <w:r w:rsidR="00B10544">
        <w:t xml:space="preserve">this Court to recognise that the </w:t>
      </w:r>
      <w:r w:rsidR="0035257E">
        <w:t>r</w:t>
      </w:r>
      <w:r w:rsidR="00B10544">
        <w:t>egistrar has a proactive duty to consult with fund members and beneficiaries before taking a decision to cancel the fund, which include</w:t>
      </w:r>
      <w:r w:rsidR="00FE4EB6">
        <w:t>s</w:t>
      </w:r>
      <w:r w:rsidR="00B10544">
        <w:t xml:space="preserve"> the decision to search for </w:t>
      </w:r>
      <w:r w:rsidR="00AA76DE">
        <w:t>the respective beneficiaries.</w:t>
      </w:r>
    </w:p>
    <w:p w14:paraId="3C94C49D" w14:textId="77777777" w:rsidR="001E7549" w:rsidRPr="00790676" w:rsidRDefault="001E7549" w:rsidP="003725DF">
      <w:pPr>
        <w:pStyle w:val="JUDGMENTCONTINUED"/>
        <w:rPr>
          <w:lang w:eastAsia="en-ZA"/>
        </w:rPr>
      </w:pPr>
      <w:bookmarkStart w:id="6" w:name="_Toc508706463"/>
    </w:p>
    <w:p w14:paraId="324781C5" w14:textId="31C7BFC7" w:rsidR="001646BF" w:rsidRPr="00AB2863" w:rsidRDefault="00811729" w:rsidP="00811729">
      <w:pPr>
        <w:spacing w:line="360" w:lineRule="auto"/>
        <w:rPr>
          <w:lang w:eastAsia="en-ZA"/>
        </w:rPr>
      </w:pPr>
      <w:r w:rsidRPr="00AB2863">
        <w:rPr>
          <w:color w:val="000000"/>
          <w:lang w:eastAsia="en-ZA"/>
        </w:rPr>
        <w:t>[28]</w:t>
      </w:r>
      <w:r w:rsidRPr="00AB2863">
        <w:rPr>
          <w:color w:val="000000"/>
          <w:lang w:eastAsia="en-ZA"/>
        </w:rPr>
        <w:tab/>
      </w:r>
      <w:r w:rsidR="00FC2E49">
        <w:rPr>
          <w:rFonts w:hint="eastAsia"/>
          <w:lang w:eastAsia="zh-CN"/>
        </w:rPr>
        <w:t>R2K</w:t>
      </w:r>
      <w:r w:rsidR="00FB00DB">
        <w:rPr>
          <w:rFonts w:hint="eastAsia"/>
          <w:lang w:eastAsia="zh-CN"/>
        </w:rPr>
        <w:t xml:space="preserve"> </w:t>
      </w:r>
      <w:r w:rsidR="009E69CD">
        <w:rPr>
          <w:lang w:eastAsia="en-ZA"/>
        </w:rPr>
        <w:t>submit</w:t>
      </w:r>
      <w:r w:rsidR="000C61B5">
        <w:rPr>
          <w:lang w:eastAsia="en-ZA"/>
        </w:rPr>
        <w:t>s</w:t>
      </w:r>
      <w:r w:rsidR="001646BF">
        <w:rPr>
          <w:lang w:eastAsia="en-ZA"/>
        </w:rPr>
        <w:t xml:space="preserve"> that, having regard to this Court’s decision in </w:t>
      </w:r>
      <w:proofErr w:type="spellStart"/>
      <w:r w:rsidR="00D51D2F">
        <w:rPr>
          <w:i/>
          <w:lang w:eastAsia="en-ZA"/>
        </w:rPr>
        <w:t>All</w:t>
      </w:r>
      <w:r w:rsidR="00A23339">
        <w:rPr>
          <w:i/>
          <w:lang w:eastAsia="en-ZA"/>
        </w:rPr>
        <w:t>P</w:t>
      </w:r>
      <w:r w:rsidR="00D51D2F">
        <w:rPr>
          <w:i/>
          <w:lang w:eastAsia="en-ZA"/>
        </w:rPr>
        <w:t>ay</w:t>
      </w:r>
      <w:proofErr w:type="spellEnd"/>
      <w:r w:rsidR="001646BF">
        <w:rPr>
          <w:lang w:eastAsia="en-ZA"/>
        </w:rPr>
        <w:t>,</w:t>
      </w:r>
      <w:bookmarkStart w:id="7" w:name="_Ref524446232"/>
      <w:r w:rsidR="001646BF">
        <w:rPr>
          <w:rStyle w:val="FootnoteReference"/>
          <w:lang w:eastAsia="en-ZA"/>
        </w:rPr>
        <w:footnoteReference w:id="12"/>
      </w:r>
      <w:bookmarkEnd w:id="7"/>
      <w:r w:rsidR="003F1E77">
        <w:rPr>
          <w:lang w:eastAsia="en-ZA"/>
        </w:rPr>
        <w:t xml:space="preserve"> the irregularities in the cancellations p</w:t>
      </w:r>
      <w:r w:rsidR="001646BF">
        <w:rPr>
          <w:lang w:eastAsia="en-ZA"/>
        </w:rPr>
        <w:t xml:space="preserve">roject cannot be overlooked merely </w:t>
      </w:r>
      <w:r w:rsidR="001646BF" w:rsidRPr="006840A5">
        <w:rPr>
          <w:lang w:eastAsia="en-ZA"/>
        </w:rPr>
        <w:t xml:space="preserve">because they </w:t>
      </w:r>
      <w:r w:rsidR="00205AD6">
        <w:rPr>
          <w:lang w:eastAsia="en-ZA"/>
        </w:rPr>
        <w:t xml:space="preserve">may not have </w:t>
      </w:r>
      <w:r w:rsidR="001646BF">
        <w:rPr>
          <w:lang w:eastAsia="en-ZA"/>
        </w:rPr>
        <w:t>result</w:t>
      </w:r>
      <w:r w:rsidR="00AA76DE">
        <w:rPr>
          <w:lang w:eastAsia="en-ZA"/>
        </w:rPr>
        <w:t>ed</w:t>
      </w:r>
      <w:r w:rsidR="001646BF">
        <w:rPr>
          <w:lang w:eastAsia="en-ZA"/>
        </w:rPr>
        <w:t xml:space="preserve"> in material financial prejudice. </w:t>
      </w:r>
      <w:r w:rsidR="00AA76DE">
        <w:rPr>
          <w:lang w:eastAsia="en-ZA"/>
        </w:rPr>
        <w:t xml:space="preserve"> </w:t>
      </w:r>
      <w:r w:rsidR="00205AD6">
        <w:rPr>
          <w:lang w:eastAsia="en-ZA"/>
        </w:rPr>
        <w:t xml:space="preserve">In addition, </w:t>
      </w:r>
      <w:r w:rsidR="001646BF">
        <w:rPr>
          <w:lang w:eastAsia="en-ZA"/>
        </w:rPr>
        <w:t>R2K conten</w:t>
      </w:r>
      <w:r w:rsidR="00DF3B6D">
        <w:rPr>
          <w:lang w:eastAsia="en-ZA"/>
        </w:rPr>
        <w:t>d</w:t>
      </w:r>
      <w:r w:rsidR="000C61B5">
        <w:rPr>
          <w:lang w:eastAsia="en-ZA"/>
        </w:rPr>
        <w:t>s</w:t>
      </w:r>
      <w:r w:rsidR="001646BF">
        <w:rPr>
          <w:lang w:eastAsia="en-ZA"/>
        </w:rPr>
        <w:t xml:space="preserve"> that</w:t>
      </w:r>
      <w:r w:rsidR="00DF3B6D">
        <w:rPr>
          <w:lang w:eastAsia="en-ZA"/>
        </w:rPr>
        <w:t>,</w:t>
      </w:r>
      <w:r w:rsidR="001646BF">
        <w:rPr>
          <w:lang w:eastAsia="en-ZA"/>
        </w:rPr>
        <w:t xml:space="preserve"> </w:t>
      </w:r>
      <w:r w:rsidR="00DF3B6D">
        <w:rPr>
          <w:lang w:eastAsia="en-ZA"/>
        </w:rPr>
        <w:t xml:space="preserve">because </w:t>
      </w:r>
      <w:r w:rsidR="00B10544">
        <w:rPr>
          <w:lang w:eastAsia="en-ZA"/>
        </w:rPr>
        <w:t>a</w:t>
      </w:r>
      <w:r w:rsidR="001646BF">
        <w:rPr>
          <w:lang w:eastAsia="en-ZA"/>
        </w:rPr>
        <w:t xml:space="preserve"> public functionary bears a constitutional obligation to approach a court to set aside its own irregular administrative act th</w:t>
      </w:r>
      <w:r w:rsidR="00DF3B6D">
        <w:rPr>
          <w:lang w:eastAsia="en-ZA"/>
        </w:rPr>
        <w:t>at</w:t>
      </w:r>
      <w:r w:rsidR="001646BF">
        <w:rPr>
          <w:lang w:eastAsia="en-ZA"/>
        </w:rPr>
        <w:t xml:space="preserve"> </w:t>
      </w:r>
      <w:r w:rsidR="00B10544">
        <w:rPr>
          <w:lang w:eastAsia="en-ZA"/>
        </w:rPr>
        <w:t xml:space="preserve">public functionary </w:t>
      </w:r>
      <w:r w:rsidR="001646BF">
        <w:rPr>
          <w:lang w:eastAsia="en-ZA"/>
        </w:rPr>
        <w:t xml:space="preserve">must first ascertain whether the particular circumstances of </w:t>
      </w:r>
      <w:r w:rsidR="00205AD6">
        <w:rPr>
          <w:lang w:eastAsia="en-ZA"/>
        </w:rPr>
        <w:t>the</w:t>
      </w:r>
      <w:r w:rsidR="001646BF">
        <w:rPr>
          <w:lang w:eastAsia="en-ZA"/>
        </w:rPr>
        <w:t xml:space="preserve"> identified irregularity </w:t>
      </w:r>
      <w:r w:rsidR="00205AD6">
        <w:rPr>
          <w:lang w:eastAsia="en-ZA"/>
        </w:rPr>
        <w:t>trigger that</w:t>
      </w:r>
      <w:r w:rsidR="001646BF">
        <w:rPr>
          <w:lang w:eastAsia="en-ZA"/>
        </w:rPr>
        <w:t xml:space="preserve"> obligation</w:t>
      </w:r>
      <w:r w:rsidR="00205AD6">
        <w:rPr>
          <w:lang w:eastAsia="en-ZA"/>
        </w:rPr>
        <w:t>, which involve</w:t>
      </w:r>
      <w:r w:rsidR="002A2F2C">
        <w:rPr>
          <w:lang w:eastAsia="en-ZA"/>
        </w:rPr>
        <w:t>s a</w:t>
      </w:r>
      <w:r w:rsidR="00205AD6">
        <w:rPr>
          <w:lang w:eastAsia="en-ZA"/>
        </w:rPr>
        <w:t xml:space="preserve"> </w:t>
      </w:r>
      <w:r w:rsidR="002A2F2C">
        <w:rPr>
          <w:lang w:eastAsia="en-ZA"/>
        </w:rPr>
        <w:t xml:space="preserve">duty to </w:t>
      </w:r>
      <w:r w:rsidR="00205AD6">
        <w:rPr>
          <w:lang w:eastAsia="en-ZA"/>
        </w:rPr>
        <w:t>investigat</w:t>
      </w:r>
      <w:r w:rsidR="002A2F2C">
        <w:rPr>
          <w:lang w:eastAsia="en-ZA"/>
        </w:rPr>
        <w:t>e</w:t>
      </w:r>
      <w:r w:rsidR="00B10544">
        <w:rPr>
          <w:lang w:eastAsia="en-ZA"/>
        </w:rPr>
        <w:t xml:space="preserve">. </w:t>
      </w:r>
      <w:r w:rsidR="00AA76DE">
        <w:rPr>
          <w:lang w:eastAsia="en-ZA"/>
        </w:rPr>
        <w:t xml:space="preserve"> </w:t>
      </w:r>
      <w:r w:rsidR="00B10544">
        <w:rPr>
          <w:lang w:eastAsia="en-ZA"/>
        </w:rPr>
        <w:t xml:space="preserve">R2K also argues that </w:t>
      </w:r>
      <w:r w:rsidR="001646BF">
        <w:rPr>
          <w:lang w:eastAsia="en-ZA"/>
        </w:rPr>
        <w:t xml:space="preserve">the </w:t>
      </w:r>
      <w:r w:rsidR="00324ED4">
        <w:rPr>
          <w:lang w:eastAsia="zh-CN"/>
        </w:rPr>
        <w:t>c</w:t>
      </w:r>
      <w:r w:rsidR="001646BF">
        <w:rPr>
          <w:lang w:eastAsia="en-ZA"/>
        </w:rPr>
        <w:t xml:space="preserve">ancellations </w:t>
      </w:r>
      <w:r w:rsidR="00324ED4">
        <w:rPr>
          <w:lang w:eastAsia="zh-CN"/>
        </w:rPr>
        <w:t>p</w:t>
      </w:r>
      <w:r w:rsidR="001646BF">
        <w:rPr>
          <w:lang w:eastAsia="en-ZA"/>
        </w:rPr>
        <w:t xml:space="preserve">roject has the potential to affect </w:t>
      </w:r>
      <w:r w:rsidR="00324ED4">
        <w:rPr>
          <w:lang w:eastAsia="en-ZA"/>
        </w:rPr>
        <w:t xml:space="preserve">the </w:t>
      </w:r>
      <w:r w:rsidR="001646BF">
        <w:rPr>
          <w:lang w:eastAsia="en-ZA"/>
        </w:rPr>
        <w:t>right to receive a pension which finds expression in both the Constitution and international law.</w:t>
      </w:r>
      <w:r w:rsidR="00B10544">
        <w:rPr>
          <w:lang w:eastAsia="en-ZA"/>
        </w:rPr>
        <w:t xml:space="preserve"> </w:t>
      </w:r>
      <w:r w:rsidR="00FE4EB6">
        <w:rPr>
          <w:lang w:eastAsia="en-ZA"/>
        </w:rPr>
        <w:t xml:space="preserve"> </w:t>
      </w:r>
      <w:r w:rsidR="00AA76DE">
        <w:rPr>
          <w:lang w:eastAsia="en-ZA"/>
        </w:rPr>
        <w:t>R2K</w:t>
      </w:r>
      <w:r w:rsidR="001646BF">
        <w:rPr>
          <w:lang w:eastAsia="en-ZA"/>
        </w:rPr>
        <w:t xml:space="preserve"> </w:t>
      </w:r>
      <w:r w:rsidR="002A2F2C">
        <w:rPr>
          <w:lang w:eastAsia="en-ZA"/>
        </w:rPr>
        <w:t xml:space="preserve">therefore </w:t>
      </w:r>
      <w:r w:rsidR="00AA76DE">
        <w:rPr>
          <w:lang w:eastAsia="en-ZA"/>
        </w:rPr>
        <w:t>submit</w:t>
      </w:r>
      <w:r w:rsidR="000C61B5">
        <w:rPr>
          <w:lang w:eastAsia="en-ZA"/>
        </w:rPr>
        <w:t>s</w:t>
      </w:r>
      <w:r w:rsidR="005D5D17">
        <w:rPr>
          <w:rFonts w:hint="eastAsia"/>
          <w:lang w:eastAsia="zh-CN"/>
        </w:rPr>
        <w:t xml:space="preserve"> </w:t>
      </w:r>
      <w:r w:rsidR="00AA76DE">
        <w:rPr>
          <w:lang w:eastAsia="en-ZA"/>
        </w:rPr>
        <w:t xml:space="preserve">that the </w:t>
      </w:r>
      <w:r w:rsidR="00FE673B">
        <w:rPr>
          <w:lang w:eastAsia="en-ZA"/>
        </w:rPr>
        <w:t>FSCA</w:t>
      </w:r>
      <w:r w:rsidR="001646BF">
        <w:rPr>
          <w:lang w:eastAsia="en-ZA"/>
        </w:rPr>
        <w:t xml:space="preserve"> ha</w:t>
      </w:r>
      <w:r w:rsidR="00205AD6">
        <w:rPr>
          <w:lang w:eastAsia="en-ZA"/>
        </w:rPr>
        <w:t>s</w:t>
      </w:r>
      <w:r w:rsidR="001646BF">
        <w:rPr>
          <w:lang w:eastAsia="en-ZA"/>
        </w:rPr>
        <w:t xml:space="preserve"> not procured an</w:t>
      </w:r>
      <w:r w:rsidR="00205AD6">
        <w:rPr>
          <w:lang w:eastAsia="en-ZA"/>
        </w:rPr>
        <w:t>y</w:t>
      </w:r>
      <w:r w:rsidR="001646BF">
        <w:rPr>
          <w:lang w:eastAsia="en-ZA"/>
        </w:rPr>
        <w:t xml:space="preserve"> investigation into the </w:t>
      </w:r>
      <w:r w:rsidR="002A2F2C">
        <w:rPr>
          <w:lang w:eastAsia="en-ZA"/>
        </w:rPr>
        <w:t>irregular process</w:t>
      </w:r>
      <w:r w:rsidR="001646BF">
        <w:rPr>
          <w:lang w:eastAsia="en-ZA"/>
        </w:rPr>
        <w:t xml:space="preserve"> of the </w:t>
      </w:r>
      <w:r w:rsidR="003F1E77">
        <w:rPr>
          <w:lang w:eastAsia="zh-CN"/>
        </w:rPr>
        <w:t>c</w:t>
      </w:r>
      <w:r w:rsidR="001646BF">
        <w:rPr>
          <w:lang w:eastAsia="en-ZA"/>
        </w:rPr>
        <w:t xml:space="preserve">ancellations </w:t>
      </w:r>
      <w:r w:rsidR="003F1E77">
        <w:rPr>
          <w:lang w:eastAsia="zh-CN"/>
        </w:rPr>
        <w:t>p</w:t>
      </w:r>
      <w:r w:rsidR="001646BF">
        <w:rPr>
          <w:lang w:eastAsia="en-ZA"/>
        </w:rPr>
        <w:t>roject</w:t>
      </w:r>
      <w:r w:rsidR="002A2F2C">
        <w:rPr>
          <w:lang w:eastAsia="en-ZA"/>
        </w:rPr>
        <w:t xml:space="preserve">, only its outcome.  R2K submits that even if the investigations procured by the </w:t>
      </w:r>
      <w:r w:rsidR="00FE673B">
        <w:rPr>
          <w:lang w:eastAsia="en-ZA"/>
        </w:rPr>
        <w:t>FSCA</w:t>
      </w:r>
      <w:r w:rsidR="002A2F2C">
        <w:rPr>
          <w:lang w:eastAsia="en-ZA"/>
        </w:rPr>
        <w:t xml:space="preserve"> had indeed encompassed the procedural irregularities in the cancellations project, the </w:t>
      </w:r>
      <w:r w:rsidR="00FE673B">
        <w:rPr>
          <w:lang w:eastAsia="en-ZA"/>
        </w:rPr>
        <w:t>FSCA</w:t>
      </w:r>
      <w:r w:rsidR="002A2F2C">
        <w:rPr>
          <w:lang w:eastAsia="en-ZA"/>
        </w:rPr>
        <w:t xml:space="preserve"> would still not have complied with its constitutional obligations to investigate as section 7(2) of the Constitution requires </w:t>
      </w:r>
      <w:r w:rsidR="00324ED4">
        <w:rPr>
          <w:lang w:eastAsia="en-ZA"/>
        </w:rPr>
        <w:t xml:space="preserve">the </w:t>
      </w:r>
      <w:r w:rsidR="002A2F2C">
        <w:rPr>
          <w:lang w:eastAsia="en-ZA"/>
        </w:rPr>
        <w:t xml:space="preserve">investigation to be competent, independent and transparent. </w:t>
      </w:r>
      <w:r w:rsidR="00FE0359">
        <w:rPr>
          <w:lang w:eastAsia="en-ZA"/>
        </w:rPr>
        <w:t xml:space="preserve"> </w:t>
      </w:r>
      <w:r w:rsidR="002A2F2C">
        <w:rPr>
          <w:lang w:eastAsia="en-ZA"/>
        </w:rPr>
        <w:t xml:space="preserve">Last, R2K submits that the obligation on the </w:t>
      </w:r>
      <w:r w:rsidR="00FE673B">
        <w:rPr>
          <w:lang w:eastAsia="en-ZA"/>
        </w:rPr>
        <w:t>FSCA</w:t>
      </w:r>
      <w:r w:rsidR="002A2F2C">
        <w:rPr>
          <w:lang w:eastAsia="en-ZA"/>
        </w:rPr>
        <w:t xml:space="preserve"> to have its irregularities investigated competently, independently and transparently is also reinforced by the IOPS</w:t>
      </w:r>
      <w:r w:rsidR="00315512">
        <w:rPr>
          <w:lang w:eastAsia="en-ZA"/>
        </w:rPr>
        <w:t> </w:t>
      </w:r>
      <w:r w:rsidR="002A2F2C">
        <w:rPr>
          <w:lang w:eastAsia="en-ZA"/>
        </w:rPr>
        <w:t>Principles, Guidelines and Good Practices,</w:t>
      </w:r>
      <w:r w:rsidR="00324ED4">
        <w:rPr>
          <w:rStyle w:val="FootnoteReference"/>
          <w:lang w:eastAsia="en-ZA"/>
        </w:rPr>
        <w:footnoteReference w:id="13"/>
      </w:r>
      <w:r w:rsidR="002A2F2C">
        <w:rPr>
          <w:lang w:eastAsia="en-ZA"/>
        </w:rPr>
        <w:t xml:space="preserve"> which the </w:t>
      </w:r>
      <w:r w:rsidR="00FE673B">
        <w:rPr>
          <w:lang w:eastAsia="en-ZA"/>
        </w:rPr>
        <w:t>FSCA</w:t>
      </w:r>
      <w:r w:rsidR="002A2F2C">
        <w:rPr>
          <w:lang w:eastAsia="en-ZA"/>
        </w:rPr>
        <w:t xml:space="preserve"> is obliged to observe.</w:t>
      </w:r>
    </w:p>
    <w:p w14:paraId="7C4A2806" w14:textId="77777777" w:rsidR="001E7549" w:rsidRDefault="001E7549" w:rsidP="003725DF">
      <w:pPr>
        <w:pStyle w:val="JUDGMENTCONTINUED"/>
      </w:pPr>
    </w:p>
    <w:p w14:paraId="43EE56A1" w14:textId="77777777" w:rsidR="00B91D82" w:rsidRPr="009C0CFE" w:rsidRDefault="00127A47" w:rsidP="00276ABC">
      <w:pPr>
        <w:pStyle w:val="HEADING"/>
        <w:rPr>
          <w:lang w:eastAsia="zh-CN"/>
        </w:rPr>
      </w:pPr>
      <w:bookmarkStart w:id="8" w:name="_Toc508706464"/>
      <w:bookmarkEnd w:id="6"/>
      <w:r w:rsidRPr="00C43665">
        <w:t>Jurisdiction</w:t>
      </w:r>
      <w:bookmarkEnd w:id="8"/>
    </w:p>
    <w:p w14:paraId="297E406C" w14:textId="71C1C5A2" w:rsidR="006D027F" w:rsidRPr="00365DC8" w:rsidRDefault="00811729" w:rsidP="00811729">
      <w:pPr>
        <w:spacing w:line="360" w:lineRule="auto"/>
        <w:rPr>
          <w:i/>
        </w:rPr>
      </w:pPr>
      <w:r w:rsidRPr="00365DC8">
        <w:rPr>
          <w:color w:val="000000"/>
        </w:rPr>
        <w:t>[29]</w:t>
      </w:r>
      <w:r w:rsidRPr="00365DC8">
        <w:rPr>
          <w:color w:val="000000"/>
        </w:rPr>
        <w:tab/>
      </w:r>
      <w:r w:rsidR="001A0B37">
        <w:t>This application concerns the constitutional duties of a</w:t>
      </w:r>
      <w:r w:rsidR="00D96D88">
        <w:rPr>
          <w:rFonts w:hint="eastAsia"/>
          <w:lang w:eastAsia="zh-CN"/>
        </w:rPr>
        <w:t xml:space="preserve"> public functionary</w:t>
      </w:r>
      <w:r w:rsidR="001A0B37">
        <w:t xml:space="preserve">, the </w:t>
      </w:r>
      <w:r w:rsidR="00FE673B">
        <w:t>FSCA</w:t>
      </w:r>
      <w:r w:rsidR="001A0B37">
        <w:t xml:space="preserve">, to investigate allegations of irregularities in carrying out its constitutional </w:t>
      </w:r>
      <w:r w:rsidR="001A0B37">
        <w:lastRenderedPageBreak/>
        <w:t>mandate as well as issues of governance and accountability.  This is clearly a matter that engages this Court’s jurisdiction.</w:t>
      </w:r>
      <w:bookmarkStart w:id="9" w:name="_Toc508706465"/>
    </w:p>
    <w:p w14:paraId="6B7A3238" w14:textId="77777777" w:rsidR="00365DC8" w:rsidRDefault="00365DC8" w:rsidP="00365DC8">
      <w:pPr>
        <w:spacing w:line="360" w:lineRule="auto"/>
        <w:rPr>
          <w:i/>
        </w:rPr>
      </w:pPr>
    </w:p>
    <w:bookmarkEnd w:id="9"/>
    <w:p w14:paraId="49E57705" w14:textId="77777777" w:rsidR="00C036F9" w:rsidRPr="009C0CFE" w:rsidRDefault="0035257E" w:rsidP="00276ABC">
      <w:pPr>
        <w:pStyle w:val="HEADING"/>
      </w:pPr>
      <w:r>
        <w:t>Legal standing</w:t>
      </w:r>
    </w:p>
    <w:p w14:paraId="0313CB38" w14:textId="04C76D89" w:rsidR="00C43665" w:rsidRDefault="00811729" w:rsidP="00811729">
      <w:pPr>
        <w:spacing w:line="360" w:lineRule="auto"/>
        <w:rPr>
          <w:lang w:eastAsia="en-ZA"/>
        </w:rPr>
      </w:pPr>
      <w:r>
        <w:rPr>
          <w:color w:val="000000"/>
          <w:lang w:eastAsia="en-ZA"/>
        </w:rPr>
        <w:t>[30]</w:t>
      </w:r>
      <w:r>
        <w:rPr>
          <w:color w:val="000000"/>
          <w:lang w:eastAsia="en-ZA"/>
        </w:rPr>
        <w:tab/>
      </w:r>
      <w:r w:rsidR="00473C5B" w:rsidRPr="00167113">
        <w:rPr>
          <w:lang w:eastAsia="en-ZA"/>
        </w:rPr>
        <w:t xml:space="preserve">Whilst </w:t>
      </w:r>
      <w:r w:rsidR="008C28C6">
        <w:rPr>
          <w:lang w:eastAsia="en-ZA"/>
        </w:rPr>
        <w:t>Ms Hunter</w:t>
      </w:r>
      <w:r w:rsidR="00473C5B" w:rsidRPr="00167113">
        <w:rPr>
          <w:lang w:eastAsia="en-ZA"/>
        </w:rPr>
        <w:t xml:space="preserve"> does not go into great lengths as to why she submits that she is acting in the public interest, i</w:t>
      </w:r>
      <w:r w:rsidR="00473C5B">
        <w:rPr>
          <w:lang w:eastAsia="en-ZA"/>
        </w:rPr>
        <w:t xml:space="preserve">n light of the </w:t>
      </w:r>
      <w:r w:rsidR="00473C5B" w:rsidRPr="00167113">
        <w:rPr>
          <w:lang w:eastAsia="en-ZA"/>
        </w:rPr>
        <w:t>generous approach adopted by this Court</w:t>
      </w:r>
      <w:r w:rsidR="00473C5B">
        <w:rPr>
          <w:lang w:eastAsia="en-ZA"/>
        </w:rPr>
        <w:t xml:space="preserve"> regarding </w:t>
      </w:r>
      <w:r w:rsidR="0035257E">
        <w:rPr>
          <w:lang w:eastAsia="en-ZA"/>
        </w:rPr>
        <w:t xml:space="preserve">legal standing </w:t>
      </w:r>
      <w:r w:rsidR="00473C5B">
        <w:rPr>
          <w:lang w:eastAsia="en-ZA"/>
        </w:rPr>
        <w:t>in public interest matters, it is clear</w:t>
      </w:r>
      <w:r w:rsidR="00473C5B" w:rsidRPr="00167113">
        <w:rPr>
          <w:lang w:eastAsia="en-ZA"/>
        </w:rPr>
        <w:t xml:space="preserve"> th</w:t>
      </w:r>
      <w:r w:rsidR="00473C5B">
        <w:rPr>
          <w:lang w:eastAsia="en-ZA"/>
        </w:rPr>
        <w:t xml:space="preserve">at </w:t>
      </w:r>
      <w:r w:rsidR="008C28C6">
        <w:rPr>
          <w:lang w:eastAsia="en-ZA"/>
        </w:rPr>
        <w:t>Ms Hunter</w:t>
      </w:r>
      <w:r w:rsidR="00473C5B">
        <w:rPr>
          <w:lang w:eastAsia="en-ZA"/>
        </w:rPr>
        <w:t xml:space="preserve"> has standing in terms of section 38(d) of the Constitution.</w:t>
      </w:r>
      <w:r w:rsidR="00473C5B" w:rsidRPr="00167113">
        <w:rPr>
          <w:lang w:eastAsia="en-ZA"/>
        </w:rPr>
        <w:t xml:space="preserve"> </w:t>
      </w:r>
      <w:r w:rsidR="00473C5B">
        <w:rPr>
          <w:lang w:eastAsia="en-ZA"/>
        </w:rPr>
        <w:t xml:space="preserve"> </w:t>
      </w:r>
      <w:r w:rsidR="00473C5B" w:rsidRPr="00167113">
        <w:rPr>
          <w:lang w:eastAsia="en-ZA"/>
        </w:rPr>
        <w:t xml:space="preserve">With her intimate knowledge and expertise, </w:t>
      </w:r>
      <w:r w:rsidR="008C28C6">
        <w:rPr>
          <w:lang w:eastAsia="en-ZA"/>
        </w:rPr>
        <w:t>Ms Hunter</w:t>
      </w:r>
      <w:r w:rsidR="00473C5B" w:rsidRPr="00167113">
        <w:rPr>
          <w:lang w:eastAsia="en-ZA"/>
        </w:rPr>
        <w:t xml:space="preserve"> is essentially seeking to redress the possible prejudice sustained by the vu</w:t>
      </w:r>
      <w:r w:rsidR="00473C5B">
        <w:rPr>
          <w:lang w:eastAsia="en-ZA"/>
        </w:rPr>
        <w:t>l</w:t>
      </w:r>
      <w:r w:rsidR="00473C5B" w:rsidRPr="00167113">
        <w:rPr>
          <w:lang w:eastAsia="en-ZA"/>
        </w:rPr>
        <w:t>nerable members of the respective cancelled funds and thus</w:t>
      </w:r>
      <w:r w:rsidR="00324ED4">
        <w:rPr>
          <w:lang w:eastAsia="en-ZA"/>
        </w:rPr>
        <w:t>,</w:t>
      </w:r>
      <w:r w:rsidR="00473C5B" w:rsidRPr="00167113">
        <w:rPr>
          <w:lang w:eastAsia="en-ZA"/>
        </w:rPr>
        <w:t xml:space="preserve"> this alone should enable her to bring this appli</w:t>
      </w:r>
      <w:r w:rsidR="009C0CFE">
        <w:rPr>
          <w:lang w:eastAsia="en-ZA"/>
        </w:rPr>
        <w:t>cation in the public interest.</w:t>
      </w:r>
    </w:p>
    <w:p w14:paraId="2967D300" w14:textId="77777777" w:rsidR="006673B1" w:rsidRDefault="006673B1" w:rsidP="003725DF">
      <w:pPr>
        <w:pStyle w:val="JUDGMENTCONTINUED"/>
      </w:pPr>
      <w:bookmarkStart w:id="10" w:name="_Toc508706466"/>
    </w:p>
    <w:p w14:paraId="0F166E90" w14:textId="77777777" w:rsidR="00275BA3" w:rsidRPr="009C0CFE" w:rsidRDefault="00127A47" w:rsidP="00276ABC">
      <w:pPr>
        <w:pStyle w:val="HEADING"/>
        <w:rPr>
          <w:lang w:eastAsia="zh-CN"/>
        </w:rPr>
      </w:pPr>
      <w:r w:rsidRPr="00C43665">
        <w:t>Leave to appeal</w:t>
      </w:r>
      <w:bookmarkEnd w:id="10"/>
    </w:p>
    <w:p w14:paraId="075CFBA9" w14:textId="29EC9820" w:rsidR="009922A6" w:rsidRDefault="00811729" w:rsidP="00811729">
      <w:pPr>
        <w:spacing w:line="360" w:lineRule="auto"/>
        <w:rPr>
          <w:lang w:eastAsia="en-ZA"/>
        </w:rPr>
      </w:pPr>
      <w:r>
        <w:rPr>
          <w:color w:val="000000"/>
          <w:lang w:eastAsia="en-ZA"/>
        </w:rPr>
        <w:t>[31]</w:t>
      </w:r>
      <w:r>
        <w:rPr>
          <w:color w:val="000000"/>
          <w:lang w:eastAsia="en-ZA"/>
        </w:rPr>
        <w:tab/>
      </w:r>
      <w:r w:rsidR="00473C5B" w:rsidRPr="00473C5B">
        <w:rPr>
          <w:lang w:eastAsia="en-ZA"/>
        </w:rPr>
        <w:t>As to leave to appeal, there is an important constitution</w:t>
      </w:r>
      <w:r w:rsidR="009C0CFE">
        <w:rPr>
          <w:lang w:eastAsia="en-ZA"/>
        </w:rPr>
        <w:t xml:space="preserve">al issue to be considered here, namely </w:t>
      </w:r>
      <w:r w:rsidR="00473C5B" w:rsidRPr="00473C5B">
        <w:rPr>
          <w:lang w:eastAsia="en-ZA"/>
        </w:rPr>
        <w:t xml:space="preserve">whether </w:t>
      </w:r>
      <w:r w:rsidR="00473C5B">
        <w:rPr>
          <w:lang w:eastAsia="en-ZA"/>
        </w:rPr>
        <w:t xml:space="preserve">the </w:t>
      </w:r>
      <w:r w:rsidR="00FE673B">
        <w:rPr>
          <w:lang w:eastAsia="en-ZA"/>
        </w:rPr>
        <w:t>FSCA</w:t>
      </w:r>
      <w:r w:rsidR="00473C5B">
        <w:rPr>
          <w:lang w:eastAsia="en-ZA"/>
        </w:rPr>
        <w:t xml:space="preserve"> has a constitutional duty to investigate alleged irregularities in the manner in which it cancelled thousands of pension funds.</w:t>
      </w:r>
      <w:r w:rsidR="00802863">
        <w:rPr>
          <w:rFonts w:hint="eastAsia"/>
          <w:lang w:eastAsia="zh-CN"/>
        </w:rPr>
        <w:t xml:space="preserve"> </w:t>
      </w:r>
      <w:r w:rsidR="00473C5B">
        <w:rPr>
          <w:lang w:eastAsia="en-ZA"/>
        </w:rPr>
        <w:t xml:space="preserve"> </w:t>
      </w:r>
      <w:r w:rsidR="00473C5B" w:rsidRPr="00473C5B">
        <w:rPr>
          <w:lang w:eastAsia="en-ZA"/>
        </w:rPr>
        <w:t xml:space="preserve">In addition, </w:t>
      </w:r>
      <w:r w:rsidR="00473C5B">
        <w:rPr>
          <w:lang w:eastAsia="en-ZA"/>
        </w:rPr>
        <w:t xml:space="preserve">the </w:t>
      </w:r>
      <w:r w:rsidR="00473C5B" w:rsidRPr="00473C5B">
        <w:rPr>
          <w:lang w:eastAsia="en-ZA"/>
        </w:rPr>
        <w:t>application has r</w:t>
      </w:r>
      <w:r w:rsidR="00FE0359">
        <w:rPr>
          <w:lang w:eastAsia="en-ZA"/>
        </w:rPr>
        <w:t>easonable prospects of success.</w:t>
      </w:r>
      <w:r w:rsidR="00473C5B" w:rsidRPr="00473C5B">
        <w:rPr>
          <w:lang w:eastAsia="en-ZA"/>
        </w:rPr>
        <w:t xml:space="preserve"> </w:t>
      </w:r>
      <w:r w:rsidR="00FE0359">
        <w:rPr>
          <w:lang w:eastAsia="en-ZA"/>
        </w:rPr>
        <w:t xml:space="preserve"> </w:t>
      </w:r>
      <w:r w:rsidR="00473C5B" w:rsidRPr="00473C5B">
        <w:rPr>
          <w:lang w:eastAsia="en-ZA"/>
        </w:rPr>
        <w:t>It is in the interests of justice that leave to appeal be granted.</w:t>
      </w:r>
    </w:p>
    <w:p w14:paraId="152F42C3" w14:textId="3168F4EF" w:rsidR="009922A6" w:rsidRPr="004702BF" w:rsidRDefault="00811729" w:rsidP="00811729">
      <w:pPr>
        <w:spacing w:line="360" w:lineRule="auto"/>
        <w:rPr>
          <w:lang w:val="en-GB"/>
        </w:rPr>
      </w:pPr>
      <w:r w:rsidRPr="004702BF">
        <w:rPr>
          <w:color w:val="000000"/>
          <w:lang w:val="en-GB"/>
        </w:rPr>
        <w:t>[32]</w:t>
      </w:r>
      <w:r w:rsidRPr="004702BF">
        <w:rPr>
          <w:color w:val="000000"/>
          <w:lang w:val="en-GB"/>
        </w:rPr>
        <w:tab/>
      </w:r>
      <w:r w:rsidR="00324ED4">
        <w:rPr>
          <w:lang w:val="en-GB"/>
        </w:rPr>
        <w:t>In the third judgment, m</w:t>
      </w:r>
      <w:r w:rsidR="009922A6">
        <w:rPr>
          <w:lang w:val="en-GB"/>
        </w:rPr>
        <w:t xml:space="preserve">y brother, </w:t>
      </w:r>
      <w:proofErr w:type="spellStart"/>
      <w:r w:rsidR="009922A6">
        <w:rPr>
          <w:lang w:val="en-GB"/>
        </w:rPr>
        <w:t>Cachalia</w:t>
      </w:r>
      <w:proofErr w:type="spellEnd"/>
      <w:r w:rsidR="009922A6">
        <w:rPr>
          <w:lang w:val="en-GB"/>
        </w:rPr>
        <w:t xml:space="preserve"> AJ</w:t>
      </w:r>
      <w:r w:rsidR="004702BF">
        <w:rPr>
          <w:lang w:val="en-GB"/>
        </w:rPr>
        <w:t>,</w:t>
      </w:r>
      <w:r w:rsidR="009922A6">
        <w:rPr>
          <w:lang w:val="en-GB"/>
        </w:rPr>
        <w:t xml:space="preserve"> </w:t>
      </w:r>
      <w:r w:rsidR="00A23339">
        <w:rPr>
          <w:lang w:val="en-GB"/>
        </w:rPr>
        <w:t>conclude</w:t>
      </w:r>
      <w:r w:rsidR="00324ED4">
        <w:rPr>
          <w:lang w:val="en-GB"/>
        </w:rPr>
        <w:t xml:space="preserve">s </w:t>
      </w:r>
      <w:r w:rsidR="009922A6">
        <w:rPr>
          <w:lang w:val="en-GB"/>
        </w:rPr>
        <w:t xml:space="preserve">that Ms Hunter’s application for leave to appeal should be dismissed on the basis that it is not in the interests of justice to grant leave in these circumstances. </w:t>
      </w:r>
      <w:r w:rsidR="005768ED">
        <w:rPr>
          <w:lang w:val="en-GB"/>
        </w:rPr>
        <w:t xml:space="preserve"> </w:t>
      </w:r>
      <w:r w:rsidR="009922A6">
        <w:rPr>
          <w:lang w:val="en-GB"/>
        </w:rPr>
        <w:t xml:space="preserve">He holds that Ms Hunter’s case, that the FSCA had a duty to investigate systemic irregularities in the </w:t>
      </w:r>
      <w:r w:rsidR="00E046D0">
        <w:rPr>
          <w:lang w:val="en-GB"/>
        </w:rPr>
        <w:t xml:space="preserve">cancellations </w:t>
      </w:r>
      <w:r w:rsidR="009922A6">
        <w:rPr>
          <w:lang w:val="en-GB"/>
        </w:rPr>
        <w:t xml:space="preserve">project, was not properly made out in her founding affidavit or in argument before the High Court, and that her cause of action has mutated since it was first instituted. </w:t>
      </w:r>
      <w:r w:rsidR="005768ED">
        <w:rPr>
          <w:lang w:val="en-GB"/>
        </w:rPr>
        <w:t xml:space="preserve"> </w:t>
      </w:r>
      <w:r w:rsidR="0009133C">
        <w:rPr>
          <w:lang w:val="en-GB"/>
        </w:rPr>
        <w:t>While Ms </w:t>
      </w:r>
      <w:r w:rsidR="009922A6">
        <w:rPr>
          <w:lang w:val="en-GB"/>
        </w:rPr>
        <w:t xml:space="preserve">Hunter’s pleadings have evolved to </w:t>
      </w:r>
      <w:r w:rsidR="001E4BFA">
        <w:rPr>
          <w:lang w:val="en-GB"/>
        </w:rPr>
        <w:t>some</w:t>
      </w:r>
      <w:r w:rsidR="009922A6">
        <w:rPr>
          <w:lang w:val="en-GB"/>
        </w:rPr>
        <w:t xml:space="preserve"> extent over the course of the litigation, I am satisfied that the thrust of her case was sufficiently pleaded in the papers and that the respondents had sufficient opportunity </w:t>
      </w:r>
      <w:r w:rsidR="004702BF">
        <w:rPr>
          <w:lang w:val="en-GB"/>
        </w:rPr>
        <w:t xml:space="preserve">to respond thereto. </w:t>
      </w:r>
      <w:r w:rsidR="005768ED">
        <w:rPr>
          <w:lang w:val="en-GB"/>
        </w:rPr>
        <w:t xml:space="preserve"> </w:t>
      </w:r>
      <w:r w:rsidR="004702BF">
        <w:rPr>
          <w:lang w:val="en-GB"/>
        </w:rPr>
        <w:t>It is therefore in the interests of justice for leave to appeal to be granted.</w:t>
      </w:r>
    </w:p>
    <w:p w14:paraId="5120E770" w14:textId="77777777" w:rsidR="00C43665" w:rsidRPr="00724B4E" w:rsidRDefault="00C43665" w:rsidP="003725DF">
      <w:pPr>
        <w:pStyle w:val="JUDGMENTCONTINUED"/>
      </w:pPr>
    </w:p>
    <w:p w14:paraId="765BA128" w14:textId="77777777" w:rsidR="00182A4E" w:rsidRPr="009C0CFE" w:rsidRDefault="00127A47" w:rsidP="00276ABC">
      <w:pPr>
        <w:pStyle w:val="HEADING"/>
      </w:pPr>
      <w:bookmarkStart w:id="11" w:name="_Toc508706468"/>
      <w:r w:rsidRPr="00C43665">
        <w:lastRenderedPageBreak/>
        <w:t>Condonation</w:t>
      </w:r>
      <w:bookmarkEnd w:id="11"/>
    </w:p>
    <w:p w14:paraId="344263D5" w14:textId="239F4D66" w:rsidR="00656E25" w:rsidRDefault="00811729" w:rsidP="00811729">
      <w:pPr>
        <w:pStyle w:val="JUDGMENTNUMBERED"/>
        <w:numPr>
          <w:ilvl w:val="0"/>
          <w:numId w:val="0"/>
        </w:numPr>
        <w:rPr>
          <w:lang w:val="en-GB"/>
        </w:rPr>
      </w:pPr>
      <w:r>
        <w:rPr>
          <w:color w:val="000000"/>
          <w:lang w:val="en-GB"/>
        </w:rPr>
        <w:t>[33]</w:t>
      </w:r>
      <w:r>
        <w:rPr>
          <w:color w:val="000000"/>
          <w:lang w:val="en-GB"/>
        </w:rPr>
        <w:tab/>
      </w:r>
      <w:r w:rsidR="00656E25">
        <w:rPr>
          <w:lang w:val="en-GB"/>
        </w:rPr>
        <w:t>Condonation has been sought for the following:</w:t>
      </w:r>
    </w:p>
    <w:p w14:paraId="71FCB639" w14:textId="781A4A3F" w:rsidR="00656E25" w:rsidRPr="00BB639F" w:rsidRDefault="00811729" w:rsidP="00811729">
      <w:pPr>
        <w:pStyle w:val="List1"/>
        <w:ind w:left="1418" w:hanging="709"/>
        <w:rPr>
          <w:lang w:val="en-GB"/>
        </w:rPr>
      </w:pPr>
      <w:r w:rsidRPr="00BB639F">
        <w:rPr>
          <w:lang w:val="en-GB"/>
        </w:rPr>
        <w:t>(a)</w:t>
      </w:r>
      <w:r w:rsidRPr="00BB639F">
        <w:rPr>
          <w:lang w:val="en-GB"/>
        </w:rPr>
        <w:tab/>
      </w:r>
      <w:r w:rsidR="00CB3E13">
        <w:rPr>
          <w:lang w:val="en-GB"/>
        </w:rPr>
        <w:t>t</w:t>
      </w:r>
      <w:r w:rsidR="00656E25">
        <w:rPr>
          <w:lang w:val="en-GB"/>
        </w:rPr>
        <w:t>he late filing of the application for leave to appeal;</w:t>
      </w:r>
    </w:p>
    <w:p w14:paraId="06E78C5E" w14:textId="0798484C" w:rsidR="00656E25" w:rsidRPr="00BB639F" w:rsidRDefault="00811729" w:rsidP="00811729">
      <w:pPr>
        <w:pStyle w:val="List1"/>
        <w:ind w:left="1418" w:hanging="709"/>
        <w:rPr>
          <w:lang w:val="en-GB"/>
        </w:rPr>
      </w:pPr>
      <w:r w:rsidRPr="00BB639F">
        <w:rPr>
          <w:lang w:val="en-GB"/>
        </w:rPr>
        <w:t>(b)</w:t>
      </w:r>
      <w:r w:rsidRPr="00BB639F">
        <w:rPr>
          <w:lang w:val="en-GB"/>
        </w:rPr>
        <w:tab/>
      </w:r>
      <w:r w:rsidR="00656E25" w:rsidRPr="000B0535">
        <w:rPr>
          <w:lang w:val="en-GB"/>
        </w:rPr>
        <w:t xml:space="preserve">the late filing of </w:t>
      </w:r>
      <w:r w:rsidR="008C28C6">
        <w:rPr>
          <w:lang w:val="en-GB"/>
        </w:rPr>
        <w:t>Ms Hunter</w:t>
      </w:r>
      <w:r w:rsidR="00656E25">
        <w:rPr>
          <w:lang w:val="en-GB"/>
        </w:rPr>
        <w:t>’s written submissions;</w:t>
      </w:r>
    </w:p>
    <w:p w14:paraId="7C0095BC" w14:textId="6003A9DC" w:rsidR="00656E25" w:rsidRPr="00BB639F" w:rsidRDefault="00811729" w:rsidP="00811729">
      <w:pPr>
        <w:pStyle w:val="List1"/>
        <w:ind w:left="1418" w:hanging="709"/>
        <w:rPr>
          <w:lang w:val="en-GB"/>
        </w:rPr>
      </w:pPr>
      <w:r w:rsidRPr="00BB639F">
        <w:rPr>
          <w:lang w:val="en-GB"/>
        </w:rPr>
        <w:t>(c)</w:t>
      </w:r>
      <w:r w:rsidRPr="00BB639F">
        <w:rPr>
          <w:lang w:val="en-GB"/>
        </w:rPr>
        <w:tab/>
      </w:r>
      <w:r w:rsidR="00656E25" w:rsidRPr="000B0535">
        <w:rPr>
          <w:lang w:val="en-GB"/>
        </w:rPr>
        <w:t xml:space="preserve">the late filing of the </w:t>
      </w:r>
      <w:r w:rsidR="00656E25">
        <w:rPr>
          <w:lang w:val="en-GB"/>
        </w:rPr>
        <w:t>third and fourth respondents</w:t>
      </w:r>
      <w:r w:rsidR="00324ED4">
        <w:rPr>
          <w:lang w:val="en-GB"/>
        </w:rPr>
        <w:t>’</w:t>
      </w:r>
      <w:r w:rsidR="00656E25">
        <w:rPr>
          <w:lang w:val="en-GB"/>
        </w:rPr>
        <w:t xml:space="preserve"> written submissions; and</w:t>
      </w:r>
    </w:p>
    <w:p w14:paraId="3D7D5837" w14:textId="7F36450B" w:rsidR="00656E25" w:rsidRDefault="00811729" w:rsidP="00811729">
      <w:pPr>
        <w:pStyle w:val="List1"/>
        <w:ind w:left="1418" w:hanging="709"/>
        <w:rPr>
          <w:lang w:val="en-GB"/>
        </w:rPr>
      </w:pPr>
      <w:r>
        <w:rPr>
          <w:lang w:val="en-GB"/>
        </w:rPr>
        <w:t>(d)</w:t>
      </w:r>
      <w:r>
        <w:rPr>
          <w:lang w:val="en-GB"/>
        </w:rPr>
        <w:tab/>
      </w:r>
      <w:r w:rsidR="00656E25">
        <w:rPr>
          <w:lang w:val="en-GB"/>
        </w:rPr>
        <w:t xml:space="preserve">the late filing of </w:t>
      </w:r>
      <w:r w:rsidR="00705AC5">
        <w:rPr>
          <w:lang w:val="en-GB"/>
        </w:rPr>
        <w:t xml:space="preserve">R2K’s </w:t>
      </w:r>
      <w:r w:rsidR="00656E25">
        <w:rPr>
          <w:lang w:val="en-GB"/>
        </w:rPr>
        <w:t>written submissions.</w:t>
      </w:r>
    </w:p>
    <w:p w14:paraId="0CAE06D5" w14:textId="77777777" w:rsidR="00656E25" w:rsidRPr="000B0535" w:rsidRDefault="00656E25" w:rsidP="00656E25">
      <w:pPr>
        <w:pStyle w:val="JUDGMENTCONTINUED"/>
        <w:rPr>
          <w:lang w:val="en-GB"/>
        </w:rPr>
      </w:pPr>
    </w:p>
    <w:p w14:paraId="0B48CC7C" w14:textId="0B776A50" w:rsidR="00656E25" w:rsidRDefault="00811729" w:rsidP="00811729">
      <w:pPr>
        <w:pStyle w:val="JUDGMENTNUMBERED"/>
        <w:numPr>
          <w:ilvl w:val="0"/>
          <w:numId w:val="0"/>
        </w:numPr>
        <w:rPr>
          <w:lang w:val="en-GB"/>
        </w:rPr>
      </w:pPr>
      <w:r>
        <w:rPr>
          <w:color w:val="000000"/>
          <w:lang w:val="en-GB"/>
        </w:rPr>
        <w:t>[34]</w:t>
      </w:r>
      <w:r>
        <w:rPr>
          <w:color w:val="000000"/>
          <w:lang w:val="en-GB"/>
        </w:rPr>
        <w:tab/>
      </w:r>
      <w:r w:rsidR="00656E25">
        <w:rPr>
          <w:lang w:val="en-GB"/>
        </w:rPr>
        <w:t>The respective parties have advanced good reasons for the late filing of their papers and the delay in all is slight.  There was also no prejudice suffered by any of the parties as a result of the late delivery of the papers.  It is therefore in the interests of justice to grant condonation for all.</w:t>
      </w:r>
    </w:p>
    <w:p w14:paraId="02D95FE2" w14:textId="77777777" w:rsidR="00656E25" w:rsidRPr="00315512" w:rsidRDefault="00656E25" w:rsidP="00315512">
      <w:pPr>
        <w:pStyle w:val="JUDGMENTNUMBERED"/>
        <w:numPr>
          <w:ilvl w:val="0"/>
          <w:numId w:val="0"/>
        </w:numPr>
        <w:ind w:left="360" w:hanging="360"/>
      </w:pPr>
    </w:p>
    <w:p w14:paraId="6840025E" w14:textId="77777777" w:rsidR="00656E25" w:rsidRPr="000B0535" w:rsidRDefault="00656E25" w:rsidP="003725DF">
      <w:pPr>
        <w:pStyle w:val="HEADING"/>
        <w:rPr>
          <w:lang w:val="en-GB"/>
        </w:rPr>
      </w:pPr>
      <w:r>
        <w:rPr>
          <w:lang w:val="en-GB"/>
        </w:rPr>
        <w:t xml:space="preserve">Application for admission of </w:t>
      </w:r>
      <w:r w:rsidRPr="000B0535">
        <w:rPr>
          <w:lang w:val="en-GB"/>
        </w:rPr>
        <w:t>supplementary affidavit</w:t>
      </w:r>
      <w:r w:rsidR="000C3088">
        <w:rPr>
          <w:lang w:val="en-GB"/>
        </w:rPr>
        <w:t>s</w:t>
      </w:r>
    </w:p>
    <w:p w14:paraId="7AA7C2DD" w14:textId="5C7EE72C" w:rsidR="00B03CD4" w:rsidRDefault="00811729" w:rsidP="00811729">
      <w:pPr>
        <w:pStyle w:val="JUDGMENTNUMBERED"/>
        <w:numPr>
          <w:ilvl w:val="0"/>
          <w:numId w:val="0"/>
        </w:numPr>
        <w:rPr>
          <w:lang w:val="en-GB"/>
        </w:rPr>
      </w:pPr>
      <w:r>
        <w:rPr>
          <w:color w:val="000000"/>
          <w:lang w:val="en-GB"/>
        </w:rPr>
        <w:t>[35]</w:t>
      </w:r>
      <w:r>
        <w:rPr>
          <w:color w:val="000000"/>
          <w:lang w:val="en-GB"/>
        </w:rPr>
        <w:tab/>
      </w:r>
      <w:r w:rsidR="00656E25">
        <w:rPr>
          <w:lang w:val="en-GB"/>
        </w:rPr>
        <w:t xml:space="preserve">It is in the interests of justice that the supplementary affidavits of Mr Mort be admitted by this Court as they provide essential updates on the current status of the investigation being conducted by the </w:t>
      </w:r>
      <w:r w:rsidR="00FE673B">
        <w:rPr>
          <w:lang w:val="en-GB"/>
        </w:rPr>
        <w:t>FSCA</w:t>
      </w:r>
      <w:r w:rsidR="00656E25">
        <w:rPr>
          <w:lang w:val="en-GB"/>
        </w:rPr>
        <w:t>.</w:t>
      </w:r>
      <w:bookmarkStart w:id="12" w:name="_Ref524445982"/>
      <w:r w:rsidR="005C36C7">
        <w:rPr>
          <w:rStyle w:val="FootnoteReference"/>
          <w:lang w:val="en-GB"/>
        </w:rPr>
        <w:footnoteReference w:id="14"/>
      </w:r>
      <w:bookmarkEnd w:id="12"/>
      <w:r w:rsidR="00656E25">
        <w:rPr>
          <w:lang w:val="en-GB"/>
        </w:rPr>
        <w:t xml:space="preserve">  </w:t>
      </w:r>
      <w:r w:rsidR="005C36C7">
        <w:rPr>
          <w:lang w:val="en-GB"/>
        </w:rPr>
        <w:t xml:space="preserve">The affidavits also afford Mr Mort, the </w:t>
      </w:r>
      <w:r w:rsidR="00FE673B">
        <w:rPr>
          <w:lang w:val="en-GB"/>
        </w:rPr>
        <w:t>FSCA</w:t>
      </w:r>
      <w:r w:rsidR="005C36C7">
        <w:rPr>
          <w:lang w:val="en-GB"/>
        </w:rPr>
        <w:t xml:space="preserve"> and the second respondent an opportunity to respond to the allegations made by Ms Hunter concerning Mr Mort in her written submissions and it is therefore only fair that </w:t>
      </w:r>
      <w:r w:rsidR="00CB3E13">
        <w:rPr>
          <w:lang w:val="en-GB"/>
        </w:rPr>
        <w:t>they</w:t>
      </w:r>
      <w:r w:rsidR="005C36C7">
        <w:rPr>
          <w:lang w:val="en-GB"/>
        </w:rPr>
        <w:t xml:space="preserve"> be admitted.</w:t>
      </w:r>
      <w:bookmarkStart w:id="13" w:name="_Toc508706469"/>
    </w:p>
    <w:p w14:paraId="10EB8CA7" w14:textId="77777777" w:rsidR="005B40AA" w:rsidRPr="00276ABC" w:rsidRDefault="005B40AA" w:rsidP="00276ABC">
      <w:pPr>
        <w:pStyle w:val="JUDGMENTCONTINUED"/>
        <w:rPr>
          <w:lang w:val="en-GB"/>
        </w:rPr>
      </w:pPr>
    </w:p>
    <w:p w14:paraId="377F9997" w14:textId="77777777" w:rsidR="00802863" w:rsidRPr="009C0CFE" w:rsidRDefault="00127A47" w:rsidP="00276ABC">
      <w:pPr>
        <w:pStyle w:val="HEADING"/>
        <w:rPr>
          <w:lang w:eastAsia="zh-CN"/>
        </w:rPr>
      </w:pPr>
      <w:r w:rsidRPr="00C43665">
        <w:t xml:space="preserve">Admission of </w:t>
      </w:r>
      <w:r w:rsidR="00473C5B">
        <w:t xml:space="preserve">R2K as second </w:t>
      </w:r>
      <w:r w:rsidRPr="00C43665">
        <w:t>amicus curiae</w:t>
      </w:r>
      <w:bookmarkEnd w:id="13"/>
    </w:p>
    <w:p w14:paraId="3534152A" w14:textId="1E1C2DC9" w:rsidR="00473C5B" w:rsidRDefault="00811729" w:rsidP="00811729">
      <w:pPr>
        <w:pStyle w:val="JUDGMENTNUMBERED"/>
        <w:numPr>
          <w:ilvl w:val="0"/>
          <w:numId w:val="0"/>
        </w:numPr>
        <w:rPr>
          <w:lang w:val="en-GB"/>
        </w:rPr>
      </w:pPr>
      <w:bookmarkStart w:id="14" w:name="_Toc508706470"/>
      <w:r>
        <w:rPr>
          <w:color w:val="000000"/>
          <w:lang w:val="en-GB"/>
        </w:rPr>
        <w:t>[36]</w:t>
      </w:r>
      <w:r>
        <w:rPr>
          <w:color w:val="000000"/>
          <w:lang w:val="en-GB"/>
        </w:rPr>
        <w:tab/>
      </w:r>
      <w:r w:rsidR="00DE1CC6">
        <w:rPr>
          <w:lang w:val="en-GB"/>
        </w:rPr>
        <w:t>R2K</w:t>
      </w:r>
      <w:r w:rsidR="00473C5B">
        <w:rPr>
          <w:lang w:val="en-GB"/>
        </w:rPr>
        <w:t xml:space="preserve"> has raised sufficient new issues which have not been addressed</w:t>
      </w:r>
      <w:r w:rsidR="00656E25">
        <w:rPr>
          <w:lang w:val="en-GB"/>
        </w:rPr>
        <w:t xml:space="preserve"> by the other parties and which are helpful to this Court in considering this application.</w:t>
      </w:r>
      <w:r w:rsidR="002D5766">
        <w:rPr>
          <w:rFonts w:hint="eastAsia"/>
          <w:lang w:val="en-GB" w:eastAsia="zh-CN"/>
        </w:rPr>
        <w:t xml:space="preserve"> </w:t>
      </w:r>
      <w:r w:rsidR="00656E25">
        <w:rPr>
          <w:lang w:val="en-GB"/>
        </w:rPr>
        <w:t xml:space="preserve"> It is therefore in the interests of justice that</w:t>
      </w:r>
      <w:r w:rsidR="000C3088">
        <w:rPr>
          <w:lang w:val="en-GB"/>
        </w:rPr>
        <w:t xml:space="preserve"> it</w:t>
      </w:r>
      <w:r w:rsidR="00656E25">
        <w:rPr>
          <w:lang w:val="en-GB"/>
        </w:rPr>
        <w:t xml:space="preserve"> be admitted as second </w:t>
      </w:r>
      <w:r w:rsidR="00656E25" w:rsidRPr="00EA1216">
        <w:rPr>
          <w:lang w:val="en-GB"/>
        </w:rPr>
        <w:t>amicus curiae</w:t>
      </w:r>
      <w:r w:rsidR="00656E25">
        <w:rPr>
          <w:lang w:val="en-GB"/>
        </w:rPr>
        <w:t>.</w:t>
      </w:r>
    </w:p>
    <w:p w14:paraId="2A1CC7E6" w14:textId="77777777" w:rsidR="00C43665" w:rsidRPr="00724B4E" w:rsidRDefault="00C43665" w:rsidP="003725DF">
      <w:pPr>
        <w:pStyle w:val="JUDGMENTCONTINUED"/>
      </w:pPr>
    </w:p>
    <w:p w14:paraId="2D2D7BA7" w14:textId="77777777" w:rsidR="00E30748" w:rsidRPr="00157A3B" w:rsidRDefault="00167880" w:rsidP="004E0D8F">
      <w:pPr>
        <w:pStyle w:val="HEADING"/>
      </w:pPr>
      <w:r w:rsidRPr="00C43665">
        <w:lastRenderedPageBreak/>
        <w:t>Issues for determination</w:t>
      </w:r>
      <w:bookmarkEnd w:id="14"/>
    </w:p>
    <w:p w14:paraId="44ED78E1" w14:textId="5D298D3C" w:rsidR="00E30748" w:rsidRDefault="00811729" w:rsidP="00811729">
      <w:pPr>
        <w:pStyle w:val="JUDGMENTNUMBERED"/>
        <w:numPr>
          <w:ilvl w:val="0"/>
          <w:numId w:val="0"/>
        </w:numPr>
        <w:ind w:left="357" w:hanging="357"/>
      </w:pPr>
      <w:r>
        <w:rPr>
          <w:color w:val="000000"/>
        </w:rPr>
        <w:t>[37]</w:t>
      </w:r>
      <w:r>
        <w:rPr>
          <w:color w:val="000000"/>
        </w:rPr>
        <w:tab/>
      </w:r>
      <w:r w:rsidR="00705AC5">
        <w:t>The following</w:t>
      </w:r>
      <w:r w:rsidR="004E0D8F">
        <w:t xml:space="preserve"> issues arise for consideration—</w:t>
      </w:r>
    </w:p>
    <w:p w14:paraId="654326F4" w14:textId="5EB1918C" w:rsidR="00E30748" w:rsidRPr="00E10666" w:rsidRDefault="00811729" w:rsidP="00811729">
      <w:pPr>
        <w:pStyle w:val="List1"/>
        <w:ind w:left="1418" w:hanging="709"/>
        <w:rPr>
          <w:lang w:val="en-GB"/>
        </w:rPr>
      </w:pPr>
      <w:r w:rsidRPr="00E10666">
        <w:rPr>
          <w:lang w:val="en-GB"/>
        </w:rPr>
        <w:t>(a)</w:t>
      </w:r>
      <w:r w:rsidRPr="00E10666">
        <w:rPr>
          <w:lang w:val="en-GB"/>
        </w:rPr>
        <w:tab/>
      </w:r>
      <w:r w:rsidR="000C3088" w:rsidRPr="00E10666">
        <w:rPr>
          <w:lang w:val="en-GB"/>
        </w:rPr>
        <w:t>w</w:t>
      </w:r>
      <w:r w:rsidR="00E30748" w:rsidRPr="00E10666">
        <w:rPr>
          <w:lang w:val="en-GB"/>
        </w:rPr>
        <w:t>hether public functionaries have a general duty to investigate irregularities</w:t>
      </w:r>
      <w:r w:rsidR="000C3088" w:rsidRPr="00E10666">
        <w:rPr>
          <w:lang w:val="en-GB"/>
        </w:rPr>
        <w:t>;</w:t>
      </w:r>
    </w:p>
    <w:p w14:paraId="5C3A48F6" w14:textId="346696BD" w:rsidR="006B4EEA" w:rsidRPr="00E10666" w:rsidRDefault="00811729" w:rsidP="00811729">
      <w:pPr>
        <w:pStyle w:val="List1"/>
        <w:ind w:left="1418" w:hanging="709"/>
        <w:rPr>
          <w:lang w:val="en-GB"/>
        </w:rPr>
      </w:pPr>
      <w:r w:rsidRPr="00E10666">
        <w:rPr>
          <w:lang w:val="en-GB"/>
        </w:rPr>
        <w:t>(b)</w:t>
      </w:r>
      <w:r w:rsidRPr="00E10666">
        <w:rPr>
          <w:lang w:val="en-GB"/>
        </w:rPr>
        <w:tab/>
      </w:r>
      <w:r w:rsidR="000C3088" w:rsidRPr="00E10666">
        <w:rPr>
          <w:lang w:val="en-GB"/>
        </w:rPr>
        <w:t>w</w:t>
      </w:r>
      <w:r w:rsidR="006B4EEA" w:rsidRPr="00E10666">
        <w:rPr>
          <w:lang w:val="en-GB"/>
        </w:rPr>
        <w:t>hether the appropriate cause of action in this case was a review in terms of the Promotion of Administrative Justice Act</w:t>
      </w:r>
      <w:r w:rsidR="000C3088" w:rsidRPr="004E0D8F">
        <w:rPr>
          <w:vertAlign w:val="superscript"/>
          <w:lang w:val="en-GB"/>
        </w:rPr>
        <w:footnoteReference w:id="15"/>
      </w:r>
      <w:r w:rsidR="006B4EEA" w:rsidRPr="00E10666">
        <w:rPr>
          <w:lang w:val="en-GB"/>
        </w:rPr>
        <w:t xml:space="preserve"> (PAJA)</w:t>
      </w:r>
      <w:r w:rsidR="000C3088" w:rsidRPr="00E10666">
        <w:rPr>
          <w:lang w:val="en-GB"/>
        </w:rPr>
        <w:t>;</w:t>
      </w:r>
      <w:r w:rsidR="006B4EEA" w:rsidRPr="00E10666">
        <w:rPr>
          <w:lang w:val="en-GB"/>
        </w:rPr>
        <w:t xml:space="preserve"> </w:t>
      </w:r>
      <w:r w:rsidR="000C3088" w:rsidRPr="00E10666">
        <w:rPr>
          <w:lang w:val="en-GB"/>
        </w:rPr>
        <w:t>and</w:t>
      </w:r>
    </w:p>
    <w:p w14:paraId="4735E87E" w14:textId="0E678504" w:rsidR="00B75900" w:rsidRPr="00E10666" w:rsidRDefault="00811729" w:rsidP="00811729">
      <w:pPr>
        <w:pStyle w:val="List1"/>
        <w:ind w:left="1418" w:hanging="709"/>
        <w:rPr>
          <w:lang w:val="en-GB"/>
        </w:rPr>
      </w:pPr>
      <w:r w:rsidRPr="00E10666">
        <w:rPr>
          <w:lang w:val="en-GB"/>
        </w:rPr>
        <w:t>(c)</w:t>
      </w:r>
      <w:r w:rsidRPr="00E10666">
        <w:rPr>
          <w:lang w:val="en-GB"/>
        </w:rPr>
        <w:tab/>
      </w:r>
      <w:r w:rsidR="000C3088" w:rsidRPr="00E10666">
        <w:rPr>
          <w:lang w:val="en-GB"/>
        </w:rPr>
        <w:t>w</w:t>
      </w:r>
      <w:r w:rsidR="000164A5" w:rsidRPr="00E10666">
        <w:rPr>
          <w:lang w:val="en-GB"/>
        </w:rPr>
        <w:t>hether the Minister was required to intervene in respect of Ms Hunter’s governance complaint</w:t>
      </w:r>
      <w:r w:rsidR="00B75900" w:rsidRPr="00E10666">
        <w:rPr>
          <w:lang w:val="en-GB"/>
        </w:rPr>
        <w:t>.</w:t>
      </w:r>
      <w:bookmarkStart w:id="15" w:name="_Toc508706471"/>
      <w:bookmarkStart w:id="16" w:name="_Toc508706472"/>
    </w:p>
    <w:p w14:paraId="669C2D24" w14:textId="77777777" w:rsidR="00B75900" w:rsidRPr="00B75900" w:rsidRDefault="00B75900" w:rsidP="003725DF">
      <w:pPr>
        <w:pStyle w:val="JUDGMENTCONTINUED"/>
      </w:pPr>
    </w:p>
    <w:p w14:paraId="0A85B466" w14:textId="7949D823" w:rsidR="00D46EE7" w:rsidRPr="00157A3B" w:rsidRDefault="00DC102B" w:rsidP="002211BC">
      <w:pPr>
        <w:pStyle w:val="HEADING"/>
        <w:ind w:firstLine="709"/>
      </w:pPr>
      <w:r>
        <w:t xml:space="preserve">General </w:t>
      </w:r>
      <w:r w:rsidR="001C6271">
        <w:t>d</w:t>
      </w:r>
      <w:r>
        <w:t>uty on public functionaries to i</w:t>
      </w:r>
      <w:r w:rsidRPr="000901F0">
        <w:t xml:space="preserve">nvestigate </w:t>
      </w:r>
      <w:bookmarkEnd w:id="15"/>
      <w:r>
        <w:t>irregularities</w:t>
      </w:r>
    </w:p>
    <w:p w14:paraId="46665A9C" w14:textId="7C71944B" w:rsidR="0071183B" w:rsidRDefault="00811729" w:rsidP="00811729">
      <w:pPr>
        <w:pStyle w:val="JUDGMENTNUMBERED"/>
        <w:numPr>
          <w:ilvl w:val="0"/>
          <w:numId w:val="0"/>
        </w:numPr>
      </w:pPr>
      <w:r>
        <w:rPr>
          <w:color w:val="000000"/>
        </w:rPr>
        <w:t>[38]</w:t>
      </w:r>
      <w:r>
        <w:rPr>
          <w:color w:val="000000"/>
        </w:rPr>
        <w:tab/>
      </w:r>
      <w:r w:rsidR="0071183B">
        <w:t xml:space="preserve">The Constitution does not impose a general duty on public functionaries to investigate irregularities pertaining to the exercise of public power.  The exercise of public power is </w:t>
      </w:r>
      <w:r w:rsidR="0071183B" w:rsidRPr="000940A7">
        <w:t xml:space="preserve">controlled </w:t>
      </w:r>
      <w:r w:rsidR="0071183B">
        <w:t>by means of review.</w:t>
      </w:r>
      <w:r w:rsidR="0071183B">
        <w:rPr>
          <w:rStyle w:val="FootnoteReference"/>
        </w:rPr>
        <w:footnoteReference w:id="16"/>
      </w:r>
      <w:r w:rsidR="0071183B">
        <w:t xml:space="preserve">  Central to a review claim is section</w:t>
      </w:r>
      <w:r w:rsidR="00324ED4">
        <w:t> </w:t>
      </w:r>
      <w:r w:rsidR="0071183B">
        <w:t>33 of the Constitution which guarantees administrative justice rights conferred on everyone.</w:t>
      </w:r>
      <w:r w:rsidR="0071183B">
        <w:rPr>
          <w:rStyle w:val="FootnoteReference"/>
        </w:rPr>
        <w:footnoteReference w:id="17"/>
      </w:r>
      <w:r w:rsidR="0071183B">
        <w:t xml:space="preserve">  PAJA is the legislation enacted to give effect to these rights.  Ordinarily a review application must be brought in terms of PAJA.</w:t>
      </w:r>
      <w:r w:rsidR="0071183B">
        <w:rPr>
          <w:rStyle w:val="FootnoteReference"/>
        </w:rPr>
        <w:footnoteReference w:id="18"/>
      </w:r>
      <w:r w:rsidR="0071183B">
        <w:t xml:space="preserve">  However, in certain instances a review application may not be based on PAJA. </w:t>
      </w:r>
      <w:r w:rsidR="00CB3E13">
        <w:t xml:space="preserve"> </w:t>
      </w:r>
      <w:r w:rsidR="0071183B">
        <w:t xml:space="preserve">This may arise from the fact that the impugned decision does not constitute </w:t>
      </w:r>
      <w:r w:rsidR="00D77021">
        <w:t>“</w:t>
      </w:r>
      <w:r w:rsidR="0071183B">
        <w:t>administrative action</w:t>
      </w:r>
      <w:r w:rsidR="00D77021">
        <w:t>”</w:t>
      </w:r>
      <w:r w:rsidR="0071183B">
        <w:t xml:space="preserve"> as defined in PAJA.</w:t>
      </w:r>
      <w:r w:rsidR="0071183B">
        <w:rPr>
          <w:rStyle w:val="FootnoteReference"/>
        </w:rPr>
        <w:footnoteReference w:id="19"/>
      </w:r>
      <w:r w:rsidR="0071183B">
        <w:t xml:space="preserve">  In those circumstances, the exercise of public power can be challenged by way of a legality review in terms of section 1(c) of the Constitution, as a component of the rule of law.</w:t>
      </w:r>
    </w:p>
    <w:p w14:paraId="5FAEFD4B" w14:textId="77777777" w:rsidR="0071183B" w:rsidRDefault="0071183B" w:rsidP="0071183B">
      <w:pPr>
        <w:pStyle w:val="JUDGMENTCONTINUED"/>
      </w:pPr>
    </w:p>
    <w:p w14:paraId="5738124B" w14:textId="2452180E" w:rsidR="0071183B" w:rsidRDefault="00811729" w:rsidP="00811729">
      <w:pPr>
        <w:pStyle w:val="JUDGMENTNUMBERED"/>
        <w:numPr>
          <w:ilvl w:val="0"/>
          <w:numId w:val="0"/>
        </w:numPr>
      </w:pPr>
      <w:r>
        <w:rPr>
          <w:color w:val="000000"/>
        </w:rPr>
        <w:t>[39]</w:t>
      </w:r>
      <w:r>
        <w:rPr>
          <w:color w:val="000000"/>
        </w:rPr>
        <w:tab/>
      </w:r>
      <w:r w:rsidR="0071183B">
        <w:t>Before 1994 our law recognised three types of review, namely review of decisions of inferior courts; special statutory review and the common</w:t>
      </w:r>
      <w:r w:rsidR="005768ED">
        <w:t xml:space="preserve"> </w:t>
      </w:r>
      <w:r w:rsidR="0071183B">
        <w:t xml:space="preserve">law review of </w:t>
      </w:r>
      <w:r w:rsidR="0071183B">
        <w:lastRenderedPageBreak/>
        <w:t>administrative decisions.</w:t>
      </w:r>
      <w:r w:rsidR="0071183B">
        <w:rPr>
          <w:rStyle w:val="FootnoteReference"/>
        </w:rPr>
        <w:footnoteReference w:id="20"/>
      </w:r>
      <w:r w:rsidR="0071183B">
        <w:t xml:space="preserve">  With regard to administrative decisions, the common law and statutory reviews were the only options available to applicants who s</w:t>
      </w:r>
      <w:r w:rsidR="00D77021">
        <w:t>ought</w:t>
      </w:r>
      <w:r w:rsidR="0071183B">
        <w:t xml:space="preserve"> review.  Statutory review could also be invoked only in circumstances where a specific statute ma</w:t>
      </w:r>
      <w:r w:rsidR="00D77021">
        <w:t>d</w:t>
      </w:r>
      <w:r w:rsidR="0071183B">
        <w:t>e provision for a review.  Unless specifically mentioned in a particular statute, there was no general duty on public officials to investigate irregularities in decisions they had taken.  Nor was there a duty on those officials to apply for the review of invalid decisions.</w:t>
      </w:r>
    </w:p>
    <w:p w14:paraId="1D229E3E" w14:textId="77777777" w:rsidR="0071183B" w:rsidRDefault="0071183B" w:rsidP="0071183B">
      <w:pPr>
        <w:pStyle w:val="JUDGMENTCONTINUED"/>
      </w:pPr>
    </w:p>
    <w:p w14:paraId="541D5F94" w14:textId="26B26179" w:rsidR="0071183B" w:rsidRDefault="00811729" w:rsidP="00811729">
      <w:pPr>
        <w:pStyle w:val="JUDGMENTNUMBERED"/>
        <w:numPr>
          <w:ilvl w:val="0"/>
          <w:numId w:val="0"/>
        </w:numPr>
      </w:pPr>
      <w:r>
        <w:rPr>
          <w:color w:val="000000"/>
        </w:rPr>
        <w:t>[40]</w:t>
      </w:r>
      <w:r>
        <w:rPr>
          <w:color w:val="000000"/>
        </w:rPr>
        <w:tab/>
      </w:r>
      <w:r w:rsidR="0071183B">
        <w:t xml:space="preserve">Although the legal standing of public officials to apply for the review of their own decisions was acknowledged in </w:t>
      </w:r>
      <w:r w:rsidR="0071183B" w:rsidRPr="00634DFB">
        <w:rPr>
          <w:i/>
        </w:rPr>
        <w:t>Pharmaceutical Manufacturers</w:t>
      </w:r>
      <w:r w:rsidR="005768ED">
        <w:t>,</w:t>
      </w:r>
      <w:r w:rsidR="0071183B" w:rsidRPr="00A62257">
        <w:rPr>
          <w:rStyle w:val="FootnoteReference"/>
        </w:rPr>
        <w:footnoteReference w:id="21"/>
      </w:r>
      <w:r w:rsidR="0071183B" w:rsidRPr="00A62257">
        <w:t xml:space="preserve"> </w:t>
      </w:r>
      <w:r w:rsidR="0071183B" w:rsidRPr="003C1D52">
        <w:t xml:space="preserve">the duty on </w:t>
      </w:r>
      <w:r w:rsidR="00C61F6E">
        <w:t>these</w:t>
      </w:r>
      <w:r w:rsidR="0071183B" w:rsidRPr="003C1D52">
        <w:t xml:space="preserve"> officials to seek review was proclaimed later in decisions like </w:t>
      </w:r>
      <w:proofErr w:type="spellStart"/>
      <w:r w:rsidR="0071183B" w:rsidRPr="003C1D52">
        <w:rPr>
          <w:i/>
        </w:rPr>
        <w:t>Khumalo</w:t>
      </w:r>
      <w:proofErr w:type="spellEnd"/>
      <w:r w:rsidR="0071183B">
        <w:rPr>
          <w:i/>
        </w:rPr>
        <w:t xml:space="preserve"> </w:t>
      </w:r>
      <w:r w:rsidR="0071183B" w:rsidRPr="003C1D52">
        <w:t xml:space="preserve">and </w:t>
      </w:r>
      <w:proofErr w:type="spellStart"/>
      <w:r w:rsidR="0071183B" w:rsidRPr="003C1D52">
        <w:rPr>
          <w:i/>
        </w:rPr>
        <w:t>Kirland</w:t>
      </w:r>
      <w:proofErr w:type="spellEnd"/>
      <w:r w:rsidR="0071183B" w:rsidRPr="003C1D52">
        <w:rPr>
          <w:i/>
        </w:rPr>
        <w:t xml:space="preserve"> Investment</w:t>
      </w:r>
      <w:r w:rsidR="00A23339">
        <w:rPr>
          <w:i/>
        </w:rPr>
        <w:t>s</w:t>
      </w:r>
      <w:r w:rsidR="0071183B">
        <w:rPr>
          <w:i/>
        </w:rPr>
        <w:t>.</w:t>
      </w:r>
      <w:bookmarkStart w:id="17" w:name="_Ref524446129"/>
      <w:r w:rsidR="0071183B" w:rsidRPr="00A62257">
        <w:rPr>
          <w:rStyle w:val="FootnoteReference"/>
        </w:rPr>
        <w:footnoteReference w:id="22"/>
      </w:r>
      <w:bookmarkEnd w:id="17"/>
      <w:r w:rsidR="0071183B" w:rsidRPr="00A62257">
        <w:t xml:space="preserve"> </w:t>
      </w:r>
      <w:r w:rsidR="0071183B">
        <w:t xml:space="preserve"> However, in </w:t>
      </w:r>
      <w:proofErr w:type="spellStart"/>
      <w:r w:rsidR="0071183B" w:rsidRPr="003C1D52">
        <w:rPr>
          <w:i/>
        </w:rPr>
        <w:t>Khumalo</w:t>
      </w:r>
      <w:proofErr w:type="spellEnd"/>
      <w:r w:rsidR="0071183B">
        <w:t xml:space="preserve"> this Court went further in the special circumstances of that case to hold that officials in the public administration have a duty to investigate and correct unlawfulness.</w:t>
      </w:r>
    </w:p>
    <w:p w14:paraId="05E88D4E" w14:textId="77777777" w:rsidR="0071183B" w:rsidRDefault="0071183B" w:rsidP="0071183B">
      <w:pPr>
        <w:pStyle w:val="JUDGMENTCONTINUED"/>
      </w:pPr>
    </w:p>
    <w:p w14:paraId="4581A953" w14:textId="3926F5D9" w:rsidR="00BA18D7" w:rsidRPr="00276ABC" w:rsidRDefault="00811729" w:rsidP="00811729">
      <w:pPr>
        <w:pStyle w:val="JUDGMENTNUMBERED"/>
        <w:numPr>
          <w:ilvl w:val="0"/>
          <w:numId w:val="0"/>
        </w:numPr>
        <w:rPr>
          <w:i/>
        </w:rPr>
      </w:pPr>
      <w:r w:rsidRPr="00276ABC">
        <w:rPr>
          <w:color w:val="000000"/>
        </w:rPr>
        <w:t>[41]</w:t>
      </w:r>
      <w:r w:rsidRPr="00276ABC">
        <w:rPr>
          <w:color w:val="000000"/>
        </w:rPr>
        <w:tab/>
      </w:r>
      <w:r w:rsidR="00BA18D7">
        <w:t>A question has arisen whether the F</w:t>
      </w:r>
      <w:r w:rsidR="00324ED4">
        <w:t>SC</w:t>
      </w:r>
      <w:r w:rsidR="00BA18D7">
        <w:t xml:space="preserve">A had a duty to investigate alleged irregularities relating to the cancellation of pension funds. </w:t>
      </w:r>
      <w:r w:rsidR="002700E6">
        <w:t xml:space="preserve"> </w:t>
      </w:r>
      <w:r w:rsidR="00BA18D7">
        <w:t xml:space="preserve">For the reasons that follow, it is not necessary to go into detail about the existence or otherwise, </w:t>
      </w:r>
      <w:r w:rsidR="0058048B">
        <w:t xml:space="preserve">the </w:t>
      </w:r>
      <w:r w:rsidR="00BA18D7">
        <w:t xml:space="preserve">basis and nature of </w:t>
      </w:r>
      <w:r w:rsidR="005418D7">
        <w:t xml:space="preserve">the </w:t>
      </w:r>
      <w:r w:rsidR="0058048B">
        <w:t xml:space="preserve">FSCA’s </w:t>
      </w:r>
      <w:r w:rsidR="00BA18D7">
        <w:t>duty to investig</w:t>
      </w:r>
      <w:r w:rsidR="002700E6">
        <w:t>ate.</w:t>
      </w:r>
      <w:r w:rsidR="005418D7">
        <w:t xml:space="preserve">  For the purpose of deciding this matter, the need to make a determination in relation to the applicability or otherwise of </w:t>
      </w:r>
      <w:proofErr w:type="spellStart"/>
      <w:r w:rsidR="005418D7" w:rsidRPr="00276ABC">
        <w:rPr>
          <w:i/>
        </w:rPr>
        <w:t>Khumalo</w:t>
      </w:r>
      <w:proofErr w:type="spellEnd"/>
      <w:r w:rsidR="005418D7">
        <w:rPr>
          <w:i/>
        </w:rPr>
        <w:t xml:space="preserve"> </w:t>
      </w:r>
      <w:r w:rsidR="005418D7" w:rsidRPr="00276ABC">
        <w:t>does not arise</w:t>
      </w:r>
      <w:r w:rsidR="005418D7">
        <w:t>.</w:t>
      </w:r>
    </w:p>
    <w:p w14:paraId="1A49B3A4" w14:textId="77777777" w:rsidR="00BA18D7" w:rsidRPr="00DA0D94" w:rsidRDefault="00BA18D7" w:rsidP="00276ABC">
      <w:pPr>
        <w:pStyle w:val="JUDGMENTCONTINUED"/>
      </w:pPr>
    </w:p>
    <w:p w14:paraId="187D4FEE" w14:textId="61B6B412" w:rsidR="00E106AC" w:rsidRDefault="00811729" w:rsidP="00811729">
      <w:pPr>
        <w:pStyle w:val="JUDGMENTNUMBERED"/>
        <w:numPr>
          <w:ilvl w:val="0"/>
          <w:numId w:val="0"/>
        </w:numPr>
      </w:pPr>
      <w:r>
        <w:rPr>
          <w:color w:val="000000"/>
        </w:rPr>
        <w:t>[42]</w:t>
      </w:r>
      <w:r>
        <w:rPr>
          <w:color w:val="000000"/>
        </w:rPr>
        <w:tab/>
      </w:r>
      <w:r w:rsidR="00BA18D7">
        <w:t xml:space="preserve">It suffices to say that the FSCA has self-evidently always </w:t>
      </w:r>
      <w:r w:rsidR="003E5A8A">
        <w:t>recognised that it was duty</w:t>
      </w:r>
      <w:r w:rsidR="0058048B">
        <w:t>-</w:t>
      </w:r>
      <w:r w:rsidR="003E5A8A">
        <w:t xml:space="preserve">bound to investigate any alleged or potential irregularity and </w:t>
      </w:r>
      <w:r w:rsidR="00BB116F">
        <w:t xml:space="preserve">acted in </w:t>
      </w:r>
      <w:r w:rsidR="0058048B">
        <w:t xml:space="preserve">line with its </w:t>
      </w:r>
      <w:r w:rsidR="006A4F65">
        <w:t xml:space="preserve">recognition </w:t>
      </w:r>
      <w:r w:rsidR="003E5A8A">
        <w:t>of this responsibility</w:t>
      </w:r>
      <w:r w:rsidR="00324ED4">
        <w:t>,</w:t>
      </w:r>
      <w:r w:rsidR="003E5A8A">
        <w:t xml:space="preserve"> whenever circumstances so required.  It was</w:t>
      </w:r>
      <w:r w:rsidR="00324ED4">
        <w:t>,</w:t>
      </w:r>
      <w:r w:rsidR="003E5A8A">
        <w:t xml:space="preserve"> precisely for this reason that resources were generously deployed to not one, not two but at least </w:t>
      </w:r>
      <w:r w:rsidR="003E5A8A">
        <w:lastRenderedPageBreak/>
        <w:t>three investigations with a view to de</w:t>
      </w:r>
      <w:r w:rsidR="00AC7DFC">
        <w:t xml:space="preserve">termine whether irregularities </w:t>
      </w:r>
      <w:r w:rsidR="003E5A8A">
        <w:t>that are potentially prejudicial to pension</w:t>
      </w:r>
      <w:r w:rsidR="00AC7DFC">
        <w:t>er</w:t>
      </w:r>
      <w:r w:rsidR="003E5A8A">
        <w:t>s w</w:t>
      </w:r>
      <w:r w:rsidR="00E106AC">
        <w:t xml:space="preserve">ere committed </w:t>
      </w:r>
      <w:r w:rsidR="003E5A8A">
        <w:t>in the cancellation</w:t>
      </w:r>
      <w:r w:rsidR="0058048B">
        <w:t>s</w:t>
      </w:r>
      <w:r w:rsidR="003E5A8A">
        <w:t xml:space="preserve"> process.</w:t>
      </w:r>
    </w:p>
    <w:p w14:paraId="1A701D87" w14:textId="77777777" w:rsidR="00BA18D7" w:rsidRDefault="00BA18D7" w:rsidP="003725DF">
      <w:pPr>
        <w:pStyle w:val="JUDGMENTCONTINUED"/>
      </w:pPr>
    </w:p>
    <w:p w14:paraId="5A298322" w14:textId="309F135D" w:rsidR="0071183B" w:rsidRDefault="00811729" w:rsidP="00811729">
      <w:pPr>
        <w:pStyle w:val="JUDGMENTNUMBERED"/>
        <w:numPr>
          <w:ilvl w:val="0"/>
          <w:numId w:val="0"/>
        </w:numPr>
      </w:pPr>
      <w:r>
        <w:rPr>
          <w:color w:val="000000"/>
        </w:rPr>
        <w:t>[43]</w:t>
      </w:r>
      <w:r>
        <w:rPr>
          <w:color w:val="000000"/>
        </w:rPr>
        <w:tab/>
      </w:r>
      <w:r w:rsidR="002857B6">
        <w:t xml:space="preserve">The services of Justice </w:t>
      </w:r>
      <w:proofErr w:type="spellStart"/>
      <w:r w:rsidR="002857B6">
        <w:t>O’</w:t>
      </w:r>
      <w:r w:rsidR="00C15662">
        <w:t>Regan</w:t>
      </w:r>
      <w:proofErr w:type="spellEnd"/>
      <w:r w:rsidR="00276ABC">
        <w:t xml:space="preserve">, KPMG </w:t>
      </w:r>
      <w:r w:rsidR="002857B6">
        <w:t>and Mr Mort were enlisted in recognition of the existence of a</w:t>
      </w:r>
      <w:r w:rsidR="00C15662">
        <w:t xml:space="preserve"> duty to investigate.  </w:t>
      </w:r>
      <w:r w:rsidR="002857B6">
        <w:t>All these personalities and institutions are eminently well-suited to do justice to the assignment they were charge</w:t>
      </w:r>
      <w:r w:rsidR="00CA7A37">
        <w:t>d</w:t>
      </w:r>
      <w:r w:rsidR="002857B6">
        <w:t xml:space="preserve"> with. </w:t>
      </w:r>
      <w:r w:rsidR="00CA7A37">
        <w:t xml:space="preserve"> </w:t>
      </w:r>
      <w:r w:rsidR="002857B6">
        <w:t xml:space="preserve">There can </w:t>
      </w:r>
      <w:r w:rsidR="00CA7A37">
        <w:t xml:space="preserve">therefore </w:t>
      </w:r>
      <w:r w:rsidR="002857B6">
        <w:t>be no doubt that the FSCA was intent on getting to the bottom of the problem.</w:t>
      </w:r>
      <w:r w:rsidR="00CA7A37">
        <w:t xml:space="preserve"> </w:t>
      </w:r>
      <w:r w:rsidR="002857B6">
        <w:t xml:space="preserve"> Not only were mistakes </w:t>
      </w:r>
      <w:r w:rsidR="0058048B">
        <w:t xml:space="preserve">unearthed </w:t>
      </w:r>
      <w:r w:rsidR="002857B6">
        <w:t>and highlighted</w:t>
      </w:r>
      <w:r w:rsidR="006F421F">
        <w:t>,</w:t>
      </w:r>
      <w:r w:rsidR="002857B6">
        <w:t xml:space="preserve"> but Mr</w:t>
      </w:r>
      <w:r w:rsidR="00572A58">
        <w:t> </w:t>
      </w:r>
      <w:r w:rsidR="002857B6">
        <w:t xml:space="preserve">Mort also indicated in his last report that the administrators were </w:t>
      </w:r>
      <w:r w:rsidR="0058048B">
        <w:t xml:space="preserve">involved in an ongoing process of trying </w:t>
      </w:r>
      <w:r w:rsidR="002857B6">
        <w:t>to locate</w:t>
      </w:r>
      <w:r w:rsidR="000B2021">
        <w:t xml:space="preserve"> </w:t>
      </w:r>
      <w:r w:rsidR="002857B6">
        <w:t>benef</w:t>
      </w:r>
      <w:r w:rsidR="000B2021">
        <w:t>iciaries of unclaimed benefits.</w:t>
      </w:r>
    </w:p>
    <w:p w14:paraId="059886F2" w14:textId="77777777" w:rsidR="0071183B" w:rsidRDefault="0071183B" w:rsidP="0071183B">
      <w:pPr>
        <w:pStyle w:val="JUDGMENTCONTINUED"/>
      </w:pPr>
    </w:p>
    <w:p w14:paraId="477DB25A" w14:textId="2BC49BF0" w:rsidR="0013677B" w:rsidRDefault="00811729" w:rsidP="00811729">
      <w:pPr>
        <w:pStyle w:val="JUDGMENTNUMBERED"/>
        <w:numPr>
          <w:ilvl w:val="0"/>
          <w:numId w:val="0"/>
        </w:numPr>
      </w:pPr>
      <w:r>
        <w:rPr>
          <w:color w:val="000000"/>
        </w:rPr>
        <w:t>[44]</w:t>
      </w:r>
      <w:r>
        <w:rPr>
          <w:color w:val="000000"/>
        </w:rPr>
        <w:tab/>
      </w:r>
      <w:r w:rsidR="00843F87">
        <w:t>For these reasons, the FSCA has not only recognised and discharged its dut</w:t>
      </w:r>
      <w:r w:rsidR="00AC57A0">
        <w:t xml:space="preserve">y to investigate </w:t>
      </w:r>
      <w:r w:rsidR="00843F87">
        <w:t xml:space="preserve">whatever is worthy of an investigation, but administrators have also embarked on the responsible exercise </w:t>
      </w:r>
      <w:r w:rsidR="00AC57A0">
        <w:t>of e</w:t>
      </w:r>
      <w:r w:rsidR="00843F87">
        <w:t>nsuring that the interests of the admittedly vulnerable pensioners are not compromised</w:t>
      </w:r>
      <w:r w:rsidR="00AC57A0">
        <w:t>.</w:t>
      </w:r>
    </w:p>
    <w:p w14:paraId="3C3008A1" w14:textId="77777777" w:rsidR="00AC57A0" w:rsidRPr="00DA0D94" w:rsidRDefault="00AC57A0" w:rsidP="00276ABC">
      <w:pPr>
        <w:pStyle w:val="JUDGMENTCONTINUED"/>
      </w:pPr>
    </w:p>
    <w:bookmarkEnd w:id="16"/>
    <w:p w14:paraId="19C7CB7A" w14:textId="1790DEEB" w:rsidR="00386E05" w:rsidRPr="00DA0D94" w:rsidRDefault="00811729" w:rsidP="00811729">
      <w:pPr>
        <w:pStyle w:val="JUDGMENTNUMBERED"/>
        <w:numPr>
          <w:ilvl w:val="0"/>
          <w:numId w:val="0"/>
        </w:numPr>
      </w:pPr>
      <w:r w:rsidRPr="00DA0D94">
        <w:rPr>
          <w:color w:val="000000"/>
        </w:rPr>
        <w:t>[45]</w:t>
      </w:r>
      <w:r w:rsidRPr="00DA0D94">
        <w:rPr>
          <w:color w:val="000000"/>
        </w:rPr>
        <w:tab/>
      </w:r>
      <w:r w:rsidR="00843F87">
        <w:t>Crucially, public sector functionaries too deserve the space to carry out the</w:t>
      </w:r>
      <w:r w:rsidR="003472D2">
        <w:t>ir</w:t>
      </w:r>
      <w:r w:rsidR="00843F87">
        <w:t xml:space="preserve"> duties</w:t>
      </w:r>
      <w:r w:rsidR="0058048B">
        <w:t xml:space="preserve"> free </w:t>
      </w:r>
      <w:r w:rsidR="00800979">
        <w:t>from</w:t>
      </w:r>
      <w:r w:rsidR="0058048B">
        <w:t xml:space="preserve"> outside interference that virtually amounts to unintended micromanagement</w:t>
      </w:r>
      <w:r w:rsidR="00843F87">
        <w:t xml:space="preserve">. </w:t>
      </w:r>
      <w:r w:rsidR="007B3741">
        <w:t xml:space="preserve"> </w:t>
      </w:r>
      <w:r w:rsidR="00843F87">
        <w:t xml:space="preserve">It ought to </w:t>
      </w:r>
      <w:r w:rsidR="0058048B">
        <w:t xml:space="preserve">be enough </w:t>
      </w:r>
      <w:r w:rsidR="00843F87">
        <w:t xml:space="preserve">that they have done what is reasonably necessary to achieve a process that would </w:t>
      </w:r>
      <w:r w:rsidR="00E14175">
        <w:t>potentially yield a credible, transparent, inclusive and unbiased ou</w:t>
      </w:r>
      <w:r w:rsidR="00E23E95">
        <w:t xml:space="preserve">tcome. </w:t>
      </w:r>
      <w:r w:rsidR="0093098B">
        <w:t xml:space="preserve"> </w:t>
      </w:r>
      <w:r w:rsidR="00E23E95">
        <w:t>And this, they have done</w:t>
      </w:r>
      <w:r w:rsidR="0013677B">
        <w:t>.</w:t>
      </w:r>
    </w:p>
    <w:p w14:paraId="20D5C9A2" w14:textId="77777777" w:rsidR="00386E05" w:rsidRDefault="00386E05" w:rsidP="003725DF">
      <w:pPr>
        <w:pStyle w:val="JUDGMENTCONTINUED"/>
      </w:pPr>
    </w:p>
    <w:p w14:paraId="44A51C2D" w14:textId="0E882219" w:rsidR="00386E05" w:rsidRPr="00DA0D94" w:rsidRDefault="00811729" w:rsidP="00811729">
      <w:pPr>
        <w:pStyle w:val="JUDGMENTNUMBERED"/>
        <w:numPr>
          <w:ilvl w:val="0"/>
          <w:numId w:val="0"/>
        </w:numPr>
      </w:pPr>
      <w:r w:rsidRPr="00DA0D94">
        <w:rPr>
          <w:color w:val="000000"/>
        </w:rPr>
        <w:t>[46]</w:t>
      </w:r>
      <w:r w:rsidRPr="00DA0D94">
        <w:rPr>
          <w:color w:val="000000"/>
        </w:rPr>
        <w:tab/>
      </w:r>
      <w:r w:rsidR="00311BC0">
        <w:t xml:space="preserve">The danger with the approach adopted by Ms Hunter is that it </w:t>
      </w:r>
      <w:r w:rsidR="0058048B">
        <w:t xml:space="preserve">is very likely to yield </w:t>
      </w:r>
      <w:r w:rsidR="00311BC0">
        <w:t xml:space="preserve">a never-ending investigation.  </w:t>
      </w:r>
      <w:r w:rsidR="00E83BCC">
        <w:t>I</w:t>
      </w:r>
      <w:r w:rsidR="00311BC0">
        <w:t xml:space="preserve">nvestigations would </w:t>
      </w:r>
      <w:r w:rsidR="00E83BCC">
        <w:t xml:space="preserve">be difficult to bring to finality </w:t>
      </w:r>
      <w:r w:rsidR="00311BC0">
        <w:t>as long as</w:t>
      </w:r>
      <w:r w:rsidR="005A2F46">
        <w:t>,</w:t>
      </w:r>
      <w:r w:rsidR="00311BC0">
        <w:t xml:space="preserve"> in her view</w:t>
      </w:r>
      <w:r w:rsidR="005A2F46">
        <w:t>,</w:t>
      </w:r>
      <w:r w:rsidR="00311BC0">
        <w:t xml:space="preserve"> something might just be uncovered.  This </w:t>
      </w:r>
      <w:r w:rsidR="00E83BCC">
        <w:t xml:space="preserve">observation </w:t>
      </w:r>
      <w:r w:rsidR="00311BC0">
        <w:t xml:space="preserve">must be understood within the context of the </w:t>
      </w:r>
      <w:r w:rsidR="00E83BCC">
        <w:t xml:space="preserve">several </w:t>
      </w:r>
      <w:r w:rsidR="00311BC0">
        <w:t xml:space="preserve">credible investigations already </w:t>
      </w:r>
      <w:r w:rsidR="00FC7FCF">
        <w:t>conducted</w:t>
      </w:r>
      <w:r w:rsidR="00311BC0">
        <w:t xml:space="preserve"> by people whose capacity to address actual or perceived irregularities is beyond doubt</w:t>
      </w:r>
      <w:r w:rsidR="00AF0F81">
        <w:t xml:space="preserve">.  One would </w:t>
      </w:r>
      <w:r w:rsidR="00C346C5">
        <w:t xml:space="preserve">therefore </w:t>
      </w:r>
      <w:r w:rsidR="00AF0F81">
        <w:t xml:space="preserve">not be too hard on </w:t>
      </w:r>
      <w:r w:rsidR="00494208">
        <w:t>Ms Hunter</w:t>
      </w:r>
      <w:r w:rsidR="00AF0F81">
        <w:t xml:space="preserve"> by suggesting that even if another investigation were to be sanctioned by this Court</w:t>
      </w:r>
      <w:r w:rsidR="003C0A7F">
        <w:t>,</w:t>
      </w:r>
      <w:r w:rsidR="00AF0F81">
        <w:t xml:space="preserve"> it may still not </w:t>
      </w:r>
      <w:r w:rsidR="00E83BCC">
        <w:t xml:space="preserve">satisfy </w:t>
      </w:r>
      <w:r w:rsidR="007A4B30">
        <w:t>Ms Hunter’s</w:t>
      </w:r>
      <w:r w:rsidR="00AF0F81">
        <w:t xml:space="preserve"> </w:t>
      </w:r>
      <w:r w:rsidR="003C0A7F">
        <w:t>quest</w:t>
      </w:r>
      <w:r w:rsidR="00AF0F81">
        <w:t xml:space="preserve"> for “justice”</w:t>
      </w:r>
      <w:r w:rsidR="00197D44">
        <w:t>,</w:t>
      </w:r>
      <w:r w:rsidR="00AF0F81">
        <w:t xml:space="preserve"> as she sees it.</w:t>
      </w:r>
    </w:p>
    <w:p w14:paraId="0D36B967" w14:textId="77777777" w:rsidR="00386E05" w:rsidRPr="00D67471" w:rsidRDefault="00386E05" w:rsidP="003725DF">
      <w:pPr>
        <w:pStyle w:val="JUDGMENTCONTINUED"/>
      </w:pPr>
    </w:p>
    <w:p w14:paraId="077349BC" w14:textId="267C6DAC" w:rsidR="004D144E" w:rsidRDefault="00811729" w:rsidP="00811729">
      <w:pPr>
        <w:pStyle w:val="JUDGMENTNUMBERED"/>
        <w:numPr>
          <w:ilvl w:val="0"/>
          <w:numId w:val="0"/>
        </w:numPr>
      </w:pPr>
      <w:r>
        <w:rPr>
          <w:color w:val="000000"/>
        </w:rPr>
        <w:lastRenderedPageBreak/>
        <w:t>[47]</w:t>
      </w:r>
      <w:r>
        <w:rPr>
          <w:color w:val="000000"/>
        </w:rPr>
        <w:tab/>
      </w:r>
      <w:r w:rsidR="004F6F40">
        <w:t>These kind</w:t>
      </w:r>
      <w:r w:rsidR="00A72EA0">
        <w:t>s</w:t>
      </w:r>
      <w:r w:rsidR="004F6F40">
        <w:t xml:space="preserve"> of investigations must at some stage come to an end.  Mr Mort’s expertise is beyond reproach.  Subject to some </w:t>
      </w:r>
      <w:r w:rsidR="00E83BCC">
        <w:t>concerns</w:t>
      </w:r>
      <w:r w:rsidR="004F6F40">
        <w:t xml:space="preserve"> that he has expressed, reasonably satisfactory investigations have now been conducted.  And Ms Hunter must live with that reality.  It seems to be irreconcilable with an assumption or acceptance that the FSCA is run by responsible </w:t>
      </w:r>
      <w:r w:rsidR="007623F4">
        <w:t>and competent people</w:t>
      </w:r>
      <w:r w:rsidR="00E22845">
        <w:t xml:space="preserve"> to order them to conduct investigations additional to those already conducted.</w:t>
      </w:r>
    </w:p>
    <w:p w14:paraId="6CE0764E" w14:textId="77777777" w:rsidR="00BE1793" w:rsidRPr="00276ABC" w:rsidRDefault="00BE1793" w:rsidP="00276ABC">
      <w:pPr>
        <w:pStyle w:val="JUDGMENTCONTINUED"/>
      </w:pPr>
    </w:p>
    <w:p w14:paraId="7A277356" w14:textId="77777777" w:rsidR="00BE1793" w:rsidRPr="006815AD" w:rsidRDefault="00BE1793" w:rsidP="003725DF">
      <w:pPr>
        <w:pStyle w:val="HEADING"/>
        <w:ind w:firstLine="720"/>
      </w:pPr>
      <w:r w:rsidRPr="006815AD">
        <w:t xml:space="preserve">PAJA review as </w:t>
      </w:r>
      <w:r>
        <w:t>the appropriate cause of action</w:t>
      </w:r>
    </w:p>
    <w:p w14:paraId="5680A4C0" w14:textId="25AE3037" w:rsidR="00BE1793" w:rsidRDefault="00811729" w:rsidP="00811729">
      <w:pPr>
        <w:pStyle w:val="JUDGMENTNUMBERED"/>
        <w:numPr>
          <w:ilvl w:val="0"/>
          <w:numId w:val="0"/>
        </w:numPr>
      </w:pPr>
      <w:r>
        <w:rPr>
          <w:color w:val="000000"/>
        </w:rPr>
        <w:t>[48]</w:t>
      </w:r>
      <w:r>
        <w:rPr>
          <w:color w:val="000000"/>
        </w:rPr>
        <w:tab/>
      </w:r>
      <w:r w:rsidR="00BE1793">
        <w:t>The key question is whether Ms Hunter’s complaint about the cancellation of funds constituted administrative action referred to in section 33(1) of the Constitution.</w:t>
      </w:r>
    </w:p>
    <w:p w14:paraId="203D32FE" w14:textId="77777777" w:rsidR="00BE1793" w:rsidRPr="003F59FE" w:rsidRDefault="00BE1793" w:rsidP="00BE1793">
      <w:pPr>
        <w:pStyle w:val="JUDGMENTCONTINUED"/>
      </w:pPr>
    </w:p>
    <w:p w14:paraId="66D9FA8F" w14:textId="0706A9D6" w:rsidR="00BE1793" w:rsidRDefault="00811729" w:rsidP="00811729">
      <w:pPr>
        <w:pStyle w:val="JUDGMENTNUMBERED"/>
        <w:numPr>
          <w:ilvl w:val="0"/>
          <w:numId w:val="0"/>
        </w:numPr>
      </w:pPr>
      <w:r>
        <w:rPr>
          <w:color w:val="000000"/>
        </w:rPr>
        <w:t>[49]</w:t>
      </w:r>
      <w:r>
        <w:rPr>
          <w:color w:val="000000"/>
        </w:rPr>
        <w:tab/>
      </w:r>
      <w:r w:rsidR="00BE1793">
        <w:t xml:space="preserve">It cannot be gainsaid that the registrar’s decision to cancel the </w:t>
      </w:r>
      <w:r w:rsidR="00A1396A">
        <w:t>“</w:t>
      </w:r>
      <w:r w:rsidR="00BE1793">
        <w:t>orphan funds</w:t>
      </w:r>
      <w:r w:rsidR="00A1396A">
        <w:t>”</w:t>
      </w:r>
      <w:r w:rsidR="00BE1793">
        <w:t xml:space="preserve"> constitutes administrative action as defined in PAJA.  In </w:t>
      </w:r>
      <w:proofErr w:type="spellStart"/>
      <w:r w:rsidR="00BE1793" w:rsidRPr="0079288C">
        <w:rPr>
          <w:i/>
        </w:rPr>
        <w:t>Gijima</w:t>
      </w:r>
      <w:proofErr w:type="spellEnd"/>
      <w:r w:rsidR="00BE1793">
        <w:rPr>
          <w:rStyle w:val="FootnoteReference"/>
        </w:rPr>
        <w:footnoteReference w:id="23"/>
      </w:r>
      <w:r w:rsidR="007A4B30">
        <w:t xml:space="preserve"> this Court held:</w:t>
      </w:r>
    </w:p>
    <w:p w14:paraId="536E3A4E" w14:textId="77777777" w:rsidR="00BE1793" w:rsidRPr="00330E8A" w:rsidRDefault="00BE1793" w:rsidP="00315512">
      <w:pPr>
        <w:pStyle w:val="QUOTATION"/>
      </w:pPr>
    </w:p>
    <w:p w14:paraId="46BFB3ED" w14:textId="14679CA3" w:rsidR="004D144E" w:rsidRDefault="00BE1793" w:rsidP="00276ABC">
      <w:pPr>
        <w:pStyle w:val="QUOTATION"/>
      </w:pPr>
      <w:r>
        <w:t>“</w:t>
      </w:r>
      <w:r w:rsidR="007A4B30">
        <w:t>[T]</w:t>
      </w:r>
      <w:r>
        <w:t xml:space="preserve">he right to administrative action that is lawful, reasonable and procedurally fair (section 33(1)) and the right of everyone whose rights have been adversely affected to be given written reasons (section 33(2)) are enjoyed by private persons, not organs of state.  Therefore, when section 33(3)(a) stipulates that national legislation which provides for the ‘review of administrative action’ must be enacted, that can only be administrative action that relates to the rights enjoyed by private persons under </w:t>
      </w:r>
      <w:r w:rsidR="00C346C5">
        <w:t>section </w:t>
      </w:r>
      <w:r>
        <w:t>33(1) and (2).”</w:t>
      </w:r>
      <w:r>
        <w:rPr>
          <w:rStyle w:val="FootnoteReference"/>
        </w:rPr>
        <w:footnoteReference w:id="24"/>
      </w:r>
    </w:p>
    <w:p w14:paraId="43667306" w14:textId="77777777" w:rsidR="00BE1793" w:rsidRPr="00D67471" w:rsidRDefault="00BE1793" w:rsidP="00276ABC">
      <w:pPr>
        <w:pStyle w:val="JUDGMENTCONTINUED"/>
      </w:pPr>
    </w:p>
    <w:p w14:paraId="4C57848C" w14:textId="1B042850" w:rsidR="002F7796" w:rsidRDefault="006815AD">
      <w:pPr>
        <w:pStyle w:val="JUDGMENTNUMBERED"/>
        <w:numPr>
          <w:ilvl w:val="0"/>
          <w:numId w:val="0"/>
        </w:numPr>
      </w:pPr>
      <w:r>
        <w:t>As a general rule, PAJA must therefore apply unless the review is brought by a public functionary in respect of its own unlawful decision.</w:t>
      </w:r>
      <w:r w:rsidR="00D3041E">
        <w:t xml:space="preserve"> </w:t>
      </w:r>
      <w:r>
        <w:t xml:space="preserve"> In this case, it is Ms Hunter (and not the </w:t>
      </w:r>
      <w:r w:rsidR="00FE673B">
        <w:t>FSCA</w:t>
      </w:r>
      <w:r>
        <w:t xml:space="preserve"> itself</w:t>
      </w:r>
      <w:r w:rsidR="00D454CA">
        <w:t>) who seeks relief against the r</w:t>
      </w:r>
      <w:r>
        <w:t xml:space="preserve">egistrar’s alleged unlawful decisions. </w:t>
      </w:r>
      <w:r w:rsidR="00D3041E">
        <w:t xml:space="preserve"> </w:t>
      </w:r>
      <w:r w:rsidR="00637379">
        <w:t>Ms Hunter is not acting on behalf of the FSCA.  She is acting in the public interest.  Anybody who constitutes “the public” on whose behalf she has assumed the responsibility to act is entitled to challenge the fairness of the administrative action that has aggrieved her in terms of PAJA.</w:t>
      </w:r>
      <w:r w:rsidR="00B42282">
        <w:t xml:space="preserve">  She</w:t>
      </w:r>
      <w:r w:rsidR="00B20087">
        <w:t>,</w:t>
      </w:r>
      <w:r w:rsidR="00B42282">
        <w:t xml:space="preserve"> having stepped straight into their shoes, </w:t>
      </w:r>
      <w:r w:rsidR="00B42282">
        <w:lastRenderedPageBreak/>
        <w:t xml:space="preserve">enjoys all the rights and obligations they each would ordinarily have shouldered had they chosen to be litigants.  </w:t>
      </w:r>
      <w:r>
        <w:t>PAJA must therefore apply to Ms Hunter’s claim.</w:t>
      </w:r>
    </w:p>
    <w:p w14:paraId="5484C0C1" w14:textId="77777777" w:rsidR="006815AD" w:rsidRPr="006815AD" w:rsidRDefault="006815AD" w:rsidP="006815AD">
      <w:pPr>
        <w:pStyle w:val="JUDGMENTCONTINUED"/>
      </w:pPr>
    </w:p>
    <w:p w14:paraId="03E39A69" w14:textId="79AD4395" w:rsidR="009455D2" w:rsidRDefault="00811729" w:rsidP="00811729">
      <w:pPr>
        <w:pStyle w:val="JUDGMENTNUMBERED"/>
        <w:numPr>
          <w:ilvl w:val="0"/>
          <w:numId w:val="0"/>
        </w:numPr>
        <w:rPr>
          <w:lang w:val="en-GB"/>
        </w:rPr>
      </w:pPr>
      <w:r>
        <w:rPr>
          <w:color w:val="000000"/>
          <w:lang w:val="en-GB"/>
        </w:rPr>
        <w:t>[50]</w:t>
      </w:r>
      <w:r>
        <w:rPr>
          <w:color w:val="000000"/>
          <w:lang w:val="en-GB"/>
        </w:rPr>
        <w:tab/>
      </w:r>
      <w:r w:rsidR="006815AD">
        <w:rPr>
          <w:lang w:val="en-GB"/>
        </w:rPr>
        <w:t xml:space="preserve">In the circumstances, if Ms </w:t>
      </w:r>
      <w:r w:rsidR="00D454CA">
        <w:rPr>
          <w:lang w:val="en-GB"/>
        </w:rPr>
        <w:t>Hunter is of the view that the r</w:t>
      </w:r>
      <w:r w:rsidR="006815AD">
        <w:rPr>
          <w:lang w:val="en-GB"/>
        </w:rPr>
        <w:t xml:space="preserve">egistrar’s decision to cancel the registration of the respective funds was unlawful, the appropriate remedy would be to review that decision in terms of </w:t>
      </w:r>
      <w:r w:rsidR="006815AD">
        <w:rPr>
          <w:rFonts w:hint="eastAsia"/>
          <w:lang w:val="en-GB" w:eastAsia="zh-CN"/>
        </w:rPr>
        <w:t xml:space="preserve">PAJA </w:t>
      </w:r>
      <w:r w:rsidR="006815AD">
        <w:rPr>
          <w:lang w:val="en-GB"/>
        </w:rPr>
        <w:t xml:space="preserve">on the basis that </w:t>
      </w:r>
      <w:r w:rsidR="00157A3B">
        <w:rPr>
          <w:lang w:val="en-GB"/>
        </w:rPr>
        <w:t xml:space="preserve">those </w:t>
      </w:r>
      <w:r w:rsidR="006815AD">
        <w:rPr>
          <w:lang w:val="en-GB"/>
        </w:rPr>
        <w:t>decisions were</w:t>
      </w:r>
      <w:r w:rsidR="00157A3B">
        <w:rPr>
          <w:lang w:val="en-GB"/>
        </w:rPr>
        <w:t xml:space="preserve"> </w:t>
      </w:r>
      <w:r w:rsidR="006815AD">
        <w:rPr>
          <w:lang w:val="en-GB"/>
        </w:rPr>
        <w:t xml:space="preserve">ones </w:t>
      </w:r>
      <w:r w:rsidR="006815AD" w:rsidRPr="0050017D">
        <w:rPr>
          <w:lang w:val="en-GB"/>
        </w:rPr>
        <w:t>that a reasonable decision-maker could not reach</w:t>
      </w:r>
      <w:r w:rsidR="006815AD">
        <w:rPr>
          <w:lang w:val="en-GB"/>
        </w:rPr>
        <w:t xml:space="preserve"> rather than seeking relief in the form of a further investigation. </w:t>
      </w:r>
      <w:r w:rsidR="00D3041E">
        <w:rPr>
          <w:lang w:val="en-GB"/>
        </w:rPr>
        <w:t xml:space="preserve"> </w:t>
      </w:r>
      <w:r w:rsidR="00D806C9">
        <w:rPr>
          <w:lang w:val="en-GB"/>
        </w:rPr>
        <w:t xml:space="preserve">This is not a case of the remedy of review being deficient and not affording Ms Hunter effective </w:t>
      </w:r>
      <w:r w:rsidR="00D3041E">
        <w:rPr>
          <w:lang w:val="en-GB"/>
        </w:rPr>
        <w:t>relief</w:t>
      </w:r>
      <w:r w:rsidR="00D806C9">
        <w:rPr>
          <w:lang w:val="en-GB"/>
        </w:rPr>
        <w:t xml:space="preserve"> – she could easily have instituted a review application based on the unlawfulness mentioned in her founding affidavit. </w:t>
      </w:r>
      <w:r w:rsidR="006815AD">
        <w:rPr>
          <w:lang w:val="en-GB"/>
        </w:rPr>
        <w:t xml:space="preserve"> On the same score, if Ms Hunter is aggrieved that the </w:t>
      </w:r>
      <w:r w:rsidR="00FE673B">
        <w:rPr>
          <w:lang w:val="en-GB"/>
        </w:rPr>
        <w:t>FSCA</w:t>
      </w:r>
      <w:r w:rsidR="006815AD">
        <w:rPr>
          <w:lang w:val="en-GB"/>
        </w:rPr>
        <w:t xml:space="preserve"> has failed to give effect to the allegations contained in her NCN 1 and NCN 2, she should also have that decision reviewed.</w:t>
      </w:r>
    </w:p>
    <w:p w14:paraId="4DA77002" w14:textId="77777777" w:rsidR="009455D2" w:rsidRDefault="009455D2" w:rsidP="00276ABC">
      <w:pPr>
        <w:pStyle w:val="JUDGMENTCONTINUED"/>
        <w:rPr>
          <w:lang w:val="en-GB"/>
        </w:rPr>
      </w:pPr>
    </w:p>
    <w:p w14:paraId="2B80C99B" w14:textId="7F18E8F0" w:rsidR="006673B1" w:rsidRDefault="00811729" w:rsidP="00811729">
      <w:pPr>
        <w:pStyle w:val="JUDGMENTNUMBERED"/>
        <w:numPr>
          <w:ilvl w:val="0"/>
          <w:numId w:val="0"/>
        </w:numPr>
        <w:rPr>
          <w:lang w:val="en-GB"/>
        </w:rPr>
      </w:pPr>
      <w:r>
        <w:rPr>
          <w:color w:val="000000"/>
          <w:lang w:val="en-GB"/>
        </w:rPr>
        <w:t>[51]</w:t>
      </w:r>
      <w:r>
        <w:rPr>
          <w:color w:val="000000"/>
          <w:lang w:val="en-GB"/>
        </w:rPr>
        <w:tab/>
      </w:r>
      <w:r w:rsidR="00D806C9">
        <w:rPr>
          <w:lang w:val="en-GB"/>
        </w:rPr>
        <w:t xml:space="preserve">In terms of Rule 53 of the Uniform Rules of Court, service of Ms Hunter’s founding papers would have triggered the </w:t>
      </w:r>
      <w:r w:rsidR="00FE673B">
        <w:rPr>
          <w:lang w:val="en-GB"/>
        </w:rPr>
        <w:t>FSCA</w:t>
      </w:r>
      <w:r w:rsidR="00D806C9">
        <w:rPr>
          <w:lang w:val="en-GB"/>
        </w:rPr>
        <w:t>’s obligation to file a full record pertaining to t</w:t>
      </w:r>
      <w:r w:rsidR="00D454CA">
        <w:rPr>
          <w:lang w:val="en-GB"/>
        </w:rPr>
        <w:t>he impugned decisions with the r</w:t>
      </w:r>
      <w:r w:rsidR="00D806C9">
        <w:rPr>
          <w:lang w:val="en-GB"/>
        </w:rPr>
        <w:t xml:space="preserve">egistrar of the High Court. </w:t>
      </w:r>
      <w:r w:rsidR="00D3041E">
        <w:rPr>
          <w:lang w:val="en-GB"/>
        </w:rPr>
        <w:t xml:space="preserve"> </w:t>
      </w:r>
      <w:r w:rsidR="00D806C9">
        <w:rPr>
          <w:lang w:val="en-GB"/>
        </w:rPr>
        <w:t>She would then have had access to those records to assess whether there were irregularities supporting any grounds of review, and it would have been open for her to amend her papers in that regard.</w:t>
      </w:r>
      <w:r w:rsidR="00D3041E">
        <w:rPr>
          <w:lang w:val="en-GB"/>
        </w:rPr>
        <w:t xml:space="preserve"> </w:t>
      </w:r>
      <w:r w:rsidR="00D806C9">
        <w:rPr>
          <w:lang w:val="en-GB"/>
        </w:rPr>
        <w:t xml:space="preserve"> This would also have allowed</w:t>
      </w:r>
      <w:r w:rsidR="006815AD">
        <w:rPr>
          <w:lang w:val="en-GB"/>
        </w:rPr>
        <w:t xml:space="preserve"> the relevant court </w:t>
      </w:r>
      <w:r w:rsidR="00D806C9">
        <w:rPr>
          <w:lang w:val="en-GB"/>
        </w:rPr>
        <w:t xml:space="preserve">to be in a </w:t>
      </w:r>
      <w:r w:rsidR="009E4A89">
        <w:rPr>
          <w:lang w:val="en-GB"/>
        </w:rPr>
        <w:t>proper position</w:t>
      </w:r>
      <w:r w:rsidR="006815AD">
        <w:rPr>
          <w:lang w:val="en-GB"/>
        </w:rPr>
        <w:t xml:space="preserve"> </w:t>
      </w:r>
      <w:r w:rsidR="00D806C9">
        <w:rPr>
          <w:lang w:val="en-GB"/>
        </w:rPr>
        <w:t xml:space="preserve">to </w:t>
      </w:r>
      <w:r w:rsidR="006815AD">
        <w:rPr>
          <w:lang w:val="en-GB"/>
        </w:rPr>
        <w:t xml:space="preserve">consider the lawfulness of the decisions, with the benefit of a </w:t>
      </w:r>
      <w:r w:rsidR="00153037">
        <w:rPr>
          <w:lang w:val="en-GB"/>
        </w:rPr>
        <w:t>Rule </w:t>
      </w:r>
      <w:r w:rsidR="006815AD">
        <w:rPr>
          <w:lang w:val="en-GB"/>
        </w:rPr>
        <w:t xml:space="preserve">53 record.  </w:t>
      </w:r>
      <w:r w:rsidR="003772E8">
        <w:rPr>
          <w:lang w:val="en-GB"/>
        </w:rPr>
        <w:t xml:space="preserve">As an attorney, Ms Hunter must have been aware of these procedural advantages which were available to her. </w:t>
      </w:r>
      <w:r w:rsidR="00A72EA0">
        <w:rPr>
          <w:lang w:val="en-GB"/>
        </w:rPr>
        <w:t xml:space="preserve"> </w:t>
      </w:r>
      <w:r w:rsidR="003772E8">
        <w:rPr>
          <w:lang w:val="en-GB"/>
        </w:rPr>
        <w:t>But she chose to ride the wrong horse.</w:t>
      </w:r>
      <w:bookmarkStart w:id="18" w:name="_Toc508706482"/>
      <w:r w:rsidR="007A4B30">
        <w:rPr>
          <w:lang w:val="en-GB"/>
        </w:rPr>
        <w:t xml:space="preserve"> </w:t>
      </w:r>
      <w:r w:rsidR="00983022">
        <w:rPr>
          <w:lang w:val="en-GB"/>
        </w:rPr>
        <w:t xml:space="preserve"> Ms</w:t>
      </w:r>
      <w:r w:rsidR="00315512">
        <w:rPr>
          <w:lang w:val="en-GB"/>
        </w:rPr>
        <w:t> </w:t>
      </w:r>
      <w:r w:rsidR="00983022">
        <w:rPr>
          <w:lang w:val="en-GB"/>
        </w:rPr>
        <w:t>Hunter’s appeal must accordingly fail.</w:t>
      </w:r>
    </w:p>
    <w:p w14:paraId="06C300BA" w14:textId="7E497D20" w:rsidR="009455D2" w:rsidRPr="003576CA" w:rsidRDefault="009455D2" w:rsidP="003576CA">
      <w:pPr>
        <w:pStyle w:val="JUDGMENTCONTINUED"/>
        <w:rPr>
          <w:lang w:val="en-GB"/>
        </w:rPr>
      </w:pPr>
    </w:p>
    <w:p w14:paraId="01FF82A4" w14:textId="77777777" w:rsidR="003C36D7" w:rsidRPr="00DC102B" w:rsidRDefault="003C36D7" w:rsidP="00DB1809">
      <w:pPr>
        <w:pStyle w:val="HEADING"/>
        <w:ind w:firstLine="720"/>
      </w:pPr>
      <w:r w:rsidRPr="009E4A89">
        <w:t>Commissioning</w:t>
      </w:r>
      <w:r w:rsidRPr="00DC102B">
        <w:t xml:space="preserve"> of </w:t>
      </w:r>
      <w:proofErr w:type="spellStart"/>
      <w:r w:rsidRPr="00DC102B">
        <w:t>Gobodo</w:t>
      </w:r>
      <w:proofErr w:type="spellEnd"/>
      <w:r w:rsidRPr="00DC102B">
        <w:t xml:space="preserve"> Report</w:t>
      </w:r>
    </w:p>
    <w:p w14:paraId="4243815B" w14:textId="4F29A7AC" w:rsidR="0015383E" w:rsidRPr="000B0535" w:rsidRDefault="00811729" w:rsidP="00811729">
      <w:pPr>
        <w:pStyle w:val="JUDGMENTNUMBERED"/>
        <w:numPr>
          <w:ilvl w:val="0"/>
          <w:numId w:val="0"/>
        </w:numPr>
        <w:rPr>
          <w:lang w:val="en-GB"/>
        </w:rPr>
      </w:pPr>
      <w:bookmarkStart w:id="19" w:name="_Toc508706486"/>
      <w:bookmarkEnd w:id="18"/>
      <w:r w:rsidRPr="000B0535">
        <w:rPr>
          <w:color w:val="000000"/>
          <w:lang w:val="en-GB"/>
        </w:rPr>
        <w:t>[52]</w:t>
      </w:r>
      <w:r w:rsidRPr="000B0535">
        <w:rPr>
          <w:color w:val="000000"/>
          <w:lang w:val="en-GB"/>
        </w:rPr>
        <w:tab/>
      </w:r>
      <w:r w:rsidR="008C28C6">
        <w:rPr>
          <w:lang w:val="en-GB"/>
        </w:rPr>
        <w:t>Ms Hunter</w:t>
      </w:r>
      <w:r w:rsidR="0015383E">
        <w:rPr>
          <w:lang w:val="en-GB"/>
        </w:rPr>
        <w:t>’s governance complaint re</w:t>
      </w:r>
      <w:r w:rsidR="00D73783">
        <w:rPr>
          <w:lang w:val="en-GB"/>
        </w:rPr>
        <w:t xml:space="preserve">garding </w:t>
      </w:r>
      <w:r w:rsidR="0015383E">
        <w:rPr>
          <w:lang w:val="en-GB"/>
        </w:rPr>
        <w:t xml:space="preserve">the commissioning of the </w:t>
      </w:r>
      <w:proofErr w:type="spellStart"/>
      <w:r w:rsidR="0015383E">
        <w:rPr>
          <w:lang w:val="en-GB"/>
        </w:rPr>
        <w:t>Gobodo</w:t>
      </w:r>
      <w:proofErr w:type="spellEnd"/>
      <w:r w:rsidR="0015383E">
        <w:rPr>
          <w:lang w:val="en-GB"/>
        </w:rPr>
        <w:t xml:space="preserve"> report and the Minister’s </w:t>
      </w:r>
      <w:r w:rsidR="003B7F56">
        <w:rPr>
          <w:lang w:val="en-GB"/>
        </w:rPr>
        <w:t xml:space="preserve">alleged </w:t>
      </w:r>
      <w:r w:rsidR="0015383E">
        <w:rPr>
          <w:lang w:val="en-GB"/>
        </w:rPr>
        <w:t xml:space="preserve">failure to </w:t>
      </w:r>
      <w:r w:rsidR="003C3CDD">
        <w:rPr>
          <w:lang w:val="en-GB"/>
        </w:rPr>
        <w:t>intervene</w:t>
      </w:r>
      <w:r w:rsidR="00D73783">
        <w:rPr>
          <w:lang w:val="en-GB"/>
        </w:rPr>
        <w:t xml:space="preserve"> should similarly not be entertained. </w:t>
      </w:r>
      <w:r w:rsidR="0015383E">
        <w:rPr>
          <w:lang w:val="en-GB"/>
        </w:rPr>
        <w:t xml:space="preserve"> Th</w:t>
      </w:r>
      <w:r w:rsidR="00D73783">
        <w:rPr>
          <w:lang w:val="en-GB"/>
        </w:rPr>
        <w:t xml:space="preserve">e </w:t>
      </w:r>
      <w:r w:rsidR="0015383E">
        <w:rPr>
          <w:lang w:val="en-GB"/>
        </w:rPr>
        <w:t xml:space="preserve">decision </w:t>
      </w:r>
      <w:r w:rsidR="00D73783">
        <w:rPr>
          <w:lang w:val="en-GB"/>
        </w:rPr>
        <w:t xml:space="preserve">to commission an investigation </w:t>
      </w:r>
      <w:r w:rsidR="0015383E">
        <w:rPr>
          <w:lang w:val="en-GB"/>
        </w:rPr>
        <w:t xml:space="preserve">clearly constitutes administrative action which ought to stand until set aside by a competent court.  </w:t>
      </w:r>
      <w:r w:rsidR="008C28C6">
        <w:rPr>
          <w:lang w:val="en-GB"/>
        </w:rPr>
        <w:t>Ms</w:t>
      </w:r>
      <w:r w:rsidR="00315512">
        <w:rPr>
          <w:lang w:val="en-GB"/>
        </w:rPr>
        <w:t> </w:t>
      </w:r>
      <w:r w:rsidR="008C28C6">
        <w:rPr>
          <w:lang w:val="en-GB"/>
        </w:rPr>
        <w:t>Hunter</w:t>
      </w:r>
      <w:r w:rsidR="0015383E">
        <w:rPr>
          <w:lang w:val="en-GB"/>
        </w:rPr>
        <w:t xml:space="preserve"> has not sought to review the decision and it would be inappropriate to allow </w:t>
      </w:r>
      <w:r w:rsidR="008C28C6">
        <w:rPr>
          <w:lang w:val="en-GB"/>
        </w:rPr>
        <w:t>Ms Hunter</w:t>
      </w:r>
      <w:r w:rsidR="0015383E">
        <w:rPr>
          <w:lang w:val="en-GB"/>
        </w:rPr>
        <w:t xml:space="preserve"> to launch a </w:t>
      </w:r>
      <w:r w:rsidR="0015383E">
        <w:rPr>
          <w:lang w:val="en-GB"/>
        </w:rPr>
        <w:lastRenderedPageBreak/>
        <w:t xml:space="preserve">peripheral attack on that decision in this Court.  </w:t>
      </w:r>
      <w:r w:rsidR="008C28C6">
        <w:rPr>
          <w:lang w:val="en-GB"/>
        </w:rPr>
        <w:t>Ms</w:t>
      </w:r>
      <w:r w:rsidR="0051257A">
        <w:rPr>
          <w:lang w:val="en-GB"/>
        </w:rPr>
        <w:t> </w:t>
      </w:r>
      <w:r w:rsidR="008C28C6">
        <w:rPr>
          <w:lang w:val="en-GB"/>
        </w:rPr>
        <w:t>Hunter</w:t>
      </w:r>
      <w:r w:rsidR="0015383E">
        <w:rPr>
          <w:lang w:val="en-GB"/>
        </w:rPr>
        <w:t>’s counsel conceded in oral argument that this decision could have been challenged by way of review proceedings.  In light of th</w:t>
      </w:r>
      <w:r w:rsidR="009455D2">
        <w:rPr>
          <w:lang w:val="en-GB"/>
        </w:rPr>
        <w:t>is</w:t>
      </w:r>
      <w:r w:rsidR="0015383E">
        <w:rPr>
          <w:lang w:val="en-GB"/>
        </w:rPr>
        <w:t>, th</w:t>
      </w:r>
      <w:r w:rsidR="009455D2">
        <w:rPr>
          <w:lang w:val="en-GB"/>
        </w:rPr>
        <w:t>e</w:t>
      </w:r>
      <w:r w:rsidR="0015383E">
        <w:rPr>
          <w:lang w:val="en-GB"/>
        </w:rPr>
        <w:t xml:space="preserve"> Court ought not to engage or consider this issue.</w:t>
      </w:r>
    </w:p>
    <w:p w14:paraId="32C6473E" w14:textId="77777777" w:rsidR="00656E25" w:rsidRDefault="00656E25" w:rsidP="003725DF">
      <w:pPr>
        <w:pStyle w:val="JUDGMENTCONTINUED"/>
      </w:pPr>
      <w:bookmarkStart w:id="20" w:name="_Toc508706489"/>
      <w:bookmarkEnd w:id="19"/>
    </w:p>
    <w:p w14:paraId="7BA7F56E" w14:textId="77777777" w:rsidR="00CF434A" w:rsidRPr="00CF434A" w:rsidRDefault="00CF434A" w:rsidP="00E702ED">
      <w:pPr>
        <w:pStyle w:val="HEADING"/>
      </w:pPr>
      <w:r w:rsidRPr="00C43665">
        <w:t xml:space="preserve">Third and </w:t>
      </w:r>
      <w:r w:rsidR="009455D2">
        <w:t>f</w:t>
      </w:r>
      <w:r w:rsidRPr="00C43665">
        <w:t xml:space="preserve">ourth </w:t>
      </w:r>
      <w:r w:rsidR="009455D2">
        <w:t>r</w:t>
      </w:r>
      <w:r w:rsidRPr="00C43665">
        <w:t xml:space="preserve">espondents’ </w:t>
      </w:r>
      <w:r w:rsidR="009455D2">
        <w:t>c</w:t>
      </w:r>
      <w:r w:rsidRPr="00C43665">
        <w:t xml:space="preserve">onditional </w:t>
      </w:r>
      <w:r w:rsidR="009455D2">
        <w:t>c</w:t>
      </w:r>
      <w:r w:rsidRPr="00C43665">
        <w:t>ounter-appeal</w:t>
      </w:r>
    </w:p>
    <w:p w14:paraId="757F69FB" w14:textId="2C92E5BF" w:rsidR="00A6648C" w:rsidRDefault="00811729" w:rsidP="00811729">
      <w:pPr>
        <w:pStyle w:val="JUDGMENTNUMBERED"/>
        <w:numPr>
          <w:ilvl w:val="0"/>
          <w:numId w:val="0"/>
        </w:numPr>
      </w:pPr>
      <w:r>
        <w:rPr>
          <w:color w:val="000000"/>
        </w:rPr>
        <w:t>[53]</w:t>
      </w:r>
      <w:r>
        <w:rPr>
          <w:color w:val="000000"/>
        </w:rPr>
        <w:tab/>
      </w:r>
      <w:r w:rsidR="00A6648C">
        <w:t>The third and fourth respondents seek to cross-appeal on the issue of costs in the High Court in the event that Ms Hunter is granted leave to appeal as they allege that the High Court arbitrarily deprived them of a substantial portion of their costs.</w:t>
      </w:r>
      <w:r w:rsidR="004F6937">
        <w:t xml:space="preserve"> </w:t>
      </w:r>
      <w:r w:rsidR="00A6648C">
        <w:t xml:space="preserve"> The third and fourth respondents submit that neither the relief claimed nor the cause of action pleaded by Ms Hunter justified their citation and joinder as parties to the proceedings.</w:t>
      </w:r>
    </w:p>
    <w:p w14:paraId="3411A71D" w14:textId="77777777" w:rsidR="00A6648C" w:rsidRDefault="00A6648C" w:rsidP="003725DF">
      <w:pPr>
        <w:pStyle w:val="JUDGMENTCONTINUED"/>
      </w:pPr>
    </w:p>
    <w:p w14:paraId="2444D0CA" w14:textId="396681EB" w:rsidR="00CF434A" w:rsidRDefault="00811729" w:rsidP="00811729">
      <w:pPr>
        <w:pStyle w:val="JUDGMENTNUMBERED"/>
        <w:numPr>
          <w:ilvl w:val="0"/>
          <w:numId w:val="0"/>
        </w:numPr>
      </w:pPr>
      <w:r>
        <w:rPr>
          <w:color w:val="000000"/>
        </w:rPr>
        <w:t>[54]</w:t>
      </w:r>
      <w:r>
        <w:rPr>
          <w:color w:val="000000"/>
        </w:rPr>
        <w:tab/>
      </w:r>
      <w:r w:rsidR="00CF434A">
        <w:t>In my view, there was no misjoinder by Ms</w:t>
      </w:r>
      <w:r w:rsidR="00EC735D">
        <w:t xml:space="preserve"> Hunter of the third and fourth </w:t>
      </w:r>
      <w:r w:rsidR="00CF434A">
        <w:t xml:space="preserve">respondents in the High Court.  The allegations made by Ms Hunter regarding the need for an investigation by the </w:t>
      </w:r>
      <w:r w:rsidR="00FE673B">
        <w:t>FSCA</w:t>
      </w:r>
      <w:r w:rsidR="00CF434A">
        <w:t xml:space="preserve"> directly </w:t>
      </w:r>
      <w:r w:rsidR="00EC735D">
        <w:t>implicated the third and fourth </w:t>
      </w:r>
      <w:r w:rsidR="00CF434A">
        <w:t>respondents.  In any event, the third and fourth respondents did not formally object to their joinder in the High Court but instead chose</w:t>
      </w:r>
      <w:r w:rsidR="00E10666">
        <w:t xml:space="preserve"> </w:t>
      </w:r>
      <w:r w:rsidR="00CF434A">
        <w:t xml:space="preserve">to </w:t>
      </w:r>
      <w:r w:rsidR="009E497C">
        <w:t xml:space="preserve">participate </w:t>
      </w:r>
      <w:r w:rsidR="00800979">
        <w:t xml:space="preserve">fully </w:t>
      </w:r>
      <w:r w:rsidR="00CF434A">
        <w:t>in the proceedings.  The third and fourth respondents could also have merely</w:t>
      </w:r>
      <w:r w:rsidR="00153037">
        <w:t xml:space="preserve"> </w:t>
      </w:r>
      <w:r w:rsidR="00CF434A">
        <w:t xml:space="preserve">abided </w:t>
      </w:r>
      <w:r w:rsidR="00800979">
        <w:t xml:space="preserve">by </w:t>
      </w:r>
      <w:r w:rsidR="00CF434A">
        <w:t>the outcome of the proceedings, thereby avoid</w:t>
      </w:r>
      <w:r w:rsidR="00153037">
        <w:t>ing</w:t>
      </w:r>
      <w:r w:rsidR="00CF434A">
        <w:t xml:space="preserve"> incurring any costs, and address</w:t>
      </w:r>
      <w:r w:rsidR="00153037">
        <w:t>ing</w:t>
      </w:r>
      <w:r w:rsidR="00CF434A">
        <w:t xml:space="preserve"> the allegations made by Ms Hunter through the </w:t>
      </w:r>
      <w:r w:rsidR="00FE673B">
        <w:t>FSCA</w:t>
      </w:r>
      <w:r w:rsidR="00CF434A">
        <w:t>’s papers.  There is also no basis for a punitive cost</w:t>
      </w:r>
      <w:r w:rsidR="009455D2">
        <w:t>s</w:t>
      </w:r>
      <w:r w:rsidR="00CF434A">
        <w:t xml:space="preserve"> order to be granted against Ms Hunter.</w:t>
      </w:r>
    </w:p>
    <w:p w14:paraId="7F0A9345" w14:textId="77777777" w:rsidR="00241F27" w:rsidRPr="00241F27" w:rsidRDefault="00241F27" w:rsidP="00241F27">
      <w:pPr>
        <w:pStyle w:val="JUDGMENTCONTINUED"/>
      </w:pPr>
    </w:p>
    <w:p w14:paraId="53C0BF9E" w14:textId="1AD35B69" w:rsidR="001A05FB" w:rsidRPr="001A05FB" w:rsidRDefault="00811729" w:rsidP="00811729">
      <w:pPr>
        <w:pStyle w:val="JUDGMENTNUMBERED"/>
        <w:numPr>
          <w:ilvl w:val="0"/>
          <w:numId w:val="0"/>
        </w:numPr>
      </w:pPr>
      <w:r w:rsidRPr="001A05FB">
        <w:rPr>
          <w:color w:val="000000"/>
        </w:rPr>
        <w:t>[55]</w:t>
      </w:r>
      <w:r w:rsidRPr="001A05FB">
        <w:rPr>
          <w:color w:val="000000"/>
        </w:rPr>
        <w:tab/>
      </w:r>
      <w:r w:rsidR="00241F27">
        <w:t xml:space="preserve">In the circumstances, I am of the view that the third and fourth respondents’ conditional </w:t>
      </w:r>
      <w:r w:rsidR="00241F27" w:rsidRPr="00167113">
        <w:t>cross-ap</w:t>
      </w:r>
      <w:r w:rsidR="00241F27">
        <w:t>peal should be dismissed.</w:t>
      </w:r>
    </w:p>
    <w:p w14:paraId="2483EC7D" w14:textId="77777777" w:rsidR="00CF434A" w:rsidRDefault="00CF434A" w:rsidP="00CF434A">
      <w:pPr>
        <w:pStyle w:val="JUDGMENTCONTINUED"/>
      </w:pPr>
    </w:p>
    <w:p w14:paraId="741433F3" w14:textId="3E2B8434" w:rsidR="001A05FB" w:rsidRPr="001E4BFA" w:rsidRDefault="001A05FB" w:rsidP="00DB09B3">
      <w:pPr>
        <w:pStyle w:val="HEADING"/>
      </w:pPr>
      <w:r>
        <w:t xml:space="preserve">Application for leave to file copies of the order and papers in </w:t>
      </w:r>
      <w:r w:rsidR="00153037">
        <w:t xml:space="preserve">a </w:t>
      </w:r>
      <w:r>
        <w:t>related matter</w:t>
      </w:r>
    </w:p>
    <w:p w14:paraId="4619E87D" w14:textId="0E562B9A" w:rsidR="001A05FB" w:rsidRDefault="00811729" w:rsidP="00811729">
      <w:pPr>
        <w:pStyle w:val="JUDGMENTNUMBERED"/>
        <w:numPr>
          <w:ilvl w:val="0"/>
          <w:numId w:val="0"/>
        </w:numPr>
      </w:pPr>
      <w:r>
        <w:rPr>
          <w:color w:val="000000"/>
        </w:rPr>
        <w:t>[56]</w:t>
      </w:r>
      <w:r>
        <w:rPr>
          <w:color w:val="000000"/>
        </w:rPr>
        <w:tab/>
      </w:r>
      <w:r w:rsidR="001A05FB">
        <w:t xml:space="preserve">After the hearing of this matter, Ms Hunter filed an application for leave to file copies of a High Court application brought by Liberty Group Limited (Liberty) against the </w:t>
      </w:r>
      <w:r w:rsidR="0012412C">
        <w:t>r</w:t>
      </w:r>
      <w:r w:rsidR="001A05FB">
        <w:t xml:space="preserve">egistrar to set aside the cancellation of 25 funds, as well as the order granting the setting aside of deregistration of those funds. </w:t>
      </w:r>
      <w:r w:rsidR="00B75900">
        <w:t xml:space="preserve"> </w:t>
      </w:r>
      <w:r w:rsidR="001A05FB">
        <w:t>Ms Hunter requests leave to place these additional documents before this Court without comment or argument.</w:t>
      </w:r>
    </w:p>
    <w:p w14:paraId="6AF8DCF2" w14:textId="77777777" w:rsidR="001A05FB" w:rsidRDefault="001A05FB" w:rsidP="003725DF">
      <w:pPr>
        <w:pStyle w:val="JUDGMENTCONTINUED"/>
      </w:pPr>
    </w:p>
    <w:p w14:paraId="68413270" w14:textId="2A07F531" w:rsidR="001A05FB" w:rsidRDefault="00811729" w:rsidP="00811729">
      <w:pPr>
        <w:pStyle w:val="JUDGMENTNUMBERED"/>
        <w:numPr>
          <w:ilvl w:val="0"/>
          <w:numId w:val="0"/>
        </w:numPr>
      </w:pPr>
      <w:r>
        <w:rPr>
          <w:color w:val="000000"/>
        </w:rPr>
        <w:t>[57]</w:t>
      </w:r>
      <w:r>
        <w:rPr>
          <w:color w:val="000000"/>
        </w:rPr>
        <w:tab/>
      </w:r>
      <w:r w:rsidR="001A05FB">
        <w:t xml:space="preserve">Although it is extraordinary and unusual for a litigant to file further papers after pleadings have closed and judgment has been reserved, this Court is entitled to admit </w:t>
      </w:r>
      <w:r w:rsidR="00153037">
        <w:t xml:space="preserve">the </w:t>
      </w:r>
      <w:r w:rsidR="001A05FB">
        <w:t>same provided that it is in the interests of justice to do so and it ensures full ventilation of the issues.</w:t>
      </w:r>
      <w:r w:rsidR="00383D37">
        <w:rPr>
          <w:rStyle w:val="FootnoteReference"/>
        </w:rPr>
        <w:footnoteReference w:id="25"/>
      </w:r>
      <w:r w:rsidR="001A05FB">
        <w:t xml:space="preserve"> </w:t>
      </w:r>
      <w:r w:rsidR="00B75900">
        <w:t xml:space="preserve"> </w:t>
      </w:r>
      <w:r w:rsidR="001A05FB">
        <w:t xml:space="preserve">That being said, the additional papers that Ms Hunter seeks to </w:t>
      </w:r>
      <w:r w:rsidR="00960C9C">
        <w:t xml:space="preserve">have </w:t>
      </w:r>
      <w:r w:rsidR="001A05FB">
        <w:t>admit</w:t>
      </w:r>
      <w:r w:rsidR="00960C9C">
        <w:t>ted</w:t>
      </w:r>
      <w:r w:rsidR="001A05FB">
        <w:t xml:space="preserve"> consists only of Liberty’s notice of motion and founding affidavit, as well as the High Court’s order. </w:t>
      </w:r>
      <w:r w:rsidR="00B75900">
        <w:t xml:space="preserve"> </w:t>
      </w:r>
      <w:r w:rsidR="001A05FB">
        <w:t>There is no reasoned judgment for this Court to consider and this Court would</w:t>
      </w:r>
      <w:r w:rsidR="00153037">
        <w:t>,</w:t>
      </w:r>
      <w:r w:rsidR="001A05FB">
        <w:t xml:space="preserve"> therefore</w:t>
      </w:r>
      <w:r w:rsidR="00153037">
        <w:t>,</w:t>
      </w:r>
      <w:r w:rsidR="001A05FB">
        <w:t xml:space="preserve"> have to rely </w:t>
      </w:r>
      <w:r w:rsidR="00153037">
        <w:t xml:space="preserve">merely </w:t>
      </w:r>
      <w:r w:rsidR="001A05FB">
        <w:t xml:space="preserve">on the submissions made by Liberty in its founding affidavit. </w:t>
      </w:r>
      <w:r w:rsidR="00B75900">
        <w:t xml:space="preserve"> </w:t>
      </w:r>
      <w:r w:rsidR="001A05FB">
        <w:t>In my view, it would be severely prejudicial to the respondents if this Court were to admit what is in essence an additional affidavit containing new facts and evidence without allowing the</w:t>
      </w:r>
      <w:r w:rsidR="00153037">
        <w:t>m</w:t>
      </w:r>
      <w:r w:rsidR="00315512">
        <w:t xml:space="preserve"> </w:t>
      </w:r>
      <w:r w:rsidR="001A05FB">
        <w:t xml:space="preserve">an opportunity properly to respond thereto, which would require an additional hearing. </w:t>
      </w:r>
      <w:r w:rsidR="00B75900">
        <w:t xml:space="preserve"> </w:t>
      </w:r>
      <w:r w:rsidR="001A05FB">
        <w:t>In any event, the contents of the additional papers are not necessary for this Court to make a determination on the question before it</w:t>
      </w:r>
      <w:r w:rsidR="00B75900">
        <w:t xml:space="preserve"> – </w:t>
      </w:r>
      <w:r w:rsidR="001A05FB">
        <w:t xml:space="preserve">whether the </w:t>
      </w:r>
      <w:r w:rsidR="001E4BFA" w:rsidRPr="001E4BFA">
        <w:t>FSCA</w:t>
      </w:r>
      <w:r w:rsidR="001A05FB">
        <w:t xml:space="preserve"> has a duty to investigate the alleged irregularities and</w:t>
      </w:r>
      <w:r w:rsidR="00153037">
        <w:t>,</w:t>
      </w:r>
      <w:r w:rsidR="001A05FB">
        <w:t xml:space="preserve"> if so, whether this duty has been discharged. </w:t>
      </w:r>
      <w:r w:rsidR="00B75900">
        <w:t xml:space="preserve"> </w:t>
      </w:r>
      <w:r w:rsidR="001A05FB">
        <w:t>It is</w:t>
      </w:r>
      <w:r w:rsidR="00153037">
        <w:t>,</w:t>
      </w:r>
      <w:r w:rsidR="001A05FB">
        <w:t xml:space="preserve"> therefore</w:t>
      </w:r>
      <w:r w:rsidR="00153037">
        <w:t>,</w:t>
      </w:r>
      <w:r w:rsidR="001A05FB">
        <w:t xml:space="preserve"> not in the interests of justice for this Court to admit the additional papers.</w:t>
      </w:r>
    </w:p>
    <w:p w14:paraId="2838DCB6" w14:textId="77777777" w:rsidR="001A05FB" w:rsidRPr="001A05FB" w:rsidRDefault="001A05FB" w:rsidP="003725DF">
      <w:pPr>
        <w:pStyle w:val="JUDGMENTCONTINUED"/>
      </w:pPr>
    </w:p>
    <w:p w14:paraId="28780CC8" w14:textId="77777777" w:rsidR="00127A47" w:rsidRPr="00C43665" w:rsidRDefault="005022DF" w:rsidP="003725DF">
      <w:pPr>
        <w:pStyle w:val="HEADING"/>
      </w:pPr>
      <w:r w:rsidRPr="00C43665">
        <w:t>Costs</w:t>
      </w:r>
      <w:bookmarkEnd w:id="20"/>
    </w:p>
    <w:p w14:paraId="208F2641" w14:textId="5B2BB097" w:rsidR="007F366B" w:rsidRPr="004F6937" w:rsidRDefault="00656E25" w:rsidP="003725DF">
      <w:pPr>
        <w:pStyle w:val="HEADING"/>
        <w:ind w:firstLine="720"/>
        <w:rPr>
          <w:lang w:val="en-GB"/>
        </w:rPr>
      </w:pPr>
      <w:r w:rsidRPr="00586EEC">
        <w:rPr>
          <w:lang w:val="en-GB"/>
        </w:rPr>
        <w:t xml:space="preserve">High Court and </w:t>
      </w:r>
      <w:r w:rsidR="003B7F56">
        <w:rPr>
          <w:lang w:val="en-GB"/>
        </w:rPr>
        <w:t>Supreme Court of Appeal</w:t>
      </w:r>
    </w:p>
    <w:p w14:paraId="2EBB5E09" w14:textId="647CFD22" w:rsidR="003C3CDD" w:rsidRDefault="00811729" w:rsidP="00811729">
      <w:pPr>
        <w:pStyle w:val="JUDGMENTNUMBERED"/>
        <w:numPr>
          <w:ilvl w:val="0"/>
          <w:numId w:val="0"/>
        </w:numPr>
        <w:ind w:right="-45"/>
      </w:pPr>
      <w:r>
        <w:rPr>
          <w:color w:val="000000"/>
        </w:rPr>
        <w:t>[58]</w:t>
      </w:r>
      <w:r>
        <w:rPr>
          <w:color w:val="000000"/>
        </w:rPr>
        <w:tab/>
      </w:r>
      <w:r w:rsidR="00656E25" w:rsidRPr="00AD054C">
        <w:t>The cost</w:t>
      </w:r>
      <w:r w:rsidR="0012412C">
        <w:t>s</w:t>
      </w:r>
      <w:r w:rsidR="00656E25" w:rsidRPr="00AD054C">
        <w:t xml:space="preserve"> orders of the High Court and the </w:t>
      </w:r>
      <w:r w:rsidR="003B7F56">
        <w:t>Supreme Court of Appeal</w:t>
      </w:r>
      <w:r w:rsidR="003B7F56" w:rsidRPr="00AD054C">
        <w:t xml:space="preserve"> </w:t>
      </w:r>
      <w:r w:rsidR="00656E25" w:rsidRPr="00AD054C">
        <w:t>should be set aside because the application is one of genuine constitutional import.  Clearly</w:t>
      </w:r>
      <w:r w:rsidR="00153037">
        <w:t>,</w:t>
      </w:r>
      <w:r w:rsidR="00656E25" w:rsidRPr="00AD054C">
        <w:t xml:space="preserve"> a challenge to a public body’s alleged failure to comply with its constitutional obligations is a matter of “constitutional import” and the</w:t>
      </w:r>
      <w:r w:rsidR="00AD054C" w:rsidRPr="00AD054C">
        <w:t xml:space="preserve"> principle set out in </w:t>
      </w:r>
      <w:proofErr w:type="spellStart"/>
      <w:r w:rsidR="004769D2">
        <w:rPr>
          <w:i/>
        </w:rPr>
        <w:t>Biowatc</w:t>
      </w:r>
      <w:r w:rsidR="00A51734">
        <w:rPr>
          <w:i/>
        </w:rPr>
        <w:t>h</w:t>
      </w:r>
      <w:proofErr w:type="spellEnd"/>
      <w:r w:rsidR="00AD054C" w:rsidRPr="003725DF">
        <w:rPr>
          <w:rStyle w:val="FootnoteReference"/>
        </w:rPr>
        <w:footnoteReference w:id="26"/>
      </w:r>
      <w:r w:rsidR="00AD054C" w:rsidRPr="003725DF">
        <w:t xml:space="preserve"> </w:t>
      </w:r>
      <w:r w:rsidR="004769D2">
        <w:t>which provides</w:t>
      </w:r>
      <w:r w:rsidR="00F43513">
        <w:t xml:space="preserve"> that an unsuccessful party in proceedings against the </w:t>
      </w:r>
      <w:r w:rsidR="00800979">
        <w:t>s</w:t>
      </w:r>
      <w:r w:rsidR="00F43513">
        <w:t>tate</w:t>
      </w:r>
      <w:r w:rsidR="0012412C">
        <w:t xml:space="preserve"> should ordinarily</w:t>
      </w:r>
      <w:r w:rsidR="00F43513">
        <w:t xml:space="preserve"> be spared from paying the State’s costs in constitutional matters</w:t>
      </w:r>
      <w:r w:rsidR="00AD054C">
        <w:t xml:space="preserve">, </w:t>
      </w:r>
      <w:r w:rsidR="00F43513" w:rsidRPr="00AD054C">
        <w:t>should therefore apply</w:t>
      </w:r>
      <w:r w:rsidR="00F43513">
        <w:t>.</w:t>
      </w:r>
    </w:p>
    <w:p w14:paraId="6513519D" w14:textId="77777777" w:rsidR="003C3CDD" w:rsidRDefault="003C3CDD" w:rsidP="003725DF">
      <w:pPr>
        <w:pStyle w:val="JUDGMENTCONTINUED"/>
      </w:pPr>
    </w:p>
    <w:p w14:paraId="312EE5C7" w14:textId="77777777" w:rsidR="0066741F" w:rsidRPr="0066741F" w:rsidRDefault="00656E25" w:rsidP="001E4BFA">
      <w:pPr>
        <w:pStyle w:val="HEADING"/>
        <w:ind w:firstLine="720"/>
      </w:pPr>
      <w:r w:rsidRPr="003C3CDD">
        <w:lastRenderedPageBreak/>
        <w:t>This Court</w:t>
      </w:r>
    </w:p>
    <w:p w14:paraId="6F31D2CA" w14:textId="0F69AF76" w:rsidR="003C3CDD" w:rsidRDefault="00811729" w:rsidP="00811729">
      <w:pPr>
        <w:pStyle w:val="JUDGMENTNUMBERED"/>
        <w:numPr>
          <w:ilvl w:val="0"/>
          <w:numId w:val="0"/>
        </w:numPr>
        <w:ind w:right="-45"/>
        <w:rPr>
          <w:lang w:eastAsia="zh-CN"/>
        </w:rPr>
      </w:pPr>
      <w:r>
        <w:rPr>
          <w:color w:val="000000"/>
          <w:lang w:eastAsia="zh-CN"/>
        </w:rPr>
        <w:t>[59]</w:t>
      </w:r>
      <w:r>
        <w:rPr>
          <w:color w:val="000000"/>
          <w:lang w:eastAsia="zh-CN"/>
        </w:rPr>
        <w:tab/>
      </w:r>
      <w:r w:rsidR="00656E25">
        <w:t xml:space="preserve">For the same reasons </w:t>
      </w:r>
      <w:r w:rsidR="003E0714">
        <w:t>as</w:t>
      </w:r>
      <w:r w:rsidR="00656E25">
        <w:t xml:space="preserve"> above, the principle set out in </w:t>
      </w:r>
      <w:proofErr w:type="spellStart"/>
      <w:r w:rsidR="00656E25" w:rsidRPr="00DB09B3">
        <w:rPr>
          <w:i/>
        </w:rPr>
        <w:t>Biowatch</w:t>
      </w:r>
      <w:proofErr w:type="spellEnd"/>
      <w:r w:rsidR="00656E25">
        <w:t xml:space="preserve"> should apply and no order as to costs should be made in this Court.</w:t>
      </w:r>
    </w:p>
    <w:p w14:paraId="657084DE" w14:textId="77777777" w:rsidR="003C3CDD" w:rsidRDefault="003C3CDD" w:rsidP="003725DF">
      <w:pPr>
        <w:pStyle w:val="JUDGMENTCONTINUED"/>
        <w:rPr>
          <w:lang w:eastAsia="zh-CN"/>
        </w:rPr>
      </w:pPr>
    </w:p>
    <w:p w14:paraId="28A631A9" w14:textId="3D054D0D" w:rsidR="00656E25" w:rsidRDefault="00811729" w:rsidP="00811729">
      <w:pPr>
        <w:pStyle w:val="JUDGMENTNUMBERED"/>
        <w:numPr>
          <w:ilvl w:val="0"/>
          <w:numId w:val="0"/>
        </w:numPr>
        <w:ind w:right="-45"/>
        <w:rPr>
          <w:lang w:eastAsia="zh-CN"/>
        </w:rPr>
      </w:pPr>
      <w:r>
        <w:rPr>
          <w:color w:val="000000"/>
          <w:lang w:eastAsia="zh-CN"/>
        </w:rPr>
        <w:t>[60]</w:t>
      </w:r>
      <w:r>
        <w:rPr>
          <w:color w:val="000000"/>
          <w:lang w:eastAsia="zh-CN"/>
        </w:rPr>
        <w:tab/>
      </w:r>
      <w:r w:rsidR="00A83790">
        <w:t>Regarding</w:t>
      </w:r>
      <w:r w:rsidR="00CF50FF">
        <w:t xml:space="preserve"> the request by the first </w:t>
      </w:r>
      <w:r w:rsidR="00CF50FF" w:rsidRPr="00132023">
        <w:t>amicus curiae</w:t>
      </w:r>
      <w:r w:rsidR="00CF50FF">
        <w:t xml:space="preserve"> for costs to be awarded to it in respect of the opposition of the respondents to its application for admission as </w:t>
      </w:r>
      <w:r w:rsidR="00DB09B3">
        <w:t>amicus </w:t>
      </w:r>
      <w:r w:rsidR="00CF50FF" w:rsidRPr="00DB09B3">
        <w:t>curiae</w:t>
      </w:r>
      <w:r w:rsidR="00CF50FF">
        <w:t xml:space="preserve">, there is no basis for this Court to make </w:t>
      </w:r>
      <w:r w:rsidR="009E497C">
        <w:t>this</w:t>
      </w:r>
      <w:r w:rsidR="00CF50FF">
        <w:t xml:space="preserve"> order.</w:t>
      </w:r>
    </w:p>
    <w:p w14:paraId="0ACBE149" w14:textId="0E4CB361" w:rsidR="003C3CDD" w:rsidRPr="003C3CDD" w:rsidRDefault="003C3CDD" w:rsidP="00315512">
      <w:pPr>
        <w:pStyle w:val="JUDGMENTCONTINUED"/>
        <w:tabs>
          <w:tab w:val="left" w:pos="1457"/>
        </w:tabs>
        <w:rPr>
          <w:lang w:eastAsia="zh-CN"/>
        </w:rPr>
      </w:pPr>
    </w:p>
    <w:p w14:paraId="4A8E6C89" w14:textId="77777777" w:rsidR="0066741F" w:rsidRPr="0066741F" w:rsidRDefault="00860C4E" w:rsidP="003C3CDD">
      <w:pPr>
        <w:pStyle w:val="HEADING"/>
        <w:spacing w:line="276" w:lineRule="auto"/>
      </w:pPr>
      <w:bookmarkStart w:id="21" w:name="_Toc508706490"/>
      <w:r w:rsidRPr="00C43665">
        <w:t>Order</w:t>
      </w:r>
      <w:bookmarkEnd w:id="21"/>
    </w:p>
    <w:p w14:paraId="54E69464" w14:textId="3638D30C" w:rsidR="00860C4E" w:rsidRDefault="00811729" w:rsidP="00811729">
      <w:pPr>
        <w:pStyle w:val="JUDGMENTNUMBERED"/>
        <w:numPr>
          <w:ilvl w:val="0"/>
          <w:numId w:val="0"/>
        </w:numPr>
        <w:ind w:right="-45"/>
      </w:pPr>
      <w:r>
        <w:rPr>
          <w:color w:val="000000"/>
        </w:rPr>
        <w:t>[61]</w:t>
      </w:r>
      <w:r>
        <w:rPr>
          <w:color w:val="000000"/>
        </w:rPr>
        <w:tab/>
      </w:r>
      <w:r w:rsidR="00860C4E" w:rsidRPr="00D754FC">
        <w:t>The following order is made:</w:t>
      </w:r>
    </w:p>
    <w:p w14:paraId="2CD7AB41" w14:textId="6054F49B" w:rsidR="003C3CDD" w:rsidRDefault="00811729" w:rsidP="00811729">
      <w:pPr>
        <w:pStyle w:val="JUDGMENTNUMBERED"/>
        <w:numPr>
          <w:ilvl w:val="0"/>
          <w:numId w:val="0"/>
        </w:numPr>
        <w:ind w:left="1276" w:hanging="567"/>
      </w:pPr>
      <w:r>
        <w:rPr>
          <w:color w:val="000000"/>
        </w:rPr>
        <w:t>1.</w:t>
      </w:r>
      <w:r>
        <w:rPr>
          <w:color w:val="000000"/>
        </w:rPr>
        <w:tab/>
      </w:r>
      <w:r w:rsidR="003C3CDD">
        <w:t>The application for leave to appeal is granted.</w:t>
      </w:r>
    </w:p>
    <w:p w14:paraId="68D197CE" w14:textId="680D4675" w:rsidR="003C3CDD" w:rsidRDefault="00811729" w:rsidP="00811729">
      <w:pPr>
        <w:pStyle w:val="JUDGMENTNUMBERED"/>
        <w:numPr>
          <w:ilvl w:val="0"/>
          <w:numId w:val="0"/>
        </w:numPr>
        <w:ind w:left="1276" w:hanging="567"/>
      </w:pPr>
      <w:r>
        <w:rPr>
          <w:color w:val="000000"/>
        </w:rPr>
        <w:t>2.</w:t>
      </w:r>
      <w:r>
        <w:rPr>
          <w:color w:val="000000"/>
        </w:rPr>
        <w:tab/>
      </w:r>
      <w:r w:rsidR="003C3CDD">
        <w:t xml:space="preserve">The appeal is dismissed. </w:t>
      </w:r>
    </w:p>
    <w:p w14:paraId="4BB9A6B5" w14:textId="6DDD90EA" w:rsidR="003C3CDD" w:rsidRPr="00ED3EA9" w:rsidRDefault="00811729" w:rsidP="00811729">
      <w:pPr>
        <w:pStyle w:val="JUDGMENTNUMBERED"/>
        <w:numPr>
          <w:ilvl w:val="0"/>
          <w:numId w:val="0"/>
        </w:numPr>
        <w:ind w:left="1276" w:hanging="567"/>
      </w:pPr>
      <w:r w:rsidRPr="00ED3EA9">
        <w:rPr>
          <w:color w:val="000000"/>
        </w:rPr>
        <w:t>3.</w:t>
      </w:r>
      <w:r w:rsidRPr="00ED3EA9">
        <w:rPr>
          <w:color w:val="000000"/>
        </w:rPr>
        <w:tab/>
      </w:r>
      <w:r w:rsidR="003C3CDD" w:rsidRPr="00ED3EA9">
        <w:t>The third and fourth respondents</w:t>
      </w:r>
      <w:r w:rsidR="003C3CDD">
        <w:t>’</w:t>
      </w:r>
      <w:r w:rsidR="003C3CDD" w:rsidRPr="00ED3EA9">
        <w:t xml:space="preserve"> conditional counter-appeal is dismissed.</w:t>
      </w:r>
    </w:p>
    <w:p w14:paraId="626309F1" w14:textId="43BE12A1" w:rsidR="0063624F" w:rsidRDefault="00811729" w:rsidP="00811729">
      <w:pPr>
        <w:pStyle w:val="JUDGMENTNUMBERED"/>
        <w:numPr>
          <w:ilvl w:val="0"/>
          <w:numId w:val="0"/>
        </w:numPr>
        <w:ind w:left="1276" w:hanging="567"/>
      </w:pPr>
      <w:r>
        <w:rPr>
          <w:color w:val="000000"/>
        </w:rPr>
        <w:t>4.</w:t>
      </w:r>
      <w:r>
        <w:rPr>
          <w:color w:val="000000"/>
        </w:rPr>
        <w:tab/>
      </w:r>
      <w:r w:rsidR="007C47F0" w:rsidRPr="00ED3EA9">
        <w:t xml:space="preserve">The application by </w:t>
      </w:r>
      <w:r w:rsidR="00506F74">
        <w:t>the Right2Know Campaign (</w:t>
      </w:r>
      <w:r w:rsidR="007C47F0">
        <w:t>R2K</w:t>
      </w:r>
      <w:r w:rsidR="00506F74">
        <w:t>)</w:t>
      </w:r>
      <w:r w:rsidR="007C47F0" w:rsidRPr="00ED3EA9">
        <w:t xml:space="preserve"> for admission as </w:t>
      </w:r>
      <w:r w:rsidR="007C47F0" w:rsidRPr="00132023">
        <w:t>amicus curiae</w:t>
      </w:r>
      <w:r w:rsidR="007C47F0" w:rsidRPr="00ED3EA9">
        <w:t xml:space="preserve"> is</w:t>
      </w:r>
      <w:r w:rsidR="007C47F0">
        <w:t xml:space="preserve"> granted</w:t>
      </w:r>
      <w:r w:rsidR="007C47F0" w:rsidRPr="00ED3EA9">
        <w:t>.</w:t>
      </w:r>
    </w:p>
    <w:p w14:paraId="2B1E88F5" w14:textId="7B91FC0A" w:rsidR="0063624F" w:rsidRDefault="0063624F" w:rsidP="0063624F">
      <w:pPr>
        <w:pStyle w:val="JUDGMENTCONTINUED"/>
        <w:sectPr w:rsidR="0063624F" w:rsidSect="00BA74EF">
          <w:headerReference w:type="default" r:id="rId22"/>
          <w:headerReference w:type="first" r:id="rId23"/>
          <w:type w:val="continuous"/>
          <w:pgSz w:w="11907" w:h="16839" w:code="9"/>
          <w:pgMar w:top="1440" w:right="1440" w:bottom="1440" w:left="1440" w:header="708" w:footer="708" w:gutter="0"/>
          <w:pgNumType w:start="4"/>
          <w:cols w:space="708"/>
          <w:titlePg/>
          <w:docGrid w:linePitch="360"/>
        </w:sectPr>
      </w:pPr>
    </w:p>
    <w:p w14:paraId="458048EF" w14:textId="638D6DE7" w:rsidR="003C3CDD" w:rsidRDefault="00811729" w:rsidP="00811729">
      <w:pPr>
        <w:pStyle w:val="JUDGMENTNUMBERED"/>
        <w:numPr>
          <w:ilvl w:val="0"/>
          <w:numId w:val="0"/>
        </w:numPr>
        <w:ind w:left="1276" w:hanging="567"/>
      </w:pPr>
      <w:r>
        <w:rPr>
          <w:color w:val="000000"/>
        </w:rPr>
        <w:lastRenderedPageBreak/>
        <w:t>5.</w:t>
      </w:r>
      <w:r>
        <w:rPr>
          <w:color w:val="000000"/>
        </w:rPr>
        <w:tab/>
      </w:r>
      <w:r w:rsidR="003C3CDD" w:rsidRPr="00ED3EA9">
        <w:t xml:space="preserve">Condonation is </w:t>
      </w:r>
      <w:r w:rsidR="003C3CDD">
        <w:t xml:space="preserve">granted for the late filing of the </w:t>
      </w:r>
      <w:r w:rsidR="006144AD">
        <w:t>application for leave to appeal</w:t>
      </w:r>
      <w:r w:rsidR="0056358A">
        <w:t>.</w:t>
      </w:r>
    </w:p>
    <w:p w14:paraId="657AD97B" w14:textId="1CE3A068" w:rsidR="003C3CDD" w:rsidRPr="00ED3EA9" w:rsidRDefault="00811729" w:rsidP="00811729">
      <w:pPr>
        <w:pStyle w:val="JUDGMENTNUMBERED"/>
        <w:numPr>
          <w:ilvl w:val="0"/>
          <w:numId w:val="0"/>
        </w:numPr>
        <w:ind w:left="1276" w:hanging="567"/>
      </w:pPr>
      <w:r w:rsidRPr="00ED3EA9">
        <w:rPr>
          <w:color w:val="000000"/>
        </w:rPr>
        <w:t>6.</w:t>
      </w:r>
      <w:r w:rsidRPr="00ED3EA9">
        <w:rPr>
          <w:color w:val="000000"/>
        </w:rPr>
        <w:tab/>
      </w:r>
      <w:r w:rsidR="003C3CDD" w:rsidRPr="00ED3EA9">
        <w:t xml:space="preserve">Condonation is </w:t>
      </w:r>
      <w:r w:rsidR="003C3CDD">
        <w:t>granted for the late filing of the applicant’s written submissions.</w:t>
      </w:r>
    </w:p>
    <w:p w14:paraId="34F629A9" w14:textId="5D8A4771" w:rsidR="003C3CDD" w:rsidRDefault="00811729" w:rsidP="00811729">
      <w:pPr>
        <w:pStyle w:val="JUDGMENTNUMBERED"/>
        <w:numPr>
          <w:ilvl w:val="0"/>
          <w:numId w:val="0"/>
        </w:numPr>
        <w:ind w:left="1276" w:hanging="567"/>
      </w:pPr>
      <w:r>
        <w:rPr>
          <w:color w:val="000000"/>
        </w:rPr>
        <w:t>7.</w:t>
      </w:r>
      <w:r>
        <w:rPr>
          <w:color w:val="000000"/>
        </w:rPr>
        <w:tab/>
      </w:r>
      <w:r w:rsidR="003C3CDD" w:rsidRPr="00ED3EA9">
        <w:t xml:space="preserve">Condonation is </w:t>
      </w:r>
      <w:r w:rsidR="003C3CDD">
        <w:t>granted for the late filing of the third and fourth respondents’ written submissions.</w:t>
      </w:r>
    </w:p>
    <w:p w14:paraId="62A91A66" w14:textId="15399809" w:rsidR="003C3CDD" w:rsidRDefault="00811729" w:rsidP="00811729">
      <w:pPr>
        <w:pStyle w:val="JUDGMENTNUMBERED"/>
        <w:numPr>
          <w:ilvl w:val="0"/>
          <w:numId w:val="0"/>
        </w:numPr>
        <w:ind w:left="1276" w:hanging="567"/>
      </w:pPr>
      <w:r>
        <w:rPr>
          <w:color w:val="000000"/>
        </w:rPr>
        <w:t>8.</w:t>
      </w:r>
      <w:r>
        <w:rPr>
          <w:color w:val="000000"/>
        </w:rPr>
        <w:tab/>
      </w:r>
      <w:r w:rsidR="003C3CDD" w:rsidRPr="00ED3EA9">
        <w:t xml:space="preserve">Condonation is granted for the late </w:t>
      </w:r>
      <w:r w:rsidR="003C3CDD">
        <w:t xml:space="preserve">filing </w:t>
      </w:r>
      <w:r w:rsidR="003C3CDD" w:rsidRPr="00ED3EA9">
        <w:t>of</w:t>
      </w:r>
      <w:r w:rsidR="003C3CDD">
        <w:t xml:space="preserve"> R2K</w:t>
      </w:r>
      <w:r w:rsidR="003C3CDD" w:rsidRPr="00ED3EA9">
        <w:t>’s written submissions.</w:t>
      </w:r>
    </w:p>
    <w:p w14:paraId="0C66AB60" w14:textId="03D4C942" w:rsidR="003C3CDD" w:rsidRDefault="00811729" w:rsidP="00811729">
      <w:pPr>
        <w:pStyle w:val="JUDGMENTNUMBERED"/>
        <w:numPr>
          <w:ilvl w:val="0"/>
          <w:numId w:val="0"/>
        </w:numPr>
        <w:ind w:left="1276" w:hanging="567"/>
      </w:pPr>
      <w:r>
        <w:rPr>
          <w:color w:val="000000"/>
        </w:rPr>
        <w:t>9.</w:t>
      </w:r>
      <w:r>
        <w:rPr>
          <w:color w:val="000000"/>
        </w:rPr>
        <w:tab/>
      </w:r>
      <w:r w:rsidR="003C3CDD">
        <w:t>The applications for the admission of the further supplementary affidavits of Mr Mort are granted.</w:t>
      </w:r>
    </w:p>
    <w:p w14:paraId="59C94010" w14:textId="0961B120" w:rsidR="001A05FB" w:rsidRPr="001A05FB" w:rsidRDefault="00811729" w:rsidP="00811729">
      <w:pPr>
        <w:spacing w:line="360" w:lineRule="auto"/>
        <w:ind w:left="1276" w:hanging="567"/>
      </w:pPr>
      <w:r w:rsidRPr="001A05FB">
        <w:rPr>
          <w:color w:val="000000"/>
        </w:rPr>
        <w:t>10.</w:t>
      </w:r>
      <w:r w:rsidRPr="001A05FB">
        <w:rPr>
          <w:color w:val="000000"/>
        </w:rPr>
        <w:tab/>
      </w:r>
      <w:r w:rsidR="001A05FB">
        <w:t>The application</w:t>
      </w:r>
      <w:r w:rsidR="00A72EA0">
        <w:t>s</w:t>
      </w:r>
      <w:r w:rsidR="001A05FB">
        <w:t xml:space="preserve"> by the applicant for leave to file an order and papers in related High Court proceedings </w:t>
      </w:r>
      <w:r w:rsidR="00A72EA0">
        <w:t>are</w:t>
      </w:r>
      <w:r w:rsidR="001A05FB">
        <w:t xml:space="preserve"> dismissed.</w:t>
      </w:r>
    </w:p>
    <w:p w14:paraId="296EC3F1" w14:textId="679986E8" w:rsidR="001C5479" w:rsidRDefault="00811729" w:rsidP="00811729">
      <w:pPr>
        <w:pStyle w:val="JUDGMENTNUMBERED"/>
        <w:numPr>
          <w:ilvl w:val="0"/>
          <w:numId w:val="0"/>
        </w:numPr>
        <w:ind w:left="1276" w:hanging="567"/>
      </w:pPr>
      <w:r>
        <w:rPr>
          <w:color w:val="000000"/>
        </w:rPr>
        <w:t>11.</w:t>
      </w:r>
      <w:r>
        <w:rPr>
          <w:color w:val="000000"/>
        </w:rPr>
        <w:tab/>
      </w:r>
      <w:r w:rsidR="003C3CDD">
        <w:t>The cost</w:t>
      </w:r>
      <w:r w:rsidR="00960C9C">
        <w:t>s</w:t>
      </w:r>
      <w:r w:rsidR="003C3CDD">
        <w:t xml:space="preserve"> orders of </w:t>
      </w:r>
      <w:r w:rsidR="00506F74" w:rsidRPr="00167113">
        <w:t xml:space="preserve">the </w:t>
      </w:r>
      <w:r w:rsidR="00506F74">
        <w:t xml:space="preserve">High Court of South Africa, </w:t>
      </w:r>
      <w:r w:rsidR="00506F74" w:rsidRPr="00167113">
        <w:t>Gauteng Division</w:t>
      </w:r>
      <w:r w:rsidR="00506F74">
        <w:t>, Pretoria</w:t>
      </w:r>
      <w:r w:rsidR="00506F74" w:rsidRPr="00167113">
        <w:t xml:space="preserve"> </w:t>
      </w:r>
      <w:r w:rsidR="003C3CDD">
        <w:t>and the Supreme</w:t>
      </w:r>
      <w:r w:rsidR="00160EE9">
        <w:t xml:space="preserve"> Court of Appeal are set aside and replaced with no order as to costs.</w:t>
      </w:r>
    </w:p>
    <w:p w14:paraId="71836515" w14:textId="03E0F166" w:rsidR="006144AD" w:rsidRDefault="00811729" w:rsidP="00811729">
      <w:pPr>
        <w:pStyle w:val="JUDGMENTNUMBERED"/>
        <w:numPr>
          <w:ilvl w:val="0"/>
          <w:numId w:val="0"/>
        </w:numPr>
        <w:ind w:left="1276" w:hanging="567"/>
      </w:pPr>
      <w:r>
        <w:rPr>
          <w:color w:val="000000"/>
        </w:rPr>
        <w:t>12.</w:t>
      </w:r>
      <w:r>
        <w:rPr>
          <w:color w:val="000000"/>
        </w:rPr>
        <w:tab/>
      </w:r>
      <w:r w:rsidR="001C5479">
        <w:t>There is no order as to costs.</w:t>
      </w:r>
    </w:p>
    <w:p w14:paraId="58C9D0C3" w14:textId="77777777" w:rsidR="006144AD" w:rsidRPr="006144AD" w:rsidRDefault="006144AD" w:rsidP="006144AD">
      <w:pPr>
        <w:pStyle w:val="JUDGMENTCONTINUED"/>
        <w:sectPr w:rsidR="006144AD" w:rsidRPr="006144AD" w:rsidSect="000F7521">
          <w:headerReference w:type="default" r:id="rId24"/>
          <w:headerReference w:type="first" r:id="rId25"/>
          <w:type w:val="continuous"/>
          <w:pgSz w:w="11907" w:h="16839" w:code="9"/>
          <w:pgMar w:top="1440" w:right="1440" w:bottom="1440" w:left="1440" w:header="708" w:footer="708" w:gutter="0"/>
          <w:cols w:space="708"/>
          <w:titlePg/>
          <w:docGrid w:linePitch="360"/>
        </w:sectPr>
      </w:pPr>
    </w:p>
    <w:p w14:paraId="72F534BF" w14:textId="125211D9" w:rsidR="001C5479" w:rsidRDefault="001C5479" w:rsidP="00FF3780">
      <w:pPr>
        <w:pStyle w:val="JUDGMENTNUMBERED"/>
        <w:numPr>
          <w:ilvl w:val="0"/>
          <w:numId w:val="0"/>
        </w:numPr>
        <w:spacing w:line="240" w:lineRule="auto"/>
        <w:ind w:left="360" w:hanging="360"/>
      </w:pPr>
    </w:p>
    <w:p w14:paraId="0F7F45DD" w14:textId="77777777" w:rsidR="002B701A" w:rsidRDefault="002B701A" w:rsidP="00FF3780">
      <w:pPr>
        <w:pStyle w:val="JUDGMENTCONTINUED"/>
        <w:spacing w:line="240" w:lineRule="auto"/>
      </w:pPr>
    </w:p>
    <w:p w14:paraId="20A7EBD4" w14:textId="77777777" w:rsidR="002B701A" w:rsidRPr="00A50AC1" w:rsidRDefault="002B701A" w:rsidP="00FF3780">
      <w:pPr>
        <w:pStyle w:val="JUDGMENTNUMBERED"/>
        <w:numPr>
          <w:ilvl w:val="0"/>
          <w:numId w:val="0"/>
        </w:numPr>
        <w:spacing w:line="240" w:lineRule="auto"/>
        <w:ind w:left="360" w:hanging="360"/>
      </w:pPr>
    </w:p>
    <w:p w14:paraId="7E46ECB0" w14:textId="0A7B95CA" w:rsidR="006144AD" w:rsidRPr="006144AD" w:rsidRDefault="006144AD" w:rsidP="006144AD">
      <w:pPr>
        <w:tabs>
          <w:tab w:val="left" w:pos="680"/>
        </w:tabs>
        <w:spacing w:line="276" w:lineRule="auto"/>
        <w:rPr>
          <w:rFonts w:eastAsia="Calibri"/>
        </w:rPr>
      </w:pPr>
      <w:r w:rsidRPr="006144AD">
        <w:rPr>
          <w:rFonts w:eastAsia="Calibri"/>
        </w:rPr>
        <w:t>FRONEMAN J (</w:t>
      </w:r>
      <w:proofErr w:type="spellStart"/>
      <w:r w:rsidR="00A834ED">
        <w:rPr>
          <w:rFonts w:eastAsia="Calibri"/>
        </w:rPr>
        <w:t>Dlodlo</w:t>
      </w:r>
      <w:proofErr w:type="spellEnd"/>
      <w:r w:rsidR="00A834ED">
        <w:rPr>
          <w:rFonts w:eastAsia="Calibri"/>
        </w:rPr>
        <w:t xml:space="preserve"> AJ and </w:t>
      </w:r>
      <w:proofErr w:type="spellStart"/>
      <w:r w:rsidR="00A834ED">
        <w:rPr>
          <w:rFonts w:eastAsia="Calibri"/>
        </w:rPr>
        <w:t>Madlanga</w:t>
      </w:r>
      <w:proofErr w:type="spellEnd"/>
      <w:r w:rsidR="00A834ED">
        <w:rPr>
          <w:rFonts w:eastAsia="Calibri"/>
        </w:rPr>
        <w:t xml:space="preserve"> J</w:t>
      </w:r>
      <w:r w:rsidRPr="006144AD">
        <w:rPr>
          <w:rFonts w:eastAsia="Calibri"/>
        </w:rPr>
        <w:t xml:space="preserve"> concurring):</w:t>
      </w:r>
    </w:p>
    <w:p w14:paraId="01F323B6" w14:textId="77777777" w:rsidR="006144AD" w:rsidRPr="006144AD" w:rsidRDefault="006144AD" w:rsidP="00FF3780">
      <w:pPr>
        <w:tabs>
          <w:tab w:val="left" w:pos="680"/>
        </w:tabs>
        <w:spacing w:line="240" w:lineRule="auto"/>
        <w:rPr>
          <w:rFonts w:eastAsia="Calibri"/>
        </w:rPr>
      </w:pPr>
    </w:p>
    <w:p w14:paraId="67ADB5B0" w14:textId="77777777" w:rsidR="006144AD" w:rsidRPr="006144AD" w:rsidRDefault="006144AD" w:rsidP="00FF3780">
      <w:pPr>
        <w:tabs>
          <w:tab w:val="left" w:pos="680"/>
        </w:tabs>
        <w:spacing w:line="240" w:lineRule="auto"/>
        <w:rPr>
          <w:rFonts w:eastAsia="Calibri"/>
        </w:rPr>
      </w:pPr>
    </w:p>
    <w:p w14:paraId="0E20001A" w14:textId="77777777" w:rsidR="006144AD" w:rsidRPr="006144AD" w:rsidRDefault="006144AD" w:rsidP="006144AD">
      <w:pPr>
        <w:keepNext/>
        <w:spacing w:after="120" w:line="360" w:lineRule="auto"/>
        <w:rPr>
          <w:rFonts w:eastAsia="Calibri"/>
          <w:i/>
        </w:rPr>
      </w:pPr>
      <w:r w:rsidRPr="006144AD">
        <w:rPr>
          <w:rFonts w:eastAsia="Calibri"/>
          <w:i/>
        </w:rPr>
        <w:t>Introduction</w:t>
      </w:r>
    </w:p>
    <w:p w14:paraId="7CB0A3C8" w14:textId="533DC5FA" w:rsidR="006144AD" w:rsidRPr="006144AD" w:rsidRDefault="00811729" w:rsidP="00811729">
      <w:pPr>
        <w:spacing w:line="360" w:lineRule="auto"/>
        <w:rPr>
          <w:rFonts w:eastAsia="Times New Roman"/>
          <w:lang w:val="en-US"/>
        </w:rPr>
      </w:pPr>
      <w:r w:rsidRPr="006144AD">
        <w:rPr>
          <w:rFonts w:eastAsia="Times New Roman"/>
          <w:color w:val="000000"/>
          <w:lang w:val="en-US"/>
        </w:rPr>
        <w:t>[62]</w:t>
      </w:r>
      <w:r w:rsidRPr="006144AD">
        <w:rPr>
          <w:rFonts w:eastAsia="Times New Roman"/>
          <w:color w:val="000000"/>
          <w:lang w:val="en-US"/>
        </w:rPr>
        <w:tab/>
      </w:r>
      <w:r w:rsidR="006144AD" w:rsidRPr="006144AD">
        <w:rPr>
          <w:rFonts w:eastAsia="Calibri"/>
        </w:rPr>
        <w:t xml:space="preserve">Do state organs and public functionaries have a duty to investigate their own potentially unlawful conduct?  And if they do, when is the duty triggered?  What is the nature and extent of the investigation required?  The answer arrived at in this judgment is that </w:t>
      </w:r>
      <w:r w:rsidR="006144AD" w:rsidRPr="006144AD">
        <w:rPr>
          <w:rFonts w:eastAsia="Times New Roman"/>
          <w:lang w:val="en-US"/>
        </w:rPr>
        <w:t>whenever the attention of responsible functionaries is drawn to a potential irregularity they have a duty to launch a proportionate investigation into that potential irregularity.  What is proportionate in any given case will depend on the seriousness of the potential irregularity and the basis upon which the allegation of impropriety is founded.</w:t>
      </w:r>
    </w:p>
    <w:p w14:paraId="1F8834A8" w14:textId="77777777" w:rsidR="006144AD" w:rsidRPr="006144AD" w:rsidRDefault="006144AD" w:rsidP="006144AD">
      <w:pPr>
        <w:spacing w:line="360" w:lineRule="auto"/>
        <w:rPr>
          <w:rFonts w:eastAsia="Calibri"/>
          <w:lang w:val="en-US"/>
        </w:rPr>
      </w:pPr>
    </w:p>
    <w:p w14:paraId="4758D464" w14:textId="37B26E49" w:rsidR="006144AD" w:rsidRPr="00FF3780" w:rsidRDefault="00811729" w:rsidP="00811729">
      <w:pPr>
        <w:spacing w:line="360" w:lineRule="auto"/>
        <w:rPr>
          <w:rFonts w:eastAsia="Calibri"/>
          <w:lang w:val="en-US"/>
        </w:rPr>
      </w:pPr>
      <w:r w:rsidRPr="00FF3780">
        <w:rPr>
          <w:rFonts w:eastAsia="Calibri"/>
          <w:color w:val="000000"/>
          <w:lang w:val="en-US"/>
        </w:rPr>
        <w:t>[63]</w:t>
      </w:r>
      <w:r w:rsidRPr="00FF3780">
        <w:rPr>
          <w:rFonts w:eastAsia="Calibri"/>
          <w:color w:val="000000"/>
          <w:lang w:val="en-US"/>
        </w:rPr>
        <w:tab/>
      </w:r>
      <w:r w:rsidR="006144AD" w:rsidRPr="00FF3780">
        <w:rPr>
          <w:rFonts w:eastAsia="Calibri"/>
        </w:rPr>
        <w:t>Accountability, responsiveness and openness are fundamental to our attempt at a constitutional democratic government.  That fundamental constitutional concern is what underlies the reasoning in this judgment and explains why I part ways with the</w:t>
      </w:r>
      <w:r w:rsidR="00FF3780">
        <w:rPr>
          <w:rFonts w:eastAsia="Calibri"/>
        </w:rPr>
        <w:t xml:space="preserve"> </w:t>
      </w:r>
      <w:r w:rsidR="006144AD" w:rsidRPr="00FF3780">
        <w:rPr>
          <w:rFonts w:eastAsia="Calibri"/>
        </w:rPr>
        <w:t xml:space="preserve">judgment of </w:t>
      </w:r>
      <w:proofErr w:type="spellStart"/>
      <w:r w:rsidR="006144AD" w:rsidRPr="00FF3780">
        <w:rPr>
          <w:rFonts w:eastAsia="Calibri"/>
        </w:rPr>
        <w:t>Khampepe</w:t>
      </w:r>
      <w:proofErr w:type="spellEnd"/>
      <w:r w:rsidR="006144AD" w:rsidRPr="00FF3780">
        <w:rPr>
          <w:rFonts w:eastAsia="Calibri"/>
        </w:rPr>
        <w:t xml:space="preserve"> J (first judgment).  The first respondent, the FSCA, is a public functionary and is bound to uphold the constitutional standards of accountability, responsiveness and openness in its own conduct.  It has failed to do that.</w:t>
      </w:r>
    </w:p>
    <w:p w14:paraId="35D8E57B" w14:textId="77777777" w:rsidR="006144AD" w:rsidRPr="006144AD" w:rsidRDefault="006144AD" w:rsidP="006144AD">
      <w:pPr>
        <w:spacing w:line="360" w:lineRule="auto"/>
        <w:rPr>
          <w:rFonts w:eastAsia="Calibri"/>
          <w:lang w:val="en-US"/>
        </w:rPr>
      </w:pPr>
    </w:p>
    <w:p w14:paraId="5CE881C3" w14:textId="0FF4A6DF" w:rsidR="006144AD" w:rsidRPr="006144AD" w:rsidRDefault="00811729" w:rsidP="00811729">
      <w:pPr>
        <w:spacing w:line="360" w:lineRule="auto"/>
        <w:rPr>
          <w:rFonts w:eastAsia="Calibri"/>
          <w:lang w:val="en-US"/>
        </w:rPr>
      </w:pPr>
      <w:r w:rsidRPr="006144AD">
        <w:rPr>
          <w:rFonts w:eastAsia="Calibri"/>
          <w:color w:val="000000"/>
          <w:lang w:val="en-US"/>
        </w:rPr>
        <w:t>[64]</w:t>
      </w:r>
      <w:r w:rsidRPr="006144AD">
        <w:rPr>
          <w:rFonts w:eastAsia="Calibri"/>
          <w:color w:val="000000"/>
          <w:lang w:val="en-US"/>
        </w:rPr>
        <w:tab/>
      </w:r>
      <w:r w:rsidR="006144AD" w:rsidRPr="006144AD">
        <w:rPr>
          <w:rFonts w:eastAsia="Calibri"/>
          <w:lang w:val="en-US"/>
        </w:rPr>
        <w:t>I agree that leave to appeal must be granted.  On the facts, I conclude that the FSCA has not fulfilled its investigative duty in relation to the cancellation</w:t>
      </w:r>
      <w:r w:rsidR="000856D4">
        <w:rPr>
          <w:rFonts w:eastAsia="Calibri"/>
          <w:lang w:val="en-US"/>
        </w:rPr>
        <w:t>s</w:t>
      </w:r>
      <w:r w:rsidR="006144AD" w:rsidRPr="006144AD">
        <w:rPr>
          <w:rFonts w:eastAsia="Calibri"/>
          <w:lang w:val="en-US"/>
        </w:rPr>
        <w:t xml:space="preserve"> project, and that the appeal should succeed to that extent.</w:t>
      </w:r>
    </w:p>
    <w:p w14:paraId="5EC70D20" w14:textId="77777777" w:rsidR="006144AD" w:rsidRPr="006144AD" w:rsidRDefault="006144AD" w:rsidP="006144AD">
      <w:pPr>
        <w:spacing w:line="360" w:lineRule="auto"/>
        <w:rPr>
          <w:rFonts w:eastAsia="Calibri"/>
          <w:lang w:val="en-US"/>
        </w:rPr>
      </w:pPr>
    </w:p>
    <w:p w14:paraId="154F6510" w14:textId="3AC76EDB" w:rsidR="006144AD" w:rsidRPr="006144AD" w:rsidRDefault="00811729" w:rsidP="00811729">
      <w:pPr>
        <w:spacing w:line="360" w:lineRule="auto"/>
        <w:rPr>
          <w:rFonts w:eastAsia="Calibri"/>
          <w:lang w:val="en-US"/>
        </w:rPr>
      </w:pPr>
      <w:r w:rsidRPr="006144AD">
        <w:rPr>
          <w:rFonts w:eastAsia="Calibri"/>
          <w:color w:val="000000"/>
          <w:lang w:val="en-US"/>
        </w:rPr>
        <w:t>[65]</w:t>
      </w:r>
      <w:r w:rsidRPr="006144AD">
        <w:rPr>
          <w:rFonts w:eastAsia="Calibri"/>
          <w:color w:val="000000"/>
          <w:lang w:val="en-US"/>
        </w:rPr>
        <w:tab/>
      </w:r>
      <w:r w:rsidR="006144AD" w:rsidRPr="006144AD">
        <w:rPr>
          <w:rFonts w:eastAsia="Calibri"/>
          <w:lang w:val="en-US"/>
        </w:rPr>
        <w:t>It is necessary to deal briefly with the undisputed facts.</w:t>
      </w:r>
    </w:p>
    <w:p w14:paraId="21E4C186" w14:textId="77777777" w:rsidR="006144AD" w:rsidRPr="006144AD" w:rsidRDefault="006144AD" w:rsidP="006144AD">
      <w:pPr>
        <w:spacing w:line="360" w:lineRule="auto"/>
        <w:rPr>
          <w:rFonts w:eastAsia="Calibri"/>
        </w:rPr>
      </w:pPr>
    </w:p>
    <w:p w14:paraId="5FE0F9AF" w14:textId="77777777" w:rsidR="006144AD" w:rsidRPr="006144AD" w:rsidRDefault="006144AD" w:rsidP="00B347AF">
      <w:pPr>
        <w:pStyle w:val="HEADING"/>
        <w:rPr>
          <w:rFonts w:eastAsia="Calibri"/>
        </w:rPr>
      </w:pPr>
      <w:r w:rsidRPr="006144AD">
        <w:rPr>
          <w:rFonts w:eastAsia="Calibri"/>
        </w:rPr>
        <w:t>Facts</w:t>
      </w:r>
    </w:p>
    <w:p w14:paraId="54D79DC4" w14:textId="348A5ABA" w:rsidR="006144AD" w:rsidRPr="006144AD" w:rsidRDefault="00811729" w:rsidP="00811729">
      <w:pPr>
        <w:spacing w:line="360" w:lineRule="auto"/>
        <w:rPr>
          <w:rFonts w:eastAsia="Calibri"/>
        </w:rPr>
      </w:pPr>
      <w:r w:rsidRPr="006144AD">
        <w:rPr>
          <w:rFonts w:eastAsia="Calibri"/>
          <w:color w:val="000000"/>
        </w:rPr>
        <w:t>[66]</w:t>
      </w:r>
      <w:r w:rsidRPr="006144AD">
        <w:rPr>
          <w:rFonts w:eastAsia="Calibri"/>
          <w:color w:val="000000"/>
        </w:rPr>
        <w:tab/>
      </w:r>
      <w:r w:rsidR="006144AD" w:rsidRPr="006144AD">
        <w:rPr>
          <w:rFonts w:eastAsia="Calibri"/>
        </w:rPr>
        <w:t>For present purposes, only the essentials need to be repeated.</w:t>
      </w:r>
    </w:p>
    <w:p w14:paraId="6ECC5752" w14:textId="77777777" w:rsidR="006144AD" w:rsidRPr="006144AD" w:rsidRDefault="006144AD" w:rsidP="006144AD">
      <w:pPr>
        <w:spacing w:line="360" w:lineRule="auto"/>
        <w:rPr>
          <w:rFonts w:eastAsia="Calibri"/>
        </w:rPr>
      </w:pPr>
    </w:p>
    <w:p w14:paraId="303ECCF1" w14:textId="684830F0" w:rsidR="006144AD" w:rsidRPr="006144AD" w:rsidRDefault="00811729" w:rsidP="00811729">
      <w:pPr>
        <w:spacing w:line="360" w:lineRule="auto"/>
        <w:rPr>
          <w:rFonts w:eastAsia="Calibri"/>
        </w:rPr>
      </w:pPr>
      <w:r w:rsidRPr="006144AD">
        <w:rPr>
          <w:rFonts w:eastAsia="Calibri"/>
          <w:color w:val="000000"/>
        </w:rPr>
        <w:lastRenderedPageBreak/>
        <w:t>[67]</w:t>
      </w:r>
      <w:r w:rsidRPr="006144AD">
        <w:rPr>
          <w:rFonts w:eastAsia="Calibri"/>
          <w:color w:val="000000"/>
        </w:rPr>
        <w:tab/>
      </w:r>
      <w:r w:rsidR="006144AD" w:rsidRPr="006144AD">
        <w:rPr>
          <w:rFonts w:eastAsia="Calibri"/>
        </w:rPr>
        <w:t xml:space="preserve">The change from single employer to umbrella funds occasioned the large-scale cancellation of so-called </w:t>
      </w:r>
      <w:r w:rsidR="00A1396A">
        <w:rPr>
          <w:rFonts w:eastAsia="Calibri"/>
        </w:rPr>
        <w:t>“</w:t>
      </w:r>
      <w:r w:rsidR="006144AD" w:rsidRPr="006144AD">
        <w:rPr>
          <w:rFonts w:eastAsia="Calibri"/>
        </w:rPr>
        <w:t>orphan funds</w:t>
      </w:r>
      <w:r w:rsidR="00A1396A">
        <w:rPr>
          <w:rFonts w:eastAsia="Calibri"/>
        </w:rPr>
        <w:t>”</w:t>
      </w:r>
      <w:r w:rsidR="006144AD" w:rsidRPr="006144AD">
        <w:rPr>
          <w:rFonts w:eastAsia="Calibri"/>
        </w:rPr>
        <w:t xml:space="preserve"> by the registrar under the PFA.  During the period from January 2007 to September 2013 the registrations of approximately 6757 funds were cancelled.  Soon after her appointment as deputy registrar of pension funds, Ms Hunter questioned the cancellation process.  Her complaints called into question 4651 of the cancellations and gave rise to the </w:t>
      </w:r>
      <w:proofErr w:type="spellStart"/>
      <w:r w:rsidR="006144AD" w:rsidRPr="006144AD">
        <w:rPr>
          <w:rFonts w:eastAsia="Calibri"/>
        </w:rPr>
        <w:t>O’Regan</w:t>
      </w:r>
      <w:proofErr w:type="spellEnd"/>
      <w:r w:rsidR="006144AD" w:rsidRPr="006144AD">
        <w:rPr>
          <w:rFonts w:eastAsia="Calibri"/>
        </w:rPr>
        <w:t xml:space="preserve"> report, the KPMG report and the various Mort reports.</w:t>
      </w:r>
      <w:r w:rsidR="006144AD" w:rsidRPr="006144AD">
        <w:rPr>
          <w:rFonts w:eastAsia="Calibri"/>
          <w:vertAlign w:val="superscript"/>
        </w:rPr>
        <w:footnoteReference w:id="27"/>
      </w:r>
      <w:r w:rsidR="006144AD" w:rsidRPr="006144AD">
        <w:rPr>
          <w:rFonts w:eastAsia="Calibri"/>
        </w:rPr>
        <w:t xml:space="preserve">  A sample of 510 of the 4651 funds was investigated.</w:t>
      </w:r>
      <w:r w:rsidR="006144AD" w:rsidRPr="006144AD">
        <w:rPr>
          <w:rFonts w:eastAsia="Calibri"/>
          <w:vertAlign w:val="superscript"/>
        </w:rPr>
        <w:footnoteReference w:id="28"/>
      </w:r>
    </w:p>
    <w:p w14:paraId="7448FF75" w14:textId="77777777" w:rsidR="006144AD" w:rsidRPr="006144AD" w:rsidRDefault="006144AD" w:rsidP="006144AD">
      <w:pPr>
        <w:spacing w:line="360" w:lineRule="auto"/>
        <w:rPr>
          <w:rFonts w:eastAsia="Calibri"/>
        </w:rPr>
      </w:pPr>
    </w:p>
    <w:p w14:paraId="2F7D1767" w14:textId="77777777" w:rsidR="006144AD" w:rsidRPr="006144AD" w:rsidRDefault="006144AD" w:rsidP="00B347AF">
      <w:pPr>
        <w:pStyle w:val="HEADING"/>
        <w:rPr>
          <w:rFonts w:eastAsia="Calibri"/>
        </w:rPr>
      </w:pPr>
      <w:r w:rsidRPr="006144AD">
        <w:rPr>
          <w:rFonts w:eastAsia="Calibri"/>
        </w:rPr>
        <w:t>Standing</w:t>
      </w:r>
    </w:p>
    <w:p w14:paraId="6CF79378" w14:textId="620155DF" w:rsidR="006144AD" w:rsidRPr="006144AD" w:rsidRDefault="00811729" w:rsidP="00811729">
      <w:pPr>
        <w:spacing w:line="360" w:lineRule="auto"/>
        <w:rPr>
          <w:rFonts w:eastAsia="Calibri"/>
        </w:rPr>
      </w:pPr>
      <w:r w:rsidRPr="006144AD">
        <w:rPr>
          <w:rFonts w:eastAsia="Calibri"/>
          <w:color w:val="000000"/>
        </w:rPr>
        <w:t>[68]</w:t>
      </w:r>
      <w:r w:rsidRPr="006144AD">
        <w:rPr>
          <w:rFonts w:eastAsia="Calibri"/>
          <w:color w:val="000000"/>
        </w:rPr>
        <w:tab/>
      </w:r>
      <w:r w:rsidR="006144AD" w:rsidRPr="006144AD">
        <w:rPr>
          <w:rFonts w:eastAsia="Calibri"/>
        </w:rPr>
        <w:t>I agree with the first judgment that Ms Hunter had standing to bring the application. It is important, however, to be clear about the nature of her application.  The case does not involve an infringement of any individual fundamental right of the applicant.  What she seeks, in the public interest, is to compel the FSCA to fulfil its constitutional duty to supervise and enforce the laws that protect the interests of pension beneficiaries and pension funds.  Central to her case is the existence of a duty on the part of FSCA to investigate potentially unlawful state action committed under its remit.</w:t>
      </w:r>
    </w:p>
    <w:p w14:paraId="70E1669D" w14:textId="77777777" w:rsidR="006144AD" w:rsidRPr="006144AD" w:rsidRDefault="006144AD" w:rsidP="006144AD">
      <w:pPr>
        <w:spacing w:line="360" w:lineRule="auto"/>
        <w:rPr>
          <w:rFonts w:eastAsia="Calibri"/>
        </w:rPr>
      </w:pPr>
    </w:p>
    <w:p w14:paraId="122A9730" w14:textId="77777777" w:rsidR="006144AD" w:rsidRPr="006144AD" w:rsidRDefault="006144AD" w:rsidP="00B347AF">
      <w:pPr>
        <w:pStyle w:val="HEADING"/>
        <w:rPr>
          <w:rFonts w:eastAsia="Calibri"/>
        </w:rPr>
      </w:pPr>
      <w:r w:rsidRPr="006144AD">
        <w:rPr>
          <w:rFonts w:eastAsia="Calibri"/>
        </w:rPr>
        <w:t>Further application</w:t>
      </w:r>
    </w:p>
    <w:p w14:paraId="06F6D38C" w14:textId="5F307B91" w:rsidR="006144AD" w:rsidRPr="006144AD" w:rsidRDefault="00811729" w:rsidP="00811729">
      <w:pPr>
        <w:spacing w:line="360" w:lineRule="auto"/>
        <w:rPr>
          <w:rFonts w:eastAsia="Calibri"/>
        </w:rPr>
      </w:pPr>
      <w:r w:rsidRPr="006144AD">
        <w:rPr>
          <w:rFonts w:eastAsia="Calibri"/>
          <w:color w:val="000000"/>
        </w:rPr>
        <w:t>[69]</w:t>
      </w:r>
      <w:r w:rsidRPr="006144AD">
        <w:rPr>
          <w:rFonts w:eastAsia="Calibri"/>
          <w:color w:val="000000"/>
        </w:rPr>
        <w:tab/>
      </w:r>
      <w:r w:rsidR="006144AD" w:rsidRPr="006144AD">
        <w:rPr>
          <w:rFonts w:eastAsia="Calibri"/>
        </w:rPr>
        <w:t>I also agree with the first judgment that it is not in the interests of justice to admit the additional papers submitted to this Court after the hearing had concluded.  The Court was aware that other proceedings were ongoing and I take notice of their outcome.  The contents of the affidavits and any other material in Ms Hunter’s additional papers that were not already in the public domain do not take the present matter any further.</w:t>
      </w:r>
    </w:p>
    <w:p w14:paraId="461E63CC" w14:textId="77777777" w:rsidR="006144AD" w:rsidRPr="006144AD" w:rsidRDefault="006144AD" w:rsidP="006144AD">
      <w:pPr>
        <w:spacing w:line="360" w:lineRule="auto"/>
        <w:rPr>
          <w:rFonts w:eastAsia="Calibri"/>
        </w:rPr>
      </w:pPr>
    </w:p>
    <w:p w14:paraId="16E75CF5" w14:textId="77777777" w:rsidR="006144AD" w:rsidRPr="006144AD" w:rsidRDefault="006144AD" w:rsidP="00B347AF">
      <w:pPr>
        <w:pStyle w:val="HEADING"/>
        <w:rPr>
          <w:rFonts w:eastAsia="Calibri"/>
        </w:rPr>
      </w:pPr>
      <w:r w:rsidRPr="006144AD">
        <w:rPr>
          <w:rFonts w:eastAsia="Calibri"/>
        </w:rPr>
        <w:lastRenderedPageBreak/>
        <w:t>Pleadings</w:t>
      </w:r>
    </w:p>
    <w:p w14:paraId="44E5E04C" w14:textId="0B308379" w:rsidR="006144AD" w:rsidRPr="006144AD" w:rsidRDefault="00811729" w:rsidP="00811729">
      <w:pPr>
        <w:spacing w:line="360" w:lineRule="auto"/>
        <w:rPr>
          <w:rFonts w:eastAsia="Calibri"/>
        </w:rPr>
      </w:pPr>
      <w:r w:rsidRPr="006144AD">
        <w:rPr>
          <w:rFonts w:eastAsia="Calibri"/>
          <w:color w:val="000000"/>
        </w:rPr>
        <w:t>[70]</w:t>
      </w:r>
      <w:r w:rsidRPr="006144AD">
        <w:rPr>
          <w:rFonts w:eastAsia="Calibri"/>
          <w:color w:val="000000"/>
        </w:rPr>
        <w:tab/>
      </w:r>
      <w:r w:rsidR="006144AD" w:rsidRPr="006144AD">
        <w:rPr>
          <w:rFonts w:eastAsia="Calibri"/>
        </w:rPr>
        <w:t xml:space="preserve">The third judgment by </w:t>
      </w:r>
      <w:proofErr w:type="spellStart"/>
      <w:r w:rsidR="006144AD" w:rsidRPr="006144AD">
        <w:rPr>
          <w:rFonts w:eastAsia="Calibri"/>
        </w:rPr>
        <w:t>Cachalia</w:t>
      </w:r>
      <w:proofErr w:type="spellEnd"/>
      <w:r w:rsidR="006144AD" w:rsidRPr="006144AD">
        <w:rPr>
          <w:rFonts w:eastAsia="Calibri"/>
        </w:rPr>
        <w:t xml:space="preserve"> AJ accepts the respondents’ submission that the alleged duty to investigate is an entirely new cause of action, not advanced in the High Court, and that Ms Hunter should not be heard by this Court.  I do not agree.  There may be some superficial traction in the argument, but the real question is about prejudice and justice, not formalistic rules.</w:t>
      </w:r>
      <w:bookmarkStart w:id="22" w:name="_Ref524445799"/>
      <w:r w:rsidR="006144AD" w:rsidRPr="006144AD">
        <w:rPr>
          <w:rFonts w:eastAsia="Calibri"/>
          <w:vertAlign w:val="superscript"/>
        </w:rPr>
        <w:footnoteReference w:id="29"/>
      </w:r>
      <w:bookmarkEnd w:id="22"/>
    </w:p>
    <w:p w14:paraId="41DA8D6A" w14:textId="77777777" w:rsidR="006144AD" w:rsidRPr="006144AD" w:rsidRDefault="006144AD" w:rsidP="006144AD">
      <w:pPr>
        <w:spacing w:line="360" w:lineRule="auto"/>
        <w:rPr>
          <w:rFonts w:eastAsia="Calibri"/>
        </w:rPr>
      </w:pPr>
    </w:p>
    <w:p w14:paraId="786FF21F" w14:textId="79DC1578" w:rsidR="006144AD" w:rsidRPr="006144AD" w:rsidRDefault="00811729" w:rsidP="00811729">
      <w:pPr>
        <w:spacing w:line="360" w:lineRule="auto"/>
        <w:rPr>
          <w:rFonts w:eastAsia="Calibri"/>
        </w:rPr>
      </w:pPr>
      <w:r w:rsidRPr="006144AD">
        <w:rPr>
          <w:rFonts w:eastAsia="Calibri"/>
          <w:color w:val="000000"/>
        </w:rPr>
        <w:t>[71]</w:t>
      </w:r>
      <w:r w:rsidRPr="006144AD">
        <w:rPr>
          <w:rFonts w:eastAsia="Calibri"/>
          <w:color w:val="000000"/>
        </w:rPr>
        <w:tab/>
      </w:r>
      <w:r w:rsidR="006144AD" w:rsidRPr="006144AD">
        <w:rPr>
          <w:rFonts w:eastAsia="Calibri"/>
        </w:rPr>
        <w:t>In application proceedings the parties must know the case that must be met and in respect of which they must adduce evidence in the affidavits.</w:t>
      </w:r>
      <w:bookmarkStart w:id="23" w:name="_Ref524682973"/>
      <w:r w:rsidR="006144AD" w:rsidRPr="006144AD">
        <w:rPr>
          <w:rFonts w:eastAsia="Calibri"/>
          <w:vertAlign w:val="superscript"/>
        </w:rPr>
        <w:footnoteReference w:id="30"/>
      </w:r>
      <w:bookmarkEnd w:id="23"/>
      <w:r w:rsidR="006144AD" w:rsidRPr="006144AD">
        <w:rPr>
          <w:rFonts w:eastAsia="Calibri"/>
        </w:rPr>
        <w:t xml:space="preserve">  Right from the start the respondents knew that as part of Ms Hunter’s case she required an adequate investigation into the propriety of the cancellation of the funds.  The third judgment says “</w:t>
      </w:r>
      <w:r w:rsidR="00B347AF">
        <w:rPr>
          <w:rFonts w:eastAsia="Calibri"/>
          <w:szCs w:val="26"/>
        </w:rPr>
        <w:t>the J</w:t>
      </w:r>
      <w:r w:rsidR="006144AD" w:rsidRPr="006144AD">
        <w:rPr>
          <w:rFonts w:eastAsia="Calibri"/>
          <w:szCs w:val="26"/>
        </w:rPr>
        <w:t>udge [in the High Court] observed, correctly I think, that the relief sought in the original notice of motion was for an investigation into the cancellations project”.</w:t>
      </w:r>
      <w:r w:rsidR="006144AD" w:rsidRPr="006144AD">
        <w:rPr>
          <w:rFonts w:eastAsia="Calibri"/>
          <w:szCs w:val="26"/>
          <w:vertAlign w:val="superscript"/>
        </w:rPr>
        <w:footnoteReference w:id="31"/>
      </w:r>
      <w:r w:rsidR="006144AD" w:rsidRPr="006144AD">
        <w:rPr>
          <w:rFonts w:eastAsia="Calibri"/>
          <w:szCs w:val="26"/>
        </w:rPr>
        <w:t xml:space="preserve">  There would be no sense in seeking a sub-standard investigation.  Ms Hunter must then have been seeking an adequate investigation into the cancellations project – an investigation that met the FSCA’s constitutional duties.</w:t>
      </w:r>
    </w:p>
    <w:p w14:paraId="79A88E90" w14:textId="77777777" w:rsidR="006144AD" w:rsidRPr="006144AD" w:rsidRDefault="006144AD" w:rsidP="006144AD">
      <w:pPr>
        <w:spacing w:line="360" w:lineRule="auto"/>
        <w:rPr>
          <w:rFonts w:eastAsia="Calibri"/>
        </w:rPr>
      </w:pPr>
    </w:p>
    <w:p w14:paraId="52721B87" w14:textId="1DAC6645" w:rsidR="006144AD" w:rsidRPr="006144AD" w:rsidRDefault="00811729" w:rsidP="00811729">
      <w:pPr>
        <w:spacing w:line="360" w:lineRule="auto"/>
        <w:rPr>
          <w:rFonts w:eastAsia="Calibri"/>
        </w:rPr>
      </w:pPr>
      <w:r w:rsidRPr="006144AD">
        <w:rPr>
          <w:rFonts w:eastAsia="Calibri"/>
          <w:color w:val="000000"/>
        </w:rPr>
        <w:t>[72]</w:t>
      </w:r>
      <w:r w:rsidRPr="006144AD">
        <w:rPr>
          <w:rFonts w:eastAsia="Calibri"/>
          <w:color w:val="000000"/>
        </w:rPr>
        <w:tab/>
      </w:r>
      <w:r w:rsidR="006144AD" w:rsidRPr="006144AD">
        <w:rPr>
          <w:rFonts w:eastAsia="Calibri"/>
        </w:rPr>
        <w:t xml:space="preserve">When she initially brought proceedings, Ms Hunter did not have the relevant information available herself and sought access to the </w:t>
      </w:r>
      <w:proofErr w:type="spellStart"/>
      <w:r w:rsidR="006144AD" w:rsidRPr="006144AD">
        <w:rPr>
          <w:rFonts w:eastAsia="Calibri"/>
        </w:rPr>
        <w:t>O’Regan</w:t>
      </w:r>
      <w:proofErr w:type="spellEnd"/>
      <w:r w:rsidR="006144AD" w:rsidRPr="006144AD">
        <w:rPr>
          <w:rFonts w:eastAsia="Calibri"/>
        </w:rPr>
        <w:t xml:space="preserve"> and KPMG reports in substantiation.  These reports were made available and, because the FSCA was unhappy with the KPMG report, it also produced the Mort reports of its own accord.  At the hearing before this Court the FSCA argued that the Court should be allowed to consider </w:t>
      </w:r>
      <w:r w:rsidR="006144AD" w:rsidRPr="006144AD">
        <w:rPr>
          <w:rFonts w:eastAsia="Calibri"/>
        </w:rPr>
        <w:lastRenderedPageBreak/>
        <w:t>the affidavits from Mr Mort on the basis that</w:t>
      </w:r>
      <w:r w:rsidR="006144AD" w:rsidRPr="006144AD">
        <w:rPr>
          <w:rFonts w:eastAsia="Calibri"/>
          <w:lang w:val="en-GB"/>
        </w:rPr>
        <w:t xml:space="preserve"> this Court has held in </w:t>
      </w:r>
      <w:proofErr w:type="spellStart"/>
      <w:r w:rsidR="006144AD" w:rsidRPr="006144AD">
        <w:rPr>
          <w:rFonts w:eastAsia="Calibri"/>
          <w:i/>
          <w:lang w:val="en-GB"/>
        </w:rPr>
        <w:t>Mazibuko</w:t>
      </w:r>
      <w:proofErr w:type="spellEnd"/>
      <w:r w:rsidR="006144AD" w:rsidRPr="006144AD">
        <w:rPr>
          <w:rFonts w:eastAsia="Calibri"/>
          <w:lang w:val="en-GB"/>
        </w:rPr>
        <w:t xml:space="preserve"> that </w:t>
      </w:r>
      <w:r w:rsidR="006144AD" w:rsidRPr="006144AD">
        <w:rPr>
          <w:rFonts w:eastAsia="Calibri"/>
          <w:lang w:val="en-US"/>
        </w:rPr>
        <w:t xml:space="preserve">new evidence is admissible on appeal where it </w:t>
      </w:r>
      <w:r w:rsidR="006144AD" w:rsidRPr="00C40651">
        <w:rPr>
          <w:rFonts w:eastAsia="Calibri"/>
          <w:lang w:val="en-US"/>
        </w:rPr>
        <w:t>“might be of assistance in determining the appropriate relief to be granted”</w:t>
      </w:r>
      <w:r w:rsidR="006144AD" w:rsidRPr="006144AD">
        <w:rPr>
          <w:rFonts w:eastAsia="Calibri"/>
          <w:lang w:val="en-US"/>
        </w:rPr>
        <w:t>.</w:t>
      </w:r>
      <w:r w:rsidR="006144AD" w:rsidRPr="006144AD">
        <w:rPr>
          <w:rFonts w:eastAsia="Calibri"/>
          <w:vertAlign w:val="superscript"/>
          <w:lang w:val="en-US"/>
        </w:rPr>
        <w:footnoteReference w:id="32"/>
      </w:r>
    </w:p>
    <w:p w14:paraId="7E96F590" w14:textId="77777777" w:rsidR="006144AD" w:rsidRPr="006144AD" w:rsidRDefault="006144AD" w:rsidP="006144AD">
      <w:pPr>
        <w:spacing w:line="360" w:lineRule="auto"/>
        <w:rPr>
          <w:rFonts w:eastAsia="Calibri"/>
        </w:rPr>
      </w:pPr>
    </w:p>
    <w:p w14:paraId="00578842" w14:textId="58DC7CCB" w:rsidR="006144AD" w:rsidRPr="006144AD" w:rsidRDefault="00811729" w:rsidP="00811729">
      <w:pPr>
        <w:spacing w:line="360" w:lineRule="auto"/>
        <w:rPr>
          <w:rFonts w:eastAsia="Calibri"/>
        </w:rPr>
      </w:pPr>
      <w:r w:rsidRPr="006144AD">
        <w:rPr>
          <w:rFonts w:eastAsia="Calibri"/>
          <w:color w:val="000000"/>
        </w:rPr>
        <w:t>[73]</w:t>
      </w:r>
      <w:r w:rsidRPr="006144AD">
        <w:rPr>
          <w:rFonts w:eastAsia="Calibri"/>
          <w:color w:val="000000"/>
        </w:rPr>
        <w:tab/>
      </w:r>
      <w:r w:rsidR="006144AD" w:rsidRPr="006144AD">
        <w:rPr>
          <w:rFonts w:eastAsia="Calibri"/>
        </w:rPr>
        <w:t>This new evidence should be admitted.  The result is that the matter before us must be decided on the common cause facts provided by the FSCA, a classic example of the proper approach to evidence in applications in our law.</w:t>
      </w:r>
    </w:p>
    <w:p w14:paraId="3912F184" w14:textId="77777777" w:rsidR="006144AD" w:rsidRPr="006144AD" w:rsidRDefault="006144AD" w:rsidP="006144AD">
      <w:pPr>
        <w:spacing w:line="360" w:lineRule="auto"/>
        <w:rPr>
          <w:rFonts w:eastAsia="Calibri"/>
        </w:rPr>
      </w:pPr>
    </w:p>
    <w:p w14:paraId="26C82EDF" w14:textId="7AC0FDFB" w:rsidR="006144AD" w:rsidRPr="006144AD" w:rsidRDefault="00811729" w:rsidP="00811729">
      <w:pPr>
        <w:spacing w:line="360" w:lineRule="auto"/>
        <w:rPr>
          <w:rFonts w:eastAsia="Calibri"/>
        </w:rPr>
      </w:pPr>
      <w:r w:rsidRPr="006144AD">
        <w:rPr>
          <w:rFonts w:eastAsia="Calibri"/>
          <w:color w:val="000000"/>
        </w:rPr>
        <w:t>[74]</w:t>
      </w:r>
      <w:r w:rsidRPr="006144AD">
        <w:rPr>
          <w:rFonts w:eastAsia="Calibri"/>
          <w:color w:val="000000"/>
        </w:rPr>
        <w:tab/>
      </w:r>
      <w:r w:rsidR="006144AD" w:rsidRPr="006144AD">
        <w:rPr>
          <w:rFonts w:eastAsia="Calibri"/>
        </w:rPr>
        <w:t>Does it matter that the legal argument based on these facts may be different from those advanced in the High Court?  No.  Affidavits should not contain argument in any event.</w:t>
      </w:r>
      <w:r w:rsidR="006144AD" w:rsidRPr="006144AD">
        <w:rPr>
          <w:rFonts w:eastAsia="Calibri"/>
          <w:vertAlign w:val="superscript"/>
        </w:rPr>
        <w:footnoteReference w:id="33"/>
      </w:r>
      <w:r w:rsidR="006144AD" w:rsidRPr="006144AD">
        <w:rPr>
          <w:rFonts w:eastAsia="Calibri"/>
        </w:rPr>
        <w:t xml:space="preserve">  It is an incident of the rule of law that a court should raise and decide a point of law arising from the facts even if the parties themselves did not.  The only question is prejudice to any of the parties.  I can see none.  The FSCA has had ample opportunity to put all the facts at its disposal before court and the matter must be decided on an acceptance of those facts.  Its legal argument is that, on those facts, there is no duty to investigate and, even if there was, the investigations already completed were sufficient to fulfil that duty.</w:t>
      </w:r>
    </w:p>
    <w:p w14:paraId="68BAE1AC" w14:textId="77777777" w:rsidR="006144AD" w:rsidRPr="006144AD" w:rsidRDefault="006144AD" w:rsidP="006144AD">
      <w:pPr>
        <w:spacing w:line="360" w:lineRule="auto"/>
        <w:rPr>
          <w:rFonts w:eastAsia="Calibri"/>
        </w:rPr>
      </w:pPr>
    </w:p>
    <w:p w14:paraId="64707A52" w14:textId="77777777" w:rsidR="006144AD" w:rsidRPr="006144AD" w:rsidRDefault="006144AD" w:rsidP="008F469C">
      <w:pPr>
        <w:pStyle w:val="HEADING"/>
        <w:rPr>
          <w:rFonts w:eastAsia="Calibri"/>
        </w:rPr>
      </w:pPr>
      <w:r w:rsidRPr="006144AD">
        <w:rPr>
          <w:rFonts w:eastAsia="Calibri"/>
        </w:rPr>
        <w:t>A duty to investigate?</w:t>
      </w:r>
    </w:p>
    <w:p w14:paraId="4A1178C6" w14:textId="7BAEC4CE" w:rsidR="006144AD" w:rsidRPr="006144AD" w:rsidRDefault="00811729" w:rsidP="00811729">
      <w:pPr>
        <w:spacing w:line="360" w:lineRule="auto"/>
        <w:rPr>
          <w:rFonts w:eastAsia="Calibri"/>
        </w:rPr>
      </w:pPr>
      <w:r w:rsidRPr="006144AD">
        <w:rPr>
          <w:rFonts w:eastAsia="Calibri"/>
          <w:color w:val="000000"/>
        </w:rPr>
        <w:t>[75]</w:t>
      </w:r>
      <w:r w:rsidRPr="006144AD">
        <w:rPr>
          <w:rFonts w:eastAsia="Calibri"/>
          <w:color w:val="000000"/>
        </w:rPr>
        <w:tab/>
      </w:r>
      <w:r w:rsidR="006144AD" w:rsidRPr="006144AD">
        <w:rPr>
          <w:rFonts w:eastAsia="Calibri"/>
        </w:rPr>
        <w:t>I now turn to whether the FSCA had a duty to investigate the cancellation decisions.</w:t>
      </w:r>
    </w:p>
    <w:p w14:paraId="1B532DBB" w14:textId="77777777" w:rsidR="006144AD" w:rsidRPr="006144AD" w:rsidRDefault="006144AD" w:rsidP="006144AD">
      <w:pPr>
        <w:spacing w:line="360" w:lineRule="auto"/>
        <w:rPr>
          <w:rFonts w:eastAsia="Calibri"/>
        </w:rPr>
      </w:pPr>
    </w:p>
    <w:p w14:paraId="610E24B1" w14:textId="0E9816C9" w:rsidR="006144AD" w:rsidRPr="006144AD" w:rsidRDefault="00811729" w:rsidP="00811729">
      <w:pPr>
        <w:spacing w:line="360" w:lineRule="auto"/>
        <w:rPr>
          <w:rFonts w:eastAsia="Calibri"/>
        </w:rPr>
      </w:pPr>
      <w:r w:rsidRPr="006144AD">
        <w:rPr>
          <w:rFonts w:eastAsia="Calibri"/>
          <w:color w:val="000000"/>
        </w:rPr>
        <w:t>[76]</w:t>
      </w:r>
      <w:r w:rsidRPr="006144AD">
        <w:rPr>
          <w:rFonts w:eastAsia="Calibri"/>
          <w:color w:val="000000"/>
        </w:rPr>
        <w:tab/>
      </w:r>
      <w:r w:rsidR="006144AD" w:rsidRPr="006144AD">
        <w:rPr>
          <w:rFonts w:eastAsia="Calibri"/>
        </w:rPr>
        <w:t xml:space="preserve">That starting point is a general statement in </w:t>
      </w:r>
      <w:proofErr w:type="spellStart"/>
      <w:r w:rsidR="006144AD" w:rsidRPr="006144AD">
        <w:rPr>
          <w:rFonts w:eastAsia="Calibri"/>
          <w:i/>
        </w:rPr>
        <w:t>Khumalo</w:t>
      </w:r>
      <w:proofErr w:type="spellEnd"/>
      <w:r w:rsidR="006144AD" w:rsidRPr="006144AD">
        <w:rPr>
          <w:rFonts w:eastAsia="Calibri"/>
          <w:vertAlign w:val="superscript"/>
        </w:rPr>
        <w:footnoteReference w:id="34"/>
      </w:r>
      <w:r w:rsidR="006144AD" w:rsidRPr="006144AD">
        <w:rPr>
          <w:rFonts w:eastAsia="Calibri"/>
        </w:rPr>
        <w:t xml:space="preserve"> where this Court held that state organs are obliged to investigate potentially unlawful state conduct of their own making when it comes to their attention:</w:t>
      </w:r>
    </w:p>
    <w:p w14:paraId="76A27842" w14:textId="77777777" w:rsidR="006144AD" w:rsidRPr="006144AD" w:rsidRDefault="006144AD" w:rsidP="008D7D2D">
      <w:pPr>
        <w:pStyle w:val="QUOTATION"/>
        <w:rPr>
          <w:rFonts w:eastAsia="Calibri"/>
        </w:rPr>
      </w:pPr>
    </w:p>
    <w:p w14:paraId="51EC73A3" w14:textId="1D889F60" w:rsidR="006144AD" w:rsidRPr="006144AD" w:rsidRDefault="006144AD" w:rsidP="006144AD">
      <w:pPr>
        <w:spacing w:line="360" w:lineRule="auto"/>
        <w:ind w:left="720" w:right="720"/>
        <w:rPr>
          <w:rFonts w:eastAsia="Calibri"/>
          <w:sz w:val="22"/>
        </w:rPr>
      </w:pPr>
      <w:r w:rsidRPr="006144AD">
        <w:rPr>
          <w:rFonts w:eastAsia="Calibri"/>
          <w:sz w:val="22"/>
        </w:rPr>
        <w:lastRenderedPageBreak/>
        <w:t>“When, as in this case, a responsible functionary is enlightened of a potential irregularity, section 195</w:t>
      </w:r>
      <w:r w:rsidR="00E4485B">
        <w:rPr>
          <w:rFonts w:eastAsia="Calibri"/>
          <w:sz w:val="22"/>
        </w:rPr>
        <w:t xml:space="preserve"> [the Constitution]</w:t>
      </w:r>
      <w:r w:rsidRPr="006144AD">
        <w:rPr>
          <w:rFonts w:eastAsia="Calibri"/>
          <w:sz w:val="22"/>
        </w:rPr>
        <w:t xml:space="preserve"> </w:t>
      </w:r>
      <w:r w:rsidRPr="006144AD">
        <w:rPr>
          <w:rFonts w:eastAsia="Calibri"/>
          <w:i/>
          <w:sz w:val="22"/>
        </w:rPr>
        <w:t>lays a compelling basis for the founding of a duty on the functionary to investigate</w:t>
      </w:r>
      <w:r w:rsidRPr="006144AD">
        <w:rPr>
          <w:rFonts w:eastAsia="Calibri"/>
          <w:sz w:val="22"/>
        </w:rPr>
        <w:t xml:space="preserve"> and, if need be, to correct any unlawfulness through the appropriate avenues.  This duty is founded, inter alia, in the emphasis on accountability and transparency in section 195(1)(f) and (g) and the requirement of a high standard of professional ethics in section 195(1)(a).”</w:t>
      </w:r>
      <w:r w:rsidRPr="006144AD">
        <w:rPr>
          <w:rFonts w:eastAsia="Calibri"/>
          <w:sz w:val="22"/>
          <w:vertAlign w:val="superscript"/>
        </w:rPr>
        <w:footnoteReference w:id="35"/>
      </w:r>
    </w:p>
    <w:p w14:paraId="771D1133" w14:textId="77777777" w:rsidR="006144AD" w:rsidRPr="006144AD" w:rsidRDefault="006144AD" w:rsidP="008D7D2D">
      <w:pPr>
        <w:pStyle w:val="JUDGMENTCONTINUED"/>
        <w:rPr>
          <w:rFonts w:eastAsia="Calibri"/>
        </w:rPr>
      </w:pPr>
    </w:p>
    <w:p w14:paraId="3129BB54" w14:textId="05FB23C6" w:rsidR="006144AD" w:rsidRPr="006144AD" w:rsidRDefault="00811729" w:rsidP="00811729">
      <w:pPr>
        <w:spacing w:line="360" w:lineRule="auto"/>
        <w:rPr>
          <w:rFonts w:eastAsia="Calibri"/>
        </w:rPr>
      </w:pPr>
      <w:r w:rsidRPr="006144AD">
        <w:rPr>
          <w:rFonts w:eastAsia="Calibri"/>
          <w:color w:val="000000"/>
        </w:rPr>
        <w:t>[77]</w:t>
      </w:r>
      <w:r w:rsidRPr="006144AD">
        <w:rPr>
          <w:rFonts w:eastAsia="Calibri"/>
          <w:color w:val="000000"/>
        </w:rPr>
        <w:tab/>
      </w:r>
      <w:r w:rsidR="006144AD" w:rsidRPr="006144AD">
        <w:rPr>
          <w:rFonts w:eastAsia="Calibri"/>
        </w:rPr>
        <w:t xml:space="preserve">The first judgment holds that it is not necessary to determine the basis and nature of the FSCA’s duty to investigate, nor to make a determination as to the applicability of </w:t>
      </w:r>
      <w:proofErr w:type="spellStart"/>
      <w:r w:rsidR="006144AD" w:rsidRPr="006144AD">
        <w:rPr>
          <w:rFonts w:eastAsia="Calibri"/>
          <w:i/>
        </w:rPr>
        <w:t>Khumalo</w:t>
      </w:r>
      <w:proofErr w:type="spellEnd"/>
      <w:r w:rsidR="006144AD" w:rsidRPr="006144AD">
        <w:rPr>
          <w:rFonts w:eastAsia="Calibri"/>
        </w:rPr>
        <w:t>.</w:t>
      </w:r>
      <w:r w:rsidR="006144AD" w:rsidRPr="006144AD">
        <w:rPr>
          <w:rFonts w:eastAsia="Calibri"/>
          <w:vertAlign w:val="superscript"/>
        </w:rPr>
        <w:footnoteReference w:id="36"/>
      </w:r>
      <w:r w:rsidR="001773EC">
        <w:rPr>
          <w:rFonts w:eastAsia="Calibri"/>
        </w:rPr>
        <w:t xml:space="preserve"> </w:t>
      </w:r>
      <w:r w:rsidR="006144AD" w:rsidRPr="006144AD">
        <w:rPr>
          <w:rFonts w:eastAsia="Calibri"/>
        </w:rPr>
        <w:t xml:space="preserve"> I do not agree.</w:t>
      </w:r>
    </w:p>
    <w:p w14:paraId="29044B47" w14:textId="77777777" w:rsidR="006144AD" w:rsidRPr="006144AD" w:rsidRDefault="006144AD" w:rsidP="006144AD">
      <w:pPr>
        <w:spacing w:line="360" w:lineRule="auto"/>
        <w:rPr>
          <w:rFonts w:eastAsia="Calibri"/>
        </w:rPr>
      </w:pPr>
    </w:p>
    <w:p w14:paraId="24C89A64" w14:textId="58BA8131" w:rsidR="006144AD" w:rsidRPr="006144AD" w:rsidRDefault="00811729" w:rsidP="00811729">
      <w:pPr>
        <w:spacing w:line="360" w:lineRule="auto"/>
        <w:rPr>
          <w:rFonts w:eastAsia="Calibri"/>
        </w:rPr>
      </w:pPr>
      <w:r w:rsidRPr="006144AD">
        <w:rPr>
          <w:rFonts w:eastAsia="Calibri"/>
          <w:color w:val="000000"/>
        </w:rPr>
        <w:t>[78]</w:t>
      </w:r>
      <w:r w:rsidRPr="006144AD">
        <w:rPr>
          <w:rFonts w:eastAsia="Calibri"/>
          <w:color w:val="000000"/>
        </w:rPr>
        <w:tab/>
      </w:r>
      <w:r w:rsidR="006144AD" w:rsidRPr="006144AD">
        <w:rPr>
          <w:rFonts w:eastAsia="Calibri"/>
        </w:rPr>
        <w:t>The principles of accountability, responsiveness and openness apply to the public administration in all its forms, not only those governed by the Public Service Act</w:t>
      </w:r>
      <w:r w:rsidR="00B356A5">
        <w:rPr>
          <w:rFonts w:eastAsia="Calibri"/>
        </w:rPr>
        <w:t xml:space="preserve"> (Proclamation 103 of 1994)</w:t>
      </w:r>
      <w:r w:rsidR="006144AD" w:rsidRPr="006144AD">
        <w:rPr>
          <w:rFonts w:eastAsia="Calibri"/>
        </w:rPr>
        <w:t>.  Section 195 is central to the issue in this case.  It is the main pillar upon which the argument rests.  Ms Hunter brought her case in an attempt to hold the FS</w:t>
      </w:r>
      <w:r w:rsidR="00F177B7">
        <w:rPr>
          <w:rFonts w:eastAsia="Calibri"/>
        </w:rPr>
        <w:t xml:space="preserve">CA accountable.  She asked the </w:t>
      </w:r>
      <w:r w:rsidR="00B356A5">
        <w:rPr>
          <w:rFonts w:eastAsia="Calibri"/>
        </w:rPr>
        <w:t>C</w:t>
      </w:r>
      <w:r w:rsidR="006144AD" w:rsidRPr="006144AD">
        <w:rPr>
          <w:rFonts w:eastAsia="Calibri"/>
        </w:rPr>
        <w:t>ourts to scrutinise the registrar’s compliance with his constitutional duties.</w:t>
      </w:r>
    </w:p>
    <w:p w14:paraId="3ED7BFA0" w14:textId="77777777" w:rsidR="006144AD" w:rsidRPr="006144AD" w:rsidRDefault="006144AD" w:rsidP="006144AD">
      <w:pPr>
        <w:spacing w:line="360" w:lineRule="auto"/>
        <w:rPr>
          <w:rFonts w:eastAsia="Calibri"/>
        </w:rPr>
      </w:pPr>
    </w:p>
    <w:p w14:paraId="75DF3A08" w14:textId="69D2D822" w:rsidR="006144AD" w:rsidRPr="006144AD" w:rsidRDefault="00811729" w:rsidP="00811729">
      <w:pPr>
        <w:spacing w:line="360" w:lineRule="auto"/>
        <w:rPr>
          <w:rFonts w:eastAsia="Calibri"/>
        </w:rPr>
      </w:pPr>
      <w:r w:rsidRPr="006144AD">
        <w:rPr>
          <w:rFonts w:eastAsia="Calibri"/>
          <w:color w:val="000000"/>
        </w:rPr>
        <w:t>[79]</w:t>
      </w:r>
      <w:r w:rsidRPr="006144AD">
        <w:rPr>
          <w:rFonts w:eastAsia="Calibri"/>
          <w:color w:val="000000"/>
        </w:rPr>
        <w:tab/>
      </w:r>
      <w:r w:rsidR="006144AD" w:rsidRPr="006144AD">
        <w:rPr>
          <w:rFonts w:eastAsia="Calibri"/>
        </w:rPr>
        <w:t>The registrar is clearly a public functionary.</w:t>
      </w:r>
      <w:r w:rsidR="006144AD" w:rsidRPr="006144AD">
        <w:rPr>
          <w:rFonts w:eastAsia="Calibri"/>
          <w:vertAlign w:val="superscript"/>
        </w:rPr>
        <w:footnoteReference w:id="37"/>
      </w:r>
      <w:r w:rsidR="006144AD" w:rsidRPr="006144AD">
        <w:rPr>
          <w:rFonts w:eastAsia="Calibri"/>
        </w:rPr>
        <w:t xml:space="preserve">  Moreover, section 195 sets out the basic values and principles governing public administration.  It is those principles that are at issue.  Section 195 and the passage quoted from </w:t>
      </w:r>
      <w:proofErr w:type="spellStart"/>
      <w:r w:rsidR="006144AD" w:rsidRPr="006144AD">
        <w:rPr>
          <w:rFonts w:eastAsia="Calibri"/>
          <w:i/>
        </w:rPr>
        <w:t>Khumalo</w:t>
      </w:r>
      <w:proofErr w:type="spellEnd"/>
      <w:r w:rsidR="006144AD" w:rsidRPr="006144AD">
        <w:rPr>
          <w:rFonts w:eastAsia="Calibri"/>
          <w:i/>
        </w:rPr>
        <w:t xml:space="preserve"> </w:t>
      </w:r>
      <w:r w:rsidR="006144AD" w:rsidRPr="006144AD">
        <w:rPr>
          <w:rFonts w:eastAsia="Calibri"/>
        </w:rPr>
        <w:t>could scarcely be more relevant.</w:t>
      </w:r>
    </w:p>
    <w:p w14:paraId="0FC24E1A" w14:textId="77777777" w:rsidR="006144AD" w:rsidRPr="006144AD" w:rsidRDefault="006144AD" w:rsidP="006144AD">
      <w:pPr>
        <w:spacing w:line="360" w:lineRule="auto"/>
        <w:rPr>
          <w:rFonts w:eastAsia="Calibri"/>
        </w:rPr>
      </w:pPr>
    </w:p>
    <w:p w14:paraId="2C3B0567" w14:textId="4515A11E" w:rsidR="006144AD" w:rsidRPr="006144AD" w:rsidRDefault="00811729" w:rsidP="00811729">
      <w:pPr>
        <w:spacing w:line="360" w:lineRule="auto"/>
        <w:rPr>
          <w:rFonts w:eastAsia="Calibri"/>
        </w:rPr>
      </w:pPr>
      <w:r w:rsidRPr="006144AD">
        <w:rPr>
          <w:rFonts w:eastAsia="Calibri"/>
          <w:color w:val="000000"/>
        </w:rPr>
        <w:t>[80]</w:t>
      </w:r>
      <w:r w:rsidRPr="006144AD">
        <w:rPr>
          <w:rFonts w:eastAsia="Calibri"/>
          <w:color w:val="000000"/>
        </w:rPr>
        <w:tab/>
      </w:r>
      <w:r w:rsidR="006144AD" w:rsidRPr="006144AD">
        <w:rPr>
          <w:rFonts w:eastAsia="Calibri"/>
        </w:rPr>
        <w:t>That passage correctly and logically implies that there is a legal duty to investigate potential, as yet unproven, unlawful conduct.  It is difficult to conceive of substantive reasons why, if public functionaries have a duty to undo unlawful conduct, the law should not require them to launch an investigation when the possibility of unlawful conduct is raised.</w:t>
      </w:r>
    </w:p>
    <w:p w14:paraId="6F4AFE9B" w14:textId="77777777" w:rsidR="006144AD" w:rsidRPr="006144AD" w:rsidRDefault="006144AD" w:rsidP="006144AD">
      <w:pPr>
        <w:spacing w:line="360" w:lineRule="auto"/>
        <w:rPr>
          <w:rFonts w:eastAsia="Calibri"/>
        </w:rPr>
      </w:pPr>
    </w:p>
    <w:p w14:paraId="2B16775F" w14:textId="56EFB593" w:rsidR="006144AD" w:rsidRPr="006144AD" w:rsidRDefault="00811729" w:rsidP="00811729">
      <w:pPr>
        <w:spacing w:line="360" w:lineRule="auto"/>
        <w:rPr>
          <w:rFonts w:eastAsia="Calibri"/>
          <w:lang w:val="en-US"/>
        </w:rPr>
      </w:pPr>
      <w:r w:rsidRPr="006144AD">
        <w:rPr>
          <w:rFonts w:eastAsia="Calibri"/>
          <w:color w:val="000000"/>
          <w:lang w:val="en-US"/>
        </w:rPr>
        <w:t>[81]</w:t>
      </w:r>
      <w:r w:rsidRPr="006144AD">
        <w:rPr>
          <w:rFonts w:eastAsia="Calibri"/>
          <w:color w:val="000000"/>
          <w:lang w:val="en-US"/>
        </w:rPr>
        <w:tab/>
      </w:r>
      <w:r w:rsidR="006144AD" w:rsidRPr="006144AD">
        <w:rPr>
          <w:rFonts w:eastAsia="Calibri"/>
          <w:iCs/>
          <w:lang w:val="en-US"/>
        </w:rPr>
        <w:t xml:space="preserve">The investigative duty set out in </w:t>
      </w:r>
      <w:proofErr w:type="spellStart"/>
      <w:r w:rsidR="006144AD" w:rsidRPr="006144AD">
        <w:rPr>
          <w:rFonts w:eastAsia="Calibri"/>
          <w:i/>
          <w:iCs/>
          <w:lang w:val="en-US"/>
        </w:rPr>
        <w:t>Khumalo</w:t>
      </w:r>
      <w:proofErr w:type="spellEnd"/>
      <w:r w:rsidR="005E20C7">
        <w:rPr>
          <w:rFonts w:eastAsia="Calibri"/>
          <w:lang w:val="en-US"/>
        </w:rPr>
        <w:t xml:space="preserve"> </w:t>
      </w:r>
      <w:r w:rsidR="006144AD" w:rsidRPr="006144AD">
        <w:rPr>
          <w:rFonts w:eastAsia="Calibri"/>
          <w:lang w:val="en-US"/>
        </w:rPr>
        <w:t>does not require public functionaries to launch full-scale investigations into every allegation that is brought to their attention.  Rather, public functionaries must launch a proportionate investigation into potential irregularities.</w:t>
      </w:r>
    </w:p>
    <w:p w14:paraId="17EE431E" w14:textId="77777777" w:rsidR="006144AD" w:rsidRPr="006144AD" w:rsidRDefault="006144AD" w:rsidP="006144AD">
      <w:pPr>
        <w:spacing w:line="360" w:lineRule="auto"/>
        <w:rPr>
          <w:rFonts w:eastAsia="Calibri"/>
          <w:lang w:val="en-US"/>
        </w:rPr>
      </w:pPr>
    </w:p>
    <w:p w14:paraId="2A9193F1" w14:textId="25700EAC" w:rsidR="006144AD" w:rsidRPr="006144AD" w:rsidRDefault="00811729" w:rsidP="00811729">
      <w:pPr>
        <w:spacing w:line="360" w:lineRule="auto"/>
        <w:rPr>
          <w:rFonts w:eastAsia="Calibri"/>
          <w:lang w:val="en-US"/>
        </w:rPr>
      </w:pPr>
      <w:r w:rsidRPr="006144AD">
        <w:rPr>
          <w:rFonts w:eastAsia="Calibri"/>
          <w:color w:val="000000"/>
          <w:lang w:val="en-US"/>
        </w:rPr>
        <w:t>[82]</w:t>
      </w:r>
      <w:r w:rsidRPr="006144AD">
        <w:rPr>
          <w:rFonts w:eastAsia="Calibri"/>
          <w:color w:val="000000"/>
          <w:lang w:val="en-US"/>
        </w:rPr>
        <w:tab/>
      </w:r>
      <w:r w:rsidR="006144AD" w:rsidRPr="006144AD">
        <w:rPr>
          <w:rFonts w:eastAsia="Calibri"/>
          <w:lang w:val="en-US"/>
        </w:rPr>
        <w:t>Where the alleged irregularity is minor, an investigation might be very small indeed – perhaps just a phone call to check the correct position.  Where an allegation is credible and the alleged irregularity is serious, a full-scale investigation might well be called for.  When an allegation is completely spurious, it points to no potential irregularity at all and no investigation can rightly be required of a public functionary.</w:t>
      </w:r>
    </w:p>
    <w:p w14:paraId="2DE54750" w14:textId="77777777" w:rsidR="006144AD" w:rsidRPr="006144AD" w:rsidRDefault="006144AD" w:rsidP="006144AD">
      <w:pPr>
        <w:spacing w:line="360" w:lineRule="auto"/>
        <w:rPr>
          <w:rFonts w:eastAsia="Calibri"/>
          <w:lang w:val="en-US"/>
        </w:rPr>
      </w:pPr>
    </w:p>
    <w:p w14:paraId="4FED9BD5" w14:textId="2CFA9D44" w:rsidR="006144AD" w:rsidRPr="006144AD" w:rsidRDefault="00811729" w:rsidP="00811729">
      <w:pPr>
        <w:spacing w:line="360" w:lineRule="auto"/>
        <w:rPr>
          <w:rFonts w:eastAsia="Calibri"/>
          <w:lang w:val="en-US"/>
        </w:rPr>
      </w:pPr>
      <w:r w:rsidRPr="006144AD">
        <w:rPr>
          <w:rFonts w:eastAsia="Calibri"/>
          <w:color w:val="000000"/>
          <w:lang w:val="en-US"/>
        </w:rPr>
        <w:t>[83]</w:t>
      </w:r>
      <w:r w:rsidRPr="006144AD">
        <w:rPr>
          <w:rFonts w:eastAsia="Calibri"/>
          <w:color w:val="000000"/>
          <w:lang w:val="en-US"/>
        </w:rPr>
        <w:tab/>
      </w:r>
      <w:r w:rsidR="006144AD" w:rsidRPr="006144AD">
        <w:rPr>
          <w:rFonts w:eastAsia="Calibri"/>
          <w:lang w:val="en-US"/>
        </w:rPr>
        <w:t>The efficiency of public administration will not be materially undermined by the investigation of potential unlawful state conduct.  Proportionate investigations aid efficiency, rather than undermine it.</w:t>
      </w:r>
    </w:p>
    <w:p w14:paraId="69801710" w14:textId="77777777" w:rsidR="006144AD" w:rsidRPr="006144AD" w:rsidRDefault="006144AD" w:rsidP="006144AD">
      <w:pPr>
        <w:spacing w:line="360" w:lineRule="auto"/>
        <w:rPr>
          <w:rFonts w:eastAsia="Calibri"/>
          <w:lang w:val="en-US"/>
        </w:rPr>
      </w:pPr>
    </w:p>
    <w:p w14:paraId="7201B519" w14:textId="0F438965" w:rsidR="006144AD" w:rsidRPr="006144AD" w:rsidRDefault="00811729" w:rsidP="00811729">
      <w:pPr>
        <w:spacing w:line="360" w:lineRule="auto"/>
        <w:rPr>
          <w:rFonts w:eastAsia="Times New Roman"/>
          <w:lang w:val="en-US"/>
        </w:rPr>
      </w:pPr>
      <w:r w:rsidRPr="006144AD">
        <w:rPr>
          <w:rFonts w:eastAsia="Times New Roman"/>
          <w:color w:val="000000"/>
          <w:lang w:val="en-US"/>
        </w:rPr>
        <w:t>[84]</w:t>
      </w:r>
      <w:r w:rsidRPr="006144AD">
        <w:rPr>
          <w:rFonts w:eastAsia="Times New Roman"/>
          <w:color w:val="000000"/>
          <w:lang w:val="en-US"/>
        </w:rPr>
        <w:tab/>
      </w:r>
      <w:r w:rsidR="006144AD" w:rsidRPr="006144AD">
        <w:rPr>
          <w:rFonts w:eastAsia="Calibri"/>
          <w:lang w:val="en-US"/>
        </w:rPr>
        <w:t xml:space="preserve">In short, </w:t>
      </w:r>
      <w:r w:rsidR="006144AD" w:rsidRPr="006144AD">
        <w:rPr>
          <w:rFonts w:eastAsia="Times New Roman"/>
          <w:lang w:val="en-US"/>
        </w:rPr>
        <w:t>whenever the attention of a responsible functionary is drawn to a potential irregularity, they have a duty to launch a proportionate investigation into it.  What is proportionate in any given case will depend on the seriousness of the potential irregularity and the basis upon which any allegation is founded.</w:t>
      </w:r>
    </w:p>
    <w:p w14:paraId="468D7CB0" w14:textId="77777777" w:rsidR="006144AD" w:rsidRPr="006144AD" w:rsidRDefault="006144AD" w:rsidP="006144AD">
      <w:pPr>
        <w:spacing w:line="360" w:lineRule="auto"/>
        <w:rPr>
          <w:rFonts w:eastAsia="Calibri"/>
          <w:lang w:val="en-US"/>
        </w:rPr>
      </w:pPr>
    </w:p>
    <w:p w14:paraId="3CF54879" w14:textId="4141AAD5" w:rsidR="006144AD" w:rsidRPr="006144AD" w:rsidRDefault="00811729" w:rsidP="00811729">
      <w:pPr>
        <w:spacing w:line="360" w:lineRule="auto"/>
        <w:rPr>
          <w:rFonts w:eastAsia="Calibri"/>
          <w:lang w:val="en-US"/>
        </w:rPr>
      </w:pPr>
      <w:r w:rsidRPr="006144AD">
        <w:rPr>
          <w:rFonts w:eastAsia="Calibri"/>
          <w:color w:val="000000"/>
          <w:lang w:val="en-US"/>
        </w:rPr>
        <w:t>[85]</w:t>
      </w:r>
      <w:r w:rsidRPr="006144AD">
        <w:rPr>
          <w:rFonts w:eastAsia="Calibri"/>
          <w:color w:val="000000"/>
          <w:lang w:val="en-US"/>
        </w:rPr>
        <w:tab/>
      </w:r>
      <w:r w:rsidR="006144AD" w:rsidRPr="006144AD">
        <w:rPr>
          <w:rFonts w:eastAsia="Calibri"/>
          <w:lang w:val="en-US"/>
        </w:rPr>
        <w:t>In the present matter, the conclusion that an investigative duty exists is buttressed by considering the wording of the Constitution and the legislation that applies specifically to the FSCA.</w:t>
      </w:r>
    </w:p>
    <w:p w14:paraId="28EA3050" w14:textId="77777777" w:rsidR="006144AD" w:rsidRPr="006144AD" w:rsidRDefault="006144AD" w:rsidP="006144AD">
      <w:pPr>
        <w:spacing w:line="360" w:lineRule="auto"/>
        <w:rPr>
          <w:rFonts w:eastAsia="Calibri"/>
          <w:lang w:val="en-US"/>
        </w:rPr>
      </w:pPr>
    </w:p>
    <w:p w14:paraId="3B4C252F" w14:textId="26D129EA" w:rsidR="006144AD" w:rsidRPr="006144AD" w:rsidRDefault="00811729" w:rsidP="00811729">
      <w:pPr>
        <w:spacing w:line="360" w:lineRule="auto"/>
        <w:rPr>
          <w:rFonts w:eastAsia="Calibri"/>
        </w:rPr>
      </w:pPr>
      <w:r w:rsidRPr="006144AD">
        <w:rPr>
          <w:rFonts w:eastAsia="Calibri"/>
          <w:color w:val="000000"/>
        </w:rPr>
        <w:t>[86]</w:t>
      </w:r>
      <w:r w:rsidRPr="006144AD">
        <w:rPr>
          <w:rFonts w:eastAsia="Calibri"/>
          <w:color w:val="000000"/>
        </w:rPr>
        <w:tab/>
      </w:r>
      <w:r w:rsidR="006144AD" w:rsidRPr="006144AD">
        <w:rPr>
          <w:rFonts w:eastAsia="Calibri"/>
        </w:rPr>
        <w:t>It is a founding value of our Constitution that our system of government, which includes the public administration, must be accountable, responsive and open.  Section 1(d) of the Constitution provides:</w:t>
      </w:r>
    </w:p>
    <w:p w14:paraId="733B57C9" w14:textId="77777777" w:rsidR="006144AD" w:rsidRPr="006144AD" w:rsidRDefault="006144AD" w:rsidP="00E4485B">
      <w:pPr>
        <w:pStyle w:val="QUOTATION"/>
        <w:rPr>
          <w:rFonts w:eastAsia="Calibri"/>
        </w:rPr>
      </w:pPr>
    </w:p>
    <w:p w14:paraId="46A3A072" w14:textId="77777777" w:rsidR="006144AD" w:rsidRPr="006144AD" w:rsidRDefault="006144AD" w:rsidP="00E4485B">
      <w:pPr>
        <w:pStyle w:val="QUOTATION"/>
        <w:rPr>
          <w:rFonts w:eastAsia="Calibri"/>
        </w:rPr>
      </w:pPr>
      <w:r w:rsidRPr="006144AD">
        <w:rPr>
          <w:rFonts w:eastAsia="Calibri"/>
        </w:rPr>
        <w:t>“The Republic of South Africa is one, sovereign, democratic state founded on the following values:</w:t>
      </w:r>
    </w:p>
    <w:p w14:paraId="0E4F1AF2" w14:textId="77777777" w:rsidR="006144AD" w:rsidRPr="006144AD" w:rsidRDefault="006144AD" w:rsidP="006144AD">
      <w:pPr>
        <w:spacing w:line="360" w:lineRule="auto"/>
        <w:ind w:left="720" w:right="720" w:firstLine="720"/>
        <w:rPr>
          <w:rFonts w:eastAsia="Calibri"/>
          <w:sz w:val="22"/>
        </w:rPr>
      </w:pPr>
      <w:r w:rsidRPr="006144AD">
        <w:rPr>
          <w:rFonts w:eastAsia="Calibri"/>
          <w:sz w:val="22"/>
        </w:rPr>
        <w:t>. . .</w:t>
      </w:r>
    </w:p>
    <w:p w14:paraId="0BC96E1D" w14:textId="77777777" w:rsidR="006144AD" w:rsidRPr="006144AD" w:rsidRDefault="006144AD" w:rsidP="006144AD">
      <w:pPr>
        <w:spacing w:line="360" w:lineRule="auto"/>
        <w:ind w:left="2160" w:right="720" w:hanging="720"/>
        <w:rPr>
          <w:rFonts w:eastAsia="Calibri"/>
          <w:sz w:val="22"/>
        </w:rPr>
      </w:pPr>
      <w:r w:rsidRPr="006144AD">
        <w:rPr>
          <w:rFonts w:eastAsia="Calibri"/>
          <w:sz w:val="22"/>
        </w:rPr>
        <w:lastRenderedPageBreak/>
        <w:t>(d)</w:t>
      </w:r>
      <w:r w:rsidRPr="006144AD">
        <w:rPr>
          <w:rFonts w:eastAsia="Calibri"/>
          <w:sz w:val="22"/>
        </w:rPr>
        <w:tab/>
        <w:t>Universal adult suffrage, a national common voters roll, regular elections and a multi-party system of democratic government, to ensure accountability, responsiveness and openness.”</w:t>
      </w:r>
    </w:p>
    <w:p w14:paraId="49920ADA" w14:textId="77777777" w:rsidR="006144AD" w:rsidRPr="006144AD" w:rsidRDefault="006144AD" w:rsidP="006144AD">
      <w:pPr>
        <w:spacing w:line="360" w:lineRule="auto"/>
        <w:rPr>
          <w:rFonts w:eastAsia="Calibri"/>
        </w:rPr>
      </w:pPr>
    </w:p>
    <w:p w14:paraId="02B72F81" w14:textId="77777777" w:rsidR="006144AD" w:rsidRPr="006144AD" w:rsidRDefault="006144AD" w:rsidP="00E4485B">
      <w:pPr>
        <w:pStyle w:val="JUDGMENTCONTINUED"/>
        <w:rPr>
          <w:rFonts w:eastAsia="Calibri"/>
        </w:rPr>
      </w:pPr>
      <w:r w:rsidRPr="006144AD">
        <w:rPr>
          <w:rFonts w:eastAsia="Calibri"/>
        </w:rPr>
        <w:t>Section 195(1) provides in relevant part:</w:t>
      </w:r>
    </w:p>
    <w:p w14:paraId="48A62754" w14:textId="77777777" w:rsidR="006144AD" w:rsidRPr="006144AD" w:rsidRDefault="006144AD" w:rsidP="00E4485B">
      <w:pPr>
        <w:pStyle w:val="QUOTATION"/>
        <w:rPr>
          <w:rFonts w:eastAsia="Calibri"/>
        </w:rPr>
      </w:pPr>
    </w:p>
    <w:p w14:paraId="293F9597" w14:textId="77777777" w:rsidR="006144AD" w:rsidRPr="006144AD" w:rsidRDefault="006144AD" w:rsidP="00E4485B">
      <w:pPr>
        <w:pStyle w:val="QUOTATION"/>
        <w:rPr>
          <w:rFonts w:eastAsia="Calibri"/>
        </w:rPr>
      </w:pPr>
      <w:r w:rsidRPr="006144AD">
        <w:rPr>
          <w:rFonts w:eastAsia="Calibri"/>
        </w:rPr>
        <w:t>“Public administration must be governed by the democratic values and principles enshrined in the Constitution, including the following principles:</w:t>
      </w:r>
    </w:p>
    <w:p w14:paraId="075A84B2" w14:textId="77777777" w:rsidR="006144AD" w:rsidRPr="006144AD" w:rsidRDefault="006144AD" w:rsidP="006144AD">
      <w:pPr>
        <w:spacing w:line="360" w:lineRule="auto"/>
        <w:ind w:left="2160" w:right="720" w:hanging="720"/>
        <w:rPr>
          <w:rFonts w:eastAsia="Calibri"/>
          <w:sz w:val="22"/>
        </w:rPr>
      </w:pPr>
      <w:r w:rsidRPr="006144AD">
        <w:rPr>
          <w:rFonts w:eastAsia="Calibri"/>
          <w:sz w:val="22"/>
        </w:rPr>
        <w:t>(a)</w:t>
      </w:r>
      <w:r w:rsidRPr="006144AD">
        <w:rPr>
          <w:rFonts w:eastAsia="Calibri"/>
          <w:sz w:val="22"/>
        </w:rPr>
        <w:tab/>
        <w:t>A high standard of professional ethics must be promoted and maintained.</w:t>
      </w:r>
    </w:p>
    <w:p w14:paraId="36A1550A" w14:textId="77777777" w:rsidR="006144AD" w:rsidRPr="006144AD" w:rsidRDefault="006144AD" w:rsidP="006144AD">
      <w:pPr>
        <w:spacing w:line="360" w:lineRule="auto"/>
        <w:ind w:left="720" w:right="720" w:firstLine="720"/>
        <w:rPr>
          <w:rFonts w:eastAsia="Calibri"/>
          <w:sz w:val="22"/>
        </w:rPr>
      </w:pPr>
      <w:r w:rsidRPr="006144AD">
        <w:rPr>
          <w:rFonts w:eastAsia="Calibri"/>
          <w:sz w:val="22"/>
        </w:rPr>
        <w:t>(b)</w:t>
      </w:r>
      <w:r w:rsidRPr="006144AD">
        <w:rPr>
          <w:rFonts w:eastAsia="Calibri"/>
          <w:sz w:val="22"/>
        </w:rPr>
        <w:tab/>
        <w:t>Efficient, economic and effective use of resources must be promoted.</w:t>
      </w:r>
    </w:p>
    <w:p w14:paraId="66483932" w14:textId="77777777" w:rsidR="006144AD" w:rsidRPr="006144AD" w:rsidRDefault="006144AD" w:rsidP="006144AD">
      <w:pPr>
        <w:spacing w:line="360" w:lineRule="auto"/>
        <w:ind w:left="720" w:right="720" w:firstLine="720"/>
        <w:rPr>
          <w:rFonts w:eastAsia="Calibri"/>
          <w:sz w:val="22"/>
        </w:rPr>
      </w:pPr>
      <w:r w:rsidRPr="006144AD">
        <w:rPr>
          <w:rFonts w:eastAsia="Calibri"/>
          <w:sz w:val="22"/>
        </w:rPr>
        <w:t>(c)</w:t>
      </w:r>
      <w:r w:rsidRPr="006144AD">
        <w:rPr>
          <w:rFonts w:eastAsia="Calibri"/>
          <w:sz w:val="22"/>
        </w:rPr>
        <w:tab/>
        <w:t>Public administration must be development-oriented.</w:t>
      </w:r>
    </w:p>
    <w:p w14:paraId="7BC727D3" w14:textId="77777777" w:rsidR="006144AD" w:rsidRPr="006144AD" w:rsidRDefault="006144AD" w:rsidP="006144AD">
      <w:pPr>
        <w:spacing w:line="360" w:lineRule="auto"/>
        <w:ind w:left="2160" w:right="720" w:hanging="720"/>
        <w:rPr>
          <w:rFonts w:eastAsia="Calibri"/>
          <w:sz w:val="22"/>
        </w:rPr>
      </w:pPr>
      <w:r w:rsidRPr="006144AD">
        <w:rPr>
          <w:rFonts w:eastAsia="Calibri"/>
          <w:sz w:val="22"/>
        </w:rPr>
        <w:t>(d)</w:t>
      </w:r>
      <w:r w:rsidRPr="006144AD">
        <w:rPr>
          <w:rFonts w:eastAsia="Calibri"/>
          <w:sz w:val="22"/>
        </w:rPr>
        <w:tab/>
        <w:t>Services must be provided impartially, fairly, equitably and without bias.</w:t>
      </w:r>
    </w:p>
    <w:p w14:paraId="224FC2BD" w14:textId="77777777" w:rsidR="006144AD" w:rsidRPr="006144AD" w:rsidRDefault="006144AD" w:rsidP="006144AD">
      <w:pPr>
        <w:spacing w:line="360" w:lineRule="auto"/>
        <w:ind w:left="2160" w:right="720" w:hanging="720"/>
        <w:rPr>
          <w:rFonts w:eastAsia="Calibri"/>
          <w:sz w:val="22"/>
        </w:rPr>
      </w:pPr>
      <w:r w:rsidRPr="006144AD">
        <w:rPr>
          <w:rFonts w:eastAsia="Calibri"/>
          <w:sz w:val="22"/>
        </w:rPr>
        <w:t>(e)</w:t>
      </w:r>
      <w:r w:rsidRPr="006144AD">
        <w:rPr>
          <w:rFonts w:eastAsia="Calibri"/>
          <w:sz w:val="22"/>
        </w:rPr>
        <w:tab/>
        <w:t>People’s needs must be responded to, and the public must be encouraged to participate in policy-making.</w:t>
      </w:r>
    </w:p>
    <w:p w14:paraId="68EE9484" w14:textId="77777777" w:rsidR="006144AD" w:rsidRPr="006144AD" w:rsidRDefault="006144AD" w:rsidP="006144AD">
      <w:pPr>
        <w:spacing w:line="360" w:lineRule="auto"/>
        <w:ind w:left="720" w:right="720" w:firstLine="720"/>
        <w:rPr>
          <w:rFonts w:eastAsia="Calibri"/>
          <w:sz w:val="22"/>
        </w:rPr>
      </w:pPr>
      <w:r w:rsidRPr="006144AD">
        <w:rPr>
          <w:rFonts w:eastAsia="Calibri"/>
          <w:sz w:val="22"/>
        </w:rPr>
        <w:t>(f)</w:t>
      </w:r>
      <w:r w:rsidRPr="006144AD">
        <w:rPr>
          <w:rFonts w:eastAsia="Calibri"/>
          <w:sz w:val="22"/>
        </w:rPr>
        <w:tab/>
        <w:t>Public administration must be accountable.</w:t>
      </w:r>
    </w:p>
    <w:p w14:paraId="23C46D36" w14:textId="77777777" w:rsidR="006144AD" w:rsidRPr="006144AD" w:rsidRDefault="006144AD" w:rsidP="006144AD">
      <w:pPr>
        <w:spacing w:line="360" w:lineRule="auto"/>
        <w:ind w:left="2160" w:right="720" w:hanging="720"/>
        <w:rPr>
          <w:rFonts w:eastAsia="Calibri"/>
          <w:sz w:val="22"/>
        </w:rPr>
      </w:pPr>
      <w:r w:rsidRPr="006144AD">
        <w:rPr>
          <w:rFonts w:eastAsia="Calibri"/>
          <w:sz w:val="22"/>
        </w:rPr>
        <w:t>(g)</w:t>
      </w:r>
      <w:r w:rsidRPr="006144AD">
        <w:rPr>
          <w:rFonts w:eastAsia="Calibri"/>
          <w:sz w:val="22"/>
        </w:rPr>
        <w:tab/>
        <w:t>Transparency must be fostered by providing the public with timely, accessible and accurate information.”</w:t>
      </w:r>
    </w:p>
    <w:p w14:paraId="419E819D" w14:textId="77777777" w:rsidR="006144AD" w:rsidRPr="006144AD" w:rsidRDefault="006144AD" w:rsidP="006144AD">
      <w:pPr>
        <w:spacing w:line="360" w:lineRule="auto"/>
        <w:rPr>
          <w:rFonts w:eastAsia="Calibri"/>
        </w:rPr>
      </w:pPr>
    </w:p>
    <w:p w14:paraId="78DF4B6F" w14:textId="77777777" w:rsidR="006144AD" w:rsidRPr="00E4485B" w:rsidRDefault="006144AD" w:rsidP="00E4485B">
      <w:pPr>
        <w:pStyle w:val="JUDGMENTCONTINUED"/>
      </w:pPr>
      <w:r w:rsidRPr="00E4485B">
        <w:t>Section 195(2) provides that—</w:t>
      </w:r>
    </w:p>
    <w:p w14:paraId="295DD4A4" w14:textId="77777777" w:rsidR="006144AD" w:rsidRPr="006144AD" w:rsidRDefault="006144AD" w:rsidP="00E4485B">
      <w:pPr>
        <w:pStyle w:val="QUOTATION"/>
        <w:rPr>
          <w:rFonts w:eastAsia="Calibri"/>
        </w:rPr>
      </w:pPr>
    </w:p>
    <w:p w14:paraId="0FB36009" w14:textId="77777777" w:rsidR="006144AD" w:rsidRPr="006144AD" w:rsidRDefault="006144AD" w:rsidP="006144AD">
      <w:pPr>
        <w:spacing w:line="360" w:lineRule="auto"/>
        <w:ind w:left="720" w:right="720"/>
        <w:rPr>
          <w:rFonts w:eastAsia="Calibri"/>
          <w:sz w:val="22"/>
        </w:rPr>
      </w:pPr>
      <w:r w:rsidRPr="006144AD">
        <w:rPr>
          <w:rFonts w:eastAsia="Calibri"/>
          <w:sz w:val="22"/>
        </w:rPr>
        <w:t>“[T]he above principles apply to—</w:t>
      </w:r>
    </w:p>
    <w:p w14:paraId="6F78058B" w14:textId="77777777" w:rsidR="006144AD" w:rsidRPr="006144AD" w:rsidRDefault="006144AD" w:rsidP="006144AD">
      <w:pPr>
        <w:spacing w:line="360" w:lineRule="auto"/>
        <w:ind w:left="720" w:right="720" w:firstLine="720"/>
        <w:rPr>
          <w:rFonts w:eastAsia="Calibri"/>
          <w:sz w:val="22"/>
        </w:rPr>
      </w:pPr>
      <w:r w:rsidRPr="006144AD">
        <w:rPr>
          <w:rFonts w:eastAsia="Calibri"/>
          <w:sz w:val="22"/>
        </w:rPr>
        <w:t>(a)</w:t>
      </w:r>
      <w:r w:rsidRPr="006144AD">
        <w:rPr>
          <w:rFonts w:eastAsia="Calibri"/>
          <w:sz w:val="22"/>
        </w:rPr>
        <w:tab/>
        <w:t>administration in every sphere of government;</w:t>
      </w:r>
    </w:p>
    <w:p w14:paraId="6A79A240" w14:textId="77777777" w:rsidR="006144AD" w:rsidRPr="006144AD" w:rsidRDefault="006144AD" w:rsidP="006144AD">
      <w:pPr>
        <w:spacing w:line="360" w:lineRule="auto"/>
        <w:ind w:left="720" w:right="720" w:firstLine="720"/>
        <w:rPr>
          <w:rFonts w:eastAsia="Calibri"/>
          <w:sz w:val="22"/>
        </w:rPr>
      </w:pPr>
      <w:r w:rsidRPr="006144AD">
        <w:rPr>
          <w:rFonts w:eastAsia="Calibri"/>
          <w:sz w:val="22"/>
        </w:rPr>
        <w:t>(b)</w:t>
      </w:r>
      <w:r w:rsidRPr="006144AD">
        <w:rPr>
          <w:rFonts w:eastAsia="Calibri"/>
          <w:sz w:val="22"/>
        </w:rPr>
        <w:tab/>
        <w:t>organs of state; and</w:t>
      </w:r>
    </w:p>
    <w:p w14:paraId="57525BB9" w14:textId="77777777" w:rsidR="006144AD" w:rsidRPr="006144AD" w:rsidRDefault="006144AD" w:rsidP="006144AD">
      <w:pPr>
        <w:spacing w:line="360" w:lineRule="auto"/>
        <w:ind w:left="720" w:right="720" w:firstLine="720"/>
        <w:rPr>
          <w:rFonts w:eastAsia="Calibri"/>
          <w:sz w:val="22"/>
        </w:rPr>
      </w:pPr>
      <w:r w:rsidRPr="006144AD">
        <w:rPr>
          <w:rFonts w:eastAsia="Calibri"/>
          <w:sz w:val="22"/>
        </w:rPr>
        <w:t>(c)</w:t>
      </w:r>
      <w:r w:rsidRPr="006144AD">
        <w:rPr>
          <w:rFonts w:eastAsia="Calibri"/>
          <w:sz w:val="22"/>
        </w:rPr>
        <w:tab/>
        <w:t>public enterprises.”</w:t>
      </w:r>
    </w:p>
    <w:p w14:paraId="0D95A652" w14:textId="77777777" w:rsidR="006144AD" w:rsidRPr="006144AD" w:rsidRDefault="006144AD" w:rsidP="006144AD">
      <w:pPr>
        <w:spacing w:line="360" w:lineRule="auto"/>
        <w:rPr>
          <w:rFonts w:eastAsia="Calibri"/>
        </w:rPr>
      </w:pPr>
    </w:p>
    <w:p w14:paraId="411A50A9" w14:textId="63A0B1C8" w:rsidR="006144AD" w:rsidRPr="006144AD" w:rsidRDefault="00811729" w:rsidP="00811729">
      <w:pPr>
        <w:spacing w:line="360" w:lineRule="auto"/>
        <w:rPr>
          <w:rFonts w:eastAsia="Calibri"/>
        </w:rPr>
      </w:pPr>
      <w:r w:rsidRPr="006144AD">
        <w:rPr>
          <w:rFonts w:eastAsia="Calibri"/>
          <w:color w:val="000000"/>
        </w:rPr>
        <w:t>[87]</w:t>
      </w:r>
      <w:r w:rsidRPr="006144AD">
        <w:rPr>
          <w:rFonts w:eastAsia="Calibri"/>
          <w:color w:val="000000"/>
        </w:rPr>
        <w:tab/>
      </w:r>
      <w:r w:rsidR="006144AD" w:rsidRPr="006144AD">
        <w:rPr>
          <w:rFonts w:eastAsia="Calibri"/>
        </w:rPr>
        <w:t xml:space="preserve">The values of accountability, responsiveness and openness are pervasive in all spheres of public life.  In </w:t>
      </w:r>
      <w:proofErr w:type="spellStart"/>
      <w:r w:rsidR="006144AD" w:rsidRPr="006144AD">
        <w:rPr>
          <w:rFonts w:eastAsia="Calibri"/>
          <w:i/>
        </w:rPr>
        <w:t>Khumalo</w:t>
      </w:r>
      <w:proofErr w:type="spellEnd"/>
      <w:r w:rsidR="006144AD" w:rsidRPr="006144AD">
        <w:rPr>
          <w:rFonts w:eastAsia="Calibri"/>
        </w:rPr>
        <w:t>, this Court stated:</w:t>
      </w:r>
    </w:p>
    <w:p w14:paraId="29953811" w14:textId="77777777" w:rsidR="006144AD" w:rsidRPr="006144AD" w:rsidRDefault="006144AD" w:rsidP="00E4485B">
      <w:pPr>
        <w:pStyle w:val="QUOTATION"/>
        <w:rPr>
          <w:rFonts w:eastAsia="Calibri"/>
        </w:rPr>
      </w:pPr>
    </w:p>
    <w:p w14:paraId="5C94A164" w14:textId="77777777" w:rsidR="006144AD" w:rsidRPr="006144AD" w:rsidRDefault="006144AD" w:rsidP="006144AD">
      <w:pPr>
        <w:spacing w:line="360" w:lineRule="auto"/>
        <w:ind w:left="720" w:right="720"/>
        <w:rPr>
          <w:rFonts w:eastAsia="Calibri"/>
          <w:sz w:val="22"/>
        </w:rPr>
      </w:pPr>
      <w:r w:rsidRPr="006144AD">
        <w:rPr>
          <w:rFonts w:eastAsia="Calibri"/>
          <w:sz w:val="22"/>
        </w:rPr>
        <w:t>“It is the duty of the courts to insist that the state, in all its dealings, operates within the confines of the law and, in so doing, remains accountable to those on whose behalf it exercises power.”</w:t>
      </w:r>
      <w:bookmarkStart w:id="24" w:name="_Ref524446310"/>
      <w:r w:rsidRPr="006144AD">
        <w:rPr>
          <w:rFonts w:eastAsia="Calibri"/>
          <w:sz w:val="22"/>
          <w:vertAlign w:val="superscript"/>
        </w:rPr>
        <w:footnoteReference w:id="38"/>
      </w:r>
      <w:bookmarkEnd w:id="24"/>
    </w:p>
    <w:p w14:paraId="4D006287" w14:textId="77777777" w:rsidR="006144AD" w:rsidRPr="006144AD" w:rsidRDefault="006144AD" w:rsidP="006144AD">
      <w:pPr>
        <w:spacing w:line="360" w:lineRule="auto"/>
        <w:rPr>
          <w:rFonts w:eastAsia="Calibri"/>
        </w:rPr>
      </w:pPr>
    </w:p>
    <w:p w14:paraId="22D0AFC9" w14:textId="155B1E28" w:rsidR="006144AD" w:rsidRPr="006144AD" w:rsidRDefault="00811729" w:rsidP="00811729">
      <w:pPr>
        <w:spacing w:line="360" w:lineRule="auto"/>
        <w:rPr>
          <w:rFonts w:eastAsia="Calibri"/>
          <w:i/>
        </w:rPr>
      </w:pPr>
      <w:r w:rsidRPr="006144AD">
        <w:rPr>
          <w:rFonts w:eastAsia="Calibri"/>
          <w:color w:val="000000"/>
        </w:rPr>
        <w:t>[88]</w:t>
      </w:r>
      <w:r w:rsidRPr="006144AD">
        <w:rPr>
          <w:rFonts w:eastAsia="Calibri"/>
          <w:color w:val="000000"/>
        </w:rPr>
        <w:tab/>
      </w:r>
      <w:r w:rsidR="006144AD" w:rsidRPr="006144AD">
        <w:rPr>
          <w:rFonts w:eastAsia="Calibri"/>
        </w:rPr>
        <w:t xml:space="preserve">In the </w:t>
      </w:r>
      <w:r w:rsidR="006144AD" w:rsidRPr="006144AD">
        <w:rPr>
          <w:rFonts w:eastAsia="Calibri"/>
          <w:i/>
        </w:rPr>
        <w:t>EFF 1</w:t>
      </w:r>
      <w:r w:rsidR="006144AD" w:rsidRPr="006144AD">
        <w:rPr>
          <w:rFonts w:eastAsia="Calibri"/>
        </w:rPr>
        <w:t xml:space="preserve"> judgment</w:t>
      </w:r>
      <w:r w:rsidR="006144AD" w:rsidRPr="006144AD">
        <w:rPr>
          <w:rFonts w:eastAsia="Calibri"/>
          <w:vertAlign w:val="superscript"/>
        </w:rPr>
        <w:footnoteReference w:id="39"/>
      </w:r>
      <w:r w:rsidR="006144AD" w:rsidRPr="006144AD">
        <w:rPr>
          <w:rFonts w:eastAsia="Calibri"/>
        </w:rPr>
        <w:t xml:space="preserve"> the Chief Justice said:</w:t>
      </w:r>
    </w:p>
    <w:p w14:paraId="3AF46439" w14:textId="77777777" w:rsidR="006144AD" w:rsidRPr="006144AD" w:rsidRDefault="006144AD" w:rsidP="00E4485B">
      <w:pPr>
        <w:pStyle w:val="QUOTATION"/>
        <w:rPr>
          <w:rFonts w:eastAsia="Calibri"/>
        </w:rPr>
      </w:pPr>
    </w:p>
    <w:p w14:paraId="4CB5AD02" w14:textId="77777777" w:rsidR="006144AD" w:rsidRPr="006144AD" w:rsidRDefault="006144AD" w:rsidP="006144AD">
      <w:pPr>
        <w:spacing w:line="360" w:lineRule="auto"/>
        <w:ind w:left="720" w:right="720"/>
        <w:rPr>
          <w:rFonts w:eastAsia="Calibri"/>
          <w:i/>
          <w:sz w:val="22"/>
        </w:rPr>
      </w:pPr>
      <w:r w:rsidRPr="006144AD">
        <w:rPr>
          <w:rFonts w:eastAsia="Calibri"/>
          <w:sz w:val="22"/>
        </w:rPr>
        <w:t>“One of the crucial elements of our constitutional vision is to make a decisive break from the unchecked abuse of State power and resources that was virtually institutionalised during the apartheid era.  To achieve this goal, we adopted accountability, the rule of law and the supremacy of the Constitution as values of our constitutional democracy.  For this reason, public office-bearers ignore their constitutional obligations at their peril.  This is so because constitutionalism, accountability and the rule of law constitute the sharp and mighty sword that stands ready to chop the ugly head of impunity off its stiffened neck.”</w:t>
      </w:r>
      <w:r w:rsidRPr="006144AD">
        <w:rPr>
          <w:rFonts w:eastAsia="Calibri"/>
          <w:sz w:val="22"/>
          <w:vertAlign w:val="superscript"/>
        </w:rPr>
        <w:footnoteReference w:id="40"/>
      </w:r>
    </w:p>
    <w:p w14:paraId="70BAF872" w14:textId="77777777" w:rsidR="006144AD" w:rsidRPr="006144AD" w:rsidRDefault="006144AD" w:rsidP="006144AD">
      <w:pPr>
        <w:spacing w:line="360" w:lineRule="auto"/>
        <w:rPr>
          <w:rFonts w:eastAsia="Calibri"/>
        </w:rPr>
      </w:pPr>
    </w:p>
    <w:p w14:paraId="4FDA1BA2" w14:textId="77777777" w:rsidR="006144AD" w:rsidRPr="006144AD" w:rsidRDefault="006144AD" w:rsidP="006144AD">
      <w:pPr>
        <w:spacing w:line="360" w:lineRule="auto"/>
        <w:rPr>
          <w:rFonts w:eastAsia="Calibri"/>
        </w:rPr>
      </w:pPr>
      <w:r w:rsidRPr="006144AD">
        <w:rPr>
          <w:rFonts w:eastAsia="Calibri"/>
        </w:rPr>
        <w:t xml:space="preserve">He then cited </w:t>
      </w:r>
      <w:proofErr w:type="spellStart"/>
      <w:r w:rsidRPr="006144AD">
        <w:rPr>
          <w:rFonts w:eastAsia="Calibri"/>
          <w:i/>
        </w:rPr>
        <w:t>Nyathi</w:t>
      </w:r>
      <w:proofErr w:type="spellEnd"/>
      <w:r w:rsidRPr="006144AD">
        <w:rPr>
          <w:rFonts w:eastAsia="Calibri"/>
        </w:rPr>
        <w:t>:</w:t>
      </w:r>
      <w:r w:rsidRPr="006144AD">
        <w:rPr>
          <w:rFonts w:eastAsia="Calibri"/>
          <w:vertAlign w:val="superscript"/>
        </w:rPr>
        <w:footnoteReference w:id="41"/>
      </w:r>
    </w:p>
    <w:p w14:paraId="7D62F72E" w14:textId="77777777" w:rsidR="006144AD" w:rsidRPr="002F7207" w:rsidRDefault="006144AD" w:rsidP="002F7207">
      <w:pPr>
        <w:pStyle w:val="QUOTATION"/>
      </w:pPr>
    </w:p>
    <w:p w14:paraId="58B19E0A" w14:textId="77777777" w:rsidR="006144AD" w:rsidRPr="006144AD" w:rsidRDefault="006144AD" w:rsidP="006144AD">
      <w:pPr>
        <w:spacing w:line="360" w:lineRule="auto"/>
        <w:ind w:left="720" w:right="720"/>
        <w:rPr>
          <w:rFonts w:eastAsia="Calibri"/>
          <w:sz w:val="22"/>
        </w:rPr>
      </w:pPr>
      <w:r w:rsidRPr="006144AD">
        <w:rPr>
          <w:rFonts w:eastAsia="Calibri"/>
          <w:sz w:val="22"/>
        </w:rPr>
        <w:t>“Certain values in the Constitution have been designated as foundational to our democracy.  This in turn means that as pillar-stones of this democracy, they must be observed scrupulously.  If these values are not observed and their precepts not carried out conscientiously, we have a recipe for a constitutional crisis of great magnitude.  In a State predicated on a desire to maintain the rule of law, it is imperative that one and all should be driven by a moral obligation to ensure the continued survival of our democracy.”</w:t>
      </w:r>
      <w:r w:rsidRPr="006144AD">
        <w:rPr>
          <w:rFonts w:eastAsia="Calibri"/>
          <w:sz w:val="22"/>
          <w:vertAlign w:val="superscript"/>
        </w:rPr>
        <w:footnoteReference w:id="42"/>
      </w:r>
    </w:p>
    <w:p w14:paraId="3108C8EA" w14:textId="77777777" w:rsidR="006144AD" w:rsidRPr="006144AD" w:rsidRDefault="006144AD" w:rsidP="006144AD">
      <w:pPr>
        <w:spacing w:line="360" w:lineRule="auto"/>
        <w:rPr>
          <w:rFonts w:eastAsia="Calibri"/>
        </w:rPr>
      </w:pPr>
    </w:p>
    <w:p w14:paraId="39108656" w14:textId="5167C771" w:rsidR="006144AD" w:rsidRPr="006144AD" w:rsidRDefault="00811729" w:rsidP="00811729">
      <w:pPr>
        <w:spacing w:line="360" w:lineRule="auto"/>
        <w:rPr>
          <w:rFonts w:eastAsia="Calibri"/>
        </w:rPr>
      </w:pPr>
      <w:r w:rsidRPr="006144AD">
        <w:rPr>
          <w:rFonts w:eastAsia="Calibri"/>
          <w:color w:val="000000"/>
        </w:rPr>
        <w:lastRenderedPageBreak/>
        <w:t>[89]</w:t>
      </w:r>
      <w:r w:rsidRPr="006144AD">
        <w:rPr>
          <w:rFonts w:eastAsia="Calibri"/>
          <w:color w:val="000000"/>
        </w:rPr>
        <w:tab/>
      </w:r>
      <w:r w:rsidR="006144AD" w:rsidRPr="006144AD">
        <w:rPr>
          <w:rFonts w:eastAsia="Calibri"/>
        </w:rPr>
        <w:t xml:space="preserve">There is no real evidence here that the FSCA, or any of its employees, have been corrupt.  While this is not a case about corruption and malfeasance, it is about whether the FSCA’s apparently good faith attempts to investigate the cancellations project pass constitutional muster.  The issue is whether they have been diligent enough.  Complacency may be as great a danger as malice and could lead to maladministration and corruption.  In the words of </w:t>
      </w:r>
      <w:proofErr w:type="spellStart"/>
      <w:r w:rsidR="006144AD" w:rsidRPr="006144AD">
        <w:rPr>
          <w:rFonts w:eastAsia="Calibri"/>
        </w:rPr>
        <w:t>Chaskalson</w:t>
      </w:r>
      <w:proofErr w:type="spellEnd"/>
      <w:r w:rsidR="006144AD" w:rsidRPr="006144AD">
        <w:rPr>
          <w:rFonts w:eastAsia="Calibri"/>
        </w:rPr>
        <w:t xml:space="preserve"> P:</w:t>
      </w:r>
    </w:p>
    <w:p w14:paraId="49FE561A" w14:textId="77777777" w:rsidR="006144AD" w:rsidRPr="006144AD" w:rsidRDefault="006144AD" w:rsidP="002F7207">
      <w:pPr>
        <w:pStyle w:val="QUOTATION"/>
        <w:rPr>
          <w:rFonts w:eastAsia="Calibri"/>
        </w:rPr>
      </w:pPr>
    </w:p>
    <w:p w14:paraId="3D39FA83" w14:textId="77777777" w:rsidR="006144AD" w:rsidRPr="006144AD" w:rsidRDefault="006144AD" w:rsidP="006144AD">
      <w:pPr>
        <w:spacing w:line="360" w:lineRule="auto"/>
        <w:ind w:left="720" w:right="720"/>
        <w:rPr>
          <w:rFonts w:eastAsia="Calibri"/>
          <w:i/>
          <w:sz w:val="22"/>
        </w:rPr>
      </w:pPr>
      <w:r w:rsidRPr="006144AD">
        <w:rPr>
          <w:rFonts w:eastAsia="Calibri"/>
          <w:sz w:val="22"/>
        </w:rPr>
        <w:t>“Corruption and maladministration are inconsistent with the rule of law and the fundamental values of our Constitution.  They undermine the constitutional commitment to human dignity, the achievement of equality and the advancement of human rights and freedoms.  They are the antithesis of the open, accountable, democratic government required by the Constitution.  If allowed to go unchecked and unpunished they will pose a serious threat to our democratic state.  There can be no quarrel with the purpose sought to be achieved by the Act, or the importance of that purpose.  That purpose must, however, be pursued in accordance with the provisions of the Constitution.  The appeal in the present case depends upon whether this has been done.”</w:t>
      </w:r>
      <w:r w:rsidRPr="006144AD">
        <w:rPr>
          <w:rFonts w:eastAsia="Calibri"/>
          <w:sz w:val="22"/>
          <w:vertAlign w:val="superscript"/>
        </w:rPr>
        <w:footnoteReference w:id="43"/>
      </w:r>
    </w:p>
    <w:p w14:paraId="744C4FF9" w14:textId="77777777" w:rsidR="006144AD" w:rsidRPr="006144AD" w:rsidRDefault="006144AD" w:rsidP="006144AD">
      <w:pPr>
        <w:spacing w:line="360" w:lineRule="auto"/>
        <w:rPr>
          <w:rFonts w:eastAsia="Calibri"/>
        </w:rPr>
      </w:pPr>
    </w:p>
    <w:p w14:paraId="2EA5023D" w14:textId="10CADC08" w:rsidR="006144AD" w:rsidRPr="006144AD" w:rsidRDefault="00811729" w:rsidP="00811729">
      <w:pPr>
        <w:spacing w:line="360" w:lineRule="auto"/>
        <w:rPr>
          <w:rFonts w:eastAsia="Calibri"/>
        </w:rPr>
      </w:pPr>
      <w:r w:rsidRPr="006144AD">
        <w:rPr>
          <w:rFonts w:eastAsia="Calibri"/>
          <w:color w:val="000000"/>
        </w:rPr>
        <w:t>[90]</w:t>
      </w:r>
      <w:r w:rsidRPr="006144AD">
        <w:rPr>
          <w:rFonts w:eastAsia="Calibri"/>
          <w:color w:val="000000"/>
        </w:rPr>
        <w:tab/>
      </w:r>
      <w:r w:rsidR="006144AD" w:rsidRPr="006144AD">
        <w:rPr>
          <w:rFonts w:eastAsia="Calibri"/>
        </w:rPr>
        <w:t xml:space="preserve">The vulnerability of pensioners requires similar vigilance.  This has long been recognised in our law.  Section 58(1) of the </w:t>
      </w:r>
      <w:r w:rsidR="008000A6">
        <w:rPr>
          <w:rFonts w:eastAsia="Calibri"/>
        </w:rPr>
        <w:t>FSRA</w:t>
      </w:r>
      <w:r w:rsidR="006144AD" w:rsidRPr="006144AD">
        <w:rPr>
          <w:rFonts w:eastAsia="Calibri"/>
        </w:rPr>
        <w:t xml:space="preserve"> provides:</w:t>
      </w:r>
    </w:p>
    <w:p w14:paraId="0B539E87" w14:textId="77777777" w:rsidR="006144AD" w:rsidRPr="006144AD" w:rsidRDefault="006144AD" w:rsidP="008000A6">
      <w:pPr>
        <w:pStyle w:val="QUOTATION"/>
        <w:rPr>
          <w:rFonts w:eastAsia="Calibri"/>
        </w:rPr>
      </w:pPr>
    </w:p>
    <w:p w14:paraId="21F555A5" w14:textId="00450951" w:rsidR="006144AD" w:rsidRPr="006144AD" w:rsidRDefault="006144AD" w:rsidP="006144AD">
      <w:pPr>
        <w:spacing w:line="360" w:lineRule="auto"/>
        <w:ind w:right="720" w:firstLine="720"/>
        <w:rPr>
          <w:rFonts w:eastAsia="Calibri"/>
          <w:sz w:val="22"/>
        </w:rPr>
      </w:pPr>
      <w:r w:rsidRPr="006144AD">
        <w:rPr>
          <w:rFonts w:eastAsia="Calibri"/>
          <w:sz w:val="22"/>
        </w:rPr>
        <w:t>“In order to achieve its objective, the Financial Sector Conduct Authority must—</w:t>
      </w:r>
    </w:p>
    <w:p w14:paraId="5BE3620C" w14:textId="77777777" w:rsidR="006144AD" w:rsidRPr="006144AD" w:rsidRDefault="006144AD" w:rsidP="006144AD">
      <w:pPr>
        <w:spacing w:line="360" w:lineRule="auto"/>
        <w:ind w:left="2160" w:right="720" w:hanging="720"/>
        <w:rPr>
          <w:rFonts w:eastAsia="Calibri"/>
          <w:sz w:val="22"/>
        </w:rPr>
      </w:pPr>
      <w:r w:rsidRPr="006144AD">
        <w:rPr>
          <w:rFonts w:eastAsia="Calibri"/>
          <w:sz w:val="22"/>
        </w:rPr>
        <w:t>(a)</w:t>
      </w:r>
      <w:r w:rsidRPr="006144AD">
        <w:rPr>
          <w:rFonts w:eastAsia="Calibri"/>
          <w:sz w:val="22"/>
        </w:rPr>
        <w:tab/>
        <w:t>regulate and supervise, in accordance with the financial sector laws, the conduct of financial institutions;</w:t>
      </w:r>
    </w:p>
    <w:p w14:paraId="3D354EA9" w14:textId="77777777" w:rsidR="006144AD" w:rsidRPr="006144AD" w:rsidRDefault="006144AD" w:rsidP="006144AD">
      <w:pPr>
        <w:spacing w:line="360" w:lineRule="auto"/>
        <w:ind w:left="2160" w:right="720" w:hanging="720"/>
        <w:rPr>
          <w:rFonts w:eastAsia="Calibri"/>
          <w:sz w:val="22"/>
        </w:rPr>
      </w:pPr>
      <w:r w:rsidRPr="006144AD">
        <w:rPr>
          <w:rFonts w:eastAsia="Calibri"/>
          <w:sz w:val="22"/>
        </w:rPr>
        <w:t>(b)</w:t>
      </w:r>
      <w:r w:rsidRPr="006144AD">
        <w:rPr>
          <w:rFonts w:eastAsia="Calibri"/>
          <w:sz w:val="22"/>
        </w:rPr>
        <w:tab/>
        <w:t>cooperate with, and assist, the Reserve Bank, the Financial Stability Oversight Committee, the Prudential Authority, the National Credit Regulator, and the Financial Intelligence Centre, as required in terms of this Act;</w:t>
      </w:r>
    </w:p>
    <w:p w14:paraId="41177D3D" w14:textId="77777777" w:rsidR="006144AD" w:rsidRPr="006144AD" w:rsidRDefault="006144AD" w:rsidP="006144AD">
      <w:pPr>
        <w:spacing w:line="360" w:lineRule="auto"/>
        <w:ind w:left="2160" w:right="720" w:hanging="720"/>
        <w:rPr>
          <w:rFonts w:eastAsia="Calibri"/>
          <w:sz w:val="22"/>
        </w:rPr>
      </w:pPr>
      <w:r w:rsidRPr="006144AD">
        <w:rPr>
          <w:rFonts w:eastAsia="Calibri"/>
          <w:sz w:val="22"/>
        </w:rPr>
        <w:t>(c)</w:t>
      </w:r>
      <w:r w:rsidRPr="006144AD">
        <w:rPr>
          <w:rFonts w:eastAsia="Calibri"/>
          <w:sz w:val="22"/>
        </w:rPr>
        <w:tab/>
        <w:t>cooperate with the Council for Medical Schemes in the handling of matters of mutual interest;</w:t>
      </w:r>
    </w:p>
    <w:p w14:paraId="3D2C70D1" w14:textId="77777777" w:rsidR="006144AD" w:rsidRPr="006144AD" w:rsidRDefault="006144AD" w:rsidP="006144AD">
      <w:pPr>
        <w:spacing w:line="360" w:lineRule="auto"/>
        <w:ind w:left="2160" w:right="720" w:hanging="720"/>
        <w:rPr>
          <w:rFonts w:eastAsia="Calibri"/>
          <w:sz w:val="22"/>
        </w:rPr>
      </w:pPr>
      <w:r w:rsidRPr="006144AD">
        <w:rPr>
          <w:rFonts w:eastAsia="Calibri"/>
          <w:sz w:val="22"/>
        </w:rPr>
        <w:t>(d)</w:t>
      </w:r>
      <w:r w:rsidRPr="006144AD">
        <w:rPr>
          <w:rFonts w:eastAsia="Calibri"/>
          <w:sz w:val="22"/>
        </w:rPr>
        <w:tab/>
        <w:t xml:space="preserve">promote, to the extent consistent with achieving the objective of the Financial Sector Conduct Authority, sustainable competition in the provision of financial products and financial services, including </w:t>
      </w:r>
      <w:r w:rsidRPr="006144AD">
        <w:rPr>
          <w:rFonts w:eastAsia="Calibri"/>
          <w:sz w:val="22"/>
        </w:rPr>
        <w:lastRenderedPageBreak/>
        <w:t>through cooperating and collaborating with the Competition Commission;</w:t>
      </w:r>
    </w:p>
    <w:p w14:paraId="6CF0CBBA" w14:textId="77777777" w:rsidR="006144AD" w:rsidRPr="006144AD" w:rsidRDefault="006144AD" w:rsidP="006144AD">
      <w:pPr>
        <w:spacing w:line="360" w:lineRule="auto"/>
        <w:ind w:left="2160" w:right="720" w:hanging="720"/>
        <w:rPr>
          <w:rFonts w:eastAsia="Calibri"/>
          <w:sz w:val="22"/>
        </w:rPr>
      </w:pPr>
      <w:r w:rsidRPr="006144AD">
        <w:rPr>
          <w:rFonts w:eastAsia="Calibri"/>
          <w:sz w:val="22"/>
        </w:rPr>
        <w:t>(e)</w:t>
      </w:r>
      <w:r w:rsidRPr="006144AD">
        <w:rPr>
          <w:rFonts w:eastAsia="Calibri"/>
          <w:sz w:val="22"/>
        </w:rPr>
        <w:tab/>
        <w:t>promote financial inclusion;</w:t>
      </w:r>
    </w:p>
    <w:p w14:paraId="6CC49B8C" w14:textId="77777777" w:rsidR="006144AD" w:rsidRPr="006144AD" w:rsidRDefault="006144AD" w:rsidP="006144AD">
      <w:pPr>
        <w:spacing w:line="360" w:lineRule="auto"/>
        <w:ind w:left="2160" w:right="720" w:hanging="720"/>
        <w:rPr>
          <w:rFonts w:eastAsia="Calibri"/>
          <w:sz w:val="22"/>
        </w:rPr>
      </w:pPr>
      <w:r w:rsidRPr="006144AD">
        <w:rPr>
          <w:rFonts w:eastAsia="Calibri"/>
          <w:sz w:val="22"/>
        </w:rPr>
        <w:t>(f)</w:t>
      </w:r>
      <w:r w:rsidRPr="006144AD">
        <w:rPr>
          <w:rFonts w:eastAsia="Calibri"/>
          <w:sz w:val="22"/>
        </w:rPr>
        <w:tab/>
        <w:t>regularly review the perimeter and scope of financial sector regulation, and take steps to mitigate risks identified to the achievement of its objective or the effective performance of its functions;</w:t>
      </w:r>
    </w:p>
    <w:p w14:paraId="4D904929" w14:textId="77777777" w:rsidR="006144AD" w:rsidRPr="006144AD" w:rsidRDefault="006144AD" w:rsidP="006144AD">
      <w:pPr>
        <w:spacing w:line="360" w:lineRule="auto"/>
        <w:ind w:left="2160" w:right="720" w:hanging="720"/>
        <w:rPr>
          <w:rFonts w:eastAsia="Calibri"/>
          <w:sz w:val="22"/>
        </w:rPr>
      </w:pPr>
      <w:r w:rsidRPr="006144AD">
        <w:rPr>
          <w:rFonts w:eastAsia="Calibri"/>
          <w:sz w:val="22"/>
        </w:rPr>
        <w:t>(g)</w:t>
      </w:r>
      <w:r w:rsidRPr="006144AD">
        <w:rPr>
          <w:rFonts w:eastAsia="Calibri"/>
          <w:sz w:val="22"/>
        </w:rPr>
        <w:tab/>
        <w:t>administer the collection of levies and the distribution of amounts received in respect of levies;</w:t>
      </w:r>
    </w:p>
    <w:p w14:paraId="33539B1D" w14:textId="77777777" w:rsidR="006144AD" w:rsidRPr="006144AD" w:rsidRDefault="006144AD" w:rsidP="006144AD">
      <w:pPr>
        <w:spacing w:line="360" w:lineRule="auto"/>
        <w:ind w:left="2160" w:right="720" w:hanging="720"/>
        <w:rPr>
          <w:rFonts w:eastAsia="Calibri"/>
          <w:sz w:val="22"/>
        </w:rPr>
      </w:pPr>
      <w:r w:rsidRPr="006144AD">
        <w:rPr>
          <w:rFonts w:eastAsia="Calibri"/>
          <w:sz w:val="22"/>
        </w:rPr>
        <w:t>(h)</w:t>
      </w:r>
      <w:r w:rsidRPr="006144AD">
        <w:rPr>
          <w:rFonts w:eastAsia="Calibri"/>
          <w:sz w:val="22"/>
        </w:rPr>
        <w:tab/>
        <w:t>conduct and publish research relevant to its objective;</w:t>
      </w:r>
    </w:p>
    <w:p w14:paraId="29726C9F" w14:textId="77777777" w:rsidR="006144AD" w:rsidRPr="006144AD" w:rsidRDefault="006144AD" w:rsidP="006144AD">
      <w:pPr>
        <w:spacing w:line="360" w:lineRule="auto"/>
        <w:ind w:left="2160" w:right="720" w:hanging="720"/>
        <w:rPr>
          <w:rFonts w:eastAsia="Calibri"/>
          <w:sz w:val="22"/>
        </w:rPr>
      </w:pPr>
      <w:r w:rsidRPr="006144AD">
        <w:rPr>
          <w:rFonts w:eastAsia="Calibri"/>
          <w:sz w:val="22"/>
        </w:rPr>
        <w:t>(</w:t>
      </w:r>
      <w:proofErr w:type="spellStart"/>
      <w:r w:rsidRPr="006144AD">
        <w:rPr>
          <w:rFonts w:eastAsia="Calibri"/>
          <w:sz w:val="22"/>
        </w:rPr>
        <w:t>i</w:t>
      </w:r>
      <w:proofErr w:type="spellEnd"/>
      <w:r w:rsidRPr="006144AD">
        <w:rPr>
          <w:rFonts w:eastAsia="Calibri"/>
          <w:sz w:val="22"/>
        </w:rPr>
        <w:t>)</w:t>
      </w:r>
      <w:r w:rsidRPr="006144AD">
        <w:rPr>
          <w:rFonts w:eastAsia="Calibri"/>
          <w:sz w:val="22"/>
        </w:rPr>
        <w:tab/>
        <w:t>monitor the extent to which the financial system is delivering fair outcomes for financial customers, with a focus on the fairness and appropriateness of financial products and financial services and the extent to which they meet the needs and reasonable expectations of financial customers; and</w:t>
      </w:r>
    </w:p>
    <w:p w14:paraId="25BDD55F" w14:textId="77777777" w:rsidR="006144AD" w:rsidRPr="006144AD" w:rsidRDefault="006144AD" w:rsidP="006144AD">
      <w:pPr>
        <w:spacing w:line="360" w:lineRule="auto"/>
        <w:ind w:left="2160" w:right="720" w:hanging="720"/>
        <w:rPr>
          <w:rFonts w:eastAsia="Calibri"/>
          <w:sz w:val="22"/>
        </w:rPr>
      </w:pPr>
      <w:r w:rsidRPr="006144AD">
        <w:rPr>
          <w:rFonts w:eastAsia="Calibri"/>
          <w:sz w:val="22"/>
        </w:rPr>
        <w:t>(j)</w:t>
      </w:r>
      <w:r w:rsidRPr="006144AD">
        <w:rPr>
          <w:rFonts w:eastAsia="Calibri"/>
          <w:sz w:val="22"/>
        </w:rPr>
        <w:tab/>
        <w:t>formulate and implement strategies and programs for financial education for the general public.”</w:t>
      </w:r>
    </w:p>
    <w:p w14:paraId="7EAF6D88" w14:textId="77777777" w:rsidR="006144AD" w:rsidRPr="006144AD" w:rsidRDefault="006144AD" w:rsidP="006144AD">
      <w:pPr>
        <w:spacing w:line="360" w:lineRule="auto"/>
        <w:rPr>
          <w:rFonts w:eastAsia="Calibri"/>
        </w:rPr>
      </w:pPr>
    </w:p>
    <w:p w14:paraId="2B09FA4F" w14:textId="1DDBB566" w:rsidR="006144AD" w:rsidRPr="006144AD" w:rsidRDefault="00811729" w:rsidP="00811729">
      <w:pPr>
        <w:spacing w:line="360" w:lineRule="auto"/>
        <w:rPr>
          <w:rFonts w:eastAsia="Calibri"/>
        </w:rPr>
      </w:pPr>
      <w:r w:rsidRPr="006144AD">
        <w:rPr>
          <w:rFonts w:eastAsia="Calibri"/>
          <w:color w:val="000000"/>
        </w:rPr>
        <w:t>[91]</w:t>
      </w:r>
      <w:r w:rsidRPr="006144AD">
        <w:rPr>
          <w:rFonts w:eastAsia="Calibri"/>
          <w:color w:val="000000"/>
        </w:rPr>
        <w:tab/>
      </w:r>
      <w:r w:rsidR="006144AD" w:rsidRPr="006144AD">
        <w:rPr>
          <w:rFonts w:eastAsia="Calibri"/>
        </w:rPr>
        <w:t xml:space="preserve">In </w:t>
      </w:r>
      <w:proofErr w:type="spellStart"/>
      <w:r w:rsidR="006144AD" w:rsidRPr="006144AD">
        <w:rPr>
          <w:rFonts w:eastAsia="Calibri"/>
          <w:i/>
        </w:rPr>
        <w:t>Pepcor</w:t>
      </w:r>
      <w:proofErr w:type="spellEnd"/>
      <w:r w:rsidR="006144AD" w:rsidRPr="006144AD">
        <w:rPr>
          <w:rFonts w:eastAsia="Calibri"/>
          <w:vertAlign w:val="superscript"/>
        </w:rPr>
        <w:footnoteReference w:id="44"/>
      </w:r>
      <w:r w:rsidR="006144AD" w:rsidRPr="006144AD">
        <w:rPr>
          <w:rFonts w:eastAsia="Calibri"/>
          <w:i/>
        </w:rPr>
        <w:t xml:space="preserve"> </w:t>
      </w:r>
      <w:r w:rsidR="006144AD" w:rsidRPr="006144AD">
        <w:rPr>
          <w:rFonts w:eastAsia="Calibri"/>
        </w:rPr>
        <w:t>the Supreme Court of Appeal stated:</w:t>
      </w:r>
    </w:p>
    <w:p w14:paraId="38D484F0" w14:textId="77777777" w:rsidR="006144AD" w:rsidRPr="006144AD" w:rsidRDefault="006144AD" w:rsidP="006144AD">
      <w:pPr>
        <w:spacing w:line="360" w:lineRule="auto"/>
        <w:ind w:left="720" w:right="720"/>
        <w:rPr>
          <w:rFonts w:eastAsia="Calibri"/>
          <w:sz w:val="22"/>
        </w:rPr>
      </w:pPr>
    </w:p>
    <w:p w14:paraId="4BFCB5AA" w14:textId="77777777" w:rsidR="006144AD" w:rsidRPr="006144AD" w:rsidRDefault="006144AD" w:rsidP="006144AD">
      <w:pPr>
        <w:spacing w:line="360" w:lineRule="auto"/>
        <w:ind w:left="720" w:right="720"/>
        <w:rPr>
          <w:rFonts w:eastAsia="Calibri"/>
          <w:sz w:val="22"/>
        </w:rPr>
      </w:pPr>
      <w:r w:rsidRPr="006144AD">
        <w:rPr>
          <w:rFonts w:eastAsia="Calibri"/>
          <w:sz w:val="22"/>
        </w:rPr>
        <w:t>“The general public interest requires that pension funds be operated fairly, properly and successfully and that the pension fund industry be regulated to achieve these objects.  That is the whole purpose which underlies the Act.  Of course only a particular fund and the members of that fund may be directly affected by a particular decision of the registrar under section 14(1)(c).  But that does not derogate from the fact that the function the registrar performs is performed in the public interest generally.  In addition, the interests of the very persons affected by the decision require the registrar to perform his functions properly and to seek judicial review of his own decisions should he not have done so.  The prejudice to the registrar in allowing a certificate improperly given in terms of section 14(1)(e), and transfers pursuant thereto, to stand consists in his not having had an opportunity to evaluate the true facts in arriving at decisions which he is required to make in the protection of the public interest generally, and the particular interests of those directly affected.  His function is compromised.</w:t>
      </w:r>
    </w:p>
    <w:p w14:paraId="38D229BA" w14:textId="77777777" w:rsidR="006144AD" w:rsidRPr="004C7592" w:rsidRDefault="006144AD" w:rsidP="006144AD">
      <w:pPr>
        <w:spacing w:line="360" w:lineRule="auto"/>
        <w:ind w:left="720" w:right="720"/>
        <w:rPr>
          <w:rFonts w:eastAsia="Calibri"/>
          <w:sz w:val="22"/>
        </w:rPr>
      </w:pPr>
      <w:r w:rsidRPr="006144AD">
        <w:rPr>
          <w:rFonts w:eastAsia="Calibri"/>
          <w:sz w:val="22"/>
        </w:rPr>
        <w:t>. . .</w:t>
      </w:r>
    </w:p>
    <w:p w14:paraId="71979EC8" w14:textId="77777777" w:rsidR="006144AD" w:rsidRPr="006144AD" w:rsidRDefault="006144AD" w:rsidP="006144AD">
      <w:pPr>
        <w:spacing w:line="360" w:lineRule="auto"/>
        <w:ind w:left="720" w:right="720"/>
        <w:rPr>
          <w:rFonts w:eastAsia="Calibri"/>
          <w:sz w:val="22"/>
        </w:rPr>
      </w:pPr>
      <w:r w:rsidRPr="004C7592">
        <w:rPr>
          <w:rFonts w:eastAsia="Calibri"/>
          <w:sz w:val="22"/>
        </w:rPr>
        <w:lastRenderedPageBreak/>
        <w:t>The nature of the functions conferred on the [FSCA] by section 3</w:t>
      </w:r>
      <w:r w:rsidRPr="004C7592">
        <w:rPr>
          <w:rFonts w:eastAsia="Calibri"/>
          <w:iCs/>
          <w:sz w:val="22"/>
        </w:rPr>
        <w:t xml:space="preserve">(a) </w:t>
      </w:r>
      <w:r w:rsidRPr="004C7592">
        <w:rPr>
          <w:rFonts w:eastAsia="Calibri"/>
          <w:sz w:val="22"/>
        </w:rPr>
        <w:t>of</w:t>
      </w:r>
      <w:r w:rsidRPr="006144AD">
        <w:rPr>
          <w:rFonts w:eastAsia="Calibri"/>
          <w:sz w:val="22"/>
        </w:rPr>
        <w:t xml:space="preserve"> the Financial Services Board Act, both in its original form and in its amended form, entitle and oblige the [FSCA] to seek the review by the High Court of decisions of the registrar under the Act which it considers to be invalid and which, if not reversed, would prejudice the public interest.  The [FSCA] has an administrative interest, on behalf of the public, in the proper exercise of the control vested in the registrar.”</w:t>
      </w:r>
      <w:r w:rsidRPr="006144AD">
        <w:rPr>
          <w:rFonts w:eastAsia="Calibri"/>
          <w:sz w:val="22"/>
          <w:vertAlign w:val="superscript"/>
        </w:rPr>
        <w:footnoteReference w:id="45"/>
      </w:r>
    </w:p>
    <w:p w14:paraId="60B3532B" w14:textId="77777777" w:rsidR="006144AD" w:rsidRPr="006144AD" w:rsidRDefault="006144AD" w:rsidP="006144AD">
      <w:pPr>
        <w:spacing w:line="360" w:lineRule="auto"/>
        <w:rPr>
          <w:rFonts w:eastAsia="Calibri"/>
        </w:rPr>
      </w:pPr>
    </w:p>
    <w:p w14:paraId="5A8A83D8" w14:textId="25D95697" w:rsidR="006144AD" w:rsidRPr="00BB284E" w:rsidRDefault="00811729" w:rsidP="00811729">
      <w:pPr>
        <w:spacing w:line="360" w:lineRule="auto"/>
        <w:rPr>
          <w:rFonts w:eastAsia="Calibri"/>
        </w:rPr>
      </w:pPr>
      <w:r w:rsidRPr="00BB284E">
        <w:rPr>
          <w:rFonts w:eastAsia="Calibri"/>
          <w:color w:val="000000"/>
        </w:rPr>
        <w:t>[92]</w:t>
      </w:r>
      <w:r w:rsidRPr="00BB284E">
        <w:rPr>
          <w:rFonts w:eastAsia="Calibri"/>
          <w:color w:val="000000"/>
        </w:rPr>
        <w:tab/>
      </w:r>
      <w:r w:rsidR="006144AD" w:rsidRPr="006144AD">
        <w:rPr>
          <w:rFonts w:eastAsia="Calibri"/>
        </w:rPr>
        <w:t xml:space="preserve">So too the High Court in </w:t>
      </w:r>
      <w:r w:rsidR="006144AD" w:rsidRPr="00BB284E">
        <w:rPr>
          <w:rFonts w:eastAsia="Calibri"/>
          <w:i/>
        </w:rPr>
        <w:t>De Wet N.O.</w:t>
      </w:r>
      <w:r w:rsidR="006144AD" w:rsidRPr="00BB284E">
        <w:rPr>
          <w:rFonts w:eastAsia="Calibri"/>
        </w:rPr>
        <w:t>:</w:t>
      </w:r>
      <w:r w:rsidR="006144AD" w:rsidRPr="00BB284E">
        <w:rPr>
          <w:rFonts w:eastAsia="Calibri"/>
          <w:vertAlign w:val="superscript"/>
        </w:rPr>
        <w:footnoteReference w:id="46"/>
      </w:r>
    </w:p>
    <w:p w14:paraId="0EF0CC8A" w14:textId="77777777" w:rsidR="006144AD" w:rsidRPr="006144AD" w:rsidRDefault="006144AD" w:rsidP="00BB284E">
      <w:pPr>
        <w:pStyle w:val="QUOTATION"/>
        <w:rPr>
          <w:rFonts w:eastAsia="Calibri"/>
        </w:rPr>
      </w:pPr>
    </w:p>
    <w:p w14:paraId="46E38028" w14:textId="77777777" w:rsidR="006144AD" w:rsidRPr="006144AD" w:rsidRDefault="006144AD" w:rsidP="006144AD">
      <w:pPr>
        <w:spacing w:line="360" w:lineRule="auto"/>
        <w:ind w:left="720" w:right="720"/>
        <w:rPr>
          <w:rFonts w:eastAsia="Calibri"/>
          <w:sz w:val="22"/>
        </w:rPr>
      </w:pPr>
      <w:r w:rsidRPr="006144AD">
        <w:rPr>
          <w:rFonts w:eastAsia="Calibri"/>
          <w:sz w:val="22"/>
        </w:rPr>
        <w:t>“The various statutory provisions to which I have referred . . . reflect that the registrar has very wide powers of supervision and control over pension funds.  I have little doubt that it was thought by the Legislature to be in the public interest that such supervisory powers and duties should be conferred on the registrar.  Many members of the public would belong at some stage or another to pension funds and the security of their pensions would be of vital importance to most of them.  It is in the public interest that the administration of pension funds should ensure that members are fairly dealt with and that the receipt of their pensions is not placed in jeopardy.</w:t>
      </w:r>
    </w:p>
    <w:p w14:paraId="20B856F3" w14:textId="77777777" w:rsidR="006144AD" w:rsidRPr="006144AD" w:rsidRDefault="006144AD" w:rsidP="0076022E">
      <w:pPr>
        <w:pStyle w:val="QUOTATION"/>
        <w:rPr>
          <w:rFonts w:eastAsia="Calibri"/>
        </w:rPr>
      </w:pPr>
    </w:p>
    <w:p w14:paraId="5AEC68A4" w14:textId="77777777" w:rsidR="006144AD" w:rsidRPr="006144AD" w:rsidRDefault="006144AD" w:rsidP="006144AD">
      <w:pPr>
        <w:spacing w:line="360" w:lineRule="auto"/>
        <w:ind w:left="720" w:right="720"/>
        <w:rPr>
          <w:rFonts w:eastAsia="Calibri"/>
          <w:sz w:val="22"/>
        </w:rPr>
      </w:pPr>
      <w:r w:rsidRPr="006144AD">
        <w:rPr>
          <w:rFonts w:eastAsia="Calibri"/>
          <w:sz w:val="22"/>
        </w:rPr>
        <w:t>I think it would be correct to say that one of the reasons why the Legislature has seen fit to grant extensive powers of supervision and control to the registrar is that the members of pension funds often do not have the knowledge, skill or resources to take adequate steps to protect themselves.  Their right to do so is, of course, not taken away by the Pension Funds Act 24 of 1956, but this does not detract from the conclusion which, in my view, can fairly be drawn from the provisions of the Pension Funds Act 24 of 1956 and the Financial Institutions (Investment of Funds) Act 39 of 1984, namely that the registrar fulfils an important function as the guardian of the interests of members of pension funds.”</w:t>
      </w:r>
      <w:r w:rsidRPr="006144AD">
        <w:rPr>
          <w:rFonts w:eastAsia="Calibri"/>
          <w:sz w:val="22"/>
          <w:vertAlign w:val="superscript"/>
        </w:rPr>
        <w:footnoteReference w:id="47"/>
      </w:r>
    </w:p>
    <w:p w14:paraId="3A77368B" w14:textId="77777777" w:rsidR="006144AD" w:rsidRPr="006144AD" w:rsidRDefault="006144AD" w:rsidP="006144AD">
      <w:pPr>
        <w:spacing w:line="360" w:lineRule="auto"/>
        <w:rPr>
          <w:rFonts w:eastAsia="Calibri"/>
        </w:rPr>
      </w:pPr>
    </w:p>
    <w:p w14:paraId="0A74399B" w14:textId="2FCB506E" w:rsidR="006144AD" w:rsidRPr="006144AD" w:rsidRDefault="00811729" w:rsidP="00811729">
      <w:pPr>
        <w:spacing w:line="360" w:lineRule="auto"/>
        <w:rPr>
          <w:rFonts w:eastAsia="Calibri"/>
        </w:rPr>
      </w:pPr>
      <w:r w:rsidRPr="006144AD">
        <w:rPr>
          <w:rFonts w:eastAsia="Calibri"/>
          <w:color w:val="000000"/>
        </w:rPr>
        <w:t>[93]</w:t>
      </w:r>
      <w:r w:rsidRPr="006144AD">
        <w:rPr>
          <w:rFonts w:eastAsia="Calibri"/>
          <w:color w:val="000000"/>
        </w:rPr>
        <w:tab/>
      </w:r>
      <w:r w:rsidR="006144AD" w:rsidRPr="006144AD">
        <w:rPr>
          <w:rFonts w:eastAsia="Calibri"/>
        </w:rPr>
        <w:t xml:space="preserve">The FSRA and the case law show the FSCA’s functions of supervising and enforcing compliance with laws regulating financial institutions include a duty to ensure </w:t>
      </w:r>
      <w:r w:rsidR="006144AD" w:rsidRPr="006144AD">
        <w:rPr>
          <w:rFonts w:eastAsia="Calibri"/>
        </w:rPr>
        <w:lastRenderedPageBreak/>
        <w:t>that the FSCA, and particularly the registrar, is acting lawfully.  That duty is clear with regard to the cancellations project.</w:t>
      </w:r>
    </w:p>
    <w:p w14:paraId="27D2B13F" w14:textId="77777777" w:rsidR="006144AD" w:rsidRPr="006144AD" w:rsidRDefault="006144AD" w:rsidP="006144AD">
      <w:pPr>
        <w:spacing w:line="360" w:lineRule="auto"/>
        <w:rPr>
          <w:rFonts w:eastAsia="Calibri"/>
        </w:rPr>
      </w:pPr>
    </w:p>
    <w:p w14:paraId="58E691BB" w14:textId="0CF861C4" w:rsidR="006144AD" w:rsidRPr="006144AD" w:rsidRDefault="00811729" w:rsidP="00811729">
      <w:pPr>
        <w:spacing w:line="360" w:lineRule="auto"/>
        <w:rPr>
          <w:rFonts w:eastAsia="Calibri"/>
        </w:rPr>
      </w:pPr>
      <w:r w:rsidRPr="006144AD">
        <w:rPr>
          <w:rFonts w:eastAsia="Calibri"/>
          <w:color w:val="000000"/>
        </w:rPr>
        <w:t>[94]</w:t>
      </w:r>
      <w:r w:rsidRPr="006144AD">
        <w:rPr>
          <w:rFonts w:eastAsia="Calibri"/>
          <w:color w:val="000000"/>
        </w:rPr>
        <w:tab/>
      </w:r>
      <w:r w:rsidR="006144AD" w:rsidRPr="006144AD">
        <w:rPr>
          <w:rFonts w:eastAsia="Calibri"/>
        </w:rPr>
        <w:t>The cancellation</w:t>
      </w:r>
      <w:r w:rsidR="000856D4">
        <w:rPr>
          <w:rFonts w:eastAsia="Calibri"/>
        </w:rPr>
        <w:t>s</w:t>
      </w:r>
      <w:r w:rsidR="006144AD" w:rsidRPr="006144AD">
        <w:rPr>
          <w:rFonts w:eastAsia="Calibri"/>
        </w:rPr>
        <w:t xml:space="preserve"> project was adopted as a policy applicable to cancellations effected by the registrar under the FSRA.  If the registrar did not exercise her powers under the </w:t>
      </w:r>
      <w:r w:rsidR="0076022E">
        <w:rPr>
          <w:rFonts w:eastAsia="Calibri"/>
        </w:rPr>
        <w:t>FSRA</w:t>
      </w:r>
      <w:r w:rsidR="006144AD" w:rsidRPr="006144AD">
        <w:rPr>
          <w:rFonts w:eastAsia="Calibri"/>
        </w:rPr>
        <w:t xml:space="preserve"> lawfully, she did not comply with </w:t>
      </w:r>
      <w:r w:rsidR="0076022E">
        <w:rPr>
          <w:rFonts w:eastAsia="Calibri"/>
        </w:rPr>
        <w:t>it</w:t>
      </w:r>
      <w:r w:rsidR="006144AD" w:rsidRPr="006144AD">
        <w:rPr>
          <w:rFonts w:eastAsia="Calibri"/>
        </w:rPr>
        <w:t>.  This would be a failure of her required supervision and control over pension funds under the FSRA.</w:t>
      </w:r>
    </w:p>
    <w:p w14:paraId="20719697" w14:textId="77777777" w:rsidR="006144AD" w:rsidRPr="006144AD" w:rsidRDefault="006144AD" w:rsidP="006144AD">
      <w:pPr>
        <w:spacing w:line="360" w:lineRule="auto"/>
        <w:rPr>
          <w:rFonts w:eastAsia="Calibri"/>
        </w:rPr>
      </w:pPr>
    </w:p>
    <w:p w14:paraId="40AAE8A9" w14:textId="2DAACFF3" w:rsidR="006144AD" w:rsidRPr="006144AD" w:rsidRDefault="00811729" w:rsidP="00811729">
      <w:pPr>
        <w:spacing w:line="360" w:lineRule="auto"/>
        <w:rPr>
          <w:rFonts w:eastAsia="Calibri"/>
        </w:rPr>
      </w:pPr>
      <w:r w:rsidRPr="006144AD">
        <w:rPr>
          <w:rFonts w:eastAsia="Calibri"/>
          <w:color w:val="000000"/>
        </w:rPr>
        <w:t>[95]</w:t>
      </w:r>
      <w:r w:rsidRPr="006144AD">
        <w:rPr>
          <w:rFonts w:eastAsia="Calibri"/>
          <w:color w:val="000000"/>
        </w:rPr>
        <w:tab/>
      </w:r>
      <w:r w:rsidR="006144AD" w:rsidRPr="006144AD">
        <w:rPr>
          <w:rFonts w:eastAsia="Calibri"/>
        </w:rPr>
        <w:t>There is another route to the same conclusion.  The laws regulating financial institutions and the provision of financial services must include the Constitution and other public law governing the lawfulness of administrative action.  That being so, the FSCA must supervise and enforce the registrar’s compliance with the Constitution and other public law relating to lawfulness of administrative action.</w:t>
      </w:r>
    </w:p>
    <w:p w14:paraId="77AC7202" w14:textId="77777777" w:rsidR="006144AD" w:rsidRPr="006144AD" w:rsidRDefault="006144AD" w:rsidP="006144AD">
      <w:pPr>
        <w:spacing w:line="360" w:lineRule="auto"/>
        <w:rPr>
          <w:rFonts w:eastAsia="Calibri"/>
        </w:rPr>
      </w:pPr>
    </w:p>
    <w:p w14:paraId="2D9EB608" w14:textId="6469107F" w:rsidR="006144AD" w:rsidRPr="006144AD" w:rsidRDefault="00811729" w:rsidP="00811729">
      <w:pPr>
        <w:spacing w:line="360" w:lineRule="auto"/>
        <w:rPr>
          <w:rFonts w:eastAsia="Calibri"/>
        </w:rPr>
      </w:pPr>
      <w:r w:rsidRPr="006144AD">
        <w:rPr>
          <w:rFonts w:eastAsia="Calibri"/>
          <w:color w:val="000000"/>
        </w:rPr>
        <w:t>[96]</w:t>
      </w:r>
      <w:r w:rsidRPr="006144AD">
        <w:rPr>
          <w:rFonts w:eastAsia="Calibri"/>
          <w:color w:val="000000"/>
        </w:rPr>
        <w:tab/>
      </w:r>
      <w:r w:rsidR="006144AD" w:rsidRPr="006144AD">
        <w:rPr>
          <w:rFonts w:eastAsia="Calibri"/>
        </w:rPr>
        <w:t>This suggests that the FSCA’s supervisory and enforcement role compels it to investigate potential unlawfulness as well as ordinary compliance with laws regulating financial institutions and the provision of financial services.  Since it has a duty to address unlawful action, it cannot simply let suspicions of unlawfulness lie.  Its duty to set aside unlawful action entails a duty to investigate where the lawfulness of an action is questionable.</w:t>
      </w:r>
    </w:p>
    <w:p w14:paraId="3CBA1BC3" w14:textId="77777777" w:rsidR="006144AD" w:rsidRPr="006144AD" w:rsidRDefault="006144AD" w:rsidP="006144AD">
      <w:pPr>
        <w:spacing w:line="360" w:lineRule="auto"/>
        <w:rPr>
          <w:rFonts w:eastAsia="Calibri"/>
        </w:rPr>
      </w:pPr>
    </w:p>
    <w:p w14:paraId="4AC7CCEC" w14:textId="3C7B61F0" w:rsidR="006144AD" w:rsidRPr="006144AD" w:rsidRDefault="00811729" w:rsidP="00811729">
      <w:pPr>
        <w:spacing w:line="360" w:lineRule="auto"/>
        <w:rPr>
          <w:rFonts w:eastAsia="Calibri"/>
        </w:rPr>
      </w:pPr>
      <w:r w:rsidRPr="006144AD">
        <w:rPr>
          <w:rFonts w:eastAsia="Calibri"/>
          <w:color w:val="000000"/>
        </w:rPr>
        <w:t>[97]</w:t>
      </w:r>
      <w:r w:rsidRPr="006144AD">
        <w:rPr>
          <w:rFonts w:eastAsia="Calibri"/>
          <w:color w:val="000000"/>
        </w:rPr>
        <w:tab/>
      </w:r>
      <w:r w:rsidR="006144AD" w:rsidRPr="006144AD">
        <w:rPr>
          <w:rFonts w:eastAsia="Calibri"/>
        </w:rPr>
        <w:t>Where a public functionary is alleged to have breached a constitutional duty, the courts provide a forum in which the alleged breach can be challenged.  I turn then to how such a challenge should be brought.</w:t>
      </w:r>
    </w:p>
    <w:p w14:paraId="6E0D65B4" w14:textId="77777777" w:rsidR="006144AD" w:rsidRPr="006144AD" w:rsidRDefault="006144AD" w:rsidP="00372EAC">
      <w:pPr>
        <w:pStyle w:val="JUDGMENTCONTINUED"/>
        <w:rPr>
          <w:rFonts w:eastAsia="Calibri"/>
        </w:rPr>
      </w:pPr>
    </w:p>
    <w:p w14:paraId="1303A0C8" w14:textId="77777777" w:rsidR="006144AD" w:rsidRPr="006144AD" w:rsidRDefault="006144AD" w:rsidP="00372EAC">
      <w:pPr>
        <w:pStyle w:val="HEADING"/>
        <w:rPr>
          <w:rFonts w:eastAsia="Calibri"/>
        </w:rPr>
      </w:pPr>
      <w:r w:rsidRPr="006144AD">
        <w:rPr>
          <w:rFonts w:eastAsia="Calibri"/>
        </w:rPr>
        <w:t>Should Ms Hunter have brought a review under PAJA?</w:t>
      </w:r>
    </w:p>
    <w:p w14:paraId="0D3BCBD6" w14:textId="2482797C" w:rsidR="006144AD" w:rsidRPr="006144AD" w:rsidRDefault="00811729" w:rsidP="00811729">
      <w:pPr>
        <w:spacing w:line="360" w:lineRule="auto"/>
        <w:rPr>
          <w:rFonts w:eastAsia="Calibri"/>
        </w:rPr>
      </w:pPr>
      <w:r w:rsidRPr="006144AD">
        <w:rPr>
          <w:rFonts w:eastAsia="Calibri"/>
          <w:color w:val="000000"/>
        </w:rPr>
        <w:t>[98]</w:t>
      </w:r>
      <w:r w:rsidRPr="006144AD">
        <w:rPr>
          <w:rFonts w:eastAsia="Calibri"/>
          <w:color w:val="000000"/>
        </w:rPr>
        <w:tab/>
      </w:r>
      <w:r w:rsidR="006144AD" w:rsidRPr="006144AD">
        <w:rPr>
          <w:rFonts w:eastAsia="Calibri"/>
        </w:rPr>
        <w:t>I agree with the first judgment that d</w:t>
      </w:r>
      <w:r w:rsidR="00372EAC">
        <w:rPr>
          <w:rFonts w:eastAsia="Calibri"/>
        </w:rPr>
        <w:t>ecisions made to cancel “orphan</w:t>
      </w:r>
      <w:r w:rsidR="006144AD" w:rsidRPr="006144AD">
        <w:rPr>
          <w:rFonts w:eastAsia="Calibri"/>
        </w:rPr>
        <w:t xml:space="preserve"> funds</w:t>
      </w:r>
      <w:r w:rsidR="00372EAC">
        <w:rPr>
          <w:rFonts w:eastAsia="Calibri"/>
        </w:rPr>
        <w:t>”</w:t>
      </w:r>
      <w:r w:rsidR="006144AD" w:rsidRPr="006144AD">
        <w:rPr>
          <w:rFonts w:eastAsia="Calibri"/>
        </w:rPr>
        <w:t xml:space="preserve"> must be challenged by way of review under PAJA.  However, the case brought before us was not a challenge to any such decisions.</w:t>
      </w:r>
    </w:p>
    <w:p w14:paraId="4A07868A" w14:textId="77777777" w:rsidR="006144AD" w:rsidRPr="006144AD" w:rsidRDefault="006144AD" w:rsidP="006144AD">
      <w:pPr>
        <w:spacing w:line="360" w:lineRule="auto"/>
        <w:rPr>
          <w:rFonts w:eastAsia="Calibri"/>
        </w:rPr>
      </w:pPr>
    </w:p>
    <w:p w14:paraId="1DC14602" w14:textId="4E015764" w:rsidR="006144AD" w:rsidRPr="006144AD" w:rsidRDefault="00811729" w:rsidP="00811729">
      <w:pPr>
        <w:spacing w:line="360" w:lineRule="auto"/>
        <w:rPr>
          <w:rFonts w:eastAsia="Calibri"/>
        </w:rPr>
      </w:pPr>
      <w:r w:rsidRPr="006144AD">
        <w:rPr>
          <w:rFonts w:eastAsia="Calibri"/>
          <w:color w:val="000000"/>
        </w:rPr>
        <w:lastRenderedPageBreak/>
        <w:t>[99]</w:t>
      </w:r>
      <w:r w:rsidRPr="006144AD">
        <w:rPr>
          <w:rFonts w:eastAsia="Calibri"/>
          <w:color w:val="000000"/>
        </w:rPr>
        <w:tab/>
      </w:r>
      <w:r w:rsidR="006144AD" w:rsidRPr="006144AD">
        <w:rPr>
          <w:rFonts w:eastAsia="Calibri"/>
        </w:rPr>
        <w:t>Ms Hunter argued that the FSCA failed to fulfil its constitutional duty to investigate potential irregularities.  The relevant question is whether that duty must be enforced by way of PAJA review.  Ms Hunter’s challenge, and other challenges of the same type, could not be brought under PAJA.  Therefore, legality review is the appropriate mechanism to challenge the FSCA’s alleged failure to fulfil its duty to investigate.</w:t>
      </w:r>
    </w:p>
    <w:p w14:paraId="1AA78775" w14:textId="77777777" w:rsidR="006144AD" w:rsidRPr="006144AD" w:rsidRDefault="006144AD" w:rsidP="006144AD">
      <w:pPr>
        <w:spacing w:line="360" w:lineRule="auto"/>
        <w:rPr>
          <w:rFonts w:eastAsia="Calibri"/>
        </w:rPr>
      </w:pPr>
    </w:p>
    <w:p w14:paraId="280446FB" w14:textId="1C56EE51" w:rsidR="006144AD" w:rsidRPr="006144AD" w:rsidRDefault="00811729" w:rsidP="00811729">
      <w:pPr>
        <w:spacing w:line="360" w:lineRule="auto"/>
        <w:rPr>
          <w:rFonts w:eastAsia="Calibri"/>
        </w:rPr>
      </w:pPr>
      <w:r w:rsidRPr="006144AD">
        <w:rPr>
          <w:rFonts w:eastAsia="Calibri"/>
          <w:color w:val="000000"/>
        </w:rPr>
        <w:t>[100]</w:t>
      </w:r>
      <w:r w:rsidRPr="006144AD">
        <w:rPr>
          <w:rFonts w:eastAsia="Calibri"/>
          <w:color w:val="000000"/>
        </w:rPr>
        <w:tab/>
      </w:r>
      <w:r w:rsidR="006144AD" w:rsidRPr="006144AD">
        <w:rPr>
          <w:rFonts w:eastAsia="Calibri"/>
        </w:rPr>
        <w:t xml:space="preserve">In </w:t>
      </w:r>
      <w:proofErr w:type="spellStart"/>
      <w:r w:rsidR="006144AD" w:rsidRPr="006144AD">
        <w:rPr>
          <w:rFonts w:eastAsia="Calibri"/>
          <w:i/>
        </w:rPr>
        <w:t>Gijima</w:t>
      </w:r>
      <w:proofErr w:type="spellEnd"/>
      <w:r w:rsidR="006144AD" w:rsidRPr="006144AD">
        <w:rPr>
          <w:rFonts w:eastAsia="Calibri"/>
          <w:i/>
        </w:rPr>
        <w:t xml:space="preserve"> </w:t>
      </w:r>
      <w:r w:rsidR="006144AD" w:rsidRPr="006144AD">
        <w:rPr>
          <w:rFonts w:eastAsia="Calibri"/>
        </w:rPr>
        <w:t>we held that the constitutional right to lawful administrative action under section 33 of the Constitution is enjoyed only by private persons and that the bearer of obligations under the section is the state.</w:t>
      </w:r>
      <w:r w:rsidR="006144AD" w:rsidRPr="006144AD">
        <w:rPr>
          <w:rFonts w:eastAsia="Calibri"/>
          <w:vertAlign w:val="superscript"/>
        </w:rPr>
        <w:footnoteReference w:id="48"/>
      </w:r>
      <w:r w:rsidR="006144AD" w:rsidRPr="006144AD">
        <w:rPr>
          <w:rFonts w:eastAsia="Calibri"/>
        </w:rPr>
        <w:t xml:space="preserve">  This does not mean that an organ of state cannot apply for review of its own decision, only that it cannot do so under PAJA.  Its remedy lies in legality review.</w:t>
      </w:r>
      <w:r w:rsidR="006144AD" w:rsidRPr="006144AD">
        <w:rPr>
          <w:rFonts w:eastAsia="Calibri"/>
          <w:vertAlign w:val="superscript"/>
        </w:rPr>
        <w:footnoteReference w:id="49"/>
      </w:r>
      <w:r w:rsidR="006144AD" w:rsidRPr="006144AD">
        <w:rPr>
          <w:rFonts w:eastAsia="Calibri"/>
        </w:rPr>
        <w:t xml:space="preserve">  In </w:t>
      </w:r>
      <w:r w:rsidR="006144AD" w:rsidRPr="006144AD">
        <w:rPr>
          <w:rFonts w:eastAsia="Calibri"/>
          <w:i/>
        </w:rPr>
        <w:t>Transnet Pension Fund</w:t>
      </w:r>
      <w:bookmarkStart w:id="25" w:name="_Ref524446422"/>
      <w:r w:rsidR="006144AD" w:rsidRPr="006144AD">
        <w:rPr>
          <w:rFonts w:eastAsia="Calibri"/>
          <w:vertAlign w:val="superscript"/>
        </w:rPr>
        <w:footnoteReference w:id="50"/>
      </w:r>
      <w:bookmarkEnd w:id="25"/>
      <w:r w:rsidR="006144AD" w:rsidRPr="006144AD">
        <w:rPr>
          <w:rFonts w:eastAsia="Calibri"/>
          <w:i/>
        </w:rPr>
        <w:t xml:space="preserve"> </w:t>
      </w:r>
      <w:r w:rsidR="006144AD" w:rsidRPr="006144AD">
        <w:rPr>
          <w:rFonts w:eastAsia="Calibri"/>
        </w:rPr>
        <w:t xml:space="preserve">we reaffirmed that a separate claim may lie, based on the same conduct, even though that conduct might also amount to administrative action under PAJA.  The facts pleaded and arguments raised, were on their face at least, not based on administrative justice, but on the asserted application of the </w:t>
      </w:r>
      <w:r w:rsidR="006144AD" w:rsidRPr="006144AD">
        <w:rPr>
          <w:rFonts w:eastAsia="Calibri"/>
          <w:i/>
        </w:rPr>
        <w:t>KZN</w:t>
      </w:r>
      <w:r w:rsidR="006144AD" w:rsidRPr="006144AD">
        <w:rPr>
          <w:rFonts w:eastAsia="Calibri"/>
          <w:vertAlign w:val="superscript"/>
        </w:rPr>
        <w:footnoteReference w:id="51"/>
      </w:r>
      <w:r w:rsidR="006144AD" w:rsidRPr="006144AD">
        <w:rPr>
          <w:rFonts w:eastAsia="Calibri"/>
        </w:rPr>
        <w:t xml:space="preserve"> constitutional principle of unconscionable state conduct that is in breach of reliance, accountability and rationality.</w:t>
      </w:r>
      <w:r w:rsidR="006144AD" w:rsidRPr="006144AD">
        <w:rPr>
          <w:rFonts w:eastAsia="Calibri"/>
          <w:vertAlign w:val="superscript"/>
        </w:rPr>
        <w:footnoteReference w:id="52"/>
      </w:r>
    </w:p>
    <w:p w14:paraId="4723DCDB" w14:textId="77777777" w:rsidR="006144AD" w:rsidRPr="006144AD" w:rsidRDefault="006144AD" w:rsidP="006144AD">
      <w:pPr>
        <w:spacing w:line="360" w:lineRule="auto"/>
        <w:rPr>
          <w:rFonts w:eastAsia="Calibri"/>
        </w:rPr>
      </w:pPr>
    </w:p>
    <w:p w14:paraId="45DC96F3" w14:textId="1CB6653F" w:rsidR="006144AD" w:rsidRPr="006144AD" w:rsidRDefault="00811729" w:rsidP="00811729">
      <w:pPr>
        <w:spacing w:line="360" w:lineRule="auto"/>
        <w:rPr>
          <w:rFonts w:eastAsia="Calibri"/>
          <w:lang w:val="en-US"/>
        </w:rPr>
      </w:pPr>
      <w:r w:rsidRPr="006144AD">
        <w:rPr>
          <w:rFonts w:eastAsia="Calibri"/>
          <w:color w:val="000000"/>
          <w:lang w:val="en-US"/>
        </w:rPr>
        <w:t>[101]</w:t>
      </w:r>
      <w:r w:rsidRPr="006144AD">
        <w:rPr>
          <w:rFonts w:eastAsia="Calibri"/>
          <w:color w:val="000000"/>
          <w:lang w:val="en-US"/>
        </w:rPr>
        <w:tab/>
      </w:r>
      <w:r w:rsidR="006144AD" w:rsidRPr="006144AD">
        <w:rPr>
          <w:rFonts w:eastAsia="Calibri"/>
        </w:rPr>
        <w:t xml:space="preserve">If </w:t>
      </w:r>
      <w:r w:rsidR="006144AD" w:rsidRPr="006144AD">
        <w:rPr>
          <w:rFonts w:eastAsia="Calibri"/>
          <w:lang w:val="en-US"/>
        </w:rPr>
        <w:t xml:space="preserve">a responsible functionary whose attention is drawn to a potential irregularity has a duty to launch a proportionate investigation into that potential irregularity, that duty flows from constitutional and statutory principles of accountability, transparency and openness and not directly from an individual’s constitutional right to lawful administrative action.  </w:t>
      </w:r>
      <w:proofErr w:type="spellStart"/>
      <w:r w:rsidR="006144AD" w:rsidRPr="006144AD">
        <w:rPr>
          <w:rFonts w:eastAsia="Calibri"/>
          <w:lang w:val="en-US"/>
        </w:rPr>
        <w:t>Ms</w:t>
      </w:r>
      <w:proofErr w:type="spellEnd"/>
      <w:r w:rsidR="006144AD" w:rsidRPr="006144AD">
        <w:rPr>
          <w:rFonts w:eastAsia="Calibri"/>
          <w:lang w:val="en-US"/>
        </w:rPr>
        <w:t xml:space="preserve"> Hunter seeks to compel the FSCA, an organ of state, to fulfill that duty.  She relies on the FSCA’s own obligation, independent of PAJA, to fulfill that duty and to bring a legality review to correct any unlawful conduct that comes to light.  PAJA does not apply.</w:t>
      </w:r>
    </w:p>
    <w:p w14:paraId="3A97B681" w14:textId="77777777" w:rsidR="006144AD" w:rsidRPr="006144AD" w:rsidRDefault="006144AD" w:rsidP="006144AD">
      <w:pPr>
        <w:spacing w:line="360" w:lineRule="auto"/>
        <w:rPr>
          <w:rFonts w:eastAsia="Calibri"/>
          <w:lang w:val="en-US"/>
        </w:rPr>
      </w:pPr>
    </w:p>
    <w:p w14:paraId="69413E9D" w14:textId="158B5130" w:rsidR="006144AD" w:rsidRPr="006144AD" w:rsidRDefault="00811729" w:rsidP="00811729">
      <w:pPr>
        <w:spacing w:line="360" w:lineRule="auto"/>
        <w:rPr>
          <w:rFonts w:eastAsia="Calibri"/>
          <w:i/>
          <w:lang w:val="en-US"/>
        </w:rPr>
      </w:pPr>
      <w:r w:rsidRPr="006144AD">
        <w:rPr>
          <w:rFonts w:eastAsia="Calibri"/>
          <w:color w:val="000000"/>
          <w:lang w:val="en-US"/>
        </w:rPr>
        <w:t>[102]</w:t>
      </w:r>
      <w:r w:rsidRPr="006144AD">
        <w:rPr>
          <w:rFonts w:eastAsia="Calibri"/>
          <w:color w:val="000000"/>
          <w:lang w:val="en-US"/>
        </w:rPr>
        <w:tab/>
      </w:r>
      <w:r w:rsidR="006144AD" w:rsidRPr="006144AD">
        <w:rPr>
          <w:rFonts w:eastAsia="Calibri"/>
          <w:lang w:val="en-US"/>
        </w:rPr>
        <w:t xml:space="preserve">There is nothing new in the claim that public functionaries are obliged to investigate potential irregularities arising from their own actions.  That principle is stated generally and unequivocally in </w:t>
      </w:r>
      <w:proofErr w:type="spellStart"/>
      <w:r w:rsidR="006144AD" w:rsidRPr="006144AD">
        <w:rPr>
          <w:rFonts w:eastAsia="Calibri"/>
          <w:i/>
          <w:lang w:val="en-US"/>
        </w:rPr>
        <w:t>Khumalo</w:t>
      </w:r>
      <w:proofErr w:type="spellEnd"/>
      <w:r w:rsidR="006144AD" w:rsidRPr="006144AD">
        <w:rPr>
          <w:rFonts w:eastAsia="Calibri"/>
          <w:lang w:val="en-US"/>
        </w:rPr>
        <w:t>.</w:t>
      </w:r>
      <w:r w:rsidR="006144AD" w:rsidRPr="006144AD">
        <w:rPr>
          <w:rFonts w:eastAsia="Calibri"/>
          <w:vertAlign w:val="superscript"/>
          <w:lang w:val="en-US"/>
        </w:rPr>
        <w:footnoteReference w:id="53"/>
      </w:r>
    </w:p>
    <w:p w14:paraId="070BFF61" w14:textId="77777777" w:rsidR="006144AD" w:rsidRPr="006144AD" w:rsidRDefault="006144AD" w:rsidP="006144AD">
      <w:pPr>
        <w:spacing w:line="360" w:lineRule="auto"/>
        <w:rPr>
          <w:rFonts w:eastAsia="Calibri"/>
          <w:lang w:val="en-US"/>
        </w:rPr>
      </w:pPr>
    </w:p>
    <w:p w14:paraId="7250E6C1" w14:textId="3D8795D1" w:rsidR="006144AD" w:rsidRPr="006144AD" w:rsidRDefault="00811729" w:rsidP="00811729">
      <w:pPr>
        <w:spacing w:line="360" w:lineRule="auto"/>
        <w:rPr>
          <w:rFonts w:eastAsia="Calibri"/>
        </w:rPr>
      </w:pPr>
      <w:r w:rsidRPr="006144AD">
        <w:rPr>
          <w:rFonts w:eastAsia="Calibri"/>
          <w:color w:val="000000"/>
        </w:rPr>
        <w:t>[103]</w:t>
      </w:r>
      <w:r w:rsidRPr="006144AD">
        <w:rPr>
          <w:rFonts w:eastAsia="Calibri"/>
          <w:color w:val="000000"/>
        </w:rPr>
        <w:tab/>
      </w:r>
      <w:r w:rsidR="006144AD" w:rsidRPr="006144AD">
        <w:rPr>
          <w:rFonts w:eastAsia="Calibri"/>
          <w:lang w:val="en-US"/>
        </w:rPr>
        <w:t xml:space="preserve">Ordinarily, </w:t>
      </w:r>
      <w:r w:rsidR="006144AD" w:rsidRPr="006144AD">
        <w:rPr>
          <w:rFonts w:eastAsia="Calibri"/>
        </w:rPr>
        <w:t>functionaries will investigate and where necessary approach the courts to set aside irregularities by way of legality review.  But what happens when a functionary refuses to investigate?  What is the appropriate means to enforce the obligation?</w:t>
      </w:r>
    </w:p>
    <w:p w14:paraId="24B174FF" w14:textId="77777777" w:rsidR="006144AD" w:rsidRPr="006144AD" w:rsidRDefault="006144AD" w:rsidP="006144AD">
      <w:pPr>
        <w:spacing w:line="360" w:lineRule="auto"/>
        <w:rPr>
          <w:rFonts w:eastAsia="Calibri"/>
        </w:rPr>
      </w:pPr>
    </w:p>
    <w:p w14:paraId="46E23048" w14:textId="4BFCD516" w:rsidR="006144AD" w:rsidRPr="006144AD" w:rsidRDefault="00811729" w:rsidP="00811729">
      <w:pPr>
        <w:spacing w:line="360" w:lineRule="auto"/>
        <w:rPr>
          <w:rFonts w:eastAsia="Calibri"/>
        </w:rPr>
      </w:pPr>
      <w:r w:rsidRPr="006144AD">
        <w:rPr>
          <w:rFonts w:eastAsia="Calibri"/>
          <w:color w:val="000000"/>
        </w:rPr>
        <w:t>[104]</w:t>
      </w:r>
      <w:r w:rsidRPr="006144AD">
        <w:rPr>
          <w:rFonts w:eastAsia="Calibri"/>
          <w:color w:val="000000"/>
        </w:rPr>
        <w:tab/>
      </w:r>
      <w:r w:rsidR="006144AD" w:rsidRPr="006144AD">
        <w:rPr>
          <w:rFonts w:eastAsia="Calibri"/>
        </w:rPr>
        <w:t xml:space="preserve">Must any such enforcement be by way of PAJA?  One might think that the failure to investigate is a decision for the purposes of PAJA and it can be challenged on the usual grounds.  I would demur.  PAJA is not an adequate means by which to enforce the duty to investigate set out in </w:t>
      </w:r>
      <w:proofErr w:type="spellStart"/>
      <w:r w:rsidR="006144AD" w:rsidRPr="006144AD">
        <w:rPr>
          <w:rFonts w:eastAsia="Calibri"/>
          <w:i/>
        </w:rPr>
        <w:t>Khumalo</w:t>
      </w:r>
      <w:proofErr w:type="spellEnd"/>
      <w:r w:rsidR="006144AD" w:rsidRPr="006144AD">
        <w:rPr>
          <w:rFonts w:eastAsia="Calibri"/>
        </w:rPr>
        <w:t>.</w:t>
      </w:r>
    </w:p>
    <w:p w14:paraId="6E63053B" w14:textId="77777777" w:rsidR="006144AD" w:rsidRPr="006144AD" w:rsidRDefault="006144AD" w:rsidP="006144AD">
      <w:pPr>
        <w:spacing w:line="360" w:lineRule="auto"/>
        <w:rPr>
          <w:rFonts w:eastAsia="Calibri"/>
        </w:rPr>
      </w:pPr>
    </w:p>
    <w:p w14:paraId="67CCA8C9" w14:textId="328FA6C0" w:rsidR="006144AD" w:rsidRPr="006144AD" w:rsidRDefault="00811729" w:rsidP="00811729">
      <w:pPr>
        <w:spacing w:line="360" w:lineRule="auto"/>
        <w:rPr>
          <w:rFonts w:eastAsia="Calibri"/>
        </w:rPr>
      </w:pPr>
      <w:r w:rsidRPr="006144AD">
        <w:rPr>
          <w:rFonts w:eastAsia="Calibri"/>
          <w:color w:val="000000"/>
        </w:rPr>
        <w:t>[105]</w:t>
      </w:r>
      <w:r w:rsidRPr="006144AD">
        <w:rPr>
          <w:rFonts w:eastAsia="Calibri"/>
          <w:color w:val="000000"/>
        </w:rPr>
        <w:tab/>
      </w:r>
      <w:r w:rsidR="006144AD" w:rsidRPr="006144AD">
        <w:rPr>
          <w:rFonts w:eastAsia="Calibri"/>
        </w:rPr>
        <w:t xml:space="preserve">PAJA review is not simply about whether there has been a decision made by a public functionary.  To be reviewable administrative action, a decision must adversely affect the rights of any person and have direct, external legal effect.  Even taking into account the comments of Nugent JA in </w:t>
      </w:r>
      <w:r w:rsidR="006144AD" w:rsidRPr="006144AD">
        <w:rPr>
          <w:rFonts w:eastAsia="Calibri"/>
          <w:i/>
        </w:rPr>
        <w:t>Grey’s Marine</w:t>
      </w:r>
      <w:r w:rsidR="006144AD" w:rsidRPr="006144AD">
        <w:rPr>
          <w:rFonts w:eastAsia="Calibri"/>
        </w:rPr>
        <w:t>,</w:t>
      </w:r>
      <w:r w:rsidR="006144AD" w:rsidRPr="006144AD">
        <w:rPr>
          <w:rFonts w:eastAsia="Calibri"/>
          <w:vertAlign w:val="superscript"/>
        </w:rPr>
        <w:footnoteReference w:id="54"/>
      </w:r>
      <w:r w:rsidR="006144AD" w:rsidRPr="006144AD">
        <w:rPr>
          <w:rFonts w:eastAsia="Calibri"/>
        </w:rPr>
        <w:t xml:space="preserve"> a failure to investigate does not meet that criterion.  The legally effective decisions are those that stand to be investigated (in this case the cancellations).  In a case like this, PAJA does not bite.</w:t>
      </w:r>
    </w:p>
    <w:p w14:paraId="317406B4" w14:textId="77777777" w:rsidR="006144AD" w:rsidRPr="006144AD" w:rsidRDefault="006144AD" w:rsidP="006144AD">
      <w:pPr>
        <w:spacing w:line="360" w:lineRule="auto"/>
        <w:rPr>
          <w:rFonts w:eastAsia="Calibri"/>
        </w:rPr>
      </w:pPr>
    </w:p>
    <w:p w14:paraId="4B31FF82" w14:textId="1D25147C" w:rsidR="006144AD" w:rsidRPr="006144AD" w:rsidRDefault="00811729" w:rsidP="00811729">
      <w:pPr>
        <w:spacing w:line="360" w:lineRule="auto"/>
        <w:rPr>
          <w:rFonts w:eastAsia="Calibri"/>
        </w:rPr>
      </w:pPr>
      <w:r w:rsidRPr="006144AD">
        <w:rPr>
          <w:rFonts w:eastAsia="Calibri"/>
          <w:color w:val="000000"/>
        </w:rPr>
        <w:t>[106]</w:t>
      </w:r>
      <w:r w:rsidRPr="006144AD">
        <w:rPr>
          <w:rFonts w:eastAsia="Calibri"/>
          <w:color w:val="000000"/>
        </w:rPr>
        <w:tab/>
      </w:r>
      <w:r w:rsidR="006144AD" w:rsidRPr="006144AD">
        <w:rPr>
          <w:rFonts w:eastAsia="Calibri"/>
        </w:rPr>
        <w:t>It follows that the failure of a public functionary to investigate potential irregularities arising from its own actions is not PAJA-reviewable.  But it would be wholly inadequate if the legal position ended there.  It cannot be that public functionaries are under an oblig</w:t>
      </w:r>
      <w:r w:rsidR="0011477F">
        <w:rPr>
          <w:rFonts w:eastAsia="Calibri"/>
        </w:rPr>
        <w:t>ation to investigate potential</w:t>
      </w:r>
      <w:r w:rsidR="006144AD" w:rsidRPr="006144AD">
        <w:rPr>
          <w:rFonts w:eastAsia="Calibri"/>
        </w:rPr>
        <w:t xml:space="preserve"> irregularities, but that there is no legal recourse against them when they fail to live up to that obligation.</w:t>
      </w:r>
    </w:p>
    <w:p w14:paraId="5823E914" w14:textId="77777777" w:rsidR="006144AD" w:rsidRPr="006144AD" w:rsidRDefault="006144AD" w:rsidP="006144AD">
      <w:pPr>
        <w:spacing w:line="360" w:lineRule="auto"/>
        <w:rPr>
          <w:rFonts w:eastAsia="Calibri"/>
        </w:rPr>
      </w:pPr>
    </w:p>
    <w:p w14:paraId="74B18FB6" w14:textId="2E26AF70" w:rsidR="006144AD" w:rsidRPr="006144AD" w:rsidRDefault="00811729" w:rsidP="00811729">
      <w:pPr>
        <w:spacing w:line="360" w:lineRule="auto"/>
        <w:rPr>
          <w:rFonts w:eastAsia="Calibri"/>
        </w:rPr>
      </w:pPr>
      <w:r w:rsidRPr="006144AD">
        <w:rPr>
          <w:rFonts w:eastAsia="Calibri"/>
          <w:color w:val="000000"/>
        </w:rPr>
        <w:lastRenderedPageBreak/>
        <w:t>[107]</w:t>
      </w:r>
      <w:r w:rsidRPr="006144AD">
        <w:rPr>
          <w:rFonts w:eastAsia="Calibri"/>
          <w:color w:val="000000"/>
        </w:rPr>
        <w:tab/>
      </w:r>
      <w:r w:rsidR="006144AD" w:rsidRPr="006144AD">
        <w:rPr>
          <w:rFonts w:eastAsia="Calibri"/>
        </w:rPr>
        <w:t>Recourse must then lie in legality review.  Where an individual is concerned that a public functionary has failed to fulfil its duty to investigate potential irregularities, that individual may challenge the legality of the alleged failure in the courts outside the bounds of PAJA.</w:t>
      </w:r>
    </w:p>
    <w:p w14:paraId="5AE32516" w14:textId="77777777" w:rsidR="006144AD" w:rsidRPr="006144AD" w:rsidRDefault="006144AD" w:rsidP="006144AD">
      <w:pPr>
        <w:spacing w:line="360" w:lineRule="auto"/>
        <w:rPr>
          <w:rFonts w:eastAsia="Calibri"/>
          <w:lang w:val="en-US"/>
        </w:rPr>
      </w:pPr>
    </w:p>
    <w:p w14:paraId="5712B374" w14:textId="51330A80" w:rsidR="006144AD" w:rsidRPr="006144AD" w:rsidRDefault="00811729" w:rsidP="00811729">
      <w:pPr>
        <w:spacing w:line="360" w:lineRule="auto"/>
        <w:rPr>
          <w:rFonts w:eastAsia="Calibri"/>
          <w:lang w:val="en-US"/>
        </w:rPr>
      </w:pPr>
      <w:r w:rsidRPr="006144AD">
        <w:rPr>
          <w:rFonts w:eastAsia="Calibri"/>
          <w:color w:val="000000"/>
          <w:lang w:val="en-US"/>
        </w:rPr>
        <w:t>[108]</w:t>
      </w:r>
      <w:r w:rsidRPr="006144AD">
        <w:rPr>
          <w:rFonts w:eastAsia="Calibri"/>
          <w:color w:val="000000"/>
          <w:lang w:val="en-US"/>
        </w:rPr>
        <w:tab/>
      </w:r>
      <w:r w:rsidR="006144AD" w:rsidRPr="006144AD">
        <w:rPr>
          <w:rFonts w:eastAsia="Calibri"/>
          <w:lang w:val="en-US"/>
        </w:rPr>
        <w:t>It remains to apply the legal principles to the facts.</w:t>
      </w:r>
    </w:p>
    <w:p w14:paraId="037B49A7" w14:textId="77777777" w:rsidR="006144AD" w:rsidRPr="006144AD" w:rsidRDefault="006144AD" w:rsidP="006144AD">
      <w:pPr>
        <w:spacing w:line="360" w:lineRule="auto"/>
        <w:rPr>
          <w:rFonts w:eastAsia="Calibri"/>
          <w:lang w:val="en-US"/>
        </w:rPr>
      </w:pPr>
    </w:p>
    <w:p w14:paraId="2BC53D59" w14:textId="77777777" w:rsidR="006144AD" w:rsidRPr="006144AD" w:rsidRDefault="006144AD" w:rsidP="006144AD">
      <w:pPr>
        <w:keepNext/>
        <w:spacing w:after="120" w:line="360" w:lineRule="auto"/>
        <w:rPr>
          <w:rFonts w:eastAsia="Calibri"/>
          <w:i/>
          <w:lang w:val="en-US"/>
        </w:rPr>
      </w:pPr>
      <w:r w:rsidRPr="006144AD">
        <w:rPr>
          <w:rFonts w:eastAsia="Calibri"/>
          <w:i/>
          <w:lang w:val="en-US"/>
        </w:rPr>
        <w:t>Application to the facts</w:t>
      </w:r>
    </w:p>
    <w:p w14:paraId="48CF4338" w14:textId="2A170BF9" w:rsidR="006144AD" w:rsidRPr="006144AD" w:rsidRDefault="00811729" w:rsidP="00811729">
      <w:pPr>
        <w:spacing w:line="360" w:lineRule="auto"/>
        <w:rPr>
          <w:rFonts w:eastAsia="Calibri"/>
        </w:rPr>
      </w:pPr>
      <w:r w:rsidRPr="006144AD">
        <w:rPr>
          <w:rFonts w:eastAsia="Calibri"/>
          <w:color w:val="000000"/>
        </w:rPr>
        <w:t>[109]</w:t>
      </w:r>
      <w:r w:rsidRPr="006144AD">
        <w:rPr>
          <w:rFonts w:eastAsia="Calibri"/>
          <w:color w:val="000000"/>
        </w:rPr>
        <w:tab/>
      </w:r>
      <w:r w:rsidR="006144AD" w:rsidRPr="006144AD">
        <w:rPr>
          <w:rFonts w:eastAsia="Calibri"/>
        </w:rPr>
        <w:t>There have been several investigations into 510 of the 4651 cancellation decisions made in the course of the cancellation</w:t>
      </w:r>
      <w:r w:rsidR="000856D4">
        <w:rPr>
          <w:rFonts w:eastAsia="Calibri"/>
        </w:rPr>
        <w:t>s</w:t>
      </w:r>
      <w:r w:rsidR="006144AD" w:rsidRPr="006144AD">
        <w:rPr>
          <w:rFonts w:eastAsia="Calibri"/>
        </w:rPr>
        <w:t xml:space="preserve"> project.  At this point, there is no real dispute that the FSCA has fulfilled its investigative duty with respect to those 510 cancellation decisions.  However, Ms Hunter’s allegations impugn the whole project.  Consequently, we must ask whether the FSCA has fulfilled that duty with respect to the 4000 or so cancellations which have not been investigated.  It is critical that we focus on the adequacy of the investigations in relation to those funds rather than the 510 about which there is no real dispute.</w:t>
      </w:r>
    </w:p>
    <w:p w14:paraId="5252848C" w14:textId="77777777" w:rsidR="006144AD" w:rsidRPr="006144AD" w:rsidRDefault="006144AD" w:rsidP="006144AD">
      <w:pPr>
        <w:spacing w:line="360" w:lineRule="auto"/>
        <w:rPr>
          <w:rFonts w:eastAsia="Calibri"/>
        </w:rPr>
      </w:pPr>
    </w:p>
    <w:p w14:paraId="42B3DA75" w14:textId="48601BCB" w:rsidR="006144AD" w:rsidRPr="006144AD" w:rsidRDefault="00811729" w:rsidP="00811729">
      <w:pPr>
        <w:spacing w:line="360" w:lineRule="auto"/>
        <w:rPr>
          <w:rFonts w:eastAsia="Calibri"/>
        </w:rPr>
      </w:pPr>
      <w:r w:rsidRPr="006144AD">
        <w:rPr>
          <w:rFonts w:eastAsia="Calibri"/>
          <w:color w:val="000000"/>
        </w:rPr>
        <w:t>[110]</w:t>
      </w:r>
      <w:r w:rsidRPr="006144AD">
        <w:rPr>
          <w:rFonts w:eastAsia="Calibri"/>
          <w:color w:val="000000"/>
        </w:rPr>
        <w:tab/>
      </w:r>
      <w:r w:rsidR="006144AD" w:rsidRPr="006144AD">
        <w:rPr>
          <w:rFonts w:eastAsia="Calibri"/>
        </w:rPr>
        <w:t>The main argument offered by the respondents as to the sufficiency of the investigation was that an analysis of the sample showed that there was no need to investigate the other 4000 or so cancellations.  In my view, that argument must fail.  Two additional reasons motivate for further investigation of those funds.  However, before I turn to those, I must address a preliminary point about the link between mistaken cancellations and unlawfulness.</w:t>
      </w:r>
    </w:p>
    <w:p w14:paraId="08D08E0D" w14:textId="77777777" w:rsidR="006144AD" w:rsidRPr="006144AD" w:rsidRDefault="006144AD" w:rsidP="006144AD">
      <w:pPr>
        <w:spacing w:line="360" w:lineRule="auto"/>
        <w:rPr>
          <w:rFonts w:eastAsia="Calibri"/>
          <w:lang w:val="en-US"/>
        </w:rPr>
      </w:pPr>
    </w:p>
    <w:p w14:paraId="43E65081" w14:textId="77777777" w:rsidR="006144AD" w:rsidRPr="006144AD" w:rsidRDefault="006144AD" w:rsidP="006144AD">
      <w:pPr>
        <w:keepNext/>
        <w:spacing w:after="120" w:line="360" w:lineRule="auto"/>
        <w:ind w:firstLine="720"/>
        <w:rPr>
          <w:rFonts w:eastAsia="Calibri"/>
          <w:i/>
          <w:lang w:val="en-US"/>
        </w:rPr>
      </w:pPr>
      <w:r w:rsidRPr="006144AD">
        <w:rPr>
          <w:rFonts w:eastAsia="Calibri"/>
          <w:i/>
          <w:lang w:val="en-US"/>
        </w:rPr>
        <w:t>The link between error and unlawfulness</w:t>
      </w:r>
    </w:p>
    <w:p w14:paraId="75AB3F26" w14:textId="01161CEB" w:rsidR="006144AD" w:rsidRPr="006144AD" w:rsidRDefault="00811729" w:rsidP="00811729">
      <w:pPr>
        <w:spacing w:line="360" w:lineRule="auto"/>
        <w:rPr>
          <w:rFonts w:eastAsia="Calibri"/>
          <w:lang w:val="en-US"/>
        </w:rPr>
      </w:pPr>
      <w:r w:rsidRPr="006144AD">
        <w:rPr>
          <w:rFonts w:eastAsia="Calibri"/>
          <w:color w:val="000000"/>
          <w:lang w:val="en-US"/>
        </w:rPr>
        <w:t>[111]</w:t>
      </w:r>
      <w:r w:rsidRPr="006144AD">
        <w:rPr>
          <w:rFonts w:eastAsia="Calibri"/>
          <w:color w:val="000000"/>
          <w:lang w:val="en-US"/>
        </w:rPr>
        <w:tab/>
      </w:r>
      <w:r w:rsidR="006144AD" w:rsidRPr="006144AD">
        <w:rPr>
          <w:rFonts w:eastAsia="Calibri"/>
          <w:lang w:val="en-US"/>
        </w:rPr>
        <w:t xml:space="preserve">The investigations at issue sought to find mistakenly cancelled funds rather than unlawfully cancelled funds.  There is good reason for that.  The </w:t>
      </w:r>
      <w:proofErr w:type="spellStart"/>
      <w:r w:rsidR="006144AD" w:rsidRPr="006144AD">
        <w:rPr>
          <w:rFonts w:eastAsia="Calibri"/>
          <w:lang w:val="en-US"/>
        </w:rPr>
        <w:t>O’Regan</w:t>
      </w:r>
      <w:proofErr w:type="spellEnd"/>
      <w:r w:rsidR="006144AD" w:rsidRPr="006144AD">
        <w:rPr>
          <w:rFonts w:eastAsia="Calibri"/>
          <w:lang w:val="en-US"/>
        </w:rPr>
        <w:t xml:space="preserve"> report asked the FSCA to investigate whether the cancellations caused material prejudice.  That was a pragmatic course since there would be nothing to be gained from reversing unlawful cancellations which caused no harm.</w:t>
      </w:r>
    </w:p>
    <w:p w14:paraId="45A29049" w14:textId="77777777" w:rsidR="006144AD" w:rsidRPr="006144AD" w:rsidRDefault="006144AD" w:rsidP="006144AD">
      <w:pPr>
        <w:spacing w:line="360" w:lineRule="auto"/>
        <w:rPr>
          <w:rFonts w:eastAsia="Calibri"/>
          <w:lang w:val="en-US"/>
        </w:rPr>
      </w:pPr>
    </w:p>
    <w:p w14:paraId="0886278D" w14:textId="4C234B8C" w:rsidR="006144AD" w:rsidRPr="006144AD" w:rsidRDefault="00811729" w:rsidP="00811729">
      <w:pPr>
        <w:spacing w:line="360" w:lineRule="auto"/>
        <w:rPr>
          <w:rFonts w:eastAsia="Calibri"/>
          <w:lang w:val="en-US"/>
        </w:rPr>
      </w:pPr>
      <w:r w:rsidRPr="006144AD">
        <w:rPr>
          <w:rFonts w:eastAsia="Calibri"/>
          <w:color w:val="000000"/>
          <w:lang w:val="en-US"/>
        </w:rPr>
        <w:t>[112]</w:t>
      </w:r>
      <w:r w:rsidRPr="006144AD">
        <w:rPr>
          <w:rFonts w:eastAsia="Calibri"/>
          <w:color w:val="000000"/>
          <w:lang w:val="en-US"/>
        </w:rPr>
        <w:tab/>
      </w:r>
      <w:r w:rsidR="006144AD" w:rsidRPr="006144AD">
        <w:rPr>
          <w:rFonts w:eastAsia="Calibri"/>
          <w:lang w:val="en-US"/>
        </w:rPr>
        <w:t xml:space="preserve">Moreover, mistaken cancellations are the primary source of prejudice in the matter before us.  </w:t>
      </w:r>
      <w:proofErr w:type="spellStart"/>
      <w:r w:rsidR="006144AD" w:rsidRPr="006144AD">
        <w:rPr>
          <w:rFonts w:eastAsia="Calibri"/>
          <w:lang w:val="en-US"/>
        </w:rPr>
        <w:t>Mr</w:t>
      </w:r>
      <w:proofErr w:type="spellEnd"/>
      <w:r w:rsidR="006144AD" w:rsidRPr="006144AD">
        <w:rPr>
          <w:rFonts w:eastAsia="Calibri"/>
          <w:lang w:val="en-US"/>
        </w:rPr>
        <w:t xml:space="preserve"> Mort noted that a mistaken cancellation is likely to prejudice the members of the fund unless it is reinstated.</w:t>
      </w:r>
      <w:r w:rsidR="006144AD" w:rsidRPr="006144AD">
        <w:rPr>
          <w:rFonts w:eastAsia="Calibri"/>
          <w:vertAlign w:val="superscript"/>
        </w:rPr>
        <w:footnoteReference w:id="55"/>
      </w:r>
      <w:r w:rsidR="006144AD" w:rsidRPr="006144AD">
        <w:rPr>
          <w:rFonts w:eastAsia="Calibri"/>
          <w:lang w:val="en-US"/>
        </w:rPr>
        <w:t xml:space="preserve">  So, as long as the administrators of a fund are aware of a wrongful cancellation, they can take steps to prevent</w:t>
      </w:r>
      <w:r w:rsidR="00CC761B">
        <w:rPr>
          <w:rFonts w:eastAsia="Calibri"/>
          <w:lang w:val="en-US"/>
        </w:rPr>
        <w:t xml:space="preserve"> prejudice to the fund members.</w:t>
      </w:r>
    </w:p>
    <w:p w14:paraId="1DA7F656" w14:textId="77777777" w:rsidR="006144AD" w:rsidRPr="006144AD" w:rsidRDefault="006144AD" w:rsidP="006144AD">
      <w:pPr>
        <w:spacing w:line="360" w:lineRule="auto"/>
        <w:rPr>
          <w:rFonts w:eastAsia="Calibri"/>
          <w:lang w:val="en-US"/>
        </w:rPr>
      </w:pPr>
    </w:p>
    <w:p w14:paraId="4FA1F7DD" w14:textId="57BB6BCC" w:rsidR="006144AD" w:rsidRPr="006144AD" w:rsidRDefault="00811729" w:rsidP="00811729">
      <w:pPr>
        <w:spacing w:line="360" w:lineRule="auto"/>
        <w:rPr>
          <w:rFonts w:eastAsia="Calibri"/>
          <w:lang w:val="en-US"/>
        </w:rPr>
      </w:pPr>
      <w:r w:rsidRPr="006144AD">
        <w:rPr>
          <w:rFonts w:eastAsia="Calibri"/>
          <w:color w:val="000000"/>
          <w:lang w:val="en-US"/>
        </w:rPr>
        <w:t>[113]</w:t>
      </w:r>
      <w:r w:rsidRPr="006144AD">
        <w:rPr>
          <w:rFonts w:eastAsia="Calibri"/>
          <w:color w:val="000000"/>
          <w:lang w:val="en-US"/>
        </w:rPr>
        <w:tab/>
      </w:r>
      <w:r w:rsidR="006144AD" w:rsidRPr="006144AD">
        <w:rPr>
          <w:rFonts w:eastAsia="Calibri"/>
          <w:lang w:val="en-US"/>
        </w:rPr>
        <w:t xml:space="preserve">The real danger is mistakenly cancelled funds where the error has gone undetected.  For that reason, the investigations focused on mistaken cancellations rather than unlawfulness.  In the analysis of both KPMG and </w:t>
      </w:r>
      <w:proofErr w:type="spellStart"/>
      <w:r w:rsidR="006144AD" w:rsidRPr="006144AD">
        <w:rPr>
          <w:rFonts w:eastAsia="Calibri"/>
          <w:lang w:val="en-US"/>
        </w:rPr>
        <w:t>Mr</w:t>
      </w:r>
      <w:proofErr w:type="spellEnd"/>
      <w:r w:rsidR="006144AD" w:rsidRPr="006144AD">
        <w:rPr>
          <w:rFonts w:eastAsia="Calibri"/>
          <w:lang w:val="en-US"/>
        </w:rPr>
        <w:t xml:space="preserve"> Mort, the prevalence of mistaken cancellations can be properly seen as proxy for the prevalence of unlawfulness.</w:t>
      </w:r>
    </w:p>
    <w:p w14:paraId="13AEC316" w14:textId="77777777" w:rsidR="006144AD" w:rsidRPr="006144AD" w:rsidRDefault="006144AD" w:rsidP="006144AD">
      <w:pPr>
        <w:spacing w:line="360" w:lineRule="auto"/>
        <w:rPr>
          <w:rFonts w:eastAsia="Calibri"/>
          <w:lang w:val="en-US"/>
        </w:rPr>
      </w:pPr>
    </w:p>
    <w:p w14:paraId="327EE8C0" w14:textId="6D685CC2" w:rsidR="006144AD" w:rsidRPr="006144AD" w:rsidRDefault="00811729" w:rsidP="00811729">
      <w:pPr>
        <w:spacing w:line="360" w:lineRule="auto"/>
        <w:rPr>
          <w:rFonts w:eastAsia="Calibri"/>
          <w:lang w:val="en-US"/>
        </w:rPr>
      </w:pPr>
      <w:r w:rsidRPr="006144AD">
        <w:rPr>
          <w:rFonts w:eastAsia="Calibri"/>
          <w:color w:val="000000"/>
          <w:lang w:val="en-US"/>
        </w:rPr>
        <w:t>[114]</w:t>
      </w:r>
      <w:r w:rsidRPr="006144AD">
        <w:rPr>
          <w:rFonts w:eastAsia="Calibri"/>
          <w:color w:val="000000"/>
          <w:lang w:val="en-US"/>
        </w:rPr>
        <w:tab/>
      </w:r>
      <w:r w:rsidR="006144AD" w:rsidRPr="006144AD">
        <w:rPr>
          <w:rFonts w:eastAsia="Calibri"/>
          <w:lang w:val="en-US"/>
        </w:rPr>
        <w:t>The mistaken cancellations can be reversed by review.  If the mistakes can be reversed by the courts on review, they must have been unlawful.</w:t>
      </w:r>
    </w:p>
    <w:p w14:paraId="49B3EBB6" w14:textId="77777777" w:rsidR="006144AD" w:rsidRPr="006144AD" w:rsidRDefault="006144AD" w:rsidP="006144AD">
      <w:pPr>
        <w:spacing w:line="360" w:lineRule="auto"/>
        <w:rPr>
          <w:rFonts w:eastAsia="Calibri"/>
          <w:lang w:val="en-US"/>
        </w:rPr>
      </w:pPr>
    </w:p>
    <w:p w14:paraId="1666766B" w14:textId="7C44907F" w:rsidR="006144AD" w:rsidRPr="006144AD" w:rsidRDefault="00811729" w:rsidP="00811729">
      <w:pPr>
        <w:spacing w:line="360" w:lineRule="auto"/>
        <w:rPr>
          <w:rFonts w:eastAsia="Calibri"/>
          <w:lang w:val="en-US"/>
        </w:rPr>
      </w:pPr>
      <w:r w:rsidRPr="006144AD">
        <w:rPr>
          <w:rFonts w:eastAsia="Calibri"/>
          <w:color w:val="000000"/>
          <w:lang w:val="en-US"/>
        </w:rPr>
        <w:t>[115]</w:t>
      </w:r>
      <w:r w:rsidRPr="006144AD">
        <w:rPr>
          <w:rFonts w:eastAsia="Calibri"/>
          <w:color w:val="000000"/>
          <w:lang w:val="en-US"/>
        </w:rPr>
        <w:tab/>
      </w:r>
      <w:r w:rsidR="006144AD" w:rsidRPr="006144AD">
        <w:rPr>
          <w:rFonts w:eastAsia="Calibri"/>
          <w:lang w:val="en-US"/>
        </w:rPr>
        <w:t>But there is more.</w:t>
      </w:r>
    </w:p>
    <w:p w14:paraId="73D99D6B" w14:textId="77777777" w:rsidR="006144AD" w:rsidRPr="006144AD" w:rsidRDefault="006144AD" w:rsidP="006144AD">
      <w:pPr>
        <w:spacing w:line="360" w:lineRule="auto"/>
        <w:rPr>
          <w:rFonts w:eastAsia="Calibri"/>
          <w:lang w:val="en-US"/>
        </w:rPr>
      </w:pPr>
    </w:p>
    <w:p w14:paraId="7E78F4B3" w14:textId="0C10D192" w:rsidR="006144AD" w:rsidRPr="006144AD" w:rsidRDefault="00811729" w:rsidP="00811729">
      <w:pPr>
        <w:spacing w:line="360" w:lineRule="auto"/>
        <w:rPr>
          <w:rFonts w:eastAsia="Calibri"/>
          <w:lang w:val="en-US"/>
        </w:rPr>
      </w:pPr>
      <w:r w:rsidRPr="006144AD">
        <w:rPr>
          <w:rFonts w:eastAsia="Calibri"/>
          <w:color w:val="000000"/>
          <w:lang w:val="en-US"/>
        </w:rPr>
        <w:t>[116]</w:t>
      </w:r>
      <w:r w:rsidRPr="006144AD">
        <w:rPr>
          <w:rFonts w:eastAsia="Calibri"/>
          <w:color w:val="000000"/>
          <w:lang w:val="en-US"/>
        </w:rPr>
        <w:tab/>
      </w:r>
      <w:r w:rsidR="006144AD" w:rsidRPr="006144AD">
        <w:rPr>
          <w:rFonts w:eastAsia="Calibri"/>
          <w:lang w:val="en-US"/>
        </w:rPr>
        <w:t>The cancellation</w:t>
      </w:r>
      <w:r w:rsidR="000856D4">
        <w:rPr>
          <w:rFonts w:eastAsia="Calibri"/>
          <w:lang w:val="en-US"/>
        </w:rPr>
        <w:t>s</w:t>
      </w:r>
      <w:r w:rsidR="006144AD" w:rsidRPr="006144AD">
        <w:rPr>
          <w:rFonts w:eastAsia="Calibri"/>
          <w:lang w:val="en-US"/>
        </w:rPr>
        <w:t xml:space="preserve"> project is problematic.  Three features of the project show that the potential for irregular decision-making abounds.  First, unlawfulness within the process is admitted.  Second, there is no doubt that a number of mistakes have been made – registrations have been cancelled where funds had not ceased to exist.  Third, a number of questions have been raised about the adequacy of the process.  I expand on each of these features below.</w:t>
      </w:r>
    </w:p>
    <w:p w14:paraId="01506759" w14:textId="77777777" w:rsidR="006144AD" w:rsidRPr="006144AD" w:rsidRDefault="006144AD" w:rsidP="006144AD">
      <w:pPr>
        <w:spacing w:line="360" w:lineRule="auto"/>
        <w:rPr>
          <w:rFonts w:eastAsia="Calibri"/>
          <w:lang w:val="en-US"/>
        </w:rPr>
      </w:pPr>
    </w:p>
    <w:p w14:paraId="04997F9A" w14:textId="77777777" w:rsidR="006144AD" w:rsidRPr="006144AD" w:rsidRDefault="006144AD" w:rsidP="001D3C1A">
      <w:pPr>
        <w:keepNext/>
        <w:spacing w:after="120" w:line="360" w:lineRule="auto"/>
        <w:ind w:left="720"/>
        <w:rPr>
          <w:rFonts w:eastAsia="Calibri"/>
          <w:i/>
          <w:lang w:val="en-US"/>
        </w:rPr>
      </w:pPr>
      <w:r w:rsidRPr="006144AD">
        <w:rPr>
          <w:rFonts w:eastAsia="Calibri"/>
          <w:i/>
          <w:lang w:val="en-US"/>
        </w:rPr>
        <w:t>Unlawfulness within the cancellations project</w:t>
      </w:r>
    </w:p>
    <w:p w14:paraId="0FC0E841" w14:textId="0FC17777" w:rsidR="006144AD" w:rsidRPr="006144AD" w:rsidRDefault="00811729" w:rsidP="00811729">
      <w:pPr>
        <w:spacing w:line="360" w:lineRule="auto"/>
        <w:rPr>
          <w:rFonts w:eastAsia="Calibri"/>
          <w:lang w:val="en-US"/>
        </w:rPr>
      </w:pPr>
      <w:r w:rsidRPr="006144AD">
        <w:rPr>
          <w:rFonts w:eastAsia="Calibri"/>
          <w:color w:val="000000"/>
          <w:lang w:val="en-US"/>
        </w:rPr>
        <w:t>[117]</w:t>
      </w:r>
      <w:r w:rsidRPr="006144AD">
        <w:rPr>
          <w:rFonts w:eastAsia="Calibri"/>
          <w:color w:val="000000"/>
          <w:lang w:val="en-US"/>
        </w:rPr>
        <w:tab/>
      </w:r>
      <w:r w:rsidR="006144AD" w:rsidRPr="006144AD">
        <w:rPr>
          <w:rFonts w:eastAsia="Calibri"/>
        </w:rPr>
        <w:t>It is</w:t>
      </w:r>
      <w:r w:rsidR="006144AD" w:rsidRPr="006144AD">
        <w:rPr>
          <w:rFonts w:eastAsia="Calibri"/>
          <w:lang w:val="en-US"/>
        </w:rPr>
        <w:t xml:space="preserve"> common ground that the cancellations project was infected by some unlawfulness.  The FSCA appointed “</w:t>
      </w:r>
      <w:proofErr w:type="spellStart"/>
      <w:r w:rsidR="006144AD" w:rsidRPr="006144AD">
        <w:rPr>
          <w:rFonts w:eastAsia="Calibri"/>
          <w:lang w:val="en-US"/>
        </w:rPr>
        <w:t>authorised</w:t>
      </w:r>
      <w:proofErr w:type="spellEnd"/>
      <w:r w:rsidR="006144AD" w:rsidRPr="006144AD">
        <w:rPr>
          <w:rFonts w:eastAsia="Calibri"/>
          <w:lang w:val="en-US"/>
        </w:rPr>
        <w:t xml:space="preserve"> representatives” to assist with </w:t>
      </w:r>
      <w:r w:rsidR="006144AD" w:rsidRPr="006144AD">
        <w:rPr>
          <w:rFonts w:eastAsia="Calibri"/>
          <w:lang w:val="en-US"/>
        </w:rPr>
        <w:lastRenderedPageBreak/>
        <w:t xml:space="preserve">determining whether funds had ceased to exist. </w:t>
      </w:r>
      <w:r w:rsidR="00CB5910">
        <w:rPr>
          <w:rFonts w:eastAsia="Calibri"/>
          <w:lang w:val="en-US"/>
        </w:rPr>
        <w:t xml:space="preserve"> </w:t>
      </w:r>
      <w:r w:rsidR="006144AD" w:rsidRPr="006144AD">
        <w:rPr>
          <w:rFonts w:eastAsia="Calibri"/>
          <w:lang w:val="en-US"/>
        </w:rPr>
        <w:t>The FSCA did not have the power to make those appointments; they were unlawful.  While the FSCA is correct that those unlawful appointments do not necessarily render the decisions made by the registrar unlawful, it cannot be said that the FSCA’s unlawful acts are harmless, wholly unimportant or should be condoned by this Court.  At the very least, the unlawful appointment indicates that the FSCA had a lax approach to lawfulness in the cancellations project.</w:t>
      </w:r>
    </w:p>
    <w:p w14:paraId="769AB228" w14:textId="77777777" w:rsidR="006144AD" w:rsidRPr="006144AD" w:rsidRDefault="006144AD" w:rsidP="006144AD">
      <w:pPr>
        <w:spacing w:line="360" w:lineRule="auto"/>
        <w:rPr>
          <w:rFonts w:eastAsia="Calibri"/>
          <w:highlight w:val="yellow"/>
          <w:lang w:val="en-US"/>
        </w:rPr>
      </w:pPr>
    </w:p>
    <w:p w14:paraId="27B194FE" w14:textId="77777777" w:rsidR="006144AD" w:rsidRPr="006144AD" w:rsidRDefault="006144AD" w:rsidP="001D3C1A">
      <w:pPr>
        <w:keepNext/>
        <w:spacing w:after="120" w:line="360" w:lineRule="auto"/>
        <w:ind w:left="720"/>
        <w:rPr>
          <w:rFonts w:eastAsia="Calibri"/>
          <w:i/>
          <w:lang w:val="en-US"/>
        </w:rPr>
      </w:pPr>
      <w:r w:rsidRPr="006144AD">
        <w:rPr>
          <w:rFonts w:eastAsia="Calibri"/>
          <w:i/>
          <w:lang w:val="en-US"/>
        </w:rPr>
        <w:t>Mistakes in the cancellations project</w:t>
      </w:r>
    </w:p>
    <w:p w14:paraId="62AD9815" w14:textId="14D6CE9F" w:rsidR="006144AD" w:rsidRPr="006144AD" w:rsidRDefault="00811729" w:rsidP="00811729">
      <w:pPr>
        <w:spacing w:line="360" w:lineRule="auto"/>
        <w:rPr>
          <w:rFonts w:eastAsia="Calibri"/>
          <w:lang w:val="en-US"/>
        </w:rPr>
      </w:pPr>
      <w:r w:rsidRPr="006144AD">
        <w:rPr>
          <w:rFonts w:eastAsia="Calibri"/>
          <w:color w:val="000000"/>
          <w:lang w:val="en-US"/>
        </w:rPr>
        <w:t>[118]</w:t>
      </w:r>
      <w:r w:rsidRPr="006144AD">
        <w:rPr>
          <w:rFonts w:eastAsia="Calibri"/>
          <w:color w:val="000000"/>
          <w:lang w:val="en-US"/>
        </w:rPr>
        <w:tab/>
      </w:r>
      <w:r w:rsidR="006144AD" w:rsidRPr="006144AD">
        <w:rPr>
          <w:rFonts w:eastAsia="Calibri"/>
          <w:lang w:val="en-US"/>
        </w:rPr>
        <w:t xml:space="preserve">It is common cause that those investigations unearthed a number of mistaken cancellations – decisions made to cancel a fund when it had not actually ceased to exist.  There was some debate about whether those false positives constituted systemic irregularities.  The question of “systemic irregularities” is a red herring.  However, the sample of funds investigated by KPMG and </w:t>
      </w:r>
      <w:proofErr w:type="spellStart"/>
      <w:r w:rsidR="006144AD" w:rsidRPr="006144AD">
        <w:rPr>
          <w:rFonts w:eastAsia="Calibri"/>
          <w:lang w:val="en-US"/>
        </w:rPr>
        <w:t>Mr</w:t>
      </w:r>
      <w:proofErr w:type="spellEnd"/>
      <w:r w:rsidR="006144AD" w:rsidRPr="006144AD">
        <w:rPr>
          <w:rFonts w:eastAsia="Calibri"/>
          <w:lang w:val="en-US"/>
        </w:rPr>
        <w:t xml:space="preserve"> Mort is central to the debate about mistaken cancellations and it is important to understand the role of the sample in the case at hand.</w:t>
      </w:r>
    </w:p>
    <w:p w14:paraId="38B0463B" w14:textId="77777777" w:rsidR="006144AD" w:rsidRPr="006144AD" w:rsidRDefault="006144AD" w:rsidP="006144AD">
      <w:pPr>
        <w:spacing w:line="360" w:lineRule="auto"/>
        <w:rPr>
          <w:rFonts w:eastAsia="Calibri"/>
          <w:lang w:val="en-US"/>
        </w:rPr>
      </w:pPr>
    </w:p>
    <w:p w14:paraId="5D830EC9" w14:textId="1AB109EF" w:rsidR="006144AD" w:rsidRPr="006144AD" w:rsidRDefault="00811729" w:rsidP="00811729">
      <w:pPr>
        <w:spacing w:line="360" w:lineRule="auto"/>
        <w:rPr>
          <w:rFonts w:eastAsia="Calibri"/>
        </w:rPr>
      </w:pPr>
      <w:r w:rsidRPr="006144AD">
        <w:rPr>
          <w:rFonts w:eastAsia="Calibri"/>
          <w:color w:val="000000"/>
        </w:rPr>
        <w:t>[119]</w:t>
      </w:r>
      <w:r w:rsidRPr="006144AD">
        <w:rPr>
          <w:rFonts w:eastAsia="Calibri"/>
          <w:color w:val="000000"/>
        </w:rPr>
        <w:tab/>
      </w:r>
      <w:r w:rsidR="006144AD" w:rsidRPr="006144AD">
        <w:rPr>
          <w:rFonts w:eastAsia="Calibri"/>
          <w:lang w:val="en-US"/>
        </w:rPr>
        <w:t xml:space="preserve">A sample of cancellations was investigated on the recommendation of the </w:t>
      </w:r>
      <w:proofErr w:type="spellStart"/>
      <w:r w:rsidR="006144AD" w:rsidRPr="006144AD">
        <w:rPr>
          <w:rFonts w:eastAsia="Calibri"/>
          <w:lang w:val="en-US"/>
        </w:rPr>
        <w:t>O’Regan</w:t>
      </w:r>
      <w:proofErr w:type="spellEnd"/>
      <w:r w:rsidR="006144AD" w:rsidRPr="006144AD">
        <w:rPr>
          <w:rFonts w:eastAsia="Calibri"/>
          <w:lang w:val="en-US"/>
        </w:rPr>
        <w:t xml:space="preserve"> report.  </w:t>
      </w:r>
      <w:r w:rsidR="006144AD" w:rsidRPr="006144AD">
        <w:rPr>
          <w:rFonts w:eastAsia="Calibri"/>
        </w:rPr>
        <w:t>The purpose of analysing a sample is to draw conclusions about the whole population of cancellations from the results found in the sample analysed.  It is a time saving exercise.  If no mistakes are found in a representative and sufficiently large sample, then it is reasonable to conclude that there are no (or very few) mistakes in the population.  If mistakes are pervasive in the sample, it is likely that they are pervasive in the population.</w:t>
      </w:r>
    </w:p>
    <w:p w14:paraId="07DB2E8F" w14:textId="77777777" w:rsidR="006144AD" w:rsidRPr="006144AD" w:rsidRDefault="006144AD" w:rsidP="006144AD">
      <w:pPr>
        <w:spacing w:line="360" w:lineRule="auto"/>
        <w:rPr>
          <w:rFonts w:eastAsia="Calibri"/>
        </w:rPr>
      </w:pPr>
    </w:p>
    <w:p w14:paraId="7E95C8E3" w14:textId="585A490B" w:rsidR="006144AD" w:rsidRPr="006144AD" w:rsidRDefault="00811729" w:rsidP="00811729">
      <w:pPr>
        <w:spacing w:line="360" w:lineRule="auto"/>
        <w:rPr>
          <w:rFonts w:eastAsia="Calibri"/>
        </w:rPr>
      </w:pPr>
      <w:r w:rsidRPr="006144AD">
        <w:rPr>
          <w:rFonts w:eastAsia="Calibri"/>
          <w:color w:val="000000"/>
        </w:rPr>
        <w:t>[120]</w:t>
      </w:r>
      <w:r w:rsidRPr="006144AD">
        <w:rPr>
          <w:rFonts w:eastAsia="Calibri"/>
          <w:color w:val="000000"/>
        </w:rPr>
        <w:tab/>
      </w:r>
      <w:r w:rsidR="006144AD" w:rsidRPr="006144AD">
        <w:rPr>
          <w:rFonts w:eastAsia="Calibri"/>
        </w:rPr>
        <w:t xml:space="preserve">Ideally, we would be in a position to say that a certain proportion of the cancellations in the sample were mistaken, therefore it is likely that a similar proportion of all the cancellations were mistaken.  Were that proportion zero, the task of this Court </w:t>
      </w:r>
      <w:r w:rsidR="006144AD" w:rsidRPr="006144AD">
        <w:rPr>
          <w:rFonts w:eastAsia="Calibri"/>
        </w:rPr>
        <w:lastRenderedPageBreak/>
        <w:t>would be very easy – no investigation would be necessary.</w:t>
      </w:r>
      <w:r w:rsidR="006144AD" w:rsidRPr="006144AD">
        <w:rPr>
          <w:rFonts w:eastAsia="Calibri"/>
          <w:vertAlign w:val="superscript"/>
        </w:rPr>
        <w:footnoteReference w:id="56"/>
      </w:r>
      <w:r w:rsidR="006144AD" w:rsidRPr="006144AD">
        <w:rPr>
          <w:rFonts w:eastAsia="Calibri"/>
        </w:rPr>
        <w:t xml:space="preserve">  Unfortunately, we are in no such position.</w:t>
      </w:r>
    </w:p>
    <w:p w14:paraId="53489B5C" w14:textId="77777777" w:rsidR="006144AD" w:rsidRPr="006144AD" w:rsidRDefault="006144AD" w:rsidP="006144AD">
      <w:pPr>
        <w:spacing w:line="360" w:lineRule="auto"/>
        <w:rPr>
          <w:rFonts w:eastAsia="Calibri"/>
        </w:rPr>
      </w:pPr>
    </w:p>
    <w:p w14:paraId="237CEBAB" w14:textId="6CCEE5FF" w:rsidR="006144AD" w:rsidRPr="006144AD" w:rsidRDefault="00811729" w:rsidP="00811729">
      <w:pPr>
        <w:spacing w:line="360" w:lineRule="auto"/>
        <w:rPr>
          <w:rFonts w:eastAsia="Calibri"/>
        </w:rPr>
      </w:pPr>
      <w:r w:rsidRPr="006144AD">
        <w:rPr>
          <w:rFonts w:eastAsia="Calibri"/>
          <w:color w:val="000000"/>
        </w:rPr>
        <w:t>[121]</w:t>
      </w:r>
      <w:r w:rsidRPr="006144AD">
        <w:rPr>
          <w:rFonts w:eastAsia="Calibri"/>
          <w:color w:val="000000"/>
        </w:rPr>
        <w:tab/>
      </w:r>
      <w:r w:rsidR="006144AD" w:rsidRPr="006144AD">
        <w:rPr>
          <w:rFonts w:eastAsia="Calibri"/>
        </w:rPr>
        <w:t>Both KPMG and Mr Mort considered a sample of 510 cancelled funds.  Of those funds, many were mistakenly cancelled.  It is difficult to be certain about the precise number.</w:t>
      </w:r>
    </w:p>
    <w:p w14:paraId="0A69D165" w14:textId="77777777" w:rsidR="006144AD" w:rsidRPr="006144AD" w:rsidRDefault="006144AD" w:rsidP="006144AD">
      <w:pPr>
        <w:spacing w:line="360" w:lineRule="auto"/>
        <w:rPr>
          <w:rFonts w:eastAsia="Calibri"/>
        </w:rPr>
      </w:pPr>
    </w:p>
    <w:p w14:paraId="1892D41B" w14:textId="42C3CE52" w:rsidR="006144AD" w:rsidRPr="006144AD" w:rsidRDefault="00811729" w:rsidP="00811729">
      <w:pPr>
        <w:spacing w:line="360" w:lineRule="auto"/>
        <w:rPr>
          <w:rFonts w:eastAsia="Calibri"/>
        </w:rPr>
      </w:pPr>
      <w:r w:rsidRPr="006144AD">
        <w:rPr>
          <w:rFonts w:eastAsia="Calibri"/>
          <w:color w:val="000000"/>
        </w:rPr>
        <w:t>[122]</w:t>
      </w:r>
      <w:r w:rsidRPr="006144AD">
        <w:rPr>
          <w:rFonts w:eastAsia="Calibri"/>
          <w:color w:val="000000"/>
        </w:rPr>
        <w:tab/>
      </w:r>
      <w:r w:rsidR="006144AD" w:rsidRPr="006144AD">
        <w:rPr>
          <w:rFonts w:eastAsia="Calibri"/>
        </w:rPr>
        <w:t>Counsel for Ms Hunter argued that 136 of the sample of 510 cancellations w</w:t>
      </w:r>
      <w:r w:rsidR="001D3C1A">
        <w:rPr>
          <w:rFonts w:eastAsia="Calibri"/>
        </w:rPr>
        <w:t>ere mistaken.  He implored the C</w:t>
      </w:r>
      <w:r w:rsidR="006144AD" w:rsidRPr="006144AD">
        <w:rPr>
          <w:rFonts w:eastAsia="Calibri"/>
        </w:rPr>
        <w:t xml:space="preserve">ourt to generalise from that number and work on the basis that more than 25% of the unexamined cancellations – more than 1000 cancellations – were made in error.  However, the numbers presented to this Court do not bear scrutiny.  Even the lowest number presented by counsel for Ms Hunter is not evidenced in the affidavits; the 76 cancellations referred to in Mr </w:t>
      </w:r>
      <w:proofErr w:type="spellStart"/>
      <w:r w:rsidR="006144AD" w:rsidRPr="006144AD">
        <w:rPr>
          <w:rFonts w:eastAsia="Calibri"/>
        </w:rPr>
        <w:t>Tshidi’s</w:t>
      </w:r>
      <w:proofErr w:type="spellEnd"/>
      <w:r w:rsidR="006144AD" w:rsidRPr="006144AD">
        <w:rPr>
          <w:rFonts w:eastAsia="Calibri"/>
        </w:rPr>
        <w:t xml:space="preserve"> affidavit do not obviously form part of the sample.</w:t>
      </w:r>
    </w:p>
    <w:p w14:paraId="53DFBD10" w14:textId="77777777" w:rsidR="006144AD" w:rsidRPr="006144AD" w:rsidRDefault="006144AD" w:rsidP="006144AD">
      <w:pPr>
        <w:spacing w:line="360" w:lineRule="auto"/>
        <w:rPr>
          <w:rFonts w:eastAsia="Calibri"/>
        </w:rPr>
      </w:pPr>
    </w:p>
    <w:p w14:paraId="43547144" w14:textId="303029E4" w:rsidR="006144AD" w:rsidRPr="00A50AC1" w:rsidRDefault="00811729" w:rsidP="00811729">
      <w:pPr>
        <w:spacing w:line="360" w:lineRule="auto"/>
        <w:rPr>
          <w:rFonts w:eastAsia="Calibri"/>
        </w:rPr>
      </w:pPr>
      <w:r w:rsidRPr="00A50AC1">
        <w:rPr>
          <w:rFonts w:eastAsia="Calibri"/>
          <w:color w:val="000000"/>
        </w:rPr>
        <w:t>[123]</w:t>
      </w:r>
      <w:r w:rsidRPr="00A50AC1">
        <w:rPr>
          <w:rFonts w:eastAsia="Calibri"/>
          <w:color w:val="000000"/>
        </w:rPr>
        <w:tab/>
      </w:r>
      <w:r w:rsidR="006144AD" w:rsidRPr="006144AD">
        <w:rPr>
          <w:rFonts w:eastAsia="Calibri"/>
        </w:rPr>
        <w:t>This is what we know about mistakes in the cancellation</w:t>
      </w:r>
      <w:r w:rsidR="000856D4">
        <w:rPr>
          <w:rFonts w:eastAsia="Calibri"/>
        </w:rPr>
        <w:t>s</w:t>
      </w:r>
      <w:r w:rsidR="006144AD" w:rsidRPr="006144AD">
        <w:rPr>
          <w:rFonts w:eastAsia="Calibri"/>
        </w:rPr>
        <w:t xml:space="preserve"> project:</w:t>
      </w:r>
    </w:p>
    <w:p w14:paraId="610F48AB" w14:textId="1F62E677" w:rsidR="006144AD" w:rsidRPr="00BB068F" w:rsidRDefault="00811729" w:rsidP="00811729">
      <w:pPr>
        <w:pStyle w:val="List1"/>
        <w:ind w:left="1418" w:hanging="698"/>
      </w:pPr>
      <w:r w:rsidRPr="00BB068F">
        <w:t>(a)</w:t>
      </w:r>
      <w:r w:rsidRPr="00BB068F">
        <w:tab/>
      </w:r>
      <w:r w:rsidR="006144AD" w:rsidRPr="00BB068F">
        <w:t>In the sample of 510, there had been 21 “reinstated funds” at the time of the KPMG report.</w:t>
      </w:r>
    </w:p>
    <w:p w14:paraId="648B1D8D" w14:textId="7076FA08" w:rsidR="006144AD" w:rsidRPr="00BB068F" w:rsidRDefault="00811729" w:rsidP="00811729">
      <w:pPr>
        <w:pStyle w:val="List1"/>
        <w:ind w:left="1418" w:hanging="698"/>
      </w:pPr>
      <w:r w:rsidRPr="00BB068F">
        <w:t>(b)</w:t>
      </w:r>
      <w:r w:rsidRPr="00BB068F">
        <w:tab/>
      </w:r>
      <w:r w:rsidR="006144AD" w:rsidRPr="00BB068F">
        <w:t xml:space="preserve">Mr Mort found further errors which were corrected. </w:t>
      </w:r>
      <w:r w:rsidR="00BB068F">
        <w:t xml:space="preserve"> </w:t>
      </w:r>
      <w:r w:rsidR="006144AD" w:rsidRPr="00BB068F">
        <w:t>We do not know how many.</w:t>
      </w:r>
    </w:p>
    <w:p w14:paraId="4FCCAC1D" w14:textId="2927A1CD" w:rsidR="006144AD" w:rsidRPr="00BB068F" w:rsidRDefault="00811729" w:rsidP="00811729">
      <w:pPr>
        <w:pStyle w:val="List1"/>
        <w:ind w:left="1418" w:hanging="698"/>
      </w:pPr>
      <w:r w:rsidRPr="00BB068F">
        <w:t>(c)</w:t>
      </w:r>
      <w:r w:rsidRPr="00BB068F">
        <w:tab/>
      </w:r>
      <w:r w:rsidR="005B6576">
        <w:t>B</w:t>
      </w:r>
      <w:r w:rsidR="005B6576" w:rsidRPr="00BB068F">
        <w:t xml:space="preserve">efore Ms Hunter took office </w:t>
      </w:r>
      <w:r w:rsidR="006144AD" w:rsidRPr="00BB068F">
        <w:t xml:space="preserve">76 cancellations were “reinstated”. </w:t>
      </w:r>
      <w:r w:rsidR="005B6576">
        <w:t xml:space="preserve"> </w:t>
      </w:r>
      <w:r w:rsidR="006144AD" w:rsidRPr="00BB068F">
        <w:t>We do not know if any of those cancellations formed part of KPMG’s sample.</w:t>
      </w:r>
    </w:p>
    <w:p w14:paraId="79F3BBDC" w14:textId="15CB0912" w:rsidR="006144AD" w:rsidRPr="00BB068F" w:rsidRDefault="00811729" w:rsidP="00811729">
      <w:pPr>
        <w:pStyle w:val="List1"/>
        <w:ind w:left="1418" w:hanging="698"/>
      </w:pPr>
      <w:r w:rsidRPr="00BB068F">
        <w:t>(d)</w:t>
      </w:r>
      <w:r w:rsidRPr="00BB068F">
        <w:tab/>
      </w:r>
      <w:r w:rsidR="005B6576">
        <w:t xml:space="preserve">The </w:t>
      </w:r>
      <w:r w:rsidR="005B6576" w:rsidRPr="00BB068F">
        <w:t>High Court</w:t>
      </w:r>
      <w:r w:rsidR="005B6576">
        <w:t>,</w:t>
      </w:r>
      <w:r w:rsidR="005B6576" w:rsidRPr="00BB068F">
        <w:t xml:space="preserve"> pursuant to an application by Liberty</w:t>
      </w:r>
      <w:r w:rsidR="005B6576">
        <w:t>,</w:t>
      </w:r>
      <w:r w:rsidR="005B6576" w:rsidRPr="00BB068F">
        <w:t xml:space="preserve"> </w:t>
      </w:r>
      <w:r w:rsidR="005B6576">
        <w:t xml:space="preserve">set aside </w:t>
      </w:r>
      <w:r w:rsidR="006144AD" w:rsidRPr="00BB068F">
        <w:t>23 cancellations.</w:t>
      </w:r>
    </w:p>
    <w:p w14:paraId="167AD345" w14:textId="77777777" w:rsidR="006144AD" w:rsidRPr="006144AD" w:rsidRDefault="006144AD" w:rsidP="009C2632">
      <w:pPr>
        <w:pStyle w:val="JUDGMENTCONTINUED"/>
        <w:rPr>
          <w:rFonts w:eastAsia="Calibri"/>
        </w:rPr>
      </w:pPr>
    </w:p>
    <w:p w14:paraId="0107CA93" w14:textId="0A771771" w:rsidR="006144AD" w:rsidRPr="006144AD" w:rsidRDefault="00811729" w:rsidP="00811729">
      <w:pPr>
        <w:spacing w:line="360" w:lineRule="auto"/>
        <w:rPr>
          <w:rFonts w:eastAsia="Calibri"/>
        </w:rPr>
      </w:pPr>
      <w:r w:rsidRPr="006144AD">
        <w:rPr>
          <w:rFonts w:eastAsia="Calibri"/>
          <w:color w:val="000000"/>
        </w:rPr>
        <w:t>[124]</w:t>
      </w:r>
      <w:r w:rsidRPr="006144AD">
        <w:rPr>
          <w:rFonts w:eastAsia="Calibri"/>
          <w:color w:val="000000"/>
        </w:rPr>
        <w:tab/>
      </w:r>
      <w:r w:rsidR="006144AD" w:rsidRPr="006144AD">
        <w:rPr>
          <w:rFonts w:eastAsia="Calibri"/>
        </w:rPr>
        <w:t xml:space="preserve">In light of those facts can it really be said that the investigation of 510 funds shows that no further investigation is necessary?  I think not.  The possibility of mistakes </w:t>
      </w:r>
      <w:r w:rsidR="006144AD" w:rsidRPr="006144AD">
        <w:rPr>
          <w:rFonts w:eastAsia="Calibri"/>
        </w:rPr>
        <w:lastRenderedPageBreak/>
        <w:t>in the cancellations that have not yet been examined is obvious.  Those mistakes are a proxy for unlawfulness.  And the duty to investigate potential irregularities is clear.</w:t>
      </w:r>
    </w:p>
    <w:p w14:paraId="22F307FA" w14:textId="77777777" w:rsidR="006144AD" w:rsidRPr="006144AD" w:rsidRDefault="006144AD" w:rsidP="006144AD">
      <w:pPr>
        <w:spacing w:line="360" w:lineRule="auto"/>
        <w:rPr>
          <w:rFonts w:eastAsia="Calibri"/>
        </w:rPr>
      </w:pPr>
    </w:p>
    <w:p w14:paraId="6085B97E" w14:textId="36698DF1" w:rsidR="006144AD" w:rsidRPr="006144AD" w:rsidRDefault="00811729" w:rsidP="00811729">
      <w:pPr>
        <w:spacing w:line="360" w:lineRule="auto"/>
        <w:rPr>
          <w:rFonts w:eastAsia="Calibri"/>
        </w:rPr>
      </w:pPr>
      <w:r w:rsidRPr="006144AD">
        <w:rPr>
          <w:rFonts w:eastAsia="Calibri"/>
          <w:color w:val="000000"/>
        </w:rPr>
        <w:t>[125]</w:t>
      </w:r>
      <w:r w:rsidRPr="006144AD">
        <w:rPr>
          <w:rFonts w:eastAsia="Calibri"/>
          <w:color w:val="000000"/>
        </w:rPr>
        <w:tab/>
      </w:r>
      <w:r w:rsidR="006144AD" w:rsidRPr="006144AD">
        <w:rPr>
          <w:rFonts w:eastAsia="Calibri"/>
        </w:rPr>
        <w:t>The claim that there are very few mistakes does not assist the respondents.  The sample suggests, at a minimum, that approximately 4% of the unexamined funds had their registrations cancelled by mistake.  That is well over 100 mistakes.  Th</w:t>
      </w:r>
      <w:r w:rsidR="000D3FE2">
        <w:rPr>
          <w:rFonts w:eastAsia="Calibri"/>
        </w:rPr>
        <w:t>at</w:t>
      </w:r>
      <w:r w:rsidR="006144AD" w:rsidRPr="006144AD">
        <w:rPr>
          <w:rFonts w:eastAsia="Calibri"/>
        </w:rPr>
        <w:t xml:space="preserve"> many potential irregularities cannot simply be ignored.  The number is not trivial and the effect of the mistakes is not inconsequential.  Mr Mort himself implied that mistaken cancellations are prejudicial to members of the affected funds unless those mistakes are rectified.  Moreover, the prejudiced members are likely to be pensioners – some of the most vulnerable people in our society.</w:t>
      </w:r>
    </w:p>
    <w:p w14:paraId="0529FA8B" w14:textId="77777777" w:rsidR="006144AD" w:rsidRPr="006144AD" w:rsidRDefault="006144AD" w:rsidP="006144AD">
      <w:pPr>
        <w:spacing w:line="360" w:lineRule="auto"/>
        <w:rPr>
          <w:rFonts w:eastAsia="Calibri"/>
        </w:rPr>
      </w:pPr>
    </w:p>
    <w:p w14:paraId="367D679C" w14:textId="2B59FDC7" w:rsidR="006144AD" w:rsidRPr="006144AD" w:rsidRDefault="00811729" w:rsidP="00811729">
      <w:pPr>
        <w:spacing w:line="360" w:lineRule="auto"/>
        <w:rPr>
          <w:rFonts w:eastAsia="Calibri"/>
        </w:rPr>
      </w:pPr>
      <w:r w:rsidRPr="006144AD">
        <w:rPr>
          <w:rFonts w:eastAsia="Calibri"/>
          <w:color w:val="000000"/>
        </w:rPr>
        <w:t>[126]</w:t>
      </w:r>
      <w:r w:rsidRPr="006144AD">
        <w:rPr>
          <w:rFonts w:eastAsia="Calibri"/>
          <w:color w:val="000000"/>
        </w:rPr>
        <w:tab/>
      </w:r>
      <w:r w:rsidR="006144AD" w:rsidRPr="006144AD">
        <w:rPr>
          <w:rFonts w:eastAsia="Calibri"/>
        </w:rPr>
        <w:t xml:space="preserve">It is therefore necessary to investigate all the cancelled funds.  The FSCA’s view that “there is no need to investigate the deregistered funds further at this point” is untenable. </w:t>
      </w:r>
    </w:p>
    <w:p w14:paraId="03FC9F98" w14:textId="77777777" w:rsidR="006144AD" w:rsidRPr="006144AD" w:rsidRDefault="006144AD" w:rsidP="006144AD">
      <w:pPr>
        <w:spacing w:line="360" w:lineRule="auto"/>
        <w:rPr>
          <w:rFonts w:eastAsia="Calibri"/>
        </w:rPr>
      </w:pPr>
    </w:p>
    <w:p w14:paraId="0D834E7B" w14:textId="77777777" w:rsidR="006144AD" w:rsidRPr="006144AD" w:rsidRDefault="006144AD" w:rsidP="001D3C1A">
      <w:pPr>
        <w:keepNext/>
        <w:spacing w:after="120" w:line="360" w:lineRule="auto"/>
        <w:ind w:left="720"/>
        <w:rPr>
          <w:rFonts w:eastAsia="Calibri"/>
          <w:i/>
          <w:lang w:val="en-US"/>
        </w:rPr>
      </w:pPr>
      <w:r w:rsidRPr="006144AD">
        <w:rPr>
          <w:rFonts w:eastAsia="Calibri"/>
          <w:i/>
          <w:lang w:val="en-US"/>
        </w:rPr>
        <w:t xml:space="preserve">The adequacy of the cancellations process </w:t>
      </w:r>
    </w:p>
    <w:p w14:paraId="01668A5F" w14:textId="60EAD0D2" w:rsidR="006144AD" w:rsidRPr="006144AD" w:rsidRDefault="00811729" w:rsidP="00811729">
      <w:pPr>
        <w:spacing w:line="360" w:lineRule="auto"/>
        <w:rPr>
          <w:rFonts w:eastAsia="Calibri"/>
          <w:lang w:val="en-US"/>
        </w:rPr>
      </w:pPr>
      <w:r w:rsidRPr="006144AD">
        <w:rPr>
          <w:rFonts w:eastAsia="Calibri"/>
          <w:color w:val="000000"/>
          <w:lang w:val="en-US"/>
        </w:rPr>
        <w:t>[127]</w:t>
      </w:r>
      <w:r w:rsidRPr="006144AD">
        <w:rPr>
          <w:rFonts w:eastAsia="Calibri"/>
          <w:color w:val="000000"/>
          <w:lang w:val="en-US"/>
        </w:rPr>
        <w:tab/>
      </w:r>
      <w:r w:rsidR="006144AD" w:rsidRPr="006144AD">
        <w:rPr>
          <w:rFonts w:eastAsia="Calibri"/>
          <w:lang w:val="en-US"/>
        </w:rPr>
        <w:t xml:space="preserve">The process by which cancellations were made was questioned both by KPMG and in a note produced by </w:t>
      </w:r>
      <w:proofErr w:type="spellStart"/>
      <w:r w:rsidR="006144AD" w:rsidRPr="006144AD">
        <w:rPr>
          <w:rFonts w:eastAsia="Calibri"/>
          <w:lang w:val="en-US"/>
        </w:rPr>
        <w:t>Mr</w:t>
      </w:r>
      <w:proofErr w:type="spellEnd"/>
      <w:r w:rsidR="006144AD" w:rsidRPr="006144AD">
        <w:rPr>
          <w:rFonts w:eastAsia="Calibri"/>
          <w:lang w:val="en-US"/>
        </w:rPr>
        <w:t xml:space="preserve"> </w:t>
      </w:r>
      <w:proofErr w:type="spellStart"/>
      <w:r w:rsidR="006144AD" w:rsidRPr="006144AD">
        <w:rPr>
          <w:rFonts w:eastAsia="Calibri"/>
          <w:lang w:val="en-US"/>
        </w:rPr>
        <w:t>Maharaj</w:t>
      </w:r>
      <w:proofErr w:type="spellEnd"/>
      <w:r w:rsidR="006144AD" w:rsidRPr="006144AD">
        <w:rPr>
          <w:rFonts w:eastAsia="Calibri"/>
          <w:lang w:val="en-US"/>
        </w:rPr>
        <w:t xml:space="preserve"> and </w:t>
      </w:r>
      <w:proofErr w:type="spellStart"/>
      <w:r w:rsidR="006144AD" w:rsidRPr="006144AD">
        <w:rPr>
          <w:rFonts w:eastAsia="Calibri"/>
          <w:lang w:val="en-US"/>
        </w:rPr>
        <w:t>Mr</w:t>
      </w:r>
      <w:proofErr w:type="spellEnd"/>
      <w:r w:rsidR="006144AD" w:rsidRPr="006144AD">
        <w:rPr>
          <w:rFonts w:eastAsia="Calibri"/>
          <w:lang w:val="en-US"/>
        </w:rPr>
        <w:t xml:space="preserve"> </w:t>
      </w:r>
      <w:proofErr w:type="spellStart"/>
      <w:r w:rsidR="006144AD" w:rsidRPr="006144AD">
        <w:rPr>
          <w:rFonts w:eastAsia="Calibri"/>
          <w:lang w:val="en-US"/>
        </w:rPr>
        <w:t>Prinsloo</w:t>
      </w:r>
      <w:proofErr w:type="spellEnd"/>
      <w:r w:rsidR="006144AD" w:rsidRPr="006144AD">
        <w:rPr>
          <w:rFonts w:eastAsia="Calibri"/>
          <w:lang w:val="en-US"/>
        </w:rPr>
        <w:t xml:space="preserve"> (the </w:t>
      </w:r>
      <w:proofErr w:type="spellStart"/>
      <w:r w:rsidR="006144AD" w:rsidRPr="006144AD">
        <w:rPr>
          <w:rFonts w:eastAsia="Calibri"/>
          <w:lang w:val="en-US"/>
        </w:rPr>
        <w:t>Maharaj</w:t>
      </w:r>
      <w:proofErr w:type="spellEnd"/>
      <w:r w:rsidR="006144AD" w:rsidRPr="006144AD">
        <w:rPr>
          <w:rFonts w:eastAsia="Calibri"/>
          <w:lang w:val="en-US"/>
        </w:rPr>
        <w:t xml:space="preserve"> note).  KPMG took particular issue with the evidence available to the registrar at the time of cancellation.  The </w:t>
      </w:r>
      <w:proofErr w:type="spellStart"/>
      <w:r w:rsidR="006144AD" w:rsidRPr="006144AD">
        <w:rPr>
          <w:rFonts w:eastAsia="Calibri"/>
          <w:lang w:val="en-US"/>
        </w:rPr>
        <w:t>Maharaj</w:t>
      </w:r>
      <w:proofErr w:type="spellEnd"/>
      <w:r w:rsidR="006144AD" w:rsidRPr="006144AD">
        <w:rPr>
          <w:rFonts w:eastAsia="Calibri"/>
          <w:lang w:val="en-US"/>
        </w:rPr>
        <w:t xml:space="preserve"> note took issue with the speed of the cancellations and whether the correct procedure was followed.</w:t>
      </w:r>
    </w:p>
    <w:p w14:paraId="55D70F24" w14:textId="77777777" w:rsidR="006144AD" w:rsidRPr="006144AD" w:rsidRDefault="006144AD" w:rsidP="006144AD">
      <w:pPr>
        <w:spacing w:line="360" w:lineRule="auto"/>
        <w:rPr>
          <w:rFonts w:eastAsia="Calibri"/>
          <w:lang w:val="en-US"/>
        </w:rPr>
      </w:pPr>
    </w:p>
    <w:p w14:paraId="366CAD80" w14:textId="178EEB6F" w:rsidR="006144AD" w:rsidRPr="006144AD" w:rsidRDefault="00811729" w:rsidP="00811729">
      <w:pPr>
        <w:spacing w:line="360" w:lineRule="auto"/>
        <w:rPr>
          <w:rFonts w:eastAsia="Calibri"/>
        </w:rPr>
      </w:pPr>
      <w:r w:rsidRPr="006144AD">
        <w:rPr>
          <w:rFonts w:eastAsia="Calibri"/>
          <w:color w:val="000000"/>
        </w:rPr>
        <w:t>[128]</w:t>
      </w:r>
      <w:r w:rsidRPr="006144AD">
        <w:rPr>
          <w:rFonts w:eastAsia="Calibri"/>
          <w:color w:val="000000"/>
        </w:rPr>
        <w:tab/>
      </w:r>
      <w:r w:rsidR="006144AD" w:rsidRPr="006144AD">
        <w:rPr>
          <w:rFonts w:eastAsia="Calibri"/>
          <w:lang w:val="en-US"/>
        </w:rPr>
        <w:t xml:space="preserve">Counsel for </w:t>
      </w:r>
      <w:proofErr w:type="spellStart"/>
      <w:r w:rsidR="006144AD" w:rsidRPr="006144AD">
        <w:rPr>
          <w:rFonts w:eastAsia="Calibri"/>
          <w:lang w:val="en-US"/>
        </w:rPr>
        <w:t>Ms</w:t>
      </w:r>
      <w:proofErr w:type="spellEnd"/>
      <w:r w:rsidR="006144AD" w:rsidRPr="006144AD">
        <w:rPr>
          <w:rFonts w:eastAsia="Calibri"/>
          <w:lang w:val="en-US"/>
        </w:rPr>
        <w:t xml:space="preserve"> Hunter described these as</w:t>
      </w:r>
      <w:r w:rsidR="006144AD" w:rsidRPr="006144AD">
        <w:rPr>
          <w:rFonts w:eastAsia="Calibri"/>
        </w:rPr>
        <w:t xml:space="preserve"> “qualitative” reasons for the FSCA to investigate the cancellations project.  We are not in a position to accept (or reject) the truth of those factual allegations since they are disputed by the parties.  However, the fact that the allegations have been made suggests a need to investigate further.  In particular, the allegations made by the </w:t>
      </w:r>
      <w:proofErr w:type="spellStart"/>
      <w:r w:rsidR="006144AD" w:rsidRPr="006144AD">
        <w:rPr>
          <w:rFonts w:eastAsia="Calibri"/>
        </w:rPr>
        <w:t>Maharaj</w:t>
      </w:r>
      <w:proofErr w:type="spellEnd"/>
      <w:r w:rsidR="006144AD" w:rsidRPr="006144AD">
        <w:rPr>
          <w:rFonts w:eastAsia="Calibri"/>
        </w:rPr>
        <w:t xml:space="preserve"> note have not been met.</w:t>
      </w:r>
    </w:p>
    <w:p w14:paraId="0248C924" w14:textId="77777777" w:rsidR="006144AD" w:rsidRPr="006144AD" w:rsidRDefault="006144AD" w:rsidP="006144AD">
      <w:pPr>
        <w:spacing w:line="360" w:lineRule="auto"/>
        <w:rPr>
          <w:rFonts w:eastAsia="Calibri"/>
        </w:rPr>
      </w:pPr>
    </w:p>
    <w:p w14:paraId="3D59220D" w14:textId="3482C366" w:rsidR="006144AD" w:rsidRPr="006144AD" w:rsidRDefault="00811729" w:rsidP="00811729">
      <w:pPr>
        <w:spacing w:line="360" w:lineRule="auto"/>
        <w:rPr>
          <w:rFonts w:eastAsia="Calibri"/>
        </w:rPr>
      </w:pPr>
      <w:r w:rsidRPr="006144AD">
        <w:rPr>
          <w:rFonts w:eastAsia="Calibri"/>
          <w:color w:val="000000"/>
        </w:rPr>
        <w:t>[129]</w:t>
      </w:r>
      <w:r w:rsidRPr="006144AD">
        <w:rPr>
          <w:rFonts w:eastAsia="Calibri"/>
          <w:color w:val="000000"/>
        </w:rPr>
        <w:tab/>
      </w:r>
      <w:r w:rsidR="006144AD" w:rsidRPr="006144AD">
        <w:rPr>
          <w:rFonts w:eastAsia="Calibri"/>
        </w:rPr>
        <w:t xml:space="preserve">Counsel for the FSCA suggested in oral argument that the </w:t>
      </w:r>
      <w:proofErr w:type="spellStart"/>
      <w:r w:rsidR="006144AD" w:rsidRPr="006144AD">
        <w:rPr>
          <w:rFonts w:eastAsia="Calibri"/>
        </w:rPr>
        <w:t>Maharaj</w:t>
      </w:r>
      <w:proofErr w:type="spellEnd"/>
      <w:r w:rsidR="006144AD" w:rsidRPr="006144AD">
        <w:rPr>
          <w:rFonts w:eastAsia="Calibri"/>
        </w:rPr>
        <w:t xml:space="preserve"> note proceeds on a mistaken assumption.  He said that the timings of the cancellations </w:t>
      </w:r>
      <w:r w:rsidR="006144AD" w:rsidRPr="006144AD">
        <w:rPr>
          <w:rFonts w:eastAsia="Calibri"/>
          <w:color w:val="000000"/>
          <w:lang w:val="en-GB"/>
        </w:rPr>
        <w:t xml:space="preserve">merely indicate </w:t>
      </w:r>
      <w:r w:rsidR="006144AD" w:rsidRPr="006144AD">
        <w:rPr>
          <w:rFonts w:eastAsia="Calibri"/>
          <w:color w:val="000000"/>
          <w:lang w:val="en-GB"/>
        </w:rPr>
        <w:lastRenderedPageBreak/>
        <w:t>the dates and times that the cancellations were put through on the system and not the time it took the registrar to substantively consider and approve the cancellations.</w:t>
      </w:r>
      <w:r w:rsidR="006144AD" w:rsidRPr="006144AD">
        <w:rPr>
          <w:rFonts w:eastAsia="Calibri"/>
        </w:rPr>
        <w:t xml:space="preserve">  That argument is unsubstantiated by any evidence in the record.</w:t>
      </w:r>
    </w:p>
    <w:p w14:paraId="1F7C1A81" w14:textId="77777777" w:rsidR="006144AD" w:rsidRPr="006144AD" w:rsidRDefault="006144AD" w:rsidP="006144AD">
      <w:pPr>
        <w:spacing w:line="360" w:lineRule="auto"/>
        <w:rPr>
          <w:rFonts w:eastAsia="Calibri"/>
        </w:rPr>
      </w:pPr>
    </w:p>
    <w:p w14:paraId="77117FCE" w14:textId="4264EA71" w:rsidR="006144AD" w:rsidRPr="006144AD" w:rsidRDefault="00811729" w:rsidP="00811729">
      <w:pPr>
        <w:spacing w:line="360" w:lineRule="auto"/>
        <w:rPr>
          <w:rFonts w:eastAsia="Calibri"/>
          <w:color w:val="000000"/>
          <w:lang w:val="en-GB"/>
        </w:rPr>
      </w:pPr>
      <w:r w:rsidRPr="006144AD">
        <w:rPr>
          <w:rFonts w:eastAsia="Calibri"/>
          <w:color w:val="000000"/>
          <w:lang w:val="en-GB"/>
        </w:rPr>
        <w:t>[130]</w:t>
      </w:r>
      <w:r w:rsidRPr="006144AD">
        <w:rPr>
          <w:rFonts w:eastAsia="Calibri"/>
          <w:color w:val="000000"/>
          <w:lang w:val="en-GB"/>
        </w:rPr>
        <w:tab/>
      </w:r>
      <w:r w:rsidR="006144AD" w:rsidRPr="006144AD">
        <w:rPr>
          <w:rFonts w:eastAsia="Calibri"/>
        </w:rPr>
        <w:t xml:space="preserve">Two further points are worth noting.  First, Mr </w:t>
      </w:r>
      <w:proofErr w:type="spellStart"/>
      <w:r w:rsidR="006144AD" w:rsidRPr="006144AD">
        <w:rPr>
          <w:rFonts w:eastAsia="Calibri"/>
        </w:rPr>
        <w:t>Maharaj</w:t>
      </w:r>
      <w:proofErr w:type="spellEnd"/>
      <w:r w:rsidR="006144AD" w:rsidRPr="006144AD">
        <w:rPr>
          <w:rFonts w:eastAsia="Calibri"/>
        </w:rPr>
        <w:t xml:space="preserve"> and Mr </w:t>
      </w:r>
      <w:proofErr w:type="spellStart"/>
      <w:r w:rsidR="006144AD" w:rsidRPr="006144AD">
        <w:rPr>
          <w:rFonts w:eastAsia="Calibri"/>
        </w:rPr>
        <w:t>Prinsloo</w:t>
      </w:r>
      <w:proofErr w:type="spellEnd"/>
      <w:r w:rsidR="006144AD" w:rsidRPr="006144AD">
        <w:rPr>
          <w:rFonts w:eastAsia="Calibri"/>
        </w:rPr>
        <w:t xml:space="preserve"> held important positions within the FSCA.  They were well placed to understand the significance of the timing of registrations and the processes that were meant to be followed in the cancellations.  Second, the </w:t>
      </w:r>
      <w:proofErr w:type="spellStart"/>
      <w:r w:rsidR="006144AD" w:rsidRPr="006144AD">
        <w:rPr>
          <w:rFonts w:eastAsia="Calibri"/>
        </w:rPr>
        <w:t>Maharaj</w:t>
      </w:r>
      <w:proofErr w:type="spellEnd"/>
      <w:r w:rsidR="006144AD" w:rsidRPr="006144AD">
        <w:rPr>
          <w:rFonts w:eastAsia="Calibri"/>
        </w:rPr>
        <w:t xml:space="preserve"> note addresses more than merely timing.  </w:t>
      </w:r>
      <w:r w:rsidR="006144AD" w:rsidRPr="006144AD">
        <w:rPr>
          <w:rFonts w:eastAsia="Calibri"/>
          <w:color w:val="000000"/>
          <w:lang w:val="en-GB"/>
        </w:rPr>
        <w:t xml:space="preserve">It notes that a number of cancellations were made before notices were posted in the </w:t>
      </w:r>
      <w:r w:rsidR="006144AD" w:rsidRPr="0006083C">
        <w:rPr>
          <w:rFonts w:eastAsia="Calibri"/>
          <w:color w:val="000000"/>
          <w:lang w:val="en-GB"/>
        </w:rPr>
        <w:t>Government Gazette</w:t>
      </w:r>
      <w:r w:rsidR="006144AD" w:rsidRPr="006144AD">
        <w:rPr>
          <w:rFonts w:eastAsia="Calibri"/>
          <w:color w:val="000000"/>
          <w:lang w:val="en-GB"/>
        </w:rPr>
        <w:t xml:space="preserve"> and points out that there was a workflow to be followed (presumably concerned with putting cancellations through the system as well as deciding whether the cancellations were warranted).  They conclude that the workflow was probably not followed in every case.</w:t>
      </w:r>
    </w:p>
    <w:p w14:paraId="756103D5" w14:textId="77777777" w:rsidR="006144AD" w:rsidRPr="006144AD" w:rsidRDefault="006144AD" w:rsidP="006144AD">
      <w:pPr>
        <w:spacing w:line="360" w:lineRule="auto"/>
        <w:rPr>
          <w:rFonts w:eastAsia="Calibri"/>
          <w:lang w:val="en-GB"/>
        </w:rPr>
      </w:pPr>
    </w:p>
    <w:p w14:paraId="25DD0847" w14:textId="6F704DC8" w:rsidR="006144AD" w:rsidRPr="006144AD" w:rsidRDefault="00811729" w:rsidP="00811729">
      <w:pPr>
        <w:spacing w:line="360" w:lineRule="auto"/>
        <w:rPr>
          <w:rFonts w:eastAsia="Calibri"/>
        </w:rPr>
      </w:pPr>
      <w:r w:rsidRPr="006144AD">
        <w:rPr>
          <w:rFonts w:eastAsia="Calibri"/>
          <w:color w:val="000000"/>
        </w:rPr>
        <w:t>[131]</w:t>
      </w:r>
      <w:r w:rsidRPr="006144AD">
        <w:rPr>
          <w:rFonts w:eastAsia="Calibri"/>
          <w:color w:val="000000"/>
        </w:rPr>
        <w:tab/>
      </w:r>
      <w:r w:rsidR="006144AD" w:rsidRPr="006144AD">
        <w:rPr>
          <w:rFonts w:eastAsia="Calibri"/>
        </w:rPr>
        <w:t>The fact remains that credible allegations have been seriously made by people who have significant knowledge of the cancellations project.  Those allegations go to the correctness of cancellations throughout the project, not merely to errors within the sample.  That is a reason to investigate all of the funds for mistaken cancellations.</w:t>
      </w:r>
    </w:p>
    <w:p w14:paraId="2B93560C" w14:textId="77777777" w:rsidR="006144AD" w:rsidRPr="006144AD" w:rsidRDefault="006144AD" w:rsidP="006144AD">
      <w:pPr>
        <w:spacing w:line="360" w:lineRule="auto"/>
        <w:rPr>
          <w:rFonts w:eastAsia="Calibri"/>
        </w:rPr>
      </w:pPr>
    </w:p>
    <w:p w14:paraId="4E58E46C" w14:textId="77777777" w:rsidR="006144AD" w:rsidRPr="006144AD" w:rsidRDefault="006144AD" w:rsidP="006144AD">
      <w:pPr>
        <w:keepNext/>
        <w:spacing w:after="120" w:line="360" w:lineRule="auto"/>
        <w:rPr>
          <w:rFonts w:eastAsia="Calibri"/>
          <w:i/>
        </w:rPr>
      </w:pPr>
      <w:r w:rsidRPr="006144AD">
        <w:rPr>
          <w:rFonts w:eastAsia="Calibri"/>
          <w:i/>
        </w:rPr>
        <w:t>Conclusion</w:t>
      </w:r>
    </w:p>
    <w:p w14:paraId="433FE9D0" w14:textId="5B9B49EF" w:rsidR="006144AD" w:rsidRPr="006144AD" w:rsidRDefault="00811729" w:rsidP="00811729">
      <w:pPr>
        <w:spacing w:line="360" w:lineRule="auto"/>
        <w:rPr>
          <w:rFonts w:eastAsia="Calibri"/>
          <w:lang w:val="en-US"/>
        </w:rPr>
      </w:pPr>
      <w:r w:rsidRPr="006144AD">
        <w:rPr>
          <w:rFonts w:eastAsia="Calibri"/>
          <w:color w:val="000000"/>
          <w:lang w:val="en-US"/>
        </w:rPr>
        <w:t>[132]</w:t>
      </w:r>
      <w:r w:rsidRPr="006144AD">
        <w:rPr>
          <w:rFonts w:eastAsia="Calibri"/>
          <w:color w:val="000000"/>
          <w:lang w:val="en-US"/>
        </w:rPr>
        <w:tab/>
      </w:r>
      <w:r w:rsidR="006144AD" w:rsidRPr="006144AD">
        <w:rPr>
          <w:rFonts w:eastAsia="Calibri"/>
          <w:lang w:val="en-US"/>
        </w:rPr>
        <w:t>The prevalence of mistakes, the presence of unlawful behavior, and the questions raised about the adequacy of the cancellation process, taken together, show that the FSCA had a duty to investigate the cancellation</w:t>
      </w:r>
      <w:r w:rsidR="000856D4">
        <w:rPr>
          <w:rFonts w:eastAsia="Calibri"/>
          <w:lang w:val="en-US"/>
        </w:rPr>
        <w:t>s</w:t>
      </w:r>
      <w:r w:rsidR="006144AD" w:rsidRPr="006144AD">
        <w:rPr>
          <w:rFonts w:eastAsia="Calibri"/>
          <w:lang w:val="en-US"/>
        </w:rPr>
        <w:t xml:space="preserve"> project.  They go further than establishing a general duty to investigate the project; they show why the FSCA had a duty to investigate all the decisions made in the cancellations project.  The FSCA’s argument that the investigation of the sample was a sufficient investigation of the deficiencies in the whole of the project is without merit.</w:t>
      </w:r>
    </w:p>
    <w:p w14:paraId="05F99D98" w14:textId="77777777" w:rsidR="006144AD" w:rsidRPr="006144AD" w:rsidRDefault="006144AD" w:rsidP="006144AD">
      <w:pPr>
        <w:spacing w:line="360" w:lineRule="auto"/>
        <w:rPr>
          <w:rFonts w:eastAsia="Calibri"/>
          <w:lang w:val="en-US"/>
        </w:rPr>
      </w:pPr>
    </w:p>
    <w:p w14:paraId="541F7934" w14:textId="3CE5EBFE" w:rsidR="006144AD" w:rsidRPr="006144AD" w:rsidRDefault="00811729" w:rsidP="00811729">
      <w:pPr>
        <w:spacing w:line="360" w:lineRule="auto"/>
        <w:rPr>
          <w:rFonts w:eastAsia="Calibri"/>
          <w:lang w:val="en-US"/>
        </w:rPr>
      </w:pPr>
      <w:r w:rsidRPr="006144AD">
        <w:rPr>
          <w:rFonts w:eastAsia="Calibri"/>
          <w:color w:val="000000"/>
          <w:lang w:val="en-US"/>
        </w:rPr>
        <w:t>[133]</w:t>
      </w:r>
      <w:r w:rsidRPr="006144AD">
        <w:rPr>
          <w:rFonts w:eastAsia="Calibri"/>
          <w:color w:val="000000"/>
          <w:lang w:val="en-US"/>
        </w:rPr>
        <w:tab/>
      </w:r>
      <w:r w:rsidR="006144AD" w:rsidRPr="006144AD">
        <w:rPr>
          <w:rFonts w:eastAsia="Calibri"/>
          <w:lang w:val="en-US"/>
        </w:rPr>
        <w:t>The FSCA must investigate all of the cancelled funds with a view to determining which were mistakenly cancelled.</w:t>
      </w:r>
    </w:p>
    <w:p w14:paraId="5679A771" w14:textId="77777777" w:rsidR="006144AD" w:rsidRPr="006144AD" w:rsidRDefault="006144AD" w:rsidP="006144AD">
      <w:pPr>
        <w:spacing w:line="360" w:lineRule="auto"/>
        <w:rPr>
          <w:rFonts w:eastAsia="Calibri"/>
          <w:lang w:val="en-US"/>
        </w:rPr>
      </w:pPr>
    </w:p>
    <w:p w14:paraId="141974F1" w14:textId="5E59FA58" w:rsidR="006144AD" w:rsidRPr="006144AD" w:rsidRDefault="00811729" w:rsidP="00811729">
      <w:pPr>
        <w:spacing w:line="360" w:lineRule="auto"/>
        <w:rPr>
          <w:rFonts w:eastAsia="Calibri"/>
          <w:lang w:val="en-US"/>
        </w:rPr>
      </w:pPr>
      <w:r w:rsidRPr="006144AD">
        <w:rPr>
          <w:rFonts w:eastAsia="Calibri"/>
          <w:color w:val="000000"/>
          <w:lang w:val="en-US"/>
        </w:rPr>
        <w:lastRenderedPageBreak/>
        <w:t>[134]</w:t>
      </w:r>
      <w:r w:rsidRPr="006144AD">
        <w:rPr>
          <w:rFonts w:eastAsia="Calibri"/>
          <w:color w:val="000000"/>
          <w:lang w:val="en-US"/>
        </w:rPr>
        <w:tab/>
      </w:r>
      <w:r w:rsidR="006144AD" w:rsidRPr="006144AD">
        <w:rPr>
          <w:rFonts w:eastAsia="Calibri"/>
          <w:lang w:val="en-US"/>
        </w:rPr>
        <w:t>The appeal must succeed to the extent that further investigations are required.</w:t>
      </w:r>
    </w:p>
    <w:p w14:paraId="2FA801B1" w14:textId="77777777" w:rsidR="006144AD" w:rsidRPr="006144AD" w:rsidRDefault="006144AD" w:rsidP="006144AD">
      <w:pPr>
        <w:spacing w:line="360" w:lineRule="auto"/>
        <w:rPr>
          <w:rFonts w:eastAsia="Calibri"/>
          <w:lang w:val="en-US"/>
        </w:rPr>
      </w:pPr>
    </w:p>
    <w:p w14:paraId="5B55A95B" w14:textId="067F57DA" w:rsidR="006144AD" w:rsidRPr="006144AD" w:rsidRDefault="00811729" w:rsidP="00811729">
      <w:pPr>
        <w:spacing w:line="360" w:lineRule="auto"/>
        <w:rPr>
          <w:rFonts w:eastAsia="Calibri"/>
          <w:lang w:val="en-US"/>
        </w:rPr>
      </w:pPr>
      <w:r w:rsidRPr="006144AD">
        <w:rPr>
          <w:rFonts w:eastAsia="Calibri"/>
          <w:color w:val="000000"/>
          <w:lang w:val="en-US"/>
        </w:rPr>
        <w:t>[135]</w:t>
      </w:r>
      <w:r w:rsidRPr="006144AD">
        <w:rPr>
          <w:rFonts w:eastAsia="Calibri"/>
          <w:color w:val="000000"/>
          <w:lang w:val="en-US"/>
        </w:rPr>
        <w:tab/>
      </w:r>
      <w:r w:rsidR="006144AD" w:rsidRPr="006144AD">
        <w:rPr>
          <w:rFonts w:eastAsia="Calibri"/>
          <w:lang w:val="en-US"/>
        </w:rPr>
        <w:t>The relief sought against the Minister in respect of the third respondent’s conduct is truly a review based on alleged unlawful conduct.  It should have been brought under PAJA.</w:t>
      </w:r>
    </w:p>
    <w:p w14:paraId="7A29C2E3" w14:textId="77777777" w:rsidR="00A9202D" w:rsidRDefault="00A9202D" w:rsidP="006144AD">
      <w:pPr>
        <w:spacing w:line="360" w:lineRule="auto"/>
        <w:rPr>
          <w:rFonts w:eastAsia="Calibri"/>
          <w:lang w:val="en-US"/>
        </w:rPr>
        <w:sectPr w:rsidR="00A9202D" w:rsidSect="000F7521">
          <w:headerReference w:type="default" r:id="rId26"/>
          <w:headerReference w:type="first" r:id="rId27"/>
          <w:type w:val="continuous"/>
          <w:pgSz w:w="11907" w:h="16839" w:code="9"/>
          <w:pgMar w:top="1440" w:right="1440" w:bottom="1440" w:left="1440" w:header="708" w:footer="708" w:gutter="0"/>
          <w:cols w:space="708"/>
          <w:titlePg/>
          <w:docGrid w:linePitch="360"/>
        </w:sectPr>
      </w:pPr>
    </w:p>
    <w:p w14:paraId="004F01E5" w14:textId="3DF85034" w:rsidR="006144AD" w:rsidRPr="006144AD" w:rsidRDefault="006144AD" w:rsidP="006144AD">
      <w:pPr>
        <w:spacing w:line="360" w:lineRule="auto"/>
        <w:rPr>
          <w:rFonts w:eastAsia="Calibri"/>
          <w:lang w:val="en-US"/>
        </w:rPr>
      </w:pPr>
    </w:p>
    <w:p w14:paraId="72086F00" w14:textId="77777777" w:rsidR="006144AD" w:rsidRPr="006144AD" w:rsidRDefault="006144AD" w:rsidP="006144AD">
      <w:pPr>
        <w:keepNext/>
        <w:spacing w:after="120" w:line="360" w:lineRule="auto"/>
        <w:rPr>
          <w:rFonts w:eastAsia="Calibri"/>
          <w:i/>
          <w:lang w:val="en-US"/>
        </w:rPr>
      </w:pPr>
      <w:r w:rsidRPr="006144AD">
        <w:rPr>
          <w:rFonts w:eastAsia="Calibri"/>
          <w:i/>
          <w:lang w:val="en-US"/>
        </w:rPr>
        <w:t>Remedy</w:t>
      </w:r>
    </w:p>
    <w:p w14:paraId="489757C6" w14:textId="46716011" w:rsidR="006144AD" w:rsidRPr="006144AD" w:rsidRDefault="00811729" w:rsidP="00811729">
      <w:pPr>
        <w:spacing w:line="360" w:lineRule="auto"/>
        <w:rPr>
          <w:rFonts w:eastAsia="Calibri"/>
          <w:lang w:val="en-US"/>
        </w:rPr>
      </w:pPr>
      <w:r w:rsidRPr="006144AD">
        <w:rPr>
          <w:rFonts w:eastAsia="Calibri"/>
          <w:color w:val="000000"/>
          <w:lang w:val="en-US"/>
        </w:rPr>
        <w:t>[136]</w:t>
      </w:r>
      <w:r w:rsidRPr="006144AD">
        <w:rPr>
          <w:rFonts w:eastAsia="Calibri"/>
          <w:color w:val="000000"/>
          <w:lang w:val="en-US"/>
        </w:rPr>
        <w:tab/>
      </w:r>
      <w:r w:rsidR="006144AD" w:rsidRPr="006144AD">
        <w:rPr>
          <w:rFonts w:eastAsia="Calibri"/>
          <w:lang w:val="en-US"/>
        </w:rPr>
        <w:t>A supervisory order is clearly not appropriate in this case.  The FSCA must be ordered to investigate all the cancelled funds in order to determine which were mistakenly cancelled.  The mistaken cancellations must be rectified in a lawful manner.  The process and outcome must be made public.</w:t>
      </w:r>
    </w:p>
    <w:p w14:paraId="710F2A0F" w14:textId="77777777" w:rsidR="006144AD" w:rsidRPr="006144AD" w:rsidRDefault="006144AD" w:rsidP="006144AD">
      <w:pPr>
        <w:spacing w:line="360" w:lineRule="auto"/>
        <w:rPr>
          <w:rFonts w:eastAsia="Calibri"/>
        </w:rPr>
      </w:pPr>
    </w:p>
    <w:p w14:paraId="6DCD6733" w14:textId="77777777" w:rsidR="006144AD" w:rsidRPr="006144AD" w:rsidRDefault="006144AD" w:rsidP="006144AD">
      <w:pPr>
        <w:keepNext/>
        <w:spacing w:after="120" w:line="360" w:lineRule="auto"/>
        <w:rPr>
          <w:rFonts w:eastAsia="Calibri"/>
          <w:i/>
        </w:rPr>
      </w:pPr>
      <w:r w:rsidRPr="006144AD">
        <w:rPr>
          <w:rFonts w:eastAsia="Calibri"/>
          <w:i/>
        </w:rPr>
        <w:t>Order</w:t>
      </w:r>
    </w:p>
    <w:p w14:paraId="7382B01B" w14:textId="3FE81B70" w:rsidR="00A9202D" w:rsidRDefault="00811729" w:rsidP="00811729">
      <w:pPr>
        <w:spacing w:line="360" w:lineRule="auto"/>
        <w:rPr>
          <w:rFonts w:eastAsia="Calibri"/>
        </w:rPr>
        <w:sectPr w:rsidR="00A9202D" w:rsidSect="000F7521">
          <w:headerReference w:type="default" r:id="rId28"/>
          <w:type w:val="continuous"/>
          <w:pgSz w:w="11907" w:h="16839" w:code="9"/>
          <w:pgMar w:top="1440" w:right="1440" w:bottom="1440" w:left="1440" w:header="708" w:footer="708" w:gutter="0"/>
          <w:cols w:space="708"/>
          <w:titlePg/>
          <w:docGrid w:linePitch="360"/>
        </w:sectPr>
      </w:pPr>
      <w:r>
        <w:rPr>
          <w:rFonts w:eastAsia="Calibri"/>
          <w:color w:val="000000"/>
        </w:rPr>
        <w:t>[137]</w:t>
      </w:r>
      <w:r>
        <w:rPr>
          <w:rFonts w:eastAsia="Calibri"/>
          <w:color w:val="000000"/>
        </w:rPr>
        <w:tab/>
      </w:r>
      <w:r w:rsidR="006144AD" w:rsidRPr="006144AD">
        <w:rPr>
          <w:rFonts w:eastAsia="Calibri"/>
        </w:rPr>
        <w:t>In the circumstances, I would have upheld the appeal and in doing so, set aside and replace</w:t>
      </w:r>
      <w:r w:rsidR="00F7417E">
        <w:rPr>
          <w:rFonts w:eastAsia="Calibri"/>
        </w:rPr>
        <w:t>d</w:t>
      </w:r>
      <w:r w:rsidR="006144AD" w:rsidRPr="006144AD">
        <w:rPr>
          <w:rFonts w:eastAsia="Calibri"/>
        </w:rPr>
        <w:t xml:space="preserve"> the High Court order with one compelling the FSCA to investigate all the cancelled funds in order to determine which were mistakenly cancelled and thereafter rectify such mistakes in a </w:t>
      </w:r>
      <w:r w:rsidR="0011477F">
        <w:rPr>
          <w:rFonts w:eastAsia="Calibri"/>
        </w:rPr>
        <w:t>lawful manner and in a process</w:t>
      </w:r>
      <w:r w:rsidR="006144AD" w:rsidRPr="006144AD">
        <w:rPr>
          <w:rFonts w:eastAsia="Calibri"/>
        </w:rPr>
        <w:t xml:space="preserve"> that is made public and transparent.</w:t>
      </w:r>
    </w:p>
    <w:p w14:paraId="7E039CF2" w14:textId="77777777" w:rsidR="002B701A" w:rsidRDefault="002B701A" w:rsidP="00F7417E">
      <w:pPr>
        <w:pStyle w:val="BODYNON-NUMBERED"/>
        <w:spacing w:after="0" w:line="240" w:lineRule="auto"/>
        <w:rPr>
          <w:szCs w:val="26"/>
        </w:rPr>
      </w:pPr>
    </w:p>
    <w:p w14:paraId="73215A4A" w14:textId="77777777" w:rsidR="002B701A" w:rsidRDefault="002B701A" w:rsidP="00F7417E">
      <w:pPr>
        <w:pStyle w:val="BODYNON-NUMBERED"/>
        <w:spacing w:after="0" w:line="240" w:lineRule="auto"/>
        <w:rPr>
          <w:szCs w:val="26"/>
        </w:rPr>
      </w:pPr>
    </w:p>
    <w:p w14:paraId="6191AC29" w14:textId="77777777" w:rsidR="002B701A" w:rsidRDefault="002B701A" w:rsidP="00F7417E">
      <w:pPr>
        <w:pStyle w:val="BODYNON-NUMBERED"/>
        <w:spacing w:after="0" w:line="240" w:lineRule="auto"/>
        <w:rPr>
          <w:szCs w:val="26"/>
        </w:rPr>
      </w:pPr>
    </w:p>
    <w:p w14:paraId="2771646B" w14:textId="5E5080DB" w:rsidR="002B701A" w:rsidRPr="00FF1A7C" w:rsidRDefault="00F7417E" w:rsidP="00F7417E">
      <w:pPr>
        <w:pStyle w:val="BODYNON-NUMBERED"/>
        <w:spacing w:after="0" w:line="240" w:lineRule="auto"/>
        <w:rPr>
          <w:szCs w:val="26"/>
        </w:rPr>
      </w:pPr>
      <w:r w:rsidRPr="00F7417E">
        <w:rPr>
          <w:szCs w:val="26"/>
        </w:rPr>
        <w:t>CACHALIA AJ</w:t>
      </w:r>
      <w:r w:rsidR="002B701A" w:rsidRPr="00F7417E">
        <w:rPr>
          <w:szCs w:val="26"/>
        </w:rPr>
        <w:t>:</w:t>
      </w:r>
    </w:p>
    <w:p w14:paraId="44262A46" w14:textId="77777777" w:rsidR="002B701A" w:rsidRPr="00FF1A7C" w:rsidRDefault="002B701A" w:rsidP="00A50AC1">
      <w:pPr>
        <w:spacing w:line="240" w:lineRule="auto"/>
        <w:rPr>
          <w:szCs w:val="26"/>
        </w:rPr>
      </w:pPr>
    </w:p>
    <w:p w14:paraId="07308B43" w14:textId="77777777" w:rsidR="002B701A" w:rsidRPr="00FF1A7C" w:rsidRDefault="002B701A">
      <w:pPr>
        <w:spacing w:line="240" w:lineRule="auto"/>
        <w:rPr>
          <w:szCs w:val="26"/>
        </w:rPr>
      </w:pPr>
    </w:p>
    <w:p w14:paraId="6C5B35EB" w14:textId="479F28AC" w:rsidR="002B701A" w:rsidRDefault="00811729" w:rsidP="00811729">
      <w:pPr>
        <w:pStyle w:val="JUDGMENTNUMBERED"/>
        <w:numPr>
          <w:ilvl w:val="0"/>
          <w:numId w:val="0"/>
        </w:numPr>
        <w:rPr>
          <w:szCs w:val="26"/>
        </w:rPr>
      </w:pPr>
      <w:r>
        <w:rPr>
          <w:color w:val="000000"/>
          <w:szCs w:val="26"/>
        </w:rPr>
        <w:t>[138]</w:t>
      </w:r>
      <w:r>
        <w:rPr>
          <w:color w:val="000000"/>
          <w:szCs w:val="26"/>
        </w:rPr>
        <w:tab/>
      </w:r>
      <w:r w:rsidR="002B701A" w:rsidRPr="004D65CD">
        <w:t xml:space="preserve">I have </w:t>
      </w:r>
      <w:r w:rsidR="002B701A">
        <w:t xml:space="preserve">had the pleasure of </w:t>
      </w:r>
      <w:r w:rsidR="002B701A" w:rsidRPr="004D65CD">
        <w:t>read</w:t>
      </w:r>
      <w:r w:rsidR="002B701A">
        <w:t>ing</w:t>
      </w:r>
      <w:r w:rsidR="002B701A" w:rsidRPr="004D65CD">
        <w:t xml:space="preserve"> the first and second judgments.</w:t>
      </w:r>
      <w:r w:rsidR="002B701A">
        <w:t xml:space="preserve">  </w:t>
      </w:r>
      <w:r w:rsidR="002B701A" w:rsidRPr="004D65CD">
        <w:t xml:space="preserve">I gratefully adopt their exposition of the facts. </w:t>
      </w:r>
      <w:r w:rsidR="002B701A">
        <w:t xml:space="preserve"> </w:t>
      </w:r>
      <w:r w:rsidR="002B701A" w:rsidRPr="004D65CD">
        <w:t xml:space="preserve">In this judgment I discuss </w:t>
      </w:r>
      <w:r w:rsidR="002B701A">
        <w:t xml:space="preserve">only </w:t>
      </w:r>
      <w:r w:rsidR="002B701A" w:rsidRPr="004D65CD">
        <w:t>those facts relevant to the conclusion to which I have come.</w:t>
      </w:r>
      <w:r w:rsidR="002B701A">
        <w:t xml:space="preserve">  </w:t>
      </w:r>
      <w:r w:rsidR="002B701A" w:rsidRPr="004D65CD">
        <w:t xml:space="preserve">The first judgment holds </w:t>
      </w:r>
      <w:r w:rsidR="002B701A">
        <w:t>first, that there is no legal source for a duty on the part of the FSCA to investigate Ms Hunter’s allegations regarding the cancellations project;</w:t>
      </w:r>
      <w:r w:rsidR="002B701A">
        <w:rPr>
          <w:rStyle w:val="FootnoteReference"/>
        </w:rPr>
        <w:footnoteReference w:id="57"/>
      </w:r>
      <w:r w:rsidR="002B701A">
        <w:t xml:space="preserve"> and second, that the cancellation of the funds constituted administrative action in terms of PAJA, which required Ms Hunter to have instituted a PAJA review of the cancellation decisions to address her concerns rather </w:t>
      </w:r>
      <w:r w:rsidR="002B701A">
        <w:lastRenderedPageBreak/>
        <w:t>than seeking relief in the form of a mandamus.</w:t>
      </w:r>
      <w:r w:rsidR="002B701A">
        <w:rPr>
          <w:rStyle w:val="FootnoteReference"/>
        </w:rPr>
        <w:footnoteReference w:id="58"/>
      </w:r>
      <w:r w:rsidR="002B701A">
        <w:t xml:space="preserve">  </w:t>
      </w:r>
      <w:r w:rsidR="002B701A" w:rsidRPr="004D65CD">
        <w:t>The second judgment</w:t>
      </w:r>
      <w:r w:rsidR="002B701A">
        <w:t xml:space="preserve">, on the other hand, finds that </w:t>
      </w:r>
      <w:r w:rsidR="002B701A">
        <w:rPr>
          <w:szCs w:val="26"/>
        </w:rPr>
        <w:t xml:space="preserve">once a public entity’s attention is drawn </w:t>
      </w:r>
      <w:r w:rsidR="002B701A" w:rsidRPr="00F7107B">
        <w:rPr>
          <w:szCs w:val="26"/>
        </w:rPr>
        <w:t>to a potential irregularity</w:t>
      </w:r>
      <w:r w:rsidR="002B701A">
        <w:rPr>
          <w:szCs w:val="26"/>
        </w:rPr>
        <w:t xml:space="preserve">, it has a </w:t>
      </w:r>
      <w:r w:rsidR="002B701A" w:rsidRPr="00F7107B">
        <w:rPr>
          <w:szCs w:val="26"/>
        </w:rPr>
        <w:t>duty</w:t>
      </w:r>
      <w:r w:rsidR="002B701A">
        <w:rPr>
          <w:szCs w:val="26"/>
        </w:rPr>
        <w:t xml:space="preserve"> to</w:t>
      </w:r>
      <w:r w:rsidR="002B701A" w:rsidRPr="00F7107B">
        <w:rPr>
          <w:szCs w:val="26"/>
        </w:rPr>
        <w:t xml:space="preserve"> investigat</w:t>
      </w:r>
      <w:r w:rsidR="002B701A">
        <w:rPr>
          <w:szCs w:val="26"/>
        </w:rPr>
        <w:t>e</w:t>
      </w:r>
      <w:r w:rsidR="002B701A" w:rsidRPr="00F7107B">
        <w:rPr>
          <w:szCs w:val="26"/>
        </w:rPr>
        <w:t xml:space="preserve"> that potential irregularity</w:t>
      </w:r>
      <w:r w:rsidR="002B701A">
        <w:rPr>
          <w:szCs w:val="26"/>
        </w:rPr>
        <w:t>.</w:t>
      </w:r>
      <w:r w:rsidR="002B701A">
        <w:rPr>
          <w:rStyle w:val="FootnoteReference"/>
          <w:szCs w:val="26"/>
        </w:rPr>
        <w:footnoteReference w:id="59"/>
      </w:r>
      <w:r w:rsidR="002B701A">
        <w:rPr>
          <w:szCs w:val="26"/>
        </w:rPr>
        <w:t xml:space="preserve">  The second judgment concludes that an</w:t>
      </w:r>
      <w:r w:rsidR="002B701A" w:rsidRPr="004B0F32">
        <w:rPr>
          <w:szCs w:val="26"/>
        </w:rPr>
        <w:t xml:space="preserve"> individual may challenge the legality of the failure</w:t>
      </w:r>
      <w:r w:rsidR="002B701A">
        <w:rPr>
          <w:szCs w:val="26"/>
        </w:rPr>
        <w:t xml:space="preserve"> of a public entity to fulfil that duty</w:t>
      </w:r>
      <w:r w:rsidR="002B701A" w:rsidRPr="004B0F32">
        <w:rPr>
          <w:szCs w:val="26"/>
        </w:rPr>
        <w:t xml:space="preserve"> outside the bounds of PAJA</w:t>
      </w:r>
      <w:r w:rsidR="002B701A">
        <w:rPr>
          <w:szCs w:val="26"/>
        </w:rPr>
        <w:t>, just as Ms Hunter has sought to do</w:t>
      </w:r>
      <w:r w:rsidR="002B701A" w:rsidRPr="004B0F32">
        <w:rPr>
          <w:szCs w:val="26"/>
        </w:rPr>
        <w:t>.</w:t>
      </w:r>
      <w:r w:rsidR="002B701A">
        <w:rPr>
          <w:rStyle w:val="FootnoteReference"/>
          <w:szCs w:val="26"/>
        </w:rPr>
        <w:footnoteReference w:id="60"/>
      </w:r>
    </w:p>
    <w:p w14:paraId="07B2FD8C" w14:textId="77777777" w:rsidR="00526DC0" w:rsidRDefault="00526DC0" w:rsidP="00526DC0">
      <w:pPr>
        <w:spacing w:line="360" w:lineRule="auto"/>
        <w:rPr>
          <w:rFonts w:eastAsia="Calibri"/>
        </w:rPr>
      </w:pPr>
    </w:p>
    <w:p w14:paraId="1F41CF3B" w14:textId="77777777" w:rsidR="00526DC0" w:rsidRDefault="00526DC0" w:rsidP="00526DC0">
      <w:pPr>
        <w:spacing w:line="360" w:lineRule="auto"/>
        <w:rPr>
          <w:rFonts w:eastAsia="Calibri"/>
        </w:rPr>
        <w:sectPr w:rsidR="00526DC0" w:rsidSect="000F7521">
          <w:headerReference w:type="default" r:id="rId29"/>
          <w:type w:val="continuous"/>
          <w:pgSz w:w="11907" w:h="16839" w:code="9"/>
          <w:pgMar w:top="1440" w:right="1440" w:bottom="1440" w:left="1440" w:header="708" w:footer="708" w:gutter="0"/>
          <w:cols w:space="708"/>
          <w:titlePg/>
          <w:docGrid w:linePitch="360"/>
        </w:sectPr>
      </w:pPr>
    </w:p>
    <w:p w14:paraId="18FE8C08" w14:textId="26F6080A" w:rsidR="002B701A" w:rsidRPr="00FF1A7C" w:rsidRDefault="00811729" w:rsidP="00811729">
      <w:pPr>
        <w:pStyle w:val="JUDGMENTNUMBERED"/>
        <w:numPr>
          <w:ilvl w:val="0"/>
          <w:numId w:val="0"/>
        </w:numPr>
      </w:pPr>
      <w:r w:rsidRPr="00FF1A7C">
        <w:rPr>
          <w:color w:val="000000"/>
        </w:rPr>
        <w:lastRenderedPageBreak/>
        <w:t>[139]</w:t>
      </w:r>
      <w:r w:rsidRPr="00FF1A7C">
        <w:rPr>
          <w:color w:val="000000"/>
        </w:rPr>
        <w:tab/>
      </w:r>
      <w:r w:rsidR="002B701A" w:rsidRPr="004D65CD">
        <w:t>In my view</w:t>
      </w:r>
      <w:r w:rsidR="002B701A">
        <w:t xml:space="preserve"> it is unnecessary and inappropriate to decide the application for leave to appeal on the grounds relied upon in the two judgments. </w:t>
      </w:r>
      <w:r w:rsidR="002B701A" w:rsidRPr="004D65CD">
        <w:t xml:space="preserve"> Ms Hunter has</w:t>
      </w:r>
      <w:r w:rsidR="002B701A">
        <w:t>,</w:t>
      </w:r>
      <w:r w:rsidR="002B701A" w:rsidRPr="004D65CD">
        <w:t xml:space="preserve"> </w:t>
      </w:r>
      <w:r w:rsidR="002B701A">
        <w:t xml:space="preserve">quite simply, </w:t>
      </w:r>
      <w:r w:rsidR="002B701A" w:rsidRPr="004D65CD">
        <w:t xml:space="preserve">not made out a case in her founding affidavit for the relief she now seeks in this </w:t>
      </w:r>
      <w:r w:rsidR="002B701A">
        <w:t>C</w:t>
      </w:r>
      <w:r w:rsidR="002B701A" w:rsidRPr="004D65CD">
        <w:t>ourt.</w:t>
      </w:r>
      <w:r w:rsidR="002B701A">
        <w:t xml:space="preserve">  </w:t>
      </w:r>
      <w:r w:rsidR="002B701A" w:rsidRPr="004D65CD">
        <w:t>I would accordingly dismiss her applicat</w:t>
      </w:r>
      <w:r w:rsidR="00526DC0">
        <w:t xml:space="preserve">ion for leave to appeal against </w:t>
      </w:r>
      <w:r w:rsidR="002B701A" w:rsidRPr="004D65CD">
        <w:t xml:space="preserve">the judgment of </w:t>
      </w:r>
      <w:r w:rsidR="002B701A">
        <w:t>t</w:t>
      </w:r>
      <w:r w:rsidR="002B701A" w:rsidRPr="004D65CD">
        <w:t xml:space="preserve">he </w:t>
      </w:r>
      <w:r w:rsidR="002B701A">
        <w:t>H</w:t>
      </w:r>
      <w:r w:rsidR="002B701A" w:rsidRPr="004D65CD">
        <w:t xml:space="preserve">igh </w:t>
      </w:r>
      <w:r w:rsidR="002B701A">
        <w:t>C</w:t>
      </w:r>
      <w:r w:rsidR="002B701A" w:rsidRPr="004D65CD">
        <w:t>ourt</w:t>
      </w:r>
      <w:r w:rsidR="002B701A">
        <w:t xml:space="preserve"> because it is not in the interests of justice to grant leave to appeal in these circumstances</w:t>
      </w:r>
      <w:r w:rsidR="002B701A" w:rsidRPr="004D65CD">
        <w:t>.</w:t>
      </w:r>
    </w:p>
    <w:p w14:paraId="784EE107" w14:textId="77777777" w:rsidR="002B701A" w:rsidRPr="001A29E7" w:rsidRDefault="002B701A" w:rsidP="002B701A">
      <w:pPr>
        <w:pStyle w:val="JUDGMENTCONTINUED"/>
        <w:rPr>
          <w:szCs w:val="26"/>
        </w:rPr>
      </w:pPr>
    </w:p>
    <w:p w14:paraId="051BBD63" w14:textId="587F4E91" w:rsidR="002B701A" w:rsidRPr="004972EA" w:rsidRDefault="00811729" w:rsidP="00811729">
      <w:pPr>
        <w:pStyle w:val="JUDGMENTNUMBERED"/>
        <w:numPr>
          <w:ilvl w:val="0"/>
          <w:numId w:val="0"/>
        </w:numPr>
        <w:rPr>
          <w:szCs w:val="26"/>
        </w:rPr>
      </w:pPr>
      <w:r w:rsidRPr="004972EA">
        <w:rPr>
          <w:color w:val="000000"/>
          <w:szCs w:val="26"/>
        </w:rPr>
        <w:t>[140]</w:t>
      </w:r>
      <w:r w:rsidRPr="004972EA">
        <w:rPr>
          <w:color w:val="000000"/>
          <w:szCs w:val="26"/>
        </w:rPr>
        <w:tab/>
      </w:r>
      <w:r w:rsidR="002B701A" w:rsidRPr="001A29E7">
        <w:rPr>
          <w:szCs w:val="26"/>
        </w:rPr>
        <w:t xml:space="preserve">Ms Hunter’s central hypothesis advanced in this Court was that there were systemic irregularities in the way in which the cancellations project was executed. </w:t>
      </w:r>
      <w:r w:rsidR="002B701A">
        <w:rPr>
          <w:szCs w:val="26"/>
        </w:rPr>
        <w:t xml:space="preserve"> </w:t>
      </w:r>
      <w:r w:rsidR="002B701A" w:rsidRPr="001A29E7">
        <w:rPr>
          <w:szCs w:val="26"/>
        </w:rPr>
        <w:t xml:space="preserve">This, she said, led to the likelihood of financial prejudice to interested parties, which the </w:t>
      </w:r>
      <w:r w:rsidR="002B701A">
        <w:rPr>
          <w:szCs w:val="26"/>
        </w:rPr>
        <w:t>FSCA</w:t>
      </w:r>
      <w:r w:rsidR="002B701A" w:rsidRPr="001A29E7">
        <w:rPr>
          <w:szCs w:val="26"/>
        </w:rPr>
        <w:t xml:space="preserve"> had a duty to investigate, but</w:t>
      </w:r>
      <w:r w:rsidR="002B701A">
        <w:rPr>
          <w:szCs w:val="26"/>
        </w:rPr>
        <w:t xml:space="preserve"> </w:t>
      </w:r>
      <w:r w:rsidR="002B701A" w:rsidRPr="001A29E7">
        <w:rPr>
          <w:szCs w:val="26"/>
        </w:rPr>
        <w:t>resist</w:t>
      </w:r>
      <w:r w:rsidR="002B701A">
        <w:rPr>
          <w:szCs w:val="26"/>
        </w:rPr>
        <w:t>ed</w:t>
      </w:r>
      <w:r w:rsidR="002B701A" w:rsidRPr="001A29E7">
        <w:rPr>
          <w:szCs w:val="26"/>
        </w:rPr>
        <w:t xml:space="preserve"> doing so. </w:t>
      </w:r>
      <w:r w:rsidR="002B701A">
        <w:rPr>
          <w:szCs w:val="26"/>
        </w:rPr>
        <w:t xml:space="preserve"> </w:t>
      </w:r>
      <w:r w:rsidR="002B701A" w:rsidRPr="001A29E7">
        <w:rPr>
          <w:szCs w:val="26"/>
        </w:rPr>
        <w:t xml:space="preserve">Ms Hunter submits that this </w:t>
      </w:r>
      <w:r w:rsidR="002B701A">
        <w:rPr>
          <w:szCs w:val="26"/>
        </w:rPr>
        <w:t>C</w:t>
      </w:r>
      <w:r w:rsidR="002B701A" w:rsidRPr="001A29E7">
        <w:rPr>
          <w:szCs w:val="26"/>
        </w:rPr>
        <w:t xml:space="preserve">ourt must now order </w:t>
      </w:r>
      <w:r w:rsidR="002B701A">
        <w:rPr>
          <w:szCs w:val="26"/>
        </w:rPr>
        <w:t xml:space="preserve">what amounts to </w:t>
      </w:r>
      <w:r w:rsidR="002B701A" w:rsidRPr="001A29E7">
        <w:rPr>
          <w:szCs w:val="26"/>
        </w:rPr>
        <w:t>a</w:t>
      </w:r>
      <w:r w:rsidR="002B701A">
        <w:rPr>
          <w:szCs w:val="26"/>
        </w:rPr>
        <w:t xml:space="preserve">n unprecedented and far-reaching </w:t>
      </w:r>
      <w:r w:rsidR="002B701A" w:rsidRPr="004972EA">
        <w:rPr>
          <w:szCs w:val="26"/>
        </w:rPr>
        <w:t>court</w:t>
      </w:r>
      <w:r w:rsidR="002B701A">
        <w:rPr>
          <w:szCs w:val="26"/>
        </w:rPr>
        <w:t>-</w:t>
      </w:r>
      <w:r w:rsidR="002B701A" w:rsidRPr="001966BF">
        <w:rPr>
          <w:szCs w:val="26"/>
        </w:rPr>
        <w:t>supervised</w:t>
      </w:r>
      <w:r w:rsidR="002B701A">
        <w:rPr>
          <w:szCs w:val="26"/>
        </w:rPr>
        <w:t xml:space="preserve"> </w:t>
      </w:r>
      <w:r w:rsidR="002B701A" w:rsidRPr="00C42396">
        <w:rPr>
          <w:szCs w:val="26"/>
        </w:rPr>
        <w:t xml:space="preserve">investigation </w:t>
      </w:r>
      <w:r w:rsidR="002B701A" w:rsidRPr="008F00A2">
        <w:rPr>
          <w:szCs w:val="26"/>
        </w:rPr>
        <w:t xml:space="preserve">into the cancellations project because the </w:t>
      </w:r>
      <w:r w:rsidR="002B701A">
        <w:rPr>
          <w:szCs w:val="26"/>
        </w:rPr>
        <w:t>FSCA</w:t>
      </w:r>
      <w:r w:rsidR="002B701A" w:rsidRPr="008F00A2">
        <w:rPr>
          <w:szCs w:val="26"/>
        </w:rPr>
        <w:t xml:space="preserve"> does not acknowledge these irregularities and has no </w:t>
      </w:r>
      <w:r w:rsidR="002B701A" w:rsidRPr="00C42396">
        <w:rPr>
          <w:szCs w:val="26"/>
        </w:rPr>
        <w:t>commitment to remedying them.</w:t>
      </w:r>
    </w:p>
    <w:p w14:paraId="143D2B66" w14:textId="77777777" w:rsidR="002B701A" w:rsidRPr="004D65CD" w:rsidRDefault="002B701A" w:rsidP="002B701A">
      <w:pPr>
        <w:pStyle w:val="JUDGMENTCONTINUED"/>
        <w:rPr>
          <w:szCs w:val="26"/>
        </w:rPr>
      </w:pPr>
    </w:p>
    <w:p w14:paraId="09B6B6E2" w14:textId="7706BCA0" w:rsidR="002B701A" w:rsidRPr="001A29E7" w:rsidRDefault="00811729" w:rsidP="00811729">
      <w:pPr>
        <w:pStyle w:val="JUDGMENTNUMBERED"/>
        <w:numPr>
          <w:ilvl w:val="0"/>
          <w:numId w:val="0"/>
        </w:numPr>
        <w:rPr>
          <w:szCs w:val="26"/>
        </w:rPr>
      </w:pPr>
      <w:r w:rsidRPr="001A29E7">
        <w:rPr>
          <w:color w:val="000000"/>
          <w:szCs w:val="26"/>
        </w:rPr>
        <w:t>[141]</w:t>
      </w:r>
      <w:r w:rsidRPr="001A29E7">
        <w:rPr>
          <w:color w:val="000000"/>
          <w:szCs w:val="26"/>
        </w:rPr>
        <w:tab/>
      </w:r>
      <w:r w:rsidR="002B701A" w:rsidRPr="004D65CD">
        <w:rPr>
          <w:szCs w:val="26"/>
        </w:rPr>
        <w:t xml:space="preserve">In what follows I shall demonstrate that Ms Hunter’s central hypothesis – the </w:t>
      </w:r>
      <w:r w:rsidR="002B701A">
        <w:rPr>
          <w:szCs w:val="26"/>
        </w:rPr>
        <w:t>FSCA</w:t>
      </w:r>
      <w:r w:rsidR="002B701A" w:rsidRPr="004D65CD">
        <w:rPr>
          <w:szCs w:val="26"/>
        </w:rPr>
        <w:t xml:space="preserve">’s duty to investigate systemic irregularities in the </w:t>
      </w:r>
      <w:r w:rsidR="00E046D0">
        <w:rPr>
          <w:szCs w:val="26"/>
        </w:rPr>
        <w:t xml:space="preserve">cancellations </w:t>
      </w:r>
      <w:r w:rsidR="002B701A" w:rsidRPr="004D65CD">
        <w:rPr>
          <w:szCs w:val="26"/>
        </w:rPr>
        <w:t xml:space="preserve">project – does not get out of the starting blocks; this case was not made out in her founding affidavit or in argument before the </w:t>
      </w:r>
      <w:r w:rsidR="002B701A">
        <w:rPr>
          <w:szCs w:val="26"/>
        </w:rPr>
        <w:t>H</w:t>
      </w:r>
      <w:r w:rsidR="002B701A" w:rsidRPr="004D65CD">
        <w:rPr>
          <w:szCs w:val="26"/>
        </w:rPr>
        <w:t xml:space="preserve">igh </w:t>
      </w:r>
      <w:r w:rsidR="002B701A">
        <w:rPr>
          <w:szCs w:val="26"/>
        </w:rPr>
        <w:t>C</w:t>
      </w:r>
      <w:r w:rsidR="002B701A" w:rsidRPr="004D65CD">
        <w:rPr>
          <w:szCs w:val="26"/>
        </w:rPr>
        <w:t xml:space="preserve">ourt. </w:t>
      </w:r>
      <w:r w:rsidR="002B701A">
        <w:rPr>
          <w:szCs w:val="26"/>
        </w:rPr>
        <w:t xml:space="preserve"> </w:t>
      </w:r>
      <w:r w:rsidR="002B701A" w:rsidRPr="004D65CD">
        <w:rPr>
          <w:szCs w:val="26"/>
        </w:rPr>
        <w:t xml:space="preserve">Instead it is impermissibly made for the first time in the founding affidavit in the application for leave to appeal in this </w:t>
      </w:r>
      <w:r w:rsidR="002B701A">
        <w:rPr>
          <w:szCs w:val="26"/>
        </w:rPr>
        <w:t>C</w:t>
      </w:r>
      <w:r w:rsidR="002B701A" w:rsidRPr="001A29E7">
        <w:rPr>
          <w:szCs w:val="26"/>
        </w:rPr>
        <w:t>ourt.</w:t>
      </w:r>
      <w:r w:rsidR="002B701A">
        <w:rPr>
          <w:szCs w:val="26"/>
        </w:rPr>
        <w:t xml:space="preserve"> </w:t>
      </w:r>
      <w:r w:rsidR="002B701A" w:rsidRPr="001A29E7">
        <w:rPr>
          <w:szCs w:val="26"/>
        </w:rPr>
        <w:t xml:space="preserve"> In </w:t>
      </w:r>
      <w:proofErr w:type="gramStart"/>
      <w:r w:rsidR="002B701A" w:rsidRPr="001A29E7">
        <w:rPr>
          <w:szCs w:val="26"/>
        </w:rPr>
        <w:t>fact</w:t>
      </w:r>
      <w:proofErr w:type="gramEnd"/>
      <w:r w:rsidR="002B701A" w:rsidRPr="001A29E7">
        <w:rPr>
          <w:szCs w:val="26"/>
        </w:rPr>
        <w:t xml:space="preserve"> Ms</w:t>
      </w:r>
      <w:r w:rsidR="002B701A">
        <w:rPr>
          <w:szCs w:val="26"/>
        </w:rPr>
        <w:t> </w:t>
      </w:r>
      <w:r w:rsidR="002B701A" w:rsidRPr="001A29E7">
        <w:rPr>
          <w:szCs w:val="26"/>
        </w:rPr>
        <w:t>Hunter’s case has mutated since it was first instituted.  Her counsel</w:t>
      </w:r>
      <w:r w:rsidR="002B701A">
        <w:rPr>
          <w:szCs w:val="26"/>
        </w:rPr>
        <w:t>, Mr </w:t>
      </w:r>
      <w:proofErr w:type="spellStart"/>
      <w:r w:rsidR="002B701A">
        <w:rPr>
          <w:szCs w:val="26"/>
        </w:rPr>
        <w:t>Budlender</w:t>
      </w:r>
      <w:proofErr w:type="spellEnd"/>
      <w:r w:rsidR="002B701A" w:rsidRPr="001A29E7">
        <w:rPr>
          <w:szCs w:val="26"/>
        </w:rPr>
        <w:t xml:space="preserve"> </w:t>
      </w:r>
      <w:r w:rsidR="002B701A" w:rsidRPr="001A29E7">
        <w:rPr>
          <w:szCs w:val="26"/>
        </w:rPr>
        <w:lastRenderedPageBreak/>
        <w:t xml:space="preserve">has, </w:t>
      </w:r>
      <w:r w:rsidR="002B701A">
        <w:rPr>
          <w:szCs w:val="26"/>
        </w:rPr>
        <w:t xml:space="preserve">as I shall demonstrate in due course, </w:t>
      </w:r>
      <w:r w:rsidR="002B701A" w:rsidRPr="001A29E7">
        <w:rPr>
          <w:szCs w:val="26"/>
        </w:rPr>
        <w:t xml:space="preserve">unconvincingly sought to portray this </w:t>
      </w:r>
      <w:r w:rsidR="002B701A">
        <w:rPr>
          <w:szCs w:val="26"/>
        </w:rPr>
        <w:t xml:space="preserve">mutation </w:t>
      </w:r>
      <w:r w:rsidR="002B701A" w:rsidRPr="001A29E7">
        <w:rPr>
          <w:szCs w:val="26"/>
        </w:rPr>
        <w:t>as a mere “refinement of her case”.</w:t>
      </w:r>
    </w:p>
    <w:p w14:paraId="4192B2E0" w14:textId="77777777" w:rsidR="002B701A" w:rsidRPr="00B30C9E" w:rsidRDefault="002B701A" w:rsidP="002B701A">
      <w:pPr>
        <w:pStyle w:val="JUDGMENTCONTINUED"/>
        <w:rPr>
          <w:szCs w:val="26"/>
        </w:rPr>
      </w:pPr>
    </w:p>
    <w:p w14:paraId="33E50CC0" w14:textId="77777777" w:rsidR="002B701A" w:rsidRPr="00526DC0" w:rsidRDefault="002B701A" w:rsidP="00526DC0">
      <w:pPr>
        <w:pStyle w:val="HEADING"/>
      </w:pPr>
      <w:r w:rsidRPr="00526DC0">
        <w:t>The unlawfulness case</w:t>
      </w:r>
    </w:p>
    <w:p w14:paraId="7526DF43" w14:textId="255989C3" w:rsidR="002B701A" w:rsidRPr="004D65CD" w:rsidRDefault="00811729" w:rsidP="00811729">
      <w:pPr>
        <w:pStyle w:val="JUDGMENTNUMBERED"/>
        <w:numPr>
          <w:ilvl w:val="0"/>
          <w:numId w:val="0"/>
        </w:numPr>
        <w:rPr>
          <w:szCs w:val="26"/>
        </w:rPr>
      </w:pPr>
      <w:r w:rsidRPr="004D65CD">
        <w:rPr>
          <w:color w:val="000000"/>
          <w:szCs w:val="26"/>
        </w:rPr>
        <w:t>[142]</w:t>
      </w:r>
      <w:r w:rsidRPr="004D65CD">
        <w:rPr>
          <w:color w:val="000000"/>
          <w:szCs w:val="26"/>
        </w:rPr>
        <w:tab/>
      </w:r>
      <w:r w:rsidR="002B701A" w:rsidRPr="000F546C">
        <w:rPr>
          <w:szCs w:val="26"/>
        </w:rPr>
        <w:t xml:space="preserve">The relief Ms Hunter sought in her original notice of motion, when she instituted proceedings on 19 January 2016, was for the </w:t>
      </w:r>
      <w:r w:rsidR="002B701A">
        <w:rPr>
          <w:szCs w:val="26"/>
        </w:rPr>
        <w:t>FSCA</w:t>
      </w:r>
      <w:r w:rsidR="002B701A" w:rsidRPr="004D65CD">
        <w:rPr>
          <w:szCs w:val="26"/>
        </w:rPr>
        <w:t xml:space="preserve"> to procure an investigation into the matters referred to in her NCN1 attached to the founding affidavit, by a suitably qualified individual or organisation and report to her on its outcome. </w:t>
      </w:r>
      <w:r w:rsidR="002B701A">
        <w:rPr>
          <w:szCs w:val="26"/>
        </w:rPr>
        <w:t xml:space="preserve"> </w:t>
      </w:r>
      <w:r w:rsidR="002B701A" w:rsidRPr="004D65CD">
        <w:rPr>
          <w:szCs w:val="26"/>
        </w:rPr>
        <w:t>The ground relied upon to support this relief was her allegation that the “a</w:t>
      </w:r>
      <w:r w:rsidR="007C288B">
        <w:rPr>
          <w:szCs w:val="26"/>
        </w:rPr>
        <w:t>uthorised representatives” and section 26(2) trustees</w:t>
      </w:r>
      <w:r w:rsidR="002B701A" w:rsidRPr="004D65CD">
        <w:rPr>
          <w:szCs w:val="26"/>
        </w:rPr>
        <w:t xml:space="preserve"> did not have the power to apply for the </w:t>
      </w:r>
      <w:r w:rsidR="002B701A">
        <w:rPr>
          <w:szCs w:val="26"/>
        </w:rPr>
        <w:t>cancellation</w:t>
      </w:r>
      <w:r w:rsidR="002B701A" w:rsidRPr="004D65CD">
        <w:rPr>
          <w:szCs w:val="26"/>
        </w:rPr>
        <w:t xml:space="preserve"> of the </w:t>
      </w:r>
      <w:r w:rsidR="002B701A">
        <w:rPr>
          <w:szCs w:val="26"/>
        </w:rPr>
        <w:t>“</w:t>
      </w:r>
      <w:r w:rsidR="002B701A" w:rsidRPr="004D65CD">
        <w:rPr>
          <w:szCs w:val="26"/>
        </w:rPr>
        <w:t>orphan funds</w:t>
      </w:r>
      <w:r w:rsidR="002B701A">
        <w:rPr>
          <w:szCs w:val="26"/>
        </w:rPr>
        <w:t>”</w:t>
      </w:r>
      <w:r w:rsidR="002B701A" w:rsidRPr="004D65CD">
        <w:rPr>
          <w:szCs w:val="26"/>
        </w:rPr>
        <w:t xml:space="preserve"> or to provide the </w:t>
      </w:r>
      <w:r w:rsidR="005460DB">
        <w:rPr>
          <w:szCs w:val="26"/>
        </w:rPr>
        <w:t>r</w:t>
      </w:r>
      <w:r w:rsidR="002B701A" w:rsidRPr="004D65CD">
        <w:rPr>
          <w:szCs w:val="26"/>
        </w:rPr>
        <w:t>egistrar with evidence for him to exercise his power under s</w:t>
      </w:r>
      <w:r w:rsidR="002B701A">
        <w:rPr>
          <w:szCs w:val="26"/>
        </w:rPr>
        <w:t>ection</w:t>
      </w:r>
      <w:r w:rsidR="002B701A" w:rsidRPr="004D65CD">
        <w:rPr>
          <w:szCs w:val="26"/>
        </w:rPr>
        <w:t xml:space="preserve"> 27(1) to cancel the registration of the funds. </w:t>
      </w:r>
      <w:r w:rsidR="002B701A">
        <w:rPr>
          <w:szCs w:val="26"/>
        </w:rPr>
        <w:t xml:space="preserve"> </w:t>
      </w:r>
      <w:r w:rsidR="002B701A" w:rsidRPr="004D65CD">
        <w:rPr>
          <w:szCs w:val="26"/>
        </w:rPr>
        <w:t>Put simply</w:t>
      </w:r>
      <w:r w:rsidR="002B701A">
        <w:rPr>
          <w:szCs w:val="26"/>
        </w:rPr>
        <w:t>,</w:t>
      </w:r>
      <w:r w:rsidR="002B701A" w:rsidRPr="004D65CD">
        <w:rPr>
          <w:szCs w:val="26"/>
        </w:rPr>
        <w:t xml:space="preserve"> her attack was aimed </w:t>
      </w:r>
      <w:r w:rsidR="002B701A">
        <w:rPr>
          <w:szCs w:val="26"/>
        </w:rPr>
        <w:t xml:space="preserve">principally </w:t>
      </w:r>
      <w:r w:rsidR="002B701A" w:rsidRPr="00637FD1">
        <w:rPr>
          <w:szCs w:val="26"/>
        </w:rPr>
        <w:t xml:space="preserve">at the lawfulness of the project, not that there were other </w:t>
      </w:r>
      <w:r w:rsidR="002B701A" w:rsidRPr="00B30C9E">
        <w:rPr>
          <w:szCs w:val="26"/>
        </w:rPr>
        <w:t>systemic irregularities</w:t>
      </w:r>
      <w:r w:rsidR="002B701A" w:rsidRPr="000F546C">
        <w:rPr>
          <w:szCs w:val="26"/>
        </w:rPr>
        <w:t xml:space="preserve"> </w:t>
      </w:r>
      <w:r w:rsidR="002B701A">
        <w:rPr>
          <w:szCs w:val="26"/>
        </w:rPr>
        <w:t>requiring an investigation.</w:t>
      </w:r>
    </w:p>
    <w:p w14:paraId="6F501269" w14:textId="77777777" w:rsidR="002B701A" w:rsidRPr="004D65CD" w:rsidRDefault="002B701A" w:rsidP="002B701A">
      <w:pPr>
        <w:pStyle w:val="JUDGMENTCONTINUED"/>
        <w:rPr>
          <w:szCs w:val="26"/>
        </w:rPr>
      </w:pPr>
    </w:p>
    <w:p w14:paraId="6DDF36C2" w14:textId="1465ED9E" w:rsidR="002B701A" w:rsidRPr="00AD3693" w:rsidRDefault="00811729" w:rsidP="00811729">
      <w:pPr>
        <w:pStyle w:val="JUDGMENTNUMBERED"/>
        <w:numPr>
          <w:ilvl w:val="0"/>
          <w:numId w:val="0"/>
        </w:numPr>
        <w:rPr>
          <w:szCs w:val="26"/>
        </w:rPr>
      </w:pPr>
      <w:r w:rsidRPr="00AD3693">
        <w:rPr>
          <w:color w:val="000000"/>
          <w:szCs w:val="26"/>
        </w:rPr>
        <w:t>[143]</w:t>
      </w:r>
      <w:r w:rsidRPr="00AD3693">
        <w:rPr>
          <w:color w:val="000000"/>
          <w:szCs w:val="26"/>
        </w:rPr>
        <w:tab/>
      </w:r>
      <w:r w:rsidR="002B701A">
        <w:rPr>
          <w:szCs w:val="26"/>
        </w:rPr>
        <w:t>T</w:t>
      </w:r>
      <w:r w:rsidR="002B701A" w:rsidRPr="004D65CD">
        <w:rPr>
          <w:szCs w:val="26"/>
        </w:rPr>
        <w:t xml:space="preserve">he </w:t>
      </w:r>
      <w:r w:rsidR="002B701A">
        <w:rPr>
          <w:szCs w:val="26"/>
        </w:rPr>
        <w:t>FSCA</w:t>
      </w:r>
      <w:r w:rsidR="002B701A" w:rsidRPr="004D65CD">
        <w:rPr>
          <w:szCs w:val="26"/>
        </w:rPr>
        <w:t xml:space="preserve"> met the unlawfulness case convincingly by showing that s</w:t>
      </w:r>
      <w:r w:rsidR="002B701A">
        <w:rPr>
          <w:szCs w:val="26"/>
        </w:rPr>
        <w:t>ection </w:t>
      </w:r>
      <w:r w:rsidR="002B701A" w:rsidRPr="004D65CD">
        <w:rPr>
          <w:szCs w:val="26"/>
        </w:rPr>
        <w:t xml:space="preserve">27(1) </w:t>
      </w:r>
      <w:r w:rsidR="002B701A">
        <w:rPr>
          <w:szCs w:val="26"/>
        </w:rPr>
        <w:t xml:space="preserve">gives </w:t>
      </w:r>
      <w:r w:rsidR="002B701A" w:rsidRPr="004D65CD">
        <w:rPr>
          <w:szCs w:val="26"/>
        </w:rPr>
        <w:t xml:space="preserve">the </w:t>
      </w:r>
      <w:r w:rsidR="005460DB">
        <w:rPr>
          <w:szCs w:val="26"/>
        </w:rPr>
        <w:t>r</w:t>
      </w:r>
      <w:r w:rsidR="002B701A" w:rsidRPr="004D65CD">
        <w:rPr>
          <w:szCs w:val="26"/>
        </w:rPr>
        <w:t>egistrar</w:t>
      </w:r>
      <w:r w:rsidR="002B701A">
        <w:rPr>
          <w:szCs w:val="26"/>
        </w:rPr>
        <w:t xml:space="preserve"> a broad power</w:t>
      </w:r>
      <w:r w:rsidR="002B701A" w:rsidRPr="004D65CD">
        <w:rPr>
          <w:szCs w:val="26"/>
        </w:rPr>
        <w:t xml:space="preserve"> to cancel the registration of an </w:t>
      </w:r>
      <w:r w:rsidR="002B701A">
        <w:rPr>
          <w:szCs w:val="26"/>
        </w:rPr>
        <w:t>“</w:t>
      </w:r>
      <w:r w:rsidR="002B701A" w:rsidRPr="004D65CD">
        <w:rPr>
          <w:szCs w:val="26"/>
        </w:rPr>
        <w:t>orphan</w:t>
      </w:r>
      <w:r w:rsidR="002B701A">
        <w:rPr>
          <w:szCs w:val="26"/>
        </w:rPr>
        <w:t> </w:t>
      </w:r>
      <w:r w:rsidR="002B701A" w:rsidRPr="004D65CD">
        <w:rPr>
          <w:szCs w:val="26"/>
        </w:rPr>
        <w:t>fund</w:t>
      </w:r>
      <w:r w:rsidR="002B701A">
        <w:rPr>
          <w:szCs w:val="26"/>
        </w:rPr>
        <w:t>”</w:t>
      </w:r>
      <w:r w:rsidR="002B701A" w:rsidRPr="004D65CD">
        <w:rPr>
          <w:szCs w:val="26"/>
        </w:rPr>
        <w:t xml:space="preserve"> without any application for its cancellation and regardless of the source of the evidence t</w:t>
      </w:r>
      <w:r w:rsidR="002B701A" w:rsidRPr="00AD3693">
        <w:rPr>
          <w:szCs w:val="26"/>
        </w:rPr>
        <w:t>hat the fund has ceased to exist.  Section 27(1)(a) provides</w:t>
      </w:r>
      <w:r w:rsidR="00526DC0">
        <w:rPr>
          <w:szCs w:val="26"/>
        </w:rPr>
        <w:t xml:space="preserve"> that</w:t>
      </w:r>
      <w:r w:rsidR="002B701A" w:rsidRPr="00AD3693">
        <w:rPr>
          <w:szCs w:val="26"/>
        </w:rPr>
        <w:t xml:space="preserve"> </w:t>
      </w:r>
      <w:r w:rsidR="002B701A" w:rsidRPr="00AD3693">
        <w:t>“</w:t>
      </w:r>
      <w:r w:rsidR="002B701A" w:rsidRPr="00341E19">
        <w:t>[t]</w:t>
      </w:r>
      <w:r w:rsidR="002B701A" w:rsidRPr="00AD3693">
        <w:t>he registrar shall cancel the registration of a fund . . . on proof to his satisfaction that the fund has ceased to exist”</w:t>
      </w:r>
      <w:r w:rsidR="002B701A" w:rsidRPr="00341E19">
        <w:t>.</w:t>
      </w:r>
      <w:r w:rsidR="002B701A" w:rsidRPr="00AD3693">
        <w:rPr>
          <w:szCs w:val="26"/>
        </w:rPr>
        <w:t xml:space="preserve">  All that is required before a fund is deregistered is for the </w:t>
      </w:r>
      <w:r w:rsidR="005460DB">
        <w:rPr>
          <w:szCs w:val="26"/>
        </w:rPr>
        <w:t>r</w:t>
      </w:r>
      <w:r w:rsidR="002B701A" w:rsidRPr="00AD3693">
        <w:rPr>
          <w:szCs w:val="26"/>
        </w:rPr>
        <w:t xml:space="preserve">egistrar to be subjectively satisfied that the fund has ceased to exist and that his conclusion is one that a reasonable </w:t>
      </w:r>
      <w:r w:rsidR="00526DC0">
        <w:rPr>
          <w:szCs w:val="26"/>
        </w:rPr>
        <w:t>r</w:t>
      </w:r>
      <w:r w:rsidR="002B701A" w:rsidRPr="00AD3693">
        <w:rPr>
          <w:szCs w:val="26"/>
        </w:rPr>
        <w:t xml:space="preserve">egistrar of </w:t>
      </w:r>
      <w:r w:rsidR="00526DC0">
        <w:rPr>
          <w:szCs w:val="26"/>
        </w:rPr>
        <w:t>pension f</w:t>
      </w:r>
      <w:r w:rsidR="002B701A" w:rsidRPr="00AD3693">
        <w:rPr>
          <w:szCs w:val="26"/>
        </w:rPr>
        <w:t>unds could reach.  Once this is established a court will pay due respect to his decision.</w:t>
      </w:r>
    </w:p>
    <w:p w14:paraId="2744B0FB" w14:textId="77777777" w:rsidR="002B701A" w:rsidRPr="000F546C" w:rsidRDefault="002B701A" w:rsidP="002B701A">
      <w:pPr>
        <w:pStyle w:val="JUDGMENTNUMBERED"/>
        <w:numPr>
          <w:ilvl w:val="0"/>
          <w:numId w:val="0"/>
        </w:numPr>
        <w:rPr>
          <w:szCs w:val="26"/>
        </w:rPr>
      </w:pPr>
    </w:p>
    <w:p w14:paraId="11465472" w14:textId="32EEF626" w:rsidR="002B701A" w:rsidRPr="00B30C9E" w:rsidRDefault="00811729" w:rsidP="00811729">
      <w:pPr>
        <w:pStyle w:val="JUDGMENTNUMBERED"/>
        <w:numPr>
          <w:ilvl w:val="0"/>
          <w:numId w:val="0"/>
        </w:numPr>
        <w:rPr>
          <w:szCs w:val="26"/>
        </w:rPr>
      </w:pPr>
      <w:r w:rsidRPr="00B30C9E">
        <w:rPr>
          <w:color w:val="000000"/>
          <w:szCs w:val="26"/>
        </w:rPr>
        <w:t>[144]</w:t>
      </w:r>
      <w:r w:rsidRPr="00B30C9E">
        <w:rPr>
          <w:color w:val="000000"/>
          <w:szCs w:val="26"/>
        </w:rPr>
        <w:tab/>
      </w:r>
      <w:r w:rsidR="002B701A" w:rsidRPr="000F546C">
        <w:rPr>
          <w:szCs w:val="26"/>
        </w:rPr>
        <w:t>In her application for leave to appeal to this Court</w:t>
      </w:r>
      <w:r w:rsidR="002B701A">
        <w:rPr>
          <w:szCs w:val="26"/>
        </w:rPr>
        <w:t>,</w:t>
      </w:r>
      <w:r w:rsidR="002B701A" w:rsidRPr="000F546C">
        <w:rPr>
          <w:szCs w:val="26"/>
        </w:rPr>
        <w:t xml:space="preserve"> Ms Hunter for the first time contended that there are two other requirements for the cancellation of a registration of a fund. </w:t>
      </w:r>
      <w:r w:rsidR="002B701A">
        <w:rPr>
          <w:szCs w:val="26"/>
        </w:rPr>
        <w:t xml:space="preserve"> </w:t>
      </w:r>
      <w:r w:rsidR="002B701A" w:rsidRPr="000F546C">
        <w:rPr>
          <w:szCs w:val="26"/>
        </w:rPr>
        <w:t xml:space="preserve">The first is that the </w:t>
      </w:r>
      <w:r w:rsidR="005460DB">
        <w:rPr>
          <w:szCs w:val="26"/>
        </w:rPr>
        <w:t>r</w:t>
      </w:r>
      <w:r w:rsidR="002B701A" w:rsidRPr="000F546C">
        <w:rPr>
          <w:szCs w:val="26"/>
        </w:rPr>
        <w:t xml:space="preserve">egistrar may only rely on evidence he has verified independently. </w:t>
      </w:r>
      <w:r w:rsidR="002B701A">
        <w:rPr>
          <w:szCs w:val="26"/>
        </w:rPr>
        <w:t xml:space="preserve"> </w:t>
      </w:r>
      <w:r w:rsidR="002B701A" w:rsidRPr="00FF1A7C">
        <w:rPr>
          <w:szCs w:val="26"/>
        </w:rPr>
        <w:t xml:space="preserve">The second is that he may only cancel the registration of a fund if he is able to determine from information in the </w:t>
      </w:r>
      <w:r w:rsidR="002B701A">
        <w:rPr>
          <w:szCs w:val="26"/>
        </w:rPr>
        <w:t>FSCA</w:t>
      </w:r>
      <w:r w:rsidR="002B701A" w:rsidRPr="00FF1A7C">
        <w:rPr>
          <w:szCs w:val="26"/>
        </w:rPr>
        <w:t>’s</w:t>
      </w:r>
      <w:r w:rsidR="002B701A" w:rsidRPr="001A29E7">
        <w:rPr>
          <w:szCs w:val="26"/>
        </w:rPr>
        <w:t xml:space="preserve"> records what has happened to its assets and liabilities. </w:t>
      </w:r>
      <w:r w:rsidR="002B701A">
        <w:rPr>
          <w:szCs w:val="26"/>
        </w:rPr>
        <w:t xml:space="preserve"> </w:t>
      </w:r>
      <w:r w:rsidR="002B701A" w:rsidRPr="001A29E7">
        <w:rPr>
          <w:szCs w:val="26"/>
        </w:rPr>
        <w:t>But there is no justification for reading these further requ</w:t>
      </w:r>
      <w:r w:rsidR="002B701A" w:rsidRPr="00B30C9E">
        <w:rPr>
          <w:szCs w:val="26"/>
        </w:rPr>
        <w:t xml:space="preserve">irements </w:t>
      </w:r>
      <w:r w:rsidR="002B701A" w:rsidRPr="00B30C9E">
        <w:rPr>
          <w:szCs w:val="26"/>
        </w:rPr>
        <w:lastRenderedPageBreak/>
        <w:t>into s</w:t>
      </w:r>
      <w:r w:rsidR="002B701A">
        <w:rPr>
          <w:szCs w:val="26"/>
        </w:rPr>
        <w:t>ection</w:t>
      </w:r>
      <w:r w:rsidR="002B701A" w:rsidRPr="00B30C9E">
        <w:rPr>
          <w:szCs w:val="26"/>
        </w:rPr>
        <w:t xml:space="preserve"> 27(1). </w:t>
      </w:r>
      <w:r w:rsidR="002B701A">
        <w:rPr>
          <w:szCs w:val="26"/>
        </w:rPr>
        <w:t xml:space="preserve"> </w:t>
      </w:r>
      <w:r w:rsidR="002B701A" w:rsidRPr="00B30C9E">
        <w:rPr>
          <w:szCs w:val="26"/>
        </w:rPr>
        <w:t xml:space="preserve">I did not understand Ms Hunter to persist with the argument that the </w:t>
      </w:r>
      <w:r w:rsidR="005460DB">
        <w:rPr>
          <w:szCs w:val="26"/>
        </w:rPr>
        <w:t>r</w:t>
      </w:r>
      <w:r w:rsidR="002B701A" w:rsidRPr="00B30C9E">
        <w:rPr>
          <w:szCs w:val="26"/>
        </w:rPr>
        <w:t>egistrar had unlawfully exercised his power to cancel the registration of the funds.</w:t>
      </w:r>
    </w:p>
    <w:p w14:paraId="522242EC" w14:textId="77777777" w:rsidR="002B701A" w:rsidRPr="000F546C" w:rsidRDefault="002B701A" w:rsidP="002B701A">
      <w:pPr>
        <w:pStyle w:val="JUDGMENTCONTINUED"/>
        <w:rPr>
          <w:szCs w:val="26"/>
        </w:rPr>
      </w:pPr>
    </w:p>
    <w:p w14:paraId="076E49B4" w14:textId="77777777" w:rsidR="002B701A" w:rsidRPr="000F546C" w:rsidRDefault="002B701A" w:rsidP="002B701A">
      <w:pPr>
        <w:pStyle w:val="HEADING"/>
        <w:rPr>
          <w:szCs w:val="26"/>
        </w:rPr>
      </w:pPr>
      <w:r w:rsidRPr="000F546C">
        <w:rPr>
          <w:szCs w:val="26"/>
        </w:rPr>
        <w:t xml:space="preserve">Background facts and </w:t>
      </w:r>
      <w:r>
        <w:rPr>
          <w:szCs w:val="26"/>
        </w:rPr>
        <w:t>l</w:t>
      </w:r>
      <w:r w:rsidRPr="000F546C">
        <w:rPr>
          <w:szCs w:val="26"/>
        </w:rPr>
        <w:t xml:space="preserve">itigation </w:t>
      </w:r>
      <w:r>
        <w:rPr>
          <w:szCs w:val="26"/>
        </w:rPr>
        <w:t>h</w:t>
      </w:r>
      <w:r w:rsidRPr="000F546C">
        <w:rPr>
          <w:szCs w:val="26"/>
        </w:rPr>
        <w:t>istory</w:t>
      </w:r>
    </w:p>
    <w:p w14:paraId="2D0E3C6F" w14:textId="4CCEC1D5" w:rsidR="002B701A" w:rsidRPr="004D65CD" w:rsidRDefault="00811729" w:rsidP="00811729">
      <w:pPr>
        <w:pStyle w:val="JUDGMENTNUMBERED"/>
        <w:numPr>
          <w:ilvl w:val="0"/>
          <w:numId w:val="0"/>
        </w:numPr>
        <w:rPr>
          <w:szCs w:val="26"/>
        </w:rPr>
      </w:pPr>
      <w:r w:rsidRPr="004D65CD">
        <w:rPr>
          <w:color w:val="000000"/>
          <w:szCs w:val="26"/>
        </w:rPr>
        <w:t>[145]</w:t>
      </w:r>
      <w:r w:rsidRPr="004D65CD">
        <w:rPr>
          <w:color w:val="000000"/>
          <w:szCs w:val="26"/>
        </w:rPr>
        <w:tab/>
      </w:r>
      <w:r w:rsidR="002B701A" w:rsidRPr="000F546C">
        <w:rPr>
          <w:szCs w:val="26"/>
        </w:rPr>
        <w:t xml:space="preserve">This brings me to </w:t>
      </w:r>
      <w:r w:rsidR="002B701A">
        <w:rPr>
          <w:szCs w:val="26"/>
        </w:rPr>
        <w:t>Ms Hunter’s</w:t>
      </w:r>
      <w:r w:rsidR="002B701A" w:rsidRPr="000F546C">
        <w:rPr>
          <w:szCs w:val="26"/>
        </w:rPr>
        <w:t xml:space="preserve"> central hypothesis: the </w:t>
      </w:r>
      <w:r w:rsidR="002B701A">
        <w:rPr>
          <w:szCs w:val="26"/>
        </w:rPr>
        <w:t>FSCA</w:t>
      </w:r>
      <w:r w:rsidR="002B701A" w:rsidRPr="000F546C">
        <w:rPr>
          <w:szCs w:val="26"/>
        </w:rPr>
        <w:t xml:space="preserve">’s duty to investigate the alleged irregularities in the cancellations project. </w:t>
      </w:r>
      <w:r w:rsidR="002B701A">
        <w:rPr>
          <w:szCs w:val="26"/>
        </w:rPr>
        <w:t xml:space="preserve"> </w:t>
      </w:r>
      <w:r w:rsidR="002B701A" w:rsidRPr="000F546C">
        <w:rPr>
          <w:szCs w:val="26"/>
        </w:rPr>
        <w:t>To understand how Ms Hunter got here</w:t>
      </w:r>
      <w:r w:rsidR="002B701A" w:rsidRPr="004D65CD">
        <w:rPr>
          <w:szCs w:val="26"/>
        </w:rPr>
        <w:t xml:space="preserve">, a brief digression into the facts and the litigation history is necessary. </w:t>
      </w:r>
      <w:r w:rsidR="002B701A">
        <w:rPr>
          <w:szCs w:val="26"/>
        </w:rPr>
        <w:t xml:space="preserve"> </w:t>
      </w:r>
      <w:r w:rsidR="002B701A" w:rsidRPr="004D65CD">
        <w:rPr>
          <w:szCs w:val="26"/>
        </w:rPr>
        <w:t>Ms</w:t>
      </w:r>
      <w:r w:rsidR="002B701A">
        <w:rPr>
          <w:szCs w:val="26"/>
        </w:rPr>
        <w:t> </w:t>
      </w:r>
      <w:r w:rsidR="002B701A" w:rsidRPr="004D65CD">
        <w:rPr>
          <w:szCs w:val="26"/>
        </w:rPr>
        <w:t xml:space="preserve">Hunter’s main relief in the High Court was aimed at securing </w:t>
      </w:r>
      <w:r w:rsidR="002B701A">
        <w:rPr>
          <w:szCs w:val="26"/>
        </w:rPr>
        <w:t xml:space="preserve">the </w:t>
      </w:r>
      <w:r w:rsidR="002B701A" w:rsidRPr="004D65CD">
        <w:rPr>
          <w:szCs w:val="26"/>
        </w:rPr>
        <w:t xml:space="preserve">disclosure of the </w:t>
      </w:r>
      <w:proofErr w:type="spellStart"/>
      <w:r w:rsidR="002B701A" w:rsidRPr="004D65CD">
        <w:rPr>
          <w:szCs w:val="26"/>
        </w:rPr>
        <w:t>O’Regan</w:t>
      </w:r>
      <w:proofErr w:type="spellEnd"/>
      <w:r w:rsidR="002B701A" w:rsidRPr="004D65CD">
        <w:rPr>
          <w:szCs w:val="26"/>
        </w:rPr>
        <w:t xml:space="preserve"> and KPMG reports, which the </w:t>
      </w:r>
      <w:r w:rsidR="002B701A">
        <w:rPr>
          <w:szCs w:val="26"/>
        </w:rPr>
        <w:t>FSCA</w:t>
      </w:r>
      <w:r w:rsidR="002B701A" w:rsidRPr="004D65CD">
        <w:rPr>
          <w:szCs w:val="26"/>
        </w:rPr>
        <w:t xml:space="preserve"> had withheld from her.</w:t>
      </w:r>
    </w:p>
    <w:p w14:paraId="16313117" w14:textId="77777777" w:rsidR="002B701A" w:rsidRPr="004D65CD" w:rsidRDefault="002B701A" w:rsidP="002B701A">
      <w:pPr>
        <w:pStyle w:val="JUDGMENTCONTINUED"/>
        <w:rPr>
          <w:szCs w:val="26"/>
        </w:rPr>
      </w:pPr>
    </w:p>
    <w:p w14:paraId="7834ECC2" w14:textId="46873A27" w:rsidR="002B701A" w:rsidRPr="00B30C9E" w:rsidRDefault="00811729" w:rsidP="00811729">
      <w:pPr>
        <w:pStyle w:val="JUDGMENTNUMBERED"/>
        <w:numPr>
          <w:ilvl w:val="0"/>
          <w:numId w:val="0"/>
        </w:numPr>
        <w:rPr>
          <w:szCs w:val="26"/>
        </w:rPr>
      </w:pPr>
      <w:r w:rsidRPr="00B30C9E">
        <w:rPr>
          <w:color w:val="000000"/>
          <w:szCs w:val="26"/>
        </w:rPr>
        <w:t>[146]</w:t>
      </w:r>
      <w:r w:rsidRPr="00B30C9E">
        <w:rPr>
          <w:color w:val="000000"/>
          <w:szCs w:val="26"/>
        </w:rPr>
        <w:tab/>
      </w:r>
      <w:r w:rsidR="002B701A" w:rsidRPr="004D65CD">
        <w:rPr>
          <w:szCs w:val="26"/>
        </w:rPr>
        <w:t xml:space="preserve">The </w:t>
      </w:r>
      <w:proofErr w:type="spellStart"/>
      <w:r w:rsidR="002B701A" w:rsidRPr="004D65CD">
        <w:rPr>
          <w:szCs w:val="26"/>
        </w:rPr>
        <w:t>O’Regan</w:t>
      </w:r>
      <w:proofErr w:type="spellEnd"/>
      <w:r w:rsidR="002B701A" w:rsidRPr="004D65CD">
        <w:rPr>
          <w:szCs w:val="26"/>
        </w:rPr>
        <w:t xml:space="preserve"> report arose from a</w:t>
      </w:r>
      <w:r w:rsidR="002B701A">
        <w:rPr>
          <w:szCs w:val="26"/>
        </w:rPr>
        <w:t>n</w:t>
      </w:r>
      <w:r w:rsidR="002B701A" w:rsidRPr="004D65CD">
        <w:rPr>
          <w:szCs w:val="26"/>
        </w:rPr>
        <w:t xml:space="preserve"> </w:t>
      </w:r>
      <w:r w:rsidR="002B701A">
        <w:rPr>
          <w:szCs w:val="26"/>
        </w:rPr>
        <w:t>FSCA</w:t>
      </w:r>
      <w:r w:rsidR="002B701A" w:rsidRPr="004D65CD">
        <w:rPr>
          <w:szCs w:val="26"/>
        </w:rPr>
        <w:t xml:space="preserve"> resolution on 17 September 2014 to appoint Justice </w:t>
      </w:r>
      <w:proofErr w:type="spellStart"/>
      <w:r w:rsidR="002B701A" w:rsidRPr="004D65CD">
        <w:rPr>
          <w:szCs w:val="26"/>
        </w:rPr>
        <w:t>O’Regan</w:t>
      </w:r>
      <w:proofErr w:type="spellEnd"/>
      <w:r w:rsidR="002B701A" w:rsidRPr="004D65CD">
        <w:rPr>
          <w:szCs w:val="26"/>
        </w:rPr>
        <w:t xml:space="preserve"> to investigate Ms</w:t>
      </w:r>
      <w:r w:rsidR="002B701A">
        <w:rPr>
          <w:szCs w:val="26"/>
        </w:rPr>
        <w:t> </w:t>
      </w:r>
      <w:r w:rsidR="002B701A" w:rsidRPr="004D65CD">
        <w:rPr>
          <w:szCs w:val="26"/>
        </w:rPr>
        <w:t xml:space="preserve">Hunter’s complaints. </w:t>
      </w:r>
      <w:r w:rsidR="002B701A">
        <w:rPr>
          <w:szCs w:val="26"/>
        </w:rPr>
        <w:t xml:space="preserve"> </w:t>
      </w:r>
      <w:r w:rsidR="002B701A" w:rsidRPr="004D65CD">
        <w:rPr>
          <w:szCs w:val="26"/>
        </w:rPr>
        <w:t xml:space="preserve">After receiving submissions from Ms Hunter, Mr Boyd and Mr </w:t>
      </w:r>
      <w:proofErr w:type="spellStart"/>
      <w:r w:rsidR="002B701A" w:rsidRPr="004D65CD">
        <w:rPr>
          <w:szCs w:val="26"/>
        </w:rPr>
        <w:t>Tshidi</w:t>
      </w:r>
      <w:proofErr w:type="spellEnd"/>
      <w:r w:rsidR="002B701A" w:rsidRPr="004D65CD">
        <w:rPr>
          <w:szCs w:val="26"/>
        </w:rPr>
        <w:t xml:space="preserve">, Justice </w:t>
      </w:r>
      <w:proofErr w:type="spellStart"/>
      <w:r w:rsidR="002B701A" w:rsidRPr="004D65CD">
        <w:rPr>
          <w:szCs w:val="26"/>
        </w:rPr>
        <w:t>O’Regan</w:t>
      </w:r>
      <w:proofErr w:type="spellEnd"/>
      <w:r w:rsidR="002B701A" w:rsidRPr="004D65CD">
        <w:rPr>
          <w:szCs w:val="26"/>
        </w:rPr>
        <w:t xml:space="preserve"> gave her report. </w:t>
      </w:r>
      <w:r w:rsidR="002B701A">
        <w:rPr>
          <w:szCs w:val="26"/>
        </w:rPr>
        <w:t xml:space="preserve"> </w:t>
      </w:r>
      <w:r w:rsidR="002B701A" w:rsidRPr="004D65CD">
        <w:rPr>
          <w:szCs w:val="26"/>
        </w:rPr>
        <w:t xml:space="preserve">She recorded, but did not express a view on the debate between the parties about the lawfulness of the cancellations. </w:t>
      </w:r>
      <w:r w:rsidR="002B701A">
        <w:rPr>
          <w:szCs w:val="26"/>
        </w:rPr>
        <w:t xml:space="preserve"> </w:t>
      </w:r>
      <w:r w:rsidR="002B701A" w:rsidRPr="004D65CD">
        <w:rPr>
          <w:szCs w:val="26"/>
        </w:rPr>
        <w:t>She recognised, with respect sensibly</w:t>
      </w:r>
      <w:r w:rsidR="002B701A">
        <w:rPr>
          <w:szCs w:val="26"/>
        </w:rPr>
        <w:t>,</w:t>
      </w:r>
      <w:r w:rsidR="002B701A" w:rsidRPr="004D65CD">
        <w:rPr>
          <w:szCs w:val="26"/>
        </w:rPr>
        <w:t xml:space="preserve"> </w:t>
      </w:r>
      <w:r w:rsidR="002B701A" w:rsidRPr="00FF1B00">
        <w:rPr>
          <w:szCs w:val="26"/>
        </w:rPr>
        <w:t>that the important question was not whether the registration of funds had been lawfully cancelled, but whether it is likely that anyone had suffered material financial prejudice as a result of their cancellation, which was Ms Hunte</w:t>
      </w:r>
      <w:r w:rsidR="002B701A" w:rsidRPr="001A29E7">
        <w:rPr>
          <w:szCs w:val="26"/>
        </w:rPr>
        <w:t xml:space="preserve">r’s primary concern. </w:t>
      </w:r>
      <w:r w:rsidR="002B701A">
        <w:rPr>
          <w:szCs w:val="26"/>
        </w:rPr>
        <w:t xml:space="preserve"> </w:t>
      </w:r>
      <w:r w:rsidR="002B701A" w:rsidRPr="001A29E7">
        <w:rPr>
          <w:szCs w:val="26"/>
        </w:rPr>
        <w:t xml:space="preserve">She thus recommended that the </w:t>
      </w:r>
      <w:r w:rsidR="002B701A">
        <w:rPr>
          <w:szCs w:val="26"/>
        </w:rPr>
        <w:t>FSCA</w:t>
      </w:r>
      <w:r w:rsidR="002B701A" w:rsidRPr="001A29E7">
        <w:rPr>
          <w:szCs w:val="26"/>
        </w:rPr>
        <w:t xml:space="preserve"> appoint a firm of auditors to investigate this question based on a statistically significant sample of funds.  It bears mentioning that no evidence of any improper, dishonest or corrupt conduct was placed before her.</w:t>
      </w:r>
    </w:p>
    <w:p w14:paraId="216BD187" w14:textId="77777777" w:rsidR="002B701A" w:rsidRPr="00B30C9E" w:rsidRDefault="002B701A" w:rsidP="002B701A">
      <w:pPr>
        <w:pStyle w:val="JUDGMENTCONTINUED"/>
        <w:rPr>
          <w:szCs w:val="26"/>
        </w:rPr>
      </w:pPr>
    </w:p>
    <w:p w14:paraId="4051F60B" w14:textId="54AE873E" w:rsidR="002B701A" w:rsidRPr="004D65CD" w:rsidRDefault="00811729" w:rsidP="00811729">
      <w:pPr>
        <w:pStyle w:val="JUDGMENTNUMBERED"/>
        <w:numPr>
          <w:ilvl w:val="0"/>
          <w:numId w:val="0"/>
        </w:numPr>
        <w:rPr>
          <w:szCs w:val="26"/>
        </w:rPr>
      </w:pPr>
      <w:r w:rsidRPr="004D65CD">
        <w:rPr>
          <w:color w:val="000000"/>
          <w:szCs w:val="26"/>
        </w:rPr>
        <w:t>[147]</w:t>
      </w:r>
      <w:r w:rsidRPr="004D65CD">
        <w:rPr>
          <w:color w:val="000000"/>
          <w:szCs w:val="26"/>
        </w:rPr>
        <w:tab/>
      </w:r>
      <w:r w:rsidR="00947CFD">
        <w:rPr>
          <w:szCs w:val="26"/>
        </w:rPr>
        <w:t>The FSCA</w:t>
      </w:r>
      <w:r w:rsidR="002B701A" w:rsidRPr="004D65CD">
        <w:rPr>
          <w:szCs w:val="26"/>
        </w:rPr>
        <w:t xml:space="preserve"> appointed KPMG to conduct this investigation on 18</w:t>
      </w:r>
      <w:r w:rsidR="002B701A">
        <w:rPr>
          <w:szCs w:val="26"/>
        </w:rPr>
        <w:t> </w:t>
      </w:r>
      <w:r w:rsidR="002B701A" w:rsidRPr="004D65CD">
        <w:rPr>
          <w:szCs w:val="26"/>
        </w:rPr>
        <w:t>December</w:t>
      </w:r>
      <w:r w:rsidR="002B701A">
        <w:rPr>
          <w:szCs w:val="26"/>
        </w:rPr>
        <w:t> </w:t>
      </w:r>
      <w:r w:rsidR="002B701A" w:rsidRPr="004D65CD">
        <w:rPr>
          <w:szCs w:val="26"/>
        </w:rPr>
        <w:t xml:space="preserve">2014. </w:t>
      </w:r>
      <w:r w:rsidR="002B701A">
        <w:rPr>
          <w:szCs w:val="26"/>
        </w:rPr>
        <w:t xml:space="preserve"> KPMG</w:t>
      </w:r>
      <w:r w:rsidR="002B701A" w:rsidRPr="004D65CD">
        <w:rPr>
          <w:szCs w:val="26"/>
        </w:rPr>
        <w:t xml:space="preserve"> did so and rendered a final report on 20</w:t>
      </w:r>
      <w:r w:rsidR="002B701A">
        <w:rPr>
          <w:szCs w:val="26"/>
        </w:rPr>
        <w:t> </w:t>
      </w:r>
      <w:r w:rsidR="002B701A" w:rsidRPr="004D65CD">
        <w:rPr>
          <w:szCs w:val="26"/>
        </w:rPr>
        <w:t>October</w:t>
      </w:r>
      <w:r w:rsidR="002B701A">
        <w:rPr>
          <w:szCs w:val="26"/>
        </w:rPr>
        <w:t> </w:t>
      </w:r>
      <w:r w:rsidR="002B701A" w:rsidRPr="004D65CD">
        <w:rPr>
          <w:szCs w:val="26"/>
        </w:rPr>
        <w:t xml:space="preserve">2015. </w:t>
      </w:r>
      <w:r w:rsidR="002B701A">
        <w:rPr>
          <w:szCs w:val="26"/>
        </w:rPr>
        <w:t xml:space="preserve"> </w:t>
      </w:r>
      <w:r w:rsidR="002B701A" w:rsidRPr="004D65CD">
        <w:rPr>
          <w:szCs w:val="26"/>
        </w:rPr>
        <w:t>The exercise turned out to be an expensive mistake.</w:t>
      </w:r>
    </w:p>
    <w:p w14:paraId="2358E135" w14:textId="77777777" w:rsidR="002B701A" w:rsidRPr="00FF1A7C" w:rsidRDefault="002B701A" w:rsidP="002B701A">
      <w:pPr>
        <w:pStyle w:val="JUDGMENTCONTINUED"/>
        <w:rPr>
          <w:szCs w:val="26"/>
        </w:rPr>
      </w:pPr>
    </w:p>
    <w:p w14:paraId="23C48699" w14:textId="4766FAC1" w:rsidR="002B701A" w:rsidRPr="00FF1B00" w:rsidRDefault="00811729" w:rsidP="00811729">
      <w:pPr>
        <w:pStyle w:val="JUDGMENTNUMBERED"/>
        <w:numPr>
          <w:ilvl w:val="0"/>
          <w:numId w:val="0"/>
        </w:numPr>
        <w:rPr>
          <w:szCs w:val="26"/>
        </w:rPr>
      </w:pPr>
      <w:r w:rsidRPr="00FF1B00">
        <w:rPr>
          <w:color w:val="000000"/>
          <w:szCs w:val="26"/>
        </w:rPr>
        <w:t>[148]</w:t>
      </w:r>
      <w:r w:rsidRPr="00FF1B00">
        <w:rPr>
          <w:color w:val="000000"/>
          <w:szCs w:val="26"/>
        </w:rPr>
        <w:tab/>
      </w:r>
      <w:r w:rsidR="002B701A" w:rsidRPr="00FF1B00">
        <w:rPr>
          <w:szCs w:val="26"/>
        </w:rPr>
        <w:t xml:space="preserve">KPMG misunderstood its mandate. </w:t>
      </w:r>
      <w:r w:rsidR="002B701A">
        <w:rPr>
          <w:szCs w:val="26"/>
        </w:rPr>
        <w:t xml:space="preserve"> </w:t>
      </w:r>
      <w:r w:rsidR="002B701A" w:rsidRPr="00FF1B00">
        <w:rPr>
          <w:szCs w:val="26"/>
        </w:rPr>
        <w:t xml:space="preserve">Justice </w:t>
      </w:r>
      <w:proofErr w:type="spellStart"/>
      <w:r w:rsidR="002B701A" w:rsidRPr="00FF1B00">
        <w:rPr>
          <w:szCs w:val="26"/>
        </w:rPr>
        <w:t>O’Regan</w:t>
      </w:r>
      <w:proofErr w:type="spellEnd"/>
      <w:r w:rsidR="002B701A" w:rsidRPr="00FF1B00">
        <w:rPr>
          <w:szCs w:val="26"/>
        </w:rPr>
        <w:t xml:space="preserve"> intended the auditors to </w:t>
      </w:r>
      <w:r w:rsidR="002B701A">
        <w:rPr>
          <w:szCs w:val="26"/>
        </w:rPr>
        <w:t>“</w:t>
      </w:r>
      <w:r w:rsidR="002B701A" w:rsidRPr="00FF1A7C">
        <w:rPr>
          <w:szCs w:val="26"/>
        </w:rPr>
        <w:t>design and implement a thorough investigation</w:t>
      </w:r>
      <w:r w:rsidR="002B701A">
        <w:rPr>
          <w:szCs w:val="26"/>
        </w:rPr>
        <w:t>”</w:t>
      </w:r>
      <w:r w:rsidR="002B701A" w:rsidRPr="00FF1A7C">
        <w:rPr>
          <w:szCs w:val="26"/>
        </w:rPr>
        <w:t xml:space="preserve"> to assess whether there is a </w:t>
      </w:r>
      <w:r w:rsidR="002B701A">
        <w:rPr>
          <w:szCs w:val="26"/>
        </w:rPr>
        <w:t>“</w:t>
      </w:r>
      <w:r w:rsidR="002B701A" w:rsidRPr="00FF1A7C">
        <w:rPr>
          <w:szCs w:val="26"/>
        </w:rPr>
        <w:t xml:space="preserve">likelihood of </w:t>
      </w:r>
      <w:r w:rsidR="002B701A" w:rsidRPr="00FF1A7C">
        <w:rPr>
          <w:i/>
          <w:szCs w:val="26"/>
        </w:rPr>
        <w:t xml:space="preserve">material </w:t>
      </w:r>
      <w:r w:rsidR="002B701A" w:rsidRPr="00FF1A7C">
        <w:rPr>
          <w:szCs w:val="26"/>
        </w:rPr>
        <w:t>financial prejudice</w:t>
      </w:r>
      <w:r w:rsidR="002B701A">
        <w:rPr>
          <w:szCs w:val="26"/>
        </w:rPr>
        <w:t>”</w:t>
      </w:r>
      <w:r w:rsidR="002B701A" w:rsidRPr="00FF1A7C">
        <w:rPr>
          <w:szCs w:val="26"/>
        </w:rPr>
        <w:t xml:space="preserve"> through the cancellation of the</w:t>
      </w:r>
      <w:r w:rsidR="002B701A">
        <w:rPr>
          <w:szCs w:val="26"/>
        </w:rPr>
        <w:t xml:space="preserve"> registration of</w:t>
      </w:r>
      <w:r w:rsidR="002B701A" w:rsidRPr="00FF1A7C">
        <w:rPr>
          <w:szCs w:val="26"/>
        </w:rPr>
        <w:t xml:space="preserve"> funds. </w:t>
      </w:r>
      <w:r w:rsidR="002B701A">
        <w:rPr>
          <w:szCs w:val="26"/>
        </w:rPr>
        <w:t xml:space="preserve"> </w:t>
      </w:r>
      <w:r w:rsidR="002B701A" w:rsidRPr="00FF1A7C">
        <w:rPr>
          <w:szCs w:val="26"/>
        </w:rPr>
        <w:t>What was envisaged</w:t>
      </w:r>
      <w:r w:rsidR="002B701A">
        <w:rPr>
          <w:szCs w:val="26"/>
        </w:rPr>
        <w:t>,</w:t>
      </w:r>
      <w:r w:rsidR="002B701A" w:rsidRPr="00FF1A7C">
        <w:rPr>
          <w:szCs w:val="26"/>
        </w:rPr>
        <w:t xml:space="preserve"> therefore</w:t>
      </w:r>
      <w:r w:rsidR="002B701A">
        <w:rPr>
          <w:szCs w:val="26"/>
        </w:rPr>
        <w:t>,</w:t>
      </w:r>
      <w:r w:rsidR="002B701A" w:rsidRPr="00FF1A7C">
        <w:rPr>
          <w:szCs w:val="26"/>
        </w:rPr>
        <w:t xml:space="preserve"> was a fact-finding exercise.  Instead the report assessed the </w:t>
      </w:r>
      <w:r w:rsidR="002B701A">
        <w:rPr>
          <w:szCs w:val="26"/>
        </w:rPr>
        <w:t>“</w:t>
      </w:r>
      <w:r w:rsidR="002B701A" w:rsidRPr="00FF1A7C">
        <w:rPr>
          <w:szCs w:val="26"/>
        </w:rPr>
        <w:t xml:space="preserve">likeliness of </w:t>
      </w:r>
      <w:r w:rsidR="002B701A" w:rsidRPr="00FF1A7C">
        <w:rPr>
          <w:i/>
          <w:szCs w:val="26"/>
        </w:rPr>
        <w:t>potential</w:t>
      </w:r>
      <w:r w:rsidR="002B701A" w:rsidRPr="00FF1A7C">
        <w:rPr>
          <w:szCs w:val="26"/>
        </w:rPr>
        <w:t xml:space="preserve"> prejudice</w:t>
      </w:r>
      <w:r w:rsidR="002B701A">
        <w:rPr>
          <w:szCs w:val="26"/>
        </w:rPr>
        <w:t>”</w:t>
      </w:r>
      <w:r w:rsidR="002B701A" w:rsidRPr="00FF1A7C">
        <w:rPr>
          <w:szCs w:val="26"/>
        </w:rPr>
        <w:t xml:space="preserve"> which the auditors said, was </w:t>
      </w:r>
      <w:r w:rsidR="002B701A">
        <w:rPr>
          <w:szCs w:val="26"/>
        </w:rPr>
        <w:t>“</w:t>
      </w:r>
      <w:r w:rsidR="002B701A" w:rsidRPr="00FF1A7C">
        <w:rPr>
          <w:szCs w:val="26"/>
        </w:rPr>
        <w:t xml:space="preserve">a lower </w:t>
      </w:r>
      <w:r w:rsidR="002B701A" w:rsidRPr="00FF1A7C">
        <w:rPr>
          <w:szCs w:val="26"/>
        </w:rPr>
        <w:lastRenderedPageBreak/>
        <w:t>burden of certainty</w:t>
      </w:r>
      <w:r w:rsidR="002B701A">
        <w:rPr>
          <w:szCs w:val="26"/>
        </w:rPr>
        <w:t xml:space="preserve"> </w:t>
      </w:r>
      <w:r w:rsidR="002B701A" w:rsidRPr="00FF1A7C">
        <w:rPr>
          <w:szCs w:val="26"/>
        </w:rPr>
        <w:t>than</w:t>
      </w:r>
      <w:r w:rsidR="002B701A">
        <w:rPr>
          <w:szCs w:val="26"/>
        </w:rPr>
        <w:t xml:space="preserve"> . . .</w:t>
      </w:r>
      <w:r w:rsidR="002B701A" w:rsidRPr="00FF1A7C">
        <w:rPr>
          <w:szCs w:val="26"/>
        </w:rPr>
        <w:t xml:space="preserve"> </w:t>
      </w:r>
      <w:r w:rsidR="002B701A" w:rsidRPr="00341E19">
        <w:rPr>
          <w:szCs w:val="26"/>
        </w:rPr>
        <w:t>prima facie</w:t>
      </w:r>
      <w:r w:rsidR="002B701A">
        <w:rPr>
          <w:szCs w:val="26"/>
        </w:rPr>
        <w:t>”</w:t>
      </w:r>
      <w:r w:rsidR="002B701A" w:rsidRPr="00FF1A7C">
        <w:rPr>
          <w:szCs w:val="26"/>
        </w:rPr>
        <w:t xml:space="preserve">. </w:t>
      </w:r>
      <w:r w:rsidR="002B701A">
        <w:rPr>
          <w:szCs w:val="26"/>
        </w:rPr>
        <w:t xml:space="preserve"> </w:t>
      </w:r>
      <w:r w:rsidR="002B701A" w:rsidRPr="00FF1A7C">
        <w:rPr>
          <w:szCs w:val="26"/>
        </w:rPr>
        <w:t xml:space="preserve">The method employed was to calculate the statistical possibility of prejudice from the </w:t>
      </w:r>
      <w:r w:rsidR="002B701A">
        <w:rPr>
          <w:szCs w:val="26"/>
        </w:rPr>
        <w:t>FSCA</w:t>
      </w:r>
      <w:r w:rsidR="002B701A" w:rsidRPr="00FF1A7C">
        <w:rPr>
          <w:szCs w:val="26"/>
        </w:rPr>
        <w:t xml:space="preserve">’s records without </w:t>
      </w:r>
      <w:r w:rsidR="002B701A">
        <w:rPr>
          <w:szCs w:val="26"/>
        </w:rPr>
        <w:t>having established all the facts</w:t>
      </w:r>
      <w:r w:rsidR="002B701A" w:rsidRPr="00FF1A7C">
        <w:rPr>
          <w:szCs w:val="26"/>
        </w:rPr>
        <w:t xml:space="preserve">. </w:t>
      </w:r>
      <w:r w:rsidR="002B701A">
        <w:rPr>
          <w:szCs w:val="26"/>
        </w:rPr>
        <w:t xml:space="preserve"> </w:t>
      </w:r>
      <w:r w:rsidR="002B701A" w:rsidRPr="00FF1A7C">
        <w:rPr>
          <w:szCs w:val="26"/>
        </w:rPr>
        <w:t xml:space="preserve">KPMG used a sample of 510 cancelled funds for this purpose. </w:t>
      </w:r>
      <w:r w:rsidR="002B701A">
        <w:rPr>
          <w:szCs w:val="26"/>
        </w:rPr>
        <w:t xml:space="preserve"> It</w:t>
      </w:r>
      <w:r w:rsidR="002B701A" w:rsidRPr="00FF1A7C">
        <w:rPr>
          <w:szCs w:val="26"/>
        </w:rPr>
        <w:t xml:space="preserve"> found that 500 of these funds had insufficient information to conclude that the fund had ceased to exist.</w:t>
      </w:r>
    </w:p>
    <w:p w14:paraId="456C54FA" w14:textId="77777777" w:rsidR="002B701A" w:rsidRPr="00FF1B00" w:rsidRDefault="002B701A" w:rsidP="002B701A">
      <w:pPr>
        <w:pStyle w:val="JUDGMENTCONTINUED"/>
        <w:rPr>
          <w:szCs w:val="26"/>
        </w:rPr>
      </w:pPr>
    </w:p>
    <w:p w14:paraId="6804D9E7" w14:textId="63A83786" w:rsidR="002B701A" w:rsidRPr="004D65CD" w:rsidRDefault="00811729" w:rsidP="00811729">
      <w:pPr>
        <w:pStyle w:val="JUDGMENTNUMBERED"/>
        <w:numPr>
          <w:ilvl w:val="0"/>
          <w:numId w:val="0"/>
        </w:numPr>
        <w:rPr>
          <w:szCs w:val="26"/>
        </w:rPr>
      </w:pPr>
      <w:r w:rsidRPr="004D65CD">
        <w:rPr>
          <w:color w:val="000000"/>
          <w:szCs w:val="26"/>
        </w:rPr>
        <w:t>[149]</w:t>
      </w:r>
      <w:r w:rsidRPr="004D65CD">
        <w:rPr>
          <w:color w:val="000000"/>
          <w:szCs w:val="26"/>
        </w:rPr>
        <w:tab/>
      </w:r>
      <w:r w:rsidR="002B701A" w:rsidRPr="004D65CD">
        <w:rPr>
          <w:szCs w:val="26"/>
        </w:rPr>
        <w:t xml:space="preserve">KPMG did not investigate </w:t>
      </w:r>
      <w:r w:rsidR="002B701A">
        <w:rPr>
          <w:szCs w:val="26"/>
        </w:rPr>
        <w:t xml:space="preserve">the issue that </w:t>
      </w:r>
      <w:r w:rsidR="002B701A" w:rsidRPr="004D65CD">
        <w:rPr>
          <w:szCs w:val="26"/>
        </w:rPr>
        <w:t xml:space="preserve">Justice </w:t>
      </w:r>
      <w:proofErr w:type="spellStart"/>
      <w:r w:rsidR="002B701A" w:rsidRPr="004D65CD">
        <w:rPr>
          <w:szCs w:val="26"/>
        </w:rPr>
        <w:t>O’Regan</w:t>
      </w:r>
      <w:proofErr w:type="spellEnd"/>
      <w:r w:rsidR="002B701A" w:rsidRPr="004D65CD">
        <w:rPr>
          <w:szCs w:val="26"/>
        </w:rPr>
        <w:t xml:space="preserve"> had considered necessary: the likelihood of any material financial prejudice caused by the cancellation of any fund. </w:t>
      </w:r>
      <w:r w:rsidR="002B701A">
        <w:rPr>
          <w:szCs w:val="26"/>
        </w:rPr>
        <w:t xml:space="preserve"> </w:t>
      </w:r>
      <w:r w:rsidR="002B701A" w:rsidRPr="004D65CD">
        <w:rPr>
          <w:szCs w:val="26"/>
        </w:rPr>
        <w:t xml:space="preserve">It made no factual findings. </w:t>
      </w:r>
      <w:r w:rsidR="002B701A">
        <w:rPr>
          <w:szCs w:val="26"/>
        </w:rPr>
        <w:t xml:space="preserve"> </w:t>
      </w:r>
      <w:r w:rsidR="002B701A" w:rsidRPr="004D65CD">
        <w:rPr>
          <w:szCs w:val="26"/>
        </w:rPr>
        <w:t xml:space="preserve">The report it produced resolved nothing. </w:t>
      </w:r>
      <w:r w:rsidR="002B701A">
        <w:rPr>
          <w:szCs w:val="26"/>
        </w:rPr>
        <w:t xml:space="preserve"> </w:t>
      </w:r>
      <w:r w:rsidR="002B701A" w:rsidRPr="004D65CD">
        <w:rPr>
          <w:szCs w:val="26"/>
        </w:rPr>
        <w:t xml:space="preserve">This notwithstanding, it is significant that the </w:t>
      </w:r>
      <w:r w:rsidR="005E148E">
        <w:rPr>
          <w:szCs w:val="26"/>
        </w:rPr>
        <w:t>FSCA</w:t>
      </w:r>
      <w:r w:rsidR="002B701A" w:rsidRPr="004D65CD">
        <w:rPr>
          <w:szCs w:val="26"/>
        </w:rPr>
        <w:t xml:space="preserve"> did not simply abandon its quest to solve the problem but sought further guidance from Justice </w:t>
      </w:r>
      <w:proofErr w:type="spellStart"/>
      <w:r w:rsidR="002B701A" w:rsidRPr="004D65CD">
        <w:rPr>
          <w:szCs w:val="26"/>
        </w:rPr>
        <w:t>O’Regan</w:t>
      </w:r>
      <w:proofErr w:type="spellEnd"/>
      <w:r w:rsidR="002B701A" w:rsidRPr="004D65CD">
        <w:rPr>
          <w:szCs w:val="26"/>
        </w:rPr>
        <w:t xml:space="preserve">. </w:t>
      </w:r>
      <w:r w:rsidR="002B701A">
        <w:rPr>
          <w:szCs w:val="26"/>
        </w:rPr>
        <w:t xml:space="preserve"> </w:t>
      </w:r>
      <w:r w:rsidR="002B701A" w:rsidRPr="004D65CD">
        <w:rPr>
          <w:szCs w:val="26"/>
        </w:rPr>
        <w:t xml:space="preserve">She advised </w:t>
      </w:r>
      <w:r w:rsidR="007D331E">
        <w:rPr>
          <w:szCs w:val="26"/>
        </w:rPr>
        <w:t>the FSCA</w:t>
      </w:r>
      <w:r w:rsidR="002B701A" w:rsidRPr="004D65CD">
        <w:rPr>
          <w:szCs w:val="26"/>
        </w:rPr>
        <w:t>, on 1 December 2015, to approach senior counsel familiar with pension law to assist further.</w:t>
      </w:r>
    </w:p>
    <w:p w14:paraId="1D286004" w14:textId="77777777" w:rsidR="002B701A" w:rsidRPr="00FF1A7C" w:rsidRDefault="002B701A" w:rsidP="002B701A">
      <w:pPr>
        <w:pStyle w:val="JUDGMENTCONTINUED"/>
        <w:rPr>
          <w:szCs w:val="26"/>
        </w:rPr>
      </w:pPr>
    </w:p>
    <w:p w14:paraId="30F83EEA" w14:textId="40E9C7F1" w:rsidR="002B701A" w:rsidRPr="00FF1B00" w:rsidRDefault="00811729" w:rsidP="00811729">
      <w:pPr>
        <w:pStyle w:val="JUDGMENTNUMBERED"/>
        <w:numPr>
          <w:ilvl w:val="0"/>
          <w:numId w:val="0"/>
        </w:numPr>
        <w:rPr>
          <w:szCs w:val="26"/>
        </w:rPr>
      </w:pPr>
      <w:r w:rsidRPr="00FF1B00">
        <w:rPr>
          <w:color w:val="000000"/>
          <w:szCs w:val="26"/>
        </w:rPr>
        <w:t>[150]</w:t>
      </w:r>
      <w:r w:rsidRPr="00FF1B00">
        <w:rPr>
          <w:color w:val="000000"/>
          <w:szCs w:val="26"/>
        </w:rPr>
        <w:tab/>
      </w:r>
      <w:r w:rsidR="008059F6">
        <w:rPr>
          <w:szCs w:val="26"/>
        </w:rPr>
        <w:t>The FSCA</w:t>
      </w:r>
      <w:r w:rsidR="002B701A" w:rsidRPr="00FF1B00">
        <w:rPr>
          <w:szCs w:val="26"/>
        </w:rPr>
        <w:t xml:space="preserve"> acted on her advice by engaging Mr Mort, an experienced attorney and pension fund specialist. </w:t>
      </w:r>
      <w:r w:rsidR="002B701A">
        <w:rPr>
          <w:szCs w:val="26"/>
        </w:rPr>
        <w:t xml:space="preserve"> </w:t>
      </w:r>
      <w:r w:rsidR="002B701A" w:rsidRPr="00FF1B00">
        <w:rPr>
          <w:szCs w:val="26"/>
        </w:rPr>
        <w:t>Mr Andrew, a pension fund actuary, assisted him.</w:t>
      </w:r>
      <w:r w:rsidR="002B701A">
        <w:rPr>
          <w:szCs w:val="26"/>
        </w:rPr>
        <w:t xml:space="preserve">  </w:t>
      </w:r>
      <w:r w:rsidR="002B701A" w:rsidRPr="00FF1B00">
        <w:rPr>
          <w:szCs w:val="26"/>
        </w:rPr>
        <w:t>The</w:t>
      </w:r>
      <w:r w:rsidR="002B701A">
        <w:rPr>
          <w:szCs w:val="26"/>
        </w:rPr>
        <w:t> </w:t>
      </w:r>
      <w:r w:rsidR="008547B2">
        <w:rPr>
          <w:szCs w:val="26"/>
        </w:rPr>
        <w:t>FSCA</w:t>
      </w:r>
      <w:r w:rsidR="002B701A" w:rsidRPr="00FF1B00">
        <w:rPr>
          <w:szCs w:val="26"/>
        </w:rPr>
        <w:t xml:space="preserve"> asked them to review the KPMG report. </w:t>
      </w:r>
      <w:r w:rsidR="002B701A">
        <w:rPr>
          <w:szCs w:val="26"/>
        </w:rPr>
        <w:t xml:space="preserve"> </w:t>
      </w:r>
      <w:r w:rsidR="002B701A" w:rsidRPr="00FF1B00">
        <w:rPr>
          <w:szCs w:val="26"/>
        </w:rPr>
        <w:t>They rendered an assessment report on 25 April 2016 in which they were highly critical of it.</w:t>
      </w:r>
    </w:p>
    <w:p w14:paraId="3E925918" w14:textId="77777777" w:rsidR="002B701A" w:rsidRPr="001A29E7" w:rsidRDefault="002B701A" w:rsidP="002B701A">
      <w:pPr>
        <w:pStyle w:val="JUDGMENTCONTINUED"/>
        <w:rPr>
          <w:szCs w:val="26"/>
        </w:rPr>
      </w:pPr>
    </w:p>
    <w:p w14:paraId="0F70CF81" w14:textId="488567BE" w:rsidR="002B701A" w:rsidRPr="004D65CD" w:rsidRDefault="00811729" w:rsidP="00811729">
      <w:pPr>
        <w:pStyle w:val="JUDGMENTNUMBERED"/>
        <w:numPr>
          <w:ilvl w:val="0"/>
          <w:numId w:val="0"/>
        </w:numPr>
        <w:rPr>
          <w:szCs w:val="26"/>
        </w:rPr>
      </w:pPr>
      <w:r w:rsidRPr="004D65CD">
        <w:rPr>
          <w:color w:val="000000"/>
          <w:szCs w:val="26"/>
        </w:rPr>
        <w:t>[151]</w:t>
      </w:r>
      <w:r w:rsidRPr="004D65CD">
        <w:rPr>
          <w:color w:val="000000"/>
          <w:szCs w:val="26"/>
        </w:rPr>
        <w:tab/>
      </w:r>
      <w:r w:rsidR="002B701A" w:rsidRPr="004D65CD">
        <w:rPr>
          <w:szCs w:val="26"/>
        </w:rPr>
        <w:t xml:space="preserve">The </w:t>
      </w:r>
      <w:r w:rsidR="005460DB">
        <w:rPr>
          <w:szCs w:val="26"/>
        </w:rPr>
        <w:t>r</w:t>
      </w:r>
      <w:r w:rsidR="002B701A" w:rsidRPr="004D65CD">
        <w:rPr>
          <w:szCs w:val="26"/>
        </w:rPr>
        <w:t>egistrar appointed Mr Mort as an inspector in terms of s</w:t>
      </w:r>
      <w:r w:rsidR="002B701A">
        <w:rPr>
          <w:szCs w:val="26"/>
        </w:rPr>
        <w:t>ection</w:t>
      </w:r>
      <w:r w:rsidR="002B701A" w:rsidRPr="004D65CD">
        <w:rPr>
          <w:szCs w:val="26"/>
        </w:rPr>
        <w:t xml:space="preserve"> 2(1) of the Inspection of Financial </w:t>
      </w:r>
      <w:r w:rsidR="002B701A">
        <w:rPr>
          <w:szCs w:val="26"/>
        </w:rPr>
        <w:t>Institutions</w:t>
      </w:r>
      <w:r w:rsidR="002B701A" w:rsidRPr="004D65CD">
        <w:rPr>
          <w:szCs w:val="26"/>
        </w:rPr>
        <w:t xml:space="preserve"> Act</w:t>
      </w:r>
      <w:r w:rsidR="002B701A">
        <w:rPr>
          <w:rStyle w:val="FootnoteReference"/>
          <w:szCs w:val="26"/>
        </w:rPr>
        <w:footnoteReference w:id="61"/>
      </w:r>
      <w:r w:rsidR="002B701A" w:rsidRPr="004D65CD">
        <w:rPr>
          <w:szCs w:val="26"/>
        </w:rPr>
        <w:t xml:space="preserve"> to conduct the investigation into whether material financial prejudice was caused by the </w:t>
      </w:r>
      <w:r w:rsidR="002B701A">
        <w:rPr>
          <w:szCs w:val="26"/>
        </w:rPr>
        <w:t>cancellatio</w:t>
      </w:r>
      <w:r w:rsidR="002B701A" w:rsidRPr="004D65CD">
        <w:rPr>
          <w:szCs w:val="26"/>
        </w:rPr>
        <w:t xml:space="preserve">n of the funds. </w:t>
      </w:r>
      <w:r w:rsidR="002B701A">
        <w:rPr>
          <w:szCs w:val="26"/>
        </w:rPr>
        <w:t xml:space="preserve"> </w:t>
      </w:r>
      <w:r w:rsidR="002B701A" w:rsidRPr="004D65CD">
        <w:rPr>
          <w:szCs w:val="26"/>
        </w:rPr>
        <w:t xml:space="preserve">In the </w:t>
      </w:r>
      <w:r w:rsidR="002B701A">
        <w:rPr>
          <w:szCs w:val="26"/>
        </w:rPr>
        <w:t>H</w:t>
      </w:r>
      <w:r w:rsidR="002B701A" w:rsidRPr="004D65CD">
        <w:rPr>
          <w:szCs w:val="26"/>
        </w:rPr>
        <w:t>igh</w:t>
      </w:r>
      <w:r w:rsidR="002B701A">
        <w:rPr>
          <w:szCs w:val="26"/>
        </w:rPr>
        <w:t> C</w:t>
      </w:r>
      <w:r w:rsidR="002B701A" w:rsidRPr="004D65CD">
        <w:rPr>
          <w:szCs w:val="26"/>
        </w:rPr>
        <w:t xml:space="preserve">ourt the </w:t>
      </w:r>
      <w:r w:rsidR="002B701A">
        <w:rPr>
          <w:szCs w:val="26"/>
        </w:rPr>
        <w:t>FSCA</w:t>
      </w:r>
      <w:r w:rsidR="002B701A" w:rsidRPr="004D65CD">
        <w:rPr>
          <w:szCs w:val="26"/>
        </w:rPr>
        <w:t xml:space="preserve"> included two inspection reports by Mr Mort in its answering</w:t>
      </w:r>
      <w:r w:rsidR="002B701A">
        <w:rPr>
          <w:szCs w:val="26"/>
        </w:rPr>
        <w:t> </w:t>
      </w:r>
      <w:r w:rsidR="002B701A" w:rsidRPr="004D65CD">
        <w:rPr>
          <w:szCs w:val="26"/>
        </w:rPr>
        <w:t xml:space="preserve">papers to demonstrate that it had indeed acted on Ms Hunter’s concerns regarding the cancellations project and to inform the </w:t>
      </w:r>
      <w:r w:rsidR="002B701A">
        <w:rPr>
          <w:szCs w:val="26"/>
        </w:rPr>
        <w:t>C</w:t>
      </w:r>
      <w:r w:rsidR="002B701A" w:rsidRPr="004D65CD">
        <w:rPr>
          <w:szCs w:val="26"/>
        </w:rPr>
        <w:t>ourt that the investigation was ongoing.</w:t>
      </w:r>
    </w:p>
    <w:p w14:paraId="75D53CE9" w14:textId="77777777" w:rsidR="002B701A" w:rsidRPr="00FF1A7C" w:rsidRDefault="002B701A" w:rsidP="002B701A">
      <w:pPr>
        <w:pStyle w:val="JUDGMENTCONTINUED"/>
        <w:rPr>
          <w:szCs w:val="26"/>
        </w:rPr>
      </w:pPr>
    </w:p>
    <w:p w14:paraId="108EA791" w14:textId="10A5ED18" w:rsidR="002B701A" w:rsidRPr="00012329" w:rsidRDefault="00811729" w:rsidP="00811729">
      <w:pPr>
        <w:pStyle w:val="JUDGMENTNUMBERED"/>
        <w:numPr>
          <w:ilvl w:val="0"/>
          <w:numId w:val="0"/>
        </w:numPr>
        <w:rPr>
          <w:szCs w:val="26"/>
        </w:rPr>
      </w:pPr>
      <w:r w:rsidRPr="00012329">
        <w:rPr>
          <w:color w:val="000000"/>
          <w:szCs w:val="26"/>
        </w:rPr>
        <w:t>[152]</w:t>
      </w:r>
      <w:r w:rsidRPr="00012329">
        <w:rPr>
          <w:color w:val="000000"/>
          <w:szCs w:val="26"/>
        </w:rPr>
        <w:tab/>
      </w:r>
      <w:r w:rsidR="00012329">
        <w:rPr>
          <w:szCs w:val="26"/>
        </w:rPr>
        <w:t xml:space="preserve">Mr Mort’s </w:t>
      </w:r>
      <w:r w:rsidR="00012329" w:rsidRPr="00012329">
        <w:rPr>
          <w:szCs w:val="26"/>
        </w:rPr>
        <w:t>First Inspection Report</w:t>
      </w:r>
      <w:r w:rsidR="002B701A" w:rsidRPr="00012329">
        <w:rPr>
          <w:szCs w:val="26"/>
        </w:rPr>
        <w:t xml:space="preserve">, dated 7 June 2016, was produced six months after Ms Hunter had instituted the present proceedings.  Mr Mort had inspected nine of </w:t>
      </w:r>
      <w:r w:rsidR="002B701A" w:rsidRPr="00012329">
        <w:rPr>
          <w:szCs w:val="26"/>
        </w:rPr>
        <w:lastRenderedPageBreak/>
        <w:t>the cancelled funds in the KPMG sample.  These represented 46% of the value of the total indicative financial prejudice (TIFP) as determined by KPMG.  Mr Mort found that five of them had assets when they were cancelled and their registrations had to be reinstated.  The report also states that, subject to minor confirmations, which were not expected to indicate any financial prejudice, the TIFP indicated in the KPMG summary in respect of the nine investigated funds was found not to exist.</w:t>
      </w:r>
    </w:p>
    <w:p w14:paraId="4BBF0EF6" w14:textId="77777777" w:rsidR="002B701A" w:rsidRPr="008611F5" w:rsidRDefault="002B701A" w:rsidP="002B701A">
      <w:pPr>
        <w:pStyle w:val="JUDGMENTNUMBERED"/>
        <w:numPr>
          <w:ilvl w:val="0"/>
          <w:numId w:val="0"/>
        </w:numPr>
        <w:rPr>
          <w:szCs w:val="26"/>
        </w:rPr>
      </w:pPr>
    </w:p>
    <w:p w14:paraId="7BADD06D" w14:textId="00CB41BF" w:rsidR="002B701A" w:rsidRPr="004D65CD" w:rsidRDefault="00811729" w:rsidP="00811729">
      <w:pPr>
        <w:pStyle w:val="JUDGMENTNUMBERED"/>
        <w:numPr>
          <w:ilvl w:val="0"/>
          <w:numId w:val="0"/>
        </w:numPr>
        <w:rPr>
          <w:szCs w:val="26"/>
        </w:rPr>
      </w:pPr>
      <w:r w:rsidRPr="004D65CD">
        <w:rPr>
          <w:color w:val="000000"/>
          <w:szCs w:val="26"/>
        </w:rPr>
        <w:t>[153]</w:t>
      </w:r>
      <w:r w:rsidRPr="004D65CD">
        <w:rPr>
          <w:color w:val="000000"/>
          <w:szCs w:val="26"/>
        </w:rPr>
        <w:tab/>
      </w:r>
      <w:r w:rsidR="002B701A" w:rsidRPr="004D65CD">
        <w:rPr>
          <w:szCs w:val="26"/>
        </w:rPr>
        <w:t>Ms Hunter filed her replying affidavit on 30 June 2016, a month before her employment contract came to an end</w:t>
      </w:r>
      <w:r w:rsidR="002B701A">
        <w:rPr>
          <w:szCs w:val="26"/>
        </w:rPr>
        <w:t>,</w:t>
      </w:r>
      <w:r w:rsidR="002B701A" w:rsidRPr="004D65CD">
        <w:rPr>
          <w:szCs w:val="26"/>
        </w:rPr>
        <w:t xml:space="preserve"> on 31 July 2016. </w:t>
      </w:r>
      <w:r w:rsidR="002B701A">
        <w:rPr>
          <w:szCs w:val="26"/>
        </w:rPr>
        <w:t xml:space="preserve"> </w:t>
      </w:r>
      <w:r w:rsidR="00853397">
        <w:rPr>
          <w:szCs w:val="26"/>
        </w:rPr>
        <w:t>She dismissed</w:t>
      </w:r>
      <w:r w:rsidR="002B701A" w:rsidRPr="004D65CD">
        <w:rPr>
          <w:szCs w:val="26"/>
        </w:rPr>
        <w:t xml:space="preserve"> </w:t>
      </w:r>
      <w:r w:rsidR="00853397">
        <w:rPr>
          <w:szCs w:val="26"/>
        </w:rPr>
        <w:t xml:space="preserve">Mr </w:t>
      </w:r>
      <w:r w:rsidR="002B701A" w:rsidRPr="004D65CD">
        <w:rPr>
          <w:szCs w:val="26"/>
        </w:rPr>
        <w:t>Mort</w:t>
      </w:r>
      <w:r w:rsidR="00853397">
        <w:rPr>
          <w:szCs w:val="26"/>
        </w:rPr>
        <w:t>’s</w:t>
      </w:r>
      <w:r w:rsidR="002B701A" w:rsidRPr="004D65CD">
        <w:rPr>
          <w:szCs w:val="26"/>
        </w:rPr>
        <w:t xml:space="preserve"> investigation as a </w:t>
      </w:r>
      <w:r w:rsidR="002B701A">
        <w:rPr>
          <w:szCs w:val="26"/>
        </w:rPr>
        <w:t>“</w:t>
      </w:r>
      <w:r w:rsidR="002B701A" w:rsidRPr="004D65CD">
        <w:rPr>
          <w:szCs w:val="26"/>
        </w:rPr>
        <w:t>regrettably, transparent</w:t>
      </w:r>
      <w:r w:rsidR="002B701A">
        <w:rPr>
          <w:szCs w:val="26"/>
        </w:rPr>
        <w:t>”</w:t>
      </w:r>
      <w:r w:rsidR="002B701A" w:rsidRPr="004D65CD">
        <w:rPr>
          <w:szCs w:val="26"/>
        </w:rPr>
        <w:t xml:space="preserve"> attempt by the </w:t>
      </w:r>
      <w:r w:rsidR="002B701A">
        <w:rPr>
          <w:szCs w:val="26"/>
        </w:rPr>
        <w:t>FSCA</w:t>
      </w:r>
      <w:r w:rsidR="002B701A" w:rsidRPr="004D65CD">
        <w:rPr>
          <w:szCs w:val="26"/>
        </w:rPr>
        <w:t xml:space="preserve"> to discredit what she considered were the credible findings in the KPMG report, implicitly impugning his professional integrity. </w:t>
      </w:r>
      <w:r w:rsidR="002B701A">
        <w:rPr>
          <w:szCs w:val="26"/>
        </w:rPr>
        <w:t xml:space="preserve"> </w:t>
      </w:r>
      <w:r w:rsidR="002B701A" w:rsidRPr="004D65CD">
        <w:rPr>
          <w:szCs w:val="26"/>
        </w:rPr>
        <w:t xml:space="preserve">She also expressed the view that as a single inspector, he would not be able to conduct a proper investigation of the remaining 500 funds in the KPMG sample within the remaining period of her employment. </w:t>
      </w:r>
      <w:r w:rsidR="002B701A">
        <w:rPr>
          <w:szCs w:val="26"/>
        </w:rPr>
        <w:t xml:space="preserve"> This was despite the fact</w:t>
      </w:r>
      <w:r w:rsidR="002B701A" w:rsidRPr="004D65CD">
        <w:rPr>
          <w:szCs w:val="26"/>
        </w:rPr>
        <w:t xml:space="preserve"> that in her original notice of motion Ms Hunter had asked for an </w:t>
      </w:r>
      <w:r w:rsidR="002B701A">
        <w:rPr>
          <w:szCs w:val="26"/>
        </w:rPr>
        <w:t>“</w:t>
      </w:r>
      <w:r w:rsidR="002B701A" w:rsidRPr="00341E19">
        <w:rPr>
          <w:szCs w:val="26"/>
        </w:rPr>
        <w:t>individual or organisation</w:t>
      </w:r>
      <w:r w:rsidR="002B701A">
        <w:rPr>
          <w:szCs w:val="26"/>
        </w:rPr>
        <w:t>”</w:t>
      </w:r>
      <w:r w:rsidR="002B701A" w:rsidRPr="004D65CD">
        <w:rPr>
          <w:i/>
          <w:szCs w:val="26"/>
        </w:rPr>
        <w:t xml:space="preserve"> </w:t>
      </w:r>
      <w:r w:rsidR="002B701A" w:rsidRPr="004D65CD">
        <w:rPr>
          <w:szCs w:val="26"/>
        </w:rPr>
        <w:t xml:space="preserve">to conduct an investigation into the cancellations project. </w:t>
      </w:r>
      <w:r w:rsidR="002B701A">
        <w:rPr>
          <w:szCs w:val="26"/>
        </w:rPr>
        <w:t xml:space="preserve"> </w:t>
      </w:r>
      <w:r w:rsidR="002B701A" w:rsidRPr="004D65CD">
        <w:rPr>
          <w:szCs w:val="26"/>
        </w:rPr>
        <w:t>Mr Mort was appointed with Mr Andrew to support him</w:t>
      </w:r>
      <w:r w:rsidR="002B701A">
        <w:rPr>
          <w:szCs w:val="26"/>
        </w:rPr>
        <w:t>,</w:t>
      </w:r>
      <w:r w:rsidR="002B701A" w:rsidRPr="004D65CD">
        <w:rPr>
          <w:szCs w:val="26"/>
        </w:rPr>
        <w:t xml:space="preserve"> which was even more than she had asked</w:t>
      </w:r>
      <w:r w:rsidR="002B701A">
        <w:rPr>
          <w:szCs w:val="26"/>
        </w:rPr>
        <w:t xml:space="preserve"> </w:t>
      </w:r>
      <w:r w:rsidR="002B701A" w:rsidRPr="004D65CD">
        <w:rPr>
          <w:szCs w:val="26"/>
        </w:rPr>
        <w:t>for</w:t>
      </w:r>
      <w:r w:rsidR="002B701A">
        <w:rPr>
          <w:szCs w:val="26"/>
        </w:rPr>
        <w:t xml:space="preserve"> initially.</w:t>
      </w:r>
    </w:p>
    <w:p w14:paraId="5621D65D" w14:textId="77777777" w:rsidR="002B701A" w:rsidRPr="00FF1A7C" w:rsidRDefault="002B701A" w:rsidP="002B701A">
      <w:pPr>
        <w:pStyle w:val="JUDGMENTCONTINUED"/>
        <w:rPr>
          <w:szCs w:val="26"/>
        </w:rPr>
      </w:pPr>
    </w:p>
    <w:p w14:paraId="6B2995DC" w14:textId="59BE9E49" w:rsidR="002B701A" w:rsidRPr="00322F9F" w:rsidRDefault="00811729" w:rsidP="00811729">
      <w:pPr>
        <w:pStyle w:val="JUDGMENTNUMBERED"/>
        <w:numPr>
          <w:ilvl w:val="0"/>
          <w:numId w:val="0"/>
        </w:numPr>
        <w:rPr>
          <w:szCs w:val="26"/>
        </w:rPr>
      </w:pPr>
      <w:r w:rsidRPr="00322F9F">
        <w:rPr>
          <w:color w:val="000000"/>
          <w:szCs w:val="26"/>
        </w:rPr>
        <w:t>[154]</w:t>
      </w:r>
      <w:r w:rsidRPr="00322F9F">
        <w:rPr>
          <w:color w:val="000000"/>
          <w:szCs w:val="26"/>
        </w:rPr>
        <w:tab/>
      </w:r>
      <w:r w:rsidR="002B701A" w:rsidRPr="00FF1B00">
        <w:rPr>
          <w:szCs w:val="26"/>
        </w:rPr>
        <w:t>After delivering her replying affidavit, and six weeks before the hearing, on 20</w:t>
      </w:r>
      <w:r w:rsidR="002B701A">
        <w:rPr>
          <w:szCs w:val="26"/>
        </w:rPr>
        <w:t> </w:t>
      </w:r>
      <w:r w:rsidR="002B701A" w:rsidRPr="00FF1B00">
        <w:rPr>
          <w:szCs w:val="26"/>
        </w:rPr>
        <w:t>October</w:t>
      </w:r>
      <w:r w:rsidR="002B701A">
        <w:t> </w:t>
      </w:r>
      <w:r w:rsidR="002B701A" w:rsidRPr="00FF1B00">
        <w:rPr>
          <w:szCs w:val="26"/>
        </w:rPr>
        <w:t xml:space="preserve">2016, she filed an amended notice of motion seeking, in addition to the relief in her original notice of motion, further extensive and complex relief running </w:t>
      </w:r>
      <w:r w:rsidR="002B701A" w:rsidRPr="00A50AC1">
        <w:t xml:space="preserve">into five pages. </w:t>
      </w:r>
      <w:r w:rsidR="002B701A" w:rsidRPr="0056358A">
        <w:t xml:space="preserve"> This incl</w:t>
      </w:r>
      <w:r w:rsidR="002B701A" w:rsidRPr="00BE1314">
        <w:t>uded—</w:t>
      </w:r>
    </w:p>
    <w:p w14:paraId="3566FE3A" w14:textId="77777777" w:rsidR="002B701A" w:rsidRPr="003357B0" w:rsidRDefault="002B701A">
      <w:pPr>
        <w:pStyle w:val="List1"/>
      </w:pPr>
      <w:r w:rsidRPr="003357B0">
        <w:t>(a)</w:t>
      </w:r>
      <w:r w:rsidRPr="003357B0">
        <w:tab/>
        <w:t>the appointment of forensic investigators by the FSCA in consultation with the Minister to investigate the merits of her two complaints and more;</w:t>
      </w:r>
    </w:p>
    <w:p w14:paraId="4B33C0B9" w14:textId="77777777" w:rsidR="002B701A" w:rsidRPr="003357B0" w:rsidRDefault="002B701A">
      <w:pPr>
        <w:pStyle w:val="List1"/>
      </w:pPr>
      <w:r w:rsidRPr="003357B0">
        <w:t>(b)</w:t>
      </w:r>
      <w:r w:rsidRPr="003357B0">
        <w:tab/>
        <w:t>that the investigation covers each of the 500 funds and determines whether the cancellation of the registration of each fund was effected “lawfully and properly” and if not whether any fund or interested person suffered material financial prejudice;</w:t>
      </w:r>
    </w:p>
    <w:p w14:paraId="1B756841" w14:textId="77777777" w:rsidR="002B701A" w:rsidRPr="003357B0" w:rsidRDefault="002B701A">
      <w:pPr>
        <w:pStyle w:val="List1"/>
      </w:pPr>
      <w:r w:rsidRPr="003357B0">
        <w:lastRenderedPageBreak/>
        <w:t>(c)</w:t>
      </w:r>
      <w:r w:rsidRPr="003357B0">
        <w:tab/>
        <w:t>that the investigators provide written reports on, among other things, whether the investigation should be extended to cover any other cancelled funds; and</w:t>
      </w:r>
    </w:p>
    <w:p w14:paraId="022D4070" w14:textId="77777777" w:rsidR="002B701A" w:rsidRPr="003357B0" w:rsidRDefault="002B701A">
      <w:pPr>
        <w:pStyle w:val="List1"/>
      </w:pPr>
      <w:r w:rsidRPr="003357B0">
        <w:t>(d)</w:t>
      </w:r>
      <w:r w:rsidRPr="003357B0">
        <w:tab/>
        <w:t>that the High Court supervise the process, make findings and grant orders as the issues arise before it.</w:t>
      </w:r>
    </w:p>
    <w:p w14:paraId="1D0DAC5B" w14:textId="77777777" w:rsidR="002B701A" w:rsidRPr="008F00A2" w:rsidRDefault="002B701A" w:rsidP="002B701A">
      <w:pPr>
        <w:pStyle w:val="JUDGMENTCONTINUED"/>
      </w:pPr>
    </w:p>
    <w:p w14:paraId="3099E439" w14:textId="6BC7596D" w:rsidR="002B701A" w:rsidRPr="001A29E7" w:rsidRDefault="00811729" w:rsidP="00811729">
      <w:pPr>
        <w:pStyle w:val="JUDGMENTNUMBERED"/>
        <w:numPr>
          <w:ilvl w:val="0"/>
          <w:numId w:val="0"/>
        </w:numPr>
        <w:rPr>
          <w:szCs w:val="26"/>
        </w:rPr>
      </w:pPr>
      <w:r w:rsidRPr="001A29E7">
        <w:rPr>
          <w:color w:val="000000"/>
          <w:szCs w:val="26"/>
        </w:rPr>
        <w:t>[155]</w:t>
      </w:r>
      <w:r w:rsidRPr="001A29E7">
        <w:rPr>
          <w:color w:val="000000"/>
          <w:szCs w:val="26"/>
        </w:rPr>
        <w:tab/>
      </w:r>
      <w:r w:rsidR="002B701A" w:rsidRPr="00B30C9E">
        <w:rPr>
          <w:szCs w:val="26"/>
        </w:rPr>
        <w:t xml:space="preserve">The </w:t>
      </w:r>
      <w:r w:rsidR="002B701A">
        <w:rPr>
          <w:szCs w:val="26"/>
        </w:rPr>
        <w:t>H</w:t>
      </w:r>
      <w:r w:rsidR="002B701A" w:rsidRPr="003029D5">
        <w:rPr>
          <w:szCs w:val="26"/>
        </w:rPr>
        <w:t xml:space="preserve">igh </w:t>
      </w:r>
      <w:r w:rsidR="002B701A">
        <w:rPr>
          <w:szCs w:val="26"/>
        </w:rPr>
        <w:t>C</w:t>
      </w:r>
      <w:r w:rsidR="002B701A" w:rsidRPr="003029D5">
        <w:rPr>
          <w:szCs w:val="26"/>
        </w:rPr>
        <w:t>ourt dismissed this application</w:t>
      </w:r>
      <w:r w:rsidR="002B701A">
        <w:rPr>
          <w:szCs w:val="26"/>
        </w:rPr>
        <w:t>,</w:t>
      </w:r>
      <w:r w:rsidR="002B701A" w:rsidRPr="003029D5">
        <w:rPr>
          <w:szCs w:val="26"/>
        </w:rPr>
        <w:t xml:space="preserve"> but </w:t>
      </w:r>
      <w:r w:rsidR="002B701A">
        <w:rPr>
          <w:szCs w:val="26"/>
        </w:rPr>
        <w:t>Ms Hunter</w:t>
      </w:r>
      <w:r w:rsidR="002B701A" w:rsidRPr="003029D5">
        <w:rPr>
          <w:szCs w:val="26"/>
        </w:rPr>
        <w:t xml:space="preserve"> appears to persist with the substance of the relief claimed in th</w:t>
      </w:r>
      <w:r w:rsidR="003357B0">
        <w:rPr>
          <w:szCs w:val="26"/>
        </w:rPr>
        <w:t>is C</w:t>
      </w:r>
      <w:r w:rsidR="002B701A" w:rsidRPr="003029D5">
        <w:rPr>
          <w:szCs w:val="26"/>
        </w:rPr>
        <w:t>ourt.</w:t>
      </w:r>
    </w:p>
    <w:p w14:paraId="1AD51BED" w14:textId="77777777" w:rsidR="002B701A" w:rsidRPr="00B30C9E" w:rsidRDefault="002B701A" w:rsidP="002B701A">
      <w:pPr>
        <w:pStyle w:val="JUDGMENTCONTINUED"/>
        <w:rPr>
          <w:szCs w:val="26"/>
        </w:rPr>
      </w:pPr>
    </w:p>
    <w:p w14:paraId="7C9D15EE" w14:textId="63D7E05E" w:rsidR="002B701A" w:rsidRPr="003029D5" w:rsidRDefault="00811729" w:rsidP="00811729">
      <w:pPr>
        <w:pStyle w:val="JUDGMENTNUMBERED"/>
        <w:numPr>
          <w:ilvl w:val="0"/>
          <w:numId w:val="0"/>
        </w:numPr>
        <w:rPr>
          <w:szCs w:val="26"/>
        </w:rPr>
      </w:pPr>
      <w:r w:rsidRPr="003029D5">
        <w:rPr>
          <w:color w:val="000000"/>
          <w:szCs w:val="26"/>
        </w:rPr>
        <w:t>[156]</w:t>
      </w:r>
      <w:r w:rsidRPr="003029D5">
        <w:rPr>
          <w:color w:val="000000"/>
          <w:szCs w:val="26"/>
        </w:rPr>
        <w:tab/>
      </w:r>
      <w:r w:rsidR="002B701A" w:rsidRPr="00B30C9E">
        <w:rPr>
          <w:szCs w:val="26"/>
        </w:rPr>
        <w:t xml:space="preserve">Mr Mort filed his </w:t>
      </w:r>
      <w:r w:rsidR="007C288B">
        <w:rPr>
          <w:szCs w:val="26"/>
        </w:rPr>
        <w:t>Second Inspection Report</w:t>
      </w:r>
      <w:r w:rsidR="002B701A" w:rsidRPr="00B30C9E">
        <w:rPr>
          <w:szCs w:val="26"/>
        </w:rPr>
        <w:t xml:space="preserve"> on 24 November 2016.</w:t>
      </w:r>
      <w:r w:rsidR="002B701A">
        <w:rPr>
          <w:szCs w:val="26"/>
        </w:rPr>
        <w:t xml:space="preserve"> </w:t>
      </w:r>
      <w:r w:rsidR="002B701A" w:rsidRPr="00B30C9E">
        <w:rPr>
          <w:szCs w:val="26"/>
        </w:rPr>
        <w:t xml:space="preserve"> He found no indication that any s</w:t>
      </w:r>
      <w:r w:rsidR="002B701A">
        <w:rPr>
          <w:szCs w:val="26"/>
        </w:rPr>
        <w:t>ection</w:t>
      </w:r>
      <w:r w:rsidR="002B701A" w:rsidRPr="006A06D1">
        <w:rPr>
          <w:szCs w:val="26"/>
        </w:rPr>
        <w:t xml:space="preserve"> 26</w:t>
      </w:r>
      <w:r w:rsidR="00A53E3C">
        <w:rPr>
          <w:szCs w:val="26"/>
        </w:rPr>
        <w:t>(2)</w:t>
      </w:r>
      <w:r w:rsidR="002B701A" w:rsidRPr="006A06D1">
        <w:rPr>
          <w:szCs w:val="26"/>
        </w:rPr>
        <w:t xml:space="preserve"> trustee</w:t>
      </w:r>
      <w:r w:rsidR="002B701A">
        <w:rPr>
          <w:szCs w:val="26"/>
        </w:rPr>
        <w:t xml:space="preserve">, </w:t>
      </w:r>
      <w:r w:rsidR="002B701A" w:rsidRPr="006A06D1">
        <w:rPr>
          <w:szCs w:val="26"/>
        </w:rPr>
        <w:t>or authorised representative employed by an administrator</w:t>
      </w:r>
      <w:r w:rsidR="002B701A">
        <w:rPr>
          <w:szCs w:val="26"/>
        </w:rPr>
        <w:t>,</w:t>
      </w:r>
      <w:r w:rsidR="002B701A" w:rsidRPr="006A06D1">
        <w:rPr>
          <w:szCs w:val="26"/>
        </w:rPr>
        <w:t xml:space="preserve"> had acted in a way </w:t>
      </w:r>
      <w:r w:rsidR="002B701A">
        <w:rPr>
          <w:szCs w:val="26"/>
        </w:rPr>
        <w:t>that</w:t>
      </w:r>
      <w:r w:rsidR="002B701A" w:rsidRPr="006A06D1">
        <w:rPr>
          <w:szCs w:val="26"/>
        </w:rPr>
        <w:t xml:space="preserve"> confer</w:t>
      </w:r>
      <w:r w:rsidR="002B701A">
        <w:rPr>
          <w:szCs w:val="26"/>
        </w:rPr>
        <w:t>red</w:t>
      </w:r>
      <w:r w:rsidR="002B701A" w:rsidRPr="006A06D1">
        <w:rPr>
          <w:szCs w:val="26"/>
        </w:rPr>
        <w:t xml:space="preserve"> an improper advantage or benefit on their employer. </w:t>
      </w:r>
      <w:r w:rsidR="002B701A">
        <w:rPr>
          <w:szCs w:val="26"/>
        </w:rPr>
        <w:t xml:space="preserve"> </w:t>
      </w:r>
      <w:r w:rsidR="002B701A" w:rsidRPr="006A06D1">
        <w:rPr>
          <w:szCs w:val="26"/>
        </w:rPr>
        <w:t xml:space="preserve">The report was handed to the </w:t>
      </w:r>
      <w:r w:rsidR="002B701A">
        <w:rPr>
          <w:szCs w:val="26"/>
        </w:rPr>
        <w:t>J</w:t>
      </w:r>
      <w:r w:rsidR="002B701A" w:rsidRPr="006A06D1">
        <w:rPr>
          <w:szCs w:val="26"/>
        </w:rPr>
        <w:t xml:space="preserve">udge during </w:t>
      </w:r>
      <w:r w:rsidR="002B701A">
        <w:rPr>
          <w:szCs w:val="26"/>
        </w:rPr>
        <w:t xml:space="preserve">the </w:t>
      </w:r>
      <w:r w:rsidR="002B701A" w:rsidRPr="006A06D1">
        <w:rPr>
          <w:szCs w:val="26"/>
        </w:rPr>
        <w:t>hearing</w:t>
      </w:r>
      <w:r w:rsidR="002B701A">
        <w:rPr>
          <w:szCs w:val="26"/>
        </w:rPr>
        <w:t xml:space="preserve"> in the High Court</w:t>
      </w:r>
      <w:r w:rsidR="002B701A" w:rsidRPr="006A06D1">
        <w:rPr>
          <w:szCs w:val="26"/>
        </w:rPr>
        <w:t xml:space="preserve">. </w:t>
      </w:r>
      <w:r w:rsidR="002B701A">
        <w:rPr>
          <w:szCs w:val="26"/>
        </w:rPr>
        <w:t xml:space="preserve"> </w:t>
      </w:r>
      <w:r w:rsidR="002B701A" w:rsidRPr="006A06D1">
        <w:rPr>
          <w:szCs w:val="26"/>
        </w:rPr>
        <w:t>He recorded that the report showed that Mr Mort had completed investigating 63</w:t>
      </w:r>
      <w:r w:rsidR="002B701A">
        <w:rPr>
          <w:szCs w:val="26"/>
        </w:rPr>
        <w:t xml:space="preserve">% </w:t>
      </w:r>
      <w:r w:rsidR="002B701A" w:rsidRPr="006A06D1">
        <w:rPr>
          <w:szCs w:val="26"/>
        </w:rPr>
        <w:t>of the funds in the sample and that his investigation was continuing.</w:t>
      </w:r>
    </w:p>
    <w:p w14:paraId="315F4C90" w14:textId="77777777" w:rsidR="002B701A" w:rsidRPr="001A29E7" w:rsidRDefault="002B701A" w:rsidP="002B701A">
      <w:pPr>
        <w:pStyle w:val="JUDGMENTNUMBERED"/>
        <w:numPr>
          <w:ilvl w:val="0"/>
          <w:numId w:val="0"/>
        </w:numPr>
        <w:rPr>
          <w:szCs w:val="26"/>
        </w:rPr>
      </w:pPr>
    </w:p>
    <w:p w14:paraId="300908F4" w14:textId="3816F593" w:rsidR="002B701A" w:rsidRPr="00B30C9E" w:rsidRDefault="00811729" w:rsidP="00811729">
      <w:pPr>
        <w:pStyle w:val="JUDGMENTNUMBERED"/>
        <w:numPr>
          <w:ilvl w:val="0"/>
          <w:numId w:val="0"/>
        </w:numPr>
        <w:rPr>
          <w:szCs w:val="26"/>
        </w:rPr>
      </w:pPr>
      <w:r w:rsidRPr="00B30C9E">
        <w:rPr>
          <w:color w:val="000000"/>
          <w:szCs w:val="26"/>
        </w:rPr>
        <w:t>[157]</w:t>
      </w:r>
      <w:r w:rsidRPr="00B30C9E">
        <w:rPr>
          <w:color w:val="000000"/>
          <w:szCs w:val="26"/>
        </w:rPr>
        <w:tab/>
      </w:r>
      <w:r w:rsidR="002B701A" w:rsidRPr="00B30C9E">
        <w:rPr>
          <w:szCs w:val="26"/>
        </w:rPr>
        <w:t xml:space="preserve">The </w:t>
      </w:r>
      <w:r w:rsidR="002B701A">
        <w:rPr>
          <w:szCs w:val="26"/>
        </w:rPr>
        <w:t>Judge</w:t>
      </w:r>
      <w:r w:rsidR="002B701A" w:rsidRPr="003029D5">
        <w:rPr>
          <w:szCs w:val="26"/>
        </w:rPr>
        <w:t xml:space="preserve"> observed, correctly</w:t>
      </w:r>
      <w:r w:rsidR="002B701A">
        <w:rPr>
          <w:szCs w:val="26"/>
        </w:rPr>
        <w:t xml:space="preserve"> I think,</w:t>
      </w:r>
      <w:r w:rsidR="002B701A" w:rsidRPr="003029D5">
        <w:rPr>
          <w:szCs w:val="26"/>
        </w:rPr>
        <w:t xml:space="preserve"> that the relief sought in the original notice of motion was for an investigation into the cancellations project.</w:t>
      </w:r>
      <w:r w:rsidR="002B701A" w:rsidRPr="001A29E7">
        <w:rPr>
          <w:szCs w:val="26"/>
        </w:rPr>
        <w:t xml:space="preserve"> </w:t>
      </w:r>
      <w:r w:rsidR="002B701A">
        <w:rPr>
          <w:szCs w:val="26"/>
        </w:rPr>
        <w:t xml:space="preserve"> </w:t>
      </w:r>
      <w:r w:rsidR="002B701A" w:rsidRPr="001A29E7">
        <w:rPr>
          <w:szCs w:val="26"/>
        </w:rPr>
        <w:t xml:space="preserve">This suggested that there was no investigation under way. </w:t>
      </w:r>
      <w:r w:rsidR="002B701A">
        <w:rPr>
          <w:szCs w:val="26"/>
        </w:rPr>
        <w:t xml:space="preserve"> </w:t>
      </w:r>
      <w:r w:rsidR="002B701A" w:rsidRPr="001A29E7">
        <w:rPr>
          <w:szCs w:val="26"/>
        </w:rPr>
        <w:t xml:space="preserve">But this is not so. </w:t>
      </w:r>
      <w:r w:rsidR="002B701A">
        <w:rPr>
          <w:szCs w:val="26"/>
        </w:rPr>
        <w:t xml:space="preserve"> </w:t>
      </w:r>
      <w:r w:rsidR="002B701A" w:rsidRPr="001A29E7">
        <w:rPr>
          <w:szCs w:val="26"/>
        </w:rPr>
        <w:t xml:space="preserve">At that stage Justice </w:t>
      </w:r>
      <w:proofErr w:type="spellStart"/>
      <w:r w:rsidR="002B701A" w:rsidRPr="001A29E7">
        <w:rPr>
          <w:szCs w:val="26"/>
        </w:rPr>
        <w:t>O’Regan</w:t>
      </w:r>
      <w:proofErr w:type="spellEnd"/>
      <w:r w:rsidR="002B701A" w:rsidRPr="001A29E7">
        <w:rPr>
          <w:szCs w:val="26"/>
        </w:rPr>
        <w:t xml:space="preserve"> and KPMG had completed their investigations.</w:t>
      </w:r>
      <w:r w:rsidR="002B701A">
        <w:rPr>
          <w:szCs w:val="26"/>
        </w:rPr>
        <w:t xml:space="preserve">  </w:t>
      </w:r>
      <w:proofErr w:type="gramStart"/>
      <w:r w:rsidR="00AC0FA0">
        <w:rPr>
          <w:szCs w:val="26"/>
        </w:rPr>
        <w:t>Mr</w:t>
      </w:r>
      <w:r w:rsidR="002B701A" w:rsidRPr="001A29E7">
        <w:rPr>
          <w:szCs w:val="26"/>
        </w:rPr>
        <w:t xml:space="preserve"> </w:t>
      </w:r>
      <w:r w:rsidR="00AC0FA0">
        <w:rPr>
          <w:szCs w:val="26"/>
        </w:rPr>
        <w:t> </w:t>
      </w:r>
      <w:r w:rsidR="002B701A" w:rsidRPr="001A29E7">
        <w:rPr>
          <w:szCs w:val="26"/>
        </w:rPr>
        <w:t>Mort</w:t>
      </w:r>
      <w:r w:rsidR="00AC0FA0">
        <w:rPr>
          <w:szCs w:val="26"/>
        </w:rPr>
        <w:t>’s</w:t>
      </w:r>
      <w:proofErr w:type="gramEnd"/>
      <w:r w:rsidR="00AC0FA0">
        <w:rPr>
          <w:szCs w:val="26"/>
        </w:rPr>
        <w:t xml:space="preserve"> investigation</w:t>
      </w:r>
      <w:r w:rsidR="002B701A" w:rsidRPr="001A29E7">
        <w:rPr>
          <w:szCs w:val="26"/>
        </w:rPr>
        <w:t xml:space="preserve"> had not yet begun; he was commissioned </w:t>
      </w:r>
      <w:r w:rsidR="002B701A">
        <w:rPr>
          <w:szCs w:val="26"/>
        </w:rPr>
        <w:t xml:space="preserve">only </w:t>
      </w:r>
      <w:r w:rsidR="002B701A" w:rsidRPr="001A29E7">
        <w:rPr>
          <w:szCs w:val="26"/>
        </w:rPr>
        <w:t>four months after Ms Hunter had institut</w:t>
      </w:r>
      <w:r w:rsidR="002B701A" w:rsidRPr="00B30C9E">
        <w:rPr>
          <w:szCs w:val="26"/>
        </w:rPr>
        <w:t xml:space="preserve">ed these proceedings. When the matter was heard and shortly afterwards, when the </w:t>
      </w:r>
      <w:r w:rsidR="002B701A">
        <w:rPr>
          <w:szCs w:val="26"/>
        </w:rPr>
        <w:t>C</w:t>
      </w:r>
      <w:r w:rsidR="002B701A" w:rsidRPr="00B30C9E">
        <w:rPr>
          <w:szCs w:val="26"/>
        </w:rPr>
        <w:t>ourt delivered its judgment, on 14 December 2016, the investigation had not been completed.</w:t>
      </w:r>
    </w:p>
    <w:p w14:paraId="65A94DE8" w14:textId="77777777" w:rsidR="002B701A" w:rsidRPr="000F546C" w:rsidRDefault="002B701A" w:rsidP="002B701A">
      <w:pPr>
        <w:pStyle w:val="JUDGMENTCONTINUED"/>
        <w:rPr>
          <w:szCs w:val="26"/>
        </w:rPr>
      </w:pPr>
    </w:p>
    <w:p w14:paraId="2B1EB23F" w14:textId="629CE556" w:rsidR="002B701A" w:rsidRPr="000F546C" w:rsidRDefault="00811729" w:rsidP="00811729">
      <w:pPr>
        <w:pStyle w:val="JUDGMENTNUMBERED"/>
        <w:numPr>
          <w:ilvl w:val="0"/>
          <w:numId w:val="0"/>
        </w:numPr>
        <w:rPr>
          <w:szCs w:val="26"/>
        </w:rPr>
      </w:pPr>
      <w:r w:rsidRPr="000F546C">
        <w:rPr>
          <w:color w:val="000000"/>
          <w:szCs w:val="26"/>
        </w:rPr>
        <w:t>[158]</w:t>
      </w:r>
      <w:r w:rsidRPr="000F546C">
        <w:rPr>
          <w:color w:val="000000"/>
          <w:szCs w:val="26"/>
        </w:rPr>
        <w:tab/>
      </w:r>
      <w:r w:rsidR="002B701A" w:rsidRPr="000F546C">
        <w:rPr>
          <w:szCs w:val="26"/>
        </w:rPr>
        <w:t xml:space="preserve">The </w:t>
      </w:r>
      <w:r w:rsidR="002B701A">
        <w:rPr>
          <w:szCs w:val="26"/>
        </w:rPr>
        <w:t>J</w:t>
      </w:r>
      <w:r w:rsidR="002B701A" w:rsidRPr="000F546C">
        <w:rPr>
          <w:szCs w:val="26"/>
        </w:rPr>
        <w:t>udge understood the applicant’s case, again</w:t>
      </w:r>
      <w:r w:rsidR="002B701A">
        <w:rPr>
          <w:szCs w:val="26"/>
        </w:rPr>
        <w:t>,</w:t>
      </w:r>
      <w:r w:rsidR="002B701A" w:rsidRPr="000F546C">
        <w:rPr>
          <w:szCs w:val="26"/>
        </w:rPr>
        <w:t xml:space="preserve"> in my view correctly, as seeking to put an end to the </w:t>
      </w:r>
      <w:r w:rsidR="002B701A">
        <w:rPr>
          <w:szCs w:val="26"/>
        </w:rPr>
        <w:t xml:space="preserve">alleged </w:t>
      </w:r>
      <w:r w:rsidR="002B701A" w:rsidRPr="000F546C">
        <w:rPr>
          <w:szCs w:val="26"/>
        </w:rPr>
        <w:t xml:space="preserve">unlawful conduct of the </w:t>
      </w:r>
      <w:r w:rsidR="002B701A">
        <w:rPr>
          <w:szCs w:val="26"/>
        </w:rPr>
        <w:t>FSCA</w:t>
      </w:r>
      <w:r w:rsidR="002B701A" w:rsidRPr="000F546C">
        <w:rPr>
          <w:szCs w:val="26"/>
        </w:rPr>
        <w:t xml:space="preserve"> and their employees in their execution of the cancellations project and to compel them, and the Minister, to comply with their constitutional obligation to act </w:t>
      </w:r>
      <w:r w:rsidR="002B701A">
        <w:rPr>
          <w:szCs w:val="26"/>
        </w:rPr>
        <w:t>“</w:t>
      </w:r>
      <w:r w:rsidR="002B701A" w:rsidRPr="000F546C">
        <w:rPr>
          <w:szCs w:val="26"/>
        </w:rPr>
        <w:t>lawfully</w:t>
      </w:r>
      <w:r w:rsidR="002B701A">
        <w:rPr>
          <w:szCs w:val="26"/>
        </w:rPr>
        <w:t>”</w:t>
      </w:r>
      <w:r w:rsidR="002B701A" w:rsidRPr="000F546C">
        <w:rPr>
          <w:szCs w:val="26"/>
        </w:rPr>
        <w:t xml:space="preserve"> and to fulfil their duties in the applicable legislation and </w:t>
      </w:r>
      <w:r w:rsidR="002B701A">
        <w:rPr>
          <w:szCs w:val="26"/>
        </w:rPr>
        <w:t>FSCA</w:t>
      </w:r>
      <w:r w:rsidR="002B701A" w:rsidRPr="000F546C">
        <w:rPr>
          <w:szCs w:val="26"/>
        </w:rPr>
        <w:t xml:space="preserve"> policy documents being</w:t>
      </w:r>
      <w:r w:rsidR="002B701A">
        <w:rPr>
          <w:szCs w:val="26"/>
        </w:rPr>
        <w:t>—</w:t>
      </w:r>
    </w:p>
    <w:p w14:paraId="53A8E31E" w14:textId="77777777" w:rsidR="002B701A" w:rsidRPr="00AC0FA0" w:rsidRDefault="002B701A">
      <w:pPr>
        <w:pStyle w:val="List1"/>
      </w:pPr>
      <w:r w:rsidRPr="00AC0FA0">
        <w:t>(a)</w:t>
      </w:r>
      <w:r w:rsidRPr="00AC0FA0">
        <w:tab/>
        <w:t>the FSCA’s Compliance Policy and Compliance Charter;</w:t>
      </w:r>
    </w:p>
    <w:p w14:paraId="111DD3A3" w14:textId="77777777" w:rsidR="002B701A" w:rsidRPr="00AC0FA0" w:rsidRDefault="002B701A">
      <w:pPr>
        <w:pStyle w:val="List1"/>
      </w:pPr>
      <w:r w:rsidRPr="00AC0FA0">
        <w:lastRenderedPageBreak/>
        <w:t>(b)</w:t>
      </w:r>
      <w:r w:rsidRPr="00AC0FA0">
        <w:tab/>
        <w:t>the policies and procedures comprising the FSCA’s Fraud and Corruption Strategy;</w:t>
      </w:r>
    </w:p>
    <w:p w14:paraId="404CD09B" w14:textId="24B94076" w:rsidR="002B701A" w:rsidRPr="00AC0FA0" w:rsidRDefault="002B701A">
      <w:pPr>
        <w:pStyle w:val="List1"/>
      </w:pPr>
      <w:r w:rsidRPr="00AC0FA0">
        <w:t>(c)</w:t>
      </w:r>
      <w:r w:rsidRPr="00AC0FA0">
        <w:tab/>
        <w:t>the Public Finance Management Act</w:t>
      </w:r>
      <w:r w:rsidR="00830440">
        <w:t xml:space="preserve"> read with Treasury R</w:t>
      </w:r>
      <w:r w:rsidRPr="00AC0FA0">
        <w:t>egulation 33; and</w:t>
      </w:r>
    </w:p>
    <w:p w14:paraId="5DEBB395" w14:textId="06E3B977" w:rsidR="002B701A" w:rsidRPr="00AC0FA0" w:rsidRDefault="002B701A">
      <w:pPr>
        <w:pStyle w:val="List1"/>
      </w:pPr>
      <w:r w:rsidRPr="00AC0FA0">
        <w:t>(d)</w:t>
      </w:r>
      <w:r w:rsidRPr="00AC0FA0">
        <w:tab/>
        <w:t>the Protected Disclosures Act.</w:t>
      </w:r>
      <w:r w:rsidRPr="00AC0FA0">
        <w:rPr>
          <w:rStyle w:val="FootnoteReference"/>
        </w:rPr>
        <w:footnoteReference w:id="62"/>
      </w:r>
    </w:p>
    <w:p w14:paraId="36553CD6" w14:textId="77777777" w:rsidR="002B701A" w:rsidRPr="00FD7EB8" w:rsidRDefault="002B701A" w:rsidP="002B701A">
      <w:pPr>
        <w:pStyle w:val="JUDGMENTCONTINUED"/>
      </w:pPr>
    </w:p>
    <w:p w14:paraId="7F0BB22F" w14:textId="53A456A5" w:rsidR="002B701A" w:rsidRPr="006A06D1" w:rsidRDefault="00811729" w:rsidP="00811729">
      <w:pPr>
        <w:pStyle w:val="JUDGMENTNUMBERED"/>
        <w:numPr>
          <w:ilvl w:val="0"/>
          <w:numId w:val="0"/>
        </w:numPr>
        <w:rPr>
          <w:szCs w:val="26"/>
        </w:rPr>
      </w:pPr>
      <w:r w:rsidRPr="006A06D1">
        <w:rPr>
          <w:color w:val="000000"/>
          <w:szCs w:val="26"/>
        </w:rPr>
        <w:t>[159]</w:t>
      </w:r>
      <w:r w:rsidRPr="006A06D1">
        <w:rPr>
          <w:color w:val="000000"/>
          <w:szCs w:val="26"/>
        </w:rPr>
        <w:tab/>
      </w:r>
      <w:r w:rsidR="002B701A" w:rsidRPr="00FF1B00">
        <w:rPr>
          <w:szCs w:val="26"/>
        </w:rPr>
        <w:t>But faced with a comprehensive refutation of each of her pleaded causes of action</w:t>
      </w:r>
      <w:r w:rsidR="002B701A">
        <w:rPr>
          <w:szCs w:val="26"/>
        </w:rPr>
        <w:t>,</w:t>
      </w:r>
      <w:r w:rsidR="002B701A" w:rsidRPr="00FF1B00">
        <w:rPr>
          <w:szCs w:val="26"/>
        </w:rPr>
        <w:t xml:space="preserve"> </w:t>
      </w:r>
      <w:r w:rsidR="002B701A">
        <w:rPr>
          <w:szCs w:val="26"/>
        </w:rPr>
        <w:t>Ms Hunter</w:t>
      </w:r>
      <w:r w:rsidR="002B701A" w:rsidRPr="00FF1B00">
        <w:rPr>
          <w:szCs w:val="26"/>
        </w:rPr>
        <w:t xml:space="preserve"> abandoned them. </w:t>
      </w:r>
      <w:r w:rsidR="002B701A">
        <w:rPr>
          <w:szCs w:val="26"/>
        </w:rPr>
        <w:t xml:space="preserve"> </w:t>
      </w:r>
      <w:r w:rsidR="002B701A" w:rsidRPr="00FF1B00">
        <w:rPr>
          <w:szCs w:val="26"/>
        </w:rPr>
        <w:t xml:space="preserve">During the hearing she contended that she no longer asked the </w:t>
      </w:r>
      <w:r w:rsidR="002B701A">
        <w:rPr>
          <w:szCs w:val="26"/>
        </w:rPr>
        <w:t>C</w:t>
      </w:r>
      <w:r w:rsidR="002B701A" w:rsidRPr="00FF1B00">
        <w:rPr>
          <w:szCs w:val="26"/>
        </w:rPr>
        <w:t xml:space="preserve">ourt to find as a fact that the </w:t>
      </w:r>
      <w:r w:rsidR="002B701A">
        <w:rPr>
          <w:szCs w:val="26"/>
        </w:rPr>
        <w:t>FSCA</w:t>
      </w:r>
      <w:r w:rsidR="002B701A" w:rsidRPr="00FF1B00">
        <w:rPr>
          <w:szCs w:val="26"/>
        </w:rPr>
        <w:t xml:space="preserve"> or its employees ha</w:t>
      </w:r>
      <w:r w:rsidR="002B701A">
        <w:rPr>
          <w:szCs w:val="26"/>
        </w:rPr>
        <w:t>d</w:t>
      </w:r>
      <w:r w:rsidR="002B701A" w:rsidRPr="00FF1B00">
        <w:rPr>
          <w:szCs w:val="26"/>
        </w:rPr>
        <w:t xml:space="preserve"> breached any of these laws or policies but </w:t>
      </w:r>
      <w:r w:rsidR="002B701A">
        <w:rPr>
          <w:szCs w:val="26"/>
        </w:rPr>
        <w:t xml:space="preserve">only </w:t>
      </w:r>
      <w:r w:rsidR="002B701A" w:rsidRPr="00FF1B00">
        <w:rPr>
          <w:szCs w:val="26"/>
        </w:rPr>
        <w:t xml:space="preserve">to establish through an investigation whether this </w:t>
      </w:r>
      <w:r w:rsidR="002B701A">
        <w:rPr>
          <w:szCs w:val="26"/>
        </w:rPr>
        <w:t>was</w:t>
      </w:r>
      <w:r w:rsidR="002B701A" w:rsidRPr="00FF1B00">
        <w:rPr>
          <w:szCs w:val="26"/>
        </w:rPr>
        <w:t xml:space="preserve"> so. </w:t>
      </w:r>
      <w:r w:rsidR="002B701A">
        <w:rPr>
          <w:szCs w:val="26"/>
        </w:rPr>
        <w:t xml:space="preserve"> </w:t>
      </w:r>
      <w:r w:rsidR="002B701A" w:rsidRPr="00FF1B00">
        <w:rPr>
          <w:szCs w:val="26"/>
        </w:rPr>
        <w:t xml:space="preserve">The </w:t>
      </w:r>
      <w:r w:rsidR="002B701A">
        <w:rPr>
          <w:szCs w:val="26"/>
        </w:rPr>
        <w:t>H</w:t>
      </w:r>
      <w:r w:rsidR="002B701A" w:rsidRPr="00FF1B00">
        <w:rPr>
          <w:szCs w:val="26"/>
        </w:rPr>
        <w:t xml:space="preserve">igh </w:t>
      </w:r>
      <w:r w:rsidR="002B701A">
        <w:rPr>
          <w:szCs w:val="26"/>
        </w:rPr>
        <w:t>C</w:t>
      </w:r>
      <w:r w:rsidR="002B701A" w:rsidRPr="00FF1B00">
        <w:rPr>
          <w:szCs w:val="26"/>
        </w:rPr>
        <w:t xml:space="preserve">ourt was therefore </w:t>
      </w:r>
      <w:r w:rsidR="002B701A">
        <w:rPr>
          <w:szCs w:val="26"/>
        </w:rPr>
        <w:t xml:space="preserve">right to observe </w:t>
      </w:r>
      <w:r w:rsidR="002B701A" w:rsidRPr="00FF1B00">
        <w:rPr>
          <w:szCs w:val="26"/>
        </w:rPr>
        <w:t>that Ms</w:t>
      </w:r>
      <w:r w:rsidR="002B701A">
        <w:rPr>
          <w:szCs w:val="26"/>
        </w:rPr>
        <w:t> </w:t>
      </w:r>
      <w:r w:rsidR="002B701A" w:rsidRPr="00FF1B00">
        <w:rPr>
          <w:szCs w:val="26"/>
        </w:rPr>
        <w:t>Hunter</w:t>
      </w:r>
      <w:r w:rsidR="002B701A">
        <w:rPr>
          <w:szCs w:val="26"/>
        </w:rPr>
        <w:t xml:space="preserve"> “[had]</w:t>
      </w:r>
      <w:r w:rsidR="002B701A" w:rsidRPr="00FF1B00">
        <w:rPr>
          <w:szCs w:val="26"/>
        </w:rPr>
        <w:t xml:space="preserve"> failed to set out with the required measure </w:t>
      </w:r>
      <w:r w:rsidR="002B701A" w:rsidRPr="00322F9F">
        <w:rPr>
          <w:szCs w:val="26"/>
        </w:rPr>
        <w:t>of particularity, facts and conclusions of law to rely on any of the statutory provisions stated in her affidavits and those in argument</w:t>
      </w:r>
      <w:r w:rsidR="002B701A">
        <w:rPr>
          <w:szCs w:val="26"/>
        </w:rPr>
        <w:t>”</w:t>
      </w:r>
      <w:r w:rsidR="002B701A" w:rsidRPr="00322F9F">
        <w:rPr>
          <w:szCs w:val="26"/>
        </w:rPr>
        <w:t xml:space="preserve"> to </w:t>
      </w:r>
      <w:r w:rsidR="002B701A">
        <w:rPr>
          <w:szCs w:val="26"/>
        </w:rPr>
        <w:t>justify</w:t>
      </w:r>
      <w:r w:rsidR="002B701A" w:rsidRPr="00322F9F">
        <w:rPr>
          <w:szCs w:val="26"/>
        </w:rPr>
        <w:t xml:space="preserve"> an order premised on a general obligation to investigate her complaint.</w:t>
      </w:r>
      <w:r w:rsidR="002B701A">
        <w:rPr>
          <w:rStyle w:val="FootnoteReference"/>
          <w:szCs w:val="26"/>
        </w:rPr>
        <w:footnoteReference w:id="63"/>
      </w:r>
    </w:p>
    <w:p w14:paraId="7EBFAA1C" w14:textId="77777777" w:rsidR="002B701A" w:rsidRPr="003029D5" w:rsidRDefault="002B701A" w:rsidP="002B701A">
      <w:pPr>
        <w:pStyle w:val="JUDGMENTCONTINUED"/>
        <w:rPr>
          <w:szCs w:val="26"/>
        </w:rPr>
      </w:pPr>
    </w:p>
    <w:p w14:paraId="19EDE9BD" w14:textId="3D64808C" w:rsidR="002B701A" w:rsidRPr="000F546C" w:rsidRDefault="00811729" w:rsidP="00811729">
      <w:pPr>
        <w:pStyle w:val="JUDGMENTNUMBERED"/>
        <w:numPr>
          <w:ilvl w:val="0"/>
          <w:numId w:val="0"/>
        </w:numPr>
        <w:rPr>
          <w:szCs w:val="26"/>
        </w:rPr>
      </w:pPr>
      <w:r w:rsidRPr="000F546C">
        <w:rPr>
          <w:color w:val="000000"/>
          <w:szCs w:val="26"/>
        </w:rPr>
        <w:t>[160]</w:t>
      </w:r>
      <w:r w:rsidRPr="000F546C">
        <w:rPr>
          <w:color w:val="000000"/>
          <w:szCs w:val="26"/>
        </w:rPr>
        <w:tab/>
      </w:r>
      <w:r w:rsidR="002B701A" w:rsidRPr="001A29E7">
        <w:rPr>
          <w:szCs w:val="26"/>
        </w:rPr>
        <w:t xml:space="preserve">The </w:t>
      </w:r>
      <w:r w:rsidR="002B701A">
        <w:rPr>
          <w:szCs w:val="26"/>
        </w:rPr>
        <w:t>J</w:t>
      </w:r>
      <w:r w:rsidR="002B701A" w:rsidRPr="001A29E7">
        <w:rPr>
          <w:szCs w:val="26"/>
        </w:rPr>
        <w:t xml:space="preserve">udge </w:t>
      </w:r>
      <w:r w:rsidR="002B701A">
        <w:rPr>
          <w:szCs w:val="26"/>
        </w:rPr>
        <w:t xml:space="preserve">also </w:t>
      </w:r>
      <w:r w:rsidR="002B701A" w:rsidRPr="001A29E7">
        <w:rPr>
          <w:szCs w:val="26"/>
        </w:rPr>
        <w:t>dealt with a further argument offered in reply on Ms Hunt</w:t>
      </w:r>
      <w:r w:rsidR="002B701A" w:rsidRPr="00B30C9E">
        <w:rPr>
          <w:szCs w:val="26"/>
        </w:rPr>
        <w:t>er</w:t>
      </w:r>
      <w:r w:rsidR="002B701A">
        <w:rPr>
          <w:szCs w:val="26"/>
        </w:rPr>
        <w:t>’s behalf</w:t>
      </w:r>
      <w:r w:rsidR="002B701A" w:rsidRPr="00B30C9E">
        <w:rPr>
          <w:szCs w:val="26"/>
        </w:rPr>
        <w:t xml:space="preserve">, which was that once the </w:t>
      </w:r>
      <w:r w:rsidR="002B701A">
        <w:rPr>
          <w:szCs w:val="26"/>
        </w:rPr>
        <w:t>FSCA</w:t>
      </w:r>
      <w:r w:rsidR="002B701A" w:rsidRPr="00B30C9E">
        <w:rPr>
          <w:szCs w:val="26"/>
        </w:rPr>
        <w:t xml:space="preserve"> had accepted the </w:t>
      </w:r>
      <w:proofErr w:type="spellStart"/>
      <w:r w:rsidR="002B701A" w:rsidRPr="00B30C9E">
        <w:rPr>
          <w:szCs w:val="26"/>
        </w:rPr>
        <w:t>O’Regan</w:t>
      </w:r>
      <w:proofErr w:type="spellEnd"/>
      <w:r w:rsidR="002B701A" w:rsidRPr="00B30C9E">
        <w:rPr>
          <w:szCs w:val="26"/>
        </w:rPr>
        <w:t xml:space="preserve"> report, it was obliged to appoint, not Mr Mort, but forensic invest</w:t>
      </w:r>
      <w:r w:rsidR="002B701A">
        <w:rPr>
          <w:szCs w:val="26"/>
        </w:rPr>
        <w:t>igators</w:t>
      </w:r>
      <w:r w:rsidR="002B701A" w:rsidRPr="00B30C9E">
        <w:rPr>
          <w:szCs w:val="26"/>
        </w:rPr>
        <w:t xml:space="preserve"> to conduct an investigation as contemplated in her amended notice of motion. </w:t>
      </w:r>
      <w:r w:rsidR="002B701A">
        <w:rPr>
          <w:szCs w:val="26"/>
        </w:rPr>
        <w:t xml:space="preserve"> </w:t>
      </w:r>
      <w:r w:rsidR="002B701A" w:rsidRPr="00B30C9E">
        <w:rPr>
          <w:szCs w:val="26"/>
        </w:rPr>
        <w:t>He rejected the submission – again,</w:t>
      </w:r>
      <w:r w:rsidR="002B701A">
        <w:rPr>
          <w:szCs w:val="26"/>
        </w:rPr>
        <w:t xml:space="preserve"> correctly –</w:t>
      </w:r>
      <w:r w:rsidR="002B701A" w:rsidRPr="000F546C">
        <w:rPr>
          <w:szCs w:val="26"/>
        </w:rPr>
        <w:t xml:space="preserve"> a</w:t>
      </w:r>
      <w:r w:rsidR="002B701A">
        <w:rPr>
          <w:szCs w:val="26"/>
        </w:rPr>
        <w:t>s</w:t>
      </w:r>
      <w:r w:rsidR="002B701A" w:rsidRPr="000F546C">
        <w:rPr>
          <w:szCs w:val="26"/>
        </w:rPr>
        <w:t xml:space="preserve"> the </w:t>
      </w:r>
      <w:r w:rsidR="002B701A">
        <w:rPr>
          <w:szCs w:val="26"/>
        </w:rPr>
        <w:t>FSCA</w:t>
      </w:r>
      <w:r w:rsidR="002B701A" w:rsidRPr="000F546C">
        <w:rPr>
          <w:szCs w:val="26"/>
        </w:rPr>
        <w:t xml:space="preserve"> has not been called upon to answer this case</w:t>
      </w:r>
      <w:r w:rsidR="002B701A">
        <w:rPr>
          <w:szCs w:val="26"/>
        </w:rPr>
        <w:t xml:space="preserve"> either</w:t>
      </w:r>
      <w:r w:rsidR="002B701A" w:rsidRPr="000F546C">
        <w:rPr>
          <w:szCs w:val="26"/>
        </w:rPr>
        <w:t>.</w:t>
      </w:r>
    </w:p>
    <w:p w14:paraId="572CAAFC" w14:textId="77777777" w:rsidR="002B701A" w:rsidRPr="000F546C" w:rsidRDefault="002B701A" w:rsidP="002B701A">
      <w:pPr>
        <w:pStyle w:val="JUDGMENTCONTINUED"/>
        <w:rPr>
          <w:szCs w:val="26"/>
        </w:rPr>
      </w:pPr>
    </w:p>
    <w:p w14:paraId="67A86FA5" w14:textId="47FFDA3F" w:rsidR="002B701A" w:rsidRPr="00B30C9E" w:rsidRDefault="00811729" w:rsidP="00811729">
      <w:pPr>
        <w:pStyle w:val="JUDGMENTNUMBERED"/>
        <w:numPr>
          <w:ilvl w:val="0"/>
          <w:numId w:val="0"/>
        </w:numPr>
        <w:rPr>
          <w:szCs w:val="26"/>
        </w:rPr>
      </w:pPr>
      <w:r w:rsidRPr="00B30C9E">
        <w:rPr>
          <w:color w:val="000000"/>
          <w:szCs w:val="26"/>
        </w:rPr>
        <w:t>[161]</w:t>
      </w:r>
      <w:r w:rsidRPr="00B30C9E">
        <w:rPr>
          <w:color w:val="000000"/>
          <w:szCs w:val="26"/>
        </w:rPr>
        <w:tab/>
      </w:r>
      <w:r w:rsidR="002B701A" w:rsidRPr="000F546C">
        <w:rPr>
          <w:szCs w:val="26"/>
        </w:rPr>
        <w:t xml:space="preserve">Following the </w:t>
      </w:r>
      <w:r w:rsidR="002B701A">
        <w:rPr>
          <w:szCs w:val="26"/>
        </w:rPr>
        <w:t>H</w:t>
      </w:r>
      <w:r w:rsidR="002B701A" w:rsidRPr="003029D5">
        <w:rPr>
          <w:szCs w:val="26"/>
        </w:rPr>
        <w:t xml:space="preserve">igh </w:t>
      </w:r>
      <w:r w:rsidR="002B701A">
        <w:rPr>
          <w:szCs w:val="26"/>
        </w:rPr>
        <w:t>C</w:t>
      </w:r>
      <w:r w:rsidR="002B701A" w:rsidRPr="003029D5">
        <w:rPr>
          <w:szCs w:val="26"/>
        </w:rPr>
        <w:t>ourt judgment</w:t>
      </w:r>
      <w:r w:rsidR="002B701A">
        <w:rPr>
          <w:szCs w:val="26"/>
        </w:rPr>
        <w:t>,</w:t>
      </w:r>
      <w:r w:rsidR="002B701A" w:rsidRPr="003029D5">
        <w:rPr>
          <w:szCs w:val="26"/>
        </w:rPr>
        <w:t xml:space="preserve"> Mr Mort continued his investigation. </w:t>
      </w:r>
      <w:r w:rsidR="002B701A">
        <w:rPr>
          <w:szCs w:val="26"/>
        </w:rPr>
        <w:t xml:space="preserve"> </w:t>
      </w:r>
      <w:r w:rsidR="002B701A" w:rsidRPr="003029D5">
        <w:rPr>
          <w:szCs w:val="26"/>
        </w:rPr>
        <w:t>On 21</w:t>
      </w:r>
      <w:r w:rsidR="002B701A">
        <w:rPr>
          <w:szCs w:val="26"/>
        </w:rPr>
        <w:t> </w:t>
      </w:r>
      <w:r w:rsidR="002B701A" w:rsidRPr="003029D5">
        <w:rPr>
          <w:szCs w:val="26"/>
        </w:rPr>
        <w:t>December</w:t>
      </w:r>
      <w:r w:rsidR="002B701A">
        <w:rPr>
          <w:szCs w:val="26"/>
        </w:rPr>
        <w:t> </w:t>
      </w:r>
      <w:r w:rsidR="002B701A" w:rsidRPr="003029D5">
        <w:rPr>
          <w:szCs w:val="26"/>
        </w:rPr>
        <w:t xml:space="preserve">2016 he produced a supplement to his Second Inspection Report, which addressed </w:t>
      </w:r>
      <w:r w:rsidR="002B701A">
        <w:rPr>
          <w:szCs w:val="26"/>
        </w:rPr>
        <w:t>some</w:t>
      </w:r>
      <w:r w:rsidR="002B701A" w:rsidRPr="003029D5">
        <w:rPr>
          <w:szCs w:val="26"/>
        </w:rPr>
        <w:t xml:space="preserve"> outstanding information in that report. </w:t>
      </w:r>
      <w:r w:rsidR="002B701A">
        <w:rPr>
          <w:szCs w:val="26"/>
        </w:rPr>
        <w:t xml:space="preserve"> </w:t>
      </w:r>
      <w:r w:rsidR="002B701A" w:rsidRPr="003029D5">
        <w:rPr>
          <w:szCs w:val="26"/>
        </w:rPr>
        <w:t>He concluded that no member, beneficiary</w:t>
      </w:r>
      <w:r w:rsidR="002B701A">
        <w:rPr>
          <w:szCs w:val="26"/>
        </w:rPr>
        <w:t>,</w:t>
      </w:r>
      <w:r w:rsidR="002B701A" w:rsidRPr="003029D5">
        <w:rPr>
          <w:szCs w:val="26"/>
        </w:rPr>
        <w:t xml:space="preserve"> or creditor had apparently been exposed t</w:t>
      </w:r>
      <w:r w:rsidR="002B701A" w:rsidRPr="001A29E7">
        <w:rPr>
          <w:szCs w:val="26"/>
        </w:rPr>
        <w:t>o any material financial prejudice.</w:t>
      </w:r>
    </w:p>
    <w:p w14:paraId="43CFEE93" w14:textId="77777777" w:rsidR="002B701A" w:rsidRPr="00B30C9E" w:rsidRDefault="002B701A" w:rsidP="002B701A">
      <w:pPr>
        <w:pStyle w:val="JUDGMENTCONTINUED"/>
        <w:rPr>
          <w:szCs w:val="26"/>
        </w:rPr>
      </w:pPr>
    </w:p>
    <w:p w14:paraId="1B004AE1" w14:textId="5987C0E4" w:rsidR="002B701A" w:rsidRPr="000F546C" w:rsidRDefault="00811729" w:rsidP="00811729">
      <w:pPr>
        <w:pStyle w:val="JUDGMENTNUMBERED"/>
        <w:numPr>
          <w:ilvl w:val="0"/>
          <w:numId w:val="0"/>
        </w:numPr>
        <w:rPr>
          <w:szCs w:val="26"/>
        </w:rPr>
      </w:pPr>
      <w:r w:rsidRPr="000F546C">
        <w:rPr>
          <w:color w:val="000000"/>
          <w:szCs w:val="26"/>
        </w:rPr>
        <w:t>[162]</w:t>
      </w:r>
      <w:r w:rsidRPr="000F546C">
        <w:rPr>
          <w:color w:val="000000"/>
          <w:szCs w:val="26"/>
        </w:rPr>
        <w:tab/>
      </w:r>
      <w:r w:rsidR="002B701A" w:rsidRPr="000F546C">
        <w:rPr>
          <w:szCs w:val="26"/>
        </w:rPr>
        <w:t xml:space="preserve">Mr Mort produced his Third Inspection Report on the same date. </w:t>
      </w:r>
      <w:r w:rsidR="002B701A">
        <w:rPr>
          <w:szCs w:val="26"/>
        </w:rPr>
        <w:t xml:space="preserve"> This report was not included in the papers.  However, in the </w:t>
      </w:r>
      <w:r w:rsidR="009330DB">
        <w:rPr>
          <w:szCs w:val="26"/>
        </w:rPr>
        <w:t>FSCA</w:t>
      </w:r>
      <w:r w:rsidR="002B701A">
        <w:rPr>
          <w:szCs w:val="26"/>
        </w:rPr>
        <w:t xml:space="preserve">’s answering papers in this Court, </w:t>
      </w:r>
      <w:r w:rsidR="002B701A">
        <w:rPr>
          <w:szCs w:val="26"/>
        </w:rPr>
        <w:lastRenderedPageBreak/>
        <w:t>Mr Mort</w:t>
      </w:r>
      <w:r w:rsidR="002B701A" w:rsidRPr="000F546C">
        <w:rPr>
          <w:szCs w:val="26"/>
        </w:rPr>
        <w:t xml:space="preserve"> </w:t>
      </w:r>
      <w:r w:rsidR="002B701A">
        <w:rPr>
          <w:szCs w:val="26"/>
        </w:rPr>
        <w:t xml:space="preserve">acknowledged, with reference to the report, </w:t>
      </w:r>
      <w:r w:rsidR="002B701A" w:rsidRPr="000F546C">
        <w:rPr>
          <w:szCs w:val="26"/>
        </w:rPr>
        <w:t>that while there were areas of concern, it was</w:t>
      </w:r>
      <w:r w:rsidR="002B701A">
        <w:rPr>
          <w:szCs w:val="26"/>
        </w:rPr>
        <w:t xml:space="preserve"> also </w:t>
      </w:r>
      <w:r w:rsidR="002B701A" w:rsidRPr="000F546C">
        <w:rPr>
          <w:szCs w:val="26"/>
        </w:rPr>
        <w:t>apparent that there was an ongoing effort by administrators of cancelled funds to trace the beneficiaries of unclaimed benefits.</w:t>
      </w:r>
    </w:p>
    <w:p w14:paraId="75456C88" w14:textId="77777777" w:rsidR="002B701A" w:rsidRPr="000F546C" w:rsidRDefault="002B701A" w:rsidP="002B701A">
      <w:pPr>
        <w:pStyle w:val="JUDGMENTCONTINUED"/>
        <w:rPr>
          <w:szCs w:val="26"/>
        </w:rPr>
      </w:pPr>
    </w:p>
    <w:p w14:paraId="03619299" w14:textId="7039192D" w:rsidR="002B701A" w:rsidRPr="000F546C" w:rsidRDefault="00811729" w:rsidP="00811729">
      <w:pPr>
        <w:pStyle w:val="JUDGMENTNUMBERED"/>
        <w:numPr>
          <w:ilvl w:val="0"/>
          <w:numId w:val="0"/>
        </w:numPr>
        <w:rPr>
          <w:szCs w:val="26"/>
        </w:rPr>
      </w:pPr>
      <w:r w:rsidRPr="000F546C">
        <w:rPr>
          <w:color w:val="000000"/>
          <w:szCs w:val="26"/>
        </w:rPr>
        <w:t>[163]</w:t>
      </w:r>
      <w:r w:rsidRPr="000F546C">
        <w:rPr>
          <w:color w:val="000000"/>
          <w:szCs w:val="26"/>
        </w:rPr>
        <w:tab/>
      </w:r>
      <w:r w:rsidR="002B701A" w:rsidRPr="000F546C">
        <w:rPr>
          <w:szCs w:val="26"/>
        </w:rPr>
        <w:t>Mr Mort says that his investigation of the sample of audited funds show</w:t>
      </w:r>
      <w:r w:rsidR="002B701A">
        <w:rPr>
          <w:szCs w:val="26"/>
        </w:rPr>
        <w:t>ed</w:t>
      </w:r>
      <w:r w:rsidR="002B701A" w:rsidRPr="000F546C">
        <w:rPr>
          <w:szCs w:val="26"/>
        </w:rPr>
        <w:t xml:space="preserve"> that, in the main, those certifications were correctly given. </w:t>
      </w:r>
      <w:r w:rsidR="002B701A">
        <w:rPr>
          <w:szCs w:val="26"/>
        </w:rPr>
        <w:t xml:space="preserve"> </w:t>
      </w:r>
      <w:r w:rsidR="002B701A" w:rsidRPr="000F546C">
        <w:rPr>
          <w:szCs w:val="26"/>
        </w:rPr>
        <w:t>The number of funds that should not have been deregistered constituted a small</w:t>
      </w:r>
      <w:r w:rsidR="002B701A" w:rsidRPr="003029D5">
        <w:rPr>
          <w:szCs w:val="26"/>
        </w:rPr>
        <w:t xml:space="preserve"> percentage of the </w:t>
      </w:r>
      <w:r w:rsidR="002B701A">
        <w:rPr>
          <w:szCs w:val="26"/>
        </w:rPr>
        <w:t>total deregistered</w:t>
      </w:r>
      <w:r w:rsidR="002B701A" w:rsidRPr="003029D5">
        <w:rPr>
          <w:szCs w:val="26"/>
        </w:rPr>
        <w:t xml:space="preserve">. </w:t>
      </w:r>
      <w:r w:rsidR="002B701A">
        <w:rPr>
          <w:szCs w:val="26"/>
        </w:rPr>
        <w:t xml:space="preserve"> </w:t>
      </w:r>
      <w:r w:rsidR="002B701A" w:rsidRPr="003029D5">
        <w:rPr>
          <w:szCs w:val="26"/>
        </w:rPr>
        <w:t xml:space="preserve">This occurred because of errors by administrators incorrectly certifying that there were no assets and liabilities. </w:t>
      </w:r>
      <w:r w:rsidR="002B701A">
        <w:rPr>
          <w:szCs w:val="26"/>
        </w:rPr>
        <w:t xml:space="preserve"> </w:t>
      </w:r>
      <w:r w:rsidR="002B701A" w:rsidRPr="003029D5">
        <w:rPr>
          <w:szCs w:val="26"/>
        </w:rPr>
        <w:t xml:space="preserve">When detected, the </w:t>
      </w:r>
      <w:r w:rsidR="005460DB">
        <w:rPr>
          <w:szCs w:val="26"/>
        </w:rPr>
        <w:t>r</w:t>
      </w:r>
      <w:r w:rsidR="002B701A" w:rsidRPr="003029D5">
        <w:rPr>
          <w:szCs w:val="26"/>
        </w:rPr>
        <w:t>egistrar was notified, steps were taken to reinstate the funds concerned and they were therea</w:t>
      </w:r>
      <w:r w:rsidR="002B701A" w:rsidRPr="001A29E7">
        <w:rPr>
          <w:szCs w:val="26"/>
        </w:rPr>
        <w:t xml:space="preserve">fter monitored. </w:t>
      </w:r>
      <w:r w:rsidR="002B701A">
        <w:rPr>
          <w:szCs w:val="26"/>
        </w:rPr>
        <w:t xml:space="preserve"> </w:t>
      </w:r>
      <w:proofErr w:type="gramStart"/>
      <w:r w:rsidR="002B701A" w:rsidRPr="001A29E7">
        <w:rPr>
          <w:szCs w:val="26"/>
        </w:rPr>
        <w:t>However</w:t>
      </w:r>
      <w:proofErr w:type="gramEnd"/>
      <w:r w:rsidR="002B701A" w:rsidRPr="001A29E7">
        <w:rPr>
          <w:szCs w:val="26"/>
        </w:rPr>
        <w:t xml:space="preserve"> in none of the cases was there any evidence of material </w:t>
      </w:r>
      <w:r w:rsidR="002B701A" w:rsidRPr="00B30C9E">
        <w:rPr>
          <w:szCs w:val="26"/>
        </w:rPr>
        <w:t xml:space="preserve">financial prejudice. </w:t>
      </w:r>
      <w:r w:rsidR="002B701A">
        <w:rPr>
          <w:szCs w:val="26"/>
        </w:rPr>
        <w:t xml:space="preserve"> </w:t>
      </w:r>
      <w:r w:rsidR="002B701A" w:rsidRPr="00B30C9E">
        <w:rPr>
          <w:szCs w:val="26"/>
        </w:rPr>
        <w:t>His conclusion was that there was no need to investigate the</w:t>
      </w:r>
      <w:r w:rsidR="002B701A">
        <w:rPr>
          <w:szCs w:val="26"/>
        </w:rPr>
        <w:t xml:space="preserve"> remaining</w:t>
      </w:r>
      <w:r w:rsidR="002B701A" w:rsidRPr="00B30C9E">
        <w:rPr>
          <w:szCs w:val="26"/>
        </w:rPr>
        <w:t xml:space="preserve"> deregistered funds any further</w:t>
      </w:r>
      <w:r w:rsidR="002B701A">
        <w:rPr>
          <w:szCs w:val="26"/>
        </w:rPr>
        <w:t xml:space="preserve">. </w:t>
      </w:r>
      <w:r w:rsidR="002B701A" w:rsidRPr="00B30C9E">
        <w:rPr>
          <w:szCs w:val="26"/>
        </w:rPr>
        <w:t xml:space="preserve"> </w:t>
      </w:r>
      <w:r w:rsidR="002B701A">
        <w:rPr>
          <w:szCs w:val="26"/>
        </w:rPr>
        <w:t>He</w:t>
      </w:r>
      <w:r w:rsidR="002B701A" w:rsidRPr="00B30C9E">
        <w:rPr>
          <w:szCs w:val="26"/>
        </w:rPr>
        <w:t xml:space="preserve"> added that this decision</w:t>
      </w:r>
      <w:r w:rsidR="002B701A">
        <w:rPr>
          <w:szCs w:val="26"/>
        </w:rPr>
        <w:t xml:space="preserve"> – whether or not to continue the investigation – </w:t>
      </w:r>
      <w:r w:rsidR="002B701A" w:rsidRPr="00B30C9E">
        <w:rPr>
          <w:szCs w:val="26"/>
        </w:rPr>
        <w:t xml:space="preserve">was not his, but the </w:t>
      </w:r>
      <w:r w:rsidR="005460DB">
        <w:rPr>
          <w:szCs w:val="26"/>
        </w:rPr>
        <w:t>r</w:t>
      </w:r>
      <w:r w:rsidR="002B701A" w:rsidRPr="00B30C9E">
        <w:rPr>
          <w:szCs w:val="26"/>
        </w:rPr>
        <w:t xml:space="preserve">egistrar’s to make. </w:t>
      </w:r>
      <w:r w:rsidR="002B701A">
        <w:rPr>
          <w:szCs w:val="26"/>
        </w:rPr>
        <w:t xml:space="preserve"> </w:t>
      </w:r>
      <w:r w:rsidR="002B701A" w:rsidRPr="00B30C9E">
        <w:rPr>
          <w:szCs w:val="26"/>
        </w:rPr>
        <w:t xml:space="preserve">We were not told whether the </w:t>
      </w:r>
      <w:r w:rsidR="005460DB">
        <w:rPr>
          <w:szCs w:val="26"/>
        </w:rPr>
        <w:t>r</w:t>
      </w:r>
      <w:r w:rsidR="002B701A" w:rsidRPr="00B30C9E">
        <w:rPr>
          <w:szCs w:val="26"/>
        </w:rPr>
        <w:t>egistrar has made any decision in this regard, a point to which I shall revert.</w:t>
      </w:r>
    </w:p>
    <w:p w14:paraId="5141AE5B" w14:textId="77777777" w:rsidR="002B701A" w:rsidRPr="000F546C" w:rsidRDefault="002B701A" w:rsidP="002B701A">
      <w:pPr>
        <w:pStyle w:val="JUDGMENTCONTINUED"/>
        <w:rPr>
          <w:szCs w:val="26"/>
        </w:rPr>
      </w:pPr>
    </w:p>
    <w:p w14:paraId="5FCAAA6E" w14:textId="5B8DF692" w:rsidR="002B701A" w:rsidRDefault="00811729" w:rsidP="00811729">
      <w:pPr>
        <w:pStyle w:val="JUDGMENTNUMBERED"/>
        <w:numPr>
          <w:ilvl w:val="0"/>
          <w:numId w:val="0"/>
        </w:numPr>
        <w:rPr>
          <w:szCs w:val="26"/>
        </w:rPr>
      </w:pPr>
      <w:r>
        <w:rPr>
          <w:color w:val="000000"/>
          <w:szCs w:val="26"/>
        </w:rPr>
        <w:t>[164]</w:t>
      </w:r>
      <w:r>
        <w:rPr>
          <w:color w:val="000000"/>
          <w:szCs w:val="26"/>
        </w:rPr>
        <w:tab/>
      </w:r>
      <w:r w:rsidR="002B701A" w:rsidRPr="000F546C">
        <w:rPr>
          <w:szCs w:val="26"/>
        </w:rPr>
        <w:t xml:space="preserve">It must be emphasised that evidence regarding developments after the </w:t>
      </w:r>
      <w:r w:rsidR="002B701A">
        <w:rPr>
          <w:szCs w:val="26"/>
        </w:rPr>
        <w:t>H</w:t>
      </w:r>
      <w:r w:rsidR="002B701A" w:rsidRPr="003029D5">
        <w:rPr>
          <w:szCs w:val="26"/>
        </w:rPr>
        <w:t>igh</w:t>
      </w:r>
      <w:r w:rsidR="002B701A">
        <w:rPr>
          <w:szCs w:val="26"/>
        </w:rPr>
        <w:t> C</w:t>
      </w:r>
      <w:r w:rsidR="002B701A" w:rsidRPr="0010707D">
        <w:rPr>
          <w:szCs w:val="26"/>
        </w:rPr>
        <w:t>ourt judgment is inadmissible for the purposes of determining the merits of the new dispute</w:t>
      </w:r>
      <w:r w:rsidR="002B701A">
        <w:rPr>
          <w:szCs w:val="26"/>
        </w:rPr>
        <w:t>,</w:t>
      </w:r>
      <w:r w:rsidR="002B701A" w:rsidRPr="0010707D">
        <w:rPr>
          <w:szCs w:val="26"/>
        </w:rPr>
        <w:t xml:space="preserve"> </w:t>
      </w:r>
      <w:r w:rsidR="002B701A">
        <w:rPr>
          <w:szCs w:val="26"/>
        </w:rPr>
        <w:t>in other words,</w:t>
      </w:r>
      <w:r w:rsidR="002B701A" w:rsidRPr="0010707D">
        <w:rPr>
          <w:szCs w:val="26"/>
        </w:rPr>
        <w:t xml:space="preserve"> whether there was a duty to investigate the cancellations</w:t>
      </w:r>
      <w:r w:rsidR="002B701A">
        <w:rPr>
          <w:szCs w:val="26"/>
        </w:rPr>
        <w:t> </w:t>
      </w:r>
      <w:r w:rsidR="002B701A" w:rsidRPr="0010707D">
        <w:rPr>
          <w:szCs w:val="26"/>
        </w:rPr>
        <w:t xml:space="preserve">project. </w:t>
      </w:r>
      <w:r w:rsidR="002B701A">
        <w:rPr>
          <w:szCs w:val="26"/>
        </w:rPr>
        <w:t xml:space="preserve"> </w:t>
      </w:r>
      <w:r w:rsidR="002B701A" w:rsidRPr="0010707D">
        <w:rPr>
          <w:szCs w:val="26"/>
        </w:rPr>
        <w:t xml:space="preserve">The reports were given to the </w:t>
      </w:r>
      <w:r w:rsidR="005460DB">
        <w:rPr>
          <w:szCs w:val="26"/>
        </w:rPr>
        <w:t>r</w:t>
      </w:r>
      <w:r w:rsidR="002B701A" w:rsidRPr="0010707D">
        <w:rPr>
          <w:szCs w:val="26"/>
        </w:rPr>
        <w:t xml:space="preserve">egistrar and placed before this </w:t>
      </w:r>
      <w:r w:rsidR="002B701A">
        <w:rPr>
          <w:szCs w:val="26"/>
        </w:rPr>
        <w:t>C</w:t>
      </w:r>
      <w:r w:rsidR="002B701A" w:rsidRPr="0010707D">
        <w:rPr>
          <w:szCs w:val="26"/>
        </w:rPr>
        <w:t>ourt to update it on the investigation and to assist it in the assessment of the rem</w:t>
      </w:r>
      <w:r w:rsidR="002B701A" w:rsidRPr="001A29E7">
        <w:rPr>
          <w:szCs w:val="26"/>
        </w:rPr>
        <w:t>edies Ms Hunter</w:t>
      </w:r>
      <w:r w:rsidR="002B701A">
        <w:rPr>
          <w:szCs w:val="26"/>
        </w:rPr>
        <w:t xml:space="preserve"> now</w:t>
      </w:r>
      <w:r w:rsidR="002B701A" w:rsidRPr="001A29E7">
        <w:rPr>
          <w:szCs w:val="26"/>
        </w:rPr>
        <w:t xml:space="preserve"> seeks</w:t>
      </w:r>
      <w:r w:rsidR="002B701A">
        <w:rPr>
          <w:szCs w:val="26"/>
        </w:rPr>
        <w:t>,</w:t>
      </w:r>
      <w:r w:rsidR="002B701A" w:rsidRPr="001A29E7">
        <w:rPr>
          <w:szCs w:val="26"/>
        </w:rPr>
        <w:t xml:space="preserve"> </w:t>
      </w:r>
      <w:r w:rsidR="002B701A">
        <w:rPr>
          <w:szCs w:val="26"/>
        </w:rPr>
        <w:t>i</w:t>
      </w:r>
      <w:r w:rsidR="002B701A" w:rsidRPr="001A29E7">
        <w:rPr>
          <w:szCs w:val="26"/>
        </w:rPr>
        <w:t>n particular</w:t>
      </w:r>
      <w:r w:rsidR="002B701A">
        <w:rPr>
          <w:szCs w:val="26"/>
        </w:rPr>
        <w:t>,</w:t>
      </w:r>
      <w:r w:rsidR="002B701A" w:rsidRPr="001A29E7">
        <w:rPr>
          <w:szCs w:val="26"/>
        </w:rPr>
        <w:t xml:space="preserve"> whether the </w:t>
      </w:r>
      <w:r w:rsidR="002B701A">
        <w:rPr>
          <w:szCs w:val="26"/>
        </w:rPr>
        <w:t>FSCA</w:t>
      </w:r>
      <w:r w:rsidR="002B701A" w:rsidRPr="001A29E7">
        <w:rPr>
          <w:szCs w:val="26"/>
        </w:rPr>
        <w:t xml:space="preserve"> should be ordered to terminate Mr Mort’s investigation and replace it with another. </w:t>
      </w:r>
      <w:r w:rsidR="002B701A">
        <w:rPr>
          <w:szCs w:val="26"/>
        </w:rPr>
        <w:t xml:space="preserve"> </w:t>
      </w:r>
      <w:r w:rsidR="002B701A" w:rsidRPr="001A29E7">
        <w:rPr>
          <w:szCs w:val="26"/>
        </w:rPr>
        <w:t xml:space="preserve">They </w:t>
      </w:r>
      <w:r w:rsidR="002B701A">
        <w:rPr>
          <w:szCs w:val="26"/>
        </w:rPr>
        <w:t xml:space="preserve">may be admitted </w:t>
      </w:r>
      <w:r w:rsidR="002B701A" w:rsidRPr="001A29E7">
        <w:rPr>
          <w:szCs w:val="26"/>
        </w:rPr>
        <w:t>only for this limited purpose.</w:t>
      </w:r>
    </w:p>
    <w:p w14:paraId="7CF921D6" w14:textId="77777777" w:rsidR="002B701A" w:rsidRPr="004D65CD" w:rsidRDefault="002B701A" w:rsidP="002B701A">
      <w:pPr>
        <w:pStyle w:val="JUDGMENTCONTINUED"/>
      </w:pPr>
    </w:p>
    <w:p w14:paraId="7C9413D0" w14:textId="77777777" w:rsidR="002B701A" w:rsidRPr="00B30C9E" w:rsidRDefault="002B701A" w:rsidP="002B701A">
      <w:pPr>
        <w:pStyle w:val="HEADING"/>
        <w:rPr>
          <w:szCs w:val="26"/>
        </w:rPr>
      </w:pPr>
      <w:r w:rsidRPr="00B30C9E">
        <w:rPr>
          <w:szCs w:val="26"/>
        </w:rPr>
        <w:t xml:space="preserve">In this </w:t>
      </w:r>
      <w:r>
        <w:rPr>
          <w:szCs w:val="26"/>
        </w:rPr>
        <w:t>C</w:t>
      </w:r>
      <w:r w:rsidRPr="00B30C9E">
        <w:rPr>
          <w:szCs w:val="26"/>
        </w:rPr>
        <w:t>ourt</w:t>
      </w:r>
    </w:p>
    <w:p w14:paraId="57C9032E" w14:textId="183C4774" w:rsidR="002B701A" w:rsidRPr="00B30C9E" w:rsidRDefault="00811729" w:rsidP="00811729">
      <w:pPr>
        <w:pStyle w:val="JUDGMENTNUMBERED"/>
        <w:numPr>
          <w:ilvl w:val="0"/>
          <w:numId w:val="0"/>
        </w:numPr>
        <w:rPr>
          <w:szCs w:val="26"/>
        </w:rPr>
      </w:pPr>
      <w:r w:rsidRPr="00B30C9E">
        <w:rPr>
          <w:color w:val="000000"/>
          <w:szCs w:val="26"/>
        </w:rPr>
        <w:t>[165]</w:t>
      </w:r>
      <w:r w:rsidRPr="00B30C9E">
        <w:rPr>
          <w:color w:val="000000"/>
          <w:szCs w:val="26"/>
        </w:rPr>
        <w:tab/>
      </w:r>
      <w:r w:rsidR="002B701A" w:rsidRPr="000F546C">
        <w:rPr>
          <w:szCs w:val="26"/>
        </w:rPr>
        <w:t>In her founding affidavit in this Court</w:t>
      </w:r>
      <w:r w:rsidR="002B701A">
        <w:rPr>
          <w:szCs w:val="26"/>
        </w:rPr>
        <w:t>,</w:t>
      </w:r>
      <w:r w:rsidR="002B701A" w:rsidRPr="000F546C">
        <w:rPr>
          <w:szCs w:val="26"/>
        </w:rPr>
        <w:t xml:space="preserve"> Ms Hunter goes much further than merely dismissing Mr Mort’s investigation and implicitly impugning his professional integrity, as she </w:t>
      </w:r>
      <w:r w:rsidR="002B701A">
        <w:rPr>
          <w:szCs w:val="26"/>
        </w:rPr>
        <w:t>did</w:t>
      </w:r>
      <w:r w:rsidR="002B701A" w:rsidRPr="000F546C">
        <w:rPr>
          <w:szCs w:val="26"/>
        </w:rPr>
        <w:t xml:space="preserve"> in her replying affidavit in the </w:t>
      </w:r>
      <w:r w:rsidR="002B701A">
        <w:rPr>
          <w:szCs w:val="26"/>
        </w:rPr>
        <w:t>H</w:t>
      </w:r>
      <w:r w:rsidR="002B701A" w:rsidRPr="000F546C">
        <w:rPr>
          <w:szCs w:val="26"/>
        </w:rPr>
        <w:t xml:space="preserve">igh </w:t>
      </w:r>
      <w:r w:rsidR="002B701A">
        <w:rPr>
          <w:szCs w:val="26"/>
        </w:rPr>
        <w:t>C</w:t>
      </w:r>
      <w:r w:rsidR="002B701A" w:rsidRPr="000F546C">
        <w:rPr>
          <w:szCs w:val="26"/>
        </w:rPr>
        <w:t xml:space="preserve">ourt. </w:t>
      </w:r>
      <w:r w:rsidR="002B701A">
        <w:rPr>
          <w:szCs w:val="26"/>
        </w:rPr>
        <w:t xml:space="preserve"> </w:t>
      </w:r>
      <w:r w:rsidR="002B701A" w:rsidRPr="000F546C">
        <w:rPr>
          <w:szCs w:val="26"/>
        </w:rPr>
        <w:t xml:space="preserve">She now accuses him </w:t>
      </w:r>
      <w:r w:rsidR="002B701A">
        <w:rPr>
          <w:szCs w:val="26"/>
        </w:rPr>
        <w:t xml:space="preserve">explicitly </w:t>
      </w:r>
      <w:r w:rsidR="002B701A" w:rsidRPr="000F546C">
        <w:rPr>
          <w:szCs w:val="26"/>
        </w:rPr>
        <w:t xml:space="preserve">of having conspired with the </w:t>
      </w:r>
      <w:r w:rsidR="002B701A">
        <w:rPr>
          <w:szCs w:val="26"/>
        </w:rPr>
        <w:t>FSCA</w:t>
      </w:r>
      <w:r w:rsidR="002B701A" w:rsidRPr="000F546C">
        <w:rPr>
          <w:szCs w:val="26"/>
        </w:rPr>
        <w:t xml:space="preserve"> to </w:t>
      </w:r>
      <w:r w:rsidR="002B701A">
        <w:rPr>
          <w:szCs w:val="26"/>
        </w:rPr>
        <w:t>“</w:t>
      </w:r>
      <w:r w:rsidR="002B701A" w:rsidRPr="003029D5">
        <w:rPr>
          <w:szCs w:val="26"/>
        </w:rPr>
        <w:t>bury</w:t>
      </w:r>
      <w:r w:rsidR="002B701A">
        <w:rPr>
          <w:szCs w:val="26"/>
        </w:rPr>
        <w:t>”</w:t>
      </w:r>
      <w:r w:rsidR="00A60B13">
        <w:rPr>
          <w:szCs w:val="26"/>
        </w:rPr>
        <w:t xml:space="preserve"> her allegations and</w:t>
      </w:r>
      <w:r w:rsidR="002B701A" w:rsidRPr="003029D5">
        <w:rPr>
          <w:szCs w:val="26"/>
        </w:rPr>
        <w:t xml:space="preserve"> KPMG’s findings of likely prejudice</w:t>
      </w:r>
      <w:r w:rsidR="00A60B13">
        <w:rPr>
          <w:szCs w:val="26"/>
        </w:rPr>
        <w:t>,</w:t>
      </w:r>
      <w:r w:rsidR="002B701A" w:rsidRPr="003029D5">
        <w:rPr>
          <w:szCs w:val="26"/>
        </w:rPr>
        <w:t xml:space="preserve"> and to obscure the </w:t>
      </w:r>
      <w:r w:rsidR="002B701A">
        <w:rPr>
          <w:szCs w:val="26"/>
        </w:rPr>
        <w:t>FSCA</w:t>
      </w:r>
      <w:r w:rsidR="002B701A" w:rsidRPr="003029D5">
        <w:rPr>
          <w:szCs w:val="26"/>
        </w:rPr>
        <w:t xml:space="preserve">’s failure to conduct a proper investigation. </w:t>
      </w:r>
      <w:r w:rsidR="002B701A">
        <w:rPr>
          <w:szCs w:val="26"/>
        </w:rPr>
        <w:t xml:space="preserve"> </w:t>
      </w:r>
      <w:r w:rsidR="00A60B13">
        <w:rPr>
          <w:szCs w:val="26"/>
        </w:rPr>
        <w:lastRenderedPageBreak/>
        <w:t>Mr Mort</w:t>
      </w:r>
      <w:r w:rsidR="002B701A" w:rsidRPr="003029D5">
        <w:rPr>
          <w:szCs w:val="26"/>
        </w:rPr>
        <w:t xml:space="preserve"> is also accused of bias in favour of the </w:t>
      </w:r>
      <w:r w:rsidR="002B701A">
        <w:rPr>
          <w:szCs w:val="26"/>
        </w:rPr>
        <w:t>FSCA</w:t>
      </w:r>
      <w:r w:rsidR="002B701A" w:rsidRPr="003029D5">
        <w:rPr>
          <w:szCs w:val="26"/>
        </w:rPr>
        <w:t xml:space="preserve">. </w:t>
      </w:r>
      <w:r w:rsidR="002B701A">
        <w:rPr>
          <w:szCs w:val="26"/>
        </w:rPr>
        <w:t xml:space="preserve"> </w:t>
      </w:r>
      <w:r w:rsidR="002B701A" w:rsidRPr="003029D5">
        <w:rPr>
          <w:szCs w:val="26"/>
        </w:rPr>
        <w:t xml:space="preserve">These allegations are groundless and scandalous. </w:t>
      </w:r>
      <w:r w:rsidR="002B701A">
        <w:rPr>
          <w:szCs w:val="26"/>
        </w:rPr>
        <w:t xml:space="preserve"> </w:t>
      </w:r>
      <w:r w:rsidR="002B701A" w:rsidRPr="003029D5">
        <w:rPr>
          <w:szCs w:val="26"/>
        </w:rPr>
        <w:t xml:space="preserve">But apart from this, Ms </w:t>
      </w:r>
      <w:r w:rsidR="002B701A" w:rsidRPr="001A29E7">
        <w:rPr>
          <w:szCs w:val="26"/>
        </w:rPr>
        <w:t xml:space="preserve">Hunter made no case to set aside the </w:t>
      </w:r>
      <w:r w:rsidR="002B701A">
        <w:rPr>
          <w:szCs w:val="26"/>
        </w:rPr>
        <w:t>FSCA</w:t>
      </w:r>
      <w:r w:rsidR="002B701A" w:rsidRPr="001A29E7">
        <w:rPr>
          <w:szCs w:val="26"/>
        </w:rPr>
        <w:t>’s decision to appoint Mr Mort and M</w:t>
      </w:r>
      <w:r w:rsidR="002B701A" w:rsidRPr="00B30C9E">
        <w:rPr>
          <w:szCs w:val="26"/>
        </w:rPr>
        <w:t xml:space="preserve">r Andrew on the ground that it was made for an ulterior purpose. </w:t>
      </w:r>
      <w:r w:rsidR="002B701A">
        <w:rPr>
          <w:szCs w:val="26"/>
        </w:rPr>
        <w:t xml:space="preserve"> </w:t>
      </w:r>
      <w:r w:rsidR="002B701A" w:rsidRPr="00B30C9E">
        <w:rPr>
          <w:szCs w:val="26"/>
        </w:rPr>
        <w:t xml:space="preserve">During the hearing in this </w:t>
      </w:r>
      <w:r w:rsidR="002B701A">
        <w:rPr>
          <w:szCs w:val="26"/>
        </w:rPr>
        <w:t>C</w:t>
      </w:r>
      <w:r w:rsidR="002B701A" w:rsidRPr="00B30C9E">
        <w:rPr>
          <w:szCs w:val="26"/>
        </w:rPr>
        <w:t>ourt</w:t>
      </w:r>
      <w:r w:rsidR="002B701A">
        <w:rPr>
          <w:szCs w:val="26"/>
        </w:rPr>
        <w:t>,</w:t>
      </w:r>
      <w:r w:rsidR="002B701A" w:rsidRPr="00B30C9E">
        <w:rPr>
          <w:szCs w:val="26"/>
        </w:rPr>
        <w:t xml:space="preserve"> counsel wisely did not persist with this line.</w:t>
      </w:r>
    </w:p>
    <w:p w14:paraId="558BD5D9" w14:textId="77777777" w:rsidR="002B701A" w:rsidRPr="000F546C" w:rsidRDefault="002B701A" w:rsidP="002B701A">
      <w:pPr>
        <w:pStyle w:val="JUDGMENTCONTINUED"/>
        <w:rPr>
          <w:szCs w:val="26"/>
        </w:rPr>
      </w:pPr>
    </w:p>
    <w:p w14:paraId="7097D360" w14:textId="61FBE991" w:rsidR="002B701A" w:rsidRPr="00B30C9E" w:rsidRDefault="00811729" w:rsidP="00811729">
      <w:pPr>
        <w:pStyle w:val="JUDGMENTNUMBERED"/>
        <w:numPr>
          <w:ilvl w:val="0"/>
          <w:numId w:val="0"/>
        </w:numPr>
        <w:rPr>
          <w:szCs w:val="26"/>
        </w:rPr>
      </w:pPr>
      <w:r w:rsidRPr="00B30C9E">
        <w:rPr>
          <w:color w:val="000000"/>
          <w:szCs w:val="26"/>
        </w:rPr>
        <w:t>[166]</w:t>
      </w:r>
      <w:r w:rsidRPr="00B30C9E">
        <w:rPr>
          <w:color w:val="000000"/>
          <w:szCs w:val="26"/>
        </w:rPr>
        <w:tab/>
      </w:r>
      <w:r w:rsidR="002B701A">
        <w:rPr>
          <w:szCs w:val="26"/>
        </w:rPr>
        <w:t>Ms Hunter</w:t>
      </w:r>
      <w:r w:rsidR="002B701A" w:rsidRPr="000F546C">
        <w:rPr>
          <w:szCs w:val="26"/>
        </w:rPr>
        <w:t xml:space="preserve"> also attacks Mr Mort’s investigation on another ground: that it did not meet </w:t>
      </w:r>
      <w:r w:rsidR="002B701A">
        <w:rPr>
          <w:szCs w:val="26"/>
        </w:rPr>
        <w:t>“</w:t>
      </w:r>
      <w:r w:rsidR="002B701A" w:rsidRPr="00640F70">
        <w:t>the r</w:t>
      </w:r>
      <w:r w:rsidR="002B701A" w:rsidRPr="005B38CA">
        <w:t xml:space="preserve">equirements required by law, recommended by Justice </w:t>
      </w:r>
      <w:proofErr w:type="spellStart"/>
      <w:r w:rsidR="002B701A" w:rsidRPr="005B38CA">
        <w:t>O’</w:t>
      </w:r>
      <w:r w:rsidR="00003B57">
        <w:t>Regan</w:t>
      </w:r>
      <w:proofErr w:type="spellEnd"/>
      <w:r w:rsidR="00003B57">
        <w:t xml:space="preserve"> and accepted by the </w:t>
      </w:r>
      <w:r w:rsidR="00476349">
        <w:t xml:space="preserve">board of the </w:t>
      </w:r>
      <w:r w:rsidR="002B701A">
        <w:t>FSCA</w:t>
      </w:r>
      <w:r w:rsidR="002B701A">
        <w:rPr>
          <w:szCs w:val="26"/>
        </w:rPr>
        <w:t>”</w:t>
      </w:r>
      <w:r w:rsidR="002B701A" w:rsidRPr="003029D5">
        <w:rPr>
          <w:szCs w:val="26"/>
        </w:rPr>
        <w:t>.</w:t>
      </w:r>
      <w:r w:rsidR="002B701A">
        <w:rPr>
          <w:szCs w:val="26"/>
        </w:rPr>
        <w:t xml:space="preserve">  </w:t>
      </w:r>
      <w:r w:rsidR="002B701A" w:rsidRPr="003029D5">
        <w:rPr>
          <w:szCs w:val="26"/>
        </w:rPr>
        <w:t xml:space="preserve">But again, this is incorrect. </w:t>
      </w:r>
      <w:r w:rsidR="002B701A">
        <w:rPr>
          <w:szCs w:val="26"/>
        </w:rPr>
        <w:t xml:space="preserve"> </w:t>
      </w:r>
      <w:r w:rsidR="002B701A" w:rsidRPr="003029D5">
        <w:rPr>
          <w:szCs w:val="26"/>
        </w:rPr>
        <w:t>Section</w:t>
      </w:r>
      <w:r w:rsidR="002B701A">
        <w:rPr>
          <w:szCs w:val="26"/>
        </w:rPr>
        <w:t> </w:t>
      </w:r>
      <w:r w:rsidR="002B701A" w:rsidRPr="003029D5">
        <w:rPr>
          <w:szCs w:val="26"/>
        </w:rPr>
        <w:t xml:space="preserve">27(1) only requires the </w:t>
      </w:r>
      <w:r w:rsidR="005460DB">
        <w:rPr>
          <w:szCs w:val="26"/>
        </w:rPr>
        <w:t>r</w:t>
      </w:r>
      <w:r w:rsidR="002B701A" w:rsidRPr="003029D5">
        <w:rPr>
          <w:szCs w:val="26"/>
        </w:rPr>
        <w:t xml:space="preserve">egistrar to have </w:t>
      </w:r>
      <w:r w:rsidR="002B701A">
        <w:rPr>
          <w:szCs w:val="26"/>
        </w:rPr>
        <w:t>“</w:t>
      </w:r>
      <w:r w:rsidR="002B701A" w:rsidRPr="003029D5">
        <w:rPr>
          <w:szCs w:val="26"/>
        </w:rPr>
        <w:t>proof to his satisfaction that the fund had ceased to exist</w:t>
      </w:r>
      <w:r w:rsidR="002B701A">
        <w:rPr>
          <w:szCs w:val="26"/>
        </w:rPr>
        <w:t>”</w:t>
      </w:r>
      <w:r w:rsidR="002B701A" w:rsidRPr="003029D5">
        <w:rPr>
          <w:szCs w:val="26"/>
        </w:rPr>
        <w:t xml:space="preserve"> before he cancels the registration.</w:t>
      </w:r>
      <w:r w:rsidR="002B701A">
        <w:rPr>
          <w:szCs w:val="26"/>
        </w:rPr>
        <w:t xml:space="preserve"> </w:t>
      </w:r>
      <w:r w:rsidR="002B701A" w:rsidRPr="003029D5">
        <w:rPr>
          <w:szCs w:val="26"/>
        </w:rPr>
        <w:t xml:space="preserve"> There is no further legal requirement that he is obliged to investigate material financial prejudice. </w:t>
      </w:r>
      <w:r w:rsidR="002B701A">
        <w:rPr>
          <w:szCs w:val="26"/>
        </w:rPr>
        <w:t xml:space="preserve"> </w:t>
      </w:r>
      <w:r w:rsidR="002B701A" w:rsidRPr="003029D5">
        <w:rPr>
          <w:szCs w:val="26"/>
        </w:rPr>
        <w:t xml:space="preserve">The </w:t>
      </w:r>
      <w:r w:rsidR="002B701A">
        <w:rPr>
          <w:szCs w:val="26"/>
        </w:rPr>
        <w:t>FSCA</w:t>
      </w:r>
      <w:r w:rsidR="002B701A" w:rsidRPr="003029D5">
        <w:rPr>
          <w:szCs w:val="26"/>
        </w:rPr>
        <w:t xml:space="preserve"> sensibly accepted Justice </w:t>
      </w:r>
      <w:proofErr w:type="spellStart"/>
      <w:r w:rsidR="002B701A" w:rsidRPr="003029D5">
        <w:rPr>
          <w:szCs w:val="26"/>
        </w:rPr>
        <w:t>O’Regan’s</w:t>
      </w:r>
      <w:proofErr w:type="spellEnd"/>
      <w:r w:rsidR="002B701A" w:rsidRPr="003029D5">
        <w:rPr>
          <w:szCs w:val="26"/>
        </w:rPr>
        <w:t xml:space="preserve"> </w:t>
      </w:r>
      <w:r w:rsidR="002B701A" w:rsidRPr="001A29E7">
        <w:rPr>
          <w:szCs w:val="26"/>
        </w:rPr>
        <w:t>recommendation to investigate this issue.</w:t>
      </w:r>
      <w:r w:rsidR="002B701A">
        <w:rPr>
          <w:szCs w:val="26"/>
        </w:rPr>
        <w:t xml:space="preserve"> </w:t>
      </w:r>
      <w:r w:rsidR="002B701A" w:rsidRPr="001A29E7">
        <w:rPr>
          <w:szCs w:val="26"/>
        </w:rPr>
        <w:t xml:space="preserve"> </w:t>
      </w:r>
      <w:r w:rsidR="002B701A">
        <w:rPr>
          <w:szCs w:val="26"/>
        </w:rPr>
        <w:t xml:space="preserve">Whether it was legally obliged to do so need not be decided.  But, </w:t>
      </w:r>
      <w:r w:rsidR="002B701A" w:rsidRPr="00B30C9E">
        <w:rPr>
          <w:szCs w:val="26"/>
        </w:rPr>
        <w:t>having accepted the recommendation</w:t>
      </w:r>
      <w:r w:rsidR="002B701A">
        <w:rPr>
          <w:szCs w:val="26"/>
        </w:rPr>
        <w:t>,</w:t>
      </w:r>
      <w:r w:rsidR="002B701A" w:rsidRPr="00B30C9E">
        <w:rPr>
          <w:szCs w:val="26"/>
        </w:rPr>
        <w:t xml:space="preserve"> </w:t>
      </w:r>
      <w:r w:rsidR="002B701A">
        <w:rPr>
          <w:szCs w:val="26"/>
        </w:rPr>
        <w:t xml:space="preserve">how to implement it </w:t>
      </w:r>
      <w:r w:rsidR="002B701A" w:rsidRPr="00B30C9E">
        <w:rPr>
          <w:szCs w:val="26"/>
        </w:rPr>
        <w:t xml:space="preserve">was solely within its power. </w:t>
      </w:r>
      <w:r w:rsidR="002B701A">
        <w:rPr>
          <w:szCs w:val="26"/>
        </w:rPr>
        <w:t xml:space="preserve"> </w:t>
      </w:r>
      <w:r w:rsidR="002B701A" w:rsidRPr="00B30C9E">
        <w:rPr>
          <w:szCs w:val="26"/>
        </w:rPr>
        <w:t xml:space="preserve">It appointed Mr Mort and Mr Andrew to conduct the investigation. </w:t>
      </w:r>
      <w:r w:rsidR="002B701A">
        <w:rPr>
          <w:szCs w:val="26"/>
        </w:rPr>
        <w:t xml:space="preserve"> </w:t>
      </w:r>
      <w:r w:rsidR="002B701A" w:rsidRPr="00B30C9E">
        <w:rPr>
          <w:szCs w:val="26"/>
        </w:rPr>
        <w:t>That decision stands unless and until set aside by a court</w:t>
      </w:r>
      <w:r w:rsidR="002B701A">
        <w:rPr>
          <w:szCs w:val="26"/>
        </w:rPr>
        <w:t>.</w:t>
      </w:r>
    </w:p>
    <w:p w14:paraId="0B94F926" w14:textId="77777777" w:rsidR="002B701A" w:rsidRPr="000F546C" w:rsidRDefault="002B701A" w:rsidP="002B701A">
      <w:pPr>
        <w:pStyle w:val="JUDGMENTCONTINUED"/>
        <w:rPr>
          <w:szCs w:val="26"/>
        </w:rPr>
      </w:pPr>
    </w:p>
    <w:p w14:paraId="6D26D03D" w14:textId="692C4264" w:rsidR="002B701A" w:rsidRPr="003029D5" w:rsidRDefault="00811729" w:rsidP="00811729">
      <w:pPr>
        <w:pStyle w:val="JUDGMENTNUMBERED"/>
        <w:numPr>
          <w:ilvl w:val="0"/>
          <w:numId w:val="0"/>
        </w:numPr>
        <w:rPr>
          <w:szCs w:val="26"/>
        </w:rPr>
      </w:pPr>
      <w:r w:rsidRPr="003029D5">
        <w:rPr>
          <w:color w:val="000000"/>
          <w:szCs w:val="26"/>
        </w:rPr>
        <w:t>[167]</w:t>
      </w:r>
      <w:r w:rsidRPr="003029D5">
        <w:rPr>
          <w:color w:val="000000"/>
          <w:szCs w:val="26"/>
        </w:rPr>
        <w:tab/>
      </w:r>
      <w:r w:rsidR="002B701A" w:rsidRPr="000F546C">
        <w:rPr>
          <w:szCs w:val="26"/>
        </w:rPr>
        <w:t xml:space="preserve">The case made in this </w:t>
      </w:r>
      <w:r w:rsidR="002B701A">
        <w:rPr>
          <w:szCs w:val="26"/>
        </w:rPr>
        <w:t>C</w:t>
      </w:r>
      <w:r w:rsidR="002B701A" w:rsidRPr="000F546C">
        <w:rPr>
          <w:szCs w:val="26"/>
        </w:rPr>
        <w:t xml:space="preserve">ourt for the first time, and on which the entire appeal regarding the cancellations project rests, is that the </w:t>
      </w:r>
      <w:r w:rsidR="002B701A">
        <w:rPr>
          <w:szCs w:val="26"/>
        </w:rPr>
        <w:t>FSCA</w:t>
      </w:r>
      <w:r w:rsidR="002B701A" w:rsidRPr="000F546C">
        <w:rPr>
          <w:szCs w:val="26"/>
        </w:rPr>
        <w:t xml:space="preserve"> had a duty to investigate </w:t>
      </w:r>
      <w:r w:rsidR="002B701A" w:rsidRPr="003029D5">
        <w:rPr>
          <w:szCs w:val="26"/>
        </w:rPr>
        <w:t xml:space="preserve">systemic irregularities in the cancellations project. </w:t>
      </w:r>
      <w:r w:rsidR="002B701A">
        <w:rPr>
          <w:szCs w:val="26"/>
        </w:rPr>
        <w:t xml:space="preserve"> </w:t>
      </w:r>
      <w:r w:rsidR="002B701A" w:rsidRPr="003029D5">
        <w:rPr>
          <w:szCs w:val="26"/>
        </w:rPr>
        <w:t xml:space="preserve">The foundation for </w:t>
      </w:r>
      <w:r w:rsidR="002B701A">
        <w:rPr>
          <w:szCs w:val="26"/>
        </w:rPr>
        <w:t>Ms Hunter’s</w:t>
      </w:r>
      <w:r w:rsidR="002B701A" w:rsidRPr="003029D5">
        <w:rPr>
          <w:szCs w:val="26"/>
        </w:rPr>
        <w:t xml:space="preserve"> case, as was pointed out earlier, was for the </w:t>
      </w:r>
      <w:r w:rsidR="002B701A">
        <w:rPr>
          <w:szCs w:val="26"/>
        </w:rPr>
        <w:t>FSCA</w:t>
      </w:r>
      <w:r w:rsidR="002B701A" w:rsidRPr="003029D5">
        <w:rPr>
          <w:szCs w:val="26"/>
        </w:rPr>
        <w:t xml:space="preserve"> to procure an investigation into the lawfulness of the cancellations project, not into any other systemic irregularities in it.</w:t>
      </w:r>
    </w:p>
    <w:p w14:paraId="050F9F29" w14:textId="77777777" w:rsidR="002B701A" w:rsidRPr="001A29E7" w:rsidRDefault="002B701A" w:rsidP="002B701A">
      <w:pPr>
        <w:pStyle w:val="JUDGMENTCONTINUED"/>
        <w:rPr>
          <w:szCs w:val="26"/>
        </w:rPr>
      </w:pPr>
    </w:p>
    <w:p w14:paraId="4359AA0E" w14:textId="05A36A28" w:rsidR="002B701A" w:rsidRPr="00B30C9E" w:rsidRDefault="00811729" w:rsidP="00811729">
      <w:pPr>
        <w:pStyle w:val="JUDGMENTNUMBERED"/>
        <w:numPr>
          <w:ilvl w:val="0"/>
          <w:numId w:val="0"/>
        </w:numPr>
        <w:rPr>
          <w:szCs w:val="26"/>
        </w:rPr>
      </w:pPr>
      <w:r w:rsidRPr="00B30C9E">
        <w:rPr>
          <w:color w:val="000000"/>
          <w:szCs w:val="26"/>
        </w:rPr>
        <w:t>[168]</w:t>
      </w:r>
      <w:r w:rsidRPr="00B30C9E">
        <w:rPr>
          <w:color w:val="000000"/>
          <w:szCs w:val="26"/>
        </w:rPr>
        <w:tab/>
      </w:r>
      <w:r w:rsidR="002B701A" w:rsidRPr="001A29E7">
        <w:rPr>
          <w:szCs w:val="26"/>
        </w:rPr>
        <w:t xml:space="preserve">The facts relied upon to support this new and different case are the following. </w:t>
      </w:r>
      <w:r w:rsidR="002B701A">
        <w:rPr>
          <w:szCs w:val="26"/>
        </w:rPr>
        <w:t xml:space="preserve"> </w:t>
      </w:r>
      <w:r w:rsidR="002B701A" w:rsidRPr="001A29E7">
        <w:rPr>
          <w:szCs w:val="26"/>
        </w:rPr>
        <w:t>A total of 6757 funds were cancelled over a period</w:t>
      </w:r>
      <w:r w:rsidR="002B701A">
        <w:rPr>
          <w:szCs w:val="26"/>
        </w:rPr>
        <w:t xml:space="preserve"> of approximately ten years</w:t>
      </w:r>
      <w:r w:rsidR="002B701A" w:rsidRPr="001A29E7">
        <w:rPr>
          <w:szCs w:val="26"/>
        </w:rPr>
        <w:t>.</w:t>
      </w:r>
      <w:r w:rsidR="002B701A">
        <w:rPr>
          <w:szCs w:val="26"/>
        </w:rPr>
        <w:t xml:space="preserve"> </w:t>
      </w:r>
      <w:r w:rsidR="002B701A" w:rsidRPr="001A29E7">
        <w:rPr>
          <w:szCs w:val="26"/>
        </w:rPr>
        <w:t xml:space="preserve"> Of these 4515 were the </w:t>
      </w:r>
      <w:r w:rsidR="002B701A">
        <w:rPr>
          <w:szCs w:val="26"/>
        </w:rPr>
        <w:t>“</w:t>
      </w:r>
      <w:r w:rsidR="002B701A" w:rsidRPr="001A29E7">
        <w:rPr>
          <w:szCs w:val="26"/>
        </w:rPr>
        <w:t>orphan funds</w:t>
      </w:r>
      <w:r w:rsidR="002B701A">
        <w:rPr>
          <w:szCs w:val="26"/>
        </w:rPr>
        <w:t>”</w:t>
      </w:r>
      <w:r w:rsidR="002B701A" w:rsidRPr="001A29E7">
        <w:rPr>
          <w:szCs w:val="26"/>
        </w:rPr>
        <w:t xml:space="preserve"> with which we are concerned. </w:t>
      </w:r>
      <w:r w:rsidR="002B701A">
        <w:rPr>
          <w:szCs w:val="26"/>
        </w:rPr>
        <w:t xml:space="preserve"> </w:t>
      </w:r>
      <w:r w:rsidR="002B701A" w:rsidRPr="001A29E7">
        <w:rPr>
          <w:szCs w:val="26"/>
        </w:rPr>
        <w:t xml:space="preserve">KPMG investigated a sample of 510 on Justice </w:t>
      </w:r>
      <w:proofErr w:type="spellStart"/>
      <w:r w:rsidR="002B701A" w:rsidRPr="001A29E7">
        <w:rPr>
          <w:szCs w:val="26"/>
        </w:rPr>
        <w:t>O’R</w:t>
      </w:r>
      <w:r w:rsidR="002B701A" w:rsidRPr="00B30C9E">
        <w:rPr>
          <w:szCs w:val="26"/>
        </w:rPr>
        <w:t>egan’s</w:t>
      </w:r>
      <w:proofErr w:type="spellEnd"/>
      <w:r w:rsidR="002B701A" w:rsidRPr="00B30C9E">
        <w:rPr>
          <w:szCs w:val="26"/>
        </w:rPr>
        <w:t xml:space="preserve"> recommendation. </w:t>
      </w:r>
      <w:r w:rsidR="002B701A">
        <w:rPr>
          <w:szCs w:val="26"/>
        </w:rPr>
        <w:t xml:space="preserve"> </w:t>
      </w:r>
      <w:r w:rsidR="002B701A" w:rsidRPr="00B30C9E">
        <w:rPr>
          <w:szCs w:val="26"/>
        </w:rPr>
        <w:t>Mr Mort used the same sample for his investigation.</w:t>
      </w:r>
    </w:p>
    <w:p w14:paraId="61DDC3D5" w14:textId="77777777" w:rsidR="002B701A" w:rsidRPr="000F546C" w:rsidRDefault="002B701A" w:rsidP="002B701A">
      <w:pPr>
        <w:pStyle w:val="JUDGMENTCONTINUED"/>
        <w:rPr>
          <w:szCs w:val="26"/>
        </w:rPr>
      </w:pPr>
    </w:p>
    <w:p w14:paraId="13AEC009" w14:textId="7823849D" w:rsidR="002B701A" w:rsidRPr="001A29E7" w:rsidRDefault="00811729" w:rsidP="00811729">
      <w:pPr>
        <w:pStyle w:val="JUDGMENTNUMBERED"/>
        <w:numPr>
          <w:ilvl w:val="0"/>
          <w:numId w:val="0"/>
        </w:numPr>
        <w:rPr>
          <w:szCs w:val="26"/>
        </w:rPr>
      </w:pPr>
      <w:r w:rsidRPr="001A29E7">
        <w:rPr>
          <w:color w:val="000000"/>
          <w:szCs w:val="26"/>
        </w:rPr>
        <w:lastRenderedPageBreak/>
        <w:t>[169]</w:t>
      </w:r>
      <w:r w:rsidRPr="001A29E7">
        <w:rPr>
          <w:color w:val="000000"/>
          <w:szCs w:val="26"/>
        </w:rPr>
        <w:tab/>
      </w:r>
      <w:r w:rsidR="002B701A" w:rsidRPr="000F546C">
        <w:rPr>
          <w:szCs w:val="26"/>
        </w:rPr>
        <w:t>To support this case</w:t>
      </w:r>
      <w:r w:rsidR="002B701A">
        <w:rPr>
          <w:szCs w:val="26"/>
        </w:rPr>
        <w:t xml:space="preserve">, counsel for </w:t>
      </w:r>
      <w:r w:rsidR="002B701A" w:rsidRPr="000F546C">
        <w:rPr>
          <w:szCs w:val="26"/>
        </w:rPr>
        <w:t>Ms Hunter</w:t>
      </w:r>
      <w:r w:rsidR="002B701A">
        <w:rPr>
          <w:szCs w:val="26"/>
        </w:rPr>
        <w:t xml:space="preserve"> submitted </w:t>
      </w:r>
      <w:r w:rsidR="002B701A" w:rsidRPr="000F546C">
        <w:rPr>
          <w:szCs w:val="26"/>
        </w:rPr>
        <w:t>that 139 of the cancelled funds</w:t>
      </w:r>
      <w:r w:rsidR="002B701A">
        <w:rPr>
          <w:szCs w:val="26"/>
        </w:rPr>
        <w:t xml:space="preserve"> in the sample</w:t>
      </w:r>
      <w:r w:rsidR="002B701A" w:rsidRPr="000F546C">
        <w:rPr>
          <w:szCs w:val="26"/>
        </w:rPr>
        <w:t xml:space="preserve"> had to be reinstated. </w:t>
      </w:r>
      <w:r w:rsidR="002B701A">
        <w:rPr>
          <w:szCs w:val="26"/>
        </w:rPr>
        <w:t xml:space="preserve"> </w:t>
      </w:r>
      <w:r w:rsidR="002B701A" w:rsidRPr="000F546C">
        <w:rPr>
          <w:szCs w:val="26"/>
        </w:rPr>
        <w:t>This equate</w:t>
      </w:r>
      <w:r w:rsidR="002B701A">
        <w:rPr>
          <w:szCs w:val="26"/>
        </w:rPr>
        <w:t>s</w:t>
      </w:r>
      <w:r w:rsidR="002B701A" w:rsidRPr="000F546C">
        <w:rPr>
          <w:szCs w:val="26"/>
        </w:rPr>
        <w:t xml:space="preserve"> to 27</w:t>
      </w:r>
      <w:r w:rsidR="002B701A">
        <w:rPr>
          <w:szCs w:val="26"/>
        </w:rPr>
        <w:t>%</w:t>
      </w:r>
      <w:r w:rsidR="002B701A" w:rsidRPr="0010707D">
        <w:rPr>
          <w:szCs w:val="26"/>
        </w:rPr>
        <w:t xml:space="preserve"> of the sample.</w:t>
      </w:r>
      <w:r w:rsidR="002B701A">
        <w:rPr>
          <w:szCs w:val="26"/>
        </w:rPr>
        <w:t xml:space="preserve"> </w:t>
      </w:r>
      <w:r w:rsidR="002B701A" w:rsidRPr="0010707D">
        <w:rPr>
          <w:szCs w:val="26"/>
        </w:rPr>
        <w:t xml:space="preserve"> The 139 was made up as follows</w:t>
      </w:r>
      <w:r w:rsidR="002B701A">
        <w:rPr>
          <w:szCs w:val="26"/>
        </w:rPr>
        <w:t>—</w:t>
      </w:r>
    </w:p>
    <w:p w14:paraId="3209E433" w14:textId="7E5C8CD6" w:rsidR="002B701A" w:rsidRPr="00D901CD" w:rsidRDefault="002B701A">
      <w:pPr>
        <w:pStyle w:val="List1"/>
      </w:pPr>
      <w:r w:rsidRPr="00D901CD">
        <w:t>(a)</w:t>
      </w:r>
      <w:r w:rsidRPr="00D901CD">
        <w:tab/>
        <w:t xml:space="preserve">76 </w:t>
      </w:r>
      <w:r w:rsidR="00D901CD">
        <w:t xml:space="preserve">which </w:t>
      </w:r>
      <w:r w:rsidRPr="00D901CD">
        <w:t>were reversed by Mr Boyd before Ms Hunter’s appointment;</w:t>
      </w:r>
    </w:p>
    <w:p w14:paraId="40844494" w14:textId="75C24622" w:rsidR="002B701A" w:rsidRPr="00D901CD" w:rsidRDefault="002B701A">
      <w:pPr>
        <w:pStyle w:val="List1"/>
      </w:pPr>
      <w:r w:rsidRPr="00D901CD">
        <w:t>(b)</w:t>
      </w:r>
      <w:r w:rsidRPr="00D901CD">
        <w:tab/>
        <w:t xml:space="preserve">four </w:t>
      </w:r>
      <w:r w:rsidR="00D901CD">
        <w:t xml:space="preserve">which </w:t>
      </w:r>
      <w:r w:rsidRPr="00D901CD">
        <w:t>were set aside by the FSCA Appeal Board;</w:t>
      </w:r>
    </w:p>
    <w:p w14:paraId="2D47C99E" w14:textId="56E4B3B6" w:rsidR="002B701A" w:rsidRPr="00D901CD" w:rsidRDefault="00D901CD">
      <w:pPr>
        <w:pStyle w:val="List1"/>
      </w:pPr>
      <w:r>
        <w:t>(c)</w:t>
      </w:r>
      <w:r>
        <w:tab/>
        <w:t>a further 29</w:t>
      </w:r>
      <w:r w:rsidR="002B701A" w:rsidRPr="00D901CD">
        <w:t xml:space="preserve"> which are evident from an annexure to Ms Hunter’s founding affidavit;</w:t>
      </w:r>
    </w:p>
    <w:p w14:paraId="360E82CC" w14:textId="77777777" w:rsidR="002B701A" w:rsidRPr="00D901CD" w:rsidRDefault="002B701A">
      <w:pPr>
        <w:pStyle w:val="List1"/>
      </w:pPr>
      <w:r w:rsidRPr="00D901CD">
        <w:t>(d)</w:t>
      </w:r>
      <w:r w:rsidRPr="00D901CD">
        <w:tab/>
        <w:t>23 other funds managed by Liberty, mentioned in Mr Mort’s First Inspection Report;</w:t>
      </w:r>
      <w:r w:rsidRPr="00F7417E">
        <w:rPr>
          <w:rStyle w:val="FootnoteReference"/>
          <w:vertAlign w:val="baseline"/>
        </w:rPr>
        <w:t xml:space="preserve"> </w:t>
      </w:r>
      <w:r w:rsidRPr="00D901CD">
        <w:t>and</w:t>
      </w:r>
    </w:p>
    <w:p w14:paraId="65BCA220" w14:textId="77777777" w:rsidR="002B701A" w:rsidRPr="00D901CD" w:rsidRDefault="002B701A">
      <w:pPr>
        <w:pStyle w:val="List1"/>
      </w:pPr>
      <w:r w:rsidRPr="00D901CD">
        <w:t>(e)</w:t>
      </w:r>
      <w:r w:rsidRPr="00D901CD">
        <w:tab/>
        <w:t>the remaining seven that were referred to in Mr Mort’s Second Inspection Report.</w:t>
      </w:r>
    </w:p>
    <w:p w14:paraId="10A4938C" w14:textId="77777777" w:rsidR="002B701A" w:rsidRPr="00C243BE" w:rsidRDefault="002B701A" w:rsidP="002B701A">
      <w:pPr>
        <w:pStyle w:val="JUDGMENTCONTINUED"/>
      </w:pPr>
    </w:p>
    <w:p w14:paraId="14BD273F" w14:textId="6D873C5C" w:rsidR="002B701A" w:rsidRPr="00322F9F" w:rsidRDefault="00811729" w:rsidP="00811729">
      <w:pPr>
        <w:pStyle w:val="JUDGMENTNUMBERED"/>
        <w:numPr>
          <w:ilvl w:val="0"/>
          <w:numId w:val="0"/>
        </w:numPr>
        <w:rPr>
          <w:szCs w:val="26"/>
        </w:rPr>
      </w:pPr>
      <w:r w:rsidRPr="00322F9F">
        <w:rPr>
          <w:color w:val="000000"/>
          <w:szCs w:val="26"/>
        </w:rPr>
        <w:t>[170]</w:t>
      </w:r>
      <w:r w:rsidRPr="00322F9F">
        <w:rPr>
          <w:color w:val="000000"/>
          <w:szCs w:val="26"/>
        </w:rPr>
        <w:tab/>
      </w:r>
      <w:r w:rsidR="002B701A">
        <w:rPr>
          <w:szCs w:val="26"/>
        </w:rPr>
        <w:t xml:space="preserve">It is </w:t>
      </w:r>
      <w:r w:rsidR="002B701A" w:rsidRPr="00FF1A7C">
        <w:rPr>
          <w:szCs w:val="26"/>
        </w:rPr>
        <w:t>contend</w:t>
      </w:r>
      <w:r w:rsidR="002B701A">
        <w:rPr>
          <w:szCs w:val="26"/>
        </w:rPr>
        <w:t>ed</w:t>
      </w:r>
      <w:r w:rsidR="002B701A" w:rsidRPr="00FF1A7C">
        <w:rPr>
          <w:szCs w:val="26"/>
        </w:rPr>
        <w:t xml:space="preserve"> that</w:t>
      </w:r>
      <w:r w:rsidR="002B701A">
        <w:rPr>
          <w:szCs w:val="26"/>
        </w:rPr>
        <w:t xml:space="preserve"> 139 reinstated funds </w:t>
      </w:r>
      <w:proofErr w:type="gramStart"/>
      <w:r w:rsidR="002B701A">
        <w:rPr>
          <w:szCs w:val="26"/>
        </w:rPr>
        <w:t>represents</w:t>
      </w:r>
      <w:proofErr w:type="gramEnd"/>
      <w:r w:rsidR="002B701A">
        <w:rPr>
          <w:szCs w:val="26"/>
        </w:rPr>
        <w:t xml:space="preserve"> </w:t>
      </w:r>
      <w:r w:rsidR="002B701A" w:rsidRPr="00FF1A7C">
        <w:rPr>
          <w:szCs w:val="26"/>
        </w:rPr>
        <w:t>a high percentage of erroneously cancelled funds in the sample</w:t>
      </w:r>
      <w:r w:rsidR="002B701A">
        <w:rPr>
          <w:szCs w:val="26"/>
        </w:rPr>
        <w:t xml:space="preserve"> and</w:t>
      </w:r>
      <w:r w:rsidR="002B701A" w:rsidRPr="00FF1A7C">
        <w:rPr>
          <w:szCs w:val="26"/>
        </w:rPr>
        <w:t xml:space="preserve"> indicates that these were not isolated mistakes but </w:t>
      </w:r>
      <w:r w:rsidR="002B701A" w:rsidRPr="00FF1B00">
        <w:rPr>
          <w:szCs w:val="26"/>
        </w:rPr>
        <w:t>confirmation of a systemic flaw</w:t>
      </w:r>
      <w:r w:rsidR="002B701A" w:rsidRPr="00E90A96">
        <w:rPr>
          <w:rStyle w:val="LISTChar"/>
        </w:rPr>
        <w:t>.  But she</w:t>
      </w:r>
      <w:r w:rsidR="002B701A">
        <w:rPr>
          <w:szCs w:val="26"/>
        </w:rPr>
        <w:t xml:space="preserve"> </w:t>
      </w:r>
      <w:r w:rsidR="002B701A" w:rsidRPr="00FF1B00">
        <w:rPr>
          <w:szCs w:val="26"/>
        </w:rPr>
        <w:t>seems to</w:t>
      </w:r>
      <w:r w:rsidR="002B701A">
        <w:rPr>
          <w:szCs w:val="26"/>
        </w:rPr>
        <w:t xml:space="preserve"> have cobbled together these figures by scouring through</w:t>
      </w:r>
      <w:r w:rsidR="002B701A" w:rsidRPr="00FF1B00">
        <w:rPr>
          <w:szCs w:val="26"/>
        </w:rPr>
        <w:t xml:space="preserve"> affidavits (other than </w:t>
      </w:r>
      <w:r w:rsidR="002B701A">
        <w:rPr>
          <w:szCs w:val="26"/>
        </w:rPr>
        <w:t xml:space="preserve">her own </w:t>
      </w:r>
      <w:r w:rsidR="002B701A" w:rsidRPr="00FF1B00">
        <w:rPr>
          <w:szCs w:val="26"/>
        </w:rPr>
        <w:t xml:space="preserve">founding affidavit), supporting annexures and Mr Mort’s first two inspection reports to make this case now. </w:t>
      </w:r>
      <w:r w:rsidR="002B701A">
        <w:rPr>
          <w:szCs w:val="26"/>
        </w:rPr>
        <w:t xml:space="preserve"> And then impermissibly seeks to draw the inference of a systemic flaw in argument before this Court, when this case was not made out in the first instance.  However, as observed in the second judgment, the figures that Ms Hunter relies upon are not all supported by the record.  </w:t>
      </w:r>
      <w:r w:rsidR="002B701A" w:rsidRPr="00C33FEF">
        <w:rPr>
          <w:szCs w:val="26"/>
        </w:rPr>
        <w:t xml:space="preserve">The 76 funds reinstated prior to Ms Hunter’s employment at the </w:t>
      </w:r>
      <w:r w:rsidR="002B701A">
        <w:rPr>
          <w:szCs w:val="26"/>
        </w:rPr>
        <w:t>FSCA</w:t>
      </w:r>
      <w:r w:rsidR="002B701A" w:rsidRPr="00C33FEF">
        <w:rPr>
          <w:szCs w:val="26"/>
        </w:rPr>
        <w:t xml:space="preserve"> do not appear to be part of the sample of the 510 funds investigated by KPMG, and subsequently Mr Mort.  The sample only </w:t>
      </w:r>
      <w:r w:rsidR="002B701A">
        <w:rPr>
          <w:szCs w:val="26"/>
        </w:rPr>
        <w:t>in</w:t>
      </w:r>
      <w:r w:rsidR="002B701A" w:rsidRPr="00C33FEF">
        <w:rPr>
          <w:szCs w:val="26"/>
        </w:rPr>
        <w:t xml:space="preserve">cluded 21 previously reinstated funds, and it is also not clear whether these 21 previously reinstated funds are included in the 76 referred to by Ms Hunter. </w:t>
      </w:r>
      <w:r w:rsidR="002B701A">
        <w:rPr>
          <w:szCs w:val="26"/>
        </w:rPr>
        <w:t xml:space="preserve"> </w:t>
      </w:r>
      <w:r w:rsidR="002B701A" w:rsidRPr="00C33FEF">
        <w:rPr>
          <w:szCs w:val="26"/>
        </w:rPr>
        <w:t xml:space="preserve">If they were, and expressed as a percentage, they would constitute only 4% of the reinstated funds, which is hardly a basis to ask the </w:t>
      </w:r>
      <w:r w:rsidR="002B701A">
        <w:rPr>
          <w:szCs w:val="26"/>
        </w:rPr>
        <w:t>C</w:t>
      </w:r>
      <w:r w:rsidR="002B701A" w:rsidRPr="00C33FEF">
        <w:rPr>
          <w:szCs w:val="26"/>
        </w:rPr>
        <w:t>ourt to order a full scale supervised investigation into all the remaining funds</w:t>
      </w:r>
      <w:r w:rsidR="002B701A">
        <w:rPr>
          <w:szCs w:val="26"/>
        </w:rPr>
        <w:t>.</w:t>
      </w:r>
    </w:p>
    <w:p w14:paraId="37975702" w14:textId="77777777" w:rsidR="002B701A" w:rsidRPr="006A06D1" w:rsidRDefault="002B701A" w:rsidP="002B701A">
      <w:pPr>
        <w:pStyle w:val="JUDGMENTCONTINUED"/>
        <w:rPr>
          <w:szCs w:val="26"/>
        </w:rPr>
      </w:pPr>
    </w:p>
    <w:p w14:paraId="43F1A744" w14:textId="6A9EEA16" w:rsidR="002B701A" w:rsidRPr="001A29E7" w:rsidRDefault="00811729" w:rsidP="00811729">
      <w:pPr>
        <w:pStyle w:val="JUDGMENTNUMBERED"/>
        <w:numPr>
          <w:ilvl w:val="0"/>
          <w:numId w:val="0"/>
        </w:numPr>
        <w:rPr>
          <w:szCs w:val="26"/>
        </w:rPr>
      </w:pPr>
      <w:r w:rsidRPr="001A29E7">
        <w:rPr>
          <w:color w:val="000000"/>
          <w:szCs w:val="26"/>
        </w:rPr>
        <w:t>[171]</w:t>
      </w:r>
      <w:r w:rsidRPr="001A29E7">
        <w:rPr>
          <w:color w:val="000000"/>
          <w:szCs w:val="26"/>
        </w:rPr>
        <w:tab/>
      </w:r>
      <w:r w:rsidR="002B701A" w:rsidRPr="003029D5">
        <w:rPr>
          <w:szCs w:val="26"/>
        </w:rPr>
        <w:t xml:space="preserve">It is trite that an applicant must make out her case </w:t>
      </w:r>
      <w:r w:rsidR="002B701A">
        <w:rPr>
          <w:szCs w:val="26"/>
        </w:rPr>
        <w:t>in her</w:t>
      </w:r>
      <w:r w:rsidR="002B701A" w:rsidRPr="003029D5">
        <w:rPr>
          <w:szCs w:val="26"/>
        </w:rPr>
        <w:t xml:space="preserve"> founding affidavit. </w:t>
      </w:r>
      <w:r w:rsidR="002B701A">
        <w:rPr>
          <w:szCs w:val="26"/>
        </w:rPr>
        <w:t xml:space="preserve"> </w:t>
      </w:r>
      <w:r w:rsidR="002B701A" w:rsidRPr="003029D5">
        <w:rPr>
          <w:szCs w:val="26"/>
        </w:rPr>
        <w:t xml:space="preserve">This means she must spell out the facts and the issues in dispute. </w:t>
      </w:r>
      <w:r w:rsidR="002B701A">
        <w:rPr>
          <w:szCs w:val="26"/>
        </w:rPr>
        <w:t xml:space="preserve"> </w:t>
      </w:r>
      <w:r w:rsidR="002B701A" w:rsidRPr="003029D5">
        <w:rPr>
          <w:szCs w:val="26"/>
        </w:rPr>
        <w:t xml:space="preserve">This is for the benefit of the Court, but also primarily, for the respondent so that it knows the case it must meet </w:t>
      </w:r>
      <w:r w:rsidR="002B701A" w:rsidRPr="003029D5">
        <w:rPr>
          <w:szCs w:val="26"/>
        </w:rPr>
        <w:lastRenderedPageBreak/>
        <w:t>and the evidence required to be adduced in its affidavits.</w:t>
      </w:r>
      <w:r w:rsidR="002B701A">
        <w:rPr>
          <w:rStyle w:val="FootnoteReference"/>
          <w:sz w:val="28"/>
          <w:szCs w:val="28"/>
        </w:rPr>
        <w:footnoteReference w:id="64"/>
      </w:r>
      <w:r w:rsidR="002B701A" w:rsidRPr="003029D5">
        <w:rPr>
          <w:szCs w:val="26"/>
        </w:rPr>
        <w:t xml:space="preserve">  The issue in this </w:t>
      </w:r>
      <w:r w:rsidR="002B701A">
        <w:rPr>
          <w:szCs w:val="26"/>
        </w:rPr>
        <w:t>C</w:t>
      </w:r>
      <w:r w:rsidR="002B701A" w:rsidRPr="003029D5">
        <w:rPr>
          <w:szCs w:val="26"/>
        </w:rPr>
        <w:t xml:space="preserve">ourt became the duty of the </w:t>
      </w:r>
      <w:r w:rsidR="005460DB">
        <w:rPr>
          <w:szCs w:val="26"/>
        </w:rPr>
        <w:t>r</w:t>
      </w:r>
      <w:r w:rsidR="002B701A" w:rsidRPr="003029D5">
        <w:rPr>
          <w:szCs w:val="26"/>
        </w:rPr>
        <w:t>egistrar to institute an investigation, other than Mr</w:t>
      </w:r>
      <w:r w:rsidR="002B701A">
        <w:rPr>
          <w:szCs w:val="26"/>
        </w:rPr>
        <w:t> </w:t>
      </w:r>
      <w:r w:rsidR="002B701A" w:rsidRPr="003029D5">
        <w:rPr>
          <w:szCs w:val="26"/>
        </w:rPr>
        <w:t xml:space="preserve">Mort’s, based </w:t>
      </w:r>
      <w:r w:rsidR="002B701A">
        <w:rPr>
          <w:szCs w:val="26"/>
        </w:rPr>
        <w:t xml:space="preserve">mainly </w:t>
      </w:r>
      <w:r w:rsidR="002B701A" w:rsidRPr="003029D5">
        <w:rPr>
          <w:szCs w:val="26"/>
        </w:rPr>
        <w:t xml:space="preserve">on the quantitative analysis of the number of erroneously cancelled funds in the sample. </w:t>
      </w:r>
      <w:r w:rsidR="002B701A">
        <w:rPr>
          <w:szCs w:val="26"/>
        </w:rPr>
        <w:t xml:space="preserve"> </w:t>
      </w:r>
      <w:r w:rsidR="002B701A" w:rsidRPr="003029D5">
        <w:rPr>
          <w:szCs w:val="26"/>
        </w:rPr>
        <w:t xml:space="preserve">But this was not identified in the papers as an issue in dispute, nor was it supported by any evidence and neither was it the relief asked for. </w:t>
      </w:r>
      <w:r w:rsidR="002B701A">
        <w:rPr>
          <w:szCs w:val="26"/>
        </w:rPr>
        <w:t xml:space="preserve"> </w:t>
      </w:r>
      <w:r w:rsidR="002B701A" w:rsidRPr="003029D5">
        <w:rPr>
          <w:szCs w:val="26"/>
        </w:rPr>
        <w:t>In fact, the original relief – that an investigation be ordered – remains t</w:t>
      </w:r>
      <w:r w:rsidR="002B701A" w:rsidRPr="0010707D">
        <w:rPr>
          <w:szCs w:val="26"/>
        </w:rPr>
        <w:t>he primary relief asked for.</w:t>
      </w:r>
    </w:p>
    <w:p w14:paraId="28AAB6BE" w14:textId="77777777" w:rsidR="002B701A" w:rsidRDefault="002B701A" w:rsidP="002B701A">
      <w:pPr>
        <w:pStyle w:val="JUDGMENTNUMBERED"/>
        <w:numPr>
          <w:ilvl w:val="0"/>
          <w:numId w:val="0"/>
        </w:numPr>
        <w:rPr>
          <w:szCs w:val="26"/>
        </w:rPr>
      </w:pPr>
    </w:p>
    <w:p w14:paraId="38316519" w14:textId="0EEE64D5" w:rsidR="002B701A" w:rsidRPr="00C71574" w:rsidRDefault="00811729" w:rsidP="00811729">
      <w:pPr>
        <w:pStyle w:val="JUDGMENTNUMBERED"/>
        <w:numPr>
          <w:ilvl w:val="0"/>
          <w:numId w:val="0"/>
        </w:numPr>
      </w:pPr>
      <w:r w:rsidRPr="00C71574">
        <w:rPr>
          <w:color w:val="000000"/>
        </w:rPr>
        <w:t>[172]</w:t>
      </w:r>
      <w:r w:rsidRPr="00C71574">
        <w:rPr>
          <w:color w:val="000000"/>
        </w:rPr>
        <w:tab/>
      </w:r>
      <w:r w:rsidR="002B701A" w:rsidRPr="009F03EB">
        <w:t>Furthermore it is not proper for an applicant in motion proceedings to make its case on documents annexed to the papers and to ask a court t</w:t>
      </w:r>
      <w:r w:rsidR="002B701A" w:rsidRPr="001411FA">
        <w:t xml:space="preserve">o draw inferences or arrive at conclusions when the relevant evidence from those documents </w:t>
      </w:r>
      <w:r w:rsidR="002B701A">
        <w:t>is</w:t>
      </w:r>
      <w:r w:rsidR="002B701A" w:rsidRPr="009F03EB">
        <w:t xml:space="preserve"> not properly canvassed in the affidavits.  The reason is manifest</w:t>
      </w:r>
      <w:r w:rsidR="002B701A">
        <w:t>:</w:t>
      </w:r>
      <w:r w:rsidR="002B701A" w:rsidRPr="009F03EB">
        <w:t xml:space="preserve"> the other party may well be prejudiced because evidence may have been available to refute the new case on the facts.  </w:t>
      </w:r>
      <w:r w:rsidR="002B701A">
        <w:t xml:space="preserve">In </w:t>
      </w:r>
      <w:r w:rsidR="002B701A" w:rsidRPr="00EC27DC">
        <w:rPr>
          <w:i/>
        </w:rPr>
        <w:t>National Director of Public Prosecutions v Zuma</w:t>
      </w:r>
      <w:r w:rsidR="002B701A">
        <w:t>, the Su</w:t>
      </w:r>
      <w:r w:rsidR="00D901CD">
        <w:t>preme Court of Appeal held that</w:t>
      </w:r>
      <w:r w:rsidR="002B701A">
        <w:t xml:space="preserve"> “[a]</w:t>
      </w:r>
      <w:r w:rsidR="002B701A" w:rsidRPr="009F03EB">
        <w:t xml:space="preserve"> party cannot be expected to trawl through documents and speculate on the possible relevance of some facts contai</w:t>
      </w:r>
      <w:r w:rsidR="00050E22">
        <w:t>ned in them</w:t>
      </w:r>
      <w:r w:rsidR="002B701A">
        <w:t>”</w:t>
      </w:r>
      <w:r w:rsidR="00050E22">
        <w:t>.</w:t>
      </w:r>
      <w:r w:rsidR="002B701A">
        <w:rPr>
          <w:rStyle w:val="FootnoteReference"/>
          <w:sz w:val="28"/>
          <w:szCs w:val="28"/>
        </w:rPr>
        <w:footnoteReference w:id="65"/>
      </w:r>
      <w:r w:rsidR="002B701A" w:rsidRPr="009F03EB">
        <w:t xml:space="preserve">  This is precisely the </w:t>
      </w:r>
      <w:r w:rsidR="002B701A">
        <w:t>FSCA</w:t>
      </w:r>
      <w:r w:rsidR="002B701A" w:rsidRPr="009F03EB">
        <w:t>’s complaint</w:t>
      </w:r>
      <w:r w:rsidR="002B701A">
        <w:t>, and what Ms Hunter expects this Court to do.</w:t>
      </w:r>
      <w:r w:rsidR="0099656B">
        <w:t xml:space="preserve">  As Mr </w:t>
      </w:r>
      <w:proofErr w:type="spellStart"/>
      <w:r w:rsidR="002B701A" w:rsidRPr="006C3EB0">
        <w:t>Trengove</w:t>
      </w:r>
      <w:proofErr w:type="spellEnd"/>
      <w:r w:rsidR="002B701A" w:rsidRPr="006C3EB0">
        <w:t xml:space="preserve"> submitted on behalf of the </w:t>
      </w:r>
      <w:r w:rsidR="002B701A">
        <w:t>FSCA</w:t>
      </w:r>
      <w:r w:rsidR="002B701A" w:rsidRPr="006C3EB0">
        <w:t xml:space="preserve">, if this was </w:t>
      </w:r>
      <w:r w:rsidR="002B701A">
        <w:t xml:space="preserve">indeed </w:t>
      </w:r>
      <w:r w:rsidR="002B701A" w:rsidRPr="009F03EB">
        <w:t>Ms Hunter’s case</w:t>
      </w:r>
      <w:r w:rsidR="002B701A">
        <w:t>,</w:t>
      </w:r>
      <w:r w:rsidR="002B701A" w:rsidRPr="009F03EB">
        <w:t xml:space="preserve"> </w:t>
      </w:r>
      <w:r w:rsidR="002B701A">
        <w:t>the FSCA</w:t>
      </w:r>
      <w:r w:rsidR="002B701A" w:rsidRPr="009F03EB">
        <w:t xml:space="preserve"> would have addressed it in their affidavits.  The prejudice to the </w:t>
      </w:r>
      <w:r w:rsidR="002B701A">
        <w:t>FSCA</w:t>
      </w:r>
      <w:r w:rsidR="002B701A" w:rsidRPr="009F03EB">
        <w:t xml:space="preserve"> is evident.  It is no wonder that the </w:t>
      </w:r>
      <w:r w:rsidR="002B701A" w:rsidRPr="006C3EB0">
        <w:t>High Court observed that “the applicant had failed to set out with required particularity, facts and conclusions of law</w:t>
      </w:r>
      <w:r w:rsidR="002B701A">
        <w:t xml:space="preserve"> . . . </w:t>
      </w:r>
      <w:r w:rsidR="002B701A" w:rsidRPr="006C3EB0">
        <w:t>in her a</w:t>
      </w:r>
      <w:r w:rsidR="002B701A" w:rsidRPr="001411FA">
        <w:t>ffidavits</w:t>
      </w:r>
      <w:r w:rsidR="002B701A" w:rsidRPr="009F03EB">
        <w:t>”</w:t>
      </w:r>
      <w:r w:rsidR="002B701A">
        <w:rPr>
          <w:rStyle w:val="FootnoteReference"/>
          <w:szCs w:val="26"/>
        </w:rPr>
        <w:footnoteReference w:id="66"/>
      </w:r>
      <w:r w:rsidR="002B701A">
        <w:t xml:space="preserve"> to sustain her cause of action.</w:t>
      </w:r>
    </w:p>
    <w:p w14:paraId="5A005443" w14:textId="77777777" w:rsidR="002B701A" w:rsidRDefault="002B701A" w:rsidP="002B701A">
      <w:pPr>
        <w:pStyle w:val="JUDGMENTCONTINUED"/>
      </w:pPr>
    </w:p>
    <w:p w14:paraId="59AD628F" w14:textId="31E3E5A9" w:rsidR="002B701A" w:rsidRDefault="00811729" w:rsidP="00811729">
      <w:pPr>
        <w:pStyle w:val="JUDGMENTNUMBERED"/>
        <w:numPr>
          <w:ilvl w:val="0"/>
          <w:numId w:val="0"/>
        </w:numPr>
      </w:pPr>
      <w:r>
        <w:rPr>
          <w:color w:val="000000"/>
        </w:rPr>
        <w:t>[173]</w:t>
      </w:r>
      <w:r>
        <w:rPr>
          <w:color w:val="000000"/>
        </w:rPr>
        <w:tab/>
      </w:r>
      <w:r w:rsidR="002B701A">
        <w:t>The second judgment recognises that the record does not support the percentage of erroneous cancellations presented by Ms Hunter.  It nonetheless holds that, based on the following facts gleaned from various parts of the record, an investigation is warranted—</w:t>
      </w:r>
    </w:p>
    <w:p w14:paraId="6BAAE814" w14:textId="0F9C7A58" w:rsidR="002B701A" w:rsidRPr="000C38CF" w:rsidRDefault="002B701A" w:rsidP="002B701A">
      <w:pPr>
        <w:pStyle w:val="List1"/>
      </w:pPr>
      <w:r w:rsidRPr="00AD35F4">
        <w:lastRenderedPageBreak/>
        <w:t>(a)</w:t>
      </w:r>
      <w:r w:rsidRPr="00AD35F4">
        <w:tab/>
      </w:r>
      <w:r>
        <w:t>in the sample of 51</w:t>
      </w:r>
      <w:r w:rsidR="00D51591">
        <w:t>0, there had been 21 “re</w:t>
      </w:r>
      <w:r>
        <w:t>instated funds” at the time of the KPMG report;</w:t>
      </w:r>
    </w:p>
    <w:p w14:paraId="16964932" w14:textId="77777777" w:rsidR="002B701A" w:rsidRDefault="002B701A" w:rsidP="002B701A">
      <w:pPr>
        <w:pStyle w:val="List1"/>
      </w:pPr>
      <w:r w:rsidRPr="000C38CF">
        <w:t>(b)</w:t>
      </w:r>
      <w:r w:rsidRPr="000C38CF">
        <w:tab/>
      </w:r>
      <w:r>
        <w:t>Mr Mort found further errors which were corrected, but the number does not appear in the record;</w:t>
      </w:r>
    </w:p>
    <w:p w14:paraId="1E82B54B" w14:textId="77777777" w:rsidR="002B701A" w:rsidRDefault="002B701A" w:rsidP="002B701A">
      <w:pPr>
        <w:pStyle w:val="List1"/>
      </w:pPr>
      <w:r>
        <w:t>(c)</w:t>
      </w:r>
      <w:r>
        <w:tab/>
        <w:t>76 cancellations were “reversed” before Ms Hunter took office; and</w:t>
      </w:r>
    </w:p>
    <w:p w14:paraId="1771C595" w14:textId="77777777" w:rsidR="002B701A" w:rsidRDefault="002B701A" w:rsidP="002B701A">
      <w:pPr>
        <w:pStyle w:val="List1"/>
      </w:pPr>
      <w:r>
        <w:t>(d)</w:t>
      </w:r>
      <w:r>
        <w:tab/>
        <w:t>23 cancellations were set aside by the High Court pursuant to an application by Liberty.  This emerged from a further application to admit this evidence after the application was argued in this Court.</w:t>
      </w:r>
    </w:p>
    <w:p w14:paraId="02B5959D" w14:textId="77777777" w:rsidR="002B701A" w:rsidRPr="006A3CE4" w:rsidRDefault="002B701A" w:rsidP="002B701A">
      <w:pPr>
        <w:pStyle w:val="JUDGMENTCONTINUED"/>
      </w:pPr>
    </w:p>
    <w:p w14:paraId="0B394928" w14:textId="09DB01E2" w:rsidR="002B701A" w:rsidRDefault="00811729" w:rsidP="00811729">
      <w:pPr>
        <w:pStyle w:val="JUDGMENTNUMBERED"/>
        <w:numPr>
          <w:ilvl w:val="0"/>
          <w:numId w:val="0"/>
        </w:numPr>
      </w:pPr>
      <w:r>
        <w:rPr>
          <w:color w:val="000000"/>
        </w:rPr>
        <w:t>[174]</w:t>
      </w:r>
      <w:r>
        <w:rPr>
          <w:color w:val="000000"/>
        </w:rPr>
        <w:tab/>
      </w:r>
      <w:r w:rsidR="002B701A">
        <w:t>These then are the “facts” upon which the second judgment bases its conclusion that the possibility of mistakes in the cancellations that have not yet been examined is “obvious” and that those mistakes are “a proxy for unlawfulness”.  It therefore holds that the potential irregularities in the cancellations project as a whole cannot be ignored, and it is therefore necessary to investigate all of the cancelled funds.</w:t>
      </w:r>
    </w:p>
    <w:p w14:paraId="2FB841F3" w14:textId="77777777" w:rsidR="002B701A" w:rsidRPr="00D81D69" w:rsidRDefault="002B701A" w:rsidP="002B701A">
      <w:pPr>
        <w:pStyle w:val="JUDGMENTCONTINUED"/>
      </w:pPr>
    </w:p>
    <w:p w14:paraId="4AC6DD83" w14:textId="13038A3D" w:rsidR="002B701A" w:rsidRDefault="00811729" w:rsidP="00811729">
      <w:pPr>
        <w:pStyle w:val="JUDGMENTNUMBERED"/>
        <w:numPr>
          <w:ilvl w:val="0"/>
          <w:numId w:val="0"/>
        </w:numPr>
      </w:pPr>
      <w:r>
        <w:rPr>
          <w:color w:val="000000"/>
        </w:rPr>
        <w:t>[175]</w:t>
      </w:r>
      <w:r>
        <w:rPr>
          <w:color w:val="000000"/>
        </w:rPr>
        <w:tab/>
      </w:r>
      <w:r w:rsidR="002B701A">
        <w:t xml:space="preserve">The short answer to the second judgment is that neither the factual nor legal basis for these conclusions was properly ventilated in Ms Hunter’s papers before the High Court.  The FSCA was simply not called upon to deal with the facts or respond to the legal conclusions it draws.  It is grossly unfair and prejudicial to the FSCA for this Court </w:t>
      </w:r>
      <w:r w:rsidR="002B701A" w:rsidRPr="005E5A9E">
        <w:t xml:space="preserve">to determine an entirely new and different case not made out in the High Court </w:t>
      </w:r>
      <w:r w:rsidR="002B701A">
        <w:t>–</w:t>
      </w:r>
      <w:r w:rsidR="002B701A" w:rsidRPr="005E5A9E">
        <w:t xml:space="preserve"> not even obliquely – and to do so sitting simultaneously as a court of first instance and a final court of appeal</w:t>
      </w:r>
      <w:r w:rsidR="002B701A">
        <w:t>.</w:t>
      </w:r>
    </w:p>
    <w:p w14:paraId="4A2CB7CE" w14:textId="77777777" w:rsidR="002B701A" w:rsidRPr="00D81D69" w:rsidRDefault="002B701A" w:rsidP="002B701A">
      <w:pPr>
        <w:pStyle w:val="JUDGMENTCONTINUED"/>
      </w:pPr>
    </w:p>
    <w:p w14:paraId="30942777" w14:textId="22041E1A" w:rsidR="002B701A" w:rsidRDefault="00811729" w:rsidP="00811729">
      <w:pPr>
        <w:pStyle w:val="JUDGMENTNUMBERED"/>
        <w:numPr>
          <w:ilvl w:val="0"/>
          <w:numId w:val="0"/>
        </w:numPr>
      </w:pPr>
      <w:r>
        <w:rPr>
          <w:color w:val="000000"/>
        </w:rPr>
        <w:t>[176]</w:t>
      </w:r>
      <w:r>
        <w:rPr>
          <w:color w:val="000000"/>
        </w:rPr>
        <w:tab/>
      </w:r>
      <w:r w:rsidR="002B701A">
        <w:t xml:space="preserve">Furthermore, even if there were obvious mistakes in the cancellations project it does not follow that this warrants a broader investigation into the entire cancellations project.  The bulk of the mistakes – 72 of them – were corrected before Ms Hunter’s appointment, which suggests that the FSCA has systems in place to detect and correct errors.  This is also apparent from the 21 reinstated funds referred to in the KPMG report, there being no suggestion that the reinstatements were as a result of this report.  The same is true of the seven reinstatements mentioned by Mr Mort.  It is unclear on </w:t>
      </w:r>
      <w:r w:rsidR="002B701A">
        <w:lastRenderedPageBreak/>
        <w:t>what basis the second judgment has regard to the 23 cancellations that were set aside following another High Court application instituted by Liberty, but this is immaterial.</w:t>
      </w:r>
    </w:p>
    <w:p w14:paraId="3EBABA9A" w14:textId="77777777" w:rsidR="002B701A" w:rsidRPr="00D81D69" w:rsidRDefault="002B701A" w:rsidP="002B701A">
      <w:pPr>
        <w:pStyle w:val="JUDGMENTCONTINUED"/>
      </w:pPr>
    </w:p>
    <w:p w14:paraId="1C956C88" w14:textId="3B2BFFE1" w:rsidR="002B701A" w:rsidRDefault="00811729" w:rsidP="00811729">
      <w:pPr>
        <w:pStyle w:val="JUDGMENTNUMBERED"/>
        <w:numPr>
          <w:ilvl w:val="0"/>
          <w:numId w:val="0"/>
        </w:numPr>
      </w:pPr>
      <w:r>
        <w:rPr>
          <w:color w:val="000000"/>
        </w:rPr>
        <w:t>[177]</w:t>
      </w:r>
      <w:r>
        <w:rPr>
          <w:color w:val="000000"/>
        </w:rPr>
        <w:tab/>
      </w:r>
      <w:r w:rsidR="002B701A" w:rsidRPr="00140830">
        <w:t xml:space="preserve">It must also be emphasised </w:t>
      </w:r>
      <w:r w:rsidR="002B701A">
        <w:t xml:space="preserve">that </w:t>
      </w:r>
      <w:r w:rsidR="002B701A" w:rsidRPr="00140830">
        <w:t>when Ms Hunter asked for an investigation into the cancellations</w:t>
      </w:r>
      <w:r w:rsidR="002B701A">
        <w:t xml:space="preserve"> project</w:t>
      </w:r>
      <w:r w:rsidR="002B701A" w:rsidRPr="00140830">
        <w:t xml:space="preserve"> in her founding affidavit</w:t>
      </w:r>
      <w:r w:rsidR="002B701A">
        <w:t>,</w:t>
      </w:r>
      <w:r w:rsidR="002B701A" w:rsidRPr="00140830">
        <w:t xml:space="preserve"> she had not seen the </w:t>
      </w:r>
      <w:proofErr w:type="spellStart"/>
      <w:r w:rsidR="002B701A" w:rsidRPr="00140830">
        <w:t>O’Regan</w:t>
      </w:r>
      <w:proofErr w:type="spellEnd"/>
      <w:r w:rsidR="002B701A" w:rsidRPr="00140830">
        <w:t xml:space="preserve"> and KPMG reports. </w:t>
      </w:r>
      <w:r w:rsidR="002B701A">
        <w:t xml:space="preserve"> </w:t>
      </w:r>
      <w:r w:rsidR="002B701A" w:rsidRPr="00140830">
        <w:t xml:space="preserve">Nor was she aware that the </w:t>
      </w:r>
      <w:r w:rsidR="002B701A">
        <w:t>FSCA</w:t>
      </w:r>
      <w:r w:rsidR="002B701A" w:rsidRPr="00140830">
        <w:t xml:space="preserve"> had acted on Justice </w:t>
      </w:r>
      <w:proofErr w:type="spellStart"/>
      <w:r w:rsidR="002B701A" w:rsidRPr="00140830">
        <w:t>O’Regan’s</w:t>
      </w:r>
      <w:proofErr w:type="spellEnd"/>
      <w:r w:rsidR="002B701A" w:rsidRPr="00140830">
        <w:t xml:space="preserve"> recommendation to appoint a pension</w:t>
      </w:r>
      <w:r w:rsidR="002B701A">
        <w:t>s</w:t>
      </w:r>
      <w:r w:rsidR="002B701A" w:rsidRPr="00140830">
        <w:t xml:space="preserve"> expert to review the KPMG report. </w:t>
      </w:r>
      <w:r w:rsidR="002B701A">
        <w:t xml:space="preserve"> </w:t>
      </w:r>
      <w:r w:rsidR="002B701A" w:rsidRPr="00140830">
        <w:t xml:space="preserve">The </w:t>
      </w:r>
      <w:r w:rsidR="002B701A">
        <w:t>FSCA</w:t>
      </w:r>
      <w:r w:rsidR="002B701A" w:rsidRPr="00140830">
        <w:t xml:space="preserve"> had in fact, acceded exactly to what Justice </w:t>
      </w:r>
      <w:proofErr w:type="spellStart"/>
      <w:r w:rsidR="002B701A" w:rsidRPr="00140830">
        <w:t>O’Regan</w:t>
      </w:r>
      <w:proofErr w:type="spellEnd"/>
      <w:r w:rsidR="002B701A" w:rsidRPr="00140830">
        <w:t xml:space="preserve"> had recommended, by appointing Mr Mort. </w:t>
      </w:r>
      <w:r w:rsidR="002B701A">
        <w:t xml:space="preserve"> </w:t>
      </w:r>
      <w:r w:rsidR="002B701A" w:rsidRPr="00140830">
        <w:t xml:space="preserve">Furthermore, his investigation had not been completed when the </w:t>
      </w:r>
      <w:r w:rsidR="002B701A">
        <w:t>H</w:t>
      </w:r>
      <w:r w:rsidR="002B701A" w:rsidRPr="00140830">
        <w:t>ig</w:t>
      </w:r>
      <w:r w:rsidR="002B701A" w:rsidRPr="00B30C9E">
        <w:t xml:space="preserve">h </w:t>
      </w:r>
      <w:r w:rsidR="002B701A">
        <w:t>C</w:t>
      </w:r>
      <w:r w:rsidR="002B701A" w:rsidRPr="00B30C9E">
        <w:t>ourt adjudicated the matter.</w:t>
      </w:r>
    </w:p>
    <w:p w14:paraId="2B7154EE" w14:textId="77777777" w:rsidR="002B701A" w:rsidRDefault="002B701A" w:rsidP="002B701A">
      <w:pPr>
        <w:pStyle w:val="JUDGMENTCONTINUED"/>
      </w:pPr>
    </w:p>
    <w:p w14:paraId="35D3F8CA" w14:textId="12254746" w:rsidR="002B701A" w:rsidRPr="0010707D" w:rsidRDefault="00811729" w:rsidP="00811729">
      <w:pPr>
        <w:pStyle w:val="JUDGMENTNUMBERED"/>
        <w:numPr>
          <w:ilvl w:val="0"/>
          <w:numId w:val="0"/>
        </w:numPr>
      </w:pPr>
      <w:r w:rsidRPr="0010707D">
        <w:rPr>
          <w:color w:val="000000"/>
        </w:rPr>
        <w:t>[178]</w:t>
      </w:r>
      <w:r w:rsidRPr="0010707D">
        <w:rPr>
          <w:color w:val="000000"/>
        </w:rPr>
        <w:tab/>
      </w:r>
      <w:r w:rsidR="002B701A" w:rsidRPr="00140830">
        <w:t>Mr Mort</w:t>
      </w:r>
      <w:r w:rsidR="002B701A">
        <w:t>,</w:t>
      </w:r>
      <w:r w:rsidR="002B701A" w:rsidRPr="00140830">
        <w:t xml:space="preserve"> who was assisted by Mr Andrew to take the investigation further</w:t>
      </w:r>
      <w:r w:rsidR="002B701A">
        <w:t>,</w:t>
      </w:r>
      <w:r w:rsidR="002B701A" w:rsidRPr="00140830">
        <w:t xml:space="preserve"> </w:t>
      </w:r>
      <w:r w:rsidR="002B701A">
        <w:t>has</w:t>
      </w:r>
      <w:r w:rsidR="002B701A" w:rsidRPr="00140830">
        <w:t xml:space="preserve"> now</w:t>
      </w:r>
      <w:r w:rsidR="002B701A">
        <w:t xml:space="preserve">, </w:t>
      </w:r>
      <w:r w:rsidR="002B701A" w:rsidRPr="00140830">
        <w:t xml:space="preserve">after the dispute was decided in the </w:t>
      </w:r>
      <w:r w:rsidR="002B701A">
        <w:t>H</w:t>
      </w:r>
      <w:r w:rsidR="002B701A" w:rsidRPr="00140830">
        <w:t xml:space="preserve">igh </w:t>
      </w:r>
      <w:r w:rsidR="002B701A">
        <w:t>C</w:t>
      </w:r>
      <w:r w:rsidR="002B701A" w:rsidRPr="00140830">
        <w:t>ourt</w:t>
      </w:r>
      <w:r w:rsidR="002B701A">
        <w:t xml:space="preserve">, </w:t>
      </w:r>
      <w:r w:rsidR="002B701A" w:rsidRPr="00140830">
        <w:t>completed his investigation into the sample of 5</w:t>
      </w:r>
      <w:r w:rsidR="002B701A">
        <w:t>10</w:t>
      </w:r>
      <w:r w:rsidR="002B701A" w:rsidRPr="00140830">
        <w:t xml:space="preserve"> funds</w:t>
      </w:r>
      <w:r w:rsidR="002B701A">
        <w:t>.</w:t>
      </w:r>
      <w:r w:rsidR="002B701A" w:rsidRPr="00140830">
        <w:t xml:space="preserve"> </w:t>
      </w:r>
      <w:r w:rsidR="002B701A">
        <w:t xml:space="preserve"> He</w:t>
      </w:r>
      <w:r w:rsidR="002B701A" w:rsidRPr="00140830">
        <w:t xml:space="preserve"> concluded that there </w:t>
      </w:r>
      <w:r w:rsidR="002B701A">
        <w:t>wa</w:t>
      </w:r>
      <w:r w:rsidR="002B701A" w:rsidRPr="00140830">
        <w:t>s no likelihood of material financial prejudice to interested parties</w:t>
      </w:r>
      <w:r w:rsidR="002B701A">
        <w:t xml:space="preserve"> and that there are ongoing efforts by administrators of cancelled funds to trace beneficiaries of unclaimed benefits.  He therefore believes that there is no need for a further investigation</w:t>
      </w:r>
      <w:r w:rsidR="002B701A" w:rsidRPr="0010707D">
        <w:t>.</w:t>
      </w:r>
      <w:r w:rsidR="002B701A">
        <w:t xml:space="preserve">  Ms Hunter simply ignores this and the second judgment overlooks it.</w:t>
      </w:r>
      <w:r w:rsidR="002B701A" w:rsidRPr="0010707D">
        <w:t xml:space="preserve"> </w:t>
      </w:r>
      <w:r w:rsidR="002B701A">
        <w:t xml:space="preserve"> I pause to mention that in her proposed amended notice of motion in the High Court she had asked for no more than an initial investigation to cover the 5</w:t>
      </w:r>
      <w:r w:rsidR="005460DB">
        <w:t>1</w:t>
      </w:r>
      <w:r w:rsidR="002B701A">
        <w:t xml:space="preserve">0 funds in the sample, not all the cancelled funds, which she now seeks in this Court.  </w:t>
      </w:r>
      <w:r w:rsidR="002B701A" w:rsidRPr="0010707D">
        <w:t xml:space="preserve">It is now up to the </w:t>
      </w:r>
      <w:r w:rsidR="005460DB">
        <w:t>r</w:t>
      </w:r>
      <w:r w:rsidR="002B701A" w:rsidRPr="0010707D">
        <w:t>egistrar to decide</w:t>
      </w:r>
      <w:r w:rsidR="002B701A">
        <w:t xml:space="preserve"> on an appropriate course of action.  </w:t>
      </w:r>
      <w:r w:rsidR="002B701A" w:rsidRPr="0010707D">
        <w:t>If any</w:t>
      </w:r>
      <w:r w:rsidR="002B701A">
        <w:t xml:space="preserve"> party has legitimate concerns about the decision he ultimately makes in this regard, the correct approach will be for that party to institute administrative review proceedings against that decision.  </w:t>
      </w:r>
      <w:r w:rsidR="002B701A" w:rsidRPr="007731E2">
        <w:t>Whether th</w:t>
      </w:r>
      <w:r w:rsidR="002B701A">
        <w:t>is</w:t>
      </w:r>
      <w:r w:rsidR="002B701A" w:rsidRPr="007731E2">
        <w:t xml:space="preserve"> would require an applicant to institute review proceedings, either under PAJA or by way of a</w:t>
      </w:r>
      <w:r w:rsidR="002B701A">
        <w:t>nother</w:t>
      </w:r>
      <w:r w:rsidR="002B701A" w:rsidRPr="007731E2">
        <w:t xml:space="preserve"> legality challenge, is</w:t>
      </w:r>
      <w:r w:rsidR="002B701A">
        <w:t xml:space="preserve"> neither </w:t>
      </w:r>
      <w:r w:rsidR="002B701A" w:rsidRPr="007731E2">
        <w:t>necessary</w:t>
      </w:r>
      <w:r w:rsidR="002B701A">
        <w:t>, nor appropriate</w:t>
      </w:r>
      <w:r w:rsidR="002B701A" w:rsidRPr="007731E2">
        <w:t xml:space="preserve"> to decide.  It was also not an issue between the parties</w:t>
      </w:r>
      <w:r w:rsidR="002B701A">
        <w:t>, and the Court has not had the benefit of proper legal argument on what is an important administrative law dispute.</w:t>
      </w:r>
      <w:r w:rsidR="002B701A">
        <w:rPr>
          <w:rStyle w:val="FootnoteReference"/>
          <w:szCs w:val="26"/>
        </w:rPr>
        <w:footnoteReference w:id="67"/>
      </w:r>
    </w:p>
    <w:p w14:paraId="1FFC3E6B" w14:textId="77777777" w:rsidR="002B701A" w:rsidRPr="0010707D" w:rsidRDefault="002B701A" w:rsidP="002B701A">
      <w:pPr>
        <w:pStyle w:val="JUDGMENTCONTINUED"/>
        <w:rPr>
          <w:szCs w:val="26"/>
        </w:rPr>
      </w:pPr>
    </w:p>
    <w:p w14:paraId="2AF34AF7" w14:textId="77777777" w:rsidR="002B701A" w:rsidRPr="0010707D" w:rsidRDefault="002B701A" w:rsidP="002B701A">
      <w:pPr>
        <w:pStyle w:val="HEADING"/>
        <w:rPr>
          <w:szCs w:val="26"/>
        </w:rPr>
      </w:pPr>
      <w:r w:rsidRPr="0010707D">
        <w:rPr>
          <w:szCs w:val="26"/>
        </w:rPr>
        <w:t>Governance complaint</w:t>
      </w:r>
    </w:p>
    <w:p w14:paraId="528FB321" w14:textId="29112781" w:rsidR="002B701A" w:rsidRDefault="00811729" w:rsidP="00811729">
      <w:pPr>
        <w:pStyle w:val="JUDGMENTNUMBERED"/>
        <w:numPr>
          <w:ilvl w:val="0"/>
          <w:numId w:val="0"/>
        </w:numPr>
      </w:pPr>
      <w:r>
        <w:rPr>
          <w:color w:val="000000"/>
        </w:rPr>
        <w:t>[179]</w:t>
      </w:r>
      <w:r>
        <w:rPr>
          <w:color w:val="000000"/>
        </w:rPr>
        <w:tab/>
      </w:r>
      <w:r w:rsidR="002B701A" w:rsidRPr="00146BF7">
        <w:t xml:space="preserve">Both the first and second judgments dismiss Ms Hunter’s governance complaint against the </w:t>
      </w:r>
      <w:r w:rsidR="002B701A">
        <w:t>FSCA</w:t>
      </w:r>
      <w:r w:rsidR="002B701A" w:rsidRPr="00146BF7">
        <w:t xml:space="preserve"> and the Minister. </w:t>
      </w:r>
      <w:r w:rsidR="002B701A">
        <w:t xml:space="preserve"> </w:t>
      </w:r>
      <w:r w:rsidR="002B701A" w:rsidRPr="00146BF7">
        <w:t xml:space="preserve">I agree with their </w:t>
      </w:r>
      <w:r w:rsidR="00165929">
        <w:t>conclusions.  I would refuse Ms Hunter</w:t>
      </w:r>
      <w:r w:rsidR="002B701A" w:rsidRPr="00146BF7">
        <w:t xml:space="preserve"> application for leave to appeal this part of the High Court’s order as well.  It is therefore unnecessary to consider </w:t>
      </w:r>
      <w:r w:rsidR="00C96184">
        <w:t>Ms Hunter’s</w:t>
      </w:r>
      <w:r w:rsidR="002B701A" w:rsidRPr="00146BF7">
        <w:t xml:space="preserve"> second complaint any further.</w:t>
      </w:r>
    </w:p>
    <w:p w14:paraId="6DD7EB2D" w14:textId="77777777" w:rsidR="002B701A" w:rsidRPr="00146BF7" w:rsidRDefault="002B701A" w:rsidP="002B701A">
      <w:pPr>
        <w:pStyle w:val="JUDGMENTCONTINUED"/>
      </w:pPr>
    </w:p>
    <w:p w14:paraId="0F6616A9" w14:textId="77777777" w:rsidR="002B701A" w:rsidRPr="00322F9F" w:rsidRDefault="002B701A" w:rsidP="002B701A">
      <w:pPr>
        <w:pStyle w:val="HEADING"/>
        <w:rPr>
          <w:szCs w:val="26"/>
        </w:rPr>
      </w:pPr>
      <w:r w:rsidRPr="00FF1B00">
        <w:rPr>
          <w:szCs w:val="26"/>
        </w:rPr>
        <w:t>Conclusion</w:t>
      </w:r>
    </w:p>
    <w:p w14:paraId="5A8007DE" w14:textId="302225CE" w:rsidR="002B701A" w:rsidRDefault="00811729" w:rsidP="00811729">
      <w:pPr>
        <w:pStyle w:val="JUDGMENTNUMBERED"/>
        <w:numPr>
          <w:ilvl w:val="0"/>
          <w:numId w:val="0"/>
        </w:numPr>
      </w:pPr>
      <w:r>
        <w:rPr>
          <w:color w:val="000000"/>
        </w:rPr>
        <w:t>[180]</w:t>
      </w:r>
      <w:r>
        <w:rPr>
          <w:color w:val="000000"/>
        </w:rPr>
        <w:tab/>
      </w:r>
      <w:r w:rsidR="002B701A" w:rsidRPr="007128F0">
        <w:t>To sum up: Ms Hunter commenced her litigation seeking to procure an investigation into the lawfulness of the cancellations project.  The grounds relied upon to support this relief was her allegation that the “a</w:t>
      </w:r>
      <w:r w:rsidR="007C288B">
        <w:t xml:space="preserve">uthorised representatives” and </w:t>
      </w:r>
      <w:r w:rsidR="002B701A" w:rsidRPr="007128F0">
        <w:t xml:space="preserve">section 26(2) trustees did not have the power to apply for </w:t>
      </w:r>
      <w:r w:rsidR="002B701A">
        <w:t>cancellation</w:t>
      </w:r>
      <w:r w:rsidR="002B701A" w:rsidRPr="007128F0">
        <w:t xml:space="preserve"> of the </w:t>
      </w:r>
      <w:r w:rsidR="002B701A">
        <w:t>“</w:t>
      </w:r>
      <w:r w:rsidR="002B701A" w:rsidRPr="007128F0">
        <w:t>orphan funds</w:t>
      </w:r>
      <w:r w:rsidR="002B701A">
        <w:t>”</w:t>
      </w:r>
      <w:r w:rsidR="002B701A" w:rsidRPr="007128F0">
        <w:t xml:space="preserve"> or to provide the </w:t>
      </w:r>
      <w:r w:rsidR="005460DB">
        <w:t>r</w:t>
      </w:r>
      <w:r w:rsidR="002B701A" w:rsidRPr="007128F0">
        <w:t>egistrar with evidence for him to exercise his power under s</w:t>
      </w:r>
      <w:r w:rsidR="002B701A">
        <w:t>ection</w:t>
      </w:r>
      <w:r w:rsidR="002B701A" w:rsidRPr="007128F0">
        <w:t xml:space="preserve"> 27(1) to cancel the registration of the funds.  Her complaint was therefore aimed at the lawfulness of th</w:t>
      </w:r>
      <w:r w:rsidR="00255496">
        <w:t>e project, not that there were systemic irregularities</w:t>
      </w:r>
      <w:r w:rsidR="002B701A" w:rsidRPr="007128F0">
        <w:t xml:space="preserve"> requiring an investigation.</w:t>
      </w:r>
      <w:r w:rsidR="002B701A">
        <w:t xml:space="preserve"> </w:t>
      </w:r>
      <w:r w:rsidR="002B701A" w:rsidRPr="007128F0">
        <w:t xml:space="preserve"> The </w:t>
      </w:r>
      <w:r w:rsidR="002B701A">
        <w:t>FSCA</w:t>
      </w:r>
      <w:r w:rsidR="002B701A" w:rsidRPr="007128F0">
        <w:t xml:space="preserve"> met the unlawfulness case squarely by showing that s</w:t>
      </w:r>
      <w:r w:rsidR="002B701A">
        <w:t>ection</w:t>
      </w:r>
      <w:r w:rsidR="002B701A" w:rsidRPr="007128F0">
        <w:t xml:space="preserve"> 27(1) allows the </w:t>
      </w:r>
      <w:r w:rsidR="005460DB">
        <w:t>r</w:t>
      </w:r>
      <w:r w:rsidR="005460DB" w:rsidRPr="007128F0">
        <w:t xml:space="preserve">egistrar </w:t>
      </w:r>
      <w:r w:rsidR="002B701A" w:rsidRPr="007128F0">
        <w:t xml:space="preserve">to cancel the registration of an </w:t>
      </w:r>
      <w:r w:rsidR="002B701A">
        <w:t>“</w:t>
      </w:r>
      <w:r w:rsidR="002B701A" w:rsidRPr="007128F0">
        <w:t>orphan fund</w:t>
      </w:r>
      <w:r w:rsidR="002B701A">
        <w:t>”</w:t>
      </w:r>
      <w:r w:rsidR="002B701A" w:rsidRPr="007128F0">
        <w:t xml:space="preserve"> without any application for its cancellation and regardless of the source of the evidence that the fund has ceased to exist. </w:t>
      </w:r>
      <w:r w:rsidR="002B701A">
        <w:t xml:space="preserve"> </w:t>
      </w:r>
      <w:r w:rsidR="002B701A" w:rsidRPr="007128F0">
        <w:t>But it went further</w:t>
      </w:r>
      <w:r w:rsidR="002B701A">
        <w:t xml:space="preserve"> and</w:t>
      </w:r>
      <w:r w:rsidR="002B701A" w:rsidRPr="007128F0">
        <w:t xml:space="preserve"> instituted an investigation</w:t>
      </w:r>
      <w:r w:rsidR="002B701A">
        <w:t xml:space="preserve"> by Mr Mort and Mr Andrew</w:t>
      </w:r>
      <w:r w:rsidR="002B701A" w:rsidRPr="007128F0">
        <w:t xml:space="preserve"> into the likelihood of material financial prejudice following the </w:t>
      </w:r>
      <w:proofErr w:type="spellStart"/>
      <w:r w:rsidR="002B701A" w:rsidRPr="007128F0">
        <w:t>O’Regan</w:t>
      </w:r>
      <w:proofErr w:type="spellEnd"/>
      <w:r w:rsidR="002B701A" w:rsidRPr="007128F0">
        <w:t xml:space="preserve"> report.</w:t>
      </w:r>
    </w:p>
    <w:p w14:paraId="7CBAAB82" w14:textId="77777777" w:rsidR="002B701A" w:rsidRPr="003536D5" w:rsidRDefault="002B701A" w:rsidP="002B701A">
      <w:pPr>
        <w:pStyle w:val="JUDGMENTCONTINUED"/>
      </w:pPr>
    </w:p>
    <w:p w14:paraId="20528E98" w14:textId="66283911" w:rsidR="002B701A" w:rsidRDefault="00811729" w:rsidP="00811729">
      <w:pPr>
        <w:pStyle w:val="JUDGMENTNUMBERED"/>
        <w:numPr>
          <w:ilvl w:val="0"/>
          <w:numId w:val="0"/>
        </w:numPr>
      </w:pPr>
      <w:r>
        <w:rPr>
          <w:color w:val="000000"/>
        </w:rPr>
        <w:t>[181]</w:t>
      </w:r>
      <w:r>
        <w:rPr>
          <w:color w:val="000000"/>
        </w:rPr>
        <w:tab/>
      </w:r>
      <w:r w:rsidR="00CB5455">
        <w:t>Ms Hunter’s</w:t>
      </w:r>
      <w:r w:rsidR="002B701A" w:rsidRPr="0010707D">
        <w:t xml:space="preserve"> case has now changed fundamentally in </w:t>
      </w:r>
      <w:r w:rsidR="002B701A">
        <w:t xml:space="preserve">an </w:t>
      </w:r>
      <w:r w:rsidR="002B701A" w:rsidRPr="0010707D">
        <w:t xml:space="preserve">attempt to establish a duty to investigate potential unlawfulness of the </w:t>
      </w:r>
      <w:r w:rsidR="00E046D0">
        <w:t xml:space="preserve">cancellations </w:t>
      </w:r>
      <w:r w:rsidR="002B701A" w:rsidRPr="0010707D">
        <w:t xml:space="preserve">project based on a quantitative analysis of a number of reversed </w:t>
      </w:r>
      <w:r w:rsidR="002B701A">
        <w:t>cancellation</w:t>
      </w:r>
      <w:r w:rsidR="002B701A" w:rsidRPr="0010707D">
        <w:t xml:space="preserve">s, and what she believes </w:t>
      </w:r>
      <w:r w:rsidR="002B701A">
        <w:t xml:space="preserve">was </w:t>
      </w:r>
      <w:r w:rsidR="002B701A" w:rsidRPr="0010707D">
        <w:t xml:space="preserve">an inadequate investigation by Mr Mort. </w:t>
      </w:r>
      <w:r w:rsidR="002B701A">
        <w:t xml:space="preserve"> Aside from the fact that some of the facts she relied upon in this Court are questionable or at least unclear, </w:t>
      </w:r>
      <w:r w:rsidR="002B701A" w:rsidRPr="0010707D">
        <w:t xml:space="preserve">this was not an issue in her founding affidavit in the </w:t>
      </w:r>
      <w:r w:rsidR="002B701A">
        <w:t>H</w:t>
      </w:r>
      <w:r w:rsidR="002B701A" w:rsidRPr="0010707D">
        <w:t xml:space="preserve">igh </w:t>
      </w:r>
      <w:r w:rsidR="002B701A">
        <w:t>C</w:t>
      </w:r>
      <w:r w:rsidR="002B701A" w:rsidRPr="0010707D">
        <w:t>ourt (</w:t>
      </w:r>
      <w:r w:rsidR="002B701A">
        <w:t>this</w:t>
      </w:r>
      <w:r w:rsidR="002B701A" w:rsidRPr="0010707D">
        <w:t xml:space="preserve"> could not have been</w:t>
      </w:r>
      <w:r w:rsidR="002B701A">
        <w:t xml:space="preserve"> the case,</w:t>
      </w:r>
      <w:r w:rsidR="002B701A" w:rsidRPr="0010707D">
        <w:t xml:space="preserve"> because </w:t>
      </w:r>
      <w:r w:rsidR="00EB17F6">
        <w:t>Mr</w:t>
      </w:r>
      <w:r w:rsidR="002B701A" w:rsidRPr="0010707D">
        <w:t xml:space="preserve"> Mort</w:t>
      </w:r>
      <w:r w:rsidR="00EB17F6">
        <w:t>’s</w:t>
      </w:r>
      <w:r w:rsidR="002B701A" w:rsidRPr="0010707D">
        <w:t xml:space="preserve"> investigation had not even begun).</w:t>
      </w:r>
      <w:r w:rsidR="002B701A">
        <w:t xml:space="preserve"> </w:t>
      </w:r>
      <w:r w:rsidR="002B701A" w:rsidRPr="0010707D">
        <w:t xml:space="preserve"> The respondents were therefore not called </w:t>
      </w:r>
      <w:r w:rsidR="002B701A" w:rsidRPr="0010707D">
        <w:lastRenderedPageBreak/>
        <w:t xml:space="preserve">upon to answer this case. </w:t>
      </w:r>
      <w:r w:rsidR="002B701A">
        <w:t xml:space="preserve"> </w:t>
      </w:r>
      <w:r w:rsidR="002B701A" w:rsidRPr="0010707D">
        <w:t>It is grossly unfair to expect them to do so for the first</w:t>
      </w:r>
      <w:r w:rsidR="002B701A" w:rsidRPr="001A29E7">
        <w:t xml:space="preserve"> time in this </w:t>
      </w:r>
      <w:r w:rsidR="002B701A">
        <w:t>C</w:t>
      </w:r>
      <w:r w:rsidR="002B701A" w:rsidRPr="001A29E7">
        <w:t>ourt.</w:t>
      </w:r>
    </w:p>
    <w:p w14:paraId="1A351425" w14:textId="77777777" w:rsidR="002B701A" w:rsidRPr="00D81D69" w:rsidRDefault="002B701A" w:rsidP="002B701A">
      <w:pPr>
        <w:pStyle w:val="JUDGMENTCONTINUED"/>
      </w:pPr>
    </w:p>
    <w:p w14:paraId="01528864" w14:textId="77777777" w:rsidR="002B701A" w:rsidRPr="00140830" w:rsidRDefault="002B701A" w:rsidP="002B701A">
      <w:pPr>
        <w:pStyle w:val="HEADING"/>
        <w:rPr>
          <w:szCs w:val="26"/>
        </w:rPr>
      </w:pPr>
      <w:r w:rsidRPr="00140830">
        <w:rPr>
          <w:szCs w:val="26"/>
        </w:rPr>
        <w:t>Costs</w:t>
      </w:r>
    </w:p>
    <w:p w14:paraId="5647199A" w14:textId="7C806ED1" w:rsidR="002B701A" w:rsidRPr="005D4BC6" w:rsidRDefault="00811729" w:rsidP="00811729">
      <w:pPr>
        <w:pStyle w:val="JUDGMENTNUMBERED"/>
        <w:numPr>
          <w:ilvl w:val="0"/>
          <w:numId w:val="0"/>
        </w:numPr>
      </w:pPr>
      <w:r w:rsidRPr="005D4BC6">
        <w:rPr>
          <w:color w:val="000000"/>
        </w:rPr>
        <w:t>[182]</w:t>
      </w:r>
      <w:r w:rsidRPr="005D4BC6">
        <w:rPr>
          <w:color w:val="000000"/>
        </w:rPr>
        <w:tab/>
      </w:r>
      <w:r w:rsidR="002B701A" w:rsidRPr="00140830">
        <w:t xml:space="preserve">This brings me to the question </w:t>
      </w:r>
      <w:r w:rsidR="002B701A">
        <w:t xml:space="preserve">of </w:t>
      </w:r>
      <w:r w:rsidR="002B701A" w:rsidRPr="0010707D">
        <w:t xml:space="preserve">costs. </w:t>
      </w:r>
      <w:r w:rsidR="002B701A">
        <w:t xml:space="preserve"> </w:t>
      </w:r>
      <w:r w:rsidR="002B701A" w:rsidRPr="0010707D">
        <w:t xml:space="preserve">I accept that Ms Hunter’s primary purpose in instituting these proceedings was to compel the </w:t>
      </w:r>
      <w:r w:rsidR="002B701A">
        <w:t>FSCA</w:t>
      </w:r>
      <w:r w:rsidR="002B701A" w:rsidRPr="0010707D">
        <w:t xml:space="preserve"> and the Minister</w:t>
      </w:r>
      <w:r w:rsidR="002B701A">
        <w:t xml:space="preserve"> to</w:t>
      </w:r>
      <w:r w:rsidR="002B701A" w:rsidRPr="0010707D">
        <w:t xml:space="preserve"> act lawfully in compliance with their constitutional and statutory duties. </w:t>
      </w:r>
      <w:r w:rsidR="002B701A">
        <w:t xml:space="preserve"> S</w:t>
      </w:r>
      <w:r w:rsidR="002B701A" w:rsidRPr="0010707D">
        <w:t xml:space="preserve">he sought to </w:t>
      </w:r>
      <w:r w:rsidR="002B701A">
        <w:t xml:space="preserve">do </w:t>
      </w:r>
      <w:r w:rsidR="002B701A" w:rsidRPr="0010707D">
        <w:t xml:space="preserve">so in the public interest. </w:t>
      </w:r>
      <w:r w:rsidR="002B701A">
        <w:t xml:space="preserve"> The </w:t>
      </w:r>
      <w:proofErr w:type="spellStart"/>
      <w:r w:rsidR="002B701A" w:rsidRPr="00150E5D">
        <w:rPr>
          <w:i/>
        </w:rPr>
        <w:t>Biowatch</w:t>
      </w:r>
      <w:proofErr w:type="spellEnd"/>
      <w:r w:rsidR="002B701A" w:rsidRPr="00150E5D">
        <w:rPr>
          <w:i/>
        </w:rPr>
        <w:t xml:space="preserve"> </w:t>
      </w:r>
      <w:r w:rsidR="002B701A">
        <w:t>principle therefore applies.</w:t>
      </w:r>
      <w:r w:rsidR="002B701A">
        <w:rPr>
          <w:rStyle w:val="FootnoteReference"/>
          <w:szCs w:val="26"/>
        </w:rPr>
        <w:footnoteReference w:id="68"/>
      </w:r>
      <w:r w:rsidR="002B701A">
        <w:t xml:space="preserve">  </w:t>
      </w:r>
      <w:r w:rsidR="002B701A" w:rsidRPr="0010707D">
        <w:t xml:space="preserve">But she also made unsubstantiated allegations and unjustifiably impugned the integrity of various officials in the course of her employment-related complaints. </w:t>
      </w:r>
      <w:r w:rsidR="002B701A">
        <w:t xml:space="preserve"> </w:t>
      </w:r>
      <w:r w:rsidR="009B6C69">
        <w:t>Ms Hunter’s</w:t>
      </w:r>
      <w:r w:rsidR="002B701A" w:rsidRPr="0010707D">
        <w:t xml:space="preserve"> groundless attack against Mr Mort, which w</w:t>
      </w:r>
      <w:r w:rsidR="002B701A" w:rsidRPr="001A29E7">
        <w:t xml:space="preserve">as not pursued in this </w:t>
      </w:r>
      <w:r w:rsidR="002B701A">
        <w:t>C</w:t>
      </w:r>
      <w:r w:rsidR="002B701A" w:rsidRPr="001A29E7">
        <w:t xml:space="preserve">ourt, would ordinarily have constituted grounds for an adverse costs order against </w:t>
      </w:r>
      <w:r w:rsidR="0002258D">
        <w:t>her</w:t>
      </w:r>
      <w:r w:rsidR="002B701A" w:rsidRPr="001A29E7">
        <w:t>.</w:t>
      </w:r>
    </w:p>
    <w:p w14:paraId="00AE0869" w14:textId="77777777" w:rsidR="002B701A" w:rsidRPr="00D81D69" w:rsidRDefault="002B701A" w:rsidP="002B701A">
      <w:pPr>
        <w:pStyle w:val="JUDGMENTCONTINUED"/>
      </w:pPr>
    </w:p>
    <w:p w14:paraId="2F854C75" w14:textId="5555CA8B" w:rsidR="002B701A" w:rsidRPr="004D65CD" w:rsidRDefault="00811729" w:rsidP="00811729">
      <w:pPr>
        <w:pStyle w:val="JUDGMENTNUMBERED"/>
        <w:numPr>
          <w:ilvl w:val="0"/>
          <w:numId w:val="0"/>
        </w:numPr>
      </w:pPr>
      <w:r w:rsidRPr="004D65CD">
        <w:rPr>
          <w:color w:val="000000"/>
        </w:rPr>
        <w:t>[183]</w:t>
      </w:r>
      <w:r w:rsidRPr="004D65CD">
        <w:rPr>
          <w:color w:val="000000"/>
        </w:rPr>
        <w:tab/>
      </w:r>
      <w:r w:rsidR="002B701A" w:rsidRPr="004D65CD">
        <w:t xml:space="preserve">However, the </w:t>
      </w:r>
      <w:r w:rsidR="002B701A">
        <w:t>FSCA</w:t>
      </w:r>
      <w:r w:rsidR="002B701A" w:rsidRPr="004D65CD">
        <w:t xml:space="preserve"> has abandoned the costs orders in its favour in both the </w:t>
      </w:r>
      <w:r w:rsidR="002B701A">
        <w:t>H</w:t>
      </w:r>
      <w:r w:rsidR="002B701A" w:rsidRPr="004D65CD">
        <w:t>igh</w:t>
      </w:r>
      <w:r w:rsidR="002B701A">
        <w:t> C</w:t>
      </w:r>
      <w:r w:rsidR="002B701A" w:rsidRPr="004D65CD">
        <w:t xml:space="preserve">ourt and the Supreme Court of Appeal, and does not ask for any costs against </w:t>
      </w:r>
      <w:r w:rsidR="002B701A">
        <w:t>Ms Hunter</w:t>
      </w:r>
      <w:r w:rsidR="002B701A" w:rsidRPr="004D65CD">
        <w:t xml:space="preserve"> in this </w:t>
      </w:r>
      <w:r w:rsidR="002B701A">
        <w:t>C</w:t>
      </w:r>
      <w:r w:rsidR="002B701A" w:rsidRPr="004D65CD">
        <w:t xml:space="preserve">ourt. </w:t>
      </w:r>
      <w:r w:rsidR="002B701A">
        <w:t xml:space="preserve"> </w:t>
      </w:r>
      <w:r w:rsidR="002B701A" w:rsidRPr="004D65CD">
        <w:t>It has also indemnified Mr</w:t>
      </w:r>
      <w:r w:rsidR="002B701A">
        <w:t> </w:t>
      </w:r>
      <w:proofErr w:type="spellStart"/>
      <w:r w:rsidR="002B701A" w:rsidRPr="004D65CD">
        <w:t>Tshidi</w:t>
      </w:r>
      <w:proofErr w:type="spellEnd"/>
      <w:r w:rsidR="002B701A" w:rsidRPr="004D65CD">
        <w:t xml:space="preserve"> and Mr</w:t>
      </w:r>
      <w:r w:rsidR="002B701A">
        <w:t> </w:t>
      </w:r>
      <w:r w:rsidR="002B701A" w:rsidRPr="004D65CD">
        <w:t xml:space="preserve">Boyd in regard to any costs they have incurred to answer the allegations that were made against them. </w:t>
      </w:r>
      <w:r w:rsidR="002B701A">
        <w:t xml:space="preserve"> </w:t>
      </w:r>
      <w:r w:rsidR="00D230A7">
        <w:t>Ms Hunter’s</w:t>
      </w:r>
      <w:r w:rsidR="002B701A" w:rsidRPr="004D65CD">
        <w:t xml:space="preserve"> case against the Minister was misconceived from the start, but was ultimately founded on the alleged failure of the </w:t>
      </w:r>
      <w:r w:rsidR="002B701A">
        <w:t>FSCA</w:t>
      </w:r>
      <w:r w:rsidR="002B701A" w:rsidRPr="004D65CD">
        <w:t xml:space="preserve"> to fulfil its duties. </w:t>
      </w:r>
      <w:r w:rsidR="002B701A">
        <w:t xml:space="preserve"> </w:t>
      </w:r>
      <w:r w:rsidR="002B701A" w:rsidRPr="004D65CD">
        <w:t>In the circumstances</w:t>
      </w:r>
      <w:r w:rsidR="002B701A">
        <w:t>,</w:t>
      </w:r>
      <w:r w:rsidR="002B701A" w:rsidRPr="004D65CD">
        <w:t xml:space="preserve"> I accept that she should not be made to pay for the costs of any of the respondents. </w:t>
      </w:r>
      <w:r w:rsidR="002B701A">
        <w:t xml:space="preserve"> </w:t>
      </w:r>
      <w:r w:rsidR="002B701A" w:rsidRPr="004D65CD">
        <w:t xml:space="preserve">I also agree that there is no basis at all for </w:t>
      </w:r>
      <w:r w:rsidR="002B701A" w:rsidRPr="000372C2">
        <w:t>the amicus curiae</w:t>
      </w:r>
      <w:r w:rsidR="002B701A" w:rsidRPr="00ED178B">
        <w:t xml:space="preserve"> </w:t>
      </w:r>
      <w:r w:rsidR="002B701A" w:rsidRPr="004D65CD">
        <w:t>to ask for a costs order in its favour.</w:t>
      </w:r>
    </w:p>
    <w:p w14:paraId="27D2F3B5" w14:textId="77777777" w:rsidR="002B701A" w:rsidRPr="00D81D69" w:rsidRDefault="002B701A" w:rsidP="002B701A">
      <w:pPr>
        <w:pStyle w:val="JUDGMENTCONTINUED"/>
      </w:pPr>
    </w:p>
    <w:p w14:paraId="77AAF171" w14:textId="7F7F6515" w:rsidR="00A9202D" w:rsidRPr="00ED178B" w:rsidRDefault="00811729" w:rsidP="00811729">
      <w:pPr>
        <w:pStyle w:val="JUDGMENTNUMBERED"/>
        <w:numPr>
          <w:ilvl w:val="0"/>
          <w:numId w:val="0"/>
        </w:numPr>
      </w:pPr>
      <w:r w:rsidRPr="00ED178B">
        <w:rPr>
          <w:color w:val="000000"/>
        </w:rPr>
        <w:t>[184]</w:t>
      </w:r>
      <w:r w:rsidRPr="00ED178B">
        <w:rPr>
          <w:color w:val="000000"/>
        </w:rPr>
        <w:tab/>
      </w:r>
      <w:r w:rsidR="002B701A" w:rsidRPr="00D81D69">
        <w:t>In</w:t>
      </w:r>
      <w:r w:rsidR="002B701A" w:rsidRPr="00FF1A7C">
        <w:t xml:space="preserve"> the result I would dismiss the application.  Save as aforesaid</w:t>
      </w:r>
      <w:r w:rsidR="002B701A">
        <w:t>,</w:t>
      </w:r>
      <w:r w:rsidR="002B701A" w:rsidRPr="00FF1A7C">
        <w:t xml:space="preserve"> I concur in paragraphs 3-11 of the order of the first judgment.</w:t>
      </w:r>
    </w:p>
    <w:p w14:paraId="515AA587" w14:textId="77777777" w:rsidR="006144AD" w:rsidRPr="006144AD" w:rsidRDefault="006144AD" w:rsidP="006144AD">
      <w:pPr>
        <w:pStyle w:val="JUDGMENTCONTINUED"/>
      </w:pPr>
    </w:p>
    <w:p w14:paraId="5E2860F0" w14:textId="77777777" w:rsidR="00CE5F9F" w:rsidRPr="00D754FC" w:rsidRDefault="00CE5F9F" w:rsidP="00D73273">
      <w:pPr>
        <w:pStyle w:val="JUDGMENTCONTINUED"/>
      </w:pPr>
    </w:p>
    <w:p w14:paraId="4E1BD0F2" w14:textId="77777777" w:rsidR="00CE5F9F" w:rsidRPr="00D754FC" w:rsidRDefault="00CE5F9F" w:rsidP="00D73273">
      <w:pPr>
        <w:pStyle w:val="JUDGMENTCONTINUED"/>
        <w:sectPr w:rsidR="00CE5F9F" w:rsidRPr="00D754FC" w:rsidSect="000F7521">
          <w:headerReference w:type="default" r:id="rId30"/>
          <w:headerReference w:type="first" r:id="rId31"/>
          <w:type w:val="continuous"/>
          <w:pgSz w:w="11907" w:h="16839" w:code="9"/>
          <w:pgMar w:top="1440" w:right="1440" w:bottom="1440" w:left="1440" w:header="708" w:footer="708" w:gutter="0"/>
          <w:cols w:space="708"/>
          <w:titlePg/>
          <w:docGrid w:linePitch="360"/>
        </w:sectPr>
      </w:pPr>
    </w:p>
    <w:p w14:paraId="1C2BB420" w14:textId="77777777" w:rsidR="00236F9A" w:rsidRPr="00D754FC" w:rsidRDefault="00236F9A" w:rsidP="00D73273">
      <w:pPr>
        <w:sectPr w:rsidR="00236F9A" w:rsidRPr="00D754FC" w:rsidSect="009559B5">
          <w:headerReference w:type="default" r:id="rId32"/>
          <w:footerReference w:type="default" r:id="rId33"/>
          <w:pgSz w:w="11907" w:h="16839" w:code="9"/>
          <w:pgMar w:top="1440" w:right="1440" w:bottom="1440" w:left="1440" w:header="708" w:footer="708" w:gutter="0"/>
          <w:pgNumType w:start="1"/>
          <w:cols w:space="708"/>
          <w:docGrid w:linePitch="360"/>
        </w:sectPr>
      </w:pPr>
    </w:p>
    <w:p w14:paraId="53A9EBCB" w14:textId="208EC249" w:rsidR="00CC158D" w:rsidRPr="00D754FC" w:rsidRDefault="00860C4E" w:rsidP="00D73273">
      <w:pPr>
        <w:pStyle w:val="COUNSELDETAILS"/>
      </w:pPr>
      <w:r w:rsidRPr="00D754FC">
        <w:lastRenderedPageBreak/>
        <w:t xml:space="preserve">For </w:t>
      </w:r>
      <w:r w:rsidR="003725DF">
        <w:t>the Applicant</w:t>
      </w:r>
      <w:r w:rsidRPr="00D754FC">
        <w:t>:</w:t>
      </w:r>
    </w:p>
    <w:p w14:paraId="38C79F1E" w14:textId="77777777" w:rsidR="00860C4E" w:rsidRPr="00D754FC" w:rsidRDefault="00860C4E" w:rsidP="00D73273">
      <w:pPr>
        <w:pStyle w:val="COUNSELDETAILS"/>
      </w:pPr>
    </w:p>
    <w:p w14:paraId="5D30099A" w14:textId="77777777" w:rsidR="00860C4E" w:rsidRPr="00D754FC" w:rsidRDefault="00860C4E" w:rsidP="00D73273">
      <w:pPr>
        <w:pStyle w:val="COUNSELDETAILS"/>
      </w:pPr>
    </w:p>
    <w:p w14:paraId="16ED52A2" w14:textId="77777777" w:rsidR="00896534" w:rsidRPr="00D754FC" w:rsidRDefault="00896534" w:rsidP="00D73273">
      <w:pPr>
        <w:pStyle w:val="COUNSELDETAILS"/>
      </w:pPr>
    </w:p>
    <w:p w14:paraId="2987C3BB" w14:textId="77777777" w:rsidR="00860C4E" w:rsidRPr="00D754FC" w:rsidRDefault="00860C4E" w:rsidP="00D73273">
      <w:pPr>
        <w:pStyle w:val="COUNSELDETAILS"/>
      </w:pPr>
      <w:r w:rsidRPr="00D754FC">
        <w:t>For the First and Second Respondents:</w:t>
      </w:r>
    </w:p>
    <w:p w14:paraId="586C9D39" w14:textId="77777777" w:rsidR="00860C4E" w:rsidRPr="00D754FC" w:rsidRDefault="00860C4E" w:rsidP="00D73273">
      <w:pPr>
        <w:pStyle w:val="COUNSELDETAILS"/>
      </w:pPr>
    </w:p>
    <w:p w14:paraId="59D867B3" w14:textId="77777777" w:rsidR="00860C4E" w:rsidRPr="00D754FC" w:rsidRDefault="00860C4E" w:rsidP="00D73273">
      <w:pPr>
        <w:pStyle w:val="COUNSELDETAILS"/>
      </w:pPr>
    </w:p>
    <w:p w14:paraId="5E0F2F9E" w14:textId="77777777" w:rsidR="00896534" w:rsidRPr="00D754FC" w:rsidRDefault="00896534" w:rsidP="00D73273">
      <w:pPr>
        <w:pStyle w:val="COUNSELDETAILS"/>
      </w:pPr>
    </w:p>
    <w:p w14:paraId="07A2A854" w14:textId="77777777" w:rsidR="00860C4E" w:rsidRPr="00D754FC" w:rsidRDefault="00860C4E" w:rsidP="00D73273">
      <w:pPr>
        <w:pStyle w:val="COUNSELDETAILS"/>
      </w:pPr>
      <w:r w:rsidRPr="00D754FC">
        <w:t xml:space="preserve">For the Third </w:t>
      </w:r>
      <w:r w:rsidR="00896534" w:rsidRPr="00D754FC">
        <w:t>and Fourth Respondents</w:t>
      </w:r>
      <w:r w:rsidRPr="00D754FC">
        <w:t>:</w:t>
      </w:r>
    </w:p>
    <w:p w14:paraId="06204F86" w14:textId="77777777" w:rsidR="00860C4E" w:rsidRPr="00D754FC" w:rsidRDefault="00860C4E" w:rsidP="00D73273">
      <w:pPr>
        <w:pStyle w:val="COUNSELDETAILS"/>
      </w:pPr>
    </w:p>
    <w:p w14:paraId="20977337" w14:textId="77777777" w:rsidR="00896534" w:rsidRPr="00D754FC" w:rsidRDefault="00896534" w:rsidP="00D73273">
      <w:pPr>
        <w:pStyle w:val="COUNSELDETAILS"/>
      </w:pPr>
    </w:p>
    <w:p w14:paraId="6D2BCCE9" w14:textId="77777777" w:rsidR="00236F9A" w:rsidRPr="00D754FC" w:rsidRDefault="00860C4E" w:rsidP="00D73273">
      <w:pPr>
        <w:pStyle w:val="COUNSELDETAILS"/>
      </w:pPr>
      <w:r w:rsidRPr="00D754FC">
        <w:t>For the</w:t>
      </w:r>
      <w:r w:rsidR="00896534" w:rsidRPr="00D754FC">
        <w:t xml:space="preserve"> Fifth Respondent</w:t>
      </w:r>
      <w:r w:rsidRPr="00D754FC">
        <w:t>:</w:t>
      </w:r>
    </w:p>
    <w:p w14:paraId="4460EEDF" w14:textId="77777777" w:rsidR="00E73C2D" w:rsidRPr="00D754FC" w:rsidRDefault="00E73C2D" w:rsidP="00D73273">
      <w:pPr>
        <w:pStyle w:val="COUNSELDETAILS"/>
      </w:pPr>
    </w:p>
    <w:p w14:paraId="55B8ADF6" w14:textId="77777777" w:rsidR="00E73C2D" w:rsidRPr="00D754FC" w:rsidRDefault="00E73C2D" w:rsidP="00D73273">
      <w:pPr>
        <w:pStyle w:val="COUNSELDETAILS"/>
      </w:pPr>
    </w:p>
    <w:p w14:paraId="28F6A51D" w14:textId="77777777" w:rsidR="00E73C2D" w:rsidRPr="00D754FC" w:rsidRDefault="00E73C2D" w:rsidP="00D73273">
      <w:pPr>
        <w:pStyle w:val="COUNSELDETAILS"/>
      </w:pPr>
    </w:p>
    <w:p w14:paraId="19290ED9" w14:textId="69F653F5" w:rsidR="00E73C2D" w:rsidRPr="00D754FC" w:rsidRDefault="00E73C2D" w:rsidP="00D73273">
      <w:pPr>
        <w:pStyle w:val="COUNSELDETAILS"/>
      </w:pPr>
      <w:r w:rsidRPr="00D754FC">
        <w:t>For the First Amicus Curiae</w:t>
      </w:r>
      <w:r w:rsidR="0056430F">
        <w:t>:</w:t>
      </w:r>
    </w:p>
    <w:p w14:paraId="572B4EFB" w14:textId="77777777" w:rsidR="00E73C2D" w:rsidRPr="00D754FC" w:rsidRDefault="00E73C2D" w:rsidP="00D73273">
      <w:pPr>
        <w:pStyle w:val="COUNSELDETAILS"/>
      </w:pPr>
    </w:p>
    <w:p w14:paraId="3381DD35" w14:textId="77777777" w:rsidR="00E73C2D" w:rsidRPr="00D754FC" w:rsidRDefault="00E73C2D" w:rsidP="00D73273">
      <w:pPr>
        <w:pStyle w:val="COUNSELDETAILS"/>
      </w:pPr>
    </w:p>
    <w:p w14:paraId="181014EB" w14:textId="77777777" w:rsidR="00E73C2D" w:rsidRPr="00D754FC" w:rsidRDefault="00E73C2D" w:rsidP="00D73273">
      <w:pPr>
        <w:pStyle w:val="COUNSELDETAILS"/>
      </w:pPr>
    </w:p>
    <w:p w14:paraId="3BFF4CF8" w14:textId="29FFD8AA" w:rsidR="00E73C2D" w:rsidRPr="00D754FC" w:rsidRDefault="00E73C2D" w:rsidP="00E73C2D">
      <w:pPr>
        <w:pStyle w:val="COUNSELDETAILS"/>
      </w:pPr>
      <w:r w:rsidRPr="00D754FC">
        <w:t>For the Second Amicus Curiae</w:t>
      </w:r>
      <w:r w:rsidR="0056430F">
        <w:t>:</w:t>
      </w:r>
    </w:p>
    <w:p w14:paraId="4C389884" w14:textId="77777777" w:rsidR="00E73C2D" w:rsidRPr="00D754FC" w:rsidRDefault="00E73C2D" w:rsidP="00D73273">
      <w:pPr>
        <w:pStyle w:val="COUNSELDETAILS"/>
      </w:pPr>
    </w:p>
    <w:p w14:paraId="323FD24D" w14:textId="1FC02677" w:rsidR="00896534" w:rsidRPr="00D754FC" w:rsidRDefault="00236F9A" w:rsidP="00D73273">
      <w:pPr>
        <w:pStyle w:val="COUNSELDETAILS"/>
      </w:pPr>
      <w:r w:rsidRPr="00D754FC">
        <w:br w:type="column"/>
      </w:r>
      <w:r w:rsidR="00896534" w:rsidRPr="00D754FC">
        <w:lastRenderedPageBreak/>
        <w:t>G</w:t>
      </w:r>
      <w:r w:rsidR="00DE0023">
        <w:t xml:space="preserve"> </w:t>
      </w:r>
      <w:r w:rsidR="00896534" w:rsidRPr="00D754FC">
        <w:t xml:space="preserve">M </w:t>
      </w:r>
      <w:proofErr w:type="spellStart"/>
      <w:r w:rsidR="00896534" w:rsidRPr="00D754FC">
        <w:t>Budlender</w:t>
      </w:r>
      <w:proofErr w:type="spellEnd"/>
      <w:r w:rsidR="00896534" w:rsidRPr="00D754FC">
        <w:t xml:space="preserve"> SC, F Ismail and A</w:t>
      </w:r>
      <w:r w:rsidR="00DE0023">
        <w:t> </w:t>
      </w:r>
      <w:proofErr w:type="spellStart"/>
      <w:r w:rsidR="00896534" w:rsidRPr="00D754FC">
        <w:t>Milovanovic</w:t>
      </w:r>
      <w:proofErr w:type="spellEnd"/>
      <w:r w:rsidR="00896534" w:rsidRPr="00D754FC">
        <w:t xml:space="preserve"> instructed by Fasken Martineau Attorneys.</w:t>
      </w:r>
    </w:p>
    <w:p w14:paraId="55739F59" w14:textId="77777777" w:rsidR="00896534" w:rsidRPr="00D754FC" w:rsidRDefault="00896534" w:rsidP="00D73273">
      <w:pPr>
        <w:pStyle w:val="COUNSELDETAILS"/>
      </w:pPr>
    </w:p>
    <w:p w14:paraId="4FB50F32" w14:textId="77777777" w:rsidR="00896534" w:rsidRPr="00D754FC" w:rsidRDefault="00896534" w:rsidP="00D73273">
      <w:pPr>
        <w:pStyle w:val="COUNSELDETAILS"/>
      </w:pPr>
      <w:r w:rsidRPr="00D754FC">
        <w:t xml:space="preserve">W </w:t>
      </w:r>
      <w:proofErr w:type="spellStart"/>
      <w:r w:rsidRPr="00D754FC">
        <w:t>Trengove</w:t>
      </w:r>
      <w:proofErr w:type="spellEnd"/>
      <w:r w:rsidRPr="00D754FC">
        <w:t xml:space="preserve"> SC and H Rajah instructed by Norton Rose Fulbright South Africa Inc. </w:t>
      </w:r>
    </w:p>
    <w:p w14:paraId="7014C049" w14:textId="77777777" w:rsidR="00896534" w:rsidRPr="00D754FC" w:rsidRDefault="00896534" w:rsidP="00D73273">
      <w:pPr>
        <w:pStyle w:val="COUNSELDETAILS"/>
      </w:pPr>
    </w:p>
    <w:p w14:paraId="6721A987" w14:textId="1442E146" w:rsidR="00896534" w:rsidRPr="00D754FC" w:rsidRDefault="00896534" w:rsidP="00D73273">
      <w:pPr>
        <w:pStyle w:val="COUNSELDETAILS"/>
      </w:pPr>
      <w:r w:rsidRPr="00D754FC">
        <w:t>M</w:t>
      </w:r>
      <w:r w:rsidR="00DE0023">
        <w:t xml:space="preserve"> </w:t>
      </w:r>
      <w:r w:rsidRPr="00D754FC">
        <w:t xml:space="preserve">C Maritz SC and T Manchu instructed by </w:t>
      </w:r>
      <w:proofErr w:type="spellStart"/>
      <w:r w:rsidRPr="00D754FC">
        <w:t>Rooth</w:t>
      </w:r>
      <w:proofErr w:type="spellEnd"/>
      <w:r w:rsidRPr="00D754FC">
        <w:t xml:space="preserve"> and </w:t>
      </w:r>
      <w:proofErr w:type="spellStart"/>
      <w:r w:rsidRPr="00D754FC">
        <w:t>Wessels</w:t>
      </w:r>
      <w:proofErr w:type="spellEnd"/>
      <w:r w:rsidRPr="00D754FC">
        <w:t xml:space="preserve"> Inc.</w:t>
      </w:r>
    </w:p>
    <w:p w14:paraId="1171875F" w14:textId="77777777" w:rsidR="00896534" w:rsidRPr="00D754FC" w:rsidRDefault="00896534" w:rsidP="00D73273">
      <w:pPr>
        <w:pStyle w:val="COUNSELDETAILS"/>
      </w:pPr>
    </w:p>
    <w:p w14:paraId="4B630D7F" w14:textId="0BD46986" w:rsidR="00896534" w:rsidRPr="00D754FC" w:rsidRDefault="00E73C2D" w:rsidP="00896534">
      <w:pPr>
        <w:pStyle w:val="COUNSELDETAILS"/>
      </w:pPr>
      <w:bookmarkStart w:id="26" w:name="_GoBack"/>
      <w:r w:rsidRPr="00D754FC">
        <w:t>J</w:t>
      </w:r>
      <w:r w:rsidR="00DE0023">
        <w:t xml:space="preserve"> </w:t>
      </w:r>
      <w:proofErr w:type="spellStart"/>
      <w:r w:rsidRPr="00D754FC">
        <w:t>J</w:t>
      </w:r>
      <w:proofErr w:type="spellEnd"/>
      <w:r w:rsidRPr="00D754FC">
        <w:t xml:space="preserve"> </w:t>
      </w:r>
      <w:proofErr w:type="spellStart"/>
      <w:r w:rsidRPr="00D754FC">
        <w:t>Gauntlett</w:t>
      </w:r>
      <w:proofErr w:type="spellEnd"/>
      <w:r w:rsidRPr="00D754FC">
        <w:t xml:space="preserve"> SC QC and F</w:t>
      </w:r>
      <w:r w:rsidR="00DE0023">
        <w:t xml:space="preserve"> </w:t>
      </w:r>
      <w:r w:rsidRPr="00D754FC">
        <w:t xml:space="preserve">B </w:t>
      </w:r>
      <w:proofErr w:type="spellStart"/>
      <w:r w:rsidRPr="00D754FC">
        <w:t>Pelser</w:t>
      </w:r>
      <w:proofErr w:type="spellEnd"/>
      <w:r w:rsidRPr="00D754FC">
        <w:t xml:space="preserve"> instructed by the State Attorney, Johannesburg.</w:t>
      </w:r>
    </w:p>
    <w:bookmarkEnd w:id="26"/>
    <w:p w14:paraId="32098DA4" w14:textId="77777777" w:rsidR="00E73C2D" w:rsidRPr="00D754FC" w:rsidRDefault="00E73C2D" w:rsidP="00896534">
      <w:pPr>
        <w:pStyle w:val="COUNSELDETAILS"/>
      </w:pPr>
    </w:p>
    <w:p w14:paraId="338B9183" w14:textId="77777777" w:rsidR="00860C4E" w:rsidRPr="00D754FC" w:rsidRDefault="00E73C2D" w:rsidP="00D73273">
      <w:pPr>
        <w:pStyle w:val="COUNSELDETAILS"/>
      </w:pPr>
      <w:r w:rsidRPr="00D754FC">
        <w:t xml:space="preserve">L Morison SC, J </w:t>
      </w:r>
      <w:proofErr w:type="spellStart"/>
      <w:r w:rsidRPr="00D754FC">
        <w:t>Bhima</w:t>
      </w:r>
      <w:proofErr w:type="spellEnd"/>
      <w:r w:rsidRPr="00D754FC">
        <w:t xml:space="preserve"> and T Scott instructed by Lawyers for Human Rights.</w:t>
      </w:r>
    </w:p>
    <w:p w14:paraId="0C5A2CA1" w14:textId="77777777" w:rsidR="00E73C2D" w:rsidRPr="00D754FC" w:rsidRDefault="00E73C2D" w:rsidP="00D73273">
      <w:pPr>
        <w:pStyle w:val="COUNSELDETAILS"/>
      </w:pPr>
    </w:p>
    <w:p w14:paraId="7A6ECE63" w14:textId="5FF834A8" w:rsidR="00E73C2D" w:rsidRPr="00D754FC" w:rsidRDefault="00E73C2D" w:rsidP="00D73273">
      <w:pPr>
        <w:pStyle w:val="COUNSELDETAILS"/>
      </w:pPr>
      <w:r w:rsidRPr="00D754FC">
        <w:t>B Wink</w:t>
      </w:r>
      <w:r w:rsidR="00853C79">
        <w:t>s</w:t>
      </w:r>
      <w:r w:rsidRPr="00D754FC">
        <w:t xml:space="preserve"> instructed by </w:t>
      </w:r>
      <w:proofErr w:type="spellStart"/>
      <w:r w:rsidRPr="00D754FC">
        <w:t>Bi</w:t>
      </w:r>
      <w:r w:rsidR="005673B4">
        <w:t>cc</w:t>
      </w:r>
      <w:r w:rsidRPr="00D754FC">
        <w:t>ari</w:t>
      </w:r>
      <w:proofErr w:type="spellEnd"/>
      <w:r w:rsidRPr="00D754FC">
        <w:t xml:space="preserve"> </w:t>
      </w:r>
      <w:proofErr w:type="spellStart"/>
      <w:r w:rsidRPr="00D754FC">
        <w:t>Bollo</w:t>
      </w:r>
      <w:proofErr w:type="spellEnd"/>
      <w:r w:rsidRPr="00D754FC">
        <w:t xml:space="preserve"> Mariano Inc. </w:t>
      </w:r>
    </w:p>
    <w:sectPr w:rsidR="00E73C2D" w:rsidRPr="00D754FC" w:rsidSect="009559B5">
      <w:type w:val="continuous"/>
      <w:pgSz w:w="11907" w:h="16839" w:code="9"/>
      <w:pgMar w:top="1440" w:right="1440" w:bottom="1440" w:left="1440" w:header="708" w:footer="708" w:gutter="0"/>
      <w:pgNumType w:start="1"/>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EB5FC1" w16cid:durableId="1E5C8D70"/>
  <w16cid:commentId w16cid:paraId="3EA8D5E5" w16cid:durableId="1E5C8DCB"/>
  <w16cid:commentId w16cid:paraId="0FB23720" w16cid:durableId="1E5C8E36"/>
  <w16cid:commentId w16cid:paraId="10279B26" w16cid:durableId="1E5C8E60"/>
  <w16cid:commentId w16cid:paraId="374539AC" w16cid:durableId="1E5C8EC2"/>
  <w16cid:commentId w16cid:paraId="546A0947" w16cid:durableId="1E5C8ED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DBD4E" w14:textId="77777777" w:rsidR="00830795" w:rsidRDefault="00830795" w:rsidP="00E4607C">
      <w:pPr>
        <w:spacing w:line="240" w:lineRule="auto"/>
      </w:pPr>
      <w:r>
        <w:separator/>
      </w:r>
    </w:p>
  </w:endnote>
  <w:endnote w:type="continuationSeparator" w:id="0">
    <w:p w14:paraId="65F2AF5C" w14:textId="77777777" w:rsidR="00830795" w:rsidRDefault="00830795" w:rsidP="00E46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90D57" w14:textId="77777777" w:rsidR="00811729" w:rsidRDefault="008117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1556" w14:textId="17825367" w:rsidR="00811729" w:rsidRDefault="00811729" w:rsidP="0087217E">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470823"/>
      <w:docPartObj>
        <w:docPartGallery w:val="Page Numbers (Bottom of Page)"/>
        <w:docPartUnique/>
      </w:docPartObj>
    </w:sdtPr>
    <w:sdtEndPr>
      <w:rPr>
        <w:noProof/>
      </w:rPr>
    </w:sdtEndPr>
    <w:sdtContent>
      <w:p w14:paraId="77CD0ED0" w14:textId="77777777" w:rsidR="00811729" w:rsidRDefault="0081172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8F2AC" w14:textId="44A4388F" w:rsidR="00811729" w:rsidRPr="006147BF" w:rsidRDefault="00811729" w:rsidP="0087217E">
    <w:pPr>
      <w:pStyle w:val="Footer"/>
      <w:jc w:val="center"/>
      <w:rPr>
        <w:color w:val="FFFFFF" w:themeColor="background1"/>
      </w:rPr>
    </w:pPr>
    <w:r w:rsidRPr="006147BF">
      <w:rPr>
        <w:color w:val="FFFFFF" w:themeColor="background1"/>
      </w:rPr>
      <w:fldChar w:fldCharType="begin"/>
    </w:r>
    <w:r w:rsidRPr="006147BF">
      <w:rPr>
        <w:color w:val="FFFFFF" w:themeColor="background1"/>
      </w:rPr>
      <w:instrText xml:space="preserve"> PAGE   \* MERGEFORMAT </w:instrText>
    </w:r>
    <w:r w:rsidRPr="006147BF">
      <w:rPr>
        <w:color w:val="FFFFFF" w:themeColor="background1"/>
      </w:rPr>
      <w:fldChar w:fldCharType="separate"/>
    </w:r>
    <w:r w:rsidR="007F64E8">
      <w:rPr>
        <w:noProof/>
        <w:color w:val="FFFFFF" w:themeColor="background1"/>
      </w:rPr>
      <w:t>2</w:t>
    </w:r>
    <w:r w:rsidRPr="006147BF">
      <w:rPr>
        <w:noProof/>
        <w:color w:val="FFFFFF" w:themeColor="background1"/>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C14AF" w14:textId="74C798B4" w:rsidR="00811729" w:rsidRDefault="00811729" w:rsidP="0087217E">
    <w:pPr>
      <w:pStyle w:val="Footer"/>
      <w:jc w:val="center"/>
    </w:pPr>
    <w:r>
      <w:fldChar w:fldCharType="begin"/>
    </w:r>
    <w:r>
      <w:instrText xml:space="preserve"> PAGE   \* MERGEFORMAT </w:instrText>
    </w:r>
    <w:r>
      <w:fldChar w:fldCharType="separate"/>
    </w:r>
    <w:r w:rsidR="007F64E8">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214456"/>
      <w:docPartObj>
        <w:docPartGallery w:val="Page Numbers (Bottom of Page)"/>
        <w:docPartUnique/>
      </w:docPartObj>
    </w:sdtPr>
    <w:sdtEndPr>
      <w:rPr>
        <w:noProof/>
      </w:rPr>
    </w:sdtEndPr>
    <w:sdtContent>
      <w:p w14:paraId="03597256" w14:textId="7872A0A2" w:rsidR="00811729" w:rsidRDefault="00811729">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68841" w14:textId="24893CA2" w:rsidR="00811729" w:rsidRDefault="00811729" w:rsidP="0087217E">
    <w:pPr>
      <w:pStyle w:val="Footer"/>
      <w:jc w:val="center"/>
    </w:pPr>
    <w:r>
      <w:fldChar w:fldCharType="begin"/>
    </w:r>
    <w:r>
      <w:instrText xml:space="preserve"> PAGE   \* MERGEFORMAT </w:instrText>
    </w:r>
    <w:r>
      <w:fldChar w:fldCharType="separate"/>
    </w:r>
    <w:r w:rsidR="007F64E8">
      <w:rPr>
        <w:noProof/>
      </w:rPr>
      <w:t>57</w:t>
    </w:r>
    <w:r>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455795"/>
      <w:docPartObj>
        <w:docPartGallery w:val="Page Numbers (Bottom of Page)"/>
        <w:docPartUnique/>
      </w:docPartObj>
    </w:sdtPr>
    <w:sdtEndPr>
      <w:rPr>
        <w:noProof/>
      </w:rPr>
    </w:sdtEndPr>
    <w:sdtContent>
      <w:p w14:paraId="237E1941" w14:textId="5350C86F" w:rsidR="00811729" w:rsidRDefault="00811729">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29D8F" w14:textId="77777777" w:rsidR="00811729" w:rsidRDefault="00811729" w:rsidP="0087217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D7FF0" w14:textId="77777777" w:rsidR="00830795" w:rsidRDefault="00830795" w:rsidP="00E4607C">
      <w:pPr>
        <w:spacing w:line="240" w:lineRule="auto"/>
      </w:pPr>
      <w:r>
        <w:separator/>
      </w:r>
    </w:p>
  </w:footnote>
  <w:footnote w:type="continuationSeparator" w:id="0">
    <w:p w14:paraId="01397BE6" w14:textId="77777777" w:rsidR="00830795" w:rsidRDefault="00830795" w:rsidP="00E4607C">
      <w:pPr>
        <w:spacing w:line="240" w:lineRule="auto"/>
      </w:pPr>
      <w:r>
        <w:continuationSeparator/>
      </w:r>
    </w:p>
  </w:footnote>
  <w:footnote w:id="1">
    <w:p w14:paraId="5AD883F6" w14:textId="77777777" w:rsidR="00811729" w:rsidRPr="00C307F7" w:rsidRDefault="00811729" w:rsidP="00F918F1">
      <w:pPr>
        <w:pStyle w:val="FootnoteText1"/>
        <w:rPr>
          <w:lang w:val="en-US"/>
        </w:rPr>
      </w:pPr>
      <w:r>
        <w:rPr>
          <w:rStyle w:val="FootnoteReference"/>
        </w:rPr>
        <w:footnoteRef/>
      </w:r>
      <w:r>
        <w:t xml:space="preserve"> </w:t>
      </w:r>
      <w:r>
        <w:rPr>
          <w:lang w:val="en-US"/>
        </w:rPr>
        <w:t>Section 27(1) provides</w:t>
      </w:r>
      <w:r w:rsidRPr="00C307F7">
        <w:rPr>
          <w:lang w:val="en-US"/>
        </w:rPr>
        <w:t xml:space="preserve"> that:</w:t>
      </w:r>
    </w:p>
    <w:p w14:paraId="3F4B582C" w14:textId="299062B2" w:rsidR="00811729" w:rsidRPr="00C307F7" w:rsidRDefault="00811729" w:rsidP="00793A70">
      <w:pPr>
        <w:pStyle w:val="QUOTEINFOOTNOTE"/>
        <w:rPr>
          <w:lang w:val="en-US"/>
        </w:rPr>
      </w:pPr>
      <w:r w:rsidRPr="00C307F7">
        <w:rPr>
          <w:lang w:val="en-US"/>
        </w:rPr>
        <w:t>“The Registrar shall cancel the registration of a fund</w:t>
      </w:r>
      <w:r w:rsidRPr="00DE0023">
        <w:rPr>
          <w:lang w:val="en-US"/>
        </w:rPr>
        <w:t>—–</w:t>
      </w:r>
    </w:p>
    <w:p w14:paraId="488267BA" w14:textId="074AFD2A" w:rsidR="00811729" w:rsidRPr="00372187" w:rsidRDefault="00811729" w:rsidP="00793A70">
      <w:pPr>
        <w:pStyle w:val="QUOTEINFOOTNOTE"/>
        <w:ind w:firstLine="720"/>
        <w:rPr>
          <w:lang w:val="en-US"/>
        </w:rPr>
      </w:pPr>
      <w:r w:rsidRPr="00C307F7">
        <w:rPr>
          <w:lang w:val="en-US"/>
        </w:rPr>
        <w:t>on proof to his satisfaction that the fund has ceased to exist.”</w:t>
      </w:r>
    </w:p>
  </w:footnote>
  <w:footnote w:id="2">
    <w:p w14:paraId="4DD218F2" w14:textId="258C910E" w:rsidR="00811729" w:rsidRDefault="00811729">
      <w:pPr>
        <w:pStyle w:val="FootnoteText"/>
      </w:pPr>
      <w:r>
        <w:rPr>
          <w:rStyle w:val="FootnoteReference"/>
        </w:rPr>
        <w:footnoteRef/>
      </w:r>
      <w:r>
        <w:t xml:space="preserve"> 24 of 1956.</w:t>
      </w:r>
    </w:p>
  </w:footnote>
  <w:footnote w:id="3">
    <w:p w14:paraId="1013D59B" w14:textId="12BE6212" w:rsidR="00811729" w:rsidRDefault="00811729">
      <w:pPr>
        <w:pStyle w:val="FootnoteText"/>
      </w:pPr>
      <w:r>
        <w:rPr>
          <w:rStyle w:val="FootnoteReference"/>
        </w:rPr>
        <w:footnoteRef/>
      </w:r>
      <w:r>
        <w:t xml:space="preserve"> See [36].</w:t>
      </w:r>
    </w:p>
  </w:footnote>
  <w:footnote w:id="4">
    <w:p w14:paraId="63F65F0B" w14:textId="75738E4A" w:rsidR="00811729" w:rsidRDefault="00811729" w:rsidP="0067363A">
      <w:pPr>
        <w:pStyle w:val="FootnoteText1"/>
      </w:pPr>
      <w:r>
        <w:rPr>
          <w:rStyle w:val="FootnoteReference"/>
        </w:rPr>
        <w:footnoteRef/>
      </w:r>
      <w:r>
        <w:t xml:space="preserve"> Section 300(3) of the Financial Sector Regulation Act 9 of 2017 (FSRA), which came into effect on 1 April 2018, provides:</w:t>
      </w:r>
    </w:p>
    <w:p w14:paraId="7DA90AA0" w14:textId="6F36E244" w:rsidR="00811729" w:rsidRDefault="00811729" w:rsidP="00315512">
      <w:pPr>
        <w:pStyle w:val="QUOTEINFOOTNOTE"/>
      </w:pPr>
      <w:r>
        <w:t>“The Financial Sector Conduct Authority must be substituted as a party in any pending proceedings, whether in a court, tribunal or before an arbitrator or any other person or body, that have been commenced but not finally determined immediately before the date on which this section comes into effect, for the Financial Services Board, the Directorate of Market Abuse, where applicable, or a registrar in terms of a financial sector law other than Banks Act.”</w:t>
      </w:r>
    </w:p>
  </w:footnote>
  <w:footnote w:id="5">
    <w:p w14:paraId="7D5224CD" w14:textId="77777777" w:rsidR="00811729" w:rsidRPr="00C307F7" w:rsidRDefault="00811729" w:rsidP="00F219F8">
      <w:pPr>
        <w:pStyle w:val="FootnoteText1"/>
        <w:rPr>
          <w:szCs w:val="20"/>
          <w:lang w:val="en-US" w:eastAsia="zh-CN"/>
        </w:rPr>
      </w:pPr>
      <w:r w:rsidRPr="00C307F7">
        <w:rPr>
          <w:rStyle w:val="FootnoteReference"/>
          <w:szCs w:val="20"/>
          <w:lang w:val="en-US"/>
        </w:rPr>
        <w:footnoteRef/>
      </w:r>
      <w:r w:rsidRPr="00C307F7">
        <w:rPr>
          <w:szCs w:val="20"/>
          <w:lang w:val="en-US"/>
        </w:rPr>
        <w:t xml:space="preserve"> </w:t>
      </w:r>
      <w:r>
        <w:rPr>
          <w:szCs w:val="20"/>
          <w:lang w:val="en-US" w:eastAsia="zh-CN"/>
        </w:rPr>
        <w:t>Section 26(2) of the PFA provides:</w:t>
      </w:r>
    </w:p>
    <w:p w14:paraId="535ABDB0" w14:textId="77777777" w:rsidR="00811729" w:rsidRPr="00C307F7" w:rsidRDefault="00811729" w:rsidP="00F219F8">
      <w:pPr>
        <w:pStyle w:val="QUOTEINFOOTNOTE"/>
        <w:rPr>
          <w:rFonts w:eastAsia="Times New Roman"/>
          <w:lang w:val="en-US" w:eastAsia="zh-CN"/>
        </w:rPr>
      </w:pPr>
      <w:r>
        <w:rPr>
          <w:rFonts w:eastAsia="Times New Roman"/>
          <w:lang w:val="en-US" w:eastAsia="zh-CN"/>
        </w:rPr>
        <w:t>“</w:t>
      </w:r>
      <w:r w:rsidRPr="00C307F7">
        <w:rPr>
          <w:rFonts w:eastAsia="Times New Roman"/>
          <w:lang w:val="en-US" w:eastAsia="zh-CN"/>
        </w:rPr>
        <w:t>Where a fund has no properly constituted board contemplated in section 7A and has failed to constitute a board after 90 days written notice by the registrar, or where a fund cannot constitute a board properly or where a</w:t>
      </w:r>
      <w:r>
        <w:rPr>
          <w:rFonts w:eastAsia="Times New Roman" w:hint="eastAsia"/>
          <w:lang w:val="en-US" w:eastAsia="zh-CN"/>
        </w:rPr>
        <w:t xml:space="preserve"> </w:t>
      </w:r>
      <w:r w:rsidRPr="00C307F7">
        <w:rPr>
          <w:rFonts w:eastAsia="Times New Roman"/>
          <w:lang w:val="en-US" w:eastAsia="zh-CN"/>
        </w:rPr>
        <w:t>board fails to comply with any requirements prescribed by the registrar in terms of section 7</w:t>
      </w:r>
      <w:proofErr w:type="gramStart"/>
      <w:r w:rsidRPr="00C307F7">
        <w:rPr>
          <w:rFonts w:eastAsia="Times New Roman"/>
          <w:lang w:val="en-US" w:eastAsia="zh-CN"/>
        </w:rPr>
        <w:t>A(</w:t>
      </w:r>
      <w:proofErr w:type="gramEnd"/>
      <w:r w:rsidRPr="00C307F7">
        <w:rPr>
          <w:rFonts w:eastAsia="Times New Roman"/>
          <w:lang w:val="en-US" w:eastAsia="zh-CN"/>
        </w:rPr>
        <w:t>3), the registrar may, notwithstanding the rules of the fund, at the cost of the fund</w:t>
      </w:r>
      <w:r>
        <w:rPr>
          <w:rFonts w:eastAsia="Times New Roman"/>
          <w:lang w:val="en-US" w:eastAsia="zh-CN"/>
        </w:rPr>
        <w:t>—</w:t>
      </w:r>
    </w:p>
    <w:p w14:paraId="5B2BF475" w14:textId="77777777" w:rsidR="00811729" w:rsidRPr="00C307F7" w:rsidRDefault="00811729" w:rsidP="00F219F8">
      <w:pPr>
        <w:pStyle w:val="QUOTEINFOOTNOTE"/>
        <w:ind w:left="2160" w:hanging="720"/>
        <w:rPr>
          <w:rFonts w:eastAsia="Times New Roman"/>
          <w:lang w:val="en-US" w:eastAsia="zh-CN"/>
        </w:rPr>
      </w:pPr>
      <w:r>
        <w:rPr>
          <w:rFonts w:eastAsia="Times New Roman"/>
          <w:lang w:val="en-US" w:eastAsia="zh-CN"/>
        </w:rPr>
        <w:t>(a)</w:t>
      </w:r>
      <w:r>
        <w:rPr>
          <w:rFonts w:eastAsia="Times New Roman"/>
          <w:lang w:val="en-US" w:eastAsia="zh-CN"/>
        </w:rPr>
        <w:tab/>
      </w:r>
      <w:r w:rsidRPr="00C307F7">
        <w:rPr>
          <w:rFonts w:eastAsia="Times New Roman"/>
          <w:lang w:val="en-US" w:eastAsia="zh-CN"/>
        </w:rPr>
        <w:t xml:space="preserve">appoint so many persons as may be appropriate to the board of the fund or appoint so many persons as may be necessary to make up the full complement or quorum of the board; and </w:t>
      </w:r>
    </w:p>
    <w:p w14:paraId="404E1F72" w14:textId="77777777" w:rsidR="00811729" w:rsidRPr="00C307F7" w:rsidRDefault="00811729" w:rsidP="00F219F8">
      <w:pPr>
        <w:pStyle w:val="QUOTEINFOOTNOTE"/>
        <w:ind w:firstLine="720"/>
        <w:rPr>
          <w:rFonts w:eastAsia="Times New Roman"/>
          <w:sz w:val="24"/>
          <w:szCs w:val="24"/>
          <w:lang w:val="en-US" w:eastAsia="zh-CN"/>
        </w:rPr>
      </w:pPr>
      <w:r>
        <w:rPr>
          <w:rFonts w:eastAsia="Times New Roman"/>
          <w:lang w:val="en-US" w:eastAsia="zh-CN"/>
        </w:rPr>
        <w:t>(b)</w:t>
      </w:r>
      <w:r>
        <w:rPr>
          <w:rFonts w:eastAsia="Times New Roman"/>
          <w:lang w:val="en-US" w:eastAsia="zh-CN"/>
        </w:rPr>
        <w:tab/>
      </w:r>
      <w:r w:rsidRPr="00C307F7">
        <w:rPr>
          <w:rFonts w:eastAsia="Times New Roman"/>
          <w:lang w:val="en-US" w:eastAsia="zh-CN"/>
        </w:rPr>
        <w:t>assign to such board such specific duties as the registrar deems expedient.”</w:t>
      </w:r>
    </w:p>
  </w:footnote>
  <w:footnote w:id="6">
    <w:p w14:paraId="04808BCD" w14:textId="0B8969B8" w:rsidR="00811729" w:rsidRPr="00225AA9" w:rsidRDefault="00811729" w:rsidP="00E702ED">
      <w:pPr>
        <w:spacing w:after="120" w:line="240" w:lineRule="auto"/>
        <w:rPr>
          <w:sz w:val="20"/>
        </w:rPr>
      </w:pPr>
      <w:r>
        <w:rPr>
          <w:rStyle w:val="FootnoteReference"/>
        </w:rPr>
        <w:footnoteRef/>
      </w:r>
      <w:r>
        <w:t xml:space="preserve"> </w:t>
      </w:r>
      <w:r w:rsidRPr="00225AA9">
        <w:rPr>
          <w:sz w:val="20"/>
        </w:rPr>
        <w:t xml:space="preserve">Regulation 33 of the Treasury Regulations </w:t>
      </w:r>
      <w:r>
        <w:rPr>
          <w:sz w:val="20"/>
        </w:rPr>
        <w:t>provides</w:t>
      </w:r>
      <w:r w:rsidRPr="00225AA9">
        <w:rPr>
          <w:sz w:val="20"/>
        </w:rPr>
        <w:t xml:space="preserve">: </w:t>
      </w:r>
    </w:p>
    <w:p w14:paraId="527FEDF2" w14:textId="75CA1FEB" w:rsidR="00811729" w:rsidRPr="00225AA9" w:rsidRDefault="00811729" w:rsidP="00E702ED">
      <w:pPr>
        <w:spacing w:after="120" w:line="240" w:lineRule="auto"/>
        <w:ind w:left="1440" w:right="720" w:hanging="720"/>
        <w:rPr>
          <w:sz w:val="20"/>
        </w:rPr>
      </w:pPr>
      <w:r w:rsidRPr="00225AA9">
        <w:rPr>
          <w:sz w:val="20"/>
        </w:rPr>
        <w:t>“33.1</w:t>
      </w:r>
      <w:r w:rsidRPr="00225AA9">
        <w:rPr>
          <w:sz w:val="20"/>
        </w:rPr>
        <w:tab/>
        <w:t>Investigation of alleged financial misconduct [Sections 85(</w:t>
      </w:r>
      <w:r>
        <w:rPr>
          <w:sz w:val="20"/>
        </w:rPr>
        <w:t>1)(b), (c) and (d) of the Public Finance Management Act 1 of 1999]</w:t>
      </w:r>
    </w:p>
    <w:p w14:paraId="10D838C8" w14:textId="2A7EB09A" w:rsidR="00811729" w:rsidRPr="00225AA9" w:rsidRDefault="00811729" w:rsidP="00315512">
      <w:pPr>
        <w:spacing w:after="120" w:line="240" w:lineRule="auto"/>
        <w:ind w:left="2160" w:right="720" w:hanging="720"/>
        <w:rPr>
          <w:sz w:val="20"/>
        </w:rPr>
      </w:pPr>
      <w:r w:rsidRPr="00225AA9">
        <w:rPr>
          <w:sz w:val="20"/>
        </w:rPr>
        <w:t xml:space="preserve">33.1.1 </w:t>
      </w:r>
      <w:r>
        <w:rPr>
          <w:sz w:val="20"/>
        </w:rPr>
        <w:tab/>
      </w:r>
      <w:r w:rsidRPr="00225AA9">
        <w:rPr>
          <w:sz w:val="20"/>
        </w:rPr>
        <w:t>If an employee is alleged to have committed financial misconduct, the accounting authority of the public entity must ensure that an investigation is conducted into the matter and if confirmed, must ensure that a disciplinary hearing is held in accordanc</w:t>
      </w:r>
      <w:r>
        <w:rPr>
          <w:sz w:val="20"/>
        </w:rPr>
        <w:t>e with the relevant prescripts.</w:t>
      </w:r>
    </w:p>
    <w:p w14:paraId="062A86E3" w14:textId="77777777" w:rsidR="00811729" w:rsidRDefault="00811729" w:rsidP="00315512">
      <w:pPr>
        <w:spacing w:after="120" w:line="240" w:lineRule="auto"/>
        <w:ind w:left="2160" w:right="720" w:hanging="720"/>
        <w:rPr>
          <w:sz w:val="20"/>
        </w:rPr>
      </w:pPr>
      <w:r w:rsidRPr="00225AA9">
        <w:rPr>
          <w:sz w:val="20"/>
        </w:rPr>
        <w:t>33.1.2</w:t>
      </w:r>
      <w:r>
        <w:rPr>
          <w:sz w:val="20"/>
        </w:rPr>
        <w:tab/>
      </w:r>
      <w:r w:rsidRPr="00225AA9">
        <w:rPr>
          <w:sz w:val="20"/>
        </w:rPr>
        <w:t>The accounting authority must ensure that the investigation is instituted within 30 days from the date of discovery of the alleged financial misconduct.</w:t>
      </w:r>
    </w:p>
    <w:p w14:paraId="2378FFA2" w14:textId="1EC6524C" w:rsidR="00811729" w:rsidRDefault="00811729" w:rsidP="00315512">
      <w:pPr>
        <w:spacing w:after="120" w:line="240" w:lineRule="auto"/>
        <w:ind w:left="2160" w:right="720" w:hanging="720"/>
        <w:rPr>
          <w:sz w:val="20"/>
        </w:rPr>
      </w:pPr>
      <w:r w:rsidRPr="00225AA9">
        <w:rPr>
          <w:sz w:val="20"/>
        </w:rPr>
        <w:t xml:space="preserve">33.1.3 </w:t>
      </w:r>
      <w:r>
        <w:rPr>
          <w:sz w:val="20"/>
        </w:rPr>
        <w:tab/>
      </w:r>
      <w:r w:rsidRPr="00225AA9">
        <w:rPr>
          <w:sz w:val="20"/>
        </w:rPr>
        <w:t>If an accounting authority or any of its members is alleged to have committed financial misconduct, the relevant executive authority must initiate an investigation into the matter and if the allegations are confirmed, must ensure that appropriate disciplinary proceedings are initiated immediately.</w:t>
      </w:r>
    </w:p>
    <w:p w14:paraId="574C0668" w14:textId="73F3C08A" w:rsidR="00811729" w:rsidRDefault="00811729" w:rsidP="00315512">
      <w:pPr>
        <w:spacing w:after="120" w:line="240" w:lineRule="auto"/>
        <w:ind w:left="2160" w:right="720" w:hanging="720"/>
        <w:rPr>
          <w:sz w:val="20"/>
        </w:rPr>
      </w:pPr>
      <w:r w:rsidRPr="00225AA9">
        <w:rPr>
          <w:sz w:val="20"/>
        </w:rPr>
        <w:t xml:space="preserve">33.1.4 </w:t>
      </w:r>
      <w:r>
        <w:rPr>
          <w:sz w:val="20"/>
        </w:rPr>
        <w:tab/>
      </w:r>
      <w:r w:rsidRPr="00225AA9">
        <w:rPr>
          <w:sz w:val="20"/>
        </w:rPr>
        <w:t>The relevant treasury may, after consultation with the executive authority</w:t>
      </w:r>
      <w:r>
        <w:rPr>
          <w:sz w:val="20"/>
        </w:rPr>
        <w:t>—</w:t>
      </w:r>
    </w:p>
    <w:p w14:paraId="1B4C8AD9" w14:textId="77777777" w:rsidR="00811729" w:rsidRPr="00225AA9" w:rsidRDefault="00811729" w:rsidP="00315512">
      <w:pPr>
        <w:spacing w:after="120" w:line="240" w:lineRule="auto"/>
        <w:ind w:left="2880" w:right="720" w:hanging="720"/>
        <w:rPr>
          <w:sz w:val="20"/>
        </w:rPr>
      </w:pPr>
      <w:r w:rsidRPr="00225AA9">
        <w:rPr>
          <w:sz w:val="20"/>
        </w:rPr>
        <w:t xml:space="preserve">(a) </w:t>
      </w:r>
      <w:r>
        <w:rPr>
          <w:sz w:val="20"/>
        </w:rPr>
        <w:tab/>
      </w:r>
      <w:r w:rsidRPr="00225AA9">
        <w:rPr>
          <w:sz w:val="20"/>
        </w:rPr>
        <w:t xml:space="preserve">direct that a person other than an employee of the public entity conducts the investigation; </w:t>
      </w:r>
    </w:p>
    <w:p w14:paraId="7DC59261" w14:textId="55D3CDDD" w:rsidR="00811729" w:rsidRPr="00153037" w:rsidRDefault="00811729" w:rsidP="00315512">
      <w:pPr>
        <w:spacing w:after="120" w:line="240" w:lineRule="auto"/>
        <w:ind w:left="2880" w:right="720" w:hanging="720"/>
        <w:rPr>
          <w:sz w:val="20"/>
        </w:rPr>
      </w:pPr>
      <w:r w:rsidRPr="00225AA9">
        <w:rPr>
          <w:sz w:val="20"/>
        </w:rPr>
        <w:t xml:space="preserve">(b) </w:t>
      </w:r>
      <w:r>
        <w:rPr>
          <w:sz w:val="20"/>
        </w:rPr>
        <w:tab/>
      </w:r>
      <w:r w:rsidRPr="00225AA9">
        <w:rPr>
          <w:sz w:val="20"/>
        </w:rPr>
        <w:t>issue any reasonable requirement regarding the way in which the investigation should be performed.</w:t>
      </w:r>
      <w:r>
        <w:rPr>
          <w:sz w:val="20"/>
        </w:rPr>
        <w:t>”</w:t>
      </w:r>
    </w:p>
  </w:footnote>
  <w:footnote w:id="7">
    <w:p w14:paraId="2528DF28" w14:textId="77777777" w:rsidR="00811729" w:rsidRDefault="00811729">
      <w:pPr>
        <w:pStyle w:val="FootnoteText"/>
      </w:pPr>
      <w:r>
        <w:rPr>
          <w:rStyle w:val="FootnoteReference"/>
        </w:rPr>
        <w:footnoteRef/>
      </w:r>
      <w:r>
        <w:t xml:space="preserve"> Ms Hunter’s NCN 1 was lodged in July 2014.</w:t>
      </w:r>
    </w:p>
  </w:footnote>
  <w:footnote w:id="8">
    <w:p w14:paraId="2C05C75E" w14:textId="77777777" w:rsidR="00811729" w:rsidRDefault="00811729">
      <w:pPr>
        <w:pStyle w:val="FootnoteText"/>
      </w:pPr>
      <w:r>
        <w:rPr>
          <w:rStyle w:val="FootnoteReference"/>
        </w:rPr>
        <w:footnoteRef/>
      </w:r>
      <w:r>
        <w:t xml:space="preserve"> This was finalised in November 2014. </w:t>
      </w:r>
    </w:p>
  </w:footnote>
  <w:footnote w:id="9">
    <w:p w14:paraId="74BE1FB6" w14:textId="27934969" w:rsidR="00811729" w:rsidRDefault="00811729">
      <w:pPr>
        <w:pStyle w:val="FootnoteText"/>
      </w:pPr>
      <w:r>
        <w:rPr>
          <w:rStyle w:val="FootnoteReference"/>
        </w:rPr>
        <w:footnoteRef/>
      </w:r>
      <w:r>
        <w:t xml:space="preserve"> Ms Hunter’s NCN 2 was lodged in June 2015.</w:t>
      </w:r>
    </w:p>
  </w:footnote>
  <w:footnote w:id="10">
    <w:p w14:paraId="3CD37CA8" w14:textId="77777777" w:rsidR="00811729" w:rsidRPr="00C307F7" w:rsidRDefault="00811729" w:rsidP="00C307F7">
      <w:pPr>
        <w:pStyle w:val="FootnoteText1"/>
        <w:rPr>
          <w:lang w:val="en-US" w:eastAsia="zh-CN"/>
        </w:rPr>
      </w:pPr>
      <w:r w:rsidRPr="00C307F7">
        <w:rPr>
          <w:rStyle w:val="FootnoteReference"/>
          <w:lang w:val="en-US"/>
        </w:rPr>
        <w:footnoteRef/>
      </w:r>
      <w:r w:rsidRPr="00C307F7">
        <w:rPr>
          <w:lang w:val="en-US"/>
        </w:rPr>
        <w:t xml:space="preserve"> </w:t>
      </w:r>
      <w:proofErr w:type="spellStart"/>
      <w:r w:rsidRPr="00AD054C">
        <w:rPr>
          <w:i/>
        </w:rPr>
        <w:t>Biowatch</w:t>
      </w:r>
      <w:proofErr w:type="spellEnd"/>
      <w:r w:rsidRPr="00AD054C">
        <w:rPr>
          <w:i/>
        </w:rPr>
        <w:t xml:space="preserve"> Trust </w:t>
      </w:r>
      <w:proofErr w:type="gramStart"/>
      <w:r w:rsidRPr="00AD054C">
        <w:rPr>
          <w:i/>
        </w:rPr>
        <w:t>v</w:t>
      </w:r>
      <w:proofErr w:type="gramEnd"/>
      <w:r w:rsidRPr="00AD054C">
        <w:rPr>
          <w:i/>
        </w:rPr>
        <w:t xml:space="preserve"> Registrar, Genetic Resources</w:t>
      </w:r>
      <w:r w:rsidRPr="00C307F7">
        <w:rPr>
          <w:lang w:val="en-US"/>
        </w:rPr>
        <w:t xml:space="preserve"> [2009] ZACC 14; 2009 (6) SA 232 (CC); 2009 (10) BCLR 1014 (CC) (</w:t>
      </w:r>
      <w:proofErr w:type="spellStart"/>
      <w:r w:rsidRPr="00C307F7">
        <w:rPr>
          <w:i/>
          <w:lang w:val="en-US"/>
        </w:rPr>
        <w:t>Biowatch</w:t>
      </w:r>
      <w:proofErr w:type="spellEnd"/>
      <w:r w:rsidRPr="00C307F7">
        <w:rPr>
          <w:lang w:val="en-US"/>
        </w:rPr>
        <w:t>)</w:t>
      </w:r>
      <w:r>
        <w:rPr>
          <w:rFonts w:hint="eastAsia"/>
          <w:lang w:val="en-US" w:eastAsia="zh-CN"/>
        </w:rPr>
        <w:t>.</w:t>
      </w:r>
    </w:p>
  </w:footnote>
  <w:footnote w:id="11">
    <w:p w14:paraId="18621678" w14:textId="77777777" w:rsidR="00811729" w:rsidRPr="00C307F7" w:rsidRDefault="00811729" w:rsidP="00C307F7">
      <w:pPr>
        <w:pStyle w:val="FootnoteText1"/>
        <w:rPr>
          <w:lang w:val="en-US" w:eastAsia="zh-CN"/>
        </w:rPr>
      </w:pPr>
      <w:r w:rsidRPr="00C307F7">
        <w:rPr>
          <w:rStyle w:val="FootnoteReference"/>
          <w:szCs w:val="20"/>
          <w:lang w:val="en-US"/>
        </w:rPr>
        <w:footnoteRef/>
      </w:r>
      <w:r w:rsidRPr="00C307F7">
        <w:rPr>
          <w:szCs w:val="20"/>
          <w:lang w:val="en-US"/>
        </w:rPr>
        <w:t xml:space="preserve"> </w:t>
      </w:r>
      <w:r w:rsidRPr="00BD6606">
        <w:rPr>
          <w:rFonts w:hint="eastAsia"/>
          <w:szCs w:val="20"/>
          <w:lang w:val="en-US" w:eastAsia="zh-CN"/>
        </w:rPr>
        <w:t>1 of 1999.</w:t>
      </w:r>
    </w:p>
  </w:footnote>
  <w:footnote w:id="12">
    <w:p w14:paraId="0604C07B" w14:textId="2DFFB3B3" w:rsidR="00811729" w:rsidRPr="00C307F7" w:rsidRDefault="00811729" w:rsidP="00C307F7">
      <w:pPr>
        <w:pStyle w:val="FootnoteText1"/>
        <w:rPr>
          <w:lang w:val="en-US"/>
        </w:rPr>
      </w:pPr>
      <w:r w:rsidRPr="00C307F7">
        <w:rPr>
          <w:rStyle w:val="FootnoteReference"/>
          <w:lang w:val="en-US"/>
        </w:rPr>
        <w:footnoteRef/>
      </w:r>
      <w:r w:rsidRPr="00C307F7">
        <w:rPr>
          <w:lang w:val="en-US"/>
        </w:rPr>
        <w:t xml:space="preserve"> </w:t>
      </w:r>
      <w:proofErr w:type="spellStart"/>
      <w:r w:rsidRPr="00E76DF8">
        <w:rPr>
          <w:i/>
          <w:lang w:val="en-US"/>
        </w:rPr>
        <w:t>Al</w:t>
      </w:r>
      <w:r>
        <w:rPr>
          <w:i/>
          <w:lang w:val="en-US"/>
        </w:rPr>
        <w:t>lP</w:t>
      </w:r>
      <w:r w:rsidRPr="00E76DF8">
        <w:rPr>
          <w:i/>
          <w:lang w:val="en-US"/>
        </w:rPr>
        <w:t>ay</w:t>
      </w:r>
      <w:proofErr w:type="spellEnd"/>
      <w:r w:rsidRPr="00E76DF8">
        <w:rPr>
          <w:i/>
          <w:lang w:val="en-US"/>
        </w:rPr>
        <w:t xml:space="preserve"> Consolidated Investment Holdings (Pty) L</w:t>
      </w:r>
      <w:r>
        <w:rPr>
          <w:i/>
          <w:lang w:val="en-US"/>
        </w:rPr>
        <w:t>td</w:t>
      </w:r>
      <w:r w:rsidRPr="00E76DF8">
        <w:rPr>
          <w:i/>
          <w:lang w:val="en-US"/>
        </w:rPr>
        <w:t xml:space="preserve"> v Chief Executive Officer</w:t>
      </w:r>
      <w:r>
        <w:rPr>
          <w:i/>
          <w:lang w:val="en-US"/>
        </w:rPr>
        <w:t>,</w:t>
      </w:r>
      <w:r w:rsidRPr="00E76DF8">
        <w:rPr>
          <w:i/>
          <w:lang w:val="en-US"/>
        </w:rPr>
        <w:t xml:space="preserve"> South African Social Security Agency </w:t>
      </w:r>
      <w:r w:rsidRPr="00B534C6">
        <w:rPr>
          <w:lang w:val="en-US"/>
        </w:rPr>
        <w:t>[201</w:t>
      </w:r>
      <w:r>
        <w:rPr>
          <w:lang w:val="en-US"/>
        </w:rPr>
        <w:t>3</w:t>
      </w:r>
      <w:r w:rsidRPr="00B534C6">
        <w:rPr>
          <w:lang w:val="en-US"/>
        </w:rPr>
        <w:t>] ZACC 42</w:t>
      </w:r>
      <w:r>
        <w:rPr>
          <w:lang w:val="en-US"/>
        </w:rPr>
        <w:t>;</w:t>
      </w:r>
      <w:r w:rsidRPr="00B534C6">
        <w:rPr>
          <w:lang w:val="en-US"/>
        </w:rPr>
        <w:t xml:space="preserve"> 2014 (1) SA 60</w:t>
      </w:r>
      <w:r>
        <w:rPr>
          <w:lang w:val="en-US"/>
        </w:rPr>
        <w:t>4</w:t>
      </w:r>
      <w:r w:rsidRPr="00B534C6">
        <w:rPr>
          <w:lang w:val="en-US"/>
        </w:rPr>
        <w:t xml:space="preserve"> (CC)</w:t>
      </w:r>
      <w:r>
        <w:rPr>
          <w:lang w:val="en-US"/>
        </w:rPr>
        <w:t>;</w:t>
      </w:r>
      <w:r w:rsidRPr="00FE4EB6">
        <w:rPr>
          <w:lang w:val="en-US"/>
        </w:rPr>
        <w:t xml:space="preserve"> </w:t>
      </w:r>
      <w:r>
        <w:rPr>
          <w:lang w:val="en-US"/>
        </w:rPr>
        <w:t>2014 (1) BCLR 1 (CC) (</w:t>
      </w:r>
      <w:proofErr w:type="spellStart"/>
      <w:r>
        <w:rPr>
          <w:i/>
          <w:lang w:val="en-US"/>
        </w:rPr>
        <w:t>AllPay</w:t>
      </w:r>
      <w:proofErr w:type="spellEnd"/>
      <w:r>
        <w:rPr>
          <w:lang w:val="en-US"/>
        </w:rPr>
        <w:t>)</w:t>
      </w:r>
      <w:r w:rsidRPr="00B534C6">
        <w:rPr>
          <w:lang w:val="en-US"/>
        </w:rPr>
        <w:t xml:space="preserve"> at paras 22</w:t>
      </w:r>
      <w:r>
        <w:rPr>
          <w:lang w:val="en-US"/>
        </w:rPr>
        <w:t>–</w:t>
      </w:r>
      <w:r w:rsidRPr="00B534C6">
        <w:rPr>
          <w:lang w:val="en-US"/>
        </w:rPr>
        <w:t>4.</w:t>
      </w:r>
    </w:p>
  </w:footnote>
  <w:footnote w:id="13">
    <w:p w14:paraId="78CE7B7C" w14:textId="77777777" w:rsidR="00811729" w:rsidRDefault="00811729" w:rsidP="00324ED4">
      <w:pPr>
        <w:pStyle w:val="FootnoteText1"/>
      </w:pPr>
      <w:r>
        <w:rPr>
          <w:rStyle w:val="FootnoteReference"/>
        </w:rPr>
        <w:footnoteRef/>
      </w:r>
      <w:r>
        <w:t xml:space="preserve"> International Organisation of Pension Supervisors (IOPS) </w:t>
      </w:r>
      <w:r>
        <w:rPr>
          <w:lang w:eastAsia="zh-CN"/>
        </w:rPr>
        <w:t>Principles of Private Pension Supervision (revised in 2010), IOPS Guidelines for Supervisory Intervention, Enforcement and Sanctions (November 2009), and IOPS Good Practices for Governance of Pension Supervisory Authorities (November 2013).</w:t>
      </w:r>
    </w:p>
  </w:footnote>
  <w:footnote w:id="14">
    <w:p w14:paraId="0EF1DBB1" w14:textId="5C112AF8" w:rsidR="00811729" w:rsidRDefault="00811729">
      <w:pPr>
        <w:pStyle w:val="FootnoteText"/>
      </w:pPr>
      <w:r>
        <w:rPr>
          <w:rStyle w:val="FootnoteReference"/>
        </w:rPr>
        <w:footnoteRef/>
      </w:r>
      <w:r>
        <w:t xml:space="preserve"> </w:t>
      </w:r>
      <w:r w:rsidRPr="005C36C7">
        <w:rPr>
          <w:lang w:val="en-US"/>
        </w:rPr>
        <w:t xml:space="preserve">In </w:t>
      </w:r>
      <w:proofErr w:type="spellStart"/>
      <w:r w:rsidRPr="005C36C7">
        <w:rPr>
          <w:i/>
          <w:lang w:val="en-US"/>
        </w:rPr>
        <w:t>Mazibuko</w:t>
      </w:r>
      <w:proofErr w:type="spellEnd"/>
      <w:r w:rsidRPr="005C36C7">
        <w:rPr>
          <w:i/>
          <w:lang w:val="en-US"/>
        </w:rPr>
        <w:t xml:space="preserve"> v City of Johannesburg</w:t>
      </w:r>
      <w:r w:rsidRPr="00395D5B">
        <w:rPr>
          <w:lang w:val="en-US"/>
        </w:rPr>
        <w:t xml:space="preserve"> </w:t>
      </w:r>
      <w:r>
        <w:rPr>
          <w:lang w:val="en-US"/>
        </w:rPr>
        <w:t xml:space="preserve">[2009] ZACC 28; </w:t>
      </w:r>
      <w:r w:rsidRPr="00395D5B">
        <w:rPr>
          <w:lang w:val="en-US"/>
        </w:rPr>
        <w:t>2010 (4) SA 1 (CC)</w:t>
      </w:r>
      <w:r>
        <w:rPr>
          <w:lang w:val="en-US"/>
        </w:rPr>
        <w:t>;</w:t>
      </w:r>
      <w:r>
        <w:t xml:space="preserve"> </w:t>
      </w:r>
      <w:r>
        <w:rPr>
          <w:lang w:val="en-US"/>
        </w:rPr>
        <w:t>2010 (3) BCLR 239 (CC)</w:t>
      </w:r>
      <w:r w:rsidRPr="00395D5B">
        <w:rPr>
          <w:lang w:val="en-US"/>
        </w:rPr>
        <w:t xml:space="preserve"> </w:t>
      </w:r>
      <w:r>
        <w:rPr>
          <w:lang w:val="en-US"/>
        </w:rPr>
        <w:t xml:space="preserve">at </w:t>
      </w:r>
      <w:r w:rsidRPr="00395D5B">
        <w:rPr>
          <w:lang w:val="en-US"/>
        </w:rPr>
        <w:t>para</w:t>
      </w:r>
      <w:r>
        <w:rPr>
          <w:lang w:val="en-US"/>
        </w:rPr>
        <w:t>s</w:t>
      </w:r>
      <w:r w:rsidRPr="00395D5B">
        <w:rPr>
          <w:lang w:val="en-US"/>
        </w:rPr>
        <w:t xml:space="preserve"> </w:t>
      </w:r>
      <w:r>
        <w:rPr>
          <w:lang w:val="en-US"/>
        </w:rPr>
        <w:t>39-</w:t>
      </w:r>
      <w:r w:rsidRPr="00395D5B">
        <w:rPr>
          <w:lang w:val="en-US"/>
        </w:rPr>
        <w:t>41</w:t>
      </w:r>
      <w:r>
        <w:rPr>
          <w:lang w:val="en-US"/>
        </w:rPr>
        <w:t xml:space="preserve"> this Court held that </w:t>
      </w:r>
      <w:r w:rsidRPr="005C36C7">
        <w:rPr>
          <w:lang w:val="en-US"/>
        </w:rPr>
        <w:t xml:space="preserve">new evidence is admissible on appeal where it </w:t>
      </w:r>
      <w:r>
        <w:rPr>
          <w:lang w:val="en-US"/>
        </w:rPr>
        <w:t>“</w:t>
      </w:r>
      <w:r w:rsidRPr="005C36C7">
        <w:rPr>
          <w:lang w:val="en-US"/>
        </w:rPr>
        <w:t>might be of assistance in determining the appropriate relief to be granted</w:t>
      </w:r>
      <w:r>
        <w:rPr>
          <w:lang w:val="en-US"/>
        </w:rPr>
        <w:t>”.</w:t>
      </w:r>
    </w:p>
  </w:footnote>
  <w:footnote w:id="15">
    <w:p w14:paraId="6F85D177" w14:textId="77777777" w:rsidR="00811729" w:rsidRDefault="00811729">
      <w:pPr>
        <w:pStyle w:val="FootnoteText"/>
      </w:pPr>
      <w:r>
        <w:rPr>
          <w:rStyle w:val="FootnoteReference"/>
        </w:rPr>
        <w:footnoteRef/>
      </w:r>
      <w:r>
        <w:t xml:space="preserve"> </w:t>
      </w:r>
      <w:r w:rsidRPr="000C3088">
        <w:t>3 of 2000</w:t>
      </w:r>
      <w:r>
        <w:t>.</w:t>
      </w:r>
    </w:p>
  </w:footnote>
  <w:footnote w:id="16">
    <w:p w14:paraId="7BC1BCF6" w14:textId="478B9ED6" w:rsidR="00811729" w:rsidRDefault="00811729" w:rsidP="0071183B">
      <w:pPr>
        <w:pStyle w:val="FootnoteText"/>
      </w:pPr>
      <w:r>
        <w:rPr>
          <w:rStyle w:val="FootnoteReference"/>
        </w:rPr>
        <w:footnoteRef/>
      </w:r>
      <w:r>
        <w:t xml:space="preserve"> </w:t>
      </w:r>
      <w:r w:rsidRPr="00DB598F">
        <w:rPr>
          <w:i/>
        </w:rPr>
        <w:t>Pharmaceutical Manufacturers of South Africa: In re Ex parte President of Republic of South Africa</w:t>
      </w:r>
      <w:r>
        <w:t xml:space="preserve"> [2000] ZACC 1; 2000 (2) SA 674 (CC); 2000 (3) BCLR 241 (CC) (</w:t>
      </w:r>
      <w:r w:rsidRPr="002F676A">
        <w:rPr>
          <w:i/>
        </w:rPr>
        <w:t>Pharmaceutical Manufacturers</w:t>
      </w:r>
      <w:r>
        <w:t>) at para 45.</w:t>
      </w:r>
    </w:p>
  </w:footnote>
  <w:footnote w:id="17">
    <w:p w14:paraId="527B1796" w14:textId="77777777" w:rsidR="00811729" w:rsidRDefault="00811729" w:rsidP="0071183B">
      <w:pPr>
        <w:pStyle w:val="FootnoteText"/>
      </w:pPr>
      <w:r>
        <w:rPr>
          <w:rStyle w:val="FootnoteReference"/>
        </w:rPr>
        <w:footnoteRef/>
      </w:r>
      <w:r>
        <w:t xml:space="preserve"> Section 33 (1) of the Constitution provides:</w:t>
      </w:r>
      <w:r w:rsidRPr="00E030E3">
        <w:t xml:space="preserve"> </w:t>
      </w:r>
    </w:p>
    <w:p w14:paraId="5744B6D3" w14:textId="7D56D9A7" w:rsidR="00811729" w:rsidRPr="00E030E3" w:rsidRDefault="00811729" w:rsidP="00153037">
      <w:pPr>
        <w:pStyle w:val="QUOTEINFOOTNOTE"/>
      </w:pPr>
      <w:r>
        <w:t>“</w:t>
      </w:r>
      <w:r w:rsidRPr="00E030E3">
        <w:t>Everyone has the right to administrative action that is lawful, reasonable and procedurally fair</w:t>
      </w:r>
      <w:r>
        <w:t>.”</w:t>
      </w:r>
    </w:p>
  </w:footnote>
  <w:footnote w:id="18">
    <w:p w14:paraId="0226949F" w14:textId="36628895" w:rsidR="00811729" w:rsidRDefault="00811729" w:rsidP="0071183B">
      <w:pPr>
        <w:pStyle w:val="FootnoteText"/>
      </w:pPr>
      <w:r>
        <w:rPr>
          <w:rStyle w:val="FootnoteReference"/>
        </w:rPr>
        <w:footnoteRef/>
      </w:r>
      <w:r>
        <w:t xml:space="preserve"> </w:t>
      </w:r>
      <w:proofErr w:type="spellStart"/>
      <w:r w:rsidRPr="003C1D52">
        <w:rPr>
          <w:i/>
        </w:rPr>
        <w:t>Bato</w:t>
      </w:r>
      <w:proofErr w:type="spellEnd"/>
      <w:r w:rsidRPr="003C1D52">
        <w:rPr>
          <w:i/>
        </w:rPr>
        <w:t xml:space="preserve"> Star Fishing (Pty) Ltd v Minister of Environmental Affairs and Tourism </w:t>
      </w:r>
      <w:r w:rsidRPr="00E030E3">
        <w:t>[2004] ZACC 15; 2004 (4) SA 490 (CC); 2004 (7) BCLR 687 (CC)</w:t>
      </w:r>
      <w:r>
        <w:t>.</w:t>
      </w:r>
    </w:p>
  </w:footnote>
  <w:footnote w:id="19">
    <w:p w14:paraId="1D2054AE" w14:textId="19AA627C" w:rsidR="00811729" w:rsidRDefault="00811729" w:rsidP="0071183B">
      <w:pPr>
        <w:pStyle w:val="FootnoteText"/>
      </w:pPr>
      <w:r>
        <w:rPr>
          <w:rStyle w:val="FootnoteReference"/>
        </w:rPr>
        <w:footnoteRef/>
      </w:r>
      <w:r>
        <w:t xml:space="preserve"> </w:t>
      </w:r>
      <w:proofErr w:type="spellStart"/>
      <w:r w:rsidRPr="003C1D52">
        <w:rPr>
          <w:i/>
        </w:rPr>
        <w:t>Maset</w:t>
      </w:r>
      <w:r>
        <w:rPr>
          <w:i/>
        </w:rPr>
        <w:t>l</w:t>
      </w:r>
      <w:r w:rsidRPr="003C1D52">
        <w:rPr>
          <w:i/>
        </w:rPr>
        <w:t>ha</w:t>
      </w:r>
      <w:proofErr w:type="spellEnd"/>
      <w:r w:rsidRPr="003C1D52">
        <w:rPr>
          <w:i/>
        </w:rPr>
        <w:t xml:space="preserve"> v President of Republic of South Africa</w:t>
      </w:r>
      <w:r>
        <w:t xml:space="preserve"> </w:t>
      </w:r>
      <w:r w:rsidRPr="00D77021">
        <w:t>[2007] ZACC 20; 2008 (1) SA 566 (CC); 2008 (1) BCLR 1 (CC).</w:t>
      </w:r>
    </w:p>
  </w:footnote>
  <w:footnote w:id="20">
    <w:p w14:paraId="7C5D6489" w14:textId="07E8DCD9" w:rsidR="00811729" w:rsidRDefault="00811729" w:rsidP="0071183B">
      <w:pPr>
        <w:pStyle w:val="FootnoteText"/>
      </w:pPr>
      <w:r>
        <w:rPr>
          <w:rStyle w:val="FootnoteReference"/>
        </w:rPr>
        <w:footnoteRef/>
      </w:r>
      <w:r>
        <w:t xml:space="preserve"> </w:t>
      </w:r>
      <w:r w:rsidRPr="003C1D52">
        <w:rPr>
          <w:i/>
        </w:rPr>
        <w:t>Johannesburg Consolidated Investment v Johannesburg Town Council</w:t>
      </w:r>
      <w:r>
        <w:t xml:space="preserve"> 1903 TS 111 at 116 and </w:t>
      </w:r>
      <w:proofErr w:type="spellStart"/>
      <w:r w:rsidRPr="003C1D52">
        <w:rPr>
          <w:i/>
        </w:rPr>
        <w:t>Nel</w:t>
      </w:r>
      <w:proofErr w:type="spellEnd"/>
      <w:r w:rsidRPr="003C1D52">
        <w:rPr>
          <w:i/>
        </w:rPr>
        <w:t xml:space="preserve"> N.O</w:t>
      </w:r>
      <w:r>
        <w:rPr>
          <w:i/>
        </w:rPr>
        <w:t>.</w:t>
      </w:r>
      <w:r w:rsidRPr="003C1D52">
        <w:rPr>
          <w:i/>
        </w:rPr>
        <w:t xml:space="preserve"> v The Master </w:t>
      </w:r>
      <w:r>
        <w:t>[2004] ZASCA 26; 2005 (1) SA 276 (SCA) at paras 22-4.</w:t>
      </w:r>
    </w:p>
  </w:footnote>
  <w:footnote w:id="21">
    <w:p w14:paraId="25E6DDFF" w14:textId="0A91C2C8" w:rsidR="00811729" w:rsidRDefault="00811729" w:rsidP="0071183B">
      <w:pPr>
        <w:pStyle w:val="FootnoteText"/>
      </w:pPr>
      <w:r>
        <w:rPr>
          <w:rStyle w:val="FootnoteReference"/>
        </w:rPr>
        <w:footnoteRef/>
      </w:r>
      <w:r>
        <w:t xml:space="preserve"> </w:t>
      </w:r>
      <w:r w:rsidRPr="003C1D52">
        <w:rPr>
          <w:i/>
        </w:rPr>
        <w:t>Pharma</w:t>
      </w:r>
      <w:r>
        <w:rPr>
          <w:i/>
        </w:rPr>
        <w:t xml:space="preserve">ceutical Manufacturers </w:t>
      </w:r>
      <w:r w:rsidRPr="00A62257">
        <w:t>above n 1</w:t>
      </w:r>
      <w:r>
        <w:t>6.</w:t>
      </w:r>
    </w:p>
  </w:footnote>
  <w:footnote w:id="22">
    <w:p w14:paraId="24DF4DCA" w14:textId="75F1328A" w:rsidR="00811729" w:rsidRPr="003C1D52" w:rsidRDefault="00811729" w:rsidP="0071183B">
      <w:pPr>
        <w:pStyle w:val="FootnoteText"/>
      </w:pPr>
      <w:r>
        <w:rPr>
          <w:rStyle w:val="FootnoteReference"/>
        </w:rPr>
        <w:footnoteRef/>
      </w:r>
      <w:r>
        <w:t xml:space="preserve"> </w:t>
      </w:r>
      <w:proofErr w:type="spellStart"/>
      <w:r w:rsidRPr="001628C1">
        <w:rPr>
          <w:i/>
        </w:rPr>
        <w:t>Khuma</w:t>
      </w:r>
      <w:r>
        <w:rPr>
          <w:i/>
        </w:rPr>
        <w:t>lo</w:t>
      </w:r>
      <w:proofErr w:type="spellEnd"/>
      <w:r>
        <w:rPr>
          <w:i/>
        </w:rPr>
        <w:t xml:space="preserve"> v MEC for Education KwaZulu-</w:t>
      </w:r>
      <w:r w:rsidRPr="001628C1">
        <w:rPr>
          <w:i/>
        </w:rPr>
        <w:t>Natal</w:t>
      </w:r>
      <w:r w:rsidRPr="003C1D52">
        <w:t xml:space="preserve"> </w:t>
      </w:r>
      <w:r>
        <w:t>[2013] ZACC 49; 2014 (5) SA 579 (CC); 2014 (3) BCLR 333 (CC) (</w:t>
      </w:r>
      <w:proofErr w:type="spellStart"/>
      <w:r>
        <w:rPr>
          <w:i/>
        </w:rPr>
        <w:t>Khumalo</w:t>
      </w:r>
      <w:proofErr w:type="spellEnd"/>
      <w:r>
        <w:t xml:space="preserve">); </w:t>
      </w:r>
      <w:r w:rsidRPr="003C1D52">
        <w:t xml:space="preserve">and </w:t>
      </w:r>
      <w:r w:rsidRPr="001628C1">
        <w:rPr>
          <w:i/>
        </w:rPr>
        <w:t xml:space="preserve">MEC for Health, Eastern Cape v </w:t>
      </w:r>
      <w:proofErr w:type="spellStart"/>
      <w:r w:rsidRPr="001628C1">
        <w:rPr>
          <w:i/>
        </w:rPr>
        <w:t>Kirland</w:t>
      </w:r>
      <w:proofErr w:type="spellEnd"/>
      <w:r w:rsidRPr="001628C1">
        <w:rPr>
          <w:i/>
        </w:rPr>
        <w:t xml:space="preserve"> Investment</w:t>
      </w:r>
      <w:r>
        <w:rPr>
          <w:i/>
        </w:rPr>
        <w:t>s</w:t>
      </w:r>
      <w:r w:rsidRPr="001628C1">
        <w:rPr>
          <w:i/>
        </w:rPr>
        <w:t xml:space="preserve"> (Pty) Ltd</w:t>
      </w:r>
      <w:r w:rsidRPr="003C1D52">
        <w:t xml:space="preserve"> </w:t>
      </w:r>
      <w:r>
        <w:t xml:space="preserve">[2014] ZACC 6; </w:t>
      </w:r>
      <w:r w:rsidRPr="003C1D52">
        <w:t>2014 (3) SA 481 (CC)</w:t>
      </w:r>
      <w:r>
        <w:t>; 2014 (5) BCLR 574 (CC) (</w:t>
      </w:r>
      <w:proofErr w:type="spellStart"/>
      <w:r>
        <w:rPr>
          <w:i/>
        </w:rPr>
        <w:t>Kirland</w:t>
      </w:r>
      <w:proofErr w:type="spellEnd"/>
      <w:r>
        <w:rPr>
          <w:i/>
        </w:rPr>
        <w:t xml:space="preserve"> Investments</w:t>
      </w:r>
      <w:r>
        <w:t>).</w:t>
      </w:r>
    </w:p>
  </w:footnote>
  <w:footnote w:id="23">
    <w:p w14:paraId="25B8032B" w14:textId="4BEDE040" w:rsidR="00811729" w:rsidRDefault="00811729" w:rsidP="00BE1793">
      <w:pPr>
        <w:pStyle w:val="FootnoteText"/>
      </w:pPr>
      <w:r>
        <w:rPr>
          <w:rStyle w:val="FootnoteReference"/>
        </w:rPr>
        <w:footnoteRef/>
      </w:r>
      <w:r>
        <w:t xml:space="preserve"> </w:t>
      </w:r>
      <w:r w:rsidRPr="00D806C9">
        <w:rPr>
          <w:i/>
        </w:rPr>
        <w:t xml:space="preserve">State Information Technology Agency SOC Limited v </w:t>
      </w:r>
      <w:proofErr w:type="spellStart"/>
      <w:r w:rsidRPr="00D806C9">
        <w:rPr>
          <w:i/>
        </w:rPr>
        <w:t>Gijima</w:t>
      </w:r>
      <w:proofErr w:type="spellEnd"/>
      <w:r w:rsidRPr="00D806C9">
        <w:rPr>
          <w:i/>
        </w:rPr>
        <w:t xml:space="preserve"> Holdings (Pty) Limited</w:t>
      </w:r>
      <w:r>
        <w:t xml:space="preserve"> [2017] ZACC 40; 2018 (2) SA 23 (CC); 2018 (2) BCLR 240 (CC) (</w:t>
      </w:r>
      <w:proofErr w:type="spellStart"/>
      <w:r w:rsidRPr="00F14114">
        <w:rPr>
          <w:i/>
        </w:rPr>
        <w:t>Gijima</w:t>
      </w:r>
      <w:proofErr w:type="spellEnd"/>
      <w:r>
        <w:t>).</w:t>
      </w:r>
    </w:p>
  </w:footnote>
  <w:footnote w:id="24">
    <w:p w14:paraId="1F5E58B9" w14:textId="77777777" w:rsidR="00811729" w:rsidRDefault="00811729" w:rsidP="00BE1793">
      <w:pPr>
        <w:pStyle w:val="FootnoteText"/>
      </w:pPr>
      <w:r>
        <w:rPr>
          <w:rStyle w:val="FootnoteReference"/>
        </w:rPr>
        <w:footnoteRef/>
      </w:r>
      <w:r>
        <w:t xml:space="preserve"> Id at para 31.</w:t>
      </w:r>
    </w:p>
  </w:footnote>
  <w:footnote w:id="25">
    <w:p w14:paraId="3939A580" w14:textId="45FD1E78" w:rsidR="00811729" w:rsidRDefault="00811729">
      <w:pPr>
        <w:pStyle w:val="FootnoteText"/>
      </w:pPr>
      <w:r>
        <w:rPr>
          <w:rStyle w:val="FootnoteReference"/>
        </w:rPr>
        <w:footnoteRef/>
      </w:r>
      <w:r>
        <w:t xml:space="preserve"> See </w:t>
      </w:r>
      <w:r w:rsidRPr="00383D37">
        <w:rPr>
          <w:i/>
        </w:rPr>
        <w:t>N M Scrap (Pty) Ltd v Transnet Ltd</w:t>
      </w:r>
      <w:r>
        <w:t xml:space="preserve"> (2013) JDR 0858 (GSJ) at paras 15-6.</w:t>
      </w:r>
    </w:p>
  </w:footnote>
  <w:footnote w:id="26">
    <w:p w14:paraId="017E6B5B" w14:textId="755106B6" w:rsidR="00811729" w:rsidRPr="00C307F7" w:rsidRDefault="00811729" w:rsidP="00C307F7">
      <w:pPr>
        <w:pStyle w:val="FootnoteText1"/>
        <w:rPr>
          <w:lang w:val="en-US" w:eastAsia="zh-CN"/>
        </w:rPr>
      </w:pPr>
      <w:r w:rsidRPr="00C307F7">
        <w:rPr>
          <w:rStyle w:val="FootnoteReference"/>
          <w:lang w:val="en-US"/>
        </w:rPr>
        <w:footnoteRef/>
      </w:r>
      <w:r w:rsidRPr="00C307F7">
        <w:rPr>
          <w:lang w:val="en-US"/>
        </w:rPr>
        <w:t xml:space="preserve"> </w:t>
      </w:r>
      <w:proofErr w:type="spellStart"/>
      <w:r w:rsidRPr="0079288C">
        <w:rPr>
          <w:i/>
          <w:lang w:val="en-US"/>
        </w:rPr>
        <w:t>Biowatch</w:t>
      </w:r>
      <w:proofErr w:type="spellEnd"/>
      <w:r w:rsidRPr="0079288C">
        <w:rPr>
          <w:i/>
          <w:lang w:val="en-US"/>
        </w:rPr>
        <w:t xml:space="preserve"> </w:t>
      </w:r>
      <w:r w:rsidRPr="00315512">
        <w:rPr>
          <w:lang w:val="en-US"/>
        </w:rPr>
        <w:t>above n 10</w:t>
      </w:r>
      <w:r w:rsidRPr="00315512">
        <w:rPr>
          <w:rFonts w:hint="eastAsia"/>
          <w:lang w:val="en-US" w:eastAsia="zh-CN"/>
        </w:rPr>
        <w:t>.</w:t>
      </w:r>
    </w:p>
  </w:footnote>
  <w:footnote w:id="27">
    <w:p w14:paraId="3468A0AB" w14:textId="2C92F0A9" w:rsidR="00811729" w:rsidRDefault="00811729" w:rsidP="006144AD">
      <w:pPr>
        <w:pStyle w:val="FootnoteText"/>
      </w:pPr>
      <w:r>
        <w:rPr>
          <w:rStyle w:val="FootnoteReference"/>
        </w:rPr>
        <w:footnoteRef/>
      </w:r>
      <w:r>
        <w:t xml:space="preserve"> The reports are explained in [14] to [18].  In short, they were all aimed at investigating the extent to which cancellations made during the course of the cancellations project were mistaken or irregular. On the recommendation of Justice </w:t>
      </w:r>
      <w:proofErr w:type="spellStart"/>
      <w:r>
        <w:t>O’Regan</w:t>
      </w:r>
      <w:proofErr w:type="spellEnd"/>
      <w:r>
        <w:t>, both KPMG and Mr Mort considered only a sample of the funds which had their registrations cancelled.</w:t>
      </w:r>
    </w:p>
  </w:footnote>
  <w:footnote w:id="28">
    <w:p w14:paraId="2CE8843B" w14:textId="0EF96360" w:rsidR="00811729" w:rsidRDefault="00811729" w:rsidP="006144AD">
      <w:pPr>
        <w:pStyle w:val="FootnoteText"/>
      </w:pPr>
      <w:r>
        <w:rPr>
          <w:rStyle w:val="FootnoteReference"/>
        </w:rPr>
        <w:footnoteRef/>
      </w:r>
      <w:r>
        <w:t xml:space="preserve"> First Inspection Report at para 43 and KPMG report dated 20 October 2015 at para 3.3.</w:t>
      </w:r>
    </w:p>
  </w:footnote>
  <w:footnote w:id="29">
    <w:p w14:paraId="6F25A98A" w14:textId="67D0DE60" w:rsidR="00811729" w:rsidRDefault="00811729" w:rsidP="006144AD">
      <w:pPr>
        <w:pStyle w:val="FootnoteText"/>
      </w:pPr>
      <w:r>
        <w:rPr>
          <w:rStyle w:val="FootnoteReference"/>
        </w:rPr>
        <w:footnoteRef/>
      </w:r>
      <w:r>
        <w:t xml:space="preserve"> See for example</w:t>
      </w:r>
      <w:r w:rsidRPr="00305039">
        <w:rPr>
          <w:i/>
        </w:rPr>
        <w:t xml:space="preserve"> </w:t>
      </w:r>
      <w:proofErr w:type="spellStart"/>
      <w:r>
        <w:rPr>
          <w:i/>
        </w:rPr>
        <w:t>Mokone</w:t>
      </w:r>
      <w:proofErr w:type="spellEnd"/>
      <w:r>
        <w:rPr>
          <w:i/>
        </w:rPr>
        <w:t xml:space="preserve"> v </w:t>
      </w:r>
      <w:proofErr w:type="spellStart"/>
      <w:r>
        <w:rPr>
          <w:i/>
        </w:rPr>
        <w:t>Tassos</w:t>
      </w:r>
      <w:proofErr w:type="spellEnd"/>
      <w:r>
        <w:rPr>
          <w:i/>
        </w:rPr>
        <w:t xml:space="preserve"> Properties CC </w:t>
      </w:r>
      <w:r>
        <w:t xml:space="preserve">[2017] ZACC 25; 2017 (5) SA 456 (CC); 2017 (10) BCLR 1261 (CC) at para 61 on the interpretation of an Act and the appropriateness to avoid formalistic and technical grounds when the subject matter is “about averting abuse and injustice”.  Further see </w:t>
      </w:r>
      <w:proofErr w:type="spellStart"/>
      <w:r>
        <w:rPr>
          <w:i/>
        </w:rPr>
        <w:t>Nabolisa</w:t>
      </w:r>
      <w:proofErr w:type="spellEnd"/>
      <w:r>
        <w:rPr>
          <w:i/>
        </w:rPr>
        <w:t xml:space="preserve"> v S</w:t>
      </w:r>
      <w:r>
        <w:t xml:space="preserve"> [2013] ZACC 17; 2013 (2) SACR 221 (CC); 2013 (8) BCLR 964 (CC) para 33 for notification; </w:t>
      </w:r>
      <w:r>
        <w:rPr>
          <w:i/>
        </w:rPr>
        <w:t xml:space="preserve">KwaZulu-Natal Joint Liaison Committee v MEC Department of Education, KwaZulu-Natal </w:t>
      </w:r>
      <w:r>
        <w:t>[2013] ZACC 10; 2013 (4) SA 262 (CC); 2013 (6) BCLR 615 (CC) (</w:t>
      </w:r>
      <w:r>
        <w:rPr>
          <w:i/>
        </w:rPr>
        <w:t>KZN</w:t>
      </w:r>
      <w:r>
        <w:t xml:space="preserve">) at para 28 which appears to be accepted by the majority and then explained in the concurring judgment of </w:t>
      </w:r>
      <w:proofErr w:type="spellStart"/>
      <w:r>
        <w:t>Froneman</w:t>
      </w:r>
      <w:proofErr w:type="spellEnd"/>
      <w:r>
        <w:t xml:space="preserve"> J; </w:t>
      </w:r>
      <w:r>
        <w:rPr>
          <w:i/>
        </w:rPr>
        <w:t>Centre for Child Law v Minister for Justice and Constitutional Development</w:t>
      </w:r>
      <w:r>
        <w:t xml:space="preserve"> [2009] ZACC 18; 2009 (6) SA 632 (CC); 2009 (11) BCLR 1105 (CC) on standing; </w:t>
      </w:r>
      <w:r>
        <w:rPr>
          <w:i/>
        </w:rPr>
        <w:t>AD v DW (Centre for Child Law as Amicus Curiae; Department for Social Development as Intervening Party)</w:t>
      </w:r>
      <w:r>
        <w:t xml:space="preserve"> [2007] ZACC 27; 2008 (3) SA 183 (CC); 2008 (4) BCLR 359 (CC) at para 30 where the best interests of a child principle is held to be more important than a formalistic approach to procedure.</w:t>
      </w:r>
    </w:p>
  </w:footnote>
  <w:footnote w:id="30">
    <w:p w14:paraId="12E618BC" w14:textId="77777777" w:rsidR="00811729" w:rsidRDefault="00811729" w:rsidP="006144AD">
      <w:pPr>
        <w:pStyle w:val="FootnoteText"/>
      </w:pPr>
      <w:r>
        <w:rPr>
          <w:rStyle w:val="FootnoteReference"/>
        </w:rPr>
        <w:footnoteRef/>
      </w:r>
      <w:r>
        <w:t xml:space="preserve"> </w:t>
      </w:r>
      <w:proofErr w:type="spellStart"/>
      <w:r w:rsidRPr="00037D40">
        <w:rPr>
          <w:i/>
        </w:rPr>
        <w:t>Swissborough</w:t>
      </w:r>
      <w:proofErr w:type="spellEnd"/>
      <w:r w:rsidRPr="00037D40">
        <w:rPr>
          <w:i/>
        </w:rPr>
        <w:t xml:space="preserve"> Diamond Mines (Pty) Ltd v Government of the Republic of South Africa </w:t>
      </w:r>
      <w:r>
        <w:t>1999 (2) SA 279 (T) (</w:t>
      </w:r>
      <w:proofErr w:type="spellStart"/>
      <w:r>
        <w:rPr>
          <w:i/>
        </w:rPr>
        <w:t>Swissborough</w:t>
      </w:r>
      <w:proofErr w:type="spellEnd"/>
      <w:r>
        <w:t>) at 323G.</w:t>
      </w:r>
    </w:p>
  </w:footnote>
  <w:footnote w:id="31">
    <w:p w14:paraId="204F92AE" w14:textId="5CCA05F2" w:rsidR="00811729" w:rsidRDefault="00811729" w:rsidP="006144AD">
      <w:pPr>
        <w:pStyle w:val="FootnoteText"/>
      </w:pPr>
      <w:r>
        <w:rPr>
          <w:rStyle w:val="FootnoteReference"/>
        </w:rPr>
        <w:footnoteRef/>
      </w:r>
      <w:r>
        <w:t xml:space="preserve"> See [157].</w:t>
      </w:r>
    </w:p>
  </w:footnote>
  <w:footnote w:id="32">
    <w:p w14:paraId="27BAE166" w14:textId="2FF995BC" w:rsidR="00811729" w:rsidRDefault="00811729" w:rsidP="006144AD">
      <w:pPr>
        <w:pStyle w:val="FootnoteText"/>
      </w:pPr>
      <w:r>
        <w:rPr>
          <w:rStyle w:val="FootnoteReference"/>
        </w:rPr>
        <w:footnoteRef/>
      </w:r>
      <w:r>
        <w:t xml:space="preserve"> </w:t>
      </w:r>
      <w:proofErr w:type="spellStart"/>
      <w:r w:rsidRPr="00541E66">
        <w:rPr>
          <w:i/>
        </w:rPr>
        <w:t>Mazibuko</w:t>
      </w:r>
      <w:proofErr w:type="spellEnd"/>
      <w:r w:rsidRPr="00541E66">
        <w:rPr>
          <w:i/>
        </w:rPr>
        <w:t xml:space="preserve"> </w:t>
      </w:r>
      <w:r>
        <w:t xml:space="preserve">above n </w:t>
      </w:r>
      <w:r>
        <w:rPr>
          <w:highlight w:val="yellow"/>
        </w:rPr>
        <w:fldChar w:fldCharType="begin"/>
      </w:r>
      <w:r>
        <w:instrText xml:space="preserve"> NOTEREF _Ref524445982 \h </w:instrText>
      </w:r>
      <w:r>
        <w:rPr>
          <w:highlight w:val="yellow"/>
        </w:rPr>
      </w:r>
      <w:r>
        <w:rPr>
          <w:highlight w:val="yellow"/>
        </w:rPr>
        <w:fldChar w:fldCharType="separate"/>
      </w:r>
      <w:r>
        <w:t>14</w:t>
      </w:r>
      <w:r>
        <w:rPr>
          <w:highlight w:val="yellow"/>
        </w:rPr>
        <w:fldChar w:fldCharType="end"/>
      </w:r>
      <w:r>
        <w:t xml:space="preserve"> at para 41.</w:t>
      </w:r>
    </w:p>
  </w:footnote>
  <w:footnote w:id="33">
    <w:p w14:paraId="4765C4C5" w14:textId="15DCFB91" w:rsidR="00811729" w:rsidRDefault="00811729" w:rsidP="006144AD">
      <w:pPr>
        <w:pStyle w:val="FootnoteText"/>
      </w:pPr>
      <w:r>
        <w:rPr>
          <w:rStyle w:val="FootnoteReference"/>
        </w:rPr>
        <w:footnoteRef/>
      </w:r>
      <w:r>
        <w:t xml:space="preserve"> See </w:t>
      </w:r>
      <w:proofErr w:type="spellStart"/>
      <w:r w:rsidRPr="00757EBB">
        <w:rPr>
          <w:bCs/>
          <w:i/>
        </w:rPr>
        <w:t>Venmop</w:t>
      </w:r>
      <w:proofErr w:type="spellEnd"/>
      <w:r w:rsidRPr="00757EBB">
        <w:rPr>
          <w:bCs/>
          <w:i/>
        </w:rPr>
        <w:t xml:space="preserve"> 275 (Pty) Ltd v </w:t>
      </w:r>
      <w:proofErr w:type="spellStart"/>
      <w:r w:rsidRPr="00757EBB">
        <w:rPr>
          <w:bCs/>
          <w:i/>
        </w:rPr>
        <w:t>Cleverlad</w:t>
      </w:r>
      <w:proofErr w:type="spellEnd"/>
      <w:r w:rsidRPr="00757EBB">
        <w:rPr>
          <w:bCs/>
          <w:i/>
        </w:rPr>
        <w:t xml:space="preserve"> Projects (Pty) Ltd</w:t>
      </w:r>
      <w:r>
        <w:rPr>
          <w:bCs/>
        </w:rPr>
        <w:t xml:space="preserve"> 2016 (1) SA 78 (GJ) at 88-</w:t>
      </w:r>
      <w:r w:rsidRPr="00757EBB">
        <w:rPr>
          <w:bCs/>
        </w:rPr>
        <w:t>9 for a criticism of the practice of including legal submissions in affidavits.</w:t>
      </w:r>
    </w:p>
  </w:footnote>
  <w:footnote w:id="34">
    <w:p w14:paraId="263A94AE" w14:textId="56802480" w:rsidR="00811729" w:rsidRDefault="00811729" w:rsidP="008D7D2D">
      <w:pPr>
        <w:pStyle w:val="FootnoteText"/>
      </w:pPr>
      <w:r>
        <w:rPr>
          <w:rStyle w:val="FootnoteReference"/>
        </w:rPr>
        <w:footnoteRef/>
      </w:r>
      <w:r>
        <w:t xml:space="preserve"> </w:t>
      </w:r>
      <w:proofErr w:type="spellStart"/>
      <w:r w:rsidRPr="00541E66">
        <w:rPr>
          <w:i/>
        </w:rPr>
        <w:t>Khumalo</w:t>
      </w:r>
      <w:proofErr w:type="spellEnd"/>
      <w:r w:rsidRPr="00541E66">
        <w:rPr>
          <w:i/>
        </w:rPr>
        <w:t xml:space="preserve"> </w:t>
      </w:r>
      <w:r>
        <w:t>above n 22.</w:t>
      </w:r>
    </w:p>
  </w:footnote>
  <w:footnote w:id="35">
    <w:p w14:paraId="3066AC41" w14:textId="77777777" w:rsidR="00811729" w:rsidRDefault="00811729" w:rsidP="000122B8">
      <w:pPr>
        <w:pStyle w:val="FootnoteText"/>
      </w:pPr>
      <w:r>
        <w:rPr>
          <w:rStyle w:val="FootnoteReference"/>
        </w:rPr>
        <w:footnoteRef/>
      </w:r>
      <w:r>
        <w:t xml:space="preserve"> Id at para 35.</w:t>
      </w:r>
    </w:p>
  </w:footnote>
  <w:footnote w:id="36">
    <w:p w14:paraId="6DEB19AB" w14:textId="77777777" w:rsidR="00811729" w:rsidRDefault="00811729" w:rsidP="006144AD">
      <w:pPr>
        <w:pStyle w:val="FootnoteText"/>
      </w:pPr>
      <w:r>
        <w:rPr>
          <w:rStyle w:val="FootnoteReference"/>
        </w:rPr>
        <w:footnoteRef/>
      </w:r>
      <w:r>
        <w:t xml:space="preserve"> First judgment [40].</w:t>
      </w:r>
    </w:p>
  </w:footnote>
  <w:footnote w:id="37">
    <w:p w14:paraId="3923CBF4" w14:textId="0F5720B0" w:rsidR="00811729" w:rsidRDefault="00811729" w:rsidP="006144AD">
      <w:pPr>
        <w:pStyle w:val="FootnoteText"/>
      </w:pPr>
      <w:r>
        <w:rPr>
          <w:rStyle w:val="FootnoteReference"/>
        </w:rPr>
        <w:footnoteRef/>
      </w:r>
      <w:r>
        <w:t xml:space="preserve"> Schedule 3 of the PFMA lists the FSCA as a “Public Entity”.  The same schedule also lists the Competition Commission as a public entity. All public entities or functionaries, whether listed in particular pieces of legislation, must comply with the constitutional standards of </w:t>
      </w:r>
      <w:r w:rsidRPr="00211C40">
        <w:t>accountability, responsiveness and openness.</w:t>
      </w:r>
    </w:p>
  </w:footnote>
  <w:footnote w:id="38">
    <w:p w14:paraId="2D541DA4" w14:textId="3566E763" w:rsidR="00811729" w:rsidRPr="00E4485B" w:rsidRDefault="00811729" w:rsidP="006144AD">
      <w:pPr>
        <w:pStyle w:val="FootnoteText"/>
      </w:pPr>
      <w:r w:rsidRPr="00541E66">
        <w:rPr>
          <w:rStyle w:val="FootnoteReference"/>
          <w:i/>
        </w:rPr>
        <w:footnoteRef/>
      </w:r>
      <w:r>
        <w:t xml:space="preserve"> </w:t>
      </w:r>
      <w:proofErr w:type="spellStart"/>
      <w:r w:rsidRPr="00E4485B">
        <w:rPr>
          <w:i/>
        </w:rPr>
        <w:t>Khumalo</w:t>
      </w:r>
      <w:proofErr w:type="spellEnd"/>
      <w:r>
        <w:t xml:space="preserve"> </w:t>
      </w:r>
      <w:r w:rsidRPr="00A50AC1">
        <w:t xml:space="preserve">above </w:t>
      </w:r>
      <w:r w:rsidRPr="00E4485B">
        <w:t xml:space="preserve">n </w:t>
      </w:r>
      <w:r w:rsidRPr="00E4485B">
        <w:fldChar w:fldCharType="begin"/>
      </w:r>
      <w:r w:rsidRPr="00E4485B">
        <w:instrText xml:space="preserve"> NOTEREF _Ref524446129 \h </w:instrText>
      </w:r>
      <w:r>
        <w:instrText xml:space="preserve"> \* MERGEFORMAT </w:instrText>
      </w:r>
      <w:r w:rsidRPr="00E4485B">
        <w:fldChar w:fldCharType="separate"/>
      </w:r>
      <w:r>
        <w:t>22</w:t>
      </w:r>
      <w:r w:rsidRPr="00E4485B">
        <w:fldChar w:fldCharType="end"/>
      </w:r>
      <w:r w:rsidRPr="00A50AC1">
        <w:t xml:space="preserve"> at para 29.  The importance of these values has been empha</w:t>
      </w:r>
      <w:r>
        <w:t xml:space="preserve">sised in many different spheres such as— </w:t>
      </w:r>
      <w:r w:rsidRPr="00A50AC1">
        <w:t xml:space="preserve">procurement: </w:t>
      </w:r>
      <w:proofErr w:type="spellStart"/>
      <w:r w:rsidRPr="00A50AC1">
        <w:rPr>
          <w:i/>
        </w:rPr>
        <w:t>AllPay</w:t>
      </w:r>
      <w:proofErr w:type="spellEnd"/>
      <w:r w:rsidRPr="00A50AC1">
        <w:rPr>
          <w:szCs w:val="20"/>
        </w:rPr>
        <w:t xml:space="preserve"> above </w:t>
      </w:r>
      <w:proofErr w:type="spellStart"/>
      <w:r w:rsidRPr="00A50AC1">
        <w:rPr>
          <w:szCs w:val="20"/>
        </w:rPr>
        <w:t>n</w:t>
      </w:r>
      <w:proofErr w:type="spellEnd"/>
      <w:r w:rsidRPr="00A50AC1">
        <w:rPr>
          <w:szCs w:val="20"/>
        </w:rPr>
        <w:t xml:space="preserve"> </w:t>
      </w:r>
      <w:r w:rsidRPr="00E4485B">
        <w:rPr>
          <w:szCs w:val="20"/>
        </w:rPr>
        <w:fldChar w:fldCharType="begin"/>
      </w:r>
      <w:r w:rsidRPr="00E4485B">
        <w:rPr>
          <w:szCs w:val="20"/>
        </w:rPr>
        <w:instrText xml:space="preserve"> NOTEREF _Ref524446232 \h </w:instrText>
      </w:r>
      <w:r>
        <w:rPr>
          <w:szCs w:val="20"/>
        </w:rPr>
        <w:instrText xml:space="preserve"> \* MERGEFORMAT </w:instrText>
      </w:r>
      <w:r w:rsidRPr="00E4485B">
        <w:rPr>
          <w:szCs w:val="20"/>
        </w:rPr>
      </w:r>
      <w:r w:rsidRPr="00E4485B">
        <w:rPr>
          <w:szCs w:val="20"/>
        </w:rPr>
        <w:fldChar w:fldCharType="separate"/>
      </w:r>
      <w:r>
        <w:rPr>
          <w:szCs w:val="20"/>
        </w:rPr>
        <w:t>12</w:t>
      </w:r>
      <w:r w:rsidRPr="00E4485B">
        <w:rPr>
          <w:szCs w:val="20"/>
        </w:rPr>
        <w:fldChar w:fldCharType="end"/>
      </w:r>
      <w:r w:rsidRPr="00A50AC1">
        <w:rPr>
          <w:szCs w:val="20"/>
        </w:rPr>
        <w:t xml:space="preserve"> </w:t>
      </w:r>
      <w:r w:rsidRPr="00A50AC1">
        <w:t>and</w:t>
      </w:r>
      <w:r>
        <w:t xml:space="preserve"> </w:t>
      </w:r>
      <w:r>
        <w:rPr>
          <w:i/>
        </w:rPr>
        <w:t xml:space="preserve">Minister of Transport N.O. v </w:t>
      </w:r>
      <w:proofErr w:type="spellStart"/>
      <w:r>
        <w:rPr>
          <w:i/>
        </w:rPr>
        <w:t>Prodiba</w:t>
      </w:r>
      <w:proofErr w:type="spellEnd"/>
      <w:r>
        <w:t xml:space="preserve"> </w:t>
      </w:r>
      <w:r w:rsidRPr="00541E66">
        <w:rPr>
          <w:i/>
        </w:rPr>
        <w:t>(Pty) Ltd</w:t>
      </w:r>
      <w:r>
        <w:t xml:space="preserve"> [2015] ZASCA 38; 2015 JDR 1127 (SCA); parliamentary procedures: </w:t>
      </w:r>
      <w:r w:rsidRPr="00FE3F20">
        <w:rPr>
          <w:i/>
        </w:rPr>
        <w:t xml:space="preserve">Economic Freedom Fighters v Speaker of the National Assembly </w:t>
      </w:r>
      <w:r w:rsidRPr="00541E66">
        <w:t xml:space="preserve">[2017] </w:t>
      </w:r>
      <w:r>
        <w:t>ZACC 47;</w:t>
      </w:r>
      <w:r w:rsidRPr="00FE3F20">
        <w:t xml:space="preserve"> </w:t>
      </w:r>
      <w:r w:rsidRPr="005D5ECB">
        <w:t>2018 (2) SA 571 (CC)</w:t>
      </w:r>
      <w:r>
        <w:t>; 2018 (3) BCLR 259 (CC) (</w:t>
      </w:r>
      <w:r w:rsidRPr="00541E66">
        <w:rPr>
          <w:i/>
        </w:rPr>
        <w:t>EFF 2</w:t>
      </w:r>
      <w:r>
        <w:t xml:space="preserve">); effective investigations: </w:t>
      </w:r>
      <w:proofErr w:type="spellStart"/>
      <w:r w:rsidRPr="0022312A">
        <w:rPr>
          <w:i/>
          <w:szCs w:val="20"/>
        </w:rPr>
        <w:t>Glenister</w:t>
      </w:r>
      <w:proofErr w:type="spellEnd"/>
      <w:r w:rsidRPr="0022312A">
        <w:rPr>
          <w:i/>
          <w:szCs w:val="20"/>
        </w:rPr>
        <w:t xml:space="preserve"> </w:t>
      </w:r>
      <w:r w:rsidRPr="005D5ECB">
        <w:rPr>
          <w:i/>
          <w:szCs w:val="20"/>
        </w:rPr>
        <w:t xml:space="preserve">v President of </w:t>
      </w:r>
      <w:r w:rsidRPr="0022312A">
        <w:rPr>
          <w:i/>
          <w:szCs w:val="20"/>
        </w:rPr>
        <w:t>the Republic of South Africa</w:t>
      </w:r>
      <w:r w:rsidRPr="005D5ECB">
        <w:rPr>
          <w:szCs w:val="20"/>
        </w:rPr>
        <w:t xml:space="preserve"> [201</w:t>
      </w:r>
      <w:r>
        <w:rPr>
          <w:szCs w:val="20"/>
        </w:rPr>
        <w:t>1] ZACC 6; 2011 (3) SA 347 (CC)</w:t>
      </w:r>
      <w:r w:rsidRPr="005D5ECB">
        <w:rPr>
          <w:szCs w:val="20"/>
        </w:rPr>
        <w:t>; 2011 (7) BCLR 651 (CC</w:t>
      </w:r>
      <w:r>
        <w:t>); and the effect of corruption and maladministration on the vulnerable and marginalised</w:t>
      </w:r>
      <w:r w:rsidRPr="00541E66">
        <w:t>:</w:t>
      </w:r>
      <w:r>
        <w:rPr>
          <w:i/>
        </w:rPr>
        <w:t xml:space="preserve"> South African Association of Personal Injury Lawyers v Heath </w:t>
      </w:r>
      <w:r>
        <w:t>[2000] ZACC 22; 2001 (1) SA 883 (CC); 2001 (1) BCLR 77 (CC) (</w:t>
      </w:r>
      <w:r>
        <w:rPr>
          <w:i/>
        </w:rPr>
        <w:t>Heath</w:t>
      </w:r>
      <w:r>
        <w:t>).</w:t>
      </w:r>
    </w:p>
  </w:footnote>
  <w:footnote w:id="39">
    <w:p w14:paraId="0F01F9CB" w14:textId="77777777" w:rsidR="00811729" w:rsidRDefault="00811729" w:rsidP="006144AD">
      <w:pPr>
        <w:pStyle w:val="FootnoteText"/>
      </w:pPr>
      <w:r>
        <w:rPr>
          <w:rStyle w:val="FootnoteReference"/>
        </w:rPr>
        <w:footnoteRef/>
      </w:r>
      <w:r>
        <w:t xml:space="preserve"> </w:t>
      </w:r>
      <w:r>
        <w:rPr>
          <w:i/>
        </w:rPr>
        <w:t xml:space="preserve">Economic Freedom Fighters </w:t>
      </w:r>
      <w:proofErr w:type="gramStart"/>
      <w:r>
        <w:rPr>
          <w:i/>
        </w:rPr>
        <w:t>v</w:t>
      </w:r>
      <w:proofErr w:type="gramEnd"/>
      <w:r>
        <w:rPr>
          <w:i/>
        </w:rPr>
        <w:t xml:space="preserve"> Speaker, National Assembly </w:t>
      </w:r>
      <w:r>
        <w:t>[2016] ZACC 11; 2016 (3) SA 580 (CC); 2016 (5) BCLR 618 (CC) (</w:t>
      </w:r>
      <w:r w:rsidRPr="00541E66">
        <w:rPr>
          <w:i/>
        </w:rPr>
        <w:t>EFF 1</w:t>
      </w:r>
      <w:r>
        <w:t>).</w:t>
      </w:r>
    </w:p>
  </w:footnote>
  <w:footnote w:id="40">
    <w:p w14:paraId="59D892B9" w14:textId="77777777" w:rsidR="00811729" w:rsidRDefault="00811729" w:rsidP="006144AD">
      <w:pPr>
        <w:pStyle w:val="FootnoteText"/>
      </w:pPr>
      <w:r>
        <w:rPr>
          <w:rStyle w:val="FootnoteReference"/>
        </w:rPr>
        <w:footnoteRef/>
      </w:r>
      <w:r>
        <w:t xml:space="preserve"> Id at para 1.</w:t>
      </w:r>
    </w:p>
  </w:footnote>
  <w:footnote w:id="41">
    <w:p w14:paraId="6481A2F7" w14:textId="5C1EC0B8" w:rsidR="00811729" w:rsidRDefault="00811729" w:rsidP="006144AD">
      <w:pPr>
        <w:pStyle w:val="FootnoteText"/>
      </w:pPr>
      <w:r>
        <w:rPr>
          <w:rStyle w:val="FootnoteReference"/>
        </w:rPr>
        <w:footnoteRef/>
      </w:r>
      <w:r>
        <w:t xml:space="preserve"> </w:t>
      </w:r>
      <w:proofErr w:type="spellStart"/>
      <w:r w:rsidRPr="00541E66">
        <w:rPr>
          <w:i/>
          <w:szCs w:val="20"/>
        </w:rPr>
        <w:t>Nyathi</w:t>
      </w:r>
      <w:proofErr w:type="spellEnd"/>
      <w:r w:rsidRPr="00541E66">
        <w:rPr>
          <w:i/>
          <w:szCs w:val="20"/>
        </w:rPr>
        <w:t xml:space="preserve"> v </w:t>
      </w:r>
      <w:r>
        <w:rPr>
          <w:i/>
          <w:szCs w:val="20"/>
        </w:rPr>
        <w:t>MEC</w:t>
      </w:r>
      <w:r w:rsidRPr="00541E66">
        <w:rPr>
          <w:i/>
          <w:szCs w:val="20"/>
        </w:rPr>
        <w:t xml:space="preserve"> for Departme</w:t>
      </w:r>
      <w:r w:rsidRPr="0022312A">
        <w:rPr>
          <w:i/>
          <w:szCs w:val="20"/>
        </w:rPr>
        <w:t>nt of Health</w:t>
      </w:r>
      <w:r>
        <w:rPr>
          <w:i/>
          <w:szCs w:val="20"/>
        </w:rPr>
        <w:t>,</w:t>
      </w:r>
      <w:r w:rsidRPr="0022312A">
        <w:rPr>
          <w:i/>
          <w:szCs w:val="20"/>
        </w:rPr>
        <w:t xml:space="preserve"> Gauteng</w:t>
      </w:r>
      <w:r w:rsidRPr="00541E66">
        <w:rPr>
          <w:szCs w:val="20"/>
        </w:rPr>
        <w:t xml:space="preserve"> [2008] ZACC 8; 2008 (5) SA 94 (CC); 2008 (9) BCLR 865 (CC)</w:t>
      </w:r>
      <w:r>
        <w:rPr>
          <w:szCs w:val="20"/>
        </w:rPr>
        <w:t>.</w:t>
      </w:r>
    </w:p>
  </w:footnote>
  <w:footnote w:id="42">
    <w:p w14:paraId="5C55BCD0" w14:textId="40DCE615" w:rsidR="00811729" w:rsidRPr="00212D04" w:rsidRDefault="00811729" w:rsidP="006144AD">
      <w:pPr>
        <w:pStyle w:val="FootnoteText"/>
        <w:rPr>
          <w:szCs w:val="20"/>
        </w:rPr>
      </w:pPr>
      <w:r w:rsidRPr="00212D04">
        <w:rPr>
          <w:rStyle w:val="FootnoteReference"/>
          <w:szCs w:val="20"/>
        </w:rPr>
        <w:footnoteRef/>
      </w:r>
      <w:r w:rsidRPr="00212D04">
        <w:rPr>
          <w:szCs w:val="20"/>
        </w:rPr>
        <w:t xml:space="preserve"> </w:t>
      </w:r>
      <w:r w:rsidRPr="00212D04">
        <w:rPr>
          <w:i/>
          <w:szCs w:val="20"/>
        </w:rPr>
        <w:t>E</w:t>
      </w:r>
      <w:r>
        <w:rPr>
          <w:i/>
          <w:szCs w:val="20"/>
        </w:rPr>
        <w:t>F</w:t>
      </w:r>
      <w:r w:rsidRPr="00212D04">
        <w:rPr>
          <w:i/>
          <w:szCs w:val="20"/>
        </w:rPr>
        <w:t xml:space="preserve">F 1 </w:t>
      </w:r>
      <w:r w:rsidRPr="00541E66">
        <w:rPr>
          <w:szCs w:val="20"/>
        </w:rPr>
        <w:t>above</w:t>
      </w:r>
      <w:r w:rsidRPr="00212D04">
        <w:rPr>
          <w:szCs w:val="20"/>
        </w:rPr>
        <w:t xml:space="preserve"> n </w:t>
      </w:r>
      <w:r>
        <w:rPr>
          <w:szCs w:val="20"/>
        </w:rPr>
        <w:t>39 at para 80</w:t>
      </w:r>
      <w:r w:rsidRPr="00212D04">
        <w:rPr>
          <w:i/>
          <w:szCs w:val="20"/>
        </w:rPr>
        <w:t xml:space="preserve"> </w:t>
      </w:r>
      <w:r w:rsidRPr="00541E66">
        <w:rPr>
          <w:szCs w:val="20"/>
        </w:rPr>
        <w:t>citing</w:t>
      </w:r>
      <w:r w:rsidRPr="00212D04">
        <w:rPr>
          <w:i/>
          <w:szCs w:val="20"/>
        </w:rPr>
        <w:t xml:space="preserve"> </w:t>
      </w:r>
      <w:proofErr w:type="spellStart"/>
      <w:r w:rsidRPr="00212D04">
        <w:rPr>
          <w:i/>
          <w:szCs w:val="20"/>
        </w:rPr>
        <w:t>Nyathi</w:t>
      </w:r>
      <w:proofErr w:type="spellEnd"/>
      <w:r>
        <w:rPr>
          <w:szCs w:val="20"/>
        </w:rPr>
        <w:t>.  See also</w:t>
      </w:r>
      <w:r w:rsidRPr="00212D04">
        <w:rPr>
          <w:szCs w:val="20"/>
        </w:rPr>
        <w:t xml:space="preserve"> </w:t>
      </w:r>
      <w:proofErr w:type="spellStart"/>
      <w:r w:rsidRPr="001527E0">
        <w:rPr>
          <w:i/>
          <w:szCs w:val="20"/>
        </w:rPr>
        <w:t>Glenister</w:t>
      </w:r>
      <w:proofErr w:type="spellEnd"/>
      <w:r w:rsidRPr="001527E0">
        <w:rPr>
          <w:i/>
          <w:szCs w:val="20"/>
        </w:rPr>
        <w:t xml:space="preserve"> </w:t>
      </w:r>
      <w:r w:rsidRPr="001527E0">
        <w:rPr>
          <w:szCs w:val="20"/>
        </w:rPr>
        <w:t xml:space="preserve">above n </w:t>
      </w:r>
      <w:r>
        <w:rPr>
          <w:szCs w:val="20"/>
        </w:rPr>
        <w:fldChar w:fldCharType="begin"/>
      </w:r>
      <w:r>
        <w:rPr>
          <w:szCs w:val="20"/>
        </w:rPr>
        <w:instrText xml:space="preserve"> NOTEREF _Ref524446310 \h </w:instrText>
      </w:r>
      <w:r>
        <w:rPr>
          <w:szCs w:val="20"/>
        </w:rPr>
      </w:r>
      <w:r>
        <w:rPr>
          <w:szCs w:val="20"/>
        </w:rPr>
        <w:fldChar w:fldCharType="separate"/>
      </w:r>
      <w:r>
        <w:rPr>
          <w:szCs w:val="20"/>
        </w:rPr>
        <w:t>38</w:t>
      </w:r>
      <w:r>
        <w:rPr>
          <w:szCs w:val="20"/>
        </w:rPr>
        <w:fldChar w:fldCharType="end"/>
      </w:r>
      <w:r w:rsidRPr="00212D04">
        <w:rPr>
          <w:szCs w:val="20"/>
        </w:rPr>
        <w:t xml:space="preserve">.  There is also an important passage in </w:t>
      </w:r>
      <w:r w:rsidRPr="0037118E">
        <w:rPr>
          <w:i/>
          <w:szCs w:val="20"/>
        </w:rPr>
        <w:t xml:space="preserve">Rail Commuters Action Group v Transnet Ltd t/a Metrorail </w:t>
      </w:r>
      <w:r w:rsidRPr="0037118E">
        <w:rPr>
          <w:szCs w:val="20"/>
        </w:rPr>
        <w:t>[2004] ZACC 2</w:t>
      </w:r>
      <w:r w:rsidRPr="006B4826">
        <w:rPr>
          <w:szCs w:val="20"/>
        </w:rPr>
        <w:t>0; 2005 (2) SA 359</w:t>
      </w:r>
      <w:r w:rsidRPr="00DF579C">
        <w:rPr>
          <w:szCs w:val="20"/>
        </w:rPr>
        <w:t xml:space="preserve"> (CC)</w:t>
      </w:r>
      <w:r w:rsidRPr="00212D04">
        <w:rPr>
          <w:szCs w:val="20"/>
        </w:rPr>
        <w:t xml:space="preserve">; 2005 (4) BCLR 301(CC) </w:t>
      </w:r>
      <w:r>
        <w:rPr>
          <w:szCs w:val="20"/>
        </w:rPr>
        <w:t xml:space="preserve">at </w:t>
      </w:r>
      <w:r w:rsidRPr="00212D04">
        <w:rPr>
          <w:szCs w:val="20"/>
        </w:rPr>
        <w:t xml:space="preserve">paras 73-8.  See further </w:t>
      </w:r>
      <w:r w:rsidRPr="00212D04">
        <w:rPr>
          <w:i/>
          <w:szCs w:val="20"/>
        </w:rPr>
        <w:t>AAA Investments (Pty) Ltd v Micro Finance Regulatory Council</w:t>
      </w:r>
      <w:r w:rsidRPr="0037118E">
        <w:rPr>
          <w:szCs w:val="20"/>
        </w:rPr>
        <w:t xml:space="preserve"> [2006] ZACC 9; </w:t>
      </w:r>
      <w:r w:rsidRPr="006B4826">
        <w:rPr>
          <w:szCs w:val="20"/>
        </w:rPr>
        <w:t xml:space="preserve">2007 (1) </w:t>
      </w:r>
      <w:r>
        <w:rPr>
          <w:szCs w:val="20"/>
        </w:rPr>
        <w:t xml:space="preserve">SA </w:t>
      </w:r>
      <w:r w:rsidRPr="0037118E">
        <w:rPr>
          <w:szCs w:val="20"/>
        </w:rPr>
        <w:t>343 (CC)</w:t>
      </w:r>
      <w:r w:rsidRPr="00212D04">
        <w:rPr>
          <w:szCs w:val="20"/>
        </w:rPr>
        <w:t xml:space="preserve">; 2006 (11) BCLR 1255 (CC) at para 89.  See further </w:t>
      </w:r>
      <w:proofErr w:type="spellStart"/>
      <w:r>
        <w:rPr>
          <w:i/>
          <w:szCs w:val="20"/>
        </w:rPr>
        <w:t>AllPay</w:t>
      </w:r>
      <w:proofErr w:type="spellEnd"/>
      <w:r>
        <w:rPr>
          <w:i/>
          <w:szCs w:val="20"/>
        </w:rPr>
        <w:t xml:space="preserve"> </w:t>
      </w:r>
      <w:r w:rsidRPr="006C6FD1">
        <w:rPr>
          <w:szCs w:val="20"/>
        </w:rPr>
        <w:t xml:space="preserve">above </w:t>
      </w:r>
      <w:r w:rsidRPr="002F7207">
        <w:rPr>
          <w:szCs w:val="20"/>
        </w:rPr>
        <w:t xml:space="preserve">n </w:t>
      </w:r>
      <w:r w:rsidRPr="002F7207">
        <w:rPr>
          <w:szCs w:val="20"/>
        </w:rPr>
        <w:fldChar w:fldCharType="begin"/>
      </w:r>
      <w:r w:rsidRPr="002F7207">
        <w:rPr>
          <w:szCs w:val="20"/>
        </w:rPr>
        <w:instrText xml:space="preserve"> NOTEREF _Ref524446232 \h </w:instrText>
      </w:r>
      <w:r>
        <w:rPr>
          <w:szCs w:val="20"/>
        </w:rPr>
        <w:instrText xml:space="preserve"> \* MERGEFORMAT </w:instrText>
      </w:r>
      <w:r w:rsidRPr="002F7207">
        <w:rPr>
          <w:szCs w:val="20"/>
        </w:rPr>
      </w:r>
      <w:r w:rsidRPr="002F7207">
        <w:rPr>
          <w:szCs w:val="20"/>
        </w:rPr>
        <w:fldChar w:fldCharType="separate"/>
      </w:r>
      <w:r>
        <w:rPr>
          <w:szCs w:val="20"/>
        </w:rPr>
        <w:t>12</w:t>
      </w:r>
      <w:r w:rsidRPr="002F7207">
        <w:rPr>
          <w:szCs w:val="20"/>
        </w:rPr>
        <w:fldChar w:fldCharType="end"/>
      </w:r>
      <w:r w:rsidRPr="00212D04">
        <w:rPr>
          <w:szCs w:val="20"/>
        </w:rPr>
        <w:t xml:space="preserve"> at para 64 and </w:t>
      </w:r>
      <w:r w:rsidRPr="00541E66">
        <w:rPr>
          <w:i/>
          <w:color w:val="000000" w:themeColor="text1"/>
          <w:szCs w:val="20"/>
        </w:rPr>
        <w:t>Black Sash Trust v Minister of Social Development (Freedom Under Law NPC Intervening</w:t>
      </w:r>
      <w:r w:rsidRPr="00212D04">
        <w:rPr>
          <w:color w:val="000000" w:themeColor="text1"/>
          <w:szCs w:val="20"/>
        </w:rPr>
        <w:t>)</w:t>
      </w:r>
      <w:r w:rsidRPr="00541E66">
        <w:rPr>
          <w:color w:val="000000" w:themeColor="text1"/>
          <w:szCs w:val="20"/>
        </w:rPr>
        <w:t xml:space="preserve"> [2017] ZACC 8; 2017 (3) </w:t>
      </w:r>
      <w:r w:rsidRPr="00541E66">
        <w:rPr>
          <w:szCs w:val="20"/>
        </w:rPr>
        <w:t>SA 335 (CC)</w:t>
      </w:r>
      <w:r>
        <w:rPr>
          <w:szCs w:val="20"/>
        </w:rPr>
        <w:t>;</w:t>
      </w:r>
      <w:r w:rsidRPr="00541E66">
        <w:rPr>
          <w:i/>
          <w:szCs w:val="20"/>
        </w:rPr>
        <w:t xml:space="preserve"> </w:t>
      </w:r>
      <w:r w:rsidRPr="00541E66">
        <w:rPr>
          <w:szCs w:val="20"/>
        </w:rPr>
        <w:t xml:space="preserve">2017 </w:t>
      </w:r>
      <w:r w:rsidRPr="00212D04">
        <w:rPr>
          <w:color w:val="000000" w:themeColor="text1"/>
          <w:szCs w:val="20"/>
        </w:rPr>
        <w:t>(5) BCLR 543 (CC)</w:t>
      </w:r>
      <w:r w:rsidRPr="00541E66">
        <w:rPr>
          <w:i/>
          <w:szCs w:val="20"/>
        </w:rPr>
        <w:t xml:space="preserve"> </w:t>
      </w:r>
      <w:r w:rsidRPr="00541E66">
        <w:rPr>
          <w:szCs w:val="20"/>
        </w:rPr>
        <w:t>at para 14</w:t>
      </w:r>
      <w:r w:rsidRPr="00212D04">
        <w:rPr>
          <w:szCs w:val="20"/>
        </w:rPr>
        <w:t>.</w:t>
      </w:r>
    </w:p>
  </w:footnote>
  <w:footnote w:id="43">
    <w:p w14:paraId="603964A8" w14:textId="4E88407C" w:rsidR="00811729" w:rsidRDefault="00811729" w:rsidP="006144AD">
      <w:pPr>
        <w:pStyle w:val="FootnoteText"/>
      </w:pPr>
      <w:r>
        <w:rPr>
          <w:rStyle w:val="FootnoteReference"/>
        </w:rPr>
        <w:footnoteRef/>
      </w:r>
      <w:r>
        <w:t xml:space="preserve"> </w:t>
      </w:r>
      <w:r>
        <w:rPr>
          <w:i/>
        </w:rPr>
        <w:t xml:space="preserve">Heath </w:t>
      </w:r>
      <w:r w:rsidRPr="006C6FD1">
        <w:t xml:space="preserve">above </w:t>
      </w:r>
      <w:r w:rsidRPr="002F2C93">
        <w:t xml:space="preserve">n </w:t>
      </w:r>
      <w:r w:rsidRPr="002F2C93">
        <w:fldChar w:fldCharType="begin"/>
      </w:r>
      <w:r w:rsidRPr="002F2C93">
        <w:instrText xml:space="preserve"> NOTEREF _Ref524446310 \h </w:instrText>
      </w:r>
      <w:r>
        <w:instrText xml:space="preserve"> \* MERGEFORMAT </w:instrText>
      </w:r>
      <w:r w:rsidRPr="002F2C93">
        <w:fldChar w:fldCharType="separate"/>
      </w:r>
      <w:r>
        <w:t>38</w:t>
      </w:r>
      <w:r w:rsidRPr="002F2C93">
        <w:fldChar w:fldCharType="end"/>
      </w:r>
      <w:r w:rsidRPr="006C6FD1">
        <w:t xml:space="preserve"> at</w:t>
      </w:r>
      <w:r>
        <w:t xml:space="preserve"> para 4.</w:t>
      </w:r>
    </w:p>
  </w:footnote>
  <w:footnote w:id="44">
    <w:p w14:paraId="14D76CDB" w14:textId="77777777" w:rsidR="00811729" w:rsidRDefault="00811729" w:rsidP="006144AD">
      <w:pPr>
        <w:pStyle w:val="FootnoteText"/>
      </w:pPr>
      <w:r>
        <w:rPr>
          <w:rStyle w:val="FootnoteReference"/>
        </w:rPr>
        <w:footnoteRef/>
      </w:r>
      <w:r>
        <w:t xml:space="preserve"> </w:t>
      </w:r>
      <w:proofErr w:type="spellStart"/>
      <w:r>
        <w:rPr>
          <w:i/>
        </w:rPr>
        <w:t>Pepcor</w:t>
      </w:r>
      <w:proofErr w:type="spellEnd"/>
      <w:r>
        <w:rPr>
          <w:i/>
        </w:rPr>
        <w:t xml:space="preserve"> Retirement Fund </w:t>
      </w:r>
      <w:proofErr w:type="gramStart"/>
      <w:r>
        <w:rPr>
          <w:i/>
        </w:rPr>
        <w:t>v</w:t>
      </w:r>
      <w:proofErr w:type="gramEnd"/>
      <w:r>
        <w:rPr>
          <w:i/>
        </w:rPr>
        <w:t xml:space="preserve"> Financial Services Board </w:t>
      </w:r>
      <w:r>
        <w:t>[2003] ZASCA 56; 2003 (6) SA 38 (SCA) (</w:t>
      </w:r>
      <w:proofErr w:type="spellStart"/>
      <w:r>
        <w:rPr>
          <w:i/>
        </w:rPr>
        <w:t>Pepcor</w:t>
      </w:r>
      <w:proofErr w:type="spellEnd"/>
      <w:r>
        <w:t>).</w:t>
      </w:r>
    </w:p>
  </w:footnote>
  <w:footnote w:id="45">
    <w:p w14:paraId="2777CFA6" w14:textId="37DCB11E" w:rsidR="00811729" w:rsidRDefault="00811729" w:rsidP="006144AD">
      <w:pPr>
        <w:pStyle w:val="FootnoteText"/>
      </w:pPr>
      <w:r>
        <w:rPr>
          <w:rStyle w:val="FootnoteReference"/>
        </w:rPr>
        <w:footnoteRef/>
      </w:r>
      <w:r>
        <w:t xml:space="preserve"> Id at paras 14 and 24.</w:t>
      </w:r>
    </w:p>
  </w:footnote>
  <w:footnote w:id="46">
    <w:p w14:paraId="3A65CEB9" w14:textId="77777777" w:rsidR="00811729" w:rsidRDefault="00811729" w:rsidP="006144AD">
      <w:pPr>
        <w:pStyle w:val="FootnoteText"/>
      </w:pPr>
      <w:r>
        <w:rPr>
          <w:rStyle w:val="FootnoteReference"/>
        </w:rPr>
        <w:footnoteRef/>
      </w:r>
      <w:r>
        <w:t xml:space="preserve"> </w:t>
      </w:r>
      <w:r>
        <w:rPr>
          <w:i/>
        </w:rPr>
        <w:t xml:space="preserve">Financial Services Board </w:t>
      </w:r>
      <w:proofErr w:type="gramStart"/>
      <w:r>
        <w:rPr>
          <w:i/>
        </w:rPr>
        <w:t>v</w:t>
      </w:r>
      <w:proofErr w:type="gramEnd"/>
      <w:r>
        <w:rPr>
          <w:i/>
        </w:rPr>
        <w:t xml:space="preserve"> De Wet N.O.</w:t>
      </w:r>
      <w:r>
        <w:t xml:space="preserve"> 2002 (3) SA 525 (C).</w:t>
      </w:r>
    </w:p>
  </w:footnote>
  <w:footnote w:id="47">
    <w:p w14:paraId="6EB86A9E" w14:textId="6DB7A817" w:rsidR="00811729" w:rsidRDefault="00811729" w:rsidP="006144AD">
      <w:pPr>
        <w:pStyle w:val="FootnoteText"/>
      </w:pPr>
      <w:r>
        <w:rPr>
          <w:rStyle w:val="FootnoteReference"/>
        </w:rPr>
        <w:footnoteRef/>
      </w:r>
      <w:r>
        <w:t xml:space="preserve"> Id at paras 175-6.</w:t>
      </w:r>
    </w:p>
  </w:footnote>
  <w:footnote w:id="48">
    <w:p w14:paraId="11E79314" w14:textId="13C661B0" w:rsidR="00811729" w:rsidRDefault="00811729" w:rsidP="006144AD">
      <w:pPr>
        <w:pStyle w:val="FootnoteText"/>
      </w:pPr>
      <w:r>
        <w:rPr>
          <w:rStyle w:val="FootnoteReference"/>
        </w:rPr>
        <w:footnoteRef/>
      </w:r>
      <w:r>
        <w:t xml:space="preserve"> </w:t>
      </w:r>
      <w:proofErr w:type="spellStart"/>
      <w:r w:rsidRPr="00923BED">
        <w:rPr>
          <w:i/>
        </w:rPr>
        <w:t>Gijima</w:t>
      </w:r>
      <w:proofErr w:type="spellEnd"/>
      <w:r>
        <w:t xml:space="preserve"> at para 29.</w:t>
      </w:r>
    </w:p>
  </w:footnote>
  <w:footnote w:id="49">
    <w:p w14:paraId="7C021CF6" w14:textId="77777777" w:rsidR="00811729" w:rsidRDefault="00811729" w:rsidP="006144AD">
      <w:pPr>
        <w:pStyle w:val="FootnoteText"/>
      </w:pPr>
      <w:r>
        <w:rPr>
          <w:rStyle w:val="FootnoteReference"/>
        </w:rPr>
        <w:footnoteRef/>
      </w:r>
      <w:r>
        <w:t xml:space="preserve"> Id at paras 38-40.</w:t>
      </w:r>
    </w:p>
  </w:footnote>
  <w:footnote w:id="50">
    <w:p w14:paraId="781DFA22" w14:textId="766A35B7" w:rsidR="00811729" w:rsidRDefault="00811729" w:rsidP="00C50A88">
      <w:pPr>
        <w:pStyle w:val="FootnoteText"/>
      </w:pPr>
      <w:r>
        <w:rPr>
          <w:rStyle w:val="FootnoteReference"/>
        </w:rPr>
        <w:footnoteRef/>
      </w:r>
      <w:r>
        <w:t xml:space="preserve"> </w:t>
      </w:r>
      <w:r>
        <w:rPr>
          <w:i/>
        </w:rPr>
        <w:t xml:space="preserve">Pretorius v Transnet Pension Fund </w:t>
      </w:r>
      <w:r>
        <w:t>[</w:t>
      </w:r>
      <w:r w:rsidRPr="00DF0B77">
        <w:t>2018</w:t>
      </w:r>
      <w:r>
        <w:t>]</w:t>
      </w:r>
      <w:r w:rsidRPr="00DF0B77">
        <w:t xml:space="preserve"> ZACC </w:t>
      </w:r>
      <w:r w:rsidRPr="00541E66">
        <w:t xml:space="preserve">10; </w:t>
      </w:r>
      <w:r w:rsidRPr="00DF0B77">
        <w:t>2018</w:t>
      </w:r>
      <w:r>
        <w:t xml:space="preserve"> 39 ILJ 1937 (CC</w:t>
      </w:r>
      <w:r w:rsidRPr="00DF0B77">
        <w:t>)</w:t>
      </w:r>
      <w:r w:rsidRPr="00541E66">
        <w:t>; 2018 (7) BLLR 663 (CC)</w:t>
      </w:r>
      <w:r>
        <w:t xml:space="preserve"> </w:t>
      </w:r>
      <w:r w:rsidRPr="004F176D">
        <w:t>(</w:t>
      </w:r>
      <w:r>
        <w:rPr>
          <w:i/>
        </w:rPr>
        <w:t>Transnet Pension Fund</w:t>
      </w:r>
      <w:r w:rsidRPr="004F176D">
        <w:t>)</w:t>
      </w:r>
      <w:r w:rsidRPr="00656B23">
        <w:t>.</w:t>
      </w:r>
    </w:p>
  </w:footnote>
  <w:footnote w:id="51">
    <w:p w14:paraId="3111D26E" w14:textId="2AA42004" w:rsidR="00811729" w:rsidRDefault="00811729" w:rsidP="00C50A88">
      <w:pPr>
        <w:pStyle w:val="FootnoteText"/>
        <w:spacing w:before="120"/>
      </w:pPr>
      <w:r>
        <w:rPr>
          <w:rStyle w:val="FootnoteReference"/>
        </w:rPr>
        <w:footnoteRef/>
      </w:r>
      <w:r>
        <w:t xml:space="preserve"> </w:t>
      </w:r>
      <w:r>
        <w:rPr>
          <w:i/>
        </w:rPr>
        <w:t>KZN</w:t>
      </w:r>
      <w:r>
        <w:t xml:space="preserve"> above n </w:t>
      </w:r>
      <w:r>
        <w:fldChar w:fldCharType="begin"/>
      </w:r>
      <w:r>
        <w:instrText xml:space="preserve"> NOTEREF _Ref524445799 \h </w:instrText>
      </w:r>
      <w:r>
        <w:fldChar w:fldCharType="separate"/>
      </w:r>
      <w:r>
        <w:t>29</w:t>
      </w:r>
      <w:r>
        <w:fldChar w:fldCharType="end"/>
      </w:r>
      <w:r>
        <w:t>.</w:t>
      </w:r>
    </w:p>
  </w:footnote>
  <w:footnote w:id="52">
    <w:p w14:paraId="13C284FB" w14:textId="276620C9" w:rsidR="00811729" w:rsidRPr="001C134F" w:rsidRDefault="00811729" w:rsidP="006144AD">
      <w:pPr>
        <w:pStyle w:val="FootnoteText"/>
      </w:pPr>
      <w:r>
        <w:rPr>
          <w:rStyle w:val="FootnoteReference"/>
        </w:rPr>
        <w:footnoteRef/>
      </w:r>
      <w:r>
        <w:t xml:space="preserve"> </w:t>
      </w:r>
      <w:r>
        <w:rPr>
          <w:i/>
        </w:rPr>
        <w:t>Transnet Pension Fund</w:t>
      </w:r>
      <w:r>
        <w:t xml:space="preserve"> </w:t>
      </w:r>
      <w:r w:rsidRPr="006C6FD1">
        <w:t xml:space="preserve">above </w:t>
      </w:r>
      <w:r w:rsidRPr="00C50A88">
        <w:t xml:space="preserve">n </w:t>
      </w:r>
      <w:r w:rsidRPr="00C50A88">
        <w:fldChar w:fldCharType="begin"/>
      </w:r>
      <w:r w:rsidRPr="00C50A88">
        <w:instrText xml:space="preserve"> NOTEREF _Ref524446422 \h </w:instrText>
      </w:r>
      <w:r>
        <w:instrText xml:space="preserve"> \* MERGEFORMAT </w:instrText>
      </w:r>
      <w:r w:rsidRPr="00C50A88">
        <w:fldChar w:fldCharType="separate"/>
      </w:r>
      <w:r>
        <w:t>50</w:t>
      </w:r>
      <w:r w:rsidRPr="00C50A88">
        <w:fldChar w:fldCharType="end"/>
      </w:r>
      <w:r w:rsidRPr="006C6FD1">
        <w:t xml:space="preserve"> at</w:t>
      </w:r>
      <w:r>
        <w:t xml:space="preserve"> para 39.</w:t>
      </w:r>
    </w:p>
  </w:footnote>
  <w:footnote w:id="53">
    <w:p w14:paraId="28743B72" w14:textId="77777777" w:rsidR="00811729" w:rsidRDefault="00811729" w:rsidP="006144AD">
      <w:pPr>
        <w:pStyle w:val="FootnoteText"/>
      </w:pPr>
      <w:r>
        <w:rPr>
          <w:rStyle w:val="FootnoteReference"/>
        </w:rPr>
        <w:footnoteRef/>
      </w:r>
      <w:r>
        <w:t xml:space="preserve"> I return to this point below.</w:t>
      </w:r>
    </w:p>
  </w:footnote>
  <w:footnote w:id="54">
    <w:p w14:paraId="0E1948FA" w14:textId="77777777" w:rsidR="00811729" w:rsidRDefault="00811729" w:rsidP="006144AD">
      <w:pPr>
        <w:pStyle w:val="FootnoteText"/>
      </w:pPr>
      <w:r>
        <w:rPr>
          <w:rStyle w:val="FootnoteReference"/>
        </w:rPr>
        <w:footnoteRef/>
      </w:r>
      <w:r>
        <w:t xml:space="preserve"> </w:t>
      </w:r>
      <w:r w:rsidRPr="00541E66">
        <w:rPr>
          <w:bCs/>
          <w:i/>
          <w:szCs w:val="20"/>
        </w:rPr>
        <w:t>Grey</w:t>
      </w:r>
      <w:r>
        <w:rPr>
          <w:bCs/>
          <w:i/>
          <w:szCs w:val="20"/>
        </w:rPr>
        <w:t>’</w:t>
      </w:r>
      <w:r w:rsidRPr="00541E66">
        <w:rPr>
          <w:bCs/>
          <w:i/>
          <w:szCs w:val="20"/>
        </w:rPr>
        <w:t>s Marine</w:t>
      </w:r>
      <w:r w:rsidRPr="00541E66">
        <w:rPr>
          <w:i/>
          <w:szCs w:val="20"/>
        </w:rPr>
        <w:t xml:space="preserve"> </w:t>
      </w:r>
      <w:proofErr w:type="spellStart"/>
      <w:r w:rsidRPr="00541E66">
        <w:rPr>
          <w:i/>
          <w:szCs w:val="20"/>
        </w:rPr>
        <w:t>Hout</w:t>
      </w:r>
      <w:proofErr w:type="spellEnd"/>
      <w:r w:rsidRPr="00541E66">
        <w:rPr>
          <w:i/>
          <w:szCs w:val="20"/>
        </w:rPr>
        <w:t xml:space="preserve"> Bay (Pty) Ltd v Minister of Public</w:t>
      </w:r>
      <w:r w:rsidRPr="00541E66">
        <w:rPr>
          <w:szCs w:val="20"/>
        </w:rPr>
        <w:t xml:space="preserve"> </w:t>
      </w:r>
      <w:r w:rsidRPr="00541E66">
        <w:rPr>
          <w:i/>
          <w:szCs w:val="20"/>
        </w:rPr>
        <w:t>Works</w:t>
      </w:r>
      <w:r w:rsidRPr="00541E66">
        <w:rPr>
          <w:szCs w:val="20"/>
        </w:rPr>
        <w:t xml:space="preserve"> </w:t>
      </w:r>
      <w:r w:rsidRPr="005D5ECB">
        <w:rPr>
          <w:szCs w:val="20"/>
        </w:rPr>
        <w:t>[2005] ZASCA 43</w:t>
      </w:r>
      <w:r>
        <w:rPr>
          <w:szCs w:val="20"/>
        </w:rPr>
        <w:t>;</w:t>
      </w:r>
      <w:r w:rsidRPr="0022312A" w:rsidDel="00656B23">
        <w:rPr>
          <w:szCs w:val="20"/>
        </w:rPr>
        <w:t xml:space="preserve"> </w:t>
      </w:r>
      <w:r w:rsidRPr="00541E66">
        <w:rPr>
          <w:szCs w:val="20"/>
        </w:rPr>
        <w:t>2005 (6) SA 313 (SCA)</w:t>
      </w:r>
      <w:r>
        <w:rPr>
          <w:szCs w:val="20"/>
        </w:rPr>
        <w:t xml:space="preserve"> (</w:t>
      </w:r>
      <w:r>
        <w:rPr>
          <w:i/>
          <w:szCs w:val="20"/>
        </w:rPr>
        <w:t>Grey’s Marine</w:t>
      </w:r>
      <w:r>
        <w:rPr>
          <w:szCs w:val="20"/>
        </w:rPr>
        <w:t>)</w:t>
      </w:r>
      <w:r w:rsidRPr="00541E66">
        <w:rPr>
          <w:szCs w:val="20"/>
        </w:rPr>
        <w:t>.</w:t>
      </w:r>
    </w:p>
  </w:footnote>
  <w:footnote w:id="55">
    <w:p w14:paraId="7B115A03" w14:textId="3E8666E6" w:rsidR="00811729" w:rsidRDefault="00811729" w:rsidP="006144AD">
      <w:pPr>
        <w:pStyle w:val="FootnoteText"/>
      </w:pPr>
      <w:r>
        <w:rPr>
          <w:rStyle w:val="FootnoteReference"/>
        </w:rPr>
        <w:footnoteRef/>
      </w:r>
      <w:r>
        <w:t xml:space="preserve"> Mr Mort says— “[t]he reinstatement of a fund does not indicate a likelihood of material financial prejudice; rather, that had the funds not been reinstated, there would have been a likelihood of material financial prejudice”.</w:t>
      </w:r>
    </w:p>
  </w:footnote>
  <w:footnote w:id="56">
    <w:p w14:paraId="63B711F5" w14:textId="77777777" w:rsidR="00811729" w:rsidRDefault="00811729" w:rsidP="006144AD">
      <w:pPr>
        <w:pStyle w:val="FootnoteText"/>
      </w:pPr>
      <w:r>
        <w:rPr>
          <w:rStyle w:val="FootnoteReference"/>
        </w:rPr>
        <w:footnoteRef/>
      </w:r>
      <w:r>
        <w:t xml:space="preserve"> I note that if</w:t>
      </w:r>
      <w:r w:rsidRPr="00446233">
        <w:t xml:space="preserve"> the sample</w:t>
      </w:r>
      <w:r>
        <w:t xml:space="preserve"> was flawed and told</w:t>
      </w:r>
      <w:r w:rsidRPr="00446233">
        <w:t xml:space="preserve"> us nothing at all about the</w:t>
      </w:r>
      <w:r>
        <w:t xml:space="preserve"> unexamined funds, then there would be</w:t>
      </w:r>
      <w:r w:rsidRPr="00446233">
        <w:t xml:space="preserve"> all the more rea</w:t>
      </w:r>
      <w:r>
        <w:t>son to investigate those funds;</w:t>
      </w:r>
      <w:r w:rsidRPr="00446233">
        <w:t xml:space="preserve"> the only way to find out if cancellation errors are present is to scrutinise the funds or a sample thereof.</w:t>
      </w:r>
    </w:p>
  </w:footnote>
  <w:footnote w:id="57">
    <w:p w14:paraId="016CF4C9" w14:textId="17E4A167" w:rsidR="00811729" w:rsidRDefault="00811729" w:rsidP="002B701A">
      <w:pPr>
        <w:pStyle w:val="FootnoteText"/>
      </w:pPr>
      <w:r>
        <w:rPr>
          <w:rStyle w:val="FootnoteReference"/>
        </w:rPr>
        <w:footnoteRef/>
      </w:r>
      <w:r>
        <w:t xml:space="preserve"> See [38] to [39].</w:t>
      </w:r>
    </w:p>
  </w:footnote>
  <w:footnote w:id="58">
    <w:p w14:paraId="4BF76D34" w14:textId="19AD0722" w:rsidR="00811729" w:rsidRDefault="00811729" w:rsidP="002B701A">
      <w:pPr>
        <w:pStyle w:val="FootnoteText"/>
      </w:pPr>
      <w:r>
        <w:rPr>
          <w:rStyle w:val="FootnoteReference"/>
        </w:rPr>
        <w:footnoteRef/>
      </w:r>
      <w:r>
        <w:t xml:space="preserve"> See [48] to [49].</w:t>
      </w:r>
    </w:p>
  </w:footnote>
  <w:footnote w:id="59">
    <w:p w14:paraId="6E2547D8" w14:textId="53F22B13" w:rsidR="00811729" w:rsidRDefault="00811729" w:rsidP="002B701A">
      <w:pPr>
        <w:pStyle w:val="FootnoteText"/>
      </w:pPr>
      <w:r>
        <w:rPr>
          <w:rStyle w:val="FootnoteReference"/>
        </w:rPr>
        <w:footnoteRef/>
      </w:r>
      <w:r>
        <w:t xml:space="preserve"> See [62].</w:t>
      </w:r>
    </w:p>
  </w:footnote>
  <w:footnote w:id="60">
    <w:p w14:paraId="27421A9D" w14:textId="787AFA44" w:rsidR="00811729" w:rsidRDefault="00811729" w:rsidP="002B701A">
      <w:pPr>
        <w:pStyle w:val="FootnoteText"/>
      </w:pPr>
      <w:r>
        <w:rPr>
          <w:rStyle w:val="FootnoteReference"/>
        </w:rPr>
        <w:footnoteRef/>
      </w:r>
      <w:r>
        <w:t xml:space="preserve"> See [107].</w:t>
      </w:r>
    </w:p>
  </w:footnote>
  <w:footnote w:id="61">
    <w:p w14:paraId="2E03B727" w14:textId="77777777" w:rsidR="00811729" w:rsidRDefault="00811729" w:rsidP="002B701A">
      <w:pPr>
        <w:pStyle w:val="FootnoteText"/>
      </w:pPr>
      <w:r>
        <w:rPr>
          <w:rStyle w:val="FootnoteReference"/>
        </w:rPr>
        <w:footnoteRef/>
      </w:r>
      <w:r>
        <w:t xml:space="preserve"> </w:t>
      </w:r>
      <w:r w:rsidRPr="004D65CD">
        <w:rPr>
          <w:szCs w:val="26"/>
        </w:rPr>
        <w:t>80 of 1998</w:t>
      </w:r>
      <w:r>
        <w:rPr>
          <w:szCs w:val="26"/>
        </w:rPr>
        <w:t>.</w:t>
      </w:r>
    </w:p>
  </w:footnote>
  <w:footnote w:id="62">
    <w:p w14:paraId="1CDF7335" w14:textId="77777777" w:rsidR="00811729" w:rsidRDefault="00811729" w:rsidP="002B701A">
      <w:pPr>
        <w:pStyle w:val="FootnoteText"/>
      </w:pPr>
      <w:r>
        <w:rPr>
          <w:rStyle w:val="FootnoteReference"/>
        </w:rPr>
        <w:footnoteRef/>
      </w:r>
      <w:r>
        <w:t xml:space="preserve"> </w:t>
      </w:r>
      <w:r w:rsidRPr="00FC25C6">
        <w:rPr>
          <w:rFonts w:eastAsia="Times New Roman"/>
          <w:szCs w:val="26"/>
          <w:lang w:eastAsia="en-ZA"/>
        </w:rPr>
        <w:t>26 of 2000.</w:t>
      </w:r>
    </w:p>
  </w:footnote>
  <w:footnote w:id="63">
    <w:p w14:paraId="43536EF4" w14:textId="7648F5A9" w:rsidR="00811729" w:rsidRDefault="00811729" w:rsidP="002B701A">
      <w:pPr>
        <w:pStyle w:val="FootnoteText"/>
      </w:pPr>
      <w:r>
        <w:rPr>
          <w:rStyle w:val="FootnoteReference"/>
        </w:rPr>
        <w:footnoteRef/>
      </w:r>
      <w:r>
        <w:t xml:space="preserve"> </w:t>
      </w:r>
      <w:r w:rsidRPr="00CD06D5">
        <w:rPr>
          <w:i/>
        </w:rPr>
        <w:t>Hu</w:t>
      </w:r>
      <w:r>
        <w:rPr>
          <w:i/>
        </w:rPr>
        <w:t>nter v Financial Services Board</w:t>
      </w:r>
      <w:r>
        <w:t xml:space="preserve"> (</w:t>
      </w:r>
      <w:r w:rsidRPr="00CD06D5">
        <w:t>2017</w:t>
      </w:r>
      <w:r>
        <w:t>)</w:t>
      </w:r>
      <w:r w:rsidRPr="00CD06D5">
        <w:t xml:space="preserve"> JDR 0011 (GP)</w:t>
      </w:r>
      <w:r>
        <w:t xml:space="preserve"> (High Court judgment)</w:t>
      </w:r>
      <w:r w:rsidRPr="00DC4A5B">
        <w:t xml:space="preserve"> </w:t>
      </w:r>
      <w:r>
        <w:t>at para 27.</w:t>
      </w:r>
    </w:p>
  </w:footnote>
  <w:footnote w:id="64">
    <w:p w14:paraId="72D4510B" w14:textId="38A5AEC6" w:rsidR="00811729" w:rsidRPr="006152D3" w:rsidRDefault="00811729" w:rsidP="002B701A">
      <w:pPr>
        <w:pStyle w:val="FootnoteText"/>
      </w:pPr>
      <w:r>
        <w:rPr>
          <w:rStyle w:val="FootnoteReference"/>
        </w:rPr>
        <w:footnoteRef/>
      </w:r>
      <w:r>
        <w:t xml:space="preserve"> </w:t>
      </w:r>
      <w:proofErr w:type="spellStart"/>
      <w:r w:rsidRPr="006152D3">
        <w:rPr>
          <w:i/>
          <w:iCs/>
        </w:rPr>
        <w:t>Swissborough</w:t>
      </w:r>
      <w:proofErr w:type="spellEnd"/>
      <w:r>
        <w:rPr>
          <w:i/>
          <w:iCs/>
        </w:rPr>
        <w:t xml:space="preserve"> </w:t>
      </w:r>
      <w:r w:rsidRPr="00341E19">
        <w:rPr>
          <w:iCs/>
        </w:rPr>
        <w:t>above n</w:t>
      </w:r>
      <w:r>
        <w:rPr>
          <w:iCs/>
        </w:rPr>
        <w:t xml:space="preserve"> </w:t>
      </w:r>
      <w:r>
        <w:rPr>
          <w:iCs/>
        </w:rPr>
        <w:fldChar w:fldCharType="begin"/>
      </w:r>
      <w:r>
        <w:rPr>
          <w:iCs/>
        </w:rPr>
        <w:instrText xml:space="preserve"> NOTEREF _Ref524682973 \h </w:instrText>
      </w:r>
      <w:r>
        <w:rPr>
          <w:iCs/>
        </w:rPr>
      </w:r>
      <w:r>
        <w:rPr>
          <w:iCs/>
        </w:rPr>
        <w:fldChar w:fldCharType="separate"/>
      </w:r>
      <w:r>
        <w:rPr>
          <w:iCs/>
        </w:rPr>
        <w:t>30</w:t>
      </w:r>
      <w:r>
        <w:rPr>
          <w:iCs/>
        </w:rPr>
        <w:fldChar w:fldCharType="end"/>
      </w:r>
      <w:r>
        <w:rPr>
          <w:iCs/>
        </w:rPr>
        <w:t xml:space="preserve"> at 323G.</w:t>
      </w:r>
    </w:p>
  </w:footnote>
  <w:footnote w:id="65">
    <w:p w14:paraId="5635FAFF" w14:textId="77777777" w:rsidR="00811729" w:rsidRDefault="00811729" w:rsidP="002B701A">
      <w:pPr>
        <w:pStyle w:val="FootnoteText"/>
      </w:pPr>
      <w:r>
        <w:rPr>
          <w:rStyle w:val="FootnoteReference"/>
        </w:rPr>
        <w:footnoteRef/>
      </w:r>
      <w:r>
        <w:t xml:space="preserve"> </w:t>
      </w:r>
      <w:r w:rsidRPr="0021369A">
        <w:rPr>
          <w:i/>
          <w:iCs/>
        </w:rPr>
        <w:t>N</w:t>
      </w:r>
      <w:r>
        <w:rPr>
          <w:i/>
          <w:iCs/>
        </w:rPr>
        <w:t xml:space="preserve">ational </w:t>
      </w:r>
      <w:r w:rsidRPr="0021369A">
        <w:rPr>
          <w:i/>
          <w:iCs/>
        </w:rPr>
        <w:t>D</w:t>
      </w:r>
      <w:r>
        <w:rPr>
          <w:i/>
          <w:iCs/>
        </w:rPr>
        <w:t xml:space="preserve">irector of </w:t>
      </w:r>
      <w:r w:rsidRPr="0021369A">
        <w:rPr>
          <w:i/>
          <w:iCs/>
        </w:rPr>
        <w:t>P</w:t>
      </w:r>
      <w:r>
        <w:rPr>
          <w:i/>
          <w:iCs/>
        </w:rPr>
        <w:t xml:space="preserve">ublic </w:t>
      </w:r>
      <w:r w:rsidRPr="0021369A">
        <w:rPr>
          <w:i/>
          <w:iCs/>
        </w:rPr>
        <w:t>P</w:t>
      </w:r>
      <w:r>
        <w:rPr>
          <w:i/>
          <w:iCs/>
        </w:rPr>
        <w:t>rosecutions</w:t>
      </w:r>
      <w:r w:rsidRPr="0021369A">
        <w:rPr>
          <w:i/>
          <w:iCs/>
        </w:rPr>
        <w:t xml:space="preserve"> v Zuma </w:t>
      </w:r>
      <w:r>
        <w:rPr>
          <w:iCs/>
        </w:rPr>
        <w:t xml:space="preserve">[2009] ZASCA 1; </w:t>
      </w:r>
      <w:r w:rsidRPr="0021369A">
        <w:t xml:space="preserve">2009 (2) SA 277 </w:t>
      </w:r>
      <w:r>
        <w:t>(</w:t>
      </w:r>
      <w:r w:rsidRPr="0021369A">
        <w:t>SCA</w:t>
      </w:r>
      <w:r>
        <w:t>)</w:t>
      </w:r>
      <w:r w:rsidRPr="0021369A">
        <w:t xml:space="preserve"> at para 4</w:t>
      </w:r>
      <w:r>
        <w:t>7</w:t>
      </w:r>
      <w:r w:rsidRPr="0021369A">
        <w:t>.</w:t>
      </w:r>
    </w:p>
  </w:footnote>
  <w:footnote w:id="66">
    <w:p w14:paraId="6FEAE6F8" w14:textId="77777777" w:rsidR="00811729" w:rsidRDefault="00811729" w:rsidP="002B701A">
      <w:pPr>
        <w:pStyle w:val="FootnoteText"/>
      </w:pPr>
      <w:r>
        <w:rPr>
          <w:rStyle w:val="FootnoteReference"/>
        </w:rPr>
        <w:footnoteRef/>
      </w:r>
      <w:r>
        <w:t xml:space="preserve"> High Court judgment at para 27.</w:t>
      </w:r>
    </w:p>
  </w:footnote>
  <w:footnote w:id="67">
    <w:p w14:paraId="21ABAC3C" w14:textId="77777777" w:rsidR="00811729" w:rsidRPr="001411FA" w:rsidRDefault="00811729" w:rsidP="002B701A">
      <w:pPr>
        <w:pStyle w:val="FootnoteText"/>
      </w:pPr>
      <w:r w:rsidRPr="00394224">
        <w:rPr>
          <w:rStyle w:val="FootnoteReference"/>
        </w:rPr>
        <w:footnoteRef/>
      </w:r>
      <w:r w:rsidRPr="00394224">
        <w:t xml:space="preserve"> </w:t>
      </w:r>
      <w:r w:rsidRPr="00394224">
        <w:rPr>
          <w:i/>
        </w:rPr>
        <w:t>Cape Town City v Aurecon</w:t>
      </w:r>
      <w:r>
        <w:t xml:space="preserve"> [2017] ZACC 5;</w:t>
      </w:r>
      <w:r w:rsidRPr="00394224">
        <w:rPr>
          <w:i/>
        </w:rPr>
        <w:t xml:space="preserve"> </w:t>
      </w:r>
      <w:r w:rsidRPr="00394224">
        <w:t>2017 (4) SA 223 (CC)</w:t>
      </w:r>
      <w:r>
        <w:t>; 2017 (6) BCLR 730 (CC)</w:t>
      </w:r>
      <w:r w:rsidRPr="00394224">
        <w:t xml:space="preserve"> at paras 34</w:t>
      </w:r>
      <w:r>
        <w:t>-</w:t>
      </w:r>
      <w:r w:rsidRPr="00394224">
        <w:t>5</w:t>
      </w:r>
      <w:r>
        <w:t xml:space="preserve">; </w:t>
      </w:r>
      <w:proofErr w:type="spellStart"/>
      <w:r w:rsidRPr="00394224">
        <w:rPr>
          <w:i/>
        </w:rPr>
        <w:t>Albutt</w:t>
      </w:r>
      <w:proofErr w:type="spellEnd"/>
      <w:r w:rsidRPr="00394224">
        <w:rPr>
          <w:i/>
        </w:rPr>
        <w:t xml:space="preserve"> v Centre for the Study of Violence and Reconciliation</w:t>
      </w:r>
      <w:r w:rsidRPr="00394224">
        <w:t xml:space="preserve"> </w:t>
      </w:r>
      <w:r>
        <w:t xml:space="preserve">[2010] </w:t>
      </w:r>
      <w:r w:rsidRPr="00394224">
        <w:t>ZACC 4;</w:t>
      </w:r>
      <w:r w:rsidRPr="00394224">
        <w:rPr>
          <w:i/>
        </w:rPr>
        <w:t xml:space="preserve"> </w:t>
      </w:r>
      <w:r w:rsidRPr="00394224">
        <w:t>2010 (3) SA 293 (CC); 2010 (5) BCLR 391 (CC) at para 82.</w:t>
      </w:r>
    </w:p>
  </w:footnote>
  <w:footnote w:id="68">
    <w:p w14:paraId="51FB421A" w14:textId="5120AF5C" w:rsidR="00811729" w:rsidRDefault="00811729" w:rsidP="002B701A">
      <w:pPr>
        <w:pStyle w:val="FootnoteText"/>
      </w:pPr>
      <w:r>
        <w:rPr>
          <w:rStyle w:val="FootnoteReference"/>
        </w:rPr>
        <w:footnoteRef/>
      </w:r>
      <w:r>
        <w:t xml:space="preserve"> </w:t>
      </w:r>
      <w:proofErr w:type="spellStart"/>
      <w:r w:rsidRPr="002D0FDC">
        <w:rPr>
          <w:i/>
        </w:rPr>
        <w:t>Biowatch</w:t>
      </w:r>
      <w:proofErr w:type="spellEnd"/>
      <w:r w:rsidRPr="002D0FDC">
        <w:rPr>
          <w:i/>
        </w:rPr>
        <w:t xml:space="preserve"> </w:t>
      </w:r>
      <w:r>
        <w:t xml:space="preserve">above n </w:t>
      </w:r>
      <w:r>
        <w:rPr>
          <w:highlight w:val="yellow"/>
        </w:rPr>
        <w:fldChar w:fldCharType="begin"/>
      </w:r>
      <w:r>
        <w:instrText xml:space="preserve"> NOTEREF _Ref524683038 \h </w:instrText>
      </w:r>
      <w:r>
        <w:rPr>
          <w:highlight w:val="yellow"/>
        </w:rPr>
      </w:r>
      <w:r>
        <w:rPr>
          <w:highlight w:val="yellow"/>
        </w:rPr>
        <w:fldChar w:fldCharType="separate"/>
      </w:r>
      <w:r>
        <w:t>10</w:t>
      </w:r>
      <w:r>
        <w:rPr>
          <w:highlight w:val="yellow"/>
        </w:rPr>
        <w:fldChar w:fldCharType="end"/>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D582A" w14:textId="77777777" w:rsidR="00811729" w:rsidRDefault="00811729">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B9264" w14:textId="266A55C3" w:rsidR="00811729" w:rsidRDefault="00811729" w:rsidP="006144AD">
    <w:pPr>
      <w:pStyle w:val="Header"/>
      <w:jc w:val="right"/>
    </w:pPr>
    <w:r>
      <w:t>FRONEMAN J</w:t>
    </w:r>
  </w:p>
  <w:p w14:paraId="3AD12FA0" w14:textId="1F6AB12B" w:rsidR="00811729" w:rsidRPr="006144AD" w:rsidRDefault="00811729" w:rsidP="006144AD">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6C6A" w14:textId="44F50F80" w:rsidR="00811729" w:rsidRDefault="00811729" w:rsidP="006144AD">
    <w:pPr>
      <w:pStyle w:val="Header"/>
      <w:jc w:val="right"/>
    </w:pPr>
    <w:r>
      <w:t>CACHALIA AJ</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346E1" w14:textId="676AA398" w:rsidR="00811729" w:rsidRDefault="00811729" w:rsidP="006144AD">
    <w:pPr>
      <w:pStyle w:val="Header"/>
      <w:jc w:val="right"/>
    </w:pPr>
    <w:r>
      <w:t>FRONEMAN J / CACHALIA AJ</w:t>
    </w:r>
  </w:p>
  <w:p w14:paraId="26A2E907" w14:textId="77777777" w:rsidR="00811729" w:rsidRPr="006144AD" w:rsidRDefault="00811729" w:rsidP="006144AD">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57F4D" w14:textId="77777777" w:rsidR="00811729" w:rsidRDefault="00811729" w:rsidP="006144AD">
    <w:pPr>
      <w:pStyle w:val="Header"/>
      <w:jc w:val="right"/>
    </w:pPr>
    <w:r>
      <w:t>FRONEMAN J / CACHALIA AJ</w:t>
    </w:r>
  </w:p>
  <w:p w14:paraId="0191A47D" w14:textId="77777777" w:rsidR="00811729" w:rsidRPr="006144AD" w:rsidRDefault="00811729" w:rsidP="006144AD">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9104" w14:textId="0112FB5A" w:rsidR="00811729" w:rsidRDefault="00811729" w:rsidP="006144AD">
    <w:pPr>
      <w:pStyle w:val="Header"/>
      <w:jc w:val="right"/>
    </w:pPr>
    <w:r>
      <w:t>CACHALIA AJ</w:t>
    </w:r>
  </w:p>
  <w:p w14:paraId="21EA0B9D" w14:textId="77777777" w:rsidR="00811729" w:rsidRPr="006144AD" w:rsidRDefault="00811729" w:rsidP="006144AD">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91753" w14:textId="4FCC25C5" w:rsidR="00811729" w:rsidRDefault="00811729" w:rsidP="006144AD">
    <w:pPr>
      <w:pStyle w:val="Header"/>
      <w:jc w:val="right"/>
    </w:pPr>
    <w:r>
      <w:t>CACHALIA AJ</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3FCD" w14:textId="77777777" w:rsidR="00811729" w:rsidRDefault="00811729" w:rsidP="008C727F">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7A9CC" w14:textId="6B5C7FFB" w:rsidR="00811729" w:rsidRDefault="00811729" w:rsidP="00AA1B36">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C6744" w14:textId="2C8C20DA" w:rsidR="00811729" w:rsidRDefault="00811729" w:rsidP="0063624F">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8977" w14:textId="1AAA8FCF" w:rsidR="00811729" w:rsidRDefault="00811729" w:rsidP="00AA1B36">
    <w:pPr>
      <w:pStyle w:val="Header"/>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F82A9" w14:textId="312488F4" w:rsidR="00811729" w:rsidRDefault="00811729" w:rsidP="00AA1B36">
    <w:pPr>
      <w:pStyle w:val="Header"/>
      <w:jc w:val="right"/>
    </w:pPr>
    <w:r>
      <w:t>KHAMPEPE J</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CF646" w14:textId="77777777" w:rsidR="00811729" w:rsidRDefault="00811729" w:rsidP="004A148D">
    <w:pPr>
      <w:pStyle w:val="Header"/>
      <w:jc w:val="right"/>
    </w:pPr>
    <w:r>
      <w:t>KHAMPEPE J</w:t>
    </w:r>
  </w:p>
  <w:p w14:paraId="19F0B1D3" w14:textId="77777777" w:rsidR="00811729" w:rsidRDefault="00811729" w:rsidP="00AA1B36">
    <w:pPr>
      <w:pStyle w:val="Header"/>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84010" w14:textId="40EE7CF4" w:rsidR="00811729" w:rsidRDefault="00811729" w:rsidP="0063624F">
    <w:pPr>
      <w:pStyle w:val="Header"/>
      <w:jc w:val="right"/>
    </w:pPr>
    <w:r>
      <w:t>KHAMPEPE J</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EC22C" w14:textId="780C8EF3" w:rsidR="00811729" w:rsidRDefault="00811729" w:rsidP="0063624F">
    <w:pPr>
      <w:pStyle w:val="Header"/>
      <w:tabs>
        <w:tab w:val="clear" w:pos="4680"/>
        <w:tab w:val="clear" w:pos="9360"/>
        <w:tab w:val="right" w:pos="9072"/>
      </w:tabs>
      <w:jc w:val="right"/>
    </w:pPr>
    <w:r>
      <w:t>KHAMPEPE J</w:t>
    </w:r>
  </w:p>
  <w:p w14:paraId="1C06A8E6" w14:textId="77777777" w:rsidR="00811729" w:rsidRDefault="00811729" w:rsidP="00A834ED">
    <w:pPr>
      <w:pStyle w:val="Header"/>
      <w:tabs>
        <w:tab w:val="clear" w:pos="4680"/>
        <w:tab w:val="clear" w:pos="9360"/>
        <w:tab w:val="right" w:pos="9072"/>
      </w:tabs>
      <w:jc w:val="cent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28599" w14:textId="77777777" w:rsidR="00811729" w:rsidRDefault="00811729" w:rsidP="0063624F">
    <w:pPr>
      <w:pStyle w:val="Header"/>
      <w:jc w:val="right"/>
    </w:pPr>
    <w:r>
      <w:t>KHAMPEPE J / FRONEMAN 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E1C"/>
    <w:multiLevelType w:val="hybridMultilevel"/>
    <w:tmpl w:val="D018AE4A"/>
    <w:lvl w:ilvl="0" w:tplc="5A46C59E">
      <w:start w:val="1"/>
      <w:numFmt w:val="lowerLetter"/>
      <w:lvlText w:val="(%1)"/>
      <w:lvlJc w:val="left"/>
      <w:pPr>
        <w:ind w:left="2106" w:hanging="360"/>
      </w:pPr>
      <w:rPr>
        <w:rFonts w:hint="default"/>
      </w:rPr>
    </w:lvl>
    <w:lvl w:ilvl="1" w:tplc="1C090019" w:tentative="1">
      <w:start w:val="1"/>
      <w:numFmt w:val="lowerLetter"/>
      <w:lvlText w:val="%2."/>
      <w:lvlJc w:val="left"/>
      <w:pPr>
        <w:ind w:left="2826" w:hanging="360"/>
      </w:pPr>
    </w:lvl>
    <w:lvl w:ilvl="2" w:tplc="1C09001B" w:tentative="1">
      <w:start w:val="1"/>
      <w:numFmt w:val="lowerRoman"/>
      <w:lvlText w:val="%3."/>
      <w:lvlJc w:val="right"/>
      <w:pPr>
        <w:ind w:left="3546" w:hanging="180"/>
      </w:pPr>
    </w:lvl>
    <w:lvl w:ilvl="3" w:tplc="1C09000F" w:tentative="1">
      <w:start w:val="1"/>
      <w:numFmt w:val="decimal"/>
      <w:lvlText w:val="%4."/>
      <w:lvlJc w:val="left"/>
      <w:pPr>
        <w:ind w:left="4266" w:hanging="360"/>
      </w:pPr>
    </w:lvl>
    <w:lvl w:ilvl="4" w:tplc="1C090019" w:tentative="1">
      <w:start w:val="1"/>
      <w:numFmt w:val="lowerLetter"/>
      <w:lvlText w:val="%5."/>
      <w:lvlJc w:val="left"/>
      <w:pPr>
        <w:ind w:left="4986" w:hanging="360"/>
      </w:pPr>
    </w:lvl>
    <w:lvl w:ilvl="5" w:tplc="1C09001B" w:tentative="1">
      <w:start w:val="1"/>
      <w:numFmt w:val="lowerRoman"/>
      <w:lvlText w:val="%6."/>
      <w:lvlJc w:val="right"/>
      <w:pPr>
        <w:ind w:left="5706" w:hanging="180"/>
      </w:pPr>
    </w:lvl>
    <w:lvl w:ilvl="6" w:tplc="1C09000F" w:tentative="1">
      <w:start w:val="1"/>
      <w:numFmt w:val="decimal"/>
      <w:lvlText w:val="%7."/>
      <w:lvlJc w:val="left"/>
      <w:pPr>
        <w:ind w:left="6426" w:hanging="360"/>
      </w:pPr>
    </w:lvl>
    <w:lvl w:ilvl="7" w:tplc="1C090019" w:tentative="1">
      <w:start w:val="1"/>
      <w:numFmt w:val="lowerLetter"/>
      <w:lvlText w:val="%8."/>
      <w:lvlJc w:val="left"/>
      <w:pPr>
        <w:ind w:left="7146" w:hanging="360"/>
      </w:pPr>
    </w:lvl>
    <w:lvl w:ilvl="8" w:tplc="1C09001B" w:tentative="1">
      <w:start w:val="1"/>
      <w:numFmt w:val="lowerRoman"/>
      <w:lvlText w:val="%9."/>
      <w:lvlJc w:val="right"/>
      <w:pPr>
        <w:ind w:left="7866" w:hanging="180"/>
      </w:pPr>
    </w:lvl>
  </w:abstractNum>
  <w:abstractNum w:abstractNumId="1" w15:restartNumberingAfterBreak="0">
    <w:nsid w:val="02D4263D"/>
    <w:multiLevelType w:val="hybridMultilevel"/>
    <w:tmpl w:val="A60EF30A"/>
    <w:lvl w:ilvl="0" w:tplc="FF6EC34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89A2F71"/>
    <w:multiLevelType w:val="hybridMultilevel"/>
    <w:tmpl w:val="8EB89486"/>
    <w:lvl w:ilvl="0" w:tplc="E4DC74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5A7A26"/>
    <w:multiLevelType w:val="hybridMultilevel"/>
    <w:tmpl w:val="E20C74DC"/>
    <w:lvl w:ilvl="0" w:tplc="0CD23EA0">
      <w:start w:val="1"/>
      <w:numFmt w:val="decimal"/>
      <w:pStyle w:val="JUDGMENTNUMBERED"/>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666" w:hanging="360"/>
      </w:pPr>
    </w:lvl>
    <w:lvl w:ilvl="2" w:tplc="0409001B">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4" w15:restartNumberingAfterBreak="0">
    <w:nsid w:val="0B880B9B"/>
    <w:multiLevelType w:val="hybridMultilevel"/>
    <w:tmpl w:val="F2A8A808"/>
    <w:lvl w:ilvl="0" w:tplc="C6400AE2">
      <w:start w:val="1"/>
      <w:numFmt w:val="lowerRoman"/>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5" w15:restartNumberingAfterBreak="0">
    <w:nsid w:val="0CFD719F"/>
    <w:multiLevelType w:val="multilevel"/>
    <w:tmpl w:val="575CFC98"/>
    <w:lvl w:ilvl="0">
      <w:start w:val="1"/>
      <w:numFmt w:val="decimal"/>
      <w:lvlRestart w:val="0"/>
      <w:pStyle w:val="DPLevel1Heading"/>
      <w:lvlText w:val="%1."/>
      <w:lvlJc w:val="left"/>
      <w:pPr>
        <w:tabs>
          <w:tab w:val="num" w:pos="567"/>
        </w:tabs>
        <w:ind w:left="567" w:hanging="567"/>
      </w:pPr>
      <w:rPr>
        <w:rFonts w:hint="default"/>
        <w:b w:val="0"/>
        <w:i w:val="0"/>
        <w:sz w:val="22"/>
      </w:rPr>
    </w:lvl>
    <w:lvl w:ilvl="1">
      <w:start w:val="1"/>
      <w:numFmt w:val="decimal"/>
      <w:pStyle w:val="DPLevel2List"/>
      <w:lvlText w:val="%1.%2"/>
      <w:lvlJc w:val="left"/>
      <w:pPr>
        <w:tabs>
          <w:tab w:val="num" w:pos="1985"/>
        </w:tabs>
        <w:ind w:left="1985" w:hanging="850"/>
      </w:pPr>
      <w:rPr>
        <w:rFonts w:hint="default"/>
        <w:b w:val="0"/>
        <w:i w:val="0"/>
        <w:sz w:val="22"/>
      </w:rPr>
    </w:lvl>
    <w:lvl w:ilvl="2">
      <w:start w:val="1"/>
      <w:numFmt w:val="decimal"/>
      <w:pStyle w:val="DPLevel3List"/>
      <w:lvlText w:val="%1.%2.%3"/>
      <w:lvlJc w:val="left"/>
      <w:pPr>
        <w:tabs>
          <w:tab w:val="num" w:pos="1701"/>
        </w:tabs>
        <w:ind w:left="1701" w:hanging="1134"/>
      </w:pPr>
      <w:rPr>
        <w:rFonts w:hint="default"/>
        <w:b w:val="0"/>
        <w:i w:val="0"/>
        <w:sz w:val="22"/>
      </w:rPr>
    </w:lvl>
    <w:lvl w:ilvl="3">
      <w:start w:val="1"/>
      <w:numFmt w:val="decimal"/>
      <w:pStyle w:val="DPLevel4List"/>
      <w:lvlText w:val="%1.%2.%3.%4"/>
      <w:lvlJc w:val="left"/>
      <w:pPr>
        <w:tabs>
          <w:tab w:val="num" w:pos="1984"/>
        </w:tabs>
        <w:ind w:left="1984" w:hanging="1417"/>
      </w:pPr>
      <w:rPr>
        <w:rFonts w:hint="default"/>
        <w:b w:val="0"/>
        <w:i w:val="0"/>
        <w:sz w:val="22"/>
      </w:rPr>
    </w:lvl>
    <w:lvl w:ilvl="4">
      <w:start w:val="1"/>
      <w:numFmt w:val="decimal"/>
      <w:pStyle w:val="DPLevel5List"/>
      <w:lvlText w:val="%1.%2.%3.%4.%5"/>
      <w:lvlJc w:val="left"/>
      <w:pPr>
        <w:tabs>
          <w:tab w:val="num" w:pos="2268"/>
        </w:tabs>
        <w:ind w:left="2268" w:hanging="1701"/>
      </w:pPr>
      <w:rPr>
        <w:rFonts w:hint="default"/>
        <w:b w:val="0"/>
        <w:i w:val="0"/>
        <w:sz w:val="22"/>
      </w:rPr>
    </w:lvl>
    <w:lvl w:ilvl="5">
      <w:start w:val="1"/>
      <w:numFmt w:val="decimal"/>
      <w:lvlText w:val="%1.%2.%3.%4.%5.%6"/>
      <w:lvlJc w:val="left"/>
      <w:pPr>
        <w:tabs>
          <w:tab w:val="num" w:pos="2551"/>
        </w:tabs>
        <w:ind w:left="2551" w:hanging="1984"/>
      </w:pPr>
      <w:rPr>
        <w:rFonts w:hint="default"/>
        <w:b w:val="0"/>
        <w:i w:val="0"/>
        <w:sz w:val="22"/>
      </w:rPr>
    </w:lvl>
    <w:lvl w:ilvl="6">
      <w:start w:val="1"/>
      <w:numFmt w:val="decimal"/>
      <w:lvlText w:val="%1.%2.%3.%4.%5.%6.%7"/>
      <w:lvlJc w:val="left"/>
      <w:pPr>
        <w:tabs>
          <w:tab w:val="num" w:pos="2835"/>
        </w:tabs>
        <w:ind w:left="2835" w:hanging="2268"/>
      </w:pPr>
      <w:rPr>
        <w:rFonts w:hint="default"/>
        <w:b w:val="0"/>
        <w:i w:val="0"/>
        <w:sz w:val="22"/>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E8A733E"/>
    <w:multiLevelType w:val="hybridMultilevel"/>
    <w:tmpl w:val="D7F8034A"/>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133B60B9"/>
    <w:multiLevelType w:val="hybridMultilevel"/>
    <w:tmpl w:val="DC1E0F80"/>
    <w:lvl w:ilvl="0" w:tplc="37A649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4BD598B"/>
    <w:multiLevelType w:val="hybridMultilevel"/>
    <w:tmpl w:val="A112ACE4"/>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5D07172"/>
    <w:multiLevelType w:val="hybridMultilevel"/>
    <w:tmpl w:val="E110E79A"/>
    <w:lvl w:ilvl="0" w:tplc="35E019CC">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ECB06ED"/>
    <w:multiLevelType w:val="hybridMultilevel"/>
    <w:tmpl w:val="6D4C64E6"/>
    <w:lvl w:ilvl="0" w:tplc="28A83C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05A48F4"/>
    <w:multiLevelType w:val="hybridMultilevel"/>
    <w:tmpl w:val="EB7C8084"/>
    <w:lvl w:ilvl="0" w:tplc="F0081564">
      <w:numFmt w:val="bullet"/>
      <w:lvlText w:val="-"/>
      <w:lvlJc w:val="left"/>
      <w:pPr>
        <w:ind w:left="1080" w:hanging="360"/>
      </w:pPr>
      <w:rPr>
        <w:rFonts w:ascii="Calibri" w:eastAsiaTheme="minorHAnsi" w:hAnsi="Calibri"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20911D73"/>
    <w:multiLevelType w:val="hybridMultilevel"/>
    <w:tmpl w:val="9732C5C6"/>
    <w:lvl w:ilvl="0" w:tplc="0512C42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DCA6BB0"/>
    <w:multiLevelType w:val="hybridMultilevel"/>
    <w:tmpl w:val="22C8A0F4"/>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34320DED"/>
    <w:multiLevelType w:val="hybridMultilevel"/>
    <w:tmpl w:val="35DA5EB2"/>
    <w:lvl w:ilvl="0" w:tplc="7F64A2E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45B4D69"/>
    <w:multiLevelType w:val="hybridMultilevel"/>
    <w:tmpl w:val="1B782B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608204C"/>
    <w:multiLevelType w:val="hybridMultilevel"/>
    <w:tmpl w:val="1F0A4ADA"/>
    <w:lvl w:ilvl="0" w:tplc="E4DC748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7" w15:restartNumberingAfterBreak="0">
    <w:nsid w:val="368B3432"/>
    <w:multiLevelType w:val="hybridMultilevel"/>
    <w:tmpl w:val="94F89CD6"/>
    <w:lvl w:ilvl="0" w:tplc="195A05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D1E7601"/>
    <w:multiLevelType w:val="hybridMultilevel"/>
    <w:tmpl w:val="8C9EEDD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3DDA1A3F"/>
    <w:multiLevelType w:val="hybridMultilevel"/>
    <w:tmpl w:val="BAA82DEA"/>
    <w:lvl w:ilvl="0" w:tplc="7742B7D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61D13BD"/>
    <w:multiLevelType w:val="multilevel"/>
    <w:tmpl w:val="92D0E282"/>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62B1886"/>
    <w:multiLevelType w:val="hybridMultilevel"/>
    <w:tmpl w:val="BEE4B93C"/>
    <w:lvl w:ilvl="0" w:tplc="9B220DB2">
      <w:start w:val="3"/>
      <w:numFmt w:val="lowerRoman"/>
      <w:lvlText w:val="(%1)"/>
      <w:lvlJc w:val="left"/>
      <w:pPr>
        <w:ind w:left="1844" w:hanging="720"/>
      </w:pPr>
      <w:rPr>
        <w:rFonts w:hint="default"/>
      </w:rPr>
    </w:lvl>
    <w:lvl w:ilvl="1" w:tplc="1C090019" w:tentative="1">
      <w:start w:val="1"/>
      <w:numFmt w:val="lowerLetter"/>
      <w:lvlText w:val="%2."/>
      <w:lvlJc w:val="left"/>
      <w:pPr>
        <w:ind w:left="2204" w:hanging="360"/>
      </w:pPr>
    </w:lvl>
    <w:lvl w:ilvl="2" w:tplc="1C09001B" w:tentative="1">
      <w:start w:val="1"/>
      <w:numFmt w:val="lowerRoman"/>
      <w:lvlText w:val="%3."/>
      <w:lvlJc w:val="right"/>
      <w:pPr>
        <w:ind w:left="2924" w:hanging="180"/>
      </w:pPr>
    </w:lvl>
    <w:lvl w:ilvl="3" w:tplc="1C09000F" w:tentative="1">
      <w:start w:val="1"/>
      <w:numFmt w:val="decimal"/>
      <w:lvlText w:val="%4."/>
      <w:lvlJc w:val="left"/>
      <w:pPr>
        <w:ind w:left="3644" w:hanging="360"/>
      </w:pPr>
    </w:lvl>
    <w:lvl w:ilvl="4" w:tplc="1C090019" w:tentative="1">
      <w:start w:val="1"/>
      <w:numFmt w:val="lowerLetter"/>
      <w:lvlText w:val="%5."/>
      <w:lvlJc w:val="left"/>
      <w:pPr>
        <w:ind w:left="4364" w:hanging="360"/>
      </w:pPr>
    </w:lvl>
    <w:lvl w:ilvl="5" w:tplc="1C09001B" w:tentative="1">
      <w:start w:val="1"/>
      <w:numFmt w:val="lowerRoman"/>
      <w:lvlText w:val="%6."/>
      <w:lvlJc w:val="right"/>
      <w:pPr>
        <w:ind w:left="5084" w:hanging="180"/>
      </w:pPr>
    </w:lvl>
    <w:lvl w:ilvl="6" w:tplc="1C09000F" w:tentative="1">
      <w:start w:val="1"/>
      <w:numFmt w:val="decimal"/>
      <w:lvlText w:val="%7."/>
      <w:lvlJc w:val="left"/>
      <w:pPr>
        <w:ind w:left="5804" w:hanging="360"/>
      </w:pPr>
    </w:lvl>
    <w:lvl w:ilvl="7" w:tplc="1C090019" w:tentative="1">
      <w:start w:val="1"/>
      <w:numFmt w:val="lowerLetter"/>
      <w:lvlText w:val="%8."/>
      <w:lvlJc w:val="left"/>
      <w:pPr>
        <w:ind w:left="6524" w:hanging="360"/>
      </w:pPr>
    </w:lvl>
    <w:lvl w:ilvl="8" w:tplc="1C09001B" w:tentative="1">
      <w:start w:val="1"/>
      <w:numFmt w:val="lowerRoman"/>
      <w:lvlText w:val="%9."/>
      <w:lvlJc w:val="right"/>
      <w:pPr>
        <w:ind w:left="7244" w:hanging="180"/>
      </w:pPr>
    </w:lvl>
  </w:abstractNum>
  <w:abstractNum w:abstractNumId="22" w15:restartNumberingAfterBreak="0">
    <w:nsid w:val="47DD2D99"/>
    <w:multiLevelType w:val="hybridMultilevel"/>
    <w:tmpl w:val="2A52F060"/>
    <w:lvl w:ilvl="0" w:tplc="1C09000F">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026" w:hanging="360"/>
      </w:pPr>
    </w:lvl>
    <w:lvl w:ilvl="2" w:tplc="0409001B">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23" w15:restartNumberingAfterBreak="0">
    <w:nsid w:val="5565576A"/>
    <w:multiLevelType w:val="hybridMultilevel"/>
    <w:tmpl w:val="FA227E3E"/>
    <w:lvl w:ilvl="0" w:tplc="CA0EFE9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72613AC"/>
    <w:multiLevelType w:val="hybridMultilevel"/>
    <w:tmpl w:val="B9A8D836"/>
    <w:lvl w:ilvl="0" w:tplc="C268C7A4">
      <w:start w:val="1"/>
      <w:numFmt w:val="lowerLetter"/>
      <w:lvlText w:val="(%1)"/>
      <w:lvlJc w:val="left"/>
      <w:pPr>
        <w:ind w:left="1800" w:hanging="360"/>
      </w:pPr>
      <w:rPr>
        <w:rFonts w:ascii="Times New Roman" w:eastAsia="Calibri" w:hAnsi="Times New Roman" w:cs="Times New Roman"/>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5CA335DA"/>
    <w:multiLevelType w:val="hybridMultilevel"/>
    <w:tmpl w:val="44D4EC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18D2CE1"/>
    <w:multiLevelType w:val="hybridMultilevel"/>
    <w:tmpl w:val="C15EC4D0"/>
    <w:lvl w:ilvl="0" w:tplc="486A81A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62B039B6"/>
    <w:multiLevelType w:val="hybridMultilevel"/>
    <w:tmpl w:val="F19A39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E1E8E"/>
    <w:multiLevelType w:val="hybridMultilevel"/>
    <w:tmpl w:val="FBE4DEBA"/>
    <w:lvl w:ilvl="0" w:tplc="D0D6232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66952915"/>
    <w:multiLevelType w:val="hybridMultilevel"/>
    <w:tmpl w:val="95CE96AE"/>
    <w:lvl w:ilvl="0" w:tplc="C6400AE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B420F8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4F77A8"/>
    <w:multiLevelType w:val="hybridMultilevel"/>
    <w:tmpl w:val="1F0A4ADA"/>
    <w:lvl w:ilvl="0" w:tplc="E4DC74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DD14573"/>
    <w:multiLevelType w:val="hybridMultilevel"/>
    <w:tmpl w:val="8B5E1EEE"/>
    <w:lvl w:ilvl="0" w:tplc="A19EC83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15:restartNumberingAfterBreak="0">
    <w:nsid w:val="74070433"/>
    <w:multiLevelType w:val="hybridMultilevel"/>
    <w:tmpl w:val="1F0A4ADA"/>
    <w:lvl w:ilvl="0" w:tplc="E4DC748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4" w15:restartNumberingAfterBreak="0">
    <w:nsid w:val="74B62E34"/>
    <w:multiLevelType w:val="hybridMultilevel"/>
    <w:tmpl w:val="DFD0B942"/>
    <w:lvl w:ilvl="0" w:tplc="C268C7A4">
      <w:start w:val="1"/>
      <w:numFmt w:val="lowerLetter"/>
      <w:lvlText w:val="(%1)"/>
      <w:lvlJc w:val="left"/>
      <w:pPr>
        <w:ind w:left="720" w:hanging="360"/>
      </w:pPr>
      <w:rPr>
        <w:rFonts w:ascii="Times New Roman" w:eastAsia="Calibri" w:hAnsi="Times New Roman" w:cs="Times New Roman"/>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99C37C8"/>
    <w:multiLevelType w:val="hybridMultilevel"/>
    <w:tmpl w:val="4110841E"/>
    <w:lvl w:ilvl="0" w:tplc="C268C7A4">
      <w:start w:val="1"/>
      <w:numFmt w:val="lowerLetter"/>
      <w:lvlText w:val="(%1)"/>
      <w:lvlJc w:val="left"/>
      <w:pPr>
        <w:ind w:left="1800" w:hanging="360"/>
      </w:pPr>
      <w:rPr>
        <w:rFonts w:ascii="Times New Roman" w:eastAsia="Calibri" w:hAnsi="Times New Roman" w:cs="Times New Roman"/>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6" w15:restartNumberingAfterBreak="0">
    <w:nsid w:val="7A7C384D"/>
    <w:multiLevelType w:val="hybridMultilevel"/>
    <w:tmpl w:val="9732C5C6"/>
    <w:lvl w:ilvl="0" w:tplc="0512C42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5"/>
    <w:lvlOverride w:ilvl="0">
      <w:lvl w:ilvl="0">
        <w:start w:val="1"/>
        <w:numFmt w:val="decimal"/>
        <w:lvlRestart w:val="0"/>
        <w:pStyle w:val="DPLevel1Heading"/>
        <w:lvlText w:val="%1."/>
        <w:lvlJc w:val="left"/>
        <w:pPr>
          <w:tabs>
            <w:tab w:val="num" w:pos="1135"/>
          </w:tabs>
          <w:ind w:left="1135"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DPLevel2List"/>
        <w:lvlText w:val="%1.%2"/>
        <w:lvlJc w:val="left"/>
        <w:pPr>
          <w:tabs>
            <w:tab w:val="num" w:pos="992"/>
          </w:tabs>
          <w:ind w:left="992"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DPLevel3List"/>
        <w:lvlText w:val="%1.%2.%3"/>
        <w:lvlJc w:val="left"/>
        <w:pPr>
          <w:tabs>
            <w:tab w:val="num" w:pos="3970"/>
          </w:tabs>
          <w:ind w:left="3970"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DPLevel4List"/>
        <w:lvlText w:val="%1.%2.%3.%4"/>
        <w:lvlJc w:val="left"/>
        <w:pPr>
          <w:tabs>
            <w:tab w:val="num" w:pos="1984"/>
          </w:tabs>
          <w:ind w:left="1984" w:hanging="141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DPLevel5List"/>
        <w:lvlText w:val="%1.%2.%3.%4.%5"/>
        <w:lvlJc w:val="left"/>
        <w:pPr>
          <w:tabs>
            <w:tab w:val="num" w:pos="2268"/>
          </w:tabs>
          <w:ind w:left="2268" w:hanging="170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tabs>
            <w:tab w:val="num" w:pos="2551"/>
          </w:tabs>
          <w:ind w:left="2551" w:hanging="1984"/>
        </w:pPr>
        <w:rPr>
          <w:rFonts w:hint="default"/>
          <w:b w:val="0"/>
          <w:i w:val="0"/>
          <w:sz w:val="22"/>
        </w:rPr>
      </w:lvl>
    </w:lvlOverride>
    <w:lvlOverride w:ilvl="6">
      <w:lvl w:ilvl="6">
        <w:start w:val="1"/>
        <w:numFmt w:val="decimal"/>
        <w:lvlText w:val="%1.%2.%3.%4.%5.%6.%7"/>
        <w:lvlJc w:val="left"/>
        <w:pPr>
          <w:tabs>
            <w:tab w:val="num" w:pos="2835"/>
          </w:tabs>
          <w:ind w:left="2835" w:hanging="2268"/>
        </w:pPr>
        <w:rPr>
          <w:rFonts w:hint="default"/>
          <w:b w:val="0"/>
          <w:i w:val="0"/>
          <w:sz w:val="22"/>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25"/>
  </w:num>
  <w:num w:numId="5">
    <w:abstractNumId w:val="36"/>
  </w:num>
  <w:num w:numId="6">
    <w:abstractNumId w:val="12"/>
  </w:num>
  <w:num w:numId="7">
    <w:abstractNumId w:val="16"/>
  </w:num>
  <w:num w:numId="8">
    <w:abstractNumId w:val="4"/>
  </w:num>
  <w:num w:numId="9">
    <w:abstractNumId w:val="2"/>
  </w:num>
  <w:num w:numId="10">
    <w:abstractNumId w:val="27"/>
  </w:num>
  <w:num w:numId="11">
    <w:abstractNumId w:val="3"/>
  </w:num>
  <w:num w:numId="12">
    <w:abstractNumId w:val="15"/>
  </w:num>
  <w:num w:numId="13">
    <w:abstractNumId w:val="3"/>
  </w:num>
  <w:num w:numId="14">
    <w:abstractNumId w:val="3"/>
  </w:num>
  <w:num w:numId="15">
    <w:abstractNumId w:val="29"/>
  </w:num>
  <w:num w:numId="16">
    <w:abstractNumId w:val="3"/>
  </w:num>
  <w:num w:numId="17">
    <w:abstractNumId w:val="3"/>
  </w:num>
  <w:num w:numId="18">
    <w:abstractNumId w:val="3"/>
  </w:num>
  <w:num w:numId="19">
    <w:abstractNumId w:val="1"/>
  </w:num>
  <w:num w:numId="20">
    <w:abstractNumId w:val="22"/>
  </w:num>
  <w:num w:numId="21">
    <w:abstractNumId w:val="3"/>
  </w:num>
  <w:num w:numId="22">
    <w:abstractNumId w:val="3"/>
  </w:num>
  <w:num w:numId="23">
    <w:abstractNumId w:val="26"/>
  </w:num>
  <w:num w:numId="24">
    <w:abstractNumId w:val="3"/>
  </w:num>
  <w:num w:numId="25">
    <w:abstractNumId w:val="3"/>
  </w:num>
  <w:num w:numId="26">
    <w:abstractNumId w:val="3"/>
  </w:num>
  <w:num w:numId="27">
    <w:abstractNumId w:val="3"/>
  </w:num>
  <w:num w:numId="28">
    <w:abstractNumId w:val="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9"/>
  </w:num>
  <w:num w:numId="38">
    <w:abstractNumId w:val="3"/>
  </w:num>
  <w:num w:numId="39">
    <w:abstractNumId w:val="3"/>
  </w:num>
  <w:num w:numId="40">
    <w:abstractNumId w:val="3"/>
  </w:num>
  <w:num w:numId="41">
    <w:abstractNumId w:val="28"/>
  </w:num>
  <w:num w:numId="42">
    <w:abstractNumId w:val="3"/>
  </w:num>
  <w:num w:numId="43">
    <w:abstractNumId w:val="3"/>
  </w:num>
  <w:num w:numId="44">
    <w:abstractNumId w:val="3"/>
  </w:num>
  <w:num w:numId="45">
    <w:abstractNumId w:val="3"/>
  </w:num>
  <w:num w:numId="46">
    <w:abstractNumId w:val="31"/>
  </w:num>
  <w:num w:numId="47">
    <w:abstractNumId w:val="3"/>
  </w:num>
  <w:num w:numId="48">
    <w:abstractNumId w:val="33"/>
  </w:num>
  <w:num w:numId="49">
    <w:abstractNumId w:val="32"/>
  </w:num>
  <w:num w:numId="50">
    <w:abstractNumId w:val="20"/>
  </w:num>
  <w:num w:numId="51">
    <w:abstractNumId w:val="10"/>
  </w:num>
  <w:num w:numId="52">
    <w:abstractNumId w:val="10"/>
    <w:lvlOverride w:ilvl="0">
      <w:startOverride w:val="1"/>
    </w:lvlOverride>
  </w:num>
  <w:num w:numId="53">
    <w:abstractNumId w:val="8"/>
  </w:num>
  <w:num w:numId="54">
    <w:abstractNumId w:val="11"/>
  </w:num>
  <w:num w:numId="55">
    <w:abstractNumId w:val="34"/>
  </w:num>
  <w:num w:numId="56">
    <w:abstractNumId w:val="18"/>
  </w:num>
  <w:num w:numId="57">
    <w:abstractNumId w:val="17"/>
  </w:num>
  <w:num w:numId="58">
    <w:abstractNumId w:val="3"/>
    <w:lvlOverride w:ilvl="0">
      <w:startOverride w:val="1"/>
    </w:lvlOverride>
  </w:num>
  <w:num w:numId="59">
    <w:abstractNumId w:val="3"/>
    <w:lvlOverride w:ilvl="0">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num>
  <w:num w:numId="62">
    <w:abstractNumId w:val="6"/>
  </w:num>
  <w:num w:numId="63">
    <w:abstractNumId w:val="19"/>
  </w:num>
  <w:num w:numId="64">
    <w:abstractNumId w:val="13"/>
  </w:num>
  <w:num w:numId="65">
    <w:abstractNumId w:val="35"/>
  </w:num>
  <w:num w:numId="66">
    <w:abstractNumId w:val="24"/>
  </w:num>
  <w:num w:numId="67">
    <w:abstractNumId w:val="23"/>
  </w:num>
  <w:num w:numId="68">
    <w:abstractNumId w:val="14"/>
  </w:num>
  <w:num w:numId="69">
    <w:abstractNumId w:val="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C4"/>
    <w:rsid w:val="00003278"/>
    <w:rsid w:val="00003B57"/>
    <w:rsid w:val="000122B8"/>
    <w:rsid w:val="00012329"/>
    <w:rsid w:val="00012821"/>
    <w:rsid w:val="00016385"/>
    <w:rsid w:val="000164A5"/>
    <w:rsid w:val="00021B45"/>
    <w:rsid w:val="0002258D"/>
    <w:rsid w:val="00026A65"/>
    <w:rsid w:val="0003222E"/>
    <w:rsid w:val="0003332C"/>
    <w:rsid w:val="0003374F"/>
    <w:rsid w:val="00035496"/>
    <w:rsid w:val="00035D29"/>
    <w:rsid w:val="000364D3"/>
    <w:rsid w:val="000372C2"/>
    <w:rsid w:val="000407AE"/>
    <w:rsid w:val="00040BCA"/>
    <w:rsid w:val="00043F5F"/>
    <w:rsid w:val="000446DA"/>
    <w:rsid w:val="00044C09"/>
    <w:rsid w:val="00050E22"/>
    <w:rsid w:val="000570BC"/>
    <w:rsid w:val="0006083C"/>
    <w:rsid w:val="00061C39"/>
    <w:rsid w:val="000628C4"/>
    <w:rsid w:val="00062DAE"/>
    <w:rsid w:val="00065CC1"/>
    <w:rsid w:val="000704F2"/>
    <w:rsid w:val="000716B4"/>
    <w:rsid w:val="000735E8"/>
    <w:rsid w:val="0007562E"/>
    <w:rsid w:val="000772F5"/>
    <w:rsid w:val="000776EF"/>
    <w:rsid w:val="000811E3"/>
    <w:rsid w:val="00082CC3"/>
    <w:rsid w:val="000830EC"/>
    <w:rsid w:val="000834C4"/>
    <w:rsid w:val="0008371B"/>
    <w:rsid w:val="000856D4"/>
    <w:rsid w:val="00085FFC"/>
    <w:rsid w:val="0009133C"/>
    <w:rsid w:val="000933E2"/>
    <w:rsid w:val="00095A15"/>
    <w:rsid w:val="00097BA5"/>
    <w:rsid w:val="000A1A1F"/>
    <w:rsid w:val="000A1F1F"/>
    <w:rsid w:val="000A1F7E"/>
    <w:rsid w:val="000A6875"/>
    <w:rsid w:val="000B0C92"/>
    <w:rsid w:val="000B2021"/>
    <w:rsid w:val="000B22E6"/>
    <w:rsid w:val="000B65C0"/>
    <w:rsid w:val="000C27F6"/>
    <w:rsid w:val="000C3088"/>
    <w:rsid w:val="000C38CF"/>
    <w:rsid w:val="000C403C"/>
    <w:rsid w:val="000C5DD1"/>
    <w:rsid w:val="000C5FD9"/>
    <w:rsid w:val="000C61B5"/>
    <w:rsid w:val="000D2D63"/>
    <w:rsid w:val="000D3ED8"/>
    <w:rsid w:val="000D3FE2"/>
    <w:rsid w:val="000D62A4"/>
    <w:rsid w:val="000D7A90"/>
    <w:rsid w:val="000D7D15"/>
    <w:rsid w:val="000E157A"/>
    <w:rsid w:val="000E4766"/>
    <w:rsid w:val="000F7521"/>
    <w:rsid w:val="001016AC"/>
    <w:rsid w:val="0010586E"/>
    <w:rsid w:val="001079AC"/>
    <w:rsid w:val="0011477F"/>
    <w:rsid w:val="00115CFF"/>
    <w:rsid w:val="00120C59"/>
    <w:rsid w:val="0012412C"/>
    <w:rsid w:val="00127A47"/>
    <w:rsid w:val="00132023"/>
    <w:rsid w:val="0013210B"/>
    <w:rsid w:val="001357A5"/>
    <w:rsid w:val="0013677B"/>
    <w:rsid w:val="001377ED"/>
    <w:rsid w:val="00140D12"/>
    <w:rsid w:val="00145A2E"/>
    <w:rsid w:val="00145CCF"/>
    <w:rsid w:val="0014699F"/>
    <w:rsid w:val="001472A7"/>
    <w:rsid w:val="0014739D"/>
    <w:rsid w:val="00152092"/>
    <w:rsid w:val="00153037"/>
    <w:rsid w:val="0015383E"/>
    <w:rsid w:val="0015697B"/>
    <w:rsid w:val="00157A3B"/>
    <w:rsid w:val="00157EF8"/>
    <w:rsid w:val="00160340"/>
    <w:rsid w:val="00160DB7"/>
    <w:rsid w:val="00160EE9"/>
    <w:rsid w:val="001611B1"/>
    <w:rsid w:val="001646BF"/>
    <w:rsid w:val="00165929"/>
    <w:rsid w:val="00167880"/>
    <w:rsid w:val="001679AB"/>
    <w:rsid w:val="00174981"/>
    <w:rsid w:val="001749DE"/>
    <w:rsid w:val="001752BB"/>
    <w:rsid w:val="001773EC"/>
    <w:rsid w:val="00177A58"/>
    <w:rsid w:val="00181BBF"/>
    <w:rsid w:val="00182A4E"/>
    <w:rsid w:val="001831B0"/>
    <w:rsid w:val="0018342C"/>
    <w:rsid w:val="00183FC9"/>
    <w:rsid w:val="00192101"/>
    <w:rsid w:val="001927E9"/>
    <w:rsid w:val="00194B9C"/>
    <w:rsid w:val="00195BFB"/>
    <w:rsid w:val="001978D2"/>
    <w:rsid w:val="00197D44"/>
    <w:rsid w:val="001A040F"/>
    <w:rsid w:val="001A05FB"/>
    <w:rsid w:val="001A0B37"/>
    <w:rsid w:val="001A4270"/>
    <w:rsid w:val="001A59AB"/>
    <w:rsid w:val="001B4C29"/>
    <w:rsid w:val="001B693C"/>
    <w:rsid w:val="001B7709"/>
    <w:rsid w:val="001C050A"/>
    <w:rsid w:val="001C492F"/>
    <w:rsid w:val="001C5479"/>
    <w:rsid w:val="001C6271"/>
    <w:rsid w:val="001C75D2"/>
    <w:rsid w:val="001D10C6"/>
    <w:rsid w:val="001D21AB"/>
    <w:rsid w:val="001D31D7"/>
    <w:rsid w:val="001D3C1A"/>
    <w:rsid w:val="001D3FEB"/>
    <w:rsid w:val="001D5CEA"/>
    <w:rsid w:val="001D6840"/>
    <w:rsid w:val="001E0D30"/>
    <w:rsid w:val="001E4BFA"/>
    <w:rsid w:val="001E6644"/>
    <w:rsid w:val="001E71A9"/>
    <w:rsid w:val="001E7549"/>
    <w:rsid w:val="001F003D"/>
    <w:rsid w:val="001F0D73"/>
    <w:rsid w:val="001F4802"/>
    <w:rsid w:val="001F6AC8"/>
    <w:rsid w:val="001F729E"/>
    <w:rsid w:val="00205AD6"/>
    <w:rsid w:val="00210FAE"/>
    <w:rsid w:val="002137D3"/>
    <w:rsid w:val="00213BD0"/>
    <w:rsid w:val="002206F1"/>
    <w:rsid w:val="002208F2"/>
    <w:rsid w:val="002211BC"/>
    <w:rsid w:val="00222683"/>
    <w:rsid w:val="00224DB0"/>
    <w:rsid w:val="00232B8F"/>
    <w:rsid w:val="00233213"/>
    <w:rsid w:val="00236F9A"/>
    <w:rsid w:val="0023772A"/>
    <w:rsid w:val="002378FC"/>
    <w:rsid w:val="00241F27"/>
    <w:rsid w:val="0024338B"/>
    <w:rsid w:val="00245EFC"/>
    <w:rsid w:val="00246ACF"/>
    <w:rsid w:val="00246FD5"/>
    <w:rsid w:val="0024725F"/>
    <w:rsid w:val="00250604"/>
    <w:rsid w:val="002506E6"/>
    <w:rsid w:val="002513B6"/>
    <w:rsid w:val="0025432E"/>
    <w:rsid w:val="00255496"/>
    <w:rsid w:val="00264396"/>
    <w:rsid w:val="00265EE0"/>
    <w:rsid w:val="0026724D"/>
    <w:rsid w:val="002700E6"/>
    <w:rsid w:val="002719D0"/>
    <w:rsid w:val="00275BA3"/>
    <w:rsid w:val="00276ABC"/>
    <w:rsid w:val="00282FF0"/>
    <w:rsid w:val="00283F78"/>
    <w:rsid w:val="002857B6"/>
    <w:rsid w:val="00287753"/>
    <w:rsid w:val="00295C91"/>
    <w:rsid w:val="002A1D50"/>
    <w:rsid w:val="002A2F2C"/>
    <w:rsid w:val="002A423E"/>
    <w:rsid w:val="002A5BDD"/>
    <w:rsid w:val="002A76CE"/>
    <w:rsid w:val="002B02DF"/>
    <w:rsid w:val="002B0748"/>
    <w:rsid w:val="002B4EDE"/>
    <w:rsid w:val="002B5E37"/>
    <w:rsid w:val="002B700E"/>
    <w:rsid w:val="002B701A"/>
    <w:rsid w:val="002C07D4"/>
    <w:rsid w:val="002C276D"/>
    <w:rsid w:val="002C549D"/>
    <w:rsid w:val="002C5F97"/>
    <w:rsid w:val="002C7AC5"/>
    <w:rsid w:val="002D004C"/>
    <w:rsid w:val="002D12BB"/>
    <w:rsid w:val="002D1E15"/>
    <w:rsid w:val="002D1FD9"/>
    <w:rsid w:val="002D4843"/>
    <w:rsid w:val="002D5766"/>
    <w:rsid w:val="002D6E04"/>
    <w:rsid w:val="002E1AA1"/>
    <w:rsid w:val="002E1CD9"/>
    <w:rsid w:val="002E4857"/>
    <w:rsid w:val="002E7E35"/>
    <w:rsid w:val="002F0C67"/>
    <w:rsid w:val="002F2C93"/>
    <w:rsid w:val="002F341D"/>
    <w:rsid w:val="002F4FCC"/>
    <w:rsid w:val="002F5084"/>
    <w:rsid w:val="002F676A"/>
    <w:rsid w:val="002F6A17"/>
    <w:rsid w:val="002F6B2B"/>
    <w:rsid w:val="002F7207"/>
    <w:rsid w:val="002F7796"/>
    <w:rsid w:val="00302AC4"/>
    <w:rsid w:val="003044AF"/>
    <w:rsid w:val="003050BB"/>
    <w:rsid w:val="00311BC0"/>
    <w:rsid w:val="003144BC"/>
    <w:rsid w:val="00315512"/>
    <w:rsid w:val="00316533"/>
    <w:rsid w:val="00316CFB"/>
    <w:rsid w:val="00317F63"/>
    <w:rsid w:val="00322A7A"/>
    <w:rsid w:val="00324ED4"/>
    <w:rsid w:val="003252A5"/>
    <w:rsid w:val="00326649"/>
    <w:rsid w:val="00327E4D"/>
    <w:rsid w:val="00330E8A"/>
    <w:rsid w:val="00334BB9"/>
    <w:rsid w:val="003357B0"/>
    <w:rsid w:val="003358E6"/>
    <w:rsid w:val="00335B37"/>
    <w:rsid w:val="00341131"/>
    <w:rsid w:val="00345BEA"/>
    <w:rsid w:val="00346927"/>
    <w:rsid w:val="003472D2"/>
    <w:rsid w:val="003503AB"/>
    <w:rsid w:val="00352129"/>
    <w:rsid w:val="0035257E"/>
    <w:rsid w:val="003576CA"/>
    <w:rsid w:val="003644DF"/>
    <w:rsid w:val="00365DC8"/>
    <w:rsid w:val="00366550"/>
    <w:rsid w:val="00366A58"/>
    <w:rsid w:val="00367DD8"/>
    <w:rsid w:val="0037086C"/>
    <w:rsid w:val="00372187"/>
    <w:rsid w:val="0037223E"/>
    <w:rsid w:val="003725DF"/>
    <w:rsid w:val="00372781"/>
    <w:rsid w:val="00372EAC"/>
    <w:rsid w:val="003772E8"/>
    <w:rsid w:val="00380B23"/>
    <w:rsid w:val="00381E96"/>
    <w:rsid w:val="003837F4"/>
    <w:rsid w:val="00383D37"/>
    <w:rsid w:val="0038522D"/>
    <w:rsid w:val="00386C2B"/>
    <w:rsid w:val="00386E05"/>
    <w:rsid w:val="00386F56"/>
    <w:rsid w:val="00386FCB"/>
    <w:rsid w:val="00392822"/>
    <w:rsid w:val="00393E01"/>
    <w:rsid w:val="003969D1"/>
    <w:rsid w:val="003A18CF"/>
    <w:rsid w:val="003A3C4A"/>
    <w:rsid w:val="003A3E5C"/>
    <w:rsid w:val="003A53E2"/>
    <w:rsid w:val="003B12C2"/>
    <w:rsid w:val="003B2D01"/>
    <w:rsid w:val="003B6C7A"/>
    <w:rsid w:val="003B7F56"/>
    <w:rsid w:val="003C0A7F"/>
    <w:rsid w:val="003C2C79"/>
    <w:rsid w:val="003C36D7"/>
    <w:rsid w:val="003C3CDD"/>
    <w:rsid w:val="003C5CF6"/>
    <w:rsid w:val="003C7B6C"/>
    <w:rsid w:val="003D0796"/>
    <w:rsid w:val="003D2724"/>
    <w:rsid w:val="003E0714"/>
    <w:rsid w:val="003E211B"/>
    <w:rsid w:val="003E4AA7"/>
    <w:rsid w:val="003E5122"/>
    <w:rsid w:val="003E5A8A"/>
    <w:rsid w:val="003F00C9"/>
    <w:rsid w:val="003F1E77"/>
    <w:rsid w:val="003F59FE"/>
    <w:rsid w:val="004001D9"/>
    <w:rsid w:val="00402559"/>
    <w:rsid w:val="0040442D"/>
    <w:rsid w:val="00410F7E"/>
    <w:rsid w:val="004110F6"/>
    <w:rsid w:val="00414B2C"/>
    <w:rsid w:val="0042451E"/>
    <w:rsid w:val="004254B9"/>
    <w:rsid w:val="00432ABF"/>
    <w:rsid w:val="00441B32"/>
    <w:rsid w:val="0044313C"/>
    <w:rsid w:val="00444DBC"/>
    <w:rsid w:val="00445196"/>
    <w:rsid w:val="0044789D"/>
    <w:rsid w:val="004573E0"/>
    <w:rsid w:val="0046182E"/>
    <w:rsid w:val="004620BF"/>
    <w:rsid w:val="004660B6"/>
    <w:rsid w:val="00466FFA"/>
    <w:rsid w:val="004702BF"/>
    <w:rsid w:val="00473C5B"/>
    <w:rsid w:val="00476349"/>
    <w:rsid w:val="004769D2"/>
    <w:rsid w:val="00477EAC"/>
    <w:rsid w:val="00477EEC"/>
    <w:rsid w:val="004814EB"/>
    <w:rsid w:val="00484260"/>
    <w:rsid w:val="00485EE9"/>
    <w:rsid w:val="0049216C"/>
    <w:rsid w:val="00494208"/>
    <w:rsid w:val="00495806"/>
    <w:rsid w:val="00497EF2"/>
    <w:rsid w:val="004A148D"/>
    <w:rsid w:val="004A14DE"/>
    <w:rsid w:val="004A5053"/>
    <w:rsid w:val="004A7BA6"/>
    <w:rsid w:val="004B1650"/>
    <w:rsid w:val="004B3AFC"/>
    <w:rsid w:val="004B6CA3"/>
    <w:rsid w:val="004C1C49"/>
    <w:rsid w:val="004C2E47"/>
    <w:rsid w:val="004C51C9"/>
    <w:rsid w:val="004C7588"/>
    <w:rsid w:val="004C7592"/>
    <w:rsid w:val="004D02BA"/>
    <w:rsid w:val="004D144E"/>
    <w:rsid w:val="004D37BE"/>
    <w:rsid w:val="004E00EA"/>
    <w:rsid w:val="004E056E"/>
    <w:rsid w:val="004E0A9B"/>
    <w:rsid w:val="004E0D8F"/>
    <w:rsid w:val="004E0EDB"/>
    <w:rsid w:val="004E3677"/>
    <w:rsid w:val="004E500F"/>
    <w:rsid w:val="004E5C54"/>
    <w:rsid w:val="004E792B"/>
    <w:rsid w:val="004E7D59"/>
    <w:rsid w:val="004F0396"/>
    <w:rsid w:val="004F176D"/>
    <w:rsid w:val="004F67FB"/>
    <w:rsid w:val="004F6937"/>
    <w:rsid w:val="004F6F40"/>
    <w:rsid w:val="005022DF"/>
    <w:rsid w:val="00503030"/>
    <w:rsid w:val="00506A3F"/>
    <w:rsid w:val="00506F74"/>
    <w:rsid w:val="0051257A"/>
    <w:rsid w:val="005134F2"/>
    <w:rsid w:val="005146B3"/>
    <w:rsid w:val="0051539C"/>
    <w:rsid w:val="005158DE"/>
    <w:rsid w:val="005163E4"/>
    <w:rsid w:val="0051740A"/>
    <w:rsid w:val="005221E6"/>
    <w:rsid w:val="00526783"/>
    <w:rsid w:val="005268DB"/>
    <w:rsid w:val="00526CE6"/>
    <w:rsid w:val="00526DC0"/>
    <w:rsid w:val="005307AB"/>
    <w:rsid w:val="00530B4A"/>
    <w:rsid w:val="005314E0"/>
    <w:rsid w:val="00533037"/>
    <w:rsid w:val="0053575F"/>
    <w:rsid w:val="00535E74"/>
    <w:rsid w:val="00536385"/>
    <w:rsid w:val="00536C09"/>
    <w:rsid w:val="00537842"/>
    <w:rsid w:val="0053786B"/>
    <w:rsid w:val="00540783"/>
    <w:rsid w:val="005418D7"/>
    <w:rsid w:val="00542F39"/>
    <w:rsid w:val="00542F53"/>
    <w:rsid w:val="005460DB"/>
    <w:rsid w:val="005469C0"/>
    <w:rsid w:val="0054744E"/>
    <w:rsid w:val="0055215F"/>
    <w:rsid w:val="005627D3"/>
    <w:rsid w:val="0056358A"/>
    <w:rsid w:val="0056430F"/>
    <w:rsid w:val="00565CAF"/>
    <w:rsid w:val="005673B4"/>
    <w:rsid w:val="0056742C"/>
    <w:rsid w:val="00567836"/>
    <w:rsid w:val="00572335"/>
    <w:rsid w:val="00572A58"/>
    <w:rsid w:val="00574066"/>
    <w:rsid w:val="00574131"/>
    <w:rsid w:val="005768ED"/>
    <w:rsid w:val="0058048B"/>
    <w:rsid w:val="005805CD"/>
    <w:rsid w:val="00580857"/>
    <w:rsid w:val="00582AD3"/>
    <w:rsid w:val="00582D49"/>
    <w:rsid w:val="0058318E"/>
    <w:rsid w:val="00590B22"/>
    <w:rsid w:val="00593786"/>
    <w:rsid w:val="00593B6C"/>
    <w:rsid w:val="005A2F46"/>
    <w:rsid w:val="005A3BCA"/>
    <w:rsid w:val="005B1C03"/>
    <w:rsid w:val="005B2402"/>
    <w:rsid w:val="005B3900"/>
    <w:rsid w:val="005B40AA"/>
    <w:rsid w:val="005B5DBB"/>
    <w:rsid w:val="005B6576"/>
    <w:rsid w:val="005B7150"/>
    <w:rsid w:val="005C0A93"/>
    <w:rsid w:val="005C185B"/>
    <w:rsid w:val="005C36C7"/>
    <w:rsid w:val="005C4785"/>
    <w:rsid w:val="005C4A1A"/>
    <w:rsid w:val="005C6A50"/>
    <w:rsid w:val="005D1A6D"/>
    <w:rsid w:val="005D400E"/>
    <w:rsid w:val="005D532B"/>
    <w:rsid w:val="005D5D17"/>
    <w:rsid w:val="005E032F"/>
    <w:rsid w:val="005E07C7"/>
    <w:rsid w:val="005E148E"/>
    <w:rsid w:val="005E1E93"/>
    <w:rsid w:val="005E20C7"/>
    <w:rsid w:val="005E5D20"/>
    <w:rsid w:val="005F25A8"/>
    <w:rsid w:val="005F338F"/>
    <w:rsid w:val="005F3AC7"/>
    <w:rsid w:val="005F5198"/>
    <w:rsid w:val="005F7103"/>
    <w:rsid w:val="00601A88"/>
    <w:rsid w:val="00603EFA"/>
    <w:rsid w:val="006046E4"/>
    <w:rsid w:val="00606ACB"/>
    <w:rsid w:val="006079A2"/>
    <w:rsid w:val="0061310E"/>
    <w:rsid w:val="006144AD"/>
    <w:rsid w:val="006147BF"/>
    <w:rsid w:val="00616C71"/>
    <w:rsid w:val="006235EC"/>
    <w:rsid w:val="00626B21"/>
    <w:rsid w:val="006272CB"/>
    <w:rsid w:val="00627800"/>
    <w:rsid w:val="00627CD2"/>
    <w:rsid w:val="00635427"/>
    <w:rsid w:val="0063608B"/>
    <w:rsid w:val="0063624F"/>
    <w:rsid w:val="00636D40"/>
    <w:rsid w:val="00637379"/>
    <w:rsid w:val="006376C1"/>
    <w:rsid w:val="00640A04"/>
    <w:rsid w:val="00641348"/>
    <w:rsid w:val="00647BC2"/>
    <w:rsid w:val="0065071E"/>
    <w:rsid w:val="00650C3F"/>
    <w:rsid w:val="00652213"/>
    <w:rsid w:val="006534B4"/>
    <w:rsid w:val="00655FEB"/>
    <w:rsid w:val="00656E25"/>
    <w:rsid w:val="00657B43"/>
    <w:rsid w:val="00657F09"/>
    <w:rsid w:val="00660BFE"/>
    <w:rsid w:val="006673B1"/>
    <w:rsid w:val="0066741F"/>
    <w:rsid w:val="0067100D"/>
    <w:rsid w:val="0067159E"/>
    <w:rsid w:val="006724E0"/>
    <w:rsid w:val="00672BA9"/>
    <w:rsid w:val="0067363A"/>
    <w:rsid w:val="006760DF"/>
    <w:rsid w:val="0067644D"/>
    <w:rsid w:val="006770F5"/>
    <w:rsid w:val="006815AD"/>
    <w:rsid w:val="00685D59"/>
    <w:rsid w:val="006903FE"/>
    <w:rsid w:val="006979B7"/>
    <w:rsid w:val="006A4F65"/>
    <w:rsid w:val="006A6304"/>
    <w:rsid w:val="006B1D59"/>
    <w:rsid w:val="006B4EEA"/>
    <w:rsid w:val="006B5A4E"/>
    <w:rsid w:val="006B7B8E"/>
    <w:rsid w:val="006C6FD1"/>
    <w:rsid w:val="006C7D00"/>
    <w:rsid w:val="006D027F"/>
    <w:rsid w:val="006D21A9"/>
    <w:rsid w:val="006D533C"/>
    <w:rsid w:val="006D57D7"/>
    <w:rsid w:val="006D5AC2"/>
    <w:rsid w:val="006D71B1"/>
    <w:rsid w:val="006E1A6F"/>
    <w:rsid w:val="006E3711"/>
    <w:rsid w:val="006F0035"/>
    <w:rsid w:val="006F19AB"/>
    <w:rsid w:val="006F33F4"/>
    <w:rsid w:val="006F421F"/>
    <w:rsid w:val="006F505B"/>
    <w:rsid w:val="006F61A5"/>
    <w:rsid w:val="006F63B2"/>
    <w:rsid w:val="007038B4"/>
    <w:rsid w:val="00705439"/>
    <w:rsid w:val="007059B7"/>
    <w:rsid w:val="00705AC5"/>
    <w:rsid w:val="00706CCB"/>
    <w:rsid w:val="00706F16"/>
    <w:rsid w:val="00707C78"/>
    <w:rsid w:val="00711738"/>
    <w:rsid w:val="0071183B"/>
    <w:rsid w:val="0071186B"/>
    <w:rsid w:val="00711E3D"/>
    <w:rsid w:val="00714881"/>
    <w:rsid w:val="007177A4"/>
    <w:rsid w:val="00717951"/>
    <w:rsid w:val="007244D8"/>
    <w:rsid w:val="00724B4E"/>
    <w:rsid w:val="00730113"/>
    <w:rsid w:val="00737098"/>
    <w:rsid w:val="007407C4"/>
    <w:rsid w:val="007419F1"/>
    <w:rsid w:val="00743639"/>
    <w:rsid w:val="007456BA"/>
    <w:rsid w:val="007459C4"/>
    <w:rsid w:val="00745A38"/>
    <w:rsid w:val="0074753B"/>
    <w:rsid w:val="00747D66"/>
    <w:rsid w:val="0076022E"/>
    <w:rsid w:val="0076061D"/>
    <w:rsid w:val="007623F4"/>
    <w:rsid w:val="00763DD5"/>
    <w:rsid w:val="0076564D"/>
    <w:rsid w:val="007706CD"/>
    <w:rsid w:val="00774BB7"/>
    <w:rsid w:val="0077605F"/>
    <w:rsid w:val="007827D8"/>
    <w:rsid w:val="00784203"/>
    <w:rsid w:val="00790D25"/>
    <w:rsid w:val="0079288C"/>
    <w:rsid w:val="00793A70"/>
    <w:rsid w:val="00793F89"/>
    <w:rsid w:val="00794168"/>
    <w:rsid w:val="007947C8"/>
    <w:rsid w:val="00795C03"/>
    <w:rsid w:val="007A3183"/>
    <w:rsid w:val="007A4B30"/>
    <w:rsid w:val="007B0F71"/>
    <w:rsid w:val="007B3741"/>
    <w:rsid w:val="007B795E"/>
    <w:rsid w:val="007C288B"/>
    <w:rsid w:val="007C2FC8"/>
    <w:rsid w:val="007C47F0"/>
    <w:rsid w:val="007C4835"/>
    <w:rsid w:val="007C4840"/>
    <w:rsid w:val="007D0B50"/>
    <w:rsid w:val="007D14FD"/>
    <w:rsid w:val="007D331E"/>
    <w:rsid w:val="007D4DC4"/>
    <w:rsid w:val="007D6E26"/>
    <w:rsid w:val="007D7498"/>
    <w:rsid w:val="007E082E"/>
    <w:rsid w:val="007E0AC5"/>
    <w:rsid w:val="007E403C"/>
    <w:rsid w:val="007E691F"/>
    <w:rsid w:val="007E73EA"/>
    <w:rsid w:val="007F004A"/>
    <w:rsid w:val="007F011B"/>
    <w:rsid w:val="007F1344"/>
    <w:rsid w:val="007F366B"/>
    <w:rsid w:val="007F502C"/>
    <w:rsid w:val="007F64E8"/>
    <w:rsid w:val="008000A6"/>
    <w:rsid w:val="00800979"/>
    <w:rsid w:val="00802863"/>
    <w:rsid w:val="00803F1A"/>
    <w:rsid w:val="008040BB"/>
    <w:rsid w:val="00804901"/>
    <w:rsid w:val="00805434"/>
    <w:rsid w:val="008059F6"/>
    <w:rsid w:val="008065EB"/>
    <w:rsid w:val="0080792A"/>
    <w:rsid w:val="00807A5D"/>
    <w:rsid w:val="00811729"/>
    <w:rsid w:val="00812008"/>
    <w:rsid w:val="00815077"/>
    <w:rsid w:val="0082251D"/>
    <w:rsid w:val="008260C2"/>
    <w:rsid w:val="00826AB4"/>
    <w:rsid w:val="00830440"/>
    <w:rsid w:val="00830795"/>
    <w:rsid w:val="0083130E"/>
    <w:rsid w:val="008322A1"/>
    <w:rsid w:val="00834803"/>
    <w:rsid w:val="00834AC9"/>
    <w:rsid w:val="008360F0"/>
    <w:rsid w:val="00837575"/>
    <w:rsid w:val="00842678"/>
    <w:rsid w:val="008431C4"/>
    <w:rsid w:val="00843E4B"/>
    <w:rsid w:val="00843F87"/>
    <w:rsid w:val="00844101"/>
    <w:rsid w:val="00844C94"/>
    <w:rsid w:val="00845136"/>
    <w:rsid w:val="00851D8D"/>
    <w:rsid w:val="00853397"/>
    <w:rsid w:val="00853C79"/>
    <w:rsid w:val="008547B2"/>
    <w:rsid w:val="00857CF0"/>
    <w:rsid w:val="00860C4E"/>
    <w:rsid w:val="008637DA"/>
    <w:rsid w:val="008650C5"/>
    <w:rsid w:val="00865ADF"/>
    <w:rsid w:val="00867705"/>
    <w:rsid w:val="0087120A"/>
    <w:rsid w:val="00871601"/>
    <w:rsid w:val="00872041"/>
    <w:rsid w:val="0087217E"/>
    <w:rsid w:val="0088576D"/>
    <w:rsid w:val="0089285A"/>
    <w:rsid w:val="00893F46"/>
    <w:rsid w:val="008940E8"/>
    <w:rsid w:val="0089620B"/>
    <w:rsid w:val="00896534"/>
    <w:rsid w:val="00897B62"/>
    <w:rsid w:val="008A06D8"/>
    <w:rsid w:val="008A65D2"/>
    <w:rsid w:val="008B1882"/>
    <w:rsid w:val="008B2975"/>
    <w:rsid w:val="008B3E60"/>
    <w:rsid w:val="008B4C25"/>
    <w:rsid w:val="008B6140"/>
    <w:rsid w:val="008B76DA"/>
    <w:rsid w:val="008C091A"/>
    <w:rsid w:val="008C1271"/>
    <w:rsid w:val="008C1E52"/>
    <w:rsid w:val="008C28C6"/>
    <w:rsid w:val="008C727F"/>
    <w:rsid w:val="008D2CC8"/>
    <w:rsid w:val="008D3C4C"/>
    <w:rsid w:val="008D7D2D"/>
    <w:rsid w:val="008E31EF"/>
    <w:rsid w:val="008E3D88"/>
    <w:rsid w:val="008E562C"/>
    <w:rsid w:val="008F1AED"/>
    <w:rsid w:val="008F469C"/>
    <w:rsid w:val="00902FE4"/>
    <w:rsid w:val="00903563"/>
    <w:rsid w:val="009036B7"/>
    <w:rsid w:val="00904902"/>
    <w:rsid w:val="0091120F"/>
    <w:rsid w:val="00911782"/>
    <w:rsid w:val="00915856"/>
    <w:rsid w:val="00916686"/>
    <w:rsid w:val="00923BED"/>
    <w:rsid w:val="0093098B"/>
    <w:rsid w:val="00930B6B"/>
    <w:rsid w:val="00932E7A"/>
    <w:rsid w:val="009330DB"/>
    <w:rsid w:val="00936887"/>
    <w:rsid w:val="00937742"/>
    <w:rsid w:val="0094080F"/>
    <w:rsid w:val="00940A0D"/>
    <w:rsid w:val="009455D2"/>
    <w:rsid w:val="00945F66"/>
    <w:rsid w:val="00946B6F"/>
    <w:rsid w:val="009479D1"/>
    <w:rsid w:val="00947CFD"/>
    <w:rsid w:val="009559B5"/>
    <w:rsid w:val="00956025"/>
    <w:rsid w:val="00960C9C"/>
    <w:rsid w:val="009612CC"/>
    <w:rsid w:val="00961F71"/>
    <w:rsid w:val="00964B66"/>
    <w:rsid w:val="0096616E"/>
    <w:rsid w:val="00976249"/>
    <w:rsid w:val="0097775A"/>
    <w:rsid w:val="00980052"/>
    <w:rsid w:val="0098219B"/>
    <w:rsid w:val="00982490"/>
    <w:rsid w:val="00983022"/>
    <w:rsid w:val="00984D55"/>
    <w:rsid w:val="00987555"/>
    <w:rsid w:val="00987B57"/>
    <w:rsid w:val="009922A6"/>
    <w:rsid w:val="00993D2F"/>
    <w:rsid w:val="0099656B"/>
    <w:rsid w:val="009A1C46"/>
    <w:rsid w:val="009A2DBD"/>
    <w:rsid w:val="009A4448"/>
    <w:rsid w:val="009A66E6"/>
    <w:rsid w:val="009B1DC1"/>
    <w:rsid w:val="009B51A4"/>
    <w:rsid w:val="009B6C69"/>
    <w:rsid w:val="009B7D79"/>
    <w:rsid w:val="009C0CFE"/>
    <w:rsid w:val="009C2632"/>
    <w:rsid w:val="009C277E"/>
    <w:rsid w:val="009C3567"/>
    <w:rsid w:val="009C3888"/>
    <w:rsid w:val="009C542E"/>
    <w:rsid w:val="009C576A"/>
    <w:rsid w:val="009C69B0"/>
    <w:rsid w:val="009C782D"/>
    <w:rsid w:val="009C7BCE"/>
    <w:rsid w:val="009D04C3"/>
    <w:rsid w:val="009D324F"/>
    <w:rsid w:val="009D406C"/>
    <w:rsid w:val="009D4B42"/>
    <w:rsid w:val="009D70EA"/>
    <w:rsid w:val="009E12A3"/>
    <w:rsid w:val="009E497C"/>
    <w:rsid w:val="009E4A89"/>
    <w:rsid w:val="009E69CD"/>
    <w:rsid w:val="009E7A2C"/>
    <w:rsid w:val="009F20EC"/>
    <w:rsid w:val="00A01074"/>
    <w:rsid w:val="00A03260"/>
    <w:rsid w:val="00A0683F"/>
    <w:rsid w:val="00A070AC"/>
    <w:rsid w:val="00A103EE"/>
    <w:rsid w:val="00A1396A"/>
    <w:rsid w:val="00A203C4"/>
    <w:rsid w:val="00A2049A"/>
    <w:rsid w:val="00A23339"/>
    <w:rsid w:val="00A24A41"/>
    <w:rsid w:val="00A30783"/>
    <w:rsid w:val="00A333B9"/>
    <w:rsid w:val="00A35CE0"/>
    <w:rsid w:val="00A431BD"/>
    <w:rsid w:val="00A43F7C"/>
    <w:rsid w:val="00A469CB"/>
    <w:rsid w:val="00A50AC1"/>
    <w:rsid w:val="00A51101"/>
    <w:rsid w:val="00A51734"/>
    <w:rsid w:val="00A528A8"/>
    <w:rsid w:val="00A5314C"/>
    <w:rsid w:val="00A53E3C"/>
    <w:rsid w:val="00A56D83"/>
    <w:rsid w:val="00A6015C"/>
    <w:rsid w:val="00A60B13"/>
    <w:rsid w:val="00A62739"/>
    <w:rsid w:val="00A62992"/>
    <w:rsid w:val="00A6611E"/>
    <w:rsid w:val="00A6648C"/>
    <w:rsid w:val="00A70AB8"/>
    <w:rsid w:val="00A72337"/>
    <w:rsid w:val="00A72D31"/>
    <w:rsid w:val="00A72EA0"/>
    <w:rsid w:val="00A7334F"/>
    <w:rsid w:val="00A767C8"/>
    <w:rsid w:val="00A81C1D"/>
    <w:rsid w:val="00A834ED"/>
    <w:rsid w:val="00A83790"/>
    <w:rsid w:val="00A85180"/>
    <w:rsid w:val="00A8564F"/>
    <w:rsid w:val="00A8585E"/>
    <w:rsid w:val="00A9008B"/>
    <w:rsid w:val="00A9202D"/>
    <w:rsid w:val="00A92273"/>
    <w:rsid w:val="00A9569E"/>
    <w:rsid w:val="00A97332"/>
    <w:rsid w:val="00AA1B36"/>
    <w:rsid w:val="00AA2EAD"/>
    <w:rsid w:val="00AA6755"/>
    <w:rsid w:val="00AA7205"/>
    <w:rsid w:val="00AA76DE"/>
    <w:rsid w:val="00AB026B"/>
    <w:rsid w:val="00AB0453"/>
    <w:rsid w:val="00AB383F"/>
    <w:rsid w:val="00AB4E40"/>
    <w:rsid w:val="00AB5C41"/>
    <w:rsid w:val="00AB7D2D"/>
    <w:rsid w:val="00AC0FA0"/>
    <w:rsid w:val="00AC57A0"/>
    <w:rsid w:val="00AC7DFC"/>
    <w:rsid w:val="00AD054C"/>
    <w:rsid w:val="00AD07DE"/>
    <w:rsid w:val="00AD2D1A"/>
    <w:rsid w:val="00AD35F4"/>
    <w:rsid w:val="00AD5003"/>
    <w:rsid w:val="00AD5E0E"/>
    <w:rsid w:val="00AE029D"/>
    <w:rsid w:val="00AE1728"/>
    <w:rsid w:val="00AE2013"/>
    <w:rsid w:val="00AE4899"/>
    <w:rsid w:val="00AE5E3D"/>
    <w:rsid w:val="00AE7143"/>
    <w:rsid w:val="00AE7602"/>
    <w:rsid w:val="00AF0F81"/>
    <w:rsid w:val="00AF3709"/>
    <w:rsid w:val="00AF41A6"/>
    <w:rsid w:val="00B03CD4"/>
    <w:rsid w:val="00B04A60"/>
    <w:rsid w:val="00B04B04"/>
    <w:rsid w:val="00B04C66"/>
    <w:rsid w:val="00B0522A"/>
    <w:rsid w:val="00B055FB"/>
    <w:rsid w:val="00B06047"/>
    <w:rsid w:val="00B10544"/>
    <w:rsid w:val="00B131E8"/>
    <w:rsid w:val="00B1414C"/>
    <w:rsid w:val="00B17551"/>
    <w:rsid w:val="00B20087"/>
    <w:rsid w:val="00B215F2"/>
    <w:rsid w:val="00B2175B"/>
    <w:rsid w:val="00B21CCF"/>
    <w:rsid w:val="00B273BB"/>
    <w:rsid w:val="00B31462"/>
    <w:rsid w:val="00B31CBA"/>
    <w:rsid w:val="00B32AB4"/>
    <w:rsid w:val="00B32E55"/>
    <w:rsid w:val="00B344C4"/>
    <w:rsid w:val="00B347AF"/>
    <w:rsid w:val="00B34998"/>
    <w:rsid w:val="00B356A5"/>
    <w:rsid w:val="00B35DF5"/>
    <w:rsid w:val="00B362EE"/>
    <w:rsid w:val="00B401EF"/>
    <w:rsid w:val="00B42282"/>
    <w:rsid w:val="00B42AEE"/>
    <w:rsid w:val="00B4360B"/>
    <w:rsid w:val="00B46C6E"/>
    <w:rsid w:val="00B51F5B"/>
    <w:rsid w:val="00B534C6"/>
    <w:rsid w:val="00B54EB8"/>
    <w:rsid w:val="00B6195C"/>
    <w:rsid w:val="00B63CBE"/>
    <w:rsid w:val="00B64ADD"/>
    <w:rsid w:val="00B7017B"/>
    <w:rsid w:val="00B702D4"/>
    <w:rsid w:val="00B719BA"/>
    <w:rsid w:val="00B74394"/>
    <w:rsid w:val="00B75900"/>
    <w:rsid w:val="00B80468"/>
    <w:rsid w:val="00B8168E"/>
    <w:rsid w:val="00B81F77"/>
    <w:rsid w:val="00B83C68"/>
    <w:rsid w:val="00B8590B"/>
    <w:rsid w:val="00B860A5"/>
    <w:rsid w:val="00B906C5"/>
    <w:rsid w:val="00B90F63"/>
    <w:rsid w:val="00B91D82"/>
    <w:rsid w:val="00B94FAC"/>
    <w:rsid w:val="00B97ED9"/>
    <w:rsid w:val="00BA18D7"/>
    <w:rsid w:val="00BA3BEF"/>
    <w:rsid w:val="00BA7226"/>
    <w:rsid w:val="00BA74EF"/>
    <w:rsid w:val="00BB0654"/>
    <w:rsid w:val="00BB068F"/>
    <w:rsid w:val="00BB116F"/>
    <w:rsid w:val="00BB284E"/>
    <w:rsid w:val="00BB312F"/>
    <w:rsid w:val="00BB36C9"/>
    <w:rsid w:val="00BC231D"/>
    <w:rsid w:val="00BC5B44"/>
    <w:rsid w:val="00BC78CE"/>
    <w:rsid w:val="00BD0174"/>
    <w:rsid w:val="00BD09C4"/>
    <w:rsid w:val="00BD2E25"/>
    <w:rsid w:val="00BD315B"/>
    <w:rsid w:val="00BD5A71"/>
    <w:rsid w:val="00BD6606"/>
    <w:rsid w:val="00BD76AA"/>
    <w:rsid w:val="00BE1314"/>
    <w:rsid w:val="00BE1793"/>
    <w:rsid w:val="00BE179B"/>
    <w:rsid w:val="00BE6837"/>
    <w:rsid w:val="00BE700A"/>
    <w:rsid w:val="00BE7319"/>
    <w:rsid w:val="00BF3824"/>
    <w:rsid w:val="00BF6A80"/>
    <w:rsid w:val="00BF7B0F"/>
    <w:rsid w:val="00C022B9"/>
    <w:rsid w:val="00C02CB6"/>
    <w:rsid w:val="00C036F9"/>
    <w:rsid w:val="00C040E3"/>
    <w:rsid w:val="00C066B6"/>
    <w:rsid w:val="00C139D7"/>
    <w:rsid w:val="00C14BB7"/>
    <w:rsid w:val="00C14CE4"/>
    <w:rsid w:val="00C14F79"/>
    <w:rsid w:val="00C15662"/>
    <w:rsid w:val="00C20321"/>
    <w:rsid w:val="00C22B82"/>
    <w:rsid w:val="00C307F7"/>
    <w:rsid w:val="00C344B9"/>
    <w:rsid w:val="00C346C5"/>
    <w:rsid w:val="00C36AB8"/>
    <w:rsid w:val="00C37F05"/>
    <w:rsid w:val="00C40651"/>
    <w:rsid w:val="00C40894"/>
    <w:rsid w:val="00C42039"/>
    <w:rsid w:val="00C425C6"/>
    <w:rsid w:val="00C43665"/>
    <w:rsid w:val="00C44207"/>
    <w:rsid w:val="00C50A88"/>
    <w:rsid w:val="00C51413"/>
    <w:rsid w:val="00C56F0C"/>
    <w:rsid w:val="00C6034D"/>
    <w:rsid w:val="00C61F6E"/>
    <w:rsid w:val="00C624A7"/>
    <w:rsid w:val="00C63EC7"/>
    <w:rsid w:val="00C63F93"/>
    <w:rsid w:val="00C65559"/>
    <w:rsid w:val="00C66DD4"/>
    <w:rsid w:val="00C670D4"/>
    <w:rsid w:val="00C67D49"/>
    <w:rsid w:val="00C67D73"/>
    <w:rsid w:val="00C72AB3"/>
    <w:rsid w:val="00C739DB"/>
    <w:rsid w:val="00C7408A"/>
    <w:rsid w:val="00C7453B"/>
    <w:rsid w:val="00C74761"/>
    <w:rsid w:val="00C763CD"/>
    <w:rsid w:val="00C771F1"/>
    <w:rsid w:val="00C8125B"/>
    <w:rsid w:val="00C81701"/>
    <w:rsid w:val="00C90835"/>
    <w:rsid w:val="00C9113C"/>
    <w:rsid w:val="00C952C8"/>
    <w:rsid w:val="00C95D7C"/>
    <w:rsid w:val="00C96184"/>
    <w:rsid w:val="00CA3BF8"/>
    <w:rsid w:val="00CA6ACC"/>
    <w:rsid w:val="00CA7A37"/>
    <w:rsid w:val="00CB0CB2"/>
    <w:rsid w:val="00CB157E"/>
    <w:rsid w:val="00CB3E13"/>
    <w:rsid w:val="00CB5455"/>
    <w:rsid w:val="00CB5910"/>
    <w:rsid w:val="00CB63EA"/>
    <w:rsid w:val="00CB71B3"/>
    <w:rsid w:val="00CB7554"/>
    <w:rsid w:val="00CC04FD"/>
    <w:rsid w:val="00CC158D"/>
    <w:rsid w:val="00CC1D1B"/>
    <w:rsid w:val="00CC301A"/>
    <w:rsid w:val="00CC38E6"/>
    <w:rsid w:val="00CC391B"/>
    <w:rsid w:val="00CC442F"/>
    <w:rsid w:val="00CC6FCA"/>
    <w:rsid w:val="00CC761B"/>
    <w:rsid w:val="00CD00A6"/>
    <w:rsid w:val="00CD06D5"/>
    <w:rsid w:val="00CD7A00"/>
    <w:rsid w:val="00CE1C6D"/>
    <w:rsid w:val="00CE4A08"/>
    <w:rsid w:val="00CE5F9F"/>
    <w:rsid w:val="00CF0044"/>
    <w:rsid w:val="00CF42BD"/>
    <w:rsid w:val="00CF434A"/>
    <w:rsid w:val="00CF50FF"/>
    <w:rsid w:val="00CF75A5"/>
    <w:rsid w:val="00D03257"/>
    <w:rsid w:val="00D03318"/>
    <w:rsid w:val="00D033C4"/>
    <w:rsid w:val="00D057FF"/>
    <w:rsid w:val="00D06E90"/>
    <w:rsid w:val="00D06EDE"/>
    <w:rsid w:val="00D14AC3"/>
    <w:rsid w:val="00D21A85"/>
    <w:rsid w:val="00D2205B"/>
    <w:rsid w:val="00D230A7"/>
    <w:rsid w:val="00D250A3"/>
    <w:rsid w:val="00D3041E"/>
    <w:rsid w:val="00D31B70"/>
    <w:rsid w:val="00D3379E"/>
    <w:rsid w:val="00D43C2F"/>
    <w:rsid w:val="00D454CA"/>
    <w:rsid w:val="00D46EE7"/>
    <w:rsid w:val="00D50028"/>
    <w:rsid w:val="00D51591"/>
    <w:rsid w:val="00D51C71"/>
    <w:rsid w:val="00D51D2F"/>
    <w:rsid w:val="00D564A2"/>
    <w:rsid w:val="00D57A6A"/>
    <w:rsid w:val="00D62A5A"/>
    <w:rsid w:val="00D6459A"/>
    <w:rsid w:val="00D67471"/>
    <w:rsid w:val="00D67989"/>
    <w:rsid w:val="00D73273"/>
    <w:rsid w:val="00D7357E"/>
    <w:rsid w:val="00D73783"/>
    <w:rsid w:val="00D74964"/>
    <w:rsid w:val="00D7509F"/>
    <w:rsid w:val="00D752BD"/>
    <w:rsid w:val="00D754FC"/>
    <w:rsid w:val="00D76A1F"/>
    <w:rsid w:val="00D77021"/>
    <w:rsid w:val="00D806C9"/>
    <w:rsid w:val="00D851AB"/>
    <w:rsid w:val="00D901CD"/>
    <w:rsid w:val="00D9065E"/>
    <w:rsid w:val="00D90AB6"/>
    <w:rsid w:val="00D9178D"/>
    <w:rsid w:val="00D96D88"/>
    <w:rsid w:val="00D9714B"/>
    <w:rsid w:val="00D97D3E"/>
    <w:rsid w:val="00DA0D94"/>
    <w:rsid w:val="00DA6DC3"/>
    <w:rsid w:val="00DA72C1"/>
    <w:rsid w:val="00DA7CDD"/>
    <w:rsid w:val="00DB09B3"/>
    <w:rsid w:val="00DB0D87"/>
    <w:rsid w:val="00DB1809"/>
    <w:rsid w:val="00DB3839"/>
    <w:rsid w:val="00DB3F30"/>
    <w:rsid w:val="00DB3FC8"/>
    <w:rsid w:val="00DB4070"/>
    <w:rsid w:val="00DB5ABD"/>
    <w:rsid w:val="00DC01B5"/>
    <w:rsid w:val="00DC102B"/>
    <w:rsid w:val="00DC2659"/>
    <w:rsid w:val="00DC4A5B"/>
    <w:rsid w:val="00DC5321"/>
    <w:rsid w:val="00DD2BD8"/>
    <w:rsid w:val="00DD630E"/>
    <w:rsid w:val="00DE0023"/>
    <w:rsid w:val="00DE02B2"/>
    <w:rsid w:val="00DE157B"/>
    <w:rsid w:val="00DE1B2A"/>
    <w:rsid w:val="00DE1CC6"/>
    <w:rsid w:val="00DE25E8"/>
    <w:rsid w:val="00DE5AC6"/>
    <w:rsid w:val="00DE6A87"/>
    <w:rsid w:val="00DE7926"/>
    <w:rsid w:val="00DE7E61"/>
    <w:rsid w:val="00DE7FDA"/>
    <w:rsid w:val="00DF1D43"/>
    <w:rsid w:val="00DF3B52"/>
    <w:rsid w:val="00DF3B6D"/>
    <w:rsid w:val="00DF48CE"/>
    <w:rsid w:val="00E046D0"/>
    <w:rsid w:val="00E0744E"/>
    <w:rsid w:val="00E10666"/>
    <w:rsid w:val="00E106AC"/>
    <w:rsid w:val="00E12D4B"/>
    <w:rsid w:val="00E14175"/>
    <w:rsid w:val="00E17CB1"/>
    <w:rsid w:val="00E210D3"/>
    <w:rsid w:val="00E22845"/>
    <w:rsid w:val="00E230D7"/>
    <w:rsid w:val="00E23E95"/>
    <w:rsid w:val="00E25CDD"/>
    <w:rsid w:val="00E30748"/>
    <w:rsid w:val="00E315E4"/>
    <w:rsid w:val="00E32C2B"/>
    <w:rsid w:val="00E41DD1"/>
    <w:rsid w:val="00E4485B"/>
    <w:rsid w:val="00E45515"/>
    <w:rsid w:val="00E4607C"/>
    <w:rsid w:val="00E4636A"/>
    <w:rsid w:val="00E51128"/>
    <w:rsid w:val="00E52C54"/>
    <w:rsid w:val="00E55E8B"/>
    <w:rsid w:val="00E5660C"/>
    <w:rsid w:val="00E624B3"/>
    <w:rsid w:val="00E63C65"/>
    <w:rsid w:val="00E702ED"/>
    <w:rsid w:val="00E70761"/>
    <w:rsid w:val="00E71136"/>
    <w:rsid w:val="00E712DB"/>
    <w:rsid w:val="00E7328C"/>
    <w:rsid w:val="00E733B0"/>
    <w:rsid w:val="00E73C2D"/>
    <w:rsid w:val="00E76DF8"/>
    <w:rsid w:val="00E83BCC"/>
    <w:rsid w:val="00E85C80"/>
    <w:rsid w:val="00E90646"/>
    <w:rsid w:val="00E92979"/>
    <w:rsid w:val="00E93A1B"/>
    <w:rsid w:val="00E94568"/>
    <w:rsid w:val="00EA1216"/>
    <w:rsid w:val="00EA59FF"/>
    <w:rsid w:val="00EB060D"/>
    <w:rsid w:val="00EB17F6"/>
    <w:rsid w:val="00EB2CFF"/>
    <w:rsid w:val="00EB38E7"/>
    <w:rsid w:val="00EB54C8"/>
    <w:rsid w:val="00EB6840"/>
    <w:rsid w:val="00EB728B"/>
    <w:rsid w:val="00EC38E7"/>
    <w:rsid w:val="00EC3FCD"/>
    <w:rsid w:val="00EC735D"/>
    <w:rsid w:val="00ED05E7"/>
    <w:rsid w:val="00ED0FE3"/>
    <w:rsid w:val="00ED178B"/>
    <w:rsid w:val="00ED584C"/>
    <w:rsid w:val="00ED5CB8"/>
    <w:rsid w:val="00EE229F"/>
    <w:rsid w:val="00EE316F"/>
    <w:rsid w:val="00EE41A3"/>
    <w:rsid w:val="00EE4831"/>
    <w:rsid w:val="00EE4D14"/>
    <w:rsid w:val="00EE7BD2"/>
    <w:rsid w:val="00F008DA"/>
    <w:rsid w:val="00F0175D"/>
    <w:rsid w:val="00F03EAF"/>
    <w:rsid w:val="00F04D1D"/>
    <w:rsid w:val="00F05E46"/>
    <w:rsid w:val="00F112CE"/>
    <w:rsid w:val="00F11892"/>
    <w:rsid w:val="00F12F57"/>
    <w:rsid w:val="00F14114"/>
    <w:rsid w:val="00F14292"/>
    <w:rsid w:val="00F14F0F"/>
    <w:rsid w:val="00F14FBC"/>
    <w:rsid w:val="00F17544"/>
    <w:rsid w:val="00F177B7"/>
    <w:rsid w:val="00F177FC"/>
    <w:rsid w:val="00F219F8"/>
    <w:rsid w:val="00F24241"/>
    <w:rsid w:val="00F245CE"/>
    <w:rsid w:val="00F25771"/>
    <w:rsid w:val="00F27EF5"/>
    <w:rsid w:val="00F3168D"/>
    <w:rsid w:val="00F34DDA"/>
    <w:rsid w:val="00F41E97"/>
    <w:rsid w:val="00F43513"/>
    <w:rsid w:val="00F43A91"/>
    <w:rsid w:val="00F44521"/>
    <w:rsid w:val="00F45DC4"/>
    <w:rsid w:val="00F50795"/>
    <w:rsid w:val="00F52E23"/>
    <w:rsid w:val="00F54342"/>
    <w:rsid w:val="00F54691"/>
    <w:rsid w:val="00F549F8"/>
    <w:rsid w:val="00F56E21"/>
    <w:rsid w:val="00F57181"/>
    <w:rsid w:val="00F60938"/>
    <w:rsid w:val="00F62B18"/>
    <w:rsid w:val="00F64116"/>
    <w:rsid w:val="00F67DB6"/>
    <w:rsid w:val="00F73EC4"/>
    <w:rsid w:val="00F7417E"/>
    <w:rsid w:val="00F75551"/>
    <w:rsid w:val="00F76D30"/>
    <w:rsid w:val="00F80284"/>
    <w:rsid w:val="00F8303E"/>
    <w:rsid w:val="00F8570E"/>
    <w:rsid w:val="00F86A63"/>
    <w:rsid w:val="00F871C0"/>
    <w:rsid w:val="00F911A9"/>
    <w:rsid w:val="00F918F1"/>
    <w:rsid w:val="00F940EF"/>
    <w:rsid w:val="00F97D19"/>
    <w:rsid w:val="00FA0DF1"/>
    <w:rsid w:val="00FA1C3F"/>
    <w:rsid w:val="00FA1EE1"/>
    <w:rsid w:val="00FA7278"/>
    <w:rsid w:val="00FB00DB"/>
    <w:rsid w:val="00FB29B2"/>
    <w:rsid w:val="00FB5EE6"/>
    <w:rsid w:val="00FC06ED"/>
    <w:rsid w:val="00FC2E49"/>
    <w:rsid w:val="00FC7FCF"/>
    <w:rsid w:val="00FE0359"/>
    <w:rsid w:val="00FE1F73"/>
    <w:rsid w:val="00FE4B69"/>
    <w:rsid w:val="00FE4EB6"/>
    <w:rsid w:val="00FE673B"/>
    <w:rsid w:val="00FE6B1B"/>
    <w:rsid w:val="00FE794E"/>
    <w:rsid w:val="00FE7AC9"/>
    <w:rsid w:val="00FF0897"/>
    <w:rsid w:val="00FF3780"/>
    <w:rsid w:val="00FF38F0"/>
    <w:rsid w:val="00FF60AF"/>
    <w:rsid w:val="00FF64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C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C7"/>
    <w:pPr>
      <w:spacing w:line="480" w:lineRule="auto"/>
      <w:jc w:val="both"/>
    </w:pPr>
    <w:rPr>
      <w:rFonts w:ascii="Times New Roman" w:hAnsi="Times New Roman"/>
      <w:sz w:val="26"/>
      <w:szCs w:val="22"/>
      <w:lang w:val="en-ZA"/>
    </w:rPr>
  </w:style>
  <w:style w:type="paragraph" w:styleId="Heading1">
    <w:name w:val="heading 1"/>
    <w:basedOn w:val="Normal"/>
    <w:next w:val="Normal"/>
    <w:link w:val="Heading1Char"/>
    <w:uiPriority w:val="9"/>
    <w:semiHidden/>
    <w:qFormat/>
    <w:rsid w:val="00D732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A62739"/>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A627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4835"/>
    <w:pPr>
      <w:keepNext/>
      <w:keepLines/>
      <w:spacing w:before="200" w:line="240" w:lineRule="auto"/>
      <w:jc w:val="left"/>
      <w:outlineLvl w:val="3"/>
    </w:pPr>
    <w:rPr>
      <w:rFonts w:asciiTheme="majorHAnsi" w:eastAsiaTheme="majorEastAsia" w:hAnsiTheme="majorHAnsi" w:cstheme="majorBidi"/>
      <w:b/>
      <w:bCs/>
      <w:i/>
      <w:iCs/>
      <w:color w:val="4F81BD" w:themeColor="accent1"/>
      <w:sz w:val="24"/>
      <w:szCs w:val="24"/>
      <w:lang w:val="es-ES_tradnl" w:eastAsia="zh-CN"/>
    </w:rPr>
  </w:style>
  <w:style w:type="paragraph" w:styleId="Heading5">
    <w:name w:val="heading 5"/>
    <w:basedOn w:val="Normal"/>
    <w:next w:val="Normal"/>
    <w:link w:val="Heading5Char"/>
    <w:uiPriority w:val="9"/>
    <w:unhideWhenUsed/>
    <w:qFormat/>
    <w:rsid w:val="007C4835"/>
    <w:pPr>
      <w:keepNext/>
      <w:keepLines/>
      <w:spacing w:before="40" w:line="240" w:lineRule="auto"/>
      <w:jc w:val="left"/>
      <w:outlineLvl w:val="4"/>
    </w:pPr>
    <w:rPr>
      <w:rFonts w:asciiTheme="majorHAnsi" w:eastAsiaTheme="majorEastAsia" w:hAnsiTheme="majorHAnsi" w:cstheme="majorBidi"/>
      <w:color w:val="365F91" w:themeColor="accent1" w:themeShade="BF"/>
      <w:sz w:val="24"/>
      <w:szCs w:val="24"/>
      <w:lang w:val="es-ES_tradnl" w:eastAsia="zh-CN"/>
    </w:rPr>
  </w:style>
  <w:style w:type="paragraph" w:styleId="Heading6">
    <w:name w:val="heading 6"/>
    <w:basedOn w:val="Normal"/>
    <w:next w:val="Normal"/>
    <w:link w:val="Heading6Char"/>
    <w:uiPriority w:val="9"/>
    <w:unhideWhenUsed/>
    <w:qFormat/>
    <w:rsid w:val="007C4835"/>
    <w:pPr>
      <w:keepNext/>
      <w:keepLines/>
      <w:spacing w:before="200" w:line="240" w:lineRule="auto"/>
      <w:jc w:val="left"/>
      <w:outlineLvl w:val="5"/>
    </w:pPr>
    <w:rPr>
      <w:rFonts w:asciiTheme="majorHAnsi" w:eastAsiaTheme="majorEastAsia" w:hAnsiTheme="majorHAnsi" w:cstheme="majorBidi"/>
      <w:i/>
      <w:iCs/>
      <w:color w:val="243F60" w:themeColor="accent1" w:themeShade="7F"/>
      <w:sz w:val="24"/>
      <w:szCs w:val="24"/>
      <w:lang w:val="es-ES_trad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C63EC7"/>
    <w:pPr>
      <w:numPr>
        <w:numId w:val="1"/>
      </w:numPr>
      <w:spacing w:line="360" w:lineRule="auto"/>
    </w:pPr>
  </w:style>
  <w:style w:type="paragraph" w:customStyle="1" w:styleId="JUDGMENTCONTINUED">
    <w:name w:val="JUDGMENT CONTINUED"/>
    <w:basedOn w:val="JUDGMENTNUMBERED"/>
    <w:next w:val="JUDGMENTNUMBERED"/>
    <w:qFormat/>
    <w:rsid w:val="00C63EC7"/>
    <w:pPr>
      <w:numPr>
        <w:numId w:val="0"/>
      </w:numPr>
    </w:pPr>
  </w:style>
  <w:style w:type="paragraph" w:customStyle="1" w:styleId="QUOTATION">
    <w:name w:val="QUOTATION"/>
    <w:basedOn w:val="Normal"/>
    <w:next w:val="JUDGMENTCONTINUED"/>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uiPriority w:val="34"/>
    <w:qFormat/>
    <w:rsid w:val="00C63EC7"/>
    <w:pPr>
      <w:ind w:left="720"/>
      <w:contextualSpacing/>
    </w:pPr>
  </w:style>
  <w:style w:type="paragraph" w:styleId="FootnoteText">
    <w:name w:val="footnote text"/>
    <w:aliases w:val="Footnote Text Char Char,f,fn,תו תו תו תו,תו תו תו תו Char,טקסט הערות שוליים תו Char Char,Footnote Text Char Char Char Char,FA,FA Fußnotentext,Note de bas de page Car Car,Char Char Char Char,Footnote reference,FA Fu,FA Fuﬂnotent,FOOTNOTES"/>
    <w:basedOn w:val="FootnoteText1"/>
    <w:link w:val="FootnoteTextChar"/>
    <w:uiPriority w:val="99"/>
    <w:unhideWhenUsed/>
    <w:qFormat/>
    <w:rsid w:val="00CB63EA"/>
  </w:style>
  <w:style w:type="character" w:customStyle="1" w:styleId="FootnoteTextChar">
    <w:name w:val="Footnote Text Char"/>
    <w:aliases w:val="Footnote Text Char Char Char,f Char,fn Char,תו תו תו תו Char1,תו תו תו תו Char Char,טקסט הערות שוליים תו Char Char Char,Footnote Text Char Char Char Char Char,FA Char,FA Fußnotentext Char,Note de bas de page Car Car Char,FA Fu Char"/>
    <w:basedOn w:val="DefaultParagraphFont"/>
    <w:link w:val="FootnoteText"/>
    <w:uiPriority w:val="99"/>
    <w:rsid w:val="00CB63EA"/>
    <w:rPr>
      <w:rFonts w:ascii="Times New Roman" w:hAnsi="Times New Roman"/>
      <w:szCs w:val="22"/>
      <w:lang w:val="en-ZA"/>
    </w:rPr>
  </w:style>
  <w:style w:type="character" w:styleId="FootnoteReference">
    <w:name w:val="footnote reference"/>
    <w:aliases w:val="Ref,de nota al pie,註腳內容,Heading 6 Char1,do not use4 Char1,Footnote symbol,(NECG) Footnote Reference,Footnotes refss,Style 12,Appel note de bas de page,fr,Footnote Reference in text,Footnote Reference Superscript,-E Fußnotenzeichen"/>
    <w:basedOn w:val="DefaultParagraphFont"/>
    <w:uiPriority w:val="99"/>
    <w:unhideWhenUsed/>
    <w:qFormat/>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basedOn w:val="DefaultParagraphFont"/>
    <w:link w:val="Header"/>
    <w:rsid w:val="008C727F"/>
    <w:rPr>
      <w:rFonts w:ascii="Times New Roman" w:hAnsi="Times New Roman"/>
      <w:sz w:val="26"/>
    </w:rPr>
  </w:style>
  <w:style w:type="paragraph" w:styleId="Footer">
    <w:name w:val="footer"/>
    <w:basedOn w:val="Normal"/>
    <w:link w:val="FooterChar"/>
    <w:uiPriority w:val="99"/>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JUDGMENTNUMBEREDChar">
    <w:name w:val="JUDGMENT NUMBERED Char"/>
    <w:basedOn w:val="DefaultParagraphFont"/>
    <w:link w:val="JUDGMENTNUMBERED"/>
    <w:rsid w:val="00C63EC7"/>
    <w:rPr>
      <w:rFonts w:ascii="Times New Roman" w:hAnsi="Times New Roman"/>
      <w:sz w:val="26"/>
      <w:szCs w:val="22"/>
      <w:lang w:val="en-ZA"/>
    </w:rPr>
  </w:style>
  <w:style w:type="character" w:customStyle="1" w:styleId="LISTChar">
    <w:name w:val="LIST Char"/>
    <w:basedOn w:val="JUDGMENTNUMBEREDChar"/>
    <w:link w:val="List1"/>
    <w:rsid w:val="00C63EC7"/>
    <w:rPr>
      <w:rFonts w:ascii="Times New Roman" w:hAnsi="Times New Roman"/>
      <w:sz w:val="26"/>
      <w:szCs w:val="22"/>
      <w:lang w:val="en-ZA"/>
    </w:rPr>
  </w:style>
  <w:style w:type="character" w:customStyle="1" w:styleId="HEADINGChar">
    <w:name w:val="HEADING Char"/>
    <w:basedOn w:val="JUDGMENTNUMBERED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sz w:val="26"/>
      <w:szCs w:val="22"/>
      <w:lang w:val="en-ZA"/>
    </w:rPr>
  </w:style>
  <w:style w:type="character" w:customStyle="1" w:styleId="Heading3Char">
    <w:name w:val="Heading 3 Char"/>
    <w:basedOn w:val="DefaultParagraphFont"/>
    <w:link w:val="Heading3"/>
    <w:uiPriority w:val="9"/>
    <w:rsid w:val="00A62739"/>
    <w:rPr>
      <w:rFonts w:asciiTheme="majorHAnsi" w:eastAsiaTheme="majorEastAsia" w:hAnsiTheme="majorHAnsi" w:cstheme="majorBidi"/>
      <w:b/>
      <w:bCs/>
      <w:color w:val="4F81BD" w:themeColor="accent1"/>
      <w:sz w:val="26"/>
      <w:szCs w:val="22"/>
      <w:lang w:val="en-ZA"/>
    </w:rPr>
  </w:style>
  <w:style w:type="character" w:customStyle="1" w:styleId="Heading2Char">
    <w:name w:val="Heading 2 Char"/>
    <w:basedOn w:val="DefaultParagraphFont"/>
    <w:link w:val="Heading2"/>
    <w:uiPriority w:val="9"/>
    <w:rsid w:val="00A62739"/>
    <w:rPr>
      <w:rFonts w:asciiTheme="majorHAnsi" w:eastAsiaTheme="majorEastAsia" w:hAnsiTheme="majorHAnsi" w:cstheme="majorBidi"/>
      <w:b/>
      <w:bCs/>
      <w:color w:val="4F81BD" w:themeColor="accent1"/>
      <w:sz w:val="26"/>
      <w:szCs w:val="26"/>
      <w:lang w:val="en-ZA"/>
    </w:rPr>
  </w:style>
  <w:style w:type="character" w:styleId="CommentReference">
    <w:name w:val="annotation reference"/>
    <w:basedOn w:val="DefaultParagraphFont"/>
    <w:uiPriority w:val="99"/>
    <w:semiHidden/>
    <w:unhideWhenUsed/>
    <w:rsid w:val="005307AB"/>
    <w:rPr>
      <w:sz w:val="16"/>
      <w:szCs w:val="16"/>
    </w:rPr>
  </w:style>
  <w:style w:type="paragraph" w:styleId="CommentText">
    <w:name w:val="annotation text"/>
    <w:basedOn w:val="Normal"/>
    <w:link w:val="CommentTextChar"/>
    <w:uiPriority w:val="99"/>
    <w:unhideWhenUsed/>
    <w:rsid w:val="005307AB"/>
    <w:pPr>
      <w:spacing w:line="240" w:lineRule="auto"/>
    </w:pPr>
    <w:rPr>
      <w:sz w:val="20"/>
      <w:szCs w:val="20"/>
    </w:rPr>
  </w:style>
  <w:style w:type="character" w:customStyle="1" w:styleId="CommentTextChar">
    <w:name w:val="Comment Text Char"/>
    <w:basedOn w:val="DefaultParagraphFont"/>
    <w:link w:val="CommentText"/>
    <w:uiPriority w:val="99"/>
    <w:rsid w:val="005307AB"/>
    <w:rPr>
      <w:rFonts w:ascii="Times New Roman" w:hAnsi="Times New Roman"/>
      <w:lang w:val="en-ZA"/>
    </w:rPr>
  </w:style>
  <w:style w:type="paragraph" w:styleId="CommentSubject">
    <w:name w:val="annotation subject"/>
    <w:basedOn w:val="CommentText"/>
    <w:next w:val="CommentText"/>
    <w:link w:val="CommentSubjectChar"/>
    <w:uiPriority w:val="99"/>
    <w:semiHidden/>
    <w:unhideWhenUsed/>
    <w:rsid w:val="005307AB"/>
    <w:rPr>
      <w:b/>
      <w:bCs/>
    </w:rPr>
  </w:style>
  <w:style w:type="character" w:customStyle="1" w:styleId="CommentSubjectChar">
    <w:name w:val="Comment Subject Char"/>
    <w:basedOn w:val="CommentTextChar"/>
    <w:link w:val="CommentSubject"/>
    <w:uiPriority w:val="99"/>
    <w:semiHidden/>
    <w:rsid w:val="005307AB"/>
    <w:rPr>
      <w:rFonts w:ascii="Times New Roman" w:hAnsi="Times New Roman"/>
      <w:b/>
      <w:bCs/>
      <w:lang w:val="en-ZA"/>
    </w:rPr>
  </w:style>
  <w:style w:type="paragraph" w:styleId="Revision">
    <w:name w:val="Revision"/>
    <w:hidden/>
    <w:uiPriority w:val="99"/>
    <w:semiHidden/>
    <w:rsid w:val="005307AB"/>
    <w:rPr>
      <w:rFonts w:ascii="Times New Roman" w:hAnsi="Times New Roman"/>
      <w:sz w:val="26"/>
      <w:szCs w:val="22"/>
      <w:lang w:val="en-ZA"/>
    </w:rPr>
  </w:style>
  <w:style w:type="character" w:customStyle="1" w:styleId="Heading1Char">
    <w:name w:val="Heading 1 Char"/>
    <w:basedOn w:val="DefaultParagraphFont"/>
    <w:link w:val="Heading1"/>
    <w:uiPriority w:val="9"/>
    <w:semiHidden/>
    <w:rsid w:val="00D73273"/>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D73273"/>
    <w:pPr>
      <w:spacing w:line="276" w:lineRule="auto"/>
      <w:jc w:val="left"/>
      <w:outlineLvl w:val="9"/>
    </w:pPr>
    <w:rPr>
      <w:lang w:val="en-US" w:eastAsia="ja-JP"/>
    </w:rPr>
  </w:style>
  <w:style w:type="paragraph" w:styleId="TOC1">
    <w:name w:val="toc 1"/>
    <w:basedOn w:val="Normal"/>
    <w:next w:val="Normal"/>
    <w:autoRedefine/>
    <w:uiPriority w:val="39"/>
    <w:unhideWhenUsed/>
    <w:rsid w:val="00D73273"/>
    <w:pPr>
      <w:spacing w:after="100"/>
    </w:pPr>
  </w:style>
  <w:style w:type="paragraph" w:styleId="TOC2">
    <w:name w:val="toc 2"/>
    <w:basedOn w:val="Normal"/>
    <w:next w:val="Normal"/>
    <w:autoRedefine/>
    <w:uiPriority w:val="39"/>
    <w:unhideWhenUsed/>
    <w:rsid w:val="00D73273"/>
    <w:pPr>
      <w:spacing w:after="100"/>
      <w:ind w:left="260"/>
    </w:pPr>
  </w:style>
  <w:style w:type="paragraph" w:styleId="TOC3">
    <w:name w:val="toc 3"/>
    <w:basedOn w:val="Normal"/>
    <w:next w:val="Normal"/>
    <w:autoRedefine/>
    <w:uiPriority w:val="39"/>
    <w:unhideWhenUsed/>
    <w:rsid w:val="00D73273"/>
    <w:pPr>
      <w:spacing w:after="100"/>
      <w:ind w:left="520"/>
    </w:pPr>
  </w:style>
  <w:style w:type="character" w:styleId="Hyperlink">
    <w:name w:val="Hyperlink"/>
    <w:basedOn w:val="DefaultParagraphFont"/>
    <w:uiPriority w:val="99"/>
    <w:unhideWhenUsed/>
    <w:rsid w:val="00D73273"/>
    <w:rPr>
      <w:color w:val="0000FF" w:themeColor="hyperlink"/>
      <w:u w:val="single"/>
    </w:rPr>
  </w:style>
  <w:style w:type="paragraph" w:customStyle="1" w:styleId="BODYNON-NUMBERED">
    <w:name w:val="BODY NON-NUMBERED"/>
    <w:basedOn w:val="Normal"/>
    <w:link w:val="BODYNON-NUMBEREDChar"/>
    <w:qFormat/>
    <w:rsid w:val="00745A38"/>
    <w:pPr>
      <w:tabs>
        <w:tab w:val="left" w:pos="680"/>
      </w:tabs>
      <w:spacing w:after="240" w:line="276" w:lineRule="auto"/>
    </w:pPr>
  </w:style>
  <w:style w:type="character" w:customStyle="1" w:styleId="BODYNON-NUMBEREDChar">
    <w:name w:val="BODY NON-NUMBERED Char"/>
    <w:basedOn w:val="DefaultParagraphFont"/>
    <w:link w:val="BODYNON-NUMBERED"/>
    <w:rsid w:val="00745A38"/>
    <w:rPr>
      <w:rFonts w:ascii="Times New Roman" w:hAnsi="Times New Roman"/>
      <w:sz w:val="26"/>
      <w:szCs w:val="22"/>
      <w:lang w:val="en-ZA"/>
    </w:rPr>
  </w:style>
  <w:style w:type="character" w:customStyle="1" w:styleId="Heading4Char">
    <w:name w:val="Heading 4 Char"/>
    <w:basedOn w:val="DefaultParagraphFont"/>
    <w:link w:val="Heading4"/>
    <w:uiPriority w:val="9"/>
    <w:rsid w:val="007C4835"/>
    <w:rPr>
      <w:rFonts w:asciiTheme="majorHAnsi" w:eastAsiaTheme="majorEastAsia" w:hAnsiTheme="majorHAnsi" w:cstheme="majorBidi"/>
      <w:b/>
      <w:bCs/>
      <w:i/>
      <w:iCs/>
      <w:color w:val="4F81BD" w:themeColor="accent1"/>
      <w:sz w:val="24"/>
      <w:szCs w:val="24"/>
      <w:lang w:val="es-ES_tradnl" w:eastAsia="zh-CN"/>
    </w:rPr>
  </w:style>
  <w:style w:type="character" w:customStyle="1" w:styleId="Heading5Char">
    <w:name w:val="Heading 5 Char"/>
    <w:basedOn w:val="DefaultParagraphFont"/>
    <w:link w:val="Heading5"/>
    <w:uiPriority w:val="9"/>
    <w:rsid w:val="007C4835"/>
    <w:rPr>
      <w:rFonts w:asciiTheme="majorHAnsi" w:eastAsiaTheme="majorEastAsia" w:hAnsiTheme="majorHAnsi" w:cstheme="majorBidi"/>
      <w:color w:val="365F91" w:themeColor="accent1" w:themeShade="BF"/>
      <w:sz w:val="24"/>
      <w:szCs w:val="24"/>
      <w:lang w:val="es-ES_tradnl" w:eastAsia="zh-CN"/>
    </w:rPr>
  </w:style>
  <w:style w:type="character" w:customStyle="1" w:styleId="Heading6Char">
    <w:name w:val="Heading 6 Char"/>
    <w:basedOn w:val="DefaultParagraphFont"/>
    <w:link w:val="Heading6"/>
    <w:uiPriority w:val="9"/>
    <w:rsid w:val="007C4835"/>
    <w:rPr>
      <w:rFonts w:asciiTheme="majorHAnsi" w:eastAsiaTheme="majorEastAsia" w:hAnsiTheme="majorHAnsi" w:cstheme="majorBidi"/>
      <w:i/>
      <w:iCs/>
      <w:color w:val="243F60" w:themeColor="accent1" w:themeShade="7F"/>
      <w:sz w:val="24"/>
      <w:szCs w:val="24"/>
      <w:lang w:val="es-ES_tradnl" w:eastAsia="zh-CN"/>
    </w:rPr>
  </w:style>
  <w:style w:type="paragraph" w:styleId="NormalWeb">
    <w:name w:val="Normal (Web)"/>
    <w:basedOn w:val="Normal"/>
    <w:uiPriority w:val="99"/>
    <w:unhideWhenUsed/>
    <w:rsid w:val="007C4835"/>
    <w:pPr>
      <w:spacing w:before="100" w:beforeAutospacing="1" w:after="100" w:afterAutospacing="1" w:line="240" w:lineRule="auto"/>
      <w:jc w:val="left"/>
    </w:pPr>
    <w:rPr>
      <w:rFonts w:eastAsia="Times New Roman"/>
      <w:sz w:val="24"/>
      <w:szCs w:val="24"/>
      <w:lang w:eastAsia="en-ZA"/>
    </w:rPr>
  </w:style>
  <w:style w:type="paragraph" w:customStyle="1" w:styleId="DPLevel1Heading">
    <w:name w:val="DP_Level 1 Heading"/>
    <w:basedOn w:val="Normal"/>
    <w:next w:val="DPLevel2List"/>
    <w:rsid w:val="007F1344"/>
    <w:pPr>
      <w:widowControl w:val="0"/>
      <w:numPr>
        <w:numId w:val="3"/>
      </w:numPr>
      <w:tabs>
        <w:tab w:val="clear" w:pos="1135"/>
        <w:tab w:val="num" w:pos="567"/>
      </w:tabs>
      <w:spacing w:after="480"/>
      <w:ind w:left="567"/>
      <w:outlineLvl w:val="0"/>
    </w:pPr>
    <w:rPr>
      <w:rFonts w:ascii="Arial" w:eastAsiaTheme="minorHAnsi" w:hAnsi="Arial" w:cstheme="minorBidi"/>
      <w:b/>
      <w:caps/>
      <w:sz w:val="24"/>
    </w:rPr>
  </w:style>
  <w:style w:type="paragraph" w:customStyle="1" w:styleId="DPLevel2List">
    <w:name w:val="DP_Level 2 List"/>
    <w:basedOn w:val="Normal"/>
    <w:link w:val="DPLevel2ListChar"/>
    <w:uiPriority w:val="99"/>
    <w:rsid w:val="007F1344"/>
    <w:pPr>
      <w:widowControl w:val="0"/>
      <w:numPr>
        <w:ilvl w:val="1"/>
        <w:numId w:val="3"/>
      </w:numPr>
      <w:spacing w:after="480"/>
      <w:outlineLvl w:val="1"/>
    </w:pPr>
    <w:rPr>
      <w:rFonts w:ascii="Arial" w:eastAsiaTheme="minorHAnsi" w:hAnsi="Arial" w:cstheme="minorBidi"/>
      <w:sz w:val="24"/>
    </w:rPr>
  </w:style>
  <w:style w:type="paragraph" w:customStyle="1" w:styleId="DPLevel3List">
    <w:name w:val="DP_Level 3 List"/>
    <w:basedOn w:val="Normal"/>
    <w:link w:val="DPLevel3ListChar"/>
    <w:rsid w:val="007F1344"/>
    <w:pPr>
      <w:widowControl w:val="0"/>
      <w:numPr>
        <w:ilvl w:val="2"/>
        <w:numId w:val="3"/>
      </w:numPr>
      <w:tabs>
        <w:tab w:val="left" w:pos="2410"/>
      </w:tabs>
      <w:spacing w:after="480"/>
      <w:outlineLvl w:val="2"/>
    </w:pPr>
    <w:rPr>
      <w:rFonts w:ascii="Arial" w:eastAsiaTheme="minorHAnsi" w:hAnsi="Arial" w:cstheme="minorBidi"/>
      <w:sz w:val="24"/>
      <w:lang w:val="en-GB"/>
    </w:rPr>
  </w:style>
  <w:style w:type="paragraph" w:customStyle="1" w:styleId="DPLevel4List">
    <w:name w:val="DP_Level 4 List"/>
    <w:basedOn w:val="Normal"/>
    <w:rsid w:val="007F1344"/>
    <w:pPr>
      <w:widowControl w:val="0"/>
      <w:numPr>
        <w:ilvl w:val="3"/>
        <w:numId w:val="3"/>
      </w:numPr>
      <w:tabs>
        <w:tab w:val="clear" w:pos="1984"/>
        <w:tab w:val="num" w:pos="3544"/>
      </w:tabs>
      <w:spacing w:after="480"/>
      <w:ind w:left="3544" w:hanging="1134"/>
      <w:outlineLvl w:val="3"/>
    </w:pPr>
    <w:rPr>
      <w:rFonts w:ascii="Arial" w:eastAsiaTheme="minorHAnsi" w:hAnsi="Arial" w:cstheme="minorBidi"/>
      <w:sz w:val="24"/>
      <w:lang w:val="en-GB"/>
    </w:rPr>
  </w:style>
  <w:style w:type="paragraph" w:customStyle="1" w:styleId="DPLevel5List">
    <w:name w:val="DP_Level 5 List"/>
    <w:basedOn w:val="Normal"/>
    <w:uiPriority w:val="99"/>
    <w:rsid w:val="007F1344"/>
    <w:pPr>
      <w:widowControl w:val="0"/>
      <w:numPr>
        <w:ilvl w:val="4"/>
        <w:numId w:val="3"/>
      </w:numPr>
      <w:tabs>
        <w:tab w:val="clear" w:pos="2268"/>
        <w:tab w:val="num" w:pos="1701"/>
      </w:tabs>
      <w:spacing w:after="480"/>
      <w:ind w:left="1701"/>
      <w:outlineLvl w:val="4"/>
    </w:pPr>
    <w:rPr>
      <w:rFonts w:ascii="Arial" w:eastAsiaTheme="minorHAnsi" w:hAnsi="Arial" w:cstheme="minorBidi"/>
      <w:noProof/>
      <w:sz w:val="24"/>
      <w:lang w:val="en-US" w:eastAsia="en-ZA"/>
    </w:rPr>
  </w:style>
  <w:style w:type="character" w:customStyle="1" w:styleId="DPLevel3ListChar">
    <w:name w:val="DP_Level 3 List Char"/>
    <w:link w:val="DPLevel3List"/>
    <w:rsid w:val="007F1344"/>
    <w:rPr>
      <w:rFonts w:ascii="Arial" w:eastAsiaTheme="minorHAnsi" w:hAnsi="Arial" w:cstheme="minorBidi"/>
      <w:sz w:val="24"/>
      <w:szCs w:val="22"/>
      <w:lang w:val="en-GB"/>
    </w:rPr>
  </w:style>
  <w:style w:type="character" w:customStyle="1" w:styleId="DPLevel2ListChar">
    <w:name w:val="DP_Level 2 List Char"/>
    <w:link w:val="DPLevel2List"/>
    <w:uiPriority w:val="99"/>
    <w:rsid w:val="007F1344"/>
    <w:rPr>
      <w:rFonts w:ascii="Arial" w:eastAsiaTheme="minorHAnsi" w:hAnsi="Arial" w:cstheme="minorBidi"/>
      <w:sz w:val="24"/>
      <w:szCs w:val="22"/>
      <w:lang w:val="en-ZA"/>
    </w:rPr>
  </w:style>
  <w:style w:type="character" w:styleId="FollowedHyperlink">
    <w:name w:val="FollowedHyperlink"/>
    <w:basedOn w:val="DefaultParagraphFont"/>
    <w:uiPriority w:val="99"/>
    <w:semiHidden/>
    <w:unhideWhenUsed/>
    <w:rsid w:val="00DE25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5009">
      <w:bodyDiv w:val="1"/>
      <w:marLeft w:val="0"/>
      <w:marRight w:val="0"/>
      <w:marTop w:val="0"/>
      <w:marBottom w:val="0"/>
      <w:divBdr>
        <w:top w:val="none" w:sz="0" w:space="0" w:color="auto"/>
        <w:left w:val="none" w:sz="0" w:space="0" w:color="auto"/>
        <w:bottom w:val="none" w:sz="0" w:space="0" w:color="auto"/>
        <w:right w:val="none" w:sz="0" w:space="0" w:color="auto"/>
      </w:divBdr>
    </w:div>
    <w:div w:id="318775025">
      <w:bodyDiv w:val="1"/>
      <w:marLeft w:val="0"/>
      <w:marRight w:val="0"/>
      <w:marTop w:val="0"/>
      <w:marBottom w:val="0"/>
      <w:divBdr>
        <w:top w:val="none" w:sz="0" w:space="0" w:color="auto"/>
        <w:left w:val="none" w:sz="0" w:space="0" w:color="auto"/>
        <w:bottom w:val="none" w:sz="0" w:space="0" w:color="auto"/>
        <w:right w:val="none" w:sz="0" w:space="0" w:color="auto"/>
      </w:divBdr>
    </w:div>
    <w:div w:id="360519677">
      <w:bodyDiv w:val="1"/>
      <w:marLeft w:val="0"/>
      <w:marRight w:val="0"/>
      <w:marTop w:val="0"/>
      <w:marBottom w:val="0"/>
      <w:divBdr>
        <w:top w:val="none" w:sz="0" w:space="0" w:color="auto"/>
        <w:left w:val="none" w:sz="0" w:space="0" w:color="auto"/>
        <w:bottom w:val="none" w:sz="0" w:space="0" w:color="auto"/>
        <w:right w:val="none" w:sz="0" w:space="0" w:color="auto"/>
      </w:divBdr>
    </w:div>
    <w:div w:id="799617738">
      <w:bodyDiv w:val="1"/>
      <w:marLeft w:val="0"/>
      <w:marRight w:val="0"/>
      <w:marTop w:val="0"/>
      <w:marBottom w:val="0"/>
      <w:divBdr>
        <w:top w:val="none" w:sz="0" w:space="0" w:color="auto"/>
        <w:left w:val="none" w:sz="0" w:space="0" w:color="auto"/>
        <w:bottom w:val="none" w:sz="0" w:space="0" w:color="auto"/>
        <w:right w:val="none" w:sz="0" w:space="0" w:color="auto"/>
      </w:divBdr>
    </w:div>
    <w:div w:id="854923029">
      <w:bodyDiv w:val="1"/>
      <w:marLeft w:val="0"/>
      <w:marRight w:val="0"/>
      <w:marTop w:val="0"/>
      <w:marBottom w:val="0"/>
      <w:divBdr>
        <w:top w:val="none" w:sz="0" w:space="0" w:color="auto"/>
        <w:left w:val="none" w:sz="0" w:space="0" w:color="auto"/>
        <w:bottom w:val="none" w:sz="0" w:space="0" w:color="auto"/>
        <w:right w:val="none" w:sz="0" w:space="0" w:color="auto"/>
      </w:divBdr>
    </w:div>
    <w:div w:id="927808123">
      <w:bodyDiv w:val="1"/>
      <w:marLeft w:val="0"/>
      <w:marRight w:val="0"/>
      <w:marTop w:val="0"/>
      <w:marBottom w:val="0"/>
      <w:divBdr>
        <w:top w:val="none" w:sz="0" w:space="0" w:color="auto"/>
        <w:left w:val="none" w:sz="0" w:space="0" w:color="auto"/>
        <w:bottom w:val="none" w:sz="0" w:space="0" w:color="auto"/>
        <w:right w:val="none" w:sz="0" w:space="0" w:color="auto"/>
      </w:divBdr>
    </w:div>
    <w:div w:id="1168442186">
      <w:bodyDiv w:val="1"/>
      <w:marLeft w:val="0"/>
      <w:marRight w:val="0"/>
      <w:marTop w:val="0"/>
      <w:marBottom w:val="0"/>
      <w:divBdr>
        <w:top w:val="none" w:sz="0" w:space="0" w:color="auto"/>
        <w:left w:val="none" w:sz="0" w:space="0" w:color="auto"/>
        <w:bottom w:val="none" w:sz="0" w:space="0" w:color="auto"/>
        <w:right w:val="none" w:sz="0" w:space="0" w:color="auto"/>
      </w:divBdr>
    </w:div>
    <w:div w:id="1193106821">
      <w:bodyDiv w:val="1"/>
      <w:marLeft w:val="0"/>
      <w:marRight w:val="0"/>
      <w:marTop w:val="0"/>
      <w:marBottom w:val="0"/>
      <w:divBdr>
        <w:top w:val="none" w:sz="0" w:space="0" w:color="auto"/>
        <w:left w:val="none" w:sz="0" w:space="0" w:color="auto"/>
        <w:bottom w:val="none" w:sz="0" w:space="0" w:color="auto"/>
        <w:right w:val="none" w:sz="0" w:space="0" w:color="auto"/>
      </w:divBdr>
    </w:div>
    <w:div w:id="1273319177">
      <w:bodyDiv w:val="1"/>
      <w:marLeft w:val="0"/>
      <w:marRight w:val="0"/>
      <w:marTop w:val="0"/>
      <w:marBottom w:val="0"/>
      <w:divBdr>
        <w:top w:val="none" w:sz="0" w:space="0" w:color="auto"/>
        <w:left w:val="none" w:sz="0" w:space="0" w:color="auto"/>
        <w:bottom w:val="none" w:sz="0" w:space="0" w:color="auto"/>
        <w:right w:val="none" w:sz="0" w:space="0" w:color="auto"/>
      </w:divBdr>
    </w:div>
    <w:div w:id="1315992922">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43124572">
      <w:bodyDiv w:val="1"/>
      <w:marLeft w:val="0"/>
      <w:marRight w:val="0"/>
      <w:marTop w:val="0"/>
      <w:marBottom w:val="0"/>
      <w:divBdr>
        <w:top w:val="none" w:sz="0" w:space="0" w:color="auto"/>
        <w:left w:val="none" w:sz="0" w:space="0" w:color="auto"/>
        <w:bottom w:val="none" w:sz="0" w:space="0" w:color="auto"/>
        <w:right w:val="none" w:sz="0" w:space="0" w:color="auto"/>
      </w:divBdr>
    </w:div>
    <w:div w:id="1489129681">
      <w:bodyDiv w:val="1"/>
      <w:marLeft w:val="0"/>
      <w:marRight w:val="0"/>
      <w:marTop w:val="0"/>
      <w:marBottom w:val="0"/>
      <w:divBdr>
        <w:top w:val="none" w:sz="0" w:space="0" w:color="auto"/>
        <w:left w:val="none" w:sz="0" w:space="0" w:color="auto"/>
        <w:bottom w:val="none" w:sz="0" w:space="0" w:color="auto"/>
        <w:right w:val="none" w:sz="0" w:space="0" w:color="auto"/>
      </w:divBdr>
    </w:div>
    <w:div w:id="1716856387">
      <w:bodyDiv w:val="1"/>
      <w:marLeft w:val="0"/>
      <w:marRight w:val="0"/>
      <w:marTop w:val="0"/>
      <w:marBottom w:val="0"/>
      <w:divBdr>
        <w:top w:val="none" w:sz="0" w:space="0" w:color="auto"/>
        <w:left w:val="none" w:sz="0" w:space="0" w:color="auto"/>
        <w:bottom w:val="none" w:sz="0" w:space="0" w:color="auto"/>
        <w:right w:val="none" w:sz="0" w:space="0" w:color="auto"/>
      </w:divBdr>
    </w:div>
    <w:div w:id="1929653403">
      <w:bodyDiv w:val="1"/>
      <w:marLeft w:val="0"/>
      <w:marRight w:val="0"/>
      <w:marTop w:val="0"/>
      <w:marBottom w:val="0"/>
      <w:divBdr>
        <w:top w:val="none" w:sz="0" w:space="0" w:color="auto"/>
        <w:left w:val="none" w:sz="0" w:space="0" w:color="auto"/>
        <w:bottom w:val="none" w:sz="0" w:space="0" w:color="auto"/>
        <w:right w:val="none" w:sz="0" w:space="0" w:color="auto"/>
      </w:divBdr>
    </w:div>
    <w:div w:id="20591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B9A61-3D8E-489F-B55F-1EE53307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15752</Words>
  <Characters>89790</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2021-10-20T14:43:00Z</dcterms:created>
  <dcterms:modified xsi:type="dcterms:W3CDTF">2021-10-21T12:35:00Z</dcterms:modified>
</cp:coreProperties>
</file>