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8CF" w:rsidRDefault="00E17DB2" w:rsidP="003A18CF">
      <w:pPr>
        <w:spacing w:line="240" w:lineRule="auto"/>
        <w:jc w:val="center"/>
        <w:outlineLvl w:val="0"/>
      </w:pPr>
      <w:r>
        <w:rPr>
          <w:b/>
          <w:noProof/>
          <w:color w:val="1F497D"/>
          <w:lang w:eastAsia="en-ZA"/>
        </w:rPr>
        <w:drawing>
          <wp:inline distT="0" distB="0" distL="0" distR="0">
            <wp:extent cx="84772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76300"/>
                    </a:xfrm>
                    <a:prstGeom prst="rect">
                      <a:avLst/>
                    </a:prstGeom>
                    <a:noFill/>
                    <a:ln>
                      <a:noFill/>
                    </a:ln>
                  </pic:spPr>
                </pic:pic>
              </a:graphicData>
            </a:graphic>
          </wp:inline>
        </w:drawing>
      </w:r>
    </w:p>
    <w:p w:rsidR="003A18CF" w:rsidRDefault="003A18CF" w:rsidP="003A18CF">
      <w:pPr>
        <w:spacing w:line="240" w:lineRule="auto"/>
        <w:jc w:val="center"/>
        <w:outlineLvl w:val="0"/>
      </w:pPr>
    </w:p>
    <w:p w:rsidR="003A18CF" w:rsidRPr="00271C49" w:rsidRDefault="003A18CF" w:rsidP="003A18CF">
      <w:pPr>
        <w:spacing w:line="240" w:lineRule="auto"/>
        <w:jc w:val="center"/>
        <w:outlineLvl w:val="0"/>
        <w:rPr>
          <w:b/>
        </w:rPr>
      </w:pPr>
      <w:r w:rsidRPr="00271C49">
        <w:rPr>
          <w:b/>
        </w:rPr>
        <w:t>CONSTITUTIONAL COURT OF SOUTH AFRICA</w:t>
      </w:r>
    </w:p>
    <w:p w:rsidR="003A18CF" w:rsidRDefault="003A18CF" w:rsidP="003A18CF">
      <w:pPr>
        <w:spacing w:line="240" w:lineRule="auto"/>
      </w:pPr>
    </w:p>
    <w:p w:rsidR="003A18CF" w:rsidRPr="009C3888" w:rsidRDefault="003A18CF" w:rsidP="003A18CF">
      <w:pPr>
        <w:spacing w:line="240" w:lineRule="auto"/>
      </w:pPr>
    </w:p>
    <w:p w:rsidR="003A18CF" w:rsidRPr="0053208D" w:rsidRDefault="003A18CF" w:rsidP="003A18CF">
      <w:pPr>
        <w:tabs>
          <w:tab w:val="right" w:pos="9029"/>
        </w:tabs>
        <w:spacing w:line="240" w:lineRule="auto"/>
      </w:pPr>
      <w:r w:rsidRPr="00961263">
        <w:tab/>
      </w:r>
      <w:r w:rsidRPr="0053208D">
        <w:t xml:space="preserve">Case CCT </w:t>
      </w:r>
      <w:r w:rsidR="00F84984" w:rsidRPr="006B4A21">
        <w:t>121</w:t>
      </w:r>
      <w:r w:rsidRPr="0053208D">
        <w:t>/</w:t>
      </w:r>
      <w:r w:rsidR="00F84984" w:rsidRPr="006B4A21">
        <w:t>17</w:t>
      </w:r>
    </w:p>
    <w:p w:rsidR="003A18CF" w:rsidRPr="0053208D" w:rsidRDefault="003A18CF" w:rsidP="003A18CF">
      <w:pPr>
        <w:tabs>
          <w:tab w:val="left" w:pos="8998"/>
        </w:tabs>
        <w:spacing w:line="240" w:lineRule="auto"/>
      </w:pPr>
    </w:p>
    <w:p w:rsidR="003A18CF" w:rsidRPr="003A0030" w:rsidRDefault="003A18CF" w:rsidP="003A18CF">
      <w:pPr>
        <w:tabs>
          <w:tab w:val="left" w:pos="8998"/>
        </w:tabs>
        <w:spacing w:line="240" w:lineRule="auto"/>
      </w:pPr>
      <w:r w:rsidRPr="003A0030">
        <w:t>In the matter between:</w:t>
      </w:r>
    </w:p>
    <w:p w:rsidR="003A18CF" w:rsidRPr="00754F03" w:rsidRDefault="003A18CF" w:rsidP="003A18CF">
      <w:pPr>
        <w:tabs>
          <w:tab w:val="left" w:pos="8998"/>
        </w:tabs>
        <w:spacing w:line="240" w:lineRule="auto"/>
      </w:pPr>
    </w:p>
    <w:p w:rsidR="003A18CF" w:rsidRPr="00081822" w:rsidRDefault="003A18CF" w:rsidP="003A18CF">
      <w:pPr>
        <w:tabs>
          <w:tab w:val="left" w:pos="8998"/>
        </w:tabs>
        <w:spacing w:line="240" w:lineRule="auto"/>
      </w:pPr>
    </w:p>
    <w:p w:rsidR="00F84984" w:rsidRPr="006B4A21" w:rsidRDefault="00F84984" w:rsidP="003A18CF">
      <w:pPr>
        <w:tabs>
          <w:tab w:val="right" w:pos="9029"/>
        </w:tabs>
        <w:spacing w:line="240" w:lineRule="auto"/>
        <w:rPr>
          <w:b/>
          <w:szCs w:val="26"/>
        </w:rPr>
      </w:pPr>
      <w:r w:rsidRPr="006B4A21">
        <w:rPr>
          <w:b/>
          <w:szCs w:val="26"/>
        </w:rPr>
        <w:t xml:space="preserve">S.O.S SUPPORT PUBLIC </w:t>
      </w:r>
    </w:p>
    <w:p w:rsidR="003A18CF" w:rsidRPr="0053208D" w:rsidRDefault="00F84984" w:rsidP="003A18CF">
      <w:pPr>
        <w:tabs>
          <w:tab w:val="right" w:pos="9029"/>
        </w:tabs>
        <w:spacing w:line="240" w:lineRule="auto"/>
        <w:rPr>
          <w:szCs w:val="26"/>
        </w:rPr>
      </w:pPr>
      <w:r w:rsidRPr="006B4A21">
        <w:rPr>
          <w:b/>
          <w:szCs w:val="26"/>
        </w:rPr>
        <w:t>BROADCASTING COALITION</w:t>
      </w:r>
      <w:r w:rsidR="003A18CF" w:rsidRPr="0053208D">
        <w:rPr>
          <w:szCs w:val="26"/>
        </w:rPr>
        <w:tab/>
      </w:r>
      <w:r w:rsidR="003A18CF" w:rsidRPr="006B4A21">
        <w:rPr>
          <w:szCs w:val="26"/>
        </w:rPr>
        <w:t>First</w:t>
      </w:r>
      <w:r w:rsidR="003A18CF" w:rsidRPr="0053208D">
        <w:rPr>
          <w:szCs w:val="26"/>
        </w:rPr>
        <w:t xml:space="preserve"> Applicant</w:t>
      </w:r>
    </w:p>
    <w:p w:rsidR="003A18CF" w:rsidRPr="0053208D" w:rsidRDefault="003A18CF" w:rsidP="003A18CF">
      <w:pPr>
        <w:tabs>
          <w:tab w:val="right" w:pos="9029"/>
        </w:tabs>
        <w:spacing w:line="240" w:lineRule="auto"/>
        <w:rPr>
          <w:szCs w:val="26"/>
        </w:rPr>
      </w:pPr>
    </w:p>
    <w:p w:rsidR="0072772F" w:rsidRPr="006B4A21" w:rsidRDefault="0072772F" w:rsidP="003A18CF">
      <w:pPr>
        <w:tabs>
          <w:tab w:val="right" w:pos="9029"/>
        </w:tabs>
        <w:spacing w:line="240" w:lineRule="auto"/>
        <w:rPr>
          <w:b/>
          <w:szCs w:val="26"/>
        </w:rPr>
      </w:pPr>
      <w:r w:rsidRPr="006B4A21">
        <w:rPr>
          <w:b/>
          <w:szCs w:val="26"/>
        </w:rPr>
        <w:t xml:space="preserve">TRUSTEES FOR THE TIME BEING OF THE </w:t>
      </w:r>
    </w:p>
    <w:p w:rsidR="003A18CF" w:rsidRPr="0053208D" w:rsidRDefault="0072772F" w:rsidP="003A18CF">
      <w:pPr>
        <w:tabs>
          <w:tab w:val="right" w:pos="9029"/>
        </w:tabs>
        <w:spacing w:line="240" w:lineRule="auto"/>
        <w:rPr>
          <w:szCs w:val="26"/>
        </w:rPr>
      </w:pPr>
      <w:r w:rsidRPr="006B4A21">
        <w:rPr>
          <w:b/>
          <w:szCs w:val="26"/>
        </w:rPr>
        <w:t>MEDIA MONITORING PROJECT BENEFIT TRUST</w:t>
      </w:r>
      <w:r w:rsidR="003A18CF" w:rsidRPr="0053208D">
        <w:rPr>
          <w:szCs w:val="26"/>
        </w:rPr>
        <w:tab/>
      </w:r>
      <w:r w:rsidR="003A18CF" w:rsidRPr="006B4A21">
        <w:rPr>
          <w:szCs w:val="26"/>
        </w:rPr>
        <w:t>Second Applicant</w:t>
      </w:r>
    </w:p>
    <w:p w:rsidR="0072772F" w:rsidRPr="0053208D" w:rsidRDefault="0072772F" w:rsidP="003A18CF">
      <w:pPr>
        <w:tabs>
          <w:tab w:val="right" w:pos="9029"/>
        </w:tabs>
        <w:spacing w:line="240" w:lineRule="auto"/>
        <w:rPr>
          <w:szCs w:val="26"/>
        </w:rPr>
      </w:pPr>
    </w:p>
    <w:p w:rsidR="0072772F" w:rsidRPr="00C20E44" w:rsidRDefault="0072772F" w:rsidP="003A18CF">
      <w:pPr>
        <w:tabs>
          <w:tab w:val="right" w:pos="9029"/>
        </w:tabs>
        <w:spacing w:line="240" w:lineRule="auto"/>
        <w:rPr>
          <w:b/>
          <w:szCs w:val="26"/>
        </w:rPr>
      </w:pPr>
      <w:r w:rsidRPr="00C20E44">
        <w:rPr>
          <w:b/>
          <w:szCs w:val="26"/>
        </w:rPr>
        <w:t xml:space="preserve">CAXTON AND CTP PUBLISHERS </w:t>
      </w:r>
    </w:p>
    <w:p w:rsidR="0072772F" w:rsidRPr="00081822" w:rsidRDefault="0072772F" w:rsidP="003A18CF">
      <w:pPr>
        <w:tabs>
          <w:tab w:val="right" w:pos="9029"/>
        </w:tabs>
        <w:spacing w:line="240" w:lineRule="auto"/>
        <w:rPr>
          <w:szCs w:val="26"/>
        </w:rPr>
      </w:pPr>
      <w:r w:rsidRPr="00C20E44">
        <w:rPr>
          <w:b/>
          <w:szCs w:val="26"/>
        </w:rPr>
        <w:t>AND PRINTERS LIM</w:t>
      </w:r>
      <w:r w:rsidR="00967AAD">
        <w:rPr>
          <w:b/>
          <w:szCs w:val="26"/>
        </w:rPr>
        <w:t>I</w:t>
      </w:r>
      <w:r w:rsidRPr="00C20E44">
        <w:rPr>
          <w:b/>
          <w:szCs w:val="26"/>
        </w:rPr>
        <w:t>TED</w:t>
      </w:r>
      <w:r w:rsidRPr="00081822">
        <w:rPr>
          <w:szCs w:val="26"/>
        </w:rPr>
        <w:tab/>
        <w:t>Third Applicant</w:t>
      </w:r>
    </w:p>
    <w:p w:rsidR="003A18CF" w:rsidRPr="00F71E88" w:rsidRDefault="003A18CF" w:rsidP="003A18CF">
      <w:pPr>
        <w:spacing w:line="240" w:lineRule="auto"/>
        <w:rPr>
          <w:szCs w:val="26"/>
        </w:rPr>
      </w:pPr>
    </w:p>
    <w:p w:rsidR="003A18CF" w:rsidRPr="00701CE7" w:rsidRDefault="003A18CF" w:rsidP="003A18CF">
      <w:pPr>
        <w:spacing w:line="240" w:lineRule="auto"/>
        <w:rPr>
          <w:szCs w:val="26"/>
        </w:rPr>
      </w:pPr>
      <w:r w:rsidRPr="00701CE7">
        <w:rPr>
          <w:szCs w:val="26"/>
        </w:rPr>
        <w:t>and</w:t>
      </w:r>
    </w:p>
    <w:p w:rsidR="003A18CF" w:rsidRPr="00701CE7" w:rsidRDefault="003A18CF" w:rsidP="003A18CF">
      <w:pPr>
        <w:spacing w:line="240" w:lineRule="auto"/>
        <w:rPr>
          <w:szCs w:val="26"/>
        </w:rPr>
      </w:pPr>
    </w:p>
    <w:p w:rsidR="0072772F" w:rsidRPr="006B4A21" w:rsidRDefault="0072772F" w:rsidP="003A18CF">
      <w:pPr>
        <w:tabs>
          <w:tab w:val="right" w:pos="9029"/>
        </w:tabs>
        <w:spacing w:line="240" w:lineRule="auto"/>
        <w:rPr>
          <w:b/>
          <w:szCs w:val="26"/>
        </w:rPr>
      </w:pPr>
      <w:r w:rsidRPr="006B4A21">
        <w:rPr>
          <w:b/>
          <w:szCs w:val="26"/>
        </w:rPr>
        <w:t>SOUTH AFRICAN BROADCASTING</w:t>
      </w:r>
    </w:p>
    <w:p w:rsidR="003A18CF" w:rsidRPr="0053208D" w:rsidRDefault="0072772F" w:rsidP="003A18CF">
      <w:pPr>
        <w:tabs>
          <w:tab w:val="right" w:pos="9029"/>
        </w:tabs>
        <w:spacing w:line="240" w:lineRule="auto"/>
        <w:rPr>
          <w:szCs w:val="26"/>
        </w:rPr>
      </w:pPr>
      <w:r w:rsidRPr="006B4A21">
        <w:rPr>
          <w:b/>
          <w:szCs w:val="26"/>
        </w:rPr>
        <w:t>CORPORATION (SOC) LIM</w:t>
      </w:r>
      <w:r w:rsidR="00495691">
        <w:rPr>
          <w:b/>
          <w:szCs w:val="26"/>
        </w:rPr>
        <w:t>I</w:t>
      </w:r>
      <w:r w:rsidRPr="006B4A21">
        <w:rPr>
          <w:b/>
          <w:szCs w:val="26"/>
        </w:rPr>
        <w:t>TED</w:t>
      </w:r>
      <w:r w:rsidR="003A18CF" w:rsidRPr="0053208D">
        <w:rPr>
          <w:szCs w:val="26"/>
        </w:rPr>
        <w:tab/>
      </w:r>
      <w:r w:rsidR="003A18CF" w:rsidRPr="006B4A21">
        <w:rPr>
          <w:szCs w:val="26"/>
        </w:rPr>
        <w:t>First</w:t>
      </w:r>
      <w:r w:rsidR="003A18CF" w:rsidRPr="0053208D">
        <w:rPr>
          <w:szCs w:val="26"/>
        </w:rPr>
        <w:t xml:space="preserve"> Respondent</w:t>
      </w:r>
    </w:p>
    <w:p w:rsidR="003A18CF" w:rsidRPr="0053208D" w:rsidRDefault="003A18CF" w:rsidP="003A18CF">
      <w:pPr>
        <w:tabs>
          <w:tab w:val="right" w:pos="9029"/>
        </w:tabs>
        <w:spacing w:line="240" w:lineRule="auto"/>
        <w:rPr>
          <w:szCs w:val="26"/>
        </w:rPr>
      </w:pPr>
    </w:p>
    <w:p w:rsidR="003A18CF" w:rsidRPr="0053208D" w:rsidRDefault="0072772F" w:rsidP="003A18CF">
      <w:pPr>
        <w:tabs>
          <w:tab w:val="right" w:pos="9029"/>
        </w:tabs>
        <w:spacing w:line="240" w:lineRule="auto"/>
        <w:rPr>
          <w:szCs w:val="26"/>
        </w:rPr>
      </w:pPr>
      <w:r w:rsidRPr="006B4A21">
        <w:rPr>
          <w:b/>
          <w:szCs w:val="26"/>
        </w:rPr>
        <w:t>MULTICHOICE (PTY) LIMITED</w:t>
      </w:r>
      <w:r w:rsidR="003A18CF" w:rsidRPr="0053208D">
        <w:rPr>
          <w:szCs w:val="26"/>
        </w:rPr>
        <w:tab/>
      </w:r>
      <w:r w:rsidR="003A18CF" w:rsidRPr="006B4A21">
        <w:rPr>
          <w:szCs w:val="26"/>
        </w:rPr>
        <w:t>Second Respondent</w:t>
      </w:r>
    </w:p>
    <w:p w:rsidR="003A18CF" w:rsidRPr="003A0030" w:rsidRDefault="003A18CF" w:rsidP="003A18CF">
      <w:pPr>
        <w:spacing w:line="240" w:lineRule="auto"/>
        <w:rPr>
          <w:szCs w:val="26"/>
        </w:rPr>
      </w:pPr>
    </w:p>
    <w:p w:rsidR="0072772F" w:rsidRPr="006B4A21" w:rsidRDefault="0072772F" w:rsidP="003A18CF">
      <w:pPr>
        <w:tabs>
          <w:tab w:val="right" w:pos="9029"/>
        </w:tabs>
        <w:spacing w:line="240" w:lineRule="auto"/>
        <w:rPr>
          <w:b/>
          <w:szCs w:val="26"/>
        </w:rPr>
      </w:pPr>
      <w:r w:rsidRPr="006B4A21">
        <w:rPr>
          <w:b/>
          <w:szCs w:val="26"/>
        </w:rPr>
        <w:t>COMPETITION COMMISSION</w:t>
      </w:r>
    </w:p>
    <w:p w:rsidR="003A18CF" w:rsidRPr="0053208D" w:rsidRDefault="0072772F" w:rsidP="003A18CF">
      <w:pPr>
        <w:tabs>
          <w:tab w:val="right" w:pos="9029"/>
        </w:tabs>
        <w:spacing w:line="240" w:lineRule="auto"/>
        <w:rPr>
          <w:szCs w:val="26"/>
        </w:rPr>
      </w:pPr>
      <w:r w:rsidRPr="006B4A21">
        <w:rPr>
          <w:b/>
          <w:szCs w:val="26"/>
        </w:rPr>
        <w:t>OF SOUTH AFRICA</w:t>
      </w:r>
      <w:r w:rsidR="003A18CF" w:rsidRPr="0053208D">
        <w:rPr>
          <w:szCs w:val="26"/>
        </w:rPr>
        <w:tab/>
      </w:r>
      <w:r w:rsidRPr="006B4A21">
        <w:rPr>
          <w:szCs w:val="26"/>
        </w:rPr>
        <w:t>Third Respondent</w:t>
      </w:r>
    </w:p>
    <w:p w:rsidR="008E42A4" w:rsidRPr="0053208D" w:rsidRDefault="008E42A4" w:rsidP="003A18CF">
      <w:pPr>
        <w:tabs>
          <w:tab w:val="right" w:pos="9029"/>
        </w:tabs>
        <w:spacing w:line="240" w:lineRule="auto"/>
        <w:rPr>
          <w:szCs w:val="26"/>
        </w:rPr>
      </w:pPr>
    </w:p>
    <w:p w:rsidR="003A18CF" w:rsidRPr="00081822" w:rsidRDefault="003A18CF" w:rsidP="003A18CF">
      <w:pPr>
        <w:spacing w:line="240" w:lineRule="auto"/>
      </w:pPr>
    </w:p>
    <w:p w:rsidR="003A18CF" w:rsidRPr="00701CE7" w:rsidRDefault="003A18CF" w:rsidP="003A18CF">
      <w:pPr>
        <w:spacing w:line="240" w:lineRule="auto"/>
        <w:ind w:left="2160" w:hanging="2160"/>
      </w:pPr>
      <w:r w:rsidRPr="00081822">
        <w:rPr>
          <w:b/>
        </w:rPr>
        <w:t>Neutral citation:</w:t>
      </w:r>
      <w:r w:rsidRPr="00701CE7">
        <w:tab/>
      </w:r>
      <w:r w:rsidR="0072772F" w:rsidRPr="00B32555">
        <w:rPr>
          <w:i/>
        </w:rPr>
        <w:t>S.</w:t>
      </w:r>
      <w:proofErr w:type="gramStart"/>
      <w:r w:rsidR="0072772F" w:rsidRPr="00B32555">
        <w:rPr>
          <w:i/>
        </w:rPr>
        <w:t>O.S</w:t>
      </w:r>
      <w:proofErr w:type="gramEnd"/>
      <w:r w:rsidR="0072772F" w:rsidRPr="00B32555">
        <w:rPr>
          <w:i/>
        </w:rPr>
        <w:t xml:space="preserve"> Support Public Broadcasting Coalition </w:t>
      </w:r>
      <w:r w:rsidR="0056714C">
        <w:rPr>
          <w:i/>
        </w:rPr>
        <w:t xml:space="preserve">and Others </w:t>
      </w:r>
      <w:r w:rsidR="0072772F" w:rsidRPr="00B32555">
        <w:rPr>
          <w:i/>
        </w:rPr>
        <w:t>v South African Broadcasting Corporation (SOC) Limited</w:t>
      </w:r>
      <w:r w:rsidR="0056714C">
        <w:rPr>
          <w:i/>
        </w:rPr>
        <w:t xml:space="preserve"> and Others</w:t>
      </w:r>
      <w:r w:rsidR="0072772F" w:rsidRPr="00B32555">
        <w:rPr>
          <w:i/>
        </w:rPr>
        <w:t xml:space="preserve"> </w:t>
      </w:r>
      <w:r w:rsidR="005915ED">
        <w:t>[</w:t>
      </w:r>
      <w:r w:rsidR="00971321">
        <w:t>2018] ZACC 37</w:t>
      </w:r>
      <w:r w:rsidR="0072772F" w:rsidRPr="00701CE7">
        <w:t xml:space="preserve"> </w:t>
      </w:r>
    </w:p>
    <w:p w:rsidR="003A18CF" w:rsidRPr="0025197F" w:rsidRDefault="003A18CF" w:rsidP="003A18CF">
      <w:pPr>
        <w:spacing w:line="240" w:lineRule="auto"/>
      </w:pPr>
    </w:p>
    <w:p w:rsidR="0072772F" w:rsidRPr="00701CE7" w:rsidRDefault="003A18CF" w:rsidP="0072772F">
      <w:pPr>
        <w:pStyle w:val="BODYNON-NUMBERED"/>
        <w:spacing w:after="0"/>
        <w:ind w:left="2160" w:hanging="2160"/>
        <w:rPr>
          <w:szCs w:val="26"/>
          <w:lang w:val="en-US"/>
        </w:rPr>
      </w:pPr>
      <w:r w:rsidRPr="0025197F">
        <w:rPr>
          <w:b/>
        </w:rPr>
        <w:t>Coram:</w:t>
      </w:r>
      <w:r w:rsidRPr="0025197F">
        <w:tab/>
      </w:r>
      <w:r w:rsidR="0072772F" w:rsidRPr="0053208D">
        <w:rPr>
          <w:lang w:val="en-US"/>
        </w:rPr>
        <w:t>Cameron</w:t>
      </w:r>
      <w:r w:rsidR="00A4055A">
        <w:rPr>
          <w:lang w:val="en-US"/>
        </w:rPr>
        <w:t xml:space="preserve"> </w:t>
      </w:r>
      <w:r w:rsidR="0072772F" w:rsidRPr="0053208D">
        <w:rPr>
          <w:lang w:val="en-US"/>
        </w:rPr>
        <w:t xml:space="preserve">J, </w:t>
      </w:r>
      <w:proofErr w:type="spellStart"/>
      <w:r w:rsidR="0072772F" w:rsidRPr="0053208D">
        <w:rPr>
          <w:lang w:val="en-US"/>
        </w:rPr>
        <w:t>Froneman</w:t>
      </w:r>
      <w:proofErr w:type="spellEnd"/>
      <w:r w:rsidR="00A4055A">
        <w:rPr>
          <w:lang w:val="en-US"/>
        </w:rPr>
        <w:t xml:space="preserve"> </w:t>
      </w:r>
      <w:r w:rsidR="0072772F" w:rsidRPr="0053208D">
        <w:rPr>
          <w:lang w:val="en-US"/>
        </w:rPr>
        <w:t xml:space="preserve">J, </w:t>
      </w:r>
      <w:proofErr w:type="spellStart"/>
      <w:r w:rsidR="0072772F" w:rsidRPr="0053208D">
        <w:rPr>
          <w:lang w:val="en-US"/>
        </w:rPr>
        <w:t>Jafta</w:t>
      </w:r>
      <w:proofErr w:type="spellEnd"/>
      <w:r w:rsidR="00A4055A">
        <w:rPr>
          <w:lang w:val="en-US"/>
        </w:rPr>
        <w:t xml:space="preserve"> </w:t>
      </w:r>
      <w:r w:rsidR="0072772F" w:rsidRPr="00754F03">
        <w:rPr>
          <w:lang w:val="en-US"/>
        </w:rPr>
        <w:t>J,</w:t>
      </w:r>
      <w:r w:rsidR="004D133F">
        <w:rPr>
          <w:lang w:val="en-US"/>
        </w:rPr>
        <w:t xml:space="preserve"> </w:t>
      </w:r>
      <w:proofErr w:type="spellStart"/>
      <w:r w:rsidR="004D133F">
        <w:rPr>
          <w:lang w:val="en-US"/>
        </w:rPr>
        <w:t>Kathree-</w:t>
      </w:r>
      <w:r w:rsidR="0072772F" w:rsidRPr="00081822">
        <w:rPr>
          <w:lang w:val="en-US"/>
        </w:rPr>
        <w:t>Setiloane</w:t>
      </w:r>
      <w:proofErr w:type="spellEnd"/>
      <w:r w:rsidR="00A4055A">
        <w:rPr>
          <w:lang w:val="en-US"/>
        </w:rPr>
        <w:t xml:space="preserve"> </w:t>
      </w:r>
      <w:r w:rsidR="0072772F" w:rsidRPr="00081822">
        <w:rPr>
          <w:lang w:val="en-US"/>
        </w:rPr>
        <w:t xml:space="preserve">AJ, </w:t>
      </w:r>
      <w:proofErr w:type="spellStart"/>
      <w:r w:rsidR="0072772F" w:rsidRPr="00081822">
        <w:rPr>
          <w:lang w:val="en-US"/>
        </w:rPr>
        <w:t>Kollapen</w:t>
      </w:r>
      <w:proofErr w:type="spellEnd"/>
      <w:r w:rsidR="00CE0894">
        <w:rPr>
          <w:lang w:val="en-US"/>
        </w:rPr>
        <w:t> </w:t>
      </w:r>
      <w:r w:rsidR="0072772F" w:rsidRPr="00081822">
        <w:rPr>
          <w:lang w:val="en-US"/>
        </w:rPr>
        <w:t xml:space="preserve">AJ, </w:t>
      </w:r>
      <w:proofErr w:type="spellStart"/>
      <w:r w:rsidR="0072772F" w:rsidRPr="00081822">
        <w:rPr>
          <w:lang w:val="en-US"/>
        </w:rPr>
        <w:t>Madlanga</w:t>
      </w:r>
      <w:proofErr w:type="spellEnd"/>
      <w:r w:rsidR="00CE0894">
        <w:rPr>
          <w:lang w:val="en-US"/>
        </w:rPr>
        <w:t xml:space="preserve"> </w:t>
      </w:r>
      <w:r w:rsidR="0072772F" w:rsidRPr="00081822">
        <w:rPr>
          <w:lang w:val="en-US"/>
        </w:rPr>
        <w:t xml:space="preserve">J, </w:t>
      </w:r>
      <w:proofErr w:type="spellStart"/>
      <w:r w:rsidR="0072772F" w:rsidRPr="00081822">
        <w:rPr>
          <w:lang w:val="en-US"/>
        </w:rPr>
        <w:t>Mhlantla</w:t>
      </w:r>
      <w:proofErr w:type="spellEnd"/>
      <w:r w:rsidR="00CE0894">
        <w:rPr>
          <w:lang w:val="en-US"/>
        </w:rPr>
        <w:t xml:space="preserve"> </w:t>
      </w:r>
      <w:r w:rsidR="0072772F" w:rsidRPr="00081822">
        <w:rPr>
          <w:lang w:val="en-US"/>
        </w:rPr>
        <w:t>J, Theron</w:t>
      </w:r>
      <w:r w:rsidR="00CE0894">
        <w:rPr>
          <w:lang w:val="en-US"/>
        </w:rPr>
        <w:t xml:space="preserve"> </w:t>
      </w:r>
      <w:r w:rsidR="0072772F" w:rsidRPr="00F71E88">
        <w:rPr>
          <w:lang w:val="en-US"/>
        </w:rPr>
        <w:t xml:space="preserve">J and </w:t>
      </w:r>
      <w:proofErr w:type="spellStart"/>
      <w:r w:rsidR="0072772F" w:rsidRPr="00F71E88">
        <w:rPr>
          <w:lang w:val="en-US"/>
        </w:rPr>
        <w:t>Zondi</w:t>
      </w:r>
      <w:proofErr w:type="spellEnd"/>
      <w:r w:rsidR="0072772F" w:rsidRPr="00F71E88">
        <w:rPr>
          <w:lang w:val="en-US"/>
        </w:rPr>
        <w:t xml:space="preserve"> AJ</w:t>
      </w:r>
    </w:p>
    <w:p w:rsidR="003A18CF" w:rsidRPr="0025197F" w:rsidRDefault="003A18CF" w:rsidP="003A18CF">
      <w:pPr>
        <w:spacing w:line="240" w:lineRule="auto"/>
      </w:pPr>
    </w:p>
    <w:p w:rsidR="00AE7143" w:rsidRPr="0053208D" w:rsidRDefault="00AE7143" w:rsidP="004D133F">
      <w:pPr>
        <w:spacing w:line="240" w:lineRule="auto"/>
        <w:ind w:left="2160" w:hanging="2160"/>
      </w:pPr>
      <w:r w:rsidRPr="0025197F">
        <w:rPr>
          <w:b/>
        </w:rPr>
        <w:t>Judgment:</w:t>
      </w:r>
      <w:r w:rsidRPr="0025197F">
        <w:tab/>
      </w:r>
      <w:proofErr w:type="spellStart"/>
      <w:r w:rsidR="00D37164">
        <w:t>Kathree-Setiloane</w:t>
      </w:r>
      <w:proofErr w:type="spellEnd"/>
      <w:r w:rsidRPr="0053208D">
        <w:t xml:space="preserve"> </w:t>
      </w:r>
      <w:r w:rsidR="004D133F">
        <w:t xml:space="preserve">AJ </w:t>
      </w:r>
      <w:r w:rsidRPr="0053208D">
        <w:t>(</w:t>
      </w:r>
      <w:r w:rsidRPr="006B4A21">
        <w:t>unanimous</w:t>
      </w:r>
      <w:r w:rsidR="004D133F">
        <w:t>)</w:t>
      </w:r>
    </w:p>
    <w:p w:rsidR="00AE7143" w:rsidRPr="003A0030" w:rsidRDefault="00AE7143" w:rsidP="003A18CF">
      <w:pPr>
        <w:spacing w:line="240" w:lineRule="auto"/>
      </w:pPr>
    </w:p>
    <w:p w:rsidR="003A18CF" w:rsidRPr="00F71E88" w:rsidRDefault="003A18CF" w:rsidP="0044313C">
      <w:pPr>
        <w:spacing w:line="240" w:lineRule="auto"/>
        <w:ind w:left="2160" w:hanging="2160"/>
      </w:pPr>
      <w:r w:rsidRPr="00754F03">
        <w:rPr>
          <w:b/>
        </w:rPr>
        <w:t>Heard on:</w:t>
      </w:r>
      <w:r w:rsidRPr="00F71E88">
        <w:tab/>
      </w:r>
      <w:r w:rsidR="004D133F" w:rsidRPr="004D133F">
        <w:t>23 November 2017</w:t>
      </w:r>
    </w:p>
    <w:p w:rsidR="003A18CF" w:rsidRPr="00701CE7" w:rsidRDefault="003A18CF" w:rsidP="0044313C">
      <w:pPr>
        <w:spacing w:line="240" w:lineRule="auto"/>
        <w:ind w:left="2160" w:hanging="2160"/>
      </w:pPr>
    </w:p>
    <w:p w:rsidR="003A18CF" w:rsidRPr="0053208D" w:rsidRDefault="003A18CF" w:rsidP="0044313C">
      <w:pPr>
        <w:spacing w:line="240" w:lineRule="auto"/>
        <w:ind w:left="2160" w:hanging="2160"/>
      </w:pPr>
      <w:r w:rsidRPr="00701CE7">
        <w:rPr>
          <w:b/>
        </w:rPr>
        <w:t>Decided on:</w:t>
      </w:r>
      <w:r w:rsidRPr="0025197F">
        <w:tab/>
      </w:r>
      <w:r w:rsidR="00DE21D0">
        <w:t>28</w:t>
      </w:r>
      <w:r w:rsidR="004D133F">
        <w:t xml:space="preserve"> September 2018</w:t>
      </w:r>
    </w:p>
    <w:p w:rsidR="004110F6" w:rsidRPr="003A0030" w:rsidRDefault="004110F6" w:rsidP="003A18CF">
      <w:pPr>
        <w:spacing w:line="240" w:lineRule="auto"/>
      </w:pPr>
    </w:p>
    <w:p w:rsidR="004D02BA" w:rsidRPr="0053208D" w:rsidRDefault="004D02BA" w:rsidP="004D02BA">
      <w:pPr>
        <w:spacing w:line="240" w:lineRule="auto"/>
        <w:ind w:left="2160" w:hanging="2160"/>
      </w:pPr>
      <w:r w:rsidRPr="00754F03">
        <w:rPr>
          <w:b/>
        </w:rPr>
        <w:t>Summary:</w:t>
      </w:r>
      <w:r w:rsidRPr="00754F03">
        <w:rPr>
          <w:b/>
        </w:rPr>
        <w:tab/>
      </w:r>
      <w:r w:rsidR="00B93C9E">
        <w:t>Competition Act 89 of 1998</w:t>
      </w:r>
      <w:r w:rsidRPr="0053208D">
        <w:t xml:space="preserve"> </w:t>
      </w:r>
      <w:r w:rsidR="006724E0" w:rsidRPr="0053208D">
        <w:t>—</w:t>
      </w:r>
      <w:r w:rsidRPr="0053208D">
        <w:t xml:space="preserve"> </w:t>
      </w:r>
      <w:r w:rsidR="00B93C9E">
        <w:t>notifiable merger</w:t>
      </w:r>
      <w:r w:rsidRPr="0053208D">
        <w:t xml:space="preserve"> </w:t>
      </w:r>
      <w:r w:rsidR="006724E0" w:rsidRPr="0053208D">
        <w:t>—</w:t>
      </w:r>
      <w:r w:rsidRPr="0053208D">
        <w:t xml:space="preserve"> </w:t>
      </w:r>
      <w:r w:rsidR="00B93C9E">
        <w:t>Competition</w:t>
      </w:r>
      <w:r w:rsidR="00FA0E73">
        <w:t> </w:t>
      </w:r>
      <w:r w:rsidR="00B93C9E">
        <w:t>Commission</w:t>
      </w:r>
      <w:r w:rsidRPr="0053208D">
        <w:t xml:space="preserve"> </w:t>
      </w:r>
      <w:r w:rsidR="006724E0" w:rsidRPr="0053208D">
        <w:t>—</w:t>
      </w:r>
      <w:r w:rsidRPr="0053208D">
        <w:t xml:space="preserve"> </w:t>
      </w:r>
      <w:r w:rsidR="00B93C9E">
        <w:t xml:space="preserve">investigatory powers </w:t>
      </w:r>
      <w:r w:rsidR="00B93C9E" w:rsidRPr="0053208D">
        <w:t>—</w:t>
      </w:r>
      <w:r w:rsidR="00B93C9E">
        <w:t xml:space="preserve"> Part B of Chapter 5 of the Competition Act</w:t>
      </w:r>
    </w:p>
    <w:p w:rsidR="004D02BA" w:rsidRPr="003A0030" w:rsidRDefault="004D02BA" w:rsidP="004D02BA">
      <w:pPr>
        <w:spacing w:line="240" w:lineRule="auto"/>
        <w:ind w:left="2160" w:hanging="2160"/>
      </w:pPr>
    </w:p>
    <w:p w:rsidR="004D02BA" w:rsidRPr="006B4A21" w:rsidRDefault="00B93C9E" w:rsidP="004D02BA">
      <w:pPr>
        <w:spacing w:line="240" w:lineRule="auto"/>
        <w:ind w:left="2160"/>
      </w:pPr>
      <w:r>
        <w:t>South African Broadcasting Corporation</w:t>
      </w:r>
      <w:r w:rsidR="004D02BA" w:rsidRPr="0053208D">
        <w:t xml:space="preserve"> </w:t>
      </w:r>
      <w:r w:rsidR="006724E0" w:rsidRPr="0053208D">
        <w:t>—</w:t>
      </w:r>
      <w:r w:rsidR="004D02BA" w:rsidRPr="0053208D">
        <w:t xml:space="preserve"> </w:t>
      </w:r>
      <w:r>
        <w:t>Competition Tribunal</w:t>
      </w:r>
      <w:r w:rsidR="004D02BA" w:rsidRPr="0053208D">
        <w:t xml:space="preserve"> </w:t>
      </w:r>
      <w:r w:rsidR="006724E0" w:rsidRPr="0053208D">
        <w:t>—</w:t>
      </w:r>
      <w:r w:rsidR="004D02BA" w:rsidRPr="0053208D">
        <w:t xml:space="preserve"> </w:t>
      </w:r>
      <w:r>
        <w:t>interpretation of court orders</w:t>
      </w:r>
      <w:r w:rsidR="004D02BA" w:rsidRPr="0053208D">
        <w:t xml:space="preserve"> </w:t>
      </w:r>
      <w:r w:rsidR="006724E0" w:rsidRPr="0053208D">
        <w:t>—</w:t>
      </w:r>
      <w:r w:rsidR="004D02BA" w:rsidRPr="0053208D">
        <w:t xml:space="preserve"> </w:t>
      </w:r>
      <w:r>
        <w:t>admission of new evidence on appeal</w:t>
      </w:r>
    </w:p>
    <w:p w:rsidR="004D02BA" w:rsidRPr="0053208D" w:rsidRDefault="004D02BA" w:rsidP="004D02BA">
      <w:pPr>
        <w:spacing w:line="240" w:lineRule="auto"/>
      </w:pPr>
    </w:p>
    <w:p w:rsidR="005E05E6" w:rsidRDefault="005E05E6" w:rsidP="004D02BA">
      <w:pPr>
        <w:spacing w:line="240" w:lineRule="auto"/>
        <w:sectPr w:rsidR="005E05E6" w:rsidSect="009559B5">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pgNumType w:start="1"/>
          <w:cols w:space="708"/>
          <w:titlePg/>
          <w:docGrid w:linePitch="360"/>
        </w:sectPr>
      </w:pPr>
    </w:p>
    <w:p w:rsidR="004D02BA" w:rsidRPr="003A0030" w:rsidRDefault="004D02BA" w:rsidP="004D02BA">
      <w:pPr>
        <w:spacing w:line="240" w:lineRule="auto"/>
      </w:pPr>
    </w:p>
    <w:p w:rsidR="004D02BA" w:rsidRPr="00754F03" w:rsidRDefault="004D02BA" w:rsidP="004D02BA">
      <w:pPr>
        <w:spacing w:line="240" w:lineRule="auto"/>
      </w:pPr>
    </w:p>
    <w:p w:rsidR="003A18CF" w:rsidRPr="00081822" w:rsidRDefault="003A18CF" w:rsidP="003A18CF">
      <w:pPr>
        <w:keepNext/>
        <w:pBdr>
          <w:top w:val="single" w:sz="4" w:space="1" w:color="auto"/>
          <w:bottom w:val="single" w:sz="4" w:space="1" w:color="auto"/>
        </w:pBdr>
        <w:spacing w:line="240" w:lineRule="auto"/>
        <w:jc w:val="center"/>
      </w:pPr>
    </w:p>
    <w:p w:rsidR="003A18CF" w:rsidRPr="00F71E88" w:rsidRDefault="003A18CF" w:rsidP="003A18CF">
      <w:pPr>
        <w:keepNext/>
        <w:pBdr>
          <w:top w:val="single" w:sz="4" w:space="1" w:color="auto"/>
          <w:bottom w:val="single" w:sz="4" w:space="1" w:color="auto"/>
        </w:pBdr>
        <w:spacing w:line="240" w:lineRule="auto"/>
        <w:jc w:val="center"/>
        <w:outlineLvl w:val="0"/>
        <w:rPr>
          <w:b/>
        </w:rPr>
      </w:pPr>
      <w:r w:rsidRPr="00081822">
        <w:rPr>
          <w:b/>
        </w:rPr>
        <w:t>ORDER</w:t>
      </w:r>
    </w:p>
    <w:p w:rsidR="003A18CF" w:rsidRPr="00701CE7" w:rsidRDefault="003A18CF" w:rsidP="003A18CF">
      <w:pPr>
        <w:pBdr>
          <w:top w:val="single" w:sz="4" w:space="1" w:color="auto"/>
          <w:bottom w:val="single" w:sz="4" w:space="1" w:color="auto"/>
        </w:pBdr>
        <w:spacing w:line="240" w:lineRule="auto"/>
        <w:jc w:val="center"/>
      </w:pPr>
    </w:p>
    <w:p w:rsidR="003A18CF" w:rsidRPr="00701CE7" w:rsidRDefault="003A18CF" w:rsidP="00764890">
      <w:pPr>
        <w:spacing w:line="240" w:lineRule="auto"/>
      </w:pPr>
    </w:p>
    <w:p w:rsidR="003A18CF" w:rsidRPr="0025197F" w:rsidRDefault="003A18CF" w:rsidP="00764890">
      <w:pPr>
        <w:spacing w:line="240" w:lineRule="auto"/>
      </w:pPr>
    </w:p>
    <w:p w:rsidR="00462D69" w:rsidRDefault="003A18CF" w:rsidP="00F154E7">
      <w:pPr>
        <w:pStyle w:val="JUDGMENTNUMBERED"/>
        <w:numPr>
          <w:ilvl w:val="0"/>
          <w:numId w:val="0"/>
        </w:numPr>
      </w:pPr>
      <w:r w:rsidRPr="006B4A21">
        <w:t>On appeal</w:t>
      </w:r>
      <w:r w:rsidR="00F45DC4" w:rsidRPr="006B4A21">
        <w:t xml:space="preserve"> from </w:t>
      </w:r>
      <w:r w:rsidR="0007181D" w:rsidRPr="006B4A21">
        <w:t xml:space="preserve">the Competition Appeal </w:t>
      </w:r>
      <w:r w:rsidR="00C766FD" w:rsidRPr="006B4A21">
        <w:t>Court</w:t>
      </w:r>
      <w:r w:rsidRPr="0053208D">
        <w:t>:</w:t>
      </w:r>
    </w:p>
    <w:p w:rsidR="00C10E45" w:rsidRPr="00F154E7" w:rsidRDefault="006970A9" w:rsidP="006970A9">
      <w:pPr>
        <w:pStyle w:val="ORDER"/>
      </w:pPr>
      <w:r w:rsidRPr="00F154E7">
        <w:t>1.</w:t>
      </w:r>
      <w:r w:rsidRPr="00F154E7">
        <w:tab/>
      </w:r>
      <w:r w:rsidR="00C10E45">
        <w:t xml:space="preserve">Leave to appeal </w:t>
      </w:r>
      <w:r w:rsidR="00C10E45" w:rsidRPr="000724BC">
        <w:rPr>
          <w:noProof/>
        </w:rPr>
        <w:t>is granted</w:t>
      </w:r>
      <w:r w:rsidR="00C10E45">
        <w:t>.</w:t>
      </w:r>
    </w:p>
    <w:p w:rsidR="00C10E45" w:rsidRPr="00F154E7" w:rsidRDefault="006970A9" w:rsidP="006970A9">
      <w:pPr>
        <w:pStyle w:val="ORDER"/>
      </w:pPr>
      <w:r w:rsidRPr="00F154E7">
        <w:t>2.</w:t>
      </w:r>
      <w:r w:rsidRPr="00F154E7">
        <w:tab/>
      </w:r>
      <w:r w:rsidR="00C10E45" w:rsidRPr="00256FC3">
        <w:rPr>
          <w:iCs/>
        </w:rPr>
        <w:t xml:space="preserve">The appeal </w:t>
      </w:r>
      <w:r w:rsidR="00C10E45" w:rsidRPr="000724BC">
        <w:rPr>
          <w:iCs/>
          <w:noProof/>
        </w:rPr>
        <w:t>is upheld</w:t>
      </w:r>
      <w:r w:rsidR="00C10E45" w:rsidRPr="00256FC3">
        <w:rPr>
          <w:iCs/>
        </w:rPr>
        <w:t>, and the C</w:t>
      </w:r>
      <w:r w:rsidR="00C10E45">
        <w:rPr>
          <w:iCs/>
        </w:rPr>
        <w:t xml:space="preserve">ompetition </w:t>
      </w:r>
      <w:r w:rsidR="00C10E45" w:rsidRPr="00256FC3">
        <w:rPr>
          <w:iCs/>
        </w:rPr>
        <w:t>A</w:t>
      </w:r>
      <w:r w:rsidR="00C10E45">
        <w:rPr>
          <w:iCs/>
        </w:rPr>
        <w:t xml:space="preserve">ppeal </w:t>
      </w:r>
      <w:r w:rsidR="00C10E45" w:rsidRPr="00256FC3">
        <w:rPr>
          <w:iCs/>
        </w:rPr>
        <w:t>C</w:t>
      </w:r>
      <w:r w:rsidR="00C10E45">
        <w:rPr>
          <w:iCs/>
        </w:rPr>
        <w:t>ourt</w:t>
      </w:r>
      <w:r w:rsidR="00C10E45" w:rsidRPr="00256FC3">
        <w:rPr>
          <w:iCs/>
        </w:rPr>
        <w:t>’s order of 28</w:t>
      </w:r>
      <w:r w:rsidR="00495691">
        <w:rPr>
          <w:iCs/>
        </w:rPr>
        <w:t> </w:t>
      </w:r>
      <w:r w:rsidR="00C10E45" w:rsidRPr="00256FC3">
        <w:rPr>
          <w:iCs/>
        </w:rPr>
        <w:t>April</w:t>
      </w:r>
      <w:r w:rsidR="00495691">
        <w:rPr>
          <w:iCs/>
        </w:rPr>
        <w:t> </w:t>
      </w:r>
      <w:r w:rsidR="00C10E45" w:rsidRPr="00256FC3">
        <w:rPr>
          <w:iCs/>
        </w:rPr>
        <w:t xml:space="preserve">2017 </w:t>
      </w:r>
      <w:r w:rsidR="00C10E45" w:rsidRPr="00256FC3">
        <w:t>is set aside and replaced with the following:</w:t>
      </w:r>
    </w:p>
    <w:p w:rsidR="00C10E45" w:rsidRPr="00F91D8E" w:rsidRDefault="00C10E45" w:rsidP="00B32555">
      <w:pPr>
        <w:pStyle w:val="ORDER"/>
        <w:ind w:left="2160"/>
        <w:rPr>
          <w:szCs w:val="26"/>
        </w:rPr>
      </w:pPr>
      <w:r w:rsidRPr="00F91D8E">
        <w:rPr>
          <w:szCs w:val="26"/>
        </w:rPr>
        <w:t>(a)</w:t>
      </w:r>
      <w:r w:rsidR="00CE0894" w:rsidRPr="00F91D8E">
        <w:rPr>
          <w:szCs w:val="26"/>
        </w:rPr>
        <w:tab/>
      </w:r>
      <w:r w:rsidRPr="00F91D8E">
        <w:rPr>
          <w:noProof/>
          <w:szCs w:val="26"/>
        </w:rPr>
        <w:t>It is declared that the order handed down by the Competition Appeal Court on 24 June 2016</w:t>
      </w:r>
      <w:r w:rsidR="00595D09" w:rsidRPr="00F91D8E">
        <w:rPr>
          <w:noProof/>
          <w:szCs w:val="26"/>
        </w:rPr>
        <w:t xml:space="preserve"> </w:t>
      </w:r>
      <w:r w:rsidRPr="00F91D8E">
        <w:rPr>
          <w:noProof/>
          <w:szCs w:val="26"/>
        </w:rPr>
        <w:t>does not preclude the Competition</w:t>
      </w:r>
      <w:r w:rsidR="00FA0E73">
        <w:rPr>
          <w:noProof/>
          <w:szCs w:val="26"/>
        </w:rPr>
        <w:t> </w:t>
      </w:r>
      <w:r w:rsidRPr="00F91D8E">
        <w:rPr>
          <w:noProof/>
          <w:szCs w:val="26"/>
        </w:rPr>
        <w:t>Commission from exercising its non-coercive and coercive investigative powers in terms of Part B of Chapter 5 of the Competition Act 89 of 1998 for purposes of discharging its obligations under paragraph 3 of the June 2016 order.</w:t>
      </w:r>
    </w:p>
    <w:p w:rsidR="00C10E45" w:rsidRPr="00F91D8E" w:rsidRDefault="00C10E45" w:rsidP="00B32555">
      <w:pPr>
        <w:pStyle w:val="ORDER"/>
        <w:ind w:left="2160"/>
        <w:rPr>
          <w:szCs w:val="26"/>
        </w:rPr>
      </w:pPr>
      <w:r w:rsidRPr="00F91D8E">
        <w:rPr>
          <w:szCs w:val="26"/>
        </w:rPr>
        <w:t>(b)</w:t>
      </w:r>
      <w:r w:rsidR="005915ED" w:rsidRPr="00F91D8E">
        <w:rPr>
          <w:szCs w:val="26"/>
        </w:rPr>
        <w:tab/>
      </w:r>
      <w:r w:rsidRPr="00F91D8E">
        <w:rPr>
          <w:szCs w:val="26"/>
        </w:rPr>
        <w:t>The Competition Commission is directed to file its report with the Competition Tribunal, as contemplated in paragraph 3 of the June 2016 order, within 30 court days of this order.</w:t>
      </w:r>
    </w:p>
    <w:p w:rsidR="00C10E45" w:rsidRPr="00F91D8E" w:rsidRDefault="00C10E45" w:rsidP="00B32555">
      <w:pPr>
        <w:pStyle w:val="ORDER"/>
        <w:ind w:left="2160"/>
        <w:rPr>
          <w:szCs w:val="26"/>
        </w:rPr>
      </w:pPr>
      <w:r w:rsidRPr="00F91D8E">
        <w:rPr>
          <w:szCs w:val="26"/>
        </w:rPr>
        <w:t>(c)</w:t>
      </w:r>
      <w:r w:rsidR="005915ED" w:rsidRPr="00F91D8E">
        <w:rPr>
          <w:szCs w:val="26"/>
        </w:rPr>
        <w:tab/>
      </w:r>
      <w:r w:rsidRPr="00F91D8E">
        <w:rPr>
          <w:szCs w:val="26"/>
        </w:rPr>
        <w:t xml:space="preserve">The </w:t>
      </w:r>
      <w:r w:rsidR="00FA0E73">
        <w:rPr>
          <w:szCs w:val="26"/>
        </w:rPr>
        <w:t>f</w:t>
      </w:r>
      <w:r w:rsidRPr="00F91D8E">
        <w:rPr>
          <w:szCs w:val="26"/>
        </w:rPr>
        <w:t xml:space="preserve">irst and </w:t>
      </w:r>
      <w:r w:rsidR="00FA0E73">
        <w:rPr>
          <w:szCs w:val="26"/>
        </w:rPr>
        <w:t>s</w:t>
      </w:r>
      <w:r w:rsidRPr="00F91D8E">
        <w:rPr>
          <w:szCs w:val="26"/>
        </w:rPr>
        <w:t xml:space="preserve">econd </w:t>
      </w:r>
      <w:r w:rsidR="00FA0E73">
        <w:rPr>
          <w:szCs w:val="26"/>
        </w:rPr>
        <w:t>r</w:t>
      </w:r>
      <w:r w:rsidRPr="00F91D8E">
        <w:rPr>
          <w:szCs w:val="26"/>
        </w:rPr>
        <w:t xml:space="preserve">espondents are ordered jointly and severally to pay the costs of the application, including the </w:t>
      </w:r>
      <w:r w:rsidRPr="00F91D8E">
        <w:rPr>
          <w:noProof/>
          <w:szCs w:val="26"/>
        </w:rPr>
        <w:t>costs</w:t>
      </w:r>
      <w:r w:rsidRPr="00F91D8E">
        <w:rPr>
          <w:szCs w:val="26"/>
        </w:rPr>
        <w:t xml:space="preserve"> of two counsel.</w:t>
      </w:r>
    </w:p>
    <w:p w:rsidR="00C10E45" w:rsidRPr="00F154E7" w:rsidRDefault="006970A9" w:rsidP="006970A9">
      <w:pPr>
        <w:pStyle w:val="ORDER"/>
      </w:pPr>
      <w:r w:rsidRPr="00F154E7">
        <w:t>3.</w:t>
      </w:r>
      <w:r w:rsidRPr="00F154E7">
        <w:tab/>
      </w:r>
      <w:r w:rsidR="00C10E45">
        <w:t xml:space="preserve">The appeal against the order of </w:t>
      </w:r>
      <w:r w:rsidR="00B76AAA">
        <w:t xml:space="preserve">the </w:t>
      </w:r>
      <w:r w:rsidR="00C10E45">
        <w:t>C</w:t>
      </w:r>
      <w:r w:rsidR="005915ED">
        <w:t>ompetition Appeal Court</w:t>
      </w:r>
      <w:r w:rsidR="00C10E45">
        <w:t xml:space="preserve"> dismissing the applicants’ application to adduce new evidence is dismissed with no order as to costs.</w:t>
      </w:r>
    </w:p>
    <w:p w:rsidR="00C10E45" w:rsidRPr="00F154E7" w:rsidRDefault="006970A9" w:rsidP="006970A9">
      <w:pPr>
        <w:pStyle w:val="ORDER"/>
      </w:pPr>
      <w:r w:rsidRPr="00F154E7">
        <w:lastRenderedPageBreak/>
        <w:t>4.</w:t>
      </w:r>
      <w:r w:rsidRPr="00F154E7">
        <w:tab/>
      </w:r>
      <w:r w:rsidR="00C10E45">
        <w:t xml:space="preserve">The </w:t>
      </w:r>
      <w:r w:rsidR="004F4587">
        <w:t>a</w:t>
      </w:r>
      <w:r w:rsidR="00C10E45">
        <w:t xml:space="preserve">pplicants’ application to adduce new evidence on appeal </w:t>
      </w:r>
      <w:r w:rsidR="00C10E45" w:rsidRPr="000724BC">
        <w:t>is dismissed</w:t>
      </w:r>
      <w:r w:rsidR="00C10E45">
        <w:t xml:space="preserve"> with no order as to costs.</w:t>
      </w:r>
    </w:p>
    <w:p w:rsidR="00C10E45" w:rsidRPr="00C10E45" w:rsidRDefault="006970A9" w:rsidP="006970A9">
      <w:pPr>
        <w:pStyle w:val="ORDER"/>
      </w:pPr>
      <w:r w:rsidRPr="00C10E45">
        <w:t>5.</w:t>
      </w:r>
      <w:r w:rsidRPr="00C10E45">
        <w:tab/>
      </w:r>
      <w:r w:rsidR="00C10E45" w:rsidRPr="00C10E45">
        <w:t xml:space="preserve">The </w:t>
      </w:r>
      <w:r w:rsidR="005915ED">
        <w:t xml:space="preserve">Competition </w:t>
      </w:r>
      <w:r w:rsidR="00C10E45" w:rsidRPr="00C10E45">
        <w:t>Commission’s application to adduce new evidence on appeal is dismissed with no</w:t>
      </w:r>
      <w:r w:rsidR="00C10E45" w:rsidRPr="00C10E45">
        <w:rPr>
          <w:noProof/>
        </w:rPr>
        <w:t xml:space="preserve"> order as to costs.</w:t>
      </w:r>
    </w:p>
    <w:p w:rsidR="003A18CF" w:rsidRPr="003A0030" w:rsidRDefault="00F44521" w:rsidP="00F154E7">
      <w:pPr>
        <w:pStyle w:val="ORDER"/>
      </w:pPr>
      <w:r w:rsidRPr="0053208D">
        <w:tab/>
      </w:r>
    </w:p>
    <w:p w:rsidR="00CB0CB2" w:rsidRPr="006B4A21" w:rsidRDefault="00CB0CB2" w:rsidP="000C38CF">
      <w:pPr>
        <w:pStyle w:val="JUDGMENTCONTINUED"/>
        <w:sectPr w:rsidR="00CB0CB2" w:rsidRPr="006B4A21" w:rsidSect="005E05E6">
          <w:footerReference w:type="default" r:id="rId14"/>
          <w:type w:val="continuous"/>
          <w:pgSz w:w="11907" w:h="16839" w:code="9"/>
          <w:pgMar w:top="1440" w:right="1440" w:bottom="1440" w:left="1440" w:header="708" w:footer="708" w:gutter="0"/>
          <w:pgNumType w:start="2"/>
          <w:cols w:space="708"/>
          <w:titlePg/>
          <w:docGrid w:linePitch="360"/>
        </w:sectPr>
      </w:pPr>
    </w:p>
    <w:p w:rsidR="000704F2" w:rsidRPr="006B4A21" w:rsidRDefault="000704F2" w:rsidP="00F245CE">
      <w:pPr>
        <w:keepNext/>
        <w:pBdr>
          <w:top w:val="single" w:sz="4" w:space="1" w:color="auto"/>
          <w:bottom w:val="single" w:sz="4" w:space="1" w:color="auto"/>
        </w:pBdr>
        <w:spacing w:line="240" w:lineRule="auto"/>
        <w:jc w:val="center"/>
      </w:pPr>
    </w:p>
    <w:p w:rsidR="00E4607C" w:rsidRPr="006B4A21" w:rsidRDefault="000704F2" w:rsidP="00F245CE">
      <w:pPr>
        <w:keepNext/>
        <w:pBdr>
          <w:top w:val="single" w:sz="4" w:space="1" w:color="auto"/>
          <w:bottom w:val="single" w:sz="4" w:space="1" w:color="auto"/>
        </w:pBdr>
        <w:spacing w:line="240" w:lineRule="auto"/>
        <w:jc w:val="center"/>
        <w:outlineLvl w:val="0"/>
        <w:rPr>
          <w:b/>
        </w:rPr>
      </w:pPr>
      <w:r w:rsidRPr="006B4A21">
        <w:rPr>
          <w:b/>
        </w:rPr>
        <w:t>JUDGMENT</w:t>
      </w:r>
    </w:p>
    <w:p w:rsidR="000704F2" w:rsidRPr="006B4A21" w:rsidRDefault="000704F2" w:rsidP="000704F2">
      <w:pPr>
        <w:pBdr>
          <w:top w:val="single" w:sz="4" w:space="1" w:color="auto"/>
          <w:bottom w:val="single" w:sz="4" w:space="1" w:color="auto"/>
        </w:pBdr>
        <w:spacing w:line="240" w:lineRule="auto"/>
        <w:jc w:val="center"/>
      </w:pPr>
    </w:p>
    <w:p w:rsidR="006E3711" w:rsidRDefault="006E3711" w:rsidP="00B32555">
      <w:pPr>
        <w:spacing w:line="240" w:lineRule="auto"/>
      </w:pPr>
    </w:p>
    <w:p w:rsidR="00B32555" w:rsidRPr="006B4A21" w:rsidRDefault="00B32555" w:rsidP="00B32555">
      <w:pPr>
        <w:spacing w:line="240" w:lineRule="auto"/>
      </w:pPr>
    </w:p>
    <w:p w:rsidR="00AE7602" w:rsidRPr="006B4A21" w:rsidRDefault="00D73C9D" w:rsidP="00B32555">
      <w:pPr>
        <w:pStyle w:val="BODYNON-NUMBERED"/>
        <w:spacing w:after="0" w:line="240" w:lineRule="auto"/>
        <w:rPr>
          <w:szCs w:val="26"/>
        </w:rPr>
      </w:pPr>
      <w:r w:rsidRPr="006B4A21">
        <w:t xml:space="preserve">KATHREE-SETILOANE </w:t>
      </w:r>
      <w:r w:rsidR="00CE0894">
        <w:t>A</w:t>
      </w:r>
      <w:r w:rsidR="00023447">
        <w:t>J</w:t>
      </w:r>
      <w:r w:rsidR="00AE7602" w:rsidRPr="006B4A21">
        <w:t>:</w:t>
      </w:r>
    </w:p>
    <w:p w:rsidR="0046599A" w:rsidRDefault="0046599A" w:rsidP="00B32555">
      <w:pPr>
        <w:pStyle w:val="JUDGMENTCONTINUED"/>
        <w:spacing w:line="240" w:lineRule="auto"/>
      </w:pPr>
    </w:p>
    <w:p w:rsidR="00B32555" w:rsidRPr="00B32555" w:rsidRDefault="00B32555" w:rsidP="00B32555">
      <w:pPr>
        <w:pStyle w:val="JUDGMENTNUMBERED"/>
        <w:numPr>
          <w:ilvl w:val="0"/>
          <w:numId w:val="0"/>
        </w:numPr>
      </w:pPr>
    </w:p>
    <w:p w:rsidR="00A7106F"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[1]</w:t>
      </w:r>
      <w:r>
        <w:rPr>
          <w:color w:val="000000"/>
          <w14:scene3d>
            <w14:camera w14:prst="orthographicFront"/>
            <w14:lightRig w14:rig="threePt" w14:dir="t">
              <w14:rot w14:lat="0" w14:lon="0" w14:rev="0"/>
            </w14:lightRig>
          </w14:scene3d>
        </w:rPr>
        <w:tab/>
      </w:r>
      <w:r w:rsidR="00A7106F">
        <w:t>At issue is the interpretation the Competition Appeal Court</w:t>
      </w:r>
      <w:r w:rsidR="00E83FA6">
        <w:t xml:space="preserve"> </w:t>
      </w:r>
      <w:r w:rsidR="00A7106F">
        <w:t>gave on 28</w:t>
      </w:r>
      <w:r w:rsidR="00FA0E73">
        <w:t> </w:t>
      </w:r>
      <w:r w:rsidR="00A7106F">
        <w:t>April</w:t>
      </w:r>
      <w:r w:rsidR="00495691">
        <w:t> </w:t>
      </w:r>
      <w:r w:rsidR="00A7106F">
        <w:t>2017 to its own order of 24 June 2016 concerning the powers of the Competition Commission</w:t>
      </w:r>
      <w:r w:rsidR="00A66FC6">
        <w:t xml:space="preserve"> (Commission)</w:t>
      </w:r>
      <w:r w:rsidR="00A7106F">
        <w:t xml:space="preserve">.  Behind that issue lies the question of the Commission’s powers in a matter of considerable public importance, namely a controversial </w:t>
      </w:r>
      <w:r w:rsidR="00C708BA">
        <w:t xml:space="preserve">agreement </w:t>
      </w:r>
      <w:r w:rsidR="00A7106F">
        <w:t>between the public broadcaster, the S</w:t>
      </w:r>
      <w:r w:rsidR="00E83FA6">
        <w:t>outh African Broadcasting Corporation (S</w:t>
      </w:r>
      <w:r w:rsidR="00A7106F">
        <w:t>ABC</w:t>
      </w:r>
      <w:r w:rsidR="00E83FA6">
        <w:t>)</w:t>
      </w:r>
      <w:r w:rsidR="00A7106F">
        <w:t xml:space="preserve">, and </w:t>
      </w:r>
      <w:proofErr w:type="spellStart"/>
      <w:r w:rsidR="00E83FA6" w:rsidRPr="00BE1CB9">
        <w:t>MultiChoice</w:t>
      </w:r>
      <w:proofErr w:type="spellEnd"/>
      <w:r w:rsidR="00E83FA6" w:rsidRPr="00BE1CB9">
        <w:t xml:space="preserve"> (P</w:t>
      </w:r>
      <w:r w:rsidR="00F154E7">
        <w:t>ty</w:t>
      </w:r>
      <w:r w:rsidR="00E83FA6" w:rsidRPr="00BE1CB9">
        <w:t>) Limited (</w:t>
      </w:r>
      <w:proofErr w:type="spellStart"/>
      <w:r w:rsidR="00E83FA6" w:rsidRPr="00BE1CB9">
        <w:t>MultiChoice</w:t>
      </w:r>
      <w:proofErr w:type="spellEnd"/>
      <w:r w:rsidR="00E83FA6" w:rsidRPr="00BE1CB9">
        <w:t>)</w:t>
      </w:r>
      <w:r w:rsidR="00A7106F">
        <w:t>.</w:t>
      </w:r>
    </w:p>
    <w:p w:rsidR="00A7106F" w:rsidRPr="00A7106F" w:rsidRDefault="00A7106F" w:rsidP="002F7DAE">
      <w:pPr>
        <w:pStyle w:val="JUDGMENTCONTINUED"/>
      </w:pPr>
    </w:p>
    <w:p w:rsidR="00FE6D86" w:rsidRPr="00BE1CB9" w:rsidRDefault="006970A9" w:rsidP="006970A9">
      <w:pPr>
        <w:pStyle w:val="JUDGMENTNUMBERED"/>
        <w:numPr>
          <w:ilvl w:val="0"/>
          <w:numId w:val="0"/>
        </w:numPr>
        <w:rPr>
          <w:szCs w:val="26"/>
        </w:rPr>
      </w:pPr>
      <w:r w:rsidRPr="00BE1CB9">
        <w:rPr>
          <w:color w:val="000000"/>
          <w:szCs w:val="26"/>
          <w14:scene3d>
            <w14:camera w14:prst="orthographicFront"/>
            <w14:lightRig w14:rig="threePt" w14:dir="t">
              <w14:rot w14:lat="0" w14:lon="0" w14:rev="0"/>
            </w14:lightRig>
          </w14:scene3d>
        </w:rPr>
        <w:t>[2]</w:t>
      </w:r>
      <w:r w:rsidRPr="00BE1CB9">
        <w:rPr>
          <w:color w:val="000000"/>
          <w:szCs w:val="26"/>
          <w14:scene3d>
            <w14:camera w14:prst="orthographicFront"/>
            <w14:lightRig w14:rig="threePt" w14:dir="t">
              <w14:rot w14:lat="0" w14:lon="0" w14:rev="0"/>
            </w14:lightRig>
          </w14:scene3d>
        </w:rPr>
        <w:tab/>
      </w:r>
      <w:r w:rsidR="003F39E3">
        <w:rPr>
          <w:szCs w:val="26"/>
        </w:rPr>
        <w:t>T</w:t>
      </w:r>
      <w:r w:rsidR="00AA7006" w:rsidRPr="006B4A21">
        <w:rPr>
          <w:szCs w:val="26"/>
        </w:rPr>
        <w:t xml:space="preserve">he applicants </w:t>
      </w:r>
      <w:r w:rsidR="00AA7006" w:rsidRPr="0053208D">
        <w:rPr>
          <w:szCs w:val="26"/>
        </w:rPr>
        <w:sym w:font="Symbol" w:char="F02D"/>
      </w:r>
      <w:r w:rsidR="00AA7006" w:rsidRPr="0053208D">
        <w:rPr>
          <w:szCs w:val="26"/>
        </w:rPr>
        <w:t xml:space="preserve"> </w:t>
      </w:r>
      <w:r w:rsidR="00B34D6E" w:rsidRPr="0053208D">
        <w:rPr>
          <w:szCs w:val="26"/>
        </w:rPr>
        <w:t>S</w:t>
      </w:r>
      <w:r w:rsidR="00B22F1F">
        <w:rPr>
          <w:szCs w:val="26"/>
        </w:rPr>
        <w:t>.</w:t>
      </w:r>
      <w:r w:rsidR="009D1068" w:rsidRPr="0053208D">
        <w:rPr>
          <w:szCs w:val="26"/>
        </w:rPr>
        <w:t>O</w:t>
      </w:r>
      <w:r w:rsidR="00B22F1F">
        <w:rPr>
          <w:szCs w:val="26"/>
        </w:rPr>
        <w:t>.</w:t>
      </w:r>
      <w:r w:rsidR="009D1068" w:rsidRPr="0053208D">
        <w:rPr>
          <w:szCs w:val="26"/>
        </w:rPr>
        <w:t>S Support</w:t>
      </w:r>
      <w:r w:rsidR="00353A1B" w:rsidRPr="003A0030">
        <w:rPr>
          <w:szCs w:val="26"/>
        </w:rPr>
        <w:t xml:space="preserve"> Pu</w:t>
      </w:r>
      <w:r w:rsidR="00AF01B6" w:rsidRPr="00754F03">
        <w:rPr>
          <w:szCs w:val="26"/>
        </w:rPr>
        <w:t>blic Broadcasting Coalition (</w:t>
      </w:r>
      <w:r w:rsidR="00487DD0" w:rsidRPr="00081822">
        <w:rPr>
          <w:szCs w:val="26"/>
        </w:rPr>
        <w:t>S</w:t>
      </w:r>
      <w:r w:rsidR="00AA7006" w:rsidRPr="00081822">
        <w:rPr>
          <w:szCs w:val="26"/>
        </w:rPr>
        <w:t>OS</w:t>
      </w:r>
      <w:r w:rsidR="00D94011" w:rsidRPr="00F71E88">
        <w:rPr>
          <w:szCs w:val="26"/>
        </w:rPr>
        <w:t xml:space="preserve"> Coalition</w:t>
      </w:r>
      <w:r w:rsidR="00353A1B" w:rsidRPr="00BE1CB9">
        <w:rPr>
          <w:szCs w:val="26"/>
        </w:rPr>
        <w:t>),</w:t>
      </w:r>
      <w:r w:rsidR="00AA7006" w:rsidRPr="00BE1CB9">
        <w:rPr>
          <w:szCs w:val="26"/>
        </w:rPr>
        <w:t xml:space="preserve"> </w:t>
      </w:r>
      <w:r w:rsidR="00180A2D" w:rsidRPr="00BE1CB9">
        <w:rPr>
          <w:szCs w:val="26"/>
        </w:rPr>
        <w:t xml:space="preserve">Media Monitoring Project Benefit </w:t>
      </w:r>
      <w:r w:rsidR="00D2164C" w:rsidRPr="00BE1CB9">
        <w:rPr>
          <w:szCs w:val="26"/>
        </w:rPr>
        <w:t>Trust</w:t>
      </w:r>
      <w:r w:rsidR="004C3C40">
        <w:rPr>
          <w:szCs w:val="26"/>
        </w:rPr>
        <w:t xml:space="preserve"> (Media Monitoring Trust)</w:t>
      </w:r>
      <w:r w:rsidR="00AF01B6" w:rsidRPr="00BE1CB9">
        <w:rPr>
          <w:szCs w:val="26"/>
        </w:rPr>
        <w:t xml:space="preserve"> </w:t>
      </w:r>
      <w:r w:rsidR="00180A2D" w:rsidRPr="00BE1CB9">
        <w:rPr>
          <w:szCs w:val="26"/>
        </w:rPr>
        <w:t xml:space="preserve">and Caxton </w:t>
      </w:r>
      <w:r w:rsidR="00D2164C" w:rsidRPr="00BE1CB9">
        <w:rPr>
          <w:szCs w:val="26"/>
        </w:rPr>
        <w:t>and CTP Publishers and Printers Limited (Caxton)</w:t>
      </w:r>
      <w:r w:rsidR="00AA7006" w:rsidRPr="00BE1CB9">
        <w:rPr>
          <w:szCs w:val="26"/>
        </w:rPr>
        <w:t xml:space="preserve"> </w:t>
      </w:r>
      <w:r w:rsidR="00AA7006" w:rsidRPr="00BE1CB9">
        <w:rPr>
          <w:szCs w:val="26"/>
        </w:rPr>
        <w:sym w:font="Symbol" w:char="F02D"/>
      </w:r>
      <w:r w:rsidR="00AA7006" w:rsidRPr="00BE1CB9">
        <w:rPr>
          <w:szCs w:val="26"/>
        </w:rPr>
        <w:t xml:space="preserve"> </w:t>
      </w:r>
      <w:r w:rsidR="007E69CF" w:rsidRPr="00BE1CB9">
        <w:rPr>
          <w:szCs w:val="26"/>
        </w:rPr>
        <w:t xml:space="preserve">seek leave to appeal against the order of the </w:t>
      </w:r>
      <w:r w:rsidR="009078C9">
        <w:t>Competition Appeal Court</w:t>
      </w:r>
      <w:r w:rsidR="0046599A" w:rsidRPr="00BE1CB9">
        <w:rPr>
          <w:szCs w:val="26"/>
        </w:rPr>
        <w:t xml:space="preserve"> which was handed down on </w:t>
      </w:r>
      <w:r w:rsidR="006677FC" w:rsidRPr="00BE1CB9">
        <w:rPr>
          <w:szCs w:val="26"/>
        </w:rPr>
        <w:t>28 April 2017</w:t>
      </w:r>
      <w:r w:rsidR="003C08F7" w:rsidRPr="00BE1CB9">
        <w:rPr>
          <w:szCs w:val="26"/>
        </w:rPr>
        <w:t xml:space="preserve"> (April 2017 </w:t>
      </w:r>
      <w:r w:rsidR="00F75049">
        <w:rPr>
          <w:szCs w:val="26"/>
        </w:rPr>
        <w:t>o</w:t>
      </w:r>
      <w:r w:rsidR="003C08F7" w:rsidRPr="00BE1CB9">
        <w:rPr>
          <w:szCs w:val="26"/>
        </w:rPr>
        <w:t>rder)</w:t>
      </w:r>
      <w:r w:rsidR="006677FC" w:rsidRPr="00BE1CB9">
        <w:rPr>
          <w:szCs w:val="26"/>
        </w:rPr>
        <w:t>.</w:t>
      </w:r>
      <w:r w:rsidR="007E69CF" w:rsidRPr="00BE1CB9">
        <w:rPr>
          <w:szCs w:val="26"/>
        </w:rPr>
        <w:t xml:space="preserve"> </w:t>
      </w:r>
      <w:r w:rsidR="00C766FD">
        <w:rPr>
          <w:szCs w:val="26"/>
        </w:rPr>
        <w:t xml:space="preserve"> </w:t>
      </w:r>
      <w:r w:rsidR="006677FC" w:rsidRPr="00BE1CB9">
        <w:rPr>
          <w:szCs w:val="26"/>
        </w:rPr>
        <w:t xml:space="preserve">This order clarified the meaning of the </w:t>
      </w:r>
      <w:r w:rsidR="009078C9">
        <w:t>Competition Appeal Court</w:t>
      </w:r>
      <w:r w:rsidR="006677FC" w:rsidRPr="00BE1CB9">
        <w:rPr>
          <w:szCs w:val="26"/>
        </w:rPr>
        <w:t>’s</w:t>
      </w:r>
      <w:r w:rsidR="007E69CF" w:rsidRPr="00BE1CB9">
        <w:rPr>
          <w:szCs w:val="26"/>
        </w:rPr>
        <w:t xml:space="preserve"> earlier order of 24 Ju</w:t>
      </w:r>
      <w:r w:rsidR="00487DD0" w:rsidRPr="00BE1CB9">
        <w:rPr>
          <w:szCs w:val="26"/>
        </w:rPr>
        <w:t>ne 2016</w:t>
      </w:r>
      <w:r w:rsidR="006677FC" w:rsidRPr="00BE1CB9">
        <w:rPr>
          <w:szCs w:val="26"/>
        </w:rPr>
        <w:t xml:space="preserve"> </w:t>
      </w:r>
      <w:r w:rsidR="003C08F7" w:rsidRPr="00BE1CB9">
        <w:rPr>
          <w:szCs w:val="26"/>
        </w:rPr>
        <w:t>(June 201</w:t>
      </w:r>
      <w:r w:rsidR="00A7106F">
        <w:rPr>
          <w:szCs w:val="26"/>
        </w:rPr>
        <w:t>6</w:t>
      </w:r>
      <w:r w:rsidR="003C08F7" w:rsidRPr="00BE1CB9">
        <w:rPr>
          <w:szCs w:val="26"/>
        </w:rPr>
        <w:t xml:space="preserve"> order) </w:t>
      </w:r>
      <w:r w:rsidR="006677FC" w:rsidRPr="00BE1CB9">
        <w:rPr>
          <w:szCs w:val="26"/>
        </w:rPr>
        <w:t xml:space="preserve">which </w:t>
      </w:r>
      <w:r w:rsidR="00487DD0" w:rsidRPr="00BE1CB9">
        <w:rPr>
          <w:szCs w:val="26"/>
        </w:rPr>
        <w:t xml:space="preserve">set aside a </w:t>
      </w:r>
      <w:r w:rsidR="007E69CF" w:rsidRPr="00BE1CB9">
        <w:rPr>
          <w:szCs w:val="26"/>
        </w:rPr>
        <w:t>decision of the Competition Tribunal</w:t>
      </w:r>
      <w:r w:rsidR="005915ED">
        <w:rPr>
          <w:szCs w:val="26"/>
        </w:rPr>
        <w:t xml:space="preserve"> (Tribunal)</w:t>
      </w:r>
      <w:r w:rsidR="007E69CF" w:rsidRPr="00BE1CB9">
        <w:rPr>
          <w:szCs w:val="26"/>
        </w:rPr>
        <w:t xml:space="preserve"> that </w:t>
      </w:r>
      <w:r w:rsidR="005915ED">
        <w:rPr>
          <w:szCs w:val="26"/>
        </w:rPr>
        <w:t xml:space="preserve">the Commercial </w:t>
      </w:r>
      <w:r w:rsidR="00223C23">
        <w:rPr>
          <w:szCs w:val="26"/>
        </w:rPr>
        <w:t>and Master C</w:t>
      </w:r>
      <w:r w:rsidR="007E69CF" w:rsidRPr="00BE1CB9">
        <w:rPr>
          <w:szCs w:val="26"/>
        </w:rPr>
        <w:t xml:space="preserve">hannel </w:t>
      </w:r>
      <w:r w:rsidR="00223C23">
        <w:rPr>
          <w:szCs w:val="26"/>
        </w:rPr>
        <w:t>Distribution A</w:t>
      </w:r>
      <w:r w:rsidR="00C708BA">
        <w:rPr>
          <w:szCs w:val="26"/>
        </w:rPr>
        <w:t>greement</w:t>
      </w:r>
      <w:r w:rsidR="00223C23">
        <w:rPr>
          <w:szCs w:val="26"/>
        </w:rPr>
        <w:t xml:space="preserve"> (agreement)</w:t>
      </w:r>
      <w:r w:rsidR="00C708BA">
        <w:rPr>
          <w:szCs w:val="26"/>
        </w:rPr>
        <w:t xml:space="preserve"> </w:t>
      </w:r>
      <w:r w:rsidR="007E69CF" w:rsidRPr="00BE1CB9">
        <w:rPr>
          <w:szCs w:val="26"/>
        </w:rPr>
        <w:t xml:space="preserve">concluded between </w:t>
      </w:r>
      <w:r w:rsidR="00EE1B66">
        <w:rPr>
          <w:szCs w:val="26"/>
        </w:rPr>
        <w:t xml:space="preserve">the </w:t>
      </w:r>
      <w:r w:rsidR="00E83FA6">
        <w:rPr>
          <w:szCs w:val="26"/>
        </w:rPr>
        <w:t xml:space="preserve">SABC </w:t>
      </w:r>
      <w:r w:rsidR="007E69CF" w:rsidRPr="00BE1CB9">
        <w:rPr>
          <w:szCs w:val="26"/>
        </w:rPr>
        <w:t xml:space="preserve">and </w:t>
      </w:r>
      <w:proofErr w:type="spellStart"/>
      <w:r w:rsidR="007E69CF" w:rsidRPr="00BE1CB9">
        <w:rPr>
          <w:szCs w:val="26"/>
        </w:rPr>
        <w:t>MultiChoice</w:t>
      </w:r>
      <w:proofErr w:type="spellEnd"/>
      <w:r w:rsidR="00E4453E" w:rsidRPr="00BE1CB9">
        <w:rPr>
          <w:szCs w:val="26"/>
        </w:rPr>
        <w:t xml:space="preserve"> </w:t>
      </w:r>
      <w:r w:rsidR="007E69CF" w:rsidRPr="00BE1CB9">
        <w:rPr>
          <w:szCs w:val="26"/>
        </w:rPr>
        <w:t xml:space="preserve">on 3 July </w:t>
      </w:r>
      <w:r w:rsidR="006A0352" w:rsidRPr="00BE1CB9">
        <w:rPr>
          <w:szCs w:val="26"/>
        </w:rPr>
        <w:t xml:space="preserve">2013 </w:t>
      </w:r>
      <w:r w:rsidR="007E69CF" w:rsidRPr="00BE1CB9">
        <w:rPr>
          <w:szCs w:val="26"/>
        </w:rPr>
        <w:t>did not give rise to a notifiable merger.</w:t>
      </w:r>
    </w:p>
    <w:p w:rsidR="00D429CB" w:rsidRPr="00F84984" w:rsidRDefault="00D429CB" w:rsidP="003F39E3">
      <w:pPr>
        <w:pStyle w:val="JUDGMENTCONTINUED"/>
        <w:rPr>
          <w:szCs w:val="26"/>
        </w:rPr>
      </w:pPr>
    </w:p>
    <w:p w:rsidR="00D429CB" w:rsidRPr="00BE1CB9" w:rsidRDefault="006970A9" w:rsidP="006970A9">
      <w:pPr>
        <w:pStyle w:val="JUDGMENTNUMBERED"/>
        <w:numPr>
          <w:ilvl w:val="0"/>
          <w:numId w:val="0"/>
        </w:numPr>
        <w:rPr>
          <w:szCs w:val="26"/>
        </w:rPr>
      </w:pPr>
      <w:r w:rsidRPr="00BE1CB9">
        <w:rPr>
          <w:color w:val="000000"/>
          <w:szCs w:val="26"/>
          <w14:scene3d>
            <w14:camera w14:prst="orthographicFront"/>
            <w14:lightRig w14:rig="threePt" w14:dir="t">
              <w14:rot w14:lat="0" w14:lon="0" w14:rev="0"/>
            </w14:lightRig>
          </w14:scene3d>
        </w:rPr>
        <w:t>[3]</w:t>
      </w:r>
      <w:r w:rsidRPr="00BE1CB9">
        <w:rPr>
          <w:color w:val="000000"/>
          <w:szCs w:val="26"/>
          <w14:scene3d>
            <w14:camera w14:prst="orthographicFront"/>
            <w14:lightRig w14:rig="threePt" w14:dir="t">
              <w14:rot w14:lat="0" w14:lon="0" w14:rev="0"/>
            </w14:lightRig>
          </w14:scene3d>
        </w:rPr>
        <w:tab/>
      </w:r>
      <w:r w:rsidR="00223C23">
        <w:rPr>
          <w:szCs w:val="26"/>
        </w:rPr>
        <w:t xml:space="preserve">The </w:t>
      </w:r>
      <w:r w:rsidR="00D429CB" w:rsidRPr="00BE1CB9">
        <w:rPr>
          <w:szCs w:val="26"/>
        </w:rPr>
        <w:t xml:space="preserve">SABC and </w:t>
      </w:r>
      <w:proofErr w:type="spellStart"/>
      <w:r w:rsidR="00D429CB" w:rsidRPr="00BE1CB9">
        <w:rPr>
          <w:szCs w:val="26"/>
        </w:rPr>
        <w:t>MultiChoice</w:t>
      </w:r>
      <w:proofErr w:type="spellEnd"/>
      <w:r w:rsidR="00D429CB" w:rsidRPr="00BE1CB9">
        <w:rPr>
          <w:szCs w:val="26"/>
        </w:rPr>
        <w:t xml:space="preserve"> are the first and second respondents in the application for leave to appeal, respectively. </w:t>
      </w:r>
      <w:r w:rsidR="00D37164">
        <w:rPr>
          <w:szCs w:val="26"/>
        </w:rPr>
        <w:t xml:space="preserve"> </w:t>
      </w:r>
      <w:r w:rsidR="00F154E7">
        <w:rPr>
          <w:szCs w:val="26"/>
        </w:rPr>
        <w:t xml:space="preserve">The </w:t>
      </w:r>
      <w:r w:rsidR="00D429CB" w:rsidRPr="00BE1CB9">
        <w:rPr>
          <w:szCs w:val="26"/>
        </w:rPr>
        <w:t xml:space="preserve">SABC is the national public broadcaster in South Africa. </w:t>
      </w:r>
      <w:r w:rsidR="00C766FD">
        <w:rPr>
          <w:szCs w:val="26"/>
        </w:rPr>
        <w:t xml:space="preserve"> </w:t>
      </w:r>
      <w:proofErr w:type="spellStart"/>
      <w:r w:rsidR="00D429CB" w:rsidRPr="00BE1CB9">
        <w:rPr>
          <w:szCs w:val="26"/>
        </w:rPr>
        <w:t>MultiChoice</w:t>
      </w:r>
      <w:proofErr w:type="spellEnd"/>
      <w:r w:rsidR="00D429CB" w:rsidRPr="00BE1CB9">
        <w:rPr>
          <w:szCs w:val="26"/>
        </w:rPr>
        <w:t xml:space="preserve"> is the largest private television broadcast </w:t>
      </w:r>
      <w:r w:rsidR="00D429CB" w:rsidRPr="00BE1CB9">
        <w:rPr>
          <w:szCs w:val="26"/>
        </w:rPr>
        <w:lastRenderedPageBreak/>
        <w:t xml:space="preserve">company in South Africa. </w:t>
      </w:r>
      <w:r w:rsidR="00C766FD">
        <w:rPr>
          <w:szCs w:val="26"/>
        </w:rPr>
        <w:t xml:space="preserve"> </w:t>
      </w:r>
      <w:r w:rsidR="00D429CB" w:rsidRPr="00BE1CB9">
        <w:rPr>
          <w:szCs w:val="26"/>
        </w:rPr>
        <w:t xml:space="preserve">The </w:t>
      </w:r>
      <w:r w:rsidR="00F91D8E">
        <w:rPr>
          <w:szCs w:val="26"/>
        </w:rPr>
        <w:t>Commission</w:t>
      </w:r>
      <w:r w:rsidR="00D429CB" w:rsidRPr="00BE1CB9">
        <w:rPr>
          <w:szCs w:val="26"/>
        </w:rPr>
        <w:t xml:space="preserve">, a </w:t>
      </w:r>
      <w:r w:rsidR="00F75049">
        <w:rPr>
          <w:szCs w:val="26"/>
        </w:rPr>
        <w:t>regulatory</w:t>
      </w:r>
      <w:r w:rsidR="00D429CB" w:rsidRPr="00BE1CB9">
        <w:rPr>
          <w:szCs w:val="26"/>
        </w:rPr>
        <w:t xml:space="preserve"> body established in terms of section 19(1) of the Competition Act</w:t>
      </w:r>
      <w:r w:rsidR="00CE0894">
        <w:rPr>
          <w:szCs w:val="26"/>
        </w:rPr>
        <w:t>,</w:t>
      </w:r>
      <w:r w:rsidR="00D429CB" w:rsidRPr="00BE1CB9">
        <w:rPr>
          <w:rStyle w:val="FootnoteReference"/>
          <w:szCs w:val="26"/>
        </w:rPr>
        <w:footnoteReference w:id="1"/>
      </w:r>
      <w:r w:rsidR="00D429CB" w:rsidRPr="00BE1CB9">
        <w:rPr>
          <w:szCs w:val="26"/>
        </w:rPr>
        <w:t xml:space="preserve"> is the third respondent. </w:t>
      </w:r>
      <w:r w:rsidR="00C766FD">
        <w:rPr>
          <w:szCs w:val="26"/>
        </w:rPr>
        <w:t xml:space="preserve"> </w:t>
      </w:r>
      <w:r w:rsidR="00F154E7">
        <w:rPr>
          <w:szCs w:val="26"/>
        </w:rPr>
        <w:t>The Commission</w:t>
      </w:r>
      <w:r w:rsidR="00F154E7" w:rsidRPr="00BE1CB9">
        <w:rPr>
          <w:szCs w:val="26"/>
        </w:rPr>
        <w:t xml:space="preserve"> </w:t>
      </w:r>
      <w:r w:rsidR="00D429CB" w:rsidRPr="00BE1CB9">
        <w:rPr>
          <w:szCs w:val="26"/>
        </w:rPr>
        <w:t>supports the relief sought by the a</w:t>
      </w:r>
      <w:r w:rsidR="00C01A5D">
        <w:rPr>
          <w:szCs w:val="26"/>
        </w:rPr>
        <w:t>pplicants in this application.</w:t>
      </w:r>
    </w:p>
    <w:p w:rsidR="00FE6D86" w:rsidRPr="00BE1CB9" w:rsidRDefault="00FE6D86" w:rsidP="00C01A5D">
      <w:pPr>
        <w:pStyle w:val="JUDGMENTCONTINUED"/>
      </w:pPr>
    </w:p>
    <w:p w:rsidR="00D74645"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[4]</w:t>
      </w:r>
      <w:r>
        <w:rPr>
          <w:color w:val="000000"/>
          <w14:scene3d>
            <w14:camera w14:prst="orthographicFront"/>
            <w14:lightRig w14:rig="threePt" w14:dir="t">
              <w14:rot w14:lat="0" w14:lon="0" w14:rev="0"/>
            </w14:lightRig>
          </w14:scene3d>
        </w:rPr>
        <w:tab/>
      </w:r>
      <w:r w:rsidR="00FE6D86" w:rsidRPr="00F84984">
        <w:t xml:space="preserve">SOS </w:t>
      </w:r>
      <w:r w:rsidR="00C440FC">
        <w:t xml:space="preserve">Coalition </w:t>
      </w:r>
      <w:r w:rsidR="00FE6D86" w:rsidRPr="00F84984">
        <w:t xml:space="preserve">and </w:t>
      </w:r>
      <w:r w:rsidR="004C3C40">
        <w:t xml:space="preserve">Media Monitoring Trust </w:t>
      </w:r>
      <w:r w:rsidR="00FE6D86" w:rsidRPr="00F84984">
        <w:t xml:space="preserve">are </w:t>
      </w:r>
      <w:r w:rsidR="00C766FD" w:rsidRPr="00F84984">
        <w:t>no</w:t>
      </w:r>
      <w:r w:rsidR="00C766FD">
        <w:t>n</w:t>
      </w:r>
      <w:r w:rsidR="00C766FD" w:rsidRPr="00F84984">
        <w:t>-profit</w:t>
      </w:r>
      <w:r w:rsidR="00FE6D86" w:rsidRPr="00F84984">
        <w:t xml:space="preserve"> organisations that campaign for access to high quality public broadcasting that is in the public interest</w:t>
      </w:r>
      <w:r w:rsidR="003C08F7" w:rsidRPr="00F84984">
        <w:t xml:space="preserve">. </w:t>
      </w:r>
      <w:r w:rsidR="00D37164">
        <w:t xml:space="preserve"> </w:t>
      </w:r>
      <w:r w:rsidR="00D94011">
        <w:t>M</w:t>
      </w:r>
      <w:r w:rsidR="004C3C40">
        <w:t xml:space="preserve">edia Monitoring Trust </w:t>
      </w:r>
      <w:r w:rsidR="00D94011">
        <w:t>is a member of SOS Coalition</w:t>
      </w:r>
      <w:r w:rsidR="00C440FC">
        <w:t>, which represents a broad spectrum of civil society stakeholders</w:t>
      </w:r>
      <w:r w:rsidR="0018736C">
        <w:t xml:space="preserve"> </w:t>
      </w:r>
      <w:r w:rsidR="00C440FC">
        <w:t>committed to the broadcasting of quality, diverse, citizen-oriented public interest programming that is aligned with the objectives of the Constitution and the Electronic Communications Act.</w:t>
      </w:r>
      <w:r w:rsidR="00C440FC">
        <w:rPr>
          <w:rStyle w:val="FootnoteReference"/>
        </w:rPr>
        <w:footnoteReference w:id="2"/>
      </w:r>
    </w:p>
    <w:p w:rsidR="00BE1CB9" w:rsidRPr="00BE1CB9" w:rsidRDefault="00BE1CB9" w:rsidP="00C01A5D">
      <w:pPr>
        <w:pStyle w:val="JUDGMENTCONTINUED"/>
      </w:pPr>
    </w:p>
    <w:p w:rsidR="00D5735B"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[5]</w:t>
      </w:r>
      <w:r>
        <w:rPr>
          <w:color w:val="000000"/>
          <w14:scene3d>
            <w14:camera w14:prst="orthographicFront"/>
            <w14:lightRig w14:rig="threePt" w14:dir="t">
              <w14:rot w14:lat="0" w14:lon="0" w14:rev="0"/>
            </w14:lightRig>
          </w14:scene3d>
        </w:rPr>
        <w:tab/>
      </w:r>
      <w:r w:rsidR="003C08F7" w:rsidRPr="00F84984">
        <w:t xml:space="preserve">Their application for leave to appeal is supported by Caxton, a </w:t>
      </w:r>
      <w:r w:rsidR="00D429CB" w:rsidRPr="00F84984">
        <w:t>listed company</w:t>
      </w:r>
      <w:r w:rsidR="006A0400" w:rsidRPr="00F84984">
        <w:t xml:space="preserve"> which publishes and prints books, magazines and newspapers </w:t>
      </w:r>
      <w:r w:rsidR="003C08F7" w:rsidRPr="00F84984">
        <w:t>in South Africa.</w:t>
      </w:r>
      <w:r w:rsidR="00D52A14" w:rsidRPr="00F84984">
        <w:t xml:space="preserve"> </w:t>
      </w:r>
      <w:r w:rsidR="0018736C">
        <w:t xml:space="preserve"> </w:t>
      </w:r>
      <w:r w:rsidR="006A0400" w:rsidRPr="00F84984">
        <w:t>It is also involved in commercial printing and is exploring the potential expansion of its business into digital telev</w:t>
      </w:r>
      <w:r w:rsidR="006A0400" w:rsidRPr="0072772F">
        <w:t xml:space="preserve">ision and video content </w:t>
      </w:r>
      <w:r w:rsidR="00B31292" w:rsidRPr="00FF7E0B">
        <w:t>on</w:t>
      </w:r>
      <w:r w:rsidR="006A0400" w:rsidRPr="00FF7E0B">
        <w:t xml:space="preserve"> </w:t>
      </w:r>
      <w:r w:rsidR="00B31292" w:rsidRPr="00FF7E0B">
        <w:t>South Africa’s migration to digital terrestrial televis</w:t>
      </w:r>
      <w:r w:rsidR="0077454C" w:rsidRPr="00FF7E0B">
        <w:t>i</w:t>
      </w:r>
      <w:r w:rsidR="00B31292" w:rsidRPr="00FF7E0B">
        <w:t>on (DTT).</w:t>
      </w:r>
    </w:p>
    <w:p w:rsidR="0025197F" w:rsidRDefault="0025197F" w:rsidP="00A243FC">
      <w:pPr>
        <w:pStyle w:val="JUDGMENTCONTINUED"/>
      </w:pPr>
    </w:p>
    <w:p w:rsidR="0025197F" w:rsidRPr="00232A13" w:rsidRDefault="006970A9" w:rsidP="006970A9">
      <w:pPr>
        <w:pStyle w:val="JUDGMENTNUMBERED"/>
        <w:numPr>
          <w:ilvl w:val="0"/>
          <w:numId w:val="0"/>
        </w:numPr>
      </w:pPr>
      <w:r w:rsidRPr="00232A13">
        <w:rPr>
          <w:color w:val="000000"/>
          <w14:scene3d>
            <w14:camera w14:prst="orthographicFront"/>
            <w14:lightRig w14:rig="threePt" w14:dir="t">
              <w14:rot w14:lat="0" w14:lon="0" w14:rev="0"/>
            </w14:lightRig>
          </w14:scene3d>
        </w:rPr>
        <w:t>[6]</w:t>
      </w:r>
      <w:r w:rsidRPr="00232A13">
        <w:rPr>
          <w:color w:val="000000"/>
          <w14:scene3d>
            <w14:camera w14:prst="orthographicFront"/>
            <w14:lightRig w14:rig="threePt" w14:dir="t">
              <w14:rot w14:lat="0" w14:lon="0" w14:rev="0"/>
            </w14:lightRig>
          </w14:scene3d>
        </w:rPr>
        <w:tab/>
      </w:r>
      <w:r w:rsidR="00EE1B66" w:rsidRPr="00232A13">
        <w:t>This</w:t>
      </w:r>
      <w:r w:rsidR="0025197F" w:rsidRPr="00232A13">
        <w:t xml:space="preserve"> application arises in the context of a pending</w:t>
      </w:r>
      <w:r w:rsidR="00EE1B66" w:rsidRPr="00232A13">
        <w:t xml:space="preserve">, </w:t>
      </w:r>
      <w:r w:rsidR="0025197F" w:rsidRPr="00232A13">
        <w:rPr>
          <w:noProof/>
        </w:rPr>
        <w:t>court</w:t>
      </w:r>
      <w:r w:rsidR="00EE1B66" w:rsidRPr="00232A13">
        <w:rPr>
          <w:noProof/>
        </w:rPr>
        <w:t>-</w:t>
      </w:r>
      <w:r w:rsidR="0025197F" w:rsidRPr="00232A13">
        <w:rPr>
          <w:noProof/>
        </w:rPr>
        <w:t>sanctioned</w:t>
      </w:r>
      <w:r w:rsidR="00EE1B66" w:rsidRPr="00232A13">
        <w:rPr>
          <w:noProof/>
        </w:rPr>
        <w:t>,</w:t>
      </w:r>
      <w:r w:rsidR="0025197F" w:rsidRPr="00232A13">
        <w:t xml:space="preserve"> investigation by the Commission into whether the </w:t>
      </w:r>
      <w:r w:rsidR="00223C23">
        <w:t xml:space="preserve">agreement </w:t>
      </w:r>
      <w:r w:rsidR="0025197F" w:rsidRPr="00232A13">
        <w:t xml:space="preserve">constitutes a notifiable merger. </w:t>
      </w:r>
      <w:r w:rsidR="00D37164">
        <w:t xml:space="preserve"> </w:t>
      </w:r>
      <w:r w:rsidR="00223C23">
        <w:t>Although concluded on 3 July 2013, t</w:t>
      </w:r>
      <w:r w:rsidR="0025197F" w:rsidRPr="00232A13">
        <w:t xml:space="preserve">he </w:t>
      </w:r>
      <w:r w:rsidR="00C708BA">
        <w:t xml:space="preserve">agreement </w:t>
      </w:r>
      <w:r w:rsidR="0025197F" w:rsidRPr="00232A13">
        <w:t xml:space="preserve">only became public when it </w:t>
      </w:r>
      <w:r w:rsidR="0025197F" w:rsidRPr="00232A13">
        <w:rPr>
          <w:noProof/>
        </w:rPr>
        <w:t xml:space="preserve">was </w:t>
      </w:r>
      <w:r w:rsidR="00223C23">
        <w:rPr>
          <w:noProof/>
        </w:rPr>
        <w:t xml:space="preserve">later </w:t>
      </w:r>
      <w:r w:rsidR="0025197F" w:rsidRPr="00232A13">
        <w:rPr>
          <w:noProof/>
        </w:rPr>
        <w:t>leaked</w:t>
      </w:r>
      <w:r w:rsidR="00C01A5D">
        <w:t>.</w:t>
      </w:r>
    </w:p>
    <w:p w:rsidR="00FD6892" w:rsidRDefault="00FD6892" w:rsidP="00C01A5D">
      <w:pPr>
        <w:pStyle w:val="JUDGMENTCONTINUED"/>
      </w:pPr>
    </w:p>
    <w:p w:rsidR="008C7177"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[7]</w:t>
      </w:r>
      <w:r>
        <w:rPr>
          <w:color w:val="000000"/>
          <w14:scene3d>
            <w14:camera w14:prst="orthographicFront"/>
            <w14:lightRig w14:rig="threePt" w14:dir="t">
              <w14:rot w14:lat="0" w14:lon="0" w14:rev="0"/>
            </w14:lightRig>
          </w14:scene3d>
        </w:rPr>
        <w:tab/>
      </w:r>
      <w:r w:rsidR="008524AB">
        <w:t xml:space="preserve">The </w:t>
      </w:r>
      <w:r w:rsidR="00C708BA">
        <w:t xml:space="preserve">agreement </w:t>
      </w:r>
      <w:r w:rsidR="008524AB">
        <w:t>ha</w:t>
      </w:r>
      <w:r w:rsidR="00223C23">
        <w:t>d</w:t>
      </w:r>
      <w:r w:rsidR="008524AB">
        <w:t xml:space="preserve"> a </w:t>
      </w:r>
      <w:r w:rsidR="008524AB" w:rsidRPr="00351CEE">
        <w:rPr>
          <w:noProof/>
        </w:rPr>
        <w:t>five</w:t>
      </w:r>
      <w:r w:rsidR="00351CEE">
        <w:rPr>
          <w:noProof/>
        </w:rPr>
        <w:t>-</w:t>
      </w:r>
      <w:r w:rsidR="008524AB" w:rsidRPr="00351CEE">
        <w:rPr>
          <w:noProof/>
        </w:rPr>
        <w:t>year</w:t>
      </w:r>
      <w:r w:rsidR="008524AB">
        <w:t xml:space="preserve"> term. </w:t>
      </w:r>
      <w:r w:rsidR="0053208D">
        <w:t xml:space="preserve"> </w:t>
      </w:r>
      <w:r w:rsidR="008524AB" w:rsidRPr="00FD6892">
        <w:rPr>
          <w:szCs w:val="26"/>
        </w:rPr>
        <w:t xml:space="preserve">The television channels licensed under the </w:t>
      </w:r>
      <w:r w:rsidR="00C708BA">
        <w:rPr>
          <w:szCs w:val="26"/>
        </w:rPr>
        <w:t xml:space="preserve">agreement </w:t>
      </w:r>
      <w:r w:rsidR="005F22D0">
        <w:rPr>
          <w:szCs w:val="26"/>
        </w:rPr>
        <w:t>include</w:t>
      </w:r>
      <w:r w:rsidR="00DB70E3">
        <w:rPr>
          <w:szCs w:val="26"/>
        </w:rPr>
        <w:t>d</w:t>
      </w:r>
      <w:r w:rsidR="00223C23">
        <w:rPr>
          <w:szCs w:val="26"/>
        </w:rPr>
        <w:t>: (a)</w:t>
      </w:r>
      <w:r w:rsidR="005F22D0">
        <w:rPr>
          <w:szCs w:val="26"/>
        </w:rPr>
        <w:t xml:space="preserve"> an entertainment channel </w:t>
      </w:r>
      <w:r w:rsidR="005F22D0">
        <w:t xml:space="preserve">to be developed and produced by the SABC for </w:t>
      </w:r>
      <w:proofErr w:type="spellStart"/>
      <w:r w:rsidR="005F22D0">
        <w:t>MultiChoice</w:t>
      </w:r>
      <w:proofErr w:type="spellEnd"/>
      <w:r w:rsidR="005F22D0">
        <w:t xml:space="preserve">, and in respect of which </w:t>
      </w:r>
      <w:proofErr w:type="spellStart"/>
      <w:r w:rsidR="005F22D0">
        <w:t>MultiChoice</w:t>
      </w:r>
      <w:proofErr w:type="spellEnd"/>
      <w:r w:rsidR="005F22D0">
        <w:t xml:space="preserve"> would have</w:t>
      </w:r>
      <w:r w:rsidR="00DB70E3">
        <w:t xml:space="preserve"> </w:t>
      </w:r>
      <w:r w:rsidR="005F22D0">
        <w:t xml:space="preserve">exclusive distribution </w:t>
      </w:r>
      <w:r w:rsidR="005F22D0" w:rsidRPr="00351CEE">
        <w:rPr>
          <w:noProof/>
        </w:rPr>
        <w:t>and</w:t>
      </w:r>
      <w:r w:rsidR="005F22D0">
        <w:t xml:space="preserve"> marketing rights</w:t>
      </w:r>
      <w:r w:rsidR="00CE0894">
        <w:t>;</w:t>
      </w:r>
      <w:r w:rsidR="00223C23">
        <w:t xml:space="preserve"> and</w:t>
      </w:r>
      <w:r w:rsidR="00DB70E3">
        <w:t xml:space="preserve"> </w:t>
      </w:r>
      <w:r w:rsidR="00223C23">
        <w:t xml:space="preserve">(b) </w:t>
      </w:r>
      <w:r w:rsidR="00DB70E3">
        <w:t xml:space="preserve">free-to-air channels (FTA) to be transmitted by the SABC on its </w:t>
      </w:r>
      <w:r w:rsidR="00F91D8E">
        <w:t>DTT</w:t>
      </w:r>
      <w:r w:rsidR="00DB70E3">
        <w:t xml:space="preserve"> platform</w:t>
      </w:r>
      <w:r w:rsidR="00C708BA">
        <w:t>,</w:t>
      </w:r>
      <w:r w:rsidR="00DB70E3">
        <w:t xml:space="preserve"> and in respect of which </w:t>
      </w:r>
      <w:proofErr w:type="spellStart"/>
      <w:r w:rsidR="00DB70E3">
        <w:t>MultiChoice</w:t>
      </w:r>
      <w:proofErr w:type="spellEnd"/>
      <w:r w:rsidR="00DB70E3">
        <w:t xml:space="preserve"> would have non-exclusive distribution and marketing rights</w:t>
      </w:r>
      <w:r w:rsidR="00223C23">
        <w:rPr>
          <w:szCs w:val="26"/>
        </w:rPr>
        <w:t xml:space="preserve">. </w:t>
      </w:r>
      <w:r w:rsidR="00CE0894">
        <w:rPr>
          <w:szCs w:val="26"/>
        </w:rPr>
        <w:t xml:space="preserve"> </w:t>
      </w:r>
      <w:r w:rsidR="0053208D" w:rsidRPr="00CD43FD">
        <w:rPr>
          <w:noProof/>
        </w:rPr>
        <w:t>MultiChoice</w:t>
      </w:r>
      <w:r w:rsidR="008524AB" w:rsidRPr="00CD43FD">
        <w:rPr>
          <w:noProof/>
        </w:rPr>
        <w:t xml:space="preserve"> </w:t>
      </w:r>
      <w:r w:rsidR="00C04A65" w:rsidRPr="00CD43FD">
        <w:rPr>
          <w:noProof/>
        </w:rPr>
        <w:t>agree</w:t>
      </w:r>
      <w:r w:rsidR="00931C2B">
        <w:rPr>
          <w:noProof/>
        </w:rPr>
        <w:t>d</w:t>
      </w:r>
      <w:r w:rsidR="00C708BA">
        <w:rPr>
          <w:noProof/>
        </w:rPr>
        <w:t xml:space="preserve"> in terms of the </w:t>
      </w:r>
      <w:r w:rsidR="00C708BA">
        <w:rPr>
          <w:noProof/>
        </w:rPr>
        <w:lastRenderedPageBreak/>
        <w:t xml:space="preserve">agreement </w:t>
      </w:r>
      <w:r w:rsidR="008524AB" w:rsidRPr="001D6C9E">
        <w:rPr>
          <w:noProof/>
        </w:rPr>
        <w:t xml:space="preserve">to pay the SABC fees </w:t>
      </w:r>
      <w:r w:rsidR="00351CEE" w:rsidRPr="001D6C9E">
        <w:rPr>
          <w:noProof/>
        </w:rPr>
        <w:t xml:space="preserve">of </w:t>
      </w:r>
      <w:r w:rsidR="004A5B69" w:rsidRPr="001D6C9E">
        <w:rPr>
          <w:noProof/>
        </w:rPr>
        <w:t>more than</w:t>
      </w:r>
      <w:r w:rsidR="008524AB" w:rsidRPr="001D6C9E">
        <w:rPr>
          <w:noProof/>
        </w:rPr>
        <w:t xml:space="preserve"> R500 million over a period of five years, </w:t>
      </w:r>
      <w:r w:rsidR="00DB70E3">
        <w:t>i</w:t>
      </w:r>
      <w:r w:rsidR="00066818">
        <w:t>n exchange for</w:t>
      </w:r>
      <w:r w:rsidR="00DB70E3">
        <w:t xml:space="preserve"> which </w:t>
      </w:r>
      <w:r w:rsidR="00066818">
        <w:t xml:space="preserve">the </w:t>
      </w:r>
      <w:r w:rsidR="00931C2B">
        <w:t>SABC undertook</w:t>
      </w:r>
      <w:r w:rsidR="00C724C0">
        <w:t xml:space="preserve"> </w:t>
      </w:r>
      <w:r w:rsidR="00931C2B">
        <w:t xml:space="preserve">that </w:t>
      </w:r>
      <w:r w:rsidR="00066818">
        <w:t>the e</w:t>
      </w:r>
      <w:r w:rsidR="00A6738A">
        <w:t xml:space="preserve">ntertainment </w:t>
      </w:r>
      <w:r w:rsidR="00066818">
        <w:t>c</w:t>
      </w:r>
      <w:r w:rsidR="00A6738A">
        <w:t>hannel</w:t>
      </w:r>
      <w:r w:rsidR="003A347E">
        <w:t>,</w:t>
      </w:r>
      <w:r w:rsidR="00C708BA">
        <w:t xml:space="preserve"> to be broadcast</w:t>
      </w:r>
      <w:r w:rsidR="00931C2B">
        <w:t xml:space="preserve"> on the </w:t>
      </w:r>
      <w:proofErr w:type="spellStart"/>
      <w:r w:rsidR="008524AB" w:rsidRPr="00BE1CB9">
        <w:t>MultiChoice</w:t>
      </w:r>
      <w:proofErr w:type="spellEnd"/>
      <w:r w:rsidR="008524AB" w:rsidRPr="00BE1CB9">
        <w:t xml:space="preserve"> </w:t>
      </w:r>
      <w:r w:rsidR="008524AB" w:rsidRPr="004A5B69">
        <w:rPr>
          <w:noProof/>
        </w:rPr>
        <w:t>platform</w:t>
      </w:r>
      <w:r w:rsidR="00B7635B">
        <w:rPr>
          <w:noProof/>
        </w:rPr>
        <w:t>,</w:t>
      </w:r>
      <w:r w:rsidR="008524AB" w:rsidRPr="00BE1CB9">
        <w:t xml:space="preserve"> w</w:t>
      </w:r>
      <w:r w:rsidR="00DB70E3">
        <w:t>ould</w:t>
      </w:r>
      <w:r w:rsidR="008524AB" w:rsidRPr="00BE1CB9">
        <w:t xml:space="preserve"> consist </w:t>
      </w:r>
      <w:r w:rsidR="004A5B69">
        <w:rPr>
          <w:noProof/>
        </w:rPr>
        <w:t>main</w:t>
      </w:r>
      <w:r w:rsidR="008524AB" w:rsidRPr="004A5B69">
        <w:rPr>
          <w:noProof/>
        </w:rPr>
        <w:t>ly</w:t>
      </w:r>
      <w:r w:rsidR="008524AB" w:rsidRPr="00BE1CB9">
        <w:t xml:space="preserve"> of content from the SABC’s substantial archive of programmes</w:t>
      </w:r>
      <w:r w:rsidR="00351CEE">
        <w:t xml:space="preserve"> (SABC archive)</w:t>
      </w:r>
      <w:r w:rsidR="00066818">
        <w:t xml:space="preserve"> and </w:t>
      </w:r>
      <w:r w:rsidR="00931C2B">
        <w:t>it w</w:t>
      </w:r>
      <w:r w:rsidR="00C708BA">
        <w:t>ould</w:t>
      </w:r>
      <w:r w:rsidR="00931C2B">
        <w:t xml:space="preserve"> not encrypt any of its </w:t>
      </w:r>
      <w:r w:rsidR="00DB70E3">
        <w:t>FTA</w:t>
      </w:r>
      <w:r w:rsidR="00C708BA">
        <w:t xml:space="preserve"> channels </w:t>
      </w:r>
      <w:r w:rsidR="00931C2B">
        <w:t xml:space="preserve">on South Africa’s migration to </w:t>
      </w:r>
      <w:r w:rsidR="003A347E">
        <w:t>DTT.</w:t>
      </w:r>
    </w:p>
    <w:p w:rsidR="008C7177" w:rsidRDefault="008C7177" w:rsidP="00C01A5D">
      <w:pPr>
        <w:pStyle w:val="JUDGMENTCONTINUED"/>
      </w:pPr>
    </w:p>
    <w:p w:rsidR="00FD6892" w:rsidRPr="00F154E7" w:rsidRDefault="00FD6892" w:rsidP="00C01A5D">
      <w:pPr>
        <w:pStyle w:val="HEADING"/>
      </w:pPr>
      <w:r w:rsidRPr="00F154E7">
        <w:t>Litigation history</w:t>
      </w:r>
    </w:p>
    <w:p w:rsidR="00C724C0" w:rsidRPr="0011154F" w:rsidRDefault="006970A9" w:rsidP="006970A9">
      <w:pPr>
        <w:pStyle w:val="JUDGMENTNUMBERED"/>
        <w:numPr>
          <w:ilvl w:val="0"/>
          <w:numId w:val="0"/>
        </w:numPr>
        <w:rPr>
          <w:i/>
          <w:sz w:val="24"/>
          <w:szCs w:val="24"/>
        </w:rPr>
      </w:pPr>
      <w:r w:rsidRPr="0011154F">
        <w:rPr>
          <w:color w:val="000000"/>
          <w:sz w:val="24"/>
          <w:szCs w:val="24"/>
          <w14:scene3d>
            <w14:camera w14:prst="orthographicFront"/>
            <w14:lightRig w14:rig="threePt" w14:dir="t">
              <w14:rot w14:lat="0" w14:lon="0" w14:rev="0"/>
            </w14:lightRig>
          </w14:scene3d>
        </w:rPr>
        <w:t>[8]</w:t>
      </w:r>
      <w:r w:rsidRPr="0011154F">
        <w:rPr>
          <w:color w:val="000000"/>
          <w:sz w:val="24"/>
          <w:szCs w:val="24"/>
          <w14:scene3d>
            <w14:camera w14:prst="orthographicFront"/>
            <w14:lightRig w14:rig="threePt" w14:dir="t">
              <w14:rot w14:lat="0" w14:lon="0" w14:rev="0"/>
            </w14:lightRig>
          </w14:scene3d>
        </w:rPr>
        <w:tab/>
      </w:r>
      <w:r w:rsidR="00A6738A">
        <w:t xml:space="preserve">The </w:t>
      </w:r>
      <w:r w:rsidR="00C708BA">
        <w:t xml:space="preserve">agreement </w:t>
      </w:r>
      <w:r w:rsidR="00A6738A">
        <w:t>has b</w:t>
      </w:r>
      <w:r w:rsidR="00612A0A">
        <w:t>een the subject</w:t>
      </w:r>
      <w:r w:rsidR="00A6738A">
        <w:t xml:space="preserve"> of </w:t>
      </w:r>
      <w:r w:rsidR="00612A0A">
        <w:t xml:space="preserve">a </w:t>
      </w:r>
      <w:r w:rsidR="0001701A">
        <w:t xml:space="preserve">hearing at </w:t>
      </w:r>
      <w:r w:rsidR="00612A0A">
        <w:t xml:space="preserve">the Tribunal and three separate </w:t>
      </w:r>
      <w:r w:rsidR="00612A0A" w:rsidRPr="00C03F62">
        <w:rPr>
          <w:noProof/>
        </w:rPr>
        <w:t>hearings</w:t>
      </w:r>
      <w:r w:rsidR="00612A0A">
        <w:t xml:space="preserve"> in the Competition Appeal Court</w:t>
      </w:r>
      <w:r w:rsidR="0001701A">
        <w:t xml:space="preserve">. </w:t>
      </w:r>
      <w:r w:rsidR="00D37164">
        <w:t xml:space="preserve"> </w:t>
      </w:r>
      <w:r w:rsidR="0001701A">
        <w:t>The applicants consistently argued in both these fora</w:t>
      </w:r>
      <w:r w:rsidR="00612A0A">
        <w:t xml:space="preserve"> that the </w:t>
      </w:r>
      <w:r w:rsidR="00C708BA">
        <w:t xml:space="preserve">agreement </w:t>
      </w:r>
      <w:r w:rsidR="00612A0A">
        <w:t>amounted to a notifiable merger as</w:t>
      </w:r>
      <w:r w:rsidR="001A668B">
        <w:t xml:space="preserve"> defined in the Competition Act</w:t>
      </w:r>
      <w:r w:rsidR="00C01A5D">
        <w:t>.</w:t>
      </w:r>
    </w:p>
    <w:p w:rsidR="00C724C0" w:rsidRPr="0011154F" w:rsidRDefault="00C724C0" w:rsidP="00C01A5D">
      <w:pPr>
        <w:pStyle w:val="JUDGMENTCONTINUED"/>
      </w:pPr>
    </w:p>
    <w:p w:rsidR="009E0502" w:rsidRPr="00C01A5D" w:rsidRDefault="00C724C0" w:rsidP="00C01A5D">
      <w:pPr>
        <w:pStyle w:val="HEADING"/>
      </w:pPr>
      <w:r>
        <w:tab/>
      </w:r>
      <w:r w:rsidR="008C7177" w:rsidRPr="00C01A5D">
        <w:t>In t</w:t>
      </w:r>
      <w:r w:rsidR="009E0502" w:rsidRPr="00C01A5D">
        <w:t>he Tribunal</w:t>
      </w:r>
    </w:p>
    <w:p w:rsidR="004D5E1B" w:rsidRPr="008D53E3" w:rsidRDefault="006970A9" w:rsidP="006970A9">
      <w:pPr>
        <w:pStyle w:val="JUDGMENTNUMBERED"/>
        <w:numPr>
          <w:ilvl w:val="0"/>
          <w:numId w:val="0"/>
        </w:numPr>
      </w:pPr>
      <w:r w:rsidRPr="008D53E3">
        <w:rPr>
          <w:color w:val="000000"/>
          <w14:scene3d>
            <w14:camera w14:prst="orthographicFront"/>
            <w14:lightRig w14:rig="threePt" w14:dir="t">
              <w14:rot w14:lat="0" w14:lon="0" w14:rev="0"/>
            </w14:lightRig>
          </w14:scene3d>
        </w:rPr>
        <w:t>[9]</w:t>
      </w:r>
      <w:r w:rsidRPr="008D53E3">
        <w:rPr>
          <w:color w:val="000000"/>
          <w14:scene3d>
            <w14:camera w14:prst="orthographicFront"/>
            <w14:lightRig w14:rig="threePt" w14:dir="t">
              <w14:rot w14:lat="0" w14:lon="0" w14:rev="0"/>
            </w14:lightRig>
          </w14:scene3d>
        </w:rPr>
        <w:tab/>
      </w:r>
      <w:r w:rsidR="00FE7E17" w:rsidRPr="005B2900">
        <w:rPr>
          <w:noProof/>
        </w:rPr>
        <w:t xml:space="preserve">In February 2015, </w:t>
      </w:r>
      <w:r w:rsidR="005B2900" w:rsidRPr="005B2900">
        <w:rPr>
          <w:noProof/>
        </w:rPr>
        <w:t xml:space="preserve">the applicants </w:t>
      </w:r>
      <w:r w:rsidR="00171ECC" w:rsidRPr="005B2900">
        <w:rPr>
          <w:noProof/>
        </w:rPr>
        <w:t xml:space="preserve">bypassed the Commission and </w:t>
      </w:r>
      <w:r w:rsidR="00BD22D2" w:rsidRPr="005B2900">
        <w:rPr>
          <w:noProof/>
        </w:rPr>
        <w:t xml:space="preserve">made </w:t>
      </w:r>
      <w:r w:rsidR="009078C9">
        <w:rPr>
          <w:noProof/>
        </w:rPr>
        <w:t xml:space="preserve">an </w:t>
      </w:r>
      <w:r w:rsidR="00BD22D2" w:rsidRPr="005B2900">
        <w:rPr>
          <w:noProof/>
        </w:rPr>
        <w:t xml:space="preserve">application directly to </w:t>
      </w:r>
      <w:r w:rsidR="00AF01B6" w:rsidRPr="005B2900">
        <w:rPr>
          <w:noProof/>
        </w:rPr>
        <w:t xml:space="preserve">the Tribunal </w:t>
      </w:r>
      <w:r w:rsidR="005B2900" w:rsidRPr="005B2900">
        <w:rPr>
          <w:noProof/>
        </w:rPr>
        <w:t xml:space="preserve">for an </w:t>
      </w:r>
      <w:r w:rsidR="00FE7E17" w:rsidRPr="005B2900">
        <w:rPr>
          <w:noProof/>
        </w:rPr>
        <w:t>order</w:t>
      </w:r>
      <w:r w:rsidR="002C354A" w:rsidRPr="005B2900">
        <w:rPr>
          <w:noProof/>
        </w:rPr>
        <w:t xml:space="preserve"> compel</w:t>
      </w:r>
      <w:r w:rsidR="00FE7E17" w:rsidRPr="005B2900">
        <w:rPr>
          <w:noProof/>
        </w:rPr>
        <w:t>ling</w:t>
      </w:r>
      <w:r w:rsidR="002C354A" w:rsidRPr="005B2900">
        <w:rPr>
          <w:noProof/>
        </w:rPr>
        <w:t xml:space="preserve"> the SABC and MultiChoice</w:t>
      </w:r>
      <w:r w:rsidR="009B5D46" w:rsidRPr="005B2900">
        <w:rPr>
          <w:noProof/>
        </w:rPr>
        <w:t xml:space="preserve"> to notify the </w:t>
      </w:r>
      <w:r w:rsidR="00C724C0">
        <w:rPr>
          <w:noProof/>
        </w:rPr>
        <w:t>a</w:t>
      </w:r>
      <w:r w:rsidR="00C708BA">
        <w:rPr>
          <w:noProof/>
        </w:rPr>
        <w:t xml:space="preserve">greement </w:t>
      </w:r>
      <w:r w:rsidR="005B2900" w:rsidRPr="005B2900">
        <w:rPr>
          <w:noProof/>
        </w:rPr>
        <w:t xml:space="preserve">to the Commission. </w:t>
      </w:r>
      <w:r w:rsidR="002C354A" w:rsidRPr="005B2900">
        <w:rPr>
          <w:noProof/>
        </w:rPr>
        <w:t xml:space="preserve"> </w:t>
      </w:r>
      <w:r w:rsidR="005B2900">
        <w:rPr>
          <w:noProof/>
        </w:rPr>
        <w:t>In the alternative</w:t>
      </w:r>
      <w:r w:rsidR="005B2900" w:rsidRPr="005B2900">
        <w:rPr>
          <w:noProof/>
        </w:rPr>
        <w:t>, they</w:t>
      </w:r>
      <w:r w:rsidR="005B2900">
        <w:rPr>
          <w:noProof/>
        </w:rPr>
        <w:t xml:space="preserve"> </w:t>
      </w:r>
      <w:r w:rsidR="005B2900" w:rsidRPr="005B2900">
        <w:rPr>
          <w:noProof/>
        </w:rPr>
        <w:t>sought</w:t>
      </w:r>
      <w:r w:rsidR="005B2900">
        <w:rPr>
          <w:noProof/>
        </w:rPr>
        <w:t xml:space="preserve"> </w:t>
      </w:r>
      <w:r w:rsidR="005B2900" w:rsidRPr="008E5265">
        <w:rPr>
          <w:noProof/>
        </w:rPr>
        <w:t>an order</w:t>
      </w:r>
      <w:r w:rsidR="005B2900">
        <w:rPr>
          <w:noProof/>
        </w:rPr>
        <w:t xml:space="preserve"> </w:t>
      </w:r>
      <w:r w:rsidR="002C354A" w:rsidRPr="005B2900">
        <w:rPr>
          <w:noProof/>
        </w:rPr>
        <w:t>that the Commission exercise its investigat</w:t>
      </w:r>
      <w:r w:rsidR="00C35209" w:rsidRPr="005B2900">
        <w:rPr>
          <w:noProof/>
        </w:rPr>
        <w:t xml:space="preserve">ory powers to determine if the </w:t>
      </w:r>
      <w:r w:rsidR="00C724C0">
        <w:rPr>
          <w:noProof/>
        </w:rPr>
        <w:t>a</w:t>
      </w:r>
      <w:r w:rsidR="00C708BA">
        <w:rPr>
          <w:noProof/>
        </w:rPr>
        <w:t xml:space="preserve">greement </w:t>
      </w:r>
      <w:r w:rsidR="002C354A" w:rsidRPr="005B2900">
        <w:rPr>
          <w:noProof/>
        </w:rPr>
        <w:t>is notifiable as a merger.</w:t>
      </w:r>
    </w:p>
    <w:p w:rsidR="004D5E1B" w:rsidRDefault="004D5E1B" w:rsidP="00C01A5D">
      <w:pPr>
        <w:pStyle w:val="JUDGMENTCONTINUED"/>
      </w:pPr>
    </w:p>
    <w:p w:rsidR="009845FA"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[10]</w:t>
      </w:r>
      <w:r>
        <w:rPr>
          <w:color w:val="000000"/>
          <w14:scene3d>
            <w14:camera w14:prst="orthographicFront"/>
            <w14:lightRig w14:rig="threePt" w14:dir="t">
              <w14:rot w14:lat="0" w14:lon="0" w14:rev="0"/>
            </w14:lightRig>
          </w14:scene3d>
        </w:rPr>
        <w:tab/>
      </w:r>
      <w:r w:rsidR="00BD22D2" w:rsidRPr="00D429CB">
        <w:t xml:space="preserve">The Tribunal </w:t>
      </w:r>
      <w:r w:rsidR="000E32AA">
        <w:t>dismissed the applicant</w:t>
      </w:r>
      <w:r w:rsidR="00D37164">
        <w:t>s’</w:t>
      </w:r>
      <w:r w:rsidR="000E32AA">
        <w:t xml:space="preserve"> application</w:t>
      </w:r>
      <w:r w:rsidR="004319B6">
        <w:t xml:space="preserve"> </w:t>
      </w:r>
      <w:r w:rsidR="004D5E1B" w:rsidRPr="00D429CB">
        <w:t xml:space="preserve">on 11 February 2016. </w:t>
      </w:r>
      <w:r w:rsidR="0053208D">
        <w:t xml:space="preserve"> </w:t>
      </w:r>
      <w:r w:rsidR="00260EFF" w:rsidRPr="00D82936">
        <w:rPr>
          <w:noProof/>
        </w:rPr>
        <w:t>T</w:t>
      </w:r>
      <w:r w:rsidR="008F5874" w:rsidRPr="00D82936">
        <w:rPr>
          <w:noProof/>
        </w:rPr>
        <w:t>he</w:t>
      </w:r>
      <w:r w:rsidR="009A5F96" w:rsidRPr="00D82936">
        <w:rPr>
          <w:noProof/>
        </w:rPr>
        <w:t xml:space="preserve"> </w:t>
      </w:r>
      <w:r w:rsidR="00DA22B8" w:rsidRPr="00D82936">
        <w:rPr>
          <w:noProof/>
        </w:rPr>
        <w:t xml:space="preserve">SABC </w:t>
      </w:r>
      <w:r w:rsidR="009A5F96" w:rsidRPr="00D82936">
        <w:rPr>
          <w:noProof/>
        </w:rPr>
        <w:t>challenge</w:t>
      </w:r>
      <w:r w:rsidR="00260EFF" w:rsidRPr="00D82936">
        <w:rPr>
          <w:noProof/>
        </w:rPr>
        <w:t>d</w:t>
      </w:r>
      <w:r w:rsidR="00544ED1" w:rsidRPr="00D82936">
        <w:rPr>
          <w:noProof/>
        </w:rPr>
        <w:t xml:space="preserve"> </w:t>
      </w:r>
      <w:r w:rsidR="00D82936" w:rsidRPr="00D82936">
        <w:rPr>
          <w:noProof/>
        </w:rPr>
        <w:t>the Tribunal’s</w:t>
      </w:r>
      <w:r w:rsidR="002D51D9" w:rsidRPr="00D82936">
        <w:rPr>
          <w:noProof/>
        </w:rPr>
        <w:t xml:space="preserve"> jurisdiction</w:t>
      </w:r>
      <w:r w:rsidR="009A5F96" w:rsidRPr="00D82936">
        <w:rPr>
          <w:noProof/>
        </w:rPr>
        <w:t xml:space="preserve"> </w:t>
      </w:r>
      <w:r w:rsidR="009900F1" w:rsidRPr="00D82936">
        <w:rPr>
          <w:noProof/>
        </w:rPr>
        <w:t xml:space="preserve">on the </w:t>
      </w:r>
      <w:r w:rsidR="00D82936" w:rsidRPr="00D82936">
        <w:rPr>
          <w:noProof/>
        </w:rPr>
        <w:t xml:space="preserve">basis that the Commission is the forum of first instance </w:t>
      </w:r>
      <w:r w:rsidR="00DC2355">
        <w:rPr>
          <w:noProof/>
        </w:rPr>
        <w:t>to</w:t>
      </w:r>
      <w:r w:rsidR="00D82936" w:rsidRPr="00D82936">
        <w:rPr>
          <w:noProof/>
        </w:rPr>
        <w:t xml:space="preserve"> investigat</w:t>
      </w:r>
      <w:r w:rsidR="00DC2355">
        <w:rPr>
          <w:noProof/>
        </w:rPr>
        <w:t>e</w:t>
      </w:r>
      <w:r w:rsidR="00D82936" w:rsidRPr="00D82936">
        <w:rPr>
          <w:noProof/>
        </w:rPr>
        <w:t xml:space="preserve"> a merger or whether </w:t>
      </w:r>
      <w:r w:rsidR="008E5265">
        <w:rPr>
          <w:noProof/>
        </w:rPr>
        <w:t xml:space="preserve">a </w:t>
      </w:r>
      <w:r w:rsidR="008E5265" w:rsidRPr="008E5265">
        <w:rPr>
          <w:noProof/>
        </w:rPr>
        <w:t xml:space="preserve">transaction </w:t>
      </w:r>
      <w:r w:rsidR="00D82936" w:rsidRPr="008E5265">
        <w:rPr>
          <w:noProof/>
        </w:rPr>
        <w:t>is</w:t>
      </w:r>
      <w:r w:rsidR="00D82936" w:rsidRPr="00D82936">
        <w:rPr>
          <w:noProof/>
        </w:rPr>
        <w:t xml:space="preserve"> </w:t>
      </w:r>
      <w:r w:rsidR="008E5265">
        <w:rPr>
          <w:noProof/>
        </w:rPr>
        <w:t xml:space="preserve">a </w:t>
      </w:r>
      <w:r w:rsidR="00D82936" w:rsidRPr="00D82936">
        <w:rPr>
          <w:noProof/>
        </w:rPr>
        <w:t xml:space="preserve">notifiable merger.  </w:t>
      </w:r>
      <w:r w:rsidR="00917E48" w:rsidRPr="00D82936">
        <w:rPr>
          <w:noProof/>
        </w:rPr>
        <w:t>T</w:t>
      </w:r>
      <w:r w:rsidR="004E129C" w:rsidRPr="00D82936">
        <w:rPr>
          <w:noProof/>
        </w:rPr>
        <w:t xml:space="preserve">he Tribunal </w:t>
      </w:r>
      <w:r w:rsidR="00714BC6" w:rsidRPr="00D82936">
        <w:rPr>
          <w:noProof/>
        </w:rPr>
        <w:t>held</w:t>
      </w:r>
      <w:r w:rsidR="00260EFF" w:rsidRPr="00D82936">
        <w:rPr>
          <w:noProof/>
        </w:rPr>
        <w:t xml:space="preserve"> </w:t>
      </w:r>
      <w:r w:rsidR="00714BC6" w:rsidRPr="00D82936">
        <w:rPr>
          <w:noProof/>
        </w:rPr>
        <w:t xml:space="preserve">that </w:t>
      </w:r>
      <w:r w:rsidR="004E129C" w:rsidRPr="00D82936">
        <w:rPr>
          <w:noProof/>
        </w:rPr>
        <w:t>although the parties</w:t>
      </w:r>
      <w:r w:rsidR="00C8490D" w:rsidRPr="00D82936">
        <w:rPr>
          <w:noProof/>
        </w:rPr>
        <w:t xml:space="preserve"> to a notifiable merger</w:t>
      </w:r>
      <w:r w:rsidR="004E129C" w:rsidRPr="00D82936">
        <w:rPr>
          <w:noProof/>
        </w:rPr>
        <w:t xml:space="preserve"> should first approach the Commission</w:t>
      </w:r>
      <w:r w:rsidR="00D5778D" w:rsidRPr="00D82936">
        <w:rPr>
          <w:noProof/>
        </w:rPr>
        <w:t>, the failure to do</w:t>
      </w:r>
      <w:r w:rsidR="00BF5DDB">
        <w:rPr>
          <w:noProof/>
        </w:rPr>
        <w:t xml:space="preserve"> so</w:t>
      </w:r>
      <w:r w:rsidR="00D5778D" w:rsidRPr="00D82936">
        <w:rPr>
          <w:noProof/>
        </w:rPr>
        <w:t xml:space="preserve"> does not constitute a bar to </w:t>
      </w:r>
      <w:r w:rsidR="00260EFF" w:rsidRPr="00D82936">
        <w:rPr>
          <w:noProof/>
        </w:rPr>
        <w:t>the Tribunal’s</w:t>
      </w:r>
      <w:r w:rsidR="00D5778D" w:rsidRPr="00D82936">
        <w:rPr>
          <w:noProof/>
        </w:rPr>
        <w:t xml:space="preserve"> jurisdiction to hear such an application.</w:t>
      </w:r>
      <w:bookmarkStart w:id="0" w:name="_Ref525130835"/>
      <w:r w:rsidR="00D5778D" w:rsidRPr="00D429CB">
        <w:rPr>
          <w:rStyle w:val="FootnoteReference"/>
        </w:rPr>
        <w:footnoteReference w:id="3"/>
      </w:r>
      <w:bookmarkEnd w:id="0"/>
      <w:r w:rsidR="00BD22D2" w:rsidRPr="00D429CB">
        <w:t xml:space="preserve"> </w:t>
      </w:r>
      <w:r w:rsidR="008F22F3">
        <w:t xml:space="preserve"> </w:t>
      </w:r>
      <w:r w:rsidR="00714BC6" w:rsidRPr="00D429CB">
        <w:t xml:space="preserve">The Tribunal accordingly concluded that it had the </w:t>
      </w:r>
      <w:r w:rsidR="00D82936" w:rsidRPr="00D82936">
        <w:rPr>
          <w:noProof/>
        </w:rPr>
        <w:t>a</w:t>
      </w:r>
      <w:r w:rsidR="00D82936">
        <w:rPr>
          <w:noProof/>
        </w:rPr>
        <w:t xml:space="preserve">uthority </w:t>
      </w:r>
      <w:r w:rsidR="00714BC6" w:rsidRPr="00D429CB">
        <w:t xml:space="preserve">to compel </w:t>
      </w:r>
      <w:r w:rsidR="008C7177">
        <w:t xml:space="preserve">the </w:t>
      </w:r>
      <w:r w:rsidR="00714BC6" w:rsidRPr="00D429CB">
        <w:t xml:space="preserve">parties to notify a transaction </w:t>
      </w:r>
      <w:r w:rsidR="00A92D88">
        <w:t xml:space="preserve">giving rise to </w:t>
      </w:r>
      <w:r w:rsidR="00714BC6" w:rsidRPr="008E5265">
        <w:rPr>
          <w:noProof/>
        </w:rPr>
        <w:t>a</w:t>
      </w:r>
      <w:r w:rsidR="00714BC6" w:rsidRPr="00A92D88">
        <w:rPr>
          <w:noProof/>
        </w:rPr>
        <w:t xml:space="preserve"> merger</w:t>
      </w:r>
      <w:r w:rsidR="00A92D88">
        <w:t xml:space="preserve"> </w:t>
      </w:r>
      <w:r w:rsidR="00714BC6" w:rsidRPr="00D429CB">
        <w:t>to the Commission</w:t>
      </w:r>
      <w:r w:rsidR="00281E4E" w:rsidRPr="00D429CB">
        <w:t>.</w:t>
      </w:r>
      <w:r w:rsidR="00714BC6" w:rsidRPr="00D429CB">
        <w:rPr>
          <w:rStyle w:val="FootnoteReference"/>
        </w:rPr>
        <w:footnoteReference w:id="4"/>
      </w:r>
      <w:r w:rsidR="004F4587">
        <w:t xml:space="preserve">  </w:t>
      </w:r>
      <w:r w:rsidR="002C354A" w:rsidRPr="00256008">
        <w:t xml:space="preserve">On </w:t>
      </w:r>
      <w:r w:rsidR="00576A54">
        <w:t xml:space="preserve">the merits of the application, the Tribunal </w:t>
      </w:r>
      <w:r w:rsidR="000A074C" w:rsidRPr="00C20E44">
        <w:rPr>
          <w:noProof/>
        </w:rPr>
        <w:t>found</w:t>
      </w:r>
      <w:r w:rsidR="00576A54" w:rsidRPr="00D37164">
        <w:t xml:space="preserve"> </w:t>
      </w:r>
      <w:r w:rsidR="00576A54" w:rsidRPr="00A92D88">
        <w:rPr>
          <w:noProof/>
        </w:rPr>
        <w:t>that</w:t>
      </w:r>
      <w:r w:rsidR="00576A54">
        <w:t xml:space="preserve"> </w:t>
      </w:r>
      <w:r w:rsidR="00A32037">
        <w:t xml:space="preserve">the </w:t>
      </w:r>
      <w:r w:rsidR="00C724C0">
        <w:lastRenderedPageBreak/>
        <w:t>a</w:t>
      </w:r>
      <w:r w:rsidR="00C708BA">
        <w:t xml:space="preserve">greement </w:t>
      </w:r>
      <w:r w:rsidR="00A32037">
        <w:t xml:space="preserve">did not give rise to a notifiable acquisition of control by </w:t>
      </w:r>
      <w:proofErr w:type="spellStart"/>
      <w:r w:rsidR="00A32037">
        <w:t>MultiChoice</w:t>
      </w:r>
      <w:proofErr w:type="spellEnd"/>
      <w:r w:rsidR="00A92D88">
        <w:t xml:space="preserve"> a</w:t>
      </w:r>
      <w:r w:rsidR="00A92D88">
        <w:rPr>
          <w:noProof/>
        </w:rPr>
        <w:t>nd</w:t>
      </w:r>
      <w:r w:rsidR="002C354A" w:rsidRPr="00A92D88">
        <w:rPr>
          <w:noProof/>
        </w:rPr>
        <w:t xml:space="preserve"> </w:t>
      </w:r>
      <w:r w:rsidR="004F4587">
        <w:rPr>
          <w:noProof/>
        </w:rPr>
        <w:t xml:space="preserve">that </w:t>
      </w:r>
      <w:r w:rsidR="002C354A" w:rsidRPr="00A92D88">
        <w:rPr>
          <w:noProof/>
        </w:rPr>
        <w:t xml:space="preserve">the </w:t>
      </w:r>
      <w:r w:rsidR="00DE415A">
        <w:rPr>
          <w:i/>
          <w:noProof/>
        </w:rPr>
        <w:t>Plascon-Evan</w:t>
      </w:r>
      <w:r w:rsidR="002C354A" w:rsidRPr="00A92D88">
        <w:rPr>
          <w:i/>
          <w:noProof/>
        </w:rPr>
        <w:t xml:space="preserve">s </w:t>
      </w:r>
      <w:r w:rsidR="002C354A" w:rsidRPr="00A92D88">
        <w:rPr>
          <w:noProof/>
        </w:rPr>
        <w:t>rul</w:t>
      </w:r>
      <w:r w:rsidR="00A92D88">
        <w:rPr>
          <w:noProof/>
        </w:rPr>
        <w:t>e</w:t>
      </w:r>
      <w:r w:rsidR="00DC2355">
        <w:rPr>
          <w:rStyle w:val="FootnoteReference"/>
          <w:noProof/>
        </w:rPr>
        <w:footnoteReference w:id="5"/>
      </w:r>
      <w:r w:rsidR="00A92D88">
        <w:rPr>
          <w:noProof/>
        </w:rPr>
        <w:t xml:space="preserve"> precluded it from granting the applicants</w:t>
      </w:r>
      <w:r w:rsidR="002C354A" w:rsidRPr="00A92D88">
        <w:rPr>
          <w:noProof/>
        </w:rPr>
        <w:t xml:space="preserve"> any relief.</w:t>
      </w:r>
      <w:r w:rsidR="0053208D">
        <w:rPr>
          <w:noProof/>
        </w:rPr>
        <w:t xml:space="preserve"> </w:t>
      </w:r>
      <w:r w:rsidR="002C354A" w:rsidRPr="00256008">
        <w:t xml:space="preserve"> </w:t>
      </w:r>
      <w:r w:rsidR="00A92D88">
        <w:t>The Tribunal</w:t>
      </w:r>
      <w:r w:rsidR="000A074C">
        <w:t xml:space="preserve"> </w:t>
      </w:r>
      <w:r w:rsidR="00A92D88">
        <w:t>refused to</w:t>
      </w:r>
      <w:r w:rsidR="00A32037">
        <w:t xml:space="preserve"> </w:t>
      </w:r>
      <w:r w:rsidR="00C06827">
        <w:rPr>
          <w:noProof/>
        </w:rPr>
        <w:t>grant</w:t>
      </w:r>
      <w:r w:rsidR="00A92D88">
        <w:rPr>
          <w:noProof/>
        </w:rPr>
        <w:t xml:space="preserve"> </w:t>
      </w:r>
      <w:r w:rsidR="00A92D88" w:rsidRPr="00A92D88">
        <w:rPr>
          <w:noProof/>
        </w:rPr>
        <w:t>the applicants</w:t>
      </w:r>
      <w:r w:rsidR="00A92D88">
        <w:rPr>
          <w:noProof/>
        </w:rPr>
        <w:t xml:space="preserve"> </w:t>
      </w:r>
      <w:r w:rsidR="00DE415A">
        <w:rPr>
          <w:noProof/>
        </w:rPr>
        <w:t xml:space="preserve">the </w:t>
      </w:r>
      <w:r w:rsidR="00A32037">
        <w:t xml:space="preserve">alternative relief </w:t>
      </w:r>
      <w:r w:rsidR="00A32037" w:rsidRPr="008E5265">
        <w:rPr>
          <w:noProof/>
        </w:rPr>
        <w:t>sought</w:t>
      </w:r>
      <w:r w:rsidR="00A32037">
        <w:t xml:space="preserve"> </w:t>
      </w:r>
      <w:r w:rsidR="00A92D88">
        <w:t xml:space="preserve">because </w:t>
      </w:r>
      <w:r w:rsidR="000E0502">
        <w:t xml:space="preserve">they </w:t>
      </w:r>
      <w:r w:rsidR="000E0502" w:rsidRPr="000E0502">
        <w:t xml:space="preserve">had </w:t>
      </w:r>
      <w:r w:rsidR="00917E48">
        <w:t xml:space="preserve">not made out </w:t>
      </w:r>
      <w:r w:rsidR="00A32037" w:rsidRPr="000E0502">
        <w:t xml:space="preserve">a </w:t>
      </w:r>
      <w:r w:rsidR="00A32037" w:rsidRPr="00BE1CB9">
        <w:t>prima facie</w:t>
      </w:r>
      <w:r w:rsidR="00A32037" w:rsidRPr="000E0502">
        <w:t xml:space="preserve"> case</w:t>
      </w:r>
      <w:r w:rsidR="00A32037">
        <w:t xml:space="preserve"> that the </w:t>
      </w:r>
      <w:r w:rsidR="00917E48">
        <w:t xml:space="preserve">conclusion of the </w:t>
      </w:r>
      <w:r w:rsidR="00C724C0">
        <w:t>agreement</w:t>
      </w:r>
      <w:r w:rsidR="00C708BA">
        <w:t xml:space="preserve"> </w:t>
      </w:r>
      <w:r w:rsidR="00917E48">
        <w:t xml:space="preserve">between the SABC and </w:t>
      </w:r>
      <w:proofErr w:type="spellStart"/>
      <w:r w:rsidR="00917E48">
        <w:t>MultiChoice</w:t>
      </w:r>
      <w:proofErr w:type="spellEnd"/>
      <w:r w:rsidR="00A92D88">
        <w:t xml:space="preserve"> constituted a merger.</w:t>
      </w:r>
      <w:r w:rsidR="00A1249A">
        <w:rPr>
          <w:rStyle w:val="FootnoteReference"/>
        </w:rPr>
        <w:footnoteReference w:id="6"/>
      </w:r>
    </w:p>
    <w:p w:rsidR="007538FC" w:rsidRPr="007538FC" w:rsidRDefault="007538FC" w:rsidP="007538FC">
      <w:pPr>
        <w:pStyle w:val="JUDGMENTCONTINUED"/>
      </w:pPr>
    </w:p>
    <w:p w:rsidR="000D5D3C" w:rsidRPr="000D5D3C" w:rsidRDefault="002451DE" w:rsidP="003F39E3">
      <w:pPr>
        <w:pStyle w:val="HEADING"/>
        <w:ind w:left="720"/>
      </w:pPr>
      <w:r>
        <w:t xml:space="preserve">In </w:t>
      </w:r>
      <w:r w:rsidR="00C2084D">
        <w:t>t</w:t>
      </w:r>
      <w:r w:rsidR="000D5D3C">
        <w:t>he Competit</w:t>
      </w:r>
      <w:r w:rsidR="00AF01B6">
        <w:t>i</w:t>
      </w:r>
      <w:r w:rsidR="000D5D3C">
        <w:t>on Appeal Court</w:t>
      </w:r>
    </w:p>
    <w:p w:rsidR="00C353D4"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[11]</w:t>
      </w:r>
      <w:r>
        <w:rPr>
          <w:color w:val="000000"/>
          <w14:scene3d>
            <w14:camera w14:prst="orthographicFront"/>
            <w14:lightRig w14:rig="threePt" w14:dir="t">
              <w14:rot w14:lat="0" w14:lon="0" w14:rev="0"/>
            </w14:lightRig>
          </w14:scene3d>
        </w:rPr>
        <w:tab/>
      </w:r>
      <w:r w:rsidR="002C354A" w:rsidRPr="00256008">
        <w:t>The applicants appealed</w:t>
      </w:r>
      <w:r w:rsidR="00D236B2">
        <w:t xml:space="preserve"> against</w:t>
      </w:r>
      <w:r w:rsidR="002C354A" w:rsidRPr="00256008">
        <w:t xml:space="preserve"> the Tribunal’s decision to the </w:t>
      </w:r>
      <w:r w:rsidR="009078C9">
        <w:t>Competition Appeal Court</w:t>
      </w:r>
      <w:r w:rsidR="002C354A" w:rsidRPr="00256008">
        <w:t xml:space="preserve">.  On 24 June 2016, the </w:t>
      </w:r>
      <w:r w:rsidR="009078C9">
        <w:t>Competition Appeal Court</w:t>
      </w:r>
      <w:r w:rsidR="002C354A" w:rsidRPr="00256008">
        <w:t xml:space="preserve"> </w:t>
      </w:r>
      <w:r w:rsidR="00B87E04">
        <w:t xml:space="preserve">set aside the </w:t>
      </w:r>
      <w:r w:rsidR="001A56CD">
        <w:t>Tribunal</w:t>
      </w:r>
      <w:r w:rsidR="00B87E04">
        <w:t>’</w:t>
      </w:r>
      <w:r w:rsidR="001A56CD">
        <w:t>s</w:t>
      </w:r>
      <w:r w:rsidR="003A347E">
        <w:t xml:space="preserve"> </w:t>
      </w:r>
      <w:r w:rsidR="000A074C" w:rsidRPr="00A83B02">
        <w:rPr>
          <w:noProof/>
        </w:rPr>
        <w:t>decision</w:t>
      </w:r>
      <w:r w:rsidR="000A074C" w:rsidRPr="00BE1CB9">
        <w:rPr>
          <w:noProof/>
        </w:rPr>
        <w:t xml:space="preserve"> </w:t>
      </w:r>
      <w:r w:rsidR="00917E48" w:rsidRPr="00A83B02">
        <w:rPr>
          <w:noProof/>
        </w:rPr>
        <w:t xml:space="preserve">that the conclusion of the </w:t>
      </w:r>
      <w:r w:rsidR="00C708BA">
        <w:rPr>
          <w:noProof/>
        </w:rPr>
        <w:t xml:space="preserve">agreement </w:t>
      </w:r>
      <w:r w:rsidR="00917E48" w:rsidRPr="00A83B02">
        <w:rPr>
          <w:noProof/>
        </w:rPr>
        <w:t>did not give rise to a notifiable</w:t>
      </w:r>
      <w:r w:rsidR="001A56CD">
        <w:rPr>
          <w:noProof/>
        </w:rPr>
        <w:t xml:space="preserve"> merger</w:t>
      </w:r>
      <w:r w:rsidR="00B87E04">
        <w:rPr>
          <w:noProof/>
        </w:rPr>
        <w:t xml:space="preserve"> and </w:t>
      </w:r>
      <w:r w:rsidR="001A56CD">
        <w:rPr>
          <w:noProof/>
        </w:rPr>
        <w:t xml:space="preserve">referred </w:t>
      </w:r>
      <w:r w:rsidR="005708FE">
        <w:rPr>
          <w:noProof/>
        </w:rPr>
        <w:t>the transaction</w:t>
      </w:r>
      <w:r w:rsidR="001A56CD">
        <w:rPr>
          <w:noProof/>
        </w:rPr>
        <w:t xml:space="preserve"> to the Commission</w:t>
      </w:r>
      <w:r w:rsidR="00BE3F2C">
        <w:rPr>
          <w:noProof/>
        </w:rPr>
        <w:t xml:space="preserve">. </w:t>
      </w:r>
      <w:r w:rsidR="000E65C9">
        <w:rPr>
          <w:noProof/>
        </w:rPr>
        <w:t xml:space="preserve"> </w:t>
      </w:r>
      <w:r w:rsidR="00BE3F2C">
        <w:rPr>
          <w:noProof/>
        </w:rPr>
        <w:t xml:space="preserve">In doing so, it reasoned that </w:t>
      </w:r>
      <w:r w:rsidR="00B22107">
        <w:rPr>
          <w:noProof/>
        </w:rPr>
        <w:t>“</w:t>
      </w:r>
      <w:r w:rsidR="000B4EEB">
        <w:rPr>
          <w:noProof/>
        </w:rPr>
        <w:t>[</w:t>
      </w:r>
      <w:r w:rsidR="00B22107">
        <w:rPr>
          <w:noProof/>
        </w:rPr>
        <w:t>i</w:t>
      </w:r>
      <w:r w:rsidR="000B4EEB">
        <w:rPr>
          <w:noProof/>
        </w:rPr>
        <w:t>]</w:t>
      </w:r>
      <w:r w:rsidR="00B22107">
        <w:rPr>
          <w:noProof/>
        </w:rPr>
        <w:t xml:space="preserve">t must be in the </w:t>
      </w:r>
      <w:r w:rsidR="00D14DA1" w:rsidRPr="005A0D9C">
        <w:rPr>
          <w:noProof/>
        </w:rPr>
        <w:t xml:space="preserve">public interest for transactions involving the public broadcaster to </w:t>
      </w:r>
      <w:r w:rsidR="00D14DA1" w:rsidRPr="00DE4718">
        <w:rPr>
          <w:noProof/>
        </w:rPr>
        <w:t>be examined</w:t>
      </w:r>
      <w:r w:rsidR="00D14DA1" w:rsidRPr="005A0D9C">
        <w:rPr>
          <w:noProof/>
        </w:rPr>
        <w:t xml:space="preserve"> with </w:t>
      </w:r>
      <w:r w:rsidR="00B22107">
        <w:rPr>
          <w:noProof/>
        </w:rPr>
        <w:t xml:space="preserve">a </w:t>
      </w:r>
      <w:r w:rsidR="00D14DA1" w:rsidRPr="00A83B02">
        <w:rPr>
          <w:noProof/>
        </w:rPr>
        <w:t>particular</w:t>
      </w:r>
      <w:r w:rsidR="00D14DA1" w:rsidRPr="00487169">
        <w:rPr>
          <w:noProof/>
        </w:rPr>
        <w:t xml:space="preserve"> consideration of the purpose of the </w:t>
      </w:r>
      <w:r w:rsidR="00CE0894">
        <w:rPr>
          <w:noProof/>
        </w:rPr>
        <w:t xml:space="preserve">[Competition] </w:t>
      </w:r>
      <w:r w:rsidR="00D14DA1" w:rsidRPr="00487169">
        <w:rPr>
          <w:noProof/>
        </w:rPr>
        <w:t>Act</w:t>
      </w:r>
      <w:r w:rsidR="00DE415A">
        <w:rPr>
          <w:noProof/>
        </w:rPr>
        <w:t>”</w:t>
      </w:r>
      <w:r w:rsidR="00BE3F2C">
        <w:rPr>
          <w:noProof/>
        </w:rPr>
        <w:t xml:space="preserve"> and </w:t>
      </w:r>
      <w:r w:rsidR="004F4587">
        <w:rPr>
          <w:noProof/>
        </w:rPr>
        <w:t xml:space="preserve">that </w:t>
      </w:r>
      <w:r w:rsidR="00BE3F2C">
        <w:rPr>
          <w:noProof/>
        </w:rPr>
        <w:t>there</w:t>
      </w:r>
      <w:r w:rsidR="00D14DA1" w:rsidRPr="00487169">
        <w:rPr>
          <w:noProof/>
        </w:rPr>
        <w:t xml:space="preserve"> was </w:t>
      </w:r>
      <w:r w:rsidR="00D14DA1" w:rsidRPr="00C20E44">
        <w:rPr>
          <w:noProof/>
        </w:rPr>
        <w:t>“</w:t>
      </w:r>
      <w:r w:rsidR="00AA2989">
        <w:rPr>
          <w:noProof/>
        </w:rPr>
        <w:t xml:space="preserve">a </w:t>
      </w:r>
      <w:r w:rsidR="00D14DA1" w:rsidRPr="00C20E44">
        <w:rPr>
          <w:noProof/>
        </w:rPr>
        <w:t xml:space="preserve">considerable lack of clarity on </w:t>
      </w:r>
      <w:r w:rsidR="008E5265" w:rsidRPr="00C20E44">
        <w:rPr>
          <w:noProof/>
        </w:rPr>
        <w:t>a number of</w:t>
      </w:r>
      <w:r w:rsidR="00D14DA1" w:rsidRPr="00C20E44">
        <w:rPr>
          <w:noProof/>
        </w:rPr>
        <w:t xml:space="preserve"> factual aspects which were disputed”</w:t>
      </w:r>
      <w:r w:rsidR="00D14DA1" w:rsidRPr="00C06827">
        <w:rPr>
          <w:noProof/>
        </w:rPr>
        <w:t>.</w:t>
      </w:r>
      <w:bookmarkStart w:id="1" w:name="_Ref523929770"/>
      <w:r w:rsidR="00D14DA1" w:rsidRPr="00256008">
        <w:rPr>
          <w:rStyle w:val="FootnoteReference"/>
          <w:rFonts w:cs="Arial"/>
          <w:szCs w:val="26"/>
        </w:rPr>
        <w:footnoteReference w:id="7"/>
      </w:r>
      <w:bookmarkEnd w:id="1"/>
      <w:r w:rsidR="00D14DA1" w:rsidRPr="00256008">
        <w:t xml:space="preserve"> </w:t>
      </w:r>
      <w:r w:rsidR="00AA2989">
        <w:t xml:space="preserve"> </w:t>
      </w:r>
      <w:r w:rsidR="00731C94">
        <w:rPr>
          <w:noProof/>
        </w:rPr>
        <w:t xml:space="preserve">Although </w:t>
      </w:r>
      <w:r w:rsidR="008E5265" w:rsidRPr="00DE4718">
        <w:rPr>
          <w:noProof/>
        </w:rPr>
        <w:t>acknowledg</w:t>
      </w:r>
      <w:r w:rsidR="00731C94">
        <w:rPr>
          <w:noProof/>
        </w:rPr>
        <w:t xml:space="preserve">ing </w:t>
      </w:r>
      <w:r w:rsidR="008E5265">
        <w:t xml:space="preserve">that </w:t>
      </w:r>
      <w:r w:rsidR="001B4B04" w:rsidRPr="004520F1">
        <w:rPr>
          <w:noProof/>
        </w:rPr>
        <w:t xml:space="preserve">on the </w:t>
      </w:r>
      <w:r w:rsidR="001B4B04" w:rsidRPr="006E6A74">
        <w:rPr>
          <w:i/>
          <w:noProof/>
        </w:rPr>
        <w:t>Plascon-Evans</w:t>
      </w:r>
      <w:r w:rsidR="001B4B04" w:rsidRPr="006E6A74">
        <w:rPr>
          <w:noProof/>
        </w:rPr>
        <w:t xml:space="preserve"> test </w:t>
      </w:r>
      <w:r w:rsidR="00C353D4" w:rsidRPr="000E32AA">
        <w:rPr>
          <w:noProof/>
        </w:rPr>
        <w:t>the respo</w:t>
      </w:r>
      <w:r w:rsidR="0077454C" w:rsidRPr="004319B6">
        <w:rPr>
          <w:noProof/>
        </w:rPr>
        <w:t>ndent</w:t>
      </w:r>
      <w:r w:rsidR="00D41021">
        <w:rPr>
          <w:noProof/>
        </w:rPr>
        <w:t>s’</w:t>
      </w:r>
      <w:r w:rsidR="0077454C" w:rsidRPr="0043510F">
        <w:rPr>
          <w:noProof/>
        </w:rPr>
        <w:t xml:space="preserve"> version </w:t>
      </w:r>
      <w:r w:rsidR="00DE4718" w:rsidRPr="00DE4718">
        <w:rPr>
          <w:noProof/>
        </w:rPr>
        <w:t xml:space="preserve">is </w:t>
      </w:r>
      <w:r w:rsidR="0077454C" w:rsidRPr="0005776D">
        <w:rPr>
          <w:noProof/>
        </w:rPr>
        <w:t>preferr</w:t>
      </w:r>
      <w:r w:rsidR="00C353D4" w:rsidRPr="00F21ED4">
        <w:rPr>
          <w:noProof/>
        </w:rPr>
        <w:t>ed</w:t>
      </w:r>
      <w:r w:rsidR="00C353D4" w:rsidRPr="00985E30">
        <w:rPr>
          <w:noProof/>
        </w:rPr>
        <w:t xml:space="preserve">, </w:t>
      </w:r>
      <w:r w:rsidR="00AA2989">
        <w:rPr>
          <w:noProof/>
        </w:rPr>
        <w:t>the Competition Appeal Court</w:t>
      </w:r>
      <w:r w:rsidR="00DE4718" w:rsidRPr="00DE4718">
        <w:rPr>
          <w:noProof/>
        </w:rPr>
        <w:t xml:space="preserve"> </w:t>
      </w:r>
      <w:r w:rsidR="00C353D4" w:rsidRPr="00985E30">
        <w:rPr>
          <w:noProof/>
        </w:rPr>
        <w:t xml:space="preserve">sharply </w:t>
      </w:r>
      <w:r w:rsidR="00C353D4" w:rsidRPr="00DE4718">
        <w:rPr>
          <w:noProof/>
        </w:rPr>
        <w:t>critici</w:t>
      </w:r>
      <w:r w:rsidR="00DE415A" w:rsidRPr="00DE4718">
        <w:rPr>
          <w:noProof/>
        </w:rPr>
        <w:t>s</w:t>
      </w:r>
      <w:r w:rsidR="00C353D4" w:rsidRPr="00DE4718">
        <w:rPr>
          <w:noProof/>
        </w:rPr>
        <w:t>e</w:t>
      </w:r>
      <w:r w:rsidR="00C724C0">
        <w:rPr>
          <w:noProof/>
        </w:rPr>
        <w:t>d</w:t>
      </w:r>
      <w:r w:rsidR="00DE4718" w:rsidRPr="00DE4718">
        <w:rPr>
          <w:noProof/>
        </w:rPr>
        <w:t xml:space="preserve"> </w:t>
      </w:r>
      <w:r w:rsidR="00917E48" w:rsidRPr="00DE4718">
        <w:rPr>
          <w:noProof/>
        </w:rPr>
        <w:t>the</w:t>
      </w:r>
      <w:r w:rsidR="00917E48" w:rsidRPr="00985E30">
        <w:rPr>
          <w:noProof/>
        </w:rPr>
        <w:t xml:space="preserve"> Tribunal for deciding the matter </w:t>
      </w:r>
      <w:r w:rsidR="00D14DA1" w:rsidRPr="00B42E46">
        <w:rPr>
          <w:noProof/>
        </w:rPr>
        <w:t xml:space="preserve">on </w:t>
      </w:r>
      <w:r w:rsidR="00B22107">
        <w:rPr>
          <w:noProof/>
        </w:rPr>
        <w:t xml:space="preserve">its </w:t>
      </w:r>
      <w:r w:rsidR="00D14DA1" w:rsidRPr="00B42E46">
        <w:rPr>
          <w:noProof/>
        </w:rPr>
        <w:t>strict application</w:t>
      </w:r>
      <w:r w:rsidR="00BE3F2C">
        <w:rPr>
          <w:noProof/>
        </w:rPr>
        <w:t>,</w:t>
      </w:r>
      <w:r w:rsidR="00D14DA1" w:rsidRPr="00B42E46">
        <w:rPr>
          <w:noProof/>
        </w:rPr>
        <w:t xml:space="preserve"> </w:t>
      </w:r>
      <w:r w:rsidR="00731C94">
        <w:rPr>
          <w:noProof/>
        </w:rPr>
        <w:t>and</w:t>
      </w:r>
      <w:r w:rsidR="00D14DA1" w:rsidRPr="00CC3856">
        <w:rPr>
          <w:noProof/>
        </w:rPr>
        <w:t xml:space="preserve"> for failing to invoke its wide inquisitorial powers to investigate the </w:t>
      </w:r>
      <w:r w:rsidR="00C724C0">
        <w:rPr>
          <w:noProof/>
        </w:rPr>
        <w:t>a</w:t>
      </w:r>
      <w:r w:rsidR="00C708BA">
        <w:rPr>
          <w:noProof/>
        </w:rPr>
        <w:t>greement</w:t>
      </w:r>
      <w:r w:rsidR="00C353D4" w:rsidRPr="00612A0A">
        <w:rPr>
          <w:noProof/>
        </w:rPr>
        <w:t>.</w:t>
      </w:r>
      <w:r w:rsidR="00D14DA1" w:rsidRPr="00256008">
        <w:rPr>
          <w:rStyle w:val="FootnoteReference"/>
          <w:rFonts w:cs="Arial"/>
          <w:szCs w:val="26"/>
        </w:rPr>
        <w:footnoteReference w:id="8"/>
      </w:r>
      <w:r w:rsidR="00F8762E">
        <w:t xml:space="preserve"> </w:t>
      </w:r>
      <w:r w:rsidR="00E858E9">
        <w:t xml:space="preserve"> </w:t>
      </w:r>
      <w:r w:rsidR="00BE3F2C">
        <w:t>In this regard, it stated</w:t>
      </w:r>
      <w:r w:rsidR="00C353D4">
        <w:t xml:space="preserve"> that</w:t>
      </w:r>
      <w:r w:rsidR="009078C9" w:rsidRPr="009078C9">
        <w:t>—</w:t>
      </w:r>
    </w:p>
    <w:p w:rsidR="00C01A5D" w:rsidRPr="00C01A5D" w:rsidRDefault="00C01A5D" w:rsidP="00C01A5D">
      <w:pPr>
        <w:pStyle w:val="QUOTATION"/>
      </w:pPr>
    </w:p>
    <w:p w:rsidR="007E3E15" w:rsidRDefault="008A330A" w:rsidP="00C01A5D">
      <w:pPr>
        <w:pStyle w:val="QUOTATION"/>
      </w:pPr>
      <w:r>
        <w:t>“</w:t>
      </w:r>
      <w:r w:rsidR="009078C9">
        <w:t>t</w:t>
      </w:r>
      <w:r w:rsidR="00C353D4">
        <w:t xml:space="preserve">he Tribunal is clothed with inquisitorial powers. </w:t>
      </w:r>
      <w:r w:rsidR="00BD6769">
        <w:t xml:space="preserve"> </w:t>
      </w:r>
      <w:r w:rsidR="00C353D4">
        <w:t xml:space="preserve">A merger proceeding is not a trial in the ordinary </w:t>
      </w:r>
      <w:r w:rsidR="000B4EEB">
        <w:t>civil sense of that</w:t>
      </w:r>
      <w:r w:rsidR="00C353D4">
        <w:t xml:space="preserve"> word. </w:t>
      </w:r>
      <w:r w:rsidR="00BD6769">
        <w:t xml:space="preserve"> </w:t>
      </w:r>
      <w:r w:rsidR="00C353D4">
        <w:t xml:space="preserve">The Tribunal should employ inquisitorial powers to interrogate evidential questions </w:t>
      </w:r>
      <w:r w:rsidR="00F8762E">
        <w:t xml:space="preserve">beyond </w:t>
      </w:r>
      <w:r w:rsidR="00C353D4">
        <w:t xml:space="preserve">the strict confines of </w:t>
      </w:r>
      <w:proofErr w:type="spellStart"/>
      <w:r w:rsidR="00C353D4" w:rsidRPr="00C353D4">
        <w:rPr>
          <w:i/>
        </w:rPr>
        <w:t>Plascon</w:t>
      </w:r>
      <w:proofErr w:type="spellEnd"/>
      <w:r w:rsidR="007538FC">
        <w:rPr>
          <w:i/>
        </w:rPr>
        <w:t>-</w:t>
      </w:r>
      <w:r w:rsidR="00C353D4" w:rsidRPr="00C353D4">
        <w:rPr>
          <w:i/>
        </w:rPr>
        <w:t>Evans</w:t>
      </w:r>
      <w:r w:rsidR="00C353D4">
        <w:t xml:space="preserve"> to ensure that the full evidential complexity is available to it </w:t>
      </w:r>
      <w:r w:rsidR="00C353D4" w:rsidRPr="00DE4718">
        <w:rPr>
          <w:noProof/>
        </w:rPr>
        <w:t>in order that</w:t>
      </w:r>
      <w:r w:rsidR="00C353D4">
        <w:t xml:space="preserve"> it might come </w:t>
      </w:r>
      <w:r w:rsidR="00E858E9" w:rsidRPr="00A83B02">
        <w:rPr>
          <w:noProof/>
        </w:rPr>
        <w:t>to</w:t>
      </w:r>
      <w:r w:rsidR="00E858E9">
        <w:t xml:space="preserve"> </w:t>
      </w:r>
      <w:r w:rsidR="005D0075">
        <w:t xml:space="preserve">a </w:t>
      </w:r>
      <w:r w:rsidR="00E858E9">
        <w:t>decision</w:t>
      </w:r>
      <w:r w:rsidR="00C353D4">
        <w:t xml:space="preserve"> which advances the purposes of the </w:t>
      </w:r>
      <w:r w:rsidR="00CE0894">
        <w:t xml:space="preserve">[Competition] </w:t>
      </w:r>
      <w:r w:rsidR="00C353D4">
        <w:t xml:space="preserve">Act. </w:t>
      </w:r>
      <w:r w:rsidR="00E858E9">
        <w:t xml:space="preserve"> </w:t>
      </w:r>
      <w:r w:rsidR="00C353D4">
        <w:t xml:space="preserve">Mergers are not a place </w:t>
      </w:r>
      <w:r w:rsidR="007E3E15">
        <w:t xml:space="preserve">for the accusatorial formation adopted by the Tribunal in all too many </w:t>
      </w:r>
      <w:r w:rsidR="00AA2989">
        <w:t xml:space="preserve">of its </w:t>
      </w:r>
      <w:r w:rsidR="007E3E15">
        <w:t xml:space="preserve">hearings. </w:t>
      </w:r>
      <w:r w:rsidR="00E858E9">
        <w:t xml:space="preserve"> </w:t>
      </w:r>
      <w:r w:rsidR="007E3E15">
        <w:t xml:space="preserve">Again it regrettably failed to inquire in this particular case. </w:t>
      </w:r>
      <w:r w:rsidR="00E858E9">
        <w:t xml:space="preserve"> </w:t>
      </w:r>
      <w:r w:rsidR="007E3E15" w:rsidRPr="0011154F">
        <w:t xml:space="preserve">There are many </w:t>
      </w:r>
      <w:r w:rsidR="007E3E15" w:rsidRPr="0011154F">
        <w:lastRenderedPageBreak/>
        <w:t>questions regarding disputed factual contentions which we have raised in this judgment which</w:t>
      </w:r>
      <w:r w:rsidR="007E3E15" w:rsidRPr="00FA2279">
        <w:t xml:space="preserve"> could have </w:t>
      </w:r>
      <w:r w:rsidR="007E3E15" w:rsidRPr="00FA2279">
        <w:rPr>
          <w:noProof/>
        </w:rPr>
        <w:t>been better answered</w:t>
      </w:r>
      <w:r w:rsidR="007E3E15" w:rsidRPr="00FA2279">
        <w:t xml:space="preserve"> if an inquisitorial approach had </w:t>
      </w:r>
      <w:r w:rsidR="007E3E15" w:rsidRPr="00FA2279">
        <w:rPr>
          <w:noProof/>
        </w:rPr>
        <w:t>been adopted</w:t>
      </w:r>
      <w:r w:rsidR="007E3E15" w:rsidRPr="00FA2279">
        <w:t xml:space="preserve"> and a more sustained line of questioning </w:t>
      </w:r>
      <w:r w:rsidR="007E3E15" w:rsidRPr="00FA2279">
        <w:rPr>
          <w:noProof/>
        </w:rPr>
        <w:t>been</w:t>
      </w:r>
      <w:r w:rsidR="007E3E15" w:rsidRPr="00FA2279">
        <w:t xml:space="preserve"> implemented by the Tribunal in the hearing before it</w:t>
      </w:r>
      <w:r w:rsidR="005A053A">
        <w:t>.</w:t>
      </w:r>
      <w:r w:rsidRPr="00FA2279">
        <w:t>”</w:t>
      </w:r>
      <w:r w:rsidR="00F8762E" w:rsidRPr="00FA2279">
        <w:rPr>
          <w:rStyle w:val="FootnoteReference"/>
        </w:rPr>
        <w:footnoteReference w:id="9"/>
      </w:r>
    </w:p>
    <w:p w:rsidR="00023447" w:rsidRPr="00023447" w:rsidRDefault="00023447" w:rsidP="00023447">
      <w:pPr>
        <w:pStyle w:val="JUDGMENTCONTINUED"/>
      </w:pPr>
    </w:p>
    <w:p w:rsidR="00F816C3"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[12]</w:t>
      </w:r>
      <w:r>
        <w:rPr>
          <w:color w:val="000000"/>
          <w14:scene3d>
            <w14:camera w14:prst="orthographicFront"/>
            <w14:lightRig w14:rig="threePt" w14:dir="t">
              <w14:rot w14:lat="0" w14:lon="0" w14:rev="0"/>
            </w14:lightRig>
          </w14:scene3d>
        </w:rPr>
        <w:tab/>
      </w:r>
      <w:r w:rsidR="008E5961">
        <w:t xml:space="preserve">The </w:t>
      </w:r>
      <w:r w:rsidR="009078C9">
        <w:t>Competition Appeal Court</w:t>
      </w:r>
      <w:r w:rsidR="008E5961">
        <w:t xml:space="preserve"> described </w:t>
      </w:r>
      <w:r w:rsidR="00731C94">
        <w:t xml:space="preserve">the case </w:t>
      </w:r>
      <w:r w:rsidR="008E5961">
        <w:t xml:space="preserve">as being </w:t>
      </w:r>
      <w:r w:rsidR="00731C94">
        <w:t>exceptional as</w:t>
      </w:r>
      <w:r w:rsidR="00BE3F2C">
        <w:t xml:space="preserve"> there was “</w:t>
      </w:r>
      <w:r w:rsidR="008F1E21">
        <w:t xml:space="preserve">enough </w:t>
      </w:r>
      <w:r w:rsidR="00BE3F2C">
        <w:t>evidential doubt</w:t>
      </w:r>
      <w:r w:rsidR="00AA2989">
        <w:t>,</w:t>
      </w:r>
      <w:r w:rsidR="00BE3F2C">
        <w:t xml:space="preserve"> coupled </w:t>
      </w:r>
      <w:r w:rsidR="000D622F">
        <w:t>to</w:t>
      </w:r>
      <w:r w:rsidR="00BE3F2C">
        <w:t xml:space="preserve"> </w:t>
      </w:r>
      <w:r w:rsidR="008E5961">
        <w:t xml:space="preserve">a clear </w:t>
      </w:r>
      <w:r w:rsidR="00BE3F2C">
        <w:t>public interest component</w:t>
      </w:r>
      <w:r w:rsidR="008F1E21">
        <w:t>”</w:t>
      </w:r>
      <w:r w:rsidR="001F4748">
        <w:t>,</w:t>
      </w:r>
      <w:r w:rsidR="00BE3F2C">
        <w:t xml:space="preserve"> in the transaction </w:t>
      </w:r>
      <w:r w:rsidR="008E5961">
        <w:t>that required “</w:t>
      </w:r>
      <w:r w:rsidR="00BE3F2C">
        <w:t xml:space="preserve">a less </w:t>
      </w:r>
      <w:r w:rsidR="008E5961">
        <w:t>formalistic and more</w:t>
      </w:r>
      <w:r w:rsidR="00BE3F2C">
        <w:t xml:space="preserve"> substantive approach</w:t>
      </w:r>
      <w:r w:rsidR="008E5961">
        <w:t xml:space="preserve"> to the enquiry”.</w:t>
      </w:r>
      <w:r w:rsidR="000E65C9">
        <w:rPr>
          <w:rStyle w:val="FootnoteReference"/>
        </w:rPr>
        <w:footnoteReference w:id="10"/>
      </w:r>
      <w:r w:rsidR="008E5961">
        <w:t xml:space="preserve"> </w:t>
      </w:r>
      <w:r w:rsidR="000E65C9">
        <w:t xml:space="preserve"> </w:t>
      </w:r>
      <w:r w:rsidR="008E5961">
        <w:t>In conclusion</w:t>
      </w:r>
      <w:r w:rsidR="00AA2989">
        <w:t>,</w:t>
      </w:r>
      <w:r w:rsidR="008E5961">
        <w:t xml:space="preserve"> it</w:t>
      </w:r>
      <w:r w:rsidR="008F1E21">
        <w:t xml:space="preserve"> stated:</w:t>
      </w:r>
    </w:p>
    <w:p w:rsidR="00C01A5D" w:rsidRPr="00C01A5D" w:rsidRDefault="00C01A5D" w:rsidP="00C01A5D">
      <w:pPr>
        <w:pStyle w:val="QUOTATION"/>
      </w:pPr>
    </w:p>
    <w:p w:rsidR="00C353D4" w:rsidRPr="00C353D4" w:rsidRDefault="007538FC" w:rsidP="00496293">
      <w:pPr>
        <w:pStyle w:val="QUOTATION"/>
      </w:pPr>
      <w:r>
        <w:t>“</w:t>
      </w:r>
      <w:r w:rsidR="00A45238">
        <w:t xml:space="preserve">We are </w:t>
      </w:r>
      <w:r w:rsidR="00A45238" w:rsidRPr="00DE4718">
        <w:rPr>
          <w:noProof/>
        </w:rPr>
        <w:t>cognisant</w:t>
      </w:r>
      <w:r w:rsidR="00A45238">
        <w:t xml:space="preserve"> of the fact that the </w:t>
      </w:r>
      <w:r w:rsidR="008E5961">
        <w:t>a</w:t>
      </w:r>
      <w:r w:rsidR="00A45238">
        <w:t xml:space="preserve">greement </w:t>
      </w:r>
      <w:r w:rsidR="000B159E">
        <w:t>h</w:t>
      </w:r>
      <w:r w:rsidR="009C7290" w:rsidRPr="00DE4718">
        <w:rPr>
          <w:noProof/>
        </w:rPr>
        <w:t>as</w:t>
      </w:r>
      <w:r w:rsidR="00A45238" w:rsidRPr="00DE4718">
        <w:rPr>
          <w:noProof/>
        </w:rPr>
        <w:t xml:space="preserve"> </w:t>
      </w:r>
      <w:r w:rsidR="000B159E">
        <w:rPr>
          <w:noProof/>
        </w:rPr>
        <w:t xml:space="preserve">been </w:t>
      </w:r>
      <w:r w:rsidR="00A45238" w:rsidRPr="00DE4718">
        <w:rPr>
          <w:noProof/>
        </w:rPr>
        <w:t>entered</w:t>
      </w:r>
      <w:r w:rsidR="00A45238">
        <w:t xml:space="preserve"> into in July 2013 and that the matter must </w:t>
      </w:r>
      <w:r w:rsidR="00A45238" w:rsidRPr="00DE4718">
        <w:rPr>
          <w:noProof/>
        </w:rPr>
        <w:t>be brought</w:t>
      </w:r>
      <w:r w:rsidR="00A45238">
        <w:t xml:space="preserve"> to finality. </w:t>
      </w:r>
      <w:r w:rsidR="00E858E9">
        <w:t xml:space="preserve"> </w:t>
      </w:r>
      <w:proofErr w:type="gramStart"/>
      <w:r w:rsidR="00BD6769">
        <w:t>Accordingly</w:t>
      </w:r>
      <w:proofErr w:type="gramEnd"/>
      <w:r w:rsidR="00A45238">
        <w:t xml:space="preserve"> a restricted timetable must </w:t>
      </w:r>
      <w:r w:rsidR="00A45238" w:rsidRPr="00DE4718">
        <w:rPr>
          <w:noProof/>
        </w:rPr>
        <w:t>be employed</w:t>
      </w:r>
      <w:r w:rsidR="00A45238">
        <w:t xml:space="preserve"> for any relief granted. </w:t>
      </w:r>
      <w:r w:rsidR="00E858E9">
        <w:t xml:space="preserve"> </w:t>
      </w:r>
      <w:r w:rsidR="00A45238" w:rsidRPr="00DE4718">
        <w:rPr>
          <w:noProof/>
        </w:rPr>
        <w:t>Furt</w:t>
      </w:r>
      <w:r w:rsidR="009C7290" w:rsidRPr="00DE4718">
        <w:rPr>
          <w:noProof/>
        </w:rPr>
        <w:t>hermore, in the event that the Competition C</w:t>
      </w:r>
      <w:r w:rsidR="00A45238" w:rsidRPr="00DE4718">
        <w:rPr>
          <w:noProof/>
        </w:rPr>
        <w:t xml:space="preserve">ommission files a report to the effect that the </w:t>
      </w:r>
      <w:r w:rsidR="008E5961">
        <w:rPr>
          <w:noProof/>
        </w:rPr>
        <w:t>a</w:t>
      </w:r>
      <w:r w:rsidR="00A45238" w:rsidRPr="00DE4718">
        <w:rPr>
          <w:noProof/>
        </w:rPr>
        <w:t xml:space="preserve">greement does not give rise to a change </w:t>
      </w:r>
      <w:r w:rsidR="00AA2989">
        <w:rPr>
          <w:noProof/>
        </w:rPr>
        <w:t>of</w:t>
      </w:r>
      <w:r w:rsidR="00A45238" w:rsidRPr="00DE4718">
        <w:rPr>
          <w:noProof/>
        </w:rPr>
        <w:t xml:space="preserve"> control in terms of the </w:t>
      </w:r>
      <w:r w:rsidR="00CE0894">
        <w:rPr>
          <w:noProof/>
        </w:rPr>
        <w:t xml:space="preserve">[Competition] </w:t>
      </w:r>
      <w:r w:rsidR="00A45238" w:rsidRPr="00DE4718">
        <w:rPr>
          <w:noProof/>
        </w:rPr>
        <w:t>Act, it would appear to be a fruitless exercise for t</w:t>
      </w:r>
      <w:r w:rsidR="0044483A" w:rsidRPr="00DE4718">
        <w:rPr>
          <w:noProof/>
        </w:rPr>
        <w:t>he matter to be reheard by the T</w:t>
      </w:r>
      <w:r w:rsidR="00A45238" w:rsidRPr="00DE4718">
        <w:rPr>
          <w:noProof/>
        </w:rPr>
        <w:t>ribunal in the light of the exhaustive enquiry which has already taken place in th</w:t>
      </w:r>
      <w:r w:rsidR="0044483A" w:rsidRPr="00DE4718">
        <w:rPr>
          <w:noProof/>
        </w:rPr>
        <w:t>is court and previously in the T</w:t>
      </w:r>
      <w:r w:rsidR="00A45238" w:rsidRPr="00DE4718">
        <w:rPr>
          <w:noProof/>
        </w:rPr>
        <w:t>ribunal.</w:t>
      </w:r>
      <w:r w:rsidR="008A330A">
        <w:rPr>
          <w:noProof/>
        </w:rPr>
        <w:t>”</w:t>
      </w:r>
      <w:r w:rsidR="00A45238">
        <w:rPr>
          <w:rStyle w:val="FootnoteReference"/>
        </w:rPr>
        <w:footnoteReference w:id="11"/>
      </w:r>
    </w:p>
    <w:p w:rsidR="00C353D4" w:rsidRDefault="00C353D4" w:rsidP="003F67C2">
      <w:pPr>
        <w:pStyle w:val="JUDGMENTNUMBERED"/>
        <w:numPr>
          <w:ilvl w:val="0"/>
          <w:numId w:val="0"/>
        </w:numPr>
      </w:pPr>
    </w:p>
    <w:p w:rsidR="00FA2279"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[13]</w:t>
      </w:r>
      <w:r>
        <w:rPr>
          <w:color w:val="000000"/>
          <w14:scene3d>
            <w14:camera w14:prst="orthographicFront"/>
            <w14:lightRig w14:rig="threePt" w14:dir="t">
              <w14:rot w14:lat="0" w14:lon="0" w14:rev="0"/>
            </w14:lightRig>
          </w14:scene3d>
        </w:rPr>
        <w:tab/>
      </w:r>
      <w:r w:rsidR="0044483A">
        <w:t xml:space="preserve">The </w:t>
      </w:r>
      <w:r w:rsidR="009078C9">
        <w:t>Competition Appeal Court</w:t>
      </w:r>
      <w:r w:rsidR="008F1E21">
        <w:t>,</w:t>
      </w:r>
      <w:r w:rsidR="00443BEC">
        <w:t xml:space="preserve"> </w:t>
      </w:r>
      <w:r w:rsidR="0044483A">
        <w:t>accordingly</w:t>
      </w:r>
      <w:r w:rsidR="008F1E21">
        <w:t>,</w:t>
      </w:r>
      <w:r w:rsidR="0044483A">
        <w:t xml:space="preserve"> made the following order:</w:t>
      </w:r>
    </w:p>
    <w:p w:rsidR="00CE0894" w:rsidRPr="00DB5365" w:rsidRDefault="00CE0894" w:rsidP="00B32555">
      <w:pPr>
        <w:pStyle w:val="QUOTATION"/>
      </w:pPr>
    </w:p>
    <w:p w:rsidR="0044483A" w:rsidRPr="00C01A5D" w:rsidRDefault="007B54C6" w:rsidP="007B54C6">
      <w:pPr>
        <w:pStyle w:val="QUOTATION"/>
        <w:ind w:hanging="153"/>
      </w:pPr>
      <w:r>
        <w:t xml:space="preserve"> </w:t>
      </w:r>
      <w:r w:rsidR="000E65C9" w:rsidRPr="00C01A5D">
        <w:t>“</w:t>
      </w:r>
      <w:r w:rsidR="005761A1" w:rsidRPr="00C01A5D">
        <w:t>1.</w:t>
      </w:r>
      <w:r w:rsidR="00C01A5D">
        <w:tab/>
      </w:r>
      <w:r w:rsidR="005761A1" w:rsidRPr="00C01A5D">
        <w:t xml:space="preserve">The order of the Tribunal </w:t>
      </w:r>
      <w:r w:rsidR="000B159E">
        <w:t xml:space="preserve">of 11 February 2016 </w:t>
      </w:r>
      <w:r w:rsidR="005761A1" w:rsidRPr="00C01A5D">
        <w:t>is set aside.</w:t>
      </w:r>
    </w:p>
    <w:p w:rsidR="0044483A" w:rsidRPr="00C01A5D" w:rsidRDefault="0044483A" w:rsidP="00C01A5D">
      <w:pPr>
        <w:pStyle w:val="QUOTATION"/>
        <w:ind w:left="1418" w:hanging="698"/>
      </w:pPr>
      <w:r w:rsidRPr="00C01A5D">
        <w:t>2.</w:t>
      </w:r>
      <w:r w:rsidRPr="00C01A5D">
        <w:tab/>
        <w:t xml:space="preserve">[The SABC and </w:t>
      </w:r>
      <w:proofErr w:type="spellStart"/>
      <w:r w:rsidRPr="00C01A5D">
        <w:t>MultiChoice</w:t>
      </w:r>
      <w:proofErr w:type="spellEnd"/>
      <w:r w:rsidRPr="00C01A5D">
        <w:t>] are directed to provide the Competition</w:t>
      </w:r>
      <w:r w:rsidR="00574050">
        <w:t> </w:t>
      </w:r>
      <w:r w:rsidRPr="00C01A5D">
        <w:t xml:space="preserve">Commission within 21 days of this judgment </w:t>
      </w:r>
      <w:r w:rsidR="000B159E">
        <w:t>[</w:t>
      </w:r>
      <w:r w:rsidR="009C7290" w:rsidRPr="00C01A5D">
        <w:t>with</w:t>
      </w:r>
      <w:r w:rsidR="000B159E">
        <w:t>]</w:t>
      </w:r>
      <w:r w:rsidR="009C7290" w:rsidRPr="00C01A5D">
        <w:t xml:space="preserve"> </w:t>
      </w:r>
      <w:r w:rsidRPr="00C01A5D">
        <w:t>all documentation including but not limited to all correspondence, board minutes, internal memoranda pertaining to the negotiation, conclusion</w:t>
      </w:r>
      <w:r w:rsidR="009C7290" w:rsidRPr="00C01A5D">
        <w:t>,</w:t>
      </w:r>
      <w:r w:rsidRPr="00C01A5D">
        <w:t xml:space="preserve"> and implementation of the </w:t>
      </w:r>
      <w:r w:rsidR="008F1E21" w:rsidRPr="00C01A5D">
        <w:t>a</w:t>
      </w:r>
      <w:r w:rsidR="000B159E">
        <w:t>greement of 3 July 2013.</w:t>
      </w:r>
    </w:p>
    <w:p w:rsidR="0044483A" w:rsidRPr="00C01A5D" w:rsidRDefault="0044483A" w:rsidP="00C01A5D">
      <w:pPr>
        <w:pStyle w:val="QUOTATION"/>
        <w:ind w:left="1418" w:hanging="698"/>
      </w:pPr>
      <w:r w:rsidRPr="00C01A5D">
        <w:t>3.</w:t>
      </w:r>
      <w:r w:rsidRPr="00C01A5D">
        <w:tab/>
        <w:t xml:space="preserve">The Competition Commission is directed within 30 days of the receipt of the aforesaid information and documentation to file a report with the Competition Tribunal recommending whether or not the </w:t>
      </w:r>
      <w:r w:rsidR="008F1E21" w:rsidRPr="00C01A5D">
        <w:t>a</w:t>
      </w:r>
      <w:r w:rsidRPr="00C01A5D">
        <w:t>greement gives rise to a notifiable change of control</w:t>
      </w:r>
      <w:r w:rsidR="00F8762E" w:rsidRPr="00C01A5D">
        <w:t>.</w:t>
      </w:r>
    </w:p>
    <w:p w:rsidR="0044483A" w:rsidRPr="00C01A5D" w:rsidRDefault="0044483A" w:rsidP="00C01A5D">
      <w:pPr>
        <w:pStyle w:val="QUOTATION"/>
        <w:ind w:left="1418" w:hanging="698"/>
      </w:pPr>
      <w:r w:rsidRPr="00C01A5D">
        <w:lastRenderedPageBreak/>
        <w:t>4.</w:t>
      </w:r>
      <w:r w:rsidRPr="00C01A5D">
        <w:tab/>
        <w:t xml:space="preserve">In the event that the Competition Commission recommends that the </w:t>
      </w:r>
      <w:r w:rsidR="008F1E21" w:rsidRPr="00C01A5D">
        <w:t>a</w:t>
      </w:r>
      <w:r w:rsidRPr="00C01A5D">
        <w:t xml:space="preserve">greement gives rise to a notifiable change of control which falls within the definition of a merger in terms of section 12 of the </w:t>
      </w:r>
      <w:r w:rsidR="00CE0894">
        <w:t xml:space="preserve">[Competition] </w:t>
      </w:r>
      <w:r w:rsidRPr="00C01A5D">
        <w:t xml:space="preserve">Act, it is directed that a rehearing of the matter shall be conducted by the Tribunal to determine whether the conclusion of the </w:t>
      </w:r>
      <w:r w:rsidR="001F4748">
        <w:t>a</w:t>
      </w:r>
      <w:r w:rsidRPr="00C01A5D">
        <w:t>greement did entail such a merger as defined.</w:t>
      </w:r>
      <w:r w:rsidR="000E65C9" w:rsidRPr="00C01A5D">
        <w:t>”</w:t>
      </w:r>
      <w:r w:rsidR="000B159E">
        <w:rPr>
          <w:rStyle w:val="FootnoteReference"/>
        </w:rPr>
        <w:footnoteReference w:id="12"/>
      </w:r>
    </w:p>
    <w:p w:rsidR="00882CAA" w:rsidRPr="00882CAA" w:rsidRDefault="00882CAA" w:rsidP="003F39E3">
      <w:pPr>
        <w:pStyle w:val="JUDGMENTCONTINUED"/>
      </w:pPr>
    </w:p>
    <w:p w:rsidR="00F8762E"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[14]</w:t>
      </w:r>
      <w:r>
        <w:rPr>
          <w:color w:val="000000"/>
          <w14:scene3d>
            <w14:camera w14:prst="orthographicFront"/>
            <w14:lightRig w14:rig="threePt" w14:dir="t">
              <w14:rot w14:lat="0" w14:lon="0" w14:rev="0"/>
            </w14:lightRig>
          </w14:scene3d>
        </w:rPr>
        <w:tab/>
      </w:r>
      <w:r w:rsidR="002C354A" w:rsidRPr="00256008">
        <w:t xml:space="preserve">In a separate concurring judgment, </w:t>
      </w:r>
      <w:proofErr w:type="spellStart"/>
      <w:r w:rsidR="002C354A" w:rsidRPr="00256008">
        <w:t>Vally</w:t>
      </w:r>
      <w:proofErr w:type="spellEnd"/>
      <w:r w:rsidR="00F8762E">
        <w:t xml:space="preserve"> AJA</w:t>
      </w:r>
      <w:r w:rsidR="002C354A" w:rsidRPr="00256008">
        <w:t xml:space="preserve"> held that to make a definitive d</w:t>
      </w:r>
      <w:r w:rsidR="0044483A">
        <w:t xml:space="preserve">etermination as to whether the </w:t>
      </w:r>
      <w:r w:rsidR="00F54716">
        <w:t>a</w:t>
      </w:r>
      <w:r w:rsidR="00C708BA">
        <w:t xml:space="preserve">greement </w:t>
      </w:r>
      <w:r w:rsidR="002C354A" w:rsidRPr="00256008">
        <w:t xml:space="preserve">gave rise to a notifiable merger, </w:t>
      </w:r>
      <w:r w:rsidR="002C354A" w:rsidRPr="00BE1CB9">
        <w:t xml:space="preserve">“it would be necessary to have regard to more evidence than is presently available.  The information that would shed more light on this important issue rests in the hands of </w:t>
      </w:r>
      <w:proofErr w:type="spellStart"/>
      <w:r w:rsidR="002C354A" w:rsidRPr="00BE1CB9">
        <w:t>MultiChoice</w:t>
      </w:r>
      <w:proofErr w:type="spellEnd"/>
      <w:r w:rsidR="002C354A" w:rsidRPr="00BE1CB9">
        <w:t xml:space="preserve"> and the SABC”</w:t>
      </w:r>
      <w:r w:rsidR="000E65C9">
        <w:t>.</w:t>
      </w:r>
      <w:r w:rsidR="002C354A" w:rsidRPr="00905594">
        <w:rPr>
          <w:rStyle w:val="FootnoteReference"/>
          <w:rFonts w:cs="Arial"/>
          <w:szCs w:val="26"/>
        </w:rPr>
        <w:footnoteReference w:id="13"/>
      </w:r>
      <w:bookmarkStart w:id="2" w:name="_Toc495026305"/>
    </w:p>
    <w:p w:rsidR="008A330A" w:rsidRDefault="008A330A" w:rsidP="00F54716">
      <w:pPr>
        <w:pStyle w:val="JUDGMENTCONTINUED"/>
      </w:pPr>
    </w:p>
    <w:p w:rsidR="00327297" w:rsidRPr="00327297" w:rsidRDefault="00327297" w:rsidP="00C01A5D">
      <w:pPr>
        <w:pStyle w:val="HEADING"/>
        <w:ind w:firstLine="720"/>
      </w:pPr>
      <w:r>
        <w:t xml:space="preserve">Approach to the Tribunal </w:t>
      </w:r>
    </w:p>
    <w:p w:rsidR="002C354A" w:rsidRPr="00B87E04" w:rsidRDefault="006970A9" w:rsidP="006970A9">
      <w:pPr>
        <w:pStyle w:val="JUDGMENTNUMBERED"/>
        <w:numPr>
          <w:ilvl w:val="0"/>
          <w:numId w:val="0"/>
        </w:numPr>
      </w:pPr>
      <w:r w:rsidRPr="00B87E04">
        <w:rPr>
          <w:color w:val="000000"/>
          <w14:scene3d>
            <w14:camera w14:prst="orthographicFront"/>
            <w14:lightRig w14:rig="threePt" w14:dir="t">
              <w14:rot w14:lat="0" w14:lon="0" w14:rev="0"/>
            </w14:lightRig>
          </w14:scene3d>
        </w:rPr>
        <w:t>[15]</w:t>
      </w:r>
      <w:r w:rsidRPr="00B87E04">
        <w:rPr>
          <w:color w:val="000000"/>
          <w14:scene3d>
            <w14:camera w14:prst="orthographicFront"/>
            <w14:lightRig w14:rig="threePt" w14:dir="t">
              <w14:rot w14:lat="0" w14:lon="0" w14:rev="0"/>
            </w14:lightRig>
          </w14:scene3d>
        </w:rPr>
        <w:tab/>
      </w:r>
      <w:r w:rsidR="008A330A" w:rsidRPr="00116662">
        <w:t xml:space="preserve">Following the June 2016 order, the SABC and </w:t>
      </w:r>
      <w:proofErr w:type="spellStart"/>
      <w:r w:rsidR="008A330A" w:rsidRPr="00116662">
        <w:t>MultiChoice</w:t>
      </w:r>
      <w:proofErr w:type="spellEnd"/>
      <w:r w:rsidR="008A330A" w:rsidRPr="00116662">
        <w:t xml:space="preserve"> handed over a limited number of documents to the Commission but claimed that the bulk of the </w:t>
      </w:r>
      <w:r w:rsidR="008A330A" w:rsidRPr="00D011E6">
        <w:rPr>
          <w:noProof/>
        </w:rPr>
        <w:t>documents</w:t>
      </w:r>
      <w:r w:rsidR="008A330A" w:rsidRPr="00116662">
        <w:t xml:space="preserve"> sought by the Commission either did not exist, could no longer be traced, or were not relevant. </w:t>
      </w:r>
      <w:r w:rsidR="008A330A">
        <w:t xml:space="preserve"> </w:t>
      </w:r>
      <w:r w:rsidR="008A330A" w:rsidRPr="00116662">
        <w:t xml:space="preserve">The Commission found itself unable to make a recommendation based on the limited documents received from the SABC and </w:t>
      </w:r>
      <w:proofErr w:type="spellStart"/>
      <w:r w:rsidR="008A330A" w:rsidRPr="00116662">
        <w:t>MultiChoice</w:t>
      </w:r>
      <w:proofErr w:type="spellEnd"/>
      <w:r w:rsidR="008A330A" w:rsidRPr="00116662">
        <w:t xml:space="preserve">. </w:t>
      </w:r>
      <w:r w:rsidR="008A330A">
        <w:t xml:space="preserve"> </w:t>
      </w:r>
      <w:r w:rsidR="00F54716">
        <w:t>It therefore wrote to the Tribunal</w:t>
      </w:r>
      <w:r w:rsidR="00CC4950">
        <w:t xml:space="preserve"> on 4 October 2016</w:t>
      </w:r>
      <w:r w:rsidR="00F54716">
        <w:t xml:space="preserve"> recording that the documents received were not sufficient for it to discharge its </w:t>
      </w:r>
      <w:r w:rsidR="001F4748">
        <w:t>c</w:t>
      </w:r>
      <w:r w:rsidR="00F54716">
        <w:t>ourt mandated task</w:t>
      </w:r>
      <w:r w:rsidR="005210BE">
        <w:t>. A</w:t>
      </w:r>
      <w:r w:rsidR="000061B9">
        <w:t>nd</w:t>
      </w:r>
      <w:r w:rsidR="00F54716">
        <w:t xml:space="preserve"> </w:t>
      </w:r>
      <w:r w:rsidR="0091186B">
        <w:t xml:space="preserve">that </w:t>
      </w:r>
      <w:r w:rsidR="000061B9">
        <w:t>i</w:t>
      </w:r>
      <w:r w:rsidR="00F54716">
        <w:t xml:space="preserve">n order to give proper effect to the </w:t>
      </w:r>
      <w:r w:rsidR="000E65C9">
        <w:t xml:space="preserve">June 2016 </w:t>
      </w:r>
      <w:r w:rsidR="00F54716">
        <w:t>order</w:t>
      </w:r>
      <w:r w:rsidR="0080589F">
        <w:t>,</w:t>
      </w:r>
      <w:r w:rsidR="00CC4950">
        <w:t xml:space="preserve"> it intended to interrogate relevant executives and </w:t>
      </w:r>
      <w:r w:rsidR="00CE0894">
        <w:t>b</w:t>
      </w:r>
      <w:r w:rsidR="00CC4950">
        <w:t xml:space="preserve">oard members of the SABC and </w:t>
      </w:r>
      <w:proofErr w:type="spellStart"/>
      <w:r w:rsidR="00CC4950">
        <w:t>MultiChoice</w:t>
      </w:r>
      <w:proofErr w:type="spellEnd"/>
      <w:r w:rsidR="00CC4950">
        <w:t xml:space="preserve"> who were</w:t>
      </w:r>
      <w:r w:rsidR="00F84651">
        <w:t xml:space="preserve"> involved in </w:t>
      </w:r>
      <w:r w:rsidR="00CC4950">
        <w:t>the negotiation, conclusion and implementation of the agreement.</w:t>
      </w:r>
      <w:r w:rsidR="00A66FC6">
        <w:t xml:space="preserve"> </w:t>
      </w:r>
      <w:r w:rsidR="00327297">
        <w:t xml:space="preserve"> </w:t>
      </w:r>
      <w:bookmarkEnd w:id="2"/>
      <w:r w:rsidR="00731C94">
        <w:t>The Commission</w:t>
      </w:r>
      <w:r w:rsidR="008F1E21">
        <w:t xml:space="preserve"> accordingly</w:t>
      </w:r>
      <w:r w:rsidR="00731C94">
        <w:t xml:space="preserve"> requested the Tribunal to issue a directive on whether it was entitled to conduct interrogations</w:t>
      </w:r>
      <w:r w:rsidR="00273F63">
        <w:t xml:space="preserve"> of this kin</w:t>
      </w:r>
      <w:r w:rsidR="00A243FC">
        <w:t>d</w:t>
      </w:r>
      <w:r w:rsidR="00273F63">
        <w:t xml:space="preserve"> in order</w:t>
      </w:r>
      <w:r w:rsidR="00731C94">
        <w:t xml:space="preserve"> to give effect to the June 2016 order.</w:t>
      </w:r>
      <w:r w:rsidR="008F1E21">
        <w:t xml:space="preserve"> </w:t>
      </w:r>
      <w:r w:rsidR="00A66FC6">
        <w:t xml:space="preserve"> </w:t>
      </w:r>
      <w:r w:rsidR="008F1E21">
        <w:t xml:space="preserve">The SABC and </w:t>
      </w:r>
      <w:proofErr w:type="spellStart"/>
      <w:r w:rsidR="008F1E21">
        <w:t>MultiChoice</w:t>
      </w:r>
      <w:proofErr w:type="spellEnd"/>
      <w:r w:rsidR="008F1E21">
        <w:t xml:space="preserve"> objected on the basis that the Tribunal had no jurisdiction to entertain the Commission’s request. </w:t>
      </w:r>
      <w:r w:rsidR="00A66FC6">
        <w:t xml:space="preserve"> The </w:t>
      </w:r>
      <w:r w:rsidR="002C354A" w:rsidRPr="00731C94">
        <w:rPr>
          <w:szCs w:val="26"/>
        </w:rPr>
        <w:t>Tribunal</w:t>
      </w:r>
      <w:r w:rsidR="004666FA" w:rsidRPr="00731C94">
        <w:rPr>
          <w:szCs w:val="26"/>
        </w:rPr>
        <w:t xml:space="preserve"> </w:t>
      </w:r>
      <w:r w:rsidR="002C354A" w:rsidRPr="00731C94">
        <w:rPr>
          <w:szCs w:val="26"/>
        </w:rPr>
        <w:t xml:space="preserve">declined the </w:t>
      </w:r>
      <w:r w:rsidR="002C354A" w:rsidRPr="00B22107">
        <w:rPr>
          <w:szCs w:val="26"/>
        </w:rPr>
        <w:t>request</w:t>
      </w:r>
      <w:r w:rsidR="001A138F" w:rsidRPr="00B22107">
        <w:rPr>
          <w:szCs w:val="26"/>
        </w:rPr>
        <w:t xml:space="preserve"> for a directive</w:t>
      </w:r>
      <w:r w:rsidR="00F84651" w:rsidRPr="00B22107">
        <w:rPr>
          <w:szCs w:val="26"/>
        </w:rPr>
        <w:t xml:space="preserve"> on the</w:t>
      </w:r>
      <w:r w:rsidR="008F1E21">
        <w:rPr>
          <w:szCs w:val="26"/>
        </w:rPr>
        <w:t xml:space="preserve"> same basis.</w:t>
      </w:r>
    </w:p>
    <w:p w:rsidR="00EC301D" w:rsidRPr="00BE1CB9" w:rsidRDefault="00EC301D" w:rsidP="00C01A5D">
      <w:pPr>
        <w:pStyle w:val="JUDGMENTCONTINUED"/>
      </w:pPr>
    </w:p>
    <w:p w:rsidR="00EC301D" w:rsidRPr="00F84984" w:rsidRDefault="00822886" w:rsidP="008C7177">
      <w:pPr>
        <w:pStyle w:val="HEADING"/>
        <w:ind w:firstLine="720"/>
        <w:rPr>
          <w:szCs w:val="26"/>
        </w:rPr>
      </w:pPr>
      <w:r>
        <w:rPr>
          <w:szCs w:val="26"/>
        </w:rPr>
        <w:lastRenderedPageBreak/>
        <w:t xml:space="preserve">Urgent </w:t>
      </w:r>
      <w:r w:rsidR="002B5E93">
        <w:rPr>
          <w:szCs w:val="26"/>
        </w:rPr>
        <w:t>a</w:t>
      </w:r>
      <w:r w:rsidR="00EC301D" w:rsidRPr="00F84984">
        <w:rPr>
          <w:szCs w:val="26"/>
        </w:rPr>
        <w:t xml:space="preserve">pplication before the </w:t>
      </w:r>
      <w:r w:rsidR="009078C9" w:rsidRPr="009078C9">
        <w:rPr>
          <w:szCs w:val="26"/>
        </w:rPr>
        <w:t>Competition Appeal Court</w:t>
      </w:r>
      <w:r w:rsidR="00C5077A">
        <w:rPr>
          <w:szCs w:val="26"/>
        </w:rPr>
        <w:t xml:space="preserve"> (October 2016)</w:t>
      </w:r>
    </w:p>
    <w:p w:rsidR="002C354A" w:rsidRDefault="006970A9" w:rsidP="006970A9">
      <w:pPr>
        <w:pStyle w:val="JUDGMENTNUMBERED"/>
        <w:numPr>
          <w:ilvl w:val="0"/>
          <w:numId w:val="0"/>
        </w:numPr>
        <w:rPr>
          <w:szCs w:val="26"/>
        </w:rPr>
      </w:pPr>
      <w:r>
        <w:rPr>
          <w:color w:val="000000"/>
          <w:szCs w:val="26"/>
          <w14:scene3d>
            <w14:camera w14:prst="orthographicFront"/>
            <w14:lightRig w14:rig="threePt" w14:dir="t">
              <w14:rot w14:lat="0" w14:lon="0" w14:rev="0"/>
            </w14:lightRig>
          </w14:scene3d>
        </w:rPr>
        <w:t>[16]</w:t>
      </w:r>
      <w:r>
        <w:rPr>
          <w:color w:val="000000"/>
          <w:szCs w:val="26"/>
          <w14:scene3d>
            <w14:camera w14:prst="orthographicFront"/>
            <w14:lightRig w14:rig="threePt" w14:dir="t">
              <w14:rot w14:lat="0" w14:lon="0" w14:rev="0"/>
            </w14:lightRig>
          </w14:scene3d>
        </w:rPr>
        <w:tab/>
      </w:r>
      <w:r w:rsidR="00143627">
        <w:rPr>
          <w:szCs w:val="26"/>
        </w:rPr>
        <w:t>In the face of the impasse</w:t>
      </w:r>
      <w:r w:rsidR="002C354A" w:rsidRPr="00F84984">
        <w:rPr>
          <w:szCs w:val="26"/>
        </w:rPr>
        <w:t xml:space="preserve">, in October 2016 the applicants, supported by the Commission, applied urgently to the </w:t>
      </w:r>
      <w:r w:rsidR="009078C9">
        <w:t>Competition Appeal Court</w:t>
      </w:r>
      <w:r w:rsidR="002C354A" w:rsidRPr="00F84984">
        <w:rPr>
          <w:szCs w:val="26"/>
        </w:rPr>
        <w:t xml:space="preserve"> for </w:t>
      </w:r>
      <w:r w:rsidR="00616E49">
        <w:rPr>
          <w:szCs w:val="26"/>
        </w:rPr>
        <w:t xml:space="preserve">the following </w:t>
      </w:r>
      <w:r w:rsidR="002C354A" w:rsidRPr="00F84984">
        <w:rPr>
          <w:szCs w:val="26"/>
        </w:rPr>
        <w:t>relief</w:t>
      </w:r>
      <w:r w:rsidR="008C7177">
        <w:rPr>
          <w:szCs w:val="26"/>
        </w:rPr>
        <w:t>:</w:t>
      </w:r>
    </w:p>
    <w:p w:rsidR="00F91D8E" w:rsidRPr="00F91D8E" w:rsidRDefault="00F91D8E" w:rsidP="00F91D8E">
      <w:pPr>
        <w:pStyle w:val="JUDGMENTCONTINUED"/>
      </w:pPr>
    </w:p>
    <w:p w:rsidR="002C354A" w:rsidRPr="00BE1CB9" w:rsidRDefault="006970A9" w:rsidP="006970A9">
      <w:pPr>
        <w:pStyle w:val="List1"/>
        <w:spacing w:after="120"/>
      </w:pPr>
      <w:r w:rsidRPr="00BE1CB9">
        <w:t>(a)</w:t>
      </w:r>
      <w:r w:rsidRPr="00BE1CB9">
        <w:tab/>
      </w:r>
      <w:r w:rsidR="00374177" w:rsidRPr="00BE1CB9">
        <w:t>D</w:t>
      </w:r>
      <w:r w:rsidR="002C354A" w:rsidRPr="00BE1CB9">
        <w:t xml:space="preserve">eclaring that the Commission </w:t>
      </w:r>
      <w:r w:rsidR="002C354A" w:rsidRPr="00764B63">
        <w:rPr>
          <w:noProof/>
        </w:rPr>
        <w:t>is authori</w:t>
      </w:r>
      <w:r w:rsidR="00764B63" w:rsidRPr="00764B63">
        <w:rPr>
          <w:noProof/>
        </w:rPr>
        <w:t>s</w:t>
      </w:r>
      <w:r w:rsidR="002C354A" w:rsidRPr="00764B63">
        <w:rPr>
          <w:noProof/>
        </w:rPr>
        <w:t>ed</w:t>
      </w:r>
      <w:r w:rsidR="002C354A" w:rsidRPr="00BE1CB9">
        <w:t xml:space="preserve"> under the June 2016 order</w:t>
      </w:r>
      <w:r w:rsidR="00AE3794" w:rsidRPr="00BE1CB9">
        <w:t xml:space="preserve"> </w:t>
      </w:r>
      <w:r w:rsidR="002C354A" w:rsidRPr="00BE1CB9">
        <w:t>to exercise its powers of investigation under Part B of Chapter 5 of the Competition Act (which include powers to subpoena witnesses to appear be</w:t>
      </w:r>
      <w:r w:rsidR="00C01A5D">
        <w:t>fore it)</w:t>
      </w:r>
      <w:r w:rsidR="00CE0894">
        <w:t>.</w:t>
      </w:r>
    </w:p>
    <w:p w:rsidR="002C354A" w:rsidRDefault="006970A9" w:rsidP="006970A9">
      <w:pPr>
        <w:pStyle w:val="List1"/>
      </w:pPr>
      <w:r>
        <w:t>(b)</w:t>
      </w:r>
      <w:r>
        <w:tab/>
      </w:r>
      <w:r w:rsidR="00CE0894">
        <w:t>A</w:t>
      </w:r>
      <w:r w:rsidR="002C354A" w:rsidRPr="00BE1CB9">
        <w:t xml:space="preserve">lternatively, to vary the </w:t>
      </w:r>
      <w:r w:rsidR="0038115B">
        <w:t>June 2016</w:t>
      </w:r>
      <w:r w:rsidR="0038115B" w:rsidRPr="00BE1CB9">
        <w:t xml:space="preserve"> </w:t>
      </w:r>
      <w:r w:rsidR="002C354A" w:rsidRPr="00BE1CB9">
        <w:t xml:space="preserve">order to </w:t>
      </w:r>
      <w:r w:rsidR="002C354A" w:rsidRPr="00764B63">
        <w:rPr>
          <w:noProof/>
        </w:rPr>
        <w:t>authori</w:t>
      </w:r>
      <w:r w:rsidR="00616E49" w:rsidRPr="00764B63">
        <w:rPr>
          <w:noProof/>
        </w:rPr>
        <w:t>s</w:t>
      </w:r>
      <w:r w:rsidR="002C354A" w:rsidRPr="00764B63">
        <w:rPr>
          <w:noProof/>
        </w:rPr>
        <w:t>e</w:t>
      </w:r>
      <w:r w:rsidR="002C354A" w:rsidRPr="00BE1CB9">
        <w:t xml:space="preserve"> the Commission to do </w:t>
      </w:r>
      <w:r w:rsidR="002C354A" w:rsidRPr="00BE1CB9">
        <w:rPr>
          <w:noProof/>
        </w:rPr>
        <w:t>so</w:t>
      </w:r>
      <w:r w:rsidR="005A368F" w:rsidRPr="00A83B02">
        <w:rPr>
          <w:noProof/>
        </w:rPr>
        <w:t>,</w:t>
      </w:r>
      <w:r w:rsidR="002C354A" w:rsidRPr="00BE1CB9">
        <w:t xml:space="preserve"> or to issue a fresh </w:t>
      </w:r>
      <w:r w:rsidR="002C354A" w:rsidRPr="00764B63">
        <w:rPr>
          <w:noProof/>
        </w:rPr>
        <w:t>order</w:t>
      </w:r>
      <w:r w:rsidR="002C354A" w:rsidRPr="00BE1CB9">
        <w:t xml:space="preserve"> to this effect.</w:t>
      </w:r>
    </w:p>
    <w:p w:rsidR="003F32C7" w:rsidRDefault="003F32C7" w:rsidP="00C01A5D">
      <w:pPr>
        <w:pStyle w:val="JUDGMENTCONTINUED"/>
      </w:pPr>
    </w:p>
    <w:p w:rsidR="002C354A" w:rsidRPr="0007181D" w:rsidRDefault="006970A9" w:rsidP="006970A9">
      <w:pPr>
        <w:pStyle w:val="JUDGMENTNUMBERED"/>
        <w:numPr>
          <w:ilvl w:val="0"/>
          <w:numId w:val="0"/>
        </w:numPr>
        <w:rPr>
          <w:szCs w:val="26"/>
        </w:rPr>
      </w:pPr>
      <w:r w:rsidRPr="0007181D">
        <w:rPr>
          <w:color w:val="000000"/>
          <w:szCs w:val="26"/>
          <w14:scene3d>
            <w14:camera w14:prst="orthographicFront"/>
            <w14:lightRig w14:rig="threePt" w14:dir="t">
              <w14:rot w14:lat="0" w14:lon="0" w14:rev="0"/>
            </w14:lightRig>
          </w14:scene3d>
        </w:rPr>
        <w:t>[17]</w:t>
      </w:r>
      <w:r w:rsidRPr="0007181D">
        <w:rPr>
          <w:color w:val="000000"/>
          <w:szCs w:val="26"/>
          <w14:scene3d>
            <w14:camera w14:prst="orthographicFront"/>
            <w14:lightRig w14:rig="threePt" w14:dir="t">
              <w14:rot w14:lat="0" w14:lon="0" w14:rev="0"/>
            </w14:lightRig>
          </w14:scene3d>
        </w:rPr>
        <w:tab/>
      </w:r>
      <w:r w:rsidR="00D55F9D">
        <w:rPr>
          <w:szCs w:val="26"/>
        </w:rPr>
        <w:t xml:space="preserve">The </w:t>
      </w:r>
      <w:r w:rsidR="00D55F9D" w:rsidRPr="00D55F9D">
        <w:rPr>
          <w:noProof/>
          <w:szCs w:val="26"/>
        </w:rPr>
        <w:t xml:space="preserve">application </w:t>
      </w:r>
      <w:r w:rsidR="002C354A" w:rsidRPr="00764B63">
        <w:rPr>
          <w:noProof/>
          <w:szCs w:val="26"/>
        </w:rPr>
        <w:t>was heard</w:t>
      </w:r>
      <w:r w:rsidR="002C354A" w:rsidRPr="00F84984">
        <w:rPr>
          <w:szCs w:val="26"/>
        </w:rPr>
        <w:t xml:space="preserve"> on 2 December 2016 and judgment was reserved. </w:t>
      </w:r>
      <w:r w:rsidR="00AE1B5C">
        <w:rPr>
          <w:szCs w:val="26"/>
        </w:rPr>
        <w:t xml:space="preserve"> </w:t>
      </w:r>
      <w:r w:rsidR="002C354A" w:rsidRPr="00F84984">
        <w:rPr>
          <w:szCs w:val="26"/>
        </w:rPr>
        <w:t>S</w:t>
      </w:r>
      <w:r w:rsidR="00B87E04">
        <w:rPr>
          <w:szCs w:val="26"/>
        </w:rPr>
        <w:t xml:space="preserve">ubsequently, </w:t>
      </w:r>
      <w:r w:rsidR="002C354A" w:rsidRPr="00F84984">
        <w:rPr>
          <w:szCs w:val="26"/>
        </w:rPr>
        <w:t xml:space="preserve">a Parliamentary inquiry commenced into the SABC’s affairs.  On 8 and 9 December 2016, representatives of the SABC, including current </w:t>
      </w:r>
      <w:r w:rsidR="00CE0894">
        <w:rPr>
          <w:szCs w:val="26"/>
        </w:rPr>
        <w:t>b</w:t>
      </w:r>
      <w:r w:rsidR="002C354A" w:rsidRPr="00F84984">
        <w:rPr>
          <w:szCs w:val="26"/>
        </w:rPr>
        <w:t xml:space="preserve">oard member </w:t>
      </w:r>
      <w:r w:rsidR="002C354A" w:rsidRPr="00764B63">
        <w:rPr>
          <w:noProof/>
          <w:szCs w:val="26"/>
        </w:rPr>
        <w:t>Mr</w:t>
      </w:r>
      <w:r w:rsidR="001F4748">
        <w:rPr>
          <w:szCs w:val="26"/>
        </w:rPr>
        <w:t> </w:t>
      </w:r>
      <w:proofErr w:type="spellStart"/>
      <w:r w:rsidR="002C354A" w:rsidRPr="00F84984">
        <w:rPr>
          <w:szCs w:val="26"/>
        </w:rPr>
        <w:t>Krish</w:t>
      </w:r>
      <w:proofErr w:type="spellEnd"/>
      <w:r w:rsidR="002C354A" w:rsidRPr="00F84984">
        <w:rPr>
          <w:szCs w:val="26"/>
        </w:rPr>
        <w:t xml:space="preserve"> Naidoo an</w:t>
      </w:r>
      <w:r w:rsidR="0080589F">
        <w:rPr>
          <w:szCs w:val="26"/>
        </w:rPr>
        <w:t>d former g</w:t>
      </w:r>
      <w:r w:rsidR="002C354A" w:rsidRPr="00F84984">
        <w:rPr>
          <w:szCs w:val="26"/>
        </w:rPr>
        <w:t xml:space="preserve">roup CEO, </w:t>
      </w:r>
      <w:r w:rsidR="002C354A" w:rsidRPr="00764B63">
        <w:rPr>
          <w:noProof/>
          <w:szCs w:val="26"/>
        </w:rPr>
        <w:t>Mrs</w:t>
      </w:r>
      <w:r w:rsidR="002C354A" w:rsidRPr="00F84984">
        <w:rPr>
          <w:szCs w:val="26"/>
        </w:rPr>
        <w:t xml:space="preserve"> </w:t>
      </w:r>
      <w:proofErr w:type="spellStart"/>
      <w:r w:rsidR="002C354A" w:rsidRPr="00F84984">
        <w:rPr>
          <w:szCs w:val="26"/>
        </w:rPr>
        <w:t>Lulama</w:t>
      </w:r>
      <w:proofErr w:type="spellEnd"/>
      <w:r w:rsidR="002C354A" w:rsidRPr="00F84984">
        <w:rPr>
          <w:szCs w:val="26"/>
        </w:rPr>
        <w:t xml:space="preserve"> </w:t>
      </w:r>
      <w:proofErr w:type="spellStart"/>
      <w:r w:rsidR="002C354A" w:rsidRPr="00F84984">
        <w:rPr>
          <w:szCs w:val="26"/>
        </w:rPr>
        <w:t>Mokhobo</w:t>
      </w:r>
      <w:proofErr w:type="spellEnd"/>
      <w:r w:rsidR="002C354A" w:rsidRPr="00F84984">
        <w:rPr>
          <w:szCs w:val="26"/>
        </w:rPr>
        <w:t xml:space="preserve">, testified before the inquiry </w:t>
      </w:r>
      <w:r w:rsidR="002A6DC7">
        <w:rPr>
          <w:szCs w:val="26"/>
        </w:rPr>
        <w:t>regarding</w:t>
      </w:r>
      <w:r w:rsidR="002C354A" w:rsidRPr="00F84984">
        <w:rPr>
          <w:szCs w:val="26"/>
        </w:rPr>
        <w:t xml:space="preserve"> the conclusion of the </w:t>
      </w:r>
      <w:r w:rsidR="00201CE8">
        <w:rPr>
          <w:szCs w:val="26"/>
        </w:rPr>
        <w:t>a</w:t>
      </w:r>
      <w:r w:rsidR="00C708BA">
        <w:rPr>
          <w:szCs w:val="26"/>
        </w:rPr>
        <w:t xml:space="preserve">greement </w:t>
      </w:r>
      <w:r w:rsidR="002C354A" w:rsidRPr="00F84984">
        <w:rPr>
          <w:szCs w:val="26"/>
        </w:rPr>
        <w:t xml:space="preserve">with </w:t>
      </w:r>
      <w:proofErr w:type="spellStart"/>
      <w:r w:rsidR="002C354A" w:rsidRPr="0072772F">
        <w:rPr>
          <w:szCs w:val="26"/>
        </w:rPr>
        <w:t>MultiChoice</w:t>
      </w:r>
      <w:proofErr w:type="spellEnd"/>
      <w:r w:rsidR="002C354A" w:rsidRPr="0072772F">
        <w:rPr>
          <w:szCs w:val="26"/>
        </w:rPr>
        <w:t>.</w:t>
      </w:r>
      <w:r w:rsidR="002C354A" w:rsidRPr="0007181D">
        <w:rPr>
          <w:szCs w:val="26"/>
        </w:rPr>
        <w:t xml:space="preserve"> </w:t>
      </w:r>
      <w:r w:rsidR="00CE0894">
        <w:rPr>
          <w:szCs w:val="26"/>
        </w:rPr>
        <w:t xml:space="preserve"> </w:t>
      </w:r>
      <w:r w:rsidR="002C354A" w:rsidRPr="0007181D">
        <w:rPr>
          <w:szCs w:val="26"/>
        </w:rPr>
        <w:t xml:space="preserve">The applicants sought to introduce </w:t>
      </w:r>
      <w:r w:rsidR="004C4950">
        <w:rPr>
          <w:szCs w:val="26"/>
        </w:rPr>
        <w:t xml:space="preserve">the transcripts from this inquiry on appeal to the </w:t>
      </w:r>
      <w:r w:rsidR="009078C9">
        <w:t>Competition</w:t>
      </w:r>
      <w:r w:rsidR="004A02DA">
        <w:t> </w:t>
      </w:r>
      <w:r w:rsidR="009078C9">
        <w:t>Appeal Court</w:t>
      </w:r>
      <w:r w:rsidR="004C4950">
        <w:rPr>
          <w:szCs w:val="26"/>
        </w:rPr>
        <w:t>.</w:t>
      </w:r>
    </w:p>
    <w:p w:rsidR="00694D2E" w:rsidRPr="00C766FD" w:rsidRDefault="00694D2E" w:rsidP="008C7177">
      <w:pPr>
        <w:pStyle w:val="JUDGMENTCONTINUED"/>
        <w:rPr>
          <w:szCs w:val="26"/>
        </w:rPr>
      </w:pPr>
    </w:p>
    <w:p w:rsidR="000476BF" w:rsidRDefault="006970A9" w:rsidP="006970A9">
      <w:pPr>
        <w:pStyle w:val="JUDGMENTNUMBERED"/>
        <w:numPr>
          <w:ilvl w:val="0"/>
          <w:numId w:val="0"/>
        </w:numPr>
        <w:rPr>
          <w:noProof/>
          <w:szCs w:val="26"/>
        </w:rPr>
      </w:pPr>
      <w:r>
        <w:rPr>
          <w:color w:val="000000"/>
          <w:szCs w:val="26"/>
          <w14:scene3d>
            <w14:camera w14:prst="orthographicFront"/>
            <w14:lightRig w14:rig="threePt" w14:dir="t">
              <w14:rot w14:lat="0" w14:lon="0" w14:rev="0"/>
            </w14:lightRig>
          </w14:scene3d>
        </w:rPr>
        <w:t>[18]</w:t>
      </w:r>
      <w:r>
        <w:rPr>
          <w:color w:val="000000"/>
          <w:szCs w:val="26"/>
          <w14:scene3d>
            <w14:camera w14:prst="orthographicFront"/>
            <w14:lightRig w14:rig="threePt" w14:dir="t">
              <w14:rot w14:lat="0" w14:lon="0" w14:rev="0"/>
            </w14:lightRig>
          </w14:scene3d>
        </w:rPr>
        <w:tab/>
      </w:r>
      <w:r w:rsidR="002C354A" w:rsidRPr="00C766FD">
        <w:rPr>
          <w:szCs w:val="26"/>
        </w:rPr>
        <w:t xml:space="preserve">On 28 April 2017, the </w:t>
      </w:r>
      <w:r w:rsidR="009078C9">
        <w:t>Competition Appeal Court</w:t>
      </w:r>
      <w:r w:rsidR="002C354A" w:rsidRPr="00C766FD">
        <w:rPr>
          <w:szCs w:val="26"/>
        </w:rPr>
        <w:t xml:space="preserve"> handed down judgment.</w:t>
      </w:r>
      <w:bookmarkStart w:id="3" w:name="_Ref525210720"/>
      <w:r w:rsidR="002C354A" w:rsidRPr="00F84984">
        <w:rPr>
          <w:rStyle w:val="FootnoteReference"/>
          <w:szCs w:val="26"/>
        </w:rPr>
        <w:footnoteReference w:id="14"/>
      </w:r>
      <w:bookmarkEnd w:id="3"/>
      <w:r w:rsidR="002C354A" w:rsidRPr="00F84984">
        <w:rPr>
          <w:szCs w:val="26"/>
        </w:rPr>
        <w:t xml:space="preserve">  It held that its </w:t>
      </w:r>
      <w:r w:rsidR="00D55F9D">
        <w:rPr>
          <w:szCs w:val="26"/>
        </w:rPr>
        <w:t>June</w:t>
      </w:r>
      <w:r w:rsidR="002C354A" w:rsidRPr="00F84984">
        <w:rPr>
          <w:szCs w:val="26"/>
        </w:rPr>
        <w:t xml:space="preserve"> 2016</w:t>
      </w:r>
      <w:r w:rsidR="00764B63">
        <w:rPr>
          <w:szCs w:val="26"/>
        </w:rPr>
        <w:t xml:space="preserve"> order</w:t>
      </w:r>
      <w:r w:rsidR="002C354A" w:rsidRPr="00F84984">
        <w:rPr>
          <w:szCs w:val="26"/>
        </w:rPr>
        <w:t xml:space="preserve"> </w:t>
      </w:r>
      <w:r w:rsidR="002C354A" w:rsidRPr="00B32555">
        <w:rPr>
          <w:szCs w:val="26"/>
        </w:rPr>
        <w:t>“</w:t>
      </w:r>
      <w:r w:rsidR="002C354A" w:rsidRPr="009845FA">
        <w:rPr>
          <w:szCs w:val="26"/>
        </w:rPr>
        <w:t>did not and cannot be read to</w:t>
      </w:r>
      <w:r w:rsidR="00DE4718" w:rsidRPr="009845FA">
        <w:rPr>
          <w:szCs w:val="26"/>
        </w:rPr>
        <w:t xml:space="preserve"> give</w:t>
      </w:r>
      <w:r w:rsidR="002C354A" w:rsidRPr="009845FA">
        <w:rPr>
          <w:szCs w:val="26"/>
        </w:rPr>
        <w:t xml:space="preserve"> </w:t>
      </w:r>
      <w:r w:rsidR="002C354A" w:rsidRPr="0038115B">
        <w:rPr>
          <w:szCs w:val="26"/>
        </w:rPr>
        <w:t xml:space="preserve">the </w:t>
      </w:r>
      <w:r w:rsidR="00D55F9D" w:rsidRPr="0038115B">
        <w:rPr>
          <w:szCs w:val="26"/>
        </w:rPr>
        <w:t>[</w:t>
      </w:r>
      <w:r w:rsidR="002C354A" w:rsidRPr="0038115B">
        <w:rPr>
          <w:szCs w:val="26"/>
        </w:rPr>
        <w:t>Commission]</w:t>
      </w:r>
      <w:r w:rsidR="00D55F9D" w:rsidRPr="0038115B">
        <w:rPr>
          <w:szCs w:val="26"/>
        </w:rPr>
        <w:t xml:space="preserve"> </w:t>
      </w:r>
      <w:r w:rsidR="002C354A" w:rsidRPr="009845FA">
        <w:rPr>
          <w:szCs w:val="26"/>
        </w:rPr>
        <w:t xml:space="preserve">powers </w:t>
      </w:r>
      <w:r w:rsidR="002C354A" w:rsidRPr="009845FA">
        <w:rPr>
          <w:noProof/>
          <w:szCs w:val="26"/>
        </w:rPr>
        <w:t>in terms of</w:t>
      </w:r>
      <w:r w:rsidR="002C354A" w:rsidRPr="009845FA">
        <w:rPr>
          <w:szCs w:val="26"/>
        </w:rPr>
        <w:t xml:space="preserve"> s</w:t>
      </w:r>
      <w:r w:rsidR="00CE0894">
        <w:rPr>
          <w:szCs w:val="26"/>
        </w:rPr>
        <w:t xml:space="preserve">ection </w:t>
      </w:r>
      <w:r w:rsidR="002C354A" w:rsidRPr="009845FA">
        <w:rPr>
          <w:szCs w:val="26"/>
        </w:rPr>
        <w:t>49A of the Act”</w:t>
      </w:r>
      <w:r w:rsidR="002C354A" w:rsidRPr="00FF7E0B">
        <w:rPr>
          <w:szCs w:val="26"/>
        </w:rPr>
        <w:t>.</w:t>
      </w:r>
      <w:r w:rsidR="002C354A" w:rsidRPr="00F84984">
        <w:rPr>
          <w:rStyle w:val="FootnoteReference"/>
          <w:szCs w:val="26"/>
        </w:rPr>
        <w:footnoteReference w:id="15"/>
      </w:r>
      <w:r w:rsidR="002C354A" w:rsidRPr="00F84984">
        <w:rPr>
          <w:szCs w:val="26"/>
        </w:rPr>
        <w:t xml:space="preserve">  It</w:t>
      </w:r>
      <w:r w:rsidR="005A0FD6">
        <w:rPr>
          <w:szCs w:val="26"/>
        </w:rPr>
        <w:t xml:space="preserve"> also </w:t>
      </w:r>
      <w:r w:rsidR="002C354A" w:rsidRPr="00F84984">
        <w:rPr>
          <w:szCs w:val="26"/>
        </w:rPr>
        <w:t xml:space="preserve">held that the order was “clear and unambiguous” and that it “expressly confined the source of the inquiry to be conducted by the </w:t>
      </w:r>
      <w:r w:rsidR="000D7FAD" w:rsidRPr="0072772F">
        <w:rPr>
          <w:szCs w:val="26"/>
        </w:rPr>
        <w:t xml:space="preserve">Commission </w:t>
      </w:r>
      <w:r w:rsidR="002C354A" w:rsidRPr="00047C95">
        <w:rPr>
          <w:i/>
          <w:szCs w:val="26"/>
        </w:rPr>
        <w:t>exclusively</w:t>
      </w:r>
      <w:r w:rsidR="002C354A" w:rsidRPr="00047C95">
        <w:rPr>
          <w:szCs w:val="26"/>
        </w:rPr>
        <w:t xml:space="preserve"> to documentation</w:t>
      </w:r>
      <w:r w:rsidR="002C354A" w:rsidRPr="00FF7E0B">
        <w:rPr>
          <w:szCs w:val="26"/>
        </w:rPr>
        <w:t xml:space="preserve"> as set out in the order</w:t>
      </w:r>
      <w:r w:rsidR="00D55F9D">
        <w:rPr>
          <w:noProof/>
          <w:szCs w:val="26"/>
        </w:rPr>
        <w:t>”</w:t>
      </w:r>
      <w:r w:rsidR="00CE0894">
        <w:rPr>
          <w:noProof/>
          <w:szCs w:val="26"/>
        </w:rPr>
        <w:t>.</w:t>
      </w:r>
      <w:r w:rsidR="00791A2C">
        <w:rPr>
          <w:rStyle w:val="FootnoteReference"/>
          <w:noProof/>
          <w:szCs w:val="26"/>
        </w:rPr>
        <w:footnoteReference w:id="16"/>
      </w:r>
      <w:r w:rsidR="00C01A5D">
        <w:rPr>
          <w:noProof/>
          <w:szCs w:val="26"/>
        </w:rPr>
        <w:t xml:space="preserve"> </w:t>
      </w:r>
      <w:r w:rsidR="00CE0894">
        <w:rPr>
          <w:noProof/>
          <w:szCs w:val="26"/>
        </w:rPr>
        <w:t xml:space="preserve"> </w:t>
      </w:r>
      <w:r w:rsidR="00C01A5D">
        <w:rPr>
          <w:noProof/>
          <w:szCs w:val="26"/>
        </w:rPr>
        <w:t>(</w:t>
      </w:r>
      <w:r w:rsidR="00CE0894">
        <w:rPr>
          <w:noProof/>
          <w:szCs w:val="26"/>
        </w:rPr>
        <w:t>E</w:t>
      </w:r>
      <w:r w:rsidR="00C01A5D">
        <w:rPr>
          <w:noProof/>
          <w:szCs w:val="26"/>
        </w:rPr>
        <w:t>mphasis added</w:t>
      </w:r>
      <w:r w:rsidR="00CE0894">
        <w:rPr>
          <w:noProof/>
          <w:szCs w:val="26"/>
        </w:rPr>
        <w:t>.</w:t>
      </w:r>
      <w:r w:rsidR="00C01A5D">
        <w:rPr>
          <w:noProof/>
          <w:szCs w:val="26"/>
        </w:rPr>
        <w:t>)</w:t>
      </w:r>
    </w:p>
    <w:p w:rsidR="00047C95" w:rsidRPr="00047C95" w:rsidRDefault="00047C95" w:rsidP="00C01A5D">
      <w:pPr>
        <w:pStyle w:val="JUDGMENTCONTINUED"/>
      </w:pPr>
    </w:p>
    <w:p w:rsidR="00D55F9D" w:rsidRPr="00D55F9D" w:rsidRDefault="006970A9" w:rsidP="006970A9">
      <w:pPr>
        <w:pStyle w:val="JUDGMENTNUMBERED"/>
        <w:numPr>
          <w:ilvl w:val="0"/>
          <w:numId w:val="0"/>
        </w:numPr>
        <w:rPr>
          <w:szCs w:val="26"/>
        </w:rPr>
      </w:pPr>
      <w:r w:rsidRPr="00D55F9D">
        <w:rPr>
          <w:color w:val="000000"/>
          <w:szCs w:val="26"/>
          <w14:scene3d>
            <w14:camera w14:prst="orthographicFront"/>
            <w14:lightRig w14:rig="threePt" w14:dir="t">
              <w14:rot w14:lat="0" w14:lon="0" w14:rev="0"/>
            </w14:lightRig>
          </w14:scene3d>
        </w:rPr>
        <w:lastRenderedPageBreak/>
        <w:t>[19]</w:t>
      </w:r>
      <w:r w:rsidRPr="00D55F9D">
        <w:rPr>
          <w:color w:val="000000"/>
          <w:szCs w:val="26"/>
          <w14:scene3d>
            <w14:camera w14:prst="orthographicFront"/>
            <w14:lightRig w14:rig="threePt" w14:dir="t">
              <w14:rot w14:lat="0" w14:lon="0" w14:rev="0"/>
            </w14:lightRig>
          </w14:scene3d>
        </w:rPr>
        <w:tab/>
      </w:r>
      <w:r w:rsidR="0035606B" w:rsidRPr="00D26010">
        <w:rPr>
          <w:noProof/>
        </w:rPr>
        <w:t>In re</w:t>
      </w:r>
      <w:r w:rsidR="00894340">
        <w:rPr>
          <w:noProof/>
        </w:rPr>
        <w:t xml:space="preserve">lation to the </w:t>
      </w:r>
      <w:r w:rsidR="00D55F9D" w:rsidRPr="00D26010">
        <w:rPr>
          <w:noProof/>
        </w:rPr>
        <w:t xml:space="preserve">meaning of its June 2016 order and the applicants’ </w:t>
      </w:r>
      <w:r w:rsidR="002C354A" w:rsidRPr="0005776D">
        <w:rPr>
          <w:noProof/>
        </w:rPr>
        <w:t xml:space="preserve">application to adduce further evidence, the </w:t>
      </w:r>
      <w:r w:rsidR="009078C9">
        <w:t>Competition Appeal Court</w:t>
      </w:r>
      <w:r w:rsidR="002C354A" w:rsidRPr="0005776D">
        <w:rPr>
          <w:noProof/>
        </w:rPr>
        <w:t xml:space="preserve"> held that the Commission was </w:t>
      </w:r>
      <w:r w:rsidR="002C354A" w:rsidRPr="005378EA">
        <w:rPr>
          <w:noProof/>
        </w:rPr>
        <w:t>not entitled</w:t>
      </w:r>
      <w:r w:rsidR="002C354A" w:rsidRPr="0005776D">
        <w:rPr>
          <w:noProof/>
        </w:rPr>
        <w:t xml:space="preserve"> </w:t>
      </w:r>
      <w:r w:rsidR="002C354A" w:rsidRPr="00F21ED4">
        <w:rPr>
          <w:noProof/>
        </w:rPr>
        <w:t>to</w:t>
      </w:r>
      <w:r w:rsidR="00D50532" w:rsidRPr="00904C60">
        <w:rPr>
          <w:noProof/>
        </w:rPr>
        <w:t xml:space="preserve"> </w:t>
      </w:r>
      <w:r w:rsidR="002C354A" w:rsidRPr="00DD6875">
        <w:rPr>
          <w:noProof/>
        </w:rPr>
        <w:t xml:space="preserve">interview </w:t>
      </w:r>
      <w:r w:rsidR="002C354A" w:rsidRPr="005378EA">
        <w:rPr>
          <w:noProof/>
        </w:rPr>
        <w:t>Mr</w:t>
      </w:r>
      <w:r w:rsidR="002C354A" w:rsidRPr="00DD6875">
        <w:rPr>
          <w:noProof/>
        </w:rPr>
        <w:t xml:space="preserve"> </w:t>
      </w:r>
      <w:r w:rsidR="00F414B2" w:rsidRPr="00756EBE">
        <w:rPr>
          <w:noProof/>
        </w:rPr>
        <w:t xml:space="preserve">Naidoo or </w:t>
      </w:r>
      <w:r w:rsidR="00F414B2" w:rsidRPr="005378EA">
        <w:rPr>
          <w:noProof/>
        </w:rPr>
        <w:t>Mrs</w:t>
      </w:r>
      <w:r w:rsidR="00F414B2" w:rsidRPr="00756EBE">
        <w:rPr>
          <w:noProof/>
        </w:rPr>
        <w:t xml:space="preserve"> Mokhobo</w:t>
      </w:r>
      <w:r w:rsidR="00BD6756">
        <w:rPr>
          <w:noProof/>
        </w:rPr>
        <w:t xml:space="preserve">. </w:t>
      </w:r>
      <w:r w:rsidR="00D41021">
        <w:rPr>
          <w:noProof/>
        </w:rPr>
        <w:t xml:space="preserve"> </w:t>
      </w:r>
      <w:r w:rsidR="00BD6756">
        <w:rPr>
          <w:noProof/>
        </w:rPr>
        <w:t>It</w:t>
      </w:r>
      <w:r w:rsidR="00DE4718" w:rsidRPr="00937F05">
        <w:rPr>
          <w:noProof/>
        </w:rPr>
        <w:t xml:space="preserve"> held</w:t>
      </w:r>
      <w:r w:rsidR="0035606B" w:rsidRPr="000F7227">
        <w:rPr>
          <w:noProof/>
        </w:rPr>
        <w:t xml:space="preserve"> that</w:t>
      </w:r>
      <w:r w:rsidR="00152307" w:rsidRPr="000C3351">
        <w:rPr>
          <w:noProof/>
        </w:rPr>
        <w:t xml:space="preserve"> </w:t>
      </w:r>
      <w:r w:rsidR="002C354A" w:rsidRPr="00F34826">
        <w:rPr>
          <w:noProof/>
        </w:rPr>
        <w:t>“</w:t>
      </w:r>
      <w:r w:rsidR="00152307" w:rsidRPr="00A15800">
        <w:rPr>
          <w:noProof/>
        </w:rPr>
        <w:t>an</w:t>
      </w:r>
      <w:r w:rsidR="002C354A" w:rsidRPr="005E0E74">
        <w:rPr>
          <w:noProof/>
        </w:rPr>
        <w:t xml:space="preserve"> order which would empower </w:t>
      </w:r>
      <w:r w:rsidR="004B7D95" w:rsidRPr="007C4D9C">
        <w:rPr>
          <w:noProof/>
        </w:rPr>
        <w:t>[the Commission]</w:t>
      </w:r>
      <w:r w:rsidR="002C354A" w:rsidRPr="00AE6433">
        <w:rPr>
          <w:noProof/>
        </w:rPr>
        <w:t xml:space="preserve"> to conduct interviews with </w:t>
      </w:r>
      <w:r w:rsidR="002C354A" w:rsidRPr="005378EA">
        <w:rPr>
          <w:noProof/>
        </w:rPr>
        <w:t>Mr</w:t>
      </w:r>
      <w:r w:rsidR="002C354A" w:rsidRPr="00AE6433">
        <w:rPr>
          <w:noProof/>
        </w:rPr>
        <w:t xml:space="preserve"> Naidoo and </w:t>
      </w:r>
      <w:r w:rsidR="002C354A" w:rsidRPr="005378EA">
        <w:rPr>
          <w:noProof/>
        </w:rPr>
        <w:t>Ms</w:t>
      </w:r>
      <w:r w:rsidR="002C354A" w:rsidRPr="00AE6433">
        <w:rPr>
          <w:noProof/>
        </w:rPr>
        <w:t xml:space="preserve"> Makhobo falls outside of the sc</w:t>
      </w:r>
      <w:r w:rsidR="002C354A" w:rsidRPr="00503616">
        <w:rPr>
          <w:noProof/>
        </w:rPr>
        <w:t>ope of the order which was granted on 24</w:t>
      </w:r>
      <w:r w:rsidR="00574050">
        <w:rPr>
          <w:noProof/>
        </w:rPr>
        <w:t> </w:t>
      </w:r>
      <w:r w:rsidR="002C354A" w:rsidRPr="00503616">
        <w:rPr>
          <w:noProof/>
        </w:rPr>
        <w:t>June</w:t>
      </w:r>
      <w:r w:rsidR="001F4748">
        <w:rPr>
          <w:noProof/>
        </w:rPr>
        <w:t> </w:t>
      </w:r>
      <w:r w:rsidR="002C354A" w:rsidRPr="00503616">
        <w:rPr>
          <w:noProof/>
        </w:rPr>
        <w:t>2016”.</w:t>
      </w:r>
      <w:r w:rsidR="0038115B">
        <w:rPr>
          <w:rStyle w:val="FootnoteReference"/>
          <w:noProof/>
        </w:rPr>
        <w:footnoteReference w:id="17"/>
      </w:r>
    </w:p>
    <w:p w:rsidR="003B7976" w:rsidRPr="00047C95" w:rsidRDefault="003B7976" w:rsidP="00C01A5D">
      <w:pPr>
        <w:pStyle w:val="JUDGMENTCONTINUED"/>
      </w:pPr>
    </w:p>
    <w:p w:rsidR="00152307" w:rsidRPr="00C766FD" w:rsidRDefault="006970A9" w:rsidP="006970A9">
      <w:pPr>
        <w:pStyle w:val="JUDGMENTNUMBERED"/>
        <w:numPr>
          <w:ilvl w:val="0"/>
          <w:numId w:val="0"/>
        </w:numPr>
        <w:rPr>
          <w:szCs w:val="26"/>
        </w:rPr>
      </w:pPr>
      <w:r w:rsidRPr="00C766FD">
        <w:rPr>
          <w:color w:val="000000"/>
          <w:szCs w:val="26"/>
          <w14:scene3d>
            <w14:camera w14:prst="orthographicFront"/>
            <w14:lightRig w14:rig="threePt" w14:dir="t">
              <w14:rot w14:lat="0" w14:lon="0" w14:rev="0"/>
            </w14:lightRig>
          </w14:scene3d>
        </w:rPr>
        <w:t>[20]</w:t>
      </w:r>
      <w:r w:rsidRPr="00C766FD">
        <w:rPr>
          <w:color w:val="000000"/>
          <w:szCs w:val="26"/>
          <w14:scene3d>
            <w14:camera w14:prst="orthographicFront"/>
            <w14:lightRig w14:rig="threePt" w14:dir="t">
              <w14:rot w14:lat="0" w14:lon="0" w14:rev="0"/>
            </w14:lightRig>
          </w14:scene3d>
        </w:rPr>
        <w:tab/>
      </w:r>
      <w:r w:rsidR="00152307" w:rsidRPr="00C766FD">
        <w:rPr>
          <w:szCs w:val="26"/>
        </w:rPr>
        <w:t xml:space="preserve">It is against this order </w:t>
      </w:r>
      <w:r w:rsidR="00047C95">
        <w:rPr>
          <w:szCs w:val="26"/>
        </w:rPr>
        <w:t>– the April 2017</w:t>
      </w:r>
      <w:r w:rsidR="00A80235">
        <w:rPr>
          <w:szCs w:val="26"/>
        </w:rPr>
        <w:t xml:space="preserve"> order </w:t>
      </w:r>
      <w:r w:rsidR="00047C95">
        <w:rPr>
          <w:szCs w:val="26"/>
        </w:rPr>
        <w:t xml:space="preserve">− </w:t>
      </w:r>
      <w:r w:rsidR="00152307" w:rsidRPr="00C766FD">
        <w:rPr>
          <w:szCs w:val="26"/>
        </w:rPr>
        <w:t xml:space="preserve">that the applicants </w:t>
      </w:r>
      <w:r w:rsidR="00D50532" w:rsidRPr="005378EA">
        <w:rPr>
          <w:noProof/>
          <w:szCs w:val="26"/>
        </w:rPr>
        <w:t>seek</w:t>
      </w:r>
      <w:r w:rsidR="00D50532">
        <w:rPr>
          <w:szCs w:val="26"/>
        </w:rPr>
        <w:t xml:space="preserve"> </w:t>
      </w:r>
      <w:r w:rsidR="00152307" w:rsidRPr="00D50532">
        <w:rPr>
          <w:noProof/>
          <w:szCs w:val="26"/>
        </w:rPr>
        <w:t>leave</w:t>
      </w:r>
      <w:r w:rsidR="00152307" w:rsidRPr="00C766FD">
        <w:rPr>
          <w:szCs w:val="26"/>
        </w:rPr>
        <w:t xml:space="preserve"> to appeal.</w:t>
      </w:r>
    </w:p>
    <w:p w:rsidR="00152307" w:rsidRDefault="00152307" w:rsidP="00C01A5D">
      <w:pPr>
        <w:pStyle w:val="JUDGMENTCONTINUED"/>
        <w:rPr>
          <w:szCs w:val="26"/>
        </w:rPr>
      </w:pPr>
    </w:p>
    <w:p w:rsidR="00073AEE" w:rsidRPr="00DB5365" w:rsidRDefault="00073AEE" w:rsidP="00B32555">
      <w:pPr>
        <w:pStyle w:val="HEADING"/>
      </w:pPr>
      <w:r>
        <w:t>This Court</w:t>
      </w:r>
    </w:p>
    <w:p w:rsidR="003B7976" w:rsidRPr="00C766FD" w:rsidRDefault="00894340" w:rsidP="00B32555">
      <w:pPr>
        <w:pStyle w:val="HEADING"/>
        <w:ind w:firstLine="720"/>
      </w:pPr>
      <w:r>
        <w:t>Juri</w:t>
      </w:r>
      <w:r w:rsidR="00EE5E82">
        <w:t>s</w:t>
      </w:r>
      <w:r>
        <w:t xml:space="preserve">diction and </w:t>
      </w:r>
      <w:r w:rsidR="000847CB">
        <w:t>l</w:t>
      </w:r>
      <w:r w:rsidR="009B611C">
        <w:t>eave to a</w:t>
      </w:r>
      <w:r w:rsidR="007305F8">
        <w:t>ppeal</w:t>
      </w:r>
    </w:p>
    <w:p w:rsidR="00EA1F0A" w:rsidRPr="00BB36A0" w:rsidRDefault="006970A9" w:rsidP="006970A9">
      <w:pPr>
        <w:pStyle w:val="JUDGMENTNUMBERED"/>
        <w:numPr>
          <w:ilvl w:val="0"/>
          <w:numId w:val="0"/>
        </w:numPr>
        <w:rPr>
          <w:szCs w:val="26"/>
        </w:rPr>
      </w:pPr>
      <w:r w:rsidRPr="00BB36A0">
        <w:rPr>
          <w:color w:val="000000"/>
          <w:szCs w:val="26"/>
          <w14:scene3d>
            <w14:camera w14:prst="orthographicFront"/>
            <w14:lightRig w14:rig="threePt" w14:dir="t">
              <w14:rot w14:lat="0" w14:lon="0" w14:rev="0"/>
            </w14:lightRig>
          </w14:scene3d>
        </w:rPr>
        <w:t>[21]</w:t>
      </w:r>
      <w:r w:rsidRPr="00BB36A0">
        <w:rPr>
          <w:color w:val="000000"/>
          <w:szCs w:val="26"/>
          <w14:scene3d>
            <w14:camera w14:prst="orthographicFront"/>
            <w14:lightRig w14:rig="threePt" w14:dir="t">
              <w14:rot w14:lat="0" w14:lon="0" w14:rev="0"/>
            </w14:lightRig>
          </w14:scene3d>
        </w:rPr>
        <w:tab/>
      </w:r>
      <w:r w:rsidR="00392DFB">
        <w:rPr>
          <w:szCs w:val="26"/>
        </w:rPr>
        <w:t>T</w:t>
      </w:r>
      <w:r w:rsidR="00D50532">
        <w:rPr>
          <w:szCs w:val="26"/>
        </w:rPr>
        <w:t xml:space="preserve">he </w:t>
      </w:r>
      <w:r w:rsidR="00F377BF" w:rsidRPr="00C766FD">
        <w:rPr>
          <w:szCs w:val="26"/>
        </w:rPr>
        <w:t>Commission</w:t>
      </w:r>
      <w:r w:rsidR="00392DFB">
        <w:rPr>
          <w:szCs w:val="26"/>
        </w:rPr>
        <w:t xml:space="preserve"> is </w:t>
      </w:r>
      <w:r w:rsidR="00D50532">
        <w:rPr>
          <w:szCs w:val="26"/>
        </w:rPr>
        <w:t xml:space="preserve">a </w:t>
      </w:r>
      <w:r w:rsidR="00F377BF" w:rsidRPr="00D50532">
        <w:rPr>
          <w:noProof/>
          <w:szCs w:val="26"/>
        </w:rPr>
        <w:t>regulatory</w:t>
      </w:r>
      <w:r w:rsidR="00F377BF" w:rsidRPr="00C766FD">
        <w:rPr>
          <w:szCs w:val="26"/>
        </w:rPr>
        <w:t xml:space="preserve"> body established by </w:t>
      </w:r>
      <w:r w:rsidR="00392DFB">
        <w:rPr>
          <w:szCs w:val="26"/>
        </w:rPr>
        <w:t>section 19(1) of the Competition Act</w:t>
      </w:r>
      <w:r w:rsidR="00D50532" w:rsidRPr="00D50532">
        <w:rPr>
          <w:noProof/>
          <w:szCs w:val="26"/>
        </w:rPr>
        <w:t xml:space="preserve">. </w:t>
      </w:r>
      <w:r w:rsidR="00392DFB">
        <w:rPr>
          <w:szCs w:val="26"/>
        </w:rPr>
        <w:t xml:space="preserve"> </w:t>
      </w:r>
      <w:r w:rsidR="00392DFB" w:rsidRPr="00392DFB">
        <w:rPr>
          <w:noProof/>
          <w:szCs w:val="26"/>
        </w:rPr>
        <w:t xml:space="preserve">The ambit of </w:t>
      </w:r>
      <w:r w:rsidR="00392DFB">
        <w:rPr>
          <w:noProof/>
          <w:szCs w:val="26"/>
        </w:rPr>
        <w:t xml:space="preserve">its investigatory </w:t>
      </w:r>
      <w:r w:rsidR="00392DFB" w:rsidRPr="00392DFB">
        <w:rPr>
          <w:noProof/>
          <w:szCs w:val="26"/>
        </w:rPr>
        <w:t>powers</w:t>
      </w:r>
      <w:r w:rsidR="00D50532">
        <w:rPr>
          <w:noProof/>
          <w:szCs w:val="26"/>
        </w:rPr>
        <w:t xml:space="preserve"> under the Competition Act</w:t>
      </w:r>
      <w:r w:rsidR="00392DFB" w:rsidRPr="00047C95">
        <w:rPr>
          <w:noProof/>
          <w:szCs w:val="26"/>
        </w:rPr>
        <w:t xml:space="preserve"> </w:t>
      </w:r>
      <w:r w:rsidR="00A80235">
        <w:rPr>
          <w:szCs w:val="26"/>
        </w:rPr>
        <w:t xml:space="preserve">is central to this </w:t>
      </w:r>
      <w:r w:rsidR="00A80235" w:rsidRPr="00A80235">
        <w:rPr>
          <w:noProof/>
          <w:szCs w:val="26"/>
        </w:rPr>
        <w:t>application</w:t>
      </w:r>
      <w:r w:rsidR="00A80235" w:rsidRPr="00047C95">
        <w:rPr>
          <w:noProof/>
          <w:szCs w:val="26"/>
        </w:rPr>
        <w:t xml:space="preserve"> </w:t>
      </w:r>
      <w:r w:rsidR="00A80235">
        <w:rPr>
          <w:noProof/>
          <w:szCs w:val="26"/>
        </w:rPr>
        <w:t>for leave to appeal</w:t>
      </w:r>
      <w:r w:rsidR="00A80235" w:rsidRPr="00A83B02">
        <w:rPr>
          <w:noProof/>
          <w:szCs w:val="26"/>
        </w:rPr>
        <w:t xml:space="preserve">. </w:t>
      </w:r>
      <w:r w:rsidR="00616E49">
        <w:rPr>
          <w:noProof/>
          <w:szCs w:val="26"/>
        </w:rPr>
        <w:t xml:space="preserve"> </w:t>
      </w:r>
      <w:r w:rsidR="00F377BF" w:rsidRPr="002F4678">
        <w:rPr>
          <w:noProof/>
          <w:szCs w:val="26"/>
        </w:rPr>
        <w:t>This</w:t>
      </w:r>
      <w:r w:rsidR="00A80235" w:rsidRPr="00047C95">
        <w:rPr>
          <w:noProof/>
          <w:szCs w:val="26"/>
        </w:rPr>
        <w:t xml:space="preserve"> </w:t>
      </w:r>
      <w:r w:rsidR="00A80235" w:rsidRPr="00D50532">
        <w:rPr>
          <w:noProof/>
          <w:szCs w:val="26"/>
        </w:rPr>
        <w:t>question</w:t>
      </w:r>
      <w:r w:rsidR="00D50532">
        <w:rPr>
          <w:noProof/>
          <w:szCs w:val="26"/>
        </w:rPr>
        <w:t xml:space="preserve"> </w:t>
      </w:r>
      <w:r w:rsidR="00F377BF" w:rsidRPr="00D50532">
        <w:rPr>
          <w:noProof/>
          <w:szCs w:val="26"/>
        </w:rPr>
        <w:t>is</w:t>
      </w:r>
      <w:r w:rsidR="00F377BF" w:rsidRPr="00C766FD">
        <w:rPr>
          <w:szCs w:val="26"/>
        </w:rPr>
        <w:t xml:space="preserve"> </w:t>
      </w:r>
      <w:r w:rsidR="0023058E">
        <w:rPr>
          <w:szCs w:val="26"/>
        </w:rPr>
        <w:t xml:space="preserve">manifestly </w:t>
      </w:r>
      <w:r w:rsidR="00F377BF" w:rsidRPr="00C766FD">
        <w:rPr>
          <w:szCs w:val="26"/>
        </w:rPr>
        <w:t>a constitutional issue.</w:t>
      </w:r>
      <w:bookmarkStart w:id="4" w:name="_Ref523924447"/>
      <w:r w:rsidR="00F377BF" w:rsidRPr="00047C95">
        <w:rPr>
          <w:rStyle w:val="FootnoteReference"/>
          <w:szCs w:val="26"/>
        </w:rPr>
        <w:footnoteReference w:id="18"/>
      </w:r>
      <w:bookmarkEnd w:id="4"/>
      <w:r w:rsidR="00F377BF" w:rsidRPr="00F84984">
        <w:rPr>
          <w:szCs w:val="26"/>
        </w:rPr>
        <w:t xml:space="preserve"> </w:t>
      </w:r>
      <w:r w:rsidR="00073AEE">
        <w:rPr>
          <w:szCs w:val="26"/>
        </w:rPr>
        <w:t xml:space="preserve"> </w:t>
      </w:r>
      <w:r w:rsidR="0034657E">
        <w:rPr>
          <w:noProof/>
        </w:rPr>
        <w:t>T</w:t>
      </w:r>
      <w:r w:rsidR="0034657E" w:rsidRPr="0079668D">
        <w:rPr>
          <w:noProof/>
        </w:rPr>
        <w:t>here is a</w:t>
      </w:r>
      <w:r w:rsidR="0034657E" w:rsidRPr="008A6BF9">
        <w:rPr>
          <w:noProof/>
        </w:rPr>
        <w:t xml:space="preserve"> reasonable prospect</w:t>
      </w:r>
      <w:r w:rsidR="0034657E" w:rsidRPr="00D26010">
        <w:rPr>
          <w:noProof/>
        </w:rPr>
        <w:t xml:space="preserve"> of the appeal succeeding</w:t>
      </w:r>
      <w:r w:rsidR="0034657E">
        <w:rPr>
          <w:noProof/>
        </w:rPr>
        <w:t xml:space="preserve"> as well.</w:t>
      </w:r>
    </w:p>
    <w:p w:rsidR="00C02A45" w:rsidRPr="00EA1F0A" w:rsidRDefault="00C02A45" w:rsidP="002B5E93">
      <w:pPr>
        <w:pStyle w:val="JUDGMENTCONTINUED"/>
      </w:pPr>
    </w:p>
    <w:p w:rsidR="00C02A45" w:rsidRPr="00540A2B" w:rsidRDefault="006970A9" w:rsidP="006970A9">
      <w:pPr>
        <w:pStyle w:val="JUDGMENTNUMBERED"/>
        <w:numPr>
          <w:ilvl w:val="0"/>
          <w:numId w:val="0"/>
        </w:numPr>
      </w:pPr>
      <w:r w:rsidRPr="00540A2B">
        <w:rPr>
          <w:color w:val="000000"/>
          <w14:scene3d>
            <w14:camera w14:prst="orthographicFront"/>
            <w14:lightRig w14:rig="threePt" w14:dir="t">
              <w14:rot w14:lat="0" w14:lon="0" w14:rev="0"/>
            </w14:lightRig>
          </w14:scene3d>
        </w:rPr>
        <w:t>[22]</w:t>
      </w:r>
      <w:r w:rsidRPr="00540A2B">
        <w:rPr>
          <w:color w:val="000000"/>
          <w14:scene3d>
            <w14:camera w14:prst="orthographicFront"/>
            <w14:lightRig w14:rig="threePt" w14:dir="t">
              <w14:rot w14:lat="0" w14:lon="0" w14:rev="0"/>
            </w14:lightRig>
          </w14:scene3d>
        </w:rPr>
        <w:tab/>
      </w:r>
      <w:r w:rsidR="00C02A45">
        <w:t xml:space="preserve">Although the </w:t>
      </w:r>
      <w:r w:rsidR="00C708BA">
        <w:t xml:space="preserve">agreement </w:t>
      </w:r>
      <w:r w:rsidR="00C02A45">
        <w:t xml:space="preserve">between </w:t>
      </w:r>
      <w:proofErr w:type="spellStart"/>
      <w:r w:rsidR="00C02A45">
        <w:t>MultiChoice</w:t>
      </w:r>
      <w:proofErr w:type="spellEnd"/>
      <w:r w:rsidR="00C02A45">
        <w:t xml:space="preserve"> and the SABC </w:t>
      </w:r>
      <w:r w:rsidR="00D70CBA">
        <w:t xml:space="preserve">ended in </w:t>
      </w:r>
      <w:r w:rsidR="006950D6">
        <w:t>July </w:t>
      </w:r>
      <w:r w:rsidR="00D70CBA">
        <w:t>2018,</w:t>
      </w:r>
      <w:r w:rsidR="00C02A45">
        <w:t xml:space="preserve"> this </w:t>
      </w:r>
      <w:r w:rsidR="00496293">
        <w:t xml:space="preserve">does not diminish the necessity </w:t>
      </w:r>
      <w:r w:rsidR="0034657E">
        <w:t xml:space="preserve">for the </w:t>
      </w:r>
      <w:r w:rsidR="00C02A45">
        <w:t xml:space="preserve">Commission </w:t>
      </w:r>
      <w:r w:rsidR="0034657E">
        <w:t xml:space="preserve">to </w:t>
      </w:r>
      <w:r w:rsidR="00C02A45">
        <w:t>investigat</w:t>
      </w:r>
      <w:r w:rsidR="0034657E">
        <w:t>e</w:t>
      </w:r>
      <w:r w:rsidR="00C02A45">
        <w:t xml:space="preserve"> whether the </w:t>
      </w:r>
      <w:r w:rsidR="00D84213">
        <w:t>a</w:t>
      </w:r>
      <w:r w:rsidR="00C708BA">
        <w:t xml:space="preserve">greement </w:t>
      </w:r>
      <w:r w:rsidR="00C02A45">
        <w:t xml:space="preserve">constitutes a notifiable merger. </w:t>
      </w:r>
      <w:r w:rsidR="00D41021">
        <w:t xml:space="preserve"> </w:t>
      </w:r>
      <w:r w:rsidR="0034657E">
        <w:t xml:space="preserve">We </w:t>
      </w:r>
      <w:r w:rsidR="00972BC9">
        <w:t>were</w:t>
      </w:r>
      <w:r w:rsidR="0034657E" w:rsidRPr="006E44F0">
        <w:rPr>
          <w:noProof/>
        </w:rPr>
        <w:t xml:space="preserve"> </w:t>
      </w:r>
      <w:r w:rsidR="00D70CBA">
        <w:rPr>
          <w:noProof/>
        </w:rPr>
        <w:t xml:space="preserve">informed </w:t>
      </w:r>
      <w:r w:rsidR="00C02A45">
        <w:t xml:space="preserve">that the </w:t>
      </w:r>
      <w:r w:rsidR="00D84213">
        <w:t>a</w:t>
      </w:r>
      <w:r w:rsidR="00C708BA">
        <w:t xml:space="preserve">greement </w:t>
      </w:r>
      <w:r w:rsidR="00C02A45">
        <w:t xml:space="preserve">may </w:t>
      </w:r>
      <w:r w:rsidR="00C02A45" w:rsidRPr="006E44F0">
        <w:rPr>
          <w:noProof/>
        </w:rPr>
        <w:t>be renewed</w:t>
      </w:r>
      <w:r w:rsidR="00C02A45">
        <w:t xml:space="preserve"> or a similar </w:t>
      </w:r>
      <w:r w:rsidR="00540A2B">
        <w:t xml:space="preserve">one </w:t>
      </w:r>
      <w:r w:rsidR="009B611C">
        <w:t xml:space="preserve">may be </w:t>
      </w:r>
      <w:r w:rsidR="00C02A45">
        <w:t xml:space="preserve">concluded between the SABC and </w:t>
      </w:r>
      <w:proofErr w:type="spellStart"/>
      <w:r w:rsidR="00C02A45">
        <w:t>Mult</w:t>
      </w:r>
      <w:r w:rsidR="00496293">
        <w:t>iChoice</w:t>
      </w:r>
      <w:proofErr w:type="spellEnd"/>
      <w:r w:rsidR="00496293">
        <w:t>, having regard</w:t>
      </w:r>
      <w:r w:rsidR="00C02A45">
        <w:t xml:space="preserve"> </w:t>
      </w:r>
      <w:r w:rsidR="00496293">
        <w:t xml:space="preserve">especially to </w:t>
      </w:r>
      <w:r w:rsidR="00C02A45">
        <w:t>the</w:t>
      </w:r>
      <w:r w:rsidR="00D26010">
        <w:t xml:space="preserve"> ongoing debates on encryption </w:t>
      </w:r>
      <w:r w:rsidR="003729A7">
        <w:t xml:space="preserve">regarding </w:t>
      </w:r>
      <w:r w:rsidR="00593A88">
        <w:t xml:space="preserve">South Africa’s </w:t>
      </w:r>
      <w:r w:rsidR="00D26010">
        <w:t xml:space="preserve">migration to DTT. </w:t>
      </w:r>
      <w:r w:rsidR="00D41021">
        <w:t xml:space="preserve"> </w:t>
      </w:r>
      <w:r w:rsidR="00C02A45">
        <w:t xml:space="preserve">It </w:t>
      </w:r>
      <w:r w:rsidR="008A6BF9">
        <w:t xml:space="preserve">is </w:t>
      </w:r>
      <w:r w:rsidR="008A6BF9" w:rsidRPr="006E44F0">
        <w:rPr>
          <w:noProof/>
        </w:rPr>
        <w:t>essential</w:t>
      </w:r>
      <w:r w:rsidR="00D26010" w:rsidRPr="00D26010">
        <w:rPr>
          <w:noProof/>
        </w:rPr>
        <w:t>,</w:t>
      </w:r>
      <w:r w:rsidR="008A6BF9" w:rsidRPr="008A6BF9">
        <w:rPr>
          <w:noProof/>
        </w:rPr>
        <w:t xml:space="preserve"> </w:t>
      </w:r>
      <w:r w:rsidR="008A6BF9" w:rsidRPr="00D26010">
        <w:rPr>
          <w:noProof/>
        </w:rPr>
        <w:t>for</w:t>
      </w:r>
      <w:r w:rsidR="008A6BF9">
        <w:rPr>
          <w:noProof/>
        </w:rPr>
        <w:t xml:space="preserve"> this </w:t>
      </w:r>
      <w:r w:rsidR="008A6BF9" w:rsidRPr="00540A2B">
        <w:rPr>
          <w:noProof/>
        </w:rPr>
        <w:t>re</w:t>
      </w:r>
      <w:r w:rsidR="00D26010" w:rsidRPr="00540A2B">
        <w:rPr>
          <w:noProof/>
        </w:rPr>
        <w:t>ason</w:t>
      </w:r>
      <w:r w:rsidR="00540A2B">
        <w:rPr>
          <w:noProof/>
        </w:rPr>
        <w:t>,</w:t>
      </w:r>
      <w:r w:rsidR="00D26010">
        <w:rPr>
          <w:noProof/>
        </w:rPr>
        <w:t xml:space="preserve"> </w:t>
      </w:r>
      <w:r w:rsidR="00C02A45">
        <w:t xml:space="preserve">that </w:t>
      </w:r>
      <w:r w:rsidR="00C02A45" w:rsidRPr="00540A2B">
        <w:rPr>
          <w:noProof/>
        </w:rPr>
        <w:t xml:space="preserve">clarity </w:t>
      </w:r>
      <w:r w:rsidR="004C48BB" w:rsidRPr="006E44F0">
        <w:rPr>
          <w:noProof/>
        </w:rPr>
        <w:t>be</w:t>
      </w:r>
      <w:r w:rsidR="00540A2B" w:rsidRPr="006E44F0">
        <w:rPr>
          <w:noProof/>
        </w:rPr>
        <w:t xml:space="preserve"> </w:t>
      </w:r>
      <w:r w:rsidR="00C02A45" w:rsidRPr="006E44F0">
        <w:rPr>
          <w:noProof/>
        </w:rPr>
        <w:t>obtained</w:t>
      </w:r>
      <w:r w:rsidR="00C02A45">
        <w:t xml:space="preserve"> from the competition authorities </w:t>
      </w:r>
      <w:r w:rsidR="008A6BF9" w:rsidRPr="008A6BF9">
        <w:rPr>
          <w:noProof/>
        </w:rPr>
        <w:t xml:space="preserve">on </w:t>
      </w:r>
      <w:r w:rsidR="008A6BF9">
        <w:t xml:space="preserve">whether the </w:t>
      </w:r>
      <w:r w:rsidR="00D84213">
        <w:t>a</w:t>
      </w:r>
      <w:r w:rsidR="00C708BA">
        <w:t xml:space="preserve">greement </w:t>
      </w:r>
      <w:r w:rsidR="00C02A45">
        <w:t xml:space="preserve">constitutes a notifiable merger as defined in the Competition Act. </w:t>
      </w:r>
      <w:r w:rsidR="0038115B">
        <w:t xml:space="preserve"> </w:t>
      </w:r>
      <w:r w:rsidR="00D95ED9">
        <w:t>Accordingly, t</w:t>
      </w:r>
      <w:r w:rsidR="00C02A45" w:rsidRPr="002F4678">
        <w:t>he interests of justice</w:t>
      </w:r>
      <w:r w:rsidR="00BE56DF">
        <w:t xml:space="preserve"> require that leave to </w:t>
      </w:r>
      <w:r w:rsidR="00BE56DF" w:rsidRPr="005B375A">
        <w:rPr>
          <w:noProof/>
        </w:rPr>
        <w:t>appeal be</w:t>
      </w:r>
      <w:r w:rsidR="00540A2B" w:rsidRPr="005B375A">
        <w:rPr>
          <w:noProof/>
        </w:rPr>
        <w:t xml:space="preserve"> </w:t>
      </w:r>
      <w:r w:rsidR="00C02A45" w:rsidRPr="005B375A">
        <w:rPr>
          <w:noProof/>
        </w:rPr>
        <w:t>granted</w:t>
      </w:r>
      <w:r w:rsidR="00C02A45" w:rsidRPr="00047C95">
        <w:rPr>
          <w:noProof/>
        </w:rPr>
        <w:t>.</w:t>
      </w:r>
    </w:p>
    <w:p w:rsidR="00BE56DF" w:rsidRDefault="00BE56DF" w:rsidP="00C01A5D">
      <w:pPr>
        <w:pStyle w:val="JUDGMENTCONTINUED"/>
      </w:pPr>
    </w:p>
    <w:p w:rsidR="00B70D7B" w:rsidRPr="00BE56DF" w:rsidRDefault="00BD221D" w:rsidP="008C7177">
      <w:pPr>
        <w:pStyle w:val="HEADING"/>
        <w:ind w:firstLine="720"/>
      </w:pPr>
      <w:r w:rsidRPr="00BE56DF">
        <w:lastRenderedPageBreak/>
        <w:t xml:space="preserve">Issues for </w:t>
      </w:r>
      <w:r w:rsidR="00972BC9">
        <w:t>d</w:t>
      </w:r>
      <w:r w:rsidRPr="00BE56DF">
        <w:t>etermination</w:t>
      </w:r>
    </w:p>
    <w:p w:rsidR="00273955" w:rsidRPr="00BE56DF" w:rsidRDefault="006970A9" w:rsidP="006970A9">
      <w:pPr>
        <w:pStyle w:val="JUDGMENTNUMBERED"/>
        <w:numPr>
          <w:ilvl w:val="0"/>
          <w:numId w:val="0"/>
        </w:numPr>
        <w:rPr>
          <w:szCs w:val="26"/>
        </w:rPr>
      </w:pPr>
      <w:r w:rsidRPr="00BE56DF">
        <w:rPr>
          <w:color w:val="000000"/>
          <w:szCs w:val="26"/>
          <w14:scene3d>
            <w14:camera w14:prst="orthographicFront"/>
            <w14:lightRig w14:rig="threePt" w14:dir="t">
              <w14:rot w14:lat="0" w14:lon="0" w14:rev="0"/>
            </w14:lightRig>
          </w14:scene3d>
        </w:rPr>
        <w:t>[23]</w:t>
      </w:r>
      <w:r w:rsidRPr="00BE56DF">
        <w:rPr>
          <w:color w:val="000000"/>
          <w:szCs w:val="26"/>
          <w14:scene3d>
            <w14:camera w14:prst="orthographicFront"/>
            <w14:lightRig w14:rig="threePt" w14:dir="t">
              <w14:rot w14:lat="0" w14:lon="0" w14:rev="0"/>
            </w14:lightRig>
          </w14:scene3d>
        </w:rPr>
        <w:tab/>
      </w:r>
      <w:r w:rsidR="00C652AE" w:rsidRPr="00BE56DF">
        <w:rPr>
          <w:szCs w:val="26"/>
        </w:rPr>
        <w:t xml:space="preserve">The June 2016 order of the </w:t>
      </w:r>
      <w:r w:rsidR="009078C9">
        <w:t>Competition Appeal Court</w:t>
      </w:r>
      <w:r w:rsidR="00C652AE" w:rsidRPr="00BE56DF">
        <w:rPr>
          <w:szCs w:val="26"/>
        </w:rPr>
        <w:t xml:space="preserve"> directed the Commission to investigate whether the </w:t>
      </w:r>
      <w:r w:rsidR="00D84213">
        <w:rPr>
          <w:szCs w:val="26"/>
        </w:rPr>
        <w:t>a</w:t>
      </w:r>
      <w:r w:rsidR="00C708BA">
        <w:rPr>
          <w:szCs w:val="26"/>
        </w:rPr>
        <w:t xml:space="preserve">greement </w:t>
      </w:r>
      <w:r w:rsidR="00C652AE" w:rsidRPr="00BE56DF">
        <w:rPr>
          <w:szCs w:val="26"/>
        </w:rPr>
        <w:t xml:space="preserve">constituted a </w:t>
      </w:r>
      <w:r w:rsidR="00C652AE" w:rsidRPr="00FA2279">
        <w:rPr>
          <w:szCs w:val="26"/>
        </w:rPr>
        <w:t>“notifiable merger”</w:t>
      </w:r>
      <w:r w:rsidR="00C652AE" w:rsidRPr="00BE56DF">
        <w:rPr>
          <w:szCs w:val="26"/>
        </w:rPr>
        <w:t xml:space="preserve"> as</w:t>
      </w:r>
      <w:r w:rsidR="002B5E93">
        <w:rPr>
          <w:szCs w:val="26"/>
        </w:rPr>
        <w:t xml:space="preserve"> defined in the Competition Act.</w:t>
      </w:r>
      <w:r w:rsidR="00C652AE" w:rsidRPr="00BE56DF">
        <w:rPr>
          <w:szCs w:val="26"/>
        </w:rPr>
        <w:t xml:space="preserve">  I</w:t>
      </w:r>
      <w:r w:rsidR="00C652AE" w:rsidRPr="00BE56DF">
        <w:rPr>
          <w:noProof/>
          <w:szCs w:val="26"/>
        </w:rPr>
        <w:t>f</w:t>
      </w:r>
      <w:r w:rsidR="00C652AE" w:rsidRPr="00BE56DF">
        <w:rPr>
          <w:szCs w:val="26"/>
        </w:rPr>
        <w:t xml:space="preserve"> it is found to be a</w:t>
      </w:r>
      <w:r w:rsidR="007305F8">
        <w:rPr>
          <w:szCs w:val="26"/>
        </w:rPr>
        <w:t xml:space="preserve"> notifiable</w:t>
      </w:r>
      <w:r w:rsidR="00C652AE" w:rsidRPr="00BE56DF">
        <w:rPr>
          <w:szCs w:val="26"/>
        </w:rPr>
        <w:t xml:space="preserve"> merger as </w:t>
      </w:r>
      <w:r w:rsidR="00C652AE" w:rsidRPr="00474898">
        <w:rPr>
          <w:noProof/>
          <w:szCs w:val="26"/>
        </w:rPr>
        <w:t>defined</w:t>
      </w:r>
      <w:r w:rsidR="00596CAA" w:rsidRPr="00BE56DF">
        <w:rPr>
          <w:noProof/>
          <w:szCs w:val="26"/>
        </w:rPr>
        <w:t>,</w:t>
      </w:r>
      <w:r w:rsidR="00C652AE" w:rsidRPr="00BE56DF">
        <w:rPr>
          <w:szCs w:val="26"/>
        </w:rPr>
        <w:t xml:space="preserve"> </w:t>
      </w:r>
      <w:r w:rsidR="00C652AE" w:rsidRPr="00BE56DF">
        <w:rPr>
          <w:noProof/>
          <w:szCs w:val="26"/>
        </w:rPr>
        <w:t>then</w:t>
      </w:r>
      <w:r w:rsidR="00C652AE" w:rsidRPr="00BE56DF">
        <w:rPr>
          <w:szCs w:val="26"/>
        </w:rPr>
        <w:t xml:space="preserve"> the SABC and </w:t>
      </w:r>
      <w:proofErr w:type="spellStart"/>
      <w:r w:rsidR="00C652AE" w:rsidRPr="00BE56DF">
        <w:rPr>
          <w:szCs w:val="26"/>
        </w:rPr>
        <w:t>MultiChoice</w:t>
      </w:r>
      <w:proofErr w:type="spellEnd"/>
      <w:r w:rsidR="00C652AE" w:rsidRPr="00BE56DF">
        <w:rPr>
          <w:szCs w:val="26"/>
        </w:rPr>
        <w:t xml:space="preserve"> would </w:t>
      </w:r>
      <w:r w:rsidR="00C652AE" w:rsidRPr="00BE56DF">
        <w:rPr>
          <w:noProof/>
          <w:szCs w:val="26"/>
        </w:rPr>
        <w:t>be</w:t>
      </w:r>
      <w:r w:rsidR="00C652AE" w:rsidRPr="00BE56DF">
        <w:rPr>
          <w:szCs w:val="26"/>
        </w:rPr>
        <w:t xml:space="preserve"> in contravention of the </w:t>
      </w:r>
      <w:r w:rsidR="00B4260B" w:rsidRPr="00BE56DF">
        <w:rPr>
          <w:szCs w:val="26"/>
        </w:rPr>
        <w:t xml:space="preserve">Competition </w:t>
      </w:r>
      <w:r w:rsidR="00B4260B" w:rsidRPr="00BE56DF">
        <w:rPr>
          <w:noProof/>
          <w:szCs w:val="26"/>
        </w:rPr>
        <w:t>Act for</w:t>
      </w:r>
      <w:r w:rsidR="00C652AE" w:rsidRPr="00BE56DF">
        <w:rPr>
          <w:noProof/>
          <w:szCs w:val="26"/>
        </w:rPr>
        <w:t xml:space="preserve"> failing</w:t>
      </w:r>
      <w:r w:rsidR="00C652AE" w:rsidRPr="00BE56DF">
        <w:rPr>
          <w:szCs w:val="26"/>
        </w:rPr>
        <w:t xml:space="preserve"> to obtain approval </w:t>
      </w:r>
      <w:r w:rsidR="00A15ACF" w:rsidRPr="00BE56DF">
        <w:rPr>
          <w:noProof/>
          <w:szCs w:val="26"/>
        </w:rPr>
        <w:t>for</w:t>
      </w:r>
      <w:r w:rsidR="00C652AE" w:rsidRPr="00BE56DF">
        <w:rPr>
          <w:szCs w:val="26"/>
        </w:rPr>
        <w:t xml:space="preserve"> the </w:t>
      </w:r>
      <w:r w:rsidR="00C652AE" w:rsidRPr="00BE56DF">
        <w:rPr>
          <w:noProof/>
          <w:szCs w:val="26"/>
        </w:rPr>
        <w:t>merger, from</w:t>
      </w:r>
      <w:r w:rsidR="00C652AE" w:rsidRPr="00BE56DF">
        <w:rPr>
          <w:szCs w:val="26"/>
        </w:rPr>
        <w:t xml:space="preserve"> the</w:t>
      </w:r>
      <w:r w:rsidR="00A15ACF" w:rsidRPr="00BE56DF">
        <w:rPr>
          <w:szCs w:val="26"/>
        </w:rPr>
        <w:t xml:space="preserve"> Commission, the </w:t>
      </w:r>
      <w:r w:rsidR="00A15ACF" w:rsidRPr="00BE56DF">
        <w:rPr>
          <w:noProof/>
          <w:szCs w:val="26"/>
        </w:rPr>
        <w:t>Tr</w:t>
      </w:r>
      <w:r w:rsidR="003B4638" w:rsidRPr="00BE56DF">
        <w:rPr>
          <w:noProof/>
          <w:szCs w:val="26"/>
        </w:rPr>
        <w:t>i</w:t>
      </w:r>
      <w:r w:rsidR="00474898">
        <w:rPr>
          <w:noProof/>
          <w:szCs w:val="26"/>
        </w:rPr>
        <w:t>bunal</w:t>
      </w:r>
      <w:r w:rsidR="00100CA9">
        <w:rPr>
          <w:noProof/>
          <w:szCs w:val="26"/>
        </w:rPr>
        <w:t xml:space="preserve"> or</w:t>
      </w:r>
      <w:r w:rsidR="00A15ACF" w:rsidRPr="00BE56DF">
        <w:rPr>
          <w:noProof/>
          <w:szCs w:val="26"/>
        </w:rPr>
        <w:t xml:space="preserve"> the Competition Appeal Court</w:t>
      </w:r>
      <w:r w:rsidR="003B4638" w:rsidRPr="00BE56DF">
        <w:rPr>
          <w:noProof/>
          <w:szCs w:val="26"/>
        </w:rPr>
        <w:t>,</w:t>
      </w:r>
      <w:r w:rsidR="00C652AE" w:rsidRPr="00BE56DF">
        <w:rPr>
          <w:szCs w:val="26"/>
        </w:rPr>
        <w:t xml:space="preserve"> </w:t>
      </w:r>
      <w:r w:rsidR="00C652AE" w:rsidRPr="00BE56DF">
        <w:rPr>
          <w:noProof/>
          <w:szCs w:val="26"/>
        </w:rPr>
        <w:t>before</w:t>
      </w:r>
      <w:r w:rsidR="00C652AE" w:rsidRPr="00BE56DF">
        <w:rPr>
          <w:szCs w:val="26"/>
        </w:rPr>
        <w:t xml:space="preserve"> implementing it.</w:t>
      </w:r>
      <w:r w:rsidR="00BB6189" w:rsidRPr="00BE56DF">
        <w:rPr>
          <w:rStyle w:val="FootnoteReference"/>
          <w:szCs w:val="26"/>
        </w:rPr>
        <w:footnoteReference w:id="19"/>
      </w:r>
      <w:r w:rsidR="003B4638" w:rsidRPr="00BE56DF">
        <w:rPr>
          <w:szCs w:val="26"/>
        </w:rPr>
        <w:t xml:space="preserve"> </w:t>
      </w:r>
      <w:r w:rsidR="00E22D5E">
        <w:rPr>
          <w:szCs w:val="26"/>
        </w:rPr>
        <w:t xml:space="preserve"> </w:t>
      </w:r>
      <w:r w:rsidR="00596CAA" w:rsidRPr="00BE56DF">
        <w:rPr>
          <w:noProof/>
          <w:szCs w:val="26"/>
        </w:rPr>
        <w:t>This Court is, h</w:t>
      </w:r>
      <w:r w:rsidR="00C652AE" w:rsidRPr="00BE56DF">
        <w:rPr>
          <w:noProof/>
          <w:szCs w:val="26"/>
        </w:rPr>
        <w:t xml:space="preserve">owever, not required </w:t>
      </w:r>
      <w:r w:rsidR="007305F8">
        <w:rPr>
          <w:noProof/>
          <w:szCs w:val="26"/>
        </w:rPr>
        <w:t xml:space="preserve">in the appeal </w:t>
      </w:r>
      <w:r w:rsidR="00C652AE" w:rsidRPr="00BE56DF">
        <w:rPr>
          <w:noProof/>
          <w:szCs w:val="26"/>
        </w:rPr>
        <w:t>to determine wh</w:t>
      </w:r>
      <w:r w:rsidR="00596CAA" w:rsidRPr="00BE56DF">
        <w:rPr>
          <w:noProof/>
          <w:szCs w:val="26"/>
        </w:rPr>
        <w:t xml:space="preserve">ether the </w:t>
      </w:r>
      <w:r w:rsidR="00D84213">
        <w:rPr>
          <w:noProof/>
          <w:szCs w:val="26"/>
        </w:rPr>
        <w:t>a</w:t>
      </w:r>
      <w:r w:rsidR="00C708BA">
        <w:rPr>
          <w:noProof/>
          <w:szCs w:val="26"/>
        </w:rPr>
        <w:t xml:space="preserve">greement </w:t>
      </w:r>
      <w:r w:rsidR="00C652AE" w:rsidRPr="00BE56DF">
        <w:rPr>
          <w:noProof/>
          <w:szCs w:val="26"/>
        </w:rPr>
        <w:t>amounts to</w:t>
      </w:r>
      <w:r w:rsidR="00FA529E">
        <w:rPr>
          <w:noProof/>
          <w:szCs w:val="26"/>
        </w:rPr>
        <w:t xml:space="preserve"> or gives rise to a merger.</w:t>
      </w:r>
      <w:r w:rsidR="003B4638" w:rsidRPr="00BE56DF">
        <w:rPr>
          <w:szCs w:val="26"/>
        </w:rPr>
        <w:t xml:space="preserve">  </w:t>
      </w:r>
      <w:r w:rsidR="00972BC9">
        <w:rPr>
          <w:szCs w:val="26"/>
        </w:rPr>
        <w:t>Based on</w:t>
      </w:r>
      <w:r w:rsidR="003B4638" w:rsidRPr="00BE56DF">
        <w:rPr>
          <w:szCs w:val="26"/>
        </w:rPr>
        <w:t xml:space="preserve"> the</w:t>
      </w:r>
      <w:r w:rsidR="00C652AE" w:rsidRPr="00BE56DF">
        <w:rPr>
          <w:szCs w:val="26"/>
        </w:rPr>
        <w:t xml:space="preserve"> June 2016 order, that is a matter which th</w:t>
      </w:r>
      <w:r w:rsidR="00C01A5D">
        <w:rPr>
          <w:szCs w:val="26"/>
        </w:rPr>
        <w:t>e Commission must investigate.</w:t>
      </w:r>
    </w:p>
    <w:p w:rsidR="00273955" w:rsidRPr="00F628FA" w:rsidRDefault="00273955" w:rsidP="00C01A5D">
      <w:pPr>
        <w:pStyle w:val="JUDGMENTCONTINUED"/>
      </w:pPr>
    </w:p>
    <w:p w:rsidR="000C1C03" w:rsidRPr="000C1C03" w:rsidRDefault="006970A9" w:rsidP="006970A9">
      <w:pPr>
        <w:pStyle w:val="JUDGMENTNUMBERED"/>
        <w:numPr>
          <w:ilvl w:val="0"/>
          <w:numId w:val="0"/>
        </w:numPr>
      </w:pPr>
      <w:r w:rsidRPr="000C1C03">
        <w:rPr>
          <w:color w:val="000000"/>
          <w14:scene3d>
            <w14:camera w14:prst="orthographicFront"/>
            <w14:lightRig w14:rig="threePt" w14:dir="t">
              <w14:rot w14:lat="0" w14:lon="0" w14:rev="0"/>
            </w14:lightRig>
          </w14:scene3d>
        </w:rPr>
        <w:t>[24]</w:t>
      </w:r>
      <w:r w:rsidRPr="000C1C03">
        <w:rPr>
          <w:color w:val="000000"/>
          <w14:scene3d>
            <w14:camera w14:prst="orthographicFront"/>
            <w14:lightRig w14:rig="threePt" w14:dir="t">
              <w14:rot w14:lat="0" w14:lon="0" w14:rev="0"/>
            </w14:lightRig>
          </w14:scene3d>
        </w:rPr>
        <w:tab/>
      </w:r>
      <w:r w:rsidR="00C652AE" w:rsidRPr="00F628FA">
        <w:t>Th</w:t>
      </w:r>
      <w:r w:rsidR="00B4260B" w:rsidRPr="00F628FA">
        <w:t>is</w:t>
      </w:r>
      <w:r w:rsidR="00FA529E">
        <w:t xml:space="preserve"> appeal</w:t>
      </w:r>
      <w:r w:rsidR="00B4260B" w:rsidRPr="00F628FA">
        <w:t xml:space="preserve">, by contrast, </w:t>
      </w:r>
      <w:r w:rsidR="00596CAA" w:rsidRPr="00F628FA">
        <w:rPr>
          <w:noProof/>
        </w:rPr>
        <w:t>is concerned with</w:t>
      </w:r>
      <w:r w:rsidR="00C652AE" w:rsidRPr="00F628FA">
        <w:rPr>
          <w:noProof/>
        </w:rPr>
        <w:t xml:space="preserve"> the</w:t>
      </w:r>
      <w:r w:rsidR="00C652AE" w:rsidRPr="00F628FA">
        <w:t xml:space="preserve"> ambit of the powers of the </w:t>
      </w:r>
      <w:r w:rsidR="00BA25E9">
        <w:t xml:space="preserve">Commission </w:t>
      </w:r>
      <w:r w:rsidR="00BA25E9" w:rsidRPr="00B70B09">
        <w:rPr>
          <w:noProof/>
          <w:szCs w:val="26"/>
        </w:rPr>
        <w:t xml:space="preserve">to investigate whether the </w:t>
      </w:r>
      <w:r w:rsidR="00BA25E9">
        <w:rPr>
          <w:noProof/>
          <w:szCs w:val="26"/>
        </w:rPr>
        <w:t xml:space="preserve">agreement </w:t>
      </w:r>
      <w:r w:rsidR="00BA25E9" w:rsidRPr="00B70B09">
        <w:rPr>
          <w:noProof/>
          <w:szCs w:val="26"/>
        </w:rPr>
        <w:t>constitutes a merger as defined in the Competition Act.</w:t>
      </w:r>
      <w:r w:rsidR="00C652AE" w:rsidRPr="00F628FA">
        <w:t xml:space="preserve"> </w:t>
      </w:r>
      <w:r w:rsidR="0038115B">
        <w:t xml:space="preserve"> </w:t>
      </w:r>
      <w:r w:rsidR="00100CA9" w:rsidRPr="00B70B09">
        <w:t>As is expected, t</w:t>
      </w:r>
      <w:r w:rsidR="000C1C03" w:rsidRPr="00B70B09">
        <w:rPr>
          <w:noProof/>
          <w:szCs w:val="26"/>
        </w:rPr>
        <w:t>here</w:t>
      </w:r>
      <w:r w:rsidR="000C1C03" w:rsidRPr="00B70B09">
        <w:rPr>
          <w:szCs w:val="26"/>
        </w:rPr>
        <w:t xml:space="preserve"> are </w:t>
      </w:r>
      <w:r w:rsidR="000C1C03" w:rsidRPr="00B70B09">
        <w:rPr>
          <w:noProof/>
          <w:szCs w:val="26"/>
        </w:rPr>
        <w:t>two sharply</w:t>
      </w:r>
      <w:r w:rsidR="000C1C03" w:rsidRPr="00B70B09">
        <w:rPr>
          <w:szCs w:val="26"/>
        </w:rPr>
        <w:t xml:space="preserve"> divergent views on</w:t>
      </w:r>
      <w:r w:rsidR="00BA25E9">
        <w:rPr>
          <w:szCs w:val="26"/>
        </w:rPr>
        <w:t xml:space="preserve"> this issue</w:t>
      </w:r>
      <w:r w:rsidR="005A0FD6">
        <w:rPr>
          <w:szCs w:val="26"/>
        </w:rPr>
        <w:t>.</w:t>
      </w:r>
      <w:r w:rsidR="000C1C03" w:rsidRPr="000C1C03">
        <w:rPr>
          <w:szCs w:val="26"/>
        </w:rPr>
        <w:t xml:space="preserve">  The SABC and </w:t>
      </w:r>
      <w:proofErr w:type="spellStart"/>
      <w:r w:rsidR="000C1C03" w:rsidRPr="000C1C03">
        <w:rPr>
          <w:szCs w:val="26"/>
        </w:rPr>
        <w:t>MultiChoice</w:t>
      </w:r>
      <w:proofErr w:type="spellEnd"/>
      <w:r w:rsidR="000C1C03" w:rsidRPr="000C1C03">
        <w:rPr>
          <w:szCs w:val="26"/>
        </w:rPr>
        <w:t xml:space="preserve"> contend that the Commission is limited to a “desktop study” of the documents </w:t>
      </w:r>
      <w:r w:rsidR="005A0FD6">
        <w:rPr>
          <w:szCs w:val="26"/>
        </w:rPr>
        <w:t xml:space="preserve">produced </w:t>
      </w:r>
      <w:r w:rsidR="000C1C03" w:rsidRPr="000C1C03">
        <w:rPr>
          <w:noProof/>
          <w:szCs w:val="26"/>
        </w:rPr>
        <w:t>by each</w:t>
      </w:r>
      <w:r w:rsidR="000C1C03" w:rsidRPr="000C1C03">
        <w:rPr>
          <w:szCs w:val="26"/>
        </w:rPr>
        <w:t xml:space="preserve"> of them.  On their version, the Commission is precluded from exercising any further powers of investigation, coercive or non-coercive, and is barred even from interviewing willing witnesses</w:t>
      </w:r>
      <w:r w:rsidR="002A6DC7">
        <w:rPr>
          <w:szCs w:val="26"/>
        </w:rPr>
        <w:t xml:space="preserve"> including</w:t>
      </w:r>
      <w:r w:rsidR="000C1C03" w:rsidRPr="000C1C03">
        <w:rPr>
          <w:szCs w:val="26"/>
        </w:rPr>
        <w:t xml:space="preserve"> SABC </w:t>
      </w:r>
      <w:r w:rsidR="00B76AAA">
        <w:rPr>
          <w:szCs w:val="26"/>
        </w:rPr>
        <w:t>b</w:t>
      </w:r>
      <w:r w:rsidR="000C1C03" w:rsidRPr="000C1C03">
        <w:rPr>
          <w:szCs w:val="26"/>
        </w:rPr>
        <w:t>oard members who have made public statements on relevant issues.</w:t>
      </w:r>
    </w:p>
    <w:p w:rsidR="000C1C03" w:rsidRPr="000C1C03" w:rsidRDefault="000C1C03" w:rsidP="00C01A5D">
      <w:pPr>
        <w:pStyle w:val="JUDGMENTCONTINUED"/>
      </w:pPr>
    </w:p>
    <w:p w:rsidR="000C1C03" w:rsidRPr="000C1C03" w:rsidRDefault="006970A9" w:rsidP="006970A9">
      <w:pPr>
        <w:pStyle w:val="JUDGMENTNUMBERED"/>
        <w:numPr>
          <w:ilvl w:val="0"/>
          <w:numId w:val="0"/>
        </w:numPr>
        <w:rPr>
          <w:szCs w:val="26"/>
        </w:rPr>
      </w:pPr>
      <w:r w:rsidRPr="000C1C03">
        <w:rPr>
          <w:color w:val="000000"/>
          <w:szCs w:val="26"/>
          <w14:scene3d>
            <w14:camera w14:prst="orthographicFront"/>
            <w14:lightRig w14:rig="threePt" w14:dir="t">
              <w14:rot w14:lat="0" w14:lon="0" w14:rev="0"/>
            </w14:lightRig>
          </w14:scene3d>
        </w:rPr>
        <w:t>[25]</w:t>
      </w:r>
      <w:r w:rsidRPr="000C1C03">
        <w:rPr>
          <w:color w:val="000000"/>
          <w:szCs w:val="26"/>
          <w14:scene3d>
            <w14:camera w14:prst="orthographicFront"/>
            <w14:lightRig w14:rig="threePt" w14:dir="t">
              <w14:rot w14:lat="0" w14:lon="0" w14:rev="0"/>
            </w14:lightRig>
          </w14:scene3d>
        </w:rPr>
        <w:tab/>
      </w:r>
      <w:r w:rsidR="000C1C03" w:rsidRPr="000C1C03">
        <w:rPr>
          <w:noProof/>
          <w:szCs w:val="26"/>
        </w:rPr>
        <w:t>The applicants, supported by the Commission</w:t>
      </w:r>
      <w:r w:rsidR="00972BC9">
        <w:rPr>
          <w:noProof/>
          <w:szCs w:val="26"/>
        </w:rPr>
        <w:t>,</w:t>
      </w:r>
      <w:r w:rsidR="000C1C03" w:rsidRPr="000C1C03">
        <w:rPr>
          <w:noProof/>
          <w:szCs w:val="26"/>
        </w:rPr>
        <w:t xml:space="preserve"> argue that the Commission has available to it its full range of standard investigative powers, as set out in Part B of Chapter 5 of the Competition Act</w:t>
      </w:r>
      <w:r w:rsidR="005A0FD6">
        <w:rPr>
          <w:noProof/>
          <w:szCs w:val="26"/>
        </w:rPr>
        <w:t xml:space="preserve">, which includes </w:t>
      </w:r>
      <w:r w:rsidR="000C1C03" w:rsidRPr="000C1C03">
        <w:rPr>
          <w:noProof/>
          <w:szCs w:val="26"/>
        </w:rPr>
        <w:t xml:space="preserve">the ability to interview individuals who were involved in the negotiation and conclusion of the </w:t>
      </w:r>
      <w:r w:rsidR="00D84213">
        <w:rPr>
          <w:noProof/>
          <w:szCs w:val="26"/>
        </w:rPr>
        <w:t>a</w:t>
      </w:r>
      <w:r w:rsidR="00C708BA">
        <w:rPr>
          <w:noProof/>
          <w:szCs w:val="26"/>
        </w:rPr>
        <w:t>greement</w:t>
      </w:r>
      <w:r w:rsidR="0038115B">
        <w:rPr>
          <w:noProof/>
          <w:szCs w:val="26"/>
        </w:rPr>
        <w:t>.</w:t>
      </w:r>
      <w:r w:rsidR="006950D6">
        <w:rPr>
          <w:noProof/>
          <w:szCs w:val="26"/>
        </w:rPr>
        <w:t xml:space="preserve">  </w:t>
      </w:r>
      <w:r w:rsidR="000C1C03" w:rsidRPr="000C1C03">
        <w:rPr>
          <w:szCs w:val="26"/>
        </w:rPr>
        <w:t xml:space="preserve">They </w:t>
      </w:r>
      <w:r w:rsidR="005A0FD6">
        <w:rPr>
          <w:szCs w:val="26"/>
        </w:rPr>
        <w:t xml:space="preserve">contend </w:t>
      </w:r>
      <w:r w:rsidR="000C1C03" w:rsidRPr="000C1C03">
        <w:rPr>
          <w:szCs w:val="26"/>
        </w:rPr>
        <w:t>that</w:t>
      </w:r>
      <w:r w:rsidR="000C1C03" w:rsidRPr="000C1C03">
        <w:rPr>
          <w:noProof/>
          <w:szCs w:val="26"/>
        </w:rPr>
        <w:t xml:space="preserve"> these</w:t>
      </w:r>
      <w:r w:rsidR="000C1C03" w:rsidRPr="000C1C03">
        <w:rPr>
          <w:szCs w:val="26"/>
        </w:rPr>
        <w:t xml:space="preserve"> powers are essential for the </w:t>
      </w:r>
      <w:r w:rsidR="000C1C03" w:rsidRPr="000C1C03">
        <w:rPr>
          <w:noProof/>
          <w:szCs w:val="26"/>
        </w:rPr>
        <w:t>Commission to</w:t>
      </w:r>
      <w:r w:rsidR="000C1C03" w:rsidRPr="000C1C03">
        <w:rPr>
          <w:szCs w:val="26"/>
        </w:rPr>
        <w:t xml:space="preserve"> </w:t>
      </w:r>
      <w:r w:rsidR="000C1C03" w:rsidRPr="000C1C03">
        <w:rPr>
          <w:noProof/>
          <w:szCs w:val="26"/>
        </w:rPr>
        <w:t>adequately</w:t>
      </w:r>
      <w:r w:rsidR="000C1C03" w:rsidRPr="000C1C03">
        <w:rPr>
          <w:szCs w:val="26"/>
        </w:rPr>
        <w:t xml:space="preserve"> </w:t>
      </w:r>
      <w:r w:rsidR="000C1C03" w:rsidRPr="00474898">
        <w:rPr>
          <w:noProof/>
          <w:szCs w:val="26"/>
        </w:rPr>
        <w:t>fulfi</w:t>
      </w:r>
      <w:r w:rsidR="00474898">
        <w:rPr>
          <w:noProof/>
          <w:szCs w:val="26"/>
        </w:rPr>
        <w:t>l</w:t>
      </w:r>
      <w:r w:rsidR="000C1C03" w:rsidRPr="00474898">
        <w:rPr>
          <w:noProof/>
          <w:szCs w:val="26"/>
        </w:rPr>
        <w:t>l</w:t>
      </w:r>
      <w:r w:rsidR="000C1C03" w:rsidRPr="000C1C03">
        <w:rPr>
          <w:szCs w:val="26"/>
        </w:rPr>
        <w:t xml:space="preserve"> its court-mandated task of investigating whether the </w:t>
      </w:r>
      <w:r w:rsidR="00D84213">
        <w:rPr>
          <w:szCs w:val="26"/>
        </w:rPr>
        <w:t>a</w:t>
      </w:r>
      <w:r w:rsidR="00C708BA">
        <w:rPr>
          <w:szCs w:val="26"/>
        </w:rPr>
        <w:t xml:space="preserve">greement </w:t>
      </w:r>
      <w:r w:rsidR="000C1C03" w:rsidRPr="000C1C03">
        <w:rPr>
          <w:noProof/>
          <w:szCs w:val="26"/>
        </w:rPr>
        <w:t>gives</w:t>
      </w:r>
      <w:r w:rsidR="000C1C03" w:rsidRPr="000C1C03">
        <w:rPr>
          <w:szCs w:val="26"/>
        </w:rPr>
        <w:t xml:space="preserve"> rise to a merger, in </w:t>
      </w:r>
      <w:r w:rsidR="000C1C03" w:rsidRPr="000C1C03">
        <w:rPr>
          <w:noProof/>
          <w:szCs w:val="26"/>
        </w:rPr>
        <w:t xml:space="preserve">particular, because of the lack of documents made available by </w:t>
      </w:r>
      <w:r w:rsidR="00683AEE">
        <w:rPr>
          <w:noProof/>
          <w:szCs w:val="26"/>
        </w:rPr>
        <w:t xml:space="preserve">the </w:t>
      </w:r>
      <w:r w:rsidR="000C1C03" w:rsidRPr="000C1C03">
        <w:rPr>
          <w:noProof/>
          <w:szCs w:val="26"/>
        </w:rPr>
        <w:t>SABC</w:t>
      </w:r>
      <w:r w:rsidR="00AB2407">
        <w:rPr>
          <w:noProof/>
          <w:szCs w:val="26"/>
        </w:rPr>
        <w:t xml:space="preserve"> and MultiChoice</w:t>
      </w:r>
      <w:r w:rsidR="00C01A5D">
        <w:rPr>
          <w:noProof/>
          <w:szCs w:val="26"/>
        </w:rPr>
        <w:t>.</w:t>
      </w:r>
    </w:p>
    <w:p w:rsidR="000C1C03" w:rsidRDefault="000C1C03" w:rsidP="00C01A5D">
      <w:pPr>
        <w:pStyle w:val="JUDGMENTCONTINUED"/>
      </w:pPr>
    </w:p>
    <w:p w:rsidR="00073AEE" w:rsidRPr="00DB5365" w:rsidRDefault="006970A9" w:rsidP="006970A9">
      <w:pPr>
        <w:pStyle w:val="JUDGMENTNUMBERED"/>
        <w:numPr>
          <w:ilvl w:val="0"/>
          <w:numId w:val="0"/>
        </w:numPr>
      </w:pPr>
      <w:r w:rsidRPr="00DB5365">
        <w:rPr>
          <w:color w:val="000000"/>
          <w14:scene3d>
            <w14:camera w14:prst="orthographicFront"/>
            <w14:lightRig w14:rig="threePt" w14:dir="t">
              <w14:rot w14:lat="0" w14:lon="0" w14:rev="0"/>
            </w14:lightRig>
          </w14:scene3d>
        </w:rPr>
        <w:t>[26]</w:t>
      </w:r>
      <w:r w:rsidRPr="00DB5365">
        <w:rPr>
          <w:color w:val="000000"/>
          <w14:scene3d>
            <w14:camera w14:prst="orthographicFront"/>
            <w14:lightRig w14:rig="threePt" w14:dir="t">
              <w14:rot w14:lat="0" w14:lon="0" w14:rev="0"/>
            </w14:lightRig>
          </w14:scene3d>
        </w:rPr>
        <w:tab/>
      </w:r>
      <w:r w:rsidR="00AB2407">
        <w:t xml:space="preserve">Accordingly, the </w:t>
      </w:r>
      <w:r w:rsidR="00FA529E">
        <w:t>following issues</w:t>
      </w:r>
      <w:r w:rsidR="00596CAA" w:rsidRPr="00FA529E">
        <w:rPr>
          <w:szCs w:val="26"/>
        </w:rPr>
        <w:t xml:space="preserve"> </w:t>
      </w:r>
      <w:r w:rsidR="00FA529E">
        <w:rPr>
          <w:szCs w:val="26"/>
        </w:rPr>
        <w:t>arise</w:t>
      </w:r>
      <w:r w:rsidR="00596CAA" w:rsidRPr="00FA529E">
        <w:rPr>
          <w:szCs w:val="26"/>
        </w:rPr>
        <w:t xml:space="preserve"> </w:t>
      </w:r>
      <w:r w:rsidR="00FA529E">
        <w:rPr>
          <w:szCs w:val="26"/>
        </w:rPr>
        <w:t>for determination:</w:t>
      </w:r>
    </w:p>
    <w:p w:rsidR="00552618" w:rsidRPr="00FA529E" w:rsidRDefault="00552618" w:rsidP="00B32555">
      <w:pPr>
        <w:pStyle w:val="List1"/>
      </w:pPr>
    </w:p>
    <w:p w:rsidR="005814B3" w:rsidRPr="00F628FA" w:rsidRDefault="006970A9" w:rsidP="006970A9">
      <w:pPr>
        <w:pStyle w:val="List1"/>
        <w:spacing w:after="120"/>
        <w:rPr>
          <w:szCs w:val="26"/>
        </w:rPr>
      </w:pPr>
      <w:r w:rsidRPr="00F628FA">
        <w:rPr>
          <w:szCs w:val="26"/>
        </w:rPr>
        <w:t>(a)</w:t>
      </w:r>
      <w:r w:rsidRPr="00F628FA">
        <w:rPr>
          <w:szCs w:val="26"/>
        </w:rPr>
        <w:tab/>
      </w:r>
      <w:r w:rsidR="005814B3" w:rsidRPr="00F628FA">
        <w:rPr>
          <w:noProof/>
          <w:szCs w:val="26"/>
        </w:rPr>
        <w:t>Does the Competit</w:t>
      </w:r>
      <w:r w:rsidR="00A7106F">
        <w:rPr>
          <w:noProof/>
          <w:szCs w:val="26"/>
        </w:rPr>
        <w:t>i</w:t>
      </w:r>
      <w:r w:rsidR="005814B3" w:rsidRPr="00F628FA">
        <w:rPr>
          <w:noProof/>
          <w:szCs w:val="26"/>
        </w:rPr>
        <w:t xml:space="preserve">on Act </w:t>
      </w:r>
      <w:r w:rsidR="00FA529E" w:rsidRPr="00177EAE">
        <w:rPr>
          <w:noProof/>
          <w:szCs w:val="26"/>
        </w:rPr>
        <w:t>authori</w:t>
      </w:r>
      <w:r w:rsidR="0038115B">
        <w:rPr>
          <w:noProof/>
          <w:szCs w:val="26"/>
        </w:rPr>
        <w:t>s</w:t>
      </w:r>
      <w:r w:rsidR="00FA529E" w:rsidRPr="00177EAE">
        <w:rPr>
          <w:noProof/>
          <w:szCs w:val="26"/>
        </w:rPr>
        <w:t xml:space="preserve">e </w:t>
      </w:r>
      <w:r w:rsidR="005814B3" w:rsidRPr="00F628FA">
        <w:rPr>
          <w:noProof/>
          <w:szCs w:val="26"/>
        </w:rPr>
        <w:t>the Commission to exercise</w:t>
      </w:r>
      <w:r w:rsidR="00137E1A" w:rsidRPr="00F628FA">
        <w:rPr>
          <w:noProof/>
          <w:szCs w:val="26"/>
        </w:rPr>
        <w:t xml:space="preserve"> its </w:t>
      </w:r>
      <w:r w:rsidR="005814B3" w:rsidRPr="00474898">
        <w:rPr>
          <w:noProof/>
          <w:szCs w:val="26"/>
        </w:rPr>
        <w:t>investigatory</w:t>
      </w:r>
      <w:r w:rsidR="00137E1A" w:rsidRPr="00474898">
        <w:rPr>
          <w:noProof/>
          <w:szCs w:val="26"/>
        </w:rPr>
        <w:t xml:space="preserve"> </w:t>
      </w:r>
      <w:r w:rsidR="005814B3" w:rsidRPr="00474898">
        <w:rPr>
          <w:noProof/>
          <w:szCs w:val="26"/>
        </w:rPr>
        <w:t>powers</w:t>
      </w:r>
      <w:r w:rsidR="005814B3" w:rsidRPr="00F628FA">
        <w:rPr>
          <w:noProof/>
          <w:szCs w:val="26"/>
        </w:rPr>
        <w:t xml:space="preserve"> </w:t>
      </w:r>
      <w:r w:rsidR="00137E1A" w:rsidRPr="00F628FA">
        <w:rPr>
          <w:noProof/>
          <w:szCs w:val="26"/>
        </w:rPr>
        <w:t xml:space="preserve">under Part B of Chapter 5 </w:t>
      </w:r>
      <w:r w:rsidR="005814B3" w:rsidRPr="00F628FA">
        <w:rPr>
          <w:noProof/>
          <w:szCs w:val="26"/>
        </w:rPr>
        <w:t xml:space="preserve">on whether the </w:t>
      </w:r>
      <w:r w:rsidR="00D84213">
        <w:rPr>
          <w:noProof/>
          <w:szCs w:val="26"/>
        </w:rPr>
        <w:t>a</w:t>
      </w:r>
      <w:r w:rsidR="00C708BA">
        <w:rPr>
          <w:noProof/>
          <w:szCs w:val="26"/>
        </w:rPr>
        <w:t xml:space="preserve">greement </w:t>
      </w:r>
      <w:r w:rsidR="005814B3" w:rsidRPr="00F628FA">
        <w:rPr>
          <w:noProof/>
          <w:szCs w:val="26"/>
        </w:rPr>
        <w:t xml:space="preserve">constitutes a notifiable </w:t>
      </w:r>
      <w:r w:rsidR="00F628FA" w:rsidRPr="000F03C5">
        <w:rPr>
          <w:noProof/>
          <w:szCs w:val="26"/>
        </w:rPr>
        <w:t>merger</w:t>
      </w:r>
      <w:r w:rsidR="00616E49">
        <w:rPr>
          <w:noProof/>
          <w:szCs w:val="26"/>
        </w:rPr>
        <w:t>?</w:t>
      </w:r>
    </w:p>
    <w:p w:rsidR="008A01F7" w:rsidRPr="00F628FA" w:rsidRDefault="006970A9" w:rsidP="006970A9">
      <w:pPr>
        <w:pStyle w:val="List1"/>
        <w:spacing w:after="120"/>
        <w:rPr>
          <w:noProof/>
          <w:szCs w:val="26"/>
        </w:rPr>
      </w:pPr>
      <w:r w:rsidRPr="00F628FA">
        <w:rPr>
          <w:noProof/>
          <w:szCs w:val="26"/>
        </w:rPr>
        <w:t>(b)</w:t>
      </w:r>
      <w:r w:rsidRPr="00F628FA">
        <w:rPr>
          <w:noProof/>
          <w:szCs w:val="26"/>
        </w:rPr>
        <w:tab/>
      </w:r>
      <w:r w:rsidR="00552618" w:rsidRPr="00F628FA">
        <w:rPr>
          <w:noProof/>
          <w:szCs w:val="26"/>
        </w:rPr>
        <w:t>T</w:t>
      </w:r>
      <w:r w:rsidR="008A01F7" w:rsidRPr="00F628FA">
        <w:rPr>
          <w:noProof/>
          <w:szCs w:val="26"/>
        </w:rPr>
        <w:t>he proper interpretation of the June 2016 order</w:t>
      </w:r>
      <w:r w:rsidR="00F17A18" w:rsidRPr="00F628FA">
        <w:rPr>
          <w:noProof/>
          <w:szCs w:val="26"/>
        </w:rPr>
        <w:t xml:space="preserve"> by the C</w:t>
      </w:r>
      <w:r w:rsidR="00B06D2A">
        <w:rPr>
          <w:noProof/>
          <w:szCs w:val="26"/>
        </w:rPr>
        <w:t>ompetition</w:t>
      </w:r>
      <w:r w:rsidR="0080589F">
        <w:rPr>
          <w:noProof/>
          <w:szCs w:val="26"/>
        </w:rPr>
        <w:t> </w:t>
      </w:r>
      <w:r w:rsidR="00B06D2A">
        <w:rPr>
          <w:noProof/>
          <w:szCs w:val="26"/>
        </w:rPr>
        <w:t>Appeal Court</w:t>
      </w:r>
      <w:r w:rsidR="00552618" w:rsidRPr="00F628FA">
        <w:rPr>
          <w:noProof/>
          <w:szCs w:val="26"/>
        </w:rPr>
        <w:t>.</w:t>
      </w:r>
      <w:r w:rsidR="00574050">
        <w:rPr>
          <w:noProof/>
          <w:szCs w:val="26"/>
        </w:rPr>
        <w:t xml:space="preserve"> </w:t>
      </w:r>
      <w:r w:rsidR="00552618" w:rsidRPr="00F628FA">
        <w:rPr>
          <w:noProof/>
          <w:szCs w:val="26"/>
        </w:rPr>
        <w:t xml:space="preserve"> In particular, </w:t>
      </w:r>
      <w:r w:rsidR="00972BC9">
        <w:rPr>
          <w:noProof/>
          <w:szCs w:val="26"/>
        </w:rPr>
        <w:t>does</w:t>
      </w:r>
      <w:r w:rsidR="008A01F7" w:rsidRPr="00F628FA">
        <w:rPr>
          <w:noProof/>
          <w:szCs w:val="26"/>
        </w:rPr>
        <w:t xml:space="preserve"> </w:t>
      </w:r>
      <w:r w:rsidR="005F2BB2">
        <w:rPr>
          <w:noProof/>
          <w:szCs w:val="26"/>
        </w:rPr>
        <w:t>it</w:t>
      </w:r>
      <w:r w:rsidR="00552618" w:rsidRPr="00F628FA">
        <w:rPr>
          <w:noProof/>
          <w:szCs w:val="26"/>
        </w:rPr>
        <w:t xml:space="preserve"> permit </w:t>
      </w:r>
      <w:r w:rsidR="008A01F7" w:rsidRPr="00F628FA">
        <w:rPr>
          <w:noProof/>
          <w:szCs w:val="26"/>
        </w:rPr>
        <w:t xml:space="preserve">the Commission to exercise its investigative powers under Part B of Chapter 5 of the Competition Act </w:t>
      </w:r>
      <w:r w:rsidR="00F628FA">
        <w:rPr>
          <w:noProof/>
          <w:szCs w:val="26"/>
        </w:rPr>
        <w:t>to discharge</w:t>
      </w:r>
      <w:r w:rsidR="008A01F7" w:rsidRPr="00F628FA">
        <w:rPr>
          <w:noProof/>
          <w:szCs w:val="26"/>
        </w:rPr>
        <w:t xml:space="preserve"> its obligations under </w:t>
      </w:r>
      <w:r w:rsidR="008A01F7" w:rsidRPr="00C50E13">
        <w:rPr>
          <w:noProof/>
          <w:szCs w:val="26"/>
        </w:rPr>
        <w:t>th</w:t>
      </w:r>
      <w:r w:rsidR="000A0AEE" w:rsidRPr="00C50E13">
        <w:rPr>
          <w:noProof/>
          <w:szCs w:val="26"/>
        </w:rPr>
        <w:t>e</w:t>
      </w:r>
      <w:r w:rsidR="003B4638" w:rsidRPr="00F628FA">
        <w:rPr>
          <w:noProof/>
          <w:szCs w:val="26"/>
        </w:rPr>
        <w:t xml:space="preserve"> order</w:t>
      </w:r>
      <w:r w:rsidR="0038115B">
        <w:rPr>
          <w:noProof/>
          <w:szCs w:val="26"/>
        </w:rPr>
        <w:t>?</w:t>
      </w:r>
    </w:p>
    <w:p w:rsidR="00D862D4" w:rsidRPr="00F628FA" w:rsidRDefault="006970A9" w:rsidP="006970A9">
      <w:pPr>
        <w:pStyle w:val="List1"/>
        <w:spacing w:after="120"/>
        <w:rPr>
          <w:szCs w:val="26"/>
        </w:rPr>
      </w:pPr>
      <w:r w:rsidRPr="00F628FA">
        <w:rPr>
          <w:szCs w:val="26"/>
        </w:rPr>
        <w:t>(c)</w:t>
      </w:r>
      <w:r w:rsidRPr="00F628FA">
        <w:rPr>
          <w:szCs w:val="26"/>
        </w:rPr>
        <w:tab/>
      </w:r>
      <w:r w:rsidR="00552618" w:rsidRPr="00474898">
        <w:rPr>
          <w:noProof/>
          <w:szCs w:val="26"/>
        </w:rPr>
        <w:t>I</w:t>
      </w:r>
      <w:r w:rsidR="001B0134" w:rsidRPr="00474898">
        <w:rPr>
          <w:noProof/>
          <w:szCs w:val="26"/>
        </w:rPr>
        <w:t xml:space="preserve">f the June 2016 order does not have the meaning for which the applicants contend, </w:t>
      </w:r>
      <w:r w:rsidR="00540A2B" w:rsidRPr="00474898">
        <w:rPr>
          <w:noProof/>
          <w:szCs w:val="26"/>
        </w:rPr>
        <w:t xml:space="preserve">should the </w:t>
      </w:r>
      <w:r w:rsidR="009078C9" w:rsidRPr="009078C9">
        <w:rPr>
          <w:noProof/>
          <w:szCs w:val="26"/>
        </w:rPr>
        <w:t>Competition Appeal Court</w:t>
      </w:r>
      <w:r w:rsidR="001B0134" w:rsidRPr="00474898">
        <w:rPr>
          <w:noProof/>
          <w:szCs w:val="26"/>
        </w:rPr>
        <w:t xml:space="preserve"> have</w:t>
      </w:r>
      <w:r w:rsidR="00B76AAA">
        <w:rPr>
          <w:noProof/>
          <w:szCs w:val="26"/>
        </w:rPr>
        <w:t>:</w:t>
      </w:r>
      <w:r w:rsidR="001B0134" w:rsidRPr="00474898">
        <w:rPr>
          <w:noProof/>
          <w:szCs w:val="26"/>
        </w:rPr>
        <w:t xml:space="preserve"> (</w:t>
      </w:r>
      <w:r w:rsidR="00A243FC">
        <w:rPr>
          <w:noProof/>
          <w:szCs w:val="26"/>
        </w:rPr>
        <w:t>i</w:t>
      </w:r>
      <w:r w:rsidR="001B0134" w:rsidRPr="00474898">
        <w:rPr>
          <w:noProof/>
          <w:szCs w:val="26"/>
        </w:rPr>
        <w:t xml:space="preserve">) varied the order to accord it </w:t>
      </w:r>
      <w:r w:rsidR="00A87D08">
        <w:rPr>
          <w:noProof/>
          <w:szCs w:val="26"/>
        </w:rPr>
        <w:t>that</w:t>
      </w:r>
      <w:r w:rsidR="001B0134" w:rsidRPr="00474898">
        <w:rPr>
          <w:noProof/>
          <w:szCs w:val="26"/>
        </w:rPr>
        <w:t xml:space="preserve"> meaning, or (</w:t>
      </w:r>
      <w:r w:rsidR="00A243FC">
        <w:rPr>
          <w:noProof/>
          <w:szCs w:val="26"/>
        </w:rPr>
        <w:t>ii</w:t>
      </w:r>
      <w:r w:rsidR="001B0134" w:rsidRPr="00474898">
        <w:rPr>
          <w:noProof/>
          <w:szCs w:val="26"/>
        </w:rPr>
        <w:t>) issued a new order in the te</w:t>
      </w:r>
      <w:r w:rsidR="00F628FA" w:rsidRPr="00474898">
        <w:rPr>
          <w:noProof/>
          <w:szCs w:val="26"/>
        </w:rPr>
        <w:t xml:space="preserve">rms </w:t>
      </w:r>
      <w:r w:rsidR="00BB6EFA" w:rsidRPr="00474898">
        <w:rPr>
          <w:noProof/>
          <w:szCs w:val="26"/>
        </w:rPr>
        <w:t xml:space="preserve">sought by </w:t>
      </w:r>
      <w:r w:rsidR="00F628FA" w:rsidRPr="00474898">
        <w:rPr>
          <w:noProof/>
          <w:szCs w:val="26"/>
        </w:rPr>
        <w:t>the applicants</w:t>
      </w:r>
      <w:r w:rsidR="00540A2B" w:rsidRPr="00474898">
        <w:rPr>
          <w:noProof/>
          <w:szCs w:val="26"/>
        </w:rPr>
        <w:t>,</w:t>
      </w:r>
      <w:r w:rsidR="001B0134" w:rsidRPr="00474898">
        <w:rPr>
          <w:noProof/>
          <w:szCs w:val="26"/>
        </w:rPr>
        <w:t xml:space="preserve"> despite the </w:t>
      </w:r>
      <w:r w:rsidR="009078C9" w:rsidRPr="009078C9">
        <w:rPr>
          <w:noProof/>
          <w:szCs w:val="26"/>
        </w:rPr>
        <w:t>Competition Appeal Court</w:t>
      </w:r>
      <w:r w:rsidR="001B0134" w:rsidRPr="00474898">
        <w:rPr>
          <w:noProof/>
          <w:szCs w:val="26"/>
        </w:rPr>
        <w:t xml:space="preserve"> having discharged its function by determining the appeal before</w:t>
      </w:r>
      <w:r w:rsidR="00C50E13" w:rsidRPr="00474898">
        <w:rPr>
          <w:noProof/>
          <w:szCs w:val="26"/>
        </w:rPr>
        <w:t xml:space="preserve"> </w:t>
      </w:r>
      <w:r w:rsidR="00BB6EFA" w:rsidRPr="00474898">
        <w:rPr>
          <w:noProof/>
          <w:szCs w:val="26"/>
        </w:rPr>
        <w:t>it?</w:t>
      </w:r>
    </w:p>
    <w:p w:rsidR="001D181A" w:rsidRDefault="001D181A" w:rsidP="00C01A5D">
      <w:pPr>
        <w:pStyle w:val="JUDGMENTCONTINUED"/>
        <w:rPr>
          <w:noProof/>
        </w:rPr>
      </w:pPr>
    </w:p>
    <w:p w:rsidR="009824D2" w:rsidRPr="009824D2" w:rsidRDefault="006970A9" w:rsidP="006970A9">
      <w:pPr>
        <w:pStyle w:val="JUDGMENTNUMBERED"/>
        <w:numPr>
          <w:ilvl w:val="0"/>
          <w:numId w:val="0"/>
        </w:numPr>
      </w:pPr>
      <w:r w:rsidRPr="009824D2">
        <w:rPr>
          <w:color w:val="000000"/>
          <w14:scene3d>
            <w14:camera w14:prst="orthographicFront"/>
            <w14:lightRig w14:rig="threePt" w14:dir="t">
              <w14:rot w14:lat="0" w14:lon="0" w14:rev="0"/>
            </w14:lightRig>
          </w14:scene3d>
        </w:rPr>
        <w:t>[27]</w:t>
      </w:r>
      <w:r w:rsidRPr="009824D2">
        <w:rPr>
          <w:color w:val="000000"/>
          <w14:scene3d>
            <w14:camera w14:prst="orthographicFront"/>
            <w14:lightRig w14:rig="threePt" w14:dir="t">
              <w14:rot w14:lat="0" w14:lon="0" w14:rev="0"/>
            </w14:lightRig>
          </w14:scene3d>
        </w:rPr>
        <w:tab/>
      </w:r>
      <w:r w:rsidR="00F22F91" w:rsidRPr="00F154E7">
        <w:rPr>
          <w:noProof/>
        </w:rPr>
        <w:t xml:space="preserve">The </w:t>
      </w:r>
      <w:r w:rsidR="00601111" w:rsidRPr="00177EAE">
        <w:rPr>
          <w:noProof/>
        </w:rPr>
        <w:t xml:space="preserve">SABC and MultiChoice contend </w:t>
      </w:r>
      <w:r w:rsidR="00AB2407">
        <w:rPr>
          <w:noProof/>
        </w:rPr>
        <w:t xml:space="preserve">that the first issue </w:t>
      </w:r>
      <w:r w:rsidR="00177EAE" w:rsidRPr="00177EAE">
        <w:rPr>
          <w:noProof/>
        </w:rPr>
        <w:t xml:space="preserve">is </w:t>
      </w:r>
      <w:r w:rsidR="00601111" w:rsidRPr="00177EAE">
        <w:rPr>
          <w:noProof/>
        </w:rPr>
        <w:t xml:space="preserve">not for determination on appeal, as it was </w:t>
      </w:r>
      <w:r w:rsidR="00BB6EFA">
        <w:rPr>
          <w:noProof/>
        </w:rPr>
        <w:t xml:space="preserve">neither </w:t>
      </w:r>
      <w:r w:rsidR="00601111" w:rsidRPr="00177EAE">
        <w:rPr>
          <w:noProof/>
        </w:rPr>
        <w:t xml:space="preserve">raised by the applicants in the </w:t>
      </w:r>
      <w:r w:rsidR="009078C9" w:rsidRPr="009078C9">
        <w:rPr>
          <w:noProof/>
        </w:rPr>
        <w:t>Competition Appeal Court</w:t>
      </w:r>
      <w:r w:rsidR="00601111" w:rsidRPr="00177EAE">
        <w:rPr>
          <w:noProof/>
        </w:rPr>
        <w:t xml:space="preserve"> nor determined </w:t>
      </w:r>
      <w:r w:rsidR="00683AEE">
        <w:rPr>
          <w:noProof/>
        </w:rPr>
        <w:t>by it.</w:t>
      </w:r>
      <w:r w:rsidR="00384219">
        <w:rPr>
          <w:noProof/>
        </w:rPr>
        <w:t xml:space="preserve"> </w:t>
      </w:r>
      <w:r w:rsidR="0038115B">
        <w:rPr>
          <w:noProof/>
        </w:rPr>
        <w:t xml:space="preserve"> On </w:t>
      </w:r>
      <w:r w:rsidR="00AB2407">
        <w:rPr>
          <w:noProof/>
        </w:rPr>
        <w:t xml:space="preserve">the contrary, </w:t>
      </w:r>
      <w:r w:rsidR="004B0849">
        <w:rPr>
          <w:noProof/>
        </w:rPr>
        <w:t xml:space="preserve">I </w:t>
      </w:r>
      <w:r w:rsidR="00C16D02">
        <w:rPr>
          <w:noProof/>
        </w:rPr>
        <w:t>consider</w:t>
      </w:r>
      <w:r w:rsidR="004B0849">
        <w:rPr>
          <w:noProof/>
        </w:rPr>
        <w:t xml:space="preserve"> this issue </w:t>
      </w:r>
      <w:r w:rsidR="00601111" w:rsidRPr="00177EAE">
        <w:rPr>
          <w:noProof/>
        </w:rPr>
        <w:t xml:space="preserve">to be </w:t>
      </w:r>
      <w:r w:rsidR="00100CA9">
        <w:rPr>
          <w:noProof/>
        </w:rPr>
        <w:t xml:space="preserve">fundamental </w:t>
      </w:r>
      <w:r w:rsidR="00601111" w:rsidRPr="00177EAE">
        <w:rPr>
          <w:noProof/>
        </w:rPr>
        <w:t>to the primary issue on appeal</w:t>
      </w:r>
      <w:r w:rsidR="00AF6697">
        <w:rPr>
          <w:noProof/>
        </w:rPr>
        <w:t xml:space="preserve"> that is</w:t>
      </w:r>
      <w:r w:rsidR="00601111" w:rsidRPr="000416EC">
        <w:rPr>
          <w:noProof/>
          <w:szCs w:val="26"/>
        </w:rPr>
        <w:t xml:space="preserve"> the proper interpretation of the June 2016 order and</w:t>
      </w:r>
      <w:r w:rsidR="00AF6697">
        <w:rPr>
          <w:noProof/>
          <w:szCs w:val="26"/>
        </w:rPr>
        <w:t>,</w:t>
      </w:r>
      <w:r w:rsidR="00601111" w:rsidRPr="000416EC">
        <w:rPr>
          <w:noProof/>
          <w:szCs w:val="26"/>
        </w:rPr>
        <w:t xml:space="preserve"> in particular, whether it permits the Commission to exercise its investigative powers</w:t>
      </w:r>
      <w:r w:rsidR="009824D2" w:rsidRPr="000416EC">
        <w:rPr>
          <w:noProof/>
          <w:szCs w:val="26"/>
        </w:rPr>
        <w:t>,</w:t>
      </w:r>
      <w:r w:rsidR="00601111" w:rsidRPr="000416EC">
        <w:rPr>
          <w:noProof/>
          <w:szCs w:val="26"/>
        </w:rPr>
        <w:t xml:space="preserve"> under Part B of</w:t>
      </w:r>
      <w:r w:rsidR="004B0849" w:rsidRPr="000416EC">
        <w:rPr>
          <w:noProof/>
          <w:szCs w:val="26"/>
        </w:rPr>
        <w:t xml:space="preserve"> </w:t>
      </w:r>
      <w:r w:rsidR="00601111" w:rsidRPr="000416EC">
        <w:rPr>
          <w:noProof/>
          <w:szCs w:val="26"/>
        </w:rPr>
        <w:t>Chapter</w:t>
      </w:r>
      <w:r w:rsidR="00192013">
        <w:rPr>
          <w:noProof/>
          <w:szCs w:val="26"/>
        </w:rPr>
        <w:t> </w:t>
      </w:r>
      <w:r w:rsidR="00601111" w:rsidRPr="000416EC">
        <w:rPr>
          <w:noProof/>
          <w:szCs w:val="26"/>
        </w:rPr>
        <w:t>5 of the Competition Act</w:t>
      </w:r>
      <w:r w:rsidR="009824D2" w:rsidRPr="000416EC">
        <w:rPr>
          <w:noProof/>
          <w:szCs w:val="26"/>
        </w:rPr>
        <w:t>,</w:t>
      </w:r>
      <w:r w:rsidR="00601111" w:rsidRPr="000416EC">
        <w:rPr>
          <w:noProof/>
          <w:szCs w:val="26"/>
        </w:rPr>
        <w:t xml:space="preserve"> to discharge its obligations under the order.</w:t>
      </w:r>
    </w:p>
    <w:p w:rsidR="009824D2" w:rsidRPr="009824D2" w:rsidRDefault="009824D2" w:rsidP="00C01A5D">
      <w:pPr>
        <w:pStyle w:val="JUDGMENTCONTINUED"/>
      </w:pPr>
    </w:p>
    <w:p w:rsidR="00FF1B0E" w:rsidRDefault="006970A9" w:rsidP="006970A9">
      <w:pPr>
        <w:pStyle w:val="JUDGMENTNUMBERED"/>
        <w:numPr>
          <w:ilvl w:val="0"/>
          <w:numId w:val="0"/>
        </w:numPr>
        <w:rPr>
          <w:noProof/>
        </w:rPr>
      </w:pPr>
      <w:r>
        <w:rPr>
          <w:color w:val="000000"/>
          <w14:scene3d>
            <w14:camera w14:prst="orthographicFront"/>
            <w14:lightRig w14:rig="threePt" w14:dir="t">
              <w14:rot w14:lat="0" w14:lon="0" w14:rev="0"/>
            </w14:lightRig>
          </w14:scene3d>
        </w:rPr>
        <w:t>[28]</w:t>
      </w:r>
      <w:r>
        <w:rPr>
          <w:color w:val="000000"/>
          <w14:scene3d>
            <w14:camera w14:prst="orthographicFront"/>
            <w14:lightRig w14:rig="threePt" w14:dir="t">
              <w14:rot w14:lat="0" w14:lon="0" w14:rev="0"/>
            </w14:lightRig>
          </w14:scene3d>
        </w:rPr>
        <w:tab/>
      </w:r>
      <w:r w:rsidR="00601111" w:rsidRPr="00177EAE">
        <w:rPr>
          <w:noProof/>
        </w:rPr>
        <w:t xml:space="preserve">The Commission gets its original investigative powers from the </w:t>
      </w:r>
      <w:r w:rsidR="00073AEE" w:rsidRPr="00177EAE">
        <w:rPr>
          <w:noProof/>
        </w:rPr>
        <w:t>Competition</w:t>
      </w:r>
      <w:r w:rsidR="00073AEE">
        <w:rPr>
          <w:noProof/>
        </w:rPr>
        <w:t> </w:t>
      </w:r>
      <w:r w:rsidR="00601111" w:rsidRPr="00177EAE">
        <w:rPr>
          <w:noProof/>
        </w:rPr>
        <w:t xml:space="preserve">Act and not the June 2016 order. </w:t>
      </w:r>
      <w:r w:rsidR="00E22D5E">
        <w:rPr>
          <w:noProof/>
        </w:rPr>
        <w:t xml:space="preserve"> </w:t>
      </w:r>
      <w:r w:rsidR="00FF1B0E" w:rsidRPr="00AD1D82">
        <w:rPr>
          <w:noProof/>
        </w:rPr>
        <w:t xml:space="preserve">Consequently, if the Commission may ordinarily exercise its investigatory powers in Part B of Chapter 5 in investigating whether a transaction is a notifiable merger, then the only question </w:t>
      </w:r>
      <w:r w:rsidR="009824D2">
        <w:rPr>
          <w:noProof/>
        </w:rPr>
        <w:t xml:space="preserve">remaining </w:t>
      </w:r>
      <w:r w:rsidR="00F22F91">
        <w:rPr>
          <w:noProof/>
        </w:rPr>
        <w:t xml:space="preserve">for determination </w:t>
      </w:r>
      <w:r w:rsidR="00FF1B0E" w:rsidRPr="00AD1D82">
        <w:rPr>
          <w:noProof/>
        </w:rPr>
        <w:t>is whether the June 2016 order precluded it from doing so</w:t>
      </w:r>
      <w:r w:rsidR="00CD65A7">
        <w:rPr>
          <w:noProof/>
        </w:rPr>
        <w:t>.</w:t>
      </w:r>
    </w:p>
    <w:p w:rsidR="00C81C30" w:rsidRPr="00C81C30" w:rsidRDefault="00C81C30" w:rsidP="00BB36A0">
      <w:pPr>
        <w:pStyle w:val="JUDGMENTCONTINUED"/>
      </w:pPr>
    </w:p>
    <w:p w:rsidR="00601111" w:rsidRPr="00177EAE" w:rsidRDefault="006970A9" w:rsidP="006970A9">
      <w:pPr>
        <w:pStyle w:val="JUDGMENTNUMBERED"/>
        <w:numPr>
          <w:ilvl w:val="0"/>
          <w:numId w:val="0"/>
        </w:numPr>
      </w:pPr>
      <w:r w:rsidRPr="00177EAE">
        <w:rPr>
          <w:color w:val="000000"/>
          <w14:scene3d>
            <w14:camera w14:prst="orthographicFront"/>
            <w14:lightRig w14:rig="threePt" w14:dir="t">
              <w14:rot w14:lat="0" w14:lon="0" w14:rev="0"/>
            </w14:lightRig>
          </w14:scene3d>
        </w:rPr>
        <w:lastRenderedPageBreak/>
        <w:t>[29]</w:t>
      </w:r>
      <w:r w:rsidRPr="00177EAE">
        <w:rPr>
          <w:color w:val="000000"/>
          <w14:scene3d>
            <w14:camera w14:prst="orthographicFront"/>
            <w14:lightRig w14:rig="threePt" w14:dir="t">
              <w14:rot w14:lat="0" w14:lon="0" w14:rev="0"/>
            </w14:lightRig>
          </w14:scene3d>
        </w:rPr>
        <w:tab/>
      </w:r>
      <w:r w:rsidR="00FF1B0E">
        <w:rPr>
          <w:noProof/>
        </w:rPr>
        <w:t xml:space="preserve">The new issue raised is </w:t>
      </w:r>
      <w:r w:rsidR="00601111" w:rsidRPr="00177EAE">
        <w:rPr>
          <w:noProof/>
        </w:rPr>
        <w:t>a point of law that turns on the interp</w:t>
      </w:r>
      <w:r w:rsidR="00FF1B0E">
        <w:rPr>
          <w:noProof/>
        </w:rPr>
        <w:t xml:space="preserve">retation of the Competition Act.  </w:t>
      </w:r>
      <w:r w:rsidR="009824D2">
        <w:rPr>
          <w:noProof/>
        </w:rPr>
        <w:t>It i</w:t>
      </w:r>
      <w:r w:rsidR="00FF1B0E">
        <w:rPr>
          <w:noProof/>
        </w:rPr>
        <w:t>s central to the primary question on appeal.</w:t>
      </w:r>
      <w:r w:rsidR="00601111" w:rsidRPr="00177EAE">
        <w:rPr>
          <w:noProof/>
        </w:rPr>
        <w:t xml:space="preserve">  </w:t>
      </w:r>
      <w:r w:rsidR="002B5E93" w:rsidRPr="002B5E93">
        <w:rPr>
          <w:noProof/>
        </w:rPr>
        <w:t xml:space="preserve">It </w:t>
      </w:r>
      <w:r w:rsidR="00AF6697">
        <w:rPr>
          <w:noProof/>
        </w:rPr>
        <w:t xml:space="preserve">can </w:t>
      </w:r>
      <w:r w:rsidR="002B5E93" w:rsidRPr="002B5E93">
        <w:rPr>
          <w:noProof/>
        </w:rPr>
        <w:t xml:space="preserve">prejudice </w:t>
      </w:r>
      <w:r w:rsidR="00AF6697">
        <w:rPr>
          <w:noProof/>
        </w:rPr>
        <w:t>no-</w:t>
      </w:r>
      <w:r w:rsidR="002B5E93" w:rsidRPr="002B5E93">
        <w:rPr>
          <w:noProof/>
        </w:rPr>
        <w:t>one and no prejudice is claimed</w:t>
      </w:r>
      <w:r w:rsidR="00100CA9">
        <w:rPr>
          <w:noProof/>
        </w:rPr>
        <w:t xml:space="preserve">.  It is accordingly </w:t>
      </w:r>
      <w:r w:rsidR="00601111" w:rsidRPr="00177EAE">
        <w:rPr>
          <w:noProof/>
        </w:rPr>
        <w:t>in the interests of justice that</w:t>
      </w:r>
      <w:r w:rsidR="00177EAE" w:rsidRPr="00177EAE">
        <w:rPr>
          <w:noProof/>
        </w:rPr>
        <w:t xml:space="preserve"> this</w:t>
      </w:r>
      <w:r w:rsidR="009824D2">
        <w:rPr>
          <w:noProof/>
        </w:rPr>
        <w:t xml:space="preserve"> issue be determined</w:t>
      </w:r>
      <w:r w:rsidR="008971F4">
        <w:rPr>
          <w:noProof/>
        </w:rPr>
        <w:t xml:space="preserve"> </w:t>
      </w:r>
      <w:r w:rsidR="00384219">
        <w:rPr>
          <w:noProof/>
        </w:rPr>
        <w:t xml:space="preserve">on </w:t>
      </w:r>
      <w:r w:rsidR="00177EAE" w:rsidRPr="00177EAE">
        <w:rPr>
          <w:noProof/>
        </w:rPr>
        <w:t>appeal</w:t>
      </w:r>
      <w:r w:rsidR="00100CA9">
        <w:rPr>
          <w:noProof/>
        </w:rPr>
        <w:t>.</w:t>
      </w:r>
    </w:p>
    <w:p w:rsidR="00601111" w:rsidRDefault="00601111" w:rsidP="00C01A5D">
      <w:pPr>
        <w:pStyle w:val="JUDGMENTCONTINUED"/>
      </w:pPr>
    </w:p>
    <w:p w:rsidR="0056150A" w:rsidRPr="007538FC" w:rsidRDefault="0056150A" w:rsidP="00C01A5D">
      <w:pPr>
        <w:pStyle w:val="HEADING"/>
        <w:ind w:left="720"/>
      </w:pPr>
      <w:r w:rsidRPr="007538FC">
        <w:t>Are the powers in Part B of Chapter 5 available to the Commission to investigate mergers and transactions that constitute mergers</w:t>
      </w:r>
      <w:r w:rsidR="00C01A5D">
        <w:t>?</w:t>
      </w:r>
    </w:p>
    <w:p w:rsidR="0056150A" w:rsidRDefault="006970A9" w:rsidP="006970A9">
      <w:pPr>
        <w:pStyle w:val="JUDGMENTNUMBERED"/>
        <w:numPr>
          <w:ilvl w:val="0"/>
          <w:numId w:val="0"/>
        </w:numPr>
        <w:rPr>
          <w:noProof/>
        </w:rPr>
      </w:pPr>
      <w:r>
        <w:rPr>
          <w:color w:val="000000"/>
          <w14:scene3d>
            <w14:camera w14:prst="orthographicFront"/>
            <w14:lightRig w14:rig="threePt" w14:dir="t">
              <w14:rot w14:lat="0" w14:lon="0" w14:rev="0"/>
            </w14:lightRig>
          </w14:scene3d>
        </w:rPr>
        <w:t>[30]</w:t>
      </w:r>
      <w:r>
        <w:rPr>
          <w:color w:val="000000"/>
          <w14:scene3d>
            <w14:camera w14:prst="orthographicFront"/>
            <w14:lightRig w14:rig="threePt" w14:dir="t">
              <w14:rot w14:lat="0" w14:lon="0" w14:rev="0"/>
            </w14:lightRig>
          </w14:scene3d>
        </w:rPr>
        <w:tab/>
      </w:r>
      <w:r w:rsidR="0007530D">
        <w:t xml:space="preserve">The </w:t>
      </w:r>
      <w:r w:rsidR="00D175C2" w:rsidRPr="00FA2279">
        <w:t xml:space="preserve">provisions of the Competition Act must </w:t>
      </w:r>
      <w:r w:rsidR="00D175C2" w:rsidRPr="00FA2279">
        <w:rPr>
          <w:noProof/>
        </w:rPr>
        <w:t>be</w:t>
      </w:r>
      <w:r w:rsidR="00D175C2" w:rsidRPr="00FA2279">
        <w:t xml:space="preserve"> interpreted </w:t>
      </w:r>
      <w:r w:rsidR="00D175C2" w:rsidRPr="00FA2279">
        <w:rPr>
          <w:noProof/>
        </w:rPr>
        <w:t>to</w:t>
      </w:r>
      <w:r w:rsidR="00D175C2" w:rsidRPr="00FA2279">
        <w:t xml:space="preserve"> give effect to their purpose in the context of the </w:t>
      </w:r>
      <w:r w:rsidR="00D175C2" w:rsidRPr="00FA2279">
        <w:rPr>
          <w:noProof/>
        </w:rPr>
        <w:t>Act</w:t>
      </w:r>
      <w:r w:rsidR="00D175C2" w:rsidRPr="00FA2279">
        <w:t xml:space="preserve"> as a whole.</w:t>
      </w:r>
      <w:r w:rsidR="0007530D" w:rsidRPr="00FA2279">
        <w:rPr>
          <w:rStyle w:val="FootnoteReference"/>
        </w:rPr>
        <w:footnoteReference w:id="20"/>
      </w:r>
      <w:r w:rsidR="0007530D">
        <w:t xml:space="preserve"> </w:t>
      </w:r>
      <w:r w:rsidR="0056150A">
        <w:t xml:space="preserve"> </w:t>
      </w:r>
      <w:r w:rsidR="00D175C2" w:rsidRPr="00FA2279">
        <w:t xml:space="preserve">Section 1(2)(a) of the Competition </w:t>
      </w:r>
      <w:r w:rsidR="00D175C2" w:rsidRPr="00FA2279">
        <w:rPr>
          <w:noProof/>
        </w:rPr>
        <w:t xml:space="preserve">Act demands </w:t>
      </w:r>
      <w:r w:rsidR="00D175C2" w:rsidRPr="00FA2279">
        <w:t xml:space="preserve">that its provisions be interpreted in a manner consistent with the Constitution, and which give effect to the purposes of the Act set out in section 2.  </w:t>
      </w:r>
      <w:r w:rsidR="00D175C2" w:rsidRPr="00FA2279">
        <w:rPr>
          <w:noProof/>
        </w:rPr>
        <w:t xml:space="preserve">The purpose of the Act </w:t>
      </w:r>
      <w:r w:rsidR="0043521D">
        <w:rPr>
          <w:noProof/>
        </w:rPr>
        <w:t xml:space="preserve">is </w:t>
      </w:r>
      <w:r w:rsidR="00D175C2" w:rsidRPr="00FA2279">
        <w:rPr>
          <w:noProof/>
        </w:rPr>
        <w:t>“to promote and maintain competition in the Republic” to, amongst other things: (a) promote the efficiency, adaptability and development of the economy; (b) provide consumers with competi</w:t>
      </w:r>
      <w:r w:rsidR="00AA5D2F" w:rsidRPr="00FA2279">
        <w:rPr>
          <w:noProof/>
        </w:rPr>
        <w:t>tive prices and product choices;</w:t>
      </w:r>
      <w:r w:rsidR="00D175C2" w:rsidRPr="00FA2279">
        <w:rPr>
          <w:noProof/>
        </w:rPr>
        <w:t xml:space="preserve"> and (c) ensure that small and medium-sized enterprises have an equitable opportunity to participate in the economy.</w:t>
      </w:r>
      <w:r w:rsidR="00D175C2" w:rsidRPr="00FA2279">
        <w:rPr>
          <w:rStyle w:val="FootnoteReference"/>
        </w:rPr>
        <w:footnoteReference w:id="21"/>
      </w:r>
    </w:p>
    <w:p w:rsidR="00F70ECF" w:rsidRPr="0043521D" w:rsidRDefault="00F70ECF" w:rsidP="00C01A5D">
      <w:pPr>
        <w:pStyle w:val="JUDGMENTCONTINUED"/>
      </w:pPr>
    </w:p>
    <w:p w:rsidR="004B710D" w:rsidRDefault="006970A9" w:rsidP="006970A9">
      <w:pPr>
        <w:pStyle w:val="JUDGMENTNUMBERED"/>
        <w:numPr>
          <w:ilvl w:val="0"/>
          <w:numId w:val="0"/>
        </w:numPr>
        <w:rPr>
          <w:szCs w:val="26"/>
        </w:rPr>
      </w:pPr>
      <w:r>
        <w:rPr>
          <w:color w:val="000000"/>
          <w:szCs w:val="26"/>
          <w14:scene3d>
            <w14:camera w14:prst="orthographicFront"/>
            <w14:lightRig w14:rig="threePt" w14:dir="t">
              <w14:rot w14:lat="0" w14:lon="0" w14:rev="0"/>
            </w14:lightRig>
          </w14:scene3d>
        </w:rPr>
        <w:t>[31]</w:t>
      </w:r>
      <w:r>
        <w:rPr>
          <w:color w:val="000000"/>
          <w:szCs w:val="26"/>
          <w14:scene3d>
            <w14:camera w14:prst="orthographicFront"/>
            <w14:lightRig w14:rig="threePt" w14:dir="t">
              <w14:rot w14:lat="0" w14:lon="0" w14:rev="0"/>
            </w14:lightRig>
          </w14:scene3d>
        </w:rPr>
        <w:tab/>
      </w:r>
      <w:r w:rsidR="00F7232E" w:rsidRPr="00FF7E0B">
        <w:rPr>
          <w:szCs w:val="26"/>
        </w:rPr>
        <w:t xml:space="preserve">In </w:t>
      </w:r>
      <w:proofErr w:type="spellStart"/>
      <w:r w:rsidR="00F7232E" w:rsidRPr="002E71B3">
        <w:rPr>
          <w:i/>
          <w:szCs w:val="26"/>
        </w:rPr>
        <w:t>Senwes</w:t>
      </w:r>
      <w:proofErr w:type="spellEnd"/>
      <w:r w:rsidR="00F7232E" w:rsidRPr="002E71B3">
        <w:rPr>
          <w:szCs w:val="26"/>
        </w:rPr>
        <w:t xml:space="preserve">, this Court considered the statutory </w:t>
      </w:r>
      <w:r w:rsidR="00F7232E" w:rsidRPr="00A31C90">
        <w:rPr>
          <w:noProof/>
          <w:szCs w:val="26"/>
        </w:rPr>
        <w:t>framework</w:t>
      </w:r>
      <w:r w:rsidR="00F7232E" w:rsidRPr="002E71B3">
        <w:rPr>
          <w:szCs w:val="26"/>
        </w:rPr>
        <w:t xml:space="preserve"> </w:t>
      </w:r>
      <w:r w:rsidR="00DA1B12">
        <w:rPr>
          <w:szCs w:val="26"/>
        </w:rPr>
        <w:t>of</w:t>
      </w:r>
      <w:r w:rsidR="00D175C2">
        <w:rPr>
          <w:szCs w:val="26"/>
        </w:rPr>
        <w:t xml:space="preserve"> </w:t>
      </w:r>
      <w:r w:rsidR="00F7232E" w:rsidRPr="00187B79">
        <w:rPr>
          <w:noProof/>
          <w:szCs w:val="26"/>
        </w:rPr>
        <w:t>the</w:t>
      </w:r>
      <w:r w:rsidR="00187B79" w:rsidRPr="00187B79">
        <w:rPr>
          <w:noProof/>
          <w:szCs w:val="26"/>
        </w:rPr>
        <w:t xml:space="preserve"> </w:t>
      </w:r>
      <w:r w:rsidR="00F7232E" w:rsidRPr="00187B79">
        <w:rPr>
          <w:noProof/>
          <w:szCs w:val="26"/>
        </w:rPr>
        <w:t>functions</w:t>
      </w:r>
      <w:r w:rsidR="00F7232E" w:rsidRPr="002E71B3">
        <w:rPr>
          <w:szCs w:val="26"/>
        </w:rPr>
        <w:t xml:space="preserve"> of the Commission and the Tribunal.</w:t>
      </w:r>
      <w:r w:rsidR="00F7232E" w:rsidRPr="00F84984">
        <w:rPr>
          <w:rStyle w:val="FootnoteReference"/>
          <w:szCs w:val="26"/>
        </w:rPr>
        <w:footnoteReference w:id="22"/>
      </w:r>
      <w:r w:rsidR="00F7232E" w:rsidRPr="00F84984">
        <w:rPr>
          <w:szCs w:val="26"/>
        </w:rPr>
        <w:t xml:space="preserve"> </w:t>
      </w:r>
      <w:r w:rsidR="0043521D">
        <w:rPr>
          <w:szCs w:val="26"/>
        </w:rPr>
        <w:t xml:space="preserve"> </w:t>
      </w:r>
      <w:r w:rsidR="00B06D2A">
        <w:rPr>
          <w:noProof/>
          <w:szCs w:val="26"/>
        </w:rPr>
        <w:t>E</w:t>
      </w:r>
      <w:r w:rsidR="00D53B1A" w:rsidRPr="00070309">
        <w:rPr>
          <w:noProof/>
          <w:szCs w:val="26"/>
        </w:rPr>
        <w:t>choing</w:t>
      </w:r>
      <w:r w:rsidR="00D53B1A">
        <w:rPr>
          <w:szCs w:val="26"/>
        </w:rPr>
        <w:t xml:space="preserve"> </w:t>
      </w:r>
      <w:r w:rsidR="00070309">
        <w:rPr>
          <w:szCs w:val="26"/>
        </w:rPr>
        <w:t>the</w:t>
      </w:r>
      <w:r w:rsidR="00FF39B9">
        <w:rPr>
          <w:szCs w:val="26"/>
        </w:rPr>
        <w:t xml:space="preserve"> long title</w:t>
      </w:r>
      <w:r w:rsidR="006236EE">
        <w:rPr>
          <w:szCs w:val="26"/>
        </w:rPr>
        <w:t xml:space="preserve"> </w:t>
      </w:r>
      <w:r w:rsidR="00FF39B9">
        <w:rPr>
          <w:szCs w:val="26"/>
        </w:rPr>
        <w:t>of the Competition Act</w:t>
      </w:r>
      <w:r w:rsidR="00B06D2A">
        <w:rPr>
          <w:szCs w:val="26"/>
        </w:rPr>
        <w:t>,</w:t>
      </w:r>
      <w:r w:rsidR="00B06D2A">
        <w:rPr>
          <w:rStyle w:val="FootnoteReference"/>
          <w:szCs w:val="26"/>
        </w:rPr>
        <w:footnoteReference w:id="23"/>
      </w:r>
      <w:r w:rsidR="00B06D2A">
        <w:rPr>
          <w:szCs w:val="26"/>
        </w:rPr>
        <w:t xml:space="preserve">  the Court observed that the Act</w:t>
      </w:r>
      <w:r w:rsidR="00070309">
        <w:rPr>
          <w:noProof/>
          <w:szCs w:val="26"/>
        </w:rPr>
        <w:t xml:space="preserve"> </w:t>
      </w:r>
      <w:r w:rsidR="00FF39B9" w:rsidRPr="00A31C90">
        <w:rPr>
          <w:noProof/>
          <w:szCs w:val="26"/>
        </w:rPr>
        <w:t>was enacted</w:t>
      </w:r>
      <w:r w:rsidR="00220D7E">
        <w:rPr>
          <w:szCs w:val="26"/>
        </w:rPr>
        <w:t>—</w:t>
      </w:r>
    </w:p>
    <w:p w:rsidR="004B710D" w:rsidRDefault="004B710D" w:rsidP="00047C95">
      <w:pPr>
        <w:pStyle w:val="QUOTATION"/>
      </w:pPr>
    </w:p>
    <w:p w:rsidR="004B710D" w:rsidRDefault="00220D7E" w:rsidP="00DA1B12">
      <w:pPr>
        <w:pStyle w:val="QUOTATION"/>
        <w:spacing w:after="120"/>
      </w:pPr>
      <w:r>
        <w:t>“t</w:t>
      </w:r>
      <w:r w:rsidR="00FF39B9" w:rsidRPr="00D53B1A">
        <w:t>o provide for, among other matters, the establishment of the Competition Com</w:t>
      </w:r>
      <w:r w:rsidR="00FF39B9" w:rsidRPr="00F5698A">
        <w:t xml:space="preserve">mission </w:t>
      </w:r>
      <w:r w:rsidR="00FF39B9" w:rsidRPr="006F0CFC">
        <w:t xml:space="preserve">which </w:t>
      </w:r>
      <w:r w:rsidR="00FF39B9" w:rsidRPr="00A31C90">
        <w:rPr>
          <w:noProof/>
        </w:rPr>
        <w:t>is charged</w:t>
      </w:r>
      <w:r w:rsidR="00FF39B9" w:rsidRPr="0065643D">
        <w:t xml:space="preserve"> with the investigation of restrictive practices, abuse of dominant position and the evaluation and approval of merger</w:t>
      </w:r>
      <w:r w:rsidR="004B710D" w:rsidRPr="00C066D0">
        <w:t xml:space="preserve">s. </w:t>
      </w:r>
      <w:r w:rsidR="00DA1B12">
        <w:t xml:space="preserve"> </w:t>
      </w:r>
      <w:r w:rsidR="004B710D" w:rsidRPr="00C066D0">
        <w:t xml:space="preserve">It also established a Competition Tribunal whose responsibility it is to </w:t>
      </w:r>
      <w:r w:rsidR="004B710D" w:rsidRPr="00A31C90">
        <w:rPr>
          <w:noProof/>
        </w:rPr>
        <w:t>adjudicate</w:t>
      </w:r>
      <w:r w:rsidR="004B710D" w:rsidRPr="00C066D0">
        <w:t xml:space="preserve"> th</w:t>
      </w:r>
      <w:r w:rsidR="004B710D" w:rsidRPr="00EE0D7C">
        <w:t xml:space="preserve">ese matters. </w:t>
      </w:r>
      <w:r w:rsidR="0043521D">
        <w:t xml:space="preserve"> </w:t>
      </w:r>
      <w:r w:rsidR="004B710D" w:rsidRPr="00EE0D7C">
        <w:t xml:space="preserve">The Act </w:t>
      </w:r>
      <w:r w:rsidR="004B710D" w:rsidRPr="00A31C90">
        <w:rPr>
          <w:noProof/>
        </w:rPr>
        <w:t>is aimed</w:t>
      </w:r>
      <w:r w:rsidR="004B710D" w:rsidRPr="00EE0D7C">
        <w:t xml:space="preserve"> at promoting and maintaining competition. </w:t>
      </w:r>
      <w:r w:rsidR="0043521D">
        <w:t xml:space="preserve"> </w:t>
      </w:r>
      <w:r w:rsidR="004B710D" w:rsidRPr="00EE0D7C">
        <w:t xml:space="preserve">Some of its objectives </w:t>
      </w:r>
      <w:r w:rsidR="004B710D" w:rsidRPr="00A31C90">
        <w:rPr>
          <w:noProof/>
        </w:rPr>
        <w:t>are directed</w:t>
      </w:r>
      <w:r w:rsidR="004B710D" w:rsidRPr="00EE0D7C">
        <w:t xml:space="preserve"> </w:t>
      </w:r>
      <w:r w:rsidR="004B710D" w:rsidRPr="00EE0D7C">
        <w:lastRenderedPageBreak/>
        <w:t>at addressing</w:t>
      </w:r>
      <w:r w:rsidR="004B710D" w:rsidRPr="00070309">
        <w:t xml:space="preserve"> the inequalities and imbalances which were created by the apartheid order.</w:t>
      </w:r>
    </w:p>
    <w:p w:rsidR="004B710D" w:rsidRPr="004B710D" w:rsidRDefault="004B710D" w:rsidP="00047C95">
      <w:pPr>
        <w:pStyle w:val="QUOTATION"/>
      </w:pPr>
      <w:r>
        <w:t xml:space="preserve">The Act </w:t>
      </w:r>
      <w:r w:rsidRPr="000F03C5">
        <w:rPr>
          <w:noProof/>
        </w:rPr>
        <w:t>seeks</w:t>
      </w:r>
      <w:r>
        <w:t xml:space="preserve"> to promote </w:t>
      </w:r>
      <w:r w:rsidRPr="00070309">
        <w:rPr>
          <w:noProof/>
        </w:rPr>
        <w:t>a great</w:t>
      </w:r>
      <w:r w:rsidR="008E43D4">
        <w:rPr>
          <w:noProof/>
        </w:rPr>
        <w:t>er</w:t>
      </w:r>
      <w:r>
        <w:t xml:space="preserve"> spread of business ownership </w:t>
      </w:r>
      <w:r w:rsidRPr="000F03C5">
        <w:rPr>
          <w:noProof/>
        </w:rPr>
        <w:t>so as to</w:t>
      </w:r>
      <w:r>
        <w:t xml:space="preserve"> increase access to it by historically disadvantaged people. </w:t>
      </w:r>
      <w:r w:rsidR="0043521D">
        <w:t xml:space="preserve"> </w:t>
      </w:r>
      <w:r>
        <w:t xml:space="preserve">It sets for itself the task of </w:t>
      </w:r>
      <w:r w:rsidRPr="000F03C5">
        <w:rPr>
          <w:noProof/>
        </w:rPr>
        <w:t>promoting</w:t>
      </w:r>
      <w:r>
        <w:t xml:space="preserve"> employment so that the social and economic welfare of South Africans may be improved. </w:t>
      </w:r>
      <w:r w:rsidR="0043521D">
        <w:t xml:space="preserve"> </w:t>
      </w:r>
      <w:r>
        <w:t xml:space="preserve">It further seeks to provide consumers </w:t>
      </w:r>
      <w:r w:rsidR="00D53B1A">
        <w:t xml:space="preserve">with competitive prices for goods and services. </w:t>
      </w:r>
      <w:r w:rsidR="0043521D">
        <w:t xml:space="preserve"> </w:t>
      </w:r>
      <w:r w:rsidR="00D53B1A">
        <w:t xml:space="preserve">It </w:t>
      </w:r>
      <w:r w:rsidR="00D53B1A" w:rsidRPr="000F03C5">
        <w:rPr>
          <w:noProof/>
        </w:rPr>
        <w:t>pro</w:t>
      </w:r>
      <w:r w:rsidR="009161EA">
        <w:rPr>
          <w:noProof/>
        </w:rPr>
        <w:t>hibits</w:t>
      </w:r>
      <w:r w:rsidR="00D53B1A">
        <w:t xml:space="preserve"> trade practices which undermine a competitive economy.</w:t>
      </w:r>
      <w:r w:rsidR="00220D7E">
        <w:t>”</w:t>
      </w:r>
      <w:r w:rsidR="00D53B1A">
        <w:rPr>
          <w:rStyle w:val="FootnoteReference"/>
        </w:rPr>
        <w:footnoteReference w:id="24"/>
      </w:r>
      <w:r w:rsidR="008E43D4">
        <w:t xml:space="preserve"> </w:t>
      </w:r>
      <w:r w:rsidR="009B611C">
        <w:t xml:space="preserve"> </w:t>
      </w:r>
      <w:r w:rsidR="008E43D4">
        <w:t>(Footnotes omitted.)</w:t>
      </w:r>
    </w:p>
    <w:p w:rsidR="00736C73" w:rsidRPr="00FF7E0B" w:rsidRDefault="00736C73" w:rsidP="00C01A5D">
      <w:pPr>
        <w:pStyle w:val="JUDGMENTCONTINUED"/>
      </w:pPr>
    </w:p>
    <w:p w:rsidR="006F2D8E" w:rsidRPr="00972BC9" w:rsidRDefault="006970A9" w:rsidP="006970A9">
      <w:pPr>
        <w:pStyle w:val="JUDGMENTNUMBERED"/>
        <w:numPr>
          <w:ilvl w:val="0"/>
          <w:numId w:val="0"/>
        </w:numPr>
        <w:rPr>
          <w:b/>
          <w:szCs w:val="26"/>
        </w:rPr>
      </w:pPr>
      <w:r w:rsidRPr="00972BC9">
        <w:rPr>
          <w:color w:val="000000"/>
          <w:szCs w:val="26"/>
          <w14:scene3d>
            <w14:camera w14:prst="orthographicFront"/>
            <w14:lightRig w14:rig="threePt" w14:dir="t">
              <w14:rot w14:lat="0" w14:lon="0" w14:rev="0"/>
            </w14:lightRig>
          </w14:scene3d>
        </w:rPr>
        <w:t>[32]</w:t>
      </w:r>
      <w:r w:rsidRPr="00972BC9">
        <w:rPr>
          <w:color w:val="000000"/>
          <w:szCs w:val="26"/>
          <w14:scene3d>
            <w14:camera w14:prst="orthographicFront"/>
            <w14:lightRig w14:rig="threePt" w14:dir="t">
              <w14:rot w14:lat="0" w14:lon="0" w14:rev="0"/>
            </w14:lightRig>
          </w14:scene3d>
        </w:rPr>
        <w:tab/>
      </w:r>
      <w:r w:rsidR="00D73D7B" w:rsidRPr="00972BC9">
        <w:rPr>
          <w:szCs w:val="26"/>
        </w:rPr>
        <w:t xml:space="preserve">As </w:t>
      </w:r>
      <w:r w:rsidR="00600A54" w:rsidRPr="00677EBD">
        <w:rPr>
          <w:noProof/>
          <w:szCs w:val="26"/>
        </w:rPr>
        <w:t>a</w:t>
      </w:r>
      <w:r w:rsidR="009161EA">
        <w:rPr>
          <w:noProof/>
          <w:szCs w:val="26"/>
        </w:rPr>
        <w:t xml:space="preserve"> specialist regulator</w:t>
      </w:r>
      <w:r w:rsidR="00D73D7B" w:rsidRPr="00C10E45">
        <w:rPr>
          <w:szCs w:val="26"/>
        </w:rPr>
        <w:t>,</w:t>
      </w:r>
      <w:r w:rsidR="00972BC9" w:rsidRPr="00F84984" w:rsidDel="00972BC9">
        <w:rPr>
          <w:rStyle w:val="FootnoteReference"/>
          <w:szCs w:val="26"/>
        </w:rPr>
        <w:t xml:space="preserve"> </w:t>
      </w:r>
      <w:r w:rsidR="009824D2" w:rsidRPr="00972BC9">
        <w:rPr>
          <w:szCs w:val="26"/>
        </w:rPr>
        <w:t xml:space="preserve"> </w:t>
      </w:r>
      <w:r w:rsidR="00D73D7B" w:rsidRPr="00972BC9">
        <w:rPr>
          <w:szCs w:val="26"/>
        </w:rPr>
        <w:t xml:space="preserve">the </w:t>
      </w:r>
      <w:r w:rsidR="00D73D7B" w:rsidRPr="00677EBD">
        <w:rPr>
          <w:noProof/>
          <w:szCs w:val="26"/>
        </w:rPr>
        <w:t>Commission</w:t>
      </w:r>
      <w:r w:rsidR="006F2D8E" w:rsidRPr="00CD35FC">
        <w:rPr>
          <w:szCs w:val="26"/>
        </w:rPr>
        <w:t xml:space="preserve"> </w:t>
      </w:r>
      <w:r w:rsidR="006F2D8E" w:rsidRPr="009D235D">
        <w:rPr>
          <w:noProof/>
          <w:szCs w:val="26"/>
        </w:rPr>
        <w:t>is tasked</w:t>
      </w:r>
      <w:r w:rsidR="006F2D8E" w:rsidRPr="00671388">
        <w:rPr>
          <w:szCs w:val="26"/>
        </w:rPr>
        <w:t xml:space="preserve"> </w:t>
      </w:r>
      <w:r w:rsidR="00C738A5" w:rsidRPr="00C10E45">
        <w:rPr>
          <w:noProof/>
          <w:szCs w:val="26"/>
        </w:rPr>
        <w:t>with</w:t>
      </w:r>
      <w:r w:rsidR="0043521D">
        <w:rPr>
          <w:noProof/>
          <w:szCs w:val="26"/>
        </w:rPr>
        <w:t>,</w:t>
      </w:r>
      <w:r w:rsidR="00C738A5" w:rsidRPr="00C10E45">
        <w:rPr>
          <w:noProof/>
          <w:szCs w:val="26"/>
        </w:rPr>
        <w:t xml:space="preserve"> </w:t>
      </w:r>
      <w:r w:rsidR="002C7F9D" w:rsidRPr="00C10E45">
        <w:rPr>
          <w:noProof/>
          <w:szCs w:val="26"/>
        </w:rPr>
        <w:t>among other</w:t>
      </w:r>
      <w:r w:rsidR="00C738A5" w:rsidRPr="00C10E45">
        <w:rPr>
          <w:noProof/>
          <w:szCs w:val="26"/>
        </w:rPr>
        <w:t xml:space="preserve"> things</w:t>
      </w:r>
      <w:r w:rsidR="0043521D">
        <w:rPr>
          <w:noProof/>
          <w:szCs w:val="26"/>
        </w:rPr>
        <w:t>,</w:t>
      </w:r>
      <w:r w:rsidR="006F2D8E" w:rsidRPr="00C10E45">
        <w:rPr>
          <w:szCs w:val="26"/>
        </w:rPr>
        <w:t xml:space="preserve"> the regulation of mergers that </w:t>
      </w:r>
      <w:r w:rsidR="006F2D8E" w:rsidRPr="005F22D0">
        <w:rPr>
          <w:noProof/>
          <w:szCs w:val="26"/>
        </w:rPr>
        <w:t>have an</w:t>
      </w:r>
      <w:r w:rsidR="002C7F9D" w:rsidRPr="005F22D0">
        <w:rPr>
          <w:noProof/>
          <w:szCs w:val="26"/>
        </w:rPr>
        <w:t xml:space="preserve"> anti-competitive</w:t>
      </w:r>
      <w:r w:rsidR="006F2D8E" w:rsidRPr="005F22D0">
        <w:rPr>
          <w:noProof/>
          <w:szCs w:val="26"/>
        </w:rPr>
        <w:t xml:space="preserve"> effect in</w:t>
      </w:r>
      <w:r w:rsidR="006F2D8E" w:rsidRPr="00931C2B">
        <w:rPr>
          <w:szCs w:val="26"/>
        </w:rPr>
        <w:t xml:space="preserve"> South Africa.</w:t>
      </w:r>
      <w:r w:rsidR="006F2D8E" w:rsidRPr="00F84984">
        <w:rPr>
          <w:rStyle w:val="FootnoteReference"/>
          <w:szCs w:val="26"/>
        </w:rPr>
        <w:footnoteReference w:id="25"/>
      </w:r>
      <w:r w:rsidR="006F2D8E" w:rsidRPr="00972BC9">
        <w:rPr>
          <w:szCs w:val="26"/>
        </w:rPr>
        <w:t xml:space="preserve"> </w:t>
      </w:r>
      <w:r w:rsidR="0043521D">
        <w:rPr>
          <w:szCs w:val="26"/>
        </w:rPr>
        <w:t xml:space="preserve"> </w:t>
      </w:r>
      <w:r w:rsidR="00972BC9" w:rsidRPr="00972BC9">
        <w:rPr>
          <w:szCs w:val="26"/>
          <w:lang w:val="en-US"/>
        </w:rPr>
        <w:t xml:space="preserve">In terms of section </w:t>
      </w:r>
      <w:r w:rsidR="00972BC9" w:rsidRPr="00677EBD">
        <w:rPr>
          <w:szCs w:val="26"/>
          <w:lang w:val="en-US"/>
        </w:rPr>
        <w:t>2</w:t>
      </w:r>
      <w:r w:rsidR="00972BC9" w:rsidRPr="00CD35FC">
        <w:rPr>
          <w:szCs w:val="26"/>
          <w:lang w:val="en-US"/>
        </w:rPr>
        <w:t>0</w:t>
      </w:r>
      <w:r w:rsidR="00972BC9" w:rsidRPr="009D235D">
        <w:rPr>
          <w:szCs w:val="26"/>
          <w:lang w:val="en-US"/>
        </w:rPr>
        <w:t>(1)</w:t>
      </w:r>
      <w:r w:rsidR="00972BC9" w:rsidRPr="00671388">
        <w:rPr>
          <w:szCs w:val="26"/>
          <w:lang w:val="en-US"/>
        </w:rPr>
        <w:t xml:space="preserve"> of the Competition Act, the</w:t>
      </w:r>
      <w:r w:rsidR="00972BC9" w:rsidRPr="00C10E45">
        <w:rPr>
          <w:szCs w:val="26"/>
          <w:lang w:val="en-US"/>
        </w:rPr>
        <w:t xml:space="preserve"> Commission is independent, subject only to the Constitution and the law and must be impartial and perform its functions without fear, </w:t>
      </w:r>
      <w:proofErr w:type="spellStart"/>
      <w:r w:rsidR="00972BC9" w:rsidRPr="00C10E45">
        <w:rPr>
          <w:szCs w:val="26"/>
          <w:lang w:val="en-US"/>
        </w:rPr>
        <w:t>favour</w:t>
      </w:r>
      <w:proofErr w:type="spellEnd"/>
      <w:r w:rsidR="00972BC9" w:rsidRPr="00C10E45">
        <w:rPr>
          <w:szCs w:val="26"/>
          <w:lang w:val="en-US"/>
        </w:rPr>
        <w:t xml:space="preserve"> or prejudice. </w:t>
      </w:r>
      <w:r w:rsidR="006F2D8E" w:rsidRPr="00C10E45">
        <w:rPr>
          <w:szCs w:val="26"/>
        </w:rPr>
        <w:t xml:space="preserve"> </w:t>
      </w:r>
      <w:r w:rsidR="009161EA">
        <w:rPr>
          <w:szCs w:val="26"/>
        </w:rPr>
        <w:t>I</w:t>
      </w:r>
      <w:r w:rsidR="00070309" w:rsidRPr="005F22D0">
        <w:rPr>
          <w:szCs w:val="26"/>
        </w:rPr>
        <w:t xml:space="preserve">t </w:t>
      </w:r>
      <w:r w:rsidR="006F2D8E" w:rsidRPr="005F22D0">
        <w:rPr>
          <w:szCs w:val="26"/>
        </w:rPr>
        <w:t xml:space="preserve">is empowered to approve a proposed merger outright, approve it subject to conditions, or refuse </w:t>
      </w:r>
      <w:r w:rsidR="006F2D8E" w:rsidRPr="00A84392">
        <w:t>merger</w:t>
      </w:r>
      <w:r w:rsidR="006F2D8E" w:rsidRPr="005F22D0">
        <w:rPr>
          <w:szCs w:val="26"/>
        </w:rPr>
        <w:t xml:space="preserve"> approval where the proposed transaction will lead to a substantial lessening of competition, and cannot be justified </w:t>
      </w:r>
      <w:r w:rsidR="002C7F9D" w:rsidRPr="00C708BA">
        <w:rPr>
          <w:noProof/>
          <w:szCs w:val="26"/>
        </w:rPr>
        <w:t>by</w:t>
      </w:r>
      <w:r w:rsidR="006F2D8E" w:rsidRPr="00C708BA">
        <w:rPr>
          <w:szCs w:val="26"/>
        </w:rPr>
        <w:t xml:space="preserve"> merger-specific pro-competitive gains or in the public interest.</w:t>
      </w:r>
      <w:r w:rsidR="006F2D8E" w:rsidRPr="00F84984">
        <w:rPr>
          <w:rStyle w:val="FootnoteReference"/>
          <w:szCs w:val="26"/>
        </w:rPr>
        <w:footnoteReference w:id="26"/>
      </w:r>
    </w:p>
    <w:p w:rsidR="004666FA" w:rsidRPr="0072772F" w:rsidRDefault="004666FA" w:rsidP="00C01A5D">
      <w:pPr>
        <w:pStyle w:val="JUDGMENTCONTINUED"/>
      </w:pPr>
      <w:bookmarkStart w:id="5" w:name="_Toc495026309"/>
    </w:p>
    <w:bookmarkEnd w:id="5"/>
    <w:p w:rsidR="00045310" w:rsidRPr="00A031CB" w:rsidRDefault="006970A9" w:rsidP="006970A9">
      <w:pPr>
        <w:pStyle w:val="JUDGMENTNUMBERED"/>
        <w:numPr>
          <w:ilvl w:val="0"/>
          <w:numId w:val="0"/>
        </w:numPr>
        <w:rPr>
          <w:rFonts w:cs="Arial"/>
          <w:szCs w:val="20"/>
          <w:lang w:val="en-US"/>
        </w:rPr>
      </w:pPr>
      <w:r w:rsidRPr="00A031CB">
        <w:rPr>
          <w:color w:val="000000"/>
          <w:szCs w:val="20"/>
          <w:lang w:val="en-US"/>
          <w14:scene3d>
            <w14:camera w14:prst="orthographicFront"/>
            <w14:lightRig w14:rig="threePt" w14:dir="t">
              <w14:rot w14:lat="0" w14:lon="0" w14:rev="0"/>
            </w14:lightRig>
          </w14:scene3d>
        </w:rPr>
        <w:t>[33]</w:t>
      </w:r>
      <w:r w:rsidRPr="00A031CB">
        <w:rPr>
          <w:color w:val="000000"/>
          <w:szCs w:val="20"/>
          <w:lang w:val="en-US"/>
          <w14:scene3d>
            <w14:camera w14:prst="orthographicFront"/>
            <w14:lightRig w14:rig="threePt" w14:dir="t">
              <w14:rot w14:lat="0" w14:lon="0" w14:rev="0"/>
            </w14:lightRig>
          </w14:scene3d>
        </w:rPr>
        <w:tab/>
      </w:r>
      <w:r w:rsidR="006F2D8E" w:rsidRPr="0072772F">
        <w:t xml:space="preserve">Parliament has </w:t>
      </w:r>
      <w:r w:rsidR="00AF1018" w:rsidRPr="0056322D">
        <w:rPr>
          <w:noProof/>
        </w:rPr>
        <w:t xml:space="preserve">crafted </w:t>
      </w:r>
      <w:r w:rsidR="006F2D8E" w:rsidRPr="00AF1018">
        <w:t xml:space="preserve">a </w:t>
      </w:r>
      <w:r w:rsidR="00AF1018">
        <w:t xml:space="preserve">compulsory </w:t>
      </w:r>
      <w:r w:rsidR="006F2D8E" w:rsidRPr="00AF1018">
        <w:t>“</w:t>
      </w:r>
      <w:r w:rsidR="006F2D8E" w:rsidRPr="00B32555">
        <w:t>self-notification</w:t>
      </w:r>
      <w:r w:rsidR="006F2D8E" w:rsidRPr="00AF1018">
        <w:t xml:space="preserve">” </w:t>
      </w:r>
      <w:r w:rsidR="00D21C28">
        <w:t>pre-</w:t>
      </w:r>
      <w:r w:rsidR="006F2D8E" w:rsidRPr="00AF1018">
        <w:t xml:space="preserve">merger regime.  </w:t>
      </w:r>
      <w:r w:rsidR="006F2D8E" w:rsidRPr="0056322D">
        <w:rPr>
          <w:noProof/>
        </w:rPr>
        <w:t>The Competition Act obliges parties to notify the Commission of proposed transactions when two jurisdictional facts are</w:t>
      </w:r>
      <w:r w:rsidR="00FD604F" w:rsidRPr="00047C95">
        <w:rPr>
          <w:noProof/>
        </w:rPr>
        <w:t xml:space="preserve"> p</w:t>
      </w:r>
      <w:r w:rsidR="00FD604F" w:rsidRPr="0056322D">
        <w:rPr>
          <w:noProof/>
        </w:rPr>
        <w:t>resent</w:t>
      </w:r>
      <w:r w:rsidR="006F2D8E" w:rsidRPr="002726A1">
        <w:rPr>
          <w:noProof/>
        </w:rPr>
        <w:t xml:space="preserve">: </w:t>
      </w:r>
      <w:r w:rsidR="00FD604F" w:rsidRPr="00155E19">
        <w:rPr>
          <w:noProof/>
        </w:rPr>
        <w:t xml:space="preserve">the </w:t>
      </w:r>
      <w:r w:rsidR="006F2D8E" w:rsidRPr="000033A1">
        <w:rPr>
          <w:noProof/>
        </w:rPr>
        <w:t>first</w:t>
      </w:r>
      <w:r w:rsidR="00FD604F" w:rsidRPr="00E626EC">
        <w:rPr>
          <w:noProof/>
        </w:rPr>
        <w:t xml:space="preserve"> is</w:t>
      </w:r>
      <w:r w:rsidR="006F2D8E" w:rsidRPr="00570288">
        <w:rPr>
          <w:noProof/>
        </w:rPr>
        <w:t xml:space="preserve"> </w:t>
      </w:r>
      <w:r w:rsidR="002C7F9D" w:rsidRPr="00570288">
        <w:rPr>
          <w:noProof/>
        </w:rPr>
        <w:t>where</w:t>
      </w:r>
      <w:r w:rsidR="002C7F9D" w:rsidRPr="00A41F2B">
        <w:rPr>
          <w:noProof/>
        </w:rPr>
        <w:t xml:space="preserve"> </w:t>
      </w:r>
      <w:r w:rsidR="006F2D8E" w:rsidRPr="00A41F2B">
        <w:rPr>
          <w:noProof/>
        </w:rPr>
        <w:t>the proposed transaction meets the definition of a “</w:t>
      </w:r>
      <w:r w:rsidR="006F2D8E" w:rsidRPr="00B32555">
        <w:rPr>
          <w:noProof/>
        </w:rPr>
        <w:t>merger</w:t>
      </w:r>
      <w:r w:rsidR="006F2D8E" w:rsidRPr="008A6C0D">
        <w:rPr>
          <w:noProof/>
        </w:rPr>
        <w:t xml:space="preserve">” </w:t>
      </w:r>
      <w:r w:rsidR="006F2D8E" w:rsidRPr="004B347B">
        <w:rPr>
          <w:noProof/>
        </w:rPr>
        <w:t>in section 12(1)</w:t>
      </w:r>
      <w:r w:rsidR="00C738A5">
        <w:rPr>
          <w:noProof/>
        </w:rPr>
        <w:t>,</w:t>
      </w:r>
      <w:r w:rsidR="00C738A5" w:rsidRPr="00C738A5">
        <w:rPr>
          <w:noProof/>
        </w:rPr>
        <w:t xml:space="preserve"> </w:t>
      </w:r>
      <w:r w:rsidR="006F2D8E" w:rsidRPr="00C738A5">
        <w:rPr>
          <w:noProof/>
        </w:rPr>
        <w:t>and</w:t>
      </w:r>
      <w:r w:rsidR="006F2D8E" w:rsidRPr="004B347B">
        <w:rPr>
          <w:noProof/>
        </w:rPr>
        <w:t xml:space="preserve"> </w:t>
      </w:r>
      <w:r w:rsidR="00FD604F" w:rsidRPr="000E6BEB">
        <w:rPr>
          <w:noProof/>
        </w:rPr>
        <w:t xml:space="preserve">the </w:t>
      </w:r>
      <w:r w:rsidR="006F2D8E" w:rsidRPr="00E4612C">
        <w:rPr>
          <w:noProof/>
        </w:rPr>
        <w:t>second</w:t>
      </w:r>
      <w:r w:rsidR="00FD604F" w:rsidRPr="001C72E0">
        <w:rPr>
          <w:noProof/>
        </w:rPr>
        <w:t xml:space="preserve"> is</w:t>
      </w:r>
      <w:r w:rsidR="006F2D8E" w:rsidRPr="005510F3">
        <w:rPr>
          <w:noProof/>
        </w:rPr>
        <w:t xml:space="preserve"> where </w:t>
      </w:r>
      <w:r w:rsidR="00FD604F" w:rsidRPr="003F5473">
        <w:rPr>
          <w:noProof/>
        </w:rPr>
        <w:t xml:space="preserve">it meets </w:t>
      </w:r>
      <w:r w:rsidR="00FD604F" w:rsidRPr="00574EA0">
        <w:rPr>
          <w:noProof/>
        </w:rPr>
        <w:t>the fina</w:t>
      </w:r>
      <w:r w:rsidR="002C7F9D" w:rsidRPr="00047C95">
        <w:rPr>
          <w:noProof/>
        </w:rPr>
        <w:t>n</w:t>
      </w:r>
      <w:r w:rsidR="00FD604F" w:rsidRPr="0056322D">
        <w:rPr>
          <w:noProof/>
        </w:rPr>
        <w:t xml:space="preserve">cial </w:t>
      </w:r>
      <w:r w:rsidR="006F2D8E" w:rsidRPr="0056322D">
        <w:rPr>
          <w:noProof/>
        </w:rPr>
        <w:t>threshold</w:t>
      </w:r>
      <w:r w:rsidR="00FD604F" w:rsidRPr="00047C95">
        <w:rPr>
          <w:noProof/>
        </w:rPr>
        <w:t xml:space="preserve"> </w:t>
      </w:r>
      <w:r w:rsidR="00FD604F" w:rsidRPr="0056322D">
        <w:rPr>
          <w:noProof/>
        </w:rPr>
        <w:t xml:space="preserve">for </w:t>
      </w:r>
      <w:r w:rsidR="00FD604F" w:rsidRPr="00C738A5">
        <w:rPr>
          <w:noProof/>
        </w:rPr>
        <w:t>an intermediate</w:t>
      </w:r>
      <w:r w:rsidR="002C7F9D" w:rsidRPr="00C738A5">
        <w:rPr>
          <w:noProof/>
        </w:rPr>
        <w:t xml:space="preserve"> or</w:t>
      </w:r>
      <w:r w:rsidR="002C7F9D" w:rsidRPr="0056322D">
        <w:rPr>
          <w:noProof/>
        </w:rPr>
        <w:t xml:space="preserve"> </w:t>
      </w:r>
      <w:r w:rsidR="002C7F9D" w:rsidRPr="00AD1D82">
        <w:rPr>
          <w:noProof/>
        </w:rPr>
        <w:t>large</w:t>
      </w:r>
      <w:r w:rsidR="002C7F9D" w:rsidRPr="0056322D">
        <w:rPr>
          <w:noProof/>
        </w:rPr>
        <w:t xml:space="preserve"> </w:t>
      </w:r>
      <w:r w:rsidR="00C738A5" w:rsidRPr="00C738A5">
        <w:rPr>
          <w:noProof/>
        </w:rPr>
        <w:t>merger</w:t>
      </w:r>
      <w:r w:rsidR="006F2D8E" w:rsidRPr="00C738A5">
        <w:rPr>
          <w:noProof/>
        </w:rPr>
        <w:t>.</w:t>
      </w:r>
      <w:bookmarkStart w:id="6" w:name="_Ref494356855"/>
      <w:r w:rsidR="006F2D8E" w:rsidRPr="00F84984">
        <w:rPr>
          <w:rStyle w:val="FootnoteReference"/>
          <w:szCs w:val="26"/>
        </w:rPr>
        <w:footnoteReference w:id="27"/>
      </w:r>
      <w:bookmarkEnd w:id="6"/>
      <w:r w:rsidR="00045310">
        <w:rPr>
          <w:noProof/>
        </w:rPr>
        <w:t xml:space="preserve"> </w:t>
      </w:r>
      <w:r w:rsidR="005F5BBD">
        <w:rPr>
          <w:noProof/>
        </w:rPr>
        <w:t xml:space="preserve"> </w:t>
      </w:r>
      <w:r w:rsidR="00045310">
        <w:rPr>
          <w:noProof/>
        </w:rPr>
        <w:t xml:space="preserve">Since </w:t>
      </w:r>
      <w:r w:rsidR="00045310">
        <w:rPr>
          <w:rFonts w:cs="Arial"/>
          <w:szCs w:val="20"/>
          <w:lang w:val="en-US"/>
        </w:rPr>
        <w:t>merger approval gives the merged firm immunity from any future challenges, “</w:t>
      </w:r>
      <w:r w:rsidR="00045310" w:rsidRPr="001D5CA6">
        <w:t xml:space="preserve">firms are obliged to notify </w:t>
      </w:r>
      <w:r w:rsidR="00045310" w:rsidRPr="001D5CA6">
        <w:lastRenderedPageBreak/>
        <w:t xml:space="preserve">mergers before they </w:t>
      </w:r>
      <w:r w:rsidR="00045310" w:rsidRPr="00AD1D82">
        <w:rPr>
          <w:noProof/>
        </w:rPr>
        <w:t>are implemented</w:t>
      </w:r>
      <w:r w:rsidR="00045310" w:rsidRPr="001D5CA6">
        <w:t xml:space="preserve"> and to delay implementation until they get regulatory approval</w:t>
      </w:r>
      <w:r w:rsidR="00045310">
        <w:t>”.</w:t>
      </w:r>
      <w:r w:rsidR="00780CD5" w:rsidRPr="000416EC">
        <w:rPr>
          <w:rStyle w:val="FootnoteReference"/>
          <w:szCs w:val="26"/>
        </w:rPr>
        <w:t xml:space="preserve"> </w:t>
      </w:r>
      <w:bookmarkStart w:id="7" w:name="_Ref525652005"/>
      <w:r w:rsidR="00780CD5" w:rsidRPr="00F84984">
        <w:rPr>
          <w:rStyle w:val="FootnoteReference"/>
          <w:szCs w:val="26"/>
        </w:rPr>
        <w:footnoteReference w:id="28"/>
      </w:r>
      <w:bookmarkEnd w:id="7"/>
    </w:p>
    <w:p w:rsidR="006F2D8E" w:rsidRPr="00AF1018" w:rsidRDefault="006F2D8E" w:rsidP="00C01A5D">
      <w:pPr>
        <w:pStyle w:val="JUDGMENTCONTINUED"/>
      </w:pPr>
    </w:p>
    <w:p w:rsidR="009167E0" w:rsidRDefault="006970A9" w:rsidP="006970A9">
      <w:pPr>
        <w:pStyle w:val="JUDGMENTNUMBERED"/>
        <w:numPr>
          <w:ilvl w:val="0"/>
          <w:numId w:val="0"/>
        </w:numPr>
        <w:rPr>
          <w:noProof/>
          <w:szCs w:val="26"/>
        </w:rPr>
      </w:pPr>
      <w:r>
        <w:rPr>
          <w:color w:val="000000"/>
          <w:szCs w:val="26"/>
          <w14:scene3d>
            <w14:camera w14:prst="orthographicFront"/>
            <w14:lightRig w14:rig="threePt" w14:dir="t">
              <w14:rot w14:lat="0" w14:lon="0" w14:rev="0"/>
            </w14:lightRig>
          </w14:scene3d>
        </w:rPr>
        <w:t>[34]</w:t>
      </w:r>
      <w:r>
        <w:rPr>
          <w:color w:val="000000"/>
          <w:szCs w:val="26"/>
          <w14:scene3d>
            <w14:camera w14:prst="orthographicFront"/>
            <w14:lightRig w14:rig="threePt" w14:dir="t">
              <w14:rot w14:lat="0" w14:lon="0" w14:rev="0"/>
            </w14:lightRig>
          </w14:scene3d>
        </w:rPr>
        <w:tab/>
      </w:r>
      <w:r w:rsidR="00A0657E" w:rsidRPr="00441077">
        <w:rPr>
          <w:noProof/>
          <w:szCs w:val="26"/>
        </w:rPr>
        <w:t>S</w:t>
      </w:r>
      <w:r w:rsidR="006F2D8E" w:rsidRPr="0056322D">
        <w:rPr>
          <w:noProof/>
          <w:szCs w:val="26"/>
        </w:rPr>
        <w:t>ection 12(1) of the Competition Act</w:t>
      </w:r>
      <w:r w:rsidR="00A0657E" w:rsidRPr="00047C95">
        <w:rPr>
          <w:noProof/>
          <w:szCs w:val="26"/>
        </w:rPr>
        <w:t xml:space="preserve"> </w:t>
      </w:r>
      <w:r w:rsidR="00A0657E" w:rsidRPr="0056322D">
        <w:rPr>
          <w:noProof/>
          <w:szCs w:val="26"/>
        </w:rPr>
        <w:t>defines a merger</w:t>
      </w:r>
      <w:r w:rsidR="00A0657E" w:rsidRPr="00047C95">
        <w:rPr>
          <w:noProof/>
          <w:szCs w:val="26"/>
        </w:rPr>
        <w:t xml:space="preserve"> </w:t>
      </w:r>
      <w:r w:rsidR="00A0657E" w:rsidRPr="009167E0">
        <w:rPr>
          <w:noProof/>
          <w:szCs w:val="26"/>
        </w:rPr>
        <w:t>as follows</w:t>
      </w:r>
      <w:r w:rsidR="00C01A5D">
        <w:rPr>
          <w:noProof/>
          <w:szCs w:val="26"/>
        </w:rPr>
        <w:t>:</w:t>
      </w:r>
    </w:p>
    <w:p w:rsidR="00C01A5D" w:rsidRPr="00C01A5D" w:rsidRDefault="00C01A5D" w:rsidP="00C01A5D">
      <w:pPr>
        <w:pStyle w:val="QUOTATION"/>
      </w:pPr>
    </w:p>
    <w:p w:rsidR="006F2D8E" w:rsidRDefault="00F22F91" w:rsidP="009845FA">
      <w:pPr>
        <w:pStyle w:val="QUOTATION"/>
        <w:ind w:left="1440" w:hanging="720"/>
      </w:pPr>
      <w:r>
        <w:rPr>
          <w:noProof/>
        </w:rPr>
        <w:t>“</w:t>
      </w:r>
      <w:r w:rsidR="009167E0">
        <w:rPr>
          <w:noProof/>
        </w:rPr>
        <w:t xml:space="preserve">(1)(a) </w:t>
      </w:r>
      <w:r w:rsidR="0043521D">
        <w:rPr>
          <w:noProof/>
        </w:rPr>
        <w:tab/>
      </w:r>
      <w:r w:rsidR="009167E0">
        <w:rPr>
          <w:noProof/>
        </w:rPr>
        <w:t xml:space="preserve">For purposes of this Act, a </w:t>
      </w:r>
      <w:r w:rsidR="006F2D8E" w:rsidRPr="0056322D">
        <w:rPr>
          <w:noProof/>
        </w:rPr>
        <w:t xml:space="preserve"> </w:t>
      </w:r>
      <w:r w:rsidR="006F2D8E" w:rsidRPr="00047C95">
        <w:rPr>
          <w:noProof/>
        </w:rPr>
        <w:t>merger</w:t>
      </w:r>
      <w:r w:rsidR="006F2D8E" w:rsidRPr="0056322D">
        <w:rPr>
          <w:noProof/>
        </w:rPr>
        <w:t xml:space="preserve"> occurs </w:t>
      </w:r>
      <w:r w:rsidR="006F2D8E" w:rsidRPr="00047C95">
        <w:rPr>
          <w:noProof/>
        </w:rPr>
        <w:t xml:space="preserve">when one or more firms directly or indirectly acquire or establish direct or indirect control over the whole or part of the business of </w:t>
      </w:r>
      <w:r w:rsidR="00073AEE" w:rsidRPr="00047C95">
        <w:rPr>
          <w:noProof/>
        </w:rPr>
        <w:t>another</w:t>
      </w:r>
      <w:r w:rsidR="00073AEE">
        <w:rPr>
          <w:noProof/>
        </w:rPr>
        <w:t xml:space="preserve"> </w:t>
      </w:r>
      <w:r w:rsidR="006F2D8E" w:rsidRPr="00B32555">
        <w:rPr>
          <w:noProof/>
        </w:rPr>
        <w:t>firm</w:t>
      </w:r>
      <w:r w:rsidR="00FD604F" w:rsidRPr="00A66FC6">
        <w:rPr>
          <w:noProof/>
        </w:rPr>
        <w:t>.</w:t>
      </w:r>
    </w:p>
    <w:p w:rsidR="009167E0" w:rsidRDefault="007B54C6" w:rsidP="007B54C6">
      <w:pPr>
        <w:pStyle w:val="QUOTATION"/>
        <w:ind w:left="1440" w:hanging="447"/>
      </w:pPr>
      <w:r>
        <w:t xml:space="preserve"> </w:t>
      </w:r>
      <w:r w:rsidR="009167E0">
        <w:t>(b)</w:t>
      </w:r>
      <w:r w:rsidR="0043521D">
        <w:tab/>
      </w:r>
      <w:r w:rsidR="009167E0">
        <w:t xml:space="preserve">A merger contemplated in paragraph (a) </w:t>
      </w:r>
      <w:r w:rsidR="009167E0" w:rsidRPr="009167E0">
        <w:rPr>
          <w:noProof/>
        </w:rPr>
        <w:t>may be</w:t>
      </w:r>
      <w:r w:rsidR="009167E0">
        <w:t xml:space="preserve"> achieved in any manner, including </w:t>
      </w:r>
      <w:r w:rsidR="009167E0" w:rsidRPr="00AD1D82">
        <w:rPr>
          <w:noProof/>
        </w:rPr>
        <w:t>through</w:t>
      </w:r>
      <w:r w:rsidR="00A66FC6">
        <w:t>—</w:t>
      </w:r>
    </w:p>
    <w:p w:rsidR="009167E0" w:rsidRDefault="009167E0" w:rsidP="00B32555">
      <w:pPr>
        <w:pStyle w:val="QUOTATION"/>
        <w:ind w:left="2160" w:hanging="720"/>
      </w:pPr>
      <w:r>
        <w:t>(</w:t>
      </w:r>
      <w:proofErr w:type="spellStart"/>
      <w:r>
        <w:t>i</w:t>
      </w:r>
      <w:proofErr w:type="spellEnd"/>
      <w:r>
        <w:t>)</w:t>
      </w:r>
      <w:r>
        <w:tab/>
        <w:t>purchase or lease of the shares, an interest or assets of the other firm in question; or</w:t>
      </w:r>
    </w:p>
    <w:p w:rsidR="009167E0" w:rsidRPr="009167E0" w:rsidRDefault="009167E0" w:rsidP="00B32555">
      <w:pPr>
        <w:pStyle w:val="QUOTATION"/>
        <w:ind w:firstLine="720"/>
      </w:pPr>
      <w:r>
        <w:t>(ii)</w:t>
      </w:r>
      <w:r>
        <w:tab/>
        <w:t>amalgamation or other combination with the other firm in question.</w:t>
      </w:r>
      <w:r w:rsidR="00F22F91">
        <w:t>”</w:t>
      </w:r>
    </w:p>
    <w:p w:rsidR="004666FA" w:rsidRPr="0072772F" w:rsidRDefault="004666FA" w:rsidP="00C01A5D">
      <w:pPr>
        <w:pStyle w:val="JUDGMENTCONTINUED"/>
      </w:pPr>
    </w:p>
    <w:p w:rsidR="006D0D6F" w:rsidRDefault="006970A9" w:rsidP="006970A9">
      <w:pPr>
        <w:pStyle w:val="JUDGMENTNUMBERED"/>
        <w:numPr>
          <w:ilvl w:val="0"/>
          <w:numId w:val="0"/>
        </w:numPr>
        <w:rPr>
          <w:szCs w:val="26"/>
        </w:rPr>
      </w:pPr>
      <w:r>
        <w:rPr>
          <w:color w:val="000000"/>
          <w:szCs w:val="26"/>
          <w14:scene3d>
            <w14:camera w14:prst="orthographicFront"/>
            <w14:lightRig w14:rig="threePt" w14:dir="t">
              <w14:rot w14:lat="0" w14:lon="0" w14:rev="0"/>
            </w14:lightRig>
          </w14:scene3d>
        </w:rPr>
        <w:t>[35]</w:t>
      </w:r>
      <w:r>
        <w:rPr>
          <w:color w:val="000000"/>
          <w:szCs w:val="26"/>
          <w14:scene3d>
            <w14:camera w14:prst="orthographicFront"/>
            <w14:lightRig w14:rig="threePt" w14:dir="t">
              <w14:rot w14:lat="0" w14:lon="0" w14:rev="0"/>
            </w14:lightRig>
          </w14:scene3d>
        </w:rPr>
        <w:tab/>
      </w:r>
      <w:r w:rsidR="006F2D8E" w:rsidRPr="00FF7E0B">
        <w:rPr>
          <w:szCs w:val="26"/>
        </w:rPr>
        <w:t xml:space="preserve">Section 12(1)(b) provides that </w:t>
      </w:r>
      <w:r w:rsidR="00A0657E">
        <w:rPr>
          <w:szCs w:val="26"/>
        </w:rPr>
        <w:t xml:space="preserve">a merger </w:t>
      </w:r>
      <w:r w:rsidR="00A0657E" w:rsidRPr="00AD1D82">
        <w:rPr>
          <w:noProof/>
          <w:szCs w:val="26"/>
        </w:rPr>
        <w:t xml:space="preserve">may </w:t>
      </w:r>
      <w:r w:rsidR="006F2D8E" w:rsidRPr="000F03C5">
        <w:rPr>
          <w:noProof/>
          <w:szCs w:val="26"/>
        </w:rPr>
        <w:t>be achieved</w:t>
      </w:r>
      <w:r w:rsidR="006F2D8E" w:rsidRPr="00FF7E0B">
        <w:rPr>
          <w:szCs w:val="26"/>
        </w:rPr>
        <w:t xml:space="preserve"> in any manner</w:t>
      </w:r>
      <w:r w:rsidR="00F22F91">
        <w:rPr>
          <w:szCs w:val="26"/>
        </w:rPr>
        <w:t>,</w:t>
      </w:r>
      <w:r w:rsidR="006F2D8E" w:rsidRPr="00FF7E0B">
        <w:rPr>
          <w:szCs w:val="26"/>
        </w:rPr>
        <w:t xml:space="preserve"> </w:t>
      </w:r>
      <w:r w:rsidR="00F22F91">
        <w:rPr>
          <w:noProof/>
          <w:szCs w:val="26"/>
        </w:rPr>
        <w:t>i</w:t>
      </w:r>
      <w:r w:rsidR="006F2D8E" w:rsidRPr="00AD1D82">
        <w:rPr>
          <w:noProof/>
          <w:szCs w:val="26"/>
        </w:rPr>
        <w:t>nclud</w:t>
      </w:r>
      <w:r w:rsidR="00A0657E" w:rsidRPr="00AD1D82">
        <w:rPr>
          <w:noProof/>
          <w:szCs w:val="26"/>
        </w:rPr>
        <w:t>ing</w:t>
      </w:r>
      <w:r w:rsidR="00A0657E">
        <w:rPr>
          <w:szCs w:val="26"/>
        </w:rPr>
        <w:t xml:space="preserve"> </w:t>
      </w:r>
      <w:r w:rsidR="006F2D8E" w:rsidRPr="00FF7E0B">
        <w:rPr>
          <w:szCs w:val="26"/>
        </w:rPr>
        <w:t>where one firm purchases or leases an interest or assets of another firm;</w:t>
      </w:r>
      <w:r w:rsidR="006F2D8E" w:rsidRPr="00F84984">
        <w:rPr>
          <w:rStyle w:val="FootnoteReference"/>
          <w:szCs w:val="26"/>
        </w:rPr>
        <w:footnoteReference w:id="29"/>
      </w:r>
      <w:r w:rsidR="006F2D8E" w:rsidRPr="00F84984">
        <w:rPr>
          <w:szCs w:val="26"/>
        </w:rPr>
        <w:t xml:space="preserve"> or when one firm acquires the ability to </w:t>
      </w:r>
      <w:r w:rsidR="006F2D8E" w:rsidRPr="00B32555">
        <w:rPr>
          <w:szCs w:val="26"/>
        </w:rPr>
        <w:t>“materially influence”</w:t>
      </w:r>
      <w:r w:rsidR="006F2D8E" w:rsidRPr="00F84984">
        <w:rPr>
          <w:szCs w:val="26"/>
        </w:rPr>
        <w:t xml:space="preserve"> the policy of another firm.</w:t>
      </w:r>
      <w:r w:rsidR="006F2D8E" w:rsidRPr="00F84984">
        <w:rPr>
          <w:rStyle w:val="FootnoteReference"/>
          <w:szCs w:val="26"/>
        </w:rPr>
        <w:footnoteReference w:id="30"/>
      </w:r>
      <w:r w:rsidR="006F2D8E" w:rsidRPr="00F84984">
        <w:rPr>
          <w:szCs w:val="26"/>
        </w:rPr>
        <w:t xml:space="preserve">  These are the grounds on which the applicants contend the </w:t>
      </w:r>
      <w:r w:rsidR="00D84213">
        <w:rPr>
          <w:noProof/>
          <w:szCs w:val="26"/>
        </w:rPr>
        <w:t>a</w:t>
      </w:r>
      <w:r w:rsidR="00C708BA">
        <w:rPr>
          <w:noProof/>
          <w:szCs w:val="26"/>
        </w:rPr>
        <w:t xml:space="preserve">greement </w:t>
      </w:r>
      <w:r w:rsidR="00A0657E">
        <w:rPr>
          <w:szCs w:val="26"/>
        </w:rPr>
        <w:t xml:space="preserve">gives rise to </w:t>
      </w:r>
      <w:r w:rsidR="00A0657E" w:rsidRPr="00AD1D82">
        <w:rPr>
          <w:noProof/>
          <w:szCs w:val="26"/>
        </w:rPr>
        <w:t>a</w:t>
      </w:r>
      <w:r w:rsidR="00AD1D82" w:rsidRPr="00AD1D82">
        <w:rPr>
          <w:noProof/>
          <w:szCs w:val="26"/>
        </w:rPr>
        <w:t xml:space="preserve"> </w:t>
      </w:r>
      <w:r w:rsidR="006F2D8E" w:rsidRPr="00F84984">
        <w:rPr>
          <w:szCs w:val="26"/>
        </w:rPr>
        <w:t>merger.</w:t>
      </w:r>
    </w:p>
    <w:p w:rsidR="00C16D02" w:rsidRPr="00C16D02" w:rsidRDefault="00C16D02" w:rsidP="00C16D02">
      <w:pPr>
        <w:pStyle w:val="JUDGMENTCONTINUED"/>
      </w:pPr>
    </w:p>
    <w:p w:rsidR="00EA00F1" w:rsidRPr="00F84984" w:rsidRDefault="006970A9" w:rsidP="006970A9">
      <w:pPr>
        <w:pStyle w:val="JUDGMENTNUMBERED"/>
        <w:numPr>
          <w:ilvl w:val="0"/>
          <w:numId w:val="0"/>
        </w:numPr>
        <w:rPr>
          <w:b/>
        </w:rPr>
      </w:pPr>
      <w:r w:rsidRPr="00F84984">
        <w:rPr>
          <w:color w:val="000000"/>
          <w14:scene3d>
            <w14:camera w14:prst="orthographicFront"/>
            <w14:lightRig w14:rig="threePt" w14:dir="t">
              <w14:rot w14:lat="0" w14:lon="0" w14:rev="0"/>
            </w14:lightRig>
          </w14:scene3d>
        </w:rPr>
        <w:t>[36]</w:t>
      </w:r>
      <w:r w:rsidRPr="00F84984">
        <w:rPr>
          <w:color w:val="000000"/>
          <w14:scene3d>
            <w14:camera w14:prst="orthographicFront"/>
            <w14:lightRig w14:rig="threePt" w14:dir="t">
              <w14:rot w14:lat="0" w14:lon="0" w14:rev="0"/>
            </w14:lightRig>
          </w14:scene3d>
        </w:rPr>
        <w:tab/>
      </w:r>
      <w:r w:rsidR="006F2D8E" w:rsidRPr="00FF7E0B">
        <w:t>Section 13A(1)</w:t>
      </w:r>
      <w:r w:rsidR="00780CD5">
        <w:t xml:space="preserve"> and (2) of the Competition Act </w:t>
      </w:r>
      <w:r w:rsidR="006F2D8E" w:rsidRPr="00FF7E0B">
        <w:t xml:space="preserve">oblige parties to a notifiable merger </w:t>
      </w:r>
      <w:r w:rsidR="00780CD5">
        <w:t xml:space="preserve">(intermediate or larger mergers) </w:t>
      </w:r>
      <w:r w:rsidR="006F2D8E" w:rsidRPr="00FF7E0B">
        <w:t xml:space="preserve">to notify the Commission in the manner and form prescribed, and to furnish copies of the notification </w:t>
      </w:r>
      <w:r w:rsidR="00A66FC6">
        <w:t>to</w:t>
      </w:r>
      <w:r w:rsidR="006F2D8E" w:rsidRPr="00FF7E0B">
        <w:t xml:space="preserve"> any registered trade union representing a substantial number of the firm</w:t>
      </w:r>
      <w:r w:rsidR="00972BC9">
        <w:t>’</w:t>
      </w:r>
      <w:r w:rsidR="006F2D8E" w:rsidRPr="00FF7E0B">
        <w:t xml:space="preserve">s employees, or </w:t>
      </w:r>
      <w:r w:rsidR="00A66FC6">
        <w:t>to</w:t>
      </w:r>
      <w:r w:rsidR="006F2D8E" w:rsidRPr="00FF7E0B">
        <w:t xml:space="preserve"> the employees </w:t>
      </w:r>
      <w:r w:rsidR="006F2D8E" w:rsidRPr="00FF7E0B">
        <w:lastRenderedPageBreak/>
        <w:t>conc</w:t>
      </w:r>
      <w:r w:rsidR="006F2D8E" w:rsidRPr="002E71B3">
        <w:t>erned.</w:t>
      </w:r>
      <w:r w:rsidR="006F2D8E" w:rsidRPr="00F84984">
        <w:rPr>
          <w:rStyle w:val="FootnoteReference"/>
          <w:szCs w:val="26"/>
        </w:rPr>
        <w:footnoteReference w:id="31"/>
      </w:r>
      <w:r w:rsidR="006F2D8E" w:rsidRPr="00F84984">
        <w:t xml:space="preserve">  Section 13A(3) prohibits parties from implementing a merger until it is approved by the Commission, the Tribunal or the </w:t>
      </w:r>
      <w:r w:rsidR="009078C9">
        <w:t>Competition Appeal Court</w:t>
      </w:r>
      <w:r w:rsidR="006F2D8E" w:rsidRPr="00F84984">
        <w:t>, as the case may be.</w:t>
      </w:r>
      <w:r w:rsidR="006F2D8E" w:rsidRPr="00F84984">
        <w:rPr>
          <w:rStyle w:val="FootnoteReference"/>
          <w:szCs w:val="26"/>
        </w:rPr>
        <w:footnoteReference w:id="32"/>
      </w:r>
    </w:p>
    <w:p w:rsidR="006F2D8E" w:rsidRPr="0072772F" w:rsidRDefault="006F2D8E" w:rsidP="00C01A5D">
      <w:pPr>
        <w:pStyle w:val="JUDGMENTCONTINUED"/>
      </w:pPr>
    </w:p>
    <w:p w:rsidR="00C01A5D"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[37]</w:t>
      </w:r>
      <w:r>
        <w:rPr>
          <w:color w:val="000000"/>
          <w14:scene3d>
            <w14:camera w14:prst="orthographicFront"/>
            <w14:lightRig w14:rig="threePt" w14:dir="t">
              <w14:rot w14:lat="0" w14:lon="0" w14:rev="0"/>
            </w14:lightRig>
          </w14:scene3d>
        </w:rPr>
        <w:tab/>
      </w:r>
      <w:r w:rsidR="006F2D8E" w:rsidRPr="00FF7E0B">
        <w:rPr>
          <w:szCs w:val="26"/>
        </w:rPr>
        <w:t xml:space="preserve">A failure to formally notify the Commission of a notifiable merger attracts an administrative penalty under the Competition Act.  </w:t>
      </w:r>
      <w:r w:rsidR="006F2D8E" w:rsidRPr="0056322D">
        <w:rPr>
          <w:noProof/>
          <w:szCs w:val="26"/>
        </w:rPr>
        <w:t>Section 59(1)(d) empowers the Tribunal to impose an administrative penalt</w:t>
      </w:r>
      <w:r w:rsidR="006F2D8E" w:rsidRPr="002726A1">
        <w:rPr>
          <w:noProof/>
          <w:szCs w:val="26"/>
        </w:rPr>
        <w:t>y on parties to a m</w:t>
      </w:r>
      <w:r w:rsidR="006F2D8E" w:rsidRPr="00155E19">
        <w:rPr>
          <w:noProof/>
          <w:szCs w:val="26"/>
        </w:rPr>
        <w:t xml:space="preserve">erger that </w:t>
      </w:r>
      <w:r w:rsidR="006F2D8E" w:rsidRPr="000F03C5">
        <w:rPr>
          <w:noProof/>
          <w:szCs w:val="26"/>
        </w:rPr>
        <w:t>ha</w:t>
      </w:r>
      <w:r w:rsidR="005A11FA" w:rsidRPr="000F03C5">
        <w:rPr>
          <w:noProof/>
          <w:szCs w:val="26"/>
        </w:rPr>
        <w:t>ve</w:t>
      </w:r>
      <w:r w:rsidR="00A66FC6">
        <w:t>—</w:t>
      </w:r>
    </w:p>
    <w:p w:rsidR="00C2602B" w:rsidRPr="00C2602B" w:rsidRDefault="00C2602B" w:rsidP="00C2602B">
      <w:pPr>
        <w:pStyle w:val="JUDGMENTCONTINUED"/>
      </w:pPr>
    </w:p>
    <w:p w:rsidR="0056322D" w:rsidRPr="00DA5B8B" w:rsidRDefault="0056322D" w:rsidP="00DE21D0">
      <w:pPr>
        <w:pStyle w:val="List1"/>
        <w:spacing w:after="120"/>
        <w:rPr>
          <w:noProof/>
        </w:rPr>
      </w:pPr>
      <w:r w:rsidRPr="00DA5B8B">
        <w:rPr>
          <w:noProof/>
        </w:rPr>
        <w:t>(a)</w:t>
      </w:r>
      <w:r w:rsidR="000F03C5">
        <w:rPr>
          <w:noProof/>
        </w:rPr>
        <w:tab/>
      </w:r>
      <w:r w:rsidR="006F2D8E" w:rsidRPr="00DA5B8B">
        <w:rPr>
          <w:noProof/>
        </w:rPr>
        <w:t>failed to give notice of the merger;</w:t>
      </w:r>
    </w:p>
    <w:p w:rsidR="0056322D" w:rsidRPr="00DA5B8B" w:rsidRDefault="006F2D8E" w:rsidP="00DE21D0">
      <w:pPr>
        <w:pStyle w:val="List1"/>
        <w:spacing w:after="120"/>
        <w:rPr>
          <w:noProof/>
          <w:szCs w:val="26"/>
        </w:rPr>
      </w:pPr>
      <w:r w:rsidRPr="00DA5B8B">
        <w:rPr>
          <w:noProof/>
          <w:szCs w:val="26"/>
        </w:rPr>
        <w:t>(</w:t>
      </w:r>
      <w:r w:rsidR="0056322D" w:rsidRPr="00DA5B8B">
        <w:rPr>
          <w:noProof/>
          <w:szCs w:val="26"/>
        </w:rPr>
        <w:t>b</w:t>
      </w:r>
      <w:r w:rsidRPr="00DA5B8B">
        <w:rPr>
          <w:noProof/>
          <w:szCs w:val="26"/>
        </w:rPr>
        <w:t>)</w:t>
      </w:r>
      <w:r w:rsidR="000F03C5">
        <w:rPr>
          <w:noProof/>
          <w:szCs w:val="26"/>
        </w:rPr>
        <w:tab/>
      </w:r>
      <w:r w:rsidRPr="00DA5B8B">
        <w:rPr>
          <w:noProof/>
          <w:szCs w:val="26"/>
        </w:rPr>
        <w:t xml:space="preserve">implemented it in contravention of a decision of the Tribunal </w:t>
      </w:r>
      <w:r w:rsidR="00A66FC6">
        <w:rPr>
          <w:noProof/>
          <w:szCs w:val="26"/>
        </w:rPr>
        <w:t>or</w:t>
      </w:r>
      <w:r w:rsidR="00A66FC6" w:rsidRPr="00DA5B8B">
        <w:rPr>
          <w:noProof/>
          <w:szCs w:val="26"/>
        </w:rPr>
        <w:t xml:space="preserve"> </w:t>
      </w:r>
      <w:r w:rsidRPr="00DA5B8B">
        <w:rPr>
          <w:noProof/>
          <w:szCs w:val="26"/>
        </w:rPr>
        <w:t>th</w:t>
      </w:r>
      <w:r w:rsidR="00AD1D82">
        <w:rPr>
          <w:noProof/>
          <w:szCs w:val="26"/>
        </w:rPr>
        <w:t xml:space="preserve">e </w:t>
      </w:r>
      <w:r w:rsidR="00A66FC6">
        <w:rPr>
          <w:noProof/>
          <w:szCs w:val="26"/>
        </w:rPr>
        <w:t>Commission</w:t>
      </w:r>
      <w:r w:rsidR="00C01A5D">
        <w:rPr>
          <w:noProof/>
          <w:szCs w:val="26"/>
        </w:rPr>
        <w:t>;</w:t>
      </w:r>
    </w:p>
    <w:p w:rsidR="000F03C5" w:rsidRDefault="006F2D8E" w:rsidP="00DE21D0">
      <w:pPr>
        <w:pStyle w:val="List1"/>
        <w:spacing w:after="120"/>
        <w:rPr>
          <w:noProof/>
          <w:szCs w:val="26"/>
        </w:rPr>
      </w:pPr>
      <w:r w:rsidRPr="00DA5B8B">
        <w:rPr>
          <w:noProof/>
          <w:szCs w:val="26"/>
        </w:rPr>
        <w:t>(</w:t>
      </w:r>
      <w:r w:rsidR="0056322D" w:rsidRPr="00DA5B8B">
        <w:rPr>
          <w:noProof/>
          <w:szCs w:val="26"/>
        </w:rPr>
        <w:t>c</w:t>
      </w:r>
      <w:r w:rsidRPr="00DA5B8B">
        <w:rPr>
          <w:noProof/>
          <w:szCs w:val="26"/>
        </w:rPr>
        <w:t>)</w:t>
      </w:r>
      <w:r w:rsidR="000F03C5">
        <w:rPr>
          <w:noProof/>
          <w:szCs w:val="26"/>
        </w:rPr>
        <w:tab/>
      </w:r>
      <w:r w:rsidRPr="00DA5B8B">
        <w:rPr>
          <w:noProof/>
          <w:szCs w:val="26"/>
        </w:rPr>
        <w:t>implemented it contrary to any conditions imposed</w:t>
      </w:r>
      <w:r w:rsidRPr="000F03C5">
        <w:rPr>
          <w:noProof/>
          <w:szCs w:val="26"/>
        </w:rPr>
        <w:t>;</w:t>
      </w:r>
      <w:r w:rsidR="000F03C5">
        <w:rPr>
          <w:noProof/>
          <w:szCs w:val="26"/>
        </w:rPr>
        <w:t xml:space="preserve"> </w:t>
      </w:r>
      <w:r w:rsidRPr="000F03C5">
        <w:rPr>
          <w:noProof/>
          <w:szCs w:val="26"/>
        </w:rPr>
        <w:t>and</w:t>
      </w:r>
    </w:p>
    <w:p w:rsidR="00047C95" w:rsidRDefault="006F2D8E" w:rsidP="002F7DAE">
      <w:pPr>
        <w:pStyle w:val="List1"/>
        <w:rPr>
          <w:noProof/>
          <w:szCs w:val="26"/>
        </w:rPr>
      </w:pPr>
      <w:r w:rsidRPr="00DA5B8B">
        <w:rPr>
          <w:noProof/>
          <w:szCs w:val="26"/>
        </w:rPr>
        <w:t>(</w:t>
      </w:r>
      <w:r w:rsidR="0056322D" w:rsidRPr="00DA5B8B">
        <w:rPr>
          <w:noProof/>
          <w:szCs w:val="26"/>
        </w:rPr>
        <w:t>d</w:t>
      </w:r>
      <w:r w:rsidRPr="00DA5B8B">
        <w:rPr>
          <w:noProof/>
          <w:szCs w:val="26"/>
        </w:rPr>
        <w:t>)</w:t>
      </w:r>
      <w:r w:rsidR="000F03C5">
        <w:rPr>
          <w:noProof/>
          <w:szCs w:val="26"/>
        </w:rPr>
        <w:tab/>
      </w:r>
      <w:r w:rsidRPr="00DA5B8B">
        <w:rPr>
          <w:noProof/>
          <w:szCs w:val="26"/>
        </w:rPr>
        <w:t xml:space="preserve">proceeded to </w:t>
      </w:r>
      <w:r w:rsidRPr="000F03C5">
        <w:rPr>
          <w:noProof/>
          <w:szCs w:val="26"/>
        </w:rPr>
        <w:t>implement</w:t>
      </w:r>
      <w:r w:rsidR="00AD1D82">
        <w:rPr>
          <w:noProof/>
          <w:szCs w:val="26"/>
        </w:rPr>
        <w:t xml:space="preserve"> it </w:t>
      </w:r>
      <w:r w:rsidRPr="00DA5B8B">
        <w:rPr>
          <w:noProof/>
          <w:szCs w:val="26"/>
        </w:rPr>
        <w:t>without approval.</w:t>
      </w:r>
      <w:r w:rsidRPr="00DA5B8B">
        <w:rPr>
          <w:rStyle w:val="FootnoteReference"/>
          <w:szCs w:val="26"/>
        </w:rPr>
        <w:footnoteReference w:id="33"/>
      </w:r>
    </w:p>
    <w:p w:rsidR="007538FC" w:rsidRDefault="007538FC" w:rsidP="00C01A5D">
      <w:pPr>
        <w:pStyle w:val="JUDGMENTCONTINUED"/>
      </w:pPr>
    </w:p>
    <w:p w:rsidR="006F2D8E" w:rsidRDefault="006F2D8E" w:rsidP="00A243FC">
      <w:pPr>
        <w:pStyle w:val="JUDGMENTCONTINUED"/>
      </w:pPr>
      <w:r w:rsidRPr="0056322D">
        <w:t xml:space="preserve">Unlike other contraventions of the Competition Act, the legislature </w:t>
      </w:r>
      <w:r w:rsidR="00553980">
        <w:t xml:space="preserve">has </w:t>
      </w:r>
      <w:r w:rsidRPr="0056322D">
        <w:t>impose</w:t>
      </w:r>
      <w:r w:rsidR="00553980">
        <w:t>d</w:t>
      </w:r>
      <w:r w:rsidRPr="0056322D">
        <w:t xml:space="preserve"> administrative penalties for “first time” </w:t>
      </w:r>
      <w:r w:rsidRPr="00A31C90">
        <w:rPr>
          <w:noProof/>
        </w:rPr>
        <w:t>contraventions</w:t>
      </w:r>
      <w:r w:rsidRPr="0056322D">
        <w:t xml:space="preserve"> of section 13A.</w:t>
      </w:r>
      <w:r w:rsidRPr="00F84984">
        <w:rPr>
          <w:rStyle w:val="FootnoteReference"/>
          <w:szCs w:val="26"/>
        </w:rPr>
        <w:footnoteReference w:id="34"/>
      </w:r>
    </w:p>
    <w:p w:rsidR="00CD65A7" w:rsidRDefault="00CD65A7" w:rsidP="00B70B09">
      <w:pPr>
        <w:pStyle w:val="JUDGMENTCONTINUED"/>
      </w:pPr>
    </w:p>
    <w:p w:rsidR="00DD08EC" w:rsidRDefault="006970A9" w:rsidP="006970A9">
      <w:pPr>
        <w:pStyle w:val="JUDGMENTNUMBERED"/>
        <w:numPr>
          <w:ilvl w:val="0"/>
          <w:numId w:val="0"/>
        </w:numPr>
        <w:rPr>
          <w:szCs w:val="26"/>
        </w:rPr>
      </w:pPr>
      <w:r>
        <w:rPr>
          <w:color w:val="000000"/>
          <w:szCs w:val="26"/>
          <w14:scene3d>
            <w14:camera w14:prst="orthographicFront"/>
            <w14:lightRig w14:rig="threePt" w14:dir="t">
              <w14:rot w14:lat="0" w14:lon="0" w14:rev="0"/>
            </w14:lightRig>
          </w14:scene3d>
        </w:rPr>
        <w:t>[38]</w:t>
      </w:r>
      <w:r>
        <w:rPr>
          <w:color w:val="000000"/>
          <w:szCs w:val="26"/>
          <w14:scene3d>
            <w14:camera w14:prst="orthographicFront"/>
            <w14:lightRig w14:rig="threePt" w14:dir="t">
              <w14:rot w14:lat="0" w14:lon="0" w14:rev="0"/>
            </w14:lightRig>
          </w14:scene3d>
        </w:rPr>
        <w:tab/>
      </w:r>
      <w:r w:rsidR="00DD08EC" w:rsidRPr="0072772F">
        <w:rPr>
          <w:szCs w:val="26"/>
        </w:rPr>
        <w:t xml:space="preserve">Section 13B of the Competition Act makes provision for merger investigations. </w:t>
      </w:r>
      <w:r w:rsidR="0007416D">
        <w:rPr>
          <w:szCs w:val="26"/>
        </w:rPr>
        <w:t xml:space="preserve"> </w:t>
      </w:r>
      <w:r w:rsidR="00DD08EC" w:rsidRPr="0072772F">
        <w:rPr>
          <w:szCs w:val="26"/>
        </w:rPr>
        <w:t>It provides:</w:t>
      </w:r>
    </w:p>
    <w:p w:rsidR="00C01A5D" w:rsidRPr="00C01A5D" w:rsidRDefault="00C01A5D" w:rsidP="00C01A5D">
      <w:pPr>
        <w:pStyle w:val="QUOTATION"/>
      </w:pPr>
    </w:p>
    <w:p w:rsidR="006E2C33" w:rsidRPr="0007416D" w:rsidRDefault="00220D7E" w:rsidP="007B54C6">
      <w:pPr>
        <w:pStyle w:val="QUOTATION"/>
        <w:spacing w:after="120"/>
        <w:ind w:left="1440" w:hanging="873"/>
      </w:pPr>
      <w:r>
        <w:t>“</w:t>
      </w:r>
      <w:r w:rsidR="006E2C33" w:rsidRPr="0007416D">
        <w:t>(1)</w:t>
      </w:r>
      <w:r w:rsidR="006E2C33" w:rsidRPr="0007416D">
        <w:tab/>
        <w:t xml:space="preserve">The Competition Commission may direct an inspector to investigate any </w:t>
      </w:r>
      <w:r w:rsidR="00E22D5E" w:rsidRPr="0007416D">
        <w:t>merger and</w:t>
      </w:r>
      <w:r w:rsidR="006E2C33" w:rsidRPr="0007416D">
        <w:t xml:space="preserve"> may designate one or more persons to assist the inspector.</w:t>
      </w:r>
    </w:p>
    <w:p w:rsidR="006E2C33" w:rsidRPr="0007416D" w:rsidRDefault="006E2C33" w:rsidP="005E05E6">
      <w:pPr>
        <w:pStyle w:val="QUOTATION"/>
        <w:spacing w:after="120"/>
        <w:ind w:left="1440" w:hanging="720"/>
      </w:pPr>
      <w:r w:rsidRPr="0007416D">
        <w:t>(2)</w:t>
      </w:r>
      <w:r w:rsidRPr="0007416D">
        <w:tab/>
        <w:t>The Competition Commission may require any party to a merger to provide additional information in respect of the merger.</w:t>
      </w:r>
    </w:p>
    <w:p w:rsidR="006E2C33" w:rsidRPr="0007416D" w:rsidRDefault="006E2C33" w:rsidP="002F7DAE">
      <w:pPr>
        <w:pStyle w:val="QUOTATION"/>
        <w:ind w:left="1440" w:hanging="720"/>
      </w:pPr>
      <w:r w:rsidRPr="0007416D">
        <w:t>(</w:t>
      </w:r>
      <w:r w:rsidR="00085797">
        <w:t>3</w:t>
      </w:r>
      <w:r w:rsidRPr="0007416D">
        <w:t>)</w:t>
      </w:r>
      <w:r w:rsidRPr="0007416D">
        <w:tab/>
        <w:t>Any person, whether or not a party to or a participant in merger proceedings, may voluntarily file any document, affidavit, statement or other relevant information in respect of that merger.</w:t>
      </w:r>
      <w:r w:rsidR="00220D7E">
        <w:t>”</w:t>
      </w:r>
    </w:p>
    <w:p w:rsidR="006F2D8E" w:rsidRPr="00047C95" w:rsidRDefault="006F2D8E" w:rsidP="00C01A5D">
      <w:pPr>
        <w:pStyle w:val="JUDGMENTCONTINUED"/>
        <w:rPr>
          <w:highlight w:val="yellow"/>
        </w:rPr>
      </w:pPr>
    </w:p>
    <w:p w:rsidR="00554D0B"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[39]</w:t>
      </w:r>
      <w:r>
        <w:rPr>
          <w:color w:val="000000"/>
          <w14:scene3d>
            <w14:camera w14:prst="orthographicFront"/>
            <w14:lightRig w14:rig="threePt" w14:dir="t">
              <w14:rot w14:lat="0" w14:lon="0" w14:rev="0"/>
            </w14:lightRig>
          </w14:scene3d>
        </w:rPr>
        <w:tab/>
      </w:r>
      <w:r w:rsidR="00554D0B" w:rsidRPr="00047C95">
        <w:t xml:space="preserve">Section 21(1)(c) and (2)(c) deal with the functions of the Commission. </w:t>
      </w:r>
      <w:r w:rsidR="00117568">
        <w:t xml:space="preserve"> </w:t>
      </w:r>
      <w:r w:rsidR="00554D0B" w:rsidRPr="00047C95">
        <w:t>They provide:</w:t>
      </w:r>
    </w:p>
    <w:p w:rsidR="00C01A5D" w:rsidRPr="00C01A5D" w:rsidRDefault="00C01A5D" w:rsidP="00C01A5D">
      <w:pPr>
        <w:pStyle w:val="QUOTATION"/>
      </w:pPr>
    </w:p>
    <w:p w:rsidR="00554D0B" w:rsidRPr="00B14601" w:rsidRDefault="007538FC" w:rsidP="00F154E7">
      <w:pPr>
        <w:pStyle w:val="QUOTATION"/>
      </w:pPr>
      <w:r>
        <w:t>“</w:t>
      </w:r>
      <w:r w:rsidR="00BF6EB3" w:rsidRPr="00B14601">
        <w:t>(1)</w:t>
      </w:r>
      <w:r w:rsidR="007864F5">
        <w:tab/>
      </w:r>
      <w:r w:rsidR="00554D0B" w:rsidRPr="00B14601">
        <w:t xml:space="preserve">The Competition Commission is responsible </w:t>
      </w:r>
      <w:r w:rsidR="00554D0B" w:rsidRPr="005C0ED8">
        <w:rPr>
          <w:noProof/>
        </w:rPr>
        <w:t>to</w:t>
      </w:r>
      <w:r w:rsidR="007864F5">
        <w:sym w:font="Symbol" w:char="F0BE"/>
      </w:r>
    </w:p>
    <w:p w:rsidR="00554D0B" w:rsidRPr="00B14601" w:rsidRDefault="007864F5" w:rsidP="003F67C2">
      <w:pPr>
        <w:pStyle w:val="QUOTATION"/>
        <w:ind w:firstLine="720"/>
      </w:pPr>
      <w:r>
        <w:t>. . .</w:t>
      </w:r>
    </w:p>
    <w:p w:rsidR="00554D0B" w:rsidRPr="00B14601" w:rsidRDefault="0043521D" w:rsidP="00B32555">
      <w:pPr>
        <w:pStyle w:val="QUOTATION"/>
        <w:ind w:left="1134" w:firstLine="306"/>
      </w:pPr>
      <w:r>
        <w:t>(</w:t>
      </w:r>
      <w:r w:rsidR="00554D0B" w:rsidRPr="00B14601">
        <w:t>c)</w:t>
      </w:r>
      <w:r w:rsidR="007864F5">
        <w:tab/>
      </w:r>
      <w:r w:rsidR="00C2602B">
        <w:t>i</w:t>
      </w:r>
      <w:r w:rsidR="00554D0B" w:rsidRPr="00B14601">
        <w:t>nvestigate and evaluate alleged contraventions of Chapter 2</w:t>
      </w:r>
      <w:r w:rsidR="007864F5">
        <w:rPr>
          <w:noProof/>
        </w:rPr>
        <w:t>;</w:t>
      </w:r>
    </w:p>
    <w:p w:rsidR="00F805AA" w:rsidRPr="00B14601" w:rsidRDefault="007864F5" w:rsidP="003F67C2">
      <w:pPr>
        <w:pStyle w:val="QUOTATION"/>
        <w:ind w:firstLine="720"/>
      </w:pPr>
      <w:r>
        <w:t>. . .</w:t>
      </w:r>
    </w:p>
    <w:p w:rsidR="00554D0B" w:rsidRPr="00B14601" w:rsidRDefault="00FE1807" w:rsidP="00B32555">
      <w:pPr>
        <w:pStyle w:val="QUOTATION"/>
        <w:ind w:left="1440" w:hanging="611"/>
      </w:pPr>
      <w:r w:rsidRPr="00B14601">
        <w:t>(2)</w:t>
      </w:r>
      <w:r w:rsidR="007864F5">
        <w:tab/>
      </w:r>
      <w:r w:rsidR="00554D0B" w:rsidRPr="00B14601">
        <w:t>In addition to the function listed in subsection (1), the Competition Commission may</w:t>
      </w:r>
      <w:r w:rsidR="00C2602B">
        <w:t>—</w:t>
      </w:r>
    </w:p>
    <w:p w:rsidR="00554D0B" w:rsidRPr="00B14601" w:rsidRDefault="007864F5" w:rsidP="00C2602B">
      <w:pPr>
        <w:pStyle w:val="QUOTATION"/>
        <w:ind w:firstLine="720"/>
      </w:pPr>
      <w:r>
        <w:t>. . .</w:t>
      </w:r>
    </w:p>
    <w:p w:rsidR="00554D0B" w:rsidRPr="00B14601" w:rsidRDefault="00F805AA" w:rsidP="00B32555">
      <w:pPr>
        <w:pStyle w:val="QUOTATION"/>
        <w:ind w:left="2160" w:hanging="720"/>
      </w:pPr>
      <w:r w:rsidRPr="00A31C90">
        <w:t>(c)</w:t>
      </w:r>
      <w:r w:rsidR="007864F5">
        <w:tab/>
      </w:r>
      <w:r w:rsidRPr="00A31C90">
        <w:t xml:space="preserve">perform any other </w:t>
      </w:r>
      <w:r w:rsidRPr="00335A20">
        <w:rPr>
          <w:noProof/>
        </w:rPr>
        <w:t>function</w:t>
      </w:r>
      <w:r w:rsidRPr="00A31C90">
        <w:t xml:space="preserve"> assigned to it </w:t>
      </w:r>
      <w:r w:rsidRPr="00335A20">
        <w:rPr>
          <w:noProof/>
        </w:rPr>
        <w:t>in terms of</w:t>
      </w:r>
      <w:r w:rsidRPr="00A31C90">
        <w:t xml:space="preserve"> this Act or any other Act</w:t>
      </w:r>
      <w:r w:rsidR="00C2602B">
        <w:t>.</w:t>
      </w:r>
      <w:r w:rsidR="007538FC">
        <w:t>”</w:t>
      </w:r>
    </w:p>
    <w:p w:rsidR="00554D0B" w:rsidRPr="00047C95" w:rsidRDefault="00554D0B" w:rsidP="007B5FBF">
      <w:pPr>
        <w:pStyle w:val="JUDGMENTCONTINUED"/>
      </w:pPr>
    </w:p>
    <w:p w:rsidR="00D9389D" w:rsidRPr="00D9389D" w:rsidRDefault="006970A9" w:rsidP="006970A9">
      <w:pPr>
        <w:pStyle w:val="JUDGMENTNUMBERED"/>
        <w:numPr>
          <w:ilvl w:val="0"/>
          <w:numId w:val="0"/>
        </w:numPr>
        <w:rPr>
          <w:noProof/>
        </w:rPr>
      </w:pPr>
      <w:r w:rsidRPr="00D9389D">
        <w:rPr>
          <w:color w:val="000000"/>
          <w14:scene3d>
            <w14:camera w14:prst="orthographicFront"/>
            <w14:lightRig w14:rig="threePt" w14:dir="t">
              <w14:rot w14:lat="0" w14:lon="0" w14:rev="0"/>
            </w14:lightRig>
          </w14:scene3d>
        </w:rPr>
        <w:t>[40]</w:t>
      </w:r>
      <w:r w:rsidRPr="00D9389D">
        <w:rPr>
          <w:color w:val="000000"/>
          <w14:scene3d>
            <w14:camera w14:prst="orthographicFront"/>
            <w14:lightRig w14:rig="threePt" w14:dir="t">
              <w14:rot w14:lat="0" w14:lon="0" w14:rev="0"/>
            </w14:lightRig>
          </w14:scene3d>
        </w:rPr>
        <w:tab/>
      </w:r>
      <w:proofErr w:type="spellStart"/>
      <w:r w:rsidR="006E712E" w:rsidRPr="00FA2279">
        <w:t>MultiChoice</w:t>
      </w:r>
      <w:proofErr w:type="spellEnd"/>
      <w:r w:rsidR="006E712E" w:rsidRPr="00FA2279">
        <w:t xml:space="preserve"> contend</w:t>
      </w:r>
      <w:r w:rsidR="00DE0D30">
        <w:t>s</w:t>
      </w:r>
      <w:r w:rsidR="006E712E" w:rsidRPr="00FA2279">
        <w:t xml:space="preserve"> that the Competition Act</w:t>
      </w:r>
      <w:r w:rsidR="008D4E3E">
        <w:t>,</w:t>
      </w:r>
      <w:r w:rsidR="006E712E" w:rsidRPr="00FA2279">
        <w:t xml:space="preserve"> as </w:t>
      </w:r>
      <w:r w:rsidR="006E712E" w:rsidRPr="00FA2279">
        <w:rPr>
          <w:noProof/>
        </w:rPr>
        <w:t>presently framed</w:t>
      </w:r>
      <w:r w:rsidR="008D4E3E">
        <w:rPr>
          <w:noProof/>
        </w:rPr>
        <w:t>,</w:t>
      </w:r>
      <w:r w:rsidR="00563EF3" w:rsidRPr="00FA2279">
        <w:rPr>
          <w:noProof/>
        </w:rPr>
        <w:t xml:space="preserve"> </w:t>
      </w:r>
      <w:r w:rsidR="006E712E" w:rsidRPr="00FA2279">
        <w:t xml:space="preserve">does not confer </w:t>
      </w:r>
      <w:r w:rsidR="006E712E" w:rsidRPr="00FA2279">
        <w:rPr>
          <w:i/>
        </w:rPr>
        <w:t>any</w:t>
      </w:r>
      <w:r w:rsidR="006E712E" w:rsidRPr="00FA2279">
        <w:t xml:space="preserve"> of the powers contained in Part B of Chapter 5</w:t>
      </w:r>
      <w:r w:rsidR="00A52985" w:rsidRPr="00FA2279">
        <w:t xml:space="preserve"> on the Commi</w:t>
      </w:r>
      <w:r w:rsidR="00A52985">
        <w:t xml:space="preserve">ssion </w:t>
      </w:r>
      <w:r w:rsidR="006E712E" w:rsidRPr="0043759C">
        <w:t>to investigate alleged contraventions of section 13A.</w:t>
      </w:r>
      <w:r w:rsidR="00E22D5E">
        <w:t xml:space="preserve">  </w:t>
      </w:r>
      <w:r w:rsidR="00AA4853">
        <w:rPr>
          <w:noProof/>
        </w:rPr>
        <w:t xml:space="preserve">It </w:t>
      </w:r>
      <w:r w:rsidR="00A31C90" w:rsidRPr="002A46CF">
        <w:rPr>
          <w:noProof/>
        </w:rPr>
        <w:t xml:space="preserve"> </w:t>
      </w:r>
      <w:r w:rsidR="00AA4853">
        <w:rPr>
          <w:noProof/>
        </w:rPr>
        <w:t>relies</w:t>
      </w:r>
      <w:r w:rsidR="006E44F0">
        <w:rPr>
          <w:noProof/>
        </w:rPr>
        <w:t xml:space="preserve"> </w:t>
      </w:r>
      <w:r w:rsidR="006E44F0" w:rsidRPr="006E44F0">
        <w:rPr>
          <w:noProof/>
        </w:rPr>
        <w:t xml:space="preserve">on </w:t>
      </w:r>
      <w:r w:rsidR="00A31C90" w:rsidRPr="002A46CF">
        <w:rPr>
          <w:noProof/>
        </w:rPr>
        <w:t>section 21(</w:t>
      </w:r>
      <w:r w:rsidR="00A31C90">
        <w:rPr>
          <w:noProof/>
        </w:rPr>
        <w:t>1</w:t>
      </w:r>
      <w:r w:rsidR="00A31C90" w:rsidRPr="002A46CF">
        <w:rPr>
          <w:noProof/>
        </w:rPr>
        <w:t xml:space="preserve">)(c), which </w:t>
      </w:r>
      <w:r w:rsidR="00A243FC">
        <w:rPr>
          <w:noProof/>
        </w:rPr>
        <w:t>it</w:t>
      </w:r>
      <w:r w:rsidR="00A31C90" w:rsidRPr="002A46CF">
        <w:rPr>
          <w:noProof/>
        </w:rPr>
        <w:t>submit</w:t>
      </w:r>
      <w:r w:rsidR="00A243FC">
        <w:rPr>
          <w:noProof/>
        </w:rPr>
        <w:t>s</w:t>
      </w:r>
      <w:r w:rsidR="00A31C90" w:rsidRPr="002A46CF">
        <w:rPr>
          <w:noProof/>
        </w:rPr>
        <w:t xml:space="preserve"> limits the Commission’s investigatory powers to alleged infringements of Chapter 2. </w:t>
      </w:r>
      <w:r w:rsidR="00A31C90">
        <w:rPr>
          <w:noProof/>
        </w:rPr>
        <w:t xml:space="preserve"> </w:t>
      </w:r>
      <w:r w:rsidR="00841F2D" w:rsidRPr="00841F2D">
        <w:rPr>
          <w:noProof/>
        </w:rPr>
        <w:t>T</w:t>
      </w:r>
      <w:r w:rsidR="00563EF3" w:rsidRPr="00841F2D">
        <w:rPr>
          <w:noProof/>
        </w:rPr>
        <w:t>he</w:t>
      </w:r>
      <w:r w:rsidR="00A31C90" w:rsidRPr="00841F2D">
        <w:rPr>
          <w:noProof/>
        </w:rPr>
        <w:t xml:space="preserve"> effect of th</w:t>
      </w:r>
      <w:r w:rsidR="00563EF3" w:rsidRPr="00841F2D">
        <w:rPr>
          <w:noProof/>
        </w:rPr>
        <w:t>e limitation</w:t>
      </w:r>
      <w:r w:rsidR="00DD6875" w:rsidRPr="00756EBE">
        <w:rPr>
          <w:noProof/>
        </w:rPr>
        <w:t>,</w:t>
      </w:r>
      <w:r w:rsidR="00A31C90" w:rsidRPr="00756EBE">
        <w:rPr>
          <w:noProof/>
        </w:rPr>
        <w:t xml:space="preserve"> </w:t>
      </w:r>
      <w:r w:rsidR="00654EC1" w:rsidRPr="00756EBE">
        <w:rPr>
          <w:noProof/>
        </w:rPr>
        <w:t>they</w:t>
      </w:r>
      <w:r w:rsidR="006E44F0">
        <w:rPr>
          <w:noProof/>
        </w:rPr>
        <w:t xml:space="preserve"> posit</w:t>
      </w:r>
      <w:r w:rsidR="00654EC1" w:rsidRPr="00F651F8">
        <w:rPr>
          <w:noProof/>
        </w:rPr>
        <w:t xml:space="preserve">, </w:t>
      </w:r>
      <w:r w:rsidR="00A31C90" w:rsidRPr="00F651F8">
        <w:rPr>
          <w:noProof/>
        </w:rPr>
        <w:t>is that the</w:t>
      </w:r>
      <w:r w:rsidR="00654EC1" w:rsidRPr="00F651F8">
        <w:rPr>
          <w:noProof/>
        </w:rPr>
        <w:t xml:space="preserve"> Part</w:t>
      </w:r>
      <w:r w:rsidR="00841F2D" w:rsidRPr="00F651F8">
        <w:rPr>
          <w:noProof/>
        </w:rPr>
        <w:t xml:space="preserve"> B,</w:t>
      </w:r>
      <w:r w:rsidR="00654EC1" w:rsidRPr="00F651F8">
        <w:rPr>
          <w:noProof/>
        </w:rPr>
        <w:t xml:space="preserve"> </w:t>
      </w:r>
      <w:r w:rsidR="00841F2D" w:rsidRPr="00F651F8">
        <w:rPr>
          <w:noProof/>
        </w:rPr>
        <w:t>C</w:t>
      </w:r>
      <w:r w:rsidR="00654EC1" w:rsidRPr="00F651F8">
        <w:rPr>
          <w:noProof/>
        </w:rPr>
        <w:t>h</w:t>
      </w:r>
      <w:r w:rsidR="00841F2D" w:rsidRPr="00E43080">
        <w:rPr>
          <w:noProof/>
        </w:rPr>
        <w:t>a</w:t>
      </w:r>
      <w:r w:rsidR="00654EC1" w:rsidRPr="00E43080">
        <w:rPr>
          <w:noProof/>
        </w:rPr>
        <w:t xml:space="preserve">pter 5 </w:t>
      </w:r>
      <w:r w:rsidR="00654EC1" w:rsidRPr="00772A11">
        <w:rPr>
          <w:noProof/>
        </w:rPr>
        <w:t>powers</w:t>
      </w:r>
      <w:r w:rsidR="00A31C90" w:rsidRPr="001C2E2F">
        <w:rPr>
          <w:noProof/>
        </w:rPr>
        <w:t xml:space="preserve"> apply </w:t>
      </w:r>
      <w:r w:rsidR="00563EF3" w:rsidRPr="001C2E2F">
        <w:rPr>
          <w:noProof/>
        </w:rPr>
        <w:t xml:space="preserve">only </w:t>
      </w:r>
      <w:r w:rsidR="00A31C90" w:rsidRPr="006E44F0">
        <w:rPr>
          <w:noProof/>
        </w:rPr>
        <w:t>to investigation</w:t>
      </w:r>
      <w:r w:rsidR="00841F2D" w:rsidRPr="006E44F0">
        <w:rPr>
          <w:noProof/>
        </w:rPr>
        <w:t>s</w:t>
      </w:r>
      <w:r w:rsidR="00841F2D" w:rsidRPr="001C2E2F">
        <w:rPr>
          <w:noProof/>
        </w:rPr>
        <w:t xml:space="preserve"> conducted by the </w:t>
      </w:r>
      <w:r w:rsidR="00841F2D" w:rsidRPr="006E44F0">
        <w:rPr>
          <w:noProof/>
        </w:rPr>
        <w:t>Commission</w:t>
      </w:r>
      <w:r w:rsidR="004378B7" w:rsidRPr="006E44F0">
        <w:rPr>
          <w:noProof/>
        </w:rPr>
        <w:t xml:space="preserve"> </w:t>
      </w:r>
      <w:r w:rsidR="00563EF3" w:rsidRPr="006E44F0">
        <w:rPr>
          <w:noProof/>
        </w:rPr>
        <w:t>into</w:t>
      </w:r>
      <w:r w:rsidR="00D9389D" w:rsidRPr="00FC6147">
        <w:rPr>
          <w:noProof/>
        </w:rPr>
        <w:t xml:space="preserve"> </w:t>
      </w:r>
      <w:r w:rsidR="00A31C90" w:rsidRPr="00D9389D">
        <w:rPr>
          <w:noProof/>
        </w:rPr>
        <w:t>whether</w:t>
      </w:r>
      <w:r w:rsidR="00A31C90" w:rsidRPr="001C2E2F">
        <w:rPr>
          <w:noProof/>
        </w:rPr>
        <w:t xml:space="preserve"> a firm is guilty of engaging in a </w:t>
      </w:r>
      <w:r w:rsidR="00A31C90" w:rsidRPr="00B32555">
        <w:rPr>
          <w:noProof/>
        </w:rPr>
        <w:t>“prohibited practice”</w:t>
      </w:r>
      <w:r w:rsidR="00A31C90" w:rsidRPr="00DB5365">
        <w:rPr>
          <w:noProof/>
        </w:rPr>
        <w:t xml:space="preserve"> </w:t>
      </w:r>
      <w:r w:rsidR="00A31C90" w:rsidRPr="00D9389D">
        <w:rPr>
          <w:noProof/>
        </w:rPr>
        <w:t>under Chapter 2</w:t>
      </w:r>
      <w:r w:rsidR="00FA70EA">
        <w:rPr>
          <w:noProof/>
        </w:rPr>
        <w:t xml:space="preserve">, </w:t>
      </w:r>
      <w:r w:rsidR="002A6DC7">
        <w:rPr>
          <w:noProof/>
        </w:rPr>
        <w:t xml:space="preserve">for instance, </w:t>
      </w:r>
      <w:r w:rsidR="00A31C90" w:rsidRPr="00D9389D">
        <w:rPr>
          <w:noProof/>
        </w:rPr>
        <w:t xml:space="preserve">price-fixing, market division, bid rigging or </w:t>
      </w:r>
      <w:r w:rsidR="00A31C90" w:rsidRPr="006E44F0">
        <w:rPr>
          <w:noProof/>
        </w:rPr>
        <w:t>abuse</w:t>
      </w:r>
      <w:r w:rsidR="00A31C90" w:rsidRPr="00841F2D">
        <w:rPr>
          <w:noProof/>
        </w:rPr>
        <w:t xml:space="preserve"> of dominance</w:t>
      </w:r>
      <w:r w:rsidR="00FA70EA">
        <w:rPr>
          <w:noProof/>
        </w:rPr>
        <w:t>.</w:t>
      </w:r>
    </w:p>
    <w:p w:rsidR="000B1614" w:rsidRPr="00047C95" w:rsidRDefault="000B1614" w:rsidP="007B5FBF">
      <w:pPr>
        <w:pStyle w:val="JUDGMENTCONTINUED"/>
      </w:pPr>
    </w:p>
    <w:p w:rsidR="006C6017" w:rsidRPr="00474013" w:rsidRDefault="006970A9" w:rsidP="006970A9">
      <w:pPr>
        <w:pStyle w:val="JUDGMENTNUMBERED"/>
        <w:numPr>
          <w:ilvl w:val="0"/>
          <w:numId w:val="0"/>
        </w:numPr>
      </w:pPr>
      <w:r w:rsidRPr="00474013">
        <w:rPr>
          <w:color w:val="000000"/>
          <w14:scene3d>
            <w14:camera w14:prst="orthographicFront"/>
            <w14:lightRig w14:rig="threePt" w14:dir="t">
              <w14:rot w14:lat="0" w14:lon="0" w14:rev="0"/>
            </w14:lightRig>
          </w14:scene3d>
        </w:rPr>
        <w:t>[41]</w:t>
      </w:r>
      <w:r w:rsidRPr="00474013">
        <w:rPr>
          <w:color w:val="000000"/>
          <w14:scene3d>
            <w14:camera w14:prst="orthographicFront"/>
            <w14:lightRig w14:rig="threePt" w14:dir="t">
              <w14:rot w14:lat="0" w14:lon="0" w14:rev="0"/>
            </w14:lightRig>
          </w14:scene3d>
        </w:rPr>
        <w:tab/>
      </w:r>
      <w:r w:rsidR="00073B48">
        <w:rPr>
          <w:noProof/>
          <w:szCs w:val="26"/>
        </w:rPr>
        <w:t xml:space="preserve">This argument is </w:t>
      </w:r>
      <w:r w:rsidR="00FA70EA">
        <w:rPr>
          <w:noProof/>
          <w:szCs w:val="26"/>
        </w:rPr>
        <w:t xml:space="preserve">misplaced </w:t>
      </w:r>
      <w:r w:rsidR="00073B48">
        <w:rPr>
          <w:noProof/>
          <w:szCs w:val="26"/>
        </w:rPr>
        <w:t xml:space="preserve">as </w:t>
      </w:r>
      <w:r w:rsidR="000B1614" w:rsidRPr="00D80D64">
        <w:t xml:space="preserve">the </w:t>
      </w:r>
      <w:r w:rsidR="000B1614" w:rsidRPr="00D80D64">
        <w:rPr>
          <w:noProof/>
        </w:rPr>
        <w:t>long</w:t>
      </w:r>
      <w:r w:rsidR="000B1614" w:rsidRPr="00D80D64">
        <w:t xml:space="preserve"> title of the </w:t>
      </w:r>
      <w:r w:rsidR="00FA70EA">
        <w:t xml:space="preserve">Competition </w:t>
      </w:r>
      <w:r w:rsidR="000B1614" w:rsidRPr="00D80D64">
        <w:t>Act</w:t>
      </w:r>
      <w:r w:rsidR="00972BC9">
        <w:t>,</w:t>
      </w:r>
      <w:r w:rsidR="00EB4574">
        <w:t xml:space="preserve"> which plays a </w:t>
      </w:r>
      <w:r w:rsidR="000B1614" w:rsidRPr="00D80D64">
        <w:t>central role in the interpretative process</w:t>
      </w:r>
      <w:r w:rsidR="00EB4574">
        <w:t>,</w:t>
      </w:r>
      <w:r w:rsidR="000B1614" w:rsidRPr="00D80D64">
        <w:t xml:space="preserve"> expressly states that the Commission is </w:t>
      </w:r>
      <w:r w:rsidR="000B1614" w:rsidRPr="00D80D64">
        <w:lastRenderedPageBreak/>
        <w:t xml:space="preserve">responsible for the investigation of mergers.  Section 13B of the Act then assigns that function to the Commission. </w:t>
      </w:r>
      <w:r w:rsidR="007864F5">
        <w:t xml:space="preserve"> </w:t>
      </w:r>
      <w:r w:rsidR="00A243FC">
        <w:rPr>
          <w:noProof/>
        </w:rPr>
        <w:t>Accordingly</w:t>
      </w:r>
      <w:r w:rsidR="000B1614" w:rsidRPr="00D80D64">
        <w:rPr>
          <w:noProof/>
        </w:rPr>
        <w:t xml:space="preserve"> although section 21(1)(c) of the </w:t>
      </w:r>
      <w:r w:rsidR="007864F5">
        <w:rPr>
          <w:noProof/>
        </w:rPr>
        <w:t>Competition </w:t>
      </w:r>
      <w:r w:rsidR="000B1614" w:rsidRPr="00D80D64">
        <w:rPr>
          <w:noProof/>
        </w:rPr>
        <w:t xml:space="preserve">Act does not explicitly refer to mergers, that is an apparent omission which the proposed amendment to section 21(1) of the Competition </w:t>
      </w:r>
      <w:r w:rsidR="000B1614" w:rsidRPr="00476061">
        <w:rPr>
          <w:noProof/>
        </w:rPr>
        <w:t>Act</w:t>
      </w:r>
      <w:r w:rsidR="00F21ED4" w:rsidRPr="00476061">
        <w:rPr>
          <w:noProof/>
        </w:rPr>
        <w:t xml:space="preserve"> intends </w:t>
      </w:r>
      <w:r w:rsidR="0041076D" w:rsidRPr="00476061">
        <w:rPr>
          <w:noProof/>
        </w:rPr>
        <w:t>to c</w:t>
      </w:r>
      <w:r w:rsidR="0041076D" w:rsidRPr="0041076D">
        <w:rPr>
          <w:noProof/>
        </w:rPr>
        <w:t>ure</w:t>
      </w:r>
      <w:r w:rsidR="00772A11">
        <w:rPr>
          <w:noProof/>
        </w:rPr>
        <w:t>.</w:t>
      </w:r>
      <w:r w:rsidR="00B51DFB" w:rsidRPr="00D80D64">
        <w:rPr>
          <w:rStyle w:val="FootnoteReference"/>
        </w:rPr>
        <w:footnoteReference w:id="35"/>
      </w:r>
      <w:r w:rsidR="00772A11">
        <w:rPr>
          <w:noProof/>
        </w:rPr>
        <w:t xml:space="preserve"> </w:t>
      </w:r>
      <w:r w:rsidR="0043521D">
        <w:rPr>
          <w:noProof/>
        </w:rPr>
        <w:t xml:space="preserve"> </w:t>
      </w:r>
      <w:r w:rsidR="00772A11">
        <w:rPr>
          <w:noProof/>
        </w:rPr>
        <w:t>It seeks to do this</w:t>
      </w:r>
      <w:r w:rsidR="0041076D" w:rsidRPr="0041076D">
        <w:rPr>
          <w:noProof/>
        </w:rPr>
        <w:t xml:space="preserve"> </w:t>
      </w:r>
      <w:r w:rsidR="000B1614" w:rsidRPr="00D80D64">
        <w:rPr>
          <w:noProof/>
        </w:rPr>
        <w:t>by making it clear that the Act already includes that function.</w:t>
      </w:r>
      <w:r w:rsidR="007376D5">
        <w:rPr>
          <w:rStyle w:val="FootnoteReference"/>
        </w:rPr>
        <w:footnoteReference w:id="36"/>
      </w:r>
      <w:r w:rsidR="00FF3CBA" w:rsidRPr="00841F2D">
        <w:rPr>
          <w:noProof/>
          <w:szCs w:val="26"/>
        </w:rPr>
        <w:t xml:space="preserve"> </w:t>
      </w:r>
      <w:r w:rsidR="0043521D">
        <w:rPr>
          <w:szCs w:val="26"/>
        </w:rPr>
        <w:t xml:space="preserve"> </w:t>
      </w:r>
      <w:r w:rsidR="00F651F8" w:rsidRPr="00F651F8">
        <w:rPr>
          <w:noProof/>
        </w:rPr>
        <w:t>How</w:t>
      </w:r>
      <w:r w:rsidR="00F651F8">
        <w:rPr>
          <w:noProof/>
        </w:rPr>
        <w:t xml:space="preserve">ever, </w:t>
      </w:r>
      <w:r w:rsidR="00F651F8" w:rsidRPr="00FC6147">
        <w:rPr>
          <w:noProof/>
        </w:rPr>
        <w:t>t</w:t>
      </w:r>
      <w:r w:rsidR="006C6017" w:rsidRPr="00FC6147">
        <w:rPr>
          <w:noProof/>
        </w:rPr>
        <w:t>his</w:t>
      </w:r>
      <w:r w:rsidR="006C6017" w:rsidRPr="00474013">
        <w:t xml:space="preserve"> does no</w:t>
      </w:r>
      <w:r w:rsidR="00FC6147">
        <w:t xml:space="preserve">t </w:t>
      </w:r>
      <w:r w:rsidR="006C6017" w:rsidRPr="00474013">
        <w:t xml:space="preserve">mean that the Commission presently lacks this power.  On the contrary, this Court </w:t>
      </w:r>
      <w:r w:rsidR="00171309">
        <w:t xml:space="preserve">held </w:t>
      </w:r>
      <w:r w:rsidR="006C6017" w:rsidRPr="00474013">
        <w:t xml:space="preserve">in </w:t>
      </w:r>
      <w:r w:rsidR="006C6017" w:rsidRPr="00474013">
        <w:rPr>
          <w:i/>
        </w:rPr>
        <w:t>NEHAWU</w:t>
      </w:r>
      <w:r w:rsidR="00455BC5">
        <w:rPr>
          <w:i/>
        </w:rPr>
        <w:t xml:space="preserve"> </w:t>
      </w:r>
      <w:r w:rsidR="00455BC5" w:rsidRPr="00F154E7">
        <w:t>that</w:t>
      </w:r>
      <w:r w:rsidR="009161EA" w:rsidRPr="00474013" w:rsidDel="009161EA">
        <w:rPr>
          <w:i/>
        </w:rPr>
        <w:t xml:space="preserve"> </w:t>
      </w:r>
      <w:r w:rsidR="00220D7E" w:rsidRPr="0011154F">
        <w:t>“</w:t>
      </w:r>
      <w:r w:rsidR="00455BC5">
        <w:t>i</w:t>
      </w:r>
      <w:r w:rsidR="006C6017" w:rsidRPr="0011154F">
        <w:t xml:space="preserve">t is permissible to refer to a subsequent </w:t>
      </w:r>
      <w:r w:rsidR="006C6017" w:rsidRPr="0011154F">
        <w:rPr>
          <w:noProof/>
        </w:rPr>
        <w:t>statute</w:t>
      </w:r>
      <w:r w:rsidR="006C6017" w:rsidRPr="0011154F">
        <w:t xml:space="preserve"> if it throws light on the </w:t>
      </w:r>
      <w:r w:rsidR="006C6017" w:rsidRPr="0011154F">
        <w:rPr>
          <w:noProof/>
        </w:rPr>
        <w:t>meaning</w:t>
      </w:r>
      <w:r w:rsidR="006C6017" w:rsidRPr="0011154F">
        <w:t xml:space="preserve"> of a provision in an earlier </w:t>
      </w:r>
      <w:r w:rsidR="006C6017" w:rsidRPr="0011154F">
        <w:rPr>
          <w:noProof/>
        </w:rPr>
        <w:t>statute</w:t>
      </w:r>
      <w:r w:rsidR="00171309" w:rsidRPr="0011154F">
        <w:rPr>
          <w:noProof/>
        </w:rPr>
        <w:t>”</w:t>
      </w:r>
      <w:r w:rsidR="007B5FBF">
        <w:t>.</w:t>
      </w:r>
      <w:r w:rsidR="00B06D2A" w:rsidRPr="00B06D2A">
        <w:rPr>
          <w:rStyle w:val="FootnoteReference"/>
          <w:rFonts w:cs="Arial"/>
          <w:szCs w:val="26"/>
        </w:rPr>
        <w:t xml:space="preserve"> </w:t>
      </w:r>
      <w:r w:rsidR="00B06D2A" w:rsidRPr="00F154E7">
        <w:rPr>
          <w:rStyle w:val="FootnoteReference"/>
          <w:rFonts w:cs="Arial"/>
          <w:szCs w:val="26"/>
        </w:rPr>
        <w:footnoteReference w:id="37"/>
      </w:r>
    </w:p>
    <w:p w:rsidR="006C6017" w:rsidRDefault="006C6017" w:rsidP="007B5FBF">
      <w:pPr>
        <w:pStyle w:val="JUDGMENTCONTINUED"/>
      </w:pPr>
    </w:p>
    <w:p w:rsidR="00EE4D3E" w:rsidRDefault="006970A9" w:rsidP="006970A9">
      <w:pPr>
        <w:pStyle w:val="JUDGMENTNUMBERED"/>
        <w:numPr>
          <w:ilvl w:val="0"/>
          <w:numId w:val="0"/>
        </w:numPr>
        <w:spacing w:after="120"/>
      </w:pPr>
      <w:r>
        <w:rPr>
          <w:color w:val="000000"/>
          <w14:scene3d>
            <w14:camera w14:prst="orthographicFront"/>
            <w14:lightRig w14:rig="threePt" w14:dir="t">
              <w14:rot w14:lat="0" w14:lon="0" w14:rev="0"/>
            </w14:lightRig>
          </w14:scene3d>
        </w:rPr>
        <w:t>[42]</w:t>
      </w:r>
      <w:r>
        <w:rPr>
          <w:color w:val="000000"/>
          <w14:scene3d>
            <w14:camera w14:prst="orthographicFront"/>
            <w14:lightRig w14:rig="threePt" w14:dir="t">
              <w14:rot w14:lat="0" w14:lon="0" w14:rev="0"/>
            </w14:lightRig>
          </w14:scene3d>
        </w:rPr>
        <w:tab/>
      </w:r>
      <w:r w:rsidR="00BD7CB7" w:rsidRPr="00F651F8">
        <w:rPr>
          <w:noProof/>
        </w:rPr>
        <w:t>T</w:t>
      </w:r>
      <w:r w:rsidR="00932613" w:rsidRPr="00F651F8">
        <w:rPr>
          <w:noProof/>
        </w:rPr>
        <w:t>he omission in section 21(1)(c) is</w:t>
      </w:r>
      <w:r w:rsidR="00BD7CB7" w:rsidRPr="00F651F8">
        <w:rPr>
          <w:noProof/>
        </w:rPr>
        <w:t>, in any event,</w:t>
      </w:r>
      <w:r w:rsidR="00932613" w:rsidRPr="00F651F8">
        <w:rPr>
          <w:noProof/>
        </w:rPr>
        <w:t xml:space="preserve"> </w:t>
      </w:r>
      <w:r w:rsidR="00F651F8">
        <w:rPr>
          <w:noProof/>
        </w:rPr>
        <w:t xml:space="preserve">not </w:t>
      </w:r>
      <w:r w:rsidR="00932613" w:rsidRPr="00F651F8">
        <w:rPr>
          <w:noProof/>
        </w:rPr>
        <w:t>material because section</w:t>
      </w:r>
      <w:r w:rsidR="007E5E21">
        <w:rPr>
          <w:noProof/>
        </w:rPr>
        <w:t> </w:t>
      </w:r>
      <w:r w:rsidR="00932613" w:rsidRPr="00F651F8">
        <w:rPr>
          <w:noProof/>
        </w:rPr>
        <w:t>21(2)(c) of the Competition Act provides</w:t>
      </w:r>
      <w:r w:rsidR="00525F25">
        <w:rPr>
          <w:noProof/>
        </w:rPr>
        <w:t xml:space="preserve"> that</w:t>
      </w:r>
      <w:r w:rsidR="00932613" w:rsidRPr="00F651F8">
        <w:rPr>
          <w:noProof/>
        </w:rPr>
        <w:t xml:space="preserve"> </w:t>
      </w:r>
      <w:r w:rsidR="00525F25">
        <w:t>“[</w:t>
      </w:r>
      <w:proofErr w:type="spellStart"/>
      <w:r w:rsidR="00525F25">
        <w:t>i</w:t>
      </w:r>
      <w:proofErr w:type="spellEnd"/>
      <w:r w:rsidR="00525F25">
        <w:t>]</w:t>
      </w:r>
      <w:r w:rsidR="00932613" w:rsidRPr="00525F25">
        <w:t>n addition to the functions listed in subsection (1)</w:t>
      </w:r>
      <w:r w:rsidR="00667BD5" w:rsidRPr="00525F25">
        <w:t>, the Competition Commission may</w:t>
      </w:r>
      <w:r w:rsidR="007864F5">
        <w:t xml:space="preserve"> . . .</w:t>
      </w:r>
      <w:r w:rsidR="00525F25">
        <w:t xml:space="preserve"> </w:t>
      </w:r>
      <w:r w:rsidR="00D46343" w:rsidRPr="00525F25">
        <w:t xml:space="preserve">perform any other function assigned to it, </w:t>
      </w:r>
      <w:r w:rsidR="00D46343" w:rsidRPr="00772A11">
        <w:rPr>
          <w:noProof/>
        </w:rPr>
        <w:t>in terms of</w:t>
      </w:r>
      <w:r w:rsidR="00D46343" w:rsidRPr="00525F25">
        <w:t xml:space="preserve"> </w:t>
      </w:r>
      <w:r w:rsidR="00D46343" w:rsidRPr="00B32555">
        <w:rPr>
          <w:i/>
        </w:rPr>
        <w:t xml:space="preserve">this </w:t>
      </w:r>
      <w:r w:rsidR="00D46343" w:rsidRPr="00525F25">
        <w:t>or any other Act</w:t>
      </w:r>
      <w:r w:rsidR="00525F25">
        <w:t>”</w:t>
      </w:r>
      <w:r w:rsidR="00A52985">
        <w:t>.</w:t>
      </w:r>
      <w:r w:rsidR="00D46343" w:rsidRPr="00525F25">
        <w:t xml:space="preserve"> </w:t>
      </w:r>
      <w:r w:rsidR="00117568" w:rsidRPr="00525F25">
        <w:t xml:space="preserve"> </w:t>
      </w:r>
      <w:r w:rsidR="00036C8F" w:rsidRPr="00FC6147">
        <w:rPr>
          <w:noProof/>
        </w:rPr>
        <w:t>Section 21(2)(c) read with section</w:t>
      </w:r>
      <w:r w:rsidR="007E5E21">
        <w:rPr>
          <w:noProof/>
        </w:rPr>
        <w:t> </w:t>
      </w:r>
      <w:r w:rsidR="00036C8F" w:rsidRPr="00FC6147">
        <w:rPr>
          <w:noProof/>
        </w:rPr>
        <w:t>13B</w:t>
      </w:r>
      <w:r w:rsidR="00E43080" w:rsidRPr="00FC6147">
        <w:rPr>
          <w:noProof/>
        </w:rPr>
        <w:t xml:space="preserve"> put</w:t>
      </w:r>
      <w:r w:rsidR="00036C8F" w:rsidRPr="007C4D9C">
        <w:rPr>
          <w:noProof/>
        </w:rPr>
        <w:t xml:space="preserve"> beyond question that the Commission </w:t>
      </w:r>
      <w:r w:rsidR="00036C8F" w:rsidRPr="00AE6433">
        <w:rPr>
          <w:noProof/>
        </w:rPr>
        <w:t xml:space="preserve">is </w:t>
      </w:r>
      <w:r w:rsidR="00036C8F" w:rsidRPr="00772A11">
        <w:rPr>
          <w:noProof/>
        </w:rPr>
        <w:t>authorised</w:t>
      </w:r>
      <w:r w:rsidR="00036C8F" w:rsidRPr="00AE6433">
        <w:rPr>
          <w:noProof/>
        </w:rPr>
        <w:t xml:space="preserve"> to investigate </w:t>
      </w:r>
      <w:r w:rsidR="002D28CB">
        <w:rPr>
          <w:noProof/>
        </w:rPr>
        <w:t xml:space="preserve">notifiable </w:t>
      </w:r>
      <w:r w:rsidR="00036C8F" w:rsidRPr="00AE6433">
        <w:rPr>
          <w:noProof/>
        </w:rPr>
        <w:t>mergers in C</w:t>
      </w:r>
      <w:r w:rsidR="00E43080" w:rsidRPr="00503616">
        <w:rPr>
          <w:noProof/>
        </w:rPr>
        <w:t>hapter 3 of the Competition Act</w:t>
      </w:r>
      <w:r w:rsidR="0056050D">
        <w:t xml:space="preserve">. </w:t>
      </w:r>
      <w:r w:rsidR="0043521D">
        <w:t xml:space="preserve"> </w:t>
      </w:r>
      <w:r w:rsidR="000C6B15" w:rsidRPr="00A52985">
        <w:t>But d</w:t>
      </w:r>
      <w:r w:rsidR="00EF6B1F" w:rsidRPr="00A52985">
        <w:t>oes the</w:t>
      </w:r>
      <w:r w:rsidR="00474013" w:rsidRPr="00A52985">
        <w:t xml:space="preserve"> power to investigate a</w:t>
      </w:r>
      <w:r w:rsidR="000C6B15" w:rsidRPr="00A52985">
        <w:t xml:space="preserve"> notifiable </w:t>
      </w:r>
      <w:r w:rsidR="00474013" w:rsidRPr="00A52985">
        <w:t xml:space="preserve">merger </w:t>
      </w:r>
      <w:r w:rsidR="00E95644" w:rsidRPr="00A52985">
        <w:t>also extend to</w:t>
      </w:r>
      <w:r w:rsidR="003F662A" w:rsidRPr="00A52985">
        <w:t xml:space="preserve"> whether</w:t>
      </w:r>
      <w:r w:rsidR="00897C27" w:rsidRPr="00A52985">
        <w:t xml:space="preserve"> a transaction</w:t>
      </w:r>
      <w:r w:rsidR="003F662A" w:rsidRPr="00A52985">
        <w:t xml:space="preserve"> constitutes a </w:t>
      </w:r>
      <w:r w:rsidR="00525F25" w:rsidRPr="00A52985">
        <w:t xml:space="preserve">notifiable </w:t>
      </w:r>
      <w:r w:rsidR="003F662A" w:rsidRPr="00A52985">
        <w:t>merger</w:t>
      </w:r>
      <w:r w:rsidR="00CD65A7">
        <w:t xml:space="preserve"> or gives rise to a notifiable merger</w:t>
      </w:r>
      <w:r w:rsidR="00474013" w:rsidRPr="00A52985">
        <w:t>?</w:t>
      </w:r>
      <w:r w:rsidR="00EE4D3E">
        <w:t xml:space="preserve"> </w:t>
      </w:r>
      <w:r w:rsidR="007E5E21">
        <w:t xml:space="preserve"> </w:t>
      </w:r>
      <w:r w:rsidR="00461D83" w:rsidRPr="000C6B15">
        <w:t>Sutherland</w:t>
      </w:r>
      <w:r w:rsidR="00610921">
        <w:t xml:space="preserve"> comments that:</w:t>
      </w:r>
    </w:p>
    <w:p w:rsidR="007B5FBF" w:rsidRPr="007B5FBF" w:rsidRDefault="007B5FBF" w:rsidP="007B5FBF">
      <w:pPr>
        <w:pStyle w:val="QUOTATION"/>
        <w:rPr>
          <w:rStyle w:val="PageNumber"/>
        </w:rPr>
      </w:pPr>
    </w:p>
    <w:p w:rsidR="00CE663A" w:rsidRPr="000C6B15" w:rsidRDefault="007864F5" w:rsidP="00F154E7">
      <w:pPr>
        <w:pStyle w:val="QUOTATION"/>
      </w:pPr>
      <w:r>
        <w:t>“</w:t>
      </w:r>
      <w:r w:rsidR="00C54B48" w:rsidRPr="000C6B15">
        <w:t xml:space="preserve">The competition authority, which would have the power to </w:t>
      </w:r>
      <w:r w:rsidR="00C54B48" w:rsidRPr="005D7058">
        <w:rPr>
          <w:noProof/>
        </w:rPr>
        <w:t>adjudicate</w:t>
      </w:r>
      <w:r w:rsidR="00C54B48" w:rsidRPr="000C6B15">
        <w:t xml:space="preserve"> an acquisition </w:t>
      </w:r>
      <w:r w:rsidR="00C54B48" w:rsidRPr="005D7058">
        <w:rPr>
          <w:noProof/>
        </w:rPr>
        <w:t>in terms of</w:t>
      </w:r>
      <w:r w:rsidR="00C54B48" w:rsidRPr="000C6B15">
        <w:t xml:space="preserve"> section 12A once it </w:t>
      </w:r>
      <w:r w:rsidR="00117568" w:rsidRPr="000C6B15">
        <w:rPr>
          <w:noProof/>
        </w:rPr>
        <w:t>constitutes</w:t>
      </w:r>
      <w:r w:rsidR="00C54B48" w:rsidRPr="000C6B15">
        <w:t xml:space="preserve"> a merger, should always have the </w:t>
      </w:r>
      <w:r w:rsidR="00C54B48" w:rsidRPr="005D7058">
        <w:rPr>
          <w:noProof/>
        </w:rPr>
        <w:t>power</w:t>
      </w:r>
      <w:r w:rsidR="00C54B48" w:rsidRPr="000C6B15">
        <w:t xml:space="preserve"> </w:t>
      </w:r>
      <w:r w:rsidR="00C54B48" w:rsidRPr="005D7058">
        <w:rPr>
          <w:noProof/>
        </w:rPr>
        <w:t>to first determine</w:t>
      </w:r>
      <w:r w:rsidR="00C54B48" w:rsidRPr="000C6B15">
        <w:t xml:space="preserve"> whether it </w:t>
      </w:r>
      <w:r w:rsidR="00C54B48" w:rsidRPr="005D7058">
        <w:rPr>
          <w:noProof/>
        </w:rPr>
        <w:t>constitutes</w:t>
      </w:r>
      <w:r w:rsidR="00C54B48" w:rsidRPr="000C6B15">
        <w:t xml:space="preserve"> </w:t>
      </w:r>
      <w:r w:rsidR="00C54B48" w:rsidRPr="005D7058">
        <w:rPr>
          <w:noProof/>
        </w:rPr>
        <w:t>a merger</w:t>
      </w:r>
      <w:r w:rsidR="00C54B48" w:rsidRPr="000C6B15">
        <w:t>.</w:t>
      </w:r>
      <w:r>
        <w:t>”</w:t>
      </w:r>
      <w:r w:rsidR="00C54B48" w:rsidRPr="000C6B15">
        <w:rPr>
          <w:rStyle w:val="FootnoteReference"/>
          <w:noProof/>
        </w:rPr>
        <w:footnoteReference w:id="38"/>
      </w:r>
    </w:p>
    <w:p w:rsidR="0013777E" w:rsidRPr="0013777E" w:rsidRDefault="0013777E" w:rsidP="007B5FBF">
      <w:pPr>
        <w:pStyle w:val="JUDGMENTCONTINUED"/>
        <w:rPr>
          <w:lang w:eastAsia="en-ZA"/>
        </w:rPr>
      </w:pPr>
    </w:p>
    <w:p w:rsidR="00C53DE4" w:rsidRDefault="006970A9" w:rsidP="006970A9">
      <w:pPr>
        <w:pStyle w:val="JUDGMENTNUMBERED"/>
        <w:numPr>
          <w:ilvl w:val="0"/>
          <w:numId w:val="0"/>
        </w:numPr>
        <w:rPr>
          <w:szCs w:val="26"/>
        </w:rPr>
      </w:pPr>
      <w:r>
        <w:rPr>
          <w:color w:val="000000"/>
          <w:szCs w:val="26"/>
          <w14:scene3d>
            <w14:camera w14:prst="orthographicFront"/>
            <w14:lightRig w14:rig="threePt" w14:dir="t">
              <w14:rot w14:lat="0" w14:lon="0" w14:rev="0"/>
            </w14:lightRig>
          </w14:scene3d>
        </w:rPr>
        <w:t>[43]</w:t>
      </w:r>
      <w:r>
        <w:rPr>
          <w:color w:val="000000"/>
          <w:szCs w:val="26"/>
          <w14:scene3d>
            <w14:camera w14:prst="orthographicFront"/>
            <w14:lightRig w14:rig="threePt" w14:dir="t">
              <w14:rot w14:lat="0" w14:lon="0" w14:rev="0"/>
            </w14:lightRig>
          </w14:scene3d>
        </w:rPr>
        <w:tab/>
      </w:r>
      <w:r w:rsidR="00EE4D3E">
        <w:t>T</w:t>
      </w:r>
      <w:r w:rsidR="000B31DF">
        <w:t xml:space="preserve">he power to investigate whether a transaction constitutes </w:t>
      </w:r>
      <w:r w:rsidR="0086398B">
        <w:t xml:space="preserve">a notifiable </w:t>
      </w:r>
      <w:r w:rsidR="00FC078F">
        <w:t xml:space="preserve">merger </w:t>
      </w:r>
      <w:r w:rsidR="0086398B">
        <w:t>stem</w:t>
      </w:r>
      <w:r w:rsidR="00B12E87">
        <w:t>s</w:t>
      </w:r>
      <w:r w:rsidR="00812A5B" w:rsidRPr="00812A5B">
        <w:t xml:space="preserve"> from</w:t>
      </w:r>
      <w:r w:rsidR="0013777E">
        <w:t xml:space="preserve"> section</w:t>
      </w:r>
      <w:r w:rsidR="0043521D">
        <w:t xml:space="preserve"> </w:t>
      </w:r>
      <w:r w:rsidR="00A22E25">
        <w:t>13</w:t>
      </w:r>
      <w:proofErr w:type="gramStart"/>
      <w:r w:rsidR="00A22E25">
        <w:t>A(</w:t>
      </w:r>
      <w:proofErr w:type="gramEnd"/>
      <w:r w:rsidR="00A22E25">
        <w:t>1)</w:t>
      </w:r>
      <w:r w:rsidR="0013777E">
        <w:t xml:space="preserve"> </w:t>
      </w:r>
      <w:r w:rsidR="00A22E25">
        <w:t xml:space="preserve">and </w:t>
      </w:r>
      <w:r w:rsidR="0013777E">
        <w:t>(3) read with section 59(1)(d)(</w:t>
      </w:r>
      <w:proofErr w:type="spellStart"/>
      <w:r w:rsidR="0013777E">
        <w:t>i</w:t>
      </w:r>
      <w:proofErr w:type="spellEnd"/>
      <w:r w:rsidR="0013777E">
        <w:t>)</w:t>
      </w:r>
      <w:r w:rsidR="00464EF0">
        <w:t xml:space="preserve"> of the Competition</w:t>
      </w:r>
      <w:r w:rsidR="007E5E21">
        <w:t> </w:t>
      </w:r>
      <w:r w:rsidR="00464EF0">
        <w:t>Act.</w:t>
      </w:r>
      <w:r w:rsidR="00812A5B" w:rsidRPr="002F671E">
        <w:t xml:space="preserve"> </w:t>
      </w:r>
      <w:r w:rsidR="005F5BBD">
        <w:t xml:space="preserve"> </w:t>
      </w:r>
      <w:r w:rsidR="00B83754">
        <w:lastRenderedPageBreak/>
        <w:t>Section 13</w:t>
      </w:r>
      <w:proofErr w:type="gramStart"/>
      <w:r w:rsidR="00B83754">
        <w:t>A(</w:t>
      </w:r>
      <w:proofErr w:type="gramEnd"/>
      <w:r w:rsidR="00B83754">
        <w:t xml:space="preserve">1) obliges a party to an intermediate or large </w:t>
      </w:r>
      <w:r w:rsidR="00B83754" w:rsidRPr="00AF31AC">
        <w:rPr>
          <w:noProof/>
        </w:rPr>
        <w:t>merger</w:t>
      </w:r>
      <w:r w:rsidR="00B83754">
        <w:t xml:space="preserve"> to notify the Commission of the merger. </w:t>
      </w:r>
      <w:r w:rsidR="005F5BBD">
        <w:t xml:space="preserve"> </w:t>
      </w:r>
      <w:r w:rsidR="00610921">
        <w:t>Section 13</w:t>
      </w:r>
      <w:proofErr w:type="gramStart"/>
      <w:r w:rsidR="00610921">
        <w:t>A(</w:t>
      </w:r>
      <w:proofErr w:type="gramEnd"/>
      <w:r w:rsidR="00610921">
        <w:t xml:space="preserve">3) </w:t>
      </w:r>
      <w:r w:rsidR="00B83754">
        <w:t xml:space="preserve">prevents prior implementation of a notifiable merger without the approval of the Commission, the Tribunal or the </w:t>
      </w:r>
      <w:r w:rsidR="00F3622B">
        <w:t>Competition Appeal Court</w:t>
      </w:r>
      <w:r w:rsidR="00B83754">
        <w:t xml:space="preserve">. </w:t>
      </w:r>
      <w:r w:rsidR="0043521D">
        <w:t xml:space="preserve"> </w:t>
      </w:r>
      <w:r w:rsidR="00B83754">
        <w:t xml:space="preserve">If the Commission finds that a notifiable merger has </w:t>
      </w:r>
      <w:r w:rsidR="00B83754" w:rsidRPr="00AF31AC">
        <w:rPr>
          <w:noProof/>
        </w:rPr>
        <w:t>been implemented</w:t>
      </w:r>
      <w:r w:rsidR="00B83754">
        <w:t xml:space="preserve"> without </w:t>
      </w:r>
      <w:r w:rsidR="00B83754" w:rsidRPr="00AF31AC">
        <w:rPr>
          <w:noProof/>
        </w:rPr>
        <w:t>approval</w:t>
      </w:r>
      <w:r w:rsidR="00B83754">
        <w:rPr>
          <w:noProof/>
        </w:rPr>
        <w:t>,</w:t>
      </w:r>
      <w:r w:rsidR="00B83754">
        <w:t xml:space="preserve"> it must refer that transaction to the Tribunal for adjudication.  </w:t>
      </w:r>
      <w:r w:rsidR="00B83754" w:rsidRPr="00EF7010">
        <w:rPr>
          <w:szCs w:val="26"/>
        </w:rPr>
        <w:t>Section</w:t>
      </w:r>
      <w:r w:rsidR="007E5E21">
        <w:rPr>
          <w:szCs w:val="26"/>
        </w:rPr>
        <w:t> </w:t>
      </w:r>
      <w:r w:rsidR="00B83754" w:rsidRPr="00EF7010">
        <w:rPr>
          <w:szCs w:val="26"/>
        </w:rPr>
        <w:t>59(1)(d)(</w:t>
      </w:r>
      <w:proofErr w:type="spellStart"/>
      <w:r w:rsidR="00B83754" w:rsidRPr="00EF7010">
        <w:rPr>
          <w:szCs w:val="26"/>
        </w:rPr>
        <w:t>i</w:t>
      </w:r>
      <w:proofErr w:type="spellEnd"/>
      <w:r w:rsidR="00B83754" w:rsidRPr="00EF7010">
        <w:rPr>
          <w:szCs w:val="26"/>
        </w:rPr>
        <w:t>) empowers the Tribunal to impose an administrative penalty on firms that fail to give notice of a merger or implement a notifiable merger without prior approval.</w:t>
      </w:r>
      <w:r w:rsidR="00455BC5">
        <w:rPr>
          <w:szCs w:val="26"/>
        </w:rPr>
        <w:t xml:space="preserve"> </w:t>
      </w:r>
      <w:r w:rsidR="0043521D">
        <w:rPr>
          <w:szCs w:val="26"/>
        </w:rPr>
        <w:t xml:space="preserve"> </w:t>
      </w:r>
      <w:r w:rsidR="00E311FE" w:rsidRPr="002F671E">
        <w:rPr>
          <w:szCs w:val="26"/>
        </w:rPr>
        <w:t xml:space="preserve">The necessary implication of these provisions is that the Commission is </w:t>
      </w:r>
      <w:r w:rsidR="00E311FE" w:rsidRPr="00E2351F">
        <w:rPr>
          <w:noProof/>
          <w:szCs w:val="26"/>
        </w:rPr>
        <w:t>authorised</w:t>
      </w:r>
      <w:r w:rsidR="00E311FE" w:rsidRPr="002F671E">
        <w:rPr>
          <w:szCs w:val="26"/>
        </w:rPr>
        <w:t xml:space="preserve"> to investigate transactions to determine whether they constitute or give rise to a notifiable merger as defined in the Competition </w:t>
      </w:r>
      <w:r w:rsidR="00E311FE" w:rsidRPr="001F2020">
        <w:rPr>
          <w:noProof/>
          <w:szCs w:val="26"/>
        </w:rPr>
        <w:t>Act</w:t>
      </w:r>
      <w:r w:rsidR="00F00013">
        <w:rPr>
          <w:noProof/>
          <w:szCs w:val="26"/>
        </w:rPr>
        <w:t xml:space="preserve">, </w:t>
      </w:r>
      <w:r w:rsidR="0043521D">
        <w:rPr>
          <w:szCs w:val="26"/>
        </w:rPr>
        <w:t>a</w:t>
      </w:r>
      <w:r w:rsidR="00E311FE" w:rsidRPr="002F671E">
        <w:rPr>
          <w:szCs w:val="26"/>
        </w:rPr>
        <w:t>nd whether proceedings should be initiated in the Tribunal to impose appropriate</w:t>
      </w:r>
      <w:r w:rsidR="007F49BC">
        <w:rPr>
          <w:szCs w:val="26"/>
        </w:rPr>
        <w:t xml:space="preserve"> penalties.</w:t>
      </w:r>
    </w:p>
    <w:p w:rsidR="00C53DE4" w:rsidRDefault="00C53DE4" w:rsidP="007B5FBF">
      <w:pPr>
        <w:pStyle w:val="JUDGMENTCONTINUED"/>
      </w:pPr>
    </w:p>
    <w:p w:rsidR="00BF6887"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[44]</w:t>
      </w:r>
      <w:r>
        <w:rPr>
          <w:color w:val="000000"/>
          <w14:scene3d>
            <w14:camera w14:prst="orthographicFront"/>
            <w14:lightRig w14:rig="threePt" w14:dir="t">
              <w14:rot w14:lat="0" w14:lon="0" w14:rev="0"/>
            </w14:lightRig>
          </w14:scene3d>
        </w:rPr>
        <w:tab/>
      </w:r>
      <w:r w:rsidR="001F2020" w:rsidRPr="001F2020">
        <w:rPr>
          <w:noProof/>
        </w:rPr>
        <w:t xml:space="preserve">What </w:t>
      </w:r>
      <w:r w:rsidR="00A77BB7">
        <w:rPr>
          <w:noProof/>
        </w:rPr>
        <w:t xml:space="preserve">would </w:t>
      </w:r>
      <w:r w:rsidR="000F0E52">
        <w:rPr>
          <w:noProof/>
        </w:rPr>
        <w:t xml:space="preserve">it mean to merger regulation if the </w:t>
      </w:r>
      <w:r w:rsidR="00BF6887" w:rsidRPr="001F2020">
        <w:rPr>
          <w:noProof/>
        </w:rPr>
        <w:t>Competition Act</w:t>
      </w:r>
      <w:r w:rsidR="000F0E52">
        <w:rPr>
          <w:noProof/>
        </w:rPr>
        <w:t xml:space="preserve"> </w:t>
      </w:r>
      <w:r w:rsidR="000F0E52" w:rsidRPr="00E2351F">
        <w:rPr>
          <w:noProof/>
        </w:rPr>
        <w:t>is construed</w:t>
      </w:r>
      <w:r w:rsidR="00BF6887" w:rsidRPr="000F0E52">
        <w:rPr>
          <w:noProof/>
        </w:rPr>
        <w:t xml:space="preserve"> </w:t>
      </w:r>
      <w:r w:rsidR="001F2020" w:rsidRPr="000F0E52">
        <w:rPr>
          <w:noProof/>
        </w:rPr>
        <w:t>as</w:t>
      </w:r>
      <w:r w:rsidR="001F2020" w:rsidRPr="001F2020">
        <w:rPr>
          <w:noProof/>
        </w:rPr>
        <w:t xml:space="preserve"> not </w:t>
      </w:r>
      <w:r w:rsidR="00A77BB7">
        <w:rPr>
          <w:noProof/>
        </w:rPr>
        <w:t>per</w:t>
      </w:r>
      <w:r w:rsidR="00A77BB7" w:rsidRPr="00A77BB7">
        <w:rPr>
          <w:noProof/>
        </w:rPr>
        <w:t>mitting</w:t>
      </w:r>
      <w:r w:rsidR="00BF5E98" w:rsidRPr="001F2020">
        <w:rPr>
          <w:noProof/>
        </w:rPr>
        <w:t xml:space="preserve"> the </w:t>
      </w:r>
      <w:r w:rsidR="00BF6887" w:rsidRPr="001F2020">
        <w:rPr>
          <w:noProof/>
        </w:rPr>
        <w:t xml:space="preserve">Commission </w:t>
      </w:r>
      <w:r w:rsidR="00BF5E98" w:rsidRPr="001F2020">
        <w:rPr>
          <w:noProof/>
        </w:rPr>
        <w:t>to investigate transactions that may constitute notifiable mergers</w:t>
      </w:r>
      <w:r w:rsidR="00A77BB7">
        <w:rPr>
          <w:noProof/>
        </w:rPr>
        <w:t>,</w:t>
      </w:r>
      <w:r w:rsidR="00BF5E98" w:rsidRPr="001F2020">
        <w:rPr>
          <w:noProof/>
        </w:rPr>
        <w:t xml:space="preserve"> or are su</w:t>
      </w:r>
      <w:r w:rsidR="00A77BB7">
        <w:rPr>
          <w:noProof/>
        </w:rPr>
        <w:t xml:space="preserve">spected of being so but </w:t>
      </w:r>
      <w:r w:rsidR="00A77BB7" w:rsidRPr="00A77BB7">
        <w:rPr>
          <w:noProof/>
        </w:rPr>
        <w:t>are</w:t>
      </w:r>
      <w:r w:rsidR="00BF5E98" w:rsidRPr="00A77BB7">
        <w:rPr>
          <w:noProof/>
        </w:rPr>
        <w:t xml:space="preserve"> implemented</w:t>
      </w:r>
      <w:r w:rsidR="00BF5E98" w:rsidRPr="001F2020">
        <w:rPr>
          <w:noProof/>
        </w:rPr>
        <w:t xml:space="preserve"> without notification</w:t>
      </w:r>
      <w:r w:rsidR="001F2020" w:rsidRPr="001F2020">
        <w:rPr>
          <w:noProof/>
        </w:rPr>
        <w:t xml:space="preserve">? </w:t>
      </w:r>
      <w:r w:rsidR="0043521D">
        <w:rPr>
          <w:noProof/>
        </w:rPr>
        <w:t xml:space="preserve"> </w:t>
      </w:r>
      <w:r w:rsidR="00B70EB8">
        <w:rPr>
          <w:noProof/>
        </w:rPr>
        <w:t>I</w:t>
      </w:r>
      <w:r w:rsidR="00BF6887" w:rsidRPr="001F2020">
        <w:rPr>
          <w:noProof/>
        </w:rPr>
        <w:t xml:space="preserve">n a </w:t>
      </w:r>
      <w:r w:rsidR="00BF6887" w:rsidRPr="00A77BB7">
        <w:rPr>
          <w:noProof/>
        </w:rPr>
        <w:t>compu</w:t>
      </w:r>
      <w:r w:rsidR="00A77BB7" w:rsidRPr="00A77BB7">
        <w:rPr>
          <w:noProof/>
        </w:rPr>
        <w:t>l</w:t>
      </w:r>
      <w:r w:rsidR="00BF6887" w:rsidRPr="00A77BB7">
        <w:rPr>
          <w:noProof/>
        </w:rPr>
        <w:t>sory</w:t>
      </w:r>
      <w:r w:rsidR="00BF6887" w:rsidRPr="001F2020">
        <w:rPr>
          <w:noProof/>
        </w:rPr>
        <w:t xml:space="preserve"> “self-notification” statutory </w:t>
      </w:r>
      <w:r w:rsidR="00BF5E98" w:rsidRPr="001F2020">
        <w:rPr>
          <w:noProof/>
        </w:rPr>
        <w:t>regime</w:t>
      </w:r>
      <w:r w:rsidR="00BF6887" w:rsidRPr="001F2020">
        <w:rPr>
          <w:noProof/>
        </w:rPr>
        <w:t xml:space="preserve">, where parties to a transaction fail or refuse to notify the Commission of </w:t>
      </w:r>
      <w:r w:rsidR="00EF42E1">
        <w:rPr>
          <w:noProof/>
        </w:rPr>
        <w:t>a merger</w:t>
      </w:r>
      <w:r w:rsidR="00BF6887" w:rsidRPr="001F2020">
        <w:rPr>
          <w:noProof/>
        </w:rPr>
        <w:t xml:space="preserve">, the Commission </w:t>
      </w:r>
      <w:r w:rsidR="00B70EB8">
        <w:rPr>
          <w:noProof/>
        </w:rPr>
        <w:t>would</w:t>
      </w:r>
      <w:r w:rsidR="00A77BB7">
        <w:rPr>
          <w:noProof/>
        </w:rPr>
        <w:t xml:space="preserve"> be powerless</w:t>
      </w:r>
      <w:r w:rsidR="00BF6887" w:rsidRPr="001F2020">
        <w:rPr>
          <w:noProof/>
        </w:rPr>
        <w:t xml:space="preserve"> to </w:t>
      </w:r>
      <w:r w:rsidR="00BF6887" w:rsidRPr="00EF42E1">
        <w:rPr>
          <w:noProof/>
        </w:rPr>
        <w:t>investigate whether</w:t>
      </w:r>
      <w:r w:rsidR="00EF42E1">
        <w:rPr>
          <w:noProof/>
        </w:rPr>
        <w:t xml:space="preserve"> it is</w:t>
      </w:r>
      <w:r w:rsidR="00BF6887" w:rsidRPr="00EF42E1">
        <w:rPr>
          <w:noProof/>
        </w:rPr>
        <w:t xml:space="preserve"> notifiable</w:t>
      </w:r>
      <w:r w:rsidR="007E5E21">
        <w:rPr>
          <w:noProof/>
        </w:rPr>
        <w:t xml:space="preserve"> or not</w:t>
      </w:r>
      <w:r w:rsidR="00EF42E1">
        <w:rPr>
          <w:noProof/>
        </w:rPr>
        <w:t>.</w:t>
      </w:r>
      <w:r w:rsidR="00BF6887" w:rsidRPr="009845FA">
        <w:t xml:space="preserve"> </w:t>
      </w:r>
      <w:r w:rsidR="0043521D" w:rsidRPr="009845FA">
        <w:t xml:space="preserve"> </w:t>
      </w:r>
      <w:r w:rsidR="00A77BB7" w:rsidRPr="001E257B">
        <w:rPr>
          <w:noProof/>
        </w:rPr>
        <w:t>This</w:t>
      </w:r>
      <w:r w:rsidR="00A77BB7" w:rsidRPr="00A77BB7">
        <w:t xml:space="preserve"> </w:t>
      </w:r>
      <w:r w:rsidR="00A77BB7" w:rsidRPr="00A77BB7">
        <w:rPr>
          <w:noProof/>
        </w:rPr>
        <w:t>wo</w:t>
      </w:r>
      <w:r w:rsidR="00A77BB7">
        <w:rPr>
          <w:noProof/>
        </w:rPr>
        <w:t xml:space="preserve">uld effectively </w:t>
      </w:r>
      <w:r w:rsidR="00BF6887" w:rsidRPr="00A77BB7">
        <w:rPr>
          <w:noProof/>
        </w:rPr>
        <w:t>leave</w:t>
      </w:r>
      <w:r w:rsidR="00A77BB7">
        <w:t xml:space="preserve"> the Commission</w:t>
      </w:r>
      <w:r w:rsidR="00BF6887" w:rsidRPr="00E6699D">
        <w:t xml:space="preserve"> at the mercy of parties to a transaction.  If those parties notify the Commission of a merger, then it has the full range of investigative powers.  But if they refuse to </w:t>
      </w:r>
      <w:r w:rsidR="00BF6887" w:rsidRPr="001E257B">
        <w:rPr>
          <w:noProof/>
        </w:rPr>
        <w:t>notify</w:t>
      </w:r>
      <w:r w:rsidR="00BF6887" w:rsidRPr="00E6699D">
        <w:t xml:space="preserve"> the Commission, even</w:t>
      </w:r>
      <w:r w:rsidR="00E2351F">
        <w:t xml:space="preserve"> intentionally</w:t>
      </w:r>
      <w:r w:rsidR="00BF6887" w:rsidRPr="00E6699D">
        <w:t>, the Commission is powerless to investigate.</w:t>
      </w:r>
    </w:p>
    <w:p w:rsidR="00BF6887" w:rsidRPr="005337AB" w:rsidRDefault="00BF6887" w:rsidP="00BF6887">
      <w:pPr>
        <w:pStyle w:val="JUDGMENTCONTINUED"/>
      </w:pPr>
    </w:p>
    <w:p w:rsidR="00BF6887" w:rsidRPr="000F7227" w:rsidRDefault="006970A9" w:rsidP="006970A9">
      <w:pPr>
        <w:pStyle w:val="JUDGMENTNUMBERED"/>
        <w:numPr>
          <w:ilvl w:val="0"/>
          <w:numId w:val="0"/>
        </w:numPr>
        <w:rPr>
          <w:noProof/>
          <w:szCs w:val="26"/>
          <w:u w:val="thick" w:color="28B473"/>
        </w:rPr>
      </w:pPr>
      <w:r w:rsidRPr="000F7227">
        <w:rPr>
          <w:color w:val="000000"/>
          <w:szCs w:val="26"/>
          <w:u w:color="28B473"/>
          <w14:scene3d>
            <w14:camera w14:prst="orthographicFront"/>
            <w14:lightRig w14:rig="threePt" w14:dir="t">
              <w14:rot w14:lat="0" w14:lon="0" w14:rev="0"/>
            </w14:lightRig>
          </w14:scene3d>
        </w:rPr>
        <w:t>[45]</w:t>
      </w:r>
      <w:r w:rsidRPr="000F7227">
        <w:rPr>
          <w:color w:val="000000"/>
          <w:szCs w:val="26"/>
          <w:u w:color="28B473"/>
          <w14:scene3d>
            <w14:camera w14:prst="orthographicFront"/>
            <w14:lightRig w14:rig="threePt" w14:dir="t">
              <w14:rot w14:lat="0" w14:lon="0" w14:rev="0"/>
            </w14:lightRig>
          </w14:scene3d>
        </w:rPr>
        <w:tab/>
      </w:r>
      <w:r w:rsidR="00491DB0" w:rsidRPr="005D11F8">
        <w:rPr>
          <w:noProof/>
          <w:color w:val="000000"/>
          <w:szCs w:val="26"/>
        </w:rPr>
        <w:t>A</w:t>
      </w:r>
      <w:r w:rsidR="00E2351F" w:rsidRPr="005D11F8">
        <w:rPr>
          <w:noProof/>
          <w:color w:val="000000"/>
          <w:szCs w:val="26"/>
        </w:rPr>
        <w:t xml:space="preserve">nother </w:t>
      </w:r>
      <w:r w:rsidR="00677EBD">
        <w:rPr>
          <w:noProof/>
          <w:color w:val="000000"/>
          <w:szCs w:val="26"/>
        </w:rPr>
        <w:t>consequence</w:t>
      </w:r>
      <w:r w:rsidR="00E2351F" w:rsidRPr="005D11F8">
        <w:rPr>
          <w:noProof/>
          <w:color w:val="000000"/>
          <w:szCs w:val="26"/>
        </w:rPr>
        <w:t xml:space="preserve"> </w:t>
      </w:r>
      <w:r w:rsidR="00A22E25">
        <w:rPr>
          <w:noProof/>
          <w:color w:val="000000"/>
          <w:szCs w:val="26"/>
        </w:rPr>
        <w:t>from</w:t>
      </w:r>
      <w:r w:rsidR="00EE4D3E">
        <w:rPr>
          <w:noProof/>
          <w:color w:val="000000"/>
          <w:szCs w:val="26"/>
        </w:rPr>
        <w:t xml:space="preserve"> </w:t>
      </w:r>
      <w:r w:rsidR="004F4587">
        <w:rPr>
          <w:noProof/>
          <w:color w:val="000000"/>
          <w:szCs w:val="26"/>
        </w:rPr>
        <w:t>this</w:t>
      </w:r>
      <w:r w:rsidR="004F4587" w:rsidRPr="005D11F8">
        <w:rPr>
          <w:noProof/>
          <w:color w:val="000000"/>
          <w:szCs w:val="26"/>
        </w:rPr>
        <w:t xml:space="preserve"> </w:t>
      </w:r>
      <w:r w:rsidR="00491DB0" w:rsidRPr="005D11F8">
        <w:rPr>
          <w:noProof/>
          <w:color w:val="000000"/>
          <w:szCs w:val="26"/>
        </w:rPr>
        <w:t>interpretation is that</w:t>
      </w:r>
      <w:r w:rsidR="00491DB0" w:rsidRPr="000F0E52">
        <w:rPr>
          <w:b/>
          <w:noProof/>
          <w:szCs w:val="26"/>
        </w:rPr>
        <w:t xml:space="preserve"> </w:t>
      </w:r>
      <w:r w:rsidR="00BF6887" w:rsidRPr="000F0E52">
        <w:rPr>
          <w:noProof/>
          <w:szCs w:val="26"/>
        </w:rPr>
        <w:t>section 13A</w:t>
      </w:r>
      <w:r w:rsidR="00A22E25">
        <w:rPr>
          <w:noProof/>
          <w:szCs w:val="26"/>
        </w:rPr>
        <w:t>(1)</w:t>
      </w:r>
      <w:r w:rsidR="00A22E25" w:rsidRPr="000F0E52" w:rsidDel="00A22E25">
        <w:rPr>
          <w:noProof/>
          <w:szCs w:val="26"/>
        </w:rPr>
        <w:t xml:space="preserve"> </w:t>
      </w:r>
      <w:r w:rsidR="00A22E25">
        <w:rPr>
          <w:noProof/>
          <w:szCs w:val="26"/>
        </w:rPr>
        <w:t xml:space="preserve">and </w:t>
      </w:r>
      <w:r w:rsidR="003B3755" w:rsidRPr="000F0E52">
        <w:rPr>
          <w:noProof/>
          <w:szCs w:val="26"/>
        </w:rPr>
        <w:t>(3)</w:t>
      </w:r>
      <w:r w:rsidR="000F0E52" w:rsidRPr="000F0E52">
        <w:rPr>
          <w:noProof/>
          <w:szCs w:val="26"/>
        </w:rPr>
        <w:t xml:space="preserve"> </w:t>
      </w:r>
      <w:r w:rsidR="00E2351F">
        <w:rPr>
          <w:noProof/>
          <w:szCs w:val="26"/>
        </w:rPr>
        <w:t>of the Competit</w:t>
      </w:r>
      <w:r w:rsidR="00A7106F">
        <w:rPr>
          <w:noProof/>
          <w:szCs w:val="26"/>
        </w:rPr>
        <w:t>i</w:t>
      </w:r>
      <w:r w:rsidR="00E2351F">
        <w:rPr>
          <w:noProof/>
          <w:szCs w:val="26"/>
        </w:rPr>
        <w:t>on Act</w:t>
      </w:r>
      <w:r w:rsidR="00A22E25">
        <w:rPr>
          <w:noProof/>
          <w:szCs w:val="26"/>
        </w:rPr>
        <w:t>,</w:t>
      </w:r>
      <w:r w:rsidR="00E2351F">
        <w:rPr>
          <w:noProof/>
          <w:szCs w:val="26"/>
        </w:rPr>
        <w:t xml:space="preserve"> </w:t>
      </w:r>
      <w:r w:rsidR="000F0E52" w:rsidRPr="000F0E52">
        <w:rPr>
          <w:noProof/>
          <w:szCs w:val="26"/>
        </w:rPr>
        <w:t>which</w:t>
      </w:r>
      <w:r w:rsidR="00E2351F">
        <w:rPr>
          <w:noProof/>
          <w:szCs w:val="26"/>
        </w:rPr>
        <w:t xml:space="preserve"> </w:t>
      </w:r>
      <w:r w:rsidR="003B3755" w:rsidRPr="001E257B">
        <w:rPr>
          <w:noProof/>
          <w:szCs w:val="26"/>
        </w:rPr>
        <w:t>oblige</w:t>
      </w:r>
      <w:r w:rsidR="00C2602B">
        <w:rPr>
          <w:noProof/>
          <w:szCs w:val="26"/>
        </w:rPr>
        <w:t>s</w:t>
      </w:r>
      <w:r w:rsidR="003B3755" w:rsidRPr="000F0E52">
        <w:rPr>
          <w:noProof/>
          <w:szCs w:val="26"/>
        </w:rPr>
        <w:t xml:space="preserve"> </w:t>
      </w:r>
      <w:r w:rsidR="001356E5" w:rsidRPr="000F0E52">
        <w:rPr>
          <w:noProof/>
          <w:szCs w:val="26"/>
        </w:rPr>
        <w:t>firms to notify mergers</w:t>
      </w:r>
      <w:r w:rsidR="003B3755" w:rsidRPr="000F0E52">
        <w:rPr>
          <w:noProof/>
          <w:szCs w:val="26"/>
        </w:rPr>
        <w:t xml:space="preserve"> and </w:t>
      </w:r>
      <w:r w:rsidR="00BF6887" w:rsidRPr="000F0E52">
        <w:rPr>
          <w:noProof/>
        </w:rPr>
        <w:t>prohibit</w:t>
      </w:r>
      <w:r w:rsidR="00C2602B">
        <w:rPr>
          <w:noProof/>
        </w:rPr>
        <w:t>s</w:t>
      </w:r>
      <w:r w:rsidR="003B3755" w:rsidRPr="000F0E52">
        <w:rPr>
          <w:noProof/>
        </w:rPr>
        <w:t xml:space="preserve"> </w:t>
      </w:r>
      <w:r w:rsidR="00E2351F">
        <w:rPr>
          <w:noProof/>
        </w:rPr>
        <w:t>their implementation</w:t>
      </w:r>
      <w:r w:rsidR="003B3755" w:rsidRPr="000F0E52">
        <w:rPr>
          <w:noProof/>
        </w:rPr>
        <w:t xml:space="preserve"> </w:t>
      </w:r>
      <w:r w:rsidR="00491DB0" w:rsidRPr="000F0E52">
        <w:rPr>
          <w:noProof/>
        </w:rPr>
        <w:t xml:space="preserve">until </w:t>
      </w:r>
      <w:r w:rsidR="000F0E52" w:rsidRPr="00E2351F">
        <w:rPr>
          <w:noProof/>
        </w:rPr>
        <w:t>investigated</w:t>
      </w:r>
      <w:r w:rsidR="000F0E52" w:rsidRPr="000F0E52">
        <w:rPr>
          <w:noProof/>
        </w:rPr>
        <w:t xml:space="preserve"> and </w:t>
      </w:r>
      <w:r w:rsidR="00491DB0" w:rsidRPr="000F0E52">
        <w:rPr>
          <w:noProof/>
        </w:rPr>
        <w:t xml:space="preserve">approved by </w:t>
      </w:r>
      <w:r w:rsidR="00BF6887" w:rsidRPr="000F0E52">
        <w:rPr>
          <w:noProof/>
        </w:rPr>
        <w:t>the Commission</w:t>
      </w:r>
      <w:r w:rsidR="00A22E25">
        <w:rPr>
          <w:noProof/>
        </w:rPr>
        <w:t>,</w:t>
      </w:r>
      <w:r w:rsidR="001356E5" w:rsidRPr="000F0E52">
        <w:rPr>
          <w:noProof/>
        </w:rPr>
        <w:t xml:space="preserve"> would be</w:t>
      </w:r>
      <w:r w:rsidR="001500A5">
        <w:rPr>
          <w:noProof/>
        </w:rPr>
        <w:t xml:space="preserve">come </w:t>
      </w:r>
      <w:r w:rsidR="001356E5" w:rsidRPr="000F0E52">
        <w:rPr>
          <w:noProof/>
        </w:rPr>
        <w:t>superfluous</w:t>
      </w:r>
      <w:r w:rsidR="000F0E52" w:rsidRPr="000F0E52">
        <w:rPr>
          <w:noProof/>
        </w:rPr>
        <w:t>.</w:t>
      </w:r>
      <w:r w:rsidR="00491DB0" w:rsidRPr="000F0E52">
        <w:rPr>
          <w:noProof/>
        </w:rPr>
        <w:t xml:space="preserve"> </w:t>
      </w:r>
      <w:r w:rsidR="00F65BA7">
        <w:rPr>
          <w:noProof/>
        </w:rPr>
        <w:t xml:space="preserve"> </w:t>
      </w:r>
      <w:r w:rsidR="001500A5">
        <w:rPr>
          <w:noProof/>
        </w:rPr>
        <w:t xml:space="preserve">As would </w:t>
      </w:r>
      <w:r w:rsidR="001500A5" w:rsidRPr="000F0E52">
        <w:rPr>
          <w:noProof/>
        </w:rPr>
        <w:t xml:space="preserve">section </w:t>
      </w:r>
      <w:r w:rsidR="001500A5" w:rsidRPr="000F0E52">
        <w:rPr>
          <w:noProof/>
          <w:szCs w:val="26"/>
        </w:rPr>
        <w:t>59(1)(c) which</w:t>
      </w:r>
      <w:r w:rsidR="001500A5" w:rsidRPr="000F0E52">
        <w:rPr>
          <w:noProof/>
        </w:rPr>
        <w:t xml:space="preserve"> imposes </w:t>
      </w:r>
      <w:r w:rsidR="001500A5">
        <w:rPr>
          <w:noProof/>
        </w:rPr>
        <w:t>administrative penalties on firms</w:t>
      </w:r>
      <w:r w:rsidR="001500A5" w:rsidRPr="000F0E52">
        <w:rPr>
          <w:noProof/>
        </w:rPr>
        <w:t xml:space="preserve"> for breaching these obligations</w:t>
      </w:r>
      <w:r w:rsidR="001500A5">
        <w:rPr>
          <w:noProof/>
        </w:rPr>
        <w:t>.</w:t>
      </w:r>
      <w:r w:rsidR="001500A5" w:rsidRPr="000F0E52">
        <w:rPr>
          <w:noProof/>
        </w:rPr>
        <w:t xml:space="preserve"> </w:t>
      </w:r>
      <w:r w:rsidR="00F65BA7">
        <w:rPr>
          <w:noProof/>
        </w:rPr>
        <w:t xml:space="preserve"> </w:t>
      </w:r>
      <w:r w:rsidR="000F0E52" w:rsidRPr="000F0E52">
        <w:rPr>
          <w:noProof/>
        </w:rPr>
        <w:t>Accordingly, if</w:t>
      </w:r>
      <w:r w:rsidR="00491DB0" w:rsidRPr="000F0E52">
        <w:rPr>
          <w:noProof/>
        </w:rPr>
        <w:t xml:space="preserve"> </w:t>
      </w:r>
      <w:r w:rsidR="00491DB0" w:rsidRPr="000F0E52">
        <w:rPr>
          <w:noProof/>
          <w:szCs w:val="26"/>
        </w:rPr>
        <w:t>the Commission</w:t>
      </w:r>
      <w:r w:rsidR="000F0E52" w:rsidRPr="000F0E52">
        <w:rPr>
          <w:noProof/>
          <w:szCs w:val="26"/>
        </w:rPr>
        <w:t>, a specialist regulator,</w:t>
      </w:r>
      <w:r w:rsidR="00491DB0" w:rsidRPr="000F0E52">
        <w:rPr>
          <w:noProof/>
          <w:szCs w:val="26"/>
        </w:rPr>
        <w:t xml:space="preserve"> tasked with enforcing the Competition Act</w:t>
      </w:r>
      <w:r w:rsidR="001E257B">
        <w:rPr>
          <w:noProof/>
          <w:szCs w:val="26"/>
        </w:rPr>
        <w:t>,</w:t>
      </w:r>
      <w:r w:rsidR="00491DB0" w:rsidRPr="000F0E52">
        <w:rPr>
          <w:noProof/>
          <w:szCs w:val="26"/>
        </w:rPr>
        <w:t xml:space="preserve"> were found to be without powers to investigate transactions to </w:t>
      </w:r>
      <w:r w:rsidR="00491DB0" w:rsidRPr="001E257B">
        <w:rPr>
          <w:noProof/>
          <w:szCs w:val="26"/>
        </w:rPr>
        <w:t>enforce</w:t>
      </w:r>
      <w:r w:rsidR="001E257B">
        <w:rPr>
          <w:noProof/>
          <w:szCs w:val="26"/>
        </w:rPr>
        <w:t xml:space="preserve"> these</w:t>
      </w:r>
      <w:r w:rsidR="00E2351F">
        <w:rPr>
          <w:noProof/>
          <w:szCs w:val="26"/>
        </w:rPr>
        <w:t xml:space="preserve"> </w:t>
      </w:r>
      <w:r w:rsidR="000F0E52">
        <w:rPr>
          <w:noProof/>
          <w:szCs w:val="26"/>
        </w:rPr>
        <w:t>provisions, t</w:t>
      </w:r>
      <w:r w:rsidR="00491DB0" w:rsidRPr="000F0E52">
        <w:rPr>
          <w:noProof/>
          <w:szCs w:val="26"/>
        </w:rPr>
        <w:t>his</w:t>
      </w:r>
      <w:r w:rsidR="00491DB0" w:rsidRPr="00491DB0">
        <w:rPr>
          <w:noProof/>
          <w:szCs w:val="26"/>
        </w:rPr>
        <w:t xml:space="preserve"> </w:t>
      </w:r>
      <w:r w:rsidR="001356E5" w:rsidRPr="000F0E52">
        <w:rPr>
          <w:noProof/>
          <w:szCs w:val="26"/>
        </w:rPr>
        <w:t>w</w:t>
      </w:r>
      <w:r w:rsidR="001E257B">
        <w:rPr>
          <w:noProof/>
          <w:szCs w:val="26"/>
        </w:rPr>
        <w:t>ould</w:t>
      </w:r>
      <w:r w:rsidR="003B3755" w:rsidRPr="00491DB0">
        <w:rPr>
          <w:noProof/>
          <w:szCs w:val="26"/>
        </w:rPr>
        <w:t xml:space="preserve"> emasculate</w:t>
      </w:r>
      <w:r w:rsidR="00BF6887" w:rsidRPr="00491DB0">
        <w:rPr>
          <w:noProof/>
          <w:szCs w:val="26"/>
        </w:rPr>
        <w:t xml:space="preserve"> the entire “edifice” of compliance that </w:t>
      </w:r>
      <w:r w:rsidR="00BF6887" w:rsidRPr="001E257B">
        <w:rPr>
          <w:noProof/>
          <w:szCs w:val="26"/>
        </w:rPr>
        <w:t>characterises</w:t>
      </w:r>
      <w:r w:rsidR="00BF6887" w:rsidRPr="00491DB0">
        <w:rPr>
          <w:noProof/>
          <w:szCs w:val="26"/>
        </w:rPr>
        <w:t xml:space="preserve"> the</w:t>
      </w:r>
      <w:r w:rsidR="00E2351F">
        <w:rPr>
          <w:noProof/>
          <w:szCs w:val="26"/>
        </w:rPr>
        <w:t xml:space="preserve"> merger </w:t>
      </w:r>
      <w:r w:rsidR="00BF6887" w:rsidRPr="00491DB0">
        <w:rPr>
          <w:noProof/>
          <w:szCs w:val="26"/>
        </w:rPr>
        <w:t>regime of self-notification</w:t>
      </w:r>
      <w:r w:rsidR="00E2351F">
        <w:rPr>
          <w:noProof/>
          <w:szCs w:val="26"/>
        </w:rPr>
        <w:t xml:space="preserve"> under </w:t>
      </w:r>
      <w:r w:rsidR="00E2351F">
        <w:rPr>
          <w:noProof/>
          <w:szCs w:val="26"/>
        </w:rPr>
        <w:lastRenderedPageBreak/>
        <w:t>the Competition Act</w:t>
      </w:r>
      <w:r w:rsidR="000F0E52">
        <w:rPr>
          <w:noProof/>
          <w:szCs w:val="26"/>
        </w:rPr>
        <w:t>.</w:t>
      </w:r>
      <w:r w:rsidR="00BF6887" w:rsidRPr="00F84984">
        <w:rPr>
          <w:rStyle w:val="FootnoteReference"/>
          <w:szCs w:val="26"/>
        </w:rPr>
        <w:footnoteReference w:id="39"/>
      </w:r>
      <w:r w:rsidR="00BF6887">
        <w:rPr>
          <w:szCs w:val="26"/>
        </w:rPr>
        <w:t xml:space="preserve"> </w:t>
      </w:r>
      <w:r w:rsidR="00F65BA7">
        <w:rPr>
          <w:szCs w:val="26"/>
        </w:rPr>
        <w:t xml:space="preserve"> </w:t>
      </w:r>
      <w:r w:rsidR="00BF6887">
        <w:rPr>
          <w:szCs w:val="26"/>
        </w:rPr>
        <w:t>That</w:t>
      </w:r>
      <w:r w:rsidR="001500A5">
        <w:rPr>
          <w:szCs w:val="26"/>
        </w:rPr>
        <w:t xml:space="preserve"> </w:t>
      </w:r>
      <w:r w:rsidR="00BF6887">
        <w:rPr>
          <w:szCs w:val="26"/>
        </w:rPr>
        <w:t>would undermine the purpose of mer</w:t>
      </w:r>
      <w:r w:rsidR="00BF6887" w:rsidRPr="000F7227">
        <w:rPr>
          <w:szCs w:val="26"/>
        </w:rPr>
        <w:t>ger regulation</w:t>
      </w:r>
      <w:r w:rsidR="00BF6887">
        <w:rPr>
          <w:szCs w:val="26"/>
        </w:rPr>
        <w:t xml:space="preserve"> </w:t>
      </w:r>
      <w:r w:rsidR="00105389">
        <w:rPr>
          <w:szCs w:val="26"/>
        </w:rPr>
        <w:t xml:space="preserve">which </w:t>
      </w:r>
      <w:r w:rsidR="00BF6887">
        <w:rPr>
          <w:szCs w:val="26"/>
        </w:rPr>
        <w:t xml:space="preserve">the </w:t>
      </w:r>
      <w:r w:rsidR="00F3622B">
        <w:t>Competition Appeal Court</w:t>
      </w:r>
      <w:r w:rsidR="00BF6887">
        <w:rPr>
          <w:szCs w:val="26"/>
        </w:rPr>
        <w:t xml:space="preserve"> in </w:t>
      </w:r>
      <w:r w:rsidR="00BF6887" w:rsidRPr="00897DBD">
        <w:rPr>
          <w:i/>
          <w:szCs w:val="26"/>
        </w:rPr>
        <w:t>Bulmer</w:t>
      </w:r>
      <w:r w:rsidR="00105389">
        <w:rPr>
          <w:i/>
          <w:szCs w:val="26"/>
        </w:rPr>
        <w:t xml:space="preserve"> </w:t>
      </w:r>
      <w:r w:rsidR="00105389">
        <w:rPr>
          <w:szCs w:val="26"/>
        </w:rPr>
        <w:t>articulated as follows</w:t>
      </w:r>
      <w:r w:rsidR="00BF6887">
        <w:rPr>
          <w:szCs w:val="26"/>
        </w:rPr>
        <w:t>:</w:t>
      </w:r>
    </w:p>
    <w:p w:rsidR="00BF6887" w:rsidRDefault="00BF6887" w:rsidP="00BF6887">
      <w:pPr>
        <w:pStyle w:val="QUOTATION"/>
      </w:pPr>
    </w:p>
    <w:p w:rsidR="007F49BC" w:rsidRDefault="00BF6887" w:rsidP="00BF6887">
      <w:pPr>
        <w:pStyle w:val="QUOTATION"/>
      </w:pPr>
      <w:r>
        <w:t xml:space="preserve">“The applicable sections of the Act thus provide a clear indication of the purpose of Chapter 3, namely that </w:t>
      </w:r>
      <w:r w:rsidRPr="001E257B">
        <w:rPr>
          <w:noProof/>
        </w:rPr>
        <w:t xml:space="preserve">transactions which are likely </w:t>
      </w:r>
      <w:r w:rsidR="007E5E21">
        <w:rPr>
          <w:noProof/>
        </w:rPr>
        <w:t>[</w:t>
      </w:r>
      <w:r w:rsidRPr="001E257B">
        <w:rPr>
          <w:noProof/>
        </w:rPr>
        <w:t>to</w:t>
      </w:r>
      <w:r w:rsidR="007E5E21">
        <w:rPr>
          <w:noProof/>
        </w:rPr>
        <w:t>]</w:t>
      </w:r>
      <w:r w:rsidRPr="001E257B">
        <w:rPr>
          <w:noProof/>
        </w:rPr>
        <w:t xml:space="preserve"> substantially lessen competition should be carefull</w:t>
      </w:r>
      <w:r w:rsidR="001E257B" w:rsidRPr="001E257B">
        <w:rPr>
          <w:noProof/>
        </w:rPr>
        <w:t>y</w:t>
      </w:r>
      <w:r w:rsidRPr="001E257B">
        <w:rPr>
          <w:noProof/>
        </w:rPr>
        <w:t xml:space="preserve"> examined by the competition authorities</w:t>
      </w:r>
      <w:r w:rsidR="007864F5">
        <w:rPr>
          <w:noProof/>
        </w:rPr>
        <w:t xml:space="preserve"> . . .  </w:t>
      </w:r>
      <w:r>
        <w:t xml:space="preserve">It follows that the </w:t>
      </w:r>
      <w:r w:rsidR="007864F5">
        <w:t xml:space="preserve">[Competition] </w:t>
      </w:r>
      <w:r>
        <w:t xml:space="preserve">Act was designed to ensure that the </w:t>
      </w:r>
      <w:r w:rsidRPr="001E257B">
        <w:rPr>
          <w:noProof/>
        </w:rPr>
        <w:t>competit</w:t>
      </w:r>
      <w:r w:rsidR="001E257B">
        <w:rPr>
          <w:noProof/>
        </w:rPr>
        <w:t>i</w:t>
      </w:r>
      <w:r w:rsidRPr="001E257B">
        <w:rPr>
          <w:noProof/>
        </w:rPr>
        <w:t>on</w:t>
      </w:r>
      <w:r>
        <w:t xml:space="preserve"> </w:t>
      </w:r>
      <w:r w:rsidRPr="001E257B">
        <w:rPr>
          <w:noProof/>
        </w:rPr>
        <w:t>authorit</w:t>
      </w:r>
      <w:r w:rsidR="001E257B">
        <w:rPr>
          <w:noProof/>
        </w:rPr>
        <w:t>i</w:t>
      </w:r>
      <w:r w:rsidRPr="001E257B">
        <w:rPr>
          <w:noProof/>
        </w:rPr>
        <w:t>es</w:t>
      </w:r>
      <w:r>
        <w:t xml:space="preserve"> </w:t>
      </w:r>
      <w:r w:rsidRPr="001E257B">
        <w:rPr>
          <w:noProof/>
        </w:rPr>
        <w:t>examine</w:t>
      </w:r>
      <w:r>
        <w:t xml:space="preserve"> the </w:t>
      </w:r>
      <w:r w:rsidRPr="001E257B">
        <w:rPr>
          <w:noProof/>
        </w:rPr>
        <w:t>widest</w:t>
      </w:r>
      <w:r>
        <w:t xml:space="preserve"> possible range of </w:t>
      </w:r>
      <w:r w:rsidR="007E5E21">
        <w:t xml:space="preserve">potential </w:t>
      </w:r>
      <w:r>
        <w:t xml:space="preserve">merger transactions to </w:t>
      </w:r>
      <w:r w:rsidRPr="001E257B">
        <w:rPr>
          <w:noProof/>
        </w:rPr>
        <w:t>examine</w:t>
      </w:r>
      <w:r>
        <w:t xml:space="preserve"> whether competition was impaired and this purpose provides a strong pointer in </w:t>
      </w:r>
      <w:r w:rsidRPr="001E257B">
        <w:rPr>
          <w:noProof/>
        </w:rPr>
        <w:t>favour</w:t>
      </w:r>
      <w:r>
        <w:t xml:space="preserve"> of a broad interpretation </w:t>
      </w:r>
      <w:r w:rsidR="007E5E21">
        <w:t xml:space="preserve">to [section] 12 </w:t>
      </w:r>
      <w:r>
        <w:t>of the Act</w:t>
      </w:r>
      <w:r w:rsidR="002758E5">
        <w:t>.”</w:t>
      </w:r>
      <w:bookmarkStart w:id="8" w:name="_Ref525655503"/>
      <w:r>
        <w:rPr>
          <w:rStyle w:val="FootnoteReference"/>
          <w:szCs w:val="26"/>
        </w:rPr>
        <w:footnoteReference w:id="40"/>
      </w:r>
      <w:bookmarkEnd w:id="8"/>
    </w:p>
    <w:p w:rsidR="00BF6887" w:rsidRPr="007307FB" w:rsidRDefault="00BF6887" w:rsidP="007B5FBF">
      <w:pPr>
        <w:pStyle w:val="JUDGMENTCONTINUED"/>
      </w:pPr>
    </w:p>
    <w:p w:rsidR="001B46A7" w:rsidRPr="007F49BC" w:rsidRDefault="007F49BC" w:rsidP="007B5FBF">
      <w:pPr>
        <w:pStyle w:val="HEADING"/>
        <w:ind w:firstLine="720"/>
      </w:pPr>
      <w:r w:rsidRPr="007F49BC">
        <w:t xml:space="preserve">Part B, Chapter 5 </w:t>
      </w:r>
      <w:r w:rsidR="00677EBD">
        <w:t>p</w:t>
      </w:r>
      <w:r w:rsidRPr="007F49BC">
        <w:t>owers</w:t>
      </w:r>
    </w:p>
    <w:p w:rsidR="00E03F16" w:rsidRPr="00E03F16" w:rsidRDefault="006970A9" w:rsidP="006970A9">
      <w:pPr>
        <w:pStyle w:val="JUDGMENTNUMBERED"/>
        <w:numPr>
          <w:ilvl w:val="0"/>
          <w:numId w:val="0"/>
        </w:numPr>
        <w:rPr>
          <w:i/>
          <w:szCs w:val="26"/>
        </w:rPr>
      </w:pPr>
      <w:r w:rsidRPr="00E03F16">
        <w:rPr>
          <w:color w:val="000000"/>
          <w:szCs w:val="26"/>
          <w14:scene3d>
            <w14:camera w14:prst="orthographicFront"/>
            <w14:lightRig w14:rig="threePt" w14:dir="t">
              <w14:rot w14:lat="0" w14:lon="0" w14:rev="0"/>
            </w14:lightRig>
          </w14:scene3d>
        </w:rPr>
        <w:t>[46]</w:t>
      </w:r>
      <w:r w:rsidRPr="00E03F16">
        <w:rPr>
          <w:color w:val="000000"/>
          <w:szCs w:val="26"/>
          <w14:scene3d>
            <w14:camera w14:prst="orthographicFront"/>
            <w14:lightRig w14:rig="threePt" w14:dir="t">
              <w14:rot w14:lat="0" w14:lon="0" w14:rev="0"/>
            </w14:lightRig>
          </w14:scene3d>
        </w:rPr>
        <w:tab/>
      </w:r>
      <w:r w:rsidR="001B46A7">
        <w:t>Chapter 5 of the Competition Act</w:t>
      </w:r>
      <w:r w:rsidR="000D0540">
        <w:t>,</w:t>
      </w:r>
      <w:r w:rsidR="001B46A7">
        <w:t xml:space="preserve"> entitled </w:t>
      </w:r>
      <w:r w:rsidR="001B46A7" w:rsidRPr="000D0540">
        <w:t>“</w:t>
      </w:r>
      <w:r w:rsidR="001B46A7" w:rsidRPr="00B32555">
        <w:t xml:space="preserve">Investigation and </w:t>
      </w:r>
      <w:r w:rsidR="000D0540">
        <w:t>A</w:t>
      </w:r>
      <w:r w:rsidR="001B46A7" w:rsidRPr="00B32555">
        <w:t xml:space="preserve">djudication </w:t>
      </w:r>
      <w:r w:rsidR="000D0540">
        <w:t>P</w:t>
      </w:r>
      <w:r w:rsidR="001B46A7" w:rsidRPr="00B32555">
        <w:t>rocedures</w:t>
      </w:r>
      <w:r w:rsidR="001B46A7" w:rsidRPr="000D0540">
        <w:t>”</w:t>
      </w:r>
      <w:r w:rsidR="000D0540">
        <w:t>,</w:t>
      </w:r>
      <w:r w:rsidR="001B46A7">
        <w:t xml:space="preserve"> confers various</w:t>
      </w:r>
      <w:r w:rsidR="00DA78F2">
        <w:t xml:space="preserve"> </w:t>
      </w:r>
      <w:r w:rsidR="001B46A7">
        <w:t xml:space="preserve">powers on the Commission, including coercive powers </w:t>
      </w:r>
      <w:r w:rsidR="001B46A7" w:rsidRPr="001E257B">
        <w:rPr>
          <w:noProof/>
        </w:rPr>
        <w:t>to</w:t>
      </w:r>
      <w:r w:rsidR="001B46A7">
        <w:t xml:space="preserve"> enable it to exercise its functions under the </w:t>
      </w:r>
      <w:r w:rsidR="000D0540">
        <w:t xml:space="preserve">Competition </w:t>
      </w:r>
      <w:r w:rsidR="001B46A7">
        <w:t>Act.</w:t>
      </w:r>
      <w:r w:rsidR="00955B7E">
        <w:t xml:space="preserve"> </w:t>
      </w:r>
      <w:r w:rsidR="00F4108A">
        <w:t xml:space="preserve"> </w:t>
      </w:r>
      <w:r w:rsidR="00955B7E">
        <w:t>Part B of Chapter 5 confers</w:t>
      </w:r>
      <w:r w:rsidR="00E03F16">
        <w:t xml:space="preserve"> powers of search and entry and summons on the Commission.</w:t>
      </w:r>
    </w:p>
    <w:p w:rsidR="00826849" w:rsidRDefault="00826849" w:rsidP="00B32555">
      <w:pPr>
        <w:pStyle w:val="JUDGMENTNUMBERED"/>
        <w:numPr>
          <w:ilvl w:val="0"/>
          <w:numId w:val="0"/>
        </w:numPr>
      </w:pPr>
    </w:p>
    <w:p w:rsidR="00D837E2"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[47]</w:t>
      </w:r>
      <w:r>
        <w:rPr>
          <w:color w:val="000000"/>
          <w14:scene3d>
            <w14:camera w14:prst="orthographicFront"/>
            <w14:lightRig w14:rig="threePt" w14:dir="t">
              <w14:rot w14:lat="0" w14:lon="0" w14:rev="0"/>
            </w14:lightRig>
          </w14:scene3d>
        </w:rPr>
        <w:tab/>
      </w:r>
      <w:r w:rsidR="00786581">
        <w:t>The</w:t>
      </w:r>
      <w:r w:rsidR="00D837E2">
        <w:t>se investigative powers</w:t>
      </w:r>
      <w:r w:rsidR="00786581">
        <w:t xml:space="preserve"> </w:t>
      </w:r>
      <w:r w:rsidR="00A53A20">
        <w:t xml:space="preserve">apply to </w:t>
      </w:r>
      <w:r w:rsidR="00786581">
        <w:t xml:space="preserve">any </w:t>
      </w:r>
      <w:r w:rsidR="00A53A20" w:rsidRPr="00D011E6">
        <w:rPr>
          <w:noProof/>
        </w:rPr>
        <w:t>investigation</w:t>
      </w:r>
      <w:r w:rsidR="005C7C6C">
        <w:t xml:space="preserve"> that the Commission may </w:t>
      </w:r>
      <w:r w:rsidR="00A53A20">
        <w:t xml:space="preserve">conduct </w:t>
      </w:r>
      <w:r w:rsidR="00A53A20" w:rsidRPr="00D011E6">
        <w:rPr>
          <w:noProof/>
        </w:rPr>
        <w:t>in terms of</w:t>
      </w:r>
      <w:r w:rsidR="00A53A20">
        <w:t xml:space="preserve"> the</w:t>
      </w:r>
      <w:r w:rsidR="00E03F16">
        <w:t xml:space="preserve"> </w:t>
      </w:r>
      <w:r w:rsidR="004A01F3">
        <w:t>Competition Act.</w:t>
      </w:r>
      <w:r w:rsidR="006820CD" w:rsidRPr="00C54448">
        <w:rPr>
          <w:sz w:val="24"/>
          <w:szCs w:val="24"/>
          <w:lang w:eastAsia="en-ZA"/>
        </w:rPr>
        <w:t xml:space="preserve"> </w:t>
      </w:r>
      <w:r w:rsidR="005F5BBD">
        <w:rPr>
          <w:sz w:val="24"/>
          <w:szCs w:val="24"/>
          <w:lang w:eastAsia="en-ZA"/>
        </w:rPr>
        <w:t xml:space="preserve"> </w:t>
      </w:r>
      <w:r w:rsidR="001E257B" w:rsidRPr="002F7DAE">
        <w:t>For instance</w:t>
      </w:r>
      <w:r w:rsidR="001E257B" w:rsidRPr="001E257B">
        <w:rPr>
          <w:noProof/>
          <w:sz w:val="24"/>
          <w:szCs w:val="24"/>
          <w:lang w:eastAsia="en-ZA"/>
        </w:rPr>
        <w:t xml:space="preserve">, </w:t>
      </w:r>
      <w:r w:rsidR="001E257B" w:rsidRPr="001E257B">
        <w:rPr>
          <w:noProof/>
        </w:rPr>
        <w:t>s</w:t>
      </w:r>
      <w:r w:rsidR="00A53A20" w:rsidRPr="001E257B">
        <w:rPr>
          <w:noProof/>
        </w:rPr>
        <w:t>ectio</w:t>
      </w:r>
      <w:r w:rsidR="00786581" w:rsidRPr="001E257B">
        <w:rPr>
          <w:noProof/>
        </w:rPr>
        <w:t>n 46(1)</w:t>
      </w:r>
      <w:r w:rsidR="000D0540">
        <w:rPr>
          <w:noProof/>
        </w:rPr>
        <w:t>(b)</w:t>
      </w:r>
      <w:r w:rsidR="00F71347" w:rsidRPr="001E257B">
        <w:rPr>
          <w:noProof/>
        </w:rPr>
        <w:t xml:space="preserve"> provides</w:t>
      </w:r>
      <w:r w:rsidR="00A53A20" w:rsidRPr="001E257B">
        <w:rPr>
          <w:noProof/>
        </w:rPr>
        <w:t xml:space="preserve"> for a judge of the High Court, regional magistrate or a magistrate to issue a warrant to enter and search any premises </w:t>
      </w:r>
      <w:r w:rsidR="00F71347" w:rsidRPr="001E257B">
        <w:rPr>
          <w:noProof/>
        </w:rPr>
        <w:t xml:space="preserve">when there are grounds to believe that “anything connected with an investigation in terms of the Act is </w:t>
      </w:r>
      <w:r w:rsidR="001E257B" w:rsidRPr="001E257B">
        <w:rPr>
          <w:noProof/>
        </w:rPr>
        <w:t>in</w:t>
      </w:r>
      <w:r w:rsidR="00220D7E">
        <w:rPr>
          <w:noProof/>
        </w:rPr>
        <w:t xml:space="preserve"> the</w:t>
      </w:r>
      <w:r w:rsidR="001E257B">
        <w:rPr>
          <w:noProof/>
        </w:rPr>
        <w:t xml:space="preserve"> possession, </w:t>
      </w:r>
      <w:r w:rsidR="00F71347" w:rsidRPr="001E257B">
        <w:rPr>
          <w:noProof/>
        </w:rPr>
        <w:t>or under the cont</w:t>
      </w:r>
      <w:r w:rsidR="001E257B">
        <w:rPr>
          <w:noProof/>
        </w:rPr>
        <w:t>rol of</w:t>
      </w:r>
      <w:r w:rsidR="00F71347" w:rsidRPr="001E257B">
        <w:rPr>
          <w:noProof/>
        </w:rPr>
        <w:t xml:space="preserve"> a person who is on or in those</w:t>
      </w:r>
      <w:r w:rsidR="00A43E3B" w:rsidRPr="001E257B">
        <w:rPr>
          <w:noProof/>
        </w:rPr>
        <w:t xml:space="preserve"> premises</w:t>
      </w:r>
      <w:r w:rsidR="00DB5365">
        <w:rPr>
          <w:noProof/>
        </w:rPr>
        <w:t>”</w:t>
      </w:r>
      <w:r w:rsidR="00A43E3B" w:rsidRPr="001E257B">
        <w:rPr>
          <w:noProof/>
        </w:rPr>
        <w:t>.</w:t>
      </w:r>
      <w:r w:rsidR="00A43E3B">
        <w:t xml:space="preserve"> </w:t>
      </w:r>
      <w:r w:rsidR="005F5BBD">
        <w:t xml:space="preserve"> </w:t>
      </w:r>
      <w:r w:rsidR="00A43E3B">
        <w:t>Section 49</w:t>
      </w:r>
      <w:r w:rsidR="005E78DE">
        <w:t>A also</w:t>
      </w:r>
      <w:r w:rsidR="00C54448">
        <w:t xml:space="preserve"> provides:</w:t>
      </w:r>
    </w:p>
    <w:p w:rsidR="007B5FBF" w:rsidRPr="007B5FBF" w:rsidRDefault="007B5FBF" w:rsidP="007B5FBF">
      <w:pPr>
        <w:pStyle w:val="QUOTATION"/>
      </w:pPr>
    </w:p>
    <w:p w:rsidR="0049219D" w:rsidRDefault="00220D7E" w:rsidP="002F7DAE">
      <w:pPr>
        <w:pStyle w:val="QUOTATION"/>
        <w:ind w:left="1440" w:hanging="720"/>
        <w:rPr>
          <w:lang w:eastAsia="en-ZA"/>
        </w:rPr>
      </w:pPr>
      <w:r>
        <w:rPr>
          <w:lang w:eastAsia="en-ZA"/>
        </w:rPr>
        <w:t>“</w:t>
      </w:r>
      <w:r w:rsidR="00CB3619">
        <w:rPr>
          <w:lang w:eastAsia="en-ZA"/>
        </w:rPr>
        <w:t>(1)</w:t>
      </w:r>
      <w:r>
        <w:rPr>
          <w:lang w:eastAsia="en-ZA"/>
        </w:rPr>
        <w:tab/>
      </w:r>
      <w:r w:rsidR="00394CA5" w:rsidRPr="00786581">
        <w:rPr>
          <w:i/>
          <w:lang w:eastAsia="en-ZA"/>
        </w:rPr>
        <w:t>At any time during an investigation in terms of this Act</w:t>
      </w:r>
      <w:r w:rsidR="00394CA5">
        <w:rPr>
          <w:lang w:eastAsia="en-ZA"/>
        </w:rPr>
        <w:t xml:space="preserve">, the Commissioner </w:t>
      </w:r>
      <w:r w:rsidR="005E78DE">
        <w:rPr>
          <w:lang w:eastAsia="en-ZA"/>
        </w:rPr>
        <w:t>may summon</w:t>
      </w:r>
      <w:r w:rsidR="00394CA5">
        <w:rPr>
          <w:lang w:eastAsia="en-ZA"/>
        </w:rPr>
        <w:t xml:space="preserve"> any person who is believed to be able to furnish any information on the subject of the investigation, or to have possession or control of any book, document or </w:t>
      </w:r>
      <w:r w:rsidR="00394CA5" w:rsidRPr="00D011E6">
        <w:rPr>
          <w:noProof/>
          <w:lang w:eastAsia="en-ZA"/>
        </w:rPr>
        <w:t>other ob</w:t>
      </w:r>
      <w:r w:rsidR="0049219D" w:rsidRPr="00D011E6">
        <w:rPr>
          <w:noProof/>
          <w:lang w:eastAsia="en-ZA"/>
        </w:rPr>
        <w:t>ject</w:t>
      </w:r>
      <w:r w:rsidR="0049219D">
        <w:rPr>
          <w:lang w:eastAsia="en-ZA"/>
        </w:rPr>
        <w:t xml:space="preserve"> that has a bearing on that subject</w:t>
      </w:r>
      <w:r>
        <w:rPr>
          <w:lang w:eastAsia="en-ZA"/>
        </w:rPr>
        <w:t>—</w:t>
      </w:r>
    </w:p>
    <w:p w:rsidR="0049219D" w:rsidRDefault="0049219D" w:rsidP="002F7DAE">
      <w:pPr>
        <w:pStyle w:val="QUOTATION"/>
        <w:ind w:left="2160" w:hanging="720"/>
        <w:rPr>
          <w:lang w:eastAsia="en-ZA"/>
        </w:rPr>
      </w:pPr>
      <w:r>
        <w:rPr>
          <w:lang w:eastAsia="en-ZA"/>
        </w:rPr>
        <w:lastRenderedPageBreak/>
        <w:t>(a)</w:t>
      </w:r>
      <w:r w:rsidR="00220D7E">
        <w:rPr>
          <w:lang w:eastAsia="en-ZA"/>
        </w:rPr>
        <w:tab/>
      </w:r>
      <w:r>
        <w:rPr>
          <w:lang w:eastAsia="en-ZA"/>
        </w:rPr>
        <w:t xml:space="preserve">to appear before the Commissioner or a person </w:t>
      </w:r>
      <w:r w:rsidRPr="00D011E6">
        <w:rPr>
          <w:noProof/>
          <w:lang w:eastAsia="en-ZA"/>
        </w:rPr>
        <w:t>authorised</w:t>
      </w:r>
      <w:r>
        <w:rPr>
          <w:lang w:eastAsia="en-ZA"/>
        </w:rPr>
        <w:t xml:space="preserve"> by the </w:t>
      </w:r>
      <w:r w:rsidR="005E78DE">
        <w:rPr>
          <w:lang w:eastAsia="en-ZA"/>
        </w:rPr>
        <w:t>Commissioner,</w:t>
      </w:r>
      <w:r>
        <w:rPr>
          <w:lang w:eastAsia="en-ZA"/>
        </w:rPr>
        <w:t xml:space="preserve"> to </w:t>
      </w:r>
      <w:r w:rsidRPr="00D011E6">
        <w:rPr>
          <w:noProof/>
          <w:lang w:eastAsia="en-ZA"/>
        </w:rPr>
        <w:t>be interrogated</w:t>
      </w:r>
      <w:r>
        <w:rPr>
          <w:lang w:eastAsia="en-ZA"/>
        </w:rPr>
        <w:t xml:space="preserve"> at a time and place specified in the summons; or</w:t>
      </w:r>
    </w:p>
    <w:p w:rsidR="00DB5365" w:rsidRPr="00B32555" w:rsidRDefault="0049219D" w:rsidP="00B32555">
      <w:pPr>
        <w:pStyle w:val="QUOTATION"/>
        <w:spacing w:after="120"/>
        <w:ind w:left="2160" w:hanging="720"/>
        <w:rPr>
          <w:lang w:eastAsia="en-ZA"/>
        </w:rPr>
      </w:pPr>
      <w:r>
        <w:rPr>
          <w:lang w:eastAsia="en-ZA"/>
        </w:rPr>
        <w:t>(b)</w:t>
      </w:r>
      <w:r w:rsidR="00220D7E">
        <w:rPr>
          <w:lang w:eastAsia="en-ZA"/>
        </w:rPr>
        <w:tab/>
      </w:r>
      <w:r>
        <w:rPr>
          <w:lang w:eastAsia="en-ZA"/>
        </w:rPr>
        <w:t xml:space="preserve">at a time and place specified in the summons, to deliver or produce to the Commissioner, or a person </w:t>
      </w:r>
      <w:r w:rsidRPr="00D011E6">
        <w:rPr>
          <w:noProof/>
          <w:lang w:eastAsia="en-ZA"/>
        </w:rPr>
        <w:t>authorised</w:t>
      </w:r>
      <w:r>
        <w:rPr>
          <w:lang w:eastAsia="en-ZA"/>
        </w:rPr>
        <w:t xml:space="preserve"> by the Commissioner, any book, document or other object specified in the summons.</w:t>
      </w:r>
    </w:p>
    <w:p w:rsidR="00DB5365" w:rsidRPr="00B32555" w:rsidRDefault="0049219D" w:rsidP="00B32555">
      <w:pPr>
        <w:pStyle w:val="QUOTATION"/>
        <w:spacing w:after="120"/>
        <w:ind w:left="1440" w:hanging="720"/>
        <w:rPr>
          <w:lang w:eastAsia="en-ZA"/>
        </w:rPr>
      </w:pPr>
      <w:r>
        <w:rPr>
          <w:lang w:eastAsia="en-ZA"/>
        </w:rPr>
        <w:t>(2)</w:t>
      </w:r>
      <w:r w:rsidR="00220D7E">
        <w:rPr>
          <w:lang w:eastAsia="en-ZA"/>
        </w:rPr>
        <w:tab/>
      </w:r>
      <w:r w:rsidR="00E30B95">
        <w:rPr>
          <w:lang w:eastAsia="en-ZA"/>
        </w:rPr>
        <w:t xml:space="preserve">A person questioned by an inspector conducting an investigation, or by the Commissioner or </w:t>
      </w:r>
      <w:r w:rsidR="00E30B95" w:rsidRPr="00D011E6">
        <w:rPr>
          <w:noProof/>
          <w:lang w:eastAsia="en-ZA"/>
        </w:rPr>
        <w:t>other person</w:t>
      </w:r>
      <w:r w:rsidR="00E30B95">
        <w:rPr>
          <w:lang w:eastAsia="en-ZA"/>
        </w:rPr>
        <w:t xml:space="preserve"> </w:t>
      </w:r>
      <w:r w:rsidR="00E30B95" w:rsidRPr="00D011E6">
        <w:rPr>
          <w:noProof/>
          <w:lang w:eastAsia="en-ZA"/>
        </w:rPr>
        <w:t>in terms of</w:t>
      </w:r>
      <w:r w:rsidR="00E30B95">
        <w:rPr>
          <w:lang w:eastAsia="en-ZA"/>
        </w:rPr>
        <w:t xml:space="preserve"> subsection </w:t>
      </w:r>
      <w:r w:rsidR="000D0540">
        <w:rPr>
          <w:lang w:eastAsia="en-ZA"/>
        </w:rPr>
        <w:t>(</w:t>
      </w:r>
      <w:r w:rsidR="00E30B95">
        <w:rPr>
          <w:lang w:eastAsia="en-ZA"/>
        </w:rPr>
        <w:t xml:space="preserve">1) must answer each question truthfully and to the best of that </w:t>
      </w:r>
      <w:r w:rsidR="002F4E49">
        <w:rPr>
          <w:lang w:eastAsia="en-ZA"/>
        </w:rPr>
        <w:t>person’s ability, but the person is not obliged to answer any question if the answer is self-incriminating.</w:t>
      </w:r>
    </w:p>
    <w:p w:rsidR="00CB3619" w:rsidRDefault="002F4E49" w:rsidP="007B5FBF">
      <w:pPr>
        <w:pStyle w:val="QUOTATION"/>
        <w:ind w:left="1440" w:hanging="720"/>
        <w:rPr>
          <w:lang w:eastAsia="en-ZA"/>
        </w:rPr>
      </w:pPr>
      <w:r>
        <w:rPr>
          <w:lang w:eastAsia="en-ZA"/>
        </w:rPr>
        <w:t>(3)</w:t>
      </w:r>
      <w:r w:rsidR="00220D7E">
        <w:rPr>
          <w:lang w:eastAsia="en-ZA"/>
        </w:rPr>
        <w:tab/>
      </w:r>
      <w:r w:rsidRPr="00D011E6">
        <w:rPr>
          <w:noProof/>
          <w:lang w:eastAsia="en-ZA"/>
        </w:rPr>
        <w:t>No self-incriminating answer given or statement made to a person exercising any power in terms of this section is admissible as evidence against the person who gave the answer or made the statement in c</w:t>
      </w:r>
      <w:r w:rsidR="00CB3619" w:rsidRPr="00D011E6">
        <w:rPr>
          <w:noProof/>
          <w:lang w:eastAsia="en-ZA"/>
        </w:rPr>
        <w:t>riminal proceedings, except in criminal proceedings for perjury or in which that person is tried for an offen</w:t>
      </w:r>
      <w:r w:rsidR="000D0540">
        <w:rPr>
          <w:noProof/>
          <w:lang w:eastAsia="en-ZA"/>
        </w:rPr>
        <w:t>c</w:t>
      </w:r>
      <w:r w:rsidR="00CB3619" w:rsidRPr="00D011E6">
        <w:rPr>
          <w:noProof/>
          <w:lang w:eastAsia="en-ZA"/>
        </w:rPr>
        <w:t>e contemplated in section 72 or section 73(2)(d), and then only to the extent that the answer or statement is relevant to prove the offense charged.</w:t>
      </w:r>
      <w:r w:rsidR="007B5FBF">
        <w:rPr>
          <w:noProof/>
          <w:lang w:eastAsia="en-ZA"/>
        </w:rPr>
        <w:t xml:space="preserve">” </w:t>
      </w:r>
      <w:r w:rsidR="000D0540">
        <w:rPr>
          <w:noProof/>
          <w:lang w:eastAsia="en-ZA"/>
        </w:rPr>
        <w:t xml:space="preserve"> </w:t>
      </w:r>
      <w:r w:rsidR="00786581">
        <w:rPr>
          <w:lang w:eastAsia="en-ZA"/>
        </w:rPr>
        <w:t>(Emphasis added.)</w:t>
      </w:r>
    </w:p>
    <w:p w:rsidR="0049219D" w:rsidRPr="0049219D" w:rsidRDefault="0049219D" w:rsidP="007B5FBF">
      <w:pPr>
        <w:pStyle w:val="JUDGMENTCONTINUED"/>
        <w:rPr>
          <w:lang w:eastAsia="en-ZA"/>
        </w:rPr>
      </w:pPr>
    </w:p>
    <w:p w:rsidR="002E6393"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[48]</w:t>
      </w:r>
      <w:r>
        <w:rPr>
          <w:color w:val="000000"/>
          <w14:scene3d>
            <w14:camera w14:prst="orthographicFront"/>
            <w14:lightRig w14:rig="threePt" w14:dir="t">
              <w14:rot w14:lat="0" w14:lon="0" w14:rev="0"/>
            </w14:lightRig>
          </w14:scene3d>
        </w:rPr>
        <w:tab/>
      </w:r>
      <w:r w:rsidR="00654465">
        <w:t xml:space="preserve">The </w:t>
      </w:r>
      <w:r w:rsidR="001F7453">
        <w:t xml:space="preserve">purpose of the </w:t>
      </w:r>
      <w:r w:rsidR="00203601">
        <w:t xml:space="preserve">merger </w:t>
      </w:r>
      <w:r w:rsidR="001B46A7">
        <w:t>provisions</w:t>
      </w:r>
      <w:r w:rsidR="005210BE">
        <w:t>, in particular</w:t>
      </w:r>
      <w:r w:rsidR="001B46A7">
        <w:t xml:space="preserve"> </w:t>
      </w:r>
      <w:r w:rsidR="001F7453">
        <w:t>section 13</w:t>
      </w:r>
      <w:proofErr w:type="gramStart"/>
      <w:r w:rsidR="001F7453">
        <w:t>A</w:t>
      </w:r>
      <w:r w:rsidR="00C42226">
        <w:t>(</w:t>
      </w:r>
      <w:proofErr w:type="gramEnd"/>
      <w:r w:rsidR="00C42226">
        <w:t>3) of the</w:t>
      </w:r>
      <w:r w:rsidR="00654465">
        <w:t xml:space="preserve"> Competition </w:t>
      </w:r>
      <w:r w:rsidR="00C42226">
        <w:t>Act, is to ensure that</w:t>
      </w:r>
      <w:r w:rsidR="002E6393" w:rsidRPr="003A7CE2">
        <w:t xml:space="preserve"> </w:t>
      </w:r>
      <w:r w:rsidR="00747262" w:rsidRPr="00D011E6">
        <w:rPr>
          <w:noProof/>
        </w:rPr>
        <w:t xml:space="preserve">as many mergers as possible </w:t>
      </w:r>
      <w:r w:rsidR="005A2E44" w:rsidRPr="00D011E6">
        <w:rPr>
          <w:noProof/>
        </w:rPr>
        <w:t xml:space="preserve">are </w:t>
      </w:r>
      <w:r w:rsidR="00E44E86" w:rsidRPr="00D011E6">
        <w:rPr>
          <w:noProof/>
        </w:rPr>
        <w:t>examined by the Commission</w:t>
      </w:r>
      <w:r w:rsidR="005A2E44" w:rsidRPr="005A2E44">
        <w:rPr>
          <w:noProof/>
        </w:rPr>
        <w:t xml:space="preserve"> for anti-competitive conduct.</w:t>
      </w:r>
      <w:r w:rsidR="00EC5F6A" w:rsidRPr="005A2E44">
        <w:rPr>
          <w:noProof/>
        </w:rPr>
        <w:t xml:space="preserve"> </w:t>
      </w:r>
      <w:r w:rsidR="00F65BA7">
        <w:rPr>
          <w:noProof/>
        </w:rPr>
        <w:t xml:space="preserve"> </w:t>
      </w:r>
      <w:r w:rsidR="00654465">
        <w:t xml:space="preserve">Section 49A must be construed broadly to give effect to this objective. </w:t>
      </w:r>
      <w:r w:rsidR="005F5BBD">
        <w:t xml:space="preserve"> </w:t>
      </w:r>
      <w:r w:rsidR="00EC5F6A" w:rsidRPr="005A2E44">
        <w:rPr>
          <w:noProof/>
        </w:rPr>
        <w:t xml:space="preserve">The </w:t>
      </w:r>
      <w:r w:rsidR="002E6393" w:rsidRPr="005A2E44">
        <w:t xml:space="preserve">powers of search and </w:t>
      </w:r>
      <w:r w:rsidR="002E6393" w:rsidRPr="005A2E44">
        <w:rPr>
          <w:noProof/>
        </w:rPr>
        <w:t>summon</w:t>
      </w:r>
      <w:r w:rsidR="00677EBD">
        <w:rPr>
          <w:noProof/>
        </w:rPr>
        <w:t>s</w:t>
      </w:r>
      <w:r w:rsidR="00654465">
        <w:rPr>
          <w:noProof/>
        </w:rPr>
        <w:t>,</w:t>
      </w:r>
      <w:r w:rsidR="002E6393" w:rsidRPr="005A2E44">
        <w:rPr>
          <w:noProof/>
        </w:rPr>
        <w:t xml:space="preserve"> </w:t>
      </w:r>
      <w:r w:rsidR="00654465">
        <w:rPr>
          <w:noProof/>
        </w:rPr>
        <w:t>as provided for in section</w:t>
      </w:r>
      <w:r w:rsidR="003A562D">
        <w:rPr>
          <w:noProof/>
        </w:rPr>
        <w:t>s</w:t>
      </w:r>
      <w:r w:rsidR="00654465">
        <w:rPr>
          <w:noProof/>
        </w:rPr>
        <w:t xml:space="preserve"> 49</w:t>
      </w:r>
      <w:r w:rsidR="003A562D">
        <w:rPr>
          <w:noProof/>
        </w:rPr>
        <w:t xml:space="preserve"> and 49A</w:t>
      </w:r>
      <w:r w:rsidR="005C75C7">
        <w:rPr>
          <w:noProof/>
        </w:rPr>
        <w:t>,</w:t>
      </w:r>
      <w:r w:rsidR="00654465">
        <w:rPr>
          <w:noProof/>
        </w:rPr>
        <w:t xml:space="preserve"> </w:t>
      </w:r>
      <w:r w:rsidR="002E6393" w:rsidRPr="005A2E44">
        <w:rPr>
          <w:noProof/>
        </w:rPr>
        <w:t>are</w:t>
      </w:r>
      <w:r w:rsidR="002E6393" w:rsidRPr="005A2E44">
        <w:t xml:space="preserve"> </w:t>
      </w:r>
      <w:r w:rsidR="003A562D">
        <w:t>vital</w:t>
      </w:r>
      <w:r w:rsidR="00D837E2">
        <w:t xml:space="preserve"> </w:t>
      </w:r>
      <w:r w:rsidR="00977BA4" w:rsidRPr="005A2E44">
        <w:t>to the Commission’s</w:t>
      </w:r>
      <w:r w:rsidR="002E6393" w:rsidRPr="005A2E44">
        <w:t xml:space="preserve"> </w:t>
      </w:r>
      <w:r w:rsidR="00977BA4" w:rsidRPr="00030F4D">
        <w:rPr>
          <w:noProof/>
        </w:rPr>
        <w:t>power</w:t>
      </w:r>
      <w:r w:rsidR="002E6393" w:rsidRPr="005A2E44">
        <w:t xml:space="preserve"> to investigate a merger.</w:t>
      </w:r>
      <w:r w:rsidR="002E6393" w:rsidRPr="003A7CE2">
        <w:t xml:space="preserve">  </w:t>
      </w:r>
      <w:r w:rsidR="001F0945">
        <w:t xml:space="preserve">Contrary to the joint contention of the SABC and </w:t>
      </w:r>
      <w:proofErr w:type="spellStart"/>
      <w:r w:rsidR="001F0945">
        <w:t>MultiChoice</w:t>
      </w:r>
      <w:proofErr w:type="spellEnd"/>
      <w:r w:rsidR="001F0945">
        <w:t>, n</w:t>
      </w:r>
      <w:r w:rsidR="002E6393" w:rsidRPr="003A7CE2">
        <w:t>othing in the Competition Act suggests that th</w:t>
      </w:r>
      <w:r w:rsidR="003A562D">
        <w:t>ese</w:t>
      </w:r>
      <w:r w:rsidR="002E6393" w:rsidRPr="003A7CE2">
        <w:t xml:space="preserve"> power</w:t>
      </w:r>
      <w:r w:rsidR="003A562D">
        <w:t>s</w:t>
      </w:r>
      <w:r w:rsidR="002E6393" w:rsidRPr="003A7CE2">
        <w:t xml:space="preserve"> </w:t>
      </w:r>
      <w:r w:rsidR="003A562D" w:rsidRPr="00D011E6">
        <w:rPr>
          <w:noProof/>
        </w:rPr>
        <w:t>are</w:t>
      </w:r>
      <w:r w:rsidR="00D736AF" w:rsidRPr="00D011E6">
        <w:rPr>
          <w:noProof/>
        </w:rPr>
        <w:t xml:space="preserve"> </w:t>
      </w:r>
      <w:r w:rsidR="002E6393" w:rsidRPr="00D011E6">
        <w:rPr>
          <w:noProof/>
        </w:rPr>
        <w:t>reserved</w:t>
      </w:r>
      <w:r w:rsidR="00D011E6">
        <w:rPr>
          <w:noProof/>
        </w:rPr>
        <w:t xml:space="preserve"> only</w:t>
      </w:r>
      <w:r w:rsidR="002E6393" w:rsidRPr="003A7CE2">
        <w:rPr>
          <w:noProof/>
        </w:rPr>
        <w:t xml:space="preserve"> </w:t>
      </w:r>
      <w:r w:rsidR="002E6393" w:rsidRPr="003A7CE2">
        <w:t xml:space="preserve">for </w:t>
      </w:r>
      <w:r w:rsidR="002E6393" w:rsidRPr="003A7CE2">
        <w:rPr>
          <w:noProof/>
        </w:rPr>
        <w:t>the investigation</w:t>
      </w:r>
      <w:r w:rsidR="002E6393" w:rsidRPr="003A7CE2">
        <w:t xml:space="preserve"> of prohibited pr</w:t>
      </w:r>
      <w:r w:rsidR="00ED0B12">
        <w:t>actices in Chapter 2 of the Act</w:t>
      </w:r>
      <w:r w:rsidR="00E02757" w:rsidRPr="00F154E7">
        <w:rPr>
          <w:sz w:val="22"/>
        </w:rPr>
        <w:t>.</w:t>
      </w:r>
      <w:r w:rsidR="00774488" w:rsidRPr="007939BF">
        <w:rPr>
          <w:rStyle w:val="FootnoteReference"/>
          <w:sz w:val="22"/>
        </w:rPr>
        <w:footnoteReference w:id="41"/>
      </w:r>
    </w:p>
    <w:p w:rsidR="00AA3980" w:rsidRPr="007B5FBF" w:rsidRDefault="00AA3980" w:rsidP="007B5FBF">
      <w:pPr>
        <w:pStyle w:val="JUDGMENTCONTINUED"/>
      </w:pPr>
    </w:p>
    <w:p w:rsidR="00826849"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[49]</w:t>
      </w:r>
      <w:r>
        <w:rPr>
          <w:color w:val="000000"/>
          <w14:scene3d>
            <w14:camera w14:prst="orthographicFront"/>
            <w14:lightRig w14:rig="threePt" w14:dir="t">
              <w14:rot w14:lat="0" w14:lon="0" w14:rev="0"/>
            </w14:lightRig>
          </w14:scene3d>
        </w:rPr>
        <w:tab/>
      </w:r>
      <w:r w:rsidR="002E6393" w:rsidRPr="00966BF9">
        <w:rPr>
          <w:noProof/>
        </w:rPr>
        <w:t>The need to summons relevant information and documents from persons believed</w:t>
      </w:r>
      <w:r w:rsidR="00977BA4">
        <w:rPr>
          <w:noProof/>
        </w:rPr>
        <w:t xml:space="preserve"> </w:t>
      </w:r>
      <w:r w:rsidR="007F50AE">
        <w:rPr>
          <w:noProof/>
        </w:rPr>
        <w:t xml:space="preserve">to </w:t>
      </w:r>
      <w:r w:rsidR="002E6393" w:rsidRPr="00966BF9">
        <w:rPr>
          <w:noProof/>
        </w:rPr>
        <w:t>be in possession or control</w:t>
      </w:r>
      <w:r w:rsidR="0081518C">
        <w:rPr>
          <w:noProof/>
        </w:rPr>
        <w:t xml:space="preserve"> thereof</w:t>
      </w:r>
      <w:r w:rsidR="002E6393" w:rsidRPr="005E0E74">
        <w:rPr>
          <w:noProof/>
        </w:rPr>
        <w:t xml:space="preserve">, as well as the </w:t>
      </w:r>
      <w:r w:rsidR="002E6393" w:rsidRPr="00030F4D">
        <w:rPr>
          <w:noProof/>
        </w:rPr>
        <w:t>need</w:t>
      </w:r>
      <w:r w:rsidR="002E6393" w:rsidRPr="005E0E74">
        <w:rPr>
          <w:noProof/>
        </w:rPr>
        <w:t xml:space="preserve"> to summons persons </w:t>
      </w:r>
      <w:r w:rsidR="002E6393" w:rsidRPr="005E0E74">
        <w:rPr>
          <w:noProof/>
        </w:rPr>
        <w:lastRenderedPageBreak/>
        <w:t>with know</w:t>
      </w:r>
      <w:r w:rsidR="002E6393" w:rsidRPr="007C4D9C">
        <w:rPr>
          <w:noProof/>
        </w:rPr>
        <w:t xml:space="preserve">ledge of relevant facts under section 49A of the </w:t>
      </w:r>
      <w:r w:rsidR="00F65BA7">
        <w:rPr>
          <w:noProof/>
        </w:rPr>
        <w:t xml:space="preserve">Competition </w:t>
      </w:r>
      <w:r w:rsidR="002E6393" w:rsidRPr="007C4D9C">
        <w:rPr>
          <w:noProof/>
        </w:rPr>
        <w:t>Act</w:t>
      </w:r>
      <w:r w:rsidR="002E6393" w:rsidRPr="00AE6433">
        <w:rPr>
          <w:noProof/>
        </w:rPr>
        <w:t>,</w:t>
      </w:r>
      <w:r w:rsidR="002E6393" w:rsidRPr="00503616">
        <w:rPr>
          <w:noProof/>
        </w:rPr>
        <w:t xml:space="preserve"> are crucial to the powers of the Commission to investigate </w:t>
      </w:r>
      <w:r w:rsidR="002E6393" w:rsidRPr="005652AF">
        <w:rPr>
          <w:noProof/>
        </w:rPr>
        <w:t>merger</w:t>
      </w:r>
      <w:r w:rsidR="006A5734">
        <w:rPr>
          <w:noProof/>
        </w:rPr>
        <w:t>s</w:t>
      </w:r>
      <w:r w:rsidR="002E6393" w:rsidRPr="005652AF">
        <w:rPr>
          <w:noProof/>
        </w:rPr>
        <w:t xml:space="preserve"> </w:t>
      </w:r>
      <w:r w:rsidR="006A5734">
        <w:rPr>
          <w:noProof/>
        </w:rPr>
        <w:t xml:space="preserve">and </w:t>
      </w:r>
      <w:r w:rsidR="002E6393" w:rsidRPr="005652AF">
        <w:rPr>
          <w:noProof/>
        </w:rPr>
        <w:t>transaction</w:t>
      </w:r>
      <w:r w:rsidR="006A5734">
        <w:rPr>
          <w:noProof/>
        </w:rPr>
        <w:t>s</w:t>
      </w:r>
      <w:r w:rsidR="002E6393" w:rsidRPr="005652AF">
        <w:rPr>
          <w:noProof/>
        </w:rPr>
        <w:t xml:space="preserve"> </w:t>
      </w:r>
      <w:r w:rsidR="006A5734">
        <w:rPr>
          <w:noProof/>
        </w:rPr>
        <w:t>that may give rise to a merger as defined.</w:t>
      </w:r>
      <w:r w:rsidR="002E6393" w:rsidRPr="003A5E90">
        <w:t xml:space="preserve"> </w:t>
      </w:r>
      <w:r w:rsidR="002E6393">
        <w:t xml:space="preserve"> </w:t>
      </w:r>
      <w:r w:rsidR="002E6393" w:rsidRPr="000C3351">
        <w:rPr>
          <w:noProof/>
        </w:rPr>
        <w:t>Any contrary inte</w:t>
      </w:r>
      <w:r w:rsidR="002E6393" w:rsidRPr="00C304AD">
        <w:rPr>
          <w:noProof/>
        </w:rPr>
        <w:t xml:space="preserve">rpretation would defeat the purpose of merger regulation under </w:t>
      </w:r>
      <w:r w:rsidR="002E6393" w:rsidRPr="00966BF9">
        <w:rPr>
          <w:noProof/>
        </w:rPr>
        <w:t>the</w:t>
      </w:r>
      <w:r w:rsidR="00C44D0A">
        <w:rPr>
          <w:noProof/>
        </w:rPr>
        <w:t xml:space="preserve"> </w:t>
      </w:r>
      <w:r w:rsidR="002E6393" w:rsidRPr="00966BF9">
        <w:rPr>
          <w:noProof/>
        </w:rPr>
        <w:t>Competition</w:t>
      </w:r>
      <w:r w:rsidR="002E6393" w:rsidRPr="00C304AD">
        <w:rPr>
          <w:noProof/>
        </w:rPr>
        <w:t xml:space="preserve"> Act which is to </w:t>
      </w:r>
      <w:r w:rsidR="002E6393" w:rsidRPr="005652AF">
        <w:rPr>
          <w:noProof/>
        </w:rPr>
        <w:t>mai</w:t>
      </w:r>
      <w:r w:rsidR="002E6393" w:rsidRPr="000C3351">
        <w:rPr>
          <w:noProof/>
        </w:rPr>
        <w:t>n</w:t>
      </w:r>
      <w:r w:rsidR="002E6393" w:rsidRPr="00C304AD">
        <w:rPr>
          <w:noProof/>
        </w:rPr>
        <w:t xml:space="preserve">tain </w:t>
      </w:r>
      <w:r w:rsidR="002E6393" w:rsidRPr="00030F4D">
        <w:rPr>
          <w:noProof/>
        </w:rPr>
        <w:t>competit</w:t>
      </w:r>
      <w:r w:rsidR="00030F4D">
        <w:rPr>
          <w:noProof/>
        </w:rPr>
        <w:t>i</w:t>
      </w:r>
      <w:r w:rsidR="002E6393" w:rsidRPr="00030F4D">
        <w:rPr>
          <w:noProof/>
        </w:rPr>
        <w:t>ve</w:t>
      </w:r>
      <w:r w:rsidR="002E6393" w:rsidRPr="00C304AD">
        <w:rPr>
          <w:noProof/>
        </w:rPr>
        <w:t xml:space="preserve"> market structure by ensuring “</w:t>
      </w:r>
      <w:r w:rsidR="002E6393" w:rsidRPr="00966BF9">
        <w:rPr>
          <w:noProof/>
        </w:rPr>
        <w:t xml:space="preserve">that </w:t>
      </w:r>
      <w:r w:rsidR="002E6393" w:rsidRPr="00C304AD">
        <w:rPr>
          <w:noProof/>
        </w:rPr>
        <w:t xml:space="preserve">transactions which are likely substantially </w:t>
      </w:r>
      <w:r w:rsidR="0081518C" w:rsidRPr="0081518C">
        <w:rPr>
          <w:noProof/>
        </w:rPr>
        <w:t xml:space="preserve">to prevent or </w:t>
      </w:r>
      <w:r w:rsidR="002E6393" w:rsidRPr="00C304AD">
        <w:rPr>
          <w:noProof/>
        </w:rPr>
        <w:t xml:space="preserve">lessen </w:t>
      </w:r>
      <w:r w:rsidR="002E6393" w:rsidRPr="00030F4D">
        <w:rPr>
          <w:noProof/>
        </w:rPr>
        <w:t xml:space="preserve">competition should be carefully examined by the competition </w:t>
      </w:r>
      <w:r w:rsidR="002E6393" w:rsidRPr="00B70B09">
        <w:rPr>
          <w:noProof/>
        </w:rPr>
        <w:t>authorities”.</w:t>
      </w:r>
      <w:r w:rsidR="0081518C">
        <w:rPr>
          <w:rStyle w:val="FootnoteReference"/>
          <w:noProof/>
        </w:rPr>
        <w:footnoteReference w:id="42"/>
      </w:r>
    </w:p>
    <w:p w:rsidR="008A04FE" w:rsidRDefault="008A04FE" w:rsidP="00A243FC">
      <w:pPr>
        <w:pStyle w:val="JUDGMENTCONTINUED"/>
      </w:pPr>
    </w:p>
    <w:p w:rsidR="00FF6F1C" w:rsidRPr="009A7CE1" w:rsidRDefault="006970A9" w:rsidP="006970A9">
      <w:pPr>
        <w:pStyle w:val="JUDGMENTNUMBERED"/>
        <w:numPr>
          <w:ilvl w:val="0"/>
          <w:numId w:val="0"/>
        </w:numPr>
        <w:spacing w:after="240"/>
        <w:rPr>
          <w:szCs w:val="26"/>
        </w:rPr>
      </w:pPr>
      <w:r w:rsidRPr="009A7CE1">
        <w:rPr>
          <w:color w:val="000000"/>
          <w:szCs w:val="26"/>
          <w14:scene3d>
            <w14:camera w14:prst="orthographicFront"/>
            <w14:lightRig w14:rig="threePt" w14:dir="t">
              <w14:rot w14:lat="0" w14:lon="0" w14:rev="0"/>
            </w14:lightRig>
          </w14:scene3d>
        </w:rPr>
        <w:t>[50]</w:t>
      </w:r>
      <w:r w:rsidRPr="009A7CE1">
        <w:rPr>
          <w:color w:val="000000"/>
          <w:szCs w:val="26"/>
          <w14:scene3d>
            <w14:camera w14:prst="orthographicFront"/>
            <w14:lightRig w14:rig="threePt" w14:dir="t">
              <w14:rot w14:lat="0" w14:lon="0" w14:rev="0"/>
            </w14:lightRig>
          </w14:scene3d>
        </w:rPr>
        <w:tab/>
      </w:r>
      <w:r w:rsidR="006F37B7" w:rsidRPr="009A7CE1">
        <w:rPr>
          <w:noProof/>
          <w:u w:color="E2534F"/>
        </w:rPr>
        <w:t>It is essential that where the Commission has grounds to believe that the parties to a merger have a motive not to notify a merger, it must investigate that merger and not accept their mere say-so</w:t>
      </w:r>
      <w:r w:rsidR="002D3863">
        <w:rPr>
          <w:noProof/>
          <w:u w:color="E2534F"/>
        </w:rPr>
        <w:t>.</w:t>
      </w:r>
      <w:r w:rsidR="002D3863" w:rsidRPr="009A7CE1">
        <w:rPr>
          <w:rStyle w:val="FootnoteReference"/>
          <w:noProof/>
          <w:szCs w:val="26"/>
        </w:rPr>
        <w:footnoteReference w:id="43"/>
      </w:r>
      <w:r w:rsidR="002D3863" w:rsidRPr="009A7CE1">
        <w:rPr>
          <w:szCs w:val="26"/>
        </w:rPr>
        <w:t xml:space="preserve"> </w:t>
      </w:r>
      <w:r w:rsidR="00F65BA7">
        <w:rPr>
          <w:szCs w:val="26"/>
        </w:rPr>
        <w:t xml:space="preserve"> </w:t>
      </w:r>
      <w:r w:rsidR="002D3863">
        <w:rPr>
          <w:noProof/>
          <w:u w:color="E2534F"/>
        </w:rPr>
        <w:t>Nor</w:t>
      </w:r>
      <w:r w:rsidR="002758E5">
        <w:rPr>
          <w:noProof/>
          <w:u w:color="E2534F"/>
        </w:rPr>
        <w:t xml:space="preserve">, in these circumstances, </w:t>
      </w:r>
      <w:r w:rsidR="002D3863">
        <w:rPr>
          <w:noProof/>
          <w:u w:color="E2534F"/>
        </w:rPr>
        <w:t>should</w:t>
      </w:r>
      <w:r w:rsidR="00AF31AC">
        <w:rPr>
          <w:noProof/>
          <w:u w:color="E2534F"/>
        </w:rPr>
        <w:t xml:space="preserve"> the invest</w:t>
      </w:r>
      <w:r w:rsidR="00677EBD">
        <w:rPr>
          <w:noProof/>
          <w:u w:color="E2534F"/>
        </w:rPr>
        <w:t>i</w:t>
      </w:r>
      <w:r w:rsidR="00AF31AC">
        <w:rPr>
          <w:noProof/>
          <w:u w:color="E2534F"/>
        </w:rPr>
        <w:t>gation</w:t>
      </w:r>
      <w:r w:rsidR="002D3863">
        <w:rPr>
          <w:noProof/>
          <w:u w:color="E2534F"/>
        </w:rPr>
        <w:t xml:space="preserve"> be confine</w:t>
      </w:r>
      <w:r w:rsidR="00A81DAA">
        <w:rPr>
          <w:noProof/>
          <w:u w:color="E2534F"/>
        </w:rPr>
        <w:t>d</w:t>
      </w:r>
      <w:r w:rsidR="002D3863">
        <w:rPr>
          <w:noProof/>
          <w:u w:color="E2534F"/>
        </w:rPr>
        <w:t xml:space="preserve"> only to the documents submitted</w:t>
      </w:r>
      <w:r w:rsidR="002D3863" w:rsidRPr="009A7CE1">
        <w:rPr>
          <w:szCs w:val="26"/>
        </w:rPr>
        <w:t xml:space="preserve"> </w:t>
      </w:r>
      <w:r w:rsidR="002D3863">
        <w:rPr>
          <w:szCs w:val="26"/>
        </w:rPr>
        <w:t>by the parties</w:t>
      </w:r>
      <w:r w:rsidR="00AF31AC">
        <w:rPr>
          <w:szCs w:val="26"/>
        </w:rPr>
        <w:t xml:space="preserve">. </w:t>
      </w:r>
      <w:r w:rsidR="005F5BBD">
        <w:rPr>
          <w:szCs w:val="26"/>
        </w:rPr>
        <w:t xml:space="preserve"> </w:t>
      </w:r>
      <w:r w:rsidR="00AF31AC">
        <w:t>Significantly, m</w:t>
      </w:r>
      <w:r w:rsidR="0052172D" w:rsidRPr="009A7CE1">
        <w:t>erger inve</w:t>
      </w:r>
      <w:r w:rsidR="00BF6887" w:rsidRPr="009A7CE1">
        <w:t xml:space="preserve">stigations are not meant to be </w:t>
      </w:r>
      <w:r w:rsidR="0052172D" w:rsidRPr="009A7CE1">
        <w:t xml:space="preserve">rudimentary “desktop” evaluations of the documents submitted by the parties to a merger or a transaction giving rise to a merger. </w:t>
      </w:r>
      <w:r w:rsidR="005F5BBD">
        <w:t xml:space="preserve"> </w:t>
      </w:r>
      <w:proofErr w:type="spellStart"/>
      <w:r w:rsidR="00FF6F1C" w:rsidRPr="009A7CE1">
        <w:t>Legh</w:t>
      </w:r>
      <w:proofErr w:type="spellEnd"/>
      <w:r w:rsidR="003A562D" w:rsidRPr="009A7CE1">
        <w:t xml:space="preserve"> argues that</w:t>
      </w:r>
      <w:r w:rsidR="005E78DE" w:rsidRPr="009A7CE1">
        <w:t>:</w:t>
      </w:r>
    </w:p>
    <w:p w:rsidR="00FF6F1C" w:rsidRPr="00D61A0F" w:rsidRDefault="00AA7FA9" w:rsidP="00FF6F1C">
      <w:pPr>
        <w:pStyle w:val="QUOTATION"/>
      </w:pPr>
      <w:r>
        <w:t>“</w:t>
      </w:r>
      <w:r w:rsidR="00FF6F1C" w:rsidRPr="002F7DAE">
        <w:t xml:space="preserve">Very few mergers are approved solely </w:t>
      </w:r>
      <w:r w:rsidR="00FF6F1C" w:rsidRPr="002F7DAE">
        <w:rPr>
          <w:noProof/>
        </w:rPr>
        <w:t>on the basis of</w:t>
      </w:r>
      <w:r w:rsidR="00FF6F1C" w:rsidRPr="002F7DAE">
        <w:t xml:space="preserve"> the documents filed. </w:t>
      </w:r>
      <w:r w:rsidR="00DB5365">
        <w:t xml:space="preserve"> </w:t>
      </w:r>
      <w:r w:rsidR="00FF6F1C" w:rsidRPr="002F7DAE">
        <w:t xml:space="preserve">The filings </w:t>
      </w:r>
      <w:r w:rsidR="00FF6F1C" w:rsidRPr="002F7DAE">
        <w:rPr>
          <w:noProof/>
        </w:rPr>
        <w:t>are generally followed</w:t>
      </w:r>
      <w:r w:rsidR="00FF6F1C" w:rsidRPr="002F7DAE">
        <w:t xml:space="preserve"> by a series of questions from the Commission clarifying issues and verifying information provided. The person signing the merger documentation is under a duty to declare that the information disclosed is comprehensive and correct and the provision of </w:t>
      </w:r>
      <w:r w:rsidR="00FF6F1C" w:rsidRPr="002F7DAE">
        <w:rPr>
          <w:noProof/>
        </w:rPr>
        <w:t>false information</w:t>
      </w:r>
      <w:r w:rsidR="00FF6F1C" w:rsidRPr="002F7DAE">
        <w:t xml:space="preserve"> is an </w:t>
      </w:r>
      <w:r w:rsidR="00FF6F1C" w:rsidRPr="002F7DAE">
        <w:rPr>
          <w:noProof/>
        </w:rPr>
        <w:t>offence</w:t>
      </w:r>
      <w:r w:rsidR="00FF6F1C" w:rsidRPr="002F7DAE">
        <w:t xml:space="preserve"> under </w:t>
      </w:r>
      <w:r w:rsidR="00C2602B" w:rsidRPr="002F7DAE">
        <w:t>[section 73(2)(d)</w:t>
      </w:r>
      <w:r w:rsidR="00C2602B">
        <w:t xml:space="preserve"> of] </w:t>
      </w:r>
      <w:r w:rsidR="00FF6F1C" w:rsidRPr="002F7DAE">
        <w:t>the Act</w:t>
      </w:r>
      <w:proofErr w:type="gramStart"/>
      <w:r w:rsidR="00DB5365">
        <w:t>. . .</w:t>
      </w:r>
      <w:r w:rsidR="00605DF2">
        <w:t xml:space="preserve"> .</w:t>
      </w:r>
      <w:proofErr w:type="gramEnd"/>
      <w:r w:rsidR="00FF6F1C" w:rsidRPr="002F7DAE">
        <w:t xml:space="preserve"> </w:t>
      </w:r>
      <w:r w:rsidR="008A5426">
        <w:t xml:space="preserve"> </w:t>
      </w:r>
      <w:r w:rsidR="00FF6F1C" w:rsidRPr="002F7DAE">
        <w:t>The Commission may require any party to a merger to provide additional information in respect of the merger [</w:t>
      </w:r>
      <w:r w:rsidR="00C2602B">
        <w:t xml:space="preserve">under </w:t>
      </w:r>
      <w:r w:rsidR="00FF6F1C" w:rsidRPr="002F7DAE">
        <w:t>section 13B(2)].</w:t>
      </w:r>
      <w:r w:rsidRPr="00605DF2">
        <w:t>”</w:t>
      </w:r>
      <w:r w:rsidR="00F65BA7">
        <w:rPr>
          <w:rStyle w:val="FootnoteReference"/>
        </w:rPr>
        <w:footnoteReference w:id="44"/>
      </w:r>
    </w:p>
    <w:p w:rsidR="00FF6F1C" w:rsidRDefault="00FF6F1C" w:rsidP="007B5FBF">
      <w:pPr>
        <w:pStyle w:val="JUDGMENTCONTINUED"/>
      </w:pPr>
    </w:p>
    <w:p w:rsidR="00EF5C72" w:rsidRDefault="00461D83" w:rsidP="007B5FBF">
      <w:pPr>
        <w:pStyle w:val="HEADING"/>
        <w:ind w:left="720"/>
      </w:pPr>
      <w:r w:rsidRPr="00FF7E0B">
        <w:t>Does the June 2016 order preclude the Commission</w:t>
      </w:r>
      <w:r w:rsidR="00677EBD">
        <w:t>’</w:t>
      </w:r>
      <w:r w:rsidRPr="00FF7E0B">
        <w:t>s statutory investigative powers?</w:t>
      </w:r>
    </w:p>
    <w:p w:rsidR="0007706D"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[51]</w:t>
      </w:r>
      <w:r>
        <w:rPr>
          <w:color w:val="000000"/>
          <w14:scene3d>
            <w14:camera w14:prst="orthographicFront"/>
            <w14:lightRig w14:rig="threePt" w14:dir="t">
              <w14:rot w14:lat="0" w14:lon="0" w14:rev="0"/>
            </w14:lightRig>
          </w14:scene3d>
        </w:rPr>
        <w:tab/>
      </w:r>
      <w:r w:rsidR="00C12B69">
        <w:t>T</w:t>
      </w:r>
      <w:r w:rsidR="008A04FE" w:rsidRPr="008A04FE">
        <w:t>he Commission’s investigative powers</w:t>
      </w:r>
      <w:r w:rsidR="00160DC6">
        <w:t xml:space="preserve">, both generally and </w:t>
      </w:r>
      <w:r w:rsidR="00160DC6" w:rsidRPr="000724BC">
        <w:rPr>
          <w:noProof/>
        </w:rPr>
        <w:t>in relation to</w:t>
      </w:r>
      <w:r w:rsidR="00160DC6">
        <w:t xml:space="preserve"> merger control </w:t>
      </w:r>
      <w:r w:rsidR="00160DC6" w:rsidRPr="000724BC">
        <w:rPr>
          <w:noProof/>
        </w:rPr>
        <w:t>specifically</w:t>
      </w:r>
      <w:r w:rsidR="000724BC" w:rsidRPr="000724BC">
        <w:rPr>
          <w:noProof/>
        </w:rPr>
        <w:t>,</w:t>
      </w:r>
      <w:r w:rsidR="008A04FE" w:rsidRPr="008A04FE">
        <w:t xml:space="preserve"> are </w:t>
      </w:r>
      <w:r w:rsidR="00661886">
        <w:t>sourced</w:t>
      </w:r>
      <w:r w:rsidR="008A04FE" w:rsidRPr="008A04FE">
        <w:t xml:space="preserve"> </w:t>
      </w:r>
      <w:r w:rsidR="005E78DE" w:rsidRPr="000724BC">
        <w:rPr>
          <w:noProof/>
        </w:rPr>
        <w:t>in</w:t>
      </w:r>
      <w:r w:rsidR="008A04FE">
        <w:t xml:space="preserve"> </w:t>
      </w:r>
      <w:r w:rsidR="008A04FE" w:rsidRPr="008A04FE">
        <w:t>the Competition Act</w:t>
      </w:r>
      <w:r w:rsidR="008A04FE">
        <w:t xml:space="preserve"> itself</w:t>
      </w:r>
      <w:r w:rsidR="00661886">
        <w:t>.</w:t>
      </w:r>
      <w:r w:rsidR="008A04FE" w:rsidRPr="008A04FE">
        <w:t xml:space="preserve"> </w:t>
      </w:r>
      <w:r w:rsidR="005E78DE">
        <w:t xml:space="preserve"> </w:t>
      </w:r>
      <w:r w:rsidR="000724BC">
        <w:t>These powers were</w:t>
      </w:r>
      <w:r w:rsidR="00160DC6">
        <w:t xml:space="preserve"> not </w:t>
      </w:r>
      <w:r w:rsidR="00485FA4">
        <w:t>conferred</w:t>
      </w:r>
      <w:r w:rsidR="00160DC6">
        <w:t xml:space="preserve"> by </w:t>
      </w:r>
      <w:r w:rsidR="000724BC">
        <w:t xml:space="preserve">the June 2016 </w:t>
      </w:r>
      <w:r w:rsidR="009F4285">
        <w:t>order</w:t>
      </w:r>
      <w:r w:rsidR="000724BC">
        <w:t xml:space="preserve"> of the </w:t>
      </w:r>
      <w:r w:rsidR="00F3622B">
        <w:t>Competition Appeal Court</w:t>
      </w:r>
      <w:r w:rsidR="000724BC">
        <w:t xml:space="preserve">, </w:t>
      </w:r>
      <w:r w:rsidR="00160DC6">
        <w:t xml:space="preserve">as </w:t>
      </w:r>
      <w:r w:rsidR="00B06D2A">
        <w:t>the</w:t>
      </w:r>
      <w:r w:rsidR="000724BC">
        <w:t xml:space="preserve"> </w:t>
      </w:r>
      <w:r w:rsidR="00160DC6">
        <w:t>April 2017</w:t>
      </w:r>
      <w:r w:rsidR="000724BC">
        <w:t xml:space="preserve"> judgment seemingly</w:t>
      </w:r>
      <w:r w:rsidR="00160DC6">
        <w:t xml:space="preserve"> suggest</w:t>
      </w:r>
      <w:r w:rsidR="000724BC">
        <w:t>s</w:t>
      </w:r>
      <w:r w:rsidR="00160DC6">
        <w:t xml:space="preserve">. </w:t>
      </w:r>
      <w:r w:rsidR="008A04FE" w:rsidRPr="008A04FE">
        <w:t xml:space="preserve"> </w:t>
      </w:r>
      <w:r w:rsidR="00485FA4">
        <w:t>Th</w:t>
      </w:r>
      <w:r w:rsidR="00D736AF">
        <w:t>us</w:t>
      </w:r>
      <w:r w:rsidR="00485FA4">
        <w:t xml:space="preserve"> absent</w:t>
      </w:r>
      <w:r w:rsidR="008A04FE" w:rsidRPr="008A04FE">
        <w:t xml:space="preserve"> any prohibition in the June 2016</w:t>
      </w:r>
      <w:r w:rsidR="00160DC6">
        <w:t xml:space="preserve"> order </w:t>
      </w:r>
      <w:r w:rsidR="00160DC6">
        <w:lastRenderedPageBreak/>
        <w:t>relating to the Commission’s u</w:t>
      </w:r>
      <w:r w:rsidR="00A92A90">
        <w:t>se of its coercive and non-coerc</w:t>
      </w:r>
      <w:r w:rsidR="00160DC6">
        <w:t>ive statutory powers in car</w:t>
      </w:r>
      <w:r w:rsidR="00466982">
        <w:t>r</w:t>
      </w:r>
      <w:r w:rsidR="004422F6">
        <w:t>y</w:t>
      </w:r>
      <w:r w:rsidR="000724BC">
        <w:t>ing out its mandate under that</w:t>
      </w:r>
      <w:r w:rsidR="00160DC6">
        <w:t xml:space="preserve"> </w:t>
      </w:r>
      <w:r w:rsidR="00160DC6" w:rsidRPr="000724BC">
        <w:rPr>
          <w:noProof/>
        </w:rPr>
        <w:t>order</w:t>
      </w:r>
      <w:r w:rsidR="00160DC6">
        <w:t>,</w:t>
      </w:r>
      <w:r w:rsidR="008A04FE" w:rsidRPr="008A04FE">
        <w:t xml:space="preserve"> the Commission’s </w:t>
      </w:r>
      <w:r w:rsidR="008A04FE" w:rsidRPr="000724BC">
        <w:rPr>
          <w:noProof/>
        </w:rPr>
        <w:t>statutory</w:t>
      </w:r>
      <w:r w:rsidR="008A04FE" w:rsidRPr="008A04FE">
        <w:t xml:space="preserve"> </w:t>
      </w:r>
      <w:r w:rsidR="008A04FE" w:rsidRPr="000724BC">
        <w:rPr>
          <w:noProof/>
        </w:rPr>
        <w:t>power</w:t>
      </w:r>
      <w:r w:rsidR="00B55769" w:rsidRPr="000724BC">
        <w:rPr>
          <w:noProof/>
        </w:rPr>
        <w:t>s</w:t>
      </w:r>
      <w:r w:rsidR="008A04FE" w:rsidRPr="000724BC">
        <w:rPr>
          <w:noProof/>
        </w:rPr>
        <w:t xml:space="preserve"> remain</w:t>
      </w:r>
      <w:r w:rsidR="007B5FBF">
        <w:t xml:space="preserve"> intact.</w:t>
      </w:r>
    </w:p>
    <w:p w:rsidR="000724BC" w:rsidRPr="000724BC" w:rsidRDefault="000724BC" w:rsidP="000724BC">
      <w:pPr>
        <w:pStyle w:val="JUDGMENTCONTINUED"/>
      </w:pPr>
    </w:p>
    <w:p w:rsidR="00226FBA"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[52]</w:t>
      </w:r>
      <w:r>
        <w:rPr>
          <w:color w:val="000000"/>
          <w14:scene3d>
            <w14:camera w14:prst="orthographicFront"/>
            <w14:lightRig w14:rig="threePt" w14:dir="t">
              <w14:rot w14:lat="0" w14:lon="0" w14:rev="0"/>
            </w14:lightRig>
          </w14:scene3d>
        </w:rPr>
        <w:tab/>
      </w:r>
      <w:r w:rsidR="00230F9F">
        <w:t xml:space="preserve">Court orders are intended to provide </w:t>
      </w:r>
      <w:r w:rsidR="00230F9F" w:rsidRPr="000724BC">
        <w:rPr>
          <w:noProof/>
        </w:rPr>
        <w:t>effective</w:t>
      </w:r>
      <w:r w:rsidR="00230F9F">
        <w:t xml:space="preserve"> relief</w:t>
      </w:r>
      <w:r w:rsidR="009E7E1F">
        <w:t xml:space="preserve"> and must be capable of achieving </w:t>
      </w:r>
      <w:r w:rsidR="007D3511">
        <w:t xml:space="preserve">their </w:t>
      </w:r>
      <w:r w:rsidR="00635717">
        <w:t xml:space="preserve">intended </w:t>
      </w:r>
      <w:r w:rsidR="007D3511">
        <w:t>purpose.</w:t>
      </w:r>
      <w:r w:rsidR="00230F9F">
        <w:t xml:space="preserve"> </w:t>
      </w:r>
      <w:r w:rsidR="005E78DE">
        <w:t xml:space="preserve"> </w:t>
      </w:r>
      <w:r w:rsidR="007D3511">
        <w:t xml:space="preserve">That </w:t>
      </w:r>
      <w:r w:rsidR="00E34227">
        <w:t xml:space="preserve">must be the </w:t>
      </w:r>
      <w:r w:rsidR="007D3511">
        <w:t xml:space="preserve">starting </w:t>
      </w:r>
      <w:r w:rsidR="004422F6">
        <w:t xml:space="preserve">point </w:t>
      </w:r>
      <w:r w:rsidR="007D3511">
        <w:t>in interpreting a court order.</w:t>
      </w:r>
      <w:r w:rsidR="00226FBA" w:rsidRPr="00F84984">
        <w:rPr>
          <w:rStyle w:val="FootnoteReference"/>
          <w:szCs w:val="26"/>
        </w:rPr>
        <w:footnoteReference w:id="45"/>
      </w:r>
      <w:r w:rsidR="00226FBA">
        <w:t xml:space="preserve"> </w:t>
      </w:r>
      <w:r w:rsidR="00226FBA" w:rsidRPr="0007181D">
        <w:t xml:space="preserve"> </w:t>
      </w:r>
      <w:r w:rsidR="00226FBA">
        <w:t xml:space="preserve">The well-established </w:t>
      </w:r>
      <w:r w:rsidR="00226FBA" w:rsidRPr="00503616">
        <w:rPr>
          <w:noProof/>
        </w:rPr>
        <w:t>principles</w:t>
      </w:r>
      <w:r w:rsidR="00226FBA">
        <w:t xml:space="preserve"> governing the interpretation of a court order </w:t>
      </w:r>
      <w:r w:rsidR="00226FBA" w:rsidRPr="000724BC">
        <w:rPr>
          <w:noProof/>
        </w:rPr>
        <w:t>were expounded</w:t>
      </w:r>
      <w:r w:rsidR="00226FBA">
        <w:t xml:space="preserve"> in </w:t>
      </w:r>
      <w:r w:rsidR="00226FBA" w:rsidRPr="009E7E1F">
        <w:rPr>
          <w:i/>
        </w:rPr>
        <w:t>Firestone</w:t>
      </w:r>
      <w:r w:rsidR="00226FBA" w:rsidRPr="00D032C3">
        <w:rPr>
          <w:rStyle w:val="FootnoteReference"/>
        </w:rPr>
        <w:t xml:space="preserve"> </w:t>
      </w:r>
      <w:bookmarkStart w:id="9" w:name="_Ref525131596"/>
      <w:r w:rsidR="00226FBA">
        <w:rPr>
          <w:rStyle w:val="FootnoteReference"/>
        </w:rPr>
        <w:footnoteReference w:id="46"/>
      </w:r>
      <w:bookmarkEnd w:id="9"/>
      <w:r w:rsidR="00226FBA">
        <w:t xml:space="preserve"> and more recently endorsed in </w:t>
      </w:r>
      <w:r w:rsidR="00226FBA" w:rsidRPr="009E7E1F">
        <w:rPr>
          <w:i/>
        </w:rPr>
        <w:t>Eke</w:t>
      </w:r>
      <w:r w:rsidR="00635717">
        <w:t>:</w:t>
      </w:r>
    </w:p>
    <w:p w:rsidR="007B5FBF" w:rsidRPr="007B5FBF" w:rsidRDefault="007B5FBF" w:rsidP="007B5FBF">
      <w:pPr>
        <w:pStyle w:val="QUOTATION"/>
      </w:pPr>
    </w:p>
    <w:p w:rsidR="00226FBA" w:rsidRDefault="00F65BA7" w:rsidP="00226FBA">
      <w:pPr>
        <w:pStyle w:val="QUOTATION"/>
      </w:pPr>
      <w:r>
        <w:t>“</w:t>
      </w:r>
      <w:r w:rsidR="00226FBA" w:rsidRPr="00256008">
        <w:t xml:space="preserve">The starting point is to determine the manifest purpose of the order.  In interpreting a judgment or order, the court’s intention is to be ascertained primarily from the language of the judgment or order </w:t>
      </w:r>
      <w:r w:rsidR="00226FBA" w:rsidRPr="000724BC">
        <w:rPr>
          <w:noProof/>
        </w:rPr>
        <w:t>in accordance with</w:t>
      </w:r>
      <w:r w:rsidR="00226FBA" w:rsidRPr="00256008">
        <w:t xml:space="preserve"> the usual well-known rules relating to the interpretation of documents.  As in the case of a document, the judgment or order and the court’s reasons for giving it must </w:t>
      </w:r>
      <w:r w:rsidR="00226FBA" w:rsidRPr="000724BC">
        <w:rPr>
          <w:noProof/>
        </w:rPr>
        <w:t>be read</w:t>
      </w:r>
      <w:r w:rsidR="00226FBA" w:rsidRPr="00256008">
        <w:t xml:space="preserve"> as a whole </w:t>
      </w:r>
      <w:r w:rsidR="00226FBA" w:rsidRPr="000724BC">
        <w:rPr>
          <w:noProof/>
        </w:rPr>
        <w:t>in order to</w:t>
      </w:r>
      <w:r w:rsidR="00226FBA">
        <w:t xml:space="preserve"> ascertain its intention</w:t>
      </w:r>
      <w:r w:rsidR="00A52686">
        <w:t>.</w:t>
      </w:r>
      <w:r>
        <w:t>”</w:t>
      </w:r>
      <w:bookmarkStart w:id="10" w:name="_Ref525656250"/>
      <w:r w:rsidR="00B06D2A" w:rsidRPr="00256008">
        <w:rPr>
          <w:rStyle w:val="FootnoteReference"/>
          <w:rFonts w:cs="Arial"/>
          <w:szCs w:val="26"/>
        </w:rPr>
        <w:footnoteReference w:id="47"/>
      </w:r>
      <w:bookmarkEnd w:id="10"/>
    </w:p>
    <w:p w:rsidR="00155E19" w:rsidRDefault="00155E19" w:rsidP="007B5FBF">
      <w:pPr>
        <w:pStyle w:val="JUDGMENTCONTINUED"/>
      </w:pPr>
    </w:p>
    <w:p w:rsidR="00155E19" w:rsidRPr="00B32555" w:rsidRDefault="006970A9" w:rsidP="006970A9">
      <w:pPr>
        <w:pStyle w:val="JUDGMENTNUMBERED"/>
        <w:numPr>
          <w:ilvl w:val="0"/>
          <w:numId w:val="0"/>
        </w:numPr>
      </w:pPr>
      <w:r w:rsidRPr="00B32555">
        <w:rPr>
          <w:color w:val="000000"/>
          <w14:scene3d>
            <w14:camera w14:prst="orthographicFront"/>
            <w14:lightRig w14:rig="threePt" w14:dir="t">
              <w14:rot w14:lat="0" w14:lon="0" w14:rev="0"/>
            </w14:lightRig>
          </w14:scene3d>
        </w:rPr>
        <w:t>[53]</w:t>
      </w:r>
      <w:r w:rsidRPr="00B32555">
        <w:rPr>
          <w:color w:val="000000"/>
          <w14:scene3d>
            <w14:camera w14:prst="orthographicFront"/>
            <w14:lightRig w14:rig="threePt" w14:dir="t">
              <w14:rot w14:lat="0" w14:lon="0" w14:rev="0"/>
            </w14:lightRig>
          </w14:scene3d>
        </w:rPr>
        <w:tab/>
      </w:r>
      <w:r w:rsidR="00155E19" w:rsidRPr="00B32555">
        <w:t xml:space="preserve">In </w:t>
      </w:r>
      <w:r w:rsidR="005A3F83" w:rsidRPr="00B32555">
        <w:t xml:space="preserve">respect of </w:t>
      </w:r>
      <w:r w:rsidR="00155E19" w:rsidRPr="00B32555">
        <w:t>an order that is “clear and unambiguous</w:t>
      </w:r>
      <w:r w:rsidR="005A3F83" w:rsidRPr="00B32555">
        <w:t>”</w:t>
      </w:r>
      <w:r w:rsidR="00DB5365" w:rsidRPr="00B32555">
        <w:t>,</w:t>
      </w:r>
      <w:r w:rsidR="00155E19" w:rsidRPr="00B32555">
        <w:t xml:space="preserve"> </w:t>
      </w:r>
      <w:r w:rsidR="00155E19" w:rsidRPr="003B6393">
        <w:rPr>
          <w:i/>
        </w:rPr>
        <w:t xml:space="preserve">Firestone </w:t>
      </w:r>
      <w:r w:rsidR="00155E19" w:rsidRPr="00B32555">
        <w:t>enunciated</w:t>
      </w:r>
      <w:r w:rsidR="007B5FBF" w:rsidRPr="00B32555">
        <w:t>:</w:t>
      </w:r>
    </w:p>
    <w:p w:rsidR="007B5FBF" w:rsidRPr="007B5FBF" w:rsidRDefault="007B5FBF" w:rsidP="007B5FBF">
      <w:pPr>
        <w:pStyle w:val="QUOTATION"/>
      </w:pPr>
    </w:p>
    <w:p w:rsidR="00155E19" w:rsidRPr="00886C64" w:rsidRDefault="00F65BA7" w:rsidP="00155E19">
      <w:pPr>
        <w:pStyle w:val="QUOTATION"/>
      </w:pPr>
      <w:r>
        <w:t>“</w:t>
      </w:r>
      <w:r w:rsidR="00155E19">
        <w:t>If</w:t>
      </w:r>
      <w:r w:rsidR="004C5E5A">
        <w:t>,</w:t>
      </w:r>
      <w:r w:rsidR="00155E19">
        <w:t xml:space="preserve"> on such a reading</w:t>
      </w:r>
      <w:r w:rsidR="004C5E5A">
        <w:t>,</w:t>
      </w:r>
      <w:r w:rsidR="00155E19">
        <w:t xml:space="preserve"> the meaning of the</w:t>
      </w:r>
      <w:r w:rsidR="00A52686">
        <w:t xml:space="preserve"> judgment or</w:t>
      </w:r>
      <w:r w:rsidR="00155E19">
        <w:t xml:space="preserve"> o</w:t>
      </w:r>
      <w:r w:rsidR="004C5E5A">
        <w:t xml:space="preserve">rder is clear and unambiguous, </w:t>
      </w:r>
      <w:r w:rsidR="00155E19">
        <w:t xml:space="preserve">no extrinsic fact or evidence is admissible to contradict, vary, qualify, or supplement it. </w:t>
      </w:r>
      <w:r w:rsidR="00250689">
        <w:t>. . .</w:t>
      </w:r>
      <w:r w:rsidR="00155E19">
        <w:t>[N]</w:t>
      </w:r>
      <w:proofErr w:type="spellStart"/>
      <w:r w:rsidR="00155E19">
        <w:t>ot</w:t>
      </w:r>
      <w:proofErr w:type="spellEnd"/>
      <w:r w:rsidR="00155E19">
        <w:t xml:space="preserve"> even the court that gave the judgment or order can be asked to state what its subjective intention was in giving it.</w:t>
      </w:r>
      <w:r w:rsidRPr="00B32555">
        <w:t>”</w:t>
      </w:r>
      <w:r w:rsidR="00155E19" w:rsidRPr="00B32555">
        <w:rPr>
          <w:rStyle w:val="FootnoteReference"/>
          <w:szCs w:val="26"/>
        </w:rPr>
        <w:footnoteReference w:id="48"/>
      </w:r>
    </w:p>
    <w:p w:rsidR="00155E19" w:rsidRPr="00441077" w:rsidRDefault="00155E19" w:rsidP="007B5FBF">
      <w:pPr>
        <w:pStyle w:val="JUDGMENTCONTINUED"/>
      </w:pPr>
    </w:p>
    <w:p w:rsidR="00461D83" w:rsidRDefault="006970A9" w:rsidP="006970A9">
      <w:pPr>
        <w:pStyle w:val="JUDGMENTNUMBERED"/>
        <w:numPr>
          <w:ilvl w:val="0"/>
          <w:numId w:val="0"/>
        </w:numPr>
        <w:rPr>
          <w:szCs w:val="26"/>
        </w:rPr>
      </w:pPr>
      <w:r>
        <w:rPr>
          <w:color w:val="000000"/>
          <w:szCs w:val="26"/>
          <w14:scene3d>
            <w14:camera w14:prst="orthographicFront"/>
            <w14:lightRig w14:rig="threePt" w14:dir="t">
              <w14:rot w14:lat="0" w14:lon="0" w14:rev="0"/>
            </w14:lightRig>
          </w14:scene3d>
        </w:rPr>
        <w:t>[54]</w:t>
      </w:r>
      <w:r>
        <w:rPr>
          <w:color w:val="000000"/>
          <w:szCs w:val="26"/>
          <w14:scene3d>
            <w14:camera w14:prst="orthographicFront"/>
            <w14:lightRig w14:rig="threePt" w14:dir="t">
              <w14:rot w14:lat="0" w14:lon="0" w14:rev="0"/>
            </w14:lightRig>
          </w14:scene3d>
        </w:rPr>
        <w:tab/>
      </w:r>
      <w:r w:rsidR="00461D83" w:rsidRPr="00441077">
        <w:rPr>
          <w:szCs w:val="26"/>
        </w:rPr>
        <w:t xml:space="preserve">The June 2016 order must </w:t>
      </w:r>
      <w:r w:rsidR="00461D83" w:rsidRPr="00582F18">
        <w:rPr>
          <w:noProof/>
          <w:szCs w:val="26"/>
        </w:rPr>
        <w:t>be interpreted</w:t>
      </w:r>
      <w:r w:rsidR="00461D83" w:rsidRPr="00441077">
        <w:rPr>
          <w:szCs w:val="26"/>
        </w:rPr>
        <w:t xml:space="preserve"> in line with </w:t>
      </w:r>
      <w:r w:rsidR="005A3F83" w:rsidRPr="005A3F83">
        <w:rPr>
          <w:i/>
          <w:szCs w:val="26"/>
        </w:rPr>
        <w:t>Firestone</w:t>
      </w:r>
      <w:r w:rsidR="005A3F83">
        <w:rPr>
          <w:szCs w:val="26"/>
        </w:rPr>
        <w:t xml:space="preserve"> and </w:t>
      </w:r>
      <w:r w:rsidR="00461D83" w:rsidRPr="00F84984">
        <w:rPr>
          <w:i/>
          <w:szCs w:val="26"/>
        </w:rPr>
        <w:t>Eke</w:t>
      </w:r>
      <w:r w:rsidR="00461D83" w:rsidRPr="005A3F83">
        <w:rPr>
          <w:noProof/>
          <w:szCs w:val="26"/>
        </w:rPr>
        <w:t xml:space="preserve"> to</w:t>
      </w:r>
      <w:r w:rsidR="00461D83" w:rsidRPr="0072772F">
        <w:rPr>
          <w:szCs w:val="26"/>
        </w:rPr>
        <w:t xml:space="preserve"> ascertain the </w:t>
      </w:r>
      <w:r w:rsidR="00F3622B">
        <w:t>Competition Appeal Court</w:t>
      </w:r>
      <w:r w:rsidR="00461D83" w:rsidRPr="0072772F">
        <w:rPr>
          <w:szCs w:val="26"/>
        </w:rPr>
        <w:t>’s intentio</w:t>
      </w:r>
      <w:r w:rsidR="00461D83" w:rsidRPr="00FF7E0B">
        <w:rPr>
          <w:szCs w:val="26"/>
        </w:rPr>
        <w:t xml:space="preserve">n from the reasons </w:t>
      </w:r>
      <w:r w:rsidR="00461D83" w:rsidRPr="00F83F60">
        <w:rPr>
          <w:noProof/>
          <w:szCs w:val="26"/>
        </w:rPr>
        <w:t>for the</w:t>
      </w:r>
      <w:r w:rsidR="00461D83" w:rsidRPr="00FF7E0B">
        <w:rPr>
          <w:szCs w:val="26"/>
        </w:rPr>
        <w:t xml:space="preserve"> judgment </w:t>
      </w:r>
      <w:r w:rsidR="00461D83" w:rsidRPr="00FF7E0B">
        <w:rPr>
          <w:szCs w:val="26"/>
        </w:rPr>
        <w:lastRenderedPageBreak/>
        <w:t xml:space="preserve">and the </w:t>
      </w:r>
      <w:r w:rsidR="00461D83" w:rsidRPr="00FE1283">
        <w:rPr>
          <w:noProof/>
          <w:szCs w:val="26"/>
        </w:rPr>
        <w:t>order</w:t>
      </w:r>
      <w:r w:rsidR="00461D83" w:rsidRPr="00FF7E0B">
        <w:rPr>
          <w:szCs w:val="26"/>
        </w:rPr>
        <w:t xml:space="preserve"> as a whole. </w:t>
      </w:r>
      <w:r w:rsidR="00BA78FC">
        <w:rPr>
          <w:szCs w:val="26"/>
        </w:rPr>
        <w:t xml:space="preserve"> </w:t>
      </w:r>
      <w:r w:rsidR="00461D83" w:rsidRPr="00FF7E0B">
        <w:rPr>
          <w:szCs w:val="26"/>
        </w:rPr>
        <w:t xml:space="preserve">A determination of the legal context within which the words in </w:t>
      </w:r>
      <w:r w:rsidR="000724BC" w:rsidRPr="00FE1283">
        <w:rPr>
          <w:noProof/>
          <w:szCs w:val="26"/>
        </w:rPr>
        <w:t xml:space="preserve">an </w:t>
      </w:r>
      <w:r w:rsidR="00BA78FC" w:rsidRPr="00FE1283">
        <w:rPr>
          <w:noProof/>
          <w:szCs w:val="26"/>
        </w:rPr>
        <w:t>order</w:t>
      </w:r>
      <w:r w:rsidR="00461D83" w:rsidRPr="00FF7E0B">
        <w:rPr>
          <w:szCs w:val="26"/>
        </w:rPr>
        <w:t xml:space="preserve"> </w:t>
      </w:r>
      <w:r w:rsidR="00461D83" w:rsidRPr="00FE1283">
        <w:rPr>
          <w:noProof/>
          <w:szCs w:val="26"/>
        </w:rPr>
        <w:t>are used</w:t>
      </w:r>
      <w:r w:rsidR="00461D83" w:rsidRPr="00FF7E0B">
        <w:rPr>
          <w:szCs w:val="26"/>
        </w:rPr>
        <w:t xml:space="preserve"> is also required.</w:t>
      </w:r>
      <w:r w:rsidR="00B62C83" w:rsidRPr="00F84984">
        <w:rPr>
          <w:rStyle w:val="FootnoteReference"/>
          <w:szCs w:val="26"/>
        </w:rPr>
        <w:footnoteReference w:id="49"/>
      </w:r>
      <w:r w:rsidR="00461D83" w:rsidRPr="00F84984">
        <w:rPr>
          <w:szCs w:val="26"/>
        </w:rPr>
        <w:t xml:space="preserve"> </w:t>
      </w:r>
      <w:r w:rsidR="00BA78FC">
        <w:rPr>
          <w:szCs w:val="26"/>
        </w:rPr>
        <w:t xml:space="preserve"> </w:t>
      </w:r>
      <w:r w:rsidR="00461D83" w:rsidRPr="00441077">
        <w:rPr>
          <w:szCs w:val="26"/>
        </w:rPr>
        <w:t>The</w:t>
      </w:r>
      <w:r w:rsidR="00461D83" w:rsidRPr="0072772F">
        <w:rPr>
          <w:szCs w:val="26"/>
        </w:rPr>
        <w:t xml:space="preserve"> legal </w:t>
      </w:r>
      <w:r w:rsidR="00461D83" w:rsidRPr="00FE1283">
        <w:rPr>
          <w:noProof/>
          <w:szCs w:val="26"/>
        </w:rPr>
        <w:t>context</w:t>
      </w:r>
      <w:r w:rsidR="00461D83" w:rsidRPr="0072772F">
        <w:rPr>
          <w:szCs w:val="26"/>
        </w:rPr>
        <w:t xml:space="preserve"> here is the </w:t>
      </w:r>
      <w:r w:rsidR="00D877BA" w:rsidRPr="0072772F">
        <w:rPr>
          <w:szCs w:val="26"/>
        </w:rPr>
        <w:t xml:space="preserve">Competition </w:t>
      </w:r>
      <w:r w:rsidR="00461D83" w:rsidRPr="00FF7E0B">
        <w:rPr>
          <w:szCs w:val="26"/>
        </w:rPr>
        <w:t xml:space="preserve">Act and the </w:t>
      </w:r>
      <w:r w:rsidR="00A52686">
        <w:rPr>
          <w:szCs w:val="26"/>
        </w:rPr>
        <w:t xml:space="preserve">investigative </w:t>
      </w:r>
      <w:r w:rsidR="00461D83" w:rsidRPr="00FF7E0B">
        <w:rPr>
          <w:szCs w:val="26"/>
        </w:rPr>
        <w:t xml:space="preserve">powers </w:t>
      </w:r>
      <w:r w:rsidR="000A5DC2">
        <w:rPr>
          <w:szCs w:val="26"/>
        </w:rPr>
        <w:t xml:space="preserve">and duties </w:t>
      </w:r>
      <w:r w:rsidR="009B4126">
        <w:rPr>
          <w:szCs w:val="26"/>
        </w:rPr>
        <w:t>that it confer</w:t>
      </w:r>
      <w:r w:rsidR="00635717">
        <w:rPr>
          <w:szCs w:val="26"/>
        </w:rPr>
        <w:t>s</w:t>
      </w:r>
      <w:r w:rsidR="00461D83" w:rsidRPr="00FF7E0B">
        <w:rPr>
          <w:szCs w:val="26"/>
        </w:rPr>
        <w:t xml:space="preserve"> on the Commission </w:t>
      </w:r>
      <w:r w:rsidR="00461D83" w:rsidRPr="002C14BF">
        <w:rPr>
          <w:noProof/>
          <w:szCs w:val="26"/>
        </w:rPr>
        <w:t>to</w:t>
      </w:r>
      <w:r w:rsidR="00461D83" w:rsidRPr="00FF7E0B">
        <w:rPr>
          <w:szCs w:val="26"/>
        </w:rPr>
        <w:t xml:space="preserve"> </w:t>
      </w:r>
      <w:r w:rsidR="00CD02E4">
        <w:rPr>
          <w:szCs w:val="26"/>
        </w:rPr>
        <w:t xml:space="preserve">effectively </w:t>
      </w:r>
      <w:r w:rsidR="00461D83" w:rsidRPr="00FF7E0B">
        <w:rPr>
          <w:szCs w:val="26"/>
        </w:rPr>
        <w:t xml:space="preserve">discharge its investigative </w:t>
      </w:r>
      <w:r w:rsidR="00461D83" w:rsidRPr="00E626EC">
        <w:rPr>
          <w:noProof/>
          <w:szCs w:val="26"/>
        </w:rPr>
        <w:t>responsibilities</w:t>
      </w:r>
      <w:r w:rsidR="00461D83" w:rsidRPr="00FF7E0B">
        <w:rPr>
          <w:szCs w:val="26"/>
        </w:rPr>
        <w:t xml:space="preserve"> and </w:t>
      </w:r>
      <w:r w:rsidR="00461D83" w:rsidRPr="00503616">
        <w:rPr>
          <w:noProof/>
          <w:szCs w:val="26"/>
        </w:rPr>
        <w:t>reporting</w:t>
      </w:r>
      <w:r w:rsidR="00651121" w:rsidRPr="00503616">
        <w:rPr>
          <w:noProof/>
          <w:szCs w:val="26"/>
        </w:rPr>
        <w:t xml:space="preserve"> </w:t>
      </w:r>
      <w:r w:rsidR="00461D83" w:rsidRPr="00503616">
        <w:rPr>
          <w:noProof/>
          <w:szCs w:val="26"/>
        </w:rPr>
        <w:t>role</w:t>
      </w:r>
      <w:r w:rsidR="00CD02E4">
        <w:rPr>
          <w:szCs w:val="26"/>
        </w:rPr>
        <w:t xml:space="preserve"> to the Tribunal</w:t>
      </w:r>
      <w:r w:rsidR="00D736AF">
        <w:rPr>
          <w:szCs w:val="26"/>
        </w:rPr>
        <w:t>,</w:t>
      </w:r>
      <w:r w:rsidR="00CD02E4">
        <w:rPr>
          <w:szCs w:val="26"/>
        </w:rPr>
        <w:t xml:space="preserve"> in</w:t>
      </w:r>
      <w:r w:rsidR="00F14CC9">
        <w:rPr>
          <w:szCs w:val="26"/>
        </w:rPr>
        <w:t xml:space="preserve"> the context of the implementation of a suspected merger in </w:t>
      </w:r>
      <w:r w:rsidR="00CD02E4">
        <w:rPr>
          <w:szCs w:val="26"/>
        </w:rPr>
        <w:t xml:space="preserve">contravention </w:t>
      </w:r>
      <w:r w:rsidR="00F14CC9">
        <w:rPr>
          <w:szCs w:val="26"/>
        </w:rPr>
        <w:t>of section 13A(3)</w:t>
      </w:r>
      <w:r w:rsidR="00CD02E4">
        <w:rPr>
          <w:szCs w:val="26"/>
        </w:rPr>
        <w:t xml:space="preserve"> </w:t>
      </w:r>
      <w:r w:rsidR="00F14CC9">
        <w:rPr>
          <w:szCs w:val="26"/>
        </w:rPr>
        <w:t xml:space="preserve">of the Act. </w:t>
      </w:r>
      <w:r w:rsidR="006429C1">
        <w:rPr>
          <w:szCs w:val="26"/>
        </w:rPr>
        <w:t xml:space="preserve"> </w:t>
      </w:r>
      <w:r w:rsidR="00461D83" w:rsidRPr="00F14CC9">
        <w:rPr>
          <w:szCs w:val="26"/>
        </w:rPr>
        <w:t xml:space="preserve">The Commission’s mandate under the June 2016 order must </w:t>
      </w:r>
      <w:r w:rsidR="00461D83" w:rsidRPr="00FE1283">
        <w:rPr>
          <w:noProof/>
          <w:szCs w:val="26"/>
        </w:rPr>
        <w:t>be understood</w:t>
      </w:r>
      <w:r w:rsidR="00461D83" w:rsidRPr="00F14CC9">
        <w:rPr>
          <w:szCs w:val="26"/>
        </w:rPr>
        <w:t xml:space="preserve"> in this context.</w:t>
      </w:r>
    </w:p>
    <w:p w:rsidR="00837E8C" w:rsidRDefault="00837E8C" w:rsidP="00837E8C">
      <w:pPr>
        <w:pStyle w:val="JUDGMENTCONTINUED"/>
      </w:pPr>
    </w:p>
    <w:p w:rsidR="00AA3980"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[55]</w:t>
      </w:r>
      <w:r>
        <w:rPr>
          <w:color w:val="000000"/>
          <w14:scene3d>
            <w14:camera w14:prst="orthographicFront"/>
            <w14:lightRig w14:rig="threePt" w14:dir="t">
              <w14:rot w14:lat="0" w14:lon="0" w14:rev="0"/>
            </w14:lightRig>
          </w14:scene3d>
        </w:rPr>
        <w:tab/>
      </w:r>
      <w:r w:rsidR="00FE1283">
        <w:t>A</w:t>
      </w:r>
      <w:r w:rsidR="007D317F">
        <w:t>pplying the</w:t>
      </w:r>
      <w:r w:rsidR="00635717">
        <w:t>se</w:t>
      </w:r>
      <w:r w:rsidR="007D317F">
        <w:t xml:space="preserve"> principles, I </w:t>
      </w:r>
      <w:r w:rsidR="00635717">
        <w:t xml:space="preserve">fail </w:t>
      </w:r>
      <w:r w:rsidR="007D317F">
        <w:t xml:space="preserve">to see how the June 2016 </w:t>
      </w:r>
      <w:r w:rsidR="00AA7FA9">
        <w:t xml:space="preserve">order </w:t>
      </w:r>
      <w:r w:rsidR="007D317F" w:rsidRPr="00FE1283">
        <w:rPr>
          <w:noProof/>
        </w:rPr>
        <w:t>can</w:t>
      </w:r>
      <w:r w:rsidR="007D317F">
        <w:t xml:space="preserve"> be understood to have curtailed the Commission’s ability to exercise its statutory powers of investigati</w:t>
      </w:r>
      <w:r w:rsidR="0091186B">
        <w:t>on</w:t>
      </w:r>
      <w:r w:rsidR="00DA78F2">
        <w:t xml:space="preserve"> under Part </w:t>
      </w:r>
      <w:r w:rsidR="00A243FC">
        <w:t xml:space="preserve">B of </w:t>
      </w:r>
      <w:r w:rsidR="00DA78F2">
        <w:t xml:space="preserve">Chapter 5 of the </w:t>
      </w:r>
      <w:r w:rsidR="00F65BA7">
        <w:t>Competition</w:t>
      </w:r>
      <w:r w:rsidR="00DA78F2">
        <w:t xml:space="preserve"> Act</w:t>
      </w:r>
      <w:r w:rsidR="00F65BA7">
        <w:t xml:space="preserve">. </w:t>
      </w:r>
      <w:r w:rsidR="00DA78F2">
        <w:t xml:space="preserve"> </w:t>
      </w:r>
      <w:r w:rsidR="00603D3E">
        <w:t>B</w:t>
      </w:r>
      <w:r w:rsidR="007D317F">
        <w:t xml:space="preserve">ut the </w:t>
      </w:r>
      <w:r w:rsidR="00F3622B">
        <w:t>Competition Appeal Court</w:t>
      </w:r>
      <w:r w:rsidR="007D317F">
        <w:t xml:space="preserve"> found otherwise</w:t>
      </w:r>
      <w:r w:rsidR="00635717">
        <w:t xml:space="preserve"> in its </w:t>
      </w:r>
      <w:r w:rsidR="00D736AF">
        <w:t xml:space="preserve">judgment of </w:t>
      </w:r>
      <w:r w:rsidR="00635717">
        <w:t>April 2017</w:t>
      </w:r>
      <w:r w:rsidR="00D736AF">
        <w:t>.</w:t>
      </w:r>
      <w:r w:rsidR="00635717">
        <w:t xml:space="preserve"> </w:t>
      </w:r>
      <w:r w:rsidR="00F65BA7">
        <w:t xml:space="preserve"> </w:t>
      </w:r>
      <w:r w:rsidR="007D317F">
        <w:t>The</w:t>
      </w:r>
      <w:r w:rsidR="002E1E11">
        <w:t>re</w:t>
      </w:r>
      <w:r w:rsidR="00690D4D">
        <w:t xml:space="preserve"> are</w:t>
      </w:r>
      <w:r w:rsidR="00FE1283">
        <w:t>, however,</w:t>
      </w:r>
      <w:r w:rsidR="0056756D">
        <w:t xml:space="preserve"> </w:t>
      </w:r>
      <w:r w:rsidR="00D736AF">
        <w:t>apparent</w:t>
      </w:r>
      <w:r w:rsidR="0056756D">
        <w:t xml:space="preserve"> </w:t>
      </w:r>
      <w:r w:rsidR="00690D4D" w:rsidRPr="00FE1283">
        <w:rPr>
          <w:noProof/>
        </w:rPr>
        <w:t>discrepancies</w:t>
      </w:r>
      <w:r w:rsidR="007D317F" w:rsidRPr="00FE1283">
        <w:rPr>
          <w:noProof/>
        </w:rPr>
        <w:t xml:space="preserve"> between</w:t>
      </w:r>
      <w:r w:rsidR="007D317F">
        <w:t xml:space="preserve"> </w:t>
      </w:r>
      <w:r w:rsidR="0080747D">
        <w:t>its reasoning in the two judgments.</w:t>
      </w:r>
    </w:p>
    <w:p w:rsidR="0056756D" w:rsidRDefault="0056756D" w:rsidP="00690D4D">
      <w:pPr>
        <w:pStyle w:val="JUDGMENTNUMBERED"/>
        <w:numPr>
          <w:ilvl w:val="0"/>
          <w:numId w:val="0"/>
        </w:numPr>
      </w:pPr>
    </w:p>
    <w:p w:rsidR="00276DF5"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[56]</w:t>
      </w:r>
      <w:r>
        <w:rPr>
          <w:color w:val="000000"/>
          <w14:scene3d>
            <w14:camera w14:prst="orthographicFront"/>
            <w14:lightRig w14:rig="threePt" w14:dir="t">
              <w14:rot w14:lat="0" w14:lon="0" w14:rev="0"/>
            </w14:lightRig>
          </w14:scene3d>
        </w:rPr>
        <w:tab/>
      </w:r>
      <w:r w:rsidR="007D317F" w:rsidRPr="003544F3">
        <w:t xml:space="preserve">In its </w:t>
      </w:r>
      <w:r w:rsidR="00D736AF">
        <w:t xml:space="preserve">June 2016 </w:t>
      </w:r>
      <w:r w:rsidR="00FE1283">
        <w:t xml:space="preserve">judgment, the </w:t>
      </w:r>
      <w:r w:rsidR="00F3622B">
        <w:t>Competition Appeal Court</w:t>
      </w:r>
      <w:r w:rsidR="002E1E11">
        <w:t xml:space="preserve"> found that</w:t>
      </w:r>
      <w:r w:rsidR="007D317F" w:rsidRPr="003544F3">
        <w:t xml:space="preserve"> the public interest demanded that the Commission </w:t>
      </w:r>
      <w:r w:rsidR="007D317F" w:rsidRPr="00503616">
        <w:rPr>
          <w:noProof/>
        </w:rPr>
        <w:t>investigate</w:t>
      </w:r>
      <w:r w:rsidR="007D317F" w:rsidRPr="003544F3">
        <w:t xml:space="preserve"> the </w:t>
      </w:r>
      <w:r w:rsidR="00DA78F2">
        <w:rPr>
          <w:noProof/>
        </w:rPr>
        <w:t>agreement,</w:t>
      </w:r>
      <w:r w:rsidR="007D317F" w:rsidRPr="003544F3">
        <w:t xml:space="preserve"> and </w:t>
      </w:r>
      <w:r w:rsidR="007D317F">
        <w:t xml:space="preserve">it </w:t>
      </w:r>
      <w:r w:rsidR="007D317F" w:rsidRPr="003544F3">
        <w:t>criticised the Tribunal for adopting a formalistic</w:t>
      </w:r>
      <w:r w:rsidR="002E1E11">
        <w:t>,</w:t>
      </w:r>
      <w:r w:rsidR="007D317F" w:rsidRPr="003544F3">
        <w:t xml:space="preserve"> </w:t>
      </w:r>
      <w:r w:rsidR="007566F1">
        <w:t xml:space="preserve">as opposed to </w:t>
      </w:r>
      <w:r w:rsidR="002E1E11">
        <w:t xml:space="preserve">a substantive, </w:t>
      </w:r>
      <w:r w:rsidR="007D317F" w:rsidRPr="003544F3">
        <w:t xml:space="preserve">approach by applying </w:t>
      </w:r>
      <w:proofErr w:type="spellStart"/>
      <w:r w:rsidR="007D317F" w:rsidRPr="00B3743F">
        <w:rPr>
          <w:i/>
        </w:rPr>
        <w:t>Plascon</w:t>
      </w:r>
      <w:proofErr w:type="spellEnd"/>
      <w:r w:rsidR="00DB5365">
        <w:rPr>
          <w:i/>
        </w:rPr>
        <w:t>-</w:t>
      </w:r>
      <w:r w:rsidR="007D317F" w:rsidRPr="00B3743F">
        <w:rPr>
          <w:i/>
        </w:rPr>
        <w:t>Evans</w:t>
      </w:r>
      <w:r w:rsidR="007D317F" w:rsidRPr="003544F3">
        <w:t xml:space="preserve">. </w:t>
      </w:r>
      <w:r w:rsidR="00F65BA7">
        <w:t xml:space="preserve"> </w:t>
      </w:r>
      <w:r w:rsidR="0056756D">
        <w:t xml:space="preserve">In contrast, </w:t>
      </w:r>
      <w:r w:rsidR="007D317F" w:rsidRPr="003544F3">
        <w:t xml:space="preserve">in its </w:t>
      </w:r>
      <w:r w:rsidR="00690D4D">
        <w:t xml:space="preserve">April 2017 </w:t>
      </w:r>
      <w:r w:rsidR="007D317F" w:rsidRPr="003544F3">
        <w:t>judgment</w:t>
      </w:r>
      <w:r w:rsidR="00690D4D">
        <w:t>,</w:t>
      </w:r>
      <w:r w:rsidR="007D317F" w:rsidRPr="003544F3">
        <w:t xml:space="preserve"> the </w:t>
      </w:r>
      <w:r w:rsidR="00F3622B">
        <w:t>Competition Appeal Court</w:t>
      </w:r>
      <w:r w:rsidR="007D317F" w:rsidRPr="003544F3">
        <w:t xml:space="preserve"> </w:t>
      </w:r>
      <w:r w:rsidR="0056756D">
        <w:t>held</w:t>
      </w:r>
      <w:r w:rsidR="007D317F" w:rsidRPr="003544F3">
        <w:t>, regardless of the inadequacy of the documentary evidence</w:t>
      </w:r>
      <w:r w:rsidR="007D317F">
        <w:t xml:space="preserve"> furnished</w:t>
      </w:r>
      <w:r w:rsidR="007D317F" w:rsidRPr="003544F3">
        <w:t xml:space="preserve">, that the Commission must complete its investigation </w:t>
      </w:r>
      <w:r w:rsidR="0056756D" w:rsidRPr="00FE1283">
        <w:rPr>
          <w:noProof/>
        </w:rPr>
        <w:t>simply</w:t>
      </w:r>
      <w:r w:rsidR="0056756D">
        <w:t xml:space="preserve"> on the documents before it, and </w:t>
      </w:r>
      <w:r w:rsidR="007D317F" w:rsidRPr="003544F3">
        <w:t>without interviewing any of the individuals involved in the ne</w:t>
      </w:r>
      <w:r w:rsidR="007D317F">
        <w:t>gotiation or conclusion of the</w:t>
      </w:r>
      <w:r w:rsidR="001F0945">
        <w:t xml:space="preserve"> </w:t>
      </w:r>
      <w:r w:rsidR="00313B83">
        <w:t>a</w:t>
      </w:r>
      <w:r w:rsidR="00C708BA">
        <w:t>greement</w:t>
      </w:r>
      <w:r w:rsidR="001F0945">
        <w:t>.</w:t>
      </w:r>
      <w:r w:rsidR="00690D4D">
        <w:t xml:space="preserve"> </w:t>
      </w:r>
      <w:r w:rsidR="00F65BA7">
        <w:t xml:space="preserve"> </w:t>
      </w:r>
      <w:r w:rsidR="0056756D">
        <w:t>The two approaches are</w:t>
      </w:r>
      <w:r w:rsidR="00795A1E">
        <w:t xml:space="preserve"> incompatible</w:t>
      </w:r>
      <w:r w:rsidR="0056756D">
        <w:t>.</w:t>
      </w:r>
    </w:p>
    <w:p w:rsidR="00690D4D" w:rsidRPr="00690D4D" w:rsidRDefault="00690D4D" w:rsidP="0055505C">
      <w:pPr>
        <w:pStyle w:val="JUDGMENTCONTINUED"/>
      </w:pPr>
    </w:p>
    <w:p w:rsidR="00466982" w:rsidRPr="00B32555" w:rsidRDefault="006970A9" w:rsidP="006970A9">
      <w:pPr>
        <w:pStyle w:val="JUDGMENTNUMBERED"/>
        <w:numPr>
          <w:ilvl w:val="0"/>
          <w:numId w:val="0"/>
        </w:numPr>
      </w:pPr>
      <w:r w:rsidRPr="00B32555">
        <w:rPr>
          <w:color w:val="000000"/>
          <w14:scene3d>
            <w14:camera w14:prst="orthographicFront"/>
            <w14:lightRig w14:rig="threePt" w14:dir="t">
              <w14:rot w14:lat="0" w14:lon="0" w14:rev="0"/>
            </w14:lightRig>
          </w14:scene3d>
        </w:rPr>
        <w:t>[57]</w:t>
      </w:r>
      <w:r w:rsidRPr="00B32555">
        <w:rPr>
          <w:color w:val="000000"/>
          <w14:scene3d>
            <w14:camera w14:prst="orthographicFront"/>
            <w14:lightRig w14:rig="threePt" w14:dir="t">
              <w14:rot w14:lat="0" w14:lon="0" w14:rev="0"/>
            </w14:lightRig>
          </w14:scene3d>
        </w:rPr>
        <w:tab/>
      </w:r>
      <w:r w:rsidR="008A6C0D" w:rsidRPr="00B32555">
        <w:t xml:space="preserve">The </w:t>
      </w:r>
      <w:r w:rsidR="00F3622B" w:rsidRPr="00B32555">
        <w:t>Competition Appeal Court</w:t>
      </w:r>
      <w:r w:rsidR="008A6C0D" w:rsidRPr="00B32555">
        <w:t xml:space="preserve"> held </w:t>
      </w:r>
      <w:r w:rsidR="001F0945" w:rsidRPr="00B32555">
        <w:t xml:space="preserve">that </w:t>
      </w:r>
      <w:r w:rsidR="008A6C0D" w:rsidRPr="00B32555">
        <w:t xml:space="preserve">it is </w:t>
      </w:r>
      <w:r w:rsidR="001F0945" w:rsidRPr="00B32555">
        <w:t>“</w:t>
      </w:r>
      <w:r w:rsidR="008A6C0D" w:rsidRPr="00B32555">
        <w:t xml:space="preserve">in the public interest for transactions involving the public </w:t>
      </w:r>
      <w:r w:rsidR="002B5E93">
        <w:t>broadcaster</w:t>
      </w:r>
      <w:r w:rsidR="008A6C0D" w:rsidRPr="00B32555">
        <w:t xml:space="preserve"> to be examined with </w:t>
      </w:r>
      <w:r w:rsidR="00FE1283" w:rsidRPr="00B32555">
        <w:t xml:space="preserve">a </w:t>
      </w:r>
      <w:r w:rsidR="008A6C0D" w:rsidRPr="00B32555">
        <w:t>particul</w:t>
      </w:r>
      <w:r w:rsidR="002B5E93">
        <w:t>ar consideration of the purpose</w:t>
      </w:r>
      <w:r w:rsidR="008A6C0D" w:rsidRPr="00B32555">
        <w:t xml:space="preserve"> of the Act</w:t>
      </w:r>
      <w:r w:rsidR="00FE1283" w:rsidRPr="00B32555">
        <w:t>”</w:t>
      </w:r>
      <w:r w:rsidR="001F0945" w:rsidRPr="00B32555">
        <w:t>.</w:t>
      </w:r>
      <w:r w:rsidR="002B5E93">
        <w:rPr>
          <w:rStyle w:val="FootnoteReference"/>
        </w:rPr>
        <w:footnoteReference w:id="50"/>
      </w:r>
      <w:r w:rsidR="008A6C0D" w:rsidRPr="00B32555">
        <w:t xml:space="preserve"> </w:t>
      </w:r>
      <w:r w:rsidR="00F65BA7" w:rsidRPr="00B32555">
        <w:t xml:space="preserve"> </w:t>
      </w:r>
      <w:r w:rsidR="008A6C0D" w:rsidRPr="00B32555">
        <w:t xml:space="preserve">And </w:t>
      </w:r>
      <w:r w:rsidR="00BE2CBE">
        <w:t xml:space="preserve">it added </w:t>
      </w:r>
      <w:r w:rsidR="008A6C0D" w:rsidRPr="00B32555">
        <w:t>that the factual disputes on the papers, regarding whether the conclusion of the</w:t>
      </w:r>
      <w:r w:rsidR="00F65BA7" w:rsidRPr="00B32555">
        <w:t xml:space="preserve"> </w:t>
      </w:r>
      <w:r w:rsidR="00DA78F2" w:rsidRPr="00B32555">
        <w:t>a</w:t>
      </w:r>
      <w:r w:rsidR="00C708BA" w:rsidRPr="00B32555">
        <w:t xml:space="preserve">greement </w:t>
      </w:r>
      <w:r w:rsidR="008A6C0D" w:rsidRPr="00B32555">
        <w:t xml:space="preserve">gave rise to a change of </w:t>
      </w:r>
      <w:r w:rsidR="008A6C0D" w:rsidRPr="00B32555">
        <w:lastRenderedPageBreak/>
        <w:t xml:space="preserve">control, should not be determined within the strict confines of the </w:t>
      </w:r>
      <w:proofErr w:type="spellStart"/>
      <w:r w:rsidR="008A6C0D" w:rsidRPr="00B32555">
        <w:rPr>
          <w:i/>
        </w:rPr>
        <w:t>Plascon</w:t>
      </w:r>
      <w:proofErr w:type="spellEnd"/>
      <w:r w:rsidR="00DB5365">
        <w:rPr>
          <w:i/>
        </w:rPr>
        <w:t>-</w:t>
      </w:r>
      <w:r w:rsidR="008A6C0D" w:rsidRPr="00B32555">
        <w:rPr>
          <w:i/>
        </w:rPr>
        <w:t xml:space="preserve">Evans </w:t>
      </w:r>
      <w:r w:rsidR="008A6C0D" w:rsidRPr="00B32555">
        <w:t>test</w:t>
      </w:r>
      <w:r w:rsidR="005E6FD9" w:rsidRPr="00B32555">
        <w:t xml:space="preserve">. </w:t>
      </w:r>
      <w:r w:rsidR="00F65BA7" w:rsidRPr="00B32555">
        <w:t xml:space="preserve"> </w:t>
      </w:r>
      <w:r w:rsidR="00795A1E" w:rsidRPr="00B32555">
        <w:t xml:space="preserve">It </w:t>
      </w:r>
      <w:r w:rsidR="00BE2CBE">
        <w:t>accordingly</w:t>
      </w:r>
      <w:r w:rsidR="00795A1E" w:rsidRPr="00B32555">
        <w:t xml:space="preserve"> held that</w:t>
      </w:r>
      <w:r w:rsidR="00BE2CBE">
        <w:t>—</w:t>
      </w:r>
    </w:p>
    <w:p w:rsidR="007B5FBF" w:rsidRPr="007B5FBF" w:rsidRDefault="007B5FBF" w:rsidP="007B5FBF">
      <w:pPr>
        <w:pStyle w:val="QUOTATION"/>
      </w:pPr>
    </w:p>
    <w:p w:rsidR="008A6C0D" w:rsidRPr="00EE4DAE" w:rsidRDefault="005E6FD9" w:rsidP="00466982">
      <w:pPr>
        <w:pStyle w:val="QUOTATION"/>
      </w:pPr>
      <w:r>
        <w:t>“</w:t>
      </w:r>
      <w:r w:rsidR="00BE2CBE">
        <w:t>[t]</w:t>
      </w:r>
      <w:r>
        <w:t xml:space="preserve">he Tribunal should employ inquisitorial powers to interrogate evidential questions beyond the strict confines of </w:t>
      </w:r>
      <w:r w:rsidR="004C5E5A">
        <w:t>‘</w:t>
      </w:r>
      <w:proofErr w:type="spellStart"/>
      <w:r w:rsidRPr="005E6FD9">
        <w:rPr>
          <w:i/>
        </w:rPr>
        <w:t>Plascon</w:t>
      </w:r>
      <w:proofErr w:type="spellEnd"/>
      <w:r w:rsidR="00DB5365">
        <w:rPr>
          <w:i/>
        </w:rPr>
        <w:t>-</w:t>
      </w:r>
      <w:r w:rsidRPr="005E6FD9">
        <w:rPr>
          <w:i/>
        </w:rPr>
        <w:t>Evans</w:t>
      </w:r>
      <w:r w:rsidR="004C5E5A" w:rsidRPr="004C5E5A">
        <w:t>’</w:t>
      </w:r>
      <w:r>
        <w:t xml:space="preserve"> to ensure that the full evidential complexity is available </w:t>
      </w:r>
      <w:r w:rsidR="000409AE">
        <w:t xml:space="preserve">to it </w:t>
      </w:r>
      <w:r w:rsidRPr="008C221F">
        <w:rPr>
          <w:noProof/>
        </w:rPr>
        <w:t>in order</w:t>
      </w:r>
      <w:r w:rsidR="000409AE" w:rsidRPr="008C221F">
        <w:rPr>
          <w:noProof/>
        </w:rPr>
        <w:t xml:space="preserve"> that</w:t>
      </w:r>
      <w:r w:rsidR="000409AE">
        <w:t xml:space="preserve"> it might come to a decision which advances the purposes of the Ac</w:t>
      </w:r>
      <w:r w:rsidR="00DB5365">
        <w:t>t</w:t>
      </w:r>
      <w:proofErr w:type="gramStart"/>
      <w:r w:rsidR="00DB5365">
        <w:t>. . . .</w:t>
      </w:r>
      <w:proofErr w:type="gramEnd"/>
      <w:r w:rsidR="00DB5365">
        <w:t xml:space="preserve">  </w:t>
      </w:r>
      <w:r w:rsidR="000409AE">
        <w:t>Ther</w:t>
      </w:r>
      <w:r w:rsidR="00BE2CBE">
        <w:t>e are many questions regarding</w:t>
      </w:r>
      <w:r w:rsidR="000409AE">
        <w:t xml:space="preserve"> disputed factual contentions which we have raised in this judgment which could have </w:t>
      </w:r>
      <w:r w:rsidR="000409AE" w:rsidRPr="003B67B5">
        <w:rPr>
          <w:noProof/>
        </w:rPr>
        <w:t>been better answered</w:t>
      </w:r>
      <w:r w:rsidR="00BE2CBE">
        <w:t xml:space="preserve"> if an inquisitorial approach</w:t>
      </w:r>
      <w:r w:rsidR="000409AE" w:rsidRPr="003B67B5">
        <w:rPr>
          <w:noProof/>
        </w:rPr>
        <w:t xml:space="preserve"> had</w:t>
      </w:r>
      <w:r w:rsidR="000409AE">
        <w:t xml:space="preserve"> been adopted and a more sustained line of questioning </w:t>
      </w:r>
      <w:r w:rsidR="000409AE" w:rsidRPr="00FE1283">
        <w:rPr>
          <w:noProof/>
        </w:rPr>
        <w:t>been</w:t>
      </w:r>
      <w:r w:rsidR="000409AE">
        <w:t xml:space="preserve"> implemented by the Tribunal in the hearing before it.</w:t>
      </w:r>
      <w:r w:rsidR="007E5E21">
        <w:t xml:space="preserve"> </w:t>
      </w:r>
      <w:r w:rsidR="000409AE">
        <w:t xml:space="preserve"> </w:t>
      </w:r>
      <w:r w:rsidR="00BE2CBE">
        <w:t>[Additionally]</w:t>
      </w:r>
      <w:r w:rsidR="000409AE">
        <w:t xml:space="preserve">, as is evident from </w:t>
      </w:r>
      <w:r w:rsidR="00BE2CBE">
        <w:t xml:space="preserve">paras 49-50 of the judgment of </w:t>
      </w:r>
      <w:r w:rsidR="000409AE">
        <w:t xml:space="preserve">SCA in the </w:t>
      </w:r>
      <w:r w:rsidR="000409AE" w:rsidRPr="004C5E5A">
        <w:rPr>
          <w:i/>
        </w:rPr>
        <w:t xml:space="preserve">e.tv </w:t>
      </w:r>
      <w:r w:rsidR="000409AE">
        <w:t>cas</w:t>
      </w:r>
      <w:r w:rsidR="00DB5365">
        <w:t xml:space="preserve">e . . . </w:t>
      </w:r>
      <w:r w:rsidR="000409AE">
        <w:t>questions of encrypt</w:t>
      </w:r>
      <w:r w:rsidR="007538FC">
        <w:t>ion may well stifle competition</w:t>
      </w:r>
      <w:r w:rsidR="00DB5365">
        <w:t>.</w:t>
      </w:r>
      <w:r w:rsidR="000409AE">
        <w:t>”</w:t>
      </w:r>
      <w:r w:rsidR="00F65BA7">
        <w:rPr>
          <w:rStyle w:val="FootnoteReference"/>
        </w:rPr>
        <w:footnoteReference w:id="51"/>
      </w:r>
    </w:p>
    <w:p w:rsidR="00276DF5" w:rsidRDefault="00276DF5" w:rsidP="007B5FBF">
      <w:pPr>
        <w:pStyle w:val="JUDGMENTCONTINUED"/>
      </w:pPr>
    </w:p>
    <w:p w:rsidR="000C7B95"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[58]</w:t>
      </w:r>
      <w:r>
        <w:rPr>
          <w:color w:val="000000"/>
          <w14:scene3d>
            <w14:camera w14:prst="orthographicFront"/>
            <w14:lightRig w14:rig="threePt" w14:dir="t">
              <w14:rot w14:lat="0" w14:lon="0" w14:rev="0"/>
            </w14:lightRig>
          </w14:scene3d>
        </w:rPr>
        <w:tab/>
      </w:r>
      <w:r w:rsidR="00276DF5">
        <w:t xml:space="preserve">The </w:t>
      </w:r>
      <w:r w:rsidR="00F3622B">
        <w:t>Competition Appeal Court</w:t>
      </w:r>
      <w:r w:rsidR="00BE2CBE">
        <w:t xml:space="preserve">’s recognition that </w:t>
      </w:r>
      <w:r w:rsidR="00276DF5">
        <w:t xml:space="preserve">transactions involving the public interest </w:t>
      </w:r>
      <w:r w:rsidR="00276DF5" w:rsidRPr="003B67B5">
        <w:rPr>
          <w:noProof/>
        </w:rPr>
        <w:t>be examined</w:t>
      </w:r>
      <w:r w:rsidR="00276DF5">
        <w:t xml:space="preserve"> with </w:t>
      </w:r>
      <w:r w:rsidR="00FE1283" w:rsidRPr="003B67B5">
        <w:rPr>
          <w:noProof/>
        </w:rPr>
        <w:t xml:space="preserve">a </w:t>
      </w:r>
      <w:r w:rsidR="00276DF5" w:rsidRPr="003B67B5">
        <w:rPr>
          <w:noProof/>
        </w:rPr>
        <w:t>particular</w:t>
      </w:r>
      <w:r w:rsidR="00276DF5" w:rsidRPr="00503616">
        <w:rPr>
          <w:noProof/>
        </w:rPr>
        <w:t xml:space="preserve"> consideration</w:t>
      </w:r>
      <w:r w:rsidR="00276DF5">
        <w:t xml:space="preserve"> </w:t>
      </w:r>
      <w:r w:rsidR="00276DF5" w:rsidRPr="003B67B5">
        <w:rPr>
          <w:noProof/>
        </w:rPr>
        <w:t>for the purposes of</w:t>
      </w:r>
      <w:r w:rsidR="00276DF5">
        <w:t xml:space="preserve"> the Competition Act</w:t>
      </w:r>
      <w:r w:rsidR="00BE2CBE">
        <w:t xml:space="preserve">, coupled with </w:t>
      </w:r>
      <w:r w:rsidR="00276DF5">
        <w:t>a need for a substantive rather than a formalistic approach</w:t>
      </w:r>
      <w:r w:rsidR="00BE2CBE">
        <w:t>,</w:t>
      </w:r>
      <w:r w:rsidR="00276DF5">
        <w:t xml:space="preserve"> supports an interpretation of the </w:t>
      </w:r>
      <w:r w:rsidR="00795A1E">
        <w:t xml:space="preserve">June 2016 </w:t>
      </w:r>
      <w:r w:rsidR="00276DF5">
        <w:t>order that leaves the statutory investigative powers of the Commission intact.</w:t>
      </w:r>
      <w:r w:rsidR="00F65BA7">
        <w:rPr>
          <w:rStyle w:val="FootnoteReference"/>
        </w:rPr>
        <w:footnoteReference w:id="52"/>
      </w:r>
      <w:r w:rsidR="00677EBD">
        <w:t xml:space="preserve"> </w:t>
      </w:r>
      <w:r w:rsidR="00F65BA7">
        <w:t xml:space="preserve"> </w:t>
      </w:r>
      <w:r w:rsidR="00677EBD">
        <w:t>There is no reason why an inquisitorial approach should exclude other investigative powers under the Act.</w:t>
      </w:r>
    </w:p>
    <w:p w:rsidR="000C7B95" w:rsidRDefault="000C7B95" w:rsidP="007B5FBF">
      <w:pPr>
        <w:pStyle w:val="JUDGMENTCONTINUED"/>
      </w:pPr>
    </w:p>
    <w:p w:rsidR="003B67B5"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[59]</w:t>
      </w:r>
      <w:r>
        <w:rPr>
          <w:color w:val="000000"/>
          <w14:scene3d>
            <w14:camera w14:prst="orthographicFront"/>
            <w14:lightRig w14:rig="threePt" w14:dir="t">
              <w14:rot w14:lat="0" w14:lon="0" w14:rev="0"/>
            </w14:lightRig>
          </w14:scene3d>
        </w:rPr>
        <w:tab/>
      </w:r>
      <w:r w:rsidR="0025473D">
        <w:t xml:space="preserve">Since the purpose of the June 2016 order </w:t>
      </w:r>
      <w:r w:rsidR="00BE2CBE">
        <w:t>was</w:t>
      </w:r>
      <w:r w:rsidR="0025473D" w:rsidRPr="001169DA">
        <w:t xml:space="preserve"> to rever</w:t>
      </w:r>
      <w:r w:rsidR="0025473D">
        <w:t xml:space="preserve">se the deficiency of the Tribunal’s </w:t>
      </w:r>
      <w:r w:rsidR="0025473D" w:rsidRPr="001169DA">
        <w:t>order</w:t>
      </w:r>
      <w:r w:rsidR="00CD18D2">
        <w:t xml:space="preserve"> that </w:t>
      </w:r>
      <w:r w:rsidR="00FE1283" w:rsidRPr="003B67B5">
        <w:rPr>
          <w:noProof/>
        </w:rPr>
        <w:t>was made</w:t>
      </w:r>
      <w:r w:rsidR="00CD18D2">
        <w:t xml:space="preserve"> without an investigation by the Commission</w:t>
      </w:r>
      <w:r w:rsidR="0025473D">
        <w:t>,</w:t>
      </w:r>
      <w:r w:rsidR="00CD18D2">
        <w:t xml:space="preserve"> the </w:t>
      </w:r>
      <w:r w:rsidR="00F3622B" w:rsidRPr="00F3622B">
        <w:t>Competition Appeal Court</w:t>
      </w:r>
      <w:r w:rsidR="00CD18D2">
        <w:t xml:space="preserve"> </w:t>
      </w:r>
      <w:r w:rsidR="00690D4D">
        <w:t xml:space="preserve">would </w:t>
      </w:r>
      <w:r w:rsidR="00CD18D2">
        <w:t xml:space="preserve">have </w:t>
      </w:r>
      <w:r w:rsidR="00CD18D2" w:rsidRPr="003B67B5">
        <w:rPr>
          <w:noProof/>
        </w:rPr>
        <w:t>intended</w:t>
      </w:r>
      <w:r w:rsidR="00CD18D2">
        <w:t xml:space="preserve"> that the Commission undertake a similar exercise, however cursory. </w:t>
      </w:r>
      <w:r w:rsidR="006429C1">
        <w:t xml:space="preserve"> </w:t>
      </w:r>
      <w:r w:rsidR="0079314D">
        <w:t xml:space="preserve">In the first place, </w:t>
      </w:r>
      <w:r w:rsidR="00130F41" w:rsidRPr="003B67B5">
        <w:rPr>
          <w:noProof/>
        </w:rPr>
        <w:t>an investigation</w:t>
      </w:r>
      <w:r w:rsidR="00795A1E">
        <w:t xml:space="preserve"> </w:t>
      </w:r>
      <w:r w:rsidR="00273F63">
        <w:t xml:space="preserve">of this kind </w:t>
      </w:r>
      <w:r w:rsidR="00795A1E">
        <w:t>ha</w:t>
      </w:r>
      <w:r w:rsidR="00690D4D">
        <w:t>s</w:t>
      </w:r>
      <w:r w:rsidR="00795A1E">
        <w:t xml:space="preserve"> to be undertaken</w:t>
      </w:r>
      <w:r w:rsidR="00690D4D">
        <w:t xml:space="preserve"> </w:t>
      </w:r>
      <w:r w:rsidR="00130F41" w:rsidRPr="003B67B5">
        <w:rPr>
          <w:noProof/>
        </w:rPr>
        <w:t>in terms of</w:t>
      </w:r>
      <w:r w:rsidR="00130F41">
        <w:t xml:space="preserve"> the Act and</w:t>
      </w:r>
      <w:r w:rsidR="004A7A14">
        <w:t>,</w:t>
      </w:r>
      <w:r w:rsidR="00130F41">
        <w:t xml:space="preserve"> </w:t>
      </w:r>
      <w:r w:rsidR="000C7B95">
        <w:t>if</w:t>
      </w:r>
      <w:r w:rsidR="00FE1283">
        <w:t xml:space="preserve"> done on that </w:t>
      </w:r>
      <w:r w:rsidR="004A7A14">
        <w:rPr>
          <w:noProof/>
        </w:rPr>
        <w:t>basis,</w:t>
      </w:r>
      <w:r w:rsidR="0079314D" w:rsidRPr="00FE1283">
        <w:rPr>
          <w:noProof/>
        </w:rPr>
        <w:t xml:space="preserve"> </w:t>
      </w:r>
      <w:r w:rsidR="000C7B95" w:rsidRPr="00FE1283">
        <w:rPr>
          <w:noProof/>
        </w:rPr>
        <w:t>then</w:t>
      </w:r>
      <w:r w:rsidR="000C7B95">
        <w:t xml:space="preserve"> the full </w:t>
      </w:r>
      <w:r w:rsidR="00130F41">
        <w:t>suite of investigat</w:t>
      </w:r>
      <w:r w:rsidR="008737B9">
        <w:t>ive</w:t>
      </w:r>
      <w:r w:rsidR="00130F41">
        <w:t xml:space="preserve"> powers</w:t>
      </w:r>
      <w:r w:rsidR="000C7B95">
        <w:t xml:space="preserve"> conferred </w:t>
      </w:r>
      <w:r w:rsidR="008737B9">
        <w:t>by</w:t>
      </w:r>
      <w:r w:rsidR="000C7B95">
        <w:t xml:space="preserve"> </w:t>
      </w:r>
      <w:r w:rsidR="00F51E69">
        <w:t>section</w:t>
      </w:r>
      <w:r w:rsidR="0079314D">
        <w:t>s</w:t>
      </w:r>
      <w:r w:rsidR="00F51E69">
        <w:t xml:space="preserve"> </w:t>
      </w:r>
      <w:r w:rsidR="004A7A14">
        <w:t>13A and</w:t>
      </w:r>
      <w:r w:rsidR="008737B9">
        <w:t xml:space="preserve"> </w:t>
      </w:r>
      <w:r w:rsidR="00F51E69">
        <w:t>13B</w:t>
      </w:r>
      <w:r w:rsidR="008737B9">
        <w:t xml:space="preserve"> and </w:t>
      </w:r>
      <w:r w:rsidR="000C7B95">
        <w:t>Part B of Chapter 5 would apply.</w:t>
      </w:r>
      <w:r w:rsidR="00130F41">
        <w:t xml:space="preserve"> </w:t>
      </w:r>
      <w:r w:rsidR="00CD18D2">
        <w:t xml:space="preserve"> </w:t>
      </w:r>
      <w:r w:rsidR="00CD35FC">
        <w:t>This</w:t>
      </w:r>
      <w:r w:rsidR="000C7B95">
        <w:t xml:space="preserve"> interpretation follows by</w:t>
      </w:r>
      <w:r w:rsidR="00130F41">
        <w:t xml:space="preserve"> necessary implication </w:t>
      </w:r>
      <w:r w:rsidR="007B5FBF">
        <w:t xml:space="preserve">from the </w:t>
      </w:r>
      <w:r w:rsidR="00F3622B" w:rsidRPr="00F3622B">
        <w:t>Competition Appeal Court</w:t>
      </w:r>
      <w:r w:rsidR="007B5FBF">
        <w:t>’s judgment.</w:t>
      </w:r>
    </w:p>
    <w:p w:rsidR="009A7CE1" w:rsidRPr="007B5FBF" w:rsidRDefault="009A7CE1" w:rsidP="007B5FBF">
      <w:pPr>
        <w:pStyle w:val="JUDGMENTCONTINUED"/>
      </w:pPr>
    </w:p>
    <w:p w:rsidR="007B1C6B"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lastRenderedPageBreak/>
        <w:t>[60]</w:t>
      </w:r>
      <w:r>
        <w:rPr>
          <w:color w:val="000000"/>
          <w14:scene3d>
            <w14:camera w14:prst="orthographicFront"/>
            <w14:lightRig w14:rig="threePt" w14:dir="t">
              <w14:rot w14:lat="0" w14:lon="0" w14:rev="0"/>
            </w14:lightRig>
          </w14:scene3d>
        </w:rPr>
        <w:tab/>
      </w:r>
      <w:r w:rsidR="00276DF5">
        <w:t xml:space="preserve">The </w:t>
      </w:r>
      <w:r w:rsidR="00F3622B" w:rsidRPr="00F3622B">
        <w:t>Competition Appeal Court</w:t>
      </w:r>
      <w:r w:rsidR="00276DF5">
        <w:t>’s emphasis on the need for finality and expedition</w:t>
      </w:r>
      <w:r w:rsidR="0025473D">
        <w:t xml:space="preserve"> in its </w:t>
      </w:r>
      <w:r w:rsidR="0079314D">
        <w:t xml:space="preserve">June 2016 </w:t>
      </w:r>
      <w:r w:rsidR="006429C1">
        <w:t xml:space="preserve">judgment </w:t>
      </w:r>
      <w:r w:rsidR="0079314D">
        <w:t>is</w:t>
      </w:r>
      <w:r w:rsidR="00276DF5">
        <w:t xml:space="preserve"> consistent with this interpretation. </w:t>
      </w:r>
      <w:r w:rsidR="006429C1">
        <w:t xml:space="preserve"> </w:t>
      </w:r>
      <w:r w:rsidR="00276DF5">
        <w:t xml:space="preserve">Indeed, the best way to bring closure to the matter was </w:t>
      </w:r>
      <w:r w:rsidR="008737B9">
        <w:t xml:space="preserve">for the </w:t>
      </w:r>
      <w:r w:rsidR="00F3622B" w:rsidRPr="00F3622B">
        <w:t>Competition Appeal Court</w:t>
      </w:r>
      <w:r w:rsidR="008737B9">
        <w:t xml:space="preserve"> </w:t>
      </w:r>
      <w:r w:rsidR="00276DF5">
        <w:t xml:space="preserve">to allow the Commission to exercise its full </w:t>
      </w:r>
      <w:r w:rsidR="008737B9">
        <w:t xml:space="preserve">suite of </w:t>
      </w:r>
      <w:r w:rsidR="00276DF5">
        <w:t>investigative</w:t>
      </w:r>
      <w:r w:rsidR="008737B9">
        <w:t xml:space="preserve"> </w:t>
      </w:r>
      <w:r w:rsidR="00276DF5">
        <w:t xml:space="preserve">powers (within the time </w:t>
      </w:r>
      <w:r w:rsidR="00276DF5" w:rsidRPr="003B67B5">
        <w:rPr>
          <w:noProof/>
        </w:rPr>
        <w:t>allowed</w:t>
      </w:r>
      <w:r w:rsidR="00276DF5">
        <w:t xml:space="preserve">) to ensure </w:t>
      </w:r>
      <w:r w:rsidR="008737B9">
        <w:t xml:space="preserve">that </w:t>
      </w:r>
      <w:r w:rsidR="00276DF5">
        <w:t xml:space="preserve">its recommendations </w:t>
      </w:r>
      <w:r w:rsidR="008737B9">
        <w:t xml:space="preserve">to the Tribunal </w:t>
      </w:r>
      <w:r w:rsidR="00276DF5" w:rsidRPr="003B67B5">
        <w:rPr>
          <w:noProof/>
        </w:rPr>
        <w:t>were based</w:t>
      </w:r>
      <w:r w:rsidR="00276DF5">
        <w:t xml:space="preserve"> on the best available evidence. </w:t>
      </w:r>
      <w:r w:rsidR="006429C1">
        <w:t xml:space="preserve"> </w:t>
      </w:r>
      <w:r w:rsidR="00276DF5">
        <w:t>Absent express language to that effect, the fact that the order was an exceptional remedy</w:t>
      </w:r>
      <w:r w:rsidR="005A3AB0">
        <w:t xml:space="preserve"> was not a basis for the </w:t>
      </w:r>
      <w:r w:rsidR="00F3622B" w:rsidRPr="00F3622B">
        <w:t>Competition Appeal Court</w:t>
      </w:r>
      <w:r w:rsidR="005A3AB0">
        <w:t xml:space="preserve"> to </w:t>
      </w:r>
      <w:r w:rsidR="00024067">
        <w:t>conclude that it</w:t>
      </w:r>
      <w:r w:rsidR="00276DF5">
        <w:t xml:space="preserve"> stripped the Commi</w:t>
      </w:r>
      <w:r w:rsidR="0025473D">
        <w:t>s</w:t>
      </w:r>
      <w:r w:rsidR="00276DF5">
        <w:t>sion of its statutory</w:t>
      </w:r>
      <w:r w:rsidR="00024067">
        <w:t xml:space="preserve"> investigative</w:t>
      </w:r>
      <w:r w:rsidR="00276DF5">
        <w:t xml:space="preserve"> powers.</w:t>
      </w:r>
      <w:r w:rsidR="00135F7B">
        <w:t xml:space="preserve"> </w:t>
      </w:r>
      <w:r w:rsidR="00F65BA7">
        <w:t xml:space="preserve"> </w:t>
      </w:r>
      <w:r w:rsidR="00024067">
        <w:t xml:space="preserve">There is </w:t>
      </w:r>
      <w:r w:rsidR="00024067" w:rsidRPr="003B67B5">
        <w:rPr>
          <w:noProof/>
        </w:rPr>
        <w:t>simply</w:t>
      </w:r>
      <w:r w:rsidR="00024067">
        <w:t xml:space="preserve"> nothing in the </w:t>
      </w:r>
      <w:r w:rsidR="00F3622B" w:rsidRPr="00F3622B">
        <w:t>Competition Appeal Court</w:t>
      </w:r>
      <w:r w:rsidR="00024067">
        <w:t>’s</w:t>
      </w:r>
      <w:r w:rsidR="00135F7B">
        <w:t xml:space="preserve"> </w:t>
      </w:r>
      <w:r w:rsidR="008737B9">
        <w:t xml:space="preserve">June 2016 judgment </w:t>
      </w:r>
      <w:r w:rsidR="00135F7B">
        <w:t xml:space="preserve">which </w:t>
      </w:r>
      <w:r w:rsidR="00024067">
        <w:t xml:space="preserve">precludes </w:t>
      </w:r>
      <w:r w:rsidR="00276DF5">
        <w:t xml:space="preserve">the Commission from exercising its </w:t>
      </w:r>
      <w:r w:rsidR="00276DF5" w:rsidRPr="003B67B5">
        <w:rPr>
          <w:noProof/>
        </w:rPr>
        <w:t>statutory</w:t>
      </w:r>
      <w:r w:rsidR="00276DF5">
        <w:t xml:space="preserve"> investigat</w:t>
      </w:r>
      <w:r w:rsidR="004A7A14">
        <w:t>ive</w:t>
      </w:r>
      <w:r w:rsidR="00276DF5">
        <w:t xml:space="preserve"> powers. </w:t>
      </w:r>
      <w:r w:rsidR="006429C1">
        <w:t xml:space="preserve"> </w:t>
      </w:r>
      <w:r w:rsidR="00F65BA7">
        <w:t xml:space="preserve">On </w:t>
      </w:r>
      <w:r w:rsidR="00276DF5">
        <w:t xml:space="preserve">the </w:t>
      </w:r>
      <w:r w:rsidR="00276DF5" w:rsidRPr="00503616">
        <w:rPr>
          <w:noProof/>
        </w:rPr>
        <w:t>contrary</w:t>
      </w:r>
      <w:r w:rsidR="00135F7B">
        <w:rPr>
          <w:noProof/>
        </w:rPr>
        <w:t xml:space="preserve">, the </w:t>
      </w:r>
      <w:r w:rsidR="00F3622B" w:rsidRPr="00F3622B">
        <w:rPr>
          <w:noProof/>
        </w:rPr>
        <w:t>Competition Appeal Court</w:t>
      </w:r>
      <w:r w:rsidR="00135F7B">
        <w:rPr>
          <w:noProof/>
        </w:rPr>
        <w:t xml:space="preserve">’s reasons, in support of its </w:t>
      </w:r>
      <w:r w:rsidR="00024067" w:rsidRPr="00024067">
        <w:rPr>
          <w:noProof/>
        </w:rPr>
        <w:t>order</w:t>
      </w:r>
      <w:r w:rsidR="00135F7B">
        <w:rPr>
          <w:noProof/>
        </w:rPr>
        <w:t>,</w:t>
      </w:r>
      <w:r w:rsidR="00276DF5">
        <w:t xml:space="preserve"> </w:t>
      </w:r>
      <w:r w:rsidR="00135F7B">
        <w:t xml:space="preserve">imply </w:t>
      </w:r>
      <w:r w:rsidR="00276DF5">
        <w:t>that th</w:t>
      </w:r>
      <w:r w:rsidR="00135F7B">
        <w:t>e</w:t>
      </w:r>
      <w:r w:rsidR="00276DF5">
        <w:t xml:space="preserve">se powers </w:t>
      </w:r>
      <w:r w:rsidR="00135F7B">
        <w:t xml:space="preserve">are </w:t>
      </w:r>
      <w:r w:rsidR="00276DF5">
        <w:t xml:space="preserve">necessary to ensure the effectiveness of the </w:t>
      </w:r>
      <w:r w:rsidR="00276DF5" w:rsidRPr="003B67B5">
        <w:rPr>
          <w:noProof/>
        </w:rPr>
        <w:t>order</w:t>
      </w:r>
      <w:r w:rsidR="00276DF5">
        <w:t>.</w:t>
      </w:r>
    </w:p>
    <w:p w:rsidR="0025733E" w:rsidRPr="0025733E" w:rsidRDefault="0025733E" w:rsidP="00BB36A0">
      <w:pPr>
        <w:pStyle w:val="JUDGMENTCONTINUED"/>
      </w:pPr>
    </w:p>
    <w:p w:rsidR="001D3B3E" w:rsidRPr="001842A4" w:rsidRDefault="006970A9" w:rsidP="006970A9">
      <w:pPr>
        <w:pStyle w:val="JUDGMENTNUMBERED"/>
        <w:numPr>
          <w:ilvl w:val="0"/>
          <w:numId w:val="0"/>
        </w:numPr>
      </w:pPr>
      <w:r w:rsidRPr="001842A4">
        <w:rPr>
          <w:color w:val="000000"/>
          <w14:scene3d>
            <w14:camera w14:prst="orthographicFront"/>
            <w14:lightRig w14:rig="threePt" w14:dir="t">
              <w14:rot w14:lat="0" w14:lon="0" w14:rev="0"/>
            </w14:lightRig>
          </w14:scene3d>
        </w:rPr>
        <w:t>[61]</w:t>
      </w:r>
      <w:r w:rsidRPr="001842A4">
        <w:rPr>
          <w:color w:val="000000"/>
          <w14:scene3d>
            <w14:camera w14:prst="orthographicFront"/>
            <w14:lightRig w14:rig="threePt" w14:dir="t">
              <w14:rot w14:lat="0" w14:lon="0" w14:rev="0"/>
            </w14:lightRig>
          </w14:scene3d>
        </w:rPr>
        <w:tab/>
      </w:r>
      <w:r w:rsidR="00135F7B">
        <w:t xml:space="preserve">The </w:t>
      </w:r>
      <w:r w:rsidR="002E2365">
        <w:t>order</w:t>
      </w:r>
      <w:r w:rsidR="0079314D">
        <w:t xml:space="preserve"> itself </w:t>
      </w:r>
      <w:r w:rsidR="002E2365">
        <w:t xml:space="preserve">is </w:t>
      </w:r>
      <w:r w:rsidR="007B1C6B">
        <w:t xml:space="preserve">uncomplicated </w:t>
      </w:r>
      <w:r w:rsidR="002E2365">
        <w:t xml:space="preserve">and </w:t>
      </w:r>
      <w:r w:rsidR="007B1C6B">
        <w:t>written in plain language.</w:t>
      </w:r>
      <w:r w:rsidR="006429C1">
        <w:t xml:space="preserve"> </w:t>
      </w:r>
      <w:r w:rsidR="007B1C6B">
        <w:t xml:space="preserve"> </w:t>
      </w:r>
      <w:r w:rsidR="007B1C6B" w:rsidRPr="001842A4">
        <w:t>There is</w:t>
      </w:r>
      <w:r w:rsidR="007B1C6B">
        <w:t xml:space="preserve"> no hint in the </w:t>
      </w:r>
      <w:r w:rsidR="007B1C6B" w:rsidRPr="003B67B5">
        <w:rPr>
          <w:noProof/>
        </w:rPr>
        <w:t>order</w:t>
      </w:r>
      <w:r w:rsidR="007B1C6B" w:rsidRPr="001842A4">
        <w:t xml:space="preserve"> </w:t>
      </w:r>
      <w:r w:rsidR="007B1C6B">
        <w:t xml:space="preserve">to suggest that </w:t>
      </w:r>
      <w:r w:rsidR="002E2365">
        <w:t xml:space="preserve">it </w:t>
      </w:r>
      <w:r w:rsidR="007B1C6B" w:rsidRPr="001842A4">
        <w:t>prohibit</w:t>
      </w:r>
      <w:r w:rsidR="003F603D">
        <w:t>s</w:t>
      </w:r>
      <w:r w:rsidR="007B1C6B" w:rsidRPr="001842A4">
        <w:t xml:space="preserve"> the Commission from </w:t>
      </w:r>
      <w:r w:rsidR="007B1C6B" w:rsidRPr="001842A4">
        <w:rPr>
          <w:noProof/>
        </w:rPr>
        <w:t>exercising</w:t>
      </w:r>
      <w:r w:rsidR="007B1C6B" w:rsidRPr="001842A4">
        <w:t xml:space="preserve"> its </w:t>
      </w:r>
      <w:r w:rsidR="007B1C6B" w:rsidRPr="001842A4">
        <w:rPr>
          <w:noProof/>
        </w:rPr>
        <w:t>statutory</w:t>
      </w:r>
      <w:r w:rsidR="007B1C6B" w:rsidRPr="001842A4">
        <w:t xml:space="preserve"> investigative powers</w:t>
      </w:r>
      <w:r w:rsidR="002E2365">
        <w:t>.</w:t>
      </w:r>
      <w:r w:rsidR="0079314D">
        <w:t xml:space="preserve"> </w:t>
      </w:r>
      <w:r w:rsidR="00F65BA7">
        <w:t xml:space="preserve"> </w:t>
      </w:r>
      <w:r w:rsidR="001D3B3E" w:rsidRPr="001842A4">
        <w:t xml:space="preserve">Paragraph 2 of the </w:t>
      </w:r>
      <w:r w:rsidR="001D3B3E" w:rsidRPr="003B67B5">
        <w:rPr>
          <w:noProof/>
        </w:rPr>
        <w:t>order</w:t>
      </w:r>
      <w:r w:rsidR="001D3B3E" w:rsidRPr="001842A4">
        <w:t xml:space="preserve"> instruct</w:t>
      </w:r>
      <w:r w:rsidR="0079314D">
        <w:t>s</w:t>
      </w:r>
      <w:r w:rsidR="001D3B3E" w:rsidRPr="001842A4">
        <w:t xml:space="preserve"> the SABC and </w:t>
      </w:r>
      <w:proofErr w:type="spellStart"/>
      <w:r w:rsidR="001D3B3E" w:rsidRPr="001842A4">
        <w:t>MultiChoice</w:t>
      </w:r>
      <w:proofErr w:type="spellEnd"/>
      <w:r w:rsidR="001D3B3E" w:rsidRPr="001842A4">
        <w:t xml:space="preserve"> to hand over</w:t>
      </w:r>
      <w:r w:rsidR="00B97D5B">
        <w:t xml:space="preserve"> copies </w:t>
      </w:r>
      <w:r w:rsidR="003F603D">
        <w:t xml:space="preserve">of </w:t>
      </w:r>
      <w:r w:rsidR="007B1C6B" w:rsidRPr="007B1C6B">
        <w:rPr>
          <w:i/>
        </w:rPr>
        <w:t xml:space="preserve">all </w:t>
      </w:r>
      <w:r w:rsidR="00B97D5B">
        <w:t xml:space="preserve">documentation </w:t>
      </w:r>
      <w:r w:rsidR="001D3B3E" w:rsidRPr="001842A4">
        <w:t>to the Commission within 21</w:t>
      </w:r>
      <w:r w:rsidR="000A1C47">
        <w:t> </w:t>
      </w:r>
      <w:r w:rsidR="001D3B3E" w:rsidRPr="001842A4">
        <w:t xml:space="preserve">days. </w:t>
      </w:r>
      <w:r w:rsidR="006429C1">
        <w:t xml:space="preserve"> </w:t>
      </w:r>
      <w:r w:rsidR="0079314D">
        <w:t>It</w:t>
      </w:r>
      <w:r w:rsidR="007B1C6B" w:rsidRPr="00024067">
        <w:rPr>
          <w:noProof/>
        </w:rPr>
        <w:t xml:space="preserve"> </w:t>
      </w:r>
      <w:r w:rsidR="00024067">
        <w:rPr>
          <w:noProof/>
        </w:rPr>
        <w:t xml:space="preserve">gives the Commission </w:t>
      </w:r>
      <w:r w:rsidR="007B1C6B">
        <w:t xml:space="preserve">access to a wide range of </w:t>
      </w:r>
      <w:r w:rsidR="007B1C6B" w:rsidRPr="00024067">
        <w:rPr>
          <w:noProof/>
        </w:rPr>
        <w:t>document</w:t>
      </w:r>
      <w:r w:rsidR="00024067" w:rsidRPr="00024067">
        <w:rPr>
          <w:noProof/>
        </w:rPr>
        <w:t>s</w:t>
      </w:r>
      <w:r w:rsidR="007B1C6B">
        <w:t xml:space="preserve"> </w:t>
      </w:r>
      <w:r w:rsidR="003F603D">
        <w:t>“</w:t>
      </w:r>
      <w:r w:rsidR="00B97D5B">
        <w:t>including</w:t>
      </w:r>
      <w:r w:rsidR="003F603D">
        <w:t>,</w:t>
      </w:r>
      <w:r w:rsidR="00B97D5B">
        <w:t xml:space="preserve"> but </w:t>
      </w:r>
      <w:r w:rsidR="003F603D">
        <w:t xml:space="preserve">not </w:t>
      </w:r>
      <w:r w:rsidR="00B97D5B">
        <w:t>limited to</w:t>
      </w:r>
      <w:r w:rsidR="003F603D">
        <w:t>,</w:t>
      </w:r>
      <w:r w:rsidR="00B97D5B">
        <w:t xml:space="preserve"> all correspondence, board minutes, internal mem</w:t>
      </w:r>
      <w:r w:rsidR="00574F24">
        <w:t>oranda</w:t>
      </w:r>
      <w:r w:rsidR="00B97D5B">
        <w:t xml:space="preserve"> </w:t>
      </w:r>
      <w:r w:rsidR="007B1C6B" w:rsidRPr="003B67B5">
        <w:rPr>
          <w:noProof/>
        </w:rPr>
        <w:t>pertaining to</w:t>
      </w:r>
      <w:r w:rsidR="007B1C6B">
        <w:t xml:space="preserve"> the negotiation, conclusion, and implementation” of the </w:t>
      </w:r>
      <w:r w:rsidR="00AA5D2F">
        <w:t>agreement.</w:t>
      </w:r>
      <w:r w:rsidR="007B1C6B">
        <w:t xml:space="preserve"> </w:t>
      </w:r>
      <w:r w:rsidR="00595D09">
        <w:t xml:space="preserve"> </w:t>
      </w:r>
      <w:r w:rsidR="001D3B3E" w:rsidRPr="00503616">
        <w:rPr>
          <w:noProof/>
        </w:rPr>
        <w:t>Paragraph</w:t>
      </w:r>
      <w:r w:rsidR="001D3B3E" w:rsidRPr="001842A4">
        <w:t xml:space="preserve"> 3 of the </w:t>
      </w:r>
      <w:r w:rsidR="001D3B3E" w:rsidRPr="00503616">
        <w:rPr>
          <w:noProof/>
        </w:rPr>
        <w:t>order</w:t>
      </w:r>
      <w:r w:rsidR="001D3B3E" w:rsidRPr="001842A4">
        <w:t xml:space="preserve"> then direct</w:t>
      </w:r>
      <w:r w:rsidR="00FB0A56">
        <w:t>s</w:t>
      </w:r>
      <w:r w:rsidR="001D3B3E" w:rsidRPr="001842A4">
        <w:t xml:space="preserve"> the Commission </w:t>
      </w:r>
      <w:r w:rsidR="00D52A1B">
        <w:t>to</w:t>
      </w:r>
      <w:r w:rsidR="0084391D">
        <w:t xml:space="preserve"> </w:t>
      </w:r>
      <w:r w:rsidR="001D3B3E" w:rsidRPr="001842A4">
        <w:t>compile a report</w:t>
      </w:r>
      <w:r w:rsidR="00D52A1B">
        <w:t>,</w:t>
      </w:r>
      <w:r w:rsidR="001D3B3E" w:rsidRPr="001842A4">
        <w:t xml:space="preserve"> within 30 days </w:t>
      </w:r>
      <w:r w:rsidR="003F603D">
        <w:t xml:space="preserve">of </w:t>
      </w:r>
      <w:r w:rsidR="001D3B3E" w:rsidRPr="001842A4">
        <w:t>recei</w:t>
      </w:r>
      <w:r w:rsidR="003F603D">
        <w:t xml:space="preserve">pt of </w:t>
      </w:r>
      <w:r w:rsidR="001D3B3E" w:rsidRPr="001842A4">
        <w:t xml:space="preserve">the </w:t>
      </w:r>
      <w:r w:rsidR="001D3B3E" w:rsidRPr="00503616">
        <w:rPr>
          <w:noProof/>
        </w:rPr>
        <w:t>documents</w:t>
      </w:r>
      <w:r w:rsidR="00D52A1B">
        <w:t xml:space="preserve">, and file it with the Tribunal, setting out its recommendation on whether the </w:t>
      </w:r>
      <w:r w:rsidR="00AA5D2F">
        <w:t>a</w:t>
      </w:r>
      <w:r w:rsidR="00C708BA">
        <w:t xml:space="preserve">greement </w:t>
      </w:r>
      <w:r w:rsidR="00D52A1B">
        <w:t>gives rise to a notifiable merger.</w:t>
      </w:r>
    </w:p>
    <w:p w:rsidR="007B1C6B" w:rsidRDefault="007B1C6B" w:rsidP="007B5FBF">
      <w:pPr>
        <w:pStyle w:val="JUDGMENTCONTINUED"/>
      </w:pPr>
    </w:p>
    <w:p w:rsidR="001D3B3E"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[62]</w:t>
      </w:r>
      <w:r>
        <w:rPr>
          <w:color w:val="000000"/>
          <w14:scene3d>
            <w14:camera w14:prst="orthographicFront"/>
            <w14:lightRig w14:rig="threePt" w14:dir="t">
              <w14:rot w14:lat="0" w14:lon="0" w14:rev="0"/>
            </w14:lightRig>
          </w14:scene3d>
        </w:rPr>
        <w:tab/>
      </w:r>
      <w:r w:rsidR="001D3B3E" w:rsidRPr="00024067">
        <w:rPr>
          <w:noProof/>
        </w:rPr>
        <w:t xml:space="preserve">There is nothing in either </w:t>
      </w:r>
      <w:r w:rsidR="009F3873" w:rsidRPr="00024067">
        <w:rPr>
          <w:noProof/>
        </w:rPr>
        <w:t xml:space="preserve">of these two </w:t>
      </w:r>
      <w:r w:rsidR="001D3B3E" w:rsidRPr="00024067">
        <w:rPr>
          <w:noProof/>
        </w:rPr>
        <w:t>paragraphs</w:t>
      </w:r>
      <w:r w:rsidR="00B97D5B" w:rsidRPr="00024067">
        <w:rPr>
          <w:noProof/>
        </w:rPr>
        <w:t xml:space="preserve"> </w:t>
      </w:r>
      <w:r w:rsidR="00FB0A56" w:rsidRPr="00024067">
        <w:rPr>
          <w:noProof/>
        </w:rPr>
        <w:t xml:space="preserve">that implies </w:t>
      </w:r>
      <w:r w:rsidR="001D3B3E" w:rsidRPr="00024067">
        <w:rPr>
          <w:noProof/>
        </w:rPr>
        <w:t xml:space="preserve">that the Commission is obliged </w:t>
      </w:r>
      <w:r w:rsidR="00024067" w:rsidRPr="00024067">
        <w:rPr>
          <w:noProof/>
        </w:rPr>
        <w:t>only to</w:t>
      </w:r>
      <w:r w:rsidR="001D3B3E" w:rsidRPr="00024067">
        <w:rPr>
          <w:noProof/>
        </w:rPr>
        <w:t xml:space="preserve"> consider the documents supplied by the SABC and Mult</w:t>
      </w:r>
      <w:r w:rsidR="00024067" w:rsidRPr="00024067">
        <w:rPr>
          <w:noProof/>
        </w:rPr>
        <w:t xml:space="preserve">iChoice. </w:t>
      </w:r>
      <w:r w:rsidR="00F65BA7">
        <w:rPr>
          <w:noProof/>
        </w:rPr>
        <w:t xml:space="preserve"> </w:t>
      </w:r>
      <w:r w:rsidR="00024067" w:rsidRPr="00024067">
        <w:rPr>
          <w:noProof/>
        </w:rPr>
        <w:t>Nor does it constrain the Commis</w:t>
      </w:r>
      <w:r w:rsidR="00DF2B64">
        <w:rPr>
          <w:noProof/>
        </w:rPr>
        <w:t>s</w:t>
      </w:r>
      <w:r w:rsidR="00024067" w:rsidRPr="00024067">
        <w:rPr>
          <w:noProof/>
        </w:rPr>
        <w:t>ion from exercising</w:t>
      </w:r>
      <w:r w:rsidR="001D3B3E" w:rsidRPr="00024067">
        <w:rPr>
          <w:noProof/>
        </w:rPr>
        <w:t xml:space="preserve"> its</w:t>
      </w:r>
      <w:r w:rsidR="00B97D5B" w:rsidRPr="00024067">
        <w:rPr>
          <w:noProof/>
        </w:rPr>
        <w:t xml:space="preserve"> statutory</w:t>
      </w:r>
      <w:r w:rsidR="001D3B3E" w:rsidRPr="00024067">
        <w:rPr>
          <w:noProof/>
        </w:rPr>
        <w:t xml:space="preserve"> powers, within the time allowed, to interview individuals with knowledge of the </w:t>
      </w:r>
      <w:r w:rsidR="00AA5D2F">
        <w:rPr>
          <w:noProof/>
        </w:rPr>
        <w:t>a</w:t>
      </w:r>
      <w:r w:rsidR="00C708BA">
        <w:rPr>
          <w:noProof/>
        </w:rPr>
        <w:t>greement</w:t>
      </w:r>
      <w:r w:rsidR="00603D3E">
        <w:rPr>
          <w:noProof/>
        </w:rPr>
        <w:t>,</w:t>
      </w:r>
      <w:r w:rsidR="00C708BA">
        <w:rPr>
          <w:noProof/>
        </w:rPr>
        <w:t xml:space="preserve"> </w:t>
      </w:r>
      <w:r w:rsidR="001D3B3E" w:rsidRPr="00024067">
        <w:rPr>
          <w:noProof/>
        </w:rPr>
        <w:t>wher</w:t>
      </w:r>
      <w:r w:rsidR="009F3873" w:rsidRPr="00024067">
        <w:rPr>
          <w:noProof/>
        </w:rPr>
        <w:t>e the documentation furnished w</w:t>
      </w:r>
      <w:r w:rsidR="00503ABE">
        <w:rPr>
          <w:noProof/>
        </w:rPr>
        <w:t>as</w:t>
      </w:r>
      <w:r w:rsidR="009F3873" w:rsidRPr="00024067">
        <w:rPr>
          <w:noProof/>
        </w:rPr>
        <w:t xml:space="preserve"> incomplete and inadequate.</w:t>
      </w:r>
    </w:p>
    <w:p w:rsidR="001D3B3E" w:rsidRDefault="001D3B3E" w:rsidP="007B5FBF">
      <w:pPr>
        <w:pStyle w:val="JUDGMENTCONTINUED"/>
      </w:pPr>
    </w:p>
    <w:p w:rsidR="00934256"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lastRenderedPageBreak/>
        <w:t>[63]</w:t>
      </w:r>
      <w:r>
        <w:rPr>
          <w:color w:val="000000"/>
          <w14:scene3d>
            <w14:camera w14:prst="orthographicFront"/>
            <w14:lightRig w14:rig="threePt" w14:dir="t">
              <w14:rot w14:lat="0" w14:lon="0" w14:rev="0"/>
            </w14:lightRig>
          </w14:scene3d>
        </w:rPr>
        <w:tab/>
      </w:r>
      <w:r w:rsidR="001D3B3E" w:rsidRPr="00FF7E0B">
        <w:t>On the contrary, paragraph 3 of the</w:t>
      </w:r>
      <w:r w:rsidR="00FB0A56">
        <w:t xml:space="preserve"> </w:t>
      </w:r>
      <w:r w:rsidR="001D3B3E" w:rsidRPr="00FF7E0B">
        <w:t>order</w:t>
      </w:r>
      <w:r w:rsidR="000F63EC">
        <w:t xml:space="preserve"> envisages that </w:t>
      </w:r>
      <w:r w:rsidR="001D3B3E" w:rsidRPr="00FF7E0B">
        <w:t xml:space="preserve">the Commission </w:t>
      </w:r>
      <w:r w:rsidR="000F63EC">
        <w:t xml:space="preserve">may </w:t>
      </w:r>
      <w:r w:rsidR="001D3B3E" w:rsidRPr="00FF7E0B">
        <w:t xml:space="preserve">consider not only </w:t>
      </w:r>
      <w:r w:rsidR="001D3B3E" w:rsidRPr="00FB2A4F">
        <w:rPr>
          <w:noProof/>
        </w:rPr>
        <w:t>documentation</w:t>
      </w:r>
      <w:r w:rsidR="001D3B3E" w:rsidRPr="00FF7E0B">
        <w:t xml:space="preserve"> in coming to its conclusion, but also “</w:t>
      </w:r>
      <w:r w:rsidR="001D3B3E" w:rsidRPr="009845FA">
        <w:t>information</w:t>
      </w:r>
      <w:r w:rsidR="000D2209">
        <w:rPr>
          <w:i/>
          <w:noProof/>
        </w:rPr>
        <w:t>”</w:t>
      </w:r>
      <w:r w:rsidR="00F65BA7">
        <w:rPr>
          <w:noProof/>
        </w:rPr>
        <w:t>.</w:t>
      </w:r>
      <w:r w:rsidR="001D3B3E" w:rsidRPr="00FF7E0B">
        <w:t xml:space="preserve">  </w:t>
      </w:r>
      <w:r w:rsidR="001D3B3E" w:rsidRPr="008E6FD2">
        <w:rPr>
          <w:noProof/>
        </w:rPr>
        <w:t xml:space="preserve">Although </w:t>
      </w:r>
      <w:r w:rsidR="008E6FD2" w:rsidRPr="008E6FD2">
        <w:rPr>
          <w:noProof/>
        </w:rPr>
        <w:t xml:space="preserve">paragraph 2 of the order does not expressly refer to </w:t>
      </w:r>
      <w:r w:rsidR="001D3B3E" w:rsidRPr="008E6FD2">
        <w:rPr>
          <w:noProof/>
        </w:rPr>
        <w:t>“information</w:t>
      </w:r>
      <w:r w:rsidR="001D3B3E" w:rsidRPr="003B67B5">
        <w:rPr>
          <w:noProof/>
        </w:rPr>
        <w:t>”,</w:t>
      </w:r>
      <w:r w:rsidR="001D3B3E" w:rsidRPr="008E6FD2">
        <w:rPr>
          <w:noProof/>
        </w:rPr>
        <w:t xml:space="preserve"> it is implicit from paragraph 3 of the order</w:t>
      </w:r>
      <w:r w:rsidR="000F63EC" w:rsidRPr="008E6FD2">
        <w:rPr>
          <w:noProof/>
        </w:rPr>
        <w:t>,</w:t>
      </w:r>
      <w:r w:rsidR="001D3B3E" w:rsidRPr="008E6FD2">
        <w:rPr>
          <w:noProof/>
        </w:rPr>
        <w:t xml:space="preserve"> that “information” </w:t>
      </w:r>
      <w:r w:rsidR="008E6FD2">
        <w:rPr>
          <w:noProof/>
        </w:rPr>
        <w:t xml:space="preserve">would </w:t>
      </w:r>
      <w:r w:rsidR="001D3B3E" w:rsidRPr="008E6FD2">
        <w:rPr>
          <w:noProof/>
        </w:rPr>
        <w:t>form part of paragraph 2 of the order</w:t>
      </w:r>
      <w:r w:rsidR="008E6FD2" w:rsidRPr="008E6FD2">
        <w:rPr>
          <w:noProof/>
        </w:rPr>
        <w:t xml:space="preserve"> as well.</w:t>
      </w:r>
      <w:r w:rsidR="001D3B3E" w:rsidRPr="008E6FD2">
        <w:rPr>
          <w:noProof/>
        </w:rPr>
        <w:t xml:space="preserve"> </w:t>
      </w:r>
      <w:r w:rsidR="00A4055A">
        <w:rPr>
          <w:noProof/>
        </w:rPr>
        <w:t xml:space="preserve"> </w:t>
      </w:r>
      <w:r w:rsidR="008E6FD2" w:rsidRPr="008E6FD2">
        <w:rPr>
          <w:noProof/>
        </w:rPr>
        <w:t>F</w:t>
      </w:r>
      <w:r w:rsidR="00E97442" w:rsidRPr="008E6FD2">
        <w:rPr>
          <w:noProof/>
        </w:rPr>
        <w:t>or the most part</w:t>
      </w:r>
      <w:r w:rsidR="008E6FD2" w:rsidRPr="008E6FD2">
        <w:rPr>
          <w:noProof/>
        </w:rPr>
        <w:t>,</w:t>
      </w:r>
      <w:r w:rsidR="00E97442" w:rsidRPr="008E6FD2">
        <w:rPr>
          <w:noProof/>
        </w:rPr>
        <w:t xml:space="preserve"> </w:t>
      </w:r>
      <w:r w:rsidR="000F63EC" w:rsidRPr="008E6FD2">
        <w:rPr>
          <w:noProof/>
        </w:rPr>
        <w:t>because</w:t>
      </w:r>
      <w:r w:rsidR="001D3B3E" w:rsidRPr="008E6FD2">
        <w:rPr>
          <w:noProof/>
        </w:rPr>
        <w:t xml:space="preserve"> </w:t>
      </w:r>
      <w:r w:rsidR="000F63EC" w:rsidRPr="008E6FD2">
        <w:rPr>
          <w:noProof/>
        </w:rPr>
        <w:t>“</w:t>
      </w:r>
      <w:r w:rsidR="001D3B3E" w:rsidRPr="008E6FD2">
        <w:rPr>
          <w:noProof/>
        </w:rPr>
        <w:t>documents</w:t>
      </w:r>
      <w:r w:rsidR="000F63EC" w:rsidRPr="008E6FD2">
        <w:rPr>
          <w:noProof/>
        </w:rPr>
        <w:t>”</w:t>
      </w:r>
      <w:r w:rsidR="001D3B3E" w:rsidRPr="008E6FD2">
        <w:rPr>
          <w:noProof/>
        </w:rPr>
        <w:t xml:space="preserve"> are unlikely</w:t>
      </w:r>
      <w:r w:rsidR="00FB0A56" w:rsidRPr="008E6FD2">
        <w:rPr>
          <w:noProof/>
        </w:rPr>
        <w:t>,</w:t>
      </w:r>
      <w:r w:rsidR="001D3B3E" w:rsidRPr="008E6FD2">
        <w:rPr>
          <w:noProof/>
        </w:rPr>
        <w:t xml:space="preserve"> on their own</w:t>
      </w:r>
      <w:r w:rsidR="00FB0A56" w:rsidRPr="008E6FD2">
        <w:rPr>
          <w:noProof/>
        </w:rPr>
        <w:t>,</w:t>
      </w:r>
      <w:r w:rsidR="001D3B3E" w:rsidRPr="008E6FD2">
        <w:rPr>
          <w:noProof/>
        </w:rPr>
        <w:t xml:space="preserve"> to resolve the factual disputes that the </w:t>
      </w:r>
      <w:r w:rsidR="00F3622B" w:rsidRPr="00F3622B">
        <w:rPr>
          <w:noProof/>
        </w:rPr>
        <w:t>Competition Appeal Court</w:t>
      </w:r>
      <w:r w:rsidR="001D3B3E" w:rsidRPr="008E6FD2">
        <w:rPr>
          <w:noProof/>
        </w:rPr>
        <w:t xml:space="preserve"> found </w:t>
      </w:r>
      <w:r w:rsidR="00E97442" w:rsidRPr="008E6FD2">
        <w:rPr>
          <w:noProof/>
        </w:rPr>
        <w:t xml:space="preserve">to exist </w:t>
      </w:r>
      <w:r w:rsidR="001D3B3E" w:rsidRPr="008E6FD2">
        <w:rPr>
          <w:noProof/>
        </w:rPr>
        <w:t>on the papers.</w:t>
      </w:r>
      <w:r w:rsidR="0025733E">
        <w:rPr>
          <w:rStyle w:val="FootnoteReference"/>
          <w:noProof/>
        </w:rPr>
        <w:footnoteReference w:id="53"/>
      </w:r>
    </w:p>
    <w:p w:rsidR="00A76034" w:rsidRDefault="00A76034" w:rsidP="00C01A5D">
      <w:pPr>
        <w:pStyle w:val="JUDGMENTCONTINUED"/>
      </w:pPr>
    </w:p>
    <w:p w:rsidR="002F7DAE"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[64]</w:t>
      </w:r>
      <w:r>
        <w:rPr>
          <w:color w:val="000000"/>
          <w14:scene3d>
            <w14:camera w14:prst="orthographicFront"/>
            <w14:lightRig w14:rig="threePt" w14:dir="t">
              <w14:rot w14:lat="0" w14:lon="0" w14:rev="0"/>
            </w14:lightRig>
          </w14:scene3d>
        </w:rPr>
        <w:tab/>
      </w:r>
      <w:r w:rsidR="001B32E5" w:rsidRPr="002E71B3">
        <w:t xml:space="preserve">The </w:t>
      </w:r>
      <w:r w:rsidR="00FB0A56">
        <w:t xml:space="preserve">order directs the Commission to </w:t>
      </w:r>
      <w:r w:rsidR="001B32E5" w:rsidRPr="0007181D">
        <w:t>conduct its investigation</w:t>
      </w:r>
      <w:r w:rsidR="00487758">
        <w:t xml:space="preserve"> within 30 days of receipt of all the documentation from the SABC and </w:t>
      </w:r>
      <w:proofErr w:type="spellStart"/>
      <w:r w:rsidR="00487758">
        <w:t>MultiChoice</w:t>
      </w:r>
      <w:proofErr w:type="spellEnd"/>
      <w:r w:rsidR="00487758">
        <w:t>.</w:t>
      </w:r>
      <w:r w:rsidR="00C14041">
        <w:t xml:space="preserve"> </w:t>
      </w:r>
      <w:r w:rsidR="00F65BA7">
        <w:t xml:space="preserve"> </w:t>
      </w:r>
      <w:r w:rsidR="00C34228">
        <w:t xml:space="preserve">In </w:t>
      </w:r>
      <w:r w:rsidR="00C34228">
        <w:rPr>
          <w:lang w:val="en-US"/>
        </w:rPr>
        <w:t xml:space="preserve">its April 2017 </w:t>
      </w:r>
      <w:r w:rsidR="00C34228" w:rsidRPr="00C34228">
        <w:rPr>
          <w:noProof/>
          <w:lang w:val="en-US"/>
        </w:rPr>
        <w:t>judgment, t</w:t>
      </w:r>
      <w:r w:rsidR="00487758" w:rsidRPr="00C34228">
        <w:rPr>
          <w:noProof/>
          <w:lang w:val="en-US"/>
        </w:rPr>
        <w:t>he</w:t>
      </w:r>
      <w:r w:rsidR="00487758">
        <w:rPr>
          <w:lang w:val="en-US"/>
        </w:rPr>
        <w:t xml:space="preserve"> </w:t>
      </w:r>
      <w:r w:rsidR="00F3622B" w:rsidRPr="00F3622B">
        <w:rPr>
          <w:lang w:val="en-US"/>
        </w:rPr>
        <w:t>Competition Appeal Court</w:t>
      </w:r>
      <w:r w:rsidR="00487758">
        <w:rPr>
          <w:lang w:val="en-US"/>
        </w:rPr>
        <w:t xml:space="preserve"> </w:t>
      </w:r>
      <w:r w:rsidR="00487758" w:rsidRPr="00487758">
        <w:rPr>
          <w:noProof/>
          <w:lang w:val="en-US"/>
        </w:rPr>
        <w:t>misconstrues th</w:t>
      </w:r>
      <w:r w:rsidR="00C34228">
        <w:rPr>
          <w:noProof/>
          <w:lang w:val="en-US"/>
        </w:rPr>
        <w:t xml:space="preserve">ese </w:t>
      </w:r>
      <w:r w:rsidR="00C34228" w:rsidRPr="00C34228">
        <w:rPr>
          <w:noProof/>
          <w:lang w:val="en-US"/>
        </w:rPr>
        <w:t>timelines</w:t>
      </w:r>
      <w:r w:rsidR="00487758" w:rsidRPr="00487758">
        <w:rPr>
          <w:noProof/>
          <w:lang w:val="en-US"/>
        </w:rPr>
        <w:t xml:space="preserve"> </w:t>
      </w:r>
      <w:r w:rsidR="00C14041">
        <w:rPr>
          <w:lang w:val="en-US"/>
        </w:rPr>
        <w:t>as being indicative of the apparently “</w:t>
      </w:r>
      <w:r w:rsidR="00C14041" w:rsidRPr="00B32555">
        <w:rPr>
          <w:lang w:val="en-US"/>
        </w:rPr>
        <w:t>limited</w:t>
      </w:r>
      <w:r w:rsidR="00C14041">
        <w:rPr>
          <w:lang w:val="en-US"/>
        </w:rPr>
        <w:t>” nature of the Commission’s investigation.</w:t>
      </w:r>
      <w:r w:rsidR="00FB0A56">
        <w:t xml:space="preserve"> </w:t>
      </w:r>
      <w:r w:rsidR="00A4055A">
        <w:t xml:space="preserve"> </w:t>
      </w:r>
      <w:r w:rsidR="00487758" w:rsidRPr="003B67B5">
        <w:rPr>
          <w:noProof/>
        </w:rPr>
        <w:t>T</w:t>
      </w:r>
      <w:r w:rsidR="00FB0A56" w:rsidRPr="006A6C9F">
        <w:rPr>
          <w:noProof/>
        </w:rPr>
        <w:t>h</w:t>
      </w:r>
      <w:r w:rsidR="00C34228" w:rsidRPr="006A6C9F">
        <w:rPr>
          <w:noProof/>
        </w:rPr>
        <w:t>is</w:t>
      </w:r>
      <w:r w:rsidR="00C34228">
        <w:rPr>
          <w:noProof/>
        </w:rPr>
        <w:t xml:space="preserve"> is wrong</w:t>
      </w:r>
      <w:r w:rsidR="00487758">
        <w:rPr>
          <w:noProof/>
        </w:rPr>
        <w:t xml:space="preserve"> </w:t>
      </w:r>
      <w:r w:rsidR="00AD54EE">
        <w:rPr>
          <w:noProof/>
        </w:rPr>
        <w:t xml:space="preserve">in law </w:t>
      </w:r>
      <w:r w:rsidR="00487758" w:rsidRPr="00487758">
        <w:rPr>
          <w:noProof/>
        </w:rPr>
        <w:t>because the</w:t>
      </w:r>
      <w:r w:rsidR="00487758">
        <w:rPr>
          <w:noProof/>
        </w:rPr>
        <w:t xml:space="preserve"> </w:t>
      </w:r>
      <w:r w:rsidR="00487758">
        <w:t xml:space="preserve">time periods in the order </w:t>
      </w:r>
      <w:r w:rsidR="001B32E5" w:rsidRPr="00F84984">
        <w:t xml:space="preserve">are </w:t>
      </w:r>
      <w:r w:rsidR="008618D0">
        <w:t xml:space="preserve">consistent </w:t>
      </w:r>
      <w:r w:rsidR="001B32E5" w:rsidRPr="00F84984">
        <w:t xml:space="preserve">with the </w:t>
      </w:r>
      <w:r w:rsidR="001B32E5" w:rsidRPr="003B67B5">
        <w:rPr>
          <w:noProof/>
        </w:rPr>
        <w:t>ordinary</w:t>
      </w:r>
      <w:r w:rsidR="001B32E5" w:rsidRPr="00F84984">
        <w:t xml:space="preserve"> time periods for the </w:t>
      </w:r>
      <w:r w:rsidR="001B32E5" w:rsidRPr="003B67B5">
        <w:rPr>
          <w:noProof/>
        </w:rPr>
        <w:t>investigation</w:t>
      </w:r>
      <w:r w:rsidR="001B32E5" w:rsidRPr="00F84984">
        <w:t xml:space="preserve"> of mergers, being an initial 20 business days in respect of intermediate </w:t>
      </w:r>
      <w:r w:rsidR="001B32E5" w:rsidRPr="00503616">
        <w:rPr>
          <w:noProof/>
        </w:rPr>
        <w:t>mergers</w:t>
      </w:r>
      <w:r w:rsidR="001B32E5" w:rsidRPr="00F84984">
        <w:t xml:space="preserve">, and an initial 40 business days in </w:t>
      </w:r>
      <w:r w:rsidR="001B32E5" w:rsidRPr="003B67B5">
        <w:rPr>
          <w:noProof/>
        </w:rPr>
        <w:t>respect</w:t>
      </w:r>
      <w:r w:rsidR="001B32E5" w:rsidRPr="00F84984">
        <w:t xml:space="preserve"> of large </w:t>
      </w:r>
      <w:r w:rsidR="001B32E5" w:rsidRPr="003B67B5">
        <w:rPr>
          <w:noProof/>
        </w:rPr>
        <w:t>mergers</w:t>
      </w:r>
      <w:r w:rsidR="001B32E5" w:rsidRPr="00F84984">
        <w:t>.</w:t>
      </w:r>
      <w:r w:rsidR="001B32E5" w:rsidRPr="00F84984">
        <w:rPr>
          <w:rStyle w:val="FootnoteReference"/>
          <w:szCs w:val="26"/>
        </w:rPr>
        <w:footnoteReference w:id="54"/>
      </w:r>
      <w:r w:rsidR="00273851">
        <w:t xml:space="preserve"> </w:t>
      </w:r>
      <w:r w:rsidR="006429C1">
        <w:t xml:space="preserve"> </w:t>
      </w:r>
      <w:r w:rsidR="00273851">
        <w:t xml:space="preserve">It certainly seems to me that in formulating the timetable, the </w:t>
      </w:r>
      <w:r w:rsidR="00F3622B" w:rsidRPr="00F3622B">
        <w:t>Competition</w:t>
      </w:r>
      <w:r w:rsidR="00CC4392">
        <w:t> </w:t>
      </w:r>
      <w:r w:rsidR="00F3622B" w:rsidRPr="00F3622B">
        <w:t>Appeal Court</w:t>
      </w:r>
      <w:r w:rsidR="00273851">
        <w:t xml:space="preserve"> </w:t>
      </w:r>
      <w:r w:rsidR="00273851" w:rsidRPr="003B67B5">
        <w:rPr>
          <w:noProof/>
        </w:rPr>
        <w:t>recognised</w:t>
      </w:r>
      <w:r w:rsidR="00273851">
        <w:t xml:space="preserve"> that there is a degree of urgency in having the Commission’s investigation concluded quickly, not least because of the public interest in the</w:t>
      </w:r>
      <w:r w:rsidR="00AA5D2F">
        <w:t xml:space="preserve"> agreement.</w:t>
      </w:r>
    </w:p>
    <w:p w:rsidR="00273851" w:rsidRDefault="00273851" w:rsidP="00C01A5D">
      <w:pPr>
        <w:pStyle w:val="JUDGMENTCONTINUED"/>
      </w:pPr>
    </w:p>
    <w:p w:rsidR="00201CE8"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[65]</w:t>
      </w:r>
      <w:r>
        <w:rPr>
          <w:color w:val="000000"/>
          <w14:scene3d>
            <w14:camera w14:prst="orthographicFront"/>
            <w14:lightRig w14:rig="threePt" w14:dir="t">
              <w14:rot w14:lat="0" w14:lon="0" w14:rev="0"/>
            </w14:lightRig>
          </w14:scene3d>
        </w:rPr>
        <w:tab/>
      </w:r>
      <w:r w:rsidR="00313B83">
        <w:t>T</w:t>
      </w:r>
      <w:r w:rsidR="005A6683" w:rsidRPr="0075425A">
        <w:t xml:space="preserve">he June </w:t>
      </w:r>
      <w:r w:rsidR="006429C1" w:rsidRPr="0075425A">
        <w:t>2016 order</w:t>
      </w:r>
      <w:r w:rsidR="001169DA" w:rsidRPr="0075425A">
        <w:t xml:space="preserve"> did not strip the Commission of it</w:t>
      </w:r>
      <w:r w:rsidR="00AE3137" w:rsidRPr="0075425A">
        <w:t>s investigatory powers in Part B</w:t>
      </w:r>
      <w:r w:rsidR="001169DA" w:rsidRPr="0075425A">
        <w:t xml:space="preserve"> of </w:t>
      </w:r>
      <w:r w:rsidR="001169DA" w:rsidRPr="0075425A">
        <w:rPr>
          <w:noProof/>
        </w:rPr>
        <w:t>Chapte</w:t>
      </w:r>
      <w:r w:rsidR="001169DA" w:rsidRPr="0075425A">
        <w:t xml:space="preserve">r 5 of the </w:t>
      </w:r>
      <w:r w:rsidR="00096B55" w:rsidRPr="0075425A">
        <w:t>Competition Act.</w:t>
      </w:r>
      <w:r w:rsidR="005A6683" w:rsidRPr="0075425A">
        <w:t xml:space="preserve"> </w:t>
      </w:r>
      <w:r w:rsidR="006429C1" w:rsidRPr="0075425A">
        <w:t xml:space="preserve"> </w:t>
      </w:r>
      <w:r w:rsidR="005A6683" w:rsidRPr="0075425A">
        <w:t xml:space="preserve">In </w:t>
      </w:r>
      <w:r w:rsidR="00BB49EA" w:rsidRPr="0075425A">
        <w:t xml:space="preserve">fact, on the face of the </w:t>
      </w:r>
      <w:r w:rsidR="00BB49EA" w:rsidRPr="008C221F">
        <w:rPr>
          <w:noProof/>
        </w:rPr>
        <w:t>order</w:t>
      </w:r>
      <w:r w:rsidR="00196E07">
        <w:rPr>
          <w:noProof/>
        </w:rPr>
        <w:t>,</w:t>
      </w:r>
      <w:r w:rsidR="005A6683" w:rsidRPr="0075425A">
        <w:t xml:space="preserve"> the statutory investigative powers</w:t>
      </w:r>
      <w:r w:rsidR="00AB1973" w:rsidRPr="0075425A">
        <w:t xml:space="preserve"> of the Commission in Part B of Chapter 5 of the Competition Act </w:t>
      </w:r>
      <w:r w:rsidR="005A6683" w:rsidRPr="0075425A">
        <w:t>remain in</w:t>
      </w:r>
      <w:r w:rsidR="00F414BF" w:rsidRPr="0075425A">
        <w:t>tact</w:t>
      </w:r>
      <w:r w:rsidR="00BB49EA" w:rsidRPr="0075425A">
        <w:t>.</w:t>
      </w:r>
      <w:r w:rsidR="00E71B7B" w:rsidRPr="0075425A">
        <w:t xml:space="preserve"> </w:t>
      </w:r>
      <w:r w:rsidR="00A4055A">
        <w:t xml:space="preserve"> </w:t>
      </w:r>
      <w:r w:rsidR="00E71B7B" w:rsidRPr="0075425A">
        <w:rPr>
          <w:noProof/>
        </w:rPr>
        <w:t>T</w:t>
      </w:r>
      <w:r w:rsidR="00AB1973" w:rsidRPr="0075425A">
        <w:rPr>
          <w:noProof/>
        </w:rPr>
        <w:t xml:space="preserve">he </w:t>
      </w:r>
      <w:r w:rsidR="00F3622B" w:rsidRPr="00F3622B">
        <w:rPr>
          <w:noProof/>
        </w:rPr>
        <w:t>Competition Appeal Court</w:t>
      </w:r>
      <w:r w:rsidR="00E71B7B" w:rsidRPr="0075425A">
        <w:rPr>
          <w:noProof/>
        </w:rPr>
        <w:t>,</w:t>
      </w:r>
      <w:r w:rsidR="00FB6A67" w:rsidRPr="0075425A">
        <w:rPr>
          <w:noProof/>
        </w:rPr>
        <w:t xml:space="preserve"> </w:t>
      </w:r>
      <w:r w:rsidR="00E71B7B" w:rsidRPr="0075425A">
        <w:rPr>
          <w:noProof/>
        </w:rPr>
        <w:t xml:space="preserve">accordingly, </w:t>
      </w:r>
      <w:r w:rsidR="00F414BF" w:rsidRPr="0075425A">
        <w:rPr>
          <w:noProof/>
        </w:rPr>
        <w:t xml:space="preserve">erred </w:t>
      </w:r>
      <w:r w:rsidR="00E71B7B" w:rsidRPr="0075425A">
        <w:rPr>
          <w:noProof/>
        </w:rPr>
        <w:t>in finding</w:t>
      </w:r>
      <w:r w:rsidR="00954DDD" w:rsidRPr="0075425A">
        <w:rPr>
          <w:noProof/>
        </w:rPr>
        <w:t xml:space="preserve"> that</w:t>
      </w:r>
      <w:r w:rsidR="00F414BF" w:rsidRPr="0075425A">
        <w:rPr>
          <w:noProof/>
        </w:rPr>
        <w:t xml:space="preserve"> the June 2016 order, read in </w:t>
      </w:r>
      <w:r w:rsidR="00E71B7B" w:rsidRPr="0075425A">
        <w:rPr>
          <w:noProof/>
        </w:rPr>
        <w:t>the light of its</w:t>
      </w:r>
      <w:r w:rsidR="00F414BF" w:rsidRPr="0075425A">
        <w:rPr>
          <w:noProof/>
        </w:rPr>
        <w:t xml:space="preserve"> reasons, “clearly and </w:t>
      </w:r>
      <w:r w:rsidR="00503ABE">
        <w:rPr>
          <w:noProof/>
        </w:rPr>
        <w:t>un</w:t>
      </w:r>
      <w:r w:rsidR="00F414BF" w:rsidRPr="0075425A">
        <w:rPr>
          <w:noProof/>
        </w:rPr>
        <w:t xml:space="preserve">ambiguously” defined </w:t>
      </w:r>
      <w:r w:rsidR="00F414BF" w:rsidRPr="0075425A">
        <w:rPr>
          <w:noProof/>
        </w:rPr>
        <w:lastRenderedPageBreak/>
        <w:t xml:space="preserve">the Commission’s investigative powers </w:t>
      </w:r>
      <w:r w:rsidR="0053638F" w:rsidRPr="0075425A">
        <w:rPr>
          <w:noProof/>
        </w:rPr>
        <w:t>in compiling its report</w:t>
      </w:r>
      <w:r w:rsidR="00FB6A67" w:rsidRPr="0075425A">
        <w:rPr>
          <w:noProof/>
        </w:rPr>
        <w:t>,</w:t>
      </w:r>
      <w:r w:rsidR="0053638F" w:rsidRPr="0075425A">
        <w:rPr>
          <w:noProof/>
        </w:rPr>
        <w:t xml:space="preserve"> and “expressly confined the source of</w:t>
      </w:r>
      <w:r w:rsidR="00285363" w:rsidRPr="0075425A">
        <w:rPr>
          <w:noProof/>
        </w:rPr>
        <w:t xml:space="preserve"> its </w:t>
      </w:r>
      <w:r w:rsidR="0053638F" w:rsidRPr="0075425A">
        <w:rPr>
          <w:noProof/>
        </w:rPr>
        <w:t>inquiry</w:t>
      </w:r>
      <w:r w:rsidR="00FB6A67" w:rsidRPr="0075425A">
        <w:rPr>
          <w:noProof/>
        </w:rPr>
        <w:t xml:space="preserve"> </w:t>
      </w:r>
      <w:r w:rsidR="0053638F" w:rsidRPr="0075425A">
        <w:rPr>
          <w:noProof/>
        </w:rPr>
        <w:t>exclusively to</w:t>
      </w:r>
      <w:r w:rsidR="00285363" w:rsidRPr="0075425A">
        <w:rPr>
          <w:noProof/>
        </w:rPr>
        <w:t xml:space="preserve"> the</w:t>
      </w:r>
      <w:r w:rsidR="0053638F" w:rsidRPr="0075425A">
        <w:rPr>
          <w:noProof/>
        </w:rPr>
        <w:t xml:space="preserve"> docume</w:t>
      </w:r>
      <w:r w:rsidR="00954DDD" w:rsidRPr="0075425A">
        <w:rPr>
          <w:noProof/>
        </w:rPr>
        <w:t>ntation set out in the order</w:t>
      </w:r>
      <w:r w:rsidR="004C5E5A">
        <w:rPr>
          <w:noProof/>
        </w:rPr>
        <w:t>”</w:t>
      </w:r>
      <w:r w:rsidR="00BB49EA" w:rsidRPr="0075425A">
        <w:rPr>
          <w:noProof/>
        </w:rPr>
        <w:t>.</w:t>
      </w:r>
      <w:r w:rsidR="00791A2C">
        <w:rPr>
          <w:rStyle w:val="FootnoteReference"/>
          <w:noProof/>
        </w:rPr>
        <w:footnoteReference w:id="55"/>
      </w:r>
    </w:p>
    <w:p w:rsidR="00201CE8" w:rsidRDefault="00201CE8" w:rsidP="00C01A5D">
      <w:pPr>
        <w:pStyle w:val="JUDGMENTCONTINUED"/>
      </w:pPr>
    </w:p>
    <w:p w:rsidR="00CC1F01" w:rsidRDefault="00CC1F01" w:rsidP="000E47CA">
      <w:pPr>
        <w:pStyle w:val="HEADING"/>
      </w:pPr>
      <w:r>
        <w:t>Application</w:t>
      </w:r>
      <w:r w:rsidR="006F1E83">
        <w:t>s</w:t>
      </w:r>
      <w:r>
        <w:t xml:space="preserve"> to adduce new evidence</w:t>
      </w:r>
      <w:r w:rsidR="00EC4D5E">
        <w:t xml:space="preserve"> on appeal</w:t>
      </w:r>
    </w:p>
    <w:p w:rsidR="001258F1"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[66]</w:t>
      </w:r>
      <w:r>
        <w:rPr>
          <w:color w:val="000000"/>
          <w14:scene3d>
            <w14:camera w14:prst="orthographicFront"/>
            <w14:lightRig w14:rig="threePt" w14:dir="t">
              <w14:rot w14:lat="0" w14:lon="0" w14:rev="0"/>
            </w14:lightRig>
          </w14:scene3d>
        </w:rPr>
        <w:tab/>
      </w:r>
      <w:r w:rsidR="00670890">
        <w:t xml:space="preserve">There </w:t>
      </w:r>
      <w:r w:rsidR="00670890" w:rsidRPr="00955D7D">
        <w:rPr>
          <w:noProof/>
        </w:rPr>
        <w:t>are</w:t>
      </w:r>
      <w:r w:rsidR="00670890">
        <w:t xml:space="preserve"> two applications to adduce </w:t>
      </w:r>
      <w:r w:rsidR="00A93702">
        <w:t xml:space="preserve">new </w:t>
      </w:r>
      <w:r w:rsidR="00670890">
        <w:t>e</w:t>
      </w:r>
      <w:r w:rsidR="000E47CA">
        <w:t>vidence on appeal in this Court</w:t>
      </w:r>
      <w:r w:rsidR="001258F1">
        <w:t xml:space="preserve"> </w:t>
      </w:r>
      <w:r w:rsidR="00670890">
        <w:t xml:space="preserve">and one that </w:t>
      </w:r>
      <w:r w:rsidR="001258F1">
        <w:t xml:space="preserve">was dismissed by the </w:t>
      </w:r>
      <w:r w:rsidR="00F3622B" w:rsidRPr="00F3622B">
        <w:t>Competition Appeal Court</w:t>
      </w:r>
      <w:r w:rsidR="001258F1">
        <w:t xml:space="preserve"> in its </w:t>
      </w:r>
      <w:r w:rsidR="00670890">
        <w:t>April 2017 order</w:t>
      </w:r>
      <w:r w:rsidR="00791A2C" w:rsidRPr="00791A2C">
        <w:rPr>
          <w:noProof/>
        </w:rPr>
        <w:t xml:space="preserve"> </w:t>
      </w:r>
      <w:r w:rsidR="00791A2C" w:rsidRPr="009D09C0">
        <w:rPr>
          <w:noProof/>
        </w:rPr>
        <w:t>that require</w:t>
      </w:r>
      <w:r w:rsidR="00791A2C">
        <w:t xml:space="preserve"> </w:t>
      </w:r>
      <w:r w:rsidR="00791A2C" w:rsidRPr="001258F1">
        <w:rPr>
          <w:noProof/>
        </w:rPr>
        <w:t>consideration</w:t>
      </w:r>
      <w:r w:rsidR="00791A2C">
        <w:rPr>
          <w:noProof/>
        </w:rPr>
        <w:t>. They are as follows</w:t>
      </w:r>
      <w:r w:rsidR="004C5E5A">
        <w:t>:</w:t>
      </w:r>
    </w:p>
    <w:p w:rsidR="004C5E5A" w:rsidRPr="004C5E5A" w:rsidRDefault="004C5E5A" w:rsidP="004C5E5A">
      <w:pPr>
        <w:pStyle w:val="JUDGMENTCONTINUED"/>
      </w:pPr>
    </w:p>
    <w:p w:rsidR="00196E07" w:rsidRPr="009845FA" w:rsidRDefault="006970A9" w:rsidP="006970A9">
      <w:pPr>
        <w:pStyle w:val="JUDGMENTNUMBERED"/>
        <w:numPr>
          <w:ilvl w:val="0"/>
          <w:numId w:val="0"/>
        </w:numPr>
        <w:spacing w:after="120"/>
        <w:ind w:left="1440" w:hanging="720"/>
        <w:rPr>
          <w:noProof/>
        </w:rPr>
      </w:pPr>
      <w:r w:rsidRPr="009845FA">
        <w:rPr>
          <w:noProof/>
        </w:rPr>
        <w:t>(a)</w:t>
      </w:r>
      <w:r w:rsidRPr="009845FA">
        <w:rPr>
          <w:noProof/>
        </w:rPr>
        <w:tab/>
      </w:r>
      <w:r w:rsidR="00670890" w:rsidRPr="000E47CA">
        <w:rPr>
          <w:noProof/>
        </w:rPr>
        <w:t>The first is the applicants</w:t>
      </w:r>
      <w:r w:rsidR="007C4624" w:rsidRPr="000E47CA">
        <w:rPr>
          <w:noProof/>
        </w:rPr>
        <w:t>’</w:t>
      </w:r>
      <w:r w:rsidR="00670890" w:rsidRPr="000E47CA">
        <w:rPr>
          <w:noProof/>
        </w:rPr>
        <w:t xml:space="preserve"> application to introduce </w:t>
      </w:r>
      <w:r w:rsidR="00E12439" w:rsidRPr="000E47CA">
        <w:rPr>
          <w:noProof/>
        </w:rPr>
        <w:t xml:space="preserve">new </w:t>
      </w:r>
      <w:r w:rsidR="001258F1">
        <w:rPr>
          <w:noProof/>
        </w:rPr>
        <w:t xml:space="preserve">evidence on appeal </w:t>
      </w:r>
      <w:r w:rsidR="00670890" w:rsidRPr="000E47CA">
        <w:rPr>
          <w:noProof/>
        </w:rPr>
        <w:t>consisting of the Minister of Communication</w:t>
      </w:r>
      <w:r w:rsidR="0015133B">
        <w:rPr>
          <w:noProof/>
        </w:rPr>
        <w:t>’</w:t>
      </w:r>
      <w:r w:rsidR="00670890" w:rsidRPr="000E47CA">
        <w:rPr>
          <w:noProof/>
        </w:rPr>
        <w:t xml:space="preserve">s testimony before Parliament’s Standing Committee on Public Accounts (SCOPA) on </w:t>
      </w:r>
      <w:r w:rsidR="00A4055A" w:rsidRPr="000E47CA">
        <w:rPr>
          <w:noProof/>
        </w:rPr>
        <w:t>17</w:t>
      </w:r>
      <w:r w:rsidR="00A4055A">
        <w:rPr>
          <w:noProof/>
        </w:rPr>
        <w:t> </w:t>
      </w:r>
      <w:r w:rsidR="00670890" w:rsidRPr="000E47CA">
        <w:rPr>
          <w:noProof/>
        </w:rPr>
        <w:t>May 2017</w:t>
      </w:r>
      <w:r w:rsidR="00C01A5D">
        <w:rPr>
          <w:noProof/>
        </w:rPr>
        <w:t>.</w:t>
      </w:r>
    </w:p>
    <w:p w:rsidR="00196E07" w:rsidRPr="00196E07" w:rsidRDefault="006970A9" w:rsidP="006970A9">
      <w:pPr>
        <w:pStyle w:val="JUDGMENTCONTINUED"/>
        <w:spacing w:after="120"/>
        <w:ind w:left="1440" w:hanging="720"/>
      </w:pPr>
      <w:r w:rsidRPr="00196E07">
        <w:t>(b)</w:t>
      </w:r>
      <w:r w:rsidRPr="00196E07">
        <w:tab/>
      </w:r>
      <w:r w:rsidR="00670890" w:rsidRPr="001258F1">
        <w:t xml:space="preserve">The second is the Commission’s application to adduce </w:t>
      </w:r>
      <w:r w:rsidR="00670890" w:rsidRPr="001258F1">
        <w:rPr>
          <w:noProof/>
        </w:rPr>
        <w:t>new</w:t>
      </w:r>
      <w:r w:rsidR="00670890" w:rsidRPr="001258F1">
        <w:t xml:space="preserve"> evidence</w:t>
      </w:r>
      <w:r w:rsidR="0062271B" w:rsidRPr="001258F1">
        <w:t xml:space="preserve"> on appeal that </w:t>
      </w:r>
      <w:r w:rsidR="0062271B" w:rsidRPr="009D09C0">
        <w:rPr>
          <w:noProof/>
        </w:rPr>
        <w:t xml:space="preserve">was </w:t>
      </w:r>
      <w:r w:rsidR="009D09C0" w:rsidRPr="009D09C0">
        <w:rPr>
          <w:noProof/>
        </w:rPr>
        <w:t>brought</w:t>
      </w:r>
      <w:r w:rsidR="009D09C0">
        <w:rPr>
          <w:noProof/>
        </w:rPr>
        <w:t xml:space="preserve"> </w:t>
      </w:r>
      <w:r w:rsidR="00670890" w:rsidRPr="001258F1">
        <w:t>after the hearing of the application for leave to appeal</w:t>
      </w:r>
      <w:r w:rsidR="0062271B" w:rsidRPr="001258F1">
        <w:t>.</w:t>
      </w:r>
      <w:r w:rsidR="00A4055A">
        <w:t xml:space="preserve"> </w:t>
      </w:r>
      <w:r w:rsidR="0062271B" w:rsidRPr="001258F1">
        <w:t xml:space="preserve"> It consists </w:t>
      </w:r>
      <w:r w:rsidR="00670890" w:rsidRPr="001258F1">
        <w:t xml:space="preserve">of a transcript of </w:t>
      </w:r>
      <w:r w:rsidR="0062271B" w:rsidRPr="001258F1">
        <w:t xml:space="preserve">the proceedings of </w:t>
      </w:r>
      <w:r w:rsidR="00670890" w:rsidRPr="001258F1">
        <w:t xml:space="preserve">a meeting held on 6 June 2013 (June 2013 meeting) between members of the interim </w:t>
      </w:r>
      <w:r w:rsidR="00CE0894">
        <w:t>b</w:t>
      </w:r>
      <w:r w:rsidR="00670890" w:rsidRPr="001258F1">
        <w:t xml:space="preserve">oard of the SABC and representatives of </w:t>
      </w:r>
      <w:proofErr w:type="spellStart"/>
      <w:r w:rsidR="00670890" w:rsidRPr="001258F1">
        <w:t>MultiChoice</w:t>
      </w:r>
      <w:proofErr w:type="spellEnd"/>
      <w:r w:rsidR="0062271B" w:rsidRPr="001258F1">
        <w:t>,</w:t>
      </w:r>
      <w:r w:rsidR="00670890" w:rsidRPr="001258F1">
        <w:t xml:space="preserve"> concerning the possible conclusion of a channel licensing</w:t>
      </w:r>
      <w:r w:rsidR="00201CE8">
        <w:t xml:space="preserve"> </w:t>
      </w:r>
      <w:r w:rsidR="00C708BA">
        <w:t xml:space="preserve">agreement </w:t>
      </w:r>
      <w:r w:rsidR="00670890" w:rsidRPr="001258F1">
        <w:t xml:space="preserve">between the SABC and </w:t>
      </w:r>
      <w:proofErr w:type="spellStart"/>
      <w:r w:rsidR="00670890" w:rsidRPr="001258F1">
        <w:t>Multichoice</w:t>
      </w:r>
      <w:proofErr w:type="spellEnd"/>
      <w:r w:rsidR="0015133B">
        <w:t>.</w:t>
      </w:r>
      <w:r w:rsidR="00670890" w:rsidRPr="001258F1">
        <w:t xml:space="preserve"> </w:t>
      </w:r>
    </w:p>
    <w:p w:rsidR="00670890" w:rsidRDefault="006970A9" w:rsidP="006970A9">
      <w:pPr>
        <w:pStyle w:val="JUDGMENTCONTINUED"/>
        <w:ind w:left="1440" w:hanging="720"/>
        <w:rPr>
          <w:noProof/>
        </w:rPr>
      </w:pPr>
      <w:r>
        <w:rPr>
          <w:noProof/>
        </w:rPr>
        <w:t>(c)</w:t>
      </w:r>
      <w:r>
        <w:rPr>
          <w:noProof/>
        </w:rPr>
        <w:tab/>
      </w:r>
      <w:r w:rsidR="00201CE8">
        <w:t>T</w:t>
      </w:r>
      <w:r w:rsidR="00670890" w:rsidRPr="001258F1">
        <w:t xml:space="preserve">he third </w:t>
      </w:r>
      <w:r w:rsidR="00201CE8">
        <w:t xml:space="preserve">is the appeal against the dismissal of the </w:t>
      </w:r>
      <w:r w:rsidR="00986B43" w:rsidRPr="001258F1">
        <w:t>application</w:t>
      </w:r>
      <w:r w:rsidR="00201CE8">
        <w:t xml:space="preserve"> in the </w:t>
      </w:r>
      <w:r w:rsidR="00F3622B" w:rsidRPr="00F3622B">
        <w:t>Competition Appeal Court</w:t>
      </w:r>
      <w:r w:rsidR="00986B43" w:rsidRPr="001258F1">
        <w:t xml:space="preserve"> to</w:t>
      </w:r>
      <w:r w:rsidR="00670890" w:rsidRPr="001258F1">
        <w:t xml:space="preserve"> </w:t>
      </w:r>
      <w:r w:rsidR="00670890" w:rsidRPr="001258F1">
        <w:rPr>
          <w:noProof/>
        </w:rPr>
        <w:t>adduce</w:t>
      </w:r>
      <w:r w:rsidR="00670890" w:rsidRPr="001258F1">
        <w:t xml:space="preserve"> new evidence </w:t>
      </w:r>
      <w:r w:rsidR="00201CE8">
        <w:t xml:space="preserve">that </w:t>
      </w:r>
      <w:r w:rsidR="00670890" w:rsidRPr="001258F1">
        <w:t>consist</w:t>
      </w:r>
      <w:r w:rsidR="00503ABE">
        <w:t>ed</w:t>
      </w:r>
      <w:r w:rsidR="00670890" w:rsidRPr="001258F1">
        <w:t xml:space="preserve"> of the transcript of the testimony of </w:t>
      </w:r>
      <w:r w:rsidR="0062271B" w:rsidRPr="001258F1">
        <w:t xml:space="preserve">a </w:t>
      </w:r>
      <w:r w:rsidR="00CE0894">
        <w:t>b</w:t>
      </w:r>
      <w:r w:rsidR="00670890" w:rsidRPr="001258F1">
        <w:t>oard member and a past CEO of SABC</w:t>
      </w:r>
      <w:r w:rsidR="009D09C0">
        <w:t>,</w:t>
      </w:r>
      <w:r w:rsidR="00E12439" w:rsidRPr="001258F1">
        <w:t xml:space="preserve"> </w:t>
      </w:r>
      <w:r w:rsidR="004C5E5A">
        <w:t xml:space="preserve">which </w:t>
      </w:r>
      <w:r w:rsidR="00670890" w:rsidRPr="009D09C0">
        <w:rPr>
          <w:noProof/>
        </w:rPr>
        <w:t>was given</w:t>
      </w:r>
      <w:r w:rsidR="00670890" w:rsidRPr="001258F1">
        <w:t xml:space="preserve"> at a </w:t>
      </w:r>
      <w:r w:rsidR="00670890" w:rsidRPr="001258F1">
        <w:rPr>
          <w:noProof/>
        </w:rPr>
        <w:t xml:space="preserve">Parliamentary inquiry into the SABC on </w:t>
      </w:r>
      <w:r w:rsidR="00A4055A" w:rsidRPr="001258F1">
        <w:rPr>
          <w:noProof/>
        </w:rPr>
        <w:t>8</w:t>
      </w:r>
      <w:r w:rsidR="00A4055A">
        <w:rPr>
          <w:noProof/>
        </w:rPr>
        <w:t> </w:t>
      </w:r>
      <w:r w:rsidR="00670890" w:rsidRPr="001258F1">
        <w:rPr>
          <w:noProof/>
        </w:rPr>
        <w:t>and 9</w:t>
      </w:r>
      <w:r w:rsidR="00791A2C">
        <w:rPr>
          <w:noProof/>
        </w:rPr>
        <w:t> </w:t>
      </w:r>
      <w:r w:rsidR="00670890" w:rsidRPr="001258F1">
        <w:rPr>
          <w:noProof/>
        </w:rPr>
        <w:t xml:space="preserve">December 2016. </w:t>
      </w:r>
      <w:r w:rsidR="00A4055A">
        <w:rPr>
          <w:noProof/>
        </w:rPr>
        <w:t xml:space="preserve"> </w:t>
      </w:r>
      <w:r w:rsidR="00670890" w:rsidRPr="001258F1">
        <w:rPr>
          <w:noProof/>
        </w:rPr>
        <w:t xml:space="preserve">The </w:t>
      </w:r>
      <w:r w:rsidR="00F3622B" w:rsidRPr="00F3622B">
        <w:rPr>
          <w:noProof/>
        </w:rPr>
        <w:t>Competition Appeal Court</w:t>
      </w:r>
      <w:r w:rsidR="00670890" w:rsidRPr="001258F1">
        <w:rPr>
          <w:noProof/>
        </w:rPr>
        <w:t xml:space="preserve"> dismissed this application in the April 2017 order.</w:t>
      </w:r>
    </w:p>
    <w:p w:rsidR="00196E07" w:rsidRPr="009845FA" w:rsidRDefault="00196E07" w:rsidP="007B5FBF">
      <w:pPr>
        <w:pStyle w:val="JUDGMENTCONTINUED"/>
      </w:pPr>
    </w:p>
    <w:p w:rsidR="007B5FBF" w:rsidRDefault="00AC62D8" w:rsidP="00B32555">
      <w:pPr>
        <w:pStyle w:val="HEADING"/>
      </w:pPr>
      <w:r w:rsidRPr="00441077">
        <w:lastRenderedPageBreak/>
        <w:t>R</w:t>
      </w:r>
      <w:r w:rsidR="00265E4B" w:rsidRPr="00441077">
        <w:t xml:space="preserve">ules governing the </w:t>
      </w:r>
      <w:r w:rsidR="00A93702">
        <w:t>a</w:t>
      </w:r>
      <w:r w:rsidR="00265E4B" w:rsidRPr="00441077">
        <w:t xml:space="preserve">dmission of </w:t>
      </w:r>
      <w:r w:rsidR="00A93702">
        <w:t>n</w:t>
      </w:r>
      <w:r w:rsidR="00265E4B" w:rsidRPr="00441077">
        <w:t xml:space="preserve">ew </w:t>
      </w:r>
      <w:r w:rsidR="00A93702">
        <w:t>e</w:t>
      </w:r>
      <w:r w:rsidR="00265E4B" w:rsidRPr="00441077">
        <w:t xml:space="preserve">vidence on </w:t>
      </w:r>
      <w:r w:rsidR="00A93702">
        <w:t>a</w:t>
      </w:r>
      <w:r w:rsidR="00265E4B" w:rsidRPr="00441077">
        <w:t>ppeal</w:t>
      </w:r>
      <w:r w:rsidR="00184BBB">
        <w:t xml:space="preserve"> in this Court</w:t>
      </w:r>
    </w:p>
    <w:p w:rsidR="00A93702"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[67]</w:t>
      </w:r>
      <w:r>
        <w:rPr>
          <w:color w:val="000000"/>
          <w14:scene3d>
            <w14:camera w14:prst="orthographicFront"/>
            <w14:lightRig w14:rig="threePt" w14:dir="t">
              <w14:rot w14:lat="0" w14:lon="0" w14:rev="0"/>
            </w14:lightRig>
          </w14:scene3d>
        </w:rPr>
        <w:tab/>
      </w:r>
      <w:r w:rsidR="00694538" w:rsidRPr="009D09C0">
        <w:rPr>
          <w:noProof/>
        </w:rPr>
        <w:t>Rule</w:t>
      </w:r>
      <w:r w:rsidR="00503ABE">
        <w:rPr>
          <w:noProof/>
        </w:rPr>
        <w:t>s</w:t>
      </w:r>
      <w:r w:rsidR="00694538">
        <w:rPr>
          <w:noProof/>
        </w:rPr>
        <w:t xml:space="preserve"> 30</w:t>
      </w:r>
      <w:r w:rsidR="00124818">
        <w:rPr>
          <w:rStyle w:val="FootnoteReference"/>
        </w:rPr>
        <w:footnoteReference w:id="56"/>
      </w:r>
      <w:r w:rsidR="00694538">
        <w:rPr>
          <w:noProof/>
        </w:rPr>
        <w:t xml:space="preserve"> and 31</w:t>
      </w:r>
      <w:r w:rsidR="00124818">
        <w:rPr>
          <w:rStyle w:val="FootnoteReference"/>
        </w:rPr>
        <w:footnoteReference w:id="57"/>
      </w:r>
      <w:r w:rsidR="00694538">
        <w:rPr>
          <w:noProof/>
        </w:rPr>
        <w:t xml:space="preserve"> of the Rules of this Court regulate the </w:t>
      </w:r>
      <w:r w:rsidR="00694538" w:rsidRPr="00D771AE">
        <w:rPr>
          <w:noProof/>
        </w:rPr>
        <w:t>admission</w:t>
      </w:r>
      <w:r w:rsidR="00694538">
        <w:rPr>
          <w:noProof/>
        </w:rPr>
        <w:t xml:space="preserve"> of further evidence</w:t>
      </w:r>
      <w:r w:rsidR="00124818">
        <w:rPr>
          <w:noProof/>
        </w:rPr>
        <w:t xml:space="preserve"> on appeal</w:t>
      </w:r>
      <w:r w:rsidR="00694538">
        <w:rPr>
          <w:noProof/>
        </w:rPr>
        <w:t xml:space="preserve"> in this Court</w:t>
      </w:r>
      <w:r w:rsidR="00124818">
        <w:rPr>
          <w:noProof/>
        </w:rPr>
        <w:t>.</w:t>
      </w:r>
      <w:r w:rsidR="00EC4D5E" w:rsidRPr="00931A37">
        <w:t xml:space="preserve">  Rule 30 incorporates the approach under s</w:t>
      </w:r>
      <w:r w:rsidR="00196E07">
        <w:t xml:space="preserve">ection </w:t>
      </w:r>
      <w:r w:rsidR="00EC4D5E" w:rsidRPr="00931A37">
        <w:t>22 of the Supreme Court Act.</w:t>
      </w:r>
      <w:r w:rsidR="00EC4D5E" w:rsidRPr="00943FFE">
        <w:rPr>
          <w:rStyle w:val="FootnoteReference"/>
        </w:rPr>
        <w:footnoteReference w:id="58"/>
      </w:r>
      <w:r w:rsidR="00EC4D5E" w:rsidRPr="00943FFE">
        <w:t xml:space="preserve">  </w:t>
      </w:r>
      <w:r w:rsidR="00EC4D5E" w:rsidRPr="009D09C0">
        <w:rPr>
          <w:noProof/>
        </w:rPr>
        <w:t>Section 22 has been interpreted by this Court</w:t>
      </w:r>
      <w:r w:rsidR="00EC4D5E" w:rsidRPr="00574EA0">
        <w:t xml:space="preserve"> in </w:t>
      </w:r>
      <w:r w:rsidR="004F4587">
        <w:rPr>
          <w:i/>
        </w:rPr>
        <w:lastRenderedPageBreak/>
        <w:t>Rail</w:t>
      </w:r>
      <w:r w:rsidR="00F84789">
        <w:rPr>
          <w:i/>
        </w:rPr>
        <w:t> </w:t>
      </w:r>
      <w:r w:rsidR="00EC4D5E" w:rsidRPr="00F154E7">
        <w:rPr>
          <w:i/>
        </w:rPr>
        <w:t>Commuters’</w:t>
      </w:r>
      <w:r w:rsidR="00EC4D5E" w:rsidRPr="00943FFE">
        <w:t xml:space="preserve"> as permitting the admission of new evidence in appeal cases only in exceptional circumstances.</w:t>
      </w:r>
      <w:bookmarkStart w:id="11" w:name="_Ref525656231"/>
      <w:r w:rsidR="00791A2C" w:rsidRPr="00943FFE">
        <w:rPr>
          <w:rStyle w:val="FootnoteReference"/>
        </w:rPr>
        <w:footnoteReference w:id="59"/>
      </w:r>
      <w:bookmarkEnd w:id="11"/>
      <w:r w:rsidR="00EC4D5E" w:rsidRPr="00943FFE">
        <w:t xml:space="preserve">  There, this Court held:</w:t>
      </w:r>
    </w:p>
    <w:p w:rsidR="007B5FBF" w:rsidRPr="007B5FBF" w:rsidRDefault="007B5FBF" w:rsidP="007B5FBF">
      <w:pPr>
        <w:pStyle w:val="QUOTATION"/>
      </w:pPr>
    </w:p>
    <w:p w:rsidR="00EC4D5E" w:rsidRPr="00B83E70" w:rsidRDefault="00EC4D5E" w:rsidP="007B5FBF">
      <w:pPr>
        <w:pStyle w:val="QUOTATION"/>
      </w:pPr>
      <w:r w:rsidRPr="00943FFE">
        <w:t>“The court should exercise the powers conferred by section 22 ‘</w:t>
      </w:r>
      <w:r w:rsidRPr="009D09C0">
        <w:rPr>
          <w:noProof/>
        </w:rPr>
        <w:t>sparingly’</w:t>
      </w:r>
      <w:r w:rsidRPr="00D771AE">
        <w:rPr>
          <w:noProof/>
        </w:rPr>
        <w:t xml:space="preserve"> and</w:t>
      </w:r>
      <w:r w:rsidRPr="00943FFE">
        <w:t xml:space="preserve"> further evidence on appeal (which does not fall within the terms of Rule 31) should only </w:t>
      </w:r>
      <w:r w:rsidRPr="00DF6801">
        <w:rPr>
          <w:noProof/>
        </w:rPr>
        <w:t>be admitted</w:t>
      </w:r>
      <w:r w:rsidRPr="00943FFE">
        <w:t xml:space="preserve"> in exceptional circumstances. </w:t>
      </w:r>
      <w:r w:rsidR="00F84789">
        <w:t xml:space="preserve"> </w:t>
      </w:r>
      <w:r w:rsidRPr="00943FFE">
        <w:t xml:space="preserve">Such evidence must be weighty, material and to be believed.  </w:t>
      </w:r>
      <w:r w:rsidRPr="00DF6801">
        <w:rPr>
          <w:noProof/>
        </w:rPr>
        <w:t>In addition</w:t>
      </w:r>
      <w:r w:rsidRPr="00574EA0">
        <w:t xml:space="preserve">, whether there is a reasonable explanation for its late filing is an </w:t>
      </w:r>
      <w:r w:rsidRPr="00DF6801">
        <w:rPr>
          <w:noProof/>
        </w:rPr>
        <w:t>important</w:t>
      </w:r>
      <w:r w:rsidRPr="00931A37">
        <w:t xml:space="preserve"> factor.  The existence of a substantial dispute of fact </w:t>
      </w:r>
      <w:r w:rsidRPr="00DF6801">
        <w:rPr>
          <w:noProof/>
        </w:rPr>
        <w:t>in relation to</w:t>
      </w:r>
      <w:r w:rsidRPr="00931A37">
        <w:t xml:space="preserve"> it will militate against it </w:t>
      </w:r>
      <w:r w:rsidRPr="00DF6801">
        <w:rPr>
          <w:noProof/>
        </w:rPr>
        <w:t>being admitted</w:t>
      </w:r>
      <w:r w:rsidRPr="00B83E70">
        <w:t>.”</w:t>
      </w:r>
      <w:r w:rsidR="00791A2C">
        <w:rPr>
          <w:rStyle w:val="FootnoteReference"/>
        </w:rPr>
        <w:footnoteReference w:id="60"/>
      </w:r>
    </w:p>
    <w:p w:rsidR="00EC4D5E" w:rsidRPr="00434028" w:rsidRDefault="00EC4D5E" w:rsidP="007B5FBF">
      <w:pPr>
        <w:pStyle w:val="JUDGMENTCONTINUED"/>
      </w:pPr>
    </w:p>
    <w:p w:rsidR="00EC4D5E" w:rsidRPr="00943FFE" w:rsidRDefault="006970A9" w:rsidP="006970A9">
      <w:pPr>
        <w:pStyle w:val="JUDGMENTNUMBERED"/>
        <w:numPr>
          <w:ilvl w:val="0"/>
          <w:numId w:val="0"/>
        </w:numPr>
      </w:pPr>
      <w:r w:rsidRPr="00943FFE">
        <w:rPr>
          <w:color w:val="000000"/>
          <w14:scene3d>
            <w14:camera w14:prst="orthographicFront"/>
            <w14:lightRig w14:rig="threePt" w14:dir="t">
              <w14:rot w14:lat="0" w14:lon="0" w14:rev="0"/>
            </w14:lightRig>
          </w14:scene3d>
        </w:rPr>
        <w:t>[68]</w:t>
      </w:r>
      <w:r w:rsidRPr="00943FFE">
        <w:rPr>
          <w:color w:val="000000"/>
          <w14:scene3d>
            <w14:camera w14:prst="orthographicFront"/>
            <w14:lightRig w14:rig="threePt" w14:dir="t">
              <w14:rot w14:lat="0" w14:lon="0" w14:rev="0"/>
            </w14:lightRig>
          </w14:scene3d>
        </w:rPr>
        <w:tab/>
      </w:r>
      <w:r w:rsidR="00EC4D5E" w:rsidRPr="00434028">
        <w:t xml:space="preserve">The </w:t>
      </w:r>
      <w:r w:rsidR="00204C69" w:rsidRPr="00DF6801">
        <w:rPr>
          <w:noProof/>
        </w:rPr>
        <w:t>pivotal</w:t>
      </w:r>
      <w:r w:rsidR="00EC4D5E" w:rsidRPr="00434028">
        <w:t xml:space="preserve"> requirement in both </w:t>
      </w:r>
      <w:r w:rsidR="00503ABE">
        <w:t>r</w:t>
      </w:r>
      <w:r w:rsidR="00EC4D5E" w:rsidRPr="00434028">
        <w:t>ule</w:t>
      </w:r>
      <w:r w:rsidR="00503ABE">
        <w:t>s</w:t>
      </w:r>
      <w:r w:rsidR="00EC4D5E" w:rsidRPr="00434028">
        <w:t xml:space="preserve"> is that the evidence sought to </w:t>
      </w:r>
      <w:r w:rsidR="00EC4D5E" w:rsidRPr="00DF6801">
        <w:rPr>
          <w:noProof/>
        </w:rPr>
        <w:t>be admitted</w:t>
      </w:r>
      <w:r w:rsidR="00EC4D5E" w:rsidRPr="00BE1CB9">
        <w:t xml:space="preserve"> must be relevant to the issues to be determined by the Court.  </w:t>
      </w:r>
      <w:r w:rsidR="00EC4D5E" w:rsidRPr="00DF6801">
        <w:rPr>
          <w:noProof/>
        </w:rPr>
        <w:t>In terms of</w:t>
      </w:r>
      <w:r w:rsidR="00EC4D5E" w:rsidRPr="00BE1CB9">
        <w:t xml:space="preserve"> </w:t>
      </w:r>
      <w:r w:rsidR="00503ABE">
        <w:t>r</w:t>
      </w:r>
      <w:r w:rsidR="00EC4D5E" w:rsidRPr="00BE1CB9">
        <w:t xml:space="preserve">ule 31(1), a party may “canvas factual material that is relevant to the determination of the issues before the Court </w:t>
      </w:r>
      <w:r w:rsidR="00EC4D5E" w:rsidRPr="00D771AE">
        <w:rPr>
          <w:noProof/>
        </w:rPr>
        <w:t>and</w:t>
      </w:r>
      <w:r w:rsidR="00EC4D5E" w:rsidRPr="00BE1CB9">
        <w:t xml:space="preserve"> does not </w:t>
      </w:r>
      <w:r w:rsidR="00EC4D5E" w:rsidRPr="00DF6801">
        <w:rPr>
          <w:noProof/>
        </w:rPr>
        <w:t>specifically</w:t>
      </w:r>
      <w:r w:rsidR="00EC4D5E" w:rsidRPr="00BE1CB9">
        <w:t xml:space="preserve"> appear on the record</w:t>
      </w:r>
      <w:r w:rsidR="001266CE">
        <w:t>”</w:t>
      </w:r>
      <w:r w:rsidR="009C45C0">
        <w:t>,</w:t>
      </w:r>
      <w:r w:rsidR="00EC4D5E" w:rsidRPr="00BE1CB9">
        <w:t xml:space="preserve"> subject to the facts being incontrovertible or capable of easy v</w:t>
      </w:r>
      <w:r w:rsidR="00EC4D5E" w:rsidRPr="00047C95">
        <w:t>erification.</w:t>
      </w:r>
    </w:p>
    <w:p w:rsidR="00EC4D5E" w:rsidRDefault="00EC4D5E" w:rsidP="007B5FBF">
      <w:pPr>
        <w:pStyle w:val="JUDGMENTCONTINUED"/>
      </w:pPr>
    </w:p>
    <w:p w:rsidR="00943FFE"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[69]</w:t>
      </w:r>
      <w:r>
        <w:rPr>
          <w:color w:val="000000"/>
          <w14:scene3d>
            <w14:camera w14:prst="orthographicFront"/>
            <w14:lightRig w14:rig="threePt" w14:dir="t">
              <w14:rot w14:lat="0" w14:lon="0" w14:rev="0"/>
            </w14:lightRig>
          </w14:scene3d>
        </w:rPr>
        <w:tab/>
      </w:r>
      <w:r w:rsidR="00EC4D5E" w:rsidRPr="00574EA0">
        <w:t>Wh</w:t>
      </w:r>
      <w:r w:rsidR="00EC4D5E" w:rsidRPr="00931A37">
        <w:t xml:space="preserve">en leave to admit further evidence </w:t>
      </w:r>
      <w:r w:rsidR="00EC4D5E" w:rsidRPr="00931A37">
        <w:rPr>
          <w:noProof/>
        </w:rPr>
        <w:t>is sought</w:t>
      </w:r>
      <w:r w:rsidR="00EC4D5E" w:rsidRPr="00931A37">
        <w:t xml:space="preserve"> after the hearing of an appeal, and </w:t>
      </w:r>
      <w:r w:rsidR="00EC4D5E" w:rsidRPr="00DF6801">
        <w:rPr>
          <w:noProof/>
        </w:rPr>
        <w:t>prior to</w:t>
      </w:r>
      <w:r w:rsidR="00EC4D5E" w:rsidRPr="00931A37">
        <w:t xml:space="preserve"> the Court reaching a final decision, the Court will also consider whether it is in the interests of justice for the evidence to be placed before t</w:t>
      </w:r>
      <w:r w:rsidR="00EC4D5E" w:rsidRPr="00B83E70">
        <w:t>he Court.</w:t>
      </w:r>
    </w:p>
    <w:p w:rsidR="007538FC" w:rsidRPr="007538FC" w:rsidRDefault="007538FC" w:rsidP="007538FC">
      <w:pPr>
        <w:pStyle w:val="JUDGMENTCONTINUED"/>
      </w:pPr>
    </w:p>
    <w:p w:rsidR="00201CE8" w:rsidRDefault="003F5473" w:rsidP="00B32555">
      <w:pPr>
        <w:pStyle w:val="HEADING"/>
      </w:pPr>
      <w:r w:rsidRPr="00441077">
        <w:t>Comm</w:t>
      </w:r>
      <w:r w:rsidR="009F4285">
        <w:t>ission’s application</w:t>
      </w:r>
    </w:p>
    <w:p w:rsidR="006F1E83" w:rsidRDefault="006970A9" w:rsidP="006970A9">
      <w:pPr>
        <w:pStyle w:val="JUDGMENTNUMBERED"/>
        <w:numPr>
          <w:ilvl w:val="0"/>
          <w:numId w:val="0"/>
        </w:numPr>
        <w:rPr>
          <w:noProof/>
        </w:rPr>
      </w:pPr>
      <w:r>
        <w:rPr>
          <w:color w:val="000000"/>
          <w14:scene3d>
            <w14:camera w14:prst="orthographicFront"/>
            <w14:lightRig w14:rig="threePt" w14:dir="t">
              <w14:rot w14:lat="0" w14:lon="0" w14:rev="0"/>
            </w14:lightRig>
          </w14:scene3d>
        </w:rPr>
        <w:t>[70]</w:t>
      </w:r>
      <w:r>
        <w:rPr>
          <w:color w:val="000000"/>
          <w14:scene3d>
            <w14:camera w14:prst="orthographicFront"/>
            <w14:lightRig w14:rig="threePt" w14:dir="t">
              <w14:rot w14:lat="0" w14:lon="0" w14:rev="0"/>
            </w14:lightRig>
          </w14:scene3d>
        </w:rPr>
        <w:tab/>
      </w:r>
      <w:r w:rsidR="009D09C0" w:rsidRPr="009D09C0">
        <w:rPr>
          <w:noProof/>
        </w:rPr>
        <w:t xml:space="preserve">I </w:t>
      </w:r>
      <w:r w:rsidR="00DF6801">
        <w:rPr>
          <w:noProof/>
        </w:rPr>
        <w:t xml:space="preserve">will </w:t>
      </w:r>
      <w:r w:rsidR="00373583">
        <w:rPr>
          <w:noProof/>
        </w:rPr>
        <w:t>first</w:t>
      </w:r>
      <w:r w:rsidR="00DF6801">
        <w:rPr>
          <w:noProof/>
        </w:rPr>
        <w:t xml:space="preserve"> consider </w:t>
      </w:r>
      <w:r w:rsidR="006F1E83" w:rsidRPr="00DF6801">
        <w:rPr>
          <w:noProof/>
        </w:rPr>
        <w:t>the application</w:t>
      </w:r>
      <w:r w:rsidR="006F1E83">
        <w:rPr>
          <w:noProof/>
        </w:rPr>
        <w:t xml:space="preserve"> t</w:t>
      </w:r>
      <w:r w:rsidR="00373583">
        <w:rPr>
          <w:noProof/>
        </w:rPr>
        <w:t xml:space="preserve">o adduce </w:t>
      </w:r>
      <w:r w:rsidR="00DC1801">
        <w:rPr>
          <w:noProof/>
        </w:rPr>
        <w:t xml:space="preserve">new </w:t>
      </w:r>
      <w:r w:rsidR="00373583">
        <w:rPr>
          <w:noProof/>
        </w:rPr>
        <w:t>evi</w:t>
      </w:r>
      <w:r w:rsidR="006F1E83">
        <w:rPr>
          <w:noProof/>
        </w:rPr>
        <w:t xml:space="preserve">dence </w:t>
      </w:r>
      <w:r w:rsidR="00DF6801">
        <w:rPr>
          <w:noProof/>
        </w:rPr>
        <w:t xml:space="preserve">which was brought by the Commission </w:t>
      </w:r>
      <w:r w:rsidR="00373583">
        <w:rPr>
          <w:noProof/>
        </w:rPr>
        <w:t>after the hearing of the application for leave to appeal</w:t>
      </w:r>
      <w:r w:rsidR="00201CE8">
        <w:rPr>
          <w:noProof/>
        </w:rPr>
        <w:t>.</w:t>
      </w:r>
    </w:p>
    <w:p w:rsidR="00373583" w:rsidRPr="00373583" w:rsidRDefault="00373583" w:rsidP="00373583">
      <w:pPr>
        <w:pStyle w:val="JUDGMENTCONTINUED"/>
      </w:pPr>
    </w:p>
    <w:p w:rsidR="00831270"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[71]</w:t>
      </w:r>
      <w:r>
        <w:rPr>
          <w:color w:val="000000"/>
          <w14:scene3d>
            <w14:camera w14:prst="orthographicFront"/>
            <w14:lightRig w14:rig="threePt" w14:dir="t">
              <w14:rot w14:lat="0" w14:lon="0" w14:rev="0"/>
            </w14:lightRig>
          </w14:scene3d>
        </w:rPr>
        <w:tab/>
      </w:r>
      <w:r w:rsidR="00831270" w:rsidRPr="00D771AE">
        <w:rPr>
          <w:noProof/>
        </w:rPr>
        <w:t>Just</w:t>
      </w:r>
      <w:r w:rsidR="00831270">
        <w:t xml:space="preserve"> short of a </w:t>
      </w:r>
      <w:r w:rsidR="00831270" w:rsidRPr="00831270">
        <w:rPr>
          <w:noProof/>
        </w:rPr>
        <w:t>fortnight</w:t>
      </w:r>
      <w:r w:rsidR="00831270">
        <w:t xml:space="preserve"> after the hearing of the application for leave to appeal</w:t>
      </w:r>
      <w:r w:rsidR="00204C69">
        <w:t xml:space="preserve"> </w:t>
      </w:r>
      <w:r w:rsidR="006F1E83">
        <w:t xml:space="preserve">(main </w:t>
      </w:r>
      <w:r w:rsidR="006F1E83" w:rsidRPr="00DF6801">
        <w:rPr>
          <w:noProof/>
        </w:rPr>
        <w:t>application</w:t>
      </w:r>
      <w:r w:rsidR="006F1E83">
        <w:t>)</w:t>
      </w:r>
      <w:r w:rsidR="00831270">
        <w:t xml:space="preserve">, the Commission filed an interlocutory </w:t>
      </w:r>
      <w:r w:rsidR="00831270" w:rsidRPr="00D771AE">
        <w:rPr>
          <w:noProof/>
        </w:rPr>
        <w:t>application</w:t>
      </w:r>
      <w:r w:rsidR="00831270">
        <w:t xml:space="preserve"> seeking </w:t>
      </w:r>
      <w:r w:rsidR="00831270" w:rsidRPr="00DF6801">
        <w:rPr>
          <w:noProof/>
        </w:rPr>
        <w:t>leave</w:t>
      </w:r>
      <w:r w:rsidR="00831270">
        <w:t xml:space="preserve"> to adduce new evidence on appeal</w:t>
      </w:r>
      <w:r w:rsidR="00831270" w:rsidRPr="00AC62D8">
        <w:rPr>
          <w:noProof/>
        </w:rPr>
        <w:t>.</w:t>
      </w:r>
      <w:r w:rsidR="00791A2C">
        <w:rPr>
          <w:rStyle w:val="FootnoteReference"/>
          <w:noProof/>
        </w:rPr>
        <w:footnoteReference w:id="61"/>
      </w:r>
      <w:r w:rsidR="00DF6801">
        <w:t xml:space="preserve">  The Commission took</w:t>
      </w:r>
      <w:r w:rsidR="00831270">
        <w:t xml:space="preserve"> th</w:t>
      </w:r>
      <w:r w:rsidR="006F1E83">
        <w:t xml:space="preserve">e view that the new evidence </w:t>
      </w:r>
      <w:r w:rsidR="006F1E83">
        <w:lastRenderedPageBreak/>
        <w:t>might</w:t>
      </w:r>
      <w:r w:rsidR="00831270">
        <w:t xml:space="preserve"> have a bearing on th</w:t>
      </w:r>
      <w:r w:rsidR="009C45C0">
        <w:t>e</w:t>
      </w:r>
      <w:r w:rsidR="00831270">
        <w:t xml:space="preserve"> Court’s decision in the main </w:t>
      </w:r>
      <w:r w:rsidR="00831270" w:rsidRPr="00AC62D8">
        <w:rPr>
          <w:noProof/>
        </w:rPr>
        <w:t>application</w:t>
      </w:r>
      <w:r w:rsidR="006F1E83">
        <w:t>, which was</w:t>
      </w:r>
      <w:r w:rsidR="00831270">
        <w:t xml:space="preserve"> pending.</w:t>
      </w:r>
    </w:p>
    <w:p w:rsidR="00831270" w:rsidRDefault="00831270" w:rsidP="00831270">
      <w:pPr>
        <w:pStyle w:val="JUDGMENTCONTINUED"/>
      </w:pPr>
    </w:p>
    <w:p w:rsidR="001C7805" w:rsidRPr="00787A51" w:rsidRDefault="006970A9" w:rsidP="006970A9">
      <w:pPr>
        <w:pStyle w:val="JUDGMENTNUMBERED"/>
        <w:numPr>
          <w:ilvl w:val="0"/>
          <w:numId w:val="0"/>
        </w:numPr>
      </w:pPr>
      <w:r w:rsidRPr="00787A51">
        <w:rPr>
          <w:color w:val="000000"/>
          <w14:scene3d>
            <w14:camera w14:prst="orthographicFront"/>
            <w14:lightRig w14:rig="threePt" w14:dir="t">
              <w14:rot w14:lat="0" w14:lon="0" w14:rev="0"/>
            </w14:lightRig>
          </w14:scene3d>
        </w:rPr>
        <w:t>[72]</w:t>
      </w:r>
      <w:r w:rsidRPr="00787A51">
        <w:rPr>
          <w:color w:val="000000"/>
          <w14:scene3d>
            <w14:camera w14:prst="orthographicFront"/>
            <w14:lightRig w14:rig="threePt" w14:dir="t">
              <w14:rot w14:lat="0" w14:lon="0" w14:rev="0"/>
            </w14:lightRig>
          </w14:scene3d>
        </w:rPr>
        <w:tab/>
      </w:r>
      <w:r w:rsidR="00831270">
        <w:t>The new evidence which the Commissio</w:t>
      </w:r>
      <w:r w:rsidR="00DC1801">
        <w:t xml:space="preserve">n </w:t>
      </w:r>
      <w:r w:rsidR="00DF6801" w:rsidRPr="00DF6801">
        <w:rPr>
          <w:noProof/>
        </w:rPr>
        <w:t>seeks</w:t>
      </w:r>
      <w:r w:rsidR="00831270">
        <w:t xml:space="preserve"> </w:t>
      </w:r>
      <w:r w:rsidR="001C7805">
        <w:t xml:space="preserve">leave </w:t>
      </w:r>
      <w:r w:rsidR="006F1E83">
        <w:t xml:space="preserve">to adduce </w:t>
      </w:r>
      <w:r w:rsidR="001C7805">
        <w:t xml:space="preserve">on </w:t>
      </w:r>
      <w:r w:rsidR="00DF6801" w:rsidRPr="00DF6801">
        <w:rPr>
          <w:noProof/>
        </w:rPr>
        <w:t>appeal</w:t>
      </w:r>
      <w:r w:rsidR="001C7805">
        <w:t xml:space="preserve"> </w:t>
      </w:r>
      <w:r w:rsidR="006F1E83">
        <w:t>relates to the transcript</w:t>
      </w:r>
      <w:r w:rsidR="00831270">
        <w:t xml:space="preserve"> of a meeting held between</w:t>
      </w:r>
      <w:r w:rsidR="001C7805">
        <w:t xml:space="preserve"> members </w:t>
      </w:r>
      <w:r w:rsidR="001C7805" w:rsidRPr="00DF6801">
        <w:rPr>
          <w:noProof/>
        </w:rPr>
        <w:t xml:space="preserve">of </w:t>
      </w:r>
      <w:r w:rsidR="00831270" w:rsidRPr="00DF6801">
        <w:rPr>
          <w:noProof/>
        </w:rPr>
        <w:t>the</w:t>
      </w:r>
      <w:r w:rsidR="001C7805">
        <w:t xml:space="preserve"> interim </w:t>
      </w:r>
      <w:r w:rsidR="00CE0894">
        <w:t>b</w:t>
      </w:r>
      <w:r w:rsidR="00831270">
        <w:t>oard</w:t>
      </w:r>
      <w:r w:rsidR="001C7805">
        <w:t xml:space="preserve"> of the SABC</w:t>
      </w:r>
      <w:r w:rsidR="00831270">
        <w:t xml:space="preserve"> and representatives of </w:t>
      </w:r>
      <w:proofErr w:type="spellStart"/>
      <w:r w:rsidR="00831270">
        <w:t>MultiChoice</w:t>
      </w:r>
      <w:proofErr w:type="spellEnd"/>
      <w:r w:rsidR="001C7805">
        <w:t>,</w:t>
      </w:r>
      <w:r w:rsidR="00831270">
        <w:t xml:space="preserve"> on 6 June 2013,</w:t>
      </w:r>
      <w:r w:rsidR="001C7805" w:rsidRPr="001C7805">
        <w:t xml:space="preserve"> </w:t>
      </w:r>
      <w:r w:rsidR="001C7805">
        <w:t xml:space="preserve">concerning the possible conclusion of a channel licensing </w:t>
      </w:r>
      <w:r w:rsidR="00C708BA">
        <w:t xml:space="preserve">agreement </w:t>
      </w:r>
      <w:r w:rsidR="001C7805">
        <w:t xml:space="preserve">between the SABC and </w:t>
      </w:r>
      <w:proofErr w:type="spellStart"/>
      <w:r w:rsidR="001C7805">
        <w:t>Multichoice</w:t>
      </w:r>
      <w:proofErr w:type="spellEnd"/>
      <w:r w:rsidR="001C7805">
        <w:t xml:space="preserve"> (transcript).</w:t>
      </w:r>
      <w:r w:rsidR="001C7805" w:rsidRPr="00787A51">
        <w:t xml:space="preserve"> </w:t>
      </w:r>
      <w:r w:rsidR="003A0030">
        <w:t xml:space="preserve"> </w:t>
      </w:r>
      <w:r w:rsidR="001C7805">
        <w:t>It was published by</w:t>
      </w:r>
      <w:r w:rsidR="00196E07">
        <w:t>,</w:t>
      </w:r>
      <w:r w:rsidR="001C7805">
        <w:t xml:space="preserve"> amongst others</w:t>
      </w:r>
      <w:r w:rsidR="00196E07">
        <w:t>,</w:t>
      </w:r>
      <w:r w:rsidR="001C7805">
        <w:t xml:space="preserve"> City Press Newspaper on 29</w:t>
      </w:r>
      <w:r w:rsidR="00250689">
        <w:t> </w:t>
      </w:r>
      <w:r w:rsidR="001C7805">
        <w:t>November 2017.</w:t>
      </w:r>
    </w:p>
    <w:p w:rsidR="001C7805" w:rsidRPr="00787A51" w:rsidRDefault="001C7805" w:rsidP="007B5FBF">
      <w:pPr>
        <w:pStyle w:val="JUDGMENTCONTINUED"/>
      </w:pPr>
    </w:p>
    <w:p w:rsidR="00487169" w:rsidRPr="00787A51" w:rsidRDefault="006970A9" w:rsidP="006970A9">
      <w:pPr>
        <w:pStyle w:val="JUDGMENTNUMBERED"/>
        <w:numPr>
          <w:ilvl w:val="0"/>
          <w:numId w:val="0"/>
        </w:numPr>
      </w:pPr>
      <w:r w:rsidRPr="00787A51">
        <w:rPr>
          <w:color w:val="000000"/>
          <w14:scene3d>
            <w14:camera w14:prst="orthographicFront"/>
            <w14:lightRig w14:rig="threePt" w14:dir="t">
              <w14:rot w14:lat="0" w14:lon="0" w14:rev="0"/>
            </w14:lightRig>
          </w14:scene3d>
        </w:rPr>
        <w:t>[73]</w:t>
      </w:r>
      <w:r w:rsidRPr="00787A51">
        <w:rPr>
          <w:color w:val="000000"/>
          <w14:scene3d>
            <w14:camera w14:prst="orthographicFront"/>
            <w14:lightRig w14:rig="threePt" w14:dir="t">
              <w14:rot w14:lat="0" w14:lon="0" w14:rev="0"/>
            </w14:lightRig>
          </w14:scene3d>
        </w:rPr>
        <w:tab/>
      </w:r>
      <w:r w:rsidR="00487169">
        <w:t xml:space="preserve">The existence of the transcript </w:t>
      </w:r>
      <w:r w:rsidR="00487169" w:rsidRPr="00F146B1">
        <w:rPr>
          <w:noProof/>
        </w:rPr>
        <w:t>apparently</w:t>
      </w:r>
      <w:r w:rsidR="00487169">
        <w:t xml:space="preserve"> came to the attention of the Commission </w:t>
      </w:r>
      <w:r w:rsidR="003A0030">
        <w:t>on 29</w:t>
      </w:r>
      <w:r w:rsidR="00487169">
        <w:t xml:space="preserve"> November 2017, when an article attaching the transcript </w:t>
      </w:r>
      <w:r w:rsidR="00487169" w:rsidRPr="00D771AE">
        <w:rPr>
          <w:noProof/>
        </w:rPr>
        <w:t>was published</w:t>
      </w:r>
      <w:r w:rsidR="00487169">
        <w:t xml:space="preserve"> </w:t>
      </w:r>
      <w:r w:rsidR="00487169" w:rsidRPr="00D771AE">
        <w:rPr>
          <w:noProof/>
        </w:rPr>
        <w:t>online</w:t>
      </w:r>
      <w:r w:rsidR="00487169">
        <w:t xml:space="preserve">. </w:t>
      </w:r>
      <w:r w:rsidR="00196E07">
        <w:t xml:space="preserve"> </w:t>
      </w:r>
      <w:r w:rsidR="009C45C0">
        <w:t xml:space="preserve">On 28 November 2017, a journalist emailed a copy of the transcript to </w:t>
      </w:r>
      <w:proofErr w:type="spellStart"/>
      <w:r w:rsidR="00487169">
        <w:t>Multi</w:t>
      </w:r>
      <w:r w:rsidR="003A0030">
        <w:t>C</w:t>
      </w:r>
      <w:r w:rsidR="00487169">
        <w:t>hoice</w:t>
      </w:r>
      <w:proofErr w:type="spellEnd"/>
      <w:r w:rsidR="00487169">
        <w:t xml:space="preserve"> </w:t>
      </w:r>
      <w:r w:rsidR="009C45C0">
        <w:t>for comment.</w:t>
      </w:r>
      <w:r w:rsidR="00204C69">
        <w:t xml:space="preserve">  </w:t>
      </w:r>
      <w:r w:rsidR="009D767E">
        <w:t xml:space="preserve">Before this, </w:t>
      </w:r>
      <w:proofErr w:type="spellStart"/>
      <w:r w:rsidR="00753D21">
        <w:t>MultiC</w:t>
      </w:r>
      <w:r w:rsidR="00F146B1">
        <w:t>hoice</w:t>
      </w:r>
      <w:proofErr w:type="spellEnd"/>
      <w:r w:rsidR="00F146B1">
        <w:t>,</w:t>
      </w:r>
      <w:r w:rsidR="009D767E">
        <w:t xml:space="preserve"> </w:t>
      </w:r>
      <w:r w:rsidR="00F146B1" w:rsidRPr="00F146B1">
        <w:rPr>
          <w:noProof/>
        </w:rPr>
        <w:t>in co</w:t>
      </w:r>
      <w:r w:rsidR="00F146B1">
        <w:rPr>
          <w:noProof/>
        </w:rPr>
        <w:t xml:space="preserve">mpliance </w:t>
      </w:r>
      <w:r w:rsidR="00F146B1" w:rsidRPr="00F146B1">
        <w:rPr>
          <w:noProof/>
        </w:rPr>
        <w:t>with</w:t>
      </w:r>
      <w:r w:rsidR="00F146B1">
        <w:t xml:space="preserve"> </w:t>
      </w:r>
      <w:r w:rsidR="009D767E">
        <w:t xml:space="preserve">the June 2016 order, </w:t>
      </w:r>
      <w:r w:rsidR="00487169">
        <w:t xml:space="preserve">furnished the </w:t>
      </w:r>
      <w:r w:rsidR="00487169" w:rsidRPr="00DF6801">
        <w:rPr>
          <w:noProof/>
        </w:rPr>
        <w:t>Commission</w:t>
      </w:r>
      <w:r w:rsidR="00F146B1">
        <w:rPr>
          <w:noProof/>
        </w:rPr>
        <w:t xml:space="preserve"> </w:t>
      </w:r>
      <w:r w:rsidR="00487169" w:rsidRPr="00DF6801">
        <w:rPr>
          <w:noProof/>
        </w:rPr>
        <w:t>with</w:t>
      </w:r>
      <w:r w:rsidR="00487169">
        <w:t xml:space="preserve"> </w:t>
      </w:r>
      <w:r w:rsidR="00F146B1">
        <w:t>a</w:t>
      </w:r>
      <w:r w:rsidR="00487169">
        <w:t xml:space="preserve"> note</w:t>
      </w:r>
      <w:r w:rsidR="009D767E">
        <w:t>,</w:t>
      </w:r>
      <w:r w:rsidR="00487169">
        <w:t xml:space="preserve"> prepared by one of </w:t>
      </w:r>
      <w:r w:rsidR="00753D21">
        <w:t>its</w:t>
      </w:r>
      <w:r w:rsidR="00487169">
        <w:t xml:space="preserve"> representa</w:t>
      </w:r>
      <w:r w:rsidR="00F146B1">
        <w:t>tives who attended the June 2016</w:t>
      </w:r>
      <w:r w:rsidR="00487169">
        <w:t xml:space="preserve"> meeting, summarising the </w:t>
      </w:r>
      <w:r w:rsidR="00487169" w:rsidRPr="00F146B1">
        <w:rPr>
          <w:noProof/>
        </w:rPr>
        <w:t>key</w:t>
      </w:r>
      <w:r w:rsidR="00487169">
        <w:t xml:space="preserve"> is</w:t>
      </w:r>
      <w:r w:rsidR="00442B26">
        <w:t xml:space="preserve">sues discussed </w:t>
      </w:r>
      <w:r w:rsidR="009D767E">
        <w:t>there.</w:t>
      </w:r>
    </w:p>
    <w:p w:rsidR="00487169" w:rsidRPr="00787A51" w:rsidRDefault="00487169" w:rsidP="007B5FBF">
      <w:pPr>
        <w:pStyle w:val="JUDGMENTCONTINUED"/>
      </w:pPr>
    </w:p>
    <w:p w:rsidR="00487169"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[74]</w:t>
      </w:r>
      <w:r>
        <w:rPr>
          <w:color w:val="000000"/>
          <w14:scene3d>
            <w14:camera w14:prst="orthographicFront"/>
            <w14:lightRig w14:rig="threePt" w14:dir="t">
              <w14:rot w14:lat="0" w14:lon="0" w14:rev="0"/>
            </w14:lightRig>
          </w14:scene3d>
        </w:rPr>
        <w:tab/>
      </w:r>
      <w:r w:rsidR="00442B26">
        <w:t>The SABC, too, had</w:t>
      </w:r>
      <w:r w:rsidR="00487169">
        <w:t xml:space="preserve"> furnished </w:t>
      </w:r>
      <w:r w:rsidR="009D767E">
        <w:t xml:space="preserve">a copy of </w:t>
      </w:r>
      <w:r w:rsidR="00487169">
        <w:t xml:space="preserve">the transcript to the </w:t>
      </w:r>
      <w:r w:rsidR="00487169" w:rsidRPr="004C5E5A">
        <w:t>ad hoc</w:t>
      </w:r>
      <w:r w:rsidR="00487169">
        <w:rPr>
          <w:i/>
        </w:rPr>
        <w:t xml:space="preserve"> </w:t>
      </w:r>
      <w:r w:rsidR="00487169" w:rsidRPr="00913FF8">
        <w:t xml:space="preserve">Parliamentary Portfolio Committee </w:t>
      </w:r>
      <w:r w:rsidR="00487169">
        <w:t xml:space="preserve">on Communications as part of its </w:t>
      </w:r>
      <w:r w:rsidR="00487169" w:rsidRPr="00F146B1">
        <w:rPr>
          <w:noProof/>
        </w:rPr>
        <w:t>enquiry</w:t>
      </w:r>
      <w:r w:rsidR="00487169">
        <w:t xml:space="preserve"> into the state of the SABC.  As the SABC had explained, its failure to provide the transcript to the Commission </w:t>
      </w:r>
      <w:r w:rsidR="00487169" w:rsidRPr="00F146B1">
        <w:rPr>
          <w:noProof/>
        </w:rPr>
        <w:t xml:space="preserve">in </w:t>
      </w:r>
      <w:r w:rsidR="00F146B1" w:rsidRPr="00F146B1">
        <w:rPr>
          <w:noProof/>
        </w:rPr>
        <w:t xml:space="preserve">compliance with </w:t>
      </w:r>
      <w:r w:rsidR="00487169">
        <w:t xml:space="preserve">the </w:t>
      </w:r>
      <w:r w:rsidR="009D767E">
        <w:t xml:space="preserve">June 2016 order </w:t>
      </w:r>
      <w:r w:rsidR="00487169">
        <w:t xml:space="preserve">was due to an oversight.  The SABC </w:t>
      </w:r>
      <w:r w:rsidR="00F146B1">
        <w:t xml:space="preserve">nevertheless </w:t>
      </w:r>
      <w:r w:rsidR="00487169">
        <w:t>provide</w:t>
      </w:r>
      <w:r w:rsidR="00F146B1">
        <w:t>d</w:t>
      </w:r>
      <w:r w:rsidR="00487169">
        <w:t xml:space="preserve"> the Commission with the minutes of the </w:t>
      </w:r>
      <w:r w:rsidR="00CE0894">
        <w:t>b</w:t>
      </w:r>
      <w:r w:rsidR="00487169">
        <w:t xml:space="preserve">oard meeting at which the terms of the </w:t>
      </w:r>
      <w:r w:rsidR="00AB53BA">
        <w:t>agreement</w:t>
      </w:r>
      <w:r w:rsidR="00C708BA">
        <w:t xml:space="preserve"> </w:t>
      </w:r>
      <w:r w:rsidR="00487169">
        <w:t>were discussed and approved.</w:t>
      </w:r>
    </w:p>
    <w:p w:rsidR="00C9618C" w:rsidRDefault="00C9618C" w:rsidP="007B5FBF">
      <w:pPr>
        <w:pStyle w:val="JUDGMENTCONTINUED"/>
      </w:pPr>
    </w:p>
    <w:p w:rsidR="00C9618C" w:rsidRPr="00CD6F54" w:rsidRDefault="006970A9" w:rsidP="006970A9">
      <w:pPr>
        <w:pStyle w:val="JUDGMENTNUMBERED"/>
        <w:numPr>
          <w:ilvl w:val="0"/>
          <w:numId w:val="0"/>
        </w:numPr>
      </w:pPr>
      <w:r w:rsidRPr="00CD6F54">
        <w:rPr>
          <w:color w:val="000000"/>
          <w14:scene3d>
            <w14:camera w14:prst="orthographicFront"/>
            <w14:lightRig w14:rig="threePt" w14:dir="t">
              <w14:rot w14:lat="0" w14:lon="0" w14:rev="0"/>
            </w14:lightRig>
          </w14:scene3d>
        </w:rPr>
        <w:t>[75]</w:t>
      </w:r>
      <w:r w:rsidRPr="00CD6F54">
        <w:rPr>
          <w:color w:val="000000"/>
          <w14:scene3d>
            <w14:camera w14:prst="orthographicFront"/>
            <w14:lightRig w14:rig="threePt" w14:dir="t">
              <w14:rot w14:lat="0" w14:lon="0" w14:rev="0"/>
            </w14:lightRig>
          </w14:scene3d>
        </w:rPr>
        <w:tab/>
      </w:r>
      <w:r w:rsidR="00C9618C" w:rsidRPr="00CD6F54">
        <w:rPr>
          <w:noProof/>
        </w:rPr>
        <w:t xml:space="preserve">In essence, the </w:t>
      </w:r>
      <w:r w:rsidR="00C9618C" w:rsidRPr="00F146B1">
        <w:rPr>
          <w:noProof/>
        </w:rPr>
        <w:t>Commission’s application</w:t>
      </w:r>
      <w:r w:rsidR="00F146B1">
        <w:rPr>
          <w:noProof/>
        </w:rPr>
        <w:t xml:space="preserve"> </w:t>
      </w:r>
      <w:r w:rsidR="00F146B1" w:rsidRPr="00F146B1">
        <w:rPr>
          <w:noProof/>
        </w:rPr>
        <w:t>is premised</w:t>
      </w:r>
      <w:r w:rsidR="00C9618C" w:rsidRPr="00CD6F54">
        <w:rPr>
          <w:noProof/>
        </w:rPr>
        <w:t xml:space="preserve"> on two bases. </w:t>
      </w:r>
      <w:r w:rsidR="00F10DF4">
        <w:rPr>
          <w:noProof/>
        </w:rPr>
        <w:t xml:space="preserve"> </w:t>
      </w:r>
      <w:r w:rsidR="00C9618C" w:rsidRPr="00CD6F54">
        <w:rPr>
          <w:noProof/>
        </w:rPr>
        <w:t xml:space="preserve">The first is that the </w:t>
      </w:r>
      <w:r w:rsidR="00C9618C">
        <w:rPr>
          <w:noProof/>
        </w:rPr>
        <w:t xml:space="preserve">transcript </w:t>
      </w:r>
      <w:r w:rsidR="00C9618C" w:rsidRPr="00CD6F54">
        <w:rPr>
          <w:noProof/>
        </w:rPr>
        <w:t>(</w:t>
      </w:r>
      <w:r w:rsidR="00A0711B">
        <w:rPr>
          <w:noProof/>
        </w:rPr>
        <w:t xml:space="preserve">which </w:t>
      </w:r>
      <w:r w:rsidR="00C9618C">
        <w:rPr>
          <w:noProof/>
        </w:rPr>
        <w:t>the Commission</w:t>
      </w:r>
      <w:r w:rsidR="00A0711B">
        <w:rPr>
          <w:noProof/>
        </w:rPr>
        <w:t xml:space="preserve"> refers to </w:t>
      </w:r>
      <w:r w:rsidR="00C9618C">
        <w:rPr>
          <w:noProof/>
        </w:rPr>
        <w:t xml:space="preserve">as “minutes”) </w:t>
      </w:r>
      <w:r w:rsidR="00C9618C" w:rsidRPr="00CD6F54">
        <w:rPr>
          <w:noProof/>
        </w:rPr>
        <w:t>should be accepted into evidence</w:t>
      </w:r>
      <w:r w:rsidR="00B76AAA">
        <w:rPr>
          <w:noProof/>
        </w:rPr>
        <w:t>,</w:t>
      </w:r>
      <w:r w:rsidR="00C9618C" w:rsidRPr="00CD6F54">
        <w:rPr>
          <w:noProof/>
        </w:rPr>
        <w:t xml:space="preserve"> as </w:t>
      </w:r>
      <w:r w:rsidR="00C9618C">
        <w:rPr>
          <w:noProof/>
        </w:rPr>
        <w:t>it</w:t>
      </w:r>
      <w:r w:rsidR="00C9618C" w:rsidRPr="00CD6F54">
        <w:rPr>
          <w:noProof/>
        </w:rPr>
        <w:t xml:space="preserve"> </w:t>
      </w:r>
      <w:r w:rsidR="004B5A54">
        <w:rPr>
          <w:noProof/>
        </w:rPr>
        <w:t>h</w:t>
      </w:r>
      <w:r w:rsidR="00C9618C" w:rsidRPr="00CD6F54">
        <w:rPr>
          <w:noProof/>
        </w:rPr>
        <w:t>a</w:t>
      </w:r>
      <w:r w:rsidR="004B5A54">
        <w:rPr>
          <w:noProof/>
        </w:rPr>
        <w:t>s</w:t>
      </w:r>
      <w:r w:rsidR="009D767E">
        <w:rPr>
          <w:noProof/>
        </w:rPr>
        <w:t xml:space="preserve"> a</w:t>
      </w:r>
      <w:r w:rsidR="00C9618C" w:rsidRPr="00CD6F54">
        <w:rPr>
          <w:noProof/>
        </w:rPr>
        <w:t xml:space="preserve"> bearing on</w:t>
      </w:r>
      <w:r w:rsidR="004C5E5A">
        <w:rPr>
          <w:noProof/>
        </w:rPr>
        <w:t xml:space="preserve"> </w:t>
      </w:r>
      <w:r w:rsidR="00C9618C" w:rsidRPr="00CD6F54">
        <w:rPr>
          <w:noProof/>
        </w:rPr>
        <w:t xml:space="preserve">the merger investigation it must conduct </w:t>
      </w:r>
      <w:r w:rsidR="00F146B1">
        <w:rPr>
          <w:noProof/>
        </w:rPr>
        <w:t>and report on to the</w:t>
      </w:r>
      <w:r w:rsidR="00C9618C" w:rsidRPr="00CD6F54">
        <w:rPr>
          <w:noProof/>
        </w:rPr>
        <w:t xml:space="preserve"> Tribunal, </w:t>
      </w:r>
      <w:r w:rsidR="00F146B1">
        <w:rPr>
          <w:noProof/>
        </w:rPr>
        <w:t xml:space="preserve">in accordance with </w:t>
      </w:r>
      <w:r w:rsidR="00C9618C" w:rsidRPr="00CD6F54">
        <w:rPr>
          <w:noProof/>
        </w:rPr>
        <w:t>the June</w:t>
      </w:r>
      <w:r w:rsidR="00587028">
        <w:rPr>
          <w:noProof/>
        </w:rPr>
        <w:t> </w:t>
      </w:r>
      <w:r w:rsidR="00C9618C" w:rsidRPr="00CD6F54">
        <w:rPr>
          <w:noProof/>
        </w:rPr>
        <w:t>2016 order which this Court has to interpret in the main application.</w:t>
      </w:r>
      <w:r w:rsidR="00C9618C" w:rsidRPr="00CD6F54">
        <w:t xml:space="preserve"> </w:t>
      </w:r>
      <w:r w:rsidR="00F10DF4">
        <w:t xml:space="preserve"> </w:t>
      </w:r>
      <w:r w:rsidR="00C9618C" w:rsidRPr="00CD6F54">
        <w:t xml:space="preserve">The second is that it is in the interests of justice that the minutes be </w:t>
      </w:r>
      <w:r w:rsidR="00C9618C" w:rsidRPr="00F146B1">
        <w:rPr>
          <w:noProof/>
        </w:rPr>
        <w:t>accepted into</w:t>
      </w:r>
      <w:r w:rsidR="00C9618C" w:rsidRPr="00CD6F54">
        <w:t xml:space="preserve"> evidence as they reveal the discussions that took place between the SABC and </w:t>
      </w:r>
      <w:proofErr w:type="spellStart"/>
      <w:r w:rsidR="00C9618C" w:rsidRPr="00CD6F54">
        <w:t>MultiChoice</w:t>
      </w:r>
      <w:proofErr w:type="spellEnd"/>
      <w:r w:rsidR="00C9618C" w:rsidRPr="00CD6F54">
        <w:t xml:space="preserve"> </w:t>
      </w:r>
      <w:r w:rsidR="00C9618C" w:rsidRPr="00F146B1">
        <w:rPr>
          <w:noProof/>
        </w:rPr>
        <w:t>prior to</w:t>
      </w:r>
      <w:r w:rsidR="00C9618C" w:rsidRPr="00CD6F54">
        <w:t xml:space="preserve"> the conclusion of the </w:t>
      </w:r>
      <w:r w:rsidR="00AB53BA">
        <w:t>agreement,</w:t>
      </w:r>
      <w:r w:rsidR="00C9618C" w:rsidRPr="00CD6F54">
        <w:t xml:space="preserve"> and </w:t>
      </w:r>
      <w:r w:rsidR="00C9618C" w:rsidRPr="00CD6F54">
        <w:lastRenderedPageBreak/>
        <w:t xml:space="preserve">mention documents that </w:t>
      </w:r>
      <w:r w:rsidR="00C9618C" w:rsidRPr="00F146B1">
        <w:rPr>
          <w:noProof/>
        </w:rPr>
        <w:t>were possibly exchanged</w:t>
      </w:r>
      <w:r w:rsidR="00C9618C" w:rsidRPr="00CD6F54">
        <w:t xml:space="preserve"> between the parties prior to its </w:t>
      </w:r>
      <w:r w:rsidR="00C9618C" w:rsidRPr="00CD6F54">
        <w:rPr>
          <w:noProof/>
        </w:rPr>
        <w:t>conclusion</w:t>
      </w:r>
      <w:r w:rsidR="00C9618C" w:rsidRPr="00CD6F54">
        <w:t>.</w:t>
      </w:r>
    </w:p>
    <w:p w:rsidR="00753D21" w:rsidRPr="007B5FBF" w:rsidRDefault="00753D21" w:rsidP="007B5FBF">
      <w:pPr>
        <w:pStyle w:val="JUDGMENTCONTINUED"/>
      </w:pPr>
    </w:p>
    <w:p w:rsidR="00196E07" w:rsidRDefault="006970A9" w:rsidP="006970A9">
      <w:pPr>
        <w:pStyle w:val="JUDGMENTNUMBERED"/>
        <w:numPr>
          <w:ilvl w:val="0"/>
          <w:numId w:val="0"/>
        </w:numPr>
        <w:rPr>
          <w:noProof/>
        </w:rPr>
      </w:pPr>
      <w:r>
        <w:rPr>
          <w:color w:val="000000"/>
          <w14:scene3d>
            <w14:camera w14:prst="orthographicFront"/>
            <w14:lightRig w14:rig="threePt" w14:dir="t">
              <w14:rot w14:lat="0" w14:lon="0" w14:rev="0"/>
            </w14:lightRig>
          </w14:scene3d>
        </w:rPr>
        <w:t>[76]</w:t>
      </w:r>
      <w:r>
        <w:rPr>
          <w:color w:val="000000"/>
          <w14:scene3d>
            <w14:camera w14:prst="orthographicFront"/>
            <w14:lightRig w14:rig="threePt" w14:dir="t">
              <w14:rot w14:lat="0" w14:lon="0" w14:rev="0"/>
            </w14:lightRig>
          </w14:scene3d>
        </w:rPr>
        <w:tab/>
      </w:r>
      <w:r w:rsidR="00DC1801" w:rsidRPr="00853E55">
        <w:t>The Commission maintai</w:t>
      </w:r>
      <w:r w:rsidR="00F146B1">
        <w:t>ns</w:t>
      </w:r>
      <w:r w:rsidR="00753D21" w:rsidRPr="00853E55">
        <w:t xml:space="preserve"> that the </w:t>
      </w:r>
      <w:r w:rsidR="001C1556">
        <w:t>transcript</w:t>
      </w:r>
      <w:r w:rsidR="00753D21" w:rsidRPr="00853E55">
        <w:t xml:space="preserve"> raise</w:t>
      </w:r>
      <w:r w:rsidR="00C81111">
        <w:t>s</w:t>
      </w:r>
      <w:r w:rsidR="00753D21" w:rsidRPr="00853E55">
        <w:t xml:space="preserve"> matters which are known to both the SABC and </w:t>
      </w:r>
      <w:proofErr w:type="spellStart"/>
      <w:r w:rsidR="00753D21" w:rsidRPr="00853E55">
        <w:t>MultiChoice</w:t>
      </w:r>
      <w:proofErr w:type="spellEnd"/>
      <w:r w:rsidR="00753D21" w:rsidRPr="00853E55">
        <w:t xml:space="preserve"> and do</w:t>
      </w:r>
      <w:r w:rsidR="00C81111">
        <w:t>es</w:t>
      </w:r>
      <w:r w:rsidR="00753D21" w:rsidRPr="00853E55">
        <w:t xml:space="preserve"> not require a lengthy response from either of them regarding their relevance to the proceedings before this </w:t>
      </w:r>
      <w:r w:rsidR="00753D21" w:rsidRPr="00853E55">
        <w:rPr>
          <w:noProof/>
        </w:rPr>
        <w:t>Court</w:t>
      </w:r>
      <w:r w:rsidR="002D7BE1">
        <w:rPr>
          <w:noProof/>
        </w:rPr>
        <w:t>.</w:t>
      </w:r>
      <w:r w:rsidR="00753D21" w:rsidRPr="00853E55">
        <w:t xml:space="preserve"> </w:t>
      </w:r>
      <w:r w:rsidR="00196E07">
        <w:t xml:space="preserve"> </w:t>
      </w:r>
      <w:r w:rsidR="002D7BE1">
        <w:t>A</w:t>
      </w:r>
      <w:r w:rsidR="00753D21" w:rsidRPr="00853E55">
        <w:t xml:space="preserve">nd that none of the parties will suffer any prejudice if the </w:t>
      </w:r>
      <w:r w:rsidR="001C1556">
        <w:t xml:space="preserve">transcript </w:t>
      </w:r>
      <w:r w:rsidR="001C1556">
        <w:rPr>
          <w:noProof/>
        </w:rPr>
        <w:t xml:space="preserve">is </w:t>
      </w:r>
      <w:r w:rsidR="00753D21" w:rsidRPr="00853E55">
        <w:rPr>
          <w:noProof/>
        </w:rPr>
        <w:t>admitted</w:t>
      </w:r>
      <w:r w:rsidR="00753D21" w:rsidRPr="00853E55">
        <w:t xml:space="preserve"> into evidence. </w:t>
      </w:r>
      <w:r w:rsidR="004C5E5A">
        <w:t xml:space="preserve"> </w:t>
      </w:r>
      <w:r w:rsidR="002D7BE1">
        <w:t xml:space="preserve">Not surprisingly, </w:t>
      </w:r>
      <w:r w:rsidR="00FE40E4">
        <w:t>t</w:t>
      </w:r>
      <w:r w:rsidR="00753D21" w:rsidRPr="00853E55">
        <w:t>he SABC a</w:t>
      </w:r>
      <w:r w:rsidR="00F146B1">
        <w:t xml:space="preserve">nd </w:t>
      </w:r>
      <w:proofErr w:type="spellStart"/>
      <w:r w:rsidR="00F146B1">
        <w:t>MultiChoice</w:t>
      </w:r>
      <w:proofErr w:type="spellEnd"/>
      <w:r w:rsidR="00F146B1">
        <w:t xml:space="preserve"> oppose</w:t>
      </w:r>
      <w:r w:rsidR="00753D21" w:rsidRPr="00853E55">
        <w:t xml:space="preserve"> the application</w:t>
      </w:r>
      <w:r w:rsidR="00CA5B0B">
        <w:t xml:space="preserve"> with the vigour of </w:t>
      </w:r>
      <w:r w:rsidR="00753D21" w:rsidRPr="00853E55">
        <w:t>voluminous answer</w:t>
      </w:r>
      <w:r w:rsidR="00033C11">
        <w:t>ing affidavits</w:t>
      </w:r>
      <w:r w:rsidR="009D7E56">
        <w:t xml:space="preserve">, which </w:t>
      </w:r>
      <w:r w:rsidR="00CA5B0B">
        <w:t xml:space="preserve">direct </w:t>
      </w:r>
      <w:r w:rsidR="00033C11">
        <w:t xml:space="preserve">their </w:t>
      </w:r>
      <w:r w:rsidR="00033C11">
        <w:rPr>
          <w:noProof/>
        </w:rPr>
        <w:t xml:space="preserve">opposition </w:t>
      </w:r>
      <w:r w:rsidR="007848D6">
        <w:rPr>
          <w:noProof/>
        </w:rPr>
        <w:t>to</w:t>
      </w:r>
      <w:r w:rsidR="009D7E56">
        <w:rPr>
          <w:noProof/>
        </w:rPr>
        <w:t xml:space="preserve"> </w:t>
      </w:r>
      <w:r w:rsidR="00753D21" w:rsidRPr="00853E55">
        <w:rPr>
          <w:noProof/>
        </w:rPr>
        <w:t>the</w:t>
      </w:r>
      <w:r w:rsidR="00753D21" w:rsidRPr="00853E55">
        <w:t xml:space="preserve"> Commission</w:t>
      </w:r>
      <w:r w:rsidR="00033C11">
        <w:t>’s</w:t>
      </w:r>
      <w:r w:rsidR="00753D21" w:rsidRPr="00853E55">
        <w:t xml:space="preserve"> </w:t>
      </w:r>
      <w:r w:rsidR="00033C11">
        <w:t>failure</w:t>
      </w:r>
      <w:r w:rsidR="00753D21" w:rsidRPr="00853E55">
        <w:t xml:space="preserve"> to meet the higher threshold of exceptional circumstances for the admission of new evidence on appeal.</w:t>
      </w:r>
      <w:r w:rsidR="00DC1801" w:rsidRPr="00853E55">
        <w:t xml:space="preserve"> </w:t>
      </w:r>
      <w:r w:rsidR="003A0030">
        <w:t xml:space="preserve"> </w:t>
      </w:r>
      <w:r w:rsidR="00753D21" w:rsidRPr="00853E55">
        <w:rPr>
          <w:noProof/>
        </w:rPr>
        <w:t>They contend that</w:t>
      </w:r>
      <w:r w:rsidR="00196E07">
        <w:rPr>
          <w:noProof/>
        </w:rPr>
        <w:t>,</w:t>
      </w:r>
      <w:r w:rsidR="00753D21" w:rsidRPr="00853E55">
        <w:rPr>
          <w:noProof/>
        </w:rPr>
        <w:t xml:space="preserve"> </w:t>
      </w:r>
      <w:r w:rsidR="00CA5B0B">
        <w:rPr>
          <w:noProof/>
        </w:rPr>
        <w:t>although</w:t>
      </w:r>
      <w:r w:rsidR="00753D21" w:rsidRPr="00853E55">
        <w:rPr>
          <w:noProof/>
        </w:rPr>
        <w:t xml:space="preserve"> the transcript may be relevant to the exercise </w:t>
      </w:r>
      <w:r w:rsidR="001C1556">
        <w:rPr>
          <w:noProof/>
        </w:rPr>
        <w:t xml:space="preserve">which </w:t>
      </w:r>
      <w:r w:rsidR="00753D21" w:rsidRPr="00853E55">
        <w:rPr>
          <w:noProof/>
        </w:rPr>
        <w:t>the Commission is required to perform in terms of the June</w:t>
      </w:r>
      <w:r w:rsidR="00DC1801" w:rsidRPr="00853E55">
        <w:rPr>
          <w:noProof/>
        </w:rPr>
        <w:t xml:space="preserve"> 2016</w:t>
      </w:r>
      <w:r w:rsidR="00753D21" w:rsidRPr="00853E55">
        <w:rPr>
          <w:noProof/>
        </w:rPr>
        <w:t xml:space="preserve"> order, it has no bearing on the determination of the narrow issues raised in the main application, namely the proper interpretation of the order</w:t>
      </w:r>
      <w:r w:rsidR="008E302C">
        <w:rPr>
          <w:noProof/>
        </w:rPr>
        <w:t>.</w:t>
      </w:r>
    </w:p>
    <w:p w:rsidR="00196E07" w:rsidRPr="009845FA" w:rsidRDefault="00196E07" w:rsidP="009845FA">
      <w:pPr>
        <w:pStyle w:val="JUDGMENTCONTINUED"/>
      </w:pPr>
    </w:p>
    <w:p w:rsidR="00B76AAA"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[77]</w:t>
      </w:r>
      <w:r>
        <w:rPr>
          <w:color w:val="000000"/>
          <w14:scene3d>
            <w14:camera w14:prst="orthographicFront"/>
            <w14:lightRig w14:rig="threePt" w14:dir="t">
              <w14:rot w14:lat="0" w14:lon="0" w14:rev="0"/>
            </w14:lightRig>
          </w14:scene3d>
        </w:rPr>
        <w:tab/>
      </w:r>
      <w:r w:rsidR="001C1042" w:rsidRPr="009A7CE1">
        <w:t>Lastly</w:t>
      </w:r>
      <w:r w:rsidR="0077768E">
        <w:t>,</w:t>
      </w:r>
      <w:r w:rsidR="008E302C">
        <w:t xml:space="preserve"> they </w:t>
      </w:r>
      <w:r w:rsidR="0077768E">
        <w:t>highlight</w:t>
      </w:r>
      <w:r w:rsidR="00400847">
        <w:t xml:space="preserve"> </w:t>
      </w:r>
      <w:r w:rsidR="00FE40E4">
        <w:t>a</w:t>
      </w:r>
      <w:r w:rsidR="0077768E">
        <w:t xml:space="preserve"> damaging concession made in the Commission’s </w:t>
      </w:r>
      <w:r w:rsidR="00D63B79" w:rsidRPr="001F20DF">
        <w:t>founding affidavit</w:t>
      </w:r>
      <w:r w:rsidR="00400847">
        <w:t xml:space="preserve"> </w:t>
      </w:r>
      <w:r w:rsidR="00F44AAD">
        <w:t xml:space="preserve">where it explains </w:t>
      </w:r>
      <w:r w:rsidR="00D63B79" w:rsidRPr="00AE538A">
        <w:t xml:space="preserve">that the transcript is </w:t>
      </w:r>
      <w:r w:rsidR="00D63B79" w:rsidRPr="00196E07">
        <w:t>“</w:t>
      </w:r>
      <w:r w:rsidR="00D63B79" w:rsidRPr="009845FA">
        <w:t>not dispositive of the matters before this Court</w:t>
      </w:r>
      <w:r w:rsidR="00C02F7A">
        <w:t>”</w:t>
      </w:r>
      <w:r w:rsidR="00D63B79" w:rsidRPr="009845FA">
        <w:t>,</w:t>
      </w:r>
      <w:r w:rsidR="00D63B79" w:rsidRPr="00196E07">
        <w:t xml:space="preserve"> but simply</w:t>
      </w:r>
      <w:r w:rsidR="004C1E70">
        <w:t xml:space="preserve"> </w:t>
      </w:r>
      <w:r w:rsidR="00D63B79" w:rsidRPr="00196E07">
        <w:t>“</w:t>
      </w:r>
      <w:r w:rsidR="00D63B79" w:rsidRPr="009845FA">
        <w:t>show</w:t>
      </w:r>
      <w:r w:rsidR="004C1E70">
        <w:t>s</w:t>
      </w:r>
      <w:r w:rsidR="00D63B79" w:rsidRPr="009845FA">
        <w:t xml:space="preserve"> the thinking of these two parties leading up to the conclusion of the </w:t>
      </w:r>
      <w:r w:rsidR="00AB53BA" w:rsidRPr="009845FA">
        <w:t>agreement</w:t>
      </w:r>
      <w:r w:rsidR="00AB53BA" w:rsidRPr="00196E07">
        <w:t>”</w:t>
      </w:r>
      <w:r w:rsidR="00AB53BA">
        <w:rPr>
          <w:i/>
        </w:rPr>
        <w:t>.</w:t>
      </w:r>
      <w:r w:rsidR="00D63B79" w:rsidRPr="0025733E">
        <w:t xml:space="preserve"> </w:t>
      </w:r>
      <w:r w:rsidR="00196E07">
        <w:t xml:space="preserve"> </w:t>
      </w:r>
      <w:r w:rsidR="00D63B79" w:rsidRPr="002D3863">
        <w:rPr>
          <w:noProof/>
        </w:rPr>
        <w:t xml:space="preserve">However, </w:t>
      </w:r>
      <w:r w:rsidR="00F44AAD">
        <w:rPr>
          <w:noProof/>
        </w:rPr>
        <w:t xml:space="preserve">on </w:t>
      </w:r>
      <w:r w:rsidR="00D63B79" w:rsidRPr="002D3863">
        <w:rPr>
          <w:noProof/>
        </w:rPr>
        <w:t xml:space="preserve">realising </w:t>
      </w:r>
      <w:r w:rsidR="00FE40E4">
        <w:rPr>
          <w:noProof/>
        </w:rPr>
        <w:t>its</w:t>
      </w:r>
      <w:r w:rsidR="00D63B79" w:rsidRPr="002D3863">
        <w:rPr>
          <w:noProof/>
        </w:rPr>
        <w:t xml:space="preserve"> </w:t>
      </w:r>
      <w:r w:rsidR="00400847">
        <w:rPr>
          <w:noProof/>
        </w:rPr>
        <w:t>folly</w:t>
      </w:r>
      <w:r w:rsidR="00FE40E4">
        <w:rPr>
          <w:noProof/>
        </w:rPr>
        <w:t xml:space="preserve">, </w:t>
      </w:r>
      <w:r w:rsidR="00D63B79" w:rsidRPr="002D3863">
        <w:rPr>
          <w:noProof/>
        </w:rPr>
        <w:t>the Commission changed tac</w:t>
      </w:r>
      <w:r w:rsidR="009D235D">
        <w:rPr>
          <w:noProof/>
        </w:rPr>
        <w:t>k</w:t>
      </w:r>
      <w:r w:rsidR="00D63B79" w:rsidRPr="002D3863">
        <w:rPr>
          <w:noProof/>
        </w:rPr>
        <w:t xml:space="preserve"> in its replying affidavit, alleging tha</w:t>
      </w:r>
      <w:r w:rsidR="0053544B" w:rsidRPr="002D3863">
        <w:rPr>
          <w:noProof/>
        </w:rPr>
        <w:t>t</w:t>
      </w:r>
      <w:r w:rsidR="00B76AAA">
        <w:rPr>
          <w:noProof/>
        </w:rPr>
        <w:t>—</w:t>
      </w:r>
    </w:p>
    <w:p w:rsidR="00B76AAA" w:rsidRDefault="00B76AAA" w:rsidP="003F67C2">
      <w:pPr>
        <w:pStyle w:val="QUOTATION"/>
      </w:pPr>
    </w:p>
    <w:p w:rsidR="00B76AAA" w:rsidRDefault="00D63B79" w:rsidP="003F67C2">
      <w:pPr>
        <w:pStyle w:val="QUOTATION"/>
      </w:pPr>
      <w:r w:rsidRPr="002D3863">
        <w:rPr>
          <w:noProof/>
        </w:rPr>
        <w:t>“</w:t>
      </w:r>
      <w:r w:rsidR="00196E07">
        <w:rPr>
          <w:noProof/>
        </w:rPr>
        <w:t>t</w:t>
      </w:r>
      <w:r w:rsidRPr="002D3863">
        <w:rPr>
          <w:noProof/>
        </w:rPr>
        <w:t>he evidence is dispositive of the fact that the SABC had in fact not c</w:t>
      </w:r>
      <w:r w:rsidRPr="00AF31AC">
        <w:rPr>
          <w:noProof/>
        </w:rPr>
        <w:t xml:space="preserve">omplied fully with the order of the </w:t>
      </w:r>
      <w:r w:rsidR="009078C9" w:rsidRPr="009078C9">
        <w:rPr>
          <w:noProof/>
        </w:rPr>
        <w:t>Competition Appeal Court</w:t>
      </w:r>
      <w:r w:rsidRPr="00AF31AC">
        <w:rPr>
          <w:noProof/>
        </w:rPr>
        <w:t xml:space="preserve"> and that the Commission requires access to further documents and information by way of investigation in order to meet its obligation under the June</w:t>
      </w:r>
      <w:r w:rsidR="00587028">
        <w:rPr>
          <w:noProof/>
        </w:rPr>
        <w:t> </w:t>
      </w:r>
      <w:r w:rsidRPr="00AF31AC">
        <w:rPr>
          <w:noProof/>
        </w:rPr>
        <w:t>2016 order</w:t>
      </w:r>
      <w:r w:rsidR="000A1C47">
        <w:rPr>
          <w:noProof/>
        </w:rPr>
        <w:t>.</w:t>
      </w:r>
      <w:r w:rsidRPr="00AF31AC">
        <w:rPr>
          <w:noProof/>
        </w:rPr>
        <w:t>”</w:t>
      </w:r>
    </w:p>
    <w:p w:rsidR="00B76AAA" w:rsidRDefault="00B76AAA" w:rsidP="003F67C2">
      <w:pPr>
        <w:pStyle w:val="JUDGMENTCONTINUED"/>
      </w:pPr>
    </w:p>
    <w:p w:rsidR="00AB53BA" w:rsidRDefault="00D63B79" w:rsidP="003F67C2">
      <w:pPr>
        <w:pStyle w:val="JUDGMENTNUMBERED"/>
        <w:numPr>
          <w:ilvl w:val="0"/>
          <w:numId w:val="0"/>
        </w:numPr>
      </w:pPr>
      <w:r w:rsidRPr="00853E55">
        <w:t>The Commission cannot, of course</w:t>
      </w:r>
      <w:r w:rsidR="003B6393">
        <w:t xml:space="preserve">, make out a new case in reply </w:t>
      </w:r>
      <w:r w:rsidRPr="00853E55">
        <w:t xml:space="preserve">outside </w:t>
      </w:r>
      <w:r w:rsidRPr="000724BC">
        <w:rPr>
          <w:noProof/>
        </w:rPr>
        <w:t>certain</w:t>
      </w:r>
      <w:r w:rsidRPr="00853E55">
        <w:t xml:space="preserve"> exceptional instances, none of which has been pleaded </w:t>
      </w:r>
      <w:r w:rsidR="003B6393">
        <w:t>or applied to the present facts</w:t>
      </w:r>
      <w:r w:rsidRPr="00853E55">
        <w:t>.</w:t>
      </w:r>
    </w:p>
    <w:p w:rsidR="00A93702" w:rsidRPr="00F154E7" w:rsidRDefault="00A93702" w:rsidP="00F154E7">
      <w:pPr>
        <w:pStyle w:val="JUDGMENTCONTINUED"/>
      </w:pPr>
    </w:p>
    <w:p w:rsidR="00D63B79" w:rsidRPr="0043759C" w:rsidRDefault="006970A9" w:rsidP="006970A9">
      <w:pPr>
        <w:pStyle w:val="JUDGMENTNUMBERED"/>
        <w:numPr>
          <w:ilvl w:val="0"/>
          <w:numId w:val="0"/>
        </w:numPr>
      </w:pPr>
      <w:r w:rsidRPr="0043759C">
        <w:rPr>
          <w:color w:val="000000"/>
          <w14:scene3d>
            <w14:camera w14:prst="orthographicFront"/>
            <w14:lightRig w14:rig="threePt" w14:dir="t">
              <w14:rot w14:lat="0" w14:lon="0" w14:rev="0"/>
            </w14:lightRig>
          </w14:scene3d>
        </w:rPr>
        <w:t>[78]</w:t>
      </w:r>
      <w:r w:rsidRPr="0043759C">
        <w:rPr>
          <w:color w:val="000000"/>
          <w14:scene3d>
            <w14:camera w14:prst="orthographicFront"/>
            <w14:lightRig w14:rig="threePt" w14:dir="t">
              <w14:rot w14:lat="0" w14:lon="0" w14:rev="0"/>
            </w14:lightRig>
          </w14:scene3d>
        </w:rPr>
        <w:tab/>
      </w:r>
      <w:r w:rsidR="00D63B79" w:rsidRPr="00853E55">
        <w:t>Whether the existence of the transcript is evidence of the SABC’s non-complianc</w:t>
      </w:r>
      <w:r w:rsidR="006C6D68">
        <w:t xml:space="preserve">e with the June 2016 order </w:t>
      </w:r>
      <w:r w:rsidR="00D63B79" w:rsidRPr="00853E55">
        <w:t>is not an issue</w:t>
      </w:r>
      <w:r w:rsidR="00135838">
        <w:t xml:space="preserve"> for determination in this appeal.</w:t>
      </w:r>
      <w:r w:rsidR="00196E07">
        <w:t xml:space="preserve"> </w:t>
      </w:r>
      <w:r w:rsidR="00093F1B">
        <w:t xml:space="preserve"> </w:t>
      </w:r>
      <w:r w:rsidR="00D63B79" w:rsidRPr="000724BC">
        <w:rPr>
          <w:noProof/>
        </w:rPr>
        <w:t>The issues</w:t>
      </w:r>
      <w:r w:rsidR="00D63B79" w:rsidRPr="00070E4F">
        <w:t xml:space="preserve"> for determination turn on the proper interpretation of the June</w:t>
      </w:r>
      <w:r w:rsidR="00196E07">
        <w:t> </w:t>
      </w:r>
      <w:r w:rsidR="00D63B79" w:rsidRPr="00070E4F">
        <w:t>2016 order.</w:t>
      </w:r>
      <w:r w:rsidR="00A74662" w:rsidRPr="00070E4F" w:rsidDel="00A74662">
        <w:t xml:space="preserve"> </w:t>
      </w:r>
      <w:r w:rsidR="00196E07">
        <w:t xml:space="preserve"> </w:t>
      </w:r>
      <w:r w:rsidR="001C1042">
        <w:lastRenderedPageBreak/>
        <w:t xml:space="preserve">Its </w:t>
      </w:r>
      <w:r w:rsidR="00D63B79" w:rsidRPr="00070E4F">
        <w:t xml:space="preserve">“manifest purpose” must be ascertained primarily from the </w:t>
      </w:r>
      <w:r w:rsidR="001C1042">
        <w:t>language used</w:t>
      </w:r>
      <w:r w:rsidR="00A74662">
        <w:t xml:space="preserve"> and the </w:t>
      </w:r>
      <w:r w:rsidR="009078C9" w:rsidRPr="009078C9">
        <w:t>Competition Appeal Court</w:t>
      </w:r>
      <w:r w:rsidR="001C1042">
        <w:t>’s</w:t>
      </w:r>
      <w:r w:rsidR="00A74662">
        <w:t xml:space="preserve"> </w:t>
      </w:r>
      <w:r w:rsidR="002454A4">
        <w:t xml:space="preserve">reasons </w:t>
      </w:r>
      <w:r w:rsidR="00A74662">
        <w:t xml:space="preserve">for </w:t>
      </w:r>
      <w:r w:rsidR="001C1042">
        <w:t>making it.</w:t>
      </w:r>
      <w:r w:rsidR="00D63B79" w:rsidRPr="00C14BC9">
        <w:rPr>
          <w:rStyle w:val="FootnoteReference"/>
        </w:rPr>
        <w:footnoteReference w:id="62"/>
      </w:r>
      <w:r w:rsidR="00D63B79" w:rsidRPr="00C14BC9">
        <w:t xml:space="preserve">  </w:t>
      </w:r>
      <w:r w:rsidR="00A74662">
        <w:t>T</w:t>
      </w:r>
      <w:r w:rsidR="00D63B79" w:rsidRPr="00C14BC9">
        <w:t xml:space="preserve">he only </w:t>
      </w:r>
      <w:r w:rsidR="00D63B79" w:rsidRPr="00070E4F">
        <w:t xml:space="preserve">extraneous considerations which are permissible in the interpretation of </w:t>
      </w:r>
      <w:r w:rsidR="002454A4">
        <w:rPr>
          <w:noProof/>
        </w:rPr>
        <w:t xml:space="preserve">the </w:t>
      </w:r>
      <w:r w:rsidR="00D63B79" w:rsidRPr="000724BC">
        <w:rPr>
          <w:noProof/>
        </w:rPr>
        <w:t>order</w:t>
      </w:r>
      <w:r w:rsidR="00D63B79" w:rsidRPr="00812006">
        <w:t xml:space="preserve"> are those which </w:t>
      </w:r>
      <w:r w:rsidR="00D63B79" w:rsidRPr="000724BC">
        <w:rPr>
          <w:noProof/>
        </w:rPr>
        <w:t>contextualise</w:t>
      </w:r>
      <w:r w:rsidR="00D63B79" w:rsidRPr="00F37A80">
        <w:t xml:space="preserve"> </w:t>
      </w:r>
      <w:r w:rsidR="002454A4">
        <w:t>it,</w:t>
      </w:r>
      <w:r w:rsidR="00D63B79" w:rsidRPr="00C14BC9">
        <w:t xml:space="preserve"> including material known to th</w:t>
      </w:r>
      <w:r w:rsidR="002454A4">
        <w:t>e</w:t>
      </w:r>
      <w:r w:rsidR="007939BF">
        <w:t xml:space="preserve"> </w:t>
      </w:r>
      <w:r w:rsidR="009078C9" w:rsidRPr="009078C9">
        <w:rPr>
          <w:noProof/>
        </w:rPr>
        <w:t>Competition Appeal Court</w:t>
      </w:r>
      <w:r w:rsidR="002454A4">
        <w:rPr>
          <w:noProof/>
        </w:rPr>
        <w:t xml:space="preserve"> when making it.</w:t>
      </w:r>
      <w:r w:rsidR="00B76AAA" w:rsidRPr="00C14BC9">
        <w:rPr>
          <w:rStyle w:val="FootnoteReference"/>
        </w:rPr>
        <w:footnoteReference w:id="63"/>
      </w:r>
      <w:r w:rsidR="00B76AAA" w:rsidRPr="00C14BC9">
        <w:t xml:space="preserve"> </w:t>
      </w:r>
      <w:r w:rsidR="00D63B79" w:rsidRPr="00C14BC9">
        <w:t xml:space="preserve"> There is no place for the consideration of facts or material which c</w:t>
      </w:r>
      <w:r w:rsidR="00F93C3B">
        <w:t>ame</w:t>
      </w:r>
      <w:r w:rsidR="002454A4">
        <w:t xml:space="preserve"> </w:t>
      </w:r>
      <w:r w:rsidR="00D63B79" w:rsidRPr="00C14BC9">
        <w:t>to light after</w:t>
      </w:r>
      <w:r w:rsidR="002454A4">
        <w:t xml:space="preserve"> the </w:t>
      </w:r>
      <w:r w:rsidR="00D63B79" w:rsidRPr="00070E4F">
        <w:t>order ha</w:t>
      </w:r>
      <w:r w:rsidR="00F93C3B">
        <w:t>d</w:t>
      </w:r>
      <w:r w:rsidR="00D63B79" w:rsidRPr="00070E4F">
        <w:t xml:space="preserve"> been handed down.</w:t>
      </w:r>
    </w:p>
    <w:p w:rsidR="00D63B79" w:rsidRPr="0043759C" w:rsidRDefault="00D63B79" w:rsidP="00D63B79">
      <w:pPr>
        <w:pStyle w:val="JUDGMENTNUMBERED"/>
        <w:numPr>
          <w:ilvl w:val="0"/>
          <w:numId w:val="0"/>
        </w:numPr>
      </w:pPr>
    </w:p>
    <w:p w:rsidR="006C6D68"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[79]</w:t>
      </w:r>
      <w:r>
        <w:rPr>
          <w:color w:val="000000"/>
          <w14:scene3d>
            <w14:camera w14:prst="orthographicFront"/>
            <w14:lightRig w14:rig="threePt" w14:dir="t">
              <w14:rot w14:lat="0" w14:lon="0" w14:rev="0"/>
            </w14:lightRig>
          </w14:scene3d>
        </w:rPr>
        <w:tab/>
      </w:r>
      <w:r w:rsidR="00313B83">
        <w:t>T</w:t>
      </w:r>
      <w:r w:rsidR="00D63B79">
        <w:t xml:space="preserve">he transcript which the Commission seeks to adduce on appeal was not before the </w:t>
      </w:r>
      <w:r w:rsidR="009078C9" w:rsidRPr="009078C9">
        <w:t>Competition Appeal Court</w:t>
      </w:r>
      <w:r w:rsidR="00D63B79">
        <w:t xml:space="preserve"> when it formulated the June 2016 order </w:t>
      </w:r>
      <w:r w:rsidR="00400847">
        <w:t xml:space="preserve">and </w:t>
      </w:r>
      <w:r w:rsidR="00D63B79">
        <w:t xml:space="preserve">subsequently interpreted </w:t>
      </w:r>
      <w:r w:rsidR="00AE09D4">
        <w:t>it.</w:t>
      </w:r>
      <w:r w:rsidR="00D63B79">
        <w:t xml:space="preserve">  </w:t>
      </w:r>
      <w:r w:rsidR="00B61462">
        <w:t xml:space="preserve">It </w:t>
      </w:r>
      <w:r w:rsidR="00F93C3B">
        <w:t>is</w:t>
      </w:r>
      <w:r w:rsidR="00B61462">
        <w:t xml:space="preserve"> therefore,</w:t>
      </w:r>
      <w:r w:rsidR="00C16A6F">
        <w:t xml:space="preserve"> not </w:t>
      </w:r>
      <w:r w:rsidR="00F853F4">
        <w:t>relevant.</w:t>
      </w:r>
      <w:r w:rsidR="00A93702">
        <w:t xml:space="preserve"> </w:t>
      </w:r>
      <w:r w:rsidR="00196E07">
        <w:t xml:space="preserve"> </w:t>
      </w:r>
      <w:r w:rsidR="00D63B79">
        <w:t>The relevant facts and argument were placed before th</w:t>
      </w:r>
      <w:r w:rsidR="00DE21D0">
        <w:t>is</w:t>
      </w:r>
      <w:r w:rsidR="00D63B79">
        <w:t xml:space="preserve"> Court </w:t>
      </w:r>
      <w:r w:rsidR="00D63B79" w:rsidRPr="000724BC">
        <w:rPr>
          <w:noProof/>
        </w:rPr>
        <w:t>prior to</w:t>
      </w:r>
      <w:r w:rsidR="00D63B79">
        <w:t xml:space="preserve"> the hearing of the matter on 23</w:t>
      </w:r>
      <w:r w:rsidR="00B76AAA">
        <w:t> </w:t>
      </w:r>
      <w:r w:rsidR="00D63B79">
        <w:t xml:space="preserve">November 2017.  </w:t>
      </w:r>
      <w:r w:rsidR="009D235D">
        <w:t>T</w:t>
      </w:r>
      <w:r w:rsidR="00D63B79">
        <w:t xml:space="preserve">he SABC will suffer the prejudice of having new factual evidence adduced not only before the court of </w:t>
      </w:r>
      <w:r w:rsidR="00D63B79" w:rsidRPr="000724BC">
        <w:rPr>
          <w:noProof/>
        </w:rPr>
        <w:t>last</w:t>
      </w:r>
      <w:r w:rsidR="00D63B79">
        <w:t xml:space="preserve"> </w:t>
      </w:r>
      <w:r w:rsidR="00D63B79" w:rsidRPr="000724BC">
        <w:rPr>
          <w:noProof/>
        </w:rPr>
        <w:t>instance,</w:t>
      </w:r>
      <w:r w:rsidR="00D63B79">
        <w:t xml:space="preserve"> but after the hearing of the </w:t>
      </w:r>
      <w:r w:rsidR="00F62FA7">
        <w:t>appeal.</w:t>
      </w:r>
      <w:r w:rsidR="008E302C">
        <w:t xml:space="preserve"> </w:t>
      </w:r>
      <w:r w:rsidR="00196E07">
        <w:t xml:space="preserve"> </w:t>
      </w:r>
      <w:r w:rsidR="00D63B79">
        <w:t>All the parties, the general public</w:t>
      </w:r>
      <w:r w:rsidR="00030F4D">
        <w:t>,</w:t>
      </w:r>
      <w:r w:rsidR="00D63B79">
        <w:t xml:space="preserve"> </w:t>
      </w:r>
      <w:r w:rsidR="00D63B79" w:rsidRPr="00030F4D">
        <w:rPr>
          <w:noProof/>
        </w:rPr>
        <w:t>and</w:t>
      </w:r>
      <w:r w:rsidR="00D63B79">
        <w:t xml:space="preserve"> this Court have an interest in the finality of litigation. </w:t>
      </w:r>
      <w:r w:rsidR="00F10DF4">
        <w:t xml:space="preserve"> </w:t>
      </w:r>
      <w:r w:rsidR="00D63B79">
        <w:t xml:space="preserve">The admission of further evidence </w:t>
      </w:r>
      <w:r w:rsidR="00D63B79" w:rsidRPr="00030F4D">
        <w:rPr>
          <w:noProof/>
        </w:rPr>
        <w:t>and</w:t>
      </w:r>
      <w:r w:rsidR="00D63B79">
        <w:t xml:space="preserve"> </w:t>
      </w:r>
      <w:r w:rsidR="00F62FA7">
        <w:t xml:space="preserve">further </w:t>
      </w:r>
      <w:r w:rsidR="00D63B79">
        <w:t xml:space="preserve">argument after the hearing of the </w:t>
      </w:r>
      <w:r w:rsidR="003B15BC">
        <w:t xml:space="preserve">appeal </w:t>
      </w:r>
      <w:r w:rsidR="00D63B79" w:rsidRPr="000724BC">
        <w:rPr>
          <w:noProof/>
        </w:rPr>
        <w:t>is</w:t>
      </w:r>
      <w:r w:rsidR="00D63B79">
        <w:t xml:space="preserve"> </w:t>
      </w:r>
      <w:r w:rsidR="003B15BC">
        <w:t>inconsistent with</w:t>
      </w:r>
      <w:r w:rsidR="00D63B79">
        <w:t xml:space="preserve"> this </w:t>
      </w:r>
      <w:r w:rsidR="00D63B79" w:rsidRPr="000724BC">
        <w:rPr>
          <w:noProof/>
        </w:rPr>
        <w:t>important</w:t>
      </w:r>
      <w:r w:rsidR="00D63B79">
        <w:t xml:space="preserve"> principle. </w:t>
      </w:r>
      <w:r w:rsidR="00F10DF4">
        <w:t xml:space="preserve"> </w:t>
      </w:r>
      <w:r w:rsidR="00D63B79">
        <w:t>T</w:t>
      </w:r>
      <w:r w:rsidR="00D63B79" w:rsidRPr="00853E55">
        <w:rPr>
          <w:noProof/>
        </w:rPr>
        <w:t>he</w:t>
      </w:r>
      <w:r w:rsidR="00D63B79" w:rsidRPr="00853E55">
        <w:t xml:space="preserve"> Commission has </w:t>
      </w:r>
      <w:r w:rsidR="00D63B79">
        <w:t xml:space="preserve">also </w:t>
      </w:r>
      <w:r w:rsidR="00D63B79" w:rsidRPr="00853E55">
        <w:t>failed to meet the higher threshold of exceptional circumstances for the admission of new evidence on appeal.</w:t>
      </w:r>
      <w:r w:rsidR="00680D2F">
        <w:t xml:space="preserve"> </w:t>
      </w:r>
      <w:r w:rsidR="00D63B79">
        <w:t xml:space="preserve"> It is </w:t>
      </w:r>
      <w:r w:rsidR="00FE40E4">
        <w:t>accordingly</w:t>
      </w:r>
      <w:r w:rsidR="00D63B79">
        <w:t xml:space="preserve"> not in the interests of justice that the new evidence </w:t>
      </w:r>
      <w:r w:rsidR="004100BD">
        <w:rPr>
          <w:noProof/>
        </w:rPr>
        <w:t>be</w:t>
      </w:r>
      <w:r w:rsidR="00D63B79" w:rsidRPr="000724BC">
        <w:rPr>
          <w:noProof/>
        </w:rPr>
        <w:t xml:space="preserve"> admitted</w:t>
      </w:r>
      <w:r w:rsidR="00D63B79">
        <w:t xml:space="preserve"> into the appeal record.</w:t>
      </w:r>
    </w:p>
    <w:p w:rsidR="00A5171B" w:rsidRDefault="00A5171B" w:rsidP="006C6D68">
      <w:pPr>
        <w:pStyle w:val="JUDGMENTNUMBERED"/>
        <w:numPr>
          <w:ilvl w:val="0"/>
          <w:numId w:val="0"/>
        </w:numPr>
      </w:pPr>
    </w:p>
    <w:p w:rsidR="00007395" w:rsidRDefault="00A5171B" w:rsidP="004C5E5A">
      <w:pPr>
        <w:pStyle w:val="HEADING"/>
      </w:pPr>
      <w:r w:rsidRPr="00441077">
        <w:t>Th</w:t>
      </w:r>
      <w:r w:rsidR="009F4285">
        <w:t>e December 2016 application</w:t>
      </w:r>
    </w:p>
    <w:p w:rsidR="00A5171B" w:rsidRDefault="006970A9" w:rsidP="006970A9">
      <w:pPr>
        <w:pStyle w:val="JUDGMENTNUMBERED"/>
        <w:numPr>
          <w:ilvl w:val="0"/>
          <w:numId w:val="0"/>
        </w:numPr>
        <w:rPr>
          <w:noProof/>
        </w:rPr>
      </w:pPr>
      <w:r>
        <w:rPr>
          <w:color w:val="000000"/>
          <w14:scene3d>
            <w14:camera w14:prst="orthographicFront"/>
            <w14:lightRig w14:rig="threePt" w14:dir="t">
              <w14:rot w14:lat="0" w14:lon="0" w14:rev="0"/>
            </w14:lightRig>
          </w14:scene3d>
        </w:rPr>
        <w:t>[80]</w:t>
      </w:r>
      <w:r>
        <w:rPr>
          <w:color w:val="000000"/>
          <w14:scene3d>
            <w14:camera w14:prst="orthographicFront"/>
            <w14:lightRig w14:rig="threePt" w14:dir="t">
              <w14:rot w14:lat="0" w14:lon="0" w14:rev="0"/>
            </w14:lightRig>
          </w14:scene3d>
        </w:rPr>
        <w:tab/>
      </w:r>
      <w:r w:rsidR="00A5171B" w:rsidRPr="000724BC">
        <w:rPr>
          <w:noProof/>
        </w:rPr>
        <w:t>In the December 2016 application</w:t>
      </w:r>
      <w:r w:rsidR="00B0514C" w:rsidRPr="000724BC">
        <w:rPr>
          <w:noProof/>
        </w:rPr>
        <w:t xml:space="preserve"> before the </w:t>
      </w:r>
      <w:r w:rsidR="009078C9" w:rsidRPr="009078C9">
        <w:rPr>
          <w:noProof/>
        </w:rPr>
        <w:t>Competition Appeal Court</w:t>
      </w:r>
      <w:r w:rsidR="00A5171B" w:rsidRPr="000724BC">
        <w:rPr>
          <w:noProof/>
        </w:rPr>
        <w:t>, the applicants sought to adduce further evidence consisting of untested statements made</w:t>
      </w:r>
      <w:r w:rsidR="00F62FA7">
        <w:rPr>
          <w:noProof/>
        </w:rPr>
        <w:t>,</w:t>
      </w:r>
      <w:r w:rsidR="00A5171B" w:rsidRPr="000724BC">
        <w:rPr>
          <w:noProof/>
        </w:rPr>
        <w:t xml:space="preserve"> </w:t>
      </w:r>
      <w:r w:rsidR="00F62FA7">
        <w:rPr>
          <w:noProof/>
        </w:rPr>
        <w:t>before a Parliamentary ad hoc committee,</w:t>
      </w:r>
      <w:r w:rsidR="007F17F9">
        <w:rPr>
          <w:noProof/>
        </w:rPr>
        <w:t xml:space="preserve"> </w:t>
      </w:r>
      <w:r w:rsidR="00A5171B" w:rsidRPr="000724BC">
        <w:rPr>
          <w:noProof/>
        </w:rPr>
        <w:t>by</w:t>
      </w:r>
      <w:r w:rsidR="00B0514C" w:rsidRPr="000724BC">
        <w:rPr>
          <w:noProof/>
        </w:rPr>
        <w:t xml:space="preserve"> a</w:t>
      </w:r>
      <w:r w:rsidR="00A5171B" w:rsidRPr="000724BC">
        <w:rPr>
          <w:noProof/>
        </w:rPr>
        <w:t xml:space="preserve"> former </w:t>
      </w:r>
      <w:r w:rsidR="00CE0894">
        <w:rPr>
          <w:noProof/>
        </w:rPr>
        <w:t>b</w:t>
      </w:r>
      <w:r w:rsidR="00A5171B" w:rsidRPr="000724BC">
        <w:rPr>
          <w:noProof/>
        </w:rPr>
        <w:t xml:space="preserve">oard member of the SABC and its former </w:t>
      </w:r>
      <w:r w:rsidR="00B76AAA">
        <w:rPr>
          <w:noProof/>
        </w:rPr>
        <w:t>CEO</w:t>
      </w:r>
      <w:r w:rsidR="00A5171B" w:rsidRPr="000724BC">
        <w:rPr>
          <w:noProof/>
        </w:rPr>
        <w:t xml:space="preserve"> on the basis that </w:t>
      </w:r>
      <w:r w:rsidR="006E2089">
        <w:rPr>
          <w:noProof/>
        </w:rPr>
        <w:t xml:space="preserve">it </w:t>
      </w:r>
      <w:r w:rsidR="00A5171B" w:rsidRPr="000724BC">
        <w:rPr>
          <w:noProof/>
        </w:rPr>
        <w:t>was relevant to the determination of the October 2016 application</w:t>
      </w:r>
      <w:r w:rsidR="006E2089">
        <w:rPr>
          <w:noProof/>
        </w:rPr>
        <w:t>.</w:t>
      </w:r>
    </w:p>
    <w:p w:rsidR="007F17F9" w:rsidRPr="007F17F9" w:rsidRDefault="007F17F9" w:rsidP="00BB36A0">
      <w:pPr>
        <w:pStyle w:val="JUDGMENTCONTINUED"/>
      </w:pPr>
    </w:p>
    <w:p w:rsidR="00A5171B"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lastRenderedPageBreak/>
        <w:t>[81]</w:t>
      </w:r>
      <w:r>
        <w:rPr>
          <w:color w:val="000000"/>
          <w14:scene3d>
            <w14:camera w14:prst="orthographicFront"/>
            <w14:lightRig w14:rig="threePt" w14:dir="t">
              <w14:rot w14:lat="0" w14:lon="0" w14:rev="0"/>
            </w14:lightRig>
          </w14:scene3d>
        </w:rPr>
        <w:tab/>
      </w:r>
      <w:r w:rsidR="00A5171B">
        <w:t xml:space="preserve">That application was fundamentally misconceived, as it </w:t>
      </w:r>
      <w:r w:rsidR="00A5171B" w:rsidRPr="000724BC">
        <w:rPr>
          <w:noProof/>
        </w:rPr>
        <w:t>was based</w:t>
      </w:r>
      <w:r w:rsidR="00A5171B">
        <w:t xml:space="preserve"> on the incorrect premise that evidence which came to light after a court order has been handed down, can somehow be considered relevant to the interpretation of that court order. </w:t>
      </w:r>
      <w:r w:rsidR="00680D2F">
        <w:t xml:space="preserve"> </w:t>
      </w:r>
      <w:r w:rsidR="00A5171B">
        <w:t xml:space="preserve">The </w:t>
      </w:r>
      <w:r w:rsidR="009078C9" w:rsidRPr="009078C9">
        <w:t>Competition Appeal Court</w:t>
      </w:r>
      <w:r w:rsidR="00A5171B">
        <w:t xml:space="preserve"> was accordingly justified in dismissing that </w:t>
      </w:r>
      <w:r w:rsidR="00A5171B" w:rsidRPr="003131C6">
        <w:t>application</w:t>
      </w:r>
      <w:r w:rsidR="004100BD">
        <w:t xml:space="preserve"> </w:t>
      </w:r>
      <w:r w:rsidR="00A5171B" w:rsidRPr="000724BC">
        <w:rPr>
          <w:noProof/>
        </w:rPr>
        <w:t>in</w:t>
      </w:r>
      <w:r w:rsidR="00A5171B">
        <w:t xml:space="preserve"> its April 2017 order.</w:t>
      </w:r>
    </w:p>
    <w:p w:rsidR="00A5171B" w:rsidRPr="00812006" w:rsidRDefault="00A5171B" w:rsidP="00A5171B">
      <w:pPr>
        <w:pStyle w:val="JUDGMENTCONTINUED"/>
      </w:pPr>
    </w:p>
    <w:p w:rsidR="00A5171B" w:rsidRPr="0043759C" w:rsidRDefault="00687A41" w:rsidP="004C5E5A">
      <w:pPr>
        <w:pStyle w:val="HEADING"/>
      </w:pPr>
      <w:r>
        <w:t xml:space="preserve">The </w:t>
      </w:r>
      <w:r w:rsidR="009F4285">
        <w:t>November 2017 a</w:t>
      </w:r>
      <w:r w:rsidR="00A5171B" w:rsidRPr="0043759C">
        <w:t>pplication</w:t>
      </w:r>
    </w:p>
    <w:p w:rsidR="000724BC"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[82]</w:t>
      </w:r>
      <w:r>
        <w:rPr>
          <w:color w:val="000000"/>
          <w14:scene3d>
            <w14:camera w14:prst="orthographicFront"/>
            <w14:lightRig w14:rig="threePt" w14:dir="t">
              <w14:rot w14:lat="0" w14:lon="0" w14:rev="0"/>
            </w14:lightRig>
          </w14:scene3d>
        </w:rPr>
        <w:tab/>
      </w:r>
      <w:r w:rsidR="00A5171B">
        <w:t xml:space="preserve">This misconception was perpetuated in the applicants’ application </w:t>
      </w:r>
      <w:r w:rsidR="00343A3C">
        <w:t xml:space="preserve">to adduce new evidence at </w:t>
      </w:r>
      <w:r w:rsidR="00A5171B">
        <w:t>the hearing of the app</w:t>
      </w:r>
      <w:r w:rsidR="00343A3C">
        <w:t xml:space="preserve">lication </w:t>
      </w:r>
      <w:r w:rsidR="00A5171B">
        <w:t>for leave to appeal by this Court</w:t>
      </w:r>
      <w:r w:rsidR="00343A3C">
        <w:t xml:space="preserve">. </w:t>
      </w:r>
      <w:r w:rsidR="008B799A">
        <w:t xml:space="preserve"> </w:t>
      </w:r>
      <w:r w:rsidR="00343A3C">
        <w:t xml:space="preserve">They sought, in that application, </w:t>
      </w:r>
      <w:r w:rsidR="00A5171B">
        <w:t xml:space="preserve">to adduce a transcript of a parliamentary </w:t>
      </w:r>
      <w:r w:rsidR="00A5171B" w:rsidRPr="000724BC">
        <w:rPr>
          <w:noProof/>
        </w:rPr>
        <w:t>hearing</w:t>
      </w:r>
      <w:r w:rsidR="00A5171B">
        <w:t xml:space="preserve"> conducted after the </w:t>
      </w:r>
      <w:r w:rsidR="009078C9" w:rsidRPr="009078C9">
        <w:t>Competition Appeal Court</w:t>
      </w:r>
      <w:r w:rsidR="00A5171B">
        <w:t xml:space="preserve"> had handed down </w:t>
      </w:r>
      <w:r w:rsidR="00A5171B" w:rsidRPr="000724BC">
        <w:rPr>
          <w:noProof/>
        </w:rPr>
        <w:t>its</w:t>
      </w:r>
      <w:r w:rsidR="00A5171B">
        <w:t xml:space="preserve"> April 2017 order.</w:t>
      </w:r>
    </w:p>
    <w:p w:rsidR="00A5171B" w:rsidRDefault="00A5171B" w:rsidP="004D133F">
      <w:pPr>
        <w:pStyle w:val="JUDGMENTCONTINUED"/>
      </w:pPr>
    </w:p>
    <w:p w:rsidR="00A5171B"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[83]</w:t>
      </w:r>
      <w:r>
        <w:rPr>
          <w:color w:val="000000"/>
          <w14:scene3d>
            <w14:camera w14:prst="orthographicFront"/>
            <w14:lightRig w14:rig="threePt" w14:dir="t">
              <w14:rot w14:lat="0" w14:lon="0" w14:rev="0"/>
            </w14:lightRig>
          </w14:scene3d>
        </w:rPr>
        <w:tab/>
      </w:r>
      <w:r w:rsidR="000724BC" w:rsidRPr="000724BC">
        <w:rPr>
          <w:noProof/>
        </w:rPr>
        <w:t xml:space="preserve">As </w:t>
      </w:r>
      <w:r w:rsidR="00343A3C" w:rsidRPr="000724BC">
        <w:rPr>
          <w:noProof/>
        </w:rPr>
        <w:t>with</w:t>
      </w:r>
      <w:r w:rsidR="00343A3C">
        <w:t xml:space="preserve"> </w:t>
      </w:r>
      <w:r w:rsidR="00A5171B">
        <w:t>the other two applications</w:t>
      </w:r>
      <w:r w:rsidR="00343A3C">
        <w:t xml:space="preserve"> to adduce further evidence</w:t>
      </w:r>
      <w:r w:rsidR="00A5171B">
        <w:t xml:space="preserve">, the new evidence sought to </w:t>
      </w:r>
      <w:r w:rsidR="00A5171B" w:rsidRPr="000724BC">
        <w:rPr>
          <w:noProof/>
        </w:rPr>
        <w:t>be admitted</w:t>
      </w:r>
      <w:r w:rsidR="00A5171B">
        <w:t xml:space="preserve"> </w:t>
      </w:r>
      <w:r w:rsidR="00A5171B" w:rsidRPr="000724BC">
        <w:rPr>
          <w:noProof/>
        </w:rPr>
        <w:t>here</w:t>
      </w:r>
      <w:r w:rsidR="00A5171B">
        <w:t xml:space="preserve"> was not before the </w:t>
      </w:r>
      <w:r w:rsidR="009078C9" w:rsidRPr="009078C9">
        <w:t>Competition Appeal Court</w:t>
      </w:r>
      <w:r w:rsidR="004100BD">
        <w:t xml:space="preserve"> when it made the June </w:t>
      </w:r>
      <w:r w:rsidR="00B76AAA">
        <w:t xml:space="preserve">2016 </w:t>
      </w:r>
      <w:r w:rsidR="004100BD">
        <w:t>order and</w:t>
      </w:r>
      <w:r w:rsidR="00A5171B">
        <w:t xml:space="preserve"> subsequently interpreted it.</w:t>
      </w:r>
      <w:r w:rsidR="00680D2F">
        <w:t xml:space="preserve"> </w:t>
      </w:r>
      <w:r w:rsidR="00A5171B">
        <w:t xml:space="preserve"> </w:t>
      </w:r>
      <w:r w:rsidR="00F853F4">
        <w:t>It is</w:t>
      </w:r>
      <w:r w:rsidR="00A5171B">
        <w:t xml:space="preserve"> </w:t>
      </w:r>
      <w:r w:rsidR="00DC348D">
        <w:t xml:space="preserve">not </w:t>
      </w:r>
      <w:r w:rsidR="00A5171B" w:rsidRPr="000724BC">
        <w:rPr>
          <w:noProof/>
        </w:rPr>
        <w:t>an admissible</w:t>
      </w:r>
      <w:r w:rsidR="00A5171B">
        <w:t xml:space="preserve"> consideration in the interpretation of that order</w:t>
      </w:r>
      <w:r w:rsidR="007F17F9">
        <w:t>.</w:t>
      </w:r>
      <w:r w:rsidR="00F853F4">
        <w:t xml:space="preserve"> </w:t>
      </w:r>
      <w:r w:rsidR="00A5171B">
        <w:t xml:space="preserve"> The transcript is </w:t>
      </w:r>
      <w:r w:rsidR="00DC348D">
        <w:t xml:space="preserve">not </w:t>
      </w:r>
      <w:r w:rsidR="00A5171B">
        <w:t>relevan</w:t>
      </w:r>
      <w:r w:rsidR="007F17F9">
        <w:t>t</w:t>
      </w:r>
      <w:r w:rsidR="00A5171B">
        <w:t xml:space="preserve"> </w:t>
      </w:r>
      <w:r w:rsidR="00CF0442">
        <w:t>–</w:t>
      </w:r>
      <w:r w:rsidR="00A5171B">
        <w:t xml:space="preserve"> </w:t>
      </w:r>
      <w:r w:rsidR="00A5171B" w:rsidRPr="000724BC">
        <w:rPr>
          <w:noProof/>
        </w:rPr>
        <w:t>a pivotal</w:t>
      </w:r>
      <w:r w:rsidR="00A5171B">
        <w:t xml:space="preserve"> requirement for the admission of new evidence on appeal to this Court. </w:t>
      </w:r>
      <w:r w:rsidR="00680D2F">
        <w:t xml:space="preserve"> </w:t>
      </w:r>
      <w:r w:rsidR="00A5171B">
        <w:t xml:space="preserve">There are also no exceptional circumstances shown to justify the </w:t>
      </w:r>
      <w:r w:rsidR="00A5171B" w:rsidRPr="000724BC">
        <w:rPr>
          <w:noProof/>
        </w:rPr>
        <w:t>admission</w:t>
      </w:r>
      <w:r w:rsidR="00A5171B">
        <w:t xml:space="preserve"> of the new evidence.</w:t>
      </w:r>
      <w:r w:rsidR="00680D2F">
        <w:t xml:space="preserve"> </w:t>
      </w:r>
      <w:r w:rsidR="00A5171B">
        <w:t xml:space="preserve"> </w:t>
      </w:r>
      <w:r w:rsidR="006C6D68">
        <w:t xml:space="preserve">This application </w:t>
      </w:r>
      <w:r w:rsidR="00343A3C">
        <w:t xml:space="preserve">must </w:t>
      </w:r>
      <w:r w:rsidR="004100BD">
        <w:t>also fail.</w:t>
      </w:r>
    </w:p>
    <w:p w:rsidR="0009242A" w:rsidRDefault="0009242A" w:rsidP="00B32555">
      <w:pPr>
        <w:pStyle w:val="JUDGMENTCONTINUED"/>
      </w:pPr>
    </w:p>
    <w:p w:rsidR="00A13330" w:rsidRPr="00B32555" w:rsidRDefault="00A13330" w:rsidP="004C5E5A">
      <w:pPr>
        <w:pStyle w:val="HEADING"/>
      </w:pPr>
      <w:r w:rsidRPr="00B32555">
        <w:t>Relief</w:t>
      </w:r>
    </w:p>
    <w:p w:rsidR="00382C34"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[84]</w:t>
      </w:r>
      <w:r>
        <w:rPr>
          <w:color w:val="000000"/>
          <w14:scene3d>
            <w14:camera w14:prst="orthographicFront"/>
            <w14:lightRig w14:rig="threePt" w14:dir="t">
              <w14:rot w14:lat="0" w14:lon="0" w14:rev="0"/>
            </w14:lightRig>
          </w14:scene3d>
        </w:rPr>
        <w:tab/>
      </w:r>
      <w:r w:rsidR="00110645">
        <w:t xml:space="preserve">In </w:t>
      </w:r>
      <w:proofErr w:type="spellStart"/>
      <w:r w:rsidR="00110645" w:rsidRPr="001D5A53">
        <w:rPr>
          <w:i/>
        </w:rPr>
        <w:t>Ho</w:t>
      </w:r>
      <w:r w:rsidR="00196E07">
        <w:rPr>
          <w:i/>
        </w:rPr>
        <w:t>ë</w:t>
      </w:r>
      <w:r w:rsidR="00110645" w:rsidRPr="001D5A53">
        <w:rPr>
          <w:i/>
        </w:rPr>
        <w:t>rskool</w:t>
      </w:r>
      <w:proofErr w:type="spellEnd"/>
      <w:r w:rsidR="00110645" w:rsidRPr="001D5A53">
        <w:rPr>
          <w:i/>
        </w:rPr>
        <w:t xml:space="preserve"> Ermelo </w:t>
      </w:r>
      <w:r w:rsidR="00110645" w:rsidRPr="00A6298B">
        <w:t xml:space="preserve">this </w:t>
      </w:r>
      <w:r w:rsidR="00110645">
        <w:t>Court held that</w:t>
      </w:r>
      <w:r w:rsidR="001D4512">
        <w:t xml:space="preserve"> the remedial powers envisaged in section 172(1)(</w:t>
      </w:r>
      <w:r w:rsidR="00671388">
        <w:t>b</w:t>
      </w:r>
      <w:r w:rsidR="001D4512">
        <w:t xml:space="preserve">) of the Constitution to make a just and equitable order </w:t>
      </w:r>
      <w:r w:rsidR="001C6C75">
        <w:t>are</w:t>
      </w:r>
      <w:r w:rsidR="001D4512">
        <w:t xml:space="preserve"> not only available when a court makes an order of constitutional invalidity of a law or conduct </w:t>
      </w:r>
      <w:r w:rsidR="005561CA">
        <w:t xml:space="preserve">under section 172(1)(a), but </w:t>
      </w:r>
      <w:r w:rsidR="00E84E81">
        <w:t>also</w:t>
      </w:r>
      <w:r w:rsidR="00A93702">
        <w:t xml:space="preserve"> </w:t>
      </w:r>
      <w:r w:rsidR="005561CA">
        <w:t xml:space="preserve">“in instances where the outcome of a constitutional dispute does not hinge on </w:t>
      </w:r>
      <w:r w:rsidR="009A6FBA">
        <w:t xml:space="preserve">the </w:t>
      </w:r>
      <w:r w:rsidR="005561CA">
        <w:t>const</w:t>
      </w:r>
      <w:r w:rsidR="004D133F">
        <w:t>itutional</w:t>
      </w:r>
      <w:r w:rsidR="005561CA">
        <w:t xml:space="preserve"> </w:t>
      </w:r>
      <w:r w:rsidR="005561CA" w:rsidRPr="000724BC">
        <w:rPr>
          <w:noProof/>
        </w:rPr>
        <w:t>invalid</w:t>
      </w:r>
      <w:r w:rsidR="004D133F">
        <w:rPr>
          <w:noProof/>
        </w:rPr>
        <w:t>it</w:t>
      </w:r>
      <w:r w:rsidR="005561CA" w:rsidRPr="000724BC">
        <w:rPr>
          <w:noProof/>
        </w:rPr>
        <w:t>y</w:t>
      </w:r>
      <w:r w:rsidR="005561CA">
        <w:t xml:space="preserve"> of legislation or conduct”.</w:t>
      </w:r>
      <w:r w:rsidR="00CF0442">
        <w:rPr>
          <w:rStyle w:val="FootnoteReference"/>
        </w:rPr>
        <w:footnoteReference w:id="64"/>
      </w:r>
      <w:r w:rsidR="004E064D">
        <w:t xml:space="preserve"> </w:t>
      </w:r>
      <w:r w:rsidR="00CF0442">
        <w:t xml:space="preserve"> </w:t>
      </w:r>
      <w:r w:rsidR="004E064D">
        <w:t>Th</w:t>
      </w:r>
      <w:r w:rsidR="009A6FBA">
        <w:t xml:space="preserve">e power is </w:t>
      </w:r>
      <w:r w:rsidR="00DC348D">
        <w:t xml:space="preserve">sufficiently </w:t>
      </w:r>
      <w:r w:rsidR="009A6FBA">
        <w:t xml:space="preserve">wide and flexible to enable </w:t>
      </w:r>
      <w:r w:rsidR="004E064D">
        <w:t xml:space="preserve">a court </w:t>
      </w:r>
      <w:r w:rsidR="001D5A53">
        <w:t xml:space="preserve">of competent </w:t>
      </w:r>
      <w:r w:rsidR="001D5A53" w:rsidRPr="00382C34">
        <w:t>jurisdiction</w:t>
      </w:r>
      <w:r w:rsidR="001D5A53">
        <w:t xml:space="preserve"> </w:t>
      </w:r>
      <w:r w:rsidR="004E064D">
        <w:t xml:space="preserve">to </w:t>
      </w:r>
      <w:r w:rsidR="009A6FBA">
        <w:t xml:space="preserve">formulate </w:t>
      </w:r>
      <w:r w:rsidR="004E064D">
        <w:t>an</w:t>
      </w:r>
      <w:r w:rsidR="009A6FBA">
        <w:t xml:space="preserve"> order that is</w:t>
      </w:r>
      <w:r w:rsidR="001D5A53">
        <w:t xml:space="preserve"> </w:t>
      </w:r>
      <w:r w:rsidR="00CF676A">
        <w:t xml:space="preserve">both </w:t>
      </w:r>
      <w:r w:rsidR="004E064D">
        <w:t>appropriate</w:t>
      </w:r>
      <w:r w:rsidR="00CF676A">
        <w:t xml:space="preserve"> and effective in </w:t>
      </w:r>
      <w:r w:rsidR="009A6FBA">
        <w:t xml:space="preserve">resolving the underlying </w:t>
      </w:r>
      <w:r w:rsidR="009A6FBA">
        <w:lastRenderedPageBreak/>
        <w:t>dispute</w:t>
      </w:r>
      <w:r w:rsidR="00FF6759">
        <w:t>,</w:t>
      </w:r>
      <w:r w:rsidR="009A6FBA">
        <w:t xml:space="preserve"> </w:t>
      </w:r>
      <w:r w:rsidR="00CF676A">
        <w:t>and</w:t>
      </w:r>
      <w:r w:rsidR="001D5A53">
        <w:t xml:space="preserve"> ensuring that the defaulting party meets</w:t>
      </w:r>
      <w:r w:rsidR="00CF676A">
        <w:t xml:space="preserve"> its </w:t>
      </w:r>
      <w:r w:rsidR="00DC348D">
        <w:t xml:space="preserve">statutory or </w:t>
      </w:r>
      <w:r w:rsidR="001D5A53">
        <w:t>constitutional obligations.</w:t>
      </w:r>
    </w:p>
    <w:p w:rsidR="00110645" w:rsidRDefault="00110645" w:rsidP="004D133F">
      <w:pPr>
        <w:pStyle w:val="JUDGMENTCONTINUED"/>
      </w:pPr>
    </w:p>
    <w:p w:rsidR="00CC6307"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[85]</w:t>
      </w:r>
      <w:r>
        <w:rPr>
          <w:color w:val="000000"/>
          <w14:scene3d>
            <w14:camera w14:prst="orthographicFront"/>
            <w14:lightRig w14:rig="threePt" w14:dir="t">
              <w14:rot w14:lat="0" w14:lon="0" w14:rev="0"/>
            </w14:lightRig>
          </w14:scene3d>
        </w:rPr>
        <w:tab/>
      </w:r>
      <w:r w:rsidR="00382F13">
        <w:rPr>
          <w:noProof/>
        </w:rPr>
        <w:t>The June 2016 order was ambiguous.</w:t>
      </w:r>
      <w:r w:rsidR="00680D2F">
        <w:rPr>
          <w:noProof/>
        </w:rPr>
        <w:t xml:space="preserve"> </w:t>
      </w:r>
      <w:r w:rsidR="00382F13">
        <w:rPr>
          <w:noProof/>
        </w:rPr>
        <w:t xml:space="preserve"> The applicants were therefore justified in seeking clarity on </w:t>
      </w:r>
      <w:r w:rsidR="00DC348D">
        <w:rPr>
          <w:noProof/>
        </w:rPr>
        <w:t xml:space="preserve">its </w:t>
      </w:r>
      <w:r w:rsidR="00382F13">
        <w:rPr>
          <w:noProof/>
        </w:rPr>
        <w:t xml:space="preserve">meaning </w:t>
      </w:r>
      <w:r w:rsidR="00382F13" w:rsidRPr="000724BC">
        <w:rPr>
          <w:noProof/>
        </w:rPr>
        <w:t>in relation to</w:t>
      </w:r>
      <w:r w:rsidR="00382F13">
        <w:rPr>
          <w:noProof/>
        </w:rPr>
        <w:t xml:space="preserve"> the ambit of </w:t>
      </w:r>
      <w:r w:rsidR="00DC348D">
        <w:rPr>
          <w:noProof/>
        </w:rPr>
        <w:t xml:space="preserve">the Commission’s </w:t>
      </w:r>
      <w:r w:rsidR="00382F13">
        <w:rPr>
          <w:noProof/>
        </w:rPr>
        <w:t xml:space="preserve">statutory investigative powers. </w:t>
      </w:r>
      <w:r w:rsidR="00680D2F">
        <w:rPr>
          <w:noProof/>
        </w:rPr>
        <w:t xml:space="preserve"> </w:t>
      </w:r>
      <w:r w:rsidR="00A95EBA" w:rsidRPr="000724BC">
        <w:rPr>
          <w:noProof/>
        </w:rPr>
        <w:t xml:space="preserve">The </w:t>
      </w:r>
      <w:r w:rsidR="0009242A" w:rsidRPr="000724BC">
        <w:rPr>
          <w:noProof/>
        </w:rPr>
        <w:t>applicants</w:t>
      </w:r>
      <w:r w:rsidR="0009242A" w:rsidRPr="00D771AE">
        <w:rPr>
          <w:noProof/>
        </w:rPr>
        <w:t xml:space="preserve"> and</w:t>
      </w:r>
      <w:r w:rsidR="00CC6307">
        <w:rPr>
          <w:noProof/>
        </w:rPr>
        <w:t xml:space="preserve"> the Commission</w:t>
      </w:r>
      <w:r w:rsidR="0009242A" w:rsidRPr="00D771AE">
        <w:rPr>
          <w:noProof/>
        </w:rPr>
        <w:t xml:space="preserve"> </w:t>
      </w:r>
      <w:r w:rsidR="00CC6307">
        <w:rPr>
          <w:noProof/>
        </w:rPr>
        <w:t xml:space="preserve">have </w:t>
      </w:r>
      <w:r w:rsidR="0009242A" w:rsidRPr="00D771AE">
        <w:rPr>
          <w:noProof/>
        </w:rPr>
        <w:t xml:space="preserve">made out a case for the declaratory relief sought </w:t>
      </w:r>
      <w:r w:rsidR="0009242A">
        <w:rPr>
          <w:noProof/>
        </w:rPr>
        <w:t xml:space="preserve">in prayer </w:t>
      </w:r>
      <w:r w:rsidR="00A56EA0">
        <w:rPr>
          <w:noProof/>
        </w:rPr>
        <w:t>2 of the notice of motio</w:t>
      </w:r>
      <w:r w:rsidR="00CC6307">
        <w:rPr>
          <w:noProof/>
        </w:rPr>
        <w:t>n</w:t>
      </w:r>
      <w:r w:rsidR="0009242A">
        <w:rPr>
          <w:noProof/>
        </w:rPr>
        <w:t>.</w:t>
      </w:r>
      <w:r w:rsidR="0009242A" w:rsidRPr="00D771AE">
        <w:rPr>
          <w:noProof/>
        </w:rPr>
        <w:t xml:space="preserve"> </w:t>
      </w:r>
      <w:r w:rsidR="00680D2F">
        <w:rPr>
          <w:noProof/>
        </w:rPr>
        <w:t xml:space="preserve"> </w:t>
      </w:r>
      <w:r w:rsidR="0009242A" w:rsidRPr="000724BC">
        <w:rPr>
          <w:noProof/>
        </w:rPr>
        <w:t>The relief is both ap</w:t>
      </w:r>
      <w:r w:rsidR="00751304">
        <w:rPr>
          <w:noProof/>
        </w:rPr>
        <w:t>p</w:t>
      </w:r>
      <w:r w:rsidR="0009242A" w:rsidRPr="000724BC">
        <w:rPr>
          <w:noProof/>
        </w:rPr>
        <w:t xml:space="preserve">ropriate and effective as it will enable the Commission properly </w:t>
      </w:r>
      <w:r w:rsidR="00751304">
        <w:rPr>
          <w:noProof/>
        </w:rPr>
        <w:t xml:space="preserve">to </w:t>
      </w:r>
      <w:r w:rsidR="0009242A" w:rsidRPr="000724BC">
        <w:rPr>
          <w:noProof/>
        </w:rPr>
        <w:t xml:space="preserve">conclude its investigation </w:t>
      </w:r>
      <w:r w:rsidR="00A95EBA" w:rsidRPr="000724BC">
        <w:rPr>
          <w:noProof/>
        </w:rPr>
        <w:t xml:space="preserve">in terms of the </w:t>
      </w:r>
      <w:r w:rsidR="003E0E74">
        <w:rPr>
          <w:noProof/>
        </w:rPr>
        <w:t>Competit</w:t>
      </w:r>
      <w:r w:rsidR="00A7106F">
        <w:rPr>
          <w:noProof/>
        </w:rPr>
        <w:t>i</w:t>
      </w:r>
      <w:r w:rsidR="003E0E74">
        <w:rPr>
          <w:noProof/>
        </w:rPr>
        <w:t xml:space="preserve">on </w:t>
      </w:r>
      <w:r w:rsidR="00A95EBA" w:rsidRPr="000724BC">
        <w:rPr>
          <w:noProof/>
        </w:rPr>
        <w:t>Act</w:t>
      </w:r>
      <w:r w:rsidR="00B76AAA">
        <w:rPr>
          <w:noProof/>
        </w:rPr>
        <w:t>,</w:t>
      </w:r>
      <w:r w:rsidR="00CF0442">
        <w:rPr>
          <w:noProof/>
        </w:rPr>
        <w:t xml:space="preserve"> </w:t>
      </w:r>
      <w:r w:rsidR="0009242A" w:rsidRPr="000724BC">
        <w:rPr>
          <w:noProof/>
        </w:rPr>
        <w:t xml:space="preserve">thus giving proper effect to its </w:t>
      </w:r>
      <w:r w:rsidR="00510647" w:rsidRPr="000724BC">
        <w:rPr>
          <w:noProof/>
        </w:rPr>
        <w:t xml:space="preserve">investigatory and reporting </w:t>
      </w:r>
      <w:r w:rsidR="0009242A" w:rsidRPr="000724BC">
        <w:rPr>
          <w:noProof/>
        </w:rPr>
        <w:t>obligations under the June 2016</w:t>
      </w:r>
      <w:r w:rsidR="00CC6307" w:rsidRPr="000724BC">
        <w:rPr>
          <w:noProof/>
        </w:rPr>
        <w:t xml:space="preserve"> order</w:t>
      </w:r>
      <w:r w:rsidR="00A95EBA" w:rsidRPr="000724BC">
        <w:rPr>
          <w:noProof/>
        </w:rPr>
        <w:t xml:space="preserve"> </w:t>
      </w:r>
      <w:r w:rsidR="00510647" w:rsidRPr="000724BC">
        <w:rPr>
          <w:noProof/>
        </w:rPr>
        <w:t>read with section</w:t>
      </w:r>
      <w:r w:rsidR="00B76AAA">
        <w:rPr>
          <w:noProof/>
        </w:rPr>
        <w:t> </w:t>
      </w:r>
      <w:r w:rsidR="00510647" w:rsidRPr="000724BC">
        <w:rPr>
          <w:noProof/>
        </w:rPr>
        <w:t>13A(3) of the Competition Act</w:t>
      </w:r>
      <w:r w:rsidR="00B76AAA">
        <w:rPr>
          <w:noProof/>
        </w:rPr>
        <w:t>.</w:t>
      </w:r>
      <w:r w:rsidR="00510647" w:rsidRPr="000724BC">
        <w:rPr>
          <w:noProof/>
        </w:rPr>
        <w:t xml:space="preserve"> </w:t>
      </w:r>
      <w:r w:rsidR="00B76AAA">
        <w:rPr>
          <w:noProof/>
        </w:rPr>
        <w:t xml:space="preserve"> I</w:t>
      </w:r>
      <w:r w:rsidR="00510647" w:rsidRPr="000724BC">
        <w:rPr>
          <w:noProof/>
        </w:rPr>
        <w:t xml:space="preserve">t may use its statutory investigative powers, </w:t>
      </w:r>
      <w:r w:rsidR="00CF676A">
        <w:rPr>
          <w:noProof/>
        </w:rPr>
        <w:t>both</w:t>
      </w:r>
      <w:r w:rsidR="00510647" w:rsidRPr="000724BC">
        <w:rPr>
          <w:noProof/>
        </w:rPr>
        <w:t xml:space="preserve"> coercive and non-coercive, if it deems this necessary to compile its report.</w:t>
      </w:r>
    </w:p>
    <w:p w:rsidR="00110645" w:rsidRDefault="00110645" w:rsidP="004D133F">
      <w:pPr>
        <w:pStyle w:val="JUDGMENTCONTINUED"/>
      </w:pPr>
    </w:p>
    <w:p w:rsidR="00BA7938" w:rsidRPr="004D133F" w:rsidRDefault="006970A9" w:rsidP="006970A9">
      <w:pPr>
        <w:pStyle w:val="JUDGMENTNUMBERED"/>
        <w:numPr>
          <w:ilvl w:val="0"/>
          <w:numId w:val="0"/>
        </w:numPr>
      </w:pPr>
      <w:r w:rsidRPr="004D133F">
        <w:rPr>
          <w:color w:val="000000"/>
          <w14:scene3d>
            <w14:camera w14:prst="orthographicFront"/>
            <w14:lightRig w14:rig="threePt" w14:dir="t">
              <w14:rot w14:lat="0" w14:lon="0" w14:rev="0"/>
            </w14:lightRig>
          </w14:scene3d>
        </w:rPr>
        <w:t>[86]</w:t>
      </w:r>
      <w:r w:rsidRPr="004D133F">
        <w:rPr>
          <w:color w:val="000000"/>
          <w14:scene3d>
            <w14:camera w14:prst="orthographicFront"/>
            <w14:lightRig w14:rig="threePt" w14:dir="t">
              <w14:rot w14:lat="0" w14:lon="0" w14:rev="0"/>
            </w14:lightRig>
          </w14:scene3d>
        </w:rPr>
        <w:tab/>
      </w:r>
      <w:r w:rsidR="00BA7938" w:rsidRPr="004D133F">
        <w:t xml:space="preserve">In </w:t>
      </w:r>
      <w:r w:rsidR="00BA7938" w:rsidRPr="004D133F">
        <w:rPr>
          <w:i/>
        </w:rPr>
        <w:t>Rail Commuters</w:t>
      </w:r>
      <w:r w:rsidR="004D133F">
        <w:rPr>
          <w:i/>
        </w:rPr>
        <w:t>’</w:t>
      </w:r>
      <w:r w:rsidR="00BA7938" w:rsidRPr="004D133F">
        <w:rPr>
          <w:i/>
        </w:rPr>
        <w:t xml:space="preserve"> </w:t>
      </w:r>
      <w:r w:rsidR="00BA7938" w:rsidRPr="004D133F">
        <w:t>t</w:t>
      </w:r>
      <w:r w:rsidR="00110645" w:rsidRPr="004D133F">
        <w:t>his Cou</w:t>
      </w:r>
      <w:r w:rsidR="00BA7938" w:rsidRPr="004D133F">
        <w:t xml:space="preserve">rt emphasised </w:t>
      </w:r>
      <w:r w:rsidR="004B6B3C" w:rsidRPr="004D133F">
        <w:t xml:space="preserve">the </w:t>
      </w:r>
      <w:r w:rsidR="00BA7938" w:rsidRPr="004D133F">
        <w:t>benefit</w:t>
      </w:r>
      <w:r w:rsidR="00110645" w:rsidRPr="004D133F">
        <w:t xml:space="preserve"> of declaratory orders as a means of </w:t>
      </w:r>
      <w:r w:rsidR="00BA7938" w:rsidRPr="004D133F">
        <w:t>remaining sensitive to separation of powers concerns:</w:t>
      </w:r>
    </w:p>
    <w:p w:rsidR="004D133F" w:rsidRPr="004D133F" w:rsidRDefault="004D133F" w:rsidP="004D133F">
      <w:pPr>
        <w:pStyle w:val="QUOTATION"/>
      </w:pPr>
    </w:p>
    <w:p w:rsidR="00766510" w:rsidRDefault="00751304" w:rsidP="009845FA">
      <w:pPr>
        <w:pStyle w:val="QUOTATION"/>
        <w:ind w:right="0"/>
      </w:pPr>
      <w:r>
        <w:t>“</w:t>
      </w:r>
      <w:r w:rsidR="00BA7938">
        <w:t xml:space="preserve">It should </w:t>
      </w:r>
      <w:r w:rsidR="00CF0442">
        <w:t xml:space="preserve">also </w:t>
      </w:r>
      <w:r w:rsidR="00BA7938" w:rsidRPr="000724BC">
        <w:rPr>
          <w:noProof/>
        </w:rPr>
        <w:t>be borne</w:t>
      </w:r>
      <w:r w:rsidR="004F54DA">
        <w:t xml:space="preserve"> in mind that the </w:t>
      </w:r>
      <w:r w:rsidR="00BA7938">
        <w:t xml:space="preserve">declaratory relief is of particular value in a constitutional democracy which enables courts to declare the law, on the one </w:t>
      </w:r>
      <w:r w:rsidR="00680D2F">
        <w:t>hand,</w:t>
      </w:r>
      <w:r w:rsidR="00BA7938">
        <w:t xml:space="preserve"> but leave to the other arms of government, the Executive and Legislature, the decision as to how best </w:t>
      </w:r>
      <w:r w:rsidR="00766510">
        <w:t>the law, once stated, should be observed.</w:t>
      </w:r>
      <w:r>
        <w:t>”</w:t>
      </w:r>
      <w:r w:rsidR="00CF0442">
        <w:rPr>
          <w:rStyle w:val="FootnoteReference"/>
        </w:rPr>
        <w:footnoteReference w:id="65"/>
      </w:r>
    </w:p>
    <w:p w:rsidR="00510647" w:rsidRPr="00510647" w:rsidRDefault="00510647" w:rsidP="00510647">
      <w:pPr>
        <w:pStyle w:val="JUDGMENTCONTINUED"/>
      </w:pPr>
    </w:p>
    <w:p w:rsidR="0009242A"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[87]</w:t>
      </w:r>
      <w:r>
        <w:rPr>
          <w:color w:val="000000"/>
          <w14:scene3d>
            <w14:camera w14:prst="orthographicFront"/>
            <w14:lightRig w14:rig="threePt" w14:dir="t">
              <w14:rot w14:lat="0" w14:lon="0" w14:rev="0"/>
            </w14:lightRig>
          </w14:scene3d>
        </w:rPr>
        <w:tab/>
      </w:r>
      <w:r w:rsidR="00C81111">
        <w:t>T</w:t>
      </w:r>
      <w:r w:rsidR="0009242A">
        <w:t xml:space="preserve">he </w:t>
      </w:r>
      <w:r w:rsidR="009078C9" w:rsidRPr="009078C9">
        <w:t>Competition Appeal Court</w:t>
      </w:r>
      <w:r w:rsidR="0009242A">
        <w:t xml:space="preserve"> accordingly erred in not granting the declaratory relief sought by the applicants in their notice of motion confirming that the Comm</w:t>
      </w:r>
      <w:r w:rsidR="00510647">
        <w:t>ission may exercise its statutory</w:t>
      </w:r>
      <w:r w:rsidR="0009242A">
        <w:t xml:space="preserve"> powers of investigation in this matter.</w:t>
      </w:r>
    </w:p>
    <w:p w:rsidR="0009242A" w:rsidRPr="0043759C" w:rsidRDefault="0009242A" w:rsidP="0009242A">
      <w:pPr>
        <w:pStyle w:val="JUDGMENTNUMBERED"/>
        <w:numPr>
          <w:ilvl w:val="0"/>
          <w:numId w:val="0"/>
        </w:numPr>
        <w:rPr>
          <w:i/>
        </w:rPr>
      </w:pPr>
    </w:p>
    <w:p w:rsidR="0009242A" w:rsidRPr="00441077" w:rsidRDefault="006970A9" w:rsidP="006970A9">
      <w:pPr>
        <w:pStyle w:val="JUDGMENTNUMBERED"/>
        <w:numPr>
          <w:ilvl w:val="0"/>
          <w:numId w:val="0"/>
        </w:numPr>
        <w:rPr>
          <w:i/>
        </w:rPr>
      </w:pPr>
      <w:r w:rsidRPr="00441077">
        <w:rPr>
          <w:color w:val="000000"/>
          <w14:scene3d>
            <w14:camera w14:prst="orthographicFront"/>
            <w14:lightRig w14:rig="threePt" w14:dir="t">
              <w14:rot w14:lat="0" w14:lon="0" w14:rev="0"/>
            </w14:lightRig>
          </w14:scene3d>
        </w:rPr>
        <w:t>[88]</w:t>
      </w:r>
      <w:r w:rsidRPr="00441077">
        <w:rPr>
          <w:color w:val="000000"/>
          <w14:scene3d>
            <w14:camera w14:prst="orthographicFront"/>
            <w14:lightRig w14:rig="threePt" w14:dir="t">
              <w14:rot w14:lat="0" w14:lon="0" w14:rev="0"/>
            </w14:lightRig>
          </w14:scene3d>
        </w:rPr>
        <w:tab/>
      </w:r>
      <w:r w:rsidR="0009242A" w:rsidRPr="00D771AE">
        <w:rPr>
          <w:noProof/>
        </w:rPr>
        <w:t xml:space="preserve">In </w:t>
      </w:r>
      <w:r w:rsidR="0009242A">
        <w:rPr>
          <w:noProof/>
        </w:rPr>
        <w:t xml:space="preserve">the </w:t>
      </w:r>
      <w:r w:rsidR="0009242A" w:rsidRPr="00D771AE">
        <w:rPr>
          <w:noProof/>
        </w:rPr>
        <w:t xml:space="preserve">light of </w:t>
      </w:r>
      <w:r w:rsidR="0009242A">
        <w:rPr>
          <w:noProof/>
        </w:rPr>
        <w:t xml:space="preserve">the relief granted, </w:t>
      </w:r>
      <w:r w:rsidR="0009242A" w:rsidRPr="00D771AE">
        <w:rPr>
          <w:noProof/>
        </w:rPr>
        <w:t>there is no need to consider whether the applicants and the Commission have made out a case for the alternative relief sought</w:t>
      </w:r>
      <w:r w:rsidR="004B711A">
        <w:rPr>
          <w:noProof/>
        </w:rPr>
        <w:t>.</w:t>
      </w:r>
    </w:p>
    <w:p w:rsidR="00A13330" w:rsidRDefault="00A13330" w:rsidP="00766510">
      <w:pPr>
        <w:pStyle w:val="JUDGMENTNUMBERED"/>
        <w:numPr>
          <w:ilvl w:val="0"/>
          <w:numId w:val="0"/>
        </w:numPr>
        <w:rPr>
          <w:i/>
        </w:rPr>
      </w:pPr>
    </w:p>
    <w:p w:rsidR="0009242A" w:rsidRPr="00441077" w:rsidRDefault="0009242A" w:rsidP="007538FC">
      <w:pPr>
        <w:pStyle w:val="JUDGMENTNUMBERED"/>
        <w:numPr>
          <w:ilvl w:val="0"/>
          <w:numId w:val="0"/>
        </w:numPr>
        <w:spacing w:after="240"/>
        <w:rPr>
          <w:i/>
        </w:rPr>
      </w:pPr>
      <w:r w:rsidRPr="00441077">
        <w:rPr>
          <w:i/>
        </w:rPr>
        <w:t>Costs</w:t>
      </w:r>
    </w:p>
    <w:p w:rsidR="00A56EA0"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lastRenderedPageBreak/>
        <w:t>[89]</w:t>
      </w:r>
      <w:r>
        <w:rPr>
          <w:color w:val="000000"/>
          <w14:scene3d>
            <w14:camera w14:prst="orthographicFront"/>
            <w14:lightRig w14:rig="threePt" w14:dir="t">
              <w14:rot w14:lat="0" w14:lon="0" w14:rev="0"/>
            </w14:lightRig>
          </w14:scene3d>
        </w:rPr>
        <w:tab/>
      </w:r>
      <w:r w:rsidR="0009242A">
        <w:t xml:space="preserve">The </w:t>
      </w:r>
      <w:r w:rsidR="009078C9" w:rsidRPr="009078C9">
        <w:t>Competition Appeal Court</w:t>
      </w:r>
      <w:r w:rsidR="00AB397D">
        <w:t xml:space="preserve"> erred in granting </w:t>
      </w:r>
      <w:r w:rsidR="0009242A" w:rsidRPr="000724BC">
        <w:rPr>
          <w:noProof/>
        </w:rPr>
        <w:t>costs</w:t>
      </w:r>
      <w:r w:rsidR="0009242A">
        <w:t xml:space="preserve"> </w:t>
      </w:r>
      <w:r w:rsidR="00AB397D">
        <w:t>against the applicants in the October 2017 application</w:t>
      </w:r>
      <w:r w:rsidR="00FF6759">
        <w:t xml:space="preserve"> as well as</w:t>
      </w:r>
      <w:r w:rsidR="00525ED9">
        <w:t xml:space="preserve"> in the </w:t>
      </w:r>
      <w:r w:rsidR="00525ED9" w:rsidRPr="000724BC">
        <w:rPr>
          <w:noProof/>
        </w:rPr>
        <w:t>application</w:t>
      </w:r>
      <w:r w:rsidR="00525ED9">
        <w:t xml:space="preserve"> to adduce new evidence</w:t>
      </w:r>
      <w:r w:rsidR="003E0E74">
        <w:t xml:space="preserve"> in that application.</w:t>
      </w:r>
      <w:r w:rsidR="00AB397D">
        <w:t xml:space="preserve"> </w:t>
      </w:r>
      <w:r w:rsidR="00680D2F">
        <w:t xml:space="preserve"> </w:t>
      </w:r>
      <w:r w:rsidR="00AB397D">
        <w:t xml:space="preserve">As indicated, the ambit </w:t>
      </w:r>
      <w:r w:rsidR="004B6B3C">
        <w:t xml:space="preserve">of the </w:t>
      </w:r>
      <w:r w:rsidR="00AB397D">
        <w:t>Commissi</w:t>
      </w:r>
      <w:r w:rsidR="00CC6307">
        <w:t xml:space="preserve">on’s powers to investigate the </w:t>
      </w:r>
      <w:r w:rsidR="00E84E81">
        <w:t>a</w:t>
      </w:r>
      <w:r w:rsidR="00C708BA">
        <w:t>greement</w:t>
      </w:r>
      <w:r w:rsidR="005F22D0">
        <w:t xml:space="preserve"> </w:t>
      </w:r>
      <w:r w:rsidR="00AB397D">
        <w:t xml:space="preserve">between the SABC and </w:t>
      </w:r>
      <w:r w:rsidR="00AB397D" w:rsidRPr="000724BC">
        <w:rPr>
          <w:noProof/>
        </w:rPr>
        <w:t>MultiChoice</w:t>
      </w:r>
      <w:r w:rsidR="00AB397D">
        <w:t xml:space="preserve"> is a question of great public interest that engages constitutional issues.</w:t>
      </w:r>
      <w:r w:rsidR="00751304">
        <w:rPr>
          <w:rStyle w:val="FootnoteReference"/>
        </w:rPr>
        <w:footnoteReference w:id="66"/>
      </w:r>
      <w:r w:rsidR="00AB397D">
        <w:t xml:space="preserve"> </w:t>
      </w:r>
      <w:r w:rsidR="00751304">
        <w:t xml:space="preserve"> </w:t>
      </w:r>
      <w:r w:rsidR="00D77CBF">
        <w:t>In the circumstances, n</w:t>
      </w:r>
      <w:r w:rsidR="00AB397D">
        <w:t xml:space="preserve">o adverse </w:t>
      </w:r>
      <w:r w:rsidR="00D77CBF">
        <w:t xml:space="preserve">order of costs </w:t>
      </w:r>
      <w:r w:rsidR="00D77CBF" w:rsidRPr="000724BC">
        <w:rPr>
          <w:noProof/>
        </w:rPr>
        <w:t xml:space="preserve">was </w:t>
      </w:r>
      <w:r w:rsidR="00AB397D" w:rsidRPr="000724BC">
        <w:rPr>
          <w:noProof/>
        </w:rPr>
        <w:t>warranted</w:t>
      </w:r>
      <w:r w:rsidR="00AB397D">
        <w:t>.</w:t>
      </w:r>
      <w:r w:rsidR="0009242A">
        <w:t xml:space="preserve"> </w:t>
      </w:r>
      <w:r w:rsidR="004C5E5A">
        <w:t xml:space="preserve"> </w:t>
      </w:r>
      <w:r w:rsidR="00876A1F">
        <w:t xml:space="preserve">On the same principle, adverse costs orders are not </w:t>
      </w:r>
      <w:r w:rsidR="00876A1F" w:rsidRPr="000724BC">
        <w:rPr>
          <w:noProof/>
        </w:rPr>
        <w:t>warranted</w:t>
      </w:r>
      <w:r w:rsidR="00876A1F">
        <w:t xml:space="preserve"> in the two applications to adduce new evidence brought by the applicants and the Commission respectively.</w:t>
      </w:r>
    </w:p>
    <w:p w:rsidR="004F4587" w:rsidRDefault="004F4587" w:rsidP="00526A33">
      <w:pPr>
        <w:pStyle w:val="JUDGMENTCONTINUED"/>
      </w:pPr>
    </w:p>
    <w:p w:rsidR="00526A33" w:rsidRPr="005A5FE7" w:rsidRDefault="004F4587" w:rsidP="005A5FE7">
      <w:pPr>
        <w:pStyle w:val="JUDGMENTCONTINUED"/>
        <w:spacing w:after="240"/>
        <w:rPr>
          <w:i/>
        </w:rPr>
      </w:pPr>
      <w:r w:rsidRPr="005A5FE7">
        <w:rPr>
          <w:i/>
        </w:rPr>
        <w:t>Order</w:t>
      </w:r>
    </w:p>
    <w:p w:rsidR="004F4587" w:rsidRDefault="006970A9" w:rsidP="006970A9">
      <w:pPr>
        <w:pStyle w:val="JUDGMENTNUMBERED"/>
        <w:numPr>
          <w:ilvl w:val="0"/>
          <w:numId w:val="0"/>
        </w:numPr>
      </w:pPr>
      <w:r>
        <w:rPr>
          <w:color w:val="000000"/>
          <w14:scene3d>
            <w14:camera w14:prst="orthographicFront"/>
            <w14:lightRig w14:rig="threePt" w14:dir="t">
              <w14:rot w14:lat="0" w14:lon="0" w14:rev="0"/>
            </w14:lightRig>
          </w14:scene3d>
        </w:rPr>
        <w:t>[90]</w:t>
      </w:r>
      <w:r>
        <w:rPr>
          <w:color w:val="000000"/>
          <w14:scene3d>
            <w14:camera w14:prst="orthographicFront"/>
            <w14:lightRig w14:rig="threePt" w14:dir="t">
              <w14:rot w14:lat="0" w14:lon="0" w14:rev="0"/>
            </w14:lightRig>
          </w14:scene3d>
        </w:rPr>
        <w:tab/>
      </w:r>
      <w:r w:rsidR="00003C41">
        <w:t>In the result t</w:t>
      </w:r>
      <w:r w:rsidR="004F4587">
        <w:t>he following order is made:</w:t>
      </w:r>
    </w:p>
    <w:p w:rsidR="004C5E5A" w:rsidRPr="004C5E5A" w:rsidRDefault="004C5E5A" w:rsidP="004C5E5A">
      <w:pPr>
        <w:pStyle w:val="JUDGMENTCONTINUED"/>
      </w:pPr>
    </w:p>
    <w:p w:rsidR="004F4587" w:rsidRDefault="006970A9" w:rsidP="006970A9">
      <w:pPr>
        <w:pStyle w:val="ORDER"/>
      </w:pPr>
      <w:r>
        <w:t>1.</w:t>
      </w:r>
      <w:r>
        <w:tab/>
      </w:r>
      <w:r w:rsidR="004F4587">
        <w:t xml:space="preserve">Leave to appeal </w:t>
      </w:r>
      <w:r w:rsidR="004F4587" w:rsidRPr="000724BC">
        <w:t>is granted</w:t>
      </w:r>
      <w:r w:rsidR="004F4587">
        <w:t xml:space="preserve">. </w:t>
      </w:r>
    </w:p>
    <w:p w:rsidR="004F4587" w:rsidRPr="00F154E7" w:rsidRDefault="006970A9" w:rsidP="006970A9">
      <w:pPr>
        <w:pStyle w:val="ORDER"/>
      </w:pPr>
      <w:r w:rsidRPr="00F154E7">
        <w:t>2.</w:t>
      </w:r>
      <w:r w:rsidRPr="00F154E7">
        <w:tab/>
      </w:r>
      <w:r w:rsidR="004F4587" w:rsidRPr="00256FC3">
        <w:t xml:space="preserve">The appeal </w:t>
      </w:r>
      <w:r w:rsidR="004F4587" w:rsidRPr="000724BC">
        <w:t>is upheld</w:t>
      </w:r>
      <w:r w:rsidR="004F4587" w:rsidRPr="00256FC3">
        <w:t>, and the C</w:t>
      </w:r>
      <w:r w:rsidR="004F4587">
        <w:t xml:space="preserve">ompetition </w:t>
      </w:r>
      <w:r w:rsidR="004F4587" w:rsidRPr="00256FC3">
        <w:t>A</w:t>
      </w:r>
      <w:r w:rsidR="004F4587">
        <w:t xml:space="preserve">ppeal </w:t>
      </w:r>
      <w:r w:rsidR="004F4587" w:rsidRPr="00256FC3">
        <w:t>C</w:t>
      </w:r>
      <w:r w:rsidR="004F4587">
        <w:t>ourt</w:t>
      </w:r>
      <w:r w:rsidR="004F4587" w:rsidRPr="00256FC3">
        <w:t>’s order of 28</w:t>
      </w:r>
      <w:r w:rsidR="00B76AAA">
        <w:t> </w:t>
      </w:r>
      <w:r w:rsidR="004F4587" w:rsidRPr="00256FC3">
        <w:t>April 2017 is set aside and replaced with the following:</w:t>
      </w:r>
    </w:p>
    <w:p w:rsidR="004F4587" w:rsidRPr="004C5E5A" w:rsidRDefault="004F4587" w:rsidP="004C5E5A">
      <w:pPr>
        <w:pStyle w:val="ORDER"/>
        <w:ind w:left="2160"/>
        <w:rPr>
          <w:szCs w:val="26"/>
        </w:rPr>
      </w:pPr>
      <w:r w:rsidRPr="004C5E5A">
        <w:rPr>
          <w:szCs w:val="26"/>
        </w:rPr>
        <w:t>(a)</w:t>
      </w:r>
      <w:r w:rsidRPr="004C5E5A">
        <w:rPr>
          <w:szCs w:val="26"/>
        </w:rPr>
        <w:tab/>
      </w:r>
      <w:r w:rsidRPr="004C5E5A">
        <w:rPr>
          <w:noProof/>
          <w:szCs w:val="26"/>
        </w:rPr>
        <w:t>It is declared that the order handed down by the Competition Appeal Court on 24 June 2016</w:t>
      </w:r>
      <w:r w:rsidR="007B5FBF" w:rsidRPr="004C5E5A">
        <w:rPr>
          <w:noProof/>
          <w:szCs w:val="26"/>
        </w:rPr>
        <w:t xml:space="preserve"> </w:t>
      </w:r>
      <w:r w:rsidRPr="004C5E5A">
        <w:rPr>
          <w:noProof/>
          <w:szCs w:val="26"/>
        </w:rPr>
        <w:t>does not preclude the Competition</w:t>
      </w:r>
      <w:r w:rsidR="004B00F1">
        <w:rPr>
          <w:noProof/>
          <w:szCs w:val="26"/>
        </w:rPr>
        <w:t> </w:t>
      </w:r>
      <w:r w:rsidRPr="004C5E5A">
        <w:rPr>
          <w:noProof/>
          <w:szCs w:val="26"/>
        </w:rPr>
        <w:t>Commission from exercising its non-coercive and coercive investigative powers in terms of Part B of Chapter 5 of the Competition Act 89 of 1998 for purposes of discharging its obligations under paragraph 3 of the June 2016 order.</w:t>
      </w:r>
    </w:p>
    <w:p w:rsidR="004F4587" w:rsidRPr="004C5E5A" w:rsidRDefault="004C5E5A" w:rsidP="004C5E5A">
      <w:pPr>
        <w:pStyle w:val="ORDER"/>
        <w:ind w:left="2160"/>
        <w:rPr>
          <w:szCs w:val="26"/>
        </w:rPr>
      </w:pPr>
      <w:r>
        <w:rPr>
          <w:szCs w:val="26"/>
        </w:rPr>
        <w:t>(b)</w:t>
      </w:r>
      <w:r w:rsidR="004F4587" w:rsidRPr="004C5E5A">
        <w:rPr>
          <w:szCs w:val="26"/>
        </w:rPr>
        <w:tab/>
        <w:t>The Competition Commission is directed to file its report with the Competition Tribunal, as contemplated in paragraph 3 of the June 2016 order, within 30 court days of this order.</w:t>
      </w:r>
    </w:p>
    <w:p w:rsidR="004F4587" w:rsidRPr="004C5E5A" w:rsidRDefault="004F4587" w:rsidP="007B54C6">
      <w:pPr>
        <w:pStyle w:val="ORDER"/>
        <w:ind w:left="2160"/>
        <w:rPr>
          <w:szCs w:val="26"/>
        </w:rPr>
      </w:pPr>
      <w:r w:rsidRPr="004C5E5A">
        <w:rPr>
          <w:szCs w:val="26"/>
        </w:rPr>
        <w:t>(c)</w:t>
      </w:r>
      <w:r w:rsidRPr="004C5E5A">
        <w:rPr>
          <w:szCs w:val="26"/>
        </w:rPr>
        <w:tab/>
        <w:t xml:space="preserve">The </w:t>
      </w:r>
      <w:r w:rsidR="009C3903">
        <w:rPr>
          <w:szCs w:val="26"/>
        </w:rPr>
        <w:t>f</w:t>
      </w:r>
      <w:r w:rsidRPr="004C5E5A">
        <w:rPr>
          <w:szCs w:val="26"/>
        </w:rPr>
        <w:t xml:space="preserve">irst and </w:t>
      </w:r>
      <w:r w:rsidR="009C3903">
        <w:rPr>
          <w:szCs w:val="26"/>
        </w:rPr>
        <w:t>s</w:t>
      </w:r>
      <w:r w:rsidRPr="004C5E5A">
        <w:rPr>
          <w:szCs w:val="26"/>
        </w:rPr>
        <w:t xml:space="preserve">econd </w:t>
      </w:r>
      <w:r w:rsidR="009C3903">
        <w:rPr>
          <w:szCs w:val="26"/>
        </w:rPr>
        <w:t>r</w:t>
      </w:r>
      <w:r w:rsidRPr="004C5E5A">
        <w:rPr>
          <w:szCs w:val="26"/>
        </w:rPr>
        <w:t xml:space="preserve">espondents are ordered jointly and severally to pay the costs of the application, including the </w:t>
      </w:r>
      <w:r w:rsidRPr="004C5E5A">
        <w:rPr>
          <w:noProof/>
          <w:szCs w:val="26"/>
        </w:rPr>
        <w:t>costs</w:t>
      </w:r>
      <w:r w:rsidRPr="004C5E5A">
        <w:rPr>
          <w:szCs w:val="26"/>
        </w:rPr>
        <w:t xml:space="preserve"> of two counsel.</w:t>
      </w:r>
    </w:p>
    <w:p w:rsidR="004F4587" w:rsidRPr="00B32555" w:rsidRDefault="006970A9" w:rsidP="006970A9">
      <w:pPr>
        <w:pStyle w:val="ORDER"/>
      </w:pPr>
      <w:r w:rsidRPr="00B32555">
        <w:lastRenderedPageBreak/>
        <w:t>3.</w:t>
      </w:r>
      <w:r w:rsidRPr="00B32555">
        <w:tab/>
      </w:r>
      <w:r w:rsidR="004F4587">
        <w:t xml:space="preserve">The appeal against the order of </w:t>
      </w:r>
      <w:r w:rsidR="00B76AAA">
        <w:t xml:space="preserve">the </w:t>
      </w:r>
      <w:r w:rsidR="004F4587">
        <w:t>Competition Appeal Court dismissing the applicants’ application to adduce new evidence is dismissed with no order as to costs.</w:t>
      </w:r>
    </w:p>
    <w:p w:rsidR="004F4587" w:rsidRPr="00B32555" w:rsidRDefault="006970A9" w:rsidP="006970A9">
      <w:pPr>
        <w:pStyle w:val="ORDER"/>
      </w:pPr>
      <w:r w:rsidRPr="00B32555">
        <w:t>4.</w:t>
      </w:r>
      <w:r w:rsidRPr="00B32555">
        <w:tab/>
      </w:r>
      <w:r w:rsidR="004F4587">
        <w:t xml:space="preserve">The applicants’ application to adduce new evidence on appeal </w:t>
      </w:r>
      <w:r w:rsidR="004F4587" w:rsidRPr="000724BC">
        <w:t>is dismissed</w:t>
      </w:r>
      <w:r w:rsidR="004F4587">
        <w:t xml:space="preserve"> with no order as to costs.</w:t>
      </w:r>
    </w:p>
    <w:p w:rsidR="004F4587" w:rsidRPr="00B32555" w:rsidRDefault="006970A9" w:rsidP="006970A9">
      <w:pPr>
        <w:pStyle w:val="ORDER"/>
      </w:pPr>
      <w:r w:rsidRPr="00B32555">
        <w:t>5.</w:t>
      </w:r>
      <w:r w:rsidRPr="00B32555">
        <w:tab/>
      </w:r>
      <w:r w:rsidR="004F4587" w:rsidRPr="00C10E45">
        <w:t xml:space="preserve">The </w:t>
      </w:r>
      <w:r w:rsidR="004F4587">
        <w:t xml:space="preserve">Competition </w:t>
      </w:r>
      <w:r w:rsidR="004F4587" w:rsidRPr="00C10E45">
        <w:t>Commission’s application to adduce new evidence on appeal is dismissed with no order as to costs.</w:t>
      </w:r>
    </w:p>
    <w:p w:rsidR="005E05E6" w:rsidRDefault="005E05E6" w:rsidP="00441077">
      <w:pPr>
        <w:pStyle w:val="1"/>
        <w:numPr>
          <w:ilvl w:val="0"/>
          <w:numId w:val="0"/>
        </w:numPr>
        <w:spacing w:before="0" w:line="360" w:lineRule="auto"/>
        <w:ind w:left="680"/>
        <w:rPr>
          <w:rFonts w:ascii="Times New Roman" w:hAnsi="Times New Roman"/>
          <w:sz w:val="26"/>
          <w:szCs w:val="26"/>
        </w:rPr>
        <w:sectPr w:rsidR="005E05E6" w:rsidSect="000F7521">
          <w:headerReference w:type="default" r:id="rId15"/>
          <w:footerReference w:type="default" r:id="rId16"/>
          <w:type w:val="continuous"/>
          <w:pgSz w:w="11907" w:h="16839" w:code="9"/>
          <w:pgMar w:top="1440" w:right="1440" w:bottom="1440" w:left="1440" w:header="708" w:footer="708" w:gutter="0"/>
          <w:cols w:space="708"/>
          <w:titlePg/>
          <w:docGrid w:linePitch="360"/>
        </w:sectPr>
      </w:pPr>
    </w:p>
    <w:p w:rsidR="00CE5F9F" w:rsidRDefault="00CE5F9F" w:rsidP="000C38CF">
      <w:pPr>
        <w:pStyle w:val="JUDGMENTCONTINUED"/>
      </w:pPr>
    </w:p>
    <w:p w:rsidR="00CE5F9F" w:rsidRPr="00CE5F9F" w:rsidRDefault="00CE5F9F" w:rsidP="000C38CF">
      <w:pPr>
        <w:pStyle w:val="JUDGMENTCONTINUED"/>
        <w:sectPr w:rsidR="00CE5F9F" w:rsidRPr="00CE5F9F" w:rsidSect="005E05E6">
          <w:pgSz w:w="11907" w:h="16839" w:code="9"/>
          <w:pgMar w:top="1440" w:right="1440" w:bottom="1440" w:left="1440" w:header="708" w:footer="708" w:gutter="0"/>
          <w:cols w:space="708"/>
          <w:titlePg/>
          <w:docGrid w:linePitch="360"/>
        </w:sectPr>
      </w:pPr>
    </w:p>
    <w:p w:rsidR="00CC158D" w:rsidRPr="009C3888" w:rsidRDefault="00860C4E" w:rsidP="00CC158D">
      <w:pPr>
        <w:pStyle w:val="COUNSELDETAILS"/>
      </w:pPr>
      <w:r w:rsidRPr="009C3888">
        <w:lastRenderedPageBreak/>
        <w:t>For the Applicants:</w:t>
      </w:r>
    </w:p>
    <w:p w:rsidR="00860C4E" w:rsidRPr="009C3888" w:rsidRDefault="00860C4E" w:rsidP="00CC158D">
      <w:pPr>
        <w:pStyle w:val="COUNSELDETAILS"/>
      </w:pPr>
    </w:p>
    <w:p w:rsidR="00860C4E" w:rsidRPr="009C3888" w:rsidRDefault="00860C4E" w:rsidP="00CC158D">
      <w:pPr>
        <w:pStyle w:val="COUNSELDETAILS"/>
      </w:pPr>
    </w:p>
    <w:p w:rsidR="00945D7D" w:rsidRDefault="00860C4E" w:rsidP="00CC158D">
      <w:pPr>
        <w:pStyle w:val="COUNSELDETAILS"/>
      </w:pPr>
      <w:r w:rsidRPr="009C3888">
        <w:t xml:space="preserve">For the First </w:t>
      </w:r>
      <w:r w:rsidR="00945D7D">
        <w:t>Respondent:</w:t>
      </w:r>
    </w:p>
    <w:p w:rsidR="00945D7D" w:rsidRDefault="00945D7D" w:rsidP="00CC158D">
      <w:pPr>
        <w:pStyle w:val="COUNSELDETAILS"/>
      </w:pPr>
    </w:p>
    <w:p w:rsidR="00945D7D" w:rsidRDefault="00945D7D" w:rsidP="00CC158D">
      <w:pPr>
        <w:pStyle w:val="COUNSELDETAILS"/>
      </w:pPr>
    </w:p>
    <w:p w:rsidR="008E42A4" w:rsidRDefault="008E42A4" w:rsidP="00CC158D">
      <w:pPr>
        <w:pStyle w:val="COUNSELDETAILS"/>
      </w:pPr>
    </w:p>
    <w:p w:rsidR="00860C4E" w:rsidRPr="009C3888" w:rsidRDefault="00945D7D" w:rsidP="00CC158D">
      <w:pPr>
        <w:pStyle w:val="COUNSELDETAILS"/>
      </w:pPr>
      <w:r>
        <w:t>For the</w:t>
      </w:r>
      <w:r w:rsidR="008D48EF">
        <w:t xml:space="preserve"> </w:t>
      </w:r>
      <w:r w:rsidR="00860C4E" w:rsidRPr="009C3888">
        <w:t>Second Respondent:</w:t>
      </w:r>
    </w:p>
    <w:p w:rsidR="00860C4E" w:rsidRPr="009C3888" w:rsidRDefault="00860C4E" w:rsidP="00CC158D">
      <w:pPr>
        <w:pStyle w:val="COUNSELDETAILS"/>
      </w:pPr>
    </w:p>
    <w:p w:rsidR="00860C4E" w:rsidRPr="009C3888" w:rsidRDefault="00860C4E" w:rsidP="00CC158D">
      <w:pPr>
        <w:pStyle w:val="COUNSELDETAILS"/>
      </w:pPr>
    </w:p>
    <w:p w:rsidR="008E42A4" w:rsidRDefault="008E42A4" w:rsidP="00CC158D">
      <w:pPr>
        <w:pStyle w:val="COUNSELDETAILS"/>
      </w:pPr>
    </w:p>
    <w:p w:rsidR="00860C4E" w:rsidRPr="009C3888" w:rsidRDefault="00860C4E" w:rsidP="00CC158D">
      <w:pPr>
        <w:pStyle w:val="COUNSELDETAILS"/>
      </w:pPr>
      <w:r w:rsidRPr="009C3888">
        <w:t>For the Third Respondent:</w:t>
      </w:r>
    </w:p>
    <w:p w:rsidR="00860C4E" w:rsidRPr="009C3888" w:rsidRDefault="00860C4E" w:rsidP="00CC158D">
      <w:pPr>
        <w:pStyle w:val="COUNSELDETAILS"/>
      </w:pPr>
    </w:p>
    <w:p w:rsidR="00860C4E" w:rsidRPr="009C3888" w:rsidRDefault="00860C4E" w:rsidP="00CC158D">
      <w:pPr>
        <w:pStyle w:val="COUNSELDETAILS"/>
      </w:pPr>
    </w:p>
    <w:p w:rsidR="00860C4E" w:rsidRPr="009C3888" w:rsidRDefault="00236F9A" w:rsidP="00CC158D">
      <w:pPr>
        <w:pStyle w:val="COUNSELDETAILS"/>
      </w:pPr>
      <w:r w:rsidRPr="009C3888">
        <w:br w:type="column"/>
      </w:r>
      <w:r w:rsidR="00902EE9">
        <w:lastRenderedPageBreak/>
        <w:t xml:space="preserve">S </w:t>
      </w:r>
      <w:proofErr w:type="spellStart"/>
      <w:r w:rsidR="00902EE9">
        <w:t>Budlender</w:t>
      </w:r>
      <w:proofErr w:type="spellEnd"/>
      <w:r w:rsidR="00902EE9">
        <w:t xml:space="preserve">, </w:t>
      </w:r>
      <w:r w:rsidR="008E42A4">
        <w:t>L Kelly</w:t>
      </w:r>
      <w:r w:rsidR="00902EE9">
        <w:t xml:space="preserve"> and </w:t>
      </w:r>
      <w:r w:rsidR="008E42A4">
        <w:t xml:space="preserve">N </w:t>
      </w:r>
      <w:proofErr w:type="spellStart"/>
      <w:r w:rsidR="008E42A4">
        <w:t>Mauritz</w:t>
      </w:r>
      <w:proofErr w:type="spellEnd"/>
      <w:r w:rsidR="008E42A4" w:rsidRPr="009C3888">
        <w:t xml:space="preserve"> </w:t>
      </w:r>
      <w:r w:rsidR="00860C4E" w:rsidRPr="009C3888">
        <w:t xml:space="preserve">instructed by </w:t>
      </w:r>
      <w:proofErr w:type="spellStart"/>
      <w:r w:rsidR="007D1F14">
        <w:t>Nortons</w:t>
      </w:r>
      <w:proofErr w:type="spellEnd"/>
      <w:r w:rsidR="007D1F14">
        <w:t xml:space="preserve"> Incorporated</w:t>
      </w:r>
      <w:r w:rsidR="004B00F1">
        <w:t>.</w:t>
      </w:r>
    </w:p>
    <w:p w:rsidR="00A56EA0" w:rsidRDefault="00A56EA0" w:rsidP="00CC158D">
      <w:pPr>
        <w:pStyle w:val="COUNSELDETAILS"/>
      </w:pPr>
    </w:p>
    <w:p w:rsidR="00A56EA0" w:rsidRDefault="00945D7D" w:rsidP="00CC158D">
      <w:pPr>
        <w:pStyle w:val="COUNSELDETAILS"/>
      </w:pPr>
      <w:r>
        <w:t xml:space="preserve">R </w:t>
      </w:r>
      <w:proofErr w:type="spellStart"/>
      <w:r w:rsidR="00680D2F">
        <w:t>Bhana</w:t>
      </w:r>
      <w:proofErr w:type="spellEnd"/>
      <w:r w:rsidR="00680D2F">
        <w:t xml:space="preserve"> </w:t>
      </w:r>
      <w:r w:rsidR="00680D2F" w:rsidRPr="009C3888">
        <w:t>SC</w:t>
      </w:r>
      <w:r>
        <w:t xml:space="preserve">, P </w:t>
      </w:r>
      <w:proofErr w:type="spellStart"/>
      <w:r>
        <w:t>Ngcongo</w:t>
      </w:r>
      <w:proofErr w:type="spellEnd"/>
      <w:r w:rsidR="00860C4E" w:rsidRPr="009C3888">
        <w:t xml:space="preserve"> and </w:t>
      </w:r>
      <w:r w:rsidR="00A56EA0">
        <w:t xml:space="preserve">S </w:t>
      </w:r>
      <w:r>
        <w:t>Scott</w:t>
      </w:r>
      <w:r w:rsidR="00A56EA0">
        <w:t xml:space="preserve"> </w:t>
      </w:r>
    </w:p>
    <w:p w:rsidR="00860C4E" w:rsidRPr="009C3888" w:rsidRDefault="008E42A4" w:rsidP="00CC158D">
      <w:pPr>
        <w:pStyle w:val="COUNSELDETAILS"/>
      </w:pPr>
      <w:r>
        <w:t>i</w:t>
      </w:r>
      <w:r w:rsidR="00860C4E" w:rsidRPr="009C3888">
        <w:t>ns</w:t>
      </w:r>
      <w:r w:rsidR="00A56EA0">
        <w:t>tructed</w:t>
      </w:r>
      <w:r>
        <w:t xml:space="preserve"> </w:t>
      </w:r>
      <w:r w:rsidR="00860C4E" w:rsidRPr="009C3888">
        <w:t>by</w:t>
      </w:r>
      <w:r>
        <w:t xml:space="preserve"> </w:t>
      </w:r>
      <w:proofErr w:type="spellStart"/>
      <w:r w:rsidR="00A56EA0">
        <w:t>Cliffe</w:t>
      </w:r>
      <w:proofErr w:type="spellEnd"/>
      <w:r>
        <w:t xml:space="preserve"> </w:t>
      </w:r>
      <w:r w:rsidR="00A56EA0">
        <w:t>Dekker</w:t>
      </w:r>
      <w:r>
        <w:t xml:space="preserve"> </w:t>
      </w:r>
      <w:proofErr w:type="spellStart"/>
      <w:r w:rsidR="00A56EA0">
        <w:t>Hofmeyr</w:t>
      </w:r>
      <w:proofErr w:type="spellEnd"/>
      <w:r w:rsidR="00764890">
        <w:t> Inc</w:t>
      </w:r>
      <w:r w:rsidR="004B00F1">
        <w:t>.</w:t>
      </w:r>
      <w:r w:rsidR="00F84789">
        <w:tab/>
      </w:r>
    </w:p>
    <w:p w:rsidR="00A56EA0" w:rsidRDefault="00A56EA0" w:rsidP="00CC158D">
      <w:pPr>
        <w:pStyle w:val="COUNSELDETAILS"/>
      </w:pPr>
    </w:p>
    <w:p w:rsidR="00860C4E" w:rsidRPr="009C3888" w:rsidRDefault="00764890" w:rsidP="00CC158D">
      <w:pPr>
        <w:pStyle w:val="COUNSELDETAILS"/>
      </w:pPr>
      <w:r>
        <w:t xml:space="preserve">D </w:t>
      </w:r>
      <w:proofErr w:type="spellStart"/>
      <w:r w:rsidR="00902EE9">
        <w:t>Unterhalter</w:t>
      </w:r>
      <w:proofErr w:type="spellEnd"/>
      <w:r w:rsidR="00902EE9">
        <w:t xml:space="preserve"> SC</w:t>
      </w:r>
      <w:r w:rsidR="008E42A4">
        <w:t>,</w:t>
      </w:r>
      <w:r w:rsidR="00902EE9">
        <w:t xml:space="preserve"> </w:t>
      </w:r>
      <w:r w:rsidR="00945D7D">
        <w:t xml:space="preserve">M Norton SC </w:t>
      </w:r>
      <w:r w:rsidR="008E42A4">
        <w:t>and M</w:t>
      </w:r>
      <w:r w:rsidR="00B76AAA">
        <w:t> </w:t>
      </w:r>
      <w:proofErr w:type="spellStart"/>
      <w:r w:rsidR="008E42A4">
        <w:t>Mokhoaetsi</w:t>
      </w:r>
      <w:proofErr w:type="spellEnd"/>
      <w:r w:rsidR="008E42A4">
        <w:t xml:space="preserve"> </w:t>
      </w:r>
      <w:r w:rsidR="00945D7D">
        <w:t xml:space="preserve">instructed by </w:t>
      </w:r>
      <w:proofErr w:type="spellStart"/>
      <w:r w:rsidR="00945D7D">
        <w:t>Werksmans</w:t>
      </w:r>
      <w:proofErr w:type="spellEnd"/>
      <w:r w:rsidR="00945D7D">
        <w:t xml:space="preserve"> Attorneys</w:t>
      </w:r>
      <w:r w:rsidR="004B00F1">
        <w:t>.</w:t>
      </w:r>
    </w:p>
    <w:p w:rsidR="007D1F14" w:rsidRDefault="007D1F14" w:rsidP="00CC158D">
      <w:pPr>
        <w:pStyle w:val="COUNSELDETAILS"/>
      </w:pPr>
    </w:p>
    <w:p w:rsidR="00860C4E" w:rsidRPr="009C3888" w:rsidRDefault="00945D7D" w:rsidP="00CC158D">
      <w:pPr>
        <w:pStyle w:val="COUNSELDETAILS"/>
      </w:pPr>
      <w:r>
        <w:t>N</w:t>
      </w:r>
      <w:r w:rsidR="008E42A4">
        <w:t xml:space="preserve"> </w:t>
      </w:r>
      <w:r>
        <w:t xml:space="preserve">H </w:t>
      </w:r>
      <w:proofErr w:type="spellStart"/>
      <w:r>
        <w:t>Maenetje</w:t>
      </w:r>
      <w:proofErr w:type="spellEnd"/>
      <w:r>
        <w:t xml:space="preserve"> </w:t>
      </w:r>
      <w:r w:rsidR="00860C4E" w:rsidRPr="009C3888">
        <w:t xml:space="preserve">SC and </w:t>
      </w:r>
      <w:r>
        <w:t>B</w:t>
      </w:r>
      <w:r w:rsidR="008E42A4">
        <w:t xml:space="preserve"> </w:t>
      </w:r>
      <w:r>
        <w:t xml:space="preserve">D </w:t>
      </w:r>
      <w:proofErr w:type="spellStart"/>
      <w:r>
        <w:t>Lekok</w:t>
      </w:r>
      <w:r w:rsidR="002851DD">
        <w:t>o</w:t>
      </w:r>
      <w:r>
        <w:t>tla</w:t>
      </w:r>
      <w:proofErr w:type="spellEnd"/>
      <w:r w:rsidR="00A56EA0">
        <w:t xml:space="preserve"> </w:t>
      </w:r>
      <w:r w:rsidR="00860C4E" w:rsidRPr="009C3888">
        <w:t>instructed by the</w:t>
      </w:r>
      <w:r w:rsidR="00764890">
        <w:t xml:space="preserve"> Competition Commission</w:t>
      </w:r>
      <w:r w:rsidR="004B00F1">
        <w:t>.</w:t>
      </w:r>
    </w:p>
    <w:p w:rsidR="00860C4E" w:rsidRPr="009C3888" w:rsidRDefault="00860C4E" w:rsidP="00CC158D">
      <w:pPr>
        <w:pStyle w:val="COUNSELDETAILS"/>
      </w:pPr>
      <w:bookmarkStart w:id="12" w:name="_GoBack"/>
      <w:bookmarkEnd w:id="12"/>
    </w:p>
    <w:p w:rsidR="00860C4E" w:rsidRPr="009C3888" w:rsidRDefault="00860C4E" w:rsidP="00CC158D">
      <w:pPr>
        <w:pStyle w:val="COUNSELDETAILS"/>
      </w:pPr>
    </w:p>
    <w:sectPr w:rsidR="00860C4E" w:rsidRPr="009C3888" w:rsidSect="009559B5">
      <w:headerReference w:type="default" r:id="rId17"/>
      <w:footerReference w:type="default" r:id="rId18"/>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A19" w:rsidRDefault="00102A19" w:rsidP="00E4607C">
      <w:pPr>
        <w:spacing w:line="240" w:lineRule="auto"/>
      </w:pPr>
      <w:r>
        <w:separator/>
      </w:r>
    </w:p>
  </w:endnote>
  <w:endnote w:type="continuationSeparator" w:id="0">
    <w:p w:rsidR="00102A19" w:rsidRDefault="00102A19"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A9" w:rsidRDefault="006970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A9" w:rsidRDefault="006970A9" w:rsidP="0087217E">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A9" w:rsidRDefault="006970A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A9" w:rsidRDefault="006970A9" w:rsidP="0087217E">
    <w:pPr>
      <w:pStyle w:val="Footer"/>
      <w:jc w:val="center"/>
    </w:pPr>
    <w:r>
      <w:fldChar w:fldCharType="begin"/>
    </w:r>
    <w:r>
      <w:instrText xml:space="preserve"> PAGE   \* MERGEFORMAT </w:instrText>
    </w:r>
    <w:r>
      <w:fldChar w:fldCharType="separate"/>
    </w:r>
    <w:r w:rsidR="00A84A7F">
      <w:rPr>
        <w:noProof/>
      </w:rPr>
      <w:t>3</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A9" w:rsidRDefault="006970A9" w:rsidP="0087217E">
    <w:pPr>
      <w:pStyle w:val="Footer"/>
      <w:jc w:val="center"/>
    </w:pPr>
    <w:r>
      <w:fldChar w:fldCharType="begin"/>
    </w:r>
    <w:r>
      <w:instrText xml:space="preserve"> PAGE   \* MERGEFORMAT </w:instrText>
    </w:r>
    <w:r>
      <w:fldChar w:fldCharType="separate"/>
    </w:r>
    <w:r w:rsidR="00A84A7F">
      <w:rPr>
        <w:noProof/>
      </w:rPr>
      <w:t>36</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A9" w:rsidRDefault="006970A9" w:rsidP="0087217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A19" w:rsidRDefault="00102A19" w:rsidP="00E4607C">
      <w:pPr>
        <w:spacing w:line="240" w:lineRule="auto"/>
      </w:pPr>
      <w:r>
        <w:separator/>
      </w:r>
    </w:p>
  </w:footnote>
  <w:footnote w:type="continuationSeparator" w:id="0">
    <w:p w:rsidR="00102A19" w:rsidRDefault="00102A19" w:rsidP="00E4607C">
      <w:pPr>
        <w:spacing w:line="240" w:lineRule="auto"/>
      </w:pPr>
      <w:r>
        <w:continuationSeparator/>
      </w:r>
    </w:p>
  </w:footnote>
  <w:footnote w:id="1">
    <w:p w:rsidR="006970A9" w:rsidRPr="00A6346A" w:rsidRDefault="006970A9" w:rsidP="00D429CB">
      <w:pPr>
        <w:pStyle w:val="FootnoteText"/>
        <w:rPr>
          <w:lang w:val="en-US"/>
        </w:rPr>
      </w:pPr>
      <w:r>
        <w:rPr>
          <w:rStyle w:val="FootnoteReference"/>
        </w:rPr>
        <w:footnoteRef/>
      </w:r>
      <w:r>
        <w:t xml:space="preserve"> </w:t>
      </w:r>
      <w:r>
        <w:rPr>
          <w:lang w:val="en-US"/>
        </w:rPr>
        <w:t>89 of 1998.</w:t>
      </w:r>
    </w:p>
  </w:footnote>
  <w:footnote w:id="2">
    <w:p w:rsidR="006970A9" w:rsidRDefault="006970A9">
      <w:pPr>
        <w:pStyle w:val="FootnoteText"/>
      </w:pPr>
      <w:r>
        <w:rPr>
          <w:rStyle w:val="FootnoteReference"/>
        </w:rPr>
        <w:footnoteRef/>
      </w:r>
      <w:r>
        <w:t xml:space="preserve"> 36 of 2005.</w:t>
      </w:r>
    </w:p>
  </w:footnote>
  <w:footnote w:id="3">
    <w:p w:rsidR="006970A9" w:rsidRPr="00D5778D" w:rsidRDefault="006970A9">
      <w:pPr>
        <w:pStyle w:val="FootnoteText"/>
        <w:rPr>
          <w:lang w:val="en-US"/>
        </w:rPr>
      </w:pPr>
      <w:r>
        <w:rPr>
          <w:rStyle w:val="FootnoteReference"/>
        </w:rPr>
        <w:footnoteRef/>
      </w:r>
      <w:r>
        <w:t xml:space="preserve"> </w:t>
      </w:r>
      <w:r w:rsidRPr="009078C9">
        <w:rPr>
          <w:i/>
        </w:rPr>
        <w:t xml:space="preserve">Caxton and CTP Publishers and Printers Ltd v </w:t>
      </w:r>
      <w:proofErr w:type="spellStart"/>
      <w:r w:rsidRPr="009078C9">
        <w:rPr>
          <w:i/>
        </w:rPr>
        <w:t>MultiChoice</w:t>
      </w:r>
      <w:proofErr w:type="spellEnd"/>
      <w:r w:rsidRPr="009078C9">
        <w:rPr>
          <w:i/>
        </w:rPr>
        <w:t xml:space="preserve"> (Pty) Ltd</w:t>
      </w:r>
      <w:r w:rsidRPr="003F67C2">
        <w:t>, unreported decision of the Competition Tribunal, Case No 020727 (11 February 2016)</w:t>
      </w:r>
      <w:r>
        <w:rPr>
          <w:lang w:val="en-US"/>
        </w:rPr>
        <w:t xml:space="preserve"> (Tribunal decision) at para 26.</w:t>
      </w:r>
    </w:p>
  </w:footnote>
  <w:footnote w:id="4">
    <w:p w:rsidR="006970A9" w:rsidRPr="00714BC6" w:rsidRDefault="006970A9">
      <w:pPr>
        <w:pStyle w:val="FootnoteText"/>
        <w:rPr>
          <w:lang w:val="en-US"/>
        </w:rPr>
      </w:pPr>
      <w:r>
        <w:rPr>
          <w:rStyle w:val="FootnoteReference"/>
        </w:rPr>
        <w:footnoteRef/>
      </w:r>
      <w:r>
        <w:t xml:space="preserve"> </w:t>
      </w:r>
      <w:r>
        <w:rPr>
          <w:lang w:val="en-US"/>
        </w:rPr>
        <w:t>Id at para 27.</w:t>
      </w:r>
    </w:p>
  </w:footnote>
  <w:footnote w:id="5">
    <w:p w:rsidR="006970A9" w:rsidRDefault="006970A9">
      <w:pPr>
        <w:pStyle w:val="FootnoteText"/>
      </w:pPr>
      <w:r>
        <w:rPr>
          <w:rStyle w:val="FootnoteReference"/>
        </w:rPr>
        <w:footnoteRef/>
      </w:r>
      <w:r>
        <w:t xml:space="preserve"> In terms of which in motion proceedings the matter must in general be decided on the version of the respondent.  See </w:t>
      </w:r>
      <w:proofErr w:type="spellStart"/>
      <w:r>
        <w:rPr>
          <w:i/>
        </w:rPr>
        <w:t>Plascon</w:t>
      </w:r>
      <w:proofErr w:type="spellEnd"/>
      <w:r>
        <w:rPr>
          <w:i/>
        </w:rPr>
        <w:t xml:space="preserve">-Evans Paints </w:t>
      </w:r>
      <w:r w:rsidRPr="00F154E7">
        <w:rPr>
          <w:i/>
        </w:rPr>
        <w:t xml:space="preserve">Ltd v Van </w:t>
      </w:r>
      <w:proofErr w:type="spellStart"/>
      <w:r w:rsidRPr="00F154E7">
        <w:rPr>
          <w:i/>
        </w:rPr>
        <w:t>Riebeck</w:t>
      </w:r>
      <w:proofErr w:type="spellEnd"/>
      <w:r w:rsidRPr="00F154E7">
        <w:rPr>
          <w:i/>
        </w:rPr>
        <w:t xml:space="preserve"> Paints</w:t>
      </w:r>
      <w:r>
        <w:rPr>
          <w:i/>
        </w:rPr>
        <w:t xml:space="preserve"> (Pty) Ltd</w:t>
      </w:r>
      <w:r>
        <w:t xml:space="preserve"> [1984] ZASCA 51; 1984 (3) SA 623 (A) (</w:t>
      </w:r>
      <w:proofErr w:type="spellStart"/>
      <w:r>
        <w:rPr>
          <w:i/>
        </w:rPr>
        <w:t>Plascon</w:t>
      </w:r>
      <w:proofErr w:type="spellEnd"/>
      <w:r>
        <w:rPr>
          <w:i/>
        </w:rPr>
        <w:t>-Evans</w:t>
      </w:r>
      <w:r w:rsidRPr="00467CD9">
        <w:t>)</w:t>
      </w:r>
      <w:r>
        <w:t xml:space="preserve"> at </w:t>
      </w:r>
      <w:r w:rsidRPr="00741D2B">
        <w:t>638</w:t>
      </w:r>
      <w:r>
        <w:t>.</w:t>
      </w:r>
    </w:p>
  </w:footnote>
  <w:footnote w:id="6">
    <w:p w:rsidR="006970A9" w:rsidRDefault="006970A9">
      <w:pPr>
        <w:pStyle w:val="FootnoteText"/>
      </w:pPr>
      <w:r>
        <w:rPr>
          <w:rStyle w:val="FootnoteReference"/>
        </w:rPr>
        <w:footnoteRef/>
      </w:r>
      <w:r>
        <w:t xml:space="preserve"> Tribunal decision above n </w:t>
      </w:r>
      <w:r>
        <w:fldChar w:fldCharType="begin"/>
      </w:r>
      <w:r>
        <w:instrText xml:space="preserve"> NOTEREF _Ref525130835 \h </w:instrText>
      </w:r>
      <w:r>
        <w:fldChar w:fldCharType="separate"/>
      </w:r>
      <w:r>
        <w:t>3</w:t>
      </w:r>
      <w:r>
        <w:fldChar w:fldCharType="end"/>
      </w:r>
      <w:r>
        <w:t xml:space="preserve"> at 111.</w:t>
      </w:r>
    </w:p>
  </w:footnote>
  <w:footnote w:id="7">
    <w:p w:rsidR="006970A9" w:rsidRPr="00F7770D" w:rsidRDefault="006970A9" w:rsidP="00D14DA1">
      <w:pPr>
        <w:pStyle w:val="FootnoteText"/>
        <w:rPr>
          <w:rFonts w:cs="Arial"/>
          <w:lang w:val="en-US"/>
        </w:rPr>
      </w:pPr>
      <w:r w:rsidRPr="00F7770D">
        <w:rPr>
          <w:rStyle w:val="FootnoteReference"/>
          <w:rFonts w:cs="Arial"/>
        </w:rPr>
        <w:footnoteRef/>
      </w:r>
      <w:r w:rsidRPr="00F7770D">
        <w:rPr>
          <w:rFonts w:cs="Arial"/>
        </w:rPr>
        <w:t xml:space="preserve"> </w:t>
      </w:r>
      <w:r w:rsidRPr="00441077">
        <w:rPr>
          <w:rFonts w:cs="Arial"/>
          <w:i/>
        </w:rPr>
        <w:t>Caxton and CTP Publishers and Printers Lt</w:t>
      </w:r>
      <w:r>
        <w:rPr>
          <w:rFonts w:cs="Arial"/>
          <w:i/>
        </w:rPr>
        <w:t xml:space="preserve">d v </w:t>
      </w:r>
      <w:proofErr w:type="spellStart"/>
      <w:r>
        <w:rPr>
          <w:rFonts w:cs="Arial"/>
          <w:i/>
        </w:rPr>
        <w:t>MultiChoice</w:t>
      </w:r>
      <w:proofErr w:type="spellEnd"/>
      <w:r>
        <w:rPr>
          <w:rFonts w:cs="Arial"/>
          <w:i/>
        </w:rPr>
        <w:t xml:space="preserve"> (Pty)</w:t>
      </w:r>
      <w:r w:rsidRPr="00441077">
        <w:rPr>
          <w:rFonts w:cs="Arial"/>
          <w:i/>
        </w:rPr>
        <w:t xml:space="preserve"> L</w:t>
      </w:r>
      <w:r>
        <w:rPr>
          <w:rFonts w:cs="Arial"/>
          <w:i/>
        </w:rPr>
        <w:t>t</w:t>
      </w:r>
      <w:r w:rsidRPr="00441077">
        <w:rPr>
          <w:rFonts w:cs="Arial"/>
          <w:i/>
        </w:rPr>
        <w:t>d</w:t>
      </w:r>
      <w:r w:rsidRPr="00B32555">
        <w:rPr>
          <w:rFonts w:cs="Arial"/>
        </w:rPr>
        <w:t xml:space="preserve"> </w:t>
      </w:r>
      <w:r>
        <w:rPr>
          <w:rFonts w:cs="Arial"/>
        </w:rPr>
        <w:t>2016 JDR 1372 (CAC) (</w:t>
      </w:r>
      <w:r w:rsidRPr="009078C9">
        <w:rPr>
          <w:rFonts w:cs="Arial"/>
        </w:rPr>
        <w:t>Competition Appeal Court</w:t>
      </w:r>
      <w:r>
        <w:rPr>
          <w:rFonts w:cs="Arial"/>
        </w:rPr>
        <w:t xml:space="preserve"> </w:t>
      </w:r>
      <w:r w:rsidRPr="00E858E9">
        <w:rPr>
          <w:rFonts w:cs="Arial"/>
        </w:rPr>
        <w:t>judgment</w:t>
      </w:r>
      <w:r>
        <w:rPr>
          <w:rFonts w:cs="Arial"/>
        </w:rPr>
        <w:t xml:space="preserve">) at </w:t>
      </w:r>
      <w:r w:rsidRPr="00F7770D">
        <w:rPr>
          <w:rFonts w:cs="Arial"/>
          <w:lang w:val="en-US"/>
        </w:rPr>
        <w:t>para 110</w:t>
      </w:r>
      <w:r>
        <w:rPr>
          <w:rFonts w:cs="Arial"/>
          <w:lang w:val="en-US"/>
        </w:rPr>
        <w:t>.</w:t>
      </w:r>
    </w:p>
  </w:footnote>
  <w:footnote w:id="8">
    <w:p w:rsidR="006970A9" w:rsidRPr="00F7770D" w:rsidRDefault="006970A9" w:rsidP="00D14DA1">
      <w:pPr>
        <w:pStyle w:val="FootnoteText"/>
        <w:rPr>
          <w:rFonts w:cs="Arial"/>
          <w:lang w:val="en-US"/>
        </w:rPr>
      </w:pPr>
      <w:r w:rsidRPr="00F7770D">
        <w:rPr>
          <w:rStyle w:val="FootnoteReference"/>
          <w:rFonts w:cs="Arial"/>
        </w:rPr>
        <w:footnoteRef/>
      </w:r>
      <w:r w:rsidRPr="00F7770D">
        <w:rPr>
          <w:rFonts w:cs="Arial"/>
        </w:rPr>
        <w:t xml:space="preserve"> </w:t>
      </w:r>
      <w:r w:rsidRPr="008E5265">
        <w:rPr>
          <w:rFonts w:cs="Arial"/>
        </w:rPr>
        <w:t>Id.</w:t>
      </w:r>
    </w:p>
  </w:footnote>
  <w:footnote w:id="9">
    <w:p w:rsidR="006970A9" w:rsidRPr="00F8762E" w:rsidRDefault="006970A9">
      <w:pPr>
        <w:pStyle w:val="FootnoteText"/>
        <w:rPr>
          <w:lang w:val="en-US"/>
        </w:rPr>
      </w:pPr>
      <w:r>
        <w:rPr>
          <w:rStyle w:val="FootnoteReference"/>
        </w:rPr>
        <w:footnoteRef/>
      </w:r>
      <w:r>
        <w:t xml:space="preserve"> </w:t>
      </w:r>
      <w:r>
        <w:rPr>
          <w:lang w:val="en-US"/>
        </w:rPr>
        <w:t>Id.</w:t>
      </w:r>
    </w:p>
  </w:footnote>
  <w:footnote w:id="10">
    <w:p w:rsidR="006970A9" w:rsidRDefault="006970A9">
      <w:pPr>
        <w:pStyle w:val="FootnoteText"/>
      </w:pPr>
      <w:r>
        <w:rPr>
          <w:rStyle w:val="FootnoteReference"/>
        </w:rPr>
        <w:footnoteRef/>
      </w:r>
      <w:r>
        <w:t xml:space="preserve"> Id at para 111.</w:t>
      </w:r>
    </w:p>
  </w:footnote>
  <w:footnote w:id="11">
    <w:p w:rsidR="006970A9" w:rsidRPr="00A45238" w:rsidRDefault="006970A9">
      <w:pPr>
        <w:pStyle w:val="FootnoteText"/>
        <w:rPr>
          <w:lang w:val="en-US"/>
        </w:rPr>
      </w:pPr>
      <w:r>
        <w:rPr>
          <w:rStyle w:val="FootnoteReference"/>
        </w:rPr>
        <w:footnoteRef/>
      </w:r>
      <w:r>
        <w:t xml:space="preserve"> </w:t>
      </w:r>
      <w:r>
        <w:rPr>
          <w:lang w:val="en-US"/>
        </w:rPr>
        <w:t>Id at para 112.</w:t>
      </w:r>
    </w:p>
  </w:footnote>
  <w:footnote w:id="12">
    <w:p w:rsidR="006970A9" w:rsidRDefault="006970A9">
      <w:pPr>
        <w:pStyle w:val="FootnoteText"/>
      </w:pPr>
      <w:r>
        <w:rPr>
          <w:rStyle w:val="FootnoteReference"/>
        </w:rPr>
        <w:footnoteRef/>
      </w:r>
      <w:r>
        <w:t xml:space="preserve"> </w:t>
      </w:r>
      <w:r w:rsidRPr="009078C9">
        <w:rPr>
          <w:rFonts w:cs="Arial"/>
        </w:rPr>
        <w:t>Competition Appeal Court</w:t>
      </w:r>
      <w:r>
        <w:rPr>
          <w:rFonts w:cs="Arial"/>
        </w:rPr>
        <w:t xml:space="preserve"> judgment above n </w:t>
      </w:r>
      <w:r>
        <w:rPr>
          <w:rFonts w:cs="Arial"/>
        </w:rPr>
        <w:fldChar w:fldCharType="begin"/>
      </w:r>
      <w:r>
        <w:rPr>
          <w:rFonts w:cs="Arial"/>
        </w:rPr>
        <w:instrText xml:space="preserve"> NOTEREF _Ref523929770 \h </w:instrText>
      </w:r>
      <w:r>
        <w:rPr>
          <w:rFonts w:cs="Arial"/>
        </w:rPr>
      </w:r>
      <w:r>
        <w:rPr>
          <w:rFonts w:cs="Arial"/>
        </w:rPr>
        <w:fldChar w:fldCharType="separate"/>
      </w:r>
      <w:r>
        <w:rPr>
          <w:rFonts w:cs="Arial"/>
        </w:rPr>
        <w:t>7</w:t>
      </w:r>
      <w:r>
        <w:rPr>
          <w:rFonts w:cs="Arial"/>
        </w:rPr>
        <w:fldChar w:fldCharType="end"/>
      </w:r>
      <w:r>
        <w:rPr>
          <w:rFonts w:cs="Arial"/>
        </w:rPr>
        <w:t xml:space="preserve"> at </w:t>
      </w:r>
      <w:r>
        <w:rPr>
          <w:rFonts w:cs="Arial"/>
          <w:lang w:val="en-US"/>
        </w:rPr>
        <w:t>para 114</w:t>
      </w:r>
      <w:r w:rsidRPr="00F7770D">
        <w:rPr>
          <w:rFonts w:cs="Arial"/>
          <w:lang w:val="en-US"/>
        </w:rPr>
        <w:t>.</w:t>
      </w:r>
    </w:p>
  </w:footnote>
  <w:footnote w:id="13">
    <w:p w:rsidR="006970A9" w:rsidRPr="00F7770D" w:rsidRDefault="006970A9" w:rsidP="002C354A">
      <w:pPr>
        <w:pStyle w:val="FootnoteText"/>
        <w:rPr>
          <w:rFonts w:cs="Arial"/>
          <w:lang w:val="en-US"/>
        </w:rPr>
      </w:pPr>
      <w:r w:rsidRPr="00F7770D">
        <w:rPr>
          <w:rStyle w:val="FootnoteReference"/>
          <w:rFonts w:cs="Arial"/>
        </w:rPr>
        <w:footnoteRef/>
      </w:r>
      <w:r w:rsidRPr="00F7770D">
        <w:rPr>
          <w:rFonts w:cs="Arial"/>
        </w:rPr>
        <w:t xml:space="preserve"> </w:t>
      </w:r>
      <w:r>
        <w:rPr>
          <w:rFonts w:cs="Arial"/>
        </w:rPr>
        <w:t xml:space="preserve">Id at </w:t>
      </w:r>
      <w:r>
        <w:rPr>
          <w:rFonts w:cs="Arial"/>
          <w:lang w:val="en-US"/>
        </w:rPr>
        <w:t>para 52.</w:t>
      </w:r>
    </w:p>
  </w:footnote>
  <w:footnote w:id="14">
    <w:p w:rsidR="006970A9" w:rsidRPr="00F7770D" w:rsidRDefault="006970A9" w:rsidP="002C354A">
      <w:pPr>
        <w:pStyle w:val="FootnoteText"/>
        <w:rPr>
          <w:rFonts w:cs="Arial"/>
          <w:lang w:val="en-US"/>
        </w:rPr>
      </w:pPr>
      <w:r w:rsidRPr="00F7770D">
        <w:rPr>
          <w:rStyle w:val="FootnoteReference"/>
          <w:rFonts w:cs="Arial"/>
        </w:rPr>
        <w:footnoteRef/>
      </w:r>
      <w:r w:rsidRPr="00F7770D">
        <w:rPr>
          <w:rFonts w:cs="Arial"/>
        </w:rPr>
        <w:t xml:space="preserve"> </w:t>
      </w:r>
      <w:r w:rsidRPr="00441077">
        <w:rPr>
          <w:rFonts w:cs="Arial"/>
          <w:i/>
        </w:rPr>
        <w:t>Caxton and CTP Publishers and Printers Limited v South African Broadcasting Corporation (SOC) Limited</w:t>
      </w:r>
      <w:r w:rsidRPr="00AE1B5C">
        <w:rPr>
          <w:rFonts w:cs="Arial"/>
        </w:rPr>
        <w:t xml:space="preserve">, unreported judgment of the Competition Appeal Court, Case No </w:t>
      </w:r>
      <w:r>
        <w:rPr>
          <w:rFonts w:cs="Arial"/>
        </w:rPr>
        <w:t>140/CAC (28 April 2017) at para 29.</w:t>
      </w:r>
    </w:p>
  </w:footnote>
  <w:footnote w:id="15">
    <w:p w:rsidR="006970A9" w:rsidRPr="00F7770D" w:rsidRDefault="006970A9" w:rsidP="002C354A">
      <w:pPr>
        <w:pStyle w:val="FootnoteText"/>
        <w:rPr>
          <w:rFonts w:cs="Arial"/>
          <w:lang w:val="en-US"/>
        </w:rPr>
      </w:pPr>
      <w:r w:rsidRPr="00F7770D">
        <w:rPr>
          <w:rStyle w:val="FootnoteReference"/>
          <w:rFonts w:cs="Arial"/>
        </w:rPr>
        <w:footnoteRef/>
      </w:r>
      <w:r w:rsidRPr="00F7770D">
        <w:rPr>
          <w:rFonts w:cs="Arial"/>
        </w:rPr>
        <w:t xml:space="preserve"> </w:t>
      </w:r>
      <w:r>
        <w:rPr>
          <w:rFonts w:cs="Arial"/>
          <w:lang w:val="en-US"/>
        </w:rPr>
        <w:t>Id at para 31.</w:t>
      </w:r>
    </w:p>
  </w:footnote>
  <w:footnote w:id="16">
    <w:p w:rsidR="006970A9" w:rsidRDefault="006970A9">
      <w:pPr>
        <w:pStyle w:val="FootnoteText"/>
      </w:pPr>
      <w:r>
        <w:rPr>
          <w:rStyle w:val="FootnoteReference"/>
        </w:rPr>
        <w:footnoteRef/>
      </w:r>
      <w:r>
        <w:t xml:space="preserve"> Id.</w:t>
      </w:r>
    </w:p>
  </w:footnote>
  <w:footnote w:id="17">
    <w:p w:rsidR="006970A9" w:rsidRDefault="006970A9">
      <w:pPr>
        <w:pStyle w:val="FootnoteText"/>
      </w:pPr>
      <w:r>
        <w:rPr>
          <w:rStyle w:val="FootnoteReference"/>
        </w:rPr>
        <w:footnoteRef/>
      </w:r>
      <w:r>
        <w:t xml:space="preserve"> </w:t>
      </w:r>
      <w:r w:rsidRPr="009078C9">
        <w:t>Competition Appeal Court</w:t>
      </w:r>
      <w:r>
        <w:t xml:space="preserve"> judgment above n </w:t>
      </w:r>
      <w:r>
        <w:fldChar w:fldCharType="begin"/>
      </w:r>
      <w:r>
        <w:instrText xml:space="preserve"> NOTEREF _Ref525210720 \h </w:instrText>
      </w:r>
      <w:r>
        <w:fldChar w:fldCharType="separate"/>
      </w:r>
      <w:r>
        <w:t>14</w:t>
      </w:r>
      <w:r>
        <w:fldChar w:fldCharType="end"/>
      </w:r>
      <w:r>
        <w:t>.</w:t>
      </w:r>
    </w:p>
  </w:footnote>
  <w:footnote w:id="18">
    <w:p w:rsidR="006970A9" w:rsidRPr="00F37CF7" w:rsidRDefault="006970A9" w:rsidP="00F377BF">
      <w:pPr>
        <w:pStyle w:val="FootnoteText"/>
        <w:rPr>
          <w:szCs w:val="20"/>
        </w:rPr>
      </w:pPr>
      <w:r>
        <w:rPr>
          <w:rStyle w:val="FootnoteReference"/>
        </w:rPr>
        <w:footnoteRef/>
      </w:r>
      <w:r>
        <w:t xml:space="preserve"> </w:t>
      </w:r>
      <w:r w:rsidRPr="00F37CF7">
        <w:rPr>
          <w:i/>
          <w:szCs w:val="20"/>
          <w:lang w:val="en-US"/>
        </w:rPr>
        <w:t>Competition Commission</w:t>
      </w:r>
      <w:r>
        <w:rPr>
          <w:i/>
          <w:szCs w:val="20"/>
          <w:lang w:val="en-US"/>
        </w:rPr>
        <w:t xml:space="preserve"> of South Africa</w:t>
      </w:r>
      <w:r w:rsidRPr="00F37CF7">
        <w:rPr>
          <w:i/>
          <w:szCs w:val="20"/>
          <w:lang w:val="en-US"/>
        </w:rPr>
        <w:t xml:space="preserve"> v </w:t>
      </w:r>
      <w:proofErr w:type="spellStart"/>
      <w:r w:rsidRPr="00F37CF7">
        <w:rPr>
          <w:i/>
          <w:szCs w:val="20"/>
          <w:lang w:val="en-US"/>
        </w:rPr>
        <w:t>Sen</w:t>
      </w:r>
      <w:r>
        <w:rPr>
          <w:i/>
          <w:szCs w:val="20"/>
          <w:lang w:val="en-US"/>
        </w:rPr>
        <w:t>wes</w:t>
      </w:r>
      <w:proofErr w:type="spellEnd"/>
      <w:r w:rsidRPr="00F37CF7">
        <w:rPr>
          <w:i/>
          <w:szCs w:val="20"/>
          <w:lang w:val="en-US"/>
        </w:rPr>
        <w:t xml:space="preserve"> Ltd </w:t>
      </w:r>
      <w:r w:rsidRPr="00441077">
        <w:rPr>
          <w:szCs w:val="20"/>
          <w:lang w:val="en-US"/>
        </w:rPr>
        <w:t>[2012] ZACC 6; 2012 (7) BCLR 667 (CC</w:t>
      </w:r>
      <w:r w:rsidRPr="003F67C2">
        <w:rPr>
          <w:szCs w:val="20"/>
          <w:lang w:val="en-US"/>
        </w:rPr>
        <w:t>)</w:t>
      </w:r>
      <w:r>
        <w:rPr>
          <w:i/>
          <w:szCs w:val="20"/>
          <w:lang w:val="en-US"/>
        </w:rPr>
        <w:t xml:space="preserve"> </w:t>
      </w:r>
      <w:r w:rsidRPr="00B06D2A">
        <w:rPr>
          <w:szCs w:val="20"/>
          <w:lang w:val="en-US"/>
        </w:rPr>
        <w:t>(</w:t>
      </w:r>
      <w:proofErr w:type="spellStart"/>
      <w:r>
        <w:rPr>
          <w:i/>
          <w:szCs w:val="20"/>
          <w:lang w:val="en-US"/>
        </w:rPr>
        <w:t>Senwes</w:t>
      </w:r>
      <w:proofErr w:type="spellEnd"/>
      <w:r w:rsidRPr="00B32555">
        <w:rPr>
          <w:szCs w:val="20"/>
          <w:lang w:val="en-US"/>
        </w:rPr>
        <w:t>)</w:t>
      </w:r>
      <w:r w:rsidRPr="00B32555">
        <w:rPr>
          <w:sz w:val="28"/>
          <w:szCs w:val="28"/>
          <w:lang w:val="en-US"/>
        </w:rPr>
        <w:t xml:space="preserve"> </w:t>
      </w:r>
      <w:r w:rsidRPr="00F37CF7">
        <w:rPr>
          <w:szCs w:val="20"/>
          <w:lang w:val="en-US"/>
        </w:rPr>
        <w:t>at para 17</w:t>
      </w:r>
      <w:r>
        <w:rPr>
          <w:szCs w:val="20"/>
          <w:lang w:val="en-US"/>
        </w:rPr>
        <w:t>.</w:t>
      </w:r>
    </w:p>
  </w:footnote>
  <w:footnote w:id="19">
    <w:p w:rsidR="006970A9" w:rsidRDefault="006970A9">
      <w:pPr>
        <w:pStyle w:val="FootnoteText"/>
      </w:pPr>
      <w:r>
        <w:rPr>
          <w:rStyle w:val="FootnoteReference"/>
        </w:rPr>
        <w:footnoteRef/>
      </w:r>
      <w:r>
        <w:t xml:space="preserve"> Section 13</w:t>
      </w:r>
      <w:proofErr w:type="gramStart"/>
      <w:r>
        <w:t>A(</w:t>
      </w:r>
      <w:proofErr w:type="gramEnd"/>
      <w:r>
        <w:t>3) provides:</w:t>
      </w:r>
    </w:p>
    <w:p w:rsidR="006970A9" w:rsidRDefault="006970A9" w:rsidP="00CC467D">
      <w:pPr>
        <w:pStyle w:val="QUOTEINFOOTNOTE"/>
      </w:pPr>
      <w:r>
        <w:t>“The parties to an intermediate or large merger may not implement that merger until it has been approved, with or without conditions, by the Competition Commission in terms of section 14(1)(b), the Competition Tribunal in terms of section 16(2) or the Competition Appeal Court in terms of section 17.”</w:t>
      </w:r>
    </w:p>
  </w:footnote>
  <w:footnote w:id="20">
    <w:p w:rsidR="006970A9" w:rsidRPr="00017D79" w:rsidRDefault="006970A9" w:rsidP="0007530D">
      <w:pPr>
        <w:pStyle w:val="FootnoteText"/>
        <w:rPr>
          <w:lang w:val="en-US"/>
        </w:rPr>
      </w:pPr>
      <w:r>
        <w:rPr>
          <w:rStyle w:val="FootnoteReference"/>
        </w:rPr>
        <w:footnoteRef/>
      </w:r>
      <w:r>
        <w:t xml:space="preserve"> </w:t>
      </w:r>
      <w:r w:rsidRPr="00017D79">
        <w:rPr>
          <w:i/>
          <w:lang w:val="en-US"/>
        </w:rPr>
        <w:t>Co</w:t>
      </w:r>
      <w:r>
        <w:rPr>
          <w:i/>
          <w:lang w:val="en-US"/>
        </w:rPr>
        <w:t xml:space="preserve">ol Ideas 1186 CC v Hubbard </w:t>
      </w:r>
      <w:r w:rsidRPr="001D5CA6">
        <w:t>[</w:t>
      </w:r>
      <w:r w:rsidRPr="00E6699D">
        <w:t>2014] ZACC 16; 2014 (4) SA 474 (CC); 2014 (8) BCLR 869 (CC)</w:t>
      </w:r>
      <w:r w:rsidRPr="00AC37FE">
        <w:rPr>
          <w:lang w:val="en-US"/>
        </w:rPr>
        <w:t xml:space="preserve"> a</w:t>
      </w:r>
      <w:r>
        <w:rPr>
          <w:lang w:val="en-US"/>
        </w:rPr>
        <w:t>t para 28.</w:t>
      </w:r>
    </w:p>
  </w:footnote>
  <w:footnote w:id="21">
    <w:p w:rsidR="006970A9" w:rsidRPr="00D74F2E" w:rsidRDefault="006970A9" w:rsidP="00D175C2">
      <w:pPr>
        <w:pStyle w:val="FootnoteText"/>
        <w:rPr>
          <w:lang w:val="en-US"/>
        </w:rPr>
      </w:pPr>
      <w:r>
        <w:rPr>
          <w:rStyle w:val="FootnoteReference"/>
        </w:rPr>
        <w:footnoteRef/>
      </w:r>
      <w:r>
        <w:t xml:space="preserve"> </w:t>
      </w:r>
      <w:r>
        <w:rPr>
          <w:lang w:val="en-US"/>
        </w:rPr>
        <w:t>Sections 2(a), (b) and (e) of the Competition Act.</w:t>
      </w:r>
    </w:p>
  </w:footnote>
  <w:footnote w:id="22">
    <w:p w:rsidR="006970A9" w:rsidRPr="00F7232E" w:rsidRDefault="006970A9">
      <w:pPr>
        <w:pStyle w:val="FootnoteText"/>
        <w:rPr>
          <w:lang w:val="en-US"/>
        </w:rPr>
      </w:pPr>
      <w:r>
        <w:rPr>
          <w:rStyle w:val="FootnoteReference"/>
        </w:rPr>
        <w:footnoteRef/>
      </w:r>
      <w:r>
        <w:t xml:space="preserve"> </w:t>
      </w:r>
      <w:proofErr w:type="spellStart"/>
      <w:r w:rsidRPr="00766510">
        <w:rPr>
          <w:i/>
        </w:rPr>
        <w:t>Senwes</w:t>
      </w:r>
      <w:proofErr w:type="spellEnd"/>
      <w:r>
        <w:t xml:space="preserve"> above n </w:t>
      </w:r>
      <w:r>
        <w:fldChar w:fldCharType="begin"/>
      </w:r>
      <w:r>
        <w:instrText xml:space="preserve"> NOTEREF _Ref523924447 \h </w:instrText>
      </w:r>
      <w:r>
        <w:fldChar w:fldCharType="separate"/>
      </w:r>
      <w:r>
        <w:t>18</w:t>
      </w:r>
      <w:r>
        <w:fldChar w:fldCharType="end"/>
      </w:r>
      <w:r>
        <w:t xml:space="preserve"> at </w:t>
      </w:r>
      <w:r>
        <w:rPr>
          <w:lang w:val="en-US"/>
        </w:rPr>
        <w:t xml:space="preserve">para 3 and </w:t>
      </w:r>
      <w:r w:rsidRPr="00F7232E">
        <w:rPr>
          <w:i/>
          <w:lang w:val="en-US"/>
        </w:rPr>
        <w:t>Competition Commiss</w:t>
      </w:r>
      <w:r>
        <w:rPr>
          <w:i/>
          <w:lang w:val="en-US"/>
        </w:rPr>
        <w:t xml:space="preserve">ion v </w:t>
      </w:r>
      <w:proofErr w:type="spellStart"/>
      <w:r>
        <w:rPr>
          <w:i/>
          <w:lang w:val="en-US"/>
        </w:rPr>
        <w:t>Loungefoam</w:t>
      </w:r>
      <w:proofErr w:type="spellEnd"/>
      <w:r>
        <w:rPr>
          <w:i/>
          <w:lang w:val="en-US"/>
        </w:rPr>
        <w:t xml:space="preserve"> (Pty) Ltd </w:t>
      </w:r>
      <w:r>
        <w:rPr>
          <w:lang w:val="en-US"/>
        </w:rPr>
        <w:t>[2012] ZACC 15; 2012 (9) BCLR 907 (</w:t>
      </w:r>
      <w:r w:rsidRPr="008426AB">
        <w:rPr>
          <w:szCs w:val="20"/>
          <w:lang w:val="en-US"/>
        </w:rPr>
        <w:t xml:space="preserve">CC); </w:t>
      </w:r>
      <w:r w:rsidRPr="008426AB">
        <w:rPr>
          <w:bCs/>
          <w:szCs w:val="20"/>
          <w:lang w:eastAsia="en-ZA"/>
        </w:rPr>
        <w:t>2012 JDR 1119 (CC)</w:t>
      </w:r>
      <w:r w:rsidRPr="008426AB">
        <w:rPr>
          <w:szCs w:val="20"/>
          <w:lang w:val="en-US"/>
        </w:rPr>
        <w:t xml:space="preserve"> at para</w:t>
      </w:r>
      <w:r>
        <w:rPr>
          <w:lang w:val="en-US"/>
        </w:rPr>
        <w:t xml:space="preserve"> 2.</w:t>
      </w:r>
    </w:p>
  </w:footnote>
  <w:footnote w:id="23">
    <w:p w:rsidR="006970A9" w:rsidRDefault="006970A9" w:rsidP="00B06D2A">
      <w:pPr>
        <w:pStyle w:val="FootnoteText"/>
      </w:pPr>
      <w:r>
        <w:rPr>
          <w:rStyle w:val="FootnoteReference"/>
        </w:rPr>
        <w:footnoteRef/>
      </w:r>
      <w:r>
        <w:t xml:space="preserve"> The long title of the Competition Act reads:</w:t>
      </w:r>
    </w:p>
    <w:p w:rsidR="006970A9" w:rsidRPr="00A47D2A" w:rsidRDefault="006970A9" w:rsidP="00B06D2A">
      <w:pPr>
        <w:pStyle w:val="QUOTEINFOOTNOTE"/>
      </w:pPr>
      <w:r>
        <w:t>“To provide for the establishment of a Competition Commission responsible for the investigation, control and evaluation of restrictive practices, abuse of dominant position, and mergers; and for the establishment of a Competition Tribunal responsible to adjudicate such matters; and for the establishment of a Competition Appeal Court; and related matters.”</w:t>
      </w:r>
    </w:p>
  </w:footnote>
  <w:footnote w:id="24">
    <w:p w:rsidR="006970A9" w:rsidRDefault="006970A9">
      <w:pPr>
        <w:pStyle w:val="FootnoteText"/>
      </w:pPr>
      <w:r>
        <w:rPr>
          <w:rStyle w:val="FootnoteReference"/>
        </w:rPr>
        <w:footnoteRef/>
      </w:r>
      <w:r>
        <w:t xml:space="preserve"> </w:t>
      </w:r>
      <w:proofErr w:type="spellStart"/>
      <w:r w:rsidRPr="00766510">
        <w:rPr>
          <w:i/>
        </w:rPr>
        <w:t>Senwes</w:t>
      </w:r>
      <w:proofErr w:type="spellEnd"/>
      <w:r w:rsidRPr="00766510">
        <w:rPr>
          <w:i/>
        </w:rPr>
        <w:t xml:space="preserve"> </w:t>
      </w:r>
      <w:r>
        <w:t xml:space="preserve">above n </w:t>
      </w:r>
      <w:r>
        <w:fldChar w:fldCharType="begin"/>
      </w:r>
      <w:r>
        <w:instrText xml:space="preserve"> NOTEREF _Ref523924447 \h </w:instrText>
      </w:r>
      <w:r>
        <w:fldChar w:fldCharType="separate"/>
      </w:r>
      <w:r>
        <w:t>18</w:t>
      </w:r>
      <w:r>
        <w:fldChar w:fldCharType="end"/>
      </w:r>
      <w:r>
        <w:t xml:space="preserve"> at paras 3-4.</w:t>
      </w:r>
    </w:p>
  </w:footnote>
  <w:footnote w:id="25">
    <w:p w:rsidR="006970A9" w:rsidRPr="00F7770D" w:rsidRDefault="006970A9" w:rsidP="006F2D8E">
      <w:pPr>
        <w:pStyle w:val="FootnoteText"/>
        <w:rPr>
          <w:rFonts w:cs="Arial"/>
          <w:lang w:val="en-US"/>
        </w:rPr>
      </w:pPr>
      <w:r w:rsidRPr="00F7770D">
        <w:rPr>
          <w:rStyle w:val="FootnoteReference"/>
          <w:rFonts w:cs="Arial"/>
        </w:rPr>
        <w:footnoteRef/>
      </w:r>
      <w:r w:rsidRPr="00F7770D">
        <w:rPr>
          <w:rFonts w:cs="Arial"/>
        </w:rPr>
        <w:t xml:space="preserve"> </w:t>
      </w:r>
      <w:r w:rsidRPr="00F7770D">
        <w:rPr>
          <w:rFonts w:cs="Arial"/>
          <w:lang w:val="en-US"/>
        </w:rPr>
        <w:t>In terms of section 21(1)(e) of the Competition Act, one of the functions of the Commission is to</w:t>
      </w:r>
      <w:r>
        <w:rPr>
          <w:rFonts w:cs="Arial"/>
          <w:lang w:val="en-US"/>
        </w:rPr>
        <w:t>,</w:t>
      </w:r>
      <w:r w:rsidRPr="00F7770D">
        <w:rPr>
          <w:rFonts w:cs="Arial"/>
          <w:lang w:val="en-US"/>
        </w:rPr>
        <w:t xml:space="preserve"> </w:t>
      </w:r>
      <w:r w:rsidRPr="00441077">
        <w:rPr>
          <w:rFonts w:cs="Arial"/>
          <w:lang w:val="en-US"/>
        </w:rPr>
        <w:t>“</w:t>
      </w:r>
      <w:proofErr w:type="spellStart"/>
      <w:r w:rsidRPr="00441077">
        <w:rPr>
          <w:rFonts w:cs="Arial"/>
          <w:lang w:val="en-US"/>
        </w:rPr>
        <w:t>authorise</w:t>
      </w:r>
      <w:proofErr w:type="spellEnd"/>
      <w:r w:rsidRPr="00441077">
        <w:rPr>
          <w:rFonts w:cs="Arial"/>
          <w:lang w:val="en-US"/>
        </w:rPr>
        <w:t>, with or without conditions, prohibit or refer mergers of which it receive</w:t>
      </w:r>
      <w:r>
        <w:rPr>
          <w:rFonts w:cs="Arial"/>
          <w:lang w:val="en-US"/>
        </w:rPr>
        <w:t>s notice in terms of Chapter 3”.</w:t>
      </w:r>
    </w:p>
  </w:footnote>
  <w:footnote w:id="26">
    <w:p w:rsidR="006970A9" w:rsidRPr="00F7770D" w:rsidRDefault="006970A9" w:rsidP="006F2D8E">
      <w:pPr>
        <w:pStyle w:val="FootnoteText"/>
        <w:rPr>
          <w:rFonts w:cs="Arial"/>
          <w:lang w:val="en-US"/>
        </w:rPr>
      </w:pPr>
      <w:r w:rsidRPr="00F7770D">
        <w:rPr>
          <w:rStyle w:val="FootnoteReference"/>
          <w:rFonts w:cs="Arial"/>
        </w:rPr>
        <w:footnoteRef/>
      </w:r>
      <w:r w:rsidRPr="00F7770D">
        <w:rPr>
          <w:rFonts w:cs="Arial"/>
        </w:rPr>
        <w:t xml:space="preserve"> </w:t>
      </w:r>
      <w:r w:rsidRPr="00F7770D">
        <w:rPr>
          <w:rFonts w:cs="Arial"/>
          <w:lang w:val="en-US"/>
        </w:rPr>
        <w:t xml:space="preserve">Section 12A of the Competition Act, headed </w:t>
      </w:r>
      <w:r w:rsidRPr="00B32555">
        <w:rPr>
          <w:rFonts w:cs="Arial"/>
          <w:lang w:val="en-US"/>
        </w:rPr>
        <w:t>“</w:t>
      </w:r>
      <w:r w:rsidRPr="009B611C">
        <w:rPr>
          <w:rFonts w:cs="Arial"/>
          <w:lang w:val="en-US"/>
        </w:rPr>
        <w:t>Consideration of mergers</w:t>
      </w:r>
      <w:r w:rsidRPr="00B32555">
        <w:rPr>
          <w:rFonts w:cs="Arial"/>
          <w:lang w:val="en-US"/>
        </w:rPr>
        <w:t>”</w:t>
      </w:r>
      <w:r w:rsidRPr="00F7770D">
        <w:rPr>
          <w:rFonts w:cs="Arial"/>
          <w:i/>
          <w:lang w:val="en-US"/>
        </w:rPr>
        <w:t xml:space="preserve"> </w:t>
      </w:r>
      <w:r w:rsidRPr="00F7770D">
        <w:rPr>
          <w:rFonts w:cs="Arial"/>
          <w:lang w:val="en-US"/>
        </w:rPr>
        <w:t>sets out the approach that the Commission is enjoined to follow when conducting a substantive analysis of a proposed merger.</w:t>
      </w:r>
    </w:p>
  </w:footnote>
  <w:footnote w:id="27">
    <w:p w:rsidR="006970A9" w:rsidRPr="00F7770D" w:rsidRDefault="006970A9" w:rsidP="006F2D8E">
      <w:pPr>
        <w:pStyle w:val="FootnoteText"/>
        <w:rPr>
          <w:rFonts w:cs="Arial"/>
          <w:lang w:val="en-US"/>
        </w:rPr>
      </w:pPr>
      <w:r w:rsidRPr="00F7770D">
        <w:rPr>
          <w:rStyle w:val="FootnoteReference"/>
          <w:rFonts w:cs="Arial"/>
        </w:rPr>
        <w:footnoteRef/>
      </w:r>
      <w:r w:rsidRPr="00F7770D">
        <w:rPr>
          <w:rFonts w:cs="Arial"/>
        </w:rPr>
        <w:t xml:space="preserve"> </w:t>
      </w:r>
      <w:r w:rsidRPr="00F7770D">
        <w:rPr>
          <w:rFonts w:cs="Arial"/>
          <w:lang w:val="en-US"/>
        </w:rPr>
        <w:t>Section 13</w:t>
      </w:r>
      <w:proofErr w:type="gramStart"/>
      <w:r w:rsidRPr="00F7770D">
        <w:rPr>
          <w:rFonts w:cs="Arial"/>
          <w:lang w:val="en-US"/>
        </w:rPr>
        <w:t>A(</w:t>
      </w:r>
      <w:proofErr w:type="gramEnd"/>
      <w:r w:rsidRPr="00F7770D">
        <w:rPr>
          <w:rFonts w:cs="Arial"/>
          <w:lang w:val="en-US"/>
        </w:rPr>
        <w:t xml:space="preserve">1) of the Competition Act provides that a party to an </w:t>
      </w:r>
      <w:r w:rsidRPr="00B32555">
        <w:rPr>
          <w:rFonts w:cs="Arial"/>
          <w:lang w:val="en-US"/>
        </w:rPr>
        <w:t>“intermediate or large merger must notify the Competition Commission of that merger in</w:t>
      </w:r>
      <w:r>
        <w:rPr>
          <w:rFonts w:cs="Arial"/>
          <w:lang w:val="en-US"/>
        </w:rPr>
        <w:t xml:space="preserve"> the prescribed manner and form</w:t>
      </w:r>
      <w:r w:rsidRPr="00B32555">
        <w:rPr>
          <w:rFonts w:cs="Arial"/>
          <w:lang w:val="en-US"/>
        </w:rPr>
        <w:t>”</w:t>
      </w:r>
      <w:r>
        <w:rPr>
          <w:rFonts w:cs="Arial"/>
          <w:lang w:val="en-US"/>
        </w:rPr>
        <w:t>.</w:t>
      </w:r>
      <w:r w:rsidRPr="00F7770D">
        <w:rPr>
          <w:rFonts w:cs="Arial"/>
          <w:lang w:val="en-US"/>
        </w:rPr>
        <w:t xml:space="preserve">  A merger is classified as an “</w:t>
      </w:r>
      <w:r w:rsidRPr="00B32555">
        <w:rPr>
          <w:rFonts w:cs="Arial"/>
          <w:lang w:val="en-US"/>
        </w:rPr>
        <w:t>intermediate</w:t>
      </w:r>
      <w:r w:rsidRPr="00F7770D">
        <w:rPr>
          <w:rFonts w:cs="Arial"/>
          <w:lang w:val="en-US"/>
        </w:rPr>
        <w:t xml:space="preserve">” merger where the combined annual turnover or asset value of acquiring and target </w:t>
      </w:r>
      <w:proofErr w:type="gramStart"/>
      <w:r w:rsidRPr="00F7770D">
        <w:rPr>
          <w:rFonts w:cs="Arial"/>
          <w:lang w:val="en-US"/>
        </w:rPr>
        <w:t>firms</w:t>
      </w:r>
      <w:proofErr w:type="gramEnd"/>
      <w:r w:rsidRPr="00F7770D">
        <w:rPr>
          <w:rFonts w:cs="Arial"/>
          <w:lang w:val="en-US"/>
        </w:rPr>
        <w:t xml:space="preserve"> equals or exceeds R560 million, and where the turnover or asset value of the target firm equals or exceeds R80 million; a merger is classified as a </w:t>
      </w:r>
      <w:r w:rsidRPr="00DB5365">
        <w:rPr>
          <w:rFonts w:cs="Arial"/>
          <w:lang w:val="en-US"/>
        </w:rPr>
        <w:t>“</w:t>
      </w:r>
      <w:r w:rsidRPr="00B32555">
        <w:rPr>
          <w:rFonts w:cs="Arial"/>
          <w:lang w:val="en-US"/>
        </w:rPr>
        <w:t>large</w:t>
      </w:r>
      <w:r w:rsidRPr="00DB5365">
        <w:rPr>
          <w:rFonts w:cs="Arial"/>
          <w:lang w:val="en-US"/>
        </w:rPr>
        <w:t>”</w:t>
      </w:r>
      <w:r w:rsidRPr="00F7770D">
        <w:rPr>
          <w:rFonts w:cs="Arial"/>
          <w:lang w:val="en-US"/>
        </w:rPr>
        <w:t xml:space="preserve"> merger where the combined annual turnover or asset value of acquiring and tar</w:t>
      </w:r>
      <w:r>
        <w:rPr>
          <w:rFonts w:cs="Arial"/>
          <w:lang w:val="en-US"/>
        </w:rPr>
        <w:t>get firms equals or exceeds R6.</w:t>
      </w:r>
      <w:r w:rsidRPr="00F7770D">
        <w:rPr>
          <w:rFonts w:cs="Arial"/>
          <w:lang w:val="en-US"/>
        </w:rPr>
        <w:t xml:space="preserve">6 billion, and where the turnover or asset value of the target firm equals or exceeds R190 million.  </w:t>
      </w:r>
    </w:p>
  </w:footnote>
  <w:footnote w:id="28">
    <w:p w:rsidR="006970A9" w:rsidRPr="00A031CB" w:rsidRDefault="006970A9" w:rsidP="00780CD5">
      <w:pPr>
        <w:pStyle w:val="QUOTEINFOOTNOTE"/>
        <w:ind w:left="0"/>
        <w:rPr>
          <w:rFonts w:cs="Arial"/>
          <w:szCs w:val="20"/>
          <w:lang w:val="en-US"/>
        </w:rPr>
      </w:pPr>
      <w:r w:rsidRPr="00F7770D">
        <w:rPr>
          <w:rStyle w:val="FootnoteReference"/>
          <w:rFonts w:cs="Arial"/>
          <w:szCs w:val="20"/>
        </w:rPr>
        <w:footnoteRef/>
      </w:r>
      <w:r w:rsidRPr="00F7770D">
        <w:rPr>
          <w:rFonts w:cs="Arial"/>
          <w:szCs w:val="20"/>
        </w:rPr>
        <w:t xml:space="preserve"> </w:t>
      </w:r>
      <w:r>
        <w:rPr>
          <w:rFonts w:cs="Arial"/>
          <w:szCs w:val="20"/>
        </w:rPr>
        <w:t xml:space="preserve">In </w:t>
      </w:r>
      <w:proofErr w:type="spellStart"/>
      <w:r w:rsidRPr="00F7770D">
        <w:rPr>
          <w:rFonts w:cs="Arial"/>
          <w:i/>
          <w:szCs w:val="20"/>
        </w:rPr>
        <w:t>Netcare</w:t>
      </w:r>
      <w:proofErr w:type="spellEnd"/>
      <w:r w:rsidRPr="00F7770D">
        <w:rPr>
          <w:rFonts w:cs="Arial"/>
          <w:i/>
          <w:szCs w:val="20"/>
        </w:rPr>
        <w:t xml:space="preserve"> Hospital Group (Pty) Ltd and Community Hospital Group (Pty) Ltd</w:t>
      </w:r>
      <w:r w:rsidRPr="00F7770D">
        <w:rPr>
          <w:rFonts w:cs="Arial"/>
          <w:szCs w:val="20"/>
        </w:rPr>
        <w:t xml:space="preserve"> </w:t>
      </w:r>
      <w:r>
        <w:rPr>
          <w:rFonts w:cs="Arial"/>
          <w:szCs w:val="20"/>
        </w:rPr>
        <w:t>[2007] ZACT 83 (</w:t>
      </w:r>
      <w:proofErr w:type="spellStart"/>
      <w:r w:rsidRPr="003B6393">
        <w:rPr>
          <w:rFonts w:cs="Arial"/>
          <w:i/>
          <w:szCs w:val="20"/>
        </w:rPr>
        <w:t>Netcare</w:t>
      </w:r>
      <w:proofErr w:type="spellEnd"/>
      <w:r>
        <w:rPr>
          <w:rFonts w:cs="Arial"/>
          <w:szCs w:val="20"/>
        </w:rPr>
        <w:t xml:space="preserve">) </w:t>
      </w:r>
      <w:r w:rsidRPr="003B6393">
        <w:rPr>
          <w:rFonts w:cs="Arial"/>
          <w:szCs w:val="20"/>
          <w:lang w:val="en-US"/>
        </w:rPr>
        <w:t xml:space="preserve">at </w:t>
      </w:r>
      <w:r w:rsidRPr="00F7770D">
        <w:rPr>
          <w:rFonts w:cs="Arial"/>
          <w:szCs w:val="20"/>
          <w:lang w:val="en-US"/>
        </w:rPr>
        <w:t>para 7</w:t>
      </w:r>
      <w:r>
        <w:rPr>
          <w:rFonts w:cs="Arial"/>
          <w:szCs w:val="20"/>
          <w:lang w:val="en-US"/>
        </w:rPr>
        <w:t>.</w:t>
      </w:r>
    </w:p>
  </w:footnote>
  <w:footnote w:id="29">
    <w:p w:rsidR="006970A9" w:rsidRPr="00F7770D" w:rsidRDefault="006970A9" w:rsidP="0094768E">
      <w:pPr>
        <w:pStyle w:val="FootnoteText"/>
        <w:rPr>
          <w:rFonts w:cs="Arial"/>
          <w:lang w:val="en-US"/>
        </w:rPr>
      </w:pPr>
      <w:r w:rsidRPr="00F7770D">
        <w:rPr>
          <w:rStyle w:val="FootnoteReference"/>
          <w:rFonts w:cs="Arial"/>
        </w:rPr>
        <w:footnoteRef/>
      </w:r>
      <w:r w:rsidRPr="00F7770D">
        <w:rPr>
          <w:rFonts w:cs="Arial"/>
        </w:rPr>
        <w:t xml:space="preserve"> </w:t>
      </w:r>
      <w:r w:rsidRPr="00F7770D">
        <w:rPr>
          <w:rFonts w:cs="Arial"/>
          <w:lang w:val="en-US"/>
        </w:rPr>
        <w:t>Section 12(1)(b)(</w:t>
      </w:r>
      <w:proofErr w:type="spellStart"/>
      <w:r w:rsidRPr="00F7770D">
        <w:rPr>
          <w:rFonts w:cs="Arial"/>
          <w:lang w:val="en-US"/>
        </w:rPr>
        <w:t>i</w:t>
      </w:r>
      <w:proofErr w:type="spellEnd"/>
      <w:r w:rsidRPr="00F7770D">
        <w:rPr>
          <w:rFonts w:cs="Arial"/>
          <w:lang w:val="en-US"/>
        </w:rPr>
        <w:t xml:space="preserve">) of the Competition Act.  See </w:t>
      </w:r>
      <w:r w:rsidRPr="00F7770D">
        <w:rPr>
          <w:rFonts w:cs="Arial"/>
          <w:i/>
        </w:rPr>
        <w:t xml:space="preserve">Competition Commission v Edgars Consolidated Stores Limited </w:t>
      </w:r>
      <w:r w:rsidRPr="00F7770D">
        <w:rPr>
          <w:rFonts w:cs="Arial"/>
        </w:rPr>
        <w:t>[2003] 1 CPLR 151 (CT) at para 37.</w:t>
      </w:r>
    </w:p>
  </w:footnote>
  <w:footnote w:id="30">
    <w:p w:rsidR="006970A9" w:rsidRDefault="006970A9" w:rsidP="006F2D8E">
      <w:pPr>
        <w:pStyle w:val="FootnoteText"/>
        <w:rPr>
          <w:rFonts w:cs="Arial"/>
        </w:rPr>
      </w:pPr>
      <w:r w:rsidRPr="00F7770D">
        <w:rPr>
          <w:rStyle w:val="FootnoteReference"/>
          <w:rFonts w:cs="Arial"/>
        </w:rPr>
        <w:footnoteRef/>
      </w:r>
      <w:r w:rsidRPr="00F7770D">
        <w:rPr>
          <w:rFonts w:cs="Arial"/>
        </w:rPr>
        <w:t xml:space="preserve"> Section 12(2)(g) provides that a person controls a firm if that person</w:t>
      </w:r>
      <w:r>
        <w:t>—</w:t>
      </w:r>
    </w:p>
    <w:p w:rsidR="006970A9" w:rsidRDefault="006970A9" w:rsidP="00441077">
      <w:pPr>
        <w:pStyle w:val="QUOTEINFOOTNOTE"/>
      </w:pPr>
      <w:r>
        <w:t>“</w:t>
      </w:r>
      <w:r w:rsidRPr="00F7770D">
        <w:t>has the ability to materially influence the policy of the firm in a manner comparable to a person who, in ordinary commercial practice, can exercise an element of control referred to in paragraphs (a) to (f)</w:t>
      </w:r>
      <w:r>
        <w:t>.”</w:t>
      </w:r>
    </w:p>
    <w:p w:rsidR="006970A9" w:rsidRPr="00F7770D" w:rsidRDefault="006970A9" w:rsidP="00441077">
      <w:pPr>
        <w:pStyle w:val="QUOTEINFOOTNOTE"/>
        <w:ind w:left="0"/>
        <w:rPr>
          <w:lang w:val="en-US"/>
        </w:rPr>
      </w:pPr>
      <w:r>
        <w:t xml:space="preserve">See </w:t>
      </w:r>
      <w:r w:rsidRPr="00441077">
        <w:rPr>
          <w:i/>
        </w:rPr>
        <w:t>Caxton and CTP Publishers and Printers Ltd v Media24 (Pty) Ltd</w:t>
      </w:r>
      <w:r w:rsidRPr="00F7770D">
        <w:t xml:space="preserve"> [2015] ZACAC </w:t>
      </w:r>
      <w:r>
        <w:t>(25 November 2015) at para 35ff, for a definitive exposition of the concept of material influence.</w:t>
      </w:r>
    </w:p>
  </w:footnote>
  <w:footnote w:id="31">
    <w:p w:rsidR="006970A9" w:rsidRPr="00F7770D" w:rsidRDefault="006970A9" w:rsidP="006F2D8E">
      <w:pPr>
        <w:pStyle w:val="FootnoteText"/>
        <w:rPr>
          <w:rFonts w:cs="Arial"/>
          <w:lang w:val="en-US"/>
        </w:rPr>
      </w:pPr>
      <w:r w:rsidRPr="00F7770D">
        <w:rPr>
          <w:rStyle w:val="FootnoteReference"/>
          <w:rFonts w:cs="Arial"/>
        </w:rPr>
        <w:footnoteRef/>
      </w:r>
      <w:r w:rsidRPr="00F7770D">
        <w:rPr>
          <w:rFonts w:cs="Arial"/>
        </w:rPr>
        <w:t xml:space="preserve"> The requirement to give notice only applies in respect </w:t>
      </w:r>
      <w:r w:rsidRPr="00A66FC6">
        <w:rPr>
          <w:rFonts w:cs="Arial"/>
        </w:rPr>
        <w:t>of “</w:t>
      </w:r>
      <w:r w:rsidRPr="00B32555">
        <w:rPr>
          <w:rFonts w:cs="Arial"/>
        </w:rPr>
        <w:t>intermediate</w:t>
      </w:r>
      <w:r w:rsidRPr="00A66FC6">
        <w:rPr>
          <w:rFonts w:cs="Arial"/>
        </w:rPr>
        <w:t>” or “</w:t>
      </w:r>
      <w:r w:rsidRPr="00B32555">
        <w:rPr>
          <w:rFonts w:cs="Arial"/>
        </w:rPr>
        <w:t>large</w:t>
      </w:r>
      <w:r w:rsidRPr="00A66FC6">
        <w:rPr>
          <w:rFonts w:cs="Arial"/>
        </w:rPr>
        <w:t>” mergers</w:t>
      </w:r>
      <w:r w:rsidRPr="00F7770D">
        <w:rPr>
          <w:rFonts w:cs="Arial"/>
        </w:rPr>
        <w:t xml:space="preserve">, which are discussed </w:t>
      </w:r>
      <w:r>
        <w:rPr>
          <w:rFonts w:cs="Arial"/>
        </w:rPr>
        <w:t xml:space="preserve">in n </w:t>
      </w:r>
      <w:r>
        <w:rPr>
          <w:rFonts w:cs="Arial"/>
        </w:rPr>
        <w:fldChar w:fldCharType="begin"/>
      </w:r>
      <w:r>
        <w:rPr>
          <w:rFonts w:cs="Arial"/>
        </w:rPr>
        <w:instrText xml:space="preserve"> NOTEREF _Ref494356855 \h </w:instrText>
      </w:r>
      <w:r>
        <w:rPr>
          <w:rFonts w:cs="Arial"/>
        </w:rPr>
      </w:r>
      <w:r>
        <w:rPr>
          <w:rFonts w:cs="Arial"/>
        </w:rPr>
        <w:fldChar w:fldCharType="separate"/>
      </w:r>
      <w:r>
        <w:rPr>
          <w:rFonts w:cs="Arial"/>
        </w:rPr>
        <w:t>27</w:t>
      </w:r>
      <w:r>
        <w:rPr>
          <w:rFonts w:cs="Arial"/>
        </w:rPr>
        <w:fldChar w:fldCharType="end"/>
      </w:r>
      <w:r>
        <w:rPr>
          <w:rFonts w:cs="Arial"/>
        </w:rPr>
        <w:t xml:space="preserve"> above</w:t>
      </w:r>
      <w:r w:rsidRPr="00F7770D">
        <w:rPr>
          <w:rFonts w:cs="Arial"/>
        </w:rPr>
        <w:t>.</w:t>
      </w:r>
    </w:p>
  </w:footnote>
  <w:footnote w:id="32">
    <w:p w:rsidR="006970A9" w:rsidRDefault="006970A9" w:rsidP="006F2D8E">
      <w:pPr>
        <w:pStyle w:val="FootnoteText"/>
        <w:rPr>
          <w:rFonts w:cs="Arial"/>
        </w:rPr>
      </w:pPr>
      <w:r w:rsidRPr="00F7770D">
        <w:rPr>
          <w:rStyle w:val="FootnoteReference"/>
          <w:rFonts w:cs="Arial"/>
        </w:rPr>
        <w:footnoteRef/>
      </w:r>
      <w:r w:rsidRPr="00F7770D">
        <w:rPr>
          <w:rFonts w:cs="Arial"/>
        </w:rPr>
        <w:t xml:space="preserve"> Section 13</w:t>
      </w:r>
      <w:proofErr w:type="gramStart"/>
      <w:r w:rsidRPr="00F7770D">
        <w:rPr>
          <w:rFonts w:cs="Arial"/>
        </w:rPr>
        <w:t>A(</w:t>
      </w:r>
      <w:proofErr w:type="gramEnd"/>
      <w:r w:rsidRPr="00F7770D">
        <w:rPr>
          <w:rFonts w:cs="Arial"/>
        </w:rPr>
        <w:t xml:space="preserve">3) </w:t>
      </w:r>
      <w:r>
        <w:rPr>
          <w:rFonts w:cs="Arial"/>
        </w:rPr>
        <w:t>provides:</w:t>
      </w:r>
    </w:p>
    <w:p w:rsidR="006970A9" w:rsidRPr="00F7770D" w:rsidRDefault="006970A9" w:rsidP="00740A90">
      <w:pPr>
        <w:pStyle w:val="QUOTEINFOOTNOTE"/>
        <w:rPr>
          <w:lang w:val="en-US"/>
        </w:rPr>
      </w:pPr>
      <w:r w:rsidRPr="00F7770D">
        <w:t>“</w:t>
      </w:r>
      <w:r w:rsidRPr="00F7770D">
        <w:rPr>
          <w:lang w:val="en-US"/>
        </w:rPr>
        <w:t>The parties to an intermediate or large merger may not implement that merger until it has been approved, with or without conditions, by the Com</w:t>
      </w:r>
      <w:r>
        <w:rPr>
          <w:lang w:val="en-US"/>
        </w:rPr>
        <w:t xml:space="preserve">petition Commission in terms of </w:t>
      </w:r>
      <w:r w:rsidRPr="00F7770D">
        <w:rPr>
          <w:lang w:val="en-US"/>
        </w:rPr>
        <w:t>section 14(1)(</w:t>
      </w:r>
      <w:r w:rsidRPr="00F7770D">
        <w:rPr>
          <w:iCs/>
          <w:lang w:val="en-US"/>
        </w:rPr>
        <w:t>b</w:t>
      </w:r>
      <w:r w:rsidRPr="00F7770D">
        <w:rPr>
          <w:lang w:val="en-US"/>
        </w:rPr>
        <w:t>), the C</w:t>
      </w:r>
      <w:r>
        <w:rPr>
          <w:lang w:val="en-US"/>
        </w:rPr>
        <w:t xml:space="preserve">ompetition Tribunal in terms of </w:t>
      </w:r>
      <w:r w:rsidRPr="00F7770D">
        <w:rPr>
          <w:lang w:val="en-US"/>
        </w:rPr>
        <w:t>section</w:t>
      </w:r>
      <w:r>
        <w:rPr>
          <w:lang w:val="en-US"/>
        </w:rPr>
        <w:t xml:space="preserve"> </w:t>
      </w:r>
      <w:r w:rsidRPr="00F7770D">
        <w:rPr>
          <w:lang w:val="en-US"/>
        </w:rPr>
        <w:t>16(2)</w:t>
      </w:r>
      <w:r>
        <w:rPr>
          <w:lang w:val="en-US"/>
        </w:rPr>
        <w:t xml:space="preserve"> </w:t>
      </w:r>
      <w:r w:rsidRPr="00F7770D">
        <w:rPr>
          <w:lang w:val="en-US"/>
        </w:rPr>
        <w:t>or the Compe</w:t>
      </w:r>
      <w:r>
        <w:rPr>
          <w:lang w:val="en-US"/>
        </w:rPr>
        <w:t xml:space="preserve">tition Appeal Court in terms of </w:t>
      </w:r>
      <w:r w:rsidRPr="00F7770D">
        <w:rPr>
          <w:lang w:val="en-US"/>
        </w:rPr>
        <w:t>section 17.”</w:t>
      </w:r>
    </w:p>
  </w:footnote>
  <w:footnote w:id="33">
    <w:p w:rsidR="006970A9" w:rsidRPr="00F7770D" w:rsidRDefault="006970A9" w:rsidP="006F2D8E">
      <w:pPr>
        <w:pStyle w:val="FootnoteText"/>
        <w:rPr>
          <w:rFonts w:cs="Arial"/>
          <w:lang w:val="en-US"/>
        </w:rPr>
      </w:pPr>
      <w:r w:rsidRPr="00F7770D">
        <w:rPr>
          <w:rStyle w:val="FootnoteReference"/>
          <w:rFonts w:cs="Arial"/>
        </w:rPr>
        <w:footnoteRef/>
      </w:r>
      <w:r w:rsidRPr="00F7770D">
        <w:rPr>
          <w:rFonts w:cs="Arial"/>
        </w:rPr>
        <w:t xml:space="preserve"> </w:t>
      </w:r>
      <w:r w:rsidRPr="00F7770D">
        <w:rPr>
          <w:rFonts w:cs="Arial"/>
          <w:lang w:val="en-US"/>
        </w:rPr>
        <w:t>Section 59(1)(d) must be read with section 59(2), which provides that an administrative penalty may not exceed 10% of the firm’s annual turnover</w:t>
      </w:r>
      <w:r>
        <w:rPr>
          <w:rFonts w:cs="Arial"/>
          <w:lang w:val="en-US"/>
        </w:rPr>
        <w:t xml:space="preserve"> and its exports</w:t>
      </w:r>
      <w:r w:rsidRPr="00F7770D">
        <w:rPr>
          <w:rFonts w:cs="Arial"/>
          <w:lang w:val="en-US"/>
        </w:rPr>
        <w:t xml:space="preserve"> in the preceding financial year. </w:t>
      </w:r>
      <w:r>
        <w:rPr>
          <w:rFonts w:cs="Arial"/>
          <w:lang w:val="en-US"/>
        </w:rPr>
        <w:t xml:space="preserve"> </w:t>
      </w:r>
      <w:r w:rsidRPr="00F7770D">
        <w:rPr>
          <w:rFonts w:cs="Arial"/>
          <w:lang w:val="en-US"/>
        </w:rPr>
        <w:t xml:space="preserve">See, for example, the recent settlement agreement approved by the Tribunal in the matter between the </w:t>
      </w:r>
      <w:r w:rsidRPr="00F7770D">
        <w:rPr>
          <w:rFonts w:cs="Arial"/>
          <w:i/>
          <w:lang w:val="en-US"/>
        </w:rPr>
        <w:t xml:space="preserve">Competition Commission and Fruit &amp; Veg City Holdings (Pty) Ltd </w:t>
      </w:r>
      <w:r w:rsidRPr="00F7770D">
        <w:rPr>
          <w:rFonts w:cs="Arial"/>
          <w:lang w:val="en-US"/>
        </w:rPr>
        <w:t xml:space="preserve">[2015] 2 CPLR 553 (CT) in terms of which the Commission sought an order from the Tribunal against the parties </w:t>
      </w:r>
      <w:r>
        <w:rPr>
          <w:rFonts w:cs="Arial"/>
          <w:lang w:val="en-US"/>
        </w:rPr>
        <w:t>to</w:t>
      </w:r>
      <w:r w:rsidRPr="00F7770D">
        <w:rPr>
          <w:rFonts w:cs="Arial"/>
          <w:lang w:val="en-US"/>
        </w:rPr>
        <w:t xml:space="preserve"> a series of transactions that </w:t>
      </w:r>
      <w:r>
        <w:rPr>
          <w:rFonts w:cs="Arial"/>
          <w:lang w:val="en-US"/>
        </w:rPr>
        <w:t xml:space="preserve">should </w:t>
      </w:r>
      <w:r w:rsidRPr="00F7770D">
        <w:rPr>
          <w:rFonts w:cs="Arial"/>
          <w:lang w:val="en-US"/>
        </w:rPr>
        <w:t>have been notified as a merger.  The parties settled with the Commission, agreeing to pay a penalty for failing to notify the Commission as required.  The Tribunal confirmed the settlement agreement.</w:t>
      </w:r>
    </w:p>
  </w:footnote>
  <w:footnote w:id="34">
    <w:p w:rsidR="006970A9" w:rsidRPr="00441077" w:rsidRDefault="006970A9" w:rsidP="006F2D8E">
      <w:pPr>
        <w:pStyle w:val="lg-a-1"/>
        <w:shd w:val="clear" w:color="auto" w:fill="FFFFFF"/>
        <w:spacing w:before="0" w:beforeAutospacing="0" w:after="120" w:afterAutospacing="0"/>
        <w:jc w:val="both"/>
        <w:rPr>
          <w:i/>
          <w:color w:val="000000"/>
          <w:sz w:val="20"/>
          <w:szCs w:val="20"/>
        </w:rPr>
      </w:pPr>
      <w:r w:rsidRPr="003F67C2">
        <w:rPr>
          <w:rStyle w:val="FootnoteReference"/>
          <w:sz w:val="20"/>
          <w:szCs w:val="20"/>
        </w:rPr>
        <w:footnoteRef/>
      </w:r>
      <w:r w:rsidRPr="00F7770D">
        <w:rPr>
          <w:rFonts w:ascii="Arial" w:hAnsi="Arial" w:cs="Arial"/>
          <w:sz w:val="20"/>
          <w:szCs w:val="20"/>
        </w:rPr>
        <w:t xml:space="preserve"> </w:t>
      </w:r>
      <w:r w:rsidRPr="00441077">
        <w:rPr>
          <w:sz w:val="20"/>
          <w:szCs w:val="20"/>
        </w:rPr>
        <w:t>This is in contrast to certain other contraventions listed in section 59(1)(b) where penalties may only be imposed</w:t>
      </w:r>
      <w:r w:rsidRPr="00A66FC6">
        <w:rPr>
          <w:sz w:val="20"/>
          <w:szCs w:val="20"/>
        </w:rPr>
        <w:t xml:space="preserve"> </w:t>
      </w:r>
      <w:r w:rsidRPr="00B32555">
        <w:rPr>
          <w:sz w:val="20"/>
          <w:szCs w:val="20"/>
        </w:rPr>
        <w:t>“</w:t>
      </w:r>
      <w:r w:rsidRPr="00B32555">
        <w:rPr>
          <w:color w:val="000000"/>
          <w:sz w:val="20"/>
          <w:szCs w:val="20"/>
        </w:rPr>
        <w:t>if the conduct is substantially a repeat by the same</w:t>
      </w:r>
      <w:r>
        <w:rPr>
          <w:color w:val="000000"/>
          <w:sz w:val="20"/>
          <w:szCs w:val="20"/>
        </w:rPr>
        <w:t xml:space="preserve"> </w:t>
      </w:r>
      <w:r w:rsidRPr="00B32555">
        <w:rPr>
          <w:iCs/>
          <w:color w:val="000000"/>
          <w:sz w:val="20"/>
          <w:szCs w:val="20"/>
        </w:rPr>
        <w:t>firm</w:t>
      </w:r>
      <w:r>
        <w:rPr>
          <w:iCs/>
          <w:color w:val="000000"/>
          <w:sz w:val="20"/>
          <w:szCs w:val="20"/>
        </w:rPr>
        <w:t xml:space="preserve"> </w:t>
      </w:r>
      <w:r w:rsidRPr="00B32555">
        <w:rPr>
          <w:color w:val="000000"/>
          <w:sz w:val="20"/>
          <w:szCs w:val="20"/>
        </w:rPr>
        <w:t>of conduct previously found by the Competition Tribunal to be a</w:t>
      </w:r>
      <w:r>
        <w:rPr>
          <w:color w:val="000000"/>
          <w:sz w:val="20"/>
          <w:szCs w:val="20"/>
        </w:rPr>
        <w:t xml:space="preserve"> </w:t>
      </w:r>
      <w:r w:rsidRPr="00B32555">
        <w:rPr>
          <w:iCs/>
          <w:color w:val="000000"/>
          <w:sz w:val="20"/>
          <w:szCs w:val="20"/>
        </w:rPr>
        <w:t>prohibited practice</w:t>
      </w:r>
      <w:r w:rsidRPr="00B32555">
        <w:rPr>
          <w:color w:val="000000"/>
          <w:sz w:val="20"/>
          <w:szCs w:val="20"/>
        </w:rPr>
        <w:t>”</w:t>
      </w:r>
      <w:r>
        <w:rPr>
          <w:color w:val="000000"/>
          <w:sz w:val="20"/>
          <w:szCs w:val="20"/>
        </w:rPr>
        <w:t>.</w:t>
      </w:r>
    </w:p>
  </w:footnote>
  <w:footnote w:id="35">
    <w:p w:rsidR="006970A9" w:rsidRPr="0014448A" w:rsidRDefault="006970A9" w:rsidP="00B51DFB">
      <w:pPr>
        <w:pStyle w:val="FootnoteText"/>
        <w:rPr>
          <w:lang w:val="en-US"/>
        </w:rPr>
      </w:pPr>
      <w:r>
        <w:rPr>
          <w:rStyle w:val="FootnoteReference"/>
        </w:rPr>
        <w:footnoteRef/>
      </w:r>
      <w:r>
        <w:t xml:space="preserve"> See Competition Amendment Act 1 of 2009 (Amendment Act).</w:t>
      </w:r>
    </w:p>
  </w:footnote>
  <w:footnote w:id="36">
    <w:p w:rsidR="006970A9" w:rsidRDefault="006970A9">
      <w:pPr>
        <w:pStyle w:val="FootnoteText"/>
      </w:pPr>
      <w:r>
        <w:rPr>
          <w:rStyle w:val="FootnoteReference"/>
        </w:rPr>
        <w:footnoteRef/>
      </w:r>
      <w:r>
        <w:t xml:space="preserve"> Id. P</w:t>
      </w:r>
      <w:r w:rsidRPr="00841F2D">
        <w:rPr>
          <w:noProof/>
          <w:szCs w:val="26"/>
        </w:rPr>
        <w:t xml:space="preserve">aragraph (c) of subsection (1) </w:t>
      </w:r>
      <w:r>
        <w:rPr>
          <w:noProof/>
          <w:szCs w:val="26"/>
        </w:rPr>
        <w:t xml:space="preserve">of the Competition Act </w:t>
      </w:r>
      <w:r w:rsidRPr="00841F2D">
        <w:rPr>
          <w:noProof/>
          <w:szCs w:val="26"/>
        </w:rPr>
        <w:t xml:space="preserve">currently reads: “[t]he Commission is responsible </w:t>
      </w:r>
      <w:r w:rsidRPr="00772A11">
        <w:rPr>
          <w:noProof/>
          <w:szCs w:val="26"/>
        </w:rPr>
        <w:t>to</w:t>
      </w:r>
      <w:r w:rsidRPr="00841F2D">
        <w:rPr>
          <w:noProof/>
          <w:szCs w:val="26"/>
        </w:rPr>
        <w:t xml:space="preserve"> </w:t>
      </w:r>
      <w:r>
        <w:rPr>
          <w:noProof/>
          <w:szCs w:val="26"/>
        </w:rPr>
        <w:t xml:space="preserve">. . . </w:t>
      </w:r>
      <w:r w:rsidRPr="00841F2D">
        <w:rPr>
          <w:noProof/>
          <w:szCs w:val="26"/>
        </w:rPr>
        <w:t xml:space="preserve"> </w:t>
      </w:r>
      <w:r w:rsidRPr="00FC6147">
        <w:rPr>
          <w:noProof/>
          <w:szCs w:val="26"/>
        </w:rPr>
        <w:t>investigate</w:t>
      </w:r>
      <w:r w:rsidRPr="00841F2D">
        <w:rPr>
          <w:noProof/>
          <w:szCs w:val="26"/>
        </w:rPr>
        <w:t xml:space="preserve"> and evaluate alleged contraventions of Chapter 2</w:t>
      </w:r>
      <w:r>
        <w:rPr>
          <w:noProof/>
          <w:szCs w:val="26"/>
        </w:rPr>
        <w:t>.</w:t>
      </w:r>
      <w:r w:rsidRPr="00841F2D">
        <w:rPr>
          <w:noProof/>
          <w:szCs w:val="26"/>
        </w:rPr>
        <w:t>”</w:t>
      </w:r>
      <w:r>
        <w:rPr>
          <w:noProof/>
          <w:szCs w:val="26"/>
        </w:rPr>
        <w:t>It</w:t>
      </w:r>
      <w:r w:rsidRPr="00841F2D">
        <w:rPr>
          <w:noProof/>
          <w:szCs w:val="26"/>
        </w:rPr>
        <w:t xml:space="preserve"> is due to be substituted by section 5(a) of </w:t>
      </w:r>
      <w:r>
        <w:rPr>
          <w:noProof/>
          <w:szCs w:val="26"/>
        </w:rPr>
        <w:t>the Amendment Act</w:t>
      </w:r>
      <w:r w:rsidRPr="00841F2D">
        <w:rPr>
          <w:noProof/>
          <w:szCs w:val="26"/>
        </w:rPr>
        <w:t xml:space="preserve"> to refer to </w:t>
      </w:r>
      <w:r w:rsidRPr="00B32555">
        <w:rPr>
          <w:noProof/>
          <w:szCs w:val="26"/>
        </w:rPr>
        <w:t xml:space="preserve">“Chapter 2 or 3”.  </w:t>
      </w:r>
      <w:r>
        <w:rPr>
          <w:noProof/>
          <w:szCs w:val="26"/>
        </w:rPr>
        <w:t xml:space="preserve">The </w:t>
      </w:r>
      <w:r w:rsidRPr="00FF3CBA">
        <w:rPr>
          <w:noProof/>
          <w:szCs w:val="26"/>
        </w:rPr>
        <w:t>Ame</w:t>
      </w:r>
      <w:r w:rsidRPr="00D438A4">
        <w:rPr>
          <w:noProof/>
          <w:szCs w:val="26"/>
        </w:rPr>
        <w:t xml:space="preserve">ndment </w:t>
      </w:r>
      <w:r w:rsidRPr="00841F2D">
        <w:rPr>
          <w:noProof/>
          <w:szCs w:val="26"/>
        </w:rPr>
        <w:t>Act</w:t>
      </w:r>
      <w:r w:rsidRPr="00513FA8">
        <w:rPr>
          <w:noProof/>
          <w:szCs w:val="26"/>
        </w:rPr>
        <w:t xml:space="preserve"> </w:t>
      </w:r>
      <w:r w:rsidRPr="00841F2D">
        <w:rPr>
          <w:noProof/>
          <w:szCs w:val="26"/>
        </w:rPr>
        <w:t>will</w:t>
      </w:r>
      <w:r w:rsidRPr="00FF3CBA">
        <w:rPr>
          <w:noProof/>
          <w:szCs w:val="26"/>
        </w:rPr>
        <w:t xml:space="preserve"> be put into operation by proclamation</w:t>
      </w:r>
      <w:r>
        <w:rPr>
          <w:noProof/>
          <w:szCs w:val="26"/>
        </w:rPr>
        <w:t>.</w:t>
      </w:r>
    </w:p>
  </w:footnote>
  <w:footnote w:id="37">
    <w:p w:rsidR="006970A9" w:rsidRPr="00DA4784" w:rsidRDefault="006970A9" w:rsidP="00B06D2A">
      <w:pPr>
        <w:pStyle w:val="QUOTEINFOOTNOTE"/>
        <w:ind w:left="0"/>
        <w:rPr>
          <w:lang w:val="en-US"/>
        </w:rPr>
      </w:pPr>
      <w:r>
        <w:rPr>
          <w:rStyle w:val="FootnoteReference"/>
        </w:rPr>
        <w:footnoteRef/>
      </w:r>
      <w:r>
        <w:t xml:space="preserve"> </w:t>
      </w:r>
      <w:r w:rsidRPr="00766510">
        <w:rPr>
          <w:i/>
        </w:rPr>
        <w:t xml:space="preserve">National Education Health &amp; Allied Workers Union (NEHAWU) v University of Cape Town </w:t>
      </w:r>
      <w:r w:rsidRPr="00AC37FE">
        <w:t>[2002] ZACC 27; 2003 (3) SA 1 (CC); 2003 (2) BCLR 154</w:t>
      </w:r>
      <w:r>
        <w:t xml:space="preserve"> (CC) (</w:t>
      </w:r>
      <w:r w:rsidRPr="00766510">
        <w:rPr>
          <w:i/>
        </w:rPr>
        <w:t>NEHAWU</w:t>
      </w:r>
      <w:r>
        <w:t xml:space="preserve">) at para 66. </w:t>
      </w:r>
    </w:p>
  </w:footnote>
  <w:footnote w:id="38">
    <w:p w:rsidR="006970A9" w:rsidRDefault="006970A9" w:rsidP="00B32555">
      <w:pPr>
        <w:pStyle w:val="QUOTEINFOOTNOTE"/>
        <w:ind w:left="0"/>
      </w:pPr>
      <w:r>
        <w:rPr>
          <w:rStyle w:val="FootnoteReference"/>
        </w:rPr>
        <w:footnoteRef/>
      </w:r>
      <w:r>
        <w:t xml:space="preserve"> Sutherland, </w:t>
      </w:r>
      <w:r w:rsidRPr="00373B6C">
        <w:rPr>
          <w:i/>
        </w:rPr>
        <w:t>Competition Law of South Africa</w:t>
      </w:r>
      <w:r>
        <w:t xml:space="preserve">, Issue 20, 10-23.  In Issue 18, at paras 11.3.5.1, he expressed the similar view that </w:t>
      </w:r>
      <w:r w:rsidRPr="000C6B15">
        <w:t>section 13B</w:t>
      </w:r>
      <w:r>
        <w:t xml:space="preserve"> “</w:t>
      </w:r>
      <w:r w:rsidRPr="000C6B15">
        <w:t xml:space="preserve">would seem to include the investigation of whether a notifiable merger has </w:t>
      </w:r>
      <w:r w:rsidRPr="005D7058">
        <w:rPr>
          <w:noProof/>
        </w:rPr>
        <w:t>been implemented</w:t>
      </w:r>
      <w:r w:rsidRPr="000C6B15">
        <w:t xml:space="preserve"> without approval, and whether a merger as implemented complies with the conditions for merger approval</w:t>
      </w:r>
      <w:r>
        <w:t>”</w:t>
      </w:r>
      <w:r w:rsidRPr="000C6B15">
        <w:t>.</w:t>
      </w:r>
    </w:p>
  </w:footnote>
  <w:footnote w:id="39">
    <w:p w:rsidR="006970A9" w:rsidRPr="00F7770D" w:rsidRDefault="006970A9" w:rsidP="00B32555">
      <w:pPr>
        <w:pStyle w:val="FootnoteText1"/>
        <w:rPr>
          <w:lang w:val="en-US"/>
        </w:rPr>
      </w:pPr>
      <w:r w:rsidRPr="00F7770D">
        <w:rPr>
          <w:rStyle w:val="FootnoteReference"/>
          <w:rFonts w:cs="Arial"/>
          <w:szCs w:val="20"/>
        </w:rPr>
        <w:footnoteRef/>
      </w:r>
      <w:r w:rsidRPr="00F7770D">
        <w:t xml:space="preserve"> </w:t>
      </w:r>
      <w:r w:rsidRPr="003B6393">
        <w:t xml:space="preserve">Above n </w:t>
      </w:r>
      <w:r>
        <w:fldChar w:fldCharType="begin"/>
      </w:r>
      <w:r>
        <w:instrText xml:space="preserve"> NOTEREF _Ref525652005 \h </w:instrText>
      </w:r>
      <w:r>
        <w:fldChar w:fldCharType="separate"/>
      </w:r>
      <w:r>
        <w:t>28</w:t>
      </w:r>
      <w:r>
        <w:fldChar w:fldCharType="end"/>
      </w:r>
      <w:r w:rsidRPr="003B6393">
        <w:t xml:space="preserve"> at</w:t>
      </w:r>
      <w:r w:rsidRPr="003B6393">
        <w:rPr>
          <w:lang w:val="en-US"/>
        </w:rPr>
        <w:t xml:space="preserve"> para 7.</w:t>
      </w:r>
    </w:p>
  </w:footnote>
  <w:footnote w:id="40">
    <w:p w:rsidR="006970A9" w:rsidRDefault="006970A9" w:rsidP="00B32555">
      <w:pPr>
        <w:pStyle w:val="FootnoteText1"/>
      </w:pPr>
      <w:r>
        <w:rPr>
          <w:rStyle w:val="FootnoteReference"/>
        </w:rPr>
        <w:footnoteRef/>
      </w:r>
      <w:r>
        <w:t xml:space="preserve"> </w:t>
      </w:r>
      <w:r w:rsidRPr="00B32555">
        <w:rPr>
          <w:i/>
          <w:lang w:val="en-US"/>
        </w:rPr>
        <w:t xml:space="preserve">Bulmer SA (Pty) Ltd </w:t>
      </w:r>
      <w:r>
        <w:rPr>
          <w:i/>
          <w:lang w:val="en-US"/>
        </w:rPr>
        <w:t>and</w:t>
      </w:r>
      <w:r w:rsidRPr="00B32555">
        <w:rPr>
          <w:i/>
          <w:lang w:val="en-US"/>
        </w:rPr>
        <w:t xml:space="preserve"> Seagram Africa (Pty) Ltd / Distillers Corporation (SA) Ltd, Stellenbosch Farmers Winery Group (Pty) Ltd </w:t>
      </w:r>
      <w:r>
        <w:rPr>
          <w:i/>
          <w:lang w:val="en-US"/>
        </w:rPr>
        <w:t>and</w:t>
      </w:r>
      <w:r w:rsidRPr="00B32555">
        <w:rPr>
          <w:i/>
          <w:lang w:val="en-US"/>
        </w:rPr>
        <w:t xml:space="preserve"> The Competition Commission</w:t>
      </w:r>
      <w:r w:rsidRPr="00F7770D">
        <w:rPr>
          <w:lang w:val="en-US"/>
        </w:rPr>
        <w:t xml:space="preserve"> </w:t>
      </w:r>
      <w:r w:rsidRPr="00F7770D">
        <w:rPr>
          <w:bCs/>
          <w:lang w:val="en-US"/>
        </w:rPr>
        <w:t>[2001–2002] CPLR 36 (CAC)</w:t>
      </w:r>
      <w:r>
        <w:rPr>
          <w:bCs/>
          <w:lang w:val="en-US"/>
        </w:rPr>
        <w:t xml:space="preserve"> (</w:t>
      </w:r>
      <w:r w:rsidRPr="009B611C">
        <w:rPr>
          <w:bCs/>
          <w:i/>
          <w:lang w:val="en-US"/>
        </w:rPr>
        <w:t>Bulmer</w:t>
      </w:r>
      <w:r>
        <w:rPr>
          <w:bCs/>
          <w:lang w:val="en-US"/>
        </w:rPr>
        <w:t>)</w:t>
      </w:r>
      <w:r>
        <w:rPr>
          <w:lang w:val="en-US"/>
        </w:rPr>
        <w:t xml:space="preserve"> </w:t>
      </w:r>
      <w:r w:rsidRPr="00F7770D">
        <w:rPr>
          <w:lang w:val="en-US"/>
        </w:rPr>
        <w:t xml:space="preserve">at </w:t>
      </w:r>
      <w:r>
        <w:rPr>
          <w:lang w:val="en-US"/>
        </w:rPr>
        <w:t>357I-358C.</w:t>
      </w:r>
    </w:p>
  </w:footnote>
  <w:footnote w:id="41">
    <w:p w:rsidR="006970A9" w:rsidRDefault="006970A9" w:rsidP="007356E5">
      <w:pPr>
        <w:pStyle w:val="FootnoteText1"/>
      </w:pPr>
      <w:r>
        <w:rPr>
          <w:rStyle w:val="FootnoteReference"/>
        </w:rPr>
        <w:footnoteRef/>
      </w:r>
      <w:r>
        <w:t xml:space="preserve"> </w:t>
      </w:r>
      <w:r w:rsidRPr="003A7CE2">
        <w:t xml:space="preserve">Section 49A </w:t>
      </w:r>
      <w:r w:rsidRPr="003A7CE2">
        <w:rPr>
          <w:noProof/>
        </w:rPr>
        <w:t>begins with</w:t>
      </w:r>
      <w:r w:rsidRPr="003A7CE2">
        <w:t xml:space="preserve"> the words “[a]t any time during </w:t>
      </w:r>
      <w:r w:rsidRPr="003A7CE2">
        <w:rPr>
          <w:noProof/>
        </w:rPr>
        <w:t>an</w:t>
      </w:r>
      <w:r w:rsidRPr="003A7CE2">
        <w:t xml:space="preserve"> investigation </w:t>
      </w:r>
      <w:r w:rsidRPr="00030F4D">
        <w:rPr>
          <w:noProof/>
        </w:rPr>
        <w:t>in terms of</w:t>
      </w:r>
      <w:r w:rsidRPr="003A7CE2">
        <w:t xml:space="preserve"> this Act, the Commission may summon any person”. </w:t>
      </w:r>
      <w:r>
        <w:t xml:space="preserve"> </w:t>
      </w:r>
      <w:r w:rsidRPr="003A7CE2">
        <w:t xml:space="preserve">These opening words make it </w:t>
      </w:r>
      <w:r w:rsidRPr="00030F4D">
        <w:rPr>
          <w:noProof/>
        </w:rPr>
        <w:t>plain</w:t>
      </w:r>
      <w:r w:rsidRPr="003A7CE2">
        <w:t xml:space="preserve"> that the Commission may invoke these powers during </w:t>
      </w:r>
      <w:r w:rsidRPr="00030F4D">
        <w:rPr>
          <w:noProof/>
        </w:rPr>
        <w:t>any</w:t>
      </w:r>
      <w:r w:rsidRPr="006A5734">
        <w:t xml:space="preserve"> investigation </w:t>
      </w:r>
      <w:r w:rsidRPr="00030F4D">
        <w:rPr>
          <w:noProof/>
        </w:rPr>
        <w:t>in terms of</w:t>
      </w:r>
      <w:r w:rsidRPr="006A5734">
        <w:t xml:space="preserve"> the Act.</w:t>
      </w:r>
      <w:r>
        <w:t xml:space="preserve">  </w:t>
      </w:r>
      <w:r w:rsidRPr="00030F4D">
        <w:rPr>
          <w:noProof/>
        </w:rPr>
        <w:t>This</w:t>
      </w:r>
      <w:r>
        <w:t xml:space="preserve"> means that section 49 may be used by the Commission when investigating anything under the Act, including </w:t>
      </w:r>
      <w:r w:rsidRPr="003A7CE2">
        <w:t>an alleged prohibited practice under Chapter</w:t>
      </w:r>
      <w:r>
        <w:t> </w:t>
      </w:r>
      <w:r w:rsidRPr="003A7CE2">
        <w:t>2 (for example price fixing or abuse of dominance) or a merger or a potential merger under Chapter 3</w:t>
      </w:r>
      <w:r>
        <w:t>.</w:t>
      </w:r>
    </w:p>
  </w:footnote>
  <w:footnote w:id="42">
    <w:p w:rsidR="006970A9" w:rsidRDefault="006970A9">
      <w:pPr>
        <w:pStyle w:val="FootnoteText"/>
      </w:pPr>
      <w:r>
        <w:rPr>
          <w:rStyle w:val="FootnoteReference"/>
        </w:rPr>
        <w:footnoteRef/>
      </w:r>
      <w:r>
        <w:t xml:space="preserve"> </w:t>
      </w:r>
      <w:r w:rsidRPr="00467CD9">
        <w:rPr>
          <w:i/>
        </w:rPr>
        <w:t>Bulmer</w:t>
      </w:r>
      <w:r w:rsidRPr="0081518C">
        <w:t xml:space="preserve"> above n </w:t>
      </w:r>
      <w:r>
        <w:fldChar w:fldCharType="begin"/>
      </w:r>
      <w:r>
        <w:instrText xml:space="preserve"> NOTEREF _Ref525655503 \h </w:instrText>
      </w:r>
      <w:r>
        <w:fldChar w:fldCharType="separate"/>
      </w:r>
      <w:r>
        <w:t>40</w:t>
      </w:r>
      <w:r>
        <w:fldChar w:fldCharType="end"/>
      </w:r>
      <w:r>
        <w:t xml:space="preserve"> at 357J-3</w:t>
      </w:r>
      <w:r w:rsidRPr="0081518C">
        <w:t>58</w:t>
      </w:r>
      <w:r>
        <w:t>C</w:t>
      </w:r>
      <w:r w:rsidRPr="0081518C">
        <w:t>.</w:t>
      </w:r>
    </w:p>
  </w:footnote>
  <w:footnote w:id="43">
    <w:p w:rsidR="006970A9" w:rsidRPr="009B611C" w:rsidRDefault="006970A9" w:rsidP="009B611C">
      <w:pPr>
        <w:pStyle w:val="FootnoteText1"/>
      </w:pPr>
      <w:r w:rsidRPr="009B611C">
        <w:rPr>
          <w:vertAlign w:val="superscript"/>
        </w:rPr>
        <w:footnoteRef/>
      </w:r>
      <w:r w:rsidRPr="009B611C">
        <w:t xml:space="preserve"> </w:t>
      </w:r>
      <w:r w:rsidRPr="009B611C">
        <w:rPr>
          <w:i/>
        </w:rPr>
        <w:t xml:space="preserve">Competition Commission v </w:t>
      </w:r>
      <w:proofErr w:type="spellStart"/>
      <w:r w:rsidRPr="009B611C">
        <w:rPr>
          <w:i/>
        </w:rPr>
        <w:t>Tiso</w:t>
      </w:r>
      <w:proofErr w:type="spellEnd"/>
      <w:r w:rsidRPr="009B611C">
        <w:rPr>
          <w:i/>
        </w:rPr>
        <w:t xml:space="preserve"> Consortium</w:t>
      </w:r>
      <w:r w:rsidRPr="009B611C">
        <w:t xml:space="preserve"> [2004] 2 CPLR 354 (CT) at para 12. </w:t>
      </w:r>
    </w:p>
  </w:footnote>
  <w:footnote w:id="44">
    <w:p w:rsidR="006970A9" w:rsidRDefault="006970A9" w:rsidP="009B611C">
      <w:pPr>
        <w:pStyle w:val="FootnoteText1"/>
      </w:pPr>
      <w:r w:rsidRPr="009B611C">
        <w:rPr>
          <w:vertAlign w:val="superscript"/>
        </w:rPr>
        <w:footnoteRef/>
      </w:r>
      <w:r>
        <w:t xml:space="preserve"> </w:t>
      </w:r>
      <w:proofErr w:type="spellStart"/>
      <w:r>
        <w:t>Legh</w:t>
      </w:r>
      <w:proofErr w:type="spellEnd"/>
      <w:r>
        <w:t xml:space="preserve"> </w:t>
      </w:r>
      <w:r w:rsidRPr="00B32555">
        <w:t>“</w:t>
      </w:r>
      <w:r w:rsidRPr="009B611C">
        <w:rPr>
          <w:i/>
        </w:rPr>
        <w:t>Mergers and Merger Control</w:t>
      </w:r>
      <w:r w:rsidRPr="00B32555">
        <w:t xml:space="preserve">” </w:t>
      </w:r>
      <w:r>
        <w:t>Competition Law, ed. Martin Brassy et al (2016) at 259.</w:t>
      </w:r>
    </w:p>
  </w:footnote>
  <w:footnote w:id="45">
    <w:p w:rsidR="006970A9" w:rsidRPr="00F7770D" w:rsidRDefault="006970A9" w:rsidP="00B32555">
      <w:pPr>
        <w:pStyle w:val="FootnoteText"/>
        <w:rPr>
          <w:rFonts w:cs="Arial"/>
          <w:lang w:val="en-US"/>
        </w:rPr>
      </w:pPr>
      <w:r w:rsidRPr="00F7770D">
        <w:rPr>
          <w:rStyle w:val="FootnoteReference"/>
          <w:rFonts w:cs="Arial"/>
        </w:rPr>
        <w:footnoteRef/>
      </w:r>
      <w:r w:rsidRPr="00F7770D">
        <w:rPr>
          <w:rFonts w:cs="Arial"/>
        </w:rPr>
        <w:t xml:space="preserve"> See, for example, </w:t>
      </w:r>
      <w:proofErr w:type="spellStart"/>
      <w:r w:rsidRPr="00F7770D">
        <w:rPr>
          <w:rFonts w:cs="Arial"/>
          <w:i/>
        </w:rPr>
        <w:t>Fose</w:t>
      </w:r>
      <w:proofErr w:type="spellEnd"/>
      <w:r>
        <w:rPr>
          <w:rFonts w:cs="Arial"/>
          <w:i/>
        </w:rPr>
        <w:t xml:space="preserve"> v Minister of Safety and Security </w:t>
      </w:r>
      <w:r>
        <w:rPr>
          <w:rFonts w:cs="Arial"/>
        </w:rPr>
        <w:t>[1997] ZACC 6;</w:t>
      </w:r>
      <w:r w:rsidRPr="00F7770D">
        <w:rPr>
          <w:rFonts w:cs="Arial"/>
          <w:i/>
        </w:rPr>
        <w:t xml:space="preserve"> </w:t>
      </w:r>
      <w:r>
        <w:rPr>
          <w:rFonts w:cs="Arial"/>
        </w:rPr>
        <w:t>1997 (3) SA 786 (CC); 1997 (7) BCLR 851 (CC)</w:t>
      </w:r>
      <w:r>
        <w:rPr>
          <w:rFonts w:cs="Arial"/>
          <w:i/>
        </w:rPr>
        <w:t xml:space="preserve"> </w:t>
      </w:r>
      <w:r w:rsidRPr="00F7770D">
        <w:rPr>
          <w:rFonts w:cs="Arial"/>
        </w:rPr>
        <w:t xml:space="preserve">at para 69, in the context of remedies for the infringement of rights contained in the Bill of Rights. </w:t>
      </w:r>
      <w:r>
        <w:rPr>
          <w:rFonts w:cs="Arial"/>
        </w:rPr>
        <w:t xml:space="preserve"> See also </w:t>
      </w:r>
      <w:proofErr w:type="spellStart"/>
      <w:r w:rsidRPr="008C1F3A">
        <w:rPr>
          <w:i/>
        </w:rPr>
        <w:t>Mvumvu</w:t>
      </w:r>
      <w:proofErr w:type="spellEnd"/>
      <w:r w:rsidRPr="008C1F3A">
        <w:rPr>
          <w:i/>
        </w:rPr>
        <w:t xml:space="preserve"> v Minister for Transport</w:t>
      </w:r>
      <w:r>
        <w:t xml:space="preserve"> </w:t>
      </w:r>
      <w:r w:rsidRPr="0094768E">
        <w:t>[201</w:t>
      </w:r>
      <w:r>
        <w:t>1] ZACC 1; 2011 (2) SA 473 (CC)</w:t>
      </w:r>
      <w:r w:rsidRPr="0094768E">
        <w:t>; 2011 (5) BCLR 488 (CC)</w:t>
      </w:r>
      <w:r>
        <w:t xml:space="preserve"> at para 48; </w:t>
      </w:r>
      <w:proofErr w:type="spellStart"/>
      <w:r w:rsidRPr="008C1F3A">
        <w:rPr>
          <w:i/>
        </w:rPr>
        <w:t>Nyathi</w:t>
      </w:r>
      <w:proofErr w:type="spellEnd"/>
      <w:r w:rsidRPr="008C1F3A">
        <w:rPr>
          <w:i/>
        </w:rPr>
        <w:t xml:space="preserve"> v MEC for Department of Health, Gauteng</w:t>
      </w:r>
      <w:r>
        <w:t xml:space="preserve"> </w:t>
      </w:r>
      <w:r w:rsidRPr="0094768E">
        <w:t>[2008] ZACC 8; 2008 (5) SA 94 (CC); 2008 (9) BCLR 865 (CC)</w:t>
      </w:r>
      <w:r>
        <w:t xml:space="preserve"> at para 14 and </w:t>
      </w:r>
      <w:r w:rsidRPr="00F53F98">
        <w:rPr>
          <w:i/>
        </w:rPr>
        <w:t>Minister of</w:t>
      </w:r>
      <w:r>
        <w:t xml:space="preserve"> </w:t>
      </w:r>
      <w:r w:rsidRPr="008C1F3A">
        <w:rPr>
          <w:i/>
        </w:rPr>
        <w:t>Home Affairs v NICRO</w:t>
      </w:r>
      <w:r>
        <w:t xml:space="preserve"> </w:t>
      </w:r>
      <w:r w:rsidRPr="0094768E">
        <w:t>[2004] ZACC 10; 2005 (3) SA 280 (CC); 2004 (5) BCLR 445 (CC)</w:t>
      </w:r>
      <w:r>
        <w:t xml:space="preserve"> at para 74.</w:t>
      </w:r>
    </w:p>
  </w:footnote>
  <w:footnote w:id="46">
    <w:p w:rsidR="006970A9" w:rsidRPr="00D25A35" w:rsidRDefault="006970A9" w:rsidP="00B32555">
      <w:pPr>
        <w:pStyle w:val="FootnoteText"/>
        <w:rPr>
          <w:lang w:val="en-US"/>
        </w:rPr>
      </w:pPr>
      <w:r>
        <w:rPr>
          <w:rStyle w:val="FootnoteReference"/>
        </w:rPr>
        <w:footnoteRef/>
      </w:r>
      <w:r>
        <w:t xml:space="preserve"> </w:t>
      </w:r>
      <w:r w:rsidRPr="00D25A35">
        <w:rPr>
          <w:i/>
          <w:lang w:val="en-US"/>
        </w:rPr>
        <w:t xml:space="preserve">Firestone South Africa (Pty) Ltd v </w:t>
      </w:r>
      <w:proofErr w:type="spellStart"/>
      <w:r w:rsidRPr="00D25A35">
        <w:rPr>
          <w:i/>
          <w:lang w:val="en-US"/>
        </w:rPr>
        <w:t>Genticuro</w:t>
      </w:r>
      <w:proofErr w:type="spellEnd"/>
      <w:r w:rsidRPr="00D25A35">
        <w:rPr>
          <w:i/>
          <w:lang w:val="en-US"/>
        </w:rPr>
        <w:t xml:space="preserve"> AG</w:t>
      </w:r>
      <w:r>
        <w:rPr>
          <w:i/>
          <w:lang w:val="en-US"/>
        </w:rPr>
        <w:t xml:space="preserve"> </w:t>
      </w:r>
      <w:r w:rsidRPr="00D25A35">
        <w:rPr>
          <w:lang w:val="en-US"/>
        </w:rPr>
        <w:t>1977</w:t>
      </w:r>
      <w:r>
        <w:rPr>
          <w:lang w:val="en-US"/>
        </w:rPr>
        <w:t xml:space="preserve"> (4) SA 298 (A); [1977] 4 All SA 600 (A) (</w:t>
      </w:r>
      <w:r w:rsidRPr="00A52686">
        <w:rPr>
          <w:i/>
          <w:lang w:val="en-US"/>
        </w:rPr>
        <w:t>Firestone</w:t>
      </w:r>
      <w:r>
        <w:rPr>
          <w:lang w:val="en-US"/>
        </w:rPr>
        <w:t xml:space="preserve">) </w:t>
      </w:r>
      <w:r w:rsidRPr="009B611C">
        <w:rPr>
          <w:lang w:val="en-US"/>
        </w:rPr>
        <w:t xml:space="preserve">at </w:t>
      </w:r>
      <w:r>
        <w:rPr>
          <w:lang w:val="en-US"/>
        </w:rPr>
        <w:t>304D.</w:t>
      </w:r>
    </w:p>
  </w:footnote>
  <w:footnote w:id="47">
    <w:p w:rsidR="006970A9" w:rsidRPr="00F7770D" w:rsidRDefault="006970A9" w:rsidP="00791A2C">
      <w:pPr>
        <w:pStyle w:val="FootnoteText1"/>
      </w:pPr>
      <w:r w:rsidRPr="00F7770D">
        <w:rPr>
          <w:rStyle w:val="FootnoteReference"/>
          <w:rFonts w:cs="Arial"/>
        </w:rPr>
        <w:footnoteRef/>
      </w:r>
      <w:r w:rsidRPr="00F7770D">
        <w:t xml:space="preserve"> </w:t>
      </w:r>
      <w:r w:rsidRPr="00F7770D">
        <w:rPr>
          <w:i/>
        </w:rPr>
        <w:t>Eke v Parsons</w:t>
      </w:r>
      <w:r>
        <w:t xml:space="preserve"> </w:t>
      </w:r>
      <w:r w:rsidRPr="00F7770D">
        <w:t>[</w:t>
      </w:r>
      <w:r w:rsidRPr="0094768E">
        <w:t>2015] ZACC 30; 2016 (3) SA 37 (CC)</w:t>
      </w:r>
      <w:r>
        <w:t>;</w:t>
      </w:r>
      <w:r w:rsidRPr="00791A2C">
        <w:t xml:space="preserve"> </w:t>
      </w:r>
      <w:r>
        <w:t xml:space="preserve">2015 (11) BCLR 1319 (CC) at para 29.  See also </w:t>
      </w:r>
      <w:r>
        <w:rPr>
          <w:i/>
        </w:rPr>
        <w:t xml:space="preserve">Electoral Commission v </w:t>
      </w:r>
      <w:proofErr w:type="spellStart"/>
      <w:r>
        <w:rPr>
          <w:i/>
        </w:rPr>
        <w:t>Mhlope</w:t>
      </w:r>
      <w:proofErr w:type="spellEnd"/>
      <w:r>
        <w:rPr>
          <w:i/>
        </w:rPr>
        <w:t xml:space="preserve"> </w:t>
      </w:r>
      <w:r>
        <w:t xml:space="preserve">[2016] ZACC 15; </w:t>
      </w:r>
      <w:r w:rsidRPr="00D1522E">
        <w:t>2016 (5) SA 1 (CC)</w:t>
      </w:r>
      <w:r>
        <w:t>; 2016 (8) BCLR 987 (CC).</w:t>
      </w:r>
    </w:p>
  </w:footnote>
  <w:footnote w:id="48">
    <w:p w:rsidR="006970A9" w:rsidRPr="000B0111" w:rsidRDefault="006970A9" w:rsidP="00B32555">
      <w:pPr>
        <w:pStyle w:val="FootnoteText1"/>
        <w:rPr>
          <w:lang w:val="en-US"/>
        </w:rPr>
      </w:pPr>
      <w:r>
        <w:rPr>
          <w:rStyle w:val="FootnoteReference"/>
        </w:rPr>
        <w:footnoteRef/>
      </w:r>
      <w:r>
        <w:t xml:space="preserve"> </w:t>
      </w:r>
      <w:r w:rsidRPr="000B0111">
        <w:rPr>
          <w:i/>
        </w:rPr>
        <w:t>Firestone</w:t>
      </w:r>
      <w:r>
        <w:rPr>
          <w:i/>
        </w:rPr>
        <w:t xml:space="preserve"> </w:t>
      </w:r>
      <w:r w:rsidRPr="00503616">
        <w:t xml:space="preserve">above n </w:t>
      </w:r>
      <w:r>
        <w:fldChar w:fldCharType="begin"/>
      </w:r>
      <w:r>
        <w:instrText xml:space="preserve"> NOTEREF _Ref525131596 \h </w:instrText>
      </w:r>
      <w:r>
        <w:fldChar w:fldCharType="separate"/>
      </w:r>
      <w:r>
        <w:t>46</w:t>
      </w:r>
      <w:r>
        <w:fldChar w:fldCharType="end"/>
      </w:r>
      <w:r>
        <w:rPr>
          <w:i/>
        </w:rPr>
        <w:t xml:space="preserve"> </w:t>
      </w:r>
      <w:r>
        <w:t>at 304E-F.</w:t>
      </w:r>
    </w:p>
  </w:footnote>
  <w:footnote w:id="49">
    <w:p w:rsidR="006970A9" w:rsidRPr="00B62C83" w:rsidRDefault="006970A9" w:rsidP="00791A2C">
      <w:pPr>
        <w:pStyle w:val="FootnoteText"/>
        <w:rPr>
          <w:lang w:val="en-US"/>
        </w:rPr>
      </w:pPr>
      <w:r>
        <w:rPr>
          <w:rStyle w:val="FootnoteReference"/>
        </w:rPr>
        <w:footnoteRef/>
      </w:r>
      <w:r>
        <w:t xml:space="preserve"> See </w:t>
      </w:r>
      <w:r>
        <w:rPr>
          <w:i/>
        </w:rPr>
        <w:t xml:space="preserve">Ex Parte Women’s Legal Centre: In Re </w:t>
      </w:r>
      <w:proofErr w:type="spellStart"/>
      <w:r>
        <w:rPr>
          <w:i/>
        </w:rPr>
        <w:t>Moise</w:t>
      </w:r>
      <w:proofErr w:type="spellEnd"/>
      <w:r>
        <w:rPr>
          <w:i/>
        </w:rPr>
        <w:t xml:space="preserve"> v Greater Germiston Transitional Local Council </w:t>
      </w:r>
      <w:r w:rsidRPr="00441077">
        <w:t xml:space="preserve">[2001] ZACC 2; 2001 (4) SA </w:t>
      </w:r>
      <w:r w:rsidRPr="00AD431B">
        <w:t>1288</w:t>
      </w:r>
      <w:r>
        <w:t xml:space="preserve"> (CC)</w:t>
      </w:r>
      <w:r w:rsidRPr="00AD431B">
        <w:t>;</w:t>
      </w:r>
      <w:r w:rsidRPr="00441077">
        <w:t xml:space="preserve"> 2001 (8) BCLR 765 (CC)</w:t>
      </w:r>
      <w:r>
        <w:t xml:space="preserve"> at para 11.</w:t>
      </w:r>
    </w:p>
  </w:footnote>
  <w:footnote w:id="50">
    <w:p w:rsidR="006970A9" w:rsidRDefault="006970A9">
      <w:pPr>
        <w:pStyle w:val="FootnoteText"/>
      </w:pPr>
      <w:r>
        <w:rPr>
          <w:rStyle w:val="FootnoteReference"/>
        </w:rPr>
        <w:footnoteRef/>
      </w:r>
      <w:r>
        <w:t xml:space="preserve"> </w:t>
      </w:r>
      <w:r w:rsidRPr="002B5E93">
        <w:t xml:space="preserve">Competition Appeal Court judgment above n </w:t>
      </w:r>
      <w:r>
        <w:fldChar w:fldCharType="begin"/>
      </w:r>
      <w:r>
        <w:instrText xml:space="preserve"> NOTEREF _Ref523929770 \h </w:instrText>
      </w:r>
      <w:r>
        <w:fldChar w:fldCharType="separate"/>
      </w:r>
      <w:r>
        <w:t>7</w:t>
      </w:r>
      <w:r>
        <w:fldChar w:fldCharType="end"/>
      </w:r>
      <w:r w:rsidRPr="002B5E93">
        <w:t xml:space="preserve"> at para 110.</w:t>
      </w:r>
    </w:p>
  </w:footnote>
  <w:footnote w:id="51">
    <w:p w:rsidR="006970A9" w:rsidRDefault="006970A9">
      <w:pPr>
        <w:pStyle w:val="FootnoteText"/>
      </w:pPr>
      <w:r>
        <w:rPr>
          <w:rStyle w:val="FootnoteReference"/>
        </w:rPr>
        <w:footnoteRef/>
      </w:r>
      <w:r>
        <w:t xml:space="preserve"> Id.</w:t>
      </w:r>
    </w:p>
  </w:footnote>
  <w:footnote w:id="52">
    <w:p w:rsidR="006970A9" w:rsidRDefault="006970A9">
      <w:pPr>
        <w:pStyle w:val="FootnoteText"/>
      </w:pPr>
      <w:r>
        <w:rPr>
          <w:rStyle w:val="FootnoteReference"/>
        </w:rPr>
        <w:footnoteRef/>
      </w:r>
      <w:r>
        <w:t xml:space="preserve"> Id at paras 110-1.</w:t>
      </w:r>
    </w:p>
  </w:footnote>
  <w:footnote w:id="53">
    <w:p w:rsidR="006970A9" w:rsidRPr="001D6F8B" w:rsidRDefault="006970A9" w:rsidP="001D6F8B">
      <w:pPr>
        <w:pStyle w:val="FootnoteText1"/>
        <w:rPr>
          <w:highlight w:val="yellow"/>
        </w:rPr>
      </w:pPr>
      <w:r w:rsidRPr="00791A2C">
        <w:rPr>
          <w:rStyle w:val="FootnoteReference"/>
        </w:rPr>
        <w:footnoteRef/>
      </w:r>
      <w:r w:rsidRPr="003F67C2">
        <w:rPr>
          <w:vertAlign w:val="superscript"/>
        </w:rPr>
        <w:t xml:space="preserve"> </w:t>
      </w:r>
      <w:r w:rsidRPr="001D6F8B">
        <w:t xml:space="preserve">A key example of the disputed facts related to the issue of “encryption”, its timing, and the commercial relevance of the policy on encryption.  This dispute and the others identified by the Competition Appeal Court in the April 2017 </w:t>
      </w:r>
      <w:r>
        <w:t>order may require investigation</w:t>
      </w:r>
      <w:r w:rsidRPr="001D6F8B">
        <w:t xml:space="preserve"> if they are to in</w:t>
      </w:r>
      <w:r>
        <w:t>form the Commission’s evaluation</w:t>
      </w:r>
      <w:r w:rsidRPr="001D6F8B">
        <w:t xml:space="preserve"> and determination on wheth</w:t>
      </w:r>
      <w:r>
        <w:t xml:space="preserve">er the agreement constitutes a </w:t>
      </w:r>
      <w:r w:rsidRPr="001D6F8B">
        <w:t>notifiable merger.  These issue</w:t>
      </w:r>
      <w:r>
        <w:t>s</w:t>
      </w:r>
      <w:r w:rsidRPr="001D6F8B">
        <w:t xml:space="preserve"> are plainly relevant, but are unlikely to turn simply on documents provided by the SABC a</w:t>
      </w:r>
      <w:r>
        <w:t xml:space="preserve">nd </w:t>
      </w:r>
      <w:proofErr w:type="spellStart"/>
      <w:r>
        <w:t>MultiChoice</w:t>
      </w:r>
      <w:proofErr w:type="spellEnd"/>
      <w:r>
        <w:t>, but may require</w:t>
      </w:r>
      <w:r w:rsidRPr="001D6F8B">
        <w:t xml:space="preserve"> releva</w:t>
      </w:r>
      <w:r>
        <w:t>nt “information” as envisaged in</w:t>
      </w:r>
      <w:r w:rsidRPr="001D6F8B">
        <w:t xml:space="preserve"> paragraph 3 of the order.</w:t>
      </w:r>
    </w:p>
  </w:footnote>
  <w:footnote w:id="54">
    <w:p w:rsidR="006970A9" w:rsidRPr="00DE7ED8" w:rsidRDefault="006970A9" w:rsidP="001B32E5">
      <w:pPr>
        <w:pStyle w:val="FootnoteText"/>
        <w:rPr>
          <w:lang w:val="en-US"/>
        </w:rPr>
      </w:pPr>
      <w:r>
        <w:rPr>
          <w:rStyle w:val="FootnoteReference"/>
        </w:rPr>
        <w:footnoteRef/>
      </w:r>
      <w:r>
        <w:t xml:space="preserve"> </w:t>
      </w:r>
      <w:r>
        <w:rPr>
          <w:lang w:val="en-US"/>
        </w:rPr>
        <w:t>See sections 14(1) and 14</w:t>
      </w:r>
      <w:proofErr w:type="gramStart"/>
      <w:r>
        <w:rPr>
          <w:lang w:val="en-US"/>
        </w:rPr>
        <w:t>A(</w:t>
      </w:r>
      <w:proofErr w:type="gramEnd"/>
      <w:r>
        <w:rPr>
          <w:lang w:val="en-US"/>
        </w:rPr>
        <w:t>1) of the Competition Act respectively.</w:t>
      </w:r>
    </w:p>
  </w:footnote>
  <w:footnote w:id="55">
    <w:p w:rsidR="006970A9" w:rsidRDefault="006970A9">
      <w:pPr>
        <w:pStyle w:val="FootnoteText"/>
      </w:pPr>
      <w:r>
        <w:rPr>
          <w:rStyle w:val="FootnoteReference"/>
        </w:rPr>
        <w:footnoteRef/>
      </w:r>
      <w:r>
        <w:t xml:space="preserve"> Competition Appeal Court judgment above n </w:t>
      </w:r>
      <w:r>
        <w:fldChar w:fldCharType="begin"/>
      </w:r>
      <w:r>
        <w:instrText xml:space="preserve"> NOTEREF _Ref525210720 \h </w:instrText>
      </w:r>
      <w:r>
        <w:fldChar w:fldCharType="separate"/>
      </w:r>
      <w:r>
        <w:t>14</w:t>
      </w:r>
      <w:r>
        <w:fldChar w:fldCharType="end"/>
      </w:r>
      <w:r>
        <w:t>.</w:t>
      </w:r>
    </w:p>
  </w:footnote>
  <w:footnote w:id="56">
    <w:p w:rsidR="006970A9" w:rsidRDefault="006970A9" w:rsidP="00124818">
      <w:pPr>
        <w:pStyle w:val="FootnoteText"/>
      </w:pPr>
      <w:r>
        <w:rPr>
          <w:rStyle w:val="FootnoteReference"/>
        </w:rPr>
        <w:footnoteRef/>
      </w:r>
      <w:r>
        <w:t xml:space="preserve"> Rule 30 of the Rules of this Court provides:</w:t>
      </w:r>
    </w:p>
    <w:p w:rsidR="006970A9" w:rsidRPr="00081822" w:rsidRDefault="006970A9" w:rsidP="00766510">
      <w:pPr>
        <w:pStyle w:val="QUOTEINFOOTNOTE"/>
      </w:pPr>
      <w:r w:rsidRPr="000B6CC0">
        <w:t xml:space="preserve">“The following sections of the Supreme Court Act, 1959 (Act No. 59 of 1959), shall apply, </w:t>
      </w:r>
      <w:r w:rsidRPr="003A0030">
        <w:t xml:space="preserve">with such modifications as may be necessary, to proceedings of and before the Court as if </w:t>
      </w:r>
      <w:r w:rsidRPr="00754F03">
        <w:t xml:space="preserve">they </w:t>
      </w:r>
      <w:r>
        <w:t>were rules of their court.</w:t>
      </w:r>
    </w:p>
    <w:p w:rsidR="006970A9" w:rsidRPr="00081822" w:rsidRDefault="006970A9" w:rsidP="00766510">
      <w:pPr>
        <w:pStyle w:val="QUOTEINFOOTNOTE"/>
      </w:pPr>
      <w:r w:rsidRPr="00081822">
        <w:t>Section</w:t>
      </w:r>
      <w:r>
        <w:tab/>
      </w:r>
      <w:r>
        <w:tab/>
      </w:r>
      <w:r w:rsidRPr="00081822">
        <w:t xml:space="preserve">Subject </w:t>
      </w:r>
    </w:p>
    <w:p w:rsidR="006970A9" w:rsidRPr="00081822" w:rsidRDefault="006970A9" w:rsidP="00766510">
      <w:pPr>
        <w:pStyle w:val="QUOTEINFOOTNOTE"/>
      </w:pPr>
      <w:r w:rsidRPr="00081822">
        <w:t>19</w:t>
      </w:r>
      <w:r w:rsidRPr="00B32555">
        <w:rPr>
          <w:i/>
        </w:rPr>
        <w:t>bis</w:t>
      </w:r>
      <w:r w:rsidRPr="00081822">
        <w:tab/>
      </w:r>
      <w:r w:rsidRPr="00081822">
        <w:tab/>
        <w:t>Reference of particular matte</w:t>
      </w:r>
      <w:r>
        <w:t>rs for investigation by referee</w:t>
      </w:r>
    </w:p>
    <w:p w:rsidR="006970A9" w:rsidRPr="00F71E88" w:rsidRDefault="006970A9" w:rsidP="00766510">
      <w:pPr>
        <w:pStyle w:val="QUOTEINFOOTNOTE"/>
      </w:pPr>
      <w:r>
        <w:t>22</w:t>
      </w:r>
      <w:r w:rsidRPr="00F71E88">
        <w:tab/>
      </w:r>
      <w:r w:rsidRPr="00F71E88">
        <w:tab/>
        <w:t xml:space="preserve">Powers of </w:t>
      </w:r>
      <w:r>
        <w:t>the court on hearing of appeals</w:t>
      </w:r>
    </w:p>
    <w:p w:rsidR="006970A9" w:rsidRPr="0025197F" w:rsidRDefault="006970A9" w:rsidP="009B611C">
      <w:pPr>
        <w:pStyle w:val="QUOTEINFOOTNOTE"/>
        <w:ind w:left="2160" w:hanging="1440"/>
      </w:pPr>
      <w:r>
        <w:t>32</w:t>
      </w:r>
      <w:r>
        <w:tab/>
      </w:r>
      <w:r w:rsidRPr="0025197F">
        <w:t>Examinations by interrogatories of person</w:t>
      </w:r>
      <w:r>
        <w:t>s whose evidence is required in civil cases</w:t>
      </w:r>
    </w:p>
    <w:p w:rsidR="006970A9" w:rsidRPr="00897C27" w:rsidRDefault="006970A9" w:rsidP="00BF0D57">
      <w:pPr>
        <w:pStyle w:val="QUOTEINFOOTNOTE"/>
        <w:ind w:left="2160" w:hanging="1440"/>
      </w:pPr>
      <w:r w:rsidRPr="0025197F">
        <w:t>33</w:t>
      </w:r>
      <w:r w:rsidRPr="0025197F">
        <w:tab/>
      </w:r>
      <w:r w:rsidRPr="00C02A45">
        <w:t xml:space="preserve">Manner of dealing with commissions </w:t>
      </w:r>
      <w:proofErr w:type="spellStart"/>
      <w:r w:rsidRPr="004B5A54">
        <w:rPr>
          <w:i/>
        </w:rPr>
        <w:t>rogatoire</w:t>
      </w:r>
      <w:proofErr w:type="spellEnd"/>
      <w:r w:rsidRPr="003B6393">
        <w:t>,</w:t>
      </w:r>
      <w:r w:rsidRPr="00C02A45">
        <w:t xml:space="preserve"> letters of request and documents for service originating from foreig</w:t>
      </w:r>
      <w:r w:rsidRPr="007C697A">
        <w:t xml:space="preserve">n countries: Provided that </w:t>
      </w:r>
      <w:r>
        <w:t>t</w:t>
      </w:r>
      <w:r w:rsidRPr="007C697A">
        <w:t>his provision shall apply subject to the replacement of English or Afrikaans with the phrase “any official language</w:t>
      </w:r>
      <w:r w:rsidRPr="006E712E">
        <w:t>.”</w:t>
      </w:r>
    </w:p>
  </w:footnote>
  <w:footnote w:id="57">
    <w:p w:rsidR="006970A9" w:rsidRDefault="006970A9" w:rsidP="00124818">
      <w:pPr>
        <w:pStyle w:val="FootnoteText"/>
      </w:pPr>
      <w:r>
        <w:rPr>
          <w:rStyle w:val="FootnoteReference"/>
        </w:rPr>
        <w:footnoteRef/>
      </w:r>
      <w:r>
        <w:t xml:space="preserve"> Rule 31 of the Rules of this Court, which is headed “Documents lodged to canvass factual material”, provides:</w:t>
      </w:r>
    </w:p>
    <w:p w:rsidR="006970A9" w:rsidRDefault="006970A9" w:rsidP="009B611C">
      <w:pPr>
        <w:pStyle w:val="QUOTEINFOOTNOTE"/>
        <w:ind w:left="1440" w:hanging="720"/>
      </w:pPr>
      <w:r>
        <w:t>“(1)</w:t>
      </w:r>
      <w:r>
        <w:tab/>
        <w:t xml:space="preserve">Any party to any proceedings before the Court and </w:t>
      </w:r>
      <w:r w:rsidRPr="00B32555">
        <w:rPr>
          <w:i/>
        </w:rPr>
        <w:t>amicus curiae</w:t>
      </w:r>
      <w:r>
        <w:t xml:space="preserve"> properly admitted by the Court in any proceedings shall be entitled, in documents lodged with the Registrar in terms of these rules, to canvass factual material that is relevant to the determination of the issues before the Court and that does not specifically appear on the record: Provided that such facts—</w:t>
      </w:r>
    </w:p>
    <w:p w:rsidR="006970A9" w:rsidRDefault="006970A9" w:rsidP="009B611C">
      <w:pPr>
        <w:pStyle w:val="QUOTEINFOOTNOTE"/>
        <w:ind w:firstLine="720"/>
      </w:pPr>
      <w:r>
        <w:t>(a)</w:t>
      </w:r>
      <w:r>
        <w:tab/>
        <w:t>are common cause or otherwise incontrovertible; or</w:t>
      </w:r>
    </w:p>
    <w:p w:rsidR="006970A9" w:rsidRDefault="006970A9" w:rsidP="009B611C">
      <w:pPr>
        <w:pStyle w:val="QUOTEINFOOTNOTE"/>
        <w:ind w:left="2160" w:hanging="720"/>
      </w:pPr>
      <w:r>
        <w:t>(b)</w:t>
      </w:r>
      <w:r>
        <w:tab/>
        <w:t>are of an official, scientific, technical or statistical nature capable of easy verification.</w:t>
      </w:r>
    </w:p>
    <w:p w:rsidR="006970A9" w:rsidRDefault="006970A9" w:rsidP="001D6F8B">
      <w:pPr>
        <w:pStyle w:val="QUOTEINFOOTNOTE"/>
        <w:ind w:left="1440" w:hanging="720"/>
      </w:pPr>
      <w:r>
        <w:t>(2)</w:t>
      </w:r>
      <w:r>
        <w:tab/>
        <w:t>All other parties shall be entitled, within the time allowed by these rules for responding to such document, to admit, deny, controvert or elaborate upon such facts to the extent necessary and appropriate for a proper decision by the Court.”</w:t>
      </w:r>
    </w:p>
  </w:footnote>
  <w:footnote w:id="58">
    <w:p w:rsidR="006970A9" w:rsidRDefault="006970A9" w:rsidP="00EC4D5E">
      <w:pPr>
        <w:pStyle w:val="FootnoteText"/>
        <w:tabs>
          <w:tab w:val="left" w:pos="360"/>
          <w:tab w:val="left" w:pos="540"/>
        </w:tabs>
        <w:ind w:left="360" w:hanging="360"/>
      </w:pPr>
      <w:r w:rsidRPr="00CC2AB6">
        <w:rPr>
          <w:rStyle w:val="FootnoteReference"/>
        </w:rPr>
        <w:footnoteRef/>
      </w:r>
      <w:r>
        <w:t xml:space="preserve"> See also section 19 of the Superior Courts Act 10 of 2013, which is headed “Powers of court on hearing of appeals” and provides:</w:t>
      </w:r>
    </w:p>
    <w:p w:rsidR="006970A9" w:rsidRDefault="006970A9" w:rsidP="00C2602B">
      <w:pPr>
        <w:pStyle w:val="QUOTEINFOOTNOTE"/>
      </w:pPr>
      <w:r>
        <w:t>“The Supreme Court of Appeal or a Division exercising appeal jurisdiction may, in addition to any power as may speciﬁcally be provided for in any other law—</w:t>
      </w:r>
    </w:p>
    <w:p w:rsidR="006970A9" w:rsidRDefault="006970A9" w:rsidP="00766510">
      <w:pPr>
        <w:pStyle w:val="QUOTEINFOOTNOTE"/>
      </w:pPr>
      <w:r>
        <w:t>(a)</w:t>
      </w:r>
      <w:r>
        <w:tab/>
        <w:t>dispose of an appeal without the hearing of oral argument;</w:t>
      </w:r>
    </w:p>
    <w:p w:rsidR="006970A9" w:rsidRDefault="006970A9" w:rsidP="00766510">
      <w:pPr>
        <w:pStyle w:val="QUOTEINFOOTNOTE"/>
      </w:pPr>
      <w:r>
        <w:t>(b)</w:t>
      </w:r>
      <w:r>
        <w:tab/>
        <w:t xml:space="preserve">receive further evidence; </w:t>
      </w:r>
    </w:p>
    <w:p w:rsidR="006970A9" w:rsidRDefault="006970A9" w:rsidP="00C2602B">
      <w:pPr>
        <w:pStyle w:val="QUOTEINFOOTNOTE"/>
        <w:ind w:left="1440" w:hanging="720"/>
      </w:pPr>
      <w:r>
        <w:t>(c)</w:t>
      </w:r>
      <w:r>
        <w:tab/>
        <w:t>remit the case to the court of ﬁrst instance, or to the court whose decision is the subject of the appeal, for further hearing, with such instructions as regards the taking of further evidence or otherwise as the Supreme Court of Appeal or the Division deems necessary; or</w:t>
      </w:r>
    </w:p>
    <w:p w:rsidR="006970A9" w:rsidRDefault="006970A9" w:rsidP="00C2602B">
      <w:pPr>
        <w:pStyle w:val="QUOTEINFOOTNOTE"/>
        <w:ind w:left="1440" w:hanging="720"/>
      </w:pPr>
      <w:r>
        <w:t>(d)</w:t>
      </w:r>
      <w:r>
        <w:tab/>
        <w:t>conﬁrm, amend or set aside the decision which is the subject of the appeal and render any decision which the circumstances may require.”</w:t>
      </w:r>
    </w:p>
  </w:footnote>
  <w:footnote w:id="59">
    <w:p w:rsidR="006970A9" w:rsidRDefault="006970A9" w:rsidP="00791A2C">
      <w:pPr>
        <w:pStyle w:val="QUOTEINFOOTNOTE"/>
        <w:ind w:left="0"/>
      </w:pPr>
      <w:r w:rsidRPr="00CC2AB6">
        <w:rPr>
          <w:rStyle w:val="FootnoteReference"/>
        </w:rPr>
        <w:footnoteRef/>
      </w:r>
      <w:r>
        <w:t xml:space="preserve"> </w:t>
      </w:r>
      <w:r>
        <w:rPr>
          <w:i/>
        </w:rPr>
        <w:t xml:space="preserve">Rail </w:t>
      </w:r>
      <w:r w:rsidRPr="00574EA0">
        <w:rPr>
          <w:i/>
        </w:rPr>
        <w:t xml:space="preserve">Commuters’ Action Group v Transnet Limited t/a Metrorail </w:t>
      </w:r>
      <w:r>
        <w:t xml:space="preserve">[2004] </w:t>
      </w:r>
      <w:r w:rsidRPr="003A0030">
        <w:t>ZACC 20; 2005 (2) SA 359 (CC); 2005 (4) BCLR 301 (CC)</w:t>
      </w:r>
      <w:r>
        <w:t xml:space="preserve"> (</w:t>
      </w:r>
      <w:r>
        <w:rPr>
          <w:i/>
        </w:rPr>
        <w:t>Rail Commuters’</w:t>
      </w:r>
      <w:r>
        <w:t>).</w:t>
      </w:r>
    </w:p>
  </w:footnote>
  <w:footnote w:id="60">
    <w:p w:rsidR="006970A9" w:rsidRDefault="006970A9">
      <w:pPr>
        <w:pStyle w:val="FootnoteText"/>
      </w:pPr>
      <w:r>
        <w:rPr>
          <w:rStyle w:val="FootnoteReference"/>
        </w:rPr>
        <w:footnoteRef/>
      </w:r>
      <w:r>
        <w:t xml:space="preserve"> Id at para 41.</w:t>
      </w:r>
    </w:p>
  </w:footnote>
  <w:footnote w:id="61">
    <w:p w:rsidR="006970A9" w:rsidRDefault="006970A9" w:rsidP="00791A2C">
      <w:pPr>
        <w:pStyle w:val="FootnoteText"/>
      </w:pPr>
      <w:r>
        <w:rPr>
          <w:rStyle w:val="FootnoteReference"/>
        </w:rPr>
        <w:footnoteRef/>
      </w:r>
      <w:r>
        <w:t xml:space="preserve"> The hearing of the application for leave to appeal took place on 28 November 2017, and the application to adduce new evidence was made on 8 December 2017.</w:t>
      </w:r>
    </w:p>
  </w:footnote>
  <w:footnote w:id="62">
    <w:p w:rsidR="006970A9" w:rsidRDefault="006970A9" w:rsidP="00F26293">
      <w:pPr>
        <w:pStyle w:val="FootnoteText"/>
        <w:tabs>
          <w:tab w:val="left" w:pos="360"/>
          <w:tab w:val="left" w:pos="540"/>
        </w:tabs>
        <w:ind w:left="360" w:hanging="360"/>
      </w:pPr>
      <w:r w:rsidRPr="00CC2AB6">
        <w:rPr>
          <w:rStyle w:val="FootnoteReference"/>
        </w:rPr>
        <w:footnoteRef/>
      </w:r>
      <w:r>
        <w:t xml:space="preserve"> </w:t>
      </w:r>
      <w:r>
        <w:rPr>
          <w:i/>
        </w:rPr>
        <w:t xml:space="preserve">Eke </w:t>
      </w:r>
      <w:r>
        <w:t xml:space="preserve">above n </w:t>
      </w:r>
      <w:r>
        <w:fldChar w:fldCharType="begin"/>
      </w:r>
      <w:r>
        <w:instrText xml:space="preserve"> NOTEREF _Ref525656250 \h </w:instrText>
      </w:r>
      <w:r>
        <w:fldChar w:fldCharType="separate"/>
      </w:r>
      <w:r>
        <w:t>47</w:t>
      </w:r>
      <w:r>
        <w:fldChar w:fldCharType="end"/>
      </w:r>
      <w:r w:rsidRPr="001D6F8B">
        <w:t xml:space="preserve"> at para 29</w:t>
      </w:r>
      <w:r>
        <w:t>.</w:t>
      </w:r>
    </w:p>
  </w:footnote>
  <w:footnote w:id="63">
    <w:p w:rsidR="006970A9" w:rsidRDefault="006970A9" w:rsidP="00B76AAA">
      <w:pPr>
        <w:pStyle w:val="FootnoteText"/>
        <w:tabs>
          <w:tab w:val="left" w:pos="360"/>
          <w:tab w:val="left" w:pos="540"/>
        </w:tabs>
      </w:pPr>
      <w:r w:rsidRPr="00CC2AB6">
        <w:rPr>
          <w:rStyle w:val="FootnoteReference"/>
        </w:rPr>
        <w:footnoteRef/>
      </w:r>
      <w:r>
        <w:t xml:space="preserve"> See </w:t>
      </w:r>
      <w:proofErr w:type="spellStart"/>
      <w:r>
        <w:rPr>
          <w:i/>
        </w:rPr>
        <w:t>Delmas</w:t>
      </w:r>
      <w:proofErr w:type="spellEnd"/>
      <w:r>
        <w:rPr>
          <w:i/>
        </w:rPr>
        <w:t xml:space="preserve"> Milling Co Limited v Du Plessis </w:t>
      </w:r>
      <w:r>
        <w:t xml:space="preserve">1955 (3) SA 447 (A) 454F-455A, cited with approval in </w:t>
      </w:r>
      <w:r w:rsidRPr="00DA0EF0">
        <w:rPr>
          <w:i/>
        </w:rPr>
        <w:t>Firestone</w:t>
      </w:r>
      <w:r>
        <w:rPr>
          <w:i/>
        </w:rPr>
        <w:t xml:space="preserve"> </w:t>
      </w:r>
      <w:r>
        <w:t xml:space="preserve">above n 46 at 304D </w:t>
      </w:r>
      <w:proofErr w:type="gramStart"/>
      <w:r>
        <w:t xml:space="preserve">and  </w:t>
      </w:r>
      <w:r>
        <w:rPr>
          <w:i/>
        </w:rPr>
        <w:t>KPMG</w:t>
      </w:r>
      <w:proofErr w:type="gramEnd"/>
      <w:r>
        <w:rPr>
          <w:i/>
        </w:rPr>
        <w:t xml:space="preserve"> Chartered Accountants</w:t>
      </w:r>
      <w:r>
        <w:t xml:space="preserve"> </w:t>
      </w:r>
      <w:r w:rsidRPr="003223F3">
        <w:rPr>
          <w:i/>
        </w:rPr>
        <w:t>(SA)</w:t>
      </w:r>
      <w:r>
        <w:rPr>
          <w:i/>
        </w:rPr>
        <w:t xml:space="preserve"> v </w:t>
      </w:r>
      <w:proofErr w:type="spellStart"/>
      <w:r>
        <w:rPr>
          <w:i/>
        </w:rPr>
        <w:t>Securefin</w:t>
      </w:r>
      <w:proofErr w:type="spellEnd"/>
      <w:r>
        <w:rPr>
          <w:i/>
        </w:rPr>
        <w:t xml:space="preserve"> Limited </w:t>
      </w:r>
      <w:r>
        <w:t>[2009] ZASCA 7; 2009 (4) SA 399 (SCA) at para 39.</w:t>
      </w:r>
    </w:p>
  </w:footnote>
  <w:footnote w:id="64">
    <w:p w:rsidR="006970A9" w:rsidRDefault="006970A9">
      <w:pPr>
        <w:pStyle w:val="FootnoteText"/>
      </w:pPr>
      <w:r>
        <w:rPr>
          <w:rStyle w:val="FootnoteReference"/>
        </w:rPr>
        <w:footnoteRef/>
      </w:r>
      <w:r>
        <w:t xml:space="preserve"> </w:t>
      </w:r>
      <w:r w:rsidRPr="00CF0442">
        <w:rPr>
          <w:i/>
        </w:rPr>
        <w:t xml:space="preserve">Head of Department, Mpumalanga Department of Education v </w:t>
      </w:r>
      <w:proofErr w:type="spellStart"/>
      <w:r w:rsidRPr="00CF0442">
        <w:rPr>
          <w:i/>
        </w:rPr>
        <w:t>Hoërskool</w:t>
      </w:r>
      <w:proofErr w:type="spellEnd"/>
      <w:r w:rsidRPr="00CF0442">
        <w:rPr>
          <w:i/>
        </w:rPr>
        <w:t xml:space="preserve"> Ermelo </w:t>
      </w:r>
      <w:r w:rsidRPr="00CF0442">
        <w:t>[2009] ZACC 32; 2010 (2) SA 415 (CC); 2010 (3) BCLR 177 (CC) at para 97.</w:t>
      </w:r>
    </w:p>
  </w:footnote>
  <w:footnote w:id="65">
    <w:p w:rsidR="006970A9" w:rsidRDefault="006970A9">
      <w:pPr>
        <w:pStyle w:val="FootnoteText"/>
      </w:pPr>
      <w:r>
        <w:rPr>
          <w:rStyle w:val="FootnoteReference"/>
        </w:rPr>
        <w:footnoteRef/>
      </w:r>
      <w:r>
        <w:t xml:space="preserve"> </w:t>
      </w:r>
      <w:r w:rsidRPr="00513FA8">
        <w:rPr>
          <w:i/>
        </w:rPr>
        <w:t>Rail Commuters</w:t>
      </w:r>
      <w:r>
        <w:rPr>
          <w:i/>
        </w:rPr>
        <w:t xml:space="preserve">’ </w:t>
      </w:r>
      <w:r>
        <w:t xml:space="preserve">n </w:t>
      </w:r>
      <w:r>
        <w:fldChar w:fldCharType="begin"/>
      </w:r>
      <w:r>
        <w:instrText xml:space="preserve"> NOTEREF _Ref525656231 \h </w:instrText>
      </w:r>
      <w:r>
        <w:fldChar w:fldCharType="separate"/>
      </w:r>
      <w:r>
        <w:t>59</w:t>
      </w:r>
      <w:r>
        <w:fldChar w:fldCharType="end"/>
      </w:r>
      <w:r>
        <w:t xml:space="preserve"> at</w:t>
      </w:r>
      <w:r w:rsidRPr="00513FA8">
        <w:rPr>
          <w:i/>
        </w:rPr>
        <w:t xml:space="preserve"> </w:t>
      </w:r>
      <w:r>
        <w:t>para 108.</w:t>
      </w:r>
    </w:p>
  </w:footnote>
  <w:footnote w:id="66">
    <w:p w:rsidR="006970A9" w:rsidRDefault="006970A9">
      <w:pPr>
        <w:pStyle w:val="FootnoteText"/>
      </w:pPr>
      <w:r>
        <w:rPr>
          <w:rStyle w:val="FootnoteReference"/>
        </w:rPr>
        <w:footnoteRef/>
      </w:r>
      <w:r>
        <w:t xml:space="preserve"> </w:t>
      </w:r>
      <w:proofErr w:type="spellStart"/>
      <w:r w:rsidRPr="00AD054C">
        <w:rPr>
          <w:i/>
        </w:rPr>
        <w:t>Biowatch</w:t>
      </w:r>
      <w:proofErr w:type="spellEnd"/>
      <w:r w:rsidRPr="00AD054C">
        <w:rPr>
          <w:i/>
        </w:rPr>
        <w:t xml:space="preserve"> Trust </w:t>
      </w:r>
      <w:proofErr w:type="gramStart"/>
      <w:r w:rsidRPr="00AD054C">
        <w:rPr>
          <w:i/>
        </w:rPr>
        <w:t>v</w:t>
      </w:r>
      <w:proofErr w:type="gramEnd"/>
      <w:r w:rsidRPr="00AD054C">
        <w:rPr>
          <w:i/>
        </w:rPr>
        <w:t xml:space="preserve"> Registrar, Genetic Resources</w:t>
      </w:r>
      <w:r w:rsidRPr="00C307F7">
        <w:rPr>
          <w:lang w:val="en-US"/>
        </w:rPr>
        <w:t xml:space="preserve"> [2009] ZACC 14; 2009 (6) SA 232</w:t>
      </w:r>
      <w:r>
        <w:rPr>
          <w:lang w:val="en-US"/>
        </w:rPr>
        <w:t xml:space="preserve"> (CC); 2009 (10) BCLR 1014 (CC).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A9" w:rsidRDefault="006970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A9" w:rsidRDefault="006970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A9" w:rsidRDefault="006970A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A9" w:rsidRPr="00107379" w:rsidRDefault="006970A9" w:rsidP="000F7521">
    <w:pPr>
      <w:pStyle w:val="Header"/>
      <w:tabs>
        <w:tab w:val="clear" w:pos="4680"/>
        <w:tab w:val="clear" w:pos="9360"/>
        <w:tab w:val="right" w:pos="9072"/>
      </w:tabs>
      <w:jc w:val="right"/>
      <w:rPr>
        <w:lang w:val="en-US"/>
      </w:rPr>
    </w:pPr>
    <w:r>
      <w:rPr>
        <w:lang w:val="en-US"/>
      </w:rPr>
      <w:t>KATHREE-SETILOANE AJ</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A9" w:rsidRDefault="006970A9" w:rsidP="008C727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102"/>
    <w:multiLevelType w:val="hybridMultilevel"/>
    <w:tmpl w:val="84542D22"/>
    <w:lvl w:ilvl="0" w:tplc="664A947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3923386"/>
    <w:multiLevelType w:val="hybridMultilevel"/>
    <w:tmpl w:val="FCF4D000"/>
    <w:lvl w:ilvl="0" w:tplc="C10EB29E">
      <w:start w:val="1"/>
      <w:numFmt w:val="lowerLetter"/>
      <w:lvlText w:val="(%1)"/>
      <w:lvlJc w:val="left"/>
      <w:pPr>
        <w:ind w:left="1440" w:hanging="720"/>
      </w:pPr>
      <w:rPr>
        <w:rFonts w:hint="default"/>
      </w:rPr>
    </w:lvl>
    <w:lvl w:ilvl="1" w:tplc="04090019" w:tentative="1">
      <w:start w:val="1"/>
      <w:numFmt w:val="lowerLetter"/>
      <w:lvlText w:val="%2."/>
      <w:lvlJc w:val="left"/>
      <w:pPr>
        <w:ind w:left="3235" w:hanging="360"/>
      </w:pPr>
    </w:lvl>
    <w:lvl w:ilvl="2" w:tplc="0409001B" w:tentative="1">
      <w:start w:val="1"/>
      <w:numFmt w:val="lowerRoman"/>
      <w:lvlText w:val="%3."/>
      <w:lvlJc w:val="right"/>
      <w:pPr>
        <w:ind w:left="3955" w:hanging="180"/>
      </w:pPr>
    </w:lvl>
    <w:lvl w:ilvl="3" w:tplc="0409000F" w:tentative="1">
      <w:start w:val="1"/>
      <w:numFmt w:val="decimal"/>
      <w:lvlText w:val="%4."/>
      <w:lvlJc w:val="left"/>
      <w:pPr>
        <w:ind w:left="4675" w:hanging="360"/>
      </w:pPr>
    </w:lvl>
    <w:lvl w:ilvl="4" w:tplc="04090019" w:tentative="1">
      <w:start w:val="1"/>
      <w:numFmt w:val="lowerLetter"/>
      <w:lvlText w:val="%5."/>
      <w:lvlJc w:val="left"/>
      <w:pPr>
        <w:ind w:left="5395" w:hanging="360"/>
      </w:pPr>
    </w:lvl>
    <w:lvl w:ilvl="5" w:tplc="0409001B" w:tentative="1">
      <w:start w:val="1"/>
      <w:numFmt w:val="lowerRoman"/>
      <w:lvlText w:val="%6."/>
      <w:lvlJc w:val="right"/>
      <w:pPr>
        <w:ind w:left="6115" w:hanging="180"/>
      </w:pPr>
    </w:lvl>
    <w:lvl w:ilvl="6" w:tplc="0409000F" w:tentative="1">
      <w:start w:val="1"/>
      <w:numFmt w:val="decimal"/>
      <w:lvlText w:val="%7."/>
      <w:lvlJc w:val="left"/>
      <w:pPr>
        <w:ind w:left="6835" w:hanging="360"/>
      </w:pPr>
    </w:lvl>
    <w:lvl w:ilvl="7" w:tplc="04090019" w:tentative="1">
      <w:start w:val="1"/>
      <w:numFmt w:val="lowerLetter"/>
      <w:lvlText w:val="%8."/>
      <w:lvlJc w:val="left"/>
      <w:pPr>
        <w:ind w:left="7555" w:hanging="360"/>
      </w:pPr>
    </w:lvl>
    <w:lvl w:ilvl="8" w:tplc="0409001B" w:tentative="1">
      <w:start w:val="1"/>
      <w:numFmt w:val="lowerRoman"/>
      <w:lvlText w:val="%9."/>
      <w:lvlJc w:val="right"/>
      <w:pPr>
        <w:ind w:left="8275" w:hanging="180"/>
      </w:pPr>
    </w:lvl>
  </w:abstractNum>
  <w:abstractNum w:abstractNumId="2" w15:restartNumberingAfterBreak="0">
    <w:nsid w:val="058606AE"/>
    <w:multiLevelType w:val="hybridMultilevel"/>
    <w:tmpl w:val="7EF4F206"/>
    <w:lvl w:ilvl="0" w:tplc="1C09000F">
      <w:start w:val="1"/>
      <w:numFmt w:val="decimal"/>
      <w:lvlText w:val="%1."/>
      <w:lvlJc w:val="left"/>
      <w:pPr>
        <w:ind w:left="644" w:hanging="360"/>
      </w:pPr>
    </w:lvl>
    <w:lvl w:ilvl="1" w:tplc="862E36B2">
      <w:start w:val="1"/>
      <w:numFmt w:val="decimal"/>
      <w:lvlText w:val="%2."/>
      <w:lvlJc w:val="left"/>
      <w:pPr>
        <w:ind w:left="1364" w:hanging="360"/>
      </w:pPr>
      <w:rPr>
        <w:rFonts w:ascii="Times New Roman" w:eastAsia="Calibri" w:hAnsi="Times New Roman" w:cs="Times New Roman"/>
      </w:rPr>
    </w:lvl>
    <w:lvl w:ilvl="2" w:tplc="1C09001B">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15:restartNumberingAfterBreak="0">
    <w:nsid w:val="09466326"/>
    <w:multiLevelType w:val="hybridMultilevel"/>
    <w:tmpl w:val="2B8C0398"/>
    <w:lvl w:ilvl="0" w:tplc="DEE201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5A7A26"/>
    <w:multiLevelType w:val="hybridMultilevel"/>
    <w:tmpl w:val="64E6596C"/>
    <w:lvl w:ilvl="0" w:tplc="1F38F18A">
      <w:start w:val="1"/>
      <w:numFmt w:val="decimal"/>
      <w:pStyle w:val="JUDGMENTNUMBERED"/>
      <w:lvlText w:val="[%1]"/>
      <w:lvlJc w:val="left"/>
      <w:pPr>
        <w:ind w:left="39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D1C27EB"/>
    <w:multiLevelType w:val="hybridMultilevel"/>
    <w:tmpl w:val="84542D22"/>
    <w:lvl w:ilvl="0" w:tplc="664A947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F4B6936"/>
    <w:multiLevelType w:val="hybridMultilevel"/>
    <w:tmpl w:val="EFF2B3EE"/>
    <w:lvl w:ilvl="0" w:tplc="DEFE6BE0">
      <w:start w:val="2"/>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0F6F5118"/>
    <w:multiLevelType w:val="hybridMultilevel"/>
    <w:tmpl w:val="5F5CE172"/>
    <w:lvl w:ilvl="0" w:tplc="613EFBF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5797A0F"/>
    <w:multiLevelType w:val="hybridMultilevel"/>
    <w:tmpl w:val="BE8ED6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F2330A"/>
    <w:multiLevelType w:val="multilevel"/>
    <w:tmpl w:val="4F9227B0"/>
    <w:lvl w:ilvl="0">
      <w:start w:val="1"/>
      <w:numFmt w:val="lowerLetter"/>
      <w:lvlText w:val="(%1)"/>
      <w:lvlJc w:val="left"/>
      <w:pPr>
        <w:tabs>
          <w:tab w:val="num" w:pos="567"/>
        </w:tabs>
        <w:ind w:left="567" w:hanging="567"/>
      </w:pPr>
      <w:rPr>
        <w:rFonts w:ascii="Times New Roman" w:hAnsi="Times New Roman" w:cs="Times New Roman" w:hint="default"/>
        <w:b w:val="0"/>
        <w:i w:val="0"/>
      </w:rPr>
    </w:lvl>
    <w:lvl w:ilvl="1">
      <w:start w:val="1"/>
      <w:numFmt w:val="decimal"/>
      <w:lvlText w:val="%1.%2"/>
      <w:lvlJc w:val="left"/>
      <w:pPr>
        <w:tabs>
          <w:tab w:val="num" w:pos="1361"/>
        </w:tabs>
        <w:ind w:left="1361" w:hanging="794"/>
      </w:pPr>
      <w:rPr>
        <w:rFonts w:hint="default"/>
        <w:b w:val="0"/>
        <w:i w:val="0"/>
      </w:rPr>
    </w:lvl>
    <w:lvl w:ilvl="2">
      <w:start w:val="1"/>
      <w:numFmt w:val="decimal"/>
      <w:lvlText w:val="%1.%2.%3"/>
      <w:lvlJc w:val="left"/>
      <w:pPr>
        <w:tabs>
          <w:tab w:val="num" w:pos="2155"/>
        </w:tabs>
        <w:ind w:left="2155" w:hanging="794"/>
      </w:pPr>
      <w:rPr>
        <w:rFonts w:hint="default"/>
        <w:b w:val="0"/>
        <w:i w:val="0"/>
      </w:rPr>
    </w:lvl>
    <w:lvl w:ilvl="3">
      <w:start w:val="1"/>
      <w:numFmt w:val="lowerLetter"/>
      <w:lvlText w:val="(%4)"/>
      <w:lvlJc w:val="left"/>
      <w:pPr>
        <w:tabs>
          <w:tab w:val="num" w:pos="2552"/>
        </w:tabs>
        <w:ind w:left="3658" w:hanging="1829"/>
      </w:pPr>
      <w:rPr>
        <w:rFonts w:hint="default"/>
      </w:rPr>
    </w:lvl>
    <w:lvl w:ilvl="4">
      <w:start w:val="1"/>
      <w:numFmt w:val="lowerRoman"/>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D2475F7"/>
    <w:multiLevelType w:val="hybridMultilevel"/>
    <w:tmpl w:val="4D4CB078"/>
    <w:lvl w:ilvl="0" w:tplc="637ACAD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EC32EAB"/>
    <w:multiLevelType w:val="multilevel"/>
    <w:tmpl w:val="D0C6E474"/>
    <w:lvl w:ilvl="0">
      <w:start w:val="1"/>
      <w:numFmt w:val="lowerLetter"/>
      <w:pStyle w:val="1"/>
      <w:lvlText w:val="(%1)"/>
      <w:lvlJc w:val="left"/>
      <w:pPr>
        <w:tabs>
          <w:tab w:val="num" w:pos="567"/>
        </w:tabs>
        <w:ind w:left="567" w:hanging="567"/>
      </w:pPr>
      <w:rPr>
        <w:rFonts w:ascii="Times New Roman" w:eastAsia="Times New Roman" w:hAnsi="Times New Roman" w:cs="Times New Roman" w:hint="default"/>
        <w:b w:val="0"/>
        <w:i w:val="0"/>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3658" w:hanging="1829"/>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980186C"/>
    <w:multiLevelType w:val="hybridMultilevel"/>
    <w:tmpl w:val="86166958"/>
    <w:lvl w:ilvl="0" w:tplc="4AA04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4460D"/>
    <w:multiLevelType w:val="hybridMultilevel"/>
    <w:tmpl w:val="1D7A23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0054E43"/>
    <w:multiLevelType w:val="hybridMultilevel"/>
    <w:tmpl w:val="93825686"/>
    <w:lvl w:ilvl="0" w:tplc="1C09000F">
      <w:start w:val="1"/>
      <w:numFmt w:val="decimal"/>
      <w:lvlText w:val="%1."/>
      <w:lvlJc w:val="left"/>
      <w:pPr>
        <w:ind w:left="720" w:hanging="360"/>
      </w:pPr>
    </w:lvl>
    <w:lvl w:ilvl="1" w:tplc="5726C5AE">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1965AFC"/>
    <w:multiLevelType w:val="hybridMultilevel"/>
    <w:tmpl w:val="513CCB40"/>
    <w:lvl w:ilvl="0" w:tplc="F6D0309C">
      <w:start w:val="1"/>
      <w:numFmt w:val="lowerLetter"/>
      <w:lvlText w:val="(%1)"/>
      <w:lvlJc w:val="left"/>
      <w:pPr>
        <w:ind w:left="2843" w:hanging="360"/>
      </w:pPr>
      <w:rPr>
        <w:rFonts w:hint="default"/>
      </w:rPr>
    </w:lvl>
    <w:lvl w:ilvl="1" w:tplc="04090019" w:tentative="1">
      <w:start w:val="1"/>
      <w:numFmt w:val="lowerLetter"/>
      <w:lvlText w:val="%2."/>
      <w:lvlJc w:val="left"/>
      <w:pPr>
        <w:ind w:left="3563" w:hanging="360"/>
      </w:pPr>
    </w:lvl>
    <w:lvl w:ilvl="2" w:tplc="0409001B" w:tentative="1">
      <w:start w:val="1"/>
      <w:numFmt w:val="lowerRoman"/>
      <w:lvlText w:val="%3."/>
      <w:lvlJc w:val="right"/>
      <w:pPr>
        <w:ind w:left="4283" w:hanging="180"/>
      </w:pPr>
    </w:lvl>
    <w:lvl w:ilvl="3" w:tplc="0409000F" w:tentative="1">
      <w:start w:val="1"/>
      <w:numFmt w:val="decimal"/>
      <w:lvlText w:val="%4."/>
      <w:lvlJc w:val="left"/>
      <w:pPr>
        <w:ind w:left="5003" w:hanging="360"/>
      </w:pPr>
    </w:lvl>
    <w:lvl w:ilvl="4" w:tplc="04090019" w:tentative="1">
      <w:start w:val="1"/>
      <w:numFmt w:val="lowerLetter"/>
      <w:lvlText w:val="%5."/>
      <w:lvlJc w:val="left"/>
      <w:pPr>
        <w:ind w:left="5723" w:hanging="360"/>
      </w:pPr>
    </w:lvl>
    <w:lvl w:ilvl="5" w:tplc="0409001B" w:tentative="1">
      <w:start w:val="1"/>
      <w:numFmt w:val="lowerRoman"/>
      <w:lvlText w:val="%6."/>
      <w:lvlJc w:val="right"/>
      <w:pPr>
        <w:ind w:left="6443" w:hanging="180"/>
      </w:pPr>
    </w:lvl>
    <w:lvl w:ilvl="6" w:tplc="0409000F" w:tentative="1">
      <w:start w:val="1"/>
      <w:numFmt w:val="decimal"/>
      <w:lvlText w:val="%7."/>
      <w:lvlJc w:val="left"/>
      <w:pPr>
        <w:ind w:left="7163" w:hanging="360"/>
      </w:pPr>
    </w:lvl>
    <w:lvl w:ilvl="7" w:tplc="04090019" w:tentative="1">
      <w:start w:val="1"/>
      <w:numFmt w:val="lowerLetter"/>
      <w:lvlText w:val="%8."/>
      <w:lvlJc w:val="left"/>
      <w:pPr>
        <w:ind w:left="7883" w:hanging="360"/>
      </w:pPr>
    </w:lvl>
    <w:lvl w:ilvl="8" w:tplc="0409001B" w:tentative="1">
      <w:start w:val="1"/>
      <w:numFmt w:val="lowerRoman"/>
      <w:lvlText w:val="%9."/>
      <w:lvlJc w:val="right"/>
      <w:pPr>
        <w:ind w:left="8603" w:hanging="180"/>
      </w:pPr>
    </w:lvl>
  </w:abstractNum>
  <w:abstractNum w:abstractNumId="17" w15:restartNumberingAfterBreak="0">
    <w:nsid w:val="44203C84"/>
    <w:multiLevelType w:val="hybridMultilevel"/>
    <w:tmpl w:val="ADA03E3A"/>
    <w:lvl w:ilvl="0" w:tplc="38547AE2">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E9B6201"/>
    <w:multiLevelType w:val="hybridMultilevel"/>
    <w:tmpl w:val="97DC6F16"/>
    <w:lvl w:ilvl="0" w:tplc="32E8435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0C32D1"/>
    <w:multiLevelType w:val="hybridMultilevel"/>
    <w:tmpl w:val="ECF86F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3ED69BA"/>
    <w:multiLevelType w:val="multilevel"/>
    <w:tmpl w:val="EEDAE31E"/>
    <w:lvl w:ilvl="0">
      <w:start w:val="1"/>
      <w:numFmt w:val="decimal"/>
      <w:pStyle w:val="Style1"/>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0CA6735"/>
    <w:multiLevelType w:val="hybridMultilevel"/>
    <w:tmpl w:val="F55C66B4"/>
    <w:lvl w:ilvl="0" w:tplc="477859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17F223E"/>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166DF6"/>
    <w:multiLevelType w:val="hybridMultilevel"/>
    <w:tmpl w:val="F9BE92C0"/>
    <w:lvl w:ilvl="0" w:tplc="5B949CCE">
      <w:start w:val="2"/>
      <w:numFmt w:val="decimal"/>
      <w:lvlText w:val="%1."/>
      <w:lvlJc w:val="left"/>
      <w:pPr>
        <w:ind w:left="2685" w:hanging="360"/>
      </w:pPr>
      <w:rPr>
        <w:rFonts w:hint="default"/>
      </w:rPr>
    </w:lvl>
    <w:lvl w:ilvl="1" w:tplc="1C090019" w:tentative="1">
      <w:start w:val="1"/>
      <w:numFmt w:val="lowerLetter"/>
      <w:lvlText w:val="%2."/>
      <w:lvlJc w:val="left"/>
      <w:pPr>
        <w:ind w:left="3405" w:hanging="360"/>
      </w:pPr>
    </w:lvl>
    <w:lvl w:ilvl="2" w:tplc="1C09001B" w:tentative="1">
      <w:start w:val="1"/>
      <w:numFmt w:val="lowerRoman"/>
      <w:lvlText w:val="%3."/>
      <w:lvlJc w:val="right"/>
      <w:pPr>
        <w:ind w:left="4125" w:hanging="180"/>
      </w:pPr>
    </w:lvl>
    <w:lvl w:ilvl="3" w:tplc="1C09000F" w:tentative="1">
      <w:start w:val="1"/>
      <w:numFmt w:val="decimal"/>
      <w:lvlText w:val="%4."/>
      <w:lvlJc w:val="left"/>
      <w:pPr>
        <w:ind w:left="4845" w:hanging="360"/>
      </w:pPr>
    </w:lvl>
    <w:lvl w:ilvl="4" w:tplc="1C090019" w:tentative="1">
      <w:start w:val="1"/>
      <w:numFmt w:val="lowerLetter"/>
      <w:lvlText w:val="%5."/>
      <w:lvlJc w:val="left"/>
      <w:pPr>
        <w:ind w:left="5565" w:hanging="360"/>
      </w:pPr>
    </w:lvl>
    <w:lvl w:ilvl="5" w:tplc="1C09001B" w:tentative="1">
      <w:start w:val="1"/>
      <w:numFmt w:val="lowerRoman"/>
      <w:lvlText w:val="%6."/>
      <w:lvlJc w:val="right"/>
      <w:pPr>
        <w:ind w:left="6285" w:hanging="180"/>
      </w:pPr>
    </w:lvl>
    <w:lvl w:ilvl="6" w:tplc="1C09000F" w:tentative="1">
      <w:start w:val="1"/>
      <w:numFmt w:val="decimal"/>
      <w:lvlText w:val="%7."/>
      <w:lvlJc w:val="left"/>
      <w:pPr>
        <w:ind w:left="7005" w:hanging="360"/>
      </w:pPr>
    </w:lvl>
    <w:lvl w:ilvl="7" w:tplc="1C090019" w:tentative="1">
      <w:start w:val="1"/>
      <w:numFmt w:val="lowerLetter"/>
      <w:lvlText w:val="%8."/>
      <w:lvlJc w:val="left"/>
      <w:pPr>
        <w:ind w:left="7725" w:hanging="360"/>
      </w:pPr>
    </w:lvl>
    <w:lvl w:ilvl="8" w:tplc="1C09001B" w:tentative="1">
      <w:start w:val="1"/>
      <w:numFmt w:val="lowerRoman"/>
      <w:lvlText w:val="%9."/>
      <w:lvlJc w:val="right"/>
      <w:pPr>
        <w:ind w:left="8445" w:hanging="180"/>
      </w:pPr>
    </w:lvl>
  </w:abstractNum>
  <w:abstractNum w:abstractNumId="25" w15:restartNumberingAfterBreak="0">
    <w:nsid w:val="6A65648D"/>
    <w:multiLevelType w:val="hybridMultilevel"/>
    <w:tmpl w:val="70F29386"/>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6" w15:restartNumberingAfterBreak="0">
    <w:nsid w:val="6ACB3A77"/>
    <w:multiLevelType w:val="hybridMultilevel"/>
    <w:tmpl w:val="B5CCC786"/>
    <w:lvl w:ilvl="0" w:tplc="8C26F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302A78"/>
    <w:multiLevelType w:val="hybridMultilevel"/>
    <w:tmpl w:val="26D64F8E"/>
    <w:lvl w:ilvl="0" w:tplc="170436D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C397346"/>
    <w:multiLevelType w:val="hybridMultilevel"/>
    <w:tmpl w:val="3DFEB292"/>
    <w:lvl w:ilvl="0" w:tplc="02CCA78C">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9"/>
  </w:num>
  <w:num w:numId="12">
    <w:abstractNumId w:val="9"/>
    <w:lvlOverride w:ilvl="0">
      <w:startOverride w:val="1"/>
    </w:lvlOverride>
  </w:num>
  <w:num w:numId="13">
    <w:abstractNumId w:val="4"/>
  </w:num>
  <w:num w:numId="14">
    <w:abstractNumId w:val="12"/>
  </w:num>
  <w:num w:numId="15">
    <w:abstractNumId w:val="4"/>
    <w:lvlOverride w:ilvl="0">
      <w:startOverride w:val="2"/>
    </w:lvlOverride>
  </w:num>
  <w:num w:numId="16">
    <w:abstractNumId w:val="4"/>
    <w:lvlOverride w:ilvl="0">
      <w:startOverride w:val="2"/>
    </w:lvlOverride>
  </w:num>
  <w:num w:numId="17">
    <w:abstractNumId w:val="1"/>
  </w:num>
  <w:num w:numId="18">
    <w:abstractNumId w:val="19"/>
  </w:num>
  <w:num w:numId="19">
    <w:abstractNumId w:val="13"/>
  </w:num>
  <w:num w:numId="20">
    <w:abstractNumId w:val="26"/>
  </w:num>
  <w:num w:numId="21">
    <w:abstractNumId w:val="8"/>
  </w:num>
  <w:num w:numId="22">
    <w:abstractNumId w:val="21"/>
  </w:num>
  <w:num w:numId="23">
    <w:abstractNumId w:val="2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
  </w:num>
  <w:num w:numId="27">
    <w:abstractNumId w:val="10"/>
  </w:num>
  <w:num w:numId="28">
    <w:abstractNumId w:val="12"/>
    <w:lvlOverride w:ilvl="0">
      <w:startOverride w:val="1"/>
    </w:lvlOverride>
    <w:lvlOverride w:ilvl="1">
      <w:startOverride w:val="1"/>
    </w:lvlOverride>
    <w:lvlOverride w:ilvl="2">
      <w:startOverride w:val="1"/>
    </w:lvlOverride>
    <w:lvlOverride w:ilvl="3">
      <w:startOverride w:val="2"/>
    </w:lvlOverride>
  </w:num>
  <w:num w:numId="29">
    <w:abstractNumId w:val="3"/>
  </w:num>
  <w:num w:numId="30">
    <w:abstractNumId w:val="1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6"/>
  </w:num>
  <w:num w:numId="34">
    <w:abstractNumId w:val="24"/>
  </w:num>
  <w:num w:numId="35">
    <w:abstractNumId w:val="6"/>
  </w:num>
  <w:num w:numId="36">
    <w:abstractNumId w:val="4"/>
    <w:lvlOverride w:ilvl="0">
      <w:startOverride w:val="2"/>
    </w:lvlOverride>
  </w:num>
  <w:num w:numId="37">
    <w:abstractNumId w:val="11"/>
  </w:num>
  <w:num w:numId="38">
    <w:abstractNumId w:val="28"/>
  </w:num>
  <w:num w:numId="39">
    <w:abstractNumId w:val="4"/>
    <w:lvlOverride w:ilvl="0">
      <w:startOverride w:val="1"/>
    </w:lvlOverride>
  </w:num>
  <w:num w:numId="40">
    <w:abstractNumId w:val="22"/>
  </w:num>
  <w:num w:numId="41">
    <w:abstractNumId w:val="20"/>
  </w:num>
  <w:num w:numId="42">
    <w:abstractNumId w:val="25"/>
  </w:num>
  <w:num w:numId="43">
    <w:abstractNumId w:val="17"/>
  </w:num>
  <w:num w:numId="44">
    <w:abstractNumId w:val="0"/>
  </w:num>
  <w:num w:numId="45">
    <w:abstractNumId w:val="5"/>
  </w:num>
  <w:num w:numId="46">
    <w:abstractNumId w:val="27"/>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0sbC0NLAwNzAyNzNR0lEKTi0uzszPAykwtqgFAGlqEeEtAAAA"/>
  </w:docVars>
  <w:rsids>
    <w:rsidRoot w:val="007410F3"/>
    <w:rsid w:val="000017E0"/>
    <w:rsid w:val="00002141"/>
    <w:rsid w:val="00003278"/>
    <w:rsid w:val="000033A1"/>
    <w:rsid w:val="00003C41"/>
    <w:rsid w:val="00004AED"/>
    <w:rsid w:val="000061B9"/>
    <w:rsid w:val="00007395"/>
    <w:rsid w:val="00007471"/>
    <w:rsid w:val="000100B9"/>
    <w:rsid w:val="0001140E"/>
    <w:rsid w:val="00011E25"/>
    <w:rsid w:val="0001323B"/>
    <w:rsid w:val="00014D01"/>
    <w:rsid w:val="0001701A"/>
    <w:rsid w:val="00017D79"/>
    <w:rsid w:val="00020270"/>
    <w:rsid w:val="00021B45"/>
    <w:rsid w:val="00022B8C"/>
    <w:rsid w:val="00023447"/>
    <w:rsid w:val="00023D1B"/>
    <w:rsid w:val="00024067"/>
    <w:rsid w:val="000304C2"/>
    <w:rsid w:val="00030F4D"/>
    <w:rsid w:val="000316D1"/>
    <w:rsid w:val="00031816"/>
    <w:rsid w:val="00031E07"/>
    <w:rsid w:val="0003222E"/>
    <w:rsid w:val="00032426"/>
    <w:rsid w:val="0003332C"/>
    <w:rsid w:val="0003374F"/>
    <w:rsid w:val="00033C11"/>
    <w:rsid w:val="000341E1"/>
    <w:rsid w:val="0003465B"/>
    <w:rsid w:val="00034878"/>
    <w:rsid w:val="00034891"/>
    <w:rsid w:val="00036C8F"/>
    <w:rsid w:val="00037366"/>
    <w:rsid w:val="000409AE"/>
    <w:rsid w:val="000416EC"/>
    <w:rsid w:val="00044378"/>
    <w:rsid w:val="00044AA9"/>
    <w:rsid w:val="0004525D"/>
    <w:rsid w:val="000452A9"/>
    <w:rsid w:val="00045310"/>
    <w:rsid w:val="000465D5"/>
    <w:rsid w:val="000476BF"/>
    <w:rsid w:val="00047C95"/>
    <w:rsid w:val="00050C73"/>
    <w:rsid w:val="00051484"/>
    <w:rsid w:val="00051AA9"/>
    <w:rsid w:val="00051FA8"/>
    <w:rsid w:val="000522CD"/>
    <w:rsid w:val="00052347"/>
    <w:rsid w:val="00053C58"/>
    <w:rsid w:val="0005454C"/>
    <w:rsid w:val="0005577D"/>
    <w:rsid w:val="00056960"/>
    <w:rsid w:val="000570BC"/>
    <w:rsid w:val="0005776D"/>
    <w:rsid w:val="0006052E"/>
    <w:rsid w:val="00061AA6"/>
    <w:rsid w:val="000628F2"/>
    <w:rsid w:val="00062B74"/>
    <w:rsid w:val="00063D7D"/>
    <w:rsid w:val="00064A3D"/>
    <w:rsid w:val="00064C95"/>
    <w:rsid w:val="00065C56"/>
    <w:rsid w:val="00066818"/>
    <w:rsid w:val="00070037"/>
    <w:rsid w:val="00070309"/>
    <w:rsid w:val="000704F2"/>
    <w:rsid w:val="0007181D"/>
    <w:rsid w:val="000724BC"/>
    <w:rsid w:val="00073AEE"/>
    <w:rsid w:val="00073B48"/>
    <w:rsid w:val="0007416D"/>
    <w:rsid w:val="0007530D"/>
    <w:rsid w:val="0007706D"/>
    <w:rsid w:val="00081648"/>
    <w:rsid w:val="00081822"/>
    <w:rsid w:val="00082429"/>
    <w:rsid w:val="0008371B"/>
    <w:rsid w:val="000847CB"/>
    <w:rsid w:val="00084B0C"/>
    <w:rsid w:val="00085797"/>
    <w:rsid w:val="00086352"/>
    <w:rsid w:val="0008650B"/>
    <w:rsid w:val="00091906"/>
    <w:rsid w:val="0009242A"/>
    <w:rsid w:val="00092C5A"/>
    <w:rsid w:val="00093F1B"/>
    <w:rsid w:val="00095A15"/>
    <w:rsid w:val="00096B55"/>
    <w:rsid w:val="00097A26"/>
    <w:rsid w:val="000A074C"/>
    <w:rsid w:val="000A0AEE"/>
    <w:rsid w:val="000A1865"/>
    <w:rsid w:val="000A1C47"/>
    <w:rsid w:val="000A2D13"/>
    <w:rsid w:val="000A2E56"/>
    <w:rsid w:val="000A4AA6"/>
    <w:rsid w:val="000A4DBA"/>
    <w:rsid w:val="000A5A09"/>
    <w:rsid w:val="000A5DC2"/>
    <w:rsid w:val="000A5E9F"/>
    <w:rsid w:val="000B01E6"/>
    <w:rsid w:val="000B0204"/>
    <w:rsid w:val="000B0C92"/>
    <w:rsid w:val="000B159E"/>
    <w:rsid w:val="000B1614"/>
    <w:rsid w:val="000B2202"/>
    <w:rsid w:val="000B22E6"/>
    <w:rsid w:val="000B2BBE"/>
    <w:rsid w:val="000B31DF"/>
    <w:rsid w:val="000B334D"/>
    <w:rsid w:val="000B4EEB"/>
    <w:rsid w:val="000B5950"/>
    <w:rsid w:val="000B5D94"/>
    <w:rsid w:val="000B6CC0"/>
    <w:rsid w:val="000B786A"/>
    <w:rsid w:val="000C1C03"/>
    <w:rsid w:val="000C3351"/>
    <w:rsid w:val="000C38CF"/>
    <w:rsid w:val="000C5829"/>
    <w:rsid w:val="000C6043"/>
    <w:rsid w:val="000C6B15"/>
    <w:rsid w:val="000C7B95"/>
    <w:rsid w:val="000D0540"/>
    <w:rsid w:val="000D2209"/>
    <w:rsid w:val="000D5D3C"/>
    <w:rsid w:val="000D622F"/>
    <w:rsid w:val="000D640A"/>
    <w:rsid w:val="000D7411"/>
    <w:rsid w:val="000D7FAD"/>
    <w:rsid w:val="000E0502"/>
    <w:rsid w:val="000E256C"/>
    <w:rsid w:val="000E2778"/>
    <w:rsid w:val="000E29C8"/>
    <w:rsid w:val="000E32AA"/>
    <w:rsid w:val="000E342F"/>
    <w:rsid w:val="000E47CA"/>
    <w:rsid w:val="000E65C9"/>
    <w:rsid w:val="000E691D"/>
    <w:rsid w:val="000E6AD2"/>
    <w:rsid w:val="000E6BEB"/>
    <w:rsid w:val="000F03C5"/>
    <w:rsid w:val="000F0E52"/>
    <w:rsid w:val="000F63EC"/>
    <w:rsid w:val="000F6CF6"/>
    <w:rsid w:val="000F7227"/>
    <w:rsid w:val="000F7521"/>
    <w:rsid w:val="00100433"/>
    <w:rsid w:val="00100715"/>
    <w:rsid w:val="00100CA9"/>
    <w:rsid w:val="001016AC"/>
    <w:rsid w:val="00102A19"/>
    <w:rsid w:val="00105163"/>
    <w:rsid w:val="00105389"/>
    <w:rsid w:val="0010594C"/>
    <w:rsid w:val="00107379"/>
    <w:rsid w:val="00110320"/>
    <w:rsid w:val="00110645"/>
    <w:rsid w:val="0011154F"/>
    <w:rsid w:val="00112A33"/>
    <w:rsid w:val="001133FA"/>
    <w:rsid w:val="00113875"/>
    <w:rsid w:val="001149ED"/>
    <w:rsid w:val="00116662"/>
    <w:rsid w:val="001169DA"/>
    <w:rsid w:val="00117568"/>
    <w:rsid w:val="001208DC"/>
    <w:rsid w:val="00121805"/>
    <w:rsid w:val="001223D2"/>
    <w:rsid w:val="0012334C"/>
    <w:rsid w:val="00124818"/>
    <w:rsid w:val="001258F1"/>
    <w:rsid w:val="001266CE"/>
    <w:rsid w:val="00126F50"/>
    <w:rsid w:val="00130F41"/>
    <w:rsid w:val="00131E97"/>
    <w:rsid w:val="00132287"/>
    <w:rsid w:val="00132B71"/>
    <w:rsid w:val="0013452B"/>
    <w:rsid w:val="001356E5"/>
    <w:rsid w:val="00135838"/>
    <w:rsid w:val="00135BA3"/>
    <w:rsid w:val="00135C87"/>
    <w:rsid w:val="00135F7B"/>
    <w:rsid w:val="0013777E"/>
    <w:rsid w:val="00137E1A"/>
    <w:rsid w:val="00140052"/>
    <w:rsid w:val="001419C0"/>
    <w:rsid w:val="00142928"/>
    <w:rsid w:val="00143627"/>
    <w:rsid w:val="00143FE4"/>
    <w:rsid w:val="0014448A"/>
    <w:rsid w:val="001449A8"/>
    <w:rsid w:val="00146C11"/>
    <w:rsid w:val="001476BE"/>
    <w:rsid w:val="001500A5"/>
    <w:rsid w:val="00150439"/>
    <w:rsid w:val="0015100F"/>
    <w:rsid w:val="0015133B"/>
    <w:rsid w:val="00152307"/>
    <w:rsid w:val="00153379"/>
    <w:rsid w:val="00154074"/>
    <w:rsid w:val="00154C2C"/>
    <w:rsid w:val="00155B11"/>
    <w:rsid w:val="00155E19"/>
    <w:rsid w:val="00160DC6"/>
    <w:rsid w:val="001610F8"/>
    <w:rsid w:val="001611B1"/>
    <w:rsid w:val="00164AD9"/>
    <w:rsid w:val="00165FDF"/>
    <w:rsid w:val="00170AE9"/>
    <w:rsid w:val="00171309"/>
    <w:rsid w:val="00171ECC"/>
    <w:rsid w:val="00174981"/>
    <w:rsid w:val="0017499A"/>
    <w:rsid w:val="00177EAE"/>
    <w:rsid w:val="00180A2D"/>
    <w:rsid w:val="00180B17"/>
    <w:rsid w:val="00182387"/>
    <w:rsid w:val="00183FC9"/>
    <w:rsid w:val="001842A4"/>
    <w:rsid w:val="00184BBB"/>
    <w:rsid w:val="001855FF"/>
    <w:rsid w:val="0018736C"/>
    <w:rsid w:val="00187B79"/>
    <w:rsid w:val="0019085B"/>
    <w:rsid w:val="00191112"/>
    <w:rsid w:val="001917F9"/>
    <w:rsid w:val="00192013"/>
    <w:rsid w:val="001927E9"/>
    <w:rsid w:val="0019420B"/>
    <w:rsid w:val="00194365"/>
    <w:rsid w:val="00194A02"/>
    <w:rsid w:val="00194B9C"/>
    <w:rsid w:val="001958FA"/>
    <w:rsid w:val="00195928"/>
    <w:rsid w:val="0019616A"/>
    <w:rsid w:val="00196326"/>
    <w:rsid w:val="00196E07"/>
    <w:rsid w:val="001A0CF6"/>
    <w:rsid w:val="001A138F"/>
    <w:rsid w:val="001A1579"/>
    <w:rsid w:val="001A1EFA"/>
    <w:rsid w:val="001A2485"/>
    <w:rsid w:val="001A4EA1"/>
    <w:rsid w:val="001A56CD"/>
    <w:rsid w:val="001A5FC4"/>
    <w:rsid w:val="001A6000"/>
    <w:rsid w:val="001A605E"/>
    <w:rsid w:val="001A6376"/>
    <w:rsid w:val="001A668B"/>
    <w:rsid w:val="001B0134"/>
    <w:rsid w:val="001B16FA"/>
    <w:rsid w:val="001B32E5"/>
    <w:rsid w:val="001B46A7"/>
    <w:rsid w:val="001B4B04"/>
    <w:rsid w:val="001B4C29"/>
    <w:rsid w:val="001B53D8"/>
    <w:rsid w:val="001C050A"/>
    <w:rsid w:val="001C0532"/>
    <w:rsid w:val="001C1042"/>
    <w:rsid w:val="001C1556"/>
    <w:rsid w:val="001C2482"/>
    <w:rsid w:val="001C2BB7"/>
    <w:rsid w:val="001C2E2F"/>
    <w:rsid w:val="001C3F1F"/>
    <w:rsid w:val="001C46A5"/>
    <w:rsid w:val="001C6C75"/>
    <w:rsid w:val="001C6F58"/>
    <w:rsid w:val="001C72E0"/>
    <w:rsid w:val="001C7805"/>
    <w:rsid w:val="001D163A"/>
    <w:rsid w:val="001D17D1"/>
    <w:rsid w:val="001D181A"/>
    <w:rsid w:val="001D182D"/>
    <w:rsid w:val="001D30A4"/>
    <w:rsid w:val="001D31D7"/>
    <w:rsid w:val="001D3B3E"/>
    <w:rsid w:val="001D4512"/>
    <w:rsid w:val="001D53F8"/>
    <w:rsid w:val="001D5A53"/>
    <w:rsid w:val="001D5CA6"/>
    <w:rsid w:val="001D6C9E"/>
    <w:rsid w:val="001D6F8B"/>
    <w:rsid w:val="001E0B53"/>
    <w:rsid w:val="001E21A1"/>
    <w:rsid w:val="001E257B"/>
    <w:rsid w:val="001E3D6C"/>
    <w:rsid w:val="001E48F1"/>
    <w:rsid w:val="001E6BAB"/>
    <w:rsid w:val="001E7A31"/>
    <w:rsid w:val="001F0945"/>
    <w:rsid w:val="001F2020"/>
    <w:rsid w:val="001F20DF"/>
    <w:rsid w:val="001F3FEB"/>
    <w:rsid w:val="001F4748"/>
    <w:rsid w:val="001F7453"/>
    <w:rsid w:val="002009B0"/>
    <w:rsid w:val="00201375"/>
    <w:rsid w:val="002014B5"/>
    <w:rsid w:val="00201CE8"/>
    <w:rsid w:val="00203601"/>
    <w:rsid w:val="0020363A"/>
    <w:rsid w:val="00204719"/>
    <w:rsid w:val="00204C69"/>
    <w:rsid w:val="002059DA"/>
    <w:rsid w:val="00206B90"/>
    <w:rsid w:val="00210116"/>
    <w:rsid w:val="00213BDA"/>
    <w:rsid w:val="00217699"/>
    <w:rsid w:val="00217E25"/>
    <w:rsid w:val="002208F2"/>
    <w:rsid w:val="00220A66"/>
    <w:rsid w:val="00220D7E"/>
    <w:rsid w:val="00221354"/>
    <w:rsid w:val="002214C5"/>
    <w:rsid w:val="00223C23"/>
    <w:rsid w:val="00224924"/>
    <w:rsid w:val="00226C8C"/>
    <w:rsid w:val="00226DE9"/>
    <w:rsid w:val="00226E9F"/>
    <w:rsid w:val="00226FBA"/>
    <w:rsid w:val="00227D8C"/>
    <w:rsid w:val="0023058E"/>
    <w:rsid w:val="00230CAD"/>
    <w:rsid w:val="00230F9F"/>
    <w:rsid w:val="00231073"/>
    <w:rsid w:val="00231862"/>
    <w:rsid w:val="00232A13"/>
    <w:rsid w:val="00232B8F"/>
    <w:rsid w:val="002341B9"/>
    <w:rsid w:val="00236F9A"/>
    <w:rsid w:val="00241508"/>
    <w:rsid w:val="0024407E"/>
    <w:rsid w:val="002451DE"/>
    <w:rsid w:val="002454A3"/>
    <w:rsid w:val="002454A4"/>
    <w:rsid w:val="00245F02"/>
    <w:rsid w:val="00246739"/>
    <w:rsid w:val="0024725F"/>
    <w:rsid w:val="00247B41"/>
    <w:rsid w:val="00250689"/>
    <w:rsid w:val="0025197F"/>
    <w:rsid w:val="00252BD8"/>
    <w:rsid w:val="0025336E"/>
    <w:rsid w:val="00254629"/>
    <w:rsid w:val="0025473D"/>
    <w:rsid w:val="002552ED"/>
    <w:rsid w:val="0025733E"/>
    <w:rsid w:val="00257FC8"/>
    <w:rsid w:val="00260875"/>
    <w:rsid w:val="00260EFF"/>
    <w:rsid w:val="00263D75"/>
    <w:rsid w:val="00265E4B"/>
    <w:rsid w:val="00265F9C"/>
    <w:rsid w:val="002726A1"/>
    <w:rsid w:val="00273851"/>
    <w:rsid w:val="00273955"/>
    <w:rsid w:val="00273F63"/>
    <w:rsid w:val="00274B2B"/>
    <w:rsid w:val="00275839"/>
    <w:rsid w:val="002758E5"/>
    <w:rsid w:val="00276DF5"/>
    <w:rsid w:val="002773CB"/>
    <w:rsid w:val="002818AD"/>
    <w:rsid w:val="00281E4E"/>
    <w:rsid w:val="0028393C"/>
    <w:rsid w:val="00284507"/>
    <w:rsid w:val="002851DD"/>
    <w:rsid w:val="00285363"/>
    <w:rsid w:val="00285486"/>
    <w:rsid w:val="0028625D"/>
    <w:rsid w:val="002865A6"/>
    <w:rsid w:val="00287753"/>
    <w:rsid w:val="00287E23"/>
    <w:rsid w:val="00290BA2"/>
    <w:rsid w:val="002952AF"/>
    <w:rsid w:val="00295C91"/>
    <w:rsid w:val="002A100D"/>
    <w:rsid w:val="002A1D42"/>
    <w:rsid w:val="002A1DEB"/>
    <w:rsid w:val="002A23BF"/>
    <w:rsid w:val="002A46CF"/>
    <w:rsid w:val="002A5456"/>
    <w:rsid w:val="002A6DC7"/>
    <w:rsid w:val="002B099A"/>
    <w:rsid w:val="002B517C"/>
    <w:rsid w:val="002B5379"/>
    <w:rsid w:val="002B5E93"/>
    <w:rsid w:val="002B6574"/>
    <w:rsid w:val="002C03F7"/>
    <w:rsid w:val="002C14BF"/>
    <w:rsid w:val="002C354A"/>
    <w:rsid w:val="002C3E7E"/>
    <w:rsid w:val="002C49E9"/>
    <w:rsid w:val="002C5F97"/>
    <w:rsid w:val="002C6694"/>
    <w:rsid w:val="002C67C7"/>
    <w:rsid w:val="002C7AC5"/>
    <w:rsid w:val="002C7F9D"/>
    <w:rsid w:val="002D1FD9"/>
    <w:rsid w:val="002D21A8"/>
    <w:rsid w:val="002D24BC"/>
    <w:rsid w:val="002D28CB"/>
    <w:rsid w:val="002D2C49"/>
    <w:rsid w:val="002D2C9E"/>
    <w:rsid w:val="002D3863"/>
    <w:rsid w:val="002D4490"/>
    <w:rsid w:val="002D4570"/>
    <w:rsid w:val="002D51D9"/>
    <w:rsid w:val="002D6E04"/>
    <w:rsid w:val="002D78A1"/>
    <w:rsid w:val="002D7BE1"/>
    <w:rsid w:val="002E15A8"/>
    <w:rsid w:val="002E1AA1"/>
    <w:rsid w:val="002E1E11"/>
    <w:rsid w:val="002E2365"/>
    <w:rsid w:val="002E27C8"/>
    <w:rsid w:val="002E4857"/>
    <w:rsid w:val="002E5D36"/>
    <w:rsid w:val="002E6393"/>
    <w:rsid w:val="002E69CC"/>
    <w:rsid w:val="002E71B3"/>
    <w:rsid w:val="002F22D3"/>
    <w:rsid w:val="002F4678"/>
    <w:rsid w:val="002F4E49"/>
    <w:rsid w:val="002F671E"/>
    <w:rsid w:val="002F6A17"/>
    <w:rsid w:val="002F7766"/>
    <w:rsid w:val="002F7DAE"/>
    <w:rsid w:val="00300858"/>
    <w:rsid w:val="00301145"/>
    <w:rsid w:val="00301B79"/>
    <w:rsid w:val="00304636"/>
    <w:rsid w:val="00304B4D"/>
    <w:rsid w:val="00310338"/>
    <w:rsid w:val="0031048C"/>
    <w:rsid w:val="00310CE5"/>
    <w:rsid w:val="0031248B"/>
    <w:rsid w:val="00312D36"/>
    <w:rsid w:val="003130D9"/>
    <w:rsid w:val="003131C6"/>
    <w:rsid w:val="00313B83"/>
    <w:rsid w:val="00313C5F"/>
    <w:rsid w:val="003154A7"/>
    <w:rsid w:val="003163B8"/>
    <w:rsid w:val="00321C65"/>
    <w:rsid w:val="00321DC4"/>
    <w:rsid w:val="003224C1"/>
    <w:rsid w:val="0032532E"/>
    <w:rsid w:val="00326649"/>
    <w:rsid w:val="003270B0"/>
    <w:rsid w:val="00327297"/>
    <w:rsid w:val="0032777D"/>
    <w:rsid w:val="00334352"/>
    <w:rsid w:val="003347A1"/>
    <w:rsid w:val="00335132"/>
    <w:rsid w:val="00335A20"/>
    <w:rsid w:val="00340A29"/>
    <w:rsid w:val="00341131"/>
    <w:rsid w:val="003417C0"/>
    <w:rsid w:val="0034310D"/>
    <w:rsid w:val="00343A3C"/>
    <w:rsid w:val="00345582"/>
    <w:rsid w:val="0034657E"/>
    <w:rsid w:val="00346927"/>
    <w:rsid w:val="00346A0A"/>
    <w:rsid w:val="00347989"/>
    <w:rsid w:val="00347FBC"/>
    <w:rsid w:val="00351CEE"/>
    <w:rsid w:val="00353A1B"/>
    <w:rsid w:val="00354391"/>
    <w:rsid w:val="003544F3"/>
    <w:rsid w:val="00354541"/>
    <w:rsid w:val="003545B1"/>
    <w:rsid w:val="00355969"/>
    <w:rsid w:val="0035606B"/>
    <w:rsid w:val="00357228"/>
    <w:rsid w:val="0036005D"/>
    <w:rsid w:val="00361DCA"/>
    <w:rsid w:val="00363239"/>
    <w:rsid w:val="003644DF"/>
    <w:rsid w:val="00366550"/>
    <w:rsid w:val="00367497"/>
    <w:rsid w:val="00370071"/>
    <w:rsid w:val="003711BB"/>
    <w:rsid w:val="003729A7"/>
    <w:rsid w:val="00373583"/>
    <w:rsid w:val="00373B6C"/>
    <w:rsid w:val="00374177"/>
    <w:rsid w:val="00375CF7"/>
    <w:rsid w:val="00375F32"/>
    <w:rsid w:val="003768A5"/>
    <w:rsid w:val="00380A4A"/>
    <w:rsid w:val="00380DC0"/>
    <w:rsid w:val="0038115B"/>
    <w:rsid w:val="00381E96"/>
    <w:rsid w:val="00382AD1"/>
    <w:rsid w:val="00382C34"/>
    <w:rsid w:val="00382F13"/>
    <w:rsid w:val="003837F4"/>
    <w:rsid w:val="00384219"/>
    <w:rsid w:val="00385A81"/>
    <w:rsid w:val="00386F56"/>
    <w:rsid w:val="00386FCB"/>
    <w:rsid w:val="0039102A"/>
    <w:rsid w:val="00391D1C"/>
    <w:rsid w:val="00392DFB"/>
    <w:rsid w:val="00394CA5"/>
    <w:rsid w:val="00394E75"/>
    <w:rsid w:val="0039592D"/>
    <w:rsid w:val="003972B6"/>
    <w:rsid w:val="003973B9"/>
    <w:rsid w:val="00397A8B"/>
    <w:rsid w:val="003A000D"/>
    <w:rsid w:val="003A0030"/>
    <w:rsid w:val="003A06F5"/>
    <w:rsid w:val="003A104A"/>
    <w:rsid w:val="003A12B1"/>
    <w:rsid w:val="003A18CF"/>
    <w:rsid w:val="003A347E"/>
    <w:rsid w:val="003A3C4A"/>
    <w:rsid w:val="003A3E5C"/>
    <w:rsid w:val="003A562D"/>
    <w:rsid w:val="003A5A69"/>
    <w:rsid w:val="003A5B8D"/>
    <w:rsid w:val="003A5E90"/>
    <w:rsid w:val="003A655E"/>
    <w:rsid w:val="003A6E65"/>
    <w:rsid w:val="003A7CE2"/>
    <w:rsid w:val="003B0FF8"/>
    <w:rsid w:val="003B12C2"/>
    <w:rsid w:val="003B15A2"/>
    <w:rsid w:val="003B15BC"/>
    <w:rsid w:val="003B20FD"/>
    <w:rsid w:val="003B32AE"/>
    <w:rsid w:val="003B3755"/>
    <w:rsid w:val="003B4638"/>
    <w:rsid w:val="003B5F34"/>
    <w:rsid w:val="003B6393"/>
    <w:rsid w:val="003B67B5"/>
    <w:rsid w:val="003B7845"/>
    <w:rsid w:val="003B7976"/>
    <w:rsid w:val="003C08F7"/>
    <w:rsid w:val="003C1C1D"/>
    <w:rsid w:val="003C2C1B"/>
    <w:rsid w:val="003C315E"/>
    <w:rsid w:val="003C5CF6"/>
    <w:rsid w:val="003C7B6C"/>
    <w:rsid w:val="003D0DD1"/>
    <w:rsid w:val="003D45A3"/>
    <w:rsid w:val="003D47C9"/>
    <w:rsid w:val="003D5617"/>
    <w:rsid w:val="003D6207"/>
    <w:rsid w:val="003D791B"/>
    <w:rsid w:val="003E0E73"/>
    <w:rsid w:val="003E0E74"/>
    <w:rsid w:val="003F084D"/>
    <w:rsid w:val="003F2FEE"/>
    <w:rsid w:val="003F32C7"/>
    <w:rsid w:val="003F39E3"/>
    <w:rsid w:val="003F4B07"/>
    <w:rsid w:val="003F5043"/>
    <w:rsid w:val="003F5473"/>
    <w:rsid w:val="003F603D"/>
    <w:rsid w:val="003F662A"/>
    <w:rsid w:val="003F67C2"/>
    <w:rsid w:val="00400847"/>
    <w:rsid w:val="00405F5F"/>
    <w:rsid w:val="00406B89"/>
    <w:rsid w:val="00407299"/>
    <w:rsid w:val="004100BD"/>
    <w:rsid w:val="004102A2"/>
    <w:rsid w:val="004102CC"/>
    <w:rsid w:val="0041076D"/>
    <w:rsid w:val="004110F6"/>
    <w:rsid w:val="00411516"/>
    <w:rsid w:val="00411DEF"/>
    <w:rsid w:val="0041274A"/>
    <w:rsid w:val="00412F91"/>
    <w:rsid w:val="00413ADE"/>
    <w:rsid w:val="004141C5"/>
    <w:rsid w:val="00414204"/>
    <w:rsid w:val="0041492C"/>
    <w:rsid w:val="004150F4"/>
    <w:rsid w:val="0041638B"/>
    <w:rsid w:val="0041779E"/>
    <w:rsid w:val="00420003"/>
    <w:rsid w:val="004216A1"/>
    <w:rsid w:val="00426CB0"/>
    <w:rsid w:val="004319B6"/>
    <w:rsid w:val="00432ABF"/>
    <w:rsid w:val="00434028"/>
    <w:rsid w:val="0043510F"/>
    <w:rsid w:val="0043521D"/>
    <w:rsid w:val="0043753D"/>
    <w:rsid w:val="00437881"/>
    <w:rsid w:val="004378B7"/>
    <w:rsid w:val="00441077"/>
    <w:rsid w:val="004411F8"/>
    <w:rsid w:val="004422F6"/>
    <w:rsid w:val="00442B26"/>
    <w:rsid w:val="0044313C"/>
    <w:rsid w:val="004432EA"/>
    <w:rsid w:val="00443BB6"/>
    <w:rsid w:val="00443BEC"/>
    <w:rsid w:val="00443E79"/>
    <w:rsid w:val="0044433D"/>
    <w:rsid w:val="0044483A"/>
    <w:rsid w:val="0044525C"/>
    <w:rsid w:val="00445B08"/>
    <w:rsid w:val="0044672B"/>
    <w:rsid w:val="0044789D"/>
    <w:rsid w:val="0045164E"/>
    <w:rsid w:val="004520F1"/>
    <w:rsid w:val="004529EA"/>
    <w:rsid w:val="00455BC5"/>
    <w:rsid w:val="0046182E"/>
    <w:rsid w:val="00461D83"/>
    <w:rsid w:val="004620BF"/>
    <w:rsid w:val="00462D69"/>
    <w:rsid w:val="0046314D"/>
    <w:rsid w:val="00464EF0"/>
    <w:rsid w:val="004657B6"/>
    <w:rsid w:val="0046599A"/>
    <w:rsid w:val="004666FA"/>
    <w:rsid w:val="00466982"/>
    <w:rsid w:val="00466AC9"/>
    <w:rsid w:val="00466DF8"/>
    <w:rsid w:val="00467CD9"/>
    <w:rsid w:val="004722A1"/>
    <w:rsid w:val="004737DE"/>
    <w:rsid w:val="00474013"/>
    <w:rsid w:val="00474898"/>
    <w:rsid w:val="00474F06"/>
    <w:rsid w:val="00476061"/>
    <w:rsid w:val="004835CC"/>
    <w:rsid w:val="00485FA4"/>
    <w:rsid w:val="00487169"/>
    <w:rsid w:val="00487758"/>
    <w:rsid w:val="004877A4"/>
    <w:rsid w:val="00487DD0"/>
    <w:rsid w:val="00491DB0"/>
    <w:rsid w:val="0049219D"/>
    <w:rsid w:val="00494B4F"/>
    <w:rsid w:val="00495691"/>
    <w:rsid w:val="00496293"/>
    <w:rsid w:val="004A01F3"/>
    <w:rsid w:val="004A02DA"/>
    <w:rsid w:val="004A14DE"/>
    <w:rsid w:val="004A1FC6"/>
    <w:rsid w:val="004A5B69"/>
    <w:rsid w:val="004A7A14"/>
    <w:rsid w:val="004B00F1"/>
    <w:rsid w:val="004B034C"/>
    <w:rsid w:val="004B06A0"/>
    <w:rsid w:val="004B0849"/>
    <w:rsid w:val="004B0FB5"/>
    <w:rsid w:val="004B2E22"/>
    <w:rsid w:val="004B347B"/>
    <w:rsid w:val="004B5A54"/>
    <w:rsid w:val="004B6A5D"/>
    <w:rsid w:val="004B6B3C"/>
    <w:rsid w:val="004B6EDF"/>
    <w:rsid w:val="004B710D"/>
    <w:rsid w:val="004B711A"/>
    <w:rsid w:val="004B7D95"/>
    <w:rsid w:val="004C020B"/>
    <w:rsid w:val="004C024D"/>
    <w:rsid w:val="004C1E70"/>
    <w:rsid w:val="004C3C40"/>
    <w:rsid w:val="004C48BB"/>
    <w:rsid w:val="004C4950"/>
    <w:rsid w:val="004C567F"/>
    <w:rsid w:val="004C5E5A"/>
    <w:rsid w:val="004C6D4D"/>
    <w:rsid w:val="004C7588"/>
    <w:rsid w:val="004C77F9"/>
    <w:rsid w:val="004C7F0A"/>
    <w:rsid w:val="004D02BA"/>
    <w:rsid w:val="004D133F"/>
    <w:rsid w:val="004D35DB"/>
    <w:rsid w:val="004D3AD0"/>
    <w:rsid w:val="004D5E1B"/>
    <w:rsid w:val="004E00EA"/>
    <w:rsid w:val="004E064D"/>
    <w:rsid w:val="004E0B87"/>
    <w:rsid w:val="004E129C"/>
    <w:rsid w:val="004E1816"/>
    <w:rsid w:val="004E3677"/>
    <w:rsid w:val="004E49DB"/>
    <w:rsid w:val="004E555F"/>
    <w:rsid w:val="004E5D5C"/>
    <w:rsid w:val="004E6C0F"/>
    <w:rsid w:val="004E6C33"/>
    <w:rsid w:val="004F0178"/>
    <w:rsid w:val="004F3C80"/>
    <w:rsid w:val="004F4587"/>
    <w:rsid w:val="004F54DA"/>
    <w:rsid w:val="0050066B"/>
    <w:rsid w:val="00503030"/>
    <w:rsid w:val="00503616"/>
    <w:rsid w:val="00503ABE"/>
    <w:rsid w:val="00510647"/>
    <w:rsid w:val="00512A83"/>
    <w:rsid w:val="0051523F"/>
    <w:rsid w:val="00517C21"/>
    <w:rsid w:val="005210BE"/>
    <w:rsid w:val="0052172D"/>
    <w:rsid w:val="00521C56"/>
    <w:rsid w:val="00522110"/>
    <w:rsid w:val="00522B4A"/>
    <w:rsid w:val="005234AE"/>
    <w:rsid w:val="005238DF"/>
    <w:rsid w:val="00523CDC"/>
    <w:rsid w:val="00525ED9"/>
    <w:rsid w:val="00525F25"/>
    <w:rsid w:val="00526A33"/>
    <w:rsid w:val="00526C62"/>
    <w:rsid w:val="00526CE6"/>
    <w:rsid w:val="0052771A"/>
    <w:rsid w:val="00531357"/>
    <w:rsid w:val="005314E0"/>
    <w:rsid w:val="0053208D"/>
    <w:rsid w:val="00533037"/>
    <w:rsid w:val="005337AB"/>
    <w:rsid w:val="00533C40"/>
    <w:rsid w:val="00535170"/>
    <w:rsid w:val="0053544B"/>
    <w:rsid w:val="00535B80"/>
    <w:rsid w:val="00535E74"/>
    <w:rsid w:val="0053638F"/>
    <w:rsid w:val="00536E06"/>
    <w:rsid w:val="00537865"/>
    <w:rsid w:val="005378EA"/>
    <w:rsid w:val="005400AC"/>
    <w:rsid w:val="005400E7"/>
    <w:rsid w:val="00540490"/>
    <w:rsid w:val="00540A2B"/>
    <w:rsid w:val="00541446"/>
    <w:rsid w:val="00541707"/>
    <w:rsid w:val="00542F53"/>
    <w:rsid w:val="00543E22"/>
    <w:rsid w:val="00544ED1"/>
    <w:rsid w:val="005464F0"/>
    <w:rsid w:val="005468AA"/>
    <w:rsid w:val="005510F3"/>
    <w:rsid w:val="00552056"/>
    <w:rsid w:val="00552618"/>
    <w:rsid w:val="00552F6F"/>
    <w:rsid w:val="00553980"/>
    <w:rsid w:val="00554D0B"/>
    <w:rsid w:val="0055505C"/>
    <w:rsid w:val="00555420"/>
    <w:rsid w:val="00556045"/>
    <w:rsid w:val="005561CA"/>
    <w:rsid w:val="00556A0B"/>
    <w:rsid w:val="00556B7D"/>
    <w:rsid w:val="00557966"/>
    <w:rsid w:val="00557F16"/>
    <w:rsid w:val="0056050D"/>
    <w:rsid w:val="0056150A"/>
    <w:rsid w:val="005627D3"/>
    <w:rsid w:val="0056322D"/>
    <w:rsid w:val="00563EF3"/>
    <w:rsid w:val="005652AF"/>
    <w:rsid w:val="00566BA3"/>
    <w:rsid w:val="0056714C"/>
    <w:rsid w:val="00567313"/>
    <w:rsid w:val="0056742C"/>
    <w:rsid w:val="0056756D"/>
    <w:rsid w:val="00570288"/>
    <w:rsid w:val="0057046F"/>
    <w:rsid w:val="005708FE"/>
    <w:rsid w:val="00570B0B"/>
    <w:rsid w:val="005721CC"/>
    <w:rsid w:val="00573344"/>
    <w:rsid w:val="00574050"/>
    <w:rsid w:val="00574301"/>
    <w:rsid w:val="00574EA0"/>
    <w:rsid w:val="00574F24"/>
    <w:rsid w:val="005761A1"/>
    <w:rsid w:val="00576A54"/>
    <w:rsid w:val="00580A7A"/>
    <w:rsid w:val="005814B3"/>
    <w:rsid w:val="00582F18"/>
    <w:rsid w:val="00587028"/>
    <w:rsid w:val="00590B22"/>
    <w:rsid w:val="0059139D"/>
    <w:rsid w:val="005915ED"/>
    <w:rsid w:val="00593A88"/>
    <w:rsid w:val="00594B97"/>
    <w:rsid w:val="00595D09"/>
    <w:rsid w:val="00596AEA"/>
    <w:rsid w:val="00596CAA"/>
    <w:rsid w:val="005A053A"/>
    <w:rsid w:val="005A0D9C"/>
    <w:rsid w:val="005A0FD6"/>
    <w:rsid w:val="005A11FA"/>
    <w:rsid w:val="005A12CB"/>
    <w:rsid w:val="005A2E44"/>
    <w:rsid w:val="005A368F"/>
    <w:rsid w:val="005A3AB0"/>
    <w:rsid w:val="005A3F83"/>
    <w:rsid w:val="005A5FE7"/>
    <w:rsid w:val="005A6683"/>
    <w:rsid w:val="005A69B8"/>
    <w:rsid w:val="005B0F29"/>
    <w:rsid w:val="005B1752"/>
    <w:rsid w:val="005B2900"/>
    <w:rsid w:val="005B2F8B"/>
    <w:rsid w:val="005B375A"/>
    <w:rsid w:val="005B3A46"/>
    <w:rsid w:val="005B44B0"/>
    <w:rsid w:val="005B4CD9"/>
    <w:rsid w:val="005B6983"/>
    <w:rsid w:val="005B6E82"/>
    <w:rsid w:val="005B7BF7"/>
    <w:rsid w:val="005C0157"/>
    <w:rsid w:val="005C02F5"/>
    <w:rsid w:val="005C0A2A"/>
    <w:rsid w:val="005C0ED8"/>
    <w:rsid w:val="005C1EFC"/>
    <w:rsid w:val="005C2820"/>
    <w:rsid w:val="005C2AA6"/>
    <w:rsid w:val="005C75C7"/>
    <w:rsid w:val="005C7C6C"/>
    <w:rsid w:val="005D0075"/>
    <w:rsid w:val="005D11F8"/>
    <w:rsid w:val="005D2477"/>
    <w:rsid w:val="005D7058"/>
    <w:rsid w:val="005D7060"/>
    <w:rsid w:val="005E05E6"/>
    <w:rsid w:val="005E07C7"/>
    <w:rsid w:val="005E0E74"/>
    <w:rsid w:val="005E11E7"/>
    <w:rsid w:val="005E1DF6"/>
    <w:rsid w:val="005E3FA4"/>
    <w:rsid w:val="005E44FC"/>
    <w:rsid w:val="005E6272"/>
    <w:rsid w:val="005E6FD9"/>
    <w:rsid w:val="005E78DE"/>
    <w:rsid w:val="005E7CBA"/>
    <w:rsid w:val="005F22D0"/>
    <w:rsid w:val="005F25A8"/>
    <w:rsid w:val="005F2BB2"/>
    <w:rsid w:val="005F5053"/>
    <w:rsid w:val="005F5BBD"/>
    <w:rsid w:val="005F6734"/>
    <w:rsid w:val="005F7F10"/>
    <w:rsid w:val="00600948"/>
    <w:rsid w:val="00600A54"/>
    <w:rsid w:val="00601111"/>
    <w:rsid w:val="00601A88"/>
    <w:rsid w:val="00601DA3"/>
    <w:rsid w:val="00603599"/>
    <w:rsid w:val="00603D3E"/>
    <w:rsid w:val="00605359"/>
    <w:rsid w:val="00605A29"/>
    <w:rsid w:val="00605DF2"/>
    <w:rsid w:val="00606019"/>
    <w:rsid w:val="00610921"/>
    <w:rsid w:val="00612A0A"/>
    <w:rsid w:val="00616E49"/>
    <w:rsid w:val="006178F6"/>
    <w:rsid w:val="00617EBE"/>
    <w:rsid w:val="00621473"/>
    <w:rsid w:val="00622131"/>
    <w:rsid w:val="0062271B"/>
    <w:rsid w:val="006236EE"/>
    <w:rsid w:val="00624FB2"/>
    <w:rsid w:val="00625797"/>
    <w:rsid w:val="00625FD9"/>
    <w:rsid w:val="00632F00"/>
    <w:rsid w:val="00635717"/>
    <w:rsid w:val="0063772B"/>
    <w:rsid w:val="00637BE6"/>
    <w:rsid w:val="00640526"/>
    <w:rsid w:val="00642066"/>
    <w:rsid w:val="006429C1"/>
    <w:rsid w:val="00644277"/>
    <w:rsid w:val="0064654E"/>
    <w:rsid w:val="00646584"/>
    <w:rsid w:val="00651121"/>
    <w:rsid w:val="00654465"/>
    <w:rsid w:val="00654EC1"/>
    <w:rsid w:val="00656301"/>
    <w:rsid w:val="0065643D"/>
    <w:rsid w:val="00657B43"/>
    <w:rsid w:val="00661886"/>
    <w:rsid w:val="00665941"/>
    <w:rsid w:val="006666DC"/>
    <w:rsid w:val="006677FC"/>
    <w:rsid w:val="00667BD5"/>
    <w:rsid w:val="0067003B"/>
    <w:rsid w:val="00670890"/>
    <w:rsid w:val="00670DE2"/>
    <w:rsid w:val="00671388"/>
    <w:rsid w:val="006713AA"/>
    <w:rsid w:val="0067159E"/>
    <w:rsid w:val="006721E7"/>
    <w:rsid w:val="006724E0"/>
    <w:rsid w:val="0067644D"/>
    <w:rsid w:val="00676AC4"/>
    <w:rsid w:val="00677B66"/>
    <w:rsid w:val="00677EBD"/>
    <w:rsid w:val="00680D2F"/>
    <w:rsid w:val="006820CD"/>
    <w:rsid w:val="00683AEE"/>
    <w:rsid w:val="00683EF2"/>
    <w:rsid w:val="00687A41"/>
    <w:rsid w:val="00690D4D"/>
    <w:rsid w:val="00691BCE"/>
    <w:rsid w:val="00691EC1"/>
    <w:rsid w:val="00694538"/>
    <w:rsid w:val="00694C59"/>
    <w:rsid w:val="00694D2E"/>
    <w:rsid w:val="006950D6"/>
    <w:rsid w:val="006970A9"/>
    <w:rsid w:val="006A0352"/>
    <w:rsid w:val="006A03E5"/>
    <w:rsid w:val="006A0400"/>
    <w:rsid w:val="006A0EBD"/>
    <w:rsid w:val="006A3A97"/>
    <w:rsid w:val="006A3E68"/>
    <w:rsid w:val="006A4746"/>
    <w:rsid w:val="006A53F5"/>
    <w:rsid w:val="006A5734"/>
    <w:rsid w:val="006A6304"/>
    <w:rsid w:val="006A67D8"/>
    <w:rsid w:val="006A6B3F"/>
    <w:rsid w:val="006A6C9F"/>
    <w:rsid w:val="006A7FD9"/>
    <w:rsid w:val="006B0AE3"/>
    <w:rsid w:val="006B0CF1"/>
    <w:rsid w:val="006B209A"/>
    <w:rsid w:val="006B2161"/>
    <w:rsid w:val="006B2556"/>
    <w:rsid w:val="006B4A21"/>
    <w:rsid w:val="006B5498"/>
    <w:rsid w:val="006B6CC4"/>
    <w:rsid w:val="006C0DE6"/>
    <w:rsid w:val="006C1235"/>
    <w:rsid w:val="006C2A1E"/>
    <w:rsid w:val="006C3E3B"/>
    <w:rsid w:val="006C6017"/>
    <w:rsid w:val="006C6D68"/>
    <w:rsid w:val="006C6FD0"/>
    <w:rsid w:val="006D0D6F"/>
    <w:rsid w:val="006D21A9"/>
    <w:rsid w:val="006D253F"/>
    <w:rsid w:val="006D43E4"/>
    <w:rsid w:val="006E1F42"/>
    <w:rsid w:val="006E2089"/>
    <w:rsid w:val="006E2C33"/>
    <w:rsid w:val="006E36DA"/>
    <w:rsid w:val="006E3711"/>
    <w:rsid w:val="006E44F0"/>
    <w:rsid w:val="006E4805"/>
    <w:rsid w:val="006E57B1"/>
    <w:rsid w:val="006E6A74"/>
    <w:rsid w:val="006E6FD8"/>
    <w:rsid w:val="006E712E"/>
    <w:rsid w:val="006E7480"/>
    <w:rsid w:val="006F0C46"/>
    <w:rsid w:val="006F0CFC"/>
    <w:rsid w:val="006F1E83"/>
    <w:rsid w:val="006F2157"/>
    <w:rsid w:val="006F2D8E"/>
    <w:rsid w:val="006F37B7"/>
    <w:rsid w:val="006F3BA1"/>
    <w:rsid w:val="006F4163"/>
    <w:rsid w:val="006F5CED"/>
    <w:rsid w:val="006F6D16"/>
    <w:rsid w:val="007009FA"/>
    <w:rsid w:val="007010F1"/>
    <w:rsid w:val="00701CE7"/>
    <w:rsid w:val="00701DB9"/>
    <w:rsid w:val="00702D0E"/>
    <w:rsid w:val="007038B4"/>
    <w:rsid w:val="00707C78"/>
    <w:rsid w:val="0071157B"/>
    <w:rsid w:val="007126B1"/>
    <w:rsid w:val="00712A0C"/>
    <w:rsid w:val="0071357F"/>
    <w:rsid w:val="00714BC6"/>
    <w:rsid w:val="00722040"/>
    <w:rsid w:val="0072349D"/>
    <w:rsid w:val="0072772F"/>
    <w:rsid w:val="00730113"/>
    <w:rsid w:val="00730174"/>
    <w:rsid w:val="007305F8"/>
    <w:rsid w:val="0073085B"/>
    <w:rsid w:val="00731C94"/>
    <w:rsid w:val="00732561"/>
    <w:rsid w:val="00733E11"/>
    <w:rsid w:val="00734039"/>
    <w:rsid w:val="0073432F"/>
    <w:rsid w:val="007356E5"/>
    <w:rsid w:val="00736C73"/>
    <w:rsid w:val="007376D5"/>
    <w:rsid w:val="00740332"/>
    <w:rsid w:val="00740A90"/>
    <w:rsid w:val="007410F3"/>
    <w:rsid w:val="007422BF"/>
    <w:rsid w:val="00744C7D"/>
    <w:rsid w:val="007459C4"/>
    <w:rsid w:val="007459F8"/>
    <w:rsid w:val="00747262"/>
    <w:rsid w:val="0074753B"/>
    <w:rsid w:val="00747F15"/>
    <w:rsid w:val="00750963"/>
    <w:rsid w:val="00751304"/>
    <w:rsid w:val="007520E3"/>
    <w:rsid w:val="007538FC"/>
    <w:rsid w:val="00753D21"/>
    <w:rsid w:val="0075425A"/>
    <w:rsid w:val="00754791"/>
    <w:rsid w:val="00754F03"/>
    <w:rsid w:val="00755C4C"/>
    <w:rsid w:val="007566A6"/>
    <w:rsid w:val="007566F1"/>
    <w:rsid w:val="00756EBE"/>
    <w:rsid w:val="007575BF"/>
    <w:rsid w:val="00760E3F"/>
    <w:rsid w:val="0076166C"/>
    <w:rsid w:val="00764890"/>
    <w:rsid w:val="00764B63"/>
    <w:rsid w:val="00766510"/>
    <w:rsid w:val="007724CA"/>
    <w:rsid w:val="00772A11"/>
    <w:rsid w:val="0077406D"/>
    <w:rsid w:val="00774488"/>
    <w:rsid w:val="0077454C"/>
    <w:rsid w:val="00776C9A"/>
    <w:rsid w:val="00776DA2"/>
    <w:rsid w:val="0077731B"/>
    <w:rsid w:val="0077768E"/>
    <w:rsid w:val="00777BC1"/>
    <w:rsid w:val="00780CD5"/>
    <w:rsid w:val="00780EAC"/>
    <w:rsid w:val="007848D6"/>
    <w:rsid w:val="007858C5"/>
    <w:rsid w:val="007864F5"/>
    <w:rsid w:val="00786581"/>
    <w:rsid w:val="007904DE"/>
    <w:rsid w:val="00791636"/>
    <w:rsid w:val="00791A2C"/>
    <w:rsid w:val="0079314D"/>
    <w:rsid w:val="007932BD"/>
    <w:rsid w:val="007939BF"/>
    <w:rsid w:val="00793F89"/>
    <w:rsid w:val="007947C8"/>
    <w:rsid w:val="007949DE"/>
    <w:rsid w:val="00795A1E"/>
    <w:rsid w:val="0079668D"/>
    <w:rsid w:val="0079776B"/>
    <w:rsid w:val="007A035B"/>
    <w:rsid w:val="007A2379"/>
    <w:rsid w:val="007A2430"/>
    <w:rsid w:val="007A26B3"/>
    <w:rsid w:val="007A476E"/>
    <w:rsid w:val="007A5CB4"/>
    <w:rsid w:val="007A67F1"/>
    <w:rsid w:val="007B14BF"/>
    <w:rsid w:val="007B1C6B"/>
    <w:rsid w:val="007B27B4"/>
    <w:rsid w:val="007B396D"/>
    <w:rsid w:val="007B54C6"/>
    <w:rsid w:val="007B5814"/>
    <w:rsid w:val="007B5A78"/>
    <w:rsid w:val="007B5D1A"/>
    <w:rsid w:val="007B5FBF"/>
    <w:rsid w:val="007B663C"/>
    <w:rsid w:val="007B75F7"/>
    <w:rsid w:val="007C03ED"/>
    <w:rsid w:val="007C132D"/>
    <w:rsid w:val="007C166E"/>
    <w:rsid w:val="007C2736"/>
    <w:rsid w:val="007C28DD"/>
    <w:rsid w:val="007C2BC0"/>
    <w:rsid w:val="007C2FC8"/>
    <w:rsid w:val="007C325E"/>
    <w:rsid w:val="007C3DAC"/>
    <w:rsid w:val="007C4002"/>
    <w:rsid w:val="007C4624"/>
    <w:rsid w:val="007C4840"/>
    <w:rsid w:val="007C4D9C"/>
    <w:rsid w:val="007C548E"/>
    <w:rsid w:val="007C60D3"/>
    <w:rsid w:val="007C697A"/>
    <w:rsid w:val="007C7F9D"/>
    <w:rsid w:val="007D0DE3"/>
    <w:rsid w:val="007D14C8"/>
    <w:rsid w:val="007D1F14"/>
    <w:rsid w:val="007D317F"/>
    <w:rsid w:val="007D31C4"/>
    <w:rsid w:val="007D3511"/>
    <w:rsid w:val="007D6001"/>
    <w:rsid w:val="007E0B0A"/>
    <w:rsid w:val="007E0EA2"/>
    <w:rsid w:val="007E3E15"/>
    <w:rsid w:val="007E403C"/>
    <w:rsid w:val="007E42EE"/>
    <w:rsid w:val="007E5DCC"/>
    <w:rsid w:val="007E5E21"/>
    <w:rsid w:val="007E69CF"/>
    <w:rsid w:val="007E6BD1"/>
    <w:rsid w:val="007E6F20"/>
    <w:rsid w:val="007F09A2"/>
    <w:rsid w:val="007F0D87"/>
    <w:rsid w:val="007F1091"/>
    <w:rsid w:val="007F1191"/>
    <w:rsid w:val="007F17F9"/>
    <w:rsid w:val="007F49BC"/>
    <w:rsid w:val="007F4DEB"/>
    <w:rsid w:val="007F50AE"/>
    <w:rsid w:val="007F6B8B"/>
    <w:rsid w:val="0080589F"/>
    <w:rsid w:val="008065FE"/>
    <w:rsid w:val="0080747D"/>
    <w:rsid w:val="00807A5D"/>
    <w:rsid w:val="00810BD2"/>
    <w:rsid w:val="00810F71"/>
    <w:rsid w:val="008122B9"/>
    <w:rsid w:val="00812477"/>
    <w:rsid w:val="00812A5B"/>
    <w:rsid w:val="008130FA"/>
    <w:rsid w:val="00813524"/>
    <w:rsid w:val="00813D62"/>
    <w:rsid w:val="0081472E"/>
    <w:rsid w:val="00814EE1"/>
    <w:rsid w:val="0081518C"/>
    <w:rsid w:val="00817B3F"/>
    <w:rsid w:val="00820A19"/>
    <w:rsid w:val="008214C5"/>
    <w:rsid w:val="008226D5"/>
    <w:rsid w:val="00822886"/>
    <w:rsid w:val="00822E20"/>
    <w:rsid w:val="0082442D"/>
    <w:rsid w:val="00826849"/>
    <w:rsid w:val="00827601"/>
    <w:rsid w:val="00827B96"/>
    <w:rsid w:val="00831270"/>
    <w:rsid w:val="008321EA"/>
    <w:rsid w:val="008334F2"/>
    <w:rsid w:val="00834803"/>
    <w:rsid w:val="00837E8C"/>
    <w:rsid w:val="008419BA"/>
    <w:rsid w:val="00841F2D"/>
    <w:rsid w:val="00842678"/>
    <w:rsid w:val="008426AB"/>
    <w:rsid w:val="00843115"/>
    <w:rsid w:val="0084357B"/>
    <w:rsid w:val="0084391D"/>
    <w:rsid w:val="00843D7B"/>
    <w:rsid w:val="00844C03"/>
    <w:rsid w:val="00845C94"/>
    <w:rsid w:val="00847510"/>
    <w:rsid w:val="00847683"/>
    <w:rsid w:val="00851D8D"/>
    <w:rsid w:val="008524AB"/>
    <w:rsid w:val="00853E55"/>
    <w:rsid w:val="00856060"/>
    <w:rsid w:val="00860C4E"/>
    <w:rsid w:val="00860D7C"/>
    <w:rsid w:val="008618D0"/>
    <w:rsid w:val="008627E3"/>
    <w:rsid w:val="0086398B"/>
    <w:rsid w:val="00866C07"/>
    <w:rsid w:val="0087217E"/>
    <w:rsid w:val="00872BF0"/>
    <w:rsid w:val="008737B9"/>
    <w:rsid w:val="00876A1F"/>
    <w:rsid w:val="00877F1E"/>
    <w:rsid w:val="008801A0"/>
    <w:rsid w:val="00881E56"/>
    <w:rsid w:val="00882358"/>
    <w:rsid w:val="008823CE"/>
    <w:rsid w:val="0088266B"/>
    <w:rsid w:val="00882CAA"/>
    <w:rsid w:val="00884229"/>
    <w:rsid w:val="00884CB4"/>
    <w:rsid w:val="008857FD"/>
    <w:rsid w:val="00886226"/>
    <w:rsid w:val="0088712A"/>
    <w:rsid w:val="00887265"/>
    <w:rsid w:val="00887AE9"/>
    <w:rsid w:val="00890147"/>
    <w:rsid w:val="00890872"/>
    <w:rsid w:val="00890EFC"/>
    <w:rsid w:val="00891F4B"/>
    <w:rsid w:val="00893F46"/>
    <w:rsid w:val="00894340"/>
    <w:rsid w:val="00894678"/>
    <w:rsid w:val="008971F4"/>
    <w:rsid w:val="00897B62"/>
    <w:rsid w:val="00897C27"/>
    <w:rsid w:val="00897DBD"/>
    <w:rsid w:val="008A01F7"/>
    <w:rsid w:val="008A04FE"/>
    <w:rsid w:val="008A19F3"/>
    <w:rsid w:val="008A330A"/>
    <w:rsid w:val="008A3DAD"/>
    <w:rsid w:val="008A5426"/>
    <w:rsid w:val="008A65D2"/>
    <w:rsid w:val="008A6BF9"/>
    <w:rsid w:val="008A6C0D"/>
    <w:rsid w:val="008A7152"/>
    <w:rsid w:val="008B0B87"/>
    <w:rsid w:val="008B1882"/>
    <w:rsid w:val="008B19B0"/>
    <w:rsid w:val="008B1F0A"/>
    <w:rsid w:val="008B3EA7"/>
    <w:rsid w:val="008B5277"/>
    <w:rsid w:val="008B799A"/>
    <w:rsid w:val="008C04FD"/>
    <w:rsid w:val="008C129E"/>
    <w:rsid w:val="008C186E"/>
    <w:rsid w:val="008C221F"/>
    <w:rsid w:val="008C28D2"/>
    <w:rsid w:val="008C3FF7"/>
    <w:rsid w:val="008C7177"/>
    <w:rsid w:val="008C727F"/>
    <w:rsid w:val="008D0F5E"/>
    <w:rsid w:val="008D48EF"/>
    <w:rsid w:val="008D4E3E"/>
    <w:rsid w:val="008D53E3"/>
    <w:rsid w:val="008D5D33"/>
    <w:rsid w:val="008D69B2"/>
    <w:rsid w:val="008E0570"/>
    <w:rsid w:val="008E0ED0"/>
    <w:rsid w:val="008E15F3"/>
    <w:rsid w:val="008E302C"/>
    <w:rsid w:val="008E31EF"/>
    <w:rsid w:val="008E36F5"/>
    <w:rsid w:val="008E42A4"/>
    <w:rsid w:val="008E43D4"/>
    <w:rsid w:val="008E4EE7"/>
    <w:rsid w:val="008E5265"/>
    <w:rsid w:val="008E562C"/>
    <w:rsid w:val="008E5907"/>
    <w:rsid w:val="008E5961"/>
    <w:rsid w:val="008E60FA"/>
    <w:rsid w:val="008E6FD2"/>
    <w:rsid w:val="008E7B72"/>
    <w:rsid w:val="008F13E7"/>
    <w:rsid w:val="008F1AED"/>
    <w:rsid w:val="008F1E21"/>
    <w:rsid w:val="008F22F3"/>
    <w:rsid w:val="008F2E69"/>
    <w:rsid w:val="008F3097"/>
    <w:rsid w:val="008F3E00"/>
    <w:rsid w:val="008F40E1"/>
    <w:rsid w:val="008F5096"/>
    <w:rsid w:val="008F5456"/>
    <w:rsid w:val="008F5874"/>
    <w:rsid w:val="008F5D6F"/>
    <w:rsid w:val="008F72E2"/>
    <w:rsid w:val="009018FF"/>
    <w:rsid w:val="00902EE9"/>
    <w:rsid w:val="009032CF"/>
    <w:rsid w:val="009046DA"/>
    <w:rsid w:val="00904C60"/>
    <w:rsid w:val="00905594"/>
    <w:rsid w:val="009056B8"/>
    <w:rsid w:val="0090589B"/>
    <w:rsid w:val="009078C9"/>
    <w:rsid w:val="009114CF"/>
    <w:rsid w:val="00911782"/>
    <w:rsid w:val="0091186B"/>
    <w:rsid w:val="00911C47"/>
    <w:rsid w:val="00913A36"/>
    <w:rsid w:val="009145BE"/>
    <w:rsid w:val="009157F4"/>
    <w:rsid w:val="009161EA"/>
    <w:rsid w:val="009167E0"/>
    <w:rsid w:val="009175A1"/>
    <w:rsid w:val="00917C01"/>
    <w:rsid w:val="00917E48"/>
    <w:rsid w:val="009228C5"/>
    <w:rsid w:val="00931236"/>
    <w:rsid w:val="00931267"/>
    <w:rsid w:val="009313B2"/>
    <w:rsid w:val="00931A37"/>
    <w:rsid w:val="00931C2B"/>
    <w:rsid w:val="00932613"/>
    <w:rsid w:val="009330AF"/>
    <w:rsid w:val="0093417F"/>
    <w:rsid w:val="00934256"/>
    <w:rsid w:val="00934CCC"/>
    <w:rsid w:val="00935358"/>
    <w:rsid w:val="00937742"/>
    <w:rsid w:val="00937F05"/>
    <w:rsid w:val="009400F9"/>
    <w:rsid w:val="00940A0D"/>
    <w:rsid w:val="00940F1E"/>
    <w:rsid w:val="00940F8F"/>
    <w:rsid w:val="00943469"/>
    <w:rsid w:val="00943FFE"/>
    <w:rsid w:val="00944F56"/>
    <w:rsid w:val="00945D7D"/>
    <w:rsid w:val="0094768E"/>
    <w:rsid w:val="009505F0"/>
    <w:rsid w:val="00951DE8"/>
    <w:rsid w:val="00953FA3"/>
    <w:rsid w:val="00954DDD"/>
    <w:rsid w:val="009559B5"/>
    <w:rsid w:val="00955B7E"/>
    <w:rsid w:val="00955D7D"/>
    <w:rsid w:val="0095716D"/>
    <w:rsid w:val="00957221"/>
    <w:rsid w:val="009608D9"/>
    <w:rsid w:val="00960AD5"/>
    <w:rsid w:val="009656E2"/>
    <w:rsid w:val="00966A1B"/>
    <w:rsid w:val="00966BF9"/>
    <w:rsid w:val="00967AAD"/>
    <w:rsid w:val="00971321"/>
    <w:rsid w:val="009718C1"/>
    <w:rsid w:val="00972BC9"/>
    <w:rsid w:val="009737DD"/>
    <w:rsid w:val="00973888"/>
    <w:rsid w:val="00973ABC"/>
    <w:rsid w:val="00977658"/>
    <w:rsid w:val="00977BA4"/>
    <w:rsid w:val="00977D35"/>
    <w:rsid w:val="0098219B"/>
    <w:rsid w:val="009824D2"/>
    <w:rsid w:val="009845FA"/>
    <w:rsid w:val="00985E30"/>
    <w:rsid w:val="00986B43"/>
    <w:rsid w:val="00987555"/>
    <w:rsid w:val="00987B57"/>
    <w:rsid w:val="00987D95"/>
    <w:rsid w:val="009900F1"/>
    <w:rsid w:val="00990964"/>
    <w:rsid w:val="009940BA"/>
    <w:rsid w:val="00994784"/>
    <w:rsid w:val="00994CA9"/>
    <w:rsid w:val="00996291"/>
    <w:rsid w:val="00996855"/>
    <w:rsid w:val="00997023"/>
    <w:rsid w:val="009A5751"/>
    <w:rsid w:val="009A5F96"/>
    <w:rsid w:val="009A65BD"/>
    <w:rsid w:val="009A69D8"/>
    <w:rsid w:val="009A6A49"/>
    <w:rsid w:val="009A6FBA"/>
    <w:rsid w:val="009A7CE1"/>
    <w:rsid w:val="009B0565"/>
    <w:rsid w:val="009B1199"/>
    <w:rsid w:val="009B1470"/>
    <w:rsid w:val="009B2EF1"/>
    <w:rsid w:val="009B381B"/>
    <w:rsid w:val="009B4126"/>
    <w:rsid w:val="009B5D46"/>
    <w:rsid w:val="009B611C"/>
    <w:rsid w:val="009B6596"/>
    <w:rsid w:val="009B71DE"/>
    <w:rsid w:val="009C07FC"/>
    <w:rsid w:val="009C11E5"/>
    <w:rsid w:val="009C20AA"/>
    <w:rsid w:val="009C2AC9"/>
    <w:rsid w:val="009C3415"/>
    <w:rsid w:val="009C3888"/>
    <w:rsid w:val="009C3903"/>
    <w:rsid w:val="009C3C01"/>
    <w:rsid w:val="009C45C0"/>
    <w:rsid w:val="009C53F3"/>
    <w:rsid w:val="009C560C"/>
    <w:rsid w:val="009C5ABD"/>
    <w:rsid w:val="009C7290"/>
    <w:rsid w:val="009D039E"/>
    <w:rsid w:val="009D09C0"/>
    <w:rsid w:val="009D1068"/>
    <w:rsid w:val="009D1959"/>
    <w:rsid w:val="009D235D"/>
    <w:rsid w:val="009D384F"/>
    <w:rsid w:val="009D42BF"/>
    <w:rsid w:val="009D4D75"/>
    <w:rsid w:val="009D638E"/>
    <w:rsid w:val="009D767E"/>
    <w:rsid w:val="009D7E56"/>
    <w:rsid w:val="009E0502"/>
    <w:rsid w:val="009E12A3"/>
    <w:rsid w:val="009E30BF"/>
    <w:rsid w:val="009E56FE"/>
    <w:rsid w:val="009E5FB5"/>
    <w:rsid w:val="009E7E1F"/>
    <w:rsid w:val="009F01F3"/>
    <w:rsid w:val="009F0870"/>
    <w:rsid w:val="009F0C9D"/>
    <w:rsid w:val="009F32DF"/>
    <w:rsid w:val="009F3873"/>
    <w:rsid w:val="009F4285"/>
    <w:rsid w:val="009F4592"/>
    <w:rsid w:val="009F614D"/>
    <w:rsid w:val="00A0107E"/>
    <w:rsid w:val="00A01542"/>
    <w:rsid w:val="00A0548A"/>
    <w:rsid w:val="00A0640C"/>
    <w:rsid w:val="00A0657E"/>
    <w:rsid w:val="00A06DBC"/>
    <w:rsid w:val="00A0711B"/>
    <w:rsid w:val="00A1083B"/>
    <w:rsid w:val="00A112DF"/>
    <w:rsid w:val="00A11974"/>
    <w:rsid w:val="00A11D08"/>
    <w:rsid w:val="00A1249A"/>
    <w:rsid w:val="00A124F0"/>
    <w:rsid w:val="00A13330"/>
    <w:rsid w:val="00A142C2"/>
    <w:rsid w:val="00A1444B"/>
    <w:rsid w:val="00A14F37"/>
    <w:rsid w:val="00A15800"/>
    <w:rsid w:val="00A15ACF"/>
    <w:rsid w:val="00A17F62"/>
    <w:rsid w:val="00A203C4"/>
    <w:rsid w:val="00A21635"/>
    <w:rsid w:val="00A21DD2"/>
    <w:rsid w:val="00A21ED7"/>
    <w:rsid w:val="00A22E25"/>
    <w:rsid w:val="00A2392A"/>
    <w:rsid w:val="00A243FC"/>
    <w:rsid w:val="00A3121E"/>
    <w:rsid w:val="00A31C90"/>
    <w:rsid w:val="00A32037"/>
    <w:rsid w:val="00A320C6"/>
    <w:rsid w:val="00A33AA9"/>
    <w:rsid w:val="00A34B46"/>
    <w:rsid w:val="00A34C71"/>
    <w:rsid w:val="00A34D77"/>
    <w:rsid w:val="00A35CE0"/>
    <w:rsid w:val="00A364D8"/>
    <w:rsid w:val="00A4055A"/>
    <w:rsid w:val="00A41488"/>
    <w:rsid w:val="00A4153E"/>
    <w:rsid w:val="00A418AF"/>
    <w:rsid w:val="00A41BF8"/>
    <w:rsid w:val="00A41DAA"/>
    <w:rsid w:val="00A41F2B"/>
    <w:rsid w:val="00A43E3B"/>
    <w:rsid w:val="00A44950"/>
    <w:rsid w:val="00A44A87"/>
    <w:rsid w:val="00A45238"/>
    <w:rsid w:val="00A45A0F"/>
    <w:rsid w:val="00A47D2A"/>
    <w:rsid w:val="00A5105F"/>
    <w:rsid w:val="00A5171B"/>
    <w:rsid w:val="00A522B6"/>
    <w:rsid w:val="00A52686"/>
    <w:rsid w:val="00A52985"/>
    <w:rsid w:val="00A53A20"/>
    <w:rsid w:val="00A56200"/>
    <w:rsid w:val="00A56706"/>
    <w:rsid w:val="00A567FE"/>
    <w:rsid w:val="00A56EA0"/>
    <w:rsid w:val="00A57CC4"/>
    <w:rsid w:val="00A6298B"/>
    <w:rsid w:val="00A6346A"/>
    <w:rsid w:val="00A63F3D"/>
    <w:rsid w:val="00A653D4"/>
    <w:rsid w:val="00A66128"/>
    <w:rsid w:val="00A66FC6"/>
    <w:rsid w:val="00A6738A"/>
    <w:rsid w:val="00A7106F"/>
    <w:rsid w:val="00A71474"/>
    <w:rsid w:val="00A71AE6"/>
    <w:rsid w:val="00A72EAA"/>
    <w:rsid w:val="00A7313A"/>
    <w:rsid w:val="00A74662"/>
    <w:rsid w:val="00A76034"/>
    <w:rsid w:val="00A77BB7"/>
    <w:rsid w:val="00A80235"/>
    <w:rsid w:val="00A81C1D"/>
    <w:rsid w:val="00A81DAA"/>
    <w:rsid w:val="00A834A4"/>
    <w:rsid w:val="00A83B02"/>
    <w:rsid w:val="00A84373"/>
    <w:rsid w:val="00A84392"/>
    <w:rsid w:val="00A84A7F"/>
    <w:rsid w:val="00A85C7A"/>
    <w:rsid w:val="00A85F65"/>
    <w:rsid w:val="00A87B68"/>
    <w:rsid w:val="00A87D08"/>
    <w:rsid w:val="00A90DC8"/>
    <w:rsid w:val="00A9292C"/>
    <w:rsid w:val="00A92A90"/>
    <w:rsid w:val="00A92D88"/>
    <w:rsid w:val="00A93702"/>
    <w:rsid w:val="00A95EBA"/>
    <w:rsid w:val="00A97332"/>
    <w:rsid w:val="00AA033B"/>
    <w:rsid w:val="00AA2439"/>
    <w:rsid w:val="00AA28A2"/>
    <w:rsid w:val="00AA2989"/>
    <w:rsid w:val="00AA3980"/>
    <w:rsid w:val="00AA4853"/>
    <w:rsid w:val="00AA5D2F"/>
    <w:rsid w:val="00AA6303"/>
    <w:rsid w:val="00AA6755"/>
    <w:rsid w:val="00AA7006"/>
    <w:rsid w:val="00AA7FA9"/>
    <w:rsid w:val="00AB1973"/>
    <w:rsid w:val="00AB2407"/>
    <w:rsid w:val="00AB397D"/>
    <w:rsid w:val="00AB4935"/>
    <w:rsid w:val="00AB4973"/>
    <w:rsid w:val="00AB4D9E"/>
    <w:rsid w:val="00AB53BA"/>
    <w:rsid w:val="00AB79EE"/>
    <w:rsid w:val="00AC1510"/>
    <w:rsid w:val="00AC1863"/>
    <w:rsid w:val="00AC277B"/>
    <w:rsid w:val="00AC37FE"/>
    <w:rsid w:val="00AC478B"/>
    <w:rsid w:val="00AC62D8"/>
    <w:rsid w:val="00AC651F"/>
    <w:rsid w:val="00AC7F8C"/>
    <w:rsid w:val="00AD1446"/>
    <w:rsid w:val="00AD1D82"/>
    <w:rsid w:val="00AD2A71"/>
    <w:rsid w:val="00AD2D1A"/>
    <w:rsid w:val="00AD3138"/>
    <w:rsid w:val="00AD35F4"/>
    <w:rsid w:val="00AD431B"/>
    <w:rsid w:val="00AD5383"/>
    <w:rsid w:val="00AD54EE"/>
    <w:rsid w:val="00AE09D4"/>
    <w:rsid w:val="00AE1402"/>
    <w:rsid w:val="00AE1728"/>
    <w:rsid w:val="00AE1B5C"/>
    <w:rsid w:val="00AE3137"/>
    <w:rsid w:val="00AE3794"/>
    <w:rsid w:val="00AE3EB4"/>
    <w:rsid w:val="00AE49D8"/>
    <w:rsid w:val="00AE538A"/>
    <w:rsid w:val="00AE5785"/>
    <w:rsid w:val="00AE6433"/>
    <w:rsid w:val="00AE660B"/>
    <w:rsid w:val="00AE7143"/>
    <w:rsid w:val="00AE7602"/>
    <w:rsid w:val="00AF01B6"/>
    <w:rsid w:val="00AF1018"/>
    <w:rsid w:val="00AF31AC"/>
    <w:rsid w:val="00AF31BC"/>
    <w:rsid w:val="00AF31DC"/>
    <w:rsid w:val="00AF3533"/>
    <w:rsid w:val="00AF548E"/>
    <w:rsid w:val="00AF5671"/>
    <w:rsid w:val="00AF5C31"/>
    <w:rsid w:val="00AF6697"/>
    <w:rsid w:val="00B01C6D"/>
    <w:rsid w:val="00B02803"/>
    <w:rsid w:val="00B037A2"/>
    <w:rsid w:val="00B0492E"/>
    <w:rsid w:val="00B04BF0"/>
    <w:rsid w:val="00B0514C"/>
    <w:rsid w:val="00B061FB"/>
    <w:rsid w:val="00B06D2A"/>
    <w:rsid w:val="00B11B60"/>
    <w:rsid w:val="00B12E87"/>
    <w:rsid w:val="00B143A9"/>
    <w:rsid w:val="00B14601"/>
    <w:rsid w:val="00B15BCE"/>
    <w:rsid w:val="00B16352"/>
    <w:rsid w:val="00B16824"/>
    <w:rsid w:val="00B16A3E"/>
    <w:rsid w:val="00B17233"/>
    <w:rsid w:val="00B22107"/>
    <w:rsid w:val="00B22F1F"/>
    <w:rsid w:val="00B23BE5"/>
    <w:rsid w:val="00B246F4"/>
    <w:rsid w:val="00B258BD"/>
    <w:rsid w:val="00B2754A"/>
    <w:rsid w:val="00B30FAD"/>
    <w:rsid w:val="00B31292"/>
    <w:rsid w:val="00B31462"/>
    <w:rsid w:val="00B32555"/>
    <w:rsid w:val="00B32AB4"/>
    <w:rsid w:val="00B340B2"/>
    <w:rsid w:val="00B34D6E"/>
    <w:rsid w:val="00B369C0"/>
    <w:rsid w:val="00B3743F"/>
    <w:rsid w:val="00B37BD6"/>
    <w:rsid w:val="00B40281"/>
    <w:rsid w:val="00B40E3F"/>
    <w:rsid w:val="00B4260B"/>
    <w:rsid w:val="00B42E46"/>
    <w:rsid w:val="00B506D4"/>
    <w:rsid w:val="00B51604"/>
    <w:rsid w:val="00B51DFB"/>
    <w:rsid w:val="00B55769"/>
    <w:rsid w:val="00B55A7E"/>
    <w:rsid w:val="00B57997"/>
    <w:rsid w:val="00B57BB0"/>
    <w:rsid w:val="00B609BC"/>
    <w:rsid w:val="00B61462"/>
    <w:rsid w:val="00B62139"/>
    <w:rsid w:val="00B62C83"/>
    <w:rsid w:val="00B63B88"/>
    <w:rsid w:val="00B63F8F"/>
    <w:rsid w:val="00B64ADD"/>
    <w:rsid w:val="00B64B93"/>
    <w:rsid w:val="00B64E20"/>
    <w:rsid w:val="00B65735"/>
    <w:rsid w:val="00B7017B"/>
    <w:rsid w:val="00B70B09"/>
    <w:rsid w:val="00B70D7B"/>
    <w:rsid w:val="00B70EB8"/>
    <w:rsid w:val="00B73680"/>
    <w:rsid w:val="00B7493C"/>
    <w:rsid w:val="00B75D41"/>
    <w:rsid w:val="00B7635B"/>
    <w:rsid w:val="00B769F1"/>
    <w:rsid w:val="00B76AAA"/>
    <w:rsid w:val="00B77087"/>
    <w:rsid w:val="00B81F77"/>
    <w:rsid w:val="00B82501"/>
    <w:rsid w:val="00B83754"/>
    <w:rsid w:val="00B83E70"/>
    <w:rsid w:val="00B8590B"/>
    <w:rsid w:val="00B87E04"/>
    <w:rsid w:val="00B90134"/>
    <w:rsid w:val="00B9118B"/>
    <w:rsid w:val="00B9217B"/>
    <w:rsid w:val="00B93C9E"/>
    <w:rsid w:val="00B9437E"/>
    <w:rsid w:val="00B97D5B"/>
    <w:rsid w:val="00B97ED9"/>
    <w:rsid w:val="00B97EE5"/>
    <w:rsid w:val="00BA25E9"/>
    <w:rsid w:val="00BA3BEF"/>
    <w:rsid w:val="00BA3F24"/>
    <w:rsid w:val="00BA41DF"/>
    <w:rsid w:val="00BA57B3"/>
    <w:rsid w:val="00BA69D3"/>
    <w:rsid w:val="00BA6B4F"/>
    <w:rsid w:val="00BA78FC"/>
    <w:rsid w:val="00BA7938"/>
    <w:rsid w:val="00BA7BE6"/>
    <w:rsid w:val="00BB0654"/>
    <w:rsid w:val="00BB13E9"/>
    <w:rsid w:val="00BB2206"/>
    <w:rsid w:val="00BB312F"/>
    <w:rsid w:val="00BB36A0"/>
    <w:rsid w:val="00BB36C9"/>
    <w:rsid w:val="00BB38B0"/>
    <w:rsid w:val="00BB3EA8"/>
    <w:rsid w:val="00BB49EA"/>
    <w:rsid w:val="00BB6189"/>
    <w:rsid w:val="00BB688A"/>
    <w:rsid w:val="00BB6EFA"/>
    <w:rsid w:val="00BC0B8E"/>
    <w:rsid w:val="00BC1CB0"/>
    <w:rsid w:val="00BC1E69"/>
    <w:rsid w:val="00BC231D"/>
    <w:rsid w:val="00BC7790"/>
    <w:rsid w:val="00BC7B66"/>
    <w:rsid w:val="00BD0174"/>
    <w:rsid w:val="00BD221D"/>
    <w:rsid w:val="00BD2292"/>
    <w:rsid w:val="00BD22D2"/>
    <w:rsid w:val="00BD32A7"/>
    <w:rsid w:val="00BD54BD"/>
    <w:rsid w:val="00BD5DAD"/>
    <w:rsid w:val="00BD6756"/>
    <w:rsid w:val="00BD6769"/>
    <w:rsid w:val="00BD7CB7"/>
    <w:rsid w:val="00BE1CB9"/>
    <w:rsid w:val="00BE1EB2"/>
    <w:rsid w:val="00BE2CBE"/>
    <w:rsid w:val="00BE3F2C"/>
    <w:rsid w:val="00BE56DF"/>
    <w:rsid w:val="00BE700A"/>
    <w:rsid w:val="00BF0D57"/>
    <w:rsid w:val="00BF3824"/>
    <w:rsid w:val="00BF57EF"/>
    <w:rsid w:val="00BF5DDB"/>
    <w:rsid w:val="00BF5E98"/>
    <w:rsid w:val="00BF6887"/>
    <w:rsid w:val="00BF6EB3"/>
    <w:rsid w:val="00BF7275"/>
    <w:rsid w:val="00C00D78"/>
    <w:rsid w:val="00C01A5D"/>
    <w:rsid w:val="00C021DB"/>
    <w:rsid w:val="00C02A45"/>
    <w:rsid w:val="00C02F7A"/>
    <w:rsid w:val="00C03F62"/>
    <w:rsid w:val="00C04799"/>
    <w:rsid w:val="00C0480C"/>
    <w:rsid w:val="00C04A65"/>
    <w:rsid w:val="00C05BEA"/>
    <w:rsid w:val="00C066B6"/>
    <w:rsid w:val="00C066D0"/>
    <w:rsid w:val="00C06827"/>
    <w:rsid w:val="00C10E45"/>
    <w:rsid w:val="00C12021"/>
    <w:rsid w:val="00C12B69"/>
    <w:rsid w:val="00C136BF"/>
    <w:rsid w:val="00C14041"/>
    <w:rsid w:val="00C15115"/>
    <w:rsid w:val="00C16A6F"/>
    <w:rsid w:val="00C16D02"/>
    <w:rsid w:val="00C2084D"/>
    <w:rsid w:val="00C20BFE"/>
    <w:rsid w:val="00C20E44"/>
    <w:rsid w:val="00C2203B"/>
    <w:rsid w:val="00C22505"/>
    <w:rsid w:val="00C22B38"/>
    <w:rsid w:val="00C2480A"/>
    <w:rsid w:val="00C2602B"/>
    <w:rsid w:val="00C268D7"/>
    <w:rsid w:val="00C2783C"/>
    <w:rsid w:val="00C304AD"/>
    <w:rsid w:val="00C31284"/>
    <w:rsid w:val="00C34228"/>
    <w:rsid w:val="00C35209"/>
    <w:rsid w:val="00C353D4"/>
    <w:rsid w:val="00C35E70"/>
    <w:rsid w:val="00C407F7"/>
    <w:rsid w:val="00C42226"/>
    <w:rsid w:val="00C440FC"/>
    <w:rsid w:val="00C44207"/>
    <w:rsid w:val="00C44D0A"/>
    <w:rsid w:val="00C45D09"/>
    <w:rsid w:val="00C474DE"/>
    <w:rsid w:val="00C5077A"/>
    <w:rsid w:val="00C50E13"/>
    <w:rsid w:val="00C51413"/>
    <w:rsid w:val="00C527EA"/>
    <w:rsid w:val="00C53DE4"/>
    <w:rsid w:val="00C54448"/>
    <w:rsid w:val="00C54B48"/>
    <w:rsid w:val="00C56FA3"/>
    <w:rsid w:val="00C6034D"/>
    <w:rsid w:val="00C60B7E"/>
    <w:rsid w:val="00C6169C"/>
    <w:rsid w:val="00C63EC7"/>
    <w:rsid w:val="00C641E5"/>
    <w:rsid w:val="00C652AE"/>
    <w:rsid w:val="00C65B7F"/>
    <w:rsid w:val="00C66DDD"/>
    <w:rsid w:val="00C66DE6"/>
    <w:rsid w:val="00C6756A"/>
    <w:rsid w:val="00C67D73"/>
    <w:rsid w:val="00C67ECC"/>
    <w:rsid w:val="00C7024E"/>
    <w:rsid w:val="00C708BA"/>
    <w:rsid w:val="00C724C0"/>
    <w:rsid w:val="00C738A5"/>
    <w:rsid w:val="00C739DB"/>
    <w:rsid w:val="00C74761"/>
    <w:rsid w:val="00C766FD"/>
    <w:rsid w:val="00C77FB2"/>
    <w:rsid w:val="00C801F6"/>
    <w:rsid w:val="00C81111"/>
    <w:rsid w:val="00C81C30"/>
    <w:rsid w:val="00C81D01"/>
    <w:rsid w:val="00C8258D"/>
    <w:rsid w:val="00C83841"/>
    <w:rsid w:val="00C8490D"/>
    <w:rsid w:val="00C86645"/>
    <w:rsid w:val="00C9050A"/>
    <w:rsid w:val="00C932EA"/>
    <w:rsid w:val="00C94FE0"/>
    <w:rsid w:val="00C95D7C"/>
    <w:rsid w:val="00C9618C"/>
    <w:rsid w:val="00C974D9"/>
    <w:rsid w:val="00C97F08"/>
    <w:rsid w:val="00CA076C"/>
    <w:rsid w:val="00CA38DA"/>
    <w:rsid w:val="00CA3949"/>
    <w:rsid w:val="00CA3BF8"/>
    <w:rsid w:val="00CA4EFD"/>
    <w:rsid w:val="00CA5B0B"/>
    <w:rsid w:val="00CA68A6"/>
    <w:rsid w:val="00CA6ACC"/>
    <w:rsid w:val="00CA71D0"/>
    <w:rsid w:val="00CA76F8"/>
    <w:rsid w:val="00CB0CB2"/>
    <w:rsid w:val="00CB0D55"/>
    <w:rsid w:val="00CB3619"/>
    <w:rsid w:val="00CB4D74"/>
    <w:rsid w:val="00CB5491"/>
    <w:rsid w:val="00CB580D"/>
    <w:rsid w:val="00CB60C2"/>
    <w:rsid w:val="00CB63EA"/>
    <w:rsid w:val="00CB6542"/>
    <w:rsid w:val="00CB66A3"/>
    <w:rsid w:val="00CB7FCE"/>
    <w:rsid w:val="00CC032C"/>
    <w:rsid w:val="00CC158D"/>
    <w:rsid w:val="00CC1F01"/>
    <w:rsid w:val="00CC301A"/>
    <w:rsid w:val="00CC3856"/>
    <w:rsid w:val="00CC38E6"/>
    <w:rsid w:val="00CC3C52"/>
    <w:rsid w:val="00CC4392"/>
    <w:rsid w:val="00CC467D"/>
    <w:rsid w:val="00CC4950"/>
    <w:rsid w:val="00CC4F8D"/>
    <w:rsid w:val="00CC5654"/>
    <w:rsid w:val="00CC6221"/>
    <w:rsid w:val="00CC6307"/>
    <w:rsid w:val="00CC6B7F"/>
    <w:rsid w:val="00CC6FCA"/>
    <w:rsid w:val="00CD02E4"/>
    <w:rsid w:val="00CD18D2"/>
    <w:rsid w:val="00CD1B89"/>
    <w:rsid w:val="00CD35FC"/>
    <w:rsid w:val="00CD43FD"/>
    <w:rsid w:val="00CD55C3"/>
    <w:rsid w:val="00CD5891"/>
    <w:rsid w:val="00CD65A7"/>
    <w:rsid w:val="00CD67AA"/>
    <w:rsid w:val="00CD6F54"/>
    <w:rsid w:val="00CD76EF"/>
    <w:rsid w:val="00CE0894"/>
    <w:rsid w:val="00CE2728"/>
    <w:rsid w:val="00CE4E7F"/>
    <w:rsid w:val="00CE5F9F"/>
    <w:rsid w:val="00CE663A"/>
    <w:rsid w:val="00CE7C22"/>
    <w:rsid w:val="00CF0044"/>
    <w:rsid w:val="00CF0442"/>
    <w:rsid w:val="00CF1C20"/>
    <w:rsid w:val="00CF5BE8"/>
    <w:rsid w:val="00CF5DBC"/>
    <w:rsid w:val="00CF676A"/>
    <w:rsid w:val="00CF6981"/>
    <w:rsid w:val="00CF771C"/>
    <w:rsid w:val="00CF773E"/>
    <w:rsid w:val="00D00532"/>
    <w:rsid w:val="00D00733"/>
    <w:rsid w:val="00D011E6"/>
    <w:rsid w:val="00D0144B"/>
    <w:rsid w:val="00D01989"/>
    <w:rsid w:val="00D033C4"/>
    <w:rsid w:val="00D057E8"/>
    <w:rsid w:val="00D05A82"/>
    <w:rsid w:val="00D0622C"/>
    <w:rsid w:val="00D06D56"/>
    <w:rsid w:val="00D07836"/>
    <w:rsid w:val="00D11DEB"/>
    <w:rsid w:val="00D125DD"/>
    <w:rsid w:val="00D12D63"/>
    <w:rsid w:val="00D145C0"/>
    <w:rsid w:val="00D14C99"/>
    <w:rsid w:val="00D14DA1"/>
    <w:rsid w:val="00D16652"/>
    <w:rsid w:val="00D175C2"/>
    <w:rsid w:val="00D177EA"/>
    <w:rsid w:val="00D206FE"/>
    <w:rsid w:val="00D20E66"/>
    <w:rsid w:val="00D2164C"/>
    <w:rsid w:val="00D21747"/>
    <w:rsid w:val="00D21B02"/>
    <w:rsid w:val="00D21C28"/>
    <w:rsid w:val="00D2241F"/>
    <w:rsid w:val="00D229F6"/>
    <w:rsid w:val="00D22A4E"/>
    <w:rsid w:val="00D236B2"/>
    <w:rsid w:val="00D24942"/>
    <w:rsid w:val="00D25A35"/>
    <w:rsid w:val="00D26010"/>
    <w:rsid w:val="00D271DD"/>
    <w:rsid w:val="00D3190C"/>
    <w:rsid w:val="00D32FF7"/>
    <w:rsid w:val="00D34B89"/>
    <w:rsid w:val="00D37164"/>
    <w:rsid w:val="00D37868"/>
    <w:rsid w:val="00D41021"/>
    <w:rsid w:val="00D429CB"/>
    <w:rsid w:val="00D42AE6"/>
    <w:rsid w:val="00D4354E"/>
    <w:rsid w:val="00D438A4"/>
    <w:rsid w:val="00D46343"/>
    <w:rsid w:val="00D47CFA"/>
    <w:rsid w:val="00D50532"/>
    <w:rsid w:val="00D5069E"/>
    <w:rsid w:val="00D512C4"/>
    <w:rsid w:val="00D52A14"/>
    <w:rsid w:val="00D52A1B"/>
    <w:rsid w:val="00D53B1A"/>
    <w:rsid w:val="00D53D3F"/>
    <w:rsid w:val="00D55D16"/>
    <w:rsid w:val="00D55F9D"/>
    <w:rsid w:val="00D57205"/>
    <w:rsid w:val="00D5726A"/>
    <w:rsid w:val="00D5735B"/>
    <w:rsid w:val="00D5778D"/>
    <w:rsid w:val="00D60F81"/>
    <w:rsid w:val="00D61A0F"/>
    <w:rsid w:val="00D629B6"/>
    <w:rsid w:val="00D63A1F"/>
    <w:rsid w:val="00D63B79"/>
    <w:rsid w:val="00D653F7"/>
    <w:rsid w:val="00D659AD"/>
    <w:rsid w:val="00D66393"/>
    <w:rsid w:val="00D703B4"/>
    <w:rsid w:val="00D70CBA"/>
    <w:rsid w:val="00D72065"/>
    <w:rsid w:val="00D72279"/>
    <w:rsid w:val="00D736AF"/>
    <w:rsid w:val="00D73A02"/>
    <w:rsid w:val="00D73C9D"/>
    <w:rsid w:val="00D73D7B"/>
    <w:rsid w:val="00D74645"/>
    <w:rsid w:val="00D7493D"/>
    <w:rsid w:val="00D74F2E"/>
    <w:rsid w:val="00D76A1F"/>
    <w:rsid w:val="00D771AE"/>
    <w:rsid w:val="00D77CBF"/>
    <w:rsid w:val="00D77E9B"/>
    <w:rsid w:val="00D80839"/>
    <w:rsid w:val="00D80D64"/>
    <w:rsid w:val="00D819F7"/>
    <w:rsid w:val="00D82050"/>
    <w:rsid w:val="00D826BC"/>
    <w:rsid w:val="00D82936"/>
    <w:rsid w:val="00D835B8"/>
    <w:rsid w:val="00D837E2"/>
    <w:rsid w:val="00D84213"/>
    <w:rsid w:val="00D862D4"/>
    <w:rsid w:val="00D877BA"/>
    <w:rsid w:val="00D91F3A"/>
    <w:rsid w:val="00D92F0B"/>
    <w:rsid w:val="00D936C5"/>
    <w:rsid w:val="00D9389D"/>
    <w:rsid w:val="00D94011"/>
    <w:rsid w:val="00D95ED9"/>
    <w:rsid w:val="00D95FE7"/>
    <w:rsid w:val="00D970CD"/>
    <w:rsid w:val="00DA0EF0"/>
    <w:rsid w:val="00DA1B12"/>
    <w:rsid w:val="00DA206E"/>
    <w:rsid w:val="00DA22B8"/>
    <w:rsid w:val="00DA23F4"/>
    <w:rsid w:val="00DA2DEA"/>
    <w:rsid w:val="00DA3FB3"/>
    <w:rsid w:val="00DA480C"/>
    <w:rsid w:val="00DA4C10"/>
    <w:rsid w:val="00DA5B8B"/>
    <w:rsid w:val="00DA5D4D"/>
    <w:rsid w:val="00DA6EE1"/>
    <w:rsid w:val="00DA731B"/>
    <w:rsid w:val="00DA78F2"/>
    <w:rsid w:val="00DA7CDD"/>
    <w:rsid w:val="00DB0AE6"/>
    <w:rsid w:val="00DB1355"/>
    <w:rsid w:val="00DB15E2"/>
    <w:rsid w:val="00DB216D"/>
    <w:rsid w:val="00DB3839"/>
    <w:rsid w:val="00DB3EB6"/>
    <w:rsid w:val="00DB3FC8"/>
    <w:rsid w:val="00DB4070"/>
    <w:rsid w:val="00DB5365"/>
    <w:rsid w:val="00DB56D4"/>
    <w:rsid w:val="00DB70E3"/>
    <w:rsid w:val="00DC0357"/>
    <w:rsid w:val="00DC068B"/>
    <w:rsid w:val="00DC1801"/>
    <w:rsid w:val="00DC1B2C"/>
    <w:rsid w:val="00DC2355"/>
    <w:rsid w:val="00DC26D9"/>
    <w:rsid w:val="00DC348D"/>
    <w:rsid w:val="00DC45F6"/>
    <w:rsid w:val="00DC48F8"/>
    <w:rsid w:val="00DC5BC3"/>
    <w:rsid w:val="00DD08EC"/>
    <w:rsid w:val="00DD0DE1"/>
    <w:rsid w:val="00DD1650"/>
    <w:rsid w:val="00DD6875"/>
    <w:rsid w:val="00DD68F7"/>
    <w:rsid w:val="00DD775D"/>
    <w:rsid w:val="00DD786E"/>
    <w:rsid w:val="00DD7939"/>
    <w:rsid w:val="00DE0D30"/>
    <w:rsid w:val="00DE21D0"/>
    <w:rsid w:val="00DE4045"/>
    <w:rsid w:val="00DE415A"/>
    <w:rsid w:val="00DE4718"/>
    <w:rsid w:val="00DE5388"/>
    <w:rsid w:val="00DE57EF"/>
    <w:rsid w:val="00DE70FF"/>
    <w:rsid w:val="00DE728D"/>
    <w:rsid w:val="00DE7926"/>
    <w:rsid w:val="00DE7B15"/>
    <w:rsid w:val="00DE7E61"/>
    <w:rsid w:val="00DF274A"/>
    <w:rsid w:val="00DF2B64"/>
    <w:rsid w:val="00DF57E7"/>
    <w:rsid w:val="00DF6801"/>
    <w:rsid w:val="00E02757"/>
    <w:rsid w:val="00E03F16"/>
    <w:rsid w:val="00E066AA"/>
    <w:rsid w:val="00E06760"/>
    <w:rsid w:val="00E10FAF"/>
    <w:rsid w:val="00E11538"/>
    <w:rsid w:val="00E122A9"/>
    <w:rsid w:val="00E12439"/>
    <w:rsid w:val="00E12D4B"/>
    <w:rsid w:val="00E136D0"/>
    <w:rsid w:val="00E140A4"/>
    <w:rsid w:val="00E16EC5"/>
    <w:rsid w:val="00E17DB2"/>
    <w:rsid w:val="00E210D3"/>
    <w:rsid w:val="00E22727"/>
    <w:rsid w:val="00E2274C"/>
    <w:rsid w:val="00E22D5E"/>
    <w:rsid w:val="00E230D7"/>
    <w:rsid w:val="00E2351F"/>
    <w:rsid w:val="00E23D97"/>
    <w:rsid w:val="00E25B99"/>
    <w:rsid w:val="00E2627D"/>
    <w:rsid w:val="00E30B95"/>
    <w:rsid w:val="00E311FE"/>
    <w:rsid w:val="00E3168F"/>
    <w:rsid w:val="00E33C57"/>
    <w:rsid w:val="00E33D13"/>
    <w:rsid w:val="00E34227"/>
    <w:rsid w:val="00E36291"/>
    <w:rsid w:val="00E363F6"/>
    <w:rsid w:val="00E36F69"/>
    <w:rsid w:val="00E37D03"/>
    <w:rsid w:val="00E4022C"/>
    <w:rsid w:val="00E4233B"/>
    <w:rsid w:val="00E43080"/>
    <w:rsid w:val="00E4453E"/>
    <w:rsid w:val="00E44E86"/>
    <w:rsid w:val="00E45515"/>
    <w:rsid w:val="00E4607C"/>
    <w:rsid w:val="00E4612C"/>
    <w:rsid w:val="00E46286"/>
    <w:rsid w:val="00E4636A"/>
    <w:rsid w:val="00E47197"/>
    <w:rsid w:val="00E50C27"/>
    <w:rsid w:val="00E51128"/>
    <w:rsid w:val="00E523D2"/>
    <w:rsid w:val="00E527C0"/>
    <w:rsid w:val="00E552EA"/>
    <w:rsid w:val="00E55831"/>
    <w:rsid w:val="00E56193"/>
    <w:rsid w:val="00E5789B"/>
    <w:rsid w:val="00E61877"/>
    <w:rsid w:val="00E626EC"/>
    <w:rsid w:val="00E63C65"/>
    <w:rsid w:val="00E67AD1"/>
    <w:rsid w:val="00E706F9"/>
    <w:rsid w:val="00E70761"/>
    <w:rsid w:val="00E71B7B"/>
    <w:rsid w:val="00E745AD"/>
    <w:rsid w:val="00E745F8"/>
    <w:rsid w:val="00E74AD0"/>
    <w:rsid w:val="00E752B4"/>
    <w:rsid w:val="00E75DFD"/>
    <w:rsid w:val="00E7674D"/>
    <w:rsid w:val="00E76D2B"/>
    <w:rsid w:val="00E77002"/>
    <w:rsid w:val="00E77B73"/>
    <w:rsid w:val="00E77C1A"/>
    <w:rsid w:val="00E827F6"/>
    <w:rsid w:val="00E83FA6"/>
    <w:rsid w:val="00E84E81"/>
    <w:rsid w:val="00E858E9"/>
    <w:rsid w:val="00E86654"/>
    <w:rsid w:val="00E8684E"/>
    <w:rsid w:val="00E91410"/>
    <w:rsid w:val="00E9288E"/>
    <w:rsid w:val="00E93A1B"/>
    <w:rsid w:val="00E94B83"/>
    <w:rsid w:val="00E94FDC"/>
    <w:rsid w:val="00E95644"/>
    <w:rsid w:val="00E97442"/>
    <w:rsid w:val="00EA00F1"/>
    <w:rsid w:val="00EA0B1F"/>
    <w:rsid w:val="00EA1357"/>
    <w:rsid w:val="00EA193E"/>
    <w:rsid w:val="00EA1F0A"/>
    <w:rsid w:val="00EA2B05"/>
    <w:rsid w:val="00EA32DE"/>
    <w:rsid w:val="00EA3E86"/>
    <w:rsid w:val="00EA4310"/>
    <w:rsid w:val="00EA64D4"/>
    <w:rsid w:val="00EA66EC"/>
    <w:rsid w:val="00EB3549"/>
    <w:rsid w:val="00EB4574"/>
    <w:rsid w:val="00EB5414"/>
    <w:rsid w:val="00EB6BB3"/>
    <w:rsid w:val="00EC15BF"/>
    <w:rsid w:val="00EC2007"/>
    <w:rsid w:val="00EC301D"/>
    <w:rsid w:val="00EC3731"/>
    <w:rsid w:val="00EC4295"/>
    <w:rsid w:val="00EC4D5E"/>
    <w:rsid w:val="00EC4D81"/>
    <w:rsid w:val="00EC5F6A"/>
    <w:rsid w:val="00EC75C5"/>
    <w:rsid w:val="00ED0B12"/>
    <w:rsid w:val="00ED0FE3"/>
    <w:rsid w:val="00ED14BE"/>
    <w:rsid w:val="00ED1E7E"/>
    <w:rsid w:val="00ED259E"/>
    <w:rsid w:val="00ED25A7"/>
    <w:rsid w:val="00ED271C"/>
    <w:rsid w:val="00ED38FF"/>
    <w:rsid w:val="00ED3AAB"/>
    <w:rsid w:val="00ED43A3"/>
    <w:rsid w:val="00ED5175"/>
    <w:rsid w:val="00ED5F21"/>
    <w:rsid w:val="00ED6B9E"/>
    <w:rsid w:val="00EE0D7C"/>
    <w:rsid w:val="00EE1B66"/>
    <w:rsid w:val="00EE29C2"/>
    <w:rsid w:val="00EE4D3E"/>
    <w:rsid w:val="00EE4DAE"/>
    <w:rsid w:val="00EE5655"/>
    <w:rsid w:val="00EE5E82"/>
    <w:rsid w:val="00EF0347"/>
    <w:rsid w:val="00EF05B3"/>
    <w:rsid w:val="00EF153A"/>
    <w:rsid w:val="00EF1C70"/>
    <w:rsid w:val="00EF298A"/>
    <w:rsid w:val="00EF3628"/>
    <w:rsid w:val="00EF42E1"/>
    <w:rsid w:val="00EF4A7C"/>
    <w:rsid w:val="00EF5C72"/>
    <w:rsid w:val="00EF6290"/>
    <w:rsid w:val="00EF6B1F"/>
    <w:rsid w:val="00EF7010"/>
    <w:rsid w:val="00EF74A1"/>
    <w:rsid w:val="00EF7FE5"/>
    <w:rsid w:val="00F00013"/>
    <w:rsid w:val="00F008DA"/>
    <w:rsid w:val="00F0251B"/>
    <w:rsid w:val="00F0641A"/>
    <w:rsid w:val="00F07887"/>
    <w:rsid w:val="00F10DF4"/>
    <w:rsid w:val="00F12F57"/>
    <w:rsid w:val="00F146B1"/>
    <w:rsid w:val="00F14CC9"/>
    <w:rsid w:val="00F154E7"/>
    <w:rsid w:val="00F158CF"/>
    <w:rsid w:val="00F17A18"/>
    <w:rsid w:val="00F2067F"/>
    <w:rsid w:val="00F216B7"/>
    <w:rsid w:val="00F21ED4"/>
    <w:rsid w:val="00F21F0E"/>
    <w:rsid w:val="00F2265D"/>
    <w:rsid w:val="00F22F91"/>
    <w:rsid w:val="00F23A31"/>
    <w:rsid w:val="00F23E6B"/>
    <w:rsid w:val="00F245CE"/>
    <w:rsid w:val="00F24F53"/>
    <w:rsid w:val="00F25414"/>
    <w:rsid w:val="00F26293"/>
    <w:rsid w:val="00F26A91"/>
    <w:rsid w:val="00F27868"/>
    <w:rsid w:val="00F27C7E"/>
    <w:rsid w:val="00F318DC"/>
    <w:rsid w:val="00F34826"/>
    <w:rsid w:val="00F34B0F"/>
    <w:rsid w:val="00F34F65"/>
    <w:rsid w:val="00F35E2E"/>
    <w:rsid w:val="00F3622B"/>
    <w:rsid w:val="00F36CE5"/>
    <w:rsid w:val="00F371E5"/>
    <w:rsid w:val="00F377BF"/>
    <w:rsid w:val="00F4108A"/>
    <w:rsid w:val="00F410FE"/>
    <w:rsid w:val="00F414B2"/>
    <w:rsid w:val="00F414BF"/>
    <w:rsid w:val="00F42D45"/>
    <w:rsid w:val="00F44521"/>
    <w:rsid w:val="00F44961"/>
    <w:rsid w:val="00F44AAD"/>
    <w:rsid w:val="00F45DC4"/>
    <w:rsid w:val="00F45E7F"/>
    <w:rsid w:val="00F4723A"/>
    <w:rsid w:val="00F50AF0"/>
    <w:rsid w:val="00F51E69"/>
    <w:rsid w:val="00F52071"/>
    <w:rsid w:val="00F53030"/>
    <w:rsid w:val="00F53F98"/>
    <w:rsid w:val="00F54030"/>
    <w:rsid w:val="00F54493"/>
    <w:rsid w:val="00F54716"/>
    <w:rsid w:val="00F549F8"/>
    <w:rsid w:val="00F55DF0"/>
    <w:rsid w:val="00F5698A"/>
    <w:rsid w:val="00F579F0"/>
    <w:rsid w:val="00F57E06"/>
    <w:rsid w:val="00F61C95"/>
    <w:rsid w:val="00F622EF"/>
    <w:rsid w:val="00F628FA"/>
    <w:rsid w:val="00F62FA7"/>
    <w:rsid w:val="00F63805"/>
    <w:rsid w:val="00F651F8"/>
    <w:rsid w:val="00F6592A"/>
    <w:rsid w:val="00F65BA7"/>
    <w:rsid w:val="00F66442"/>
    <w:rsid w:val="00F67F30"/>
    <w:rsid w:val="00F70ECF"/>
    <w:rsid w:val="00F71347"/>
    <w:rsid w:val="00F717BD"/>
    <w:rsid w:val="00F71E88"/>
    <w:rsid w:val="00F7232E"/>
    <w:rsid w:val="00F73963"/>
    <w:rsid w:val="00F75049"/>
    <w:rsid w:val="00F76D30"/>
    <w:rsid w:val="00F805AA"/>
    <w:rsid w:val="00F810EC"/>
    <w:rsid w:val="00F816C3"/>
    <w:rsid w:val="00F82E40"/>
    <w:rsid w:val="00F8303E"/>
    <w:rsid w:val="00F83F60"/>
    <w:rsid w:val="00F84651"/>
    <w:rsid w:val="00F84789"/>
    <w:rsid w:val="00F848E4"/>
    <w:rsid w:val="00F84984"/>
    <w:rsid w:val="00F853F4"/>
    <w:rsid w:val="00F855C5"/>
    <w:rsid w:val="00F85D39"/>
    <w:rsid w:val="00F86943"/>
    <w:rsid w:val="00F86EF4"/>
    <w:rsid w:val="00F8762E"/>
    <w:rsid w:val="00F90D4B"/>
    <w:rsid w:val="00F91D8E"/>
    <w:rsid w:val="00F93C3B"/>
    <w:rsid w:val="00F942D9"/>
    <w:rsid w:val="00FA0E73"/>
    <w:rsid w:val="00FA2279"/>
    <w:rsid w:val="00FA4595"/>
    <w:rsid w:val="00FA529E"/>
    <w:rsid w:val="00FA57C6"/>
    <w:rsid w:val="00FA6599"/>
    <w:rsid w:val="00FA70EA"/>
    <w:rsid w:val="00FB0A56"/>
    <w:rsid w:val="00FB0E78"/>
    <w:rsid w:val="00FB1448"/>
    <w:rsid w:val="00FB2A4F"/>
    <w:rsid w:val="00FB63B4"/>
    <w:rsid w:val="00FB6A67"/>
    <w:rsid w:val="00FB6CC4"/>
    <w:rsid w:val="00FC072D"/>
    <w:rsid w:val="00FC078F"/>
    <w:rsid w:val="00FC1021"/>
    <w:rsid w:val="00FC2932"/>
    <w:rsid w:val="00FC316E"/>
    <w:rsid w:val="00FC3351"/>
    <w:rsid w:val="00FC3C27"/>
    <w:rsid w:val="00FC4137"/>
    <w:rsid w:val="00FC6147"/>
    <w:rsid w:val="00FC64D7"/>
    <w:rsid w:val="00FC6689"/>
    <w:rsid w:val="00FD0C1D"/>
    <w:rsid w:val="00FD3314"/>
    <w:rsid w:val="00FD3B00"/>
    <w:rsid w:val="00FD604F"/>
    <w:rsid w:val="00FD6892"/>
    <w:rsid w:val="00FD734F"/>
    <w:rsid w:val="00FD77EE"/>
    <w:rsid w:val="00FD7FEB"/>
    <w:rsid w:val="00FE1283"/>
    <w:rsid w:val="00FE1807"/>
    <w:rsid w:val="00FE1F22"/>
    <w:rsid w:val="00FE40E4"/>
    <w:rsid w:val="00FE4A28"/>
    <w:rsid w:val="00FE6A58"/>
    <w:rsid w:val="00FE6B1B"/>
    <w:rsid w:val="00FE6D86"/>
    <w:rsid w:val="00FE7067"/>
    <w:rsid w:val="00FE7E17"/>
    <w:rsid w:val="00FE7EA2"/>
    <w:rsid w:val="00FF1B0E"/>
    <w:rsid w:val="00FF32EA"/>
    <w:rsid w:val="00FF39B9"/>
    <w:rsid w:val="00FF3CBA"/>
    <w:rsid w:val="00FF4FF3"/>
    <w:rsid w:val="00FF65E3"/>
    <w:rsid w:val="00FF6759"/>
    <w:rsid w:val="00FF6E32"/>
    <w:rsid w:val="00FF6F1C"/>
    <w:rsid w:val="00FF7E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CB9"/>
    <w:pPr>
      <w:spacing w:line="480" w:lineRule="auto"/>
      <w:jc w:val="both"/>
    </w:pPr>
    <w:rPr>
      <w:rFonts w:ascii="Times New Roman" w:hAnsi="Times New Roman"/>
      <w:sz w:val="26"/>
      <w:szCs w:val="22"/>
      <w:lang w:eastAsia="en-US"/>
    </w:rPr>
  </w:style>
  <w:style w:type="paragraph" w:styleId="Heading1">
    <w:name w:val="heading 1"/>
    <w:basedOn w:val="Normal"/>
    <w:next w:val="Normal"/>
    <w:link w:val="Heading1Char"/>
    <w:uiPriority w:val="9"/>
    <w:qFormat/>
    <w:rsid w:val="00A11D08"/>
    <w:pPr>
      <w:keepNext/>
      <w:keepLines/>
      <w:spacing w:before="240"/>
      <w:outlineLvl w:val="0"/>
    </w:pPr>
    <w:rPr>
      <w:rFonts w:ascii="Cambria" w:eastAsia="Times New Roman" w:hAnsi="Cambria"/>
      <w:color w:val="365F91"/>
      <w:sz w:val="32"/>
      <w:szCs w:val="32"/>
    </w:rPr>
  </w:style>
  <w:style w:type="paragraph" w:styleId="Heading2">
    <w:name w:val="heading 2"/>
    <w:basedOn w:val="Normal"/>
    <w:next w:val="Normal"/>
    <w:link w:val="Heading2Char"/>
    <w:unhideWhenUsed/>
    <w:qFormat/>
    <w:rsid w:val="002C354A"/>
    <w:pPr>
      <w:keepNext/>
      <w:autoSpaceDE w:val="0"/>
      <w:autoSpaceDN w:val="0"/>
      <w:adjustRightInd w:val="0"/>
      <w:spacing w:before="480" w:line="240" w:lineRule="auto"/>
      <w:outlineLvl w:val="1"/>
    </w:pPr>
    <w:rPr>
      <w:rFonts w:ascii="Arial" w:eastAsia="Times New Roman" w:hAnsi="Arial"/>
      <w:b/>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
      </w:numPr>
      <w:spacing w:line="360" w:lineRule="auto"/>
      <w:ind w:left="0" w:firstLine="0"/>
    </w:pPr>
  </w:style>
  <w:style w:type="paragraph" w:customStyle="1" w:styleId="JUDGMENTCONTINUED">
    <w:name w:val="JUDGMENT CONTINUED"/>
    <w:basedOn w:val="JUDGMENTNUMBERED"/>
    <w:next w:val="JUDGMENTNUMBERED"/>
    <w:qFormat/>
    <w:rsid w:val="00C63EC7"/>
    <w:pPr>
      <w:numPr>
        <w:numId w:val="0"/>
      </w:numPr>
    </w:p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qFormat/>
    <w:rsid w:val="00C63EC7"/>
    <w:pPr>
      <w:ind w:left="720"/>
      <w:contextualSpacing/>
    </w:p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FootnoteText1"/>
    <w:link w:val="FootnoteTextChar"/>
    <w:uiPriority w:val="99"/>
    <w:unhideWhenUsed/>
    <w:qFormat/>
    <w:rsid w:val="00CB63EA"/>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CB63EA"/>
    <w:rPr>
      <w:rFonts w:ascii="Times New Roman" w:hAnsi="Times New Roman"/>
      <w:szCs w:val="22"/>
      <w:lang w:val="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Heading 6 Char1,do not use4 Char1,-E Fußnotenzeichen"/>
    <w:uiPriority w:val="99"/>
    <w:unhideWhenUsed/>
    <w:qFormat/>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link w:val="Header"/>
    <w:uiPriority w:val="99"/>
    <w:rsid w:val="008C727F"/>
    <w:rPr>
      <w:rFonts w:ascii="Times New Roman" w:hAnsi="Times New Roman"/>
      <w:sz w:val="26"/>
    </w:rPr>
  </w:style>
  <w:style w:type="paragraph" w:styleId="Footer">
    <w:name w:val="footer"/>
    <w:basedOn w:val="Normal"/>
    <w:link w:val="FooterChar"/>
    <w:unhideWhenUsed/>
    <w:rsid w:val="008C727F"/>
    <w:pPr>
      <w:tabs>
        <w:tab w:val="center" w:pos="4680"/>
        <w:tab w:val="right" w:pos="9360"/>
      </w:tabs>
      <w:spacing w:line="240" w:lineRule="auto"/>
    </w:pPr>
  </w:style>
  <w:style w:type="character" w:customStyle="1" w:styleId="FooterChar">
    <w:name w:val="Footer Char"/>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JUDGMENTNUMBEREDChar">
    <w:name w:val="JUDGMENT NUMBERED Char"/>
    <w:link w:val="JUDGMENTNUMBERED"/>
    <w:rsid w:val="00C63EC7"/>
    <w:rPr>
      <w:rFonts w:ascii="Times New Roman" w:hAnsi="Times New Roman"/>
      <w:sz w:val="26"/>
      <w:szCs w:val="22"/>
      <w:lang w:val="en-ZA"/>
    </w:rPr>
  </w:style>
  <w:style w:type="character" w:customStyle="1" w:styleId="LISTChar">
    <w:name w:val="LIST Char"/>
    <w:link w:val="List1"/>
    <w:rsid w:val="00C63EC7"/>
    <w:rPr>
      <w:rFonts w:ascii="Times New Roman" w:hAnsi="Times New Roman"/>
      <w:sz w:val="26"/>
      <w:szCs w:val="22"/>
      <w:lang w:val="en-ZA"/>
    </w:rPr>
  </w:style>
  <w:style w:type="character" w:customStyle="1" w:styleId="HEADINGChar">
    <w:name w:val="HEADING 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link w:val="BODYNON-NUMBERED"/>
    <w:rsid w:val="007B5814"/>
    <w:rPr>
      <w:rFonts w:ascii="Times New Roman" w:hAnsi="Times New Roman"/>
      <w:sz w:val="26"/>
      <w:szCs w:val="22"/>
      <w:lang w:val="en-ZA"/>
    </w:rPr>
  </w:style>
  <w:style w:type="paragraph" w:customStyle="1" w:styleId="1">
    <w:name w:val="1"/>
    <w:basedOn w:val="Normal"/>
    <w:link w:val="1Char"/>
    <w:qFormat/>
    <w:rsid w:val="007C2BC0"/>
    <w:pPr>
      <w:numPr>
        <w:numId w:val="14"/>
      </w:numPr>
      <w:spacing w:before="480"/>
    </w:pPr>
    <w:rPr>
      <w:rFonts w:ascii="Arial" w:eastAsia="Times New Roman" w:hAnsi="Arial"/>
      <w:iCs/>
      <w:color w:val="000000"/>
      <w:sz w:val="24"/>
      <w:lang w:val="en-GB"/>
    </w:rPr>
  </w:style>
  <w:style w:type="paragraph" w:customStyle="1" w:styleId="2">
    <w:name w:val="2"/>
    <w:basedOn w:val="1"/>
    <w:qFormat/>
    <w:rsid w:val="007C2BC0"/>
    <w:pPr>
      <w:numPr>
        <w:ilvl w:val="1"/>
      </w:numPr>
      <w:spacing w:before="240"/>
    </w:pPr>
  </w:style>
  <w:style w:type="paragraph" w:customStyle="1" w:styleId="3">
    <w:name w:val="3"/>
    <w:basedOn w:val="2"/>
    <w:qFormat/>
    <w:rsid w:val="007C2BC0"/>
    <w:pPr>
      <w:numPr>
        <w:ilvl w:val="2"/>
      </w:numPr>
    </w:pPr>
  </w:style>
  <w:style w:type="paragraph" w:customStyle="1" w:styleId="4">
    <w:name w:val="4"/>
    <w:basedOn w:val="2"/>
    <w:qFormat/>
    <w:rsid w:val="007C2BC0"/>
    <w:pPr>
      <w:numPr>
        <w:ilvl w:val="3"/>
      </w:numPr>
    </w:pPr>
    <w:rPr>
      <w:iCs w:val="0"/>
    </w:rPr>
  </w:style>
  <w:style w:type="paragraph" w:customStyle="1" w:styleId="5">
    <w:name w:val="5"/>
    <w:basedOn w:val="4"/>
    <w:qFormat/>
    <w:rsid w:val="007C2BC0"/>
    <w:pPr>
      <w:numPr>
        <w:ilvl w:val="4"/>
      </w:numPr>
    </w:pPr>
    <w:rPr>
      <w:iCs/>
      <w:szCs w:val="16"/>
      <w:lang w:eastAsia="en-ZA"/>
    </w:rPr>
  </w:style>
  <w:style w:type="character" w:customStyle="1" w:styleId="1Char">
    <w:name w:val="1 Char"/>
    <w:link w:val="1"/>
    <w:rsid w:val="007C2BC0"/>
    <w:rPr>
      <w:rFonts w:ascii="Arial" w:eastAsia="Times New Roman" w:hAnsi="Arial"/>
      <w:iCs/>
      <w:color w:val="000000"/>
      <w:sz w:val="24"/>
      <w:szCs w:val="22"/>
      <w:lang w:val="en-GB"/>
    </w:rPr>
  </w:style>
  <w:style w:type="character" w:customStyle="1" w:styleId="Heading2Char">
    <w:name w:val="Heading 2 Char"/>
    <w:link w:val="Heading2"/>
    <w:rsid w:val="002C354A"/>
    <w:rPr>
      <w:rFonts w:ascii="Arial" w:eastAsia="Times New Roman" w:hAnsi="Arial" w:cs="Times New Roman"/>
      <w:b/>
      <w:bCs/>
      <w:i/>
      <w:sz w:val="24"/>
      <w:szCs w:val="26"/>
      <w:lang w:val="en-GB"/>
    </w:rPr>
  </w:style>
  <w:style w:type="paragraph" w:styleId="Quote">
    <w:name w:val="Quote"/>
    <w:aliases w:val="quote"/>
    <w:basedOn w:val="Normal"/>
    <w:link w:val="QuoteChar"/>
    <w:uiPriority w:val="29"/>
    <w:qFormat/>
    <w:rsid w:val="002C354A"/>
    <w:pPr>
      <w:spacing w:before="120" w:line="240" w:lineRule="auto"/>
      <w:ind w:left="1701"/>
    </w:pPr>
    <w:rPr>
      <w:rFonts w:ascii="Arial" w:hAnsi="Arial"/>
      <w:i/>
      <w:iCs/>
      <w:color w:val="000000"/>
      <w:sz w:val="24"/>
      <w:lang w:val="en-GB"/>
    </w:rPr>
  </w:style>
  <w:style w:type="character" w:customStyle="1" w:styleId="QuoteChar">
    <w:name w:val="Quote Char"/>
    <w:aliases w:val="quote Char"/>
    <w:link w:val="Quote"/>
    <w:uiPriority w:val="29"/>
    <w:rsid w:val="002C354A"/>
    <w:rPr>
      <w:rFonts w:ascii="Arial" w:eastAsia="Calibri" w:hAnsi="Arial" w:cs="Times New Roman"/>
      <w:i/>
      <w:iCs/>
      <w:color w:val="000000"/>
      <w:sz w:val="24"/>
      <w:szCs w:val="22"/>
      <w:lang w:val="en-GB"/>
    </w:rPr>
  </w:style>
  <w:style w:type="character" w:customStyle="1" w:styleId="Heading1Char">
    <w:name w:val="Heading 1 Char"/>
    <w:link w:val="Heading1"/>
    <w:uiPriority w:val="9"/>
    <w:rsid w:val="00A11D08"/>
    <w:rPr>
      <w:rFonts w:ascii="Cambria" w:eastAsia="Times New Roman" w:hAnsi="Cambria" w:cs="Times New Roman"/>
      <w:color w:val="365F91"/>
      <w:sz w:val="32"/>
      <w:szCs w:val="32"/>
      <w:lang w:val="en-ZA"/>
    </w:rPr>
  </w:style>
  <w:style w:type="paragraph" w:customStyle="1" w:styleId="lg-a-1">
    <w:name w:val="lg-a-1"/>
    <w:basedOn w:val="Normal"/>
    <w:rsid w:val="006F2D8E"/>
    <w:pPr>
      <w:spacing w:before="100" w:beforeAutospacing="1" w:after="100" w:afterAutospacing="1" w:line="240" w:lineRule="auto"/>
      <w:jc w:val="left"/>
    </w:pPr>
    <w:rPr>
      <w:sz w:val="24"/>
      <w:szCs w:val="24"/>
      <w:lang w:val="en-US"/>
    </w:rPr>
  </w:style>
  <w:style w:type="character" w:styleId="CommentReference">
    <w:name w:val="annotation reference"/>
    <w:uiPriority w:val="99"/>
    <w:semiHidden/>
    <w:unhideWhenUsed/>
    <w:rsid w:val="00722040"/>
    <w:rPr>
      <w:sz w:val="16"/>
      <w:szCs w:val="16"/>
    </w:rPr>
  </w:style>
  <w:style w:type="paragraph" w:styleId="CommentText">
    <w:name w:val="annotation text"/>
    <w:basedOn w:val="Normal"/>
    <w:link w:val="CommentTextChar"/>
    <w:uiPriority w:val="99"/>
    <w:unhideWhenUsed/>
    <w:rsid w:val="00722040"/>
    <w:rPr>
      <w:sz w:val="20"/>
      <w:szCs w:val="20"/>
    </w:rPr>
  </w:style>
  <w:style w:type="character" w:customStyle="1" w:styleId="CommentTextChar">
    <w:name w:val="Comment Text Char"/>
    <w:link w:val="CommentText"/>
    <w:uiPriority w:val="99"/>
    <w:rsid w:val="007220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22040"/>
    <w:rPr>
      <w:b/>
      <w:bCs/>
    </w:rPr>
  </w:style>
  <w:style w:type="character" w:customStyle="1" w:styleId="CommentSubjectChar">
    <w:name w:val="Comment Subject Char"/>
    <w:link w:val="CommentSubject"/>
    <w:uiPriority w:val="99"/>
    <w:semiHidden/>
    <w:rsid w:val="00722040"/>
    <w:rPr>
      <w:rFonts w:ascii="Times New Roman" w:hAnsi="Times New Roman"/>
      <w:b/>
      <w:bCs/>
      <w:lang w:eastAsia="en-US"/>
    </w:rPr>
  </w:style>
  <w:style w:type="paragraph" w:styleId="Revision">
    <w:name w:val="Revision"/>
    <w:hidden/>
    <w:uiPriority w:val="99"/>
    <w:semiHidden/>
    <w:rsid w:val="00310CE5"/>
    <w:rPr>
      <w:rFonts w:ascii="Times New Roman" w:hAnsi="Times New Roman"/>
      <w:sz w:val="26"/>
      <w:szCs w:val="22"/>
      <w:lang w:eastAsia="en-US"/>
    </w:rPr>
  </w:style>
  <w:style w:type="paragraph" w:styleId="Subtitle">
    <w:name w:val="Subtitle"/>
    <w:basedOn w:val="Normal"/>
    <w:next w:val="Normal"/>
    <w:link w:val="SubtitleChar"/>
    <w:uiPriority w:val="11"/>
    <w:qFormat/>
    <w:rsid w:val="00EA193E"/>
    <w:pPr>
      <w:spacing w:after="160" w:line="256" w:lineRule="auto"/>
      <w:jc w:val="left"/>
    </w:pPr>
    <w:rPr>
      <w:rFonts w:ascii="Calibri" w:eastAsia="Times New Roman" w:hAnsi="Calibri"/>
      <w:color w:val="5A5A5A"/>
      <w:spacing w:val="15"/>
      <w:sz w:val="22"/>
    </w:rPr>
  </w:style>
  <w:style w:type="character" w:customStyle="1" w:styleId="SubtitleChar">
    <w:name w:val="Subtitle Char"/>
    <w:link w:val="Subtitle"/>
    <w:uiPriority w:val="11"/>
    <w:rsid w:val="00EA193E"/>
    <w:rPr>
      <w:rFonts w:eastAsia="Times New Roman"/>
      <w:color w:val="5A5A5A"/>
      <w:spacing w:val="15"/>
      <w:sz w:val="22"/>
      <w:szCs w:val="22"/>
      <w:lang w:eastAsia="en-US"/>
    </w:rPr>
  </w:style>
  <w:style w:type="character" w:styleId="SubtleEmphasis">
    <w:name w:val="Subtle Emphasis"/>
    <w:uiPriority w:val="19"/>
    <w:qFormat/>
    <w:rsid w:val="00EA193E"/>
    <w:rPr>
      <w:i/>
      <w:iCs/>
      <w:color w:val="404040"/>
    </w:rPr>
  </w:style>
  <w:style w:type="character" w:styleId="Emphasis">
    <w:name w:val="Emphasis"/>
    <w:uiPriority w:val="20"/>
    <w:qFormat/>
    <w:rsid w:val="00EA193E"/>
    <w:rPr>
      <w:i/>
      <w:iCs/>
    </w:rPr>
  </w:style>
  <w:style w:type="paragraph" w:customStyle="1" w:styleId="Style1">
    <w:name w:val="Style1"/>
    <w:basedOn w:val="4"/>
    <w:qFormat/>
    <w:rsid w:val="00570288"/>
    <w:pPr>
      <w:numPr>
        <w:ilvl w:val="0"/>
        <w:numId w:val="22"/>
      </w:numPr>
    </w:pPr>
    <w:rPr>
      <w:rFonts w:ascii="Times New Roman" w:hAnsi="Times New Roman"/>
    </w:rPr>
  </w:style>
  <w:style w:type="character" w:styleId="Hyperlink">
    <w:name w:val="Hyperlink"/>
    <w:uiPriority w:val="99"/>
    <w:unhideWhenUsed/>
    <w:rsid w:val="004A1FC6"/>
    <w:rPr>
      <w:color w:val="0563C1"/>
      <w:u w:val="single"/>
    </w:rPr>
  </w:style>
  <w:style w:type="character" w:styleId="FollowedHyperlink">
    <w:name w:val="FollowedHyperlink"/>
    <w:uiPriority w:val="99"/>
    <w:semiHidden/>
    <w:unhideWhenUsed/>
    <w:rsid w:val="00443E7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1783">
      <w:bodyDiv w:val="1"/>
      <w:marLeft w:val="0"/>
      <w:marRight w:val="0"/>
      <w:marTop w:val="0"/>
      <w:marBottom w:val="0"/>
      <w:divBdr>
        <w:top w:val="none" w:sz="0" w:space="0" w:color="auto"/>
        <w:left w:val="none" w:sz="0" w:space="0" w:color="auto"/>
        <w:bottom w:val="none" w:sz="0" w:space="0" w:color="auto"/>
        <w:right w:val="none" w:sz="0" w:space="0" w:color="auto"/>
      </w:divBdr>
    </w:div>
    <w:div w:id="292028958">
      <w:bodyDiv w:val="1"/>
      <w:marLeft w:val="0"/>
      <w:marRight w:val="0"/>
      <w:marTop w:val="0"/>
      <w:marBottom w:val="0"/>
      <w:divBdr>
        <w:top w:val="none" w:sz="0" w:space="0" w:color="auto"/>
        <w:left w:val="none" w:sz="0" w:space="0" w:color="auto"/>
        <w:bottom w:val="none" w:sz="0" w:space="0" w:color="auto"/>
        <w:right w:val="none" w:sz="0" w:space="0" w:color="auto"/>
      </w:divBdr>
    </w:div>
    <w:div w:id="377513484">
      <w:bodyDiv w:val="1"/>
      <w:marLeft w:val="0"/>
      <w:marRight w:val="0"/>
      <w:marTop w:val="0"/>
      <w:marBottom w:val="0"/>
      <w:divBdr>
        <w:top w:val="none" w:sz="0" w:space="0" w:color="auto"/>
        <w:left w:val="none" w:sz="0" w:space="0" w:color="auto"/>
        <w:bottom w:val="none" w:sz="0" w:space="0" w:color="auto"/>
        <w:right w:val="none" w:sz="0" w:space="0" w:color="auto"/>
      </w:divBdr>
    </w:div>
    <w:div w:id="407774211">
      <w:bodyDiv w:val="1"/>
      <w:marLeft w:val="0"/>
      <w:marRight w:val="0"/>
      <w:marTop w:val="0"/>
      <w:marBottom w:val="0"/>
      <w:divBdr>
        <w:top w:val="none" w:sz="0" w:space="0" w:color="auto"/>
        <w:left w:val="none" w:sz="0" w:space="0" w:color="auto"/>
        <w:bottom w:val="none" w:sz="0" w:space="0" w:color="auto"/>
        <w:right w:val="none" w:sz="0" w:space="0" w:color="auto"/>
      </w:divBdr>
    </w:div>
    <w:div w:id="415709656">
      <w:bodyDiv w:val="1"/>
      <w:marLeft w:val="0"/>
      <w:marRight w:val="0"/>
      <w:marTop w:val="0"/>
      <w:marBottom w:val="0"/>
      <w:divBdr>
        <w:top w:val="none" w:sz="0" w:space="0" w:color="auto"/>
        <w:left w:val="none" w:sz="0" w:space="0" w:color="auto"/>
        <w:bottom w:val="none" w:sz="0" w:space="0" w:color="auto"/>
        <w:right w:val="none" w:sz="0" w:space="0" w:color="auto"/>
      </w:divBdr>
    </w:div>
    <w:div w:id="473717169">
      <w:bodyDiv w:val="1"/>
      <w:marLeft w:val="0"/>
      <w:marRight w:val="0"/>
      <w:marTop w:val="0"/>
      <w:marBottom w:val="0"/>
      <w:divBdr>
        <w:top w:val="none" w:sz="0" w:space="0" w:color="auto"/>
        <w:left w:val="none" w:sz="0" w:space="0" w:color="auto"/>
        <w:bottom w:val="none" w:sz="0" w:space="0" w:color="auto"/>
        <w:right w:val="none" w:sz="0" w:space="0" w:color="auto"/>
      </w:divBdr>
    </w:div>
    <w:div w:id="505755768">
      <w:bodyDiv w:val="1"/>
      <w:marLeft w:val="0"/>
      <w:marRight w:val="0"/>
      <w:marTop w:val="0"/>
      <w:marBottom w:val="0"/>
      <w:divBdr>
        <w:top w:val="none" w:sz="0" w:space="0" w:color="auto"/>
        <w:left w:val="none" w:sz="0" w:space="0" w:color="auto"/>
        <w:bottom w:val="none" w:sz="0" w:space="0" w:color="auto"/>
        <w:right w:val="none" w:sz="0" w:space="0" w:color="auto"/>
      </w:divBdr>
      <w:divsChild>
        <w:div w:id="604653431">
          <w:marLeft w:val="570"/>
          <w:marRight w:val="0"/>
          <w:marTop w:val="0"/>
          <w:marBottom w:val="0"/>
          <w:divBdr>
            <w:top w:val="none" w:sz="0" w:space="0" w:color="auto"/>
            <w:left w:val="none" w:sz="0" w:space="0" w:color="auto"/>
            <w:bottom w:val="none" w:sz="0" w:space="0" w:color="auto"/>
            <w:right w:val="none" w:sz="0" w:space="0" w:color="auto"/>
          </w:divBdr>
        </w:div>
        <w:div w:id="1171681591">
          <w:marLeft w:val="570"/>
          <w:marRight w:val="0"/>
          <w:marTop w:val="0"/>
          <w:marBottom w:val="0"/>
          <w:divBdr>
            <w:top w:val="none" w:sz="0" w:space="0" w:color="auto"/>
            <w:left w:val="none" w:sz="0" w:space="0" w:color="auto"/>
            <w:bottom w:val="none" w:sz="0" w:space="0" w:color="auto"/>
            <w:right w:val="none" w:sz="0" w:space="0" w:color="auto"/>
          </w:divBdr>
        </w:div>
      </w:divsChild>
    </w:div>
    <w:div w:id="1002509150">
      <w:bodyDiv w:val="1"/>
      <w:marLeft w:val="0"/>
      <w:marRight w:val="0"/>
      <w:marTop w:val="0"/>
      <w:marBottom w:val="0"/>
      <w:divBdr>
        <w:top w:val="none" w:sz="0" w:space="0" w:color="auto"/>
        <w:left w:val="none" w:sz="0" w:space="0" w:color="auto"/>
        <w:bottom w:val="none" w:sz="0" w:space="0" w:color="auto"/>
        <w:right w:val="none" w:sz="0" w:space="0" w:color="auto"/>
      </w:divBdr>
    </w:div>
    <w:div w:id="1018460558">
      <w:bodyDiv w:val="1"/>
      <w:marLeft w:val="0"/>
      <w:marRight w:val="0"/>
      <w:marTop w:val="0"/>
      <w:marBottom w:val="0"/>
      <w:divBdr>
        <w:top w:val="none" w:sz="0" w:space="0" w:color="auto"/>
        <w:left w:val="none" w:sz="0" w:space="0" w:color="auto"/>
        <w:bottom w:val="none" w:sz="0" w:space="0" w:color="auto"/>
        <w:right w:val="none" w:sz="0" w:space="0" w:color="auto"/>
      </w:divBdr>
    </w:div>
    <w:div w:id="1196309778">
      <w:bodyDiv w:val="1"/>
      <w:marLeft w:val="0"/>
      <w:marRight w:val="0"/>
      <w:marTop w:val="0"/>
      <w:marBottom w:val="0"/>
      <w:divBdr>
        <w:top w:val="none" w:sz="0" w:space="0" w:color="auto"/>
        <w:left w:val="none" w:sz="0" w:space="0" w:color="auto"/>
        <w:bottom w:val="none" w:sz="0" w:space="0" w:color="auto"/>
        <w:right w:val="none" w:sz="0" w:space="0" w:color="auto"/>
      </w:divBdr>
    </w:div>
    <w:div w:id="1507598398">
      <w:bodyDiv w:val="1"/>
      <w:marLeft w:val="0"/>
      <w:marRight w:val="0"/>
      <w:marTop w:val="0"/>
      <w:marBottom w:val="0"/>
      <w:divBdr>
        <w:top w:val="none" w:sz="0" w:space="0" w:color="auto"/>
        <w:left w:val="none" w:sz="0" w:space="0" w:color="auto"/>
        <w:bottom w:val="none" w:sz="0" w:space="0" w:color="auto"/>
        <w:right w:val="none" w:sz="0" w:space="0" w:color="auto"/>
      </w:divBdr>
    </w:div>
    <w:div w:id="1590195379">
      <w:bodyDiv w:val="1"/>
      <w:marLeft w:val="0"/>
      <w:marRight w:val="0"/>
      <w:marTop w:val="0"/>
      <w:marBottom w:val="0"/>
      <w:divBdr>
        <w:top w:val="none" w:sz="0" w:space="0" w:color="auto"/>
        <w:left w:val="none" w:sz="0" w:space="0" w:color="auto"/>
        <w:bottom w:val="none" w:sz="0" w:space="0" w:color="auto"/>
        <w:right w:val="none" w:sz="0" w:space="0" w:color="auto"/>
      </w:divBdr>
    </w:div>
    <w:div w:id="1640571390">
      <w:bodyDiv w:val="1"/>
      <w:marLeft w:val="0"/>
      <w:marRight w:val="0"/>
      <w:marTop w:val="0"/>
      <w:marBottom w:val="0"/>
      <w:divBdr>
        <w:top w:val="none" w:sz="0" w:space="0" w:color="auto"/>
        <w:left w:val="none" w:sz="0" w:space="0" w:color="auto"/>
        <w:bottom w:val="none" w:sz="0" w:space="0" w:color="auto"/>
        <w:right w:val="none" w:sz="0" w:space="0" w:color="auto"/>
      </w:divBdr>
    </w:div>
    <w:div w:id="1679428275">
      <w:bodyDiv w:val="1"/>
      <w:marLeft w:val="0"/>
      <w:marRight w:val="0"/>
      <w:marTop w:val="0"/>
      <w:marBottom w:val="0"/>
      <w:divBdr>
        <w:top w:val="none" w:sz="0" w:space="0" w:color="auto"/>
        <w:left w:val="none" w:sz="0" w:space="0" w:color="auto"/>
        <w:bottom w:val="none" w:sz="0" w:space="0" w:color="auto"/>
        <w:right w:val="none" w:sz="0" w:space="0" w:color="auto"/>
      </w:divBdr>
    </w:div>
    <w:div w:id="1688213176">
      <w:bodyDiv w:val="1"/>
      <w:marLeft w:val="0"/>
      <w:marRight w:val="0"/>
      <w:marTop w:val="0"/>
      <w:marBottom w:val="0"/>
      <w:divBdr>
        <w:top w:val="none" w:sz="0" w:space="0" w:color="auto"/>
        <w:left w:val="none" w:sz="0" w:space="0" w:color="auto"/>
        <w:bottom w:val="none" w:sz="0" w:space="0" w:color="auto"/>
        <w:right w:val="none" w:sz="0" w:space="0" w:color="auto"/>
      </w:divBdr>
    </w:div>
    <w:div w:id="1777362469">
      <w:bodyDiv w:val="1"/>
      <w:marLeft w:val="0"/>
      <w:marRight w:val="0"/>
      <w:marTop w:val="0"/>
      <w:marBottom w:val="0"/>
      <w:divBdr>
        <w:top w:val="none" w:sz="0" w:space="0" w:color="auto"/>
        <w:left w:val="none" w:sz="0" w:space="0" w:color="auto"/>
        <w:bottom w:val="none" w:sz="0" w:space="0" w:color="auto"/>
        <w:right w:val="none" w:sz="0" w:space="0" w:color="auto"/>
      </w:divBdr>
    </w:div>
    <w:div w:id="1842810816">
      <w:bodyDiv w:val="1"/>
      <w:marLeft w:val="0"/>
      <w:marRight w:val="0"/>
      <w:marTop w:val="0"/>
      <w:marBottom w:val="0"/>
      <w:divBdr>
        <w:top w:val="none" w:sz="0" w:space="0" w:color="auto"/>
        <w:left w:val="none" w:sz="0" w:space="0" w:color="auto"/>
        <w:bottom w:val="none" w:sz="0" w:space="0" w:color="auto"/>
        <w:right w:val="none" w:sz="0" w:space="0" w:color="auto"/>
      </w:divBdr>
    </w:div>
    <w:div w:id="1910919923">
      <w:bodyDiv w:val="1"/>
      <w:marLeft w:val="0"/>
      <w:marRight w:val="0"/>
      <w:marTop w:val="0"/>
      <w:marBottom w:val="0"/>
      <w:divBdr>
        <w:top w:val="none" w:sz="0" w:space="0" w:color="auto"/>
        <w:left w:val="none" w:sz="0" w:space="0" w:color="auto"/>
        <w:bottom w:val="none" w:sz="0" w:space="0" w:color="auto"/>
        <w:right w:val="none" w:sz="0" w:space="0" w:color="auto"/>
      </w:divBdr>
    </w:div>
    <w:div w:id="2024820779">
      <w:bodyDiv w:val="1"/>
      <w:marLeft w:val="0"/>
      <w:marRight w:val="0"/>
      <w:marTop w:val="0"/>
      <w:marBottom w:val="0"/>
      <w:divBdr>
        <w:top w:val="none" w:sz="0" w:space="0" w:color="auto"/>
        <w:left w:val="none" w:sz="0" w:space="0" w:color="auto"/>
        <w:bottom w:val="none" w:sz="0" w:space="0" w:color="auto"/>
        <w:right w:val="none" w:sz="0" w:space="0" w:color="auto"/>
      </w:divBdr>
    </w:div>
    <w:div w:id="20721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9279</Words>
  <Characters>52896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2021-10-20T14:44:00Z</dcterms:created>
  <dcterms:modified xsi:type="dcterms:W3CDTF">2021-10-21T12:52:00Z</dcterms:modified>
</cp:coreProperties>
</file>