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2A6A31" w14:textId="77777777" w:rsidR="003A18CF" w:rsidRDefault="0003374F" w:rsidP="003A18CF">
      <w:pPr>
        <w:spacing w:line="240" w:lineRule="auto"/>
        <w:jc w:val="center"/>
        <w:outlineLvl w:val="0"/>
      </w:pPr>
      <w:bookmarkStart w:id="0" w:name="_GoBack"/>
      <w:bookmarkEnd w:id="0"/>
      <w:r w:rsidRPr="0003374F">
        <w:rPr>
          <w:b/>
          <w:bCs/>
          <w:noProof/>
          <w:color w:val="1F497D"/>
          <w:lang w:eastAsia="en-ZA"/>
        </w:rPr>
        <w:drawing>
          <wp:inline distT="0" distB="0" distL="0" distR="0" wp14:anchorId="33F27688" wp14:editId="77BA06A9">
            <wp:extent cx="849732" cy="876300"/>
            <wp:effectExtent l="19050" t="0" r="7518" b="0"/>
            <wp:docPr id="2"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49732" cy="876300"/>
                    </a:xfrm>
                    <a:prstGeom prst="rect">
                      <a:avLst/>
                    </a:prstGeom>
                    <a:noFill/>
                    <a:ln w="9525">
                      <a:noFill/>
                      <a:miter lim="800000"/>
                      <a:headEnd/>
                      <a:tailEnd/>
                    </a:ln>
                  </pic:spPr>
                </pic:pic>
              </a:graphicData>
            </a:graphic>
          </wp:inline>
        </w:drawing>
      </w:r>
    </w:p>
    <w:p w14:paraId="6438B297" w14:textId="77777777" w:rsidR="003A18CF" w:rsidRDefault="003A18CF" w:rsidP="003A18CF">
      <w:pPr>
        <w:spacing w:line="240" w:lineRule="auto"/>
        <w:jc w:val="center"/>
        <w:outlineLvl w:val="0"/>
      </w:pPr>
    </w:p>
    <w:p w14:paraId="6E282E0F" w14:textId="77777777" w:rsidR="003A18CF" w:rsidRPr="00271C49" w:rsidRDefault="003A18CF" w:rsidP="003A18CF">
      <w:pPr>
        <w:spacing w:line="240" w:lineRule="auto"/>
        <w:jc w:val="center"/>
        <w:outlineLvl w:val="0"/>
        <w:rPr>
          <w:b/>
        </w:rPr>
      </w:pPr>
      <w:r w:rsidRPr="00271C49">
        <w:rPr>
          <w:b/>
        </w:rPr>
        <w:t>CONSTITUTIONAL COURT OF SOUTH AFRICA</w:t>
      </w:r>
    </w:p>
    <w:p w14:paraId="167BE22C" w14:textId="77777777" w:rsidR="003A18CF" w:rsidRDefault="003A18CF" w:rsidP="003A18CF">
      <w:pPr>
        <w:spacing w:line="240" w:lineRule="auto"/>
      </w:pPr>
    </w:p>
    <w:p w14:paraId="29A07B0B" w14:textId="77777777" w:rsidR="003A18CF" w:rsidRPr="009C3888" w:rsidRDefault="003A18CF" w:rsidP="003A18CF">
      <w:pPr>
        <w:spacing w:line="240" w:lineRule="auto"/>
      </w:pPr>
    </w:p>
    <w:p w14:paraId="0C9D0C4C" w14:textId="708A546B" w:rsidR="003A18CF" w:rsidRPr="00961263" w:rsidRDefault="003A18CF" w:rsidP="003A18CF">
      <w:pPr>
        <w:tabs>
          <w:tab w:val="right" w:pos="9029"/>
        </w:tabs>
        <w:spacing w:line="240" w:lineRule="auto"/>
      </w:pPr>
      <w:r w:rsidRPr="00961263">
        <w:tab/>
        <w:t xml:space="preserve">Case CCT </w:t>
      </w:r>
      <w:r w:rsidR="00FB0A9E">
        <w:t>297</w:t>
      </w:r>
      <w:r w:rsidR="001062BC">
        <w:t>/20</w:t>
      </w:r>
    </w:p>
    <w:p w14:paraId="7FED7508" w14:textId="77777777" w:rsidR="003A18CF" w:rsidRDefault="003A18CF" w:rsidP="003A18CF">
      <w:pPr>
        <w:tabs>
          <w:tab w:val="left" w:pos="8998"/>
        </w:tabs>
        <w:spacing w:line="240" w:lineRule="auto"/>
      </w:pPr>
    </w:p>
    <w:p w14:paraId="53AFA14D" w14:textId="77777777" w:rsidR="003A18CF" w:rsidRPr="00E6071A" w:rsidRDefault="003A18CF" w:rsidP="003A18CF">
      <w:pPr>
        <w:tabs>
          <w:tab w:val="left" w:pos="8998"/>
        </w:tabs>
        <w:spacing w:line="240" w:lineRule="auto"/>
      </w:pPr>
      <w:r w:rsidRPr="00E6071A">
        <w:t>In the matter between:</w:t>
      </w:r>
    </w:p>
    <w:p w14:paraId="13CBE84F" w14:textId="77777777" w:rsidR="003A18CF" w:rsidRDefault="003A18CF" w:rsidP="003A18CF">
      <w:pPr>
        <w:tabs>
          <w:tab w:val="left" w:pos="8998"/>
        </w:tabs>
        <w:spacing w:line="240" w:lineRule="auto"/>
      </w:pPr>
    </w:p>
    <w:p w14:paraId="109BD04E" w14:textId="77777777" w:rsidR="003A18CF" w:rsidRPr="009C3888" w:rsidRDefault="003A18CF" w:rsidP="003A18CF">
      <w:pPr>
        <w:tabs>
          <w:tab w:val="left" w:pos="8998"/>
        </w:tabs>
        <w:spacing w:line="240" w:lineRule="auto"/>
      </w:pPr>
    </w:p>
    <w:p w14:paraId="4492FD41" w14:textId="2AC5B0BC" w:rsidR="003A18CF" w:rsidRPr="00EE02D5" w:rsidRDefault="00FB0A9E" w:rsidP="003A18CF">
      <w:pPr>
        <w:tabs>
          <w:tab w:val="right" w:pos="9029"/>
        </w:tabs>
        <w:spacing w:line="240" w:lineRule="auto"/>
        <w:rPr>
          <w:szCs w:val="26"/>
        </w:rPr>
      </w:pPr>
      <w:r>
        <w:rPr>
          <w:b/>
          <w:szCs w:val="26"/>
        </w:rPr>
        <w:t>JOHANNES MOKO</w:t>
      </w:r>
      <w:r w:rsidR="003A18CF" w:rsidRPr="00EE02D5">
        <w:rPr>
          <w:szCs w:val="26"/>
        </w:rPr>
        <w:tab/>
        <w:t>Applicant</w:t>
      </w:r>
    </w:p>
    <w:p w14:paraId="560A73F0" w14:textId="77777777" w:rsidR="003A18CF" w:rsidRPr="00EE02D5" w:rsidRDefault="003A18CF" w:rsidP="003A18CF">
      <w:pPr>
        <w:spacing w:line="240" w:lineRule="auto"/>
        <w:rPr>
          <w:szCs w:val="26"/>
        </w:rPr>
      </w:pPr>
    </w:p>
    <w:p w14:paraId="6A0EA968" w14:textId="77777777" w:rsidR="003A18CF" w:rsidRPr="00EE02D5" w:rsidRDefault="003A18CF" w:rsidP="003A18CF">
      <w:pPr>
        <w:spacing w:line="240" w:lineRule="auto"/>
        <w:rPr>
          <w:szCs w:val="26"/>
        </w:rPr>
      </w:pPr>
      <w:r w:rsidRPr="00EE02D5">
        <w:rPr>
          <w:szCs w:val="26"/>
        </w:rPr>
        <w:t>and</w:t>
      </w:r>
    </w:p>
    <w:p w14:paraId="4F85F836" w14:textId="77777777" w:rsidR="003A18CF" w:rsidRPr="00EE02D5" w:rsidRDefault="003A18CF" w:rsidP="003A18CF">
      <w:pPr>
        <w:spacing w:line="240" w:lineRule="auto"/>
        <w:rPr>
          <w:szCs w:val="26"/>
        </w:rPr>
      </w:pPr>
    </w:p>
    <w:p w14:paraId="53F58673" w14:textId="77777777" w:rsidR="00FB0A9E" w:rsidRDefault="00FB0A9E" w:rsidP="00FB0A9E">
      <w:pPr>
        <w:tabs>
          <w:tab w:val="right" w:pos="9029"/>
        </w:tabs>
        <w:spacing w:line="240" w:lineRule="auto"/>
        <w:rPr>
          <w:b/>
          <w:szCs w:val="26"/>
        </w:rPr>
      </w:pPr>
      <w:r>
        <w:rPr>
          <w:b/>
          <w:szCs w:val="26"/>
        </w:rPr>
        <w:t>ACTING PRINCIPAL OF MALUSI SECONDARY</w:t>
      </w:r>
    </w:p>
    <w:p w14:paraId="0D33CB56" w14:textId="0F0DF3AD" w:rsidR="00FB0A9E" w:rsidRPr="00257EC9" w:rsidRDefault="00FB0A9E" w:rsidP="00FB0A9E">
      <w:pPr>
        <w:tabs>
          <w:tab w:val="right" w:pos="9029"/>
        </w:tabs>
        <w:spacing w:line="240" w:lineRule="auto"/>
        <w:rPr>
          <w:szCs w:val="26"/>
        </w:rPr>
      </w:pPr>
      <w:r>
        <w:rPr>
          <w:b/>
          <w:szCs w:val="26"/>
        </w:rPr>
        <w:t>SCHOOL</w:t>
      </w:r>
      <w:r w:rsidRPr="00A13878">
        <w:rPr>
          <w:b/>
          <w:szCs w:val="26"/>
        </w:rPr>
        <w:t xml:space="preserve">, </w:t>
      </w:r>
      <w:r w:rsidR="00671B32" w:rsidRPr="00A13878">
        <w:rPr>
          <w:b/>
          <w:szCs w:val="26"/>
        </w:rPr>
        <w:t xml:space="preserve">TLOU </w:t>
      </w:r>
      <w:r w:rsidRPr="00A13878">
        <w:rPr>
          <w:b/>
          <w:szCs w:val="26"/>
        </w:rPr>
        <w:t>MOKGONYANA</w:t>
      </w:r>
      <w:r w:rsidRPr="00EE02D5">
        <w:rPr>
          <w:szCs w:val="26"/>
        </w:rPr>
        <w:tab/>
      </w:r>
      <w:r w:rsidRPr="00257EC9">
        <w:rPr>
          <w:szCs w:val="26"/>
        </w:rPr>
        <w:t>First Respondent</w:t>
      </w:r>
    </w:p>
    <w:p w14:paraId="170C68C1" w14:textId="77777777" w:rsidR="00FB0A9E" w:rsidRPr="00257EC9" w:rsidRDefault="00FB0A9E" w:rsidP="00FB0A9E">
      <w:pPr>
        <w:tabs>
          <w:tab w:val="right" w:pos="9029"/>
        </w:tabs>
        <w:spacing w:line="240" w:lineRule="auto"/>
        <w:rPr>
          <w:szCs w:val="26"/>
        </w:rPr>
      </w:pPr>
    </w:p>
    <w:p w14:paraId="521B64AB" w14:textId="77777777" w:rsidR="00FB0A9E" w:rsidRPr="00257EC9" w:rsidRDefault="00FB0A9E" w:rsidP="00FB0A9E">
      <w:pPr>
        <w:tabs>
          <w:tab w:val="right" w:pos="9029"/>
        </w:tabs>
        <w:spacing w:line="240" w:lineRule="auto"/>
        <w:rPr>
          <w:b/>
          <w:szCs w:val="26"/>
        </w:rPr>
      </w:pPr>
      <w:r w:rsidRPr="00257EC9">
        <w:rPr>
          <w:b/>
          <w:szCs w:val="26"/>
        </w:rPr>
        <w:t>MEMBER OF EXECUTIVE COUNCIL; LIMPOPO</w:t>
      </w:r>
    </w:p>
    <w:p w14:paraId="7FF1C291" w14:textId="77777777" w:rsidR="00FB0A9E" w:rsidRPr="00257EC9" w:rsidRDefault="00FB0A9E" w:rsidP="00FB0A9E">
      <w:pPr>
        <w:tabs>
          <w:tab w:val="right" w:pos="9029"/>
        </w:tabs>
        <w:spacing w:line="240" w:lineRule="auto"/>
        <w:rPr>
          <w:b/>
          <w:szCs w:val="26"/>
        </w:rPr>
      </w:pPr>
      <w:r w:rsidRPr="00257EC9">
        <w:rPr>
          <w:b/>
          <w:szCs w:val="26"/>
        </w:rPr>
        <w:t>DEPARTMENT OF EDUCATION</w:t>
      </w:r>
      <w:r w:rsidRPr="00257EC9">
        <w:rPr>
          <w:szCs w:val="26"/>
        </w:rPr>
        <w:tab/>
        <w:t>Second Respondent</w:t>
      </w:r>
    </w:p>
    <w:p w14:paraId="78C23BB2" w14:textId="77777777" w:rsidR="00FB0A9E" w:rsidRPr="00EE02D5" w:rsidRDefault="00FB0A9E" w:rsidP="00FB0A9E">
      <w:pPr>
        <w:spacing w:line="240" w:lineRule="auto"/>
        <w:rPr>
          <w:szCs w:val="26"/>
        </w:rPr>
      </w:pPr>
    </w:p>
    <w:p w14:paraId="4E7901CA" w14:textId="77777777" w:rsidR="00FB0A9E" w:rsidRDefault="00FB0A9E" w:rsidP="00FB0A9E">
      <w:pPr>
        <w:tabs>
          <w:tab w:val="right" w:pos="9029"/>
        </w:tabs>
        <w:spacing w:line="240" w:lineRule="auto"/>
        <w:rPr>
          <w:b/>
          <w:szCs w:val="26"/>
        </w:rPr>
      </w:pPr>
      <w:r>
        <w:rPr>
          <w:b/>
          <w:szCs w:val="26"/>
        </w:rPr>
        <w:t>HEAD OF DEPARTMENT; LIMPOPO DEPARTMENT</w:t>
      </w:r>
    </w:p>
    <w:p w14:paraId="13469267" w14:textId="77777777" w:rsidR="00FB0A9E" w:rsidRPr="00EE02D5" w:rsidRDefault="00FB0A9E" w:rsidP="00FB0A9E">
      <w:pPr>
        <w:tabs>
          <w:tab w:val="right" w:pos="9029"/>
        </w:tabs>
        <w:spacing w:line="240" w:lineRule="auto"/>
        <w:rPr>
          <w:szCs w:val="26"/>
        </w:rPr>
      </w:pPr>
      <w:r>
        <w:rPr>
          <w:b/>
          <w:szCs w:val="26"/>
        </w:rPr>
        <w:t>OF EDUCATION</w:t>
      </w:r>
      <w:r w:rsidRPr="00EE02D5">
        <w:rPr>
          <w:szCs w:val="26"/>
        </w:rPr>
        <w:tab/>
      </w:r>
      <w:r>
        <w:rPr>
          <w:szCs w:val="26"/>
        </w:rPr>
        <w:t>Third Respondent</w:t>
      </w:r>
    </w:p>
    <w:p w14:paraId="156B421A" w14:textId="77777777" w:rsidR="00FB0A9E" w:rsidRPr="00EE02D5" w:rsidRDefault="00FB0A9E" w:rsidP="00FB0A9E">
      <w:pPr>
        <w:tabs>
          <w:tab w:val="right" w:pos="9029"/>
        </w:tabs>
        <w:spacing w:line="240" w:lineRule="auto"/>
        <w:rPr>
          <w:szCs w:val="26"/>
        </w:rPr>
      </w:pPr>
    </w:p>
    <w:p w14:paraId="4ED39A43" w14:textId="0FE09B5D" w:rsidR="00FB0A9E" w:rsidRPr="00EE02D5" w:rsidRDefault="00FB0A9E" w:rsidP="00FB0A9E">
      <w:pPr>
        <w:tabs>
          <w:tab w:val="right" w:pos="9029"/>
        </w:tabs>
        <w:spacing w:line="240" w:lineRule="auto"/>
        <w:rPr>
          <w:szCs w:val="26"/>
        </w:rPr>
      </w:pPr>
      <w:r>
        <w:rPr>
          <w:b/>
          <w:szCs w:val="26"/>
        </w:rPr>
        <w:t xml:space="preserve">MINISTER OF </w:t>
      </w:r>
      <w:r w:rsidR="000045D2">
        <w:rPr>
          <w:b/>
          <w:szCs w:val="26"/>
        </w:rPr>
        <w:t xml:space="preserve">BASIC </w:t>
      </w:r>
      <w:r>
        <w:rPr>
          <w:b/>
          <w:szCs w:val="26"/>
        </w:rPr>
        <w:t>EDUCATION</w:t>
      </w:r>
      <w:r w:rsidRPr="00EE02D5">
        <w:rPr>
          <w:szCs w:val="26"/>
        </w:rPr>
        <w:tab/>
      </w:r>
      <w:r>
        <w:rPr>
          <w:szCs w:val="26"/>
        </w:rPr>
        <w:t>Fourth Respondent</w:t>
      </w:r>
    </w:p>
    <w:p w14:paraId="26D1ECBC" w14:textId="77777777" w:rsidR="00FB0A9E" w:rsidRPr="00EE02D5" w:rsidRDefault="00FB0A9E" w:rsidP="00FB0A9E">
      <w:pPr>
        <w:spacing w:line="240" w:lineRule="auto"/>
        <w:rPr>
          <w:szCs w:val="26"/>
        </w:rPr>
      </w:pPr>
    </w:p>
    <w:p w14:paraId="7CF279DA" w14:textId="36ADE652" w:rsidR="003A18CF" w:rsidRPr="00FB0A9E" w:rsidRDefault="00FB0A9E" w:rsidP="00FB0A9E">
      <w:pPr>
        <w:tabs>
          <w:tab w:val="right" w:pos="9029"/>
        </w:tabs>
        <w:spacing w:line="240" w:lineRule="auto"/>
        <w:rPr>
          <w:szCs w:val="26"/>
        </w:rPr>
      </w:pPr>
      <w:r>
        <w:rPr>
          <w:b/>
          <w:szCs w:val="26"/>
        </w:rPr>
        <w:t>UMALUSI</w:t>
      </w:r>
      <w:r w:rsidRPr="00EE02D5">
        <w:rPr>
          <w:szCs w:val="26"/>
        </w:rPr>
        <w:tab/>
      </w:r>
      <w:r>
        <w:rPr>
          <w:szCs w:val="26"/>
        </w:rPr>
        <w:t>Fifth Respondent</w:t>
      </w:r>
    </w:p>
    <w:p w14:paraId="7D3994A1" w14:textId="77777777" w:rsidR="003A18CF" w:rsidRPr="009C3888" w:rsidRDefault="003A18CF" w:rsidP="003A18CF">
      <w:pPr>
        <w:spacing w:line="240" w:lineRule="auto"/>
      </w:pPr>
    </w:p>
    <w:p w14:paraId="2507EF2F" w14:textId="7226F022" w:rsidR="003A18CF" w:rsidRDefault="003A18CF" w:rsidP="003A18CF">
      <w:pPr>
        <w:spacing w:line="240" w:lineRule="auto"/>
      </w:pPr>
    </w:p>
    <w:p w14:paraId="5AD73213" w14:textId="77777777" w:rsidR="005B0271" w:rsidRPr="009C3888" w:rsidRDefault="005B0271" w:rsidP="003A18CF">
      <w:pPr>
        <w:spacing w:line="240" w:lineRule="auto"/>
      </w:pPr>
    </w:p>
    <w:p w14:paraId="3C6F99F1" w14:textId="493F42C5" w:rsidR="003A18CF" w:rsidRPr="00F05BBD" w:rsidRDefault="003A18CF" w:rsidP="003A18CF">
      <w:pPr>
        <w:spacing w:line="240" w:lineRule="auto"/>
        <w:ind w:left="2160" w:hanging="2160"/>
      </w:pPr>
      <w:r w:rsidRPr="008B40EE">
        <w:rPr>
          <w:b/>
        </w:rPr>
        <w:t>Neutral citation:</w:t>
      </w:r>
      <w:r>
        <w:tab/>
      </w:r>
      <w:r w:rsidR="00FB0A9E">
        <w:rPr>
          <w:i/>
        </w:rPr>
        <w:t>Moko v Acting Principal of Malusi Secondary School and Others</w:t>
      </w:r>
      <w:r>
        <w:rPr>
          <w:i/>
        </w:rPr>
        <w:t xml:space="preserve"> </w:t>
      </w:r>
      <w:r>
        <w:t>[</w:t>
      </w:r>
      <w:r w:rsidR="009F508A">
        <w:t>2020</w:t>
      </w:r>
      <w:r>
        <w:t xml:space="preserve">] ZACC </w:t>
      </w:r>
      <w:r w:rsidR="009F508A">
        <w:t>30</w:t>
      </w:r>
    </w:p>
    <w:p w14:paraId="2071916A" w14:textId="77777777" w:rsidR="003A18CF" w:rsidRDefault="003A18CF" w:rsidP="003A18CF">
      <w:pPr>
        <w:spacing w:line="240" w:lineRule="auto"/>
      </w:pPr>
    </w:p>
    <w:p w14:paraId="32AB5211" w14:textId="72CBB107" w:rsidR="003A18CF" w:rsidRPr="00110152" w:rsidRDefault="003A18CF" w:rsidP="00110152">
      <w:pPr>
        <w:pStyle w:val="BODYNON-NUMBERED"/>
        <w:spacing w:after="0"/>
        <w:ind w:left="2160" w:hanging="2160"/>
        <w:rPr>
          <w:szCs w:val="26"/>
        </w:rPr>
      </w:pPr>
      <w:r w:rsidRPr="008B40EE">
        <w:rPr>
          <w:b/>
        </w:rPr>
        <w:t>Coram:</w:t>
      </w:r>
      <w:r>
        <w:tab/>
      </w:r>
      <w:r w:rsidR="007410F3">
        <w:rPr>
          <w:szCs w:val="26"/>
        </w:rPr>
        <w:t xml:space="preserve">Mogoeng CJ, </w:t>
      </w:r>
      <w:r w:rsidR="001062BC">
        <w:rPr>
          <w:szCs w:val="26"/>
        </w:rPr>
        <w:t xml:space="preserve">Jafta J, Khampepe </w:t>
      </w:r>
      <w:r w:rsidR="00174780">
        <w:rPr>
          <w:szCs w:val="26"/>
        </w:rPr>
        <w:t xml:space="preserve">J, Madlanga J, Majiedt J, Mathopo AJ, Mhlantla </w:t>
      </w:r>
      <w:r w:rsidR="007410F3" w:rsidRPr="002162D7">
        <w:rPr>
          <w:szCs w:val="26"/>
        </w:rPr>
        <w:t xml:space="preserve">J, </w:t>
      </w:r>
      <w:r w:rsidR="00174780">
        <w:rPr>
          <w:szCs w:val="26"/>
        </w:rPr>
        <w:t>Theron J</w:t>
      </w:r>
      <w:r w:rsidR="00C77874">
        <w:rPr>
          <w:szCs w:val="26"/>
        </w:rPr>
        <w:t xml:space="preserve">, </w:t>
      </w:r>
      <w:r w:rsidR="00174780">
        <w:rPr>
          <w:szCs w:val="26"/>
        </w:rPr>
        <w:t>Tshiqi J</w:t>
      </w:r>
      <w:r w:rsidR="00C77874">
        <w:rPr>
          <w:szCs w:val="26"/>
        </w:rPr>
        <w:t xml:space="preserve"> and Victor AJ</w:t>
      </w:r>
    </w:p>
    <w:p w14:paraId="71781723" w14:textId="0CA8E822" w:rsidR="003A18CF" w:rsidRDefault="003A18CF" w:rsidP="003A18CF">
      <w:pPr>
        <w:spacing w:line="240" w:lineRule="auto"/>
      </w:pPr>
    </w:p>
    <w:p w14:paraId="46DE230A" w14:textId="77777777" w:rsidR="005B0271" w:rsidRDefault="005B0271" w:rsidP="003A18CF">
      <w:pPr>
        <w:spacing w:line="240" w:lineRule="auto"/>
      </w:pPr>
    </w:p>
    <w:p w14:paraId="6F630819" w14:textId="3C6B2EB4" w:rsidR="00AE7143" w:rsidRDefault="00AE7143" w:rsidP="00364B81">
      <w:pPr>
        <w:spacing w:line="240" w:lineRule="auto"/>
        <w:ind w:left="2160" w:hanging="2160"/>
      </w:pPr>
      <w:r>
        <w:rPr>
          <w:b/>
        </w:rPr>
        <w:t>Judgments</w:t>
      </w:r>
      <w:r w:rsidRPr="008B40EE">
        <w:rPr>
          <w:b/>
        </w:rPr>
        <w:t>:</w:t>
      </w:r>
      <w:r>
        <w:tab/>
      </w:r>
      <w:r w:rsidR="00AF1647">
        <w:t>Khampepe J</w:t>
      </w:r>
      <w:r>
        <w:t xml:space="preserve"> (</w:t>
      </w:r>
      <w:r w:rsidRPr="009F508A">
        <w:t>unanimous</w:t>
      </w:r>
      <w:r>
        <w:t>)</w:t>
      </w:r>
    </w:p>
    <w:p w14:paraId="780253F6" w14:textId="77777777" w:rsidR="003A18CF" w:rsidRPr="009C3888" w:rsidRDefault="003A18CF" w:rsidP="00723D64">
      <w:pPr>
        <w:spacing w:line="240" w:lineRule="auto"/>
      </w:pPr>
    </w:p>
    <w:p w14:paraId="0C5C06F8" w14:textId="41F17127" w:rsidR="003A18CF" w:rsidRDefault="003A18CF" w:rsidP="0044313C">
      <w:pPr>
        <w:spacing w:line="240" w:lineRule="auto"/>
        <w:ind w:left="2160" w:hanging="2160"/>
      </w:pPr>
      <w:r w:rsidRPr="008B40EE">
        <w:rPr>
          <w:b/>
        </w:rPr>
        <w:t>Decided on:</w:t>
      </w:r>
      <w:r>
        <w:tab/>
      </w:r>
      <w:r w:rsidR="004B52C6">
        <w:t>28 December 2020</w:t>
      </w:r>
    </w:p>
    <w:p w14:paraId="418422A6" w14:textId="77777777" w:rsidR="004110F6" w:rsidRDefault="004110F6" w:rsidP="003A18CF">
      <w:pPr>
        <w:spacing w:line="240" w:lineRule="auto"/>
      </w:pPr>
    </w:p>
    <w:p w14:paraId="053209E2" w14:textId="0D71F7A9" w:rsidR="004D02BA" w:rsidRDefault="004D02BA" w:rsidP="004D02BA">
      <w:pPr>
        <w:spacing w:line="240" w:lineRule="auto"/>
        <w:ind w:left="2160" w:hanging="2160"/>
      </w:pPr>
      <w:r>
        <w:rPr>
          <w:b/>
        </w:rPr>
        <w:t>Summary:</w:t>
      </w:r>
      <w:r>
        <w:rPr>
          <w:b/>
        </w:rPr>
        <w:tab/>
      </w:r>
      <w:r w:rsidR="00723D64">
        <w:t>Direct access</w:t>
      </w:r>
      <w:r w:rsidRPr="00542F53">
        <w:t xml:space="preserve"> </w:t>
      </w:r>
      <w:r w:rsidR="006724E0">
        <w:t>—</w:t>
      </w:r>
      <w:r w:rsidRPr="00542F53">
        <w:t xml:space="preserve"> </w:t>
      </w:r>
      <w:r w:rsidR="00723D64">
        <w:t>urgent application</w:t>
      </w:r>
      <w:r w:rsidRPr="00542F53">
        <w:t xml:space="preserve"> </w:t>
      </w:r>
      <w:r w:rsidR="006724E0">
        <w:t>—</w:t>
      </w:r>
      <w:r w:rsidRPr="00542F53">
        <w:t xml:space="preserve"> </w:t>
      </w:r>
      <w:r w:rsidR="00723D64">
        <w:t>right to education</w:t>
      </w:r>
      <w:r w:rsidR="00723D64" w:rsidRPr="00542F53">
        <w:t xml:space="preserve"> </w:t>
      </w:r>
      <w:r w:rsidR="00723D64">
        <w:t>—</w:t>
      </w:r>
      <w:r w:rsidR="00723D64" w:rsidRPr="00542F53">
        <w:t xml:space="preserve"> </w:t>
      </w:r>
      <w:r w:rsidR="00723D64">
        <w:t>section 29(1) of the Constitution</w:t>
      </w:r>
    </w:p>
    <w:p w14:paraId="228C9C8C" w14:textId="77777777" w:rsidR="004D02BA" w:rsidRDefault="004D02BA" w:rsidP="004D02BA">
      <w:pPr>
        <w:spacing w:line="240" w:lineRule="auto"/>
      </w:pPr>
    </w:p>
    <w:p w14:paraId="4AEFF913" w14:textId="52F3036F" w:rsidR="004D02BA" w:rsidRDefault="004D02BA" w:rsidP="004D02BA">
      <w:pPr>
        <w:spacing w:line="240" w:lineRule="auto"/>
      </w:pPr>
    </w:p>
    <w:p w14:paraId="4FD79A22" w14:textId="77777777" w:rsidR="005B0271" w:rsidRPr="004110F6" w:rsidRDefault="005B0271" w:rsidP="004D02BA">
      <w:pPr>
        <w:spacing w:line="240" w:lineRule="auto"/>
      </w:pPr>
    </w:p>
    <w:p w14:paraId="73333AB2" w14:textId="77777777" w:rsidR="003A18CF" w:rsidRPr="009C3888" w:rsidRDefault="003A18CF" w:rsidP="003A18CF">
      <w:pPr>
        <w:keepNext/>
        <w:pBdr>
          <w:top w:val="single" w:sz="4" w:space="1" w:color="auto"/>
          <w:bottom w:val="single" w:sz="4" w:space="1" w:color="auto"/>
        </w:pBdr>
        <w:spacing w:line="240" w:lineRule="auto"/>
        <w:jc w:val="center"/>
      </w:pPr>
    </w:p>
    <w:p w14:paraId="0F5FB4FB" w14:textId="77777777" w:rsidR="003A18CF" w:rsidRPr="005C6482" w:rsidRDefault="003A18CF" w:rsidP="003A18CF">
      <w:pPr>
        <w:keepNext/>
        <w:pBdr>
          <w:top w:val="single" w:sz="4" w:space="1" w:color="auto"/>
          <w:bottom w:val="single" w:sz="4" w:space="1" w:color="auto"/>
        </w:pBdr>
        <w:spacing w:line="240" w:lineRule="auto"/>
        <w:jc w:val="center"/>
        <w:outlineLvl w:val="0"/>
        <w:rPr>
          <w:b/>
        </w:rPr>
      </w:pPr>
      <w:r>
        <w:rPr>
          <w:b/>
        </w:rPr>
        <w:t>ORDER</w:t>
      </w:r>
    </w:p>
    <w:p w14:paraId="65AEAD77" w14:textId="77777777" w:rsidR="003A18CF" w:rsidRPr="009C3888" w:rsidRDefault="003A18CF" w:rsidP="003A18CF">
      <w:pPr>
        <w:pBdr>
          <w:top w:val="single" w:sz="4" w:space="1" w:color="auto"/>
          <w:bottom w:val="single" w:sz="4" w:space="1" w:color="auto"/>
        </w:pBdr>
        <w:spacing w:line="240" w:lineRule="auto"/>
        <w:jc w:val="center"/>
      </w:pPr>
    </w:p>
    <w:p w14:paraId="7941957A" w14:textId="77777777" w:rsidR="003A18CF" w:rsidRDefault="003A18CF" w:rsidP="003A18CF">
      <w:pPr>
        <w:spacing w:line="240" w:lineRule="auto"/>
      </w:pPr>
    </w:p>
    <w:p w14:paraId="6410750F" w14:textId="77777777" w:rsidR="003A18CF" w:rsidRPr="009C3888" w:rsidRDefault="003A18CF" w:rsidP="003A18CF">
      <w:pPr>
        <w:spacing w:line="240" w:lineRule="auto"/>
      </w:pPr>
    </w:p>
    <w:p w14:paraId="6667B782" w14:textId="42104059" w:rsidR="003A18CF" w:rsidRDefault="003A18CF" w:rsidP="000C38CF">
      <w:pPr>
        <w:pStyle w:val="JUDGMENTCONTINUED"/>
      </w:pPr>
      <w:r w:rsidRPr="00AF1647">
        <w:t xml:space="preserve">On </w:t>
      </w:r>
      <w:r w:rsidR="00D71E3D">
        <w:t>application for direct access to the Constitutional Court on an urgent basis:</w:t>
      </w:r>
    </w:p>
    <w:p w14:paraId="3107D4CE" w14:textId="3DFAAE2A" w:rsidR="00EF4215" w:rsidRDefault="00EF4215" w:rsidP="00EF4215">
      <w:pPr>
        <w:pStyle w:val="ORDER"/>
        <w:numPr>
          <w:ilvl w:val="0"/>
          <w:numId w:val="22"/>
        </w:numPr>
      </w:pPr>
      <w:r>
        <w:t xml:space="preserve">Leave </w:t>
      </w:r>
      <w:r w:rsidR="00D71E3D">
        <w:t>for direct access on an urgent basis is granted.</w:t>
      </w:r>
    </w:p>
    <w:p w14:paraId="147BAD64" w14:textId="5D0E32A7" w:rsidR="00EF4215" w:rsidRDefault="00D71E3D" w:rsidP="00EF4215">
      <w:pPr>
        <w:pStyle w:val="ORDER"/>
        <w:numPr>
          <w:ilvl w:val="0"/>
          <w:numId w:val="22"/>
        </w:numPr>
      </w:pPr>
      <w:r>
        <w:t>The conduct of the first respondent</w:t>
      </w:r>
      <w:r w:rsidR="00967D7A">
        <w:t>,</w:t>
      </w:r>
      <w:r>
        <w:t xml:space="preserve"> </w:t>
      </w:r>
      <w:r w:rsidR="00967D7A">
        <w:t xml:space="preserve">which resulted in the applicant’s inability to sit </w:t>
      </w:r>
      <w:r w:rsidR="0053141A">
        <w:t xml:space="preserve">for </w:t>
      </w:r>
      <w:r w:rsidR="00967D7A">
        <w:t>the Business Studies Paper 2 examination on 25 November 2020, i</w:t>
      </w:r>
      <w:r>
        <w:t xml:space="preserve">s declared </w:t>
      </w:r>
      <w:r w:rsidR="00967D7A">
        <w:t xml:space="preserve">to be </w:t>
      </w:r>
      <w:r>
        <w:t xml:space="preserve">a violation of </w:t>
      </w:r>
      <w:r w:rsidR="00B718C0">
        <w:t xml:space="preserve">the applicant’s right to education </w:t>
      </w:r>
      <w:r w:rsidR="00A0247F">
        <w:t>in</w:t>
      </w:r>
      <w:r w:rsidR="00B718C0">
        <w:t xml:space="preserve"> </w:t>
      </w:r>
      <w:r>
        <w:t>section 29(1)</w:t>
      </w:r>
      <w:r w:rsidR="005747DF">
        <w:t xml:space="preserve"> </w:t>
      </w:r>
      <w:r>
        <w:t>of the Constitution.</w:t>
      </w:r>
    </w:p>
    <w:p w14:paraId="0B3E0804" w14:textId="2549E288" w:rsidR="00EF4215" w:rsidRDefault="00EF4215" w:rsidP="00D71E3D">
      <w:pPr>
        <w:pStyle w:val="ORDER"/>
        <w:numPr>
          <w:ilvl w:val="0"/>
          <w:numId w:val="22"/>
        </w:numPr>
      </w:pPr>
      <w:r>
        <w:t xml:space="preserve">The </w:t>
      </w:r>
      <w:r w:rsidR="00D71E3D">
        <w:t xml:space="preserve">second to fifth respondents are ordered to grant the applicant </w:t>
      </w:r>
      <w:r w:rsidR="00A57CB2">
        <w:t xml:space="preserve">the </w:t>
      </w:r>
      <w:r w:rsidR="00D71E3D">
        <w:t xml:space="preserve">opportunity to write </w:t>
      </w:r>
      <w:r w:rsidR="0053141A">
        <w:t>the</w:t>
      </w:r>
      <w:r w:rsidR="00D71E3D">
        <w:t xml:space="preserve"> Business Studies Paper 2 examination </w:t>
      </w:r>
      <w:r w:rsidR="00364B81">
        <w:t>by</w:t>
      </w:r>
      <w:r w:rsidR="00D71E3D">
        <w:t xml:space="preserve"> </w:t>
      </w:r>
      <w:r w:rsidR="00E10B17">
        <w:t>15 </w:t>
      </w:r>
      <w:r w:rsidR="00D71E3D">
        <w:t>January 2021.</w:t>
      </w:r>
    </w:p>
    <w:p w14:paraId="5BE6E181" w14:textId="0C31112A" w:rsidR="00967D7A" w:rsidRDefault="00967D7A" w:rsidP="00D71E3D">
      <w:pPr>
        <w:pStyle w:val="ORDER"/>
        <w:numPr>
          <w:ilvl w:val="0"/>
          <w:numId w:val="22"/>
        </w:numPr>
      </w:pPr>
      <w:r>
        <w:t xml:space="preserve">The result of the examination </w:t>
      </w:r>
      <w:r w:rsidR="00A57CB2">
        <w:t xml:space="preserve">written </w:t>
      </w:r>
      <w:r>
        <w:t>in</w:t>
      </w:r>
      <w:r w:rsidR="00A57CB2">
        <w:t xml:space="preserve"> terms of</w:t>
      </w:r>
      <w:r>
        <w:t xml:space="preserve"> paragraph 3 of th</w:t>
      </w:r>
      <w:r w:rsidR="00A13878">
        <w:t>is</w:t>
      </w:r>
      <w:r>
        <w:t xml:space="preserve"> order </w:t>
      </w:r>
      <w:r w:rsidR="00D149F3">
        <w:t>is</w:t>
      </w:r>
      <w:r>
        <w:t xml:space="preserve"> to be released simultaneously with the general release of the 2020</w:t>
      </w:r>
      <w:r w:rsidR="00C20481">
        <w:t> </w:t>
      </w:r>
      <w:r w:rsidR="00F211B3">
        <w:t xml:space="preserve">National Senior Certificate </w:t>
      </w:r>
      <w:r w:rsidR="00332E18">
        <w:t>e</w:t>
      </w:r>
      <w:r>
        <w:t xml:space="preserve">xamination </w:t>
      </w:r>
      <w:r w:rsidR="00332E18">
        <w:t>r</w:t>
      </w:r>
      <w:r>
        <w:t>esults</w:t>
      </w:r>
      <w:r w:rsidR="005747DF">
        <w:t xml:space="preserve"> in January</w:t>
      </w:r>
      <w:r w:rsidR="00464779">
        <w:t xml:space="preserve"> or </w:t>
      </w:r>
      <w:r w:rsidR="005747DF">
        <w:t>February</w:t>
      </w:r>
      <w:r w:rsidR="00F211B3">
        <w:t> </w:t>
      </w:r>
      <w:r w:rsidR="005747DF">
        <w:t>2021</w:t>
      </w:r>
      <w:r>
        <w:t>.</w:t>
      </w:r>
    </w:p>
    <w:p w14:paraId="65C6299D" w14:textId="7560673D" w:rsidR="00EF4215" w:rsidRPr="009C3888" w:rsidRDefault="00A5209F" w:rsidP="00696A0D">
      <w:pPr>
        <w:pStyle w:val="ORDER"/>
        <w:numPr>
          <w:ilvl w:val="0"/>
          <w:numId w:val="22"/>
        </w:numPr>
      </w:pPr>
      <w:r>
        <w:t xml:space="preserve">The first, second, third and fourth respondents are jointly and severally </w:t>
      </w:r>
      <w:r w:rsidR="00CD0814">
        <w:t xml:space="preserve">liable to </w:t>
      </w:r>
      <w:r>
        <w:t>pay the costs of the applicant, including the costs of two counsel, in both this Court and the High Court of South Africa, Limpopo Division, Polokwane.</w:t>
      </w:r>
    </w:p>
    <w:p w14:paraId="4890A455" w14:textId="7E3753A8" w:rsidR="003A18CF" w:rsidRDefault="003A18CF" w:rsidP="00110152">
      <w:pPr>
        <w:pStyle w:val="JUDGMENTCONTINUED"/>
        <w:spacing w:line="240" w:lineRule="auto"/>
      </w:pPr>
    </w:p>
    <w:p w14:paraId="6FFD3E1F" w14:textId="77777777" w:rsidR="00CB0CB2" w:rsidRPr="00CB0CB2" w:rsidRDefault="00CB0CB2" w:rsidP="00110152">
      <w:pPr>
        <w:pStyle w:val="JUDGMENTCONTINUED"/>
        <w:spacing w:line="240" w:lineRule="auto"/>
      </w:pPr>
    </w:p>
    <w:p w14:paraId="61452505" w14:textId="77777777" w:rsidR="00CB0CB2" w:rsidRDefault="00CB0CB2" w:rsidP="000C38CF">
      <w:pPr>
        <w:pStyle w:val="JUDGMENTCONTINUED"/>
        <w:sectPr w:rsidR="00CB0CB2" w:rsidSect="003F60C3">
          <w:footerReference w:type="default" r:id="rId9"/>
          <w:pgSz w:w="11907" w:h="16839" w:code="9"/>
          <w:pgMar w:top="1440" w:right="1440" w:bottom="1440" w:left="1440" w:header="708" w:footer="708" w:gutter="0"/>
          <w:pgNumType w:start="0"/>
          <w:cols w:space="708"/>
          <w:titlePg/>
          <w:docGrid w:linePitch="360"/>
        </w:sectPr>
      </w:pPr>
    </w:p>
    <w:p w14:paraId="34AA111A" w14:textId="77777777" w:rsidR="000704F2" w:rsidRPr="009C3888" w:rsidRDefault="000704F2" w:rsidP="00F245CE">
      <w:pPr>
        <w:keepNext/>
        <w:pBdr>
          <w:top w:val="single" w:sz="4" w:space="1" w:color="auto"/>
          <w:bottom w:val="single" w:sz="4" w:space="1" w:color="auto"/>
        </w:pBdr>
        <w:spacing w:line="240" w:lineRule="auto"/>
        <w:jc w:val="center"/>
      </w:pPr>
    </w:p>
    <w:p w14:paraId="7B5ED594" w14:textId="77777777" w:rsidR="00E4607C" w:rsidRPr="003A18CF" w:rsidRDefault="000704F2" w:rsidP="00F245CE">
      <w:pPr>
        <w:keepNext/>
        <w:pBdr>
          <w:top w:val="single" w:sz="4" w:space="1" w:color="auto"/>
          <w:bottom w:val="single" w:sz="4" w:space="1" w:color="auto"/>
        </w:pBdr>
        <w:spacing w:line="240" w:lineRule="auto"/>
        <w:jc w:val="center"/>
        <w:outlineLvl w:val="0"/>
        <w:rPr>
          <w:b/>
        </w:rPr>
      </w:pPr>
      <w:r w:rsidRPr="003A18CF">
        <w:rPr>
          <w:b/>
        </w:rPr>
        <w:t>JUDGMENT</w:t>
      </w:r>
    </w:p>
    <w:p w14:paraId="00348562" w14:textId="77777777" w:rsidR="000704F2" w:rsidRPr="009C3888" w:rsidRDefault="000704F2" w:rsidP="000704F2">
      <w:pPr>
        <w:pBdr>
          <w:top w:val="single" w:sz="4" w:space="1" w:color="auto"/>
          <w:bottom w:val="single" w:sz="4" w:space="1" w:color="auto"/>
        </w:pBdr>
        <w:spacing w:line="240" w:lineRule="auto"/>
        <w:jc w:val="center"/>
      </w:pPr>
    </w:p>
    <w:p w14:paraId="79EDA264" w14:textId="77777777" w:rsidR="000704F2" w:rsidRPr="009C3888" w:rsidRDefault="000704F2" w:rsidP="000704F2">
      <w:pPr>
        <w:spacing w:line="240" w:lineRule="auto"/>
      </w:pPr>
    </w:p>
    <w:p w14:paraId="2C7BD376" w14:textId="77777777" w:rsidR="00F12F57" w:rsidRDefault="00F12F57" w:rsidP="000704F2">
      <w:pPr>
        <w:spacing w:line="240" w:lineRule="auto"/>
      </w:pPr>
    </w:p>
    <w:p w14:paraId="256C24C5" w14:textId="77777777" w:rsidR="006E3711" w:rsidRPr="009C3888" w:rsidRDefault="006E3711" w:rsidP="000704F2">
      <w:pPr>
        <w:spacing w:line="240" w:lineRule="auto"/>
      </w:pPr>
    </w:p>
    <w:p w14:paraId="40CB574F" w14:textId="4A3BBA75" w:rsidR="000704F2" w:rsidRPr="007B5814" w:rsidRDefault="00E90A83" w:rsidP="00C24B71">
      <w:pPr>
        <w:pStyle w:val="BODYNON-NUMBERED"/>
        <w:spacing w:after="0" w:line="240" w:lineRule="auto"/>
        <w:rPr>
          <w:szCs w:val="26"/>
        </w:rPr>
      </w:pPr>
      <w:r>
        <w:t>KHA</w:t>
      </w:r>
      <w:r w:rsidR="00A84403">
        <w:t>M</w:t>
      </w:r>
      <w:r>
        <w:t xml:space="preserve">PEPE J </w:t>
      </w:r>
      <w:r w:rsidR="003644DF">
        <w:t>(</w:t>
      </w:r>
      <w:r w:rsidR="000371A1">
        <w:rPr>
          <w:szCs w:val="26"/>
        </w:rPr>
        <w:t xml:space="preserve">Mogoeng CJ, </w:t>
      </w:r>
      <w:r w:rsidR="003C4665">
        <w:t xml:space="preserve">Jafta J, Madlanga J, Majiedt J, Mathopo AJ, Mhlantla J, </w:t>
      </w:r>
      <w:r w:rsidR="003C4665">
        <w:rPr>
          <w:szCs w:val="26"/>
        </w:rPr>
        <w:t xml:space="preserve">Theron J, Tshiqi J and Victor AJ </w:t>
      </w:r>
      <w:r w:rsidR="00C739DB" w:rsidRPr="00C739DB">
        <w:t>concurring</w:t>
      </w:r>
      <w:r w:rsidR="003644DF">
        <w:t>)</w:t>
      </w:r>
      <w:r w:rsidR="00AE7602" w:rsidRPr="009C3888">
        <w:t>:</w:t>
      </w:r>
    </w:p>
    <w:p w14:paraId="1FF5A2E8" w14:textId="338277D9" w:rsidR="00AF1647" w:rsidRDefault="00AF1647" w:rsidP="00E90A83">
      <w:pPr>
        <w:pStyle w:val="JUDGMENTNUMBERED"/>
        <w:numPr>
          <w:ilvl w:val="0"/>
          <w:numId w:val="0"/>
        </w:numPr>
        <w:spacing w:line="240" w:lineRule="auto"/>
      </w:pPr>
    </w:p>
    <w:p w14:paraId="2F3C7FD2" w14:textId="77777777" w:rsidR="00E90A83" w:rsidRPr="00E90A83" w:rsidRDefault="00E90A83" w:rsidP="00E90A83">
      <w:pPr>
        <w:pStyle w:val="JUDGMENTCONTINUED"/>
        <w:spacing w:line="240" w:lineRule="auto"/>
      </w:pPr>
    </w:p>
    <w:p w14:paraId="221FF7F0" w14:textId="620D6F6E" w:rsidR="00783E0F" w:rsidRPr="00783E0F" w:rsidRDefault="00C77874" w:rsidP="00783E0F">
      <w:pPr>
        <w:pStyle w:val="HEADING"/>
      </w:pPr>
      <w:r>
        <w:lastRenderedPageBreak/>
        <w:t>Introduction</w:t>
      </w:r>
    </w:p>
    <w:p w14:paraId="3CC7D55F" w14:textId="694F5283" w:rsidR="00671D15" w:rsidRDefault="002B0737" w:rsidP="00671D15">
      <w:pPr>
        <w:pStyle w:val="JUDGMENTNUMBERED"/>
      </w:pPr>
      <w:r>
        <w:t xml:space="preserve">There are few things </w:t>
      </w:r>
      <w:r w:rsidR="00346305">
        <w:t>as</w:t>
      </w:r>
      <w:r>
        <w:t xml:space="preserve"> important for the flourishing of a society and its </w:t>
      </w:r>
      <w:r w:rsidR="009F4CA5">
        <w:t>people</w:t>
      </w:r>
      <w:r>
        <w:t xml:space="preserve"> </w:t>
      </w:r>
      <w:r w:rsidR="00346305">
        <w:t>as</w:t>
      </w:r>
      <w:r>
        <w:t xml:space="preserve"> education.  Through education, doors are opened to opportunities </w:t>
      </w:r>
      <w:r w:rsidR="009406DE">
        <w:t xml:space="preserve">that were </w:t>
      </w:r>
      <w:r>
        <w:t xml:space="preserve">only before </w:t>
      </w:r>
      <w:r w:rsidR="00551427">
        <w:t xml:space="preserve">ever </w:t>
      </w:r>
      <w:r>
        <w:t xml:space="preserve">dreamt of.  </w:t>
      </w:r>
      <w:r w:rsidR="002C7557">
        <w:t>I am not</w:t>
      </w:r>
      <w:r>
        <w:t xml:space="preserve"> exaggerating when I say that </w:t>
      </w:r>
      <w:r w:rsidR="009406DE">
        <w:t>education</w:t>
      </w:r>
      <w:r w:rsidR="009F4CA5" w:rsidRPr="009F4CA5">
        <w:t xml:space="preserve"> </w:t>
      </w:r>
      <w:r w:rsidR="009F4CA5">
        <w:t xml:space="preserve">changes lives.  It </w:t>
      </w:r>
      <w:r w:rsidR="00F5596E">
        <w:t xml:space="preserve">enriches and </w:t>
      </w:r>
      <w:r w:rsidR="002C7557">
        <w:t>develop</w:t>
      </w:r>
      <w:r w:rsidR="009F4CA5">
        <w:t>s</w:t>
      </w:r>
      <w:r w:rsidR="002C7557">
        <w:t xml:space="preserve"> our children so that they may reach the</w:t>
      </w:r>
      <w:r w:rsidR="00F5596E">
        <w:t xml:space="preserve"> height of their </w:t>
      </w:r>
      <w:r w:rsidR="002C7557">
        <w:t>potential</w:t>
      </w:r>
      <w:r>
        <w:t xml:space="preserve">. </w:t>
      </w:r>
      <w:r w:rsidR="002C7557">
        <w:t xml:space="preserve"> </w:t>
      </w:r>
      <w:r>
        <w:t>And</w:t>
      </w:r>
      <w:r w:rsidR="002C7557">
        <w:t xml:space="preserve">, </w:t>
      </w:r>
      <w:r>
        <w:t>as our citizens</w:t>
      </w:r>
      <w:r w:rsidR="00551427">
        <w:t xml:space="preserve"> are empowered</w:t>
      </w:r>
      <w:r w:rsidR="00345390">
        <w:t xml:space="preserve"> through education</w:t>
      </w:r>
      <w:r w:rsidR="00551427">
        <w:t xml:space="preserve"> to </w:t>
      </w:r>
      <w:r w:rsidR="00E64902">
        <w:t xml:space="preserve">improve their future and </w:t>
      </w:r>
      <w:r w:rsidR="00F5596E">
        <w:t>achieve</w:t>
      </w:r>
      <w:r w:rsidR="00551427">
        <w:t xml:space="preserve"> their dreams, our nation </w:t>
      </w:r>
      <w:r w:rsidR="002C7557">
        <w:t xml:space="preserve">will </w:t>
      </w:r>
      <w:r w:rsidR="00E367B8">
        <w:t>undoubtedly</w:t>
      </w:r>
      <w:r w:rsidR="009406DE">
        <w:t xml:space="preserve"> </w:t>
      </w:r>
      <w:r w:rsidR="00551427">
        <w:t xml:space="preserve">prosper </w:t>
      </w:r>
      <w:r w:rsidR="009406DE">
        <w:t>too</w:t>
      </w:r>
      <w:r w:rsidR="00551427">
        <w:t>.</w:t>
      </w:r>
      <w:bookmarkStart w:id="1" w:name="_Ref59362017"/>
      <w:r w:rsidR="00E64902">
        <w:rPr>
          <w:rStyle w:val="FootnoteReference"/>
        </w:rPr>
        <w:footnoteReference w:id="1"/>
      </w:r>
      <w:bookmarkEnd w:id="1"/>
    </w:p>
    <w:p w14:paraId="2E312D16" w14:textId="2F9B698E" w:rsidR="00551427" w:rsidRDefault="00551427" w:rsidP="00551427">
      <w:pPr>
        <w:pStyle w:val="JUDGMENTCONTINUED"/>
      </w:pPr>
    </w:p>
    <w:p w14:paraId="782D27C7" w14:textId="4B0BF334" w:rsidR="00551427" w:rsidRDefault="00345390" w:rsidP="00551427">
      <w:pPr>
        <w:pStyle w:val="JUDGMENTNUMBERED"/>
      </w:pPr>
      <w:r>
        <w:t xml:space="preserve">The </w:t>
      </w:r>
      <w:r w:rsidR="00E367B8">
        <w:t xml:space="preserve">fundamental </w:t>
      </w:r>
      <w:r>
        <w:t>importance of education is recognised by our Constitution, which entrenches</w:t>
      </w:r>
      <w:r w:rsidR="00895E04">
        <w:t xml:space="preserve"> the right to education in the Bill of Rights</w:t>
      </w:r>
      <w:r w:rsidR="00551427">
        <w:t>.  Section 29(1) of the Constitution</w:t>
      </w:r>
      <w:r w:rsidR="00895E04">
        <w:t xml:space="preserve"> provides:</w:t>
      </w:r>
    </w:p>
    <w:p w14:paraId="3A2B35C2" w14:textId="26BA36E9" w:rsidR="00895E04" w:rsidRDefault="00895E04" w:rsidP="00423231">
      <w:pPr>
        <w:pStyle w:val="QUOTATION"/>
      </w:pPr>
    </w:p>
    <w:p w14:paraId="4D231912" w14:textId="69556753" w:rsidR="00895E04" w:rsidRDefault="00895E04" w:rsidP="00895E04">
      <w:pPr>
        <w:pStyle w:val="QUOTATION"/>
      </w:pPr>
      <w:r>
        <w:t>“Everyone has the right—</w:t>
      </w:r>
    </w:p>
    <w:p w14:paraId="7138CE67" w14:textId="77777777" w:rsidR="00895E04" w:rsidRDefault="00895E04" w:rsidP="00895E04">
      <w:pPr>
        <w:pStyle w:val="QUOTATION"/>
        <w:numPr>
          <w:ilvl w:val="0"/>
          <w:numId w:val="24"/>
        </w:numPr>
        <w:ind w:left="1440" w:hanging="720"/>
      </w:pPr>
      <w:r>
        <w:t>to a basic education, including adult basic education; and</w:t>
      </w:r>
    </w:p>
    <w:p w14:paraId="50D93D8B" w14:textId="0C69D0DE" w:rsidR="00895E04" w:rsidRDefault="00895E04" w:rsidP="00895E04">
      <w:pPr>
        <w:pStyle w:val="QUOTATION"/>
        <w:numPr>
          <w:ilvl w:val="0"/>
          <w:numId w:val="24"/>
        </w:numPr>
        <w:ind w:left="1440" w:hanging="720"/>
      </w:pPr>
      <w:r>
        <w:t>to further education, which the state, through reasonable measures, must make progressively available and accessible.”</w:t>
      </w:r>
    </w:p>
    <w:p w14:paraId="527E95D6" w14:textId="5D470DA1" w:rsidR="00895E04" w:rsidRDefault="00895E04" w:rsidP="00895E04">
      <w:pPr>
        <w:pStyle w:val="JUDGMENTCONTINUED"/>
      </w:pPr>
    </w:p>
    <w:p w14:paraId="3001A58E" w14:textId="46B30E47" w:rsidR="00895E04" w:rsidRDefault="00783E0F" w:rsidP="00CB1E77">
      <w:pPr>
        <w:pStyle w:val="JUDGMENTNUMBERED"/>
      </w:pPr>
      <w:r>
        <w:t xml:space="preserve">The </w:t>
      </w:r>
      <w:r w:rsidR="00345390">
        <w:t>case</w:t>
      </w:r>
      <w:r>
        <w:t xml:space="preserve"> before us concerns a young man </w:t>
      </w:r>
      <w:r w:rsidR="002C7557">
        <w:t xml:space="preserve">who </w:t>
      </w:r>
      <w:r>
        <w:t>asks this Court to assist him, as a matter of urgency</w:t>
      </w:r>
      <w:r w:rsidR="002C7557">
        <w:t xml:space="preserve">, in </w:t>
      </w:r>
      <w:r w:rsidR="00CB1E77">
        <w:t xml:space="preserve">protecting and </w:t>
      </w:r>
      <w:r w:rsidR="002C7557">
        <w:t>vindicating th</w:t>
      </w:r>
      <w:r w:rsidR="005B0271">
        <w:t>is</w:t>
      </w:r>
      <w:r w:rsidR="002C7557">
        <w:t xml:space="preserve"> right</w:t>
      </w:r>
      <w:r w:rsidR="00B410F3">
        <w:t xml:space="preserve"> to education</w:t>
      </w:r>
      <w:r w:rsidR="002C7557">
        <w:t>.</w:t>
      </w:r>
    </w:p>
    <w:p w14:paraId="7A91671F" w14:textId="77777777" w:rsidR="00202EEA" w:rsidRPr="00202EEA" w:rsidRDefault="00202EEA" w:rsidP="00202EEA">
      <w:pPr>
        <w:pStyle w:val="JUDGMENTCONTINUED"/>
      </w:pPr>
    </w:p>
    <w:p w14:paraId="7B0E3825" w14:textId="38D67D4B" w:rsidR="0031276F" w:rsidRPr="0031276F" w:rsidRDefault="00AD1349" w:rsidP="0031276F">
      <w:pPr>
        <w:pStyle w:val="JUDGMENTNUMBERED"/>
      </w:pPr>
      <w:r>
        <w:t xml:space="preserve">Mr </w:t>
      </w:r>
      <w:r w:rsidR="0063208A">
        <w:t xml:space="preserve">Johannes Moko, the applicant, is a </w:t>
      </w:r>
      <w:r w:rsidR="001D1E11">
        <w:t>G</w:t>
      </w:r>
      <w:r w:rsidR="0063208A">
        <w:t xml:space="preserve">rade 12 </w:t>
      </w:r>
      <w:r w:rsidR="00BE5C07">
        <w:t xml:space="preserve">learner </w:t>
      </w:r>
      <w:r w:rsidR="0063208A">
        <w:t xml:space="preserve">at </w:t>
      </w:r>
      <w:r w:rsidR="0063208A" w:rsidRPr="0063208A">
        <w:t>Malusi Secondary School in Limpopo.</w:t>
      </w:r>
      <w:r w:rsidR="0063208A">
        <w:t xml:space="preserve">  </w:t>
      </w:r>
      <w:r w:rsidR="00954EAE">
        <w:t>The first respondent is the Acting Principal of Malusi Secondary School</w:t>
      </w:r>
      <w:r w:rsidR="00CF50A8">
        <w:t>, Mr Tlou Mokgonyana</w:t>
      </w:r>
      <w:r w:rsidR="00954EAE">
        <w:t>.  The second and third respondents</w:t>
      </w:r>
      <w:r>
        <w:t xml:space="preserve"> </w:t>
      </w:r>
      <w:r w:rsidR="00954EAE">
        <w:t xml:space="preserve">are the Member of the Executive Council and the Head of the Department of Education, Limpopo </w:t>
      </w:r>
      <w:r w:rsidR="00954EAE">
        <w:lastRenderedPageBreak/>
        <w:t>Province</w:t>
      </w:r>
      <w:r>
        <w:t>,</w:t>
      </w:r>
      <w:r w:rsidR="00954EAE">
        <w:t xml:space="preserve"> respectively.  The Minister of Basic Education is the fourth respondent</w:t>
      </w:r>
      <w:r w:rsidR="00C426B6">
        <w:t>,</w:t>
      </w:r>
      <w:r w:rsidR="00954EAE">
        <w:t xml:space="preserve"> and Umalusi, the body responsible for the development of education framework</w:t>
      </w:r>
      <w:r w:rsidR="00A42323">
        <w:t>s</w:t>
      </w:r>
      <w:r w:rsidR="00954EAE">
        <w:t xml:space="preserve"> and management of qualification standards, is the fifth respondent.</w:t>
      </w:r>
    </w:p>
    <w:p w14:paraId="7BBF080C" w14:textId="6AA49B9C" w:rsidR="00202EEA" w:rsidRDefault="00202EEA" w:rsidP="00202EEA">
      <w:pPr>
        <w:pStyle w:val="JUDGMENTCONTINUED"/>
      </w:pPr>
    </w:p>
    <w:p w14:paraId="41E10EFF" w14:textId="720919CF" w:rsidR="006114F7" w:rsidRDefault="00202EEA" w:rsidP="00202EEA">
      <w:pPr>
        <w:pStyle w:val="JUDGMENTNUMBERED"/>
      </w:pPr>
      <w:r>
        <w:t xml:space="preserve">But for the inexplicable conduct of the first respondent, Mr Moko would have completed his matric examinations a few weeks ago, and </w:t>
      </w:r>
      <w:r w:rsidR="009A6FE2">
        <w:t xml:space="preserve">would have </w:t>
      </w:r>
      <w:r>
        <w:t xml:space="preserve">been able to have enjoyed the festive season in the knowledge that he had written these </w:t>
      </w:r>
      <w:r w:rsidR="005F6E2E">
        <w:t>important</w:t>
      </w:r>
      <w:r>
        <w:t xml:space="preserve"> examinations to the best of his ability.  Instead, Mr Moko has spent the last few weeks in consultations with lawyers</w:t>
      </w:r>
      <w:r w:rsidR="00671B32">
        <w:t xml:space="preserve"> and </w:t>
      </w:r>
      <w:r>
        <w:t>filing papers</w:t>
      </w:r>
      <w:r w:rsidR="009A6FE2">
        <w:t xml:space="preserve"> in court</w:t>
      </w:r>
      <w:r>
        <w:t xml:space="preserve">, as he </w:t>
      </w:r>
      <w:r w:rsidR="00381048">
        <w:t xml:space="preserve">vehemently </w:t>
      </w:r>
      <w:r>
        <w:t>fights for his right to education.</w:t>
      </w:r>
    </w:p>
    <w:p w14:paraId="62301DD9" w14:textId="77777777" w:rsidR="006114F7" w:rsidRPr="006114F7" w:rsidRDefault="006114F7" w:rsidP="00C24B71">
      <w:pPr>
        <w:pStyle w:val="JUDGMENTCONTINUED"/>
      </w:pPr>
    </w:p>
    <w:p w14:paraId="47F29533" w14:textId="45DEF15D" w:rsidR="00202EEA" w:rsidRPr="00202EEA" w:rsidRDefault="006114F7" w:rsidP="00202EEA">
      <w:pPr>
        <w:pStyle w:val="JUDGMENTNUMBERED"/>
      </w:pPr>
      <w:r>
        <w:t xml:space="preserve">It is most unfortunate that </w:t>
      </w:r>
      <w:r w:rsidR="00EF52EA">
        <w:t>the first respondent did not</w:t>
      </w:r>
      <w:r>
        <w:t xml:space="preserve"> deem it necessary</w:t>
      </w:r>
      <w:r w:rsidR="00202EEA">
        <w:t xml:space="preserve"> </w:t>
      </w:r>
      <w:r>
        <w:t xml:space="preserve">to take us into </w:t>
      </w:r>
      <w:r w:rsidR="00EF52EA">
        <w:t>his</w:t>
      </w:r>
      <w:r>
        <w:t xml:space="preserve"> confidence regarding what could have caused </w:t>
      </w:r>
      <w:r w:rsidR="00EF52EA">
        <w:t>him</w:t>
      </w:r>
      <w:r>
        <w:t xml:space="preserve"> to act as he did.  Is there a policy or established practice that no </w:t>
      </w:r>
      <w:r w:rsidR="00BE5C07">
        <w:t xml:space="preserve">learner </w:t>
      </w:r>
      <w:r>
        <w:t xml:space="preserve">is to be allowed to sit for </w:t>
      </w:r>
      <w:r w:rsidR="000C638A">
        <w:t>an examination</w:t>
      </w:r>
      <w:r>
        <w:t xml:space="preserve"> if they d</w:t>
      </w:r>
      <w:r w:rsidR="000C638A">
        <w:t>id</w:t>
      </w:r>
      <w:r>
        <w:t xml:space="preserve"> not attend extra lessons?  Or was the first respondent acting on a frolic of his own?  We must</w:t>
      </w:r>
      <w:r w:rsidR="00202EEA">
        <w:t xml:space="preserve"> </w:t>
      </w:r>
      <w:r>
        <w:t xml:space="preserve">do everything in our power to resist the seductive force of speculation, but this deafening silence when the circumstances cry out for an explanation regarding conduct that could ruin or have an inimical effect on the destiny of a young man is deeply concerning.  </w:t>
      </w:r>
      <w:r w:rsidR="00202EEA">
        <w:t>But, let me start at the beginning.</w:t>
      </w:r>
      <w:r w:rsidR="00202EEA">
        <w:rPr>
          <w:rStyle w:val="FootnoteReference"/>
        </w:rPr>
        <w:footnoteReference w:id="2"/>
      </w:r>
    </w:p>
    <w:p w14:paraId="2957D36D" w14:textId="2956CD4C" w:rsidR="00954EAE" w:rsidRDefault="00954EAE" w:rsidP="00954EAE">
      <w:pPr>
        <w:pStyle w:val="JUDGMENTCONTINUED"/>
      </w:pPr>
    </w:p>
    <w:p w14:paraId="20CA2248" w14:textId="4FE8115F" w:rsidR="0063208A" w:rsidRDefault="00954EAE" w:rsidP="00B52BB7">
      <w:pPr>
        <w:pStyle w:val="HEADING"/>
      </w:pPr>
      <w:r>
        <w:t>Background facts</w:t>
      </w:r>
    </w:p>
    <w:p w14:paraId="49B09501" w14:textId="6270DC6A" w:rsidR="0063208A" w:rsidRDefault="00DC179D" w:rsidP="0063208A">
      <w:pPr>
        <w:pStyle w:val="JUDGMENTNUMBERED"/>
      </w:pPr>
      <w:r>
        <w:t xml:space="preserve">On Wednesday, 25 November 2020, Mr Moko arrived at Malusi Secondary School to write </w:t>
      </w:r>
      <w:r w:rsidR="00B410F3">
        <w:t>the</w:t>
      </w:r>
      <w:r>
        <w:t xml:space="preserve"> Business Studies Paper 2 examination</w:t>
      </w:r>
      <w:r w:rsidR="000338E4">
        <w:t xml:space="preserve"> as part of the 2020</w:t>
      </w:r>
      <w:r w:rsidR="00D12C37">
        <w:t> </w:t>
      </w:r>
      <w:r w:rsidR="000338E4">
        <w:t xml:space="preserve">National Senior Certificate </w:t>
      </w:r>
      <w:r w:rsidR="003248CA">
        <w:t>e</w:t>
      </w:r>
      <w:r w:rsidR="000338E4">
        <w:t xml:space="preserve">xaminations (colloquially, the </w:t>
      </w:r>
      <w:r w:rsidR="00E14C44">
        <w:t>m</w:t>
      </w:r>
      <w:r w:rsidR="000338E4">
        <w:t xml:space="preserve">atric </w:t>
      </w:r>
      <w:r w:rsidR="00E14C44">
        <w:t>e</w:t>
      </w:r>
      <w:r w:rsidR="000338E4">
        <w:t>xaminations)</w:t>
      </w:r>
      <w:r>
        <w:t xml:space="preserve">.  Upon his arrival, he </w:t>
      </w:r>
      <w:r w:rsidR="003D470B">
        <w:t>and two other</w:t>
      </w:r>
      <w:r w:rsidR="00293171">
        <w:t xml:space="preserve"> </w:t>
      </w:r>
      <w:r w:rsidR="00BE5C07">
        <w:t xml:space="preserve">learners </w:t>
      </w:r>
      <w:r>
        <w:t>w</w:t>
      </w:r>
      <w:r w:rsidR="003D470B">
        <w:t>ere</w:t>
      </w:r>
      <w:r>
        <w:t xml:space="preserve"> met</w:t>
      </w:r>
      <w:r w:rsidR="003D470B">
        <w:t xml:space="preserve"> by the first respondent at the </w:t>
      </w:r>
      <w:r w:rsidR="00D12C37">
        <w:t xml:space="preserve">school </w:t>
      </w:r>
      <w:r w:rsidR="003D470B">
        <w:t>gate and prevented from entering the school premises, on the basis that they had not attended certain extra lessons.  T</w:t>
      </w:r>
      <w:r w:rsidR="00F814E9">
        <w:t xml:space="preserve">hey were instructed to return home to fetch their parents or guardians, supposedly for purposes </w:t>
      </w:r>
      <w:r w:rsidR="0014473A">
        <w:t xml:space="preserve">of discussing the matter of not having attended those </w:t>
      </w:r>
      <w:r w:rsidR="0014473A">
        <w:lastRenderedPageBreak/>
        <w:t>lessons</w:t>
      </w:r>
      <w:r w:rsidR="00142F37">
        <w:t>.</w:t>
      </w:r>
      <w:r w:rsidR="00EF7445">
        <w:t xml:space="preserve"> </w:t>
      </w:r>
      <w:r w:rsidR="00142F37">
        <w:t xml:space="preserve"> They were</w:t>
      </w:r>
      <w:r w:rsidR="00EF7445">
        <w:t xml:space="preserve"> only </w:t>
      </w:r>
      <w:r w:rsidR="00142F37">
        <w:t xml:space="preserve">to </w:t>
      </w:r>
      <w:r w:rsidR="00EF7445">
        <w:t xml:space="preserve">return </w:t>
      </w:r>
      <w:r w:rsidR="003D5DB8">
        <w:t>to the school with</w:t>
      </w:r>
      <w:r w:rsidR="00EF7445">
        <w:t xml:space="preserve"> </w:t>
      </w:r>
      <w:r w:rsidR="00293171">
        <w:t>their</w:t>
      </w:r>
      <w:r w:rsidR="00EF7445">
        <w:t xml:space="preserve"> </w:t>
      </w:r>
      <w:r w:rsidR="00E34313">
        <w:t>parents</w:t>
      </w:r>
      <w:r w:rsidR="00E37F5F">
        <w:t xml:space="preserve"> or guardians</w:t>
      </w:r>
      <w:r w:rsidR="0014473A">
        <w:t>.</w:t>
      </w:r>
      <w:r w:rsidR="00672785">
        <w:rPr>
          <w:rStyle w:val="FootnoteReference"/>
        </w:rPr>
        <w:footnoteReference w:id="3"/>
      </w:r>
      <w:r w:rsidR="0014473A">
        <w:t xml:space="preserve">  Mr</w:t>
      </w:r>
      <w:r w:rsidR="00E34313">
        <w:t> </w:t>
      </w:r>
      <w:r w:rsidR="0014473A">
        <w:t xml:space="preserve">Moko left the school </w:t>
      </w:r>
      <w:r w:rsidR="003D5DB8">
        <w:t>as instructed</w:t>
      </w:r>
      <w:r w:rsidR="0014473A">
        <w:t xml:space="preserve">, but was unable to locate </w:t>
      </w:r>
      <w:r w:rsidR="000338E4">
        <w:t xml:space="preserve">either </w:t>
      </w:r>
      <w:r w:rsidR="0014473A">
        <w:t>his grandmother</w:t>
      </w:r>
      <w:r w:rsidR="003D5DB8">
        <w:t>, who was apparently at the hospital collecting medication,</w:t>
      </w:r>
      <w:r w:rsidR="00EF7445">
        <w:t xml:space="preserve"> </w:t>
      </w:r>
      <w:r w:rsidR="0014473A">
        <w:t>or</w:t>
      </w:r>
      <w:r w:rsidR="00EF7445">
        <w:t xml:space="preserve"> his</w:t>
      </w:r>
      <w:r w:rsidR="0014473A">
        <w:t xml:space="preserve"> uncle.  Although he managed to contact his sister, she was not nearby and was </w:t>
      </w:r>
      <w:r w:rsidR="003D5DB8">
        <w:t>therefore unable</w:t>
      </w:r>
      <w:r w:rsidR="0014473A">
        <w:t xml:space="preserve"> to make it to the school.  The applicant th</w:t>
      </w:r>
      <w:r w:rsidR="00EF7445">
        <w:t>u</w:t>
      </w:r>
      <w:r w:rsidR="0014473A">
        <w:t xml:space="preserve">s returned to </w:t>
      </w:r>
      <w:r w:rsidR="00EF7445">
        <w:t xml:space="preserve">the school alone.  Upon arrival, the school </w:t>
      </w:r>
      <w:r w:rsidR="00F334DE">
        <w:t xml:space="preserve">gates </w:t>
      </w:r>
      <w:r w:rsidR="00EF7445">
        <w:t>w</w:t>
      </w:r>
      <w:r w:rsidR="00F334DE">
        <w:t>ere</w:t>
      </w:r>
      <w:r w:rsidR="00EF7445">
        <w:t xml:space="preserve"> locked</w:t>
      </w:r>
      <w:r w:rsidR="008E4D63">
        <w:t>.</w:t>
      </w:r>
      <w:r w:rsidR="000338E4">
        <w:rPr>
          <w:rStyle w:val="FootnoteReference"/>
        </w:rPr>
        <w:footnoteReference w:id="4"/>
      </w:r>
    </w:p>
    <w:p w14:paraId="16D58114" w14:textId="17C5A327" w:rsidR="008E4D63" w:rsidRDefault="008E4D63" w:rsidP="008E4D63">
      <w:pPr>
        <w:pStyle w:val="JUDGMENTCONTINUED"/>
      </w:pPr>
    </w:p>
    <w:p w14:paraId="1410BC34" w14:textId="79D44BFE" w:rsidR="008E4D63" w:rsidRDefault="008E4D63" w:rsidP="008E4D63">
      <w:pPr>
        <w:pStyle w:val="JUDGMENTNUMBERED"/>
      </w:pPr>
      <w:r>
        <w:t xml:space="preserve">Mr Moko was seen outside the school by </w:t>
      </w:r>
      <w:r w:rsidR="000438F7">
        <w:t>a certain Mr</w:t>
      </w:r>
      <w:r w:rsidR="00D12C37">
        <w:t> </w:t>
      </w:r>
      <w:r w:rsidR="000438F7">
        <w:t xml:space="preserve">Moshuhla </w:t>
      </w:r>
      <w:r>
        <w:t xml:space="preserve">who, concerned to see </w:t>
      </w:r>
      <w:r w:rsidR="00E34313">
        <w:t>the applicant</w:t>
      </w:r>
      <w:r>
        <w:t xml:space="preserve"> outside the locked gates, </w:t>
      </w:r>
      <w:r w:rsidR="00F334DE">
        <w:t>convinced</w:t>
      </w:r>
      <w:r>
        <w:t xml:space="preserve"> the security officer to let him in.  A</w:t>
      </w:r>
      <w:r w:rsidR="00CD263B">
        <w:t>t</w:t>
      </w:r>
      <w:r>
        <w:t xml:space="preserve"> this stage, the Business Studies </w:t>
      </w:r>
      <w:r w:rsidR="005B02F0">
        <w:t xml:space="preserve">Paper 2 </w:t>
      </w:r>
      <w:r>
        <w:t xml:space="preserve">examination was </w:t>
      </w:r>
      <w:r w:rsidR="00CD263B">
        <w:t xml:space="preserve">already </w:t>
      </w:r>
      <w:r>
        <w:t>underway</w:t>
      </w:r>
      <w:r w:rsidR="00CD263B">
        <w:t xml:space="preserve">.  </w:t>
      </w:r>
      <w:r w:rsidR="00C37F8C">
        <w:t>As the examination had already begun, the</w:t>
      </w:r>
      <w:r w:rsidR="00CD263B">
        <w:t xml:space="preserve"> </w:t>
      </w:r>
      <w:r w:rsidR="00622A22">
        <w:t>first respondent refused to allow the applicant to enter the examination</w:t>
      </w:r>
      <w:r w:rsidR="00E34313">
        <w:t xml:space="preserve"> room</w:t>
      </w:r>
      <w:r w:rsidR="006512CD">
        <w:t>.  This</w:t>
      </w:r>
      <w:r w:rsidR="00622A22">
        <w:t xml:space="preserve"> </w:t>
      </w:r>
      <w:r w:rsidR="006512CD">
        <w:t>deprived the applicant of the opportunity to write</w:t>
      </w:r>
      <w:r w:rsidR="00622A22">
        <w:t xml:space="preserve"> the </w:t>
      </w:r>
      <w:r w:rsidR="008074DF">
        <w:t xml:space="preserve">Business Studies Paper 2 </w:t>
      </w:r>
      <w:r w:rsidR="00622A22">
        <w:t>examination</w:t>
      </w:r>
      <w:r w:rsidR="006512CD">
        <w:t xml:space="preserve"> on 25 November 2020,</w:t>
      </w:r>
      <w:r w:rsidR="006512CD" w:rsidRPr="006512CD">
        <w:t xml:space="preserve"> </w:t>
      </w:r>
      <w:r w:rsidR="006512CD">
        <w:t>as per the examination schedule.</w:t>
      </w:r>
    </w:p>
    <w:p w14:paraId="36BB570F" w14:textId="4C07A274" w:rsidR="000438F7" w:rsidRDefault="000438F7" w:rsidP="000438F7">
      <w:pPr>
        <w:pStyle w:val="JUDGMENTCONTINUED"/>
      </w:pPr>
    </w:p>
    <w:p w14:paraId="5BF02B55" w14:textId="76E01935" w:rsidR="000438F7" w:rsidRDefault="000438F7" w:rsidP="000438F7">
      <w:pPr>
        <w:pStyle w:val="JUDGMENTNUMBERED"/>
      </w:pPr>
      <w:r>
        <w:t>The day after the missed examination, Mr Moko, along with his uncle and Mr</w:t>
      </w:r>
      <w:r w:rsidR="00DC5F7D">
        <w:t> </w:t>
      </w:r>
      <w:r>
        <w:t xml:space="preserve">Moshuhla, met with </w:t>
      </w:r>
      <w:r w:rsidR="004B3EEE">
        <w:t xml:space="preserve">the </w:t>
      </w:r>
      <w:r>
        <w:t xml:space="preserve">first respondent to discuss the </w:t>
      </w:r>
      <w:r w:rsidR="006512CD">
        <w:t>incident</w:t>
      </w:r>
      <w:r>
        <w:t>, at which point Mr</w:t>
      </w:r>
      <w:r w:rsidR="008908A4">
        <w:t> </w:t>
      </w:r>
      <w:r>
        <w:t xml:space="preserve">Moko was informed that he would </w:t>
      </w:r>
      <w:r w:rsidR="00E367B8">
        <w:t xml:space="preserve">only </w:t>
      </w:r>
      <w:r>
        <w:t>be able to write the supplementary examination in May</w:t>
      </w:r>
      <w:r w:rsidR="00DC5F7D">
        <w:t> </w:t>
      </w:r>
      <w:r>
        <w:t>2021.  The matter was</w:t>
      </w:r>
      <w:r w:rsidR="00DC5F7D" w:rsidRPr="00DC5F7D">
        <w:t xml:space="preserve"> </w:t>
      </w:r>
      <w:r w:rsidR="00DC5F7D">
        <w:t>thereafter,</w:t>
      </w:r>
      <w:r>
        <w:t xml:space="preserve"> </w:t>
      </w:r>
      <w:r w:rsidR="00DC5F7D">
        <w:t xml:space="preserve">on Friday, 27 November 2020, </w:t>
      </w:r>
      <w:r>
        <w:t xml:space="preserve">escalated to the second respondent, who directed the District Director to </w:t>
      </w:r>
      <w:r w:rsidR="0011593C">
        <w:t xml:space="preserve">urgently </w:t>
      </w:r>
      <w:r>
        <w:t>attend to the matter.</w:t>
      </w:r>
      <w:r w:rsidR="00121CCD">
        <w:t xml:space="preserve">  The </w:t>
      </w:r>
      <w:r w:rsidR="00DC5F7D">
        <w:t>latter</w:t>
      </w:r>
      <w:r w:rsidR="00121CCD">
        <w:t xml:space="preserve"> contacted Mr Moko that same da</w:t>
      </w:r>
      <w:r w:rsidR="00E367B8">
        <w:t xml:space="preserve">y.  He </w:t>
      </w:r>
      <w:r w:rsidR="00121CCD">
        <w:t>indicat</w:t>
      </w:r>
      <w:r w:rsidR="00E367B8">
        <w:t>ed</w:t>
      </w:r>
      <w:r w:rsidR="00121CCD">
        <w:t xml:space="preserve"> that a decision had been taken against the first respondent, </w:t>
      </w:r>
      <w:r w:rsidR="00E367B8">
        <w:t xml:space="preserve">but </w:t>
      </w:r>
      <w:r w:rsidR="00121CCD">
        <w:t>confirmed that the applicant would only be able to write the examination in May</w:t>
      </w:r>
      <w:r w:rsidR="00D3087E">
        <w:t> </w:t>
      </w:r>
      <w:r w:rsidR="00121CCD">
        <w:t>2021.</w:t>
      </w:r>
    </w:p>
    <w:p w14:paraId="32393C21" w14:textId="58C49DF8" w:rsidR="00121CCD" w:rsidRDefault="00121CCD" w:rsidP="00121CCD">
      <w:pPr>
        <w:pStyle w:val="JUDGMENTCONTINUED"/>
      </w:pPr>
    </w:p>
    <w:p w14:paraId="62ADA65E" w14:textId="2F10F83C" w:rsidR="00F95FFC" w:rsidRDefault="005B02F0" w:rsidP="00121CCD">
      <w:pPr>
        <w:pStyle w:val="JUDGMENTNUMBERED"/>
      </w:pPr>
      <w:r>
        <w:t>Aggrieved by</w:t>
      </w:r>
      <w:r w:rsidR="00F95FFC">
        <w:t xml:space="preserve"> the decision</w:t>
      </w:r>
      <w:r w:rsidR="00121CCD">
        <w:t xml:space="preserve"> that he would only be able to complete his </w:t>
      </w:r>
      <w:r w:rsidR="00CD4284">
        <w:t>m</w:t>
      </w:r>
      <w:r w:rsidR="00121CCD">
        <w:t>atric</w:t>
      </w:r>
      <w:r w:rsidR="00B33DA1">
        <w:t xml:space="preserve"> </w:t>
      </w:r>
      <w:r w:rsidR="00CD4284">
        <w:t>e</w:t>
      </w:r>
      <w:r w:rsidR="00121CCD">
        <w:t xml:space="preserve">xaminations </w:t>
      </w:r>
      <w:r w:rsidR="00477BB9">
        <w:t>at that late stage</w:t>
      </w:r>
      <w:r w:rsidR="00121CCD">
        <w:t xml:space="preserve">, Mr Moko </w:t>
      </w:r>
      <w:r w:rsidR="006114F7">
        <w:t xml:space="preserve">launched </w:t>
      </w:r>
      <w:r w:rsidR="00121CCD">
        <w:t>an urgent application in the High</w:t>
      </w:r>
      <w:r w:rsidR="00D0340C">
        <w:t> </w:t>
      </w:r>
      <w:r w:rsidR="00121CCD">
        <w:t xml:space="preserve">Court </w:t>
      </w:r>
      <w:r w:rsidR="00E138E9">
        <w:t>of South Africa, Limpopo Division, Polokwane</w:t>
      </w:r>
      <w:r w:rsidR="0023480B">
        <w:t>,</w:t>
      </w:r>
      <w:r w:rsidR="00E138E9">
        <w:t xml:space="preserve"> </w:t>
      </w:r>
      <w:r w:rsidR="00121CCD">
        <w:t xml:space="preserve">for an order that he be </w:t>
      </w:r>
      <w:r w:rsidR="00477BB9">
        <w:t>given the opportunity</w:t>
      </w:r>
      <w:r w:rsidR="00121CCD">
        <w:t xml:space="preserve"> to write the missed examination </w:t>
      </w:r>
      <w:r w:rsidR="00CD4284">
        <w:t>imminently</w:t>
      </w:r>
      <w:r w:rsidR="00121CCD">
        <w:t>.</w:t>
      </w:r>
    </w:p>
    <w:p w14:paraId="281EF0BD" w14:textId="77777777" w:rsidR="00F95FFC" w:rsidRPr="00F95FFC" w:rsidRDefault="00F95FFC" w:rsidP="00F95FFC">
      <w:pPr>
        <w:pStyle w:val="JUDGMENTCONTINUED"/>
      </w:pPr>
    </w:p>
    <w:p w14:paraId="09ED2716" w14:textId="33ECB0C0" w:rsidR="00121CCD" w:rsidRDefault="00F95FFC" w:rsidP="00121CCD">
      <w:pPr>
        <w:pStyle w:val="JUDGMENTNUMBERED"/>
      </w:pPr>
      <w:r>
        <w:t xml:space="preserve">The </w:t>
      </w:r>
      <w:r w:rsidR="00E367B8">
        <w:t>H</w:t>
      </w:r>
      <w:r>
        <w:t xml:space="preserve">igh Court, however, </w:t>
      </w:r>
      <w:r w:rsidR="00121CCD">
        <w:t xml:space="preserve">struck </w:t>
      </w:r>
      <w:r>
        <w:t xml:space="preserve">the application </w:t>
      </w:r>
      <w:r w:rsidR="00121CCD">
        <w:t xml:space="preserve">from the roll </w:t>
      </w:r>
      <w:r w:rsidR="00E367B8">
        <w:t>for lack of</w:t>
      </w:r>
      <w:r w:rsidR="00121CCD">
        <w:t xml:space="preserve"> urgency</w:t>
      </w:r>
      <w:r>
        <w:t xml:space="preserve">.  That Court </w:t>
      </w:r>
      <w:r w:rsidR="00E138E9">
        <w:t xml:space="preserve">concluded that Mr Moko would be given the opportunity to write the paper in </w:t>
      </w:r>
      <w:r w:rsidR="00E367B8">
        <w:t>M</w:t>
      </w:r>
      <w:r w:rsidR="00E138E9">
        <w:t>ay</w:t>
      </w:r>
      <w:r w:rsidR="00F109BD">
        <w:t> </w:t>
      </w:r>
      <w:r w:rsidR="00E138E9">
        <w:t>2021</w:t>
      </w:r>
      <w:r w:rsidR="00954EAE">
        <w:t xml:space="preserve"> and </w:t>
      </w:r>
      <w:r w:rsidR="00CE1061">
        <w:t xml:space="preserve">that </w:t>
      </w:r>
      <w:r w:rsidR="00954EAE">
        <w:t xml:space="preserve">there was therefore no need for the matter to be determined on </w:t>
      </w:r>
      <w:r w:rsidR="0023480B">
        <w:t xml:space="preserve">an </w:t>
      </w:r>
      <w:r w:rsidR="00954EAE">
        <w:t xml:space="preserve">urgent </w:t>
      </w:r>
      <w:r w:rsidR="0023480B">
        <w:t>basis</w:t>
      </w:r>
      <w:r w:rsidR="00954EAE">
        <w:t>.</w:t>
      </w:r>
    </w:p>
    <w:p w14:paraId="60214446" w14:textId="77450C04" w:rsidR="00E138E9" w:rsidRDefault="00E138E9" w:rsidP="00E138E9">
      <w:pPr>
        <w:pStyle w:val="JUDGMENTCONTINUED"/>
      </w:pPr>
    </w:p>
    <w:p w14:paraId="2EEAE672" w14:textId="4FD9AAD2" w:rsidR="00E138E9" w:rsidRDefault="00477BB9" w:rsidP="00E138E9">
      <w:pPr>
        <w:pStyle w:val="JUDGMENTNUMBERED"/>
      </w:pPr>
      <w:r>
        <w:t>Mr Moko</w:t>
      </w:r>
      <w:r w:rsidR="00F95FFC">
        <w:t xml:space="preserve"> </w:t>
      </w:r>
      <w:r w:rsidR="00542296">
        <w:t>i</w:t>
      </w:r>
      <w:r w:rsidR="00F95FFC">
        <w:t xml:space="preserve">s of the view that </w:t>
      </w:r>
      <w:r w:rsidR="00954EAE">
        <w:t xml:space="preserve">the determination of the matter </w:t>
      </w:r>
      <w:r w:rsidR="00332B94">
        <w:t>by the High</w:t>
      </w:r>
      <w:r w:rsidR="00167F6D">
        <w:t> </w:t>
      </w:r>
      <w:r w:rsidR="00332B94">
        <w:t xml:space="preserve">Court </w:t>
      </w:r>
      <w:r w:rsidR="00954EAE">
        <w:t xml:space="preserve">in the ordinary course </w:t>
      </w:r>
      <w:r w:rsidR="00542296">
        <w:t>will</w:t>
      </w:r>
      <w:r w:rsidR="00F95FFC">
        <w:t xml:space="preserve"> not provide him with the </w:t>
      </w:r>
      <w:r w:rsidR="00332B94">
        <w:t xml:space="preserve">urgent </w:t>
      </w:r>
      <w:r w:rsidR="00F95FFC">
        <w:t xml:space="preserve">relief he </w:t>
      </w:r>
      <w:r w:rsidR="00542296">
        <w:t>seeks</w:t>
      </w:r>
      <w:r>
        <w:t xml:space="preserve"> to write the missed examination</w:t>
      </w:r>
      <w:r w:rsidRPr="00477BB9">
        <w:t xml:space="preserve"> </w:t>
      </w:r>
      <w:r w:rsidR="00B80A21">
        <w:t>as soon as possible</w:t>
      </w:r>
      <w:r w:rsidR="00954EAE">
        <w:t>.  H</w:t>
      </w:r>
      <w:r w:rsidR="00F95FFC">
        <w:t>e</w:t>
      </w:r>
      <w:r w:rsidR="00954EAE">
        <w:t xml:space="preserve"> thus</w:t>
      </w:r>
      <w:r w:rsidR="00E138E9">
        <w:t xml:space="preserve"> approache</w:t>
      </w:r>
      <w:r w:rsidR="00542296">
        <w:t>s</w:t>
      </w:r>
      <w:r w:rsidR="00E138E9">
        <w:t xml:space="preserve"> this Court directl</w:t>
      </w:r>
      <w:r w:rsidR="00F95FFC">
        <w:t>y</w:t>
      </w:r>
      <w:r w:rsidR="000572AB">
        <w:t xml:space="preserve"> on an urgent basis</w:t>
      </w:r>
      <w:r w:rsidR="00954EAE">
        <w:t xml:space="preserve"> for an order directing that he be given an opportunity to write the </w:t>
      </w:r>
      <w:r w:rsidR="00CD0814">
        <w:t xml:space="preserve">examination </w:t>
      </w:r>
      <w:r w:rsidR="00954EAE">
        <w:t>before the release of the other results</w:t>
      </w:r>
      <w:r w:rsidR="008908A4">
        <w:t xml:space="preserve">, so that his </w:t>
      </w:r>
      <w:r w:rsidR="007A0B76">
        <w:t>examination script</w:t>
      </w:r>
      <w:r w:rsidR="008908A4">
        <w:t xml:space="preserve"> </w:t>
      </w:r>
      <w:r w:rsidR="00542296">
        <w:t>can</w:t>
      </w:r>
      <w:r w:rsidR="008908A4">
        <w:t xml:space="preserve"> be marked and his results released </w:t>
      </w:r>
      <w:r w:rsidR="00CD4284">
        <w:t>together with</w:t>
      </w:r>
      <w:r w:rsidR="008908A4">
        <w:t xml:space="preserve"> the results of the </w:t>
      </w:r>
      <w:r w:rsidR="00CD4284">
        <w:t>other</w:t>
      </w:r>
      <w:r w:rsidR="008908A4">
        <w:t xml:space="preserve"> </w:t>
      </w:r>
      <w:r w:rsidR="00CD4284">
        <w:t>m</w:t>
      </w:r>
      <w:r w:rsidR="008908A4">
        <w:t xml:space="preserve">atric </w:t>
      </w:r>
      <w:r w:rsidR="00CD4284">
        <w:t>e</w:t>
      </w:r>
      <w:r w:rsidR="008908A4">
        <w:t>xaminations</w:t>
      </w:r>
      <w:r w:rsidR="00E138E9">
        <w:t>.</w:t>
      </w:r>
      <w:r w:rsidR="008908A4">
        <w:t xml:space="preserve">  He further requests that the second to fourth respondents be ordered to arrange and pay for counselling sessions </w:t>
      </w:r>
      <w:r w:rsidR="00364B81">
        <w:t xml:space="preserve">for him </w:t>
      </w:r>
      <w:r w:rsidR="008908A4">
        <w:t>before the release of the</w:t>
      </w:r>
      <w:r w:rsidR="00542296">
        <w:t>se results</w:t>
      </w:r>
      <w:r w:rsidR="008908A4">
        <w:t>.</w:t>
      </w:r>
    </w:p>
    <w:p w14:paraId="571EAE95" w14:textId="4F1C5CD9" w:rsidR="00E138E9" w:rsidRDefault="00E138E9" w:rsidP="00E138E9">
      <w:pPr>
        <w:pStyle w:val="JUDGMENTCONTINUED"/>
      </w:pPr>
    </w:p>
    <w:p w14:paraId="56C47A24" w14:textId="2820FE7F" w:rsidR="007D43C8" w:rsidRDefault="000572AB" w:rsidP="007D43C8">
      <w:pPr>
        <w:pStyle w:val="JUDGMENTNUMBERED"/>
      </w:pPr>
      <w:r>
        <w:t>Mr Moko submits that the conduct of the first respondent, in sending him home to call his parents</w:t>
      </w:r>
      <w:r w:rsidR="004E3E1A">
        <w:t xml:space="preserve">, which resulted </w:t>
      </w:r>
      <w:r>
        <w:t>in him arriving late and being refused entry into the examination, violate</w:t>
      </w:r>
      <w:r w:rsidR="004E3E1A">
        <w:t>d</w:t>
      </w:r>
      <w:r>
        <w:t xml:space="preserve"> his right to basic education in section</w:t>
      </w:r>
      <w:r w:rsidR="001F72F8">
        <w:t> </w:t>
      </w:r>
      <w:r>
        <w:t>29(1)(a) of the Constitution</w:t>
      </w:r>
      <w:r w:rsidR="008908A4">
        <w:t xml:space="preserve"> as well as</w:t>
      </w:r>
      <w:r>
        <w:t xml:space="preserve"> his right to further education</w:t>
      </w:r>
      <w:r w:rsidR="008908A4">
        <w:t xml:space="preserve"> in section</w:t>
      </w:r>
      <w:r w:rsidR="001F72F8">
        <w:t> </w:t>
      </w:r>
      <w:r w:rsidR="008908A4">
        <w:t>29(1)(b)</w:t>
      </w:r>
      <w:r w:rsidR="0083136B">
        <w:t>.  This is because</w:t>
      </w:r>
      <w:r>
        <w:t xml:space="preserve"> </w:t>
      </w:r>
      <w:r w:rsidR="009612A3">
        <w:t xml:space="preserve">the delay in his </w:t>
      </w:r>
      <w:r w:rsidR="008908A4">
        <w:t xml:space="preserve">completed </w:t>
      </w:r>
      <w:r w:rsidR="009612A3">
        <w:t>matric results</w:t>
      </w:r>
      <w:r w:rsidR="004E3E1A">
        <w:t xml:space="preserve"> – i</w:t>
      </w:r>
      <w:r w:rsidR="0083136B">
        <w:t>f he is only able to write the missed examination in May</w:t>
      </w:r>
      <w:r w:rsidR="008908A4">
        <w:t> </w:t>
      </w:r>
      <w:r w:rsidR="0083136B">
        <w:t>2021</w:t>
      </w:r>
      <w:r w:rsidR="004E3E1A">
        <w:t xml:space="preserve"> – </w:t>
      </w:r>
      <w:r w:rsidR="0083136B">
        <w:t>means that Mr</w:t>
      </w:r>
      <w:r w:rsidR="001F72F8">
        <w:t> </w:t>
      </w:r>
      <w:r w:rsidR="0083136B">
        <w:t xml:space="preserve">Moko will be unable to begin </w:t>
      </w:r>
      <w:r w:rsidR="009901FC">
        <w:t xml:space="preserve">any </w:t>
      </w:r>
      <w:r w:rsidR="0083136B">
        <w:t xml:space="preserve">further education at an institution of higher learning at the start of 2021.  It is particularly for this </w:t>
      </w:r>
      <w:r w:rsidR="00CD0814">
        <w:t xml:space="preserve">latter </w:t>
      </w:r>
      <w:r w:rsidR="0083136B">
        <w:t>reason that the applicant submits that this matter be determined on an urgent basis.</w:t>
      </w:r>
    </w:p>
    <w:p w14:paraId="395E5096" w14:textId="463E3BC1" w:rsidR="00332B94" w:rsidRDefault="00332B94" w:rsidP="00332B94">
      <w:pPr>
        <w:pStyle w:val="JUDGMENTCONTINUED"/>
      </w:pPr>
    </w:p>
    <w:p w14:paraId="5C874848" w14:textId="219C52DC" w:rsidR="00B111F2" w:rsidRPr="00B111F2" w:rsidRDefault="00B111F2" w:rsidP="00B111F2">
      <w:pPr>
        <w:pStyle w:val="HEADING"/>
      </w:pPr>
      <w:r>
        <w:t>Jurisdiction</w:t>
      </w:r>
    </w:p>
    <w:p w14:paraId="11BD5FF8" w14:textId="62FF716F" w:rsidR="00332B94" w:rsidRPr="00332B94" w:rsidRDefault="00332B94" w:rsidP="00332B94">
      <w:pPr>
        <w:pStyle w:val="JUDGMENTNUMBERED"/>
      </w:pPr>
      <w:r>
        <w:t>It is perspicuous that the matter engages this Court’s constitutional jurisdiction</w:t>
      </w:r>
      <w:r w:rsidR="009901FC">
        <w:t xml:space="preserve">. </w:t>
      </w:r>
      <w:r w:rsidR="00F33071">
        <w:t xml:space="preserve"> </w:t>
      </w:r>
      <w:r w:rsidR="009901FC">
        <w:t>T</w:t>
      </w:r>
      <w:r w:rsidR="00F33071">
        <w:t>he applicant asks this Court to declare that his constitutional right</w:t>
      </w:r>
      <w:r w:rsidR="009901FC">
        <w:t>s</w:t>
      </w:r>
      <w:r w:rsidR="00F33071">
        <w:t xml:space="preserve"> to basic and further education under section</w:t>
      </w:r>
      <w:r w:rsidR="001F72F8">
        <w:t> </w:t>
      </w:r>
      <w:r w:rsidR="00F33071">
        <w:t>29(1)(a) and (b) of the Constitution ha</w:t>
      </w:r>
      <w:r w:rsidR="009901FC">
        <w:t>ve</w:t>
      </w:r>
      <w:r w:rsidR="00F33071">
        <w:t xml:space="preserve"> been infringed.  This </w:t>
      </w:r>
      <w:r w:rsidR="00F33071">
        <w:lastRenderedPageBreak/>
        <w:t>undoubtedly falls within the ambit of section</w:t>
      </w:r>
      <w:r w:rsidR="001F72F8">
        <w:t> </w:t>
      </w:r>
      <w:r w:rsidR="00F33071">
        <w:t>167(3)(b)(i) of the Constitution.</w:t>
      </w:r>
      <w:r w:rsidR="00F33071">
        <w:rPr>
          <w:rStyle w:val="FootnoteReference"/>
        </w:rPr>
        <w:footnoteReference w:id="5"/>
      </w:r>
      <w:r w:rsidR="00F33071">
        <w:t xml:space="preserve">  This Court’s jurisdiction is engaged.</w:t>
      </w:r>
    </w:p>
    <w:p w14:paraId="06743718" w14:textId="33723955" w:rsidR="00895E04" w:rsidRDefault="00895E04" w:rsidP="00895E04">
      <w:pPr>
        <w:pStyle w:val="JUDGMENTCONTINUED"/>
      </w:pPr>
    </w:p>
    <w:p w14:paraId="400E52C3" w14:textId="68BD57D1" w:rsidR="00895E04" w:rsidRDefault="009901FC" w:rsidP="00895E04">
      <w:pPr>
        <w:pStyle w:val="JUDGMENTNUMBERED"/>
      </w:pPr>
      <w:r>
        <w:t>But, i</w:t>
      </w:r>
      <w:r w:rsidR="00F33071">
        <w:t>s it in the interests of justice for this Court to determine this urgent application for direct access?</w:t>
      </w:r>
    </w:p>
    <w:p w14:paraId="3449C5F6" w14:textId="2CC7065B" w:rsidR="00F33071" w:rsidRDefault="00F33071" w:rsidP="00F33071">
      <w:pPr>
        <w:pStyle w:val="JUDGMENTCONTINUED"/>
      </w:pPr>
    </w:p>
    <w:p w14:paraId="6A4BA277" w14:textId="429990FF" w:rsidR="00B111F2" w:rsidRPr="00B111F2" w:rsidRDefault="00B111F2" w:rsidP="00B111F2">
      <w:pPr>
        <w:pStyle w:val="HEADING"/>
      </w:pPr>
      <w:r>
        <w:t>Direct access and urgency</w:t>
      </w:r>
    </w:p>
    <w:p w14:paraId="0AE5CBC5" w14:textId="51C525E1" w:rsidR="00B111F2" w:rsidRDefault="00B111F2" w:rsidP="00B111F2">
      <w:pPr>
        <w:pStyle w:val="JUDGMENTNUMBERED"/>
      </w:pPr>
      <w:r>
        <w:t>The applicant approaches this Court directly</w:t>
      </w:r>
      <w:r w:rsidR="008D5112">
        <w:t>, on an urgent basis</w:t>
      </w:r>
      <w:r>
        <w:t xml:space="preserve">.  </w:t>
      </w:r>
      <w:r w:rsidR="009901FC">
        <w:t xml:space="preserve">This </w:t>
      </w:r>
      <w:r>
        <w:t xml:space="preserve">Court </w:t>
      </w:r>
      <w:r w:rsidR="009901FC">
        <w:t xml:space="preserve">must </w:t>
      </w:r>
      <w:r w:rsidR="00387B4C">
        <w:t xml:space="preserve">therefore </w:t>
      </w:r>
      <w:r>
        <w:t xml:space="preserve">be convinced that it should determine the </w:t>
      </w:r>
      <w:r w:rsidR="008D5112">
        <w:t>application</w:t>
      </w:r>
      <w:r>
        <w:t xml:space="preserve"> as </w:t>
      </w:r>
      <w:r w:rsidR="005622B5">
        <w:t xml:space="preserve">a </w:t>
      </w:r>
      <w:r>
        <w:t xml:space="preserve">court of first and last instance and </w:t>
      </w:r>
      <w:r w:rsidR="008D5112">
        <w:t>as a matter of urgency</w:t>
      </w:r>
      <w:r>
        <w:t>.</w:t>
      </w:r>
    </w:p>
    <w:p w14:paraId="00EC78E0" w14:textId="77777777" w:rsidR="00B111F2" w:rsidRPr="00B111F2" w:rsidRDefault="00B111F2" w:rsidP="00A80D8F">
      <w:pPr>
        <w:pStyle w:val="JUDGMENTCONTINUED"/>
      </w:pPr>
    </w:p>
    <w:p w14:paraId="5A35673F" w14:textId="2AB75C90" w:rsidR="00F33071" w:rsidRDefault="00B111F2" w:rsidP="00F33071">
      <w:pPr>
        <w:pStyle w:val="JUDGMENTNUMBERED"/>
      </w:pPr>
      <w:r>
        <w:t>An application for direct access to this Court is an extraordinary procedure that ought to be followed only in exceptional circumstances.</w:t>
      </w:r>
      <w:bookmarkStart w:id="2" w:name="_Ref59376190"/>
      <w:r>
        <w:rPr>
          <w:rStyle w:val="FootnoteReference"/>
        </w:rPr>
        <w:footnoteReference w:id="6"/>
      </w:r>
      <w:bookmarkEnd w:id="2"/>
      <w:r w:rsidR="001C49CA">
        <w:t xml:space="preserve">  Persuasive and compelling reasons are required before this Court will exercise its discretion to grant direct access.</w:t>
      </w:r>
      <w:r w:rsidR="001C49CA">
        <w:rPr>
          <w:rStyle w:val="FootnoteReference"/>
        </w:rPr>
        <w:footnoteReference w:id="7"/>
      </w:r>
      <w:r w:rsidR="007B7CC0">
        <w:t xml:space="preserve">  Some pertinent considerations relating to an application for direct access were outlined by Chaskalson P in </w:t>
      </w:r>
      <w:r w:rsidR="007B7CC0">
        <w:rPr>
          <w:i/>
          <w:iCs/>
        </w:rPr>
        <w:t>Bruce</w:t>
      </w:r>
      <w:r w:rsidR="007B7CC0">
        <w:t xml:space="preserve"> and have been referred to with approval </w:t>
      </w:r>
      <w:r w:rsidR="008D5112">
        <w:t>in</w:t>
      </w:r>
      <w:r w:rsidR="007B7CC0">
        <w:t xml:space="preserve"> subsequent cases.</w:t>
      </w:r>
      <w:bookmarkStart w:id="3" w:name="_Ref59378034"/>
      <w:r w:rsidR="007B7CC0">
        <w:rPr>
          <w:rStyle w:val="FootnoteReference"/>
        </w:rPr>
        <w:footnoteReference w:id="8"/>
      </w:r>
      <w:bookmarkEnd w:id="3"/>
      <w:r w:rsidR="0030434C">
        <w:t xml:space="preserve">  Th</w:t>
      </w:r>
      <w:r w:rsidR="009901FC">
        <w:t>ese</w:t>
      </w:r>
      <w:r w:rsidR="008D5112">
        <w:t xml:space="preserve"> include </w:t>
      </w:r>
      <w:r w:rsidR="0030434C">
        <w:t xml:space="preserve">the prospects of success, </w:t>
      </w:r>
      <w:r w:rsidR="00B10121">
        <w:t>but also consideration of</w:t>
      </w:r>
      <w:r w:rsidR="0030434C">
        <w:t xml:space="preserve"> </w:t>
      </w:r>
      <w:r w:rsidR="008A23AD">
        <w:t>Chaskalson</w:t>
      </w:r>
      <w:r w:rsidR="00B10121">
        <w:t> </w:t>
      </w:r>
      <w:r w:rsidR="008A23AD">
        <w:t>P</w:t>
      </w:r>
      <w:r w:rsidR="00B10121">
        <w:t xml:space="preserve">’s </w:t>
      </w:r>
      <w:r w:rsidR="008A23AD">
        <w:t>warning</w:t>
      </w:r>
      <w:r w:rsidR="008D5112">
        <w:t xml:space="preserve"> that</w:t>
      </w:r>
      <w:r w:rsidR="0030434C">
        <w:t xml:space="preserve"> if th</w:t>
      </w:r>
      <w:r w:rsidR="002D0E78">
        <w:t>is</w:t>
      </w:r>
      <w:r w:rsidR="0030434C">
        <w:t xml:space="preserve"> Court were to allow all constitutional matters to come directly to it—</w:t>
      </w:r>
    </w:p>
    <w:p w14:paraId="5EE99CCB" w14:textId="43310E22" w:rsidR="0030434C" w:rsidRDefault="0030434C" w:rsidP="0030434C">
      <w:pPr>
        <w:pStyle w:val="QUOTATION"/>
      </w:pPr>
    </w:p>
    <w:p w14:paraId="53F9B7E9" w14:textId="058EAE25" w:rsidR="0030434C" w:rsidRPr="0030434C" w:rsidRDefault="0030434C" w:rsidP="0030434C">
      <w:pPr>
        <w:pStyle w:val="QUOTATION"/>
        <w:rPr>
          <w:lang w:eastAsia="en-GB"/>
        </w:rPr>
      </w:pPr>
      <w:r>
        <w:t>“</w:t>
      </w:r>
      <w:r w:rsidR="00B10121">
        <w:rPr>
          <w:lang w:eastAsia="en-GB"/>
        </w:rPr>
        <w:t>[this Court]</w:t>
      </w:r>
      <w:r w:rsidRPr="0030434C">
        <w:rPr>
          <w:lang w:eastAsia="en-GB"/>
        </w:rPr>
        <w:t xml:space="preserve"> could be called upon to deal with disputed facts on which evidence might be necessary, to decide constitutional issues which are not decisive of the litigation and </w:t>
      </w:r>
      <w:r w:rsidRPr="0030434C">
        <w:rPr>
          <w:lang w:eastAsia="en-GB"/>
        </w:rPr>
        <w:lastRenderedPageBreak/>
        <w:t>which might prove to be purely academic, and to hear cases without the benefit of the views of other courts having constitutional jurisdiction</w:t>
      </w:r>
      <w:r>
        <w:rPr>
          <w:lang w:eastAsia="en-GB"/>
        </w:rPr>
        <w:t>.”</w:t>
      </w:r>
      <w:r>
        <w:rPr>
          <w:rStyle w:val="FootnoteReference"/>
          <w:lang w:eastAsia="en-GB"/>
        </w:rPr>
        <w:footnoteReference w:id="9"/>
      </w:r>
    </w:p>
    <w:p w14:paraId="3D53876C" w14:textId="487F01A4" w:rsidR="001C49CA" w:rsidRDefault="001C49CA" w:rsidP="001C49CA">
      <w:pPr>
        <w:pStyle w:val="JUDGMENTCONTINUED"/>
      </w:pPr>
    </w:p>
    <w:p w14:paraId="4B6ECE63" w14:textId="75D3AF4A" w:rsidR="001C49CA" w:rsidRDefault="0030434C" w:rsidP="001C49CA">
      <w:pPr>
        <w:pStyle w:val="JUDGMENTNUMBERED"/>
      </w:pPr>
      <w:r>
        <w:t xml:space="preserve">Of particular importance, Chaskalson P went on to note that it </w:t>
      </w:r>
      <w:r w:rsidR="002D0E78">
        <w:t xml:space="preserve">is </w:t>
      </w:r>
      <w:r>
        <w:t xml:space="preserve">“not </w:t>
      </w:r>
      <w:r w:rsidR="00925697">
        <w:t>ordinarily in the interests of justice for a court to sit as a court of first and last instance</w:t>
      </w:r>
      <w:r w:rsidR="002D0E78">
        <w:t>, in which matters are decided</w:t>
      </w:r>
      <w:r w:rsidR="00925697">
        <w:t xml:space="preserve"> without there being any possibility of appealing against the decision given”.</w:t>
      </w:r>
      <w:r w:rsidR="00925697">
        <w:rPr>
          <w:rStyle w:val="FootnoteReference"/>
        </w:rPr>
        <w:footnoteReference w:id="10"/>
      </w:r>
      <w:r w:rsidR="00925697">
        <w:t xml:space="preserve"> </w:t>
      </w:r>
      <w:r w:rsidR="00613C60">
        <w:t xml:space="preserve"> </w:t>
      </w:r>
      <w:r w:rsidR="002032B7">
        <w:t xml:space="preserve">There is no doubt that </w:t>
      </w:r>
      <w:r w:rsidR="009901FC">
        <w:t>more thorough, and therefore arguably better</w:t>
      </w:r>
      <w:r w:rsidR="002032B7">
        <w:t xml:space="preserve"> decisions are arrived at where many minds have considered a matter</w:t>
      </w:r>
      <w:r w:rsidR="008D5112">
        <w:t xml:space="preserve">. </w:t>
      </w:r>
      <w:r w:rsidR="002032B7">
        <w:t xml:space="preserve"> </w:t>
      </w:r>
      <w:r w:rsidR="008D5112">
        <w:t>L</w:t>
      </w:r>
      <w:r w:rsidR="002032B7">
        <w:t>eapfrogging the High</w:t>
      </w:r>
      <w:r w:rsidR="00B932EF">
        <w:t> </w:t>
      </w:r>
      <w:r w:rsidR="002032B7">
        <w:t xml:space="preserve">Court and the Supreme Court of Appeal is seldom desirable.  This Court benefits </w:t>
      </w:r>
      <w:r w:rsidR="00A74924">
        <w:t xml:space="preserve">greatly </w:t>
      </w:r>
      <w:r w:rsidR="002032B7">
        <w:t>from the well</w:t>
      </w:r>
      <w:r w:rsidR="009901FC">
        <w:t>-</w:t>
      </w:r>
      <w:r w:rsidR="002032B7">
        <w:t>reasoned judgments of those courts on matters that come before us.</w:t>
      </w:r>
    </w:p>
    <w:p w14:paraId="7E310DEE" w14:textId="3AF06B02" w:rsidR="002032B7" w:rsidRDefault="002032B7" w:rsidP="002032B7">
      <w:pPr>
        <w:pStyle w:val="JUDGMENTCONTINUED"/>
      </w:pPr>
    </w:p>
    <w:p w14:paraId="3445F5D5" w14:textId="43528929" w:rsidR="002032B7" w:rsidRPr="002032B7" w:rsidRDefault="002032B7" w:rsidP="002E27EA">
      <w:pPr>
        <w:pStyle w:val="JUDGMENTNUMBERED"/>
      </w:pPr>
      <w:r>
        <w:t xml:space="preserve">However, that does not mean that there </w:t>
      </w:r>
      <w:r w:rsidR="000538A0">
        <w:t>cannot be</w:t>
      </w:r>
      <w:r>
        <w:t xml:space="preserve"> exceptional instances where this Court deems it appropriate to grant direct access to an applicant.  </w:t>
      </w:r>
      <w:r w:rsidR="00B2147F">
        <w:t xml:space="preserve">In </w:t>
      </w:r>
      <w:r w:rsidR="00B2147F">
        <w:rPr>
          <w:i/>
          <w:iCs/>
        </w:rPr>
        <w:t>Mazibuko</w:t>
      </w:r>
      <w:r w:rsidR="00B2147F">
        <w:t>, Moseneke</w:t>
      </w:r>
      <w:r w:rsidR="00B33DA1">
        <w:t> </w:t>
      </w:r>
      <w:r w:rsidR="00B2147F">
        <w:t>DCJ noted that</w:t>
      </w:r>
      <w:r w:rsidR="007F10AB">
        <w:t xml:space="preserve"> “[f]</w:t>
      </w:r>
      <w:r w:rsidR="00B2147F">
        <w:t>or the existence of exceptional circumstances</w:t>
      </w:r>
      <w:r w:rsidR="007F10AB">
        <w:t xml:space="preserve"> there must, in addition to other factors, be sufficient urgency or public importance, and proof of prejudice to . . . the ends of justice . . . to justify such a procedure”.</w:t>
      </w:r>
      <w:r w:rsidR="007F10AB">
        <w:rPr>
          <w:rStyle w:val="FootnoteReference"/>
        </w:rPr>
        <w:footnoteReference w:id="11"/>
      </w:r>
      <w:r w:rsidR="002E27EA">
        <w:t xml:space="preserve">  </w:t>
      </w:r>
      <w:r w:rsidR="00FE11EB">
        <w:t xml:space="preserve">A further </w:t>
      </w:r>
      <w:r w:rsidR="00CA3AAC">
        <w:t xml:space="preserve">relevant </w:t>
      </w:r>
      <w:r w:rsidR="00FE11EB">
        <w:t xml:space="preserve">consideration to a grant of direct access is whether an applicant can show that </w:t>
      </w:r>
      <w:r w:rsidR="00A7047B">
        <w:t>they</w:t>
      </w:r>
      <w:r w:rsidR="00FE11EB">
        <w:t xml:space="preserve"> ha</w:t>
      </w:r>
      <w:r w:rsidR="00A7047B">
        <w:t>ve</w:t>
      </w:r>
      <w:r w:rsidR="00FE11EB">
        <w:t xml:space="preserve"> exhausted all </w:t>
      </w:r>
      <w:r w:rsidR="00CA3AAC">
        <w:t xml:space="preserve">other </w:t>
      </w:r>
      <w:r w:rsidR="00FE11EB">
        <w:t xml:space="preserve">remedies and procedures that are available to </w:t>
      </w:r>
      <w:r w:rsidR="00A7047B">
        <w:t>them</w:t>
      </w:r>
      <w:r w:rsidR="00FE11EB">
        <w:t>.</w:t>
      </w:r>
      <w:r w:rsidR="00FE11EB">
        <w:rPr>
          <w:rStyle w:val="FootnoteReference"/>
        </w:rPr>
        <w:footnoteReference w:id="12"/>
      </w:r>
    </w:p>
    <w:p w14:paraId="74B8F037" w14:textId="75E450F5" w:rsidR="001C49CA" w:rsidRDefault="001C49CA" w:rsidP="001C49CA">
      <w:pPr>
        <w:pStyle w:val="JUDGMENTCONTINUED"/>
      </w:pPr>
    </w:p>
    <w:p w14:paraId="1D6B86D2" w14:textId="6B2ABB2D" w:rsidR="00FE11EB" w:rsidRDefault="002E27EA" w:rsidP="001C49CA">
      <w:pPr>
        <w:pStyle w:val="JUDGMENTNUMBERED"/>
      </w:pPr>
      <w:r>
        <w:t>Mr Moko approached the High Court as a matter of urgency for the vindication of his constitutional right</w:t>
      </w:r>
      <w:r w:rsidR="00F9282B">
        <w:t xml:space="preserve"> to education – a right which, due to its transformative nature both for individuals and society as a whole, is of fundamental importance in this country</w:t>
      </w:r>
      <w:r>
        <w:t xml:space="preserve">.  The High Court is a forum </w:t>
      </w:r>
      <w:r w:rsidR="00175EC2">
        <w:t>that is substantially</w:t>
      </w:r>
      <w:r>
        <w:t xml:space="preserve"> better suited for determining urgent matters </w:t>
      </w:r>
      <w:r w:rsidR="00175EC2">
        <w:t xml:space="preserve">than this Court </w:t>
      </w:r>
      <w:r>
        <w:t xml:space="preserve">and </w:t>
      </w:r>
      <w:r w:rsidR="00F9282B">
        <w:t xml:space="preserve">it </w:t>
      </w:r>
      <w:r>
        <w:t xml:space="preserve">has jurisdiction to determine matters of a constitutional nature.  </w:t>
      </w:r>
      <w:r w:rsidR="002D2527">
        <w:t xml:space="preserve">It would </w:t>
      </w:r>
      <w:r w:rsidR="00F9282B">
        <w:t xml:space="preserve">therefore </w:t>
      </w:r>
      <w:r w:rsidR="002D2527">
        <w:t xml:space="preserve">ordinarily be the </w:t>
      </w:r>
      <w:r w:rsidR="00853CCE">
        <w:t xml:space="preserve">appropriate </w:t>
      </w:r>
      <w:r w:rsidR="002D2527">
        <w:t>forum for a matter of this ilk.  An</w:t>
      </w:r>
      <w:r w:rsidR="007C1EAF">
        <w:t>d</w:t>
      </w:r>
      <w:r w:rsidR="002D2527">
        <w:t xml:space="preserve"> yet, f</w:t>
      </w:r>
      <w:r>
        <w:t>or reasons beyond</w:t>
      </w:r>
      <w:r w:rsidR="002D2527">
        <w:t xml:space="preserve"> </w:t>
      </w:r>
      <w:r>
        <w:t>any feasible comprehension, the High</w:t>
      </w:r>
      <w:r w:rsidR="00917ECA">
        <w:t> </w:t>
      </w:r>
      <w:r>
        <w:t xml:space="preserve">Court </w:t>
      </w:r>
      <w:r>
        <w:lastRenderedPageBreak/>
        <w:t>struck th</w:t>
      </w:r>
      <w:r w:rsidR="00F9282B">
        <w:t>is</w:t>
      </w:r>
      <w:r>
        <w:t xml:space="preserve"> matter off the urgent roll.  This placed the applicant in an invidious position.  </w:t>
      </w:r>
      <w:r w:rsidR="002D2527">
        <w:t>Desperate to not have to wait until the supplementary examination in May</w:t>
      </w:r>
      <w:r w:rsidR="00B33DA1">
        <w:t> </w:t>
      </w:r>
      <w:r w:rsidR="002D2527">
        <w:t xml:space="preserve">2021 or for the matter to be enrolled on the ordinary roll in the High Court, which </w:t>
      </w:r>
      <w:r w:rsidR="00175EC2">
        <w:t>c</w:t>
      </w:r>
      <w:r w:rsidR="002D2527">
        <w:t xml:space="preserve">ould result in a determination of the matter only many months down the line, the applicant </w:t>
      </w:r>
      <w:r w:rsidR="00175EC2">
        <w:t>chose to approach</w:t>
      </w:r>
      <w:r w:rsidR="002D2527">
        <w:t xml:space="preserve"> this Court </w:t>
      </w:r>
      <w:r w:rsidR="00F9282B">
        <w:t xml:space="preserve">directly </w:t>
      </w:r>
      <w:r w:rsidR="002D2527">
        <w:t>for the urgent relief he seeks.</w:t>
      </w:r>
    </w:p>
    <w:p w14:paraId="26D9DAEB" w14:textId="0EB02B76" w:rsidR="002D2527" w:rsidRDefault="002D2527" w:rsidP="002D2527">
      <w:pPr>
        <w:pStyle w:val="JUDGMENTCONTINUED"/>
      </w:pPr>
    </w:p>
    <w:p w14:paraId="087849A1" w14:textId="2F8B89F4" w:rsidR="004D6CE1" w:rsidRDefault="00F9282B" w:rsidP="002D2527">
      <w:pPr>
        <w:pStyle w:val="JUDGMENTNUMBERED"/>
      </w:pPr>
      <w:r>
        <w:t>O</w:t>
      </w:r>
      <w:r w:rsidR="002D2527">
        <w:t>n the face of it</w:t>
      </w:r>
      <w:r>
        <w:t>, this matter concerns</w:t>
      </w:r>
      <w:r w:rsidR="002D2527">
        <w:t xml:space="preserve"> a </w:t>
      </w:r>
      <w:r w:rsidR="00175EC2">
        <w:t xml:space="preserve">potentially </w:t>
      </w:r>
      <w:r w:rsidR="002D2527">
        <w:t>serious violation of the applicant’s right to education</w:t>
      </w:r>
      <w:r>
        <w:t>.  Over and above that, a</w:t>
      </w:r>
      <w:r w:rsidR="002D2527">
        <w:t xml:space="preserve"> lack of urgent relief could have </w:t>
      </w:r>
      <w:r>
        <w:t xml:space="preserve">a </w:t>
      </w:r>
      <w:r w:rsidR="002D2527">
        <w:t xml:space="preserve">significant adverse effect on </w:t>
      </w:r>
      <w:r>
        <w:t>the applicant’s</w:t>
      </w:r>
      <w:r w:rsidR="002D2527">
        <w:t xml:space="preserve"> future</w:t>
      </w:r>
      <w:r w:rsidR="008A23AD">
        <w:t xml:space="preserve"> endeavours and opportunities</w:t>
      </w:r>
      <w:r>
        <w:t>.</w:t>
      </w:r>
      <w:r w:rsidR="007C1EAF">
        <w:t xml:space="preserve">  </w:t>
      </w:r>
      <w:r w:rsidR="00923628">
        <w:t>H</w:t>
      </w:r>
      <w:r w:rsidR="007C1EAF">
        <w:t xml:space="preserve">is life </w:t>
      </w:r>
      <w:r w:rsidR="00923628">
        <w:t xml:space="preserve">could </w:t>
      </w:r>
      <w:r w:rsidR="007C1EAF">
        <w:t xml:space="preserve">forever be </w:t>
      </w:r>
      <w:r w:rsidR="00923628">
        <w:t xml:space="preserve">out of step </w:t>
      </w:r>
      <w:r w:rsidR="007C1EAF">
        <w:t>by a whole year.  Also, d</w:t>
      </w:r>
      <w:r>
        <w:t xml:space="preserve">elaying the pursuance of further education until 2022, to wait for the results </w:t>
      </w:r>
      <w:r w:rsidR="00175EC2">
        <w:t xml:space="preserve">of </w:t>
      </w:r>
      <w:r w:rsidR="002A4594">
        <w:t xml:space="preserve">the </w:t>
      </w:r>
      <w:r>
        <w:t xml:space="preserve">supplementary examination, could easily result in the applicant abandoning that </w:t>
      </w:r>
      <w:r w:rsidR="00C43C35">
        <w:t xml:space="preserve">admirable </w:t>
      </w:r>
      <w:r>
        <w:t>goal</w:t>
      </w:r>
      <w:r w:rsidR="00923628">
        <w:t xml:space="preserve"> entirely</w:t>
      </w:r>
      <w:r>
        <w:t xml:space="preserve">.  Even if the applicant wished to pursue </w:t>
      </w:r>
      <w:r w:rsidR="00923628">
        <w:t xml:space="preserve">a different </w:t>
      </w:r>
      <w:r>
        <w:t xml:space="preserve">path, a </w:t>
      </w:r>
      <w:r w:rsidR="00923628">
        <w:t>five</w:t>
      </w:r>
      <w:r>
        <w:t xml:space="preserve"> to </w:t>
      </w:r>
      <w:r w:rsidR="00923628">
        <w:t>six</w:t>
      </w:r>
      <w:r w:rsidR="002A4594">
        <w:t>-</w:t>
      </w:r>
      <w:r>
        <w:t xml:space="preserve">month delay in obtaining his matric results could </w:t>
      </w:r>
      <w:r w:rsidR="00C43C35">
        <w:t xml:space="preserve">similarly </w:t>
      </w:r>
      <w:r w:rsidR="00923628">
        <w:t>frustrate any</w:t>
      </w:r>
      <w:r w:rsidR="00C43C35">
        <w:t xml:space="preserve"> attempt</w:t>
      </w:r>
      <w:r w:rsidR="00923628">
        <w:t xml:space="preserve"> </w:t>
      </w:r>
      <w:r w:rsidR="00C43C35">
        <w:t xml:space="preserve">to </w:t>
      </w:r>
      <w:r w:rsidR="004D6CE1">
        <w:t>obtain</w:t>
      </w:r>
      <w:r w:rsidR="00C43C35">
        <w:t xml:space="preserve"> employment</w:t>
      </w:r>
      <w:r w:rsidR="00923628">
        <w:t xml:space="preserve"> that</w:t>
      </w:r>
      <w:r w:rsidR="00C43C35">
        <w:t xml:space="preserve"> require</w:t>
      </w:r>
      <w:r w:rsidR="00923628">
        <w:t>s</w:t>
      </w:r>
      <w:r w:rsidR="00C43C35">
        <w:t xml:space="preserve"> a matric certificate</w:t>
      </w:r>
      <w:r>
        <w:t>.</w:t>
      </w:r>
      <w:r w:rsidR="004D6CE1">
        <w:t xml:space="preserve">  In my view, the urgency of this matter is undeniable.</w:t>
      </w:r>
    </w:p>
    <w:p w14:paraId="55D8C097" w14:textId="77777777" w:rsidR="004D6CE1" w:rsidRPr="004D6CE1" w:rsidRDefault="004D6CE1" w:rsidP="004D6CE1">
      <w:pPr>
        <w:pStyle w:val="JUDGMENTCONTINUED"/>
      </w:pPr>
    </w:p>
    <w:p w14:paraId="073F4D39" w14:textId="23FDD72E" w:rsidR="004F385F" w:rsidRDefault="004F385F" w:rsidP="002D2527">
      <w:pPr>
        <w:pStyle w:val="JUDGMENTNUMBERED"/>
      </w:pPr>
      <w:r>
        <w:t xml:space="preserve">Finally, there are no factual disputes </w:t>
      </w:r>
      <w:r w:rsidR="00317021">
        <w:t xml:space="preserve">requiring resolution </w:t>
      </w:r>
      <w:r>
        <w:t>that require</w:t>
      </w:r>
      <w:r w:rsidR="00C43C35">
        <w:t xml:space="preserve"> </w:t>
      </w:r>
      <w:r>
        <w:t xml:space="preserve">the admission of evidence or </w:t>
      </w:r>
      <w:r w:rsidR="00C43C35">
        <w:t xml:space="preserve">the </w:t>
      </w:r>
      <w:r>
        <w:t>hearing of witnesses.</w:t>
      </w:r>
      <w:r>
        <w:rPr>
          <w:rStyle w:val="FootnoteReference"/>
        </w:rPr>
        <w:footnoteReference w:id="13"/>
      </w:r>
      <w:r>
        <w:t xml:space="preserve">  This, too, supports granting direct access</w:t>
      </w:r>
      <w:r w:rsidR="00923628">
        <w:t>,</w:t>
      </w:r>
      <w:r>
        <w:t xml:space="preserve"> as this Court is not particularly well-suited to hearing factual evidence</w:t>
      </w:r>
      <w:r w:rsidR="008A23AD">
        <w:t xml:space="preserve"> as a court of first instance</w:t>
      </w:r>
      <w:r>
        <w:t>.  None of the respondents oppose</w:t>
      </w:r>
      <w:r w:rsidR="00CD0814">
        <w:t>s</w:t>
      </w:r>
      <w:r>
        <w:t xml:space="preserve"> the application and all </w:t>
      </w:r>
      <w:r w:rsidR="00923628">
        <w:t xml:space="preserve">have </w:t>
      </w:r>
      <w:r>
        <w:t>filed notices to abide the decision of this Court.  The second to fourth respondents filed written submissions in an attempt to assist th</w:t>
      </w:r>
      <w:r w:rsidR="008A23AD">
        <w:t>is</w:t>
      </w:r>
      <w:r>
        <w:t xml:space="preserve"> Court</w:t>
      </w:r>
      <w:r w:rsidR="002B300A">
        <w:t>,</w:t>
      </w:r>
      <w:r>
        <w:t xml:space="preserve"> </w:t>
      </w:r>
      <w:r w:rsidR="00923628">
        <w:t>in which they</w:t>
      </w:r>
      <w:r w:rsidR="00C43C35">
        <w:t xml:space="preserve"> </w:t>
      </w:r>
      <w:r>
        <w:t xml:space="preserve">indicated </w:t>
      </w:r>
      <w:r w:rsidR="00923628">
        <w:t>their</w:t>
      </w:r>
      <w:r>
        <w:t xml:space="preserve"> willingness to offer the applicant an opportunity to write the examination in January</w:t>
      </w:r>
      <w:r w:rsidR="008E4820">
        <w:t> </w:t>
      </w:r>
      <w:r>
        <w:t>2021.  All that is</w:t>
      </w:r>
      <w:r w:rsidR="00C43C35">
        <w:t xml:space="preserve"> therefore</w:t>
      </w:r>
      <w:r>
        <w:t xml:space="preserve"> required of this Court is to </w:t>
      </w:r>
      <w:r w:rsidR="00C43C35">
        <w:t>determine</w:t>
      </w:r>
      <w:r>
        <w:t xml:space="preserve"> </w:t>
      </w:r>
      <w:r w:rsidR="00923628">
        <w:t>the</w:t>
      </w:r>
      <w:r>
        <w:t xml:space="preserve"> purely</w:t>
      </w:r>
      <w:r w:rsidR="00C43C35">
        <w:t xml:space="preserve"> legal</w:t>
      </w:r>
      <w:r>
        <w:t xml:space="preserve"> constitutional </w:t>
      </w:r>
      <w:r w:rsidR="004944F0">
        <w:t xml:space="preserve">question </w:t>
      </w:r>
      <w:r>
        <w:t>of whether the applicant’s right to education has been violated.</w:t>
      </w:r>
    </w:p>
    <w:p w14:paraId="5A2729A0" w14:textId="77777777" w:rsidR="004F385F" w:rsidRPr="004F385F" w:rsidRDefault="004F385F" w:rsidP="00DE455A">
      <w:pPr>
        <w:pStyle w:val="JUDGMENTCONTINUED"/>
      </w:pPr>
    </w:p>
    <w:p w14:paraId="21F32F19" w14:textId="56C7717F" w:rsidR="00041E98" w:rsidRDefault="00F9282B" w:rsidP="00AA3749">
      <w:pPr>
        <w:pStyle w:val="JUDGMENTNUMBERED"/>
      </w:pPr>
      <w:r>
        <w:t>I</w:t>
      </w:r>
      <w:r w:rsidR="004D6CE1">
        <w:t>n light of th</w:t>
      </w:r>
      <w:r w:rsidR="004F385F">
        <w:t>e above</w:t>
      </w:r>
      <w:r w:rsidR="004D6CE1">
        <w:t xml:space="preserve">, </w:t>
      </w:r>
      <w:r w:rsidR="001157CB">
        <w:t xml:space="preserve">I am of the view that </w:t>
      </w:r>
      <w:r w:rsidR="004D6CE1">
        <w:t>i</w:t>
      </w:r>
      <w:r w:rsidR="002D2527">
        <w:t xml:space="preserve">t would be a grave injustice if this Court </w:t>
      </w:r>
      <w:r w:rsidR="004944F0">
        <w:t xml:space="preserve">refused </w:t>
      </w:r>
      <w:r w:rsidR="00AA3749">
        <w:t>to determine</w:t>
      </w:r>
      <w:r w:rsidR="004F385F">
        <w:t xml:space="preserve"> the </w:t>
      </w:r>
      <w:r w:rsidR="00AA3749">
        <w:t>matter</w:t>
      </w:r>
      <w:r w:rsidR="002D2527">
        <w:t xml:space="preserve">.  </w:t>
      </w:r>
      <w:r w:rsidR="004F385F">
        <w:t>Th</w:t>
      </w:r>
      <w:r w:rsidR="00AA3749">
        <w:t>e</w:t>
      </w:r>
      <w:r w:rsidR="00C43C35">
        <w:t xml:space="preserve"> </w:t>
      </w:r>
      <w:r w:rsidR="00AA3749">
        <w:t>circumstances</w:t>
      </w:r>
      <w:r w:rsidR="004F385F">
        <w:t xml:space="preserve"> </w:t>
      </w:r>
      <w:r w:rsidR="00C43C35">
        <w:t>here are exception</w:t>
      </w:r>
      <w:r w:rsidR="007C1EAF">
        <w:t>al</w:t>
      </w:r>
      <w:r w:rsidR="00C43C35">
        <w:t xml:space="preserve"> and</w:t>
      </w:r>
      <w:r w:rsidR="004F385F">
        <w:t xml:space="preserve"> the </w:t>
      </w:r>
      <w:r w:rsidR="004F385F">
        <w:lastRenderedPageBreak/>
        <w:t xml:space="preserve">applicant has raised compelling reasons for </w:t>
      </w:r>
      <w:r w:rsidR="00C43C35">
        <w:t>approaching</w:t>
      </w:r>
      <w:r w:rsidR="004F385F">
        <w:t xml:space="preserve"> this Court</w:t>
      </w:r>
      <w:r w:rsidR="007C1EAF">
        <w:t xml:space="preserve"> directly</w:t>
      </w:r>
      <w:r w:rsidR="00AA3749">
        <w:t>.  D</w:t>
      </w:r>
      <w:r w:rsidR="004F385F">
        <w:t>irect access to this Court on an urgent basis ought to be granted</w:t>
      </w:r>
      <w:r w:rsidR="001157CB">
        <w:t>.</w:t>
      </w:r>
    </w:p>
    <w:p w14:paraId="24BE8435" w14:textId="77777777" w:rsidR="00041E98" w:rsidRPr="00041E98" w:rsidRDefault="00041E98" w:rsidP="00041E98">
      <w:pPr>
        <w:pStyle w:val="JUDGMENTCONTINUED"/>
      </w:pPr>
    </w:p>
    <w:p w14:paraId="5302C542" w14:textId="6EC49ACF" w:rsidR="001C49CA" w:rsidRPr="001C49CA" w:rsidRDefault="001C49CA" w:rsidP="001C49CA">
      <w:pPr>
        <w:pStyle w:val="JUDGMENTNUMBERED"/>
      </w:pPr>
      <w:r>
        <w:t>Due to the lack of opposition</w:t>
      </w:r>
      <w:r w:rsidR="002553AB">
        <w:t xml:space="preserve"> from any of the respondents in this Court</w:t>
      </w:r>
      <w:r>
        <w:t xml:space="preserve">, </w:t>
      </w:r>
      <w:r w:rsidR="004944F0">
        <w:t xml:space="preserve">together with </w:t>
      </w:r>
      <w:r>
        <w:t xml:space="preserve">the urgency of the matter, </w:t>
      </w:r>
      <w:r w:rsidR="004944F0">
        <w:t>th</w:t>
      </w:r>
      <w:r w:rsidR="008A23AD">
        <w:t>is</w:t>
      </w:r>
      <w:r w:rsidR="004944F0">
        <w:t xml:space="preserve"> Court has</w:t>
      </w:r>
      <w:r w:rsidR="00AA3749">
        <w:t xml:space="preserve"> </w:t>
      </w:r>
      <w:r>
        <w:t xml:space="preserve">deemed </w:t>
      </w:r>
      <w:r w:rsidR="004944F0">
        <w:t xml:space="preserve">it </w:t>
      </w:r>
      <w:r>
        <w:t xml:space="preserve">appropriate </w:t>
      </w:r>
      <w:r w:rsidR="004944F0">
        <w:t>to</w:t>
      </w:r>
      <w:r w:rsidR="00C43C35">
        <w:t xml:space="preserve"> determine</w:t>
      </w:r>
      <w:r w:rsidR="004944F0">
        <w:t xml:space="preserve"> this matter</w:t>
      </w:r>
      <w:r w:rsidR="00C43C35">
        <w:t xml:space="preserve"> </w:t>
      </w:r>
      <w:r>
        <w:t>on the papers, without an oral hearing.</w:t>
      </w:r>
      <w:r w:rsidR="002553AB">
        <w:t xml:space="preserve">  What follows is </w:t>
      </w:r>
      <w:r w:rsidR="00C43C35">
        <w:t>th</w:t>
      </w:r>
      <w:r w:rsidR="008A23AD">
        <w:t>is</w:t>
      </w:r>
      <w:r w:rsidR="00C43C35">
        <w:t xml:space="preserve"> Court’s</w:t>
      </w:r>
      <w:r w:rsidR="002553AB">
        <w:t xml:space="preserve"> brief judgment </w:t>
      </w:r>
      <w:r w:rsidR="00B62F16">
        <w:t>on the merits</w:t>
      </w:r>
      <w:r w:rsidR="002553AB">
        <w:t>.</w:t>
      </w:r>
    </w:p>
    <w:p w14:paraId="52CF1D9D" w14:textId="77777777" w:rsidR="00A249CF" w:rsidRPr="00A249CF" w:rsidRDefault="00A249CF" w:rsidP="00DE455A">
      <w:pPr>
        <w:pStyle w:val="JUDGMENTCONTINUED"/>
      </w:pPr>
    </w:p>
    <w:p w14:paraId="4317BA11" w14:textId="56D5429B" w:rsidR="00895E04" w:rsidRDefault="00A249CF" w:rsidP="00B045BB">
      <w:pPr>
        <w:pStyle w:val="HEADING"/>
      </w:pPr>
      <w:r>
        <w:t>Did the first respondent infringe the applicant</w:t>
      </w:r>
      <w:r w:rsidR="008A23AD">
        <w:t>’s rights</w:t>
      </w:r>
      <w:r>
        <w:t xml:space="preserve"> under section</w:t>
      </w:r>
      <w:r w:rsidR="008A23AD">
        <w:t> </w:t>
      </w:r>
      <w:r>
        <w:t>29(1)(a) an</w:t>
      </w:r>
      <w:r w:rsidR="007C1EAF">
        <w:t>d </w:t>
      </w:r>
      <w:r w:rsidR="00B045BB">
        <w:t>(b) of the Constitution?</w:t>
      </w:r>
    </w:p>
    <w:p w14:paraId="5B9DA90E" w14:textId="4DB113B1" w:rsidR="00D97A1B" w:rsidRDefault="00895E04" w:rsidP="00AF4E5F">
      <w:pPr>
        <w:pStyle w:val="JUDGMENTNUMBERED"/>
      </w:pPr>
      <w:r>
        <w:t>The core question for determination in this matter is whether the conduct of the first respondent, in refusing the applicant access to the Business Studies Paper 2 examination</w:t>
      </w:r>
      <w:r w:rsidR="007C1EAF">
        <w:t>,</w:t>
      </w:r>
      <w:r>
        <w:t xml:space="preserve"> violated his right to basic education under section 29(1)(a) and to further education in section 29(1)(b).</w:t>
      </w:r>
    </w:p>
    <w:p w14:paraId="70FC8BD8" w14:textId="24485A68" w:rsidR="00AF4E5F" w:rsidRDefault="00AF4E5F" w:rsidP="00DE455A">
      <w:pPr>
        <w:pStyle w:val="JUDGMENTCONTINUED"/>
      </w:pPr>
    </w:p>
    <w:p w14:paraId="06C1200D" w14:textId="7A6FAFC9" w:rsidR="00A249CF" w:rsidRPr="00A249CF" w:rsidRDefault="00B045BB" w:rsidP="00B045BB">
      <w:pPr>
        <w:pStyle w:val="HEADING"/>
        <w:ind w:left="720"/>
      </w:pPr>
      <w:r>
        <w:t>Section 29(1)(a)</w:t>
      </w:r>
      <w:r w:rsidR="008A23AD">
        <w:t xml:space="preserve"> infringement</w:t>
      </w:r>
    </w:p>
    <w:p w14:paraId="6DB15419" w14:textId="77777777" w:rsidR="00DD05FB" w:rsidRDefault="00B045BB" w:rsidP="00DD05FB">
      <w:pPr>
        <w:pStyle w:val="JUDGMENTNUMBERED"/>
      </w:pPr>
      <w:r>
        <w:t xml:space="preserve">I start with </w:t>
      </w:r>
      <w:r w:rsidR="009A165B">
        <w:t>the first</w:t>
      </w:r>
      <w:r>
        <w:t xml:space="preserve"> </w:t>
      </w:r>
      <w:r w:rsidR="00D234CE">
        <w:t xml:space="preserve">of the applicant’s </w:t>
      </w:r>
      <w:r>
        <w:t>submission</w:t>
      </w:r>
      <w:r w:rsidR="00236176">
        <w:t>s</w:t>
      </w:r>
      <w:r>
        <w:t xml:space="preserve">: that the first respondent’s conduct violated section 29(1)(a) of the Constitution.  Did the conduct of the first respondent, resulting in the applicant missing his matric examination, violate the latter’s right to basic education?  </w:t>
      </w:r>
      <w:r w:rsidR="00621999">
        <w:t xml:space="preserve">In my view, the answer to this </w:t>
      </w:r>
      <w:r w:rsidR="007C1EAF">
        <w:t>turns</w:t>
      </w:r>
      <w:r w:rsidR="00621999">
        <w:t xml:space="preserve"> on the determination of two sub-questions:</w:t>
      </w:r>
    </w:p>
    <w:p w14:paraId="2064EAB7" w14:textId="1938DC91" w:rsidR="00621999" w:rsidRDefault="00DD05FB" w:rsidP="00DD05FB">
      <w:pPr>
        <w:pStyle w:val="JUDGMENTNUMBERED"/>
        <w:numPr>
          <w:ilvl w:val="0"/>
          <w:numId w:val="0"/>
        </w:numPr>
        <w:ind w:left="1440" w:hanging="720"/>
      </w:pPr>
      <w:r>
        <w:t>(a)</w:t>
      </w:r>
      <w:r>
        <w:tab/>
      </w:r>
      <w:r w:rsidR="00236176">
        <w:t>First, d</w:t>
      </w:r>
      <w:r w:rsidR="00621999">
        <w:t xml:space="preserve">o </w:t>
      </w:r>
      <w:r w:rsidR="00CD0814">
        <w:t>m</w:t>
      </w:r>
      <w:r w:rsidR="00621999">
        <w:t xml:space="preserve">atric </w:t>
      </w:r>
      <w:r w:rsidR="00CD0814">
        <w:t>e</w:t>
      </w:r>
      <w:r w:rsidR="00621999">
        <w:t xml:space="preserve">xaminations fall within the purview of “basic education”, the right </w:t>
      </w:r>
      <w:r w:rsidR="00333F3F">
        <w:t xml:space="preserve">to </w:t>
      </w:r>
      <w:r w:rsidR="00621999">
        <w:t>which is protected under section 29(1)(a)?</w:t>
      </w:r>
    </w:p>
    <w:p w14:paraId="75AF8AE7" w14:textId="6B641E66" w:rsidR="00621999" w:rsidRPr="00621999" w:rsidRDefault="00DD05FB" w:rsidP="00DD05FB">
      <w:pPr>
        <w:pStyle w:val="JUDGMENTNUMBERED"/>
        <w:numPr>
          <w:ilvl w:val="0"/>
          <w:numId w:val="0"/>
        </w:numPr>
        <w:ind w:left="1440" w:hanging="720"/>
      </w:pPr>
      <w:r>
        <w:t>(b)</w:t>
      </w:r>
      <w:r>
        <w:tab/>
      </w:r>
      <w:r w:rsidR="00236176">
        <w:t>Secondly, if</w:t>
      </w:r>
      <w:r w:rsidR="00621999">
        <w:t xml:space="preserve"> yes, does the first respondent have an obligation to </w:t>
      </w:r>
      <w:r w:rsidR="00A74924">
        <w:t xml:space="preserve">give effect to or </w:t>
      </w:r>
      <w:r w:rsidR="00333F3F">
        <w:t xml:space="preserve">refrain from </w:t>
      </w:r>
      <w:r w:rsidR="00621999">
        <w:t>interfer</w:t>
      </w:r>
      <w:r w:rsidR="00333F3F">
        <w:t>ing with</w:t>
      </w:r>
      <w:r w:rsidR="00621999">
        <w:t xml:space="preserve"> that right?</w:t>
      </w:r>
    </w:p>
    <w:p w14:paraId="37682B10" w14:textId="77777777" w:rsidR="00B519AA" w:rsidRPr="00B519AA" w:rsidRDefault="00B519AA" w:rsidP="00B519AA">
      <w:pPr>
        <w:pStyle w:val="JUDGMENTCONTINUED"/>
      </w:pPr>
    </w:p>
    <w:p w14:paraId="6833F67C" w14:textId="43D87EED" w:rsidR="00FF1802" w:rsidRDefault="00DB2C99" w:rsidP="00AF4E5F">
      <w:pPr>
        <w:pStyle w:val="JUDGMENTNUMBERED"/>
      </w:pPr>
      <w:r>
        <w:t>Section 29(1) of the Constitution distinguishes between b</w:t>
      </w:r>
      <w:r w:rsidR="00D234CE">
        <w:t xml:space="preserve">asic education </w:t>
      </w:r>
      <w:r>
        <w:t xml:space="preserve">and </w:t>
      </w:r>
      <w:r w:rsidR="00D234CE">
        <w:t>further educatio</w:t>
      </w:r>
      <w:r>
        <w:t>n</w:t>
      </w:r>
      <w:r w:rsidR="00D234CE">
        <w:t xml:space="preserve">.  The right to the former is immediately realisable, </w:t>
      </w:r>
      <w:r w:rsidR="00333F3F">
        <w:t>whereas</w:t>
      </w:r>
      <w:r w:rsidR="00D234CE">
        <w:t xml:space="preserve"> the state is merely obliged to take reasonable measures to make </w:t>
      </w:r>
      <w:r w:rsidR="00EF7E78">
        <w:t>further education</w:t>
      </w:r>
      <w:r w:rsidR="00D234CE">
        <w:t xml:space="preserve"> progressively </w:t>
      </w:r>
      <w:r w:rsidR="00D234CE">
        <w:lastRenderedPageBreak/>
        <w:t>available and accessible.</w:t>
      </w:r>
      <w:r w:rsidR="00D234CE">
        <w:rPr>
          <w:rStyle w:val="FootnoteReference"/>
        </w:rPr>
        <w:footnoteReference w:id="14"/>
      </w:r>
      <w:r w:rsidR="003E7F12">
        <w:t xml:space="preserve">  But where does basic education end and further education begin?</w:t>
      </w:r>
      <w:r w:rsidR="00EF7E78">
        <w:t xml:space="preserve">  </w:t>
      </w:r>
      <w:r w:rsidR="00FF1802">
        <w:t>I</w:t>
      </w:r>
      <w:r w:rsidR="00AF4E5F">
        <w:t xml:space="preserve">n </w:t>
      </w:r>
      <w:r w:rsidR="00AF4E5F">
        <w:rPr>
          <w:i/>
          <w:iCs/>
        </w:rPr>
        <w:t>Juma M</w:t>
      </w:r>
      <w:r w:rsidR="0056514F">
        <w:rPr>
          <w:i/>
          <w:iCs/>
        </w:rPr>
        <w:t>u</w:t>
      </w:r>
      <w:r w:rsidR="00AF4E5F">
        <w:rPr>
          <w:i/>
          <w:iCs/>
        </w:rPr>
        <w:t>sjid</w:t>
      </w:r>
      <w:r w:rsidR="00AF4E5F">
        <w:t xml:space="preserve">, Nkabinde J </w:t>
      </w:r>
      <w:r w:rsidR="00A249CF">
        <w:t>accepted that basic education</w:t>
      </w:r>
      <w:r w:rsidR="00B519AA">
        <w:t>, at the very least,</w:t>
      </w:r>
      <w:r w:rsidR="00A249CF">
        <w:t xml:space="preserve"> </w:t>
      </w:r>
      <w:r w:rsidR="00B045BB">
        <w:t>comprised</w:t>
      </w:r>
      <w:r w:rsidR="00A249CF">
        <w:t xml:space="preserve"> education </w:t>
      </w:r>
      <w:r w:rsidR="00B045BB">
        <w:t xml:space="preserve">from </w:t>
      </w:r>
      <w:r w:rsidR="00621999">
        <w:t>G</w:t>
      </w:r>
      <w:r w:rsidR="00B045BB">
        <w:t>rade</w:t>
      </w:r>
      <w:r w:rsidR="00621999">
        <w:t>s</w:t>
      </w:r>
      <w:r w:rsidR="00B045BB">
        <w:t xml:space="preserve"> 1 </w:t>
      </w:r>
      <w:r w:rsidR="00621999">
        <w:t>to</w:t>
      </w:r>
      <w:r w:rsidR="00B937B0">
        <w:t xml:space="preserve"> </w:t>
      </w:r>
      <w:r w:rsidR="00A249CF">
        <w:t>9</w:t>
      </w:r>
      <w:r w:rsidR="00D234CE">
        <w:t>,</w:t>
      </w:r>
      <w:r w:rsidR="00621999">
        <w:t xml:space="preserve"> which were the grades taught by the school in that matter</w:t>
      </w:r>
      <w:r w:rsidR="00B045BB">
        <w:t>.</w:t>
      </w:r>
      <w:r w:rsidR="00B519AA">
        <w:rPr>
          <w:rStyle w:val="FootnoteReference"/>
        </w:rPr>
        <w:footnoteReference w:id="15"/>
      </w:r>
    </w:p>
    <w:p w14:paraId="7C66009A" w14:textId="77777777" w:rsidR="00FF1802" w:rsidRPr="00FF1802" w:rsidRDefault="00FF1802" w:rsidP="00FF1802">
      <w:pPr>
        <w:pStyle w:val="JUDGMENTCONTINUED"/>
      </w:pPr>
    </w:p>
    <w:p w14:paraId="13AAEAC7" w14:textId="1A3D66DC" w:rsidR="00B045BB" w:rsidRDefault="00B045BB" w:rsidP="00AF4E5F">
      <w:pPr>
        <w:pStyle w:val="JUDGMENTNUMBERED"/>
      </w:pPr>
      <w:r>
        <w:t>I</w:t>
      </w:r>
      <w:r w:rsidR="00A249CF">
        <w:t xml:space="preserve">n </w:t>
      </w:r>
      <w:r w:rsidR="00A249CF">
        <w:rPr>
          <w:i/>
          <w:iCs/>
        </w:rPr>
        <w:t>Pridwin</w:t>
      </w:r>
      <w:r w:rsidR="00A249CF">
        <w:t xml:space="preserve">, </w:t>
      </w:r>
      <w:r>
        <w:t xml:space="preserve">Nicholls </w:t>
      </w:r>
      <w:r w:rsidR="00DD05FB">
        <w:t>A</w:t>
      </w:r>
      <w:r>
        <w:t>J</w:t>
      </w:r>
      <w:r w:rsidR="00A918DE">
        <w:t xml:space="preserve"> </w:t>
      </w:r>
      <w:r>
        <w:t>stated the following</w:t>
      </w:r>
      <w:r w:rsidR="00A918DE">
        <w:t xml:space="preserve"> regarding basic education in her </w:t>
      </w:r>
      <w:r w:rsidR="00E65C59">
        <w:t>minority judgment</w:t>
      </w:r>
      <w:r>
        <w:t>:</w:t>
      </w:r>
    </w:p>
    <w:p w14:paraId="4ADFB88B" w14:textId="77777777" w:rsidR="00B045BB" w:rsidRDefault="00B045BB" w:rsidP="00B045BB">
      <w:pPr>
        <w:pStyle w:val="QUOTATION"/>
      </w:pPr>
    </w:p>
    <w:p w14:paraId="052EEA83" w14:textId="611D70AC" w:rsidR="00B045BB" w:rsidRDefault="00B045BB" w:rsidP="00B87B8F">
      <w:pPr>
        <w:pStyle w:val="QUOTATION"/>
        <w:spacing w:after="120"/>
      </w:pPr>
      <w:r>
        <w:t>“While it is difficult to establish where the line should be drawn between basic</w:t>
      </w:r>
      <w:r w:rsidR="00B87B8F">
        <w:t xml:space="preserve"> </w:t>
      </w:r>
      <w:r>
        <w:t>education and further education, it cannot be disputed that basic education includes</w:t>
      </w:r>
      <w:r w:rsidR="00B87B8F">
        <w:t xml:space="preserve"> </w:t>
      </w:r>
      <w:r>
        <w:t>what is commonly known as primary education.</w:t>
      </w:r>
    </w:p>
    <w:p w14:paraId="7B52FA45" w14:textId="76BD84E6" w:rsidR="00B045BB" w:rsidRPr="00B045BB" w:rsidRDefault="00B045BB" w:rsidP="00B045BB">
      <w:pPr>
        <w:pStyle w:val="QUOTATION"/>
        <w:spacing w:after="120"/>
      </w:pPr>
      <w:r>
        <w:t>. . .</w:t>
      </w:r>
    </w:p>
    <w:p w14:paraId="58CA25BC" w14:textId="281F9C52" w:rsidR="002C7557" w:rsidRDefault="00B045BB" w:rsidP="00B87B8F">
      <w:pPr>
        <w:pStyle w:val="QUOTATION"/>
      </w:pPr>
      <w:r>
        <w:t xml:space="preserve">Accordingly, it is clear that every institution, elite or non-elite, </w:t>
      </w:r>
      <w:r w:rsidRPr="00E65C59">
        <w:t>that provides</w:t>
      </w:r>
      <w:r w:rsidR="00B87B8F">
        <w:t xml:space="preserve"> </w:t>
      </w:r>
      <w:r w:rsidRPr="00E65C59">
        <w:t>non</w:t>
      </w:r>
      <w:r w:rsidR="00B87B8F">
        <w:t>-</w:t>
      </w:r>
      <w:r w:rsidRPr="00E65C59">
        <w:t>secondary or non-tertiary education</w:t>
      </w:r>
      <w:r w:rsidRPr="00E65C59">
        <w:rPr>
          <w:i/>
          <w:iCs/>
        </w:rPr>
        <w:t xml:space="preserve"> </w:t>
      </w:r>
      <w:r>
        <w:t>is necessarily simultaneously engaged in</w:t>
      </w:r>
      <w:r w:rsidR="00B87B8F">
        <w:t xml:space="preserve"> </w:t>
      </w:r>
      <w:r>
        <w:t>providing</w:t>
      </w:r>
      <w:r w:rsidR="00B87B8F">
        <w:t xml:space="preserve"> </w:t>
      </w:r>
      <w:r>
        <w:t>those attending it a basic education.”</w:t>
      </w:r>
      <w:r>
        <w:rPr>
          <w:rStyle w:val="FootnoteReference"/>
        </w:rPr>
        <w:footnoteReference w:id="16"/>
      </w:r>
    </w:p>
    <w:p w14:paraId="4A9F1207" w14:textId="53837D92" w:rsidR="00E65C59" w:rsidRDefault="00E65C59" w:rsidP="00E65C59">
      <w:pPr>
        <w:pStyle w:val="JUDGMENTCONTINUED"/>
      </w:pPr>
    </w:p>
    <w:p w14:paraId="76751A82" w14:textId="1D153FD2" w:rsidR="00E65C59" w:rsidRDefault="001F3084" w:rsidP="00E65C59">
      <w:pPr>
        <w:pStyle w:val="JUDGMENTNUMBERED"/>
      </w:pPr>
      <w:r>
        <w:t>T</w:t>
      </w:r>
      <w:r w:rsidR="00E65C59">
        <w:t xml:space="preserve">hat case concerned </w:t>
      </w:r>
      <w:r w:rsidR="00236176">
        <w:t>the rights of two children at a</w:t>
      </w:r>
      <w:r w:rsidR="00B6105D">
        <w:t xml:space="preserve">n independent </w:t>
      </w:r>
      <w:r w:rsidR="00E65C59">
        <w:t>primary school</w:t>
      </w:r>
      <w:r w:rsidR="00DD3959">
        <w:t xml:space="preserve">. </w:t>
      </w:r>
      <w:r w:rsidR="00E65C59">
        <w:t xml:space="preserve"> I do not interpret the above extracts as meaning that </w:t>
      </w:r>
      <w:r w:rsidR="00E65C59">
        <w:rPr>
          <w:i/>
          <w:iCs/>
        </w:rPr>
        <w:t>only</w:t>
      </w:r>
      <w:r w:rsidR="00E65C59">
        <w:t xml:space="preserve"> primary education constitutes basic education.  Rather, I understand my sister </w:t>
      </w:r>
      <w:r w:rsidR="00236176">
        <w:t xml:space="preserve">Nicholls </w:t>
      </w:r>
      <w:r w:rsidR="00DD05FB">
        <w:t>A</w:t>
      </w:r>
      <w:r w:rsidR="00236176">
        <w:t xml:space="preserve">J </w:t>
      </w:r>
      <w:r w:rsidR="00E65C59">
        <w:t xml:space="preserve">as emphasising that primary </w:t>
      </w:r>
      <w:r w:rsidR="00236176">
        <w:t xml:space="preserve">school </w:t>
      </w:r>
      <w:r w:rsidR="00E65C59">
        <w:t xml:space="preserve">education </w:t>
      </w:r>
      <w:r w:rsidR="00236176" w:rsidRPr="00B6105D">
        <w:rPr>
          <w:i/>
          <w:iCs/>
        </w:rPr>
        <w:t xml:space="preserve">most </w:t>
      </w:r>
      <w:r w:rsidR="00E65C59" w:rsidRPr="00B6105D">
        <w:rPr>
          <w:i/>
          <w:iCs/>
        </w:rPr>
        <w:t>certainly</w:t>
      </w:r>
      <w:r w:rsidR="00E65C59">
        <w:t xml:space="preserve"> falls within the definition of basic education</w:t>
      </w:r>
      <w:r w:rsidR="00236176">
        <w:t xml:space="preserve"> under section</w:t>
      </w:r>
      <w:r>
        <w:t> </w:t>
      </w:r>
      <w:r w:rsidR="00236176">
        <w:t>29(1)(a)</w:t>
      </w:r>
      <w:r w:rsidR="00E65C59">
        <w:t xml:space="preserve">, whether that education is provided by </w:t>
      </w:r>
      <w:r w:rsidR="00A274C2">
        <w:t>the</w:t>
      </w:r>
      <w:r w:rsidR="00E65C59">
        <w:t xml:space="preserve"> state </w:t>
      </w:r>
      <w:r w:rsidR="0072533A">
        <w:t xml:space="preserve">or </w:t>
      </w:r>
      <w:r w:rsidR="00A274C2">
        <w:t xml:space="preserve">an </w:t>
      </w:r>
      <w:r w:rsidR="0072533A">
        <w:t>independent school.</w:t>
      </w:r>
    </w:p>
    <w:p w14:paraId="6C31E2E8" w14:textId="50DACA2D" w:rsidR="001F3084" w:rsidRDefault="001F3084" w:rsidP="001F3084">
      <w:pPr>
        <w:pStyle w:val="JUDGMENTCONTINUED"/>
      </w:pPr>
    </w:p>
    <w:p w14:paraId="748B0FC3" w14:textId="374E3A3D" w:rsidR="001F3084" w:rsidRDefault="001F3084" w:rsidP="001F3084">
      <w:pPr>
        <w:pStyle w:val="JUDGMENTNUMBERED"/>
      </w:pPr>
      <w:r>
        <w:lastRenderedPageBreak/>
        <w:t xml:space="preserve">The majority judgment </w:t>
      </w:r>
      <w:r w:rsidR="00B6105D">
        <w:t xml:space="preserve">in </w:t>
      </w:r>
      <w:r w:rsidR="00B6105D" w:rsidRPr="00EF5664">
        <w:rPr>
          <w:i/>
          <w:iCs/>
        </w:rPr>
        <w:t>Pridwin</w:t>
      </w:r>
      <w:r w:rsidR="00DE455A">
        <w:t>,</w:t>
      </w:r>
      <w:r w:rsidR="00BB611B">
        <w:t xml:space="preserve"> per</w:t>
      </w:r>
      <w:r>
        <w:t xml:space="preserve"> Theron J</w:t>
      </w:r>
      <w:r w:rsidR="00BB611B">
        <w:t>,</w:t>
      </w:r>
      <w:r>
        <w:t xml:space="preserve"> </w:t>
      </w:r>
      <w:r w:rsidRPr="00EF5664">
        <w:t>did</w:t>
      </w:r>
      <w:r>
        <w:t xml:space="preserve"> not define basic education with reference to a person’s age or school</w:t>
      </w:r>
      <w:r w:rsidR="00B6105D">
        <w:t>-</w:t>
      </w:r>
      <w:r>
        <w:t xml:space="preserve">grade.  Instead, </w:t>
      </w:r>
      <w:r w:rsidR="00EF5664">
        <w:t>having considered the international law position in relation to the right to education,</w:t>
      </w:r>
      <w:r w:rsidR="00B6105D">
        <w:rPr>
          <w:rStyle w:val="FootnoteReference"/>
        </w:rPr>
        <w:footnoteReference w:id="17"/>
      </w:r>
      <w:r w:rsidR="00EF5664">
        <w:t xml:space="preserve"> it held that </w:t>
      </w:r>
      <w:r>
        <w:t xml:space="preserve">basic education </w:t>
      </w:r>
      <w:r w:rsidR="00EF5664">
        <w:t>ought to be</w:t>
      </w:r>
      <w:r>
        <w:t xml:space="preserve"> described by reference to the content of </w:t>
      </w:r>
      <w:r w:rsidR="001D1E11">
        <w:t xml:space="preserve">the </w:t>
      </w:r>
      <w:r w:rsidR="00EF5664">
        <w:t>education provided.</w:t>
      </w:r>
      <w:r w:rsidR="00EF5664">
        <w:rPr>
          <w:rStyle w:val="FootnoteReference"/>
        </w:rPr>
        <w:footnoteReference w:id="18"/>
      </w:r>
      <w:r w:rsidR="00EF5664">
        <w:t xml:space="preserve">  It noted that </w:t>
      </w:r>
      <w:r>
        <w:t>basic education is—</w:t>
      </w:r>
    </w:p>
    <w:p w14:paraId="42068E7E" w14:textId="10955703" w:rsidR="001F3084" w:rsidRDefault="001F3084" w:rsidP="001F3084">
      <w:pPr>
        <w:pStyle w:val="QUOTATION"/>
      </w:pPr>
    </w:p>
    <w:p w14:paraId="1F65744E" w14:textId="782FBC1D" w:rsidR="001F3084" w:rsidRPr="001F3084" w:rsidRDefault="001F3084" w:rsidP="001F3084">
      <w:pPr>
        <w:pStyle w:val="QUOTATION"/>
      </w:pPr>
      <w:r>
        <w:t>“a flexible concept which must be defined so as to meet the ‘learning needs appropriate</w:t>
      </w:r>
      <w:r w:rsidR="001F79EE">
        <w:t xml:space="preserve"> </w:t>
      </w:r>
      <w:r>
        <w:t xml:space="preserve">to the age and experience of the </w:t>
      </w:r>
      <w:r w:rsidR="00BE5C07">
        <w:t>learner</w:t>
      </w:r>
      <w:r>
        <w:t>, whether child, youth or adult . . .’ and should</w:t>
      </w:r>
      <w:r w:rsidR="001F79EE">
        <w:t xml:space="preserve"> </w:t>
      </w:r>
      <w:r w:rsidR="001D1E11">
        <w:t xml:space="preserve">also </w:t>
      </w:r>
      <w:r>
        <w:t>provide access to nationally recognised qualifications.”</w:t>
      </w:r>
      <w:r>
        <w:rPr>
          <w:rStyle w:val="FootnoteReference"/>
        </w:rPr>
        <w:footnoteReference w:id="19"/>
      </w:r>
    </w:p>
    <w:p w14:paraId="3E01ACC8" w14:textId="77777777" w:rsidR="00E65C59" w:rsidRPr="00E65C59" w:rsidRDefault="00E65C59" w:rsidP="00E65C59">
      <w:pPr>
        <w:pStyle w:val="JUDGMENTCONTINUED"/>
      </w:pPr>
    </w:p>
    <w:p w14:paraId="15A52CD4" w14:textId="35C779F5" w:rsidR="00C4533A" w:rsidRDefault="00A918DE" w:rsidP="00A20CBD">
      <w:pPr>
        <w:pStyle w:val="JUDGMENTNUMBERED"/>
      </w:pPr>
      <w:r>
        <w:t xml:space="preserve">In my view, </w:t>
      </w:r>
      <w:r w:rsidR="00D75BC1">
        <w:t>school education culminating in the “nationally recognised qualification” of the National Senior Certificate is basic education under section</w:t>
      </w:r>
      <w:r w:rsidR="00C4533A">
        <w:t> </w:t>
      </w:r>
      <w:r w:rsidR="00D75BC1">
        <w:t xml:space="preserve">29(1)(a).  </w:t>
      </w:r>
      <w:r w:rsidR="00C4533A">
        <w:t xml:space="preserve">This includes Grade 12 and the </w:t>
      </w:r>
      <w:r w:rsidR="001F79EE">
        <w:t>m</w:t>
      </w:r>
      <w:r w:rsidR="00C4533A">
        <w:t xml:space="preserve">atric </w:t>
      </w:r>
      <w:r w:rsidR="001F79EE">
        <w:t>e</w:t>
      </w:r>
      <w:r w:rsidR="00C4533A">
        <w:t>xaminations.</w:t>
      </w:r>
      <w:r w:rsidR="00A20CBD">
        <w:t xml:space="preserve">  Besides, the Ministry of Basic Education bears the responsibility for the entire educational regime that cannot be properly classified as tertiary or higher education.  Grade 12 is part of that regime.</w:t>
      </w:r>
    </w:p>
    <w:p w14:paraId="5B7052D8" w14:textId="77777777" w:rsidR="00C4533A" w:rsidRPr="00C4533A" w:rsidRDefault="00C4533A" w:rsidP="00C4533A">
      <w:pPr>
        <w:pStyle w:val="JUDGMENTCONTINUED"/>
      </w:pPr>
    </w:p>
    <w:p w14:paraId="7257A882" w14:textId="7F172998" w:rsidR="00FF1802" w:rsidRPr="00FF1802" w:rsidRDefault="00D75BC1" w:rsidP="0052715F">
      <w:pPr>
        <w:pStyle w:val="JUDGMENTNUMBERED"/>
      </w:pPr>
      <w:r>
        <w:t xml:space="preserve">To </w:t>
      </w:r>
      <w:r w:rsidR="00A918DE">
        <w:t xml:space="preserve">limit basic education under </w:t>
      </w:r>
      <w:r w:rsidR="00C4533A">
        <w:t>section 29(1)(a)</w:t>
      </w:r>
      <w:r>
        <w:t xml:space="preserve"> either</w:t>
      </w:r>
      <w:r w:rsidR="00A918DE">
        <w:t xml:space="preserve"> to </w:t>
      </w:r>
      <w:r w:rsidR="00CE410B">
        <w:t xml:space="preserve">only primary </w:t>
      </w:r>
      <w:r>
        <w:t xml:space="preserve">school </w:t>
      </w:r>
      <w:r w:rsidR="00C4533A">
        <w:t xml:space="preserve">education </w:t>
      </w:r>
      <w:r w:rsidR="00CE410B">
        <w:t xml:space="preserve">or education up until </w:t>
      </w:r>
      <w:r w:rsidR="001D1E11">
        <w:t>G</w:t>
      </w:r>
      <w:r w:rsidR="00CE410B">
        <w:t xml:space="preserve">rade 9 or </w:t>
      </w:r>
      <w:r w:rsidR="00BB611B">
        <w:t xml:space="preserve">the </w:t>
      </w:r>
      <w:r w:rsidR="00CE410B">
        <w:t>age</w:t>
      </w:r>
      <w:r w:rsidR="00BB611B">
        <w:t xml:space="preserve"> of</w:t>
      </w:r>
      <w:r w:rsidR="00CE410B">
        <w:t xml:space="preserve"> 15</w:t>
      </w:r>
      <w:r w:rsidR="006F6496">
        <w:t xml:space="preserve"> </w:t>
      </w:r>
      <w:r w:rsidR="00E65C59">
        <w:t>is</w:t>
      </w:r>
      <w:r>
        <w:t>, in my view,</w:t>
      </w:r>
      <w:r w:rsidR="00E65C59">
        <w:t xml:space="preserve"> an unduly narrow interpretation of the term</w:t>
      </w:r>
      <w:r w:rsidR="006F6496">
        <w:t xml:space="preserve"> </w:t>
      </w:r>
      <w:r>
        <w:t xml:space="preserve">that would fail to give effect </w:t>
      </w:r>
      <w:r w:rsidR="00BB611B">
        <w:t xml:space="preserve">to </w:t>
      </w:r>
      <w:r>
        <w:t xml:space="preserve">the transformative purpose </w:t>
      </w:r>
      <w:r w:rsidR="00540A9C">
        <w:t xml:space="preserve">and historical context of the </w:t>
      </w:r>
      <w:r>
        <w:t>right</w:t>
      </w:r>
      <w:r w:rsidR="00CE410B">
        <w:t xml:space="preserve">.  </w:t>
      </w:r>
      <w:r>
        <w:t xml:space="preserve">For example, it would </w:t>
      </w:r>
      <w:r w:rsidR="00C4533A">
        <w:t>be highly problematic for our school system</w:t>
      </w:r>
      <w:r w:rsidR="00465726">
        <w:t>, and dare I say for our society as a whole,</w:t>
      </w:r>
      <w:r>
        <w:t xml:space="preserve"> if section</w:t>
      </w:r>
      <w:r w:rsidR="00C4533A">
        <w:t> </w:t>
      </w:r>
      <w:r>
        <w:t xml:space="preserve">29(1)(a) only required the state to provide </w:t>
      </w:r>
      <w:r w:rsidR="00C4533A">
        <w:t>desks</w:t>
      </w:r>
      <w:r w:rsidR="0052715F">
        <w:t xml:space="preserve"> for learners at primary and not secondary schools, or only up until </w:t>
      </w:r>
      <w:r w:rsidR="001D1E11">
        <w:t>G</w:t>
      </w:r>
      <w:r w:rsidR="0052715F">
        <w:t>rade 9.</w:t>
      </w:r>
      <w:r w:rsidR="0052715F">
        <w:rPr>
          <w:rStyle w:val="FootnoteReference"/>
        </w:rPr>
        <w:footnoteReference w:id="20"/>
      </w:r>
      <w:r w:rsidR="0052715F">
        <w:t xml:space="preserve">  </w:t>
      </w:r>
      <w:r w:rsidR="00C4533A">
        <w:t xml:space="preserve">Or if the state could plead “insufficient resources” for </w:t>
      </w:r>
      <w:r w:rsidR="00465726">
        <w:t xml:space="preserve">providing sufficient </w:t>
      </w:r>
      <w:r w:rsidR="00C4533A">
        <w:t xml:space="preserve">Grade 10-12 teachers because </w:t>
      </w:r>
      <w:r w:rsidR="00EB755F">
        <w:t>those grades</w:t>
      </w:r>
      <w:r w:rsidR="00C4533A">
        <w:t xml:space="preserve"> fell under further education in </w:t>
      </w:r>
      <w:r w:rsidR="00C4533A">
        <w:lastRenderedPageBreak/>
        <w:t>section</w:t>
      </w:r>
      <w:r w:rsidR="00287A18">
        <w:t> </w:t>
      </w:r>
      <w:r w:rsidR="00C4533A">
        <w:t>29(1)(b)</w:t>
      </w:r>
      <w:r w:rsidR="005B0271">
        <w:t>,</w:t>
      </w:r>
      <w:r w:rsidR="00C4533A">
        <w:t xml:space="preserve"> </w:t>
      </w:r>
      <w:r w:rsidR="00EB755F">
        <w:t xml:space="preserve">the right to </w:t>
      </w:r>
      <w:r w:rsidR="00C4533A">
        <w:t xml:space="preserve">which is </w:t>
      </w:r>
      <w:r w:rsidR="00465726">
        <w:t xml:space="preserve">not immediately realisable, but must be made “progressively available and accessible”.  </w:t>
      </w:r>
      <w:r w:rsidR="0052715F">
        <w:t xml:space="preserve">Similarly, </w:t>
      </w:r>
      <w:r w:rsidR="00540A9C">
        <w:t>adopting a</w:t>
      </w:r>
      <w:r w:rsidR="00465726">
        <w:t xml:space="preserve"> restrictive interpretation would have </w:t>
      </w:r>
      <w:r w:rsidR="00C14E30">
        <w:t>given rise to</w:t>
      </w:r>
      <w:r w:rsidR="00465726">
        <w:t xml:space="preserve"> an absurd result</w:t>
      </w:r>
      <w:r w:rsidR="0052715F">
        <w:t xml:space="preserve"> i</w:t>
      </w:r>
      <w:r w:rsidR="00FF1802">
        <w:t>n</w:t>
      </w:r>
      <w:r w:rsidR="00EB755F">
        <w:t xml:space="preserve"> the</w:t>
      </w:r>
      <w:r w:rsidR="00FF1802">
        <w:t xml:space="preserve"> </w:t>
      </w:r>
      <w:r w:rsidR="00FF1802" w:rsidRPr="0052715F">
        <w:rPr>
          <w:i/>
          <w:iCs/>
        </w:rPr>
        <w:t xml:space="preserve">Welkom </w:t>
      </w:r>
      <w:r w:rsidR="00E17BEA">
        <w:rPr>
          <w:i/>
          <w:iCs/>
        </w:rPr>
        <w:t>High Schoo</w:t>
      </w:r>
      <w:bookmarkStart w:id="4" w:name="_Ref59402683"/>
      <w:r w:rsidR="00EB755F">
        <w:rPr>
          <w:i/>
          <w:iCs/>
        </w:rPr>
        <w:t>l</w:t>
      </w:r>
      <w:r w:rsidR="00EB755F" w:rsidRPr="0052715F">
        <w:rPr>
          <w:rStyle w:val="FootnoteReference"/>
        </w:rPr>
        <w:footnoteReference w:id="21"/>
      </w:r>
      <w:bookmarkEnd w:id="4"/>
      <w:r w:rsidR="00EB755F">
        <w:t xml:space="preserve"> case</w:t>
      </w:r>
      <w:r w:rsidR="00540A9C">
        <w:t>:</w:t>
      </w:r>
      <w:r w:rsidR="0052715F" w:rsidRPr="0052715F">
        <w:t xml:space="preserve"> </w:t>
      </w:r>
      <w:r w:rsidR="00FF1802">
        <w:t xml:space="preserve">that school policies that provide for the automatic exclusion of any learner from school in the event of her </w:t>
      </w:r>
      <w:r w:rsidR="00C14E30">
        <w:t>falling</w:t>
      </w:r>
      <w:r w:rsidR="00FF1802">
        <w:t xml:space="preserve"> pregnant</w:t>
      </w:r>
      <w:r w:rsidR="00886DBC">
        <w:t>,</w:t>
      </w:r>
      <w:r w:rsidR="00E65C59">
        <w:t xml:space="preserve"> limit </w:t>
      </w:r>
      <w:r w:rsidR="00D06E80">
        <w:t xml:space="preserve">a </w:t>
      </w:r>
      <w:r w:rsidR="00E65C59">
        <w:t xml:space="preserve">pregnant </w:t>
      </w:r>
      <w:r w:rsidR="00BE5C07">
        <w:t>learner</w:t>
      </w:r>
      <w:r w:rsidR="00D06E80">
        <w:t>’</w:t>
      </w:r>
      <w:r w:rsidR="00BE5C07">
        <w:t xml:space="preserve">s </w:t>
      </w:r>
      <w:r w:rsidR="00E65C59">
        <w:t>fundamental right to basic education in terms of section 29 of the Constitution</w:t>
      </w:r>
      <w:r w:rsidR="0052715F">
        <w:t xml:space="preserve">, but only if the </w:t>
      </w:r>
      <w:r w:rsidR="00BE5C07">
        <w:t xml:space="preserve">learner </w:t>
      </w:r>
      <w:r w:rsidR="00540A9C">
        <w:t>is</w:t>
      </w:r>
      <w:r w:rsidR="0052715F">
        <w:t xml:space="preserve"> in </w:t>
      </w:r>
      <w:r w:rsidR="001D1E11">
        <w:t>G</w:t>
      </w:r>
      <w:r w:rsidR="0052715F">
        <w:t>rade 9 or below.</w:t>
      </w:r>
    </w:p>
    <w:p w14:paraId="5EE97DAD" w14:textId="3E873F32" w:rsidR="00B519AA" w:rsidRDefault="00B519AA" w:rsidP="00B519AA">
      <w:pPr>
        <w:pStyle w:val="JUDGMENTCONTINUED"/>
      </w:pPr>
    </w:p>
    <w:p w14:paraId="659049D6" w14:textId="14D43E4B" w:rsidR="00B519AA" w:rsidRPr="00B519AA" w:rsidRDefault="00B519AA" w:rsidP="00B519AA">
      <w:pPr>
        <w:pStyle w:val="JUDGMENTNUMBERED"/>
      </w:pPr>
      <w:r>
        <w:t xml:space="preserve">I am therefore of the view that the applicant’s </w:t>
      </w:r>
      <w:r w:rsidR="00464779">
        <w:t>m</w:t>
      </w:r>
      <w:r>
        <w:t xml:space="preserve">atric </w:t>
      </w:r>
      <w:r w:rsidR="00464779">
        <w:t>e</w:t>
      </w:r>
      <w:r>
        <w:t xml:space="preserve">xaminations fell within </w:t>
      </w:r>
      <w:r w:rsidR="00083B91">
        <w:t xml:space="preserve">the </w:t>
      </w:r>
      <w:r w:rsidR="00236176">
        <w:t>definition</w:t>
      </w:r>
      <w:r w:rsidR="00083B91">
        <w:t xml:space="preserve"> of</w:t>
      </w:r>
      <w:r w:rsidR="00236176">
        <w:t xml:space="preserve"> </w:t>
      </w:r>
      <w:r w:rsidR="00083B91">
        <w:t>basic education</w:t>
      </w:r>
      <w:r w:rsidR="00236176">
        <w:t>.</w:t>
      </w:r>
    </w:p>
    <w:p w14:paraId="0EC9E90E" w14:textId="72FE7E72" w:rsidR="00435F7C" w:rsidRDefault="00435F7C" w:rsidP="00435F7C">
      <w:pPr>
        <w:pStyle w:val="JUDGMENTCONTINUED"/>
      </w:pPr>
    </w:p>
    <w:p w14:paraId="6AB7112F" w14:textId="35726A69" w:rsidR="00490315" w:rsidRDefault="00236176" w:rsidP="00C14E30">
      <w:pPr>
        <w:pStyle w:val="JUDGMENTNUMBERED"/>
      </w:pPr>
      <w:r>
        <w:t>The answer to the second sub-question is</w:t>
      </w:r>
      <w:r w:rsidR="00A92510">
        <w:t>,</w:t>
      </w:r>
      <w:r>
        <w:t xml:space="preserve"> quite simply</w:t>
      </w:r>
      <w:r w:rsidR="00A92510">
        <w:t>,</w:t>
      </w:r>
      <w:r>
        <w:t xml:space="preserve"> yes.  </w:t>
      </w:r>
      <w:r w:rsidR="00A74924">
        <w:t>The first respondent ha</w:t>
      </w:r>
      <w:r w:rsidR="006B0021">
        <w:t>s</w:t>
      </w:r>
      <w:r w:rsidR="00A74924">
        <w:t xml:space="preserve"> </w:t>
      </w:r>
      <w:r w:rsidR="008B4F51">
        <w:t xml:space="preserve">a duty to not </w:t>
      </w:r>
      <w:r w:rsidR="006B0021">
        <w:t xml:space="preserve">impair </w:t>
      </w:r>
      <w:r w:rsidR="005B0271">
        <w:t xml:space="preserve">or </w:t>
      </w:r>
      <w:r w:rsidR="006B0021">
        <w:t xml:space="preserve">diminish a </w:t>
      </w:r>
      <w:r w:rsidR="00BE5C07">
        <w:t xml:space="preserve">learner’s </w:t>
      </w:r>
      <w:r w:rsidR="006B0021">
        <w:t>right to basic education</w:t>
      </w:r>
      <w:r w:rsidR="008F028C">
        <w:t>.</w:t>
      </w:r>
      <w:r w:rsidR="008F028C">
        <w:rPr>
          <w:rStyle w:val="FootnoteReference"/>
        </w:rPr>
        <w:footnoteReference w:id="22"/>
      </w:r>
      <w:r w:rsidR="008F028C">
        <w:t xml:space="preserve">  He </w:t>
      </w:r>
      <w:r w:rsidR="006B0021">
        <w:t xml:space="preserve">therefore had a duty not </w:t>
      </w:r>
      <w:r w:rsidR="00CD0814">
        <w:t xml:space="preserve">to </w:t>
      </w:r>
      <w:r w:rsidR="008B4F51">
        <w:t>prevent the applicant from writing his examinations.</w:t>
      </w:r>
      <w:r w:rsidR="00C14E30">
        <w:t xml:space="preserve"> </w:t>
      </w:r>
      <w:r w:rsidR="008F028C">
        <w:t xml:space="preserve"> A</w:t>
      </w:r>
      <w:r w:rsidR="00C14E30">
        <w:t>s</w:t>
      </w:r>
      <w:r w:rsidR="000B4737">
        <w:t xml:space="preserve"> an </w:t>
      </w:r>
      <w:r w:rsidR="00C1421F">
        <w:t>acting principal at a state school</w:t>
      </w:r>
      <w:r w:rsidR="00C14E30">
        <w:t xml:space="preserve">, </w:t>
      </w:r>
      <w:r w:rsidR="004103D2">
        <w:t>the first respondent is an organ of state</w:t>
      </w:r>
      <w:r w:rsidR="004103D2">
        <w:rPr>
          <w:rStyle w:val="FootnoteReference"/>
        </w:rPr>
        <w:footnoteReference w:id="23"/>
      </w:r>
      <w:r w:rsidR="004103D2">
        <w:t xml:space="preserve"> and therefore</w:t>
      </w:r>
      <w:r w:rsidR="00C14E30">
        <w:t xml:space="preserve"> </w:t>
      </w:r>
      <w:r w:rsidR="00940036">
        <w:t>has not only a negative obligation to not infringe a person’s right to basic education, but also a positive obligation to ensure that th</w:t>
      </w:r>
      <w:r w:rsidR="005B0271">
        <w:t>e</w:t>
      </w:r>
      <w:r w:rsidR="00940036">
        <w:t xml:space="preserve"> right is protected and fulfilled</w:t>
      </w:r>
      <w:r w:rsidR="00777FE3">
        <w:t>.</w:t>
      </w:r>
      <w:r w:rsidR="008F028C">
        <w:rPr>
          <w:rStyle w:val="FootnoteReference"/>
        </w:rPr>
        <w:footnoteReference w:id="24"/>
      </w:r>
      <w:r w:rsidR="00777FE3">
        <w:t xml:space="preserve">  </w:t>
      </w:r>
      <w:r w:rsidR="000B4737">
        <w:t xml:space="preserve">In </w:t>
      </w:r>
      <w:r w:rsidR="00940036">
        <w:t>his</w:t>
      </w:r>
      <w:r w:rsidR="000B4737">
        <w:t xml:space="preserve"> position </w:t>
      </w:r>
      <w:r w:rsidR="002E68FB">
        <w:t xml:space="preserve">as an </w:t>
      </w:r>
      <w:r w:rsidR="00777FE3">
        <w:t xml:space="preserve">acting principal, </w:t>
      </w:r>
      <w:r w:rsidR="005E7101">
        <w:t xml:space="preserve">employed by the state, </w:t>
      </w:r>
      <w:r w:rsidR="00940036">
        <w:t>the first respondent</w:t>
      </w:r>
      <w:r w:rsidR="00777FE3">
        <w:t xml:space="preserve"> is </w:t>
      </w:r>
      <w:r w:rsidR="00C1421F">
        <w:t>entrusted with carrying out</w:t>
      </w:r>
      <w:r w:rsidR="00777FE3">
        <w:t>, or giving effect to, the</w:t>
      </w:r>
      <w:r w:rsidR="00C1421F">
        <w:t xml:space="preserve"> positive obligation </w:t>
      </w:r>
      <w:r w:rsidR="000B4737">
        <w:t>held by</w:t>
      </w:r>
      <w:r w:rsidR="00C1421F">
        <w:t xml:space="preserve"> the state to provide basic education to the </w:t>
      </w:r>
      <w:r w:rsidR="00BE5C07">
        <w:t xml:space="preserve">learners </w:t>
      </w:r>
      <w:r w:rsidR="00C1421F">
        <w:t xml:space="preserve">who attend </w:t>
      </w:r>
      <w:r w:rsidR="00C14E30">
        <w:t>the</w:t>
      </w:r>
      <w:r w:rsidR="00C1421F">
        <w:t xml:space="preserve"> school</w:t>
      </w:r>
      <w:r w:rsidR="00C14E30">
        <w:t xml:space="preserve"> of which he is acting principal</w:t>
      </w:r>
      <w:r w:rsidR="00C1421F">
        <w:t xml:space="preserve">.  </w:t>
      </w:r>
      <w:r w:rsidR="008B4F51">
        <w:t xml:space="preserve">The website for the Department of Basic Education describes school principals (and by extension, acting principals like the first respondent) as “key delivery agents in [the] </w:t>
      </w:r>
      <w:r w:rsidR="008B4F51">
        <w:lastRenderedPageBreak/>
        <w:t>education system” and “the most important partners in education”.</w:t>
      </w:r>
      <w:r w:rsidR="008B4F51">
        <w:rPr>
          <w:rStyle w:val="FootnoteReference"/>
        </w:rPr>
        <w:footnoteReference w:id="25"/>
      </w:r>
      <w:r w:rsidR="008B4F51">
        <w:t xml:space="preserve">  </w:t>
      </w:r>
      <w:r w:rsidR="00940036">
        <w:t>The conduct of the first respondent does not reflect this key responsibility.  H</w:t>
      </w:r>
      <w:r w:rsidR="00E566FD">
        <w:t>is conduct</w:t>
      </w:r>
      <w:r w:rsidR="00DE455A">
        <w:t>,</w:t>
      </w:r>
      <w:r w:rsidR="00777FE3">
        <w:t xml:space="preserve"> </w:t>
      </w:r>
      <w:r w:rsidR="000B4737">
        <w:t>quite evidently</w:t>
      </w:r>
      <w:r w:rsidR="00DE455A">
        <w:t>,</w:t>
      </w:r>
      <w:r w:rsidR="000B4737">
        <w:t xml:space="preserve"> </w:t>
      </w:r>
      <w:r w:rsidR="00777FE3">
        <w:t xml:space="preserve">breached </w:t>
      </w:r>
      <w:r w:rsidR="00940036">
        <w:t>the duty imposed on him by section</w:t>
      </w:r>
      <w:r w:rsidR="003D12ED">
        <w:t> </w:t>
      </w:r>
      <w:r w:rsidR="00940036">
        <w:t>29(1)(a).</w:t>
      </w:r>
    </w:p>
    <w:p w14:paraId="06572680" w14:textId="77777777" w:rsidR="00490315" w:rsidRPr="00490315" w:rsidRDefault="00490315" w:rsidP="00490315">
      <w:pPr>
        <w:pStyle w:val="JUDGMENTCONTINUED"/>
      </w:pPr>
    </w:p>
    <w:p w14:paraId="47119DA3" w14:textId="1B0C220F" w:rsidR="00AF4E5F" w:rsidRDefault="005623E3" w:rsidP="003D12ED">
      <w:pPr>
        <w:pStyle w:val="JUDGMENTNUMBERED"/>
      </w:pPr>
      <w:r>
        <w:t>Access to a school is a</w:t>
      </w:r>
      <w:r w:rsidR="00A918DE">
        <w:t xml:space="preserve"> “necessary condition for the achievement of the right to education”.</w:t>
      </w:r>
      <w:r w:rsidR="00A918DE">
        <w:rPr>
          <w:rStyle w:val="FootnoteReference"/>
        </w:rPr>
        <w:footnoteReference w:id="26"/>
      </w:r>
      <w:r w:rsidR="00833EAA">
        <w:t xml:space="preserve">  Access to an examination, especially one that is integral to completing one’s school</w:t>
      </w:r>
      <w:r w:rsidR="000B4737">
        <w:t>ing</w:t>
      </w:r>
      <w:r w:rsidR="008D3BA1">
        <w:t>,</w:t>
      </w:r>
      <w:r w:rsidR="00833EAA">
        <w:t xml:space="preserve"> is</w:t>
      </w:r>
      <w:r w:rsidR="000B4737">
        <w:t xml:space="preserve"> </w:t>
      </w:r>
      <w:r w:rsidR="00833EAA">
        <w:t xml:space="preserve">another important component </w:t>
      </w:r>
      <w:r w:rsidR="00C1421F">
        <w:t>for the achievement of this right</w:t>
      </w:r>
      <w:r w:rsidR="00833EAA">
        <w:t xml:space="preserve">.  </w:t>
      </w:r>
      <w:r w:rsidR="006878EA">
        <w:t>The first respondent had both a positive and negative obligation under section</w:t>
      </w:r>
      <w:r w:rsidR="00DE455A">
        <w:t> </w:t>
      </w:r>
      <w:r w:rsidR="006878EA">
        <w:t xml:space="preserve">29(1)(a) to allow the applicant to write the examination, </w:t>
      </w:r>
      <w:r w:rsidR="00535082">
        <w:t>unless there was a</w:t>
      </w:r>
      <w:r w:rsidR="00C14E30">
        <w:t>n acceptable basis</w:t>
      </w:r>
      <w:r w:rsidR="00535082">
        <w:t xml:space="preserve"> for not doing so.  </w:t>
      </w:r>
      <w:r w:rsidR="00833EAA">
        <w:t xml:space="preserve">Refusing the applicant entry into the school, without adequate justification, and preventing him from entering the Business Studies Paper 2 examination, especially when his lateness </w:t>
      </w:r>
      <w:r w:rsidR="00DE455A">
        <w:t xml:space="preserve">to the examination </w:t>
      </w:r>
      <w:r w:rsidR="00833EAA">
        <w:t>was cause</w:t>
      </w:r>
      <w:r w:rsidR="000B4737">
        <w:t>d</w:t>
      </w:r>
      <w:r w:rsidR="00833EAA">
        <w:t xml:space="preserve"> </w:t>
      </w:r>
      <w:r w:rsidR="000B4737">
        <w:t>by</w:t>
      </w:r>
      <w:r w:rsidR="00833EAA">
        <w:t xml:space="preserve"> the first respondent, undeniably </w:t>
      </w:r>
      <w:r w:rsidR="00C1421F">
        <w:t xml:space="preserve">breaches </w:t>
      </w:r>
      <w:r w:rsidR="000B4737">
        <w:t xml:space="preserve">the right to basic education in </w:t>
      </w:r>
      <w:r w:rsidR="00C1421F">
        <w:t xml:space="preserve">section 29(1)(a) </w:t>
      </w:r>
      <w:r w:rsidR="000B4737">
        <w:t>of the Constitution</w:t>
      </w:r>
      <w:r w:rsidR="00833EAA">
        <w:t>.</w:t>
      </w:r>
      <w:r w:rsidR="003D12ED">
        <w:t xml:space="preserve">  </w:t>
      </w:r>
      <w:r w:rsidR="00946DCB">
        <w:t xml:space="preserve">None of the respondents sought to provide any </w:t>
      </w:r>
      <w:r w:rsidR="00587166">
        <w:t>acceptable basis</w:t>
      </w:r>
      <w:r w:rsidR="00946DCB">
        <w:t xml:space="preserve"> for the first respondent’s conduct of refusing the applicant entry into the examination, or the earlier conduct of sending the applicant home from school on the morning of an examination which resulted in him missing the examination.</w:t>
      </w:r>
    </w:p>
    <w:p w14:paraId="37AC6CBA" w14:textId="6CD3ED9D" w:rsidR="000B4737" w:rsidRDefault="000B4737" w:rsidP="000B4737">
      <w:pPr>
        <w:pStyle w:val="JUDGMENTCONTINUED"/>
      </w:pPr>
    </w:p>
    <w:p w14:paraId="0D03C633" w14:textId="068115FA" w:rsidR="005623E3" w:rsidRDefault="000B4737" w:rsidP="000B4737">
      <w:pPr>
        <w:pStyle w:val="HEADING"/>
        <w:ind w:left="720"/>
      </w:pPr>
      <w:r>
        <w:t>Section 29(1)(b)</w:t>
      </w:r>
      <w:r w:rsidR="002E68FB">
        <w:t xml:space="preserve"> infringement</w:t>
      </w:r>
    </w:p>
    <w:p w14:paraId="5ABD37C9" w14:textId="38C55292" w:rsidR="005B1F83" w:rsidRDefault="00625343" w:rsidP="006878EA">
      <w:pPr>
        <w:pStyle w:val="JUDGMENTNUMBERED"/>
      </w:pPr>
      <w:r>
        <w:t>Given the finding I have reached above that the applicant’s right to basic education has been violated</w:t>
      </w:r>
      <w:r w:rsidR="006878EA">
        <w:t xml:space="preserve"> </w:t>
      </w:r>
      <w:r w:rsidR="001B3A6C">
        <w:t>alongside</w:t>
      </w:r>
      <w:r w:rsidR="006878EA">
        <w:t xml:space="preserve"> the </w:t>
      </w:r>
      <w:r w:rsidR="008A06A3">
        <w:t>remedy</w:t>
      </w:r>
      <w:r w:rsidR="006878EA">
        <w:t xml:space="preserve"> </w:t>
      </w:r>
      <w:r w:rsidR="0023480B">
        <w:t xml:space="preserve">that </w:t>
      </w:r>
      <w:r w:rsidR="006878EA">
        <w:t>the respondents have offered outlined below</w:t>
      </w:r>
      <w:r>
        <w:t xml:space="preserve">, I do not deem it necessary to discuss the applicant’s second submission </w:t>
      </w:r>
      <w:r w:rsidR="006878EA">
        <w:t xml:space="preserve">regarding the potential infringement of section 29(1)(b) </w:t>
      </w:r>
      <w:r>
        <w:t>in much detail</w:t>
      </w:r>
      <w:r w:rsidR="005B1F83">
        <w:t>.  All I will say is this: a year lost can never be recovered.</w:t>
      </w:r>
      <w:r w:rsidR="006878EA">
        <w:t xml:space="preserve">  </w:t>
      </w:r>
      <w:r w:rsidR="005B1F83">
        <w:t xml:space="preserve">In </w:t>
      </w:r>
      <w:r w:rsidR="005B1F83" w:rsidRPr="006878EA">
        <w:rPr>
          <w:i/>
          <w:iCs/>
        </w:rPr>
        <w:t xml:space="preserve">Welkom </w:t>
      </w:r>
      <w:r w:rsidR="00E17BEA">
        <w:rPr>
          <w:i/>
          <w:iCs/>
        </w:rPr>
        <w:t>High School</w:t>
      </w:r>
      <w:r w:rsidR="005B1F83">
        <w:t xml:space="preserve">, </w:t>
      </w:r>
      <w:r w:rsidR="009B6EF8">
        <w:t>it was</w:t>
      </w:r>
      <w:r w:rsidR="005B1F83">
        <w:t xml:space="preserve"> noted:</w:t>
      </w:r>
    </w:p>
    <w:p w14:paraId="547468B4" w14:textId="77777777" w:rsidR="005B1F83" w:rsidRDefault="005B1F83" w:rsidP="005B1F83">
      <w:pPr>
        <w:pStyle w:val="QUOTATION"/>
        <w:rPr>
          <w:lang w:val="en-GB"/>
        </w:rPr>
      </w:pPr>
    </w:p>
    <w:p w14:paraId="30B9B0A4" w14:textId="11E63FEC" w:rsidR="005623E3" w:rsidRDefault="005B1F83" w:rsidP="005B1F83">
      <w:pPr>
        <w:pStyle w:val="QUOTATION"/>
        <w:rPr>
          <w:lang w:val="en-GB"/>
        </w:rPr>
      </w:pPr>
      <w:r>
        <w:rPr>
          <w:lang w:val="en-GB"/>
        </w:rPr>
        <w:t>“</w:t>
      </w:r>
      <w:r w:rsidRPr="0052715F">
        <w:rPr>
          <w:lang w:val="en-GB"/>
        </w:rPr>
        <w:t>Although in theory they are entitled to return to school and therefore to</w:t>
      </w:r>
      <w:r>
        <w:rPr>
          <w:lang w:val="en-GB"/>
        </w:rPr>
        <w:t xml:space="preserve"> </w:t>
      </w:r>
      <w:r w:rsidRPr="0052715F">
        <w:rPr>
          <w:lang w:val="en-GB"/>
        </w:rPr>
        <w:t>complete their education, many learners simply cannot afford to add an extra year to their</w:t>
      </w:r>
      <w:r>
        <w:rPr>
          <w:lang w:val="en-GB"/>
        </w:rPr>
        <w:t xml:space="preserve"> </w:t>
      </w:r>
      <w:r w:rsidRPr="0052715F">
        <w:rPr>
          <w:lang w:val="en-GB"/>
        </w:rPr>
        <w:t>studies.</w:t>
      </w:r>
      <w:r>
        <w:rPr>
          <w:lang w:val="en-GB"/>
        </w:rPr>
        <w:t xml:space="preserve">  </w:t>
      </w:r>
      <w:r w:rsidRPr="0052715F">
        <w:rPr>
          <w:lang w:val="en-GB"/>
        </w:rPr>
        <w:t>Moreover, statistics from Harmony indicate that two-thirds of the learners</w:t>
      </w:r>
      <w:r>
        <w:rPr>
          <w:lang w:val="en-GB"/>
        </w:rPr>
        <w:t xml:space="preserve"> </w:t>
      </w:r>
      <w:r w:rsidRPr="0052715F">
        <w:rPr>
          <w:lang w:val="en-GB"/>
        </w:rPr>
        <w:t xml:space="preserve">subject to </w:t>
      </w:r>
      <w:r w:rsidRPr="0052715F">
        <w:rPr>
          <w:lang w:val="en-GB"/>
        </w:rPr>
        <w:lastRenderedPageBreak/>
        <w:t>the pregnancy policies before 2010 never returned to complete their secondary</w:t>
      </w:r>
      <w:r>
        <w:rPr>
          <w:lang w:val="en-GB"/>
        </w:rPr>
        <w:t>-school education.”</w:t>
      </w:r>
      <w:r>
        <w:rPr>
          <w:rStyle w:val="FootnoteReference"/>
          <w:lang w:val="en-GB"/>
        </w:rPr>
        <w:footnoteReference w:id="27"/>
      </w:r>
    </w:p>
    <w:p w14:paraId="492EF7CE" w14:textId="29E58715" w:rsidR="006878EA" w:rsidRDefault="006878EA" w:rsidP="006878EA">
      <w:pPr>
        <w:pStyle w:val="JUDGMENTCONTINUED"/>
        <w:rPr>
          <w:lang w:val="en-GB"/>
        </w:rPr>
      </w:pPr>
    </w:p>
    <w:p w14:paraId="657C0406" w14:textId="30DFE31A" w:rsidR="006878EA" w:rsidRPr="00D12D5A" w:rsidRDefault="00A20CBD" w:rsidP="005D7011">
      <w:pPr>
        <w:pStyle w:val="JUDGMENTNUMBERED"/>
        <w:rPr>
          <w:lang w:val="en-GB"/>
        </w:rPr>
      </w:pPr>
      <w:r>
        <w:rPr>
          <w:lang w:val="en-GB"/>
        </w:rPr>
        <w:t xml:space="preserve">Section 29(1)(b) </w:t>
      </w:r>
      <w:r w:rsidR="003E58D4">
        <w:rPr>
          <w:lang w:val="en-GB"/>
        </w:rPr>
        <w:t xml:space="preserve">gives </w:t>
      </w:r>
      <w:r w:rsidR="00BE5C07">
        <w:rPr>
          <w:lang w:val="en-GB"/>
        </w:rPr>
        <w:t>learners</w:t>
      </w:r>
      <w:r w:rsidR="003E58D4">
        <w:rPr>
          <w:lang w:val="en-GB"/>
        </w:rPr>
        <w:t xml:space="preserve"> like Mr Moko a right to study beyond Grade 12, if so minded.  Mr Moko has made it abundantly clear that he intends to exercise this right, circumstances permitting.  Hence this litigation.  </w:t>
      </w:r>
      <w:r w:rsidR="005B0271">
        <w:rPr>
          <w:lang w:val="en-GB"/>
        </w:rPr>
        <w:t>It is evident that the</w:t>
      </w:r>
      <w:r w:rsidR="005D7011">
        <w:rPr>
          <w:lang w:val="en-GB"/>
        </w:rPr>
        <w:t xml:space="preserve"> right to further education </w:t>
      </w:r>
      <w:r w:rsidR="005B0271">
        <w:rPr>
          <w:lang w:val="en-GB"/>
        </w:rPr>
        <w:t>is</w:t>
      </w:r>
      <w:r w:rsidR="005D7011">
        <w:rPr>
          <w:lang w:val="en-GB"/>
        </w:rPr>
        <w:t xml:space="preserve"> adversely affected </w:t>
      </w:r>
      <w:r w:rsidR="005B0271">
        <w:rPr>
          <w:lang w:val="en-GB"/>
        </w:rPr>
        <w:t>when a learner is</w:t>
      </w:r>
      <w:r w:rsidR="005D7011">
        <w:rPr>
          <w:lang w:val="en-GB"/>
        </w:rPr>
        <w:t xml:space="preserve"> </w:t>
      </w:r>
      <w:r w:rsidR="005B0271">
        <w:rPr>
          <w:lang w:val="en-GB"/>
        </w:rPr>
        <w:t>unjustifiably prevented from</w:t>
      </w:r>
      <w:r w:rsidR="003E58D4">
        <w:rPr>
          <w:lang w:val="en-GB"/>
        </w:rPr>
        <w:t xml:space="preserve"> complet</w:t>
      </w:r>
      <w:r w:rsidR="005B0271">
        <w:rPr>
          <w:lang w:val="en-GB"/>
        </w:rPr>
        <w:t>ing</w:t>
      </w:r>
      <w:r w:rsidR="003E58D4">
        <w:rPr>
          <w:lang w:val="en-GB"/>
        </w:rPr>
        <w:t xml:space="preserve"> </w:t>
      </w:r>
      <w:r w:rsidR="005B0271">
        <w:rPr>
          <w:lang w:val="en-GB"/>
        </w:rPr>
        <w:t>the</w:t>
      </w:r>
      <w:r w:rsidR="003E58D4">
        <w:rPr>
          <w:lang w:val="en-GB"/>
        </w:rPr>
        <w:t xml:space="preserve"> Grade</w:t>
      </w:r>
      <w:r w:rsidR="005B0271">
        <w:rPr>
          <w:lang w:val="en-GB"/>
        </w:rPr>
        <w:t> </w:t>
      </w:r>
      <w:r w:rsidR="003E58D4">
        <w:rPr>
          <w:lang w:val="en-GB"/>
        </w:rPr>
        <w:t xml:space="preserve">12 examinations </w:t>
      </w:r>
      <w:r w:rsidR="009E7EA4">
        <w:rPr>
          <w:lang w:val="en-GB"/>
        </w:rPr>
        <w:t>in time</w:t>
      </w:r>
      <w:r w:rsidR="003E58D4">
        <w:rPr>
          <w:lang w:val="en-GB"/>
        </w:rPr>
        <w:t xml:space="preserve"> to apply to tertiary institutions for further stud</w:t>
      </w:r>
      <w:r w:rsidR="005D7011">
        <w:rPr>
          <w:lang w:val="en-GB"/>
        </w:rPr>
        <w:t xml:space="preserve">ies.  </w:t>
      </w:r>
      <w:r w:rsidR="006878EA" w:rsidRPr="005D7011">
        <w:rPr>
          <w:lang w:val="en-GB"/>
        </w:rPr>
        <w:t>As a result of the first respondent’s conduct</w:t>
      </w:r>
      <w:r w:rsidR="005B0271">
        <w:rPr>
          <w:lang w:val="en-GB"/>
        </w:rPr>
        <w:t xml:space="preserve">, </w:t>
      </w:r>
      <w:r w:rsidR="006878EA" w:rsidRPr="005D7011">
        <w:rPr>
          <w:lang w:val="en-GB"/>
        </w:rPr>
        <w:t xml:space="preserve">the applicant almost lost </w:t>
      </w:r>
      <w:r w:rsidR="005B0271">
        <w:rPr>
          <w:lang w:val="en-GB"/>
        </w:rPr>
        <w:t>the</w:t>
      </w:r>
      <w:r w:rsidR="005B0271" w:rsidRPr="005D7011">
        <w:rPr>
          <w:lang w:val="en-GB"/>
        </w:rPr>
        <w:t xml:space="preserve"> </w:t>
      </w:r>
      <w:r w:rsidR="00587166" w:rsidRPr="005D7011">
        <w:rPr>
          <w:lang w:val="en-GB"/>
        </w:rPr>
        <w:t>opportunity</w:t>
      </w:r>
      <w:r w:rsidR="006878EA" w:rsidRPr="005D7011">
        <w:rPr>
          <w:lang w:val="en-GB"/>
        </w:rPr>
        <w:t xml:space="preserve"> </w:t>
      </w:r>
      <w:r w:rsidR="005B0271">
        <w:rPr>
          <w:lang w:val="en-GB"/>
        </w:rPr>
        <w:t>to pursue</w:t>
      </w:r>
      <w:r w:rsidR="005B0271" w:rsidRPr="005D7011">
        <w:rPr>
          <w:lang w:val="en-GB"/>
        </w:rPr>
        <w:t xml:space="preserve"> </w:t>
      </w:r>
      <w:r w:rsidR="006878EA" w:rsidRPr="005D7011">
        <w:rPr>
          <w:lang w:val="en-GB"/>
        </w:rPr>
        <w:t xml:space="preserve">further education at a tertiary institution starting in </w:t>
      </w:r>
      <w:r w:rsidR="005B0271">
        <w:rPr>
          <w:lang w:val="en-GB"/>
        </w:rPr>
        <w:t>February </w:t>
      </w:r>
      <w:r w:rsidR="006878EA" w:rsidRPr="005D7011">
        <w:rPr>
          <w:lang w:val="en-GB"/>
        </w:rPr>
        <w:t xml:space="preserve">2021.  It </w:t>
      </w:r>
      <w:r w:rsidR="00387B4C" w:rsidRPr="00D46868">
        <w:rPr>
          <w:lang w:val="en-GB"/>
        </w:rPr>
        <w:t xml:space="preserve">would </w:t>
      </w:r>
      <w:r w:rsidR="006878EA" w:rsidRPr="00D46868">
        <w:rPr>
          <w:lang w:val="en-GB"/>
        </w:rPr>
        <w:t xml:space="preserve">not have broken his school career, as it did </w:t>
      </w:r>
      <w:r w:rsidR="00940036" w:rsidRPr="00D46868">
        <w:rPr>
          <w:lang w:val="en-GB"/>
        </w:rPr>
        <w:t xml:space="preserve">for those pregnant girls </w:t>
      </w:r>
      <w:r w:rsidR="00847CD6" w:rsidRPr="00D12D5A">
        <w:rPr>
          <w:lang w:val="en-GB"/>
        </w:rPr>
        <w:t xml:space="preserve">under the </w:t>
      </w:r>
      <w:r w:rsidR="008A06A3" w:rsidRPr="00D12D5A">
        <w:rPr>
          <w:lang w:val="en-GB"/>
        </w:rPr>
        <w:t xml:space="preserve">pregnancy </w:t>
      </w:r>
      <w:r w:rsidR="00847CD6" w:rsidRPr="00D12D5A">
        <w:rPr>
          <w:lang w:val="en-GB"/>
        </w:rPr>
        <w:t xml:space="preserve">policy </w:t>
      </w:r>
      <w:r w:rsidR="006878EA" w:rsidRPr="00D12D5A">
        <w:rPr>
          <w:lang w:val="en-GB"/>
        </w:rPr>
        <w:t>in</w:t>
      </w:r>
      <w:r w:rsidR="00847CD6" w:rsidRPr="00D12D5A">
        <w:rPr>
          <w:lang w:val="en-GB"/>
        </w:rPr>
        <w:t xml:space="preserve"> the</w:t>
      </w:r>
      <w:r w:rsidR="006878EA" w:rsidRPr="00D12D5A">
        <w:rPr>
          <w:lang w:val="en-GB"/>
        </w:rPr>
        <w:t xml:space="preserve"> </w:t>
      </w:r>
      <w:r w:rsidR="006878EA" w:rsidRPr="00D12D5A">
        <w:rPr>
          <w:i/>
          <w:iCs/>
          <w:lang w:val="en-GB"/>
        </w:rPr>
        <w:t xml:space="preserve">Welkom </w:t>
      </w:r>
      <w:r w:rsidR="00E17BEA" w:rsidRPr="00D12D5A">
        <w:rPr>
          <w:i/>
          <w:iCs/>
          <w:lang w:val="en-GB"/>
        </w:rPr>
        <w:t>High School</w:t>
      </w:r>
      <w:r w:rsidR="00847CD6" w:rsidRPr="00D12D5A">
        <w:rPr>
          <w:lang w:val="en-GB"/>
        </w:rPr>
        <w:t xml:space="preserve"> case</w:t>
      </w:r>
      <w:r w:rsidR="006878EA" w:rsidRPr="00D12D5A">
        <w:rPr>
          <w:lang w:val="en-GB"/>
        </w:rPr>
        <w:t xml:space="preserve">, but it would have broken his educational path </w:t>
      </w:r>
      <w:r w:rsidR="001B3A6C" w:rsidRPr="00D12D5A">
        <w:rPr>
          <w:lang w:val="en-GB"/>
        </w:rPr>
        <w:t>by a year</w:t>
      </w:r>
      <w:r w:rsidR="00E566FD">
        <w:rPr>
          <w:lang w:val="en-GB"/>
        </w:rPr>
        <w:t>,</w:t>
      </w:r>
      <w:r w:rsidR="001B3A6C" w:rsidRPr="00D12D5A">
        <w:rPr>
          <w:lang w:val="en-GB"/>
        </w:rPr>
        <w:t xml:space="preserve"> which </w:t>
      </w:r>
      <w:r w:rsidR="00F231C9" w:rsidRPr="00D12D5A">
        <w:rPr>
          <w:lang w:val="en-GB"/>
        </w:rPr>
        <w:t xml:space="preserve">could easily </w:t>
      </w:r>
      <w:r w:rsidR="00847CD6" w:rsidRPr="00D12D5A">
        <w:rPr>
          <w:lang w:val="en-GB"/>
        </w:rPr>
        <w:t>have resulted</w:t>
      </w:r>
      <w:r w:rsidR="001B3A6C" w:rsidRPr="00D12D5A">
        <w:rPr>
          <w:lang w:val="en-GB"/>
        </w:rPr>
        <w:t xml:space="preserve"> in a</w:t>
      </w:r>
      <w:r w:rsidR="001A6042" w:rsidRPr="00D12D5A">
        <w:rPr>
          <w:lang w:val="en-GB"/>
        </w:rPr>
        <w:t>n</w:t>
      </w:r>
      <w:r w:rsidR="001B3A6C" w:rsidRPr="00D12D5A">
        <w:rPr>
          <w:lang w:val="en-GB"/>
        </w:rPr>
        <w:t xml:space="preserve"> irretrievable alteration of his future.</w:t>
      </w:r>
    </w:p>
    <w:p w14:paraId="4A2D7EA6" w14:textId="4E6081CB" w:rsidR="00F231C9" w:rsidRDefault="00F231C9" w:rsidP="00F231C9">
      <w:pPr>
        <w:pStyle w:val="JUDGMENTCONTINUED"/>
        <w:rPr>
          <w:lang w:val="en-GB"/>
        </w:rPr>
      </w:pPr>
    </w:p>
    <w:p w14:paraId="67601A44" w14:textId="0AE585FE" w:rsidR="00F231C9" w:rsidRPr="00F231C9" w:rsidRDefault="00F231C9" w:rsidP="00F231C9">
      <w:pPr>
        <w:pStyle w:val="JUDGMENTNUMBERED"/>
        <w:rPr>
          <w:lang w:val="en-GB"/>
        </w:rPr>
      </w:pPr>
      <w:r>
        <w:rPr>
          <w:lang w:val="en-GB"/>
        </w:rPr>
        <w:t xml:space="preserve">I cannot conceive </w:t>
      </w:r>
      <w:r w:rsidR="008A06A3">
        <w:rPr>
          <w:lang w:val="en-GB"/>
        </w:rPr>
        <w:t xml:space="preserve">of </w:t>
      </w:r>
      <w:r>
        <w:rPr>
          <w:lang w:val="en-GB"/>
        </w:rPr>
        <w:t xml:space="preserve">how the High Court could not have found the matter to be urgent.  Luckily, Mr Moko’s determination to write the examination before the results </w:t>
      </w:r>
      <w:r w:rsidR="0023480B">
        <w:rPr>
          <w:lang w:val="en-GB"/>
        </w:rPr>
        <w:t>are released</w:t>
      </w:r>
      <w:r w:rsidR="00DE455A">
        <w:rPr>
          <w:lang w:val="en-GB"/>
        </w:rPr>
        <w:t>,</w:t>
      </w:r>
      <w:r>
        <w:rPr>
          <w:lang w:val="en-GB"/>
        </w:rPr>
        <w:t xml:space="preserve"> so that he </w:t>
      </w:r>
      <w:r w:rsidR="00847CD6">
        <w:rPr>
          <w:lang w:val="en-GB"/>
        </w:rPr>
        <w:t>can</w:t>
      </w:r>
      <w:r>
        <w:rPr>
          <w:lang w:val="en-GB"/>
        </w:rPr>
        <w:t xml:space="preserve"> access further education in 2021</w:t>
      </w:r>
      <w:r w:rsidR="00DE455A">
        <w:rPr>
          <w:lang w:val="en-GB"/>
        </w:rPr>
        <w:t>,</w:t>
      </w:r>
      <w:r>
        <w:rPr>
          <w:lang w:val="en-GB"/>
        </w:rPr>
        <w:t xml:space="preserve"> has resulted in the respondents’ offer </w:t>
      </w:r>
      <w:r w:rsidR="00971A6F">
        <w:rPr>
          <w:lang w:val="en-GB"/>
        </w:rPr>
        <w:t xml:space="preserve">in their submissions </w:t>
      </w:r>
      <w:r w:rsidR="00EB755F">
        <w:rPr>
          <w:lang w:val="en-GB"/>
        </w:rPr>
        <w:t xml:space="preserve">in this Court </w:t>
      </w:r>
      <w:r>
        <w:rPr>
          <w:lang w:val="en-GB"/>
        </w:rPr>
        <w:t xml:space="preserve">that he </w:t>
      </w:r>
      <w:r w:rsidR="00E566FD">
        <w:rPr>
          <w:lang w:val="en-GB"/>
        </w:rPr>
        <w:t>be</w:t>
      </w:r>
      <w:r w:rsidR="00971A6F">
        <w:rPr>
          <w:lang w:val="en-GB"/>
        </w:rPr>
        <w:t xml:space="preserve"> given an opportunity to write </w:t>
      </w:r>
      <w:r>
        <w:rPr>
          <w:lang w:val="en-GB"/>
        </w:rPr>
        <w:t xml:space="preserve">the </w:t>
      </w:r>
      <w:r w:rsidR="005B0271">
        <w:rPr>
          <w:lang w:val="en-GB"/>
        </w:rPr>
        <w:t xml:space="preserve">examination </w:t>
      </w:r>
      <w:r>
        <w:rPr>
          <w:lang w:val="en-GB"/>
        </w:rPr>
        <w:t xml:space="preserve">in January 2021.  The opportunity to write the examination in time to still receive his results along with his contemporaries, and in time to approach institutions of higher learning, will go a substantial way in vindicating </w:t>
      </w:r>
      <w:r w:rsidR="00847CD6">
        <w:rPr>
          <w:lang w:val="en-GB"/>
        </w:rPr>
        <w:t>Mr Moko’s</w:t>
      </w:r>
      <w:r>
        <w:rPr>
          <w:lang w:val="en-GB"/>
        </w:rPr>
        <w:t xml:space="preserve"> rights.</w:t>
      </w:r>
    </w:p>
    <w:p w14:paraId="219B639B" w14:textId="1C76AEB2" w:rsidR="00032D50" w:rsidRDefault="00032D50" w:rsidP="00032D50">
      <w:pPr>
        <w:pStyle w:val="JUDGMENTCONTINUED"/>
      </w:pPr>
    </w:p>
    <w:p w14:paraId="1018A5A7" w14:textId="6EB81179" w:rsidR="00796067" w:rsidRPr="00796067" w:rsidRDefault="00796067" w:rsidP="00796067">
      <w:pPr>
        <w:pStyle w:val="HEADING"/>
      </w:pPr>
      <w:r>
        <w:t>Remedy</w:t>
      </w:r>
    </w:p>
    <w:p w14:paraId="49B9486D" w14:textId="3B588B31" w:rsidR="00032D50" w:rsidRDefault="00796067" w:rsidP="00032D50">
      <w:pPr>
        <w:pStyle w:val="JUDGMENTNUMBERED"/>
      </w:pPr>
      <w:r>
        <w:t xml:space="preserve">The applicant asks this Court to declare the conduct of the first respondent unconstitutional and to grant him substantive relief by, </w:t>
      </w:r>
      <w:r w:rsidRPr="00D46868">
        <w:t>inter alia</w:t>
      </w:r>
      <w:r>
        <w:t>, ordering the second to fifth respondents to afford him the opportunity to write his examination as a matter of urgency.  The second to fourth respondents have informed th</w:t>
      </w:r>
      <w:r w:rsidR="002E68FB">
        <w:t>is</w:t>
      </w:r>
      <w:r>
        <w:t xml:space="preserve"> Court </w:t>
      </w:r>
      <w:r w:rsidR="00F16B07">
        <w:t xml:space="preserve">that, following a </w:t>
      </w:r>
      <w:r w:rsidR="00F16B07">
        <w:lastRenderedPageBreak/>
        <w:t xml:space="preserve">consultation with Umalusi, they can give </w:t>
      </w:r>
      <w:r w:rsidR="00847CD6">
        <w:t>Mr Moko</w:t>
      </w:r>
      <w:r w:rsidR="00F16B07">
        <w:t xml:space="preserve"> an opportunity to write his missed assessment in the first week of January 2021.  In addition, they have offered </w:t>
      </w:r>
      <w:r w:rsidR="00847CD6">
        <w:t>him</w:t>
      </w:r>
      <w:r w:rsidR="00F16B07">
        <w:t xml:space="preserve"> counselling at the state’s expense </w:t>
      </w:r>
      <w:r w:rsidR="00620644">
        <w:t>by a counsellor or clinical psychologist of his choice from the respondents’ database of service providers.</w:t>
      </w:r>
    </w:p>
    <w:p w14:paraId="1DEEE120" w14:textId="703F438E" w:rsidR="00551427" w:rsidRDefault="00551427" w:rsidP="00551427">
      <w:pPr>
        <w:pStyle w:val="JUDGMENTCONTINUED"/>
      </w:pPr>
    </w:p>
    <w:p w14:paraId="460F8640" w14:textId="37E50DC3" w:rsidR="00551427" w:rsidRDefault="00B85D87" w:rsidP="00551427">
      <w:pPr>
        <w:pStyle w:val="JUDGMENTNUMBERED"/>
      </w:pPr>
      <w:r>
        <w:t xml:space="preserve">In the circumstances, the appropriate remedy, in my view, is to declare the conduct of the first respondent in violation of section 29(1) of the Constitution and to order the further respondents to comply with their offer to </w:t>
      </w:r>
      <w:r w:rsidR="00971A6F">
        <w:t xml:space="preserve">give </w:t>
      </w:r>
      <w:r>
        <w:t xml:space="preserve">the applicant the opportunity to write the missed examination </w:t>
      </w:r>
      <w:r w:rsidR="00F150C4">
        <w:t>at the start</w:t>
      </w:r>
      <w:r>
        <w:t xml:space="preserve"> of January 2021.</w:t>
      </w:r>
      <w:r w:rsidR="00E566FD">
        <w:t xml:space="preserve">  In order to ensure there is sufficient time for the relevant preparations to be made, the Court </w:t>
      </w:r>
      <w:r w:rsidR="000F0596">
        <w:t>should order that the examination be written before the end of the second week of January 2021.</w:t>
      </w:r>
    </w:p>
    <w:p w14:paraId="67261A22" w14:textId="3BC585FC" w:rsidR="00796067" w:rsidRDefault="00796067" w:rsidP="00796067">
      <w:pPr>
        <w:pStyle w:val="JUDGMENTCONTINUED"/>
      </w:pPr>
    </w:p>
    <w:p w14:paraId="23B1E326" w14:textId="5C7678F2" w:rsidR="00796067" w:rsidRDefault="00796067" w:rsidP="00796067">
      <w:pPr>
        <w:pStyle w:val="HEADING"/>
      </w:pPr>
      <w:r>
        <w:t>Costs</w:t>
      </w:r>
    </w:p>
    <w:p w14:paraId="2E0C5FCF" w14:textId="626E860F" w:rsidR="00C664C5" w:rsidRDefault="000E1858" w:rsidP="00796067">
      <w:pPr>
        <w:pStyle w:val="JUDGMENTNUMBERED"/>
      </w:pPr>
      <w:r>
        <w:t xml:space="preserve">I turn finally to the issue of costs.  </w:t>
      </w:r>
      <w:r w:rsidR="001F195B">
        <w:t>T</w:t>
      </w:r>
      <w:r w:rsidR="007A60A6">
        <w:t xml:space="preserve">his Court </w:t>
      </w:r>
      <w:r w:rsidR="001F195B">
        <w:t xml:space="preserve">has </w:t>
      </w:r>
      <w:r w:rsidR="007A60A6">
        <w:t>held that the proper approach to determining costs awards in constitutional litigation, whilst remaining flexible, is that “[i]n litigation between the government and a private party seeking to assert a constitutional right . . . if the government loses, it should pay the costs of the other side”.</w:t>
      </w:r>
      <w:r w:rsidR="00956643">
        <w:rPr>
          <w:rStyle w:val="FootnoteReference"/>
        </w:rPr>
        <w:footnoteReference w:id="28"/>
      </w:r>
      <w:r>
        <w:t xml:space="preserve">  The applicant has been successful in this matter, which </w:t>
      </w:r>
      <w:r w:rsidR="00956643">
        <w:t>involves</w:t>
      </w:r>
      <w:r>
        <w:t xml:space="preserve"> constitutional litigation against the state.  </w:t>
      </w:r>
      <w:r w:rsidR="00956643">
        <w:t>In my view, there is no reason to depart from the general principle that the successful applicant is entitled to costs in this matter.</w:t>
      </w:r>
    </w:p>
    <w:p w14:paraId="3C861F7B" w14:textId="77777777" w:rsidR="00C664C5" w:rsidRPr="00C664C5" w:rsidRDefault="00C664C5" w:rsidP="00C664C5">
      <w:pPr>
        <w:pStyle w:val="JUDGMENTCONTINUED"/>
      </w:pPr>
    </w:p>
    <w:p w14:paraId="36791F4D" w14:textId="70053A9E" w:rsidR="007A60A6" w:rsidRDefault="00C664C5" w:rsidP="00796067">
      <w:pPr>
        <w:pStyle w:val="JUDGMENTNUMBERED"/>
      </w:pPr>
      <w:r>
        <w:t>T</w:t>
      </w:r>
      <w:r w:rsidR="00956643">
        <w:t xml:space="preserve">wo points were raised by the second to fourth </w:t>
      </w:r>
      <w:r w:rsidR="00B937B0">
        <w:t xml:space="preserve">respondents </w:t>
      </w:r>
      <w:r w:rsidR="00956643">
        <w:t>in their submissions in this Court</w:t>
      </w:r>
      <w:r>
        <w:t xml:space="preserve"> regarding costs</w:t>
      </w:r>
      <w:r w:rsidR="00956643">
        <w:t xml:space="preserve">: first, that the applicant was represented on a </w:t>
      </w:r>
      <w:r w:rsidR="00956643" w:rsidRPr="007D7335">
        <w:t>pro bono</w:t>
      </w:r>
      <w:r w:rsidR="00956643">
        <w:rPr>
          <w:i/>
          <w:iCs/>
        </w:rPr>
        <w:t xml:space="preserve"> </w:t>
      </w:r>
      <w:r w:rsidR="00956643">
        <w:t>basis and secondly, that they assisted both the applicant and the Court and therefore ought not necessarily be mulcted with costs.  I briefly touch on both of these below.</w:t>
      </w:r>
    </w:p>
    <w:p w14:paraId="2A201860" w14:textId="77777777" w:rsidR="007A60A6" w:rsidRPr="007A60A6" w:rsidRDefault="007A60A6" w:rsidP="007A60A6">
      <w:pPr>
        <w:pStyle w:val="JUDGMENTCONTINUED"/>
      </w:pPr>
    </w:p>
    <w:p w14:paraId="59C827A9" w14:textId="1123B8B7" w:rsidR="007C00B0" w:rsidRDefault="00956643" w:rsidP="00796067">
      <w:pPr>
        <w:pStyle w:val="JUDGMENTNUMBERED"/>
      </w:pPr>
      <w:r>
        <w:lastRenderedPageBreak/>
        <w:t xml:space="preserve">The </w:t>
      </w:r>
      <w:r w:rsidR="00A3495A">
        <w:t xml:space="preserve">applicant was represented on a </w:t>
      </w:r>
      <w:r w:rsidR="00A3495A" w:rsidRPr="00D46868">
        <w:t>pro bono</w:t>
      </w:r>
      <w:r w:rsidR="00A3495A">
        <w:t xml:space="preserve"> basis</w:t>
      </w:r>
      <w:r>
        <w:t xml:space="preserve">.  I do not necessarily see this as a reason for departing from the general principles relating to costs in constitutional litigation.  In fact, </w:t>
      </w:r>
      <w:r w:rsidR="00A3495A">
        <w:t xml:space="preserve">the second to fourth respondents accept that </w:t>
      </w:r>
      <w:r>
        <w:t xml:space="preserve">the </w:t>
      </w:r>
      <w:r w:rsidRPr="00D46868">
        <w:t xml:space="preserve">pro bono </w:t>
      </w:r>
      <w:r>
        <w:t>nature of the legal assistance of the applicant</w:t>
      </w:r>
      <w:r w:rsidR="00A3495A">
        <w:t>, in principle, is no reason not to award costs where the applicant has been successful.</w:t>
      </w:r>
      <w:r w:rsidR="006B7187">
        <w:t xml:space="preserve">  I agree.  In</w:t>
      </w:r>
      <w:r w:rsidR="007C00B0">
        <w:t xml:space="preserve"> my view, the following from</w:t>
      </w:r>
      <w:r w:rsidR="006B7187">
        <w:t xml:space="preserve"> </w:t>
      </w:r>
      <w:r w:rsidR="006B7187" w:rsidRPr="007C00B0">
        <w:rPr>
          <w:i/>
          <w:iCs/>
        </w:rPr>
        <w:t>Jose</w:t>
      </w:r>
      <w:r w:rsidR="000F132F">
        <w:rPr>
          <w:i/>
          <w:iCs/>
        </w:rPr>
        <w:t xml:space="preserve"> v Minister of Home Affairs</w:t>
      </w:r>
      <w:r w:rsidR="007C00B0">
        <w:rPr>
          <w:i/>
          <w:iCs/>
        </w:rPr>
        <w:t xml:space="preserve"> </w:t>
      </w:r>
      <w:r w:rsidR="00391BE5">
        <w:t>is apt</w:t>
      </w:r>
      <w:r w:rsidR="007C00B0">
        <w:t>:</w:t>
      </w:r>
    </w:p>
    <w:p w14:paraId="7DF88E73" w14:textId="77777777" w:rsidR="007C00B0" w:rsidRDefault="007C00B0" w:rsidP="007C00B0">
      <w:pPr>
        <w:pStyle w:val="QUOTATION"/>
      </w:pPr>
    </w:p>
    <w:p w14:paraId="1C95D609" w14:textId="5C4F38FD" w:rsidR="000F0AA7" w:rsidRDefault="007C00B0" w:rsidP="007C00B0">
      <w:pPr>
        <w:pStyle w:val="QUOTATION"/>
      </w:pPr>
      <w:r>
        <w:t xml:space="preserve">“Legal practitioners who appear </w:t>
      </w:r>
      <w:r w:rsidRPr="006D2D22">
        <w:t>pro bono</w:t>
      </w:r>
      <w:r>
        <w:t xml:space="preserve"> in matters in which litigants would otherwise not be able to pursue their fundamental rights, and in particular where the claims do not sound in money, ought not in ordinary circumstances </w:t>
      </w:r>
      <w:r w:rsidR="0023480B">
        <w:t xml:space="preserve">to </w:t>
      </w:r>
      <w:r>
        <w:t>be prevented from claiming costs.  On the contrary</w:t>
      </w:r>
      <w:r w:rsidR="008F7679">
        <w:t>, the</w:t>
      </w:r>
      <w:r>
        <w:t xml:space="preserve"> granting of a costs order in these circumstances is likely to increase access to justice.”</w:t>
      </w:r>
      <w:r w:rsidR="003821D4">
        <w:rPr>
          <w:rStyle w:val="FootnoteReference"/>
        </w:rPr>
        <w:footnoteReference w:id="29"/>
      </w:r>
    </w:p>
    <w:p w14:paraId="7D9F1FCD" w14:textId="5C9406B0" w:rsidR="00C664C5" w:rsidRDefault="00C664C5" w:rsidP="00C664C5">
      <w:pPr>
        <w:pStyle w:val="JUDGMENTCONTINUED"/>
      </w:pPr>
    </w:p>
    <w:p w14:paraId="35D17AA9" w14:textId="36595550" w:rsidR="00C664C5" w:rsidRPr="00C664C5" w:rsidRDefault="00C664C5" w:rsidP="00C664C5">
      <w:pPr>
        <w:pStyle w:val="JUDGMENTNUMBERED"/>
      </w:pPr>
      <w:r>
        <w:t xml:space="preserve">The </w:t>
      </w:r>
      <w:r w:rsidRPr="00D46868">
        <w:t>pro bono</w:t>
      </w:r>
      <w:r>
        <w:t xml:space="preserve"> nature of the legal assistance does not affect the cost</w:t>
      </w:r>
      <w:r w:rsidR="001A6042">
        <w:t>s</w:t>
      </w:r>
      <w:r>
        <w:t xml:space="preserve"> award in favour of the applicant.</w:t>
      </w:r>
      <w:r>
        <w:rPr>
          <w:rStyle w:val="FootnoteReference"/>
        </w:rPr>
        <w:footnoteReference w:id="30"/>
      </w:r>
    </w:p>
    <w:p w14:paraId="131E08AD" w14:textId="77777777" w:rsidR="000F0AA7" w:rsidRPr="000F0AA7" w:rsidRDefault="000F0AA7" w:rsidP="000F0AA7">
      <w:pPr>
        <w:pStyle w:val="JUDGMENTCONTINUED"/>
      </w:pPr>
    </w:p>
    <w:p w14:paraId="38FFD308" w14:textId="246772AC" w:rsidR="00DF4112" w:rsidRDefault="00AC6D8F" w:rsidP="007C4FCE">
      <w:pPr>
        <w:pStyle w:val="JUDGMENTNUMBERED"/>
      </w:pPr>
      <w:r>
        <w:t xml:space="preserve">On the second matter, that the second to fourth respondents have not opposed the application, I </w:t>
      </w:r>
      <w:r w:rsidR="00240ADE">
        <w:t xml:space="preserve">further </w:t>
      </w:r>
      <w:r>
        <w:t xml:space="preserve">do not think this </w:t>
      </w:r>
      <w:r w:rsidR="007C4FCE">
        <w:t>absolves</w:t>
      </w:r>
      <w:r>
        <w:t xml:space="preserve"> those respondents from </w:t>
      </w:r>
      <w:r w:rsidR="007C4FCE">
        <w:t xml:space="preserve">paying </w:t>
      </w:r>
      <w:r>
        <w:t xml:space="preserve">costs.  </w:t>
      </w:r>
      <w:r w:rsidR="000F0AA7">
        <w:t>I pause here to state that I have been impressed by the second to fourth respondents’ willingness to assist the applicant in this matter and to seek to provide an opportunity for the applicant to write his examination as a matter of urgency.</w:t>
      </w:r>
      <w:r w:rsidR="007C4FCE">
        <w:t xml:space="preserve">  </w:t>
      </w:r>
      <w:r w:rsidR="00DF4112">
        <w:t>However, a grave violation of the right to education has occurred</w:t>
      </w:r>
      <w:r w:rsidR="00D26770">
        <w:t xml:space="preserve">.  It </w:t>
      </w:r>
      <w:r w:rsidR="002E68FB">
        <w:t xml:space="preserve">took place </w:t>
      </w:r>
      <w:r w:rsidR="00DF4112">
        <w:t xml:space="preserve">in a state school, </w:t>
      </w:r>
      <w:r w:rsidR="001A6042">
        <w:t>at the hands of an</w:t>
      </w:r>
      <w:r w:rsidR="00D26770">
        <w:t xml:space="preserve"> acting principal during the course of his duties as principal of that school.  Over and above this, I am certain that, but for the litigation in this Court, the applicant would have only been able to write the supplementary examinations in May 2021.  This was what he was told by members of the Department following the incident.  The offer of the opportunity to write the missed examination in January</w:t>
      </w:r>
      <w:r w:rsidR="007A79D4">
        <w:t> </w:t>
      </w:r>
      <w:r w:rsidR="00D26770">
        <w:t>2021 only came to the fore after the litigation in this Court had been initiated.</w:t>
      </w:r>
    </w:p>
    <w:p w14:paraId="44B72BAA" w14:textId="4212F78B" w:rsidR="00D26770" w:rsidRDefault="00D26770" w:rsidP="00D26770">
      <w:pPr>
        <w:pStyle w:val="JUDGMENTCONTINUED"/>
      </w:pPr>
    </w:p>
    <w:p w14:paraId="6CAF60B7" w14:textId="24B6D475" w:rsidR="00D26770" w:rsidRPr="00D26770" w:rsidRDefault="00D26770" w:rsidP="00D26770">
      <w:pPr>
        <w:pStyle w:val="JUDGMENTNUMBERED"/>
      </w:pPr>
      <w:r>
        <w:t>In these circumstances, the first to fourth respondents ought to</w:t>
      </w:r>
      <w:r w:rsidR="00285C2D">
        <w:t xml:space="preserve"> </w:t>
      </w:r>
      <w:r w:rsidR="000F0596">
        <w:t xml:space="preserve">be </w:t>
      </w:r>
      <w:r w:rsidR="00285C2D">
        <w:t>jointly and severally</w:t>
      </w:r>
      <w:r>
        <w:t xml:space="preserve"> </w:t>
      </w:r>
      <w:r w:rsidR="000F0596">
        <w:t xml:space="preserve">liable to </w:t>
      </w:r>
      <w:r>
        <w:t>pay the applicant’s costs in this matter, including the cost</w:t>
      </w:r>
      <w:r w:rsidR="001A6042">
        <w:t>s</w:t>
      </w:r>
      <w:r>
        <w:t xml:space="preserve"> of two counsel</w:t>
      </w:r>
      <w:r w:rsidR="00285C2D">
        <w:t>, in both the High Court and this Court</w:t>
      </w:r>
      <w:r>
        <w:t>.</w:t>
      </w:r>
    </w:p>
    <w:p w14:paraId="37F65438" w14:textId="0009C017" w:rsidR="00551427" w:rsidRDefault="00551427" w:rsidP="00551427">
      <w:pPr>
        <w:pStyle w:val="JUDGMENTCONTINUED"/>
      </w:pPr>
    </w:p>
    <w:p w14:paraId="58BF1A3D" w14:textId="11352810" w:rsidR="00D25D9B" w:rsidRDefault="00D25D9B" w:rsidP="00796067">
      <w:pPr>
        <w:pStyle w:val="HEADING"/>
      </w:pPr>
      <w:r>
        <w:t>Conclusion</w:t>
      </w:r>
    </w:p>
    <w:p w14:paraId="3F4EA2F0" w14:textId="77777777" w:rsidR="005245C6" w:rsidRPr="005245C6" w:rsidRDefault="005245C6" w:rsidP="005245C6">
      <w:pPr>
        <w:pStyle w:val="QUOTATION"/>
      </w:pPr>
    </w:p>
    <w:p w14:paraId="2EA7D0B8" w14:textId="35583E99" w:rsidR="00783E0F" w:rsidRDefault="00783E0F" w:rsidP="00783E0F">
      <w:pPr>
        <w:pStyle w:val="QUOTATION"/>
      </w:pPr>
      <w:r>
        <w:t>“When someone takes away your pens you realise quite how important education is.”</w:t>
      </w:r>
      <w:r w:rsidR="00252673">
        <w:rPr>
          <w:rStyle w:val="FootnoteReference"/>
        </w:rPr>
        <w:footnoteReference w:id="31"/>
      </w:r>
    </w:p>
    <w:p w14:paraId="2B22E5EF" w14:textId="77777777" w:rsidR="00783E0F" w:rsidRPr="00783E0F" w:rsidRDefault="00783E0F" w:rsidP="00783E0F">
      <w:pPr>
        <w:pStyle w:val="JUDGMENTCONTINUED"/>
      </w:pPr>
    </w:p>
    <w:p w14:paraId="2D7754D5" w14:textId="63AC3412" w:rsidR="00860C4E" w:rsidRDefault="00783E0F" w:rsidP="00937742">
      <w:pPr>
        <w:pStyle w:val="JUDGMENTNUMBERED"/>
      </w:pPr>
      <w:r>
        <w:t xml:space="preserve">I hope that no </w:t>
      </w:r>
      <w:r w:rsidR="00F16B07">
        <w:t>other</w:t>
      </w:r>
      <w:r>
        <w:t xml:space="preserve"> pens have to be taken away before </w:t>
      </w:r>
      <w:r w:rsidR="00D25D9B">
        <w:t>the various</w:t>
      </w:r>
      <w:r>
        <w:t xml:space="preserve"> role-players in our </w:t>
      </w:r>
      <w:r w:rsidR="00D25D9B">
        <w:t xml:space="preserve">education system fully </w:t>
      </w:r>
      <w:r>
        <w:t xml:space="preserve">realise the critical importance of </w:t>
      </w:r>
      <w:r w:rsidR="00796067">
        <w:t xml:space="preserve">the right to </w:t>
      </w:r>
      <w:r>
        <w:t>education, especially in a nascent democracy like ours</w:t>
      </w:r>
      <w:r w:rsidR="00971A6F">
        <w:t>,</w:t>
      </w:r>
      <w:r w:rsidR="002E68FB">
        <w:t xml:space="preserve"> which recognises the transformative nature of education and entrenches it as a socio-economic right in our Constitution</w:t>
      </w:r>
      <w:r>
        <w:t>.</w:t>
      </w:r>
      <w:r w:rsidR="00D25D9B">
        <w:t xml:space="preserve">  It is </w:t>
      </w:r>
      <w:r w:rsidR="00F16B07">
        <w:t xml:space="preserve">simply </w:t>
      </w:r>
      <w:r w:rsidR="00D25D9B">
        <w:t xml:space="preserve">unacceptable that an educator can act in a </w:t>
      </w:r>
      <w:r w:rsidR="00796067">
        <w:t>manner</w:t>
      </w:r>
      <w:r w:rsidR="00D25D9B">
        <w:t xml:space="preserve"> that results in a </w:t>
      </w:r>
      <w:r w:rsidR="00BE5C07">
        <w:t xml:space="preserve">learner </w:t>
      </w:r>
      <w:r w:rsidR="00D25D9B">
        <w:t>missing a matric examination, for no justifiable reason whatsoever.</w:t>
      </w:r>
      <w:r w:rsidR="00F16B07">
        <w:t xml:space="preserve">  We can only hope that conduct like this is rare and that most, if not all, of our matric</w:t>
      </w:r>
      <w:r w:rsidR="000F0596">
        <w:t xml:space="preserve"> lea</w:t>
      </w:r>
      <w:r w:rsidR="00A42323">
        <w:t>r</w:t>
      </w:r>
      <w:r w:rsidR="000F0596">
        <w:t>ners</w:t>
      </w:r>
      <w:r w:rsidR="00F16B07">
        <w:t xml:space="preserve"> fe</w:t>
      </w:r>
      <w:r w:rsidR="002E68FB">
        <w:t>el</w:t>
      </w:r>
      <w:r w:rsidR="00F16B07">
        <w:t xml:space="preserve"> supported by their schools, principals and teachers during the examination period, which is already a time of great angst for our </w:t>
      </w:r>
      <w:r w:rsidR="00BE5C07">
        <w:t>learners</w:t>
      </w:r>
      <w:r w:rsidR="00F16B07">
        <w:t>.</w:t>
      </w:r>
    </w:p>
    <w:p w14:paraId="7A229595" w14:textId="77777777" w:rsidR="005245C6" w:rsidRPr="005245C6" w:rsidRDefault="005245C6" w:rsidP="005245C6">
      <w:pPr>
        <w:pStyle w:val="JUDGMENTCONTINUED"/>
      </w:pPr>
    </w:p>
    <w:p w14:paraId="77A3E6A6" w14:textId="4FCB7F10" w:rsidR="00671D15" w:rsidRDefault="005245C6" w:rsidP="00C77874">
      <w:pPr>
        <w:pStyle w:val="JUDGMENTNUMBERED"/>
      </w:pPr>
      <w:r>
        <w:t>In the event, t</w:t>
      </w:r>
      <w:r w:rsidR="00671D15">
        <w:t>he following order is made:</w:t>
      </w:r>
    </w:p>
    <w:p w14:paraId="190A3F87" w14:textId="77777777" w:rsidR="00B174D1" w:rsidRDefault="00B174D1" w:rsidP="00B174D1">
      <w:pPr>
        <w:pStyle w:val="ORDER"/>
        <w:numPr>
          <w:ilvl w:val="0"/>
          <w:numId w:val="25"/>
        </w:numPr>
      </w:pPr>
      <w:r>
        <w:t>Leave for direct access on an urgent basis is granted.</w:t>
      </w:r>
    </w:p>
    <w:p w14:paraId="3933EE24" w14:textId="1F9F61B3" w:rsidR="00B174D1" w:rsidRDefault="00B174D1" w:rsidP="00B174D1">
      <w:pPr>
        <w:pStyle w:val="ORDER"/>
        <w:numPr>
          <w:ilvl w:val="0"/>
          <w:numId w:val="25"/>
        </w:numPr>
      </w:pPr>
      <w:r>
        <w:t xml:space="preserve">The conduct of the first respondent, which resulted in the applicant’s inability to sit </w:t>
      </w:r>
      <w:r w:rsidR="0053141A">
        <w:t xml:space="preserve">for </w:t>
      </w:r>
      <w:r>
        <w:t xml:space="preserve">the Business Studies Paper 2 examination on 25 November 2020, is declared to be a violation of the applicant’s right to education </w:t>
      </w:r>
      <w:r w:rsidR="00A0247F">
        <w:t>in</w:t>
      </w:r>
      <w:r>
        <w:t xml:space="preserve"> section 29(1) of the Constitution.</w:t>
      </w:r>
    </w:p>
    <w:p w14:paraId="1843BB97" w14:textId="5F2B8F45" w:rsidR="00B174D1" w:rsidRDefault="00B174D1" w:rsidP="00B174D1">
      <w:pPr>
        <w:pStyle w:val="ORDER"/>
        <w:numPr>
          <w:ilvl w:val="0"/>
          <w:numId w:val="25"/>
        </w:numPr>
      </w:pPr>
      <w:r>
        <w:t xml:space="preserve">The second to fifth respondents are ordered to grant the applicant the opportunity to write </w:t>
      </w:r>
      <w:r w:rsidR="0053141A">
        <w:t>the</w:t>
      </w:r>
      <w:r>
        <w:t xml:space="preserve"> Business Studies Paper 2 examination </w:t>
      </w:r>
      <w:r w:rsidR="00364B81">
        <w:t>by</w:t>
      </w:r>
      <w:r>
        <w:t xml:space="preserve"> </w:t>
      </w:r>
      <w:r w:rsidR="00E10B17">
        <w:t>15 </w:t>
      </w:r>
      <w:r>
        <w:t>January 2021.</w:t>
      </w:r>
    </w:p>
    <w:p w14:paraId="3DDE4FBD" w14:textId="3704967A" w:rsidR="009A5BEA" w:rsidRDefault="00B174D1" w:rsidP="00822042">
      <w:pPr>
        <w:pStyle w:val="ORDER"/>
        <w:numPr>
          <w:ilvl w:val="0"/>
          <w:numId w:val="25"/>
        </w:numPr>
      </w:pPr>
      <w:r>
        <w:lastRenderedPageBreak/>
        <w:t>The result of the examination written in terms of paragraph 3 of th</w:t>
      </w:r>
      <w:r w:rsidR="00AA2356">
        <w:t>is</w:t>
      </w:r>
      <w:r>
        <w:t xml:space="preserve"> order </w:t>
      </w:r>
      <w:r w:rsidR="00D149F3">
        <w:t>is</w:t>
      </w:r>
      <w:r>
        <w:t xml:space="preserve"> to be released simultaneously with the general release of the 2020</w:t>
      </w:r>
      <w:r w:rsidR="00C20481">
        <w:t> </w:t>
      </w:r>
      <w:r>
        <w:t xml:space="preserve">National Senior Certificate </w:t>
      </w:r>
      <w:r w:rsidR="00332E18">
        <w:t>e</w:t>
      </w:r>
      <w:r>
        <w:t xml:space="preserve">xamination </w:t>
      </w:r>
      <w:r w:rsidR="00332E18">
        <w:t>r</w:t>
      </w:r>
      <w:r>
        <w:t>esults in January</w:t>
      </w:r>
      <w:r w:rsidR="00971A6F">
        <w:t xml:space="preserve"> </w:t>
      </w:r>
      <w:r w:rsidR="001A6042">
        <w:t>or</w:t>
      </w:r>
      <w:r w:rsidR="00971A6F">
        <w:t xml:space="preserve"> </w:t>
      </w:r>
      <w:r>
        <w:t>February 2021.</w:t>
      </w:r>
    </w:p>
    <w:p w14:paraId="485EE8A8" w14:textId="60569205" w:rsidR="00B174D1" w:rsidRPr="009C3888" w:rsidRDefault="00285C2D" w:rsidP="00971A6F">
      <w:pPr>
        <w:pStyle w:val="ORDER"/>
        <w:numPr>
          <w:ilvl w:val="0"/>
          <w:numId w:val="25"/>
        </w:numPr>
      </w:pPr>
      <w:r>
        <w:t xml:space="preserve">The first, second, third and fourth respondents are jointly and severally </w:t>
      </w:r>
      <w:r w:rsidR="00CD0814">
        <w:t xml:space="preserve">liable to </w:t>
      </w:r>
      <w:r>
        <w:t>pay the costs of the applicant, including the costs of two counsel</w:t>
      </w:r>
      <w:r w:rsidR="00A5209F">
        <w:t>, in both this Court and the High Court of South Africa, Limpopo Division, Polokwane.</w:t>
      </w:r>
    </w:p>
    <w:p w14:paraId="0119D4C6" w14:textId="77777777" w:rsidR="00CE5F9F" w:rsidRDefault="00CE5F9F" w:rsidP="000C38CF">
      <w:pPr>
        <w:pStyle w:val="JUDGMENTCONTINUED"/>
      </w:pPr>
    </w:p>
    <w:p w14:paraId="57046A86" w14:textId="77777777" w:rsidR="00CE5F9F" w:rsidRPr="00CE5F9F" w:rsidRDefault="00CE5F9F" w:rsidP="000C38CF">
      <w:pPr>
        <w:pStyle w:val="JUDGMENTCONTINUED"/>
        <w:sectPr w:rsidR="00CE5F9F" w:rsidRPr="00CE5F9F" w:rsidSect="000F7521">
          <w:headerReference w:type="default" r:id="rId10"/>
          <w:type w:val="continuous"/>
          <w:pgSz w:w="11907" w:h="16839" w:code="9"/>
          <w:pgMar w:top="1440" w:right="1440" w:bottom="1440" w:left="1440" w:header="708" w:footer="708" w:gutter="0"/>
          <w:cols w:space="708"/>
          <w:titlePg/>
          <w:docGrid w:linePitch="360"/>
        </w:sectPr>
      </w:pPr>
    </w:p>
    <w:p w14:paraId="5F77722B" w14:textId="77777777" w:rsidR="00236F9A" w:rsidRPr="009C3888" w:rsidRDefault="00236F9A" w:rsidP="00860C4E">
      <w:pPr>
        <w:sectPr w:rsidR="00236F9A" w:rsidRPr="009C3888" w:rsidSect="009559B5">
          <w:headerReference w:type="default" r:id="rId11"/>
          <w:footerReference w:type="default" r:id="rId12"/>
          <w:pgSz w:w="11907" w:h="16839" w:code="9"/>
          <w:pgMar w:top="1440" w:right="1440" w:bottom="1440" w:left="1440" w:header="708" w:footer="708" w:gutter="0"/>
          <w:pgNumType w:start="1"/>
          <w:cols w:space="708"/>
          <w:docGrid w:linePitch="360"/>
        </w:sectPr>
      </w:pPr>
    </w:p>
    <w:p w14:paraId="0463B89C" w14:textId="3A915772" w:rsidR="00CC158D" w:rsidRPr="009C3888" w:rsidRDefault="00860C4E" w:rsidP="00CC158D">
      <w:pPr>
        <w:pStyle w:val="COUNSELDETAILS"/>
      </w:pPr>
      <w:r w:rsidRPr="009C3888">
        <w:t>For the Applicant:</w:t>
      </w:r>
    </w:p>
    <w:p w14:paraId="00ADFC1D" w14:textId="308D2FFC" w:rsidR="00860C4E" w:rsidRPr="009C3888" w:rsidRDefault="00860C4E" w:rsidP="00CC158D">
      <w:pPr>
        <w:pStyle w:val="COUNSELDETAILS"/>
      </w:pPr>
    </w:p>
    <w:p w14:paraId="2DAD83EE" w14:textId="3376B136" w:rsidR="00860C4E" w:rsidRPr="009C3888" w:rsidRDefault="00860C4E" w:rsidP="00CC158D">
      <w:pPr>
        <w:pStyle w:val="COUNSELDETAILS"/>
      </w:pPr>
    </w:p>
    <w:p w14:paraId="74AB1F6B" w14:textId="6B793636" w:rsidR="00860C4E" w:rsidRPr="009C3888" w:rsidRDefault="00860C4E" w:rsidP="00CC158D">
      <w:pPr>
        <w:pStyle w:val="COUNSELDETAILS"/>
      </w:pPr>
    </w:p>
    <w:p w14:paraId="527BC964" w14:textId="3B2C77C4" w:rsidR="00847348" w:rsidRDefault="00847348" w:rsidP="00847348">
      <w:pPr>
        <w:pStyle w:val="COUNSELDETAILS"/>
      </w:pPr>
      <w:r>
        <w:t>For the Second to Fourth Respondents:</w:t>
      </w:r>
    </w:p>
    <w:p w14:paraId="55A1D194" w14:textId="33FB6595" w:rsidR="00860C4E" w:rsidRDefault="00860C4E" w:rsidP="00CC158D">
      <w:pPr>
        <w:pStyle w:val="COUNSELDETAILS"/>
      </w:pPr>
    </w:p>
    <w:p w14:paraId="38F337B0" w14:textId="4E74D4A1" w:rsidR="00C77874" w:rsidRDefault="00C77874" w:rsidP="00CC158D">
      <w:pPr>
        <w:pStyle w:val="COUNSELDETAILS"/>
      </w:pPr>
    </w:p>
    <w:p w14:paraId="3BF1F548" w14:textId="730DF39C" w:rsidR="00860C4E" w:rsidRPr="009C3888" w:rsidRDefault="00860C4E" w:rsidP="00CC158D">
      <w:pPr>
        <w:pStyle w:val="COUNSELDETAILS"/>
      </w:pPr>
    </w:p>
    <w:p w14:paraId="4C5B8ED1" w14:textId="3EBE5561" w:rsidR="00295C91" w:rsidRPr="009C3888" w:rsidRDefault="00236F9A" w:rsidP="00CC158D">
      <w:pPr>
        <w:pStyle w:val="COUNSELDETAILS"/>
      </w:pPr>
      <w:r w:rsidRPr="009C3888">
        <w:br w:type="column"/>
      </w:r>
      <w:r w:rsidR="00847348">
        <w:t xml:space="preserve">S </w:t>
      </w:r>
      <w:r w:rsidR="00563BBE">
        <w:t xml:space="preserve">S </w:t>
      </w:r>
      <w:r w:rsidR="00847348">
        <w:t xml:space="preserve">Tebeile, L </w:t>
      </w:r>
      <w:r w:rsidR="00563BBE">
        <w:t xml:space="preserve">V </w:t>
      </w:r>
      <w:r w:rsidR="00847348">
        <w:t>M</w:t>
      </w:r>
      <w:r w:rsidR="009A2E8B">
        <w:t>a</w:t>
      </w:r>
      <w:r w:rsidR="00847348">
        <w:t xml:space="preserve">kofane, I </w:t>
      </w:r>
      <w:r w:rsidR="00563BBE">
        <w:t xml:space="preserve">R </w:t>
      </w:r>
      <w:r w:rsidR="00847348">
        <w:t>Kekana and L</w:t>
      </w:r>
      <w:r w:rsidR="00563BBE">
        <w:t xml:space="preserve"> B </w:t>
      </w:r>
      <w:r w:rsidR="00847348">
        <w:t>Moshoeu instructed by Israel Maenetja Attorneys</w:t>
      </w:r>
    </w:p>
    <w:p w14:paraId="6F82C296" w14:textId="59A1733E" w:rsidR="00860C4E" w:rsidRPr="009C3888" w:rsidRDefault="00860C4E" w:rsidP="00CC158D">
      <w:pPr>
        <w:pStyle w:val="COUNSELDETAILS"/>
      </w:pPr>
    </w:p>
    <w:p w14:paraId="066FEC75" w14:textId="021BE334" w:rsidR="00860C4E" w:rsidRPr="009C3888" w:rsidRDefault="00847348" w:rsidP="00CC158D">
      <w:pPr>
        <w:pStyle w:val="COUNSELDETAILS"/>
      </w:pPr>
      <w:r>
        <w:t xml:space="preserve">E </w:t>
      </w:r>
      <w:r w:rsidR="00563BBE">
        <w:t xml:space="preserve">N </w:t>
      </w:r>
      <w:r>
        <w:t>Gaisa instructed by the State Attorney, Polokwane</w:t>
      </w:r>
    </w:p>
    <w:p w14:paraId="0ECEF0A4" w14:textId="77777777" w:rsidR="00860C4E" w:rsidRPr="009C3888" w:rsidRDefault="00860C4E" w:rsidP="00CC158D">
      <w:pPr>
        <w:pStyle w:val="COUNSELDETAILS"/>
      </w:pPr>
    </w:p>
    <w:sectPr w:rsidR="00860C4E" w:rsidRPr="009C3888" w:rsidSect="009559B5">
      <w:type w:val="continuous"/>
      <w:pgSz w:w="11907" w:h="16839" w:code="9"/>
      <w:pgMar w:top="1440" w:right="1440" w:bottom="1440" w:left="1440" w:header="708" w:footer="708" w:gutter="0"/>
      <w:pgNumType w:start="1"/>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5F7DE5" w14:textId="77777777" w:rsidR="00DE3EF0" w:rsidRDefault="00DE3EF0" w:rsidP="00E4607C">
      <w:pPr>
        <w:spacing w:line="240" w:lineRule="auto"/>
      </w:pPr>
      <w:r>
        <w:separator/>
      </w:r>
    </w:p>
  </w:endnote>
  <w:endnote w:type="continuationSeparator" w:id="0">
    <w:p w14:paraId="3A513C91" w14:textId="77777777" w:rsidR="00DE3EF0" w:rsidRDefault="00DE3EF0" w:rsidP="00E460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CDA33" w14:textId="14D28A9F" w:rsidR="00890107" w:rsidRDefault="00890107" w:rsidP="0087217E">
    <w:pPr>
      <w:pStyle w:val="Footer"/>
      <w:jc w:val="center"/>
    </w:pPr>
    <w:r>
      <w:fldChar w:fldCharType="begin"/>
    </w:r>
    <w:r>
      <w:instrText xml:space="preserve"> PAGE   \* MERGEFORMAT </w:instrText>
    </w:r>
    <w:r>
      <w:fldChar w:fldCharType="separate"/>
    </w:r>
    <w:r w:rsidR="00200AE0">
      <w:rPr>
        <w:noProof/>
      </w:rPr>
      <w:t>18</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4341A" w14:textId="77777777" w:rsidR="00890107" w:rsidRDefault="00890107" w:rsidP="0087217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576532" w14:textId="77777777" w:rsidR="00DE3EF0" w:rsidRDefault="00DE3EF0" w:rsidP="00E4607C">
      <w:pPr>
        <w:spacing w:line="240" w:lineRule="auto"/>
      </w:pPr>
      <w:r>
        <w:separator/>
      </w:r>
    </w:p>
  </w:footnote>
  <w:footnote w:type="continuationSeparator" w:id="0">
    <w:p w14:paraId="5D510A48" w14:textId="77777777" w:rsidR="00DE3EF0" w:rsidRDefault="00DE3EF0" w:rsidP="00E4607C">
      <w:pPr>
        <w:spacing w:line="240" w:lineRule="auto"/>
      </w:pPr>
      <w:r>
        <w:continuationSeparator/>
      </w:r>
    </w:p>
  </w:footnote>
  <w:footnote w:id="1">
    <w:p w14:paraId="317186D9" w14:textId="0755C207" w:rsidR="00890107" w:rsidRDefault="00890107" w:rsidP="00E64902">
      <w:pPr>
        <w:pStyle w:val="FootnoteText"/>
        <w:rPr>
          <w:lang w:val="en-GB"/>
        </w:rPr>
      </w:pPr>
      <w:r>
        <w:rPr>
          <w:rStyle w:val="FootnoteReference"/>
        </w:rPr>
        <w:footnoteRef/>
      </w:r>
      <w:r>
        <w:t xml:space="preserve"> </w:t>
      </w:r>
      <w:r>
        <w:rPr>
          <w:lang w:val="en-GB"/>
        </w:rPr>
        <w:t xml:space="preserve">This Court has spoken </w:t>
      </w:r>
      <w:r w:rsidR="006642C1">
        <w:rPr>
          <w:lang w:val="en-GB"/>
        </w:rPr>
        <w:t xml:space="preserve">before </w:t>
      </w:r>
      <w:r>
        <w:rPr>
          <w:lang w:val="en-GB"/>
        </w:rPr>
        <w:t xml:space="preserve">of the </w:t>
      </w:r>
      <w:r w:rsidR="00FA5D42">
        <w:rPr>
          <w:lang w:val="en-GB"/>
        </w:rPr>
        <w:t xml:space="preserve">important </w:t>
      </w:r>
      <w:r>
        <w:rPr>
          <w:lang w:val="en-GB"/>
        </w:rPr>
        <w:t xml:space="preserve">transformative nature of education for </w:t>
      </w:r>
      <w:r w:rsidR="00FA5D42">
        <w:rPr>
          <w:lang w:val="en-GB"/>
        </w:rPr>
        <w:t xml:space="preserve">individuals and for </w:t>
      </w:r>
      <w:r>
        <w:rPr>
          <w:lang w:val="en-GB"/>
        </w:rPr>
        <w:t>our society</w:t>
      </w:r>
      <w:r w:rsidR="00FA5D42">
        <w:rPr>
          <w:lang w:val="en-GB"/>
        </w:rPr>
        <w:t xml:space="preserve"> in general</w:t>
      </w:r>
      <w:r>
        <w:rPr>
          <w:lang w:val="en-GB"/>
        </w:rPr>
        <w:t xml:space="preserve">.  </w:t>
      </w:r>
      <w:r w:rsidR="006642C1">
        <w:rPr>
          <w:lang w:val="en-GB"/>
        </w:rPr>
        <w:t>S</w:t>
      </w:r>
      <w:r>
        <w:rPr>
          <w:lang w:val="en-GB"/>
        </w:rPr>
        <w:t xml:space="preserve">ee </w:t>
      </w:r>
      <w:r w:rsidR="007B0673" w:rsidRPr="007B0673">
        <w:rPr>
          <w:i/>
          <w:iCs/>
          <w:lang w:val="en-GB"/>
        </w:rPr>
        <w:t>AB v</w:t>
      </w:r>
      <w:r w:rsidR="007B0673">
        <w:rPr>
          <w:lang w:val="en-GB"/>
        </w:rPr>
        <w:t xml:space="preserve"> </w:t>
      </w:r>
      <w:r w:rsidR="007B0673">
        <w:rPr>
          <w:i/>
          <w:iCs/>
          <w:lang w:val="en-GB"/>
        </w:rPr>
        <w:t xml:space="preserve">Pridwin </w:t>
      </w:r>
      <w:r w:rsidR="007B0673" w:rsidRPr="007B0673">
        <w:rPr>
          <w:i/>
          <w:iCs/>
          <w:lang w:val="en-GB"/>
        </w:rPr>
        <w:t xml:space="preserve">Preparatory School </w:t>
      </w:r>
      <w:r w:rsidR="007B0673" w:rsidRPr="007B0673">
        <w:rPr>
          <w:lang w:val="en-GB"/>
        </w:rPr>
        <w:t xml:space="preserve">[2020] ZACC 12; </w:t>
      </w:r>
      <w:r w:rsidR="00C365C3" w:rsidRPr="007B0673">
        <w:rPr>
          <w:lang w:val="en-GB"/>
        </w:rPr>
        <w:t>2020 (5) SA 327 (CC)</w:t>
      </w:r>
      <w:r w:rsidR="00C365C3">
        <w:rPr>
          <w:lang w:val="en-GB"/>
        </w:rPr>
        <w:t>;</w:t>
      </w:r>
      <w:r w:rsidR="00C365C3" w:rsidRPr="007B0673">
        <w:rPr>
          <w:lang w:val="en-GB"/>
        </w:rPr>
        <w:t xml:space="preserve"> </w:t>
      </w:r>
      <w:r w:rsidR="007B0673" w:rsidRPr="007B0673">
        <w:rPr>
          <w:lang w:val="en-GB"/>
        </w:rPr>
        <w:t xml:space="preserve">2020 (9) BCLR 1029 (CC) </w:t>
      </w:r>
      <w:r w:rsidR="00381048">
        <w:rPr>
          <w:lang w:val="en-GB"/>
        </w:rPr>
        <w:t>(</w:t>
      </w:r>
      <w:r w:rsidR="00381048" w:rsidRPr="00381048">
        <w:rPr>
          <w:i/>
          <w:iCs/>
          <w:lang w:val="en-GB"/>
        </w:rPr>
        <w:t>Pridwin</w:t>
      </w:r>
      <w:r w:rsidR="00381048">
        <w:rPr>
          <w:lang w:val="en-GB"/>
        </w:rPr>
        <w:t xml:space="preserve">) </w:t>
      </w:r>
      <w:r w:rsidR="007B0673" w:rsidRPr="00381048">
        <w:rPr>
          <w:lang w:val="en-GB"/>
        </w:rPr>
        <w:t>at</w:t>
      </w:r>
      <w:r w:rsidR="007B0673">
        <w:rPr>
          <w:lang w:val="en-GB"/>
        </w:rPr>
        <w:t xml:space="preserve"> para</w:t>
      </w:r>
      <w:r w:rsidR="005078C5">
        <w:rPr>
          <w:lang w:val="en-GB"/>
        </w:rPr>
        <w:t>s 1 and</w:t>
      </w:r>
      <w:r w:rsidR="007B0673">
        <w:rPr>
          <w:lang w:val="en-GB"/>
        </w:rPr>
        <w:t xml:space="preserve"> 158 and </w:t>
      </w:r>
      <w:r w:rsidRPr="00A249CF">
        <w:rPr>
          <w:i/>
          <w:iCs/>
          <w:lang w:val="en-GB"/>
        </w:rPr>
        <w:t>Governing</w:t>
      </w:r>
      <w:r w:rsidRPr="00E64902">
        <w:rPr>
          <w:i/>
          <w:iCs/>
          <w:lang w:val="en-GB"/>
        </w:rPr>
        <w:t xml:space="preserve"> Body of the Juma Musjid Primary School v Essay N</w:t>
      </w:r>
      <w:r>
        <w:rPr>
          <w:i/>
          <w:iCs/>
          <w:lang w:val="en-GB"/>
        </w:rPr>
        <w:t>.</w:t>
      </w:r>
      <w:r w:rsidRPr="00E64902">
        <w:rPr>
          <w:i/>
          <w:iCs/>
          <w:lang w:val="en-GB"/>
        </w:rPr>
        <w:t>O</w:t>
      </w:r>
      <w:r>
        <w:rPr>
          <w:i/>
          <w:iCs/>
          <w:lang w:val="en-GB"/>
        </w:rPr>
        <w:t>.</w:t>
      </w:r>
      <w:r w:rsidRPr="00E64902">
        <w:rPr>
          <w:i/>
          <w:iCs/>
          <w:lang w:val="en-GB"/>
        </w:rPr>
        <w:t xml:space="preserve"> </w:t>
      </w:r>
      <w:r w:rsidRPr="00E64902">
        <w:rPr>
          <w:lang w:val="en-GB"/>
        </w:rPr>
        <w:t>[2011] ZACC 13; 2011 JDR 0343 (CC);</w:t>
      </w:r>
      <w:r>
        <w:rPr>
          <w:lang w:val="en-GB"/>
        </w:rPr>
        <w:t xml:space="preserve"> </w:t>
      </w:r>
      <w:r w:rsidRPr="00E64902">
        <w:rPr>
          <w:lang w:val="en-GB"/>
        </w:rPr>
        <w:t>2011 (8) BCLR 761 (CC</w:t>
      </w:r>
      <w:r>
        <w:rPr>
          <w:lang w:val="en-GB"/>
        </w:rPr>
        <w:t>)</w:t>
      </w:r>
      <w:r w:rsidRPr="00E64902">
        <w:rPr>
          <w:i/>
          <w:iCs/>
          <w:lang w:val="en-GB"/>
        </w:rPr>
        <w:t xml:space="preserve"> </w:t>
      </w:r>
      <w:r w:rsidRPr="00E64902">
        <w:rPr>
          <w:lang w:val="en-GB"/>
        </w:rPr>
        <w:t>(</w:t>
      </w:r>
      <w:r w:rsidRPr="00E64902">
        <w:rPr>
          <w:i/>
          <w:iCs/>
          <w:lang w:val="en-GB"/>
        </w:rPr>
        <w:t>Juma Musjid</w:t>
      </w:r>
      <w:r w:rsidRPr="00E64902">
        <w:rPr>
          <w:lang w:val="en-GB"/>
        </w:rPr>
        <w:t>)</w:t>
      </w:r>
      <w:r>
        <w:rPr>
          <w:lang w:val="en-GB"/>
        </w:rPr>
        <w:t xml:space="preserve"> at paras 42-3</w:t>
      </w:r>
      <w:r w:rsidR="007B0673">
        <w:rPr>
          <w:lang w:val="en-GB"/>
        </w:rPr>
        <w:t xml:space="preserve"> where this Court held that:</w:t>
      </w:r>
    </w:p>
    <w:p w14:paraId="0A38114F" w14:textId="3A609266" w:rsidR="007B0673" w:rsidRPr="00604DD6" w:rsidRDefault="007B0673" w:rsidP="007B0673">
      <w:pPr>
        <w:pStyle w:val="QUOTEINFOOTNOTE"/>
        <w:rPr>
          <w:lang w:val="en-GB"/>
        </w:rPr>
      </w:pPr>
      <w:r>
        <w:rPr>
          <w:lang w:val="en-GB"/>
        </w:rPr>
        <w:t>“</w:t>
      </w:r>
      <w:r w:rsidRPr="007B0673">
        <w:rPr>
          <w:lang w:val="en-GB"/>
        </w:rPr>
        <w:t>The significance of education, in particular basic education</w:t>
      </w:r>
      <w:r w:rsidR="00464779">
        <w:rPr>
          <w:lang w:val="en-GB"/>
        </w:rPr>
        <w:t>,</w:t>
      </w:r>
      <w:r w:rsidRPr="007B0673">
        <w:rPr>
          <w:lang w:val="en-GB"/>
        </w:rPr>
        <w:t xml:space="preserve"> for individual and</w:t>
      </w:r>
      <w:r>
        <w:rPr>
          <w:lang w:val="en-GB"/>
        </w:rPr>
        <w:t xml:space="preserve"> </w:t>
      </w:r>
      <w:r w:rsidRPr="007B0673">
        <w:rPr>
          <w:lang w:val="en-GB"/>
        </w:rPr>
        <w:t>societal development in our democratic dispensation in the light of the legacy of</w:t>
      </w:r>
      <w:r>
        <w:rPr>
          <w:lang w:val="en-GB"/>
        </w:rPr>
        <w:t xml:space="preserve"> </w:t>
      </w:r>
      <w:r w:rsidRPr="007B0673">
        <w:rPr>
          <w:lang w:val="en-GB"/>
        </w:rPr>
        <w:t>apartheid,</w:t>
      </w:r>
      <w:r>
        <w:rPr>
          <w:lang w:val="en-GB"/>
        </w:rPr>
        <w:t xml:space="preserve"> </w:t>
      </w:r>
      <w:r w:rsidRPr="007B0673">
        <w:rPr>
          <w:lang w:val="en-GB"/>
        </w:rPr>
        <w:t>cannot be overlooked</w:t>
      </w:r>
      <w:r>
        <w:rPr>
          <w:lang w:val="en-GB"/>
        </w:rPr>
        <w:t>. . . .</w:t>
      </w:r>
      <w:r w:rsidR="00CF50A8">
        <w:rPr>
          <w:lang w:val="en-GB"/>
        </w:rPr>
        <w:t xml:space="preserve"> </w:t>
      </w:r>
      <w:r>
        <w:rPr>
          <w:lang w:val="en-GB"/>
        </w:rPr>
        <w:t xml:space="preserve"> [B]</w:t>
      </w:r>
      <w:r w:rsidRPr="007B0673">
        <w:rPr>
          <w:lang w:val="en-GB"/>
        </w:rPr>
        <w:t>asic education is an important socio-economic right directed, among other</w:t>
      </w:r>
      <w:r>
        <w:rPr>
          <w:lang w:val="en-GB"/>
        </w:rPr>
        <w:t xml:space="preserve"> t</w:t>
      </w:r>
      <w:r w:rsidRPr="007B0673">
        <w:rPr>
          <w:lang w:val="en-GB"/>
        </w:rPr>
        <w:t>hings, at promoting and developing a child</w:t>
      </w:r>
      <w:r>
        <w:rPr>
          <w:lang w:val="en-GB"/>
        </w:rPr>
        <w:t>’</w:t>
      </w:r>
      <w:r w:rsidRPr="007B0673">
        <w:rPr>
          <w:lang w:val="en-GB"/>
        </w:rPr>
        <w:t>s personality, talents and mental and physical</w:t>
      </w:r>
      <w:r>
        <w:rPr>
          <w:lang w:val="en-GB"/>
        </w:rPr>
        <w:t xml:space="preserve"> </w:t>
      </w:r>
      <w:r w:rsidRPr="007B0673">
        <w:rPr>
          <w:lang w:val="en-GB"/>
        </w:rPr>
        <w:t>abilities to his or her fullest potential</w:t>
      </w:r>
      <w:r>
        <w:rPr>
          <w:lang w:val="en-GB"/>
        </w:rPr>
        <w:t xml:space="preserve">.  </w:t>
      </w:r>
      <w:r w:rsidRPr="007B0673">
        <w:rPr>
          <w:lang w:val="en-GB"/>
        </w:rPr>
        <w:t>Basic education also provides a foundation for a</w:t>
      </w:r>
      <w:r>
        <w:rPr>
          <w:lang w:val="en-GB"/>
        </w:rPr>
        <w:t xml:space="preserve"> </w:t>
      </w:r>
      <w:r w:rsidRPr="007B0673">
        <w:rPr>
          <w:lang w:val="en-GB"/>
        </w:rPr>
        <w:t>child</w:t>
      </w:r>
      <w:r>
        <w:rPr>
          <w:lang w:val="en-GB"/>
        </w:rPr>
        <w:t>’</w:t>
      </w:r>
      <w:r w:rsidRPr="007B0673">
        <w:rPr>
          <w:lang w:val="en-GB"/>
        </w:rPr>
        <w:t>s lifetime learning and work opportunities.</w:t>
      </w:r>
      <w:r>
        <w:rPr>
          <w:lang w:val="en-GB"/>
        </w:rPr>
        <w:t>”</w:t>
      </w:r>
    </w:p>
  </w:footnote>
  <w:footnote w:id="2">
    <w:p w14:paraId="3191285A" w14:textId="5EF782DE" w:rsidR="00890107" w:rsidRPr="0014473A" w:rsidRDefault="00890107" w:rsidP="00202EEA">
      <w:pPr>
        <w:pStyle w:val="FootnoteText"/>
        <w:rPr>
          <w:lang w:val="en-GB"/>
        </w:rPr>
      </w:pPr>
      <w:r>
        <w:rPr>
          <w:rStyle w:val="FootnoteReference"/>
        </w:rPr>
        <w:footnoteRef/>
      </w:r>
      <w:r>
        <w:t xml:space="preserve"> </w:t>
      </w:r>
      <w:r w:rsidR="006114F7">
        <w:rPr>
          <w:lang w:val="en-GB"/>
        </w:rPr>
        <w:t>As</w:t>
      </w:r>
      <w:r>
        <w:rPr>
          <w:lang w:val="en-GB"/>
        </w:rPr>
        <w:t xml:space="preserve"> none of the respondents oppose</w:t>
      </w:r>
      <w:r w:rsidR="00464779">
        <w:rPr>
          <w:lang w:val="en-GB"/>
        </w:rPr>
        <w:t>d</w:t>
      </w:r>
      <w:r>
        <w:rPr>
          <w:lang w:val="en-GB"/>
        </w:rPr>
        <w:t xml:space="preserve"> this matter or wished to advance an alternative set of facts to those described by the applicant in his papers</w:t>
      </w:r>
      <w:r w:rsidR="006114F7">
        <w:rPr>
          <w:lang w:val="en-GB"/>
        </w:rPr>
        <w:t>, it is</w:t>
      </w:r>
      <w:r w:rsidR="00C24B71">
        <w:rPr>
          <w:lang w:val="en-GB"/>
        </w:rPr>
        <w:t xml:space="preserve"> </w:t>
      </w:r>
      <w:r w:rsidR="000C638A">
        <w:rPr>
          <w:lang w:val="en-GB"/>
        </w:rPr>
        <w:t xml:space="preserve">the set of </w:t>
      </w:r>
      <w:r>
        <w:rPr>
          <w:lang w:val="en-GB"/>
        </w:rPr>
        <w:t xml:space="preserve">facts </w:t>
      </w:r>
      <w:r w:rsidR="000C638A">
        <w:rPr>
          <w:lang w:val="en-GB"/>
        </w:rPr>
        <w:t xml:space="preserve">given by the applicant </w:t>
      </w:r>
      <w:r>
        <w:rPr>
          <w:lang w:val="en-GB"/>
        </w:rPr>
        <w:t>that I outline in this judgment.</w:t>
      </w:r>
    </w:p>
  </w:footnote>
  <w:footnote w:id="3">
    <w:p w14:paraId="2D0BFEE0" w14:textId="46DA9B88" w:rsidR="00890107" w:rsidRPr="00672785" w:rsidRDefault="00890107">
      <w:pPr>
        <w:pStyle w:val="FootnoteText"/>
        <w:rPr>
          <w:lang w:val="en-GB"/>
        </w:rPr>
      </w:pPr>
      <w:r>
        <w:rPr>
          <w:rStyle w:val="FootnoteReference"/>
        </w:rPr>
        <w:footnoteRef/>
      </w:r>
      <w:r>
        <w:t xml:space="preserve"> </w:t>
      </w:r>
      <w:r>
        <w:rPr>
          <w:lang w:val="en-GB"/>
        </w:rPr>
        <w:t xml:space="preserve">One of the </w:t>
      </w:r>
      <w:r w:rsidR="00BE5C07">
        <w:rPr>
          <w:lang w:val="en-GB"/>
        </w:rPr>
        <w:t xml:space="preserve">learners </w:t>
      </w:r>
      <w:r>
        <w:rPr>
          <w:lang w:val="en-GB"/>
        </w:rPr>
        <w:t>was allowed in</w:t>
      </w:r>
      <w:r w:rsidR="00E12D85">
        <w:rPr>
          <w:lang w:val="en-GB"/>
        </w:rPr>
        <w:t>to the school</w:t>
      </w:r>
      <w:r>
        <w:rPr>
          <w:lang w:val="en-GB"/>
        </w:rPr>
        <w:t xml:space="preserve">, after a discussion with the first respondent, and the other left and returned to the school with his parents, after which that </w:t>
      </w:r>
      <w:r w:rsidR="00BE5C07">
        <w:rPr>
          <w:lang w:val="en-GB"/>
        </w:rPr>
        <w:t xml:space="preserve">learner </w:t>
      </w:r>
      <w:r>
        <w:rPr>
          <w:lang w:val="en-GB"/>
        </w:rPr>
        <w:t>was allowed to write the examination.</w:t>
      </w:r>
    </w:p>
  </w:footnote>
  <w:footnote w:id="4">
    <w:p w14:paraId="695197F6" w14:textId="488C73FF" w:rsidR="00890107" w:rsidRPr="000338E4" w:rsidRDefault="00890107">
      <w:pPr>
        <w:pStyle w:val="FootnoteText"/>
        <w:rPr>
          <w:lang w:val="en-GB"/>
        </w:rPr>
      </w:pPr>
      <w:r>
        <w:rPr>
          <w:rStyle w:val="FootnoteReference"/>
        </w:rPr>
        <w:footnoteRef/>
      </w:r>
      <w:r>
        <w:t xml:space="preserve"> </w:t>
      </w:r>
      <w:r>
        <w:rPr>
          <w:lang w:val="en-GB"/>
        </w:rPr>
        <w:t>The applicant informs us that the school gates are locked for security reasons during the school day.</w:t>
      </w:r>
    </w:p>
  </w:footnote>
  <w:footnote w:id="5">
    <w:p w14:paraId="5817E8AE" w14:textId="2E44640D" w:rsidR="00890107" w:rsidRPr="00F33071" w:rsidRDefault="00890107" w:rsidP="00F33071">
      <w:pPr>
        <w:pStyle w:val="FootnoteText"/>
        <w:rPr>
          <w:lang w:val="en-GB"/>
        </w:rPr>
      </w:pPr>
      <w:r>
        <w:rPr>
          <w:rStyle w:val="FootnoteReference"/>
        </w:rPr>
        <w:footnoteRef/>
      </w:r>
      <w:r>
        <w:t xml:space="preserve"> Section 167(3)(b)(i) of the Constitution states that “[t]he Constitutional Court may decide constitutional matters”.  </w:t>
      </w:r>
      <w:r>
        <w:rPr>
          <w:lang w:val="en-GB"/>
        </w:rPr>
        <w:t>Section 167(7) goes on to state that “[a] constitutional matter includes any issue involving the interpretation, protection or enforcement of the Constitution”.</w:t>
      </w:r>
    </w:p>
  </w:footnote>
  <w:footnote w:id="6">
    <w:p w14:paraId="0BE8FDBF" w14:textId="0B70A082" w:rsidR="00890107" w:rsidRPr="00B111F2" w:rsidRDefault="00890107" w:rsidP="00B111F2">
      <w:pPr>
        <w:pStyle w:val="FootnoteText"/>
      </w:pPr>
      <w:r>
        <w:rPr>
          <w:rStyle w:val="FootnoteReference"/>
        </w:rPr>
        <w:footnoteRef/>
      </w:r>
      <w:r>
        <w:t xml:space="preserve"> </w:t>
      </w:r>
      <w:r w:rsidR="003C4665" w:rsidRPr="007B7CC0">
        <w:rPr>
          <w:i/>
          <w:iCs/>
        </w:rPr>
        <w:t xml:space="preserve">Mazibuko </w:t>
      </w:r>
      <w:r w:rsidR="003C4665">
        <w:rPr>
          <w:i/>
          <w:iCs/>
        </w:rPr>
        <w:t xml:space="preserve">N.O. </w:t>
      </w:r>
      <w:r w:rsidR="003C4665" w:rsidRPr="007B7CC0">
        <w:rPr>
          <w:i/>
          <w:iCs/>
        </w:rPr>
        <w:t xml:space="preserve">v Sisulu </w:t>
      </w:r>
      <w:r w:rsidR="003C4665" w:rsidRPr="007B7CC0">
        <w:t>[2013] ZACC 28; 2013 (6) SA 249 (CC); 2013 (11) BCLR 1</w:t>
      </w:r>
      <w:r w:rsidR="003C4665" w:rsidRPr="00B10121">
        <w:t xml:space="preserve">297 </w:t>
      </w:r>
      <w:r w:rsidR="003C4665" w:rsidRPr="007B7CC0">
        <w:t xml:space="preserve">(CC) </w:t>
      </w:r>
      <w:r w:rsidR="00EA2D06">
        <w:t>(</w:t>
      </w:r>
      <w:r w:rsidR="00EA2D06" w:rsidRPr="00EA2D06">
        <w:rPr>
          <w:i/>
          <w:iCs/>
        </w:rPr>
        <w:t>Mazibuko</w:t>
      </w:r>
      <w:r w:rsidR="00EA2D06">
        <w:t xml:space="preserve">) </w:t>
      </w:r>
      <w:r w:rsidR="003C4665" w:rsidRPr="00EA2D06">
        <w:t>at</w:t>
      </w:r>
      <w:r w:rsidR="003C4665">
        <w:t xml:space="preserve"> para 35; </w:t>
      </w:r>
      <w:r w:rsidRPr="00D34CA5">
        <w:rPr>
          <w:i/>
          <w:iCs/>
        </w:rPr>
        <w:t>Christian Education South Africa v Minister of Education</w:t>
      </w:r>
      <w:r w:rsidRPr="00D34CA5">
        <w:t xml:space="preserve"> [1998] ZACC 16; 1999 (2) SA 83</w:t>
      </w:r>
      <w:r w:rsidR="00C345E5">
        <w:t xml:space="preserve"> (CC)</w:t>
      </w:r>
      <w:r w:rsidRPr="00D34CA5">
        <w:t>; 1998 (12) BCLR 1449</w:t>
      </w:r>
      <w:r>
        <w:t xml:space="preserve"> </w:t>
      </w:r>
      <w:r w:rsidR="00E50F7F">
        <w:t xml:space="preserve">(CC) </w:t>
      </w:r>
      <w:r>
        <w:t xml:space="preserve">at para 4; </w:t>
      </w:r>
      <w:r w:rsidRPr="00B111F2">
        <w:rPr>
          <w:i/>
          <w:iCs/>
        </w:rPr>
        <w:t>Bruce v Fleecytex Johannesburg CC</w:t>
      </w:r>
      <w:r w:rsidRPr="00B111F2">
        <w:t xml:space="preserve"> [1998] ZACC 3; 1998 (2) SA</w:t>
      </w:r>
      <w:r w:rsidR="00ED122A">
        <w:t xml:space="preserve"> </w:t>
      </w:r>
      <w:r w:rsidRPr="00B111F2">
        <w:t>1143</w:t>
      </w:r>
      <w:r w:rsidR="00E22CEF">
        <w:t xml:space="preserve"> (CC)</w:t>
      </w:r>
      <w:r w:rsidRPr="00B111F2">
        <w:t>; 1998 (4) BCLR 415</w:t>
      </w:r>
      <w:r>
        <w:t xml:space="preserve"> </w:t>
      </w:r>
      <w:r w:rsidR="00E22CEF">
        <w:t xml:space="preserve">(CC) </w:t>
      </w:r>
      <w:r>
        <w:t xml:space="preserve">at para 4; </w:t>
      </w:r>
      <w:r w:rsidRPr="00B111F2">
        <w:rPr>
          <w:i/>
          <w:iCs/>
        </w:rPr>
        <w:t>Besserglik v Minister of Trade</w:t>
      </w:r>
      <w:r w:rsidR="00D87315">
        <w:rPr>
          <w:i/>
          <w:iCs/>
        </w:rPr>
        <w:t>,</w:t>
      </w:r>
      <w:r w:rsidRPr="00B111F2">
        <w:rPr>
          <w:i/>
          <w:iCs/>
        </w:rPr>
        <w:t xml:space="preserve"> Industry and Tourism</w:t>
      </w:r>
      <w:r w:rsidRPr="00B111F2">
        <w:t xml:space="preserve"> </w:t>
      </w:r>
      <w:r w:rsidRPr="00B111F2">
        <w:rPr>
          <w:i/>
          <w:iCs/>
        </w:rPr>
        <w:t>(Minister of Justice intervening)</w:t>
      </w:r>
      <w:r w:rsidRPr="00B111F2">
        <w:t xml:space="preserve"> [1996] ZACC 8; </w:t>
      </w:r>
      <w:r w:rsidR="00ED122A" w:rsidRPr="00B111F2">
        <w:t>1996 (4) SA 331</w:t>
      </w:r>
      <w:r w:rsidR="00ED122A">
        <w:t xml:space="preserve"> (CC); </w:t>
      </w:r>
      <w:r w:rsidRPr="00B111F2">
        <w:t>1996 (6) BCLR 745</w:t>
      </w:r>
      <w:r w:rsidR="00ED122A">
        <w:t xml:space="preserve"> (CC)</w:t>
      </w:r>
      <w:r w:rsidRPr="00B111F2">
        <w:t xml:space="preserve"> </w:t>
      </w:r>
      <w:r>
        <w:t>at para 6</w:t>
      </w:r>
      <w:r w:rsidR="00B10121">
        <w:t>;</w:t>
      </w:r>
      <w:r>
        <w:t xml:space="preserve"> and </w:t>
      </w:r>
      <w:r w:rsidRPr="00B111F2">
        <w:rPr>
          <w:i/>
          <w:iCs/>
        </w:rPr>
        <w:t>S v Zuma</w:t>
      </w:r>
      <w:r>
        <w:t xml:space="preserve"> [1995] ZACC 1; 1995 (2) SA 642 (CC); 1995 (4) BCLR 401 (</w:t>
      </w:r>
      <w:r w:rsidR="00B33DA1">
        <w:t>CC</w:t>
      </w:r>
      <w:r>
        <w:t>) at para 11.</w:t>
      </w:r>
    </w:p>
  </w:footnote>
  <w:footnote w:id="7">
    <w:p w14:paraId="38A9FE5F" w14:textId="624FEB69" w:rsidR="00890107" w:rsidRPr="00D34CA5" w:rsidRDefault="00890107">
      <w:pPr>
        <w:pStyle w:val="FootnoteText"/>
        <w:rPr>
          <w:lang w:val="en-GB"/>
        </w:rPr>
      </w:pPr>
      <w:r>
        <w:rPr>
          <w:rStyle w:val="FootnoteReference"/>
        </w:rPr>
        <w:footnoteRef/>
      </w:r>
      <w:r>
        <w:t xml:space="preserve"> </w:t>
      </w:r>
      <w:r w:rsidRPr="001C49CA">
        <w:rPr>
          <w:i/>
          <w:iCs/>
        </w:rPr>
        <w:t xml:space="preserve">AParty v Minister </w:t>
      </w:r>
      <w:r w:rsidR="002B4FF7">
        <w:rPr>
          <w:i/>
          <w:iCs/>
        </w:rPr>
        <w:t>of</w:t>
      </w:r>
      <w:r w:rsidRPr="001C49CA">
        <w:rPr>
          <w:i/>
          <w:iCs/>
        </w:rPr>
        <w:t xml:space="preserve"> Home Affairs, Moloko v Minister </w:t>
      </w:r>
      <w:r w:rsidR="002B4FF7">
        <w:rPr>
          <w:i/>
          <w:iCs/>
        </w:rPr>
        <w:t>of</w:t>
      </w:r>
      <w:r w:rsidRPr="001C49CA">
        <w:rPr>
          <w:i/>
          <w:iCs/>
        </w:rPr>
        <w:t xml:space="preserve"> Home Affairs </w:t>
      </w:r>
      <w:r w:rsidRPr="001C49CA">
        <w:t>[2009] ZACC 4; 2009 (3) SA 649 (CC); 2009 (6) BCLR 611 (CC)</w:t>
      </w:r>
      <w:r>
        <w:t xml:space="preserve"> at para 30 and </w:t>
      </w:r>
      <w:r>
        <w:rPr>
          <w:i/>
          <w:iCs/>
        </w:rPr>
        <w:t xml:space="preserve">Bruce </w:t>
      </w:r>
      <w:r>
        <w:t>id at para 9.</w:t>
      </w:r>
    </w:p>
  </w:footnote>
  <w:footnote w:id="8">
    <w:p w14:paraId="032B7C0C" w14:textId="2FC49FA3" w:rsidR="00890107" w:rsidRPr="007B7CC0" w:rsidRDefault="00890107">
      <w:pPr>
        <w:pStyle w:val="FootnoteText"/>
        <w:rPr>
          <w:lang w:val="en-GB"/>
        </w:rPr>
      </w:pPr>
      <w:r>
        <w:rPr>
          <w:rStyle w:val="FootnoteReference"/>
        </w:rPr>
        <w:footnoteRef/>
      </w:r>
      <w:r>
        <w:t xml:space="preserve"> </w:t>
      </w:r>
      <w:r w:rsidR="003F36B3">
        <w:rPr>
          <w:i/>
          <w:iCs/>
        </w:rPr>
        <w:t xml:space="preserve">Bruce </w:t>
      </w:r>
      <w:r w:rsidR="003F36B3">
        <w:t>id at paras 7-8</w:t>
      </w:r>
      <w:r w:rsidR="001A3EE2">
        <w:t xml:space="preserve"> and 19</w:t>
      </w:r>
      <w:r w:rsidR="003F36B3">
        <w:t xml:space="preserve">.  </w:t>
      </w:r>
      <w:r>
        <w:t xml:space="preserve">See, for example, </w:t>
      </w:r>
      <w:r w:rsidRPr="007B7CC0">
        <w:rPr>
          <w:i/>
          <w:iCs/>
        </w:rPr>
        <w:t xml:space="preserve">Mazibuko </w:t>
      </w:r>
      <w:r w:rsidR="003C4665">
        <w:t xml:space="preserve">above n </w:t>
      </w:r>
      <w:r w:rsidR="003C4665">
        <w:fldChar w:fldCharType="begin"/>
      </w:r>
      <w:r w:rsidR="003C4665">
        <w:instrText xml:space="preserve"> NOTEREF _Ref59376190 \h </w:instrText>
      </w:r>
      <w:r w:rsidR="003C4665">
        <w:fldChar w:fldCharType="separate"/>
      </w:r>
      <w:r w:rsidR="003C4665">
        <w:t>6</w:t>
      </w:r>
      <w:r w:rsidR="003C4665">
        <w:fldChar w:fldCharType="end"/>
      </w:r>
      <w:r w:rsidR="003C4665">
        <w:t xml:space="preserve"> at </w:t>
      </w:r>
      <w:r>
        <w:t xml:space="preserve">para 35; </w:t>
      </w:r>
      <w:r>
        <w:rPr>
          <w:i/>
          <w:iCs/>
        </w:rPr>
        <w:t xml:space="preserve">AParty </w:t>
      </w:r>
      <w:r>
        <w:t>id at para 29</w:t>
      </w:r>
      <w:r w:rsidR="00B932EF">
        <w:t>;</w:t>
      </w:r>
      <w:r w:rsidR="002B4FF7">
        <w:t xml:space="preserve"> and</w:t>
      </w:r>
      <w:r>
        <w:t xml:space="preserve"> </w:t>
      </w:r>
      <w:r w:rsidRPr="007B7CC0">
        <w:rPr>
          <w:i/>
          <w:iCs/>
        </w:rPr>
        <w:t xml:space="preserve">Christian Education South Africa </w:t>
      </w:r>
      <w:r>
        <w:t xml:space="preserve">above n </w:t>
      </w:r>
      <w:r>
        <w:fldChar w:fldCharType="begin"/>
      </w:r>
      <w:r>
        <w:instrText xml:space="preserve"> NOTEREF _Ref59376190 \h </w:instrText>
      </w:r>
      <w:r>
        <w:fldChar w:fldCharType="separate"/>
      </w:r>
      <w:r>
        <w:t>6</w:t>
      </w:r>
      <w:r>
        <w:fldChar w:fldCharType="end"/>
      </w:r>
      <w:r w:rsidRPr="007B7CC0">
        <w:t xml:space="preserve"> </w:t>
      </w:r>
      <w:r>
        <w:t>at para 8</w:t>
      </w:r>
      <w:r w:rsidR="002B4FF7">
        <w:t>.</w:t>
      </w:r>
    </w:p>
  </w:footnote>
  <w:footnote w:id="9">
    <w:p w14:paraId="4A459A68" w14:textId="3204F7DC" w:rsidR="00890107" w:rsidRPr="00925697" w:rsidRDefault="00890107">
      <w:pPr>
        <w:pStyle w:val="FootnoteText"/>
        <w:rPr>
          <w:lang w:val="en-GB"/>
        </w:rPr>
      </w:pPr>
      <w:r>
        <w:rPr>
          <w:rStyle w:val="FootnoteReference"/>
        </w:rPr>
        <w:footnoteRef/>
      </w:r>
      <w:r>
        <w:t xml:space="preserve"> </w:t>
      </w:r>
      <w:r>
        <w:rPr>
          <w:i/>
          <w:iCs/>
          <w:lang w:val="en-GB"/>
        </w:rPr>
        <w:t>Bruce</w:t>
      </w:r>
      <w:r>
        <w:rPr>
          <w:lang w:val="en-GB"/>
        </w:rPr>
        <w:t xml:space="preserve"> </w:t>
      </w:r>
      <w:r w:rsidR="003F36B3">
        <w:rPr>
          <w:lang w:val="en-GB"/>
        </w:rPr>
        <w:t xml:space="preserve">id </w:t>
      </w:r>
      <w:r>
        <w:rPr>
          <w:lang w:val="en-GB"/>
        </w:rPr>
        <w:t>at para 7.</w:t>
      </w:r>
    </w:p>
  </w:footnote>
  <w:footnote w:id="10">
    <w:p w14:paraId="41C1850E" w14:textId="2B77F82D" w:rsidR="00890107" w:rsidRPr="00925697" w:rsidRDefault="00890107">
      <w:pPr>
        <w:pStyle w:val="FootnoteText"/>
        <w:rPr>
          <w:lang w:val="en-GB"/>
        </w:rPr>
      </w:pPr>
      <w:r>
        <w:rPr>
          <w:rStyle w:val="FootnoteReference"/>
        </w:rPr>
        <w:footnoteRef/>
      </w:r>
      <w:r>
        <w:t xml:space="preserve"> </w:t>
      </w:r>
      <w:r>
        <w:rPr>
          <w:lang w:val="en-GB"/>
        </w:rPr>
        <w:t>Id at para 8.</w:t>
      </w:r>
    </w:p>
  </w:footnote>
  <w:footnote w:id="11">
    <w:p w14:paraId="7F81F142" w14:textId="7041DC70" w:rsidR="00890107" w:rsidRPr="007F10AB" w:rsidRDefault="00890107">
      <w:pPr>
        <w:pStyle w:val="FootnoteText"/>
        <w:rPr>
          <w:lang w:val="en-GB"/>
        </w:rPr>
      </w:pPr>
      <w:r>
        <w:rPr>
          <w:rStyle w:val="FootnoteReference"/>
        </w:rPr>
        <w:footnoteRef/>
      </w:r>
      <w:r>
        <w:t xml:space="preserve"> </w:t>
      </w:r>
      <w:r>
        <w:rPr>
          <w:i/>
          <w:iCs/>
          <w:lang w:val="en-GB"/>
        </w:rPr>
        <w:t xml:space="preserve">Mazibuko </w:t>
      </w:r>
      <w:r>
        <w:rPr>
          <w:lang w:val="en-GB"/>
        </w:rPr>
        <w:t xml:space="preserve">above n </w:t>
      </w:r>
      <w:r w:rsidR="00774E4C">
        <w:rPr>
          <w:lang w:val="en-GB"/>
        </w:rPr>
        <w:fldChar w:fldCharType="begin"/>
      </w:r>
      <w:r w:rsidR="00774E4C">
        <w:rPr>
          <w:lang w:val="en-GB"/>
        </w:rPr>
        <w:instrText xml:space="preserve"> NOTEREF _Ref59376190 \h </w:instrText>
      </w:r>
      <w:r w:rsidR="00774E4C">
        <w:rPr>
          <w:lang w:val="en-GB"/>
        </w:rPr>
      </w:r>
      <w:r w:rsidR="00774E4C">
        <w:rPr>
          <w:lang w:val="en-GB"/>
        </w:rPr>
        <w:fldChar w:fldCharType="separate"/>
      </w:r>
      <w:r w:rsidR="00774E4C">
        <w:rPr>
          <w:lang w:val="en-GB"/>
        </w:rPr>
        <w:t>6</w:t>
      </w:r>
      <w:r w:rsidR="00774E4C">
        <w:rPr>
          <w:lang w:val="en-GB"/>
        </w:rPr>
        <w:fldChar w:fldCharType="end"/>
      </w:r>
      <w:r>
        <w:rPr>
          <w:lang w:val="en-GB"/>
        </w:rPr>
        <w:t xml:space="preserve"> at para 35.</w:t>
      </w:r>
    </w:p>
  </w:footnote>
  <w:footnote w:id="12">
    <w:p w14:paraId="6955E82C" w14:textId="22042D24" w:rsidR="00890107" w:rsidRPr="00FE11EB" w:rsidRDefault="00890107">
      <w:pPr>
        <w:pStyle w:val="FootnoteText"/>
        <w:rPr>
          <w:lang w:val="en-GB"/>
        </w:rPr>
      </w:pPr>
      <w:r>
        <w:rPr>
          <w:rStyle w:val="FootnoteReference"/>
        </w:rPr>
        <w:footnoteRef/>
      </w:r>
      <w:r>
        <w:t xml:space="preserve"> </w:t>
      </w:r>
      <w:r>
        <w:rPr>
          <w:i/>
          <w:iCs/>
          <w:lang w:val="en-GB"/>
        </w:rPr>
        <w:t>Besserglik</w:t>
      </w:r>
      <w:r>
        <w:rPr>
          <w:lang w:val="en-GB"/>
        </w:rPr>
        <w:t xml:space="preserve"> above n </w:t>
      </w:r>
      <w:r>
        <w:rPr>
          <w:lang w:val="en-GB"/>
        </w:rPr>
        <w:fldChar w:fldCharType="begin"/>
      </w:r>
      <w:r>
        <w:rPr>
          <w:lang w:val="en-GB"/>
        </w:rPr>
        <w:instrText xml:space="preserve"> NOTEREF _Ref59376190 \h </w:instrText>
      </w:r>
      <w:r>
        <w:rPr>
          <w:lang w:val="en-GB"/>
        </w:rPr>
      </w:r>
      <w:r>
        <w:rPr>
          <w:lang w:val="en-GB"/>
        </w:rPr>
        <w:fldChar w:fldCharType="separate"/>
      </w:r>
      <w:r>
        <w:rPr>
          <w:lang w:val="en-GB"/>
        </w:rPr>
        <w:t>6</w:t>
      </w:r>
      <w:r>
        <w:rPr>
          <w:lang w:val="en-GB"/>
        </w:rPr>
        <w:fldChar w:fldCharType="end"/>
      </w:r>
      <w:r>
        <w:rPr>
          <w:lang w:val="en-GB"/>
        </w:rPr>
        <w:t xml:space="preserve"> at para 6.</w:t>
      </w:r>
    </w:p>
  </w:footnote>
  <w:footnote w:id="13">
    <w:p w14:paraId="5583B2ED" w14:textId="122F8DCD" w:rsidR="00890107" w:rsidRPr="004F385F" w:rsidRDefault="00890107">
      <w:pPr>
        <w:pStyle w:val="FootnoteText"/>
        <w:rPr>
          <w:lang w:val="en-GB"/>
        </w:rPr>
      </w:pPr>
      <w:r>
        <w:rPr>
          <w:rStyle w:val="FootnoteReference"/>
        </w:rPr>
        <w:footnoteRef/>
      </w:r>
      <w:r>
        <w:t xml:space="preserve"> </w:t>
      </w:r>
      <w:r>
        <w:rPr>
          <w:lang w:val="en-GB"/>
        </w:rPr>
        <w:t xml:space="preserve">In </w:t>
      </w:r>
      <w:r>
        <w:rPr>
          <w:i/>
          <w:iCs/>
          <w:lang w:val="en-GB"/>
        </w:rPr>
        <w:t>Mazibuko</w:t>
      </w:r>
      <w:r>
        <w:rPr>
          <w:lang w:val="en-GB"/>
        </w:rPr>
        <w:t xml:space="preserve"> above n </w:t>
      </w:r>
      <w:r w:rsidR="009D6B9F">
        <w:rPr>
          <w:lang w:val="en-GB"/>
        </w:rPr>
        <w:t>6</w:t>
      </w:r>
      <w:r>
        <w:rPr>
          <w:lang w:val="en-GB"/>
        </w:rPr>
        <w:t xml:space="preserve"> at para 36, Moseneke DCJ noted in support of the granting of direct access that “the issues before us are crisp and well</w:t>
      </w:r>
      <w:r w:rsidR="00917ECA">
        <w:rPr>
          <w:lang w:val="en-GB"/>
        </w:rPr>
        <w:t xml:space="preserve"> </w:t>
      </w:r>
      <w:r>
        <w:rPr>
          <w:lang w:val="en-GB"/>
        </w:rPr>
        <w:t>defined, and do not raise disputes of fact or require factual resolution”.</w:t>
      </w:r>
    </w:p>
  </w:footnote>
  <w:footnote w:id="14">
    <w:p w14:paraId="719987C7" w14:textId="4B06DA0B" w:rsidR="00D234CE" w:rsidRPr="00D234CE" w:rsidRDefault="00D234CE">
      <w:pPr>
        <w:pStyle w:val="FootnoteText"/>
        <w:rPr>
          <w:lang w:val="en-GB"/>
        </w:rPr>
      </w:pPr>
      <w:r>
        <w:rPr>
          <w:rStyle w:val="FootnoteReference"/>
        </w:rPr>
        <w:footnoteRef/>
      </w:r>
      <w:r>
        <w:t xml:space="preserve"> </w:t>
      </w:r>
      <w:r>
        <w:rPr>
          <w:i/>
          <w:iCs/>
          <w:lang w:val="en-GB"/>
        </w:rPr>
        <w:t xml:space="preserve">Juma Musjid </w:t>
      </w:r>
      <w:r>
        <w:rPr>
          <w:lang w:val="en-GB"/>
        </w:rPr>
        <w:t xml:space="preserve">above n </w:t>
      </w:r>
      <w:r>
        <w:rPr>
          <w:lang w:val="en-GB"/>
        </w:rPr>
        <w:fldChar w:fldCharType="begin"/>
      </w:r>
      <w:r>
        <w:rPr>
          <w:lang w:val="en-GB"/>
        </w:rPr>
        <w:instrText xml:space="preserve"> NOTEREF _Ref59362017 \h </w:instrText>
      </w:r>
      <w:r>
        <w:rPr>
          <w:lang w:val="en-GB"/>
        </w:rPr>
      </w:r>
      <w:r>
        <w:rPr>
          <w:lang w:val="en-GB"/>
        </w:rPr>
        <w:fldChar w:fldCharType="separate"/>
      </w:r>
      <w:r>
        <w:rPr>
          <w:lang w:val="en-GB"/>
        </w:rPr>
        <w:t>1</w:t>
      </w:r>
      <w:r>
        <w:rPr>
          <w:lang w:val="en-GB"/>
        </w:rPr>
        <w:fldChar w:fldCharType="end"/>
      </w:r>
      <w:r>
        <w:rPr>
          <w:lang w:val="en-GB"/>
        </w:rPr>
        <w:t xml:space="preserve"> at para 37.</w:t>
      </w:r>
    </w:p>
  </w:footnote>
  <w:footnote w:id="15">
    <w:p w14:paraId="4AE974DB" w14:textId="4477F7C5" w:rsidR="00084D9F" w:rsidRDefault="00890107">
      <w:pPr>
        <w:pStyle w:val="FootnoteText"/>
        <w:rPr>
          <w:lang w:val="en-GB"/>
        </w:rPr>
      </w:pPr>
      <w:r>
        <w:rPr>
          <w:rStyle w:val="FootnoteReference"/>
        </w:rPr>
        <w:footnoteRef/>
      </w:r>
      <w:r>
        <w:t xml:space="preserve"> </w:t>
      </w:r>
      <w:r w:rsidR="00B937B0">
        <w:rPr>
          <w:lang w:val="en-GB"/>
        </w:rPr>
        <w:t>Id</w:t>
      </w:r>
      <w:r>
        <w:rPr>
          <w:lang w:val="en-GB"/>
        </w:rPr>
        <w:t xml:space="preserve"> at para </w:t>
      </w:r>
      <w:r w:rsidR="00FF1802">
        <w:rPr>
          <w:lang w:val="en-GB"/>
        </w:rPr>
        <w:t>38.</w:t>
      </w:r>
      <w:r w:rsidR="0072533A">
        <w:rPr>
          <w:lang w:val="en-GB"/>
        </w:rPr>
        <w:t xml:space="preserve">  Th</w:t>
      </w:r>
      <w:r w:rsidR="00DD05FB">
        <w:rPr>
          <w:lang w:val="en-GB"/>
        </w:rPr>
        <w:t>is</w:t>
      </w:r>
      <w:r w:rsidR="0072533A">
        <w:rPr>
          <w:lang w:val="en-GB"/>
        </w:rPr>
        <w:t xml:space="preserve"> Court went on to state</w:t>
      </w:r>
      <w:r w:rsidR="00084D9F">
        <w:rPr>
          <w:lang w:val="en-GB"/>
        </w:rPr>
        <w:t>:</w:t>
      </w:r>
    </w:p>
    <w:p w14:paraId="2FD17E61" w14:textId="54F8D1CF" w:rsidR="00890107" w:rsidRDefault="0072533A" w:rsidP="00084D9F">
      <w:pPr>
        <w:pStyle w:val="QUOTEINFOOTNOTE"/>
        <w:rPr>
          <w:lang w:val="en-GB"/>
        </w:rPr>
      </w:pPr>
      <w:r>
        <w:rPr>
          <w:lang w:val="en-GB"/>
        </w:rPr>
        <w:t>“</w:t>
      </w:r>
      <w:r w:rsidR="00084D9F">
        <w:rPr>
          <w:lang w:val="en-GB"/>
        </w:rPr>
        <w:t>S</w:t>
      </w:r>
      <w:r>
        <w:rPr>
          <w:lang w:val="en-GB"/>
        </w:rPr>
        <w:t xml:space="preserve">ection 3(1) of the [South African Schools Act 84 of 1996], </w:t>
      </w:r>
      <w:r w:rsidRPr="001C0679">
        <w:rPr>
          <w:lang w:val="en-GB"/>
        </w:rPr>
        <w:t xml:space="preserve">following the constitutional distinction between </w:t>
      </w:r>
      <w:r w:rsidR="00084D9F" w:rsidRPr="001C0679">
        <w:rPr>
          <w:lang w:val="en-GB"/>
        </w:rPr>
        <w:t>‘</w:t>
      </w:r>
      <w:r w:rsidRPr="001C0679">
        <w:rPr>
          <w:lang w:val="en-GB"/>
        </w:rPr>
        <w:t>basic</w:t>
      </w:r>
      <w:r w:rsidR="00084D9F" w:rsidRPr="001C0679">
        <w:rPr>
          <w:lang w:val="en-GB"/>
        </w:rPr>
        <w:t>’</w:t>
      </w:r>
      <w:r w:rsidRPr="001C0679">
        <w:rPr>
          <w:lang w:val="en-GB"/>
        </w:rPr>
        <w:t xml:space="preserve"> and </w:t>
      </w:r>
      <w:r w:rsidR="00084D9F" w:rsidRPr="001C0679">
        <w:rPr>
          <w:lang w:val="en-GB"/>
        </w:rPr>
        <w:t>‘</w:t>
      </w:r>
      <w:r w:rsidRPr="001C0679">
        <w:rPr>
          <w:lang w:val="en-GB"/>
        </w:rPr>
        <w:t>further</w:t>
      </w:r>
      <w:r w:rsidR="00084D9F" w:rsidRPr="001C0679">
        <w:rPr>
          <w:lang w:val="en-GB"/>
        </w:rPr>
        <w:t>’</w:t>
      </w:r>
      <w:r w:rsidRPr="001C0679">
        <w:rPr>
          <w:lang w:val="en-GB"/>
        </w:rPr>
        <w:t xml:space="preserve"> education</w:t>
      </w:r>
      <w:r>
        <w:rPr>
          <w:lang w:val="en-GB"/>
        </w:rPr>
        <w:t xml:space="preserve">, makes school attendance </w:t>
      </w:r>
      <w:r w:rsidR="001F0E13">
        <w:rPr>
          <w:lang w:val="en-GB"/>
        </w:rPr>
        <w:t>compulsory</w:t>
      </w:r>
      <w:r w:rsidR="001F0E13" w:rsidRPr="00084D9F">
        <w:rPr>
          <w:color w:val="000000" w:themeColor="text1"/>
          <w:lang w:val="en-GB"/>
        </w:rPr>
        <w:t xml:space="preserve"> for </w:t>
      </w:r>
      <w:r w:rsidR="001F0E13" w:rsidRPr="00084D9F">
        <w:rPr>
          <w:lang w:val="en-GB"/>
        </w:rPr>
        <w:t>learners from the age of seven years until 15 years or until the learner reaches the ninth grade, whichever occurs</w:t>
      </w:r>
      <w:r w:rsidR="00084D9F">
        <w:rPr>
          <w:lang w:val="en-GB"/>
        </w:rPr>
        <w:t xml:space="preserve"> first.”</w:t>
      </w:r>
    </w:p>
    <w:p w14:paraId="77547DF4" w14:textId="33E59D60" w:rsidR="00084D9F" w:rsidRPr="00084D9F" w:rsidRDefault="00EF7E78" w:rsidP="00084D9F">
      <w:pPr>
        <w:pStyle w:val="FootnoteText1"/>
        <w:rPr>
          <w:lang w:val="en-GB"/>
        </w:rPr>
      </w:pPr>
      <w:r>
        <w:rPr>
          <w:lang w:val="en-GB"/>
        </w:rPr>
        <w:t xml:space="preserve">This statement could be said to create the impression that the constitutional distinction occurs at the point that education is no longer compulsory, but </w:t>
      </w:r>
      <w:r w:rsidR="00084D9F">
        <w:rPr>
          <w:lang w:val="en-GB"/>
        </w:rPr>
        <w:t>I do not see Nkabinde J as limiting basic education to those grades for which the Schools Act makes attendance compulsory.</w:t>
      </w:r>
      <w:r>
        <w:rPr>
          <w:lang w:val="en-GB"/>
        </w:rPr>
        <w:t xml:space="preserve">  First, l</w:t>
      </w:r>
      <w:r w:rsidR="00084D9F">
        <w:rPr>
          <w:lang w:val="en-GB"/>
        </w:rPr>
        <w:t>egislation cannot inform the interpretation of constitutional provisions.</w:t>
      </w:r>
      <w:r>
        <w:rPr>
          <w:lang w:val="en-GB"/>
        </w:rPr>
        <w:t xml:space="preserve">  Second, the school in issue </w:t>
      </w:r>
      <w:r w:rsidR="00DE455A">
        <w:rPr>
          <w:lang w:val="en-GB"/>
        </w:rPr>
        <w:t xml:space="preserve">in that case </w:t>
      </w:r>
      <w:r>
        <w:rPr>
          <w:lang w:val="en-GB"/>
        </w:rPr>
        <w:t>concerned only Grades 1-9 and so it was not necessary for the Court to decide the nature of education outside those grades.</w:t>
      </w:r>
    </w:p>
  </w:footnote>
  <w:footnote w:id="16">
    <w:p w14:paraId="71320B71" w14:textId="455AEADE" w:rsidR="00890107" w:rsidRPr="00B045BB" w:rsidRDefault="00890107">
      <w:pPr>
        <w:pStyle w:val="FootnoteText"/>
        <w:rPr>
          <w:lang w:val="en-GB"/>
        </w:rPr>
      </w:pPr>
      <w:r>
        <w:rPr>
          <w:rStyle w:val="FootnoteReference"/>
        </w:rPr>
        <w:footnoteRef/>
      </w:r>
      <w:r>
        <w:t xml:space="preserve"> </w:t>
      </w:r>
      <w:r>
        <w:rPr>
          <w:i/>
          <w:iCs/>
          <w:lang w:val="en-GB"/>
        </w:rPr>
        <w:t>Pridwin</w:t>
      </w:r>
      <w:r>
        <w:rPr>
          <w:lang w:val="en-GB"/>
        </w:rPr>
        <w:t xml:space="preserve"> above n </w:t>
      </w:r>
      <w:r>
        <w:rPr>
          <w:lang w:val="en-GB"/>
        </w:rPr>
        <w:fldChar w:fldCharType="begin"/>
      </w:r>
      <w:r>
        <w:rPr>
          <w:lang w:val="en-GB"/>
        </w:rPr>
        <w:instrText xml:space="preserve"> NOTEREF _Ref59362017 \h </w:instrText>
      </w:r>
      <w:r>
        <w:rPr>
          <w:lang w:val="en-GB"/>
        </w:rPr>
      </w:r>
      <w:r>
        <w:rPr>
          <w:lang w:val="en-GB"/>
        </w:rPr>
        <w:fldChar w:fldCharType="separate"/>
      </w:r>
      <w:r>
        <w:rPr>
          <w:lang w:val="en-GB"/>
        </w:rPr>
        <w:t>1</w:t>
      </w:r>
      <w:r>
        <w:rPr>
          <w:lang w:val="en-GB"/>
        </w:rPr>
        <w:fldChar w:fldCharType="end"/>
      </w:r>
      <w:r>
        <w:rPr>
          <w:lang w:val="en-GB"/>
        </w:rPr>
        <w:t xml:space="preserve"> at paras 78 and 80.</w:t>
      </w:r>
    </w:p>
  </w:footnote>
  <w:footnote w:id="17">
    <w:p w14:paraId="280EC1D8" w14:textId="5D43F681" w:rsidR="00B6105D" w:rsidRPr="00B6105D" w:rsidRDefault="00B6105D" w:rsidP="00B6105D">
      <w:pPr>
        <w:pStyle w:val="FootnoteText"/>
        <w:rPr>
          <w:lang w:val="en-GB"/>
        </w:rPr>
      </w:pPr>
      <w:r>
        <w:rPr>
          <w:rStyle w:val="FootnoteReference"/>
        </w:rPr>
        <w:footnoteRef/>
      </w:r>
      <w:r>
        <w:t xml:space="preserve"> </w:t>
      </w:r>
      <w:r>
        <w:rPr>
          <w:lang w:val="en-GB"/>
        </w:rPr>
        <w:t xml:space="preserve">In particular, </w:t>
      </w:r>
      <w:r w:rsidRPr="00B6105D">
        <w:rPr>
          <w:lang w:val="en-GB"/>
        </w:rPr>
        <w:t>Article 26 of the Universal Declaration of Human</w:t>
      </w:r>
      <w:r>
        <w:rPr>
          <w:lang w:val="en-GB"/>
        </w:rPr>
        <w:t xml:space="preserve"> </w:t>
      </w:r>
      <w:r w:rsidRPr="00B6105D">
        <w:rPr>
          <w:lang w:val="en-GB"/>
        </w:rPr>
        <w:t>Rights</w:t>
      </w:r>
      <w:r w:rsidR="001D1E11">
        <w:rPr>
          <w:lang w:val="en-GB"/>
        </w:rPr>
        <w:t>, 10 December 1948</w:t>
      </w:r>
      <w:r>
        <w:rPr>
          <w:lang w:val="en-GB"/>
        </w:rPr>
        <w:t xml:space="preserve"> and the </w:t>
      </w:r>
      <w:r w:rsidRPr="00B6105D">
        <w:rPr>
          <w:lang w:val="en-GB"/>
        </w:rPr>
        <w:t>United Nations Educational, Scientific and Cultural Organization World Declaration on Education for All,</w:t>
      </w:r>
      <w:r>
        <w:rPr>
          <w:lang w:val="en-GB"/>
        </w:rPr>
        <w:t xml:space="preserve"> </w:t>
      </w:r>
      <w:r w:rsidRPr="00B6105D">
        <w:rPr>
          <w:lang w:val="en-GB"/>
        </w:rPr>
        <w:t>1990.</w:t>
      </w:r>
    </w:p>
  </w:footnote>
  <w:footnote w:id="18">
    <w:p w14:paraId="4D68B05A" w14:textId="1B64BF85" w:rsidR="00EF5664" w:rsidRPr="00EF5664" w:rsidRDefault="00EF5664">
      <w:pPr>
        <w:pStyle w:val="FootnoteText"/>
        <w:rPr>
          <w:lang w:val="en-GB"/>
        </w:rPr>
      </w:pPr>
      <w:r>
        <w:rPr>
          <w:rStyle w:val="FootnoteReference"/>
        </w:rPr>
        <w:footnoteRef/>
      </w:r>
      <w:r>
        <w:t xml:space="preserve"> </w:t>
      </w:r>
      <w:r w:rsidR="00FB4B78">
        <w:rPr>
          <w:i/>
          <w:iCs/>
          <w:lang w:val="en-GB"/>
        </w:rPr>
        <w:t xml:space="preserve">Pridwin </w:t>
      </w:r>
      <w:r w:rsidR="00FB4B78">
        <w:rPr>
          <w:lang w:val="en-GB"/>
        </w:rPr>
        <w:t>above n 1</w:t>
      </w:r>
      <w:r>
        <w:rPr>
          <w:lang w:val="en-GB"/>
        </w:rPr>
        <w:t xml:space="preserve"> at paras 160-4.</w:t>
      </w:r>
    </w:p>
  </w:footnote>
  <w:footnote w:id="19">
    <w:p w14:paraId="221C2D56" w14:textId="16C35089" w:rsidR="001F3084" w:rsidRPr="001F3084" w:rsidRDefault="001F3084" w:rsidP="001F3084">
      <w:pPr>
        <w:pStyle w:val="FootnoteText"/>
        <w:rPr>
          <w:lang w:val="en-GB"/>
        </w:rPr>
      </w:pPr>
      <w:r>
        <w:rPr>
          <w:rStyle w:val="FootnoteReference"/>
        </w:rPr>
        <w:footnoteRef/>
      </w:r>
      <w:r>
        <w:t xml:space="preserve"> </w:t>
      </w:r>
      <w:r w:rsidR="00EF5664">
        <w:rPr>
          <w:lang w:val="en-GB"/>
        </w:rPr>
        <w:t xml:space="preserve">Id </w:t>
      </w:r>
      <w:r>
        <w:rPr>
          <w:lang w:val="en-GB"/>
        </w:rPr>
        <w:t xml:space="preserve">at fn 150 quoting </w:t>
      </w:r>
      <w:r w:rsidRPr="001F3084">
        <w:rPr>
          <w:lang w:val="en-GB"/>
        </w:rPr>
        <w:t>Ch</w:t>
      </w:r>
      <w:r w:rsidR="001F195B">
        <w:rPr>
          <w:lang w:val="en-GB"/>
        </w:rPr>
        <w:t>ü</w:t>
      </w:r>
      <w:r w:rsidRPr="001F3084">
        <w:rPr>
          <w:lang w:val="en-GB"/>
        </w:rPr>
        <w:t>rr “Realisation of a Child's Right to a Basic Education in the South African School System:</w:t>
      </w:r>
      <w:r>
        <w:rPr>
          <w:lang w:val="en-GB"/>
        </w:rPr>
        <w:t xml:space="preserve"> </w:t>
      </w:r>
      <w:r w:rsidRPr="001F3084">
        <w:rPr>
          <w:lang w:val="en-GB"/>
        </w:rPr>
        <w:t xml:space="preserve">Some Lessons from Germany” (2015) 18 </w:t>
      </w:r>
      <w:r w:rsidRPr="001F3084">
        <w:rPr>
          <w:i/>
          <w:iCs/>
          <w:lang w:val="en-GB"/>
        </w:rPr>
        <w:t>PER</w:t>
      </w:r>
      <w:r w:rsidR="004E3BD7">
        <w:rPr>
          <w:lang w:val="en-GB"/>
        </w:rPr>
        <w:t xml:space="preserve"> 7</w:t>
      </w:r>
      <w:r w:rsidR="001F195B">
        <w:rPr>
          <w:lang w:val="en-GB"/>
        </w:rPr>
        <w:t xml:space="preserve"> at 2411</w:t>
      </w:r>
      <w:r w:rsidR="004E3BD7">
        <w:rPr>
          <w:lang w:val="en-GB"/>
        </w:rPr>
        <w:t>.</w:t>
      </w:r>
    </w:p>
  </w:footnote>
  <w:footnote w:id="20">
    <w:p w14:paraId="386AF72C" w14:textId="29465E50" w:rsidR="0052715F" w:rsidRPr="00CE410B" w:rsidRDefault="0052715F" w:rsidP="0052715F">
      <w:pPr>
        <w:pStyle w:val="FootnoteText"/>
        <w:rPr>
          <w:lang w:val="en-GB"/>
        </w:rPr>
      </w:pPr>
      <w:r>
        <w:rPr>
          <w:rStyle w:val="FootnoteReference"/>
        </w:rPr>
        <w:footnoteRef/>
      </w:r>
      <w:r>
        <w:t xml:space="preserve"> In </w:t>
      </w:r>
      <w:r w:rsidRPr="00A918DE">
        <w:rPr>
          <w:i/>
          <w:iCs/>
        </w:rPr>
        <w:t>Madzodzo v Minister of Basic Education</w:t>
      </w:r>
      <w:r w:rsidRPr="00A918DE">
        <w:t xml:space="preserve"> 2014 (3) SA 441 (ECM)</w:t>
      </w:r>
      <w:r w:rsidR="005B0271">
        <w:t xml:space="preserve"> at para 41</w:t>
      </w:r>
      <w:r>
        <w:t xml:space="preserve">, the Eastern Cape </w:t>
      </w:r>
      <w:r w:rsidR="00C4533A">
        <w:t>Local Division</w:t>
      </w:r>
      <w:r w:rsidR="005B0271">
        <w:t>, Mthatha</w:t>
      </w:r>
      <w:r w:rsidR="00C4533A">
        <w:t xml:space="preserve"> </w:t>
      </w:r>
      <w:r>
        <w:t>held that the failure by the state to provide adequate, grade</w:t>
      </w:r>
      <w:r w:rsidR="00661832">
        <w:t>-</w:t>
      </w:r>
      <w:r>
        <w:t xml:space="preserve"> and age-appropriate furniture and desks for </w:t>
      </w:r>
      <w:r w:rsidR="00BE5C07">
        <w:t xml:space="preserve">learners </w:t>
      </w:r>
      <w:r>
        <w:t>amounts to a breach of the right to basic education in section 29(1)(a).</w:t>
      </w:r>
    </w:p>
  </w:footnote>
  <w:footnote w:id="21">
    <w:p w14:paraId="56C33161" w14:textId="5C6F43CD" w:rsidR="00EB755F" w:rsidRPr="00625343" w:rsidRDefault="00EB755F" w:rsidP="00EB755F">
      <w:pPr>
        <w:pStyle w:val="FootnoteText"/>
      </w:pPr>
      <w:r>
        <w:rPr>
          <w:rStyle w:val="FootnoteReference"/>
        </w:rPr>
        <w:footnoteRef/>
      </w:r>
      <w:r>
        <w:t xml:space="preserve"> In </w:t>
      </w:r>
      <w:r w:rsidRPr="00F551FA">
        <w:rPr>
          <w:i/>
          <w:iCs/>
        </w:rPr>
        <w:t>Head of Department, Department of Education, Free State Province v Welkom High School</w:t>
      </w:r>
      <w:r>
        <w:t xml:space="preserve"> </w:t>
      </w:r>
      <w:r w:rsidRPr="00F551FA">
        <w:t>[2013] ZACC</w:t>
      </w:r>
      <w:r>
        <w:t> </w:t>
      </w:r>
      <w:r w:rsidRPr="00F551FA">
        <w:t>25; 2014 (2) SA 228 (CC)</w:t>
      </w:r>
      <w:r>
        <w:t xml:space="preserve">; </w:t>
      </w:r>
      <w:r w:rsidRPr="00F551FA">
        <w:t>2013 (9) BCLR 989 (CC)</w:t>
      </w:r>
      <w:r>
        <w:t xml:space="preserve"> (</w:t>
      </w:r>
      <w:r w:rsidRPr="00E17BEA">
        <w:rPr>
          <w:i/>
          <w:iCs/>
        </w:rPr>
        <w:t>Welkom High School</w:t>
      </w:r>
      <w:r>
        <w:t>), the different judgments of this Court noted that the impugned pregnancy policies affected the learners’ right to basic education.  See para 114, where it was stated that “[t</w:t>
      </w:r>
      <w:r>
        <w:rPr>
          <w:lang w:val="en-GB"/>
        </w:rPr>
        <w:t>]</w:t>
      </w:r>
      <w:r w:rsidRPr="0052715F">
        <w:rPr>
          <w:lang w:val="en-GB"/>
        </w:rPr>
        <w:t>he policies limit pregnant learners’ fundamental right to basic education</w:t>
      </w:r>
      <w:r>
        <w:rPr>
          <w:lang w:val="en-GB"/>
        </w:rPr>
        <w:t xml:space="preserve"> </w:t>
      </w:r>
      <w:r w:rsidRPr="0052715F">
        <w:rPr>
          <w:lang w:val="en-GB"/>
        </w:rPr>
        <w:t>in terms of section</w:t>
      </w:r>
      <w:r>
        <w:rPr>
          <w:lang w:val="en-GB"/>
        </w:rPr>
        <w:t> </w:t>
      </w:r>
      <w:r w:rsidRPr="0052715F">
        <w:rPr>
          <w:lang w:val="en-GB"/>
        </w:rPr>
        <w:t>29 of the Constitution by requiring them to repeat up to an entire year</w:t>
      </w:r>
      <w:r>
        <w:rPr>
          <w:lang w:val="en-GB"/>
        </w:rPr>
        <w:t xml:space="preserve"> </w:t>
      </w:r>
      <w:r w:rsidRPr="0052715F">
        <w:rPr>
          <w:lang w:val="en-GB"/>
        </w:rPr>
        <w:t>of schooling</w:t>
      </w:r>
      <w:r>
        <w:rPr>
          <w:lang w:val="en-GB"/>
        </w:rPr>
        <w:t>”.  See also paras 134 and 205-8.</w:t>
      </w:r>
    </w:p>
  </w:footnote>
  <w:footnote w:id="22">
    <w:p w14:paraId="3CF7560C" w14:textId="72B89AB7" w:rsidR="008F028C" w:rsidRPr="006B0021" w:rsidRDefault="008F028C" w:rsidP="008F028C">
      <w:pPr>
        <w:pStyle w:val="FootnoteText"/>
        <w:rPr>
          <w:lang w:val="en-GB"/>
        </w:rPr>
      </w:pPr>
      <w:r>
        <w:rPr>
          <w:rStyle w:val="FootnoteReference"/>
        </w:rPr>
        <w:footnoteRef/>
      </w:r>
      <w:r>
        <w:t xml:space="preserve"> </w:t>
      </w:r>
      <w:r w:rsidR="008910F7">
        <w:rPr>
          <w:lang w:val="en-GB"/>
        </w:rPr>
        <w:t>The core of s</w:t>
      </w:r>
      <w:r>
        <w:rPr>
          <w:lang w:val="en-GB"/>
        </w:rPr>
        <w:t>ection 29(1)(a) “negatively protects” the right to basic education from improper invasion</w:t>
      </w:r>
      <w:r w:rsidR="00956CCD">
        <w:rPr>
          <w:lang w:val="en-GB"/>
        </w:rPr>
        <w:t>, which imposes a basic duty to not impair or diminish a student’s right to basic education</w:t>
      </w:r>
      <w:r>
        <w:rPr>
          <w:lang w:val="en-GB"/>
        </w:rPr>
        <w:t xml:space="preserve">.  See </w:t>
      </w:r>
      <w:r>
        <w:rPr>
          <w:i/>
          <w:iCs/>
          <w:lang w:val="en-GB"/>
        </w:rPr>
        <w:t>Juma Musjid</w:t>
      </w:r>
      <w:r>
        <w:rPr>
          <w:lang w:val="en-GB"/>
        </w:rPr>
        <w:t xml:space="preserve"> above n 1 at para 5</w:t>
      </w:r>
      <w:r w:rsidR="00956CCD">
        <w:rPr>
          <w:lang w:val="en-GB"/>
        </w:rPr>
        <w:t>8</w:t>
      </w:r>
      <w:r>
        <w:rPr>
          <w:lang w:val="en-GB"/>
        </w:rPr>
        <w:t>.</w:t>
      </w:r>
    </w:p>
  </w:footnote>
  <w:footnote w:id="23">
    <w:p w14:paraId="32B6CA13" w14:textId="12D6AAA4" w:rsidR="004103D2" w:rsidRPr="004103D2" w:rsidRDefault="004103D2">
      <w:pPr>
        <w:pStyle w:val="FootnoteText"/>
        <w:rPr>
          <w:lang w:val="en-GB"/>
        </w:rPr>
      </w:pPr>
      <w:r>
        <w:rPr>
          <w:rStyle w:val="FootnoteReference"/>
        </w:rPr>
        <w:footnoteRef/>
      </w:r>
      <w:r>
        <w:t xml:space="preserve"> </w:t>
      </w:r>
      <w:r>
        <w:rPr>
          <w:lang w:val="en-GB"/>
        </w:rPr>
        <w:t>See section 239 of the Constitution for the definition of “organ of state”.</w:t>
      </w:r>
    </w:p>
  </w:footnote>
  <w:footnote w:id="24">
    <w:p w14:paraId="790BF7E0" w14:textId="6B2F6EE2" w:rsidR="008F028C" w:rsidRPr="00724A00" w:rsidRDefault="008F028C">
      <w:pPr>
        <w:pStyle w:val="FootnoteText"/>
        <w:rPr>
          <w:lang w:val="en-GB"/>
        </w:rPr>
      </w:pPr>
      <w:r>
        <w:rPr>
          <w:rStyle w:val="FootnoteReference"/>
        </w:rPr>
        <w:footnoteRef/>
      </w:r>
      <w:r>
        <w:t xml:space="preserve"> </w:t>
      </w:r>
      <w:r>
        <w:rPr>
          <w:lang w:val="en-GB"/>
        </w:rPr>
        <w:t>Section 7(2) read with section 8(1) of the Constitution requires organs of state to “respect, protect, promote and fulfil the rights in the Bill of Rights” and therefore imposes both positive and negative obligation</w:t>
      </w:r>
      <w:r w:rsidR="008910F7">
        <w:rPr>
          <w:lang w:val="en-GB"/>
        </w:rPr>
        <w:t>s</w:t>
      </w:r>
      <w:r>
        <w:rPr>
          <w:lang w:val="en-GB"/>
        </w:rPr>
        <w:t xml:space="preserve"> on</w:t>
      </w:r>
      <w:r w:rsidR="00724A00">
        <w:rPr>
          <w:lang w:val="en-GB"/>
        </w:rPr>
        <w:t xml:space="preserve"> the first respondent in relation to section 29(1)(a).  See </w:t>
      </w:r>
      <w:r w:rsidR="00724A00">
        <w:rPr>
          <w:i/>
          <w:iCs/>
          <w:lang w:val="en-GB"/>
        </w:rPr>
        <w:t>Juma Musjid</w:t>
      </w:r>
      <w:r w:rsidR="00724A00">
        <w:rPr>
          <w:lang w:val="en-GB"/>
        </w:rPr>
        <w:t xml:space="preserve"> </w:t>
      </w:r>
      <w:r w:rsidR="009971B8">
        <w:rPr>
          <w:lang w:val="en-GB"/>
        </w:rPr>
        <w:t>above n 1</w:t>
      </w:r>
      <w:r w:rsidR="00724A00">
        <w:rPr>
          <w:lang w:val="en-GB"/>
        </w:rPr>
        <w:t xml:space="preserve"> at para 45.</w:t>
      </w:r>
    </w:p>
  </w:footnote>
  <w:footnote w:id="25">
    <w:p w14:paraId="3C17C614" w14:textId="106E87A9" w:rsidR="008B4F51" w:rsidRPr="008B4F51" w:rsidRDefault="008B4F51">
      <w:pPr>
        <w:pStyle w:val="FootnoteText"/>
        <w:rPr>
          <w:lang w:val="en-GB"/>
        </w:rPr>
      </w:pPr>
      <w:r>
        <w:rPr>
          <w:rStyle w:val="FootnoteReference"/>
        </w:rPr>
        <w:footnoteRef/>
      </w:r>
      <w:r>
        <w:t xml:space="preserve"> </w:t>
      </w:r>
      <w:r w:rsidR="00F00D4E">
        <w:t>See</w:t>
      </w:r>
      <w:r w:rsidR="002E68FB">
        <w:t xml:space="preserve"> the Department of Basic Education website </w:t>
      </w:r>
      <w:r w:rsidR="00563BBE">
        <w:t>“Importance of Principals”</w:t>
      </w:r>
      <w:r w:rsidR="002E68FB">
        <w:t xml:space="preserve"> available at</w:t>
      </w:r>
      <w:r w:rsidR="00F00D4E">
        <w:t xml:space="preserve"> </w:t>
      </w:r>
      <w:r w:rsidRPr="0023480B">
        <w:rPr>
          <w:color w:val="000000" w:themeColor="text1"/>
          <w:u w:val="single"/>
        </w:rPr>
        <w:t>https://www.education.gov.za/Informationfor/Principals.aspx</w:t>
      </w:r>
      <w:r w:rsidR="002156B6" w:rsidRPr="00F00D4E">
        <w:t xml:space="preserve">. </w:t>
      </w:r>
    </w:p>
  </w:footnote>
  <w:footnote w:id="26">
    <w:p w14:paraId="5624FB08" w14:textId="0545A886" w:rsidR="00890107" w:rsidRPr="00A918DE" w:rsidRDefault="00890107">
      <w:pPr>
        <w:pStyle w:val="FootnoteText"/>
        <w:rPr>
          <w:lang w:val="en-GB"/>
        </w:rPr>
      </w:pPr>
      <w:r>
        <w:rPr>
          <w:rStyle w:val="FootnoteReference"/>
        </w:rPr>
        <w:footnoteRef/>
      </w:r>
      <w:r>
        <w:t xml:space="preserve"> </w:t>
      </w:r>
      <w:r w:rsidRPr="00A918DE">
        <w:rPr>
          <w:i/>
          <w:iCs/>
        </w:rPr>
        <w:t xml:space="preserve">Madzodzo </w:t>
      </w:r>
      <w:r w:rsidR="00222111">
        <w:t xml:space="preserve">above n 20 </w:t>
      </w:r>
      <w:r>
        <w:t xml:space="preserve">at para 19 and </w:t>
      </w:r>
      <w:r>
        <w:rPr>
          <w:i/>
          <w:iCs/>
        </w:rPr>
        <w:t>Juma Musjid</w:t>
      </w:r>
      <w:r>
        <w:t xml:space="preserve"> </w:t>
      </w:r>
      <w:r w:rsidR="00E879B0">
        <w:t>above n 1</w:t>
      </w:r>
      <w:r>
        <w:t xml:space="preserve"> at para</w:t>
      </w:r>
      <w:r w:rsidR="005D09CF">
        <w:t xml:space="preserve"> </w:t>
      </w:r>
      <w:r>
        <w:t>43.</w:t>
      </w:r>
    </w:p>
  </w:footnote>
  <w:footnote w:id="27">
    <w:p w14:paraId="581DCF4D" w14:textId="3FAA6B0A" w:rsidR="005B1F83" w:rsidRPr="005B1F83" w:rsidRDefault="005B1F83">
      <w:pPr>
        <w:pStyle w:val="FootnoteText"/>
        <w:rPr>
          <w:lang w:val="en-GB"/>
        </w:rPr>
      </w:pPr>
      <w:r>
        <w:rPr>
          <w:rStyle w:val="FootnoteReference"/>
        </w:rPr>
        <w:footnoteRef/>
      </w:r>
      <w:r>
        <w:t xml:space="preserve"> </w:t>
      </w:r>
      <w:r>
        <w:rPr>
          <w:i/>
          <w:iCs/>
          <w:lang w:val="en-GB"/>
        </w:rPr>
        <w:t xml:space="preserve">Welkom </w:t>
      </w:r>
      <w:r w:rsidR="00E17BEA">
        <w:rPr>
          <w:i/>
          <w:iCs/>
          <w:lang w:val="en-GB"/>
        </w:rPr>
        <w:t>High School</w:t>
      </w:r>
      <w:r>
        <w:rPr>
          <w:i/>
          <w:iCs/>
          <w:lang w:val="en-GB"/>
        </w:rPr>
        <w:t xml:space="preserve"> </w:t>
      </w:r>
      <w:r>
        <w:rPr>
          <w:lang w:val="en-GB"/>
        </w:rPr>
        <w:t xml:space="preserve">above n </w:t>
      </w:r>
      <w:r>
        <w:rPr>
          <w:lang w:val="en-GB"/>
        </w:rPr>
        <w:fldChar w:fldCharType="begin"/>
      </w:r>
      <w:r>
        <w:rPr>
          <w:lang w:val="en-GB"/>
        </w:rPr>
        <w:instrText xml:space="preserve"> NOTEREF _Ref59402683 \h </w:instrText>
      </w:r>
      <w:r>
        <w:rPr>
          <w:lang w:val="en-GB"/>
        </w:rPr>
      </w:r>
      <w:r>
        <w:rPr>
          <w:lang w:val="en-GB"/>
        </w:rPr>
        <w:fldChar w:fldCharType="separate"/>
      </w:r>
      <w:r>
        <w:rPr>
          <w:lang w:val="en-GB"/>
        </w:rPr>
        <w:t>21</w:t>
      </w:r>
      <w:r>
        <w:rPr>
          <w:lang w:val="en-GB"/>
        </w:rPr>
        <w:fldChar w:fldCharType="end"/>
      </w:r>
      <w:r>
        <w:rPr>
          <w:lang w:val="en-GB"/>
        </w:rPr>
        <w:t xml:space="preserve"> at para </w:t>
      </w:r>
      <w:r w:rsidR="006878EA">
        <w:rPr>
          <w:lang w:val="en-GB"/>
        </w:rPr>
        <w:t>114.</w:t>
      </w:r>
    </w:p>
  </w:footnote>
  <w:footnote w:id="28">
    <w:p w14:paraId="2A0731F3" w14:textId="5F33D838" w:rsidR="00956643" w:rsidRPr="00956643" w:rsidRDefault="00956643">
      <w:pPr>
        <w:pStyle w:val="FootnoteText"/>
        <w:rPr>
          <w:lang w:val="en-GB"/>
        </w:rPr>
      </w:pPr>
      <w:r>
        <w:rPr>
          <w:rStyle w:val="FootnoteReference"/>
        </w:rPr>
        <w:footnoteRef/>
      </w:r>
      <w:r>
        <w:t xml:space="preserve"> </w:t>
      </w:r>
      <w:r w:rsidRPr="00956643">
        <w:rPr>
          <w:i/>
          <w:iCs/>
        </w:rPr>
        <w:t>Biowatch Trust v Registrar</w:t>
      </w:r>
      <w:r w:rsidR="00EE7ABA">
        <w:rPr>
          <w:i/>
          <w:iCs/>
        </w:rPr>
        <w:t>,</w:t>
      </w:r>
      <w:r w:rsidRPr="00956643">
        <w:rPr>
          <w:i/>
          <w:iCs/>
        </w:rPr>
        <w:t xml:space="preserve"> Genetic Resources</w:t>
      </w:r>
      <w:r w:rsidRPr="00956643">
        <w:t xml:space="preserve"> </w:t>
      </w:r>
      <w:r>
        <w:t>[</w:t>
      </w:r>
      <w:r w:rsidRPr="00956643">
        <w:t>2009] ZACC 14; 2009 (6) SA 232 (CC); 2009 (10) BCLR 1014 (CC)</w:t>
      </w:r>
      <w:r>
        <w:t xml:space="preserve"> at para 22.</w:t>
      </w:r>
    </w:p>
  </w:footnote>
  <w:footnote w:id="29">
    <w:p w14:paraId="117F27DC" w14:textId="2218167F" w:rsidR="003821D4" w:rsidRPr="00391BE5" w:rsidRDefault="003821D4" w:rsidP="00391BE5">
      <w:pPr>
        <w:pStyle w:val="FootnoteText"/>
        <w:rPr>
          <w:lang w:val="en-GB"/>
        </w:rPr>
      </w:pPr>
      <w:r>
        <w:rPr>
          <w:rStyle w:val="FootnoteReference"/>
        </w:rPr>
        <w:footnoteRef/>
      </w:r>
      <w:r>
        <w:t xml:space="preserve"> </w:t>
      </w:r>
      <w:r w:rsidR="00EB755F">
        <w:rPr>
          <w:i/>
          <w:iCs/>
          <w:lang w:val="en-GB"/>
        </w:rPr>
        <w:t xml:space="preserve">Jose v Minister of Home Affairs </w:t>
      </w:r>
      <w:r w:rsidR="00EB755F" w:rsidRPr="00F50937">
        <w:t>2019</w:t>
      </w:r>
      <w:r w:rsidR="00EB755F" w:rsidRPr="006B7187">
        <w:t xml:space="preserve"> (4) SA 597 (GP)</w:t>
      </w:r>
      <w:r w:rsidR="00EB755F">
        <w:t xml:space="preserve"> </w:t>
      </w:r>
      <w:r>
        <w:rPr>
          <w:lang w:val="en-GB"/>
        </w:rPr>
        <w:t>at para</w:t>
      </w:r>
      <w:r w:rsidR="00391BE5">
        <w:rPr>
          <w:lang w:val="en-GB"/>
        </w:rPr>
        <w:t xml:space="preserve"> </w:t>
      </w:r>
      <w:r>
        <w:rPr>
          <w:lang w:val="en-GB"/>
        </w:rPr>
        <w:t>57.</w:t>
      </w:r>
    </w:p>
  </w:footnote>
  <w:footnote w:id="30">
    <w:p w14:paraId="52337F64" w14:textId="0E99A95E" w:rsidR="00C664C5" w:rsidRPr="00C664C5" w:rsidRDefault="00C664C5">
      <w:pPr>
        <w:pStyle w:val="FootnoteText"/>
        <w:rPr>
          <w:lang w:val="en-GB"/>
        </w:rPr>
      </w:pPr>
      <w:r>
        <w:rPr>
          <w:rStyle w:val="FootnoteReference"/>
        </w:rPr>
        <w:footnoteRef/>
      </w:r>
      <w:r>
        <w:t xml:space="preserve"> </w:t>
      </w:r>
      <w:r>
        <w:rPr>
          <w:lang w:val="en-GB"/>
        </w:rPr>
        <w:t xml:space="preserve">See </w:t>
      </w:r>
      <w:r w:rsidR="002E68FB">
        <w:rPr>
          <w:lang w:val="en-GB"/>
        </w:rPr>
        <w:t xml:space="preserve">further </w:t>
      </w:r>
      <w:r>
        <w:rPr>
          <w:i/>
          <w:iCs/>
          <w:lang w:val="en-GB"/>
        </w:rPr>
        <w:t xml:space="preserve">ABSA Bank Limited v Hamid </w:t>
      </w:r>
      <w:r w:rsidR="00C73151">
        <w:rPr>
          <w:lang w:val="en-GB"/>
        </w:rPr>
        <w:t xml:space="preserve">2019 JDR 0257 (GJ) </w:t>
      </w:r>
      <w:r>
        <w:rPr>
          <w:lang w:val="en-GB"/>
        </w:rPr>
        <w:t xml:space="preserve">at para 35 and </w:t>
      </w:r>
      <w:r w:rsidRPr="00391BE5">
        <w:rPr>
          <w:i/>
          <w:iCs/>
          <w:lang w:val="en-GB"/>
        </w:rPr>
        <w:t>Kuhudzai v Minister of Home Affairs</w:t>
      </w:r>
      <w:r w:rsidRPr="00391BE5">
        <w:rPr>
          <w:lang w:val="en-GB"/>
        </w:rPr>
        <w:t xml:space="preserve"> </w:t>
      </w:r>
      <w:r w:rsidR="00CB29D0">
        <w:rPr>
          <w:lang w:val="en-GB"/>
        </w:rPr>
        <w:t>2018 JDR 1398 (WCC)</w:t>
      </w:r>
      <w:r>
        <w:rPr>
          <w:lang w:val="en-GB"/>
        </w:rPr>
        <w:t xml:space="preserve"> at para 30.  A similar approach is seen in the order of the Supreme Court of Appeal in </w:t>
      </w:r>
      <w:r w:rsidRPr="00391BE5">
        <w:rPr>
          <w:i/>
          <w:iCs/>
          <w:lang w:val="en-GB"/>
        </w:rPr>
        <w:t xml:space="preserve">Minister of Justice </w:t>
      </w:r>
      <w:r w:rsidR="00CB29D0">
        <w:rPr>
          <w:i/>
          <w:iCs/>
          <w:lang w:val="en-GB"/>
        </w:rPr>
        <w:t>and</w:t>
      </w:r>
      <w:r w:rsidRPr="00391BE5">
        <w:rPr>
          <w:i/>
          <w:iCs/>
          <w:lang w:val="en-GB"/>
        </w:rPr>
        <w:t xml:space="preserve"> Constitutional Development v Southern African Litigation Centre</w:t>
      </w:r>
      <w:r>
        <w:rPr>
          <w:lang w:val="en-GB"/>
        </w:rPr>
        <w:t xml:space="preserve"> [2016] ZASCA 17; </w:t>
      </w:r>
      <w:r w:rsidRPr="00391BE5">
        <w:rPr>
          <w:lang w:val="en-GB"/>
        </w:rPr>
        <w:t>2016</w:t>
      </w:r>
      <w:r w:rsidR="00C77B62">
        <w:rPr>
          <w:lang w:val="en-GB"/>
        </w:rPr>
        <w:t> </w:t>
      </w:r>
      <w:r w:rsidRPr="00391BE5">
        <w:rPr>
          <w:lang w:val="en-GB"/>
        </w:rPr>
        <w:t>(3) SA 317 (SCA)</w:t>
      </w:r>
      <w:r>
        <w:rPr>
          <w:lang w:val="en-GB"/>
        </w:rPr>
        <w:t xml:space="preserve"> at para 113.</w:t>
      </w:r>
    </w:p>
  </w:footnote>
  <w:footnote w:id="31">
    <w:p w14:paraId="15664EC6" w14:textId="252430A5" w:rsidR="00252673" w:rsidRPr="0029403E" w:rsidRDefault="00252673">
      <w:pPr>
        <w:pStyle w:val="FootnoteText"/>
        <w:rPr>
          <w:lang w:val="en-GB"/>
        </w:rPr>
      </w:pPr>
      <w:r>
        <w:rPr>
          <w:rStyle w:val="FootnoteReference"/>
        </w:rPr>
        <w:footnoteRef/>
      </w:r>
      <w:r>
        <w:t xml:space="preserve"> </w:t>
      </w:r>
      <w:r w:rsidR="0029403E">
        <w:t xml:space="preserve">Yousafzai </w:t>
      </w:r>
      <w:r w:rsidR="0029403E">
        <w:rPr>
          <w:i/>
          <w:iCs/>
        </w:rPr>
        <w:t xml:space="preserve">I </w:t>
      </w:r>
      <w:r w:rsidR="00407C2D">
        <w:rPr>
          <w:i/>
          <w:iCs/>
        </w:rPr>
        <w:t>A</w:t>
      </w:r>
      <w:r w:rsidR="0029403E">
        <w:rPr>
          <w:i/>
          <w:iCs/>
        </w:rPr>
        <w:t>m Malala: The Girl Who Stood Up for Education and Was Shot by the Taliban</w:t>
      </w:r>
      <w:r w:rsidR="0029403E">
        <w:t xml:space="preserve"> (Weidenfeld &amp; Nicolson, London 201</w:t>
      </w:r>
      <w:r w:rsidR="00574F1B">
        <w:t>4</w:t>
      </w:r>
      <w:r w:rsidR="0029403E">
        <w:t>)</w:t>
      </w:r>
      <w:r w:rsidR="00472BE3">
        <w:t xml:space="preserve"> at 134</w:t>
      </w:r>
      <w:r w:rsidR="0029403E">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C6293" w14:textId="77777777" w:rsidR="00890107" w:rsidRDefault="00890107" w:rsidP="000F7521">
    <w:pPr>
      <w:pStyle w:val="Header"/>
      <w:tabs>
        <w:tab w:val="clear" w:pos="4680"/>
        <w:tab w:val="clear" w:pos="9360"/>
        <w:tab w:val="right" w:pos="9072"/>
      </w:tabs>
      <w:jc w:val="right"/>
    </w:pPr>
    <w:r>
      <w:t>KHAMPEPE J</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E083C" w14:textId="77777777" w:rsidR="00890107" w:rsidRDefault="00890107" w:rsidP="008C727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A7A26"/>
    <w:multiLevelType w:val="hybridMultilevel"/>
    <w:tmpl w:val="C30AD0BA"/>
    <w:lvl w:ilvl="0" w:tplc="0CD23EA0">
      <w:start w:val="1"/>
      <w:numFmt w:val="decimal"/>
      <w:pStyle w:val="JUDGMENTNUMBERED"/>
      <w:lvlText w:val="[%1]"/>
      <w:lvlJc w:val="left"/>
      <w:pPr>
        <w:ind w:left="104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812253"/>
    <w:multiLevelType w:val="hybridMultilevel"/>
    <w:tmpl w:val="6C80EF24"/>
    <w:lvl w:ilvl="0" w:tplc="0FA23318">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B06ED"/>
    <w:multiLevelType w:val="hybridMultilevel"/>
    <w:tmpl w:val="6D4C64E6"/>
    <w:lvl w:ilvl="0" w:tplc="28A83CF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28F0D8C"/>
    <w:multiLevelType w:val="multilevel"/>
    <w:tmpl w:val="B56A106A"/>
    <w:lvl w:ilvl="0">
      <w:start w:val="1"/>
      <w:numFmt w:val="decimal"/>
      <w:lvlText w:val="%1."/>
      <w:lvlJc w:val="left"/>
      <w:pPr>
        <w:tabs>
          <w:tab w:val="num" w:pos="851"/>
        </w:tabs>
        <w:ind w:left="851" w:hanging="851"/>
      </w:pPr>
      <w:rPr>
        <w:rFonts w:ascii="Arial" w:hAnsi="Arial" w:hint="default"/>
        <w:b w:val="0"/>
        <w:i w:val="0"/>
        <w:spacing w:val="2"/>
        <w:position w:val="0"/>
        <w:sz w:val="24"/>
      </w:rPr>
    </w:lvl>
    <w:lvl w:ilvl="1">
      <w:start w:val="1"/>
      <w:numFmt w:val="decimal"/>
      <w:lvlText w:val="%1.%2"/>
      <w:lvlJc w:val="left"/>
      <w:pPr>
        <w:tabs>
          <w:tab w:val="num" w:pos="1701"/>
        </w:tabs>
        <w:ind w:left="1701" w:hanging="850"/>
      </w:pPr>
      <w:rPr>
        <w:rFonts w:ascii="Arial" w:hAnsi="Arial" w:hint="default"/>
        <w:b w:val="0"/>
        <w:i w:val="0"/>
        <w:sz w:val="24"/>
      </w:rPr>
    </w:lvl>
    <w:lvl w:ilvl="2">
      <w:start w:val="1"/>
      <w:numFmt w:val="decimal"/>
      <w:lvlText w:val="%1.%2.%3"/>
      <w:lvlJc w:val="left"/>
      <w:pPr>
        <w:tabs>
          <w:tab w:val="num" w:pos="2835"/>
        </w:tabs>
        <w:ind w:left="2835" w:hanging="1134"/>
      </w:pPr>
      <w:rPr>
        <w:rFonts w:ascii="Arial" w:hAnsi="Arial" w:hint="default"/>
        <w:b w:val="0"/>
        <w:i w:val="0"/>
        <w:sz w:val="24"/>
      </w:rPr>
    </w:lvl>
    <w:lvl w:ilvl="3">
      <w:start w:val="1"/>
      <w:numFmt w:val="decimal"/>
      <w:lvlText w:val="%1.%2.%3.%4"/>
      <w:lvlJc w:val="left"/>
      <w:pPr>
        <w:tabs>
          <w:tab w:val="num" w:pos="3969"/>
        </w:tabs>
        <w:ind w:left="3969" w:hanging="1134"/>
      </w:pPr>
      <w:rPr>
        <w:rFonts w:ascii="Arial" w:hAnsi="Arial" w:hint="default"/>
        <w:b w:val="0"/>
        <w:i w:val="0"/>
        <w:sz w:val="24"/>
      </w:rPr>
    </w:lvl>
    <w:lvl w:ilvl="4">
      <w:start w:val="1"/>
      <w:numFmt w:val="decimal"/>
      <w:lvlText w:val="%1.%2.%3.%4.%5"/>
      <w:lvlJc w:val="left"/>
      <w:pPr>
        <w:tabs>
          <w:tab w:val="num" w:pos="5103"/>
        </w:tabs>
        <w:ind w:left="5103" w:hanging="1134"/>
      </w:pPr>
      <w:rPr>
        <w:rFonts w:ascii="Arial" w:hAnsi="Arial" w:hint="default"/>
        <w:b w:val="0"/>
        <w:i w:val="0"/>
        <w:sz w:val="24"/>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30064A1"/>
    <w:multiLevelType w:val="hybridMultilevel"/>
    <w:tmpl w:val="1AB4B5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4D1FA4"/>
    <w:multiLevelType w:val="hybridMultilevel"/>
    <w:tmpl w:val="2DB4CDE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3679C0"/>
    <w:multiLevelType w:val="hybridMultilevel"/>
    <w:tmpl w:val="33629C4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31DF6AA5"/>
    <w:multiLevelType w:val="hybridMultilevel"/>
    <w:tmpl w:val="110097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BA205A"/>
    <w:multiLevelType w:val="hybridMultilevel"/>
    <w:tmpl w:val="76F2BE24"/>
    <w:lvl w:ilvl="0" w:tplc="AF1A02DE">
      <w:start w:val="1"/>
      <w:numFmt w:val="decimal"/>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D0B0E00"/>
    <w:multiLevelType w:val="hybridMultilevel"/>
    <w:tmpl w:val="1624A66C"/>
    <w:lvl w:ilvl="0" w:tplc="62EC5B0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61D13BD"/>
    <w:multiLevelType w:val="multilevel"/>
    <w:tmpl w:val="92D0E282"/>
    <w:lvl w:ilvl="0">
      <w:start w:val="1"/>
      <w:numFmt w:val="decimal"/>
      <w:lvlText w:val="[%1]"/>
      <w:lvlJc w:val="left"/>
      <w:pPr>
        <w:tabs>
          <w:tab w:val="num" w:pos="680"/>
        </w:tabs>
        <w:ind w:left="0" w:firstLine="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63AD2B63"/>
    <w:multiLevelType w:val="hybridMultilevel"/>
    <w:tmpl w:val="A80C5D10"/>
    <w:lvl w:ilvl="0" w:tplc="7D8615E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5C87E7C"/>
    <w:multiLevelType w:val="hybridMultilevel"/>
    <w:tmpl w:val="E50C8C6E"/>
    <w:lvl w:ilvl="0" w:tplc="0C322EBE">
      <w:start w:val="1"/>
      <w:numFmt w:val="decimal"/>
      <w:lvlText w:val="%1."/>
      <w:lvlJc w:val="left"/>
      <w:pPr>
        <w:ind w:left="720" w:hanging="360"/>
      </w:pPr>
      <w:rPr>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B545158"/>
    <w:multiLevelType w:val="hybridMultilevel"/>
    <w:tmpl w:val="C8366522"/>
    <w:lvl w:ilvl="0" w:tplc="2242B058">
      <w:start w:val="1"/>
      <w:numFmt w:val="decimal"/>
      <w:lvlText w:val="%1."/>
      <w:lvlJc w:val="left"/>
      <w:pPr>
        <w:ind w:left="1440" w:hanging="720"/>
      </w:pPr>
      <w:rPr>
        <w:rFonts w:hint="default"/>
        <w:b w:val="0"/>
        <w:bCs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70E83F08"/>
    <w:multiLevelType w:val="hybridMultilevel"/>
    <w:tmpl w:val="C2E432E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2"/>
  </w:num>
  <w:num w:numId="12">
    <w:abstractNumId w:val="2"/>
    <w:lvlOverride w:ilvl="0">
      <w:startOverride w:val="1"/>
    </w:lvlOverride>
  </w:num>
  <w:num w:numId="13">
    <w:abstractNumId w:val="0"/>
  </w:num>
  <w:num w:numId="14">
    <w:abstractNumId w:val="4"/>
  </w:num>
  <w:num w:numId="15">
    <w:abstractNumId w:val="7"/>
  </w:num>
  <w:num w:numId="16">
    <w:abstractNumId w:val="12"/>
  </w:num>
  <w:num w:numId="17">
    <w:abstractNumId w:val="14"/>
  </w:num>
  <w:num w:numId="18">
    <w:abstractNumId w:val="6"/>
  </w:num>
  <w:num w:numId="19">
    <w:abstractNumId w:val="5"/>
  </w:num>
  <w:num w:numId="20">
    <w:abstractNumId w:val="1"/>
  </w:num>
  <w:num w:numId="21">
    <w:abstractNumId w:val="3"/>
  </w:num>
  <w:num w:numId="22">
    <w:abstractNumId w:val="13"/>
  </w:num>
  <w:num w:numId="23">
    <w:abstractNumId w:val="9"/>
  </w:num>
  <w:num w:numId="24">
    <w:abstractNumId w:val="11"/>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3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0F3"/>
    <w:rsid w:val="00003278"/>
    <w:rsid w:val="000045D2"/>
    <w:rsid w:val="0001004F"/>
    <w:rsid w:val="00014695"/>
    <w:rsid w:val="00015829"/>
    <w:rsid w:val="00021B45"/>
    <w:rsid w:val="00022455"/>
    <w:rsid w:val="0002284D"/>
    <w:rsid w:val="000257A5"/>
    <w:rsid w:val="0003222E"/>
    <w:rsid w:val="00032D50"/>
    <w:rsid w:val="0003332C"/>
    <w:rsid w:val="0003374F"/>
    <w:rsid w:val="000338E4"/>
    <w:rsid w:val="000371A1"/>
    <w:rsid w:val="00037752"/>
    <w:rsid w:val="00041C5D"/>
    <w:rsid w:val="00041E98"/>
    <w:rsid w:val="00042E4C"/>
    <w:rsid w:val="000438F7"/>
    <w:rsid w:val="00046138"/>
    <w:rsid w:val="000538A0"/>
    <w:rsid w:val="000570BC"/>
    <w:rsid w:val="000572AB"/>
    <w:rsid w:val="000704F2"/>
    <w:rsid w:val="00070C16"/>
    <w:rsid w:val="00072FF7"/>
    <w:rsid w:val="0008371B"/>
    <w:rsid w:val="00083B91"/>
    <w:rsid w:val="00084D9F"/>
    <w:rsid w:val="00094580"/>
    <w:rsid w:val="00095A15"/>
    <w:rsid w:val="00096107"/>
    <w:rsid w:val="00096A50"/>
    <w:rsid w:val="000A7955"/>
    <w:rsid w:val="000A7E3D"/>
    <w:rsid w:val="000B0C92"/>
    <w:rsid w:val="000B22E6"/>
    <w:rsid w:val="000B3F10"/>
    <w:rsid w:val="000B4737"/>
    <w:rsid w:val="000B5BD0"/>
    <w:rsid w:val="000B6EE7"/>
    <w:rsid w:val="000C38CF"/>
    <w:rsid w:val="000C638A"/>
    <w:rsid w:val="000C6624"/>
    <w:rsid w:val="000D0F49"/>
    <w:rsid w:val="000E0CA7"/>
    <w:rsid w:val="000E1858"/>
    <w:rsid w:val="000F0596"/>
    <w:rsid w:val="000F0AA7"/>
    <w:rsid w:val="000F132F"/>
    <w:rsid w:val="000F4A63"/>
    <w:rsid w:val="000F7521"/>
    <w:rsid w:val="001016AC"/>
    <w:rsid w:val="001051A9"/>
    <w:rsid w:val="001062BC"/>
    <w:rsid w:val="00110152"/>
    <w:rsid w:val="00110D97"/>
    <w:rsid w:val="001157CB"/>
    <w:rsid w:val="0011593C"/>
    <w:rsid w:val="001164FB"/>
    <w:rsid w:val="00121CCD"/>
    <w:rsid w:val="001422EA"/>
    <w:rsid w:val="00142369"/>
    <w:rsid w:val="00142F37"/>
    <w:rsid w:val="0014473A"/>
    <w:rsid w:val="00145E80"/>
    <w:rsid w:val="00152656"/>
    <w:rsid w:val="001611B1"/>
    <w:rsid w:val="0016238B"/>
    <w:rsid w:val="00164E6D"/>
    <w:rsid w:val="00167F6D"/>
    <w:rsid w:val="00173AAD"/>
    <w:rsid w:val="00174780"/>
    <w:rsid w:val="00174981"/>
    <w:rsid w:val="00175EC2"/>
    <w:rsid w:val="00183FC9"/>
    <w:rsid w:val="00184A43"/>
    <w:rsid w:val="00184AD7"/>
    <w:rsid w:val="001874A8"/>
    <w:rsid w:val="001927E9"/>
    <w:rsid w:val="00194B9C"/>
    <w:rsid w:val="001954C3"/>
    <w:rsid w:val="001A3EE2"/>
    <w:rsid w:val="001A6042"/>
    <w:rsid w:val="001B3A6C"/>
    <w:rsid w:val="001B4C29"/>
    <w:rsid w:val="001B6967"/>
    <w:rsid w:val="001B730C"/>
    <w:rsid w:val="001C050A"/>
    <w:rsid w:val="001C0679"/>
    <w:rsid w:val="001C152C"/>
    <w:rsid w:val="001C21BF"/>
    <w:rsid w:val="001C36C2"/>
    <w:rsid w:val="001C49CA"/>
    <w:rsid w:val="001D1E11"/>
    <w:rsid w:val="001D31D7"/>
    <w:rsid w:val="001F0E13"/>
    <w:rsid w:val="001F195B"/>
    <w:rsid w:val="001F3084"/>
    <w:rsid w:val="001F6541"/>
    <w:rsid w:val="001F72F8"/>
    <w:rsid w:val="001F79EE"/>
    <w:rsid w:val="00200AE0"/>
    <w:rsid w:val="00202EEA"/>
    <w:rsid w:val="002032B7"/>
    <w:rsid w:val="0020732A"/>
    <w:rsid w:val="002156B6"/>
    <w:rsid w:val="002208F2"/>
    <w:rsid w:val="00222111"/>
    <w:rsid w:val="00227244"/>
    <w:rsid w:val="00232B8F"/>
    <w:rsid w:val="0023480B"/>
    <w:rsid w:val="00236176"/>
    <w:rsid w:val="00236F9A"/>
    <w:rsid w:val="00240ADE"/>
    <w:rsid w:val="0024725F"/>
    <w:rsid w:val="00252673"/>
    <w:rsid w:val="002553AB"/>
    <w:rsid w:val="002579E3"/>
    <w:rsid w:val="00263B68"/>
    <w:rsid w:val="00274F38"/>
    <w:rsid w:val="00284E12"/>
    <w:rsid w:val="00285C2D"/>
    <w:rsid w:val="00285FE6"/>
    <w:rsid w:val="00287753"/>
    <w:rsid w:val="00287A18"/>
    <w:rsid w:val="00287E45"/>
    <w:rsid w:val="00293171"/>
    <w:rsid w:val="0029403E"/>
    <w:rsid w:val="00295722"/>
    <w:rsid w:val="00295C91"/>
    <w:rsid w:val="002A2DEA"/>
    <w:rsid w:val="002A4594"/>
    <w:rsid w:val="002A6B06"/>
    <w:rsid w:val="002B0737"/>
    <w:rsid w:val="002B300A"/>
    <w:rsid w:val="002B4FF7"/>
    <w:rsid w:val="002C07DF"/>
    <w:rsid w:val="002C136B"/>
    <w:rsid w:val="002C4225"/>
    <w:rsid w:val="002C5F97"/>
    <w:rsid w:val="002C7557"/>
    <w:rsid w:val="002C7AC5"/>
    <w:rsid w:val="002D0E78"/>
    <w:rsid w:val="002D1FD9"/>
    <w:rsid w:val="002D2527"/>
    <w:rsid w:val="002D6E04"/>
    <w:rsid w:val="002E0CD5"/>
    <w:rsid w:val="002E0F3B"/>
    <w:rsid w:val="002E1AA1"/>
    <w:rsid w:val="002E27EA"/>
    <w:rsid w:val="002E4857"/>
    <w:rsid w:val="002E68FB"/>
    <w:rsid w:val="002E7141"/>
    <w:rsid w:val="002F6A17"/>
    <w:rsid w:val="002F7A91"/>
    <w:rsid w:val="00301BFC"/>
    <w:rsid w:val="0030434C"/>
    <w:rsid w:val="0031276F"/>
    <w:rsid w:val="00317021"/>
    <w:rsid w:val="0032361C"/>
    <w:rsid w:val="003248CA"/>
    <w:rsid w:val="00326649"/>
    <w:rsid w:val="00331E55"/>
    <w:rsid w:val="00332B94"/>
    <w:rsid w:val="00332E18"/>
    <w:rsid w:val="00333F3F"/>
    <w:rsid w:val="00341131"/>
    <w:rsid w:val="00343C9A"/>
    <w:rsid w:val="00345390"/>
    <w:rsid w:val="00346305"/>
    <w:rsid w:val="00346927"/>
    <w:rsid w:val="003508EF"/>
    <w:rsid w:val="00352F70"/>
    <w:rsid w:val="00353E38"/>
    <w:rsid w:val="003644DF"/>
    <w:rsid w:val="00364B81"/>
    <w:rsid w:val="00366550"/>
    <w:rsid w:val="00366E8D"/>
    <w:rsid w:val="00367C45"/>
    <w:rsid w:val="0037404B"/>
    <w:rsid w:val="00381048"/>
    <w:rsid w:val="00381E96"/>
    <w:rsid w:val="003821D4"/>
    <w:rsid w:val="00382C78"/>
    <w:rsid w:val="003837F4"/>
    <w:rsid w:val="00386F56"/>
    <w:rsid w:val="00386FCB"/>
    <w:rsid w:val="00387A28"/>
    <w:rsid w:val="00387B4C"/>
    <w:rsid w:val="003908D9"/>
    <w:rsid w:val="00391BE5"/>
    <w:rsid w:val="0039381A"/>
    <w:rsid w:val="003A18CF"/>
    <w:rsid w:val="003A3082"/>
    <w:rsid w:val="003A3C4A"/>
    <w:rsid w:val="003A3E5C"/>
    <w:rsid w:val="003A3E8C"/>
    <w:rsid w:val="003B12C2"/>
    <w:rsid w:val="003B1B0B"/>
    <w:rsid w:val="003B5AA1"/>
    <w:rsid w:val="003C10FC"/>
    <w:rsid w:val="003C3820"/>
    <w:rsid w:val="003C4665"/>
    <w:rsid w:val="003C4F04"/>
    <w:rsid w:val="003C5CF6"/>
    <w:rsid w:val="003C7B6C"/>
    <w:rsid w:val="003D12ED"/>
    <w:rsid w:val="003D470B"/>
    <w:rsid w:val="003D5DB8"/>
    <w:rsid w:val="003D7AD6"/>
    <w:rsid w:val="003E00B9"/>
    <w:rsid w:val="003E58D4"/>
    <w:rsid w:val="003E5D6C"/>
    <w:rsid w:val="003E7F12"/>
    <w:rsid w:val="003F36B3"/>
    <w:rsid w:val="003F60C3"/>
    <w:rsid w:val="003F717B"/>
    <w:rsid w:val="00407C2D"/>
    <w:rsid w:val="004103D2"/>
    <w:rsid w:val="004110F6"/>
    <w:rsid w:val="004141C4"/>
    <w:rsid w:val="00421154"/>
    <w:rsid w:val="00423231"/>
    <w:rsid w:val="00425629"/>
    <w:rsid w:val="00427A16"/>
    <w:rsid w:val="0043117B"/>
    <w:rsid w:val="00432ABF"/>
    <w:rsid w:val="00435F7C"/>
    <w:rsid w:val="00441558"/>
    <w:rsid w:val="00441A77"/>
    <w:rsid w:val="0044313C"/>
    <w:rsid w:val="0044789D"/>
    <w:rsid w:val="0046182E"/>
    <w:rsid w:val="00461EBB"/>
    <w:rsid w:val="004620BF"/>
    <w:rsid w:val="004639AA"/>
    <w:rsid w:val="00464779"/>
    <w:rsid w:val="0046554A"/>
    <w:rsid w:val="00465726"/>
    <w:rsid w:val="00466088"/>
    <w:rsid w:val="00471242"/>
    <w:rsid w:val="00472BE3"/>
    <w:rsid w:val="00477BB9"/>
    <w:rsid w:val="00484527"/>
    <w:rsid w:val="00484D65"/>
    <w:rsid w:val="00490315"/>
    <w:rsid w:val="004913D3"/>
    <w:rsid w:val="004944F0"/>
    <w:rsid w:val="00497E1A"/>
    <w:rsid w:val="004A078B"/>
    <w:rsid w:val="004A1018"/>
    <w:rsid w:val="004A14DE"/>
    <w:rsid w:val="004B3EEE"/>
    <w:rsid w:val="004B52C6"/>
    <w:rsid w:val="004C7588"/>
    <w:rsid w:val="004D02BA"/>
    <w:rsid w:val="004D0891"/>
    <w:rsid w:val="004D0CF5"/>
    <w:rsid w:val="004D3AD0"/>
    <w:rsid w:val="004D6CE1"/>
    <w:rsid w:val="004E00EA"/>
    <w:rsid w:val="004E3677"/>
    <w:rsid w:val="004E3BD7"/>
    <w:rsid w:val="004E3E1A"/>
    <w:rsid w:val="004E55C8"/>
    <w:rsid w:val="004F385F"/>
    <w:rsid w:val="00503030"/>
    <w:rsid w:val="005031F4"/>
    <w:rsid w:val="00506517"/>
    <w:rsid w:val="005070E7"/>
    <w:rsid w:val="005078C5"/>
    <w:rsid w:val="005121A8"/>
    <w:rsid w:val="0052091D"/>
    <w:rsid w:val="005245C6"/>
    <w:rsid w:val="00526CE6"/>
    <w:rsid w:val="0052715F"/>
    <w:rsid w:val="0053141A"/>
    <w:rsid w:val="005314E0"/>
    <w:rsid w:val="00532870"/>
    <w:rsid w:val="00533037"/>
    <w:rsid w:val="00535082"/>
    <w:rsid w:val="00535D55"/>
    <w:rsid w:val="00535E74"/>
    <w:rsid w:val="00536BF2"/>
    <w:rsid w:val="00540A9C"/>
    <w:rsid w:val="00542296"/>
    <w:rsid w:val="00542F53"/>
    <w:rsid w:val="00551427"/>
    <w:rsid w:val="005574A3"/>
    <w:rsid w:val="005622B5"/>
    <w:rsid w:val="005623E3"/>
    <w:rsid w:val="005627D3"/>
    <w:rsid w:val="00563BBE"/>
    <w:rsid w:val="0056514F"/>
    <w:rsid w:val="00567035"/>
    <w:rsid w:val="0056742C"/>
    <w:rsid w:val="005747DF"/>
    <w:rsid w:val="00574F1B"/>
    <w:rsid w:val="0057694D"/>
    <w:rsid w:val="00577186"/>
    <w:rsid w:val="00577B18"/>
    <w:rsid w:val="00587166"/>
    <w:rsid w:val="00590B22"/>
    <w:rsid w:val="005B0271"/>
    <w:rsid w:val="005B02F0"/>
    <w:rsid w:val="005B035D"/>
    <w:rsid w:val="005B1F83"/>
    <w:rsid w:val="005D09CF"/>
    <w:rsid w:val="005D0DE4"/>
    <w:rsid w:val="005D5F18"/>
    <w:rsid w:val="005D7011"/>
    <w:rsid w:val="005E07C7"/>
    <w:rsid w:val="005E0F23"/>
    <w:rsid w:val="005E2BB6"/>
    <w:rsid w:val="005E7101"/>
    <w:rsid w:val="005F1027"/>
    <w:rsid w:val="005F25A8"/>
    <w:rsid w:val="005F3E42"/>
    <w:rsid w:val="005F6E2E"/>
    <w:rsid w:val="0060195E"/>
    <w:rsid w:val="00601A88"/>
    <w:rsid w:val="00604DD6"/>
    <w:rsid w:val="006114F7"/>
    <w:rsid w:val="00613C60"/>
    <w:rsid w:val="00616DD7"/>
    <w:rsid w:val="006177C2"/>
    <w:rsid w:val="00620644"/>
    <w:rsid w:val="00621999"/>
    <w:rsid w:val="00622A22"/>
    <w:rsid w:val="0062527C"/>
    <w:rsid w:val="00625343"/>
    <w:rsid w:val="0063208A"/>
    <w:rsid w:val="00642364"/>
    <w:rsid w:val="006512CD"/>
    <w:rsid w:val="00655C29"/>
    <w:rsid w:val="00657B43"/>
    <w:rsid w:val="006613F2"/>
    <w:rsid w:val="00661832"/>
    <w:rsid w:val="006642C1"/>
    <w:rsid w:val="00665081"/>
    <w:rsid w:val="0067159E"/>
    <w:rsid w:val="00671B32"/>
    <w:rsid w:val="00671D15"/>
    <w:rsid w:val="006724E0"/>
    <w:rsid w:val="00672785"/>
    <w:rsid w:val="0067644D"/>
    <w:rsid w:val="0068325C"/>
    <w:rsid w:val="006878EA"/>
    <w:rsid w:val="00692BB0"/>
    <w:rsid w:val="006962C8"/>
    <w:rsid w:val="00696A0D"/>
    <w:rsid w:val="0069783C"/>
    <w:rsid w:val="006A0EBD"/>
    <w:rsid w:val="006A22D6"/>
    <w:rsid w:val="006A26D5"/>
    <w:rsid w:val="006A2E40"/>
    <w:rsid w:val="006A31B7"/>
    <w:rsid w:val="006A36BF"/>
    <w:rsid w:val="006A4579"/>
    <w:rsid w:val="006A6304"/>
    <w:rsid w:val="006B0021"/>
    <w:rsid w:val="006B491F"/>
    <w:rsid w:val="006B528B"/>
    <w:rsid w:val="006B7187"/>
    <w:rsid w:val="006C11E0"/>
    <w:rsid w:val="006C1700"/>
    <w:rsid w:val="006C49B6"/>
    <w:rsid w:val="006C6954"/>
    <w:rsid w:val="006D21A9"/>
    <w:rsid w:val="006D2D22"/>
    <w:rsid w:val="006E3711"/>
    <w:rsid w:val="006F6496"/>
    <w:rsid w:val="007038B4"/>
    <w:rsid w:val="00707C78"/>
    <w:rsid w:val="00710457"/>
    <w:rsid w:val="00723D64"/>
    <w:rsid w:val="00724588"/>
    <w:rsid w:val="00724A00"/>
    <w:rsid w:val="0072533A"/>
    <w:rsid w:val="00725DD6"/>
    <w:rsid w:val="00730113"/>
    <w:rsid w:val="00736BE8"/>
    <w:rsid w:val="007370E1"/>
    <w:rsid w:val="007410F3"/>
    <w:rsid w:val="00745162"/>
    <w:rsid w:val="007459C4"/>
    <w:rsid w:val="007467A3"/>
    <w:rsid w:val="0074753B"/>
    <w:rsid w:val="00754F65"/>
    <w:rsid w:val="00763571"/>
    <w:rsid w:val="007668C6"/>
    <w:rsid w:val="00774E4C"/>
    <w:rsid w:val="00777FE3"/>
    <w:rsid w:val="00783E0F"/>
    <w:rsid w:val="00793F89"/>
    <w:rsid w:val="007947C8"/>
    <w:rsid w:val="00796067"/>
    <w:rsid w:val="007A0B76"/>
    <w:rsid w:val="007A23EE"/>
    <w:rsid w:val="007A60A6"/>
    <w:rsid w:val="007A79D4"/>
    <w:rsid w:val="007B0673"/>
    <w:rsid w:val="007B5814"/>
    <w:rsid w:val="007B6624"/>
    <w:rsid w:val="007B7CC0"/>
    <w:rsid w:val="007C00B0"/>
    <w:rsid w:val="007C1EAF"/>
    <w:rsid w:val="007C2FC8"/>
    <w:rsid w:val="007C4840"/>
    <w:rsid w:val="007C4FCE"/>
    <w:rsid w:val="007C6AD0"/>
    <w:rsid w:val="007D43C8"/>
    <w:rsid w:val="007D7335"/>
    <w:rsid w:val="007E403C"/>
    <w:rsid w:val="007F0862"/>
    <w:rsid w:val="007F10AB"/>
    <w:rsid w:val="007F1648"/>
    <w:rsid w:val="00806AA0"/>
    <w:rsid w:val="008074DF"/>
    <w:rsid w:val="00807A5D"/>
    <w:rsid w:val="0081085A"/>
    <w:rsid w:val="00821583"/>
    <w:rsid w:val="00821776"/>
    <w:rsid w:val="00822042"/>
    <w:rsid w:val="0083136B"/>
    <w:rsid w:val="00833EAA"/>
    <w:rsid w:val="00834803"/>
    <w:rsid w:val="00834AB3"/>
    <w:rsid w:val="008358C3"/>
    <w:rsid w:val="00837ED7"/>
    <w:rsid w:val="00842678"/>
    <w:rsid w:val="00847348"/>
    <w:rsid w:val="00847CD6"/>
    <w:rsid w:val="00851D8D"/>
    <w:rsid w:val="0085206B"/>
    <w:rsid w:val="00853CCE"/>
    <w:rsid w:val="00855AC9"/>
    <w:rsid w:val="00860C4E"/>
    <w:rsid w:val="0087217E"/>
    <w:rsid w:val="00877377"/>
    <w:rsid w:val="008859BC"/>
    <w:rsid w:val="00886DBC"/>
    <w:rsid w:val="00890107"/>
    <w:rsid w:val="008908A4"/>
    <w:rsid w:val="008910F7"/>
    <w:rsid w:val="00892471"/>
    <w:rsid w:val="00893F46"/>
    <w:rsid w:val="00895E04"/>
    <w:rsid w:val="00896CA7"/>
    <w:rsid w:val="00897B62"/>
    <w:rsid w:val="008A06A3"/>
    <w:rsid w:val="008A23AD"/>
    <w:rsid w:val="008A65D2"/>
    <w:rsid w:val="008A7A8D"/>
    <w:rsid w:val="008B1882"/>
    <w:rsid w:val="008B3EB3"/>
    <w:rsid w:val="008B4F51"/>
    <w:rsid w:val="008C1AC4"/>
    <w:rsid w:val="008C5826"/>
    <w:rsid w:val="008C727F"/>
    <w:rsid w:val="008D3BA1"/>
    <w:rsid w:val="008D5112"/>
    <w:rsid w:val="008E15A3"/>
    <w:rsid w:val="008E31EF"/>
    <w:rsid w:val="008E4820"/>
    <w:rsid w:val="008E4D63"/>
    <w:rsid w:val="008E562C"/>
    <w:rsid w:val="008F028C"/>
    <w:rsid w:val="008F1AED"/>
    <w:rsid w:val="008F2347"/>
    <w:rsid w:val="008F3D89"/>
    <w:rsid w:val="008F7679"/>
    <w:rsid w:val="00901C6E"/>
    <w:rsid w:val="00911782"/>
    <w:rsid w:val="00915867"/>
    <w:rsid w:val="00917ECA"/>
    <w:rsid w:val="00922C48"/>
    <w:rsid w:val="00923628"/>
    <w:rsid w:val="0092516D"/>
    <w:rsid w:val="00925697"/>
    <w:rsid w:val="0093470B"/>
    <w:rsid w:val="00936750"/>
    <w:rsid w:val="00937742"/>
    <w:rsid w:val="00940036"/>
    <w:rsid w:val="009406DE"/>
    <w:rsid w:val="00940A0D"/>
    <w:rsid w:val="009417C6"/>
    <w:rsid w:val="00945953"/>
    <w:rsid w:val="00946DCB"/>
    <w:rsid w:val="00946E18"/>
    <w:rsid w:val="00954EAE"/>
    <w:rsid w:val="009559B5"/>
    <w:rsid w:val="00956643"/>
    <w:rsid w:val="00956CCD"/>
    <w:rsid w:val="009612A3"/>
    <w:rsid w:val="0096333D"/>
    <w:rsid w:val="00967D7A"/>
    <w:rsid w:val="00971A6F"/>
    <w:rsid w:val="00972455"/>
    <w:rsid w:val="00972C7C"/>
    <w:rsid w:val="0098219B"/>
    <w:rsid w:val="0098694B"/>
    <w:rsid w:val="00987555"/>
    <w:rsid w:val="00987B57"/>
    <w:rsid w:val="009901FC"/>
    <w:rsid w:val="009971B8"/>
    <w:rsid w:val="009A1262"/>
    <w:rsid w:val="009A165B"/>
    <w:rsid w:val="009A2E8B"/>
    <w:rsid w:val="009A45EE"/>
    <w:rsid w:val="009A4CE1"/>
    <w:rsid w:val="009A5BEA"/>
    <w:rsid w:val="009A5D3F"/>
    <w:rsid w:val="009A6FE2"/>
    <w:rsid w:val="009B0644"/>
    <w:rsid w:val="009B2AFF"/>
    <w:rsid w:val="009B6EF8"/>
    <w:rsid w:val="009C1004"/>
    <w:rsid w:val="009C1540"/>
    <w:rsid w:val="009C3888"/>
    <w:rsid w:val="009C5EE1"/>
    <w:rsid w:val="009D0E27"/>
    <w:rsid w:val="009D1AF7"/>
    <w:rsid w:val="009D6B9F"/>
    <w:rsid w:val="009E12A3"/>
    <w:rsid w:val="009E1AB2"/>
    <w:rsid w:val="009E504B"/>
    <w:rsid w:val="009E7EA4"/>
    <w:rsid w:val="009F1876"/>
    <w:rsid w:val="009F1B83"/>
    <w:rsid w:val="009F4CA5"/>
    <w:rsid w:val="009F508A"/>
    <w:rsid w:val="009F6ACC"/>
    <w:rsid w:val="00A01B31"/>
    <w:rsid w:val="00A0247F"/>
    <w:rsid w:val="00A02F61"/>
    <w:rsid w:val="00A039EA"/>
    <w:rsid w:val="00A064C7"/>
    <w:rsid w:val="00A06E23"/>
    <w:rsid w:val="00A13878"/>
    <w:rsid w:val="00A13F34"/>
    <w:rsid w:val="00A1532F"/>
    <w:rsid w:val="00A203C4"/>
    <w:rsid w:val="00A20CBD"/>
    <w:rsid w:val="00A249CF"/>
    <w:rsid w:val="00A274C2"/>
    <w:rsid w:val="00A3495A"/>
    <w:rsid w:val="00A34B00"/>
    <w:rsid w:val="00A35CE0"/>
    <w:rsid w:val="00A42323"/>
    <w:rsid w:val="00A45501"/>
    <w:rsid w:val="00A5209F"/>
    <w:rsid w:val="00A520A5"/>
    <w:rsid w:val="00A57CB2"/>
    <w:rsid w:val="00A60535"/>
    <w:rsid w:val="00A6575C"/>
    <w:rsid w:val="00A67C00"/>
    <w:rsid w:val="00A7047B"/>
    <w:rsid w:val="00A71EBE"/>
    <w:rsid w:val="00A73D99"/>
    <w:rsid w:val="00A74924"/>
    <w:rsid w:val="00A80D8F"/>
    <w:rsid w:val="00A81C1D"/>
    <w:rsid w:val="00A824B7"/>
    <w:rsid w:val="00A84403"/>
    <w:rsid w:val="00A8643F"/>
    <w:rsid w:val="00A918DE"/>
    <w:rsid w:val="00A92510"/>
    <w:rsid w:val="00A97332"/>
    <w:rsid w:val="00AA2356"/>
    <w:rsid w:val="00AA3749"/>
    <w:rsid w:val="00AA6292"/>
    <w:rsid w:val="00AA6755"/>
    <w:rsid w:val="00AC303B"/>
    <w:rsid w:val="00AC6D8F"/>
    <w:rsid w:val="00AD1349"/>
    <w:rsid w:val="00AD2D1A"/>
    <w:rsid w:val="00AD35F4"/>
    <w:rsid w:val="00AD6391"/>
    <w:rsid w:val="00AD7EA1"/>
    <w:rsid w:val="00AE1728"/>
    <w:rsid w:val="00AE7143"/>
    <w:rsid w:val="00AE7602"/>
    <w:rsid w:val="00AF1647"/>
    <w:rsid w:val="00AF4E5F"/>
    <w:rsid w:val="00AF59D9"/>
    <w:rsid w:val="00AF5AB3"/>
    <w:rsid w:val="00B00A41"/>
    <w:rsid w:val="00B02459"/>
    <w:rsid w:val="00B031EC"/>
    <w:rsid w:val="00B045BB"/>
    <w:rsid w:val="00B100AA"/>
    <w:rsid w:val="00B10121"/>
    <w:rsid w:val="00B10184"/>
    <w:rsid w:val="00B111F2"/>
    <w:rsid w:val="00B174D1"/>
    <w:rsid w:val="00B2147F"/>
    <w:rsid w:val="00B231CE"/>
    <w:rsid w:val="00B31462"/>
    <w:rsid w:val="00B32AB4"/>
    <w:rsid w:val="00B33DA1"/>
    <w:rsid w:val="00B410F3"/>
    <w:rsid w:val="00B519AA"/>
    <w:rsid w:val="00B52BB7"/>
    <w:rsid w:val="00B6105D"/>
    <w:rsid w:val="00B62F16"/>
    <w:rsid w:val="00B64ADD"/>
    <w:rsid w:val="00B7017B"/>
    <w:rsid w:val="00B718C0"/>
    <w:rsid w:val="00B80A21"/>
    <w:rsid w:val="00B81C58"/>
    <w:rsid w:val="00B81F77"/>
    <w:rsid w:val="00B822E7"/>
    <w:rsid w:val="00B82591"/>
    <w:rsid w:val="00B82E02"/>
    <w:rsid w:val="00B8590B"/>
    <w:rsid w:val="00B85D87"/>
    <w:rsid w:val="00B87B8F"/>
    <w:rsid w:val="00B932EF"/>
    <w:rsid w:val="00B937B0"/>
    <w:rsid w:val="00B97ED9"/>
    <w:rsid w:val="00BA3BEF"/>
    <w:rsid w:val="00BA4DDC"/>
    <w:rsid w:val="00BA7A05"/>
    <w:rsid w:val="00BB0654"/>
    <w:rsid w:val="00BB312F"/>
    <w:rsid w:val="00BB36C9"/>
    <w:rsid w:val="00BB611B"/>
    <w:rsid w:val="00BB7E7B"/>
    <w:rsid w:val="00BC118D"/>
    <w:rsid w:val="00BC1877"/>
    <w:rsid w:val="00BC231D"/>
    <w:rsid w:val="00BC3429"/>
    <w:rsid w:val="00BD0174"/>
    <w:rsid w:val="00BD1EA6"/>
    <w:rsid w:val="00BD42C8"/>
    <w:rsid w:val="00BE1AB6"/>
    <w:rsid w:val="00BE5C07"/>
    <w:rsid w:val="00BE700A"/>
    <w:rsid w:val="00BF2443"/>
    <w:rsid w:val="00BF26A7"/>
    <w:rsid w:val="00BF3824"/>
    <w:rsid w:val="00C066B6"/>
    <w:rsid w:val="00C1421F"/>
    <w:rsid w:val="00C14E30"/>
    <w:rsid w:val="00C1523B"/>
    <w:rsid w:val="00C20481"/>
    <w:rsid w:val="00C21601"/>
    <w:rsid w:val="00C236BE"/>
    <w:rsid w:val="00C24B71"/>
    <w:rsid w:val="00C33A21"/>
    <w:rsid w:val="00C345E5"/>
    <w:rsid w:val="00C365C3"/>
    <w:rsid w:val="00C37F8C"/>
    <w:rsid w:val="00C426B6"/>
    <w:rsid w:val="00C43C35"/>
    <w:rsid w:val="00C441E1"/>
    <w:rsid w:val="00C44207"/>
    <w:rsid w:val="00C4533A"/>
    <w:rsid w:val="00C51413"/>
    <w:rsid w:val="00C5189E"/>
    <w:rsid w:val="00C6034D"/>
    <w:rsid w:val="00C606D8"/>
    <w:rsid w:val="00C63EC7"/>
    <w:rsid w:val="00C6520E"/>
    <w:rsid w:val="00C664C5"/>
    <w:rsid w:val="00C67D73"/>
    <w:rsid w:val="00C73151"/>
    <w:rsid w:val="00C739DB"/>
    <w:rsid w:val="00C73DB1"/>
    <w:rsid w:val="00C74761"/>
    <w:rsid w:val="00C77874"/>
    <w:rsid w:val="00C77B62"/>
    <w:rsid w:val="00C81041"/>
    <w:rsid w:val="00C84851"/>
    <w:rsid w:val="00C8514F"/>
    <w:rsid w:val="00C8593F"/>
    <w:rsid w:val="00C90143"/>
    <w:rsid w:val="00C95D7C"/>
    <w:rsid w:val="00CA3AAC"/>
    <w:rsid w:val="00CA3BF8"/>
    <w:rsid w:val="00CA6ACC"/>
    <w:rsid w:val="00CB0CB2"/>
    <w:rsid w:val="00CB1E77"/>
    <w:rsid w:val="00CB29D0"/>
    <w:rsid w:val="00CB63EA"/>
    <w:rsid w:val="00CC158D"/>
    <w:rsid w:val="00CC301A"/>
    <w:rsid w:val="00CC38E6"/>
    <w:rsid w:val="00CC47E4"/>
    <w:rsid w:val="00CC6FCA"/>
    <w:rsid w:val="00CD0814"/>
    <w:rsid w:val="00CD263B"/>
    <w:rsid w:val="00CD3AC4"/>
    <w:rsid w:val="00CD4284"/>
    <w:rsid w:val="00CD7FE2"/>
    <w:rsid w:val="00CE1061"/>
    <w:rsid w:val="00CE1091"/>
    <w:rsid w:val="00CE410B"/>
    <w:rsid w:val="00CE5F9F"/>
    <w:rsid w:val="00CE78D1"/>
    <w:rsid w:val="00CE7BFE"/>
    <w:rsid w:val="00CF0044"/>
    <w:rsid w:val="00CF50A8"/>
    <w:rsid w:val="00D033C4"/>
    <w:rsid w:val="00D0340C"/>
    <w:rsid w:val="00D06E80"/>
    <w:rsid w:val="00D12C37"/>
    <w:rsid w:val="00D12D5A"/>
    <w:rsid w:val="00D149F3"/>
    <w:rsid w:val="00D234CE"/>
    <w:rsid w:val="00D25D9B"/>
    <w:rsid w:val="00D26770"/>
    <w:rsid w:val="00D3087E"/>
    <w:rsid w:val="00D34CA5"/>
    <w:rsid w:val="00D46868"/>
    <w:rsid w:val="00D55422"/>
    <w:rsid w:val="00D5688B"/>
    <w:rsid w:val="00D56AB2"/>
    <w:rsid w:val="00D615D9"/>
    <w:rsid w:val="00D71E3D"/>
    <w:rsid w:val="00D73DED"/>
    <w:rsid w:val="00D75BC1"/>
    <w:rsid w:val="00D76A1F"/>
    <w:rsid w:val="00D81693"/>
    <w:rsid w:val="00D87315"/>
    <w:rsid w:val="00D917AB"/>
    <w:rsid w:val="00D97A1B"/>
    <w:rsid w:val="00DA7CDD"/>
    <w:rsid w:val="00DB0FA3"/>
    <w:rsid w:val="00DB299C"/>
    <w:rsid w:val="00DB2C99"/>
    <w:rsid w:val="00DB3839"/>
    <w:rsid w:val="00DB3FC8"/>
    <w:rsid w:val="00DB4070"/>
    <w:rsid w:val="00DB5B05"/>
    <w:rsid w:val="00DC179D"/>
    <w:rsid w:val="00DC1D95"/>
    <w:rsid w:val="00DC2C68"/>
    <w:rsid w:val="00DC5F7D"/>
    <w:rsid w:val="00DD05FB"/>
    <w:rsid w:val="00DD3959"/>
    <w:rsid w:val="00DD48C2"/>
    <w:rsid w:val="00DE2274"/>
    <w:rsid w:val="00DE3EF0"/>
    <w:rsid w:val="00DE455A"/>
    <w:rsid w:val="00DE7926"/>
    <w:rsid w:val="00DE7E61"/>
    <w:rsid w:val="00DF3479"/>
    <w:rsid w:val="00DF4112"/>
    <w:rsid w:val="00E010C3"/>
    <w:rsid w:val="00E06171"/>
    <w:rsid w:val="00E10B17"/>
    <w:rsid w:val="00E1245D"/>
    <w:rsid w:val="00E12D4B"/>
    <w:rsid w:val="00E12D85"/>
    <w:rsid w:val="00E138E9"/>
    <w:rsid w:val="00E14C44"/>
    <w:rsid w:val="00E17BEA"/>
    <w:rsid w:val="00E20EA9"/>
    <w:rsid w:val="00E210D3"/>
    <w:rsid w:val="00E22CEF"/>
    <w:rsid w:val="00E230D7"/>
    <w:rsid w:val="00E24098"/>
    <w:rsid w:val="00E24E16"/>
    <w:rsid w:val="00E34313"/>
    <w:rsid w:val="00E367B8"/>
    <w:rsid w:val="00E37F5F"/>
    <w:rsid w:val="00E43D71"/>
    <w:rsid w:val="00E45515"/>
    <w:rsid w:val="00E4607C"/>
    <w:rsid w:val="00E4636A"/>
    <w:rsid w:val="00E50F7F"/>
    <w:rsid w:val="00E51128"/>
    <w:rsid w:val="00E53A8C"/>
    <w:rsid w:val="00E566FD"/>
    <w:rsid w:val="00E63C65"/>
    <w:rsid w:val="00E64902"/>
    <w:rsid w:val="00E65C59"/>
    <w:rsid w:val="00E67184"/>
    <w:rsid w:val="00E70761"/>
    <w:rsid w:val="00E750FF"/>
    <w:rsid w:val="00E80B11"/>
    <w:rsid w:val="00E86045"/>
    <w:rsid w:val="00E86CF5"/>
    <w:rsid w:val="00E879B0"/>
    <w:rsid w:val="00E90A83"/>
    <w:rsid w:val="00E90B7B"/>
    <w:rsid w:val="00E914CC"/>
    <w:rsid w:val="00E91A1E"/>
    <w:rsid w:val="00E93A1B"/>
    <w:rsid w:val="00E95617"/>
    <w:rsid w:val="00E96196"/>
    <w:rsid w:val="00EA2D06"/>
    <w:rsid w:val="00EA4A6E"/>
    <w:rsid w:val="00EB36C0"/>
    <w:rsid w:val="00EB6314"/>
    <w:rsid w:val="00EB663E"/>
    <w:rsid w:val="00EB66C4"/>
    <w:rsid w:val="00EB755F"/>
    <w:rsid w:val="00EC1A9B"/>
    <w:rsid w:val="00ED0142"/>
    <w:rsid w:val="00ED0FE3"/>
    <w:rsid w:val="00ED122A"/>
    <w:rsid w:val="00ED347D"/>
    <w:rsid w:val="00ED650F"/>
    <w:rsid w:val="00EE3027"/>
    <w:rsid w:val="00EE7ABA"/>
    <w:rsid w:val="00EF088B"/>
    <w:rsid w:val="00EF4215"/>
    <w:rsid w:val="00EF52EA"/>
    <w:rsid w:val="00EF5664"/>
    <w:rsid w:val="00EF5711"/>
    <w:rsid w:val="00EF7445"/>
    <w:rsid w:val="00EF7E78"/>
    <w:rsid w:val="00F008DA"/>
    <w:rsid w:val="00F00D4E"/>
    <w:rsid w:val="00F03C5D"/>
    <w:rsid w:val="00F06FC3"/>
    <w:rsid w:val="00F1069E"/>
    <w:rsid w:val="00F109BD"/>
    <w:rsid w:val="00F12F57"/>
    <w:rsid w:val="00F150C4"/>
    <w:rsid w:val="00F157D7"/>
    <w:rsid w:val="00F16B07"/>
    <w:rsid w:val="00F211B3"/>
    <w:rsid w:val="00F231C9"/>
    <w:rsid w:val="00F23963"/>
    <w:rsid w:val="00F245CE"/>
    <w:rsid w:val="00F33071"/>
    <w:rsid w:val="00F334DE"/>
    <w:rsid w:val="00F3586F"/>
    <w:rsid w:val="00F409FD"/>
    <w:rsid w:val="00F44521"/>
    <w:rsid w:val="00F45DC4"/>
    <w:rsid w:val="00F50268"/>
    <w:rsid w:val="00F50937"/>
    <w:rsid w:val="00F53CA6"/>
    <w:rsid w:val="00F549F8"/>
    <w:rsid w:val="00F551FA"/>
    <w:rsid w:val="00F5596E"/>
    <w:rsid w:val="00F76D30"/>
    <w:rsid w:val="00F814E9"/>
    <w:rsid w:val="00F8303E"/>
    <w:rsid w:val="00F833CF"/>
    <w:rsid w:val="00F83CF5"/>
    <w:rsid w:val="00F85D16"/>
    <w:rsid w:val="00F9282B"/>
    <w:rsid w:val="00F92F89"/>
    <w:rsid w:val="00F941CF"/>
    <w:rsid w:val="00F95FFC"/>
    <w:rsid w:val="00FA5D42"/>
    <w:rsid w:val="00FA77FE"/>
    <w:rsid w:val="00FB0A9E"/>
    <w:rsid w:val="00FB3615"/>
    <w:rsid w:val="00FB4B78"/>
    <w:rsid w:val="00FC5FDA"/>
    <w:rsid w:val="00FD5ADD"/>
    <w:rsid w:val="00FE11EB"/>
    <w:rsid w:val="00FE15BC"/>
    <w:rsid w:val="00FE6B1B"/>
    <w:rsid w:val="00FE7863"/>
    <w:rsid w:val="00FE7955"/>
    <w:rsid w:val="00FF180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2986C9"/>
  <w15:docId w15:val="{53DB17AA-FADA-4A5C-BF76-EB2DAE97F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EC7"/>
    <w:pPr>
      <w:spacing w:line="480" w:lineRule="auto"/>
      <w:jc w:val="both"/>
    </w:pPr>
    <w:rPr>
      <w:rFonts w:ascii="Times New Roman" w:hAnsi="Times New Roman"/>
      <w:sz w:val="26"/>
      <w:szCs w:val="22"/>
      <w:lang w:val="en-ZA"/>
    </w:rPr>
  </w:style>
  <w:style w:type="paragraph" w:styleId="Heading2">
    <w:name w:val="heading 2"/>
    <w:basedOn w:val="Normal"/>
    <w:next w:val="Normal"/>
    <w:link w:val="Heading2Char"/>
    <w:uiPriority w:val="9"/>
    <w:semiHidden/>
    <w:qFormat/>
    <w:rsid w:val="00AF1647"/>
    <w:pPr>
      <w:keepNext/>
      <w:keepLines/>
      <w:spacing w:before="40"/>
      <w:outlineLvl w:val="1"/>
    </w:pPr>
    <w:rPr>
      <w:rFonts w:asciiTheme="majorHAnsi" w:eastAsiaTheme="majorEastAsia" w:hAnsiTheme="majorHAnsi" w:cstheme="majorBidi"/>
      <w:color w:val="365F91" w:themeColor="accent1"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DGMENTNUMBERED">
    <w:name w:val="JUDGMENT NUMBERED"/>
    <w:basedOn w:val="Normal"/>
    <w:next w:val="JUDGMENTCONTINUED"/>
    <w:link w:val="JUDGMENTNUMBEREDChar"/>
    <w:qFormat/>
    <w:rsid w:val="00C63EC7"/>
    <w:pPr>
      <w:numPr>
        <w:numId w:val="1"/>
      </w:numPr>
      <w:spacing w:line="360" w:lineRule="auto"/>
      <w:ind w:left="0" w:firstLine="0"/>
    </w:pPr>
  </w:style>
  <w:style w:type="paragraph" w:customStyle="1" w:styleId="JUDGMENTCONTINUED">
    <w:name w:val="JUDGMENT CONTINUED"/>
    <w:basedOn w:val="JUDGMENTNUMBERED"/>
    <w:next w:val="JUDGMENTNUMBERED"/>
    <w:qFormat/>
    <w:rsid w:val="00C63EC7"/>
    <w:pPr>
      <w:numPr>
        <w:numId w:val="0"/>
      </w:numPr>
    </w:pPr>
  </w:style>
  <w:style w:type="character" w:customStyle="1" w:styleId="JUDGMENTNUMBEREDChar">
    <w:name w:val="JUDGMENT NUMBERED Char"/>
    <w:basedOn w:val="DefaultParagraphFont"/>
    <w:link w:val="JUDGMENTNUMBERED"/>
    <w:rsid w:val="00C63EC7"/>
    <w:rPr>
      <w:rFonts w:ascii="Times New Roman" w:hAnsi="Times New Roman"/>
      <w:sz w:val="26"/>
      <w:szCs w:val="22"/>
      <w:lang w:val="en-ZA"/>
    </w:rPr>
  </w:style>
  <w:style w:type="paragraph" w:customStyle="1" w:styleId="QUOTATION">
    <w:name w:val="QUOTATION"/>
    <w:basedOn w:val="Normal"/>
    <w:next w:val="JUDGMENTCONTINUED"/>
    <w:qFormat/>
    <w:rsid w:val="00C63EC7"/>
    <w:pPr>
      <w:spacing w:line="360" w:lineRule="auto"/>
      <w:ind w:left="720" w:right="720"/>
    </w:pPr>
    <w:rPr>
      <w:sz w:val="22"/>
    </w:rPr>
  </w:style>
  <w:style w:type="paragraph" w:customStyle="1" w:styleId="QUOTEINQUOTE">
    <w:name w:val="QUOTE IN QUOTE"/>
    <w:basedOn w:val="QUOTATION"/>
    <w:next w:val="QUOTATION"/>
    <w:qFormat/>
    <w:rsid w:val="00C63EC7"/>
    <w:pPr>
      <w:ind w:left="1440" w:right="1440"/>
    </w:pPr>
  </w:style>
  <w:style w:type="paragraph" w:customStyle="1" w:styleId="FootnoteText1">
    <w:name w:val="Footnote Text1"/>
    <w:basedOn w:val="Normal"/>
    <w:qFormat/>
    <w:rsid w:val="00C63EC7"/>
    <w:pPr>
      <w:spacing w:after="120" w:line="240" w:lineRule="auto"/>
    </w:pPr>
    <w:rPr>
      <w:sz w:val="20"/>
    </w:rPr>
  </w:style>
  <w:style w:type="paragraph" w:styleId="ListParagraph">
    <w:name w:val="List Paragraph"/>
    <w:basedOn w:val="Normal"/>
    <w:uiPriority w:val="34"/>
    <w:qFormat/>
    <w:rsid w:val="00C63EC7"/>
    <w:pPr>
      <w:ind w:left="720"/>
      <w:contextualSpacing/>
    </w:pPr>
  </w:style>
  <w:style w:type="paragraph" w:styleId="FootnoteText">
    <w:name w:val="footnote text"/>
    <w:aliases w:val="Footnote Text Char1 Char,Footnote Text Char Char Char,Footnote Text Char1 Char Char Char,Footnote Text Char Char Char Char Char,Footnote Text Char1 Char Char Char Char Char,Footnote Text Char Char,Footnote Text Char Char1,single space Char"/>
    <w:basedOn w:val="FootnoteText1"/>
    <w:link w:val="FootnoteTextChar"/>
    <w:uiPriority w:val="99"/>
    <w:unhideWhenUsed/>
    <w:qFormat/>
    <w:rsid w:val="00CB63EA"/>
  </w:style>
  <w:style w:type="character" w:customStyle="1" w:styleId="FootnoteTextChar">
    <w:name w:val="Footnote Text Char"/>
    <w:aliases w:val="Footnote Text Char1 Char Char,Footnote Text Char Char Char Char,Footnote Text Char1 Char Char Char Char,Footnote Text Char Char Char Char Char Char,Footnote Text Char1 Char Char Char Char Char Char,Footnote Text Char Char Char1"/>
    <w:basedOn w:val="DefaultParagraphFont"/>
    <w:link w:val="FootnoteText"/>
    <w:uiPriority w:val="99"/>
    <w:qFormat/>
    <w:rsid w:val="00CB63EA"/>
    <w:rPr>
      <w:rFonts w:ascii="Times New Roman" w:hAnsi="Times New Roman"/>
      <w:szCs w:val="22"/>
      <w:lang w:val="en-ZA"/>
    </w:rPr>
  </w:style>
  <w:style w:type="character" w:styleId="FootnoteReference">
    <w:name w:val="footnote reference"/>
    <w:aliases w:val="Ref,de nota al pie,註腳內容,Footnotes refss,Appel note de bas de page,(NECG) Footnote Reference,fr,Footnote Reference + Superscript,Footnote symbol,Style 12,Footnote Reference in text,Footnote Reference Superscript,o,Style 4,Footnote"/>
    <w:basedOn w:val="DefaultParagraphFont"/>
    <w:uiPriority w:val="99"/>
    <w:unhideWhenUsed/>
    <w:qFormat/>
    <w:rsid w:val="00E4607C"/>
    <w:rPr>
      <w:vertAlign w:val="superscript"/>
    </w:rPr>
  </w:style>
  <w:style w:type="paragraph" w:customStyle="1" w:styleId="QUOTEINFOOTNOTE">
    <w:name w:val="QUOTE IN FOOTNOTE"/>
    <w:basedOn w:val="FootnoteText1"/>
    <w:next w:val="FootnoteText1"/>
    <w:qFormat/>
    <w:rsid w:val="00C63EC7"/>
    <w:pPr>
      <w:ind w:left="720" w:right="720"/>
    </w:pPr>
  </w:style>
  <w:style w:type="paragraph" w:styleId="Header">
    <w:name w:val="header"/>
    <w:basedOn w:val="Normal"/>
    <w:link w:val="HeaderChar"/>
    <w:unhideWhenUsed/>
    <w:rsid w:val="008C727F"/>
    <w:pPr>
      <w:tabs>
        <w:tab w:val="center" w:pos="4680"/>
        <w:tab w:val="right" w:pos="9360"/>
      </w:tabs>
      <w:spacing w:line="240" w:lineRule="auto"/>
    </w:pPr>
  </w:style>
  <w:style w:type="character" w:customStyle="1" w:styleId="HeaderChar">
    <w:name w:val="Header Char"/>
    <w:basedOn w:val="DefaultParagraphFont"/>
    <w:link w:val="Header"/>
    <w:uiPriority w:val="99"/>
    <w:rsid w:val="008C727F"/>
    <w:rPr>
      <w:rFonts w:ascii="Times New Roman" w:hAnsi="Times New Roman"/>
      <w:sz w:val="26"/>
    </w:rPr>
  </w:style>
  <w:style w:type="paragraph" w:styleId="Footer">
    <w:name w:val="footer"/>
    <w:basedOn w:val="Normal"/>
    <w:link w:val="FooterChar"/>
    <w:unhideWhenUsed/>
    <w:rsid w:val="008C727F"/>
    <w:pPr>
      <w:tabs>
        <w:tab w:val="center" w:pos="4680"/>
        <w:tab w:val="right" w:pos="9360"/>
      </w:tabs>
      <w:spacing w:line="240" w:lineRule="auto"/>
    </w:pPr>
  </w:style>
  <w:style w:type="character" w:customStyle="1" w:styleId="FooterChar">
    <w:name w:val="Footer Char"/>
    <w:basedOn w:val="DefaultParagraphFont"/>
    <w:link w:val="Footer"/>
    <w:uiPriority w:val="99"/>
    <w:rsid w:val="008C727F"/>
    <w:rPr>
      <w:rFonts w:ascii="Times New Roman" w:hAnsi="Times New Roman"/>
      <w:sz w:val="26"/>
    </w:rPr>
  </w:style>
  <w:style w:type="paragraph" w:styleId="BalloonText">
    <w:name w:val="Balloon Text"/>
    <w:basedOn w:val="Normal"/>
    <w:link w:val="BalloonTextChar"/>
    <w:uiPriority w:val="99"/>
    <w:semiHidden/>
    <w:unhideWhenUsed/>
    <w:rsid w:val="008C727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27F"/>
    <w:rPr>
      <w:rFonts w:ascii="Tahoma" w:hAnsi="Tahoma" w:cs="Tahoma"/>
      <w:sz w:val="16"/>
      <w:szCs w:val="16"/>
    </w:rPr>
  </w:style>
  <w:style w:type="paragraph" w:styleId="DocumentMap">
    <w:name w:val="Document Map"/>
    <w:basedOn w:val="Normal"/>
    <w:link w:val="DocumentMapChar"/>
    <w:semiHidden/>
    <w:rsid w:val="00860C4E"/>
    <w:pPr>
      <w:shd w:val="clear" w:color="auto" w:fill="000080"/>
      <w:spacing w:line="240" w:lineRule="auto"/>
    </w:pPr>
    <w:rPr>
      <w:rFonts w:ascii="Tahoma" w:eastAsia="Times New Roman" w:hAnsi="Tahoma" w:cs="Tahoma"/>
      <w:szCs w:val="24"/>
      <w:lang w:eastAsia="en-ZA"/>
    </w:rPr>
  </w:style>
  <w:style w:type="character" w:customStyle="1" w:styleId="DocumentMapChar">
    <w:name w:val="Document Map Char"/>
    <w:basedOn w:val="DefaultParagraphFont"/>
    <w:link w:val="DocumentMap"/>
    <w:semiHidden/>
    <w:rsid w:val="00860C4E"/>
    <w:rPr>
      <w:rFonts w:ascii="Tahoma" w:eastAsia="Times New Roman" w:hAnsi="Tahoma" w:cs="Tahoma"/>
      <w:sz w:val="26"/>
      <w:szCs w:val="24"/>
      <w:shd w:val="clear" w:color="auto" w:fill="000080"/>
      <w:lang w:val="en-ZA" w:eastAsia="en-ZA"/>
    </w:rPr>
  </w:style>
  <w:style w:type="character" w:styleId="PageNumber">
    <w:name w:val="page number"/>
    <w:basedOn w:val="DefaultParagraphFont"/>
    <w:rsid w:val="00860C4E"/>
  </w:style>
  <w:style w:type="paragraph" w:customStyle="1" w:styleId="List1">
    <w:name w:val="List1"/>
    <w:basedOn w:val="JUDGMENTNUMBERED"/>
    <w:link w:val="LISTChar"/>
    <w:qFormat/>
    <w:rsid w:val="00C63EC7"/>
    <w:pPr>
      <w:numPr>
        <w:numId w:val="0"/>
      </w:numPr>
      <w:ind w:left="1440" w:hanging="720"/>
    </w:pPr>
  </w:style>
  <w:style w:type="character" w:customStyle="1" w:styleId="LISTChar">
    <w:name w:val="LIST Char"/>
    <w:basedOn w:val="JUDGMENTNUMBEREDChar"/>
    <w:link w:val="List1"/>
    <w:rsid w:val="00C63EC7"/>
    <w:rPr>
      <w:rFonts w:ascii="Times New Roman" w:hAnsi="Times New Roman"/>
      <w:sz w:val="26"/>
      <w:szCs w:val="22"/>
      <w:lang w:val="en-ZA"/>
    </w:rPr>
  </w:style>
  <w:style w:type="paragraph" w:customStyle="1" w:styleId="HEADING">
    <w:name w:val="HEADING"/>
    <w:basedOn w:val="JUDGMENTNUMBERED"/>
    <w:next w:val="JUDGMENTNUMBERED"/>
    <w:link w:val="HEADINGChar"/>
    <w:qFormat/>
    <w:rsid w:val="00C63EC7"/>
    <w:pPr>
      <w:keepNext/>
      <w:numPr>
        <w:numId w:val="0"/>
      </w:numPr>
      <w:spacing w:after="120"/>
    </w:pPr>
    <w:rPr>
      <w:i/>
    </w:rPr>
  </w:style>
  <w:style w:type="character" w:customStyle="1" w:styleId="HEADINGChar">
    <w:name w:val="HEADING Char"/>
    <w:basedOn w:val="JUDGMENTNUMBEREDChar"/>
    <w:link w:val="HEADING"/>
    <w:rsid w:val="00C63EC7"/>
    <w:rPr>
      <w:rFonts w:ascii="Times New Roman" w:hAnsi="Times New Roman"/>
      <w:i/>
      <w:sz w:val="26"/>
      <w:szCs w:val="22"/>
      <w:lang w:val="en-ZA"/>
    </w:rPr>
  </w:style>
  <w:style w:type="paragraph" w:customStyle="1" w:styleId="COUNSELDETAILS">
    <w:name w:val="COUNSEL DETAILS"/>
    <w:basedOn w:val="Normal"/>
    <w:link w:val="COUNSELDETAILSChar"/>
    <w:rsid w:val="00CC158D"/>
    <w:pPr>
      <w:spacing w:line="240" w:lineRule="auto"/>
    </w:pPr>
    <w:rPr>
      <w:szCs w:val="26"/>
    </w:rPr>
  </w:style>
  <w:style w:type="character" w:customStyle="1" w:styleId="COUNSELDETAILSChar">
    <w:name w:val="COUNSEL DETAILS Char"/>
    <w:basedOn w:val="DefaultParagraphFont"/>
    <w:link w:val="COUNSELDETAILS"/>
    <w:rsid w:val="00CC158D"/>
    <w:rPr>
      <w:rFonts w:ascii="Times New Roman" w:hAnsi="Times New Roman"/>
      <w:sz w:val="26"/>
      <w:szCs w:val="26"/>
      <w:lang w:val="en-ZA"/>
    </w:rPr>
  </w:style>
  <w:style w:type="paragraph" w:customStyle="1" w:styleId="ORDER">
    <w:name w:val="ORDER"/>
    <w:basedOn w:val="JUDGMENTNUMBERED"/>
    <w:link w:val="ORDERChar"/>
    <w:qFormat/>
    <w:rsid w:val="00C63EC7"/>
    <w:pPr>
      <w:numPr>
        <w:numId w:val="0"/>
      </w:numPr>
      <w:ind w:left="1440" w:hanging="720"/>
    </w:pPr>
  </w:style>
  <w:style w:type="character" w:customStyle="1" w:styleId="ORDERChar">
    <w:name w:val="ORDER Char"/>
    <w:basedOn w:val="JUDGMENTNUMBEREDChar"/>
    <w:link w:val="ORDER"/>
    <w:rsid w:val="00C63EC7"/>
    <w:rPr>
      <w:rFonts w:ascii="Times New Roman" w:hAnsi="Times New Roman"/>
      <w:sz w:val="26"/>
      <w:szCs w:val="22"/>
      <w:lang w:val="en-ZA"/>
    </w:rPr>
  </w:style>
  <w:style w:type="paragraph" w:customStyle="1" w:styleId="BODYNON-NUMBERED">
    <w:name w:val="BODY NON-NUMBERED"/>
    <w:basedOn w:val="Normal"/>
    <w:link w:val="BODYNON-NUMBEREDChar"/>
    <w:qFormat/>
    <w:rsid w:val="007B5814"/>
    <w:pPr>
      <w:tabs>
        <w:tab w:val="left" w:pos="680"/>
      </w:tabs>
      <w:spacing w:after="240" w:line="276" w:lineRule="auto"/>
    </w:pPr>
  </w:style>
  <w:style w:type="character" w:customStyle="1" w:styleId="BODYNON-NUMBEREDChar">
    <w:name w:val="BODY NON-NUMBERED Char"/>
    <w:basedOn w:val="DefaultParagraphFont"/>
    <w:link w:val="BODYNON-NUMBERED"/>
    <w:rsid w:val="007B5814"/>
    <w:rPr>
      <w:rFonts w:ascii="Times New Roman" w:hAnsi="Times New Roman"/>
      <w:sz w:val="26"/>
      <w:szCs w:val="22"/>
      <w:lang w:val="en-ZA"/>
    </w:rPr>
  </w:style>
  <w:style w:type="character" w:customStyle="1" w:styleId="Heading2Char">
    <w:name w:val="Heading 2 Char"/>
    <w:basedOn w:val="DefaultParagraphFont"/>
    <w:link w:val="Heading2"/>
    <w:uiPriority w:val="9"/>
    <w:semiHidden/>
    <w:rsid w:val="00AF1647"/>
    <w:rPr>
      <w:rFonts w:asciiTheme="majorHAnsi" w:eastAsiaTheme="majorEastAsia" w:hAnsiTheme="majorHAnsi" w:cstheme="majorBidi"/>
      <w:color w:val="365F91" w:themeColor="accent1" w:themeShade="BF"/>
      <w:sz w:val="26"/>
      <w:szCs w:val="26"/>
      <w:lang w:val="en-ZA"/>
    </w:rPr>
  </w:style>
  <w:style w:type="character" w:customStyle="1" w:styleId="CommentTextChar">
    <w:name w:val="Comment Text Char"/>
    <w:basedOn w:val="DefaultParagraphFont"/>
    <w:link w:val="CommentText"/>
    <w:uiPriority w:val="99"/>
    <w:semiHidden/>
    <w:rsid w:val="00AF1647"/>
    <w:rPr>
      <w:rFonts w:ascii="Times New Roman" w:hAnsi="Times New Roman"/>
      <w:lang w:val="en-ZA"/>
    </w:rPr>
  </w:style>
  <w:style w:type="paragraph" w:styleId="CommentText">
    <w:name w:val="annotation text"/>
    <w:basedOn w:val="Normal"/>
    <w:link w:val="CommentTextChar"/>
    <w:uiPriority w:val="99"/>
    <w:semiHidden/>
    <w:unhideWhenUsed/>
    <w:rsid w:val="00AF1647"/>
    <w:pPr>
      <w:spacing w:line="240" w:lineRule="auto"/>
    </w:pPr>
    <w:rPr>
      <w:sz w:val="20"/>
      <w:szCs w:val="20"/>
    </w:rPr>
  </w:style>
  <w:style w:type="character" w:customStyle="1" w:styleId="CommentSubjectChar">
    <w:name w:val="Comment Subject Char"/>
    <w:basedOn w:val="CommentTextChar"/>
    <w:link w:val="CommentSubject"/>
    <w:uiPriority w:val="99"/>
    <w:semiHidden/>
    <w:rsid w:val="00AF1647"/>
    <w:rPr>
      <w:rFonts w:ascii="Times New Roman" w:hAnsi="Times New Roman"/>
      <w:b/>
      <w:bCs/>
      <w:lang w:val="en-ZA"/>
    </w:rPr>
  </w:style>
  <w:style w:type="paragraph" w:styleId="CommentSubject">
    <w:name w:val="annotation subject"/>
    <w:basedOn w:val="CommentText"/>
    <w:next w:val="CommentText"/>
    <w:link w:val="CommentSubjectChar"/>
    <w:uiPriority w:val="99"/>
    <w:semiHidden/>
    <w:unhideWhenUsed/>
    <w:rsid w:val="00AF1647"/>
    <w:rPr>
      <w:b/>
      <w:bCs/>
    </w:rPr>
  </w:style>
  <w:style w:type="character" w:styleId="Hyperlink">
    <w:name w:val="Hyperlink"/>
    <w:basedOn w:val="DefaultParagraphFont"/>
    <w:uiPriority w:val="99"/>
    <w:unhideWhenUsed/>
    <w:rsid w:val="008B4F51"/>
    <w:rPr>
      <w:color w:val="0000FF" w:themeColor="hyperlink"/>
      <w:u w:val="single"/>
    </w:rPr>
  </w:style>
  <w:style w:type="character" w:customStyle="1" w:styleId="UnresolvedMention">
    <w:name w:val="Unresolved Mention"/>
    <w:basedOn w:val="DefaultParagraphFont"/>
    <w:uiPriority w:val="99"/>
    <w:semiHidden/>
    <w:unhideWhenUsed/>
    <w:rsid w:val="008B4F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93015">
      <w:bodyDiv w:val="1"/>
      <w:marLeft w:val="0"/>
      <w:marRight w:val="0"/>
      <w:marTop w:val="0"/>
      <w:marBottom w:val="0"/>
      <w:divBdr>
        <w:top w:val="none" w:sz="0" w:space="0" w:color="auto"/>
        <w:left w:val="none" w:sz="0" w:space="0" w:color="auto"/>
        <w:bottom w:val="none" w:sz="0" w:space="0" w:color="auto"/>
        <w:right w:val="none" w:sz="0" w:space="0" w:color="auto"/>
      </w:divBdr>
    </w:div>
    <w:div w:id="217129781">
      <w:bodyDiv w:val="1"/>
      <w:marLeft w:val="0"/>
      <w:marRight w:val="0"/>
      <w:marTop w:val="0"/>
      <w:marBottom w:val="0"/>
      <w:divBdr>
        <w:top w:val="none" w:sz="0" w:space="0" w:color="auto"/>
        <w:left w:val="none" w:sz="0" w:space="0" w:color="auto"/>
        <w:bottom w:val="none" w:sz="0" w:space="0" w:color="auto"/>
        <w:right w:val="none" w:sz="0" w:space="0" w:color="auto"/>
      </w:divBdr>
    </w:div>
    <w:div w:id="299455243">
      <w:bodyDiv w:val="1"/>
      <w:marLeft w:val="0"/>
      <w:marRight w:val="0"/>
      <w:marTop w:val="0"/>
      <w:marBottom w:val="0"/>
      <w:divBdr>
        <w:top w:val="none" w:sz="0" w:space="0" w:color="auto"/>
        <w:left w:val="none" w:sz="0" w:space="0" w:color="auto"/>
        <w:bottom w:val="none" w:sz="0" w:space="0" w:color="auto"/>
        <w:right w:val="none" w:sz="0" w:space="0" w:color="auto"/>
      </w:divBdr>
    </w:div>
    <w:div w:id="322055231">
      <w:bodyDiv w:val="1"/>
      <w:marLeft w:val="0"/>
      <w:marRight w:val="0"/>
      <w:marTop w:val="0"/>
      <w:marBottom w:val="0"/>
      <w:divBdr>
        <w:top w:val="none" w:sz="0" w:space="0" w:color="auto"/>
        <w:left w:val="none" w:sz="0" w:space="0" w:color="auto"/>
        <w:bottom w:val="none" w:sz="0" w:space="0" w:color="auto"/>
        <w:right w:val="none" w:sz="0" w:space="0" w:color="auto"/>
      </w:divBdr>
    </w:div>
    <w:div w:id="328212988">
      <w:bodyDiv w:val="1"/>
      <w:marLeft w:val="0"/>
      <w:marRight w:val="0"/>
      <w:marTop w:val="0"/>
      <w:marBottom w:val="0"/>
      <w:divBdr>
        <w:top w:val="none" w:sz="0" w:space="0" w:color="auto"/>
        <w:left w:val="none" w:sz="0" w:space="0" w:color="auto"/>
        <w:bottom w:val="none" w:sz="0" w:space="0" w:color="auto"/>
        <w:right w:val="none" w:sz="0" w:space="0" w:color="auto"/>
      </w:divBdr>
    </w:div>
    <w:div w:id="379943593">
      <w:bodyDiv w:val="1"/>
      <w:marLeft w:val="0"/>
      <w:marRight w:val="0"/>
      <w:marTop w:val="0"/>
      <w:marBottom w:val="0"/>
      <w:divBdr>
        <w:top w:val="none" w:sz="0" w:space="0" w:color="auto"/>
        <w:left w:val="none" w:sz="0" w:space="0" w:color="auto"/>
        <w:bottom w:val="none" w:sz="0" w:space="0" w:color="auto"/>
        <w:right w:val="none" w:sz="0" w:space="0" w:color="auto"/>
      </w:divBdr>
    </w:div>
    <w:div w:id="464201381">
      <w:bodyDiv w:val="1"/>
      <w:marLeft w:val="0"/>
      <w:marRight w:val="0"/>
      <w:marTop w:val="0"/>
      <w:marBottom w:val="0"/>
      <w:divBdr>
        <w:top w:val="none" w:sz="0" w:space="0" w:color="auto"/>
        <w:left w:val="none" w:sz="0" w:space="0" w:color="auto"/>
        <w:bottom w:val="none" w:sz="0" w:space="0" w:color="auto"/>
        <w:right w:val="none" w:sz="0" w:space="0" w:color="auto"/>
      </w:divBdr>
    </w:div>
    <w:div w:id="491722137">
      <w:bodyDiv w:val="1"/>
      <w:marLeft w:val="0"/>
      <w:marRight w:val="0"/>
      <w:marTop w:val="0"/>
      <w:marBottom w:val="0"/>
      <w:divBdr>
        <w:top w:val="none" w:sz="0" w:space="0" w:color="auto"/>
        <w:left w:val="none" w:sz="0" w:space="0" w:color="auto"/>
        <w:bottom w:val="none" w:sz="0" w:space="0" w:color="auto"/>
        <w:right w:val="none" w:sz="0" w:space="0" w:color="auto"/>
      </w:divBdr>
    </w:div>
    <w:div w:id="612900346">
      <w:bodyDiv w:val="1"/>
      <w:marLeft w:val="0"/>
      <w:marRight w:val="0"/>
      <w:marTop w:val="0"/>
      <w:marBottom w:val="0"/>
      <w:divBdr>
        <w:top w:val="none" w:sz="0" w:space="0" w:color="auto"/>
        <w:left w:val="none" w:sz="0" w:space="0" w:color="auto"/>
        <w:bottom w:val="none" w:sz="0" w:space="0" w:color="auto"/>
        <w:right w:val="none" w:sz="0" w:space="0" w:color="auto"/>
      </w:divBdr>
    </w:div>
    <w:div w:id="685909537">
      <w:bodyDiv w:val="1"/>
      <w:marLeft w:val="0"/>
      <w:marRight w:val="0"/>
      <w:marTop w:val="0"/>
      <w:marBottom w:val="0"/>
      <w:divBdr>
        <w:top w:val="none" w:sz="0" w:space="0" w:color="auto"/>
        <w:left w:val="none" w:sz="0" w:space="0" w:color="auto"/>
        <w:bottom w:val="none" w:sz="0" w:space="0" w:color="auto"/>
        <w:right w:val="none" w:sz="0" w:space="0" w:color="auto"/>
      </w:divBdr>
    </w:div>
    <w:div w:id="686366654">
      <w:bodyDiv w:val="1"/>
      <w:marLeft w:val="0"/>
      <w:marRight w:val="0"/>
      <w:marTop w:val="0"/>
      <w:marBottom w:val="0"/>
      <w:divBdr>
        <w:top w:val="none" w:sz="0" w:space="0" w:color="auto"/>
        <w:left w:val="none" w:sz="0" w:space="0" w:color="auto"/>
        <w:bottom w:val="none" w:sz="0" w:space="0" w:color="auto"/>
        <w:right w:val="none" w:sz="0" w:space="0" w:color="auto"/>
      </w:divBdr>
    </w:div>
    <w:div w:id="769664785">
      <w:bodyDiv w:val="1"/>
      <w:marLeft w:val="0"/>
      <w:marRight w:val="0"/>
      <w:marTop w:val="0"/>
      <w:marBottom w:val="0"/>
      <w:divBdr>
        <w:top w:val="none" w:sz="0" w:space="0" w:color="auto"/>
        <w:left w:val="none" w:sz="0" w:space="0" w:color="auto"/>
        <w:bottom w:val="none" w:sz="0" w:space="0" w:color="auto"/>
        <w:right w:val="none" w:sz="0" w:space="0" w:color="auto"/>
      </w:divBdr>
    </w:div>
    <w:div w:id="771049885">
      <w:bodyDiv w:val="1"/>
      <w:marLeft w:val="0"/>
      <w:marRight w:val="0"/>
      <w:marTop w:val="0"/>
      <w:marBottom w:val="0"/>
      <w:divBdr>
        <w:top w:val="none" w:sz="0" w:space="0" w:color="auto"/>
        <w:left w:val="none" w:sz="0" w:space="0" w:color="auto"/>
        <w:bottom w:val="none" w:sz="0" w:space="0" w:color="auto"/>
        <w:right w:val="none" w:sz="0" w:space="0" w:color="auto"/>
      </w:divBdr>
    </w:div>
    <w:div w:id="846601369">
      <w:bodyDiv w:val="1"/>
      <w:marLeft w:val="0"/>
      <w:marRight w:val="0"/>
      <w:marTop w:val="0"/>
      <w:marBottom w:val="0"/>
      <w:divBdr>
        <w:top w:val="none" w:sz="0" w:space="0" w:color="auto"/>
        <w:left w:val="none" w:sz="0" w:space="0" w:color="auto"/>
        <w:bottom w:val="none" w:sz="0" w:space="0" w:color="auto"/>
        <w:right w:val="none" w:sz="0" w:space="0" w:color="auto"/>
      </w:divBdr>
    </w:div>
    <w:div w:id="894245508">
      <w:bodyDiv w:val="1"/>
      <w:marLeft w:val="0"/>
      <w:marRight w:val="0"/>
      <w:marTop w:val="0"/>
      <w:marBottom w:val="0"/>
      <w:divBdr>
        <w:top w:val="none" w:sz="0" w:space="0" w:color="auto"/>
        <w:left w:val="none" w:sz="0" w:space="0" w:color="auto"/>
        <w:bottom w:val="none" w:sz="0" w:space="0" w:color="auto"/>
        <w:right w:val="none" w:sz="0" w:space="0" w:color="auto"/>
      </w:divBdr>
    </w:div>
    <w:div w:id="898173171">
      <w:bodyDiv w:val="1"/>
      <w:marLeft w:val="0"/>
      <w:marRight w:val="0"/>
      <w:marTop w:val="0"/>
      <w:marBottom w:val="0"/>
      <w:divBdr>
        <w:top w:val="none" w:sz="0" w:space="0" w:color="auto"/>
        <w:left w:val="none" w:sz="0" w:space="0" w:color="auto"/>
        <w:bottom w:val="none" w:sz="0" w:space="0" w:color="auto"/>
        <w:right w:val="none" w:sz="0" w:space="0" w:color="auto"/>
      </w:divBdr>
    </w:div>
    <w:div w:id="929893072">
      <w:bodyDiv w:val="1"/>
      <w:marLeft w:val="0"/>
      <w:marRight w:val="0"/>
      <w:marTop w:val="0"/>
      <w:marBottom w:val="0"/>
      <w:divBdr>
        <w:top w:val="none" w:sz="0" w:space="0" w:color="auto"/>
        <w:left w:val="none" w:sz="0" w:space="0" w:color="auto"/>
        <w:bottom w:val="none" w:sz="0" w:space="0" w:color="auto"/>
        <w:right w:val="none" w:sz="0" w:space="0" w:color="auto"/>
      </w:divBdr>
    </w:div>
    <w:div w:id="961182441">
      <w:bodyDiv w:val="1"/>
      <w:marLeft w:val="0"/>
      <w:marRight w:val="0"/>
      <w:marTop w:val="0"/>
      <w:marBottom w:val="0"/>
      <w:divBdr>
        <w:top w:val="none" w:sz="0" w:space="0" w:color="auto"/>
        <w:left w:val="none" w:sz="0" w:space="0" w:color="auto"/>
        <w:bottom w:val="none" w:sz="0" w:space="0" w:color="auto"/>
        <w:right w:val="none" w:sz="0" w:space="0" w:color="auto"/>
      </w:divBdr>
    </w:div>
    <w:div w:id="962229829">
      <w:bodyDiv w:val="1"/>
      <w:marLeft w:val="0"/>
      <w:marRight w:val="0"/>
      <w:marTop w:val="0"/>
      <w:marBottom w:val="0"/>
      <w:divBdr>
        <w:top w:val="none" w:sz="0" w:space="0" w:color="auto"/>
        <w:left w:val="none" w:sz="0" w:space="0" w:color="auto"/>
        <w:bottom w:val="none" w:sz="0" w:space="0" w:color="auto"/>
        <w:right w:val="none" w:sz="0" w:space="0" w:color="auto"/>
      </w:divBdr>
    </w:div>
    <w:div w:id="1019084884">
      <w:bodyDiv w:val="1"/>
      <w:marLeft w:val="0"/>
      <w:marRight w:val="0"/>
      <w:marTop w:val="0"/>
      <w:marBottom w:val="0"/>
      <w:divBdr>
        <w:top w:val="none" w:sz="0" w:space="0" w:color="auto"/>
        <w:left w:val="none" w:sz="0" w:space="0" w:color="auto"/>
        <w:bottom w:val="none" w:sz="0" w:space="0" w:color="auto"/>
        <w:right w:val="none" w:sz="0" w:space="0" w:color="auto"/>
      </w:divBdr>
    </w:div>
    <w:div w:id="1019426033">
      <w:bodyDiv w:val="1"/>
      <w:marLeft w:val="0"/>
      <w:marRight w:val="0"/>
      <w:marTop w:val="0"/>
      <w:marBottom w:val="0"/>
      <w:divBdr>
        <w:top w:val="none" w:sz="0" w:space="0" w:color="auto"/>
        <w:left w:val="none" w:sz="0" w:space="0" w:color="auto"/>
        <w:bottom w:val="none" w:sz="0" w:space="0" w:color="auto"/>
        <w:right w:val="none" w:sz="0" w:space="0" w:color="auto"/>
      </w:divBdr>
    </w:div>
    <w:div w:id="1045132440">
      <w:bodyDiv w:val="1"/>
      <w:marLeft w:val="0"/>
      <w:marRight w:val="0"/>
      <w:marTop w:val="0"/>
      <w:marBottom w:val="0"/>
      <w:divBdr>
        <w:top w:val="none" w:sz="0" w:space="0" w:color="auto"/>
        <w:left w:val="none" w:sz="0" w:space="0" w:color="auto"/>
        <w:bottom w:val="none" w:sz="0" w:space="0" w:color="auto"/>
        <w:right w:val="none" w:sz="0" w:space="0" w:color="auto"/>
      </w:divBdr>
      <w:divsChild>
        <w:div w:id="1915583376">
          <w:marLeft w:val="0"/>
          <w:marRight w:val="0"/>
          <w:marTop w:val="0"/>
          <w:marBottom w:val="0"/>
          <w:divBdr>
            <w:top w:val="none" w:sz="0" w:space="0" w:color="auto"/>
            <w:left w:val="none" w:sz="0" w:space="0" w:color="auto"/>
            <w:bottom w:val="none" w:sz="0" w:space="0" w:color="auto"/>
            <w:right w:val="none" w:sz="0" w:space="0" w:color="auto"/>
          </w:divBdr>
        </w:div>
        <w:div w:id="2125033440">
          <w:marLeft w:val="0"/>
          <w:marRight w:val="0"/>
          <w:marTop w:val="0"/>
          <w:marBottom w:val="0"/>
          <w:divBdr>
            <w:top w:val="none" w:sz="0" w:space="0" w:color="auto"/>
            <w:left w:val="none" w:sz="0" w:space="0" w:color="auto"/>
            <w:bottom w:val="none" w:sz="0" w:space="0" w:color="auto"/>
            <w:right w:val="none" w:sz="0" w:space="0" w:color="auto"/>
          </w:divBdr>
        </w:div>
        <w:div w:id="415133645">
          <w:marLeft w:val="0"/>
          <w:marRight w:val="0"/>
          <w:marTop w:val="0"/>
          <w:marBottom w:val="0"/>
          <w:divBdr>
            <w:top w:val="none" w:sz="0" w:space="0" w:color="auto"/>
            <w:left w:val="none" w:sz="0" w:space="0" w:color="auto"/>
            <w:bottom w:val="none" w:sz="0" w:space="0" w:color="auto"/>
            <w:right w:val="none" w:sz="0" w:space="0" w:color="auto"/>
          </w:divBdr>
        </w:div>
        <w:div w:id="697858059">
          <w:marLeft w:val="0"/>
          <w:marRight w:val="0"/>
          <w:marTop w:val="0"/>
          <w:marBottom w:val="0"/>
          <w:divBdr>
            <w:top w:val="none" w:sz="0" w:space="0" w:color="auto"/>
            <w:left w:val="none" w:sz="0" w:space="0" w:color="auto"/>
            <w:bottom w:val="none" w:sz="0" w:space="0" w:color="auto"/>
            <w:right w:val="none" w:sz="0" w:space="0" w:color="auto"/>
          </w:divBdr>
        </w:div>
        <w:div w:id="1597667245">
          <w:marLeft w:val="0"/>
          <w:marRight w:val="0"/>
          <w:marTop w:val="0"/>
          <w:marBottom w:val="0"/>
          <w:divBdr>
            <w:top w:val="none" w:sz="0" w:space="0" w:color="auto"/>
            <w:left w:val="none" w:sz="0" w:space="0" w:color="auto"/>
            <w:bottom w:val="none" w:sz="0" w:space="0" w:color="auto"/>
            <w:right w:val="none" w:sz="0" w:space="0" w:color="auto"/>
          </w:divBdr>
        </w:div>
        <w:div w:id="1372874316">
          <w:marLeft w:val="0"/>
          <w:marRight w:val="0"/>
          <w:marTop w:val="0"/>
          <w:marBottom w:val="0"/>
          <w:divBdr>
            <w:top w:val="none" w:sz="0" w:space="0" w:color="auto"/>
            <w:left w:val="none" w:sz="0" w:space="0" w:color="auto"/>
            <w:bottom w:val="none" w:sz="0" w:space="0" w:color="auto"/>
            <w:right w:val="none" w:sz="0" w:space="0" w:color="auto"/>
          </w:divBdr>
        </w:div>
        <w:div w:id="437137893">
          <w:marLeft w:val="0"/>
          <w:marRight w:val="0"/>
          <w:marTop w:val="0"/>
          <w:marBottom w:val="0"/>
          <w:divBdr>
            <w:top w:val="none" w:sz="0" w:space="0" w:color="auto"/>
            <w:left w:val="none" w:sz="0" w:space="0" w:color="auto"/>
            <w:bottom w:val="none" w:sz="0" w:space="0" w:color="auto"/>
            <w:right w:val="none" w:sz="0" w:space="0" w:color="auto"/>
          </w:divBdr>
        </w:div>
        <w:div w:id="812913671">
          <w:marLeft w:val="0"/>
          <w:marRight w:val="0"/>
          <w:marTop w:val="0"/>
          <w:marBottom w:val="0"/>
          <w:divBdr>
            <w:top w:val="none" w:sz="0" w:space="0" w:color="auto"/>
            <w:left w:val="none" w:sz="0" w:space="0" w:color="auto"/>
            <w:bottom w:val="none" w:sz="0" w:space="0" w:color="auto"/>
            <w:right w:val="none" w:sz="0" w:space="0" w:color="auto"/>
          </w:divBdr>
        </w:div>
        <w:div w:id="1309629068">
          <w:marLeft w:val="0"/>
          <w:marRight w:val="0"/>
          <w:marTop w:val="0"/>
          <w:marBottom w:val="0"/>
          <w:divBdr>
            <w:top w:val="none" w:sz="0" w:space="0" w:color="auto"/>
            <w:left w:val="none" w:sz="0" w:space="0" w:color="auto"/>
            <w:bottom w:val="none" w:sz="0" w:space="0" w:color="auto"/>
            <w:right w:val="none" w:sz="0" w:space="0" w:color="auto"/>
          </w:divBdr>
        </w:div>
        <w:div w:id="1590390467">
          <w:marLeft w:val="0"/>
          <w:marRight w:val="0"/>
          <w:marTop w:val="0"/>
          <w:marBottom w:val="0"/>
          <w:divBdr>
            <w:top w:val="none" w:sz="0" w:space="0" w:color="auto"/>
            <w:left w:val="none" w:sz="0" w:space="0" w:color="auto"/>
            <w:bottom w:val="none" w:sz="0" w:space="0" w:color="auto"/>
            <w:right w:val="none" w:sz="0" w:space="0" w:color="auto"/>
          </w:divBdr>
        </w:div>
        <w:div w:id="1329403945">
          <w:marLeft w:val="0"/>
          <w:marRight w:val="0"/>
          <w:marTop w:val="0"/>
          <w:marBottom w:val="0"/>
          <w:divBdr>
            <w:top w:val="none" w:sz="0" w:space="0" w:color="auto"/>
            <w:left w:val="none" w:sz="0" w:space="0" w:color="auto"/>
            <w:bottom w:val="none" w:sz="0" w:space="0" w:color="auto"/>
            <w:right w:val="none" w:sz="0" w:space="0" w:color="auto"/>
          </w:divBdr>
        </w:div>
        <w:div w:id="2104642594">
          <w:marLeft w:val="0"/>
          <w:marRight w:val="0"/>
          <w:marTop w:val="0"/>
          <w:marBottom w:val="0"/>
          <w:divBdr>
            <w:top w:val="none" w:sz="0" w:space="0" w:color="auto"/>
            <w:left w:val="none" w:sz="0" w:space="0" w:color="auto"/>
            <w:bottom w:val="none" w:sz="0" w:space="0" w:color="auto"/>
            <w:right w:val="none" w:sz="0" w:space="0" w:color="auto"/>
          </w:divBdr>
        </w:div>
        <w:div w:id="1175651426">
          <w:marLeft w:val="0"/>
          <w:marRight w:val="0"/>
          <w:marTop w:val="0"/>
          <w:marBottom w:val="0"/>
          <w:divBdr>
            <w:top w:val="none" w:sz="0" w:space="0" w:color="auto"/>
            <w:left w:val="none" w:sz="0" w:space="0" w:color="auto"/>
            <w:bottom w:val="none" w:sz="0" w:space="0" w:color="auto"/>
            <w:right w:val="none" w:sz="0" w:space="0" w:color="auto"/>
          </w:divBdr>
        </w:div>
      </w:divsChild>
    </w:div>
    <w:div w:id="1066298322">
      <w:bodyDiv w:val="1"/>
      <w:marLeft w:val="0"/>
      <w:marRight w:val="0"/>
      <w:marTop w:val="0"/>
      <w:marBottom w:val="0"/>
      <w:divBdr>
        <w:top w:val="none" w:sz="0" w:space="0" w:color="auto"/>
        <w:left w:val="none" w:sz="0" w:space="0" w:color="auto"/>
        <w:bottom w:val="none" w:sz="0" w:space="0" w:color="auto"/>
        <w:right w:val="none" w:sz="0" w:space="0" w:color="auto"/>
      </w:divBdr>
      <w:divsChild>
        <w:div w:id="1666977976">
          <w:marLeft w:val="0"/>
          <w:marRight w:val="0"/>
          <w:marTop w:val="0"/>
          <w:marBottom w:val="0"/>
          <w:divBdr>
            <w:top w:val="none" w:sz="0" w:space="0" w:color="auto"/>
            <w:left w:val="none" w:sz="0" w:space="0" w:color="auto"/>
            <w:bottom w:val="none" w:sz="0" w:space="0" w:color="auto"/>
            <w:right w:val="none" w:sz="0" w:space="0" w:color="auto"/>
          </w:divBdr>
        </w:div>
        <w:div w:id="1654916087">
          <w:marLeft w:val="0"/>
          <w:marRight w:val="0"/>
          <w:marTop w:val="0"/>
          <w:marBottom w:val="0"/>
          <w:divBdr>
            <w:top w:val="none" w:sz="0" w:space="0" w:color="auto"/>
            <w:left w:val="none" w:sz="0" w:space="0" w:color="auto"/>
            <w:bottom w:val="none" w:sz="0" w:space="0" w:color="auto"/>
            <w:right w:val="none" w:sz="0" w:space="0" w:color="auto"/>
          </w:divBdr>
        </w:div>
        <w:div w:id="636882453">
          <w:marLeft w:val="0"/>
          <w:marRight w:val="0"/>
          <w:marTop w:val="0"/>
          <w:marBottom w:val="0"/>
          <w:divBdr>
            <w:top w:val="none" w:sz="0" w:space="0" w:color="auto"/>
            <w:left w:val="none" w:sz="0" w:space="0" w:color="auto"/>
            <w:bottom w:val="none" w:sz="0" w:space="0" w:color="auto"/>
            <w:right w:val="none" w:sz="0" w:space="0" w:color="auto"/>
          </w:divBdr>
        </w:div>
        <w:div w:id="1048410517">
          <w:marLeft w:val="0"/>
          <w:marRight w:val="0"/>
          <w:marTop w:val="0"/>
          <w:marBottom w:val="0"/>
          <w:divBdr>
            <w:top w:val="none" w:sz="0" w:space="0" w:color="auto"/>
            <w:left w:val="none" w:sz="0" w:space="0" w:color="auto"/>
            <w:bottom w:val="none" w:sz="0" w:space="0" w:color="auto"/>
            <w:right w:val="none" w:sz="0" w:space="0" w:color="auto"/>
          </w:divBdr>
        </w:div>
        <w:div w:id="1852262331">
          <w:marLeft w:val="0"/>
          <w:marRight w:val="0"/>
          <w:marTop w:val="0"/>
          <w:marBottom w:val="0"/>
          <w:divBdr>
            <w:top w:val="none" w:sz="0" w:space="0" w:color="auto"/>
            <w:left w:val="none" w:sz="0" w:space="0" w:color="auto"/>
            <w:bottom w:val="none" w:sz="0" w:space="0" w:color="auto"/>
            <w:right w:val="none" w:sz="0" w:space="0" w:color="auto"/>
          </w:divBdr>
        </w:div>
        <w:div w:id="1877621908">
          <w:marLeft w:val="0"/>
          <w:marRight w:val="0"/>
          <w:marTop w:val="0"/>
          <w:marBottom w:val="0"/>
          <w:divBdr>
            <w:top w:val="none" w:sz="0" w:space="0" w:color="auto"/>
            <w:left w:val="none" w:sz="0" w:space="0" w:color="auto"/>
            <w:bottom w:val="none" w:sz="0" w:space="0" w:color="auto"/>
            <w:right w:val="none" w:sz="0" w:space="0" w:color="auto"/>
          </w:divBdr>
        </w:div>
        <w:div w:id="23482599">
          <w:marLeft w:val="0"/>
          <w:marRight w:val="0"/>
          <w:marTop w:val="0"/>
          <w:marBottom w:val="0"/>
          <w:divBdr>
            <w:top w:val="none" w:sz="0" w:space="0" w:color="auto"/>
            <w:left w:val="none" w:sz="0" w:space="0" w:color="auto"/>
            <w:bottom w:val="none" w:sz="0" w:space="0" w:color="auto"/>
            <w:right w:val="none" w:sz="0" w:space="0" w:color="auto"/>
          </w:divBdr>
        </w:div>
        <w:div w:id="1433207216">
          <w:marLeft w:val="0"/>
          <w:marRight w:val="0"/>
          <w:marTop w:val="0"/>
          <w:marBottom w:val="0"/>
          <w:divBdr>
            <w:top w:val="none" w:sz="0" w:space="0" w:color="auto"/>
            <w:left w:val="none" w:sz="0" w:space="0" w:color="auto"/>
            <w:bottom w:val="none" w:sz="0" w:space="0" w:color="auto"/>
            <w:right w:val="none" w:sz="0" w:space="0" w:color="auto"/>
          </w:divBdr>
        </w:div>
        <w:div w:id="1184857488">
          <w:marLeft w:val="0"/>
          <w:marRight w:val="0"/>
          <w:marTop w:val="0"/>
          <w:marBottom w:val="0"/>
          <w:divBdr>
            <w:top w:val="none" w:sz="0" w:space="0" w:color="auto"/>
            <w:left w:val="none" w:sz="0" w:space="0" w:color="auto"/>
            <w:bottom w:val="none" w:sz="0" w:space="0" w:color="auto"/>
            <w:right w:val="none" w:sz="0" w:space="0" w:color="auto"/>
          </w:divBdr>
        </w:div>
        <w:div w:id="595096167">
          <w:marLeft w:val="0"/>
          <w:marRight w:val="0"/>
          <w:marTop w:val="0"/>
          <w:marBottom w:val="0"/>
          <w:divBdr>
            <w:top w:val="none" w:sz="0" w:space="0" w:color="auto"/>
            <w:left w:val="none" w:sz="0" w:space="0" w:color="auto"/>
            <w:bottom w:val="none" w:sz="0" w:space="0" w:color="auto"/>
            <w:right w:val="none" w:sz="0" w:space="0" w:color="auto"/>
          </w:divBdr>
        </w:div>
        <w:div w:id="259997116">
          <w:marLeft w:val="0"/>
          <w:marRight w:val="0"/>
          <w:marTop w:val="0"/>
          <w:marBottom w:val="0"/>
          <w:divBdr>
            <w:top w:val="none" w:sz="0" w:space="0" w:color="auto"/>
            <w:left w:val="none" w:sz="0" w:space="0" w:color="auto"/>
            <w:bottom w:val="none" w:sz="0" w:space="0" w:color="auto"/>
            <w:right w:val="none" w:sz="0" w:space="0" w:color="auto"/>
          </w:divBdr>
        </w:div>
        <w:div w:id="1593319819">
          <w:marLeft w:val="0"/>
          <w:marRight w:val="0"/>
          <w:marTop w:val="0"/>
          <w:marBottom w:val="0"/>
          <w:divBdr>
            <w:top w:val="none" w:sz="0" w:space="0" w:color="auto"/>
            <w:left w:val="none" w:sz="0" w:space="0" w:color="auto"/>
            <w:bottom w:val="none" w:sz="0" w:space="0" w:color="auto"/>
            <w:right w:val="none" w:sz="0" w:space="0" w:color="auto"/>
          </w:divBdr>
        </w:div>
        <w:div w:id="1656033786">
          <w:marLeft w:val="0"/>
          <w:marRight w:val="0"/>
          <w:marTop w:val="0"/>
          <w:marBottom w:val="0"/>
          <w:divBdr>
            <w:top w:val="none" w:sz="0" w:space="0" w:color="auto"/>
            <w:left w:val="none" w:sz="0" w:space="0" w:color="auto"/>
            <w:bottom w:val="none" w:sz="0" w:space="0" w:color="auto"/>
            <w:right w:val="none" w:sz="0" w:space="0" w:color="auto"/>
          </w:divBdr>
        </w:div>
      </w:divsChild>
    </w:div>
    <w:div w:id="1124152247">
      <w:bodyDiv w:val="1"/>
      <w:marLeft w:val="0"/>
      <w:marRight w:val="0"/>
      <w:marTop w:val="0"/>
      <w:marBottom w:val="0"/>
      <w:divBdr>
        <w:top w:val="none" w:sz="0" w:space="0" w:color="auto"/>
        <w:left w:val="none" w:sz="0" w:space="0" w:color="auto"/>
        <w:bottom w:val="none" w:sz="0" w:space="0" w:color="auto"/>
        <w:right w:val="none" w:sz="0" w:space="0" w:color="auto"/>
      </w:divBdr>
    </w:div>
    <w:div w:id="1151409329">
      <w:bodyDiv w:val="1"/>
      <w:marLeft w:val="0"/>
      <w:marRight w:val="0"/>
      <w:marTop w:val="0"/>
      <w:marBottom w:val="0"/>
      <w:divBdr>
        <w:top w:val="none" w:sz="0" w:space="0" w:color="auto"/>
        <w:left w:val="none" w:sz="0" w:space="0" w:color="auto"/>
        <w:bottom w:val="none" w:sz="0" w:space="0" w:color="auto"/>
        <w:right w:val="none" w:sz="0" w:space="0" w:color="auto"/>
      </w:divBdr>
    </w:div>
    <w:div w:id="1156411162">
      <w:bodyDiv w:val="1"/>
      <w:marLeft w:val="0"/>
      <w:marRight w:val="0"/>
      <w:marTop w:val="0"/>
      <w:marBottom w:val="0"/>
      <w:divBdr>
        <w:top w:val="none" w:sz="0" w:space="0" w:color="auto"/>
        <w:left w:val="none" w:sz="0" w:space="0" w:color="auto"/>
        <w:bottom w:val="none" w:sz="0" w:space="0" w:color="auto"/>
        <w:right w:val="none" w:sz="0" w:space="0" w:color="auto"/>
      </w:divBdr>
    </w:div>
    <w:div w:id="1186869530">
      <w:bodyDiv w:val="1"/>
      <w:marLeft w:val="0"/>
      <w:marRight w:val="0"/>
      <w:marTop w:val="0"/>
      <w:marBottom w:val="0"/>
      <w:divBdr>
        <w:top w:val="none" w:sz="0" w:space="0" w:color="auto"/>
        <w:left w:val="none" w:sz="0" w:space="0" w:color="auto"/>
        <w:bottom w:val="none" w:sz="0" w:space="0" w:color="auto"/>
        <w:right w:val="none" w:sz="0" w:space="0" w:color="auto"/>
      </w:divBdr>
    </w:div>
    <w:div w:id="1248415905">
      <w:bodyDiv w:val="1"/>
      <w:marLeft w:val="0"/>
      <w:marRight w:val="0"/>
      <w:marTop w:val="0"/>
      <w:marBottom w:val="0"/>
      <w:divBdr>
        <w:top w:val="none" w:sz="0" w:space="0" w:color="auto"/>
        <w:left w:val="none" w:sz="0" w:space="0" w:color="auto"/>
        <w:bottom w:val="none" w:sz="0" w:space="0" w:color="auto"/>
        <w:right w:val="none" w:sz="0" w:space="0" w:color="auto"/>
      </w:divBdr>
    </w:div>
    <w:div w:id="1251163797">
      <w:bodyDiv w:val="1"/>
      <w:marLeft w:val="0"/>
      <w:marRight w:val="0"/>
      <w:marTop w:val="0"/>
      <w:marBottom w:val="0"/>
      <w:divBdr>
        <w:top w:val="none" w:sz="0" w:space="0" w:color="auto"/>
        <w:left w:val="none" w:sz="0" w:space="0" w:color="auto"/>
        <w:bottom w:val="none" w:sz="0" w:space="0" w:color="auto"/>
        <w:right w:val="none" w:sz="0" w:space="0" w:color="auto"/>
      </w:divBdr>
    </w:div>
    <w:div w:id="1291126634">
      <w:bodyDiv w:val="1"/>
      <w:marLeft w:val="0"/>
      <w:marRight w:val="0"/>
      <w:marTop w:val="0"/>
      <w:marBottom w:val="0"/>
      <w:divBdr>
        <w:top w:val="none" w:sz="0" w:space="0" w:color="auto"/>
        <w:left w:val="none" w:sz="0" w:space="0" w:color="auto"/>
        <w:bottom w:val="none" w:sz="0" w:space="0" w:color="auto"/>
        <w:right w:val="none" w:sz="0" w:space="0" w:color="auto"/>
      </w:divBdr>
    </w:div>
    <w:div w:id="1367754690">
      <w:bodyDiv w:val="1"/>
      <w:marLeft w:val="0"/>
      <w:marRight w:val="0"/>
      <w:marTop w:val="0"/>
      <w:marBottom w:val="0"/>
      <w:divBdr>
        <w:top w:val="none" w:sz="0" w:space="0" w:color="auto"/>
        <w:left w:val="none" w:sz="0" w:space="0" w:color="auto"/>
        <w:bottom w:val="none" w:sz="0" w:space="0" w:color="auto"/>
        <w:right w:val="none" w:sz="0" w:space="0" w:color="auto"/>
      </w:divBdr>
    </w:div>
    <w:div w:id="1419131454">
      <w:bodyDiv w:val="1"/>
      <w:marLeft w:val="0"/>
      <w:marRight w:val="0"/>
      <w:marTop w:val="0"/>
      <w:marBottom w:val="0"/>
      <w:divBdr>
        <w:top w:val="none" w:sz="0" w:space="0" w:color="auto"/>
        <w:left w:val="none" w:sz="0" w:space="0" w:color="auto"/>
        <w:bottom w:val="none" w:sz="0" w:space="0" w:color="auto"/>
        <w:right w:val="none" w:sz="0" w:space="0" w:color="auto"/>
      </w:divBdr>
    </w:div>
    <w:div w:id="1463812192">
      <w:bodyDiv w:val="1"/>
      <w:marLeft w:val="0"/>
      <w:marRight w:val="0"/>
      <w:marTop w:val="0"/>
      <w:marBottom w:val="0"/>
      <w:divBdr>
        <w:top w:val="none" w:sz="0" w:space="0" w:color="auto"/>
        <w:left w:val="none" w:sz="0" w:space="0" w:color="auto"/>
        <w:bottom w:val="none" w:sz="0" w:space="0" w:color="auto"/>
        <w:right w:val="none" w:sz="0" w:space="0" w:color="auto"/>
      </w:divBdr>
    </w:div>
    <w:div w:id="1514763740">
      <w:bodyDiv w:val="1"/>
      <w:marLeft w:val="0"/>
      <w:marRight w:val="0"/>
      <w:marTop w:val="0"/>
      <w:marBottom w:val="0"/>
      <w:divBdr>
        <w:top w:val="none" w:sz="0" w:space="0" w:color="auto"/>
        <w:left w:val="none" w:sz="0" w:space="0" w:color="auto"/>
        <w:bottom w:val="none" w:sz="0" w:space="0" w:color="auto"/>
        <w:right w:val="none" w:sz="0" w:space="0" w:color="auto"/>
      </w:divBdr>
    </w:div>
    <w:div w:id="1526823907">
      <w:bodyDiv w:val="1"/>
      <w:marLeft w:val="0"/>
      <w:marRight w:val="0"/>
      <w:marTop w:val="0"/>
      <w:marBottom w:val="0"/>
      <w:divBdr>
        <w:top w:val="none" w:sz="0" w:space="0" w:color="auto"/>
        <w:left w:val="none" w:sz="0" w:space="0" w:color="auto"/>
        <w:bottom w:val="none" w:sz="0" w:space="0" w:color="auto"/>
        <w:right w:val="none" w:sz="0" w:space="0" w:color="auto"/>
      </w:divBdr>
    </w:div>
    <w:div w:id="1580142235">
      <w:bodyDiv w:val="1"/>
      <w:marLeft w:val="0"/>
      <w:marRight w:val="0"/>
      <w:marTop w:val="0"/>
      <w:marBottom w:val="0"/>
      <w:divBdr>
        <w:top w:val="none" w:sz="0" w:space="0" w:color="auto"/>
        <w:left w:val="none" w:sz="0" w:space="0" w:color="auto"/>
        <w:bottom w:val="none" w:sz="0" w:space="0" w:color="auto"/>
        <w:right w:val="none" w:sz="0" w:space="0" w:color="auto"/>
      </w:divBdr>
    </w:div>
    <w:div w:id="1596011007">
      <w:bodyDiv w:val="1"/>
      <w:marLeft w:val="0"/>
      <w:marRight w:val="0"/>
      <w:marTop w:val="0"/>
      <w:marBottom w:val="0"/>
      <w:divBdr>
        <w:top w:val="none" w:sz="0" w:space="0" w:color="auto"/>
        <w:left w:val="none" w:sz="0" w:space="0" w:color="auto"/>
        <w:bottom w:val="none" w:sz="0" w:space="0" w:color="auto"/>
        <w:right w:val="none" w:sz="0" w:space="0" w:color="auto"/>
      </w:divBdr>
    </w:div>
    <w:div w:id="1599287494">
      <w:bodyDiv w:val="1"/>
      <w:marLeft w:val="0"/>
      <w:marRight w:val="0"/>
      <w:marTop w:val="0"/>
      <w:marBottom w:val="0"/>
      <w:divBdr>
        <w:top w:val="none" w:sz="0" w:space="0" w:color="auto"/>
        <w:left w:val="none" w:sz="0" w:space="0" w:color="auto"/>
        <w:bottom w:val="none" w:sz="0" w:space="0" w:color="auto"/>
        <w:right w:val="none" w:sz="0" w:space="0" w:color="auto"/>
      </w:divBdr>
    </w:div>
    <w:div w:id="1776241579">
      <w:bodyDiv w:val="1"/>
      <w:marLeft w:val="0"/>
      <w:marRight w:val="0"/>
      <w:marTop w:val="0"/>
      <w:marBottom w:val="0"/>
      <w:divBdr>
        <w:top w:val="none" w:sz="0" w:space="0" w:color="auto"/>
        <w:left w:val="none" w:sz="0" w:space="0" w:color="auto"/>
        <w:bottom w:val="none" w:sz="0" w:space="0" w:color="auto"/>
        <w:right w:val="none" w:sz="0" w:space="0" w:color="auto"/>
      </w:divBdr>
    </w:div>
    <w:div w:id="1789658914">
      <w:bodyDiv w:val="1"/>
      <w:marLeft w:val="0"/>
      <w:marRight w:val="0"/>
      <w:marTop w:val="0"/>
      <w:marBottom w:val="0"/>
      <w:divBdr>
        <w:top w:val="none" w:sz="0" w:space="0" w:color="auto"/>
        <w:left w:val="none" w:sz="0" w:space="0" w:color="auto"/>
        <w:bottom w:val="none" w:sz="0" w:space="0" w:color="auto"/>
        <w:right w:val="none" w:sz="0" w:space="0" w:color="auto"/>
      </w:divBdr>
    </w:div>
    <w:div w:id="1803420468">
      <w:bodyDiv w:val="1"/>
      <w:marLeft w:val="0"/>
      <w:marRight w:val="0"/>
      <w:marTop w:val="0"/>
      <w:marBottom w:val="0"/>
      <w:divBdr>
        <w:top w:val="none" w:sz="0" w:space="0" w:color="auto"/>
        <w:left w:val="none" w:sz="0" w:space="0" w:color="auto"/>
        <w:bottom w:val="none" w:sz="0" w:space="0" w:color="auto"/>
        <w:right w:val="none" w:sz="0" w:space="0" w:color="auto"/>
      </w:divBdr>
    </w:div>
    <w:div w:id="1867909331">
      <w:bodyDiv w:val="1"/>
      <w:marLeft w:val="0"/>
      <w:marRight w:val="0"/>
      <w:marTop w:val="0"/>
      <w:marBottom w:val="0"/>
      <w:divBdr>
        <w:top w:val="none" w:sz="0" w:space="0" w:color="auto"/>
        <w:left w:val="none" w:sz="0" w:space="0" w:color="auto"/>
        <w:bottom w:val="none" w:sz="0" w:space="0" w:color="auto"/>
        <w:right w:val="none" w:sz="0" w:space="0" w:color="auto"/>
      </w:divBdr>
    </w:div>
    <w:div w:id="1925411859">
      <w:bodyDiv w:val="1"/>
      <w:marLeft w:val="0"/>
      <w:marRight w:val="0"/>
      <w:marTop w:val="0"/>
      <w:marBottom w:val="0"/>
      <w:divBdr>
        <w:top w:val="none" w:sz="0" w:space="0" w:color="auto"/>
        <w:left w:val="none" w:sz="0" w:space="0" w:color="auto"/>
        <w:bottom w:val="none" w:sz="0" w:space="0" w:color="auto"/>
        <w:right w:val="none" w:sz="0" w:space="0" w:color="auto"/>
      </w:divBdr>
    </w:div>
    <w:div w:id="2007662558">
      <w:bodyDiv w:val="1"/>
      <w:marLeft w:val="0"/>
      <w:marRight w:val="0"/>
      <w:marTop w:val="0"/>
      <w:marBottom w:val="0"/>
      <w:divBdr>
        <w:top w:val="none" w:sz="0" w:space="0" w:color="auto"/>
        <w:left w:val="none" w:sz="0" w:space="0" w:color="auto"/>
        <w:bottom w:val="none" w:sz="0" w:space="0" w:color="auto"/>
        <w:right w:val="none" w:sz="0" w:space="0" w:color="auto"/>
      </w:divBdr>
    </w:div>
    <w:div w:id="2082018891">
      <w:bodyDiv w:val="1"/>
      <w:marLeft w:val="0"/>
      <w:marRight w:val="0"/>
      <w:marTop w:val="0"/>
      <w:marBottom w:val="0"/>
      <w:divBdr>
        <w:top w:val="none" w:sz="0" w:space="0" w:color="auto"/>
        <w:left w:val="none" w:sz="0" w:space="0" w:color="auto"/>
        <w:bottom w:val="none" w:sz="0" w:space="0" w:color="auto"/>
        <w:right w:val="none" w:sz="0" w:space="0" w:color="auto"/>
      </w:divBdr>
    </w:div>
    <w:div w:id="2103913020">
      <w:bodyDiv w:val="1"/>
      <w:marLeft w:val="0"/>
      <w:marRight w:val="0"/>
      <w:marTop w:val="0"/>
      <w:marBottom w:val="0"/>
      <w:divBdr>
        <w:top w:val="none" w:sz="0" w:space="0" w:color="auto"/>
        <w:left w:val="none" w:sz="0" w:space="0" w:color="auto"/>
        <w:bottom w:val="none" w:sz="0" w:space="0" w:color="auto"/>
        <w:right w:val="none" w:sz="0" w:space="0" w:color="auto"/>
      </w:divBdr>
    </w:div>
    <w:div w:id="2109352358">
      <w:bodyDiv w:val="1"/>
      <w:marLeft w:val="0"/>
      <w:marRight w:val="0"/>
      <w:marTop w:val="0"/>
      <w:marBottom w:val="0"/>
      <w:divBdr>
        <w:top w:val="none" w:sz="0" w:space="0" w:color="auto"/>
        <w:left w:val="none" w:sz="0" w:space="0" w:color="auto"/>
        <w:bottom w:val="none" w:sz="0" w:space="0" w:color="auto"/>
        <w:right w:val="none" w:sz="0" w:space="0" w:color="auto"/>
      </w:divBdr>
    </w:div>
    <w:div w:id="2140225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6EB1D-8A3D-4B8F-BA51-15BE65D1A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4584</Words>
  <Characters>26133</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Peters</dc:creator>
  <cp:lastModifiedBy>Marianne Holbrook</cp:lastModifiedBy>
  <cp:revision>2</cp:revision>
  <dcterms:created xsi:type="dcterms:W3CDTF">2020-12-28T08:59:00Z</dcterms:created>
  <dcterms:modified xsi:type="dcterms:W3CDTF">2020-12-28T08:59:00Z</dcterms:modified>
</cp:coreProperties>
</file>