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425C" w14:textId="77777777" w:rsidR="00664A82" w:rsidRDefault="00664A82" w:rsidP="00664A82">
      <w:pPr>
        <w:spacing w:line="240" w:lineRule="auto"/>
        <w:jc w:val="center"/>
        <w:outlineLvl w:val="0"/>
      </w:pPr>
      <w:r w:rsidRPr="0003374F">
        <w:rPr>
          <w:b/>
          <w:bCs/>
          <w:noProof/>
          <w:color w:val="1F497D"/>
          <w:lang w:eastAsia="en-ZA"/>
        </w:rPr>
        <w:drawing>
          <wp:inline distT="0" distB="0" distL="0" distR="0" wp14:anchorId="37A8633F" wp14:editId="51F42EFE">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EAB965E" w14:textId="77777777" w:rsidR="00664A82" w:rsidRDefault="00664A82" w:rsidP="00664A82">
      <w:pPr>
        <w:spacing w:line="240" w:lineRule="auto"/>
        <w:jc w:val="center"/>
        <w:outlineLvl w:val="0"/>
      </w:pPr>
    </w:p>
    <w:p w14:paraId="27B470E9" w14:textId="77777777" w:rsidR="00664A82" w:rsidRPr="00271C49" w:rsidRDefault="00664A82" w:rsidP="00664A82">
      <w:pPr>
        <w:spacing w:line="240" w:lineRule="auto"/>
        <w:jc w:val="center"/>
        <w:outlineLvl w:val="0"/>
        <w:rPr>
          <w:b/>
        </w:rPr>
      </w:pPr>
      <w:r w:rsidRPr="00271C49">
        <w:rPr>
          <w:b/>
        </w:rPr>
        <w:t>CONSTITUTIONAL COURT OF SOUTH AFRICA</w:t>
      </w:r>
    </w:p>
    <w:p w14:paraId="505C6F8A" w14:textId="77777777" w:rsidR="00664A82" w:rsidRDefault="00664A82" w:rsidP="00664A82">
      <w:pPr>
        <w:spacing w:line="240" w:lineRule="auto"/>
      </w:pPr>
    </w:p>
    <w:p w14:paraId="052FD342" w14:textId="77777777" w:rsidR="00664A82" w:rsidRPr="009C3888" w:rsidRDefault="00664A82" w:rsidP="00664A82">
      <w:pPr>
        <w:spacing w:line="240" w:lineRule="auto"/>
      </w:pPr>
    </w:p>
    <w:p w14:paraId="16C84174" w14:textId="5C467061" w:rsidR="00664A82" w:rsidRPr="00A76753" w:rsidRDefault="00664A82" w:rsidP="00664A82">
      <w:pPr>
        <w:tabs>
          <w:tab w:val="right" w:pos="9029"/>
        </w:tabs>
        <w:spacing w:line="240" w:lineRule="auto"/>
        <w:jc w:val="right"/>
        <w:rPr>
          <w:szCs w:val="26"/>
        </w:rPr>
      </w:pPr>
      <w:r w:rsidRPr="00961263">
        <w:tab/>
      </w:r>
      <w:r>
        <w:rPr>
          <w:szCs w:val="26"/>
        </w:rPr>
        <w:t xml:space="preserve">Case CCT </w:t>
      </w:r>
      <w:r w:rsidR="00090B6D">
        <w:rPr>
          <w:szCs w:val="26"/>
        </w:rPr>
        <w:t>220</w:t>
      </w:r>
      <w:r w:rsidRPr="00A76753">
        <w:rPr>
          <w:szCs w:val="26"/>
        </w:rPr>
        <w:t>/20</w:t>
      </w:r>
    </w:p>
    <w:p w14:paraId="1B83B4A4" w14:textId="77777777" w:rsidR="00664A82" w:rsidRPr="00A76753" w:rsidRDefault="00664A82" w:rsidP="00664A82">
      <w:pPr>
        <w:tabs>
          <w:tab w:val="left" w:pos="8998"/>
        </w:tabs>
        <w:spacing w:line="240" w:lineRule="auto"/>
        <w:rPr>
          <w:szCs w:val="26"/>
        </w:rPr>
      </w:pPr>
    </w:p>
    <w:p w14:paraId="26B5C595" w14:textId="12D21D4E" w:rsidR="00664A82" w:rsidRDefault="00664A82" w:rsidP="00664A82">
      <w:pPr>
        <w:tabs>
          <w:tab w:val="left" w:pos="8998"/>
        </w:tabs>
        <w:spacing w:line="240" w:lineRule="auto"/>
        <w:rPr>
          <w:szCs w:val="26"/>
        </w:rPr>
      </w:pPr>
      <w:r w:rsidRPr="00A76753">
        <w:rPr>
          <w:szCs w:val="26"/>
        </w:rPr>
        <w:t>In the matter between:</w:t>
      </w:r>
    </w:p>
    <w:p w14:paraId="21BB01A5" w14:textId="77777777" w:rsidR="009365BA" w:rsidRPr="00A76753" w:rsidRDefault="009365BA" w:rsidP="00664A82">
      <w:pPr>
        <w:tabs>
          <w:tab w:val="left" w:pos="8998"/>
        </w:tabs>
        <w:spacing w:line="240" w:lineRule="auto"/>
        <w:rPr>
          <w:szCs w:val="26"/>
        </w:rPr>
      </w:pPr>
    </w:p>
    <w:p w14:paraId="26699BFA" w14:textId="77777777" w:rsidR="00664A82" w:rsidRPr="00A76753" w:rsidRDefault="00664A82" w:rsidP="00664A82">
      <w:pPr>
        <w:tabs>
          <w:tab w:val="left" w:pos="8998"/>
        </w:tabs>
        <w:spacing w:line="240" w:lineRule="auto"/>
        <w:rPr>
          <w:szCs w:val="26"/>
        </w:rPr>
      </w:pPr>
    </w:p>
    <w:p w14:paraId="03081474" w14:textId="77777777" w:rsidR="009365BA" w:rsidRDefault="009365BA" w:rsidP="009365BA">
      <w:pPr>
        <w:tabs>
          <w:tab w:val="right" w:pos="9029"/>
        </w:tabs>
        <w:spacing w:line="240" w:lineRule="auto"/>
        <w:rPr>
          <w:szCs w:val="26"/>
        </w:rPr>
      </w:pPr>
      <w:r>
        <w:rPr>
          <w:b/>
          <w:szCs w:val="26"/>
        </w:rPr>
        <w:t>SIPHIWE HAPPY MKHATSHWA</w:t>
      </w:r>
      <w:r w:rsidRPr="00EE02D5">
        <w:rPr>
          <w:szCs w:val="26"/>
        </w:rPr>
        <w:tab/>
      </w:r>
      <w:r>
        <w:rPr>
          <w:szCs w:val="26"/>
        </w:rPr>
        <w:t xml:space="preserve">First </w:t>
      </w:r>
      <w:r w:rsidRPr="00EE02D5">
        <w:rPr>
          <w:szCs w:val="26"/>
        </w:rPr>
        <w:t>Applicant</w:t>
      </w:r>
    </w:p>
    <w:p w14:paraId="6805533F" w14:textId="77777777" w:rsidR="009365BA" w:rsidRDefault="009365BA" w:rsidP="009365BA">
      <w:pPr>
        <w:tabs>
          <w:tab w:val="right" w:pos="9029"/>
        </w:tabs>
        <w:spacing w:line="240" w:lineRule="auto"/>
        <w:rPr>
          <w:b/>
          <w:szCs w:val="26"/>
        </w:rPr>
      </w:pPr>
    </w:p>
    <w:p w14:paraId="2F577F11" w14:textId="52B6ACE8" w:rsidR="009365BA" w:rsidRDefault="009365BA" w:rsidP="009365BA">
      <w:pPr>
        <w:tabs>
          <w:tab w:val="right" w:pos="9029"/>
        </w:tabs>
        <w:spacing w:line="240" w:lineRule="auto"/>
        <w:rPr>
          <w:szCs w:val="26"/>
        </w:rPr>
      </w:pPr>
      <w:r>
        <w:rPr>
          <w:b/>
          <w:szCs w:val="26"/>
        </w:rPr>
        <w:t>ISAAC NYOMO NTIWANE</w:t>
      </w:r>
      <w:r>
        <w:rPr>
          <w:b/>
          <w:szCs w:val="26"/>
        </w:rPr>
        <w:tab/>
      </w:r>
      <w:r>
        <w:rPr>
          <w:szCs w:val="26"/>
        </w:rPr>
        <w:t>Second Applicant</w:t>
      </w:r>
    </w:p>
    <w:p w14:paraId="4AB27E3A" w14:textId="77777777" w:rsidR="009365BA" w:rsidRDefault="009365BA" w:rsidP="009365BA">
      <w:pPr>
        <w:tabs>
          <w:tab w:val="right" w:pos="9029"/>
        </w:tabs>
        <w:spacing w:line="240" w:lineRule="auto"/>
        <w:rPr>
          <w:szCs w:val="26"/>
        </w:rPr>
      </w:pPr>
    </w:p>
    <w:p w14:paraId="3CA142C0" w14:textId="1E8F8460" w:rsidR="009365BA" w:rsidRDefault="009365BA" w:rsidP="009365BA">
      <w:pPr>
        <w:tabs>
          <w:tab w:val="right" w:pos="9029"/>
        </w:tabs>
        <w:spacing w:line="240" w:lineRule="auto"/>
        <w:rPr>
          <w:szCs w:val="26"/>
        </w:rPr>
      </w:pPr>
      <w:r>
        <w:rPr>
          <w:b/>
          <w:szCs w:val="26"/>
        </w:rPr>
        <w:t>JUDY MKHATSHWA</w:t>
      </w:r>
      <w:r>
        <w:rPr>
          <w:szCs w:val="26"/>
        </w:rPr>
        <w:tab/>
        <w:t>Third Applicant</w:t>
      </w:r>
    </w:p>
    <w:p w14:paraId="118A84C3" w14:textId="77777777" w:rsidR="009365BA" w:rsidRDefault="009365BA" w:rsidP="009365BA">
      <w:pPr>
        <w:tabs>
          <w:tab w:val="right" w:pos="9029"/>
        </w:tabs>
        <w:spacing w:line="240" w:lineRule="auto"/>
        <w:rPr>
          <w:szCs w:val="26"/>
        </w:rPr>
      </w:pPr>
    </w:p>
    <w:p w14:paraId="0A13EB7C" w14:textId="1E3AD549" w:rsidR="009365BA" w:rsidRDefault="009365BA" w:rsidP="009365BA">
      <w:pPr>
        <w:tabs>
          <w:tab w:val="right" w:pos="9029"/>
        </w:tabs>
        <w:spacing w:line="240" w:lineRule="auto"/>
        <w:rPr>
          <w:b/>
          <w:szCs w:val="26"/>
        </w:rPr>
      </w:pPr>
      <w:r>
        <w:rPr>
          <w:b/>
          <w:szCs w:val="26"/>
        </w:rPr>
        <w:t>MAWEWE COMMUNAL PROPERTY</w:t>
      </w:r>
    </w:p>
    <w:p w14:paraId="393DA1D4" w14:textId="6EC9C12B" w:rsidR="009365BA" w:rsidRPr="0020572B" w:rsidRDefault="009365BA" w:rsidP="009365BA">
      <w:pPr>
        <w:tabs>
          <w:tab w:val="right" w:pos="9029"/>
        </w:tabs>
        <w:spacing w:line="240" w:lineRule="auto"/>
        <w:rPr>
          <w:szCs w:val="26"/>
        </w:rPr>
      </w:pPr>
      <w:r>
        <w:rPr>
          <w:b/>
          <w:szCs w:val="26"/>
        </w:rPr>
        <w:t>ASSOCIATION</w:t>
      </w:r>
      <w:r>
        <w:rPr>
          <w:b/>
          <w:szCs w:val="26"/>
        </w:rPr>
        <w:tab/>
      </w:r>
      <w:r>
        <w:rPr>
          <w:szCs w:val="26"/>
        </w:rPr>
        <w:t>Fourth Applicant</w:t>
      </w:r>
    </w:p>
    <w:p w14:paraId="0C761B2F" w14:textId="77777777" w:rsidR="009365BA" w:rsidRPr="00EE02D5" w:rsidRDefault="009365BA" w:rsidP="009365BA">
      <w:pPr>
        <w:spacing w:line="240" w:lineRule="auto"/>
        <w:rPr>
          <w:szCs w:val="26"/>
        </w:rPr>
      </w:pPr>
    </w:p>
    <w:p w14:paraId="29FD9365" w14:textId="77777777" w:rsidR="009365BA" w:rsidRPr="00EE02D5" w:rsidRDefault="009365BA" w:rsidP="009365BA">
      <w:pPr>
        <w:spacing w:line="240" w:lineRule="auto"/>
        <w:rPr>
          <w:szCs w:val="26"/>
        </w:rPr>
      </w:pPr>
      <w:r w:rsidRPr="00EE02D5">
        <w:rPr>
          <w:szCs w:val="26"/>
        </w:rPr>
        <w:t>and</w:t>
      </w:r>
    </w:p>
    <w:p w14:paraId="000C61D0" w14:textId="77777777" w:rsidR="009365BA" w:rsidRPr="00EE02D5" w:rsidRDefault="009365BA" w:rsidP="009365BA">
      <w:pPr>
        <w:spacing w:line="240" w:lineRule="auto"/>
        <w:rPr>
          <w:szCs w:val="26"/>
        </w:rPr>
      </w:pPr>
    </w:p>
    <w:p w14:paraId="76110D0D" w14:textId="51B4C4BB" w:rsidR="009365BA" w:rsidRPr="00C936D7" w:rsidRDefault="009365BA" w:rsidP="009365BA">
      <w:pPr>
        <w:tabs>
          <w:tab w:val="right" w:pos="9029"/>
        </w:tabs>
        <w:spacing w:line="240" w:lineRule="auto"/>
        <w:rPr>
          <w:b/>
          <w:szCs w:val="26"/>
        </w:rPr>
      </w:pPr>
      <w:r>
        <w:rPr>
          <w:b/>
          <w:szCs w:val="26"/>
        </w:rPr>
        <w:t>EVA</w:t>
      </w:r>
      <w:r w:rsidR="00BE5E42">
        <w:rPr>
          <w:b/>
          <w:szCs w:val="26"/>
        </w:rPr>
        <w:t>H</w:t>
      </w:r>
      <w:r>
        <w:rPr>
          <w:b/>
          <w:szCs w:val="26"/>
        </w:rPr>
        <w:t xml:space="preserve"> SIMANGELE MKHATSHWA</w:t>
      </w:r>
      <w:r w:rsidRPr="00EE02D5">
        <w:rPr>
          <w:szCs w:val="26"/>
        </w:rPr>
        <w:tab/>
      </w:r>
      <w:r>
        <w:rPr>
          <w:szCs w:val="26"/>
        </w:rPr>
        <w:t xml:space="preserve">First </w:t>
      </w:r>
      <w:r w:rsidRPr="00EE02D5">
        <w:rPr>
          <w:szCs w:val="26"/>
        </w:rPr>
        <w:t>Respondent</w:t>
      </w:r>
    </w:p>
    <w:p w14:paraId="072E972D" w14:textId="77777777" w:rsidR="009365BA" w:rsidRDefault="009365BA" w:rsidP="009365BA">
      <w:pPr>
        <w:tabs>
          <w:tab w:val="right" w:pos="9029"/>
        </w:tabs>
        <w:spacing w:line="240" w:lineRule="auto"/>
        <w:rPr>
          <w:szCs w:val="26"/>
        </w:rPr>
      </w:pPr>
    </w:p>
    <w:p w14:paraId="216A4662" w14:textId="77777777" w:rsidR="009365BA" w:rsidRDefault="009365BA" w:rsidP="009365BA">
      <w:pPr>
        <w:tabs>
          <w:tab w:val="right" w:pos="9029"/>
        </w:tabs>
        <w:spacing w:line="240" w:lineRule="auto"/>
        <w:rPr>
          <w:szCs w:val="26"/>
        </w:rPr>
      </w:pPr>
      <w:r>
        <w:rPr>
          <w:b/>
          <w:szCs w:val="26"/>
        </w:rPr>
        <w:t>MAWEWE TRIBAL AUTHORITY</w:t>
      </w:r>
      <w:r>
        <w:rPr>
          <w:b/>
          <w:szCs w:val="26"/>
        </w:rPr>
        <w:tab/>
      </w:r>
      <w:r>
        <w:rPr>
          <w:szCs w:val="26"/>
        </w:rPr>
        <w:t>Second Respondent</w:t>
      </w:r>
    </w:p>
    <w:p w14:paraId="051AD773" w14:textId="77777777" w:rsidR="009365BA" w:rsidRDefault="009365BA" w:rsidP="009365BA">
      <w:pPr>
        <w:tabs>
          <w:tab w:val="right" w:pos="9029"/>
        </w:tabs>
        <w:spacing w:line="240" w:lineRule="auto"/>
        <w:rPr>
          <w:szCs w:val="26"/>
        </w:rPr>
      </w:pPr>
    </w:p>
    <w:p w14:paraId="71C812F1" w14:textId="77777777" w:rsidR="009365BA" w:rsidRDefault="009365BA" w:rsidP="009365BA">
      <w:pPr>
        <w:tabs>
          <w:tab w:val="right" w:pos="9029"/>
        </w:tabs>
        <w:spacing w:line="240" w:lineRule="auto"/>
        <w:rPr>
          <w:szCs w:val="26"/>
        </w:rPr>
      </w:pPr>
      <w:r>
        <w:rPr>
          <w:b/>
          <w:szCs w:val="26"/>
        </w:rPr>
        <w:t>CANDY ZIDWE MKHATSHWA</w:t>
      </w:r>
      <w:r>
        <w:rPr>
          <w:b/>
          <w:szCs w:val="26"/>
        </w:rPr>
        <w:tab/>
      </w:r>
      <w:r>
        <w:rPr>
          <w:szCs w:val="26"/>
        </w:rPr>
        <w:t>Third Respondent</w:t>
      </w:r>
    </w:p>
    <w:p w14:paraId="238BA249" w14:textId="77777777" w:rsidR="009365BA" w:rsidRDefault="009365BA" w:rsidP="009365BA">
      <w:pPr>
        <w:tabs>
          <w:tab w:val="right" w:pos="9029"/>
        </w:tabs>
        <w:spacing w:line="240" w:lineRule="auto"/>
        <w:rPr>
          <w:szCs w:val="26"/>
        </w:rPr>
      </w:pPr>
    </w:p>
    <w:p w14:paraId="3EDD9260" w14:textId="77777777" w:rsidR="009365BA" w:rsidRDefault="009365BA" w:rsidP="009365BA">
      <w:pPr>
        <w:tabs>
          <w:tab w:val="right" w:pos="9029"/>
        </w:tabs>
        <w:spacing w:line="240" w:lineRule="auto"/>
        <w:rPr>
          <w:b/>
          <w:szCs w:val="26"/>
        </w:rPr>
      </w:pPr>
      <w:r>
        <w:rPr>
          <w:b/>
          <w:szCs w:val="26"/>
        </w:rPr>
        <w:t>DEPARTMENT OF RURAL DEVELOPMENT</w:t>
      </w:r>
    </w:p>
    <w:p w14:paraId="55454E22" w14:textId="6A352ED8" w:rsidR="009365BA" w:rsidRDefault="009365BA" w:rsidP="009365BA">
      <w:pPr>
        <w:tabs>
          <w:tab w:val="right" w:pos="9029"/>
        </w:tabs>
        <w:spacing w:line="240" w:lineRule="auto"/>
        <w:rPr>
          <w:szCs w:val="26"/>
        </w:rPr>
      </w:pPr>
      <w:r>
        <w:rPr>
          <w:b/>
          <w:szCs w:val="26"/>
        </w:rPr>
        <w:t>AND LAND REFORM</w:t>
      </w:r>
      <w:r>
        <w:rPr>
          <w:b/>
          <w:szCs w:val="26"/>
        </w:rPr>
        <w:tab/>
      </w:r>
      <w:r>
        <w:rPr>
          <w:szCs w:val="26"/>
        </w:rPr>
        <w:t>Fourth Respondent</w:t>
      </w:r>
    </w:p>
    <w:p w14:paraId="5ED33F59" w14:textId="77777777" w:rsidR="009365BA" w:rsidRDefault="009365BA" w:rsidP="009365BA">
      <w:pPr>
        <w:tabs>
          <w:tab w:val="right" w:pos="9029"/>
        </w:tabs>
        <w:spacing w:line="240" w:lineRule="auto"/>
        <w:rPr>
          <w:szCs w:val="26"/>
        </w:rPr>
      </w:pPr>
    </w:p>
    <w:p w14:paraId="1574CB82" w14:textId="77777777" w:rsidR="00992DA8" w:rsidRDefault="009365BA" w:rsidP="00992DA8">
      <w:pPr>
        <w:tabs>
          <w:tab w:val="right" w:pos="9029"/>
        </w:tabs>
        <w:spacing w:line="240" w:lineRule="auto"/>
        <w:rPr>
          <w:b/>
          <w:szCs w:val="26"/>
        </w:rPr>
      </w:pPr>
      <w:r>
        <w:rPr>
          <w:b/>
          <w:szCs w:val="26"/>
        </w:rPr>
        <w:t xml:space="preserve">MINISTER OF </w:t>
      </w:r>
      <w:r w:rsidR="00992DA8" w:rsidRPr="000F0EB6">
        <w:rPr>
          <w:b/>
          <w:szCs w:val="26"/>
        </w:rPr>
        <w:t xml:space="preserve">AGRICULTURE, LAND </w:t>
      </w:r>
      <w:r w:rsidR="00992DA8">
        <w:rPr>
          <w:b/>
          <w:szCs w:val="26"/>
        </w:rPr>
        <w:t>REFORM</w:t>
      </w:r>
    </w:p>
    <w:p w14:paraId="431E9940" w14:textId="3CAFEC5B" w:rsidR="009365BA" w:rsidRDefault="00992DA8" w:rsidP="00992DA8">
      <w:pPr>
        <w:tabs>
          <w:tab w:val="right" w:pos="9029"/>
        </w:tabs>
        <w:spacing w:line="240" w:lineRule="auto"/>
        <w:rPr>
          <w:szCs w:val="26"/>
        </w:rPr>
      </w:pPr>
      <w:r w:rsidRPr="000F0EB6">
        <w:rPr>
          <w:b/>
          <w:szCs w:val="26"/>
        </w:rPr>
        <w:t>AND RURAL DEVELOPMENT</w:t>
      </w:r>
      <w:r w:rsidR="009365BA">
        <w:rPr>
          <w:szCs w:val="26"/>
        </w:rPr>
        <w:tab/>
        <w:t>Fifth Respondent</w:t>
      </w:r>
    </w:p>
    <w:p w14:paraId="07E9F4A2" w14:textId="77777777" w:rsidR="009365BA" w:rsidRDefault="009365BA" w:rsidP="009365BA">
      <w:pPr>
        <w:tabs>
          <w:tab w:val="right" w:pos="9029"/>
        </w:tabs>
        <w:spacing w:line="240" w:lineRule="auto"/>
        <w:rPr>
          <w:szCs w:val="26"/>
        </w:rPr>
      </w:pPr>
    </w:p>
    <w:p w14:paraId="7714A27E" w14:textId="77777777" w:rsidR="00992DA8" w:rsidRDefault="00992DA8" w:rsidP="00992DA8">
      <w:pPr>
        <w:tabs>
          <w:tab w:val="right" w:pos="9029"/>
        </w:tabs>
        <w:spacing w:line="240" w:lineRule="auto"/>
        <w:rPr>
          <w:b/>
          <w:szCs w:val="26"/>
        </w:rPr>
      </w:pPr>
      <w:r>
        <w:rPr>
          <w:b/>
          <w:szCs w:val="26"/>
        </w:rPr>
        <w:t>MEMBER OF THE EXECUTIVE COUNCIL,</w:t>
      </w:r>
    </w:p>
    <w:p w14:paraId="6DBE2BB1" w14:textId="075F88ED" w:rsidR="00992DA8" w:rsidRDefault="00992DA8" w:rsidP="00992DA8">
      <w:pPr>
        <w:tabs>
          <w:tab w:val="right" w:pos="9029"/>
        </w:tabs>
        <w:spacing w:line="240" w:lineRule="auto"/>
        <w:rPr>
          <w:b/>
          <w:szCs w:val="26"/>
        </w:rPr>
      </w:pPr>
      <w:r>
        <w:rPr>
          <w:b/>
          <w:szCs w:val="26"/>
        </w:rPr>
        <w:t>AGRICULTURE, RURAL DEVELOPMENT,</w:t>
      </w:r>
    </w:p>
    <w:p w14:paraId="339F1120" w14:textId="77777777" w:rsidR="00992DA8" w:rsidRDefault="00992DA8" w:rsidP="00992DA8">
      <w:pPr>
        <w:tabs>
          <w:tab w:val="right" w:pos="9029"/>
        </w:tabs>
        <w:spacing w:line="240" w:lineRule="auto"/>
        <w:rPr>
          <w:b/>
          <w:szCs w:val="26"/>
        </w:rPr>
      </w:pPr>
      <w:r>
        <w:rPr>
          <w:b/>
          <w:szCs w:val="26"/>
        </w:rPr>
        <w:t>LAND ADMINISTRATION AND</w:t>
      </w:r>
    </w:p>
    <w:p w14:paraId="7DF870C6" w14:textId="77777777" w:rsidR="00992DA8" w:rsidRDefault="00992DA8" w:rsidP="00992DA8">
      <w:pPr>
        <w:tabs>
          <w:tab w:val="right" w:pos="9029"/>
        </w:tabs>
        <w:spacing w:line="240" w:lineRule="auto"/>
        <w:rPr>
          <w:b/>
          <w:szCs w:val="26"/>
        </w:rPr>
      </w:pPr>
      <w:r>
        <w:rPr>
          <w:b/>
          <w:szCs w:val="26"/>
        </w:rPr>
        <w:t>ENVIRONMENTAL AFFAIRS,</w:t>
      </w:r>
    </w:p>
    <w:p w14:paraId="7324EF68" w14:textId="3B21BFA3" w:rsidR="009365BA" w:rsidRDefault="00992DA8" w:rsidP="00992DA8">
      <w:pPr>
        <w:tabs>
          <w:tab w:val="right" w:pos="9029"/>
        </w:tabs>
        <w:spacing w:line="240" w:lineRule="auto"/>
        <w:rPr>
          <w:szCs w:val="26"/>
        </w:rPr>
      </w:pPr>
      <w:r>
        <w:rPr>
          <w:b/>
          <w:szCs w:val="26"/>
        </w:rPr>
        <w:t>MPUMALANGA</w:t>
      </w:r>
      <w:r w:rsidR="009365BA">
        <w:rPr>
          <w:b/>
          <w:szCs w:val="26"/>
        </w:rPr>
        <w:tab/>
      </w:r>
      <w:r w:rsidR="009365BA">
        <w:rPr>
          <w:szCs w:val="26"/>
        </w:rPr>
        <w:t>Sixth Respondent</w:t>
      </w:r>
    </w:p>
    <w:p w14:paraId="6B0152CD" w14:textId="77777777" w:rsidR="009365BA" w:rsidRDefault="009365BA" w:rsidP="009365BA">
      <w:pPr>
        <w:tabs>
          <w:tab w:val="right" w:pos="9029"/>
        </w:tabs>
        <w:spacing w:line="240" w:lineRule="auto"/>
        <w:rPr>
          <w:szCs w:val="26"/>
        </w:rPr>
      </w:pPr>
    </w:p>
    <w:p w14:paraId="2CD28393" w14:textId="5ACE07D9" w:rsidR="009365BA" w:rsidRDefault="009365BA" w:rsidP="009365BA">
      <w:pPr>
        <w:tabs>
          <w:tab w:val="right" w:pos="9029"/>
        </w:tabs>
        <w:spacing w:line="240" w:lineRule="auto"/>
        <w:rPr>
          <w:szCs w:val="26"/>
        </w:rPr>
      </w:pPr>
      <w:r>
        <w:rPr>
          <w:b/>
          <w:szCs w:val="26"/>
        </w:rPr>
        <w:t>FIRST NATIONAL BANK</w:t>
      </w:r>
      <w:r>
        <w:rPr>
          <w:b/>
          <w:szCs w:val="26"/>
        </w:rPr>
        <w:tab/>
      </w:r>
      <w:r>
        <w:rPr>
          <w:szCs w:val="26"/>
        </w:rPr>
        <w:t>Seventh Respondent</w:t>
      </w:r>
    </w:p>
    <w:p w14:paraId="2D0FE387" w14:textId="586C2A08" w:rsidR="00D71F7C" w:rsidRDefault="00D71F7C" w:rsidP="009365BA">
      <w:pPr>
        <w:tabs>
          <w:tab w:val="right" w:pos="9029"/>
        </w:tabs>
        <w:spacing w:line="240" w:lineRule="auto"/>
        <w:rPr>
          <w:szCs w:val="26"/>
        </w:rPr>
      </w:pPr>
    </w:p>
    <w:p w14:paraId="48956586" w14:textId="77777777" w:rsidR="003D5D54" w:rsidRDefault="003D5D54" w:rsidP="009365BA">
      <w:pPr>
        <w:tabs>
          <w:tab w:val="right" w:pos="9029"/>
        </w:tabs>
        <w:spacing w:line="240" w:lineRule="auto"/>
        <w:rPr>
          <w:szCs w:val="26"/>
        </w:rPr>
      </w:pPr>
    </w:p>
    <w:p w14:paraId="579D15E3" w14:textId="77777777" w:rsidR="00D71F7C" w:rsidRPr="00341A63" w:rsidRDefault="00D71F7C" w:rsidP="009365BA">
      <w:pPr>
        <w:tabs>
          <w:tab w:val="right" w:pos="9029"/>
        </w:tabs>
        <w:spacing w:line="240" w:lineRule="auto"/>
        <w:rPr>
          <w:szCs w:val="26"/>
        </w:rPr>
      </w:pPr>
    </w:p>
    <w:p w14:paraId="405D7B55" w14:textId="2D0DD3D6" w:rsidR="00D71F7C" w:rsidRPr="00F05BBD" w:rsidRDefault="00D71F7C" w:rsidP="00D71F7C">
      <w:pPr>
        <w:spacing w:line="240" w:lineRule="auto"/>
        <w:ind w:left="2160" w:hanging="2160"/>
      </w:pPr>
      <w:r w:rsidRPr="008B40EE">
        <w:rPr>
          <w:b/>
        </w:rPr>
        <w:lastRenderedPageBreak/>
        <w:t>Neutral citation:</w:t>
      </w:r>
      <w:r>
        <w:tab/>
      </w:r>
      <w:proofErr w:type="spellStart"/>
      <w:r>
        <w:rPr>
          <w:i/>
        </w:rPr>
        <w:t>Mkhatshwa</w:t>
      </w:r>
      <w:proofErr w:type="spellEnd"/>
      <w:r w:rsidR="00415CF4">
        <w:rPr>
          <w:i/>
        </w:rPr>
        <w:t xml:space="preserve"> and Others</w:t>
      </w:r>
      <w:r>
        <w:rPr>
          <w:i/>
        </w:rPr>
        <w:t xml:space="preserve"> v </w:t>
      </w:r>
      <w:proofErr w:type="spellStart"/>
      <w:r>
        <w:rPr>
          <w:i/>
        </w:rPr>
        <w:t>Mkhatshwa</w:t>
      </w:r>
      <w:proofErr w:type="spellEnd"/>
      <w:r w:rsidR="00415CF4">
        <w:rPr>
          <w:i/>
        </w:rPr>
        <w:t xml:space="preserve"> and </w:t>
      </w:r>
      <w:r w:rsidR="00415CF4" w:rsidRPr="003D5D54">
        <w:rPr>
          <w:i/>
        </w:rPr>
        <w:t>Others</w:t>
      </w:r>
      <w:r w:rsidRPr="003D5D54">
        <w:rPr>
          <w:i/>
        </w:rPr>
        <w:t xml:space="preserve"> </w:t>
      </w:r>
      <w:r w:rsidRPr="003D5D54">
        <w:t>[2021]</w:t>
      </w:r>
      <w:r w:rsidR="00227521">
        <w:t xml:space="preserve"> ZACC </w:t>
      </w:r>
      <w:r w:rsidR="00C11D3A">
        <w:t>15</w:t>
      </w:r>
    </w:p>
    <w:p w14:paraId="5D514BDC" w14:textId="77777777" w:rsidR="00D71F7C" w:rsidRDefault="00D71F7C" w:rsidP="00D71F7C">
      <w:pPr>
        <w:spacing w:line="240" w:lineRule="auto"/>
      </w:pPr>
    </w:p>
    <w:p w14:paraId="12D82AEA" w14:textId="4F3FF033" w:rsidR="00D71F7C" w:rsidRDefault="00D71F7C" w:rsidP="00D71F7C">
      <w:pPr>
        <w:spacing w:line="240" w:lineRule="auto"/>
        <w:ind w:left="2160" w:hanging="2160"/>
      </w:pPr>
      <w:r w:rsidRPr="008B40EE">
        <w:rPr>
          <w:b/>
        </w:rPr>
        <w:t>Coram:</w:t>
      </w:r>
      <w:r>
        <w:tab/>
      </w:r>
      <w:proofErr w:type="spellStart"/>
      <w:r w:rsidRPr="00160242">
        <w:rPr>
          <w:szCs w:val="26"/>
        </w:rPr>
        <w:t>Mogoeng</w:t>
      </w:r>
      <w:proofErr w:type="spellEnd"/>
      <w:r w:rsidRPr="00160242">
        <w:rPr>
          <w:szCs w:val="26"/>
        </w:rPr>
        <w:t xml:space="preserve"> CJ,</w:t>
      </w:r>
      <w:r w:rsidRPr="00756149">
        <w:rPr>
          <w:szCs w:val="26"/>
        </w:rPr>
        <w:t xml:space="preserve"> </w:t>
      </w:r>
      <w:proofErr w:type="spellStart"/>
      <w:r w:rsidRPr="00D31B0F">
        <w:rPr>
          <w:szCs w:val="26"/>
        </w:rPr>
        <w:t>Jafta</w:t>
      </w:r>
      <w:proofErr w:type="spellEnd"/>
      <w:r w:rsidRPr="00D31B0F">
        <w:rPr>
          <w:szCs w:val="26"/>
        </w:rPr>
        <w:t xml:space="preserve"> J,</w:t>
      </w:r>
      <w:r w:rsidRPr="00756149">
        <w:rPr>
          <w:szCs w:val="26"/>
        </w:rPr>
        <w:t xml:space="preserve"> </w:t>
      </w:r>
      <w:proofErr w:type="spellStart"/>
      <w:r w:rsidR="00227521">
        <w:rPr>
          <w:szCs w:val="26"/>
        </w:rPr>
        <w:t>Khampepe</w:t>
      </w:r>
      <w:proofErr w:type="spellEnd"/>
      <w:r w:rsidR="00227521">
        <w:rPr>
          <w:szCs w:val="26"/>
        </w:rPr>
        <w:t xml:space="preserve"> J, </w:t>
      </w:r>
      <w:proofErr w:type="spellStart"/>
      <w:r w:rsidR="00227521">
        <w:rPr>
          <w:szCs w:val="26"/>
        </w:rPr>
        <w:t>Madlanga</w:t>
      </w:r>
      <w:proofErr w:type="spellEnd"/>
      <w:r w:rsidR="00227521">
        <w:rPr>
          <w:szCs w:val="26"/>
        </w:rPr>
        <w:t xml:space="preserve"> J, </w:t>
      </w:r>
      <w:proofErr w:type="spellStart"/>
      <w:r w:rsidR="00227521">
        <w:rPr>
          <w:szCs w:val="26"/>
        </w:rPr>
        <w:t>Majiedt</w:t>
      </w:r>
      <w:proofErr w:type="spellEnd"/>
      <w:r w:rsidR="00227521">
        <w:rPr>
          <w:szCs w:val="26"/>
        </w:rPr>
        <w:t> </w:t>
      </w:r>
      <w:r w:rsidRPr="00756149">
        <w:rPr>
          <w:szCs w:val="26"/>
        </w:rPr>
        <w:t xml:space="preserve">J, </w:t>
      </w:r>
      <w:proofErr w:type="spellStart"/>
      <w:r w:rsidRPr="00756149">
        <w:rPr>
          <w:szCs w:val="26"/>
        </w:rPr>
        <w:t>Mhlantla</w:t>
      </w:r>
      <w:proofErr w:type="spellEnd"/>
      <w:r w:rsidRPr="00756149">
        <w:rPr>
          <w:szCs w:val="26"/>
        </w:rPr>
        <w:t xml:space="preserve"> J</w:t>
      </w:r>
      <w:r w:rsidRPr="00350C3B">
        <w:rPr>
          <w:szCs w:val="26"/>
        </w:rPr>
        <w:t>,</w:t>
      </w:r>
      <w:r w:rsidR="00BF5108">
        <w:rPr>
          <w:szCs w:val="26"/>
        </w:rPr>
        <w:t xml:space="preserve"> Pillay AJ,</w:t>
      </w:r>
      <w:r w:rsidRPr="00350C3B">
        <w:rPr>
          <w:szCs w:val="26"/>
        </w:rPr>
        <w:t xml:space="preserve"> Theron J,</w:t>
      </w:r>
      <w:r w:rsidRPr="00D23D71">
        <w:rPr>
          <w:szCs w:val="26"/>
        </w:rPr>
        <w:t xml:space="preserve"> </w:t>
      </w:r>
      <w:proofErr w:type="spellStart"/>
      <w:r w:rsidR="00BF5108">
        <w:rPr>
          <w:szCs w:val="26"/>
        </w:rPr>
        <w:t>Tlaletsi</w:t>
      </w:r>
      <w:proofErr w:type="spellEnd"/>
      <w:r w:rsidR="00BF5108">
        <w:rPr>
          <w:szCs w:val="26"/>
        </w:rPr>
        <w:t xml:space="preserve"> AJ and </w:t>
      </w:r>
      <w:proofErr w:type="spellStart"/>
      <w:r w:rsidRPr="00D23D71">
        <w:rPr>
          <w:szCs w:val="26"/>
        </w:rPr>
        <w:t>Tshiqi</w:t>
      </w:r>
      <w:proofErr w:type="spellEnd"/>
      <w:r w:rsidRPr="00756149">
        <w:rPr>
          <w:szCs w:val="26"/>
        </w:rPr>
        <w:t xml:space="preserve"> J</w:t>
      </w:r>
    </w:p>
    <w:p w14:paraId="09F30D61" w14:textId="5E83045B" w:rsidR="00D71F7C" w:rsidRDefault="00D71F7C" w:rsidP="00D71F7C">
      <w:pPr>
        <w:spacing w:line="240" w:lineRule="auto"/>
      </w:pPr>
    </w:p>
    <w:p w14:paraId="634B092C" w14:textId="77777777" w:rsidR="003D5D54" w:rsidRDefault="003D5D54" w:rsidP="00D71F7C">
      <w:pPr>
        <w:spacing w:line="240" w:lineRule="auto"/>
      </w:pPr>
    </w:p>
    <w:p w14:paraId="770E0ADB" w14:textId="77777777" w:rsidR="00415CF4" w:rsidRDefault="00415CF4" w:rsidP="00D71F7C">
      <w:pPr>
        <w:spacing w:line="240" w:lineRule="auto"/>
      </w:pPr>
    </w:p>
    <w:p w14:paraId="4C5508D2" w14:textId="0DEDFE54" w:rsidR="00D71F7C" w:rsidRDefault="00D71F7C" w:rsidP="00D71F7C">
      <w:pPr>
        <w:spacing w:line="240" w:lineRule="auto"/>
        <w:ind w:left="2160" w:hanging="2160"/>
      </w:pPr>
      <w:r>
        <w:rPr>
          <w:b/>
        </w:rPr>
        <w:t>Judgments</w:t>
      </w:r>
      <w:r w:rsidRPr="008B40EE">
        <w:rPr>
          <w:b/>
        </w:rPr>
        <w:t>:</w:t>
      </w:r>
      <w:r>
        <w:tab/>
      </w:r>
      <w:proofErr w:type="spellStart"/>
      <w:r>
        <w:t>Khampepe</w:t>
      </w:r>
      <w:proofErr w:type="spellEnd"/>
      <w:r>
        <w:t xml:space="preserve"> J </w:t>
      </w:r>
      <w:r w:rsidRPr="00BB1635">
        <w:t>(</w:t>
      </w:r>
      <w:r w:rsidR="00415CF4" w:rsidRPr="00BB1635">
        <w:t>unanimous</w:t>
      </w:r>
      <w:r w:rsidRPr="00BB1635">
        <w:t>)</w:t>
      </w:r>
    </w:p>
    <w:p w14:paraId="75403E2C" w14:textId="77777777" w:rsidR="00D71F7C" w:rsidRPr="009C3888" w:rsidRDefault="00D71F7C" w:rsidP="00D71F7C">
      <w:pPr>
        <w:spacing w:line="240" w:lineRule="auto"/>
      </w:pPr>
    </w:p>
    <w:p w14:paraId="3C9E0EAD" w14:textId="4C778037" w:rsidR="00D71F7C" w:rsidRDefault="00D71F7C" w:rsidP="00D71F7C">
      <w:pPr>
        <w:spacing w:line="240" w:lineRule="auto"/>
        <w:ind w:left="2160" w:hanging="2160"/>
      </w:pPr>
      <w:r w:rsidRPr="008B40EE">
        <w:rPr>
          <w:b/>
        </w:rPr>
        <w:t>Decided on:</w:t>
      </w:r>
      <w:r>
        <w:tab/>
      </w:r>
      <w:r w:rsidR="00087D71">
        <w:t>18 June 2021</w:t>
      </w:r>
    </w:p>
    <w:p w14:paraId="0C510B86" w14:textId="2961BAC4" w:rsidR="00415CF4" w:rsidRDefault="00415CF4" w:rsidP="00D71F7C">
      <w:pPr>
        <w:spacing w:line="240" w:lineRule="auto"/>
        <w:ind w:left="2160" w:hanging="2160"/>
      </w:pPr>
    </w:p>
    <w:p w14:paraId="2546B730" w14:textId="77777777" w:rsidR="003D5D54" w:rsidRDefault="003D5D54" w:rsidP="00D71F7C">
      <w:pPr>
        <w:spacing w:line="240" w:lineRule="auto"/>
        <w:ind w:left="2160" w:hanging="2160"/>
      </w:pPr>
    </w:p>
    <w:p w14:paraId="5062C7BD" w14:textId="60C0AB9D" w:rsidR="00415CF4" w:rsidRDefault="00415CF4" w:rsidP="00415CF4">
      <w:pPr>
        <w:spacing w:line="240" w:lineRule="auto"/>
        <w:ind w:left="2160" w:hanging="2160"/>
      </w:pPr>
      <w:r>
        <w:rPr>
          <w:b/>
        </w:rPr>
        <w:t>Summary:</w:t>
      </w:r>
      <w:r>
        <w:rPr>
          <w:b/>
        </w:rPr>
        <w:tab/>
      </w:r>
      <w:r w:rsidR="007143B2">
        <w:t>Costs</w:t>
      </w:r>
      <w:r w:rsidRPr="00542F53">
        <w:t xml:space="preserve"> </w:t>
      </w:r>
      <w:r>
        <w:t>—</w:t>
      </w:r>
      <w:r w:rsidRPr="00542F53">
        <w:t xml:space="preserve"> </w:t>
      </w:r>
      <w:r w:rsidR="007143B2">
        <w:t>punitive costs</w:t>
      </w:r>
      <w:r w:rsidRPr="00542F53">
        <w:t xml:space="preserve"> </w:t>
      </w:r>
      <w:r>
        <w:t>—</w:t>
      </w:r>
      <w:r w:rsidRPr="00542F53">
        <w:t xml:space="preserve"> </w:t>
      </w:r>
      <w:r w:rsidR="007143B2">
        <w:t>vexatious litigation</w:t>
      </w:r>
      <w:r w:rsidR="00910B67">
        <w:t xml:space="preserve"> and scurrilous remarks about ju</w:t>
      </w:r>
      <w:r w:rsidR="003D5D54">
        <w:t>dges may warrant punitive costs</w:t>
      </w:r>
    </w:p>
    <w:p w14:paraId="4A6DEACF" w14:textId="76C44F31" w:rsidR="00664A82" w:rsidRDefault="00664A82" w:rsidP="00664A82">
      <w:pPr>
        <w:spacing w:line="240" w:lineRule="auto"/>
      </w:pPr>
    </w:p>
    <w:p w14:paraId="0C257409" w14:textId="77777777" w:rsidR="009365BA" w:rsidRDefault="009365BA" w:rsidP="00664A82">
      <w:pPr>
        <w:spacing w:line="240" w:lineRule="auto"/>
      </w:pPr>
    </w:p>
    <w:p w14:paraId="75D5D1C0" w14:textId="77777777" w:rsidR="00664A82" w:rsidRPr="00CB0CB2" w:rsidRDefault="00664A82" w:rsidP="00664A82">
      <w:pPr>
        <w:pStyle w:val="JUDGMENTCONTINUED"/>
      </w:pPr>
    </w:p>
    <w:p w14:paraId="26DCA8B0" w14:textId="77777777" w:rsidR="00664A82" w:rsidRDefault="00664A82" w:rsidP="00664A82">
      <w:pPr>
        <w:pStyle w:val="JUDGMENTCONTINUED"/>
        <w:sectPr w:rsidR="00664A82" w:rsidSect="00664A82">
          <w:footerReference w:type="default" r:id="rId9"/>
          <w:type w:val="continuous"/>
          <w:pgSz w:w="11907" w:h="16839" w:code="9"/>
          <w:pgMar w:top="1440" w:right="1440" w:bottom="1440" w:left="1440" w:header="708" w:footer="708" w:gutter="0"/>
          <w:pgNumType w:start="1"/>
          <w:cols w:space="708"/>
          <w:titlePg/>
          <w:docGrid w:linePitch="360"/>
        </w:sectPr>
      </w:pPr>
    </w:p>
    <w:p w14:paraId="7A403E2D" w14:textId="77777777" w:rsidR="00664A82" w:rsidRPr="009C3888" w:rsidRDefault="00664A82" w:rsidP="00664A82">
      <w:pPr>
        <w:keepNext/>
        <w:pBdr>
          <w:top w:val="single" w:sz="4" w:space="1" w:color="auto"/>
          <w:bottom w:val="single" w:sz="4" w:space="1" w:color="auto"/>
        </w:pBdr>
        <w:spacing w:line="240" w:lineRule="auto"/>
        <w:jc w:val="center"/>
      </w:pPr>
    </w:p>
    <w:p w14:paraId="0D9E472D" w14:textId="2C9F8267" w:rsidR="00664A82" w:rsidRPr="007E390E" w:rsidRDefault="009365BA" w:rsidP="00664A82">
      <w:pPr>
        <w:pBdr>
          <w:top w:val="single" w:sz="4" w:space="1" w:color="auto"/>
          <w:bottom w:val="single" w:sz="4" w:space="1" w:color="auto"/>
        </w:pBdr>
        <w:spacing w:line="240" w:lineRule="auto"/>
        <w:jc w:val="center"/>
        <w:rPr>
          <w:b/>
          <w:bCs/>
        </w:rPr>
      </w:pPr>
      <w:r>
        <w:rPr>
          <w:b/>
          <w:bCs/>
        </w:rPr>
        <w:t>ORDER</w:t>
      </w:r>
    </w:p>
    <w:p w14:paraId="0C1D4285" w14:textId="77777777" w:rsidR="00664A82" w:rsidRPr="009C3888" w:rsidRDefault="00664A82" w:rsidP="00664A82">
      <w:pPr>
        <w:pBdr>
          <w:top w:val="single" w:sz="4" w:space="1" w:color="auto"/>
          <w:bottom w:val="single" w:sz="4" w:space="1" w:color="auto"/>
        </w:pBdr>
        <w:spacing w:line="240" w:lineRule="auto"/>
        <w:jc w:val="center"/>
      </w:pPr>
    </w:p>
    <w:p w14:paraId="598DB27F" w14:textId="64462780" w:rsidR="00664A82" w:rsidRDefault="00664A82" w:rsidP="00664A82">
      <w:pPr>
        <w:spacing w:line="240" w:lineRule="auto"/>
      </w:pPr>
    </w:p>
    <w:p w14:paraId="726652BB" w14:textId="77777777" w:rsidR="00BE5E42" w:rsidRPr="009C3888" w:rsidRDefault="00BE5E42" w:rsidP="00664A82">
      <w:pPr>
        <w:spacing w:line="240" w:lineRule="auto"/>
      </w:pPr>
    </w:p>
    <w:p w14:paraId="2C05853C" w14:textId="77777777" w:rsidR="00664A82" w:rsidRDefault="00664A82" w:rsidP="00664A82">
      <w:pPr>
        <w:spacing w:line="240" w:lineRule="auto"/>
      </w:pPr>
    </w:p>
    <w:p w14:paraId="4A04567D" w14:textId="34ACF9C1" w:rsidR="00624F71" w:rsidRDefault="009864EB" w:rsidP="00557CF2">
      <w:pPr>
        <w:pStyle w:val="JUDGMENTCONTINUED"/>
      </w:pPr>
      <w:r>
        <w:t xml:space="preserve">On appeal from the Supreme Court of Appeal </w:t>
      </w:r>
      <w:r w:rsidR="00557CF2">
        <w:t>dismissing</w:t>
      </w:r>
      <w:r w:rsidR="00797729">
        <w:t xml:space="preserve"> an appeal from </w:t>
      </w:r>
      <w:r>
        <w:t>the High Court</w:t>
      </w:r>
      <w:r w:rsidR="005A1824">
        <w:t xml:space="preserve"> of South Africa</w:t>
      </w:r>
      <w:r w:rsidR="00557CF2">
        <w:t>, Mpumalanga Division</w:t>
      </w:r>
      <w:r w:rsidR="005A1824">
        <w:t xml:space="preserve">, </w:t>
      </w:r>
      <w:proofErr w:type="spellStart"/>
      <w:r w:rsidR="005A1824">
        <w:t>Mbombela</w:t>
      </w:r>
      <w:proofErr w:type="spellEnd"/>
      <w:r w:rsidR="00557CF2">
        <w:t>:</w:t>
      </w:r>
    </w:p>
    <w:p w14:paraId="190A089E" w14:textId="5F882B58" w:rsidR="009864EB" w:rsidRDefault="00F57A49" w:rsidP="00F57A49">
      <w:pPr>
        <w:pStyle w:val="ORDER"/>
      </w:pPr>
      <w:r>
        <w:t>1.</w:t>
      </w:r>
      <w:r>
        <w:tab/>
      </w:r>
      <w:r w:rsidR="009864EB">
        <w:t>Leave to appeal is refused.</w:t>
      </w:r>
    </w:p>
    <w:p w14:paraId="663F89B1" w14:textId="430986E1" w:rsidR="009864EB" w:rsidRDefault="00F57A49" w:rsidP="00F57A49">
      <w:pPr>
        <w:pStyle w:val="ORDER"/>
      </w:pPr>
      <w:r>
        <w:t>2.</w:t>
      </w:r>
      <w:r>
        <w:tab/>
      </w:r>
      <w:r w:rsidR="009864EB">
        <w:t xml:space="preserve">The </w:t>
      </w:r>
      <w:r w:rsidR="00196422">
        <w:t>applicant</w:t>
      </w:r>
      <w:r w:rsidR="00803550">
        <w:t>s</w:t>
      </w:r>
      <w:r w:rsidR="00196422">
        <w:t xml:space="preserve"> </w:t>
      </w:r>
      <w:r w:rsidR="003B02B4">
        <w:t xml:space="preserve">must </w:t>
      </w:r>
      <w:r w:rsidR="00196422">
        <w:t xml:space="preserve">pay the costs of the </w:t>
      </w:r>
      <w:r w:rsidR="00803550">
        <w:t xml:space="preserve">first and second respondents </w:t>
      </w:r>
      <w:r w:rsidR="00691FCF">
        <w:t xml:space="preserve">in this Court </w:t>
      </w:r>
      <w:r w:rsidR="00803550">
        <w:t xml:space="preserve">on an attorney </w:t>
      </w:r>
      <w:r w:rsidR="00682330">
        <w:t xml:space="preserve">and </w:t>
      </w:r>
      <w:r w:rsidR="00803550">
        <w:t>client scale.</w:t>
      </w:r>
    </w:p>
    <w:p w14:paraId="1A9060B3" w14:textId="77777777" w:rsidR="000B733E" w:rsidRDefault="000B733E" w:rsidP="00415CF4">
      <w:pPr>
        <w:pStyle w:val="ORDER"/>
        <w:spacing w:line="240" w:lineRule="auto"/>
        <w:ind w:left="0" w:firstLine="0"/>
      </w:pPr>
    </w:p>
    <w:p w14:paraId="04997452" w14:textId="0E102F81" w:rsidR="000B733E" w:rsidRDefault="000B733E" w:rsidP="000B733E">
      <w:pPr>
        <w:pStyle w:val="ORDER"/>
        <w:ind w:left="0" w:firstLine="0"/>
      </w:pPr>
    </w:p>
    <w:p w14:paraId="470C767E" w14:textId="77777777" w:rsidR="000B733E" w:rsidRDefault="000B733E" w:rsidP="000B733E">
      <w:pPr>
        <w:pStyle w:val="JUDGMENTCONTINUED"/>
        <w:sectPr w:rsidR="000B733E" w:rsidSect="00664A82">
          <w:footerReference w:type="default" r:id="rId10"/>
          <w:type w:val="continuous"/>
          <w:pgSz w:w="11907" w:h="16839" w:code="9"/>
          <w:pgMar w:top="1440" w:right="1440" w:bottom="1440" w:left="1440" w:header="708" w:footer="708" w:gutter="0"/>
          <w:pgNumType w:start="1"/>
          <w:cols w:space="708"/>
          <w:titlePg/>
          <w:docGrid w:linePitch="360"/>
        </w:sectPr>
      </w:pPr>
    </w:p>
    <w:p w14:paraId="442A8874" w14:textId="77777777" w:rsidR="000B733E" w:rsidRPr="009C3888" w:rsidRDefault="000B733E" w:rsidP="000B733E">
      <w:pPr>
        <w:keepNext/>
        <w:pBdr>
          <w:top w:val="single" w:sz="4" w:space="1" w:color="auto"/>
          <w:bottom w:val="single" w:sz="4" w:space="1" w:color="auto"/>
        </w:pBdr>
        <w:spacing w:line="240" w:lineRule="auto"/>
        <w:jc w:val="center"/>
      </w:pPr>
    </w:p>
    <w:p w14:paraId="2EC1AB53" w14:textId="3E391868" w:rsidR="000B733E" w:rsidRPr="007E390E" w:rsidRDefault="000B733E" w:rsidP="000B733E">
      <w:pPr>
        <w:pBdr>
          <w:top w:val="single" w:sz="4" w:space="1" w:color="auto"/>
          <w:bottom w:val="single" w:sz="4" w:space="1" w:color="auto"/>
        </w:pBdr>
        <w:spacing w:line="240" w:lineRule="auto"/>
        <w:jc w:val="center"/>
        <w:rPr>
          <w:b/>
          <w:bCs/>
        </w:rPr>
      </w:pPr>
      <w:r>
        <w:rPr>
          <w:b/>
          <w:bCs/>
        </w:rPr>
        <w:t>JUDGMENT</w:t>
      </w:r>
    </w:p>
    <w:p w14:paraId="56D6592E" w14:textId="77777777" w:rsidR="000B733E" w:rsidRPr="009C3888" w:rsidRDefault="000B733E" w:rsidP="000B733E">
      <w:pPr>
        <w:pBdr>
          <w:top w:val="single" w:sz="4" w:space="1" w:color="auto"/>
          <w:bottom w:val="single" w:sz="4" w:space="1" w:color="auto"/>
        </w:pBdr>
        <w:spacing w:line="240" w:lineRule="auto"/>
        <w:jc w:val="center"/>
      </w:pPr>
    </w:p>
    <w:p w14:paraId="7828253B" w14:textId="72FFD05C" w:rsidR="000B733E" w:rsidRDefault="000B733E" w:rsidP="000B733E">
      <w:pPr>
        <w:spacing w:line="240" w:lineRule="auto"/>
      </w:pPr>
    </w:p>
    <w:p w14:paraId="78A9B0E0" w14:textId="2ED8516C" w:rsidR="00415CF4" w:rsidRPr="009C3888" w:rsidRDefault="00415CF4" w:rsidP="000B733E">
      <w:pPr>
        <w:spacing w:line="240" w:lineRule="auto"/>
      </w:pPr>
    </w:p>
    <w:p w14:paraId="37293B60" w14:textId="77777777" w:rsidR="000B733E" w:rsidRDefault="000B733E" w:rsidP="000B733E">
      <w:pPr>
        <w:spacing w:line="240" w:lineRule="auto"/>
      </w:pPr>
    </w:p>
    <w:p w14:paraId="43D79DED" w14:textId="7185F6FF" w:rsidR="000B733E" w:rsidRDefault="000B733E" w:rsidP="003D5D54">
      <w:pPr>
        <w:pStyle w:val="JUDGMENTCONTINUED"/>
        <w:spacing w:line="240" w:lineRule="auto"/>
      </w:pPr>
      <w:r>
        <w:t>KHAMPEPE J (</w:t>
      </w:r>
      <w:proofErr w:type="spellStart"/>
      <w:r w:rsidR="005A1824">
        <w:t>Mogoeng</w:t>
      </w:r>
      <w:proofErr w:type="spellEnd"/>
      <w:r w:rsidR="005A1824">
        <w:t xml:space="preserve"> CJ, </w:t>
      </w:r>
      <w:proofErr w:type="spellStart"/>
      <w:r w:rsidR="005A1824">
        <w:t>Jafta</w:t>
      </w:r>
      <w:proofErr w:type="spellEnd"/>
      <w:r w:rsidR="005A1824">
        <w:t xml:space="preserve"> J</w:t>
      </w:r>
      <w:r w:rsidR="005A1824" w:rsidRPr="005A1824">
        <w:t xml:space="preserve">, </w:t>
      </w:r>
      <w:proofErr w:type="spellStart"/>
      <w:r w:rsidR="005A1824" w:rsidRPr="005A1824">
        <w:t>Madlanga</w:t>
      </w:r>
      <w:proofErr w:type="spellEnd"/>
      <w:r w:rsidR="005A1824" w:rsidRPr="005A1824">
        <w:t xml:space="preserve"> J</w:t>
      </w:r>
      <w:r w:rsidR="003D5D54">
        <w:t xml:space="preserve">, </w:t>
      </w:r>
      <w:proofErr w:type="spellStart"/>
      <w:r w:rsidR="003D5D54">
        <w:t>Majiedt</w:t>
      </w:r>
      <w:proofErr w:type="spellEnd"/>
      <w:r w:rsidR="003D5D54">
        <w:t xml:space="preserve"> J, </w:t>
      </w:r>
      <w:proofErr w:type="spellStart"/>
      <w:r w:rsidR="003D5D54">
        <w:t>Mhlantla</w:t>
      </w:r>
      <w:proofErr w:type="spellEnd"/>
      <w:r w:rsidR="003D5D54">
        <w:t xml:space="preserve"> J, Pillay </w:t>
      </w:r>
      <w:r w:rsidR="005A1824" w:rsidRPr="005A1824">
        <w:t xml:space="preserve">AJ, Theron J, </w:t>
      </w:r>
      <w:proofErr w:type="spellStart"/>
      <w:r w:rsidR="005A1824" w:rsidRPr="005A1824">
        <w:t>Tlaletsi</w:t>
      </w:r>
      <w:proofErr w:type="spellEnd"/>
      <w:r w:rsidR="005A1824" w:rsidRPr="005A1824">
        <w:t xml:space="preserve"> AJ and </w:t>
      </w:r>
      <w:proofErr w:type="spellStart"/>
      <w:r w:rsidR="005A1824" w:rsidRPr="005A1824">
        <w:t>Tshiqi</w:t>
      </w:r>
      <w:proofErr w:type="spellEnd"/>
      <w:r w:rsidR="005A1824" w:rsidRPr="005A1824">
        <w:t xml:space="preserve"> J</w:t>
      </w:r>
      <w:r>
        <w:t xml:space="preserve"> concurring):</w:t>
      </w:r>
    </w:p>
    <w:p w14:paraId="60868503" w14:textId="029E682E" w:rsidR="000B733E" w:rsidRDefault="000B733E" w:rsidP="003D5D54">
      <w:pPr>
        <w:pStyle w:val="JUDGMENTCONTINUED"/>
        <w:spacing w:line="240" w:lineRule="auto"/>
      </w:pPr>
    </w:p>
    <w:p w14:paraId="1A226773" w14:textId="30D0338B" w:rsidR="00BE5E42" w:rsidRPr="00BE5E42" w:rsidRDefault="00BE5E42" w:rsidP="003D5D54">
      <w:pPr>
        <w:pStyle w:val="JUDGMENTCONTINUED"/>
        <w:spacing w:line="240" w:lineRule="auto"/>
      </w:pPr>
    </w:p>
    <w:p w14:paraId="63F1E954" w14:textId="70BD9B21" w:rsidR="008A79E5" w:rsidRPr="008A79E5" w:rsidRDefault="008A79E5" w:rsidP="008A79E5">
      <w:pPr>
        <w:pStyle w:val="HEADING"/>
      </w:pPr>
      <w:r>
        <w:lastRenderedPageBreak/>
        <w:t>Introduction</w:t>
      </w:r>
    </w:p>
    <w:p w14:paraId="3B5F441F" w14:textId="7972C557" w:rsidR="00B87852" w:rsidRDefault="00F57A49" w:rsidP="00F57A49">
      <w:pPr>
        <w:pStyle w:val="JUDGMENTNUMBERED"/>
        <w:numPr>
          <w:ilvl w:val="0"/>
          <w:numId w:val="0"/>
        </w:numPr>
      </w:pPr>
      <w:r>
        <w:rPr>
          <w:color w:val="000000"/>
        </w:rPr>
        <w:t>[1]</w:t>
      </w:r>
      <w:r>
        <w:rPr>
          <w:color w:val="000000"/>
        </w:rPr>
        <w:tab/>
      </w:r>
      <w:r w:rsidR="00B87852">
        <w:t>This</w:t>
      </w:r>
      <w:r w:rsidR="00D30653">
        <w:t xml:space="preserve"> application</w:t>
      </w:r>
      <w:r w:rsidR="00B87852">
        <w:t xml:space="preserve"> arose from</w:t>
      </w:r>
      <w:r w:rsidR="00D30653">
        <w:t xml:space="preserve"> </w:t>
      </w:r>
      <w:r w:rsidR="007B1483">
        <w:t>the orders and</w:t>
      </w:r>
      <w:r w:rsidR="00D30653">
        <w:t xml:space="preserve"> judgment of </w:t>
      </w:r>
      <w:r w:rsidR="007B1483">
        <w:t>t</w:t>
      </w:r>
      <w:r w:rsidR="00D30653">
        <w:t>he</w:t>
      </w:r>
      <w:r w:rsidR="00507C1B">
        <w:t xml:space="preserve"> </w:t>
      </w:r>
      <w:r w:rsidR="005A1824" w:rsidRPr="005A1824">
        <w:t xml:space="preserve">High Court of South Africa, Mpumalanga Division, </w:t>
      </w:r>
      <w:proofErr w:type="spellStart"/>
      <w:r w:rsidR="005A1824" w:rsidRPr="005A1824">
        <w:t>Mbombela</w:t>
      </w:r>
      <w:proofErr w:type="spellEnd"/>
      <w:r w:rsidR="007B1483">
        <w:t>, in terms of</w:t>
      </w:r>
      <w:r w:rsidR="00D30653">
        <w:t xml:space="preserve"> which an Anton </w:t>
      </w:r>
      <w:proofErr w:type="spellStart"/>
      <w:r w:rsidR="00D30653">
        <w:t>Piller</w:t>
      </w:r>
      <w:proofErr w:type="spellEnd"/>
      <w:r w:rsidR="00D30653">
        <w:t xml:space="preserve"> order</w:t>
      </w:r>
      <w:r w:rsidR="004D10C8">
        <w:rPr>
          <w:rStyle w:val="FootnoteReference"/>
        </w:rPr>
        <w:footnoteReference w:id="1"/>
      </w:r>
      <w:r w:rsidR="00D30653">
        <w:t xml:space="preserve"> and</w:t>
      </w:r>
      <w:r w:rsidR="003B02B4">
        <w:t xml:space="preserve"> a</w:t>
      </w:r>
      <w:r w:rsidR="00D30653">
        <w:t xml:space="preserve"> temporary interdict in favour of the first and second respondents</w:t>
      </w:r>
      <w:r w:rsidR="007B1483">
        <w:t xml:space="preserve"> were grante</w:t>
      </w:r>
      <w:r w:rsidR="00B87852">
        <w:t>d in March</w:t>
      </w:r>
      <w:r w:rsidR="00544918">
        <w:t> </w:t>
      </w:r>
      <w:r w:rsidR="00B87852">
        <w:t>2020</w:t>
      </w:r>
      <w:r w:rsidR="00D30653">
        <w:t>.</w:t>
      </w:r>
      <w:bookmarkStart w:id="0" w:name="_Ref73653893"/>
      <w:r w:rsidR="00D30653">
        <w:rPr>
          <w:rStyle w:val="FootnoteReference"/>
        </w:rPr>
        <w:footnoteReference w:id="2"/>
      </w:r>
      <w:bookmarkEnd w:id="0"/>
      <w:r w:rsidR="00B87852">
        <w:t xml:space="preserve">  </w:t>
      </w:r>
      <w:r w:rsidR="00544918">
        <w:t xml:space="preserve">This </w:t>
      </w:r>
      <w:r w:rsidR="00B87852">
        <w:t>relief was sought from and granted by the High Court on the basis of an application predicated</w:t>
      </w:r>
      <w:r w:rsidR="00212B8F">
        <w:t xml:space="preserve"> on</w:t>
      </w:r>
      <w:r w:rsidR="00B87852">
        <w:t xml:space="preserve"> allegations of corruption, theft and fraud in the </w:t>
      </w:r>
      <w:proofErr w:type="spellStart"/>
      <w:r w:rsidR="00B87852">
        <w:t>Mawewe</w:t>
      </w:r>
      <w:proofErr w:type="spellEnd"/>
      <w:r w:rsidR="00B87852">
        <w:t xml:space="preserve"> Communal Property Association (MCPA)</w:t>
      </w:r>
      <w:r w:rsidR="00212B8F">
        <w:t xml:space="preserve">, as well as the failure of the </w:t>
      </w:r>
      <w:r w:rsidR="003B60D2">
        <w:t xml:space="preserve">Executive </w:t>
      </w:r>
      <w:r w:rsidR="00212B8F">
        <w:t xml:space="preserve">Committee of the MCPA to register and restore certain farms to the </w:t>
      </w:r>
      <w:proofErr w:type="spellStart"/>
      <w:r w:rsidR="00212B8F">
        <w:t>Mawewe</w:t>
      </w:r>
      <w:proofErr w:type="spellEnd"/>
      <w:r w:rsidR="00212B8F">
        <w:t xml:space="preserve"> Tribe.  The purpose of the application before the High Court was to vindicate the integrity of the MCPA by wresting control away from its alleged hijackers.</w:t>
      </w:r>
    </w:p>
    <w:p w14:paraId="2EBB161F" w14:textId="77777777" w:rsidR="00212B8F" w:rsidRDefault="00212B8F" w:rsidP="00B87852">
      <w:pPr>
        <w:pStyle w:val="JUDGMENTCONTINUED"/>
      </w:pPr>
    </w:p>
    <w:p w14:paraId="706DF73C" w14:textId="1280FCE6" w:rsidR="00C016A4" w:rsidRDefault="00F57A49" w:rsidP="00F57A49">
      <w:pPr>
        <w:pStyle w:val="JUDGMENTNUMBERED"/>
        <w:numPr>
          <w:ilvl w:val="0"/>
          <w:numId w:val="0"/>
        </w:numPr>
      </w:pPr>
      <w:r>
        <w:rPr>
          <w:color w:val="000000"/>
        </w:rPr>
        <w:t>[2]</w:t>
      </w:r>
      <w:r>
        <w:rPr>
          <w:color w:val="000000"/>
        </w:rPr>
        <w:tab/>
      </w:r>
      <w:r w:rsidR="00B87852">
        <w:t xml:space="preserve">The first applicant is </w:t>
      </w:r>
      <w:r w:rsidR="00507C1B">
        <w:t xml:space="preserve">Mr </w:t>
      </w:r>
      <w:proofErr w:type="spellStart"/>
      <w:r w:rsidR="00B87852">
        <w:t>Siphiwe</w:t>
      </w:r>
      <w:proofErr w:type="spellEnd"/>
      <w:r w:rsidR="00B87852">
        <w:t xml:space="preserve"> Happy </w:t>
      </w:r>
      <w:proofErr w:type="spellStart"/>
      <w:r w:rsidR="00B87852">
        <w:t>Mkhatshwa</w:t>
      </w:r>
      <w:proofErr w:type="spellEnd"/>
      <w:r w:rsidR="00B87852">
        <w:t xml:space="preserve">, the Chairperson and one of the beneficiaries of the fourth applicant. </w:t>
      </w:r>
      <w:r w:rsidR="00C016A4">
        <w:t xml:space="preserve"> </w:t>
      </w:r>
      <w:r w:rsidR="00B87852">
        <w:t xml:space="preserve">The fourth applicant is the </w:t>
      </w:r>
      <w:r w:rsidR="00212B8F">
        <w:t>MCPA</w:t>
      </w:r>
      <w:r w:rsidR="00B87852">
        <w:t>, established in terms of the Communal Property Association</w:t>
      </w:r>
      <w:r w:rsidR="00415CF4">
        <w:t>s</w:t>
      </w:r>
      <w:r w:rsidR="00B87852">
        <w:t xml:space="preserve"> Act</w:t>
      </w:r>
      <w:r w:rsidR="001263B3">
        <w:t xml:space="preserve"> (the Act)</w:t>
      </w:r>
      <w:r w:rsidR="00FF303C">
        <w:t>.</w:t>
      </w:r>
      <w:r w:rsidR="00212B8F">
        <w:rPr>
          <w:rStyle w:val="FootnoteReference"/>
        </w:rPr>
        <w:footnoteReference w:id="3"/>
      </w:r>
      <w:r w:rsidR="00B87852">
        <w:t xml:space="preserve"> </w:t>
      </w:r>
      <w:r w:rsidR="00C016A4">
        <w:t xml:space="preserve"> </w:t>
      </w:r>
      <w:r w:rsidR="00B87852">
        <w:t xml:space="preserve">The second and third applicants are members of the </w:t>
      </w:r>
      <w:r w:rsidR="00833AC2">
        <w:t xml:space="preserve">Executive </w:t>
      </w:r>
      <w:r w:rsidR="00B87852">
        <w:t>Committee of the MCPA</w:t>
      </w:r>
      <w:r w:rsidR="00833AC2">
        <w:t xml:space="preserve"> (Committee)</w:t>
      </w:r>
      <w:r w:rsidR="00B87852">
        <w:t>.</w:t>
      </w:r>
    </w:p>
    <w:p w14:paraId="713FAB79" w14:textId="77777777" w:rsidR="00C016A4" w:rsidRPr="00C016A4" w:rsidRDefault="00C016A4" w:rsidP="00C016A4">
      <w:pPr>
        <w:pStyle w:val="JUDGMENTCONTINUED"/>
      </w:pPr>
    </w:p>
    <w:p w14:paraId="79E2D628" w14:textId="22DCFA74" w:rsidR="0011207A" w:rsidRDefault="00F57A49" w:rsidP="00F57A49">
      <w:pPr>
        <w:pStyle w:val="JUDGMENTNUMBERED"/>
        <w:numPr>
          <w:ilvl w:val="0"/>
          <w:numId w:val="0"/>
        </w:numPr>
      </w:pPr>
      <w:r>
        <w:rPr>
          <w:color w:val="000000"/>
        </w:rPr>
        <w:t>[3]</w:t>
      </w:r>
      <w:r>
        <w:rPr>
          <w:color w:val="000000"/>
        </w:rPr>
        <w:tab/>
      </w:r>
      <w:r w:rsidR="00B87852">
        <w:t xml:space="preserve">The first respondent is </w:t>
      </w:r>
      <w:r w:rsidR="00507C1B">
        <w:t xml:space="preserve">Ms </w:t>
      </w:r>
      <w:proofErr w:type="spellStart"/>
      <w:r w:rsidR="00B87852">
        <w:t>Eva</w:t>
      </w:r>
      <w:r w:rsidR="00BE5E42">
        <w:t>h</w:t>
      </w:r>
      <w:proofErr w:type="spellEnd"/>
      <w:r w:rsidR="00B87852">
        <w:t xml:space="preserve"> </w:t>
      </w:r>
      <w:proofErr w:type="spellStart"/>
      <w:r w:rsidR="00B87852">
        <w:t>Simangele</w:t>
      </w:r>
      <w:proofErr w:type="spellEnd"/>
      <w:r w:rsidR="00B87852">
        <w:t xml:space="preserve"> </w:t>
      </w:r>
      <w:proofErr w:type="spellStart"/>
      <w:r w:rsidR="00B87852">
        <w:t>Mkhatshwa</w:t>
      </w:r>
      <w:proofErr w:type="spellEnd"/>
      <w:r w:rsidR="00B87852">
        <w:t xml:space="preserve">, the mother of </w:t>
      </w:r>
      <w:r w:rsidR="00507C1B">
        <w:t>Ms </w:t>
      </w:r>
      <w:proofErr w:type="spellStart"/>
      <w:r w:rsidR="00B87852">
        <w:t>Khulile</w:t>
      </w:r>
      <w:proofErr w:type="spellEnd"/>
      <w:r w:rsidR="00C016A4">
        <w:t> </w:t>
      </w:r>
      <w:proofErr w:type="spellStart"/>
      <w:r w:rsidR="00B87852">
        <w:t>Nomvula</w:t>
      </w:r>
      <w:proofErr w:type="spellEnd"/>
      <w:r w:rsidR="00C016A4">
        <w:t> </w:t>
      </w:r>
      <w:proofErr w:type="spellStart"/>
      <w:r w:rsidR="00B87852">
        <w:t>Mkhatshwa</w:t>
      </w:r>
      <w:proofErr w:type="spellEnd"/>
      <w:r w:rsidR="00B87852">
        <w:t xml:space="preserve">, the </w:t>
      </w:r>
      <w:proofErr w:type="spellStart"/>
      <w:r w:rsidR="00B87852">
        <w:t>Chieftainess</w:t>
      </w:r>
      <w:proofErr w:type="spellEnd"/>
      <w:r w:rsidR="00B87852">
        <w:t xml:space="preserve"> of the </w:t>
      </w:r>
      <w:proofErr w:type="spellStart"/>
      <w:r w:rsidR="00B87852">
        <w:t>Mawewe</w:t>
      </w:r>
      <w:proofErr w:type="spellEnd"/>
      <w:r w:rsidR="00B87852">
        <w:t xml:space="preserve"> Tribe. </w:t>
      </w:r>
      <w:r w:rsidR="00C016A4">
        <w:t xml:space="preserve"> </w:t>
      </w:r>
      <w:r w:rsidR="00B87852">
        <w:t xml:space="preserve">The first respondent was appointed as </w:t>
      </w:r>
      <w:r w:rsidR="00C016A4">
        <w:t>the A</w:t>
      </w:r>
      <w:r w:rsidR="00B87852">
        <w:t xml:space="preserve">cting </w:t>
      </w:r>
      <w:proofErr w:type="spellStart"/>
      <w:r w:rsidR="00C016A4">
        <w:t>C</w:t>
      </w:r>
      <w:r w:rsidR="00B87852">
        <w:t>h</w:t>
      </w:r>
      <w:r w:rsidR="00C016A4">
        <w:t>ie</w:t>
      </w:r>
      <w:r w:rsidR="00B87852">
        <w:t>ftainess</w:t>
      </w:r>
      <w:proofErr w:type="spellEnd"/>
      <w:r w:rsidR="00B87852">
        <w:t xml:space="preserve"> </w:t>
      </w:r>
      <w:r w:rsidR="003B02B4">
        <w:t xml:space="preserve">of the </w:t>
      </w:r>
      <w:proofErr w:type="spellStart"/>
      <w:r w:rsidR="003B02B4">
        <w:t>Mawewe</w:t>
      </w:r>
      <w:proofErr w:type="spellEnd"/>
      <w:r w:rsidR="003B02B4">
        <w:t xml:space="preserve"> Tribe </w:t>
      </w:r>
      <w:r w:rsidR="00C016A4">
        <w:t>while</w:t>
      </w:r>
      <w:r w:rsidR="00B87852">
        <w:t xml:space="preserve"> </w:t>
      </w:r>
      <w:r w:rsidR="00C016A4">
        <w:t>her daughter</w:t>
      </w:r>
      <w:r w:rsidR="00B87852">
        <w:t xml:space="preserve"> was a minor. </w:t>
      </w:r>
      <w:r w:rsidR="007A3DCB">
        <w:t xml:space="preserve"> </w:t>
      </w:r>
      <w:r w:rsidR="00B87852">
        <w:t xml:space="preserve">The first respondent is also a member of the </w:t>
      </w:r>
      <w:proofErr w:type="spellStart"/>
      <w:r w:rsidR="00B87852">
        <w:t>Mawewe</w:t>
      </w:r>
      <w:proofErr w:type="spellEnd"/>
      <w:r w:rsidR="00B87852">
        <w:t xml:space="preserve"> Traditional Council and one of the beneficiaries of the MCPA. </w:t>
      </w:r>
      <w:r w:rsidR="00C016A4">
        <w:t xml:space="preserve"> </w:t>
      </w:r>
      <w:r w:rsidR="00B87852">
        <w:t xml:space="preserve">The second respondent is the </w:t>
      </w:r>
      <w:proofErr w:type="spellStart"/>
      <w:r w:rsidR="00B87852">
        <w:t>Mawewe</w:t>
      </w:r>
      <w:proofErr w:type="spellEnd"/>
      <w:r w:rsidR="00B87852">
        <w:t xml:space="preserve"> Tribal Authority, recognised in terms of the Traditional Leadership and Governance Framework Act</w:t>
      </w:r>
      <w:r w:rsidR="00C016A4">
        <w:t>.</w:t>
      </w:r>
      <w:r w:rsidR="00C016A4">
        <w:rPr>
          <w:rStyle w:val="FootnoteReference"/>
        </w:rPr>
        <w:footnoteReference w:id="4"/>
      </w:r>
      <w:r w:rsidR="00E74959">
        <w:t xml:space="preserve">  </w:t>
      </w:r>
      <w:r w:rsidR="00B87852">
        <w:t xml:space="preserve">The </w:t>
      </w:r>
      <w:r w:rsidR="00E74959">
        <w:t>remaining respondents</w:t>
      </w:r>
      <w:r w:rsidR="00B87852">
        <w:t xml:space="preserve"> </w:t>
      </w:r>
      <w:r w:rsidR="00E74959">
        <w:t xml:space="preserve">have played no role in these </w:t>
      </w:r>
      <w:r w:rsidR="00E74959">
        <w:lastRenderedPageBreak/>
        <w:t>proceedings that requires any mention in this judgment, and it follows that a</w:t>
      </w:r>
      <w:r w:rsidR="00B87852">
        <w:t xml:space="preserve">ny reference to </w:t>
      </w:r>
      <w:r w:rsidR="00E74959">
        <w:t>“</w:t>
      </w:r>
      <w:r w:rsidR="00B87852">
        <w:t>respondents</w:t>
      </w:r>
      <w:r w:rsidR="00E74959">
        <w:t>”</w:t>
      </w:r>
      <w:r w:rsidR="00B87852">
        <w:t xml:space="preserve"> </w:t>
      </w:r>
      <w:r w:rsidR="00C85CD4">
        <w:t>refers only</w:t>
      </w:r>
      <w:r w:rsidR="00B87852">
        <w:t xml:space="preserve"> to the first and second respondents.</w:t>
      </w:r>
    </w:p>
    <w:p w14:paraId="0E3EA9DB" w14:textId="77777777" w:rsidR="0011207A" w:rsidRPr="0011207A" w:rsidRDefault="0011207A" w:rsidP="0011207A">
      <w:pPr>
        <w:pStyle w:val="JUDGMENTCONTINUED"/>
      </w:pPr>
    </w:p>
    <w:p w14:paraId="1506EAA3" w14:textId="1C68EAFE" w:rsidR="00285368" w:rsidRDefault="00285368" w:rsidP="00285368">
      <w:pPr>
        <w:pStyle w:val="HEADING"/>
      </w:pPr>
      <w:r>
        <w:t xml:space="preserve">Litigation </w:t>
      </w:r>
      <w:r w:rsidR="003B02B4">
        <w:t>h</w:t>
      </w:r>
      <w:r>
        <w:t>istory</w:t>
      </w:r>
    </w:p>
    <w:p w14:paraId="7A8C07A3" w14:textId="5ED4C02A" w:rsidR="00A50342" w:rsidRDefault="00F57A49" w:rsidP="00F57A49">
      <w:pPr>
        <w:pStyle w:val="JUDGMENTNUMBERED"/>
        <w:numPr>
          <w:ilvl w:val="0"/>
          <w:numId w:val="0"/>
        </w:numPr>
      </w:pPr>
      <w:r>
        <w:rPr>
          <w:color w:val="000000"/>
        </w:rPr>
        <w:t>[4]</w:t>
      </w:r>
      <w:r>
        <w:rPr>
          <w:color w:val="000000"/>
        </w:rPr>
        <w:tab/>
      </w:r>
      <w:r w:rsidR="00DB0A27">
        <w:t>In</w:t>
      </w:r>
      <w:r w:rsidR="00A50342">
        <w:t xml:space="preserve"> February 2020</w:t>
      </w:r>
      <w:r w:rsidR="00E204E5">
        <w:t>,</w:t>
      </w:r>
      <w:r w:rsidR="00A50342">
        <w:t xml:space="preserve"> the respondents </w:t>
      </w:r>
      <w:r w:rsidR="00E204E5">
        <w:t xml:space="preserve">approached the High Court </w:t>
      </w:r>
      <w:r w:rsidR="00A301EE">
        <w:t xml:space="preserve">on an urgent basis, </w:t>
      </w:r>
      <w:r w:rsidR="00E204E5">
        <w:t>seeking</w:t>
      </w:r>
      <w:r w:rsidR="00A50342">
        <w:t xml:space="preserve"> an Anton </w:t>
      </w:r>
      <w:proofErr w:type="spellStart"/>
      <w:r w:rsidR="00A50342">
        <w:t>Piller</w:t>
      </w:r>
      <w:proofErr w:type="spellEnd"/>
      <w:r w:rsidR="00A50342">
        <w:t xml:space="preserve"> </w:t>
      </w:r>
      <w:r w:rsidR="00E204E5">
        <w:t>order</w:t>
      </w:r>
      <w:r w:rsidR="00A50342">
        <w:t xml:space="preserve"> </w:t>
      </w:r>
      <w:r w:rsidR="00E204E5">
        <w:t>and</w:t>
      </w:r>
      <w:r w:rsidR="00A50342">
        <w:t xml:space="preserve"> an interim interdict</w:t>
      </w:r>
      <w:r w:rsidR="00E204E5">
        <w:t xml:space="preserve">.  The </w:t>
      </w:r>
      <w:r w:rsidR="00C85CD4">
        <w:t>purposes</w:t>
      </w:r>
      <w:r w:rsidR="00A301EE">
        <w:t xml:space="preserve"> of </w:t>
      </w:r>
      <w:r w:rsidR="00C85CD4">
        <w:t>this</w:t>
      </w:r>
      <w:r w:rsidR="00A301EE">
        <w:t xml:space="preserve"> </w:t>
      </w:r>
      <w:r w:rsidR="00E92E9B">
        <w:t>double</w:t>
      </w:r>
      <w:r w:rsidR="00E92E9B">
        <w:noBreakHyphen/>
      </w:r>
      <w:r w:rsidR="00C85CD4">
        <w:t>pronged relief</w:t>
      </w:r>
      <w:r w:rsidR="00A301EE">
        <w:t xml:space="preserve"> were: firstly, to </w:t>
      </w:r>
      <w:r w:rsidR="00E204E5">
        <w:t>preserve evidence pertaining to the operations of the MCP</w:t>
      </w:r>
      <w:r w:rsidR="00E92E9B">
        <w:t>A and</w:t>
      </w:r>
      <w:r w:rsidR="00A301EE">
        <w:t xml:space="preserve"> secondly, </w:t>
      </w:r>
      <w:r w:rsidR="00E204E5">
        <w:t>to limit the management and running of the MCPA</w:t>
      </w:r>
      <w:r w:rsidR="00A301EE">
        <w:t xml:space="preserve"> to certain appointees. </w:t>
      </w:r>
      <w:r w:rsidR="00A50342">
        <w:t xml:space="preserve"> The applications were heard </w:t>
      </w:r>
      <w:r w:rsidR="00A50342" w:rsidRPr="00BE5E42">
        <w:rPr>
          <w:i/>
          <w:iCs/>
        </w:rPr>
        <w:t>in camera</w:t>
      </w:r>
      <w:r w:rsidR="00A301EE">
        <w:t xml:space="preserve"> as directed by the Judge President, and the orders were granted</w:t>
      </w:r>
      <w:r w:rsidR="00A50342">
        <w:t>.</w:t>
      </w:r>
      <w:r w:rsidR="00A301EE">
        <w:rPr>
          <w:rStyle w:val="FootnoteReference"/>
        </w:rPr>
        <w:footnoteReference w:id="5"/>
      </w:r>
      <w:r w:rsidR="00A301EE">
        <w:t xml:space="preserve"> </w:t>
      </w:r>
      <w:r w:rsidR="00A50342">
        <w:t xml:space="preserve"> </w:t>
      </w:r>
      <w:r w:rsidR="00A301EE">
        <w:t>Consequently, t</w:t>
      </w:r>
      <w:r w:rsidR="00A50342">
        <w:t xml:space="preserve">he </w:t>
      </w:r>
      <w:r w:rsidR="00A301EE">
        <w:t xml:space="preserve">Committee </w:t>
      </w:r>
      <w:r w:rsidR="00A50342">
        <w:t>was temporarily dissolved and three persons were appointed to</w:t>
      </w:r>
      <w:r w:rsidR="00833AC2">
        <w:t xml:space="preserve"> take control of and</w:t>
      </w:r>
      <w:r w:rsidR="00A50342">
        <w:t xml:space="preserve"> investigate the affairs of the MCPA</w:t>
      </w:r>
      <w:r w:rsidR="00833AC2">
        <w:t>,</w:t>
      </w:r>
      <w:r w:rsidR="00A50342">
        <w:t xml:space="preserve"> and to report back to the H</w:t>
      </w:r>
      <w:r w:rsidR="00833AC2">
        <w:t xml:space="preserve">igh </w:t>
      </w:r>
      <w:r w:rsidR="00A50342">
        <w:t>C</w:t>
      </w:r>
      <w:r w:rsidR="00833AC2">
        <w:t>ourt</w:t>
      </w:r>
      <w:r w:rsidR="00A50342">
        <w:t xml:space="preserve"> as to the allegations in question.</w:t>
      </w:r>
      <w:r w:rsidR="00833AC2">
        <w:rPr>
          <w:rStyle w:val="FootnoteReference"/>
        </w:rPr>
        <w:footnoteReference w:id="6"/>
      </w:r>
    </w:p>
    <w:p w14:paraId="7BD013FE" w14:textId="1543747E" w:rsidR="00833AC2" w:rsidRDefault="00833AC2" w:rsidP="00833AC2">
      <w:pPr>
        <w:pStyle w:val="JUDGMENTCONTINUED"/>
      </w:pPr>
    </w:p>
    <w:p w14:paraId="57D8CDB4" w14:textId="66A4E43C" w:rsidR="00833AC2" w:rsidRPr="00833AC2" w:rsidRDefault="00F57A49" w:rsidP="00F57A49">
      <w:pPr>
        <w:pStyle w:val="JUDGMENTNUMBERED"/>
        <w:numPr>
          <w:ilvl w:val="0"/>
          <w:numId w:val="0"/>
        </w:numPr>
      </w:pPr>
      <w:r w:rsidRPr="00833AC2">
        <w:rPr>
          <w:color w:val="000000"/>
        </w:rPr>
        <w:t>[5]</w:t>
      </w:r>
      <w:r w:rsidRPr="00833AC2">
        <w:rPr>
          <w:color w:val="000000"/>
        </w:rPr>
        <w:tab/>
      </w:r>
      <w:r w:rsidR="00833AC2">
        <w:t xml:space="preserve">In response to the orders granted against them, the applicants filed a reconsideration application, which ended up being heard </w:t>
      </w:r>
      <w:r w:rsidR="00C85CD4">
        <w:t>on the return day of</w:t>
      </w:r>
      <w:r w:rsidR="00833AC2">
        <w:t xml:space="preserve"> the </w:t>
      </w:r>
      <w:r w:rsidR="00E92E9B">
        <w:rPr>
          <w:i/>
          <w:iCs/>
        </w:rPr>
        <w:t>rule </w:t>
      </w:r>
      <w:r w:rsidR="00833AC2" w:rsidRPr="00BE5E42">
        <w:rPr>
          <w:i/>
          <w:iCs/>
        </w:rPr>
        <w:t>nisi</w:t>
      </w:r>
      <w:r w:rsidR="00715661">
        <w:t>.</w:t>
      </w:r>
      <w:r w:rsidR="00715661">
        <w:rPr>
          <w:rStyle w:val="FootnoteReference"/>
        </w:rPr>
        <w:footnoteReference w:id="7"/>
      </w:r>
      <w:r w:rsidR="00715661">
        <w:t xml:space="preserve">  It is unnecessary to traverse the details and process that followed, and it suffices to say that </w:t>
      </w:r>
      <w:r w:rsidR="00D858F0">
        <w:t>the process</w:t>
      </w:r>
      <w:r w:rsidR="00715661">
        <w:t xml:space="preserve"> concluded with the High Court confirming its first order subject to minor amendments.</w:t>
      </w:r>
      <w:r w:rsidR="00715661">
        <w:rPr>
          <w:rStyle w:val="FootnoteReference"/>
        </w:rPr>
        <w:footnoteReference w:id="8"/>
      </w:r>
    </w:p>
    <w:p w14:paraId="57E053F7" w14:textId="39D5DE74" w:rsidR="00A50342" w:rsidRDefault="00A50342" w:rsidP="00A50342">
      <w:pPr>
        <w:pStyle w:val="JUDGMENTCONTINUED"/>
      </w:pPr>
    </w:p>
    <w:p w14:paraId="65C9B9FF" w14:textId="16FF9932" w:rsidR="0011207A" w:rsidRDefault="00F57A49" w:rsidP="00F57A49">
      <w:pPr>
        <w:pStyle w:val="JUDGMENTNUMBERED"/>
        <w:numPr>
          <w:ilvl w:val="0"/>
          <w:numId w:val="0"/>
        </w:numPr>
      </w:pPr>
      <w:r>
        <w:rPr>
          <w:color w:val="000000"/>
        </w:rPr>
        <w:t>[6]</w:t>
      </w:r>
      <w:r>
        <w:rPr>
          <w:color w:val="000000"/>
        </w:rPr>
        <w:tab/>
      </w:r>
      <w:r w:rsidR="00715661">
        <w:t>Aggrieved, the applicants sought leave to appeal against the decision of the High</w:t>
      </w:r>
      <w:r w:rsidR="008A79E5">
        <w:t> </w:t>
      </w:r>
      <w:r w:rsidR="00715661">
        <w:t xml:space="preserve">Court.  </w:t>
      </w:r>
      <w:r w:rsidR="00DB0A27">
        <w:t>T</w:t>
      </w:r>
      <w:r w:rsidR="00715661">
        <w:t xml:space="preserve">his </w:t>
      </w:r>
      <w:r w:rsidR="00A50342">
        <w:t xml:space="preserve">application </w:t>
      </w:r>
      <w:r w:rsidR="00715661">
        <w:t>was dismissed.</w:t>
      </w:r>
      <w:r w:rsidR="00C85CD4">
        <w:t xml:space="preserve">  </w:t>
      </w:r>
      <w:r w:rsidR="00691FCF">
        <w:t>The applicants then approached the Supreme Court of Appeal</w:t>
      </w:r>
      <w:r w:rsidR="00DB0A27">
        <w:t>, which</w:t>
      </w:r>
      <w:r w:rsidR="00A50342" w:rsidRPr="00A50342">
        <w:t xml:space="preserve"> dismissed the application for leave to appeal on the basis that it bore no reasonable prospects of success.</w:t>
      </w:r>
    </w:p>
    <w:p w14:paraId="06F15298" w14:textId="77777777" w:rsidR="0011207A" w:rsidRPr="0011207A" w:rsidRDefault="0011207A" w:rsidP="0011207A">
      <w:pPr>
        <w:pStyle w:val="JUDGMENTCONTINUED"/>
      </w:pPr>
    </w:p>
    <w:p w14:paraId="72FA345B" w14:textId="1730AE60" w:rsidR="00285368" w:rsidRDefault="00691FCF" w:rsidP="00285368">
      <w:pPr>
        <w:pStyle w:val="HEADING"/>
      </w:pPr>
      <w:r>
        <w:lastRenderedPageBreak/>
        <w:t>B</w:t>
      </w:r>
      <w:r w:rsidR="00285368">
        <w:t>efore this Court</w:t>
      </w:r>
    </w:p>
    <w:p w14:paraId="419E61DB" w14:textId="6AEF529D" w:rsidR="008A79E5" w:rsidRPr="008A79E5" w:rsidRDefault="008A79E5" w:rsidP="008A79E5">
      <w:pPr>
        <w:pStyle w:val="HEADING"/>
      </w:pPr>
      <w:r>
        <w:tab/>
        <w:t>Leave to appeal</w:t>
      </w:r>
    </w:p>
    <w:p w14:paraId="2B87E7F1" w14:textId="452E299F" w:rsidR="0033355E" w:rsidRDefault="00F57A49" w:rsidP="00F57A49">
      <w:pPr>
        <w:pStyle w:val="JUDGMENTNUMBERED"/>
        <w:numPr>
          <w:ilvl w:val="0"/>
          <w:numId w:val="0"/>
        </w:numPr>
      </w:pPr>
      <w:r>
        <w:rPr>
          <w:color w:val="000000"/>
        </w:rPr>
        <w:t>[7]</w:t>
      </w:r>
      <w:r>
        <w:rPr>
          <w:color w:val="000000"/>
        </w:rPr>
        <w:tab/>
      </w:r>
      <w:r w:rsidR="0033355E">
        <w:t>The parties have placed a plethora of submissions before this Court, none of which need to b</w:t>
      </w:r>
      <w:r w:rsidR="00B735E5">
        <w:t>e discussed in any great detail</w:t>
      </w:r>
      <w:r w:rsidR="0033355E">
        <w:t>.  In short, t</w:t>
      </w:r>
      <w:r w:rsidR="00A50342">
        <w:t xml:space="preserve">he applicants submit that </w:t>
      </w:r>
      <w:r w:rsidR="0033355E">
        <w:t xml:space="preserve">the orders granted by the High Court were sought for illicit purposes and were improperly and unlawfully granted.  They argue that </w:t>
      </w:r>
      <w:r w:rsidR="00DE1526">
        <w:t>certain provisions of the</w:t>
      </w:r>
      <w:r w:rsidR="000F5153">
        <w:t xml:space="preserve"> </w:t>
      </w:r>
      <w:r w:rsidR="00DE1526">
        <w:t>Act, as well as section 25</w:t>
      </w:r>
      <w:r w:rsidR="00A24CFE">
        <w:t>(1)</w:t>
      </w:r>
      <w:r w:rsidR="00DE1526">
        <w:t xml:space="preserve"> of the Constitution</w:t>
      </w:r>
      <w:r w:rsidR="00C85CD4">
        <w:t>,</w:t>
      </w:r>
      <w:r w:rsidR="000621E2">
        <w:rPr>
          <w:rStyle w:val="FootnoteReference"/>
        </w:rPr>
        <w:footnoteReference w:id="9"/>
      </w:r>
      <w:r w:rsidR="00DE1526">
        <w:t xml:space="preserve"> are implicated by the allegedly unlawful orders, which were granted as a result of a material misdirection by the </w:t>
      </w:r>
      <w:r w:rsidR="00C85CD4">
        <w:t>High Court</w:t>
      </w:r>
      <w:r w:rsidR="00C45690">
        <w:t>.</w:t>
      </w:r>
    </w:p>
    <w:p w14:paraId="55674C30" w14:textId="77777777" w:rsidR="0011207A" w:rsidRPr="0011207A" w:rsidRDefault="0011207A" w:rsidP="0011207A">
      <w:pPr>
        <w:pStyle w:val="JUDGMENTCONTINUED"/>
      </w:pPr>
    </w:p>
    <w:p w14:paraId="0FCF169D" w14:textId="76A5795F" w:rsidR="00A50342" w:rsidRDefault="00F57A49" w:rsidP="00F57A49">
      <w:pPr>
        <w:pStyle w:val="JUDGMENTNUMBERED"/>
        <w:numPr>
          <w:ilvl w:val="0"/>
          <w:numId w:val="0"/>
        </w:numPr>
      </w:pPr>
      <w:r>
        <w:rPr>
          <w:color w:val="000000"/>
        </w:rPr>
        <w:t>[8]</w:t>
      </w:r>
      <w:r>
        <w:rPr>
          <w:color w:val="000000"/>
        </w:rPr>
        <w:tab/>
      </w:r>
      <w:r w:rsidR="00090264">
        <w:t xml:space="preserve">The respondents </w:t>
      </w:r>
      <w:r w:rsidR="00C45690">
        <w:t>dispute</w:t>
      </w:r>
      <w:r w:rsidR="00BD32D1">
        <w:t xml:space="preserve"> </w:t>
      </w:r>
      <w:r w:rsidR="00C45690">
        <w:t>the applicants</w:t>
      </w:r>
      <w:r w:rsidR="00BD32D1">
        <w:t xml:space="preserve">’ submissions and argue that </w:t>
      </w:r>
      <w:r w:rsidR="00090264">
        <w:t>the application is defecti</w:t>
      </w:r>
      <w:r w:rsidR="00BD32D1">
        <w:t xml:space="preserve">ve on several technical grounds, including that </w:t>
      </w:r>
      <w:r w:rsidR="00090264">
        <w:t>the orders granted by the High Court are not final in nature and</w:t>
      </w:r>
      <w:r w:rsidR="00BD32D1">
        <w:t xml:space="preserve"> are accordingly </w:t>
      </w:r>
      <w:r w:rsidR="00A24CFE">
        <w:t>not appealable</w:t>
      </w:r>
      <w:r w:rsidR="00BD32D1">
        <w:t>.</w:t>
      </w:r>
    </w:p>
    <w:p w14:paraId="3744F17F" w14:textId="6AF15366" w:rsidR="008A79E5" w:rsidRDefault="008A79E5" w:rsidP="008A79E5">
      <w:pPr>
        <w:pStyle w:val="JUDGMENTCONTINUED"/>
      </w:pPr>
    </w:p>
    <w:p w14:paraId="47196E15" w14:textId="305CE40C" w:rsidR="008A79E5" w:rsidRPr="008A79E5" w:rsidRDefault="00F57A49" w:rsidP="00F57A49">
      <w:pPr>
        <w:pStyle w:val="JUDGMENTNUMBERED"/>
        <w:numPr>
          <w:ilvl w:val="0"/>
          <w:numId w:val="0"/>
        </w:numPr>
      </w:pPr>
      <w:r w:rsidRPr="008A79E5">
        <w:rPr>
          <w:color w:val="000000"/>
        </w:rPr>
        <w:t>[9]</w:t>
      </w:r>
      <w:r w:rsidRPr="008A79E5">
        <w:rPr>
          <w:color w:val="000000"/>
        </w:rPr>
        <w:tab/>
      </w:r>
      <w:r w:rsidR="000904A7">
        <w:t xml:space="preserve">This Court has considered the merits of this application for leave to appeal on the papers alone, and is satisfied that it must be dismissed on the basis that it bears no reasonable prospects of success.  Ordinarily, the </w:t>
      </w:r>
      <w:r w:rsidR="00507C1B">
        <w:t>matter</w:t>
      </w:r>
      <w:r w:rsidR="000904A7">
        <w:t xml:space="preserve"> would end there, and an order would be issued to that effect.  However, in pursuit of their cause, the applicants </w:t>
      </w:r>
      <w:r w:rsidR="002759F1">
        <w:t xml:space="preserve">repeatedly </w:t>
      </w:r>
      <w:r w:rsidR="000904A7">
        <w:t>made certain troubling submissions which have driven me to pen this judgment, setting out an explanation for the costs order that follows.</w:t>
      </w:r>
    </w:p>
    <w:p w14:paraId="1C6A225C" w14:textId="77777777" w:rsidR="0011207A" w:rsidRPr="0011207A" w:rsidRDefault="0011207A" w:rsidP="0011207A">
      <w:pPr>
        <w:pStyle w:val="JUDGMENTCONTINUED"/>
      </w:pPr>
    </w:p>
    <w:p w14:paraId="2EB4F77E" w14:textId="31336FC7" w:rsidR="002160B9" w:rsidRDefault="008A79E5" w:rsidP="008A79E5">
      <w:pPr>
        <w:pStyle w:val="HEADING"/>
        <w:ind w:firstLine="720"/>
      </w:pPr>
      <w:r>
        <w:t>Costs of the application</w:t>
      </w:r>
    </w:p>
    <w:p w14:paraId="436F3F17" w14:textId="1C0CC136" w:rsidR="0011207A" w:rsidRDefault="00F57A49" w:rsidP="00F57A49">
      <w:pPr>
        <w:pStyle w:val="JUDGMENTNUMBERED"/>
        <w:numPr>
          <w:ilvl w:val="0"/>
          <w:numId w:val="0"/>
        </w:numPr>
      </w:pPr>
      <w:r>
        <w:rPr>
          <w:color w:val="000000"/>
        </w:rPr>
        <w:t>[10]</w:t>
      </w:r>
      <w:r>
        <w:rPr>
          <w:color w:val="000000"/>
        </w:rPr>
        <w:tab/>
      </w:r>
      <w:r w:rsidR="00DE037F">
        <w:t xml:space="preserve">A recurring theme throughout the applicants’ submissions is that the presiding officer in the </w:t>
      </w:r>
      <w:r w:rsidR="00507C1B">
        <w:t>High Court</w:t>
      </w:r>
      <w:r w:rsidR="00DE037F">
        <w:t xml:space="preserve">, </w:t>
      </w:r>
      <w:proofErr w:type="spellStart"/>
      <w:r w:rsidR="00DE037F">
        <w:t>Roelofse</w:t>
      </w:r>
      <w:proofErr w:type="spellEnd"/>
      <w:r w:rsidR="00DE037F">
        <w:t xml:space="preserve"> AJ, conducted himself in an improper and </w:t>
      </w:r>
      <w:r w:rsidR="00C85CD4">
        <w:t>biased</w:t>
      </w:r>
      <w:r w:rsidR="00DE037F">
        <w:t xml:space="preserve"> man</w:t>
      </w:r>
      <w:r w:rsidR="002759F1">
        <w:t>ner</w:t>
      </w:r>
      <w:r w:rsidR="00DE037F">
        <w:t>.  In particular, the applicants have repeatedly taken issue with the fact that, as express</w:t>
      </w:r>
      <w:r w:rsidR="00544918">
        <w:t>ed</w:t>
      </w:r>
      <w:r w:rsidR="00DE037F">
        <w:t xml:space="preserve"> by </w:t>
      </w:r>
      <w:proofErr w:type="spellStart"/>
      <w:r w:rsidR="00DE037F">
        <w:t>Roelofse</w:t>
      </w:r>
      <w:proofErr w:type="spellEnd"/>
      <w:r w:rsidR="00DE037F">
        <w:t xml:space="preserve"> AJ in his judgment, the matter was heard “</w:t>
      </w:r>
      <w:r w:rsidR="00DE037F" w:rsidRPr="00992DA8">
        <w:rPr>
          <w:i/>
        </w:rPr>
        <w:t>in camera</w:t>
      </w:r>
      <w:r w:rsidR="00DE037F">
        <w:t xml:space="preserve"> in accordance with the Judge President’s directive”</w:t>
      </w:r>
      <w:r w:rsidR="00C85CD4">
        <w:t>.</w:t>
      </w:r>
      <w:r w:rsidR="00DE037F">
        <w:rPr>
          <w:rStyle w:val="FootnoteReference"/>
        </w:rPr>
        <w:footnoteReference w:id="10"/>
      </w:r>
      <w:r w:rsidR="00DE037F">
        <w:t xml:space="preserve">  To this end, the applicants have effectively accused </w:t>
      </w:r>
      <w:proofErr w:type="spellStart"/>
      <w:r w:rsidR="00DE037F">
        <w:t>Roelofse</w:t>
      </w:r>
      <w:proofErr w:type="spellEnd"/>
      <w:r w:rsidR="00DE037F">
        <w:t xml:space="preserve"> AJ, together with the Judge President, of serious and grave </w:t>
      </w:r>
      <w:r w:rsidR="00DE037F">
        <w:lastRenderedPageBreak/>
        <w:t xml:space="preserve">misconduct. </w:t>
      </w:r>
      <w:r w:rsidR="002D7A8D">
        <w:t xml:space="preserve"> By way of example, the following submission appeared in the applicants’ founding affidavit:</w:t>
      </w:r>
    </w:p>
    <w:p w14:paraId="10EA84F2" w14:textId="0FFAECF7" w:rsidR="002D7A8D" w:rsidRDefault="002D7A8D" w:rsidP="002D7A8D">
      <w:pPr>
        <w:pStyle w:val="QUOTATION"/>
      </w:pPr>
    </w:p>
    <w:p w14:paraId="28618A49" w14:textId="1B24358E" w:rsidR="002D7A8D" w:rsidRPr="002D7A8D" w:rsidRDefault="002D7A8D" w:rsidP="002D7A8D">
      <w:pPr>
        <w:pStyle w:val="QUOTATION"/>
      </w:pPr>
      <w:r>
        <w:t xml:space="preserve">“There is evidently no doubt that the interim interdict was heard </w:t>
      </w:r>
      <w:r w:rsidRPr="001263B3">
        <w:rPr>
          <w:i/>
        </w:rPr>
        <w:t>in camera</w:t>
      </w:r>
      <w:r>
        <w:t xml:space="preserve"> as a result of the directive of the </w:t>
      </w:r>
      <w:r w:rsidR="00C85CD4">
        <w:t>J</w:t>
      </w:r>
      <w:r>
        <w:t xml:space="preserve">udge </w:t>
      </w:r>
      <w:r w:rsidR="00C85CD4">
        <w:t>P</w:t>
      </w:r>
      <w:r>
        <w:t>resident.  We submit</w:t>
      </w:r>
      <w:r w:rsidR="00230666">
        <w:t xml:space="preserve"> . . . </w:t>
      </w:r>
      <w:r>
        <w:t xml:space="preserve">that this was inappropriate.  We submit that </w:t>
      </w:r>
      <w:proofErr w:type="spellStart"/>
      <w:r>
        <w:t>Roelofse</w:t>
      </w:r>
      <w:proofErr w:type="spellEnd"/>
      <w:r>
        <w:t xml:space="preserve"> AJ has failed to act independently and impartially.”</w:t>
      </w:r>
    </w:p>
    <w:p w14:paraId="1DD43411" w14:textId="629954A8" w:rsidR="00860C4E" w:rsidRDefault="00860C4E" w:rsidP="000C38CF">
      <w:pPr>
        <w:pStyle w:val="JUDGMENTCONTINUED"/>
      </w:pPr>
    </w:p>
    <w:p w14:paraId="2F51A459" w14:textId="0C5A3EDD" w:rsidR="002D7A8D" w:rsidRDefault="002D7A8D" w:rsidP="002D7A8D">
      <w:pPr>
        <w:pStyle w:val="JUDGMENTCONTINUED"/>
      </w:pPr>
      <w:r>
        <w:t xml:space="preserve">This extract is but one of several damning statements made by the applicants against </w:t>
      </w:r>
      <w:proofErr w:type="spellStart"/>
      <w:r>
        <w:t>Roelofse</w:t>
      </w:r>
      <w:proofErr w:type="spellEnd"/>
      <w:r>
        <w:t xml:space="preserve"> AJ and the Judge Pre</w:t>
      </w:r>
      <w:r w:rsidR="00755A6B">
        <w:t>s</w:t>
      </w:r>
      <w:r>
        <w:t xml:space="preserve">ident.  As it clearly illustrates, the </w:t>
      </w:r>
      <w:r w:rsidR="00BB25FC">
        <w:t>crux</w:t>
      </w:r>
      <w:r>
        <w:t xml:space="preserve"> of the applicants’ </w:t>
      </w:r>
      <w:r w:rsidR="00D6260E">
        <w:t>objection</w:t>
      </w:r>
      <w:r>
        <w:t xml:space="preserve"> is that the Judge President</w:t>
      </w:r>
      <w:r w:rsidR="00755A6B">
        <w:t xml:space="preserve"> allegedly</w:t>
      </w:r>
      <w:r>
        <w:t xml:space="preserve"> exercised undue and improper influence over </w:t>
      </w:r>
      <w:proofErr w:type="spellStart"/>
      <w:r>
        <w:t>Roelofse</w:t>
      </w:r>
      <w:proofErr w:type="spellEnd"/>
      <w:r>
        <w:t xml:space="preserve"> AJ</w:t>
      </w:r>
      <w:r w:rsidR="00755A6B">
        <w:t>, who consequently failed to act independently, impartially and without fear or favour in the course of hearing and deciding the mat</w:t>
      </w:r>
      <w:r w:rsidR="00BB25FC">
        <w:t>t</w:t>
      </w:r>
      <w:r w:rsidR="00755A6B">
        <w:t>er.</w:t>
      </w:r>
    </w:p>
    <w:p w14:paraId="321E1F22" w14:textId="77777777" w:rsidR="00755A6B" w:rsidRPr="00755A6B" w:rsidRDefault="00755A6B" w:rsidP="00755A6B">
      <w:pPr>
        <w:pStyle w:val="JUDGMENTCONTINUED"/>
      </w:pPr>
    </w:p>
    <w:p w14:paraId="7096FB78" w14:textId="4145564E" w:rsidR="00755A6B" w:rsidRDefault="00F57A49" w:rsidP="00F57A49">
      <w:pPr>
        <w:pStyle w:val="JUDGMENTNUMBERED"/>
        <w:numPr>
          <w:ilvl w:val="0"/>
          <w:numId w:val="0"/>
        </w:numPr>
      </w:pPr>
      <w:r>
        <w:rPr>
          <w:color w:val="000000"/>
        </w:rPr>
        <w:t>[11]</w:t>
      </w:r>
      <w:r>
        <w:rPr>
          <w:color w:val="000000"/>
        </w:rPr>
        <w:tab/>
      </w:r>
      <w:r w:rsidR="002759F1">
        <w:t>Particularly troubling is the fact that t</w:t>
      </w:r>
      <w:r w:rsidR="00755A6B">
        <w:t>he applicants have made these submissions, not as mere passing remark</w:t>
      </w:r>
      <w:r w:rsidR="00AA3646">
        <w:t>s</w:t>
      </w:r>
      <w:r w:rsidR="00755A6B">
        <w:t>, but as a basis for their appeal.  They submit that the impugned orders were granted as a “result of this improper influence” and are accordingly a nullity, and stand to be set aside on appeal.</w:t>
      </w:r>
    </w:p>
    <w:p w14:paraId="3A829427" w14:textId="3E7A7D80" w:rsidR="00947012" w:rsidRDefault="00947012" w:rsidP="00947012">
      <w:pPr>
        <w:pStyle w:val="JUDGMENTCONTINUED"/>
      </w:pPr>
    </w:p>
    <w:p w14:paraId="7C2D6F76" w14:textId="03B7E7D4" w:rsidR="00947012" w:rsidRDefault="00F57A49" w:rsidP="00F57A49">
      <w:pPr>
        <w:pStyle w:val="JUDGMENTNUMBERED"/>
        <w:numPr>
          <w:ilvl w:val="0"/>
          <w:numId w:val="0"/>
        </w:numPr>
      </w:pPr>
      <w:r>
        <w:rPr>
          <w:color w:val="000000"/>
        </w:rPr>
        <w:t>[12]</w:t>
      </w:r>
      <w:r>
        <w:rPr>
          <w:color w:val="000000"/>
        </w:rPr>
        <w:tab/>
      </w:r>
      <w:r w:rsidR="00947012">
        <w:t>The respondents reacted to these accusations by submitting that they are “</w:t>
      </w:r>
      <w:r w:rsidR="00E92E9B">
        <w:t>unacceptable, scurrilous and</w:t>
      </w:r>
      <w:r w:rsidR="00947012">
        <w:t xml:space="preserve"> vexatious” and “constitute a basis for ordering costs on a punitive scale in respect of this application”.  In amplification of this submission, the respondents annexed a letter from the Judge President addressed to the applicants’ </w:t>
      </w:r>
      <w:r w:rsidR="003D2B03">
        <w:t>l</w:t>
      </w:r>
      <w:r w:rsidR="00BD32D1">
        <w:t>egal representative</w:t>
      </w:r>
      <w:r w:rsidR="003D2B03">
        <w:t xml:space="preserve">.  In the letter, the Judge President clearly and unequivocally addressed and disposed of the accusations levelled against him and </w:t>
      </w:r>
      <w:proofErr w:type="spellStart"/>
      <w:r w:rsidR="003D2B03">
        <w:t>Roelofse</w:t>
      </w:r>
      <w:proofErr w:type="spellEnd"/>
      <w:r w:rsidR="003D2B03">
        <w:t xml:space="preserve"> AJ, and invited the applicants’ representatives to retract statements that they had made in correspondence </w:t>
      </w:r>
      <w:r w:rsidR="00080FA7">
        <w:t xml:space="preserve">addressed </w:t>
      </w:r>
      <w:r w:rsidR="003D2B03">
        <w:t xml:space="preserve">to </w:t>
      </w:r>
      <w:proofErr w:type="spellStart"/>
      <w:r w:rsidR="003D2B03">
        <w:t>Roelofse</w:t>
      </w:r>
      <w:proofErr w:type="spellEnd"/>
      <w:r w:rsidR="003D2B03">
        <w:t xml:space="preserve"> AJ.</w:t>
      </w:r>
      <w:r w:rsidR="00C974DF">
        <w:t xml:space="preserve">  It is unnecessary to mention any further details on this profoundly unfortunate exchange of niceties between the applicants’ legal team, </w:t>
      </w:r>
      <w:proofErr w:type="spellStart"/>
      <w:r w:rsidR="00C974DF">
        <w:t>Roelofse</w:t>
      </w:r>
      <w:proofErr w:type="spellEnd"/>
      <w:r w:rsidR="00C974DF">
        <w:t xml:space="preserve"> AJ, and the Judge President, save to note that it is confusing and difficult to understand why, against this backdrop, the applicants not only persisted with their accusations against the </w:t>
      </w:r>
      <w:r w:rsidR="00BD32D1">
        <w:t>two</w:t>
      </w:r>
      <w:r w:rsidR="00C974DF">
        <w:t xml:space="preserve"> </w:t>
      </w:r>
      <w:r w:rsidR="00B735E5">
        <w:t>J</w:t>
      </w:r>
      <w:r w:rsidR="00C974DF">
        <w:t>udges, but went as far as to submit them as a legitimate ground of appeal in this Court.</w:t>
      </w:r>
    </w:p>
    <w:p w14:paraId="03B7C0E1" w14:textId="562CECEE" w:rsidR="00C974DF" w:rsidRDefault="00C974DF" w:rsidP="00C974DF">
      <w:pPr>
        <w:pStyle w:val="JUDGMENTCONTINUED"/>
      </w:pPr>
    </w:p>
    <w:p w14:paraId="148A3C8E" w14:textId="2148DFA1" w:rsidR="00BB25FC" w:rsidRDefault="00F57A49" w:rsidP="00F57A49">
      <w:pPr>
        <w:pStyle w:val="JUDGMENTNUMBERED"/>
        <w:numPr>
          <w:ilvl w:val="0"/>
          <w:numId w:val="0"/>
        </w:numPr>
      </w:pPr>
      <w:r>
        <w:rPr>
          <w:color w:val="000000"/>
        </w:rPr>
        <w:lastRenderedPageBreak/>
        <w:t>[13]</w:t>
      </w:r>
      <w:r>
        <w:rPr>
          <w:color w:val="000000"/>
        </w:rPr>
        <w:tab/>
      </w:r>
      <w:r w:rsidR="00AA3646">
        <w:t>Perplexed, and w</w:t>
      </w:r>
      <w:r w:rsidR="00BB25FC">
        <w:t>ith all of this in mind, this Court called for written submissions in relation to the issue of costs.</w:t>
      </w:r>
      <w:r w:rsidR="002055D9">
        <w:t xml:space="preserve">  </w:t>
      </w:r>
      <w:r w:rsidR="001B0E2B">
        <w:t>The submissions by the</w:t>
      </w:r>
      <w:r w:rsidR="002055D9">
        <w:t xml:space="preserve"> parties </w:t>
      </w:r>
      <w:r w:rsidR="001B0E2B">
        <w:t xml:space="preserve">are </w:t>
      </w:r>
      <w:r w:rsidR="002055D9">
        <w:t>briefly summarise</w:t>
      </w:r>
      <w:r w:rsidR="001B0E2B">
        <w:t>d</w:t>
      </w:r>
      <w:r w:rsidR="002055D9">
        <w:t xml:space="preserve"> below.</w:t>
      </w:r>
    </w:p>
    <w:p w14:paraId="4BA68789" w14:textId="5ABAA29A" w:rsidR="002055D9" w:rsidRDefault="002055D9" w:rsidP="002055D9">
      <w:pPr>
        <w:pStyle w:val="JUDGMENTCONTINUED"/>
      </w:pPr>
    </w:p>
    <w:p w14:paraId="44FCCBE8" w14:textId="56B70494" w:rsidR="002055D9" w:rsidRPr="002055D9" w:rsidRDefault="002055D9" w:rsidP="002055D9">
      <w:pPr>
        <w:pStyle w:val="HEADING"/>
        <w:ind w:left="720"/>
      </w:pPr>
      <w:r>
        <w:t>Submissions pursuant to this Court’s directions dated 1 February 2021</w:t>
      </w:r>
    </w:p>
    <w:p w14:paraId="1653DB8A" w14:textId="69D16627" w:rsidR="002055D9" w:rsidRDefault="00F57A49" w:rsidP="00F57A49">
      <w:pPr>
        <w:pStyle w:val="JUDGMENTNUMBERED"/>
        <w:numPr>
          <w:ilvl w:val="0"/>
          <w:numId w:val="0"/>
        </w:numPr>
      </w:pPr>
      <w:r>
        <w:rPr>
          <w:color w:val="000000"/>
        </w:rPr>
        <w:t>[14]</w:t>
      </w:r>
      <w:r>
        <w:rPr>
          <w:color w:val="000000"/>
        </w:rPr>
        <w:tab/>
      </w:r>
      <w:r w:rsidR="002055D9">
        <w:t xml:space="preserve">The applicants submit that costs should follow the result, but that the </w:t>
      </w:r>
      <w:proofErr w:type="spellStart"/>
      <w:r w:rsidR="002055D9" w:rsidRPr="002055D9">
        <w:rPr>
          <w:i/>
          <w:iCs/>
        </w:rPr>
        <w:t>Biowatch</w:t>
      </w:r>
      <w:proofErr w:type="spellEnd"/>
      <w:r w:rsidR="002055D9" w:rsidRPr="00AA3646">
        <w:t xml:space="preserve"> </w:t>
      </w:r>
      <w:r w:rsidR="002055D9">
        <w:t>principle</w:t>
      </w:r>
      <w:r w:rsidR="000442CB" w:rsidRPr="00AA3646">
        <w:rPr>
          <w:rStyle w:val="FootnoteReference"/>
        </w:rPr>
        <w:footnoteReference w:id="11"/>
      </w:r>
      <w:r w:rsidR="002055D9">
        <w:t xml:space="preserve"> ought to apply in the event that the application does not succeed.  </w:t>
      </w:r>
      <w:r w:rsidR="00621F16">
        <w:t>T</w:t>
      </w:r>
      <w:r w:rsidR="002055D9">
        <w:t xml:space="preserve">his </w:t>
      </w:r>
      <w:r w:rsidR="00621F16">
        <w:t>argument is made</w:t>
      </w:r>
      <w:r w:rsidR="002055D9">
        <w:t xml:space="preserve"> on the basis that the applicant</w:t>
      </w:r>
      <w:r w:rsidR="00621F16">
        <w:t>s</w:t>
      </w:r>
      <w:r w:rsidR="002055D9">
        <w:t xml:space="preserve"> seek to assert their constitutional rights as contemplated by sections 25 and 34 of the Constitution, because the matter involves land restitution and section 13 of the Act</w:t>
      </w:r>
      <w:r w:rsidR="00621F16">
        <w:t>.</w:t>
      </w:r>
    </w:p>
    <w:p w14:paraId="2A19FF72" w14:textId="4637898B" w:rsidR="002055D9" w:rsidRDefault="002055D9" w:rsidP="002055D9">
      <w:pPr>
        <w:pStyle w:val="JUDGMENTCONTINUED"/>
      </w:pPr>
    </w:p>
    <w:p w14:paraId="426988BD" w14:textId="418A1842" w:rsidR="002055D9" w:rsidRDefault="00F57A49" w:rsidP="00F57A49">
      <w:pPr>
        <w:pStyle w:val="JUDGMENTNUMBERED"/>
        <w:numPr>
          <w:ilvl w:val="0"/>
          <w:numId w:val="0"/>
        </w:numPr>
      </w:pPr>
      <w:r>
        <w:rPr>
          <w:color w:val="000000"/>
        </w:rPr>
        <w:t>[15]</w:t>
      </w:r>
      <w:r>
        <w:rPr>
          <w:color w:val="000000"/>
        </w:rPr>
        <w:tab/>
      </w:r>
      <w:r w:rsidR="002055D9">
        <w:t xml:space="preserve">In response to the respondents’ prayer for punitive costs, the applicants refer </w:t>
      </w:r>
      <w:r w:rsidR="003572F9">
        <w:t xml:space="preserve">again </w:t>
      </w:r>
      <w:r w:rsidR="002055D9">
        <w:t xml:space="preserve">to </w:t>
      </w:r>
      <w:proofErr w:type="spellStart"/>
      <w:r w:rsidR="002055D9">
        <w:t>Roelofse</w:t>
      </w:r>
      <w:proofErr w:type="spellEnd"/>
      <w:r w:rsidR="002055D9">
        <w:t xml:space="preserve"> AJ</w:t>
      </w:r>
      <w:r w:rsidR="003572F9">
        <w:t>’s statement</w:t>
      </w:r>
      <w:r w:rsidR="002055D9">
        <w:t xml:space="preserve"> that “the application was heard </w:t>
      </w:r>
      <w:r w:rsidR="002055D9" w:rsidRPr="00992DA8">
        <w:rPr>
          <w:i/>
        </w:rPr>
        <w:t>in camera</w:t>
      </w:r>
      <w:r w:rsidR="002055D9">
        <w:t xml:space="preserve"> in accordance with the Judge President’s directive”</w:t>
      </w:r>
      <w:r w:rsidR="001B0E2B">
        <w:t>.</w:t>
      </w:r>
      <w:r w:rsidR="002055D9">
        <w:t xml:space="preserve">  </w:t>
      </w:r>
      <w:r w:rsidR="003572F9">
        <w:t>They</w:t>
      </w:r>
      <w:r w:rsidR="002055D9">
        <w:t xml:space="preserve"> </w:t>
      </w:r>
      <w:r w:rsidR="003572F9">
        <w:t xml:space="preserve">further </w:t>
      </w:r>
      <w:r w:rsidR="002055D9">
        <w:t xml:space="preserve">assert that the allegations made against the Judge President and </w:t>
      </w:r>
      <w:proofErr w:type="spellStart"/>
      <w:r w:rsidR="002055D9">
        <w:t>Roelofse</w:t>
      </w:r>
      <w:proofErr w:type="spellEnd"/>
      <w:r w:rsidR="002055D9">
        <w:t xml:space="preserve"> AJ in their founding affidavit are in no way vexatious or unacceptable, because they are merely based on </w:t>
      </w:r>
      <w:proofErr w:type="spellStart"/>
      <w:r w:rsidR="002055D9">
        <w:t>Roelofse</w:t>
      </w:r>
      <w:proofErr w:type="spellEnd"/>
      <w:r w:rsidR="0073721F">
        <w:t> </w:t>
      </w:r>
      <w:r w:rsidR="002055D9">
        <w:t>AJ’s “factual statements”</w:t>
      </w:r>
      <w:r w:rsidR="0073721F">
        <w:t>.</w:t>
      </w:r>
      <w:r w:rsidR="002055D9">
        <w:t xml:space="preserve">  They accordingly argue that the application was based on cogent grounds, and that there is no basis on which a pu</w:t>
      </w:r>
      <w:r w:rsidR="001C0CF7">
        <w:t>nitive costs order is warranted.</w:t>
      </w:r>
    </w:p>
    <w:p w14:paraId="65AF89B5" w14:textId="069F4AED" w:rsidR="002055D9" w:rsidRDefault="002055D9" w:rsidP="003572F9">
      <w:pPr>
        <w:pStyle w:val="JUDGMENTCONTINUED"/>
      </w:pPr>
    </w:p>
    <w:p w14:paraId="24098249" w14:textId="4567FE0D" w:rsidR="00AA3646" w:rsidRDefault="00F57A49" w:rsidP="00F57A49">
      <w:pPr>
        <w:pStyle w:val="JUDGMENTNUMBERED"/>
        <w:numPr>
          <w:ilvl w:val="0"/>
          <w:numId w:val="0"/>
        </w:numPr>
      </w:pPr>
      <w:r>
        <w:rPr>
          <w:color w:val="000000"/>
        </w:rPr>
        <w:t>[16]</w:t>
      </w:r>
      <w:r>
        <w:rPr>
          <w:color w:val="000000"/>
        </w:rPr>
        <w:tab/>
      </w:r>
      <w:r w:rsidR="002055D9">
        <w:t>The respondents</w:t>
      </w:r>
      <w:r w:rsidR="0073721F">
        <w:t>, on the other hand,</w:t>
      </w:r>
      <w:r w:rsidR="002055D9">
        <w:t xml:space="preserve"> argue that </w:t>
      </w:r>
      <w:r w:rsidR="003572F9">
        <w:t xml:space="preserve">the </w:t>
      </w:r>
      <w:proofErr w:type="spellStart"/>
      <w:r w:rsidR="002055D9" w:rsidRPr="003572F9">
        <w:rPr>
          <w:i/>
          <w:iCs/>
        </w:rPr>
        <w:t>Biowatch</w:t>
      </w:r>
      <w:proofErr w:type="spellEnd"/>
      <w:r w:rsidR="002055D9">
        <w:t xml:space="preserve"> </w:t>
      </w:r>
      <w:r w:rsidR="003572F9">
        <w:t xml:space="preserve">principle </w:t>
      </w:r>
      <w:r w:rsidR="002055D9">
        <w:t>does not apply to this matter because the application has no impact on the public interest and is clearly not of a constitutional nature</w:t>
      </w:r>
      <w:r w:rsidR="00904596">
        <w:t>,</w:t>
      </w:r>
      <w:r w:rsidR="002055D9">
        <w:t xml:space="preserve"> in line with previous cases wherein </w:t>
      </w:r>
      <w:r w:rsidR="003572F9">
        <w:t>this principle has applied.</w:t>
      </w:r>
      <w:r w:rsidR="002055D9">
        <w:t xml:space="preserve">  The</w:t>
      </w:r>
      <w:r w:rsidR="0073721F">
        <w:t xml:space="preserve"> </w:t>
      </w:r>
      <w:r w:rsidR="002055D9">
        <w:t xml:space="preserve">respondents also emphasise that </w:t>
      </w:r>
      <w:r w:rsidR="003572F9">
        <w:t xml:space="preserve">the </w:t>
      </w:r>
      <w:proofErr w:type="spellStart"/>
      <w:r w:rsidR="002055D9" w:rsidRPr="003572F9">
        <w:rPr>
          <w:i/>
          <w:iCs/>
        </w:rPr>
        <w:t>Biowatch</w:t>
      </w:r>
      <w:proofErr w:type="spellEnd"/>
      <w:r w:rsidR="002055D9">
        <w:t xml:space="preserve"> </w:t>
      </w:r>
      <w:r w:rsidR="003572F9">
        <w:t xml:space="preserve">principle </w:t>
      </w:r>
      <w:r w:rsidR="002055D9">
        <w:t>does not ordinarily apply between private parties</w:t>
      </w:r>
      <w:r w:rsidR="00500044">
        <w:t>, and that</w:t>
      </w:r>
      <w:r w:rsidR="002055D9">
        <w:t xml:space="preserve"> the applicants’ </w:t>
      </w:r>
      <w:r w:rsidR="00500044">
        <w:t>reprehensible</w:t>
      </w:r>
      <w:r w:rsidR="002055D9">
        <w:t xml:space="preserve"> conduct </w:t>
      </w:r>
      <w:r w:rsidR="002055D9">
        <w:lastRenderedPageBreak/>
        <w:t xml:space="preserve">towards the Judge President and </w:t>
      </w:r>
      <w:proofErr w:type="spellStart"/>
      <w:r w:rsidR="002055D9">
        <w:t>Roelofse</w:t>
      </w:r>
      <w:proofErr w:type="spellEnd"/>
      <w:r w:rsidR="002055D9">
        <w:t xml:space="preserve"> AJ vitiates any mercy towards them in relation to costs.</w:t>
      </w:r>
      <w:r w:rsidR="00500044">
        <w:t xml:space="preserve">  On the matter of </w:t>
      </w:r>
      <w:r w:rsidR="002055D9">
        <w:t>punitive costs, the respondents submit that such an order is appropriate as a result of the “deplorable and unacceptable attitude of the applicants towards the courts”</w:t>
      </w:r>
      <w:bookmarkStart w:id="1" w:name="_Ref68725263"/>
      <w:r w:rsidR="0073721F">
        <w:t>.</w:t>
      </w:r>
      <w:bookmarkEnd w:id="1"/>
    </w:p>
    <w:p w14:paraId="7568DB7B" w14:textId="77777777" w:rsidR="00FD5903" w:rsidRPr="00FD5903" w:rsidRDefault="00FD5903" w:rsidP="00FD5903">
      <w:pPr>
        <w:pStyle w:val="JUDGMENTCONTINUED"/>
      </w:pPr>
    </w:p>
    <w:p w14:paraId="45D65581" w14:textId="119A2BCE" w:rsidR="00AA3646" w:rsidRDefault="00AA3646" w:rsidP="00AA3646">
      <w:pPr>
        <w:pStyle w:val="HEADING"/>
        <w:ind w:left="720"/>
      </w:pPr>
      <w:r>
        <w:t>The appropriate costs order</w:t>
      </w:r>
    </w:p>
    <w:p w14:paraId="6E9C4136" w14:textId="76416260" w:rsidR="00F709D4" w:rsidRDefault="00F57A49" w:rsidP="00F57A49">
      <w:pPr>
        <w:pStyle w:val="JUDGMENTNUMBERED"/>
        <w:numPr>
          <w:ilvl w:val="0"/>
          <w:numId w:val="0"/>
        </w:numPr>
      </w:pPr>
      <w:r>
        <w:rPr>
          <w:color w:val="000000"/>
        </w:rPr>
        <w:t>[17]</w:t>
      </w:r>
      <w:r>
        <w:rPr>
          <w:color w:val="000000"/>
        </w:rPr>
        <w:tab/>
      </w:r>
      <w:r w:rsidR="003D6C32">
        <w:t xml:space="preserve">It is trite that the issue of costs is truly </w:t>
      </w:r>
      <w:r w:rsidR="00507C1B">
        <w:t>within</w:t>
      </w:r>
      <w:r w:rsidR="003D6C32">
        <w:t xml:space="preserve"> this Court’s discretion,</w:t>
      </w:r>
      <w:bookmarkStart w:id="2" w:name="_Ref68727575"/>
      <w:r w:rsidR="003D6C32">
        <w:rPr>
          <w:rStyle w:val="FootnoteReference"/>
        </w:rPr>
        <w:footnoteReference w:id="12"/>
      </w:r>
      <w:bookmarkEnd w:id="2"/>
      <w:r w:rsidR="003D6C32">
        <w:t xml:space="preserve"> and that the default </w:t>
      </w:r>
      <w:r w:rsidR="00F709D4">
        <w:t>practice</w:t>
      </w:r>
      <w:r w:rsidR="003D6C32">
        <w:t xml:space="preserve"> </w:t>
      </w:r>
      <w:r w:rsidR="0073721F">
        <w:t xml:space="preserve">in litigation </w:t>
      </w:r>
      <w:r w:rsidR="003D6C32">
        <w:t xml:space="preserve">is that costs ordinarily follow the result.  </w:t>
      </w:r>
      <w:r w:rsidR="00F709D4">
        <w:t>So l</w:t>
      </w:r>
      <w:r w:rsidR="00AA3646">
        <w:t>et me begin by immediately disposing of the applicants’ submission that they ought to be shielded</w:t>
      </w:r>
      <w:r w:rsidR="007013ED">
        <w:t xml:space="preserve"> from costs</w:t>
      </w:r>
      <w:r w:rsidR="00AA3646">
        <w:t xml:space="preserve"> by the </w:t>
      </w:r>
      <w:proofErr w:type="spellStart"/>
      <w:r w:rsidR="00AA3646">
        <w:rPr>
          <w:i/>
          <w:iCs/>
        </w:rPr>
        <w:t>Biowatch</w:t>
      </w:r>
      <w:proofErr w:type="spellEnd"/>
      <w:r w:rsidR="00AA3646">
        <w:rPr>
          <w:i/>
          <w:iCs/>
        </w:rPr>
        <w:t xml:space="preserve"> </w:t>
      </w:r>
      <w:r w:rsidR="00AA3646">
        <w:t>principle</w:t>
      </w:r>
      <w:r w:rsidR="001E6AC7">
        <w:t>.</w:t>
      </w:r>
    </w:p>
    <w:p w14:paraId="42FAD26F" w14:textId="77777777" w:rsidR="00F709D4" w:rsidRPr="00F709D4" w:rsidRDefault="00F709D4" w:rsidP="00F709D4">
      <w:pPr>
        <w:pStyle w:val="JUDGMENTCONTINUED"/>
      </w:pPr>
    </w:p>
    <w:p w14:paraId="628F4132" w14:textId="246C9FF6" w:rsidR="00AA3646" w:rsidRDefault="00F57A49" w:rsidP="00F57A49">
      <w:pPr>
        <w:pStyle w:val="JUDGMENTNUMBERED"/>
        <w:numPr>
          <w:ilvl w:val="0"/>
          <w:numId w:val="0"/>
        </w:numPr>
      </w:pPr>
      <w:r>
        <w:rPr>
          <w:color w:val="000000"/>
        </w:rPr>
        <w:t>[18]</w:t>
      </w:r>
      <w:r>
        <w:rPr>
          <w:color w:val="000000"/>
        </w:rPr>
        <w:tab/>
      </w:r>
      <w:r w:rsidR="001E6AC7">
        <w:t xml:space="preserve">Although the interpretation of section 13 of the Act may invoke constitutional issues, the genesis of this application is a dispute about the validity of an Anton </w:t>
      </w:r>
      <w:proofErr w:type="spellStart"/>
      <w:r w:rsidR="001E6AC7">
        <w:t>Piller</w:t>
      </w:r>
      <w:proofErr w:type="spellEnd"/>
      <w:r w:rsidR="001E6AC7">
        <w:t xml:space="preserve"> order.  </w:t>
      </w:r>
      <w:r w:rsidR="007013ED">
        <w:t xml:space="preserve">And I am thus inclined to agree with </w:t>
      </w:r>
      <w:r w:rsidR="001E6AC7">
        <w:t xml:space="preserve">the respondents’ submission that this “constitutes an attempt to bring the matter under a broad blanket of constitutional rights, so as to enable the applicants to </w:t>
      </w:r>
      <w:r w:rsidR="005B585C">
        <w:t xml:space="preserve">then </w:t>
      </w:r>
      <w:r w:rsidR="001E6AC7">
        <w:t xml:space="preserve">rely on the </w:t>
      </w:r>
      <w:proofErr w:type="spellStart"/>
      <w:r w:rsidR="001E6AC7" w:rsidRPr="007013ED">
        <w:rPr>
          <w:i/>
          <w:iCs/>
        </w:rPr>
        <w:t>Biowatch</w:t>
      </w:r>
      <w:proofErr w:type="spellEnd"/>
      <w:r w:rsidR="001E6AC7">
        <w:t xml:space="preserve"> principle”</w:t>
      </w:r>
      <w:r w:rsidR="0073721F">
        <w:t>.</w:t>
      </w:r>
      <w:r w:rsidR="001E6AC7">
        <w:t xml:space="preserve">  </w:t>
      </w:r>
      <w:r w:rsidR="007013ED">
        <w:t>Further</w:t>
      </w:r>
      <w:r w:rsidR="001E6AC7">
        <w:t xml:space="preserve">, it is trite that </w:t>
      </w:r>
      <w:r w:rsidR="0073721F">
        <w:t xml:space="preserve">the </w:t>
      </w:r>
      <w:r w:rsidR="001E6AC7">
        <w:t>principle do</w:t>
      </w:r>
      <w:r w:rsidR="0073721F">
        <w:t>es</w:t>
      </w:r>
      <w:r w:rsidR="001E6AC7">
        <w:t xml:space="preserve"> not apply to frivolous</w:t>
      </w:r>
      <w:r w:rsidR="005B585C">
        <w:t xml:space="preserve"> and vexatious</w:t>
      </w:r>
      <w:r w:rsidR="001E6AC7">
        <w:t xml:space="preserve"> litigation, which is plainly wh</w:t>
      </w:r>
      <w:r w:rsidR="00FD5903">
        <w:t>at has spurred this application.  This</w:t>
      </w:r>
      <w:r w:rsidR="001E6AC7">
        <w:t xml:space="preserve"> is revealed by the papers</w:t>
      </w:r>
      <w:r w:rsidR="00FD5903">
        <w:t>,</w:t>
      </w:r>
      <w:r w:rsidR="001E6AC7">
        <w:t xml:space="preserve"> and the judgment of the High Court</w:t>
      </w:r>
      <w:r w:rsidR="00FD5903">
        <w:t>,</w:t>
      </w:r>
      <w:r w:rsidR="00F709D4">
        <w:t xml:space="preserve"> </w:t>
      </w:r>
      <w:r w:rsidR="001E6AC7">
        <w:t xml:space="preserve">considered </w:t>
      </w:r>
      <w:r w:rsidR="007013ED">
        <w:t xml:space="preserve">together </w:t>
      </w:r>
      <w:r w:rsidR="001E6AC7">
        <w:t>wit</w:t>
      </w:r>
      <w:r w:rsidR="00682330">
        <w:t>h the aspersions cast upon the J</w:t>
      </w:r>
      <w:r w:rsidR="001E6AC7">
        <w:t xml:space="preserve">udiciary in the process.  </w:t>
      </w:r>
      <w:r w:rsidR="007013ED">
        <w:t xml:space="preserve">The final nail in </w:t>
      </w:r>
      <w:r w:rsidR="00FD5903">
        <w:t>the</w:t>
      </w:r>
      <w:r w:rsidR="007013ED">
        <w:t xml:space="preserve"> coffin is that</w:t>
      </w:r>
      <w:r w:rsidR="001E6AC7">
        <w:t xml:space="preserve"> the applicants </w:t>
      </w:r>
      <w:r w:rsidR="00F709D4">
        <w:t>do not</w:t>
      </w:r>
      <w:r w:rsidR="001E6AC7">
        <w:t xml:space="preserve"> seek to assert their constitutional rights against an organ of </w:t>
      </w:r>
      <w:r w:rsidR="00B735E5">
        <w:t>S</w:t>
      </w:r>
      <w:r w:rsidR="001E6AC7">
        <w:t>tate</w:t>
      </w:r>
      <w:r w:rsidR="00F709D4">
        <w:t>.  I</w:t>
      </w:r>
      <w:r w:rsidR="007013ED">
        <w:t>t follows that there is</w:t>
      </w:r>
      <w:r w:rsidR="001E6AC7">
        <w:t xml:space="preserve"> no basis </w:t>
      </w:r>
      <w:r w:rsidR="00FD5903">
        <w:t>up</w:t>
      </w:r>
      <w:r w:rsidR="001E6AC7">
        <w:t xml:space="preserve">on which the </w:t>
      </w:r>
      <w:proofErr w:type="spellStart"/>
      <w:r w:rsidR="001E6AC7" w:rsidRPr="007013ED">
        <w:rPr>
          <w:i/>
          <w:iCs/>
        </w:rPr>
        <w:t>Biowatch</w:t>
      </w:r>
      <w:proofErr w:type="spellEnd"/>
      <w:r w:rsidR="001E6AC7">
        <w:t xml:space="preserve"> </w:t>
      </w:r>
      <w:r w:rsidR="0073721F">
        <w:t xml:space="preserve">principle </w:t>
      </w:r>
      <w:r w:rsidR="001E6AC7">
        <w:t xml:space="preserve">can </w:t>
      </w:r>
      <w:r w:rsidR="003A45AB">
        <w:t>operate in the</w:t>
      </w:r>
      <w:r w:rsidR="001E6AC7">
        <w:t xml:space="preserve"> applicants</w:t>
      </w:r>
      <w:r w:rsidR="003A45AB">
        <w:t>’ favour</w:t>
      </w:r>
      <w:r w:rsidR="001E6AC7">
        <w:t xml:space="preserve"> </w:t>
      </w:r>
      <w:r w:rsidR="003A45AB">
        <w:t>in</w:t>
      </w:r>
      <w:r w:rsidR="001E6AC7">
        <w:t xml:space="preserve"> this application.</w:t>
      </w:r>
    </w:p>
    <w:p w14:paraId="2A8359B3" w14:textId="0C14F655" w:rsidR="00F91642" w:rsidRDefault="00F91642" w:rsidP="00F91642">
      <w:pPr>
        <w:pStyle w:val="JUDGMENTCONTINUED"/>
      </w:pPr>
    </w:p>
    <w:p w14:paraId="1B3AC73D" w14:textId="7C88BAA1" w:rsidR="00F91642" w:rsidRDefault="00F57A49" w:rsidP="00F57A49">
      <w:pPr>
        <w:pStyle w:val="JUDGMENTNUMBERED"/>
        <w:numPr>
          <w:ilvl w:val="0"/>
          <w:numId w:val="0"/>
        </w:numPr>
      </w:pPr>
      <w:r>
        <w:rPr>
          <w:color w:val="000000"/>
        </w:rPr>
        <w:t>[19]</w:t>
      </w:r>
      <w:r>
        <w:rPr>
          <w:color w:val="000000"/>
        </w:rPr>
        <w:tab/>
      </w:r>
      <w:r w:rsidR="00F91642">
        <w:t xml:space="preserve">Absent the application of the </w:t>
      </w:r>
      <w:proofErr w:type="spellStart"/>
      <w:r w:rsidR="00F91642">
        <w:rPr>
          <w:i/>
          <w:iCs/>
        </w:rPr>
        <w:t>Biowatch</w:t>
      </w:r>
      <w:proofErr w:type="spellEnd"/>
      <w:r w:rsidR="00F91642">
        <w:t xml:space="preserve"> principle, or any other cogent reason to deviate from the ordinary approach to costs, the applicants</w:t>
      </w:r>
      <w:r w:rsidR="0073721F">
        <w:t>, as</w:t>
      </w:r>
      <w:r w:rsidR="00F91642">
        <w:t xml:space="preserve"> unsuccessful litigants</w:t>
      </w:r>
      <w:r w:rsidR="0073721F">
        <w:t xml:space="preserve">, </w:t>
      </w:r>
      <w:r w:rsidR="00F91642">
        <w:t>must bear the costs of this application.  The question then</w:t>
      </w:r>
      <w:r w:rsidR="0073721F">
        <w:t xml:space="preserve"> becomes</w:t>
      </w:r>
      <w:r w:rsidR="00F91642">
        <w:t xml:space="preserve"> whether the exceptional award of punitive costs</w:t>
      </w:r>
      <w:r w:rsidR="0073721F">
        <w:t>, as sought by the respondents,</w:t>
      </w:r>
      <w:r w:rsidR="00F91642">
        <w:t xml:space="preserve"> is warranted in the</w:t>
      </w:r>
      <w:r w:rsidR="005A1824">
        <w:t>se</w:t>
      </w:r>
      <w:r w:rsidR="00F91642">
        <w:t xml:space="preserve"> circumstances.</w:t>
      </w:r>
    </w:p>
    <w:p w14:paraId="4B598730" w14:textId="44A42BA2" w:rsidR="00064E37" w:rsidRDefault="00064E37" w:rsidP="00064E37">
      <w:pPr>
        <w:pStyle w:val="JUDGMENTCONTINUED"/>
      </w:pPr>
    </w:p>
    <w:p w14:paraId="1A8DB27C" w14:textId="41EEADA7" w:rsidR="00B02877" w:rsidRDefault="00F57A49" w:rsidP="00F57A49">
      <w:pPr>
        <w:pStyle w:val="JUDGMENTNUMBERED"/>
        <w:numPr>
          <w:ilvl w:val="0"/>
          <w:numId w:val="0"/>
        </w:numPr>
      </w:pPr>
      <w:r>
        <w:rPr>
          <w:color w:val="000000"/>
        </w:rPr>
        <w:t>[20]</w:t>
      </w:r>
      <w:r>
        <w:rPr>
          <w:color w:val="000000"/>
        </w:rPr>
        <w:tab/>
      </w:r>
      <w:r w:rsidR="00B02877">
        <w:t>The primary underlying purpose of any costs award is to minimise the extent to which a successful litigant will be out of pocket as a result of litigation that she or he should not have had to endure</w:t>
      </w:r>
      <w:r w:rsidR="0073721F">
        <w:t>.</w:t>
      </w:r>
      <w:r w:rsidR="00B02877">
        <w:rPr>
          <w:rStyle w:val="FootnoteReference"/>
        </w:rPr>
        <w:footnoteReference w:id="13"/>
      </w:r>
      <w:r w:rsidR="00B02877">
        <w:t xml:space="preserve">  Indeed, this Court has recognised that costs orders often do not even achieve this objective</w:t>
      </w:r>
      <w:r w:rsidR="00594381">
        <w:t>,</w:t>
      </w:r>
      <w:r w:rsidR="00B02877">
        <w:t xml:space="preserve"> and fall short of assisting the successful litigant in fully recovering her or his expenses</w:t>
      </w:r>
      <w:r w:rsidR="0073721F">
        <w:t>.</w:t>
      </w:r>
      <w:r w:rsidR="00594381">
        <w:rPr>
          <w:rStyle w:val="FootnoteReference"/>
        </w:rPr>
        <w:footnoteReference w:id="14"/>
      </w:r>
      <w:r w:rsidR="00594381">
        <w:t xml:space="preserve"> </w:t>
      </w:r>
      <w:r w:rsidR="00B02877">
        <w:t xml:space="preserve"> </w:t>
      </w:r>
      <w:r w:rsidR="00594381">
        <w:t xml:space="preserve">It follows that, at times, </w:t>
      </w:r>
      <w:r w:rsidR="00B02877" w:rsidRPr="00942225">
        <w:t xml:space="preserve">it may be just and </w:t>
      </w:r>
      <w:r w:rsidR="00B02877">
        <w:t>equitable</w:t>
      </w:r>
      <w:r w:rsidR="00B02877" w:rsidRPr="00942225">
        <w:t xml:space="preserve"> to award costs on a punitive scale, not just to punish vexatious litigation, but also to assist the successful litigant in recouping their often substantial expenses</w:t>
      </w:r>
      <w:r w:rsidR="0073721F">
        <w:t>.</w:t>
      </w:r>
      <w:r w:rsidR="00594381">
        <w:rPr>
          <w:rStyle w:val="FootnoteReference"/>
        </w:rPr>
        <w:footnoteReference w:id="15"/>
      </w:r>
    </w:p>
    <w:p w14:paraId="5D0F9967" w14:textId="77777777" w:rsidR="00B02877" w:rsidRPr="00B02877" w:rsidRDefault="00B02877" w:rsidP="00B02877">
      <w:pPr>
        <w:pStyle w:val="JUDGMENTCONTINUED"/>
      </w:pPr>
    </w:p>
    <w:p w14:paraId="25795876" w14:textId="5DAFF248" w:rsidR="00064E37" w:rsidRDefault="00F57A49" w:rsidP="00F57A49">
      <w:pPr>
        <w:pStyle w:val="JUDGMENTNUMBERED"/>
        <w:numPr>
          <w:ilvl w:val="0"/>
          <w:numId w:val="0"/>
        </w:numPr>
        <w:rPr>
          <w:i/>
        </w:rPr>
      </w:pPr>
      <w:r>
        <w:rPr>
          <w:color w:val="000000"/>
        </w:rPr>
        <w:t>[21]</w:t>
      </w:r>
      <w:r>
        <w:rPr>
          <w:color w:val="000000"/>
        </w:rPr>
        <w:tab/>
      </w:r>
      <w:r w:rsidR="000621E2">
        <w:t xml:space="preserve">Generally speaking, punitive costs orders are not frequently made, and exceptional circumstances must exist before they are warranted.  </w:t>
      </w:r>
      <w:r w:rsidR="00064E37">
        <w:t xml:space="preserve">In </w:t>
      </w:r>
      <w:r w:rsidR="00064E37" w:rsidRPr="004B05FB">
        <w:rPr>
          <w:i/>
        </w:rPr>
        <w:t>SARB</w:t>
      </w:r>
      <w:r w:rsidR="00B02877">
        <w:rPr>
          <w:iCs/>
        </w:rPr>
        <w:t>,</w:t>
      </w:r>
      <w:r w:rsidR="00064E37">
        <w:rPr>
          <w:i/>
        </w:rPr>
        <w:t xml:space="preserve"> </w:t>
      </w:r>
      <w:r w:rsidR="00064E37">
        <w:t xml:space="preserve">this Court affirmed the following guiding principles </w:t>
      </w:r>
      <w:r w:rsidR="00B02877">
        <w:t>in relation to</w:t>
      </w:r>
      <w:r w:rsidR="00064E37">
        <w:t xml:space="preserve"> punitive costs, elucidated by the Labour Appeal Court in </w:t>
      </w:r>
      <w:r w:rsidR="00064E37" w:rsidRPr="004B05FB">
        <w:rPr>
          <w:i/>
        </w:rPr>
        <w:t xml:space="preserve">Plastic Converters Association of </w:t>
      </w:r>
      <w:r w:rsidR="001561A8">
        <w:rPr>
          <w:i/>
        </w:rPr>
        <w:t>SA</w:t>
      </w:r>
      <w:r w:rsidR="00064E37" w:rsidRPr="00415CF4">
        <w:t>:</w:t>
      </w:r>
      <w:bookmarkStart w:id="3" w:name="_Ref68727668"/>
      <w:r w:rsidR="00064E37" w:rsidRPr="00507C1B">
        <w:rPr>
          <w:rStyle w:val="FootnoteReference"/>
        </w:rPr>
        <w:footnoteReference w:id="16"/>
      </w:r>
      <w:bookmarkEnd w:id="3"/>
    </w:p>
    <w:p w14:paraId="3B436CC7" w14:textId="77777777" w:rsidR="00064E37" w:rsidRPr="00FD3329" w:rsidRDefault="00064E37" w:rsidP="00064E37">
      <w:pPr>
        <w:pStyle w:val="QUOTATION"/>
      </w:pPr>
    </w:p>
    <w:p w14:paraId="24B0D3D4" w14:textId="424C3140" w:rsidR="00064E37" w:rsidRDefault="001C0CF7" w:rsidP="00064E37">
      <w:pPr>
        <w:pStyle w:val="QUOTATION"/>
      </w:pPr>
      <w:r>
        <w:t>“</w:t>
      </w:r>
      <w:r w:rsidR="00415CF4">
        <w:t>Th</w:t>
      </w:r>
      <w:r w:rsidR="00064E37" w:rsidRPr="004B05FB">
        <w:t xml:space="preserve">e scale of attorney and client is an extraordinary one which should be reserved for cases where it can be found that a litigant conducted itself in a clear and indubitably vexatious and reprehensible </w:t>
      </w:r>
      <w:r w:rsidR="00415CF4">
        <w:t>manner</w:t>
      </w:r>
      <w:r w:rsidR="00064E37" w:rsidRPr="004B05FB">
        <w:t xml:space="preserve">. </w:t>
      </w:r>
      <w:r w:rsidR="00064E37">
        <w:t xml:space="preserve"> </w:t>
      </w:r>
      <w:r w:rsidR="00064E37" w:rsidRPr="004B05FB">
        <w:t>Such an award is exceptional and is intended to be very punitive and indicative of extreme opprobrium.”</w:t>
      </w:r>
      <w:r w:rsidR="00B02877">
        <w:rPr>
          <w:rStyle w:val="FootnoteReference"/>
        </w:rPr>
        <w:footnoteReference w:id="17"/>
      </w:r>
    </w:p>
    <w:p w14:paraId="31396D51" w14:textId="77777777" w:rsidR="00064E37" w:rsidRPr="00FD3329" w:rsidRDefault="00064E37" w:rsidP="00064E37">
      <w:pPr>
        <w:pStyle w:val="JUDGMENTCONTINUED"/>
      </w:pPr>
    </w:p>
    <w:p w14:paraId="03238376" w14:textId="1C6EB204" w:rsidR="00064E37" w:rsidRPr="00055DF0" w:rsidRDefault="00F57A49" w:rsidP="00F57A49">
      <w:pPr>
        <w:pStyle w:val="JUDGMENTNUMBERED"/>
        <w:numPr>
          <w:ilvl w:val="0"/>
          <w:numId w:val="0"/>
        </w:numPr>
      </w:pPr>
      <w:r w:rsidRPr="00055DF0">
        <w:rPr>
          <w:color w:val="000000"/>
        </w:rPr>
        <w:t>[22]</w:t>
      </w:r>
      <w:r w:rsidRPr="00055DF0">
        <w:rPr>
          <w:color w:val="000000"/>
        </w:rPr>
        <w:tab/>
      </w:r>
      <w:r w:rsidR="00507C1B">
        <w:t>Although</w:t>
      </w:r>
      <w:r w:rsidR="00923CD0">
        <w:t xml:space="preserve"> they are </w:t>
      </w:r>
      <w:r w:rsidR="000A4FC4">
        <w:t>not a common form of costs, t</w:t>
      </w:r>
      <w:r w:rsidR="00064E37">
        <w:t>his Court’s</w:t>
      </w:r>
      <w:r w:rsidR="00594381">
        <w:t xml:space="preserve"> recent</w:t>
      </w:r>
      <w:r w:rsidR="00064E37">
        <w:t xml:space="preserve"> decision in </w:t>
      </w:r>
      <w:proofErr w:type="spellStart"/>
      <w:r w:rsidR="00064E37" w:rsidRPr="00055DF0">
        <w:rPr>
          <w:i/>
        </w:rPr>
        <w:t>Tjiroze</w:t>
      </w:r>
      <w:proofErr w:type="spellEnd"/>
      <w:r w:rsidR="00594381" w:rsidRPr="00D01D2A">
        <w:rPr>
          <w:rStyle w:val="FootnoteReference"/>
        </w:rPr>
        <w:footnoteReference w:id="18"/>
      </w:r>
      <w:r w:rsidR="00064E37">
        <w:t xml:space="preserve"> is </w:t>
      </w:r>
      <w:r w:rsidR="00923CD0">
        <w:t xml:space="preserve">particularly </w:t>
      </w:r>
      <w:r w:rsidR="00064E37">
        <w:t xml:space="preserve">instructive on </w:t>
      </w:r>
      <w:r w:rsidR="00594381">
        <w:t>the subject of punitive costs</w:t>
      </w:r>
      <w:r w:rsidR="00064E37">
        <w:t xml:space="preserve">.  This matter involved </w:t>
      </w:r>
      <w:r w:rsidR="00594381">
        <w:lastRenderedPageBreak/>
        <w:t>an applicant</w:t>
      </w:r>
      <w:r w:rsidR="00415CF4">
        <w:t xml:space="preserve">, Mr </w:t>
      </w:r>
      <w:proofErr w:type="spellStart"/>
      <w:r w:rsidR="00415CF4">
        <w:t>Tjiroze</w:t>
      </w:r>
      <w:proofErr w:type="spellEnd"/>
      <w:r w:rsidR="00415CF4">
        <w:t>,</w:t>
      </w:r>
      <w:r w:rsidR="00594381">
        <w:t xml:space="preserve"> who</w:t>
      </w:r>
      <w:r w:rsidR="00537819">
        <w:t xml:space="preserve"> </w:t>
      </w:r>
      <w:r w:rsidR="00064E37">
        <w:t>frivolous</w:t>
      </w:r>
      <w:r w:rsidR="00594381">
        <w:t>ly</w:t>
      </w:r>
      <w:r w:rsidR="00064E37">
        <w:t xml:space="preserve"> abuse</w:t>
      </w:r>
      <w:r w:rsidR="00594381">
        <w:t>d</w:t>
      </w:r>
      <w:r w:rsidR="00064E37">
        <w:t xml:space="preserve"> court processes</w:t>
      </w:r>
      <w:r w:rsidR="00594381">
        <w:t xml:space="preserve"> and </w:t>
      </w:r>
      <w:r w:rsidR="00080FA7">
        <w:t>defamed a member</w:t>
      </w:r>
      <w:r w:rsidR="00682330">
        <w:t xml:space="preserve"> of the J</w:t>
      </w:r>
      <w:r w:rsidR="00064E37">
        <w:t>udiciary</w:t>
      </w:r>
      <w:r w:rsidR="0073721F">
        <w:t>.</w:t>
      </w:r>
      <w:r w:rsidR="00594381">
        <w:rPr>
          <w:rStyle w:val="FootnoteReference"/>
        </w:rPr>
        <w:footnoteReference w:id="19"/>
      </w:r>
      <w:r w:rsidR="003A45AB">
        <w:t xml:space="preserve"> </w:t>
      </w:r>
      <w:r w:rsidR="00594381">
        <w:t xml:space="preserve"> </w:t>
      </w:r>
      <w:r w:rsidR="003A45AB">
        <w:t>T</w:t>
      </w:r>
      <w:r w:rsidR="00594381">
        <w:t xml:space="preserve">his Court observed that </w:t>
      </w:r>
      <w:r w:rsidR="001642F9">
        <w:t xml:space="preserve">Mr </w:t>
      </w:r>
      <w:proofErr w:type="spellStart"/>
      <w:r w:rsidR="001642F9">
        <w:t>Tjiroze</w:t>
      </w:r>
      <w:proofErr w:type="spellEnd"/>
      <w:r w:rsidR="00064E37">
        <w:t>, as a legal professional, ought to</w:t>
      </w:r>
      <w:r w:rsidR="00064E37" w:rsidRPr="007544BA">
        <w:t xml:space="preserve"> </w:t>
      </w:r>
      <w:r w:rsidR="00064E37">
        <w:t>have understood the impact and weight of hi</w:t>
      </w:r>
      <w:r w:rsidR="00B735E5">
        <w:t>s defamatory remarks against a Judicial O</w:t>
      </w:r>
      <w:r w:rsidR="00064E37">
        <w:t>fficer</w:t>
      </w:r>
      <w:r w:rsidR="00537819">
        <w:t>,</w:t>
      </w:r>
      <w:r w:rsidR="001642F9">
        <w:rPr>
          <w:rStyle w:val="FootnoteReference"/>
        </w:rPr>
        <w:footnoteReference w:id="20"/>
      </w:r>
      <w:r w:rsidR="001642F9">
        <w:t xml:space="preserve"> and</w:t>
      </w:r>
      <w:r w:rsidR="00064E37">
        <w:t xml:space="preserve"> </w:t>
      </w:r>
      <w:r w:rsidR="001642F9">
        <w:t>i</w:t>
      </w:r>
      <w:r w:rsidR="00064E37">
        <w:t>t was the cumulative effect of these considerations that called for the award of punitive costs</w:t>
      </w:r>
      <w:r w:rsidR="001642F9">
        <w:t xml:space="preserve"> in that matter.</w:t>
      </w:r>
      <w:r w:rsidR="001642F9">
        <w:rPr>
          <w:rStyle w:val="FootnoteReference"/>
        </w:rPr>
        <w:footnoteReference w:id="21"/>
      </w:r>
    </w:p>
    <w:p w14:paraId="047700D7" w14:textId="77777777" w:rsidR="00064E37" w:rsidRDefault="00064E37" w:rsidP="00064E37">
      <w:pPr>
        <w:pStyle w:val="JUDGMENTCONTINUED"/>
      </w:pPr>
    </w:p>
    <w:p w14:paraId="50164AE1" w14:textId="01A119FD" w:rsidR="00064E37" w:rsidRDefault="00F57A49" w:rsidP="00F57A49">
      <w:pPr>
        <w:pStyle w:val="JUDGMENTNUMBERED"/>
        <w:numPr>
          <w:ilvl w:val="0"/>
          <w:numId w:val="0"/>
        </w:numPr>
      </w:pPr>
      <w:r>
        <w:rPr>
          <w:color w:val="000000"/>
        </w:rPr>
        <w:t>[23]</w:t>
      </w:r>
      <w:r>
        <w:rPr>
          <w:color w:val="000000"/>
        </w:rPr>
        <w:tab/>
      </w:r>
      <w:r w:rsidR="001642F9">
        <w:t xml:space="preserve">Notwithstanding the factual differences between </w:t>
      </w:r>
      <w:proofErr w:type="spellStart"/>
      <w:r w:rsidR="001642F9">
        <w:rPr>
          <w:i/>
          <w:iCs/>
        </w:rPr>
        <w:t>Tjiroze</w:t>
      </w:r>
      <w:proofErr w:type="spellEnd"/>
      <w:r w:rsidR="001642F9">
        <w:rPr>
          <w:i/>
          <w:iCs/>
        </w:rPr>
        <w:t xml:space="preserve"> </w:t>
      </w:r>
      <w:r w:rsidR="001642F9">
        <w:t>and this matter, like Mr</w:t>
      </w:r>
      <w:r w:rsidR="00544918">
        <w:t> </w:t>
      </w:r>
      <w:proofErr w:type="spellStart"/>
      <w:r w:rsidR="001642F9">
        <w:t>Tjiroze</w:t>
      </w:r>
      <w:proofErr w:type="spellEnd"/>
      <w:r w:rsidR="001642F9">
        <w:t>,</w:t>
      </w:r>
      <w:r w:rsidR="00064E37">
        <w:t xml:space="preserve"> </w:t>
      </w:r>
      <w:r w:rsidR="001642F9">
        <w:t>the applicants</w:t>
      </w:r>
      <w:r w:rsidR="003A45AB">
        <w:t xml:space="preserve"> have not approached this Court with clean</w:t>
      </w:r>
      <w:r w:rsidR="00064E37">
        <w:t xml:space="preserve"> hands.  </w:t>
      </w:r>
      <w:r w:rsidR="001642F9">
        <w:t>They</w:t>
      </w:r>
      <w:r w:rsidR="00064E37">
        <w:t xml:space="preserve"> have </w:t>
      </w:r>
      <w:r w:rsidR="003245C6">
        <w:t xml:space="preserve">stubbornly </w:t>
      </w:r>
      <w:r w:rsidR="00064E37">
        <w:t xml:space="preserve">persisted with serious and unmeritorious allegations against </w:t>
      </w:r>
      <w:proofErr w:type="spellStart"/>
      <w:r w:rsidR="003245C6">
        <w:t>Roelofse</w:t>
      </w:r>
      <w:proofErr w:type="spellEnd"/>
      <w:r w:rsidR="003245C6">
        <w:t xml:space="preserve"> AJ</w:t>
      </w:r>
      <w:r w:rsidR="00064E37">
        <w:t xml:space="preserve"> and the Judge President</w:t>
      </w:r>
      <w:r w:rsidR="003245C6">
        <w:t>,</w:t>
      </w:r>
      <w:r w:rsidR="00064E37">
        <w:t xml:space="preserve"> despite the fact that these allegations </w:t>
      </w:r>
      <w:r w:rsidR="003245C6">
        <w:t>were</w:t>
      </w:r>
      <w:r w:rsidR="00064E37">
        <w:t xml:space="preserve"> categorically and formally addressed by the Judge President</w:t>
      </w:r>
      <w:r w:rsidR="003245C6">
        <w:t xml:space="preserve"> in </w:t>
      </w:r>
      <w:r w:rsidR="00415CF4">
        <w:t>a</w:t>
      </w:r>
      <w:r w:rsidR="003245C6">
        <w:t xml:space="preserve"> letter</w:t>
      </w:r>
      <w:r w:rsidR="00064E37">
        <w:t xml:space="preserve">, and have </w:t>
      </w:r>
      <w:r w:rsidR="00507C1B">
        <w:t>no</w:t>
      </w:r>
      <w:r w:rsidR="00064E37">
        <w:t xml:space="preserve"> factual basis.  </w:t>
      </w:r>
      <w:r w:rsidR="003245C6">
        <w:t>As alluded to earlier</w:t>
      </w:r>
      <w:r w:rsidR="00064E37">
        <w:t xml:space="preserve">, </w:t>
      </w:r>
      <w:r w:rsidR="003245C6">
        <w:t xml:space="preserve">the fact that </w:t>
      </w:r>
      <w:r w:rsidR="00064E37">
        <w:t>these allegations form a major basis of the application for leave to appeal</w:t>
      </w:r>
      <w:r w:rsidR="003245C6">
        <w:t xml:space="preserve"> to this Court renders this approach all the more reprehensible</w:t>
      </w:r>
      <w:r w:rsidR="00064E37">
        <w:t>.</w:t>
      </w:r>
      <w:r w:rsidR="003245C6">
        <w:t xml:space="preserve">  I shall explain why.</w:t>
      </w:r>
      <w:r w:rsidR="00064E37">
        <w:t xml:space="preserve">  </w:t>
      </w:r>
      <w:r w:rsidR="003245C6">
        <w:t>T</w:t>
      </w:r>
      <w:r w:rsidR="00064E37">
        <w:t xml:space="preserve">he </w:t>
      </w:r>
      <w:r w:rsidR="003245C6">
        <w:t xml:space="preserve">applicants, in full knowledge of the Supreme Court of Appeal’s dismissal of their application, as well as the letter sent by the Judge President, chose to sail a sinking ship </w:t>
      </w:r>
      <w:r w:rsidR="005040B2">
        <w:t xml:space="preserve">into deeper litigious waters, and </w:t>
      </w:r>
      <w:r w:rsidR="003A45AB">
        <w:t>in the process</w:t>
      </w:r>
      <w:r w:rsidR="005040B2">
        <w:t xml:space="preserve"> </w:t>
      </w:r>
      <w:r w:rsidR="00064E37">
        <w:t>rel</w:t>
      </w:r>
      <w:r w:rsidR="005040B2">
        <w:t>ied</w:t>
      </w:r>
      <w:r w:rsidR="00064E37">
        <w:t xml:space="preserve"> </w:t>
      </w:r>
      <w:r w:rsidR="005040B2">
        <w:t xml:space="preserve">heavily </w:t>
      </w:r>
      <w:r w:rsidR="00064E37">
        <w:t xml:space="preserve">on </w:t>
      </w:r>
      <w:r w:rsidR="003245C6">
        <w:t>these</w:t>
      </w:r>
      <w:r w:rsidR="00064E37">
        <w:t xml:space="preserve"> unsubstantiated </w:t>
      </w:r>
      <w:r w:rsidR="005040B2">
        <w:t xml:space="preserve">and scandalous </w:t>
      </w:r>
      <w:r w:rsidR="00064E37">
        <w:t>accusations</w:t>
      </w:r>
      <w:r w:rsidR="00507C1B">
        <w:t xml:space="preserve"> as the rudder</w:t>
      </w:r>
      <w:r w:rsidR="003245C6">
        <w:t xml:space="preserve">.  </w:t>
      </w:r>
      <w:r w:rsidR="00380991">
        <w:t>This</w:t>
      </w:r>
      <w:r w:rsidR="005040B2">
        <w:t xml:space="preserve"> conduct is, at a minimum,</w:t>
      </w:r>
      <w:r w:rsidR="00064E37">
        <w:t xml:space="preserve"> vexatious and prejudicial to the respondents who find themselves, once again, having to foot the bill for necessitated legal responses on issues that, quite frankly, have no place in this Court.</w:t>
      </w:r>
    </w:p>
    <w:p w14:paraId="3EB6D3A0" w14:textId="77777777" w:rsidR="005040B2" w:rsidRPr="005040B2" w:rsidRDefault="005040B2" w:rsidP="005040B2">
      <w:pPr>
        <w:pStyle w:val="JUDGMENTCONTINUED"/>
      </w:pPr>
    </w:p>
    <w:p w14:paraId="024383B1" w14:textId="4FD0357F" w:rsidR="00064E37" w:rsidRPr="00FD3329" w:rsidRDefault="00F57A49" w:rsidP="00F57A49">
      <w:pPr>
        <w:pStyle w:val="JUDGMENTNUMBERED"/>
        <w:numPr>
          <w:ilvl w:val="0"/>
          <w:numId w:val="0"/>
        </w:numPr>
      </w:pPr>
      <w:r w:rsidRPr="00FD3329">
        <w:rPr>
          <w:color w:val="000000"/>
        </w:rPr>
        <w:t>[24]</w:t>
      </w:r>
      <w:r w:rsidRPr="00FD3329">
        <w:rPr>
          <w:color w:val="000000"/>
        </w:rPr>
        <w:tab/>
      </w:r>
      <w:r w:rsidR="005040B2">
        <w:t xml:space="preserve">At this point, I must also confess my disappointment </w:t>
      </w:r>
      <w:r w:rsidR="003A45AB">
        <w:t>in</w:t>
      </w:r>
      <w:r w:rsidR="005040B2">
        <w:t xml:space="preserve"> the applicants</w:t>
      </w:r>
      <w:r w:rsidR="003A45AB">
        <w:t xml:space="preserve">’ </w:t>
      </w:r>
      <w:r w:rsidR="00AA0F8C">
        <w:t>fai</w:t>
      </w:r>
      <w:r w:rsidR="003A45AB">
        <w:t>lure</w:t>
      </w:r>
      <w:r w:rsidR="00AA0F8C">
        <w:t xml:space="preserve"> </w:t>
      </w:r>
      <w:r w:rsidR="005040B2">
        <w:t>to make any reference to</w:t>
      </w:r>
      <w:r w:rsidR="00064E37">
        <w:t xml:space="preserve"> </w:t>
      </w:r>
      <w:r w:rsidR="00354856">
        <w:t>the letter</w:t>
      </w:r>
      <w:r w:rsidR="005040B2">
        <w:t xml:space="preserve"> </w:t>
      </w:r>
      <w:r w:rsidR="00143464">
        <w:t>that</w:t>
      </w:r>
      <w:r w:rsidR="005040B2">
        <w:t xml:space="preserve"> the Judge President </w:t>
      </w:r>
      <w:r w:rsidR="00354856">
        <w:t xml:space="preserve">provided in response to </w:t>
      </w:r>
      <w:r w:rsidR="00AA0F8C">
        <w:t xml:space="preserve">their </w:t>
      </w:r>
      <w:r w:rsidR="005040B2">
        <w:t>accusations</w:t>
      </w:r>
      <w:r w:rsidR="00064E37">
        <w:t>.</w:t>
      </w:r>
      <w:r w:rsidR="005040B2">
        <w:t xml:space="preserve">  </w:t>
      </w:r>
      <w:r w:rsidR="00354856">
        <w:t>As a starting point, there is absolutely nothing controversial about the impugned part of</w:t>
      </w:r>
      <w:r w:rsidR="005040B2">
        <w:t xml:space="preserve"> </w:t>
      </w:r>
      <w:proofErr w:type="spellStart"/>
      <w:r w:rsidR="005040B2">
        <w:t>Roelofse</w:t>
      </w:r>
      <w:proofErr w:type="spellEnd"/>
      <w:r w:rsidR="005040B2">
        <w:t xml:space="preserve"> AJ’s judgment</w:t>
      </w:r>
      <w:r w:rsidR="00354856">
        <w:t xml:space="preserve">.  And when it is considered </w:t>
      </w:r>
      <w:r w:rsidR="00143464">
        <w:t>in conjunction with the letter, there is little room for any genuine or logical belief that any untoward and improper conduct was perpet</w:t>
      </w:r>
      <w:r w:rsidR="00080FA7">
        <w:t>r</w:t>
      </w:r>
      <w:r w:rsidR="00143464">
        <w:t xml:space="preserve">ated by the learned </w:t>
      </w:r>
      <w:r w:rsidR="00D57120">
        <w:t>J</w:t>
      </w:r>
      <w:r w:rsidR="00143464">
        <w:t>udges in the High Court.</w:t>
      </w:r>
      <w:r w:rsidR="00080FA7">
        <w:t xml:space="preserve">  </w:t>
      </w:r>
      <w:r w:rsidR="00080FA7" w:rsidRPr="00080FA7">
        <w:t xml:space="preserve">For good reason, the common practice is to grant Anton </w:t>
      </w:r>
      <w:proofErr w:type="spellStart"/>
      <w:r w:rsidR="00080FA7" w:rsidRPr="00080FA7">
        <w:t>Piller</w:t>
      </w:r>
      <w:proofErr w:type="spellEnd"/>
      <w:r w:rsidR="00080FA7" w:rsidRPr="00080FA7">
        <w:t xml:space="preserve"> orders </w:t>
      </w:r>
      <w:r w:rsidR="00080FA7" w:rsidRPr="005762B1">
        <w:rPr>
          <w:i/>
        </w:rPr>
        <w:t>in camera</w:t>
      </w:r>
      <w:r w:rsidR="00080FA7" w:rsidRPr="00080FA7">
        <w:t xml:space="preserve">.  If given </w:t>
      </w:r>
      <w:r w:rsidR="00080FA7" w:rsidRPr="00080FA7">
        <w:lastRenderedPageBreak/>
        <w:t xml:space="preserve">notice, the party against whom the order is sought may very well defeat the object of the order by causing the required documentation </w:t>
      </w:r>
      <w:r w:rsidR="00080FA7">
        <w:t>or other material to disappear.</w:t>
      </w:r>
      <w:r w:rsidR="00143464">
        <w:t xml:space="preserve">  </w:t>
      </w:r>
      <w:r w:rsidR="00354856">
        <w:t>The</w:t>
      </w:r>
      <w:r w:rsidR="001263B3">
        <w:t xml:space="preserve"> </w:t>
      </w:r>
      <w:r w:rsidR="00354856">
        <w:t xml:space="preserve">only </w:t>
      </w:r>
      <w:r w:rsidR="00143464">
        <w:t>possible</w:t>
      </w:r>
      <w:r w:rsidR="00354856">
        <w:t xml:space="preserve"> conclusion that follows is that, in </w:t>
      </w:r>
      <w:r w:rsidR="00143464">
        <w:t>persisting with</w:t>
      </w:r>
      <w:r w:rsidR="00080FA7">
        <w:t xml:space="preserve"> their</w:t>
      </w:r>
      <w:r w:rsidR="00354856">
        <w:t xml:space="preserve"> </w:t>
      </w:r>
      <w:r w:rsidR="00AA0F8C">
        <w:t>accusations</w:t>
      </w:r>
      <w:r w:rsidR="00354856">
        <w:t xml:space="preserve">, the applicants are either being wilfully ignorant of </w:t>
      </w:r>
      <w:r w:rsidR="002E2270">
        <w:t>this practice and its objects</w:t>
      </w:r>
      <w:r w:rsidR="00354856">
        <w:t>, or they are attempting to turn a sow’s ear into a silk purse.</w:t>
      </w:r>
      <w:r w:rsidR="00AA0F8C">
        <w:t xml:space="preserve">  Even in their written submissions, the applicants unapologetically persisted with these accusations in flagrant </w:t>
      </w:r>
      <w:r w:rsidR="002E2270">
        <w:t>disregard</w:t>
      </w:r>
      <w:r w:rsidR="00AA0F8C">
        <w:t xml:space="preserve"> of the facts.</w:t>
      </w:r>
      <w:r w:rsidR="00354856">
        <w:t xml:space="preserve">  </w:t>
      </w:r>
      <w:r w:rsidR="00143464">
        <w:t>Aside from the prejudice caused to the respondents by this frivolous exercise, t</w:t>
      </w:r>
      <w:r w:rsidR="00064E37">
        <w:t>his is tantamount to an attempt to mislead this Court</w:t>
      </w:r>
      <w:r w:rsidR="00143464">
        <w:t xml:space="preserve"> by omitting relevant facts and tailoring others to fit an argument that simply cannot pass muster</w:t>
      </w:r>
      <w:r w:rsidR="00064E37">
        <w:t>.  On numerous occasions this Court has considered it appropriate to punish attempts at misleading the court with a punitive costs order</w:t>
      </w:r>
      <w:r w:rsidR="005F1F11">
        <w:t>.</w:t>
      </w:r>
      <w:r w:rsidR="00143464">
        <w:rPr>
          <w:rStyle w:val="FootnoteReference"/>
        </w:rPr>
        <w:footnoteReference w:id="22"/>
      </w:r>
    </w:p>
    <w:p w14:paraId="731FD618" w14:textId="77777777" w:rsidR="00064E37" w:rsidRDefault="00064E37" w:rsidP="00064E37">
      <w:pPr>
        <w:pStyle w:val="JUDGMENTCONTINUED"/>
      </w:pPr>
    </w:p>
    <w:p w14:paraId="1411B81A" w14:textId="28F16584" w:rsidR="001C66E0" w:rsidRDefault="00F57A49" w:rsidP="00F57A49">
      <w:pPr>
        <w:pStyle w:val="JUDGMENTNUMBERED"/>
        <w:numPr>
          <w:ilvl w:val="0"/>
          <w:numId w:val="0"/>
        </w:numPr>
      </w:pPr>
      <w:r>
        <w:rPr>
          <w:color w:val="000000"/>
        </w:rPr>
        <w:t>[25]</w:t>
      </w:r>
      <w:r>
        <w:rPr>
          <w:color w:val="000000"/>
        </w:rPr>
        <w:tab/>
      </w:r>
      <w:r w:rsidR="00AA0F8C">
        <w:t>What is particularly troublesome is</w:t>
      </w:r>
      <w:r w:rsidR="00817799">
        <w:t xml:space="preserve"> the ease with which the applicants approached this Court</w:t>
      </w:r>
      <w:r w:rsidR="00AA0F8C">
        <w:t xml:space="preserve">, callously defaming </w:t>
      </w:r>
      <w:r w:rsidR="001445C4">
        <w:t>other members of the Judiciary to justify their cause.  Of course, courts and their members are by no means immune from public criticism and accountability to those they serve.</w:t>
      </w:r>
      <w:r w:rsidR="001445C4">
        <w:rPr>
          <w:rStyle w:val="FootnoteReference"/>
        </w:rPr>
        <w:footnoteReference w:id="23"/>
      </w:r>
      <w:r w:rsidR="001445C4">
        <w:t xml:space="preserve">  However, that does not mean that it is open to a litigant to </w:t>
      </w:r>
      <w:r w:rsidR="002E4834">
        <w:t xml:space="preserve">level </w:t>
      </w:r>
      <w:r w:rsidR="002E2270">
        <w:t xml:space="preserve">unfounded and </w:t>
      </w:r>
      <w:r w:rsidR="002E4834">
        <w:t>scurrilous atta</w:t>
      </w:r>
      <w:r w:rsidR="00B735E5">
        <w:t>cks against J</w:t>
      </w:r>
      <w:r w:rsidR="002E4834">
        <w:t xml:space="preserve">udicial </w:t>
      </w:r>
      <w:r w:rsidR="00B735E5">
        <w:t>O</w:t>
      </w:r>
      <w:r w:rsidR="002E4834">
        <w:t>fficers to further their own ends.</w:t>
      </w:r>
    </w:p>
    <w:p w14:paraId="06BF5171" w14:textId="77777777" w:rsidR="001C66E0" w:rsidRPr="001C66E0" w:rsidRDefault="001C66E0" w:rsidP="001C66E0">
      <w:pPr>
        <w:pStyle w:val="JUDGMENTCONTINUED"/>
      </w:pPr>
    </w:p>
    <w:p w14:paraId="2F9AD742" w14:textId="36279E51" w:rsidR="0036584A" w:rsidRDefault="00F57A49" w:rsidP="00F57A49">
      <w:pPr>
        <w:pStyle w:val="JUDGMENTNUMBERED"/>
        <w:numPr>
          <w:ilvl w:val="0"/>
          <w:numId w:val="0"/>
        </w:numPr>
      </w:pPr>
      <w:r>
        <w:rPr>
          <w:color w:val="000000"/>
        </w:rPr>
        <w:t>[26]</w:t>
      </w:r>
      <w:r>
        <w:rPr>
          <w:color w:val="000000"/>
        </w:rPr>
        <w:tab/>
      </w:r>
      <w:r w:rsidR="002E4834">
        <w:t>This Court enjoys a sacrosanct power and privilege to uphold the law in furtherance of the constitutional project.  Th</w:t>
      </w:r>
      <w:r w:rsidR="00454412">
        <w:t>us, the importance of this Court’s work, and the limited judicial resources that it expends in the process,</w:t>
      </w:r>
      <w:r w:rsidR="002E4834">
        <w:t xml:space="preserve"> ought not to be taken for granted, and it is incumbent upon a litigant to approach this Court with a bona fide, genuine case.  It will not do for litigants to resort to </w:t>
      </w:r>
      <w:r w:rsidR="00682330">
        <w:t>unscrupulous</w:t>
      </w:r>
      <w:r w:rsidR="002E4834">
        <w:t xml:space="preserve"> tactics to succeed in this Court, especially when such tactics involve unjustifiable attempts at bringing shame and disrepute upon </w:t>
      </w:r>
      <w:r w:rsidR="00B735E5">
        <w:t>J</w:t>
      </w:r>
      <w:r w:rsidR="002E4834">
        <w:t xml:space="preserve">udicial </w:t>
      </w:r>
      <w:r w:rsidR="00B735E5">
        <w:t>O</w:t>
      </w:r>
      <w:r w:rsidR="002E4834">
        <w:t xml:space="preserve">fficers.  </w:t>
      </w:r>
      <w:r w:rsidR="001C66E0">
        <w:t>This is because the Judiciary, unlike other branches of government, must rely solely on the trust and support of the public i</w:t>
      </w:r>
      <w:r w:rsidR="00682330">
        <w:t xml:space="preserve">n order </w:t>
      </w:r>
      <w:r w:rsidR="00682330">
        <w:lastRenderedPageBreak/>
        <w:t>to fulfil its functions.</w:t>
      </w:r>
      <w:r w:rsidR="001C66E0">
        <w:rPr>
          <w:rStyle w:val="FootnoteReference"/>
        </w:rPr>
        <w:footnoteReference w:id="24"/>
      </w:r>
      <w:r w:rsidR="001C66E0">
        <w:t xml:space="preserve"> </w:t>
      </w:r>
      <w:r w:rsidR="00682330">
        <w:t xml:space="preserve"> C</w:t>
      </w:r>
      <w:r w:rsidR="001C66E0">
        <w:t>onsequently, any conduct that undermine</w:t>
      </w:r>
      <w:r w:rsidR="0036584A">
        <w:t>s and erodes the authority and integrity of the Judiciary must be prevented.</w:t>
      </w:r>
      <w:r w:rsidR="0036584A">
        <w:rPr>
          <w:rStyle w:val="FootnoteReference"/>
        </w:rPr>
        <w:footnoteReference w:id="25"/>
      </w:r>
      <w:r w:rsidR="001C66E0">
        <w:t xml:space="preserve">  </w:t>
      </w:r>
      <w:r w:rsidR="002E2270">
        <w:t>L</w:t>
      </w:r>
      <w:r w:rsidR="00820119">
        <w:t xml:space="preserve">itigants who </w:t>
      </w:r>
      <w:r w:rsidR="00380991">
        <w:t>resort to the</w:t>
      </w:r>
      <w:r w:rsidR="002D39D1">
        <w:t xml:space="preserve"> kind of</w:t>
      </w:r>
      <w:r w:rsidR="00820119">
        <w:t xml:space="preserve"> tactics</w:t>
      </w:r>
      <w:r w:rsidR="00380991">
        <w:t xml:space="preserve"> displayed in this matter</w:t>
      </w:r>
      <w:r w:rsidR="00820119">
        <w:t xml:space="preserve"> must beware that they are unlikely to </w:t>
      </w:r>
      <w:r w:rsidR="00AF422F">
        <w:t xml:space="preserve">enjoy this Court’s sympathies or </w:t>
      </w:r>
      <w:r w:rsidR="00820119">
        <w:t>be shown mercy in relation to costs.</w:t>
      </w:r>
      <w:r w:rsidR="00454412" w:rsidRPr="00454412">
        <w:t xml:space="preserve"> </w:t>
      </w:r>
      <w:r w:rsidR="00454412">
        <w:t xml:space="preserve"> The only reasonable conclusion in the circumstances is that a punitive costs order is apposite.</w:t>
      </w:r>
    </w:p>
    <w:p w14:paraId="69A2DFF0" w14:textId="77777777" w:rsidR="0036584A" w:rsidRPr="0036584A" w:rsidRDefault="0036584A" w:rsidP="0036584A">
      <w:pPr>
        <w:pStyle w:val="JUDGMENTCONTINUED"/>
      </w:pPr>
    </w:p>
    <w:p w14:paraId="692AAE9B" w14:textId="613B2C84" w:rsidR="00064E37" w:rsidRDefault="00F57A49" w:rsidP="00F57A49">
      <w:pPr>
        <w:pStyle w:val="JUDGMENTNUMBERED"/>
        <w:numPr>
          <w:ilvl w:val="0"/>
          <w:numId w:val="0"/>
        </w:numPr>
      </w:pPr>
      <w:r>
        <w:rPr>
          <w:color w:val="000000"/>
        </w:rPr>
        <w:t>[27]</w:t>
      </w:r>
      <w:r>
        <w:rPr>
          <w:color w:val="000000"/>
        </w:rPr>
        <w:tab/>
      </w:r>
      <w:r w:rsidR="008550B3">
        <w:t xml:space="preserve">As a final remark, I note that this series of unfortunate events did not take place at the hands of a self-represented, desperate litigant.  The applicants </w:t>
      </w:r>
      <w:r w:rsidR="00AF422F">
        <w:t>benefitted from</w:t>
      </w:r>
      <w:r w:rsidR="008550B3">
        <w:t xml:space="preserve"> the representation of an impressive legal team, which included </w:t>
      </w:r>
      <w:r w:rsidR="00820119">
        <w:t xml:space="preserve">experienced </w:t>
      </w:r>
      <w:r w:rsidR="008550B3">
        <w:t xml:space="preserve">senior counsel.  They ought to have known better.  </w:t>
      </w:r>
      <w:r w:rsidR="00820119">
        <w:t>After all, w</w:t>
      </w:r>
      <w:r w:rsidR="00064E37">
        <w:t>hen a party “</w:t>
      </w:r>
      <w:r w:rsidR="00064E37" w:rsidRPr="00F912B9">
        <w:t>lowers</w:t>
      </w:r>
      <w:r w:rsidR="00064E37">
        <w:t xml:space="preserve"> its</w:t>
      </w:r>
      <w:r w:rsidR="00064E37" w:rsidRPr="00F912B9">
        <w:t xml:space="preserve"> ethical and professional standard</w:t>
      </w:r>
      <w:r w:rsidR="00064E37">
        <w:t>s</w:t>
      </w:r>
      <w:r w:rsidR="00064E37" w:rsidRPr="00F912B9">
        <w:t xml:space="preserve"> in pursuit of a cause</w:t>
      </w:r>
      <w:r w:rsidR="00064E37">
        <w:t>”, it is natural that punitive costs must follow</w:t>
      </w:r>
      <w:r w:rsidR="003004C0">
        <w:t>.</w:t>
      </w:r>
      <w:r w:rsidR="008550B3">
        <w:rPr>
          <w:rStyle w:val="FootnoteReference"/>
        </w:rPr>
        <w:footnoteReference w:id="26"/>
      </w:r>
    </w:p>
    <w:p w14:paraId="4649BA4B" w14:textId="157C9AC7" w:rsidR="00820119" w:rsidRDefault="00820119" w:rsidP="00820119">
      <w:pPr>
        <w:pStyle w:val="JUDGMENTCONTINUED"/>
      </w:pPr>
    </w:p>
    <w:p w14:paraId="684A7B5D" w14:textId="25A5D1E6" w:rsidR="00820119" w:rsidRDefault="00820119" w:rsidP="00820119">
      <w:pPr>
        <w:pStyle w:val="HEADING"/>
      </w:pPr>
      <w:r>
        <w:t>Order</w:t>
      </w:r>
    </w:p>
    <w:p w14:paraId="657237DF" w14:textId="56ADCB09" w:rsidR="00820119" w:rsidRPr="00820119" w:rsidRDefault="00F57A49" w:rsidP="00F57A49">
      <w:pPr>
        <w:pStyle w:val="JUDGMENTNUMBERED"/>
        <w:numPr>
          <w:ilvl w:val="0"/>
          <w:numId w:val="0"/>
        </w:numPr>
      </w:pPr>
      <w:r w:rsidRPr="00820119">
        <w:rPr>
          <w:color w:val="000000"/>
        </w:rPr>
        <w:t>[28]</w:t>
      </w:r>
      <w:r w:rsidRPr="00820119">
        <w:rPr>
          <w:color w:val="000000"/>
        </w:rPr>
        <w:tab/>
      </w:r>
      <w:r w:rsidR="00820119">
        <w:t>The following order is made:</w:t>
      </w:r>
    </w:p>
    <w:p w14:paraId="6CAC7F5F" w14:textId="407B5662" w:rsidR="00820119" w:rsidRDefault="00F57A49" w:rsidP="00F57A49">
      <w:pPr>
        <w:pStyle w:val="ORDER"/>
      </w:pPr>
      <w:r>
        <w:t>1.</w:t>
      </w:r>
      <w:r>
        <w:tab/>
      </w:r>
      <w:r w:rsidR="00820119">
        <w:t>Leave to appeal is refused.</w:t>
      </w:r>
    </w:p>
    <w:p w14:paraId="309F444B" w14:textId="4C24F297" w:rsidR="00820119" w:rsidRDefault="00F57A49" w:rsidP="00F57A49">
      <w:pPr>
        <w:pStyle w:val="ORDER"/>
      </w:pPr>
      <w:r>
        <w:t>2.</w:t>
      </w:r>
      <w:r>
        <w:tab/>
      </w:r>
      <w:r w:rsidR="00820119">
        <w:t xml:space="preserve">The applicants </w:t>
      </w:r>
      <w:r w:rsidR="00031FE5">
        <w:t>must</w:t>
      </w:r>
      <w:r w:rsidR="00820119">
        <w:t xml:space="preserve"> pay the costs of the first and second respondents in this Court on an attorney </w:t>
      </w:r>
      <w:r w:rsidR="00682330">
        <w:t xml:space="preserve">and </w:t>
      </w:r>
      <w:r w:rsidR="00820119">
        <w:t>client scale.</w:t>
      </w:r>
    </w:p>
    <w:p w14:paraId="49BC2A54" w14:textId="77777777" w:rsidR="00B74C76" w:rsidRPr="00B74C76" w:rsidRDefault="00B74C76" w:rsidP="00820119">
      <w:pPr>
        <w:pStyle w:val="ORDER"/>
      </w:pPr>
    </w:p>
    <w:p w14:paraId="70DE3A6D" w14:textId="77777777" w:rsidR="00CE5F9F" w:rsidRDefault="00CE5F9F" w:rsidP="000C38CF">
      <w:pPr>
        <w:pStyle w:val="JUDGMENTCONTINUED"/>
      </w:pPr>
    </w:p>
    <w:p w14:paraId="18746807" w14:textId="77777777" w:rsidR="00CE5F9F" w:rsidRPr="00CE5F9F" w:rsidRDefault="00CE5F9F" w:rsidP="000C38CF">
      <w:pPr>
        <w:pStyle w:val="JUDGMENTCONTINUED"/>
        <w:sectPr w:rsidR="00CE5F9F" w:rsidRPr="00CE5F9F" w:rsidSect="003D5D54">
          <w:headerReference w:type="default" r:id="rId11"/>
          <w:type w:val="continuous"/>
          <w:pgSz w:w="11907" w:h="16839" w:code="9"/>
          <w:pgMar w:top="1440" w:right="1440" w:bottom="1440" w:left="1440" w:header="708" w:footer="708" w:gutter="0"/>
          <w:pgNumType w:start="2"/>
          <w:cols w:space="708"/>
          <w:titlePg/>
          <w:docGrid w:linePitch="360"/>
        </w:sectPr>
      </w:pPr>
    </w:p>
    <w:p w14:paraId="44C794E8" w14:textId="145EAA85" w:rsidR="009860CD" w:rsidRDefault="009860CD">
      <w:pPr>
        <w:spacing w:line="240" w:lineRule="auto"/>
        <w:jc w:val="left"/>
        <w:rPr>
          <w:szCs w:val="26"/>
        </w:rPr>
      </w:pPr>
      <w:r>
        <w:lastRenderedPageBreak/>
        <w:br w:type="page"/>
      </w:r>
    </w:p>
    <w:p w14:paraId="674DA343" w14:textId="77777777" w:rsidR="009860CD" w:rsidRPr="009C3888" w:rsidRDefault="009860CD" w:rsidP="009860CD">
      <w:pPr>
        <w:sectPr w:rsidR="009860CD" w:rsidRPr="009C3888" w:rsidSect="009860CD">
          <w:headerReference w:type="default" r:id="rId12"/>
          <w:footerReference w:type="default" r:id="rId13"/>
          <w:type w:val="continuous"/>
          <w:pgSz w:w="11907" w:h="16839" w:code="9"/>
          <w:pgMar w:top="1440" w:right="1440" w:bottom="1440" w:left="1440" w:header="708" w:footer="708" w:gutter="0"/>
          <w:pgNumType w:start="1"/>
          <w:cols w:space="708"/>
          <w:docGrid w:linePitch="360"/>
        </w:sectPr>
      </w:pPr>
    </w:p>
    <w:p w14:paraId="287D2B71" w14:textId="41773305" w:rsidR="009860CD" w:rsidRPr="009C3888" w:rsidRDefault="009860CD" w:rsidP="009860CD">
      <w:pPr>
        <w:pStyle w:val="COUNSELDETAILS"/>
      </w:pPr>
      <w:r w:rsidRPr="009C3888">
        <w:lastRenderedPageBreak/>
        <w:t>For the Applicant</w:t>
      </w:r>
      <w:r>
        <w:t>s</w:t>
      </w:r>
      <w:r w:rsidRPr="009C3888">
        <w:t>:</w:t>
      </w:r>
    </w:p>
    <w:p w14:paraId="24219C44" w14:textId="60D925D9" w:rsidR="009860CD" w:rsidRPr="009C3888" w:rsidRDefault="009860CD" w:rsidP="009860CD">
      <w:pPr>
        <w:pStyle w:val="COUNSELDETAILS"/>
      </w:pPr>
    </w:p>
    <w:p w14:paraId="3874AF80" w14:textId="77777777" w:rsidR="009860CD" w:rsidRPr="009C3888" w:rsidRDefault="009860CD" w:rsidP="009860CD">
      <w:pPr>
        <w:pStyle w:val="COUNSELDETAILS"/>
      </w:pPr>
    </w:p>
    <w:p w14:paraId="6F7D9052" w14:textId="77777777" w:rsidR="009860CD" w:rsidRPr="009C3888" w:rsidRDefault="009860CD" w:rsidP="009860CD">
      <w:pPr>
        <w:pStyle w:val="COUNSELDETAILS"/>
      </w:pPr>
      <w:r w:rsidRPr="009C3888">
        <w:t>For the Respondents:</w:t>
      </w:r>
    </w:p>
    <w:p w14:paraId="3F169D4A" w14:textId="77777777" w:rsidR="009860CD" w:rsidRPr="009C3888" w:rsidRDefault="009860CD" w:rsidP="009860CD">
      <w:pPr>
        <w:pStyle w:val="COUNSELDETAILS"/>
      </w:pPr>
    </w:p>
    <w:p w14:paraId="619CF154" w14:textId="77777777" w:rsidR="009860CD" w:rsidRPr="009C3888" w:rsidRDefault="009860CD" w:rsidP="009860CD">
      <w:pPr>
        <w:pStyle w:val="COUNSELDETAILS"/>
      </w:pPr>
    </w:p>
    <w:p w14:paraId="0DAAE060" w14:textId="4F79D571" w:rsidR="009860CD" w:rsidRDefault="009860CD" w:rsidP="009860CD">
      <w:pPr>
        <w:pStyle w:val="COUNSELDETAILS"/>
      </w:pPr>
      <w:bookmarkStart w:id="4" w:name="_GoBack"/>
      <w:bookmarkEnd w:id="4"/>
      <w:r w:rsidRPr="009C3888">
        <w:br w:type="column"/>
      </w:r>
      <w:r>
        <w:lastRenderedPageBreak/>
        <w:t xml:space="preserve">W R </w:t>
      </w:r>
      <w:proofErr w:type="spellStart"/>
      <w:r>
        <w:t>Mokhare</w:t>
      </w:r>
      <w:proofErr w:type="spellEnd"/>
      <w:r w:rsidRPr="00B13510">
        <w:t xml:space="preserve"> SC</w:t>
      </w:r>
      <w:r w:rsidR="003D5D54">
        <w:t xml:space="preserve"> and</w:t>
      </w:r>
      <w:r>
        <w:t xml:space="preserve"> T S </w:t>
      </w:r>
      <w:proofErr w:type="spellStart"/>
      <w:r>
        <w:t>Ngwenya</w:t>
      </w:r>
      <w:proofErr w:type="spellEnd"/>
      <w:r>
        <w:t xml:space="preserve"> instructed by JF </w:t>
      </w:r>
      <w:proofErr w:type="spellStart"/>
      <w:r>
        <w:t>Shabangu</w:t>
      </w:r>
      <w:proofErr w:type="spellEnd"/>
      <w:r>
        <w:t xml:space="preserve"> Attorneys</w:t>
      </w:r>
    </w:p>
    <w:p w14:paraId="5979BBE9" w14:textId="77777777" w:rsidR="00DB0212" w:rsidRPr="009C3888" w:rsidRDefault="00DB0212" w:rsidP="009860CD">
      <w:pPr>
        <w:pStyle w:val="COUNSELDETAILS"/>
      </w:pPr>
    </w:p>
    <w:p w14:paraId="6F6E8D80" w14:textId="75BAA2D2" w:rsidR="009860CD" w:rsidRPr="009C3888" w:rsidRDefault="00DB0212" w:rsidP="009860CD">
      <w:pPr>
        <w:pStyle w:val="COUNSELDETAILS"/>
      </w:pPr>
      <w:r>
        <w:rPr>
          <w:bCs/>
        </w:rPr>
        <w:t>R Du Plessis</w:t>
      </w:r>
      <w:r w:rsidR="009860CD" w:rsidRPr="00AA24F4">
        <w:rPr>
          <w:bCs/>
        </w:rPr>
        <w:t xml:space="preserve"> SC</w:t>
      </w:r>
      <w:r w:rsidR="009860CD">
        <w:rPr>
          <w:bCs/>
        </w:rPr>
        <w:t xml:space="preserve"> instructed by </w:t>
      </w:r>
      <w:r w:rsidR="003D5D54">
        <w:rPr>
          <w:bCs/>
        </w:rPr>
        <w:t xml:space="preserve">Du </w:t>
      </w:r>
      <w:proofErr w:type="spellStart"/>
      <w:r w:rsidR="003D5D54">
        <w:rPr>
          <w:bCs/>
        </w:rPr>
        <w:t>Toit</w:t>
      </w:r>
      <w:proofErr w:type="spellEnd"/>
      <w:r w:rsidR="003D5D54">
        <w:rPr>
          <w:bCs/>
        </w:rPr>
        <w:noBreakHyphen/>
      </w:r>
      <w:r>
        <w:rPr>
          <w:bCs/>
        </w:rPr>
        <w:t>Smuts and Partners</w:t>
      </w:r>
    </w:p>
    <w:p w14:paraId="0EC06944" w14:textId="77777777" w:rsidR="00860C4E" w:rsidRPr="009C3888" w:rsidRDefault="00860C4E" w:rsidP="00CC158D">
      <w:pPr>
        <w:pStyle w:val="COUNSELDETAILS"/>
      </w:pPr>
    </w:p>
    <w:sectPr w:rsidR="00860C4E" w:rsidRPr="009C3888" w:rsidSect="009559B5">
      <w:headerReference w:type="default" r:id="rId14"/>
      <w:footerReference w:type="default" r:id="rId1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3411" w14:textId="77777777" w:rsidR="002515EF" w:rsidRDefault="002515EF" w:rsidP="00E4607C">
      <w:pPr>
        <w:spacing w:line="240" w:lineRule="auto"/>
      </w:pPr>
      <w:r>
        <w:separator/>
      </w:r>
    </w:p>
  </w:endnote>
  <w:endnote w:type="continuationSeparator" w:id="0">
    <w:p w14:paraId="3FFB4612" w14:textId="77777777" w:rsidR="002515EF" w:rsidRDefault="002515EF"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8AD3" w14:textId="69CAD12B" w:rsidR="00BE5E42" w:rsidRDefault="00BE5E42" w:rsidP="0087217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74F3" w14:textId="78BA3E7C" w:rsidR="00BE5E42" w:rsidRDefault="00BE5E42" w:rsidP="0087217E">
    <w:pPr>
      <w:pStyle w:val="Footer"/>
      <w:jc w:val="center"/>
    </w:pPr>
    <w:r>
      <w:fldChar w:fldCharType="begin"/>
    </w:r>
    <w:r>
      <w:instrText xml:space="preserve"> PAGE   \* MERGEFORMAT </w:instrText>
    </w:r>
    <w:r>
      <w:fldChar w:fldCharType="separate"/>
    </w:r>
    <w:r w:rsidR="00F57A49">
      <w:rPr>
        <w:noProof/>
      </w:rPr>
      <w:t>12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CE56" w14:textId="77777777" w:rsidR="00BE5E42" w:rsidRDefault="00BE5E42" w:rsidP="0087217E">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FA87" w14:textId="77777777" w:rsidR="00BE5E42" w:rsidRDefault="00BE5E42"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E80C" w14:textId="77777777" w:rsidR="002515EF" w:rsidRDefault="002515EF" w:rsidP="00E4607C">
      <w:pPr>
        <w:spacing w:line="240" w:lineRule="auto"/>
      </w:pPr>
      <w:r>
        <w:separator/>
      </w:r>
    </w:p>
  </w:footnote>
  <w:footnote w:type="continuationSeparator" w:id="0">
    <w:p w14:paraId="25DDC4C6" w14:textId="77777777" w:rsidR="002515EF" w:rsidRDefault="002515EF" w:rsidP="00E4607C">
      <w:pPr>
        <w:spacing w:line="240" w:lineRule="auto"/>
      </w:pPr>
      <w:r>
        <w:continuationSeparator/>
      </w:r>
    </w:p>
  </w:footnote>
  <w:footnote w:id="1">
    <w:p w14:paraId="5CB4B6A3" w14:textId="69D1CB9A" w:rsidR="00BE5E42" w:rsidRPr="004D10C8" w:rsidRDefault="00BE5E42">
      <w:pPr>
        <w:pStyle w:val="FootnoteText"/>
        <w:rPr>
          <w:lang w:val="en-US"/>
        </w:rPr>
      </w:pPr>
      <w:r>
        <w:rPr>
          <w:rStyle w:val="FootnoteReference"/>
        </w:rPr>
        <w:footnoteRef/>
      </w:r>
      <w:r>
        <w:t xml:space="preserve"> </w:t>
      </w:r>
      <w:r>
        <w:rPr>
          <w:lang w:val="en-US"/>
        </w:rPr>
        <w:t xml:space="preserve">An Anton </w:t>
      </w:r>
      <w:proofErr w:type="spellStart"/>
      <w:r>
        <w:rPr>
          <w:lang w:val="en-US"/>
        </w:rPr>
        <w:t>Piller</w:t>
      </w:r>
      <w:proofErr w:type="spellEnd"/>
      <w:r>
        <w:rPr>
          <w:lang w:val="en-US"/>
        </w:rPr>
        <w:t xml:space="preserve"> order is a form of injunctive relief, akin to a private search warrant.  It allows for the search of premises for crucial documentation or material</w:t>
      </w:r>
      <w:r w:rsidRPr="00507C1B">
        <w:t xml:space="preserve"> </w:t>
      </w:r>
      <w:r w:rsidRPr="00507C1B">
        <w:rPr>
          <w:lang w:val="en-US"/>
        </w:rPr>
        <w:t xml:space="preserve">for purposes of preserving important </w:t>
      </w:r>
      <w:r w:rsidR="00992DA8">
        <w:rPr>
          <w:lang w:val="en-US"/>
        </w:rPr>
        <w:t>evidence</w:t>
      </w:r>
      <w:r w:rsidRPr="00507C1B">
        <w:rPr>
          <w:lang w:val="en-US"/>
        </w:rPr>
        <w:t xml:space="preserve"> for litigation</w:t>
      </w:r>
      <w:r>
        <w:rPr>
          <w:lang w:val="en-US"/>
        </w:rPr>
        <w:t>, so that the documentation or material may be removed and safely kept, pending the ordinary discovery process and trial.</w:t>
      </w:r>
    </w:p>
  </w:footnote>
  <w:footnote w:id="2">
    <w:p w14:paraId="1FDF5BAE" w14:textId="15B2BC27" w:rsidR="00BE5E42" w:rsidRPr="00787A6E" w:rsidRDefault="00BE5E42">
      <w:pPr>
        <w:pStyle w:val="FootnoteText"/>
        <w:rPr>
          <w:lang w:val="en-US"/>
        </w:rPr>
      </w:pPr>
      <w:r>
        <w:rPr>
          <w:rStyle w:val="FootnoteReference"/>
        </w:rPr>
        <w:footnoteRef/>
      </w:r>
      <w:r>
        <w:t xml:space="preserve"> </w:t>
      </w:r>
      <w:r w:rsidRPr="00787A6E">
        <w:rPr>
          <w:i/>
          <w:iCs/>
        </w:rPr>
        <w:t xml:space="preserve">Eva </w:t>
      </w:r>
      <w:proofErr w:type="spellStart"/>
      <w:r w:rsidRPr="00787A6E">
        <w:rPr>
          <w:i/>
          <w:iCs/>
        </w:rPr>
        <w:t>Simangele</w:t>
      </w:r>
      <w:proofErr w:type="spellEnd"/>
      <w:r w:rsidRPr="00787A6E">
        <w:rPr>
          <w:i/>
          <w:iCs/>
        </w:rPr>
        <w:t xml:space="preserve"> </w:t>
      </w:r>
      <w:proofErr w:type="spellStart"/>
      <w:r w:rsidRPr="00787A6E">
        <w:rPr>
          <w:i/>
          <w:iCs/>
        </w:rPr>
        <w:t>Mkhatshwa</w:t>
      </w:r>
      <w:proofErr w:type="spellEnd"/>
      <w:r w:rsidRPr="00787A6E">
        <w:rPr>
          <w:i/>
          <w:iCs/>
        </w:rPr>
        <w:t xml:space="preserve"> v Candy </w:t>
      </w:r>
      <w:proofErr w:type="spellStart"/>
      <w:r w:rsidRPr="00787A6E">
        <w:rPr>
          <w:i/>
          <w:iCs/>
        </w:rPr>
        <w:t>Zid</w:t>
      </w:r>
      <w:r>
        <w:rPr>
          <w:i/>
          <w:iCs/>
        </w:rPr>
        <w:t>w</w:t>
      </w:r>
      <w:r w:rsidRPr="00787A6E">
        <w:rPr>
          <w:i/>
          <w:iCs/>
        </w:rPr>
        <w:t>e</w:t>
      </w:r>
      <w:proofErr w:type="spellEnd"/>
      <w:r w:rsidRPr="00787A6E">
        <w:rPr>
          <w:i/>
          <w:iCs/>
        </w:rPr>
        <w:t xml:space="preserve"> </w:t>
      </w:r>
      <w:proofErr w:type="spellStart"/>
      <w:r w:rsidRPr="00787A6E">
        <w:rPr>
          <w:i/>
          <w:iCs/>
        </w:rPr>
        <w:t>Mkhatshwa</w:t>
      </w:r>
      <w:proofErr w:type="spellEnd"/>
      <w:r>
        <w:t xml:space="preserve">, unreported judgment of the High Court of South Africa, Mpumalanga Division, </w:t>
      </w:r>
      <w:proofErr w:type="spellStart"/>
      <w:r>
        <w:t>Mbombela</w:t>
      </w:r>
      <w:proofErr w:type="spellEnd"/>
      <w:r>
        <w:t>, Case No 391/2020 (11 March 2020 and 24 March 2020).</w:t>
      </w:r>
    </w:p>
  </w:footnote>
  <w:footnote w:id="3">
    <w:p w14:paraId="7F80202F" w14:textId="5C595B12" w:rsidR="00BE5E42" w:rsidRPr="00212B8F" w:rsidRDefault="00BE5E42">
      <w:pPr>
        <w:pStyle w:val="FootnoteText"/>
        <w:rPr>
          <w:lang w:val="en-US"/>
        </w:rPr>
      </w:pPr>
      <w:r>
        <w:rPr>
          <w:rStyle w:val="FootnoteReference"/>
        </w:rPr>
        <w:footnoteRef/>
      </w:r>
      <w:r>
        <w:t xml:space="preserve"> </w:t>
      </w:r>
      <w:r>
        <w:rPr>
          <w:lang w:val="en-US"/>
        </w:rPr>
        <w:t>28 of 1996.</w:t>
      </w:r>
    </w:p>
  </w:footnote>
  <w:footnote w:id="4">
    <w:p w14:paraId="018675D5" w14:textId="1714D414" w:rsidR="00BE5E42" w:rsidRPr="00C016A4" w:rsidRDefault="00BE5E42">
      <w:pPr>
        <w:pStyle w:val="FootnoteText"/>
        <w:rPr>
          <w:lang w:val="en-US"/>
        </w:rPr>
      </w:pPr>
      <w:r>
        <w:rPr>
          <w:rStyle w:val="FootnoteReference"/>
        </w:rPr>
        <w:footnoteRef/>
      </w:r>
      <w:r>
        <w:t xml:space="preserve"> </w:t>
      </w:r>
      <w:r>
        <w:rPr>
          <w:lang w:val="en-US"/>
        </w:rPr>
        <w:t>41 of 2003.</w:t>
      </w:r>
    </w:p>
  </w:footnote>
  <w:footnote w:id="5">
    <w:p w14:paraId="3ED9B633" w14:textId="3FFE1283" w:rsidR="00BE5E42" w:rsidRPr="00A301EE" w:rsidRDefault="00BE5E42">
      <w:pPr>
        <w:pStyle w:val="FootnoteText"/>
        <w:rPr>
          <w:lang w:val="en-US"/>
        </w:rPr>
      </w:pPr>
      <w:r>
        <w:rPr>
          <w:rStyle w:val="FootnoteReference"/>
        </w:rPr>
        <w:footnoteRef/>
      </w:r>
      <w:r>
        <w:t xml:space="preserve"> </w:t>
      </w:r>
      <w:r>
        <w:rPr>
          <w:lang w:val="en-US"/>
        </w:rPr>
        <w:t xml:space="preserve">See High Court judgment above n </w:t>
      </w:r>
      <w:r>
        <w:rPr>
          <w:lang w:val="en-US"/>
        </w:rPr>
        <w:fldChar w:fldCharType="begin"/>
      </w:r>
      <w:r>
        <w:rPr>
          <w:lang w:val="en-US"/>
        </w:rPr>
        <w:instrText xml:space="preserve"> NOTEREF _Ref73653893 \h </w:instrText>
      </w:r>
      <w:r>
        <w:rPr>
          <w:lang w:val="en-US"/>
        </w:rPr>
      </w:r>
      <w:r>
        <w:rPr>
          <w:lang w:val="en-US"/>
        </w:rPr>
        <w:fldChar w:fldCharType="separate"/>
      </w:r>
      <w:r w:rsidR="001263B3">
        <w:rPr>
          <w:lang w:val="en-US"/>
        </w:rPr>
        <w:t>2</w:t>
      </w:r>
      <w:r>
        <w:rPr>
          <w:lang w:val="en-US"/>
        </w:rPr>
        <w:fldChar w:fldCharType="end"/>
      </w:r>
      <w:r>
        <w:rPr>
          <w:lang w:val="en-US"/>
        </w:rPr>
        <w:t xml:space="preserve"> at para 4.</w:t>
      </w:r>
    </w:p>
  </w:footnote>
  <w:footnote w:id="6">
    <w:p w14:paraId="44091FEB" w14:textId="303F20EF" w:rsidR="00BE5E42" w:rsidRPr="00833AC2" w:rsidRDefault="00BE5E42">
      <w:pPr>
        <w:pStyle w:val="FootnoteText"/>
        <w:rPr>
          <w:lang w:val="en-US"/>
        </w:rPr>
      </w:pPr>
      <w:r>
        <w:rPr>
          <w:rStyle w:val="FootnoteReference"/>
        </w:rPr>
        <w:footnoteRef/>
      </w:r>
      <w:r>
        <w:t xml:space="preserve"> </w:t>
      </w:r>
      <w:r>
        <w:rPr>
          <w:lang w:val="en-US"/>
        </w:rPr>
        <w:t>Id at paras 5-6.</w:t>
      </w:r>
    </w:p>
  </w:footnote>
  <w:footnote w:id="7">
    <w:p w14:paraId="5D87A16A" w14:textId="1F57A7BD" w:rsidR="00BE5E42" w:rsidRPr="00715661" w:rsidRDefault="00BE5E42">
      <w:pPr>
        <w:pStyle w:val="FootnoteText"/>
        <w:rPr>
          <w:lang w:val="en-US"/>
        </w:rPr>
      </w:pPr>
      <w:r>
        <w:rPr>
          <w:rStyle w:val="FootnoteReference"/>
        </w:rPr>
        <w:footnoteRef/>
      </w:r>
      <w:r>
        <w:t xml:space="preserve"> </w:t>
      </w:r>
      <w:r>
        <w:rPr>
          <w:lang w:val="en-US"/>
        </w:rPr>
        <w:t>Id at paras 8-9.</w:t>
      </w:r>
    </w:p>
  </w:footnote>
  <w:footnote w:id="8">
    <w:p w14:paraId="3809A292" w14:textId="1CDF60B0" w:rsidR="00BE5E42" w:rsidRPr="00715661" w:rsidRDefault="00BE5E42">
      <w:pPr>
        <w:pStyle w:val="FootnoteText"/>
        <w:rPr>
          <w:lang w:val="en-US"/>
        </w:rPr>
      </w:pPr>
      <w:r>
        <w:rPr>
          <w:rStyle w:val="FootnoteReference"/>
        </w:rPr>
        <w:footnoteRef/>
      </w:r>
      <w:r>
        <w:t xml:space="preserve"> </w:t>
      </w:r>
      <w:r>
        <w:rPr>
          <w:lang w:val="en-US"/>
        </w:rPr>
        <w:t>Id at para 10.</w:t>
      </w:r>
    </w:p>
  </w:footnote>
  <w:footnote w:id="9">
    <w:p w14:paraId="335BF165" w14:textId="6D66A9CB" w:rsidR="00BE5E42" w:rsidRPr="000621E2" w:rsidRDefault="00BE5E42">
      <w:pPr>
        <w:pStyle w:val="FootnoteText"/>
        <w:rPr>
          <w:lang w:val="en-US"/>
        </w:rPr>
      </w:pPr>
      <w:r>
        <w:rPr>
          <w:rStyle w:val="FootnoteReference"/>
        </w:rPr>
        <w:footnoteRef/>
      </w:r>
      <w:r>
        <w:t xml:space="preserve"> </w:t>
      </w:r>
      <w:r>
        <w:rPr>
          <w:lang w:val="en-US"/>
        </w:rPr>
        <w:t>Section 25 of the Constitution enshrines the right to property, and the right to not be arbitrarily deprived of property.</w:t>
      </w:r>
    </w:p>
  </w:footnote>
  <w:footnote w:id="10">
    <w:p w14:paraId="5D2DE20B" w14:textId="09DDA886" w:rsidR="00BE5E42" w:rsidRPr="00DE037F" w:rsidRDefault="00BE5E42">
      <w:pPr>
        <w:pStyle w:val="FootnoteText"/>
        <w:rPr>
          <w:lang w:val="en-US"/>
        </w:rPr>
      </w:pPr>
      <w:r>
        <w:rPr>
          <w:rStyle w:val="FootnoteReference"/>
        </w:rPr>
        <w:footnoteRef/>
      </w:r>
      <w:r>
        <w:t xml:space="preserve"> </w:t>
      </w:r>
      <w:r w:rsidR="001263B3">
        <w:t xml:space="preserve">See </w:t>
      </w:r>
      <w:r>
        <w:rPr>
          <w:lang w:val="en-US"/>
        </w:rPr>
        <w:t>High Court judgment</w:t>
      </w:r>
      <w:r w:rsidR="001263B3">
        <w:rPr>
          <w:lang w:val="en-US"/>
        </w:rPr>
        <w:t xml:space="preserve"> above n </w:t>
      </w:r>
      <w:r w:rsidR="001263B3">
        <w:rPr>
          <w:lang w:val="en-US"/>
        </w:rPr>
        <w:fldChar w:fldCharType="begin"/>
      </w:r>
      <w:r w:rsidR="001263B3">
        <w:rPr>
          <w:lang w:val="en-US"/>
        </w:rPr>
        <w:instrText xml:space="preserve"> NOTEREF _Ref73653893 \h </w:instrText>
      </w:r>
      <w:r w:rsidR="001263B3">
        <w:rPr>
          <w:lang w:val="en-US"/>
        </w:rPr>
      </w:r>
      <w:r w:rsidR="001263B3">
        <w:rPr>
          <w:lang w:val="en-US"/>
        </w:rPr>
        <w:fldChar w:fldCharType="separate"/>
      </w:r>
      <w:r w:rsidR="001263B3">
        <w:rPr>
          <w:lang w:val="en-US"/>
        </w:rPr>
        <w:t>2</w:t>
      </w:r>
      <w:r w:rsidR="001263B3">
        <w:rPr>
          <w:lang w:val="en-US"/>
        </w:rPr>
        <w:fldChar w:fldCharType="end"/>
      </w:r>
      <w:r>
        <w:rPr>
          <w:lang w:val="en-US"/>
        </w:rPr>
        <w:t xml:space="preserve"> at para 42.</w:t>
      </w:r>
    </w:p>
  </w:footnote>
  <w:footnote w:id="11">
    <w:p w14:paraId="7AAEC8CC" w14:textId="119D77AD" w:rsidR="00BE5E42" w:rsidRPr="002055D9" w:rsidRDefault="00BE5E42" w:rsidP="000442CB">
      <w:pPr>
        <w:pStyle w:val="FootnoteText"/>
        <w:rPr>
          <w:lang w:val="en-US"/>
        </w:rPr>
      </w:pPr>
      <w:r>
        <w:rPr>
          <w:rStyle w:val="FootnoteReference"/>
        </w:rPr>
        <w:footnoteRef/>
      </w:r>
      <w:r>
        <w:t xml:space="preserve"> </w:t>
      </w:r>
      <w:proofErr w:type="spellStart"/>
      <w:r w:rsidRPr="002055D9">
        <w:rPr>
          <w:i/>
          <w:iCs/>
        </w:rPr>
        <w:t>Biowatch</w:t>
      </w:r>
      <w:proofErr w:type="spellEnd"/>
      <w:r w:rsidRPr="002055D9">
        <w:rPr>
          <w:i/>
          <w:iCs/>
        </w:rPr>
        <w:t xml:space="preserve"> Trust </w:t>
      </w:r>
      <w:proofErr w:type="gramStart"/>
      <w:r w:rsidRPr="002055D9">
        <w:rPr>
          <w:i/>
          <w:iCs/>
        </w:rPr>
        <w:t>v</w:t>
      </w:r>
      <w:proofErr w:type="gramEnd"/>
      <w:r w:rsidRPr="002055D9">
        <w:rPr>
          <w:i/>
          <w:iCs/>
        </w:rPr>
        <w:t xml:space="preserve"> Registrar</w:t>
      </w:r>
      <w:r w:rsidR="00FD5903">
        <w:rPr>
          <w:i/>
          <w:iCs/>
        </w:rPr>
        <w:t>,</w:t>
      </w:r>
      <w:r w:rsidRPr="002055D9">
        <w:rPr>
          <w:i/>
          <w:iCs/>
        </w:rPr>
        <w:t xml:space="preserve"> Genetic Resources</w:t>
      </w:r>
      <w:r w:rsidRPr="002055D9">
        <w:t xml:space="preserve"> [2009] ZACC 14; 2009 (6) SA 232 (CC); 2009 (10) BCLR 1014 (CC)</w:t>
      </w:r>
      <w:r>
        <w:t xml:space="preserve"> (</w:t>
      </w:r>
      <w:proofErr w:type="spellStart"/>
      <w:r w:rsidRPr="002055D9">
        <w:rPr>
          <w:i/>
          <w:iCs/>
        </w:rPr>
        <w:t>Biowatch</w:t>
      </w:r>
      <w:proofErr w:type="spellEnd"/>
      <w:r>
        <w:t xml:space="preserve">) </w:t>
      </w:r>
      <w:r>
        <w:rPr>
          <w:lang w:val="en-US"/>
        </w:rPr>
        <w:t>at paras 22-3, where this Court affirmed that, in matters of litigation between the state and private parties</w:t>
      </w:r>
      <w:r w:rsidR="001C0CF7">
        <w:rPr>
          <w:lang w:val="en-US"/>
        </w:rPr>
        <w:t>—</w:t>
      </w:r>
    </w:p>
    <w:p w14:paraId="1E5A23FC" w14:textId="01BCFDCE" w:rsidR="00BE5E42" w:rsidRPr="002055D9" w:rsidRDefault="00BE5E42" w:rsidP="000442CB">
      <w:pPr>
        <w:pStyle w:val="QUOTEINFOOTNOTE"/>
        <w:rPr>
          <w:lang w:val="en-US"/>
        </w:rPr>
      </w:pPr>
      <w:r>
        <w:t>“</w:t>
      </w:r>
      <w:r w:rsidR="001C0CF7">
        <w:t>I</w:t>
      </w:r>
      <w:r w:rsidRPr="001C0CF7">
        <w:t>f</w:t>
      </w:r>
      <w:r w:rsidRPr="002055D9">
        <w:t xml:space="preserve"> there should be a genuine, non-frivolous challenge to the constitutionality of a law or of </w:t>
      </w:r>
      <w:r w:rsidR="00E92E9B">
        <w:t>S</w:t>
      </w:r>
      <w:r w:rsidRPr="002055D9">
        <w:t>tate condu</w:t>
      </w:r>
      <w:r w:rsidR="00E92E9B">
        <w:t>ct, it is appropriate that the S</w:t>
      </w:r>
      <w:r w:rsidRPr="002055D9">
        <w:t>tate should bear the costs if the challenge is good, but if it is not, then the losing non-</w:t>
      </w:r>
      <w:r w:rsidR="00E92E9B">
        <w:t>S</w:t>
      </w:r>
      <w:r w:rsidRPr="002055D9">
        <w:t xml:space="preserve">tate litigant should be shielded from the costs consequences of failure. </w:t>
      </w:r>
      <w:r>
        <w:t xml:space="preserve"> </w:t>
      </w:r>
      <w:r w:rsidRPr="002055D9">
        <w:t>In this way responsibility for ensuring that the law and state conduct is constitutional is placed at the correct door.</w:t>
      </w:r>
      <w:r>
        <w:t>”</w:t>
      </w:r>
    </w:p>
  </w:footnote>
  <w:footnote w:id="12">
    <w:p w14:paraId="0984983D" w14:textId="153594FB" w:rsidR="00BE5E42" w:rsidRPr="003D6C32" w:rsidRDefault="00BE5E42">
      <w:pPr>
        <w:pStyle w:val="FootnoteText"/>
        <w:rPr>
          <w:lang w:val="en-US"/>
        </w:rPr>
      </w:pPr>
      <w:r>
        <w:rPr>
          <w:rStyle w:val="FootnoteReference"/>
        </w:rPr>
        <w:footnoteRef/>
      </w:r>
      <w:r>
        <w:t xml:space="preserve"> </w:t>
      </w:r>
      <w:r w:rsidRPr="003D6C32">
        <w:rPr>
          <w:i/>
          <w:iCs/>
        </w:rPr>
        <w:t>Public Protector v South African Reserve Bank</w:t>
      </w:r>
      <w:r w:rsidRPr="003D6C32">
        <w:t xml:space="preserve"> [2019] ZACC 29; 2019 (6) SA 253 (CC)</w:t>
      </w:r>
      <w:r>
        <w:t xml:space="preserve">; </w:t>
      </w:r>
      <w:r w:rsidRPr="003D6C32">
        <w:t>2019 (9) BCLR 1113 (CC)</w:t>
      </w:r>
      <w:r>
        <w:t xml:space="preserve"> (</w:t>
      </w:r>
      <w:r w:rsidRPr="003D6C32">
        <w:rPr>
          <w:i/>
          <w:iCs/>
        </w:rPr>
        <w:t>SARB</w:t>
      </w:r>
      <w:r>
        <w:t xml:space="preserve">) at paras 224 and 227 and </w:t>
      </w:r>
      <w:r w:rsidRPr="003D6C32">
        <w:rPr>
          <w:i/>
          <w:iCs/>
        </w:rPr>
        <w:t xml:space="preserve">Limpopo Legal Solutions v Eskom Holdings </w:t>
      </w:r>
      <w:r w:rsidR="00AB3141">
        <w:rPr>
          <w:i/>
          <w:iCs/>
        </w:rPr>
        <w:t>(</w:t>
      </w:r>
      <w:proofErr w:type="spellStart"/>
      <w:r w:rsidR="00AB3141">
        <w:rPr>
          <w:i/>
          <w:iCs/>
        </w:rPr>
        <w:t>Soc</w:t>
      </w:r>
      <w:proofErr w:type="spellEnd"/>
      <w:r w:rsidR="00AB3141">
        <w:rPr>
          <w:i/>
          <w:iCs/>
        </w:rPr>
        <w:t>)</w:t>
      </w:r>
      <w:r w:rsidRPr="003D6C32">
        <w:rPr>
          <w:i/>
          <w:iCs/>
        </w:rPr>
        <w:t xml:space="preserve"> Limited</w:t>
      </w:r>
      <w:r w:rsidRPr="003D6C32">
        <w:t xml:space="preserve"> [2017] ZACC 34; 2017 (12) BCLR 1497 (CC)</w:t>
      </w:r>
      <w:r>
        <w:t xml:space="preserve"> (</w:t>
      </w:r>
      <w:r w:rsidRPr="003D6C32">
        <w:rPr>
          <w:i/>
          <w:iCs/>
        </w:rPr>
        <w:t>Eskom</w:t>
      </w:r>
      <w:r>
        <w:t>) at para 20.</w:t>
      </w:r>
    </w:p>
  </w:footnote>
  <w:footnote w:id="13">
    <w:p w14:paraId="7A58CEEE" w14:textId="5FD3879F" w:rsidR="005762B1" w:rsidRDefault="00BE5E42" w:rsidP="005762B1">
      <w:pPr>
        <w:pStyle w:val="FootnoteText"/>
        <w:rPr>
          <w:lang w:val="en-US"/>
        </w:rPr>
      </w:pPr>
      <w:r>
        <w:rPr>
          <w:rStyle w:val="FootnoteReference"/>
        </w:rPr>
        <w:footnoteRef/>
      </w:r>
      <w:r>
        <w:t xml:space="preserve"> </w:t>
      </w:r>
      <w:r>
        <w:rPr>
          <w:i/>
          <w:iCs/>
          <w:lang w:val="en-US"/>
        </w:rPr>
        <w:t>Eskom</w:t>
      </w:r>
      <w:r w:rsidR="001263B3">
        <w:rPr>
          <w:lang w:val="en-US"/>
        </w:rPr>
        <w:t xml:space="preserve"> id</w:t>
      </w:r>
      <w:r>
        <w:rPr>
          <w:lang w:val="en-US"/>
        </w:rPr>
        <w:t xml:space="preserve"> at para 35, where this Court referred to the </w:t>
      </w:r>
      <w:r w:rsidRPr="005762B1">
        <w:rPr>
          <w:lang w:val="en-US"/>
        </w:rPr>
        <w:t xml:space="preserve">Appellate Division’s decision in </w:t>
      </w:r>
      <w:proofErr w:type="spellStart"/>
      <w:r w:rsidRPr="005762B1">
        <w:rPr>
          <w:i/>
          <w:iCs/>
          <w:lang w:val="en-US"/>
        </w:rPr>
        <w:t>Nel</w:t>
      </w:r>
      <w:proofErr w:type="spellEnd"/>
      <w:r w:rsidRPr="005762B1">
        <w:rPr>
          <w:i/>
          <w:iCs/>
          <w:lang w:val="en-US"/>
        </w:rPr>
        <w:t xml:space="preserve"> v Wa</w:t>
      </w:r>
      <w:r w:rsidR="00FD5903" w:rsidRPr="005762B1">
        <w:rPr>
          <w:i/>
          <w:iCs/>
          <w:lang w:val="en-US"/>
        </w:rPr>
        <w:t xml:space="preserve">terberg </w:t>
      </w:r>
      <w:proofErr w:type="spellStart"/>
      <w:r w:rsidR="00FD5903" w:rsidRPr="005762B1">
        <w:rPr>
          <w:i/>
          <w:iCs/>
          <w:lang w:val="en-US"/>
        </w:rPr>
        <w:t>Landbouwers</w:t>
      </w:r>
      <w:proofErr w:type="spellEnd"/>
      <w:r w:rsidR="00FD5903" w:rsidRPr="005762B1">
        <w:rPr>
          <w:i/>
          <w:iCs/>
          <w:lang w:val="en-US"/>
        </w:rPr>
        <w:t xml:space="preserve"> </w:t>
      </w:r>
      <w:proofErr w:type="spellStart"/>
      <w:r w:rsidR="00FD5903" w:rsidRPr="005762B1">
        <w:rPr>
          <w:i/>
          <w:iCs/>
          <w:lang w:val="en-US"/>
        </w:rPr>
        <w:t>Ko-operatiev</w:t>
      </w:r>
      <w:r w:rsidRPr="005762B1">
        <w:rPr>
          <w:i/>
          <w:iCs/>
          <w:lang w:val="en-US"/>
        </w:rPr>
        <w:t>e</w:t>
      </w:r>
      <w:proofErr w:type="spellEnd"/>
      <w:r w:rsidRPr="005762B1">
        <w:rPr>
          <w:i/>
          <w:iCs/>
          <w:lang w:val="en-US"/>
        </w:rPr>
        <w:t xml:space="preserve"> Vereeniging</w:t>
      </w:r>
      <w:r w:rsidRPr="005762B1">
        <w:rPr>
          <w:lang w:val="en-US"/>
        </w:rPr>
        <w:t xml:space="preserve"> 1946 AD 597</w:t>
      </w:r>
      <w:r w:rsidR="005762B1" w:rsidRPr="005762B1">
        <w:rPr>
          <w:lang w:val="en-US"/>
        </w:rPr>
        <w:t xml:space="preserve"> at 607 which held that:</w:t>
      </w:r>
    </w:p>
    <w:p w14:paraId="45E0E7B9" w14:textId="415E57F8" w:rsidR="005762B1" w:rsidRPr="005762B1" w:rsidRDefault="005762B1" w:rsidP="005762B1">
      <w:pPr>
        <w:pStyle w:val="QUOTEINFOOTNOTE"/>
        <w:rPr>
          <w:lang w:val="en-GB"/>
        </w:rPr>
      </w:pPr>
      <w:r w:rsidRPr="005762B1">
        <w:rPr>
          <w:lang w:val="en-GB"/>
        </w:rPr>
        <w:t xml:space="preserve">“The true explanation of awards of attorney and client costs not expressly authorised </w:t>
      </w:r>
      <w:r>
        <w:rPr>
          <w:lang w:val="en-GB"/>
        </w:rPr>
        <w:t>by s</w:t>
      </w:r>
      <w:r w:rsidRPr="005762B1">
        <w:rPr>
          <w:lang w:val="en-GB"/>
        </w:rPr>
        <w:t>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p>
  </w:footnote>
  <w:footnote w:id="14">
    <w:p w14:paraId="0623ADCE" w14:textId="0ED8AD9B" w:rsidR="00BE5E42" w:rsidRPr="00594381" w:rsidRDefault="00BE5E42">
      <w:pPr>
        <w:pStyle w:val="FootnoteText"/>
        <w:rPr>
          <w:lang w:val="en-US"/>
        </w:rPr>
      </w:pPr>
      <w:r>
        <w:rPr>
          <w:rStyle w:val="FootnoteReference"/>
        </w:rPr>
        <w:footnoteRef/>
      </w:r>
      <w:r>
        <w:t xml:space="preserve"> </w:t>
      </w:r>
      <w:r w:rsidR="00FD5903" w:rsidRPr="005762B1">
        <w:rPr>
          <w:i/>
        </w:rPr>
        <w:t>Eskom</w:t>
      </w:r>
      <w:r w:rsidR="00FD5903" w:rsidRPr="005762B1">
        <w:t xml:space="preserve"> </w:t>
      </w:r>
      <w:proofErr w:type="spellStart"/>
      <w:r w:rsidR="00FD5903" w:rsidRPr="005762B1">
        <w:t>i</w:t>
      </w:r>
      <w:proofErr w:type="spellEnd"/>
      <w:r w:rsidRPr="005762B1">
        <w:rPr>
          <w:lang w:val="en-US"/>
        </w:rPr>
        <w:t>d at para 37.</w:t>
      </w:r>
    </w:p>
  </w:footnote>
  <w:footnote w:id="15">
    <w:p w14:paraId="444D8DF3" w14:textId="38AA23E3" w:rsidR="00BE5E42" w:rsidRPr="00594381" w:rsidRDefault="00BE5E42">
      <w:pPr>
        <w:pStyle w:val="FootnoteText"/>
        <w:rPr>
          <w:lang w:val="en-US"/>
        </w:rPr>
      </w:pPr>
      <w:r>
        <w:rPr>
          <w:rStyle w:val="FootnoteReference"/>
        </w:rPr>
        <w:footnoteRef/>
      </w:r>
      <w:r>
        <w:t xml:space="preserve"> </w:t>
      </w:r>
      <w:r>
        <w:rPr>
          <w:lang w:val="en-US"/>
        </w:rPr>
        <w:t>Id at para 36.</w:t>
      </w:r>
    </w:p>
  </w:footnote>
  <w:footnote w:id="16">
    <w:p w14:paraId="4992F901" w14:textId="60AD1DF4" w:rsidR="00BE5E42" w:rsidRPr="001561A8" w:rsidRDefault="00BE5E42" w:rsidP="00B02877">
      <w:pPr>
        <w:pStyle w:val="FootnoteText"/>
      </w:pPr>
      <w:r>
        <w:rPr>
          <w:rStyle w:val="FootnoteReference"/>
        </w:rPr>
        <w:footnoteRef/>
      </w:r>
      <w:r>
        <w:t xml:space="preserve"> </w:t>
      </w:r>
      <w:r w:rsidRPr="00B02877">
        <w:rPr>
          <w:i/>
          <w:iCs/>
        </w:rPr>
        <w:t xml:space="preserve">Plastic Converters Association of </w:t>
      </w:r>
      <w:r w:rsidR="001561A8">
        <w:rPr>
          <w:i/>
          <w:iCs/>
        </w:rPr>
        <w:t>SA</w:t>
      </w:r>
      <w:r w:rsidRPr="00B02877">
        <w:rPr>
          <w:i/>
          <w:iCs/>
        </w:rPr>
        <w:t xml:space="preserve"> on behalf of Members </w:t>
      </w:r>
      <w:proofErr w:type="gramStart"/>
      <w:r w:rsidRPr="00B02877">
        <w:rPr>
          <w:i/>
          <w:iCs/>
        </w:rPr>
        <w:t>v</w:t>
      </w:r>
      <w:proofErr w:type="gramEnd"/>
      <w:r w:rsidRPr="00B02877">
        <w:rPr>
          <w:i/>
          <w:iCs/>
        </w:rPr>
        <w:t xml:space="preserve"> National Union of Metalworkers of SA</w:t>
      </w:r>
      <w:r w:rsidR="001561A8">
        <w:t xml:space="preserve"> </w:t>
      </w:r>
      <w:r>
        <w:t xml:space="preserve">[2016] ZALAC 39; </w:t>
      </w:r>
      <w:r w:rsidR="005762B1">
        <w:t>(2016)</w:t>
      </w:r>
      <w:r>
        <w:t xml:space="preserve"> 37 ILJ 2815 (LAC) (</w:t>
      </w:r>
      <w:r w:rsidRPr="00B02877">
        <w:rPr>
          <w:i/>
          <w:iCs/>
        </w:rPr>
        <w:t xml:space="preserve">Plastic Converters Association of </w:t>
      </w:r>
      <w:r w:rsidR="001561A8">
        <w:rPr>
          <w:i/>
          <w:iCs/>
        </w:rPr>
        <w:t>SA</w:t>
      </w:r>
      <w:r>
        <w:t>).</w:t>
      </w:r>
    </w:p>
  </w:footnote>
  <w:footnote w:id="17">
    <w:p w14:paraId="024250D0" w14:textId="0D8BD96D" w:rsidR="00BE5E42" w:rsidRPr="00B02877" w:rsidRDefault="00BE5E42">
      <w:pPr>
        <w:pStyle w:val="FootnoteText"/>
        <w:rPr>
          <w:lang w:val="en-US"/>
        </w:rPr>
      </w:pPr>
      <w:r>
        <w:rPr>
          <w:rStyle w:val="FootnoteReference"/>
        </w:rPr>
        <w:footnoteRef/>
      </w:r>
      <w:r>
        <w:t xml:space="preserve"> </w:t>
      </w:r>
      <w:r>
        <w:rPr>
          <w:i/>
          <w:iCs/>
          <w:lang w:val="en-US"/>
        </w:rPr>
        <w:t xml:space="preserve">SARB </w:t>
      </w:r>
      <w:r>
        <w:rPr>
          <w:lang w:val="en-US"/>
        </w:rPr>
        <w:t xml:space="preserve">above n </w:t>
      </w:r>
      <w:r>
        <w:rPr>
          <w:lang w:val="en-US"/>
        </w:rPr>
        <w:fldChar w:fldCharType="begin"/>
      </w:r>
      <w:r>
        <w:rPr>
          <w:lang w:val="en-US"/>
        </w:rPr>
        <w:instrText xml:space="preserve"> NOTEREF _Ref68727575 \h </w:instrText>
      </w:r>
      <w:r>
        <w:rPr>
          <w:lang w:val="en-US"/>
        </w:rPr>
      </w:r>
      <w:r>
        <w:rPr>
          <w:lang w:val="en-US"/>
        </w:rPr>
        <w:fldChar w:fldCharType="separate"/>
      </w:r>
      <w:r w:rsidR="001263B3">
        <w:rPr>
          <w:lang w:val="en-US"/>
        </w:rPr>
        <w:t>12</w:t>
      </w:r>
      <w:r>
        <w:rPr>
          <w:lang w:val="en-US"/>
        </w:rPr>
        <w:fldChar w:fldCharType="end"/>
      </w:r>
      <w:r>
        <w:rPr>
          <w:lang w:val="en-US"/>
        </w:rPr>
        <w:t xml:space="preserve"> at para 225, citing, with approval, </w:t>
      </w:r>
      <w:r>
        <w:rPr>
          <w:i/>
          <w:iCs/>
          <w:lang w:val="en-US"/>
        </w:rPr>
        <w:t xml:space="preserve">Plastic Converters Association of </w:t>
      </w:r>
      <w:r w:rsidR="001561A8">
        <w:rPr>
          <w:i/>
          <w:iCs/>
          <w:lang w:val="en-US"/>
        </w:rPr>
        <w:t>SA</w:t>
      </w:r>
      <w:r>
        <w:rPr>
          <w:lang w:val="en-US"/>
        </w:rPr>
        <w:t xml:space="preserve"> </w:t>
      </w:r>
      <w:r w:rsidR="001263B3">
        <w:rPr>
          <w:lang w:val="en-US"/>
        </w:rPr>
        <w:t>id</w:t>
      </w:r>
      <w:r>
        <w:rPr>
          <w:lang w:val="en-US"/>
        </w:rPr>
        <w:t xml:space="preserve"> at para 46.</w:t>
      </w:r>
    </w:p>
  </w:footnote>
  <w:footnote w:id="18">
    <w:p w14:paraId="3CB5AC0B" w14:textId="3FE6294B" w:rsidR="00BE5E42" w:rsidRPr="00594381" w:rsidRDefault="00BE5E42">
      <w:pPr>
        <w:pStyle w:val="FootnoteText"/>
        <w:rPr>
          <w:lang w:val="en-US"/>
        </w:rPr>
      </w:pPr>
      <w:r>
        <w:rPr>
          <w:rStyle w:val="FootnoteReference"/>
        </w:rPr>
        <w:footnoteRef/>
      </w:r>
      <w:r>
        <w:t xml:space="preserve"> </w:t>
      </w:r>
      <w:proofErr w:type="spellStart"/>
      <w:r w:rsidRPr="00594381">
        <w:rPr>
          <w:i/>
          <w:iCs/>
        </w:rPr>
        <w:t>Tjiroze</w:t>
      </w:r>
      <w:proofErr w:type="spellEnd"/>
      <w:r w:rsidRPr="00594381">
        <w:rPr>
          <w:i/>
          <w:iCs/>
        </w:rPr>
        <w:t xml:space="preserve"> v Appeal Board of the Financial Services Board</w:t>
      </w:r>
      <w:r w:rsidRPr="00594381">
        <w:t xml:space="preserve"> [2020] ZACC 18; </w:t>
      </w:r>
      <w:r w:rsidR="00415CF4">
        <w:t xml:space="preserve">2020 JDR 1413 (CC); </w:t>
      </w:r>
      <w:r w:rsidRPr="00594381">
        <w:t>2021 (1) BCLR 59 (CC)</w:t>
      </w:r>
      <w:r>
        <w:t>.</w:t>
      </w:r>
    </w:p>
  </w:footnote>
  <w:footnote w:id="19">
    <w:p w14:paraId="2468E604" w14:textId="049B318B" w:rsidR="00BE5E42" w:rsidRPr="00594381" w:rsidRDefault="00BE5E42">
      <w:pPr>
        <w:pStyle w:val="FootnoteText"/>
        <w:rPr>
          <w:lang w:val="en-US"/>
        </w:rPr>
      </w:pPr>
      <w:r>
        <w:rPr>
          <w:rStyle w:val="FootnoteReference"/>
        </w:rPr>
        <w:footnoteRef/>
      </w:r>
      <w:r>
        <w:t xml:space="preserve"> </w:t>
      </w:r>
      <w:r>
        <w:rPr>
          <w:lang w:val="en-US"/>
        </w:rPr>
        <w:t>Id at para 24.</w:t>
      </w:r>
    </w:p>
  </w:footnote>
  <w:footnote w:id="20">
    <w:p w14:paraId="72FEBCCC" w14:textId="182A37C6" w:rsidR="00BE5E42" w:rsidRPr="001642F9" w:rsidRDefault="00BE5E42">
      <w:pPr>
        <w:pStyle w:val="FootnoteText"/>
        <w:rPr>
          <w:lang w:val="en-US"/>
        </w:rPr>
      </w:pPr>
      <w:r>
        <w:rPr>
          <w:rStyle w:val="FootnoteReference"/>
        </w:rPr>
        <w:footnoteRef/>
      </w:r>
      <w:r>
        <w:t xml:space="preserve"> </w:t>
      </w:r>
      <w:r>
        <w:rPr>
          <w:lang w:val="en-US"/>
        </w:rPr>
        <w:t>Id at para 28.</w:t>
      </w:r>
    </w:p>
  </w:footnote>
  <w:footnote w:id="21">
    <w:p w14:paraId="7022F474" w14:textId="3547FDA2" w:rsidR="00BE5E42" w:rsidRPr="001642F9" w:rsidRDefault="00BE5E42">
      <w:pPr>
        <w:pStyle w:val="FootnoteText"/>
        <w:rPr>
          <w:lang w:val="en-US"/>
        </w:rPr>
      </w:pPr>
      <w:r>
        <w:rPr>
          <w:rStyle w:val="FootnoteReference"/>
        </w:rPr>
        <w:footnoteRef/>
      </w:r>
      <w:r>
        <w:t xml:space="preserve"> </w:t>
      </w:r>
      <w:r>
        <w:rPr>
          <w:lang w:val="en-US"/>
        </w:rPr>
        <w:t>Id at para 29.</w:t>
      </w:r>
    </w:p>
  </w:footnote>
  <w:footnote w:id="22">
    <w:p w14:paraId="1DC44136" w14:textId="0C9574D8" w:rsidR="00BE5E42" w:rsidRPr="00143464" w:rsidRDefault="00BE5E42">
      <w:pPr>
        <w:pStyle w:val="FootnoteText"/>
        <w:rPr>
          <w:lang w:val="en-US"/>
        </w:rPr>
      </w:pPr>
      <w:r>
        <w:rPr>
          <w:rStyle w:val="FootnoteReference"/>
        </w:rPr>
        <w:footnoteRef/>
      </w:r>
      <w:r>
        <w:t xml:space="preserve"> </w:t>
      </w:r>
      <w:r>
        <w:rPr>
          <w:lang w:val="en-US"/>
        </w:rPr>
        <w:t xml:space="preserve">Id at para 24 and </w:t>
      </w:r>
      <w:r>
        <w:rPr>
          <w:i/>
          <w:iCs/>
          <w:lang w:val="en-US"/>
        </w:rPr>
        <w:t>SARB</w:t>
      </w:r>
      <w:r>
        <w:rPr>
          <w:lang w:val="en-US"/>
        </w:rPr>
        <w:t xml:space="preserve"> above n </w:t>
      </w:r>
      <w:r>
        <w:rPr>
          <w:lang w:val="en-US"/>
        </w:rPr>
        <w:fldChar w:fldCharType="begin"/>
      </w:r>
      <w:r>
        <w:rPr>
          <w:lang w:val="en-US"/>
        </w:rPr>
        <w:instrText xml:space="preserve"> NOTEREF _Ref68727575 \h </w:instrText>
      </w:r>
      <w:r>
        <w:rPr>
          <w:lang w:val="en-US"/>
        </w:rPr>
      </w:r>
      <w:r>
        <w:rPr>
          <w:lang w:val="en-US"/>
        </w:rPr>
        <w:fldChar w:fldCharType="separate"/>
      </w:r>
      <w:r w:rsidR="001263B3">
        <w:rPr>
          <w:lang w:val="en-US"/>
        </w:rPr>
        <w:t>12</w:t>
      </w:r>
      <w:r>
        <w:rPr>
          <w:lang w:val="en-US"/>
        </w:rPr>
        <w:fldChar w:fldCharType="end"/>
      </w:r>
      <w:r>
        <w:rPr>
          <w:lang w:val="en-US"/>
        </w:rPr>
        <w:t xml:space="preserve"> at para 224.</w:t>
      </w:r>
    </w:p>
  </w:footnote>
  <w:footnote w:id="23">
    <w:p w14:paraId="471E61C9" w14:textId="72FB2CC8" w:rsidR="00BE5E42" w:rsidRPr="001445C4" w:rsidRDefault="00BE5E42">
      <w:pPr>
        <w:pStyle w:val="FootnoteText"/>
        <w:rPr>
          <w:lang w:val="en-US"/>
        </w:rPr>
      </w:pPr>
      <w:r>
        <w:rPr>
          <w:rStyle w:val="FootnoteReference"/>
        </w:rPr>
        <w:footnoteRef/>
      </w:r>
      <w:r>
        <w:t xml:space="preserve"> </w:t>
      </w:r>
      <w:r w:rsidRPr="001445C4">
        <w:rPr>
          <w:i/>
          <w:iCs/>
        </w:rPr>
        <w:t xml:space="preserve">S v </w:t>
      </w:r>
      <w:proofErr w:type="spellStart"/>
      <w:r w:rsidRPr="001445C4">
        <w:rPr>
          <w:i/>
          <w:iCs/>
        </w:rPr>
        <w:t>Mamabolo</w:t>
      </w:r>
      <w:proofErr w:type="spellEnd"/>
      <w:r w:rsidR="001561A8">
        <w:rPr>
          <w:i/>
          <w:iCs/>
        </w:rPr>
        <w:t xml:space="preserve"> (E TV</w:t>
      </w:r>
      <w:r w:rsidR="005A1824">
        <w:rPr>
          <w:i/>
          <w:iCs/>
        </w:rPr>
        <w:t xml:space="preserve"> Intervening)</w:t>
      </w:r>
      <w:r w:rsidRPr="001445C4">
        <w:t xml:space="preserve"> [2001] ZACC 17; 2001 (3) SA 409 (CC); 2001 (5) BCLR 449 (CC)</w:t>
      </w:r>
      <w:r>
        <w:t xml:space="preserve"> (</w:t>
      </w:r>
      <w:proofErr w:type="spellStart"/>
      <w:r w:rsidRPr="001445C4">
        <w:rPr>
          <w:i/>
          <w:iCs/>
        </w:rPr>
        <w:t>Mamabolo</w:t>
      </w:r>
      <w:proofErr w:type="spellEnd"/>
      <w:r>
        <w:t>) at paras 29-30.</w:t>
      </w:r>
    </w:p>
  </w:footnote>
  <w:footnote w:id="24">
    <w:p w14:paraId="7450EB1C" w14:textId="17A3AEEC" w:rsidR="00BE5E42" w:rsidRDefault="00BE5E42">
      <w:pPr>
        <w:pStyle w:val="FootnoteText"/>
        <w:rPr>
          <w:lang w:val="en-US"/>
        </w:rPr>
      </w:pPr>
      <w:r>
        <w:rPr>
          <w:rStyle w:val="FootnoteReference"/>
        </w:rPr>
        <w:footnoteRef/>
      </w:r>
      <w:r>
        <w:t xml:space="preserve"> </w:t>
      </w:r>
      <w:r>
        <w:rPr>
          <w:lang w:val="en-US"/>
        </w:rPr>
        <w:t>Id at para 19, where this Court held that:</w:t>
      </w:r>
    </w:p>
    <w:p w14:paraId="7D7A4EA0" w14:textId="576FD55D" w:rsidR="00BE5E42" w:rsidRPr="001C66E0" w:rsidRDefault="00BE5E42" w:rsidP="001C66E0">
      <w:pPr>
        <w:pStyle w:val="QUOTEINFOOTNOTE"/>
        <w:rPr>
          <w:lang w:val="en-US"/>
        </w:rPr>
      </w:pPr>
      <w:r>
        <w:rPr>
          <w:lang w:val="en-US"/>
        </w:rPr>
        <w:t>“</w:t>
      </w:r>
      <w:r w:rsidRPr="001C66E0">
        <w:rPr>
          <w:lang w:val="en-US"/>
        </w:rPr>
        <w:t xml:space="preserve">In the final analysis it is the people who have to believe in the integrity of their Judges. </w:t>
      </w:r>
      <w:r>
        <w:rPr>
          <w:lang w:val="en-US"/>
        </w:rPr>
        <w:t xml:space="preserve"> </w:t>
      </w:r>
      <w:r w:rsidRPr="001C66E0">
        <w:rPr>
          <w:lang w:val="en-US"/>
        </w:rPr>
        <w:t>Without such trust, the Judiciary cannot function properly; and where the Judiciary cannot function properly the rule of law must die.</w:t>
      </w:r>
      <w:r>
        <w:rPr>
          <w:lang w:val="en-US"/>
        </w:rPr>
        <w:t xml:space="preserve"> </w:t>
      </w:r>
      <w:r w:rsidRPr="001C66E0">
        <w:rPr>
          <w:lang w:val="en-US"/>
        </w:rPr>
        <w:t xml:space="preserve"> Because of the importance of preserving public trust in the Judiciary and because of the reticence required for it to perform its arbitral role, special safeguards have been in existence for many centuries to protect the Judiciary against vilification.</w:t>
      </w:r>
      <w:r>
        <w:rPr>
          <w:lang w:val="en-US"/>
        </w:rPr>
        <w:t xml:space="preserve"> </w:t>
      </w:r>
      <w:r w:rsidRPr="001C66E0">
        <w:rPr>
          <w:lang w:val="en-US"/>
        </w:rPr>
        <w:t xml:space="preserve"> One of the protective devices is to deter disparaging remarks calculated to bring the judicial process into disrepute.</w:t>
      </w:r>
      <w:r>
        <w:rPr>
          <w:lang w:val="en-US"/>
        </w:rPr>
        <w:t>”</w:t>
      </w:r>
    </w:p>
  </w:footnote>
  <w:footnote w:id="25">
    <w:p w14:paraId="03E3AAEC" w14:textId="74F4152B" w:rsidR="00BE5E42" w:rsidRPr="0036584A" w:rsidRDefault="00BE5E42">
      <w:pPr>
        <w:pStyle w:val="FootnoteText"/>
        <w:rPr>
          <w:lang w:val="en-US"/>
        </w:rPr>
      </w:pPr>
      <w:r>
        <w:rPr>
          <w:rStyle w:val="FootnoteReference"/>
        </w:rPr>
        <w:footnoteRef/>
      </w:r>
      <w:r>
        <w:t xml:space="preserve"> </w:t>
      </w:r>
      <w:r>
        <w:rPr>
          <w:lang w:val="en-US"/>
        </w:rPr>
        <w:t>Id at para 33.</w:t>
      </w:r>
    </w:p>
  </w:footnote>
  <w:footnote w:id="26">
    <w:p w14:paraId="3157976C" w14:textId="72231347" w:rsidR="00BE5E42" w:rsidRPr="008550B3" w:rsidRDefault="00BE5E42">
      <w:pPr>
        <w:pStyle w:val="FootnoteText"/>
        <w:rPr>
          <w:lang w:val="en-US"/>
        </w:rPr>
      </w:pPr>
      <w:r>
        <w:rPr>
          <w:rStyle w:val="FootnoteReference"/>
        </w:rPr>
        <w:footnoteRef/>
      </w:r>
      <w:r>
        <w:t xml:space="preserve"> </w:t>
      </w:r>
      <w:r>
        <w:rPr>
          <w:i/>
          <w:iCs/>
          <w:lang w:val="en-US"/>
        </w:rPr>
        <w:t>Eskom</w:t>
      </w:r>
      <w:r>
        <w:rPr>
          <w:lang w:val="en-US"/>
        </w:rPr>
        <w:t xml:space="preserve"> above n </w:t>
      </w:r>
      <w:r>
        <w:rPr>
          <w:lang w:val="en-US"/>
        </w:rPr>
        <w:fldChar w:fldCharType="begin"/>
      </w:r>
      <w:r>
        <w:rPr>
          <w:lang w:val="en-US"/>
        </w:rPr>
        <w:instrText xml:space="preserve"> NOTEREF _Ref68727575 \h </w:instrText>
      </w:r>
      <w:r>
        <w:rPr>
          <w:lang w:val="en-US"/>
        </w:rPr>
      </w:r>
      <w:r>
        <w:rPr>
          <w:lang w:val="en-US"/>
        </w:rPr>
        <w:fldChar w:fldCharType="separate"/>
      </w:r>
      <w:r w:rsidR="001263B3">
        <w:rPr>
          <w:lang w:val="en-US"/>
        </w:rPr>
        <w:t>12</w:t>
      </w:r>
      <w:r>
        <w:rPr>
          <w:lang w:val="en-US"/>
        </w:rPr>
        <w:fldChar w:fldCharType="end"/>
      </w:r>
      <w:r>
        <w:rPr>
          <w:lang w:val="en-US"/>
        </w:rPr>
        <w:t xml:space="preserve"> at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B1EA" w14:textId="58433BD2" w:rsidR="00BE5E42" w:rsidRDefault="003D5D54" w:rsidP="000F7521">
    <w:pPr>
      <w:pStyle w:val="Header"/>
      <w:tabs>
        <w:tab w:val="clear" w:pos="4680"/>
        <w:tab w:val="clear" w:pos="9360"/>
        <w:tab w:val="right" w:pos="9072"/>
      </w:tabs>
      <w:jc w:val="right"/>
    </w:pPr>
    <w:r>
      <w:t>KHAMPEPE 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62F4" w14:textId="77777777" w:rsidR="00BE5E42" w:rsidRDefault="00BE5E42" w:rsidP="008C727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FEAD" w14:textId="77777777" w:rsidR="00BE5E42" w:rsidRDefault="00BE5E42" w:rsidP="008C72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7B0"/>
    <w:multiLevelType w:val="hybridMultilevel"/>
    <w:tmpl w:val="CC1CE4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F867D1"/>
    <w:multiLevelType w:val="hybridMultilevel"/>
    <w:tmpl w:val="FB2C6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2"/>
    <w:lvlOverride w:ilvl="0">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21B45"/>
    <w:rsid w:val="00031FE5"/>
    <w:rsid w:val="0003222E"/>
    <w:rsid w:val="00032A50"/>
    <w:rsid w:val="0003332C"/>
    <w:rsid w:val="0003374F"/>
    <w:rsid w:val="000442CB"/>
    <w:rsid w:val="000570BC"/>
    <w:rsid w:val="000621E2"/>
    <w:rsid w:val="00064E37"/>
    <w:rsid w:val="000704F2"/>
    <w:rsid w:val="00080FA7"/>
    <w:rsid w:val="0008371B"/>
    <w:rsid w:val="00087D71"/>
    <w:rsid w:val="00090264"/>
    <w:rsid w:val="000904A7"/>
    <w:rsid w:val="00090B6D"/>
    <w:rsid w:val="00095A15"/>
    <w:rsid w:val="000A4FC4"/>
    <w:rsid w:val="000B0C92"/>
    <w:rsid w:val="000B22E6"/>
    <w:rsid w:val="000B733E"/>
    <w:rsid w:val="000C38CF"/>
    <w:rsid w:val="000F5153"/>
    <w:rsid w:val="000F7521"/>
    <w:rsid w:val="001016AC"/>
    <w:rsid w:val="0011207A"/>
    <w:rsid w:val="001263B3"/>
    <w:rsid w:val="00136E9A"/>
    <w:rsid w:val="00143464"/>
    <w:rsid w:val="001445C4"/>
    <w:rsid w:val="001561A8"/>
    <w:rsid w:val="001611B1"/>
    <w:rsid w:val="001642F9"/>
    <w:rsid w:val="00174981"/>
    <w:rsid w:val="00183FC9"/>
    <w:rsid w:val="001927E9"/>
    <w:rsid w:val="00194B9C"/>
    <w:rsid w:val="00196422"/>
    <w:rsid w:val="001A4C2A"/>
    <w:rsid w:val="001B0E2B"/>
    <w:rsid w:val="001B4C29"/>
    <w:rsid w:val="001C050A"/>
    <w:rsid w:val="001C0CF7"/>
    <w:rsid w:val="001C1CE4"/>
    <w:rsid w:val="001C66E0"/>
    <w:rsid w:val="001D31D7"/>
    <w:rsid w:val="001E6831"/>
    <w:rsid w:val="001E6AC7"/>
    <w:rsid w:val="002055D9"/>
    <w:rsid w:val="00212B8F"/>
    <w:rsid w:val="002160B9"/>
    <w:rsid w:val="002208F2"/>
    <w:rsid w:val="00221A3A"/>
    <w:rsid w:val="00227521"/>
    <w:rsid w:val="00230666"/>
    <w:rsid w:val="00232B8F"/>
    <w:rsid w:val="00236F9A"/>
    <w:rsid w:val="0024725F"/>
    <w:rsid w:val="002515EF"/>
    <w:rsid w:val="0025393F"/>
    <w:rsid w:val="002617A1"/>
    <w:rsid w:val="002727CA"/>
    <w:rsid w:val="00274BEB"/>
    <w:rsid w:val="002759F1"/>
    <w:rsid w:val="00280CB8"/>
    <w:rsid w:val="00283D54"/>
    <w:rsid w:val="00285368"/>
    <w:rsid w:val="00287753"/>
    <w:rsid w:val="00295C91"/>
    <w:rsid w:val="002B1226"/>
    <w:rsid w:val="002C0BF8"/>
    <w:rsid w:val="002C5F97"/>
    <w:rsid w:val="002C7AC5"/>
    <w:rsid w:val="002D1FD9"/>
    <w:rsid w:val="002D37ED"/>
    <w:rsid w:val="002D39D1"/>
    <w:rsid w:val="002D6E04"/>
    <w:rsid w:val="002D7A8D"/>
    <w:rsid w:val="002E1AA1"/>
    <w:rsid w:val="002E2270"/>
    <w:rsid w:val="002E4834"/>
    <w:rsid w:val="002E4857"/>
    <w:rsid w:val="002F6A17"/>
    <w:rsid w:val="003004C0"/>
    <w:rsid w:val="00313A2C"/>
    <w:rsid w:val="003245C6"/>
    <w:rsid w:val="00326649"/>
    <w:rsid w:val="0033355E"/>
    <w:rsid w:val="0033477D"/>
    <w:rsid w:val="00341131"/>
    <w:rsid w:val="00346927"/>
    <w:rsid w:val="00351BC1"/>
    <w:rsid w:val="00354856"/>
    <w:rsid w:val="003572F9"/>
    <w:rsid w:val="003644DF"/>
    <w:rsid w:val="0036584A"/>
    <w:rsid w:val="00366550"/>
    <w:rsid w:val="00376EA8"/>
    <w:rsid w:val="00380991"/>
    <w:rsid w:val="00381E96"/>
    <w:rsid w:val="003837F4"/>
    <w:rsid w:val="00386F56"/>
    <w:rsid w:val="00386FCB"/>
    <w:rsid w:val="003A18CF"/>
    <w:rsid w:val="003A3C4A"/>
    <w:rsid w:val="003A3E5C"/>
    <w:rsid w:val="003A45AB"/>
    <w:rsid w:val="003B02B4"/>
    <w:rsid w:val="003B12C2"/>
    <w:rsid w:val="003B60D2"/>
    <w:rsid w:val="003C5CF6"/>
    <w:rsid w:val="003C7B6C"/>
    <w:rsid w:val="003D2B03"/>
    <w:rsid w:val="003D5D54"/>
    <w:rsid w:val="003D6C32"/>
    <w:rsid w:val="004110F6"/>
    <w:rsid w:val="00413E48"/>
    <w:rsid w:val="00415CF4"/>
    <w:rsid w:val="00432ABF"/>
    <w:rsid w:val="004363DE"/>
    <w:rsid w:val="00436D3A"/>
    <w:rsid w:val="0044313C"/>
    <w:rsid w:val="0044789D"/>
    <w:rsid w:val="00454412"/>
    <w:rsid w:val="0046182E"/>
    <w:rsid w:val="004620BF"/>
    <w:rsid w:val="0046505E"/>
    <w:rsid w:val="00484278"/>
    <w:rsid w:val="004A14DE"/>
    <w:rsid w:val="004C34EB"/>
    <w:rsid w:val="004C7588"/>
    <w:rsid w:val="004D02BA"/>
    <w:rsid w:val="004D10C8"/>
    <w:rsid w:val="004D3AD0"/>
    <w:rsid w:val="004E00EA"/>
    <w:rsid w:val="004E2361"/>
    <w:rsid w:val="004E3677"/>
    <w:rsid w:val="00500044"/>
    <w:rsid w:val="00500EFC"/>
    <w:rsid w:val="00503030"/>
    <w:rsid w:val="005040B2"/>
    <w:rsid w:val="0050499C"/>
    <w:rsid w:val="00507C1B"/>
    <w:rsid w:val="00526CE6"/>
    <w:rsid w:val="00530C9D"/>
    <w:rsid w:val="005314E0"/>
    <w:rsid w:val="00533037"/>
    <w:rsid w:val="00535E74"/>
    <w:rsid w:val="00537819"/>
    <w:rsid w:val="00542F53"/>
    <w:rsid w:val="00544918"/>
    <w:rsid w:val="00557CF2"/>
    <w:rsid w:val="005627D3"/>
    <w:rsid w:val="0056742C"/>
    <w:rsid w:val="005762B1"/>
    <w:rsid w:val="00590B22"/>
    <w:rsid w:val="00594381"/>
    <w:rsid w:val="005A1824"/>
    <w:rsid w:val="005B585C"/>
    <w:rsid w:val="005B5F27"/>
    <w:rsid w:val="005E07C7"/>
    <w:rsid w:val="005F1F11"/>
    <w:rsid w:val="005F25A8"/>
    <w:rsid w:val="005F2A90"/>
    <w:rsid w:val="00601A88"/>
    <w:rsid w:val="00621F16"/>
    <w:rsid w:val="00624F71"/>
    <w:rsid w:val="00657B43"/>
    <w:rsid w:val="00664A82"/>
    <w:rsid w:val="0067159E"/>
    <w:rsid w:val="006724E0"/>
    <w:rsid w:val="0067644D"/>
    <w:rsid w:val="00682330"/>
    <w:rsid w:val="006869E0"/>
    <w:rsid w:val="00690008"/>
    <w:rsid w:val="00691FCF"/>
    <w:rsid w:val="006A0EBD"/>
    <w:rsid w:val="006A6304"/>
    <w:rsid w:val="006D21A9"/>
    <w:rsid w:val="006E3711"/>
    <w:rsid w:val="007013ED"/>
    <w:rsid w:val="007038B4"/>
    <w:rsid w:val="00707C78"/>
    <w:rsid w:val="007143B2"/>
    <w:rsid w:val="00715661"/>
    <w:rsid w:val="00726A4F"/>
    <w:rsid w:val="00730113"/>
    <w:rsid w:val="0073721F"/>
    <w:rsid w:val="007410F3"/>
    <w:rsid w:val="00742894"/>
    <w:rsid w:val="007459C4"/>
    <w:rsid w:val="0074753B"/>
    <w:rsid w:val="00755A6B"/>
    <w:rsid w:val="00787A6E"/>
    <w:rsid w:val="00792D47"/>
    <w:rsid w:val="00793F89"/>
    <w:rsid w:val="007947C8"/>
    <w:rsid w:val="00797729"/>
    <w:rsid w:val="007A3DCB"/>
    <w:rsid w:val="007B1483"/>
    <w:rsid w:val="007B5814"/>
    <w:rsid w:val="007C2FC8"/>
    <w:rsid w:val="007C4840"/>
    <w:rsid w:val="007E30BB"/>
    <w:rsid w:val="007E403C"/>
    <w:rsid w:val="00803550"/>
    <w:rsid w:val="00807A5D"/>
    <w:rsid w:val="00813995"/>
    <w:rsid w:val="00817799"/>
    <w:rsid w:val="00820119"/>
    <w:rsid w:val="008210D8"/>
    <w:rsid w:val="0082400F"/>
    <w:rsid w:val="00833AC2"/>
    <w:rsid w:val="00834803"/>
    <w:rsid w:val="00842678"/>
    <w:rsid w:val="00851D8D"/>
    <w:rsid w:val="008550B3"/>
    <w:rsid w:val="00860C4E"/>
    <w:rsid w:val="0087217E"/>
    <w:rsid w:val="00893F46"/>
    <w:rsid w:val="00897B62"/>
    <w:rsid w:val="008A65D2"/>
    <w:rsid w:val="008A79E5"/>
    <w:rsid w:val="008B1882"/>
    <w:rsid w:val="008B370D"/>
    <w:rsid w:val="008C727F"/>
    <w:rsid w:val="008E31EF"/>
    <w:rsid w:val="008E562C"/>
    <w:rsid w:val="008F04B8"/>
    <w:rsid w:val="008F1AED"/>
    <w:rsid w:val="008F360F"/>
    <w:rsid w:val="00904596"/>
    <w:rsid w:val="00910B67"/>
    <w:rsid w:val="00911782"/>
    <w:rsid w:val="00917971"/>
    <w:rsid w:val="00923CD0"/>
    <w:rsid w:val="009365BA"/>
    <w:rsid w:val="00937742"/>
    <w:rsid w:val="00940A0D"/>
    <w:rsid w:val="00947012"/>
    <w:rsid w:val="009559B5"/>
    <w:rsid w:val="009674D7"/>
    <w:rsid w:val="0098219B"/>
    <w:rsid w:val="00984850"/>
    <w:rsid w:val="009860CD"/>
    <w:rsid w:val="009864EB"/>
    <w:rsid w:val="00987555"/>
    <w:rsid w:val="00987B57"/>
    <w:rsid w:val="00992DA8"/>
    <w:rsid w:val="00993CD1"/>
    <w:rsid w:val="009B7B27"/>
    <w:rsid w:val="009C3888"/>
    <w:rsid w:val="009E12A3"/>
    <w:rsid w:val="00A203C4"/>
    <w:rsid w:val="00A24CFE"/>
    <w:rsid w:val="00A301EE"/>
    <w:rsid w:val="00A35CE0"/>
    <w:rsid w:val="00A50342"/>
    <w:rsid w:val="00A53AF1"/>
    <w:rsid w:val="00A73F71"/>
    <w:rsid w:val="00A81C1D"/>
    <w:rsid w:val="00A97332"/>
    <w:rsid w:val="00AA0F8C"/>
    <w:rsid w:val="00AA3646"/>
    <w:rsid w:val="00AA6755"/>
    <w:rsid w:val="00AB3141"/>
    <w:rsid w:val="00AB7CB4"/>
    <w:rsid w:val="00AC4233"/>
    <w:rsid w:val="00AD2D1A"/>
    <w:rsid w:val="00AD35F4"/>
    <w:rsid w:val="00AE1728"/>
    <w:rsid w:val="00AE5713"/>
    <w:rsid w:val="00AE7143"/>
    <w:rsid w:val="00AE7602"/>
    <w:rsid w:val="00AF422F"/>
    <w:rsid w:val="00B02877"/>
    <w:rsid w:val="00B31462"/>
    <w:rsid w:val="00B32AB4"/>
    <w:rsid w:val="00B46E7E"/>
    <w:rsid w:val="00B64ADD"/>
    <w:rsid w:val="00B7017B"/>
    <w:rsid w:val="00B7050F"/>
    <w:rsid w:val="00B735E5"/>
    <w:rsid w:val="00B74C76"/>
    <w:rsid w:val="00B81F77"/>
    <w:rsid w:val="00B8590B"/>
    <w:rsid w:val="00B85E17"/>
    <w:rsid w:val="00B87852"/>
    <w:rsid w:val="00B925C1"/>
    <w:rsid w:val="00B97ED9"/>
    <w:rsid w:val="00BA3BEF"/>
    <w:rsid w:val="00BB0654"/>
    <w:rsid w:val="00BB1635"/>
    <w:rsid w:val="00BB25FC"/>
    <w:rsid w:val="00BB312F"/>
    <w:rsid w:val="00BB36C9"/>
    <w:rsid w:val="00BC231D"/>
    <w:rsid w:val="00BD0174"/>
    <w:rsid w:val="00BD32D1"/>
    <w:rsid w:val="00BD709C"/>
    <w:rsid w:val="00BE5E42"/>
    <w:rsid w:val="00BE700A"/>
    <w:rsid w:val="00BF3824"/>
    <w:rsid w:val="00BF5108"/>
    <w:rsid w:val="00C016A4"/>
    <w:rsid w:val="00C066B6"/>
    <w:rsid w:val="00C11D3A"/>
    <w:rsid w:val="00C44207"/>
    <w:rsid w:val="00C45690"/>
    <w:rsid w:val="00C51413"/>
    <w:rsid w:val="00C6034D"/>
    <w:rsid w:val="00C63EC7"/>
    <w:rsid w:val="00C67227"/>
    <w:rsid w:val="00C67D73"/>
    <w:rsid w:val="00C739DB"/>
    <w:rsid w:val="00C74761"/>
    <w:rsid w:val="00C85CD4"/>
    <w:rsid w:val="00C95D7C"/>
    <w:rsid w:val="00C974DF"/>
    <w:rsid w:val="00CA3BF8"/>
    <w:rsid w:val="00CA6ACC"/>
    <w:rsid w:val="00CB0CB2"/>
    <w:rsid w:val="00CB63EA"/>
    <w:rsid w:val="00CC158D"/>
    <w:rsid w:val="00CC301A"/>
    <w:rsid w:val="00CC38E6"/>
    <w:rsid w:val="00CC6FCA"/>
    <w:rsid w:val="00CD5769"/>
    <w:rsid w:val="00CE487A"/>
    <w:rsid w:val="00CE5F9F"/>
    <w:rsid w:val="00CE662D"/>
    <w:rsid w:val="00CF0044"/>
    <w:rsid w:val="00D01D2A"/>
    <w:rsid w:val="00D033C4"/>
    <w:rsid w:val="00D14C40"/>
    <w:rsid w:val="00D20C85"/>
    <w:rsid w:val="00D30653"/>
    <w:rsid w:val="00D57120"/>
    <w:rsid w:val="00D6260E"/>
    <w:rsid w:val="00D71F7C"/>
    <w:rsid w:val="00D76A1F"/>
    <w:rsid w:val="00D858F0"/>
    <w:rsid w:val="00D91606"/>
    <w:rsid w:val="00D91891"/>
    <w:rsid w:val="00DA7CDD"/>
    <w:rsid w:val="00DB0212"/>
    <w:rsid w:val="00DB0A27"/>
    <w:rsid w:val="00DB3839"/>
    <w:rsid w:val="00DB3FC8"/>
    <w:rsid w:val="00DB4070"/>
    <w:rsid w:val="00DE037F"/>
    <w:rsid w:val="00DE1526"/>
    <w:rsid w:val="00DE3E54"/>
    <w:rsid w:val="00DE7926"/>
    <w:rsid w:val="00DE7E61"/>
    <w:rsid w:val="00E12D4B"/>
    <w:rsid w:val="00E17114"/>
    <w:rsid w:val="00E204E5"/>
    <w:rsid w:val="00E210D3"/>
    <w:rsid w:val="00E230D7"/>
    <w:rsid w:val="00E37305"/>
    <w:rsid w:val="00E45515"/>
    <w:rsid w:val="00E4607C"/>
    <w:rsid w:val="00E4636A"/>
    <w:rsid w:val="00E51128"/>
    <w:rsid w:val="00E614DA"/>
    <w:rsid w:val="00E63C65"/>
    <w:rsid w:val="00E70761"/>
    <w:rsid w:val="00E73405"/>
    <w:rsid w:val="00E74959"/>
    <w:rsid w:val="00E92E9B"/>
    <w:rsid w:val="00E93A1B"/>
    <w:rsid w:val="00E94DAE"/>
    <w:rsid w:val="00ED0FE3"/>
    <w:rsid w:val="00ED4418"/>
    <w:rsid w:val="00F008DA"/>
    <w:rsid w:val="00F03569"/>
    <w:rsid w:val="00F07709"/>
    <w:rsid w:val="00F12F57"/>
    <w:rsid w:val="00F22634"/>
    <w:rsid w:val="00F245CE"/>
    <w:rsid w:val="00F33FBE"/>
    <w:rsid w:val="00F44521"/>
    <w:rsid w:val="00F45DC4"/>
    <w:rsid w:val="00F549F8"/>
    <w:rsid w:val="00F57A49"/>
    <w:rsid w:val="00F709D4"/>
    <w:rsid w:val="00F76D30"/>
    <w:rsid w:val="00F8303E"/>
    <w:rsid w:val="00F91642"/>
    <w:rsid w:val="00FA152C"/>
    <w:rsid w:val="00FD5903"/>
    <w:rsid w:val="00FE6B1B"/>
    <w:rsid w:val="00FF30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2FFC"/>
  <w15:docId w15:val="{73EEF368-842B-4260-A4C7-C12AA153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1C66E0"/>
    <w:rPr>
      <w:sz w:val="16"/>
      <w:szCs w:val="16"/>
    </w:rPr>
  </w:style>
  <w:style w:type="paragraph" w:styleId="CommentText">
    <w:name w:val="annotation text"/>
    <w:basedOn w:val="Normal"/>
    <w:link w:val="CommentTextChar"/>
    <w:uiPriority w:val="99"/>
    <w:unhideWhenUsed/>
    <w:rsid w:val="001C66E0"/>
    <w:pPr>
      <w:spacing w:line="240" w:lineRule="auto"/>
    </w:pPr>
    <w:rPr>
      <w:sz w:val="20"/>
      <w:szCs w:val="20"/>
    </w:rPr>
  </w:style>
  <w:style w:type="character" w:customStyle="1" w:styleId="CommentTextChar">
    <w:name w:val="Comment Text Char"/>
    <w:basedOn w:val="DefaultParagraphFont"/>
    <w:link w:val="CommentText"/>
    <w:uiPriority w:val="99"/>
    <w:rsid w:val="001C66E0"/>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1C66E0"/>
    <w:rPr>
      <w:b/>
      <w:bCs/>
    </w:rPr>
  </w:style>
  <w:style w:type="character" w:customStyle="1" w:styleId="CommentSubjectChar">
    <w:name w:val="Comment Subject Char"/>
    <w:basedOn w:val="CommentTextChar"/>
    <w:link w:val="CommentSubject"/>
    <w:uiPriority w:val="99"/>
    <w:semiHidden/>
    <w:rsid w:val="001C66E0"/>
    <w:rPr>
      <w:rFonts w:ascii="Times New Roman" w:hAnsi="Times New Roman"/>
      <w:b/>
      <w:bCs/>
      <w:lang w:val="en-ZA"/>
    </w:rPr>
  </w:style>
  <w:style w:type="character" w:styleId="Hyperlink">
    <w:name w:val="Hyperlink"/>
    <w:basedOn w:val="DefaultParagraphFont"/>
    <w:uiPriority w:val="99"/>
    <w:unhideWhenUsed/>
    <w:rsid w:val="0025393F"/>
    <w:rPr>
      <w:color w:val="0000FF" w:themeColor="hyperlink"/>
      <w:u w:val="single"/>
    </w:rPr>
  </w:style>
  <w:style w:type="character" w:styleId="FollowedHyperlink">
    <w:name w:val="FollowedHyperlink"/>
    <w:basedOn w:val="DefaultParagraphFont"/>
    <w:uiPriority w:val="99"/>
    <w:semiHidden/>
    <w:unhideWhenUsed/>
    <w:rsid w:val="0025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378">
      <w:bodyDiv w:val="1"/>
      <w:marLeft w:val="0"/>
      <w:marRight w:val="0"/>
      <w:marTop w:val="0"/>
      <w:marBottom w:val="0"/>
      <w:divBdr>
        <w:top w:val="none" w:sz="0" w:space="0" w:color="auto"/>
        <w:left w:val="none" w:sz="0" w:space="0" w:color="auto"/>
        <w:bottom w:val="none" w:sz="0" w:space="0" w:color="auto"/>
        <w:right w:val="none" w:sz="0" w:space="0" w:color="auto"/>
      </w:divBdr>
      <w:divsChild>
        <w:div w:id="493841361">
          <w:marLeft w:val="0"/>
          <w:marRight w:val="0"/>
          <w:marTop w:val="0"/>
          <w:marBottom w:val="0"/>
          <w:divBdr>
            <w:top w:val="none" w:sz="0" w:space="0" w:color="auto"/>
            <w:left w:val="none" w:sz="0" w:space="0" w:color="auto"/>
            <w:bottom w:val="none" w:sz="0" w:space="0" w:color="auto"/>
            <w:right w:val="none" w:sz="0" w:space="0" w:color="auto"/>
          </w:divBdr>
        </w:div>
        <w:div w:id="1218708873">
          <w:marLeft w:val="0"/>
          <w:marRight w:val="0"/>
          <w:marTop w:val="0"/>
          <w:marBottom w:val="0"/>
          <w:divBdr>
            <w:top w:val="none" w:sz="0" w:space="0" w:color="auto"/>
            <w:left w:val="none" w:sz="0" w:space="0" w:color="auto"/>
            <w:bottom w:val="none" w:sz="0" w:space="0" w:color="auto"/>
            <w:right w:val="none" w:sz="0" w:space="0" w:color="auto"/>
          </w:divBdr>
        </w:div>
        <w:div w:id="1784031258">
          <w:marLeft w:val="0"/>
          <w:marRight w:val="0"/>
          <w:marTop w:val="0"/>
          <w:marBottom w:val="0"/>
          <w:divBdr>
            <w:top w:val="none" w:sz="0" w:space="0" w:color="auto"/>
            <w:left w:val="none" w:sz="0" w:space="0" w:color="auto"/>
            <w:bottom w:val="none" w:sz="0" w:space="0" w:color="auto"/>
            <w:right w:val="none" w:sz="0" w:space="0" w:color="auto"/>
          </w:divBdr>
        </w:div>
      </w:divsChild>
    </w:div>
    <w:div w:id="1032074838">
      <w:bodyDiv w:val="1"/>
      <w:marLeft w:val="0"/>
      <w:marRight w:val="0"/>
      <w:marTop w:val="0"/>
      <w:marBottom w:val="0"/>
      <w:divBdr>
        <w:top w:val="none" w:sz="0" w:space="0" w:color="auto"/>
        <w:left w:val="none" w:sz="0" w:space="0" w:color="auto"/>
        <w:bottom w:val="none" w:sz="0" w:space="0" w:color="auto"/>
        <w:right w:val="none" w:sz="0" w:space="0" w:color="auto"/>
      </w:divBdr>
    </w:div>
    <w:div w:id="1222247617">
      <w:bodyDiv w:val="1"/>
      <w:marLeft w:val="0"/>
      <w:marRight w:val="0"/>
      <w:marTop w:val="0"/>
      <w:marBottom w:val="0"/>
      <w:divBdr>
        <w:top w:val="none" w:sz="0" w:space="0" w:color="auto"/>
        <w:left w:val="none" w:sz="0" w:space="0" w:color="auto"/>
        <w:bottom w:val="none" w:sz="0" w:space="0" w:color="auto"/>
        <w:right w:val="none" w:sz="0" w:space="0" w:color="auto"/>
      </w:divBdr>
    </w:div>
    <w:div w:id="18801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A62E-DB0E-4C57-B840-4D859C42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Mary Bruce</cp:lastModifiedBy>
  <cp:revision>3</cp:revision>
  <dcterms:created xsi:type="dcterms:W3CDTF">2021-10-07T12:39:00Z</dcterms:created>
  <dcterms:modified xsi:type="dcterms:W3CDTF">2021-10-07T12:41:00Z</dcterms:modified>
</cp:coreProperties>
</file>