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4FC91" w14:textId="77777777" w:rsidR="009325A2" w:rsidRPr="009325A2" w:rsidRDefault="00390F6E" w:rsidP="00644851">
      <w:pPr>
        <w:spacing w:line="240" w:lineRule="auto"/>
        <w:jc w:val="center"/>
        <w:outlineLvl w:val="0"/>
      </w:pPr>
      <w:r>
        <w:t xml:space="preserve"> </w:t>
      </w:r>
      <w:r w:rsidR="0003374F" w:rsidRPr="0003374F">
        <w:rPr>
          <w:b/>
          <w:bCs/>
          <w:noProof/>
          <w:color w:val="1F497D"/>
          <w:lang w:eastAsia="en-ZA"/>
        </w:rPr>
        <w:drawing>
          <wp:inline distT="0" distB="0" distL="0" distR="0" wp14:anchorId="12B43F93" wp14:editId="27F7AF90">
            <wp:extent cx="849732" cy="876300"/>
            <wp:effectExtent l="19050" t="0" r="7518" b="0"/>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9732" cy="876300"/>
                    </a:xfrm>
                    <a:prstGeom prst="rect">
                      <a:avLst/>
                    </a:prstGeom>
                    <a:noFill/>
                    <a:ln w="9525">
                      <a:noFill/>
                      <a:miter lim="800000"/>
                      <a:headEnd/>
                      <a:tailEnd/>
                    </a:ln>
                  </pic:spPr>
                </pic:pic>
              </a:graphicData>
            </a:graphic>
          </wp:inline>
        </w:drawing>
      </w:r>
      <w:r w:rsidR="009325A2" w:rsidRPr="009325A2">
        <w:rPr>
          <w:b/>
        </w:rPr>
        <w:br/>
      </w:r>
    </w:p>
    <w:p w14:paraId="75AA0B02" w14:textId="77777777" w:rsidR="003A18CF" w:rsidRPr="00271C49" w:rsidRDefault="003A18CF" w:rsidP="003A18CF">
      <w:pPr>
        <w:spacing w:line="240" w:lineRule="auto"/>
        <w:jc w:val="center"/>
        <w:outlineLvl w:val="0"/>
        <w:rPr>
          <w:b/>
        </w:rPr>
      </w:pPr>
      <w:r w:rsidRPr="00271C49">
        <w:rPr>
          <w:b/>
        </w:rPr>
        <w:t>CONSTITUTIONAL COURT OF SOUTH AFRICA</w:t>
      </w:r>
    </w:p>
    <w:p w14:paraId="17753EBF" w14:textId="77777777" w:rsidR="003A18CF" w:rsidRDefault="003A18CF" w:rsidP="00BF2661">
      <w:pPr>
        <w:spacing w:line="240" w:lineRule="auto"/>
        <w:jc w:val="center"/>
      </w:pPr>
    </w:p>
    <w:p w14:paraId="07F4D1F9" w14:textId="77777777" w:rsidR="003A18CF" w:rsidRPr="009C3888" w:rsidRDefault="003A18CF" w:rsidP="00BF2661">
      <w:pPr>
        <w:spacing w:line="240" w:lineRule="auto"/>
        <w:jc w:val="center"/>
      </w:pPr>
    </w:p>
    <w:p w14:paraId="5627F3DB" w14:textId="77777777" w:rsidR="003A18CF" w:rsidRPr="002B306E" w:rsidRDefault="003A18CF" w:rsidP="003A18CF">
      <w:pPr>
        <w:tabs>
          <w:tab w:val="right" w:pos="9029"/>
        </w:tabs>
        <w:spacing w:line="240" w:lineRule="auto"/>
        <w:rPr>
          <w:bCs/>
        </w:rPr>
      </w:pPr>
      <w:r w:rsidRPr="00961263">
        <w:tab/>
      </w:r>
      <w:r w:rsidRPr="002B306E">
        <w:rPr>
          <w:bCs/>
        </w:rPr>
        <w:t xml:space="preserve">Case CCT </w:t>
      </w:r>
      <w:r w:rsidR="00E412C6" w:rsidRPr="002B306E">
        <w:rPr>
          <w:bCs/>
        </w:rPr>
        <w:t>154/20</w:t>
      </w:r>
    </w:p>
    <w:p w14:paraId="55C2ED74" w14:textId="77777777" w:rsidR="003A18CF" w:rsidRDefault="003A18CF" w:rsidP="003A18CF">
      <w:pPr>
        <w:tabs>
          <w:tab w:val="left" w:pos="8998"/>
        </w:tabs>
        <w:spacing w:line="240" w:lineRule="auto"/>
      </w:pPr>
    </w:p>
    <w:p w14:paraId="321C4D43" w14:textId="77777777" w:rsidR="003A18CF" w:rsidRPr="00E6071A" w:rsidRDefault="003A18CF" w:rsidP="003A18CF">
      <w:pPr>
        <w:tabs>
          <w:tab w:val="left" w:pos="8998"/>
        </w:tabs>
        <w:spacing w:line="240" w:lineRule="auto"/>
      </w:pPr>
      <w:r w:rsidRPr="00E6071A">
        <w:t>In the matter between:</w:t>
      </w:r>
    </w:p>
    <w:p w14:paraId="02CCE02E" w14:textId="77777777" w:rsidR="003A18CF" w:rsidRDefault="003A18CF" w:rsidP="003A18CF">
      <w:pPr>
        <w:tabs>
          <w:tab w:val="left" w:pos="8998"/>
        </w:tabs>
        <w:spacing w:line="240" w:lineRule="auto"/>
      </w:pPr>
    </w:p>
    <w:p w14:paraId="08C0FA37" w14:textId="77777777" w:rsidR="003A18CF" w:rsidRPr="009C3888" w:rsidRDefault="003A18CF" w:rsidP="003A18CF">
      <w:pPr>
        <w:tabs>
          <w:tab w:val="left" w:pos="8998"/>
        </w:tabs>
        <w:spacing w:line="240" w:lineRule="auto"/>
      </w:pPr>
    </w:p>
    <w:p w14:paraId="6E4BB79E" w14:textId="77777777" w:rsidR="008E1717" w:rsidRDefault="00E412C6" w:rsidP="003A18CF">
      <w:pPr>
        <w:tabs>
          <w:tab w:val="right" w:pos="9029"/>
        </w:tabs>
        <w:spacing w:line="240" w:lineRule="auto"/>
        <w:rPr>
          <w:b/>
          <w:szCs w:val="26"/>
        </w:rPr>
      </w:pPr>
      <w:r w:rsidRPr="00E412C6">
        <w:rPr>
          <w:b/>
          <w:szCs w:val="26"/>
        </w:rPr>
        <w:t>NATIONAL UNION OF MINEWORKERS</w:t>
      </w:r>
    </w:p>
    <w:p w14:paraId="69D01C9A" w14:textId="77777777" w:rsidR="003A18CF" w:rsidRPr="00EE02D5" w:rsidRDefault="00242704" w:rsidP="00242704">
      <w:pPr>
        <w:tabs>
          <w:tab w:val="right" w:pos="9029"/>
        </w:tabs>
        <w:spacing w:line="240" w:lineRule="auto"/>
        <w:rPr>
          <w:szCs w:val="26"/>
        </w:rPr>
      </w:pPr>
      <w:r>
        <w:rPr>
          <w:b/>
          <w:szCs w:val="26"/>
        </w:rPr>
        <w:t>OBO</w:t>
      </w:r>
      <w:r w:rsidR="00E412C6">
        <w:rPr>
          <w:b/>
          <w:szCs w:val="26"/>
        </w:rPr>
        <w:t xml:space="preserve"> VIOLET MASHA </w:t>
      </w:r>
      <w:r w:rsidR="008532B1">
        <w:rPr>
          <w:b/>
          <w:szCs w:val="26"/>
        </w:rPr>
        <w:t>AND</w:t>
      </w:r>
      <w:r w:rsidR="00E412C6">
        <w:rPr>
          <w:b/>
          <w:szCs w:val="26"/>
        </w:rPr>
        <w:t xml:space="preserve"> OTHERS</w:t>
      </w:r>
      <w:r w:rsidR="003A18CF" w:rsidRPr="00EE02D5">
        <w:rPr>
          <w:szCs w:val="26"/>
        </w:rPr>
        <w:tab/>
        <w:t>Applicant</w:t>
      </w:r>
    </w:p>
    <w:p w14:paraId="6FE6265F" w14:textId="77777777" w:rsidR="003A18CF" w:rsidRPr="00EE02D5" w:rsidRDefault="003A18CF" w:rsidP="003A18CF">
      <w:pPr>
        <w:tabs>
          <w:tab w:val="right" w:pos="9029"/>
        </w:tabs>
        <w:spacing w:line="240" w:lineRule="auto"/>
        <w:rPr>
          <w:szCs w:val="26"/>
        </w:rPr>
      </w:pPr>
    </w:p>
    <w:p w14:paraId="6B5AEFF6" w14:textId="77777777" w:rsidR="003A18CF" w:rsidRPr="00EE02D5" w:rsidRDefault="003A18CF" w:rsidP="003A18CF">
      <w:pPr>
        <w:spacing w:line="240" w:lineRule="auto"/>
        <w:rPr>
          <w:szCs w:val="26"/>
        </w:rPr>
      </w:pPr>
      <w:r w:rsidRPr="00EE02D5">
        <w:rPr>
          <w:szCs w:val="26"/>
        </w:rPr>
        <w:t>and</w:t>
      </w:r>
    </w:p>
    <w:p w14:paraId="1AB4AE79" w14:textId="77777777" w:rsidR="003A18CF" w:rsidRPr="00EE02D5" w:rsidRDefault="003A18CF" w:rsidP="003A18CF">
      <w:pPr>
        <w:spacing w:line="240" w:lineRule="auto"/>
        <w:rPr>
          <w:szCs w:val="26"/>
        </w:rPr>
      </w:pPr>
    </w:p>
    <w:p w14:paraId="20962669" w14:textId="77777777" w:rsidR="003A18CF" w:rsidRPr="00EE02D5" w:rsidRDefault="00E412C6" w:rsidP="003A18CF">
      <w:pPr>
        <w:tabs>
          <w:tab w:val="right" w:pos="9029"/>
        </w:tabs>
        <w:spacing w:line="240" w:lineRule="auto"/>
        <w:rPr>
          <w:szCs w:val="26"/>
        </w:rPr>
      </w:pPr>
      <w:r w:rsidRPr="00E412C6">
        <w:rPr>
          <w:b/>
          <w:szCs w:val="26"/>
        </w:rPr>
        <w:t>SAMANCOR LIMITED</w:t>
      </w:r>
      <w:r>
        <w:rPr>
          <w:b/>
          <w:szCs w:val="26"/>
        </w:rPr>
        <w:t xml:space="preserve"> (EASTERN CHROMES</w:t>
      </w:r>
      <w:r w:rsidR="007812E3">
        <w:rPr>
          <w:b/>
          <w:szCs w:val="26"/>
        </w:rPr>
        <w:t xml:space="preserve"> MINES</w:t>
      </w:r>
      <w:r>
        <w:rPr>
          <w:b/>
          <w:szCs w:val="26"/>
        </w:rPr>
        <w:t>)</w:t>
      </w:r>
      <w:r w:rsidR="003A18CF" w:rsidRPr="00EE02D5">
        <w:rPr>
          <w:szCs w:val="26"/>
        </w:rPr>
        <w:tab/>
      </w:r>
      <w:r w:rsidR="003A18CF" w:rsidRPr="00E412C6">
        <w:rPr>
          <w:szCs w:val="26"/>
        </w:rPr>
        <w:t>First</w:t>
      </w:r>
      <w:r w:rsidR="003A18CF" w:rsidRPr="00EE02D5">
        <w:rPr>
          <w:szCs w:val="26"/>
        </w:rPr>
        <w:t xml:space="preserve"> Respondent</w:t>
      </w:r>
    </w:p>
    <w:p w14:paraId="3B4C4470" w14:textId="77777777" w:rsidR="003A18CF" w:rsidRPr="00EE02D5" w:rsidRDefault="003A18CF" w:rsidP="003A18CF">
      <w:pPr>
        <w:tabs>
          <w:tab w:val="right" w:pos="9029"/>
        </w:tabs>
        <w:spacing w:line="240" w:lineRule="auto"/>
        <w:rPr>
          <w:szCs w:val="26"/>
        </w:rPr>
      </w:pPr>
    </w:p>
    <w:p w14:paraId="77EA62A9" w14:textId="77777777" w:rsidR="003A18CF" w:rsidRPr="00EE02D5" w:rsidRDefault="00E412C6" w:rsidP="003A18CF">
      <w:pPr>
        <w:tabs>
          <w:tab w:val="right" w:pos="9029"/>
        </w:tabs>
        <w:spacing w:line="240" w:lineRule="auto"/>
        <w:rPr>
          <w:szCs w:val="26"/>
        </w:rPr>
      </w:pPr>
      <w:r w:rsidRPr="00E412C6">
        <w:rPr>
          <w:b/>
          <w:szCs w:val="26"/>
        </w:rPr>
        <w:t>NICHOLUS SONO N.O</w:t>
      </w:r>
      <w:r w:rsidR="007812E3">
        <w:rPr>
          <w:b/>
          <w:szCs w:val="26"/>
        </w:rPr>
        <w:t>.</w:t>
      </w:r>
      <w:r w:rsidR="003A18CF" w:rsidRPr="00EE02D5">
        <w:rPr>
          <w:szCs w:val="26"/>
        </w:rPr>
        <w:tab/>
      </w:r>
      <w:r w:rsidR="003A18CF" w:rsidRPr="00E412C6">
        <w:rPr>
          <w:szCs w:val="26"/>
        </w:rPr>
        <w:t>Second Respondent</w:t>
      </w:r>
    </w:p>
    <w:p w14:paraId="75D7F5C3" w14:textId="77777777" w:rsidR="003A18CF" w:rsidRPr="00EE02D5" w:rsidRDefault="003A18CF" w:rsidP="003A18CF">
      <w:pPr>
        <w:spacing w:line="240" w:lineRule="auto"/>
        <w:rPr>
          <w:szCs w:val="26"/>
        </w:rPr>
      </w:pPr>
    </w:p>
    <w:p w14:paraId="78FC2A27" w14:textId="77777777" w:rsidR="00E412C6" w:rsidRPr="00BF2661" w:rsidRDefault="00E412C6" w:rsidP="003A18CF">
      <w:pPr>
        <w:tabs>
          <w:tab w:val="right" w:pos="9029"/>
        </w:tabs>
        <w:spacing w:line="240" w:lineRule="auto"/>
        <w:rPr>
          <w:b/>
          <w:szCs w:val="26"/>
        </w:rPr>
      </w:pPr>
      <w:r w:rsidRPr="00BF2661">
        <w:rPr>
          <w:b/>
          <w:szCs w:val="26"/>
        </w:rPr>
        <w:t>COMMISSION FOR CONCIL</w:t>
      </w:r>
      <w:r w:rsidR="00E93C76">
        <w:rPr>
          <w:b/>
          <w:szCs w:val="26"/>
        </w:rPr>
        <w:t>I</w:t>
      </w:r>
      <w:r w:rsidRPr="00BF2661">
        <w:rPr>
          <w:b/>
          <w:szCs w:val="26"/>
        </w:rPr>
        <w:t>ATION,</w:t>
      </w:r>
    </w:p>
    <w:p w14:paraId="7CEA2528" w14:textId="77777777" w:rsidR="003A18CF" w:rsidRPr="00EE02D5" w:rsidRDefault="00E412C6" w:rsidP="003A18CF">
      <w:pPr>
        <w:tabs>
          <w:tab w:val="right" w:pos="9029"/>
        </w:tabs>
        <w:spacing w:line="240" w:lineRule="auto"/>
        <w:rPr>
          <w:szCs w:val="26"/>
        </w:rPr>
      </w:pPr>
      <w:r>
        <w:rPr>
          <w:b/>
          <w:szCs w:val="26"/>
        </w:rPr>
        <w:t>MEDIATION AND ARBITRATION</w:t>
      </w:r>
      <w:r w:rsidR="003A18CF" w:rsidRPr="00EE02D5">
        <w:rPr>
          <w:szCs w:val="26"/>
        </w:rPr>
        <w:tab/>
      </w:r>
      <w:r>
        <w:rPr>
          <w:szCs w:val="26"/>
        </w:rPr>
        <w:t>Third Respondent</w:t>
      </w:r>
    </w:p>
    <w:p w14:paraId="3DA06DA3" w14:textId="77777777" w:rsidR="003A18CF" w:rsidRPr="00EE02D5" w:rsidRDefault="003A18CF" w:rsidP="003A18CF">
      <w:pPr>
        <w:tabs>
          <w:tab w:val="right" w:pos="9029"/>
        </w:tabs>
        <w:spacing w:line="240" w:lineRule="auto"/>
        <w:rPr>
          <w:szCs w:val="26"/>
        </w:rPr>
      </w:pPr>
    </w:p>
    <w:p w14:paraId="4E9AD4AA" w14:textId="77777777" w:rsidR="003A18CF" w:rsidRDefault="003A18CF" w:rsidP="003A18CF">
      <w:pPr>
        <w:spacing w:line="240" w:lineRule="auto"/>
      </w:pPr>
    </w:p>
    <w:p w14:paraId="24DD5E6B" w14:textId="77777777" w:rsidR="003A18CF" w:rsidRPr="009C3888" w:rsidRDefault="003A18CF" w:rsidP="003A18CF">
      <w:pPr>
        <w:spacing w:line="240" w:lineRule="auto"/>
      </w:pPr>
    </w:p>
    <w:p w14:paraId="5B7BEE7C" w14:textId="77777777" w:rsidR="003A18CF" w:rsidRPr="00F05BBD" w:rsidRDefault="003A18CF" w:rsidP="003A18CF">
      <w:pPr>
        <w:spacing w:line="240" w:lineRule="auto"/>
        <w:ind w:left="2160" w:hanging="2160"/>
      </w:pPr>
      <w:r w:rsidRPr="008B40EE">
        <w:rPr>
          <w:b/>
        </w:rPr>
        <w:t>Neutral citation:</w:t>
      </w:r>
      <w:r>
        <w:tab/>
      </w:r>
      <w:r w:rsidR="008532B1" w:rsidRPr="00BF2661">
        <w:rPr>
          <w:i/>
        </w:rPr>
        <w:t xml:space="preserve">National Union of Mineworkers </w:t>
      </w:r>
      <w:r w:rsidR="008532B1">
        <w:rPr>
          <w:i/>
        </w:rPr>
        <w:t>o</w:t>
      </w:r>
      <w:bookmarkStart w:id="0" w:name="_GoBack"/>
      <w:bookmarkEnd w:id="0"/>
      <w:r w:rsidR="008532B1">
        <w:rPr>
          <w:i/>
        </w:rPr>
        <w:t xml:space="preserve">bo Violet Masha </w:t>
      </w:r>
      <w:r w:rsidR="008532B1" w:rsidRPr="00BF2661">
        <w:rPr>
          <w:i/>
        </w:rPr>
        <w:t xml:space="preserve">and Others v SAMANCOR </w:t>
      </w:r>
      <w:r w:rsidR="008532B1">
        <w:rPr>
          <w:i/>
        </w:rPr>
        <w:t>Limited (Eastern Chrome</w:t>
      </w:r>
      <w:r w:rsidR="002B6B55">
        <w:rPr>
          <w:i/>
        </w:rPr>
        <w:t>s</w:t>
      </w:r>
      <w:r w:rsidR="008532B1">
        <w:rPr>
          <w:i/>
        </w:rPr>
        <w:t xml:space="preserve"> Mines) </w:t>
      </w:r>
      <w:r w:rsidR="008532B1" w:rsidRPr="00BF2661">
        <w:rPr>
          <w:i/>
        </w:rPr>
        <w:t>and Others</w:t>
      </w:r>
      <w:r w:rsidR="008532B1" w:rsidRPr="008E1717">
        <w:rPr>
          <w:i/>
        </w:rPr>
        <w:t xml:space="preserve"> </w:t>
      </w:r>
      <w:r w:rsidR="008532B1" w:rsidRPr="008E1717">
        <w:t>[</w:t>
      </w:r>
      <w:r w:rsidR="008532B1" w:rsidRPr="00BF2661">
        <w:t>2021</w:t>
      </w:r>
      <w:r w:rsidR="008532B1" w:rsidRPr="008E1717">
        <w:t>]</w:t>
      </w:r>
      <w:r w:rsidR="008532B1">
        <w:t xml:space="preserve"> ZACC </w:t>
      </w:r>
      <w:r w:rsidR="00962156" w:rsidRPr="00B7332A">
        <w:t>16</w:t>
      </w:r>
    </w:p>
    <w:p w14:paraId="3C78ED0E" w14:textId="77777777" w:rsidR="003A18CF" w:rsidRDefault="003A18CF" w:rsidP="003A18CF">
      <w:pPr>
        <w:spacing w:line="240" w:lineRule="auto"/>
      </w:pPr>
    </w:p>
    <w:p w14:paraId="062AFC0B" w14:textId="2F2B7E2B" w:rsidR="003A18CF" w:rsidRDefault="003A18CF" w:rsidP="008810C3">
      <w:pPr>
        <w:pStyle w:val="BODYNON-NUMBERED"/>
        <w:spacing w:after="0"/>
        <w:ind w:left="2160" w:hanging="2160"/>
      </w:pPr>
      <w:r w:rsidRPr="008B40EE">
        <w:rPr>
          <w:b/>
        </w:rPr>
        <w:t>Coram:</w:t>
      </w:r>
      <w:r>
        <w:tab/>
      </w:r>
      <w:r w:rsidR="00BF536C">
        <w:t xml:space="preserve">Mogoeng CJ, Jafta J, Khampepe J, </w:t>
      </w:r>
      <w:r w:rsidR="008D2800">
        <w:t xml:space="preserve">Madlanga J, </w:t>
      </w:r>
      <w:r w:rsidR="00BF536C">
        <w:t xml:space="preserve">Majiedt J, Mhlantla J, </w:t>
      </w:r>
      <w:r w:rsidR="00115005">
        <w:t>Pillay AJ,</w:t>
      </w:r>
      <w:r w:rsidR="002B6B55">
        <w:t xml:space="preserve"> Theron J,</w:t>
      </w:r>
      <w:r w:rsidR="00115005">
        <w:t xml:space="preserve"> Tlaletsi AJ</w:t>
      </w:r>
      <w:r w:rsidR="002B6B55">
        <w:t xml:space="preserve"> and</w:t>
      </w:r>
      <w:r w:rsidR="00115005">
        <w:t xml:space="preserve"> Tshiqi J</w:t>
      </w:r>
    </w:p>
    <w:p w14:paraId="3A13F030" w14:textId="28A09247" w:rsidR="003A18CF" w:rsidRDefault="003A18CF" w:rsidP="003A18CF">
      <w:pPr>
        <w:spacing w:line="240" w:lineRule="auto"/>
      </w:pPr>
    </w:p>
    <w:p w14:paraId="3318896E" w14:textId="77777777" w:rsidR="00B7332A" w:rsidRDefault="00B7332A" w:rsidP="003A18CF">
      <w:pPr>
        <w:spacing w:line="240" w:lineRule="auto"/>
      </w:pPr>
    </w:p>
    <w:p w14:paraId="29F23223" w14:textId="77777777" w:rsidR="00AE7143" w:rsidRDefault="00AE7143" w:rsidP="00A403F1">
      <w:pPr>
        <w:spacing w:line="240" w:lineRule="auto"/>
        <w:ind w:left="2160" w:hanging="2160"/>
      </w:pPr>
      <w:r>
        <w:rPr>
          <w:b/>
        </w:rPr>
        <w:t>Judgments</w:t>
      </w:r>
      <w:r w:rsidRPr="008B40EE">
        <w:rPr>
          <w:b/>
        </w:rPr>
        <w:t>:</w:t>
      </w:r>
      <w:r>
        <w:tab/>
      </w:r>
      <w:r w:rsidR="00115005" w:rsidRPr="00BF2661">
        <w:t>M</w:t>
      </w:r>
      <w:r w:rsidR="00115005">
        <w:t>hlantla J</w:t>
      </w:r>
      <w:r>
        <w:t xml:space="preserve"> </w:t>
      </w:r>
      <w:r w:rsidRPr="00962156">
        <w:t>(</w:t>
      </w:r>
      <w:r w:rsidRPr="00E66BB2">
        <w:t>unanimous</w:t>
      </w:r>
      <w:r w:rsidR="00962156" w:rsidRPr="00E66BB2">
        <w:t>)</w:t>
      </w:r>
      <w:r w:rsidRPr="00E66BB2">
        <w:t xml:space="preserve"> </w:t>
      </w:r>
    </w:p>
    <w:p w14:paraId="4B7A343E" w14:textId="77777777" w:rsidR="003A18CF" w:rsidRPr="009C3888" w:rsidRDefault="003A18CF" w:rsidP="0044313C">
      <w:pPr>
        <w:spacing w:line="240" w:lineRule="auto"/>
        <w:ind w:left="2160" w:hanging="2160"/>
      </w:pPr>
    </w:p>
    <w:p w14:paraId="2A330BF6" w14:textId="77777777" w:rsidR="00264065" w:rsidRPr="00264065" w:rsidRDefault="003A18CF" w:rsidP="00E66BB2">
      <w:pPr>
        <w:spacing w:line="276" w:lineRule="auto"/>
        <w:ind w:left="2160" w:hanging="2160"/>
      </w:pPr>
      <w:r w:rsidRPr="008B40EE">
        <w:rPr>
          <w:b/>
        </w:rPr>
        <w:t>Decided on:</w:t>
      </w:r>
      <w:r>
        <w:tab/>
      </w:r>
      <w:r w:rsidR="00264065" w:rsidRPr="00E66BB2">
        <w:t xml:space="preserve">This judgment was handed down electronically by circulation to the parties’ representatives by email, publication on the Constitutional Court website and release to SAFLII. </w:t>
      </w:r>
      <w:r w:rsidR="00EE373B" w:rsidRPr="00E66BB2">
        <w:t xml:space="preserve"> </w:t>
      </w:r>
      <w:r w:rsidR="00264065" w:rsidRPr="00E66BB2">
        <w:t xml:space="preserve">The date and time for hand-down is deemed to be 10h00 on </w:t>
      </w:r>
      <w:r w:rsidR="00A403F1" w:rsidRPr="00E66BB2">
        <w:t>22 June</w:t>
      </w:r>
      <w:r w:rsidR="00264065" w:rsidRPr="00E66BB2">
        <w:t xml:space="preserve"> 2021.</w:t>
      </w:r>
    </w:p>
    <w:p w14:paraId="035EA341" w14:textId="77777777" w:rsidR="004110F6" w:rsidRDefault="004110F6" w:rsidP="003A18CF">
      <w:pPr>
        <w:spacing w:line="240" w:lineRule="auto"/>
      </w:pPr>
    </w:p>
    <w:p w14:paraId="60A9A1A5" w14:textId="3C9123FB" w:rsidR="004D02BA" w:rsidRPr="009E5E39" w:rsidRDefault="004D02BA" w:rsidP="00E66BB2">
      <w:pPr>
        <w:spacing w:line="240" w:lineRule="auto"/>
        <w:ind w:left="2160" w:hanging="2160"/>
        <w:rPr>
          <w:highlight w:val="yellow"/>
        </w:rPr>
      </w:pPr>
      <w:r>
        <w:rPr>
          <w:b/>
        </w:rPr>
        <w:t>Summary:</w:t>
      </w:r>
      <w:r>
        <w:rPr>
          <w:b/>
        </w:rPr>
        <w:tab/>
      </w:r>
      <w:r w:rsidR="00264065" w:rsidRPr="00BF2661">
        <w:t>Appeal from</w:t>
      </w:r>
      <w:r w:rsidR="00EE373B">
        <w:t xml:space="preserve"> the</w:t>
      </w:r>
      <w:r w:rsidR="00264065" w:rsidRPr="00BF2661">
        <w:t xml:space="preserve"> Labour Appeal Court</w:t>
      </w:r>
      <w:r w:rsidRPr="00264065">
        <w:t xml:space="preserve"> </w:t>
      </w:r>
      <w:r w:rsidR="006724E0" w:rsidRPr="00264065">
        <w:t>—</w:t>
      </w:r>
      <w:r w:rsidRPr="00542F53">
        <w:t xml:space="preserve"> </w:t>
      </w:r>
      <w:r w:rsidR="00264065" w:rsidRPr="00BF2661">
        <w:t>costs</w:t>
      </w:r>
      <w:r w:rsidR="00C70C3E">
        <w:t xml:space="preserve"> </w:t>
      </w:r>
      <w:r w:rsidR="006724E0">
        <w:t>—</w:t>
      </w:r>
      <w:r w:rsidR="00C70C3E">
        <w:t xml:space="preserve"> </w:t>
      </w:r>
      <w:r w:rsidR="00C70C3E" w:rsidRPr="00C70C3E">
        <w:t xml:space="preserve">no reasons from Labour Appeal Court for </w:t>
      </w:r>
      <w:r w:rsidR="00D3275F">
        <w:t xml:space="preserve">departure from the general rule that costs </w:t>
      </w:r>
      <w:r w:rsidR="00D3275F">
        <w:lastRenderedPageBreak/>
        <w:t xml:space="preserve">follow the result does not apply in labour matters </w:t>
      </w:r>
      <w:r w:rsidR="00F71366" w:rsidRPr="00F71366">
        <w:t xml:space="preserve">— appeal on costs upheld and </w:t>
      </w:r>
      <w:r w:rsidR="00D3275F">
        <w:t>costs order</w:t>
      </w:r>
      <w:r w:rsidR="00EC331E">
        <w:t>s</w:t>
      </w:r>
      <w:r w:rsidR="00D3275F">
        <w:t xml:space="preserve"> </w:t>
      </w:r>
      <w:r w:rsidR="00F71366" w:rsidRPr="00F71366">
        <w:t>set aside</w:t>
      </w:r>
    </w:p>
    <w:p w14:paraId="66AB1726" w14:textId="77777777" w:rsidR="004D02BA" w:rsidRDefault="004D02BA" w:rsidP="004D02BA">
      <w:pPr>
        <w:spacing w:line="240" w:lineRule="auto"/>
      </w:pPr>
    </w:p>
    <w:p w14:paraId="4CA3EF56" w14:textId="77777777" w:rsidR="004D02BA" w:rsidRDefault="004D02BA" w:rsidP="004D02BA">
      <w:pPr>
        <w:spacing w:line="240" w:lineRule="auto"/>
      </w:pPr>
    </w:p>
    <w:p w14:paraId="48218A9C" w14:textId="77777777" w:rsidR="0036139A" w:rsidRPr="004110F6" w:rsidRDefault="0036139A" w:rsidP="004D02BA">
      <w:pPr>
        <w:spacing w:line="240" w:lineRule="auto"/>
      </w:pPr>
    </w:p>
    <w:p w14:paraId="49CF70BE" w14:textId="77777777" w:rsidR="003A18CF" w:rsidRPr="009C3888" w:rsidRDefault="003A18CF" w:rsidP="003A18CF">
      <w:pPr>
        <w:keepNext/>
        <w:pBdr>
          <w:top w:val="single" w:sz="4" w:space="1" w:color="auto"/>
          <w:bottom w:val="single" w:sz="4" w:space="1" w:color="auto"/>
        </w:pBdr>
        <w:spacing w:line="240" w:lineRule="auto"/>
        <w:jc w:val="center"/>
      </w:pPr>
    </w:p>
    <w:p w14:paraId="3624FC58" w14:textId="77777777" w:rsidR="003A18CF" w:rsidRPr="005C6482" w:rsidRDefault="003A18CF" w:rsidP="003A18CF">
      <w:pPr>
        <w:keepNext/>
        <w:pBdr>
          <w:top w:val="single" w:sz="4" w:space="1" w:color="auto"/>
          <w:bottom w:val="single" w:sz="4" w:space="1" w:color="auto"/>
        </w:pBdr>
        <w:spacing w:line="240" w:lineRule="auto"/>
        <w:jc w:val="center"/>
        <w:outlineLvl w:val="0"/>
        <w:rPr>
          <w:b/>
        </w:rPr>
      </w:pPr>
      <w:r>
        <w:rPr>
          <w:b/>
        </w:rPr>
        <w:t>ORDER</w:t>
      </w:r>
    </w:p>
    <w:p w14:paraId="43F19535" w14:textId="77777777" w:rsidR="003A18CF" w:rsidRPr="009C3888" w:rsidRDefault="003A18CF" w:rsidP="003A18CF">
      <w:pPr>
        <w:pBdr>
          <w:top w:val="single" w:sz="4" w:space="1" w:color="auto"/>
          <w:bottom w:val="single" w:sz="4" w:space="1" w:color="auto"/>
        </w:pBdr>
        <w:spacing w:line="240" w:lineRule="auto"/>
        <w:jc w:val="center"/>
      </w:pPr>
    </w:p>
    <w:p w14:paraId="25F5F8E8" w14:textId="77777777" w:rsidR="003A18CF" w:rsidRDefault="003A18CF" w:rsidP="003A18CF">
      <w:pPr>
        <w:spacing w:line="240" w:lineRule="auto"/>
      </w:pPr>
    </w:p>
    <w:p w14:paraId="685AB046" w14:textId="77777777" w:rsidR="003A18CF" w:rsidRPr="009C3888" w:rsidRDefault="003A18CF" w:rsidP="003A18CF">
      <w:pPr>
        <w:spacing w:line="240" w:lineRule="auto"/>
      </w:pPr>
    </w:p>
    <w:p w14:paraId="7A295F05" w14:textId="77777777" w:rsidR="00E34C12" w:rsidRDefault="003A18CF" w:rsidP="000C38CF">
      <w:pPr>
        <w:pStyle w:val="JUDGMENTCONTINUED"/>
      </w:pPr>
      <w:r w:rsidRPr="00E412C6">
        <w:t>On appeal</w:t>
      </w:r>
      <w:r w:rsidR="00F45DC4" w:rsidRPr="00E412C6">
        <w:t xml:space="preserve"> from </w:t>
      </w:r>
      <w:r w:rsidR="00E34C12">
        <w:t>the Labour Appeal Court</w:t>
      </w:r>
      <w:r w:rsidR="008532B1">
        <w:t>, Johannesburg</w:t>
      </w:r>
      <w:r w:rsidR="00E34C12">
        <w:t>:</w:t>
      </w:r>
    </w:p>
    <w:p w14:paraId="202F2ABF" w14:textId="77777777" w:rsidR="00DF57C2" w:rsidRDefault="00DF57C2" w:rsidP="00E3056A">
      <w:pPr>
        <w:pStyle w:val="JUDGMENTCONTINUED"/>
        <w:numPr>
          <w:ilvl w:val="0"/>
          <w:numId w:val="14"/>
        </w:numPr>
        <w:ind w:left="1440" w:hanging="720"/>
      </w:pPr>
      <w:r>
        <w:t>Condonation is granted.</w:t>
      </w:r>
    </w:p>
    <w:p w14:paraId="4C879277" w14:textId="77777777" w:rsidR="003A18CF" w:rsidRDefault="00E34C12" w:rsidP="00E3056A">
      <w:pPr>
        <w:pStyle w:val="JUDGMENTCONTINUED"/>
        <w:numPr>
          <w:ilvl w:val="0"/>
          <w:numId w:val="14"/>
        </w:numPr>
        <w:ind w:left="1440" w:hanging="720"/>
      </w:pPr>
      <w:r>
        <w:t>Leave to appeal on the merits is refused.</w:t>
      </w:r>
    </w:p>
    <w:p w14:paraId="080AB819" w14:textId="77777777" w:rsidR="00E34C12" w:rsidRDefault="00E34C12" w:rsidP="00E3056A">
      <w:pPr>
        <w:pStyle w:val="JUDGMENTNUMBERED"/>
        <w:numPr>
          <w:ilvl w:val="0"/>
          <w:numId w:val="14"/>
        </w:numPr>
        <w:ind w:left="1440" w:hanging="720"/>
      </w:pPr>
      <w:r>
        <w:t xml:space="preserve">Leave to appeal </w:t>
      </w:r>
      <w:r w:rsidR="00E92F46" w:rsidRPr="00644851">
        <w:t>against</w:t>
      </w:r>
      <w:r w:rsidR="00E92F46">
        <w:t xml:space="preserve"> </w:t>
      </w:r>
      <w:r>
        <w:t>the costs or</w:t>
      </w:r>
      <w:r w:rsidR="00E1702F">
        <w:t>der</w:t>
      </w:r>
      <w:r w:rsidR="00E127D5">
        <w:t>s</w:t>
      </w:r>
      <w:r w:rsidR="00E1702F">
        <w:t xml:space="preserve"> </w:t>
      </w:r>
      <w:r w:rsidR="008A3EC0" w:rsidRPr="008A3EC0">
        <w:t xml:space="preserve">of the Labour Appeal Court </w:t>
      </w:r>
      <w:r>
        <w:t>is granted.</w:t>
      </w:r>
    </w:p>
    <w:p w14:paraId="1E455AE5" w14:textId="77777777" w:rsidR="00E34C12" w:rsidRDefault="00E34C12" w:rsidP="00E3056A">
      <w:pPr>
        <w:pStyle w:val="JUDGMENTCONTINUED"/>
        <w:numPr>
          <w:ilvl w:val="0"/>
          <w:numId w:val="14"/>
        </w:numPr>
        <w:ind w:left="1440" w:hanging="720"/>
      </w:pPr>
      <w:r>
        <w:t xml:space="preserve">The appeal </w:t>
      </w:r>
      <w:r w:rsidR="002B6B55">
        <w:t>against the</w:t>
      </w:r>
      <w:r>
        <w:t xml:space="preserve"> costs</w:t>
      </w:r>
      <w:r w:rsidR="002B6B55">
        <w:t xml:space="preserve"> order</w:t>
      </w:r>
      <w:r w:rsidR="00E127D5">
        <w:t>s</w:t>
      </w:r>
      <w:r w:rsidR="002B6B55">
        <w:t xml:space="preserve"> of the Labour Appeal Court</w:t>
      </w:r>
      <w:r>
        <w:t xml:space="preserve"> is upheld.</w:t>
      </w:r>
    </w:p>
    <w:p w14:paraId="65BCC56D" w14:textId="77777777" w:rsidR="00E34C12" w:rsidRDefault="00E34C12" w:rsidP="00E3056A">
      <w:pPr>
        <w:pStyle w:val="JUDGMENTNUMBERED"/>
        <w:numPr>
          <w:ilvl w:val="0"/>
          <w:numId w:val="14"/>
        </w:numPr>
        <w:ind w:left="1440" w:hanging="720"/>
      </w:pPr>
      <w:r>
        <w:t>The costs order</w:t>
      </w:r>
      <w:r w:rsidR="00E127D5">
        <w:t>s</w:t>
      </w:r>
      <w:r>
        <w:t xml:space="preserve"> granted by the Labour Appeal Court </w:t>
      </w:r>
      <w:r w:rsidR="00E127D5">
        <w:t>are</w:t>
      </w:r>
      <w:r>
        <w:t xml:space="preserve"> set aside.</w:t>
      </w:r>
    </w:p>
    <w:p w14:paraId="15EED652" w14:textId="77777777" w:rsidR="003A18CF" w:rsidRDefault="00E2541A" w:rsidP="00E3056A">
      <w:pPr>
        <w:pStyle w:val="JUDGMENTCONTINUED"/>
        <w:numPr>
          <w:ilvl w:val="0"/>
          <w:numId w:val="14"/>
        </w:numPr>
        <w:ind w:left="1440" w:hanging="720"/>
      </w:pPr>
      <w:r w:rsidRPr="00E2541A">
        <w:t>No order as to costs is made in relation to the proceedings in this Court</w:t>
      </w:r>
      <w:r>
        <w:t>.</w:t>
      </w:r>
    </w:p>
    <w:p w14:paraId="06A0B49A" w14:textId="77777777" w:rsidR="00CB0CB2" w:rsidRPr="00CB0CB2" w:rsidRDefault="00CB0CB2" w:rsidP="008810C3">
      <w:pPr>
        <w:pStyle w:val="JUDGMENTCONTINUED"/>
        <w:spacing w:line="240" w:lineRule="auto"/>
      </w:pPr>
    </w:p>
    <w:p w14:paraId="5E3D1CE2" w14:textId="77777777" w:rsidR="00CB0CB2" w:rsidRDefault="00CB0CB2" w:rsidP="008810C3">
      <w:pPr>
        <w:pStyle w:val="JUDGMENTCONTINUED"/>
        <w:spacing w:line="240" w:lineRule="auto"/>
      </w:pPr>
    </w:p>
    <w:p w14:paraId="6989F8FE" w14:textId="77777777" w:rsidR="0036139A" w:rsidRPr="008810C3" w:rsidRDefault="0036139A" w:rsidP="008810C3">
      <w:pPr>
        <w:pStyle w:val="JUDGMENTNUMBERED"/>
        <w:sectPr w:rsidR="0036139A" w:rsidRPr="008810C3" w:rsidSect="009559B5">
          <w:footerReference w:type="default" r:id="rId9"/>
          <w:pgSz w:w="11907" w:h="16839" w:code="9"/>
          <w:pgMar w:top="1440" w:right="1440" w:bottom="1440" w:left="1440" w:header="708" w:footer="708" w:gutter="0"/>
          <w:pgNumType w:start="1"/>
          <w:cols w:space="708"/>
          <w:titlePg/>
          <w:docGrid w:linePitch="360"/>
        </w:sectPr>
      </w:pPr>
    </w:p>
    <w:p w14:paraId="6D2221E1" w14:textId="77777777" w:rsidR="000704F2" w:rsidRPr="009C3888" w:rsidRDefault="000704F2" w:rsidP="00F245CE">
      <w:pPr>
        <w:keepNext/>
        <w:pBdr>
          <w:top w:val="single" w:sz="4" w:space="1" w:color="auto"/>
          <w:bottom w:val="single" w:sz="4" w:space="1" w:color="auto"/>
        </w:pBdr>
        <w:spacing w:line="240" w:lineRule="auto"/>
        <w:jc w:val="center"/>
      </w:pPr>
    </w:p>
    <w:p w14:paraId="517AAD5F" w14:textId="77777777" w:rsidR="00E4607C" w:rsidRPr="003A18CF" w:rsidRDefault="002113D4" w:rsidP="00F245CE">
      <w:pPr>
        <w:keepNext/>
        <w:pBdr>
          <w:top w:val="single" w:sz="4" w:space="1" w:color="auto"/>
          <w:bottom w:val="single" w:sz="4" w:space="1" w:color="auto"/>
        </w:pBdr>
        <w:spacing w:line="240" w:lineRule="auto"/>
        <w:jc w:val="center"/>
        <w:outlineLvl w:val="0"/>
        <w:rPr>
          <w:b/>
        </w:rPr>
      </w:pPr>
      <w:r>
        <w:rPr>
          <w:b/>
        </w:rPr>
        <w:t>JUDGMENT</w:t>
      </w:r>
    </w:p>
    <w:p w14:paraId="6A5A006F" w14:textId="77777777" w:rsidR="000704F2" w:rsidRPr="009C3888" w:rsidRDefault="000704F2" w:rsidP="000704F2">
      <w:pPr>
        <w:pBdr>
          <w:top w:val="single" w:sz="4" w:space="1" w:color="auto"/>
          <w:bottom w:val="single" w:sz="4" w:space="1" w:color="auto"/>
        </w:pBdr>
        <w:spacing w:line="240" w:lineRule="auto"/>
        <w:jc w:val="center"/>
      </w:pPr>
    </w:p>
    <w:p w14:paraId="19CF83E2" w14:textId="77777777" w:rsidR="009E5E39" w:rsidRDefault="009E5E39" w:rsidP="000704F2">
      <w:pPr>
        <w:spacing w:line="240" w:lineRule="auto"/>
      </w:pPr>
    </w:p>
    <w:p w14:paraId="49033B9C" w14:textId="77777777" w:rsidR="009E5E39" w:rsidRDefault="009E5E39" w:rsidP="000704F2">
      <w:pPr>
        <w:spacing w:line="240" w:lineRule="auto"/>
      </w:pPr>
    </w:p>
    <w:p w14:paraId="1C12A697" w14:textId="77777777" w:rsidR="0036139A" w:rsidRDefault="0036139A" w:rsidP="000704F2">
      <w:pPr>
        <w:spacing w:line="240" w:lineRule="auto"/>
      </w:pPr>
    </w:p>
    <w:p w14:paraId="128DBD4F" w14:textId="1E5AB0B8" w:rsidR="00EC4E89" w:rsidRDefault="00C95204" w:rsidP="00E1702F">
      <w:pPr>
        <w:pStyle w:val="BODYNON-NUMBERED"/>
        <w:spacing w:after="0"/>
      </w:pPr>
      <w:r>
        <w:t>MHLANTLA J</w:t>
      </w:r>
      <w:r w:rsidR="003644DF">
        <w:t xml:space="preserve"> (</w:t>
      </w:r>
      <w:r w:rsidR="00962156" w:rsidRPr="00962156">
        <w:t>Mogoeng CJ, Jafta J, Kha</w:t>
      </w:r>
      <w:r w:rsidR="00962156">
        <w:t xml:space="preserve">mpepe J, </w:t>
      </w:r>
      <w:r w:rsidR="008D2800">
        <w:t xml:space="preserve">Madlanga J, </w:t>
      </w:r>
      <w:r w:rsidR="00962156">
        <w:t xml:space="preserve">Majiedt J, </w:t>
      </w:r>
      <w:r w:rsidR="00962156" w:rsidRPr="00962156">
        <w:t>Pillay AJ, Theron J, Tlaletsi AJ and Tshiqi J</w:t>
      </w:r>
      <w:r w:rsidR="00845165">
        <w:t xml:space="preserve"> </w:t>
      </w:r>
      <w:r w:rsidR="00C739DB" w:rsidRPr="00C739DB">
        <w:t>concurring</w:t>
      </w:r>
      <w:r w:rsidR="003644DF">
        <w:t>)</w:t>
      </w:r>
      <w:r w:rsidR="008D2800">
        <w:t>:</w:t>
      </w:r>
    </w:p>
    <w:p w14:paraId="62A439FE" w14:textId="77777777" w:rsidR="0036139A" w:rsidRDefault="0036139A" w:rsidP="008810C3">
      <w:pPr>
        <w:pStyle w:val="BODYNON-NUMBERED"/>
        <w:spacing w:after="0" w:line="240" w:lineRule="auto"/>
      </w:pPr>
    </w:p>
    <w:p w14:paraId="5151AB40" w14:textId="77777777" w:rsidR="00E2541A" w:rsidRDefault="00E2541A" w:rsidP="008810C3">
      <w:pPr>
        <w:pStyle w:val="BODYNON-NUMBERED"/>
        <w:spacing w:after="0" w:line="240" w:lineRule="auto"/>
      </w:pPr>
    </w:p>
    <w:p w14:paraId="45239842" w14:textId="77777777" w:rsidR="004B6FE7" w:rsidRPr="004B6FE7" w:rsidRDefault="00EC4E89" w:rsidP="00E66BB2">
      <w:pPr>
        <w:pStyle w:val="HEADING"/>
        <w:rPr>
          <w:rStyle w:val="Emphasis"/>
          <w:iCs w:val="0"/>
        </w:rPr>
      </w:pPr>
      <w:r w:rsidRPr="004B6FE7">
        <w:rPr>
          <w:rStyle w:val="Emphasis"/>
          <w:i/>
          <w:iCs w:val="0"/>
        </w:rPr>
        <w:t>Introduction</w:t>
      </w:r>
    </w:p>
    <w:p w14:paraId="0194E5EF" w14:textId="77777777" w:rsidR="00EB7277" w:rsidRDefault="00EC4E89" w:rsidP="00EB7277">
      <w:pPr>
        <w:pStyle w:val="JUDGMENTNUMBERED"/>
      </w:pPr>
      <w:r>
        <w:t xml:space="preserve">This </w:t>
      </w:r>
      <w:r w:rsidR="00E93C76">
        <w:t xml:space="preserve">is </w:t>
      </w:r>
      <w:r>
        <w:t>an application for leave to appeal against a judgment and order of the Labour Appeal Court</w:t>
      </w:r>
      <w:r w:rsidRPr="00203508">
        <w:t>.</w:t>
      </w:r>
      <w:r w:rsidR="00203508">
        <w:rPr>
          <w:rStyle w:val="FootnoteReference"/>
        </w:rPr>
        <w:footnoteReference w:id="1"/>
      </w:r>
      <w:r>
        <w:t xml:space="preserve"> </w:t>
      </w:r>
      <w:r w:rsidR="00203508">
        <w:t xml:space="preserve"> </w:t>
      </w:r>
      <w:r>
        <w:t>That Court upheld an appeal against a decision of the Labour Court with costs.</w:t>
      </w:r>
      <w:r>
        <w:rPr>
          <w:rStyle w:val="FootnoteReference"/>
          <w:szCs w:val="26"/>
        </w:rPr>
        <w:footnoteReference w:id="2"/>
      </w:r>
    </w:p>
    <w:p w14:paraId="4845C004" w14:textId="77777777" w:rsidR="00EB7277" w:rsidRPr="00EB7277" w:rsidRDefault="00EB7277" w:rsidP="00E3056A">
      <w:pPr>
        <w:pStyle w:val="JUDGMENTCONTINUED"/>
      </w:pPr>
    </w:p>
    <w:p w14:paraId="36E42A27" w14:textId="77777777" w:rsidR="00845165" w:rsidRPr="005A3DF5" w:rsidRDefault="005B67E2" w:rsidP="00BF2661">
      <w:pPr>
        <w:pStyle w:val="HEADING"/>
      </w:pPr>
      <w:r w:rsidRPr="005A3DF5">
        <w:rPr>
          <w:rStyle w:val="Emphasis"/>
          <w:i/>
          <w:iCs w:val="0"/>
        </w:rPr>
        <w:t>Background facts</w:t>
      </w:r>
    </w:p>
    <w:p w14:paraId="6A31F128" w14:textId="0708698E" w:rsidR="005B67E2" w:rsidRDefault="00845165" w:rsidP="00BF2661">
      <w:pPr>
        <w:pStyle w:val="JUDGMENTNUMBERED"/>
      </w:pPr>
      <w:r w:rsidRPr="00B82D3F">
        <w:t xml:space="preserve">The </w:t>
      </w:r>
      <w:r w:rsidR="005B67E2">
        <w:t xml:space="preserve">National Union of Mineworkers </w:t>
      </w:r>
      <w:r w:rsidR="005B67E2" w:rsidRPr="00C70C3E">
        <w:t xml:space="preserve">(the </w:t>
      </w:r>
      <w:r w:rsidR="009966E4" w:rsidRPr="00C70C3E">
        <w:t>applicant</w:t>
      </w:r>
      <w:r w:rsidR="005B67E2" w:rsidRPr="00C70C3E">
        <w:t>)</w:t>
      </w:r>
      <w:r w:rsidRPr="00B82D3F">
        <w:t xml:space="preserve"> is acting on behalf of five of its members</w:t>
      </w:r>
      <w:r w:rsidR="00125551">
        <w:t>, namely, Ms Violet Masha, Mr Vincent Pholwane, Mr Nkipilili Siqalane, Mr Father Mhlongo</w:t>
      </w:r>
      <w:r w:rsidR="00EC331E">
        <w:t>,</w:t>
      </w:r>
      <w:r w:rsidR="00125551">
        <w:t xml:space="preserve"> and Mr Moses Khoza. </w:t>
      </w:r>
      <w:r w:rsidR="000E241A">
        <w:t xml:space="preserve"> </w:t>
      </w:r>
      <w:r w:rsidR="00125551">
        <w:t>These members were employed by</w:t>
      </w:r>
      <w:r w:rsidRPr="00B82D3F">
        <w:t xml:space="preserve"> </w:t>
      </w:r>
      <w:r w:rsidR="00D764A0">
        <w:t>SAMANCOR</w:t>
      </w:r>
      <w:r w:rsidRPr="00B82D3F">
        <w:t xml:space="preserve"> Limited</w:t>
      </w:r>
      <w:r w:rsidR="00125551">
        <w:t xml:space="preserve"> (Eastern Chrome</w:t>
      </w:r>
      <w:r w:rsidR="007812E3">
        <w:t>s Mines</w:t>
      </w:r>
      <w:r w:rsidR="00125551">
        <w:t>), the first respondent</w:t>
      </w:r>
      <w:r w:rsidR="007F1626">
        <w:t>,</w:t>
      </w:r>
      <w:r w:rsidR="007812E3">
        <w:t xml:space="preserve"> until their dismissal</w:t>
      </w:r>
      <w:r w:rsidRPr="00B82D3F">
        <w:t>.</w:t>
      </w:r>
    </w:p>
    <w:p w14:paraId="18FD8751" w14:textId="77777777" w:rsidR="005B67E2" w:rsidRDefault="005B67E2" w:rsidP="00B82D3F">
      <w:pPr>
        <w:pStyle w:val="NormalWeb"/>
        <w:shd w:val="clear" w:color="auto" w:fill="FFFFFF"/>
        <w:spacing w:line="360" w:lineRule="auto"/>
        <w:jc w:val="both"/>
        <w:rPr>
          <w:sz w:val="26"/>
          <w:szCs w:val="26"/>
        </w:rPr>
      </w:pPr>
    </w:p>
    <w:p w14:paraId="513CE499" w14:textId="6F1C7966" w:rsidR="00845165" w:rsidRPr="00B82D3F" w:rsidRDefault="00125551" w:rsidP="00BF2661">
      <w:pPr>
        <w:pStyle w:val="JUDGMENTNUMBERED"/>
      </w:pPr>
      <w:r>
        <w:t xml:space="preserve">On 19 October 2015, </w:t>
      </w:r>
      <w:r w:rsidR="00845165" w:rsidRPr="00B82D3F">
        <w:t xml:space="preserve">Mr Madikwane, the mine overseer, </w:t>
      </w:r>
      <w:r>
        <w:t>vi</w:t>
      </w:r>
      <w:r w:rsidR="007812E3">
        <w:t xml:space="preserve">sited the North 8 North Tip </w:t>
      </w:r>
      <w:r w:rsidR="007F1626">
        <w:t>sectio</w:t>
      </w:r>
      <w:r w:rsidR="007812E3">
        <w:t xml:space="preserve">n </w:t>
      </w:r>
      <w:r>
        <w:t xml:space="preserve">of the first respondent’s mine. </w:t>
      </w:r>
      <w:r w:rsidR="000E241A">
        <w:t xml:space="preserve"> </w:t>
      </w:r>
      <w:r>
        <w:t>He found five employees</w:t>
      </w:r>
      <w:r w:rsidR="00845165" w:rsidRPr="00B82D3F">
        <w:t xml:space="preserve"> </w:t>
      </w:r>
      <w:r w:rsidR="008A3EC0" w:rsidRPr="008A3EC0">
        <w:t xml:space="preserve">(the five members listed above) </w:t>
      </w:r>
      <w:r w:rsidR="00845165" w:rsidRPr="00B82D3F">
        <w:t>working under unsafe conditions</w:t>
      </w:r>
      <w:r w:rsidR="00DA4861">
        <w:t xml:space="preserve">. </w:t>
      </w:r>
      <w:r w:rsidR="00845165" w:rsidRPr="00B82D3F">
        <w:t xml:space="preserve"> </w:t>
      </w:r>
      <w:r w:rsidR="00DA4861">
        <w:t>T</w:t>
      </w:r>
      <w:r w:rsidR="00845165" w:rsidRPr="00B82D3F">
        <w:t>he</w:t>
      </w:r>
      <w:r>
        <w:t>y</w:t>
      </w:r>
      <w:r w:rsidR="005B67E2">
        <w:t xml:space="preserve"> had failed to install </w:t>
      </w:r>
      <w:r w:rsidR="00845165" w:rsidRPr="00B82D3F">
        <w:t xml:space="preserve">a temporary support and a safety net </w:t>
      </w:r>
      <w:r w:rsidR="005B67E2">
        <w:t xml:space="preserve">before drilling in the area. </w:t>
      </w:r>
      <w:r w:rsidR="000E241A">
        <w:t xml:space="preserve"> </w:t>
      </w:r>
      <w:r w:rsidR="005B67E2">
        <w:t>A</w:t>
      </w:r>
      <w:r w:rsidR="00845165" w:rsidRPr="00B82D3F">
        <w:t>t th</w:t>
      </w:r>
      <w:r w:rsidR="005B67E2">
        <w:t>e time, one of the team members, Ms Maseko,</w:t>
      </w:r>
      <w:r w:rsidR="00845165" w:rsidRPr="00B82D3F">
        <w:t xml:space="preserve"> was not pres</w:t>
      </w:r>
      <w:r w:rsidR="007812E3">
        <w:t xml:space="preserve">ent as </w:t>
      </w:r>
      <w:r w:rsidR="007812E3" w:rsidRPr="007812E3">
        <w:t>she had be</w:t>
      </w:r>
      <w:r w:rsidR="00673C7B">
        <w:t>en sent by one of the five employees</w:t>
      </w:r>
      <w:r w:rsidR="007812E3" w:rsidRPr="007812E3">
        <w:t xml:space="preserve"> to </w:t>
      </w:r>
      <w:r w:rsidR="00E1702F">
        <w:t>fetch explosives that would</w:t>
      </w:r>
      <w:r w:rsidR="007812E3" w:rsidRPr="007812E3">
        <w:t xml:space="preserve"> be used when the</w:t>
      </w:r>
      <w:r w:rsidR="005E2F2C">
        <w:t xml:space="preserve"> site</w:t>
      </w:r>
      <w:r w:rsidR="007812E3" w:rsidRPr="007812E3">
        <w:t xml:space="preserve"> was ready</w:t>
      </w:r>
      <w:r w:rsidR="007812E3" w:rsidRPr="00B82D3F">
        <w:t xml:space="preserve">. </w:t>
      </w:r>
      <w:r w:rsidR="000E241A">
        <w:t xml:space="preserve"> </w:t>
      </w:r>
      <w:r>
        <w:t>Mr</w:t>
      </w:r>
      <w:r w:rsidR="00DA4861">
        <w:t> </w:t>
      </w:r>
      <w:r>
        <w:t>Madikwane verbally instructed the team to</w:t>
      </w:r>
      <w:r w:rsidR="00845165" w:rsidRPr="00B82D3F">
        <w:t xml:space="preserve"> stop working in </w:t>
      </w:r>
      <w:r w:rsidR="005B67E2">
        <w:t xml:space="preserve">those unsafe conditions and </w:t>
      </w:r>
      <w:r w:rsidR="004B6FE7">
        <w:t>further instructed them to</w:t>
      </w:r>
      <w:r w:rsidR="00962156">
        <w:t xml:space="preserve"> </w:t>
      </w:r>
      <w:r w:rsidR="00845165" w:rsidRPr="00B82D3F">
        <w:t>install</w:t>
      </w:r>
      <w:r w:rsidR="005B67E2">
        <w:t xml:space="preserve"> </w:t>
      </w:r>
      <w:r>
        <w:t>the safety measures before continuing to work</w:t>
      </w:r>
      <w:r w:rsidR="00845165" w:rsidRPr="00B82D3F">
        <w:t>.</w:t>
      </w:r>
      <w:r w:rsidR="000E241A">
        <w:t xml:space="preserve"> </w:t>
      </w:r>
      <w:r w:rsidR="00845165" w:rsidRPr="00B82D3F">
        <w:t xml:space="preserve"> He left the </w:t>
      </w:r>
      <w:r w:rsidR="00763535">
        <w:t>site</w:t>
      </w:r>
      <w:r w:rsidR="00EA05FA">
        <w:t>,</w:t>
      </w:r>
      <w:r w:rsidR="00763535">
        <w:t xml:space="preserve"> and a few minutes later,</w:t>
      </w:r>
      <w:r w:rsidR="00845165" w:rsidRPr="00B82D3F">
        <w:t xml:space="preserve"> heard the </w:t>
      </w:r>
      <w:r w:rsidR="005B67E2">
        <w:t xml:space="preserve">sound of the </w:t>
      </w:r>
      <w:r w:rsidR="00845165" w:rsidRPr="00B82D3F">
        <w:t>drill</w:t>
      </w:r>
      <w:r>
        <w:t>ing</w:t>
      </w:r>
      <w:r w:rsidR="00845165" w:rsidRPr="00B82D3F">
        <w:t xml:space="preserve"> machine. </w:t>
      </w:r>
      <w:r w:rsidR="000E241A">
        <w:t xml:space="preserve"> </w:t>
      </w:r>
      <w:r w:rsidR="00845165" w:rsidRPr="00B82D3F">
        <w:t xml:space="preserve">Upon his return, he found </w:t>
      </w:r>
      <w:r w:rsidR="00035C2D">
        <w:t>two of</w:t>
      </w:r>
      <w:r w:rsidR="00845165" w:rsidRPr="00B82D3F">
        <w:t xml:space="preserve"> the employees still</w:t>
      </w:r>
      <w:r>
        <w:t xml:space="preserve"> working under unsafe</w:t>
      </w:r>
      <w:r w:rsidR="00845165" w:rsidRPr="00B82D3F">
        <w:t xml:space="preserve"> conditions whilst </w:t>
      </w:r>
      <w:r w:rsidR="00D764A0">
        <w:t xml:space="preserve">the other </w:t>
      </w:r>
      <w:r w:rsidR="00845165" w:rsidRPr="00B82D3F">
        <w:t>three were watching.</w:t>
      </w:r>
      <w:r w:rsidR="000E241A">
        <w:t xml:space="preserve">  </w:t>
      </w:r>
      <w:r w:rsidR="00845165" w:rsidRPr="00B82D3F">
        <w:t>Mr Madikwane then issued a written instruction to the crew to stop working until it was safe to do so.</w:t>
      </w:r>
    </w:p>
    <w:p w14:paraId="281AA7F0" w14:textId="77777777" w:rsidR="00845165" w:rsidRPr="00B82D3F" w:rsidRDefault="00845165" w:rsidP="00B82D3F">
      <w:pPr>
        <w:pStyle w:val="NormalWeb"/>
        <w:shd w:val="clear" w:color="auto" w:fill="FFFFFF"/>
        <w:spacing w:line="360" w:lineRule="auto"/>
        <w:jc w:val="both"/>
        <w:rPr>
          <w:sz w:val="26"/>
          <w:szCs w:val="26"/>
        </w:rPr>
      </w:pPr>
    </w:p>
    <w:p w14:paraId="21A95A50" w14:textId="128D4BBB" w:rsidR="00845165" w:rsidRDefault="00DF57C2" w:rsidP="00BF2661">
      <w:pPr>
        <w:pStyle w:val="JUDGMENTNUMBERED"/>
      </w:pPr>
      <w:r>
        <w:t>A</w:t>
      </w:r>
      <w:r w:rsidR="00845165" w:rsidRPr="00B82D3F">
        <w:t xml:space="preserve"> few days later</w:t>
      </w:r>
      <w:r w:rsidR="000E241A">
        <w:t>,</w:t>
      </w:r>
      <w:r w:rsidR="00D764A0">
        <w:t xml:space="preserve"> Mr Madikwane returned</w:t>
      </w:r>
      <w:r w:rsidR="00845165" w:rsidRPr="00B82D3F">
        <w:t xml:space="preserve"> </w:t>
      </w:r>
      <w:r w:rsidR="000E241A">
        <w:t>to</w:t>
      </w:r>
      <w:r w:rsidR="00845165" w:rsidRPr="00B82D3F">
        <w:t xml:space="preserve"> the</w:t>
      </w:r>
      <w:r w:rsidR="00816D9B">
        <w:t xml:space="preserve"> site and discovered</w:t>
      </w:r>
      <w:r w:rsidR="00845165" w:rsidRPr="00B82D3F">
        <w:t xml:space="preserve"> that nothing had changed</w:t>
      </w:r>
      <w:r w:rsidR="005C009F">
        <w:t>,</w:t>
      </w:r>
      <w:r w:rsidR="00845165" w:rsidRPr="00B82D3F">
        <w:t xml:space="preserve"> as the employees had continued to work notwithstanding his written instruction</w:t>
      </w:r>
      <w:r w:rsidR="005B67E2">
        <w:t>.</w:t>
      </w:r>
      <w:r w:rsidR="000E241A">
        <w:t xml:space="preserve"> </w:t>
      </w:r>
      <w:r w:rsidR="005B67E2">
        <w:t xml:space="preserve"> The five employees were </w:t>
      </w:r>
      <w:r w:rsidR="00845165" w:rsidRPr="00B82D3F">
        <w:t>charged with misconduct</w:t>
      </w:r>
      <w:r w:rsidR="005B67E2">
        <w:t xml:space="preserve"> for failing to comply with a verbal and written instruction issued by their supervisor. </w:t>
      </w:r>
      <w:r w:rsidR="000E241A">
        <w:t xml:space="preserve"> </w:t>
      </w:r>
      <w:r w:rsidR="008A3EC0">
        <w:t xml:space="preserve">Following a disciplinary </w:t>
      </w:r>
      <w:r w:rsidR="005E2F2C">
        <w:t>i</w:t>
      </w:r>
      <w:r w:rsidR="005B67E2">
        <w:t>nquiry, they were</w:t>
      </w:r>
      <w:r w:rsidR="00845165" w:rsidRPr="00B82D3F">
        <w:t xml:space="preserve"> found guilty </w:t>
      </w:r>
      <w:r w:rsidR="008A3EC0">
        <w:t xml:space="preserve">of misconduct </w:t>
      </w:r>
      <w:r w:rsidR="00845165" w:rsidRPr="00B82D3F">
        <w:t>and dismissed.</w:t>
      </w:r>
    </w:p>
    <w:p w14:paraId="78FA6469" w14:textId="77777777" w:rsidR="005B67E2" w:rsidRDefault="005B67E2" w:rsidP="00B82D3F">
      <w:pPr>
        <w:pStyle w:val="NormalWeb"/>
        <w:shd w:val="clear" w:color="auto" w:fill="FFFFFF"/>
        <w:spacing w:line="360" w:lineRule="auto"/>
        <w:jc w:val="both"/>
        <w:rPr>
          <w:sz w:val="26"/>
          <w:szCs w:val="26"/>
        </w:rPr>
      </w:pPr>
    </w:p>
    <w:p w14:paraId="38EAF693" w14:textId="77777777" w:rsidR="00E34C12" w:rsidRPr="00E34C12" w:rsidRDefault="00E34C12" w:rsidP="00BF2661">
      <w:pPr>
        <w:pStyle w:val="HEADING"/>
      </w:pPr>
      <w:r w:rsidRPr="00E34C12">
        <w:lastRenderedPageBreak/>
        <w:t>Litigation history</w:t>
      </w:r>
    </w:p>
    <w:p w14:paraId="29022492" w14:textId="77777777" w:rsidR="00845165" w:rsidRPr="00E34C12" w:rsidRDefault="00E34C12" w:rsidP="00BF2661">
      <w:pPr>
        <w:pStyle w:val="HEADING"/>
        <w:ind w:firstLine="720"/>
      </w:pPr>
      <w:r w:rsidRPr="00E34C12">
        <w:t>CCMA</w:t>
      </w:r>
    </w:p>
    <w:p w14:paraId="5241AD3C" w14:textId="13BF6646" w:rsidR="00845165" w:rsidRPr="00B82D3F" w:rsidRDefault="00845165" w:rsidP="00BF2661">
      <w:pPr>
        <w:pStyle w:val="JUDGMENTNUMBERED"/>
      </w:pPr>
      <w:r w:rsidRPr="00B82D3F">
        <w:t>The dismissed employees lodged a dismissal dispute with the C</w:t>
      </w:r>
      <w:r w:rsidR="00AD4C56">
        <w:t xml:space="preserve">ommission for Conciliation, </w:t>
      </w:r>
      <w:r w:rsidRPr="00B82D3F">
        <w:t>M</w:t>
      </w:r>
      <w:r w:rsidR="00AD4C56">
        <w:t xml:space="preserve">ediation and </w:t>
      </w:r>
      <w:r w:rsidRPr="00B82D3F">
        <w:t>A</w:t>
      </w:r>
      <w:r w:rsidR="00AD4C56">
        <w:t>rbitration</w:t>
      </w:r>
      <w:r w:rsidR="008A3EC0">
        <w:t xml:space="preserve"> (CCMA)</w:t>
      </w:r>
      <w:r w:rsidR="00763535">
        <w:t>, the third respondent</w:t>
      </w:r>
      <w:r w:rsidRPr="00B82D3F">
        <w:t>.</w:t>
      </w:r>
      <w:r w:rsidR="000E241A">
        <w:t xml:space="preserve"> </w:t>
      </w:r>
      <w:r w:rsidRPr="00B82D3F">
        <w:t xml:space="preserve"> During the arbitration proceedings, the dismissed</w:t>
      </w:r>
      <w:r w:rsidR="000E241A">
        <w:t xml:space="preserve"> </w:t>
      </w:r>
      <w:r w:rsidRPr="00B82D3F">
        <w:t xml:space="preserve">employees alleged </w:t>
      </w:r>
      <w:r w:rsidR="00AD4C56">
        <w:t>that the employer had been</w:t>
      </w:r>
      <w:r w:rsidRPr="00B82D3F">
        <w:t xml:space="preserve"> inconsistent in disci</w:t>
      </w:r>
      <w:r w:rsidR="00AD4C56">
        <w:t>plining its employees in that</w:t>
      </w:r>
      <w:r w:rsidRPr="00B82D3F">
        <w:t xml:space="preserve">: (a) Ms Maseko, who was on duty with them, was </w:t>
      </w:r>
      <w:r w:rsidR="00962156" w:rsidRPr="00B82D3F">
        <w:t xml:space="preserve">not </w:t>
      </w:r>
      <w:r w:rsidRPr="00B82D3F">
        <w:t xml:space="preserve">initially charged. </w:t>
      </w:r>
      <w:r w:rsidR="000E241A">
        <w:t xml:space="preserve"> </w:t>
      </w:r>
      <w:r w:rsidRPr="00B82D3F">
        <w:t>It was only a</w:t>
      </w:r>
      <w:r w:rsidR="00AD4C56">
        <w:t>fter a</w:t>
      </w:r>
      <w:r w:rsidR="00E71862">
        <w:t xml:space="preserve"> </w:t>
      </w:r>
      <w:r w:rsidR="00AD4C56">
        <w:t xml:space="preserve">complaint by </w:t>
      </w:r>
      <w:r w:rsidR="00C70C3E" w:rsidRPr="00C70C3E">
        <w:t>the applicant</w:t>
      </w:r>
      <w:r w:rsidRPr="00B82D3F">
        <w:t xml:space="preserve">, that the employer </w:t>
      </w:r>
      <w:r w:rsidR="00673C7B">
        <w:t xml:space="preserve">had </w:t>
      </w:r>
      <w:r w:rsidRPr="00B82D3F">
        <w:t>charg</w:t>
      </w:r>
      <w:r w:rsidR="00DF57C2">
        <w:t>ed her</w:t>
      </w:r>
      <w:r w:rsidR="005C009F">
        <w:t>,</w:t>
      </w:r>
      <w:r w:rsidR="00DF57C2">
        <w:t xml:space="preserve"> but she was acquitted</w:t>
      </w:r>
      <w:r w:rsidR="008A3EC0">
        <w:t xml:space="preserve">; and </w:t>
      </w:r>
      <w:r w:rsidRPr="00B82D3F">
        <w:t xml:space="preserve">(b) </w:t>
      </w:r>
      <w:r w:rsidR="008A3EC0">
        <w:t>a</w:t>
      </w:r>
      <w:r w:rsidRPr="00B82D3F">
        <w:t>nother employee, Mr</w:t>
      </w:r>
      <w:r w:rsidR="001C7D48">
        <w:t> </w:t>
      </w:r>
      <w:r w:rsidR="00EC331E" w:rsidRPr="00B82D3F">
        <w:t>Mot</w:t>
      </w:r>
      <w:r w:rsidR="008D2800" w:rsidRPr="00B82D3F">
        <w:t>l</w:t>
      </w:r>
      <w:r w:rsidR="00EC331E" w:rsidRPr="00B82D3F">
        <w:t>habing</w:t>
      </w:r>
      <w:r w:rsidR="005C009F">
        <w:t>,</w:t>
      </w:r>
      <w:r w:rsidR="008A3EC0">
        <w:t xml:space="preserve"> had also been</w:t>
      </w:r>
      <w:r w:rsidRPr="00B82D3F">
        <w:t xml:space="preserve"> charged for working under unsafe conditions</w:t>
      </w:r>
      <w:r w:rsidR="005C009F">
        <w:t>,</w:t>
      </w:r>
      <w:r w:rsidRPr="00B82D3F">
        <w:t xml:space="preserve"> but </w:t>
      </w:r>
      <w:r w:rsidR="008A3EC0">
        <w:t xml:space="preserve">had </w:t>
      </w:r>
      <w:r w:rsidRPr="00B82D3F">
        <w:t>not</w:t>
      </w:r>
      <w:r w:rsidR="008A3EC0">
        <w:t xml:space="preserve"> been</w:t>
      </w:r>
      <w:r w:rsidRPr="00B82D3F">
        <w:t xml:space="preserve"> dismissed.</w:t>
      </w:r>
    </w:p>
    <w:p w14:paraId="3C9FB97A" w14:textId="77777777" w:rsidR="00845165" w:rsidRPr="00B82D3F" w:rsidRDefault="00845165" w:rsidP="00B82D3F">
      <w:pPr>
        <w:pStyle w:val="NormalWeb"/>
        <w:shd w:val="clear" w:color="auto" w:fill="FFFFFF"/>
        <w:spacing w:line="360" w:lineRule="auto"/>
        <w:jc w:val="both"/>
        <w:rPr>
          <w:sz w:val="26"/>
          <w:szCs w:val="26"/>
        </w:rPr>
      </w:pPr>
    </w:p>
    <w:p w14:paraId="569B5FA0" w14:textId="77777777" w:rsidR="00845165" w:rsidRPr="00B82D3F" w:rsidRDefault="00845165">
      <w:pPr>
        <w:pStyle w:val="JUDGMENTNUMBERED"/>
      </w:pPr>
      <w:r w:rsidRPr="00B82D3F">
        <w:t xml:space="preserve">After considering the evidence, the arbitrator concluded that the employees had been guilty of working without installing the </w:t>
      </w:r>
      <w:r w:rsidR="00DF57C2">
        <w:t xml:space="preserve">safety measures </w:t>
      </w:r>
      <w:r w:rsidR="00AD4C56">
        <w:t>as instructed.</w:t>
      </w:r>
      <w:r w:rsidR="00763535">
        <w:rPr>
          <w:rStyle w:val="FootnoteReference"/>
        </w:rPr>
        <w:footnoteReference w:id="3"/>
      </w:r>
      <w:r w:rsidR="000E241A">
        <w:t xml:space="preserve"> </w:t>
      </w:r>
      <w:r w:rsidR="00AD4C56">
        <w:t xml:space="preserve"> </w:t>
      </w:r>
      <w:r w:rsidR="008A3EC0" w:rsidRPr="008A3EC0">
        <w:t>However, he held that there was an unjustifiable differentiation between the employees and Ms</w:t>
      </w:r>
      <w:r w:rsidR="001C7D48">
        <w:t> </w:t>
      </w:r>
      <w:r w:rsidR="008A3EC0" w:rsidRPr="008A3EC0">
        <w:t>Maseko which amounted to an inconsistency in the</w:t>
      </w:r>
      <w:r w:rsidR="00660304">
        <w:t xml:space="preserve"> implementation of the</w:t>
      </w:r>
      <w:r w:rsidR="004B6FE7">
        <w:t xml:space="preserve"> </w:t>
      </w:r>
      <w:r w:rsidR="008A3EC0" w:rsidRPr="008A3EC0">
        <w:t>disciplinary measures.  Accordingly, the arbitrator held that the dismissal was unfair and issued an award for reinstatement of the employees.</w:t>
      </w:r>
    </w:p>
    <w:p w14:paraId="21B062F4" w14:textId="77777777" w:rsidR="00845165" w:rsidRPr="00B82D3F" w:rsidRDefault="00845165" w:rsidP="00B82D3F">
      <w:pPr>
        <w:pStyle w:val="NormalWeb"/>
        <w:shd w:val="clear" w:color="auto" w:fill="FFFFFF"/>
        <w:spacing w:line="360" w:lineRule="auto"/>
        <w:jc w:val="both"/>
        <w:rPr>
          <w:sz w:val="26"/>
          <w:szCs w:val="26"/>
        </w:rPr>
      </w:pPr>
    </w:p>
    <w:p w14:paraId="06D0FEB7" w14:textId="77777777" w:rsidR="00845165" w:rsidRPr="005A3DF5" w:rsidRDefault="00845165" w:rsidP="00BF2661">
      <w:pPr>
        <w:pStyle w:val="HEADING"/>
        <w:ind w:firstLine="720"/>
      </w:pPr>
      <w:r w:rsidRPr="005A3DF5">
        <w:rPr>
          <w:rStyle w:val="Emphasis"/>
          <w:i/>
          <w:iCs w:val="0"/>
        </w:rPr>
        <w:t>Labour Court</w:t>
      </w:r>
    </w:p>
    <w:p w14:paraId="1AC85E51" w14:textId="77777777" w:rsidR="00845165" w:rsidRPr="00B82D3F" w:rsidRDefault="00AD4C56" w:rsidP="00BF2661">
      <w:pPr>
        <w:pStyle w:val="JUDGMENTNUMBERED"/>
      </w:pPr>
      <w:r>
        <w:t xml:space="preserve">The </w:t>
      </w:r>
      <w:r w:rsidR="00763535">
        <w:t xml:space="preserve">first </w:t>
      </w:r>
      <w:r>
        <w:t>respondent</w:t>
      </w:r>
      <w:r w:rsidR="00845165" w:rsidRPr="00B82D3F">
        <w:t xml:space="preserve"> instituted review proceedings in the Lab</w:t>
      </w:r>
      <w:r>
        <w:t xml:space="preserve">our Court. </w:t>
      </w:r>
      <w:r w:rsidR="000E241A">
        <w:t xml:space="preserve"> </w:t>
      </w:r>
      <w:r>
        <w:t xml:space="preserve">The Labour Court held that </w:t>
      </w:r>
      <w:r w:rsidR="00673C7B">
        <w:t>Mr Madikwane</w:t>
      </w:r>
      <w:r w:rsidR="00962156">
        <w:t xml:space="preserve">, the employees’ supervisor, </w:t>
      </w:r>
      <w:r w:rsidR="00845165" w:rsidRPr="00B82D3F">
        <w:t xml:space="preserve">did not immediately return following his written instruction to inspect the working </w:t>
      </w:r>
      <w:r w:rsidR="00673C7B">
        <w:t>area</w:t>
      </w:r>
      <w:r w:rsidR="005C009F">
        <w:t>,</w:t>
      </w:r>
      <w:r w:rsidR="00845165" w:rsidRPr="00B82D3F">
        <w:t xml:space="preserve"> but did so </w:t>
      </w:r>
      <w:r w:rsidR="005C009F">
        <w:t xml:space="preserve">only </w:t>
      </w:r>
      <w:r w:rsidR="00845165" w:rsidRPr="00B82D3F">
        <w:t>three or four days later when he found the site in the same condition as before.</w:t>
      </w:r>
      <w:r w:rsidR="000E241A">
        <w:t xml:space="preserve"> </w:t>
      </w:r>
      <w:r w:rsidR="00845165" w:rsidRPr="00B82D3F">
        <w:t xml:space="preserve"> The Court held</w:t>
      </w:r>
      <w:r>
        <w:t xml:space="preserve"> that</w:t>
      </w:r>
      <w:r w:rsidR="00845165" w:rsidRPr="00B82D3F">
        <w:t xml:space="preserve"> there was</w:t>
      </w:r>
      <w:r w:rsidR="000E241A">
        <w:t xml:space="preserve"> </w:t>
      </w:r>
      <w:r w:rsidR="00845165" w:rsidRPr="00B82D3F">
        <w:t>insufficient evidence relating to the defiance of the written instruction to make a finding on credibil</w:t>
      </w:r>
      <w:r>
        <w:t>ity.</w:t>
      </w:r>
      <w:r w:rsidR="000E241A">
        <w:t xml:space="preserve"> </w:t>
      </w:r>
      <w:r>
        <w:t xml:space="preserve"> It noted that the supervisor</w:t>
      </w:r>
      <w:r w:rsidR="00845165" w:rsidRPr="00B82D3F">
        <w:t xml:space="preserve"> could have made a full report o</w:t>
      </w:r>
      <w:r w:rsidR="008A3EC0">
        <w:t>n</w:t>
      </w:r>
      <w:r w:rsidR="00845165" w:rsidRPr="00B82D3F">
        <w:t xml:space="preserve"> what he had found and how his instruction had been defied.</w:t>
      </w:r>
      <w:r w:rsidR="000E241A">
        <w:t xml:space="preserve"> </w:t>
      </w:r>
      <w:r w:rsidR="00845165" w:rsidRPr="00B82D3F">
        <w:t xml:space="preserve"> </w:t>
      </w:r>
      <w:r w:rsidR="00845165" w:rsidRPr="00B82D3F">
        <w:lastRenderedPageBreak/>
        <w:t>Further, the lack of clear evidence on when he returned to visit and inspect the site, pointed to him not having done so.</w:t>
      </w:r>
    </w:p>
    <w:p w14:paraId="13D706DF" w14:textId="77777777" w:rsidR="00845165" w:rsidRPr="00B82D3F" w:rsidRDefault="00845165" w:rsidP="00B82D3F">
      <w:pPr>
        <w:pStyle w:val="NormalWeb"/>
        <w:shd w:val="clear" w:color="auto" w:fill="FFFFFF"/>
        <w:spacing w:line="360" w:lineRule="auto"/>
        <w:jc w:val="both"/>
        <w:rPr>
          <w:sz w:val="26"/>
          <w:szCs w:val="26"/>
        </w:rPr>
      </w:pPr>
    </w:p>
    <w:p w14:paraId="3B2F4A64" w14:textId="2D592EF5" w:rsidR="00845165" w:rsidRPr="00B82D3F" w:rsidRDefault="00845165" w:rsidP="00BF2661">
      <w:pPr>
        <w:pStyle w:val="JUDGMENTNUMBERED"/>
      </w:pPr>
      <w:r w:rsidRPr="00B82D3F">
        <w:t>The Labour Court</w:t>
      </w:r>
      <w:r w:rsidR="00C70C3E">
        <w:t>, therefore,</w:t>
      </w:r>
      <w:r w:rsidRPr="00B82D3F">
        <w:t xml:space="preserve"> held that the first respondent had failed to prove</w:t>
      </w:r>
      <w:r w:rsidR="005E2F2C">
        <w:t>,</w:t>
      </w:r>
      <w:r w:rsidRPr="00B82D3F">
        <w:t xml:space="preserve"> on a balance of probabilities</w:t>
      </w:r>
      <w:r w:rsidR="005E2F2C">
        <w:t>,</w:t>
      </w:r>
      <w:r w:rsidRPr="00B82D3F">
        <w:t xml:space="preserve"> that the employees had defied the written instructi</w:t>
      </w:r>
      <w:r w:rsidR="00AD4C56">
        <w:t xml:space="preserve">on given to them </w:t>
      </w:r>
      <w:r w:rsidR="00962156">
        <w:t xml:space="preserve">by </w:t>
      </w:r>
      <w:r w:rsidR="008A3EC0">
        <w:t>Mr Madikwane</w:t>
      </w:r>
      <w:r w:rsidR="00AD4C56">
        <w:t xml:space="preserve">. </w:t>
      </w:r>
      <w:r w:rsidR="000E241A">
        <w:t xml:space="preserve"> </w:t>
      </w:r>
      <w:r w:rsidR="00AD4C56">
        <w:t>The review application was dismissed</w:t>
      </w:r>
      <w:r w:rsidR="00E412C6">
        <w:t xml:space="preserve"> with no order as to costs</w:t>
      </w:r>
      <w:r w:rsidRPr="00B82D3F">
        <w:t>.</w:t>
      </w:r>
    </w:p>
    <w:p w14:paraId="2045ACB5" w14:textId="77777777" w:rsidR="00845165" w:rsidRPr="00B82D3F" w:rsidRDefault="00845165" w:rsidP="008C1E63">
      <w:pPr>
        <w:pStyle w:val="JUDGMENTCONTINUED"/>
      </w:pPr>
    </w:p>
    <w:p w14:paraId="2BFF4F15" w14:textId="77777777" w:rsidR="00845165" w:rsidRPr="008C1E63" w:rsidRDefault="00845165" w:rsidP="008C1E63">
      <w:pPr>
        <w:pStyle w:val="HEADING"/>
        <w:rPr>
          <w:rStyle w:val="Emphasis"/>
          <w:i/>
          <w:iCs w:val="0"/>
        </w:rPr>
      </w:pPr>
      <w:r w:rsidRPr="005A3DF5">
        <w:rPr>
          <w:rStyle w:val="Emphasis"/>
          <w:i/>
          <w:iCs w:val="0"/>
        </w:rPr>
        <w:t>Labour Appeal Court</w:t>
      </w:r>
    </w:p>
    <w:p w14:paraId="7C899C5C" w14:textId="77777777" w:rsidR="00845165" w:rsidRPr="00B82D3F" w:rsidRDefault="00845165" w:rsidP="00BF2661">
      <w:pPr>
        <w:pStyle w:val="JUDGMENTNUMBERED"/>
      </w:pPr>
      <w:r w:rsidRPr="00B82D3F">
        <w:t>The L</w:t>
      </w:r>
      <w:r w:rsidR="00816D9B">
        <w:t xml:space="preserve">abour </w:t>
      </w:r>
      <w:r w:rsidRPr="00B82D3F">
        <w:t>A</w:t>
      </w:r>
      <w:r w:rsidR="00816D9B">
        <w:t xml:space="preserve">ppeal </w:t>
      </w:r>
      <w:r w:rsidRPr="00B82D3F">
        <w:t>C</w:t>
      </w:r>
      <w:r w:rsidR="00816D9B">
        <w:t>ourt</w:t>
      </w:r>
      <w:r w:rsidRPr="00B82D3F">
        <w:t xml:space="preserve"> held that the Labour Court </w:t>
      </w:r>
      <w:r w:rsidR="00816D9B">
        <w:t xml:space="preserve">had </w:t>
      </w:r>
      <w:r w:rsidRPr="00B82D3F">
        <w:t xml:space="preserve">failed to consider the main issue, that is, whether the inconsistency </w:t>
      </w:r>
      <w:r w:rsidR="00962156">
        <w:t xml:space="preserve">in the application of </w:t>
      </w:r>
      <w:r w:rsidRPr="00B82D3F">
        <w:t>disciplin</w:t>
      </w:r>
      <w:r w:rsidR="00962156">
        <w:t>ary measures</w:t>
      </w:r>
      <w:r w:rsidRPr="00B82D3F">
        <w:t xml:space="preserve"> had been proved. </w:t>
      </w:r>
      <w:r w:rsidR="000E241A">
        <w:t xml:space="preserve"> </w:t>
      </w:r>
      <w:r w:rsidRPr="00B82D3F">
        <w:t>After evaluating the evidence, the L</w:t>
      </w:r>
      <w:r w:rsidR="00816D9B">
        <w:t xml:space="preserve">abour </w:t>
      </w:r>
      <w:r w:rsidRPr="00B82D3F">
        <w:t>A</w:t>
      </w:r>
      <w:r w:rsidR="00816D9B">
        <w:t xml:space="preserve">ppeal </w:t>
      </w:r>
      <w:r w:rsidRPr="00B82D3F">
        <w:t>C</w:t>
      </w:r>
      <w:r w:rsidR="00816D9B">
        <w:t>ourt</w:t>
      </w:r>
      <w:r w:rsidRPr="00B82D3F">
        <w:t xml:space="preserve"> rejected the arbitrator’s finding o</w:t>
      </w:r>
      <w:r w:rsidR="003A1BAE">
        <w:t>f inconsistency of discipline on the basis that</w:t>
      </w:r>
      <w:r w:rsidRPr="00B82D3F">
        <w:t xml:space="preserve"> Ms Maseko</w:t>
      </w:r>
      <w:r w:rsidR="003A1BAE">
        <w:t>,</w:t>
      </w:r>
      <w:r w:rsidRPr="00B82D3F">
        <w:t xml:space="preserve"> who had been acquitted, was not present when the instructions were issued. </w:t>
      </w:r>
      <w:r w:rsidR="000E241A">
        <w:t xml:space="preserve"> </w:t>
      </w:r>
      <w:r w:rsidR="002D0A50">
        <w:t xml:space="preserve">Furthermore, </w:t>
      </w:r>
      <w:r w:rsidR="00DF57C2">
        <w:t xml:space="preserve">it held that </w:t>
      </w:r>
      <w:r w:rsidR="002D0A50">
        <w:t xml:space="preserve">the </w:t>
      </w:r>
      <w:r w:rsidR="008A3EC0">
        <w:t>dismissed employees</w:t>
      </w:r>
      <w:r w:rsidR="002D0A50">
        <w:t xml:space="preserve"> could not rely on the fact that Ms Maseko had been acquitted and use that as a basis for their challenge in respect of inconsistency of discipline. </w:t>
      </w:r>
      <w:r w:rsidR="000E241A">
        <w:t xml:space="preserve"> </w:t>
      </w:r>
      <w:r w:rsidRPr="002D0A50">
        <w:t>Th</w:t>
      </w:r>
      <w:r w:rsidR="002D0A50">
        <w:t xml:space="preserve">e </w:t>
      </w:r>
      <w:r w:rsidR="002D0A50" w:rsidRPr="00C70C3E">
        <w:t>L</w:t>
      </w:r>
      <w:r w:rsidR="00605077" w:rsidRPr="00C70C3E">
        <w:t xml:space="preserve">abour </w:t>
      </w:r>
      <w:r w:rsidR="002D0A50" w:rsidRPr="00C70C3E">
        <w:t>A</w:t>
      </w:r>
      <w:r w:rsidR="00605077" w:rsidRPr="00C70C3E">
        <w:t xml:space="preserve">ppeal </w:t>
      </w:r>
      <w:r w:rsidR="002D0A50" w:rsidRPr="00C70C3E">
        <w:t>C</w:t>
      </w:r>
      <w:r w:rsidR="00605077" w:rsidRPr="00C70C3E">
        <w:t>ourt</w:t>
      </w:r>
      <w:r w:rsidR="002D0A50">
        <w:t xml:space="preserve"> held that </w:t>
      </w:r>
      <w:r w:rsidRPr="002D0A50">
        <w:t xml:space="preserve">the Labour Court adopted an opposing position to that of the arbitrator </w:t>
      </w:r>
      <w:r w:rsidR="00C70C3E">
        <w:t>concerning</w:t>
      </w:r>
      <w:r w:rsidRPr="002D0A50">
        <w:t xml:space="preserve"> Mr Madikwane’s instructions</w:t>
      </w:r>
      <w:r w:rsidR="001B7A75">
        <w:t xml:space="preserve">. </w:t>
      </w:r>
      <w:r w:rsidR="001C7D48">
        <w:t xml:space="preserve"> </w:t>
      </w:r>
      <w:r w:rsidR="00E728CC">
        <w:t xml:space="preserve">Consequently, </w:t>
      </w:r>
      <w:r w:rsidRPr="00B82D3F">
        <w:t>there was no</w:t>
      </w:r>
      <w:r w:rsidR="00816D9B">
        <w:t xml:space="preserve"> basis for the Labour Court</w:t>
      </w:r>
      <w:r w:rsidRPr="00B82D3F">
        <w:t xml:space="preserve"> to hold that a reasonable </w:t>
      </w:r>
      <w:r w:rsidR="00C70C3E" w:rsidRPr="00B82D3F">
        <w:t>decision</w:t>
      </w:r>
      <w:r w:rsidR="00C70C3E">
        <w:t>-</w:t>
      </w:r>
      <w:r w:rsidRPr="00B82D3F">
        <w:t xml:space="preserve">maker could find that the </w:t>
      </w:r>
      <w:r w:rsidR="00816D9B">
        <w:t xml:space="preserve">five </w:t>
      </w:r>
      <w:r w:rsidRPr="00B82D3F">
        <w:t>employees did not disregard the instructions.</w:t>
      </w:r>
    </w:p>
    <w:p w14:paraId="46407D6B" w14:textId="77777777" w:rsidR="00845165" w:rsidRPr="00B82D3F" w:rsidRDefault="00845165" w:rsidP="008C1E63">
      <w:pPr>
        <w:pStyle w:val="JUDGMENTCONTINUED"/>
      </w:pPr>
    </w:p>
    <w:p w14:paraId="33183F6C" w14:textId="77777777" w:rsidR="00845165" w:rsidRPr="00B82D3F" w:rsidRDefault="000338C1" w:rsidP="00BF2661">
      <w:pPr>
        <w:pStyle w:val="JUDGMENTNUMBERED"/>
      </w:pPr>
      <w:r>
        <w:t>T</w:t>
      </w:r>
      <w:r w:rsidR="00845165" w:rsidRPr="00B82D3F">
        <w:t>he L</w:t>
      </w:r>
      <w:r>
        <w:t xml:space="preserve">abour </w:t>
      </w:r>
      <w:r w:rsidR="00845165" w:rsidRPr="00B82D3F">
        <w:t>A</w:t>
      </w:r>
      <w:r>
        <w:t xml:space="preserve">ppeal </w:t>
      </w:r>
      <w:r w:rsidR="00845165" w:rsidRPr="00B82D3F">
        <w:t>C</w:t>
      </w:r>
      <w:r>
        <w:t>ourt</w:t>
      </w:r>
      <w:r w:rsidR="00845165" w:rsidRPr="00B82D3F">
        <w:t xml:space="preserve"> held that the </w:t>
      </w:r>
      <w:r w:rsidR="001B7A75">
        <w:t xml:space="preserve">five </w:t>
      </w:r>
      <w:r w:rsidR="00845165" w:rsidRPr="00B82D3F">
        <w:t xml:space="preserve">employees were aware of the rules and that dismissal was an appropriate sanction for </w:t>
      </w:r>
      <w:r w:rsidR="004B6FE7">
        <w:t>contravening</w:t>
      </w:r>
      <w:r w:rsidR="00845165" w:rsidRPr="00B82D3F">
        <w:t xml:space="preserve"> the rule</w:t>
      </w:r>
      <w:r w:rsidR="00EA05FA">
        <w:t>s</w:t>
      </w:r>
      <w:r w:rsidR="005C009F">
        <w:t xml:space="preserve">. </w:t>
      </w:r>
      <w:r w:rsidR="004B2AAD">
        <w:t xml:space="preserve"> </w:t>
      </w:r>
      <w:r w:rsidR="005C009F">
        <w:t xml:space="preserve">It also held </w:t>
      </w:r>
      <w:r w:rsidR="00845165" w:rsidRPr="00B82D3F">
        <w:t>that</w:t>
      </w:r>
      <w:r w:rsidR="00EA05FA">
        <w:t>,</w:t>
      </w:r>
      <w:r w:rsidR="00845165" w:rsidRPr="00B82D3F">
        <w:t xml:space="preserve"> while it is generally not appropriate to dismiss an employee for a first offence, this default position need not be adopted if the misconduct is serious</w:t>
      </w:r>
      <w:r w:rsidR="005C009F">
        <w:t>,</w:t>
      </w:r>
      <w:r w:rsidR="00845165" w:rsidRPr="00B82D3F">
        <w:t xml:space="preserve"> includ</w:t>
      </w:r>
      <w:r w:rsidR="005C009F">
        <w:t>ing</w:t>
      </w:r>
      <w:r w:rsidR="00845165" w:rsidRPr="00B82D3F">
        <w:t xml:space="preserve"> the wilful endangering of the safety of others.</w:t>
      </w:r>
      <w:r w:rsidR="000E241A">
        <w:t xml:space="preserve"> </w:t>
      </w:r>
      <w:r w:rsidR="003A1BAE">
        <w:t xml:space="preserve"> </w:t>
      </w:r>
      <w:r w:rsidR="004B6FE7">
        <w:t>Further,</w:t>
      </w:r>
      <w:r w:rsidR="00E728CC">
        <w:t xml:space="preserve"> </w:t>
      </w:r>
      <w:r w:rsidR="003A1BAE" w:rsidRPr="00B82D3F">
        <w:t>the employees disregarded both a verbal and written instruction</w:t>
      </w:r>
      <w:r w:rsidR="002D0A50">
        <w:t>.</w:t>
      </w:r>
      <w:r w:rsidR="000E241A">
        <w:t xml:space="preserve"> </w:t>
      </w:r>
      <w:r w:rsidR="003A1BAE">
        <w:t xml:space="preserve"> Relying</w:t>
      </w:r>
      <w:r w:rsidR="00845165" w:rsidRPr="00B82D3F">
        <w:t xml:space="preserve"> on </w:t>
      </w:r>
      <w:r w:rsidR="00845165" w:rsidRPr="00B82D3F">
        <w:rPr>
          <w:rStyle w:val="Emphasis"/>
          <w:szCs w:val="26"/>
        </w:rPr>
        <w:t>Impala</w:t>
      </w:r>
      <w:r w:rsidR="00F7474A">
        <w:rPr>
          <w:rStyle w:val="Emphasis"/>
          <w:szCs w:val="26"/>
        </w:rPr>
        <w:t> </w:t>
      </w:r>
      <w:r w:rsidR="00845165" w:rsidRPr="00B82D3F">
        <w:rPr>
          <w:rStyle w:val="Emphasis"/>
          <w:szCs w:val="26"/>
        </w:rPr>
        <w:t>Platinum</w:t>
      </w:r>
      <w:r w:rsidR="002D0A50" w:rsidRPr="005E2F2C">
        <w:rPr>
          <w:rStyle w:val="Emphasis"/>
          <w:i w:val="0"/>
          <w:szCs w:val="26"/>
        </w:rPr>
        <w:t>,</w:t>
      </w:r>
      <w:r w:rsidR="002D0A50" w:rsidRPr="002D0A50">
        <w:rPr>
          <w:rStyle w:val="FootnoteReference"/>
          <w:iCs/>
          <w:szCs w:val="26"/>
        </w:rPr>
        <w:footnoteReference w:id="4"/>
      </w:r>
      <w:r w:rsidR="00845165" w:rsidRPr="00B82D3F">
        <w:t xml:space="preserve"> which under</w:t>
      </w:r>
      <w:r w:rsidR="00E728CC">
        <w:t>scored</w:t>
      </w:r>
      <w:r w:rsidR="00845165" w:rsidRPr="00B82D3F">
        <w:t xml:space="preserve"> th</w:t>
      </w:r>
      <w:r w:rsidR="003A1BAE">
        <w:t xml:space="preserve">e </w:t>
      </w:r>
      <w:r w:rsidR="003A1BAE">
        <w:lastRenderedPageBreak/>
        <w:t>importance of safety measures</w:t>
      </w:r>
      <w:r w:rsidR="00E728CC">
        <w:t xml:space="preserve"> in the context of mining operations</w:t>
      </w:r>
      <w:r w:rsidR="00845165" w:rsidRPr="00B82D3F">
        <w:t xml:space="preserve">, it held that the sanction of dismissal was justified. </w:t>
      </w:r>
      <w:r w:rsidR="000E241A">
        <w:t xml:space="preserve"> </w:t>
      </w:r>
      <w:r w:rsidR="00845165" w:rsidRPr="00B82D3F">
        <w:t>The L</w:t>
      </w:r>
      <w:r w:rsidR="00605077">
        <w:t xml:space="preserve">abour </w:t>
      </w:r>
      <w:r w:rsidR="00845165" w:rsidRPr="00B82D3F">
        <w:t>A</w:t>
      </w:r>
      <w:r w:rsidR="00605077">
        <w:t xml:space="preserve">ppeal </w:t>
      </w:r>
      <w:r w:rsidR="00845165" w:rsidRPr="00B82D3F">
        <w:t>C</w:t>
      </w:r>
      <w:r w:rsidR="00605077">
        <w:t>ourt</w:t>
      </w:r>
      <w:r w:rsidR="00845165" w:rsidRPr="00B82D3F">
        <w:t xml:space="preserve"> upheld the appeal </w:t>
      </w:r>
      <w:r w:rsidR="00EC77BD">
        <w:t xml:space="preserve">with costs. </w:t>
      </w:r>
      <w:r w:rsidR="00E93C76">
        <w:t xml:space="preserve"> </w:t>
      </w:r>
      <w:r w:rsidR="00EC77BD">
        <w:t>The order of</w:t>
      </w:r>
      <w:r w:rsidR="00845165" w:rsidRPr="00B82D3F">
        <w:t xml:space="preserve"> the Labour Court </w:t>
      </w:r>
      <w:r w:rsidR="00EC77BD">
        <w:t xml:space="preserve">was set aside. </w:t>
      </w:r>
      <w:r w:rsidR="000E241A">
        <w:t xml:space="preserve"> </w:t>
      </w:r>
      <w:r w:rsidR="00EC77BD">
        <w:t>In its place, the L</w:t>
      </w:r>
      <w:r w:rsidR="00605077">
        <w:t>abour</w:t>
      </w:r>
      <w:r w:rsidR="00E93C76">
        <w:t> </w:t>
      </w:r>
      <w:r w:rsidR="00EC77BD">
        <w:t>A</w:t>
      </w:r>
      <w:r w:rsidR="00605077">
        <w:t>ppeal</w:t>
      </w:r>
      <w:r w:rsidR="00E93C76">
        <w:t> </w:t>
      </w:r>
      <w:r w:rsidR="00EC77BD">
        <w:t>C</w:t>
      </w:r>
      <w:r w:rsidR="00605077">
        <w:t>ourt</w:t>
      </w:r>
      <w:r w:rsidR="00845165" w:rsidRPr="00B82D3F">
        <w:t xml:space="preserve"> decl</w:t>
      </w:r>
      <w:r w:rsidR="00EC77BD">
        <w:t>ared that the dismissal of the five</w:t>
      </w:r>
      <w:r w:rsidR="00845165" w:rsidRPr="00B82D3F">
        <w:t xml:space="preserve"> employees was procedurally and subs</w:t>
      </w:r>
      <w:r w:rsidR="00EC77BD">
        <w:t xml:space="preserve">tantively fair and </w:t>
      </w:r>
      <w:r w:rsidR="00845165" w:rsidRPr="00C70C3E">
        <w:t>the</w:t>
      </w:r>
      <w:r w:rsidR="00C70C3E" w:rsidRPr="00C70C3E">
        <w:t xml:space="preserve"> applicant</w:t>
      </w:r>
      <w:r w:rsidR="00845165" w:rsidRPr="00B82D3F">
        <w:t xml:space="preserve"> </w:t>
      </w:r>
      <w:r w:rsidR="00EC77BD">
        <w:t xml:space="preserve">was ordered to </w:t>
      </w:r>
      <w:r w:rsidR="00845165" w:rsidRPr="00B82D3F">
        <w:t>pay the costs of the application.</w:t>
      </w:r>
    </w:p>
    <w:p w14:paraId="4445EC00" w14:textId="77777777" w:rsidR="00845165" w:rsidRPr="000338C1" w:rsidRDefault="00845165" w:rsidP="008C1E63">
      <w:pPr>
        <w:pStyle w:val="JUDGMENTCONTINUED"/>
        <w:rPr>
          <w:rStyle w:val="Emphasis"/>
          <w:i w:val="0"/>
          <w:iCs w:val="0"/>
          <w:szCs w:val="26"/>
        </w:rPr>
      </w:pPr>
    </w:p>
    <w:p w14:paraId="497B86B4" w14:textId="77777777" w:rsidR="00E34C12" w:rsidRPr="000E241A" w:rsidRDefault="00845165" w:rsidP="00BF2661">
      <w:pPr>
        <w:pStyle w:val="HEADING"/>
        <w:rPr>
          <w:rStyle w:val="Emphasis"/>
          <w:iCs w:val="0"/>
        </w:rPr>
      </w:pPr>
      <w:r w:rsidRPr="000E241A">
        <w:rPr>
          <w:rStyle w:val="Emphasis"/>
          <w:i/>
          <w:iCs w:val="0"/>
        </w:rPr>
        <w:t>In this Court</w:t>
      </w:r>
    </w:p>
    <w:p w14:paraId="22EB84E7" w14:textId="77777777" w:rsidR="00EC77BD" w:rsidRDefault="00EC77BD" w:rsidP="00BF2661">
      <w:pPr>
        <w:pStyle w:val="JUDGMENTNUMBERED"/>
      </w:pPr>
      <w:r w:rsidRPr="00EC77BD">
        <w:t>The appli</w:t>
      </w:r>
      <w:r w:rsidR="00D764A0">
        <w:t>cant approached</w:t>
      </w:r>
      <w:r w:rsidRPr="00EC77BD">
        <w:t xml:space="preserve"> this Court for leave to appeal against the order of the L</w:t>
      </w:r>
      <w:r w:rsidR="00605077">
        <w:t xml:space="preserve">abour </w:t>
      </w:r>
      <w:r w:rsidRPr="00EC77BD">
        <w:t>A</w:t>
      </w:r>
      <w:r w:rsidR="00605077">
        <w:t xml:space="preserve">ppeal </w:t>
      </w:r>
      <w:r w:rsidRPr="00EC77BD">
        <w:t>C</w:t>
      </w:r>
      <w:r w:rsidR="00605077">
        <w:t>ourt</w:t>
      </w:r>
      <w:r w:rsidRPr="00EC77BD">
        <w:t xml:space="preserve">. </w:t>
      </w:r>
      <w:r w:rsidR="000E241A">
        <w:t xml:space="preserve"> </w:t>
      </w:r>
      <w:r w:rsidRPr="00EC77BD">
        <w:t xml:space="preserve">On 25 November 2020, the Chief Justice issued </w:t>
      </w:r>
      <w:r w:rsidRPr="00C70C3E">
        <w:t>directions</w:t>
      </w:r>
      <w:r w:rsidRPr="00EC77BD">
        <w:t xml:space="preserve"> calling on the parties to file written submissions on costs, having particular regard to this Court’s judgment in </w:t>
      </w:r>
      <w:r w:rsidRPr="00EC77BD">
        <w:rPr>
          <w:i/>
        </w:rPr>
        <w:t>Zungu</w:t>
      </w:r>
      <w:r w:rsidRPr="00EC77BD">
        <w:t>.</w:t>
      </w:r>
      <w:r w:rsidRPr="00EC77BD">
        <w:rPr>
          <w:rStyle w:val="FootnoteReference"/>
          <w:szCs w:val="26"/>
        </w:rPr>
        <w:footnoteReference w:id="5"/>
      </w:r>
    </w:p>
    <w:p w14:paraId="40565FC5" w14:textId="77777777" w:rsidR="00EC77BD" w:rsidRDefault="00EC77BD" w:rsidP="00BF2661">
      <w:pPr>
        <w:pStyle w:val="JUDGMENTNUMBERED"/>
        <w:numPr>
          <w:ilvl w:val="0"/>
          <w:numId w:val="0"/>
        </w:numPr>
      </w:pPr>
    </w:p>
    <w:p w14:paraId="4CA4D7D7" w14:textId="77777777" w:rsidR="00EC77BD" w:rsidRPr="00BF2661" w:rsidRDefault="00EC77BD" w:rsidP="00BF2661">
      <w:pPr>
        <w:pStyle w:val="JUDGMENTNUMBERED"/>
      </w:pPr>
      <w:r w:rsidRPr="000E241A">
        <w:t>The parties have filed written submissions and the matter was determined without oral argument.</w:t>
      </w:r>
    </w:p>
    <w:p w14:paraId="6AF933B0" w14:textId="77777777" w:rsidR="000338C1" w:rsidRDefault="000338C1" w:rsidP="00B82D3F">
      <w:pPr>
        <w:pStyle w:val="NormalWeb"/>
        <w:shd w:val="clear" w:color="auto" w:fill="FFFFFF"/>
        <w:spacing w:line="360" w:lineRule="auto"/>
        <w:jc w:val="both"/>
        <w:rPr>
          <w:rStyle w:val="Emphasis"/>
          <w:sz w:val="26"/>
          <w:szCs w:val="26"/>
        </w:rPr>
      </w:pPr>
    </w:p>
    <w:p w14:paraId="7540C5F2" w14:textId="77777777" w:rsidR="00845165" w:rsidRPr="0031497A" w:rsidRDefault="00EC77BD" w:rsidP="008D2800">
      <w:pPr>
        <w:pStyle w:val="HEADING"/>
        <w:ind w:firstLine="720"/>
      </w:pPr>
      <w:r w:rsidRPr="0031497A">
        <w:rPr>
          <w:rStyle w:val="Emphasis"/>
          <w:i/>
          <w:iCs w:val="0"/>
        </w:rPr>
        <w:t>Applicant’s submission</w:t>
      </w:r>
      <w:r w:rsidR="008A3EC0" w:rsidRPr="0031497A">
        <w:rPr>
          <w:rStyle w:val="Emphasis"/>
          <w:i/>
          <w:iCs w:val="0"/>
        </w:rPr>
        <w:t>s</w:t>
      </w:r>
    </w:p>
    <w:p w14:paraId="50F6BB0A" w14:textId="3F8E0AC9" w:rsidR="00845165" w:rsidRPr="00B82D3F" w:rsidRDefault="00845165">
      <w:pPr>
        <w:pStyle w:val="JUDGMENTNUMBERED"/>
      </w:pPr>
      <w:r w:rsidRPr="00B82D3F">
        <w:t>The applicant submits that the L</w:t>
      </w:r>
      <w:r w:rsidR="00C130A7">
        <w:t xml:space="preserve">abour </w:t>
      </w:r>
      <w:r w:rsidRPr="00B82D3F">
        <w:t>A</w:t>
      </w:r>
      <w:r w:rsidR="00C130A7">
        <w:t xml:space="preserve">ppeal </w:t>
      </w:r>
      <w:r w:rsidRPr="00B82D3F">
        <w:t>C</w:t>
      </w:r>
      <w:r w:rsidR="00C130A7">
        <w:t>ourt</w:t>
      </w:r>
      <w:r w:rsidRPr="00B82D3F">
        <w:t xml:space="preserve"> was wrong on the law and </w:t>
      </w:r>
      <w:r w:rsidRPr="00E3056A">
        <w:t>facts</w:t>
      </w:r>
      <w:r w:rsidRPr="00F622BB">
        <w:t xml:space="preserve"> when</w:t>
      </w:r>
      <w:r w:rsidRPr="00B82D3F">
        <w:t xml:space="preserve"> it set aside t</w:t>
      </w:r>
      <w:r w:rsidR="00DF57C2">
        <w:t>he judgment of the Labour Court</w:t>
      </w:r>
      <w:r w:rsidRPr="00B82D3F">
        <w:t>.</w:t>
      </w:r>
      <w:r w:rsidR="000E241A">
        <w:t xml:space="preserve">  </w:t>
      </w:r>
      <w:r w:rsidRPr="00B82D3F">
        <w:t>The applicant submits that at the heart of the matter is the inconsistent application of disciplin</w:t>
      </w:r>
      <w:r w:rsidR="00E728CC">
        <w:t>ary measures</w:t>
      </w:r>
      <w:r w:rsidRPr="00B82D3F">
        <w:t xml:space="preserve"> and the L</w:t>
      </w:r>
      <w:r w:rsidR="00C130A7">
        <w:t>abour</w:t>
      </w:r>
      <w:r w:rsidR="00E93C76">
        <w:t> </w:t>
      </w:r>
      <w:r w:rsidRPr="00B82D3F">
        <w:t>A</w:t>
      </w:r>
      <w:r w:rsidR="00C130A7">
        <w:t xml:space="preserve">ppeal </w:t>
      </w:r>
      <w:r w:rsidRPr="00B82D3F">
        <w:t>C</w:t>
      </w:r>
      <w:r w:rsidR="00C130A7">
        <w:t>ourt’</w:t>
      </w:r>
      <w:r w:rsidRPr="00B82D3F">
        <w:t>s misapplication of th</w:t>
      </w:r>
      <w:r w:rsidR="004F6C7F">
        <w:t>is</w:t>
      </w:r>
      <w:r w:rsidRPr="00B82D3F">
        <w:t xml:space="preserve"> principle.</w:t>
      </w:r>
      <w:r w:rsidR="000E241A">
        <w:t xml:space="preserve"> </w:t>
      </w:r>
      <w:r w:rsidRPr="00B82D3F">
        <w:t xml:space="preserve"> It submits that</w:t>
      </w:r>
      <w:r w:rsidR="004F6C7F">
        <w:t>,</w:t>
      </w:r>
      <w:r w:rsidRPr="00B82D3F">
        <w:t xml:space="preserve"> as a matter of law</w:t>
      </w:r>
      <w:r w:rsidR="004F6C7F">
        <w:t>,</w:t>
      </w:r>
      <w:r w:rsidRPr="00B82D3F">
        <w:t xml:space="preserve"> if an employer applies selective discipline and retains some employees while dismissing others, it is enjoined to reinstate the dismissed employees as the employer is taken to have condoned the misconduct.</w:t>
      </w:r>
      <w:r w:rsidR="000E241A">
        <w:t xml:space="preserve"> </w:t>
      </w:r>
      <w:r w:rsidRPr="00B82D3F">
        <w:t xml:space="preserve"> </w:t>
      </w:r>
      <w:r w:rsidR="008A3EC0" w:rsidRPr="008A3EC0">
        <w:t xml:space="preserve">Therefore, the judgment and orders </w:t>
      </w:r>
      <w:r w:rsidR="004F6C7F">
        <w:t>are inconsistent with</w:t>
      </w:r>
      <w:r w:rsidR="008A3EC0" w:rsidRPr="008A3EC0">
        <w:t xml:space="preserve"> section 23(1) of the Constitution</w:t>
      </w:r>
      <w:r w:rsidR="0031497A">
        <w:t>,</w:t>
      </w:r>
      <w:r w:rsidR="008A3EC0" w:rsidRPr="008A3EC0">
        <w:t xml:space="preserve"> which</w:t>
      </w:r>
      <w:r w:rsidR="008A3EC0" w:rsidRPr="008A3EC0">
        <w:rPr>
          <w:lang w:val="en-GB"/>
        </w:rPr>
        <w:t xml:space="preserve"> provides for the right to fair </w:t>
      </w:r>
      <w:r w:rsidR="008A3EC0" w:rsidRPr="008A3EC0">
        <w:rPr>
          <w:lang w:val="en-GB"/>
        </w:rPr>
        <w:lastRenderedPageBreak/>
        <w:t>labour practices</w:t>
      </w:r>
      <w:r w:rsidR="008A3EC0" w:rsidRPr="008A3EC0">
        <w:t xml:space="preserve">.  </w:t>
      </w:r>
      <w:r w:rsidR="004F6C7F" w:rsidRPr="004F6C7F">
        <w:t>Furthermore, the application raises constitutional issues as it implicates the right to fair labour practices and the right to access courts, as provided for in section 23(1) and section 34 of the Constitution respectively.</w:t>
      </w:r>
    </w:p>
    <w:p w14:paraId="24725EA7" w14:textId="77777777" w:rsidR="00845165" w:rsidRPr="00B82D3F" w:rsidRDefault="00845165" w:rsidP="008C1E63">
      <w:pPr>
        <w:pStyle w:val="JUDGMENTCONTINUED"/>
      </w:pPr>
    </w:p>
    <w:p w14:paraId="52A5F559" w14:textId="75E3863D" w:rsidR="00845165" w:rsidRPr="00B82D3F" w:rsidRDefault="00DF57C2" w:rsidP="00BF2661">
      <w:pPr>
        <w:pStyle w:val="JUDGMENTNUMBERED"/>
      </w:pPr>
      <w:r w:rsidRPr="00B82D3F">
        <w:t>Regardi</w:t>
      </w:r>
      <w:r>
        <w:t xml:space="preserve">ng the allegation of </w:t>
      </w:r>
      <w:r w:rsidR="00C70C3E">
        <w:t xml:space="preserve">the </w:t>
      </w:r>
      <w:r>
        <w:t>inconsistency of</w:t>
      </w:r>
      <w:r w:rsidRPr="00B82D3F">
        <w:t xml:space="preserve"> discipline</w:t>
      </w:r>
      <w:r w:rsidR="000F727D">
        <w:t xml:space="preserve"> amongst the employees</w:t>
      </w:r>
      <w:r w:rsidRPr="00B82D3F">
        <w:t xml:space="preserve">, </w:t>
      </w:r>
      <w:r w:rsidRPr="00C70C3E">
        <w:t>the</w:t>
      </w:r>
      <w:r w:rsidR="00C70C3E" w:rsidRPr="00C70C3E">
        <w:t xml:space="preserve"> applicant</w:t>
      </w:r>
      <w:r w:rsidRPr="00B82D3F">
        <w:t xml:space="preserve"> submits that Mr </w:t>
      </w:r>
      <w:r w:rsidR="00EC5D01">
        <w:t>Mot</w:t>
      </w:r>
      <w:r w:rsidR="005E2F2C">
        <w:t>l</w:t>
      </w:r>
      <w:r w:rsidR="00EC5D01">
        <w:t>habing</w:t>
      </w:r>
      <w:r w:rsidRPr="00B82D3F">
        <w:t xml:space="preserve"> was cha</w:t>
      </w:r>
      <w:r w:rsidR="003A1BAE">
        <w:t>rged for similar conduct</w:t>
      </w:r>
      <w:r w:rsidR="00E11618">
        <w:t>,</w:t>
      </w:r>
      <w:r w:rsidR="003A1BAE">
        <w:t xml:space="preserve"> but</w:t>
      </w:r>
      <w:r w:rsidRPr="00B82D3F">
        <w:t xml:space="preserve"> not dismissed.</w:t>
      </w:r>
      <w:r w:rsidR="000E241A">
        <w:t xml:space="preserve"> </w:t>
      </w:r>
      <w:r w:rsidRPr="00B82D3F">
        <w:t xml:space="preserve"> Further, Ms</w:t>
      </w:r>
      <w:r w:rsidR="00E93C76">
        <w:t> </w:t>
      </w:r>
      <w:r w:rsidRPr="00B82D3F">
        <w:t>Maseko was not dismissed</w:t>
      </w:r>
      <w:r w:rsidR="00E11618">
        <w:t>,</w:t>
      </w:r>
      <w:r w:rsidRPr="00B82D3F">
        <w:t xml:space="preserve"> while she was</w:t>
      </w:r>
      <w:r w:rsidR="00E93C76">
        <w:t xml:space="preserve"> also</w:t>
      </w:r>
      <w:r w:rsidRPr="00B82D3F">
        <w:t xml:space="preserve"> part of the group that worked with the dismissed employees.</w:t>
      </w:r>
      <w:r w:rsidR="000E241A">
        <w:t xml:space="preserve"> </w:t>
      </w:r>
      <w:r w:rsidRPr="00B82D3F">
        <w:t xml:space="preserve"> </w:t>
      </w:r>
      <w:r w:rsidRPr="00C70C3E">
        <w:t xml:space="preserve">The </w:t>
      </w:r>
      <w:r w:rsidR="00C70C3E" w:rsidRPr="00C70C3E">
        <w:t>applicant</w:t>
      </w:r>
      <w:r w:rsidRPr="00B82D3F">
        <w:t xml:space="preserve"> submits that there is no reason why Ms Maseko was treated differently, despite her not being present when Mr Madikwane visited the team. </w:t>
      </w:r>
      <w:r w:rsidR="000E241A">
        <w:t xml:space="preserve"> </w:t>
      </w:r>
      <w:r w:rsidR="00E93C76">
        <w:t>In addition</w:t>
      </w:r>
      <w:r w:rsidRPr="00B82D3F">
        <w:t>, her being subject to the disciplinary inquiry was merely a formality and her relationship with Mr Madikwane played a role in her receiving different treatment.</w:t>
      </w:r>
      <w:r w:rsidR="000E241A">
        <w:t xml:space="preserve"> </w:t>
      </w:r>
      <w:r w:rsidRPr="00B82D3F">
        <w:t xml:space="preserve"> </w:t>
      </w:r>
      <w:r w:rsidR="00C130A7">
        <w:t>It</w:t>
      </w:r>
      <w:r w:rsidRPr="00B82D3F">
        <w:t xml:space="preserve"> submit</w:t>
      </w:r>
      <w:r w:rsidR="00C130A7">
        <w:t>s</w:t>
      </w:r>
      <w:r w:rsidRPr="00B82D3F">
        <w:t xml:space="preserve"> that the L</w:t>
      </w:r>
      <w:r w:rsidR="00C130A7">
        <w:t xml:space="preserve">abour </w:t>
      </w:r>
      <w:r w:rsidRPr="00B82D3F">
        <w:t>A</w:t>
      </w:r>
      <w:r w:rsidR="00C130A7">
        <w:t xml:space="preserve">ppeal </w:t>
      </w:r>
      <w:r w:rsidRPr="00B82D3F">
        <w:t>C</w:t>
      </w:r>
      <w:r w:rsidR="00C130A7">
        <w:t>ourt</w:t>
      </w:r>
      <w:r w:rsidRPr="00B82D3F">
        <w:t xml:space="preserve"> failed to consider all material evidence before it</w:t>
      </w:r>
      <w:r w:rsidR="004F6C7F">
        <w:t>,</w:t>
      </w:r>
      <w:r w:rsidRPr="00B82D3F">
        <w:t xml:space="preserve"> and </w:t>
      </w:r>
      <w:r w:rsidR="004F6C7F">
        <w:t xml:space="preserve">also failed to </w:t>
      </w:r>
      <w:r w:rsidRPr="00B82D3F">
        <w:t>ensure that all parties were treated fairly.</w:t>
      </w:r>
      <w:r>
        <w:t xml:space="preserve"> </w:t>
      </w:r>
      <w:r w:rsidR="000E241A">
        <w:t xml:space="preserve"> </w:t>
      </w:r>
      <w:r w:rsidR="00845165" w:rsidRPr="00C70C3E">
        <w:t>The applicant</w:t>
      </w:r>
      <w:r w:rsidR="00845165" w:rsidRPr="00B82D3F">
        <w:t xml:space="preserve"> submits that not all of the dismissed employees had carried out the work after the verbal instruction.</w:t>
      </w:r>
      <w:r w:rsidR="000E241A">
        <w:t xml:space="preserve"> </w:t>
      </w:r>
      <w:r w:rsidR="00845165" w:rsidRPr="00B82D3F">
        <w:t xml:space="preserve"> Others were </w:t>
      </w:r>
      <w:r w:rsidR="00E11618">
        <w:t xml:space="preserve">merely </w:t>
      </w:r>
      <w:r w:rsidR="00845165" w:rsidRPr="00B82D3F">
        <w:t>standing</w:t>
      </w:r>
      <w:r w:rsidR="00E11618">
        <w:t xml:space="preserve"> around</w:t>
      </w:r>
      <w:r w:rsidR="00845165" w:rsidRPr="00B82D3F">
        <w:t xml:space="preserve"> and</w:t>
      </w:r>
      <w:r w:rsidR="00E11618">
        <w:t>,</w:t>
      </w:r>
      <w:r w:rsidR="00845165" w:rsidRPr="00B82D3F">
        <w:t xml:space="preserve"> therefore, those employees were dismissed for derivative misconduct.</w:t>
      </w:r>
      <w:r w:rsidR="000E241A">
        <w:t xml:space="preserve"> </w:t>
      </w:r>
      <w:r w:rsidR="00845165" w:rsidRPr="00B82D3F">
        <w:t xml:space="preserve"> This</w:t>
      </w:r>
      <w:r w:rsidR="00DF44FB">
        <w:t>,</w:t>
      </w:r>
      <w:r w:rsidR="00845165" w:rsidRPr="00B82D3F">
        <w:t xml:space="preserve"> it submits, is in conflict with this Court</w:t>
      </w:r>
      <w:r w:rsidR="008D2800">
        <w:t>’</w:t>
      </w:r>
      <w:r w:rsidR="00845165" w:rsidRPr="00B82D3F">
        <w:t xml:space="preserve">s decision in </w:t>
      </w:r>
      <w:r w:rsidR="00845165" w:rsidRPr="00B82D3F">
        <w:rPr>
          <w:rStyle w:val="Emphasis"/>
          <w:szCs w:val="26"/>
        </w:rPr>
        <w:t>Dunlop Mixing and Technical Services</w:t>
      </w:r>
      <w:r w:rsidR="00845165" w:rsidRPr="00B82D3F">
        <w:t>.</w:t>
      </w:r>
      <w:r>
        <w:rPr>
          <w:rStyle w:val="FootnoteReference"/>
          <w:szCs w:val="26"/>
        </w:rPr>
        <w:footnoteReference w:id="6"/>
      </w:r>
      <w:r w:rsidR="000E241A">
        <w:t xml:space="preserve"> </w:t>
      </w:r>
      <w:r w:rsidR="00845165" w:rsidRPr="00B82D3F">
        <w:t xml:space="preserve"> The</w:t>
      </w:r>
      <w:r w:rsidR="00C70C3E">
        <w:t xml:space="preserve"> applicant</w:t>
      </w:r>
      <w:r w:rsidR="00845165" w:rsidRPr="00B82D3F">
        <w:t xml:space="preserve"> submits that</w:t>
      </w:r>
      <w:r w:rsidR="004F6C7F">
        <w:t>,</w:t>
      </w:r>
      <w:r w:rsidR="00845165" w:rsidRPr="00B82D3F">
        <w:t xml:space="preserve"> despite evidence that all five employees carried out some work, the L</w:t>
      </w:r>
      <w:r w:rsidR="00C130A7">
        <w:t xml:space="preserve">abour </w:t>
      </w:r>
      <w:r w:rsidR="00845165" w:rsidRPr="00B82D3F">
        <w:t>A</w:t>
      </w:r>
      <w:r w:rsidR="00C130A7">
        <w:t xml:space="preserve">ppeal </w:t>
      </w:r>
      <w:r w:rsidR="00845165" w:rsidRPr="00B82D3F">
        <w:t>C</w:t>
      </w:r>
      <w:r w:rsidR="00C130A7">
        <w:t>ourt</w:t>
      </w:r>
      <w:r w:rsidR="00845165" w:rsidRPr="00B82D3F">
        <w:t xml:space="preserve"> </w:t>
      </w:r>
      <w:r w:rsidR="00C130A7">
        <w:t>erred when it upheld the appeal</w:t>
      </w:r>
      <w:r w:rsidR="00845165" w:rsidRPr="00B82D3F">
        <w:t>.</w:t>
      </w:r>
    </w:p>
    <w:p w14:paraId="43C23884" w14:textId="77777777" w:rsidR="00845165" w:rsidRPr="00B82D3F" w:rsidRDefault="00845165" w:rsidP="008C1E63">
      <w:pPr>
        <w:pStyle w:val="JUDGMENTCONTINUED"/>
      </w:pPr>
    </w:p>
    <w:p w14:paraId="0CFEE9FC" w14:textId="25B575FE" w:rsidR="00C130A7" w:rsidRPr="00C130A7" w:rsidRDefault="004602BC">
      <w:pPr>
        <w:pStyle w:val="JUDGMENTNUMBERED"/>
      </w:pPr>
      <w:r>
        <w:t>T</w:t>
      </w:r>
      <w:r w:rsidR="00845165" w:rsidRPr="00B82D3F">
        <w:t xml:space="preserve">he applicant submits </w:t>
      </w:r>
      <w:r w:rsidR="00DF57C2" w:rsidRPr="00B82D3F">
        <w:t>that the sanction was disproportionate</w:t>
      </w:r>
      <w:r w:rsidR="004C1DE4">
        <w:t>,</w:t>
      </w:r>
      <w:r w:rsidR="00DF57C2" w:rsidRPr="00B82D3F">
        <w:t xml:space="preserve"> in that the alleged seriousness of the risk was exaggerated during the dispute resolution proceedings as it was evident </w:t>
      </w:r>
      <w:r w:rsidR="00DF57C2" w:rsidRPr="00B75D68">
        <w:t>that compliance with the verbal instruction would not ha</w:t>
      </w:r>
      <w:r w:rsidRPr="00B75D68">
        <w:t>ve led to the misconduct charge</w:t>
      </w:r>
      <w:r w:rsidR="00DF57C2" w:rsidRPr="00B75D68">
        <w:t>.</w:t>
      </w:r>
      <w:r w:rsidR="0062463E">
        <w:t xml:space="preserve"> </w:t>
      </w:r>
      <w:r w:rsidR="00DF57C2">
        <w:t xml:space="preserve"> </w:t>
      </w:r>
      <w:r w:rsidR="000F727D">
        <w:t>Lastly</w:t>
      </w:r>
      <w:r w:rsidR="00DF57C2">
        <w:t>,</w:t>
      </w:r>
      <w:r w:rsidR="00845165" w:rsidRPr="00B82D3F">
        <w:t xml:space="preserve"> the L</w:t>
      </w:r>
      <w:r>
        <w:t>abour Appeal Court</w:t>
      </w:r>
      <w:r w:rsidR="00845165" w:rsidRPr="00B82D3F">
        <w:t xml:space="preserve"> failed to take into account the personal circumstances of the dismissed employees and </w:t>
      </w:r>
      <w:r>
        <w:t>did not afford them</w:t>
      </w:r>
      <w:r w:rsidR="00845165" w:rsidRPr="00B82D3F">
        <w:t xml:space="preserve"> the protec</w:t>
      </w:r>
      <w:r w:rsidR="00C74444">
        <w:t>tion of section 23(1)</w:t>
      </w:r>
      <w:r>
        <w:t xml:space="preserve"> of the Constitution</w:t>
      </w:r>
      <w:r w:rsidR="00C130A7">
        <w:t>.</w:t>
      </w:r>
    </w:p>
    <w:p w14:paraId="2A632DB5" w14:textId="77777777" w:rsidR="00845165" w:rsidRPr="00C70C3E" w:rsidRDefault="00845165" w:rsidP="008C1E63">
      <w:pPr>
        <w:pStyle w:val="JUDGMENTCONTINUED"/>
      </w:pPr>
    </w:p>
    <w:p w14:paraId="39DD4555" w14:textId="6D0FE58E" w:rsidR="00845165" w:rsidRPr="0062463E" w:rsidRDefault="00845165" w:rsidP="00BF2661">
      <w:pPr>
        <w:pStyle w:val="HEADING"/>
        <w:ind w:firstLine="720"/>
      </w:pPr>
      <w:r w:rsidRPr="0062463E">
        <w:rPr>
          <w:rStyle w:val="Emphasis"/>
          <w:i/>
          <w:iCs w:val="0"/>
        </w:rPr>
        <w:lastRenderedPageBreak/>
        <w:t>First respondent</w:t>
      </w:r>
      <w:r w:rsidR="008D2800">
        <w:rPr>
          <w:rStyle w:val="Emphasis"/>
          <w:i/>
          <w:iCs w:val="0"/>
        </w:rPr>
        <w:t>’</w:t>
      </w:r>
      <w:r w:rsidRPr="0062463E">
        <w:rPr>
          <w:rStyle w:val="Emphasis"/>
          <w:i/>
          <w:iCs w:val="0"/>
        </w:rPr>
        <w:t>s submissions</w:t>
      </w:r>
    </w:p>
    <w:p w14:paraId="78B999C7" w14:textId="77777777" w:rsidR="00845165" w:rsidRDefault="000338C1" w:rsidP="00BF2661">
      <w:pPr>
        <w:pStyle w:val="JUDGMENTNUMBERED"/>
      </w:pPr>
      <w:r>
        <w:t xml:space="preserve">The </w:t>
      </w:r>
      <w:r w:rsidR="003A1BAE">
        <w:t xml:space="preserve">first </w:t>
      </w:r>
      <w:r>
        <w:t xml:space="preserve">respondent </w:t>
      </w:r>
      <w:r w:rsidR="00845165" w:rsidRPr="00B82D3F">
        <w:rPr>
          <w:rStyle w:val="Emphasis"/>
          <w:i w:val="0"/>
          <w:iCs w:val="0"/>
          <w:szCs w:val="26"/>
        </w:rPr>
        <w:t>submits</w:t>
      </w:r>
      <w:r w:rsidR="00845165" w:rsidRPr="00B82D3F">
        <w:t xml:space="preserve"> that the </w:t>
      </w:r>
      <w:r w:rsidR="00DB5B04">
        <w:t>application</w:t>
      </w:r>
      <w:r w:rsidR="00DB5B04" w:rsidRPr="00B82D3F">
        <w:t xml:space="preserve"> </w:t>
      </w:r>
      <w:r w:rsidR="00845165" w:rsidRPr="00B82D3F">
        <w:t>does not ra</w:t>
      </w:r>
      <w:r w:rsidR="00D47F7E">
        <w:t>ise a matter of public importance</w:t>
      </w:r>
      <w:r w:rsidR="00845165" w:rsidRPr="00B82D3F">
        <w:t xml:space="preserve"> and the L</w:t>
      </w:r>
      <w:r w:rsidR="00C130A7">
        <w:t xml:space="preserve">abour </w:t>
      </w:r>
      <w:r w:rsidR="00845165" w:rsidRPr="00B82D3F">
        <w:t>A</w:t>
      </w:r>
      <w:r w:rsidR="00C130A7">
        <w:t xml:space="preserve">ppeal </w:t>
      </w:r>
      <w:r w:rsidR="00845165" w:rsidRPr="00B82D3F">
        <w:t>C</w:t>
      </w:r>
      <w:r w:rsidR="00C130A7">
        <w:t>ourt</w:t>
      </w:r>
      <w:r w:rsidR="00845165" w:rsidRPr="00B82D3F">
        <w:t xml:space="preserve"> applied well-established principle</w:t>
      </w:r>
      <w:r>
        <w:t>s of law.</w:t>
      </w:r>
      <w:r w:rsidR="0062463E">
        <w:t xml:space="preserve"> </w:t>
      </w:r>
      <w:r>
        <w:t xml:space="preserve"> The first respondent</w:t>
      </w:r>
      <w:r w:rsidRPr="00B82D3F">
        <w:t xml:space="preserve"> </w:t>
      </w:r>
      <w:r w:rsidR="00845165" w:rsidRPr="00B82D3F">
        <w:t>submits that the L</w:t>
      </w:r>
      <w:r w:rsidR="00C130A7">
        <w:t xml:space="preserve">abour </w:t>
      </w:r>
      <w:r w:rsidR="00845165" w:rsidRPr="00B82D3F">
        <w:t>A</w:t>
      </w:r>
      <w:r w:rsidR="00C130A7">
        <w:t xml:space="preserve">ppeal </w:t>
      </w:r>
      <w:r w:rsidR="00845165" w:rsidRPr="00B82D3F">
        <w:t>C</w:t>
      </w:r>
      <w:r w:rsidR="00C130A7">
        <w:t>ourt</w:t>
      </w:r>
      <w:r w:rsidR="00845165" w:rsidRPr="00B82D3F">
        <w:t xml:space="preserve"> noted that the arbitrator had found the misconduct prove</w:t>
      </w:r>
      <w:r w:rsidR="00EC5D01">
        <w:t>n</w:t>
      </w:r>
      <w:r w:rsidR="004F6C7F">
        <w:t>,</w:t>
      </w:r>
      <w:r w:rsidR="00845165" w:rsidRPr="00B82D3F">
        <w:t xml:space="preserve"> and having considered the issue itself</w:t>
      </w:r>
      <w:r w:rsidR="005F738D">
        <w:t xml:space="preserve">, </w:t>
      </w:r>
      <w:r w:rsidR="00845165" w:rsidRPr="00B82D3F">
        <w:t>also found that the dismissed employees</w:t>
      </w:r>
      <w:r w:rsidR="00407C0F">
        <w:t xml:space="preserve"> </w:t>
      </w:r>
      <w:r w:rsidR="00845165" w:rsidRPr="00B82D3F">
        <w:t>had failed to adhere to the instructions.</w:t>
      </w:r>
      <w:r w:rsidR="0062463E">
        <w:t xml:space="preserve"> </w:t>
      </w:r>
      <w:r w:rsidR="00845165" w:rsidRPr="00B82D3F">
        <w:t xml:space="preserve"> It</w:t>
      </w:r>
      <w:r w:rsidR="0062463E">
        <w:t xml:space="preserve"> </w:t>
      </w:r>
      <w:r w:rsidR="00845165" w:rsidRPr="00B82D3F">
        <w:t>notes that this issue is not challenged by the applicant before this Court.</w:t>
      </w:r>
    </w:p>
    <w:p w14:paraId="034D6793" w14:textId="77777777" w:rsidR="0062463E" w:rsidRPr="0062463E" w:rsidRDefault="0062463E" w:rsidP="00BF2661">
      <w:pPr>
        <w:pStyle w:val="JUDGMENTCONTINUED"/>
      </w:pPr>
    </w:p>
    <w:p w14:paraId="4B8B24AE" w14:textId="77777777" w:rsidR="004602BC" w:rsidRDefault="000338C1" w:rsidP="00BF2661">
      <w:pPr>
        <w:pStyle w:val="JUDGMENTNUMBERED"/>
      </w:pPr>
      <w:r>
        <w:t>T</w:t>
      </w:r>
      <w:r w:rsidR="00845165" w:rsidRPr="00B82D3F">
        <w:t>he first resp</w:t>
      </w:r>
      <w:r>
        <w:t>ondent submits that the</w:t>
      </w:r>
      <w:r w:rsidRPr="00B82D3F">
        <w:t xml:space="preserve"> derivative misconduct argument was not raised in the L</w:t>
      </w:r>
      <w:r w:rsidR="00C130A7">
        <w:t xml:space="preserve">abour </w:t>
      </w:r>
      <w:r w:rsidRPr="00B82D3F">
        <w:t>A</w:t>
      </w:r>
      <w:r w:rsidR="00C130A7">
        <w:t xml:space="preserve">ppeal </w:t>
      </w:r>
      <w:r w:rsidRPr="00B82D3F">
        <w:t>C</w:t>
      </w:r>
      <w:r w:rsidR="00C130A7">
        <w:t>ourt</w:t>
      </w:r>
      <w:r w:rsidRPr="00B82D3F">
        <w:t xml:space="preserve"> and the argument lacks substance.</w:t>
      </w:r>
      <w:r w:rsidR="0062463E">
        <w:t xml:space="preserve"> </w:t>
      </w:r>
      <w:r w:rsidRPr="00B82D3F">
        <w:t xml:space="preserve"> It submits </w:t>
      </w:r>
      <w:r>
        <w:t xml:space="preserve">that </w:t>
      </w:r>
      <w:r w:rsidRPr="00B82D3F">
        <w:t xml:space="preserve">the individual </w:t>
      </w:r>
      <w:r w:rsidR="008A3EC0" w:rsidRPr="008A3EC0">
        <w:t xml:space="preserve">members who were dismissed </w:t>
      </w:r>
      <w:r w:rsidRPr="00B82D3F">
        <w:t xml:space="preserve">were part of a </w:t>
      </w:r>
      <w:r w:rsidR="00C130A7">
        <w:t>‘</w:t>
      </w:r>
      <w:r w:rsidRPr="00B82D3F">
        <w:t>gang of employees</w:t>
      </w:r>
      <w:r w:rsidR="00C130A7">
        <w:t>’</w:t>
      </w:r>
      <w:r w:rsidRPr="00B82D3F">
        <w:t xml:space="preserve"> working together in a section of the mine without making it</w:t>
      </w:r>
      <w:r>
        <w:t xml:space="preserve"> safe as required.</w:t>
      </w:r>
      <w:r w:rsidR="0062463E">
        <w:t xml:space="preserve"> </w:t>
      </w:r>
      <w:r>
        <w:t xml:space="preserve"> They</w:t>
      </w:r>
      <w:r w:rsidR="00EC5D01">
        <w:t> </w:t>
      </w:r>
      <w:r w:rsidRPr="00B82D3F">
        <w:t xml:space="preserve">continued to do so despite </w:t>
      </w:r>
      <w:r w:rsidR="008A3EC0">
        <w:t xml:space="preserve">an </w:t>
      </w:r>
      <w:r w:rsidRPr="00B82D3F">
        <w:t>instruction</w:t>
      </w:r>
      <w:r w:rsidR="008A3EC0">
        <w:t xml:space="preserve"> to the contrary</w:t>
      </w:r>
      <w:r w:rsidRPr="00B82D3F">
        <w:t>.</w:t>
      </w:r>
      <w:r w:rsidR="0062463E">
        <w:t xml:space="preserve"> </w:t>
      </w:r>
      <w:r w:rsidRPr="00B82D3F">
        <w:t xml:space="preserve"> The distinction that some were onlookers is not justified</w:t>
      </w:r>
      <w:r w:rsidR="00E11618">
        <w:t>,</w:t>
      </w:r>
      <w:r w:rsidRPr="00B82D3F">
        <w:t xml:space="preserve"> as they were all required to stop working and make the area safe and they</w:t>
      </w:r>
      <w:r>
        <w:t xml:space="preserve"> failed to do so.</w:t>
      </w:r>
      <w:r w:rsidR="0062463E">
        <w:t xml:space="preserve"> </w:t>
      </w:r>
      <w:r>
        <w:t xml:space="preserve"> The </w:t>
      </w:r>
      <w:r w:rsidR="008A3EC0">
        <w:t xml:space="preserve">first </w:t>
      </w:r>
      <w:r>
        <w:t>respondent</w:t>
      </w:r>
      <w:r w:rsidRPr="00B82D3F">
        <w:t xml:space="preserve"> further submits that </w:t>
      </w:r>
      <w:r>
        <w:rPr>
          <w:rStyle w:val="Emphasis"/>
          <w:szCs w:val="26"/>
        </w:rPr>
        <w:t>Dunlo</w:t>
      </w:r>
      <w:r w:rsidRPr="00B82D3F">
        <w:rPr>
          <w:rStyle w:val="Emphasis"/>
          <w:szCs w:val="26"/>
        </w:rPr>
        <w:t>p</w:t>
      </w:r>
      <w:r w:rsidR="00B75D68">
        <w:rPr>
          <w:rStyle w:val="Emphasis"/>
          <w:szCs w:val="26"/>
        </w:rPr>
        <w:t xml:space="preserve"> Mixing and Technical Services</w:t>
      </w:r>
      <w:r w:rsidRPr="00B82D3F">
        <w:t xml:space="preserve"> has no bearing </w:t>
      </w:r>
      <w:r w:rsidR="00B933A1">
        <w:t>o</w:t>
      </w:r>
      <w:r w:rsidR="00B933A1" w:rsidRPr="00B82D3F">
        <w:t xml:space="preserve">n </w:t>
      </w:r>
      <w:r w:rsidRPr="00B82D3F">
        <w:t>this matter</w:t>
      </w:r>
      <w:r w:rsidR="00E11618">
        <w:t>,</w:t>
      </w:r>
      <w:r w:rsidRPr="00B82D3F">
        <w:t xml:space="preserve"> as it sets out the employees</w:t>
      </w:r>
      <w:r w:rsidR="00C130A7">
        <w:t>’</w:t>
      </w:r>
      <w:r w:rsidRPr="00B82D3F">
        <w:t xml:space="preserve"> fiduciary responsibility to account to the employer in the context of a protected strike.</w:t>
      </w:r>
    </w:p>
    <w:p w14:paraId="340AFC7C" w14:textId="77777777" w:rsidR="004602BC" w:rsidRDefault="004602BC" w:rsidP="00B82D3F">
      <w:pPr>
        <w:pStyle w:val="NormalWeb"/>
        <w:shd w:val="clear" w:color="auto" w:fill="FFFFFF"/>
        <w:spacing w:line="360" w:lineRule="auto"/>
        <w:jc w:val="both"/>
        <w:rPr>
          <w:sz w:val="26"/>
          <w:szCs w:val="26"/>
        </w:rPr>
      </w:pPr>
    </w:p>
    <w:p w14:paraId="2484E04A" w14:textId="77777777" w:rsidR="00845165" w:rsidRPr="00B82D3F" w:rsidRDefault="004602BC" w:rsidP="00BF2661">
      <w:pPr>
        <w:pStyle w:val="JUDGMENTNUMBERED"/>
      </w:pPr>
      <w:r>
        <w:t xml:space="preserve">The </w:t>
      </w:r>
      <w:r w:rsidR="003A1BAE">
        <w:t xml:space="preserve">first </w:t>
      </w:r>
      <w:r>
        <w:t>respondent submits that</w:t>
      </w:r>
      <w:r w:rsidR="000338C1">
        <w:t xml:space="preserve"> the L</w:t>
      </w:r>
      <w:r w:rsidR="00C130A7">
        <w:t xml:space="preserve">abour </w:t>
      </w:r>
      <w:r w:rsidR="000338C1">
        <w:t>A</w:t>
      </w:r>
      <w:r w:rsidR="00C130A7">
        <w:t xml:space="preserve">ppeal </w:t>
      </w:r>
      <w:r w:rsidR="000338C1">
        <w:t>C</w:t>
      </w:r>
      <w:r w:rsidR="00C130A7">
        <w:t>ourt</w:t>
      </w:r>
      <w:r w:rsidR="000338C1">
        <w:t xml:space="preserve"> hel</w:t>
      </w:r>
      <w:r w:rsidR="00845165" w:rsidRPr="00B82D3F">
        <w:t xml:space="preserve">d that there was no factual basis </w:t>
      </w:r>
      <w:r w:rsidR="00660304">
        <w:t>for</w:t>
      </w:r>
      <w:r w:rsidR="00845165" w:rsidRPr="00B82D3F">
        <w:t xml:space="preserve"> find</w:t>
      </w:r>
      <w:r w:rsidR="00660304">
        <w:t>ing</w:t>
      </w:r>
      <w:r w:rsidR="00845165" w:rsidRPr="00B82D3F">
        <w:t xml:space="preserve"> that the employer had failed to comply with the parity</w:t>
      </w:r>
      <w:r w:rsidR="000338C1">
        <w:t xml:space="preserve"> principle.</w:t>
      </w:r>
      <w:r w:rsidR="0062463E">
        <w:t xml:space="preserve"> </w:t>
      </w:r>
      <w:r w:rsidR="000338C1">
        <w:t xml:space="preserve"> It</w:t>
      </w:r>
      <w:r w:rsidR="00407C0F">
        <w:t xml:space="preserve"> </w:t>
      </w:r>
      <w:r w:rsidR="000338C1">
        <w:t xml:space="preserve">submits that </w:t>
      </w:r>
      <w:r w:rsidR="000338C1" w:rsidRPr="00C70C3E">
        <w:t xml:space="preserve">the </w:t>
      </w:r>
      <w:r w:rsidR="00C70C3E" w:rsidRPr="00C70C3E">
        <w:t>applicant</w:t>
      </w:r>
      <w:r w:rsidR="00845165" w:rsidRPr="00B82D3F">
        <w:t xml:space="preserve"> has failed to show that </w:t>
      </w:r>
      <w:r w:rsidR="004F6C7F">
        <w:t xml:space="preserve">Ms Maseko </w:t>
      </w:r>
      <w:r w:rsidR="00845165" w:rsidRPr="00B82D3F">
        <w:t>had been found guilty or should have been found guilty of the same infractions.</w:t>
      </w:r>
      <w:r w:rsidR="0062463E">
        <w:t xml:space="preserve"> </w:t>
      </w:r>
      <w:r w:rsidR="00845165" w:rsidRPr="00B82D3F">
        <w:t xml:space="preserve"> It submits that the applicant ha</w:t>
      </w:r>
      <w:r w:rsidR="008A3EC0">
        <w:t>s</w:t>
      </w:r>
      <w:r w:rsidR="00845165" w:rsidRPr="00B82D3F">
        <w:t xml:space="preserve"> failed to demonstrate that the L</w:t>
      </w:r>
      <w:r w:rsidR="00C130A7">
        <w:t xml:space="preserve">abour </w:t>
      </w:r>
      <w:r w:rsidR="00845165" w:rsidRPr="00B82D3F">
        <w:t>A</w:t>
      </w:r>
      <w:r w:rsidR="00C130A7">
        <w:t xml:space="preserve">ppeal </w:t>
      </w:r>
      <w:r w:rsidR="00845165" w:rsidRPr="00B82D3F">
        <w:t>C</w:t>
      </w:r>
      <w:r w:rsidR="00C130A7">
        <w:t>ourt</w:t>
      </w:r>
      <w:r w:rsidR="00845165" w:rsidRPr="00B82D3F">
        <w:t xml:space="preserve"> was wrong in its articulation of the principles relating to consistent discipline.</w:t>
      </w:r>
      <w:r w:rsidR="000338C1">
        <w:t xml:space="preserve"> </w:t>
      </w:r>
      <w:r w:rsidR="0062463E">
        <w:t xml:space="preserve"> </w:t>
      </w:r>
      <w:r w:rsidR="000338C1">
        <w:t>Furthermore,</w:t>
      </w:r>
      <w:r w:rsidR="00845165" w:rsidRPr="00B82D3F">
        <w:t xml:space="preserve"> the applicant ha</w:t>
      </w:r>
      <w:r w:rsidR="008A3EC0">
        <w:t>s</w:t>
      </w:r>
      <w:r w:rsidR="00845165" w:rsidRPr="00B82D3F">
        <w:t xml:space="preserve"> failed to raise any issue of principle relevant to the L</w:t>
      </w:r>
      <w:r w:rsidR="00C130A7">
        <w:t xml:space="preserve">abour </w:t>
      </w:r>
      <w:r w:rsidR="00845165" w:rsidRPr="00B82D3F">
        <w:t>A</w:t>
      </w:r>
      <w:r w:rsidR="00C130A7">
        <w:t xml:space="preserve">ppeal </w:t>
      </w:r>
      <w:r w:rsidR="00845165" w:rsidRPr="00B82D3F">
        <w:t>C</w:t>
      </w:r>
      <w:r w:rsidR="00C130A7">
        <w:t>ourt</w:t>
      </w:r>
      <w:r w:rsidR="00407C0F">
        <w:t>’</w:t>
      </w:r>
      <w:r w:rsidR="00845165" w:rsidRPr="00B82D3F">
        <w:t>s evaluation and assessment of the seriousness of the misconduct.</w:t>
      </w:r>
    </w:p>
    <w:p w14:paraId="189D360D" w14:textId="77777777" w:rsidR="00845165" w:rsidRPr="00B82D3F" w:rsidRDefault="00845165" w:rsidP="00B82D3F">
      <w:pPr>
        <w:pStyle w:val="NormalWeb"/>
        <w:shd w:val="clear" w:color="auto" w:fill="FFFFFF"/>
        <w:spacing w:line="360" w:lineRule="auto"/>
        <w:jc w:val="both"/>
        <w:rPr>
          <w:sz w:val="26"/>
          <w:szCs w:val="26"/>
        </w:rPr>
      </w:pPr>
    </w:p>
    <w:p w14:paraId="622F48EB" w14:textId="0C3DBE7D" w:rsidR="00845165" w:rsidRPr="00B82D3F" w:rsidRDefault="00D47F7E" w:rsidP="00BF2661">
      <w:pPr>
        <w:pStyle w:val="JUDGMENTNUMBERED"/>
      </w:pPr>
      <w:r>
        <w:t>R</w:t>
      </w:r>
      <w:r w:rsidR="00D11840">
        <w:t>egarding the sanction,</w:t>
      </w:r>
      <w:r w:rsidR="004D66DD">
        <w:t xml:space="preserve"> </w:t>
      </w:r>
      <w:r w:rsidR="00845165" w:rsidRPr="00B82D3F">
        <w:t>the first respondent notes that t</w:t>
      </w:r>
      <w:r>
        <w:t xml:space="preserve">he personal </w:t>
      </w:r>
      <w:r w:rsidR="00D11840">
        <w:t>circumstances of the employees were not</w:t>
      </w:r>
      <w:r w:rsidR="00845165" w:rsidRPr="00B82D3F">
        <w:t xml:space="preserve"> canvassed in the L</w:t>
      </w:r>
      <w:r w:rsidR="00C130A7">
        <w:t xml:space="preserve">abour </w:t>
      </w:r>
      <w:r w:rsidR="00845165" w:rsidRPr="00B82D3F">
        <w:t>A</w:t>
      </w:r>
      <w:r w:rsidR="00C130A7">
        <w:t xml:space="preserve">ppeal </w:t>
      </w:r>
      <w:r w:rsidR="00845165" w:rsidRPr="00B82D3F">
        <w:t>C</w:t>
      </w:r>
      <w:r w:rsidR="00C130A7">
        <w:t>ourt</w:t>
      </w:r>
      <w:r w:rsidR="00845165" w:rsidRPr="00B82D3F">
        <w:t xml:space="preserve"> and there is no suggestion that</w:t>
      </w:r>
      <w:r w:rsidR="00E11618">
        <w:t>,</w:t>
      </w:r>
      <w:r w:rsidR="00845165" w:rsidRPr="00B82D3F">
        <w:t xml:space="preserve"> had </w:t>
      </w:r>
      <w:r w:rsidR="00EA05FA">
        <w:t>they</w:t>
      </w:r>
      <w:r w:rsidR="00845165" w:rsidRPr="00B82D3F">
        <w:t xml:space="preserve"> been considered</w:t>
      </w:r>
      <w:r w:rsidR="00E11618">
        <w:t>,</w:t>
      </w:r>
      <w:r w:rsidR="00845165" w:rsidRPr="00B82D3F">
        <w:t xml:space="preserve"> </w:t>
      </w:r>
      <w:r w:rsidR="00EC5D01">
        <w:t>they</w:t>
      </w:r>
      <w:r w:rsidR="00845165" w:rsidRPr="00B82D3F">
        <w:t xml:space="preserve"> would have been material to a decision </w:t>
      </w:r>
      <w:r w:rsidR="00845165" w:rsidRPr="00B82D3F">
        <w:lastRenderedPageBreak/>
        <w:t>to uphold the dismissal.</w:t>
      </w:r>
      <w:r w:rsidR="0062463E">
        <w:t xml:space="preserve"> </w:t>
      </w:r>
      <w:r w:rsidR="00845165" w:rsidRPr="00B82D3F">
        <w:t xml:space="preserve"> </w:t>
      </w:r>
      <w:r w:rsidR="00D32B47">
        <w:t>Consequently</w:t>
      </w:r>
      <w:r w:rsidR="00845165" w:rsidRPr="00B82D3F">
        <w:t>, there is no basis to conclude that this was not considered.</w:t>
      </w:r>
    </w:p>
    <w:p w14:paraId="4B0D420D" w14:textId="77777777" w:rsidR="00845165" w:rsidRPr="00B82D3F" w:rsidRDefault="00845165" w:rsidP="00B82D3F">
      <w:pPr>
        <w:pStyle w:val="NormalWeb"/>
        <w:shd w:val="clear" w:color="auto" w:fill="FFFFFF"/>
        <w:spacing w:line="360" w:lineRule="auto"/>
        <w:jc w:val="both"/>
        <w:rPr>
          <w:sz w:val="26"/>
          <w:szCs w:val="26"/>
        </w:rPr>
      </w:pPr>
    </w:p>
    <w:p w14:paraId="56ABCF07" w14:textId="77777777" w:rsidR="00845165" w:rsidRPr="00BF2661" w:rsidRDefault="00016B59" w:rsidP="00BF2661">
      <w:pPr>
        <w:pStyle w:val="HEADING"/>
        <w:rPr>
          <w:rStyle w:val="Emphasis"/>
          <w:i/>
          <w:iCs w:val="0"/>
        </w:rPr>
      </w:pPr>
      <w:r w:rsidRPr="0062463E">
        <w:rPr>
          <w:rStyle w:val="Emphasis"/>
          <w:i/>
          <w:iCs w:val="0"/>
        </w:rPr>
        <w:t>Issues</w:t>
      </w:r>
    </w:p>
    <w:p w14:paraId="18322560" w14:textId="77777777" w:rsidR="00016B59" w:rsidRDefault="00016B59" w:rsidP="00BF2661">
      <w:pPr>
        <w:pStyle w:val="JUDGMENTNUMBERED"/>
        <w:rPr>
          <w:rStyle w:val="Emphasis"/>
          <w:i w:val="0"/>
          <w:szCs w:val="26"/>
        </w:rPr>
      </w:pPr>
      <w:r>
        <w:rPr>
          <w:rStyle w:val="Emphasis"/>
          <w:i w:val="0"/>
          <w:szCs w:val="26"/>
        </w:rPr>
        <w:t>This Court has to determine the following issues:</w:t>
      </w:r>
    </w:p>
    <w:p w14:paraId="56D08195" w14:textId="77777777" w:rsidR="00016B59" w:rsidRPr="008C1E63" w:rsidRDefault="008A3EC0" w:rsidP="00B75D68">
      <w:pPr>
        <w:pStyle w:val="List1"/>
        <w:numPr>
          <w:ilvl w:val="0"/>
          <w:numId w:val="23"/>
        </w:numPr>
        <w:ind w:hanging="720"/>
        <w:rPr>
          <w:rStyle w:val="Emphasis"/>
          <w:i w:val="0"/>
          <w:iCs w:val="0"/>
        </w:rPr>
      </w:pPr>
      <w:r w:rsidRPr="008C1E63">
        <w:rPr>
          <w:rStyle w:val="Emphasis"/>
          <w:i w:val="0"/>
          <w:iCs w:val="0"/>
        </w:rPr>
        <w:t>Whether</w:t>
      </w:r>
      <w:r w:rsidR="00016B59" w:rsidRPr="008C1E63">
        <w:rPr>
          <w:rStyle w:val="Emphasis"/>
          <w:i w:val="0"/>
          <w:iCs w:val="0"/>
        </w:rPr>
        <w:t xml:space="preserve"> condonation </w:t>
      </w:r>
      <w:r w:rsidRPr="008C1E63">
        <w:rPr>
          <w:rStyle w:val="Emphasis"/>
          <w:i w:val="0"/>
          <w:iCs w:val="0"/>
        </w:rPr>
        <w:t xml:space="preserve">should </w:t>
      </w:r>
      <w:r w:rsidR="00A74F1F" w:rsidRPr="008C1E63">
        <w:rPr>
          <w:rStyle w:val="Emphasis"/>
          <w:i w:val="0"/>
          <w:iCs w:val="0"/>
        </w:rPr>
        <w:t>be granted;</w:t>
      </w:r>
    </w:p>
    <w:p w14:paraId="18080354" w14:textId="77777777" w:rsidR="00016B59" w:rsidRPr="008C1E63" w:rsidRDefault="00016B59" w:rsidP="00E66BB2">
      <w:pPr>
        <w:pStyle w:val="List1"/>
        <w:numPr>
          <w:ilvl w:val="0"/>
          <w:numId w:val="23"/>
        </w:numPr>
        <w:ind w:hanging="720"/>
        <w:rPr>
          <w:rStyle w:val="Emphasis"/>
          <w:i w:val="0"/>
          <w:iCs w:val="0"/>
        </w:rPr>
      </w:pPr>
      <w:r w:rsidRPr="008C1E63">
        <w:rPr>
          <w:rStyle w:val="Emphasis"/>
          <w:i w:val="0"/>
          <w:iCs w:val="0"/>
        </w:rPr>
        <w:t>Whether this matter en</w:t>
      </w:r>
      <w:r w:rsidR="00A74F1F" w:rsidRPr="008C1E63">
        <w:rPr>
          <w:rStyle w:val="Emphasis"/>
          <w:i w:val="0"/>
          <w:iCs w:val="0"/>
        </w:rPr>
        <w:t>gages this Court’s jurisdiction;</w:t>
      </w:r>
    </w:p>
    <w:p w14:paraId="06746AF6" w14:textId="77777777" w:rsidR="00016B59" w:rsidRPr="008C1E63" w:rsidRDefault="00016B59" w:rsidP="00E66BB2">
      <w:pPr>
        <w:pStyle w:val="List1"/>
        <w:numPr>
          <w:ilvl w:val="0"/>
          <w:numId w:val="23"/>
        </w:numPr>
        <w:ind w:hanging="720"/>
        <w:rPr>
          <w:rStyle w:val="Emphasis"/>
          <w:i w:val="0"/>
          <w:iCs w:val="0"/>
        </w:rPr>
      </w:pPr>
      <w:r w:rsidRPr="008C1E63">
        <w:rPr>
          <w:rStyle w:val="Emphasis"/>
          <w:i w:val="0"/>
          <w:iCs w:val="0"/>
        </w:rPr>
        <w:t xml:space="preserve">Whether it is in the interests of justice to </w:t>
      </w:r>
      <w:r w:rsidR="00A74F1F" w:rsidRPr="008C1E63">
        <w:rPr>
          <w:rStyle w:val="Emphasis"/>
          <w:i w:val="0"/>
          <w:iCs w:val="0"/>
        </w:rPr>
        <w:t>grant leave to appeal;</w:t>
      </w:r>
    </w:p>
    <w:p w14:paraId="3B3810BF" w14:textId="77777777" w:rsidR="00016B59" w:rsidRPr="008C1E63" w:rsidRDefault="00016B59" w:rsidP="00E66BB2">
      <w:pPr>
        <w:pStyle w:val="List1"/>
        <w:numPr>
          <w:ilvl w:val="0"/>
          <w:numId w:val="23"/>
        </w:numPr>
        <w:ind w:hanging="720"/>
        <w:rPr>
          <w:rStyle w:val="Emphasis"/>
          <w:i w:val="0"/>
          <w:iCs w:val="0"/>
        </w:rPr>
      </w:pPr>
      <w:r w:rsidRPr="008C1E63">
        <w:rPr>
          <w:rStyle w:val="Emphasis"/>
          <w:i w:val="0"/>
          <w:iCs w:val="0"/>
        </w:rPr>
        <w:t>Whether the dismissal was proc</w:t>
      </w:r>
      <w:r w:rsidR="00A74F1F" w:rsidRPr="008C1E63">
        <w:rPr>
          <w:rStyle w:val="Emphasis"/>
          <w:i w:val="0"/>
          <w:iCs w:val="0"/>
        </w:rPr>
        <w:t>edurally and substantively fair; and</w:t>
      </w:r>
    </w:p>
    <w:p w14:paraId="70E73DC2" w14:textId="77777777" w:rsidR="00016B59" w:rsidRPr="008C1E63" w:rsidRDefault="00016B59" w:rsidP="00E66BB2">
      <w:pPr>
        <w:pStyle w:val="List1"/>
        <w:numPr>
          <w:ilvl w:val="0"/>
          <w:numId w:val="23"/>
        </w:numPr>
        <w:ind w:hanging="720"/>
        <w:rPr>
          <w:rStyle w:val="Emphasis"/>
          <w:i w:val="0"/>
          <w:iCs w:val="0"/>
        </w:rPr>
      </w:pPr>
      <w:r w:rsidRPr="008C1E63">
        <w:rPr>
          <w:rStyle w:val="Emphasis"/>
          <w:i w:val="0"/>
          <w:iCs w:val="0"/>
        </w:rPr>
        <w:t>What is an appropriate remedy</w:t>
      </w:r>
      <w:r w:rsidR="008A3EC0" w:rsidRPr="008C1E63">
        <w:rPr>
          <w:rStyle w:val="Emphasis"/>
          <w:i w:val="0"/>
          <w:iCs w:val="0"/>
        </w:rPr>
        <w:t xml:space="preserve"> in the circumstances</w:t>
      </w:r>
      <w:r w:rsidRPr="008C1E63">
        <w:rPr>
          <w:rStyle w:val="Emphasis"/>
          <w:i w:val="0"/>
          <w:iCs w:val="0"/>
        </w:rPr>
        <w:t>?</w:t>
      </w:r>
    </w:p>
    <w:p w14:paraId="72393B87" w14:textId="77777777" w:rsidR="00016B59" w:rsidRDefault="00016B59" w:rsidP="00B82D3F">
      <w:pPr>
        <w:pStyle w:val="NormalWeb"/>
        <w:shd w:val="clear" w:color="auto" w:fill="FFFFFF"/>
        <w:spacing w:line="360" w:lineRule="auto"/>
        <w:jc w:val="both"/>
        <w:rPr>
          <w:rStyle w:val="Emphasis"/>
          <w:i w:val="0"/>
          <w:sz w:val="26"/>
          <w:szCs w:val="26"/>
        </w:rPr>
      </w:pPr>
    </w:p>
    <w:p w14:paraId="18AD9438" w14:textId="77777777" w:rsidR="00016B59" w:rsidRPr="00644851" w:rsidRDefault="00016B59" w:rsidP="00644851">
      <w:pPr>
        <w:pStyle w:val="HEADING"/>
        <w:rPr>
          <w:rStyle w:val="Emphasis"/>
          <w:iCs w:val="0"/>
        </w:rPr>
      </w:pPr>
      <w:r w:rsidRPr="00644851">
        <w:rPr>
          <w:rStyle w:val="Emphasis"/>
          <w:i/>
          <w:iCs w:val="0"/>
        </w:rPr>
        <w:t>Condonation</w:t>
      </w:r>
    </w:p>
    <w:p w14:paraId="561BEAA7" w14:textId="77777777" w:rsidR="000338C1" w:rsidRDefault="000338C1" w:rsidP="00BF2661">
      <w:pPr>
        <w:pStyle w:val="JUDGMENTNUMBERED"/>
      </w:pPr>
      <w:r w:rsidRPr="00B82D3F">
        <w:t xml:space="preserve">The application is out of time by approximately </w:t>
      </w:r>
      <w:r w:rsidR="00B75D68">
        <w:t>20</w:t>
      </w:r>
      <w:r w:rsidRPr="00B82D3F">
        <w:t xml:space="preserve"> days.</w:t>
      </w:r>
      <w:r>
        <w:t xml:space="preserve"> </w:t>
      </w:r>
      <w:r w:rsidR="00407C0F">
        <w:t xml:space="preserve"> </w:t>
      </w:r>
      <w:r>
        <w:t xml:space="preserve">The applicant submits that it was </w:t>
      </w:r>
      <w:r w:rsidRPr="00B82D3F">
        <w:t>not informed of the date of h</w:t>
      </w:r>
      <w:r w:rsidR="004602BC">
        <w:t>and down of the L</w:t>
      </w:r>
      <w:r w:rsidR="00B737EA">
        <w:t xml:space="preserve">abour </w:t>
      </w:r>
      <w:r w:rsidR="004602BC">
        <w:t>A</w:t>
      </w:r>
      <w:r w:rsidR="00B737EA">
        <w:t xml:space="preserve">ppeal </w:t>
      </w:r>
      <w:r w:rsidR="004602BC">
        <w:t>C</w:t>
      </w:r>
      <w:r w:rsidR="00B737EA">
        <w:t>ourt</w:t>
      </w:r>
      <w:r w:rsidR="004602BC">
        <w:t xml:space="preserve"> judgment.</w:t>
      </w:r>
      <w:r w:rsidR="00407C0F">
        <w:t xml:space="preserve"> </w:t>
      </w:r>
      <w:r w:rsidR="004602BC">
        <w:t xml:space="preserve"> I</w:t>
      </w:r>
      <w:r w:rsidRPr="00B82D3F">
        <w:t>t discovered</w:t>
      </w:r>
      <w:r w:rsidR="004602BC">
        <w:t xml:space="preserve"> on 22 June 2020 that the judgment </w:t>
      </w:r>
      <w:r w:rsidRPr="00B82D3F">
        <w:t>had been delivered on 18</w:t>
      </w:r>
      <w:r w:rsidR="008A3EC0">
        <w:t> </w:t>
      </w:r>
      <w:r w:rsidRPr="00B82D3F">
        <w:t>May 2020.</w:t>
      </w:r>
      <w:r w:rsidR="00407C0F">
        <w:t xml:space="preserve"> </w:t>
      </w:r>
      <w:r w:rsidRPr="00B82D3F">
        <w:t xml:space="preserve"> It receive</w:t>
      </w:r>
      <w:r w:rsidR="001B7A75">
        <w:t>d the judgment on 23 June</w:t>
      </w:r>
      <w:r w:rsidR="00EA05FA">
        <w:t xml:space="preserve"> 2020</w:t>
      </w:r>
      <w:r w:rsidRPr="00B82D3F">
        <w:t>.</w:t>
      </w:r>
      <w:r w:rsidR="0062463E">
        <w:t xml:space="preserve"> </w:t>
      </w:r>
      <w:r w:rsidRPr="00B82D3F">
        <w:t xml:space="preserve"> Up</w:t>
      </w:r>
      <w:r w:rsidR="004602BC">
        <w:t>on considering the judgment, it</w:t>
      </w:r>
      <w:r w:rsidRPr="00B82D3F">
        <w:t xml:space="preserve"> instructed its attorneys to file an application for leave to appeal and briefed a senior counsel experienced in constitutional</w:t>
      </w:r>
      <w:r>
        <w:t xml:space="preserve"> litigation.</w:t>
      </w:r>
      <w:r w:rsidR="0062463E">
        <w:t xml:space="preserve"> </w:t>
      </w:r>
      <w:r>
        <w:t xml:space="preserve"> T</w:t>
      </w:r>
      <w:r w:rsidRPr="00B82D3F">
        <w:t xml:space="preserve">he </w:t>
      </w:r>
      <w:r w:rsidR="004602BC">
        <w:t xml:space="preserve">applicant submits that the </w:t>
      </w:r>
      <w:r w:rsidR="00660304">
        <w:t xml:space="preserve"> </w:t>
      </w:r>
      <w:r w:rsidRPr="00B82D3F">
        <w:t xml:space="preserve">delay was not out of disregard </w:t>
      </w:r>
      <w:r w:rsidR="00660304">
        <w:t>for</w:t>
      </w:r>
      <w:r w:rsidRPr="00B82D3F">
        <w:t xml:space="preserve"> the rules</w:t>
      </w:r>
      <w:r w:rsidR="00EA05FA">
        <w:t xml:space="preserve"> of this Court</w:t>
      </w:r>
      <w:r w:rsidR="00B7734C">
        <w:t>,</w:t>
      </w:r>
      <w:r w:rsidRPr="00B82D3F">
        <w:t xml:space="preserve"> nor was it wilful</w:t>
      </w:r>
      <w:r w:rsidR="00EA05FA">
        <w:t>.</w:t>
      </w:r>
      <w:r w:rsidRPr="00B82D3F">
        <w:t xml:space="preserve">  </w:t>
      </w:r>
      <w:r w:rsidR="00EA05FA">
        <w:t>T</w:t>
      </w:r>
      <w:r w:rsidRPr="00B82D3F">
        <w:t xml:space="preserve">he delay should be compensated </w:t>
      </w:r>
      <w:r w:rsidR="00660304">
        <w:t xml:space="preserve">for </w:t>
      </w:r>
      <w:r w:rsidRPr="00B82D3F">
        <w:t>by the reasonable prospects of success on appeal, the importance of the matt</w:t>
      </w:r>
      <w:r>
        <w:t>er and the constitutional issues</w:t>
      </w:r>
      <w:r w:rsidRPr="00B82D3F">
        <w:t xml:space="preserve"> implicated. </w:t>
      </w:r>
      <w:r w:rsidR="0062463E">
        <w:t xml:space="preserve"> </w:t>
      </w:r>
      <w:r>
        <w:t>T</w:t>
      </w:r>
      <w:r w:rsidRPr="00B82D3F">
        <w:t xml:space="preserve">he </w:t>
      </w:r>
      <w:r w:rsidR="008A3EC0">
        <w:t xml:space="preserve">first </w:t>
      </w:r>
      <w:r w:rsidRPr="00B82D3F">
        <w:t xml:space="preserve">respondent opposes </w:t>
      </w:r>
      <w:r w:rsidR="004602BC">
        <w:t xml:space="preserve">the application </w:t>
      </w:r>
      <w:r w:rsidRPr="00B82D3F">
        <w:t>on the basis that the dela</w:t>
      </w:r>
      <w:r w:rsidR="004602BC">
        <w:t>y is excessive,</w:t>
      </w:r>
      <w:r w:rsidRPr="00B82D3F">
        <w:t xml:space="preserve"> the explanation does</w:t>
      </w:r>
      <w:r w:rsidR="0062463E">
        <w:t xml:space="preserve"> </w:t>
      </w:r>
      <w:r w:rsidRPr="00B82D3F">
        <w:t>not cover the entire period and the application has no prospe</w:t>
      </w:r>
      <w:r>
        <w:t>ct</w:t>
      </w:r>
      <w:r w:rsidR="00B737EA">
        <w:t>s</w:t>
      </w:r>
      <w:r>
        <w:t xml:space="preserve"> of success</w:t>
      </w:r>
      <w:r w:rsidRPr="00B82D3F">
        <w:t>.</w:t>
      </w:r>
    </w:p>
    <w:p w14:paraId="0805FF5C" w14:textId="77777777" w:rsidR="0062463E" w:rsidRPr="0062463E" w:rsidRDefault="0062463E" w:rsidP="00BF2661">
      <w:pPr>
        <w:pStyle w:val="JUDGMENTCONTINUED"/>
      </w:pPr>
    </w:p>
    <w:p w14:paraId="6922151B" w14:textId="77777777" w:rsidR="00016B59" w:rsidRDefault="004602BC" w:rsidP="00BF2661">
      <w:pPr>
        <w:pStyle w:val="JUDGMENTNUMBERED"/>
      </w:pPr>
      <w:r>
        <w:t>In my view, t</w:t>
      </w:r>
      <w:r w:rsidR="00016B59" w:rsidRPr="00B82D3F">
        <w:t xml:space="preserve">he </w:t>
      </w:r>
      <w:r w:rsidR="00D11840">
        <w:t xml:space="preserve">delay </w:t>
      </w:r>
      <w:r>
        <w:t xml:space="preserve">is minimal </w:t>
      </w:r>
      <w:r w:rsidR="00D11840">
        <w:t xml:space="preserve">and the </w:t>
      </w:r>
      <w:r w:rsidR="00016B59" w:rsidRPr="00B82D3F">
        <w:t>explanation is satisfactory</w:t>
      </w:r>
      <w:r>
        <w:t xml:space="preserve">. </w:t>
      </w:r>
      <w:r w:rsidR="00B737EA">
        <w:t xml:space="preserve"> </w:t>
      </w:r>
      <w:r>
        <w:t>Furthermore,</w:t>
      </w:r>
      <w:r w:rsidR="00016B59" w:rsidRPr="00B82D3F">
        <w:t xml:space="preserve"> there will be no significant prejudice to the first respondent.</w:t>
      </w:r>
      <w:r w:rsidR="0062463E">
        <w:t xml:space="preserve"> </w:t>
      </w:r>
      <w:r w:rsidR="00016B59" w:rsidRPr="00B82D3F">
        <w:t xml:space="preserve"> Therefore,</w:t>
      </w:r>
      <w:r w:rsidR="00B737EA">
        <w:t> </w:t>
      </w:r>
      <w:r w:rsidR="00016B59" w:rsidRPr="00B82D3F">
        <w:t>condonation should be granted</w:t>
      </w:r>
      <w:r w:rsidR="00016B59">
        <w:t>.</w:t>
      </w:r>
    </w:p>
    <w:p w14:paraId="5B909ED9" w14:textId="77777777" w:rsidR="00B52287" w:rsidRPr="00D90213" w:rsidRDefault="00B52287" w:rsidP="00644851">
      <w:pPr>
        <w:pStyle w:val="JUDGMENTCONTINUED"/>
      </w:pPr>
    </w:p>
    <w:p w14:paraId="562AD634" w14:textId="77777777" w:rsidR="00D90213" w:rsidRPr="00D90213" w:rsidRDefault="00D90213" w:rsidP="00644851">
      <w:pPr>
        <w:pStyle w:val="HEADING"/>
      </w:pPr>
      <w:r w:rsidRPr="00D90213">
        <w:lastRenderedPageBreak/>
        <w:t>Jurisdiction</w:t>
      </w:r>
    </w:p>
    <w:p w14:paraId="44686DE5" w14:textId="77777777" w:rsidR="00D90213" w:rsidRDefault="00D90213" w:rsidP="00644851">
      <w:pPr>
        <w:pStyle w:val="JUDGMENTNUMBERED"/>
      </w:pPr>
      <w:r w:rsidRPr="00D90213">
        <w:t>This matter implicates the employees’ r</w:t>
      </w:r>
      <w:r>
        <w:t>ight</w:t>
      </w:r>
      <w:r w:rsidR="004F6C7F">
        <w:t>s</w:t>
      </w:r>
      <w:r>
        <w:t xml:space="preserve"> to fair labour practices, </w:t>
      </w:r>
      <w:r w:rsidRPr="00D90213">
        <w:t>a fair h</w:t>
      </w:r>
      <w:r w:rsidR="00847CA5">
        <w:t xml:space="preserve">earing </w:t>
      </w:r>
      <w:r>
        <w:t xml:space="preserve">and access to justice. </w:t>
      </w:r>
      <w:r w:rsidRPr="00D90213">
        <w:t xml:space="preserve"> Th</w:t>
      </w:r>
      <w:r>
        <w:t xml:space="preserve">erefore, constitutional issues </w:t>
      </w:r>
      <w:r w:rsidRPr="00D90213">
        <w:t>have been raised.  Thus, this Court’s jurisdiction is engaged.  This is specifically with regard to the question whether the employees’ dismissal was unfair.  Second, whether the Labour</w:t>
      </w:r>
      <w:r w:rsidR="00E127D5">
        <w:t> </w:t>
      </w:r>
      <w:r w:rsidRPr="00D90213">
        <w:t>Appeal</w:t>
      </w:r>
      <w:r w:rsidR="00E127D5">
        <w:t> </w:t>
      </w:r>
      <w:r w:rsidRPr="00D90213">
        <w:t xml:space="preserve">Court was correct in mulcting the applicant </w:t>
      </w:r>
      <w:r w:rsidRPr="00B75F22">
        <w:t>in</w:t>
      </w:r>
      <w:r w:rsidRPr="00D90213">
        <w:t xml:space="preserve"> costs.  This Court has the requisite jurisdiction to deal with both issues.</w:t>
      </w:r>
    </w:p>
    <w:p w14:paraId="754CBE55" w14:textId="77777777" w:rsidR="00D90213" w:rsidRDefault="00D90213" w:rsidP="00016B59">
      <w:pPr>
        <w:pStyle w:val="NormalWeb"/>
        <w:shd w:val="clear" w:color="auto" w:fill="FFFFFF"/>
        <w:spacing w:line="360" w:lineRule="auto"/>
        <w:jc w:val="both"/>
        <w:rPr>
          <w:sz w:val="26"/>
          <w:szCs w:val="26"/>
        </w:rPr>
      </w:pPr>
    </w:p>
    <w:p w14:paraId="1C2EC269" w14:textId="77777777" w:rsidR="001C2338" w:rsidRPr="001C2338" w:rsidRDefault="001C2338" w:rsidP="00BF2661">
      <w:pPr>
        <w:pStyle w:val="HEADING"/>
      </w:pPr>
      <w:r w:rsidRPr="001C2338">
        <w:t>Leave to appeal</w:t>
      </w:r>
    </w:p>
    <w:p w14:paraId="48E4EF9D" w14:textId="77777777" w:rsidR="003D0CAD" w:rsidRDefault="003D0CAD" w:rsidP="003D0CAD">
      <w:pPr>
        <w:pStyle w:val="JUDGMENTNUMBERED"/>
        <w:rPr>
          <w:szCs w:val="26"/>
        </w:rPr>
      </w:pPr>
      <w:r>
        <w:rPr>
          <w:szCs w:val="26"/>
        </w:rPr>
        <w:t xml:space="preserve">Having established jurisdiction, the question </w:t>
      </w:r>
      <w:r w:rsidR="00DD3726">
        <w:rPr>
          <w:szCs w:val="26"/>
        </w:rPr>
        <w:t xml:space="preserve">remaining </w:t>
      </w:r>
      <w:r>
        <w:rPr>
          <w:szCs w:val="26"/>
        </w:rPr>
        <w:t xml:space="preserve">is whether it is in the interests of justice </w:t>
      </w:r>
      <w:r w:rsidR="008A3EC0">
        <w:rPr>
          <w:szCs w:val="26"/>
        </w:rPr>
        <w:t>for</w:t>
      </w:r>
      <w:r>
        <w:rPr>
          <w:szCs w:val="26"/>
        </w:rPr>
        <w:t xml:space="preserve"> leave to </w:t>
      </w:r>
      <w:r w:rsidR="008A3EC0">
        <w:rPr>
          <w:szCs w:val="26"/>
        </w:rPr>
        <w:t xml:space="preserve">appeal to be </w:t>
      </w:r>
      <w:r>
        <w:rPr>
          <w:szCs w:val="26"/>
        </w:rPr>
        <w:t xml:space="preserve">granted.  This Court’s decision in </w:t>
      </w:r>
      <w:r w:rsidRPr="00BF2661">
        <w:rPr>
          <w:i/>
          <w:szCs w:val="26"/>
        </w:rPr>
        <w:t>NEHAWU</w:t>
      </w:r>
      <w:r>
        <w:rPr>
          <w:szCs w:val="26"/>
        </w:rPr>
        <w:t xml:space="preserve"> is instructive</w:t>
      </w:r>
      <w:r w:rsidR="008A3EC0">
        <w:rPr>
          <w:szCs w:val="26"/>
        </w:rPr>
        <w:t xml:space="preserve"> in this regard</w:t>
      </w:r>
      <w:r>
        <w:rPr>
          <w:szCs w:val="26"/>
        </w:rPr>
        <w:t>.</w:t>
      </w:r>
      <w:r w:rsidR="003B1B87">
        <w:rPr>
          <w:rStyle w:val="FootnoteReference"/>
          <w:szCs w:val="26"/>
        </w:rPr>
        <w:footnoteReference w:id="7"/>
      </w:r>
      <w:r w:rsidR="003B1B87">
        <w:rPr>
          <w:szCs w:val="26"/>
        </w:rPr>
        <w:t xml:space="preserve">  In </w:t>
      </w:r>
      <w:r w:rsidR="003B1B87" w:rsidRPr="00BF2661">
        <w:rPr>
          <w:i/>
          <w:szCs w:val="26"/>
        </w:rPr>
        <w:t>NEHAWU</w:t>
      </w:r>
      <w:r w:rsidR="003B1B87">
        <w:rPr>
          <w:szCs w:val="26"/>
        </w:rPr>
        <w:t>, this Co</w:t>
      </w:r>
      <w:r w:rsidR="003A1BAE">
        <w:rPr>
          <w:szCs w:val="26"/>
        </w:rPr>
        <w:t xml:space="preserve">urt stated that </w:t>
      </w:r>
      <w:r w:rsidR="00813CA5">
        <w:rPr>
          <w:szCs w:val="26"/>
        </w:rPr>
        <w:t xml:space="preserve">determining </w:t>
      </w:r>
      <w:r w:rsidR="003B1B87">
        <w:rPr>
          <w:szCs w:val="26"/>
        </w:rPr>
        <w:t>whether it is in the interests of justice</w:t>
      </w:r>
      <w:r w:rsidR="00873DB6">
        <w:rPr>
          <w:szCs w:val="26"/>
        </w:rPr>
        <w:t xml:space="preserve"> to grant leave to appeal</w:t>
      </w:r>
      <w:r w:rsidR="003B1B87">
        <w:rPr>
          <w:szCs w:val="26"/>
        </w:rPr>
        <w:t xml:space="preserve"> requires – among other considerations – an assessment of whether th</w:t>
      </w:r>
      <w:r w:rsidR="001A7F02">
        <w:rPr>
          <w:szCs w:val="26"/>
        </w:rPr>
        <w:t xml:space="preserve">ere are </w:t>
      </w:r>
      <w:r w:rsidR="0031497A">
        <w:rPr>
          <w:szCs w:val="26"/>
        </w:rPr>
        <w:t xml:space="preserve">reasonable </w:t>
      </w:r>
      <w:r w:rsidR="001A7F02">
        <w:rPr>
          <w:szCs w:val="26"/>
        </w:rPr>
        <w:t>prospects of success in</w:t>
      </w:r>
      <w:r w:rsidR="003B1B87">
        <w:rPr>
          <w:szCs w:val="26"/>
        </w:rPr>
        <w:t xml:space="preserve"> the application.</w:t>
      </w:r>
      <w:r w:rsidR="001A49DB">
        <w:rPr>
          <w:rStyle w:val="FootnoteReference"/>
          <w:szCs w:val="26"/>
        </w:rPr>
        <w:footnoteReference w:id="8"/>
      </w:r>
      <w:r w:rsidR="003B1B87">
        <w:rPr>
          <w:szCs w:val="26"/>
        </w:rPr>
        <w:t xml:space="preserve">  </w:t>
      </w:r>
      <w:r w:rsidR="003B1B87" w:rsidRPr="00B75F22">
        <w:rPr>
          <w:szCs w:val="26"/>
        </w:rPr>
        <w:t xml:space="preserve">In essence, whether there </w:t>
      </w:r>
      <w:r w:rsidR="002B6F03" w:rsidRPr="00B75F22">
        <w:rPr>
          <w:szCs w:val="26"/>
        </w:rPr>
        <w:t>are</w:t>
      </w:r>
      <w:r w:rsidR="00873DB6" w:rsidRPr="00B75F22">
        <w:rPr>
          <w:szCs w:val="26"/>
        </w:rPr>
        <w:t xml:space="preserve"> reasonable prospect</w:t>
      </w:r>
      <w:r w:rsidR="002B6F03" w:rsidRPr="00B75F22">
        <w:rPr>
          <w:szCs w:val="26"/>
        </w:rPr>
        <w:t>s</w:t>
      </w:r>
      <w:r w:rsidR="00873DB6" w:rsidRPr="00B75F22">
        <w:rPr>
          <w:szCs w:val="26"/>
        </w:rPr>
        <w:t xml:space="preserve"> that an</w:t>
      </w:r>
      <w:r w:rsidR="003B1B87" w:rsidRPr="00B75F22">
        <w:rPr>
          <w:szCs w:val="26"/>
        </w:rPr>
        <w:t xml:space="preserve"> appeal court will reverse or materially alter the decision of the court a quo.</w:t>
      </w:r>
    </w:p>
    <w:p w14:paraId="11C94017" w14:textId="77777777" w:rsidR="00906807" w:rsidRPr="00906807" w:rsidRDefault="00906807" w:rsidP="00BF2661">
      <w:pPr>
        <w:pStyle w:val="JUDGMENTCONTINUED"/>
      </w:pPr>
    </w:p>
    <w:p w14:paraId="70AC74F7" w14:textId="77777777" w:rsidR="00C70C3E" w:rsidRPr="00C70C3E" w:rsidRDefault="00B617C1" w:rsidP="00C70C3E">
      <w:pPr>
        <w:pStyle w:val="JUDGMENTNUMBERED"/>
      </w:pPr>
      <w:r>
        <w:t>With regard</w:t>
      </w:r>
      <w:r w:rsidR="005E0555" w:rsidRPr="00C70C3E">
        <w:t xml:space="preserve"> to the merits</w:t>
      </w:r>
      <w:r w:rsidR="00E93C76">
        <w:t>,</w:t>
      </w:r>
      <w:r w:rsidR="005E0555" w:rsidRPr="00C70C3E">
        <w:t xml:space="preserve"> there are no reasonable prospects of success.  I</w:t>
      </w:r>
      <w:r w:rsidR="00D35BB9" w:rsidRPr="00C70C3E">
        <w:t> </w:t>
      </w:r>
      <w:r w:rsidR="005E0555" w:rsidRPr="00C70C3E">
        <w:t>expand more on this below.</w:t>
      </w:r>
      <w:r w:rsidR="00D35BB9" w:rsidRPr="00C70C3E">
        <w:t xml:space="preserve">  </w:t>
      </w:r>
      <w:r w:rsidR="00CA2615" w:rsidRPr="00C70C3E">
        <w:t>However, t</w:t>
      </w:r>
      <w:r w:rsidR="00D35BB9" w:rsidRPr="00C70C3E">
        <w:t>he</w:t>
      </w:r>
      <w:r w:rsidR="00CA2615" w:rsidRPr="00C70C3E">
        <w:t xml:space="preserve"> </w:t>
      </w:r>
      <w:r w:rsidR="008A3EC0">
        <w:t xml:space="preserve">issue of costs is </w:t>
      </w:r>
      <w:r w:rsidR="00CA2615" w:rsidRPr="00C70C3E">
        <w:t>on a different footing</w:t>
      </w:r>
      <w:r w:rsidR="00D35BB9" w:rsidRPr="00C70C3E">
        <w:t xml:space="preserve"> </w:t>
      </w:r>
      <w:r w:rsidR="008A3EC0">
        <w:t xml:space="preserve">in respect of which </w:t>
      </w:r>
      <w:r w:rsidR="00CA2615" w:rsidRPr="00C70C3E">
        <w:t>there are reasonable prospects of success.  What follows is a discussion of each aspect, that is</w:t>
      </w:r>
      <w:r w:rsidR="00A403F1">
        <w:t>,</w:t>
      </w:r>
      <w:r w:rsidR="00CA2615" w:rsidRPr="00C70C3E">
        <w:t xml:space="preserve"> the merits and costs</w:t>
      </w:r>
      <w:r w:rsidR="008A3EC0">
        <w:t>,</w:t>
      </w:r>
      <w:r>
        <w:t xml:space="preserve"> in the determination whether leave to appeal should be granted</w:t>
      </w:r>
      <w:r w:rsidR="00CA2615" w:rsidRPr="00C70C3E">
        <w:t>.</w:t>
      </w:r>
    </w:p>
    <w:p w14:paraId="231013EE" w14:textId="77777777" w:rsidR="00E31821" w:rsidRDefault="00E31821" w:rsidP="00B82D3F">
      <w:pPr>
        <w:pStyle w:val="NormalWeb"/>
        <w:shd w:val="clear" w:color="auto" w:fill="FFFFFF"/>
        <w:spacing w:line="360" w:lineRule="auto"/>
        <w:jc w:val="both"/>
        <w:rPr>
          <w:sz w:val="26"/>
          <w:szCs w:val="26"/>
        </w:rPr>
      </w:pPr>
    </w:p>
    <w:p w14:paraId="3AD95007" w14:textId="77777777" w:rsidR="00E31821" w:rsidRPr="00CC0656" w:rsidRDefault="00CC0656" w:rsidP="00BF2661">
      <w:pPr>
        <w:pStyle w:val="HEADING"/>
      </w:pPr>
      <w:r w:rsidRPr="00CC0656">
        <w:t>Merits</w:t>
      </w:r>
    </w:p>
    <w:p w14:paraId="3DDFE9B8" w14:textId="076D2DA9" w:rsidR="00E31821" w:rsidRDefault="00E31821" w:rsidP="00BF2661">
      <w:pPr>
        <w:pStyle w:val="JUDGMENTNUMBERED"/>
      </w:pPr>
      <w:r w:rsidRPr="00F429B8">
        <w:t xml:space="preserve">While Ms Maseko was charged, this was not completely on the same grounds as the dismissed employees, as she was not present when the supervisor arrived at the site and had not participated during the drilling exercise. </w:t>
      </w:r>
      <w:r w:rsidR="005E4F3C">
        <w:t xml:space="preserve"> </w:t>
      </w:r>
      <w:r w:rsidRPr="002D7B62">
        <w:t xml:space="preserve">The other employee, </w:t>
      </w:r>
      <w:r w:rsidRPr="002D7B62">
        <w:lastRenderedPageBreak/>
        <w:t>Mr</w:t>
      </w:r>
      <w:r w:rsidR="00160432" w:rsidRPr="002D7B62">
        <w:t> </w:t>
      </w:r>
      <w:r w:rsidRPr="002D7B62">
        <w:t>Motlhabing</w:t>
      </w:r>
      <w:r w:rsidR="00B7734C" w:rsidRPr="002D7B62">
        <w:t>,</w:t>
      </w:r>
      <w:r w:rsidRPr="002D7B62">
        <w:t xml:space="preserve"> had been charged for failing to install the </w:t>
      </w:r>
      <w:r w:rsidR="00B75D68">
        <w:t>safety net properly</w:t>
      </w:r>
      <w:r w:rsidRPr="002D7B62">
        <w:t xml:space="preserve">. </w:t>
      </w:r>
      <w:r w:rsidR="005E4F3C" w:rsidRPr="002D7B62">
        <w:t xml:space="preserve"> </w:t>
      </w:r>
      <w:r w:rsidR="007812E3" w:rsidRPr="002D7B62">
        <w:t>It was found that the safety net and camlocks had been installed</w:t>
      </w:r>
      <w:r w:rsidR="00B7734C" w:rsidRPr="002D7B62">
        <w:t>,</w:t>
      </w:r>
      <w:r w:rsidR="007812E3" w:rsidRPr="002D7B62">
        <w:t xml:space="preserve"> but there were insufficient S-</w:t>
      </w:r>
      <w:r w:rsidR="008D2800">
        <w:t> </w:t>
      </w:r>
      <w:r w:rsidR="007812E3" w:rsidRPr="002D7B62">
        <w:t xml:space="preserve">hooks. </w:t>
      </w:r>
      <w:r w:rsidR="00813CA5">
        <w:t xml:space="preserve"> </w:t>
      </w:r>
      <w:r w:rsidR="005E4F3C">
        <w:t>Therefore</w:t>
      </w:r>
      <w:r w:rsidR="00CC0656">
        <w:t>, his case can be distinguished from the circumstances of the dismissed employees</w:t>
      </w:r>
      <w:r w:rsidRPr="00F429B8">
        <w:t xml:space="preserve">. </w:t>
      </w:r>
      <w:r w:rsidR="005E4F3C">
        <w:t xml:space="preserve"> </w:t>
      </w:r>
      <w:r w:rsidR="00CA2615">
        <w:t>T</w:t>
      </w:r>
      <w:r w:rsidRPr="00F429B8">
        <w:t xml:space="preserve">he Labour Appeal Court was correct in concluding that there was no basis for a finding of inconsistency of discipline. </w:t>
      </w:r>
      <w:r w:rsidR="005E4F3C">
        <w:t xml:space="preserve"> </w:t>
      </w:r>
      <w:r w:rsidR="00F429B8" w:rsidRPr="00F429B8">
        <w:t xml:space="preserve">The Labour Appeal Court considered the evidence and held that the </w:t>
      </w:r>
      <w:r w:rsidR="008A3EC0">
        <w:t>employee</w:t>
      </w:r>
      <w:r w:rsidR="00F429B8" w:rsidRPr="00F429B8">
        <w:t xml:space="preserve">s had been correctly found guilty of working in conditions that breached health and safety standards. </w:t>
      </w:r>
      <w:r w:rsidRPr="00B82D3F">
        <w:t xml:space="preserve"> </w:t>
      </w:r>
      <w:r w:rsidR="00F429B8">
        <w:t>That conclusion is unassailable.</w:t>
      </w:r>
    </w:p>
    <w:p w14:paraId="52161521" w14:textId="77777777" w:rsidR="00845165" w:rsidRPr="00B82D3F" w:rsidRDefault="00845165" w:rsidP="00B82D3F">
      <w:pPr>
        <w:pStyle w:val="NormalWeb"/>
        <w:shd w:val="clear" w:color="auto" w:fill="FFFFFF"/>
        <w:spacing w:line="360" w:lineRule="auto"/>
        <w:jc w:val="both"/>
        <w:rPr>
          <w:sz w:val="26"/>
          <w:szCs w:val="26"/>
        </w:rPr>
      </w:pPr>
    </w:p>
    <w:p w14:paraId="3435724C" w14:textId="77777777" w:rsidR="001C2338" w:rsidRDefault="00BA309A" w:rsidP="00BF2661">
      <w:pPr>
        <w:pStyle w:val="JUDGMENTNUMBERED"/>
      </w:pPr>
      <w:r>
        <w:t xml:space="preserve">What remains is the issue of the sanction.  </w:t>
      </w:r>
      <w:r w:rsidR="00D11840">
        <w:t>T</w:t>
      </w:r>
      <w:r w:rsidR="00845165" w:rsidRPr="00B82D3F">
        <w:t xml:space="preserve">he </w:t>
      </w:r>
      <w:r w:rsidR="008A3EC0">
        <w:t>employees</w:t>
      </w:r>
      <w:r w:rsidR="00845165" w:rsidRPr="00B82D3F">
        <w:t xml:space="preserve"> </w:t>
      </w:r>
      <w:r w:rsidR="00E31821" w:rsidRPr="00B82D3F">
        <w:t xml:space="preserve">were </w:t>
      </w:r>
      <w:r w:rsidR="005F1AB3">
        <w:t>employed in the mining industry</w:t>
      </w:r>
      <w:r w:rsidR="00294BCE">
        <w:t xml:space="preserve">. </w:t>
      </w:r>
      <w:r w:rsidR="005E4F3C">
        <w:t xml:space="preserve"> </w:t>
      </w:r>
      <w:r w:rsidR="00294BCE">
        <w:t xml:space="preserve">They were </w:t>
      </w:r>
      <w:r w:rsidR="00E31821" w:rsidRPr="00B82D3F">
        <w:t>performing underground work and drilling in unsaf</w:t>
      </w:r>
      <w:r w:rsidR="00294BCE">
        <w:t>e conditions.</w:t>
      </w:r>
      <w:r w:rsidR="00B7734C">
        <w:rPr>
          <w:rStyle w:val="FootnoteReference"/>
        </w:rPr>
        <w:footnoteReference w:id="9"/>
      </w:r>
      <w:r w:rsidR="00294BCE">
        <w:t xml:space="preserve"> </w:t>
      </w:r>
      <w:r w:rsidR="005E4F3C">
        <w:t xml:space="preserve"> </w:t>
      </w:r>
      <w:r w:rsidR="00294BCE">
        <w:t>They disregarded</w:t>
      </w:r>
      <w:r w:rsidR="00E31821" w:rsidRPr="00B82D3F">
        <w:t xml:space="preserve"> </w:t>
      </w:r>
      <w:r w:rsidR="008504FE">
        <w:t>their supervisor’s</w:t>
      </w:r>
      <w:r w:rsidR="00B7734C">
        <w:t xml:space="preserve"> verbal and written </w:t>
      </w:r>
      <w:r w:rsidR="00E31821" w:rsidRPr="00B82D3F">
        <w:t>instructions</w:t>
      </w:r>
      <w:r w:rsidR="008504FE">
        <w:t xml:space="preserve"> meant </w:t>
      </w:r>
      <w:r w:rsidR="00B7734C">
        <w:t>to ensure</w:t>
      </w:r>
      <w:r w:rsidR="00294BCE">
        <w:t xml:space="preserve"> that adequate safety measures were in place</w:t>
      </w:r>
      <w:r w:rsidR="00E31821" w:rsidRPr="00B82D3F">
        <w:t xml:space="preserve">. </w:t>
      </w:r>
      <w:r w:rsidR="005E4F3C">
        <w:t xml:space="preserve"> </w:t>
      </w:r>
      <w:r w:rsidR="00294BCE">
        <w:t>By doing so, t</w:t>
      </w:r>
      <w:r w:rsidR="00E31821" w:rsidRPr="00B82D3F">
        <w:t>hey undermined their superv</w:t>
      </w:r>
      <w:r w:rsidR="005F1AB3">
        <w:t>isor</w:t>
      </w:r>
      <w:r w:rsidR="00E31821" w:rsidRPr="00B82D3F">
        <w:t xml:space="preserve">. </w:t>
      </w:r>
      <w:r w:rsidR="005E4F3C">
        <w:t xml:space="preserve"> </w:t>
      </w:r>
      <w:r w:rsidR="00294BCE">
        <w:t>T</w:t>
      </w:r>
      <w:r w:rsidR="00845165" w:rsidRPr="00B82D3F">
        <w:t>h</w:t>
      </w:r>
      <w:r w:rsidR="00294BCE">
        <w:t>e misconduct is serious</w:t>
      </w:r>
      <w:r w:rsidR="00845165" w:rsidRPr="00B82D3F">
        <w:t xml:space="preserve"> </w:t>
      </w:r>
      <w:r w:rsidR="00660304">
        <w:t>because it</w:t>
      </w:r>
      <w:r w:rsidR="00B75F22">
        <w:t xml:space="preserve"> </w:t>
      </w:r>
      <w:r w:rsidR="005F1AB3" w:rsidRPr="00B82D3F">
        <w:t>placed their lives</w:t>
      </w:r>
      <w:r w:rsidR="00813CA5">
        <w:t>,</w:t>
      </w:r>
      <w:r w:rsidR="005F1AB3" w:rsidRPr="00B82D3F">
        <w:t xml:space="preserve"> and </w:t>
      </w:r>
      <w:r w:rsidR="005F1AB3">
        <w:t>th</w:t>
      </w:r>
      <w:r w:rsidR="00813CA5">
        <w:t>ose</w:t>
      </w:r>
      <w:r w:rsidR="005F1AB3">
        <w:t xml:space="preserve"> of </w:t>
      </w:r>
      <w:r w:rsidR="00813CA5">
        <w:t xml:space="preserve">the </w:t>
      </w:r>
      <w:r w:rsidR="005F1AB3" w:rsidRPr="00B82D3F">
        <w:t>other workers</w:t>
      </w:r>
      <w:r w:rsidR="00693F1A">
        <w:t>,</w:t>
      </w:r>
      <w:r w:rsidR="005F1AB3" w:rsidRPr="00B82D3F">
        <w:t xml:space="preserve"> at risk</w:t>
      </w:r>
      <w:r w:rsidR="005F1AB3">
        <w:t xml:space="preserve">. </w:t>
      </w:r>
      <w:r w:rsidR="005E4F3C">
        <w:t xml:space="preserve"> </w:t>
      </w:r>
      <w:r w:rsidR="005F1AB3">
        <w:t xml:space="preserve">The sanction of dismissal was </w:t>
      </w:r>
      <w:r w:rsidR="00A74F1F">
        <w:t>thus</w:t>
      </w:r>
      <w:r w:rsidR="008A3EC0">
        <w:t xml:space="preserve"> </w:t>
      </w:r>
      <w:r w:rsidR="005F1AB3">
        <w:t>justified</w:t>
      </w:r>
      <w:r w:rsidR="00845165" w:rsidRPr="00B82D3F">
        <w:t>.</w:t>
      </w:r>
      <w:r w:rsidR="005F1AB3" w:rsidRPr="005F1AB3">
        <w:t xml:space="preserve"> </w:t>
      </w:r>
      <w:r w:rsidR="005E4F3C">
        <w:t xml:space="preserve"> </w:t>
      </w:r>
      <w:r w:rsidR="005F1AB3" w:rsidRPr="00B82D3F">
        <w:t>The</w:t>
      </w:r>
      <w:r w:rsidR="005F1AB3">
        <w:t xml:space="preserve">refore, the Labour Appeal Court was correct in setting aside the arbitration award and confirming the dismissal of the five employees. </w:t>
      </w:r>
      <w:r w:rsidR="005E4F3C">
        <w:t xml:space="preserve"> </w:t>
      </w:r>
      <w:r>
        <w:t>It follows that t</w:t>
      </w:r>
      <w:r w:rsidR="005F1AB3">
        <w:t>he</w:t>
      </w:r>
      <w:r w:rsidR="005F1AB3" w:rsidRPr="00B82D3F">
        <w:t xml:space="preserve"> application for lea</w:t>
      </w:r>
      <w:r w:rsidR="005F1AB3">
        <w:t xml:space="preserve">ve to appeal on the merits </w:t>
      </w:r>
      <w:r w:rsidR="005F1AB3" w:rsidRPr="00B82D3F">
        <w:t>lacks reasonable prospects of success</w:t>
      </w:r>
      <w:r w:rsidR="00FD3352">
        <w:t xml:space="preserve"> and must be dismissed</w:t>
      </w:r>
      <w:r w:rsidR="005F1AB3" w:rsidRPr="00B82D3F">
        <w:t>.</w:t>
      </w:r>
    </w:p>
    <w:p w14:paraId="016EA940" w14:textId="77777777" w:rsidR="001C2338" w:rsidRPr="00B82D3F" w:rsidRDefault="001C2338" w:rsidP="00B82D3F">
      <w:pPr>
        <w:pStyle w:val="NormalWeb"/>
        <w:shd w:val="clear" w:color="auto" w:fill="FFFFFF"/>
        <w:spacing w:line="360" w:lineRule="auto"/>
        <w:jc w:val="both"/>
        <w:rPr>
          <w:sz w:val="26"/>
          <w:szCs w:val="26"/>
        </w:rPr>
      </w:pPr>
    </w:p>
    <w:p w14:paraId="0D5FB559" w14:textId="77777777" w:rsidR="00845165" w:rsidRPr="001C2338" w:rsidRDefault="001C2338" w:rsidP="00BF2661">
      <w:pPr>
        <w:pStyle w:val="HEADING"/>
      </w:pPr>
      <w:r w:rsidRPr="001C2338">
        <w:t>Costs</w:t>
      </w:r>
    </w:p>
    <w:p w14:paraId="2BBCDA8C" w14:textId="77777777" w:rsidR="005131F9" w:rsidRDefault="000338C1" w:rsidP="00BF2661">
      <w:pPr>
        <w:pStyle w:val="JUDGMENTNUMBERED"/>
      </w:pPr>
      <w:r w:rsidRPr="00B82D3F">
        <w:t>Lastly, the question of costs</w:t>
      </w:r>
      <w:r w:rsidR="008A3EC0">
        <w:t xml:space="preserve">.  </w:t>
      </w:r>
      <w:r w:rsidRPr="00B82D3F">
        <w:t>The applicant submi</w:t>
      </w:r>
      <w:r w:rsidR="00A74F1F">
        <w:t>ts that the costs order</w:t>
      </w:r>
      <w:r w:rsidR="00BA2A81">
        <w:t>s</w:t>
      </w:r>
      <w:r w:rsidR="00A74F1F">
        <w:t xml:space="preserve"> </w:t>
      </w:r>
      <w:r w:rsidR="00BA2A81">
        <w:t>are</w:t>
      </w:r>
      <w:r w:rsidRPr="00B82D3F">
        <w:t xml:space="preserve"> unjustified</w:t>
      </w:r>
      <w:r w:rsidR="00BA2A81">
        <w:t xml:space="preserve">. </w:t>
      </w:r>
      <w:r w:rsidR="00B617C1">
        <w:t xml:space="preserve"> </w:t>
      </w:r>
      <w:r w:rsidR="00BA2A81">
        <w:t>T</w:t>
      </w:r>
      <w:r w:rsidR="005131F9">
        <w:t>he Labour Appeal Court did not apply</w:t>
      </w:r>
      <w:r w:rsidR="005131F9" w:rsidRPr="001C2338">
        <w:t xml:space="preserve"> the principle set out in </w:t>
      </w:r>
      <w:r w:rsidR="005131F9" w:rsidRPr="001C2338">
        <w:rPr>
          <w:i/>
          <w:iCs/>
        </w:rPr>
        <w:t>Dorkin</w:t>
      </w:r>
      <w:r w:rsidR="005301CA" w:rsidRPr="00230B62">
        <w:rPr>
          <w:rStyle w:val="FootnoteReference"/>
          <w:iCs/>
        </w:rPr>
        <w:footnoteReference w:id="10"/>
      </w:r>
      <w:r w:rsidR="005131F9" w:rsidRPr="001C2338">
        <w:t xml:space="preserve"> </w:t>
      </w:r>
      <w:r w:rsidR="005131F9" w:rsidRPr="001C2338">
        <w:lastRenderedPageBreak/>
        <w:t xml:space="preserve">and </w:t>
      </w:r>
      <w:r w:rsidR="005131F9" w:rsidRPr="001C2338">
        <w:rPr>
          <w:i/>
          <w:iCs/>
        </w:rPr>
        <w:t>Zungu</w:t>
      </w:r>
      <w:r w:rsidR="00E93C76">
        <w:t>,</w:t>
      </w:r>
      <w:r w:rsidR="005301CA">
        <w:rPr>
          <w:rStyle w:val="FootnoteReference"/>
        </w:rPr>
        <w:footnoteReference w:id="11"/>
      </w:r>
      <w:r w:rsidR="005131F9" w:rsidRPr="001C2338">
        <w:t xml:space="preserve"> </w:t>
      </w:r>
      <w:r w:rsidR="005131F9">
        <w:t>and thus</w:t>
      </w:r>
      <w:r w:rsidR="005131F9" w:rsidRPr="001C2338">
        <w:t xml:space="preserve"> did not exercise its discretion </w:t>
      </w:r>
      <w:r w:rsidR="005131F9" w:rsidRPr="00C70C3E">
        <w:t>judicially</w:t>
      </w:r>
      <w:r w:rsidRPr="00B82D3F">
        <w:t>.</w:t>
      </w:r>
      <w:r w:rsidR="005E4F3C">
        <w:t xml:space="preserve"> </w:t>
      </w:r>
      <w:r w:rsidRPr="00B82D3F">
        <w:t xml:space="preserve"> </w:t>
      </w:r>
      <w:r w:rsidR="005131F9">
        <w:t>T</w:t>
      </w:r>
      <w:r w:rsidR="005131F9" w:rsidRPr="00B82D3F">
        <w:t>he</w:t>
      </w:r>
      <w:r w:rsidR="00C70C3E">
        <w:t> </w:t>
      </w:r>
      <w:r w:rsidR="008A3EC0">
        <w:t>first </w:t>
      </w:r>
      <w:r w:rsidR="005131F9" w:rsidRPr="00B82D3F">
        <w:t xml:space="preserve">respondent submits that the principles applicable to the awarding of costs are </w:t>
      </w:r>
      <w:r w:rsidR="005131F9" w:rsidRPr="00C70C3E">
        <w:t>wel</w:t>
      </w:r>
      <w:r w:rsidR="00C70C3E" w:rsidRPr="00C70C3E">
        <w:t>l-</w:t>
      </w:r>
      <w:r w:rsidR="00BA309A" w:rsidRPr="00C70C3E">
        <w:t>known</w:t>
      </w:r>
      <w:r w:rsidR="005131F9" w:rsidRPr="00B82D3F">
        <w:t xml:space="preserve"> and there is no principle for this Court to engage with or provide guidance on.</w:t>
      </w:r>
      <w:r w:rsidR="005E4F3C">
        <w:t xml:space="preserve"> </w:t>
      </w:r>
      <w:r w:rsidR="00A74F1F">
        <w:t xml:space="preserve"> Further, the matter</w:t>
      </w:r>
      <w:r w:rsidR="005131F9" w:rsidRPr="00B82D3F">
        <w:t xml:space="preserve"> does not raise a constitutional or a legal </w:t>
      </w:r>
      <w:r w:rsidR="005131F9">
        <w:t xml:space="preserve">issue of general </w:t>
      </w:r>
      <w:r w:rsidR="00D3275F">
        <w:t xml:space="preserve">public </w:t>
      </w:r>
      <w:r w:rsidR="005131F9">
        <w:t>importance</w:t>
      </w:r>
      <w:r w:rsidR="005131F9" w:rsidRPr="00B82D3F">
        <w:t>.</w:t>
      </w:r>
    </w:p>
    <w:p w14:paraId="0718E938" w14:textId="77777777" w:rsidR="000338C1" w:rsidRDefault="000338C1" w:rsidP="001C2338">
      <w:pPr>
        <w:pStyle w:val="NormalWeb"/>
        <w:shd w:val="clear" w:color="auto" w:fill="FFFFFF"/>
        <w:spacing w:line="360" w:lineRule="auto"/>
        <w:jc w:val="both"/>
        <w:rPr>
          <w:sz w:val="26"/>
          <w:szCs w:val="26"/>
        </w:rPr>
      </w:pPr>
    </w:p>
    <w:p w14:paraId="61B7B596" w14:textId="77777777" w:rsidR="00B8159D" w:rsidRDefault="005131F9" w:rsidP="00BF2661">
      <w:pPr>
        <w:pStyle w:val="JUDGMENTNUMBERED"/>
      </w:pPr>
      <w:r>
        <w:t>I agree with the applicant that the Labour Appeal Court did not have regard to this Court’s decision in</w:t>
      </w:r>
      <w:r w:rsidRPr="005131F9">
        <w:rPr>
          <w:i/>
        </w:rPr>
        <w:t xml:space="preserve"> </w:t>
      </w:r>
      <w:r w:rsidRPr="00B8159D">
        <w:rPr>
          <w:i/>
        </w:rPr>
        <w:t>Zungu</w:t>
      </w:r>
      <w:r w:rsidR="00FD3352" w:rsidRPr="00B8159D">
        <w:t xml:space="preserve">. </w:t>
      </w:r>
      <w:r w:rsidR="005E4F3C">
        <w:t xml:space="preserve"> </w:t>
      </w:r>
      <w:r w:rsidRPr="00B8159D">
        <w:t>In</w:t>
      </w:r>
      <w:r w:rsidRPr="00B82D3F">
        <w:t xml:space="preserve"> </w:t>
      </w:r>
      <w:r w:rsidRPr="00B82D3F">
        <w:rPr>
          <w:rStyle w:val="Emphasis"/>
          <w:szCs w:val="26"/>
        </w:rPr>
        <w:t>Zungu</w:t>
      </w:r>
      <w:r w:rsidRPr="00B82D3F">
        <w:t xml:space="preserve">, this Court held </w:t>
      </w:r>
      <w:r w:rsidR="008A3EC0">
        <w:t xml:space="preserve">that </w:t>
      </w:r>
      <w:r w:rsidR="00DC3A23">
        <w:t>“</w:t>
      </w:r>
      <w:r w:rsidRPr="00B82D3F">
        <w:t>the rule of practice that costs follow the result does not apply in labour court matters</w:t>
      </w:r>
      <w:r w:rsidR="00DC3A23">
        <w:t>”</w:t>
      </w:r>
      <w:r>
        <w:t>.</w:t>
      </w:r>
      <w:r>
        <w:rPr>
          <w:rStyle w:val="FootnoteReference"/>
          <w:szCs w:val="26"/>
        </w:rPr>
        <w:footnoteReference w:id="12"/>
      </w:r>
      <w:r w:rsidR="005E4F3C">
        <w:t xml:space="preserve"> </w:t>
      </w:r>
      <w:r w:rsidRPr="00B82D3F">
        <w:t xml:space="preserve"> The Court also quoted</w:t>
      </w:r>
      <w:r w:rsidR="005E4F3C">
        <w:t xml:space="preserve"> </w:t>
      </w:r>
      <w:r w:rsidRPr="00B82D3F">
        <w:rPr>
          <w:rStyle w:val="Emphasis"/>
          <w:szCs w:val="26"/>
        </w:rPr>
        <w:t>Dorkin</w:t>
      </w:r>
      <w:r w:rsidRPr="00B82D3F">
        <w:t xml:space="preserve"> with approval where it was held that</w:t>
      </w:r>
      <w:r w:rsidR="005E4F3C">
        <w:t xml:space="preserve"> </w:t>
      </w:r>
      <w:r w:rsidRPr="00B82D3F">
        <w:t>it is crucial not to discourage employees, unions and employers</w:t>
      </w:r>
      <w:r w:rsidR="00DC3A23">
        <w:t>’</w:t>
      </w:r>
      <w:r w:rsidRPr="00B82D3F">
        <w:t xml:space="preserve"> organisations </w:t>
      </w:r>
      <w:r w:rsidR="00C70C3E">
        <w:t>from</w:t>
      </w:r>
      <w:r w:rsidR="00C70C3E" w:rsidRPr="00B82D3F">
        <w:t xml:space="preserve"> </w:t>
      </w:r>
      <w:r w:rsidRPr="00B82D3F">
        <w:t>approaching the Labour Court and Labour Appeal Court</w:t>
      </w:r>
      <w:r w:rsidR="008A3EC0">
        <w:t xml:space="preserve"> by mulcting </w:t>
      </w:r>
      <w:r w:rsidR="00660304">
        <w:t>unsuccessful litigants</w:t>
      </w:r>
      <w:r w:rsidR="00B75F22">
        <w:t xml:space="preserve"> </w:t>
      </w:r>
      <w:r w:rsidR="008A3EC0">
        <w:t>in costs</w:t>
      </w:r>
      <w:r w:rsidRPr="00B82D3F">
        <w:t>.</w:t>
      </w:r>
      <w:r w:rsidR="00DC3A23">
        <w:rPr>
          <w:rStyle w:val="FootnoteReference"/>
        </w:rPr>
        <w:footnoteReference w:id="13"/>
      </w:r>
      <w:r w:rsidRPr="00B82D3F">
        <w:t xml:space="preserve"> </w:t>
      </w:r>
      <w:r w:rsidR="005E4F3C">
        <w:t xml:space="preserve"> </w:t>
      </w:r>
      <w:r w:rsidRPr="00B82D3F">
        <w:t>This Court further said that reasons must be provided where a costs order is issued.</w:t>
      </w:r>
      <w:r w:rsidR="008A3EC0">
        <w:rPr>
          <w:rStyle w:val="FootnoteReference"/>
        </w:rPr>
        <w:footnoteReference w:id="14"/>
      </w:r>
    </w:p>
    <w:p w14:paraId="5FBE3270" w14:textId="77777777" w:rsidR="00B8159D" w:rsidRDefault="00B8159D" w:rsidP="001C2338">
      <w:pPr>
        <w:pStyle w:val="NormalWeb"/>
        <w:shd w:val="clear" w:color="auto" w:fill="FFFFFF"/>
        <w:spacing w:line="360" w:lineRule="auto"/>
        <w:jc w:val="both"/>
        <w:rPr>
          <w:sz w:val="26"/>
          <w:szCs w:val="26"/>
        </w:rPr>
      </w:pPr>
    </w:p>
    <w:p w14:paraId="1EA1ED46" w14:textId="5ACE97F9" w:rsidR="00B8159D" w:rsidRDefault="00B8159D" w:rsidP="00BF2661">
      <w:pPr>
        <w:pStyle w:val="JUDGMENTNUMBERED"/>
      </w:pPr>
      <w:r>
        <w:t xml:space="preserve">In this matter, </w:t>
      </w:r>
      <w:r w:rsidRPr="00B8159D">
        <w:t>the Labour Appeal Court mulcted the appli</w:t>
      </w:r>
      <w:r w:rsidR="00CC0656">
        <w:t xml:space="preserve">cant in costs without furnishing </w:t>
      </w:r>
      <w:r w:rsidRPr="00B8159D">
        <w:t xml:space="preserve">reasons for doing so. </w:t>
      </w:r>
      <w:r w:rsidR="005E4F3C">
        <w:t xml:space="preserve"> </w:t>
      </w:r>
      <w:r w:rsidR="00343DF1">
        <w:t xml:space="preserve">It appears that the Labour Appeal Court </w:t>
      </w:r>
      <w:r w:rsidR="007F3186">
        <w:t>simply adopted</w:t>
      </w:r>
      <w:r w:rsidR="00343DF1">
        <w:t xml:space="preserve"> the rule that costs follow the result. </w:t>
      </w:r>
      <w:r w:rsidR="005E4F3C">
        <w:t xml:space="preserve"> </w:t>
      </w:r>
      <w:r w:rsidR="0011429A" w:rsidRPr="0011429A">
        <w:t xml:space="preserve">There is nothing to indicate why the applicant was ordered to pay the costs in both Courts. </w:t>
      </w:r>
      <w:r w:rsidR="005E4F3C">
        <w:t xml:space="preserve"> </w:t>
      </w:r>
      <w:r w:rsidR="0011429A" w:rsidRPr="0011429A">
        <w:t xml:space="preserve">This is compounded by the fact that the Labour </w:t>
      </w:r>
      <w:r w:rsidR="0011429A" w:rsidRPr="0011429A">
        <w:lastRenderedPageBreak/>
        <w:t xml:space="preserve">Court had made no order as to costs in its judgment. </w:t>
      </w:r>
      <w:r w:rsidR="005E4F3C">
        <w:t xml:space="preserve"> </w:t>
      </w:r>
      <w:r w:rsidRPr="001C2338">
        <w:t>In this regard, the L</w:t>
      </w:r>
      <w:r>
        <w:t>abour Appeal Court</w:t>
      </w:r>
      <w:r w:rsidRPr="001C2338">
        <w:t xml:space="preserve"> substituted the Labour Court’s order as follows: (a) the arbitration award was reviewed and set aside</w:t>
      </w:r>
      <w:r w:rsidR="00D32B47">
        <w:t>;</w:t>
      </w:r>
      <w:r w:rsidRPr="001C2338">
        <w:t xml:space="preserve"> (b) the dismissal of the</w:t>
      </w:r>
      <w:r w:rsidR="005E4F3C">
        <w:t xml:space="preserve"> </w:t>
      </w:r>
      <w:r w:rsidR="00992456">
        <w:t>employee</w:t>
      </w:r>
      <w:r w:rsidRPr="001C2338">
        <w:t>s was declared procedural</w:t>
      </w:r>
      <w:r>
        <w:t>ly and substantively fair</w:t>
      </w:r>
      <w:r w:rsidR="00D32B47">
        <w:t>;</w:t>
      </w:r>
      <w:r>
        <w:t xml:space="preserve"> and </w:t>
      </w:r>
      <w:r w:rsidRPr="001C2338">
        <w:t>(c) the third responden</w:t>
      </w:r>
      <w:r>
        <w:t>t (</w:t>
      </w:r>
      <w:r w:rsidR="00645668">
        <w:t>the </w:t>
      </w:r>
      <w:r>
        <w:t>applicant in this Court</w:t>
      </w:r>
      <w:r w:rsidRPr="001C2338">
        <w:t>) was ordered to pay the costs of the application.</w:t>
      </w:r>
      <w:r w:rsidR="005E4F3C">
        <w:t xml:space="preserve"> </w:t>
      </w:r>
      <w:r w:rsidRPr="001C2338">
        <w:t xml:space="preserve"> There is no explanation for order number three, which</w:t>
      </w:r>
      <w:r>
        <w:t xml:space="preserve"> had the effect of overturning</w:t>
      </w:r>
      <w:r w:rsidRPr="001C2338">
        <w:t xml:space="preserve"> the Labour Court’s finding that there should be no order as to costs</w:t>
      </w:r>
      <w:r w:rsidRPr="00B8159D">
        <w:t>.</w:t>
      </w:r>
    </w:p>
    <w:p w14:paraId="45185033" w14:textId="77777777" w:rsidR="00B8159D" w:rsidRDefault="00B8159D" w:rsidP="00B8159D">
      <w:pPr>
        <w:pStyle w:val="NormalWeb"/>
        <w:shd w:val="clear" w:color="auto" w:fill="FFFFFF"/>
        <w:spacing w:line="360" w:lineRule="auto"/>
        <w:jc w:val="both"/>
        <w:rPr>
          <w:sz w:val="26"/>
          <w:szCs w:val="26"/>
        </w:rPr>
      </w:pPr>
    </w:p>
    <w:p w14:paraId="50C99017" w14:textId="621B70A3" w:rsidR="001C2338" w:rsidRDefault="0011429A" w:rsidP="00BF2661">
      <w:pPr>
        <w:pStyle w:val="JUDGMENTNUMBERED"/>
      </w:pPr>
      <w:r>
        <w:t>The applicant’s role</w:t>
      </w:r>
      <w:r w:rsidR="00D47F7E" w:rsidRPr="00B82D3F">
        <w:t xml:space="preserve"> is to defend the rights of its members</w:t>
      </w:r>
      <w:r w:rsidR="0031497A">
        <w:t>.</w:t>
      </w:r>
      <w:r w:rsidR="00D47F7E" w:rsidRPr="00B82D3F">
        <w:t xml:space="preserve"> </w:t>
      </w:r>
      <w:r w:rsidR="0031497A">
        <w:t xml:space="preserve"> I</w:t>
      </w:r>
      <w:r w:rsidRPr="0011429A">
        <w:t>t cannot be argued that challenging a dismissal alone justifies a costs order</w:t>
      </w:r>
      <w:r w:rsidR="00B8159D">
        <w:t xml:space="preserve">. </w:t>
      </w:r>
      <w:r w:rsidR="00EE373B">
        <w:t xml:space="preserve"> </w:t>
      </w:r>
      <w:r w:rsidR="00CC0656">
        <w:t xml:space="preserve">Mulcting the applicant in costs in a labour matter where there is no finding of any untoward conduct on the part of the applicant is </w:t>
      </w:r>
      <w:r w:rsidR="00992456">
        <w:t>intolerable</w:t>
      </w:r>
      <w:r w:rsidR="00CC0656">
        <w:t xml:space="preserve">. </w:t>
      </w:r>
      <w:r w:rsidR="00EE373B">
        <w:t xml:space="preserve"> </w:t>
      </w:r>
      <w:r>
        <w:t>The</w:t>
      </w:r>
      <w:r w:rsidR="00D47F7E" w:rsidRPr="00B82D3F">
        <w:t xml:space="preserve"> costs order</w:t>
      </w:r>
      <w:r>
        <w:t>s</w:t>
      </w:r>
      <w:r w:rsidR="00B8159D">
        <w:t xml:space="preserve"> </w:t>
      </w:r>
      <w:r w:rsidR="00D47F7E" w:rsidRPr="00B82D3F">
        <w:t>will have</w:t>
      </w:r>
      <w:r w:rsidR="00B8159D">
        <w:t xml:space="preserve"> a chilling effect </w:t>
      </w:r>
      <w:r>
        <w:t xml:space="preserve">on the applicant </w:t>
      </w:r>
      <w:r w:rsidR="00B8159D">
        <w:t xml:space="preserve">and </w:t>
      </w:r>
      <w:r>
        <w:t xml:space="preserve">may </w:t>
      </w:r>
      <w:r w:rsidR="00B8159D">
        <w:t>deter it</w:t>
      </w:r>
      <w:r>
        <w:t xml:space="preserve"> from fulfilling its </w:t>
      </w:r>
      <w:r w:rsidR="00D47F7E" w:rsidRPr="00B82D3F">
        <w:t>duty to represent its members without fear of reprisal</w:t>
      </w:r>
      <w:r>
        <w:t xml:space="preserve">. </w:t>
      </w:r>
      <w:r w:rsidR="00EE373B">
        <w:t xml:space="preserve"> </w:t>
      </w:r>
      <w:r>
        <w:t>This may</w:t>
      </w:r>
      <w:r w:rsidR="00F429B8">
        <w:t xml:space="preserve"> affect</w:t>
      </w:r>
      <w:r w:rsidR="00D47F7E" w:rsidRPr="00B82D3F">
        <w:t xml:space="preserve"> its members</w:t>
      </w:r>
      <w:r w:rsidR="00F429B8">
        <w:t>’ right to access justice and</w:t>
      </w:r>
      <w:r w:rsidR="00992456">
        <w:t xml:space="preserve"> thus, may</w:t>
      </w:r>
      <w:r w:rsidR="00F429B8">
        <w:t xml:space="preserve"> infringe</w:t>
      </w:r>
      <w:r w:rsidR="00D47F7E" w:rsidRPr="00B82D3F">
        <w:t xml:space="preserve"> sections </w:t>
      </w:r>
      <w:r w:rsidR="00645668" w:rsidRPr="00C70C3E">
        <w:t>23</w:t>
      </w:r>
      <w:r w:rsidR="00D47F7E" w:rsidRPr="00C70C3E">
        <w:t xml:space="preserve"> and </w:t>
      </w:r>
      <w:r w:rsidR="00645668" w:rsidRPr="00C70C3E">
        <w:t>34</w:t>
      </w:r>
      <w:r w:rsidR="00D47F7E" w:rsidRPr="00B82D3F">
        <w:t xml:space="preserve"> of the Constitution</w:t>
      </w:r>
      <w:r w:rsidR="00B8159D">
        <w:t>.</w:t>
      </w:r>
      <w:r w:rsidR="00CC0656">
        <w:t xml:space="preserve"> </w:t>
      </w:r>
      <w:r w:rsidR="00EE373B">
        <w:t xml:space="preserve"> </w:t>
      </w:r>
      <w:r w:rsidR="00F429B8">
        <w:t xml:space="preserve">However, there may be instances where a costs order is warranted and in that case, reasons must be provided. </w:t>
      </w:r>
      <w:r w:rsidR="00B617C1" w:rsidRPr="00B82D3F">
        <w:t xml:space="preserve"> </w:t>
      </w:r>
      <w:r w:rsidR="00B617C1">
        <w:t>Therefore, it is in the interests of justice that leave to appeal against the costs order</w:t>
      </w:r>
      <w:r w:rsidR="00D32B47">
        <w:t>s</w:t>
      </w:r>
      <w:r w:rsidR="00B617C1">
        <w:t xml:space="preserve"> issued by the Labour Appeal Court be granted</w:t>
      </w:r>
      <w:r w:rsidR="00B617C1" w:rsidRPr="00C70C3E">
        <w:t>.</w:t>
      </w:r>
    </w:p>
    <w:p w14:paraId="5FA99AD8" w14:textId="77777777" w:rsidR="00845165" w:rsidRPr="00B82D3F" w:rsidRDefault="00845165" w:rsidP="00B82D3F">
      <w:pPr>
        <w:pStyle w:val="NormalWeb"/>
        <w:shd w:val="clear" w:color="auto" w:fill="FFFFFF"/>
        <w:spacing w:line="360" w:lineRule="auto"/>
        <w:jc w:val="both"/>
        <w:rPr>
          <w:sz w:val="26"/>
          <w:szCs w:val="26"/>
        </w:rPr>
      </w:pPr>
    </w:p>
    <w:p w14:paraId="08A63E2B" w14:textId="77777777" w:rsidR="00645668" w:rsidRDefault="00645668" w:rsidP="00BF2661">
      <w:pPr>
        <w:pStyle w:val="JUDGMENTNUMBERED"/>
      </w:pPr>
      <w:r w:rsidRPr="00645668">
        <w:t>It is a trite principle of our law that a court considering an order of costs exercises a discretion.  This discretion is to be exercised judici</w:t>
      </w:r>
      <w:r>
        <w:t>ally a</w:t>
      </w:r>
      <w:r w:rsidRPr="00645668">
        <w:t>nd in accordance with the correct principles of law.  Where this is not so, an appeal court is enjoined to interfere.</w:t>
      </w:r>
    </w:p>
    <w:p w14:paraId="6CABA819" w14:textId="77777777" w:rsidR="00645668" w:rsidRPr="00645668" w:rsidRDefault="00645668" w:rsidP="00C70C3E">
      <w:pPr>
        <w:pStyle w:val="JUDGMENTCONTINUED"/>
      </w:pPr>
    </w:p>
    <w:p w14:paraId="105CB4EE" w14:textId="63915383" w:rsidR="00645668" w:rsidRPr="00645668" w:rsidRDefault="008F0347">
      <w:pPr>
        <w:pStyle w:val="JUDGMENTNUMBERED"/>
      </w:pPr>
      <w:r>
        <w:t>In</w:t>
      </w:r>
      <w:r w:rsidR="00645668">
        <w:t xml:space="preserve"> this matter, the Labour Appeal Court did not provide reasons for its cost</w:t>
      </w:r>
      <w:r w:rsidR="00516F29">
        <w:t>s</w:t>
      </w:r>
      <w:r w:rsidR="00645668">
        <w:t xml:space="preserve"> order</w:t>
      </w:r>
      <w:r w:rsidR="00D32B47">
        <w:t>s</w:t>
      </w:r>
      <w:r w:rsidR="00645668">
        <w:t xml:space="preserve">. </w:t>
      </w:r>
      <w:r>
        <w:t xml:space="preserve"> </w:t>
      </w:r>
      <w:r w:rsidR="00645668">
        <w:t>Th</w:t>
      </w:r>
      <w:r w:rsidR="00D32B47">
        <w:t>e</w:t>
      </w:r>
      <w:r w:rsidR="00660304">
        <w:t xml:space="preserve"> costs order</w:t>
      </w:r>
      <w:r w:rsidR="00D32B47">
        <w:t>s</w:t>
      </w:r>
      <w:r w:rsidR="00645668">
        <w:t xml:space="preserve"> </w:t>
      </w:r>
      <w:r w:rsidR="00D32B47">
        <w:t>are</w:t>
      </w:r>
      <w:r w:rsidR="00645668">
        <w:t xml:space="preserve"> at odds with this Court’s decision in </w:t>
      </w:r>
      <w:r w:rsidR="00645668" w:rsidRPr="00C70C3E">
        <w:rPr>
          <w:i/>
          <w:iCs/>
        </w:rPr>
        <w:t>Zungu</w:t>
      </w:r>
      <w:r w:rsidR="0031497A">
        <w:t>,</w:t>
      </w:r>
      <w:r w:rsidR="00992456">
        <w:rPr>
          <w:i/>
          <w:iCs/>
        </w:rPr>
        <w:t xml:space="preserve"> </w:t>
      </w:r>
      <w:r w:rsidR="00992456" w:rsidRPr="00644851">
        <w:t>and fl</w:t>
      </w:r>
      <w:r w:rsidR="00D32B47">
        <w:t>y</w:t>
      </w:r>
      <w:r w:rsidR="00992456" w:rsidRPr="00644851">
        <w:t xml:space="preserve"> in the face of what was said in </w:t>
      </w:r>
      <w:r w:rsidR="00992456" w:rsidRPr="00992456">
        <w:rPr>
          <w:i/>
          <w:iCs/>
        </w:rPr>
        <w:t>Dorkin</w:t>
      </w:r>
      <w:r w:rsidR="00645668">
        <w:t>.  In this regard, i</w:t>
      </w:r>
      <w:r w:rsidR="00645668" w:rsidRPr="00645668">
        <w:t>t erred in departing from the general rule that losing part</w:t>
      </w:r>
      <w:r w:rsidR="00813CA5">
        <w:t>ies</w:t>
      </w:r>
      <w:r w:rsidR="00645668" w:rsidRPr="00645668">
        <w:t xml:space="preserve"> in labour matters should not be ordered to pay the successful part</w:t>
      </w:r>
      <w:r w:rsidR="00813CA5">
        <w:t>ies’</w:t>
      </w:r>
      <w:r w:rsidR="00645668" w:rsidRPr="00645668">
        <w:t xml:space="preserve"> costs</w:t>
      </w:r>
      <w:r w:rsidR="005D230B">
        <w:t>,</w:t>
      </w:r>
      <w:r w:rsidR="00645668" w:rsidRPr="00645668">
        <w:t xml:space="preserve"> unless there are reasons warranting the imposition of a costs order. </w:t>
      </w:r>
      <w:r w:rsidR="00645668">
        <w:t xml:space="preserve"> The</w:t>
      </w:r>
      <w:r w:rsidR="009E53A0">
        <w:t>refore, the</w:t>
      </w:r>
      <w:r w:rsidR="00343DF1" w:rsidRPr="00B82D3F">
        <w:t xml:space="preserve"> L</w:t>
      </w:r>
      <w:r w:rsidR="00645668">
        <w:t xml:space="preserve">abour </w:t>
      </w:r>
      <w:r w:rsidR="00343DF1" w:rsidRPr="00B82D3F">
        <w:t>A</w:t>
      </w:r>
      <w:r w:rsidR="00645668">
        <w:t xml:space="preserve">ppeal </w:t>
      </w:r>
      <w:r w:rsidR="00343DF1" w:rsidRPr="00B82D3F">
        <w:t>C</w:t>
      </w:r>
      <w:r w:rsidR="00645668">
        <w:t>ourt</w:t>
      </w:r>
      <w:r w:rsidR="00343DF1" w:rsidRPr="00B82D3F">
        <w:t xml:space="preserve"> did not exercise its discretion </w:t>
      </w:r>
      <w:r w:rsidR="00343DF1" w:rsidRPr="00C70C3E">
        <w:t>judicially.</w:t>
      </w:r>
      <w:r w:rsidR="00343DF1">
        <w:t xml:space="preserve"> </w:t>
      </w:r>
      <w:r w:rsidR="00EE373B">
        <w:t xml:space="preserve"> </w:t>
      </w:r>
      <w:r w:rsidR="0011429A" w:rsidRPr="0011429A">
        <w:t>This Court is thus entitled to interfere with the costs order</w:t>
      </w:r>
      <w:r w:rsidR="001C2338" w:rsidRPr="0011429A">
        <w:t>.</w:t>
      </w:r>
      <w:r w:rsidR="001C2338" w:rsidRPr="00B82D3F">
        <w:t xml:space="preserve"> </w:t>
      </w:r>
      <w:r w:rsidR="00EE373B">
        <w:t xml:space="preserve"> </w:t>
      </w:r>
      <w:r w:rsidR="002B2154" w:rsidRPr="00C70C3E">
        <w:t xml:space="preserve">It follows that </w:t>
      </w:r>
      <w:r w:rsidR="00F429B8" w:rsidRPr="00C70C3E">
        <w:t xml:space="preserve">the appeal on costs </w:t>
      </w:r>
      <w:r w:rsidR="002B2154" w:rsidRPr="00C70C3E">
        <w:t xml:space="preserve">should </w:t>
      </w:r>
      <w:r w:rsidR="00F429B8" w:rsidRPr="00C70C3E">
        <w:t>be upheld</w:t>
      </w:r>
      <w:r w:rsidR="00B617C1">
        <w:t xml:space="preserve"> and the costs order</w:t>
      </w:r>
      <w:r w:rsidR="00A403F1">
        <w:t>s</w:t>
      </w:r>
      <w:r w:rsidR="00B617C1">
        <w:t xml:space="preserve"> set aside</w:t>
      </w:r>
      <w:r w:rsidR="00F429B8" w:rsidRPr="00C70C3E">
        <w:t>.</w:t>
      </w:r>
    </w:p>
    <w:p w14:paraId="4F95CD07" w14:textId="77777777" w:rsidR="00860C4E" w:rsidRPr="0030528D" w:rsidRDefault="00860C4E" w:rsidP="0030528D">
      <w:pPr>
        <w:spacing w:line="360" w:lineRule="auto"/>
        <w:rPr>
          <w:szCs w:val="26"/>
        </w:rPr>
      </w:pPr>
    </w:p>
    <w:p w14:paraId="40E752B8" w14:textId="77777777" w:rsidR="00860C4E" w:rsidRPr="00B82D3F" w:rsidRDefault="00860C4E" w:rsidP="00937742">
      <w:pPr>
        <w:pStyle w:val="HEADING"/>
        <w:rPr>
          <w:szCs w:val="26"/>
        </w:rPr>
      </w:pPr>
      <w:r w:rsidRPr="00B82D3F">
        <w:rPr>
          <w:szCs w:val="26"/>
        </w:rPr>
        <w:t>Order</w:t>
      </w:r>
    </w:p>
    <w:p w14:paraId="055D3A22" w14:textId="77777777" w:rsidR="00A75DF7" w:rsidRPr="00230B62" w:rsidRDefault="00860C4E" w:rsidP="00230B62">
      <w:pPr>
        <w:pStyle w:val="JUDGMENTNUMBERED"/>
      </w:pPr>
      <w:r w:rsidRPr="00230B62">
        <w:t>The following order is made:</w:t>
      </w:r>
    </w:p>
    <w:p w14:paraId="648BE34C" w14:textId="77777777" w:rsidR="00516F29" w:rsidRDefault="00516F29" w:rsidP="00D75AFD">
      <w:pPr>
        <w:pStyle w:val="JUDGMENTCONTINUED"/>
        <w:numPr>
          <w:ilvl w:val="0"/>
          <w:numId w:val="24"/>
        </w:numPr>
        <w:ind w:left="1440" w:hanging="720"/>
      </w:pPr>
      <w:r>
        <w:t>Condonation is granted.</w:t>
      </w:r>
    </w:p>
    <w:p w14:paraId="659BB63F" w14:textId="77777777" w:rsidR="00516F29" w:rsidRDefault="00516F29" w:rsidP="008810C3">
      <w:pPr>
        <w:pStyle w:val="JUDGMENTCONTINUED"/>
        <w:numPr>
          <w:ilvl w:val="0"/>
          <w:numId w:val="24"/>
        </w:numPr>
        <w:ind w:left="1440" w:hanging="720"/>
      </w:pPr>
      <w:r>
        <w:t>Leave to appeal on the merits is refused.</w:t>
      </w:r>
    </w:p>
    <w:p w14:paraId="21AB6E59" w14:textId="0C6F3BBD" w:rsidR="00516F29" w:rsidRDefault="00516F29" w:rsidP="008810C3">
      <w:pPr>
        <w:pStyle w:val="JUDGMENTNUMBERED"/>
        <w:numPr>
          <w:ilvl w:val="0"/>
          <w:numId w:val="24"/>
        </w:numPr>
        <w:ind w:left="1440" w:hanging="720"/>
      </w:pPr>
      <w:r>
        <w:t xml:space="preserve">Leave to appeal </w:t>
      </w:r>
      <w:r w:rsidRPr="00644851">
        <w:t>against</w:t>
      </w:r>
      <w:r>
        <w:t xml:space="preserve"> the costs order</w:t>
      </w:r>
      <w:r w:rsidR="00B7332A">
        <w:t>s</w:t>
      </w:r>
      <w:r>
        <w:t xml:space="preserve"> </w:t>
      </w:r>
      <w:r w:rsidRPr="008A3EC0">
        <w:t xml:space="preserve">of the Labour Appeal Court </w:t>
      </w:r>
      <w:r>
        <w:t>is granted.</w:t>
      </w:r>
    </w:p>
    <w:p w14:paraId="48B50F8B" w14:textId="553DCF06" w:rsidR="00516F29" w:rsidRDefault="00516F29" w:rsidP="008810C3">
      <w:pPr>
        <w:pStyle w:val="JUDGMENTCONTINUED"/>
        <w:numPr>
          <w:ilvl w:val="0"/>
          <w:numId w:val="24"/>
        </w:numPr>
        <w:ind w:left="1440" w:hanging="720"/>
      </w:pPr>
      <w:r>
        <w:t>The appeal against the costs order</w:t>
      </w:r>
      <w:r w:rsidR="00B7332A">
        <w:t>s</w:t>
      </w:r>
      <w:r>
        <w:t xml:space="preserve"> of the Labour Appeal Court is upheld.</w:t>
      </w:r>
    </w:p>
    <w:p w14:paraId="65221EB6" w14:textId="77777777" w:rsidR="00516F29" w:rsidRDefault="00516F29" w:rsidP="008810C3">
      <w:pPr>
        <w:pStyle w:val="JUDGMENTNUMBERED"/>
        <w:numPr>
          <w:ilvl w:val="0"/>
          <w:numId w:val="24"/>
        </w:numPr>
        <w:ind w:left="1440" w:hanging="720"/>
      </w:pPr>
      <w:r>
        <w:t>The costs order</w:t>
      </w:r>
      <w:r w:rsidR="00DC0984">
        <w:t>s</w:t>
      </w:r>
      <w:r>
        <w:t xml:space="preserve"> granted by the Labour Appeal Court </w:t>
      </w:r>
      <w:r w:rsidR="00DC0984">
        <w:t>are</w:t>
      </w:r>
      <w:r>
        <w:t xml:space="preserve"> set aside.</w:t>
      </w:r>
    </w:p>
    <w:p w14:paraId="69011670" w14:textId="77777777" w:rsidR="00516F29" w:rsidRDefault="00E2541A" w:rsidP="008810C3">
      <w:pPr>
        <w:pStyle w:val="JUDGMENTCONTINUED"/>
        <w:numPr>
          <w:ilvl w:val="0"/>
          <w:numId w:val="24"/>
        </w:numPr>
        <w:ind w:left="1440" w:hanging="720"/>
      </w:pPr>
      <w:r w:rsidRPr="00E2541A">
        <w:t>No order as to costs is made in relation to the proceedings in this Court</w:t>
      </w:r>
      <w:r>
        <w:t>.</w:t>
      </w:r>
    </w:p>
    <w:p w14:paraId="69C6BD39" w14:textId="77777777" w:rsidR="00516F29" w:rsidRPr="00CB0CB2" w:rsidRDefault="00516F29" w:rsidP="00516F29">
      <w:pPr>
        <w:pStyle w:val="JUDGMENTCONTINUED"/>
      </w:pPr>
    </w:p>
    <w:p w14:paraId="08561B30" w14:textId="77777777" w:rsidR="00CE5F9F" w:rsidRPr="00B82D3F" w:rsidRDefault="00CE5F9F" w:rsidP="000C38CF">
      <w:pPr>
        <w:pStyle w:val="JUDGMENTCONTINUED"/>
        <w:rPr>
          <w:szCs w:val="26"/>
        </w:rPr>
      </w:pPr>
    </w:p>
    <w:p w14:paraId="6A5DADFE" w14:textId="77777777" w:rsidR="00CE5F9F" w:rsidRPr="00B82D3F" w:rsidRDefault="00CE5F9F" w:rsidP="000C38CF">
      <w:pPr>
        <w:pStyle w:val="JUDGMENTCONTINUED"/>
        <w:rPr>
          <w:szCs w:val="26"/>
        </w:rPr>
        <w:sectPr w:rsidR="00CE5F9F" w:rsidRPr="00B82D3F" w:rsidSect="000F7521">
          <w:headerReference w:type="default" r:id="rId10"/>
          <w:type w:val="continuous"/>
          <w:pgSz w:w="11907" w:h="16839" w:code="9"/>
          <w:pgMar w:top="1440" w:right="1440" w:bottom="1440" w:left="1440" w:header="708" w:footer="708" w:gutter="0"/>
          <w:cols w:space="708"/>
          <w:titlePg/>
          <w:docGrid w:linePitch="360"/>
        </w:sectPr>
      </w:pPr>
    </w:p>
    <w:p w14:paraId="26E8D3E6" w14:textId="77777777" w:rsidR="00236F9A" w:rsidRPr="00B82D3F" w:rsidRDefault="00236F9A" w:rsidP="00860C4E">
      <w:pPr>
        <w:rPr>
          <w:szCs w:val="26"/>
        </w:rPr>
        <w:sectPr w:rsidR="00236F9A" w:rsidRPr="00B82D3F" w:rsidSect="009559B5">
          <w:headerReference w:type="default" r:id="rId11"/>
          <w:footerReference w:type="default" r:id="rId12"/>
          <w:pgSz w:w="11907" w:h="16839" w:code="9"/>
          <w:pgMar w:top="1440" w:right="1440" w:bottom="1440" w:left="1440" w:header="708" w:footer="708" w:gutter="0"/>
          <w:pgNumType w:start="1"/>
          <w:cols w:space="708"/>
          <w:docGrid w:linePitch="360"/>
        </w:sectPr>
      </w:pPr>
    </w:p>
    <w:p w14:paraId="4D15E43D" w14:textId="77777777" w:rsidR="00F71366" w:rsidRPr="00F71366" w:rsidRDefault="00F71366" w:rsidP="00F71366">
      <w:pPr>
        <w:spacing w:line="240" w:lineRule="auto"/>
        <w:rPr>
          <w:szCs w:val="26"/>
        </w:rPr>
      </w:pPr>
      <w:r w:rsidRPr="00F71366">
        <w:rPr>
          <w:szCs w:val="26"/>
        </w:rPr>
        <w:t>For the Applicant:</w:t>
      </w:r>
    </w:p>
    <w:p w14:paraId="5BE1CF27" w14:textId="77777777" w:rsidR="00F71366" w:rsidRPr="00F71366" w:rsidRDefault="00F71366" w:rsidP="00F71366">
      <w:pPr>
        <w:spacing w:line="240" w:lineRule="auto"/>
        <w:rPr>
          <w:szCs w:val="26"/>
        </w:rPr>
      </w:pPr>
    </w:p>
    <w:p w14:paraId="00D4E097" w14:textId="77777777" w:rsidR="00F71366" w:rsidRPr="00F71366" w:rsidRDefault="00F71366" w:rsidP="00F71366">
      <w:pPr>
        <w:spacing w:line="240" w:lineRule="auto"/>
        <w:rPr>
          <w:szCs w:val="26"/>
        </w:rPr>
      </w:pPr>
    </w:p>
    <w:p w14:paraId="01B8B708" w14:textId="77777777" w:rsidR="00F71366" w:rsidRPr="00F71366" w:rsidRDefault="00F71366" w:rsidP="00F71366">
      <w:pPr>
        <w:spacing w:line="240" w:lineRule="auto"/>
        <w:rPr>
          <w:szCs w:val="26"/>
        </w:rPr>
      </w:pPr>
      <w:r w:rsidRPr="00F71366">
        <w:rPr>
          <w:szCs w:val="26"/>
        </w:rPr>
        <w:t>For the</w:t>
      </w:r>
      <w:r w:rsidR="00C70C3E">
        <w:rPr>
          <w:szCs w:val="26"/>
        </w:rPr>
        <w:t xml:space="preserve"> First</w:t>
      </w:r>
      <w:r w:rsidRPr="00F71366">
        <w:rPr>
          <w:szCs w:val="26"/>
        </w:rPr>
        <w:t xml:space="preserve"> Respondent:</w:t>
      </w:r>
    </w:p>
    <w:p w14:paraId="26526DE6" w14:textId="77777777" w:rsidR="00F71366" w:rsidRDefault="00F71366" w:rsidP="00F71366">
      <w:pPr>
        <w:spacing w:line="240" w:lineRule="auto"/>
        <w:rPr>
          <w:szCs w:val="26"/>
        </w:rPr>
      </w:pPr>
    </w:p>
    <w:p w14:paraId="434ED42D" w14:textId="77777777" w:rsidR="009E5E39" w:rsidRDefault="009E5E39" w:rsidP="00F71366">
      <w:pPr>
        <w:spacing w:line="240" w:lineRule="auto"/>
        <w:rPr>
          <w:szCs w:val="26"/>
        </w:rPr>
      </w:pPr>
    </w:p>
    <w:p w14:paraId="422E95B5" w14:textId="77777777" w:rsidR="009E5E39" w:rsidRPr="00F71366" w:rsidRDefault="009E5E39" w:rsidP="00F71366">
      <w:pPr>
        <w:spacing w:line="240" w:lineRule="auto"/>
        <w:rPr>
          <w:szCs w:val="26"/>
        </w:rPr>
      </w:pPr>
    </w:p>
    <w:p w14:paraId="10320A56" w14:textId="77777777" w:rsidR="00F71366" w:rsidRPr="00F71366" w:rsidRDefault="00F71366" w:rsidP="00F71366">
      <w:pPr>
        <w:spacing w:line="240" w:lineRule="auto"/>
        <w:rPr>
          <w:szCs w:val="26"/>
        </w:rPr>
      </w:pPr>
    </w:p>
    <w:p w14:paraId="6AC346F4" w14:textId="77777777" w:rsidR="00F71366" w:rsidRPr="00F71366" w:rsidRDefault="00F71366" w:rsidP="00F71366">
      <w:pPr>
        <w:spacing w:line="240" w:lineRule="auto"/>
        <w:rPr>
          <w:szCs w:val="26"/>
        </w:rPr>
      </w:pPr>
      <w:r w:rsidRPr="00F71366">
        <w:rPr>
          <w:szCs w:val="26"/>
        </w:rPr>
        <w:br w:type="column"/>
      </w:r>
      <w:r>
        <w:rPr>
          <w:szCs w:val="26"/>
        </w:rPr>
        <w:t>Cheadle Thompson and Haysom Incorporated</w:t>
      </w:r>
    </w:p>
    <w:p w14:paraId="6085E3F1" w14:textId="77777777" w:rsidR="00F71366" w:rsidRPr="00F71366" w:rsidRDefault="00F71366" w:rsidP="00F71366">
      <w:pPr>
        <w:spacing w:line="240" w:lineRule="auto"/>
        <w:rPr>
          <w:szCs w:val="26"/>
        </w:rPr>
      </w:pPr>
    </w:p>
    <w:p w14:paraId="0B868492" w14:textId="77777777" w:rsidR="00F71366" w:rsidRPr="00F71366" w:rsidRDefault="00C84B5E" w:rsidP="00F71366">
      <w:pPr>
        <w:spacing w:line="240" w:lineRule="auto"/>
        <w:rPr>
          <w:szCs w:val="26"/>
        </w:rPr>
      </w:pPr>
      <w:r w:rsidRPr="00C84B5E">
        <w:rPr>
          <w:szCs w:val="26"/>
        </w:rPr>
        <w:t xml:space="preserve">CE </w:t>
      </w:r>
      <w:r w:rsidRPr="00DB5B04">
        <w:rPr>
          <w:szCs w:val="26"/>
        </w:rPr>
        <w:t>Watt-Pring</w:t>
      </w:r>
      <w:r w:rsidR="00DB5B04" w:rsidRPr="00B75F22">
        <w:rPr>
          <w:szCs w:val="26"/>
        </w:rPr>
        <w:t>l</w:t>
      </w:r>
      <w:r w:rsidRPr="00DB5B04">
        <w:rPr>
          <w:szCs w:val="26"/>
        </w:rPr>
        <w:t>e</w:t>
      </w:r>
      <w:r w:rsidRPr="00C84B5E">
        <w:rPr>
          <w:szCs w:val="26"/>
        </w:rPr>
        <w:t xml:space="preserve"> SC instructed by Lebea &amp; Associates Attorneys</w:t>
      </w:r>
    </w:p>
    <w:p w14:paraId="42989DB8" w14:textId="77777777" w:rsidR="00860C4E" w:rsidRPr="00396EC5" w:rsidRDefault="00860C4E" w:rsidP="00CC158D">
      <w:pPr>
        <w:pStyle w:val="COUNSELDETAILS"/>
      </w:pPr>
    </w:p>
    <w:p w14:paraId="73E77D06" w14:textId="77777777" w:rsidR="00860C4E" w:rsidRPr="009C3888" w:rsidRDefault="00860C4E" w:rsidP="00CC158D">
      <w:pPr>
        <w:pStyle w:val="COUNSELDETAILS"/>
      </w:pPr>
    </w:p>
    <w:sectPr w:rsidR="00860C4E" w:rsidRPr="009C3888" w:rsidSect="009559B5">
      <w:type w:val="continuous"/>
      <w:pgSz w:w="11907" w:h="16839" w:code="9"/>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B669A" w14:textId="77777777" w:rsidR="00600F50" w:rsidRDefault="00600F50" w:rsidP="00E4607C">
      <w:pPr>
        <w:spacing w:line="240" w:lineRule="auto"/>
      </w:pPr>
      <w:r>
        <w:separator/>
      </w:r>
    </w:p>
  </w:endnote>
  <w:endnote w:type="continuationSeparator" w:id="0">
    <w:p w14:paraId="18DD5169" w14:textId="77777777" w:rsidR="00600F50" w:rsidRDefault="00600F50" w:rsidP="00E46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83BD" w14:textId="0817CC83" w:rsidR="0041636D" w:rsidRDefault="0041636D" w:rsidP="0087217E">
    <w:pPr>
      <w:pStyle w:val="Footer"/>
      <w:jc w:val="center"/>
    </w:pPr>
    <w:r>
      <w:fldChar w:fldCharType="begin"/>
    </w:r>
    <w:r>
      <w:instrText xml:space="preserve"> PAGE   \* MERGEFORMAT </w:instrText>
    </w:r>
    <w:r>
      <w:fldChar w:fldCharType="separate"/>
    </w:r>
    <w:r w:rsidR="00CE241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FF922" w14:textId="77777777" w:rsidR="0041636D" w:rsidRDefault="0041636D" w:rsidP="0087217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AD8F1" w14:textId="77777777" w:rsidR="00600F50" w:rsidRDefault="00600F50" w:rsidP="00E4607C">
      <w:pPr>
        <w:spacing w:line="240" w:lineRule="auto"/>
      </w:pPr>
      <w:r>
        <w:separator/>
      </w:r>
    </w:p>
  </w:footnote>
  <w:footnote w:type="continuationSeparator" w:id="0">
    <w:p w14:paraId="701E624A" w14:textId="77777777" w:rsidR="00600F50" w:rsidRDefault="00600F50" w:rsidP="00E4607C">
      <w:pPr>
        <w:spacing w:line="240" w:lineRule="auto"/>
      </w:pPr>
      <w:r>
        <w:continuationSeparator/>
      </w:r>
    </w:p>
  </w:footnote>
  <w:footnote w:id="1">
    <w:p w14:paraId="660C09C9" w14:textId="77777777" w:rsidR="0041636D" w:rsidRDefault="0041636D">
      <w:pPr>
        <w:pStyle w:val="FootnoteText"/>
      </w:pPr>
      <w:r>
        <w:rPr>
          <w:rStyle w:val="FootnoteReference"/>
        </w:rPr>
        <w:footnoteRef/>
      </w:r>
      <w:r>
        <w:t xml:space="preserve"> </w:t>
      </w:r>
      <w:r w:rsidR="001C7D48" w:rsidRPr="001C7D48">
        <w:rPr>
          <w:i/>
          <w:lang w:val="en-US"/>
        </w:rPr>
        <w:t>Samancor Limited (Eastern Chrome Mines) v Commission for Conciliation, Mediation and Arbitration Limpopo</w:t>
      </w:r>
      <w:r w:rsidR="001C7D48" w:rsidRPr="001C7D48">
        <w:rPr>
          <w:lang w:val="en-US"/>
        </w:rPr>
        <w:t xml:space="preserve"> [2020] ZALAC 17; (2020) 41 ILJ 2135 (LAC) (Labour Appeal Court judgment).</w:t>
      </w:r>
    </w:p>
  </w:footnote>
  <w:footnote w:id="2">
    <w:p w14:paraId="76E060B2" w14:textId="77777777" w:rsidR="0041636D" w:rsidRPr="008810C3" w:rsidRDefault="0041636D" w:rsidP="00EC4E89">
      <w:pPr>
        <w:pStyle w:val="FootnoteText"/>
        <w:rPr>
          <w:lang w:val="en-US"/>
        </w:rPr>
      </w:pPr>
      <w:r>
        <w:rPr>
          <w:rStyle w:val="FootnoteReference"/>
        </w:rPr>
        <w:footnoteRef/>
      </w:r>
      <w:r>
        <w:t xml:space="preserve"> </w:t>
      </w:r>
      <w:r w:rsidRPr="00C53FD4">
        <w:rPr>
          <w:i/>
          <w:lang w:val="en-US"/>
        </w:rPr>
        <w:t xml:space="preserve">Samancor Limited (Eastern Chrome Mines) v Commission for Conciliation, Mediation and Arbitration </w:t>
      </w:r>
      <w:r w:rsidR="00035C2D" w:rsidRPr="00035C2D">
        <w:rPr>
          <w:lang w:val="en-US"/>
        </w:rPr>
        <w:t>[2018] ZALCJHB 435 (LC)</w:t>
      </w:r>
      <w:r w:rsidR="00035C2D" w:rsidRPr="00035C2D" w:rsidDel="002B6B55">
        <w:rPr>
          <w:lang w:val="en-US"/>
        </w:rPr>
        <w:t xml:space="preserve"> </w:t>
      </w:r>
      <w:r>
        <w:rPr>
          <w:lang w:val="en-US"/>
        </w:rPr>
        <w:t>(Labour Court judgment)</w:t>
      </w:r>
      <w:r w:rsidRPr="00BF2661">
        <w:rPr>
          <w:lang w:val="en-US"/>
        </w:rPr>
        <w:t>.</w:t>
      </w:r>
    </w:p>
  </w:footnote>
  <w:footnote w:id="3">
    <w:p w14:paraId="18EA9676" w14:textId="1364B396" w:rsidR="0041636D" w:rsidRDefault="0041636D">
      <w:pPr>
        <w:pStyle w:val="FootnoteText"/>
      </w:pPr>
      <w:r>
        <w:rPr>
          <w:rStyle w:val="FootnoteReference"/>
        </w:rPr>
        <w:footnoteRef/>
      </w:r>
      <w:r>
        <w:t xml:space="preserve"> </w:t>
      </w:r>
      <w:r w:rsidR="001C7D48" w:rsidRPr="001C7D48">
        <w:rPr>
          <w:lang w:val="en-US"/>
        </w:rPr>
        <w:t xml:space="preserve">Mr </w:t>
      </w:r>
      <w:r w:rsidR="001C7D48" w:rsidRPr="001C7D48">
        <w:t>Nicholus Sono N.O. was the arbitrator.  He is the second respondent and is</w:t>
      </w:r>
      <w:r w:rsidR="001C7D48" w:rsidRPr="001C7D48">
        <w:rPr>
          <w:b/>
        </w:rPr>
        <w:t xml:space="preserve"> </w:t>
      </w:r>
      <w:r w:rsidR="001C7D48" w:rsidRPr="001C7D48">
        <w:t xml:space="preserve">cited in his official capacity as a </w:t>
      </w:r>
      <w:r w:rsidR="008D2800">
        <w:t>c</w:t>
      </w:r>
      <w:r w:rsidR="001C7D48" w:rsidRPr="001C7D48">
        <w:t>ommissioner for the third respondent, the</w:t>
      </w:r>
      <w:r w:rsidR="001C7D48" w:rsidRPr="001C7D48">
        <w:rPr>
          <w:lang w:val="en-US"/>
        </w:rPr>
        <w:t xml:space="preserve"> CCMA.  Both are cited for their interest in the matter and no relief is claimed against them.  Neither is participating in these proceedings.</w:t>
      </w:r>
    </w:p>
  </w:footnote>
  <w:footnote w:id="4">
    <w:p w14:paraId="7A9AE1D7" w14:textId="77777777" w:rsidR="001C7D48" w:rsidRPr="00E3056A" w:rsidRDefault="0041636D" w:rsidP="001C7D48">
      <w:pPr>
        <w:pStyle w:val="FootnoteText1"/>
      </w:pPr>
      <w:r>
        <w:rPr>
          <w:rStyle w:val="FootnoteReference"/>
        </w:rPr>
        <w:footnoteRef/>
      </w:r>
      <w:r w:rsidR="001C7D48">
        <w:t xml:space="preserve"> </w:t>
      </w:r>
      <w:r w:rsidR="00EA05FA" w:rsidRPr="00B75F22">
        <w:t>Labour Appeal Court judgment</w:t>
      </w:r>
      <w:r w:rsidR="00EA05FA" w:rsidRPr="00EA05FA">
        <w:t xml:space="preserve"> above n 1 at para 26 citing </w:t>
      </w:r>
      <w:r w:rsidR="00EA05FA" w:rsidRPr="00EA05FA">
        <w:rPr>
          <w:i/>
        </w:rPr>
        <w:t>Impala Platinum Limited v Jansen</w:t>
      </w:r>
      <w:r w:rsidR="00CA38E5">
        <w:t xml:space="preserve"> (2017) </w:t>
      </w:r>
      <w:r w:rsidR="00CA38E5" w:rsidRPr="00CA38E5">
        <w:t>38 ILJ 896 (LAC)</w:t>
      </w:r>
      <w:r w:rsidR="00E728CC">
        <w:t>;</w:t>
      </w:r>
      <w:r w:rsidR="00E728CC" w:rsidRPr="00E728CC">
        <w:t xml:space="preserve"> </w:t>
      </w:r>
      <w:r w:rsidR="00E728CC" w:rsidRPr="00EA05FA">
        <w:t>[2017] 4 BLLR 325 (LAC)</w:t>
      </w:r>
      <w:r w:rsidR="00EA05FA" w:rsidRPr="00EA05FA">
        <w:t xml:space="preserve"> at para 17, in which that Court explicated the degree of seriousness which accompanies a failure to observe safety regulations in the mining context:</w:t>
      </w:r>
    </w:p>
    <w:p w14:paraId="22D6DF0E" w14:textId="77777777" w:rsidR="0041636D" w:rsidRDefault="001C7D48" w:rsidP="008C1E63">
      <w:pPr>
        <w:pStyle w:val="QUOTEINFOOTNOTE"/>
      </w:pPr>
      <w:r w:rsidRPr="00B75F22">
        <w:t>“It is clear that the mining industry has been under tremendous scrutiny regarding safety measures due to the high risk in the nature of the work done.  In order to have a safe mining environment, the regulations which were contravened by Jansen were promulgated to ensure that workers doing underground work underwent competency training, and declared competent before being allowed to do underground work.  By his actions Jansen did not only undermine the regulatory framework and put in danger life and limb, he also placed his employer at risk of section for contravening the statutory regulations.”</w:t>
      </w:r>
    </w:p>
  </w:footnote>
  <w:footnote w:id="5">
    <w:p w14:paraId="2837EFEF" w14:textId="77777777" w:rsidR="0041636D" w:rsidRPr="00BF2661" w:rsidRDefault="0041636D" w:rsidP="00BF2661">
      <w:pPr>
        <w:pStyle w:val="FootnoteText1"/>
        <w:rPr>
          <w:lang w:val="en-US"/>
        </w:rPr>
      </w:pPr>
      <w:r>
        <w:rPr>
          <w:rStyle w:val="FootnoteReference"/>
        </w:rPr>
        <w:footnoteRef/>
      </w:r>
      <w:r>
        <w:t xml:space="preserve"> </w:t>
      </w:r>
      <w:r w:rsidR="00EA05FA" w:rsidRPr="00EA05FA">
        <w:rPr>
          <w:i/>
        </w:rPr>
        <w:t xml:space="preserve">Zungu </w:t>
      </w:r>
      <w:r w:rsidR="00EA05FA" w:rsidRPr="00EA05FA">
        <w:rPr>
          <w:i/>
          <w:lang w:val="en-US"/>
        </w:rPr>
        <w:t>v Premier of the Province of KwaZulu-Natal</w:t>
      </w:r>
      <w:r w:rsidR="00EA05FA" w:rsidRPr="00EA05FA">
        <w:rPr>
          <w:lang w:val="en-US"/>
        </w:rPr>
        <w:t xml:space="preserve"> [2018] ZACC 1; (2018) 39 ILJ 523 (CC); 2018 (6) BCLR 686 (CC)</w:t>
      </w:r>
      <w:r w:rsidR="00F7474A">
        <w:rPr>
          <w:lang w:val="en-US"/>
        </w:rPr>
        <w:t>.</w:t>
      </w:r>
    </w:p>
    <w:p w14:paraId="04FC611F" w14:textId="77777777" w:rsidR="0041636D" w:rsidRDefault="0041636D" w:rsidP="00BF2661">
      <w:pPr>
        <w:pStyle w:val="FootnoteText"/>
        <w:tabs>
          <w:tab w:val="left" w:pos="2040"/>
        </w:tabs>
      </w:pPr>
    </w:p>
  </w:footnote>
  <w:footnote w:id="6">
    <w:p w14:paraId="612685B3" w14:textId="77777777" w:rsidR="0041636D" w:rsidRPr="00BF2661" w:rsidRDefault="0041636D">
      <w:pPr>
        <w:pStyle w:val="FootnoteText"/>
        <w:rPr>
          <w:lang w:val="en-US"/>
        </w:rPr>
      </w:pPr>
      <w:r>
        <w:rPr>
          <w:rStyle w:val="FootnoteReference"/>
        </w:rPr>
        <w:footnoteRef/>
      </w:r>
      <w:r>
        <w:t xml:space="preserve"> </w:t>
      </w:r>
      <w:r w:rsidR="008532B1" w:rsidRPr="00BF2661">
        <w:rPr>
          <w:i/>
          <w:lang w:val="en-US"/>
        </w:rPr>
        <w:t xml:space="preserve">National Union of Metalworkers of South Africa obo Nganezi v Dunlop Mixing and Technical Services (Pty) </w:t>
      </w:r>
      <w:r w:rsidR="008532B1">
        <w:rPr>
          <w:i/>
          <w:lang w:val="en-US"/>
        </w:rPr>
        <w:t>Ltd</w:t>
      </w:r>
      <w:r w:rsidR="008532B1" w:rsidRPr="00BF2661">
        <w:rPr>
          <w:i/>
          <w:lang w:val="en-US"/>
        </w:rPr>
        <w:t xml:space="preserve"> </w:t>
      </w:r>
      <w:r w:rsidR="008532B1" w:rsidRPr="005F738D">
        <w:rPr>
          <w:lang w:val="en-US"/>
        </w:rPr>
        <w:t>[2019] ZACC 25; 2019 (5) SA 354 (CC)</w:t>
      </w:r>
      <w:r w:rsidR="008532B1">
        <w:rPr>
          <w:lang w:val="en-US"/>
        </w:rPr>
        <w:t>;</w:t>
      </w:r>
      <w:r w:rsidR="008532B1" w:rsidRPr="005F738D">
        <w:rPr>
          <w:lang w:val="en-US"/>
        </w:rPr>
        <w:t xml:space="preserve"> 2019 (8) BCLR 966 (CC) </w:t>
      </w:r>
      <w:r w:rsidR="008532B1">
        <w:rPr>
          <w:lang w:val="en-US"/>
        </w:rPr>
        <w:t>(</w:t>
      </w:r>
      <w:r w:rsidR="008532B1" w:rsidRPr="0086685A">
        <w:rPr>
          <w:i/>
          <w:lang w:val="en-US"/>
        </w:rPr>
        <w:t>Dunlop Mixing and Technical Services</w:t>
      </w:r>
      <w:r w:rsidR="008532B1">
        <w:rPr>
          <w:lang w:val="en-US"/>
        </w:rPr>
        <w:t>).</w:t>
      </w:r>
    </w:p>
  </w:footnote>
  <w:footnote w:id="7">
    <w:p w14:paraId="1DE42103" w14:textId="77777777" w:rsidR="0041636D" w:rsidRPr="00BF2661" w:rsidRDefault="0041636D">
      <w:pPr>
        <w:pStyle w:val="FootnoteText"/>
        <w:rPr>
          <w:lang w:val="en-US"/>
        </w:rPr>
      </w:pPr>
      <w:r>
        <w:rPr>
          <w:rStyle w:val="FootnoteReference"/>
        </w:rPr>
        <w:footnoteRef/>
      </w:r>
      <w:r>
        <w:t xml:space="preserve"> </w:t>
      </w:r>
      <w:r w:rsidRPr="003B1B87">
        <w:rPr>
          <w:i/>
          <w:iCs/>
        </w:rPr>
        <w:t>National Education Health and Allied Workers Union v University of Cape Town</w:t>
      </w:r>
      <w:r w:rsidRPr="003B1B87">
        <w:t xml:space="preserve"> [2002] ZACC 27; 2003 (3) SA 1 (CC); </w:t>
      </w:r>
      <w:r>
        <w:t>2003 (2) BCLR 154 (CC) (</w:t>
      </w:r>
      <w:r w:rsidRPr="008C1E63">
        <w:rPr>
          <w:i/>
        </w:rPr>
        <w:t>NEHAWU</w:t>
      </w:r>
      <w:r>
        <w:t>).</w:t>
      </w:r>
    </w:p>
  </w:footnote>
  <w:footnote w:id="8">
    <w:p w14:paraId="53D322AA" w14:textId="77777777" w:rsidR="0041636D" w:rsidRPr="00BF2661" w:rsidRDefault="0041636D">
      <w:pPr>
        <w:pStyle w:val="FootnoteText"/>
        <w:rPr>
          <w:lang w:val="en-US"/>
        </w:rPr>
      </w:pPr>
      <w:r>
        <w:rPr>
          <w:rStyle w:val="FootnoteReference"/>
        </w:rPr>
        <w:footnoteRef/>
      </w:r>
      <w:r>
        <w:t xml:space="preserve"> </w:t>
      </w:r>
      <w:r>
        <w:rPr>
          <w:lang w:val="en-US"/>
        </w:rPr>
        <w:t>Id at para</w:t>
      </w:r>
      <w:r w:rsidR="00DD3726">
        <w:rPr>
          <w:lang w:val="en-US"/>
        </w:rPr>
        <w:t>s</w:t>
      </w:r>
      <w:r>
        <w:rPr>
          <w:lang w:val="en-US"/>
        </w:rPr>
        <w:t xml:space="preserve"> 14 and 25.</w:t>
      </w:r>
    </w:p>
  </w:footnote>
  <w:footnote w:id="9">
    <w:p w14:paraId="65E5C4E6" w14:textId="77777777" w:rsidR="0041636D" w:rsidRPr="008504FE" w:rsidRDefault="0041636D">
      <w:pPr>
        <w:pStyle w:val="FootnoteText"/>
        <w:rPr>
          <w:lang w:val="en-GB"/>
        </w:rPr>
      </w:pPr>
      <w:r>
        <w:rPr>
          <w:rStyle w:val="FootnoteReference"/>
        </w:rPr>
        <w:footnoteRef/>
      </w:r>
      <w:r>
        <w:t xml:space="preserve"> </w:t>
      </w:r>
      <w:r w:rsidRPr="008504FE">
        <w:rPr>
          <w:i/>
          <w:lang w:val="en-GB"/>
        </w:rPr>
        <w:t>Impala Platinum</w:t>
      </w:r>
      <w:r>
        <w:rPr>
          <w:lang w:val="en-GB"/>
        </w:rPr>
        <w:t xml:space="preserve"> above n 4 is apposite in these circumstances.</w:t>
      </w:r>
    </w:p>
  </w:footnote>
  <w:footnote w:id="10">
    <w:p w14:paraId="3ABF9009" w14:textId="77777777" w:rsidR="0041636D" w:rsidRDefault="0041636D">
      <w:pPr>
        <w:pStyle w:val="FootnoteText"/>
        <w:rPr>
          <w:lang w:val="en-US"/>
        </w:rPr>
      </w:pPr>
      <w:r>
        <w:rPr>
          <w:rStyle w:val="FootnoteReference"/>
        </w:rPr>
        <w:footnoteRef/>
      </w:r>
      <w:r>
        <w:t xml:space="preserve"> </w:t>
      </w:r>
      <w:r w:rsidR="002B6F03" w:rsidRPr="008810C3">
        <w:rPr>
          <w:i/>
          <w:iCs/>
        </w:rPr>
        <w:t>Member of the Executive Council</w:t>
      </w:r>
      <w:r w:rsidR="002B6F03">
        <w:t xml:space="preserve"> </w:t>
      </w:r>
      <w:r w:rsidRPr="00C11157">
        <w:rPr>
          <w:i/>
          <w:lang w:val="en-US"/>
        </w:rPr>
        <w:t>for Finance: Kwa</w:t>
      </w:r>
      <w:r>
        <w:rPr>
          <w:i/>
          <w:lang w:val="en-US"/>
        </w:rPr>
        <w:t>Z</w:t>
      </w:r>
      <w:r w:rsidRPr="00C11157">
        <w:rPr>
          <w:i/>
          <w:lang w:val="en-US"/>
        </w:rPr>
        <w:t>ulu-Natal v Dorkin N</w:t>
      </w:r>
      <w:r>
        <w:rPr>
          <w:i/>
          <w:lang w:val="en-US"/>
        </w:rPr>
        <w:t>.</w:t>
      </w:r>
      <w:r w:rsidRPr="00C11157">
        <w:rPr>
          <w:i/>
          <w:lang w:val="en-US"/>
        </w:rPr>
        <w:t>O</w:t>
      </w:r>
      <w:r>
        <w:rPr>
          <w:i/>
          <w:lang w:val="en-US"/>
        </w:rPr>
        <w:t>.</w:t>
      </w:r>
      <w:r w:rsidRPr="00C11157">
        <w:rPr>
          <w:i/>
          <w:lang w:val="en-US"/>
        </w:rPr>
        <w:t xml:space="preserve"> </w:t>
      </w:r>
      <w:r w:rsidRPr="00EE373B">
        <w:rPr>
          <w:lang w:val="en-US"/>
        </w:rPr>
        <w:t xml:space="preserve">[2007] ZALAC 34; [2008] </w:t>
      </w:r>
      <w:r w:rsidR="002B6F03">
        <w:rPr>
          <w:lang w:val="en-US"/>
        </w:rPr>
        <w:t>29 ILJ 1707 (LAC)</w:t>
      </w:r>
      <w:r w:rsidR="008C1E63">
        <w:rPr>
          <w:lang w:val="en-US"/>
        </w:rPr>
        <w:t xml:space="preserve"> (</w:t>
      </w:r>
      <w:r w:rsidR="008C1E63" w:rsidRPr="008C1E63">
        <w:rPr>
          <w:i/>
          <w:lang w:val="en-US"/>
        </w:rPr>
        <w:t>Dorkin</w:t>
      </w:r>
      <w:r w:rsidR="008C1E63">
        <w:rPr>
          <w:lang w:val="en-US"/>
        </w:rPr>
        <w:t>)</w:t>
      </w:r>
      <w:r w:rsidRPr="00EE373B">
        <w:rPr>
          <w:lang w:val="en-US"/>
        </w:rPr>
        <w:t xml:space="preserve"> </w:t>
      </w:r>
      <w:r>
        <w:rPr>
          <w:lang w:val="en-US"/>
        </w:rPr>
        <w:t>at para 19, in which th</w:t>
      </w:r>
      <w:r w:rsidR="00813CA5">
        <w:rPr>
          <w:lang w:val="en-US"/>
        </w:rPr>
        <w:t>e Labour Appeal</w:t>
      </w:r>
      <w:r>
        <w:rPr>
          <w:lang w:val="en-US"/>
        </w:rPr>
        <w:t xml:space="preserve"> Court stated the reasons why cost</w:t>
      </w:r>
      <w:r w:rsidR="00693F1A">
        <w:rPr>
          <w:lang w:val="en-US"/>
        </w:rPr>
        <w:t>s</w:t>
      </w:r>
      <w:r>
        <w:rPr>
          <w:lang w:val="en-US"/>
        </w:rPr>
        <w:t xml:space="preserve"> orders in labour matters would ordinarily be unjustified, as follows:</w:t>
      </w:r>
    </w:p>
    <w:p w14:paraId="620572FF" w14:textId="77777777" w:rsidR="00813CA5" w:rsidRPr="008C1E63" w:rsidRDefault="0041636D" w:rsidP="008810C3">
      <w:pPr>
        <w:pStyle w:val="QUOTEINFOOTNOTE"/>
      </w:pPr>
      <w:r>
        <w:t>“</w:t>
      </w:r>
      <w:r w:rsidR="00ED23DF">
        <w:t>[</w:t>
      </w:r>
      <w:r>
        <w:t>T</w:t>
      </w:r>
      <w:r w:rsidR="00ED23DF">
        <w:t>]</w:t>
      </w:r>
      <w:r w:rsidRPr="00DC3A23">
        <w:t xml:space="preserve">he norm ought to be that </w:t>
      </w:r>
      <w:r w:rsidRPr="00B75F22">
        <w:t>cost orders</w:t>
      </w:r>
      <w:r w:rsidRPr="00DC3A23">
        <w:t xml:space="preserve"> are not made unless those requirements are met. </w:t>
      </w:r>
      <w:r w:rsidR="00693F1A">
        <w:t xml:space="preserve"> </w:t>
      </w:r>
      <w:r w:rsidRPr="00DC3A23">
        <w:t xml:space="preserve">In making decisions on cost orders this Court should seek to strike a fair balance between on the one hand, not unduly discouraging workers, employers, unions and employers’ organisations from approaching the Labour Court and this Court to have their disputes dealt with, and, on the other, allowing those parties to bring to the Labour Court and this Court frivolous cases that should not be brought to Court. </w:t>
      </w:r>
      <w:r w:rsidR="00693F1A">
        <w:t xml:space="preserve"> </w:t>
      </w:r>
      <w:r w:rsidRPr="00DC3A23">
        <w:t xml:space="preserve">That is a balance that is not always easy to strike but, if the Court is to err, it should err on the side of not discouraging parties to approach these Courts with their disputes. </w:t>
      </w:r>
      <w:r w:rsidR="00693F1A">
        <w:t xml:space="preserve"> </w:t>
      </w:r>
      <w:r w:rsidRPr="00DC3A23">
        <w:t>In that way these Courts will contribute to those parties not resorting to industrial action on disputes that should properly be referred to either arbitral bodies for arbitration or to the Courts for adjudication.</w:t>
      </w:r>
      <w:r w:rsidR="00693F1A">
        <w:t>”</w:t>
      </w:r>
    </w:p>
  </w:footnote>
  <w:footnote w:id="11">
    <w:p w14:paraId="061996A7" w14:textId="77777777" w:rsidR="0041636D" w:rsidRPr="00BF2661" w:rsidRDefault="0041636D">
      <w:pPr>
        <w:pStyle w:val="FootnoteText"/>
        <w:rPr>
          <w:lang w:val="en-US"/>
        </w:rPr>
      </w:pPr>
      <w:r>
        <w:rPr>
          <w:rStyle w:val="FootnoteReference"/>
        </w:rPr>
        <w:footnoteRef/>
      </w:r>
      <w:r w:rsidRPr="00BF2661">
        <w:rPr>
          <w:i/>
        </w:rPr>
        <w:t xml:space="preserve"> Zungu</w:t>
      </w:r>
      <w:r>
        <w:t xml:space="preserve"> above n 5 at para 26.  In </w:t>
      </w:r>
      <w:r w:rsidRPr="00BF2661">
        <w:rPr>
          <w:i/>
        </w:rPr>
        <w:t>Zungu</w:t>
      </w:r>
      <w:r>
        <w:t xml:space="preserve">, this Court endorsed and applied the principle set out in </w:t>
      </w:r>
      <w:r w:rsidRPr="00BF2661">
        <w:rPr>
          <w:i/>
        </w:rPr>
        <w:t>Dorkin</w:t>
      </w:r>
      <w:r>
        <w:t xml:space="preserve">, which was that in the ordinary course of a labour matter, the applicant ought not to be mulcted </w:t>
      </w:r>
      <w:r w:rsidR="00B75F22" w:rsidRPr="00B75F22">
        <w:t>in</w:t>
      </w:r>
      <w:r>
        <w:t xml:space="preserve"> costs should they fail in their claim unless circumstances render it just to do so.</w:t>
      </w:r>
    </w:p>
  </w:footnote>
  <w:footnote w:id="12">
    <w:p w14:paraId="1EB53B5E" w14:textId="77777777" w:rsidR="0041636D" w:rsidRDefault="0041636D">
      <w:pPr>
        <w:pStyle w:val="FootnoteText"/>
      </w:pPr>
      <w:r>
        <w:rPr>
          <w:rStyle w:val="FootnoteReference"/>
        </w:rPr>
        <w:footnoteRef/>
      </w:r>
      <w:r>
        <w:t xml:space="preserve"> Id at para 24.</w:t>
      </w:r>
    </w:p>
  </w:footnote>
  <w:footnote w:id="13">
    <w:p w14:paraId="29B34F8E" w14:textId="77777777" w:rsidR="0041636D" w:rsidRPr="00BF2661" w:rsidRDefault="0041636D">
      <w:pPr>
        <w:pStyle w:val="FootnoteText"/>
        <w:rPr>
          <w:lang w:val="en-US"/>
        </w:rPr>
      </w:pPr>
      <w:r>
        <w:rPr>
          <w:rStyle w:val="FootnoteReference"/>
        </w:rPr>
        <w:footnoteRef/>
      </w:r>
      <w:r>
        <w:t xml:space="preserve"> Id.</w:t>
      </w:r>
    </w:p>
  </w:footnote>
  <w:footnote w:id="14">
    <w:p w14:paraId="5EFFBC39" w14:textId="77777777" w:rsidR="0041636D" w:rsidRPr="00247532" w:rsidRDefault="0041636D" w:rsidP="00247532">
      <w:pPr>
        <w:pStyle w:val="FootnoteText"/>
      </w:pPr>
      <w:r w:rsidRPr="005C71AD">
        <w:rPr>
          <w:rStyle w:val="FootnoteReference"/>
        </w:rPr>
        <w:footnoteRef/>
      </w:r>
      <w:r w:rsidRPr="005C71AD">
        <w:t xml:space="preserve"> </w:t>
      </w:r>
      <w:r w:rsidR="00693F1A" w:rsidRPr="00B75F22">
        <w:t>Id</w:t>
      </w:r>
      <w:r w:rsidRPr="00644851">
        <w:t xml:space="preserve"> at paras 2</w:t>
      </w:r>
      <w:r w:rsidRPr="005C71AD">
        <w:t>4-5.</w:t>
      </w:r>
      <w:r>
        <w:t xml:space="preserve">  The reasons a court may have for a costs order against a party ought to have regard to the factors set out in s</w:t>
      </w:r>
      <w:r w:rsidRPr="00247532">
        <w:t xml:space="preserve">ection 162 of the Labour Relations Act 66 of 1995 </w:t>
      </w:r>
      <w:r>
        <w:t xml:space="preserve">which </w:t>
      </w:r>
      <w:r w:rsidRPr="00247532">
        <w:t>read as follows:</w:t>
      </w:r>
    </w:p>
    <w:p w14:paraId="13E4B50B" w14:textId="77777777" w:rsidR="0041636D" w:rsidRDefault="00EB7277" w:rsidP="00644851">
      <w:pPr>
        <w:pStyle w:val="QUOTEINFOOTNOTE"/>
      </w:pPr>
      <w:r>
        <w:t>“</w:t>
      </w:r>
      <w:r w:rsidR="0041636D" w:rsidRPr="00C2702A">
        <w:t xml:space="preserve">(1) The Labour Appeal Court may make an order for the payment of costs, according to the requirements of the law and fairness. </w:t>
      </w:r>
    </w:p>
    <w:p w14:paraId="480234C6" w14:textId="77777777" w:rsidR="0041636D" w:rsidRDefault="0041636D">
      <w:pPr>
        <w:pStyle w:val="QUOTEINFOOTNOTE"/>
      </w:pPr>
      <w:r w:rsidRPr="00C2702A">
        <w:t>(2) When deciding whether or not to order the payment of costs, the Labour Appeal Court may take into account</w:t>
      </w:r>
      <w:r w:rsidR="00693F1A">
        <w:t>—</w:t>
      </w:r>
      <w:r w:rsidRPr="00C2702A">
        <w:t xml:space="preserve"> </w:t>
      </w:r>
    </w:p>
    <w:p w14:paraId="17AF583D" w14:textId="77777777" w:rsidR="0041636D" w:rsidRDefault="0041636D" w:rsidP="00644851">
      <w:pPr>
        <w:pStyle w:val="QUOTEINFOOTNOTE"/>
        <w:ind w:left="1440"/>
      </w:pPr>
      <w:r w:rsidRPr="00C2702A">
        <w:t xml:space="preserve">(a) whether the matter referred to the Court should have been referred to arbitration in terms of this Act and, if so, the extra costs incurred in referring the matter to the Court; and </w:t>
      </w:r>
    </w:p>
    <w:p w14:paraId="3CD8DA80" w14:textId="77777777" w:rsidR="0041636D" w:rsidRDefault="0041636D" w:rsidP="00EB7277">
      <w:pPr>
        <w:pStyle w:val="QUOTEINFOOTNOTE"/>
        <w:ind w:left="1440"/>
      </w:pPr>
      <w:r w:rsidRPr="00C2702A">
        <w:t>(b) the conduct of the parties</w:t>
      </w:r>
      <w:r w:rsidR="00EB7277">
        <w:t>—</w:t>
      </w:r>
    </w:p>
    <w:p w14:paraId="66433F22" w14:textId="77777777" w:rsidR="0041636D" w:rsidRDefault="0041636D" w:rsidP="00644851">
      <w:pPr>
        <w:pStyle w:val="QUOTEINFOOTNOTE"/>
        <w:ind w:left="2160"/>
      </w:pPr>
      <w:r w:rsidRPr="00C2702A">
        <w:t>(i) in proceeding with or defending the matter before the Court; and</w:t>
      </w:r>
    </w:p>
    <w:p w14:paraId="3CD9E500" w14:textId="77777777" w:rsidR="0041636D" w:rsidRDefault="0041636D" w:rsidP="00644851">
      <w:pPr>
        <w:pStyle w:val="QUOTEINFOOTNOTE"/>
        <w:ind w:left="2160"/>
      </w:pPr>
      <w:r w:rsidRPr="00C2702A">
        <w:t>(ii) during th</w:t>
      </w:r>
      <w:r>
        <w:t>e proceedings before the Court.</w:t>
      </w:r>
    </w:p>
    <w:p w14:paraId="0E330F30" w14:textId="77777777" w:rsidR="0041636D" w:rsidRPr="00C2702A" w:rsidRDefault="0041636D" w:rsidP="00644851">
      <w:pPr>
        <w:pStyle w:val="QUOTEINFOOTNOTE"/>
      </w:pPr>
      <w:r w:rsidRPr="00C2702A">
        <w:t>(3) The Labour Appeal Court may order costs against a party to the dispute or against any person who represented that party in those proceedings before the Court.</w:t>
      </w:r>
      <w:r w:rsidR="00EB7277">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23EBF" w14:textId="77777777" w:rsidR="0041636D" w:rsidRDefault="0041636D" w:rsidP="000F7521">
    <w:pPr>
      <w:pStyle w:val="Header"/>
      <w:tabs>
        <w:tab w:val="clear" w:pos="4680"/>
        <w:tab w:val="clear" w:pos="9360"/>
        <w:tab w:val="right" w:pos="9072"/>
      </w:tabs>
      <w:jc w:val="right"/>
    </w:pPr>
    <w:r>
      <w:t>MHLANTLA J</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62F0D" w14:textId="77777777" w:rsidR="0041636D" w:rsidRDefault="0041636D" w:rsidP="008C727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A26"/>
    <w:multiLevelType w:val="hybridMultilevel"/>
    <w:tmpl w:val="4C0254E2"/>
    <w:lvl w:ilvl="0" w:tplc="B50C275E">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0510F"/>
    <w:multiLevelType w:val="hybridMultilevel"/>
    <w:tmpl w:val="143C81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A247C10"/>
    <w:multiLevelType w:val="hybridMultilevel"/>
    <w:tmpl w:val="92F684FC"/>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1ECB06ED"/>
    <w:multiLevelType w:val="hybridMultilevel"/>
    <w:tmpl w:val="6D4C64E6"/>
    <w:lvl w:ilvl="0" w:tplc="28A83C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6CB60BE"/>
    <w:multiLevelType w:val="hybridMultilevel"/>
    <w:tmpl w:val="C07259B0"/>
    <w:lvl w:ilvl="0" w:tplc="4484E522">
      <w:start w:val="1"/>
      <w:numFmt w:val="lowerLetter"/>
      <w:lvlText w:val="(%1)"/>
      <w:lvlJc w:val="left"/>
      <w:pPr>
        <w:ind w:left="1440" w:hanging="360"/>
      </w:pPr>
      <w:rPr>
        <w:rFonts w:ascii="Times New Roman" w:eastAsia="Calibri" w:hAnsi="Times New Roman" w:cs="Times New Roman"/>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7703A9E"/>
    <w:multiLevelType w:val="hybridMultilevel"/>
    <w:tmpl w:val="143C8178"/>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2A5B3295"/>
    <w:multiLevelType w:val="hybridMultilevel"/>
    <w:tmpl w:val="143C81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39E71E8"/>
    <w:multiLevelType w:val="hybridMultilevel"/>
    <w:tmpl w:val="342CDC3E"/>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461D13BD"/>
    <w:multiLevelType w:val="multilevel"/>
    <w:tmpl w:val="92D0E282"/>
    <w:lvl w:ilvl="0">
      <w:start w:val="1"/>
      <w:numFmt w:val="decimal"/>
      <w:lvlText w:val="[%1]"/>
      <w:lvlJc w:val="left"/>
      <w:pPr>
        <w:tabs>
          <w:tab w:val="num" w:pos="68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FF05355"/>
    <w:multiLevelType w:val="hybridMultilevel"/>
    <w:tmpl w:val="560EC370"/>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75300D46"/>
    <w:multiLevelType w:val="hybridMultilevel"/>
    <w:tmpl w:val="143C81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3"/>
  </w:num>
  <w:num w:numId="12">
    <w:abstractNumId w:val="3"/>
    <w:lvlOverride w:ilvl="0">
      <w:startOverride w:val="1"/>
    </w:lvlOverride>
  </w:num>
  <w:num w:numId="13">
    <w:abstractNumId w:val="0"/>
  </w:num>
  <w:num w:numId="14">
    <w:abstractNumId w:val="10"/>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1"/>
  </w:num>
  <w:num w:numId="19">
    <w:abstractNumId w:val="7"/>
  </w:num>
  <w:num w:numId="20">
    <w:abstractNumId w:val="6"/>
  </w:num>
  <w:num w:numId="21">
    <w:abstractNumId w:val="9"/>
  </w:num>
  <w:num w:numId="22">
    <w:abstractNumId w:val="2"/>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yMzA3MDcFUpbGFko6SsGpxcWZ+XkgBRa1ALZO7/8sAAAA"/>
  </w:docVars>
  <w:rsids>
    <w:rsidRoot w:val="007410F3"/>
    <w:rsid w:val="00003278"/>
    <w:rsid w:val="00006E05"/>
    <w:rsid w:val="00007B03"/>
    <w:rsid w:val="00013E89"/>
    <w:rsid w:val="00016B59"/>
    <w:rsid w:val="00021B45"/>
    <w:rsid w:val="0003222E"/>
    <w:rsid w:val="0003332C"/>
    <w:rsid w:val="0003374F"/>
    <w:rsid w:val="000338C1"/>
    <w:rsid w:val="00035C2D"/>
    <w:rsid w:val="00036F1F"/>
    <w:rsid w:val="000505EB"/>
    <w:rsid w:val="000570BC"/>
    <w:rsid w:val="000629FD"/>
    <w:rsid w:val="000704F2"/>
    <w:rsid w:val="0008371B"/>
    <w:rsid w:val="00095A15"/>
    <w:rsid w:val="000B0C92"/>
    <w:rsid w:val="000B22E6"/>
    <w:rsid w:val="000C38CF"/>
    <w:rsid w:val="000D119E"/>
    <w:rsid w:val="000D15DC"/>
    <w:rsid w:val="000E241A"/>
    <w:rsid w:val="000E27F8"/>
    <w:rsid w:val="000F727D"/>
    <w:rsid w:val="000F7521"/>
    <w:rsid w:val="00100675"/>
    <w:rsid w:val="001016AC"/>
    <w:rsid w:val="001140DD"/>
    <w:rsid w:val="0011418A"/>
    <w:rsid w:val="0011429A"/>
    <w:rsid w:val="00115005"/>
    <w:rsid w:val="00125551"/>
    <w:rsid w:val="00133C40"/>
    <w:rsid w:val="00160432"/>
    <w:rsid w:val="001611B1"/>
    <w:rsid w:val="00174981"/>
    <w:rsid w:val="00175E79"/>
    <w:rsid w:val="00183FC9"/>
    <w:rsid w:val="00191538"/>
    <w:rsid w:val="001927E9"/>
    <w:rsid w:val="00194B9C"/>
    <w:rsid w:val="001A49DB"/>
    <w:rsid w:val="001A7F02"/>
    <w:rsid w:val="001B4C29"/>
    <w:rsid w:val="001B7A75"/>
    <w:rsid w:val="001C050A"/>
    <w:rsid w:val="001C2338"/>
    <w:rsid w:val="001C7D48"/>
    <w:rsid w:val="001D31D7"/>
    <w:rsid w:val="001D7797"/>
    <w:rsid w:val="001E0C93"/>
    <w:rsid w:val="001E7C74"/>
    <w:rsid w:val="001F3286"/>
    <w:rsid w:val="00203508"/>
    <w:rsid w:val="002113D4"/>
    <w:rsid w:val="00216237"/>
    <w:rsid w:val="002208F2"/>
    <w:rsid w:val="00230B62"/>
    <w:rsid w:val="00232B8F"/>
    <w:rsid w:val="00236F9A"/>
    <w:rsid w:val="00236FA0"/>
    <w:rsid w:val="00242704"/>
    <w:rsid w:val="0024725F"/>
    <w:rsid w:val="00247532"/>
    <w:rsid w:val="002501C5"/>
    <w:rsid w:val="00250955"/>
    <w:rsid w:val="00250A64"/>
    <w:rsid w:val="00251149"/>
    <w:rsid w:val="00255DF2"/>
    <w:rsid w:val="00257E63"/>
    <w:rsid w:val="00264065"/>
    <w:rsid w:val="002650E7"/>
    <w:rsid w:val="002652AB"/>
    <w:rsid w:val="00274530"/>
    <w:rsid w:val="00282EB3"/>
    <w:rsid w:val="00287753"/>
    <w:rsid w:val="00287CC8"/>
    <w:rsid w:val="00294BCE"/>
    <w:rsid w:val="00295C91"/>
    <w:rsid w:val="002A0249"/>
    <w:rsid w:val="002A72D9"/>
    <w:rsid w:val="002B2154"/>
    <w:rsid w:val="002B306E"/>
    <w:rsid w:val="002B6B55"/>
    <w:rsid w:val="002B6F03"/>
    <w:rsid w:val="002C59CA"/>
    <w:rsid w:val="002C5F97"/>
    <w:rsid w:val="002C7AC5"/>
    <w:rsid w:val="002D0A50"/>
    <w:rsid w:val="002D1FD9"/>
    <w:rsid w:val="002D6E04"/>
    <w:rsid w:val="002D7B62"/>
    <w:rsid w:val="002E1AA1"/>
    <w:rsid w:val="002E4857"/>
    <w:rsid w:val="002E564E"/>
    <w:rsid w:val="002F6A17"/>
    <w:rsid w:val="0030528D"/>
    <w:rsid w:val="003122A9"/>
    <w:rsid w:val="0031497A"/>
    <w:rsid w:val="00326649"/>
    <w:rsid w:val="00341131"/>
    <w:rsid w:val="00343DF1"/>
    <w:rsid w:val="00346927"/>
    <w:rsid w:val="00356313"/>
    <w:rsid w:val="0036139A"/>
    <w:rsid w:val="003617E0"/>
    <w:rsid w:val="003644DF"/>
    <w:rsid w:val="0036485C"/>
    <w:rsid w:val="00366550"/>
    <w:rsid w:val="00381E96"/>
    <w:rsid w:val="00382507"/>
    <w:rsid w:val="003837F4"/>
    <w:rsid w:val="00386F56"/>
    <w:rsid w:val="00386FCB"/>
    <w:rsid w:val="00390F6E"/>
    <w:rsid w:val="0039312A"/>
    <w:rsid w:val="00394E2F"/>
    <w:rsid w:val="00395B46"/>
    <w:rsid w:val="00396EC5"/>
    <w:rsid w:val="003A12F7"/>
    <w:rsid w:val="003A18CF"/>
    <w:rsid w:val="003A1BAE"/>
    <w:rsid w:val="003A3C4A"/>
    <w:rsid w:val="003A3E5C"/>
    <w:rsid w:val="003A4FA1"/>
    <w:rsid w:val="003B099A"/>
    <w:rsid w:val="003B12C2"/>
    <w:rsid w:val="003B1B87"/>
    <w:rsid w:val="003C5CF6"/>
    <w:rsid w:val="003C6901"/>
    <w:rsid w:val="003C7B6C"/>
    <w:rsid w:val="003D0CAD"/>
    <w:rsid w:val="003E2C26"/>
    <w:rsid w:val="00403992"/>
    <w:rsid w:val="00407C0F"/>
    <w:rsid w:val="004110F6"/>
    <w:rsid w:val="00413EAE"/>
    <w:rsid w:val="0041636D"/>
    <w:rsid w:val="00420990"/>
    <w:rsid w:val="00421719"/>
    <w:rsid w:val="00432A93"/>
    <w:rsid w:val="00432ABF"/>
    <w:rsid w:val="0043373A"/>
    <w:rsid w:val="0044313C"/>
    <w:rsid w:val="00443661"/>
    <w:rsid w:val="00444765"/>
    <w:rsid w:val="0044789D"/>
    <w:rsid w:val="004602BC"/>
    <w:rsid w:val="0046182E"/>
    <w:rsid w:val="004620BF"/>
    <w:rsid w:val="00462BC3"/>
    <w:rsid w:val="004A0C6C"/>
    <w:rsid w:val="004A14DE"/>
    <w:rsid w:val="004B2AAD"/>
    <w:rsid w:val="004B3965"/>
    <w:rsid w:val="004B6FE7"/>
    <w:rsid w:val="004C1DE4"/>
    <w:rsid w:val="004C681A"/>
    <w:rsid w:val="004C7588"/>
    <w:rsid w:val="004D02BA"/>
    <w:rsid w:val="004D11DA"/>
    <w:rsid w:val="004D3AD0"/>
    <w:rsid w:val="004D66DD"/>
    <w:rsid w:val="004E00EA"/>
    <w:rsid w:val="004E3661"/>
    <w:rsid w:val="004E3677"/>
    <w:rsid w:val="004E4892"/>
    <w:rsid w:val="004E6728"/>
    <w:rsid w:val="004F4535"/>
    <w:rsid w:val="004F6C7F"/>
    <w:rsid w:val="00503030"/>
    <w:rsid w:val="005131F9"/>
    <w:rsid w:val="00516F29"/>
    <w:rsid w:val="0052694D"/>
    <w:rsid w:val="00526CE6"/>
    <w:rsid w:val="005301CA"/>
    <w:rsid w:val="005314E0"/>
    <w:rsid w:val="00533037"/>
    <w:rsid w:val="00535E74"/>
    <w:rsid w:val="00542F53"/>
    <w:rsid w:val="00545042"/>
    <w:rsid w:val="005627D3"/>
    <w:rsid w:val="00563214"/>
    <w:rsid w:val="0056742C"/>
    <w:rsid w:val="00590B22"/>
    <w:rsid w:val="005A3DF5"/>
    <w:rsid w:val="005B67E2"/>
    <w:rsid w:val="005C009F"/>
    <w:rsid w:val="005C199A"/>
    <w:rsid w:val="005C219A"/>
    <w:rsid w:val="005C71AD"/>
    <w:rsid w:val="005D230B"/>
    <w:rsid w:val="005E0555"/>
    <w:rsid w:val="005E07C7"/>
    <w:rsid w:val="005E2F2C"/>
    <w:rsid w:val="005E3DD4"/>
    <w:rsid w:val="005E4F3C"/>
    <w:rsid w:val="005F1AB3"/>
    <w:rsid w:val="005F25A8"/>
    <w:rsid w:val="005F4D24"/>
    <w:rsid w:val="005F738D"/>
    <w:rsid w:val="00600F50"/>
    <w:rsid w:val="00601A88"/>
    <w:rsid w:val="00605077"/>
    <w:rsid w:val="0062463E"/>
    <w:rsid w:val="0063190C"/>
    <w:rsid w:val="00644851"/>
    <w:rsid w:val="00645668"/>
    <w:rsid w:val="00657B43"/>
    <w:rsid w:val="00660304"/>
    <w:rsid w:val="00662A7B"/>
    <w:rsid w:val="006657EE"/>
    <w:rsid w:val="0067159E"/>
    <w:rsid w:val="006724E0"/>
    <w:rsid w:val="00673C7B"/>
    <w:rsid w:val="0067644D"/>
    <w:rsid w:val="00683A69"/>
    <w:rsid w:val="0068662C"/>
    <w:rsid w:val="00693F1A"/>
    <w:rsid w:val="006A0EBD"/>
    <w:rsid w:val="006A3F36"/>
    <w:rsid w:val="006A6304"/>
    <w:rsid w:val="006B5389"/>
    <w:rsid w:val="006D21A9"/>
    <w:rsid w:val="006D4A9C"/>
    <w:rsid w:val="006E0C0D"/>
    <w:rsid w:val="006E30D4"/>
    <w:rsid w:val="006E3711"/>
    <w:rsid w:val="006F4CAA"/>
    <w:rsid w:val="00702C2E"/>
    <w:rsid w:val="007038B4"/>
    <w:rsid w:val="00704865"/>
    <w:rsid w:val="00707C78"/>
    <w:rsid w:val="00730113"/>
    <w:rsid w:val="007410F3"/>
    <w:rsid w:val="007459C4"/>
    <w:rsid w:val="0074753B"/>
    <w:rsid w:val="00753EA4"/>
    <w:rsid w:val="00763535"/>
    <w:rsid w:val="007812E3"/>
    <w:rsid w:val="00781386"/>
    <w:rsid w:val="00793F89"/>
    <w:rsid w:val="007947C8"/>
    <w:rsid w:val="00794D39"/>
    <w:rsid w:val="007A6B5B"/>
    <w:rsid w:val="007B3EAB"/>
    <w:rsid w:val="007B5814"/>
    <w:rsid w:val="007C1F7C"/>
    <w:rsid w:val="007C2FC8"/>
    <w:rsid w:val="007C4840"/>
    <w:rsid w:val="007D25B6"/>
    <w:rsid w:val="007D792A"/>
    <w:rsid w:val="007E403C"/>
    <w:rsid w:val="007F1626"/>
    <w:rsid w:val="007F3186"/>
    <w:rsid w:val="007F33DA"/>
    <w:rsid w:val="007F34D6"/>
    <w:rsid w:val="00800EEE"/>
    <w:rsid w:val="00807A5D"/>
    <w:rsid w:val="00813CA5"/>
    <w:rsid w:val="00816D9B"/>
    <w:rsid w:val="008211C3"/>
    <w:rsid w:val="0083092F"/>
    <w:rsid w:val="00834803"/>
    <w:rsid w:val="00842678"/>
    <w:rsid w:val="00845165"/>
    <w:rsid w:val="00847CA5"/>
    <w:rsid w:val="008504FE"/>
    <w:rsid w:val="00851D8D"/>
    <w:rsid w:val="008532B1"/>
    <w:rsid w:val="00860C4E"/>
    <w:rsid w:val="008610E4"/>
    <w:rsid w:val="0087217E"/>
    <w:rsid w:val="00873DB6"/>
    <w:rsid w:val="008810C3"/>
    <w:rsid w:val="00890EB7"/>
    <w:rsid w:val="00890F6E"/>
    <w:rsid w:val="00890FF2"/>
    <w:rsid w:val="00893F46"/>
    <w:rsid w:val="00897B62"/>
    <w:rsid w:val="008A3EC0"/>
    <w:rsid w:val="008A65D2"/>
    <w:rsid w:val="008B1882"/>
    <w:rsid w:val="008B67ED"/>
    <w:rsid w:val="008C1E63"/>
    <w:rsid w:val="008C3287"/>
    <w:rsid w:val="008C727F"/>
    <w:rsid w:val="008D19FE"/>
    <w:rsid w:val="008D2800"/>
    <w:rsid w:val="008E1717"/>
    <w:rsid w:val="008E31EF"/>
    <w:rsid w:val="008E562C"/>
    <w:rsid w:val="008E6B07"/>
    <w:rsid w:val="008F0347"/>
    <w:rsid w:val="008F1AED"/>
    <w:rsid w:val="00906807"/>
    <w:rsid w:val="00911782"/>
    <w:rsid w:val="00921413"/>
    <w:rsid w:val="009325A2"/>
    <w:rsid w:val="00937742"/>
    <w:rsid w:val="00940A0D"/>
    <w:rsid w:val="009559B5"/>
    <w:rsid w:val="00962156"/>
    <w:rsid w:val="009659FB"/>
    <w:rsid w:val="0098219B"/>
    <w:rsid w:val="00987555"/>
    <w:rsid w:val="00987B57"/>
    <w:rsid w:val="00992456"/>
    <w:rsid w:val="009966E4"/>
    <w:rsid w:val="009B1F40"/>
    <w:rsid w:val="009B50E2"/>
    <w:rsid w:val="009C09F6"/>
    <w:rsid w:val="009C3888"/>
    <w:rsid w:val="009D40D1"/>
    <w:rsid w:val="009E12A3"/>
    <w:rsid w:val="009E53A0"/>
    <w:rsid w:val="009E5E39"/>
    <w:rsid w:val="009F3F82"/>
    <w:rsid w:val="009F7AA9"/>
    <w:rsid w:val="00A203C4"/>
    <w:rsid w:val="00A35CE0"/>
    <w:rsid w:val="00A3603E"/>
    <w:rsid w:val="00A403F1"/>
    <w:rsid w:val="00A46C8E"/>
    <w:rsid w:val="00A60EFF"/>
    <w:rsid w:val="00A74F1F"/>
    <w:rsid w:val="00A75DF7"/>
    <w:rsid w:val="00A76BCF"/>
    <w:rsid w:val="00A81618"/>
    <w:rsid w:val="00A81C1D"/>
    <w:rsid w:val="00A97332"/>
    <w:rsid w:val="00A97650"/>
    <w:rsid w:val="00AA6755"/>
    <w:rsid w:val="00AD2D1A"/>
    <w:rsid w:val="00AD35F4"/>
    <w:rsid w:val="00AD4C56"/>
    <w:rsid w:val="00AE1728"/>
    <w:rsid w:val="00AE7143"/>
    <w:rsid w:val="00AE7602"/>
    <w:rsid w:val="00B13DEA"/>
    <w:rsid w:val="00B20040"/>
    <w:rsid w:val="00B251D3"/>
    <w:rsid w:val="00B31462"/>
    <w:rsid w:val="00B32AB4"/>
    <w:rsid w:val="00B52287"/>
    <w:rsid w:val="00B617C1"/>
    <w:rsid w:val="00B64ADD"/>
    <w:rsid w:val="00B7017B"/>
    <w:rsid w:val="00B7174A"/>
    <w:rsid w:val="00B7332A"/>
    <w:rsid w:val="00B737EA"/>
    <w:rsid w:val="00B75D68"/>
    <w:rsid w:val="00B75F22"/>
    <w:rsid w:val="00B7734C"/>
    <w:rsid w:val="00B8159D"/>
    <w:rsid w:val="00B81F77"/>
    <w:rsid w:val="00B827AE"/>
    <w:rsid w:val="00B82D3F"/>
    <w:rsid w:val="00B8590B"/>
    <w:rsid w:val="00B933A1"/>
    <w:rsid w:val="00B97ED9"/>
    <w:rsid w:val="00BA2A81"/>
    <w:rsid w:val="00BA309A"/>
    <w:rsid w:val="00BA3BEF"/>
    <w:rsid w:val="00BB0654"/>
    <w:rsid w:val="00BB1AE8"/>
    <w:rsid w:val="00BB312F"/>
    <w:rsid w:val="00BB3156"/>
    <w:rsid w:val="00BB36C9"/>
    <w:rsid w:val="00BC231D"/>
    <w:rsid w:val="00BD0174"/>
    <w:rsid w:val="00BE700A"/>
    <w:rsid w:val="00BF1E14"/>
    <w:rsid w:val="00BF2661"/>
    <w:rsid w:val="00BF3824"/>
    <w:rsid w:val="00BF443C"/>
    <w:rsid w:val="00BF536C"/>
    <w:rsid w:val="00BF72A8"/>
    <w:rsid w:val="00C066B6"/>
    <w:rsid w:val="00C130A7"/>
    <w:rsid w:val="00C24F25"/>
    <w:rsid w:val="00C25ABC"/>
    <w:rsid w:val="00C2702A"/>
    <w:rsid w:val="00C40214"/>
    <w:rsid w:val="00C44207"/>
    <w:rsid w:val="00C51413"/>
    <w:rsid w:val="00C53F02"/>
    <w:rsid w:val="00C53FD4"/>
    <w:rsid w:val="00C6034D"/>
    <w:rsid w:val="00C63EC7"/>
    <w:rsid w:val="00C67D73"/>
    <w:rsid w:val="00C70C3E"/>
    <w:rsid w:val="00C739DB"/>
    <w:rsid w:val="00C74444"/>
    <w:rsid w:val="00C74761"/>
    <w:rsid w:val="00C84B5E"/>
    <w:rsid w:val="00C95204"/>
    <w:rsid w:val="00C95D7C"/>
    <w:rsid w:val="00C9655C"/>
    <w:rsid w:val="00CA2615"/>
    <w:rsid w:val="00CA38E5"/>
    <w:rsid w:val="00CA3BF8"/>
    <w:rsid w:val="00CA5A62"/>
    <w:rsid w:val="00CA6ACC"/>
    <w:rsid w:val="00CB0CB2"/>
    <w:rsid w:val="00CB5688"/>
    <w:rsid w:val="00CB63EA"/>
    <w:rsid w:val="00CC0656"/>
    <w:rsid w:val="00CC158D"/>
    <w:rsid w:val="00CC301A"/>
    <w:rsid w:val="00CC38E6"/>
    <w:rsid w:val="00CC6FCA"/>
    <w:rsid w:val="00CE2412"/>
    <w:rsid w:val="00CE5F9F"/>
    <w:rsid w:val="00CF0044"/>
    <w:rsid w:val="00D033C4"/>
    <w:rsid w:val="00D07F3C"/>
    <w:rsid w:val="00D11840"/>
    <w:rsid w:val="00D15C87"/>
    <w:rsid w:val="00D24154"/>
    <w:rsid w:val="00D3275F"/>
    <w:rsid w:val="00D32B47"/>
    <w:rsid w:val="00D3585C"/>
    <w:rsid w:val="00D35BB9"/>
    <w:rsid w:val="00D47F7E"/>
    <w:rsid w:val="00D75AFD"/>
    <w:rsid w:val="00D764A0"/>
    <w:rsid w:val="00D76A1F"/>
    <w:rsid w:val="00D90213"/>
    <w:rsid w:val="00D9243A"/>
    <w:rsid w:val="00DA4861"/>
    <w:rsid w:val="00DA7CDD"/>
    <w:rsid w:val="00DB265C"/>
    <w:rsid w:val="00DB3839"/>
    <w:rsid w:val="00DB3FC8"/>
    <w:rsid w:val="00DB4070"/>
    <w:rsid w:val="00DB5B04"/>
    <w:rsid w:val="00DB6D9E"/>
    <w:rsid w:val="00DC0984"/>
    <w:rsid w:val="00DC1E09"/>
    <w:rsid w:val="00DC3A23"/>
    <w:rsid w:val="00DD05CE"/>
    <w:rsid w:val="00DD3726"/>
    <w:rsid w:val="00DD590F"/>
    <w:rsid w:val="00DE3908"/>
    <w:rsid w:val="00DE7926"/>
    <w:rsid w:val="00DE7E61"/>
    <w:rsid w:val="00DF1C3F"/>
    <w:rsid w:val="00DF44FB"/>
    <w:rsid w:val="00DF57C2"/>
    <w:rsid w:val="00DF62D8"/>
    <w:rsid w:val="00E11618"/>
    <w:rsid w:val="00E127D5"/>
    <w:rsid w:val="00E12D4B"/>
    <w:rsid w:val="00E1702F"/>
    <w:rsid w:val="00E210D3"/>
    <w:rsid w:val="00E230D7"/>
    <w:rsid w:val="00E2541A"/>
    <w:rsid w:val="00E27F49"/>
    <w:rsid w:val="00E3056A"/>
    <w:rsid w:val="00E31821"/>
    <w:rsid w:val="00E34C12"/>
    <w:rsid w:val="00E412C6"/>
    <w:rsid w:val="00E45515"/>
    <w:rsid w:val="00E4607C"/>
    <w:rsid w:val="00E4636A"/>
    <w:rsid w:val="00E475EF"/>
    <w:rsid w:val="00E51128"/>
    <w:rsid w:val="00E61805"/>
    <w:rsid w:val="00E63C65"/>
    <w:rsid w:val="00E6493D"/>
    <w:rsid w:val="00E66BB2"/>
    <w:rsid w:val="00E66F62"/>
    <w:rsid w:val="00E67196"/>
    <w:rsid w:val="00E70761"/>
    <w:rsid w:val="00E71862"/>
    <w:rsid w:val="00E728CC"/>
    <w:rsid w:val="00E879DB"/>
    <w:rsid w:val="00E92F46"/>
    <w:rsid w:val="00E93A1B"/>
    <w:rsid w:val="00E93C76"/>
    <w:rsid w:val="00EA05FA"/>
    <w:rsid w:val="00EA73D9"/>
    <w:rsid w:val="00EB7277"/>
    <w:rsid w:val="00EC331E"/>
    <w:rsid w:val="00EC4E89"/>
    <w:rsid w:val="00EC5D01"/>
    <w:rsid w:val="00EC6971"/>
    <w:rsid w:val="00EC77BD"/>
    <w:rsid w:val="00ED0FE3"/>
    <w:rsid w:val="00ED23DF"/>
    <w:rsid w:val="00EE19BC"/>
    <w:rsid w:val="00EE373B"/>
    <w:rsid w:val="00F008DA"/>
    <w:rsid w:val="00F0106D"/>
    <w:rsid w:val="00F027E9"/>
    <w:rsid w:val="00F104AA"/>
    <w:rsid w:val="00F12F57"/>
    <w:rsid w:val="00F22347"/>
    <w:rsid w:val="00F236B8"/>
    <w:rsid w:val="00F23DA0"/>
    <w:rsid w:val="00F245CE"/>
    <w:rsid w:val="00F429B8"/>
    <w:rsid w:val="00F44521"/>
    <w:rsid w:val="00F45DC4"/>
    <w:rsid w:val="00F549F8"/>
    <w:rsid w:val="00F622BB"/>
    <w:rsid w:val="00F67A8B"/>
    <w:rsid w:val="00F67F4F"/>
    <w:rsid w:val="00F71366"/>
    <w:rsid w:val="00F7474A"/>
    <w:rsid w:val="00F74B65"/>
    <w:rsid w:val="00F76D30"/>
    <w:rsid w:val="00F8303E"/>
    <w:rsid w:val="00F90582"/>
    <w:rsid w:val="00F97F39"/>
    <w:rsid w:val="00FD3352"/>
    <w:rsid w:val="00FE1A72"/>
    <w:rsid w:val="00FE3578"/>
    <w:rsid w:val="00FE6B1B"/>
    <w:rsid w:val="00FF6D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3958F"/>
  <w15:docId w15:val="{7D03863E-6E6C-4DDD-90DC-8193D900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EC7"/>
    <w:pPr>
      <w:spacing w:line="480" w:lineRule="auto"/>
      <w:jc w:val="both"/>
    </w:pPr>
    <w:rPr>
      <w:rFonts w:ascii="Times New Roman" w:hAnsi="Times New Roman"/>
      <w:sz w:val="26"/>
      <w:szCs w:val="22"/>
      <w:lang w:val="en-ZA"/>
    </w:rPr>
  </w:style>
  <w:style w:type="paragraph" w:styleId="Heading2">
    <w:name w:val="heading 2"/>
    <w:basedOn w:val="Normal"/>
    <w:next w:val="Normal"/>
    <w:link w:val="Heading2Char"/>
    <w:uiPriority w:val="9"/>
    <w:semiHidden/>
    <w:qFormat/>
    <w:rsid w:val="00274530"/>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next w:val="JUDGMENTCONTINUED"/>
    <w:link w:val="JUDGMENTNUMBEREDChar"/>
    <w:qFormat/>
    <w:rsid w:val="00C63EC7"/>
    <w:pPr>
      <w:numPr>
        <w:numId w:val="1"/>
      </w:numPr>
      <w:spacing w:line="360" w:lineRule="auto"/>
      <w:ind w:left="0" w:firstLine="0"/>
    </w:pPr>
  </w:style>
  <w:style w:type="paragraph" w:customStyle="1" w:styleId="JUDGMENTCONTINUED">
    <w:name w:val="JUDGMENT CONTINUED"/>
    <w:basedOn w:val="JUDGMENTNUMBERED"/>
    <w:next w:val="JUDGMENTNUMBERED"/>
    <w:qFormat/>
    <w:rsid w:val="00C63EC7"/>
    <w:pPr>
      <w:numPr>
        <w:numId w:val="0"/>
      </w:numPr>
    </w:pPr>
  </w:style>
  <w:style w:type="paragraph" w:customStyle="1" w:styleId="QUOTATION">
    <w:name w:val="QUOTATION"/>
    <w:basedOn w:val="Normal"/>
    <w:next w:val="JUDGMENTCONTINUED"/>
    <w:qFormat/>
    <w:rsid w:val="00C63EC7"/>
    <w:pPr>
      <w:spacing w:line="360" w:lineRule="auto"/>
      <w:ind w:left="720" w:right="720"/>
    </w:pPr>
    <w:rPr>
      <w:sz w:val="22"/>
    </w:rPr>
  </w:style>
  <w:style w:type="paragraph" w:customStyle="1" w:styleId="QUOTEINQUOTE">
    <w:name w:val="QUOTE IN QUOTE"/>
    <w:basedOn w:val="QUOTATION"/>
    <w:next w:val="QUOTATION"/>
    <w:qFormat/>
    <w:rsid w:val="00C63EC7"/>
    <w:pPr>
      <w:ind w:left="1440" w:right="1440"/>
    </w:pPr>
  </w:style>
  <w:style w:type="paragraph" w:customStyle="1" w:styleId="FootnoteText1">
    <w:name w:val="Footnote Text1"/>
    <w:basedOn w:val="Normal"/>
    <w:qFormat/>
    <w:rsid w:val="00C63EC7"/>
    <w:pPr>
      <w:spacing w:after="120" w:line="240" w:lineRule="auto"/>
    </w:pPr>
    <w:rPr>
      <w:sz w:val="20"/>
    </w:rPr>
  </w:style>
  <w:style w:type="paragraph" w:styleId="ListParagraph">
    <w:name w:val="List Paragraph"/>
    <w:basedOn w:val="Normal"/>
    <w:uiPriority w:val="34"/>
    <w:semiHidden/>
    <w:qFormat/>
    <w:rsid w:val="00C63EC7"/>
    <w:pPr>
      <w:ind w:left="720"/>
      <w:contextualSpacing/>
    </w:pPr>
  </w:style>
  <w:style w:type="paragraph" w:styleId="FootnoteText">
    <w:name w:val="footnote text"/>
    <w:basedOn w:val="FootnoteText1"/>
    <w:link w:val="FootnoteTextChar"/>
    <w:unhideWhenUsed/>
    <w:rsid w:val="00CB63EA"/>
  </w:style>
  <w:style w:type="character" w:customStyle="1" w:styleId="FootnoteTextChar">
    <w:name w:val="Footnote Text Char"/>
    <w:basedOn w:val="DefaultParagraphFont"/>
    <w:link w:val="FootnoteText"/>
    <w:rsid w:val="00CB63EA"/>
    <w:rPr>
      <w:rFonts w:ascii="Times New Roman" w:hAnsi="Times New Roman"/>
      <w:szCs w:val="22"/>
      <w:lang w:val="en-ZA"/>
    </w:rPr>
  </w:style>
  <w:style w:type="character" w:styleId="FootnoteReference">
    <w:name w:val="footnote reference"/>
    <w:basedOn w:val="DefaultParagraphFont"/>
    <w:semiHidden/>
    <w:unhideWhenUsed/>
    <w:rsid w:val="00E4607C"/>
    <w:rPr>
      <w:vertAlign w:val="superscript"/>
    </w:rPr>
  </w:style>
  <w:style w:type="paragraph" w:customStyle="1" w:styleId="QUOTEINFOOTNOTE">
    <w:name w:val="QUOTE IN FOOTNOTE"/>
    <w:basedOn w:val="FootnoteText1"/>
    <w:next w:val="FootnoteText1"/>
    <w:qFormat/>
    <w:rsid w:val="00C63EC7"/>
    <w:pPr>
      <w:ind w:left="720" w:right="720"/>
    </w:pPr>
  </w:style>
  <w:style w:type="paragraph" w:styleId="Header">
    <w:name w:val="header"/>
    <w:basedOn w:val="Normal"/>
    <w:link w:val="HeaderChar"/>
    <w:unhideWhenUsed/>
    <w:rsid w:val="008C727F"/>
    <w:pPr>
      <w:tabs>
        <w:tab w:val="center" w:pos="4680"/>
        <w:tab w:val="right" w:pos="9360"/>
      </w:tabs>
      <w:spacing w:line="240" w:lineRule="auto"/>
    </w:pPr>
  </w:style>
  <w:style w:type="character" w:customStyle="1" w:styleId="HeaderChar">
    <w:name w:val="Header Char"/>
    <w:basedOn w:val="DefaultParagraphFont"/>
    <w:link w:val="Header"/>
    <w:uiPriority w:val="99"/>
    <w:rsid w:val="008C727F"/>
    <w:rPr>
      <w:rFonts w:ascii="Times New Roman" w:hAnsi="Times New Roman"/>
      <w:sz w:val="26"/>
    </w:rPr>
  </w:style>
  <w:style w:type="paragraph" w:styleId="Footer">
    <w:name w:val="footer"/>
    <w:basedOn w:val="Normal"/>
    <w:link w:val="FooterChar"/>
    <w:unhideWhenUsed/>
    <w:rsid w:val="008C727F"/>
    <w:pPr>
      <w:tabs>
        <w:tab w:val="center" w:pos="4680"/>
        <w:tab w:val="right" w:pos="9360"/>
      </w:tabs>
      <w:spacing w:line="240" w:lineRule="auto"/>
    </w:pPr>
  </w:style>
  <w:style w:type="character" w:customStyle="1" w:styleId="FooterChar">
    <w:name w:val="Footer Char"/>
    <w:basedOn w:val="DefaultParagraphFont"/>
    <w:link w:val="Footer"/>
    <w:uiPriority w:val="99"/>
    <w:rsid w:val="008C727F"/>
    <w:rPr>
      <w:rFonts w:ascii="Times New Roman" w:hAnsi="Times New Roman"/>
      <w:sz w:val="26"/>
    </w:rPr>
  </w:style>
  <w:style w:type="paragraph" w:styleId="BalloonText">
    <w:name w:val="Balloon Text"/>
    <w:basedOn w:val="Normal"/>
    <w:link w:val="BalloonTextChar"/>
    <w:uiPriority w:val="99"/>
    <w:semiHidden/>
    <w:unhideWhenUsed/>
    <w:rsid w:val="008C72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27F"/>
    <w:rPr>
      <w:rFonts w:ascii="Tahoma" w:hAnsi="Tahoma" w:cs="Tahoma"/>
      <w:sz w:val="16"/>
      <w:szCs w:val="16"/>
    </w:rPr>
  </w:style>
  <w:style w:type="paragraph" w:styleId="DocumentMap">
    <w:name w:val="Document Map"/>
    <w:basedOn w:val="Normal"/>
    <w:link w:val="DocumentMapChar"/>
    <w:semiHidden/>
    <w:rsid w:val="00860C4E"/>
    <w:pPr>
      <w:shd w:val="clear" w:color="auto" w:fill="000080"/>
      <w:spacing w:line="240" w:lineRule="auto"/>
    </w:pPr>
    <w:rPr>
      <w:rFonts w:ascii="Tahoma" w:eastAsia="Times New Roman" w:hAnsi="Tahoma" w:cs="Tahoma"/>
      <w:szCs w:val="24"/>
      <w:lang w:eastAsia="en-ZA"/>
    </w:rPr>
  </w:style>
  <w:style w:type="character" w:customStyle="1" w:styleId="DocumentMapChar">
    <w:name w:val="Document Map Char"/>
    <w:basedOn w:val="DefaultParagraphFont"/>
    <w:link w:val="DocumentMap"/>
    <w:semiHidden/>
    <w:rsid w:val="00860C4E"/>
    <w:rPr>
      <w:rFonts w:ascii="Tahoma" w:eastAsia="Times New Roman" w:hAnsi="Tahoma" w:cs="Tahoma"/>
      <w:sz w:val="26"/>
      <w:szCs w:val="24"/>
      <w:shd w:val="clear" w:color="auto" w:fill="000080"/>
      <w:lang w:val="en-ZA" w:eastAsia="en-ZA"/>
    </w:rPr>
  </w:style>
  <w:style w:type="character" w:styleId="PageNumber">
    <w:name w:val="page number"/>
    <w:basedOn w:val="DefaultParagraphFont"/>
    <w:rsid w:val="00860C4E"/>
  </w:style>
  <w:style w:type="paragraph" w:customStyle="1" w:styleId="List1">
    <w:name w:val="List1"/>
    <w:basedOn w:val="JUDGMENTNUMBERED"/>
    <w:link w:val="LISTChar"/>
    <w:qFormat/>
    <w:rsid w:val="00C63EC7"/>
    <w:pPr>
      <w:numPr>
        <w:numId w:val="0"/>
      </w:numPr>
      <w:ind w:left="1440" w:hanging="720"/>
    </w:pPr>
  </w:style>
  <w:style w:type="paragraph" w:customStyle="1" w:styleId="HEADING">
    <w:name w:val="HEADING"/>
    <w:basedOn w:val="JUDGMENTNUMBERED"/>
    <w:next w:val="JUDGMENTNUMBERED"/>
    <w:link w:val="HEADINGChar"/>
    <w:qFormat/>
    <w:rsid w:val="00C63EC7"/>
    <w:pPr>
      <w:keepNext/>
      <w:numPr>
        <w:numId w:val="0"/>
      </w:numPr>
      <w:spacing w:after="120"/>
    </w:pPr>
    <w:rPr>
      <w:i/>
    </w:rPr>
  </w:style>
  <w:style w:type="character" w:customStyle="1" w:styleId="JUDGMENTNUMBEREDChar">
    <w:name w:val="JUDGMENT NUMBERED Char"/>
    <w:basedOn w:val="DefaultParagraphFont"/>
    <w:link w:val="JUDGMENTNUMBERED"/>
    <w:rsid w:val="00C63EC7"/>
    <w:rPr>
      <w:rFonts w:ascii="Times New Roman" w:hAnsi="Times New Roman"/>
      <w:sz w:val="26"/>
      <w:szCs w:val="22"/>
      <w:lang w:val="en-ZA"/>
    </w:rPr>
  </w:style>
  <w:style w:type="character" w:customStyle="1" w:styleId="LISTChar">
    <w:name w:val="LIST Char"/>
    <w:basedOn w:val="JUDGMENTNUMBEREDChar"/>
    <w:link w:val="List1"/>
    <w:rsid w:val="00C63EC7"/>
    <w:rPr>
      <w:rFonts w:ascii="Times New Roman" w:hAnsi="Times New Roman"/>
      <w:sz w:val="26"/>
      <w:szCs w:val="22"/>
      <w:lang w:val="en-ZA"/>
    </w:rPr>
  </w:style>
  <w:style w:type="character" w:customStyle="1" w:styleId="HEADINGChar">
    <w:name w:val="HEADING Char"/>
    <w:basedOn w:val="JUDGMENTNUMBEREDChar"/>
    <w:link w:val="HEADING"/>
    <w:rsid w:val="00C63EC7"/>
    <w:rPr>
      <w:rFonts w:ascii="Times New Roman" w:hAnsi="Times New Roman"/>
      <w:i/>
      <w:sz w:val="26"/>
      <w:szCs w:val="22"/>
      <w:lang w:val="en-ZA"/>
    </w:rPr>
  </w:style>
  <w:style w:type="paragraph" w:customStyle="1" w:styleId="COUNSELDETAILS">
    <w:name w:val="COUNSEL DETAILS"/>
    <w:basedOn w:val="Normal"/>
    <w:link w:val="COUNSELDETAILSChar"/>
    <w:rsid w:val="00CC158D"/>
    <w:pPr>
      <w:spacing w:line="240" w:lineRule="auto"/>
    </w:pPr>
    <w:rPr>
      <w:szCs w:val="26"/>
    </w:rPr>
  </w:style>
  <w:style w:type="character" w:customStyle="1" w:styleId="COUNSELDETAILSChar">
    <w:name w:val="COUNSEL DETAILS Char"/>
    <w:basedOn w:val="DefaultParagraphFont"/>
    <w:link w:val="COUNSELDETAILS"/>
    <w:rsid w:val="00CC158D"/>
    <w:rPr>
      <w:rFonts w:ascii="Times New Roman" w:hAnsi="Times New Roman"/>
      <w:sz w:val="26"/>
      <w:szCs w:val="26"/>
      <w:lang w:val="en-ZA"/>
    </w:rPr>
  </w:style>
  <w:style w:type="paragraph" w:customStyle="1" w:styleId="ORDER">
    <w:name w:val="ORDER"/>
    <w:basedOn w:val="JUDGMENTNUMBERED"/>
    <w:link w:val="ORDERChar"/>
    <w:qFormat/>
    <w:rsid w:val="00C63EC7"/>
    <w:pPr>
      <w:numPr>
        <w:numId w:val="0"/>
      </w:numPr>
      <w:ind w:left="1440" w:hanging="720"/>
    </w:pPr>
  </w:style>
  <w:style w:type="character" w:customStyle="1" w:styleId="ORDERChar">
    <w:name w:val="ORDER Char"/>
    <w:basedOn w:val="JUDGMENTNUMBEREDChar"/>
    <w:link w:val="ORDER"/>
    <w:rsid w:val="00C63EC7"/>
    <w:rPr>
      <w:rFonts w:ascii="Times New Roman" w:hAnsi="Times New Roman"/>
      <w:sz w:val="26"/>
      <w:szCs w:val="22"/>
      <w:lang w:val="en-ZA"/>
    </w:rPr>
  </w:style>
  <w:style w:type="paragraph" w:customStyle="1" w:styleId="BODYNON-NUMBERED">
    <w:name w:val="BODY NON-NUMBERED"/>
    <w:basedOn w:val="Normal"/>
    <w:link w:val="BODYNON-NUMBEREDChar"/>
    <w:qFormat/>
    <w:rsid w:val="007B5814"/>
    <w:pPr>
      <w:tabs>
        <w:tab w:val="left" w:pos="680"/>
      </w:tabs>
      <w:spacing w:after="240" w:line="276" w:lineRule="auto"/>
    </w:pPr>
  </w:style>
  <w:style w:type="character" w:customStyle="1" w:styleId="BODYNON-NUMBEREDChar">
    <w:name w:val="BODY NON-NUMBERED Char"/>
    <w:basedOn w:val="DefaultParagraphFont"/>
    <w:link w:val="BODYNON-NUMBERED"/>
    <w:rsid w:val="007B5814"/>
    <w:rPr>
      <w:rFonts w:ascii="Times New Roman" w:hAnsi="Times New Roman"/>
      <w:sz w:val="26"/>
      <w:szCs w:val="22"/>
      <w:lang w:val="en-ZA"/>
    </w:rPr>
  </w:style>
  <w:style w:type="paragraph" w:styleId="NormalWeb">
    <w:name w:val="Normal (Web)"/>
    <w:basedOn w:val="Normal"/>
    <w:uiPriority w:val="99"/>
    <w:unhideWhenUsed/>
    <w:rsid w:val="00845165"/>
    <w:pPr>
      <w:spacing w:line="240" w:lineRule="auto"/>
      <w:jc w:val="left"/>
    </w:pPr>
    <w:rPr>
      <w:rFonts w:eastAsiaTheme="minorHAnsi"/>
      <w:sz w:val="24"/>
      <w:szCs w:val="24"/>
      <w:lang w:eastAsia="en-ZA"/>
    </w:rPr>
  </w:style>
  <w:style w:type="character" w:styleId="Emphasis">
    <w:name w:val="Emphasis"/>
    <w:basedOn w:val="DefaultParagraphFont"/>
    <w:uiPriority w:val="20"/>
    <w:qFormat/>
    <w:rsid w:val="00845165"/>
    <w:rPr>
      <w:i/>
      <w:iCs/>
    </w:rPr>
  </w:style>
  <w:style w:type="character" w:styleId="CommentReference">
    <w:name w:val="annotation reference"/>
    <w:basedOn w:val="DefaultParagraphFont"/>
    <w:uiPriority w:val="99"/>
    <w:semiHidden/>
    <w:unhideWhenUsed/>
    <w:rsid w:val="00016B59"/>
    <w:rPr>
      <w:sz w:val="16"/>
      <w:szCs w:val="16"/>
    </w:rPr>
  </w:style>
  <w:style w:type="paragraph" w:styleId="CommentText">
    <w:name w:val="annotation text"/>
    <w:basedOn w:val="Normal"/>
    <w:link w:val="CommentTextChar"/>
    <w:uiPriority w:val="99"/>
    <w:unhideWhenUsed/>
    <w:rsid w:val="00016B59"/>
    <w:pPr>
      <w:spacing w:line="240" w:lineRule="auto"/>
    </w:pPr>
    <w:rPr>
      <w:sz w:val="20"/>
      <w:szCs w:val="20"/>
    </w:rPr>
  </w:style>
  <w:style w:type="character" w:customStyle="1" w:styleId="CommentTextChar">
    <w:name w:val="Comment Text Char"/>
    <w:basedOn w:val="DefaultParagraphFont"/>
    <w:link w:val="CommentText"/>
    <w:uiPriority w:val="99"/>
    <w:rsid w:val="00016B59"/>
    <w:rPr>
      <w:rFonts w:ascii="Times New Roman" w:hAnsi="Times New Roman"/>
      <w:lang w:val="en-ZA"/>
    </w:rPr>
  </w:style>
  <w:style w:type="paragraph" w:styleId="CommentSubject">
    <w:name w:val="annotation subject"/>
    <w:basedOn w:val="CommentText"/>
    <w:next w:val="CommentText"/>
    <w:link w:val="CommentSubjectChar"/>
    <w:uiPriority w:val="99"/>
    <w:semiHidden/>
    <w:unhideWhenUsed/>
    <w:rsid w:val="00016B59"/>
    <w:rPr>
      <w:b/>
      <w:bCs/>
    </w:rPr>
  </w:style>
  <w:style w:type="character" w:customStyle="1" w:styleId="CommentSubjectChar">
    <w:name w:val="Comment Subject Char"/>
    <w:basedOn w:val="CommentTextChar"/>
    <w:link w:val="CommentSubject"/>
    <w:uiPriority w:val="99"/>
    <w:semiHidden/>
    <w:rsid w:val="00016B59"/>
    <w:rPr>
      <w:rFonts w:ascii="Times New Roman" w:hAnsi="Times New Roman"/>
      <w:b/>
      <w:bCs/>
      <w:lang w:val="en-ZA"/>
    </w:rPr>
  </w:style>
  <w:style w:type="character" w:customStyle="1" w:styleId="Heading2Char">
    <w:name w:val="Heading 2 Char"/>
    <w:basedOn w:val="DefaultParagraphFont"/>
    <w:link w:val="Heading2"/>
    <w:uiPriority w:val="9"/>
    <w:semiHidden/>
    <w:rsid w:val="00274530"/>
    <w:rPr>
      <w:rFonts w:asciiTheme="majorHAnsi" w:eastAsiaTheme="majorEastAsia" w:hAnsiTheme="majorHAnsi" w:cstheme="majorBidi"/>
      <w:b/>
      <w:bCs/>
      <w:color w:val="4F81BD" w:themeColor="accent1"/>
      <w:sz w:val="26"/>
      <w:szCs w:val="26"/>
      <w:lang w:val="en-ZA"/>
    </w:rPr>
  </w:style>
  <w:style w:type="paragraph" w:styleId="Revision">
    <w:name w:val="Revision"/>
    <w:hidden/>
    <w:uiPriority w:val="99"/>
    <w:semiHidden/>
    <w:rsid w:val="005301CA"/>
    <w:rPr>
      <w:rFonts w:ascii="Times New Roman" w:hAnsi="Times New Roman"/>
      <w:sz w:val="26"/>
      <w:szCs w:val="22"/>
      <w:lang w:val="en-ZA"/>
    </w:rPr>
  </w:style>
  <w:style w:type="character" w:styleId="Hyperlink">
    <w:name w:val="Hyperlink"/>
    <w:basedOn w:val="DefaultParagraphFont"/>
    <w:uiPriority w:val="99"/>
    <w:unhideWhenUsed/>
    <w:rsid w:val="00F74B65"/>
    <w:rPr>
      <w:color w:val="0000FF" w:themeColor="hyperlink"/>
      <w:u w:val="single"/>
    </w:rPr>
  </w:style>
  <w:style w:type="character" w:styleId="FollowedHyperlink">
    <w:name w:val="FollowedHyperlink"/>
    <w:basedOn w:val="DefaultParagraphFont"/>
    <w:uiPriority w:val="99"/>
    <w:semiHidden/>
    <w:unhideWhenUsed/>
    <w:rsid w:val="004337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46729">
      <w:bodyDiv w:val="1"/>
      <w:marLeft w:val="0"/>
      <w:marRight w:val="0"/>
      <w:marTop w:val="0"/>
      <w:marBottom w:val="0"/>
      <w:divBdr>
        <w:top w:val="none" w:sz="0" w:space="0" w:color="auto"/>
        <w:left w:val="none" w:sz="0" w:space="0" w:color="auto"/>
        <w:bottom w:val="none" w:sz="0" w:space="0" w:color="auto"/>
        <w:right w:val="none" w:sz="0" w:space="0" w:color="auto"/>
      </w:divBdr>
    </w:div>
    <w:div w:id="540675876">
      <w:bodyDiv w:val="1"/>
      <w:marLeft w:val="0"/>
      <w:marRight w:val="0"/>
      <w:marTop w:val="0"/>
      <w:marBottom w:val="0"/>
      <w:divBdr>
        <w:top w:val="none" w:sz="0" w:space="0" w:color="auto"/>
        <w:left w:val="none" w:sz="0" w:space="0" w:color="auto"/>
        <w:bottom w:val="none" w:sz="0" w:space="0" w:color="auto"/>
        <w:right w:val="none" w:sz="0" w:space="0" w:color="auto"/>
      </w:divBdr>
    </w:div>
    <w:div w:id="744111020">
      <w:bodyDiv w:val="1"/>
      <w:marLeft w:val="0"/>
      <w:marRight w:val="0"/>
      <w:marTop w:val="0"/>
      <w:marBottom w:val="0"/>
      <w:divBdr>
        <w:top w:val="none" w:sz="0" w:space="0" w:color="auto"/>
        <w:left w:val="none" w:sz="0" w:space="0" w:color="auto"/>
        <w:bottom w:val="none" w:sz="0" w:space="0" w:color="auto"/>
        <w:right w:val="none" w:sz="0" w:space="0" w:color="auto"/>
      </w:divBdr>
    </w:div>
    <w:div w:id="766927098">
      <w:bodyDiv w:val="1"/>
      <w:marLeft w:val="0"/>
      <w:marRight w:val="0"/>
      <w:marTop w:val="0"/>
      <w:marBottom w:val="0"/>
      <w:divBdr>
        <w:top w:val="none" w:sz="0" w:space="0" w:color="auto"/>
        <w:left w:val="none" w:sz="0" w:space="0" w:color="auto"/>
        <w:bottom w:val="none" w:sz="0" w:space="0" w:color="auto"/>
        <w:right w:val="none" w:sz="0" w:space="0" w:color="auto"/>
      </w:divBdr>
      <w:divsChild>
        <w:div w:id="7148803">
          <w:marLeft w:val="0"/>
          <w:marRight w:val="0"/>
          <w:marTop w:val="180"/>
          <w:marBottom w:val="0"/>
          <w:divBdr>
            <w:top w:val="none" w:sz="0" w:space="0" w:color="auto"/>
            <w:left w:val="none" w:sz="0" w:space="0" w:color="auto"/>
            <w:bottom w:val="none" w:sz="0" w:space="0" w:color="auto"/>
            <w:right w:val="none" w:sz="0" w:space="0" w:color="auto"/>
          </w:divBdr>
        </w:div>
      </w:divsChild>
    </w:div>
    <w:div w:id="1080450002">
      <w:bodyDiv w:val="1"/>
      <w:marLeft w:val="0"/>
      <w:marRight w:val="0"/>
      <w:marTop w:val="0"/>
      <w:marBottom w:val="0"/>
      <w:divBdr>
        <w:top w:val="none" w:sz="0" w:space="0" w:color="auto"/>
        <w:left w:val="none" w:sz="0" w:space="0" w:color="auto"/>
        <w:bottom w:val="none" w:sz="0" w:space="0" w:color="auto"/>
        <w:right w:val="none" w:sz="0" w:space="0" w:color="auto"/>
      </w:divBdr>
    </w:div>
    <w:div w:id="1238368580">
      <w:bodyDiv w:val="1"/>
      <w:marLeft w:val="0"/>
      <w:marRight w:val="0"/>
      <w:marTop w:val="0"/>
      <w:marBottom w:val="0"/>
      <w:divBdr>
        <w:top w:val="none" w:sz="0" w:space="0" w:color="auto"/>
        <w:left w:val="none" w:sz="0" w:space="0" w:color="auto"/>
        <w:bottom w:val="none" w:sz="0" w:space="0" w:color="auto"/>
        <w:right w:val="none" w:sz="0" w:space="0" w:color="auto"/>
      </w:divBdr>
    </w:div>
    <w:div w:id="1414624926">
      <w:bodyDiv w:val="1"/>
      <w:marLeft w:val="0"/>
      <w:marRight w:val="0"/>
      <w:marTop w:val="0"/>
      <w:marBottom w:val="0"/>
      <w:divBdr>
        <w:top w:val="none" w:sz="0" w:space="0" w:color="auto"/>
        <w:left w:val="none" w:sz="0" w:space="0" w:color="auto"/>
        <w:bottom w:val="none" w:sz="0" w:space="0" w:color="auto"/>
        <w:right w:val="none" w:sz="0" w:space="0" w:color="auto"/>
      </w:divBdr>
    </w:div>
    <w:div w:id="1508591132">
      <w:bodyDiv w:val="1"/>
      <w:marLeft w:val="0"/>
      <w:marRight w:val="0"/>
      <w:marTop w:val="0"/>
      <w:marBottom w:val="0"/>
      <w:divBdr>
        <w:top w:val="none" w:sz="0" w:space="0" w:color="auto"/>
        <w:left w:val="none" w:sz="0" w:space="0" w:color="auto"/>
        <w:bottom w:val="none" w:sz="0" w:space="0" w:color="auto"/>
        <w:right w:val="none" w:sz="0" w:space="0" w:color="auto"/>
      </w:divBdr>
    </w:div>
    <w:div w:id="1853448983">
      <w:bodyDiv w:val="1"/>
      <w:marLeft w:val="0"/>
      <w:marRight w:val="0"/>
      <w:marTop w:val="0"/>
      <w:marBottom w:val="0"/>
      <w:divBdr>
        <w:top w:val="none" w:sz="0" w:space="0" w:color="auto"/>
        <w:left w:val="none" w:sz="0" w:space="0" w:color="auto"/>
        <w:bottom w:val="none" w:sz="0" w:space="0" w:color="auto"/>
        <w:right w:val="none" w:sz="0" w:space="0" w:color="auto"/>
      </w:divBdr>
    </w:div>
    <w:div w:id="20334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1C05D-CF17-4543-9096-6C0F2AC60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3245</Words>
  <Characters>18499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 Mhlantla</dc:creator>
  <cp:lastModifiedBy>Muano Nemavhidi</cp:lastModifiedBy>
  <cp:revision>3</cp:revision>
  <cp:lastPrinted>2021-06-22T07:55:00Z</cp:lastPrinted>
  <dcterms:created xsi:type="dcterms:W3CDTF">2021-06-22T07:54:00Z</dcterms:created>
  <dcterms:modified xsi:type="dcterms:W3CDTF">2021-06-22T07:58:00Z</dcterms:modified>
</cp:coreProperties>
</file>