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97A2" w14:textId="77777777" w:rsidR="00053A1E" w:rsidRDefault="00053A1E" w:rsidP="006C071C">
      <w:pPr>
        <w:spacing w:line="240" w:lineRule="auto"/>
        <w:jc w:val="center"/>
        <w:outlineLvl w:val="0"/>
      </w:pPr>
      <w:r w:rsidRPr="0003374F">
        <w:rPr>
          <w:b/>
          <w:bCs/>
          <w:noProof/>
          <w:color w:val="1F497D"/>
          <w:lang w:eastAsia="en-ZA"/>
        </w:rPr>
        <w:drawing>
          <wp:inline distT="0" distB="0" distL="0" distR="0" wp14:anchorId="10019461" wp14:editId="27A5FE3F">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64A3F5D8" w14:textId="77777777" w:rsidR="00053A1E" w:rsidRDefault="00053A1E" w:rsidP="006C071C">
      <w:pPr>
        <w:spacing w:line="240" w:lineRule="auto"/>
        <w:jc w:val="center"/>
        <w:outlineLvl w:val="0"/>
      </w:pPr>
    </w:p>
    <w:p w14:paraId="011B5110" w14:textId="77777777" w:rsidR="00053A1E" w:rsidRPr="00271C49" w:rsidRDefault="00053A1E" w:rsidP="006C071C">
      <w:pPr>
        <w:spacing w:line="240" w:lineRule="auto"/>
        <w:jc w:val="center"/>
        <w:outlineLvl w:val="0"/>
        <w:rPr>
          <w:b/>
        </w:rPr>
      </w:pPr>
      <w:r w:rsidRPr="00271C49">
        <w:rPr>
          <w:b/>
        </w:rPr>
        <w:t>CONSTITUTIONAL COURT OF SOUTH AFRICA</w:t>
      </w:r>
    </w:p>
    <w:p w14:paraId="167BE22C" w14:textId="77777777" w:rsidR="003A18CF" w:rsidRDefault="003A18CF" w:rsidP="006C071C">
      <w:pPr>
        <w:spacing w:line="240" w:lineRule="auto"/>
      </w:pPr>
    </w:p>
    <w:p w14:paraId="29A07B0B" w14:textId="77777777" w:rsidR="003A18CF" w:rsidRPr="009C3888" w:rsidRDefault="003A18CF" w:rsidP="006C071C">
      <w:pPr>
        <w:spacing w:line="240" w:lineRule="auto"/>
      </w:pPr>
    </w:p>
    <w:p w14:paraId="0C9D0C4C" w14:textId="2E7EF8C7" w:rsidR="003A18CF" w:rsidRPr="00961263" w:rsidRDefault="00F12A1B" w:rsidP="006C071C">
      <w:pPr>
        <w:tabs>
          <w:tab w:val="right" w:pos="9027"/>
          <w:tab w:val="right" w:pos="9310"/>
        </w:tabs>
        <w:spacing w:line="240" w:lineRule="auto"/>
      </w:pPr>
      <w:r>
        <w:tab/>
      </w:r>
      <w:r w:rsidR="003A18CF" w:rsidRPr="00961263">
        <w:t xml:space="preserve">Case CCT </w:t>
      </w:r>
      <w:r w:rsidR="00024BF2">
        <w:t>3</w:t>
      </w:r>
      <w:r w:rsidR="001F37E1">
        <w:t>0</w:t>
      </w:r>
      <w:r w:rsidR="00024BF2">
        <w:t>4</w:t>
      </w:r>
      <w:r w:rsidR="001062BC">
        <w:t>/20</w:t>
      </w:r>
    </w:p>
    <w:p w14:paraId="1DCA9C1A" w14:textId="52EACC1F" w:rsidR="00276289" w:rsidRPr="00276289" w:rsidRDefault="00276289" w:rsidP="006C071C">
      <w:pPr>
        <w:tabs>
          <w:tab w:val="right" w:pos="9029"/>
        </w:tabs>
        <w:spacing w:line="240" w:lineRule="auto"/>
        <w:rPr>
          <w:szCs w:val="26"/>
        </w:rPr>
      </w:pPr>
    </w:p>
    <w:p w14:paraId="00D346A6" w14:textId="77777777" w:rsidR="00276289" w:rsidRPr="00276289" w:rsidRDefault="00276289" w:rsidP="006C071C">
      <w:pPr>
        <w:tabs>
          <w:tab w:val="right" w:pos="9029"/>
        </w:tabs>
        <w:spacing w:line="240" w:lineRule="auto"/>
        <w:rPr>
          <w:szCs w:val="26"/>
        </w:rPr>
      </w:pPr>
      <w:r w:rsidRPr="00276289">
        <w:rPr>
          <w:szCs w:val="26"/>
        </w:rPr>
        <w:t>In the matter between:</w:t>
      </w:r>
    </w:p>
    <w:p w14:paraId="444A006F" w14:textId="044C5F8B" w:rsidR="00276289" w:rsidRDefault="00276289" w:rsidP="006C071C">
      <w:pPr>
        <w:tabs>
          <w:tab w:val="right" w:pos="9029"/>
        </w:tabs>
        <w:spacing w:line="240" w:lineRule="auto"/>
        <w:rPr>
          <w:szCs w:val="26"/>
        </w:rPr>
      </w:pPr>
    </w:p>
    <w:p w14:paraId="00F9FF96" w14:textId="77777777" w:rsidR="00487517" w:rsidRPr="00276289" w:rsidRDefault="00487517" w:rsidP="006C071C">
      <w:pPr>
        <w:tabs>
          <w:tab w:val="right" w:pos="9029"/>
        </w:tabs>
        <w:spacing w:line="240" w:lineRule="auto"/>
        <w:rPr>
          <w:szCs w:val="26"/>
        </w:rPr>
      </w:pPr>
    </w:p>
    <w:p w14:paraId="1E798213" w14:textId="5CFBE669" w:rsidR="00655B78" w:rsidRDefault="00655B78" w:rsidP="006C071C">
      <w:pPr>
        <w:tabs>
          <w:tab w:val="right" w:pos="9029"/>
        </w:tabs>
        <w:spacing w:line="240" w:lineRule="auto"/>
        <w:rPr>
          <w:b/>
          <w:szCs w:val="26"/>
        </w:rPr>
      </w:pPr>
      <w:r>
        <w:rPr>
          <w:b/>
          <w:szCs w:val="26"/>
        </w:rPr>
        <w:t>MEMBER OF THE EXECUTIVE COUNCIL</w:t>
      </w:r>
      <w:r w:rsidR="00F12A1B">
        <w:rPr>
          <w:b/>
          <w:szCs w:val="26"/>
        </w:rPr>
        <w:t xml:space="preserve"> FOR</w:t>
      </w:r>
    </w:p>
    <w:p w14:paraId="367FD6A3" w14:textId="62C0BF6F" w:rsidR="00655B78" w:rsidRDefault="00655B78" w:rsidP="006C071C">
      <w:pPr>
        <w:tabs>
          <w:tab w:val="right" w:pos="9029"/>
        </w:tabs>
        <w:spacing w:line="240" w:lineRule="auto"/>
        <w:rPr>
          <w:b/>
          <w:szCs w:val="26"/>
        </w:rPr>
      </w:pPr>
      <w:r>
        <w:rPr>
          <w:b/>
          <w:szCs w:val="26"/>
        </w:rPr>
        <w:t>THE DEPARTMENT OF COOPERATIVE</w:t>
      </w:r>
    </w:p>
    <w:p w14:paraId="615A0CD8" w14:textId="4739F633" w:rsidR="00655B78" w:rsidRDefault="00F12A1B" w:rsidP="006C071C">
      <w:pPr>
        <w:tabs>
          <w:tab w:val="right" w:pos="9029"/>
        </w:tabs>
        <w:spacing w:line="240" w:lineRule="auto"/>
        <w:rPr>
          <w:b/>
          <w:szCs w:val="26"/>
        </w:rPr>
      </w:pPr>
      <w:r>
        <w:rPr>
          <w:b/>
          <w:szCs w:val="26"/>
        </w:rPr>
        <w:t>GOVERNANCE AND TRADITIONAL</w:t>
      </w:r>
    </w:p>
    <w:p w14:paraId="6D79E476" w14:textId="2F63A1D9" w:rsidR="00056F0C" w:rsidRPr="00F12A1B" w:rsidRDefault="00655B78" w:rsidP="006C071C">
      <w:pPr>
        <w:tabs>
          <w:tab w:val="right" w:pos="9029"/>
        </w:tabs>
        <w:spacing w:line="240" w:lineRule="auto"/>
        <w:rPr>
          <w:szCs w:val="26"/>
        </w:rPr>
      </w:pPr>
      <w:r>
        <w:rPr>
          <w:b/>
          <w:szCs w:val="26"/>
        </w:rPr>
        <w:t>AFFAIRS, KWAZULU-NATAL</w:t>
      </w:r>
      <w:r w:rsidR="00F12A1B">
        <w:rPr>
          <w:b/>
          <w:szCs w:val="26"/>
        </w:rPr>
        <w:tab/>
      </w:r>
      <w:r w:rsidR="00F12A1B" w:rsidRPr="00655B78">
        <w:rPr>
          <w:szCs w:val="26"/>
        </w:rPr>
        <w:t>Applicant</w:t>
      </w:r>
    </w:p>
    <w:p w14:paraId="07FC4AAD" w14:textId="77777777" w:rsidR="00655B78" w:rsidRDefault="00655B78" w:rsidP="006C071C">
      <w:pPr>
        <w:tabs>
          <w:tab w:val="right" w:pos="9029"/>
        </w:tabs>
        <w:spacing w:line="240" w:lineRule="auto"/>
        <w:rPr>
          <w:bCs/>
          <w:szCs w:val="26"/>
        </w:rPr>
      </w:pPr>
    </w:p>
    <w:p w14:paraId="0D9C64E1" w14:textId="711387B9" w:rsidR="00056F0C" w:rsidRDefault="001A50C4" w:rsidP="006C071C">
      <w:pPr>
        <w:tabs>
          <w:tab w:val="right" w:pos="9029"/>
        </w:tabs>
        <w:spacing w:line="240" w:lineRule="auto"/>
        <w:rPr>
          <w:bCs/>
          <w:szCs w:val="26"/>
        </w:rPr>
      </w:pPr>
      <w:r>
        <w:rPr>
          <w:bCs/>
          <w:szCs w:val="26"/>
        </w:rPr>
        <w:t>and</w:t>
      </w:r>
    </w:p>
    <w:p w14:paraId="5C25CCB6" w14:textId="26AA68CE" w:rsidR="00650BD0" w:rsidRDefault="00650BD0" w:rsidP="006C071C">
      <w:pPr>
        <w:tabs>
          <w:tab w:val="left" w:pos="3420"/>
        </w:tabs>
        <w:spacing w:line="240" w:lineRule="auto"/>
        <w:rPr>
          <w:bCs/>
          <w:szCs w:val="26"/>
        </w:rPr>
      </w:pPr>
    </w:p>
    <w:p w14:paraId="312B3A9C" w14:textId="42AE5E80" w:rsidR="00650BD0" w:rsidRDefault="00650BD0" w:rsidP="006C071C">
      <w:pPr>
        <w:tabs>
          <w:tab w:val="right" w:pos="9029"/>
        </w:tabs>
        <w:spacing w:line="240" w:lineRule="auto"/>
        <w:rPr>
          <w:bCs/>
          <w:szCs w:val="26"/>
        </w:rPr>
      </w:pPr>
      <w:r w:rsidRPr="00AD4AD0">
        <w:rPr>
          <w:b/>
          <w:bCs/>
          <w:szCs w:val="26"/>
        </w:rPr>
        <w:t>NKANDLA LOCAL MUNICIPALITY</w:t>
      </w:r>
      <w:r w:rsidR="00F12A1B">
        <w:rPr>
          <w:bCs/>
          <w:szCs w:val="26"/>
        </w:rPr>
        <w:tab/>
      </w:r>
      <w:r>
        <w:rPr>
          <w:bCs/>
          <w:szCs w:val="26"/>
        </w:rPr>
        <w:t>First Respondent</w:t>
      </w:r>
    </w:p>
    <w:p w14:paraId="62743A00" w14:textId="77777777" w:rsidR="00650BD0" w:rsidRDefault="00650BD0" w:rsidP="006C071C">
      <w:pPr>
        <w:tabs>
          <w:tab w:val="right" w:pos="9029"/>
        </w:tabs>
        <w:spacing w:line="240" w:lineRule="auto"/>
        <w:rPr>
          <w:bCs/>
          <w:szCs w:val="26"/>
        </w:rPr>
      </w:pPr>
    </w:p>
    <w:p w14:paraId="1FE20F35" w14:textId="538E66FB" w:rsidR="00650BD0" w:rsidRPr="00AD4AD0" w:rsidRDefault="001A50C4" w:rsidP="006C071C">
      <w:pPr>
        <w:tabs>
          <w:tab w:val="right" w:pos="9029"/>
        </w:tabs>
        <w:spacing w:line="240" w:lineRule="auto"/>
        <w:rPr>
          <w:b/>
          <w:bCs/>
          <w:szCs w:val="26"/>
        </w:rPr>
      </w:pPr>
      <w:r>
        <w:rPr>
          <w:b/>
          <w:bCs/>
          <w:szCs w:val="26"/>
        </w:rPr>
        <w:t>COUNCIL OF THE NKANDLA</w:t>
      </w:r>
    </w:p>
    <w:p w14:paraId="3E6E2BBC" w14:textId="1FF6921C" w:rsidR="00650BD0" w:rsidRDefault="00650BD0" w:rsidP="006C071C">
      <w:pPr>
        <w:tabs>
          <w:tab w:val="right" w:pos="9029"/>
        </w:tabs>
        <w:spacing w:line="240" w:lineRule="auto"/>
        <w:rPr>
          <w:bCs/>
          <w:szCs w:val="26"/>
        </w:rPr>
      </w:pPr>
      <w:r w:rsidRPr="00AD4AD0">
        <w:rPr>
          <w:b/>
          <w:bCs/>
          <w:szCs w:val="26"/>
        </w:rPr>
        <w:t>MUNICIPALITY</w:t>
      </w:r>
      <w:r w:rsidR="00F12A1B">
        <w:rPr>
          <w:b/>
          <w:bCs/>
          <w:szCs w:val="26"/>
        </w:rPr>
        <w:tab/>
      </w:r>
      <w:r>
        <w:rPr>
          <w:bCs/>
          <w:szCs w:val="26"/>
        </w:rPr>
        <w:t>Second Respondent</w:t>
      </w:r>
    </w:p>
    <w:p w14:paraId="2390B014" w14:textId="77777777" w:rsidR="00650BD0" w:rsidRDefault="00650BD0" w:rsidP="006C071C">
      <w:pPr>
        <w:tabs>
          <w:tab w:val="right" w:pos="9029"/>
        </w:tabs>
        <w:spacing w:line="240" w:lineRule="auto"/>
        <w:rPr>
          <w:bCs/>
          <w:szCs w:val="26"/>
        </w:rPr>
      </w:pPr>
    </w:p>
    <w:p w14:paraId="2177149D" w14:textId="28CCAA28" w:rsidR="00650BD0" w:rsidRDefault="00D268D9" w:rsidP="006C071C">
      <w:pPr>
        <w:tabs>
          <w:tab w:val="right" w:pos="9029"/>
        </w:tabs>
        <w:spacing w:line="240" w:lineRule="auto"/>
        <w:rPr>
          <w:bCs/>
          <w:szCs w:val="26"/>
        </w:rPr>
      </w:pPr>
      <w:r>
        <w:rPr>
          <w:b/>
          <w:bCs/>
          <w:szCs w:val="26"/>
        </w:rPr>
        <w:t>LANG</w:t>
      </w:r>
      <w:r w:rsidR="00650BD0" w:rsidRPr="00AD4AD0">
        <w:rPr>
          <w:b/>
          <w:bCs/>
          <w:szCs w:val="26"/>
        </w:rPr>
        <w:t>ELIHLE SIPHIWOKUHLE JILI</w:t>
      </w:r>
      <w:r w:rsidR="00F12A1B">
        <w:rPr>
          <w:bCs/>
          <w:szCs w:val="26"/>
        </w:rPr>
        <w:tab/>
      </w:r>
      <w:r w:rsidR="00DE0ED8">
        <w:rPr>
          <w:bCs/>
          <w:szCs w:val="26"/>
        </w:rPr>
        <w:t>Third Respondent</w:t>
      </w:r>
    </w:p>
    <w:p w14:paraId="0CCDB46C" w14:textId="77777777" w:rsidR="00650BD0" w:rsidRPr="00650BD0" w:rsidRDefault="00650BD0" w:rsidP="006C071C">
      <w:pPr>
        <w:tabs>
          <w:tab w:val="right" w:pos="9029"/>
        </w:tabs>
        <w:spacing w:line="240" w:lineRule="auto"/>
        <w:rPr>
          <w:bCs/>
          <w:szCs w:val="26"/>
        </w:rPr>
      </w:pPr>
    </w:p>
    <w:p w14:paraId="7439787C" w14:textId="218D6384" w:rsidR="00650BD0" w:rsidRPr="00F12A1B" w:rsidRDefault="001A50C4" w:rsidP="006C071C">
      <w:pPr>
        <w:tabs>
          <w:tab w:val="right" w:pos="9029"/>
        </w:tabs>
        <w:spacing w:line="240" w:lineRule="auto"/>
        <w:rPr>
          <w:bCs/>
          <w:szCs w:val="26"/>
        </w:rPr>
      </w:pPr>
      <w:r>
        <w:rPr>
          <w:b/>
          <w:bCs/>
          <w:szCs w:val="26"/>
        </w:rPr>
        <w:t>MTHONJANENI LOCAL</w:t>
      </w:r>
      <w:r w:rsidR="00F12A1B">
        <w:rPr>
          <w:b/>
          <w:bCs/>
          <w:szCs w:val="26"/>
        </w:rPr>
        <w:t xml:space="preserve"> </w:t>
      </w:r>
      <w:r w:rsidR="00F12A1B" w:rsidRPr="00AD4AD0">
        <w:rPr>
          <w:b/>
          <w:bCs/>
          <w:szCs w:val="26"/>
        </w:rPr>
        <w:t>MUNICIPALITY</w:t>
      </w:r>
      <w:r w:rsidR="00F12A1B">
        <w:rPr>
          <w:b/>
          <w:bCs/>
          <w:szCs w:val="26"/>
        </w:rPr>
        <w:tab/>
      </w:r>
      <w:r w:rsidR="00F12A1B">
        <w:rPr>
          <w:bCs/>
          <w:szCs w:val="26"/>
        </w:rPr>
        <w:t>Fourth Respondent</w:t>
      </w:r>
    </w:p>
    <w:p w14:paraId="5BD01412" w14:textId="77777777" w:rsidR="00650BD0" w:rsidRDefault="00650BD0" w:rsidP="006C071C">
      <w:pPr>
        <w:tabs>
          <w:tab w:val="right" w:pos="9029"/>
        </w:tabs>
        <w:spacing w:line="240" w:lineRule="auto"/>
        <w:rPr>
          <w:bCs/>
          <w:szCs w:val="26"/>
        </w:rPr>
      </w:pPr>
    </w:p>
    <w:p w14:paraId="589EED73" w14:textId="32CCE15B" w:rsidR="00650BD0" w:rsidRPr="00AD4AD0" w:rsidRDefault="00650BD0" w:rsidP="006C071C">
      <w:pPr>
        <w:tabs>
          <w:tab w:val="right" w:pos="9029"/>
        </w:tabs>
        <w:spacing w:line="240" w:lineRule="auto"/>
        <w:rPr>
          <w:b/>
          <w:bCs/>
          <w:szCs w:val="26"/>
        </w:rPr>
      </w:pPr>
      <w:r w:rsidRPr="00AD4AD0">
        <w:rPr>
          <w:b/>
          <w:bCs/>
          <w:szCs w:val="26"/>
        </w:rPr>
        <w:t>COUNCIL OF THE MTHONJANENI</w:t>
      </w:r>
    </w:p>
    <w:p w14:paraId="640838BB" w14:textId="24BC4C9E" w:rsidR="00650BD0" w:rsidRDefault="00650BD0" w:rsidP="006C071C">
      <w:pPr>
        <w:tabs>
          <w:tab w:val="right" w:pos="9029"/>
        </w:tabs>
        <w:spacing w:line="240" w:lineRule="auto"/>
        <w:rPr>
          <w:bCs/>
          <w:szCs w:val="26"/>
        </w:rPr>
      </w:pPr>
      <w:r w:rsidRPr="00AD4AD0">
        <w:rPr>
          <w:b/>
          <w:bCs/>
          <w:szCs w:val="26"/>
        </w:rPr>
        <w:t>MUNICIPALITY</w:t>
      </w:r>
      <w:r w:rsidR="00F12A1B">
        <w:rPr>
          <w:b/>
          <w:bCs/>
          <w:szCs w:val="26"/>
        </w:rPr>
        <w:tab/>
      </w:r>
      <w:r>
        <w:rPr>
          <w:bCs/>
          <w:szCs w:val="26"/>
        </w:rPr>
        <w:t>Fifth Respondent</w:t>
      </w:r>
    </w:p>
    <w:p w14:paraId="2A75439D" w14:textId="77777777" w:rsidR="00650BD0" w:rsidRDefault="00650BD0" w:rsidP="006C071C">
      <w:pPr>
        <w:tabs>
          <w:tab w:val="right" w:pos="9029"/>
        </w:tabs>
        <w:spacing w:line="240" w:lineRule="auto"/>
        <w:rPr>
          <w:bCs/>
          <w:szCs w:val="26"/>
        </w:rPr>
      </w:pPr>
    </w:p>
    <w:p w14:paraId="6FAFA42A" w14:textId="4573B865" w:rsidR="00650BD0" w:rsidRPr="00F12A1B" w:rsidRDefault="00650BD0" w:rsidP="006C071C">
      <w:pPr>
        <w:tabs>
          <w:tab w:val="right" w:pos="9029"/>
        </w:tabs>
        <w:spacing w:line="240" w:lineRule="auto"/>
        <w:rPr>
          <w:bCs/>
          <w:szCs w:val="26"/>
        </w:rPr>
      </w:pPr>
      <w:r w:rsidRPr="00AD4AD0">
        <w:rPr>
          <w:b/>
          <w:bCs/>
          <w:szCs w:val="26"/>
        </w:rPr>
        <w:t>PHILANI PHILEMON SIBIYA</w:t>
      </w:r>
      <w:r w:rsidR="00F12A1B">
        <w:rPr>
          <w:b/>
          <w:bCs/>
          <w:szCs w:val="26"/>
        </w:rPr>
        <w:tab/>
      </w:r>
      <w:r>
        <w:rPr>
          <w:bCs/>
          <w:szCs w:val="26"/>
        </w:rPr>
        <w:t>Sixth</w:t>
      </w:r>
      <w:r w:rsidRPr="00AD4AD0">
        <w:rPr>
          <w:bCs/>
          <w:szCs w:val="26"/>
        </w:rPr>
        <w:t xml:space="preserve"> Respondent</w:t>
      </w:r>
    </w:p>
    <w:p w14:paraId="634778A5" w14:textId="77777777" w:rsidR="000F4B64" w:rsidRDefault="000F4B64" w:rsidP="006C071C">
      <w:pPr>
        <w:tabs>
          <w:tab w:val="right" w:pos="9029"/>
        </w:tabs>
        <w:spacing w:line="240" w:lineRule="auto"/>
        <w:rPr>
          <w:szCs w:val="26"/>
        </w:rPr>
      </w:pPr>
    </w:p>
    <w:p w14:paraId="2507EF2F" w14:textId="0B823EC3" w:rsidR="003A18CF" w:rsidRDefault="003A18CF" w:rsidP="006C071C">
      <w:pPr>
        <w:spacing w:line="240" w:lineRule="auto"/>
      </w:pPr>
    </w:p>
    <w:p w14:paraId="1EAE8354" w14:textId="77777777" w:rsidR="00A77AC7" w:rsidRPr="009C3888" w:rsidRDefault="00A77AC7" w:rsidP="006C071C">
      <w:pPr>
        <w:spacing w:line="240" w:lineRule="auto"/>
      </w:pPr>
    </w:p>
    <w:p w14:paraId="3C6F99F1" w14:textId="7270ECF6" w:rsidR="003A18CF" w:rsidRPr="00F05BBD" w:rsidRDefault="003A18CF" w:rsidP="006C071C">
      <w:pPr>
        <w:spacing w:line="240" w:lineRule="auto"/>
        <w:ind w:left="2160" w:hanging="2160"/>
      </w:pPr>
      <w:r w:rsidRPr="008B40EE">
        <w:rPr>
          <w:b/>
        </w:rPr>
        <w:t>Neutral citation:</w:t>
      </w:r>
      <w:r w:rsidR="000F4B64">
        <w:tab/>
      </w:r>
      <w:r w:rsidR="00655B78" w:rsidRPr="00655B78">
        <w:rPr>
          <w:i/>
        </w:rPr>
        <w:t>M</w:t>
      </w:r>
      <w:r w:rsidR="00655B78">
        <w:rPr>
          <w:i/>
        </w:rPr>
        <w:t>ember of the Executive Council</w:t>
      </w:r>
      <w:r w:rsidR="00655B78" w:rsidRPr="00655B78">
        <w:rPr>
          <w:i/>
        </w:rPr>
        <w:t xml:space="preserve"> </w:t>
      </w:r>
      <w:r w:rsidR="00056F0C" w:rsidRPr="00056F0C">
        <w:rPr>
          <w:i/>
        </w:rPr>
        <w:t>for Cooperative Governance a</w:t>
      </w:r>
      <w:r w:rsidR="00445ACB">
        <w:rPr>
          <w:i/>
        </w:rPr>
        <w:t>nd Traditional Affairs, KwaZulu-</w:t>
      </w:r>
      <w:r w:rsidR="00056F0C" w:rsidRPr="00056F0C">
        <w:rPr>
          <w:i/>
        </w:rPr>
        <w:t>Natal v Nkandla Local Municipality and Others</w:t>
      </w:r>
      <w:r w:rsidR="00056F0C">
        <w:t xml:space="preserve"> [2021] ZACC </w:t>
      </w:r>
      <w:r w:rsidR="00507176">
        <w:t>46</w:t>
      </w:r>
    </w:p>
    <w:p w14:paraId="2071916A" w14:textId="77777777" w:rsidR="003A18CF" w:rsidRDefault="003A18CF" w:rsidP="006C071C">
      <w:pPr>
        <w:spacing w:line="240" w:lineRule="auto"/>
      </w:pPr>
    </w:p>
    <w:p w14:paraId="3FE44156" w14:textId="68905FA5" w:rsidR="007410F3" w:rsidRPr="00A8146A" w:rsidRDefault="003A18CF" w:rsidP="006C071C">
      <w:pPr>
        <w:pStyle w:val="BODYNON-NUMBERED"/>
        <w:spacing w:after="0"/>
        <w:ind w:left="2160" w:hanging="2160"/>
        <w:rPr>
          <w:szCs w:val="26"/>
        </w:rPr>
      </w:pPr>
      <w:r w:rsidRPr="008B40EE">
        <w:rPr>
          <w:b/>
        </w:rPr>
        <w:t>Coram:</w:t>
      </w:r>
      <w:r>
        <w:tab/>
      </w:r>
      <w:proofErr w:type="spellStart"/>
      <w:r w:rsidR="001F37E1" w:rsidRPr="001F37E1">
        <w:t>Khampepe</w:t>
      </w:r>
      <w:proofErr w:type="spellEnd"/>
      <w:r w:rsidR="001F37E1" w:rsidRPr="001F37E1">
        <w:t xml:space="preserve"> ADCJ, Jafta J, </w:t>
      </w:r>
      <w:proofErr w:type="spellStart"/>
      <w:r w:rsidR="00D463A1">
        <w:t>Madlanga</w:t>
      </w:r>
      <w:proofErr w:type="spellEnd"/>
      <w:r w:rsidR="00D463A1">
        <w:t xml:space="preserve"> J, </w:t>
      </w:r>
      <w:proofErr w:type="spellStart"/>
      <w:r w:rsidR="00D463A1">
        <w:t>Majiedt</w:t>
      </w:r>
      <w:proofErr w:type="spellEnd"/>
      <w:r w:rsidR="00D463A1">
        <w:t xml:space="preserve"> J, </w:t>
      </w:r>
      <w:proofErr w:type="spellStart"/>
      <w:r w:rsidR="00D463A1">
        <w:t>Mhlantla</w:t>
      </w:r>
      <w:proofErr w:type="spellEnd"/>
      <w:r w:rsidR="00D463A1">
        <w:t> </w:t>
      </w:r>
      <w:r w:rsidR="001F37E1" w:rsidRPr="001F37E1">
        <w:t>J, Pillay</w:t>
      </w:r>
      <w:r w:rsidR="001F37E1">
        <w:t> </w:t>
      </w:r>
      <w:r w:rsidR="001F37E1" w:rsidRPr="001F37E1">
        <w:t>AJ, The</w:t>
      </w:r>
      <w:r w:rsidR="00873978">
        <w:t xml:space="preserve">ron J, </w:t>
      </w:r>
      <w:proofErr w:type="spellStart"/>
      <w:r w:rsidR="00873978">
        <w:t>Tlaletsi</w:t>
      </w:r>
      <w:proofErr w:type="spellEnd"/>
      <w:r w:rsidR="00873978">
        <w:t xml:space="preserve"> AJ and </w:t>
      </w:r>
      <w:proofErr w:type="spellStart"/>
      <w:r w:rsidR="00873978">
        <w:t>Tshiqi</w:t>
      </w:r>
      <w:proofErr w:type="spellEnd"/>
      <w:r w:rsidR="00873978">
        <w:t xml:space="preserve"> J</w:t>
      </w:r>
    </w:p>
    <w:p w14:paraId="32AB5211" w14:textId="77777777" w:rsidR="003A18CF" w:rsidRDefault="003A18CF" w:rsidP="006C071C">
      <w:pPr>
        <w:spacing w:line="240" w:lineRule="auto"/>
        <w:ind w:left="2160" w:hanging="2160"/>
      </w:pPr>
    </w:p>
    <w:p w14:paraId="71781723" w14:textId="77777777" w:rsidR="003A18CF" w:rsidRDefault="003A18CF" w:rsidP="006C071C">
      <w:pPr>
        <w:spacing w:line="240" w:lineRule="auto"/>
      </w:pPr>
    </w:p>
    <w:p w14:paraId="14E03E06" w14:textId="2E11641C" w:rsidR="00161CE5" w:rsidRPr="000F15D5" w:rsidRDefault="00AE7143" w:rsidP="006C071C">
      <w:pPr>
        <w:spacing w:line="240" w:lineRule="auto"/>
        <w:ind w:left="2160" w:hanging="2160"/>
      </w:pPr>
      <w:r>
        <w:rPr>
          <w:b/>
        </w:rPr>
        <w:t>Judgment</w:t>
      </w:r>
      <w:r w:rsidR="00613472">
        <w:rPr>
          <w:b/>
        </w:rPr>
        <w:t>s</w:t>
      </w:r>
      <w:r w:rsidRPr="008B40EE">
        <w:rPr>
          <w:b/>
        </w:rPr>
        <w:t>:</w:t>
      </w:r>
      <w:r>
        <w:tab/>
      </w:r>
      <w:proofErr w:type="spellStart"/>
      <w:r w:rsidR="000F4B64">
        <w:t>Tshiqi</w:t>
      </w:r>
      <w:proofErr w:type="spellEnd"/>
      <w:r w:rsidR="000F4B64">
        <w:t xml:space="preserve"> J</w:t>
      </w:r>
      <w:r>
        <w:t xml:space="preserve"> </w:t>
      </w:r>
      <w:r w:rsidR="00161CE5" w:rsidRPr="000F15D5">
        <w:t xml:space="preserve">(majority): </w:t>
      </w:r>
      <w:r w:rsidR="00201961">
        <w:fldChar w:fldCharType="begin"/>
      </w:r>
      <w:r w:rsidR="00201961">
        <w:instrText xml:space="preserve"> REF _Ref88818450 \r \h </w:instrText>
      </w:r>
      <w:r w:rsidR="006C071C">
        <w:instrText xml:space="preserve"> \* MERGEFORMAT </w:instrText>
      </w:r>
      <w:r w:rsidR="00201961">
        <w:fldChar w:fldCharType="separate"/>
      </w:r>
      <w:r w:rsidR="00053A1E">
        <w:t>[1]</w:t>
      </w:r>
      <w:r w:rsidR="00201961">
        <w:fldChar w:fldCharType="end"/>
      </w:r>
      <w:r w:rsidR="00201961">
        <w:t xml:space="preserve"> </w:t>
      </w:r>
      <w:r w:rsidR="00161CE5" w:rsidRPr="000F15D5">
        <w:t xml:space="preserve">to </w:t>
      </w:r>
      <w:r w:rsidR="00201961">
        <w:fldChar w:fldCharType="begin"/>
      </w:r>
      <w:r w:rsidR="00201961">
        <w:instrText xml:space="preserve"> REF _Ref88818505 \r \h </w:instrText>
      </w:r>
      <w:r w:rsidR="006C071C">
        <w:instrText xml:space="preserve"> \* MERGEFORMAT </w:instrText>
      </w:r>
      <w:r w:rsidR="00201961">
        <w:fldChar w:fldCharType="separate"/>
      </w:r>
      <w:r w:rsidR="00053A1E">
        <w:t>[34]</w:t>
      </w:r>
      <w:r w:rsidR="00201961">
        <w:fldChar w:fldCharType="end"/>
      </w:r>
    </w:p>
    <w:p w14:paraId="26CE8B46" w14:textId="1517F50F" w:rsidR="00161CE5" w:rsidRPr="00161CE5" w:rsidRDefault="00161CE5" w:rsidP="006C071C">
      <w:pPr>
        <w:spacing w:line="240" w:lineRule="auto"/>
        <w:ind w:left="2160" w:hanging="2160"/>
      </w:pPr>
      <w:r w:rsidRPr="000F15D5">
        <w:rPr>
          <w:b/>
        </w:rPr>
        <w:lastRenderedPageBreak/>
        <w:tab/>
      </w:r>
      <w:r w:rsidR="00201961">
        <w:t>Theron J</w:t>
      </w:r>
      <w:r w:rsidRPr="000F15D5">
        <w:t xml:space="preserve"> (concurring): </w:t>
      </w:r>
      <w:r w:rsidR="00201961">
        <w:fldChar w:fldCharType="begin"/>
      </w:r>
      <w:r w:rsidR="00201961">
        <w:instrText xml:space="preserve"> REF _Ref88818544 \r \h </w:instrText>
      </w:r>
      <w:r w:rsidR="006C071C">
        <w:instrText xml:space="preserve"> \* MERGEFORMAT </w:instrText>
      </w:r>
      <w:r w:rsidR="00201961">
        <w:fldChar w:fldCharType="separate"/>
      </w:r>
      <w:r w:rsidR="00053A1E">
        <w:t>[35]</w:t>
      </w:r>
      <w:r w:rsidR="00201961">
        <w:fldChar w:fldCharType="end"/>
      </w:r>
      <w:r w:rsidR="00201961">
        <w:t xml:space="preserve"> </w:t>
      </w:r>
      <w:r w:rsidRPr="000F15D5">
        <w:t xml:space="preserve">to </w:t>
      </w:r>
      <w:r w:rsidR="00201961">
        <w:fldChar w:fldCharType="begin"/>
      </w:r>
      <w:r w:rsidR="00201961">
        <w:instrText xml:space="preserve"> REF _Ref88818554 \r \h </w:instrText>
      </w:r>
      <w:r w:rsidR="006C071C">
        <w:instrText xml:space="preserve"> \* MERGEFORMAT </w:instrText>
      </w:r>
      <w:r w:rsidR="00201961">
        <w:fldChar w:fldCharType="separate"/>
      </w:r>
      <w:r w:rsidR="00053A1E">
        <w:t>[72]</w:t>
      </w:r>
      <w:r w:rsidR="00201961">
        <w:fldChar w:fldCharType="end"/>
      </w:r>
    </w:p>
    <w:p w14:paraId="5CC1D3DF" w14:textId="77777777" w:rsidR="00161CE5" w:rsidRPr="00161CE5" w:rsidRDefault="00161CE5" w:rsidP="006C071C">
      <w:pPr>
        <w:spacing w:line="240" w:lineRule="auto"/>
        <w:ind w:left="2160" w:hanging="2160"/>
      </w:pPr>
    </w:p>
    <w:p w14:paraId="7595343F" w14:textId="58C3219D" w:rsidR="003A18CF" w:rsidRPr="009C3888" w:rsidRDefault="003A18CF" w:rsidP="006C071C">
      <w:pPr>
        <w:spacing w:line="240" w:lineRule="auto"/>
        <w:ind w:left="2160" w:hanging="2160"/>
      </w:pPr>
      <w:r w:rsidRPr="008B40EE">
        <w:rPr>
          <w:b/>
        </w:rPr>
        <w:t>Heard on:</w:t>
      </w:r>
      <w:r>
        <w:tab/>
      </w:r>
      <w:r w:rsidR="001F37E1">
        <w:t>11 May 2021</w:t>
      </w:r>
    </w:p>
    <w:p w14:paraId="780253F6" w14:textId="77777777" w:rsidR="003A18CF" w:rsidRPr="009C3888" w:rsidRDefault="003A18CF" w:rsidP="006C071C">
      <w:pPr>
        <w:spacing w:line="240" w:lineRule="auto"/>
        <w:ind w:left="2160" w:hanging="2160"/>
      </w:pPr>
    </w:p>
    <w:p w14:paraId="0C5C06F8" w14:textId="6E070D85" w:rsidR="003A18CF" w:rsidRDefault="003A18CF" w:rsidP="006C071C">
      <w:pPr>
        <w:spacing w:line="240" w:lineRule="auto"/>
        <w:ind w:left="2160" w:hanging="2160"/>
      </w:pPr>
      <w:r w:rsidRPr="008B40EE">
        <w:rPr>
          <w:b/>
        </w:rPr>
        <w:t>Decided on:</w:t>
      </w:r>
      <w:r>
        <w:tab/>
      </w:r>
      <w:r w:rsidR="00745A37" w:rsidRPr="00873978">
        <w:t>8 December 2021</w:t>
      </w:r>
    </w:p>
    <w:p w14:paraId="418422A6" w14:textId="77777777" w:rsidR="004110F6" w:rsidRDefault="004110F6" w:rsidP="006C071C">
      <w:pPr>
        <w:spacing w:line="240" w:lineRule="auto"/>
      </w:pPr>
    </w:p>
    <w:p w14:paraId="736217F3" w14:textId="4B460F2B" w:rsidR="002865C0" w:rsidRDefault="004D02BA" w:rsidP="006C071C">
      <w:pPr>
        <w:spacing w:line="240" w:lineRule="auto"/>
        <w:ind w:left="2160" w:hanging="2160"/>
      </w:pPr>
      <w:r>
        <w:rPr>
          <w:b/>
        </w:rPr>
        <w:t>Summary:</w:t>
      </w:r>
      <w:r>
        <w:rPr>
          <w:b/>
        </w:rPr>
        <w:tab/>
      </w:r>
      <w:r w:rsidR="002865C0" w:rsidRPr="00873978">
        <w:t>Local Government</w:t>
      </w:r>
      <w:r w:rsidR="00BC5C89" w:rsidRPr="00873978">
        <w:t xml:space="preserve"> </w:t>
      </w:r>
      <w:r w:rsidR="00924148" w:rsidRPr="00873978">
        <w:t xml:space="preserve">Municipal </w:t>
      </w:r>
      <w:r w:rsidR="00BC5C89" w:rsidRPr="00873978">
        <w:t>Systems Act 32 of 2000</w:t>
      </w:r>
      <w:r w:rsidRPr="00873978">
        <w:t xml:space="preserve"> </w:t>
      </w:r>
      <w:r w:rsidR="006724E0" w:rsidRPr="00873978">
        <w:t>—</w:t>
      </w:r>
      <w:r w:rsidRPr="00873978">
        <w:t xml:space="preserve"> </w:t>
      </w:r>
      <w:r w:rsidR="008E7EF7" w:rsidRPr="00873978">
        <w:t xml:space="preserve">interpretation of </w:t>
      </w:r>
      <w:r w:rsidR="002865C0" w:rsidRPr="00873978">
        <w:t>section</w:t>
      </w:r>
      <w:r w:rsidR="008E7EF7" w:rsidRPr="00873978">
        <w:t xml:space="preserve"> </w:t>
      </w:r>
      <w:r w:rsidR="002865C0" w:rsidRPr="00873978">
        <w:t xml:space="preserve">54A </w:t>
      </w:r>
      <w:r w:rsidR="008E7EF7" w:rsidRPr="00873978">
        <w:t>—</w:t>
      </w:r>
      <w:r w:rsidR="002865C0" w:rsidRPr="00873978">
        <w:t xml:space="preserve"> </w:t>
      </w:r>
      <w:r w:rsidR="008E7EF7" w:rsidRPr="00873978">
        <w:t>operation of constitutional invalidity after expiration of period of suspension</w:t>
      </w:r>
      <w:r w:rsidR="00EA25BD" w:rsidRPr="00873978">
        <w:t xml:space="preserve"> — interests of justice ⸺ mootness</w:t>
      </w:r>
    </w:p>
    <w:p w14:paraId="6BB1D2D4" w14:textId="77777777" w:rsidR="004D02BA" w:rsidRDefault="004D02BA" w:rsidP="006C071C">
      <w:pPr>
        <w:spacing w:line="240" w:lineRule="auto"/>
        <w:ind w:left="2160" w:hanging="2160"/>
      </w:pPr>
    </w:p>
    <w:p w14:paraId="4AEFF913" w14:textId="3231B1BA" w:rsidR="004D02BA" w:rsidRDefault="004D02BA" w:rsidP="006C071C">
      <w:pPr>
        <w:spacing w:line="240" w:lineRule="auto"/>
      </w:pPr>
    </w:p>
    <w:p w14:paraId="377BE837" w14:textId="77777777" w:rsidR="00655B78" w:rsidRPr="004110F6" w:rsidRDefault="00655B78" w:rsidP="006C071C">
      <w:pPr>
        <w:spacing w:line="240" w:lineRule="auto"/>
      </w:pPr>
    </w:p>
    <w:p w14:paraId="73333AB2" w14:textId="77777777" w:rsidR="003A18CF" w:rsidRPr="009C3888" w:rsidRDefault="003A18CF" w:rsidP="006C071C">
      <w:pPr>
        <w:keepNext/>
        <w:pBdr>
          <w:top w:val="single" w:sz="4" w:space="0" w:color="auto"/>
          <w:bottom w:val="single" w:sz="4" w:space="1" w:color="auto"/>
        </w:pBdr>
        <w:spacing w:line="240" w:lineRule="auto"/>
        <w:jc w:val="center"/>
      </w:pPr>
    </w:p>
    <w:p w14:paraId="0F5FB4FB" w14:textId="77777777" w:rsidR="003A18CF" w:rsidRPr="005C6482" w:rsidRDefault="003A18CF" w:rsidP="006C071C">
      <w:pPr>
        <w:keepNext/>
        <w:pBdr>
          <w:top w:val="single" w:sz="4" w:space="0" w:color="auto"/>
          <w:bottom w:val="single" w:sz="4" w:space="1" w:color="auto"/>
        </w:pBdr>
        <w:spacing w:line="240" w:lineRule="auto"/>
        <w:jc w:val="center"/>
        <w:outlineLvl w:val="0"/>
        <w:rPr>
          <w:b/>
        </w:rPr>
      </w:pPr>
      <w:r>
        <w:rPr>
          <w:b/>
        </w:rPr>
        <w:t>ORDER</w:t>
      </w:r>
    </w:p>
    <w:p w14:paraId="65AEAD77" w14:textId="77777777" w:rsidR="003A18CF" w:rsidRPr="009C3888" w:rsidRDefault="003A18CF" w:rsidP="006C071C">
      <w:pPr>
        <w:pBdr>
          <w:top w:val="single" w:sz="4" w:space="0" w:color="auto"/>
          <w:bottom w:val="single" w:sz="4" w:space="1" w:color="auto"/>
        </w:pBdr>
        <w:spacing w:line="240" w:lineRule="auto"/>
        <w:jc w:val="center"/>
      </w:pPr>
    </w:p>
    <w:p w14:paraId="7941957A" w14:textId="77777777" w:rsidR="003A18CF" w:rsidRDefault="003A18CF" w:rsidP="006C071C">
      <w:pPr>
        <w:spacing w:line="240" w:lineRule="auto"/>
      </w:pPr>
    </w:p>
    <w:p w14:paraId="6410750F" w14:textId="77777777" w:rsidR="003A18CF" w:rsidRPr="009C3888" w:rsidRDefault="003A18CF" w:rsidP="006C071C">
      <w:pPr>
        <w:spacing w:line="240" w:lineRule="auto"/>
      </w:pPr>
    </w:p>
    <w:p w14:paraId="43D9FB18" w14:textId="21DCD13D" w:rsidR="005E07D1" w:rsidRPr="0042683E" w:rsidRDefault="003A18CF" w:rsidP="006C071C">
      <w:pPr>
        <w:pStyle w:val="JUDGMENTCONTINUED"/>
        <w:spacing w:after="120"/>
      </w:pPr>
      <w:r w:rsidRPr="00AF1647">
        <w:t>On appeal</w:t>
      </w:r>
      <w:r w:rsidR="00F45DC4" w:rsidRPr="00AF1647">
        <w:t xml:space="preserve"> from </w:t>
      </w:r>
      <w:r w:rsidRPr="00AF1647">
        <w:t xml:space="preserve">the </w:t>
      </w:r>
      <w:r w:rsidR="00AF1647" w:rsidRPr="00AF1647">
        <w:t>Supreme</w:t>
      </w:r>
      <w:r w:rsidRPr="00AF1647">
        <w:t xml:space="preserve"> Court </w:t>
      </w:r>
      <w:r w:rsidR="00AF1647" w:rsidRPr="00AF1647">
        <w:t xml:space="preserve">of Appeal </w:t>
      </w:r>
      <w:r w:rsidRPr="00AF1647">
        <w:t xml:space="preserve">(hearing an appeal from the </w:t>
      </w:r>
      <w:r w:rsidR="00AF1647" w:rsidRPr="00AF1647">
        <w:t>High</w:t>
      </w:r>
      <w:r w:rsidRPr="00AF1647">
        <w:t xml:space="preserve"> Court</w:t>
      </w:r>
      <w:r w:rsidR="00AF1647" w:rsidRPr="00AF1647">
        <w:t xml:space="preserve"> of South Africa</w:t>
      </w:r>
      <w:r w:rsidR="0042683E">
        <w:t>, KwaZulu-Natal Division, Pietermaritzburg</w:t>
      </w:r>
      <w:r w:rsidRPr="00AF1647">
        <w:t>):</w:t>
      </w:r>
    </w:p>
    <w:p w14:paraId="1C8290ED" w14:textId="4EF9FD54" w:rsidR="00276289" w:rsidRDefault="003D41ED" w:rsidP="006C071C">
      <w:pPr>
        <w:pStyle w:val="ORDER"/>
        <w:numPr>
          <w:ilvl w:val="0"/>
          <w:numId w:val="2"/>
        </w:numPr>
        <w:ind w:left="873" w:hanging="153"/>
        <w:rPr>
          <w:u w:color="000000"/>
          <w:bdr w:val="nil"/>
          <w:lang w:val="en-US" w:eastAsia="en-GB"/>
        </w:rPr>
      </w:pPr>
      <w:r>
        <w:rPr>
          <w:u w:color="000000"/>
          <w:bdr w:val="nil"/>
          <w:lang w:val="en-US" w:eastAsia="en-GB"/>
        </w:rPr>
        <w:t>L</w:t>
      </w:r>
      <w:r w:rsidR="000F1400">
        <w:rPr>
          <w:u w:color="000000"/>
          <w:bdr w:val="nil"/>
          <w:lang w:val="en-US" w:eastAsia="en-GB"/>
        </w:rPr>
        <w:t>eave to appeal is refused</w:t>
      </w:r>
      <w:r w:rsidR="00056F0C">
        <w:rPr>
          <w:u w:color="000000"/>
          <w:bdr w:val="nil"/>
          <w:lang w:val="en-US" w:eastAsia="en-GB"/>
        </w:rPr>
        <w:t>.</w:t>
      </w:r>
    </w:p>
    <w:p w14:paraId="6778512F" w14:textId="77777777" w:rsidR="001E5980" w:rsidRDefault="001E5980" w:rsidP="006C071C">
      <w:pPr>
        <w:pStyle w:val="ORDER"/>
        <w:rPr>
          <w:u w:color="000000"/>
          <w:bdr w:val="nil"/>
          <w:lang w:val="en-US" w:eastAsia="en-GB"/>
        </w:rPr>
      </w:pPr>
    </w:p>
    <w:p w14:paraId="6B6B7FD1" w14:textId="77777777" w:rsidR="00206465" w:rsidRDefault="00206465" w:rsidP="006C071C">
      <w:pPr>
        <w:pStyle w:val="ORDER"/>
        <w:ind w:left="0" w:firstLine="0"/>
        <w:rPr>
          <w:u w:color="000000"/>
          <w:bdr w:val="nil"/>
          <w:lang w:val="en-US" w:eastAsia="en-GB"/>
        </w:rPr>
        <w:sectPr w:rsidR="00206465" w:rsidSect="00CA6E2D">
          <w:headerReference w:type="even" r:id="rId9"/>
          <w:headerReference w:type="default" r:id="rId10"/>
          <w:footerReference w:type="default" r:id="rId11"/>
          <w:type w:val="continuous"/>
          <w:pgSz w:w="11910" w:h="16840"/>
          <w:pgMar w:top="1440" w:right="1440" w:bottom="1440" w:left="1440" w:header="709" w:footer="709" w:gutter="0"/>
          <w:cols w:space="720"/>
          <w:titlePg/>
          <w:docGrid w:linePitch="354"/>
        </w:sectPr>
      </w:pPr>
    </w:p>
    <w:p w14:paraId="4890A455" w14:textId="21A8FFD6" w:rsidR="003A18CF" w:rsidRPr="00E05565" w:rsidRDefault="003A18CF" w:rsidP="006C071C">
      <w:pPr>
        <w:pStyle w:val="ORDER"/>
        <w:spacing w:line="240" w:lineRule="auto"/>
        <w:ind w:left="0" w:firstLine="0"/>
        <w:rPr>
          <w:u w:color="000000"/>
          <w:bdr w:val="nil"/>
          <w:lang w:val="en-US" w:eastAsia="en-GB"/>
        </w:rPr>
      </w:pPr>
    </w:p>
    <w:p w14:paraId="6FFD3E1F" w14:textId="77777777" w:rsidR="00CB0CB2" w:rsidRPr="00CB0CB2" w:rsidRDefault="00CB0CB2" w:rsidP="006C071C">
      <w:pPr>
        <w:pStyle w:val="JUDGMENTCONTINUED"/>
        <w:spacing w:line="240" w:lineRule="auto"/>
      </w:pPr>
    </w:p>
    <w:p w14:paraId="34AA111A" w14:textId="77777777" w:rsidR="000704F2" w:rsidRPr="009C3888" w:rsidRDefault="000704F2" w:rsidP="006C071C">
      <w:pPr>
        <w:keepNext/>
        <w:pBdr>
          <w:top w:val="single" w:sz="4" w:space="1" w:color="auto"/>
          <w:bottom w:val="single" w:sz="4" w:space="1" w:color="auto"/>
        </w:pBdr>
        <w:spacing w:line="240" w:lineRule="auto"/>
        <w:jc w:val="center"/>
      </w:pPr>
    </w:p>
    <w:p w14:paraId="7B5ED594" w14:textId="339D4C81" w:rsidR="00E4607C" w:rsidRPr="003A18CF" w:rsidRDefault="000704F2" w:rsidP="006C071C">
      <w:pPr>
        <w:keepNext/>
        <w:pBdr>
          <w:top w:val="single" w:sz="4" w:space="1" w:color="auto"/>
          <w:bottom w:val="single" w:sz="4" w:space="1" w:color="auto"/>
        </w:pBdr>
        <w:spacing w:line="240" w:lineRule="auto"/>
        <w:jc w:val="center"/>
        <w:outlineLvl w:val="0"/>
        <w:rPr>
          <w:b/>
        </w:rPr>
      </w:pPr>
      <w:r w:rsidRPr="003A18CF">
        <w:rPr>
          <w:b/>
        </w:rPr>
        <w:t>JUDGMENT</w:t>
      </w:r>
    </w:p>
    <w:p w14:paraId="00348562" w14:textId="77777777" w:rsidR="000704F2" w:rsidRPr="009C3888" w:rsidRDefault="000704F2" w:rsidP="006C071C">
      <w:pPr>
        <w:pBdr>
          <w:top w:val="single" w:sz="4" w:space="1" w:color="auto"/>
          <w:bottom w:val="single" w:sz="4" w:space="1" w:color="auto"/>
        </w:pBdr>
        <w:spacing w:line="240" w:lineRule="auto"/>
        <w:jc w:val="center"/>
      </w:pPr>
    </w:p>
    <w:p w14:paraId="79EDA264" w14:textId="2F03111D" w:rsidR="000704F2" w:rsidRDefault="000704F2" w:rsidP="006C071C">
      <w:pPr>
        <w:spacing w:line="240" w:lineRule="auto"/>
      </w:pPr>
    </w:p>
    <w:p w14:paraId="23B447C6" w14:textId="77777777" w:rsidR="000F4B64" w:rsidRDefault="000F4B64" w:rsidP="006C071C">
      <w:pPr>
        <w:spacing w:line="240" w:lineRule="auto"/>
      </w:pPr>
    </w:p>
    <w:p w14:paraId="12DBEAA9" w14:textId="77777777" w:rsidR="000F4B64" w:rsidRDefault="000F4B64" w:rsidP="006C071C">
      <w:pPr>
        <w:spacing w:line="240" w:lineRule="auto"/>
        <w:rPr>
          <w:color w:val="000000" w:themeColor="text1"/>
        </w:rPr>
      </w:pPr>
    </w:p>
    <w:p w14:paraId="19C60221" w14:textId="7E06D473" w:rsidR="000F4B64" w:rsidRPr="007127B6" w:rsidRDefault="000F4B64" w:rsidP="006C071C">
      <w:pPr>
        <w:pStyle w:val="BODYNON-NUMBERED"/>
        <w:spacing w:after="0"/>
        <w:rPr>
          <w:color w:val="000000" w:themeColor="text1"/>
          <w:szCs w:val="26"/>
          <w:u w:val="single"/>
        </w:rPr>
      </w:pPr>
      <w:r w:rsidRPr="00873978">
        <w:rPr>
          <w:color w:val="000000" w:themeColor="text1"/>
        </w:rPr>
        <w:t>TSHIQI J (</w:t>
      </w:r>
      <w:proofErr w:type="spellStart"/>
      <w:r w:rsidR="00873978" w:rsidRPr="00873978">
        <w:rPr>
          <w:color w:val="000000" w:themeColor="text1"/>
        </w:rPr>
        <w:t>Khampepe</w:t>
      </w:r>
      <w:proofErr w:type="spellEnd"/>
      <w:r w:rsidR="00873978" w:rsidRPr="00873978">
        <w:rPr>
          <w:color w:val="000000" w:themeColor="text1"/>
        </w:rPr>
        <w:t xml:space="preserve"> </w:t>
      </w:r>
      <w:r w:rsidR="00873978">
        <w:rPr>
          <w:color w:val="000000" w:themeColor="text1"/>
        </w:rPr>
        <w:t>ADCJ</w:t>
      </w:r>
      <w:r w:rsidR="00873978" w:rsidRPr="00873978">
        <w:rPr>
          <w:color w:val="000000" w:themeColor="text1"/>
        </w:rPr>
        <w:t xml:space="preserve">, Jafta J, </w:t>
      </w:r>
      <w:proofErr w:type="spellStart"/>
      <w:r w:rsidR="00873978" w:rsidRPr="00873978">
        <w:rPr>
          <w:color w:val="000000" w:themeColor="text1"/>
        </w:rPr>
        <w:t>Madlanga</w:t>
      </w:r>
      <w:proofErr w:type="spellEnd"/>
      <w:r w:rsidR="00873978" w:rsidRPr="00873978">
        <w:rPr>
          <w:color w:val="000000" w:themeColor="text1"/>
        </w:rPr>
        <w:t xml:space="preserve"> J, </w:t>
      </w:r>
      <w:proofErr w:type="spellStart"/>
      <w:r w:rsidR="00873978" w:rsidRPr="00873978">
        <w:rPr>
          <w:color w:val="000000" w:themeColor="text1"/>
        </w:rPr>
        <w:t>M</w:t>
      </w:r>
      <w:r w:rsidR="00873978">
        <w:rPr>
          <w:color w:val="000000" w:themeColor="text1"/>
        </w:rPr>
        <w:t>ajiedt</w:t>
      </w:r>
      <w:proofErr w:type="spellEnd"/>
      <w:r w:rsidR="00873978">
        <w:rPr>
          <w:color w:val="000000" w:themeColor="text1"/>
        </w:rPr>
        <w:t xml:space="preserve"> J, </w:t>
      </w:r>
      <w:proofErr w:type="spellStart"/>
      <w:r w:rsidR="00873978">
        <w:rPr>
          <w:color w:val="000000" w:themeColor="text1"/>
        </w:rPr>
        <w:t>Mhlantla</w:t>
      </w:r>
      <w:proofErr w:type="spellEnd"/>
      <w:r w:rsidR="00873978">
        <w:rPr>
          <w:color w:val="000000" w:themeColor="text1"/>
        </w:rPr>
        <w:t xml:space="preserve">  J, Pillay AJ</w:t>
      </w:r>
      <w:r w:rsidR="00873978" w:rsidRPr="00873978">
        <w:rPr>
          <w:color w:val="000000" w:themeColor="text1"/>
        </w:rPr>
        <w:t xml:space="preserve"> </w:t>
      </w:r>
      <w:r w:rsidR="00745A37" w:rsidRPr="00873978">
        <w:rPr>
          <w:color w:val="000000" w:themeColor="text1"/>
        </w:rPr>
        <w:t>concurring</w:t>
      </w:r>
      <w:r w:rsidRPr="00873978">
        <w:rPr>
          <w:color w:val="000000" w:themeColor="text1"/>
        </w:rPr>
        <w:t>):</w:t>
      </w:r>
    </w:p>
    <w:p w14:paraId="05F380F3" w14:textId="77777777" w:rsidR="00BA69E1" w:rsidRDefault="00BA69E1" w:rsidP="006C071C">
      <w:pPr>
        <w:pStyle w:val="JUDGMENTNUMBERED"/>
        <w:numPr>
          <w:ilvl w:val="0"/>
          <w:numId w:val="0"/>
        </w:numPr>
        <w:spacing w:line="240" w:lineRule="auto"/>
        <w:rPr>
          <w:lang w:val="en-US" w:eastAsia="en-GB"/>
        </w:rPr>
      </w:pPr>
    </w:p>
    <w:p w14:paraId="35C63A17" w14:textId="77777777" w:rsidR="00B73FAE" w:rsidRPr="00B73FAE" w:rsidRDefault="00B73FAE" w:rsidP="006C071C">
      <w:pPr>
        <w:pStyle w:val="JUDGMENTCONTINUED"/>
        <w:spacing w:line="240" w:lineRule="auto"/>
        <w:rPr>
          <w:lang w:val="en-US" w:eastAsia="en-GB"/>
        </w:rPr>
      </w:pPr>
    </w:p>
    <w:p w14:paraId="1CE0AD76" w14:textId="228BE2ED" w:rsidR="007127B6" w:rsidRPr="0040693B" w:rsidRDefault="001E5980" w:rsidP="006C071C">
      <w:pPr>
        <w:pStyle w:val="HEADING"/>
        <w:rPr>
          <w:lang w:val="en-US" w:eastAsia="en-GB"/>
        </w:rPr>
      </w:pPr>
      <w:r>
        <w:rPr>
          <w:lang w:val="en-US" w:eastAsia="en-GB"/>
        </w:rPr>
        <w:t>Introduction</w:t>
      </w:r>
    </w:p>
    <w:p w14:paraId="4A25B168" w14:textId="3F891430" w:rsidR="00B73FAE" w:rsidRPr="00EA02C8" w:rsidRDefault="001A50C4" w:rsidP="006C071C">
      <w:pPr>
        <w:pStyle w:val="JUDGMENTNUMBERED"/>
      </w:pPr>
      <w:bookmarkStart w:id="0" w:name="_Ref88818450"/>
      <w:r>
        <w:t xml:space="preserve">This </w:t>
      </w:r>
      <w:r w:rsidR="00650BD0" w:rsidRPr="00650BD0">
        <w:t xml:space="preserve">application arises from two disputes. </w:t>
      </w:r>
      <w:r w:rsidR="00650BD0">
        <w:t xml:space="preserve"> </w:t>
      </w:r>
      <w:r w:rsidR="00650BD0" w:rsidRPr="00650BD0">
        <w:t xml:space="preserve">The first dispute concerns the appointment of the third respondent, Mr </w:t>
      </w:r>
      <w:proofErr w:type="spellStart"/>
      <w:r w:rsidR="00650BD0" w:rsidRPr="00650BD0">
        <w:t>La</w:t>
      </w:r>
      <w:r w:rsidR="00D268D9">
        <w:t>ng</w:t>
      </w:r>
      <w:r w:rsidR="00650BD0" w:rsidRPr="00650BD0">
        <w:t>elihle</w:t>
      </w:r>
      <w:proofErr w:type="spellEnd"/>
      <w:r w:rsidR="00650BD0" w:rsidRPr="00650BD0">
        <w:t xml:space="preserve"> </w:t>
      </w:r>
      <w:proofErr w:type="spellStart"/>
      <w:r w:rsidR="00650BD0" w:rsidRPr="00650BD0">
        <w:t>S</w:t>
      </w:r>
      <w:r w:rsidR="00503436">
        <w:t>i</w:t>
      </w:r>
      <w:r w:rsidR="001E5980">
        <w:t>phiwokuhle</w:t>
      </w:r>
      <w:proofErr w:type="spellEnd"/>
      <w:r w:rsidR="001E5980">
        <w:t xml:space="preserve"> </w:t>
      </w:r>
      <w:proofErr w:type="spellStart"/>
      <w:r w:rsidR="001E5980">
        <w:t>Jili</w:t>
      </w:r>
      <w:proofErr w:type="spellEnd"/>
      <w:r w:rsidR="001E5980">
        <w:t>, as a Municipal </w:t>
      </w:r>
      <w:r w:rsidR="00650BD0" w:rsidRPr="00650BD0">
        <w:t xml:space="preserve">Manager of </w:t>
      </w:r>
      <w:r w:rsidR="00650BD0">
        <w:t xml:space="preserve">the first respondent, </w:t>
      </w:r>
      <w:r w:rsidR="00172066">
        <w:t xml:space="preserve">the </w:t>
      </w:r>
      <w:r w:rsidR="00650BD0" w:rsidRPr="00650BD0">
        <w:t>Nkandla</w:t>
      </w:r>
      <w:r w:rsidR="00BA297B">
        <w:t xml:space="preserve"> Local</w:t>
      </w:r>
      <w:r w:rsidR="00650BD0" w:rsidRPr="00650BD0">
        <w:t xml:space="preserve"> Municipality</w:t>
      </w:r>
      <w:r w:rsidR="00650BD0">
        <w:t>.  The</w:t>
      </w:r>
      <w:r w:rsidR="007020FF">
        <w:t xml:space="preserve"> second</w:t>
      </w:r>
      <w:r w:rsidR="00650BD0" w:rsidRPr="00650BD0">
        <w:t xml:space="preserve"> concerns the appointment of the sixth </w:t>
      </w:r>
      <w:r w:rsidR="009F0614">
        <w:t>respondent, Mr Philani Philemon </w:t>
      </w:r>
      <w:r w:rsidR="00650BD0" w:rsidRPr="00650BD0">
        <w:t>Sibiya</w:t>
      </w:r>
      <w:r w:rsidR="009F0614">
        <w:t>,</w:t>
      </w:r>
      <w:r w:rsidR="00650BD0" w:rsidRPr="00650BD0">
        <w:t xml:space="preserve"> as a Municipal Manager of</w:t>
      </w:r>
      <w:r w:rsidR="00650BD0">
        <w:t xml:space="preserve"> the fourth respondent,</w:t>
      </w:r>
      <w:r w:rsidR="00650BD0" w:rsidRPr="00650BD0">
        <w:t xml:space="preserve"> </w:t>
      </w:r>
      <w:r w:rsidR="00172066">
        <w:t xml:space="preserve">the </w:t>
      </w:r>
      <w:proofErr w:type="spellStart"/>
      <w:r w:rsidR="00650BD0" w:rsidRPr="00650BD0">
        <w:t>Mthonjaneni</w:t>
      </w:r>
      <w:proofErr w:type="spellEnd"/>
      <w:r w:rsidR="00BA297B">
        <w:t xml:space="preserve"> Local</w:t>
      </w:r>
      <w:r w:rsidR="00650BD0" w:rsidRPr="00650BD0">
        <w:t xml:space="preserve"> Municipality. </w:t>
      </w:r>
      <w:r w:rsidR="00650BD0">
        <w:t xml:space="preserve"> </w:t>
      </w:r>
      <w:r w:rsidR="00CB6DD6">
        <w:lastRenderedPageBreak/>
        <w:t>Both appointments were challenged by the applicant</w:t>
      </w:r>
      <w:r w:rsidR="00EA02C8">
        <w:t>,</w:t>
      </w:r>
      <w:r w:rsidR="007020FF">
        <w:t xml:space="preserve"> the</w:t>
      </w:r>
      <w:r w:rsidR="00CB6DD6">
        <w:t xml:space="preserve"> </w:t>
      </w:r>
      <w:r w:rsidR="00EA02C8" w:rsidRPr="00B73FAE">
        <w:t>Member of the Executive C</w:t>
      </w:r>
      <w:r w:rsidR="00EA02C8">
        <w:t>ouncil for the Department of Coo</w:t>
      </w:r>
      <w:r w:rsidR="00EA02C8" w:rsidRPr="00B73FAE">
        <w:t>perative Governance and Traditional Affairs</w:t>
      </w:r>
      <w:r w:rsidR="00EA02C8">
        <w:t xml:space="preserve">, KwaZulu-Natal (MEC) </w:t>
      </w:r>
      <w:r w:rsidR="00CB6DD6">
        <w:t xml:space="preserve">on the basis that they </w:t>
      </w:r>
      <w:r w:rsidR="00650BD0" w:rsidRPr="00EA02C8">
        <w:t>were made in contravention of section</w:t>
      </w:r>
      <w:r w:rsidR="003314F7">
        <w:t> </w:t>
      </w:r>
      <w:r w:rsidR="00650BD0" w:rsidRPr="00EA02C8">
        <w:t>54</w:t>
      </w:r>
      <w:r w:rsidR="004813B3">
        <w:t>A</w:t>
      </w:r>
      <w:r w:rsidR="00650BD0" w:rsidRPr="00EA02C8">
        <w:t>(2) of the Local Government Municipal Systems Act</w:t>
      </w:r>
      <w:r w:rsidR="0088411F" w:rsidRPr="00EA02C8">
        <w:rPr>
          <w:rStyle w:val="FootnoteReference"/>
        </w:rPr>
        <w:footnoteReference w:id="1"/>
      </w:r>
      <w:r w:rsidR="00650BD0" w:rsidRPr="00EA02C8">
        <w:t xml:space="preserve"> (Systems Act) and </w:t>
      </w:r>
      <w:r w:rsidR="00533E39">
        <w:t xml:space="preserve">were </w:t>
      </w:r>
      <w:r w:rsidR="00650BD0" w:rsidRPr="00EA02C8">
        <w:t>thus null and void a</w:t>
      </w:r>
      <w:r w:rsidR="004813B3">
        <w:t>s envisaged in section 54A(3)</w:t>
      </w:r>
      <w:r w:rsidR="00650BD0" w:rsidRPr="00EA02C8">
        <w:t xml:space="preserve"> of the Systems Act.</w:t>
      </w:r>
      <w:r w:rsidR="00F52CB5">
        <w:rPr>
          <w:rStyle w:val="FootnoteReference"/>
        </w:rPr>
        <w:footnoteReference w:id="2"/>
      </w:r>
      <w:bookmarkEnd w:id="0"/>
    </w:p>
    <w:p w14:paraId="5536017B" w14:textId="77777777" w:rsidR="00254597" w:rsidRDefault="00254597" w:rsidP="006C071C">
      <w:pPr>
        <w:pStyle w:val="JUDGMENTCONTINUED"/>
      </w:pPr>
    </w:p>
    <w:p w14:paraId="2501C3CE" w14:textId="2CF911A0" w:rsidR="00B73FAE" w:rsidRDefault="00B73FAE" w:rsidP="006C071C">
      <w:pPr>
        <w:pStyle w:val="HEADING"/>
        <w:tabs>
          <w:tab w:val="left" w:pos="5325"/>
        </w:tabs>
      </w:pPr>
      <w:r>
        <w:t xml:space="preserve">Factual </w:t>
      </w:r>
      <w:r w:rsidR="0029504A">
        <w:t>b</w:t>
      </w:r>
      <w:r>
        <w:t>ackground</w:t>
      </w:r>
    </w:p>
    <w:p w14:paraId="4FC16AA9" w14:textId="669D8587" w:rsidR="00B73FAE" w:rsidRPr="00D24DB6" w:rsidRDefault="00B73FAE" w:rsidP="006C071C">
      <w:pPr>
        <w:pStyle w:val="HEADING"/>
        <w:ind w:firstLine="720"/>
      </w:pPr>
      <w:r w:rsidRPr="00D24DB6">
        <w:t>Nkandla</w:t>
      </w:r>
      <w:r w:rsidR="00041234">
        <w:t xml:space="preserve"> Local</w:t>
      </w:r>
      <w:r w:rsidRPr="00D24DB6">
        <w:t xml:space="preserve"> Municipality</w:t>
      </w:r>
    </w:p>
    <w:p w14:paraId="525E5BD1" w14:textId="7CDD5E89" w:rsidR="00B73FAE" w:rsidRDefault="00B73FAE" w:rsidP="006C071C">
      <w:pPr>
        <w:pStyle w:val="JUDGMENTNUMBERED"/>
      </w:pPr>
      <w:r w:rsidRPr="00B73FAE">
        <w:t xml:space="preserve">On 24 January 2017, pursuant to a valid interview process, </w:t>
      </w:r>
      <w:r w:rsidR="002F65E6">
        <w:t xml:space="preserve">the </w:t>
      </w:r>
      <w:r w:rsidRPr="00B73FAE">
        <w:t>Nkandla</w:t>
      </w:r>
      <w:r w:rsidR="00533E39">
        <w:t> </w:t>
      </w:r>
      <w:r w:rsidRPr="00B73FAE">
        <w:t>Municipal Council r</w:t>
      </w:r>
      <w:r w:rsidR="00F50924">
        <w:t xml:space="preserve">esolved to appoint Mr </w:t>
      </w:r>
      <w:proofErr w:type="spellStart"/>
      <w:r w:rsidR="00F50924">
        <w:t>Jili</w:t>
      </w:r>
      <w:proofErr w:type="spellEnd"/>
      <w:r w:rsidR="00F50924">
        <w:t xml:space="preserve"> as its </w:t>
      </w:r>
      <w:r w:rsidRPr="00B73FAE">
        <w:t xml:space="preserve">Municipal Manager. </w:t>
      </w:r>
      <w:r>
        <w:t xml:space="preserve"> </w:t>
      </w:r>
      <w:r w:rsidR="00BA297B">
        <w:t>On 26 January </w:t>
      </w:r>
      <w:r w:rsidRPr="00B73FAE">
        <w:t>2017, the Municipality notifi</w:t>
      </w:r>
      <w:r w:rsidR="00F50924">
        <w:t>ed the MEC</w:t>
      </w:r>
      <w:r w:rsidR="00B467E9">
        <w:t xml:space="preserve"> </w:t>
      </w:r>
      <w:r w:rsidR="003229F3" w:rsidRPr="00B73FAE">
        <w:t>a</w:t>
      </w:r>
      <w:r w:rsidR="00BA297B">
        <w:t>bout the decision to appoint Mr </w:t>
      </w:r>
      <w:proofErr w:type="spellStart"/>
      <w:r w:rsidR="003229F3" w:rsidRPr="00B73FAE">
        <w:t>Jili</w:t>
      </w:r>
      <w:proofErr w:type="spellEnd"/>
      <w:r w:rsidR="003229F3" w:rsidRPr="00B73FAE">
        <w:t xml:space="preserve"> </w:t>
      </w:r>
      <w:r w:rsidRPr="00B73FAE">
        <w:t>as prescribed by section 54A</w:t>
      </w:r>
      <w:r w:rsidR="003229F3">
        <w:t>(7) of the Systems Act.</w:t>
      </w:r>
      <w:r w:rsidR="00F52CB5">
        <w:rPr>
          <w:rStyle w:val="FootnoteReference"/>
        </w:rPr>
        <w:footnoteReference w:id="3"/>
      </w:r>
      <w:r>
        <w:t xml:space="preserve"> </w:t>
      </w:r>
      <w:r w:rsidRPr="00B73FAE">
        <w:t xml:space="preserve"> In February 2017</w:t>
      </w:r>
      <w:r>
        <w:t xml:space="preserve">, </w:t>
      </w:r>
      <w:r w:rsidR="00BA297B">
        <w:t>Mr </w:t>
      </w:r>
      <w:proofErr w:type="spellStart"/>
      <w:r w:rsidRPr="00B73FAE">
        <w:t>Jili</w:t>
      </w:r>
      <w:proofErr w:type="spellEnd"/>
      <w:r w:rsidRPr="00B73FAE">
        <w:t xml:space="preserve"> assumed his position as Municipal Manager. </w:t>
      </w:r>
      <w:r>
        <w:t xml:space="preserve"> </w:t>
      </w:r>
      <w:r w:rsidRPr="00B73FAE">
        <w:t xml:space="preserve">On 13 February 2017, the MEC wrote to the Mayor of </w:t>
      </w:r>
      <w:r w:rsidR="00041234">
        <w:t xml:space="preserve">the </w:t>
      </w:r>
      <w:r w:rsidRPr="00B73FAE">
        <w:t xml:space="preserve">Nkandla </w:t>
      </w:r>
      <w:r w:rsidR="00041234">
        <w:t xml:space="preserve">Local </w:t>
      </w:r>
      <w:r w:rsidRPr="00B73FAE">
        <w:t xml:space="preserve">Municipality requesting certain information and documentation pertaining to Mr </w:t>
      </w:r>
      <w:proofErr w:type="spellStart"/>
      <w:r w:rsidRPr="00B73FAE">
        <w:t>Jili’s</w:t>
      </w:r>
      <w:proofErr w:type="spellEnd"/>
      <w:r w:rsidRPr="00B73FAE">
        <w:t xml:space="preserve"> </w:t>
      </w:r>
      <w:r w:rsidR="00E420E4">
        <w:t xml:space="preserve">level of </w:t>
      </w:r>
      <w:r w:rsidRPr="00B73FAE">
        <w:t xml:space="preserve">experience. </w:t>
      </w:r>
      <w:r>
        <w:t xml:space="preserve"> </w:t>
      </w:r>
      <w:r w:rsidRPr="00B73FAE">
        <w:t>On 7 March 2017, the MEC wrote to the Mayor and advised that</w:t>
      </w:r>
      <w:r w:rsidR="009F0614">
        <w:t>,</w:t>
      </w:r>
      <w:r w:rsidRPr="00B73FAE">
        <w:t xml:space="preserve"> according to her assessment, Mr </w:t>
      </w:r>
      <w:proofErr w:type="spellStart"/>
      <w:r w:rsidRPr="00B73FAE">
        <w:t>Jili’s</w:t>
      </w:r>
      <w:proofErr w:type="spellEnd"/>
      <w:r w:rsidRPr="00B73FAE">
        <w:t xml:space="preserve"> appointment was not in compliance with the legislative requirements</w:t>
      </w:r>
      <w:r w:rsidR="00396895">
        <w:t>,</w:t>
      </w:r>
      <w:r w:rsidRPr="00B73FAE">
        <w:t xml:space="preserve"> as he appeared not to have a </w:t>
      </w:r>
      <w:r w:rsidRPr="00B73FAE">
        <w:lastRenderedPageBreak/>
        <w:t>minimum of five years’ experience at senior management level</w:t>
      </w:r>
      <w:r w:rsidR="001309D7">
        <w:t>.</w:t>
      </w:r>
      <w:r>
        <w:rPr>
          <w:rStyle w:val="FootnoteReference"/>
        </w:rPr>
        <w:footnoteReference w:id="4"/>
      </w:r>
      <w:r w:rsidRPr="00B73FAE">
        <w:t xml:space="preserve">  The MEC called upon the Municipality to take remedial action to address the issue.</w:t>
      </w:r>
    </w:p>
    <w:p w14:paraId="3F57A7AD" w14:textId="77777777" w:rsidR="00B73FAE" w:rsidRPr="00B73FAE" w:rsidRDefault="00B73FAE" w:rsidP="006C071C">
      <w:pPr>
        <w:pStyle w:val="JUDGMENTCONTINUED"/>
      </w:pPr>
    </w:p>
    <w:p w14:paraId="32C8570B" w14:textId="3743EE60" w:rsidR="00B73FAE" w:rsidRDefault="00B73FAE" w:rsidP="006C071C">
      <w:pPr>
        <w:pStyle w:val="JUDGMENTNUMBERED"/>
      </w:pPr>
      <w:r w:rsidRPr="00B73FAE">
        <w:t>On 23 May 2017, the Municipal</w:t>
      </w:r>
      <w:r w:rsidR="00473EDE">
        <w:t>ity wrote to the Minister of Co</w:t>
      </w:r>
      <w:r w:rsidRPr="00B73FAE">
        <w:t>operative Governance a</w:t>
      </w:r>
      <w:r w:rsidR="00041234">
        <w:t>nd Traditional Affairs,</w:t>
      </w:r>
      <w:r w:rsidRPr="00B73FAE">
        <w:t xml:space="preserve"> as contemplated in section 54A</w:t>
      </w:r>
      <w:r w:rsidR="00041234">
        <w:t>(10) of the Systems </w:t>
      </w:r>
      <w:r w:rsidR="00F50924">
        <w:t>Act</w:t>
      </w:r>
      <w:r w:rsidR="00804ABC">
        <w:t>,</w:t>
      </w:r>
      <w:r w:rsidR="0041196F">
        <w:rPr>
          <w:rStyle w:val="FootnoteReference"/>
        </w:rPr>
        <w:footnoteReference w:id="5"/>
      </w:r>
      <w:r w:rsidR="00F50924">
        <w:t xml:space="preserve"> </w:t>
      </w:r>
      <w:r w:rsidRPr="00B73FAE">
        <w:t xml:space="preserve">requesting him to waive the relevant experience requirement related to the post of Municipal Manager. </w:t>
      </w:r>
      <w:r>
        <w:t xml:space="preserve"> </w:t>
      </w:r>
      <w:r w:rsidRPr="00B73FAE">
        <w:t xml:space="preserve">On 14 September 2017, the Minister </w:t>
      </w:r>
      <w:r w:rsidR="005255CD">
        <w:t xml:space="preserve">responded and </w:t>
      </w:r>
      <w:r w:rsidRPr="00B73FAE">
        <w:t>informed the Municipality that its request for w</w:t>
      </w:r>
      <w:r w:rsidR="00804ABC">
        <w:t>aiver had been declined.  On 10 </w:t>
      </w:r>
      <w:r w:rsidRPr="00B73FAE">
        <w:t>November 20</w:t>
      </w:r>
      <w:r w:rsidR="00CB20A7">
        <w:t>17, an offi</w:t>
      </w:r>
      <w:r w:rsidR="002B4DDB">
        <w:t>cial from the MEC’s office</w:t>
      </w:r>
      <w:r w:rsidRPr="00B73FAE">
        <w:t xml:space="preserve"> wrote to the Municipality demanding that it should take remedial action</w:t>
      </w:r>
      <w:r w:rsidR="00252E32">
        <w:t xml:space="preserve"> concerning Mr </w:t>
      </w:r>
      <w:proofErr w:type="spellStart"/>
      <w:r w:rsidR="00252E32">
        <w:t>Jili’s</w:t>
      </w:r>
      <w:proofErr w:type="spellEnd"/>
      <w:r w:rsidR="00252E32">
        <w:t xml:space="preserve"> appointment</w:t>
      </w:r>
      <w:r w:rsidRPr="00B73FAE">
        <w:t xml:space="preserve">.  </w:t>
      </w:r>
      <w:r w:rsidR="00804ABC">
        <w:t>On 21 </w:t>
      </w:r>
      <w:r w:rsidR="00CB20A7" w:rsidRPr="003648BF">
        <w:t>November</w:t>
      </w:r>
      <w:r w:rsidR="00375156" w:rsidRPr="003648BF">
        <w:t xml:space="preserve"> 2017</w:t>
      </w:r>
      <w:r w:rsidR="00533E39">
        <w:t>,</w:t>
      </w:r>
      <w:r w:rsidR="00CB20A7">
        <w:t xml:space="preserve"> the Mayor responded and said that the Municipality was awaiting a legal opinion. </w:t>
      </w:r>
      <w:r w:rsidR="00254597">
        <w:t xml:space="preserve"> </w:t>
      </w:r>
      <w:r w:rsidR="00CB20A7">
        <w:t>On 4 January</w:t>
      </w:r>
      <w:r w:rsidR="00375156">
        <w:t xml:space="preserve"> </w:t>
      </w:r>
      <w:r w:rsidR="00375156" w:rsidRPr="003648BF">
        <w:t>2018</w:t>
      </w:r>
      <w:r w:rsidR="00804ABC">
        <w:t>,</w:t>
      </w:r>
      <w:r w:rsidR="00CB20A7">
        <w:t xml:space="preserve"> the of</w:t>
      </w:r>
      <w:r w:rsidR="002B4DDB">
        <w:t>ficial from the MEC’s office</w:t>
      </w:r>
      <w:r w:rsidR="00CB20A7">
        <w:t xml:space="preserve"> again addressed a letter to the Municipality requesting an update on what remedial action had been taken to resolve the matter. </w:t>
      </w:r>
      <w:r w:rsidR="00254597">
        <w:t xml:space="preserve"> </w:t>
      </w:r>
      <w:r w:rsidR="00CB20A7">
        <w:t>No response was received from the Municipality.</w:t>
      </w:r>
      <w:r w:rsidR="001A50C4">
        <w:t xml:space="preserve">  </w:t>
      </w:r>
      <w:r w:rsidR="00FF4DC5">
        <w:t>There was no further significant communication from the parties regarding this issue.</w:t>
      </w:r>
    </w:p>
    <w:p w14:paraId="5A55C72B" w14:textId="77777777" w:rsidR="00B73FAE" w:rsidRDefault="00B73FAE" w:rsidP="006C071C">
      <w:pPr>
        <w:pStyle w:val="JUDGMENTCONTINUED"/>
      </w:pPr>
    </w:p>
    <w:p w14:paraId="698D1412" w14:textId="5B762DC6" w:rsidR="00B73FAE" w:rsidRDefault="00B73FAE" w:rsidP="006C071C">
      <w:pPr>
        <w:pStyle w:val="HEADING"/>
        <w:ind w:firstLine="720"/>
      </w:pPr>
      <w:proofErr w:type="spellStart"/>
      <w:r>
        <w:t>Mthonjaneni</w:t>
      </w:r>
      <w:proofErr w:type="spellEnd"/>
      <w:r w:rsidR="00041234">
        <w:t xml:space="preserve"> Local</w:t>
      </w:r>
      <w:r>
        <w:t xml:space="preserve"> Municipality</w:t>
      </w:r>
    </w:p>
    <w:p w14:paraId="6447D70B" w14:textId="6CDC03C5" w:rsidR="00B73FAE" w:rsidRDefault="00B73FAE" w:rsidP="006C071C">
      <w:pPr>
        <w:pStyle w:val="JUDGMENTNUMBERED"/>
      </w:pPr>
      <w:r>
        <w:t xml:space="preserve">On 19 December 2016, the Municipal Council of </w:t>
      </w:r>
      <w:r w:rsidR="00041234">
        <w:t xml:space="preserve">the </w:t>
      </w:r>
      <w:proofErr w:type="spellStart"/>
      <w:r>
        <w:t>Mthonjaneni</w:t>
      </w:r>
      <w:proofErr w:type="spellEnd"/>
      <w:r w:rsidR="00041234">
        <w:t xml:space="preserve"> Local</w:t>
      </w:r>
      <w:r>
        <w:t xml:space="preserve"> Municipality resolved to appoint Mr Sibiya as its Municipal Manager.  </w:t>
      </w:r>
      <w:r w:rsidR="0029504A">
        <w:t>A day later</w:t>
      </w:r>
      <w:r w:rsidR="00236828">
        <w:t>,</w:t>
      </w:r>
      <w:r w:rsidR="0029504A">
        <w:t xml:space="preserve"> </w:t>
      </w:r>
      <w:r>
        <w:t>the Municipality informed the MEC of the decision to appoint Mr Sibiya as prescribed by section</w:t>
      </w:r>
      <w:r w:rsidR="00533E39">
        <w:t> </w:t>
      </w:r>
      <w:r>
        <w:t>54A(7) of the Systems Act.  On 20 January 2017, the MEC informed the Mayor and the Minister that she was of the view that Mr Sibiya did not have the required experience and requested that the Municipality take remedial action to remedy the alleged irregularity.  However, Mr Sibiya assumed the position of Municipal Manager in t</w:t>
      </w:r>
      <w:r w:rsidR="001F59E6">
        <w:t>he same month (January 2017).</w:t>
      </w:r>
      <w:r w:rsidR="000F7F2C">
        <w:t xml:space="preserve">  </w:t>
      </w:r>
      <w:r w:rsidR="001F59E6">
        <w:t>O</w:t>
      </w:r>
      <w:r>
        <w:t xml:space="preserve">n </w:t>
      </w:r>
      <w:r w:rsidR="001F59E6">
        <w:t xml:space="preserve">9 </w:t>
      </w:r>
      <w:r>
        <w:t>July 2017, the Mayor infor</w:t>
      </w:r>
      <w:r w:rsidR="008E455A">
        <w:t xml:space="preserve">med the MEC that </w:t>
      </w:r>
      <w:r w:rsidR="008E455A">
        <w:lastRenderedPageBreak/>
        <w:t xml:space="preserve">the </w:t>
      </w:r>
      <w:r w:rsidR="0088083C">
        <w:t>Municipal</w:t>
      </w:r>
      <w:r w:rsidR="00F52CB5">
        <w:t xml:space="preserve"> </w:t>
      </w:r>
      <w:r w:rsidR="008E455A">
        <w:t>Council had</w:t>
      </w:r>
      <w:r>
        <w:t xml:space="preserve"> sought </w:t>
      </w:r>
      <w:r w:rsidR="00E420E4">
        <w:t xml:space="preserve">a </w:t>
      </w:r>
      <w:r>
        <w:t>legal opinion on the validity of Mr</w:t>
      </w:r>
      <w:r w:rsidR="00F52CB5">
        <w:t> </w:t>
      </w:r>
      <w:r>
        <w:t>Sibiya’s appointment</w:t>
      </w:r>
      <w:r w:rsidR="001E5980">
        <w:t>.  Further,</w:t>
      </w:r>
      <w:r w:rsidR="001F59E6">
        <w:t xml:space="preserve"> the legal opinion would be tabled at the next </w:t>
      </w:r>
      <w:r w:rsidR="0088083C">
        <w:t xml:space="preserve">Municipal </w:t>
      </w:r>
      <w:r w:rsidR="001F59E6">
        <w:t>Council meeting scheduled for 29</w:t>
      </w:r>
      <w:r w:rsidR="00F52CB5">
        <w:t xml:space="preserve"> August </w:t>
      </w:r>
      <w:r w:rsidR="006B7A0B">
        <w:t>2017, where</w:t>
      </w:r>
      <w:r w:rsidR="001F59E6">
        <w:t>after he would revert</w:t>
      </w:r>
      <w:r>
        <w:t xml:space="preserve">. </w:t>
      </w:r>
      <w:r w:rsidR="0086791E">
        <w:t xml:space="preserve"> </w:t>
      </w:r>
      <w:r w:rsidR="001F59E6">
        <w:t>The Ma</w:t>
      </w:r>
      <w:r w:rsidR="00B82618">
        <w:t>yor did not respond as promised.</w:t>
      </w:r>
      <w:r w:rsidR="001F59E6">
        <w:t xml:space="preserve"> </w:t>
      </w:r>
      <w:r w:rsidR="004D11E6">
        <w:t xml:space="preserve"> </w:t>
      </w:r>
      <w:r w:rsidR="00B82618">
        <w:t>O</w:t>
      </w:r>
      <w:r w:rsidR="001F59E6">
        <w:t>n</w:t>
      </w:r>
      <w:r w:rsidR="009F0614">
        <w:t xml:space="preserve"> 20 November </w:t>
      </w:r>
      <w:r w:rsidR="00F50924">
        <w:t>2017</w:t>
      </w:r>
      <w:r w:rsidR="009F0614">
        <w:t>,</w:t>
      </w:r>
      <w:r w:rsidR="00F50924">
        <w:t xml:space="preserve"> an official from </w:t>
      </w:r>
      <w:r w:rsidR="001F59E6">
        <w:t>the MEC’s office sent a circular to the Municipality</w:t>
      </w:r>
      <w:r w:rsidR="001E5980">
        <w:t xml:space="preserve">. </w:t>
      </w:r>
      <w:r w:rsidR="001F59E6">
        <w:t xml:space="preserve"> </w:t>
      </w:r>
      <w:r w:rsidR="001E5980">
        <w:t xml:space="preserve">This circular </w:t>
      </w:r>
      <w:r w:rsidR="00B82618">
        <w:t xml:space="preserve">contained guidance on </w:t>
      </w:r>
      <w:r w:rsidR="001F59E6">
        <w:t xml:space="preserve">how an application </w:t>
      </w:r>
      <w:r w:rsidR="00B82618">
        <w:t xml:space="preserve">could be made </w:t>
      </w:r>
      <w:r w:rsidR="001F59E6">
        <w:t xml:space="preserve">to the Minister </w:t>
      </w:r>
      <w:r w:rsidR="00B82618">
        <w:t>for the waiver of the irregular appointment</w:t>
      </w:r>
      <w:r w:rsidR="00B82618" w:rsidRPr="00B82618">
        <w:t xml:space="preserve"> </w:t>
      </w:r>
      <w:r w:rsidR="00B82618" w:rsidRPr="00B73FAE">
        <w:t>as contemplated in section 54A(10) of the Systems Act</w:t>
      </w:r>
      <w:r w:rsidR="00B82618">
        <w:t xml:space="preserve">. </w:t>
      </w:r>
      <w:r w:rsidR="00254597">
        <w:t xml:space="preserve"> </w:t>
      </w:r>
      <w:r w:rsidR="001F59E6">
        <w:t xml:space="preserve">This was followed by another </w:t>
      </w:r>
      <w:r w:rsidR="00F50924">
        <w:t>letter dated</w:t>
      </w:r>
      <w:r w:rsidR="00804ABC">
        <w:t xml:space="preserve"> 24 </w:t>
      </w:r>
      <w:r w:rsidR="001F59E6" w:rsidRPr="00375156">
        <w:t>January</w:t>
      </w:r>
      <w:r w:rsidR="00375156">
        <w:t xml:space="preserve"> </w:t>
      </w:r>
      <w:r w:rsidR="00375156" w:rsidRPr="003648BF">
        <w:t>2018</w:t>
      </w:r>
      <w:r w:rsidR="001F59E6">
        <w:t xml:space="preserve"> advising the Municipality that it was required to take steps to regularise the matter. </w:t>
      </w:r>
      <w:r>
        <w:t xml:space="preserve"> </w:t>
      </w:r>
      <w:r w:rsidR="001F59E6">
        <w:t>On 26 January 2018</w:t>
      </w:r>
      <w:r w:rsidR="00203EC8">
        <w:t>,</w:t>
      </w:r>
      <w:r w:rsidR="001F59E6">
        <w:t xml:space="preserve"> officials from the MEC’s office met with officials from the Municipality</w:t>
      </w:r>
      <w:r w:rsidR="00533E39">
        <w:t>,</w:t>
      </w:r>
      <w:r w:rsidR="001F59E6">
        <w:t xml:space="preserve"> and the </w:t>
      </w:r>
      <w:r w:rsidR="00533E39">
        <w:t xml:space="preserve">latter </w:t>
      </w:r>
      <w:r w:rsidR="0001469E">
        <w:t>w</w:t>
      </w:r>
      <w:r w:rsidR="001F59E6">
        <w:t xml:space="preserve">as advised to apply to the Minister for </w:t>
      </w:r>
      <w:r w:rsidR="00B82618">
        <w:t xml:space="preserve">the </w:t>
      </w:r>
      <w:r w:rsidR="001F59E6">
        <w:t>waiver</w:t>
      </w:r>
      <w:r w:rsidR="00B82618">
        <w:t xml:space="preserve"> of the irregular appointment</w:t>
      </w:r>
      <w:r w:rsidR="001F59E6">
        <w:t xml:space="preserve"> to rectify the situation. </w:t>
      </w:r>
      <w:r w:rsidR="00254597">
        <w:t xml:space="preserve"> </w:t>
      </w:r>
      <w:r w:rsidR="008E455A">
        <w:t>There was no further meaningful engagement between the</w:t>
      </w:r>
      <w:r w:rsidR="001A50C4">
        <w:t xml:space="preserve"> parties concerning this issue.</w:t>
      </w:r>
    </w:p>
    <w:p w14:paraId="21AEE252" w14:textId="77777777" w:rsidR="00B73FAE" w:rsidRDefault="00B73FAE" w:rsidP="006C071C">
      <w:pPr>
        <w:pStyle w:val="JUDGMENTCONTINUED"/>
      </w:pPr>
    </w:p>
    <w:p w14:paraId="1C71719B" w14:textId="2F11D6E9" w:rsidR="00D75156" w:rsidRPr="00D75156" w:rsidRDefault="00D75156" w:rsidP="006C071C">
      <w:pPr>
        <w:pStyle w:val="HEADING"/>
      </w:pPr>
      <w:r>
        <w:t>Litigation history</w:t>
      </w:r>
    </w:p>
    <w:p w14:paraId="71E57666" w14:textId="28E21CDA" w:rsidR="00B73FAE" w:rsidRDefault="001E5980" w:rsidP="006C071C">
      <w:pPr>
        <w:pStyle w:val="JUDGMENTNUMBERED"/>
      </w:pPr>
      <w:r>
        <w:t>D</w:t>
      </w:r>
      <w:r w:rsidR="00B73FAE" w:rsidRPr="00B73FAE">
        <w:t>ue to the impasse between the MEC</w:t>
      </w:r>
      <w:r>
        <w:t xml:space="preserve"> and the two Municipalities,</w:t>
      </w:r>
      <w:r w:rsidR="00B73FAE" w:rsidRPr="00B73FAE">
        <w:t xml:space="preserve"> the former launched two sep</w:t>
      </w:r>
      <w:r w:rsidR="0042683E">
        <w:t xml:space="preserve">arate review applications in </w:t>
      </w:r>
      <w:r w:rsidR="00533E39">
        <w:t xml:space="preserve">the </w:t>
      </w:r>
      <w:r w:rsidR="0042683E">
        <w:t>High Court of South Africa, KwaZulu</w:t>
      </w:r>
      <w:r w:rsidR="00533E39">
        <w:noBreakHyphen/>
      </w:r>
      <w:r w:rsidR="0042683E">
        <w:t xml:space="preserve">Natal </w:t>
      </w:r>
      <w:r w:rsidR="00BF437D">
        <w:t>Division, Pietermaritzburg</w:t>
      </w:r>
      <w:r w:rsidR="00B73FAE">
        <w:t>.  In both applications the MEC</w:t>
      </w:r>
      <w:r w:rsidR="00B73FAE" w:rsidRPr="00B73FAE">
        <w:t xml:space="preserve"> sought orders reviewing</w:t>
      </w:r>
      <w:r w:rsidR="00962FF3">
        <w:t>,</w:t>
      </w:r>
      <w:r w:rsidR="00B73FAE" w:rsidRPr="00B73FAE">
        <w:t xml:space="preserve"> setting aside</w:t>
      </w:r>
      <w:r w:rsidR="00962FF3">
        <w:t>, and declaring null and void</w:t>
      </w:r>
      <w:r w:rsidR="00B73FAE" w:rsidRPr="00B73FAE">
        <w:t xml:space="preserve"> the appointments of Me</w:t>
      </w:r>
      <w:r w:rsidR="00BF437D">
        <w:t>ssrs </w:t>
      </w:r>
      <w:proofErr w:type="spellStart"/>
      <w:r w:rsidR="00E420E4">
        <w:t>Jili</w:t>
      </w:r>
      <w:proofErr w:type="spellEnd"/>
      <w:r w:rsidR="00E420E4">
        <w:t xml:space="preserve"> and Sibiya</w:t>
      </w:r>
      <w:r w:rsidR="00B73FAE" w:rsidRPr="00B73FAE">
        <w:t xml:space="preserve">. </w:t>
      </w:r>
      <w:r w:rsidR="00B73FAE">
        <w:t xml:space="preserve"> </w:t>
      </w:r>
      <w:r w:rsidR="000B0681" w:rsidRPr="00B73FAE">
        <w:t>In challenging both appointments</w:t>
      </w:r>
      <w:r w:rsidR="000B0681">
        <w:t>,</w:t>
      </w:r>
      <w:r w:rsidR="000B0681" w:rsidRPr="00B73FAE">
        <w:t xml:space="preserve"> rel</w:t>
      </w:r>
      <w:r w:rsidR="00BF437D">
        <w:t>iance was placed on section </w:t>
      </w:r>
      <w:r w:rsidR="004D11E6">
        <w:t>54A</w:t>
      </w:r>
      <w:r w:rsidR="000B0681" w:rsidRPr="00B73FAE">
        <w:t xml:space="preserve">(2) and </w:t>
      </w:r>
      <w:r w:rsidR="000B0681">
        <w:t>(</w:t>
      </w:r>
      <w:r w:rsidR="000B0681" w:rsidRPr="00B73FAE">
        <w:t>3</w:t>
      </w:r>
      <w:r w:rsidR="000B0681">
        <w:t>)</w:t>
      </w:r>
      <w:r w:rsidR="000B0681" w:rsidRPr="00B73FAE">
        <w:t xml:space="preserve"> of the Systems Act. </w:t>
      </w:r>
      <w:r w:rsidR="000B0681">
        <w:t xml:space="preserve"> </w:t>
      </w:r>
      <w:r w:rsidR="00446235">
        <w:t xml:space="preserve">The complaint regarding </w:t>
      </w:r>
      <w:r w:rsidR="00BF437D">
        <w:t>Mr </w:t>
      </w:r>
      <w:proofErr w:type="spellStart"/>
      <w:r w:rsidR="00B73FAE" w:rsidRPr="00B73FAE">
        <w:t>Jili</w:t>
      </w:r>
      <w:r w:rsidR="00446235">
        <w:t>’s</w:t>
      </w:r>
      <w:proofErr w:type="spellEnd"/>
      <w:r w:rsidR="00446235">
        <w:t xml:space="preserve"> appointment was that </w:t>
      </w:r>
      <w:r w:rsidR="00B73FAE" w:rsidRPr="00B73FAE">
        <w:t xml:space="preserve">his experience at management level was less than the </w:t>
      </w:r>
      <w:r w:rsidR="00FF468D" w:rsidRPr="00B73FAE">
        <w:t xml:space="preserve">stipulated </w:t>
      </w:r>
      <w:r w:rsidR="00B73FAE" w:rsidRPr="00B73FAE">
        <w:t xml:space="preserve">minimum period of five years. </w:t>
      </w:r>
      <w:r w:rsidR="0088411F">
        <w:t xml:space="preserve"> Regarding Mr Sibiya, the MEC </w:t>
      </w:r>
      <w:r w:rsidR="00B73FAE" w:rsidRPr="00B73FAE">
        <w:t>alleged that his qualifications were irrelevant for the position and t</w:t>
      </w:r>
      <w:r w:rsidR="00874EDD">
        <w:t>hat he did not have the</w:t>
      </w:r>
      <w:r w:rsidR="00B73FAE" w:rsidRPr="00B73FAE">
        <w:t xml:space="preserve"> required experience at management level. </w:t>
      </w:r>
      <w:r w:rsidR="0088411F">
        <w:t xml:space="preserve"> </w:t>
      </w:r>
      <w:r w:rsidR="00B73FAE" w:rsidRPr="00B73FAE">
        <w:t>The applications were heard simultaneously because the issues raised and the relief sought were identical.</w:t>
      </w:r>
      <w:r w:rsidR="0088411F">
        <w:t xml:space="preserve"> </w:t>
      </w:r>
      <w:r w:rsidR="00B73FAE" w:rsidRPr="00B73FAE">
        <w:t xml:space="preserve"> The High Court dealt wit</w:t>
      </w:r>
      <w:r w:rsidR="0088411F">
        <w:t>h both matters in one judgment.</w:t>
      </w:r>
      <w:bookmarkStart w:id="1" w:name="_Ref88821955"/>
      <w:r w:rsidR="00D268D9">
        <w:rPr>
          <w:rStyle w:val="FootnoteReference"/>
        </w:rPr>
        <w:footnoteReference w:id="6"/>
      </w:r>
      <w:bookmarkEnd w:id="1"/>
    </w:p>
    <w:p w14:paraId="488EA4C1" w14:textId="77777777" w:rsidR="0088411F" w:rsidRPr="0088411F" w:rsidRDefault="0088411F" w:rsidP="006C071C">
      <w:pPr>
        <w:pStyle w:val="JUDGMENTCONTINUED"/>
      </w:pPr>
    </w:p>
    <w:p w14:paraId="61F585C8" w14:textId="1FCA8F5F" w:rsidR="0088411F" w:rsidRPr="001F2338" w:rsidRDefault="0088411F" w:rsidP="006C071C">
      <w:pPr>
        <w:pStyle w:val="JUDGMENTNUMBERED"/>
      </w:pPr>
      <w:r w:rsidRPr="0088411F">
        <w:lastRenderedPageBreak/>
        <w:t>The High Court upheld the applications</w:t>
      </w:r>
      <w:r>
        <w:t xml:space="preserve"> and</w:t>
      </w:r>
      <w:r w:rsidRPr="0088411F">
        <w:t xml:space="preserve"> d</w:t>
      </w:r>
      <w:r>
        <w:t>eclared both the appointments of Mr</w:t>
      </w:r>
      <w:r w:rsidR="00FC0BC7">
        <w:t> </w:t>
      </w:r>
      <w:proofErr w:type="spellStart"/>
      <w:r>
        <w:t>Jili</w:t>
      </w:r>
      <w:proofErr w:type="spellEnd"/>
      <w:r>
        <w:t xml:space="preserve"> and Mr Sibiya</w:t>
      </w:r>
      <w:r w:rsidRPr="0088411F">
        <w:t xml:space="preserve"> null and void. </w:t>
      </w:r>
      <w:r>
        <w:t xml:space="preserve"> </w:t>
      </w:r>
      <w:r w:rsidR="00962FF3">
        <w:t>H</w:t>
      </w:r>
      <w:r w:rsidRPr="0088411F">
        <w:t>owever</w:t>
      </w:r>
      <w:r w:rsidR="005C6AF0">
        <w:t>,</w:t>
      </w:r>
      <w:r w:rsidR="00962FF3">
        <w:t xml:space="preserve"> the Court</w:t>
      </w:r>
      <w:r w:rsidRPr="0088411F">
        <w:t xml:space="preserve"> ordered that the setting aside of the appointments should not operate retrospectively from the date of their respective appointments</w:t>
      </w:r>
      <w:r w:rsidR="00A16EFB">
        <w:t>,</w:t>
      </w:r>
      <w:r w:rsidRPr="0088411F">
        <w:t xml:space="preserve"> but that it should take effect from the date of its order.</w:t>
      </w:r>
      <w:r w:rsidR="003D55E1">
        <w:rPr>
          <w:rStyle w:val="FootnoteReference"/>
        </w:rPr>
        <w:footnoteReference w:id="7"/>
      </w:r>
      <w:r w:rsidRPr="0088411F">
        <w:t xml:space="preserve"> </w:t>
      </w:r>
      <w:r>
        <w:t xml:space="preserve"> </w:t>
      </w:r>
      <w:r w:rsidRPr="0088411F">
        <w:t xml:space="preserve">The respondents were ordered to pay </w:t>
      </w:r>
      <w:r w:rsidR="00A16EFB">
        <w:t xml:space="preserve">the </w:t>
      </w:r>
      <w:r w:rsidRPr="0088411F">
        <w:t>costs of the application jointly and severally and such costs were to include the co</w:t>
      </w:r>
      <w:r w:rsidR="002F65E6">
        <w:t xml:space="preserve">sts </w:t>
      </w:r>
      <w:r w:rsidRPr="0088411F">
        <w:t>of senior counsel.</w:t>
      </w:r>
      <w:r w:rsidR="003D55E1">
        <w:rPr>
          <w:rStyle w:val="FootnoteReference"/>
        </w:rPr>
        <w:footnoteReference w:id="8"/>
      </w:r>
      <w:r w:rsidRPr="0088411F">
        <w:t xml:space="preserve"> </w:t>
      </w:r>
      <w:r>
        <w:t xml:space="preserve"> </w:t>
      </w:r>
      <w:r w:rsidRPr="0088411F">
        <w:t xml:space="preserve">The High Court subsequently granted leave to appeal </w:t>
      </w:r>
      <w:r>
        <w:t>to the Supreme Court of Appeal</w:t>
      </w:r>
      <w:r w:rsidR="0029504A">
        <w:t>.</w:t>
      </w:r>
      <w:r>
        <w:rPr>
          <w:rStyle w:val="FootnoteReference"/>
        </w:rPr>
        <w:footnoteReference w:id="9"/>
      </w:r>
      <w:r>
        <w:t xml:space="preserve"> </w:t>
      </w:r>
      <w:r w:rsidRPr="0088411F">
        <w:t xml:space="preserve"> </w:t>
      </w:r>
      <w:r w:rsidR="001F2338" w:rsidRPr="001F2338">
        <w:t xml:space="preserve">In </w:t>
      </w:r>
      <w:r w:rsidR="00075516">
        <w:t>the</w:t>
      </w:r>
      <w:r w:rsidR="001F2338" w:rsidRPr="001F2338">
        <w:t xml:space="preserve"> majority judgment, </w:t>
      </w:r>
      <w:r w:rsidR="001F2338">
        <w:t xml:space="preserve">supported through a separate concurrence, </w:t>
      </w:r>
      <w:r w:rsidR="001F2338" w:rsidRPr="001F2338">
        <w:t>t</w:t>
      </w:r>
      <w:r w:rsidRPr="001F2338">
        <w:t>hat Court upheld the appeals</w:t>
      </w:r>
      <w:r w:rsidR="001F2338">
        <w:t xml:space="preserve">, whilst the dissenting judgment would have dismissed </w:t>
      </w:r>
      <w:r w:rsidR="004D11E6">
        <w:t>them</w:t>
      </w:r>
      <w:r w:rsidR="001F2338" w:rsidRPr="001F2338">
        <w:t>.</w:t>
      </w:r>
      <w:bookmarkStart w:id="2" w:name="_Ref86922205"/>
      <w:r w:rsidR="003D55E1">
        <w:rPr>
          <w:rStyle w:val="FootnoteReference"/>
        </w:rPr>
        <w:footnoteReference w:id="10"/>
      </w:r>
      <w:bookmarkEnd w:id="2"/>
    </w:p>
    <w:p w14:paraId="42C8A105" w14:textId="77777777" w:rsidR="001F2338" w:rsidRPr="001F2338" w:rsidRDefault="001F2338" w:rsidP="006C071C">
      <w:pPr>
        <w:pStyle w:val="JUDGMENTCONTINUED"/>
      </w:pPr>
    </w:p>
    <w:p w14:paraId="265164BA" w14:textId="7FB9D459" w:rsidR="0088411F" w:rsidRDefault="0088411F" w:rsidP="006C071C">
      <w:pPr>
        <w:pStyle w:val="JUDGMENTNUMBERED"/>
      </w:pPr>
      <w:r w:rsidRPr="0088411F">
        <w:t xml:space="preserve">Although the majority considered </w:t>
      </w:r>
      <w:r>
        <w:t xml:space="preserve">the question </w:t>
      </w:r>
      <w:r w:rsidR="00AB7CF4">
        <w:t xml:space="preserve">of </w:t>
      </w:r>
      <w:r w:rsidRPr="0088411F">
        <w:t xml:space="preserve">whether Messrs </w:t>
      </w:r>
      <w:proofErr w:type="spellStart"/>
      <w:r w:rsidRPr="0088411F">
        <w:t>Jili</w:t>
      </w:r>
      <w:proofErr w:type="spellEnd"/>
      <w:r w:rsidRPr="0088411F">
        <w:t xml:space="preserve"> and Sibiya had </w:t>
      </w:r>
      <w:r w:rsidR="00E12045">
        <w:t>the prescribe</w:t>
      </w:r>
      <w:r w:rsidR="00BF437D">
        <w:t>d qualifications and experience</w:t>
      </w:r>
      <w:r w:rsidR="00E12045">
        <w:t xml:space="preserve"> as envisaged in </w:t>
      </w:r>
      <w:r w:rsidR="00075516">
        <w:t>section </w:t>
      </w:r>
      <w:r>
        <w:t>54A</w:t>
      </w:r>
      <w:r w:rsidR="00E420E4">
        <w:t>(2), this was not the</w:t>
      </w:r>
      <w:r w:rsidRPr="0088411F">
        <w:t xml:space="preserve"> focus of the </w:t>
      </w:r>
      <w:r w:rsidR="00350699">
        <w:t xml:space="preserve">main </w:t>
      </w:r>
      <w:r w:rsidRPr="0088411F">
        <w:t>judgment</w:t>
      </w:r>
      <w:r w:rsidR="00874EDD">
        <w:t xml:space="preserve"> or</w:t>
      </w:r>
      <w:r w:rsidR="00350699">
        <w:t xml:space="preserve"> the separate concurrence</w:t>
      </w:r>
      <w:r w:rsidRPr="0088411F">
        <w:t xml:space="preserve">. </w:t>
      </w:r>
      <w:r>
        <w:t xml:space="preserve"> The </w:t>
      </w:r>
      <w:r w:rsidR="00350699" w:rsidRPr="0088411F">
        <w:t xml:space="preserve">main focus </w:t>
      </w:r>
      <w:r w:rsidR="00566B98">
        <w:t>of both judg</w:t>
      </w:r>
      <w:r w:rsidR="00350699">
        <w:t>ments</w:t>
      </w:r>
      <w:r w:rsidRPr="0088411F">
        <w:t xml:space="preserve"> was the </w:t>
      </w:r>
      <w:r w:rsidR="00566B98">
        <w:t xml:space="preserve">delay occasioned by the </w:t>
      </w:r>
      <w:r w:rsidRPr="0088411F">
        <w:t xml:space="preserve">failure </w:t>
      </w:r>
      <w:r w:rsidR="00566B98">
        <w:t xml:space="preserve">on the part of </w:t>
      </w:r>
      <w:r w:rsidRPr="0088411F">
        <w:t>the M</w:t>
      </w:r>
      <w:r w:rsidR="00E420E4">
        <w:t xml:space="preserve">EC to act within the </w:t>
      </w:r>
      <w:r w:rsidR="009C7F54">
        <w:t>stringent</w:t>
      </w:r>
      <w:r w:rsidR="00BF437D">
        <w:t xml:space="preserve"> time </w:t>
      </w:r>
      <w:r w:rsidRPr="0088411F">
        <w:t>frames prescr</w:t>
      </w:r>
      <w:r w:rsidR="00874EDD">
        <w:t>ibed by the Systems A</w:t>
      </w:r>
      <w:r w:rsidR="00E420E4">
        <w:t>ct, and its</w:t>
      </w:r>
      <w:r w:rsidRPr="0088411F">
        <w:t xml:space="preserve"> delay in bringing the review application</w:t>
      </w:r>
      <w:r w:rsidR="00B8564A">
        <w:t>s</w:t>
      </w:r>
      <w:r w:rsidRPr="0088411F">
        <w:t xml:space="preserve">. </w:t>
      </w:r>
      <w:r>
        <w:t xml:space="preserve"> </w:t>
      </w:r>
      <w:r w:rsidRPr="0088411F">
        <w:t xml:space="preserve">Both judgments found </w:t>
      </w:r>
      <w:r w:rsidR="00874EDD">
        <w:t xml:space="preserve">that </w:t>
      </w:r>
      <w:r w:rsidRPr="0088411F">
        <w:t xml:space="preserve">the delay </w:t>
      </w:r>
      <w:r w:rsidR="00566B98">
        <w:t>in both instances</w:t>
      </w:r>
      <w:r w:rsidR="00874EDD">
        <w:t xml:space="preserve"> was</w:t>
      </w:r>
      <w:r w:rsidRPr="0088411F">
        <w:t xml:space="preserve"> excessive and unreasonable.</w:t>
      </w:r>
      <w:r w:rsidR="003D55E1">
        <w:rPr>
          <w:rStyle w:val="FootnoteReference"/>
        </w:rPr>
        <w:footnoteReference w:id="11"/>
      </w:r>
      <w:r w:rsidRPr="0088411F">
        <w:t xml:space="preserve"> </w:t>
      </w:r>
      <w:r>
        <w:t xml:space="preserve"> </w:t>
      </w:r>
      <w:r w:rsidRPr="0088411F">
        <w:t>In considering an appropriate remedy</w:t>
      </w:r>
      <w:r w:rsidR="001E5980">
        <w:t>, the majority considered</w:t>
      </w:r>
      <w:r w:rsidRPr="0088411F">
        <w:t xml:space="preserve"> the fact that no compla</w:t>
      </w:r>
      <w:r w:rsidR="00BF437D">
        <w:t>ints had been made about Messrs </w:t>
      </w:r>
      <w:proofErr w:type="spellStart"/>
      <w:r w:rsidR="00BF437D">
        <w:t>Jili</w:t>
      </w:r>
      <w:proofErr w:type="spellEnd"/>
      <w:r w:rsidR="00BF437D">
        <w:t> </w:t>
      </w:r>
      <w:r w:rsidRPr="0088411F">
        <w:t>and</w:t>
      </w:r>
      <w:r w:rsidR="00BF437D">
        <w:t> </w:t>
      </w:r>
      <w:r w:rsidRPr="0088411F">
        <w:t>Sibiya’s performance since their respective appointments.</w:t>
      </w:r>
      <w:r w:rsidR="00AE1F7C">
        <w:rPr>
          <w:rStyle w:val="FootnoteReference"/>
        </w:rPr>
        <w:footnoteReference w:id="12"/>
      </w:r>
      <w:r w:rsidRPr="0088411F">
        <w:t xml:space="preserve"> </w:t>
      </w:r>
      <w:r>
        <w:t xml:space="preserve"> </w:t>
      </w:r>
      <w:r w:rsidR="00AE1F7C">
        <w:t>The main judgment</w:t>
      </w:r>
      <w:r w:rsidRPr="0088411F">
        <w:t xml:space="preserve"> also highlighted that the MEC did not identify any prejudice </w:t>
      </w:r>
      <w:r w:rsidR="001E5980">
        <w:t xml:space="preserve">that </w:t>
      </w:r>
      <w:r w:rsidR="00A16EFB">
        <w:t>she</w:t>
      </w:r>
      <w:r w:rsidRPr="0088411F">
        <w:t xml:space="preserve"> may suffer as a result of the preservation of the employment contracts for the remainder of the five-year term.</w:t>
      </w:r>
      <w:r w:rsidR="00AE1F7C">
        <w:rPr>
          <w:rStyle w:val="FootnoteReference"/>
        </w:rPr>
        <w:footnoteReference w:id="13"/>
      </w:r>
      <w:r w:rsidRPr="0088411F">
        <w:t xml:space="preserve"> </w:t>
      </w:r>
      <w:r>
        <w:t xml:space="preserve"> </w:t>
      </w:r>
      <w:r w:rsidRPr="0088411F">
        <w:t>The majority held that</w:t>
      </w:r>
      <w:r w:rsidR="004D11E6">
        <w:t>,</w:t>
      </w:r>
      <w:r w:rsidRPr="0088411F">
        <w:t xml:space="preserve"> in those circumstances</w:t>
      </w:r>
      <w:r w:rsidR="004D11E6">
        <w:t>,</w:t>
      </w:r>
      <w:r w:rsidRPr="0088411F">
        <w:t xml:space="preserve"> a just and equitable remedy was the retention </w:t>
      </w:r>
      <w:r w:rsidRPr="0088411F">
        <w:lastRenderedPageBreak/>
        <w:t xml:space="preserve">of Messrs </w:t>
      </w:r>
      <w:proofErr w:type="spellStart"/>
      <w:r w:rsidRPr="0088411F">
        <w:t>Jili</w:t>
      </w:r>
      <w:proofErr w:type="spellEnd"/>
      <w:r w:rsidRPr="0088411F">
        <w:t xml:space="preserve"> and Sibiya in their current positions for the remainder of their respective employment contracts.</w:t>
      </w:r>
      <w:r w:rsidR="0029191E">
        <w:rPr>
          <w:rStyle w:val="FootnoteReference"/>
        </w:rPr>
        <w:footnoteReference w:id="14"/>
      </w:r>
    </w:p>
    <w:p w14:paraId="4B520792" w14:textId="77777777" w:rsidR="0088411F" w:rsidRPr="0088411F" w:rsidRDefault="0088411F" w:rsidP="006C071C">
      <w:pPr>
        <w:pStyle w:val="JUDGMENTCONTINUED"/>
      </w:pPr>
    </w:p>
    <w:p w14:paraId="3FC26956" w14:textId="32AA0F8B" w:rsidR="0088411F" w:rsidRDefault="0088411F" w:rsidP="006C071C">
      <w:pPr>
        <w:pStyle w:val="JUDGMENTNUMBERED"/>
      </w:pPr>
      <w:r w:rsidRPr="0088411F">
        <w:t>The minority judgment disagreed that the delays were unreasonable.</w:t>
      </w:r>
      <w:r w:rsidR="0029191E">
        <w:rPr>
          <w:rStyle w:val="FootnoteReference"/>
        </w:rPr>
        <w:footnoteReference w:id="15"/>
      </w:r>
      <w:r w:rsidRPr="0088411F">
        <w:t xml:space="preserve"> </w:t>
      </w:r>
      <w:r>
        <w:t xml:space="preserve"> </w:t>
      </w:r>
      <w:r w:rsidRPr="0088411F">
        <w:t xml:space="preserve">Regarding the failure to adhere to the tight time frames prescribed by the Systems Act, the minority expressed the view that the MEC could not be faulted for engaging the Municipalities before approaching the Court as a last resort. </w:t>
      </w:r>
      <w:r>
        <w:t xml:space="preserve"> </w:t>
      </w:r>
      <w:r w:rsidRPr="0088411F">
        <w:t>This, according to the minority</w:t>
      </w:r>
      <w:r w:rsidR="00673C01">
        <w:t>,</w:t>
      </w:r>
      <w:r w:rsidRPr="0088411F">
        <w:t xml:space="preserve"> was done in the spirit of co-operative governance.</w:t>
      </w:r>
      <w:r w:rsidR="0029191E">
        <w:rPr>
          <w:rStyle w:val="FootnoteReference"/>
        </w:rPr>
        <w:footnoteReference w:id="16"/>
      </w:r>
      <w:r w:rsidRPr="0088411F">
        <w:t xml:space="preserve"> </w:t>
      </w:r>
      <w:r>
        <w:t xml:space="preserve"> </w:t>
      </w:r>
      <w:r w:rsidR="00A52214" w:rsidRPr="0088411F">
        <w:t xml:space="preserve">It </w:t>
      </w:r>
      <w:r w:rsidR="00A52214">
        <w:t xml:space="preserve">also </w:t>
      </w:r>
      <w:r w:rsidR="00874EDD">
        <w:t>stated that that</w:t>
      </w:r>
      <w:r w:rsidR="00A52214" w:rsidRPr="0088411F">
        <w:t xml:space="preserve"> Court was not at large to interfere with the discretion of the High Court to grant condonation for the delay in bringing the application for review.</w:t>
      </w:r>
      <w:r w:rsidR="0029191E">
        <w:rPr>
          <w:rStyle w:val="FootnoteReference"/>
        </w:rPr>
        <w:footnoteReference w:id="17"/>
      </w:r>
      <w:r w:rsidR="00A52214" w:rsidRPr="0088411F">
        <w:t xml:space="preserve"> </w:t>
      </w:r>
      <w:r w:rsidR="00254597">
        <w:t xml:space="preserve"> </w:t>
      </w:r>
      <w:r w:rsidRPr="0088411F">
        <w:t>It</w:t>
      </w:r>
      <w:r w:rsidR="00254597">
        <w:t xml:space="preserve"> held that it</w:t>
      </w:r>
      <w:r w:rsidRPr="0088411F">
        <w:t xml:space="preserve"> would have endorsed the High Court’s order de</w:t>
      </w:r>
      <w:r>
        <w:t>claring the appointments null and void</w:t>
      </w:r>
      <w:r w:rsidRPr="0088411F">
        <w:t>.</w:t>
      </w:r>
      <w:r>
        <w:t xml:space="preserve"> </w:t>
      </w:r>
      <w:r w:rsidRPr="0088411F">
        <w:t xml:space="preserve"> However, just like the majority</w:t>
      </w:r>
      <w:r w:rsidR="00DC2C85">
        <w:t>,</w:t>
      </w:r>
      <w:r w:rsidRPr="0088411F">
        <w:t xml:space="preserve"> </w:t>
      </w:r>
      <w:r w:rsidR="00254597">
        <w:t>the minority held that it</w:t>
      </w:r>
      <w:r w:rsidR="00DC2C85">
        <w:t xml:space="preserve"> </w:t>
      </w:r>
      <w:r w:rsidR="00BF437D">
        <w:t>would also have allowed Messrs </w:t>
      </w:r>
      <w:proofErr w:type="spellStart"/>
      <w:r w:rsidRPr="0088411F">
        <w:t>Jili</w:t>
      </w:r>
      <w:proofErr w:type="spellEnd"/>
      <w:r w:rsidRPr="0088411F">
        <w:t xml:space="preserve"> and Sibiya to remain in office until the expiry of their current contracts of employment.</w:t>
      </w:r>
      <w:r w:rsidR="0029191E">
        <w:rPr>
          <w:rStyle w:val="FootnoteReference"/>
        </w:rPr>
        <w:footnoteReference w:id="18"/>
      </w:r>
    </w:p>
    <w:p w14:paraId="6DF7CFB9" w14:textId="661C4DC9" w:rsidR="00C039F1" w:rsidRDefault="00C039F1" w:rsidP="006C071C">
      <w:pPr>
        <w:pStyle w:val="JUDGMENTCONTINUED"/>
      </w:pPr>
    </w:p>
    <w:p w14:paraId="70958B82" w14:textId="7E77BAFE" w:rsidR="00254597" w:rsidRDefault="001A50C4" w:rsidP="006C071C">
      <w:pPr>
        <w:pStyle w:val="HEADING"/>
      </w:pPr>
      <w:r>
        <w:t>In this Court</w:t>
      </w:r>
    </w:p>
    <w:p w14:paraId="4AC4D93E" w14:textId="54F1F124" w:rsidR="00254597" w:rsidRDefault="008E45B9" w:rsidP="006C071C">
      <w:pPr>
        <w:pStyle w:val="JUDGMENTNUMBERED"/>
      </w:pPr>
      <w:r>
        <w:t>In all</w:t>
      </w:r>
      <w:r w:rsidR="009723E9">
        <w:t xml:space="preserve"> applications</w:t>
      </w:r>
      <w:r>
        <w:t xml:space="preserve"> </w:t>
      </w:r>
      <w:r w:rsidR="001E5980">
        <w:t>that seize this Court,</w:t>
      </w:r>
      <w:r w:rsidR="00BA4FBB">
        <w:t xml:space="preserve"> two preliminary </w:t>
      </w:r>
      <w:r w:rsidR="00E420E4">
        <w:t>issues</w:t>
      </w:r>
      <w:r w:rsidR="00E20816">
        <w:t xml:space="preserve"> must be disposed of before this Court will decide whether to venture into the merits of the matter</w:t>
      </w:r>
      <w:r w:rsidR="00BA4FBB">
        <w:t xml:space="preserve">. </w:t>
      </w:r>
      <w:r>
        <w:t xml:space="preserve"> </w:t>
      </w:r>
      <w:r w:rsidR="00582C16">
        <w:t xml:space="preserve">The </w:t>
      </w:r>
      <w:r>
        <w:t xml:space="preserve">first is </w:t>
      </w:r>
      <w:r w:rsidR="00CD1BA1" w:rsidRPr="000F7F2C">
        <w:t xml:space="preserve">whether </w:t>
      </w:r>
      <w:r w:rsidR="007127DF" w:rsidRPr="000F7F2C">
        <w:t>this Court has jurisdiction</w:t>
      </w:r>
      <w:r w:rsidR="00254597" w:rsidRPr="000F7F2C">
        <w:t xml:space="preserve"> to </w:t>
      </w:r>
      <w:r>
        <w:t xml:space="preserve">entertain </w:t>
      </w:r>
      <w:r w:rsidR="00582C16">
        <w:t>the</w:t>
      </w:r>
      <w:r>
        <w:t xml:space="preserve"> </w:t>
      </w:r>
      <w:r w:rsidR="00254597" w:rsidRPr="000F7F2C">
        <w:t xml:space="preserve">application </w:t>
      </w:r>
      <w:r w:rsidR="00F9710D" w:rsidRPr="000F7F2C">
        <w:t>and</w:t>
      </w:r>
      <w:r w:rsidR="002F65E6">
        <w:t>,</w:t>
      </w:r>
      <w:r w:rsidR="00F9710D" w:rsidRPr="000F7F2C">
        <w:t xml:space="preserve"> </w:t>
      </w:r>
      <w:r w:rsidR="00254597" w:rsidRPr="000F7F2C">
        <w:t xml:space="preserve">if </w:t>
      </w:r>
      <w:r w:rsidR="001E5980">
        <w:t>it does</w:t>
      </w:r>
      <w:r w:rsidR="00582C16">
        <w:t xml:space="preserve">, </w:t>
      </w:r>
      <w:r>
        <w:t xml:space="preserve">the second </w:t>
      </w:r>
      <w:r w:rsidR="00673C01">
        <w:t>question</w:t>
      </w:r>
      <w:r w:rsidR="00582C16">
        <w:t xml:space="preserve"> </w:t>
      </w:r>
      <w:r>
        <w:t xml:space="preserve">is </w:t>
      </w:r>
      <w:r w:rsidR="007127DF" w:rsidRPr="004227D9">
        <w:t>whether it is in the interests of justice for this Court to grant leave to appeal.</w:t>
      </w:r>
      <w:r w:rsidR="007127DF" w:rsidRPr="004227D9">
        <w:rPr>
          <w:rStyle w:val="FootnoteReference"/>
        </w:rPr>
        <w:footnoteReference w:id="19"/>
      </w:r>
    </w:p>
    <w:p w14:paraId="5984F942" w14:textId="77777777" w:rsidR="001A3F0E" w:rsidRDefault="001A3F0E" w:rsidP="006C071C">
      <w:pPr>
        <w:pStyle w:val="JUDGMENTCONTINUED"/>
      </w:pPr>
    </w:p>
    <w:p w14:paraId="653357A0" w14:textId="36E568B9" w:rsidR="004227D9" w:rsidRPr="004227D9" w:rsidRDefault="001A50C4" w:rsidP="006C071C">
      <w:pPr>
        <w:pStyle w:val="HEADING"/>
        <w:ind w:firstLine="720"/>
      </w:pPr>
      <w:r>
        <w:lastRenderedPageBreak/>
        <w:t>Jurisdiction</w:t>
      </w:r>
    </w:p>
    <w:p w14:paraId="7DB58750" w14:textId="2D18E7C5" w:rsidR="004227D9" w:rsidRPr="00A644E2" w:rsidRDefault="004227D9" w:rsidP="006C071C">
      <w:pPr>
        <w:pStyle w:val="JUDGMENTNUMBERED"/>
      </w:pPr>
      <w:r w:rsidRPr="00A644E2">
        <w:t>This matter concerns the exercise of public power by the MEC, a</w:t>
      </w:r>
      <w:r w:rsidR="007C4BF7" w:rsidRPr="00A644E2">
        <w:t xml:space="preserve">s well as </w:t>
      </w:r>
      <w:r w:rsidRPr="00A644E2">
        <w:t>th</w:t>
      </w:r>
      <w:r w:rsidR="00673C01">
        <w:t>e interpretation of section 54A</w:t>
      </w:r>
      <w:r w:rsidR="000E7C66" w:rsidRPr="00A644E2">
        <w:t>(3) and</w:t>
      </w:r>
      <w:r w:rsidRPr="00A644E2">
        <w:t xml:space="preserve"> (8) of the Systems Act.</w:t>
      </w:r>
      <w:r w:rsidR="0029191E">
        <w:rPr>
          <w:rStyle w:val="FootnoteReference"/>
        </w:rPr>
        <w:footnoteReference w:id="20"/>
      </w:r>
      <w:r w:rsidRPr="00A644E2">
        <w:t xml:space="preserve"> </w:t>
      </w:r>
      <w:r w:rsidR="00254597" w:rsidRPr="00A644E2">
        <w:t xml:space="preserve"> </w:t>
      </w:r>
      <w:r w:rsidR="000F7F2C" w:rsidRPr="00A644E2">
        <w:t>It raises</w:t>
      </w:r>
      <w:r w:rsidRPr="00A644E2">
        <w:t xml:space="preserve"> a constitutional issue</w:t>
      </w:r>
      <w:r w:rsidR="00673C01">
        <w:t>,</w:t>
      </w:r>
      <w:r w:rsidRPr="00A644E2">
        <w:t xml:space="preserve"> and the jurisdiction of this Court is accordingly engaged.</w:t>
      </w:r>
      <w:bookmarkStart w:id="3" w:name="_Ref86407589"/>
      <w:r w:rsidRPr="00A644E2">
        <w:rPr>
          <w:rStyle w:val="FootnoteReference"/>
        </w:rPr>
        <w:footnoteReference w:id="21"/>
      </w:r>
      <w:bookmarkEnd w:id="3"/>
    </w:p>
    <w:p w14:paraId="3CE8B711" w14:textId="77777777" w:rsidR="004C3312" w:rsidRDefault="004C3312" w:rsidP="006C071C">
      <w:pPr>
        <w:pStyle w:val="JUDGMENTCONTINUED"/>
      </w:pPr>
    </w:p>
    <w:p w14:paraId="297EFB12" w14:textId="26C67847" w:rsidR="00154F59" w:rsidRPr="00154F59" w:rsidRDefault="00154F59" w:rsidP="006C071C">
      <w:pPr>
        <w:pStyle w:val="HEADING"/>
        <w:ind w:firstLine="720"/>
      </w:pPr>
      <w:r w:rsidRPr="00154F59">
        <w:t xml:space="preserve">Leave to </w:t>
      </w:r>
      <w:r w:rsidR="007C4BF7">
        <w:t>a</w:t>
      </w:r>
      <w:r w:rsidRPr="00154F59">
        <w:t>ppeal</w:t>
      </w:r>
    </w:p>
    <w:p w14:paraId="68DF4F93" w14:textId="5DB98AF0" w:rsidR="00575AE7" w:rsidRDefault="002A49EA" w:rsidP="006C071C">
      <w:pPr>
        <w:pStyle w:val="JUDGMENTNUMBERED"/>
        <w:rPr>
          <w:shd w:val="clear" w:color="auto" w:fill="FFFFFF"/>
        </w:rPr>
      </w:pPr>
      <w:r w:rsidRPr="000F7F2C">
        <w:rPr>
          <w:shd w:val="clear" w:color="auto" w:fill="FFFFFF"/>
        </w:rPr>
        <w:t xml:space="preserve">In considering </w:t>
      </w:r>
      <w:r w:rsidR="00BC2D6E" w:rsidRPr="000F7F2C">
        <w:rPr>
          <w:shd w:val="clear" w:color="auto" w:fill="FFFFFF"/>
        </w:rPr>
        <w:t>whether leave to appeal should be granted</w:t>
      </w:r>
      <w:r w:rsidRPr="000F7F2C">
        <w:rPr>
          <w:shd w:val="clear" w:color="auto" w:fill="FFFFFF"/>
        </w:rPr>
        <w:t>,</w:t>
      </w:r>
      <w:r w:rsidR="00254597" w:rsidRPr="000F7F2C">
        <w:t xml:space="preserve"> </w:t>
      </w:r>
      <w:r w:rsidR="00254597" w:rsidRPr="000F7F2C">
        <w:rPr>
          <w:color w:val="242121"/>
          <w:sz w:val="27"/>
          <w:szCs w:val="27"/>
          <w:shd w:val="clear" w:color="auto" w:fill="FFFFFF"/>
        </w:rPr>
        <w:t xml:space="preserve">the </w:t>
      </w:r>
      <w:r w:rsidR="00303125">
        <w:rPr>
          <w:color w:val="242121"/>
          <w:sz w:val="27"/>
          <w:szCs w:val="27"/>
          <w:shd w:val="clear" w:color="auto" w:fill="FFFFFF"/>
        </w:rPr>
        <w:t xml:space="preserve">enquiry into the </w:t>
      </w:r>
      <w:r w:rsidR="003B082F">
        <w:rPr>
          <w:color w:val="242121"/>
          <w:sz w:val="27"/>
          <w:szCs w:val="27"/>
          <w:shd w:val="clear" w:color="auto" w:fill="FFFFFF"/>
        </w:rPr>
        <w:t>interest</w:t>
      </w:r>
      <w:r w:rsidR="00E20816">
        <w:rPr>
          <w:color w:val="242121"/>
          <w:sz w:val="27"/>
          <w:szCs w:val="27"/>
          <w:shd w:val="clear" w:color="auto" w:fill="FFFFFF"/>
        </w:rPr>
        <w:t>s</w:t>
      </w:r>
      <w:r w:rsidR="003B082F">
        <w:rPr>
          <w:color w:val="242121"/>
          <w:sz w:val="27"/>
          <w:szCs w:val="27"/>
          <w:shd w:val="clear" w:color="auto" w:fill="FFFFFF"/>
        </w:rPr>
        <w:t xml:space="preserve"> of justice </w:t>
      </w:r>
      <w:r w:rsidR="003648BF">
        <w:rPr>
          <w:color w:val="242121"/>
          <w:sz w:val="27"/>
          <w:szCs w:val="27"/>
          <w:shd w:val="clear" w:color="auto" w:fill="FFFFFF"/>
        </w:rPr>
        <w:t>play</w:t>
      </w:r>
      <w:r w:rsidR="00303125">
        <w:rPr>
          <w:color w:val="242121"/>
          <w:sz w:val="27"/>
          <w:szCs w:val="27"/>
          <w:shd w:val="clear" w:color="auto" w:fill="FFFFFF"/>
        </w:rPr>
        <w:t>s</w:t>
      </w:r>
      <w:r w:rsidR="00254597" w:rsidRPr="000F7F2C">
        <w:rPr>
          <w:color w:val="242121"/>
          <w:sz w:val="27"/>
          <w:szCs w:val="27"/>
          <w:shd w:val="clear" w:color="auto" w:fill="FFFFFF"/>
        </w:rPr>
        <w:t xml:space="preserve"> a vital role.  In this enquiry,</w:t>
      </w:r>
      <w:r w:rsidRPr="000F7F2C">
        <w:rPr>
          <w:shd w:val="clear" w:color="auto" w:fill="FFFFFF"/>
        </w:rPr>
        <w:t xml:space="preserve"> prospects of success, although not the only factor, are an im</w:t>
      </w:r>
      <w:r w:rsidR="00254597" w:rsidRPr="000F7F2C">
        <w:rPr>
          <w:shd w:val="clear" w:color="auto" w:fill="FFFFFF"/>
        </w:rPr>
        <w:t xml:space="preserve">portant </w:t>
      </w:r>
      <w:r w:rsidR="00874EDD">
        <w:rPr>
          <w:shd w:val="clear" w:color="auto" w:fill="FFFFFF"/>
        </w:rPr>
        <w:t>consideration</w:t>
      </w:r>
      <w:r w:rsidR="00254597" w:rsidRPr="000F7F2C">
        <w:rPr>
          <w:shd w:val="clear" w:color="auto" w:fill="FFFFFF"/>
        </w:rPr>
        <w:t>.</w:t>
      </w:r>
      <w:r w:rsidR="00254597">
        <w:rPr>
          <w:shd w:val="clear" w:color="auto" w:fill="FFFFFF"/>
        </w:rPr>
        <w:t xml:space="preserve">  </w:t>
      </w:r>
      <w:r>
        <w:rPr>
          <w:shd w:val="clear" w:color="auto" w:fill="FFFFFF"/>
        </w:rPr>
        <w:t>The applicant must show that there are reasonable prospects that this Court will reverse or materially alter the decision of the S</w:t>
      </w:r>
      <w:r w:rsidR="007208A6">
        <w:rPr>
          <w:shd w:val="clear" w:color="auto" w:fill="FFFFFF"/>
        </w:rPr>
        <w:t xml:space="preserve">upreme </w:t>
      </w:r>
      <w:r>
        <w:rPr>
          <w:shd w:val="clear" w:color="auto" w:fill="FFFFFF"/>
        </w:rPr>
        <w:t>C</w:t>
      </w:r>
      <w:r w:rsidR="007208A6">
        <w:rPr>
          <w:shd w:val="clear" w:color="auto" w:fill="FFFFFF"/>
        </w:rPr>
        <w:t xml:space="preserve">ourt of </w:t>
      </w:r>
      <w:r>
        <w:rPr>
          <w:shd w:val="clear" w:color="auto" w:fill="FFFFFF"/>
        </w:rPr>
        <w:t>A</w:t>
      </w:r>
      <w:r w:rsidR="007208A6">
        <w:rPr>
          <w:shd w:val="clear" w:color="auto" w:fill="FFFFFF"/>
        </w:rPr>
        <w:t>ppeal</w:t>
      </w:r>
      <w:r>
        <w:rPr>
          <w:shd w:val="clear" w:color="auto" w:fill="FFFFFF"/>
        </w:rPr>
        <w:t>.</w:t>
      </w:r>
      <w:r>
        <w:rPr>
          <w:rStyle w:val="FootnoteReference"/>
          <w:color w:val="242121"/>
          <w:sz w:val="27"/>
          <w:szCs w:val="27"/>
          <w:shd w:val="clear" w:color="auto" w:fill="FFFFFF"/>
        </w:rPr>
        <w:footnoteReference w:id="22"/>
      </w:r>
    </w:p>
    <w:p w14:paraId="191925F5" w14:textId="77777777" w:rsidR="007C147A" w:rsidRPr="007C147A" w:rsidRDefault="007C147A" w:rsidP="006C071C">
      <w:pPr>
        <w:pStyle w:val="JUDGMENTCONTINUED"/>
      </w:pPr>
    </w:p>
    <w:p w14:paraId="29B5759B" w14:textId="5C4BE4FF" w:rsidR="00E20816" w:rsidRDefault="00575AE7" w:rsidP="006C071C">
      <w:pPr>
        <w:pStyle w:val="JUDGMENTNUMBERED"/>
      </w:pPr>
      <w:r>
        <w:t xml:space="preserve">In </w:t>
      </w:r>
      <w:r w:rsidR="007C147A">
        <w:t>determining whether this application bears reasonable pro</w:t>
      </w:r>
      <w:r w:rsidR="00254597">
        <w:t>s</w:t>
      </w:r>
      <w:r w:rsidR="00E7006C">
        <w:t>pects of success</w:t>
      </w:r>
      <w:r w:rsidR="006B7A0B">
        <w:t>,</w:t>
      </w:r>
      <w:r w:rsidR="00E7006C">
        <w:t xml:space="preserve"> it is helpful</w:t>
      </w:r>
      <w:r w:rsidR="00254597">
        <w:t xml:space="preserve"> </w:t>
      </w:r>
      <w:r w:rsidR="007C147A">
        <w:t xml:space="preserve">to consider the </w:t>
      </w:r>
      <w:r w:rsidR="00154F59" w:rsidRPr="00154F59">
        <w:t>grounds of appeal</w:t>
      </w:r>
      <w:r w:rsidR="006B7A0B">
        <w:t>,</w:t>
      </w:r>
      <w:r w:rsidR="00154F59" w:rsidRPr="00154F59">
        <w:t xml:space="preserve"> and the grounds advanced by</w:t>
      </w:r>
      <w:r w:rsidR="00E20816">
        <w:t xml:space="preserve"> </w:t>
      </w:r>
      <w:r w:rsidR="006B7A0B">
        <w:t xml:space="preserve">both </w:t>
      </w:r>
      <w:r w:rsidR="00E20816">
        <w:t xml:space="preserve">the applicant </w:t>
      </w:r>
      <w:r w:rsidR="006B7A0B">
        <w:t>and</w:t>
      </w:r>
      <w:r w:rsidR="00281220">
        <w:t xml:space="preserve"> the</w:t>
      </w:r>
      <w:r w:rsidR="006B7A0B">
        <w:t xml:space="preserve"> </w:t>
      </w:r>
      <w:r w:rsidR="00E20816">
        <w:t>respondent</w:t>
      </w:r>
      <w:r w:rsidR="00254597">
        <w:t>s in opposing this</w:t>
      </w:r>
      <w:r w:rsidR="00E20816">
        <w:t xml:space="preserve"> application.</w:t>
      </w:r>
    </w:p>
    <w:p w14:paraId="6E105060" w14:textId="77777777" w:rsidR="00E20816" w:rsidRPr="00E20816" w:rsidRDefault="00E20816" w:rsidP="006C071C">
      <w:pPr>
        <w:pStyle w:val="JUDGMENTCONTINUED"/>
      </w:pPr>
    </w:p>
    <w:p w14:paraId="0E7A61FD" w14:textId="4E9E80EF" w:rsidR="00786C44" w:rsidRDefault="0026073B" w:rsidP="006C071C">
      <w:pPr>
        <w:pStyle w:val="JUDGMENTNUMBERED"/>
      </w:pPr>
      <w:r>
        <w:t xml:space="preserve">The MEC’s main ground of appeal against </w:t>
      </w:r>
      <w:r w:rsidR="00154F59" w:rsidRPr="00154F59">
        <w:t>the decision of the Supreme</w:t>
      </w:r>
      <w:r w:rsidR="006D3531">
        <w:t> </w:t>
      </w:r>
      <w:r w:rsidR="00154F59" w:rsidRPr="00154F59">
        <w:t>Court</w:t>
      </w:r>
      <w:r w:rsidR="006D3531">
        <w:t> </w:t>
      </w:r>
      <w:r w:rsidR="00154F59" w:rsidRPr="00154F59">
        <w:t>of</w:t>
      </w:r>
      <w:r w:rsidR="006D3531">
        <w:t> </w:t>
      </w:r>
      <w:r w:rsidR="00154F59" w:rsidRPr="00154F59">
        <w:t xml:space="preserve">Appeal is that the majority </w:t>
      </w:r>
      <w:r w:rsidR="00874EDD">
        <w:t>erred in holding that her failure to adhere</w:t>
      </w:r>
      <w:r w:rsidR="002F65E6">
        <w:t xml:space="preserve"> to the prescribed t</w:t>
      </w:r>
      <w:r w:rsidR="001E5980">
        <w:t>ime</w:t>
      </w:r>
      <w:r w:rsidR="00C07B34">
        <w:t>lines</w:t>
      </w:r>
      <w:r w:rsidR="00035DE9">
        <w:t xml:space="preserve"> and </w:t>
      </w:r>
      <w:r w:rsidR="00E20816">
        <w:t>its</w:t>
      </w:r>
      <w:r w:rsidR="00874EDD">
        <w:t xml:space="preserve"> delay </w:t>
      </w:r>
      <w:r w:rsidR="00035DE9" w:rsidRPr="00154F59">
        <w:t>in launching the review application</w:t>
      </w:r>
      <w:r w:rsidR="00035DE9">
        <w:t xml:space="preserve"> </w:t>
      </w:r>
      <w:r w:rsidR="00E20816">
        <w:t>were</w:t>
      </w:r>
      <w:r w:rsidR="00154F59" w:rsidRPr="00154F59">
        <w:t xml:space="preserve"> inordinate. </w:t>
      </w:r>
      <w:r w:rsidR="00575AE7">
        <w:t xml:space="preserve"> </w:t>
      </w:r>
      <w:r w:rsidR="00115B16">
        <w:t xml:space="preserve">The MEC’s </w:t>
      </w:r>
      <w:r w:rsidR="00035DE9">
        <w:t xml:space="preserve">further </w:t>
      </w:r>
      <w:r w:rsidR="00115B16">
        <w:t xml:space="preserve">contention is </w:t>
      </w:r>
      <w:r w:rsidR="00154F59" w:rsidRPr="00154F59">
        <w:t>that the Supreme Court of Appeal erred in deciding not to set</w:t>
      </w:r>
      <w:r w:rsidR="00281220">
        <w:t xml:space="preserve"> aside</w:t>
      </w:r>
      <w:r w:rsidR="00154F59" w:rsidRPr="00154F59">
        <w:t xml:space="preserve"> the appointments of Messrs </w:t>
      </w:r>
      <w:proofErr w:type="spellStart"/>
      <w:r w:rsidR="00154F59" w:rsidRPr="00154F59">
        <w:t>Jili</w:t>
      </w:r>
      <w:proofErr w:type="spellEnd"/>
      <w:r w:rsidR="00154F59" w:rsidRPr="00154F59">
        <w:t xml:space="preserve"> and Sibiya. </w:t>
      </w:r>
      <w:r w:rsidR="00115B16">
        <w:t xml:space="preserve"> Based on these </w:t>
      </w:r>
      <w:r w:rsidR="00115B16">
        <w:lastRenderedPageBreak/>
        <w:t>contentions, the</w:t>
      </w:r>
      <w:r w:rsidR="00154F59" w:rsidRPr="00154F59">
        <w:t xml:space="preserve"> MEC accordingly asks this Court to declare the appointments null and void and to set them aside.</w:t>
      </w:r>
    </w:p>
    <w:p w14:paraId="185A244D" w14:textId="77777777" w:rsidR="00786C44" w:rsidRPr="00786C44" w:rsidRDefault="00786C44" w:rsidP="006C071C">
      <w:pPr>
        <w:pStyle w:val="JUDGMENTCONTINUED"/>
      </w:pPr>
    </w:p>
    <w:p w14:paraId="1CB353C7" w14:textId="5209D11F" w:rsidR="00E20816" w:rsidRDefault="00035DE9" w:rsidP="006C071C">
      <w:pPr>
        <w:pStyle w:val="JUDGMENTNUMBERED"/>
      </w:pPr>
      <w:r>
        <w:t>In opposing the application, t</w:t>
      </w:r>
      <w:r w:rsidR="00115B16">
        <w:t xml:space="preserve">he </w:t>
      </w:r>
      <w:r>
        <w:t>respondents align themselve</w:t>
      </w:r>
      <w:r w:rsidR="00786C44">
        <w:t>s with the majority reasoning of</w:t>
      </w:r>
      <w:r>
        <w:t xml:space="preserve"> the Supreme Court of Appeal regarding the delay. </w:t>
      </w:r>
      <w:r w:rsidR="002241CB">
        <w:t xml:space="preserve"> </w:t>
      </w:r>
      <w:r>
        <w:t xml:space="preserve">The respondents also submit that </w:t>
      </w:r>
      <w:r w:rsidR="00115B16">
        <w:t xml:space="preserve">the application is moot and </w:t>
      </w:r>
      <w:r w:rsidR="00673C01">
        <w:t xml:space="preserve">that </w:t>
      </w:r>
      <w:r w:rsidR="00115B16">
        <w:t>leave to appe</w:t>
      </w:r>
      <w:r w:rsidR="00E20816">
        <w:t>al should therefore be refused.</w:t>
      </w:r>
    </w:p>
    <w:p w14:paraId="0C2EED3B" w14:textId="77777777" w:rsidR="00E20816" w:rsidRPr="00E20816" w:rsidRDefault="00E20816" w:rsidP="006C071C">
      <w:pPr>
        <w:pStyle w:val="JUDGMENTCONTINUED"/>
      </w:pPr>
    </w:p>
    <w:p w14:paraId="14F6CE04" w14:textId="57B41CC3" w:rsidR="004C3312" w:rsidRDefault="00035DE9" w:rsidP="006C071C">
      <w:pPr>
        <w:pStyle w:val="JUDGMENTNUMBERED"/>
      </w:pPr>
      <w:r>
        <w:t>I will first deal with the respondents’ submissions on mootness because i</w:t>
      </w:r>
      <w:r w:rsidR="00786C44">
        <w:t xml:space="preserve">f this matter is indeed moot, </w:t>
      </w:r>
      <w:r w:rsidR="00E20816">
        <w:t xml:space="preserve">granting leave to appeal </w:t>
      </w:r>
      <w:r w:rsidR="00786C44">
        <w:t xml:space="preserve">will </w:t>
      </w:r>
      <w:r w:rsidR="00E20816">
        <w:t>serve no purpose.</w:t>
      </w:r>
    </w:p>
    <w:p w14:paraId="7A4DE263" w14:textId="77777777" w:rsidR="00771469" w:rsidRPr="00771469" w:rsidRDefault="00771469" w:rsidP="006C071C">
      <w:pPr>
        <w:pStyle w:val="JUDGMENTCONTINUED"/>
      </w:pPr>
    </w:p>
    <w:p w14:paraId="77BCF452" w14:textId="2F891C9C" w:rsidR="009A581A" w:rsidRDefault="001A50C4" w:rsidP="006C071C">
      <w:pPr>
        <w:pStyle w:val="HEADING"/>
        <w:ind w:firstLine="720"/>
      </w:pPr>
      <w:r>
        <w:t>Mootness</w:t>
      </w:r>
    </w:p>
    <w:p w14:paraId="5E0CBB6C" w14:textId="468CA494" w:rsidR="00154F59" w:rsidRDefault="004D7565" w:rsidP="006C071C">
      <w:pPr>
        <w:pStyle w:val="JUDGMENTNUMBERED"/>
      </w:pPr>
      <w:r w:rsidRPr="004D7565">
        <w:t xml:space="preserve">The principles applicable to mootness are trite. </w:t>
      </w:r>
      <w:r>
        <w:t xml:space="preserve"> </w:t>
      </w:r>
      <w:r w:rsidRPr="004D7565">
        <w:t>Courts should not decide matters that are abstract or academic and which do not have any practical effect</w:t>
      </w:r>
      <w:r w:rsidR="003D266E">
        <w:t>,</w:t>
      </w:r>
      <w:r w:rsidRPr="004D7565">
        <w:t xml:space="preserve"> either on the parties before th</w:t>
      </w:r>
      <w:r w:rsidR="00874EDD">
        <w:t>e court or the public at large</w:t>
      </w:r>
      <w:r w:rsidRPr="004D7565">
        <w:t xml:space="preserve">. </w:t>
      </w:r>
      <w:r>
        <w:t xml:space="preserve"> </w:t>
      </w:r>
      <w:r w:rsidRPr="004D7565">
        <w:t>Th</w:t>
      </w:r>
      <w:r>
        <w:t xml:space="preserve">e question is a </w:t>
      </w:r>
      <w:r w:rsidR="00602383">
        <w:t>positive one</w:t>
      </w:r>
      <w:r w:rsidR="00874EDD">
        <w:t>, namely</w:t>
      </w:r>
      <w:r w:rsidR="00602383">
        <w:t xml:space="preserve"> </w:t>
      </w:r>
      <w:r w:rsidRPr="004D7565">
        <w:t>whether a judgment or order of the court will have a practical effect and not whether it will be of importance for a hypothetical future case.</w:t>
      </w:r>
      <w:r>
        <w:rPr>
          <w:rStyle w:val="FootnoteReference"/>
        </w:rPr>
        <w:footnoteReference w:id="23"/>
      </w:r>
      <w:r w:rsidRPr="004D7565">
        <w:t xml:space="preserve">  A matter is </w:t>
      </w:r>
      <w:r w:rsidR="00C63D88">
        <w:t xml:space="preserve">also </w:t>
      </w:r>
      <w:r w:rsidRPr="004D7565">
        <w:t>moot and not justiciable if it no longer presents an existing or</w:t>
      </w:r>
      <w:r w:rsidR="00C91D35">
        <w:t xml:space="preserve"> live controversy.</w:t>
      </w:r>
      <w:r w:rsidR="00C91D35">
        <w:rPr>
          <w:rStyle w:val="FootnoteReference"/>
        </w:rPr>
        <w:footnoteReference w:id="24"/>
      </w:r>
      <w:r w:rsidR="002F0CE8">
        <w:t xml:space="preserve"> </w:t>
      </w:r>
      <w:r w:rsidR="001A50C4">
        <w:t xml:space="preserve"> </w:t>
      </w:r>
      <w:r w:rsidR="002F0CE8">
        <w:t>However, w</w:t>
      </w:r>
      <w:r w:rsidR="0013627B" w:rsidRPr="0013627B">
        <w:t>here the interests of justice so require, a court still has a discretion to determine a matter despite its mootness</w:t>
      </w:r>
      <w:r w:rsidR="0013627B">
        <w:t>.</w:t>
      </w:r>
      <w:bookmarkStart w:id="4" w:name="_Ref86407075"/>
      <w:r w:rsidR="0013627B">
        <w:rPr>
          <w:rStyle w:val="FootnoteReference"/>
        </w:rPr>
        <w:footnoteReference w:id="25"/>
      </w:r>
      <w:bookmarkEnd w:id="4"/>
      <w:r w:rsidR="0013627B">
        <w:t xml:space="preserve">  </w:t>
      </w:r>
      <w:r w:rsidR="002F0CE8">
        <w:t xml:space="preserve">Several factors are considered in order to determine whether the interests of justice require that the matter should be determined nonetheless. </w:t>
      </w:r>
      <w:r w:rsidR="00602383">
        <w:t xml:space="preserve"> </w:t>
      </w:r>
      <w:r w:rsidR="0013627B" w:rsidRPr="0013627B">
        <w:t xml:space="preserve">Where there </w:t>
      </w:r>
      <w:r w:rsidR="00E20816">
        <w:t>are two conflicting judgments of</w:t>
      </w:r>
      <w:r w:rsidR="0013627B" w:rsidRPr="0013627B">
        <w:t xml:space="preserve"> different courts, especially where an appeal court’s outcome has binding implications for future matters, it weighs in favour of </w:t>
      </w:r>
      <w:r w:rsidR="0013627B">
        <w:lastRenderedPageBreak/>
        <w:t xml:space="preserve">granting leave to appeal and thereby </w:t>
      </w:r>
      <w:r w:rsidR="0013627B" w:rsidRPr="0013627B">
        <w:t>entertaining a moot matter.</w:t>
      </w:r>
      <w:r w:rsidR="0013627B">
        <w:rPr>
          <w:rStyle w:val="FootnoteReference"/>
        </w:rPr>
        <w:footnoteReference w:id="26"/>
      </w:r>
      <w:r w:rsidR="0013627B">
        <w:t xml:space="preserve">  </w:t>
      </w:r>
      <w:r w:rsidR="0013627B" w:rsidRPr="0013627B">
        <w:t>Another factor is the nature and extent of the practical effect that any possible order might have.</w:t>
      </w:r>
      <w:r w:rsidR="0013627B">
        <w:rPr>
          <w:rStyle w:val="FootnoteReference"/>
        </w:rPr>
        <w:footnoteReference w:id="27"/>
      </w:r>
    </w:p>
    <w:p w14:paraId="4E2CFDE5" w14:textId="77777777" w:rsidR="0013627B" w:rsidRDefault="0013627B" w:rsidP="006C071C">
      <w:pPr>
        <w:pStyle w:val="JUDGMENTCONTINUED"/>
      </w:pPr>
    </w:p>
    <w:p w14:paraId="155D09D5" w14:textId="5B674BCF" w:rsidR="002B04CE" w:rsidRDefault="00D72FFA" w:rsidP="006C071C">
      <w:pPr>
        <w:pStyle w:val="JUDGMENTNUMBERED"/>
      </w:pPr>
      <w:r>
        <w:t xml:space="preserve">In </w:t>
      </w:r>
      <w:r w:rsidR="00CA4B5E">
        <w:t xml:space="preserve">contending that the matter is moot, the respondents rely on </w:t>
      </w:r>
      <w:r w:rsidR="0015089A" w:rsidRPr="0013627B">
        <w:rPr>
          <w:i/>
        </w:rPr>
        <w:t>SAMWU</w:t>
      </w:r>
      <w:r w:rsidR="0029504A">
        <w:t>,</w:t>
      </w:r>
      <w:bookmarkStart w:id="5" w:name="_Ref88820357"/>
      <w:r w:rsidR="001C5B21" w:rsidRPr="0093525E">
        <w:rPr>
          <w:rStyle w:val="FootnoteReference"/>
        </w:rPr>
        <w:footnoteReference w:id="28"/>
      </w:r>
      <w:bookmarkEnd w:id="5"/>
      <w:r w:rsidR="002B04CE">
        <w:rPr>
          <w:i/>
        </w:rPr>
        <w:t xml:space="preserve"> </w:t>
      </w:r>
      <w:r w:rsidR="002B04CE" w:rsidRPr="002B04CE">
        <w:t>in which</w:t>
      </w:r>
      <w:r w:rsidR="00881EE3">
        <w:t xml:space="preserve"> </w:t>
      </w:r>
      <w:r w:rsidR="0013627B">
        <w:t>this Court declared section 54A of the Systems Act invalid and unconstitutional in terms of section 172 of the Constitution.</w:t>
      </w:r>
      <w:r w:rsidR="00F57A2A">
        <w:rPr>
          <w:rStyle w:val="FootnoteReference"/>
        </w:rPr>
        <w:footnoteReference w:id="29"/>
      </w:r>
      <w:r w:rsidR="0013627B">
        <w:t xml:space="preserve">  </w:t>
      </w:r>
      <w:r w:rsidR="00602383" w:rsidRPr="00E7006C">
        <w:t>In that matter, this Court</w:t>
      </w:r>
      <w:r w:rsidR="00A92092" w:rsidRPr="00173424">
        <w:t xml:space="preserve"> specifically limited the retrospective effect of its declaration of invalidity and held that the invalidity will operate prospectively.</w:t>
      </w:r>
      <w:r w:rsidR="001A50C4">
        <w:t xml:space="preserve"> </w:t>
      </w:r>
      <w:r w:rsidR="00A92092">
        <w:t xml:space="preserve"> It then suspended t</w:t>
      </w:r>
      <w:r w:rsidR="0013627B">
        <w:t>he order of invalidity for</w:t>
      </w:r>
      <w:r w:rsidR="00C07B34">
        <w:t xml:space="preserve"> a period of 24</w:t>
      </w:r>
      <w:r w:rsidR="004F2461">
        <w:t> </w:t>
      </w:r>
      <w:r w:rsidR="00C07B34">
        <w:t xml:space="preserve">months </w:t>
      </w:r>
      <w:r w:rsidR="0013627B">
        <w:t>to afford Parliament an opportunity to cure the defect that led to the order of invalidity.</w:t>
      </w:r>
    </w:p>
    <w:p w14:paraId="451B0AA8" w14:textId="77777777" w:rsidR="002B04CE" w:rsidRDefault="002B04CE" w:rsidP="006C071C">
      <w:pPr>
        <w:pStyle w:val="JUDGMENTCONTINUED"/>
      </w:pPr>
    </w:p>
    <w:p w14:paraId="5523FDC2" w14:textId="29DDBF03" w:rsidR="00BA65DA" w:rsidRDefault="0013627B" w:rsidP="006C071C">
      <w:pPr>
        <w:pStyle w:val="JUDGMENTNUMBERED"/>
      </w:pPr>
      <w:r>
        <w:t>A declaration of invalidity</w:t>
      </w:r>
      <w:r w:rsidR="00F57A2A">
        <w:t xml:space="preserve"> means that a provision or s</w:t>
      </w:r>
      <w:r>
        <w:t xml:space="preserve">tatute is unenforceable as a result of the </w:t>
      </w:r>
      <w:r w:rsidR="00F57A2A">
        <w:t xml:space="preserve">declaration of </w:t>
      </w:r>
      <w:r>
        <w:t xml:space="preserve">invalidity. </w:t>
      </w:r>
      <w:r w:rsidR="00602383">
        <w:t xml:space="preserve"> </w:t>
      </w:r>
      <w:r w:rsidR="00BA65DA" w:rsidRPr="00BA65DA">
        <w:t xml:space="preserve">An order </w:t>
      </w:r>
      <w:r w:rsidR="00881EE3">
        <w:t xml:space="preserve">suspending the order of invalidity </w:t>
      </w:r>
      <w:r w:rsidR="00BA65DA" w:rsidRPr="00BA65DA">
        <w:t>keeps the provision or the law alive until the suspension period has lapsed or</w:t>
      </w:r>
      <w:r w:rsidR="002F65E6">
        <w:t xml:space="preserve"> until</w:t>
      </w:r>
      <w:r w:rsidR="00BA65DA" w:rsidRPr="00BA65DA">
        <w:t xml:space="preserve"> Parliament has either rectified the source of its invalidity or amended it.  Interested parties may also approach this Court for an order extending the period of suspension. </w:t>
      </w:r>
      <w:r w:rsidR="00BA65DA">
        <w:t xml:space="preserve"> </w:t>
      </w:r>
      <w:r w:rsidR="000C79B9">
        <w:t xml:space="preserve">This must be done before the period of suspension has expired. </w:t>
      </w:r>
      <w:r w:rsidR="00602383">
        <w:t xml:space="preserve"> </w:t>
      </w:r>
      <w:r w:rsidR="00E7006C">
        <w:t xml:space="preserve">In </w:t>
      </w:r>
      <w:r w:rsidR="00E7006C" w:rsidRPr="00E7006C">
        <w:rPr>
          <w:i/>
        </w:rPr>
        <w:t>SAMWU</w:t>
      </w:r>
      <w:r w:rsidR="00E20816">
        <w:t xml:space="preserve">, </w:t>
      </w:r>
      <w:r w:rsidR="00602383" w:rsidRPr="00E7006C">
        <w:t xml:space="preserve">Parliament did not take advantage of the suspension period to rectify the source of the declaration </w:t>
      </w:r>
      <w:r w:rsidR="00602383" w:rsidRPr="00E7006C">
        <w:lastRenderedPageBreak/>
        <w:t>of invalidity after the decision of this Court</w:t>
      </w:r>
      <w:r w:rsidR="00BA65DA" w:rsidRPr="00E7006C">
        <w:t>.</w:t>
      </w:r>
      <w:r w:rsidR="00BA65DA" w:rsidRPr="00BA65DA">
        <w:t xml:space="preserve"> </w:t>
      </w:r>
      <w:r w:rsidR="00BA65DA">
        <w:t xml:space="preserve"> </w:t>
      </w:r>
      <w:r w:rsidR="00BA65DA" w:rsidRPr="00BA65DA">
        <w:t xml:space="preserve">The Minister </w:t>
      </w:r>
      <w:r w:rsidR="00903118">
        <w:t>also did not</w:t>
      </w:r>
      <w:r w:rsidR="00BA65DA" w:rsidRPr="00BA65DA">
        <w:t xml:space="preserve"> approach this Cour</w:t>
      </w:r>
      <w:r w:rsidR="00903118">
        <w:t xml:space="preserve">t for an order extending </w:t>
      </w:r>
      <w:r w:rsidR="00BA65DA" w:rsidRPr="00BA65DA">
        <w:t xml:space="preserve">the suspension period before </w:t>
      </w:r>
      <w:r w:rsidR="00E53C23">
        <w:t>its expiry.</w:t>
      </w:r>
    </w:p>
    <w:p w14:paraId="004EDE94" w14:textId="77777777" w:rsidR="00BA65DA" w:rsidRPr="00BA65DA" w:rsidRDefault="00BA65DA" w:rsidP="006C071C">
      <w:pPr>
        <w:pStyle w:val="JUDGMENTCONTINUED"/>
      </w:pPr>
    </w:p>
    <w:p w14:paraId="1EE063F0" w14:textId="758E1576" w:rsidR="00BA65DA" w:rsidRDefault="00BA65DA" w:rsidP="006C071C">
      <w:pPr>
        <w:pStyle w:val="JUDGMENTNUMBERED"/>
      </w:pPr>
      <w:r w:rsidRPr="00BA65DA">
        <w:t>The</w:t>
      </w:r>
      <w:r w:rsidR="00187119">
        <w:t xml:space="preserve"> period of suspension ended on 8</w:t>
      </w:r>
      <w:r w:rsidRPr="00BA65DA">
        <w:t xml:space="preserve"> March 2019.  Until 8 March 2019</w:t>
      </w:r>
      <w:r w:rsidR="00C07B34">
        <w:t>,</w:t>
      </w:r>
      <w:r w:rsidRPr="00BA65DA">
        <w:t xml:space="preserve"> there could be reliance on section 54A because the suspension had the effect of keeping it enforceable despite the order of invalidity. </w:t>
      </w:r>
      <w:r w:rsidR="00602383">
        <w:t xml:space="preserve"> </w:t>
      </w:r>
      <w:r w:rsidRPr="00BA65DA">
        <w:t xml:space="preserve">Once the suspension period </w:t>
      </w:r>
      <w:r w:rsidR="00070F6F">
        <w:t xml:space="preserve">had </w:t>
      </w:r>
      <w:r w:rsidRPr="00BA65DA">
        <w:t>expired, the order of invalidity kicked in</w:t>
      </w:r>
      <w:r w:rsidR="00881EE3">
        <w:t xml:space="preserve">. </w:t>
      </w:r>
      <w:r w:rsidR="00602383">
        <w:t xml:space="preserve"> </w:t>
      </w:r>
      <w:r w:rsidR="00881EE3">
        <w:t>A</w:t>
      </w:r>
      <w:r w:rsidR="00E865B0" w:rsidRPr="0078068A">
        <w:t>fter this</w:t>
      </w:r>
      <w:r w:rsidRPr="00BA65DA">
        <w:t xml:space="preserve"> there could no longer be any reliance </w:t>
      </w:r>
      <w:r w:rsidR="0060641F" w:rsidRPr="00BA65DA">
        <w:t xml:space="preserve">by the MEC </w:t>
      </w:r>
      <w:r w:rsidRPr="00BA65DA">
        <w:t>on the section to seek an order to declare the appointments null and void</w:t>
      </w:r>
      <w:r w:rsidR="00E865B0">
        <w:t xml:space="preserve"> </w:t>
      </w:r>
      <w:r w:rsidR="00881EE3">
        <w:t>because i</w:t>
      </w:r>
      <w:r w:rsidR="00C07B34">
        <w:t>t was invalid and therefore un</w:t>
      </w:r>
      <w:r w:rsidR="00881EE3">
        <w:t>enforceable.</w:t>
      </w:r>
    </w:p>
    <w:p w14:paraId="48108887" w14:textId="77777777" w:rsidR="00881EE3" w:rsidRPr="00881EE3" w:rsidRDefault="00881EE3" w:rsidP="006C071C">
      <w:pPr>
        <w:pStyle w:val="JUDGMENTCONTINUED"/>
      </w:pPr>
    </w:p>
    <w:p w14:paraId="408D9440" w14:textId="3EB2AA29" w:rsidR="00005B96" w:rsidRDefault="005E648C" w:rsidP="006C071C">
      <w:pPr>
        <w:pStyle w:val="JUDGMENTNUMBERED"/>
      </w:pPr>
      <w:r>
        <w:t>T</w:t>
      </w:r>
      <w:r w:rsidR="00AF7A34">
        <w:t xml:space="preserve">he </w:t>
      </w:r>
      <w:r w:rsidR="00005B96" w:rsidRPr="003933DC">
        <w:t xml:space="preserve">High Court declared the appointments null and void, </w:t>
      </w:r>
      <w:r w:rsidR="00005B96">
        <w:t xml:space="preserve">but </w:t>
      </w:r>
      <w:r w:rsidR="00005B96" w:rsidRPr="003933DC">
        <w:t>it ordered that their setting aside should not operate retrospectively from the date of the respective appointments but</w:t>
      </w:r>
      <w:r w:rsidR="006B7A0B">
        <w:t xml:space="preserve"> should rather come into effect</w:t>
      </w:r>
      <w:r w:rsidR="00005B96" w:rsidRPr="003933DC">
        <w:t xml:space="preserve"> from the date of </w:t>
      </w:r>
      <w:r w:rsidR="00005B96">
        <w:t>its order.</w:t>
      </w:r>
      <w:r w:rsidR="001A50C4">
        <w:t xml:space="preserve"> </w:t>
      </w:r>
      <w:r w:rsidR="00005B96">
        <w:t xml:space="preserve"> The effect of this is </w:t>
      </w:r>
      <w:r w:rsidR="00005B96" w:rsidRPr="003933DC">
        <w:t xml:space="preserve">that the appointments were </w:t>
      </w:r>
      <w:r w:rsidR="00005B96">
        <w:t xml:space="preserve">set aside </w:t>
      </w:r>
      <w:r w:rsidR="00005B96" w:rsidRPr="003933DC">
        <w:t>with effect from 21</w:t>
      </w:r>
      <w:r w:rsidR="004F2461">
        <w:t xml:space="preserve"> </w:t>
      </w:r>
      <w:r w:rsidR="00005B96" w:rsidRPr="003933DC">
        <w:t>February 2019.</w:t>
      </w:r>
      <w:r w:rsidR="001A50C4">
        <w:t xml:space="preserve"> </w:t>
      </w:r>
      <w:r w:rsidR="00005B96" w:rsidRPr="003933DC">
        <w:t xml:space="preserve"> The suspension of the declaration of invalidity expired on 8</w:t>
      </w:r>
      <w:r w:rsidR="00070F6F">
        <w:t xml:space="preserve"> </w:t>
      </w:r>
      <w:r w:rsidR="00005B96" w:rsidRPr="003933DC">
        <w:t>March</w:t>
      </w:r>
      <w:r w:rsidR="00070F6F">
        <w:t xml:space="preserve"> </w:t>
      </w:r>
      <w:r w:rsidR="006B7A0B">
        <w:t>2019, approximately 15 days after the High Court o</w:t>
      </w:r>
      <w:r w:rsidR="00005B96" w:rsidRPr="003933DC">
        <w:t>rder.</w:t>
      </w:r>
      <w:r w:rsidR="007474E1">
        <w:t xml:space="preserve"> </w:t>
      </w:r>
      <w:r w:rsidRPr="005E648C">
        <w:t xml:space="preserve"> </w:t>
      </w:r>
      <w:r>
        <w:t>Although there was a window period between the date of the High Court order and the date on which the suspension period lapsed, the MEC conceded during argument in this Court that it did not seek an order setting aside the appointments just for the period between these two dates.  T</w:t>
      </w:r>
      <w:r w:rsidRPr="003933DC">
        <w:t>h</w:t>
      </w:r>
      <w:r w:rsidR="00C07B34">
        <w:t xml:space="preserve">is is understandable </w:t>
      </w:r>
      <w:r>
        <w:t>because th</w:t>
      </w:r>
      <w:r w:rsidR="004E24A3">
        <w:t>is</w:t>
      </w:r>
      <w:r w:rsidRPr="003933DC">
        <w:t xml:space="preserve"> </w:t>
      </w:r>
      <w:r>
        <w:t xml:space="preserve">window period </w:t>
      </w:r>
      <w:r w:rsidR="00771469">
        <w:t>was approximately 15 days.</w:t>
      </w:r>
    </w:p>
    <w:p w14:paraId="71287C62" w14:textId="77777777" w:rsidR="00A16DC1" w:rsidRPr="00A16DC1" w:rsidRDefault="00A16DC1" w:rsidP="006C071C">
      <w:pPr>
        <w:pStyle w:val="JUDGMENTCONTINUED"/>
      </w:pPr>
    </w:p>
    <w:p w14:paraId="434B91E6" w14:textId="0AADA643" w:rsidR="006616AE" w:rsidRDefault="001C5FAD" w:rsidP="006C071C">
      <w:pPr>
        <w:pStyle w:val="JUDGMENTNUMBERED"/>
      </w:pPr>
      <w:bookmarkStart w:id="6" w:name="_Ref88819066"/>
      <w:r>
        <w:t>As s</w:t>
      </w:r>
      <w:r w:rsidR="006B7A0B">
        <w:t>ection 54A was declared to be</w:t>
      </w:r>
      <w:r w:rsidR="006616AE">
        <w:t xml:space="preserve"> of no force and effect </w:t>
      </w:r>
      <w:r w:rsidR="006F5C88" w:rsidRPr="004278CB">
        <w:t>after 8</w:t>
      </w:r>
      <w:r w:rsidR="00AB5589">
        <w:t> </w:t>
      </w:r>
      <w:r w:rsidR="006616AE">
        <w:t>March</w:t>
      </w:r>
      <w:r w:rsidR="00AB5589">
        <w:t> </w:t>
      </w:r>
      <w:r w:rsidR="006616AE">
        <w:t>2019, some 15 days after the High C</w:t>
      </w:r>
      <w:r>
        <w:t>ourt had delivered its judgment, t</w:t>
      </w:r>
      <w:r w:rsidR="006616AE">
        <w:t xml:space="preserve">his means that the declaration of invalidity of the relevant appointments based on that section can only relate to the period before 9 March 2019. </w:t>
      </w:r>
      <w:r w:rsidR="003C3FE7">
        <w:t xml:space="preserve"> </w:t>
      </w:r>
      <w:r w:rsidR="006616AE">
        <w:t>However</w:t>
      </w:r>
      <w:r w:rsidR="004870B6">
        <w:t>,</w:t>
      </w:r>
      <w:r w:rsidR="006B7A0B">
        <w:t xml:space="preserve"> at the hearing of the</w:t>
      </w:r>
      <w:r w:rsidR="006616AE">
        <w:t xml:space="preserve"> matter in this Court, counsel for the MEC made it plain that his client sought a declara</w:t>
      </w:r>
      <w:r w:rsidR="006B7A0B">
        <w:t>tion of invalidity operating</w:t>
      </w:r>
      <w:r w:rsidR="006616AE">
        <w:t xml:space="preserve"> only from the date on which this Court delivers its judgment.</w:t>
      </w:r>
      <w:bookmarkEnd w:id="6"/>
    </w:p>
    <w:p w14:paraId="60A75343" w14:textId="77777777" w:rsidR="001C5FAD" w:rsidRPr="001C5FAD" w:rsidRDefault="001C5FAD" w:rsidP="006C071C">
      <w:pPr>
        <w:pStyle w:val="JUDGMENTCONTINUED"/>
      </w:pPr>
    </w:p>
    <w:p w14:paraId="4C9E33CC" w14:textId="4EFE1626" w:rsidR="003648BF" w:rsidRPr="00874EDD" w:rsidRDefault="006616AE" w:rsidP="006C071C">
      <w:pPr>
        <w:pStyle w:val="JUDGMENTNUMBERED"/>
      </w:pPr>
      <w:bookmarkStart w:id="7" w:name="_Ref88819087"/>
      <w:r w:rsidRPr="00874EDD">
        <w:t>The order sought is not competent because the provi</w:t>
      </w:r>
      <w:r w:rsidR="000368FE">
        <w:t>sion on which the MEC relied to challenge</w:t>
      </w:r>
      <w:r w:rsidRPr="00874EDD">
        <w:t xml:space="preserve"> the</w:t>
      </w:r>
      <w:r w:rsidR="001C5FAD" w:rsidRPr="00874EDD">
        <w:t xml:space="preserve"> appointments ceased to exist o</w:t>
      </w:r>
      <w:r w:rsidRPr="00874EDD">
        <w:t xml:space="preserve">n </w:t>
      </w:r>
      <w:r w:rsidR="001C5FAD" w:rsidRPr="00874EDD">
        <w:t xml:space="preserve">8 </w:t>
      </w:r>
      <w:r w:rsidRPr="00874EDD">
        <w:t>March 2</w:t>
      </w:r>
      <w:r w:rsidR="00C75C26" w:rsidRPr="00874EDD">
        <w:t xml:space="preserve">019. </w:t>
      </w:r>
      <w:r w:rsidR="003C3FE7">
        <w:t xml:space="preserve"> </w:t>
      </w:r>
      <w:r w:rsidR="00C75C26" w:rsidRPr="00874EDD">
        <w:t>A declaration of unlawfulness of the appointments</w:t>
      </w:r>
      <w:r w:rsidR="000368FE">
        <w:t>, which is</w:t>
      </w:r>
      <w:r w:rsidR="001C5FAD" w:rsidRPr="00874EDD">
        <w:t xml:space="preserve"> based </w:t>
      </w:r>
      <w:r w:rsidR="000368FE">
        <w:t>on the non-existent section and</w:t>
      </w:r>
      <w:r w:rsidRPr="00874EDD">
        <w:t xml:space="preserve"> </w:t>
      </w:r>
      <w:r w:rsidRPr="00874EDD">
        <w:lastRenderedPageBreak/>
        <w:t>operates from the date of delivery of this order would effectively suggest that the invalid provi</w:t>
      </w:r>
      <w:r w:rsidR="00F34A3A" w:rsidRPr="00874EDD">
        <w:t>sion continued to operate even after the suspension period had expired</w:t>
      </w:r>
      <w:r w:rsidRPr="00874EDD">
        <w:t xml:space="preserve">. </w:t>
      </w:r>
      <w:r w:rsidR="003C3FE7">
        <w:t xml:space="preserve"> </w:t>
      </w:r>
      <w:r w:rsidRPr="00874EDD">
        <w:t xml:space="preserve">The purpose of a prospectively operating order is to preserve the operation of the invalid </w:t>
      </w:r>
      <w:r w:rsidR="007474E1">
        <w:t xml:space="preserve">law until the date of the </w:t>
      </w:r>
      <w:r w:rsidR="00C6554F">
        <w:t>court’</w:t>
      </w:r>
      <w:r w:rsidR="00C6554F" w:rsidRPr="00874EDD">
        <w:t xml:space="preserve">s </w:t>
      </w:r>
      <w:r w:rsidRPr="00874EDD">
        <w:t xml:space="preserve">order. </w:t>
      </w:r>
      <w:r w:rsidR="003C3FE7">
        <w:t xml:space="preserve"> </w:t>
      </w:r>
      <w:r w:rsidRPr="00874EDD">
        <w:t>And here that order may not be granted</w:t>
      </w:r>
      <w:r w:rsidR="001C5FAD" w:rsidRPr="00874EDD">
        <w:t xml:space="preserve">. </w:t>
      </w:r>
      <w:r w:rsidR="003C3FE7">
        <w:t xml:space="preserve"> </w:t>
      </w:r>
      <w:r w:rsidR="001C5FAD" w:rsidRPr="00874EDD">
        <w:t>S</w:t>
      </w:r>
      <w:r w:rsidR="00E600D7" w:rsidRPr="00874EDD">
        <w:t>ince the MEC</w:t>
      </w:r>
      <w:r w:rsidRPr="00874EDD">
        <w:t xml:space="preserve"> do</w:t>
      </w:r>
      <w:r w:rsidR="00E600D7" w:rsidRPr="00874EDD">
        <w:t>es not seek</w:t>
      </w:r>
      <w:r w:rsidRPr="00874EDD">
        <w:t xml:space="preserve"> an o</w:t>
      </w:r>
      <w:r w:rsidR="000368FE">
        <w:t>rder with retrospective effect</w:t>
      </w:r>
      <w:r w:rsidR="001C5FAD" w:rsidRPr="00874EDD">
        <w:t>, but</w:t>
      </w:r>
      <w:r w:rsidR="000368FE">
        <w:t xml:space="preserve"> rather wishes the invalidity to take effect</w:t>
      </w:r>
      <w:r w:rsidR="001C5FAD" w:rsidRPr="00874EDD">
        <w:t xml:space="preserve"> from the date of this Court’s order, on what basis would th</w:t>
      </w:r>
      <w:r w:rsidR="00C75C26" w:rsidRPr="00874EDD">
        <w:t>e appointments be declared unlawful</w:t>
      </w:r>
      <w:r w:rsidR="00874EDD">
        <w:t xml:space="preserve">?  </w:t>
      </w:r>
      <w:r w:rsidR="00BA65DA" w:rsidRPr="00874EDD">
        <w:t>The respondent</w:t>
      </w:r>
      <w:r w:rsidR="004E24A3">
        <w:t>s</w:t>
      </w:r>
      <w:r w:rsidR="00AB5589">
        <w:t xml:space="preserve"> referred us to a draft Bill</w:t>
      </w:r>
      <w:r w:rsidR="00BA65DA" w:rsidRPr="00874EDD">
        <w:t xml:space="preserve"> that is meant to substitute section</w:t>
      </w:r>
      <w:r w:rsidR="007474E1">
        <w:t xml:space="preserve"> </w:t>
      </w:r>
      <w:r w:rsidR="00BA65DA" w:rsidRPr="00874EDD">
        <w:t>54A</w:t>
      </w:r>
      <w:r w:rsidR="00E20816">
        <w:t>,</w:t>
      </w:r>
      <w:r w:rsidR="00BA65DA" w:rsidRPr="00874EDD">
        <w:t xml:space="preserve"> but there can be no reliance on a Bill that has not yet been promulgated into law.</w:t>
      </w:r>
      <w:bookmarkEnd w:id="7"/>
    </w:p>
    <w:p w14:paraId="397C2BEC" w14:textId="77777777" w:rsidR="00785AF2" w:rsidRPr="00785AF2" w:rsidRDefault="00785AF2" w:rsidP="006C071C">
      <w:pPr>
        <w:pStyle w:val="JUDGMENTCONTINUED"/>
      </w:pPr>
    </w:p>
    <w:p w14:paraId="675C1597" w14:textId="39FFD372" w:rsidR="00E20816" w:rsidRDefault="00E7006C" w:rsidP="006C071C">
      <w:pPr>
        <w:pStyle w:val="JUDGMENTNUMBERED"/>
      </w:pPr>
      <w:r w:rsidRPr="00981D52">
        <w:t>T</w:t>
      </w:r>
      <w:r w:rsidR="00602383" w:rsidRPr="00981D52">
        <w:t>his is</w:t>
      </w:r>
      <w:r w:rsidR="00E20816">
        <w:t>,</w:t>
      </w:r>
      <w:r w:rsidR="00602383" w:rsidRPr="00981D52">
        <w:t xml:space="preserve"> </w:t>
      </w:r>
      <w:r w:rsidRPr="00981D52">
        <w:t>however</w:t>
      </w:r>
      <w:r w:rsidR="00E20816">
        <w:t>,</w:t>
      </w:r>
      <w:r w:rsidRPr="00981D52">
        <w:t xml:space="preserve"> </w:t>
      </w:r>
      <w:r w:rsidR="00602383" w:rsidRPr="00981D52">
        <w:t>not the end of the enquiry</w:t>
      </w:r>
      <w:r w:rsidR="000368FE">
        <w:t>.  T</w:t>
      </w:r>
      <w:r w:rsidR="007F4CDA">
        <w:t xml:space="preserve">he next </w:t>
      </w:r>
      <w:r w:rsidR="00690961">
        <w:t>question</w:t>
      </w:r>
      <w:r w:rsidR="00690961" w:rsidRPr="00690961">
        <w:t xml:space="preserve"> to consider is whether it is in the </w:t>
      </w:r>
      <w:r w:rsidR="00602383">
        <w:t xml:space="preserve">interests of justice to </w:t>
      </w:r>
      <w:r w:rsidR="00602383" w:rsidRPr="00981D52">
        <w:t>determine</w:t>
      </w:r>
      <w:r w:rsidR="00602383">
        <w:t xml:space="preserve"> this</w:t>
      </w:r>
      <w:r w:rsidR="00690961" w:rsidRPr="00690961">
        <w:t xml:space="preserve"> application despite its mootness. </w:t>
      </w:r>
      <w:r w:rsidR="00690961">
        <w:t xml:space="preserve"> </w:t>
      </w:r>
      <w:r w:rsidR="00690961" w:rsidRPr="00690961">
        <w:t>It is to this that I now</w:t>
      </w:r>
      <w:r w:rsidR="00DB22CF">
        <w:t xml:space="preserve"> </w:t>
      </w:r>
      <w:r w:rsidR="000C3DE3" w:rsidRPr="00981D52">
        <w:t>turn my</w:t>
      </w:r>
      <w:r w:rsidR="00E20816">
        <w:t xml:space="preserve"> focus.</w:t>
      </w:r>
    </w:p>
    <w:p w14:paraId="1467A1D6" w14:textId="77777777" w:rsidR="00E20816" w:rsidRPr="00E20816" w:rsidRDefault="00E20816" w:rsidP="006C071C">
      <w:pPr>
        <w:pStyle w:val="JUDGMENTCONTINUED"/>
      </w:pPr>
    </w:p>
    <w:p w14:paraId="67EEAA5F" w14:textId="3CE73FF0" w:rsidR="00690961" w:rsidRDefault="00690961" w:rsidP="006C071C">
      <w:pPr>
        <w:pStyle w:val="JUDGMENTNUMBERED"/>
      </w:pPr>
      <w:r w:rsidRPr="00690961">
        <w:t xml:space="preserve">One of the troubling factors in this application is </w:t>
      </w:r>
      <w:r w:rsidR="00C07B34">
        <w:t>that a period of more than four </w:t>
      </w:r>
      <w:r w:rsidRPr="00690961">
        <w:t xml:space="preserve">years has passed since the invalid appointments were made. </w:t>
      </w:r>
      <w:r>
        <w:t xml:space="preserve"> </w:t>
      </w:r>
      <w:r w:rsidRPr="00690961">
        <w:t xml:space="preserve">This means that persons whose qualifications and experience were questioned by the MEC on the basis that they fell short of </w:t>
      </w:r>
      <w:r>
        <w:t>those prescribed by section 54A</w:t>
      </w:r>
      <w:r w:rsidR="00E20816">
        <w:t xml:space="preserve">(2) of the Systems Act, </w:t>
      </w:r>
      <w:r w:rsidRPr="00690961">
        <w:t>have been allowed to occupy the critical position of a Municipal Manager for the b</w:t>
      </w:r>
      <w:r w:rsidR="007474E1">
        <w:t>ulk of the period of their five</w:t>
      </w:r>
      <w:r w:rsidR="007474E1">
        <w:noBreakHyphen/>
      </w:r>
      <w:r w:rsidRPr="00690961">
        <w:t>year contract.</w:t>
      </w:r>
    </w:p>
    <w:p w14:paraId="3FAC25BC" w14:textId="77777777" w:rsidR="00654513" w:rsidRPr="00654513" w:rsidRDefault="00654513" w:rsidP="006C071C">
      <w:pPr>
        <w:pStyle w:val="JUDGMENTCONTINUED"/>
      </w:pPr>
    </w:p>
    <w:p w14:paraId="19A4C7FA" w14:textId="5BC1E0F2" w:rsidR="00690961" w:rsidRDefault="00690961" w:rsidP="006C071C">
      <w:pPr>
        <w:pStyle w:val="JUDGMENTNUMBERED"/>
      </w:pPr>
      <w:r w:rsidRPr="00690961">
        <w:t>An analysis of the time periods between the dates of their respective appointments and the date on which the review application was brought in the High</w:t>
      </w:r>
      <w:r w:rsidR="00C6554F">
        <w:t> </w:t>
      </w:r>
      <w:r w:rsidRPr="00690961">
        <w:t xml:space="preserve">Court shows that the delays were largely caused by the failure on the part of the MEC to </w:t>
      </w:r>
      <w:r w:rsidR="003645A8">
        <w:t xml:space="preserve">comply with </w:t>
      </w:r>
      <w:r w:rsidR="00C07B34">
        <w:t>the tight timeline</w:t>
      </w:r>
      <w:r w:rsidRPr="00690961">
        <w:t>s prescribed by the Systems Act and later on by the delay in initiating the re</w:t>
      </w:r>
      <w:r>
        <w:t>view applications.  Section 54A</w:t>
      </w:r>
      <w:r w:rsidRPr="00690961">
        <w:t xml:space="preserve">(7) requires the Municipality to inform the MEC of the outcome of the recruitment process within 14 days of such period being completed. </w:t>
      </w:r>
      <w:r>
        <w:t xml:space="preserve"> </w:t>
      </w:r>
      <w:r w:rsidRPr="00690961">
        <w:t>The Municipality complie</w:t>
      </w:r>
      <w:r>
        <w:t xml:space="preserve">d with this period. </w:t>
      </w:r>
      <w:r w:rsidR="00AE6E86">
        <w:t xml:space="preserve"> </w:t>
      </w:r>
      <w:r>
        <w:t>Section</w:t>
      </w:r>
      <w:r w:rsidR="00C6554F">
        <w:t> </w:t>
      </w:r>
      <w:r>
        <w:t>54A</w:t>
      </w:r>
      <w:r w:rsidRPr="00690961">
        <w:t>(8) requires the MEC</w:t>
      </w:r>
      <w:r w:rsidR="00654513">
        <w:t>,</w:t>
      </w:r>
      <w:r w:rsidRPr="00690961">
        <w:t xml:space="preserve"> within 14</w:t>
      </w:r>
      <w:r w:rsidR="004E24A3">
        <w:t xml:space="preserve"> </w:t>
      </w:r>
      <w:r w:rsidRPr="00690961">
        <w:t>days of being informed of the appointment</w:t>
      </w:r>
      <w:r w:rsidR="00772D81">
        <w:t>,</w:t>
      </w:r>
      <w:r w:rsidRPr="00690961">
        <w:t xml:space="preserve"> to take steps to enforce compliance</w:t>
      </w:r>
      <w:r w:rsidR="007474E1">
        <w:t xml:space="preserve"> with the section</w:t>
      </w:r>
      <w:r w:rsidRPr="00690961">
        <w:t xml:space="preserve"> by the Municipal Council. </w:t>
      </w:r>
      <w:r>
        <w:t xml:space="preserve"> </w:t>
      </w:r>
      <w:r w:rsidRPr="00690961">
        <w:t xml:space="preserve">This may include an application to a court for a declaratory order on the validity of the appointment, or any </w:t>
      </w:r>
      <w:r w:rsidRPr="00690961">
        <w:lastRenderedPageBreak/>
        <w:t>other leg</w:t>
      </w:r>
      <w:r w:rsidR="00C07B34">
        <w:t>al action against the Municipal </w:t>
      </w:r>
      <w:r w:rsidRPr="00690961">
        <w:t xml:space="preserve">Council. </w:t>
      </w:r>
      <w:r w:rsidR="00AE6E86">
        <w:t xml:space="preserve"> </w:t>
      </w:r>
      <w:r w:rsidRPr="00690961">
        <w:t>However, the MEC</w:t>
      </w:r>
      <w:r w:rsidR="00C74D6C">
        <w:t xml:space="preserve"> failed to act within the </w:t>
      </w:r>
      <w:r w:rsidR="00C6554F">
        <w:t>14-day</w:t>
      </w:r>
      <w:r w:rsidR="00C07B34">
        <w:t xml:space="preserve"> period</w:t>
      </w:r>
      <w:r>
        <w:t>.</w:t>
      </w:r>
    </w:p>
    <w:p w14:paraId="56E0D4ED" w14:textId="77777777" w:rsidR="00690961" w:rsidRPr="00690961" w:rsidRDefault="00690961" w:rsidP="006C071C">
      <w:pPr>
        <w:pStyle w:val="JUDGMENTCONTINUED"/>
      </w:pPr>
    </w:p>
    <w:p w14:paraId="2C9F70C4" w14:textId="158FA241" w:rsidR="001E0D33" w:rsidRDefault="00690961" w:rsidP="006C071C">
      <w:pPr>
        <w:pStyle w:val="JUDGMENTNUMBERED"/>
      </w:pPr>
      <w:r>
        <w:t xml:space="preserve">Regarding </w:t>
      </w:r>
      <w:r w:rsidR="00041234">
        <w:t xml:space="preserve">the </w:t>
      </w:r>
      <w:r w:rsidRPr="00690961">
        <w:t>Nkandla</w:t>
      </w:r>
      <w:r w:rsidR="00041234">
        <w:t xml:space="preserve"> Local</w:t>
      </w:r>
      <w:r>
        <w:t xml:space="preserve"> Munic</w:t>
      </w:r>
      <w:r w:rsidR="00B4022C">
        <w:t>i</w:t>
      </w:r>
      <w:r>
        <w:t>pality</w:t>
      </w:r>
      <w:r w:rsidRPr="00690961">
        <w:t>, the MEC was notified of the decis</w:t>
      </w:r>
      <w:r w:rsidR="007474E1">
        <w:t>ion to appoint Mr </w:t>
      </w:r>
      <w:proofErr w:type="spellStart"/>
      <w:r w:rsidRPr="00690961">
        <w:t>Jili</w:t>
      </w:r>
      <w:proofErr w:type="spellEnd"/>
      <w:r w:rsidRPr="00690961">
        <w:t xml:space="preserve"> on 24 January 2017, but requested further information on 13</w:t>
      </w:r>
      <w:r w:rsidR="0030168B">
        <w:t> </w:t>
      </w:r>
      <w:r w:rsidRPr="00690961">
        <w:t>February, some 20</w:t>
      </w:r>
      <w:r w:rsidR="004E24A3">
        <w:t xml:space="preserve"> </w:t>
      </w:r>
      <w:r w:rsidRPr="00690961">
        <w:t xml:space="preserve">days later. </w:t>
      </w:r>
      <w:r>
        <w:t xml:space="preserve"> Regarding</w:t>
      </w:r>
      <w:r w:rsidRPr="00690961">
        <w:t xml:space="preserve"> </w:t>
      </w:r>
      <w:r w:rsidR="00041234">
        <w:t xml:space="preserve">the </w:t>
      </w:r>
      <w:proofErr w:type="spellStart"/>
      <w:r w:rsidRPr="00690961">
        <w:t>Mthonjaneni</w:t>
      </w:r>
      <w:proofErr w:type="spellEnd"/>
      <w:r w:rsidR="00041234">
        <w:t xml:space="preserve"> Local</w:t>
      </w:r>
      <w:r w:rsidRPr="00690961">
        <w:t xml:space="preserve"> </w:t>
      </w:r>
      <w:r>
        <w:t>Municipality</w:t>
      </w:r>
      <w:r w:rsidR="003F1B26">
        <w:t>,</w:t>
      </w:r>
      <w:r>
        <w:t xml:space="preserve"> </w:t>
      </w:r>
      <w:r w:rsidRPr="00690961">
        <w:t>the MEC was notified of the decision to appoint Mr Sibiya on 20 December 2016 but respo</w:t>
      </w:r>
      <w:r w:rsidR="004E24A3">
        <w:t>nded on 20 </w:t>
      </w:r>
      <w:r w:rsidR="000C3DE3">
        <w:t>January 2017, some 3</w:t>
      </w:r>
      <w:r w:rsidR="0029504A">
        <w:t>0</w:t>
      </w:r>
      <w:r w:rsidR="004E24A3">
        <w:t xml:space="preserve"> </w:t>
      </w:r>
      <w:r w:rsidRPr="00690961">
        <w:t>days later</w:t>
      </w:r>
      <w:r w:rsidR="00654513">
        <w:t>.</w:t>
      </w:r>
      <w:r w:rsidR="001A50C4">
        <w:t xml:space="preserve"> </w:t>
      </w:r>
      <w:r w:rsidRPr="00690961">
        <w:t xml:space="preserve"> The MEC further delayed in launching the review proceedings.</w:t>
      </w:r>
      <w:r w:rsidR="001A50C4">
        <w:t xml:space="preserve"> </w:t>
      </w:r>
      <w:r>
        <w:t xml:space="preserve"> </w:t>
      </w:r>
      <w:r w:rsidRPr="00690961">
        <w:t>The proceedings were launched 15 and 18 months</w:t>
      </w:r>
      <w:r w:rsidR="007474E1">
        <w:t>,</w:t>
      </w:r>
      <w:r w:rsidRPr="00690961">
        <w:t xml:space="preserve"> respectively</w:t>
      </w:r>
      <w:r w:rsidR="00E20816">
        <w:t>,</w:t>
      </w:r>
      <w:r w:rsidRPr="00690961">
        <w:t xml:space="preserve"> after the decision</w:t>
      </w:r>
      <w:r w:rsidR="008A1C0E">
        <w:t>s</w:t>
      </w:r>
      <w:r w:rsidRPr="00690961">
        <w:t xml:space="preserve"> to appoint Mr</w:t>
      </w:r>
      <w:r w:rsidR="00AE6E86">
        <w:t> </w:t>
      </w:r>
      <w:proofErr w:type="spellStart"/>
      <w:r w:rsidRPr="00690961">
        <w:t>Jili</w:t>
      </w:r>
      <w:proofErr w:type="spellEnd"/>
      <w:r w:rsidRPr="00690961">
        <w:t xml:space="preserve"> and Mr Sibiya. </w:t>
      </w:r>
      <w:r>
        <w:t xml:space="preserve"> </w:t>
      </w:r>
      <w:r w:rsidRPr="00690961">
        <w:t>The consequence of the delays is that</w:t>
      </w:r>
      <w:r w:rsidR="007474E1">
        <w:t>,</w:t>
      </w:r>
      <w:r w:rsidRPr="00690961">
        <w:t xml:space="preserve"> for the period of inaction and during the lengthy litigation proces</w:t>
      </w:r>
      <w:r w:rsidR="007474E1">
        <w:t>s in the various Courts, Messrs </w:t>
      </w:r>
      <w:proofErr w:type="spellStart"/>
      <w:r w:rsidR="007474E1">
        <w:t>Jili</w:t>
      </w:r>
      <w:proofErr w:type="spellEnd"/>
      <w:r w:rsidR="007474E1">
        <w:t> and </w:t>
      </w:r>
      <w:r w:rsidRPr="00690961">
        <w:t>Sibiya remained in office as Municipal Managers of the respective Municipalities for over four years of their five-year term</w:t>
      </w:r>
      <w:r w:rsidR="002F65E6">
        <w:t>s</w:t>
      </w:r>
      <w:r w:rsidRPr="00690961">
        <w:t>.</w:t>
      </w:r>
    </w:p>
    <w:p w14:paraId="0C809F42" w14:textId="77777777" w:rsidR="001E0D33" w:rsidRDefault="001E0D33" w:rsidP="006C071C">
      <w:pPr>
        <w:pStyle w:val="JUDGMENTCONTINUED"/>
      </w:pPr>
    </w:p>
    <w:p w14:paraId="1E0F17F2" w14:textId="32CE39CB" w:rsidR="00690961" w:rsidRDefault="00690961" w:rsidP="006C071C">
      <w:pPr>
        <w:pStyle w:val="JUDGMENTNUMBERED"/>
      </w:pPr>
      <w:r w:rsidRPr="00690961">
        <w:t>There was an urgent need for the MEC to take steps quickly as prescribed by the Systems Act</w:t>
      </w:r>
      <w:r w:rsidR="00877E08">
        <w:t>,</w:t>
      </w:r>
      <w:r w:rsidRPr="00690961">
        <w:t xml:space="preserve"> but this did not happen. </w:t>
      </w:r>
      <w:r>
        <w:t xml:space="preserve"> </w:t>
      </w:r>
      <w:r w:rsidRPr="00690961">
        <w:t xml:space="preserve">In </w:t>
      </w:r>
      <w:proofErr w:type="spellStart"/>
      <w:r w:rsidRPr="001E0D33">
        <w:rPr>
          <w:i/>
        </w:rPr>
        <w:t>Notyawa</w:t>
      </w:r>
      <w:proofErr w:type="spellEnd"/>
      <w:r w:rsidRPr="00374243">
        <w:t xml:space="preserve"> t</w:t>
      </w:r>
      <w:r w:rsidRPr="00690961">
        <w:t>his Court cautioned against this kind of delay and stressed t</w:t>
      </w:r>
      <w:r w:rsidR="007030E5">
        <w:t>he importance of the tight time</w:t>
      </w:r>
      <w:r w:rsidR="00E20816">
        <w:t>lines as prescribed by</w:t>
      </w:r>
      <w:r w:rsidR="007030E5">
        <w:t xml:space="preserve"> the Systems </w:t>
      </w:r>
      <w:r w:rsidRPr="00690961">
        <w:t>Act</w:t>
      </w:r>
      <w:r w:rsidR="00E20816">
        <w:t>,</w:t>
      </w:r>
      <w:r w:rsidRPr="00690961">
        <w:t xml:space="preserve"> as follows:</w:t>
      </w:r>
    </w:p>
    <w:p w14:paraId="52739F5D" w14:textId="77777777" w:rsidR="00690961" w:rsidRPr="00690961" w:rsidRDefault="00690961" w:rsidP="006C071C">
      <w:pPr>
        <w:pStyle w:val="QUOTATION"/>
      </w:pPr>
    </w:p>
    <w:p w14:paraId="76F241B4" w14:textId="4F82CE9F" w:rsidR="00690961" w:rsidRDefault="00690961" w:rsidP="006C071C">
      <w:pPr>
        <w:pStyle w:val="QUOTATION"/>
      </w:pPr>
      <w:r w:rsidRPr="00690961">
        <w:t xml:space="preserve">“All these tight time frames are not a surprise.  The entire scheme of section 54A is predicated on having suitably </w:t>
      </w:r>
      <w:r w:rsidR="007030E5">
        <w:t>qualified persons appointed as M</w:t>
      </w:r>
      <w:r w:rsidRPr="00690961">
        <w:t xml:space="preserve">unicipal </w:t>
      </w:r>
      <w:r w:rsidR="007030E5">
        <w:t>M</w:t>
      </w:r>
      <w:r w:rsidRPr="00690961">
        <w:t xml:space="preserve">anagers.  And having those appointments made within a short span of time because </w:t>
      </w:r>
      <w:r w:rsidR="007030E5">
        <w:t>M</w:t>
      </w:r>
      <w:r w:rsidR="00281220">
        <w:t>unicipal </w:t>
      </w:r>
      <w:r w:rsidR="007030E5">
        <w:t>M</w:t>
      </w:r>
      <w:r w:rsidRPr="00690961">
        <w:t>an</w:t>
      </w:r>
      <w:r w:rsidR="00877E08">
        <w:t>a</w:t>
      </w:r>
      <w:r w:rsidRPr="00690961">
        <w:t xml:space="preserve">gers are vital to the proper administrative functioning of </w:t>
      </w:r>
      <w:r w:rsidR="000368FE">
        <w:t>m</w:t>
      </w:r>
      <w:r w:rsidRPr="00690961">
        <w:t>unicipalities.”</w:t>
      </w:r>
      <w:r>
        <w:rPr>
          <w:rStyle w:val="FootnoteReference"/>
        </w:rPr>
        <w:footnoteReference w:id="30"/>
      </w:r>
    </w:p>
    <w:p w14:paraId="51712ADE" w14:textId="77777777" w:rsidR="00690961" w:rsidRPr="00690961" w:rsidRDefault="00690961" w:rsidP="006C071C">
      <w:pPr>
        <w:pStyle w:val="JUDGMENTCONTINUED"/>
      </w:pPr>
    </w:p>
    <w:p w14:paraId="16EA6485" w14:textId="02709C33" w:rsidR="00690961" w:rsidRDefault="00690961" w:rsidP="006C071C">
      <w:pPr>
        <w:pStyle w:val="JUDGMENTNUMBERED"/>
      </w:pPr>
      <w:r>
        <w:t xml:space="preserve">Section 237 of the Constitution also provides that all constitutional obligations must be performed diligently and without delay. </w:t>
      </w:r>
      <w:r w:rsidR="003C3FE7">
        <w:t xml:space="preserve"> </w:t>
      </w:r>
      <w:r>
        <w:t xml:space="preserve">In </w:t>
      </w:r>
      <w:r w:rsidRPr="00690961">
        <w:rPr>
          <w:i/>
        </w:rPr>
        <w:t>Khumalo</w:t>
      </w:r>
      <w:bookmarkStart w:id="8" w:name="_Ref88820594"/>
      <w:r w:rsidR="00954B6A" w:rsidRPr="000368FE">
        <w:rPr>
          <w:rStyle w:val="FootnoteReference"/>
        </w:rPr>
        <w:footnoteReference w:id="31"/>
      </w:r>
      <w:bookmarkEnd w:id="8"/>
      <w:r w:rsidR="004748F7">
        <w:t xml:space="preserve"> </w:t>
      </w:r>
      <w:r>
        <w:t>this Court said:</w:t>
      </w:r>
    </w:p>
    <w:p w14:paraId="2449CAFB" w14:textId="77777777" w:rsidR="00690961" w:rsidRPr="00690961" w:rsidRDefault="00690961" w:rsidP="006C071C">
      <w:pPr>
        <w:pStyle w:val="QUOTATION"/>
      </w:pPr>
    </w:p>
    <w:p w14:paraId="730DB0EA" w14:textId="77777777" w:rsidR="00281220" w:rsidRDefault="00690961" w:rsidP="006C071C">
      <w:pPr>
        <w:pStyle w:val="QUOTATION"/>
        <w:spacing w:after="120"/>
      </w:pPr>
      <w:r>
        <w:lastRenderedPageBreak/>
        <w:t xml:space="preserve">“Section 237 acknowledges the significance of timeous compliance with constitutional prescripts.  It elevates expeditious and diligent compliance with constitutional duties to an obligation in itself. </w:t>
      </w:r>
      <w:r w:rsidR="001A50C4">
        <w:t xml:space="preserve"> </w:t>
      </w:r>
      <w:r>
        <w:t>The principle is thus a requirement of legality.</w:t>
      </w:r>
    </w:p>
    <w:p w14:paraId="7EEE1B5D" w14:textId="26B118B5" w:rsidR="00690961" w:rsidRDefault="00690961" w:rsidP="006C071C">
      <w:pPr>
        <w:pStyle w:val="QUOTATION"/>
      </w:pPr>
      <w:r>
        <w:t xml:space="preserve">This requirement is based on sound judicial policy that includes an understanding of the strong public interest in both certainty and finality. </w:t>
      </w:r>
      <w:r w:rsidR="000368FE">
        <w:t xml:space="preserve"> </w:t>
      </w:r>
      <w:r>
        <w:t>People may base their actions on the assumption of the lawfulness of a particular decision</w:t>
      </w:r>
      <w:r w:rsidR="000368FE">
        <w:t>,</w:t>
      </w:r>
      <w:r>
        <w:t xml:space="preserve"> and the undoing of the decision threatens </w:t>
      </w:r>
      <w:r w:rsidR="00433B4B">
        <w:t>a</w:t>
      </w:r>
      <w:r w:rsidR="00654513">
        <w:t xml:space="preserve"> myriad of consequent actions.</w:t>
      </w:r>
      <w:r>
        <w:t>”</w:t>
      </w:r>
      <w:r w:rsidR="00433B4B">
        <w:rPr>
          <w:rStyle w:val="FootnoteReference"/>
        </w:rPr>
        <w:footnoteReference w:id="32"/>
      </w:r>
    </w:p>
    <w:p w14:paraId="50754CBA" w14:textId="77777777" w:rsidR="00433B4B" w:rsidRPr="00433B4B" w:rsidRDefault="00433B4B" w:rsidP="006C071C">
      <w:pPr>
        <w:pStyle w:val="JUDGMENTCONTINUED"/>
      </w:pPr>
    </w:p>
    <w:p w14:paraId="51EEDE8E" w14:textId="694822AF" w:rsidR="00CF003E" w:rsidRDefault="00433B4B" w:rsidP="006C071C">
      <w:pPr>
        <w:pStyle w:val="JUDGMENTNUMBERED"/>
      </w:pPr>
      <w:r w:rsidRPr="00433B4B">
        <w:t>The delays</w:t>
      </w:r>
      <w:r w:rsidR="00281220">
        <w:t>,</w:t>
      </w:r>
      <w:r w:rsidRPr="00433B4B">
        <w:t xml:space="preserve"> </w:t>
      </w:r>
      <w:r w:rsidR="00BB7B07">
        <w:t>which can be attributed</w:t>
      </w:r>
      <w:r w:rsidR="008A1C0E">
        <w:t xml:space="preserve"> to</w:t>
      </w:r>
      <w:r w:rsidRPr="00433B4B">
        <w:t xml:space="preserve"> the MEC</w:t>
      </w:r>
      <w:r w:rsidR="00281220">
        <w:t>,</w:t>
      </w:r>
      <w:r w:rsidRPr="00433B4B">
        <w:t xml:space="preserve"> cannot be ignored </w:t>
      </w:r>
      <w:r w:rsidR="008A1C0E">
        <w:t xml:space="preserve">by this Court </w:t>
      </w:r>
      <w:r w:rsidRPr="00433B4B">
        <w:t>in deciding whether it is in the interests of justice to determine the application despite its mootness.</w:t>
      </w:r>
      <w:r>
        <w:t xml:space="preserve"> </w:t>
      </w:r>
      <w:r w:rsidRPr="00433B4B">
        <w:t xml:space="preserve"> The undesirability of having Municipal Managers</w:t>
      </w:r>
      <w:r w:rsidR="00B91CFC">
        <w:t>,</w:t>
      </w:r>
      <w:r w:rsidRPr="00433B4B">
        <w:t xml:space="preserve"> whose credentials were questioned by</w:t>
      </w:r>
      <w:r w:rsidR="00CF003E">
        <w:t xml:space="preserve"> the MEC</w:t>
      </w:r>
      <w:r w:rsidR="007030E5">
        <w:t>,</w:t>
      </w:r>
      <w:r w:rsidR="00CF003E">
        <w:t xml:space="preserve"> has to be weighed against </w:t>
      </w:r>
      <w:r w:rsidRPr="00433B4B">
        <w:t>the prejudice they will suffer if the application is entertained after they have occupied these positions for such a long period</w:t>
      </w:r>
      <w:r w:rsidR="008A1C0E">
        <w:t xml:space="preserve"> of time</w:t>
      </w:r>
      <w:r w:rsidRPr="00433B4B">
        <w:t xml:space="preserve">. </w:t>
      </w:r>
      <w:r>
        <w:t xml:space="preserve"> </w:t>
      </w:r>
      <w:r w:rsidRPr="00433B4B">
        <w:t>Anot</w:t>
      </w:r>
      <w:r w:rsidR="008A1C0E">
        <w:t>her relevant consideration</w:t>
      </w:r>
      <w:r w:rsidRPr="00433B4B">
        <w:t xml:space="preserve"> is the possible impact of the</w:t>
      </w:r>
      <w:r w:rsidR="00CF003E" w:rsidRPr="00CF003E">
        <w:t xml:space="preserve"> </w:t>
      </w:r>
      <w:r w:rsidR="00CF003E">
        <w:t>termination of their contracts</w:t>
      </w:r>
      <w:r w:rsidRPr="00433B4B">
        <w:t xml:space="preserve"> on service delivery in the affected Municipalities. </w:t>
      </w:r>
      <w:r>
        <w:t xml:space="preserve"> The </w:t>
      </w:r>
      <w:r w:rsidRPr="00433B4B">
        <w:t xml:space="preserve">reality is that the respective contracts </w:t>
      </w:r>
      <w:r w:rsidR="0021310F">
        <w:t xml:space="preserve">will </w:t>
      </w:r>
      <w:r w:rsidRPr="00433B4B">
        <w:t>co</w:t>
      </w:r>
      <w:r w:rsidR="00266C9F">
        <w:t>me to an end on 18</w:t>
      </w:r>
      <w:r w:rsidR="000C3DE3">
        <w:t> </w:t>
      </w:r>
      <w:r w:rsidR="00266C9F">
        <w:t>December 2021</w:t>
      </w:r>
      <w:r w:rsidRPr="00433B4B">
        <w:t xml:space="preserve"> for </w:t>
      </w:r>
      <w:proofErr w:type="spellStart"/>
      <w:r w:rsidRPr="00433B4B">
        <w:t>Mthonjaneni</w:t>
      </w:r>
      <w:proofErr w:type="spellEnd"/>
      <w:r w:rsidR="00CA49C3">
        <w:t xml:space="preserve"> Local Municipality</w:t>
      </w:r>
      <w:r w:rsidRPr="00433B4B">
        <w:t xml:space="preserve"> and </w:t>
      </w:r>
      <w:r w:rsidR="003933DC" w:rsidRPr="0078068A">
        <w:t>25</w:t>
      </w:r>
      <w:r w:rsidR="007030E5">
        <w:t> </w:t>
      </w:r>
      <w:r w:rsidRPr="00433B4B">
        <w:t>January 2022 for Nkandla</w:t>
      </w:r>
      <w:r w:rsidR="00CA49C3">
        <w:t xml:space="preserve"> Local Municipality</w:t>
      </w:r>
      <w:r w:rsidRPr="00433B4B">
        <w:t xml:space="preserve">. </w:t>
      </w:r>
      <w:r w:rsidR="00266C9F">
        <w:t xml:space="preserve"> </w:t>
      </w:r>
      <w:r w:rsidRPr="00433B4B">
        <w:t>This means that by the time this Court hands d</w:t>
      </w:r>
      <w:r w:rsidR="00A80FFB">
        <w:t>own judgment they will</w:t>
      </w:r>
      <w:r w:rsidR="00BB7B07">
        <w:t xml:space="preserve"> likely</w:t>
      </w:r>
      <w:r w:rsidRPr="00433B4B">
        <w:t xml:space="preserve"> be left with </w:t>
      </w:r>
      <w:r w:rsidR="00BB7B07">
        <w:t xml:space="preserve">only </w:t>
      </w:r>
      <w:r w:rsidR="00A80FFB">
        <w:t>a month or so</w:t>
      </w:r>
      <w:r w:rsidRPr="00433B4B">
        <w:t xml:space="preserve"> before the </w:t>
      </w:r>
      <w:r w:rsidR="00BB7B07">
        <w:t xml:space="preserve">natural </w:t>
      </w:r>
      <w:r w:rsidRPr="00433B4B">
        <w:t>expiry of their employment contracts.</w:t>
      </w:r>
    </w:p>
    <w:p w14:paraId="5743191F" w14:textId="77777777" w:rsidR="00CF003E" w:rsidRDefault="00CF003E" w:rsidP="006C071C">
      <w:pPr>
        <w:pStyle w:val="JUDGMENTCONTINUED"/>
      </w:pPr>
    </w:p>
    <w:p w14:paraId="250AAE71" w14:textId="22F4EED2" w:rsidR="00266C9F" w:rsidRDefault="00433B4B" w:rsidP="006C071C">
      <w:pPr>
        <w:pStyle w:val="JUDGMENTNUMBERED"/>
      </w:pPr>
      <w:r w:rsidRPr="00433B4B">
        <w:t xml:space="preserve">In </w:t>
      </w:r>
      <w:r w:rsidRPr="00433B4B">
        <w:rPr>
          <w:i/>
        </w:rPr>
        <w:t>Khumalo</w:t>
      </w:r>
      <w:r w:rsidR="00D10E2A" w:rsidRPr="00281220">
        <w:t>,</w:t>
      </w:r>
      <w:r w:rsidRPr="00433B4B">
        <w:t xml:space="preserve"> this Court highlighted the discretionary powers a court has in determining what it considers </w:t>
      </w:r>
      <w:r w:rsidR="00EF51D9">
        <w:t xml:space="preserve">to be </w:t>
      </w:r>
      <w:r w:rsidRPr="00433B4B">
        <w:t>a just and equitable remedy, despite the unlawful conduct of a state functionary.</w:t>
      </w:r>
      <w:r w:rsidR="00266C9F">
        <w:t xml:space="preserve">  It said:</w:t>
      </w:r>
    </w:p>
    <w:p w14:paraId="4E2ABFB7" w14:textId="77777777" w:rsidR="00266C9F" w:rsidRPr="00266C9F" w:rsidRDefault="00266C9F" w:rsidP="006C071C">
      <w:pPr>
        <w:pStyle w:val="QUOTATION"/>
      </w:pPr>
    </w:p>
    <w:p w14:paraId="60F5FD46" w14:textId="14901293" w:rsidR="00BA65DA" w:rsidRDefault="00266C9F" w:rsidP="006C071C">
      <w:pPr>
        <w:pStyle w:val="QUOTATION"/>
      </w:pPr>
      <w:r>
        <w:t>“Under the Constitution, however, the requirement to consider the consequences of declaring the decision unlawful is mediated by a court’s r</w:t>
      </w:r>
      <w:r w:rsidR="00C07B34">
        <w:t>emedial powers to grant a ‘just and equitable’</w:t>
      </w:r>
      <w:r>
        <w:t xml:space="preserve"> order in terms of section 172(1)(b) of the Constitution. </w:t>
      </w:r>
      <w:r w:rsidR="000C3DE3">
        <w:t xml:space="preserve"> </w:t>
      </w:r>
      <w:r>
        <w:t xml:space="preserve">A court has greater powers under the Constitution to regulate any possible unjust consequences by granting an appropriate order. </w:t>
      </w:r>
      <w:r w:rsidR="000C3DE3">
        <w:t xml:space="preserve"> </w:t>
      </w:r>
      <w:r>
        <w:t>While a court must declare conduct that it finds to be unconstitutional invalid, it need not set the conduct aside.”</w:t>
      </w:r>
      <w:r w:rsidR="00301434" w:rsidRPr="00301434">
        <w:rPr>
          <w:rStyle w:val="FootnoteReference"/>
        </w:rPr>
        <w:t xml:space="preserve"> </w:t>
      </w:r>
      <w:r w:rsidR="00301434" w:rsidRPr="00CA2547">
        <w:rPr>
          <w:rStyle w:val="FootnoteReference"/>
        </w:rPr>
        <w:footnoteReference w:id="33"/>
      </w:r>
    </w:p>
    <w:p w14:paraId="0CB7F322" w14:textId="77777777" w:rsidR="00266C9F" w:rsidRDefault="00266C9F" w:rsidP="006C071C">
      <w:pPr>
        <w:pStyle w:val="JUDGMENTCONTINUED"/>
      </w:pPr>
    </w:p>
    <w:p w14:paraId="7509DF74" w14:textId="28A0F672" w:rsidR="007C51AF" w:rsidRDefault="007C51AF" w:rsidP="006C071C">
      <w:pPr>
        <w:pStyle w:val="JUDGMENTNUMBERED"/>
      </w:pPr>
      <w:r w:rsidRPr="007C51AF">
        <w:t>As the Supreme Court of Appeal observed, Municipal M</w:t>
      </w:r>
      <w:r w:rsidR="00A77AC7">
        <w:t>anagers play a crucial role in m</w:t>
      </w:r>
      <w:r w:rsidRPr="007C51AF">
        <w:t xml:space="preserve">unicipalities. </w:t>
      </w:r>
      <w:r>
        <w:t xml:space="preserve"> </w:t>
      </w:r>
      <w:r w:rsidRPr="007C51AF">
        <w:t xml:space="preserve">In </w:t>
      </w:r>
      <w:proofErr w:type="spellStart"/>
      <w:r w:rsidRPr="00FB2F23">
        <w:rPr>
          <w:i/>
        </w:rPr>
        <w:t>Notyawa</w:t>
      </w:r>
      <w:proofErr w:type="spellEnd"/>
      <w:r w:rsidR="00D10E2A" w:rsidRPr="00FB2F23">
        <w:rPr>
          <w:i/>
        </w:rPr>
        <w:t>,</w:t>
      </w:r>
      <w:r w:rsidRPr="007C51AF">
        <w:t xml:space="preserve"> one of the f</w:t>
      </w:r>
      <w:r w:rsidR="00C07B34">
        <w:t>actors this Court considered</w:t>
      </w:r>
      <w:r w:rsidRPr="007C51AF">
        <w:t xml:space="preserve"> in determining whether it was in the interests of justice to grant leave to appeal was the fact that the Municipality had </w:t>
      </w:r>
      <w:r w:rsidR="00C758DA">
        <w:t xml:space="preserve">had </w:t>
      </w:r>
      <w:r w:rsidRPr="007C51AF">
        <w:t>no</w:t>
      </w:r>
      <w:r w:rsidR="0021310F">
        <w:t xml:space="preserve"> </w:t>
      </w:r>
      <w:r w:rsidRPr="007C51AF">
        <w:t xml:space="preserve">permanent Municipal Manager for a long period. </w:t>
      </w:r>
      <w:r>
        <w:t xml:space="preserve"> </w:t>
      </w:r>
      <w:r w:rsidRPr="007C51AF">
        <w:t>This, according to the Court</w:t>
      </w:r>
      <w:r w:rsidR="007030E5">
        <w:t>,</w:t>
      </w:r>
      <w:r w:rsidRPr="007C51AF">
        <w:t xml:space="preserve"> had impacted negatively on service delivery.</w:t>
      </w:r>
      <w:r w:rsidR="00EF51D9">
        <w:rPr>
          <w:rStyle w:val="FootnoteReference"/>
        </w:rPr>
        <w:footnoteReference w:id="34"/>
      </w:r>
      <w:r w:rsidRPr="007C51AF">
        <w:t xml:space="preserve"> </w:t>
      </w:r>
      <w:r>
        <w:t xml:space="preserve"> </w:t>
      </w:r>
      <w:r w:rsidR="00BB7B07">
        <w:t>This consideration</w:t>
      </w:r>
      <w:r>
        <w:t xml:space="preserve"> is equally important here.</w:t>
      </w:r>
      <w:r w:rsidR="001A50C4">
        <w:t xml:space="preserve"> </w:t>
      </w:r>
      <w:r w:rsidR="001E0D33">
        <w:t xml:space="preserve"> Should this Court set aside the appointments for the </w:t>
      </w:r>
      <w:r w:rsidR="00BB7B07">
        <w:t>remainder of the period of the two</w:t>
      </w:r>
      <w:r w:rsidR="001E0D33">
        <w:t xml:space="preserve"> respective contracts, it is not cle</w:t>
      </w:r>
      <w:r w:rsidR="00FB2F23">
        <w:t>ar how</w:t>
      </w:r>
      <w:r w:rsidR="00BB7B07">
        <w:t xml:space="preserve"> th</w:t>
      </w:r>
      <w:r w:rsidR="00FB2F23">
        <w:t>is will impact service delivery in</w:t>
      </w:r>
      <w:r w:rsidR="00D9550A">
        <w:t xml:space="preserve"> the respective Municipalities.</w:t>
      </w:r>
    </w:p>
    <w:p w14:paraId="684AC2E7" w14:textId="77777777" w:rsidR="00FB2F23" w:rsidRPr="00FB2F23" w:rsidRDefault="00FB2F23" w:rsidP="006C071C">
      <w:pPr>
        <w:pStyle w:val="JUDGMENTCONTINUED"/>
      </w:pPr>
    </w:p>
    <w:p w14:paraId="77B1345E" w14:textId="5EDA4ED3" w:rsidR="007C51AF" w:rsidRDefault="001E0D33" w:rsidP="006C071C">
      <w:pPr>
        <w:pStyle w:val="JUDGMENTNUMBERED"/>
      </w:pPr>
      <w:r>
        <w:t>Furthermore, t</w:t>
      </w:r>
      <w:r w:rsidR="007C51AF" w:rsidRPr="007C51AF">
        <w:t>here have been no complaints raised</w:t>
      </w:r>
      <w:r w:rsidR="00C07B34">
        <w:t xml:space="preserve"> by the MEC about the Municipal </w:t>
      </w:r>
      <w:r w:rsidR="007C51AF" w:rsidRPr="007C51AF">
        <w:t>Managers’ competence and performance</w:t>
      </w:r>
      <w:r w:rsidR="00C758DA">
        <w:t xml:space="preserve"> during the period of over four </w:t>
      </w:r>
      <w:r w:rsidR="007C51AF" w:rsidRPr="007C51AF">
        <w:t xml:space="preserve">years. </w:t>
      </w:r>
      <w:r w:rsidR="007C51AF">
        <w:t xml:space="preserve"> </w:t>
      </w:r>
      <w:r w:rsidR="007C51AF" w:rsidRPr="007C51AF">
        <w:t xml:space="preserve">The MEC did not identify any prejudice </w:t>
      </w:r>
      <w:r w:rsidR="00EF51D9">
        <w:t>she</w:t>
      </w:r>
      <w:r w:rsidR="007C51AF" w:rsidRPr="007C51AF">
        <w:t xml:space="preserve"> may suffer as a result of the preservation of their employment for the remainder of the fixed five-year term.  An order that Messrs </w:t>
      </w:r>
      <w:proofErr w:type="spellStart"/>
      <w:r w:rsidR="007C51AF" w:rsidRPr="007C51AF">
        <w:t>Jili</w:t>
      </w:r>
      <w:proofErr w:type="spellEnd"/>
      <w:r w:rsidR="007C51AF" w:rsidRPr="007C51AF">
        <w:t xml:space="preserve"> and Sibiya should retain their empl</w:t>
      </w:r>
      <w:r w:rsidR="00EF51D9">
        <w:t>oyment for the rest of the five</w:t>
      </w:r>
      <w:r w:rsidR="00EF51D9">
        <w:noBreakHyphen/>
      </w:r>
      <w:r w:rsidR="007C51AF" w:rsidRPr="007C51AF">
        <w:t xml:space="preserve">year period will ensure that service delivery in the Municipalities is not compromised and that a handover to their successors </w:t>
      </w:r>
      <w:r w:rsidR="00D10E2A">
        <w:t xml:space="preserve">occurs </w:t>
      </w:r>
      <w:r w:rsidR="008A1C0E">
        <w:t>seamlessly.</w:t>
      </w:r>
      <w:r w:rsidR="007C51AF">
        <w:t xml:space="preserve"> </w:t>
      </w:r>
      <w:r w:rsidR="007C51AF" w:rsidRPr="007C51AF">
        <w:t xml:space="preserve"> Consequently, the interests of justice do not favour granting leave to appeal</w:t>
      </w:r>
      <w:r w:rsidR="008A1C0E">
        <w:t xml:space="preserve"> and the application must </w:t>
      </w:r>
      <w:r w:rsidR="000F1400">
        <w:t>accordingly be refused.</w:t>
      </w:r>
    </w:p>
    <w:p w14:paraId="00DF32E9" w14:textId="77777777" w:rsidR="006F2B89" w:rsidRDefault="006F2B89" w:rsidP="006C071C">
      <w:pPr>
        <w:pStyle w:val="JUDGMENTCONTINUED"/>
        <w:sectPr w:rsidR="006F2B89" w:rsidSect="00C74D6C">
          <w:headerReference w:type="default" r:id="rId12"/>
          <w:type w:val="continuous"/>
          <w:pgSz w:w="11910" w:h="16840" w:code="9"/>
          <w:pgMar w:top="1440" w:right="1440" w:bottom="1440" w:left="1440" w:header="709" w:footer="709" w:gutter="0"/>
          <w:cols w:space="720"/>
          <w:titlePg/>
          <w:docGrid w:linePitch="354"/>
        </w:sectPr>
      </w:pPr>
    </w:p>
    <w:p w14:paraId="118CDE65" w14:textId="4BA4806A" w:rsidR="007C51AF" w:rsidRDefault="007C51AF" w:rsidP="006C071C">
      <w:pPr>
        <w:pStyle w:val="JUDGMENTCONTINUED"/>
      </w:pPr>
    </w:p>
    <w:p w14:paraId="7B5267BD" w14:textId="1EB82966" w:rsidR="00B00380" w:rsidRPr="00B00380" w:rsidRDefault="00B00380" w:rsidP="006C071C">
      <w:pPr>
        <w:pStyle w:val="HEADING"/>
      </w:pPr>
      <w:r>
        <w:t>Costs</w:t>
      </w:r>
    </w:p>
    <w:p w14:paraId="20337E33" w14:textId="6F15680D" w:rsidR="00286E1F" w:rsidRPr="005D01DA" w:rsidRDefault="00286E1F" w:rsidP="006C071C">
      <w:pPr>
        <w:pStyle w:val="JUDGMENTNUMBERED"/>
      </w:pPr>
      <w:r w:rsidRPr="005D01DA">
        <w:t>The dispute in this matter is primarily between the MEC and the Municipalities, both being organs of state</w:t>
      </w:r>
      <w:r w:rsidR="00EF51D9">
        <w:t xml:space="preserve">. </w:t>
      </w:r>
      <w:r w:rsidR="00390A41">
        <w:t xml:space="preserve"> </w:t>
      </w:r>
      <w:r w:rsidR="00EA2B31" w:rsidRPr="005D01DA">
        <w:t>I see no reason to deviate from the re</w:t>
      </w:r>
      <w:r w:rsidR="00A77AC7">
        <w:t>asoning of the Supreme Court of </w:t>
      </w:r>
      <w:r w:rsidR="00EA2B31" w:rsidRPr="005D01DA">
        <w:t xml:space="preserve">Appeal that </w:t>
      </w:r>
      <w:r w:rsidR="00F35112">
        <w:t xml:space="preserve">a </w:t>
      </w:r>
      <w:r w:rsidR="008A1C0E">
        <w:t>costs order</w:t>
      </w:r>
      <w:r w:rsidR="003E05CE">
        <w:t xml:space="preserve"> in relation</w:t>
      </w:r>
      <w:r w:rsidR="00EA2B31" w:rsidRPr="005D01DA">
        <w:t xml:space="preserve"> to </w:t>
      </w:r>
      <w:r w:rsidR="00D41348">
        <w:t xml:space="preserve">the </w:t>
      </w:r>
      <w:r w:rsidR="00EA2B31" w:rsidRPr="005D01DA">
        <w:t>state parties in this matter would not serve the interests of justice.</w:t>
      </w:r>
      <w:r w:rsidR="00EA2B31" w:rsidRPr="005D01DA">
        <w:rPr>
          <w:rStyle w:val="FootnoteReference"/>
        </w:rPr>
        <w:footnoteReference w:id="35"/>
      </w:r>
      <w:r w:rsidRPr="005D01DA">
        <w:t xml:space="preserve"> </w:t>
      </w:r>
      <w:r w:rsidR="000C3DE3">
        <w:t xml:space="preserve"> </w:t>
      </w:r>
      <w:r w:rsidR="00F35112">
        <w:t>T</w:t>
      </w:r>
      <w:r w:rsidR="00F35112" w:rsidRPr="005D01DA">
        <w:t>he parties sought to raise constituti</w:t>
      </w:r>
      <w:r w:rsidR="00F35112">
        <w:t xml:space="preserve">onal issues of </w:t>
      </w:r>
      <w:r w:rsidR="00F35112" w:rsidRPr="005D01DA">
        <w:t xml:space="preserve">considerable importance </w:t>
      </w:r>
      <w:r w:rsidR="00F35112">
        <w:t xml:space="preserve">and they </w:t>
      </w:r>
      <w:r w:rsidR="00753EC8" w:rsidRPr="005D01DA">
        <w:t xml:space="preserve">utilised public funds to </w:t>
      </w:r>
      <w:r w:rsidR="007030E5">
        <w:t>finance</w:t>
      </w:r>
      <w:r w:rsidR="00753EC8" w:rsidRPr="005D01DA">
        <w:t xml:space="preserve"> this litigation</w:t>
      </w:r>
      <w:r w:rsidR="00F35112">
        <w:t xml:space="preserve">. </w:t>
      </w:r>
      <w:r w:rsidR="001A50C4">
        <w:t xml:space="preserve"> </w:t>
      </w:r>
      <w:r w:rsidR="00F35112">
        <w:t>A</w:t>
      </w:r>
      <w:r w:rsidR="00753EC8" w:rsidRPr="005D01DA">
        <w:t>ny order as to costs will effectively be paid by taxpayers.</w:t>
      </w:r>
      <w:r w:rsidRPr="005D01DA">
        <w:t xml:space="preserve"> </w:t>
      </w:r>
      <w:r w:rsidR="000C3DE3">
        <w:t xml:space="preserve"> </w:t>
      </w:r>
      <w:r w:rsidR="00F35112">
        <w:t xml:space="preserve">An appropriate </w:t>
      </w:r>
      <w:r w:rsidR="00753EC8" w:rsidRPr="005D01DA">
        <w:t>costs order</w:t>
      </w:r>
      <w:r w:rsidR="00F35112">
        <w:t xml:space="preserve"> is that each party be ordered to pay its own costs</w:t>
      </w:r>
      <w:r w:rsidR="000C3DE3">
        <w:t>.</w:t>
      </w:r>
    </w:p>
    <w:p w14:paraId="71991663" w14:textId="53B2B5B4" w:rsidR="00807600" w:rsidRPr="00807600" w:rsidRDefault="00807600" w:rsidP="006C071C">
      <w:pPr>
        <w:pStyle w:val="JUDGMENTCONTINUED"/>
      </w:pPr>
    </w:p>
    <w:p w14:paraId="0EF67B90" w14:textId="6926E39C" w:rsidR="00E7688F" w:rsidRDefault="00E7688F" w:rsidP="006C071C">
      <w:pPr>
        <w:pStyle w:val="HEADING"/>
      </w:pPr>
      <w:r>
        <w:t>Order</w:t>
      </w:r>
    </w:p>
    <w:p w14:paraId="4153D292" w14:textId="5C70F3F6" w:rsidR="003933DC" w:rsidRPr="007030E5" w:rsidRDefault="000F1400" w:rsidP="006C071C">
      <w:pPr>
        <w:numPr>
          <w:ilvl w:val="0"/>
          <w:numId w:val="1"/>
        </w:numPr>
        <w:spacing w:after="120" w:line="360" w:lineRule="auto"/>
        <w:ind w:left="0" w:firstLine="0"/>
        <w:rPr>
          <w:u w:color="000000"/>
          <w:bdr w:val="nil"/>
          <w:lang w:val="en-US" w:eastAsia="en-GB"/>
        </w:rPr>
      </w:pPr>
      <w:bookmarkStart w:id="9" w:name="_Ref88818505"/>
      <w:r>
        <w:rPr>
          <w:u w:color="000000"/>
          <w:bdr w:val="nil"/>
          <w:lang w:val="en-US" w:eastAsia="en-GB"/>
        </w:rPr>
        <w:t xml:space="preserve">In the result, </w:t>
      </w:r>
      <w:r w:rsidR="00E7688F" w:rsidRPr="000F1400">
        <w:rPr>
          <w:u w:color="000000"/>
          <w:bdr w:val="nil"/>
          <w:lang w:val="en-US" w:eastAsia="en-GB"/>
        </w:rPr>
        <w:t>the following order</w:t>
      </w:r>
      <w:r w:rsidR="003933DC">
        <w:rPr>
          <w:u w:color="000000"/>
          <w:bdr w:val="nil"/>
          <w:lang w:val="en-US" w:eastAsia="en-GB"/>
        </w:rPr>
        <w:t xml:space="preserve"> </w:t>
      </w:r>
      <w:r>
        <w:rPr>
          <w:u w:color="000000"/>
          <w:bdr w:val="nil"/>
          <w:lang w:val="en-US" w:eastAsia="en-GB"/>
        </w:rPr>
        <w:t>is made</w:t>
      </w:r>
      <w:r w:rsidR="00E7688F" w:rsidRPr="000F1400">
        <w:rPr>
          <w:u w:color="000000"/>
          <w:bdr w:val="nil"/>
          <w:lang w:val="en-US" w:eastAsia="en-GB"/>
        </w:rPr>
        <w:t>:</w:t>
      </w:r>
      <w:bookmarkEnd w:id="9"/>
    </w:p>
    <w:p w14:paraId="30EE1F40" w14:textId="3DD4B437" w:rsidR="00E7688F" w:rsidRPr="007B7391" w:rsidRDefault="00652831" w:rsidP="006C071C">
      <w:pPr>
        <w:numPr>
          <w:ilvl w:val="0"/>
          <w:numId w:val="3"/>
        </w:numPr>
        <w:spacing w:line="360" w:lineRule="auto"/>
        <w:ind w:left="1440" w:hanging="720"/>
        <w:rPr>
          <w:lang w:val="en-US" w:eastAsia="en-GB"/>
        </w:rPr>
      </w:pPr>
      <w:r>
        <w:rPr>
          <w:u w:color="000000"/>
          <w:bdr w:val="nil"/>
          <w:lang w:val="en-US" w:eastAsia="en-GB"/>
        </w:rPr>
        <w:t>L</w:t>
      </w:r>
      <w:r w:rsidR="000F1400">
        <w:rPr>
          <w:u w:color="000000"/>
          <w:bdr w:val="nil"/>
          <w:lang w:val="en-US" w:eastAsia="en-GB"/>
        </w:rPr>
        <w:t>eave to appeal is refused</w:t>
      </w:r>
      <w:r w:rsidR="00E7688F" w:rsidRPr="00E7688F">
        <w:rPr>
          <w:u w:color="000000"/>
          <w:bdr w:val="nil"/>
          <w:lang w:val="en-US" w:eastAsia="en-GB"/>
        </w:rPr>
        <w:t>.</w:t>
      </w:r>
    </w:p>
    <w:p w14:paraId="241289FC" w14:textId="00B51505" w:rsidR="007B7391" w:rsidRDefault="007B7391" w:rsidP="006C071C">
      <w:pPr>
        <w:spacing w:line="240" w:lineRule="auto"/>
        <w:rPr>
          <w:lang w:val="en-US" w:eastAsia="en-GB"/>
        </w:rPr>
      </w:pPr>
    </w:p>
    <w:p w14:paraId="3DF40F1F" w14:textId="56F4FBD7" w:rsidR="006F2B89" w:rsidRDefault="006F2B89" w:rsidP="006C071C">
      <w:pPr>
        <w:spacing w:line="240" w:lineRule="auto"/>
        <w:rPr>
          <w:lang w:val="en-US" w:eastAsia="en-GB"/>
        </w:rPr>
      </w:pPr>
    </w:p>
    <w:p w14:paraId="0F6E5BC6" w14:textId="77777777" w:rsidR="006F2B89" w:rsidRDefault="006F2B89" w:rsidP="006C071C">
      <w:pPr>
        <w:spacing w:line="240" w:lineRule="auto"/>
        <w:rPr>
          <w:lang w:val="en-US" w:eastAsia="en-GB"/>
        </w:rPr>
      </w:pPr>
    </w:p>
    <w:p w14:paraId="17C3674A" w14:textId="57BA1791" w:rsidR="006F2B89" w:rsidRPr="00497ED2" w:rsidRDefault="006F2B89" w:rsidP="006C071C">
      <w:pPr>
        <w:pStyle w:val="BODYNON-NUMBERED"/>
        <w:spacing w:after="0" w:line="240" w:lineRule="auto"/>
        <w:rPr>
          <w:szCs w:val="26"/>
        </w:rPr>
      </w:pPr>
      <w:r w:rsidRPr="00497ED2">
        <w:rPr>
          <w:szCs w:val="26"/>
        </w:rPr>
        <w:t>THERON J (</w:t>
      </w:r>
      <w:proofErr w:type="spellStart"/>
      <w:r w:rsidR="00873978" w:rsidRPr="00873978">
        <w:rPr>
          <w:szCs w:val="26"/>
        </w:rPr>
        <w:t>Tlaletsi</w:t>
      </w:r>
      <w:proofErr w:type="spellEnd"/>
      <w:r w:rsidR="0030168B" w:rsidRPr="00873978">
        <w:rPr>
          <w:szCs w:val="26"/>
        </w:rPr>
        <w:t xml:space="preserve"> AJ</w:t>
      </w:r>
      <w:r w:rsidRPr="00873978">
        <w:rPr>
          <w:szCs w:val="26"/>
        </w:rPr>
        <w:t xml:space="preserve"> concurring</w:t>
      </w:r>
      <w:r w:rsidRPr="00497ED2">
        <w:rPr>
          <w:szCs w:val="26"/>
        </w:rPr>
        <w:t>):</w:t>
      </w:r>
    </w:p>
    <w:p w14:paraId="3E5E49BD" w14:textId="77777777" w:rsidR="006F2B89" w:rsidRPr="00A423CD" w:rsidRDefault="006F2B89" w:rsidP="006C071C">
      <w:pPr>
        <w:spacing w:line="240" w:lineRule="auto"/>
      </w:pPr>
    </w:p>
    <w:p w14:paraId="423FB8EB" w14:textId="77777777" w:rsidR="006F2B89" w:rsidRPr="00A423CD" w:rsidRDefault="006F2B89" w:rsidP="006C071C">
      <w:pPr>
        <w:spacing w:line="240" w:lineRule="auto"/>
      </w:pPr>
    </w:p>
    <w:p w14:paraId="21A5E05F" w14:textId="77777777" w:rsidR="006F2B89" w:rsidRPr="00A423CD" w:rsidRDefault="006F2B89" w:rsidP="006C071C">
      <w:pPr>
        <w:pStyle w:val="JUDGMENTNUMBERED"/>
      </w:pPr>
      <w:bookmarkStart w:id="10" w:name="_Ref88818544"/>
      <w:r w:rsidRPr="00A423CD">
        <w:t xml:space="preserve">I have had the benefit of reading the eloquent judgment penned by my Sister </w:t>
      </w:r>
      <w:proofErr w:type="spellStart"/>
      <w:r w:rsidRPr="00A423CD">
        <w:t>Tshiqi</w:t>
      </w:r>
      <w:proofErr w:type="spellEnd"/>
      <w:r w:rsidRPr="00A423CD">
        <w:t xml:space="preserve"> J (first judgment).  I agree that the application should be dismissed, but for different reasons.  In my view, the present invalidity of section 54A </w:t>
      </w:r>
      <w:r w:rsidRPr="00497ED2">
        <w:rPr>
          <w:szCs w:val="26"/>
        </w:rPr>
        <w:t xml:space="preserve">of the Systems Act </w:t>
      </w:r>
      <w:r w:rsidRPr="00A423CD">
        <w:t xml:space="preserve">by virtue of this Court’s decision in </w:t>
      </w:r>
      <w:r w:rsidRPr="00A423CD">
        <w:rPr>
          <w:i/>
        </w:rPr>
        <w:t>SAMWU</w:t>
      </w:r>
      <w:r w:rsidRPr="00A423CD">
        <w:t xml:space="preserve"> does not render either application moot, nor does it denude this Court of its power to declare the appointments of Messrs </w:t>
      </w:r>
      <w:proofErr w:type="spellStart"/>
      <w:r w:rsidRPr="00A423CD">
        <w:t>Jili</w:t>
      </w:r>
      <w:proofErr w:type="spellEnd"/>
      <w:r w:rsidRPr="00A423CD">
        <w:t xml:space="preserve"> and Sibiya to be unlawful.  However, although this Court’s jurisdiction is engaged, I agree that it would not be in the interests of justice to grant leave to appeal.</w:t>
      </w:r>
      <w:bookmarkEnd w:id="10"/>
    </w:p>
    <w:p w14:paraId="739D5D8C" w14:textId="77777777" w:rsidR="006F2B89" w:rsidRPr="00497ED2" w:rsidRDefault="006F2B89" w:rsidP="006C071C">
      <w:pPr>
        <w:pStyle w:val="JUDGMENTCONTINUED"/>
      </w:pPr>
    </w:p>
    <w:p w14:paraId="771AB72C" w14:textId="77777777" w:rsidR="006F2B89" w:rsidRPr="00A423CD" w:rsidRDefault="006F2B89" w:rsidP="006C071C">
      <w:pPr>
        <w:pStyle w:val="HEADING"/>
      </w:pPr>
      <w:r w:rsidRPr="00A423CD">
        <w:t>Mootness</w:t>
      </w:r>
    </w:p>
    <w:p w14:paraId="3C8BD7E7" w14:textId="77777777" w:rsidR="006F2B89" w:rsidRDefault="006F2B89" w:rsidP="006C071C">
      <w:pPr>
        <w:pStyle w:val="JUDGMENTNUMBERED"/>
        <w:rPr>
          <w:szCs w:val="26"/>
        </w:rPr>
        <w:sectPr w:rsidR="006F2B89" w:rsidSect="00C74D6C">
          <w:headerReference w:type="default" r:id="rId13"/>
          <w:type w:val="continuous"/>
          <w:pgSz w:w="11910" w:h="16840" w:code="9"/>
          <w:pgMar w:top="1440" w:right="1440" w:bottom="1440" w:left="1440" w:header="709" w:footer="709" w:gutter="0"/>
          <w:cols w:space="720"/>
          <w:titlePg/>
          <w:docGrid w:linePitch="354"/>
        </w:sectPr>
      </w:pPr>
      <w:r w:rsidRPr="00A423CD">
        <w:t>The applicant seeks orders invalidating the appointment</w:t>
      </w:r>
      <w:r w:rsidRPr="00497ED2">
        <w:rPr>
          <w:szCs w:val="26"/>
        </w:rPr>
        <w:t>s</w:t>
      </w:r>
      <w:r w:rsidRPr="00A423CD">
        <w:t xml:space="preserve"> of M</w:t>
      </w:r>
      <w:r w:rsidRPr="00497ED2">
        <w:rPr>
          <w:szCs w:val="26"/>
        </w:rPr>
        <w:t>e</w:t>
      </w:r>
      <w:r w:rsidRPr="00A423CD">
        <w:t>ssr</w:t>
      </w:r>
      <w:r w:rsidRPr="00497ED2">
        <w:rPr>
          <w:szCs w:val="26"/>
        </w:rPr>
        <w:t>s</w:t>
      </w:r>
      <w:r w:rsidRPr="00A423CD">
        <w:t xml:space="preserve"> </w:t>
      </w:r>
      <w:proofErr w:type="spellStart"/>
      <w:r w:rsidRPr="00A423CD">
        <w:t>Jili</w:t>
      </w:r>
      <w:proofErr w:type="spellEnd"/>
      <w:r w:rsidRPr="00A423CD">
        <w:t xml:space="preserve"> and Sibiya with prospective effect from the date of this Court’s order.  The first judgment nevertheless says that the matter is moot because section 54A is no longer in force by virtue of the order of invalidity in</w:t>
      </w:r>
      <w:r w:rsidRPr="00A423CD">
        <w:rPr>
          <w:i/>
        </w:rPr>
        <w:t xml:space="preserve"> SAMWU </w:t>
      </w:r>
      <w:r w:rsidRPr="00A423CD">
        <w:t xml:space="preserve">coming into effect on 9 March 2019.  It says that this Court cannot grant the orders sought by the applicant because this Court </w:t>
      </w:r>
      <w:r w:rsidRPr="00497ED2">
        <w:rPr>
          <w:szCs w:val="26"/>
        </w:rPr>
        <w:t xml:space="preserve">can only </w:t>
      </w:r>
      <w:r w:rsidRPr="00A423CD">
        <w:t xml:space="preserve">make </w:t>
      </w:r>
      <w:r w:rsidRPr="00497ED2">
        <w:rPr>
          <w:szCs w:val="26"/>
        </w:rPr>
        <w:t>a declaration of invalidity</w:t>
      </w:r>
      <w:r w:rsidRPr="00A423CD">
        <w:t xml:space="preserve"> in </w:t>
      </w:r>
      <w:r w:rsidRPr="00497ED2">
        <w:rPr>
          <w:szCs w:val="26"/>
        </w:rPr>
        <w:t>respect of</w:t>
      </w:r>
      <w:r w:rsidRPr="00A423CD">
        <w:t xml:space="preserve"> the </w:t>
      </w:r>
      <w:r w:rsidRPr="00497ED2">
        <w:rPr>
          <w:szCs w:val="26"/>
        </w:rPr>
        <w:t>appointments which relates to the period before 9 March 2019.</w:t>
      </w:r>
      <w:r w:rsidRPr="00497ED2">
        <w:rPr>
          <w:rStyle w:val="FootnoteReference"/>
          <w:szCs w:val="26"/>
        </w:rPr>
        <w:footnoteReference w:id="36"/>
      </w:r>
    </w:p>
    <w:p w14:paraId="1D3C0831" w14:textId="77777777" w:rsidR="006F2B89" w:rsidRPr="00497ED2" w:rsidRDefault="006F2B89" w:rsidP="006C071C">
      <w:pPr>
        <w:pStyle w:val="JUDGMENTCONTINUED"/>
      </w:pPr>
    </w:p>
    <w:p w14:paraId="2312F6CD" w14:textId="77777777" w:rsidR="006F2B89" w:rsidRPr="00A423CD" w:rsidRDefault="006F2B89" w:rsidP="006C071C">
      <w:pPr>
        <w:pStyle w:val="JUDGMENTNUMBERED"/>
      </w:pPr>
      <w:r w:rsidRPr="00A423CD">
        <w:t xml:space="preserve">I disagree.  In the first place, there is a difference between mootness and prospects of success on the merits.  Respectfully, I believe the first judgment conflates </w:t>
      </w:r>
      <w:r w:rsidRPr="00A423CD">
        <w:lastRenderedPageBreak/>
        <w:t>the two.  A matter is moot when the order would have no practical effect.</w:t>
      </w:r>
      <w:r w:rsidRPr="00A423CD">
        <w:rPr>
          <w:rStyle w:val="FootnoteReference"/>
        </w:rPr>
        <w:footnoteReference w:id="37"/>
      </w:r>
      <w:r w:rsidRPr="00A423CD">
        <w:t xml:space="preserve">  A matter lacks prospects of success where there is no prospect of this Court granting the order sought by the applicant.  The first judgment concludes, as</w:t>
      </w:r>
      <w:r w:rsidRPr="00497ED2">
        <w:rPr>
          <w:szCs w:val="26"/>
        </w:rPr>
        <w:t xml:space="preserve"> a</w:t>
      </w:r>
      <w:r w:rsidRPr="00A423CD">
        <w:t xml:space="preserve"> matter of law, that the order sought by the applicant is not competent because this Court only has the power to declare the appointments invalid up until 9 March 2019.  In other words, there are no prospects of the applicant persuading this Court that it can and ought to grant the order it seeks.  Notably, the first judgment does not conclude that if this order were granted, it would lack practical effect.  It follows that the first judgment’s finding that the matter is moot is</w:t>
      </w:r>
      <w:r w:rsidRPr="00497ED2">
        <w:rPr>
          <w:szCs w:val="26"/>
        </w:rPr>
        <w:t>, in actuality,</w:t>
      </w:r>
      <w:r w:rsidRPr="00A423CD">
        <w:t xml:space="preserve"> a finding that in its view the application lacks prospects of success, which is a consideration that is relevant to whether leave to appeal should be granted.</w:t>
      </w:r>
    </w:p>
    <w:p w14:paraId="2992D663" w14:textId="77777777" w:rsidR="006F2B89" w:rsidRPr="00497ED2" w:rsidRDefault="006F2B89" w:rsidP="006C071C">
      <w:pPr>
        <w:pStyle w:val="JUDGMENTCONTINUED"/>
      </w:pPr>
    </w:p>
    <w:p w14:paraId="01376B7C" w14:textId="77777777" w:rsidR="006F2B89" w:rsidRPr="00A423CD" w:rsidRDefault="006F2B89" w:rsidP="006C071C">
      <w:pPr>
        <w:pStyle w:val="JUDGMENTNUMBERED"/>
      </w:pPr>
      <w:r w:rsidRPr="00A423CD">
        <w:t>In my view, the present application has not lost its practical effect because section</w:t>
      </w:r>
      <w:r w:rsidRPr="00497ED2">
        <w:rPr>
          <w:szCs w:val="26"/>
        </w:rPr>
        <w:t> </w:t>
      </w:r>
      <w:r w:rsidRPr="00A423CD">
        <w:t>54A is no longer in force and the respondents</w:t>
      </w:r>
      <w:r w:rsidRPr="00497ED2">
        <w:rPr>
          <w:szCs w:val="26"/>
        </w:rPr>
        <w:t>’</w:t>
      </w:r>
      <w:r w:rsidRPr="00A423CD">
        <w:t xml:space="preserve"> reliance on this Court’s decision in </w:t>
      </w:r>
      <w:r w:rsidRPr="00A423CD">
        <w:rPr>
          <w:i/>
        </w:rPr>
        <w:t>JT Publishing</w:t>
      </w:r>
      <w:r w:rsidRPr="00A423CD">
        <w:rPr>
          <w:rStyle w:val="FootnoteReference"/>
        </w:rPr>
        <w:footnoteReference w:id="38"/>
      </w:r>
      <w:r w:rsidRPr="00A423CD">
        <w:rPr>
          <w:i/>
        </w:rPr>
        <w:t xml:space="preserve"> </w:t>
      </w:r>
      <w:r w:rsidRPr="00A423CD">
        <w:t xml:space="preserve">in contending otherwise is misplaced.  The applicant in that matter sought a declaratory order regarding the constitutional validity of certain legislative provisions </w:t>
      </w:r>
      <w:r w:rsidRPr="00497ED2">
        <w:rPr>
          <w:szCs w:val="26"/>
        </w:rPr>
        <w:t>that</w:t>
      </w:r>
      <w:r w:rsidRPr="00A423CD">
        <w:t xml:space="preserve"> were appealed in the intervening period between the hearing of the matter and the date on which this Court handed down its judgment.</w:t>
      </w:r>
      <w:r w:rsidRPr="00A423CD">
        <w:rPr>
          <w:rStyle w:val="FootnoteReference"/>
        </w:rPr>
        <w:footnoteReference w:id="39"/>
      </w:r>
      <w:r w:rsidRPr="00A423CD">
        <w:t xml:space="preserve">  This Court described the position as follows:</w:t>
      </w:r>
    </w:p>
    <w:p w14:paraId="46232D84" w14:textId="77777777" w:rsidR="006F2B89" w:rsidRPr="00497ED2" w:rsidRDefault="006F2B89" w:rsidP="006C071C">
      <w:pPr>
        <w:pStyle w:val="QUOTATION"/>
      </w:pPr>
    </w:p>
    <w:p w14:paraId="4E960702" w14:textId="77777777" w:rsidR="006F2B89" w:rsidRPr="00497ED2" w:rsidRDefault="006F2B89" w:rsidP="006C071C">
      <w:pPr>
        <w:pStyle w:val="QUOTATION"/>
        <w:spacing w:after="120"/>
      </w:pPr>
      <w:r w:rsidRPr="00497ED2">
        <w:t>“</w:t>
      </w:r>
      <w:r w:rsidRPr="00A423CD">
        <w:t>For Parliament has now achieved the purpose that the suspension was meant to serve by passing in the meantime the Films and Publications Act 65 of 1996</w:t>
      </w:r>
      <w:r w:rsidRPr="00497ED2">
        <w:t>,</w:t>
      </w:r>
      <w:r w:rsidRPr="00A423CD">
        <w:t xml:space="preserve"> which repeals entirely both the Publications Act and the Indecent or Obscene Photographic Matter Act, replacing the pair with a substantially different scheme.  The new statute was enacted very recently and it has not yet been brought into operation.  But that will no </w:t>
      </w:r>
      <w:r w:rsidRPr="00A423CD">
        <w:lastRenderedPageBreak/>
        <w:t>doubt happen soon, in all probability sooner than the time when the suggested suspension would have expired.  The old statutes, which are already obsolete, will both then terminate.  Neither of the applicants, nor for that matter anyone else, stands to gain the slightest advantage today from an order dealing with their moribund and futureless provisions.  No wrong which we can still right was done to either applicant on the strength of them.  Nor is anything that should be stopped likely to occur under their rapidly waning authority</w:t>
      </w:r>
      <w:r w:rsidRPr="00497ED2">
        <w:t>.</w:t>
      </w:r>
    </w:p>
    <w:p w14:paraId="6C97A5CD" w14:textId="77777777" w:rsidR="006F2B89" w:rsidRPr="00497ED2" w:rsidRDefault="006F2B89" w:rsidP="006C071C">
      <w:pPr>
        <w:pStyle w:val="QUOTATION"/>
      </w:pPr>
      <w:r w:rsidRPr="00497ED2">
        <w:t>In all those circumstances there can hardly be a clearer instance of issues that are wholly academic, of issues exciting no interest but a historical one, than those on which our ruling is wanted have now become.  The repeal of the Publications Act has disposed altogether of the question pertaining to that.”</w:t>
      </w:r>
      <w:r w:rsidRPr="00497ED2">
        <w:rPr>
          <w:rStyle w:val="FootnoteReference"/>
        </w:rPr>
        <w:footnoteReference w:id="40"/>
      </w:r>
    </w:p>
    <w:p w14:paraId="10C08DA8" w14:textId="77777777" w:rsidR="006F2B89" w:rsidRPr="00497ED2" w:rsidRDefault="006F2B89" w:rsidP="006C071C">
      <w:pPr>
        <w:pStyle w:val="JUDGMENTCONTINUED"/>
      </w:pPr>
    </w:p>
    <w:p w14:paraId="460713F6" w14:textId="77777777" w:rsidR="006F2B89" w:rsidRPr="00A423CD" w:rsidRDefault="006F2B89" w:rsidP="006C071C">
      <w:pPr>
        <w:pStyle w:val="JUDGMENTNUMBERED"/>
      </w:pPr>
      <w:r w:rsidRPr="00A423CD">
        <w:t xml:space="preserve">The declaratory order sought by the applicant in </w:t>
      </w:r>
      <w:r w:rsidRPr="00A423CD">
        <w:rPr>
          <w:i/>
        </w:rPr>
        <w:t>JT Publishing</w:t>
      </w:r>
      <w:r w:rsidRPr="00A423CD">
        <w:t xml:space="preserve"> would have been of no practical consequence because it sought to invalidate legislation that had already been repealed. </w:t>
      </w:r>
      <w:r w:rsidRPr="00497ED2">
        <w:rPr>
          <w:szCs w:val="26"/>
        </w:rPr>
        <w:t xml:space="preserve"> </w:t>
      </w:r>
      <w:r w:rsidRPr="00A423CD">
        <w:t>Crucially, and contrary to what the respondents suggest, th</w:t>
      </w:r>
      <w:r w:rsidRPr="00497ED2">
        <w:rPr>
          <w:szCs w:val="26"/>
        </w:rPr>
        <w:t>at</w:t>
      </w:r>
      <w:r w:rsidRPr="00A423CD">
        <w:t xml:space="preserve"> matter was not moot merely because the legislative provisions implicated had been repealed.  It was moot because </w:t>
      </w:r>
      <w:r w:rsidRPr="00A423CD">
        <w:rPr>
          <w:i/>
        </w:rPr>
        <w:t>a declaratory order</w:t>
      </w:r>
      <w:r w:rsidRPr="00A423CD">
        <w:t xml:space="preserve"> </w:t>
      </w:r>
      <w:r w:rsidRPr="00A423CD">
        <w:rPr>
          <w:i/>
        </w:rPr>
        <w:t>stating that the provisions were unconstitutional</w:t>
      </w:r>
      <w:r w:rsidRPr="00A423CD">
        <w:t xml:space="preserve"> would have been pointless in view of the repeal.</w:t>
      </w:r>
    </w:p>
    <w:p w14:paraId="1895AB79" w14:textId="77777777" w:rsidR="006F2B89" w:rsidRPr="00497ED2" w:rsidRDefault="006F2B89" w:rsidP="006C071C">
      <w:pPr>
        <w:pStyle w:val="JUDGMENTCONTINUED"/>
      </w:pPr>
    </w:p>
    <w:p w14:paraId="40DFF209" w14:textId="77777777" w:rsidR="006F2B89" w:rsidRPr="00A423CD" w:rsidRDefault="006F2B89" w:rsidP="006C071C">
      <w:pPr>
        <w:pStyle w:val="JUDGMENTNUMBERED"/>
      </w:pPr>
      <w:r w:rsidRPr="00A423CD">
        <w:t>In this matter, the applicant does not seek an order declaring section</w:t>
      </w:r>
      <w:r w:rsidRPr="00497ED2">
        <w:rPr>
          <w:szCs w:val="26"/>
        </w:rPr>
        <w:t xml:space="preserve"> </w:t>
      </w:r>
      <w:r w:rsidRPr="00A423CD">
        <w:t>54A of the Systems Act invalid.  Instead, she seeks an order declaring that the appointments of Messrs</w:t>
      </w:r>
      <w:r w:rsidRPr="00497ED2">
        <w:rPr>
          <w:szCs w:val="26"/>
        </w:rPr>
        <w:t> </w:t>
      </w:r>
      <w:proofErr w:type="spellStart"/>
      <w:r w:rsidRPr="00A423CD">
        <w:t>Jili</w:t>
      </w:r>
      <w:proofErr w:type="spellEnd"/>
      <w:r w:rsidRPr="00A423CD">
        <w:t xml:space="preserve"> and Sibiya are unlawful.  This order would have an obvious practical effect: namely, that it would result in Messrs </w:t>
      </w:r>
      <w:proofErr w:type="spellStart"/>
      <w:r w:rsidRPr="00A423CD">
        <w:t>Jili</w:t>
      </w:r>
      <w:proofErr w:type="spellEnd"/>
      <w:r w:rsidRPr="00A423CD">
        <w:t xml:space="preserve"> and Sibiya being removed from their respective positions as municipal managers.  Irrespective of this Court’s findings on the merits, its order will determine whether the appointment of two municipal managers contravened section 54A of the Systems Act, which was in force when </w:t>
      </w:r>
      <w:r w:rsidRPr="00497ED2">
        <w:rPr>
          <w:szCs w:val="26"/>
        </w:rPr>
        <w:t>those appointments</w:t>
      </w:r>
      <w:r w:rsidRPr="00A423CD">
        <w:t xml:space="preserve"> were made.  While it is so that the time remaining in their terms of office is short, the removal of either Mr </w:t>
      </w:r>
      <w:proofErr w:type="spellStart"/>
      <w:r w:rsidRPr="00A423CD">
        <w:t>Jili</w:t>
      </w:r>
      <w:proofErr w:type="spellEnd"/>
      <w:r w:rsidRPr="00A423CD">
        <w:t xml:space="preserve"> or Mr Sibiya for that period would have practical consequences for them personally, the municipalities they serve and the residents within these municipalities.</w:t>
      </w:r>
    </w:p>
    <w:p w14:paraId="6A551C22" w14:textId="77777777" w:rsidR="006F2B89" w:rsidRPr="00497ED2" w:rsidRDefault="006F2B89" w:rsidP="006C071C">
      <w:pPr>
        <w:pStyle w:val="JUDGMENTCONTINUED"/>
      </w:pPr>
    </w:p>
    <w:p w14:paraId="5E252E86" w14:textId="77777777" w:rsidR="006F2B89" w:rsidRPr="00A423CD" w:rsidRDefault="006F2B89" w:rsidP="006C071C">
      <w:pPr>
        <w:pStyle w:val="HEADING"/>
      </w:pPr>
      <w:r w:rsidRPr="00A423CD">
        <w:lastRenderedPageBreak/>
        <w:t>Leave to appeal</w:t>
      </w:r>
    </w:p>
    <w:p w14:paraId="5376B347" w14:textId="77777777" w:rsidR="006F2B89" w:rsidRPr="00A423CD" w:rsidRDefault="006F2B89" w:rsidP="006C071C">
      <w:pPr>
        <w:pStyle w:val="JUDGMENTNUMBERED"/>
      </w:pPr>
      <w:r w:rsidRPr="00A423CD">
        <w:t xml:space="preserve">As indicated, the first judgment takes the view that the effect of this Court’s judgment in </w:t>
      </w:r>
      <w:r w:rsidRPr="00A423CD">
        <w:rPr>
          <w:i/>
        </w:rPr>
        <w:t>SAMWU</w:t>
      </w:r>
      <w:r w:rsidRPr="00A423CD">
        <w:t xml:space="preserve"> and the present invalidity of section 54A is that this Court cannot grant an order invalidating the appointments beyond 9 March 2019.  While I disagree that this is a concern relating to mootness, I accept that it is relevant to whether the applicant has prospects in obtaining the orders she seeks.  Because I am concerned about the jurisprudential implications of the first judgment’s conclusion that the invalidity of section</w:t>
      </w:r>
      <w:r w:rsidRPr="00497ED2">
        <w:rPr>
          <w:szCs w:val="26"/>
        </w:rPr>
        <w:t> </w:t>
      </w:r>
      <w:r w:rsidRPr="00A423CD">
        <w:t>54A stunts this Court’s power to grant the orders sought by the applicant, it is necessary for me to address this point in some detail.</w:t>
      </w:r>
    </w:p>
    <w:p w14:paraId="0BC89A84" w14:textId="77777777" w:rsidR="006F2B89" w:rsidRPr="00497ED2" w:rsidRDefault="006F2B89" w:rsidP="006C071C">
      <w:pPr>
        <w:pStyle w:val="JUDGMENTCONTINUED"/>
      </w:pPr>
    </w:p>
    <w:p w14:paraId="29DC66C3" w14:textId="77777777" w:rsidR="006F2B89" w:rsidRPr="00A423CD" w:rsidRDefault="006F2B89" w:rsidP="006C071C">
      <w:pPr>
        <w:pStyle w:val="HEADING"/>
        <w:ind w:firstLine="720"/>
      </w:pPr>
      <w:r w:rsidRPr="00A423CD">
        <w:t>The effect of the invalidity of section 54A on the present dispute</w:t>
      </w:r>
    </w:p>
    <w:p w14:paraId="075F1226" w14:textId="55A646CE" w:rsidR="006F2B89" w:rsidRPr="00A423CD" w:rsidRDefault="006F2B89" w:rsidP="006C071C">
      <w:pPr>
        <w:pStyle w:val="JUDGMENTNUMBERED"/>
      </w:pPr>
      <w:r w:rsidRPr="00A423CD">
        <w:t xml:space="preserve">The first judgment holds that an order setting aside the appointments </w:t>
      </w:r>
      <w:r w:rsidR="00D242A2">
        <w:t xml:space="preserve">with prospective effect from the date of this Court’s order </w:t>
      </w:r>
      <w:r w:rsidRPr="00A423CD">
        <w:t xml:space="preserve">is not competent because the order of invalidity made by this Court in </w:t>
      </w:r>
      <w:r w:rsidRPr="00A423CD">
        <w:rPr>
          <w:i/>
        </w:rPr>
        <w:t>SAMWU</w:t>
      </w:r>
      <w:r w:rsidRPr="00A423CD">
        <w:t xml:space="preserve"> has now come into effect.  It reasons that section 54A itself would provide the legal basis for an order declaring the appointments of Messr</w:t>
      </w:r>
      <w:r w:rsidRPr="00497ED2">
        <w:rPr>
          <w:szCs w:val="26"/>
        </w:rPr>
        <w:t>s</w:t>
      </w:r>
      <w:r w:rsidRPr="00A423CD">
        <w:t xml:space="preserve"> </w:t>
      </w:r>
      <w:proofErr w:type="spellStart"/>
      <w:r w:rsidRPr="00A423CD">
        <w:t>Jili</w:t>
      </w:r>
      <w:proofErr w:type="spellEnd"/>
      <w:r w:rsidRPr="00A423CD">
        <w:t xml:space="preserve"> and Sibiya unlawful and</w:t>
      </w:r>
      <w:r w:rsidR="00D73B04">
        <w:t xml:space="preserve"> then invalidating </w:t>
      </w:r>
      <w:r w:rsidR="00D242A2">
        <w:t>them, and</w:t>
      </w:r>
      <w:r w:rsidRPr="00A423CD">
        <w:t xml:space="preserve"> that if this Court were to make such an order, it would have the consequence that the now invalid section</w:t>
      </w:r>
      <w:r w:rsidRPr="00497ED2">
        <w:rPr>
          <w:szCs w:val="26"/>
        </w:rPr>
        <w:t> </w:t>
      </w:r>
      <w:r w:rsidRPr="00A423CD">
        <w:t xml:space="preserve">54A would continue </w:t>
      </w:r>
      <w:r w:rsidRPr="00497ED2">
        <w:rPr>
          <w:szCs w:val="26"/>
        </w:rPr>
        <w:t>“</w:t>
      </w:r>
      <w:r w:rsidRPr="00A423CD">
        <w:t>to operate even after the suspension period ha[s] expired”.</w:t>
      </w:r>
      <w:r w:rsidRPr="00A423CD">
        <w:rPr>
          <w:rStyle w:val="FootnoteReference"/>
        </w:rPr>
        <w:footnoteReference w:id="41"/>
      </w:r>
      <w:r w:rsidRPr="00A423CD">
        <w:t xml:space="preserve">  Therefore, at most, this Court has the power to </w:t>
      </w:r>
      <w:r w:rsidR="00D242A2">
        <w:t xml:space="preserve">make an order invalidating </w:t>
      </w:r>
      <w:r w:rsidRPr="00A423CD">
        <w:t>the appointments up until 9 March 2019.</w:t>
      </w:r>
    </w:p>
    <w:p w14:paraId="6547DDF8" w14:textId="77777777" w:rsidR="006F2B89" w:rsidRPr="00497ED2" w:rsidRDefault="006F2B89" w:rsidP="006C071C">
      <w:pPr>
        <w:pStyle w:val="JUDGMENTCONTINUED"/>
      </w:pPr>
    </w:p>
    <w:p w14:paraId="111B6CB5" w14:textId="0F2FE87A" w:rsidR="006F2B89" w:rsidRPr="00A423CD" w:rsidRDefault="007A4FE1" w:rsidP="006C071C">
      <w:pPr>
        <w:pStyle w:val="JUDGMENTNUMBERED"/>
      </w:pPr>
      <w:r>
        <w:t>In my view,</w:t>
      </w:r>
      <w:r w:rsidR="006F2B89" w:rsidRPr="00A423CD">
        <w:t xml:space="preserve"> this approach conflicts with the doctrine of objective constitutional invalidity and mischaracterises the nature and source of this Court’s power to declare conduct to be unlawful</w:t>
      </w:r>
      <w:r w:rsidR="00CB2E3E">
        <w:t xml:space="preserve"> and then set it aside</w:t>
      </w:r>
      <w:r w:rsidR="006F2B89" w:rsidRPr="00A423CD">
        <w:t xml:space="preserve">.  </w:t>
      </w:r>
      <w:r>
        <w:t xml:space="preserve">To begin with, </w:t>
      </w:r>
      <w:r>
        <w:rPr>
          <w:color w:val="000000"/>
        </w:rPr>
        <w:t>a</w:t>
      </w:r>
      <w:r w:rsidR="00226465" w:rsidRPr="00A423CD">
        <w:rPr>
          <w:color w:val="000000"/>
        </w:rPr>
        <w:t xml:space="preserve"> decision which is </w:t>
      </w:r>
      <w:r w:rsidR="00226465" w:rsidRPr="00A423CD">
        <w:rPr>
          <w:i/>
          <w:color w:val="000000"/>
        </w:rPr>
        <w:t>ultra vires</w:t>
      </w:r>
      <w:r w:rsidR="00226465" w:rsidRPr="00A423CD">
        <w:rPr>
          <w:color w:val="000000"/>
        </w:rPr>
        <w:t xml:space="preserve"> its empowering legislation is invalid under the Constitution according to the principle of legality</w:t>
      </w:r>
      <w:r w:rsidR="00226465" w:rsidRPr="00A423CD">
        <w:rPr>
          <w:rStyle w:val="FootnoteReference"/>
          <w:color w:val="000000"/>
        </w:rPr>
        <w:footnoteReference w:id="42"/>
      </w:r>
      <w:r w:rsidR="00226465" w:rsidRPr="00497ED2">
        <w:rPr>
          <w:color w:val="000000"/>
          <w:szCs w:val="26"/>
        </w:rPr>
        <w:t xml:space="preserve"> </w:t>
      </w:r>
      <w:r w:rsidR="00226465" w:rsidRPr="00A423CD">
        <w:rPr>
          <w:color w:val="000000"/>
        </w:rPr>
        <w:t xml:space="preserve">and this Court’s power to declare </w:t>
      </w:r>
      <w:r w:rsidR="00226465" w:rsidRPr="00497ED2">
        <w:rPr>
          <w:color w:val="000000"/>
          <w:szCs w:val="26"/>
        </w:rPr>
        <w:t>it</w:t>
      </w:r>
      <w:r w:rsidR="00226465" w:rsidRPr="00A423CD">
        <w:rPr>
          <w:color w:val="000000"/>
        </w:rPr>
        <w:t xml:space="preserve"> unlawful is sourced directly from section</w:t>
      </w:r>
      <w:r w:rsidR="00226465" w:rsidRPr="00497ED2">
        <w:rPr>
          <w:color w:val="000000"/>
          <w:szCs w:val="26"/>
        </w:rPr>
        <w:t> </w:t>
      </w:r>
      <w:r w:rsidR="00226465" w:rsidRPr="00A423CD">
        <w:rPr>
          <w:color w:val="000000"/>
        </w:rPr>
        <w:t>172(1)(a) of the Constitution</w:t>
      </w:r>
      <w:r>
        <w:rPr>
          <w:color w:val="000000"/>
        </w:rPr>
        <w:t xml:space="preserve"> and not from the empowering provision </w:t>
      </w:r>
      <w:r>
        <w:rPr>
          <w:color w:val="000000"/>
        </w:rPr>
        <w:lastRenderedPageBreak/>
        <w:t>itself</w:t>
      </w:r>
      <w:r w:rsidR="00226465" w:rsidRPr="00A423CD">
        <w:rPr>
          <w:color w:val="000000"/>
        </w:rPr>
        <w:t xml:space="preserve">.  </w:t>
      </w:r>
      <w:r w:rsidR="00FC2020">
        <w:rPr>
          <w:color w:val="000000"/>
        </w:rPr>
        <w:t xml:space="preserve">According to the doctrine of objective constitutional invalidity, </w:t>
      </w:r>
      <w:r w:rsidR="00FC2020">
        <w:t>l</w:t>
      </w:r>
      <w:r w:rsidR="006F2B89" w:rsidRPr="00A423CD">
        <w:t>aw or conduct that is inconsistent with the Constitution is unlawful from the moment at which the inconsistency arises</w:t>
      </w:r>
      <w:bookmarkStart w:id="11" w:name="_Ref88819623"/>
      <w:r w:rsidR="006F2B89" w:rsidRPr="00497ED2">
        <w:rPr>
          <w:rStyle w:val="FootnoteReference"/>
          <w:szCs w:val="26"/>
        </w:rPr>
        <w:footnoteReference w:id="43"/>
      </w:r>
      <w:bookmarkEnd w:id="11"/>
      <w:r w:rsidR="006F2B89" w:rsidRPr="00A423CD">
        <w:t xml:space="preserve"> </w:t>
      </w:r>
      <w:r w:rsidR="000B4A8C">
        <w:t>and, a</w:t>
      </w:r>
      <w:r w:rsidR="006F2B89" w:rsidRPr="00A423CD">
        <w:t>s such, a court order declaring that law or conduct is inconsistent with the Constitution “does not invalidate [it]; it merely declares it to be invalid”.</w:t>
      </w:r>
      <w:r w:rsidR="006F2B89" w:rsidRPr="00A423CD">
        <w:rPr>
          <w:rStyle w:val="FootnoteReference"/>
        </w:rPr>
        <w:footnoteReference w:id="44"/>
      </w:r>
      <w:r w:rsidR="006F2B89" w:rsidRPr="00A423CD">
        <w:t xml:space="preserve">  </w:t>
      </w:r>
      <w:r w:rsidR="00F676C7">
        <w:t>A</w:t>
      </w:r>
      <w:r w:rsidR="003A4CC9" w:rsidRPr="00A423CD">
        <w:t xml:space="preserve">n order declaring the appointments to be unlawful would </w:t>
      </w:r>
      <w:r w:rsidR="00F676C7">
        <w:t xml:space="preserve">thus </w:t>
      </w:r>
      <w:r w:rsidR="003A4CC9" w:rsidRPr="00A423CD">
        <w:t>be “descriptive of a pre-existing state of affairs” (this being the unlawfulness of the appointments from inception).</w:t>
      </w:r>
      <w:r w:rsidR="003A4CC9" w:rsidRPr="00A423CD">
        <w:rPr>
          <w:rStyle w:val="FootnoteReference"/>
        </w:rPr>
        <w:footnoteReference w:id="45"/>
      </w:r>
      <w:r w:rsidR="003A4CC9" w:rsidRPr="00497ED2">
        <w:rPr>
          <w:szCs w:val="26"/>
        </w:rPr>
        <w:t xml:space="preserve"> </w:t>
      </w:r>
      <w:r w:rsidR="003A4CC9">
        <w:rPr>
          <w:szCs w:val="26"/>
        </w:rPr>
        <w:t xml:space="preserve"> In other words, </w:t>
      </w:r>
      <w:r w:rsidR="005F7727">
        <w:rPr>
          <w:szCs w:val="26"/>
        </w:rPr>
        <w:t xml:space="preserve">it would describe the lawfulness or unlawfulness of the appointments at the moment they were made, when section 54A was in force.  </w:t>
      </w:r>
      <w:r w:rsidR="002C4AF8">
        <w:rPr>
          <w:szCs w:val="26"/>
        </w:rPr>
        <w:t>There is no question of</w:t>
      </w:r>
      <w:r w:rsidR="00AA653E">
        <w:rPr>
          <w:szCs w:val="26"/>
        </w:rPr>
        <w:t xml:space="preserve"> </w:t>
      </w:r>
      <w:r w:rsidR="00327C9B">
        <w:rPr>
          <w:szCs w:val="26"/>
        </w:rPr>
        <w:t>th</w:t>
      </w:r>
      <w:r w:rsidR="00026CAA">
        <w:rPr>
          <w:szCs w:val="26"/>
        </w:rPr>
        <w:t>is Court’s</w:t>
      </w:r>
      <w:r w:rsidR="00327C9B">
        <w:rPr>
          <w:szCs w:val="26"/>
        </w:rPr>
        <w:t xml:space="preserve"> </w:t>
      </w:r>
      <w:r w:rsidR="00EA2628">
        <w:rPr>
          <w:szCs w:val="26"/>
        </w:rPr>
        <w:t>declaration of invalidity applying or</w:t>
      </w:r>
      <w:r w:rsidR="00AA653E">
        <w:rPr>
          <w:szCs w:val="26"/>
        </w:rPr>
        <w:t xml:space="preserve"> enforcing </w:t>
      </w:r>
      <w:r w:rsidR="002C4AF8">
        <w:rPr>
          <w:szCs w:val="26"/>
        </w:rPr>
        <w:t xml:space="preserve">section 54A </w:t>
      </w:r>
      <w:r w:rsidR="00AA653E">
        <w:rPr>
          <w:szCs w:val="26"/>
        </w:rPr>
        <w:t xml:space="preserve">to alter the legal consequences of </w:t>
      </w:r>
      <w:r w:rsidR="001570A5">
        <w:rPr>
          <w:szCs w:val="26"/>
        </w:rPr>
        <w:t>appointments made</w:t>
      </w:r>
      <w:r w:rsidR="00AA653E">
        <w:rPr>
          <w:szCs w:val="26"/>
        </w:rPr>
        <w:t xml:space="preserve"> after the section became invalid</w:t>
      </w:r>
      <w:r w:rsidR="00D17885">
        <w:rPr>
          <w:szCs w:val="26"/>
        </w:rPr>
        <w:t>.</w:t>
      </w:r>
    </w:p>
    <w:p w14:paraId="642607A9" w14:textId="77777777" w:rsidR="006F2B89" w:rsidRPr="00497ED2" w:rsidRDefault="006F2B89" w:rsidP="006C071C">
      <w:pPr>
        <w:pStyle w:val="JUDGMENTCONTINUED"/>
      </w:pPr>
    </w:p>
    <w:p w14:paraId="63CD4EDF" w14:textId="47DE4305" w:rsidR="000D622A" w:rsidRPr="00F24ED5" w:rsidRDefault="006F2B89" w:rsidP="006C071C">
      <w:pPr>
        <w:pStyle w:val="JUDGMENTNUMBERED"/>
        <w:rPr>
          <w:color w:val="000000"/>
        </w:rPr>
      </w:pPr>
      <w:r w:rsidRPr="00A423CD">
        <w:rPr>
          <w:color w:val="000000"/>
        </w:rPr>
        <w:t xml:space="preserve">The first judgment </w:t>
      </w:r>
      <w:r w:rsidR="005E2F89">
        <w:rPr>
          <w:color w:val="000000"/>
        </w:rPr>
        <w:t xml:space="preserve">also </w:t>
      </w:r>
      <w:r w:rsidR="002A379A">
        <w:rPr>
          <w:color w:val="000000"/>
        </w:rPr>
        <w:t xml:space="preserve">seems to </w:t>
      </w:r>
      <w:r w:rsidRPr="00A423CD">
        <w:rPr>
          <w:color w:val="000000"/>
        </w:rPr>
        <w:t>suggest that this Court’s power</w:t>
      </w:r>
      <w:r w:rsidR="00655089">
        <w:rPr>
          <w:color w:val="000000"/>
        </w:rPr>
        <w:t xml:space="preserve"> </w:t>
      </w:r>
      <w:r w:rsidR="00327A48">
        <w:rPr>
          <w:color w:val="000000"/>
        </w:rPr>
        <w:t xml:space="preserve">to </w:t>
      </w:r>
      <w:r w:rsidR="000B4A8C">
        <w:rPr>
          <w:color w:val="000000"/>
        </w:rPr>
        <w:t xml:space="preserve">invalidate </w:t>
      </w:r>
      <w:r w:rsidR="00405204">
        <w:rPr>
          <w:color w:val="000000"/>
        </w:rPr>
        <w:t xml:space="preserve">and </w:t>
      </w:r>
      <w:r w:rsidRPr="00A423CD">
        <w:rPr>
          <w:color w:val="000000"/>
        </w:rPr>
        <w:t>set</w:t>
      </w:r>
      <w:r w:rsidR="00327A48">
        <w:rPr>
          <w:color w:val="000000"/>
        </w:rPr>
        <w:t xml:space="preserve"> </w:t>
      </w:r>
      <w:r w:rsidRPr="00A423CD">
        <w:rPr>
          <w:color w:val="000000"/>
        </w:rPr>
        <w:t xml:space="preserve">aside </w:t>
      </w:r>
      <w:r w:rsidR="00270BE6">
        <w:rPr>
          <w:color w:val="000000"/>
        </w:rPr>
        <w:t xml:space="preserve">the appointments </w:t>
      </w:r>
      <w:r w:rsidRPr="00A423CD">
        <w:rPr>
          <w:color w:val="000000"/>
        </w:rPr>
        <w:t>is somehow contingent upon the validity of section</w:t>
      </w:r>
      <w:r w:rsidR="005759EE">
        <w:rPr>
          <w:color w:val="000000"/>
        </w:rPr>
        <w:t> </w:t>
      </w:r>
      <w:r w:rsidRPr="00A423CD">
        <w:rPr>
          <w:color w:val="000000"/>
        </w:rPr>
        <w:t>54A.</w:t>
      </w:r>
      <w:r w:rsidRPr="00497ED2">
        <w:rPr>
          <w:color w:val="000000"/>
          <w:szCs w:val="26"/>
        </w:rPr>
        <w:t xml:space="preserve"> </w:t>
      </w:r>
      <w:r w:rsidRPr="00A423CD">
        <w:rPr>
          <w:color w:val="000000"/>
        </w:rPr>
        <w:t xml:space="preserve"> Not so.  </w:t>
      </w:r>
      <w:r w:rsidR="00A81583">
        <w:rPr>
          <w:color w:val="000000"/>
        </w:rPr>
        <w:t xml:space="preserve">Upon </w:t>
      </w:r>
      <w:r w:rsidR="000B4A8C">
        <w:rPr>
          <w:color w:val="000000"/>
        </w:rPr>
        <w:t xml:space="preserve">declaring that the appointments are invalid </w:t>
      </w:r>
      <w:r w:rsidR="009D291B">
        <w:rPr>
          <w:color w:val="000000"/>
        </w:rPr>
        <w:t>in terms of section</w:t>
      </w:r>
      <w:r w:rsidR="005759EE">
        <w:rPr>
          <w:color w:val="000000"/>
        </w:rPr>
        <w:t> </w:t>
      </w:r>
      <w:r w:rsidR="009D291B">
        <w:rPr>
          <w:color w:val="000000"/>
        </w:rPr>
        <w:t xml:space="preserve">172(1)(a) of the Constitution, </w:t>
      </w:r>
      <w:r w:rsidR="00A81583">
        <w:rPr>
          <w:color w:val="000000"/>
        </w:rPr>
        <w:t>this Court would then have the power, in terms of section 172(1)(b), to make any order that is just and equitable</w:t>
      </w:r>
      <w:r w:rsidR="000D622A">
        <w:rPr>
          <w:color w:val="000000"/>
        </w:rPr>
        <w:t>, including “</w:t>
      </w:r>
      <w:r w:rsidR="000D622A" w:rsidRPr="006C071C">
        <w:rPr>
          <w:lang w:eastAsia="en-GB"/>
        </w:rPr>
        <w:t>an order limiting the retrospective effect of the declaration of invalidity”.</w:t>
      </w:r>
      <w:r w:rsidR="009D291B" w:rsidRPr="006C071C">
        <w:rPr>
          <w:lang w:eastAsia="en-GB"/>
        </w:rPr>
        <w:t xml:space="preserve">  This remedial power is </w:t>
      </w:r>
      <w:r w:rsidR="00B34B6C" w:rsidRPr="006C071C">
        <w:rPr>
          <w:lang w:eastAsia="en-GB"/>
        </w:rPr>
        <w:t xml:space="preserve">triggered </w:t>
      </w:r>
      <w:r w:rsidR="00C81F66" w:rsidRPr="006C071C">
        <w:rPr>
          <w:lang w:eastAsia="en-GB"/>
        </w:rPr>
        <w:t>by</w:t>
      </w:r>
      <w:r w:rsidR="00ED3B73" w:rsidRPr="006C071C">
        <w:rPr>
          <w:lang w:eastAsia="en-GB"/>
        </w:rPr>
        <w:t xml:space="preserve"> </w:t>
      </w:r>
      <w:r w:rsidR="00C81F66" w:rsidRPr="006C071C">
        <w:rPr>
          <w:lang w:eastAsia="en-GB"/>
        </w:rPr>
        <w:t>a declaration of invalidity in terms of section 172(1)(a)</w:t>
      </w:r>
      <w:r w:rsidR="009A36B5" w:rsidRPr="006C071C">
        <w:rPr>
          <w:lang w:eastAsia="en-GB"/>
        </w:rPr>
        <w:t xml:space="preserve"> and does not depend on the</w:t>
      </w:r>
      <w:r w:rsidR="009D291B" w:rsidRPr="006C071C">
        <w:rPr>
          <w:lang w:eastAsia="en-GB"/>
        </w:rPr>
        <w:t xml:space="preserve"> validity o</w:t>
      </w:r>
      <w:r w:rsidR="009A36B5" w:rsidRPr="006C071C">
        <w:rPr>
          <w:lang w:eastAsia="en-GB"/>
        </w:rPr>
        <w:t>r</w:t>
      </w:r>
      <w:r w:rsidR="009D291B" w:rsidRPr="006C071C">
        <w:rPr>
          <w:lang w:eastAsia="en-GB"/>
        </w:rPr>
        <w:t xml:space="preserve"> invalidity of section 54A</w:t>
      </w:r>
      <w:r w:rsidR="00A12673" w:rsidRPr="006C071C">
        <w:rPr>
          <w:lang w:eastAsia="en-GB"/>
        </w:rPr>
        <w:t xml:space="preserve"> at the time it is exercised.</w:t>
      </w:r>
    </w:p>
    <w:p w14:paraId="144DA102" w14:textId="77777777" w:rsidR="000D622A" w:rsidRPr="00F24ED5" w:rsidRDefault="000D622A" w:rsidP="006C071C">
      <w:pPr>
        <w:pStyle w:val="JUDGMENTCONTINUED"/>
      </w:pPr>
    </w:p>
    <w:p w14:paraId="2200C92B" w14:textId="29E9AF59" w:rsidR="006F2B89" w:rsidRPr="00A423CD" w:rsidRDefault="00A12673" w:rsidP="006C071C">
      <w:pPr>
        <w:pStyle w:val="JUDGMENTNUMBERED"/>
      </w:pPr>
      <w:r>
        <w:t>T</w:t>
      </w:r>
      <w:r w:rsidR="006F2B89" w:rsidRPr="00A423CD">
        <w:t>his Court’s power</w:t>
      </w:r>
      <w:r w:rsidR="00C35161">
        <w:t>s</w:t>
      </w:r>
      <w:r w:rsidR="006F2B89" w:rsidRPr="00A423CD">
        <w:t xml:space="preserve"> to declare that an exercise of public power is </w:t>
      </w:r>
      <w:r w:rsidR="006F2B89" w:rsidRPr="00A423CD">
        <w:rPr>
          <w:i/>
        </w:rPr>
        <w:t>ultra vires</w:t>
      </w:r>
      <w:r w:rsidR="006F2B89" w:rsidRPr="00A423CD">
        <w:t xml:space="preserve"> its empowering provision</w:t>
      </w:r>
      <w:r w:rsidR="006F2B89" w:rsidRPr="00497ED2">
        <w:rPr>
          <w:szCs w:val="26"/>
        </w:rPr>
        <w:t>,</w:t>
      </w:r>
      <w:r w:rsidR="006F2B89" w:rsidRPr="00A423CD">
        <w:t xml:space="preserve"> and to set it aside</w:t>
      </w:r>
      <w:r w:rsidR="00C35161">
        <w:t xml:space="preserve"> with prospective effect</w:t>
      </w:r>
      <w:r w:rsidR="006F2B89" w:rsidRPr="00497ED2">
        <w:rPr>
          <w:szCs w:val="26"/>
        </w:rPr>
        <w:t>,</w:t>
      </w:r>
      <w:r w:rsidR="006F2B89" w:rsidRPr="00A423CD">
        <w:t xml:space="preserve"> </w:t>
      </w:r>
      <w:r>
        <w:t xml:space="preserve">thus </w:t>
      </w:r>
      <w:r w:rsidR="006F2B89" w:rsidRPr="00A423CD">
        <w:t xml:space="preserve">emanate not from </w:t>
      </w:r>
      <w:r w:rsidR="00405204">
        <w:t>section 54A</w:t>
      </w:r>
      <w:r w:rsidR="006F2B89" w:rsidRPr="00A423CD">
        <w:t xml:space="preserve">, </w:t>
      </w:r>
      <w:r w:rsidR="006F2B89" w:rsidRPr="00A423CD">
        <w:rPr>
          <w:i/>
        </w:rPr>
        <w:t>but from the Constitution</w:t>
      </w:r>
      <w:r w:rsidR="006F2B89" w:rsidRPr="00A423CD">
        <w:t>.</w:t>
      </w:r>
      <w:r w:rsidR="006F2B89" w:rsidRPr="00A423CD">
        <w:rPr>
          <w:rStyle w:val="FootnoteReference"/>
        </w:rPr>
        <w:footnoteReference w:id="46"/>
      </w:r>
      <w:r w:rsidR="006F2B89" w:rsidRPr="00A423CD">
        <w:t xml:space="preserve">  It is therefore incorrect to say that this Court </w:t>
      </w:r>
      <w:r w:rsidR="006F2B89" w:rsidRPr="00A423CD">
        <w:lastRenderedPageBreak/>
        <w:t>is denuded of its power to make an order setting aside the appointments after 9 March 2019 because section</w:t>
      </w:r>
      <w:r w:rsidR="006F2B89" w:rsidRPr="00497ED2">
        <w:rPr>
          <w:szCs w:val="26"/>
        </w:rPr>
        <w:t> </w:t>
      </w:r>
      <w:r w:rsidR="006F2B89" w:rsidRPr="00A423CD">
        <w:t>54A is no longer in force.</w:t>
      </w:r>
    </w:p>
    <w:p w14:paraId="13324A3E" w14:textId="77777777" w:rsidR="006F2B89" w:rsidRPr="00497ED2" w:rsidRDefault="006F2B89" w:rsidP="006C071C">
      <w:pPr>
        <w:pStyle w:val="JUDGMENTCONTINUED"/>
      </w:pPr>
    </w:p>
    <w:p w14:paraId="0B56FB47" w14:textId="7FDA213A" w:rsidR="006F2B89" w:rsidRPr="00A423CD" w:rsidRDefault="006F2B89" w:rsidP="006C071C">
      <w:pPr>
        <w:pStyle w:val="JUDGMENTNUMBERED"/>
      </w:pPr>
      <w:r w:rsidRPr="00A423CD">
        <w:t>It also cannot be that section 172(1) of the Constitution empowers this Court to declare the appointments to be unlawful</w:t>
      </w:r>
      <w:r w:rsidR="00E3525F">
        <w:t xml:space="preserve"> and set </w:t>
      </w:r>
      <w:r w:rsidR="00E3525F" w:rsidRPr="00925CEE">
        <w:t>them aside</w:t>
      </w:r>
      <w:r w:rsidR="003C62EE" w:rsidRPr="00925CEE">
        <w:t xml:space="preserve">, but only up </w:t>
      </w:r>
      <w:r w:rsidRPr="00925CEE">
        <w:t>until 9</w:t>
      </w:r>
      <w:r w:rsidR="00A4760A" w:rsidRPr="00925CEE">
        <w:t> </w:t>
      </w:r>
      <w:r w:rsidRPr="00925CEE">
        <w:t>March</w:t>
      </w:r>
      <w:r w:rsidR="00A4760A" w:rsidRPr="00925CEE">
        <w:t> </w:t>
      </w:r>
      <w:r w:rsidRPr="00925CEE">
        <w:t>2019.</w:t>
      </w:r>
      <w:r w:rsidRPr="00A423CD">
        <w:t xml:space="preserve">  Not only is the section not qualified in this way (that is, it does not say that conduct can be declared unlawful </w:t>
      </w:r>
      <w:r w:rsidRPr="00A423CD">
        <w:rPr>
          <w:i/>
        </w:rPr>
        <w:t>only for so long as the relevant law it breaches is in force</w:t>
      </w:r>
      <w:r w:rsidRPr="00A423CD">
        <w:t>),</w:t>
      </w:r>
      <w:r w:rsidRPr="00497ED2">
        <w:rPr>
          <w:rStyle w:val="FootnoteReference"/>
          <w:szCs w:val="26"/>
        </w:rPr>
        <w:footnoteReference w:id="47"/>
      </w:r>
      <w:r w:rsidRPr="00A423CD">
        <w:t xml:space="preserve"> limiting this Court’s power in this way raises the question: if the appointments made in terms of section</w:t>
      </w:r>
      <w:r w:rsidRPr="00497ED2">
        <w:rPr>
          <w:szCs w:val="26"/>
        </w:rPr>
        <w:t> </w:t>
      </w:r>
      <w:r w:rsidRPr="00A423CD">
        <w:t xml:space="preserve">54A are declared unlawful </w:t>
      </w:r>
      <w:r w:rsidR="00E3525F">
        <w:t>and invalid</w:t>
      </w:r>
      <w:r w:rsidR="005759EE">
        <w:t xml:space="preserve"> </w:t>
      </w:r>
      <w:r w:rsidRPr="00A423CD">
        <w:t xml:space="preserve">up until 9 March 2019, what happens after that date?  In the absence of an empowering provision giving the appointments legal force, they can hardly become lawful again.  On the first judgment’s approach, the appointments would thus be suspended in a zombie-like state, neither </w:t>
      </w:r>
      <w:r w:rsidRPr="00497ED2">
        <w:rPr>
          <w:szCs w:val="26"/>
        </w:rPr>
        <w:t xml:space="preserve">lawful nor </w:t>
      </w:r>
      <w:r w:rsidRPr="00A423CD">
        <w:t>unlawful</w:t>
      </w:r>
      <w:r w:rsidRPr="00497ED2">
        <w:rPr>
          <w:szCs w:val="26"/>
        </w:rPr>
        <w:t>.</w:t>
      </w:r>
    </w:p>
    <w:p w14:paraId="22F28299" w14:textId="77777777" w:rsidR="006F2B89" w:rsidRPr="00497ED2" w:rsidRDefault="006F2B89" w:rsidP="006C071C">
      <w:pPr>
        <w:pStyle w:val="JUDGMENTCONTINUED"/>
      </w:pPr>
    </w:p>
    <w:p w14:paraId="4C88FD13" w14:textId="42B2863A" w:rsidR="006F2B89" w:rsidRPr="00A423CD" w:rsidRDefault="006F2B89" w:rsidP="006C071C">
      <w:pPr>
        <w:pStyle w:val="JUDGMENTNUMBERED"/>
      </w:pPr>
      <w:r w:rsidRPr="00A423CD">
        <w:t xml:space="preserve">A further difficulty facing the first judgment’s approach is that it effectively qualifies the prospective effect of this Court’s order in </w:t>
      </w:r>
      <w:r w:rsidRPr="00A423CD">
        <w:rPr>
          <w:i/>
        </w:rPr>
        <w:t xml:space="preserve">SAMWU </w:t>
      </w:r>
      <w:r w:rsidRPr="00A423CD">
        <w:t xml:space="preserve">and is incompatible with this Court’s judgment in </w:t>
      </w:r>
      <w:proofErr w:type="spellStart"/>
      <w:r w:rsidRPr="00A423CD">
        <w:rPr>
          <w:i/>
        </w:rPr>
        <w:t>Notyawa</w:t>
      </w:r>
      <w:proofErr w:type="spellEnd"/>
      <w:r w:rsidRPr="00A423CD">
        <w:t xml:space="preserve">.  In </w:t>
      </w:r>
      <w:r w:rsidRPr="00A423CD">
        <w:rPr>
          <w:i/>
        </w:rPr>
        <w:t>SAMWU,</w:t>
      </w:r>
      <w:r w:rsidRPr="00A423CD">
        <w:t xml:space="preserve"> this Court declared section</w:t>
      </w:r>
      <w:r w:rsidRPr="00497ED2">
        <w:rPr>
          <w:szCs w:val="26"/>
        </w:rPr>
        <w:t> </w:t>
      </w:r>
      <w:r w:rsidRPr="00A423CD">
        <w:t xml:space="preserve">54A unconstitutional on the basis that the </w:t>
      </w:r>
      <w:r w:rsidRPr="00497ED2">
        <w:rPr>
          <w:szCs w:val="26"/>
        </w:rPr>
        <w:t xml:space="preserve">Local Government: Municipal Systems </w:t>
      </w:r>
      <w:r w:rsidRPr="00A423CD">
        <w:t>Amendment Act</w:t>
      </w:r>
      <w:r w:rsidRPr="00497ED2">
        <w:rPr>
          <w:rStyle w:val="FootnoteReference"/>
          <w:szCs w:val="26"/>
        </w:rPr>
        <w:footnoteReference w:id="48"/>
      </w:r>
      <w:r w:rsidRPr="00A423CD">
        <w:t xml:space="preserve"> that purported to insert section 54A into the Systems Act in 2011 was incorrectly tagged as an ordinary bill not affecting the provinces, whereas it ought to have been tagged as a section 76 bill (affecting the provinces).  The consequences that ordinarily flow from a declaration of constitutional invalidity include that the law will be invalid from the moment it was promulgated.</w:t>
      </w:r>
      <w:r w:rsidRPr="00A423CD">
        <w:rPr>
          <w:rStyle w:val="FootnoteReference"/>
        </w:rPr>
        <w:footnoteReference w:id="49"/>
      </w:r>
      <w:r w:rsidRPr="00A423CD">
        <w:t xml:space="preserve">  That is, the order will have immediate retrospective effect.  In </w:t>
      </w:r>
      <w:r w:rsidRPr="00A423CD">
        <w:rPr>
          <w:i/>
        </w:rPr>
        <w:t>SAMWU</w:t>
      </w:r>
      <w:r w:rsidRPr="00A423CD">
        <w:t xml:space="preserve">, this Court expressly stated that the order of invalidity would operate prospectively. </w:t>
      </w:r>
      <w:r w:rsidRPr="00497ED2">
        <w:rPr>
          <w:szCs w:val="26"/>
        </w:rPr>
        <w:t xml:space="preserve"> </w:t>
      </w:r>
      <w:r w:rsidRPr="00A423CD">
        <w:t>The declaration of invalidity was also suspended for 24</w:t>
      </w:r>
      <w:r w:rsidRPr="00497ED2">
        <w:rPr>
          <w:szCs w:val="26"/>
        </w:rPr>
        <w:t xml:space="preserve"> </w:t>
      </w:r>
      <w:r w:rsidRPr="00A423CD">
        <w:t xml:space="preserve">months to allow the </w:t>
      </w:r>
      <w:r w:rsidRPr="00497ED2">
        <w:rPr>
          <w:szCs w:val="26"/>
        </w:rPr>
        <w:t>L</w:t>
      </w:r>
      <w:r w:rsidRPr="00A423CD">
        <w:t>egislature time to cure the procedural defect.</w:t>
      </w:r>
    </w:p>
    <w:p w14:paraId="3E61A568" w14:textId="77777777" w:rsidR="006F2B89" w:rsidRPr="00497ED2" w:rsidRDefault="006F2B89" w:rsidP="006C071C">
      <w:pPr>
        <w:pStyle w:val="JUDGMENTCONTINUED"/>
      </w:pPr>
    </w:p>
    <w:p w14:paraId="43136903" w14:textId="77777777" w:rsidR="006F2B89" w:rsidRPr="00A423CD" w:rsidRDefault="006F2B89" w:rsidP="006C071C">
      <w:pPr>
        <w:pStyle w:val="JUDGMENTNUMBERED"/>
        <w:rPr>
          <w:lang w:val="en-US"/>
        </w:rPr>
      </w:pPr>
      <w:r w:rsidRPr="00A423CD">
        <w:t xml:space="preserve">In this matter, the High Court made its order before the expiry of </w:t>
      </w:r>
      <w:r w:rsidRPr="00497ED2">
        <w:rPr>
          <w:szCs w:val="26"/>
        </w:rPr>
        <w:t xml:space="preserve">the </w:t>
      </w:r>
      <w:r w:rsidRPr="00A423CD">
        <w:t>two year suspension</w:t>
      </w:r>
      <w:r w:rsidRPr="00497ED2">
        <w:rPr>
          <w:szCs w:val="26"/>
        </w:rPr>
        <w:t>,</w:t>
      </w:r>
      <w:r w:rsidRPr="00A423CD">
        <w:t xml:space="preserve"> which eventually expired on </w:t>
      </w:r>
      <w:r w:rsidRPr="00497ED2">
        <w:rPr>
          <w:szCs w:val="26"/>
        </w:rPr>
        <w:t>9</w:t>
      </w:r>
      <w:r w:rsidRPr="00A423CD">
        <w:t xml:space="preserve"> March 2019 without the Legislature hav</w:t>
      </w:r>
      <w:r w:rsidRPr="00497ED2">
        <w:rPr>
          <w:szCs w:val="26"/>
        </w:rPr>
        <w:t>ing</w:t>
      </w:r>
      <w:r w:rsidRPr="00A423CD">
        <w:t xml:space="preserve"> taken any steps to amend section 54A.  The applicant’s appeal to the Supreme Court of Appeal was heard on 2</w:t>
      </w:r>
      <w:r w:rsidRPr="00497ED2">
        <w:rPr>
          <w:szCs w:val="26"/>
        </w:rPr>
        <w:t xml:space="preserve"> </w:t>
      </w:r>
      <w:r w:rsidRPr="00A423CD">
        <w:t>September 2020, nearly</w:t>
      </w:r>
      <w:r w:rsidRPr="00497ED2">
        <w:rPr>
          <w:szCs w:val="26"/>
        </w:rPr>
        <w:t xml:space="preserve"> one year and</w:t>
      </w:r>
      <w:r w:rsidRPr="00A423CD">
        <w:t xml:space="preserve"> six months after the order of invalidity took effect, at a point in time when section 54A was no longer in force.  </w:t>
      </w:r>
      <w:r w:rsidRPr="00A423CD">
        <w:rPr>
          <w:lang w:val="en-US"/>
        </w:rPr>
        <w:t xml:space="preserve">It is worth noting that the Court made short shrift of the respondents’ contention that the falling away of the suspension order in </w:t>
      </w:r>
      <w:r w:rsidRPr="00A423CD">
        <w:rPr>
          <w:i/>
          <w:lang w:val="en-US"/>
        </w:rPr>
        <w:t>SAMWU</w:t>
      </w:r>
      <w:r w:rsidRPr="00A423CD">
        <w:rPr>
          <w:lang w:val="en-US"/>
        </w:rPr>
        <w:t xml:space="preserve"> stood in the way of hearing the applications.  </w:t>
      </w:r>
      <w:proofErr w:type="spellStart"/>
      <w:r w:rsidRPr="00A423CD">
        <w:rPr>
          <w:lang w:val="en-US"/>
        </w:rPr>
        <w:t>Molemela</w:t>
      </w:r>
      <w:proofErr w:type="spellEnd"/>
      <w:r w:rsidRPr="00497ED2">
        <w:rPr>
          <w:szCs w:val="26"/>
          <w:lang w:val="en-US"/>
        </w:rPr>
        <w:t xml:space="preserve"> </w:t>
      </w:r>
      <w:r w:rsidRPr="00A423CD">
        <w:rPr>
          <w:lang w:val="en-US"/>
        </w:rPr>
        <w:t>JA, writing for the majority, had this to say:</w:t>
      </w:r>
    </w:p>
    <w:p w14:paraId="5AB076F3" w14:textId="77777777" w:rsidR="006F2B89" w:rsidRPr="00AD1BA9" w:rsidRDefault="006F2B89" w:rsidP="006C071C">
      <w:pPr>
        <w:pStyle w:val="QUOTATION"/>
      </w:pPr>
    </w:p>
    <w:p w14:paraId="3ED02078" w14:textId="77777777" w:rsidR="006F2B89" w:rsidRPr="00497ED2" w:rsidRDefault="006F2B89" w:rsidP="006C071C">
      <w:pPr>
        <w:pStyle w:val="QUOTATION"/>
      </w:pPr>
      <w:r w:rsidRPr="00A423CD">
        <w:t>“I am alive to the fact that the 24 months’ suspension period expired on 9 March 2019 without the legislature having taken any steps to amend section 54A.  This, however, is not an impediment in relation to the hearing of this appeal.”</w:t>
      </w:r>
      <w:r w:rsidRPr="00497ED2">
        <w:rPr>
          <w:rStyle w:val="FootnoteReference"/>
        </w:rPr>
        <w:footnoteReference w:id="50"/>
      </w:r>
    </w:p>
    <w:p w14:paraId="517A6D6A" w14:textId="77777777" w:rsidR="006F2B89" w:rsidRPr="00497ED2" w:rsidRDefault="006F2B89" w:rsidP="006C071C">
      <w:pPr>
        <w:pStyle w:val="JUDGMENTCONTINUED"/>
      </w:pPr>
    </w:p>
    <w:p w14:paraId="60C462D5" w14:textId="77777777" w:rsidR="006F2B89" w:rsidRPr="00A423CD" w:rsidRDefault="006F2B89" w:rsidP="006C071C">
      <w:pPr>
        <w:pStyle w:val="JUDGMENTNUMBERED"/>
      </w:pPr>
      <w:r w:rsidRPr="00A423CD">
        <w:t xml:space="preserve">Notably, this Court itself took the same view in </w:t>
      </w:r>
      <w:proofErr w:type="spellStart"/>
      <w:r w:rsidRPr="00A423CD">
        <w:rPr>
          <w:i/>
        </w:rPr>
        <w:t>Notyawa</w:t>
      </w:r>
      <w:proofErr w:type="spellEnd"/>
      <w:r w:rsidRPr="00A423CD">
        <w:t>, a matter which concerned the review of a refusal to appoint a municipal manager in terms of section</w:t>
      </w:r>
      <w:r w:rsidRPr="00497ED2">
        <w:rPr>
          <w:szCs w:val="26"/>
        </w:rPr>
        <w:t> </w:t>
      </w:r>
      <w:r w:rsidRPr="00A423CD">
        <w:t>54A of the Systems Act.</w:t>
      </w:r>
      <w:r w:rsidRPr="00497ED2">
        <w:rPr>
          <w:szCs w:val="26"/>
        </w:rPr>
        <w:t xml:space="preserve"> </w:t>
      </w:r>
      <w:r w:rsidRPr="00A423CD">
        <w:t xml:space="preserve"> Tellingly, despite the fact that this Court heard the matter after 9 March 2019, no mention was made of the </w:t>
      </w:r>
      <w:r w:rsidRPr="00A423CD">
        <w:rPr>
          <w:i/>
        </w:rPr>
        <w:t>SAMWU</w:t>
      </w:r>
      <w:r w:rsidRPr="00A423CD">
        <w:t xml:space="preserve"> order or the expiry of the two year suspension of invalidity.  This Court implicitly accepted that even though section</w:t>
      </w:r>
      <w:r w:rsidRPr="00497ED2">
        <w:rPr>
          <w:szCs w:val="26"/>
        </w:rPr>
        <w:t> </w:t>
      </w:r>
      <w:r w:rsidRPr="00A423CD">
        <w:t>54A was at that stage a dead letter, the challenge before it gave rise to a live dispute that was not rendered moot by the</w:t>
      </w:r>
      <w:r w:rsidRPr="00A423CD">
        <w:rPr>
          <w:i/>
        </w:rPr>
        <w:t xml:space="preserve"> SAMWU</w:t>
      </w:r>
      <w:r w:rsidRPr="00A423CD">
        <w:t xml:space="preserve"> order coming into effect.</w:t>
      </w:r>
    </w:p>
    <w:p w14:paraId="691071B9" w14:textId="77777777" w:rsidR="006F2B89" w:rsidRPr="00497ED2" w:rsidRDefault="006F2B89" w:rsidP="006C071C">
      <w:pPr>
        <w:pStyle w:val="JUDGMENTCONTINUED"/>
      </w:pPr>
    </w:p>
    <w:p w14:paraId="36E7B913" w14:textId="77777777" w:rsidR="006F2B89" w:rsidRPr="00A423CD" w:rsidRDefault="006F2B89" w:rsidP="006C071C">
      <w:pPr>
        <w:pStyle w:val="JUDGMENTNUMBERED"/>
      </w:pPr>
      <w:r w:rsidRPr="00A423CD">
        <w:t xml:space="preserve">To hold otherwise would be to give the </w:t>
      </w:r>
      <w:r w:rsidRPr="00A423CD">
        <w:rPr>
          <w:i/>
        </w:rPr>
        <w:t>SAMWU</w:t>
      </w:r>
      <w:r w:rsidRPr="00A423CD">
        <w:t xml:space="preserve"> order retrospective effect – something this Court expressly sought to avoid.  It has been said, time and again, that the presumption against retrospectivity in our law flows from an unwillingness to inhibit or impair existing rights and obligations.</w:t>
      </w:r>
      <w:bookmarkStart w:id="12" w:name="_Ref88820249"/>
      <w:r w:rsidRPr="00A423CD">
        <w:rPr>
          <w:rStyle w:val="FootnoteReference"/>
        </w:rPr>
        <w:footnoteReference w:id="51"/>
      </w:r>
      <w:bookmarkEnd w:id="12"/>
      <w:r w:rsidRPr="00A423CD">
        <w:t xml:space="preserve">  The prospective order of invalidity in </w:t>
      </w:r>
      <w:r w:rsidRPr="00A423CD">
        <w:rPr>
          <w:i/>
        </w:rPr>
        <w:lastRenderedPageBreak/>
        <w:t>SAMWU</w:t>
      </w:r>
      <w:r w:rsidRPr="00A423CD">
        <w:t xml:space="preserve"> aimed to avoid this consequence.  Indeed, the reason the order was made prospective was that a retrospective order would unsettle the legal consequences of appointments made in terms of section 54A of the Systems Act while it remained in force.</w:t>
      </w:r>
      <w:r w:rsidRPr="00497ED2">
        <w:rPr>
          <w:rStyle w:val="FootnoteReference"/>
          <w:szCs w:val="26"/>
        </w:rPr>
        <w:footnoteReference w:id="52"/>
      </w:r>
      <w:r w:rsidRPr="00A423CD">
        <w:t xml:space="preserve">  Notably, the majority accepted the Premier’s contention that a retrospective order would, for example, result in “potential challenges by candidates who unsuccessfully applied for a position as a municipal manager over the last five years for want of compliance with requirements brought about by the Amendment Act” and “further similar challenges by any person whose appointment as a municipal manager was declared null and void for want of compliance with section 54A of the Amendment</w:t>
      </w:r>
      <w:r w:rsidRPr="00497ED2">
        <w:rPr>
          <w:szCs w:val="26"/>
        </w:rPr>
        <w:t> </w:t>
      </w:r>
      <w:r w:rsidRPr="00A423CD">
        <w:t>Act”.</w:t>
      </w:r>
      <w:r w:rsidRPr="00A423CD">
        <w:rPr>
          <w:vertAlign w:val="superscript"/>
        </w:rPr>
        <w:footnoteReference w:id="53"/>
      </w:r>
    </w:p>
    <w:p w14:paraId="72B3D2D5" w14:textId="77777777" w:rsidR="006F2B89" w:rsidRPr="00497ED2" w:rsidRDefault="006F2B89" w:rsidP="006C071C">
      <w:pPr>
        <w:pStyle w:val="JUDGMENTCONTINUED"/>
      </w:pPr>
    </w:p>
    <w:p w14:paraId="77AC39C6" w14:textId="77777777" w:rsidR="006F2B89" w:rsidRPr="00A423CD" w:rsidRDefault="006F2B89" w:rsidP="006C071C">
      <w:pPr>
        <w:pStyle w:val="JUDGMENTNUMBERED"/>
      </w:pPr>
      <w:r w:rsidRPr="00A423CD">
        <w:t xml:space="preserve">The legal consequences of </w:t>
      </w:r>
      <w:r w:rsidRPr="00A423CD">
        <w:rPr>
          <w:i/>
        </w:rPr>
        <w:t>SAMWU</w:t>
      </w:r>
      <w:r w:rsidRPr="00A423CD">
        <w:t xml:space="preserve"> must be determined with reference to the language and manifest purpose of the order.</w:t>
      </w:r>
      <w:r w:rsidRPr="00A423CD">
        <w:rPr>
          <w:rStyle w:val="FootnoteReference"/>
        </w:rPr>
        <w:footnoteReference w:id="54"/>
      </w:r>
      <w:r w:rsidRPr="00A423CD">
        <w:t xml:space="preserve">  The majority </w:t>
      </w:r>
      <w:r w:rsidRPr="00497ED2">
        <w:rPr>
          <w:szCs w:val="26"/>
        </w:rPr>
        <w:t>explained</w:t>
      </w:r>
      <w:r w:rsidRPr="00A423CD">
        <w:t xml:space="preserve"> why the declaration of invalidity had to operate prospectively</w:t>
      </w:r>
      <w:r w:rsidRPr="00497ED2">
        <w:rPr>
          <w:szCs w:val="26"/>
        </w:rPr>
        <w:t>,</w:t>
      </w:r>
      <w:r w:rsidRPr="00A423CD">
        <w:t xml:space="preserve"> and the purpose of specifying that the order be prospective was to preserve the legal consequences of decisions and acts taken under the Amendment Act, including section 54A.</w:t>
      </w:r>
      <w:r w:rsidRPr="00A423CD">
        <w:rPr>
          <w:shd w:val="clear" w:color="auto" w:fill="FFFFFF"/>
        </w:rPr>
        <w:t xml:space="preserve">  This necessarily entails the preservation of causes of action based on decisions and actions taken under section</w:t>
      </w:r>
      <w:r w:rsidRPr="00497ED2">
        <w:rPr>
          <w:szCs w:val="26"/>
          <w:shd w:val="clear" w:color="auto" w:fill="FFFFFF"/>
        </w:rPr>
        <w:t> </w:t>
      </w:r>
      <w:r w:rsidRPr="00A423CD">
        <w:rPr>
          <w:shd w:val="clear" w:color="auto" w:fill="FFFFFF"/>
        </w:rPr>
        <w:t>54A</w:t>
      </w:r>
      <w:r w:rsidRPr="00497ED2">
        <w:rPr>
          <w:szCs w:val="26"/>
          <w:shd w:val="clear" w:color="auto" w:fill="FFFFFF"/>
        </w:rPr>
        <w:t>.  It</w:t>
      </w:r>
      <w:r w:rsidRPr="00A423CD">
        <w:rPr>
          <w:shd w:val="clear" w:color="auto" w:fill="FFFFFF"/>
        </w:rPr>
        <w:t xml:space="preserve"> would thus be contrary to this Court’s judgment in</w:t>
      </w:r>
      <w:r w:rsidRPr="00A423CD">
        <w:rPr>
          <w:i/>
          <w:shd w:val="clear" w:color="auto" w:fill="FFFFFF"/>
        </w:rPr>
        <w:t xml:space="preserve"> SAMWU</w:t>
      </w:r>
      <w:r w:rsidRPr="00A423CD">
        <w:rPr>
          <w:shd w:val="clear" w:color="auto" w:fill="FFFFFF"/>
        </w:rPr>
        <w:t xml:space="preserve"> if the coming into operation of its order of invalidity were </w:t>
      </w:r>
      <w:r w:rsidRPr="00A423CD">
        <w:t>to impair review proceedings concerning those appointments by rendering them moot, but also to make it impossible for a court</w:t>
      </w:r>
      <w:r w:rsidRPr="00497ED2">
        <w:rPr>
          <w:szCs w:val="26"/>
        </w:rPr>
        <w:t>, in the context of those proceedings,</w:t>
      </w:r>
      <w:r w:rsidRPr="00A423CD">
        <w:t xml:space="preserve"> to determine their lawfulness after </w:t>
      </w:r>
      <w:r w:rsidRPr="00497ED2">
        <w:rPr>
          <w:szCs w:val="26"/>
        </w:rPr>
        <w:t>9</w:t>
      </w:r>
      <w:r w:rsidRPr="00A423CD">
        <w:t xml:space="preserve"> March 2019.  Yet that is precisely the effect of the first judgment.</w:t>
      </w:r>
    </w:p>
    <w:p w14:paraId="25315FA3" w14:textId="77777777" w:rsidR="006F2B89" w:rsidRPr="00497ED2" w:rsidRDefault="006F2B89" w:rsidP="006C071C">
      <w:pPr>
        <w:pStyle w:val="JUDGMENTCONTINUED"/>
      </w:pPr>
    </w:p>
    <w:p w14:paraId="722EA9AF" w14:textId="77777777" w:rsidR="006F2B89" w:rsidRPr="00A423CD" w:rsidRDefault="006F2B89" w:rsidP="006C071C">
      <w:pPr>
        <w:pStyle w:val="JUDGMENTNUMBERED"/>
      </w:pPr>
      <w:r w:rsidRPr="00A423CD">
        <w:t xml:space="preserve">The effect of the </w:t>
      </w:r>
      <w:r w:rsidRPr="00A423CD">
        <w:rPr>
          <w:i/>
        </w:rPr>
        <w:t>SAMWU</w:t>
      </w:r>
      <w:r w:rsidRPr="00A423CD">
        <w:t xml:space="preserve"> order on the present matter is also dictated by the well</w:t>
      </w:r>
      <w:r w:rsidRPr="00497ED2">
        <w:rPr>
          <w:szCs w:val="26"/>
        </w:rPr>
        <w:noBreakHyphen/>
      </w:r>
      <w:r w:rsidRPr="00A423CD">
        <w:t xml:space="preserve">established rule of construction that even if a new statute is intended to be retrospective in so far as it affects vested rights and obligations, it is nonetheless </w:t>
      </w:r>
      <w:r w:rsidRPr="00A423CD">
        <w:lastRenderedPageBreak/>
        <w:t>presumed not to affect matters that are the subject of pending legal proceedings.</w:t>
      </w:r>
      <w:r w:rsidRPr="00A423CD">
        <w:rPr>
          <w:rStyle w:val="FootnoteReference"/>
          <w:color w:val="000000" w:themeColor="text1"/>
        </w:rPr>
        <w:footnoteReference w:id="55"/>
      </w:r>
      <w:r w:rsidRPr="00A423CD">
        <w:t xml:space="preserve">  I see no reason why the same principle does not apply in the case of a repeal or order of invalidity. </w:t>
      </w:r>
      <w:r w:rsidRPr="00A423CD">
        <w:rPr>
          <w:color w:val="C00000"/>
        </w:rPr>
        <w:t xml:space="preserve"> </w:t>
      </w:r>
      <w:r w:rsidRPr="00A423CD">
        <w:t>It follows that, even if the invalidity were retrospective (again, this Court expressly said that it would not be),</w:t>
      </w:r>
      <w:r w:rsidRPr="00A423CD">
        <w:rPr>
          <w:rStyle w:val="FootnoteReference"/>
        </w:rPr>
        <w:footnoteReference w:id="56"/>
      </w:r>
      <w:r w:rsidRPr="00A423CD">
        <w:t xml:space="preserve"> it is presumed that it does not affect the present application, which was initiated well before the period of suspension ended on 9</w:t>
      </w:r>
      <w:r w:rsidRPr="00497ED2">
        <w:rPr>
          <w:szCs w:val="26"/>
        </w:rPr>
        <w:t> </w:t>
      </w:r>
      <w:r w:rsidRPr="00A423CD">
        <w:t>March</w:t>
      </w:r>
      <w:r w:rsidRPr="00497ED2">
        <w:rPr>
          <w:szCs w:val="26"/>
        </w:rPr>
        <w:t> </w:t>
      </w:r>
      <w:r w:rsidRPr="00A423CD">
        <w:t>2019.  If, as the first judgment suggests, the order of invalidity has effectively rendered the relief sought by the applicant in this matter both incompetent and moot, it plainly will have affected these proceedings and cause</w:t>
      </w:r>
      <w:r w:rsidRPr="00497ED2">
        <w:rPr>
          <w:szCs w:val="26"/>
        </w:rPr>
        <w:t>d</w:t>
      </w:r>
      <w:r w:rsidRPr="00A423CD">
        <w:t xml:space="preserve"> patent unfairness to the applicant.</w:t>
      </w:r>
    </w:p>
    <w:p w14:paraId="033084A1" w14:textId="77777777" w:rsidR="006F2B89" w:rsidRPr="00497ED2" w:rsidRDefault="006F2B89" w:rsidP="006C071C">
      <w:pPr>
        <w:pStyle w:val="JUDGMENTCONTINUED"/>
      </w:pPr>
    </w:p>
    <w:p w14:paraId="775CD73F" w14:textId="77777777" w:rsidR="006F2B89" w:rsidRPr="00A423CD" w:rsidRDefault="006F2B89" w:rsidP="006C071C">
      <w:pPr>
        <w:pStyle w:val="JUDGMENTNUMBERED"/>
      </w:pPr>
      <w:r w:rsidRPr="00A423CD">
        <w:t xml:space="preserve">In sum, the </w:t>
      </w:r>
      <w:r w:rsidRPr="00A423CD">
        <w:rPr>
          <w:i/>
        </w:rPr>
        <w:t>SAMWU</w:t>
      </w:r>
      <w:r w:rsidRPr="00A423CD">
        <w:t xml:space="preserve"> order does not stand in the way of this Court declaring the appointments of M</w:t>
      </w:r>
      <w:r w:rsidRPr="00497ED2">
        <w:rPr>
          <w:szCs w:val="26"/>
        </w:rPr>
        <w:t>e</w:t>
      </w:r>
      <w:r w:rsidRPr="00A423CD">
        <w:t xml:space="preserve">ssrs </w:t>
      </w:r>
      <w:proofErr w:type="spellStart"/>
      <w:r w:rsidRPr="00A423CD">
        <w:t>Jili</w:t>
      </w:r>
      <w:proofErr w:type="spellEnd"/>
      <w:r w:rsidRPr="00A423CD">
        <w:t xml:space="preserve"> and Sibiya to be unlawful and granting orders setting them aside.  Despite this, however, I would nevertheless refuse leave to appeal because the application lacks prospects of success and it would not be in the interests of justice to grant leave to appeal.</w:t>
      </w:r>
    </w:p>
    <w:p w14:paraId="3FBA8606" w14:textId="77777777" w:rsidR="006F2B89" w:rsidRPr="00497ED2" w:rsidRDefault="006F2B89" w:rsidP="006C071C">
      <w:pPr>
        <w:pStyle w:val="JUDGMENTCONTINUED"/>
      </w:pPr>
    </w:p>
    <w:p w14:paraId="71B46194" w14:textId="77777777" w:rsidR="006F2B89" w:rsidRPr="00F938C9" w:rsidRDefault="006F2B89" w:rsidP="006C071C">
      <w:pPr>
        <w:pStyle w:val="HEADING"/>
      </w:pPr>
      <w:r w:rsidRPr="00F938C9">
        <w:tab/>
        <w:t>Delay</w:t>
      </w:r>
    </w:p>
    <w:p w14:paraId="30105CF5" w14:textId="77777777" w:rsidR="006F2B89" w:rsidRPr="00F938C9" w:rsidRDefault="006F2B89" w:rsidP="006C071C">
      <w:pPr>
        <w:pStyle w:val="JUDGMENTNUMBERED"/>
      </w:pPr>
      <w:r w:rsidRPr="00F938C9">
        <w:t xml:space="preserve">The respondents say that the applicant unduly delayed both in taking steps to ensure the </w:t>
      </w:r>
      <w:r w:rsidRPr="00497ED2">
        <w:rPr>
          <w:szCs w:val="26"/>
        </w:rPr>
        <w:t>M</w:t>
      </w:r>
      <w:r w:rsidRPr="00F938C9">
        <w:t>unicipalities’ compliance with section 54A (as required by section</w:t>
      </w:r>
      <w:r w:rsidRPr="00497ED2">
        <w:rPr>
          <w:szCs w:val="26"/>
        </w:rPr>
        <w:t> </w:t>
      </w:r>
      <w:r w:rsidRPr="00F938C9">
        <w:t>54A(8)) and in instituting the review proceedings.  The respondents say that both delays should not be condoned and, consequently, that the merits of the reviews should not be entertained.</w:t>
      </w:r>
    </w:p>
    <w:p w14:paraId="7ECAF5F2" w14:textId="77777777" w:rsidR="006F2B89" w:rsidRPr="00497ED2" w:rsidRDefault="006F2B89" w:rsidP="006C071C">
      <w:pPr>
        <w:pStyle w:val="JUDGMENTCONTINUED"/>
      </w:pPr>
    </w:p>
    <w:p w14:paraId="4B4A480A" w14:textId="77777777" w:rsidR="006F2B89" w:rsidRPr="00F938C9" w:rsidRDefault="006F2B89" w:rsidP="006C071C">
      <w:pPr>
        <w:pStyle w:val="JUDGMENTNUMBERED"/>
      </w:pPr>
      <w:r w:rsidRPr="00F938C9">
        <w:rPr>
          <w:lang w:val="en-US"/>
        </w:rPr>
        <w:t xml:space="preserve">The applicant says that this Court’s assessment of these delays should be made according to the principle of legality and not </w:t>
      </w:r>
      <w:r w:rsidRPr="00497ED2">
        <w:rPr>
          <w:szCs w:val="26"/>
          <w:lang w:val="en-US"/>
        </w:rPr>
        <w:t>the Promotion of Administrative Justice Act</w:t>
      </w:r>
      <w:r w:rsidRPr="00497ED2">
        <w:rPr>
          <w:rStyle w:val="FootnoteReference"/>
          <w:szCs w:val="26"/>
          <w:lang w:val="en-US"/>
        </w:rPr>
        <w:footnoteReference w:id="57"/>
      </w:r>
      <w:r w:rsidRPr="00497ED2">
        <w:rPr>
          <w:szCs w:val="26"/>
          <w:lang w:val="en-US"/>
        </w:rPr>
        <w:t xml:space="preserve"> (</w:t>
      </w:r>
      <w:r w:rsidRPr="00F938C9">
        <w:rPr>
          <w:lang w:val="en-US"/>
        </w:rPr>
        <w:t>PAJA</w:t>
      </w:r>
      <w:r w:rsidRPr="00497ED2">
        <w:rPr>
          <w:szCs w:val="26"/>
          <w:lang w:val="en-US"/>
        </w:rPr>
        <w:t>).</w:t>
      </w:r>
      <w:r w:rsidRPr="00F938C9">
        <w:rPr>
          <w:lang w:val="en-US"/>
        </w:rPr>
        <w:t xml:space="preserve">  The respondents says that under either PAJA or legality, the conclusion is the same: the </w:t>
      </w:r>
      <w:r w:rsidRPr="00497ED2">
        <w:rPr>
          <w:szCs w:val="26"/>
          <w:lang w:val="en-US"/>
        </w:rPr>
        <w:t>applicant</w:t>
      </w:r>
      <w:r w:rsidRPr="00F938C9">
        <w:rPr>
          <w:lang w:val="en-US"/>
        </w:rPr>
        <w:t xml:space="preserve"> has unduly delayed in bringing the application and this delay </w:t>
      </w:r>
      <w:r w:rsidRPr="00F938C9">
        <w:rPr>
          <w:lang w:val="en-US"/>
        </w:rPr>
        <w:lastRenderedPageBreak/>
        <w:t xml:space="preserve">should not be condoned.  The answer to the question of whether PAJA or the principle of legality governs the assessment of these delays depends on whether the decision to appoint a municipal manager in terms of section 54A amounts to administrative action. </w:t>
      </w:r>
      <w:r w:rsidRPr="00F938C9">
        <w:t xml:space="preserve"> In </w:t>
      </w:r>
      <w:proofErr w:type="spellStart"/>
      <w:r w:rsidRPr="00F938C9">
        <w:rPr>
          <w:i/>
        </w:rPr>
        <w:t>Notyawa</w:t>
      </w:r>
      <w:proofErr w:type="spellEnd"/>
      <w:r w:rsidRPr="00F938C9">
        <w:t>, this Court was faced with the same question but concluded that a determination of the proper characterisation of the impugned decisions was unnecessary because that determination would have no bearing on the outcome of the matter.</w:t>
      </w:r>
      <w:r w:rsidRPr="00F938C9">
        <w:rPr>
          <w:rStyle w:val="FootnoteReference"/>
        </w:rPr>
        <w:footnoteReference w:id="58"/>
      </w:r>
      <w:r w:rsidRPr="00F938C9">
        <w:t xml:space="preserve">  Th</w:t>
      </w:r>
      <w:r w:rsidRPr="00497ED2">
        <w:rPr>
          <w:szCs w:val="26"/>
        </w:rPr>
        <w:t>is</w:t>
      </w:r>
      <w:r w:rsidRPr="00F938C9">
        <w:t xml:space="preserve"> Court then proceeded to determine the review’s prospects of success on the premise that it was a legality review.</w:t>
      </w:r>
    </w:p>
    <w:p w14:paraId="7BBA7CAC" w14:textId="77777777" w:rsidR="006F2B89" w:rsidRPr="00497ED2" w:rsidRDefault="006F2B89" w:rsidP="006C071C">
      <w:pPr>
        <w:pStyle w:val="JUDGMENTCONTINUED"/>
      </w:pPr>
    </w:p>
    <w:p w14:paraId="3C4DD8E8" w14:textId="77777777" w:rsidR="006F2B89" w:rsidRPr="00F938C9" w:rsidRDefault="006F2B89" w:rsidP="006C071C">
      <w:pPr>
        <w:pStyle w:val="JUDGMENTNUMBERED"/>
      </w:pPr>
      <w:r w:rsidRPr="00F938C9">
        <w:t>I am likewise satisfied that in this matter it is unnecessary to decide the point.  Undoubtedly, if this were a PAJA review, the applicant’s prospects would be even dimmer than if it were a legality review.  This is because the applicant did not make a self-standing application for condonation and, if PAJA applied, would face a presumption that the delay in bringing the review applications, which exceeded the 180</w:t>
      </w:r>
      <w:r w:rsidRPr="00497ED2">
        <w:rPr>
          <w:szCs w:val="26"/>
        </w:rPr>
        <w:noBreakHyphen/>
      </w:r>
      <w:r w:rsidRPr="00F938C9">
        <w:t>day limit, was unreasonable.</w:t>
      </w:r>
      <w:bookmarkStart w:id="13" w:name="_Ref88820662"/>
      <w:r w:rsidRPr="00F938C9">
        <w:rPr>
          <w:rStyle w:val="FootnoteReference"/>
        </w:rPr>
        <w:footnoteReference w:id="59"/>
      </w:r>
      <w:bookmarkEnd w:id="13"/>
      <w:r w:rsidRPr="00F938C9">
        <w:t xml:space="preserve">  Even if we were to </w:t>
      </w:r>
      <w:r w:rsidRPr="00497ED2">
        <w:rPr>
          <w:szCs w:val="26"/>
        </w:rPr>
        <w:t>approach</w:t>
      </w:r>
      <w:r w:rsidRPr="00F938C9">
        <w:t xml:space="preserve"> the matter as </w:t>
      </w:r>
      <w:r w:rsidRPr="00497ED2">
        <w:rPr>
          <w:szCs w:val="26"/>
        </w:rPr>
        <w:t xml:space="preserve"> </w:t>
      </w:r>
      <w:r w:rsidRPr="00F938C9">
        <w:t xml:space="preserve">a legality review and apply the two-stage </w:t>
      </w:r>
      <w:r w:rsidRPr="00F938C9">
        <w:rPr>
          <w:i/>
        </w:rPr>
        <w:t>Khumalo</w:t>
      </w:r>
      <w:r w:rsidRPr="00F938C9">
        <w:t xml:space="preserve"> test (</w:t>
      </w:r>
      <w:r w:rsidRPr="00497ED2">
        <w:rPr>
          <w:szCs w:val="26"/>
        </w:rPr>
        <w:t>discussed below</w:t>
      </w:r>
      <w:r w:rsidRPr="00F938C9">
        <w:t>), there appears to be no basis for overturning the Supreme Court of Appeal’s findings and condonation of the delay.  There is thus no need to determine whether the more onerous prescripts of PAJA should apply.</w:t>
      </w:r>
    </w:p>
    <w:p w14:paraId="11871107" w14:textId="77777777" w:rsidR="006F2B89" w:rsidRPr="00497ED2" w:rsidRDefault="006F2B89" w:rsidP="006C071C">
      <w:pPr>
        <w:pStyle w:val="JUDGMENTCONTINUED"/>
      </w:pPr>
    </w:p>
    <w:p w14:paraId="05A4FDBB" w14:textId="77777777" w:rsidR="006F2B89" w:rsidRPr="00F938C9" w:rsidRDefault="006F2B89" w:rsidP="006C071C">
      <w:pPr>
        <w:pStyle w:val="JUDGMENTNUMBERED"/>
      </w:pPr>
      <w:r w:rsidRPr="00F938C9">
        <w:t xml:space="preserve">A further reason not to decide this issue is that it would be inappropriate to make such a determination in a judgment which ultimately refuses leave to appeal.  My discussion of the merits in this matter is merely in the service of establishing that the applicant’s prospects of success are dim.  That discussion is not a finding on the merits or </w:t>
      </w:r>
      <w:r w:rsidRPr="00497ED2">
        <w:rPr>
          <w:szCs w:val="26"/>
        </w:rPr>
        <w:t xml:space="preserve">whether the principle of </w:t>
      </w:r>
      <w:r w:rsidRPr="00F938C9">
        <w:t xml:space="preserve">legality and PAJA </w:t>
      </w:r>
      <w:r w:rsidRPr="00497ED2">
        <w:rPr>
          <w:szCs w:val="26"/>
        </w:rPr>
        <w:t>applies</w:t>
      </w:r>
      <w:r w:rsidRPr="00F938C9">
        <w:t>.</w:t>
      </w:r>
    </w:p>
    <w:p w14:paraId="25A6ADA7" w14:textId="77777777" w:rsidR="006F2B89" w:rsidRPr="00497ED2" w:rsidRDefault="006F2B89" w:rsidP="006C071C">
      <w:pPr>
        <w:pStyle w:val="JUDGMENTCONTINUED"/>
      </w:pPr>
    </w:p>
    <w:p w14:paraId="0660946C" w14:textId="77777777" w:rsidR="006F2B89" w:rsidRPr="00B8054C" w:rsidRDefault="006F2B89" w:rsidP="006C071C">
      <w:pPr>
        <w:pStyle w:val="JUDGMENTNUMBERED"/>
      </w:pPr>
      <w:r w:rsidRPr="00B8054C">
        <w:lastRenderedPageBreak/>
        <w:t xml:space="preserve">In </w:t>
      </w:r>
      <w:r w:rsidRPr="00B8054C">
        <w:rPr>
          <w:i/>
        </w:rPr>
        <w:t>Khumalo</w:t>
      </w:r>
      <w:r w:rsidRPr="00B8054C">
        <w:t>, this Court set out a two-stage approach to assessing undue delay.</w:t>
      </w:r>
      <w:r w:rsidRPr="00B8054C">
        <w:rPr>
          <w:rStyle w:val="FootnoteReference"/>
        </w:rPr>
        <w:footnoteReference w:id="60"/>
      </w:r>
      <w:r w:rsidRPr="00B8054C">
        <w:t xml:space="preserve">  First, the court must determine whether the delay was reasonable.  Second, if the delay is found to be unreasonable, the court must consider whether the delay should be condoned.  The determination of reasonableness at the first stage is an enquiry which depends on the facts and circumstances of the case.</w:t>
      </w:r>
      <w:r w:rsidRPr="00B8054C">
        <w:rPr>
          <w:rStyle w:val="FootnoteReference"/>
        </w:rPr>
        <w:footnoteReference w:id="61"/>
      </w:r>
      <w:r w:rsidRPr="00B8054C">
        <w:t xml:space="preserve">  Although the enquiry requires a court to make a value judg</w:t>
      </w:r>
      <w:r w:rsidRPr="00497ED2">
        <w:rPr>
          <w:szCs w:val="26"/>
        </w:rPr>
        <w:t>e</w:t>
      </w:r>
      <w:r w:rsidRPr="00B8054C">
        <w:t>ment, it does not involve the exercise of a discretion</w:t>
      </w:r>
      <w:r w:rsidRPr="00B8054C">
        <w:rPr>
          <w:rStyle w:val="FootnoteReference"/>
        </w:rPr>
        <w:footnoteReference w:id="62"/>
      </w:r>
      <w:r w:rsidRPr="00B8054C">
        <w:t xml:space="preserve"> and therefore the stricter test for appellate interference with exercises of discretion does not apply.  At the second stage, which concerns whether an unreasonable delay should be overlooked and condoned, a court exercises a true discretion and the strict test for interference on appeal applies.</w:t>
      </w:r>
      <w:r w:rsidRPr="00497ED2">
        <w:rPr>
          <w:rStyle w:val="FootnoteReference"/>
          <w:szCs w:val="26"/>
        </w:rPr>
        <w:footnoteReference w:id="63"/>
      </w:r>
    </w:p>
    <w:p w14:paraId="422AA1EA" w14:textId="77777777" w:rsidR="006F2B89" w:rsidRPr="00B8054C" w:rsidRDefault="006F2B89" w:rsidP="006C071C">
      <w:pPr>
        <w:pStyle w:val="JUDGMENTCONTINUED"/>
      </w:pPr>
    </w:p>
    <w:p w14:paraId="78926E10" w14:textId="77777777" w:rsidR="006F2B89" w:rsidRPr="00B8054C" w:rsidRDefault="006F2B89" w:rsidP="006C071C">
      <w:pPr>
        <w:pStyle w:val="JUDGMENTNUMBERED"/>
        <w:rPr>
          <w:color w:val="181717"/>
        </w:rPr>
      </w:pPr>
      <w:r w:rsidRPr="00B8054C">
        <w:rPr>
          <w:color w:val="181717"/>
        </w:rPr>
        <w:t>The High Court concluded, at the first stage, that the delays were not unreasonable and, having found that the delays were reasonable, the question of whether it should exercise its discretion to condone the delays did not arise.  The Supreme Court of Appeal was split on the issue of delay.  The minority approached the matter on the basis that the issue before it was whether it should interfere in the exercise of the High</w:t>
      </w:r>
      <w:r w:rsidRPr="00497ED2">
        <w:rPr>
          <w:color w:val="181717"/>
          <w:szCs w:val="26"/>
        </w:rPr>
        <w:t> </w:t>
      </w:r>
      <w:r w:rsidRPr="00B8054C">
        <w:rPr>
          <w:color w:val="181717"/>
        </w:rPr>
        <w:t xml:space="preserve">Court’s discretion to grant condonation and concluded that there was no basis for such interference.  In doing so, it appears that the minority conflated the first and second legs of the </w:t>
      </w:r>
      <w:r w:rsidRPr="00497ED2">
        <w:rPr>
          <w:i/>
          <w:iCs/>
          <w:color w:val="181717"/>
          <w:szCs w:val="26"/>
        </w:rPr>
        <w:t>Khumalo</w:t>
      </w:r>
      <w:r w:rsidRPr="00497ED2">
        <w:rPr>
          <w:color w:val="181717"/>
          <w:szCs w:val="26"/>
        </w:rPr>
        <w:t xml:space="preserve"> test</w:t>
      </w:r>
      <w:r w:rsidRPr="00B8054C">
        <w:rPr>
          <w:color w:val="181717"/>
        </w:rPr>
        <w:t xml:space="preserve"> where delay in a review is considered (as set out above).  Likewise, the majority, despite accepting that the High Court </w:t>
      </w:r>
      <w:r w:rsidRPr="00497ED2">
        <w:rPr>
          <w:color w:val="181717"/>
          <w:szCs w:val="26"/>
        </w:rPr>
        <w:t xml:space="preserve">had </w:t>
      </w:r>
      <w:r w:rsidRPr="00B8054C">
        <w:rPr>
          <w:color w:val="181717"/>
        </w:rPr>
        <w:t>found that the delays were reasonable</w:t>
      </w:r>
      <w:r w:rsidRPr="00497ED2">
        <w:rPr>
          <w:color w:val="181717"/>
          <w:szCs w:val="26"/>
        </w:rPr>
        <w:t>,</w:t>
      </w:r>
      <w:r w:rsidRPr="00B8054C">
        <w:rPr>
          <w:color w:val="181717"/>
        </w:rPr>
        <w:t xml:space="preserve"> appears to </w:t>
      </w:r>
      <w:r w:rsidRPr="00497ED2">
        <w:rPr>
          <w:color w:val="181717"/>
          <w:szCs w:val="26"/>
        </w:rPr>
        <w:t>have assumed</w:t>
      </w:r>
      <w:r w:rsidRPr="00B8054C">
        <w:rPr>
          <w:color w:val="181717"/>
        </w:rPr>
        <w:t xml:space="preserve"> that it was being asked to interfere with the </w:t>
      </w:r>
      <w:r w:rsidRPr="00B8054C">
        <w:rPr>
          <w:color w:val="181717"/>
        </w:rPr>
        <w:lastRenderedPageBreak/>
        <w:t>High</w:t>
      </w:r>
      <w:r w:rsidRPr="00497ED2">
        <w:rPr>
          <w:color w:val="181717"/>
          <w:szCs w:val="26"/>
        </w:rPr>
        <w:t> </w:t>
      </w:r>
      <w:r w:rsidRPr="00B8054C">
        <w:rPr>
          <w:color w:val="181717"/>
        </w:rPr>
        <w:t>Court’s exercise of its discretion to condone the delays.  Both the minority and majority erred in this respect.</w:t>
      </w:r>
    </w:p>
    <w:p w14:paraId="249556C6" w14:textId="77777777" w:rsidR="006F2B89" w:rsidRPr="00B8054C" w:rsidRDefault="006F2B89" w:rsidP="006C071C">
      <w:pPr>
        <w:pStyle w:val="JUDGMENTCONTINUED"/>
      </w:pPr>
    </w:p>
    <w:p w14:paraId="102EA042" w14:textId="77777777" w:rsidR="006F2B89" w:rsidRPr="00B8054C" w:rsidRDefault="006F2B89" w:rsidP="006C071C">
      <w:pPr>
        <w:pStyle w:val="JUDGMENTNUMBERED"/>
      </w:pPr>
      <w:r w:rsidRPr="00B8054C">
        <w:t>In the end, the majority of the Supreme Court of Appeal concluded that the applicant’s delays were unreasonable and ought not to be condoned.  Thus, in deciding the merits of this application, this Court would have to determine, first, whether the Supreme Court Appeal was correct that the delays were unreasonable and then, secondly, whether there is a basis for interfering with the exercise of its discretion to refuse to condone the delays.</w:t>
      </w:r>
    </w:p>
    <w:p w14:paraId="67C6AB89" w14:textId="77777777" w:rsidR="006F2B89" w:rsidRPr="00B8054C" w:rsidRDefault="006F2B89" w:rsidP="006C071C">
      <w:pPr>
        <w:pStyle w:val="JUDGMENTCONTINUED"/>
      </w:pPr>
    </w:p>
    <w:p w14:paraId="4BAFA360" w14:textId="1ADFE17F" w:rsidR="006F2B89" w:rsidRPr="00497ED2" w:rsidRDefault="006F2B89" w:rsidP="006C071C">
      <w:pPr>
        <w:pStyle w:val="JUDGMENTNUMBERED"/>
        <w:rPr>
          <w:szCs w:val="26"/>
        </w:rPr>
      </w:pPr>
      <w:r w:rsidRPr="00B8054C">
        <w:t xml:space="preserve">In reaching the conclusion that the applicant’s delays in both the </w:t>
      </w:r>
      <w:r w:rsidRPr="00F2264A">
        <w:rPr>
          <w:i/>
        </w:rPr>
        <w:t xml:space="preserve">Nkandla </w:t>
      </w:r>
      <w:r w:rsidRPr="00F2264A">
        <w:t xml:space="preserve">and </w:t>
      </w:r>
      <w:proofErr w:type="spellStart"/>
      <w:r w:rsidRPr="00F2264A">
        <w:rPr>
          <w:i/>
        </w:rPr>
        <w:t>Mthonjaneni</w:t>
      </w:r>
      <w:proofErr w:type="spellEnd"/>
      <w:r w:rsidRPr="00F2264A">
        <w:rPr>
          <w:i/>
        </w:rPr>
        <w:t xml:space="preserve"> </w:t>
      </w:r>
      <w:r w:rsidRPr="00925CEE">
        <w:t>matters were not</w:t>
      </w:r>
      <w:r w:rsidRPr="00B8054C">
        <w:t xml:space="preserve"> unreasonable, the High Court found that</w:t>
      </w:r>
      <w:r w:rsidRPr="00497ED2">
        <w:rPr>
          <w:szCs w:val="26"/>
        </w:rPr>
        <w:t>—</w:t>
      </w:r>
    </w:p>
    <w:p w14:paraId="2C1B7657" w14:textId="77777777" w:rsidR="006F2B89" w:rsidRPr="00497ED2" w:rsidRDefault="006F2B89" w:rsidP="006C071C">
      <w:pPr>
        <w:pStyle w:val="QUOTATION"/>
      </w:pPr>
    </w:p>
    <w:p w14:paraId="3497A0A0" w14:textId="77777777" w:rsidR="006F2B89" w:rsidRPr="00497ED2" w:rsidRDefault="006F2B89" w:rsidP="006C071C">
      <w:pPr>
        <w:pStyle w:val="QUOTATION"/>
      </w:pPr>
      <w:r w:rsidRPr="00497ED2">
        <w:t>“[t]he</w:t>
      </w:r>
      <w:r w:rsidRPr="00B8054C">
        <w:t xml:space="preserve"> correspondence and time frames . . . suggest that the applicant in a spirit of co</w:t>
      </w:r>
      <w:r w:rsidRPr="00497ED2">
        <w:noBreakHyphen/>
      </w:r>
      <w:r w:rsidRPr="00B8054C">
        <w:t>operation allowed considerable latitude to the respondents to address the lack of the third respondent’s relevant experience, and when they eventually failed to do so despite reminders, the applicant ultimate</w:t>
      </w:r>
      <w:r w:rsidRPr="00497ED2">
        <w:t>ly</w:t>
      </w:r>
      <w:r w:rsidRPr="00B8054C">
        <w:t xml:space="preserve"> had to resort to court applications as a last resort</w:t>
      </w:r>
      <w:r w:rsidRPr="00497ED2">
        <w:t>.”</w:t>
      </w:r>
      <w:r w:rsidRPr="00B8054C">
        <w:rPr>
          <w:rStyle w:val="FootnoteReference"/>
          <w:color w:val="181717"/>
          <w:sz w:val="26"/>
        </w:rPr>
        <w:footnoteReference w:id="64"/>
      </w:r>
    </w:p>
    <w:p w14:paraId="37F9FCBB" w14:textId="77777777" w:rsidR="006F2B89" w:rsidRPr="00497ED2" w:rsidRDefault="006F2B89" w:rsidP="006C071C">
      <w:pPr>
        <w:pStyle w:val="JUDGMENTCONTINUED"/>
      </w:pPr>
    </w:p>
    <w:p w14:paraId="0C616D46" w14:textId="77777777" w:rsidR="006F2B89" w:rsidRPr="00B8054C" w:rsidRDefault="006F2B89" w:rsidP="006C071C">
      <w:pPr>
        <w:pStyle w:val="JUDGMENTNUMBERED"/>
      </w:pPr>
      <w:r w:rsidRPr="00B8054C">
        <w:t xml:space="preserve">The most damning flaw in the High Court’s judgment identified by </w:t>
      </w:r>
      <w:proofErr w:type="spellStart"/>
      <w:r w:rsidRPr="00B8054C">
        <w:t>Makgoka</w:t>
      </w:r>
      <w:proofErr w:type="spellEnd"/>
      <w:r w:rsidRPr="00B8054C">
        <w:t xml:space="preserve"> JA in his partial concurrence was that the High Court </w:t>
      </w:r>
      <w:r w:rsidRPr="00497ED2">
        <w:t>“</w:t>
      </w:r>
      <w:r w:rsidRPr="00B8054C">
        <w:t>ignored the important consideration that there was not a single attempt by the MEC to explain her inaction”, which meant that the High Court engaged in pure speculation that “her inaction could be attributed to her considerations of co</w:t>
      </w:r>
      <w:r w:rsidRPr="00497ED2">
        <w:noBreakHyphen/>
      </w:r>
      <w:r w:rsidRPr="00B8054C">
        <w:t>operative governance”.</w:t>
      </w:r>
      <w:r w:rsidRPr="00B8054C">
        <w:rPr>
          <w:rStyle w:val="FootnoteReference"/>
          <w:color w:val="181717"/>
        </w:rPr>
        <w:footnoteReference w:id="65"/>
      </w:r>
      <w:r w:rsidRPr="00B8054C">
        <w:t xml:space="preserve">  The entirety of the High Court’s analysis of the reasonableness of the applicant’s delays is a single paragraph.  </w:t>
      </w:r>
      <w:r w:rsidRPr="00497ED2">
        <w:t>Although the High Court set out the time frames for each matter separately, in the end its analysis did not draw any distinction between the explanations proffered by the applicant in respect of the delay in the two matters.</w:t>
      </w:r>
      <w:r w:rsidRPr="00B8054C">
        <w:rPr>
          <w:rStyle w:val="FootnoteReference"/>
          <w:color w:val="181717"/>
        </w:rPr>
        <w:footnoteReference w:id="66"/>
      </w:r>
      <w:r w:rsidRPr="00497ED2">
        <w:t xml:space="preserve">  Notably, the High Court also did not refer to explanations actually offered by the applicant.  Instead, it engaged in a somewhat </w:t>
      </w:r>
      <w:r w:rsidRPr="00497ED2">
        <w:lastRenderedPageBreak/>
        <w:t xml:space="preserve">speculative </w:t>
      </w:r>
      <w:r w:rsidRPr="00497ED2">
        <w:rPr>
          <w:i/>
          <w:iCs/>
        </w:rPr>
        <w:t>ex post facto</w:t>
      </w:r>
      <w:r w:rsidRPr="00497ED2">
        <w:t xml:space="preserve"> rationalisation of the applicant’s delays, which the Court reasoned were occasioned by the applicant’s heeding of “the injunction to promote a spirit of co-operative governance”.</w:t>
      </w:r>
      <w:r w:rsidRPr="00B8054C">
        <w:rPr>
          <w:rStyle w:val="FootnoteReference"/>
          <w:color w:val="181717"/>
        </w:rPr>
        <w:footnoteReference w:id="67"/>
      </w:r>
    </w:p>
    <w:p w14:paraId="10A9DA05" w14:textId="77777777" w:rsidR="006F2B89" w:rsidRPr="00B8054C" w:rsidRDefault="006F2B89" w:rsidP="006C071C">
      <w:pPr>
        <w:pStyle w:val="JUDGMENTCONTINUED"/>
      </w:pPr>
    </w:p>
    <w:p w14:paraId="5F1D9F25" w14:textId="77777777" w:rsidR="006F2B89" w:rsidRPr="00B8054C" w:rsidRDefault="006F2B89" w:rsidP="006C071C">
      <w:pPr>
        <w:pStyle w:val="JUDGMENTNUMBERED"/>
      </w:pPr>
      <w:r w:rsidRPr="00B8054C">
        <w:rPr>
          <w:color w:val="181717"/>
        </w:rPr>
        <w:t xml:space="preserve">It is a well-established principle in our law that </w:t>
      </w:r>
      <w:r w:rsidRPr="00B8054C">
        <w:t>the reasonableness of the delay must be assessed on, among others, the explanation offered for the delay.</w:t>
      </w:r>
      <w:r w:rsidRPr="00B8054C">
        <w:rPr>
          <w:rStyle w:val="FootnoteReference"/>
        </w:rPr>
        <w:footnoteReference w:id="68"/>
      </w:r>
      <w:r w:rsidRPr="00B8054C">
        <w:t xml:space="preserve">  This is irrespective of whether the review is under PAJA or the principle of legality.</w:t>
      </w:r>
      <w:r w:rsidRPr="00B8054C">
        <w:rPr>
          <w:rStyle w:val="FootnoteReference"/>
        </w:rPr>
        <w:footnoteReference w:id="69"/>
      </w:r>
      <w:r w:rsidRPr="00B8054C">
        <w:t xml:space="preserve">  In this matter, the High Court reached the conclusion that the delays were reasonable on the basis of speculation and in the absence of a proper explanation for the delays in each matter.</w:t>
      </w:r>
    </w:p>
    <w:p w14:paraId="0E6F4A87" w14:textId="77777777" w:rsidR="006F2B89" w:rsidRPr="00497ED2" w:rsidRDefault="006F2B89" w:rsidP="006C071C">
      <w:pPr>
        <w:pStyle w:val="JUDGMENTCONTINUED"/>
      </w:pPr>
    </w:p>
    <w:p w14:paraId="5E8AC8BA" w14:textId="77777777" w:rsidR="006F2B89" w:rsidRPr="00B8054C" w:rsidRDefault="006F2B89" w:rsidP="006C071C">
      <w:pPr>
        <w:pStyle w:val="JUDGMENTNUMBERED"/>
      </w:pPr>
      <w:r w:rsidRPr="00B8054C">
        <w:t xml:space="preserve">In </w:t>
      </w:r>
      <w:r w:rsidRPr="00B8054C">
        <w:rPr>
          <w:i/>
        </w:rPr>
        <w:t>Nkandla</w:t>
      </w:r>
      <w:r w:rsidRPr="00B8054C">
        <w:t xml:space="preserve">, the applicant’s papers before the High Court provided no explanation whatsoever for her delay in bringing the review.  Had the High Court heeded clear dicta from this Court in </w:t>
      </w:r>
      <w:proofErr w:type="spellStart"/>
      <w:r w:rsidRPr="00B8054C">
        <w:rPr>
          <w:i/>
        </w:rPr>
        <w:t>Asla</w:t>
      </w:r>
      <w:proofErr w:type="spellEnd"/>
      <w:r w:rsidRPr="00B8054C">
        <w:rPr>
          <w:i/>
        </w:rPr>
        <w:t xml:space="preserve"> Construction</w:t>
      </w:r>
      <w:r w:rsidRPr="00B8054C">
        <w:t xml:space="preserve"> and </w:t>
      </w:r>
      <w:r w:rsidRPr="00B8054C">
        <w:rPr>
          <w:i/>
        </w:rPr>
        <w:t>Khumalo</w:t>
      </w:r>
      <w:r w:rsidRPr="00B8054C">
        <w:t xml:space="preserve">, it would have been constrained to conclude that the delays were necessarily unreasonable.  Instead, the High Court appeared to assume that the delays were reasonable because the applicant’s conduct and reluctance to escalate the matter was informed by principles of </w:t>
      </w:r>
      <w:r w:rsidRPr="00497ED2">
        <w:rPr>
          <w:szCs w:val="26"/>
        </w:rPr>
        <w:t>co</w:t>
      </w:r>
      <w:r w:rsidRPr="00497ED2">
        <w:rPr>
          <w:szCs w:val="26"/>
        </w:rPr>
        <w:noBreakHyphen/>
        <w:t>operative</w:t>
      </w:r>
      <w:r w:rsidRPr="00B8054C">
        <w:t xml:space="preserve"> governance.  But this was not an explanation advanced by the applicant in her papers.  In the absence of any explanation for the 15-month delay, the ineluctable conclusion is that the delay was unreasonable.</w:t>
      </w:r>
    </w:p>
    <w:p w14:paraId="0D435D71" w14:textId="77777777" w:rsidR="006F2B89" w:rsidRPr="00497ED2" w:rsidRDefault="006F2B89" w:rsidP="006C071C">
      <w:pPr>
        <w:pStyle w:val="JUDGMENTCONTINUED"/>
      </w:pPr>
    </w:p>
    <w:p w14:paraId="6C6471AB" w14:textId="77777777" w:rsidR="006F2B89" w:rsidRPr="00B8054C" w:rsidRDefault="006F2B89" w:rsidP="006C071C">
      <w:pPr>
        <w:pStyle w:val="JUDGMENTNUMBERED"/>
      </w:pPr>
      <w:proofErr w:type="spellStart"/>
      <w:r w:rsidRPr="00B8054C">
        <w:rPr>
          <w:i/>
        </w:rPr>
        <w:t>Mthonjaneni</w:t>
      </w:r>
      <w:proofErr w:type="spellEnd"/>
      <w:r w:rsidRPr="00B8054C">
        <w:t xml:space="preserve"> stands on a somewhat different footing because it appears that at least in her replying affidavit in the High Court the applicant purported to address the question of delay.  In reality, the only submissions made regarding delay were a number of qualifications to the chronology set out in Mr Sibiya’s answering affidavit and the bald allegation that “it was the action of the Mayor and the Municipality which put off for so long the bringing of this application”.  </w:t>
      </w:r>
      <w:r w:rsidRPr="00497ED2">
        <w:rPr>
          <w:szCs w:val="26"/>
        </w:rPr>
        <w:t>In her replying affidavit</w:t>
      </w:r>
      <w:r w:rsidRPr="00B8054C">
        <w:t>, the ap</w:t>
      </w:r>
      <w:r w:rsidRPr="00F56F3D">
        <w:t xml:space="preserve">plicant provides an explanation for delays during an undefined period during which the </w:t>
      </w:r>
      <w:r w:rsidRPr="00F56F3D">
        <w:lastRenderedPageBreak/>
        <w:t xml:space="preserve">applicant waited for the Municipality to make a waiver application to the Minister.  The applicant also says there was a period (again, of unspecified duration) </w:t>
      </w:r>
      <w:r w:rsidRPr="00497ED2">
        <w:rPr>
          <w:szCs w:val="26"/>
        </w:rPr>
        <w:t>during which she</w:t>
      </w:r>
      <w:r w:rsidRPr="00F56F3D">
        <w:t xml:space="preserve"> waited for the Municipality to obtain a legal opinion.  The applicant further says that </w:t>
      </w:r>
      <w:r w:rsidRPr="00497ED2">
        <w:rPr>
          <w:szCs w:val="26"/>
        </w:rPr>
        <w:t xml:space="preserve">on </w:t>
      </w:r>
      <w:r w:rsidRPr="00F56F3D">
        <w:t>9</w:t>
      </w:r>
      <w:r w:rsidRPr="00497ED2">
        <w:rPr>
          <w:szCs w:val="26"/>
        </w:rPr>
        <w:t> </w:t>
      </w:r>
      <w:r w:rsidRPr="00F56F3D">
        <w:t>July</w:t>
      </w:r>
      <w:r w:rsidRPr="00497ED2">
        <w:rPr>
          <w:szCs w:val="26"/>
        </w:rPr>
        <w:t> </w:t>
      </w:r>
      <w:r w:rsidRPr="00F56F3D">
        <w:t>2017</w:t>
      </w:r>
      <w:r w:rsidRPr="00497ED2">
        <w:rPr>
          <w:szCs w:val="26"/>
        </w:rPr>
        <w:t>, her offices requested that the Municipality remedy the situation, failing which it would institute legal action against it</w:t>
      </w:r>
      <w:r w:rsidRPr="00F56F3D">
        <w:t xml:space="preserve"> for </w:t>
      </w:r>
      <w:r w:rsidRPr="00497ED2">
        <w:rPr>
          <w:szCs w:val="26"/>
        </w:rPr>
        <w:t xml:space="preserve">non-compliance with </w:t>
      </w:r>
      <w:r w:rsidRPr="00F56F3D">
        <w:t xml:space="preserve">the </w:t>
      </w:r>
      <w:r w:rsidRPr="00497ED2">
        <w:rPr>
          <w:szCs w:val="26"/>
        </w:rPr>
        <w:t>Systems Act.  The Municipality reverted on</w:t>
      </w:r>
      <w:r w:rsidRPr="00F56F3D">
        <w:t xml:space="preserve"> 19 July 2018 </w:t>
      </w:r>
      <w:r w:rsidRPr="00497ED2">
        <w:rPr>
          <w:szCs w:val="26"/>
        </w:rPr>
        <w:t>with an undertaking</w:t>
      </w:r>
      <w:r w:rsidRPr="00F56F3D">
        <w:t xml:space="preserve"> to obtain a legal opinion</w:t>
      </w:r>
      <w:r w:rsidRPr="00497ED2">
        <w:rPr>
          <w:szCs w:val="26"/>
        </w:rPr>
        <w:t xml:space="preserve"> regarding the query.  It appears that it was only four months later, on 21 November 2017, that the applicant sent a reminder to the Municipality.  The applicant does not provide a</w:t>
      </w:r>
      <w:r>
        <w:rPr>
          <w:szCs w:val="26"/>
        </w:rPr>
        <w:t>n explanation</w:t>
      </w:r>
      <w:r w:rsidRPr="00497ED2">
        <w:rPr>
          <w:szCs w:val="26"/>
        </w:rPr>
        <w:t xml:space="preserve"> for this delay.  The applicant also does not explain what transpired between 26 January 2018 and 11 May 2018, when the review application was finally launched</w:t>
      </w:r>
      <w:r w:rsidRPr="00F56F3D">
        <w:t>.</w:t>
      </w:r>
    </w:p>
    <w:p w14:paraId="6469A11C" w14:textId="77777777" w:rsidR="006F2B89" w:rsidRPr="00B8054C" w:rsidRDefault="006F2B89" w:rsidP="006C071C">
      <w:pPr>
        <w:pStyle w:val="JUDGMENTCONTINUED"/>
      </w:pPr>
    </w:p>
    <w:p w14:paraId="43568FE8" w14:textId="77777777" w:rsidR="006F2B89" w:rsidRPr="00F56F3D" w:rsidRDefault="006F2B89" w:rsidP="006C071C">
      <w:pPr>
        <w:pStyle w:val="JUDGMENTNUMBERED"/>
      </w:pPr>
      <w:r w:rsidRPr="00F56F3D">
        <w:t xml:space="preserve">The applicant’s overall delay in bringing the review application in </w:t>
      </w:r>
      <w:proofErr w:type="spellStart"/>
      <w:r w:rsidRPr="00F56F3D">
        <w:rPr>
          <w:i/>
        </w:rPr>
        <w:t>Mthonjaneni</w:t>
      </w:r>
      <w:proofErr w:type="spellEnd"/>
      <w:r w:rsidRPr="00F56F3D">
        <w:t xml:space="preserve"> was </w:t>
      </w:r>
      <w:r w:rsidRPr="00497ED2">
        <w:rPr>
          <w:szCs w:val="26"/>
        </w:rPr>
        <w:t>17</w:t>
      </w:r>
      <w:r w:rsidRPr="00F56F3D">
        <w:t xml:space="preserve"> months.  The vague explanations for mostly undefined periods of time that were proffered by the applicant do not fully account for this excessive delay or demonstrate why it was reasonable in the circumstances.  There are therefore reasonable prospects of this Court upholding the Supreme Court of Appeal’s determination that the delays were unreasonable.</w:t>
      </w:r>
    </w:p>
    <w:p w14:paraId="6ADB7DDD" w14:textId="77777777" w:rsidR="006F2B89" w:rsidRPr="00497ED2" w:rsidRDefault="006F2B89" w:rsidP="006C071C">
      <w:pPr>
        <w:pStyle w:val="JUDGMENTCONTINUED"/>
      </w:pPr>
    </w:p>
    <w:p w14:paraId="0178652D" w14:textId="77777777" w:rsidR="006F2B89" w:rsidRPr="00F56F3D" w:rsidRDefault="006F2B89" w:rsidP="006C071C">
      <w:pPr>
        <w:pStyle w:val="JUDGMENTNUMBERED"/>
      </w:pPr>
      <w:r w:rsidRPr="00F56F3D">
        <w:t xml:space="preserve">Having concluded that the delays were unreasonable, the majority of the Supreme Court of Appeal refused to grant condonation for the late filing of the review applications.  This involved the exercise of a discretion and for this Court to interfere with that discretion, a more stringent test must be satisfied.  As this Court recently explained in </w:t>
      </w:r>
      <w:proofErr w:type="spellStart"/>
      <w:r w:rsidRPr="00F56F3D">
        <w:rPr>
          <w:i/>
        </w:rPr>
        <w:t>Notyawa</w:t>
      </w:r>
      <w:proofErr w:type="spellEnd"/>
      <w:r w:rsidRPr="00F56F3D">
        <w:t>:</w:t>
      </w:r>
    </w:p>
    <w:p w14:paraId="02CE1364" w14:textId="77777777" w:rsidR="006F2B89" w:rsidRPr="00B8054C" w:rsidRDefault="006F2B89" w:rsidP="006C071C">
      <w:pPr>
        <w:pStyle w:val="QUOTATION"/>
        <w:rPr>
          <w:sz w:val="26"/>
        </w:rPr>
      </w:pPr>
    </w:p>
    <w:p w14:paraId="36CAA4F8" w14:textId="77777777" w:rsidR="006F2B89" w:rsidRPr="00497ED2" w:rsidRDefault="006F2B89" w:rsidP="006C071C">
      <w:pPr>
        <w:pStyle w:val="QUOTATION"/>
        <w:spacing w:after="120"/>
      </w:pPr>
      <w:r w:rsidRPr="00497ED2">
        <w:t>“Our law vests in the court of first instance the discretion to condone a delay by an applicant in instituting review proceedings.  The exercise of this discretion may not be interfered with on appeal on the basis that the decision was incorrect.  Whether the appeal court would have exercised that discretion differently is irrelevant.  The intervention of the appeal court may be justified only on narrow specified grounds.</w:t>
      </w:r>
    </w:p>
    <w:p w14:paraId="17278191" w14:textId="77777777" w:rsidR="006F2B89" w:rsidRPr="00497ED2" w:rsidRDefault="006F2B89" w:rsidP="006C071C">
      <w:pPr>
        <w:pStyle w:val="QUOTATION"/>
      </w:pPr>
      <w:r w:rsidRPr="00497ED2">
        <w:t xml:space="preserve">The test is whether the court whose decision is challenged on appeal has exercised its discretion judicially.  The exercise of the discretion will not be judicial if it is based on </w:t>
      </w:r>
      <w:r w:rsidRPr="00497ED2">
        <w:lastRenderedPageBreak/>
        <w:t>incorrect facts or wrong principles of law.  If none of these two grounds is established, it cannot be said that the exercise of discretion was not judicial.  In those circumstances the claim for interference on appeal must fail.”</w:t>
      </w:r>
      <w:r w:rsidRPr="00497ED2">
        <w:rPr>
          <w:rStyle w:val="FootnoteReference"/>
        </w:rPr>
        <w:footnoteReference w:id="70"/>
      </w:r>
    </w:p>
    <w:p w14:paraId="61A25D22" w14:textId="77777777" w:rsidR="006F2B89" w:rsidRPr="00497ED2" w:rsidRDefault="006F2B89" w:rsidP="006C071C">
      <w:pPr>
        <w:pStyle w:val="JUDGMENTCONTINUED"/>
      </w:pPr>
    </w:p>
    <w:p w14:paraId="2CDBC9CE" w14:textId="77777777" w:rsidR="006F2B89" w:rsidRPr="00652F51" w:rsidRDefault="006F2B89" w:rsidP="006C071C">
      <w:pPr>
        <w:pStyle w:val="JUDGMENTNUMBERED"/>
      </w:pPr>
      <w:bookmarkStart w:id="14" w:name="_Ref5628794"/>
      <w:bookmarkEnd w:id="14"/>
      <w:r w:rsidRPr="00652F51">
        <w:rPr>
          <w:color w:val="181717"/>
        </w:rPr>
        <w:t>When the Supreme Court of Appeal refused to condone the applicant’s delays, it exercis</w:t>
      </w:r>
      <w:r>
        <w:rPr>
          <w:color w:val="181717"/>
        </w:rPr>
        <w:t>ed</w:t>
      </w:r>
      <w:r w:rsidRPr="00652F51">
        <w:rPr>
          <w:color w:val="181717"/>
        </w:rPr>
        <w:t xml:space="preserve"> a discretion in the “true” sense</w:t>
      </w:r>
      <w:r w:rsidRPr="00497ED2">
        <w:rPr>
          <w:color w:val="181717"/>
          <w:szCs w:val="26"/>
        </w:rPr>
        <w:t xml:space="preserve"> and</w:t>
      </w:r>
      <w:r w:rsidRPr="00652F51">
        <w:rPr>
          <w:color w:val="181717"/>
        </w:rPr>
        <w:t xml:space="preserve"> this Court </w:t>
      </w:r>
      <w:r w:rsidRPr="00497ED2">
        <w:rPr>
          <w:color w:val="181717"/>
          <w:szCs w:val="26"/>
        </w:rPr>
        <w:t>is entitled to interfere</w:t>
      </w:r>
      <w:r w:rsidRPr="00652F51">
        <w:rPr>
          <w:color w:val="181717"/>
        </w:rPr>
        <w:t xml:space="preserve"> with </w:t>
      </w:r>
      <w:r w:rsidRPr="00497ED2">
        <w:rPr>
          <w:color w:val="181717"/>
          <w:szCs w:val="26"/>
        </w:rPr>
        <w:t>that</w:t>
      </w:r>
      <w:r w:rsidRPr="00652F51">
        <w:rPr>
          <w:color w:val="181717"/>
        </w:rPr>
        <w:t xml:space="preserve"> discretion </w:t>
      </w:r>
      <w:r w:rsidRPr="00497ED2">
        <w:rPr>
          <w:color w:val="181717"/>
          <w:szCs w:val="26"/>
        </w:rPr>
        <w:t>only if</w:t>
      </w:r>
      <w:r w:rsidRPr="00652F51">
        <w:rPr>
          <w:color w:val="181717"/>
        </w:rPr>
        <w:t xml:space="preserve"> it </w:t>
      </w:r>
      <w:r w:rsidRPr="00497ED2">
        <w:rPr>
          <w:color w:val="181717"/>
          <w:szCs w:val="26"/>
        </w:rPr>
        <w:t>is satisfied that it was not exercised judicially.</w:t>
      </w:r>
    </w:p>
    <w:p w14:paraId="06D99F42" w14:textId="77777777" w:rsidR="006F2B89" w:rsidRPr="00497ED2" w:rsidRDefault="006F2B89" w:rsidP="006C071C">
      <w:pPr>
        <w:pStyle w:val="JUDGMENTCONTINUED"/>
      </w:pPr>
    </w:p>
    <w:p w14:paraId="65BF5C06" w14:textId="77777777" w:rsidR="006F2B89" w:rsidRPr="00B8054C" w:rsidRDefault="006F2B89" w:rsidP="006C071C">
      <w:pPr>
        <w:pStyle w:val="JUDGMENTNUMBERED"/>
      </w:pPr>
      <w:r w:rsidRPr="00B8054C">
        <w:t xml:space="preserve">In accordance with the approach endorsed by this Court in </w:t>
      </w:r>
      <w:proofErr w:type="spellStart"/>
      <w:r w:rsidRPr="00B8054C">
        <w:rPr>
          <w:i/>
        </w:rPr>
        <w:t>Notyawa</w:t>
      </w:r>
      <w:proofErr w:type="spellEnd"/>
      <w:r w:rsidRPr="00B8054C">
        <w:t>, the majority of the Supreme Court of Appeal took into account that the matter does not involve a serious breach of the Constitution</w:t>
      </w:r>
      <w:r w:rsidRPr="00497ED2">
        <w:rPr>
          <w:szCs w:val="26"/>
        </w:rPr>
        <w:t>,</w:t>
      </w:r>
      <w:r w:rsidRPr="00B8054C">
        <w:t xml:space="preserve"> and</w:t>
      </w:r>
      <w:r w:rsidRPr="00497ED2">
        <w:rPr>
          <w:szCs w:val="26"/>
        </w:rPr>
        <w:t xml:space="preserve"> that</w:t>
      </w:r>
      <w:r w:rsidRPr="00B8054C">
        <w:t xml:space="preserve"> the illegality of the impugned decisions was not clearly established on the facts.</w:t>
      </w:r>
      <w:r w:rsidRPr="00B8054C">
        <w:rPr>
          <w:rStyle w:val="FootnoteReference"/>
        </w:rPr>
        <w:footnoteReference w:id="71"/>
      </w:r>
      <w:r w:rsidRPr="00B8054C">
        <w:t xml:space="preserve">  Following this Court’s lead in </w:t>
      </w:r>
      <w:proofErr w:type="spellStart"/>
      <w:r w:rsidRPr="00B8054C">
        <w:rPr>
          <w:i/>
        </w:rPr>
        <w:t>Notyawa</w:t>
      </w:r>
      <w:proofErr w:type="spellEnd"/>
      <w:r w:rsidRPr="00B8054C">
        <w:t xml:space="preserve">, the majority also took into account the impact that the removal of Messrs </w:t>
      </w:r>
      <w:proofErr w:type="spellStart"/>
      <w:r w:rsidRPr="00B8054C">
        <w:t>Jili</w:t>
      </w:r>
      <w:proofErr w:type="spellEnd"/>
      <w:r w:rsidRPr="00B8054C">
        <w:t xml:space="preserve"> and Sibiya would have on service delivery to residents in their respective municipalities</w:t>
      </w:r>
      <w:r w:rsidRPr="00497ED2">
        <w:rPr>
          <w:szCs w:val="26"/>
        </w:rPr>
        <w:t xml:space="preserve"> and observed that there had never been complaints about their competence and performance.</w:t>
      </w:r>
      <w:r w:rsidRPr="00497ED2">
        <w:rPr>
          <w:rStyle w:val="FootnoteReference"/>
          <w:szCs w:val="26"/>
        </w:rPr>
        <w:footnoteReference w:id="72"/>
      </w:r>
      <w:r w:rsidRPr="00497ED2">
        <w:rPr>
          <w:szCs w:val="26"/>
        </w:rPr>
        <w:t xml:space="preserve">  Moreover, given the crucial role played by municipal managers in terms of section 55 of the Systems Act, setting aside Mr </w:t>
      </w:r>
      <w:proofErr w:type="spellStart"/>
      <w:r w:rsidRPr="00497ED2">
        <w:rPr>
          <w:szCs w:val="26"/>
        </w:rPr>
        <w:t>Jili</w:t>
      </w:r>
      <w:proofErr w:type="spellEnd"/>
      <w:r w:rsidRPr="00497ED2">
        <w:rPr>
          <w:szCs w:val="26"/>
        </w:rPr>
        <w:t xml:space="preserve"> and Mr Sibiya’s appointments and rendering them void from the outset or from the date of the order “would undoubtedly have adverse consequences for the public and the municipalities in whose interests the municipal managers purported to act”.</w:t>
      </w:r>
      <w:r w:rsidRPr="00497ED2">
        <w:rPr>
          <w:rStyle w:val="FootnoteReference"/>
          <w:szCs w:val="26"/>
        </w:rPr>
        <w:footnoteReference w:id="73"/>
      </w:r>
      <w:r w:rsidRPr="00497ED2">
        <w:rPr>
          <w:szCs w:val="26"/>
        </w:rPr>
        <w:t xml:space="preserve">  The Court</w:t>
      </w:r>
      <w:r w:rsidRPr="00B8054C">
        <w:t xml:space="preserve"> reasoned that even if it were accepted that Messrs </w:t>
      </w:r>
      <w:proofErr w:type="spellStart"/>
      <w:r w:rsidRPr="00B8054C">
        <w:t>Jili</w:t>
      </w:r>
      <w:proofErr w:type="spellEnd"/>
      <w:r w:rsidRPr="00B8054C">
        <w:t xml:space="preserve"> and Sibiya did not meet the applicable minimum experience requirements “the circumstances of [the] case </w:t>
      </w:r>
      <w:r w:rsidRPr="00B8054C">
        <w:rPr>
          <w:szCs w:val="26"/>
        </w:rPr>
        <w:t>still do not call for the invocation of a remedy setting aside their appointment</w:t>
      </w:r>
      <w:r w:rsidRPr="00B8054C">
        <w:t>”.</w:t>
      </w:r>
      <w:r w:rsidRPr="00B8054C">
        <w:rPr>
          <w:rStyle w:val="FootnoteReference"/>
        </w:rPr>
        <w:footnoteReference w:id="74"/>
      </w:r>
      <w:r w:rsidRPr="00B8054C">
        <w:t xml:space="preserve">  Finally, the majority’s decision not to condone the unreasonable delays appears to have been informed in part by its finding that they were unexplained.  This accords with what this Court held in</w:t>
      </w:r>
      <w:r w:rsidRPr="00B8054C">
        <w:rPr>
          <w:i/>
        </w:rPr>
        <w:t xml:space="preserve"> </w:t>
      </w:r>
      <w:proofErr w:type="spellStart"/>
      <w:r w:rsidRPr="00B8054C">
        <w:rPr>
          <w:i/>
        </w:rPr>
        <w:t>Gijima</w:t>
      </w:r>
      <w:proofErr w:type="spellEnd"/>
      <w:r w:rsidRPr="00B8054C">
        <w:t>:</w:t>
      </w:r>
    </w:p>
    <w:p w14:paraId="793A4318" w14:textId="77777777" w:rsidR="006F2B89" w:rsidRPr="00497ED2" w:rsidRDefault="006F2B89" w:rsidP="006C071C">
      <w:pPr>
        <w:pStyle w:val="QUOTATION"/>
      </w:pPr>
    </w:p>
    <w:p w14:paraId="4B2CE5A8" w14:textId="77777777" w:rsidR="006F2B89" w:rsidRPr="00497ED2" w:rsidRDefault="006F2B89" w:rsidP="006C071C">
      <w:pPr>
        <w:pStyle w:val="QUOTATION"/>
      </w:pPr>
      <w:r w:rsidRPr="00497ED2">
        <w:lastRenderedPageBreak/>
        <w:t>“[N]o discretion can be exercised in the air.  If we are to exercise a discretion to overlook the inordinate delay in this matter, there must be a basis for us to do so.  That basis may be gleaned from facts placed before us by the parties or objectively available factors.  We see no possible basis for the exercise of the discretion here.”</w:t>
      </w:r>
      <w:r w:rsidRPr="00497ED2">
        <w:rPr>
          <w:rStyle w:val="FootnoteReference"/>
        </w:rPr>
        <w:footnoteReference w:id="75"/>
      </w:r>
    </w:p>
    <w:p w14:paraId="14733447" w14:textId="77777777" w:rsidR="006F2B89" w:rsidRPr="00497ED2" w:rsidRDefault="006F2B89" w:rsidP="006C071C">
      <w:pPr>
        <w:pStyle w:val="JUDGMENTCONTINUED"/>
      </w:pPr>
    </w:p>
    <w:p w14:paraId="22A93DE5" w14:textId="77777777" w:rsidR="006F2B89" w:rsidRPr="00B8054C" w:rsidRDefault="006F2B89" w:rsidP="006C071C">
      <w:pPr>
        <w:pStyle w:val="JUDGMENTNUMBERED"/>
      </w:pPr>
      <w:r w:rsidRPr="00B8054C">
        <w:t>The majority applied the correct legal principles governing the condonation of undue delay in review proceedings and made no misdirection on the facts.  There would therefore be no basis for this Court to interfere with the exercise of the Supreme Court of Appeal’s discretion to refuse condonation.  With that finding intact, this Court could not proceed to the merits of the application.</w:t>
      </w:r>
    </w:p>
    <w:p w14:paraId="51B83336" w14:textId="77777777" w:rsidR="006F2B89" w:rsidRPr="00497ED2" w:rsidRDefault="006F2B89" w:rsidP="006C071C">
      <w:pPr>
        <w:pStyle w:val="JUDGMENTCONTINUED"/>
      </w:pPr>
    </w:p>
    <w:p w14:paraId="2291813A" w14:textId="77777777" w:rsidR="006F2B89" w:rsidRPr="00B8054C" w:rsidRDefault="006F2B89" w:rsidP="006C071C">
      <w:pPr>
        <w:pStyle w:val="JUDGMENTNUMBERED"/>
      </w:pPr>
      <w:r w:rsidRPr="00B8054C">
        <w:t>In addition to the application’s dim prospects of success, concerns for the public interest, the fact that both terms of appointment will shortly expire, and the fact that section 54A has been repealed and any interpretation of it will not have any wider import for other litigants, all point to a conclusion that the interests of justice do not favour granting leave to appeal.</w:t>
      </w:r>
    </w:p>
    <w:p w14:paraId="4317430B" w14:textId="77777777" w:rsidR="006F2B89" w:rsidRPr="00497ED2" w:rsidRDefault="006F2B89" w:rsidP="006C071C">
      <w:pPr>
        <w:pStyle w:val="JUDGMENTCONTINUED"/>
      </w:pPr>
    </w:p>
    <w:p w14:paraId="6E73E6F1" w14:textId="77777777" w:rsidR="006F2B89" w:rsidRPr="00B8054C" w:rsidRDefault="006F2B89" w:rsidP="006C071C">
      <w:pPr>
        <w:pStyle w:val="JUDGMENTNUMBERED"/>
      </w:pPr>
      <w:bookmarkStart w:id="15" w:name="_Ref88818554"/>
      <w:r w:rsidRPr="00B8054C">
        <w:t>For these reasons, I concur in the order made by the first judgment.</w:t>
      </w:r>
      <w:bookmarkEnd w:id="15"/>
    </w:p>
    <w:p w14:paraId="5772A0FE" w14:textId="63971521" w:rsidR="006F2B89" w:rsidRDefault="006F2B89" w:rsidP="006C071C">
      <w:pPr>
        <w:spacing w:line="360" w:lineRule="auto"/>
        <w:rPr>
          <w:lang w:val="en-US" w:eastAsia="en-GB"/>
        </w:rPr>
      </w:pPr>
    </w:p>
    <w:p w14:paraId="36127033" w14:textId="7C672CDD" w:rsidR="006F2B89" w:rsidRDefault="006F2B89" w:rsidP="006C071C">
      <w:pPr>
        <w:spacing w:line="360" w:lineRule="auto"/>
        <w:rPr>
          <w:lang w:val="en-US" w:eastAsia="en-GB"/>
        </w:rPr>
      </w:pPr>
    </w:p>
    <w:p w14:paraId="1D312069" w14:textId="77777777" w:rsidR="006F2B89" w:rsidRPr="00E7688F" w:rsidRDefault="006F2B89" w:rsidP="006C071C">
      <w:pPr>
        <w:spacing w:line="360" w:lineRule="auto"/>
        <w:rPr>
          <w:lang w:val="en-US" w:eastAsia="en-GB"/>
        </w:rPr>
      </w:pPr>
    </w:p>
    <w:p w14:paraId="6205FE0C" w14:textId="77777777" w:rsidR="00035008" w:rsidRDefault="00035008" w:rsidP="006C071C">
      <w:pPr>
        <w:spacing w:line="360" w:lineRule="auto"/>
        <w:rPr>
          <w:u w:color="000000"/>
          <w:bdr w:val="nil"/>
          <w:lang w:val="en-US" w:eastAsia="en-GB"/>
        </w:rPr>
        <w:sectPr w:rsidR="00035008" w:rsidSect="00C74D6C">
          <w:headerReference w:type="default" r:id="rId14"/>
          <w:type w:val="continuous"/>
          <w:pgSz w:w="11910" w:h="16840" w:code="9"/>
          <w:pgMar w:top="1440" w:right="1440" w:bottom="1440" w:left="1440" w:header="709" w:footer="709" w:gutter="0"/>
          <w:cols w:space="720"/>
          <w:titlePg/>
          <w:docGrid w:linePitch="354"/>
        </w:sectPr>
      </w:pPr>
    </w:p>
    <w:p w14:paraId="3A31B6A3" w14:textId="017EAF9E" w:rsidR="00035008" w:rsidRDefault="00035008" w:rsidP="006C071C">
      <w:pPr>
        <w:spacing w:line="360" w:lineRule="auto"/>
        <w:rPr>
          <w:u w:color="000000"/>
          <w:bdr w:val="nil"/>
          <w:lang w:val="en-US" w:eastAsia="en-GB"/>
        </w:rPr>
      </w:pPr>
      <w:r>
        <w:rPr>
          <w:u w:color="000000"/>
          <w:bdr w:val="nil"/>
          <w:lang w:val="en-US" w:eastAsia="en-GB"/>
        </w:rPr>
        <w:br w:type="page"/>
      </w:r>
    </w:p>
    <w:p w14:paraId="55D3FD3E" w14:textId="06FA0C27" w:rsidR="00035008" w:rsidRDefault="005426E5" w:rsidP="006C071C">
      <w:pPr>
        <w:tabs>
          <w:tab w:val="left" w:pos="5168"/>
        </w:tabs>
        <w:spacing w:line="240" w:lineRule="auto"/>
      </w:pPr>
      <w:r>
        <w:lastRenderedPageBreak/>
        <w:t>For the Applicants:</w:t>
      </w:r>
    </w:p>
    <w:p w14:paraId="58A087B7" w14:textId="5A9C2C6C" w:rsidR="00035008" w:rsidRDefault="00035008" w:rsidP="006C071C">
      <w:pPr>
        <w:spacing w:line="240" w:lineRule="auto"/>
      </w:pPr>
    </w:p>
    <w:p w14:paraId="6F72BE3E" w14:textId="222494E0" w:rsidR="00035008" w:rsidRDefault="00035008" w:rsidP="006C071C">
      <w:pPr>
        <w:spacing w:line="240" w:lineRule="auto"/>
      </w:pPr>
    </w:p>
    <w:p w14:paraId="77E859A5" w14:textId="018239CF" w:rsidR="00035008" w:rsidRDefault="005426E5" w:rsidP="006C071C">
      <w:pPr>
        <w:spacing w:line="240" w:lineRule="auto"/>
      </w:pPr>
      <w:r>
        <w:t>For the Respondents:</w:t>
      </w:r>
    </w:p>
    <w:p w14:paraId="58B99E88" w14:textId="43B5ACE2" w:rsidR="00035008" w:rsidRDefault="00035008" w:rsidP="006C071C">
      <w:pPr>
        <w:pStyle w:val="JUDGMENTNUMBERED"/>
        <w:numPr>
          <w:ilvl w:val="0"/>
          <w:numId w:val="0"/>
        </w:numPr>
        <w:spacing w:line="240" w:lineRule="auto"/>
      </w:pPr>
      <w:r>
        <w:br w:type="column"/>
      </w:r>
      <w:r w:rsidR="00C6554F">
        <w:t>A</w:t>
      </w:r>
      <w:r w:rsidR="0091746F">
        <w:t xml:space="preserve"> J</w:t>
      </w:r>
      <w:r w:rsidR="00C6554F">
        <w:t xml:space="preserve"> Dickson SC instructed by </w:t>
      </w:r>
      <w:proofErr w:type="spellStart"/>
      <w:r w:rsidR="00C6554F">
        <w:t>Venns</w:t>
      </w:r>
      <w:proofErr w:type="spellEnd"/>
      <w:r w:rsidR="00C6554F">
        <w:t xml:space="preserve"> Attorneys</w:t>
      </w:r>
    </w:p>
    <w:p w14:paraId="4E4B75D5" w14:textId="0DC8400B" w:rsidR="000955E8" w:rsidRDefault="000955E8" w:rsidP="006C071C">
      <w:pPr>
        <w:pStyle w:val="JUDGMENTNUMBERED"/>
        <w:numPr>
          <w:ilvl w:val="0"/>
          <w:numId w:val="0"/>
        </w:numPr>
        <w:spacing w:line="240" w:lineRule="auto"/>
      </w:pPr>
    </w:p>
    <w:p w14:paraId="6403B493" w14:textId="7963AED8" w:rsidR="00035008" w:rsidRDefault="0091746F" w:rsidP="006C071C">
      <w:pPr>
        <w:pStyle w:val="JUDGMENTNUMBERED"/>
        <w:numPr>
          <w:ilvl w:val="0"/>
          <w:numId w:val="0"/>
        </w:numPr>
        <w:spacing w:line="240" w:lineRule="auto"/>
      </w:pPr>
      <w:r>
        <w:t xml:space="preserve">T </w:t>
      </w:r>
      <w:r w:rsidR="00E86243">
        <w:t xml:space="preserve">G Madonsela SC and S </w:t>
      </w:r>
      <w:proofErr w:type="spellStart"/>
      <w:r w:rsidR="00E86243">
        <w:t>Pudifin</w:t>
      </w:r>
      <w:proofErr w:type="spellEnd"/>
      <w:r w:rsidR="00E86243">
        <w:noBreakHyphen/>
      </w:r>
      <w:r w:rsidR="00C6554F">
        <w:t xml:space="preserve">Jones instructed by Buthelezi </w:t>
      </w:r>
      <w:proofErr w:type="spellStart"/>
      <w:r w:rsidR="00C6554F">
        <w:t>Mtshali</w:t>
      </w:r>
      <w:proofErr w:type="spellEnd"/>
      <w:r w:rsidR="00C6554F">
        <w:t xml:space="preserve"> </w:t>
      </w:r>
      <w:proofErr w:type="spellStart"/>
      <w:r w:rsidR="00C6554F">
        <w:t>Mzulwini</w:t>
      </w:r>
      <w:proofErr w:type="spellEnd"/>
      <w:r w:rsidR="00C6554F">
        <w:t xml:space="preserve"> Incorporated</w:t>
      </w:r>
    </w:p>
    <w:p w14:paraId="57D670FE" w14:textId="77777777" w:rsidR="00035008" w:rsidRPr="005426E5" w:rsidRDefault="00035008" w:rsidP="006C071C">
      <w:pPr>
        <w:spacing w:line="240" w:lineRule="auto"/>
      </w:pPr>
    </w:p>
    <w:sectPr w:rsidR="00035008" w:rsidRPr="005426E5" w:rsidSect="00CA6E2D">
      <w:headerReference w:type="default" r:id="rId15"/>
      <w:footerReference w:type="default" r:id="rId16"/>
      <w:type w:val="continuous"/>
      <w:pgSz w:w="11910" w:h="16840"/>
      <w:pgMar w:top="1440" w:right="1440" w:bottom="1440" w:left="1440" w:header="709" w:footer="709" w:gutter="0"/>
      <w:cols w:num="2"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39476" w14:textId="77777777" w:rsidR="009913B9" w:rsidRDefault="009913B9" w:rsidP="00E4607C">
      <w:pPr>
        <w:spacing w:line="240" w:lineRule="auto"/>
      </w:pPr>
      <w:r>
        <w:separator/>
      </w:r>
    </w:p>
  </w:endnote>
  <w:endnote w:type="continuationSeparator" w:id="0">
    <w:p w14:paraId="7A978451" w14:textId="77777777" w:rsidR="009913B9" w:rsidRDefault="009913B9"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481682"/>
      <w:docPartObj>
        <w:docPartGallery w:val="Page Numbers (Bottom of Page)"/>
        <w:docPartUnique/>
      </w:docPartObj>
    </w:sdtPr>
    <w:sdtEndPr>
      <w:rPr>
        <w:noProof/>
      </w:rPr>
    </w:sdtEndPr>
    <w:sdtContent>
      <w:p w14:paraId="7A4C1C25" w14:textId="7A3928DE" w:rsidR="004C482D" w:rsidRDefault="004C482D" w:rsidP="00771469">
        <w:pPr>
          <w:pStyle w:val="Footer"/>
          <w:jc w:val="center"/>
        </w:pPr>
        <w:r>
          <w:fldChar w:fldCharType="begin"/>
        </w:r>
        <w:r>
          <w:instrText xml:space="preserve"> PAGE   \* MERGEFORMAT </w:instrText>
        </w:r>
        <w:r>
          <w:fldChar w:fldCharType="separate"/>
        </w:r>
        <w:r w:rsidR="00D9550A">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B9F3" w14:textId="187A09DE" w:rsidR="004C482D" w:rsidRDefault="004C482D" w:rsidP="007714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7513F" w14:textId="77777777" w:rsidR="009913B9" w:rsidRDefault="009913B9" w:rsidP="00E4607C">
      <w:pPr>
        <w:spacing w:line="240" w:lineRule="auto"/>
      </w:pPr>
      <w:r>
        <w:separator/>
      </w:r>
    </w:p>
  </w:footnote>
  <w:footnote w:type="continuationSeparator" w:id="0">
    <w:p w14:paraId="7148CAD1" w14:textId="77777777" w:rsidR="009913B9" w:rsidRDefault="009913B9" w:rsidP="00E4607C">
      <w:pPr>
        <w:spacing w:line="240" w:lineRule="auto"/>
      </w:pPr>
      <w:r>
        <w:continuationSeparator/>
      </w:r>
    </w:p>
  </w:footnote>
  <w:footnote w:id="1">
    <w:p w14:paraId="0044681E" w14:textId="1352CAC7" w:rsidR="004C482D" w:rsidRPr="00581A2D" w:rsidRDefault="004C482D">
      <w:pPr>
        <w:pStyle w:val="FootnoteText"/>
      </w:pPr>
      <w:r>
        <w:rPr>
          <w:rStyle w:val="FootnoteReference"/>
        </w:rPr>
        <w:footnoteRef/>
      </w:r>
      <w:r>
        <w:t xml:space="preserve"> </w:t>
      </w:r>
      <w:r w:rsidRPr="0088411F">
        <w:t>32 of 2000</w:t>
      </w:r>
      <w:r>
        <w:t>.  Section 54A(2) provides as follows:</w:t>
      </w:r>
    </w:p>
    <w:p w14:paraId="3CC2B85B" w14:textId="6C46D4D1" w:rsidR="004C482D" w:rsidRPr="00581A2D" w:rsidRDefault="004C482D" w:rsidP="004813B3">
      <w:pPr>
        <w:pStyle w:val="QUOTEINFOOTNOTE"/>
      </w:pPr>
      <w:r w:rsidRPr="00581A2D">
        <w:t>“A person appointed as municipal manager in terms of subsection (1) must at least have the skills, expertise, competencies and qualifications as prescribed.”</w:t>
      </w:r>
    </w:p>
  </w:footnote>
  <w:footnote w:id="2">
    <w:p w14:paraId="48D3E9A4" w14:textId="1DFE434B" w:rsidR="004C482D" w:rsidRPr="00581A2D" w:rsidRDefault="004C482D" w:rsidP="00F52CB5">
      <w:pPr>
        <w:pStyle w:val="FootnoteText"/>
      </w:pPr>
      <w:r w:rsidRPr="00581A2D">
        <w:rPr>
          <w:rStyle w:val="FootnoteReference"/>
        </w:rPr>
        <w:footnoteRef/>
      </w:r>
      <w:r w:rsidRPr="00581A2D">
        <w:t xml:space="preserve"> Section 54A(3) </w:t>
      </w:r>
      <w:r>
        <w:t>provides as follows:</w:t>
      </w:r>
    </w:p>
    <w:p w14:paraId="04B71844" w14:textId="77777777" w:rsidR="004C482D" w:rsidRPr="00581A2D" w:rsidRDefault="004C482D" w:rsidP="00F52CB5">
      <w:pPr>
        <w:pStyle w:val="QUOTEINFOOTNOTE"/>
      </w:pPr>
      <w:r w:rsidRPr="00581A2D">
        <w:t>“A decision to appoint a person as a municipal manager, and any contract concluded between the municipal council and that person in consequence of th</w:t>
      </w:r>
      <w:r>
        <w:t>e decision, is null and void if—</w:t>
      </w:r>
    </w:p>
    <w:p w14:paraId="7F2A9A74" w14:textId="77777777" w:rsidR="004C482D" w:rsidRPr="00581A2D" w:rsidRDefault="004C482D" w:rsidP="00F52CB5">
      <w:pPr>
        <w:pStyle w:val="QUOTEINFOOTNOTE"/>
        <w:numPr>
          <w:ilvl w:val="0"/>
          <w:numId w:val="4"/>
        </w:numPr>
        <w:ind w:left="1440" w:hanging="720"/>
      </w:pPr>
      <w:r>
        <w:t>t</w:t>
      </w:r>
      <w:r w:rsidRPr="00581A2D">
        <w:t>he person appointed does not have the prescribed skills, expertise, competencies or qualifications; or</w:t>
      </w:r>
    </w:p>
    <w:p w14:paraId="2074455C" w14:textId="77777777" w:rsidR="004C482D" w:rsidRPr="00581A2D" w:rsidRDefault="004C482D" w:rsidP="00F52CB5">
      <w:pPr>
        <w:pStyle w:val="QUOTEINFOOTNOTE"/>
        <w:numPr>
          <w:ilvl w:val="0"/>
          <w:numId w:val="4"/>
        </w:numPr>
        <w:ind w:left="1440" w:hanging="720"/>
      </w:pPr>
      <w:r>
        <w:t>t</w:t>
      </w:r>
      <w:r w:rsidRPr="00581A2D">
        <w:t>he appointment was otherwise made in contravention of this Act.”</w:t>
      </w:r>
    </w:p>
  </w:footnote>
  <w:footnote w:id="3">
    <w:p w14:paraId="7108AFAF" w14:textId="77777777" w:rsidR="004C482D" w:rsidRDefault="004C482D" w:rsidP="00F52CB5">
      <w:pPr>
        <w:pStyle w:val="FootnoteText"/>
        <w:rPr>
          <w:lang w:val="en-GB"/>
        </w:rPr>
      </w:pPr>
      <w:r>
        <w:rPr>
          <w:rStyle w:val="FootnoteReference"/>
        </w:rPr>
        <w:footnoteRef/>
      </w:r>
      <w:r>
        <w:t xml:space="preserve"> </w:t>
      </w:r>
      <w:r>
        <w:rPr>
          <w:lang w:val="en-GB"/>
        </w:rPr>
        <w:t>Section 54A(7) provides as follows:</w:t>
      </w:r>
    </w:p>
    <w:p w14:paraId="3908EE83" w14:textId="67D58E71" w:rsidR="004C482D" w:rsidRDefault="004C482D" w:rsidP="00F52CB5">
      <w:pPr>
        <w:pStyle w:val="QUOTEINFOOTNOTE"/>
        <w:ind w:left="1440" w:hanging="720"/>
        <w:rPr>
          <w:lang w:val="en-GB"/>
        </w:rPr>
      </w:pPr>
      <w:r>
        <w:rPr>
          <w:lang w:val="en-GB"/>
        </w:rPr>
        <w:t>“(a)</w:t>
      </w:r>
      <w:r>
        <w:rPr>
          <w:lang w:val="en-GB"/>
        </w:rPr>
        <w:tab/>
      </w:r>
      <w:r w:rsidRPr="00F52CB5">
        <w:rPr>
          <w:lang w:val="en-GB"/>
        </w:rPr>
        <w:t>The municipal council must, within 14 days, inform the MEC for loca</w:t>
      </w:r>
      <w:r>
        <w:rPr>
          <w:lang w:val="en-GB"/>
        </w:rPr>
        <w:t xml:space="preserve">l government of the appointment </w:t>
      </w:r>
      <w:r w:rsidRPr="00F52CB5">
        <w:rPr>
          <w:lang w:val="en-GB"/>
        </w:rPr>
        <w:t>process and outcome, as may be prescribed.</w:t>
      </w:r>
    </w:p>
    <w:p w14:paraId="3390F5EB" w14:textId="16B7853C" w:rsidR="004C482D" w:rsidRPr="00F52CB5" w:rsidRDefault="004C482D" w:rsidP="00F52CB5">
      <w:pPr>
        <w:pStyle w:val="QUOTEINFOOTNOTE"/>
        <w:numPr>
          <w:ilvl w:val="0"/>
          <w:numId w:val="4"/>
        </w:numPr>
        <w:ind w:left="1440" w:hanging="720"/>
        <w:rPr>
          <w:lang w:val="en-GB"/>
        </w:rPr>
      </w:pPr>
      <w:r w:rsidRPr="00F52CB5">
        <w:rPr>
          <w:lang w:val="en-GB"/>
        </w:rPr>
        <w:t>The MEC for local government must, within 14 days of receipt of</w:t>
      </w:r>
      <w:r>
        <w:rPr>
          <w:lang w:val="en-GB"/>
        </w:rPr>
        <w:t xml:space="preserve"> the information referred to in </w:t>
      </w:r>
      <w:r w:rsidRPr="00F52CB5">
        <w:rPr>
          <w:lang w:val="en-GB"/>
        </w:rPr>
        <w:t>paragraph (a), submit a copy thereof to the Minister.</w:t>
      </w:r>
      <w:r>
        <w:rPr>
          <w:lang w:val="en-GB"/>
        </w:rPr>
        <w:t>”</w:t>
      </w:r>
    </w:p>
  </w:footnote>
  <w:footnote w:id="4">
    <w:p w14:paraId="083077B3" w14:textId="1F6D85F2" w:rsidR="004C482D" w:rsidRDefault="004C482D">
      <w:pPr>
        <w:pStyle w:val="FootnoteText"/>
      </w:pPr>
      <w:r>
        <w:rPr>
          <w:rStyle w:val="FootnoteReference"/>
        </w:rPr>
        <w:footnoteRef/>
      </w:r>
      <w:r>
        <w:t xml:space="preserve"> </w:t>
      </w:r>
      <w:r w:rsidRPr="00B73FAE">
        <w:t>The prescribed qualifications for the post of a Municipal Manager are contained in Item 2 of Annexure B to the regulations.</w:t>
      </w:r>
      <w:r>
        <w:rPr>
          <w:szCs w:val="20"/>
        </w:rPr>
        <w:t xml:space="preserve"> </w:t>
      </w:r>
      <w:r>
        <w:t xml:space="preserve"> See </w:t>
      </w:r>
      <w:r w:rsidRPr="009F5CAA">
        <w:t>Local Government: Regulations on Appointment and Conditions of Employment of Senior</w:t>
      </w:r>
      <w:r>
        <w:t xml:space="preserve"> Managers, GN 21</w:t>
      </w:r>
      <w:r w:rsidRPr="009F5CAA">
        <w:t xml:space="preserve"> </w:t>
      </w:r>
      <w:r w:rsidRPr="009F5CAA">
        <w:rPr>
          <w:i/>
        </w:rPr>
        <w:t>GG</w:t>
      </w:r>
      <w:r w:rsidRPr="009F5CAA">
        <w:t xml:space="preserve"> 37245</w:t>
      </w:r>
      <w:r>
        <w:t>, 17 January 2014</w:t>
      </w:r>
      <w:r w:rsidRPr="009F5CAA">
        <w:t>.</w:t>
      </w:r>
    </w:p>
  </w:footnote>
  <w:footnote w:id="5">
    <w:p w14:paraId="64AA5CF7" w14:textId="5085328D" w:rsidR="004C482D" w:rsidRPr="00581A2D" w:rsidRDefault="004C482D">
      <w:pPr>
        <w:pStyle w:val="FootnoteText"/>
      </w:pPr>
      <w:r>
        <w:rPr>
          <w:rStyle w:val="FootnoteReference"/>
        </w:rPr>
        <w:footnoteRef/>
      </w:r>
      <w:r>
        <w:t xml:space="preserve"> </w:t>
      </w:r>
      <w:r w:rsidRPr="00581A2D">
        <w:t>Section 54A(10) states that:</w:t>
      </w:r>
    </w:p>
    <w:p w14:paraId="20F134A6" w14:textId="23790AE2" w:rsidR="004C482D" w:rsidRDefault="004C482D" w:rsidP="0041196F">
      <w:pPr>
        <w:pStyle w:val="QUOTEINFOOTNOTE"/>
      </w:pPr>
      <w:r w:rsidRPr="00A807D2">
        <w:t>“A municipal council may, in special circumstances and on good cause shown, apply in writing to the Minister to waive any of the requirements in subsection (2) if it is unable to attract suitable candidates.”</w:t>
      </w:r>
    </w:p>
  </w:footnote>
  <w:footnote w:id="6">
    <w:p w14:paraId="245056AE" w14:textId="72DEA64C" w:rsidR="004C482D" w:rsidRPr="00D268D9" w:rsidRDefault="004C482D" w:rsidP="00D268D9">
      <w:pPr>
        <w:pStyle w:val="FootnoteText"/>
      </w:pPr>
      <w:r>
        <w:rPr>
          <w:rStyle w:val="FootnoteReference"/>
        </w:rPr>
        <w:footnoteRef/>
      </w:r>
      <w:r>
        <w:t xml:space="preserve"> </w:t>
      </w:r>
      <w:r w:rsidRPr="00D268D9">
        <w:rPr>
          <w:i/>
        </w:rPr>
        <w:t xml:space="preserve">MEC for the Department of Co-operative Governance and Traditional Affairs v Nkandla Local Municipality; MEC for the Department of Co-operative Governance and Traditional Affairs v </w:t>
      </w:r>
      <w:proofErr w:type="spellStart"/>
      <w:r w:rsidRPr="00D268D9">
        <w:rPr>
          <w:i/>
        </w:rPr>
        <w:t>Mthonjaneni</w:t>
      </w:r>
      <w:proofErr w:type="spellEnd"/>
      <w:r w:rsidRPr="00D268D9">
        <w:rPr>
          <w:i/>
        </w:rPr>
        <w:t xml:space="preserve"> Municipality</w:t>
      </w:r>
      <w:r>
        <w:t xml:space="preserve"> (2019) 40 ILJ 996 (KZP) (High Court judgment).</w:t>
      </w:r>
    </w:p>
  </w:footnote>
  <w:footnote w:id="7">
    <w:p w14:paraId="26983FEA" w14:textId="18DAAB61" w:rsidR="004C482D" w:rsidRPr="003D55E1" w:rsidRDefault="004C482D">
      <w:pPr>
        <w:pStyle w:val="FootnoteText"/>
        <w:rPr>
          <w:lang w:val="en-GB"/>
        </w:rPr>
      </w:pPr>
      <w:r>
        <w:rPr>
          <w:rStyle w:val="FootnoteReference"/>
        </w:rPr>
        <w:footnoteRef/>
      </w:r>
      <w:r>
        <w:t xml:space="preserve"> </w:t>
      </w:r>
      <w:r>
        <w:rPr>
          <w:lang w:val="en-GB"/>
        </w:rPr>
        <w:t>Id at para 67.</w:t>
      </w:r>
    </w:p>
  </w:footnote>
  <w:footnote w:id="8">
    <w:p w14:paraId="302728FD" w14:textId="74D335D7" w:rsidR="004C482D" w:rsidRPr="003D55E1" w:rsidRDefault="004C482D">
      <w:pPr>
        <w:pStyle w:val="FootnoteText"/>
        <w:rPr>
          <w:lang w:val="en-GB"/>
        </w:rPr>
      </w:pPr>
      <w:r>
        <w:rPr>
          <w:rStyle w:val="FootnoteReference"/>
        </w:rPr>
        <w:footnoteRef/>
      </w:r>
      <w:r>
        <w:t xml:space="preserve"> </w:t>
      </w:r>
      <w:r>
        <w:rPr>
          <w:lang w:val="en-GB"/>
        </w:rPr>
        <w:t>Id.</w:t>
      </w:r>
    </w:p>
  </w:footnote>
  <w:footnote w:id="9">
    <w:p w14:paraId="28DBC5A8" w14:textId="3219C895" w:rsidR="004C482D" w:rsidRDefault="004C482D">
      <w:pPr>
        <w:pStyle w:val="FootnoteText"/>
      </w:pPr>
      <w:r>
        <w:rPr>
          <w:rStyle w:val="FootnoteReference"/>
        </w:rPr>
        <w:footnoteRef/>
      </w:r>
      <w:r>
        <w:t xml:space="preserve"> </w:t>
      </w:r>
      <w:r w:rsidRPr="0088411F">
        <w:t>The Supreme Court of Appeal also heard the appeals simultaneously.</w:t>
      </w:r>
    </w:p>
  </w:footnote>
  <w:footnote w:id="10">
    <w:p w14:paraId="38EAFC9D" w14:textId="07055219" w:rsidR="004C482D" w:rsidRPr="003D55E1" w:rsidRDefault="004C482D" w:rsidP="003D55E1">
      <w:pPr>
        <w:pStyle w:val="FootnoteText"/>
        <w:rPr>
          <w:lang w:val="en-GB"/>
        </w:rPr>
      </w:pPr>
      <w:r>
        <w:rPr>
          <w:rStyle w:val="FootnoteReference"/>
        </w:rPr>
        <w:footnoteRef/>
      </w:r>
      <w:r>
        <w:t xml:space="preserve"> </w:t>
      </w:r>
      <w:r w:rsidRPr="003D55E1">
        <w:rPr>
          <w:i/>
        </w:rPr>
        <w:t xml:space="preserve">Nkandla Local Municipality v MEC for the Department of Co-operative Governance and Traditional Affairs and </w:t>
      </w:r>
      <w:proofErr w:type="spellStart"/>
      <w:r w:rsidRPr="003D55E1">
        <w:rPr>
          <w:i/>
        </w:rPr>
        <w:t>Mthonjaneni</w:t>
      </w:r>
      <w:proofErr w:type="spellEnd"/>
      <w:r w:rsidRPr="003D55E1">
        <w:rPr>
          <w:i/>
        </w:rPr>
        <w:t xml:space="preserve"> Local Municipality v MEC for the Department of Co-operative Governance and Traditional Affairs</w:t>
      </w:r>
      <w:r>
        <w:t xml:space="preserve"> [2020] ZASCA 153 (Supreme Court of Appeal judgment) at paras 54, 102 and 122.</w:t>
      </w:r>
    </w:p>
  </w:footnote>
  <w:footnote w:id="11">
    <w:p w14:paraId="73534E41" w14:textId="12789339" w:rsidR="004C482D" w:rsidRPr="003D55E1" w:rsidRDefault="004C482D">
      <w:pPr>
        <w:pStyle w:val="FootnoteText"/>
        <w:rPr>
          <w:lang w:val="en-GB"/>
        </w:rPr>
      </w:pPr>
      <w:r>
        <w:rPr>
          <w:rStyle w:val="FootnoteReference"/>
        </w:rPr>
        <w:footnoteRef/>
      </w:r>
      <w:r>
        <w:t xml:space="preserve"> </w:t>
      </w:r>
      <w:r>
        <w:rPr>
          <w:lang w:val="en-GB"/>
        </w:rPr>
        <w:t>Id at paras 42 and 118.</w:t>
      </w:r>
    </w:p>
  </w:footnote>
  <w:footnote w:id="12">
    <w:p w14:paraId="05995420" w14:textId="34DA69E9" w:rsidR="004C482D" w:rsidRPr="00AE1F7C" w:rsidRDefault="004C482D">
      <w:pPr>
        <w:pStyle w:val="FootnoteText"/>
        <w:rPr>
          <w:lang w:val="en-GB"/>
        </w:rPr>
      </w:pPr>
      <w:r>
        <w:rPr>
          <w:rStyle w:val="FootnoteReference"/>
        </w:rPr>
        <w:footnoteRef/>
      </w:r>
      <w:r>
        <w:t xml:space="preserve"> </w:t>
      </w:r>
      <w:r>
        <w:rPr>
          <w:lang w:val="en-GB"/>
        </w:rPr>
        <w:t>Id at para 51.</w:t>
      </w:r>
    </w:p>
  </w:footnote>
  <w:footnote w:id="13">
    <w:p w14:paraId="5C1CB2CA" w14:textId="64BDCFEF" w:rsidR="004C482D" w:rsidRPr="00AE1F7C" w:rsidRDefault="004C482D">
      <w:pPr>
        <w:pStyle w:val="FootnoteText"/>
        <w:rPr>
          <w:lang w:val="en-GB"/>
        </w:rPr>
      </w:pPr>
      <w:r>
        <w:rPr>
          <w:rStyle w:val="FootnoteReference"/>
        </w:rPr>
        <w:footnoteRef/>
      </w:r>
      <w:r>
        <w:t xml:space="preserve"> </w:t>
      </w:r>
      <w:r>
        <w:rPr>
          <w:lang w:val="en-GB"/>
        </w:rPr>
        <w:t>Id at para 52.</w:t>
      </w:r>
    </w:p>
  </w:footnote>
  <w:footnote w:id="14">
    <w:p w14:paraId="19217D9D" w14:textId="0F10B9B0" w:rsidR="004C482D" w:rsidRPr="0029191E" w:rsidRDefault="004C482D">
      <w:pPr>
        <w:pStyle w:val="FootnoteText"/>
        <w:rPr>
          <w:lang w:val="en-GB"/>
        </w:rPr>
      </w:pPr>
      <w:r>
        <w:rPr>
          <w:rStyle w:val="FootnoteReference"/>
        </w:rPr>
        <w:footnoteRef/>
      </w:r>
      <w:r>
        <w:t xml:space="preserve"> </w:t>
      </w:r>
      <w:r>
        <w:rPr>
          <w:lang w:val="en-GB"/>
        </w:rPr>
        <w:t>Id.</w:t>
      </w:r>
    </w:p>
  </w:footnote>
  <w:footnote w:id="15">
    <w:p w14:paraId="0A07C3DD" w14:textId="27F23149" w:rsidR="004C482D" w:rsidRPr="0029191E" w:rsidRDefault="004C482D">
      <w:pPr>
        <w:pStyle w:val="FootnoteText"/>
        <w:rPr>
          <w:lang w:val="en-GB"/>
        </w:rPr>
      </w:pPr>
      <w:r>
        <w:rPr>
          <w:rStyle w:val="FootnoteReference"/>
        </w:rPr>
        <w:footnoteRef/>
      </w:r>
      <w:r>
        <w:t xml:space="preserve"> </w:t>
      </w:r>
      <w:r>
        <w:rPr>
          <w:lang w:val="en-GB"/>
        </w:rPr>
        <w:t>Id at para 88.</w:t>
      </w:r>
    </w:p>
  </w:footnote>
  <w:footnote w:id="16">
    <w:p w14:paraId="7C683DE7" w14:textId="77777777" w:rsidR="004C482D" w:rsidRPr="0029191E" w:rsidRDefault="004C482D" w:rsidP="0029191E">
      <w:pPr>
        <w:pStyle w:val="FootnoteText"/>
        <w:rPr>
          <w:lang w:val="en-GB"/>
        </w:rPr>
      </w:pPr>
      <w:r>
        <w:rPr>
          <w:rStyle w:val="FootnoteReference"/>
        </w:rPr>
        <w:footnoteRef/>
      </w:r>
      <w:r>
        <w:t xml:space="preserve"> </w:t>
      </w:r>
      <w:r>
        <w:rPr>
          <w:lang w:val="en-GB"/>
        </w:rPr>
        <w:t>Id at para 79.</w:t>
      </w:r>
    </w:p>
  </w:footnote>
  <w:footnote w:id="17">
    <w:p w14:paraId="70C2DCBE" w14:textId="119B3253" w:rsidR="004C482D" w:rsidRPr="0029191E" w:rsidRDefault="004C482D">
      <w:pPr>
        <w:pStyle w:val="FootnoteText"/>
        <w:rPr>
          <w:lang w:val="en-GB"/>
        </w:rPr>
      </w:pPr>
      <w:r>
        <w:rPr>
          <w:rStyle w:val="FootnoteReference"/>
        </w:rPr>
        <w:footnoteRef/>
      </w:r>
      <w:r>
        <w:t xml:space="preserve"> </w:t>
      </w:r>
      <w:r>
        <w:rPr>
          <w:lang w:val="en-GB"/>
        </w:rPr>
        <w:t>Id at para 88.</w:t>
      </w:r>
    </w:p>
  </w:footnote>
  <w:footnote w:id="18">
    <w:p w14:paraId="4BD13DEC" w14:textId="6B0B362D" w:rsidR="004C482D" w:rsidRPr="0029191E" w:rsidRDefault="004C482D">
      <w:pPr>
        <w:pStyle w:val="FootnoteText"/>
        <w:rPr>
          <w:lang w:val="en-GB"/>
        </w:rPr>
      </w:pPr>
      <w:r>
        <w:rPr>
          <w:rStyle w:val="FootnoteReference"/>
        </w:rPr>
        <w:footnoteRef/>
      </w:r>
      <w:r>
        <w:t xml:space="preserve"> </w:t>
      </w:r>
      <w:r>
        <w:rPr>
          <w:lang w:val="en-GB"/>
        </w:rPr>
        <w:t>Id at para 100.</w:t>
      </w:r>
    </w:p>
  </w:footnote>
  <w:footnote w:id="19">
    <w:p w14:paraId="579A7D56" w14:textId="454FC70F" w:rsidR="004C482D" w:rsidRDefault="004C482D">
      <w:pPr>
        <w:pStyle w:val="FootnoteText"/>
      </w:pPr>
      <w:r>
        <w:rPr>
          <w:rStyle w:val="FootnoteReference"/>
        </w:rPr>
        <w:footnoteRef/>
      </w:r>
      <w:r>
        <w:t xml:space="preserve"> Section 167(3)(b) and (c) of the Constitution.</w:t>
      </w:r>
    </w:p>
  </w:footnote>
  <w:footnote w:id="20">
    <w:p w14:paraId="2F803414" w14:textId="2B3900E8" w:rsidR="004C482D" w:rsidRDefault="004C482D">
      <w:pPr>
        <w:pStyle w:val="FootnoteText"/>
        <w:rPr>
          <w:lang w:val="en-GB"/>
        </w:rPr>
      </w:pPr>
      <w:r>
        <w:rPr>
          <w:rStyle w:val="FootnoteReference"/>
        </w:rPr>
        <w:footnoteRef/>
      </w:r>
      <w:r>
        <w:t xml:space="preserve"> </w:t>
      </w:r>
      <w:r>
        <w:rPr>
          <w:lang w:val="en-GB"/>
        </w:rPr>
        <w:t>Section 54A(8) provides as follows:</w:t>
      </w:r>
    </w:p>
    <w:p w14:paraId="44E49188" w14:textId="7BE31827" w:rsidR="004C482D" w:rsidRPr="0029191E" w:rsidRDefault="004C482D" w:rsidP="0029191E">
      <w:pPr>
        <w:pStyle w:val="QUOTEINFOOTNOTE"/>
        <w:rPr>
          <w:lang w:val="en-GB"/>
        </w:rPr>
      </w:pPr>
      <w:r>
        <w:rPr>
          <w:lang w:val="en-GB"/>
        </w:rPr>
        <w:t>“</w:t>
      </w:r>
      <w:r w:rsidRPr="0029191E">
        <w:rPr>
          <w:lang w:val="en-GB"/>
        </w:rPr>
        <w:t>If a person is appointed as municipal manager in contravention of this section, the MEC for local</w:t>
      </w:r>
      <w:r>
        <w:rPr>
          <w:lang w:val="en-GB"/>
        </w:rPr>
        <w:t xml:space="preserve"> </w:t>
      </w:r>
      <w:r w:rsidRPr="0029191E">
        <w:rPr>
          <w:lang w:val="en-GB"/>
        </w:rPr>
        <w:t>government must, within 14 days of receiving the informa</w:t>
      </w:r>
      <w:r>
        <w:rPr>
          <w:lang w:val="en-GB"/>
        </w:rPr>
        <w:t>tion provided for in subsection </w:t>
      </w:r>
      <w:r w:rsidRPr="0029191E">
        <w:rPr>
          <w:lang w:val="en-GB"/>
        </w:rPr>
        <w:t>(7), take appropriate steps</w:t>
      </w:r>
      <w:r>
        <w:rPr>
          <w:lang w:val="en-GB"/>
        </w:rPr>
        <w:t xml:space="preserve"> </w:t>
      </w:r>
      <w:r w:rsidRPr="0029191E">
        <w:rPr>
          <w:lang w:val="en-GB"/>
        </w:rPr>
        <w:t>to enforce compliance by the municipal council with this section, which may include an application to a court for a</w:t>
      </w:r>
      <w:r>
        <w:rPr>
          <w:lang w:val="en-GB"/>
        </w:rPr>
        <w:t xml:space="preserve"> </w:t>
      </w:r>
      <w:r w:rsidRPr="0029191E">
        <w:rPr>
          <w:lang w:val="en-GB"/>
        </w:rPr>
        <w:t>declaratory order on the validity of the appointment, or any other legal action against the municipal council.</w:t>
      </w:r>
      <w:r>
        <w:rPr>
          <w:lang w:val="en-GB"/>
        </w:rPr>
        <w:t>”</w:t>
      </w:r>
    </w:p>
  </w:footnote>
  <w:footnote w:id="21">
    <w:p w14:paraId="3815015F" w14:textId="54FF08BA" w:rsidR="004C482D" w:rsidRDefault="004C482D" w:rsidP="004227D9">
      <w:pPr>
        <w:pStyle w:val="FootnoteText"/>
      </w:pPr>
      <w:r>
        <w:rPr>
          <w:rStyle w:val="FootnoteReference"/>
        </w:rPr>
        <w:footnoteRef/>
      </w:r>
      <w:r>
        <w:t xml:space="preserve"> </w:t>
      </w:r>
      <w:proofErr w:type="spellStart"/>
      <w:r w:rsidRPr="00115B16">
        <w:rPr>
          <w:i/>
          <w:iCs/>
          <w:lang w:val="en-US"/>
        </w:rPr>
        <w:t>Notyawa</w:t>
      </w:r>
      <w:proofErr w:type="spellEnd"/>
      <w:r w:rsidRPr="00115B16">
        <w:rPr>
          <w:i/>
          <w:iCs/>
          <w:lang w:val="en-US"/>
        </w:rPr>
        <w:t xml:space="preserve"> v Makana Municipality </w:t>
      </w:r>
      <w:r w:rsidRPr="00115B16">
        <w:rPr>
          <w:lang w:val="en-US"/>
        </w:rPr>
        <w:t>[2019] ZACC 43;</w:t>
      </w:r>
      <w:r w:rsidRPr="009C7F54">
        <w:rPr>
          <w:lang w:val="en-US"/>
        </w:rPr>
        <w:t xml:space="preserve"> </w:t>
      </w:r>
      <w:r w:rsidRPr="00115B16">
        <w:rPr>
          <w:lang w:val="en-US"/>
        </w:rPr>
        <w:t>(2020) 41 ILJ 1069 (CC</w:t>
      </w:r>
      <w:r>
        <w:rPr>
          <w:lang w:val="en-US"/>
        </w:rPr>
        <w:t>); 2020 (2) BCLR 136 (CC)</w:t>
      </w:r>
      <w:r w:rsidRPr="00115B16">
        <w:rPr>
          <w:lang w:val="en-US"/>
        </w:rPr>
        <w:t xml:space="preserve"> </w:t>
      </w:r>
      <w:r>
        <w:rPr>
          <w:lang w:val="en-US"/>
        </w:rPr>
        <w:t>at para 31</w:t>
      </w:r>
      <w:r w:rsidRPr="00115B16">
        <w:t>.</w:t>
      </w:r>
    </w:p>
  </w:footnote>
  <w:footnote w:id="22">
    <w:p w14:paraId="0CD514A0" w14:textId="7CC9625F" w:rsidR="004C482D" w:rsidRPr="004227D9" w:rsidRDefault="004C482D" w:rsidP="002A49EA">
      <w:pPr>
        <w:pStyle w:val="FootnoteText"/>
        <w:rPr>
          <w:lang w:val="en-US"/>
        </w:rPr>
      </w:pPr>
      <w:r>
        <w:rPr>
          <w:rStyle w:val="FootnoteReference"/>
        </w:rPr>
        <w:footnoteRef/>
      </w:r>
      <w:r>
        <w:t xml:space="preserve"> Id at para 32.  See also </w:t>
      </w:r>
      <w:r w:rsidRPr="00602383">
        <w:rPr>
          <w:i/>
        </w:rPr>
        <w:t>Paulsen v Slip Kno</w:t>
      </w:r>
      <w:r>
        <w:rPr>
          <w:i/>
        </w:rPr>
        <w:t>t Investments 777 (Pty) Limited</w:t>
      </w:r>
      <w:r w:rsidRPr="00602383">
        <w:t xml:space="preserve"> [2015] ZACC 5; 2015 (3) SA 479</w:t>
      </w:r>
      <w:r>
        <w:t> </w:t>
      </w:r>
      <w:r w:rsidRPr="00602383">
        <w:t>(CC); 2015 (5) BCLR 509 (CC) at para 29</w:t>
      </w:r>
      <w:r>
        <w:t xml:space="preserve">; </w:t>
      </w:r>
      <w:proofErr w:type="spellStart"/>
      <w:r w:rsidRPr="002241CB">
        <w:rPr>
          <w:i/>
          <w:lang w:val="en-US"/>
        </w:rPr>
        <w:t>Magajane</w:t>
      </w:r>
      <w:proofErr w:type="spellEnd"/>
      <w:r w:rsidRPr="002241CB">
        <w:rPr>
          <w:i/>
          <w:lang w:val="en-US"/>
        </w:rPr>
        <w:t xml:space="preserve"> v Chairperson, North West Gambling Board</w:t>
      </w:r>
      <w:r w:rsidRPr="002241CB">
        <w:rPr>
          <w:lang w:val="en-US"/>
        </w:rPr>
        <w:t xml:space="preserve"> [2006] ZACC 8; 2006 (5) SA 250</w:t>
      </w:r>
      <w:r>
        <w:rPr>
          <w:lang w:val="en-US"/>
        </w:rPr>
        <w:t xml:space="preserve"> (CC)</w:t>
      </w:r>
      <w:r w:rsidRPr="002241CB">
        <w:rPr>
          <w:lang w:val="en-US"/>
        </w:rPr>
        <w:t>; 2</w:t>
      </w:r>
      <w:r>
        <w:rPr>
          <w:lang w:val="en-US"/>
        </w:rPr>
        <w:t xml:space="preserve">006 (10) BCLR 1133 (CC) at para </w:t>
      </w:r>
      <w:r w:rsidRPr="002241CB">
        <w:rPr>
          <w:lang w:val="en-US"/>
        </w:rPr>
        <w:t>29</w:t>
      </w:r>
      <w:r>
        <w:rPr>
          <w:lang w:val="en-US"/>
        </w:rPr>
        <w:t xml:space="preserve">; </w:t>
      </w:r>
      <w:r w:rsidRPr="002241CB">
        <w:rPr>
          <w:i/>
          <w:lang w:val="en-US"/>
        </w:rPr>
        <w:t>National Education Health and Allied Workers Union v University of Cape Town</w:t>
      </w:r>
      <w:r w:rsidRPr="002241CB">
        <w:rPr>
          <w:lang w:val="en-US"/>
        </w:rPr>
        <w:t xml:space="preserve"> [2002] ZACC 27; 2003 (3) SA 1 (CC); 2003 (2) BCLR 154 (CC) </w:t>
      </w:r>
      <w:r>
        <w:rPr>
          <w:lang w:val="en-US"/>
        </w:rPr>
        <w:t xml:space="preserve">at para 25; </w:t>
      </w:r>
      <w:r w:rsidRPr="002241CB">
        <w:rPr>
          <w:i/>
        </w:rPr>
        <w:t>S</w:t>
      </w:r>
      <w:r>
        <w:rPr>
          <w:i/>
        </w:rPr>
        <w:t> </w:t>
      </w:r>
      <w:r w:rsidRPr="002241CB">
        <w:rPr>
          <w:i/>
        </w:rPr>
        <w:t xml:space="preserve">v </w:t>
      </w:r>
      <w:proofErr w:type="spellStart"/>
      <w:r w:rsidRPr="002241CB">
        <w:rPr>
          <w:i/>
        </w:rPr>
        <w:t>Boesak</w:t>
      </w:r>
      <w:proofErr w:type="spellEnd"/>
      <w:r w:rsidRPr="002241CB">
        <w:t xml:space="preserve"> [2000] ZACC 25; 2001 (1) SA 912 (CC); 2001 (1) BCLR 36 (CC)</w:t>
      </w:r>
      <w:r>
        <w:t xml:space="preserve"> at paras 11-2; </w:t>
      </w:r>
      <w:r>
        <w:rPr>
          <w:lang w:val="en-US"/>
        </w:rPr>
        <w:t>and</w:t>
      </w:r>
      <w:r w:rsidRPr="009C7F54">
        <w:rPr>
          <w:i/>
          <w:iCs/>
        </w:rPr>
        <w:t xml:space="preserve"> </w:t>
      </w:r>
      <w:r w:rsidRPr="00C441E1">
        <w:rPr>
          <w:i/>
          <w:iCs/>
        </w:rPr>
        <w:t>Bruce</w:t>
      </w:r>
      <w:r>
        <w:rPr>
          <w:i/>
          <w:iCs/>
        </w:rPr>
        <w:t> </w:t>
      </w:r>
      <w:r w:rsidRPr="00C441E1">
        <w:rPr>
          <w:i/>
          <w:iCs/>
        </w:rPr>
        <w:t xml:space="preserve">v </w:t>
      </w:r>
      <w:proofErr w:type="spellStart"/>
      <w:r w:rsidRPr="00C441E1">
        <w:rPr>
          <w:i/>
          <w:iCs/>
        </w:rPr>
        <w:t>Fleecytex</w:t>
      </w:r>
      <w:proofErr w:type="spellEnd"/>
      <w:r w:rsidRPr="00C441E1">
        <w:rPr>
          <w:i/>
          <w:iCs/>
        </w:rPr>
        <w:t xml:space="preserve"> Johannesburg CC</w:t>
      </w:r>
      <w:r w:rsidRPr="00AE6D62">
        <w:t xml:space="preserve"> [1998] ZACC 3; 1998 (2) SA 1143</w:t>
      </w:r>
      <w:r>
        <w:t xml:space="preserve"> (CC)</w:t>
      </w:r>
      <w:r w:rsidRPr="00AE6D62">
        <w:t xml:space="preserve">; 1998 (4) BCLR 415 </w:t>
      </w:r>
      <w:r>
        <w:t>(CC) at para 6.</w:t>
      </w:r>
    </w:p>
  </w:footnote>
  <w:footnote w:id="23">
    <w:p w14:paraId="36DE8458" w14:textId="4920CBED" w:rsidR="004C482D" w:rsidRDefault="004C482D">
      <w:pPr>
        <w:pStyle w:val="FootnoteText"/>
      </w:pPr>
      <w:r>
        <w:rPr>
          <w:rStyle w:val="FootnoteReference"/>
        </w:rPr>
        <w:footnoteRef/>
      </w:r>
      <w:r>
        <w:t xml:space="preserve"> </w:t>
      </w:r>
      <w:r w:rsidRPr="004D7565">
        <w:rPr>
          <w:i/>
        </w:rPr>
        <w:t xml:space="preserve">Director-General Department of Home Affairs v </w:t>
      </w:r>
      <w:proofErr w:type="spellStart"/>
      <w:r w:rsidRPr="004D7565">
        <w:rPr>
          <w:i/>
        </w:rPr>
        <w:t>Mukhamadiva</w:t>
      </w:r>
      <w:proofErr w:type="spellEnd"/>
      <w:r w:rsidRPr="004D7565">
        <w:t xml:space="preserve"> [2013] ZAC</w:t>
      </w:r>
      <w:r>
        <w:t xml:space="preserve">C 47; </w:t>
      </w:r>
      <w:r w:rsidRPr="0025070D">
        <w:t>2013 JDR 2860 (CC)</w:t>
      </w:r>
      <w:r>
        <w:t xml:space="preserve">; 2014 </w:t>
      </w:r>
      <w:r w:rsidR="006D3531">
        <w:t> </w:t>
      </w:r>
      <w:r>
        <w:t>(3) BCLR 306 (CC)</w:t>
      </w:r>
      <w:r w:rsidRPr="004D7565">
        <w:t xml:space="preserve"> </w:t>
      </w:r>
      <w:r>
        <w:t>at para 35</w:t>
      </w:r>
      <w:r w:rsidRPr="004D7565">
        <w:t xml:space="preserve">.  See also </w:t>
      </w:r>
      <w:r w:rsidRPr="004D7565">
        <w:rPr>
          <w:i/>
        </w:rPr>
        <w:t>President of the Ordinary Court Martial</w:t>
      </w:r>
      <w:r w:rsidRPr="004D7565">
        <w:t xml:space="preserve"> </w:t>
      </w:r>
      <w:r w:rsidRPr="004D7565">
        <w:rPr>
          <w:i/>
        </w:rPr>
        <w:t>v The Freedom of Expression Institute</w:t>
      </w:r>
      <w:r w:rsidRPr="004D7565">
        <w:t xml:space="preserve"> [1999] ZACC 10; 1999 (4) SA 682 (CC); 1999 (11) BCLR 1219 (CC</w:t>
      </w:r>
      <w:r>
        <w:t>)</w:t>
      </w:r>
      <w:r w:rsidRPr="004D7565">
        <w:t xml:space="preserve"> at para</w:t>
      </w:r>
      <w:r>
        <w:t>s</w:t>
      </w:r>
      <w:r w:rsidRPr="004D7565">
        <w:t xml:space="preserve"> 13-4</w:t>
      </w:r>
      <w:r>
        <w:t xml:space="preserve"> </w:t>
      </w:r>
      <w:r w:rsidRPr="004D7565">
        <w:t xml:space="preserve">and </w:t>
      </w:r>
      <w:r w:rsidRPr="004D7565">
        <w:rPr>
          <w:i/>
        </w:rPr>
        <w:t>Simon N</w:t>
      </w:r>
      <w:r>
        <w:rPr>
          <w:i/>
        </w:rPr>
        <w:t>.</w:t>
      </w:r>
      <w:r w:rsidRPr="004D7565">
        <w:rPr>
          <w:i/>
        </w:rPr>
        <w:t>O</w:t>
      </w:r>
      <w:r>
        <w:rPr>
          <w:i/>
        </w:rPr>
        <w:t>.</w:t>
      </w:r>
      <w:r w:rsidRPr="004D7565">
        <w:rPr>
          <w:i/>
        </w:rPr>
        <w:t xml:space="preserve"> v Air Operations of Europe AB</w:t>
      </w:r>
      <w:r w:rsidRPr="004D7565">
        <w:t xml:space="preserve"> [1998] ZASCA 79; 1999 (1) SA 217 (SCA) at</w:t>
      </w:r>
      <w:r>
        <w:t xml:space="preserve"> para</w:t>
      </w:r>
      <w:r w:rsidRPr="004D7565">
        <w:t xml:space="preserve"> 226.</w:t>
      </w:r>
    </w:p>
  </w:footnote>
  <w:footnote w:id="24">
    <w:p w14:paraId="718DE8EF" w14:textId="5AFA3371" w:rsidR="004C482D" w:rsidRDefault="004C482D">
      <w:pPr>
        <w:pStyle w:val="FootnoteText"/>
      </w:pPr>
      <w:r>
        <w:rPr>
          <w:rStyle w:val="FootnoteReference"/>
        </w:rPr>
        <w:footnoteRef/>
      </w:r>
      <w:r>
        <w:t xml:space="preserve"> </w:t>
      </w:r>
      <w:r w:rsidRPr="00C91D35">
        <w:rPr>
          <w:i/>
        </w:rPr>
        <w:t>National Coalition for Gay and Lesbian Equality v Minister of Home Affairs</w:t>
      </w:r>
      <w:r w:rsidRPr="00C91D35">
        <w:t xml:space="preserve"> [1999] ZACC 17; 2000 (2) SA 1</w:t>
      </w:r>
      <w:r>
        <w:t xml:space="preserve"> (CC)</w:t>
      </w:r>
      <w:r w:rsidRPr="00C91D35">
        <w:t>; 2000 (1) BCLR 39</w:t>
      </w:r>
      <w:r>
        <w:t xml:space="preserve"> (CC) at </w:t>
      </w:r>
      <w:proofErr w:type="spellStart"/>
      <w:r>
        <w:t>fn</w:t>
      </w:r>
      <w:proofErr w:type="spellEnd"/>
      <w:r>
        <w:t xml:space="preserve"> 18.</w:t>
      </w:r>
    </w:p>
  </w:footnote>
  <w:footnote w:id="25">
    <w:p w14:paraId="794397FF" w14:textId="6A44F417" w:rsidR="004C482D" w:rsidRDefault="004C482D">
      <w:pPr>
        <w:pStyle w:val="FootnoteText"/>
      </w:pPr>
      <w:r>
        <w:rPr>
          <w:rStyle w:val="FootnoteReference"/>
        </w:rPr>
        <w:footnoteRef/>
      </w:r>
      <w:r>
        <w:t xml:space="preserve"> </w:t>
      </w:r>
      <w:r w:rsidRPr="0013627B">
        <w:rPr>
          <w:i/>
        </w:rPr>
        <w:t>POPCRU v SACOSWU</w:t>
      </w:r>
      <w:r w:rsidRPr="0013627B">
        <w:t xml:space="preserve"> [2018] ZACC 24; 2019 (1) SA 73 (CC); 2018 (11) BCLR 1411 (CC) at para 44.  See further </w:t>
      </w:r>
      <w:proofErr w:type="spellStart"/>
      <w:r w:rsidRPr="0013627B">
        <w:rPr>
          <w:i/>
        </w:rPr>
        <w:t>Ruta</w:t>
      </w:r>
      <w:proofErr w:type="spellEnd"/>
      <w:r w:rsidRPr="0013627B">
        <w:rPr>
          <w:i/>
        </w:rPr>
        <w:t xml:space="preserve"> v Minister of Home Affairs</w:t>
      </w:r>
      <w:r w:rsidRPr="0013627B">
        <w:t xml:space="preserve"> [2018] ZACC 52; 2019 (2) SA 329 (CC); 2019 (3) BCLR 383 (CC) at para 8; </w:t>
      </w:r>
      <w:proofErr w:type="spellStart"/>
      <w:r w:rsidRPr="0013627B">
        <w:rPr>
          <w:i/>
        </w:rPr>
        <w:t>Sebola</w:t>
      </w:r>
      <w:proofErr w:type="spellEnd"/>
      <w:r w:rsidRPr="0013627B">
        <w:rPr>
          <w:i/>
        </w:rPr>
        <w:t xml:space="preserve"> v Standard Bank of South Africa Ltd</w:t>
      </w:r>
      <w:r w:rsidRPr="0013627B">
        <w:t xml:space="preserve"> [2012] ZACC 11; 2012 (5) SA 142 (CC); 2012 (8) BCLR 785 (CC) at para 32; </w:t>
      </w:r>
      <w:r w:rsidRPr="0013627B">
        <w:rPr>
          <w:i/>
        </w:rPr>
        <w:t xml:space="preserve">Van </w:t>
      </w:r>
      <w:proofErr w:type="spellStart"/>
      <w:r w:rsidRPr="0013627B">
        <w:rPr>
          <w:i/>
        </w:rPr>
        <w:t>Wyk</w:t>
      </w:r>
      <w:proofErr w:type="spellEnd"/>
      <w:r w:rsidRPr="0013627B">
        <w:rPr>
          <w:i/>
        </w:rPr>
        <w:t xml:space="preserve"> v </w:t>
      </w:r>
      <w:proofErr w:type="spellStart"/>
      <w:r w:rsidRPr="0013627B">
        <w:rPr>
          <w:i/>
        </w:rPr>
        <w:t>Unitas</w:t>
      </w:r>
      <w:proofErr w:type="spellEnd"/>
      <w:r w:rsidRPr="0013627B">
        <w:rPr>
          <w:i/>
        </w:rPr>
        <w:t xml:space="preserve"> Hospital (Open Democratic Advice Centre as Amicus Curiae)</w:t>
      </w:r>
      <w:r w:rsidRPr="0013627B">
        <w:t xml:space="preserve"> [2007] ZACC </w:t>
      </w:r>
      <w:r w:rsidR="00CE7DB5">
        <w:t> </w:t>
      </w:r>
      <w:r w:rsidRPr="0013627B">
        <w:t xml:space="preserve">24; 2008 (2) SA 472 (CC); 2008 (4) BCLR 442 (CC) at para 29 and </w:t>
      </w:r>
      <w:r w:rsidRPr="0013627B">
        <w:rPr>
          <w:i/>
        </w:rPr>
        <w:t xml:space="preserve">Independent Electoral Commission v </w:t>
      </w:r>
      <w:proofErr w:type="spellStart"/>
      <w:r w:rsidRPr="0013627B">
        <w:rPr>
          <w:i/>
        </w:rPr>
        <w:t>Langeberg</w:t>
      </w:r>
      <w:proofErr w:type="spellEnd"/>
      <w:r w:rsidRPr="0013627B">
        <w:rPr>
          <w:i/>
        </w:rPr>
        <w:t xml:space="preserve"> Municipality</w:t>
      </w:r>
      <w:r w:rsidRPr="0013627B">
        <w:t xml:space="preserve"> [2001] ZACC 23; 2001 (3) SA 925 (CC); 2001 (9) BCLR 883 (CC)</w:t>
      </w:r>
      <w:r>
        <w:t xml:space="preserve"> (</w:t>
      </w:r>
      <w:proofErr w:type="spellStart"/>
      <w:r w:rsidRPr="0025070D">
        <w:rPr>
          <w:i/>
        </w:rPr>
        <w:t>Langeberg</w:t>
      </w:r>
      <w:proofErr w:type="spellEnd"/>
      <w:r>
        <w:t>)</w:t>
      </w:r>
      <w:r w:rsidRPr="0013627B">
        <w:t xml:space="preserve"> </w:t>
      </w:r>
      <w:r>
        <w:t>at para </w:t>
      </w:r>
      <w:r w:rsidRPr="0013627B">
        <w:t>9.</w:t>
      </w:r>
    </w:p>
  </w:footnote>
  <w:footnote w:id="26">
    <w:p w14:paraId="5AED414A" w14:textId="5633B1AF" w:rsidR="004C482D" w:rsidRDefault="004C482D">
      <w:pPr>
        <w:pStyle w:val="FootnoteText"/>
      </w:pPr>
      <w:r>
        <w:rPr>
          <w:rStyle w:val="FootnoteReference"/>
        </w:rPr>
        <w:footnoteRef/>
      </w:r>
      <w:r>
        <w:t xml:space="preserve"> </w:t>
      </w:r>
      <w:r w:rsidRPr="0013627B">
        <w:rPr>
          <w:i/>
        </w:rPr>
        <w:t>AAA Investments (Pty) Ltd v Micro Finance Regulatory Council</w:t>
      </w:r>
      <w:r w:rsidRPr="0013627B">
        <w:t xml:space="preserve"> [2006] ZACC 9; 2007 (1) SA 343 (CC); 2006</w:t>
      </w:r>
      <w:r w:rsidR="004F2461">
        <w:t> </w:t>
      </w:r>
      <w:r>
        <w:t>(11) BCLR 1255 (CC) (</w:t>
      </w:r>
      <w:r w:rsidRPr="0025070D">
        <w:rPr>
          <w:i/>
        </w:rPr>
        <w:t>AAA Investments</w:t>
      </w:r>
      <w:r>
        <w:t>) at para 27.</w:t>
      </w:r>
    </w:p>
  </w:footnote>
  <w:footnote w:id="27">
    <w:p w14:paraId="56C778A5" w14:textId="0C5875D3" w:rsidR="004C482D" w:rsidRDefault="004C482D">
      <w:pPr>
        <w:pStyle w:val="FootnoteText"/>
      </w:pPr>
      <w:r>
        <w:rPr>
          <w:rStyle w:val="FootnoteReference"/>
        </w:rPr>
        <w:footnoteRef/>
      </w:r>
      <w:r>
        <w:t xml:space="preserve"> </w:t>
      </w:r>
      <w:r w:rsidRPr="0013627B">
        <w:t xml:space="preserve">These factors and others are listed in </w:t>
      </w:r>
      <w:r w:rsidRPr="0013627B">
        <w:rPr>
          <w:i/>
        </w:rPr>
        <w:t>MEC for Education, KwaZulu-Natal v Pillay</w:t>
      </w:r>
      <w:r w:rsidRPr="0013627B">
        <w:t xml:space="preserve"> [2007] ZACC 21; 2008 (1) SA 474 (CC); 2008 (2) BCLR 99 (CC) at para 32, which cites the cases of </w:t>
      </w:r>
      <w:r w:rsidRPr="0013627B">
        <w:rPr>
          <w:i/>
        </w:rPr>
        <w:t>AAA Investments</w:t>
      </w:r>
      <w:r>
        <w:t xml:space="preserve"> id</w:t>
      </w:r>
      <w:r w:rsidRPr="0013627B">
        <w:t xml:space="preserve"> at para</w:t>
      </w:r>
      <w:r>
        <w:t> </w:t>
      </w:r>
      <w:r w:rsidRPr="0013627B">
        <w:t xml:space="preserve">27 and </w:t>
      </w:r>
      <w:proofErr w:type="spellStart"/>
      <w:r w:rsidRPr="0013627B">
        <w:rPr>
          <w:i/>
        </w:rPr>
        <w:t>Langeberg</w:t>
      </w:r>
      <w:proofErr w:type="spellEnd"/>
      <w:r w:rsidRPr="0013627B">
        <w:rPr>
          <w:i/>
        </w:rPr>
        <w:t xml:space="preserve"> </w:t>
      </w:r>
      <w:r w:rsidRPr="0013627B">
        <w:t xml:space="preserve">above n </w:t>
      </w:r>
      <w:r>
        <w:fldChar w:fldCharType="begin"/>
      </w:r>
      <w:r>
        <w:instrText xml:space="preserve"> NOTEREF _Ref86407075 \h </w:instrText>
      </w:r>
      <w:r>
        <w:fldChar w:fldCharType="separate"/>
      </w:r>
      <w:r w:rsidR="00053A1E">
        <w:t>25</w:t>
      </w:r>
      <w:r>
        <w:fldChar w:fldCharType="end"/>
      </w:r>
      <w:r w:rsidRPr="0013627B">
        <w:t xml:space="preserve"> at para 11.</w:t>
      </w:r>
    </w:p>
  </w:footnote>
  <w:footnote w:id="28">
    <w:p w14:paraId="7AC483B1" w14:textId="6B4A4519" w:rsidR="004C482D" w:rsidRDefault="004C482D">
      <w:pPr>
        <w:pStyle w:val="FootnoteText"/>
      </w:pPr>
      <w:r>
        <w:rPr>
          <w:rStyle w:val="FootnoteReference"/>
        </w:rPr>
        <w:footnoteRef/>
      </w:r>
      <w:r>
        <w:t xml:space="preserve"> </w:t>
      </w:r>
      <w:r w:rsidRPr="003C3FE7">
        <w:rPr>
          <w:i/>
          <w:iCs/>
        </w:rPr>
        <w:t>South African Municipal Workers’ Union v Minister of Co-operative Governance &amp; Traditional Affairs</w:t>
      </w:r>
      <w:r w:rsidRPr="0025070D">
        <w:t xml:space="preserve"> </w:t>
      </w:r>
      <w:r w:rsidRPr="0025070D">
        <w:rPr>
          <w:iCs/>
        </w:rPr>
        <w:t>[2017] ZACC 7</w:t>
      </w:r>
      <w:r>
        <w:rPr>
          <w:iCs/>
        </w:rPr>
        <w:t xml:space="preserve">; </w:t>
      </w:r>
      <w:r w:rsidRPr="0025070D">
        <w:rPr>
          <w:iCs/>
        </w:rPr>
        <w:t>2017 JDR 0459 (CC)</w:t>
      </w:r>
      <w:r>
        <w:rPr>
          <w:iCs/>
        </w:rPr>
        <w:t>;</w:t>
      </w:r>
      <w:r>
        <w:rPr>
          <w:i/>
          <w:iCs/>
        </w:rPr>
        <w:t xml:space="preserve"> </w:t>
      </w:r>
      <w:r>
        <w:t>2017 (5) BCLR 641 (CC) (</w:t>
      </w:r>
      <w:r w:rsidRPr="0025070D">
        <w:rPr>
          <w:i/>
        </w:rPr>
        <w:t>SAMWU</w:t>
      </w:r>
      <w:r>
        <w:t>) at para 91.</w:t>
      </w:r>
    </w:p>
  </w:footnote>
  <w:footnote w:id="29">
    <w:p w14:paraId="0A985F0A" w14:textId="7014ED12" w:rsidR="004C482D" w:rsidRPr="00F57A2A" w:rsidRDefault="004C482D" w:rsidP="00F57A2A">
      <w:pPr>
        <w:pStyle w:val="QUOTEINFOOTNOTE"/>
        <w:ind w:hanging="720"/>
      </w:pPr>
      <w:r>
        <w:rPr>
          <w:rStyle w:val="FootnoteReference"/>
        </w:rPr>
        <w:footnoteRef/>
      </w:r>
      <w:r>
        <w:t xml:space="preserve"> </w:t>
      </w:r>
      <w:r w:rsidRPr="00F57A2A">
        <w:t>Section 172 of the Constitution</w:t>
      </w:r>
      <w:r>
        <w:t>,</w:t>
      </w:r>
      <w:r w:rsidRPr="00F57A2A">
        <w:t xml:space="preserve"> in relevant part</w:t>
      </w:r>
      <w:r>
        <w:t>,</w:t>
      </w:r>
      <w:r w:rsidRPr="00F57A2A">
        <w:t xml:space="preserve"> provides:</w:t>
      </w:r>
    </w:p>
    <w:p w14:paraId="1282BDE7" w14:textId="795DC45C" w:rsidR="004C482D" w:rsidRPr="00F57A2A" w:rsidRDefault="004C482D" w:rsidP="007474E1">
      <w:pPr>
        <w:pStyle w:val="QUOTEINFOOTNOTE"/>
        <w:ind w:left="1440" w:hanging="720"/>
      </w:pPr>
      <w:r>
        <w:t>“(1)</w:t>
      </w:r>
      <w:r>
        <w:tab/>
      </w:r>
      <w:r w:rsidRPr="00F57A2A">
        <w:t>When deciding a constitutional matter within its power, a court—</w:t>
      </w:r>
    </w:p>
    <w:p w14:paraId="3CBC1465" w14:textId="77777777" w:rsidR="004C482D" w:rsidRPr="00F57A2A" w:rsidRDefault="004C482D" w:rsidP="007474E1">
      <w:pPr>
        <w:pStyle w:val="QUOTEINFOOTNOTE"/>
        <w:ind w:firstLine="720"/>
      </w:pPr>
      <w:r w:rsidRPr="00F57A2A">
        <w:t>. . .</w:t>
      </w:r>
    </w:p>
    <w:p w14:paraId="1667397D" w14:textId="125B5C84" w:rsidR="004C482D" w:rsidRPr="00F57A2A" w:rsidRDefault="004C482D" w:rsidP="007474E1">
      <w:pPr>
        <w:pStyle w:val="QUOTEINFOOTNOTE"/>
        <w:ind w:firstLine="720"/>
      </w:pPr>
      <w:r>
        <w:t>(b)</w:t>
      </w:r>
      <w:r>
        <w:tab/>
      </w:r>
      <w:r w:rsidRPr="00F57A2A">
        <w:t xml:space="preserve">may make any </w:t>
      </w:r>
      <w:r w:rsidRPr="00BA65DA">
        <w:t>order</w:t>
      </w:r>
      <w:r w:rsidRPr="00F57A2A">
        <w:t xml:space="preserve"> that is just and equitable, including—</w:t>
      </w:r>
    </w:p>
    <w:p w14:paraId="11153F3D" w14:textId="6136F22F" w:rsidR="004C482D" w:rsidRPr="00F57A2A" w:rsidRDefault="004C482D" w:rsidP="007474E1">
      <w:pPr>
        <w:pStyle w:val="QUOTEINFOOTNOTE"/>
        <w:ind w:left="2880" w:hanging="720"/>
      </w:pPr>
      <w:r>
        <w:t>(</w:t>
      </w:r>
      <w:proofErr w:type="spellStart"/>
      <w:r>
        <w:t>i</w:t>
      </w:r>
      <w:proofErr w:type="spellEnd"/>
      <w:r>
        <w:t>)</w:t>
      </w:r>
      <w:r>
        <w:tab/>
      </w:r>
      <w:r w:rsidRPr="00F57A2A">
        <w:t>an order limiting the retrospective effect of the declaration of invalidity; and</w:t>
      </w:r>
    </w:p>
    <w:p w14:paraId="50552E60" w14:textId="14A2BABF" w:rsidR="004C482D" w:rsidRPr="00F57A2A" w:rsidRDefault="004C482D" w:rsidP="007474E1">
      <w:pPr>
        <w:pStyle w:val="QUOTEINFOOTNOTE"/>
        <w:ind w:left="2880" w:hanging="720"/>
        <w:rPr>
          <w:lang w:val="en-US"/>
        </w:rPr>
      </w:pPr>
      <w:r>
        <w:t>(ii)</w:t>
      </w:r>
      <w:r>
        <w:tab/>
      </w:r>
      <w:r w:rsidRPr="00F57A2A">
        <w:t>an order suspending the declaration of invalidity for any period and on any conditions, to allow the competent authority to correct the defect.”</w:t>
      </w:r>
    </w:p>
  </w:footnote>
  <w:footnote w:id="30">
    <w:p w14:paraId="20641231" w14:textId="5B9F0E77" w:rsidR="004C482D" w:rsidRDefault="004C482D">
      <w:pPr>
        <w:pStyle w:val="FootnoteText"/>
      </w:pPr>
      <w:r>
        <w:rPr>
          <w:rStyle w:val="FootnoteReference"/>
        </w:rPr>
        <w:footnoteRef/>
      </w:r>
      <w:r>
        <w:t xml:space="preserve"> </w:t>
      </w:r>
      <w:proofErr w:type="spellStart"/>
      <w:r w:rsidR="00EF51D9" w:rsidRPr="000C3DE3">
        <w:rPr>
          <w:i/>
        </w:rPr>
        <w:t>Notyawa</w:t>
      </w:r>
      <w:proofErr w:type="spellEnd"/>
      <w:r w:rsidR="00EF51D9" w:rsidRPr="000C3DE3">
        <w:rPr>
          <w:i/>
        </w:rPr>
        <w:t xml:space="preserve"> </w:t>
      </w:r>
      <w:r w:rsidR="00EF51D9">
        <w:t xml:space="preserve">above n </w:t>
      </w:r>
      <w:r w:rsidR="00EF51D9">
        <w:fldChar w:fldCharType="begin"/>
      </w:r>
      <w:r w:rsidR="00EF51D9">
        <w:instrText xml:space="preserve"> NOTEREF _Ref86407589 \h </w:instrText>
      </w:r>
      <w:r w:rsidR="00EF51D9">
        <w:fldChar w:fldCharType="separate"/>
      </w:r>
      <w:r w:rsidR="00053A1E">
        <w:t>21</w:t>
      </w:r>
      <w:r w:rsidR="00EF51D9">
        <w:fldChar w:fldCharType="end"/>
      </w:r>
      <w:r w:rsidR="00EF51D9">
        <w:t xml:space="preserve"> </w:t>
      </w:r>
      <w:r>
        <w:t>at para 11.</w:t>
      </w:r>
    </w:p>
  </w:footnote>
  <w:footnote w:id="31">
    <w:p w14:paraId="22AAFAEB" w14:textId="3638D0B4" w:rsidR="004C482D" w:rsidRDefault="004C482D">
      <w:pPr>
        <w:pStyle w:val="FootnoteText"/>
      </w:pPr>
      <w:r>
        <w:rPr>
          <w:rStyle w:val="FootnoteReference"/>
        </w:rPr>
        <w:footnoteRef/>
      </w:r>
      <w:r>
        <w:t xml:space="preserve"> </w:t>
      </w:r>
      <w:r>
        <w:rPr>
          <w:i/>
        </w:rPr>
        <w:t>Khumalo v MEC</w:t>
      </w:r>
      <w:r w:rsidRPr="00954B6A">
        <w:rPr>
          <w:i/>
        </w:rPr>
        <w:t xml:space="preserve"> for Education: KwaZulu-Natal</w:t>
      </w:r>
      <w:r w:rsidRPr="00954B6A">
        <w:t xml:space="preserve"> [2013] Z</w:t>
      </w:r>
      <w:r>
        <w:t xml:space="preserve">ACC 49; </w:t>
      </w:r>
      <w:r w:rsidRPr="00954B6A">
        <w:t>2014 (5) SA 579 (CC)</w:t>
      </w:r>
      <w:r>
        <w:t>; 2014 (3) BCLR 333 (CC).</w:t>
      </w:r>
    </w:p>
  </w:footnote>
  <w:footnote w:id="32">
    <w:p w14:paraId="405B2AB6" w14:textId="667C70B9" w:rsidR="004C482D" w:rsidRDefault="004C482D">
      <w:pPr>
        <w:pStyle w:val="FootnoteText"/>
      </w:pPr>
      <w:r>
        <w:rPr>
          <w:rStyle w:val="FootnoteReference"/>
        </w:rPr>
        <w:footnoteRef/>
      </w:r>
      <w:r>
        <w:t xml:space="preserve"> Id at paras 46-7.</w:t>
      </w:r>
    </w:p>
  </w:footnote>
  <w:footnote w:id="33">
    <w:p w14:paraId="3D133972" w14:textId="7275895B" w:rsidR="004C482D" w:rsidRPr="000C3DE3" w:rsidRDefault="004C482D" w:rsidP="00301434">
      <w:pPr>
        <w:pStyle w:val="FootnoteText"/>
      </w:pPr>
      <w:r>
        <w:rPr>
          <w:rStyle w:val="FootnoteReference"/>
        </w:rPr>
        <w:footnoteRef/>
      </w:r>
      <w:r>
        <w:t xml:space="preserve"> Id at para 53.</w:t>
      </w:r>
    </w:p>
  </w:footnote>
  <w:footnote w:id="34">
    <w:p w14:paraId="5763B0CA" w14:textId="55AE6F72" w:rsidR="00EF51D9" w:rsidRDefault="00EF51D9">
      <w:pPr>
        <w:pStyle w:val="FootnoteText"/>
      </w:pPr>
      <w:r>
        <w:rPr>
          <w:rStyle w:val="FootnoteReference"/>
        </w:rPr>
        <w:footnoteRef/>
      </w:r>
      <w:r>
        <w:t xml:space="preserve"> </w:t>
      </w:r>
      <w:proofErr w:type="spellStart"/>
      <w:r w:rsidRPr="000C3DE3">
        <w:rPr>
          <w:i/>
        </w:rPr>
        <w:t>Notyawa</w:t>
      </w:r>
      <w:proofErr w:type="spellEnd"/>
      <w:r w:rsidRPr="000C3DE3">
        <w:rPr>
          <w:i/>
        </w:rPr>
        <w:t xml:space="preserve"> </w:t>
      </w:r>
      <w:r>
        <w:t xml:space="preserve">above n </w:t>
      </w:r>
      <w:r>
        <w:fldChar w:fldCharType="begin"/>
      </w:r>
      <w:r>
        <w:instrText xml:space="preserve"> NOTEREF _Ref86407589 \h </w:instrText>
      </w:r>
      <w:r>
        <w:fldChar w:fldCharType="separate"/>
      </w:r>
      <w:r w:rsidR="00053A1E">
        <w:t>21</w:t>
      </w:r>
      <w:r>
        <w:fldChar w:fldCharType="end"/>
      </w:r>
      <w:r>
        <w:t xml:space="preserve"> at para 53.</w:t>
      </w:r>
    </w:p>
  </w:footnote>
  <w:footnote w:id="35">
    <w:p w14:paraId="1699FBBB" w14:textId="48F05FE7" w:rsidR="004C482D" w:rsidRDefault="004C482D">
      <w:pPr>
        <w:pStyle w:val="FootnoteText"/>
      </w:pPr>
      <w:r>
        <w:rPr>
          <w:rStyle w:val="FootnoteReference"/>
        </w:rPr>
        <w:footnoteRef/>
      </w:r>
      <w:r>
        <w:t xml:space="preserve"> Supreme Court of Appeal judgment above n </w:t>
      </w:r>
      <w:r>
        <w:fldChar w:fldCharType="begin"/>
      </w:r>
      <w:r>
        <w:instrText xml:space="preserve"> NOTEREF _Ref86922205 \h </w:instrText>
      </w:r>
      <w:r>
        <w:fldChar w:fldCharType="separate"/>
      </w:r>
      <w:r w:rsidR="00053A1E">
        <w:t>10</w:t>
      </w:r>
      <w:r>
        <w:fldChar w:fldCharType="end"/>
      </w:r>
      <w:r>
        <w:t xml:space="preserve"> at para 54.</w:t>
      </w:r>
    </w:p>
  </w:footnote>
  <w:footnote w:id="36">
    <w:p w14:paraId="6F6FA59B" w14:textId="5600A93E" w:rsidR="006F2B89" w:rsidRPr="00352958" w:rsidRDefault="006F2B89" w:rsidP="006F2B89">
      <w:pPr>
        <w:pStyle w:val="FootnoteText"/>
        <w:rPr>
          <w:lang w:val="en-US"/>
        </w:rPr>
      </w:pPr>
      <w:r>
        <w:rPr>
          <w:rStyle w:val="FootnoteReference"/>
        </w:rPr>
        <w:footnoteRef/>
      </w:r>
      <w:r>
        <w:t xml:space="preserve"> </w:t>
      </w:r>
      <w:r>
        <w:rPr>
          <w:lang w:val="en-US"/>
        </w:rPr>
        <w:t xml:space="preserve">See the first judgment at </w:t>
      </w:r>
      <w:r w:rsidR="00D95876">
        <w:rPr>
          <w:lang w:val="en-US"/>
        </w:rPr>
        <w:fldChar w:fldCharType="begin"/>
      </w:r>
      <w:r w:rsidR="00D95876">
        <w:rPr>
          <w:lang w:val="en-US"/>
        </w:rPr>
        <w:instrText xml:space="preserve"> REF _Ref88819066 \r \h </w:instrText>
      </w:r>
      <w:r w:rsidR="00D95876">
        <w:rPr>
          <w:lang w:val="en-US"/>
        </w:rPr>
      </w:r>
      <w:r w:rsidR="00D95876">
        <w:rPr>
          <w:lang w:val="en-US"/>
        </w:rPr>
        <w:fldChar w:fldCharType="separate"/>
      </w:r>
      <w:r w:rsidR="00053A1E">
        <w:rPr>
          <w:lang w:val="en-US"/>
        </w:rPr>
        <w:t>[21]</w:t>
      </w:r>
      <w:r w:rsidR="00D95876">
        <w:rPr>
          <w:lang w:val="en-US"/>
        </w:rPr>
        <w:fldChar w:fldCharType="end"/>
      </w:r>
      <w:r w:rsidR="00D95876">
        <w:rPr>
          <w:lang w:val="en-US"/>
        </w:rPr>
        <w:t xml:space="preserve"> </w:t>
      </w:r>
      <w:r>
        <w:rPr>
          <w:lang w:val="en-US"/>
        </w:rPr>
        <w:t xml:space="preserve">and </w:t>
      </w:r>
      <w:r w:rsidR="00D95876">
        <w:rPr>
          <w:lang w:val="en-US"/>
        </w:rPr>
        <w:fldChar w:fldCharType="begin"/>
      </w:r>
      <w:r w:rsidR="00D95876">
        <w:rPr>
          <w:lang w:val="en-US"/>
        </w:rPr>
        <w:instrText xml:space="preserve"> REF _Ref88819087 \r \h </w:instrText>
      </w:r>
      <w:r w:rsidR="00D95876">
        <w:rPr>
          <w:lang w:val="en-US"/>
        </w:rPr>
      </w:r>
      <w:r w:rsidR="00D95876">
        <w:rPr>
          <w:lang w:val="en-US"/>
        </w:rPr>
        <w:fldChar w:fldCharType="separate"/>
      </w:r>
      <w:r w:rsidR="00053A1E">
        <w:rPr>
          <w:lang w:val="en-US"/>
        </w:rPr>
        <w:t>[22]</w:t>
      </w:r>
      <w:r w:rsidR="00D95876">
        <w:rPr>
          <w:lang w:val="en-US"/>
        </w:rPr>
        <w:fldChar w:fldCharType="end"/>
      </w:r>
      <w:r>
        <w:rPr>
          <w:lang w:val="en-US"/>
        </w:rPr>
        <w:t>.</w:t>
      </w:r>
    </w:p>
  </w:footnote>
  <w:footnote w:id="37">
    <w:p w14:paraId="29312777" w14:textId="54ADD321" w:rsidR="006F2B89" w:rsidRPr="00121759" w:rsidRDefault="006F2B89" w:rsidP="006F2B89">
      <w:pPr>
        <w:pStyle w:val="FootnoteText1"/>
      </w:pPr>
      <w:r>
        <w:rPr>
          <w:rStyle w:val="FootnoteReference"/>
        </w:rPr>
        <w:footnoteRef/>
      </w:r>
      <w:r>
        <w:t xml:space="preserve"> </w:t>
      </w:r>
      <w:r w:rsidRPr="00121759">
        <w:t xml:space="preserve">This Court’s jurisprudence regarding mootness is well settled.  In </w:t>
      </w:r>
      <w:r w:rsidRPr="0097626F">
        <w:rPr>
          <w:i/>
          <w:iCs/>
        </w:rPr>
        <w:t xml:space="preserve">POPCRU </w:t>
      </w:r>
      <w:r w:rsidR="0097626F" w:rsidRPr="0097626F">
        <w:t>above n</w:t>
      </w:r>
      <w:r w:rsidR="0097626F" w:rsidRPr="0097626F">
        <w:rPr>
          <w:i/>
          <w:iCs/>
        </w:rPr>
        <w:t xml:space="preserve"> </w:t>
      </w:r>
      <w:r w:rsidR="0097626F" w:rsidRPr="0097626F">
        <w:fldChar w:fldCharType="begin"/>
      </w:r>
      <w:r w:rsidR="0097626F" w:rsidRPr="0097626F">
        <w:instrText xml:space="preserve"> NOTEREF _Ref86407075 \h  \* MERGEFORMAT </w:instrText>
      </w:r>
      <w:r w:rsidR="0097626F" w:rsidRPr="0097626F">
        <w:fldChar w:fldCharType="separate"/>
      </w:r>
      <w:r w:rsidR="00053A1E">
        <w:t>25</w:t>
      </w:r>
      <w:r w:rsidR="0097626F" w:rsidRPr="0097626F">
        <w:fldChar w:fldCharType="end"/>
      </w:r>
      <w:r w:rsidRPr="0097626F">
        <w:t xml:space="preserve"> </w:t>
      </w:r>
      <w:r>
        <w:rPr>
          <w:lang w:val="en-US"/>
        </w:rPr>
        <w:t>at para 43</w:t>
      </w:r>
      <w:r w:rsidRPr="00121759">
        <w:t>, this Court said:</w:t>
      </w:r>
    </w:p>
    <w:p w14:paraId="5DC3D952" w14:textId="77777777" w:rsidR="006F2B89" w:rsidRPr="00BA0035" w:rsidRDefault="006F2B89" w:rsidP="006F2B89">
      <w:pPr>
        <w:pStyle w:val="QUOTEINFOOTNOTE"/>
      </w:pPr>
      <w:r w:rsidRPr="00BA0035">
        <w:t>“As a starting point, this Court will not adjudicate an appeal if it no longer presents an existing or live controversy.  This is because this Court will generally refrain from giving advisory opinions on legal questions, no matter how interesting, which are academic and have no immediate practical effect or result.  Courts exist to determine concrete legal disputes and their scarce resources should not be frittered away entertaining abstract propositions of law.”</w:t>
      </w:r>
    </w:p>
  </w:footnote>
  <w:footnote w:id="38">
    <w:p w14:paraId="3D74F781" w14:textId="77777777" w:rsidR="006F2B89" w:rsidRPr="00B67B68" w:rsidRDefault="006F2B89" w:rsidP="006F2B89">
      <w:pPr>
        <w:pStyle w:val="FootnoteText"/>
      </w:pPr>
      <w:r>
        <w:rPr>
          <w:rStyle w:val="FootnoteReference"/>
        </w:rPr>
        <w:footnoteRef/>
      </w:r>
      <w:r>
        <w:t xml:space="preserve"> </w:t>
      </w:r>
      <w:r w:rsidRPr="00352958">
        <w:rPr>
          <w:i/>
          <w:iCs/>
        </w:rPr>
        <w:t>JT Publishing (Pty) Ltd v Minister of Safety and Security</w:t>
      </w:r>
      <w:r w:rsidRPr="00B67B68">
        <w:t xml:space="preserve"> [1996] ZACC 23; 1997 (3) SA 514</w:t>
      </w:r>
      <w:r>
        <w:t xml:space="preserve"> (CC); </w:t>
      </w:r>
      <w:r w:rsidRPr="00B67B68">
        <w:t>1996 (12) BCLR 1599</w:t>
      </w:r>
      <w:r>
        <w:t xml:space="preserve"> (CC) (</w:t>
      </w:r>
      <w:r w:rsidRPr="00352958">
        <w:rPr>
          <w:i/>
          <w:iCs/>
        </w:rPr>
        <w:t>JT Publishing</w:t>
      </w:r>
      <w:r>
        <w:t>).</w:t>
      </w:r>
    </w:p>
  </w:footnote>
  <w:footnote w:id="39">
    <w:p w14:paraId="4B47EC1A" w14:textId="77777777" w:rsidR="006F2B89" w:rsidRPr="00352958" w:rsidRDefault="006F2B89" w:rsidP="006F2B89">
      <w:pPr>
        <w:pStyle w:val="FootnoteText"/>
        <w:rPr>
          <w:lang w:val="en-US"/>
        </w:rPr>
      </w:pPr>
      <w:r>
        <w:rPr>
          <w:rStyle w:val="FootnoteReference"/>
        </w:rPr>
        <w:footnoteRef/>
      </w:r>
      <w:r>
        <w:t xml:space="preserve"> </w:t>
      </w:r>
      <w:r>
        <w:rPr>
          <w:lang w:val="en-US"/>
        </w:rPr>
        <w:t>Id at paras 15-7.</w:t>
      </w:r>
    </w:p>
  </w:footnote>
  <w:footnote w:id="40">
    <w:p w14:paraId="21396BED" w14:textId="77777777" w:rsidR="006F2B89" w:rsidRPr="00352958" w:rsidRDefault="006F2B89" w:rsidP="006F2B89">
      <w:pPr>
        <w:pStyle w:val="FootnoteText"/>
        <w:rPr>
          <w:lang w:val="en-US"/>
        </w:rPr>
      </w:pPr>
      <w:r w:rsidRPr="008670C6">
        <w:rPr>
          <w:rStyle w:val="FootnoteReference"/>
        </w:rPr>
        <w:footnoteRef/>
      </w:r>
      <w:r w:rsidRPr="008670C6">
        <w:t xml:space="preserve"> </w:t>
      </w:r>
      <w:r w:rsidRPr="008670C6">
        <w:rPr>
          <w:lang w:val="en-US"/>
        </w:rPr>
        <w:t>Id at paras 16-7.</w:t>
      </w:r>
    </w:p>
  </w:footnote>
  <w:footnote w:id="41">
    <w:p w14:paraId="32EE2BB4" w14:textId="55FDDE8B" w:rsidR="006F2B89" w:rsidRPr="00A42556" w:rsidRDefault="006F2B89" w:rsidP="006F2B89">
      <w:pPr>
        <w:pStyle w:val="FootnoteText"/>
        <w:rPr>
          <w:lang w:val="en-US"/>
        </w:rPr>
      </w:pPr>
      <w:r>
        <w:rPr>
          <w:rStyle w:val="FootnoteReference"/>
        </w:rPr>
        <w:footnoteRef/>
      </w:r>
      <w:r>
        <w:t xml:space="preserve"> See the first judgment at </w:t>
      </w:r>
      <w:r w:rsidR="00681FB9">
        <w:rPr>
          <w:lang w:val="en-US"/>
        </w:rPr>
        <w:fldChar w:fldCharType="begin"/>
      </w:r>
      <w:r w:rsidR="00681FB9">
        <w:instrText xml:space="preserve"> REF _Ref88819087 \r \h </w:instrText>
      </w:r>
      <w:r w:rsidR="00681FB9">
        <w:rPr>
          <w:lang w:val="en-US"/>
        </w:rPr>
      </w:r>
      <w:r w:rsidR="00681FB9">
        <w:rPr>
          <w:lang w:val="en-US"/>
        </w:rPr>
        <w:fldChar w:fldCharType="separate"/>
      </w:r>
      <w:r w:rsidR="00053A1E">
        <w:t>[22]</w:t>
      </w:r>
      <w:r w:rsidR="00681FB9">
        <w:rPr>
          <w:lang w:val="en-US"/>
        </w:rPr>
        <w:fldChar w:fldCharType="end"/>
      </w:r>
      <w:r>
        <w:rPr>
          <w:lang w:val="en-US"/>
        </w:rPr>
        <w:t>.</w:t>
      </w:r>
    </w:p>
  </w:footnote>
  <w:footnote w:id="42">
    <w:p w14:paraId="30F3C68E" w14:textId="77777777" w:rsidR="00226465" w:rsidRPr="008670C6" w:rsidRDefault="00226465" w:rsidP="00226465">
      <w:pPr>
        <w:pStyle w:val="FootnoteText"/>
        <w:rPr>
          <w:lang w:val="en-US"/>
        </w:rPr>
      </w:pPr>
      <w:r w:rsidRPr="008670C6">
        <w:rPr>
          <w:rStyle w:val="FootnoteReference"/>
        </w:rPr>
        <w:footnoteRef/>
      </w:r>
      <w:r w:rsidRPr="008670C6">
        <w:t xml:space="preserve"> </w:t>
      </w:r>
      <w:r w:rsidRPr="008670C6">
        <w:rPr>
          <w:i/>
          <w:iCs/>
        </w:rPr>
        <w:t>Pharmaceutical Manufacturers Association of SA: In re Ex parte President of the Republic of South Africa</w:t>
      </w:r>
      <w:r w:rsidRPr="008670C6">
        <w:t xml:space="preserve"> [2000] ZACC 1; 2000 (2) SA 674 (CC); 2000 (3) BCLR 241 (CC) at para 50.</w:t>
      </w:r>
    </w:p>
  </w:footnote>
  <w:footnote w:id="43">
    <w:p w14:paraId="760F729A" w14:textId="77777777" w:rsidR="006F2B89" w:rsidRPr="005F0F23" w:rsidRDefault="006F2B89" w:rsidP="006F2B89">
      <w:pPr>
        <w:pStyle w:val="FootnoteText"/>
      </w:pPr>
      <w:r>
        <w:rPr>
          <w:rStyle w:val="FootnoteReference"/>
        </w:rPr>
        <w:footnoteRef/>
      </w:r>
      <w:r>
        <w:t xml:space="preserve"> </w:t>
      </w:r>
      <w:r w:rsidRPr="000155F2">
        <w:rPr>
          <w:i/>
        </w:rPr>
        <w:t>Cross-Border Road Transport Agency v Central African Road Services (Pty) Ltd</w:t>
      </w:r>
      <w:r w:rsidRPr="000155F2">
        <w:t xml:space="preserve"> [2015] ZACC 12; </w:t>
      </w:r>
      <w:r>
        <w:t xml:space="preserve">2015 (5) SA 370 (CC); </w:t>
      </w:r>
      <w:r w:rsidRPr="000155F2">
        <w:t>2015 (7</w:t>
      </w:r>
      <w:r w:rsidRPr="005F0F23">
        <w:t>) BCLR 761 (CC) at para 20.</w:t>
      </w:r>
    </w:p>
  </w:footnote>
  <w:footnote w:id="44">
    <w:p w14:paraId="49AC7275" w14:textId="77777777" w:rsidR="006F2B89" w:rsidRPr="005F0F23" w:rsidRDefault="006F2B89" w:rsidP="006F2B89">
      <w:pPr>
        <w:pStyle w:val="FootnoteText"/>
        <w:rPr>
          <w:lang w:val="en-US"/>
        </w:rPr>
      </w:pPr>
      <w:r w:rsidRPr="00B8054C">
        <w:rPr>
          <w:vertAlign w:val="superscript"/>
          <w:lang w:val="en-US"/>
        </w:rPr>
        <w:footnoteRef/>
      </w:r>
      <w:r w:rsidRPr="005F0F23">
        <w:rPr>
          <w:lang w:val="en-US"/>
        </w:rPr>
        <w:t xml:space="preserve"> </w:t>
      </w:r>
      <w:r w:rsidRPr="00B8054C">
        <w:rPr>
          <w:i/>
          <w:lang w:val="en-US"/>
        </w:rPr>
        <w:t xml:space="preserve">Ferreira v Levin </w:t>
      </w:r>
      <w:r w:rsidRPr="005F0F23">
        <w:rPr>
          <w:i/>
          <w:iCs/>
          <w:lang w:val="en-US"/>
        </w:rPr>
        <w:t>N</w:t>
      </w:r>
      <w:r>
        <w:rPr>
          <w:i/>
          <w:iCs/>
          <w:lang w:val="en-US"/>
        </w:rPr>
        <w:t>.</w:t>
      </w:r>
      <w:r w:rsidRPr="005F0F23">
        <w:rPr>
          <w:i/>
          <w:iCs/>
          <w:lang w:val="en-US"/>
        </w:rPr>
        <w:t>O</w:t>
      </w:r>
      <w:r>
        <w:rPr>
          <w:i/>
          <w:iCs/>
          <w:lang w:val="en-US"/>
        </w:rPr>
        <w:t>.</w:t>
      </w:r>
      <w:r w:rsidRPr="005F0F23">
        <w:rPr>
          <w:i/>
          <w:iCs/>
          <w:lang w:val="en-US"/>
        </w:rPr>
        <w:t>;</w:t>
      </w:r>
      <w:r w:rsidRPr="00B8054C">
        <w:rPr>
          <w:i/>
          <w:lang w:val="en-US"/>
        </w:rPr>
        <w:t xml:space="preserve"> </w:t>
      </w:r>
      <w:proofErr w:type="spellStart"/>
      <w:r w:rsidRPr="00B8054C">
        <w:rPr>
          <w:i/>
          <w:lang w:val="en-US"/>
        </w:rPr>
        <w:t>Vryenhoek</w:t>
      </w:r>
      <w:proofErr w:type="spellEnd"/>
      <w:r w:rsidRPr="00B8054C">
        <w:rPr>
          <w:i/>
          <w:lang w:val="en-US"/>
        </w:rPr>
        <w:t xml:space="preserve"> v Powell </w:t>
      </w:r>
      <w:r w:rsidRPr="005F0F23">
        <w:rPr>
          <w:i/>
          <w:iCs/>
          <w:lang w:val="en-US"/>
        </w:rPr>
        <w:t>N</w:t>
      </w:r>
      <w:r>
        <w:rPr>
          <w:i/>
          <w:iCs/>
          <w:lang w:val="en-US"/>
        </w:rPr>
        <w:t>.</w:t>
      </w:r>
      <w:r w:rsidRPr="005F0F23">
        <w:rPr>
          <w:i/>
          <w:iCs/>
          <w:lang w:val="en-US"/>
        </w:rPr>
        <w:t>O</w:t>
      </w:r>
      <w:r>
        <w:rPr>
          <w:i/>
          <w:iCs/>
          <w:lang w:val="en-US"/>
        </w:rPr>
        <w:t>.</w:t>
      </w:r>
      <w:r w:rsidRPr="005F0F23">
        <w:rPr>
          <w:lang w:val="en-US"/>
        </w:rPr>
        <w:t xml:space="preserve"> [1995] ZACC 13; 1996 (1) SA 984 (CC); 1996 (1) BCLR 1 (CC) at para 27</w:t>
      </w:r>
      <w:r>
        <w:rPr>
          <w:lang w:val="en-US"/>
        </w:rPr>
        <w:t>.</w:t>
      </w:r>
    </w:p>
  </w:footnote>
  <w:footnote w:id="45">
    <w:p w14:paraId="75AC8EF6" w14:textId="083518F9" w:rsidR="003A4CC9" w:rsidRPr="008670C6" w:rsidRDefault="003A4CC9" w:rsidP="003A4CC9">
      <w:pPr>
        <w:pStyle w:val="FootnoteText"/>
        <w:rPr>
          <w:lang w:val="en-US"/>
        </w:rPr>
      </w:pPr>
      <w:r w:rsidRPr="00B8054C">
        <w:rPr>
          <w:vertAlign w:val="superscript"/>
          <w:lang w:val="en-US"/>
        </w:rPr>
        <w:footnoteRef/>
      </w:r>
      <w:r w:rsidRPr="005F0F23">
        <w:rPr>
          <w:lang w:val="en-US"/>
        </w:rPr>
        <w:t xml:space="preserve"> </w:t>
      </w:r>
      <w:proofErr w:type="spellStart"/>
      <w:r w:rsidRPr="005F0F23">
        <w:rPr>
          <w:i/>
          <w:lang w:val="en-US"/>
        </w:rPr>
        <w:t>Fo</w:t>
      </w:r>
      <w:r w:rsidRPr="008670C6">
        <w:rPr>
          <w:i/>
          <w:lang w:val="en-US"/>
        </w:rPr>
        <w:t>se</w:t>
      </w:r>
      <w:proofErr w:type="spellEnd"/>
      <w:r w:rsidRPr="008670C6">
        <w:rPr>
          <w:i/>
          <w:lang w:val="en-US"/>
        </w:rPr>
        <w:t xml:space="preserve"> v Minister of Safety and Security</w:t>
      </w:r>
      <w:r w:rsidRPr="008670C6">
        <w:rPr>
          <w:lang w:val="en-US"/>
        </w:rPr>
        <w:t xml:space="preserve"> [1997] ZACC 6; 1997 (3) SA 786 (CC)</w:t>
      </w:r>
      <w:r w:rsidRPr="008670C6">
        <w:rPr>
          <w:iCs/>
          <w:lang w:val="en-US"/>
        </w:rPr>
        <w:t xml:space="preserve">; </w:t>
      </w:r>
      <w:r w:rsidRPr="008670C6">
        <w:rPr>
          <w:lang w:val="en-US"/>
        </w:rPr>
        <w:t xml:space="preserve">1997 (7) BCLR 851 (CC) at </w:t>
      </w:r>
      <w:proofErr w:type="spellStart"/>
      <w:r w:rsidRPr="008670C6">
        <w:rPr>
          <w:lang w:val="en-US"/>
        </w:rPr>
        <w:t>fn</w:t>
      </w:r>
      <w:proofErr w:type="spellEnd"/>
      <w:r w:rsidR="00EF51D9">
        <w:rPr>
          <w:lang w:val="en-US"/>
        </w:rPr>
        <w:t> </w:t>
      </w:r>
      <w:r w:rsidRPr="008670C6">
        <w:rPr>
          <w:lang w:val="en-US"/>
        </w:rPr>
        <w:t>200.</w:t>
      </w:r>
    </w:p>
  </w:footnote>
  <w:footnote w:id="46">
    <w:p w14:paraId="3630ECC1" w14:textId="77777777" w:rsidR="006F2B89" w:rsidRPr="008670C6" w:rsidRDefault="006F2B89" w:rsidP="006F2B89">
      <w:pPr>
        <w:pStyle w:val="FootnoteText"/>
        <w:rPr>
          <w:lang w:val="en-US"/>
        </w:rPr>
      </w:pPr>
      <w:r w:rsidRPr="008670C6">
        <w:rPr>
          <w:rStyle w:val="FootnoteReference"/>
        </w:rPr>
        <w:footnoteRef/>
      </w:r>
      <w:r w:rsidRPr="008670C6">
        <w:t xml:space="preserve"> </w:t>
      </w:r>
      <w:r w:rsidRPr="008670C6">
        <w:rPr>
          <w:lang w:val="en-US"/>
        </w:rPr>
        <w:t>Id at para 51.</w:t>
      </w:r>
    </w:p>
  </w:footnote>
  <w:footnote w:id="47">
    <w:p w14:paraId="0DF7681B" w14:textId="77777777" w:rsidR="006F2B89" w:rsidRPr="008670C6" w:rsidRDefault="006F2B89" w:rsidP="006F2B89">
      <w:pPr>
        <w:pStyle w:val="FootnoteText"/>
      </w:pPr>
      <w:r w:rsidRPr="008670C6">
        <w:rPr>
          <w:rStyle w:val="FootnoteReference"/>
        </w:rPr>
        <w:footnoteRef/>
      </w:r>
      <w:r w:rsidRPr="008670C6">
        <w:t xml:space="preserve"> Section 172(1) of the Constitution provides:</w:t>
      </w:r>
    </w:p>
    <w:p w14:paraId="67618BEE" w14:textId="77777777" w:rsidR="006F2B89" w:rsidRDefault="006F2B89" w:rsidP="006F2B89">
      <w:pPr>
        <w:pStyle w:val="QUOTEINFOOTNOTE"/>
      </w:pPr>
      <w:r w:rsidRPr="008670C6">
        <w:t>“When deciding a constitutional matter within</w:t>
      </w:r>
      <w:r>
        <w:t xml:space="preserve"> its power, a court—</w:t>
      </w:r>
    </w:p>
    <w:p w14:paraId="2442052D" w14:textId="77777777" w:rsidR="006F2B89" w:rsidRDefault="006F2B89" w:rsidP="006F2B89">
      <w:pPr>
        <w:pStyle w:val="QUOTEINFOOTNOTE"/>
        <w:ind w:left="1440" w:hanging="675"/>
      </w:pPr>
      <w:r>
        <w:t>(a)</w:t>
      </w:r>
      <w:r>
        <w:tab/>
        <w:t>must declare that any law or conduct that is inconsistent with the Constitution is invalid to the extent of its inconsistency.”</w:t>
      </w:r>
    </w:p>
  </w:footnote>
  <w:footnote w:id="48">
    <w:p w14:paraId="466C5499" w14:textId="77777777" w:rsidR="006F2B89" w:rsidRPr="004833E5" w:rsidRDefault="006F2B89" w:rsidP="006F2B89">
      <w:pPr>
        <w:pStyle w:val="FootnoteText"/>
        <w:rPr>
          <w:lang w:val="en-US"/>
        </w:rPr>
      </w:pPr>
      <w:r>
        <w:rPr>
          <w:rStyle w:val="FootnoteReference"/>
        </w:rPr>
        <w:footnoteRef/>
      </w:r>
      <w:r>
        <w:t xml:space="preserve"> </w:t>
      </w:r>
      <w:r>
        <w:rPr>
          <w:lang w:val="en-US"/>
        </w:rPr>
        <w:t>7 of 2011.</w:t>
      </w:r>
    </w:p>
  </w:footnote>
  <w:footnote w:id="49">
    <w:p w14:paraId="44F6492C" w14:textId="0D00CF46" w:rsidR="006F2B89" w:rsidRPr="005C5947" w:rsidRDefault="006F2B89" w:rsidP="006F2B89">
      <w:pPr>
        <w:pStyle w:val="FootnoteText1"/>
      </w:pPr>
      <w:r w:rsidRPr="00B8054C">
        <w:rPr>
          <w:vertAlign w:val="superscript"/>
        </w:rPr>
        <w:footnoteRef/>
      </w:r>
      <w:r w:rsidRPr="005C5947">
        <w:t xml:space="preserve"> </w:t>
      </w:r>
      <w:r w:rsidRPr="005C5947">
        <w:rPr>
          <w:i/>
          <w:iCs/>
        </w:rPr>
        <w:t xml:space="preserve">Cross-Border Road Transport Agency </w:t>
      </w:r>
      <w:r w:rsidRPr="00681FB9">
        <w:rPr>
          <w:iCs/>
        </w:rPr>
        <w:t xml:space="preserve">above n </w:t>
      </w:r>
      <w:r w:rsidR="00681FB9">
        <w:rPr>
          <w:iCs/>
        </w:rPr>
        <w:fldChar w:fldCharType="begin"/>
      </w:r>
      <w:r w:rsidR="00681FB9">
        <w:rPr>
          <w:iCs/>
        </w:rPr>
        <w:instrText xml:space="preserve"> NOTEREF _Ref88819623 \h </w:instrText>
      </w:r>
      <w:r w:rsidR="00681FB9">
        <w:rPr>
          <w:iCs/>
        </w:rPr>
      </w:r>
      <w:r w:rsidR="00681FB9">
        <w:rPr>
          <w:iCs/>
        </w:rPr>
        <w:fldChar w:fldCharType="separate"/>
      </w:r>
      <w:r w:rsidR="00053A1E">
        <w:rPr>
          <w:iCs/>
        </w:rPr>
        <w:t>43</w:t>
      </w:r>
      <w:r w:rsidR="00681FB9">
        <w:rPr>
          <w:iCs/>
        </w:rPr>
        <w:fldChar w:fldCharType="end"/>
      </w:r>
      <w:r w:rsidRPr="00090C40">
        <w:t xml:space="preserve"> </w:t>
      </w:r>
      <w:r>
        <w:t xml:space="preserve">at </w:t>
      </w:r>
      <w:r w:rsidRPr="00090C40">
        <w:t>para 20.</w:t>
      </w:r>
    </w:p>
  </w:footnote>
  <w:footnote w:id="50">
    <w:p w14:paraId="376203C9" w14:textId="257BF293" w:rsidR="006F2B89" w:rsidRPr="00262B5E" w:rsidRDefault="006F2B89" w:rsidP="006F2B89">
      <w:pPr>
        <w:pStyle w:val="FootnoteText"/>
        <w:rPr>
          <w:lang w:val="en-US"/>
        </w:rPr>
      </w:pPr>
      <w:r>
        <w:rPr>
          <w:rStyle w:val="FootnoteReference"/>
        </w:rPr>
        <w:footnoteRef/>
      </w:r>
      <w:r>
        <w:t xml:space="preserve"> Supreme Court of Appeal judgment above </w:t>
      </w:r>
      <w:r w:rsidRPr="00AD1BA9">
        <w:t xml:space="preserve">n </w:t>
      </w:r>
      <w:r w:rsidR="00AD1BA9">
        <w:fldChar w:fldCharType="begin"/>
      </w:r>
      <w:r w:rsidR="00AD1BA9">
        <w:instrText xml:space="preserve"> NOTEREF _Ref86922205 \h </w:instrText>
      </w:r>
      <w:r w:rsidR="00AD1BA9">
        <w:fldChar w:fldCharType="separate"/>
      </w:r>
      <w:r w:rsidR="00053A1E">
        <w:t>10</w:t>
      </w:r>
      <w:r w:rsidR="00AD1BA9">
        <w:fldChar w:fldCharType="end"/>
      </w:r>
      <w:r>
        <w:t xml:space="preserve"> at para 13.</w:t>
      </w:r>
    </w:p>
  </w:footnote>
  <w:footnote w:id="51">
    <w:p w14:paraId="463817F3" w14:textId="622E7ACD" w:rsidR="006F2B89" w:rsidRPr="008670C6" w:rsidRDefault="006F2B89" w:rsidP="006F2B89">
      <w:pPr>
        <w:pStyle w:val="FootnoteText"/>
      </w:pPr>
      <w:r w:rsidRPr="008B507A">
        <w:rPr>
          <w:vertAlign w:val="superscript"/>
        </w:rPr>
        <w:footnoteRef/>
      </w:r>
      <w:r>
        <w:t xml:space="preserve"> </w:t>
      </w:r>
      <w:r w:rsidRPr="00A93DD1">
        <w:rPr>
          <w:i/>
          <w:iCs/>
        </w:rPr>
        <w:t xml:space="preserve">S v </w:t>
      </w:r>
      <w:proofErr w:type="spellStart"/>
      <w:r w:rsidRPr="00CC15E0">
        <w:rPr>
          <w:i/>
          <w:iCs/>
        </w:rPr>
        <w:t>Mhlungu</w:t>
      </w:r>
      <w:proofErr w:type="spellEnd"/>
      <w:r w:rsidRPr="00CC15E0">
        <w:t xml:space="preserve"> [1995] ZACC 4; 1995 (3) SA 867</w:t>
      </w:r>
      <w:r>
        <w:t xml:space="preserve"> (CC)</w:t>
      </w:r>
      <w:r w:rsidRPr="00CC15E0">
        <w:t xml:space="preserve">; 1995 (7) BCLR 793 (CC) </w:t>
      </w:r>
      <w:r w:rsidR="00AD1BA9">
        <w:t>(</w:t>
      </w:r>
      <w:proofErr w:type="spellStart"/>
      <w:r w:rsidR="00AD1BA9" w:rsidRPr="00AD1BA9">
        <w:rPr>
          <w:i/>
          <w:iCs/>
        </w:rPr>
        <w:t>Mhlungu</w:t>
      </w:r>
      <w:proofErr w:type="spellEnd"/>
      <w:r w:rsidR="00AD1BA9">
        <w:t xml:space="preserve">) </w:t>
      </w:r>
      <w:r w:rsidRPr="00CC15E0">
        <w:t>at para 65</w:t>
      </w:r>
      <w:r>
        <w:t xml:space="preserve">; </w:t>
      </w:r>
      <w:proofErr w:type="spellStart"/>
      <w:r w:rsidR="006C3E43">
        <w:rPr>
          <w:i/>
        </w:rPr>
        <w:t>Kaknis</w:t>
      </w:r>
      <w:proofErr w:type="spellEnd"/>
      <w:r w:rsidR="006C3E43">
        <w:rPr>
          <w:i/>
        </w:rPr>
        <w:t> </w:t>
      </w:r>
      <w:r w:rsidRPr="00CC15E0">
        <w:rPr>
          <w:i/>
        </w:rPr>
        <w:t>v</w:t>
      </w:r>
      <w:r w:rsidR="006C3E43">
        <w:rPr>
          <w:i/>
        </w:rPr>
        <w:t> </w:t>
      </w:r>
      <w:r w:rsidRPr="00CC15E0">
        <w:rPr>
          <w:i/>
        </w:rPr>
        <w:t>Absa Bank</w:t>
      </w:r>
      <w:r w:rsidRPr="00CC15E0">
        <w:t xml:space="preserve"> </w:t>
      </w:r>
      <w:r w:rsidRPr="00B8054C">
        <w:rPr>
          <w:i/>
        </w:rPr>
        <w:t>Limited</w:t>
      </w:r>
      <w:r w:rsidRPr="008670C6">
        <w:t xml:space="preserve"> [2016] ZASCA 206; 2017 (4) SA 17 (SCA) at paras 11-2; </w:t>
      </w:r>
      <w:r w:rsidRPr="008670C6">
        <w:rPr>
          <w:i/>
        </w:rPr>
        <w:t xml:space="preserve">Minister of Public Works v </w:t>
      </w:r>
      <w:proofErr w:type="spellStart"/>
      <w:r w:rsidRPr="008670C6">
        <w:rPr>
          <w:i/>
        </w:rPr>
        <w:t>Haffejee</w:t>
      </w:r>
      <w:proofErr w:type="spellEnd"/>
      <w:r w:rsidRPr="008670C6">
        <w:rPr>
          <w:i/>
        </w:rPr>
        <w:t xml:space="preserve"> N.O.</w:t>
      </w:r>
      <w:r w:rsidRPr="008670C6">
        <w:t xml:space="preserve"> [1996] ZASCA 17; 1996 (3) SA 745 (A) at 752A-B; and </w:t>
      </w:r>
      <w:r w:rsidRPr="008670C6">
        <w:rPr>
          <w:i/>
        </w:rPr>
        <w:t>Curtis v Johannesburg Municipality</w:t>
      </w:r>
      <w:r w:rsidRPr="008670C6">
        <w:t xml:space="preserve"> 1906 TS 208 at 311, where the Court explained:</w:t>
      </w:r>
    </w:p>
    <w:p w14:paraId="70FBAEA0" w14:textId="77777777" w:rsidR="006F2B89" w:rsidRPr="00B8054C" w:rsidRDefault="006F2B89" w:rsidP="00AD1BA9">
      <w:pPr>
        <w:pStyle w:val="QUOTEINFOOTNOTE"/>
      </w:pPr>
      <w:r w:rsidRPr="008670C6">
        <w:t>“The general rule is that, in the absence of express provision to the contrary, statutes should be considered as affecting future matters only; and more especially that they should if possible be so interpreted so as not to take away rights actually vested at the time of their promulgation.”</w:t>
      </w:r>
    </w:p>
  </w:footnote>
  <w:footnote w:id="52">
    <w:p w14:paraId="026718CE" w14:textId="1CD6183D" w:rsidR="006F2B89" w:rsidRPr="008670C6" w:rsidRDefault="006F2B89" w:rsidP="006F2B89">
      <w:pPr>
        <w:pStyle w:val="FootnoteText"/>
        <w:rPr>
          <w:lang w:val="en-US"/>
        </w:rPr>
      </w:pPr>
      <w:r w:rsidRPr="008670C6">
        <w:rPr>
          <w:rStyle w:val="FootnoteReference"/>
        </w:rPr>
        <w:footnoteRef/>
      </w:r>
      <w:r w:rsidRPr="008670C6">
        <w:t xml:space="preserve"> </w:t>
      </w:r>
      <w:r w:rsidRPr="008670C6">
        <w:rPr>
          <w:i/>
          <w:iCs/>
          <w:lang w:val="en-US"/>
        </w:rPr>
        <w:t>SAMWU</w:t>
      </w:r>
      <w:r w:rsidRPr="008670C6">
        <w:rPr>
          <w:lang w:val="en-US"/>
        </w:rPr>
        <w:t xml:space="preserve"> above </w:t>
      </w:r>
      <w:r w:rsidRPr="00AD1BA9">
        <w:rPr>
          <w:lang w:val="en-US"/>
        </w:rPr>
        <w:t xml:space="preserve">n </w:t>
      </w:r>
      <w:r w:rsidR="00AD1BA9">
        <w:rPr>
          <w:lang w:val="en-US"/>
        </w:rPr>
        <w:fldChar w:fldCharType="begin"/>
      </w:r>
      <w:r w:rsidR="00AD1BA9">
        <w:rPr>
          <w:lang w:val="en-US"/>
        </w:rPr>
        <w:instrText xml:space="preserve"> NOTEREF _Ref88820357 \h </w:instrText>
      </w:r>
      <w:r w:rsidR="00AD1BA9">
        <w:rPr>
          <w:lang w:val="en-US"/>
        </w:rPr>
      </w:r>
      <w:r w:rsidR="00AD1BA9">
        <w:rPr>
          <w:lang w:val="en-US"/>
        </w:rPr>
        <w:fldChar w:fldCharType="separate"/>
      </w:r>
      <w:r w:rsidR="00053A1E">
        <w:rPr>
          <w:lang w:val="en-US"/>
        </w:rPr>
        <w:t>28</w:t>
      </w:r>
      <w:r w:rsidR="00AD1BA9">
        <w:rPr>
          <w:lang w:val="en-US"/>
        </w:rPr>
        <w:fldChar w:fldCharType="end"/>
      </w:r>
      <w:r w:rsidRPr="008670C6">
        <w:rPr>
          <w:lang w:val="en-US"/>
        </w:rPr>
        <w:t xml:space="preserve"> at paras 85-6, read with para 35.</w:t>
      </w:r>
    </w:p>
  </w:footnote>
  <w:footnote w:id="53">
    <w:p w14:paraId="482F40DF" w14:textId="77777777" w:rsidR="006F2B89" w:rsidRPr="00352958" w:rsidRDefault="006F2B89" w:rsidP="006F2B89">
      <w:pPr>
        <w:pStyle w:val="FootnoteText"/>
        <w:rPr>
          <w:lang w:val="en-US"/>
        </w:rPr>
      </w:pPr>
      <w:r w:rsidRPr="008670C6">
        <w:rPr>
          <w:rStyle w:val="FootnoteReference"/>
        </w:rPr>
        <w:footnoteRef/>
      </w:r>
      <w:r w:rsidRPr="008670C6">
        <w:t xml:space="preserve"> </w:t>
      </w:r>
      <w:r w:rsidRPr="008670C6">
        <w:rPr>
          <w:lang w:val="en-US"/>
        </w:rPr>
        <w:t>Id at para 35.</w:t>
      </w:r>
    </w:p>
  </w:footnote>
  <w:footnote w:id="54">
    <w:p w14:paraId="57D88108" w14:textId="77777777" w:rsidR="006F2B89" w:rsidRPr="00642356" w:rsidRDefault="006F2B89" w:rsidP="006F2B89">
      <w:pPr>
        <w:pStyle w:val="FootnoteText"/>
      </w:pPr>
      <w:r w:rsidRPr="00B8054C">
        <w:rPr>
          <w:vertAlign w:val="superscript"/>
        </w:rPr>
        <w:footnoteRef/>
      </w:r>
      <w:r>
        <w:t xml:space="preserve"> </w:t>
      </w:r>
      <w:r w:rsidRPr="00124956">
        <w:rPr>
          <w:i/>
          <w:iCs/>
        </w:rPr>
        <w:t>Eke v Parsons</w:t>
      </w:r>
      <w:r w:rsidRPr="00124956">
        <w:t xml:space="preserve"> [2015] ZAC</w:t>
      </w:r>
      <w:r>
        <w:t xml:space="preserve">C 30; </w:t>
      </w:r>
      <w:r w:rsidRPr="00124956">
        <w:t>2016 (3) SA 37 (CC)</w:t>
      </w:r>
      <w:r>
        <w:t xml:space="preserve">; 2015 (11) BCLR 1319 (CC) at para 29, relying on </w:t>
      </w:r>
      <w:r w:rsidRPr="00207CC2">
        <w:rPr>
          <w:i/>
          <w:iCs/>
        </w:rPr>
        <w:t>Finishing Touch 163 (Pty) Ltd v BHP Billiton Energy Coal South Africa Ltd</w:t>
      </w:r>
      <w:r w:rsidRPr="00373357">
        <w:t xml:space="preserve"> [2012] ZASCA 49; 2013 (2) SA 204 (SCA)</w:t>
      </w:r>
      <w:r>
        <w:t xml:space="preserve"> </w:t>
      </w:r>
      <w:r w:rsidRPr="00373357">
        <w:t>at para 13</w:t>
      </w:r>
      <w:r>
        <w:t>.</w:t>
      </w:r>
    </w:p>
  </w:footnote>
  <w:footnote w:id="55">
    <w:p w14:paraId="27DAEE78" w14:textId="4FC8C41B" w:rsidR="006F2B89" w:rsidRPr="0098385B" w:rsidRDefault="006F2B89" w:rsidP="006F2B89">
      <w:pPr>
        <w:pStyle w:val="FootnoteText"/>
      </w:pPr>
      <w:r>
        <w:rPr>
          <w:rStyle w:val="FootnoteReference"/>
        </w:rPr>
        <w:footnoteRef/>
      </w:r>
      <w:r>
        <w:t xml:space="preserve"> </w:t>
      </w:r>
      <w:proofErr w:type="spellStart"/>
      <w:r w:rsidRPr="00F618E0">
        <w:rPr>
          <w:i/>
          <w:iCs/>
        </w:rPr>
        <w:t>Mhlungu</w:t>
      </w:r>
      <w:proofErr w:type="spellEnd"/>
      <w:r w:rsidRPr="0019291D">
        <w:t xml:space="preserve"> </w:t>
      </w:r>
      <w:r>
        <w:t xml:space="preserve">above </w:t>
      </w:r>
      <w:r w:rsidRPr="00AD1BA9">
        <w:t xml:space="preserve">n </w:t>
      </w:r>
      <w:r w:rsidR="00AD1BA9">
        <w:fldChar w:fldCharType="begin"/>
      </w:r>
      <w:r w:rsidR="00AD1BA9">
        <w:instrText xml:space="preserve"> NOTEREF _Ref88820249 \h </w:instrText>
      </w:r>
      <w:r w:rsidR="00AD1BA9">
        <w:fldChar w:fldCharType="separate"/>
      </w:r>
      <w:r w:rsidR="00053A1E">
        <w:t>51</w:t>
      </w:r>
      <w:r w:rsidR="00AD1BA9">
        <w:fldChar w:fldCharType="end"/>
      </w:r>
      <w:r>
        <w:t xml:space="preserve"> at </w:t>
      </w:r>
      <w:r>
        <w:rPr>
          <w:lang w:val="en-US"/>
        </w:rPr>
        <w:t xml:space="preserve">para 67, citing </w:t>
      </w:r>
      <w:proofErr w:type="spellStart"/>
      <w:r w:rsidRPr="0098385B">
        <w:rPr>
          <w:i/>
          <w:iCs/>
        </w:rPr>
        <w:t>Bellairs</w:t>
      </w:r>
      <w:proofErr w:type="spellEnd"/>
      <w:r w:rsidRPr="0098385B">
        <w:rPr>
          <w:i/>
          <w:iCs/>
        </w:rPr>
        <w:t xml:space="preserve"> v </w:t>
      </w:r>
      <w:proofErr w:type="spellStart"/>
      <w:r w:rsidRPr="0098385B">
        <w:rPr>
          <w:i/>
          <w:iCs/>
        </w:rPr>
        <w:t>Hodnett</w:t>
      </w:r>
      <w:proofErr w:type="spellEnd"/>
      <w:r w:rsidRPr="0098385B">
        <w:rPr>
          <w:i/>
          <w:iCs/>
        </w:rPr>
        <w:t xml:space="preserve"> </w:t>
      </w:r>
      <w:r w:rsidRPr="0098385B">
        <w:t>1978</w:t>
      </w:r>
      <w:r>
        <w:t xml:space="preserve"> </w:t>
      </w:r>
      <w:r w:rsidRPr="0098385B">
        <w:t>(1) SA 1109</w:t>
      </w:r>
      <w:r>
        <w:t xml:space="preserve"> </w:t>
      </w:r>
      <w:r w:rsidRPr="0098385B">
        <w:t>(A)</w:t>
      </w:r>
      <w:r>
        <w:t xml:space="preserve"> at </w:t>
      </w:r>
      <w:r w:rsidRPr="0098385B">
        <w:t>1148</w:t>
      </w:r>
      <w:r>
        <w:t>F-H.</w:t>
      </w:r>
    </w:p>
  </w:footnote>
  <w:footnote w:id="56">
    <w:p w14:paraId="14FB2DEA" w14:textId="0B634991" w:rsidR="006F2B89" w:rsidRPr="00923CCF" w:rsidRDefault="006F2B89" w:rsidP="006F2B89">
      <w:pPr>
        <w:pStyle w:val="FootnoteText"/>
        <w:rPr>
          <w:lang w:val="en-US"/>
        </w:rPr>
      </w:pPr>
      <w:r>
        <w:rPr>
          <w:rStyle w:val="FootnoteReference"/>
        </w:rPr>
        <w:footnoteRef/>
      </w:r>
      <w:r>
        <w:t xml:space="preserve"> </w:t>
      </w:r>
      <w:r w:rsidRPr="000B66DE">
        <w:rPr>
          <w:i/>
          <w:iCs/>
          <w:lang w:val="en-US"/>
        </w:rPr>
        <w:t>SAMWU</w:t>
      </w:r>
      <w:r>
        <w:rPr>
          <w:lang w:val="en-US"/>
        </w:rPr>
        <w:t xml:space="preserve"> above </w:t>
      </w:r>
      <w:r w:rsidRPr="00AD1BA9">
        <w:rPr>
          <w:lang w:val="en-US"/>
        </w:rPr>
        <w:t xml:space="preserve">n </w:t>
      </w:r>
      <w:r w:rsidR="00AD1BA9">
        <w:rPr>
          <w:lang w:val="en-US"/>
        </w:rPr>
        <w:fldChar w:fldCharType="begin"/>
      </w:r>
      <w:r w:rsidR="00AD1BA9">
        <w:rPr>
          <w:lang w:val="en-US"/>
        </w:rPr>
        <w:instrText xml:space="preserve"> NOTEREF _Ref88820357 \h </w:instrText>
      </w:r>
      <w:r w:rsidR="00AD1BA9">
        <w:rPr>
          <w:lang w:val="en-US"/>
        </w:rPr>
      </w:r>
      <w:r w:rsidR="00AD1BA9">
        <w:rPr>
          <w:lang w:val="en-US"/>
        </w:rPr>
        <w:fldChar w:fldCharType="separate"/>
      </w:r>
      <w:r w:rsidR="00053A1E">
        <w:rPr>
          <w:lang w:val="en-US"/>
        </w:rPr>
        <w:t>28</w:t>
      </w:r>
      <w:r w:rsidR="00AD1BA9">
        <w:rPr>
          <w:lang w:val="en-US"/>
        </w:rPr>
        <w:fldChar w:fldCharType="end"/>
      </w:r>
      <w:r>
        <w:rPr>
          <w:lang w:val="en-US"/>
        </w:rPr>
        <w:t xml:space="preserve"> at para 86.</w:t>
      </w:r>
    </w:p>
  </w:footnote>
  <w:footnote w:id="57">
    <w:p w14:paraId="031D25F4" w14:textId="77777777" w:rsidR="006F2B89" w:rsidRPr="004833E5" w:rsidRDefault="006F2B89" w:rsidP="006F2B89">
      <w:pPr>
        <w:pStyle w:val="FootnoteText"/>
        <w:rPr>
          <w:lang w:val="en-US"/>
        </w:rPr>
      </w:pPr>
      <w:r>
        <w:rPr>
          <w:rStyle w:val="FootnoteReference"/>
        </w:rPr>
        <w:footnoteRef/>
      </w:r>
      <w:r>
        <w:t xml:space="preserve"> </w:t>
      </w:r>
      <w:r>
        <w:rPr>
          <w:lang w:val="en-US"/>
        </w:rPr>
        <w:t>3 of 2000.</w:t>
      </w:r>
    </w:p>
  </w:footnote>
  <w:footnote w:id="58">
    <w:p w14:paraId="1045C11C" w14:textId="488B27C9" w:rsidR="006F2B89" w:rsidRPr="00B8054C" w:rsidRDefault="006F2B89" w:rsidP="006F2B89">
      <w:pPr>
        <w:pStyle w:val="FootnoteText"/>
        <w:rPr>
          <w:rFonts w:ascii="Arial" w:hAnsi="Arial"/>
          <w:color w:val="000000" w:themeColor="text1"/>
        </w:rPr>
      </w:pPr>
      <w:r w:rsidRPr="0088089A">
        <w:rPr>
          <w:vertAlign w:val="superscript"/>
          <w:lang w:val="en-US"/>
        </w:rPr>
        <w:footnoteRef/>
      </w:r>
      <w:r w:rsidRPr="0088089A">
        <w:rPr>
          <w:lang w:val="en-US"/>
        </w:rPr>
        <w:t xml:space="preserve"> </w:t>
      </w:r>
      <w:proofErr w:type="spellStart"/>
      <w:r w:rsidRPr="0088089A">
        <w:rPr>
          <w:i/>
          <w:iCs/>
          <w:lang w:val="en-US"/>
        </w:rPr>
        <w:t>Notyawa</w:t>
      </w:r>
      <w:proofErr w:type="spellEnd"/>
      <w:r w:rsidRPr="0088089A">
        <w:rPr>
          <w:i/>
          <w:iCs/>
          <w:lang w:val="en-US"/>
        </w:rPr>
        <w:t xml:space="preserve"> </w:t>
      </w:r>
      <w:r w:rsidRPr="008F7930">
        <w:rPr>
          <w:lang w:val="en-US"/>
        </w:rPr>
        <w:t xml:space="preserve">above </w:t>
      </w:r>
      <w:r w:rsidRPr="00AD1BA9">
        <w:rPr>
          <w:lang w:val="en-US"/>
        </w:rPr>
        <w:t xml:space="preserve">n </w:t>
      </w:r>
      <w:r w:rsidR="00AD1BA9">
        <w:rPr>
          <w:lang w:val="en-US"/>
        </w:rPr>
        <w:fldChar w:fldCharType="begin"/>
      </w:r>
      <w:r w:rsidR="00AD1BA9">
        <w:rPr>
          <w:lang w:val="en-US"/>
        </w:rPr>
        <w:instrText xml:space="preserve"> NOTEREF _Ref86407589 \h </w:instrText>
      </w:r>
      <w:r w:rsidR="00AD1BA9">
        <w:rPr>
          <w:lang w:val="en-US"/>
        </w:rPr>
      </w:r>
      <w:r w:rsidR="00AD1BA9">
        <w:rPr>
          <w:lang w:val="en-US"/>
        </w:rPr>
        <w:fldChar w:fldCharType="separate"/>
      </w:r>
      <w:r w:rsidR="00053A1E">
        <w:rPr>
          <w:lang w:val="en-US"/>
        </w:rPr>
        <w:t>21</w:t>
      </w:r>
      <w:r w:rsidR="00AD1BA9">
        <w:rPr>
          <w:lang w:val="en-US"/>
        </w:rPr>
        <w:fldChar w:fldCharType="end"/>
      </w:r>
      <w:r w:rsidRPr="008F7930">
        <w:rPr>
          <w:lang w:val="en-US"/>
        </w:rPr>
        <w:t xml:space="preserve"> at para </w:t>
      </w:r>
      <w:r>
        <w:rPr>
          <w:lang w:val="en-US"/>
        </w:rPr>
        <w:t>35</w:t>
      </w:r>
      <w:r w:rsidRPr="008F7930">
        <w:rPr>
          <w:lang w:val="en-US"/>
        </w:rPr>
        <w:t>.</w:t>
      </w:r>
    </w:p>
  </w:footnote>
  <w:footnote w:id="59">
    <w:p w14:paraId="5F0DFCE1" w14:textId="2758618F" w:rsidR="006F2B89" w:rsidRPr="00134418" w:rsidRDefault="006F2B89" w:rsidP="006F2B89">
      <w:pPr>
        <w:pStyle w:val="FootnoteText1"/>
      </w:pPr>
      <w:r w:rsidRPr="00840D66">
        <w:rPr>
          <w:rStyle w:val="FootnoteReference"/>
          <w:szCs w:val="20"/>
        </w:rPr>
        <w:footnoteRef/>
      </w:r>
      <w:r w:rsidRPr="00840D66">
        <w:t xml:space="preserve"> </w:t>
      </w:r>
      <w:r w:rsidRPr="005F4463">
        <w:rPr>
          <w:lang w:val="en-US"/>
        </w:rPr>
        <w:t>Section 7 of PAJA</w:t>
      </w:r>
      <w:r w:rsidRPr="00497ED2">
        <w:rPr>
          <w:lang w:val="en-US"/>
        </w:rPr>
        <w:t>.  See</w:t>
      </w:r>
      <w:r w:rsidRPr="009C4136">
        <w:rPr>
          <w:lang w:val="en-US"/>
        </w:rPr>
        <w:t xml:space="preserve"> </w:t>
      </w:r>
      <w:r w:rsidRPr="00AD1BA9">
        <w:rPr>
          <w:i/>
          <w:iCs/>
        </w:rPr>
        <w:t>Khumalo</w:t>
      </w:r>
      <w:r w:rsidR="00AD1BA9">
        <w:t xml:space="preserve"> above n </w:t>
      </w:r>
      <w:r w:rsidR="00AD1BA9">
        <w:fldChar w:fldCharType="begin"/>
      </w:r>
      <w:r w:rsidR="00AD1BA9">
        <w:instrText xml:space="preserve"> NOTEREF _Ref88820594 \h </w:instrText>
      </w:r>
      <w:r w:rsidR="00AD1BA9">
        <w:fldChar w:fldCharType="separate"/>
      </w:r>
      <w:r w:rsidR="00053A1E">
        <w:t>31</w:t>
      </w:r>
      <w:r w:rsidR="00AD1BA9">
        <w:fldChar w:fldCharType="end"/>
      </w:r>
      <w:r w:rsidR="00AD1BA9">
        <w:t xml:space="preserve"> </w:t>
      </w:r>
      <w:r w:rsidRPr="00134418">
        <w:rPr>
          <w:lang w:val="en-US"/>
        </w:rPr>
        <w:t>at para 44 and</w:t>
      </w:r>
      <w:r w:rsidRPr="005F4463">
        <w:rPr>
          <w:lang w:val="en-US"/>
        </w:rPr>
        <w:t xml:space="preserve"> </w:t>
      </w:r>
      <w:r w:rsidRPr="00497ED2">
        <w:rPr>
          <w:i/>
          <w:lang w:val="en-US"/>
        </w:rPr>
        <w:t xml:space="preserve">Opposition to Urban Tolling </w:t>
      </w:r>
      <w:r w:rsidRPr="009C4136">
        <w:rPr>
          <w:i/>
          <w:lang w:val="en-US"/>
        </w:rPr>
        <w:t xml:space="preserve">Alliance v </w:t>
      </w:r>
      <w:r w:rsidRPr="00134418">
        <w:rPr>
          <w:i/>
          <w:iCs/>
          <w:lang w:val="en-US"/>
        </w:rPr>
        <w:t xml:space="preserve">The </w:t>
      </w:r>
      <w:r w:rsidRPr="005F4463">
        <w:rPr>
          <w:i/>
          <w:lang w:val="en-US"/>
        </w:rPr>
        <w:t>South African National Roads Agency</w:t>
      </w:r>
      <w:r w:rsidRPr="00497ED2">
        <w:rPr>
          <w:lang w:val="en-US"/>
        </w:rPr>
        <w:t xml:space="preserve"> </w:t>
      </w:r>
      <w:r w:rsidRPr="009C4136">
        <w:rPr>
          <w:i/>
          <w:lang w:val="en-US"/>
        </w:rPr>
        <w:t>L</w:t>
      </w:r>
      <w:r w:rsidRPr="00134418">
        <w:rPr>
          <w:i/>
          <w:iCs/>
          <w:lang w:val="en-US"/>
        </w:rPr>
        <w:t>imi</w:t>
      </w:r>
      <w:r w:rsidRPr="005F4463">
        <w:rPr>
          <w:i/>
          <w:lang w:val="en-US"/>
        </w:rPr>
        <w:t>t</w:t>
      </w:r>
      <w:r w:rsidRPr="00134418">
        <w:rPr>
          <w:i/>
          <w:iCs/>
          <w:lang w:val="en-US"/>
        </w:rPr>
        <w:t>e</w:t>
      </w:r>
      <w:r w:rsidRPr="005F4463">
        <w:rPr>
          <w:i/>
          <w:lang w:val="en-US"/>
        </w:rPr>
        <w:t>d</w:t>
      </w:r>
      <w:r w:rsidRPr="00497ED2">
        <w:rPr>
          <w:lang w:val="en-US"/>
        </w:rPr>
        <w:t xml:space="preserve"> </w:t>
      </w:r>
      <w:r w:rsidRPr="009C4136">
        <w:rPr>
          <w:lang w:val="en-US"/>
        </w:rPr>
        <w:t>[2013] ZASCA 148</w:t>
      </w:r>
      <w:r w:rsidRPr="005F4463">
        <w:rPr>
          <w:lang w:val="en-US"/>
        </w:rPr>
        <w:t xml:space="preserve"> at para 26, </w:t>
      </w:r>
      <w:r w:rsidRPr="00134418">
        <w:rPr>
          <w:lang w:val="en-US"/>
        </w:rPr>
        <w:t xml:space="preserve">which were </w:t>
      </w:r>
      <w:r w:rsidRPr="005F4463">
        <w:rPr>
          <w:lang w:val="en-US"/>
        </w:rPr>
        <w:t xml:space="preserve">endorsed by this Court in </w:t>
      </w:r>
      <w:r w:rsidRPr="00134418">
        <w:rPr>
          <w:i/>
          <w:lang w:val="en-US"/>
        </w:rPr>
        <w:t xml:space="preserve">Buffalo City Metropolitan Municipality v </w:t>
      </w:r>
      <w:proofErr w:type="spellStart"/>
      <w:r w:rsidRPr="00F938C9">
        <w:rPr>
          <w:i/>
          <w:lang w:val="en-US"/>
        </w:rPr>
        <w:t>Asla</w:t>
      </w:r>
      <w:proofErr w:type="spellEnd"/>
      <w:r w:rsidRPr="00F938C9">
        <w:rPr>
          <w:i/>
          <w:lang w:val="en-US"/>
        </w:rPr>
        <w:t xml:space="preserve"> Construction </w:t>
      </w:r>
      <w:r w:rsidRPr="00134418">
        <w:rPr>
          <w:i/>
          <w:lang w:val="en-US"/>
        </w:rPr>
        <w:t xml:space="preserve">(Pty) Ltd </w:t>
      </w:r>
      <w:r w:rsidRPr="00134418">
        <w:rPr>
          <w:lang w:val="en-US"/>
        </w:rPr>
        <w:t>[2019] ZACC 15; 2019 (4) SA 331 (CC); 2019 (6) BCLR 661 (CC) (</w:t>
      </w:r>
      <w:proofErr w:type="spellStart"/>
      <w:r w:rsidRPr="00134418">
        <w:rPr>
          <w:i/>
          <w:lang w:val="en-US"/>
        </w:rPr>
        <w:t>Asla</w:t>
      </w:r>
      <w:proofErr w:type="spellEnd"/>
      <w:r w:rsidRPr="00134418">
        <w:rPr>
          <w:i/>
          <w:lang w:val="en-US"/>
        </w:rPr>
        <w:t xml:space="preserve"> Construction</w:t>
      </w:r>
      <w:r w:rsidRPr="00134418">
        <w:rPr>
          <w:lang w:val="en-US"/>
        </w:rPr>
        <w:t>)</w:t>
      </w:r>
      <w:r w:rsidRPr="005F4463">
        <w:rPr>
          <w:lang w:val="en-US"/>
        </w:rPr>
        <w:t xml:space="preserve"> at para 49.</w:t>
      </w:r>
    </w:p>
  </w:footnote>
  <w:footnote w:id="60">
    <w:p w14:paraId="36AB2CF0" w14:textId="77777777" w:rsidR="006F2B89" w:rsidRPr="00E02329" w:rsidRDefault="006F2B89" w:rsidP="006F2B89">
      <w:pPr>
        <w:pStyle w:val="FootnoteText1"/>
      </w:pPr>
      <w:r w:rsidRPr="00134418">
        <w:rPr>
          <w:rStyle w:val="FootnoteReference"/>
          <w:szCs w:val="20"/>
        </w:rPr>
        <w:footnoteRef/>
      </w:r>
      <w:r w:rsidRPr="00134418">
        <w:t xml:space="preserve"> </w:t>
      </w:r>
      <w:r w:rsidRPr="005F4463">
        <w:rPr>
          <w:i/>
        </w:rPr>
        <w:t xml:space="preserve">Khumalo </w:t>
      </w:r>
      <w:r w:rsidRPr="00134418">
        <w:rPr>
          <w:iCs/>
        </w:rPr>
        <w:t>id</w:t>
      </w:r>
      <w:r w:rsidRPr="005F4463">
        <w:t xml:space="preserve"> at</w:t>
      </w:r>
      <w:r w:rsidRPr="00497ED2">
        <w:t xml:space="preserve"> paras 49-52</w:t>
      </w:r>
      <w:r w:rsidRPr="005F4463">
        <w:t>.</w:t>
      </w:r>
    </w:p>
  </w:footnote>
  <w:footnote w:id="61">
    <w:p w14:paraId="5FE7CDED" w14:textId="0B9AFF91" w:rsidR="006F2B89" w:rsidRPr="009C4136" w:rsidRDefault="006F2B89" w:rsidP="006F2B89">
      <w:pPr>
        <w:pStyle w:val="FootnoteText1"/>
        <w:rPr>
          <w:lang w:val="en-US"/>
        </w:rPr>
      </w:pPr>
      <w:r w:rsidRPr="005F4463">
        <w:rPr>
          <w:vertAlign w:val="superscript"/>
        </w:rPr>
        <w:footnoteRef/>
      </w:r>
      <w:r w:rsidRPr="00497ED2">
        <w:t xml:space="preserve"> </w:t>
      </w:r>
      <w:proofErr w:type="spellStart"/>
      <w:r w:rsidRPr="009C4136">
        <w:rPr>
          <w:i/>
        </w:rPr>
        <w:t>Asla</w:t>
      </w:r>
      <w:proofErr w:type="spellEnd"/>
      <w:r w:rsidRPr="009C4136">
        <w:rPr>
          <w:i/>
        </w:rPr>
        <w:t xml:space="preserve"> Construction</w:t>
      </w:r>
      <w:r w:rsidRPr="009C4136">
        <w:t xml:space="preserve"> above </w:t>
      </w:r>
      <w:r w:rsidRPr="00AD1BA9">
        <w:t xml:space="preserve">n </w:t>
      </w:r>
      <w:r w:rsidR="00AD1BA9">
        <w:fldChar w:fldCharType="begin"/>
      </w:r>
      <w:r w:rsidR="00AD1BA9">
        <w:instrText xml:space="preserve"> NOTEREF _Ref88820662 \h </w:instrText>
      </w:r>
      <w:r w:rsidR="00AD1BA9">
        <w:fldChar w:fldCharType="separate"/>
      </w:r>
      <w:r w:rsidR="00053A1E">
        <w:t>59</w:t>
      </w:r>
      <w:r w:rsidR="00AD1BA9">
        <w:fldChar w:fldCharType="end"/>
      </w:r>
      <w:r w:rsidRPr="009C4136">
        <w:t xml:space="preserve"> at para 48.</w:t>
      </w:r>
    </w:p>
  </w:footnote>
  <w:footnote w:id="62">
    <w:p w14:paraId="5AD3D5A9" w14:textId="77777777" w:rsidR="006F2B89" w:rsidRPr="009350A2" w:rsidRDefault="006F2B89" w:rsidP="006F2B89">
      <w:pPr>
        <w:pStyle w:val="FootnoteText1"/>
      </w:pPr>
      <w:r w:rsidRPr="009350A2">
        <w:rPr>
          <w:rStyle w:val="FootnoteReference"/>
        </w:rPr>
        <w:footnoteRef/>
      </w:r>
      <w:r w:rsidRPr="009350A2">
        <w:t xml:space="preserve"> In </w:t>
      </w:r>
      <w:r w:rsidRPr="009350A2">
        <w:rPr>
          <w:i/>
          <w:iCs/>
        </w:rPr>
        <w:t>Associated Institutions Pension Fund v Van Zyl</w:t>
      </w:r>
      <w:r w:rsidRPr="009350A2">
        <w:t xml:space="preserve"> [2004] ZASCA 78; 2005 (2) SA 302 (SCA) at para 48, the Supreme Court of Appeal said the following:</w:t>
      </w:r>
    </w:p>
    <w:p w14:paraId="0BB8A910" w14:textId="5DA09847" w:rsidR="006F2B89" w:rsidRPr="008A2313" w:rsidRDefault="006F2B89" w:rsidP="006F2B89">
      <w:pPr>
        <w:pStyle w:val="QUOTEINFOOTNOTE"/>
      </w:pPr>
      <w:r>
        <w:t>“</w:t>
      </w:r>
      <w:r w:rsidRPr="00123AFA">
        <w:t xml:space="preserve">The reasonableness or unreasonableness of a delay is entirely dependent on the facts and circumstances of any </w:t>
      </w:r>
      <w:r w:rsidRPr="00134418">
        <w:t>particular case . . .</w:t>
      </w:r>
      <w:r w:rsidR="0059268F">
        <w:t xml:space="preserve"> .</w:t>
      </w:r>
      <w:r w:rsidRPr="00134418">
        <w:t xml:space="preserve">  The investigation into the reasonableness of the delay has nothing to do with the court’s discretion.  It is an investigation into the facts of the matter in order to determine whether, in all the circumstances of that case, the delay was reasonable.  Though this question does imply a value judgement it is not to be equated with the judicial discretion involved in the next question, if it arises, namely, whether a delay which has been found to be unreasonable, should be condoned.”</w:t>
      </w:r>
    </w:p>
  </w:footnote>
  <w:footnote w:id="63">
    <w:p w14:paraId="463A772C" w14:textId="0A9265E4" w:rsidR="006F2B89" w:rsidRDefault="006F2B89" w:rsidP="006F2B89">
      <w:pPr>
        <w:pStyle w:val="FootnoteText"/>
      </w:pPr>
      <w:r>
        <w:rPr>
          <w:rStyle w:val="FootnoteReference"/>
        </w:rPr>
        <w:footnoteRef/>
      </w:r>
      <w:r>
        <w:t xml:space="preserve"> </w:t>
      </w:r>
      <w:proofErr w:type="spellStart"/>
      <w:r w:rsidR="00B63A17" w:rsidRPr="00B63A17">
        <w:rPr>
          <w:i/>
        </w:rPr>
        <w:t>Trencon</w:t>
      </w:r>
      <w:proofErr w:type="spellEnd"/>
      <w:r w:rsidR="00B63A17" w:rsidRPr="00B63A17">
        <w:rPr>
          <w:i/>
        </w:rPr>
        <w:t xml:space="preserve"> Construction (Pty) Ltd v Industrial Development Corporation of South Africa Ltd </w:t>
      </w:r>
      <w:r w:rsidR="00B63A17" w:rsidRPr="00B63A17">
        <w:rPr>
          <w:iCs/>
        </w:rPr>
        <w:t>[2015] ZACC 22; 2015 (5) SA 245 (CC); 2015 (10) BCLR 1199 (CC)</w:t>
      </w:r>
      <w:r w:rsidR="00B63A17" w:rsidRPr="00B63A17">
        <w:rPr>
          <w:i/>
        </w:rPr>
        <w:t xml:space="preserve"> (</w:t>
      </w:r>
      <w:proofErr w:type="spellStart"/>
      <w:r w:rsidR="00B63A17" w:rsidRPr="00B63A17">
        <w:rPr>
          <w:i/>
        </w:rPr>
        <w:t>Trencon</w:t>
      </w:r>
      <w:proofErr w:type="spellEnd"/>
      <w:r w:rsidR="00B63A17" w:rsidRPr="00B63A17">
        <w:rPr>
          <w:i/>
        </w:rPr>
        <w:t>)</w:t>
      </w:r>
      <w:r w:rsidR="00B63A17">
        <w:rPr>
          <w:iCs/>
        </w:rPr>
        <w:t xml:space="preserve"> at</w:t>
      </w:r>
      <w:r w:rsidR="00B63A17" w:rsidRPr="00B63A17">
        <w:rPr>
          <w:i/>
        </w:rPr>
        <w:t xml:space="preserve"> </w:t>
      </w:r>
      <w:r w:rsidRPr="00B63A17">
        <w:t>para 88.</w:t>
      </w:r>
    </w:p>
  </w:footnote>
  <w:footnote w:id="64">
    <w:p w14:paraId="4BFA9AD7" w14:textId="5C937139" w:rsidR="006F2B89" w:rsidRPr="003B3BC3" w:rsidRDefault="006F2B89" w:rsidP="006F2B89">
      <w:pPr>
        <w:pStyle w:val="FootnoteText"/>
        <w:rPr>
          <w:lang w:val="en-US"/>
        </w:rPr>
      </w:pPr>
      <w:r>
        <w:rPr>
          <w:rStyle w:val="FootnoteReference"/>
        </w:rPr>
        <w:footnoteRef/>
      </w:r>
      <w:r>
        <w:t xml:space="preserve"> </w:t>
      </w:r>
      <w:r>
        <w:rPr>
          <w:lang w:val="en-US"/>
        </w:rPr>
        <w:t xml:space="preserve">High Court judgment above </w:t>
      </w:r>
      <w:r w:rsidRPr="001A143D">
        <w:rPr>
          <w:lang w:val="en-US"/>
        </w:rPr>
        <w:t xml:space="preserve">n </w:t>
      </w:r>
      <w:r w:rsidR="001A143D">
        <w:rPr>
          <w:lang w:val="en-US"/>
        </w:rPr>
        <w:fldChar w:fldCharType="begin"/>
      </w:r>
      <w:r w:rsidR="001A143D">
        <w:rPr>
          <w:lang w:val="en-US"/>
        </w:rPr>
        <w:instrText xml:space="preserve"> NOTEREF _Ref88821955 \h </w:instrText>
      </w:r>
      <w:r w:rsidR="001A143D">
        <w:rPr>
          <w:lang w:val="en-US"/>
        </w:rPr>
      </w:r>
      <w:r w:rsidR="001A143D">
        <w:rPr>
          <w:lang w:val="en-US"/>
        </w:rPr>
        <w:fldChar w:fldCharType="separate"/>
      </w:r>
      <w:r w:rsidR="00053A1E">
        <w:rPr>
          <w:lang w:val="en-US"/>
        </w:rPr>
        <w:t>6</w:t>
      </w:r>
      <w:r w:rsidR="001A143D">
        <w:rPr>
          <w:lang w:val="en-US"/>
        </w:rPr>
        <w:fldChar w:fldCharType="end"/>
      </w:r>
      <w:r>
        <w:rPr>
          <w:lang w:val="en-US"/>
        </w:rPr>
        <w:t xml:space="preserve"> at para 59.</w:t>
      </w:r>
    </w:p>
  </w:footnote>
  <w:footnote w:id="65">
    <w:p w14:paraId="68130B5C" w14:textId="77601FFF" w:rsidR="006F2B89" w:rsidRPr="00017DFD" w:rsidRDefault="006F2B89" w:rsidP="006F2B89">
      <w:pPr>
        <w:pStyle w:val="FootnoteText"/>
        <w:rPr>
          <w:lang w:val="en-US"/>
        </w:rPr>
      </w:pPr>
      <w:r>
        <w:rPr>
          <w:rStyle w:val="FootnoteReference"/>
        </w:rPr>
        <w:footnoteRef/>
      </w:r>
      <w:r>
        <w:t xml:space="preserve"> </w:t>
      </w:r>
      <w:r>
        <w:rPr>
          <w:lang w:val="en-US"/>
        </w:rPr>
        <w:t xml:space="preserve">Supreme Court of Appeal judgment above </w:t>
      </w:r>
      <w:r w:rsidRPr="001A143D">
        <w:rPr>
          <w:lang w:val="en-US"/>
        </w:rPr>
        <w:t xml:space="preserve">n </w:t>
      </w:r>
      <w:r w:rsidR="001A143D">
        <w:rPr>
          <w:lang w:val="en-US"/>
        </w:rPr>
        <w:fldChar w:fldCharType="begin"/>
      </w:r>
      <w:r w:rsidR="001A143D">
        <w:rPr>
          <w:lang w:val="en-US"/>
        </w:rPr>
        <w:instrText xml:space="preserve"> NOTEREF _Ref86922205 \h </w:instrText>
      </w:r>
      <w:r w:rsidR="001A143D">
        <w:rPr>
          <w:lang w:val="en-US"/>
        </w:rPr>
      </w:r>
      <w:r w:rsidR="001A143D">
        <w:rPr>
          <w:lang w:val="en-US"/>
        </w:rPr>
        <w:fldChar w:fldCharType="separate"/>
      </w:r>
      <w:r w:rsidR="00053A1E">
        <w:rPr>
          <w:lang w:val="en-US"/>
        </w:rPr>
        <w:t>10</w:t>
      </w:r>
      <w:r w:rsidR="001A143D">
        <w:rPr>
          <w:lang w:val="en-US"/>
        </w:rPr>
        <w:fldChar w:fldCharType="end"/>
      </w:r>
      <w:r>
        <w:rPr>
          <w:lang w:val="en-US"/>
        </w:rPr>
        <w:t xml:space="preserve"> at para 119.</w:t>
      </w:r>
    </w:p>
  </w:footnote>
  <w:footnote w:id="66">
    <w:p w14:paraId="3DA7BFC8" w14:textId="65782945" w:rsidR="006F2B89" w:rsidRPr="003B7AF3" w:rsidRDefault="006F2B89" w:rsidP="006F2B89">
      <w:pPr>
        <w:pStyle w:val="FootnoteText"/>
        <w:rPr>
          <w:lang w:val="en-US"/>
        </w:rPr>
      </w:pPr>
      <w:r>
        <w:rPr>
          <w:rStyle w:val="FootnoteReference"/>
        </w:rPr>
        <w:footnoteRef/>
      </w:r>
      <w:r>
        <w:t xml:space="preserve"> </w:t>
      </w:r>
      <w:r>
        <w:rPr>
          <w:lang w:val="en-US"/>
        </w:rPr>
        <w:t xml:space="preserve">High Court judgment </w:t>
      </w:r>
      <w:r w:rsidRPr="001A143D">
        <w:rPr>
          <w:lang w:val="en-US"/>
        </w:rPr>
        <w:t xml:space="preserve">above n </w:t>
      </w:r>
      <w:r w:rsidR="001A143D">
        <w:rPr>
          <w:lang w:val="en-US"/>
        </w:rPr>
        <w:fldChar w:fldCharType="begin"/>
      </w:r>
      <w:r w:rsidR="001A143D">
        <w:rPr>
          <w:lang w:val="en-US"/>
        </w:rPr>
        <w:instrText xml:space="preserve"> NOTEREF _Ref88821955 \h </w:instrText>
      </w:r>
      <w:r w:rsidR="001A143D">
        <w:rPr>
          <w:lang w:val="en-US"/>
        </w:rPr>
      </w:r>
      <w:r w:rsidR="001A143D">
        <w:rPr>
          <w:lang w:val="en-US"/>
        </w:rPr>
        <w:fldChar w:fldCharType="separate"/>
      </w:r>
      <w:r w:rsidR="00053A1E">
        <w:rPr>
          <w:lang w:val="en-US"/>
        </w:rPr>
        <w:t>6</w:t>
      </w:r>
      <w:r w:rsidR="001A143D">
        <w:rPr>
          <w:lang w:val="en-US"/>
        </w:rPr>
        <w:fldChar w:fldCharType="end"/>
      </w:r>
      <w:r w:rsidR="001A143D">
        <w:rPr>
          <w:lang w:val="en-US"/>
        </w:rPr>
        <w:t xml:space="preserve"> </w:t>
      </w:r>
      <w:r>
        <w:rPr>
          <w:lang w:val="en-US"/>
        </w:rPr>
        <w:t>at para 59.</w:t>
      </w:r>
    </w:p>
  </w:footnote>
  <w:footnote w:id="67">
    <w:p w14:paraId="6775430E" w14:textId="77777777" w:rsidR="006F2B89" w:rsidRPr="00C86566" w:rsidRDefault="006F2B89" w:rsidP="006F2B89">
      <w:pPr>
        <w:pStyle w:val="FootnoteText"/>
        <w:rPr>
          <w:lang w:val="en-US"/>
        </w:rPr>
      </w:pPr>
      <w:r>
        <w:rPr>
          <w:rStyle w:val="FootnoteReference"/>
        </w:rPr>
        <w:footnoteRef/>
      </w:r>
      <w:r>
        <w:t xml:space="preserve"> </w:t>
      </w:r>
      <w:r>
        <w:rPr>
          <w:lang w:val="en-US"/>
        </w:rPr>
        <w:t>Id.</w:t>
      </w:r>
    </w:p>
  </w:footnote>
  <w:footnote w:id="68">
    <w:p w14:paraId="189A6367" w14:textId="5EAC3C2E" w:rsidR="006F2B89" w:rsidRPr="00E4305E" w:rsidRDefault="006F2B89" w:rsidP="006F2B89">
      <w:pPr>
        <w:pStyle w:val="FootnoteText"/>
        <w:rPr>
          <w:lang w:val="en-US"/>
        </w:rPr>
      </w:pPr>
      <w:r w:rsidRPr="00E4305E">
        <w:rPr>
          <w:rStyle w:val="FootnoteReference"/>
        </w:rPr>
        <w:footnoteRef/>
      </w:r>
      <w:r w:rsidRPr="00E4305E">
        <w:t xml:space="preserve"> </w:t>
      </w:r>
      <w:proofErr w:type="spellStart"/>
      <w:r w:rsidRPr="00E4305E">
        <w:rPr>
          <w:i/>
          <w:iCs/>
          <w:lang w:val="en-US"/>
        </w:rPr>
        <w:t>Asla</w:t>
      </w:r>
      <w:proofErr w:type="spellEnd"/>
      <w:r w:rsidRPr="00E4305E">
        <w:rPr>
          <w:i/>
          <w:iCs/>
          <w:lang w:val="en-US"/>
        </w:rPr>
        <w:t xml:space="preserve"> Construction</w:t>
      </w:r>
      <w:r w:rsidRPr="00E4305E">
        <w:rPr>
          <w:lang w:val="en-US"/>
        </w:rPr>
        <w:t xml:space="preserve"> above </w:t>
      </w:r>
      <w:r w:rsidRPr="00AD1BA9">
        <w:rPr>
          <w:lang w:val="en-US"/>
        </w:rPr>
        <w:t xml:space="preserve">n </w:t>
      </w:r>
      <w:r w:rsidR="00AD1BA9">
        <w:rPr>
          <w:lang w:val="en-US"/>
        </w:rPr>
        <w:fldChar w:fldCharType="begin"/>
      </w:r>
      <w:r w:rsidR="00AD1BA9">
        <w:rPr>
          <w:lang w:val="en-US"/>
        </w:rPr>
        <w:instrText xml:space="preserve"> NOTEREF _Ref88820662 \h </w:instrText>
      </w:r>
      <w:r w:rsidR="00AD1BA9">
        <w:rPr>
          <w:lang w:val="en-US"/>
        </w:rPr>
      </w:r>
      <w:r w:rsidR="00AD1BA9">
        <w:rPr>
          <w:lang w:val="en-US"/>
        </w:rPr>
        <w:fldChar w:fldCharType="separate"/>
      </w:r>
      <w:r w:rsidR="00053A1E">
        <w:rPr>
          <w:lang w:val="en-US"/>
        </w:rPr>
        <w:t>59</w:t>
      </w:r>
      <w:r w:rsidR="00AD1BA9">
        <w:rPr>
          <w:lang w:val="en-US"/>
        </w:rPr>
        <w:fldChar w:fldCharType="end"/>
      </w:r>
      <w:r w:rsidRPr="00E4305E">
        <w:rPr>
          <w:lang w:val="en-US"/>
        </w:rPr>
        <w:t xml:space="preserve"> at para 52.</w:t>
      </w:r>
    </w:p>
  </w:footnote>
  <w:footnote w:id="69">
    <w:p w14:paraId="75E42ECC" w14:textId="77777777" w:rsidR="006F2B89" w:rsidRPr="005849C6" w:rsidRDefault="006F2B89" w:rsidP="006F2B89">
      <w:pPr>
        <w:pStyle w:val="FootnoteText"/>
        <w:rPr>
          <w:lang w:val="en-US"/>
        </w:rPr>
      </w:pPr>
      <w:r w:rsidRPr="00E4305E">
        <w:rPr>
          <w:rStyle w:val="FootnoteReference"/>
        </w:rPr>
        <w:footnoteRef/>
      </w:r>
      <w:r w:rsidRPr="00E4305E">
        <w:t xml:space="preserve"> </w:t>
      </w:r>
      <w:r w:rsidRPr="00E4305E">
        <w:rPr>
          <w:lang w:val="en-US"/>
        </w:rPr>
        <w:t xml:space="preserve">Id at </w:t>
      </w:r>
      <w:proofErr w:type="spellStart"/>
      <w:r w:rsidRPr="00E4305E">
        <w:rPr>
          <w:lang w:val="en-US"/>
        </w:rPr>
        <w:t>fn</w:t>
      </w:r>
      <w:proofErr w:type="spellEnd"/>
      <w:r w:rsidRPr="00E4305E">
        <w:rPr>
          <w:lang w:val="en-US"/>
        </w:rPr>
        <w:t xml:space="preserve"> 40.</w:t>
      </w:r>
    </w:p>
  </w:footnote>
  <w:footnote w:id="70">
    <w:p w14:paraId="4DE433C8" w14:textId="255BC31B" w:rsidR="006F2B89" w:rsidRPr="00E70DFF" w:rsidRDefault="006F2B89" w:rsidP="006F2B89">
      <w:pPr>
        <w:pStyle w:val="FootnoteText"/>
        <w:rPr>
          <w:lang w:val="en-US"/>
        </w:rPr>
      </w:pPr>
      <w:r>
        <w:rPr>
          <w:rStyle w:val="FootnoteReference"/>
        </w:rPr>
        <w:footnoteRef/>
      </w:r>
      <w:r>
        <w:t xml:space="preserve"> </w:t>
      </w:r>
      <w:proofErr w:type="spellStart"/>
      <w:r w:rsidRPr="005230B8">
        <w:rPr>
          <w:i/>
          <w:iCs/>
          <w:lang w:val="en-US"/>
        </w:rPr>
        <w:t>Notyawa</w:t>
      </w:r>
      <w:proofErr w:type="spellEnd"/>
      <w:r>
        <w:rPr>
          <w:lang w:val="en-US"/>
        </w:rPr>
        <w:t xml:space="preserve"> </w:t>
      </w:r>
      <w:r w:rsidRPr="00B63A17">
        <w:rPr>
          <w:lang w:val="en-US"/>
        </w:rPr>
        <w:t xml:space="preserve">above n </w:t>
      </w:r>
      <w:r w:rsidR="00B63A17">
        <w:rPr>
          <w:lang w:val="en-US"/>
        </w:rPr>
        <w:fldChar w:fldCharType="begin"/>
      </w:r>
      <w:r w:rsidR="00B63A17">
        <w:rPr>
          <w:lang w:val="en-US"/>
        </w:rPr>
        <w:instrText xml:space="preserve"> NOTEREF _Ref86407589 \h </w:instrText>
      </w:r>
      <w:r w:rsidR="00B63A17">
        <w:rPr>
          <w:lang w:val="en-US"/>
        </w:rPr>
      </w:r>
      <w:r w:rsidR="00B63A17">
        <w:rPr>
          <w:lang w:val="en-US"/>
        </w:rPr>
        <w:fldChar w:fldCharType="separate"/>
      </w:r>
      <w:r w:rsidR="00053A1E">
        <w:rPr>
          <w:lang w:val="en-US"/>
        </w:rPr>
        <w:t>21</w:t>
      </w:r>
      <w:r w:rsidR="00B63A17">
        <w:rPr>
          <w:lang w:val="en-US"/>
        </w:rPr>
        <w:fldChar w:fldCharType="end"/>
      </w:r>
      <w:r w:rsidR="00B63A17">
        <w:rPr>
          <w:lang w:val="en-US"/>
        </w:rPr>
        <w:t xml:space="preserve"> </w:t>
      </w:r>
      <w:r>
        <w:rPr>
          <w:lang w:val="en-US"/>
        </w:rPr>
        <w:t>at paras 40-1.</w:t>
      </w:r>
    </w:p>
  </w:footnote>
  <w:footnote w:id="71">
    <w:p w14:paraId="46A35A3F" w14:textId="012AB66C" w:rsidR="006F2B89" w:rsidRPr="008F16D4" w:rsidRDefault="006F2B89" w:rsidP="006F2B89">
      <w:pPr>
        <w:pStyle w:val="FootnoteText"/>
        <w:rPr>
          <w:lang w:val="en-US"/>
        </w:rPr>
      </w:pPr>
      <w:r>
        <w:rPr>
          <w:rStyle w:val="FootnoteReference"/>
        </w:rPr>
        <w:footnoteRef/>
      </w:r>
      <w:r>
        <w:t xml:space="preserve"> Supreme Court of Appeal judgment above </w:t>
      </w:r>
      <w:r w:rsidRPr="00B63A17">
        <w:t xml:space="preserve">n </w:t>
      </w:r>
      <w:r w:rsidR="00B63A17">
        <w:fldChar w:fldCharType="begin"/>
      </w:r>
      <w:r w:rsidR="00B63A17">
        <w:instrText xml:space="preserve"> NOTEREF _Ref86922205 \h </w:instrText>
      </w:r>
      <w:r w:rsidR="00B63A17">
        <w:fldChar w:fldCharType="separate"/>
      </w:r>
      <w:r w:rsidR="00053A1E">
        <w:t>10</w:t>
      </w:r>
      <w:r w:rsidR="00B63A17">
        <w:fldChar w:fldCharType="end"/>
      </w:r>
      <w:r w:rsidR="00B63A17">
        <w:t xml:space="preserve"> </w:t>
      </w:r>
      <w:r>
        <w:t xml:space="preserve">at para 52 and </w:t>
      </w:r>
      <w:proofErr w:type="spellStart"/>
      <w:r w:rsidRPr="008F16D4">
        <w:rPr>
          <w:i/>
          <w:iCs/>
          <w:lang w:val="en-US"/>
        </w:rPr>
        <w:t>Notyawa</w:t>
      </w:r>
      <w:proofErr w:type="spellEnd"/>
      <w:r>
        <w:rPr>
          <w:lang w:val="en-US"/>
        </w:rPr>
        <w:t xml:space="preserve"> </w:t>
      </w:r>
      <w:r w:rsidR="00B63A17">
        <w:rPr>
          <w:lang w:val="en-US"/>
        </w:rPr>
        <w:t>id</w:t>
      </w:r>
      <w:r>
        <w:rPr>
          <w:lang w:val="en-US"/>
        </w:rPr>
        <w:t xml:space="preserve"> at para 52.</w:t>
      </w:r>
    </w:p>
  </w:footnote>
  <w:footnote w:id="72">
    <w:p w14:paraId="03C9ED85" w14:textId="77777777" w:rsidR="006F2B89" w:rsidRPr="00553220" w:rsidRDefault="006F2B89" w:rsidP="006F2B89">
      <w:pPr>
        <w:pStyle w:val="FootnoteText"/>
        <w:rPr>
          <w:lang w:val="en-US"/>
        </w:rPr>
      </w:pPr>
      <w:r>
        <w:rPr>
          <w:rStyle w:val="FootnoteReference"/>
        </w:rPr>
        <w:footnoteRef/>
      </w:r>
      <w:r>
        <w:t xml:space="preserve"> </w:t>
      </w:r>
      <w:r>
        <w:rPr>
          <w:lang w:val="en-US"/>
        </w:rPr>
        <w:t xml:space="preserve">Supreme Court of Appeal judgment id at para 51 and </w:t>
      </w:r>
      <w:proofErr w:type="spellStart"/>
      <w:r w:rsidRPr="00FB6EC9">
        <w:rPr>
          <w:i/>
          <w:iCs/>
          <w:lang w:val="en-US"/>
        </w:rPr>
        <w:t>Notyaw</w:t>
      </w:r>
      <w:r>
        <w:rPr>
          <w:lang w:val="en-US"/>
        </w:rPr>
        <w:t>a</w:t>
      </w:r>
      <w:proofErr w:type="spellEnd"/>
      <w:r>
        <w:rPr>
          <w:lang w:val="en-US"/>
        </w:rPr>
        <w:t xml:space="preserve"> id at para 53.</w:t>
      </w:r>
    </w:p>
  </w:footnote>
  <w:footnote w:id="73">
    <w:p w14:paraId="74A9B77E" w14:textId="77777777" w:rsidR="006F2B89" w:rsidRPr="006B08CC" w:rsidRDefault="006F2B89" w:rsidP="006F2B89">
      <w:pPr>
        <w:pStyle w:val="FootnoteText"/>
        <w:rPr>
          <w:lang w:val="en-US"/>
        </w:rPr>
      </w:pPr>
      <w:r>
        <w:rPr>
          <w:rStyle w:val="FootnoteReference"/>
        </w:rPr>
        <w:footnoteRef/>
      </w:r>
      <w:r>
        <w:t xml:space="preserve"> </w:t>
      </w:r>
      <w:r>
        <w:rPr>
          <w:lang w:val="en-US"/>
        </w:rPr>
        <w:t>Supreme Court of Appeal judgment id.</w:t>
      </w:r>
    </w:p>
  </w:footnote>
  <w:footnote w:id="74">
    <w:p w14:paraId="2DF1551C" w14:textId="77777777" w:rsidR="006F2B89" w:rsidRPr="00FA3541" w:rsidRDefault="006F2B89" w:rsidP="006F2B89">
      <w:pPr>
        <w:pStyle w:val="FootnoteText"/>
        <w:rPr>
          <w:lang w:val="en-US"/>
        </w:rPr>
      </w:pPr>
      <w:r>
        <w:rPr>
          <w:rStyle w:val="FootnoteReference"/>
        </w:rPr>
        <w:footnoteRef/>
      </w:r>
      <w:r>
        <w:t xml:space="preserve"> </w:t>
      </w:r>
      <w:r>
        <w:rPr>
          <w:lang w:val="en-US"/>
        </w:rPr>
        <w:t>Id.</w:t>
      </w:r>
    </w:p>
  </w:footnote>
  <w:footnote w:id="75">
    <w:p w14:paraId="1E5AE239" w14:textId="77777777" w:rsidR="006F2B89" w:rsidRPr="00B8054C" w:rsidRDefault="006F2B89" w:rsidP="006F2B89">
      <w:pPr>
        <w:pStyle w:val="FootnoteText"/>
        <w:rPr>
          <w:rFonts w:ascii="Arial" w:hAnsi="Arial"/>
          <w:color w:val="64473A"/>
        </w:rPr>
      </w:pPr>
      <w:r w:rsidRPr="0072354E">
        <w:rPr>
          <w:vertAlign w:val="superscript"/>
          <w:lang w:val="en-US"/>
        </w:rPr>
        <w:footnoteRef/>
      </w:r>
      <w:r w:rsidRPr="00B318FF">
        <w:rPr>
          <w:lang w:val="en-US"/>
        </w:rPr>
        <w:t xml:space="preserve"> </w:t>
      </w:r>
      <w:r w:rsidRPr="007611D4">
        <w:rPr>
          <w:i/>
          <w:iCs/>
          <w:lang w:val="en-US"/>
        </w:rPr>
        <w:t xml:space="preserve">State Information Technology Agency SOC Limited v </w:t>
      </w:r>
      <w:proofErr w:type="spellStart"/>
      <w:r w:rsidRPr="007611D4">
        <w:rPr>
          <w:i/>
          <w:iCs/>
          <w:lang w:val="en-US"/>
        </w:rPr>
        <w:t>Gijima</w:t>
      </w:r>
      <w:proofErr w:type="spellEnd"/>
      <w:r w:rsidRPr="007611D4">
        <w:rPr>
          <w:i/>
          <w:iCs/>
          <w:lang w:val="en-US"/>
        </w:rPr>
        <w:t xml:space="preserve"> Holdings (Pty) Limited</w:t>
      </w:r>
      <w:r w:rsidRPr="00B318FF">
        <w:rPr>
          <w:lang w:val="en-US"/>
        </w:rPr>
        <w:t xml:space="preserve"> [2017] Z</w:t>
      </w:r>
      <w:r>
        <w:rPr>
          <w:lang w:val="en-US"/>
        </w:rPr>
        <w:t xml:space="preserve">ACC 40; </w:t>
      </w:r>
      <w:r w:rsidRPr="00B318FF">
        <w:rPr>
          <w:lang w:val="en-US"/>
        </w:rPr>
        <w:t>2018 (2) SA 23 (CC)</w:t>
      </w:r>
      <w:r>
        <w:rPr>
          <w:lang w:val="en-US"/>
        </w:rPr>
        <w:t>; 2018 (2) BCLR 240 (CC) (</w:t>
      </w:r>
      <w:proofErr w:type="spellStart"/>
      <w:r w:rsidRPr="007611D4">
        <w:rPr>
          <w:i/>
          <w:iCs/>
          <w:lang w:val="en-US"/>
        </w:rPr>
        <w:t>Gijima</w:t>
      </w:r>
      <w:proofErr w:type="spellEnd"/>
      <w:r>
        <w:rPr>
          <w:lang w:val="en-US"/>
        </w:rPr>
        <w:t>)</w:t>
      </w:r>
      <w:r w:rsidRPr="00B318FF">
        <w:rPr>
          <w:lang w:val="en-US"/>
        </w:rPr>
        <w:t xml:space="preserve"> </w:t>
      </w:r>
      <w:r>
        <w:rPr>
          <w:lang w:val="en-US"/>
        </w:rPr>
        <w:t>at para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763C" w14:textId="6F252A6B" w:rsidR="004C482D" w:rsidRDefault="004C482D" w:rsidP="004C3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49221" w14:textId="2C5A760D" w:rsidR="004C482D" w:rsidRDefault="004C482D" w:rsidP="00EF0D5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5FCF" w14:textId="77777777" w:rsidR="004C482D" w:rsidRDefault="004C482D" w:rsidP="00EF0D5C">
    <w:pPr>
      <w:pStyle w:val="Header"/>
      <w:jc w:val="right"/>
    </w:pPr>
    <w:r>
      <w:t>TSHIQI J</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47A6" w14:textId="68625792" w:rsidR="006F2B89" w:rsidRDefault="006F2B89" w:rsidP="00EF0D5C">
    <w:pPr>
      <w:pStyle w:val="Header"/>
      <w:jc w:val="right"/>
    </w:pPr>
    <w:r>
      <w:t>TSHIQI J / THERON J</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BA17" w14:textId="2338B9C8" w:rsidR="006F2B89" w:rsidRDefault="006F2B89" w:rsidP="00EF0D5C">
    <w:pPr>
      <w:pStyle w:val="Header"/>
      <w:jc w:val="right"/>
    </w:pPr>
    <w:r>
      <w:t>THERON J</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F03A" w14:textId="264FAC3A" w:rsidR="004C482D" w:rsidRDefault="004C482D" w:rsidP="00EF0D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A26"/>
    <w:multiLevelType w:val="hybridMultilevel"/>
    <w:tmpl w:val="C30AD0BA"/>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15:restartNumberingAfterBreak="0">
    <w:nsid w:val="3FB0169B"/>
    <w:multiLevelType w:val="hybridMultilevel"/>
    <w:tmpl w:val="575848E4"/>
    <w:lvl w:ilvl="0" w:tplc="017EA18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52EB4026"/>
    <w:multiLevelType w:val="hybridMultilevel"/>
    <w:tmpl w:val="48763A48"/>
    <w:lvl w:ilvl="0" w:tplc="B2E4596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E5A223E"/>
    <w:multiLevelType w:val="hybridMultilevel"/>
    <w:tmpl w:val="78D64100"/>
    <w:lvl w:ilvl="0" w:tplc="A2C28E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F3"/>
    <w:rsid w:val="00003278"/>
    <w:rsid w:val="00003DCF"/>
    <w:rsid w:val="00004991"/>
    <w:rsid w:val="00005B96"/>
    <w:rsid w:val="000104E6"/>
    <w:rsid w:val="00010693"/>
    <w:rsid w:val="00011338"/>
    <w:rsid w:val="00011FF8"/>
    <w:rsid w:val="000123EA"/>
    <w:rsid w:val="0001469E"/>
    <w:rsid w:val="00014758"/>
    <w:rsid w:val="00015829"/>
    <w:rsid w:val="0001754E"/>
    <w:rsid w:val="00020D5F"/>
    <w:rsid w:val="00020EB7"/>
    <w:rsid w:val="00021B45"/>
    <w:rsid w:val="00022355"/>
    <w:rsid w:val="00022455"/>
    <w:rsid w:val="0002284D"/>
    <w:rsid w:val="00024BF2"/>
    <w:rsid w:val="00025C0F"/>
    <w:rsid w:val="00026CAA"/>
    <w:rsid w:val="00027849"/>
    <w:rsid w:val="0003222E"/>
    <w:rsid w:val="0003332C"/>
    <w:rsid w:val="0003374F"/>
    <w:rsid w:val="00035008"/>
    <w:rsid w:val="00035DE9"/>
    <w:rsid w:val="000361F8"/>
    <w:rsid w:val="000368FE"/>
    <w:rsid w:val="0004099F"/>
    <w:rsid w:val="00041234"/>
    <w:rsid w:val="00041C5D"/>
    <w:rsid w:val="00042E4C"/>
    <w:rsid w:val="0004306D"/>
    <w:rsid w:val="00044EDA"/>
    <w:rsid w:val="00046138"/>
    <w:rsid w:val="00050FE2"/>
    <w:rsid w:val="00053A1E"/>
    <w:rsid w:val="00053B1B"/>
    <w:rsid w:val="00056F0C"/>
    <w:rsid w:val="000570BC"/>
    <w:rsid w:val="00060A48"/>
    <w:rsid w:val="00061624"/>
    <w:rsid w:val="00062724"/>
    <w:rsid w:val="000637DE"/>
    <w:rsid w:val="000704F2"/>
    <w:rsid w:val="00070C16"/>
    <w:rsid w:val="00070F6F"/>
    <w:rsid w:val="000717B1"/>
    <w:rsid w:val="0007242E"/>
    <w:rsid w:val="00072FF7"/>
    <w:rsid w:val="00073DCE"/>
    <w:rsid w:val="00075516"/>
    <w:rsid w:val="00076146"/>
    <w:rsid w:val="00080EB8"/>
    <w:rsid w:val="0008371B"/>
    <w:rsid w:val="00084288"/>
    <w:rsid w:val="00084521"/>
    <w:rsid w:val="00085C72"/>
    <w:rsid w:val="00087850"/>
    <w:rsid w:val="00094580"/>
    <w:rsid w:val="00094CF8"/>
    <w:rsid w:val="00095038"/>
    <w:rsid w:val="000955E8"/>
    <w:rsid w:val="00095A15"/>
    <w:rsid w:val="00096107"/>
    <w:rsid w:val="000961C3"/>
    <w:rsid w:val="00096A50"/>
    <w:rsid w:val="00096E3E"/>
    <w:rsid w:val="000A0A90"/>
    <w:rsid w:val="000A117D"/>
    <w:rsid w:val="000A32B9"/>
    <w:rsid w:val="000A62A0"/>
    <w:rsid w:val="000A7955"/>
    <w:rsid w:val="000A7E3D"/>
    <w:rsid w:val="000B0681"/>
    <w:rsid w:val="000B0C92"/>
    <w:rsid w:val="000B18DC"/>
    <w:rsid w:val="000B22E6"/>
    <w:rsid w:val="000B2C0F"/>
    <w:rsid w:val="000B3F10"/>
    <w:rsid w:val="000B4A8C"/>
    <w:rsid w:val="000B5BD0"/>
    <w:rsid w:val="000C2358"/>
    <w:rsid w:val="000C3160"/>
    <w:rsid w:val="000C38CF"/>
    <w:rsid w:val="000C3DE3"/>
    <w:rsid w:val="000C51D4"/>
    <w:rsid w:val="000C6903"/>
    <w:rsid w:val="000C6AD6"/>
    <w:rsid w:val="000C7499"/>
    <w:rsid w:val="000C79B9"/>
    <w:rsid w:val="000D4A53"/>
    <w:rsid w:val="000D622A"/>
    <w:rsid w:val="000E0CA7"/>
    <w:rsid w:val="000E2B6D"/>
    <w:rsid w:val="000E5F48"/>
    <w:rsid w:val="000E7C66"/>
    <w:rsid w:val="000F0689"/>
    <w:rsid w:val="000F098A"/>
    <w:rsid w:val="000F1400"/>
    <w:rsid w:val="000F15D5"/>
    <w:rsid w:val="000F1748"/>
    <w:rsid w:val="000F22AD"/>
    <w:rsid w:val="000F2993"/>
    <w:rsid w:val="000F3441"/>
    <w:rsid w:val="000F498E"/>
    <w:rsid w:val="000F4B64"/>
    <w:rsid w:val="000F7521"/>
    <w:rsid w:val="000F7F2C"/>
    <w:rsid w:val="001016AC"/>
    <w:rsid w:val="00102AE8"/>
    <w:rsid w:val="001051A9"/>
    <w:rsid w:val="001062BC"/>
    <w:rsid w:val="0010735A"/>
    <w:rsid w:val="00110593"/>
    <w:rsid w:val="0011135E"/>
    <w:rsid w:val="00115B16"/>
    <w:rsid w:val="001164FB"/>
    <w:rsid w:val="001171B2"/>
    <w:rsid w:val="00127DF1"/>
    <w:rsid w:val="00130480"/>
    <w:rsid w:val="001304B2"/>
    <w:rsid w:val="0013069F"/>
    <w:rsid w:val="001309D7"/>
    <w:rsid w:val="00132DC8"/>
    <w:rsid w:val="0013627B"/>
    <w:rsid w:val="00140481"/>
    <w:rsid w:val="001422EA"/>
    <w:rsid w:val="0014357A"/>
    <w:rsid w:val="00145E80"/>
    <w:rsid w:val="001476E7"/>
    <w:rsid w:val="0015089A"/>
    <w:rsid w:val="00152656"/>
    <w:rsid w:val="00152CE4"/>
    <w:rsid w:val="00153A95"/>
    <w:rsid w:val="00154F59"/>
    <w:rsid w:val="00155276"/>
    <w:rsid w:val="001570A5"/>
    <w:rsid w:val="001611B1"/>
    <w:rsid w:val="00161CE5"/>
    <w:rsid w:val="0016238B"/>
    <w:rsid w:val="00162690"/>
    <w:rsid w:val="00162919"/>
    <w:rsid w:val="00164AF1"/>
    <w:rsid w:val="00164E6D"/>
    <w:rsid w:val="00172066"/>
    <w:rsid w:val="00173023"/>
    <w:rsid w:val="00173424"/>
    <w:rsid w:val="00173AAD"/>
    <w:rsid w:val="00174780"/>
    <w:rsid w:val="00174981"/>
    <w:rsid w:val="00175B92"/>
    <w:rsid w:val="00177E8A"/>
    <w:rsid w:val="001839D4"/>
    <w:rsid w:val="00183FC9"/>
    <w:rsid w:val="00184A43"/>
    <w:rsid w:val="00184AD7"/>
    <w:rsid w:val="00186944"/>
    <w:rsid w:val="00187119"/>
    <w:rsid w:val="0019186F"/>
    <w:rsid w:val="001927E9"/>
    <w:rsid w:val="00192DF0"/>
    <w:rsid w:val="001945EB"/>
    <w:rsid w:val="00194B9C"/>
    <w:rsid w:val="001A143D"/>
    <w:rsid w:val="001A31B0"/>
    <w:rsid w:val="001A3F0E"/>
    <w:rsid w:val="001A499E"/>
    <w:rsid w:val="001A50C4"/>
    <w:rsid w:val="001A6B64"/>
    <w:rsid w:val="001B0057"/>
    <w:rsid w:val="001B08E0"/>
    <w:rsid w:val="001B135A"/>
    <w:rsid w:val="001B49D5"/>
    <w:rsid w:val="001B4C29"/>
    <w:rsid w:val="001B4D56"/>
    <w:rsid w:val="001B6967"/>
    <w:rsid w:val="001C050A"/>
    <w:rsid w:val="001C3D51"/>
    <w:rsid w:val="001C5B21"/>
    <w:rsid w:val="001C5FAD"/>
    <w:rsid w:val="001C6311"/>
    <w:rsid w:val="001C70E4"/>
    <w:rsid w:val="001D00BB"/>
    <w:rsid w:val="001D10D9"/>
    <w:rsid w:val="001D31D7"/>
    <w:rsid w:val="001E0D33"/>
    <w:rsid w:val="001E5980"/>
    <w:rsid w:val="001F0861"/>
    <w:rsid w:val="001F2338"/>
    <w:rsid w:val="001F37E1"/>
    <w:rsid w:val="001F4563"/>
    <w:rsid w:val="001F5196"/>
    <w:rsid w:val="001F59E6"/>
    <w:rsid w:val="001F6541"/>
    <w:rsid w:val="00200865"/>
    <w:rsid w:val="00201961"/>
    <w:rsid w:val="0020339E"/>
    <w:rsid w:val="00203EC8"/>
    <w:rsid w:val="0020513F"/>
    <w:rsid w:val="00206465"/>
    <w:rsid w:val="0020732A"/>
    <w:rsid w:val="002076D6"/>
    <w:rsid w:val="0021310F"/>
    <w:rsid w:val="002208F2"/>
    <w:rsid w:val="00220C4A"/>
    <w:rsid w:val="00221A00"/>
    <w:rsid w:val="00223475"/>
    <w:rsid w:val="002241CB"/>
    <w:rsid w:val="0022559F"/>
    <w:rsid w:val="00226465"/>
    <w:rsid w:val="00226B1C"/>
    <w:rsid w:val="00227244"/>
    <w:rsid w:val="0023006A"/>
    <w:rsid w:val="00230F0A"/>
    <w:rsid w:val="00232B8F"/>
    <w:rsid w:val="002336F8"/>
    <w:rsid w:val="0023385A"/>
    <w:rsid w:val="002347DB"/>
    <w:rsid w:val="00234D65"/>
    <w:rsid w:val="00236828"/>
    <w:rsid w:val="00236F9A"/>
    <w:rsid w:val="002372F5"/>
    <w:rsid w:val="00240771"/>
    <w:rsid w:val="0024725F"/>
    <w:rsid w:val="0025070D"/>
    <w:rsid w:val="00252E32"/>
    <w:rsid w:val="00253E6D"/>
    <w:rsid w:val="00254597"/>
    <w:rsid w:val="00255537"/>
    <w:rsid w:val="00256651"/>
    <w:rsid w:val="002579E3"/>
    <w:rsid w:val="0026073B"/>
    <w:rsid w:val="002634BC"/>
    <w:rsid w:val="00263B68"/>
    <w:rsid w:val="0026514A"/>
    <w:rsid w:val="00266BF5"/>
    <w:rsid w:val="00266C9F"/>
    <w:rsid w:val="00266E39"/>
    <w:rsid w:val="00270BE6"/>
    <w:rsid w:val="0027172D"/>
    <w:rsid w:val="00273A61"/>
    <w:rsid w:val="00273D88"/>
    <w:rsid w:val="00276289"/>
    <w:rsid w:val="00281220"/>
    <w:rsid w:val="00282ECD"/>
    <w:rsid w:val="00284E12"/>
    <w:rsid w:val="00284FC9"/>
    <w:rsid w:val="00285FE6"/>
    <w:rsid w:val="002865C0"/>
    <w:rsid w:val="00286E1F"/>
    <w:rsid w:val="00287753"/>
    <w:rsid w:val="0028788E"/>
    <w:rsid w:val="0028789B"/>
    <w:rsid w:val="00287E45"/>
    <w:rsid w:val="0029191E"/>
    <w:rsid w:val="00294F3B"/>
    <w:rsid w:val="0029504A"/>
    <w:rsid w:val="00295722"/>
    <w:rsid w:val="00295C91"/>
    <w:rsid w:val="00295F54"/>
    <w:rsid w:val="002A1409"/>
    <w:rsid w:val="002A379A"/>
    <w:rsid w:val="002A3C8A"/>
    <w:rsid w:val="002A49EA"/>
    <w:rsid w:val="002A5551"/>
    <w:rsid w:val="002A6B06"/>
    <w:rsid w:val="002B04CE"/>
    <w:rsid w:val="002B3637"/>
    <w:rsid w:val="002B44CA"/>
    <w:rsid w:val="002B4DDB"/>
    <w:rsid w:val="002B5D4C"/>
    <w:rsid w:val="002C07DF"/>
    <w:rsid w:val="002C090D"/>
    <w:rsid w:val="002C0BB2"/>
    <w:rsid w:val="002C136B"/>
    <w:rsid w:val="002C31BD"/>
    <w:rsid w:val="002C4225"/>
    <w:rsid w:val="002C46B4"/>
    <w:rsid w:val="002C4AF8"/>
    <w:rsid w:val="002C5F97"/>
    <w:rsid w:val="002C7AC5"/>
    <w:rsid w:val="002D1FD9"/>
    <w:rsid w:val="002D3A12"/>
    <w:rsid w:val="002D41D3"/>
    <w:rsid w:val="002D6E04"/>
    <w:rsid w:val="002E0CD5"/>
    <w:rsid w:val="002E0ECD"/>
    <w:rsid w:val="002E0F3B"/>
    <w:rsid w:val="002E1AA1"/>
    <w:rsid w:val="002E4857"/>
    <w:rsid w:val="002E620B"/>
    <w:rsid w:val="002E7141"/>
    <w:rsid w:val="002F0CE8"/>
    <w:rsid w:val="002F2EBE"/>
    <w:rsid w:val="002F49C3"/>
    <w:rsid w:val="002F65E6"/>
    <w:rsid w:val="002F6A17"/>
    <w:rsid w:val="002F7A91"/>
    <w:rsid w:val="00301434"/>
    <w:rsid w:val="0030168B"/>
    <w:rsid w:val="00301BFC"/>
    <w:rsid w:val="00303125"/>
    <w:rsid w:val="00310DFE"/>
    <w:rsid w:val="003146BB"/>
    <w:rsid w:val="003150CA"/>
    <w:rsid w:val="00315BA9"/>
    <w:rsid w:val="003201AF"/>
    <w:rsid w:val="00320517"/>
    <w:rsid w:val="003229F3"/>
    <w:rsid w:val="00323256"/>
    <w:rsid w:val="0032361C"/>
    <w:rsid w:val="00324891"/>
    <w:rsid w:val="003255A0"/>
    <w:rsid w:val="0032566B"/>
    <w:rsid w:val="00326649"/>
    <w:rsid w:val="003276CD"/>
    <w:rsid w:val="00327A48"/>
    <w:rsid w:val="00327C9B"/>
    <w:rsid w:val="003314F7"/>
    <w:rsid w:val="00331E55"/>
    <w:rsid w:val="00341131"/>
    <w:rsid w:val="00341A89"/>
    <w:rsid w:val="00343082"/>
    <w:rsid w:val="00343C9A"/>
    <w:rsid w:val="00344BB8"/>
    <w:rsid w:val="00346927"/>
    <w:rsid w:val="00350699"/>
    <w:rsid w:val="003508EF"/>
    <w:rsid w:val="00353E38"/>
    <w:rsid w:val="003612A1"/>
    <w:rsid w:val="003644DF"/>
    <w:rsid w:val="003645A8"/>
    <w:rsid w:val="003648BF"/>
    <w:rsid w:val="00366550"/>
    <w:rsid w:val="00366784"/>
    <w:rsid w:val="00366E15"/>
    <w:rsid w:val="00366E8D"/>
    <w:rsid w:val="00374243"/>
    <w:rsid w:val="00374350"/>
    <w:rsid w:val="00374BBB"/>
    <w:rsid w:val="00375156"/>
    <w:rsid w:val="003759B2"/>
    <w:rsid w:val="00376FE4"/>
    <w:rsid w:val="00381E96"/>
    <w:rsid w:val="0038371C"/>
    <w:rsid w:val="003837F4"/>
    <w:rsid w:val="00385DE8"/>
    <w:rsid w:val="00386F56"/>
    <w:rsid w:val="00386FCB"/>
    <w:rsid w:val="00387A28"/>
    <w:rsid w:val="003908D9"/>
    <w:rsid w:val="00390A41"/>
    <w:rsid w:val="003923E5"/>
    <w:rsid w:val="003933DC"/>
    <w:rsid w:val="0039381A"/>
    <w:rsid w:val="00396895"/>
    <w:rsid w:val="003970ED"/>
    <w:rsid w:val="003A18CF"/>
    <w:rsid w:val="003A3082"/>
    <w:rsid w:val="003A3926"/>
    <w:rsid w:val="003A3C4A"/>
    <w:rsid w:val="003A3E5C"/>
    <w:rsid w:val="003A3E8C"/>
    <w:rsid w:val="003A4CC9"/>
    <w:rsid w:val="003A656C"/>
    <w:rsid w:val="003A7731"/>
    <w:rsid w:val="003B082F"/>
    <w:rsid w:val="003B0F74"/>
    <w:rsid w:val="003B12A8"/>
    <w:rsid w:val="003B12C2"/>
    <w:rsid w:val="003B15C2"/>
    <w:rsid w:val="003B1B0B"/>
    <w:rsid w:val="003B3520"/>
    <w:rsid w:val="003B5AA1"/>
    <w:rsid w:val="003B7976"/>
    <w:rsid w:val="003C10FC"/>
    <w:rsid w:val="003C2A0C"/>
    <w:rsid w:val="003C3316"/>
    <w:rsid w:val="003C3820"/>
    <w:rsid w:val="003C3FE7"/>
    <w:rsid w:val="003C4598"/>
    <w:rsid w:val="003C4F04"/>
    <w:rsid w:val="003C5CF6"/>
    <w:rsid w:val="003C62EE"/>
    <w:rsid w:val="003C7B6C"/>
    <w:rsid w:val="003D0B8F"/>
    <w:rsid w:val="003D266E"/>
    <w:rsid w:val="003D41ED"/>
    <w:rsid w:val="003D55E1"/>
    <w:rsid w:val="003D7AD6"/>
    <w:rsid w:val="003E05CE"/>
    <w:rsid w:val="003E25BB"/>
    <w:rsid w:val="003E2B33"/>
    <w:rsid w:val="003E3015"/>
    <w:rsid w:val="003E418A"/>
    <w:rsid w:val="003E5D6C"/>
    <w:rsid w:val="003E6D35"/>
    <w:rsid w:val="003E743A"/>
    <w:rsid w:val="003E7741"/>
    <w:rsid w:val="003F1B26"/>
    <w:rsid w:val="003F3B9C"/>
    <w:rsid w:val="003F5A0D"/>
    <w:rsid w:val="003F78CE"/>
    <w:rsid w:val="0040031A"/>
    <w:rsid w:val="004008C7"/>
    <w:rsid w:val="004031ED"/>
    <w:rsid w:val="00405204"/>
    <w:rsid w:val="0040693B"/>
    <w:rsid w:val="0040748D"/>
    <w:rsid w:val="004110F6"/>
    <w:rsid w:val="0041196F"/>
    <w:rsid w:val="00411D71"/>
    <w:rsid w:val="004141C4"/>
    <w:rsid w:val="00415835"/>
    <w:rsid w:val="004167C6"/>
    <w:rsid w:val="00421154"/>
    <w:rsid w:val="004223A8"/>
    <w:rsid w:val="004227D9"/>
    <w:rsid w:val="00425098"/>
    <w:rsid w:val="00425629"/>
    <w:rsid w:val="00425D76"/>
    <w:rsid w:val="0042683E"/>
    <w:rsid w:val="004278CB"/>
    <w:rsid w:val="0043117B"/>
    <w:rsid w:val="00432726"/>
    <w:rsid w:val="00432ABF"/>
    <w:rsid w:val="004337D5"/>
    <w:rsid w:val="00433B4B"/>
    <w:rsid w:val="0043656D"/>
    <w:rsid w:val="00441558"/>
    <w:rsid w:val="00441A77"/>
    <w:rsid w:val="0044313C"/>
    <w:rsid w:val="00445ACB"/>
    <w:rsid w:val="00446235"/>
    <w:rsid w:val="00446793"/>
    <w:rsid w:val="0044789D"/>
    <w:rsid w:val="00450DED"/>
    <w:rsid w:val="004518C0"/>
    <w:rsid w:val="00457206"/>
    <w:rsid w:val="00461681"/>
    <w:rsid w:val="0046182E"/>
    <w:rsid w:val="00461EBB"/>
    <w:rsid w:val="004620BF"/>
    <w:rsid w:val="004639AA"/>
    <w:rsid w:val="0046600B"/>
    <w:rsid w:val="00466088"/>
    <w:rsid w:val="00472F85"/>
    <w:rsid w:val="00473EDE"/>
    <w:rsid w:val="004748F7"/>
    <w:rsid w:val="00474CCE"/>
    <w:rsid w:val="004757B6"/>
    <w:rsid w:val="004813B3"/>
    <w:rsid w:val="00484527"/>
    <w:rsid w:val="00484616"/>
    <w:rsid w:val="00484D65"/>
    <w:rsid w:val="004870B6"/>
    <w:rsid w:val="0048718A"/>
    <w:rsid w:val="00487517"/>
    <w:rsid w:val="00490DDF"/>
    <w:rsid w:val="004913D3"/>
    <w:rsid w:val="00493D32"/>
    <w:rsid w:val="00494B93"/>
    <w:rsid w:val="0049603A"/>
    <w:rsid w:val="00497E1A"/>
    <w:rsid w:val="004A078B"/>
    <w:rsid w:val="004A14DE"/>
    <w:rsid w:val="004A1874"/>
    <w:rsid w:val="004A2B19"/>
    <w:rsid w:val="004A420A"/>
    <w:rsid w:val="004A53E4"/>
    <w:rsid w:val="004A66A8"/>
    <w:rsid w:val="004B05B6"/>
    <w:rsid w:val="004B1DFB"/>
    <w:rsid w:val="004B5639"/>
    <w:rsid w:val="004C3312"/>
    <w:rsid w:val="004C398A"/>
    <w:rsid w:val="004C482D"/>
    <w:rsid w:val="004C6474"/>
    <w:rsid w:val="004C72E7"/>
    <w:rsid w:val="004C7588"/>
    <w:rsid w:val="004D02BA"/>
    <w:rsid w:val="004D0891"/>
    <w:rsid w:val="004D0CF5"/>
    <w:rsid w:val="004D11E6"/>
    <w:rsid w:val="004D380A"/>
    <w:rsid w:val="004D3AD0"/>
    <w:rsid w:val="004D644A"/>
    <w:rsid w:val="004D6C49"/>
    <w:rsid w:val="004D7565"/>
    <w:rsid w:val="004E00EA"/>
    <w:rsid w:val="004E24A3"/>
    <w:rsid w:val="004E3677"/>
    <w:rsid w:val="004E6B7C"/>
    <w:rsid w:val="004F2461"/>
    <w:rsid w:val="004F3195"/>
    <w:rsid w:val="00500A94"/>
    <w:rsid w:val="00500DF8"/>
    <w:rsid w:val="00503030"/>
    <w:rsid w:val="005031F4"/>
    <w:rsid w:val="00503436"/>
    <w:rsid w:val="00504298"/>
    <w:rsid w:val="005070E7"/>
    <w:rsid w:val="00507176"/>
    <w:rsid w:val="005101B2"/>
    <w:rsid w:val="005121A8"/>
    <w:rsid w:val="00513E55"/>
    <w:rsid w:val="0051445C"/>
    <w:rsid w:val="0052091D"/>
    <w:rsid w:val="005255CD"/>
    <w:rsid w:val="00526257"/>
    <w:rsid w:val="00526CE6"/>
    <w:rsid w:val="005314E0"/>
    <w:rsid w:val="00533037"/>
    <w:rsid w:val="005335A5"/>
    <w:rsid w:val="00533E39"/>
    <w:rsid w:val="00535D55"/>
    <w:rsid w:val="00535E74"/>
    <w:rsid w:val="00536BF2"/>
    <w:rsid w:val="00540725"/>
    <w:rsid w:val="00541390"/>
    <w:rsid w:val="005426E5"/>
    <w:rsid w:val="00542F53"/>
    <w:rsid w:val="00547FF4"/>
    <w:rsid w:val="00552CDC"/>
    <w:rsid w:val="0055325D"/>
    <w:rsid w:val="005574A3"/>
    <w:rsid w:val="00557CC6"/>
    <w:rsid w:val="005627D3"/>
    <w:rsid w:val="00562FC8"/>
    <w:rsid w:val="00566B98"/>
    <w:rsid w:val="00566FA9"/>
    <w:rsid w:val="00567035"/>
    <w:rsid w:val="0056742C"/>
    <w:rsid w:val="0057289E"/>
    <w:rsid w:val="005759EE"/>
    <w:rsid w:val="00575AE7"/>
    <w:rsid w:val="0057657A"/>
    <w:rsid w:val="00577186"/>
    <w:rsid w:val="005777B3"/>
    <w:rsid w:val="00577FC3"/>
    <w:rsid w:val="00581A2D"/>
    <w:rsid w:val="00582C16"/>
    <w:rsid w:val="00590B22"/>
    <w:rsid w:val="00591C6B"/>
    <w:rsid w:val="0059268F"/>
    <w:rsid w:val="005932A0"/>
    <w:rsid w:val="0059480E"/>
    <w:rsid w:val="00597984"/>
    <w:rsid w:val="005A6302"/>
    <w:rsid w:val="005B0C68"/>
    <w:rsid w:val="005B5237"/>
    <w:rsid w:val="005B5735"/>
    <w:rsid w:val="005B7E6C"/>
    <w:rsid w:val="005C1446"/>
    <w:rsid w:val="005C2D35"/>
    <w:rsid w:val="005C56EE"/>
    <w:rsid w:val="005C6313"/>
    <w:rsid w:val="005C6AF0"/>
    <w:rsid w:val="005D01DA"/>
    <w:rsid w:val="005D0DE4"/>
    <w:rsid w:val="005D1109"/>
    <w:rsid w:val="005D42A3"/>
    <w:rsid w:val="005D5F18"/>
    <w:rsid w:val="005E07C7"/>
    <w:rsid w:val="005E07D1"/>
    <w:rsid w:val="005E0F23"/>
    <w:rsid w:val="005E269F"/>
    <w:rsid w:val="005E2BB6"/>
    <w:rsid w:val="005E2F89"/>
    <w:rsid w:val="005E4D73"/>
    <w:rsid w:val="005E642C"/>
    <w:rsid w:val="005E648C"/>
    <w:rsid w:val="005F0F3C"/>
    <w:rsid w:val="005F25A8"/>
    <w:rsid w:val="005F3E42"/>
    <w:rsid w:val="005F6FAC"/>
    <w:rsid w:val="005F7727"/>
    <w:rsid w:val="00600C3A"/>
    <w:rsid w:val="00600CC6"/>
    <w:rsid w:val="0060195E"/>
    <w:rsid w:val="00601A88"/>
    <w:rsid w:val="00601AFE"/>
    <w:rsid w:val="00602383"/>
    <w:rsid w:val="0060641F"/>
    <w:rsid w:val="00613472"/>
    <w:rsid w:val="0061482D"/>
    <w:rsid w:val="00616DD7"/>
    <w:rsid w:val="0062162D"/>
    <w:rsid w:val="0062463A"/>
    <w:rsid w:val="006279CA"/>
    <w:rsid w:val="00633B59"/>
    <w:rsid w:val="00633D06"/>
    <w:rsid w:val="00633F20"/>
    <w:rsid w:val="006363D5"/>
    <w:rsid w:val="00641245"/>
    <w:rsid w:val="00642364"/>
    <w:rsid w:val="00644EA7"/>
    <w:rsid w:val="006506C1"/>
    <w:rsid w:val="00650BD0"/>
    <w:rsid w:val="00652831"/>
    <w:rsid w:val="0065318D"/>
    <w:rsid w:val="00654513"/>
    <w:rsid w:val="00655089"/>
    <w:rsid w:val="00655B78"/>
    <w:rsid w:val="00655C29"/>
    <w:rsid w:val="00657B43"/>
    <w:rsid w:val="00660CC4"/>
    <w:rsid w:val="006613F2"/>
    <w:rsid w:val="006616AE"/>
    <w:rsid w:val="00670B12"/>
    <w:rsid w:val="0067159E"/>
    <w:rsid w:val="00671D51"/>
    <w:rsid w:val="006723D4"/>
    <w:rsid w:val="006724E0"/>
    <w:rsid w:val="00673C01"/>
    <w:rsid w:val="006760BC"/>
    <w:rsid w:val="0067644D"/>
    <w:rsid w:val="00681FB9"/>
    <w:rsid w:val="0068325C"/>
    <w:rsid w:val="006852B2"/>
    <w:rsid w:val="00690961"/>
    <w:rsid w:val="00690AB7"/>
    <w:rsid w:val="00692BB0"/>
    <w:rsid w:val="00695C52"/>
    <w:rsid w:val="006962C8"/>
    <w:rsid w:val="006A0EBD"/>
    <w:rsid w:val="006A26D5"/>
    <w:rsid w:val="006A2E40"/>
    <w:rsid w:val="006A31B7"/>
    <w:rsid w:val="006A36BF"/>
    <w:rsid w:val="006A4579"/>
    <w:rsid w:val="006A6304"/>
    <w:rsid w:val="006A771E"/>
    <w:rsid w:val="006B14A8"/>
    <w:rsid w:val="006B491F"/>
    <w:rsid w:val="006B528B"/>
    <w:rsid w:val="006B7A0B"/>
    <w:rsid w:val="006C071C"/>
    <w:rsid w:val="006C11E0"/>
    <w:rsid w:val="006C1700"/>
    <w:rsid w:val="006C2CCB"/>
    <w:rsid w:val="006C3E43"/>
    <w:rsid w:val="006C3EBB"/>
    <w:rsid w:val="006C49B6"/>
    <w:rsid w:val="006C5730"/>
    <w:rsid w:val="006C635F"/>
    <w:rsid w:val="006C6954"/>
    <w:rsid w:val="006D21A9"/>
    <w:rsid w:val="006D3420"/>
    <w:rsid w:val="006D3531"/>
    <w:rsid w:val="006D6FCB"/>
    <w:rsid w:val="006E298A"/>
    <w:rsid w:val="006E3711"/>
    <w:rsid w:val="006E4EDC"/>
    <w:rsid w:val="006E6114"/>
    <w:rsid w:val="006E73C7"/>
    <w:rsid w:val="006E7D01"/>
    <w:rsid w:val="006F0BFA"/>
    <w:rsid w:val="006F2B89"/>
    <w:rsid w:val="006F5C88"/>
    <w:rsid w:val="006F7294"/>
    <w:rsid w:val="006F7418"/>
    <w:rsid w:val="006F7950"/>
    <w:rsid w:val="007020FF"/>
    <w:rsid w:val="007030E5"/>
    <w:rsid w:val="007038B4"/>
    <w:rsid w:val="00706C1B"/>
    <w:rsid w:val="00707C78"/>
    <w:rsid w:val="007127B6"/>
    <w:rsid w:val="007127DF"/>
    <w:rsid w:val="007147EE"/>
    <w:rsid w:val="00714EF1"/>
    <w:rsid w:val="00716AC3"/>
    <w:rsid w:val="0071754C"/>
    <w:rsid w:val="0071782A"/>
    <w:rsid w:val="007208A6"/>
    <w:rsid w:val="00724588"/>
    <w:rsid w:val="00724C1F"/>
    <w:rsid w:val="00725DD6"/>
    <w:rsid w:val="00726C15"/>
    <w:rsid w:val="00730113"/>
    <w:rsid w:val="007333A3"/>
    <w:rsid w:val="00734E0B"/>
    <w:rsid w:val="00736BE8"/>
    <w:rsid w:val="007370E1"/>
    <w:rsid w:val="007410F3"/>
    <w:rsid w:val="0074144A"/>
    <w:rsid w:val="00742BDC"/>
    <w:rsid w:val="00743A91"/>
    <w:rsid w:val="00744AD9"/>
    <w:rsid w:val="00744ED3"/>
    <w:rsid w:val="00745162"/>
    <w:rsid w:val="007459C4"/>
    <w:rsid w:val="00745A37"/>
    <w:rsid w:val="007467A3"/>
    <w:rsid w:val="007474E1"/>
    <w:rsid w:val="0074753B"/>
    <w:rsid w:val="00753EC8"/>
    <w:rsid w:val="00754F65"/>
    <w:rsid w:val="0076009A"/>
    <w:rsid w:val="0076434D"/>
    <w:rsid w:val="00764E18"/>
    <w:rsid w:val="007668C6"/>
    <w:rsid w:val="00771469"/>
    <w:rsid w:val="00772D81"/>
    <w:rsid w:val="007737AF"/>
    <w:rsid w:val="00774EEE"/>
    <w:rsid w:val="007750AA"/>
    <w:rsid w:val="0078068A"/>
    <w:rsid w:val="00785116"/>
    <w:rsid w:val="00785AF2"/>
    <w:rsid w:val="00786C44"/>
    <w:rsid w:val="00791D64"/>
    <w:rsid w:val="00792B89"/>
    <w:rsid w:val="00793F89"/>
    <w:rsid w:val="007947C8"/>
    <w:rsid w:val="007A22D7"/>
    <w:rsid w:val="007A232C"/>
    <w:rsid w:val="007A23EE"/>
    <w:rsid w:val="007A2DF9"/>
    <w:rsid w:val="007A4431"/>
    <w:rsid w:val="007A4FE1"/>
    <w:rsid w:val="007A76E9"/>
    <w:rsid w:val="007B23FA"/>
    <w:rsid w:val="007B3104"/>
    <w:rsid w:val="007B4021"/>
    <w:rsid w:val="007B49B7"/>
    <w:rsid w:val="007B5814"/>
    <w:rsid w:val="007B60ED"/>
    <w:rsid w:val="007B7391"/>
    <w:rsid w:val="007C0F8C"/>
    <w:rsid w:val="007C147A"/>
    <w:rsid w:val="007C2ABD"/>
    <w:rsid w:val="007C2FC8"/>
    <w:rsid w:val="007C4840"/>
    <w:rsid w:val="007C4BF7"/>
    <w:rsid w:val="007C4DB2"/>
    <w:rsid w:val="007C51AF"/>
    <w:rsid w:val="007C5661"/>
    <w:rsid w:val="007C6AD0"/>
    <w:rsid w:val="007E403C"/>
    <w:rsid w:val="007F4CDA"/>
    <w:rsid w:val="008029C7"/>
    <w:rsid w:val="00804907"/>
    <w:rsid w:val="00804ABC"/>
    <w:rsid w:val="00806BD5"/>
    <w:rsid w:val="00807600"/>
    <w:rsid w:val="00807A5D"/>
    <w:rsid w:val="0081085A"/>
    <w:rsid w:val="00810AD2"/>
    <w:rsid w:val="00814DD1"/>
    <w:rsid w:val="008162A4"/>
    <w:rsid w:val="00821583"/>
    <w:rsid w:val="00821776"/>
    <w:rsid w:val="00831B2E"/>
    <w:rsid w:val="0083441A"/>
    <w:rsid w:val="00834803"/>
    <w:rsid w:val="008358C3"/>
    <w:rsid w:val="0083746E"/>
    <w:rsid w:val="0084043B"/>
    <w:rsid w:val="0084240E"/>
    <w:rsid w:val="00842678"/>
    <w:rsid w:val="0084741C"/>
    <w:rsid w:val="00847CA2"/>
    <w:rsid w:val="00851D8D"/>
    <w:rsid w:val="0085206B"/>
    <w:rsid w:val="00857E35"/>
    <w:rsid w:val="00860C4E"/>
    <w:rsid w:val="0086136E"/>
    <w:rsid w:val="008624B4"/>
    <w:rsid w:val="0086791E"/>
    <w:rsid w:val="0087217E"/>
    <w:rsid w:val="00873978"/>
    <w:rsid w:val="00874EDD"/>
    <w:rsid w:val="008751C7"/>
    <w:rsid w:val="00877E08"/>
    <w:rsid w:val="0088083C"/>
    <w:rsid w:val="00881EE3"/>
    <w:rsid w:val="008827F2"/>
    <w:rsid w:val="0088411F"/>
    <w:rsid w:val="00885A40"/>
    <w:rsid w:val="00893F46"/>
    <w:rsid w:val="00896CA7"/>
    <w:rsid w:val="00897B62"/>
    <w:rsid w:val="008A1C0E"/>
    <w:rsid w:val="008A2975"/>
    <w:rsid w:val="008A4838"/>
    <w:rsid w:val="008A65D2"/>
    <w:rsid w:val="008A6AAE"/>
    <w:rsid w:val="008A7193"/>
    <w:rsid w:val="008A7A8D"/>
    <w:rsid w:val="008A7D5E"/>
    <w:rsid w:val="008B1882"/>
    <w:rsid w:val="008B2454"/>
    <w:rsid w:val="008B3EB3"/>
    <w:rsid w:val="008B5755"/>
    <w:rsid w:val="008C034A"/>
    <w:rsid w:val="008C3745"/>
    <w:rsid w:val="008C5826"/>
    <w:rsid w:val="008C69C9"/>
    <w:rsid w:val="008C727F"/>
    <w:rsid w:val="008E0212"/>
    <w:rsid w:val="008E31AB"/>
    <w:rsid w:val="008E31EF"/>
    <w:rsid w:val="008E455A"/>
    <w:rsid w:val="008E45B9"/>
    <w:rsid w:val="008E562C"/>
    <w:rsid w:val="008E5BED"/>
    <w:rsid w:val="008E5D4F"/>
    <w:rsid w:val="008E7EF7"/>
    <w:rsid w:val="008F1AED"/>
    <w:rsid w:val="008F2347"/>
    <w:rsid w:val="008F3D89"/>
    <w:rsid w:val="008F6771"/>
    <w:rsid w:val="009002A5"/>
    <w:rsid w:val="00901C6E"/>
    <w:rsid w:val="00902086"/>
    <w:rsid w:val="00902C63"/>
    <w:rsid w:val="00903118"/>
    <w:rsid w:val="00906D8F"/>
    <w:rsid w:val="009106C9"/>
    <w:rsid w:val="00911782"/>
    <w:rsid w:val="0091534C"/>
    <w:rsid w:val="00916876"/>
    <w:rsid w:val="0091746F"/>
    <w:rsid w:val="009200FD"/>
    <w:rsid w:val="00920C03"/>
    <w:rsid w:val="009229AD"/>
    <w:rsid w:val="00922C48"/>
    <w:rsid w:val="00924148"/>
    <w:rsid w:val="00925CEE"/>
    <w:rsid w:val="0093525E"/>
    <w:rsid w:val="00936750"/>
    <w:rsid w:val="00937742"/>
    <w:rsid w:val="00940A0D"/>
    <w:rsid w:val="00946E18"/>
    <w:rsid w:val="00951FD0"/>
    <w:rsid w:val="0095266C"/>
    <w:rsid w:val="00954B6A"/>
    <w:rsid w:val="0095521B"/>
    <w:rsid w:val="009559B5"/>
    <w:rsid w:val="00962140"/>
    <w:rsid w:val="0096248F"/>
    <w:rsid w:val="0096299B"/>
    <w:rsid w:val="00962FF3"/>
    <w:rsid w:val="0096333D"/>
    <w:rsid w:val="00963C3E"/>
    <w:rsid w:val="00966263"/>
    <w:rsid w:val="00970676"/>
    <w:rsid w:val="009723E9"/>
    <w:rsid w:val="00972455"/>
    <w:rsid w:val="00972A84"/>
    <w:rsid w:val="00972C7C"/>
    <w:rsid w:val="0097598D"/>
    <w:rsid w:val="0097626F"/>
    <w:rsid w:val="009801AC"/>
    <w:rsid w:val="0098037F"/>
    <w:rsid w:val="0098068A"/>
    <w:rsid w:val="00981D52"/>
    <w:rsid w:val="0098219B"/>
    <w:rsid w:val="00985747"/>
    <w:rsid w:val="0098694B"/>
    <w:rsid w:val="009871D0"/>
    <w:rsid w:val="00987555"/>
    <w:rsid w:val="00987B57"/>
    <w:rsid w:val="00987D03"/>
    <w:rsid w:val="009913B9"/>
    <w:rsid w:val="009967F2"/>
    <w:rsid w:val="009A36B5"/>
    <w:rsid w:val="009A4CE1"/>
    <w:rsid w:val="009A581A"/>
    <w:rsid w:val="009A6731"/>
    <w:rsid w:val="009B2AFF"/>
    <w:rsid w:val="009B3B59"/>
    <w:rsid w:val="009B5E38"/>
    <w:rsid w:val="009C1004"/>
    <w:rsid w:val="009C31C4"/>
    <w:rsid w:val="009C3888"/>
    <w:rsid w:val="009C5522"/>
    <w:rsid w:val="009C5EE1"/>
    <w:rsid w:val="009C7F54"/>
    <w:rsid w:val="009D077A"/>
    <w:rsid w:val="009D0E27"/>
    <w:rsid w:val="009D1AF7"/>
    <w:rsid w:val="009D291B"/>
    <w:rsid w:val="009D5AA3"/>
    <w:rsid w:val="009E12A3"/>
    <w:rsid w:val="009E1AB2"/>
    <w:rsid w:val="009E2705"/>
    <w:rsid w:val="009E2899"/>
    <w:rsid w:val="009E504B"/>
    <w:rsid w:val="009F0614"/>
    <w:rsid w:val="009F1876"/>
    <w:rsid w:val="009F1B83"/>
    <w:rsid w:val="009F1D73"/>
    <w:rsid w:val="009F3FEA"/>
    <w:rsid w:val="009F5CAA"/>
    <w:rsid w:val="009F6227"/>
    <w:rsid w:val="00A002B7"/>
    <w:rsid w:val="00A01B31"/>
    <w:rsid w:val="00A02F61"/>
    <w:rsid w:val="00A064C7"/>
    <w:rsid w:val="00A06E23"/>
    <w:rsid w:val="00A106F5"/>
    <w:rsid w:val="00A12673"/>
    <w:rsid w:val="00A12A80"/>
    <w:rsid w:val="00A13F34"/>
    <w:rsid w:val="00A1532F"/>
    <w:rsid w:val="00A16DC1"/>
    <w:rsid w:val="00A16EFB"/>
    <w:rsid w:val="00A203C4"/>
    <w:rsid w:val="00A22A88"/>
    <w:rsid w:val="00A247F3"/>
    <w:rsid w:val="00A271EF"/>
    <w:rsid w:val="00A33945"/>
    <w:rsid w:val="00A34B00"/>
    <w:rsid w:val="00A358CB"/>
    <w:rsid w:val="00A35CE0"/>
    <w:rsid w:val="00A4185B"/>
    <w:rsid w:val="00A42158"/>
    <w:rsid w:val="00A430FC"/>
    <w:rsid w:val="00A45501"/>
    <w:rsid w:val="00A4760A"/>
    <w:rsid w:val="00A47832"/>
    <w:rsid w:val="00A520A5"/>
    <w:rsid w:val="00A52214"/>
    <w:rsid w:val="00A5249D"/>
    <w:rsid w:val="00A527D2"/>
    <w:rsid w:val="00A55329"/>
    <w:rsid w:val="00A56471"/>
    <w:rsid w:val="00A6438B"/>
    <w:rsid w:val="00A644E2"/>
    <w:rsid w:val="00A67C00"/>
    <w:rsid w:val="00A67DD5"/>
    <w:rsid w:val="00A7070C"/>
    <w:rsid w:val="00A71B44"/>
    <w:rsid w:val="00A71EBE"/>
    <w:rsid w:val="00A73D99"/>
    <w:rsid w:val="00A74D69"/>
    <w:rsid w:val="00A77AC7"/>
    <w:rsid w:val="00A77B4A"/>
    <w:rsid w:val="00A807D2"/>
    <w:rsid w:val="00A80FFB"/>
    <w:rsid w:val="00A81583"/>
    <w:rsid w:val="00A81C1D"/>
    <w:rsid w:val="00A85D49"/>
    <w:rsid w:val="00A92092"/>
    <w:rsid w:val="00A9330F"/>
    <w:rsid w:val="00A97332"/>
    <w:rsid w:val="00AA0153"/>
    <w:rsid w:val="00AA1249"/>
    <w:rsid w:val="00AA5A9B"/>
    <w:rsid w:val="00AA6292"/>
    <w:rsid w:val="00AA653E"/>
    <w:rsid w:val="00AA6755"/>
    <w:rsid w:val="00AB1445"/>
    <w:rsid w:val="00AB5589"/>
    <w:rsid w:val="00AB7CF4"/>
    <w:rsid w:val="00AC29CD"/>
    <w:rsid w:val="00AC303B"/>
    <w:rsid w:val="00AC3565"/>
    <w:rsid w:val="00AC3898"/>
    <w:rsid w:val="00AC3FF7"/>
    <w:rsid w:val="00AC5912"/>
    <w:rsid w:val="00AC646A"/>
    <w:rsid w:val="00AC6F0B"/>
    <w:rsid w:val="00AD1BA9"/>
    <w:rsid w:val="00AD2D1A"/>
    <w:rsid w:val="00AD35F4"/>
    <w:rsid w:val="00AD7DEC"/>
    <w:rsid w:val="00AE0FCE"/>
    <w:rsid w:val="00AE1728"/>
    <w:rsid w:val="00AE1EBD"/>
    <w:rsid w:val="00AE1F7C"/>
    <w:rsid w:val="00AE6E86"/>
    <w:rsid w:val="00AE7143"/>
    <w:rsid w:val="00AE71AA"/>
    <w:rsid w:val="00AE7602"/>
    <w:rsid w:val="00AF1647"/>
    <w:rsid w:val="00AF421F"/>
    <w:rsid w:val="00AF59D9"/>
    <w:rsid w:val="00AF5AB3"/>
    <w:rsid w:val="00AF71DC"/>
    <w:rsid w:val="00AF78D5"/>
    <w:rsid w:val="00AF7A34"/>
    <w:rsid w:val="00B00380"/>
    <w:rsid w:val="00B00A41"/>
    <w:rsid w:val="00B02459"/>
    <w:rsid w:val="00B031EC"/>
    <w:rsid w:val="00B06262"/>
    <w:rsid w:val="00B100AA"/>
    <w:rsid w:val="00B10184"/>
    <w:rsid w:val="00B203F6"/>
    <w:rsid w:val="00B2148C"/>
    <w:rsid w:val="00B21E16"/>
    <w:rsid w:val="00B231CE"/>
    <w:rsid w:val="00B26097"/>
    <w:rsid w:val="00B31462"/>
    <w:rsid w:val="00B32AB4"/>
    <w:rsid w:val="00B34B6C"/>
    <w:rsid w:val="00B353F2"/>
    <w:rsid w:val="00B4022C"/>
    <w:rsid w:val="00B467E9"/>
    <w:rsid w:val="00B50FC6"/>
    <w:rsid w:val="00B51D4F"/>
    <w:rsid w:val="00B54278"/>
    <w:rsid w:val="00B545C8"/>
    <w:rsid w:val="00B5460B"/>
    <w:rsid w:val="00B54C91"/>
    <w:rsid w:val="00B57BFF"/>
    <w:rsid w:val="00B63A17"/>
    <w:rsid w:val="00B64ADD"/>
    <w:rsid w:val="00B669BF"/>
    <w:rsid w:val="00B67006"/>
    <w:rsid w:val="00B7017B"/>
    <w:rsid w:val="00B71A0F"/>
    <w:rsid w:val="00B72B22"/>
    <w:rsid w:val="00B72D33"/>
    <w:rsid w:val="00B73FAE"/>
    <w:rsid w:val="00B776D7"/>
    <w:rsid w:val="00B80D8C"/>
    <w:rsid w:val="00B81C58"/>
    <w:rsid w:val="00B81F77"/>
    <w:rsid w:val="00B822E7"/>
    <w:rsid w:val="00B82591"/>
    <w:rsid w:val="00B82618"/>
    <w:rsid w:val="00B82E02"/>
    <w:rsid w:val="00B83DC7"/>
    <w:rsid w:val="00B8496A"/>
    <w:rsid w:val="00B8564A"/>
    <w:rsid w:val="00B8590B"/>
    <w:rsid w:val="00B87D07"/>
    <w:rsid w:val="00B91CFC"/>
    <w:rsid w:val="00B91F60"/>
    <w:rsid w:val="00B926A0"/>
    <w:rsid w:val="00B94536"/>
    <w:rsid w:val="00B97ED9"/>
    <w:rsid w:val="00BA11E0"/>
    <w:rsid w:val="00BA13BE"/>
    <w:rsid w:val="00BA25F6"/>
    <w:rsid w:val="00BA297B"/>
    <w:rsid w:val="00BA3BEF"/>
    <w:rsid w:val="00BA4734"/>
    <w:rsid w:val="00BA4FBB"/>
    <w:rsid w:val="00BA65DA"/>
    <w:rsid w:val="00BA69E1"/>
    <w:rsid w:val="00BA7A05"/>
    <w:rsid w:val="00BB0654"/>
    <w:rsid w:val="00BB312F"/>
    <w:rsid w:val="00BB36C9"/>
    <w:rsid w:val="00BB4FE2"/>
    <w:rsid w:val="00BB5FE6"/>
    <w:rsid w:val="00BB7B07"/>
    <w:rsid w:val="00BB7E7B"/>
    <w:rsid w:val="00BC097C"/>
    <w:rsid w:val="00BC118D"/>
    <w:rsid w:val="00BC1877"/>
    <w:rsid w:val="00BC231D"/>
    <w:rsid w:val="00BC2D6E"/>
    <w:rsid w:val="00BC3429"/>
    <w:rsid w:val="00BC5C89"/>
    <w:rsid w:val="00BD0174"/>
    <w:rsid w:val="00BD03CD"/>
    <w:rsid w:val="00BD078D"/>
    <w:rsid w:val="00BD1EA6"/>
    <w:rsid w:val="00BD42C8"/>
    <w:rsid w:val="00BD49EA"/>
    <w:rsid w:val="00BE1AB6"/>
    <w:rsid w:val="00BE21E1"/>
    <w:rsid w:val="00BE25B1"/>
    <w:rsid w:val="00BE6400"/>
    <w:rsid w:val="00BE700A"/>
    <w:rsid w:val="00BF1765"/>
    <w:rsid w:val="00BF22C1"/>
    <w:rsid w:val="00BF2443"/>
    <w:rsid w:val="00BF26A7"/>
    <w:rsid w:val="00BF3824"/>
    <w:rsid w:val="00BF40B6"/>
    <w:rsid w:val="00BF437D"/>
    <w:rsid w:val="00BF455F"/>
    <w:rsid w:val="00BF73BE"/>
    <w:rsid w:val="00BF743C"/>
    <w:rsid w:val="00C017FD"/>
    <w:rsid w:val="00C039F1"/>
    <w:rsid w:val="00C052F7"/>
    <w:rsid w:val="00C066B6"/>
    <w:rsid w:val="00C07929"/>
    <w:rsid w:val="00C07B34"/>
    <w:rsid w:val="00C112AA"/>
    <w:rsid w:val="00C1518B"/>
    <w:rsid w:val="00C17DB9"/>
    <w:rsid w:val="00C21601"/>
    <w:rsid w:val="00C236BE"/>
    <w:rsid w:val="00C2489D"/>
    <w:rsid w:val="00C26A6C"/>
    <w:rsid w:val="00C32C20"/>
    <w:rsid w:val="00C33A21"/>
    <w:rsid w:val="00C35161"/>
    <w:rsid w:val="00C43AC6"/>
    <w:rsid w:val="00C441E1"/>
    <w:rsid w:val="00C44207"/>
    <w:rsid w:val="00C45E2E"/>
    <w:rsid w:val="00C51413"/>
    <w:rsid w:val="00C53059"/>
    <w:rsid w:val="00C54562"/>
    <w:rsid w:val="00C554C2"/>
    <w:rsid w:val="00C57443"/>
    <w:rsid w:val="00C5757F"/>
    <w:rsid w:val="00C6034D"/>
    <w:rsid w:val="00C606D8"/>
    <w:rsid w:val="00C60952"/>
    <w:rsid w:val="00C6117D"/>
    <w:rsid w:val="00C63D88"/>
    <w:rsid w:val="00C63EC7"/>
    <w:rsid w:val="00C64A89"/>
    <w:rsid w:val="00C6520E"/>
    <w:rsid w:val="00C6554F"/>
    <w:rsid w:val="00C67700"/>
    <w:rsid w:val="00C67D73"/>
    <w:rsid w:val="00C71B8A"/>
    <w:rsid w:val="00C71F06"/>
    <w:rsid w:val="00C739DB"/>
    <w:rsid w:val="00C73DB1"/>
    <w:rsid w:val="00C74761"/>
    <w:rsid w:val="00C74D6C"/>
    <w:rsid w:val="00C74FE3"/>
    <w:rsid w:val="00C758DA"/>
    <w:rsid w:val="00C75C26"/>
    <w:rsid w:val="00C76197"/>
    <w:rsid w:val="00C8030D"/>
    <w:rsid w:val="00C81041"/>
    <w:rsid w:val="00C81F66"/>
    <w:rsid w:val="00C821FA"/>
    <w:rsid w:val="00C8593F"/>
    <w:rsid w:val="00C9102F"/>
    <w:rsid w:val="00C91779"/>
    <w:rsid w:val="00C91D35"/>
    <w:rsid w:val="00C9478A"/>
    <w:rsid w:val="00C95D7C"/>
    <w:rsid w:val="00C9722A"/>
    <w:rsid w:val="00CA2547"/>
    <w:rsid w:val="00CA3BF8"/>
    <w:rsid w:val="00CA49C3"/>
    <w:rsid w:val="00CA4B5E"/>
    <w:rsid w:val="00CA6ACC"/>
    <w:rsid w:val="00CA6E2D"/>
    <w:rsid w:val="00CA7066"/>
    <w:rsid w:val="00CB0CB2"/>
    <w:rsid w:val="00CB20A7"/>
    <w:rsid w:val="00CB2E3E"/>
    <w:rsid w:val="00CB365C"/>
    <w:rsid w:val="00CB606B"/>
    <w:rsid w:val="00CB63EA"/>
    <w:rsid w:val="00CB6DD6"/>
    <w:rsid w:val="00CB7752"/>
    <w:rsid w:val="00CC158D"/>
    <w:rsid w:val="00CC2036"/>
    <w:rsid w:val="00CC301A"/>
    <w:rsid w:val="00CC38E6"/>
    <w:rsid w:val="00CC47E4"/>
    <w:rsid w:val="00CC6FCA"/>
    <w:rsid w:val="00CD1BA1"/>
    <w:rsid w:val="00CD33D5"/>
    <w:rsid w:val="00CD3AC4"/>
    <w:rsid w:val="00CD7FE2"/>
    <w:rsid w:val="00CE06B9"/>
    <w:rsid w:val="00CE1091"/>
    <w:rsid w:val="00CE2571"/>
    <w:rsid w:val="00CE4851"/>
    <w:rsid w:val="00CE5F9F"/>
    <w:rsid w:val="00CE5FBC"/>
    <w:rsid w:val="00CE64DB"/>
    <w:rsid w:val="00CE7055"/>
    <w:rsid w:val="00CE76E3"/>
    <w:rsid w:val="00CE78D1"/>
    <w:rsid w:val="00CE7DB5"/>
    <w:rsid w:val="00CF003E"/>
    <w:rsid w:val="00CF0044"/>
    <w:rsid w:val="00D033C4"/>
    <w:rsid w:val="00D10409"/>
    <w:rsid w:val="00D10E2A"/>
    <w:rsid w:val="00D13D23"/>
    <w:rsid w:val="00D14173"/>
    <w:rsid w:val="00D17885"/>
    <w:rsid w:val="00D242A2"/>
    <w:rsid w:val="00D2458E"/>
    <w:rsid w:val="00D268D9"/>
    <w:rsid w:val="00D26C80"/>
    <w:rsid w:val="00D32B2C"/>
    <w:rsid w:val="00D33630"/>
    <w:rsid w:val="00D36C55"/>
    <w:rsid w:val="00D37360"/>
    <w:rsid w:val="00D41216"/>
    <w:rsid w:val="00D41348"/>
    <w:rsid w:val="00D42E9A"/>
    <w:rsid w:val="00D45987"/>
    <w:rsid w:val="00D459D1"/>
    <w:rsid w:val="00D463A1"/>
    <w:rsid w:val="00D471AF"/>
    <w:rsid w:val="00D50AFF"/>
    <w:rsid w:val="00D52446"/>
    <w:rsid w:val="00D55C22"/>
    <w:rsid w:val="00D56AB2"/>
    <w:rsid w:val="00D615D9"/>
    <w:rsid w:val="00D634E9"/>
    <w:rsid w:val="00D66C1B"/>
    <w:rsid w:val="00D66DD7"/>
    <w:rsid w:val="00D70452"/>
    <w:rsid w:val="00D72FFA"/>
    <w:rsid w:val="00D73B04"/>
    <w:rsid w:val="00D75156"/>
    <w:rsid w:val="00D760E8"/>
    <w:rsid w:val="00D76A1F"/>
    <w:rsid w:val="00D77350"/>
    <w:rsid w:val="00D807D4"/>
    <w:rsid w:val="00D81693"/>
    <w:rsid w:val="00D85B49"/>
    <w:rsid w:val="00D85FB8"/>
    <w:rsid w:val="00D917AB"/>
    <w:rsid w:val="00D93D8E"/>
    <w:rsid w:val="00D9550A"/>
    <w:rsid w:val="00D95876"/>
    <w:rsid w:val="00DA0726"/>
    <w:rsid w:val="00DA18B2"/>
    <w:rsid w:val="00DA1A0A"/>
    <w:rsid w:val="00DA718D"/>
    <w:rsid w:val="00DA7CDD"/>
    <w:rsid w:val="00DA7D12"/>
    <w:rsid w:val="00DB0FA3"/>
    <w:rsid w:val="00DB22CF"/>
    <w:rsid w:val="00DB299C"/>
    <w:rsid w:val="00DB3304"/>
    <w:rsid w:val="00DB3839"/>
    <w:rsid w:val="00DB3FC8"/>
    <w:rsid w:val="00DB4070"/>
    <w:rsid w:val="00DB5B05"/>
    <w:rsid w:val="00DB6EDD"/>
    <w:rsid w:val="00DC0734"/>
    <w:rsid w:val="00DC1D95"/>
    <w:rsid w:val="00DC2C68"/>
    <w:rsid w:val="00DC2C85"/>
    <w:rsid w:val="00DC4B8B"/>
    <w:rsid w:val="00DC5112"/>
    <w:rsid w:val="00DD1693"/>
    <w:rsid w:val="00DD181E"/>
    <w:rsid w:val="00DD2DCD"/>
    <w:rsid w:val="00DD453A"/>
    <w:rsid w:val="00DD48C2"/>
    <w:rsid w:val="00DE0ED8"/>
    <w:rsid w:val="00DE2274"/>
    <w:rsid w:val="00DE7926"/>
    <w:rsid w:val="00DE7E61"/>
    <w:rsid w:val="00E010C3"/>
    <w:rsid w:val="00E03799"/>
    <w:rsid w:val="00E03D2C"/>
    <w:rsid w:val="00E05565"/>
    <w:rsid w:val="00E077C5"/>
    <w:rsid w:val="00E12045"/>
    <w:rsid w:val="00E1245D"/>
    <w:rsid w:val="00E12D4B"/>
    <w:rsid w:val="00E14551"/>
    <w:rsid w:val="00E20816"/>
    <w:rsid w:val="00E20EA9"/>
    <w:rsid w:val="00E210D3"/>
    <w:rsid w:val="00E230D7"/>
    <w:rsid w:val="00E23BF8"/>
    <w:rsid w:val="00E245EA"/>
    <w:rsid w:val="00E24A0A"/>
    <w:rsid w:val="00E24E16"/>
    <w:rsid w:val="00E25A5D"/>
    <w:rsid w:val="00E27642"/>
    <w:rsid w:val="00E27726"/>
    <w:rsid w:val="00E3525F"/>
    <w:rsid w:val="00E36AD6"/>
    <w:rsid w:val="00E420E4"/>
    <w:rsid w:val="00E4519D"/>
    <w:rsid w:val="00E45515"/>
    <w:rsid w:val="00E4607C"/>
    <w:rsid w:val="00E4636A"/>
    <w:rsid w:val="00E51128"/>
    <w:rsid w:val="00E53A8C"/>
    <w:rsid w:val="00E53C23"/>
    <w:rsid w:val="00E55E8F"/>
    <w:rsid w:val="00E600D7"/>
    <w:rsid w:val="00E610D9"/>
    <w:rsid w:val="00E63C65"/>
    <w:rsid w:val="00E6662E"/>
    <w:rsid w:val="00E67184"/>
    <w:rsid w:val="00E7006C"/>
    <w:rsid w:val="00E70761"/>
    <w:rsid w:val="00E7221C"/>
    <w:rsid w:val="00E750FF"/>
    <w:rsid w:val="00E7688F"/>
    <w:rsid w:val="00E82EE8"/>
    <w:rsid w:val="00E85FB6"/>
    <w:rsid w:val="00E86045"/>
    <w:rsid w:val="00E86243"/>
    <w:rsid w:val="00E865B0"/>
    <w:rsid w:val="00E86CF5"/>
    <w:rsid w:val="00E9024C"/>
    <w:rsid w:val="00E90B7B"/>
    <w:rsid w:val="00E91A1E"/>
    <w:rsid w:val="00E91AF0"/>
    <w:rsid w:val="00E93A1B"/>
    <w:rsid w:val="00E96196"/>
    <w:rsid w:val="00E976BC"/>
    <w:rsid w:val="00EA02C8"/>
    <w:rsid w:val="00EA21A3"/>
    <w:rsid w:val="00EA25BD"/>
    <w:rsid w:val="00EA2628"/>
    <w:rsid w:val="00EA2B31"/>
    <w:rsid w:val="00EA47F6"/>
    <w:rsid w:val="00EA4A6E"/>
    <w:rsid w:val="00EA57E7"/>
    <w:rsid w:val="00EB22D1"/>
    <w:rsid w:val="00EB6314"/>
    <w:rsid w:val="00EB663E"/>
    <w:rsid w:val="00EB7A18"/>
    <w:rsid w:val="00EC0C69"/>
    <w:rsid w:val="00EC1A9B"/>
    <w:rsid w:val="00EC4895"/>
    <w:rsid w:val="00ED0142"/>
    <w:rsid w:val="00ED0FE3"/>
    <w:rsid w:val="00ED15B7"/>
    <w:rsid w:val="00ED347D"/>
    <w:rsid w:val="00ED36EB"/>
    <w:rsid w:val="00ED3B73"/>
    <w:rsid w:val="00ED4780"/>
    <w:rsid w:val="00ED650F"/>
    <w:rsid w:val="00EE3027"/>
    <w:rsid w:val="00EE6EB9"/>
    <w:rsid w:val="00EE7CDE"/>
    <w:rsid w:val="00EF088B"/>
    <w:rsid w:val="00EF0BAF"/>
    <w:rsid w:val="00EF0D5C"/>
    <w:rsid w:val="00EF4215"/>
    <w:rsid w:val="00EF51D9"/>
    <w:rsid w:val="00EF5711"/>
    <w:rsid w:val="00F008DA"/>
    <w:rsid w:val="00F01E23"/>
    <w:rsid w:val="00F03C5D"/>
    <w:rsid w:val="00F0674E"/>
    <w:rsid w:val="00F114A3"/>
    <w:rsid w:val="00F129B3"/>
    <w:rsid w:val="00F12A1B"/>
    <w:rsid w:val="00F12F57"/>
    <w:rsid w:val="00F13B74"/>
    <w:rsid w:val="00F157D7"/>
    <w:rsid w:val="00F2264A"/>
    <w:rsid w:val="00F23327"/>
    <w:rsid w:val="00F245CE"/>
    <w:rsid w:val="00F24ED5"/>
    <w:rsid w:val="00F27A45"/>
    <w:rsid w:val="00F34A3A"/>
    <w:rsid w:val="00F350F5"/>
    <w:rsid w:val="00F35112"/>
    <w:rsid w:val="00F3586F"/>
    <w:rsid w:val="00F409FD"/>
    <w:rsid w:val="00F411F0"/>
    <w:rsid w:val="00F42267"/>
    <w:rsid w:val="00F44521"/>
    <w:rsid w:val="00F45604"/>
    <w:rsid w:val="00F45DC4"/>
    <w:rsid w:val="00F50268"/>
    <w:rsid w:val="00F50924"/>
    <w:rsid w:val="00F52CB5"/>
    <w:rsid w:val="00F53CA6"/>
    <w:rsid w:val="00F549F8"/>
    <w:rsid w:val="00F5534D"/>
    <w:rsid w:val="00F57A2A"/>
    <w:rsid w:val="00F63911"/>
    <w:rsid w:val="00F676C7"/>
    <w:rsid w:val="00F702BC"/>
    <w:rsid w:val="00F71A26"/>
    <w:rsid w:val="00F72819"/>
    <w:rsid w:val="00F72F33"/>
    <w:rsid w:val="00F736E0"/>
    <w:rsid w:val="00F7587B"/>
    <w:rsid w:val="00F76D30"/>
    <w:rsid w:val="00F80EED"/>
    <w:rsid w:val="00F82F07"/>
    <w:rsid w:val="00F8303E"/>
    <w:rsid w:val="00F847B4"/>
    <w:rsid w:val="00F86E5B"/>
    <w:rsid w:val="00F93E25"/>
    <w:rsid w:val="00F93EF8"/>
    <w:rsid w:val="00F941CF"/>
    <w:rsid w:val="00F9710D"/>
    <w:rsid w:val="00FA064F"/>
    <w:rsid w:val="00FA77FE"/>
    <w:rsid w:val="00FB2F23"/>
    <w:rsid w:val="00FB31ED"/>
    <w:rsid w:val="00FB35CA"/>
    <w:rsid w:val="00FB76F1"/>
    <w:rsid w:val="00FC0BC7"/>
    <w:rsid w:val="00FC2020"/>
    <w:rsid w:val="00FC240E"/>
    <w:rsid w:val="00FC515F"/>
    <w:rsid w:val="00FC5FDA"/>
    <w:rsid w:val="00FC7D8E"/>
    <w:rsid w:val="00FD0D04"/>
    <w:rsid w:val="00FD13B2"/>
    <w:rsid w:val="00FD5DA3"/>
    <w:rsid w:val="00FD636F"/>
    <w:rsid w:val="00FD6AAA"/>
    <w:rsid w:val="00FE16B5"/>
    <w:rsid w:val="00FE6457"/>
    <w:rsid w:val="00FE6B1B"/>
    <w:rsid w:val="00FE7955"/>
    <w:rsid w:val="00FF2D2C"/>
    <w:rsid w:val="00FF468D"/>
    <w:rsid w:val="00FF4DC5"/>
    <w:rsid w:val="00FF79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86C9"/>
  <w15:docId w15:val="{EADC2F99-C14E-4646-8D3E-36B5B7F3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qFormat/>
    <w:rsid w:val="006E7D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AF164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1"/>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iPriority w:val="99"/>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character" w:customStyle="1" w:styleId="LISTChar">
    <w:name w:val="LIST Char"/>
    <w:basedOn w:val="JUDGMENTNUMBEREDChar"/>
    <w:link w:val="List1"/>
    <w:rsid w:val="00C63EC7"/>
    <w:rPr>
      <w:rFonts w:ascii="Times New Roman" w:hAnsi="Times New Roman"/>
      <w:sz w:val="26"/>
      <w:szCs w:val="22"/>
      <w:lang w:val="en-ZA"/>
    </w:r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AF1647"/>
    <w:rPr>
      <w:rFonts w:asciiTheme="majorHAnsi" w:eastAsiaTheme="majorEastAsia" w:hAnsiTheme="majorHAnsi" w:cstheme="majorBidi"/>
      <w:color w:val="365F91" w:themeColor="accent1" w:themeShade="BF"/>
      <w:sz w:val="26"/>
      <w:szCs w:val="26"/>
      <w:lang w:val="en-ZA"/>
    </w:rPr>
  </w:style>
  <w:style w:type="character" w:customStyle="1" w:styleId="CommentTextChar">
    <w:name w:val="Comment Text Char"/>
    <w:basedOn w:val="DefaultParagraphFont"/>
    <w:link w:val="CommentText"/>
    <w:uiPriority w:val="99"/>
    <w:semiHidden/>
    <w:rsid w:val="00AF1647"/>
    <w:rPr>
      <w:rFonts w:ascii="Times New Roman" w:hAnsi="Times New Roman"/>
      <w:lang w:val="en-ZA"/>
    </w:rPr>
  </w:style>
  <w:style w:type="paragraph" w:styleId="CommentText">
    <w:name w:val="annotation text"/>
    <w:basedOn w:val="Normal"/>
    <w:link w:val="CommentTextChar"/>
    <w:uiPriority w:val="99"/>
    <w:semiHidden/>
    <w:unhideWhenUsed/>
    <w:rsid w:val="00AF1647"/>
    <w:pPr>
      <w:spacing w:line="240" w:lineRule="auto"/>
    </w:pPr>
    <w:rPr>
      <w:sz w:val="20"/>
      <w:szCs w:val="20"/>
    </w:rPr>
  </w:style>
  <w:style w:type="character" w:customStyle="1" w:styleId="CommentSubjectChar">
    <w:name w:val="Comment Subject Char"/>
    <w:basedOn w:val="CommentTextChar"/>
    <w:link w:val="CommentSubject"/>
    <w:uiPriority w:val="99"/>
    <w:semiHidden/>
    <w:rsid w:val="00AF1647"/>
    <w:rPr>
      <w:rFonts w:ascii="Times New Roman" w:hAnsi="Times New Roman"/>
      <w:b/>
      <w:bCs/>
      <w:lang w:val="en-ZA"/>
    </w:rPr>
  </w:style>
  <w:style w:type="paragraph" w:styleId="CommentSubject">
    <w:name w:val="annotation subject"/>
    <w:basedOn w:val="CommentText"/>
    <w:next w:val="CommentText"/>
    <w:link w:val="CommentSubjectChar"/>
    <w:uiPriority w:val="99"/>
    <w:semiHidden/>
    <w:unhideWhenUsed/>
    <w:rsid w:val="00AF1647"/>
    <w:rPr>
      <w:b/>
      <w:bCs/>
    </w:rPr>
  </w:style>
  <w:style w:type="character" w:styleId="CommentReference">
    <w:name w:val="annotation reference"/>
    <w:basedOn w:val="DefaultParagraphFont"/>
    <w:uiPriority w:val="99"/>
    <w:semiHidden/>
    <w:unhideWhenUsed/>
    <w:rsid w:val="000F4B64"/>
    <w:rPr>
      <w:sz w:val="16"/>
      <w:szCs w:val="16"/>
    </w:rPr>
  </w:style>
  <w:style w:type="paragraph" w:customStyle="1" w:styleId="Body">
    <w:name w:val="Body"/>
    <w:rsid w:val="000F4B64"/>
    <w:pPr>
      <w:pBdr>
        <w:top w:val="nil"/>
        <w:left w:val="nil"/>
        <w:bottom w:val="nil"/>
        <w:right w:val="nil"/>
        <w:between w:val="nil"/>
        <w:bar w:val="nil"/>
      </w:pBdr>
      <w:spacing w:after="160" w:line="480" w:lineRule="auto"/>
    </w:pPr>
    <w:rPr>
      <w:rFonts w:ascii="Arial" w:eastAsia="Arial Unicode MS" w:hAnsi="Arial"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D33630"/>
    <w:rPr>
      <w:color w:val="0000FF"/>
      <w:u w:val="single"/>
    </w:rPr>
  </w:style>
  <w:style w:type="paragraph" w:styleId="BodyText">
    <w:name w:val="Body Text"/>
    <w:basedOn w:val="Normal"/>
    <w:link w:val="BodyTextChar"/>
    <w:uiPriority w:val="1"/>
    <w:qFormat/>
    <w:rsid w:val="00C5757F"/>
    <w:pPr>
      <w:widowControl w:val="0"/>
      <w:autoSpaceDE w:val="0"/>
      <w:autoSpaceDN w:val="0"/>
      <w:spacing w:line="240" w:lineRule="auto"/>
      <w:jc w:val="left"/>
    </w:pPr>
    <w:rPr>
      <w:rFonts w:eastAsia="Times New Roman"/>
      <w:sz w:val="28"/>
      <w:szCs w:val="28"/>
      <w:lang w:val="en-US"/>
    </w:rPr>
  </w:style>
  <w:style w:type="character" w:customStyle="1" w:styleId="BodyTextChar">
    <w:name w:val="Body Text Char"/>
    <w:basedOn w:val="DefaultParagraphFont"/>
    <w:link w:val="BodyText"/>
    <w:uiPriority w:val="1"/>
    <w:rsid w:val="00C5757F"/>
    <w:rPr>
      <w:rFonts w:ascii="Times New Roman" w:eastAsia="Times New Roman" w:hAnsi="Times New Roman"/>
      <w:sz w:val="28"/>
      <w:szCs w:val="28"/>
    </w:rPr>
  </w:style>
  <w:style w:type="paragraph" w:styleId="NormalWeb">
    <w:name w:val="Normal (Web)"/>
    <w:basedOn w:val="Normal"/>
    <w:uiPriority w:val="99"/>
    <w:unhideWhenUsed/>
    <w:rsid w:val="00366784"/>
    <w:pPr>
      <w:spacing w:before="100" w:beforeAutospacing="1" w:after="100" w:afterAutospacing="1" w:line="240" w:lineRule="auto"/>
      <w:jc w:val="left"/>
    </w:pPr>
    <w:rPr>
      <w:rFonts w:eastAsia="Times New Roman"/>
      <w:sz w:val="24"/>
      <w:szCs w:val="24"/>
      <w:lang w:eastAsia="en-ZA"/>
    </w:rPr>
  </w:style>
  <w:style w:type="character" w:customStyle="1" w:styleId="Heading1Char">
    <w:name w:val="Heading 1 Char"/>
    <w:basedOn w:val="DefaultParagraphFont"/>
    <w:link w:val="Heading1"/>
    <w:uiPriority w:val="9"/>
    <w:rsid w:val="006E7D01"/>
    <w:rPr>
      <w:rFonts w:asciiTheme="majorHAnsi" w:eastAsiaTheme="majorEastAsia" w:hAnsiTheme="majorHAnsi" w:cstheme="majorBidi"/>
      <w:color w:val="365F91" w:themeColor="accent1" w:themeShade="BF"/>
      <w:sz w:val="32"/>
      <w:szCs w:val="32"/>
      <w:lang w:val="en-ZA"/>
    </w:rPr>
  </w:style>
  <w:style w:type="character" w:styleId="Strong">
    <w:name w:val="Strong"/>
    <w:basedOn w:val="DefaultParagraphFont"/>
    <w:uiPriority w:val="22"/>
    <w:qFormat/>
    <w:rsid w:val="006F7418"/>
    <w:rPr>
      <w:b/>
      <w:bCs/>
    </w:rPr>
  </w:style>
  <w:style w:type="character" w:styleId="FollowedHyperlink">
    <w:name w:val="FollowedHyperlink"/>
    <w:basedOn w:val="DefaultParagraphFont"/>
    <w:uiPriority w:val="99"/>
    <w:semiHidden/>
    <w:unhideWhenUsed/>
    <w:rsid w:val="006852B2"/>
    <w:rPr>
      <w:color w:val="800080" w:themeColor="followedHyperlink"/>
      <w:u w:val="single"/>
    </w:rPr>
  </w:style>
  <w:style w:type="paragraph" w:styleId="Revision">
    <w:name w:val="Revision"/>
    <w:hidden/>
    <w:uiPriority w:val="99"/>
    <w:semiHidden/>
    <w:rsid w:val="00D73B04"/>
    <w:rPr>
      <w:rFonts w:ascii="Times New Roman" w:hAnsi="Times New Roman"/>
      <w:sz w:val="26"/>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272">
      <w:bodyDiv w:val="1"/>
      <w:marLeft w:val="0"/>
      <w:marRight w:val="0"/>
      <w:marTop w:val="0"/>
      <w:marBottom w:val="0"/>
      <w:divBdr>
        <w:top w:val="none" w:sz="0" w:space="0" w:color="auto"/>
        <w:left w:val="none" w:sz="0" w:space="0" w:color="auto"/>
        <w:bottom w:val="none" w:sz="0" w:space="0" w:color="auto"/>
        <w:right w:val="none" w:sz="0" w:space="0" w:color="auto"/>
      </w:divBdr>
    </w:div>
    <w:div w:id="60493015">
      <w:bodyDiv w:val="1"/>
      <w:marLeft w:val="0"/>
      <w:marRight w:val="0"/>
      <w:marTop w:val="0"/>
      <w:marBottom w:val="0"/>
      <w:divBdr>
        <w:top w:val="none" w:sz="0" w:space="0" w:color="auto"/>
        <w:left w:val="none" w:sz="0" w:space="0" w:color="auto"/>
        <w:bottom w:val="none" w:sz="0" w:space="0" w:color="auto"/>
        <w:right w:val="none" w:sz="0" w:space="0" w:color="auto"/>
      </w:divBdr>
    </w:div>
    <w:div w:id="193933361">
      <w:bodyDiv w:val="1"/>
      <w:marLeft w:val="0"/>
      <w:marRight w:val="0"/>
      <w:marTop w:val="0"/>
      <w:marBottom w:val="0"/>
      <w:divBdr>
        <w:top w:val="none" w:sz="0" w:space="0" w:color="auto"/>
        <w:left w:val="none" w:sz="0" w:space="0" w:color="auto"/>
        <w:bottom w:val="none" w:sz="0" w:space="0" w:color="auto"/>
        <w:right w:val="none" w:sz="0" w:space="0" w:color="auto"/>
      </w:divBdr>
    </w:div>
    <w:div w:id="322055231">
      <w:bodyDiv w:val="1"/>
      <w:marLeft w:val="0"/>
      <w:marRight w:val="0"/>
      <w:marTop w:val="0"/>
      <w:marBottom w:val="0"/>
      <w:divBdr>
        <w:top w:val="none" w:sz="0" w:space="0" w:color="auto"/>
        <w:left w:val="none" w:sz="0" w:space="0" w:color="auto"/>
        <w:bottom w:val="none" w:sz="0" w:space="0" w:color="auto"/>
        <w:right w:val="none" w:sz="0" w:space="0" w:color="auto"/>
      </w:divBdr>
    </w:div>
    <w:div w:id="379943593">
      <w:bodyDiv w:val="1"/>
      <w:marLeft w:val="0"/>
      <w:marRight w:val="0"/>
      <w:marTop w:val="0"/>
      <w:marBottom w:val="0"/>
      <w:divBdr>
        <w:top w:val="none" w:sz="0" w:space="0" w:color="auto"/>
        <w:left w:val="none" w:sz="0" w:space="0" w:color="auto"/>
        <w:bottom w:val="none" w:sz="0" w:space="0" w:color="auto"/>
        <w:right w:val="none" w:sz="0" w:space="0" w:color="auto"/>
      </w:divBdr>
    </w:div>
    <w:div w:id="387454958">
      <w:bodyDiv w:val="1"/>
      <w:marLeft w:val="0"/>
      <w:marRight w:val="0"/>
      <w:marTop w:val="0"/>
      <w:marBottom w:val="0"/>
      <w:divBdr>
        <w:top w:val="none" w:sz="0" w:space="0" w:color="auto"/>
        <w:left w:val="none" w:sz="0" w:space="0" w:color="auto"/>
        <w:bottom w:val="none" w:sz="0" w:space="0" w:color="auto"/>
        <w:right w:val="none" w:sz="0" w:space="0" w:color="auto"/>
      </w:divBdr>
    </w:div>
    <w:div w:id="491722137">
      <w:bodyDiv w:val="1"/>
      <w:marLeft w:val="0"/>
      <w:marRight w:val="0"/>
      <w:marTop w:val="0"/>
      <w:marBottom w:val="0"/>
      <w:divBdr>
        <w:top w:val="none" w:sz="0" w:space="0" w:color="auto"/>
        <w:left w:val="none" w:sz="0" w:space="0" w:color="auto"/>
        <w:bottom w:val="none" w:sz="0" w:space="0" w:color="auto"/>
        <w:right w:val="none" w:sz="0" w:space="0" w:color="auto"/>
      </w:divBdr>
    </w:div>
    <w:div w:id="533346085">
      <w:bodyDiv w:val="1"/>
      <w:marLeft w:val="0"/>
      <w:marRight w:val="0"/>
      <w:marTop w:val="0"/>
      <w:marBottom w:val="0"/>
      <w:divBdr>
        <w:top w:val="none" w:sz="0" w:space="0" w:color="auto"/>
        <w:left w:val="none" w:sz="0" w:space="0" w:color="auto"/>
        <w:bottom w:val="none" w:sz="0" w:space="0" w:color="auto"/>
        <w:right w:val="none" w:sz="0" w:space="0" w:color="auto"/>
      </w:divBdr>
    </w:div>
    <w:div w:id="577207504">
      <w:bodyDiv w:val="1"/>
      <w:marLeft w:val="0"/>
      <w:marRight w:val="0"/>
      <w:marTop w:val="0"/>
      <w:marBottom w:val="0"/>
      <w:divBdr>
        <w:top w:val="none" w:sz="0" w:space="0" w:color="auto"/>
        <w:left w:val="none" w:sz="0" w:space="0" w:color="auto"/>
        <w:bottom w:val="none" w:sz="0" w:space="0" w:color="auto"/>
        <w:right w:val="none" w:sz="0" w:space="0" w:color="auto"/>
      </w:divBdr>
    </w:div>
    <w:div w:id="604461671">
      <w:bodyDiv w:val="1"/>
      <w:marLeft w:val="0"/>
      <w:marRight w:val="0"/>
      <w:marTop w:val="0"/>
      <w:marBottom w:val="0"/>
      <w:divBdr>
        <w:top w:val="none" w:sz="0" w:space="0" w:color="auto"/>
        <w:left w:val="none" w:sz="0" w:space="0" w:color="auto"/>
        <w:bottom w:val="none" w:sz="0" w:space="0" w:color="auto"/>
        <w:right w:val="none" w:sz="0" w:space="0" w:color="auto"/>
      </w:divBdr>
    </w:div>
    <w:div w:id="686366654">
      <w:bodyDiv w:val="1"/>
      <w:marLeft w:val="0"/>
      <w:marRight w:val="0"/>
      <w:marTop w:val="0"/>
      <w:marBottom w:val="0"/>
      <w:divBdr>
        <w:top w:val="none" w:sz="0" w:space="0" w:color="auto"/>
        <w:left w:val="none" w:sz="0" w:space="0" w:color="auto"/>
        <w:bottom w:val="none" w:sz="0" w:space="0" w:color="auto"/>
        <w:right w:val="none" w:sz="0" w:space="0" w:color="auto"/>
      </w:divBdr>
    </w:div>
    <w:div w:id="898173171">
      <w:bodyDiv w:val="1"/>
      <w:marLeft w:val="0"/>
      <w:marRight w:val="0"/>
      <w:marTop w:val="0"/>
      <w:marBottom w:val="0"/>
      <w:divBdr>
        <w:top w:val="none" w:sz="0" w:space="0" w:color="auto"/>
        <w:left w:val="none" w:sz="0" w:space="0" w:color="auto"/>
        <w:bottom w:val="none" w:sz="0" w:space="0" w:color="auto"/>
        <w:right w:val="none" w:sz="0" w:space="0" w:color="auto"/>
      </w:divBdr>
    </w:div>
    <w:div w:id="950747700">
      <w:bodyDiv w:val="1"/>
      <w:marLeft w:val="0"/>
      <w:marRight w:val="0"/>
      <w:marTop w:val="0"/>
      <w:marBottom w:val="0"/>
      <w:divBdr>
        <w:top w:val="none" w:sz="0" w:space="0" w:color="auto"/>
        <w:left w:val="none" w:sz="0" w:space="0" w:color="auto"/>
        <w:bottom w:val="none" w:sz="0" w:space="0" w:color="auto"/>
        <w:right w:val="none" w:sz="0" w:space="0" w:color="auto"/>
      </w:divBdr>
    </w:div>
    <w:div w:id="1045132440">
      <w:bodyDiv w:val="1"/>
      <w:marLeft w:val="0"/>
      <w:marRight w:val="0"/>
      <w:marTop w:val="0"/>
      <w:marBottom w:val="0"/>
      <w:divBdr>
        <w:top w:val="none" w:sz="0" w:space="0" w:color="auto"/>
        <w:left w:val="none" w:sz="0" w:space="0" w:color="auto"/>
        <w:bottom w:val="none" w:sz="0" w:space="0" w:color="auto"/>
        <w:right w:val="none" w:sz="0" w:space="0" w:color="auto"/>
      </w:divBdr>
      <w:divsChild>
        <w:div w:id="415133645">
          <w:marLeft w:val="0"/>
          <w:marRight w:val="0"/>
          <w:marTop w:val="0"/>
          <w:marBottom w:val="0"/>
          <w:divBdr>
            <w:top w:val="none" w:sz="0" w:space="0" w:color="auto"/>
            <w:left w:val="none" w:sz="0" w:space="0" w:color="auto"/>
            <w:bottom w:val="none" w:sz="0" w:space="0" w:color="auto"/>
            <w:right w:val="none" w:sz="0" w:space="0" w:color="auto"/>
          </w:divBdr>
        </w:div>
        <w:div w:id="437137893">
          <w:marLeft w:val="0"/>
          <w:marRight w:val="0"/>
          <w:marTop w:val="0"/>
          <w:marBottom w:val="0"/>
          <w:divBdr>
            <w:top w:val="none" w:sz="0" w:space="0" w:color="auto"/>
            <w:left w:val="none" w:sz="0" w:space="0" w:color="auto"/>
            <w:bottom w:val="none" w:sz="0" w:space="0" w:color="auto"/>
            <w:right w:val="none" w:sz="0" w:space="0" w:color="auto"/>
          </w:divBdr>
        </w:div>
        <w:div w:id="697858059">
          <w:marLeft w:val="0"/>
          <w:marRight w:val="0"/>
          <w:marTop w:val="0"/>
          <w:marBottom w:val="0"/>
          <w:divBdr>
            <w:top w:val="none" w:sz="0" w:space="0" w:color="auto"/>
            <w:left w:val="none" w:sz="0" w:space="0" w:color="auto"/>
            <w:bottom w:val="none" w:sz="0" w:space="0" w:color="auto"/>
            <w:right w:val="none" w:sz="0" w:space="0" w:color="auto"/>
          </w:divBdr>
        </w:div>
        <w:div w:id="812913671">
          <w:marLeft w:val="0"/>
          <w:marRight w:val="0"/>
          <w:marTop w:val="0"/>
          <w:marBottom w:val="0"/>
          <w:divBdr>
            <w:top w:val="none" w:sz="0" w:space="0" w:color="auto"/>
            <w:left w:val="none" w:sz="0" w:space="0" w:color="auto"/>
            <w:bottom w:val="none" w:sz="0" w:space="0" w:color="auto"/>
            <w:right w:val="none" w:sz="0" w:space="0" w:color="auto"/>
          </w:divBdr>
        </w:div>
        <w:div w:id="1175651426">
          <w:marLeft w:val="0"/>
          <w:marRight w:val="0"/>
          <w:marTop w:val="0"/>
          <w:marBottom w:val="0"/>
          <w:divBdr>
            <w:top w:val="none" w:sz="0" w:space="0" w:color="auto"/>
            <w:left w:val="none" w:sz="0" w:space="0" w:color="auto"/>
            <w:bottom w:val="none" w:sz="0" w:space="0" w:color="auto"/>
            <w:right w:val="none" w:sz="0" w:space="0" w:color="auto"/>
          </w:divBdr>
        </w:div>
        <w:div w:id="1309629068">
          <w:marLeft w:val="0"/>
          <w:marRight w:val="0"/>
          <w:marTop w:val="0"/>
          <w:marBottom w:val="0"/>
          <w:divBdr>
            <w:top w:val="none" w:sz="0" w:space="0" w:color="auto"/>
            <w:left w:val="none" w:sz="0" w:space="0" w:color="auto"/>
            <w:bottom w:val="none" w:sz="0" w:space="0" w:color="auto"/>
            <w:right w:val="none" w:sz="0" w:space="0" w:color="auto"/>
          </w:divBdr>
        </w:div>
        <w:div w:id="1329403945">
          <w:marLeft w:val="0"/>
          <w:marRight w:val="0"/>
          <w:marTop w:val="0"/>
          <w:marBottom w:val="0"/>
          <w:divBdr>
            <w:top w:val="none" w:sz="0" w:space="0" w:color="auto"/>
            <w:left w:val="none" w:sz="0" w:space="0" w:color="auto"/>
            <w:bottom w:val="none" w:sz="0" w:space="0" w:color="auto"/>
            <w:right w:val="none" w:sz="0" w:space="0" w:color="auto"/>
          </w:divBdr>
        </w:div>
        <w:div w:id="1372874316">
          <w:marLeft w:val="0"/>
          <w:marRight w:val="0"/>
          <w:marTop w:val="0"/>
          <w:marBottom w:val="0"/>
          <w:divBdr>
            <w:top w:val="none" w:sz="0" w:space="0" w:color="auto"/>
            <w:left w:val="none" w:sz="0" w:space="0" w:color="auto"/>
            <w:bottom w:val="none" w:sz="0" w:space="0" w:color="auto"/>
            <w:right w:val="none" w:sz="0" w:space="0" w:color="auto"/>
          </w:divBdr>
        </w:div>
        <w:div w:id="1590390467">
          <w:marLeft w:val="0"/>
          <w:marRight w:val="0"/>
          <w:marTop w:val="0"/>
          <w:marBottom w:val="0"/>
          <w:divBdr>
            <w:top w:val="none" w:sz="0" w:space="0" w:color="auto"/>
            <w:left w:val="none" w:sz="0" w:space="0" w:color="auto"/>
            <w:bottom w:val="none" w:sz="0" w:space="0" w:color="auto"/>
            <w:right w:val="none" w:sz="0" w:space="0" w:color="auto"/>
          </w:divBdr>
        </w:div>
        <w:div w:id="1597667245">
          <w:marLeft w:val="0"/>
          <w:marRight w:val="0"/>
          <w:marTop w:val="0"/>
          <w:marBottom w:val="0"/>
          <w:divBdr>
            <w:top w:val="none" w:sz="0" w:space="0" w:color="auto"/>
            <w:left w:val="none" w:sz="0" w:space="0" w:color="auto"/>
            <w:bottom w:val="none" w:sz="0" w:space="0" w:color="auto"/>
            <w:right w:val="none" w:sz="0" w:space="0" w:color="auto"/>
          </w:divBdr>
        </w:div>
        <w:div w:id="1915583376">
          <w:marLeft w:val="0"/>
          <w:marRight w:val="0"/>
          <w:marTop w:val="0"/>
          <w:marBottom w:val="0"/>
          <w:divBdr>
            <w:top w:val="none" w:sz="0" w:space="0" w:color="auto"/>
            <w:left w:val="none" w:sz="0" w:space="0" w:color="auto"/>
            <w:bottom w:val="none" w:sz="0" w:space="0" w:color="auto"/>
            <w:right w:val="none" w:sz="0" w:space="0" w:color="auto"/>
          </w:divBdr>
        </w:div>
        <w:div w:id="2104642594">
          <w:marLeft w:val="0"/>
          <w:marRight w:val="0"/>
          <w:marTop w:val="0"/>
          <w:marBottom w:val="0"/>
          <w:divBdr>
            <w:top w:val="none" w:sz="0" w:space="0" w:color="auto"/>
            <w:left w:val="none" w:sz="0" w:space="0" w:color="auto"/>
            <w:bottom w:val="none" w:sz="0" w:space="0" w:color="auto"/>
            <w:right w:val="none" w:sz="0" w:space="0" w:color="auto"/>
          </w:divBdr>
        </w:div>
        <w:div w:id="2125033440">
          <w:marLeft w:val="0"/>
          <w:marRight w:val="0"/>
          <w:marTop w:val="0"/>
          <w:marBottom w:val="0"/>
          <w:divBdr>
            <w:top w:val="none" w:sz="0" w:space="0" w:color="auto"/>
            <w:left w:val="none" w:sz="0" w:space="0" w:color="auto"/>
            <w:bottom w:val="none" w:sz="0" w:space="0" w:color="auto"/>
            <w:right w:val="none" w:sz="0" w:space="0" w:color="auto"/>
          </w:divBdr>
        </w:div>
      </w:divsChild>
    </w:div>
    <w:div w:id="1066298322">
      <w:bodyDiv w:val="1"/>
      <w:marLeft w:val="0"/>
      <w:marRight w:val="0"/>
      <w:marTop w:val="0"/>
      <w:marBottom w:val="0"/>
      <w:divBdr>
        <w:top w:val="none" w:sz="0" w:space="0" w:color="auto"/>
        <w:left w:val="none" w:sz="0" w:space="0" w:color="auto"/>
        <w:bottom w:val="none" w:sz="0" w:space="0" w:color="auto"/>
        <w:right w:val="none" w:sz="0" w:space="0" w:color="auto"/>
      </w:divBdr>
      <w:divsChild>
        <w:div w:id="23482599">
          <w:marLeft w:val="0"/>
          <w:marRight w:val="0"/>
          <w:marTop w:val="0"/>
          <w:marBottom w:val="0"/>
          <w:divBdr>
            <w:top w:val="none" w:sz="0" w:space="0" w:color="auto"/>
            <w:left w:val="none" w:sz="0" w:space="0" w:color="auto"/>
            <w:bottom w:val="none" w:sz="0" w:space="0" w:color="auto"/>
            <w:right w:val="none" w:sz="0" w:space="0" w:color="auto"/>
          </w:divBdr>
        </w:div>
        <w:div w:id="259997116">
          <w:marLeft w:val="0"/>
          <w:marRight w:val="0"/>
          <w:marTop w:val="0"/>
          <w:marBottom w:val="0"/>
          <w:divBdr>
            <w:top w:val="none" w:sz="0" w:space="0" w:color="auto"/>
            <w:left w:val="none" w:sz="0" w:space="0" w:color="auto"/>
            <w:bottom w:val="none" w:sz="0" w:space="0" w:color="auto"/>
            <w:right w:val="none" w:sz="0" w:space="0" w:color="auto"/>
          </w:divBdr>
        </w:div>
        <w:div w:id="595096167">
          <w:marLeft w:val="0"/>
          <w:marRight w:val="0"/>
          <w:marTop w:val="0"/>
          <w:marBottom w:val="0"/>
          <w:divBdr>
            <w:top w:val="none" w:sz="0" w:space="0" w:color="auto"/>
            <w:left w:val="none" w:sz="0" w:space="0" w:color="auto"/>
            <w:bottom w:val="none" w:sz="0" w:space="0" w:color="auto"/>
            <w:right w:val="none" w:sz="0" w:space="0" w:color="auto"/>
          </w:divBdr>
        </w:div>
        <w:div w:id="636882453">
          <w:marLeft w:val="0"/>
          <w:marRight w:val="0"/>
          <w:marTop w:val="0"/>
          <w:marBottom w:val="0"/>
          <w:divBdr>
            <w:top w:val="none" w:sz="0" w:space="0" w:color="auto"/>
            <w:left w:val="none" w:sz="0" w:space="0" w:color="auto"/>
            <w:bottom w:val="none" w:sz="0" w:space="0" w:color="auto"/>
            <w:right w:val="none" w:sz="0" w:space="0" w:color="auto"/>
          </w:divBdr>
        </w:div>
        <w:div w:id="1048410517">
          <w:marLeft w:val="0"/>
          <w:marRight w:val="0"/>
          <w:marTop w:val="0"/>
          <w:marBottom w:val="0"/>
          <w:divBdr>
            <w:top w:val="none" w:sz="0" w:space="0" w:color="auto"/>
            <w:left w:val="none" w:sz="0" w:space="0" w:color="auto"/>
            <w:bottom w:val="none" w:sz="0" w:space="0" w:color="auto"/>
            <w:right w:val="none" w:sz="0" w:space="0" w:color="auto"/>
          </w:divBdr>
        </w:div>
        <w:div w:id="1184857488">
          <w:marLeft w:val="0"/>
          <w:marRight w:val="0"/>
          <w:marTop w:val="0"/>
          <w:marBottom w:val="0"/>
          <w:divBdr>
            <w:top w:val="none" w:sz="0" w:space="0" w:color="auto"/>
            <w:left w:val="none" w:sz="0" w:space="0" w:color="auto"/>
            <w:bottom w:val="none" w:sz="0" w:space="0" w:color="auto"/>
            <w:right w:val="none" w:sz="0" w:space="0" w:color="auto"/>
          </w:divBdr>
        </w:div>
        <w:div w:id="1433207216">
          <w:marLeft w:val="0"/>
          <w:marRight w:val="0"/>
          <w:marTop w:val="0"/>
          <w:marBottom w:val="0"/>
          <w:divBdr>
            <w:top w:val="none" w:sz="0" w:space="0" w:color="auto"/>
            <w:left w:val="none" w:sz="0" w:space="0" w:color="auto"/>
            <w:bottom w:val="none" w:sz="0" w:space="0" w:color="auto"/>
            <w:right w:val="none" w:sz="0" w:space="0" w:color="auto"/>
          </w:divBdr>
        </w:div>
        <w:div w:id="1593319819">
          <w:marLeft w:val="0"/>
          <w:marRight w:val="0"/>
          <w:marTop w:val="0"/>
          <w:marBottom w:val="0"/>
          <w:divBdr>
            <w:top w:val="none" w:sz="0" w:space="0" w:color="auto"/>
            <w:left w:val="none" w:sz="0" w:space="0" w:color="auto"/>
            <w:bottom w:val="none" w:sz="0" w:space="0" w:color="auto"/>
            <w:right w:val="none" w:sz="0" w:space="0" w:color="auto"/>
          </w:divBdr>
        </w:div>
        <w:div w:id="1654916087">
          <w:marLeft w:val="0"/>
          <w:marRight w:val="0"/>
          <w:marTop w:val="0"/>
          <w:marBottom w:val="0"/>
          <w:divBdr>
            <w:top w:val="none" w:sz="0" w:space="0" w:color="auto"/>
            <w:left w:val="none" w:sz="0" w:space="0" w:color="auto"/>
            <w:bottom w:val="none" w:sz="0" w:space="0" w:color="auto"/>
            <w:right w:val="none" w:sz="0" w:space="0" w:color="auto"/>
          </w:divBdr>
        </w:div>
        <w:div w:id="1656033786">
          <w:marLeft w:val="0"/>
          <w:marRight w:val="0"/>
          <w:marTop w:val="0"/>
          <w:marBottom w:val="0"/>
          <w:divBdr>
            <w:top w:val="none" w:sz="0" w:space="0" w:color="auto"/>
            <w:left w:val="none" w:sz="0" w:space="0" w:color="auto"/>
            <w:bottom w:val="none" w:sz="0" w:space="0" w:color="auto"/>
            <w:right w:val="none" w:sz="0" w:space="0" w:color="auto"/>
          </w:divBdr>
        </w:div>
        <w:div w:id="1666977976">
          <w:marLeft w:val="0"/>
          <w:marRight w:val="0"/>
          <w:marTop w:val="0"/>
          <w:marBottom w:val="0"/>
          <w:divBdr>
            <w:top w:val="none" w:sz="0" w:space="0" w:color="auto"/>
            <w:left w:val="none" w:sz="0" w:space="0" w:color="auto"/>
            <w:bottom w:val="none" w:sz="0" w:space="0" w:color="auto"/>
            <w:right w:val="none" w:sz="0" w:space="0" w:color="auto"/>
          </w:divBdr>
        </w:div>
        <w:div w:id="1852262331">
          <w:marLeft w:val="0"/>
          <w:marRight w:val="0"/>
          <w:marTop w:val="0"/>
          <w:marBottom w:val="0"/>
          <w:divBdr>
            <w:top w:val="none" w:sz="0" w:space="0" w:color="auto"/>
            <w:left w:val="none" w:sz="0" w:space="0" w:color="auto"/>
            <w:bottom w:val="none" w:sz="0" w:space="0" w:color="auto"/>
            <w:right w:val="none" w:sz="0" w:space="0" w:color="auto"/>
          </w:divBdr>
        </w:div>
        <w:div w:id="1877621908">
          <w:marLeft w:val="0"/>
          <w:marRight w:val="0"/>
          <w:marTop w:val="0"/>
          <w:marBottom w:val="0"/>
          <w:divBdr>
            <w:top w:val="none" w:sz="0" w:space="0" w:color="auto"/>
            <w:left w:val="none" w:sz="0" w:space="0" w:color="auto"/>
            <w:bottom w:val="none" w:sz="0" w:space="0" w:color="auto"/>
            <w:right w:val="none" w:sz="0" w:space="0" w:color="auto"/>
          </w:divBdr>
        </w:div>
      </w:divsChild>
    </w:div>
    <w:div w:id="1248415905">
      <w:bodyDiv w:val="1"/>
      <w:marLeft w:val="0"/>
      <w:marRight w:val="0"/>
      <w:marTop w:val="0"/>
      <w:marBottom w:val="0"/>
      <w:divBdr>
        <w:top w:val="none" w:sz="0" w:space="0" w:color="auto"/>
        <w:left w:val="none" w:sz="0" w:space="0" w:color="auto"/>
        <w:bottom w:val="none" w:sz="0" w:space="0" w:color="auto"/>
        <w:right w:val="none" w:sz="0" w:space="0" w:color="auto"/>
      </w:divBdr>
    </w:div>
    <w:div w:id="1251163797">
      <w:bodyDiv w:val="1"/>
      <w:marLeft w:val="0"/>
      <w:marRight w:val="0"/>
      <w:marTop w:val="0"/>
      <w:marBottom w:val="0"/>
      <w:divBdr>
        <w:top w:val="none" w:sz="0" w:space="0" w:color="auto"/>
        <w:left w:val="none" w:sz="0" w:space="0" w:color="auto"/>
        <w:bottom w:val="none" w:sz="0" w:space="0" w:color="auto"/>
        <w:right w:val="none" w:sz="0" w:space="0" w:color="auto"/>
      </w:divBdr>
    </w:div>
    <w:div w:id="1320574966">
      <w:bodyDiv w:val="1"/>
      <w:marLeft w:val="0"/>
      <w:marRight w:val="0"/>
      <w:marTop w:val="0"/>
      <w:marBottom w:val="0"/>
      <w:divBdr>
        <w:top w:val="none" w:sz="0" w:space="0" w:color="auto"/>
        <w:left w:val="none" w:sz="0" w:space="0" w:color="auto"/>
        <w:bottom w:val="none" w:sz="0" w:space="0" w:color="auto"/>
        <w:right w:val="none" w:sz="0" w:space="0" w:color="auto"/>
      </w:divBdr>
    </w:div>
    <w:div w:id="1416708981">
      <w:bodyDiv w:val="1"/>
      <w:marLeft w:val="0"/>
      <w:marRight w:val="0"/>
      <w:marTop w:val="0"/>
      <w:marBottom w:val="0"/>
      <w:divBdr>
        <w:top w:val="none" w:sz="0" w:space="0" w:color="auto"/>
        <w:left w:val="none" w:sz="0" w:space="0" w:color="auto"/>
        <w:bottom w:val="none" w:sz="0" w:space="0" w:color="auto"/>
        <w:right w:val="none" w:sz="0" w:space="0" w:color="auto"/>
      </w:divBdr>
    </w:div>
    <w:div w:id="1435785525">
      <w:bodyDiv w:val="1"/>
      <w:marLeft w:val="0"/>
      <w:marRight w:val="0"/>
      <w:marTop w:val="0"/>
      <w:marBottom w:val="0"/>
      <w:divBdr>
        <w:top w:val="none" w:sz="0" w:space="0" w:color="auto"/>
        <w:left w:val="none" w:sz="0" w:space="0" w:color="auto"/>
        <w:bottom w:val="none" w:sz="0" w:space="0" w:color="auto"/>
        <w:right w:val="none" w:sz="0" w:space="0" w:color="auto"/>
      </w:divBdr>
    </w:div>
    <w:div w:id="1526823907">
      <w:bodyDiv w:val="1"/>
      <w:marLeft w:val="0"/>
      <w:marRight w:val="0"/>
      <w:marTop w:val="0"/>
      <w:marBottom w:val="0"/>
      <w:divBdr>
        <w:top w:val="none" w:sz="0" w:space="0" w:color="auto"/>
        <w:left w:val="none" w:sz="0" w:space="0" w:color="auto"/>
        <w:bottom w:val="none" w:sz="0" w:space="0" w:color="auto"/>
        <w:right w:val="none" w:sz="0" w:space="0" w:color="auto"/>
      </w:divBdr>
    </w:div>
    <w:div w:id="1548495881">
      <w:bodyDiv w:val="1"/>
      <w:marLeft w:val="0"/>
      <w:marRight w:val="0"/>
      <w:marTop w:val="0"/>
      <w:marBottom w:val="0"/>
      <w:divBdr>
        <w:top w:val="none" w:sz="0" w:space="0" w:color="auto"/>
        <w:left w:val="none" w:sz="0" w:space="0" w:color="auto"/>
        <w:bottom w:val="none" w:sz="0" w:space="0" w:color="auto"/>
        <w:right w:val="none" w:sz="0" w:space="0" w:color="auto"/>
      </w:divBdr>
    </w:div>
    <w:div w:id="1599287494">
      <w:bodyDiv w:val="1"/>
      <w:marLeft w:val="0"/>
      <w:marRight w:val="0"/>
      <w:marTop w:val="0"/>
      <w:marBottom w:val="0"/>
      <w:divBdr>
        <w:top w:val="none" w:sz="0" w:space="0" w:color="auto"/>
        <w:left w:val="none" w:sz="0" w:space="0" w:color="auto"/>
        <w:bottom w:val="none" w:sz="0" w:space="0" w:color="auto"/>
        <w:right w:val="none" w:sz="0" w:space="0" w:color="auto"/>
      </w:divBdr>
    </w:div>
    <w:div w:id="1606888036">
      <w:bodyDiv w:val="1"/>
      <w:marLeft w:val="0"/>
      <w:marRight w:val="0"/>
      <w:marTop w:val="0"/>
      <w:marBottom w:val="0"/>
      <w:divBdr>
        <w:top w:val="none" w:sz="0" w:space="0" w:color="auto"/>
        <w:left w:val="none" w:sz="0" w:space="0" w:color="auto"/>
        <w:bottom w:val="none" w:sz="0" w:space="0" w:color="auto"/>
        <w:right w:val="none" w:sz="0" w:space="0" w:color="auto"/>
      </w:divBdr>
    </w:div>
    <w:div w:id="1776241579">
      <w:bodyDiv w:val="1"/>
      <w:marLeft w:val="0"/>
      <w:marRight w:val="0"/>
      <w:marTop w:val="0"/>
      <w:marBottom w:val="0"/>
      <w:divBdr>
        <w:top w:val="none" w:sz="0" w:space="0" w:color="auto"/>
        <w:left w:val="none" w:sz="0" w:space="0" w:color="auto"/>
        <w:bottom w:val="none" w:sz="0" w:space="0" w:color="auto"/>
        <w:right w:val="none" w:sz="0" w:space="0" w:color="auto"/>
      </w:divBdr>
    </w:div>
    <w:div w:id="1789658914">
      <w:bodyDiv w:val="1"/>
      <w:marLeft w:val="0"/>
      <w:marRight w:val="0"/>
      <w:marTop w:val="0"/>
      <w:marBottom w:val="0"/>
      <w:divBdr>
        <w:top w:val="none" w:sz="0" w:space="0" w:color="auto"/>
        <w:left w:val="none" w:sz="0" w:space="0" w:color="auto"/>
        <w:bottom w:val="none" w:sz="0" w:space="0" w:color="auto"/>
        <w:right w:val="none" w:sz="0" w:space="0" w:color="auto"/>
      </w:divBdr>
    </w:div>
    <w:div w:id="1867909331">
      <w:bodyDiv w:val="1"/>
      <w:marLeft w:val="0"/>
      <w:marRight w:val="0"/>
      <w:marTop w:val="0"/>
      <w:marBottom w:val="0"/>
      <w:divBdr>
        <w:top w:val="none" w:sz="0" w:space="0" w:color="auto"/>
        <w:left w:val="none" w:sz="0" w:space="0" w:color="auto"/>
        <w:bottom w:val="none" w:sz="0" w:space="0" w:color="auto"/>
        <w:right w:val="none" w:sz="0" w:space="0" w:color="auto"/>
      </w:divBdr>
    </w:div>
    <w:div w:id="1908034317">
      <w:bodyDiv w:val="1"/>
      <w:marLeft w:val="0"/>
      <w:marRight w:val="0"/>
      <w:marTop w:val="0"/>
      <w:marBottom w:val="0"/>
      <w:divBdr>
        <w:top w:val="none" w:sz="0" w:space="0" w:color="auto"/>
        <w:left w:val="none" w:sz="0" w:space="0" w:color="auto"/>
        <w:bottom w:val="none" w:sz="0" w:space="0" w:color="auto"/>
        <w:right w:val="none" w:sz="0" w:space="0" w:color="auto"/>
      </w:divBdr>
    </w:div>
    <w:div w:id="1925411859">
      <w:bodyDiv w:val="1"/>
      <w:marLeft w:val="0"/>
      <w:marRight w:val="0"/>
      <w:marTop w:val="0"/>
      <w:marBottom w:val="0"/>
      <w:divBdr>
        <w:top w:val="none" w:sz="0" w:space="0" w:color="auto"/>
        <w:left w:val="none" w:sz="0" w:space="0" w:color="auto"/>
        <w:bottom w:val="none" w:sz="0" w:space="0" w:color="auto"/>
        <w:right w:val="none" w:sz="0" w:space="0" w:color="auto"/>
      </w:divBdr>
    </w:div>
    <w:div w:id="1952122802">
      <w:bodyDiv w:val="1"/>
      <w:marLeft w:val="0"/>
      <w:marRight w:val="0"/>
      <w:marTop w:val="0"/>
      <w:marBottom w:val="0"/>
      <w:divBdr>
        <w:top w:val="none" w:sz="0" w:space="0" w:color="auto"/>
        <w:left w:val="none" w:sz="0" w:space="0" w:color="auto"/>
        <w:bottom w:val="none" w:sz="0" w:space="0" w:color="auto"/>
        <w:right w:val="none" w:sz="0" w:space="0" w:color="auto"/>
      </w:divBdr>
    </w:div>
    <w:div w:id="2022275313">
      <w:bodyDiv w:val="1"/>
      <w:marLeft w:val="0"/>
      <w:marRight w:val="0"/>
      <w:marTop w:val="0"/>
      <w:marBottom w:val="0"/>
      <w:divBdr>
        <w:top w:val="none" w:sz="0" w:space="0" w:color="auto"/>
        <w:left w:val="none" w:sz="0" w:space="0" w:color="auto"/>
        <w:bottom w:val="none" w:sz="0" w:space="0" w:color="auto"/>
        <w:right w:val="none" w:sz="0" w:space="0" w:color="auto"/>
      </w:divBdr>
    </w:div>
    <w:div w:id="2051294516">
      <w:bodyDiv w:val="1"/>
      <w:marLeft w:val="0"/>
      <w:marRight w:val="0"/>
      <w:marTop w:val="0"/>
      <w:marBottom w:val="0"/>
      <w:divBdr>
        <w:top w:val="none" w:sz="0" w:space="0" w:color="auto"/>
        <w:left w:val="none" w:sz="0" w:space="0" w:color="auto"/>
        <w:bottom w:val="none" w:sz="0" w:space="0" w:color="auto"/>
        <w:right w:val="none" w:sz="0" w:space="0" w:color="auto"/>
      </w:divBdr>
    </w:div>
    <w:div w:id="21039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6B28-3FDB-477B-A3D3-F1717BE5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8047</Words>
  <Characters>45872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Rushaan Lewis</dc:creator>
  <cp:keywords/>
  <dc:description/>
  <cp:lastModifiedBy>Author</cp:lastModifiedBy>
  <cp:revision>4</cp:revision>
  <cp:lastPrinted>2021-06-21T13:13:00Z</cp:lastPrinted>
  <dcterms:created xsi:type="dcterms:W3CDTF">2021-12-07T14:35:00Z</dcterms:created>
  <dcterms:modified xsi:type="dcterms:W3CDTF">2021-12-08T06:51:00Z</dcterms:modified>
</cp:coreProperties>
</file>