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F312" w14:textId="77777777" w:rsidR="003A18CF" w:rsidRPr="003E02D3" w:rsidRDefault="0003374F" w:rsidP="003A18CF">
      <w:pPr>
        <w:spacing w:line="240" w:lineRule="auto"/>
        <w:jc w:val="center"/>
        <w:outlineLvl w:val="0"/>
      </w:pPr>
      <w:r w:rsidRPr="003E02D3">
        <w:rPr>
          <w:b/>
          <w:bCs/>
          <w:noProof/>
          <w:color w:val="1F497D"/>
          <w:lang w:eastAsia="en-ZA"/>
        </w:rPr>
        <w:drawing>
          <wp:inline distT="0" distB="0" distL="0" distR="0" wp14:anchorId="3ED906E0" wp14:editId="26E99E29">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293ED301" w14:textId="77777777" w:rsidR="003A18CF" w:rsidRPr="003E02D3" w:rsidRDefault="003A18CF" w:rsidP="003A18CF">
      <w:pPr>
        <w:spacing w:line="240" w:lineRule="auto"/>
        <w:jc w:val="center"/>
        <w:outlineLvl w:val="0"/>
      </w:pPr>
    </w:p>
    <w:p w14:paraId="6A31A28E" w14:textId="77777777" w:rsidR="003A18CF" w:rsidRPr="003E02D3" w:rsidRDefault="003A18CF" w:rsidP="003A18CF">
      <w:pPr>
        <w:spacing w:line="240" w:lineRule="auto"/>
        <w:jc w:val="center"/>
        <w:outlineLvl w:val="0"/>
        <w:rPr>
          <w:b/>
        </w:rPr>
      </w:pPr>
      <w:r w:rsidRPr="003E02D3">
        <w:rPr>
          <w:b/>
        </w:rPr>
        <w:t>CONSTITUTIONAL COURT OF SOUTH AFRICA</w:t>
      </w:r>
    </w:p>
    <w:p w14:paraId="0D360F96" w14:textId="77777777" w:rsidR="003A18CF" w:rsidRPr="003E02D3" w:rsidRDefault="003A18CF" w:rsidP="00910441">
      <w:pPr>
        <w:spacing w:line="240" w:lineRule="auto"/>
        <w:jc w:val="center"/>
      </w:pPr>
    </w:p>
    <w:p w14:paraId="6E00937A" w14:textId="77777777" w:rsidR="003A18CF" w:rsidRPr="003E02D3" w:rsidRDefault="003A18CF" w:rsidP="00910441">
      <w:pPr>
        <w:spacing w:line="240" w:lineRule="auto"/>
        <w:jc w:val="center"/>
      </w:pPr>
    </w:p>
    <w:p w14:paraId="2726B30C" w14:textId="5DBC6BAA" w:rsidR="003A18CF" w:rsidRPr="003E02D3" w:rsidRDefault="003A18CF" w:rsidP="003A18CF">
      <w:pPr>
        <w:tabs>
          <w:tab w:val="right" w:pos="9029"/>
        </w:tabs>
        <w:spacing w:line="240" w:lineRule="auto"/>
      </w:pPr>
      <w:r w:rsidRPr="003E02D3">
        <w:tab/>
        <w:t>Case CCT</w:t>
      </w:r>
      <w:r w:rsidR="00910441" w:rsidRPr="003E02D3">
        <w:t xml:space="preserve"> 246</w:t>
      </w:r>
      <w:r w:rsidRPr="003E02D3">
        <w:t>/</w:t>
      </w:r>
      <w:r w:rsidR="00910441" w:rsidRPr="003E02D3">
        <w:t>2</w:t>
      </w:r>
      <w:r w:rsidR="00EE5C5A">
        <w:t>0</w:t>
      </w:r>
    </w:p>
    <w:p w14:paraId="12AF936D" w14:textId="77777777" w:rsidR="003A18CF" w:rsidRPr="003E02D3" w:rsidRDefault="003A18CF" w:rsidP="003A18CF">
      <w:pPr>
        <w:tabs>
          <w:tab w:val="left" w:pos="8998"/>
        </w:tabs>
        <w:spacing w:line="240" w:lineRule="auto"/>
      </w:pPr>
    </w:p>
    <w:p w14:paraId="74B77BAF" w14:textId="77777777" w:rsidR="003A18CF" w:rsidRPr="003E02D3" w:rsidRDefault="003A18CF" w:rsidP="003A18CF">
      <w:pPr>
        <w:tabs>
          <w:tab w:val="left" w:pos="8998"/>
        </w:tabs>
        <w:spacing w:line="240" w:lineRule="auto"/>
      </w:pPr>
      <w:r w:rsidRPr="003E02D3">
        <w:t>In the matter between:</w:t>
      </w:r>
    </w:p>
    <w:p w14:paraId="3E10E687" w14:textId="77777777" w:rsidR="003A18CF" w:rsidRPr="003E02D3" w:rsidRDefault="003A18CF" w:rsidP="003A18CF">
      <w:pPr>
        <w:tabs>
          <w:tab w:val="left" w:pos="8998"/>
        </w:tabs>
        <w:spacing w:line="240" w:lineRule="auto"/>
      </w:pPr>
    </w:p>
    <w:p w14:paraId="2968AFEC" w14:textId="77777777" w:rsidR="003A18CF" w:rsidRPr="003E02D3" w:rsidRDefault="003A18CF" w:rsidP="003A18CF">
      <w:pPr>
        <w:tabs>
          <w:tab w:val="left" w:pos="8998"/>
        </w:tabs>
        <w:spacing w:line="240" w:lineRule="auto"/>
      </w:pPr>
    </w:p>
    <w:p w14:paraId="3031B346" w14:textId="77777777" w:rsidR="003A18CF" w:rsidRPr="003E02D3" w:rsidRDefault="00910441" w:rsidP="003A18CF">
      <w:pPr>
        <w:tabs>
          <w:tab w:val="right" w:pos="9029"/>
        </w:tabs>
        <w:spacing w:line="240" w:lineRule="auto"/>
        <w:rPr>
          <w:szCs w:val="26"/>
        </w:rPr>
      </w:pPr>
      <w:r w:rsidRPr="003E02D3">
        <w:rPr>
          <w:b/>
          <w:szCs w:val="26"/>
        </w:rPr>
        <w:t>GERT ERASMUS BURGER N.O.</w:t>
      </w:r>
      <w:r w:rsidR="003A18CF" w:rsidRPr="003E02D3">
        <w:rPr>
          <w:szCs w:val="26"/>
        </w:rPr>
        <w:tab/>
        <w:t>First Applicant</w:t>
      </w:r>
    </w:p>
    <w:p w14:paraId="7DB7434B" w14:textId="77777777" w:rsidR="003A18CF" w:rsidRPr="003E02D3" w:rsidRDefault="003A18CF" w:rsidP="003A18CF">
      <w:pPr>
        <w:tabs>
          <w:tab w:val="right" w:pos="9029"/>
        </w:tabs>
        <w:spacing w:line="240" w:lineRule="auto"/>
        <w:rPr>
          <w:szCs w:val="26"/>
        </w:rPr>
      </w:pPr>
    </w:p>
    <w:p w14:paraId="7A9D7D4B" w14:textId="77777777" w:rsidR="003A18CF" w:rsidRPr="003E02D3" w:rsidRDefault="00910441" w:rsidP="003A18CF">
      <w:pPr>
        <w:tabs>
          <w:tab w:val="right" w:pos="9029"/>
        </w:tabs>
        <w:spacing w:line="240" w:lineRule="auto"/>
        <w:rPr>
          <w:szCs w:val="26"/>
        </w:rPr>
      </w:pPr>
      <w:r w:rsidRPr="003E02D3">
        <w:rPr>
          <w:b/>
          <w:szCs w:val="26"/>
        </w:rPr>
        <w:t>ANTON KEET N.O.</w:t>
      </w:r>
      <w:r w:rsidR="003A18CF" w:rsidRPr="003E02D3">
        <w:rPr>
          <w:szCs w:val="26"/>
        </w:rPr>
        <w:tab/>
        <w:t>Second Applicant</w:t>
      </w:r>
    </w:p>
    <w:p w14:paraId="06DC9991" w14:textId="77777777" w:rsidR="00910441" w:rsidRPr="003E02D3" w:rsidRDefault="00910441" w:rsidP="003A18CF">
      <w:pPr>
        <w:tabs>
          <w:tab w:val="right" w:pos="9029"/>
        </w:tabs>
        <w:spacing w:line="240" w:lineRule="auto"/>
        <w:rPr>
          <w:szCs w:val="26"/>
        </w:rPr>
      </w:pPr>
    </w:p>
    <w:p w14:paraId="57FBF1C4" w14:textId="77777777" w:rsidR="00910441" w:rsidRPr="003E02D3" w:rsidRDefault="00910441" w:rsidP="003A18CF">
      <w:pPr>
        <w:tabs>
          <w:tab w:val="right" w:pos="9029"/>
        </w:tabs>
        <w:spacing w:line="240" w:lineRule="auto"/>
        <w:rPr>
          <w:szCs w:val="26"/>
        </w:rPr>
      </w:pPr>
      <w:r w:rsidRPr="003E02D3">
        <w:rPr>
          <w:b/>
          <w:bCs/>
          <w:szCs w:val="26"/>
        </w:rPr>
        <w:t>WILLEM JACOBUS CRONJE N.O.</w:t>
      </w:r>
      <w:r w:rsidRPr="003E02D3">
        <w:rPr>
          <w:b/>
          <w:bCs/>
          <w:szCs w:val="26"/>
        </w:rPr>
        <w:tab/>
      </w:r>
      <w:r w:rsidRPr="003E02D3">
        <w:rPr>
          <w:szCs w:val="26"/>
        </w:rPr>
        <w:t>Third Applicant</w:t>
      </w:r>
    </w:p>
    <w:p w14:paraId="7776DED7" w14:textId="77777777" w:rsidR="00910441" w:rsidRPr="003E02D3" w:rsidRDefault="00910441" w:rsidP="003A18CF">
      <w:pPr>
        <w:tabs>
          <w:tab w:val="right" w:pos="9029"/>
        </w:tabs>
        <w:spacing w:line="240" w:lineRule="auto"/>
        <w:rPr>
          <w:szCs w:val="26"/>
        </w:rPr>
      </w:pPr>
    </w:p>
    <w:p w14:paraId="264FDADD" w14:textId="77777777" w:rsidR="00910441" w:rsidRPr="003E02D3" w:rsidRDefault="00910441" w:rsidP="003A18CF">
      <w:pPr>
        <w:tabs>
          <w:tab w:val="right" w:pos="9029"/>
        </w:tabs>
        <w:spacing w:line="240" w:lineRule="auto"/>
        <w:rPr>
          <w:szCs w:val="26"/>
        </w:rPr>
      </w:pPr>
      <w:r w:rsidRPr="003E02D3">
        <w:rPr>
          <w:szCs w:val="26"/>
        </w:rPr>
        <w:t>(</w:t>
      </w:r>
      <w:proofErr w:type="gramStart"/>
      <w:r w:rsidRPr="003E02D3">
        <w:rPr>
          <w:i/>
          <w:iCs/>
          <w:szCs w:val="26"/>
        </w:rPr>
        <w:t>in</w:t>
      </w:r>
      <w:proofErr w:type="gramEnd"/>
      <w:r w:rsidRPr="003E02D3">
        <w:rPr>
          <w:i/>
          <w:iCs/>
          <w:szCs w:val="26"/>
        </w:rPr>
        <w:t xml:space="preserve"> their capacities as joint trustees of</w:t>
      </w:r>
      <w:r w:rsidRPr="003E02D3">
        <w:rPr>
          <w:szCs w:val="26"/>
        </w:rPr>
        <w:t xml:space="preserve"> </w:t>
      </w:r>
      <w:r w:rsidRPr="003E02D3">
        <w:rPr>
          <w:i/>
          <w:iCs/>
          <w:szCs w:val="26"/>
        </w:rPr>
        <w:t>the HNP Trust</w:t>
      </w:r>
      <w:r w:rsidRPr="00DC73B1">
        <w:rPr>
          <w:szCs w:val="26"/>
        </w:rPr>
        <w:t>)</w:t>
      </w:r>
    </w:p>
    <w:p w14:paraId="608C1465" w14:textId="77777777" w:rsidR="003A18CF" w:rsidRPr="003E02D3" w:rsidRDefault="003A18CF" w:rsidP="003A18CF">
      <w:pPr>
        <w:spacing w:line="240" w:lineRule="auto"/>
        <w:rPr>
          <w:szCs w:val="26"/>
        </w:rPr>
      </w:pPr>
    </w:p>
    <w:p w14:paraId="78F744CC" w14:textId="77777777" w:rsidR="003A18CF" w:rsidRPr="003E02D3" w:rsidRDefault="003A18CF" w:rsidP="003A18CF">
      <w:pPr>
        <w:spacing w:line="240" w:lineRule="auto"/>
        <w:rPr>
          <w:szCs w:val="26"/>
        </w:rPr>
      </w:pPr>
      <w:r w:rsidRPr="003E02D3">
        <w:rPr>
          <w:szCs w:val="26"/>
        </w:rPr>
        <w:t>and</w:t>
      </w:r>
    </w:p>
    <w:p w14:paraId="41174BB5" w14:textId="77777777" w:rsidR="003A18CF" w:rsidRPr="003E02D3" w:rsidRDefault="003A18CF" w:rsidP="003A18CF">
      <w:pPr>
        <w:spacing w:line="240" w:lineRule="auto"/>
        <w:rPr>
          <w:szCs w:val="26"/>
        </w:rPr>
      </w:pPr>
    </w:p>
    <w:p w14:paraId="35C03380" w14:textId="77777777" w:rsidR="00910441" w:rsidRPr="003E02D3" w:rsidRDefault="00910441" w:rsidP="00910441">
      <w:pPr>
        <w:tabs>
          <w:tab w:val="right" w:pos="9029"/>
        </w:tabs>
        <w:spacing w:line="240" w:lineRule="auto"/>
        <w:rPr>
          <w:szCs w:val="26"/>
        </w:rPr>
      </w:pPr>
      <w:r w:rsidRPr="003E02D3">
        <w:rPr>
          <w:b/>
          <w:szCs w:val="26"/>
        </w:rPr>
        <w:t>CHRISTIAN FINDLAY BESTER N.O.</w:t>
      </w:r>
      <w:r w:rsidRPr="003E02D3">
        <w:rPr>
          <w:szCs w:val="26"/>
        </w:rPr>
        <w:tab/>
        <w:t xml:space="preserve">First </w:t>
      </w:r>
      <w:r w:rsidR="004B4BB7" w:rsidRPr="003E02D3">
        <w:rPr>
          <w:szCs w:val="26"/>
        </w:rPr>
        <w:t>Respondent</w:t>
      </w:r>
    </w:p>
    <w:p w14:paraId="298479B0" w14:textId="77777777" w:rsidR="00910441" w:rsidRPr="003E02D3" w:rsidRDefault="00910441" w:rsidP="00910441">
      <w:pPr>
        <w:tabs>
          <w:tab w:val="right" w:pos="9029"/>
        </w:tabs>
        <w:spacing w:line="240" w:lineRule="auto"/>
        <w:rPr>
          <w:szCs w:val="26"/>
        </w:rPr>
      </w:pPr>
    </w:p>
    <w:p w14:paraId="5A3D13A7" w14:textId="77777777" w:rsidR="00910441" w:rsidRPr="003E02D3" w:rsidRDefault="00910441" w:rsidP="00910441">
      <w:pPr>
        <w:tabs>
          <w:tab w:val="right" w:pos="9029"/>
        </w:tabs>
        <w:spacing w:line="240" w:lineRule="auto"/>
        <w:rPr>
          <w:szCs w:val="26"/>
        </w:rPr>
      </w:pPr>
      <w:r w:rsidRPr="00633D66">
        <w:rPr>
          <w:b/>
          <w:szCs w:val="26"/>
        </w:rPr>
        <w:t>LEGADIMANE ARTHUR MAISELA N.O.</w:t>
      </w:r>
      <w:r w:rsidRPr="003E02D3">
        <w:rPr>
          <w:szCs w:val="26"/>
        </w:rPr>
        <w:tab/>
        <w:t xml:space="preserve">Second </w:t>
      </w:r>
      <w:r w:rsidR="00832210" w:rsidRPr="003E02D3">
        <w:rPr>
          <w:szCs w:val="26"/>
        </w:rPr>
        <w:t>R</w:t>
      </w:r>
      <w:r w:rsidR="004B4BB7" w:rsidRPr="003E02D3">
        <w:rPr>
          <w:szCs w:val="26"/>
        </w:rPr>
        <w:t>espondent</w:t>
      </w:r>
    </w:p>
    <w:p w14:paraId="7427C8C7" w14:textId="77777777" w:rsidR="00910441" w:rsidRPr="003E02D3" w:rsidRDefault="00910441" w:rsidP="00910441">
      <w:pPr>
        <w:tabs>
          <w:tab w:val="right" w:pos="9029"/>
        </w:tabs>
        <w:spacing w:line="240" w:lineRule="auto"/>
        <w:rPr>
          <w:szCs w:val="26"/>
        </w:rPr>
      </w:pPr>
    </w:p>
    <w:p w14:paraId="354E75B3" w14:textId="77777777" w:rsidR="00910441" w:rsidRPr="003E02D3" w:rsidRDefault="00910441" w:rsidP="00910441">
      <w:pPr>
        <w:tabs>
          <w:tab w:val="right" w:pos="9029"/>
        </w:tabs>
        <w:spacing w:line="240" w:lineRule="auto"/>
        <w:rPr>
          <w:szCs w:val="26"/>
        </w:rPr>
      </w:pPr>
      <w:r w:rsidRPr="003E02D3">
        <w:rPr>
          <w:b/>
          <w:bCs/>
          <w:szCs w:val="26"/>
        </w:rPr>
        <w:t>THOMAS CHRISTOPHER VAN ZYL N.O.</w:t>
      </w:r>
      <w:r w:rsidRPr="003E02D3">
        <w:rPr>
          <w:szCs w:val="26"/>
        </w:rPr>
        <w:tab/>
        <w:t xml:space="preserve">Third </w:t>
      </w:r>
      <w:r w:rsidR="00832210" w:rsidRPr="003E02D3">
        <w:rPr>
          <w:szCs w:val="26"/>
        </w:rPr>
        <w:t>R</w:t>
      </w:r>
      <w:r w:rsidR="004B4BB7" w:rsidRPr="003E02D3">
        <w:rPr>
          <w:szCs w:val="26"/>
        </w:rPr>
        <w:t>espondent</w:t>
      </w:r>
    </w:p>
    <w:p w14:paraId="1E06342A" w14:textId="77777777" w:rsidR="00910441" w:rsidRPr="003E02D3" w:rsidRDefault="00910441" w:rsidP="00910441">
      <w:pPr>
        <w:tabs>
          <w:tab w:val="right" w:pos="9029"/>
        </w:tabs>
        <w:spacing w:line="240" w:lineRule="auto"/>
        <w:rPr>
          <w:szCs w:val="26"/>
        </w:rPr>
      </w:pPr>
    </w:p>
    <w:p w14:paraId="6F0BE474" w14:textId="77777777" w:rsidR="00910441" w:rsidRPr="00633D66" w:rsidRDefault="00910441" w:rsidP="00910441">
      <w:pPr>
        <w:tabs>
          <w:tab w:val="right" w:pos="9029"/>
        </w:tabs>
        <w:spacing w:line="240" w:lineRule="auto"/>
        <w:rPr>
          <w:rFonts w:eastAsia="Times New Roman"/>
          <w:i/>
          <w:szCs w:val="26"/>
        </w:rPr>
      </w:pPr>
      <w:r w:rsidRPr="00633D66">
        <w:rPr>
          <w:rFonts w:eastAsia="Times New Roman"/>
          <w:i/>
          <w:szCs w:val="26"/>
        </w:rPr>
        <w:t>(</w:t>
      </w:r>
      <w:proofErr w:type="gramStart"/>
      <w:r w:rsidRPr="00633D66">
        <w:rPr>
          <w:rFonts w:eastAsia="Times New Roman"/>
          <w:i/>
          <w:szCs w:val="26"/>
        </w:rPr>
        <w:t>in</w:t>
      </w:r>
      <w:proofErr w:type="gramEnd"/>
      <w:r w:rsidRPr="00633D66">
        <w:rPr>
          <w:rFonts w:eastAsia="Times New Roman"/>
          <w:i/>
          <w:szCs w:val="26"/>
        </w:rPr>
        <w:t xml:space="preserve"> their capacities as joint trustees of the Insolvent Estate</w:t>
      </w:r>
    </w:p>
    <w:p w14:paraId="364834FF" w14:textId="77777777" w:rsidR="00910441" w:rsidRPr="003E02D3" w:rsidRDefault="00910441" w:rsidP="00910441">
      <w:pPr>
        <w:tabs>
          <w:tab w:val="right" w:pos="9029"/>
        </w:tabs>
        <w:spacing w:line="240" w:lineRule="auto"/>
        <w:rPr>
          <w:rFonts w:eastAsia="Times New Roman"/>
          <w:i/>
          <w:szCs w:val="26"/>
        </w:rPr>
      </w:pPr>
      <w:r w:rsidRPr="00633D66">
        <w:rPr>
          <w:rFonts w:eastAsia="Times New Roman"/>
          <w:i/>
          <w:szCs w:val="26"/>
        </w:rPr>
        <w:t>of Petrus Serdyn Louw and Martha Maria</w:t>
      </w:r>
      <w:r w:rsidR="009625D8" w:rsidRPr="00633D66">
        <w:rPr>
          <w:rFonts w:eastAsia="Times New Roman"/>
          <w:i/>
          <w:szCs w:val="26"/>
        </w:rPr>
        <w:t xml:space="preserve"> Sophia</w:t>
      </w:r>
      <w:r w:rsidRPr="00633D66">
        <w:rPr>
          <w:rFonts w:eastAsia="Times New Roman"/>
          <w:i/>
          <w:szCs w:val="26"/>
        </w:rPr>
        <w:t xml:space="preserve"> Louw)</w:t>
      </w:r>
    </w:p>
    <w:p w14:paraId="0B25E20C" w14:textId="77777777" w:rsidR="00910441" w:rsidRPr="003E02D3" w:rsidRDefault="00910441" w:rsidP="00910441">
      <w:pPr>
        <w:tabs>
          <w:tab w:val="right" w:pos="9029"/>
        </w:tabs>
        <w:spacing w:line="240" w:lineRule="auto"/>
        <w:rPr>
          <w:szCs w:val="26"/>
        </w:rPr>
      </w:pPr>
    </w:p>
    <w:p w14:paraId="475D9DCE" w14:textId="77777777" w:rsidR="00910441" w:rsidRPr="003E02D3" w:rsidRDefault="00910441" w:rsidP="00910441">
      <w:pPr>
        <w:tabs>
          <w:tab w:val="right" w:pos="9029"/>
        </w:tabs>
        <w:spacing w:line="240" w:lineRule="auto"/>
        <w:rPr>
          <w:szCs w:val="26"/>
        </w:rPr>
      </w:pPr>
    </w:p>
    <w:p w14:paraId="6D7BD18F" w14:textId="77777777" w:rsidR="00910441" w:rsidRPr="003E02D3" w:rsidRDefault="00910441" w:rsidP="00910441">
      <w:pPr>
        <w:tabs>
          <w:tab w:val="right" w:pos="9029"/>
        </w:tabs>
        <w:spacing w:line="240" w:lineRule="auto"/>
        <w:rPr>
          <w:szCs w:val="26"/>
        </w:rPr>
      </w:pPr>
    </w:p>
    <w:p w14:paraId="4223401A" w14:textId="410176B5" w:rsidR="003A18CF" w:rsidRPr="003E02D3" w:rsidRDefault="003A18CF" w:rsidP="003A18CF">
      <w:pPr>
        <w:spacing w:line="240" w:lineRule="auto"/>
        <w:ind w:left="2160" w:hanging="2160"/>
      </w:pPr>
      <w:r w:rsidRPr="003E02D3">
        <w:rPr>
          <w:b/>
        </w:rPr>
        <w:t>Neutral citation:</w:t>
      </w:r>
      <w:r w:rsidRPr="003E02D3">
        <w:tab/>
      </w:r>
      <w:r w:rsidR="001D74DE" w:rsidRPr="003E02D3">
        <w:rPr>
          <w:i/>
          <w:iCs/>
        </w:rPr>
        <w:t>Burger N.O. and Others v Bester N.O. and Others</w:t>
      </w:r>
      <w:r w:rsidR="001D74DE" w:rsidRPr="003E02D3">
        <w:t xml:space="preserve"> </w:t>
      </w:r>
      <w:r w:rsidRPr="003E02D3">
        <w:t>[</w:t>
      </w:r>
      <w:r w:rsidR="001D74DE" w:rsidRPr="003E02D3">
        <w:t>2021</w:t>
      </w:r>
      <w:r w:rsidRPr="003E02D3">
        <w:t>] ZACC</w:t>
      </w:r>
      <w:r w:rsidR="00122D57">
        <w:t xml:space="preserve"> 48</w:t>
      </w:r>
    </w:p>
    <w:p w14:paraId="5D5F07AD" w14:textId="77777777" w:rsidR="003A18CF" w:rsidRPr="003E02D3" w:rsidRDefault="003A18CF" w:rsidP="003A18CF">
      <w:pPr>
        <w:spacing w:line="240" w:lineRule="auto"/>
      </w:pPr>
    </w:p>
    <w:p w14:paraId="21B656B6" w14:textId="77777777" w:rsidR="007410F3" w:rsidRPr="003E02D3" w:rsidRDefault="003A18CF" w:rsidP="007410F3">
      <w:pPr>
        <w:pStyle w:val="BODYNON-NUMBERED"/>
        <w:spacing w:after="0"/>
        <w:ind w:left="2160" w:hanging="2160"/>
        <w:rPr>
          <w:szCs w:val="26"/>
        </w:rPr>
      </w:pPr>
      <w:r w:rsidRPr="003E02D3">
        <w:rPr>
          <w:b/>
        </w:rPr>
        <w:t>Coram:</w:t>
      </w:r>
      <w:r w:rsidRPr="003E02D3">
        <w:tab/>
      </w:r>
      <w:r w:rsidR="001D74DE" w:rsidRPr="003E02D3">
        <w:rPr>
          <w:szCs w:val="26"/>
        </w:rPr>
        <w:t>Madlanga J, Madondo AJ, Majiedt J, Mhlantla J, Pillay</w:t>
      </w:r>
      <w:r w:rsidR="00C810FA">
        <w:rPr>
          <w:szCs w:val="26"/>
        </w:rPr>
        <w:t> </w:t>
      </w:r>
      <w:r w:rsidR="001D74DE" w:rsidRPr="003E02D3">
        <w:rPr>
          <w:szCs w:val="26"/>
        </w:rPr>
        <w:t>AJ, Rogers AJ, Theron J, Tlaletsi AJ and Tshiqi J</w:t>
      </w:r>
    </w:p>
    <w:p w14:paraId="6B2935F1" w14:textId="77777777" w:rsidR="003A18CF" w:rsidRPr="003E02D3" w:rsidRDefault="003A18CF" w:rsidP="003A18CF">
      <w:pPr>
        <w:spacing w:line="240" w:lineRule="auto"/>
        <w:ind w:left="2160" w:hanging="2160"/>
      </w:pPr>
    </w:p>
    <w:p w14:paraId="270756BD" w14:textId="77777777" w:rsidR="003A18CF" w:rsidRPr="003E02D3" w:rsidRDefault="003A18CF" w:rsidP="003A18CF">
      <w:pPr>
        <w:spacing w:line="240" w:lineRule="auto"/>
      </w:pPr>
    </w:p>
    <w:p w14:paraId="5F97519F" w14:textId="1ADF9418" w:rsidR="00AE7143" w:rsidRPr="00122D57" w:rsidRDefault="00AE7143" w:rsidP="00AE7143">
      <w:pPr>
        <w:spacing w:line="240" w:lineRule="auto"/>
        <w:ind w:left="2160" w:hanging="2160"/>
      </w:pPr>
      <w:r w:rsidRPr="003E02D3">
        <w:rPr>
          <w:b/>
        </w:rPr>
        <w:t>Judgments:</w:t>
      </w:r>
      <w:r w:rsidRPr="003E02D3">
        <w:tab/>
      </w:r>
      <w:r w:rsidR="001D74DE" w:rsidRPr="00122D57">
        <w:t>Mhlantla J</w:t>
      </w:r>
      <w:r w:rsidRPr="00122D57">
        <w:t xml:space="preserve"> (unanimous</w:t>
      </w:r>
      <w:r w:rsidR="00122D57">
        <w:t>)</w:t>
      </w:r>
      <w:r w:rsidRPr="00122D57">
        <w:t xml:space="preserve"> </w:t>
      </w:r>
    </w:p>
    <w:p w14:paraId="4B232D1C" w14:textId="77777777" w:rsidR="00AE7143" w:rsidRPr="003E02D3" w:rsidRDefault="00AE7143" w:rsidP="003A18CF">
      <w:pPr>
        <w:spacing w:line="240" w:lineRule="auto"/>
      </w:pPr>
    </w:p>
    <w:p w14:paraId="1F8657AD" w14:textId="77777777" w:rsidR="003A18CF" w:rsidRPr="003E02D3" w:rsidRDefault="003A18CF" w:rsidP="0044313C">
      <w:pPr>
        <w:spacing w:line="240" w:lineRule="auto"/>
        <w:ind w:left="2160" w:hanging="2160"/>
      </w:pPr>
      <w:r w:rsidRPr="003E02D3">
        <w:rPr>
          <w:b/>
        </w:rPr>
        <w:t>Heard on:</w:t>
      </w:r>
      <w:r w:rsidRPr="003E02D3">
        <w:tab/>
      </w:r>
      <w:r w:rsidR="001D74DE" w:rsidRPr="003E02D3">
        <w:t>26 August 2021</w:t>
      </w:r>
    </w:p>
    <w:p w14:paraId="7FDE4CC7" w14:textId="77777777" w:rsidR="003A18CF" w:rsidRPr="003E02D3" w:rsidRDefault="003A18CF" w:rsidP="0044313C">
      <w:pPr>
        <w:spacing w:line="240" w:lineRule="auto"/>
        <w:ind w:left="2160" w:hanging="2160"/>
      </w:pPr>
    </w:p>
    <w:p w14:paraId="0E3472B2" w14:textId="6AD3E37F" w:rsidR="003A18CF" w:rsidRPr="003E02D3" w:rsidRDefault="003A18CF" w:rsidP="0044313C">
      <w:pPr>
        <w:spacing w:line="240" w:lineRule="auto"/>
        <w:ind w:left="2160" w:hanging="2160"/>
      </w:pPr>
      <w:r w:rsidRPr="003E02D3">
        <w:rPr>
          <w:b/>
        </w:rPr>
        <w:lastRenderedPageBreak/>
        <w:t>Decided on:</w:t>
      </w:r>
      <w:r w:rsidRPr="003E02D3">
        <w:tab/>
      </w:r>
      <w:r w:rsidR="00193ED2" w:rsidRPr="00193ED2">
        <w:t xml:space="preserve">This judgment was handed down electronically by circulation to the parties’ representatives by email, publication on the Constitutional Court website and release to SAFLII. The date and time for hand-down is deemed to be 10h00 on </w:t>
      </w:r>
      <w:r w:rsidR="00193ED2">
        <w:t>13 December 2021.</w:t>
      </w:r>
    </w:p>
    <w:p w14:paraId="0D20C8A5" w14:textId="77777777" w:rsidR="004110F6" w:rsidRPr="003E02D3" w:rsidRDefault="004110F6" w:rsidP="003A18CF">
      <w:pPr>
        <w:spacing w:line="240" w:lineRule="auto"/>
      </w:pPr>
    </w:p>
    <w:p w14:paraId="3DBE1B56" w14:textId="77777777" w:rsidR="004D02BA" w:rsidRPr="00D515E6" w:rsidRDefault="004D02BA" w:rsidP="004D02BA">
      <w:pPr>
        <w:spacing w:line="240" w:lineRule="auto"/>
        <w:ind w:left="2160" w:hanging="2160"/>
      </w:pPr>
      <w:r w:rsidRPr="003E02D3">
        <w:rPr>
          <w:b/>
        </w:rPr>
        <w:t>Summary:</w:t>
      </w:r>
      <w:r w:rsidRPr="003E02D3">
        <w:rPr>
          <w:b/>
        </w:rPr>
        <w:tab/>
      </w:r>
      <w:r w:rsidR="00D515E6">
        <w:t>Power of a single trustee to conclude loan agreement on trust’s behalf</w:t>
      </w:r>
      <w:r w:rsidRPr="00D515E6">
        <w:t xml:space="preserve"> </w:t>
      </w:r>
      <w:r w:rsidR="006724E0" w:rsidRPr="00D515E6">
        <w:t>—</w:t>
      </w:r>
      <w:r w:rsidRPr="00D515E6">
        <w:t xml:space="preserve"> </w:t>
      </w:r>
      <w:r w:rsidR="00D515E6">
        <w:t xml:space="preserve">use of trust to channel funds to company </w:t>
      </w:r>
      <w:r w:rsidR="00D515E6" w:rsidRPr="00D515E6">
        <w:t xml:space="preserve">— </w:t>
      </w:r>
      <w:r w:rsidR="00D515E6">
        <w:t xml:space="preserve">factual disputes </w:t>
      </w:r>
      <w:r w:rsidR="00D515E6" w:rsidRPr="00D515E6">
        <w:t xml:space="preserve">— </w:t>
      </w:r>
      <w:r w:rsidR="00D515E6">
        <w:t>no arguable point of law </w:t>
      </w:r>
      <w:r w:rsidR="00D515E6" w:rsidRPr="00D515E6">
        <w:t xml:space="preserve">— </w:t>
      </w:r>
      <w:r w:rsidR="00D515E6">
        <w:t>misdirection on the facts </w:t>
      </w:r>
      <w:r w:rsidR="006724E0" w:rsidRPr="00D515E6">
        <w:t>—</w:t>
      </w:r>
      <w:r w:rsidRPr="00D515E6">
        <w:t xml:space="preserve"> </w:t>
      </w:r>
      <w:r w:rsidR="00D515E6">
        <w:t>jurisdiction not engaged</w:t>
      </w:r>
    </w:p>
    <w:p w14:paraId="412B9154" w14:textId="77777777" w:rsidR="004D02BA" w:rsidRPr="00D515E6" w:rsidRDefault="004D02BA" w:rsidP="004D02BA">
      <w:pPr>
        <w:spacing w:line="240" w:lineRule="auto"/>
        <w:ind w:left="2160" w:hanging="2160"/>
      </w:pPr>
    </w:p>
    <w:p w14:paraId="3F730A40" w14:textId="77777777" w:rsidR="004D02BA" w:rsidRPr="003E02D3" w:rsidRDefault="00D515E6" w:rsidP="004D02BA">
      <w:pPr>
        <w:spacing w:line="240" w:lineRule="auto"/>
        <w:ind w:left="2160"/>
      </w:pPr>
      <w:r>
        <w:t>Requirements to bind a trust</w:t>
      </w:r>
      <w:r w:rsidR="004D02BA" w:rsidRPr="00D515E6">
        <w:t xml:space="preserve"> </w:t>
      </w:r>
      <w:r w:rsidR="006724E0" w:rsidRPr="00D515E6">
        <w:t>—</w:t>
      </w:r>
      <w:r w:rsidR="004D02BA" w:rsidRPr="00D515E6">
        <w:t xml:space="preserve"> </w:t>
      </w:r>
      <w:r>
        <w:t>powers of trustee provided for by trust deed</w:t>
      </w:r>
      <w:r w:rsidR="004D02BA" w:rsidRPr="00D515E6">
        <w:t xml:space="preserve"> </w:t>
      </w:r>
      <w:r w:rsidR="006724E0" w:rsidRPr="00D515E6">
        <w:t>—</w:t>
      </w:r>
      <w:r w:rsidR="004D02BA" w:rsidRPr="00D515E6">
        <w:t xml:space="preserve"> </w:t>
      </w:r>
      <w:r>
        <w:t>settled principle of law</w:t>
      </w:r>
      <w:r w:rsidR="004D02BA" w:rsidRPr="00D515E6">
        <w:t xml:space="preserve"> </w:t>
      </w:r>
      <w:r w:rsidR="006724E0" w:rsidRPr="00D515E6">
        <w:t>—</w:t>
      </w:r>
      <w:r w:rsidR="004D02BA" w:rsidRPr="00D515E6">
        <w:t xml:space="preserve"> </w:t>
      </w:r>
      <w:r>
        <w:t>jurisdiction not engaged</w:t>
      </w:r>
    </w:p>
    <w:p w14:paraId="3B5CFEB6" w14:textId="77777777" w:rsidR="004D02BA" w:rsidRPr="003E02D3" w:rsidRDefault="004D02BA" w:rsidP="004D02BA">
      <w:pPr>
        <w:spacing w:line="240" w:lineRule="auto"/>
      </w:pPr>
    </w:p>
    <w:p w14:paraId="79A44E33" w14:textId="77777777" w:rsidR="004D02BA" w:rsidRPr="003E02D3" w:rsidRDefault="004D02BA" w:rsidP="004D02BA">
      <w:pPr>
        <w:spacing w:line="240" w:lineRule="auto"/>
      </w:pPr>
    </w:p>
    <w:p w14:paraId="2F5902AC" w14:textId="77777777" w:rsidR="004D02BA" w:rsidRPr="003E02D3" w:rsidRDefault="004D02BA" w:rsidP="004D02BA">
      <w:pPr>
        <w:spacing w:line="240" w:lineRule="auto"/>
      </w:pPr>
    </w:p>
    <w:p w14:paraId="04C85BFA" w14:textId="77777777" w:rsidR="003A18CF" w:rsidRPr="003E02D3" w:rsidRDefault="003A18CF" w:rsidP="003A18CF">
      <w:pPr>
        <w:keepNext/>
        <w:pBdr>
          <w:top w:val="single" w:sz="4" w:space="1" w:color="auto"/>
          <w:bottom w:val="single" w:sz="4" w:space="1" w:color="auto"/>
        </w:pBdr>
        <w:spacing w:line="240" w:lineRule="auto"/>
        <w:jc w:val="center"/>
      </w:pPr>
    </w:p>
    <w:p w14:paraId="157D30FB" w14:textId="77777777" w:rsidR="003A18CF" w:rsidRPr="003E02D3" w:rsidRDefault="003A18CF" w:rsidP="003A18CF">
      <w:pPr>
        <w:keepNext/>
        <w:pBdr>
          <w:top w:val="single" w:sz="4" w:space="1" w:color="auto"/>
          <w:bottom w:val="single" w:sz="4" w:space="1" w:color="auto"/>
        </w:pBdr>
        <w:spacing w:line="240" w:lineRule="auto"/>
        <w:jc w:val="center"/>
        <w:outlineLvl w:val="0"/>
        <w:rPr>
          <w:b/>
        </w:rPr>
      </w:pPr>
      <w:r w:rsidRPr="003E02D3">
        <w:rPr>
          <w:b/>
        </w:rPr>
        <w:t>ORDER</w:t>
      </w:r>
    </w:p>
    <w:p w14:paraId="7ECCD8A2" w14:textId="77777777" w:rsidR="003A18CF" w:rsidRPr="003E02D3" w:rsidRDefault="003A18CF" w:rsidP="003A18CF">
      <w:pPr>
        <w:pBdr>
          <w:top w:val="single" w:sz="4" w:space="1" w:color="auto"/>
          <w:bottom w:val="single" w:sz="4" w:space="1" w:color="auto"/>
        </w:pBdr>
        <w:spacing w:line="240" w:lineRule="auto"/>
        <w:jc w:val="center"/>
      </w:pPr>
    </w:p>
    <w:p w14:paraId="139FBBAF" w14:textId="77777777" w:rsidR="003A18CF" w:rsidRPr="003E02D3" w:rsidRDefault="003A18CF" w:rsidP="003A18CF">
      <w:pPr>
        <w:spacing w:line="240" w:lineRule="auto"/>
      </w:pPr>
    </w:p>
    <w:p w14:paraId="71EFF3B9" w14:textId="77777777" w:rsidR="003A18CF" w:rsidRPr="003E02D3" w:rsidRDefault="003A18CF" w:rsidP="003A18CF">
      <w:pPr>
        <w:spacing w:line="240" w:lineRule="auto"/>
      </w:pPr>
    </w:p>
    <w:p w14:paraId="1D660788" w14:textId="77777777" w:rsidR="001D74DE" w:rsidRPr="003E02D3" w:rsidRDefault="001D74DE" w:rsidP="001D74DE">
      <w:pPr>
        <w:pStyle w:val="JUDGMENTCONTINUED"/>
      </w:pPr>
      <w:r w:rsidRPr="003E02D3">
        <w:t>On appeal from the High Court of South Africa, Western Cape Division, Cape Town:</w:t>
      </w:r>
    </w:p>
    <w:p w14:paraId="6E3BA1AE" w14:textId="77777777" w:rsidR="001D74DE" w:rsidRPr="003E02D3" w:rsidRDefault="001D74DE" w:rsidP="001D74DE">
      <w:pPr>
        <w:pStyle w:val="JUDGMENTCONTINUED"/>
        <w:numPr>
          <w:ilvl w:val="0"/>
          <w:numId w:val="14"/>
        </w:numPr>
        <w:ind w:left="1440" w:hanging="720"/>
      </w:pPr>
      <w:bookmarkStart w:id="0" w:name="_Hlk84398315"/>
      <w:r w:rsidRPr="003E02D3">
        <w:t>Leave to appeal is refused.</w:t>
      </w:r>
    </w:p>
    <w:p w14:paraId="00B66FAC" w14:textId="77777777" w:rsidR="001D74DE" w:rsidRPr="003E02D3" w:rsidRDefault="001D74DE" w:rsidP="001D74DE">
      <w:pPr>
        <w:pStyle w:val="JUDGMENTNUMBERED"/>
        <w:numPr>
          <w:ilvl w:val="0"/>
          <w:numId w:val="14"/>
        </w:numPr>
        <w:ind w:left="1440" w:hanging="720"/>
      </w:pPr>
      <w:r w:rsidRPr="003E02D3">
        <w:t>The applicants must pay the respondents</w:t>
      </w:r>
      <w:r w:rsidR="004B4BB7" w:rsidRPr="003E02D3">
        <w:t>’</w:t>
      </w:r>
      <w:r w:rsidRPr="003E02D3">
        <w:t xml:space="preserve"> costs, including the costs of two counsel.</w:t>
      </w:r>
    </w:p>
    <w:bookmarkEnd w:id="0"/>
    <w:p w14:paraId="71E6DCD8" w14:textId="77777777" w:rsidR="003A18CF" w:rsidRDefault="003A18CF" w:rsidP="00633D66">
      <w:pPr>
        <w:pStyle w:val="JUDGMENTCONTINUED"/>
        <w:spacing w:line="240" w:lineRule="auto"/>
      </w:pPr>
    </w:p>
    <w:p w14:paraId="40B32FA0" w14:textId="77777777" w:rsidR="00633D66" w:rsidRDefault="00633D66" w:rsidP="00633D66">
      <w:pPr>
        <w:pStyle w:val="JUDGMENTCONTINUED"/>
        <w:spacing w:line="240" w:lineRule="auto"/>
      </w:pPr>
    </w:p>
    <w:p w14:paraId="3536D462" w14:textId="77777777" w:rsidR="00633D66" w:rsidRDefault="00633D66" w:rsidP="00633D66">
      <w:pPr>
        <w:pStyle w:val="JUDGMENTCONTINUED"/>
        <w:spacing w:line="240" w:lineRule="auto"/>
        <w:sectPr w:rsidR="00633D66" w:rsidSect="00633D66">
          <w:headerReference w:type="default" r:id="rId9"/>
          <w:footerReference w:type="default" r:id="rId10"/>
          <w:type w:val="continuous"/>
          <w:pgSz w:w="11907" w:h="16839" w:code="9"/>
          <w:pgMar w:top="1440" w:right="1440" w:bottom="1440" w:left="1440" w:header="708" w:footer="708" w:gutter="0"/>
          <w:pgNumType w:start="1"/>
          <w:cols w:space="708"/>
          <w:titlePg/>
          <w:docGrid w:linePitch="360"/>
        </w:sectPr>
      </w:pPr>
    </w:p>
    <w:p w14:paraId="137E837A" w14:textId="77777777" w:rsidR="00633D66" w:rsidRPr="00633D66" w:rsidRDefault="00633D66" w:rsidP="00633D66">
      <w:pPr>
        <w:pStyle w:val="JUDGMENTCONTINUED"/>
        <w:spacing w:line="240" w:lineRule="auto"/>
      </w:pPr>
    </w:p>
    <w:p w14:paraId="7786AAEB" w14:textId="77777777" w:rsidR="00EC0623" w:rsidRDefault="00EC0623" w:rsidP="00F245CE">
      <w:pPr>
        <w:keepNext/>
        <w:pBdr>
          <w:top w:val="single" w:sz="4" w:space="1" w:color="auto"/>
          <w:bottom w:val="single" w:sz="4" w:space="1" w:color="auto"/>
        </w:pBdr>
        <w:spacing w:line="240" w:lineRule="auto"/>
        <w:jc w:val="center"/>
        <w:outlineLvl w:val="0"/>
        <w:rPr>
          <w:b/>
        </w:rPr>
      </w:pPr>
    </w:p>
    <w:p w14:paraId="04580424" w14:textId="77777777" w:rsidR="00E4607C" w:rsidRPr="003E02D3" w:rsidRDefault="000704F2" w:rsidP="00F245CE">
      <w:pPr>
        <w:keepNext/>
        <w:pBdr>
          <w:top w:val="single" w:sz="4" w:space="1" w:color="auto"/>
          <w:bottom w:val="single" w:sz="4" w:space="1" w:color="auto"/>
        </w:pBdr>
        <w:spacing w:line="240" w:lineRule="auto"/>
        <w:jc w:val="center"/>
        <w:outlineLvl w:val="0"/>
        <w:rPr>
          <w:b/>
        </w:rPr>
      </w:pPr>
      <w:r w:rsidRPr="003E02D3">
        <w:rPr>
          <w:b/>
        </w:rPr>
        <w:t>JUDGMENT</w:t>
      </w:r>
    </w:p>
    <w:p w14:paraId="3FA39BD7" w14:textId="77777777" w:rsidR="000704F2" w:rsidRPr="003E02D3" w:rsidRDefault="000704F2" w:rsidP="000704F2">
      <w:pPr>
        <w:pBdr>
          <w:top w:val="single" w:sz="4" w:space="1" w:color="auto"/>
          <w:bottom w:val="single" w:sz="4" w:space="1" w:color="auto"/>
        </w:pBdr>
        <w:spacing w:line="240" w:lineRule="auto"/>
        <w:jc w:val="center"/>
      </w:pPr>
    </w:p>
    <w:p w14:paraId="029E5AE1" w14:textId="77777777" w:rsidR="000704F2" w:rsidRPr="003E02D3" w:rsidRDefault="000704F2" w:rsidP="000704F2">
      <w:pPr>
        <w:spacing w:line="240" w:lineRule="auto"/>
      </w:pPr>
    </w:p>
    <w:p w14:paraId="10112011" w14:textId="77777777" w:rsidR="00F12F57" w:rsidRPr="003E02D3" w:rsidRDefault="00F12F57" w:rsidP="000704F2">
      <w:pPr>
        <w:spacing w:line="240" w:lineRule="auto"/>
      </w:pPr>
    </w:p>
    <w:p w14:paraId="7C07D3BD" w14:textId="77777777" w:rsidR="006E3711" w:rsidRPr="003E02D3" w:rsidRDefault="006E3711" w:rsidP="000704F2">
      <w:pPr>
        <w:spacing w:line="240" w:lineRule="auto"/>
      </w:pPr>
    </w:p>
    <w:p w14:paraId="27DC5095" w14:textId="32825826" w:rsidR="00193ED2" w:rsidRPr="00193ED2" w:rsidRDefault="003C0F14" w:rsidP="00193ED2">
      <w:pPr>
        <w:pStyle w:val="BODYNON-NUMBERED"/>
        <w:spacing w:after="0"/>
      </w:pPr>
      <w:r w:rsidRPr="003E02D3">
        <w:t xml:space="preserve">MHLANTLA J </w:t>
      </w:r>
      <w:r w:rsidR="00927D06" w:rsidRPr="00927D06">
        <w:t>(</w:t>
      </w:r>
      <w:r w:rsidR="00193ED2" w:rsidRPr="00193ED2">
        <w:t>Madlanga J, Madondo AJ, Majiedt J, Pillay AJ, Rogers AJ, Theron J, Tlaletsi AJ and Tshiqi J</w:t>
      </w:r>
      <w:r w:rsidR="00193ED2">
        <w:t>)</w:t>
      </w:r>
      <w:r w:rsidR="00246CD1">
        <w:t>:</w:t>
      </w:r>
    </w:p>
    <w:p w14:paraId="45C4FDCC" w14:textId="5D2D8095" w:rsidR="00AE7602" w:rsidRDefault="00AE7602" w:rsidP="000704F2">
      <w:pPr>
        <w:spacing w:line="240" w:lineRule="auto"/>
      </w:pPr>
    </w:p>
    <w:p w14:paraId="149FE620" w14:textId="554C1F4F" w:rsidR="00193ED2" w:rsidRDefault="00193ED2" w:rsidP="000704F2">
      <w:pPr>
        <w:spacing w:line="240" w:lineRule="auto"/>
      </w:pPr>
    </w:p>
    <w:p w14:paraId="6459F0B0" w14:textId="3F11A752" w:rsidR="00193ED2" w:rsidRPr="003E02D3" w:rsidRDefault="00193ED2" w:rsidP="00193ED2">
      <w:pPr>
        <w:pStyle w:val="HEADING"/>
      </w:pPr>
      <w:r>
        <w:t>Introduction</w:t>
      </w:r>
    </w:p>
    <w:p w14:paraId="31495566" w14:textId="77777777" w:rsidR="004B4BB7" w:rsidRPr="003E02D3" w:rsidRDefault="002D6AC4" w:rsidP="000C38CF">
      <w:pPr>
        <w:pStyle w:val="JUDGMENTNUMBERED"/>
      </w:pPr>
      <w:r w:rsidRPr="003E02D3">
        <w:t xml:space="preserve">The fruits of ill-gotten gains often </w:t>
      </w:r>
      <w:r w:rsidR="00B1052C" w:rsidRPr="003E02D3">
        <w:t>leave a bitter taste</w:t>
      </w:r>
      <w:r w:rsidRPr="003E02D3">
        <w:t xml:space="preserve"> </w:t>
      </w:r>
      <w:r w:rsidR="00B1052C" w:rsidRPr="003E02D3">
        <w:t>in the mouths</w:t>
      </w:r>
      <w:r w:rsidRPr="003E02D3">
        <w:t xml:space="preserve"> of those </w:t>
      </w:r>
      <w:r w:rsidR="00C810FA">
        <w:t>who</w:t>
      </w:r>
      <w:r w:rsidR="00B1052C" w:rsidRPr="003E02D3">
        <w:t xml:space="preserve"> are </w:t>
      </w:r>
      <w:r w:rsidRPr="003E02D3">
        <w:t xml:space="preserve">swindled </w:t>
      </w:r>
      <w:r w:rsidR="00B1052C" w:rsidRPr="003E02D3">
        <w:t>by cunning fraudsters</w:t>
      </w:r>
      <w:r w:rsidR="00832210" w:rsidRPr="003E02D3">
        <w:t>.</w:t>
      </w:r>
      <w:r w:rsidR="00B1052C" w:rsidRPr="003E02D3">
        <w:t xml:space="preserve"> </w:t>
      </w:r>
      <w:r w:rsidR="00832210" w:rsidRPr="003E02D3">
        <w:t xml:space="preserve"> M</w:t>
      </w:r>
      <w:r w:rsidR="00B1052C" w:rsidRPr="003E02D3">
        <w:t>ean</w:t>
      </w:r>
      <w:r w:rsidRPr="003E02D3">
        <w:t>while</w:t>
      </w:r>
      <w:r w:rsidR="009273FE">
        <w:t>,</w:t>
      </w:r>
      <w:r w:rsidRPr="003E02D3">
        <w:t xml:space="preserve"> </w:t>
      </w:r>
      <w:r w:rsidR="00B1052C" w:rsidRPr="003E02D3">
        <w:t xml:space="preserve">these fruits </w:t>
      </w:r>
      <w:r w:rsidRPr="003E02D3">
        <w:t>lin</w:t>
      </w:r>
      <w:r w:rsidR="00B1052C" w:rsidRPr="003E02D3">
        <w:t>e</w:t>
      </w:r>
      <w:r w:rsidRPr="003E02D3">
        <w:t xml:space="preserve"> the pockets of </w:t>
      </w:r>
      <w:r w:rsidR="00B1052C" w:rsidRPr="003E02D3">
        <w:t xml:space="preserve">these </w:t>
      </w:r>
      <w:r w:rsidRPr="003E02D3">
        <w:t xml:space="preserve">fraudsters </w:t>
      </w:r>
      <w:r w:rsidR="00B1052C" w:rsidRPr="003E02D3">
        <w:t>and launch them into affluence</w:t>
      </w:r>
      <w:r w:rsidRPr="003E02D3">
        <w:t xml:space="preserve">.  </w:t>
      </w:r>
      <w:r w:rsidR="00B1052C" w:rsidRPr="003E02D3">
        <w:t xml:space="preserve">This is most unfortunate, as it wreaks havoc </w:t>
      </w:r>
      <w:r w:rsidR="00FA04EC">
        <w:lastRenderedPageBreak/>
        <w:t>on</w:t>
      </w:r>
      <w:r w:rsidR="00B1052C" w:rsidRPr="003E02D3">
        <w:t xml:space="preserve"> livelihoods and </w:t>
      </w:r>
      <w:r w:rsidR="0032612D">
        <w:t xml:space="preserve">leaves </w:t>
      </w:r>
      <w:r w:rsidR="00B1052C" w:rsidRPr="003E02D3">
        <w:t xml:space="preserve">the victims </w:t>
      </w:r>
      <w:r w:rsidR="00B06904">
        <w:t xml:space="preserve">embroiled </w:t>
      </w:r>
      <w:r w:rsidR="00B1052C" w:rsidRPr="003E02D3">
        <w:t xml:space="preserve">in </w:t>
      </w:r>
      <w:r w:rsidR="00E06736" w:rsidRPr="003E02D3">
        <w:t xml:space="preserve">litigation </w:t>
      </w:r>
      <w:r w:rsidR="00832210" w:rsidRPr="003E02D3">
        <w:t>in</w:t>
      </w:r>
      <w:r w:rsidR="00E06736" w:rsidRPr="003E02D3">
        <w:t xml:space="preserve"> an attempt to recover these monies.  </w:t>
      </w:r>
      <w:r w:rsidRPr="003E02D3">
        <w:t>At the heart of this matter is the question</w:t>
      </w:r>
      <w:r w:rsidR="00882E27">
        <w:t>:</w:t>
      </w:r>
      <w:r w:rsidRPr="003E02D3">
        <w:t xml:space="preserve"> </w:t>
      </w:r>
      <w:r w:rsidR="005919D5" w:rsidRPr="003E02D3">
        <w:t>what legal claim</w:t>
      </w:r>
      <w:r w:rsidR="00E06736" w:rsidRPr="003E02D3">
        <w:t>,</w:t>
      </w:r>
      <w:r w:rsidR="005919D5" w:rsidRPr="003E02D3">
        <w:t xml:space="preserve"> if any</w:t>
      </w:r>
      <w:r w:rsidR="00E06736" w:rsidRPr="003E02D3">
        <w:t>,</w:t>
      </w:r>
      <w:r w:rsidR="005919D5" w:rsidRPr="003E02D3">
        <w:t xml:space="preserve"> the estate of an alleged “self-confessed fraudster” </w:t>
      </w:r>
      <w:r w:rsidR="009273FE">
        <w:t xml:space="preserve">can </w:t>
      </w:r>
      <w:r w:rsidR="005919D5" w:rsidRPr="003E02D3">
        <w:t xml:space="preserve">have against a trust that he administered </w:t>
      </w:r>
      <w:r w:rsidR="00F231FA">
        <w:t>to recover</w:t>
      </w:r>
      <w:r w:rsidR="005919D5" w:rsidRPr="003E02D3">
        <w:t xml:space="preserve"> funds derived from fraudulent activities.</w:t>
      </w:r>
    </w:p>
    <w:p w14:paraId="655DFF2C" w14:textId="77777777" w:rsidR="004B4BB7" w:rsidRPr="003E02D3" w:rsidRDefault="004B4BB7" w:rsidP="003E02D3">
      <w:pPr>
        <w:pStyle w:val="JUDGMENTCONTINUED"/>
      </w:pPr>
    </w:p>
    <w:p w14:paraId="62132202" w14:textId="77777777" w:rsidR="00C95D7C" w:rsidRPr="003E02D3" w:rsidRDefault="005919D5" w:rsidP="000C38CF">
      <w:pPr>
        <w:pStyle w:val="JUDGMENTNUMBERED"/>
      </w:pPr>
      <w:r w:rsidRPr="003E02D3">
        <w:t xml:space="preserve">This application </w:t>
      </w:r>
      <w:r w:rsidR="0073610A" w:rsidRPr="003E02D3">
        <w:t>comes before this Court</w:t>
      </w:r>
      <w:r w:rsidR="004B4BB7" w:rsidRPr="003E02D3">
        <w:t xml:space="preserve"> as one </w:t>
      </w:r>
      <w:r w:rsidRPr="003E02D3">
        <w:t xml:space="preserve">for leave to appeal against </w:t>
      </w:r>
      <w:r w:rsidR="00F231FA" w:rsidRPr="003E02D3">
        <w:t>a judgment</w:t>
      </w:r>
      <w:r w:rsidRPr="003E02D3">
        <w:t xml:space="preserve"> and order o</w:t>
      </w:r>
      <w:r w:rsidR="004F57AE">
        <w:t>f the High Court</w:t>
      </w:r>
      <w:r w:rsidR="00403710">
        <w:t xml:space="preserve"> of South Africa</w:t>
      </w:r>
      <w:r w:rsidRPr="003E02D3">
        <w:t>, Western Cape Division, Cape</w:t>
      </w:r>
      <w:r w:rsidR="001B5C77">
        <w:t> </w:t>
      </w:r>
      <w:r w:rsidRPr="003E02D3">
        <w:t>Town</w:t>
      </w:r>
      <w:r w:rsidR="00223689">
        <w:t xml:space="preserve"> (High Court)</w:t>
      </w:r>
      <w:r w:rsidR="0094101A">
        <w:t>,</w:t>
      </w:r>
      <w:r w:rsidR="00533E72" w:rsidRPr="003E02D3">
        <w:rPr>
          <w:rStyle w:val="FootnoteReference"/>
        </w:rPr>
        <w:footnoteReference w:id="1"/>
      </w:r>
      <w:r w:rsidRPr="003E02D3">
        <w:t xml:space="preserve"> in terms of which </w:t>
      </w:r>
      <w:r w:rsidR="004B4BB7" w:rsidRPr="003E02D3">
        <w:t>a</w:t>
      </w:r>
      <w:r w:rsidRPr="003E02D3">
        <w:t xml:space="preserve"> final </w:t>
      </w:r>
      <w:r w:rsidR="004B4BB7" w:rsidRPr="003E02D3">
        <w:t xml:space="preserve">order of </w:t>
      </w:r>
      <w:r w:rsidR="004F57AE">
        <w:t>sequestration of the HNP Trust</w:t>
      </w:r>
      <w:r w:rsidR="007074E3">
        <w:t xml:space="preserve"> (the Trust)</w:t>
      </w:r>
      <w:r w:rsidR="004F57AE">
        <w:t xml:space="preserve"> </w:t>
      </w:r>
      <w:r w:rsidRPr="003E02D3">
        <w:t xml:space="preserve">was </w:t>
      </w:r>
      <w:r w:rsidR="004B4BB7" w:rsidRPr="003E02D3">
        <w:t>issued</w:t>
      </w:r>
      <w:r w:rsidRPr="003E02D3">
        <w:t>.</w:t>
      </w:r>
    </w:p>
    <w:p w14:paraId="130C9D91" w14:textId="77777777" w:rsidR="00860C4E" w:rsidRPr="003E02D3" w:rsidRDefault="00860C4E" w:rsidP="000C38CF">
      <w:pPr>
        <w:pStyle w:val="JUDGMENTCONTINUED"/>
      </w:pPr>
    </w:p>
    <w:p w14:paraId="66057A4C" w14:textId="77777777" w:rsidR="004C7588" w:rsidRPr="003E02D3" w:rsidRDefault="005919D5" w:rsidP="00937742">
      <w:pPr>
        <w:pStyle w:val="HEADING"/>
      </w:pPr>
      <w:r w:rsidRPr="003E02D3">
        <w:t>Background</w:t>
      </w:r>
    </w:p>
    <w:p w14:paraId="7B319F68" w14:textId="574E9F98" w:rsidR="000E13E2" w:rsidRDefault="004B4BB7" w:rsidP="003E02D3">
      <w:pPr>
        <w:pStyle w:val="JUDGMENTNUMBERED"/>
      </w:pPr>
      <w:r w:rsidRPr="003E02D3">
        <w:t xml:space="preserve">Mr Petrus </w:t>
      </w:r>
      <w:r w:rsidR="00FA0F1E" w:rsidRPr="003E02D3">
        <w:t xml:space="preserve">Serdyn </w:t>
      </w:r>
      <w:r w:rsidRPr="003E02D3">
        <w:t>Louw was the founding director of Louw &amp; Cronje Inc</w:t>
      </w:r>
      <w:r w:rsidR="00C401C8">
        <w:t>orporated</w:t>
      </w:r>
      <w:r w:rsidRPr="003E02D3">
        <w:t>, a registered firm of auditors conducting its business in Porterville</w:t>
      </w:r>
      <w:r w:rsidR="00626F73" w:rsidRPr="003E02D3">
        <w:t>, Vredendal</w:t>
      </w:r>
      <w:r w:rsidR="00223689">
        <w:t>,</w:t>
      </w:r>
      <w:r w:rsidR="00626F73" w:rsidRPr="003E02D3">
        <w:t xml:space="preserve"> and Strand in the Western Cape.  </w:t>
      </w:r>
      <w:r w:rsidR="00861471">
        <w:t>The other director was Mr</w:t>
      </w:r>
      <w:r w:rsidR="00861471" w:rsidRPr="003E02D3">
        <w:t> </w:t>
      </w:r>
      <w:r w:rsidR="00861471">
        <w:t xml:space="preserve">Willem Jacobus </w:t>
      </w:r>
      <w:r w:rsidR="00861471" w:rsidRPr="003E02D3">
        <w:t>Cronje</w:t>
      </w:r>
      <w:r w:rsidR="00861471">
        <w:t xml:space="preserve">. </w:t>
      </w:r>
      <w:r w:rsidR="00581038" w:rsidRPr="003E02D3">
        <w:t xml:space="preserve">The firm </w:t>
      </w:r>
      <w:r w:rsidR="00861471">
        <w:t>provided accounting services to</w:t>
      </w:r>
      <w:r w:rsidR="0073610A" w:rsidRPr="003E02D3">
        <w:t xml:space="preserve"> two business ventures</w:t>
      </w:r>
      <w:r w:rsidR="004F57AE">
        <w:t xml:space="preserve"> known as</w:t>
      </w:r>
      <w:r w:rsidR="0073610A" w:rsidRPr="003E02D3">
        <w:t xml:space="preserve"> </w:t>
      </w:r>
      <w:r w:rsidR="00581038" w:rsidRPr="003E02D3">
        <w:t>Pholaco (Pty) Limited and Quintado (Pty) Limited</w:t>
      </w:r>
      <w:r w:rsidR="0073610A" w:rsidRPr="003E02D3">
        <w:t>, which were operated by Mr Louw</w:t>
      </w:r>
      <w:r w:rsidR="00581038" w:rsidRPr="003E02D3">
        <w:t>.  He operated Quintado with his brother-in-law, Mr</w:t>
      </w:r>
      <w:r w:rsidR="00751EA9">
        <w:t> Markram</w:t>
      </w:r>
      <w:r w:rsidR="003309C1">
        <w:t> </w:t>
      </w:r>
      <w:r w:rsidR="00246CD1">
        <w:t xml:space="preserve">Jan </w:t>
      </w:r>
      <w:r w:rsidR="00581038" w:rsidRPr="003E02D3">
        <w:t>Kellerman.</w:t>
      </w:r>
      <w:r w:rsidR="0096255A" w:rsidRPr="003E02D3">
        <w:t xml:space="preserve">  </w:t>
      </w:r>
      <w:r w:rsidR="00FA0F1E" w:rsidRPr="003E02D3">
        <w:t>Over the years, t</w:t>
      </w:r>
      <w:r w:rsidR="00626F73" w:rsidRPr="003E02D3">
        <w:t xml:space="preserve">he firm </w:t>
      </w:r>
      <w:r w:rsidR="00F01663" w:rsidRPr="003E02D3">
        <w:t xml:space="preserve">grew to have </w:t>
      </w:r>
      <w:r w:rsidR="00626F73" w:rsidRPr="003E02D3">
        <w:t xml:space="preserve">a substantial and </w:t>
      </w:r>
      <w:r w:rsidR="00FA0F1E" w:rsidRPr="003E02D3">
        <w:t>loyal client base</w:t>
      </w:r>
      <w:r w:rsidR="00626F73" w:rsidRPr="003E02D3">
        <w:t>.</w:t>
      </w:r>
    </w:p>
    <w:p w14:paraId="39BD44E7" w14:textId="77777777" w:rsidR="000E13E2" w:rsidRDefault="000E13E2" w:rsidP="00773574">
      <w:pPr>
        <w:pStyle w:val="JUDGMENTCONTINUED"/>
      </w:pPr>
    </w:p>
    <w:p w14:paraId="2D092FF4" w14:textId="77777777" w:rsidR="005D39A5" w:rsidRPr="003E02D3" w:rsidRDefault="000E13E2" w:rsidP="003E02D3">
      <w:pPr>
        <w:pStyle w:val="JUDGMENTNUMBERED"/>
      </w:pPr>
      <w:r>
        <w:t>Mr Louw, u</w:t>
      </w:r>
      <w:r w:rsidR="00626F73" w:rsidRPr="003E02D3">
        <w:t xml:space="preserve">nder the guise of providing investment and financial </w:t>
      </w:r>
      <w:r w:rsidR="0073610A" w:rsidRPr="003E02D3">
        <w:t xml:space="preserve">advice, </w:t>
      </w:r>
      <w:r w:rsidR="00B91D55" w:rsidRPr="003E02D3">
        <w:t xml:space="preserve">defrauded his clients of </w:t>
      </w:r>
      <w:r w:rsidR="00861471">
        <w:t>approximately</w:t>
      </w:r>
      <w:r w:rsidR="00B91D55" w:rsidRPr="003E02D3">
        <w:t xml:space="preserve"> R110 </w:t>
      </w:r>
      <w:r w:rsidR="00F01663" w:rsidRPr="003E02D3">
        <w:t>million using several</w:t>
      </w:r>
      <w:r w:rsidR="00B91D55" w:rsidRPr="003E02D3">
        <w:t xml:space="preserve"> methods.  First, </w:t>
      </w:r>
      <w:r>
        <w:t xml:space="preserve">he </w:t>
      </w:r>
      <w:r w:rsidR="00B91D55" w:rsidRPr="003E02D3">
        <w:t xml:space="preserve">convinced his clients </w:t>
      </w:r>
      <w:r>
        <w:t>that t</w:t>
      </w:r>
      <w:r w:rsidR="00B91D55" w:rsidRPr="003E02D3">
        <w:t>he</w:t>
      </w:r>
      <w:r>
        <w:t>y</w:t>
      </w:r>
      <w:r w:rsidR="00B91D55" w:rsidRPr="003E02D3">
        <w:t xml:space="preserve"> could secure higher than average returns by depositing funds through him into a special account at F</w:t>
      </w:r>
      <w:r>
        <w:t xml:space="preserve">irst </w:t>
      </w:r>
      <w:r w:rsidR="00B91D55" w:rsidRPr="003E02D3">
        <w:t>N</w:t>
      </w:r>
      <w:r>
        <w:t xml:space="preserve">ational </w:t>
      </w:r>
      <w:r w:rsidR="00B91D55" w:rsidRPr="003E02D3">
        <w:t>B</w:t>
      </w:r>
      <w:r>
        <w:t>ank</w:t>
      </w:r>
      <w:r w:rsidR="00B91D55" w:rsidRPr="003E02D3">
        <w:t xml:space="preserve">.  </w:t>
      </w:r>
      <w:r>
        <w:t xml:space="preserve">His clients gave him the money to invest on their behalf.  However, when </w:t>
      </w:r>
      <w:r w:rsidR="00B91D55" w:rsidRPr="003E02D3">
        <w:t xml:space="preserve">he received these </w:t>
      </w:r>
      <w:r w:rsidR="00F231FA" w:rsidRPr="003E02D3">
        <w:t>monies,</w:t>
      </w:r>
      <w:r w:rsidR="00B91D55" w:rsidRPr="003E02D3">
        <w:t xml:space="preserve"> he appropriated them for his own ends.  His second method to </w:t>
      </w:r>
      <w:r w:rsidR="009273FE">
        <w:t>fleece</w:t>
      </w:r>
      <w:r w:rsidR="00B91D55" w:rsidRPr="003E02D3">
        <w:t xml:space="preserve"> his </w:t>
      </w:r>
      <w:r w:rsidR="00D509FF" w:rsidRPr="003E02D3">
        <w:t>clients</w:t>
      </w:r>
      <w:r w:rsidR="00B91D55" w:rsidRPr="003E02D3">
        <w:t xml:space="preserve"> </w:t>
      </w:r>
      <w:r w:rsidR="009273FE">
        <w:t xml:space="preserve">of their </w:t>
      </w:r>
      <w:r w:rsidR="00B91D55" w:rsidRPr="003E02D3">
        <w:t xml:space="preserve">monies was to persuade </w:t>
      </w:r>
      <w:r>
        <w:t>them</w:t>
      </w:r>
      <w:r w:rsidR="00D509FF" w:rsidRPr="003E02D3">
        <w:t xml:space="preserve"> to </w:t>
      </w:r>
      <w:r>
        <w:t>participate</w:t>
      </w:r>
      <w:r w:rsidR="00D509FF" w:rsidRPr="003E02D3">
        <w:t xml:space="preserve"> in share-schemes.  This would entail </w:t>
      </w:r>
      <w:r>
        <w:t>Mr</w:t>
      </w:r>
      <w:r w:rsidR="00F231FA">
        <w:t> </w:t>
      </w:r>
      <w:r>
        <w:t>Louw</w:t>
      </w:r>
      <w:r w:rsidR="00D509FF" w:rsidRPr="003E02D3">
        <w:t xml:space="preserve"> undertaking to purchase immovable properties on their behalf and when t</w:t>
      </w:r>
      <w:r w:rsidR="004F57AE">
        <w:t xml:space="preserve">he </w:t>
      </w:r>
      <w:r w:rsidR="004F57AE">
        <w:lastRenderedPageBreak/>
        <w:t xml:space="preserve">deals fell through, he </w:t>
      </w:r>
      <w:r w:rsidR="00D509FF" w:rsidRPr="003E02D3">
        <w:t>retain</w:t>
      </w:r>
      <w:r w:rsidR="004F57AE">
        <w:t>ed</w:t>
      </w:r>
      <w:r w:rsidR="00D509FF" w:rsidRPr="003E02D3">
        <w:t xml:space="preserve"> the money.  </w:t>
      </w:r>
      <w:r w:rsidR="00F01663" w:rsidRPr="003E02D3">
        <w:t>T</w:t>
      </w:r>
      <w:r w:rsidR="00246FC5">
        <w:t>he t</w:t>
      </w:r>
      <w:r w:rsidR="00F01663" w:rsidRPr="003E02D3">
        <w:t>hird</w:t>
      </w:r>
      <w:r w:rsidR="00246FC5">
        <w:t xml:space="preserve"> one was the</w:t>
      </w:r>
      <w:r w:rsidR="00D509FF" w:rsidRPr="003E02D3">
        <w:t xml:space="preserve"> withdraw</w:t>
      </w:r>
      <w:r w:rsidR="00246FC5">
        <w:t xml:space="preserve">al of </w:t>
      </w:r>
      <w:r w:rsidR="00D509FF" w:rsidRPr="003E02D3">
        <w:t xml:space="preserve">money from company entities without </w:t>
      </w:r>
      <w:r w:rsidR="00246FC5">
        <w:t xml:space="preserve">any </w:t>
      </w:r>
      <w:r w:rsidR="00D509FF" w:rsidRPr="003E02D3">
        <w:t xml:space="preserve">entitlement to do so.  </w:t>
      </w:r>
      <w:r w:rsidR="00F01663" w:rsidRPr="003E02D3">
        <w:t>Last</w:t>
      </w:r>
      <w:r w:rsidR="00246FC5">
        <w:t>ly</w:t>
      </w:r>
      <w:r w:rsidR="00D509FF" w:rsidRPr="003E02D3">
        <w:t>, he convince</w:t>
      </w:r>
      <w:r w:rsidR="00246FC5">
        <w:t>d his</w:t>
      </w:r>
      <w:r w:rsidR="00D509FF" w:rsidRPr="003E02D3">
        <w:t xml:space="preserve"> clients to invest in several companies and upon receiving the money</w:t>
      </w:r>
      <w:r w:rsidR="00246FC5">
        <w:t>,</w:t>
      </w:r>
      <w:r w:rsidR="00D509FF" w:rsidRPr="003E02D3">
        <w:t xml:space="preserve"> he </w:t>
      </w:r>
      <w:r w:rsidR="00246FC5">
        <w:t>withheld th</w:t>
      </w:r>
      <w:r w:rsidR="004F57AE">
        <w:t>e funds instead of making the requisite investment in</w:t>
      </w:r>
      <w:r w:rsidR="00246FC5">
        <w:t xml:space="preserve"> these </w:t>
      </w:r>
      <w:r w:rsidR="00D509FF" w:rsidRPr="003E02D3">
        <w:t>companies</w:t>
      </w:r>
      <w:r w:rsidR="00581038" w:rsidRPr="003E02D3">
        <w:t>.</w:t>
      </w:r>
      <w:r w:rsidR="005D39A5" w:rsidRPr="003E02D3">
        <w:t xml:space="preserve">  To conceal his fraudulent actions, he forge</w:t>
      </w:r>
      <w:r w:rsidR="00F01663" w:rsidRPr="003E02D3">
        <w:t>d</w:t>
      </w:r>
      <w:r w:rsidR="005D39A5" w:rsidRPr="003E02D3">
        <w:t xml:space="preserve"> share certificates, bank statements, and communications </w:t>
      </w:r>
      <w:r w:rsidR="00F01663" w:rsidRPr="003E02D3">
        <w:t xml:space="preserve">to </w:t>
      </w:r>
      <w:r w:rsidR="005D39A5" w:rsidRPr="003E02D3">
        <w:t xml:space="preserve">create the impression that the funds had indeed been invested.  </w:t>
      </w:r>
      <w:r w:rsidR="00D509FF" w:rsidRPr="003E02D3">
        <w:t xml:space="preserve">Ultimately, the monies </w:t>
      </w:r>
      <w:r w:rsidR="005D39A5" w:rsidRPr="003E02D3">
        <w:t xml:space="preserve">were used to fund </w:t>
      </w:r>
      <w:r w:rsidR="005D39A5" w:rsidRPr="000971C5">
        <w:t>Mr Louw’s</w:t>
      </w:r>
      <w:r w:rsidR="00D43D45" w:rsidRPr="008726F3">
        <w:t xml:space="preserve"> </w:t>
      </w:r>
      <w:r w:rsidR="00861471">
        <w:t>private</w:t>
      </w:r>
      <w:r w:rsidR="000971C5">
        <w:t xml:space="preserve"> interests</w:t>
      </w:r>
      <w:r w:rsidR="005D39A5" w:rsidRPr="008726F3">
        <w:t>.</w:t>
      </w:r>
    </w:p>
    <w:p w14:paraId="54817BE8" w14:textId="77777777" w:rsidR="00626F73" w:rsidRPr="003E02D3" w:rsidRDefault="00626F73" w:rsidP="006A43E0">
      <w:pPr>
        <w:pStyle w:val="JUDGMENTNUMBERED"/>
        <w:numPr>
          <w:ilvl w:val="0"/>
          <w:numId w:val="0"/>
        </w:numPr>
      </w:pPr>
    </w:p>
    <w:p w14:paraId="067B4C13" w14:textId="35AAABDF" w:rsidR="00581038" w:rsidRPr="003E02D3" w:rsidRDefault="00626F73" w:rsidP="000C38CF">
      <w:pPr>
        <w:pStyle w:val="JUDGMENTNUMBERED"/>
      </w:pPr>
      <w:r w:rsidRPr="003E02D3">
        <w:t>On 7 Ma</w:t>
      </w:r>
      <w:r w:rsidR="003C4AAF">
        <w:t>y</w:t>
      </w:r>
      <w:r w:rsidRPr="003E02D3">
        <w:t xml:space="preserve"> 2001, Mr Louw</w:t>
      </w:r>
      <w:r w:rsidR="00581038" w:rsidRPr="003E02D3">
        <w:t xml:space="preserve"> established </w:t>
      </w:r>
      <w:r w:rsidR="00246FC5">
        <w:t xml:space="preserve">a family trust called </w:t>
      </w:r>
      <w:r w:rsidR="00F231FA">
        <w:t xml:space="preserve">the </w:t>
      </w:r>
      <w:r w:rsidR="00F231FA" w:rsidRPr="003E02D3">
        <w:t>HNP</w:t>
      </w:r>
      <w:r w:rsidR="00F01663" w:rsidRPr="003E02D3">
        <w:t> </w:t>
      </w:r>
      <w:r w:rsidR="00581038" w:rsidRPr="003E02D3">
        <w:t xml:space="preserve">Trust. </w:t>
      </w:r>
      <w:r w:rsidR="00EC16B0" w:rsidRPr="003E02D3">
        <w:t xml:space="preserve"> </w:t>
      </w:r>
      <w:r w:rsidR="00581038" w:rsidRPr="003E02D3">
        <w:t xml:space="preserve">The </w:t>
      </w:r>
      <w:r w:rsidR="00FA0F1E" w:rsidRPr="003E02D3">
        <w:t>trustees were Mr Louw, his wife</w:t>
      </w:r>
      <w:r w:rsidR="000971C5">
        <w:t>,</w:t>
      </w:r>
      <w:r w:rsidR="00FA0F1E" w:rsidRPr="003E02D3">
        <w:t xml:space="preserve"> Mrs Martha </w:t>
      </w:r>
      <w:r w:rsidR="00E63C33">
        <w:t xml:space="preserve">Maria Sophia </w:t>
      </w:r>
      <w:r w:rsidR="00FA0F1E" w:rsidRPr="003E02D3">
        <w:t>Louw</w:t>
      </w:r>
      <w:r w:rsidR="00E63C33">
        <w:t>,</w:t>
      </w:r>
      <w:r w:rsidR="00FA0F1E" w:rsidRPr="003E02D3">
        <w:t xml:space="preserve"> and Mr</w:t>
      </w:r>
      <w:r w:rsidR="00EC16B0" w:rsidRPr="003E02D3">
        <w:t> </w:t>
      </w:r>
      <w:r w:rsidR="00246FC5">
        <w:t xml:space="preserve"> </w:t>
      </w:r>
      <w:r w:rsidR="00FA0F1E" w:rsidRPr="003E02D3">
        <w:t xml:space="preserve">Cronje. </w:t>
      </w:r>
      <w:r w:rsidR="00EC16B0" w:rsidRPr="003E02D3">
        <w:t xml:space="preserve"> </w:t>
      </w:r>
      <w:r w:rsidR="00FA0F1E" w:rsidRPr="003E02D3">
        <w:t xml:space="preserve">The </w:t>
      </w:r>
      <w:r w:rsidR="00581038" w:rsidRPr="003E02D3">
        <w:t>Trust held 90</w:t>
      </w:r>
      <w:r w:rsidR="00E63C33">
        <w:t>%</w:t>
      </w:r>
      <w:r w:rsidR="00581038" w:rsidRPr="003E02D3">
        <w:t xml:space="preserve"> of the shares in Pholaco and 50</w:t>
      </w:r>
      <w:r w:rsidR="00E63C33">
        <w:t>%</w:t>
      </w:r>
      <w:r w:rsidR="00581038" w:rsidRPr="003E02D3">
        <w:t xml:space="preserve"> of the shares in Quintado.  The remaining shares in Quintado were held by Mr</w:t>
      </w:r>
      <w:r w:rsidR="00751EA9">
        <w:t> </w:t>
      </w:r>
      <w:r w:rsidR="00581038" w:rsidRPr="003E02D3">
        <w:t xml:space="preserve">Kellerman’s family trust. </w:t>
      </w:r>
      <w:r w:rsidR="00751976">
        <w:t xml:space="preserve"> </w:t>
      </w:r>
      <w:r w:rsidR="00581038" w:rsidRPr="003E02D3">
        <w:t xml:space="preserve">In terms of the Trust Deed, </w:t>
      </w:r>
      <w:r w:rsidR="005220D6" w:rsidRPr="003E02D3">
        <w:t xml:space="preserve">the </w:t>
      </w:r>
      <w:r w:rsidR="00581038" w:rsidRPr="003E02D3">
        <w:t xml:space="preserve">three trustees </w:t>
      </w:r>
      <w:r w:rsidR="00246FC5">
        <w:t xml:space="preserve">had to act together </w:t>
      </w:r>
      <w:r w:rsidR="00F231FA">
        <w:t xml:space="preserve">when </w:t>
      </w:r>
      <w:r w:rsidR="00F231FA" w:rsidRPr="003E02D3">
        <w:t>administering</w:t>
      </w:r>
      <w:r w:rsidR="00FA0F1E" w:rsidRPr="003E02D3">
        <w:t xml:space="preserve"> the Trust and</w:t>
      </w:r>
      <w:r w:rsidR="009273FE">
        <w:t>,</w:t>
      </w:r>
      <w:r w:rsidR="00FA0F1E" w:rsidRPr="003E02D3">
        <w:t xml:space="preserve"> </w:t>
      </w:r>
      <w:r w:rsidR="0073610A" w:rsidRPr="003E02D3">
        <w:t xml:space="preserve">if there were </w:t>
      </w:r>
      <w:r w:rsidR="00751EA9">
        <w:t>fewer</w:t>
      </w:r>
      <w:r w:rsidR="005220D6" w:rsidRPr="003E02D3">
        <w:t xml:space="preserve"> than three trustees</w:t>
      </w:r>
      <w:r w:rsidR="00EE053C" w:rsidRPr="003E02D3">
        <w:t xml:space="preserve"> due to either death or resignation</w:t>
      </w:r>
      <w:r w:rsidR="005220D6" w:rsidRPr="003E02D3">
        <w:t>, the remaining trustees had limited power</w:t>
      </w:r>
      <w:r w:rsidR="0073610A" w:rsidRPr="003E02D3">
        <w:t xml:space="preserve"> to act on behalf of the Trust</w:t>
      </w:r>
      <w:r w:rsidR="00581038" w:rsidRPr="003E02D3">
        <w:t>.</w:t>
      </w:r>
    </w:p>
    <w:p w14:paraId="432231BF" w14:textId="77777777" w:rsidR="00581038" w:rsidRPr="003E02D3" w:rsidRDefault="00581038" w:rsidP="0096255A">
      <w:pPr>
        <w:pStyle w:val="JUDGMENTNUMBERED"/>
        <w:numPr>
          <w:ilvl w:val="0"/>
          <w:numId w:val="0"/>
        </w:numPr>
      </w:pPr>
    </w:p>
    <w:p w14:paraId="11DB32BF" w14:textId="77777777" w:rsidR="00DA6708" w:rsidRPr="003E02D3" w:rsidRDefault="00581038" w:rsidP="000C38CF">
      <w:pPr>
        <w:pStyle w:val="JUDGMENTNUMBERED"/>
      </w:pPr>
      <w:r w:rsidRPr="003E02D3">
        <w:t>During 2018, it became evident that Mr Louw</w:t>
      </w:r>
      <w:r w:rsidR="00F01663" w:rsidRPr="003E02D3">
        <w:t xml:space="preserve"> was operating </w:t>
      </w:r>
      <w:r w:rsidR="00411EEA">
        <w:t xml:space="preserve">a massive </w:t>
      </w:r>
      <w:r w:rsidR="00F01663" w:rsidRPr="003E02D3">
        <w:t>fraudulent scheme</w:t>
      </w:r>
      <w:r w:rsidR="00751EA9">
        <w:t>,</w:t>
      </w:r>
      <w:r w:rsidR="00F01663" w:rsidRPr="003E02D3">
        <w:t xml:space="preserve"> </w:t>
      </w:r>
      <w:r w:rsidR="00751EA9">
        <w:t>the</w:t>
      </w:r>
      <w:r w:rsidR="00F01663" w:rsidRPr="003E02D3">
        <w:t xml:space="preserve"> proceeds</w:t>
      </w:r>
      <w:r w:rsidR="00751EA9">
        <w:t xml:space="preserve"> of which</w:t>
      </w:r>
      <w:r w:rsidR="00F01663" w:rsidRPr="003E02D3">
        <w:t xml:space="preserve"> he used to fund Pholaco</w:t>
      </w:r>
      <w:r w:rsidR="00626F73" w:rsidRPr="003E02D3">
        <w:t xml:space="preserve">.  On occasion, these monies </w:t>
      </w:r>
      <w:r w:rsidR="00F01663" w:rsidRPr="003E02D3">
        <w:t xml:space="preserve">flowed to Pholaco through </w:t>
      </w:r>
      <w:r w:rsidR="00626F73" w:rsidRPr="003E02D3">
        <w:t>the bank account</w:t>
      </w:r>
      <w:r w:rsidR="00DA6708" w:rsidRPr="003E02D3">
        <w:t>s</w:t>
      </w:r>
      <w:r w:rsidR="00626F73" w:rsidRPr="003E02D3">
        <w:t xml:space="preserve"> of </w:t>
      </w:r>
      <w:r w:rsidR="00DA6708" w:rsidRPr="003E02D3">
        <w:t xml:space="preserve">the Trust and </w:t>
      </w:r>
      <w:r w:rsidR="00626F73" w:rsidRPr="003E02D3">
        <w:t xml:space="preserve">Quintado.  This elaborate scheme was </w:t>
      </w:r>
      <w:r w:rsidR="00F01663" w:rsidRPr="003E02D3">
        <w:t>exposed</w:t>
      </w:r>
      <w:r w:rsidR="00626F73" w:rsidRPr="003E02D3">
        <w:t xml:space="preserve"> through a series of events triggered by the publication of a newspaper article</w:t>
      </w:r>
      <w:r w:rsidR="00F01663" w:rsidRPr="003E02D3">
        <w:t>.  The article</w:t>
      </w:r>
      <w:r w:rsidR="00626F73" w:rsidRPr="003E02D3">
        <w:t xml:space="preserve"> </w:t>
      </w:r>
      <w:r w:rsidR="00B42677" w:rsidRPr="003E02D3">
        <w:t>provided the details of</w:t>
      </w:r>
      <w:r w:rsidR="00626F73" w:rsidRPr="003E02D3">
        <w:t xml:space="preserve"> liquidation proceedings against </w:t>
      </w:r>
      <w:r w:rsidR="00411EEA">
        <w:t>Louw &amp; Cronje</w:t>
      </w:r>
      <w:r w:rsidR="00626F73" w:rsidRPr="003E02D3">
        <w:t xml:space="preserve"> instituted by Kloovenburg Plase (Pty) Limited for the firm’s failure to make good on its undertakings.  This caused </w:t>
      </w:r>
      <w:r w:rsidR="000971C5">
        <w:t>most</w:t>
      </w:r>
      <w:r w:rsidR="00DA6708" w:rsidRPr="003E02D3">
        <w:t xml:space="preserve"> of Mr Louw’s clients </w:t>
      </w:r>
      <w:r w:rsidR="009523F4">
        <w:t xml:space="preserve">at the firm </w:t>
      </w:r>
      <w:r w:rsidR="00DA6708" w:rsidRPr="003E02D3">
        <w:t>to enquire about</w:t>
      </w:r>
      <w:r w:rsidR="00626F73" w:rsidRPr="003E02D3">
        <w:t xml:space="preserve"> the status of the</w:t>
      </w:r>
      <w:r w:rsidR="005220D6" w:rsidRPr="003E02D3">
        <w:t>ir</w:t>
      </w:r>
      <w:r w:rsidR="00626F73" w:rsidRPr="003E02D3">
        <w:t xml:space="preserve"> investments.</w:t>
      </w:r>
    </w:p>
    <w:p w14:paraId="2136925E" w14:textId="77777777" w:rsidR="00DA6708" w:rsidRPr="003E02D3" w:rsidRDefault="00DA6708" w:rsidP="003E02D3">
      <w:pPr>
        <w:pStyle w:val="JUDGMENTNUMBERED"/>
        <w:numPr>
          <w:ilvl w:val="0"/>
          <w:numId w:val="0"/>
        </w:numPr>
      </w:pPr>
    </w:p>
    <w:p w14:paraId="4599F6D7" w14:textId="77777777" w:rsidR="00626F73" w:rsidRPr="003E02D3" w:rsidRDefault="00DA6708" w:rsidP="00533E72">
      <w:pPr>
        <w:pStyle w:val="JUDGMENTNUMBERED"/>
      </w:pPr>
      <w:r w:rsidRPr="003E02D3">
        <w:t>Mr Louw later confessed that all the investment opportunities presented to his clients were fraudulent and</w:t>
      </w:r>
      <w:r w:rsidR="00183658">
        <w:t xml:space="preserve"> he had misappropriated</w:t>
      </w:r>
      <w:r w:rsidRPr="003E02D3">
        <w:t xml:space="preserve"> approximately R110 million.  Of t</w:t>
      </w:r>
      <w:r w:rsidR="009D72A0">
        <w:t xml:space="preserve">his </w:t>
      </w:r>
      <w:r w:rsidR="00A50CE1">
        <w:t>amount</w:t>
      </w:r>
      <w:r w:rsidR="009D72A0">
        <w:t>, about R70 million had been</w:t>
      </w:r>
      <w:r w:rsidRPr="003E02D3">
        <w:t xml:space="preserve"> advanced to Pholaco</w:t>
      </w:r>
      <w:r w:rsidR="00A50CE1">
        <w:t>.</w:t>
      </w:r>
      <w:r w:rsidRPr="003E02D3">
        <w:t xml:space="preserve"> </w:t>
      </w:r>
      <w:r w:rsidR="00A50CE1">
        <w:t xml:space="preserve"> H</w:t>
      </w:r>
      <w:r w:rsidR="00246FC5">
        <w:t>e</w:t>
      </w:r>
      <w:r w:rsidRPr="003E02D3">
        <w:t xml:space="preserve"> </w:t>
      </w:r>
      <w:r w:rsidR="009273FE">
        <w:t xml:space="preserve">had </w:t>
      </w:r>
      <w:r w:rsidRPr="003E02D3">
        <w:t xml:space="preserve">transferred the money to </w:t>
      </w:r>
      <w:r w:rsidR="005220D6" w:rsidRPr="003E02D3">
        <w:t xml:space="preserve">the </w:t>
      </w:r>
      <w:r w:rsidRPr="003E02D3">
        <w:t xml:space="preserve">Trust, and the Trust </w:t>
      </w:r>
      <w:r w:rsidR="003C4AAF">
        <w:t xml:space="preserve">had </w:t>
      </w:r>
      <w:r w:rsidRPr="003E02D3">
        <w:t xml:space="preserve">then transferred the funds to Pholaco. </w:t>
      </w:r>
      <w:r w:rsidR="006A1AC0">
        <w:t xml:space="preserve"> </w:t>
      </w:r>
      <w:r w:rsidR="00183658">
        <w:t>After his confession</w:t>
      </w:r>
      <w:r w:rsidRPr="003E02D3">
        <w:t xml:space="preserve">, he resigned as a director of Louw &amp; Cronje.  </w:t>
      </w:r>
      <w:r w:rsidR="00183658">
        <w:t>Thereafter</w:t>
      </w:r>
      <w:r w:rsidRPr="003E02D3">
        <w:t xml:space="preserve">, Pholaco was </w:t>
      </w:r>
      <w:r w:rsidR="0083368A">
        <w:t>placed under liquidation</w:t>
      </w:r>
      <w:r w:rsidR="003252D8">
        <w:t>, followed by the sequestration of</w:t>
      </w:r>
      <w:r w:rsidR="00533E72" w:rsidRPr="003E02D3">
        <w:t xml:space="preserve"> </w:t>
      </w:r>
      <w:r w:rsidR="00EC0623">
        <w:t xml:space="preserve">the estate of </w:t>
      </w:r>
      <w:r w:rsidR="003252D8">
        <w:t>Mr Louw</w:t>
      </w:r>
      <w:r w:rsidR="00533E72" w:rsidRPr="003E02D3">
        <w:t xml:space="preserve"> and his wife.</w:t>
      </w:r>
    </w:p>
    <w:p w14:paraId="3E9F7604" w14:textId="77777777" w:rsidR="00626F73" w:rsidRPr="003E02D3" w:rsidRDefault="00626F73" w:rsidP="003E02D3">
      <w:pPr>
        <w:pStyle w:val="JUDGMENTNUMBERED"/>
        <w:numPr>
          <w:ilvl w:val="0"/>
          <w:numId w:val="0"/>
        </w:numPr>
      </w:pPr>
    </w:p>
    <w:p w14:paraId="067F3E1D" w14:textId="77777777" w:rsidR="00B42677" w:rsidRPr="003E02D3" w:rsidRDefault="00B42677" w:rsidP="00B42677">
      <w:pPr>
        <w:pStyle w:val="JUDGMENTNUMBERED"/>
      </w:pPr>
      <w:r w:rsidRPr="003E02D3">
        <w:t xml:space="preserve">Upon the sequestration of the estate of Mr and Mrs Louw, </w:t>
      </w:r>
      <w:r w:rsidR="00440CCE">
        <w:t>the insolvency practitioners</w:t>
      </w:r>
      <w:r w:rsidR="0032612D">
        <w:t xml:space="preserve"> –</w:t>
      </w:r>
      <w:r w:rsidR="00440CCE">
        <w:t xml:space="preserve"> </w:t>
      </w:r>
      <w:r w:rsidRPr="003E02D3">
        <w:t>Messrs</w:t>
      </w:r>
      <w:r w:rsidR="009D6B7D" w:rsidRPr="003E02D3">
        <w:t> </w:t>
      </w:r>
      <w:r w:rsidRPr="003E02D3">
        <w:t>Christian</w:t>
      </w:r>
      <w:r w:rsidR="009D6B7D" w:rsidRPr="003E02D3">
        <w:t> </w:t>
      </w:r>
      <w:r w:rsidRPr="003E02D3">
        <w:t xml:space="preserve">Bester, Legadimane </w:t>
      </w:r>
      <w:r w:rsidRPr="00633D66">
        <w:t>Maisela</w:t>
      </w:r>
      <w:r w:rsidRPr="003E02D3">
        <w:t xml:space="preserve"> and Thomas Van Zyl</w:t>
      </w:r>
      <w:r w:rsidR="001E02B3">
        <w:t xml:space="preserve"> </w:t>
      </w:r>
      <w:r w:rsidR="001E02B3" w:rsidRPr="001E02B3">
        <w:t>–</w:t>
      </w:r>
      <w:r w:rsidR="003252D8">
        <w:t xml:space="preserve"> </w:t>
      </w:r>
      <w:r w:rsidRPr="003E02D3">
        <w:t xml:space="preserve">were appointed as joint trustees of the insolvent estate. </w:t>
      </w:r>
      <w:r w:rsidR="009D6B7D" w:rsidRPr="003E02D3">
        <w:t xml:space="preserve"> </w:t>
      </w:r>
      <w:r w:rsidR="005919D5" w:rsidRPr="003E02D3">
        <w:t>The</w:t>
      </w:r>
      <w:r w:rsidRPr="003E02D3">
        <w:t>y ar</w:t>
      </w:r>
      <w:r w:rsidR="0073610A" w:rsidRPr="003E02D3">
        <w:t>e the respondents in this Court</w:t>
      </w:r>
      <w:r w:rsidRPr="003E02D3">
        <w:t xml:space="preserve">. </w:t>
      </w:r>
      <w:r w:rsidR="005919D5" w:rsidRPr="003E02D3">
        <w:t xml:space="preserve"> </w:t>
      </w:r>
      <w:r w:rsidRPr="003E02D3">
        <w:t>They then brought an a</w:t>
      </w:r>
      <w:r w:rsidR="009D72A0">
        <w:t>pplication in</w:t>
      </w:r>
      <w:r w:rsidRPr="003E02D3">
        <w:t xml:space="preserve"> the High</w:t>
      </w:r>
      <w:r w:rsidR="00432D47">
        <w:t> </w:t>
      </w:r>
      <w:r w:rsidRPr="003E02D3">
        <w:t xml:space="preserve">Court for an order authorising them to sell the property of </w:t>
      </w:r>
      <w:r w:rsidR="00482439">
        <w:t xml:space="preserve">the </w:t>
      </w:r>
      <w:r w:rsidR="000A01E2">
        <w:t>Louw insolvent estate</w:t>
      </w:r>
      <w:r w:rsidRPr="003E02D3">
        <w:t xml:space="preserve"> and to bring or defend any legal proceedings as well as other powers incidental thereto.  This was granted. </w:t>
      </w:r>
      <w:r w:rsidR="003309C1">
        <w:t xml:space="preserve"> </w:t>
      </w:r>
      <w:r w:rsidRPr="003E02D3">
        <w:t xml:space="preserve">In a bid to recover </w:t>
      </w:r>
      <w:r w:rsidR="00525565" w:rsidRPr="003E02D3">
        <w:t xml:space="preserve">the monies </w:t>
      </w:r>
      <w:r w:rsidR="003252D8">
        <w:t xml:space="preserve">allegedly </w:t>
      </w:r>
      <w:r w:rsidR="00525565" w:rsidRPr="003E02D3">
        <w:t xml:space="preserve">advanced </w:t>
      </w:r>
      <w:r w:rsidRPr="003E02D3">
        <w:t>by Mr</w:t>
      </w:r>
      <w:r w:rsidR="00432D47">
        <w:t> </w:t>
      </w:r>
      <w:r w:rsidRPr="003E02D3">
        <w:t>Louw</w:t>
      </w:r>
      <w:r w:rsidR="00525565" w:rsidRPr="003E02D3">
        <w:t xml:space="preserve"> to the</w:t>
      </w:r>
      <w:r w:rsidR="00DD11EC">
        <w:t> </w:t>
      </w:r>
      <w:r w:rsidR="00525565" w:rsidRPr="003E02D3">
        <w:t>Trust</w:t>
      </w:r>
      <w:r w:rsidRPr="003E02D3">
        <w:t xml:space="preserve">, the </w:t>
      </w:r>
      <w:r w:rsidR="00CC675B">
        <w:t>respondents</w:t>
      </w:r>
      <w:r w:rsidR="003252D8">
        <w:t xml:space="preserve"> </w:t>
      </w:r>
      <w:r w:rsidRPr="003E02D3">
        <w:t>launched an application in the High Court for the sequestration of the Trust.</w:t>
      </w:r>
      <w:r w:rsidR="005220D6" w:rsidRPr="003E02D3">
        <w:t xml:space="preserve"> </w:t>
      </w:r>
      <w:r w:rsidR="003309C1">
        <w:t xml:space="preserve"> </w:t>
      </w:r>
      <w:r w:rsidR="005220D6" w:rsidRPr="003E02D3">
        <w:t>Mr and Mrs</w:t>
      </w:r>
      <w:r w:rsidR="005341C8">
        <w:t> </w:t>
      </w:r>
      <w:r w:rsidR="005220D6" w:rsidRPr="003E02D3">
        <w:t xml:space="preserve">Louw were, as a result of their sequestration, disqualified to act as </w:t>
      </w:r>
      <w:r w:rsidR="0073610A" w:rsidRPr="003E02D3">
        <w:t>trustees for the Trust.</w:t>
      </w:r>
      <w:r w:rsidR="003309C1">
        <w:t xml:space="preserve"> </w:t>
      </w:r>
      <w:r w:rsidR="0073610A" w:rsidRPr="003E02D3">
        <w:t xml:space="preserve"> Therefore, </w:t>
      </w:r>
      <w:r w:rsidR="005220D6" w:rsidRPr="003E02D3">
        <w:t>Mr Cronje was the</w:t>
      </w:r>
      <w:r w:rsidR="0083368A">
        <w:t xml:space="preserve"> only</w:t>
      </w:r>
      <w:r w:rsidR="005220D6" w:rsidRPr="003E02D3">
        <w:t xml:space="preserve"> remaining trustee.</w:t>
      </w:r>
    </w:p>
    <w:p w14:paraId="5A7E9D06" w14:textId="77777777" w:rsidR="00123BB4" w:rsidRPr="003E02D3" w:rsidRDefault="00123BB4" w:rsidP="00123BB4">
      <w:pPr>
        <w:pStyle w:val="JUDGMENTCONTINUED"/>
      </w:pPr>
    </w:p>
    <w:p w14:paraId="465ADBC0" w14:textId="77777777" w:rsidR="00123BB4" w:rsidRPr="003E02D3" w:rsidRDefault="00123BB4" w:rsidP="00123BB4">
      <w:pPr>
        <w:pStyle w:val="HEADING"/>
      </w:pPr>
      <w:r w:rsidRPr="003E02D3">
        <w:t>Litigation history</w:t>
      </w:r>
    </w:p>
    <w:p w14:paraId="26AD3629" w14:textId="77777777" w:rsidR="00123BB4" w:rsidRPr="003E02D3" w:rsidRDefault="00123BB4" w:rsidP="00123BB4">
      <w:pPr>
        <w:pStyle w:val="HEADING"/>
        <w:ind w:left="720"/>
      </w:pPr>
      <w:r w:rsidRPr="003E02D3">
        <w:t>High Court</w:t>
      </w:r>
    </w:p>
    <w:p w14:paraId="5E037B77" w14:textId="77777777" w:rsidR="000A11CD" w:rsidRPr="00212C20" w:rsidRDefault="00123BB4" w:rsidP="008726F3">
      <w:pPr>
        <w:pStyle w:val="JUDGMENTNUMBERED"/>
      </w:pPr>
      <w:r w:rsidRPr="008726F3">
        <w:t xml:space="preserve">On 21 December 2018, the </w:t>
      </w:r>
      <w:r w:rsidR="0083368A" w:rsidRPr="00845AD3">
        <w:t>respondents</w:t>
      </w:r>
      <w:r w:rsidRPr="00845AD3">
        <w:t xml:space="preserve"> </w:t>
      </w:r>
      <w:r w:rsidR="00E413AE">
        <w:t>launched an application</w:t>
      </w:r>
      <w:r w:rsidRPr="00212C20">
        <w:t xml:space="preserve"> for the sequestration of </w:t>
      </w:r>
      <w:r w:rsidR="003309C1" w:rsidRPr="00212C20">
        <w:t xml:space="preserve">the </w:t>
      </w:r>
      <w:r w:rsidRPr="00212C20">
        <w:t>Trust</w:t>
      </w:r>
      <w:r w:rsidR="0092726F" w:rsidRPr="00212C20">
        <w:t xml:space="preserve"> on the basis that the Trust was indebted to the </w:t>
      </w:r>
      <w:r w:rsidR="000A01E2">
        <w:t>Louw insolvent estate</w:t>
      </w:r>
      <w:r w:rsidR="005341C8" w:rsidRPr="00212C20">
        <w:t xml:space="preserve"> </w:t>
      </w:r>
      <w:r w:rsidR="0092726F" w:rsidRPr="00212C20">
        <w:t>for at least R70</w:t>
      </w:r>
      <w:r w:rsidR="00DD11EC" w:rsidRPr="00212C20">
        <w:t> </w:t>
      </w:r>
      <w:r w:rsidR="0092726F" w:rsidRPr="00212C20">
        <w:t>million</w:t>
      </w:r>
      <w:r w:rsidRPr="00212C20">
        <w:t>.</w:t>
      </w:r>
      <w:r w:rsidR="00C030A4">
        <w:rPr>
          <w:rStyle w:val="FootnoteReference"/>
        </w:rPr>
        <w:footnoteReference w:id="2"/>
      </w:r>
    </w:p>
    <w:p w14:paraId="46A46364" w14:textId="77777777" w:rsidR="00E16B23" w:rsidRDefault="00E16B23" w:rsidP="00212C20">
      <w:pPr>
        <w:pStyle w:val="JUDGMENTNUMBERED"/>
        <w:numPr>
          <w:ilvl w:val="0"/>
          <w:numId w:val="0"/>
        </w:numPr>
      </w:pPr>
    </w:p>
    <w:p w14:paraId="2B85C108" w14:textId="77777777" w:rsidR="000A11CD" w:rsidRDefault="00512D84" w:rsidP="000A11CD">
      <w:pPr>
        <w:pStyle w:val="JUDGMENTNUMBERED"/>
      </w:pPr>
      <w:r w:rsidRPr="00512D84">
        <w:t>The High Court held that Mr and Mrs Louw were, as a result of their sequestration, disqualifie</w:t>
      </w:r>
      <w:r w:rsidR="00403710">
        <w:t>d from acting as trustees in</w:t>
      </w:r>
      <w:r w:rsidRPr="00512D84">
        <w:t xml:space="preserve"> the sequestration application of the Trust.  Due to the disqualification of the </w:t>
      </w:r>
      <w:proofErr w:type="spellStart"/>
      <w:r w:rsidRPr="00512D84">
        <w:t>Louws</w:t>
      </w:r>
      <w:proofErr w:type="spellEnd"/>
      <w:r w:rsidRPr="00512D84">
        <w:t xml:space="preserve">, </w:t>
      </w:r>
      <w:r w:rsidR="00E413AE">
        <w:t xml:space="preserve">the remaining trustee had limited powers in terms of the Trust Deed and could not act on behalf of the Trust. Therefore, </w:t>
      </w:r>
      <w:r w:rsidRPr="00512D84">
        <w:t>the application remained unopposed</w:t>
      </w:r>
      <w:r>
        <w:t xml:space="preserve">.  </w:t>
      </w:r>
      <w:r w:rsidR="000A11CD">
        <w:t>O</w:t>
      </w:r>
      <w:r w:rsidR="000A11CD" w:rsidRPr="006F3826">
        <w:t>n 10 January 2019</w:t>
      </w:r>
      <w:r w:rsidR="000A11CD">
        <w:t>, a</w:t>
      </w:r>
      <w:r w:rsidR="0092726F" w:rsidRPr="006F3826">
        <w:t xml:space="preserve"> provisional order of sequestration was granted on an unopposed basis</w:t>
      </w:r>
      <w:r w:rsidR="00AE270C">
        <w:t>.  A rule nisi was issued</w:t>
      </w:r>
      <w:r w:rsidRPr="00512D84">
        <w:t xml:space="preserve"> calling on interested parties to show cause why the ord</w:t>
      </w:r>
      <w:r w:rsidR="000B7659">
        <w:t>er should not be made final on 21</w:t>
      </w:r>
      <w:r w:rsidRPr="00512D84">
        <w:t> February 2019.</w:t>
      </w:r>
      <w:r w:rsidR="004C090D" w:rsidRPr="004C090D">
        <w:t xml:space="preserve"> </w:t>
      </w:r>
      <w:r w:rsidR="00283DD5">
        <w:t xml:space="preserve"> </w:t>
      </w:r>
      <w:r w:rsidR="007D6548">
        <w:t xml:space="preserve">This rule nisi was further extended to 8 August 2019.  </w:t>
      </w:r>
      <w:r w:rsidR="004C090D" w:rsidRPr="00DD11EC">
        <w:t>Messrs</w:t>
      </w:r>
      <w:r w:rsidR="005316F2">
        <w:t> </w:t>
      </w:r>
      <w:r w:rsidR="004C090D" w:rsidRPr="00DD11EC">
        <w:t>Gert Erasmus Burger and Anton</w:t>
      </w:r>
      <w:r w:rsidR="004C090D">
        <w:t> </w:t>
      </w:r>
      <w:r w:rsidR="004C090D" w:rsidRPr="00DD11EC">
        <w:t>Keet were appointed as joint trustees of the Trust</w:t>
      </w:r>
      <w:r w:rsidR="000A11CD">
        <w:t xml:space="preserve">, </w:t>
      </w:r>
      <w:r w:rsidR="004C090D" w:rsidRPr="00DD11EC">
        <w:t>thus</w:t>
      </w:r>
      <w:r w:rsidR="000A11CD">
        <w:t>,</w:t>
      </w:r>
      <w:r w:rsidR="004C090D" w:rsidRPr="00DD11EC">
        <w:t xml:space="preserve"> joining Mr Cronje.  They are the applicants in the application before us.</w:t>
      </w:r>
    </w:p>
    <w:p w14:paraId="454B113E" w14:textId="77777777" w:rsidR="000A11CD" w:rsidRPr="008726F3" w:rsidRDefault="000A11CD" w:rsidP="00212C20">
      <w:pPr>
        <w:pStyle w:val="JUDGMENTCONTINUED"/>
      </w:pPr>
    </w:p>
    <w:p w14:paraId="6BE16059" w14:textId="77777777" w:rsidR="00123BB4" w:rsidRPr="00CA2246" w:rsidRDefault="000A11CD" w:rsidP="00212C20">
      <w:pPr>
        <w:pStyle w:val="JUDGMENTNUMBERED"/>
      </w:pPr>
      <w:r w:rsidRPr="00CA2246">
        <w:t>In opposing the</w:t>
      </w:r>
      <w:r w:rsidR="00290F3A" w:rsidRPr="00CA2246">
        <w:t xml:space="preserve"> granting of the final order of sequestration</w:t>
      </w:r>
      <w:r w:rsidRPr="00CA2246">
        <w:t xml:space="preserve">, the trustees of the Trust presented a transcript of a meeting held on 13 December 2018.  This revealed that Mr Louw did not make any admissions relating to any fraudulent activities, but rather that the Trust was not indebted to the </w:t>
      </w:r>
      <w:r w:rsidR="000A01E2">
        <w:t>Louw insolvent estate</w:t>
      </w:r>
      <w:r w:rsidRPr="00CA2246">
        <w:t xml:space="preserve"> and what was recorded in the accounting records was erroneous.  The Trust’s bank statements were attached to the answering affidavit filed in the High Court, which showed that no money had been transferred into the Trust’s bank account.  </w:t>
      </w:r>
      <w:r w:rsidR="00BA59EB" w:rsidRPr="00CA2246">
        <w:t>They contended that there were factual disputes regarding the solvency of the Trust and its involvement in Mr Louw’s fraudulent activities.</w:t>
      </w:r>
      <w:r w:rsidR="00C77992" w:rsidRPr="00300EF2">
        <w:rPr>
          <w:vertAlign w:val="superscript"/>
        </w:rPr>
        <w:footnoteReference w:id="3"/>
      </w:r>
      <w:r w:rsidR="00BA59EB" w:rsidRPr="00CA2246">
        <w:t xml:space="preserve">  In support of their opposition, a transcript of the evidence that was led at the section 152 enquiry was presented.</w:t>
      </w:r>
      <w:r w:rsidR="00137E8A" w:rsidRPr="00137E8A">
        <w:t xml:space="preserve">  In </w:t>
      </w:r>
      <w:r w:rsidR="00137E8A">
        <w:t>addition, t</w:t>
      </w:r>
      <w:r w:rsidR="00137E8A" w:rsidRPr="00137E8A">
        <w:t>he trustees of the Trust applied for the rescission of t</w:t>
      </w:r>
      <w:r w:rsidR="00137E8A">
        <w:t>he provisional order of sequestration of the HNP Trust, and of the order that granted an extension of their powers under section 18(3) of the Insolvency Act.  The application was later withdrawn to the extent that the parties agreed that the trustees of the Trust would desist from exercising their extended power</w:t>
      </w:r>
      <w:r w:rsidR="00B52FD8">
        <w:t>s.</w:t>
      </w:r>
    </w:p>
    <w:p w14:paraId="403A1498" w14:textId="77777777" w:rsidR="004C090D" w:rsidRPr="004C090D" w:rsidRDefault="004C090D" w:rsidP="004C090D">
      <w:pPr>
        <w:pStyle w:val="JUDGMENTCONTINUED"/>
      </w:pPr>
    </w:p>
    <w:p w14:paraId="0F34D22E" w14:textId="77777777" w:rsidR="00123BB4" w:rsidRDefault="00BD0D34" w:rsidP="003309C1">
      <w:pPr>
        <w:pStyle w:val="JUDGMENTNUMBERED"/>
      </w:pPr>
      <w:r w:rsidRPr="003E02D3">
        <w:t xml:space="preserve">Mr Cronje, in his capacity as the remaining </w:t>
      </w:r>
      <w:r w:rsidR="00482439">
        <w:t>t</w:t>
      </w:r>
      <w:r w:rsidRPr="003E02D3">
        <w:t>rustee of the Trust</w:t>
      </w:r>
      <w:r w:rsidR="00E413AE">
        <w:t xml:space="preserve"> and as the person who had intimate knowledge of the activities of the Trust</w:t>
      </w:r>
      <w:r w:rsidRPr="003E02D3">
        <w:t xml:space="preserve">, </w:t>
      </w:r>
      <w:r w:rsidR="00482439">
        <w:t xml:space="preserve">deposed to an affidavit on behalf of the Trust. </w:t>
      </w:r>
      <w:r w:rsidR="003309C1">
        <w:t xml:space="preserve"> </w:t>
      </w:r>
      <w:r w:rsidR="00482439">
        <w:t xml:space="preserve">He </w:t>
      </w:r>
      <w:r w:rsidR="00123BB4" w:rsidRPr="003E02D3">
        <w:t>submitted that the</w:t>
      </w:r>
      <w:r w:rsidRPr="003E02D3">
        <w:t xml:space="preserve"> Trust </w:t>
      </w:r>
      <w:r w:rsidR="00123BB4" w:rsidRPr="003E02D3">
        <w:t>w</w:t>
      </w:r>
      <w:r w:rsidRPr="003E02D3">
        <w:t>as</w:t>
      </w:r>
      <w:r w:rsidR="00123BB4" w:rsidRPr="003E02D3">
        <w:t xml:space="preserve"> able to pay the R150</w:t>
      </w:r>
      <w:r w:rsidR="003309C1">
        <w:t> </w:t>
      </w:r>
      <w:r w:rsidR="00123BB4" w:rsidRPr="003E02D3">
        <w:t xml:space="preserve">000 owed to the </w:t>
      </w:r>
      <w:r w:rsidR="000A01E2">
        <w:t>Louw insolvent estate</w:t>
      </w:r>
      <w:r w:rsidR="00290F3A">
        <w:t xml:space="preserve"> which </w:t>
      </w:r>
      <w:r w:rsidR="00E413AE">
        <w:t>had been</w:t>
      </w:r>
      <w:r w:rsidR="00123BB4" w:rsidRPr="003E02D3">
        <w:t xml:space="preserve"> transferred to the Trust from Mrs</w:t>
      </w:r>
      <w:r w:rsidR="00216863" w:rsidRPr="003E02D3">
        <w:t> </w:t>
      </w:r>
      <w:r w:rsidR="00123BB4" w:rsidRPr="003E02D3">
        <w:t xml:space="preserve">Louw’s bank </w:t>
      </w:r>
      <w:r w:rsidR="00340B80" w:rsidRPr="003E02D3">
        <w:t>account</w:t>
      </w:r>
      <w:r w:rsidR="00290F3A">
        <w:t>.  This</w:t>
      </w:r>
      <w:r w:rsidR="006F3826" w:rsidRPr="006F3826">
        <w:t xml:space="preserve"> was the only </w:t>
      </w:r>
      <w:r w:rsidR="00446229">
        <w:t>debt</w:t>
      </w:r>
      <w:r w:rsidR="004C090D">
        <w:t xml:space="preserve"> </w:t>
      </w:r>
      <w:r w:rsidR="003713C7">
        <w:t>that was admitted by Mr Cronje</w:t>
      </w:r>
      <w:r w:rsidR="00216863" w:rsidRPr="003E02D3">
        <w:t>.</w:t>
      </w:r>
      <w:r w:rsidR="00123BB4" w:rsidRPr="003E02D3">
        <w:t xml:space="preserve"> </w:t>
      </w:r>
      <w:r w:rsidR="00216863" w:rsidRPr="003E02D3">
        <w:t xml:space="preserve"> H</w:t>
      </w:r>
      <w:r w:rsidR="00123BB4" w:rsidRPr="003E02D3">
        <w:t xml:space="preserve">owever, due to the </w:t>
      </w:r>
      <w:r w:rsidR="006F3826">
        <w:t xml:space="preserve">provisional </w:t>
      </w:r>
      <w:r w:rsidR="00123BB4" w:rsidRPr="003E02D3">
        <w:t>sequestration order</w:t>
      </w:r>
      <w:r w:rsidR="00533E72" w:rsidRPr="003E02D3">
        <w:t>,</w:t>
      </w:r>
      <w:r w:rsidR="00123BB4" w:rsidRPr="003E02D3">
        <w:t xml:space="preserve"> payment could not be processed.  Mr Kellerman</w:t>
      </w:r>
      <w:r w:rsidR="006F3826">
        <w:t xml:space="preserve"> had</w:t>
      </w:r>
      <w:r w:rsidR="00123BB4" w:rsidRPr="003E02D3">
        <w:t xml:space="preserve"> also transferred an amount of R17 680 000 to </w:t>
      </w:r>
      <w:r w:rsidR="00216863" w:rsidRPr="003E02D3">
        <w:t xml:space="preserve">the </w:t>
      </w:r>
      <w:r w:rsidR="00123BB4" w:rsidRPr="003E02D3">
        <w:t>Trust in December</w:t>
      </w:r>
      <w:r w:rsidR="00282E53">
        <w:t> </w:t>
      </w:r>
      <w:r w:rsidR="00123BB4" w:rsidRPr="003E02D3">
        <w:t>2018, allegedly at the request of Mr</w:t>
      </w:r>
      <w:r w:rsidRPr="003E02D3">
        <w:t> </w:t>
      </w:r>
      <w:r w:rsidR="00123BB4" w:rsidRPr="003E02D3">
        <w:t xml:space="preserve">Louw to </w:t>
      </w:r>
      <w:r w:rsidR="005316F2">
        <w:t>“</w:t>
      </w:r>
      <w:r w:rsidR="00123BB4" w:rsidRPr="003E02D3">
        <w:t>put things right with his creditors</w:t>
      </w:r>
      <w:r w:rsidR="005316F2">
        <w:t>”</w:t>
      </w:r>
      <w:r w:rsidR="00123BB4" w:rsidRPr="003E02D3">
        <w:t xml:space="preserve">.  </w:t>
      </w:r>
      <w:r w:rsidR="00216863" w:rsidRPr="003E02D3">
        <w:t>The</w:t>
      </w:r>
      <w:r w:rsidR="00123BB4" w:rsidRPr="003E02D3">
        <w:t xml:space="preserve"> Trust agreed to assume liability for this amount, and Mr Kellerman obtained</w:t>
      </w:r>
      <w:r w:rsidR="00282E53">
        <w:t>,</w:t>
      </w:r>
      <w:r w:rsidR="00123BB4" w:rsidRPr="003E02D3">
        <w:t xml:space="preserve"> as security</w:t>
      </w:r>
      <w:r w:rsidR="00446229">
        <w:t>,</w:t>
      </w:r>
      <w:r w:rsidR="00123BB4" w:rsidRPr="003E02D3">
        <w:t xml:space="preserve"> the 50</w:t>
      </w:r>
      <w:r w:rsidR="002752E8">
        <w:t>%</w:t>
      </w:r>
      <w:r w:rsidR="00123BB4" w:rsidRPr="003E02D3">
        <w:t xml:space="preserve"> share in Quintado that the Trust held.  After </w:t>
      </w:r>
      <w:r w:rsidR="003309C1">
        <w:t>the</w:t>
      </w:r>
      <w:r w:rsidR="003309C1" w:rsidRPr="003E02D3">
        <w:t xml:space="preserve"> </w:t>
      </w:r>
      <w:r w:rsidR="00123BB4" w:rsidRPr="003E02D3">
        <w:t>Trust’s 50</w:t>
      </w:r>
      <w:r w:rsidR="002752E8">
        <w:t>%</w:t>
      </w:r>
      <w:r w:rsidR="00123BB4" w:rsidRPr="003E02D3">
        <w:t xml:space="preserve"> share in Quintado was transferred to Mr Kellerman, </w:t>
      </w:r>
      <w:r w:rsidR="00446229">
        <w:t>he</w:t>
      </w:r>
      <w:r w:rsidR="00123BB4" w:rsidRPr="003E02D3">
        <w:t xml:space="preserve"> owned 100</w:t>
      </w:r>
      <w:r w:rsidR="002752E8">
        <w:t>%</w:t>
      </w:r>
      <w:r w:rsidR="00123BB4" w:rsidRPr="003E02D3">
        <w:t xml:space="preserve"> of Quintado’s shares.  According to the </w:t>
      </w:r>
      <w:r w:rsidR="00996087">
        <w:t>respondents</w:t>
      </w:r>
      <w:r w:rsidR="009B29E8">
        <w:t>,</w:t>
      </w:r>
      <w:r w:rsidR="00123BB4" w:rsidRPr="003E02D3">
        <w:t xml:space="preserve"> this was a fraudulent transaction.</w:t>
      </w:r>
    </w:p>
    <w:p w14:paraId="786FE2B5" w14:textId="77777777" w:rsidR="00BA59EB" w:rsidRDefault="00BA59EB" w:rsidP="00BA59EB">
      <w:pPr>
        <w:pStyle w:val="JUDGMENTCONTINUED"/>
      </w:pPr>
    </w:p>
    <w:p w14:paraId="77593C33" w14:textId="77777777" w:rsidR="00BA59EB" w:rsidRPr="008726F3" w:rsidRDefault="00BA59EB" w:rsidP="00BA59EB">
      <w:pPr>
        <w:pStyle w:val="JUDGMENTNUMBERED"/>
      </w:pPr>
      <w:r w:rsidRPr="00212C20">
        <w:t xml:space="preserve">The trustees of the </w:t>
      </w:r>
      <w:r w:rsidR="000A01E2">
        <w:t>Louw insolvent estate</w:t>
      </w:r>
      <w:r w:rsidRPr="00212C20">
        <w:t xml:space="preserve"> subsequently filed a supplementary affidavit in which they stated that the misappropriation of funds to Pholaco through the Trust had been admitted at a meeting on 30 October 2018, and not the meeting of 13</w:t>
      </w:r>
      <w:r w:rsidR="00380968">
        <w:t> </w:t>
      </w:r>
      <w:r w:rsidRPr="00212C20">
        <w:t>December 2018.</w:t>
      </w:r>
    </w:p>
    <w:p w14:paraId="356779DF" w14:textId="77777777" w:rsidR="00123BB4" w:rsidRPr="003E02D3" w:rsidRDefault="00123BB4" w:rsidP="009B120E">
      <w:pPr>
        <w:pStyle w:val="JUDGMENTNUMBERED"/>
        <w:numPr>
          <w:ilvl w:val="0"/>
          <w:numId w:val="0"/>
        </w:numPr>
      </w:pPr>
    </w:p>
    <w:p w14:paraId="5DBB37E7" w14:textId="77777777" w:rsidR="00123BB4" w:rsidRPr="003E02D3" w:rsidRDefault="00123BB4" w:rsidP="00301816">
      <w:pPr>
        <w:pStyle w:val="JUDGMENTNUMBERED"/>
      </w:pPr>
      <w:r w:rsidRPr="003E02D3">
        <w:t>On the</w:t>
      </w:r>
      <w:r w:rsidR="00996087">
        <w:t xml:space="preserve"> extended</w:t>
      </w:r>
      <w:r w:rsidRPr="003E02D3">
        <w:t xml:space="preserve"> return da</w:t>
      </w:r>
      <w:r w:rsidR="00AB567F">
        <w:t>y</w:t>
      </w:r>
      <w:r w:rsidR="00403710">
        <w:t xml:space="preserve"> of the rule nisi</w:t>
      </w:r>
      <w:r w:rsidRPr="003E02D3">
        <w:t>, the High Court considered the requirements for the granting of a final order of sequestration in terms of section</w:t>
      </w:r>
      <w:r w:rsidR="00533E72" w:rsidRPr="003E02D3">
        <w:t>s</w:t>
      </w:r>
      <w:r w:rsidR="00AE442F">
        <w:t> </w:t>
      </w:r>
      <w:r w:rsidRPr="003E02D3">
        <w:t>9(1)</w:t>
      </w:r>
      <w:r w:rsidR="00AE442F">
        <w:t> </w:t>
      </w:r>
      <w:r w:rsidRPr="003E02D3">
        <w:t>and 12 of the Insolvency Act</w:t>
      </w:r>
      <w:r w:rsidR="00533E72" w:rsidRPr="003E02D3">
        <w:rPr>
          <w:rStyle w:val="FootnoteReference"/>
        </w:rPr>
        <w:footnoteReference w:id="4"/>
      </w:r>
      <w:r w:rsidRPr="003E02D3">
        <w:t xml:space="preserve"> as well as an application for intervention by Mr</w:t>
      </w:r>
      <w:r w:rsidR="005316F2">
        <w:t> </w:t>
      </w:r>
      <w:r w:rsidRPr="003E02D3">
        <w:t>Kellerman.</w:t>
      </w:r>
      <w:r w:rsidR="00301816">
        <w:t xml:space="preserve"> </w:t>
      </w:r>
      <w:r w:rsidR="003309C1">
        <w:t xml:space="preserve"> </w:t>
      </w:r>
      <w:r w:rsidR="00301816">
        <w:t>Insofar as</w:t>
      </w:r>
      <w:r w:rsidRPr="003E02D3">
        <w:t xml:space="preserve"> the intervention application</w:t>
      </w:r>
      <w:r w:rsidR="00301816">
        <w:t xml:space="preserve"> was concerned</w:t>
      </w:r>
      <w:r w:rsidRPr="003E02D3">
        <w:t xml:space="preserve">, the </w:t>
      </w:r>
      <w:r w:rsidR="003309C1">
        <w:t xml:space="preserve">High </w:t>
      </w:r>
      <w:r w:rsidRPr="003E02D3">
        <w:t xml:space="preserve">Court held that Mr Kellerman had a direct and substantial interest in the outcome of the proceedings and granted </w:t>
      </w:r>
      <w:r w:rsidR="00FA0F1E" w:rsidRPr="003E02D3">
        <w:t xml:space="preserve">him </w:t>
      </w:r>
      <w:r w:rsidRPr="003E02D3">
        <w:t>leave to intervene.</w:t>
      </w:r>
    </w:p>
    <w:p w14:paraId="725C753A" w14:textId="77777777" w:rsidR="00123BB4" w:rsidRPr="003E02D3" w:rsidRDefault="00123BB4" w:rsidP="00216863">
      <w:pPr>
        <w:pStyle w:val="JUDGMENTCONTINUED"/>
      </w:pPr>
    </w:p>
    <w:p w14:paraId="600A29E1" w14:textId="2CC91535" w:rsidR="00123BB4" w:rsidRPr="003E02D3" w:rsidRDefault="00282E53" w:rsidP="00123BB4">
      <w:pPr>
        <w:pStyle w:val="JUDGMENTNUMBERED"/>
      </w:pPr>
      <w:r>
        <w:t xml:space="preserve">Regarding the sequestration application, </w:t>
      </w:r>
      <w:r w:rsidR="000D6A37">
        <w:t xml:space="preserve">the High Court </w:t>
      </w:r>
      <w:r w:rsidR="006B4909" w:rsidRPr="003E02D3">
        <w:t xml:space="preserve">held </w:t>
      </w:r>
      <w:r w:rsidR="00482439">
        <w:t xml:space="preserve">that </w:t>
      </w:r>
      <w:r w:rsidR="006B4909" w:rsidRPr="003E02D3">
        <w:t>the evidence was</w:t>
      </w:r>
      <w:r w:rsidR="00123BB4" w:rsidRPr="003E02D3">
        <w:t xml:space="preserve"> consistent with the version presented by Mr Louw.  That is, the Trust was used as a vehicle to disguise the flow of misappropriated funds from his clients to himself or entities he control</w:t>
      </w:r>
      <w:r w:rsidR="006B4909" w:rsidRPr="003E02D3">
        <w:t>led</w:t>
      </w:r>
      <w:r w:rsidR="00301816">
        <w:t xml:space="preserve">.  The </w:t>
      </w:r>
      <w:r w:rsidR="00A73CE6">
        <w:t xml:space="preserve">High </w:t>
      </w:r>
      <w:r w:rsidR="00301816">
        <w:t>Court</w:t>
      </w:r>
      <w:r w:rsidR="00123BB4" w:rsidRPr="003E02D3">
        <w:t xml:space="preserve"> acknowledged that this could be seen from the </w:t>
      </w:r>
      <w:r w:rsidR="00123BB4" w:rsidRPr="003E02D3">
        <w:lastRenderedPageBreak/>
        <w:t xml:space="preserve">lack of records relating to the indebtedness of the Trust to the insolvent estate.  </w:t>
      </w:r>
      <w:r w:rsidR="006B4909" w:rsidRPr="003E02D3">
        <w:t xml:space="preserve">The </w:t>
      </w:r>
      <w:r w:rsidR="00A73CE6">
        <w:t xml:space="preserve">High </w:t>
      </w:r>
      <w:r w:rsidR="00303BB3" w:rsidRPr="003E02D3">
        <w:t>Court noted</w:t>
      </w:r>
      <w:r w:rsidR="00123BB4" w:rsidRPr="003E02D3">
        <w:t xml:space="preserve"> that the transfer of funds </w:t>
      </w:r>
      <w:r w:rsidR="00DE2824">
        <w:t xml:space="preserve">was made </w:t>
      </w:r>
      <w:r w:rsidR="00123BB4" w:rsidRPr="003E02D3">
        <w:t xml:space="preserve">from Mr Louw’s bank account to </w:t>
      </w:r>
      <w:r w:rsidR="00DD11EC" w:rsidRPr="003E02D3">
        <w:t>Pholaco,</w:t>
      </w:r>
      <w:r w:rsidR="00123BB4" w:rsidRPr="003E02D3">
        <w:t xml:space="preserve"> and the amount would be recorded as a loan from </w:t>
      </w:r>
      <w:r w:rsidR="00996087">
        <w:t>the Trust</w:t>
      </w:r>
      <w:r w:rsidR="00123BB4" w:rsidRPr="003E02D3">
        <w:t xml:space="preserve"> to </w:t>
      </w:r>
      <w:r w:rsidR="00996087">
        <w:t>Pholaco</w:t>
      </w:r>
      <w:r w:rsidR="00123BB4" w:rsidRPr="003E02D3">
        <w:t>.</w:t>
      </w:r>
      <w:r w:rsidR="000D6A37" w:rsidRPr="000D6A37">
        <w:t xml:space="preserve"> </w:t>
      </w:r>
      <w:r w:rsidR="000D6A37">
        <w:t xml:space="preserve"> T</w:t>
      </w:r>
      <w:r w:rsidR="000D6A37" w:rsidRPr="003E02D3">
        <w:t xml:space="preserve">he High Court </w:t>
      </w:r>
      <w:r w:rsidR="000D6A37">
        <w:t>was</w:t>
      </w:r>
      <w:r w:rsidR="003B5E5B">
        <w:t>, thus,</w:t>
      </w:r>
      <w:r w:rsidR="000D6A37">
        <w:t xml:space="preserve"> satisfied that it did not have </w:t>
      </w:r>
      <w:r w:rsidR="000D6A37" w:rsidRPr="003E02D3">
        <w:t>to consider th</w:t>
      </w:r>
      <w:r w:rsidR="000D6A37">
        <w:t>e evidence led at the section 152 enquiry because the applicants had on the facts set out in the affidavit discharged the onus on them to establish their standing</w:t>
      </w:r>
      <w:r w:rsidR="000D6A37" w:rsidRPr="003E02D3">
        <w:t>.</w:t>
      </w:r>
      <w:r w:rsidR="000D6A37" w:rsidRPr="003E02D3">
        <w:rPr>
          <w:rStyle w:val="FootnoteReference"/>
        </w:rPr>
        <w:footnoteReference w:id="5"/>
      </w:r>
    </w:p>
    <w:p w14:paraId="00F587AA" w14:textId="77777777" w:rsidR="00123BB4" w:rsidRPr="003E02D3" w:rsidRDefault="00123BB4" w:rsidP="00123BB4">
      <w:pPr>
        <w:pStyle w:val="JUDGMENTCONTINUED"/>
      </w:pPr>
    </w:p>
    <w:p w14:paraId="66623FF3" w14:textId="77777777" w:rsidR="00EB7491" w:rsidRPr="003E02D3" w:rsidRDefault="006B4909" w:rsidP="00123BB4">
      <w:pPr>
        <w:pStyle w:val="JUDGMENTNUMBERED"/>
      </w:pPr>
      <w:r w:rsidRPr="008726F3">
        <w:t>T</w:t>
      </w:r>
      <w:r w:rsidR="00123BB4" w:rsidRPr="008726F3">
        <w:t xml:space="preserve">he </w:t>
      </w:r>
      <w:r w:rsidRPr="00845AD3">
        <w:t xml:space="preserve">High </w:t>
      </w:r>
      <w:r w:rsidR="00301816" w:rsidRPr="00212C20">
        <w:t xml:space="preserve">Court held that </w:t>
      </w:r>
      <w:r w:rsidR="00123BB4" w:rsidRPr="00212C20">
        <w:t>it</w:t>
      </w:r>
      <w:r w:rsidR="00123BB4" w:rsidRPr="003E02D3">
        <w:t xml:space="preserve"> </w:t>
      </w:r>
      <w:r w:rsidRPr="003E02D3">
        <w:t>wa</w:t>
      </w:r>
      <w:r w:rsidR="00123BB4" w:rsidRPr="003E02D3">
        <w:t xml:space="preserve">s manifestly clear that the Trust was insolvent, and </w:t>
      </w:r>
      <w:r w:rsidR="003B5E5B">
        <w:t xml:space="preserve">that </w:t>
      </w:r>
      <w:r w:rsidR="00123BB4" w:rsidRPr="003E02D3">
        <w:t>it would be to the advantage of the creditors for it to be finally sequestrated.  In the result</w:t>
      </w:r>
      <w:r w:rsidR="00301816">
        <w:t xml:space="preserve">, </w:t>
      </w:r>
      <w:r w:rsidR="001B2075">
        <w:t>the estate of the HNP Trust was placed under</w:t>
      </w:r>
      <w:r w:rsidR="00123BB4" w:rsidRPr="003E02D3">
        <w:t xml:space="preserve"> </w:t>
      </w:r>
      <w:r w:rsidR="001B2075">
        <w:t>final sequestration</w:t>
      </w:r>
      <w:r w:rsidR="00123BB4" w:rsidRPr="003E02D3">
        <w:t>.</w:t>
      </w:r>
      <w:r w:rsidR="001305FC" w:rsidRPr="003E02D3">
        <w:rPr>
          <w:rStyle w:val="FootnoteReference"/>
        </w:rPr>
        <w:footnoteReference w:id="6"/>
      </w:r>
    </w:p>
    <w:p w14:paraId="623C3A26" w14:textId="77777777" w:rsidR="00EB7491" w:rsidRPr="003E02D3" w:rsidRDefault="00EB7491" w:rsidP="00EB7491">
      <w:pPr>
        <w:pStyle w:val="JUDGMENTNUMBERED"/>
        <w:numPr>
          <w:ilvl w:val="0"/>
          <w:numId w:val="0"/>
        </w:numPr>
      </w:pPr>
    </w:p>
    <w:p w14:paraId="3B8FA630" w14:textId="77777777" w:rsidR="00123BB4" w:rsidRPr="003E02D3" w:rsidRDefault="006B4909" w:rsidP="00123BB4">
      <w:pPr>
        <w:pStyle w:val="JUDGMENTNUMBERED"/>
      </w:pPr>
      <w:r w:rsidRPr="003E02D3">
        <w:t>Aggri</w:t>
      </w:r>
      <w:r w:rsidR="008F6EB2" w:rsidRPr="003E02D3">
        <w:t>e</w:t>
      </w:r>
      <w:r w:rsidRPr="003E02D3">
        <w:t>ved by the outcome</w:t>
      </w:r>
      <w:r w:rsidR="00EB7491" w:rsidRPr="003E02D3">
        <w:t>, the Trust sought leave to appeal against th</w:t>
      </w:r>
      <w:r w:rsidRPr="003E02D3">
        <w:t>e order</w:t>
      </w:r>
      <w:r w:rsidR="003B5E5B">
        <w:t>;</w:t>
      </w:r>
      <w:r w:rsidR="00EB7491" w:rsidRPr="003E02D3">
        <w:t xml:space="preserve"> however, th</w:t>
      </w:r>
      <w:r w:rsidR="008F6EB2" w:rsidRPr="003E02D3">
        <w:t>at</w:t>
      </w:r>
      <w:r w:rsidR="00123BB4" w:rsidRPr="003E02D3">
        <w:t xml:space="preserve"> application was dismissed.</w:t>
      </w:r>
    </w:p>
    <w:p w14:paraId="10E745E0" w14:textId="77777777" w:rsidR="00465E15" w:rsidRPr="003E02D3" w:rsidRDefault="00465E15" w:rsidP="00465E15">
      <w:pPr>
        <w:pStyle w:val="JUDGMENTCONTINUED"/>
      </w:pPr>
    </w:p>
    <w:p w14:paraId="13704BF7" w14:textId="77777777" w:rsidR="00465E15" w:rsidRPr="003E02D3" w:rsidRDefault="00465E15" w:rsidP="00465E15">
      <w:pPr>
        <w:pStyle w:val="HEADING"/>
        <w:ind w:left="720"/>
      </w:pPr>
      <w:r w:rsidRPr="003E02D3">
        <w:t>Supreme Court of Appeal</w:t>
      </w:r>
    </w:p>
    <w:p w14:paraId="561EEEF0" w14:textId="77777777" w:rsidR="00465E15" w:rsidRPr="003E02D3" w:rsidRDefault="00465E15" w:rsidP="00465E15">
      <w:pPr>
        <w:pStyle w:val="JUDGMENTNUMBERED"/>
      </w:pPr>
      <w:r w:rsidRPr="003E02D3">
        <w:t xml:space="preserve">The trustees of </w:t>
      </w:r>
      <w:r w:rsidR="00F72D92">
        <w:t xml:space="preserve">the </w:t>
      </w:r>
      <w:r w:rsidRPr="003E02D3">
        <w:t xml:space="preserve">HNP </w:t>
      </w:r>
      <w:r w:rsidR="006B4909" w:rsidRPr="003E02D3">
        <w:t xml:space="preserve">Trust </w:t>
      </w:r>
      <w:r w:rsidRPr="003E02D3">
        <w:t xml:space="preserve">sought leave to appeal from the Supreme Court of Appeal.  </w:t>
      </w:r>
      <w:r w:rsidR="006B4909" w:rsidRPr="003E02D3">
        <w:t xml:space="preserve">Leave was </w:t>
      </w:r>
      <w:r w:rsidRPr="003E02D3">
        <w:t xml:space="preserve">refused on the ground that there were no reasonable prospects of success on appeal.  The trustees, thereafter, </w:t>
      </w:r>
      <w:r w:rsidR="006B4909" w:rsidRPr="003E02D3">
        <w:t>applied for the</w:t>
      </w:r>
      <w:r w:rsidRPr="003E02D3">
        <w:t xml:space="preserve"> reconsideration of th</w:t>
      </w:r>
      <w:r w:rsidR="0050378A">
        <w:t>at</w:t>
      </w:r>
      <w:r w:rsidRPr="003E02D3">
        <w:t xml:space="preserve"> order.  That application was also dismissed.</w:t>
      </w:r>
    </w:p>
    <w:p w14:paraId="7BC14D78" w14:textId="77777777" w:rsidR="00123BB4" w:rsidRPr="003E02D3" w:rsidRDefault="00123BB4" w:rsidP="00465E15">
      <w:pPr>
        <w:pStyle w:val="JUDGMENTNUMBERED"/>
        <w:numPr>
          <w:ilvl w:val="0"/>
          <w:numId w:val="0"/>
        </w:numPr>
      </w:pPr>
    </w:p>
    <w:p w14:paraId="41C5DE18" w14:textId="77777777" w:rsidR="00860C4E" w:rsidRPr="003E02D3" w:rsidRDefault="001E2FD9">
      <w:pPr>
        <w:pStyle w:val="JUDGMENTNUMBERED"/>
      </w:pPr>
      <w:r w:rsidRPr="003E02D3">
        <w:t xml:space="preserve">The trustees of the HNP Trust </w:t>
      </w:r>
      <w:r w:rsidR="008F6EB2" w:rsidRPr="003E02D3">
        <w:t xml:space="preserve">have now </w:t>
      </w:r>
      <w:r w:rsidR="006B4909" w:rsidRPr="003E02D3">
        <w:t>approached this Court</w:t>
      </w:r>
      <w:r w:rsidRPr="003E02D3">
        <w:t xml:space="preserve"> for leave to appeal against the </w:t>
      </w:r>
      <w:r w:rsidR="006B4909" w:rsidRPr="003E02D3">
        <w:t>order</w:t>
      </w:r>
      <w:r w:rsidRPr="003E02D3">
        <w:t xml:space="preserve"> of the Supreme Court of Appeal and the judgment and order of the High Court.</w:t>
      </w:r>
    </w:p>
    <w:p w14:paraId="5EE60EF7" w14:textId="77777777" w:rsidR="001E2FD9" w:rsidRPr="003E02D3" w:rsidRDefault="001E2FD9" w:rsidP="001E2FD9">
      <w:pPr>
        <w:pStyle w:val="JUDGMENTNUMBERED"/>
        <w:numPr>
          <w:ilvl w:val="0"/>
          <w:numId w:val="0"/>
        </w:numPr>
      </w:pPr>
    </w:p>
    <w:p w14:paraId="3AD9082D" w14:textId="77777777" w:rsidR="001E2FD9" w:rsidRPr="003E02D3" w:rsidRDefault="001E2FD9" w:rsidP="001E2FD9">
      <w:pPr>
        <w:pStyle w:val="HEADING"/>
      </w:pPr>
      <w:r w:rsidRPr="003E02D3">
        <w:t>Before this Court</w:t>
      </w:r>
    </w:p>
    <w:p w14:paraId="331B7626" w14:textId="77777777" w:rsidR="001E2FD9" w:rsidRPr="003E02D3" w:rsidRDefault="00482439" w:rsidP="00633D66">
      <w:pPr>
        <w:pStyle w:val="HEADING"/>
        <w:ind w:firstLine="720"/>
      </w:pPr>
      <w:r>
        <w:t>Submissions by the applicants</w:t>
      </w:r>
    </w:p>
    <w:p w14:paraId="3F905470" w14:textId="77777777" w:rsidR="0018407F" w:rsidRPr="0018407F" w:rsidRDefault="001E2FD9" w:rsidP="001E2FD9">
      <w:pPr>
        <w:numPr>
          <w:ilvl w:val="0"/>
          <w:numId w:val="1"/>
        </w:numPr>
        <w:spacing w:line="360" w:lineRule="auto"/>
        <w:rPr>
          <w:i/>
        </w:rPr>
      </w:pPr>
      <w:r w:rsidRPr="003E02D3">
        <w:t xml:space="preserve">The </w:t>
      </w:r>
      <w:r w:rsidR="0018407F" w:rsidRPr="003E02D3">
        <w:t xml:space="preserve">applicants did not contend that any constitutional issue was raised.  </w:t>
      </w:r>
      <w:r w:rsidR="00777305">
        <w:t xml:space="preserve">To establish jurisdiction, </w:t>
      </w:r>
      <w:r w:rsidR="0018407F">
        <w:t>they</w:t>
      </w:r>
      <w:r w:rsidR="0018407F" w:rsidRPr="003E02D3">
        <w:t xml:space="preserve"> submitted that there were arguable points of law of general </w:t>
      </w:r>
      <w:r w:rsidR="0018407F" w:rsidRPr="003E02D3">
        <w:lastRenderedPageBreak/>
        <w:t xml:space="preserve">public importance that ought to be considered by this Court and these were: (a) on the evidence, the respondents did not demonstrate that the </w:t>
      </w:r>
      <w:r w:rsidR="000A01E2">
        <w:t>Louw insolvent estate</w:t>
      </w:r>
      <w:r w:rsidR="0018407F" w:rsidRPr="003E02D3">
        <w:t xml:space="preserve"> had a claim against the Trust and sequestration proceedings are not intended to be abused simply because of allegations of fraud; (b) the modus operandi of the actions of trusts</w:t>
      </w:r>
      <w:r w:rsidR="00B41F1A">
        <w:t>,</w:t>
      </w:r>
      <w:r w:rsidR="0018407F" w:rsidRPr="003E02D3">
        <w:t xml:space="preserve"> and in particular the question relating to authority to bind a trust</w:t>
      </w:r>
      <w:r w:rsidR="00B41F1A">
        <w:t>,</w:t>
      </w:r>
      <w:r w:rsidR="0018407F" w:rsidRPr="003E02D3">
        <w:t xml:space="preserve"> must be clarified</w:t>
      </w:r>
      <w:r w:rsidR="00B41F1A">
        <w:t>;</w:t>
      </w:r>
      <w:r w:rsidR="0018407F" w:rsidRPr="003E02D3">
        <w:t xml:space="preserve"> and</w:t>
      </w:r>
      <w:r w:rsidR="00B41F1A">
        <w:t> </w:t>
      </w:r>
      <w:r w:rsidR="0018407F" w:rsidRPr="003E02D3">
        <w:t>(c) the provisional sequestration order was granted on admittedly incorrect facts.</w:t>
      </w:r>
    </w:p>
    <w:p w14:paraId="1F043537" w14:textId="77777777" w:rsidR="0018407F" w:rsidRPr="009B120E" w:rsidRDefault="0018407F" w:rsidP="0018407F">
      <w:pPr>
        <w:spacing w:line="360" w:lineRule="auto"/>
        <w:rPr>
          <w:iCs/>
        </w:rPr>
      </w:pPr>
    </w:p>
    <w:p w14:paraId="7F7A415D" w14:textId="77777777" w:rsidR="001E2FD9" w:rsidRPr="003E02D3" w:rsidRDefault="0018407F" w:rsidP="00CA5DB8">
      <w:pPr>
        <w:numPr>
          <w:ilvl w:val="0"/>
          <w:numId w:val="1"/>
        </w:numPr>
        <w:spacing w:line="360" w:lineRule="auto"/>
        <w:rPr>
          <w:i/>
        </w:rPr>
      </w:pPr>
      <w:r>
        <w:t>On the merits, the applicants</w:t>
      </w:r>
      <w:r w:rsidR="00301816">
        <w:t xml:space="preserve"> </w:t>
      </w:r>
      <w:r w:rsidR="00613F46">
        <w:t>submit that t</w:t>
      </w:r>
      <w:r w:rsidR="001E2FD9" w:rsidRPr="003E02D3">
        <w:t xml:space="preserve">he cause of action relied </w:t>
      </w:r>
      <w:r w:rsidR="009625D8">
        <w:t>up</w:t>
      </w:r>
      <w:r w:rsidR="001E2FD9" w:rsidRPr="003E02D3">
        <w:t xml:space="preserve">on by the </w:t>
      </w:r>
      <w:r w:rsidR="00303BB3">
        <w:t xml:space="preserve">respondents </w:t>
      </w:r>
      <w:r w:rsidR="00303BB3" w:rsidRPr="003E02D3">
        <w:t>for</w:t>
      </w:r>
      <w:r w:rsidR="001E2FD9" w:rsidRPr="003E02D3">
        <w:t xml:space="preserve"> the </w:t>
      </w:r>
      <w:r w:rsidR="00996087">
        <w:t xml:space="preserve">provisional </w:t>
      </w:r>
      <w:r w:rsidR="001E2FD9" w:rsidRPr="003E02D3">
        <w:t>sequestration order was</w:t>
      </w:r>
      <w:r w:rsidR="00613F46">
        <w:t xml:space="preserve"> </w:t>
      </w:r>
      <w:r w:rsidR="00CA5DB8">
        <w:t xml:space="preserve">based on </w:t>
      </w:r>
      <w:r w:rsidR="001E2FD9" w:rsidRPr="003E02D3">
        <w:t xml:space="preserve">the </w:t>
      </w:r>
      <w:r w:rsidR="00996087">
        <w:t xml:space="preserve">allegedly </w:t>
      </w:r>
      <w:r w:rsidR="001E2FD9" w:rsidRPr="003E02D3">
        <w:t xml:space="preserve">false statements </w:t>
      </w:r>
      <w:r w:rsidR="009625D8">
        <w:t xml:space="preserve">made </w:t>
      </w:r>
      <w:r w:rsidR="00996087">
        <w:t xml:space="preserve">by the respondents about what Mr Louw </w:t>
      </w:r>
      <w:r w:rsidR="009625D8">
        <w:t xml:space="preserve">had </w:t>
      </w:r>
      <w:r w:rsidR="00996087">
        <w:t>said</w:t>
      </w:r>
      <w:r w:rsidR="001E2FD9" w:rsidRPr="003E02D3">
        <w:t xml:space="preserve"> during the meeting of 13</w:t>
      </w:r>
      <w:r w:rsidR="00A73CE6">
        <w:t> </w:t>
      </w:r>
      <w:r w:rsidR="001E2FD9" w:rsidRPr="003E02D3">
        <w:t xml:space="preserve">December 2018.  As </w:t>
      </w:r>
      <w:r w:rsidR="00216F25">
        <w:t xml:space="preserve">there was </w:t>
      </w:r>
      <w:r w:rsidR="001E2FD9" w:rsidRPr="003E02D3">
        <w:t xml:space="preserve">no other cause of action for the </w:t>
      </w:r>
      <w:r w:rsidR="00303BB3">
        <w:t xml:space="preserve">respondents </w:t>
      </w:r>
      <w:r w:rsidR="00303BB3" w:rsidRPr="003E02D3">
        <w:t>to</w:t>
      </w:r>
      <w:r w:rsidR="001E2FD9" w:rsidRPr="003E02D3">
        <w:t xml:space="preserve"> have established </w:t>
      </w:r>
      <w:r w:rsidR="003B0E5A" w:rsidRPr="00C030A4">
        <w:t>standing</w:t>
      </w:r>
      <w:r w:rsidR="001E2FD9" w:rsidRPr="00C030A4">
        <w:t>,</w:t>
      </w:r>
      <w:r w:rsidR="001E2FD9" w:rsidRPr="003E02D3">
        <w:t xml:space="preserve"> the sequestration order should not have been granted.  Furthermore, the </w:t>
      </w:r>
      <w:r w:rsidR="00216F25">
        <w:t>applicants submit</w:t>
      </w:r>
      <w:r w:rsidR="001E2FD9" w:rsidRPr="003E02D3">
        <w:t xml:space="preserve"> that Mr Louw did not have the necessary authority to transact on behalf of the Trust</w:t>
      </w:r>
      <w:r w:rsidR="00996087">
        <w:t>,</w:t>
      </w:r>
      <w:r w:rsidR="001E2FD9" w:rsidRPr="003E02D3">
        <w:t xml:space="preserve"> as it is trite that delegated authority in a trust is merely administrative where the decision still has to be taken jointly by the trustees.  Therefore, </w:t>
      </w:r>
      <w:r w:rsidR="00303BB3" w:rsidRPr="003E02D3">
        <w:t>if a</w:t>
      </w:r>
      <w:r w:rsidR="001E2FD9" w:rsidRPr="003E02D3">
        <w:t xml:space="preserve"> loan </w:t>
      </w:r>
      <w:r w:rsidR="00216F25">
        <w:t xml:space="preserve">had been </w:t>
      </w:r>
      <w:r w:rsidR="001E2FD9" w:rsidRPr="003E02D3">
        <w:t xml:space="preserve">advanced to </w:t>
      </w:r>
      <w:r w:rsidR="00A73CE6">
        <w:t>the</w:t>
      </w:r>
      <w:r w:rsidR="00A73CE6" w:rsidRPr="003E02D3">
        <w:t> </w:t>
      </w:r>
      <w:r w:rsidR="001E2FD9" w:rsidRPr="003E02D3">
        <w:t>Trust from Mr Louw for the benefit of Pholaco, Mr Louw did not have the necessary authority to conclude the loan agreement.</w:t>
      </w:r>
    </w:p>
    <w:p w14:paraId="102A8A71" w14:textId="77777777" w:rsidR="001E2FD9" w:rsidRPr="003E02D3" w:rsidRDefault="001E2FD9" w:rsidP="001E2FD9">
      <w:pPr>
        <w:spacing w:line="360" w:lineRule="auto"/>
      </w:pPr>
    </w:p>
    <w:p w14:paraId="4B0DDC0E" w14:textId="5EEC2C78" w:rsidR="001E2FD9" w:rsidRPr="003E02D3" w:rsidRDefault="001E2FD9" w:rsidP="001E2FD9">
      <w:pPr>
        <w:numPr>
          <w:ilvl w:val="0"/>
          <w:numId w:val="1"/>
        </w:numPr>
        <w:spacing w:line="360" w:lineRule="auto"/>
        <w:rPr>
          <w:i/>
        </w:rPr>
      </w:pPr>
      <w:r w:rsidRPr="003E02D3">
        <w:t>As no money passed through the bank account of the Trust (as evidenced by the bank statements), if</w:t>
      </w:r>
      <w:r w:rsidR="00216F25">
        <w:t xml:space="preserve"> </w:t>
      </w:r>
      <w:r w:rsidRPr="003E02D3">
        <w:t xml:space="preserve">the </w:t>
      </w:r>
      <w:r w:rsidR="00CA5DB8">
        <w:t xml:space="preserve">money </w:t>
      </w:r>
      <w:r w:rsidRPr="003E02D3">
        <w:t xml:space="preserve">was loaned to Pholaco, it must have come directly from Mr Louw and </w:t>
      </w:r>
      <w:r w:rsidR="00216F25">
        <w:t xml:space="preserve">the </w:t>
      </w:r>
      <w:r w:rsidRPr="003E02D3">
        <w:t xml:space="preserve">Trust was not used as a vehicle.  Furthermore, the Trust </w:t>
      </w:r>
      <w:r w:rsidR="003E12C9">
        <w:t xml:space="preserve">did not </w:t>
      </w:r>
      <w:r w:rsidRPr="003E02D3">
        <w:t xml:space="preserve"> pass</w:t>
      </w:r>
      <w:r w:rsidR="003E12C9">
        <w:t xml:space="preserve"> </w:t>
      </w:r>
      <w:r w:rsidRPr="003E02D3">
        <w:t xml:space="preserve"> a resolution for the </w:t>
      </w:r>
      <w:r w:rsidR="00303BB3" w:rsidRPr="003E02D3">
        <w:t>movement of</w:t>
      </w:r>
      <w:r w:rsidRPr="003E02D3">
        <w:t xml:space="preserve"> funds.  </w:t>
      </w:r>
      <w:r w:rsidR="00216F25">
        <w:t xml:space="preserve">Lastly, the </w:t>
      </w:r>
      <w:r w:rsidR="00303BB3">
        <w:t xml:space="preserve">applicants </w:t>
      </w:r>
      <w:r w:rsidR="00303BB3" w:rsidRPr="003E02D3">
        <w:t>submit</w:t>
      </w:r>
      <w:r w:rsidRPr="003E02D3">
        <w:t xml:space="preserve"> that the creation of the loan account in favour of </w:t>
      </w:r>
      <w:r w:rsidR="00F72D92">
        <w:t>the</w:t>
      </w:r>
      <w:r w:rsidR="00F72D92" w:rsidRPr="003E02D3">
        <w:t xml:space="preserve"> </w:t>
      </w:r>
      <w:r w:rsidRPr="003E02D3">
        <w:t xml:space="preserve">Trust against Pholaco was a </w:t>
      </w:r>
      <w:r w:rsidR="00EB3296">
        <w:t>scheme</w:t>
      </w:r>
      <w:r w:rsidRPr="003E02D3">
        <w:t xml:space="preserve"> </w:t>
      </w:r>
      <w:r w:rsidR="009625D8">
        <w:t>creat</w:t>
      </w:r>
      <w:r w:rsidRPr="003E02D3">
        <w:t>ed by Mr Louw to hide the true origin of the money.</w:t>
      </w:r>
    </w:p>
    <w:p w14:paraId="6DBFD81B" w14:textId="77777777" w:rsidR="001E2FD9" w:rsidRPr="003E02D3" w:rsidRDefault="001E2FD9" w:rsidP="001E2FD9">
      <w:pPr>
        <w:pStyle w:val="JUDGMENTCONTINUED"/>
      </w:pPr>
    </w:p>
    <w:p w14:paraId="73D26789" w14:textId="77777777" w:rsidR="00A07688" w:rsidRPr="003E02D3" w:rsidRDefault="00A73CE6" w:rsidP="00A07688">
      <w:pPr>
        <w:pStyle w:val="HEADING"/>
        <w:ind w:firstLine="720"/>
      </w:pPr>
      <w:r>
        <w:t>Submissions by the respondents</w:t>
      </w:r>
    </w:p>
    <w:p w14:paraId="69DAE9FA" w14:textId="77777777" w:rsidR="00A07688" w:rsidRPr="003E02D3" w:rsidRDefault="0018407F" w:rsidP="00A07688">
      <w:pPr>
        <w:pStyle w:val="JUDGMENTNUMBERED"/>
        <w:rPr>
          <w:i/>
        </w:rPr>
      </w:pPr>
      <w:r>
        <w:t>T</w:t>
      </w:r>
      <w:r w:rsidR="00A07688" w:rsidRPr="003E02D3">
        <w:t xml:space="preserve">he </w:t>
      </w:r>
      <w:r w:rsidR="00E764C0">
        <w:t>respondents</w:t>
      </w:r>
      <w:r w:rsidR="00A07688" w:rsidRPr="003E02D3">
        <w:t xml:space="preserve"> submit that th</w:t>
      </w:r>
      <w:r w:rsidR="00CA5DB8">
        <w:t>is Court’s jurisdiction is not engaged in that the</w:t>
      </w:r>
      <w:r w:rsidR="00A07688" w:rsidRPr="003E02D3">
        <w:t xml:space="preserve"> </w:t>
      </w:r>
      <w:r w:rsidR="00E764C0">
        <w:t xml:space="preserve">applicants </w:t>
      </w:r>
      <w:r w:rsidR="00303BB3">
        <w:t xml:space="preserve">have </w:t>
      </w:r>
      <w:r w:rsidR="00303BB3" w:rsidRPr="003E02D3">
        <w:t>raised</w:t>
      </w:r>
      <w:r w:rsidR="00A07688" w:rsidRPr="003E02D3">
        <w:t xml:space="preserve"> points of fact rather than </w:t>
      </w:r>
      <w:r w:rsidR="00E764C0">
        <w:t xml:space="preserve">of </w:t>
      </w:r>
      <w:r w:rsidR="00A07688" w:rsidRPr="003E02D3">
        <w:t xml:space="preserve">law.  They submit that the </w:t>
      </w:r>
      <w:r w:rsidR="00E764C0">
        <w:t>applicants</w:t>
      </w:r>
      <w:r w:rsidR="00A07688" w:rsidRPr="003E02D3">
        <w:t xml:space="preserve"> have not shown that the law is not clear on the issues in this matter, but rather just challenge the </w:t>
      </w:r>
      <w:r w:rsidR="00E764C0">
        <w:t>High C</w:t>
      </w:r>
      <w:r w:rsidR="00A07688" w:rsidRPr="003E02D3">
        <w:t>ourt’s application of the law.</w:t>
      </w:r>
    </w:p>
    <w:p w14:paraId="0E4F1BBA" w14:textId="77777777" w:rsidR="00A07688" w:rsidRPr="003E02D3" w:rsidRDefault="00A07688" w:rsidP="00A07688">
      <w:pPr>
        <w:pStyle w:val="JUDGMENTCONTINUED"/>
      </w:pPr>
    </w:p>
    <w:p w14:paraId="0BE7645F" w14:textId="77777777" w:rsidR="00E764C0" w:rsidRDefault="00823A69" w:rsidP="00E764C0">
      <w:pPr>
        <w:pStyle w:val="JUDGMENTNUMBERED"/>
      </w:pPr>
      <w:r>
        <w:lastRenderedPageBreak/>
        <w:t>On the merits, t</w:t>
      </w:r>
      <w:r w:rsidR="00E764C0" w:rsidRPr="003E02D3">
        <w:t xml:space="preserve">he </w:t>
      </w:r>
      <w:r w:rsidR="00E764C0">
        <w:t xml:space="preserve">respondents submit </w:t>
      </w:r>
      <w:r w:rsidR="00E764C0" w:rsidRPr="003E02D3">
        <w:t xml:space="preserve">that Mr Louw was indeed authorised by the trustees to bind </w:t>
      </w:r>
      <w:r w:rsidR="00F72D92">
        <w:t>the</w:t>
      </w:r>
      <w:r w:rsidR="00F72D92" w:rsidRPr="003E02D3">
        <w:t xml:space="preserve"> </w:t>
      </w:r>
      <w:r w:rsidR="00E764C0" w:rsidRPr="003E02D3">
        <w:t>Trust</w:t>
      </w:r>
      <w:r w:rsidR="0018407F">
        <w:t xml:space="preserve"> in obtaining the required monies</w:t>
      </w:r>
      <w:r w:rsidR="00E764C0" w:rsidRPr="003E02D3">
        <w:t xml:space="preserve"> to </w:t>
      </w:r>
      <w:r w:rsidR="00E764C0" w:rsidRPr="0018407F">
        <w:t>fund</w:t>
      </w:r>
      <w:r w:rsidR="00E764C0" w:rsidRPr="003E02D3">
        <w:t xml:space="preserve"> Pholaco.  It is argu</w:t>
      </w:r>
      <w:r w:rsidR="00D42535">
        <w:t>ed that although the loans</w:t>
      </w:r>
      <w:r w:rsidR="00E764C0" w:rsidRPr="003E02D3">
        <w:t xml:space="preserve"> to Pholaco did not go through the Trust’s bank account, the</w:t>
      </w:r>
      <w:r w:rsidR="006A1AC0">
        <w:t> </w:t>
      </w:r>
      <w:r w:rsidR="00E764C0" w:rsidRPr="003E02D3">
        <w:t>Trust was still used as a vehicle for fraudulent activities.</w:t>
      </w:r>
    </w:p>
    <w:p w14:paraId="47025406" w14:textId="77777777" w:rsidR="00E764C0" w:rsidRPr="00CD099F" w:rsidRDefault="00E764C0" w:rsidP="00773574">
      <w:pPr>
        <w:pStyle w:val="JUDGMENTCONTINUED"/>
      </w:pPr>
    </w:p>
    <w:p w14:paraId="3F5E36E8" w14:textId="77AF2A21" w:rsidR="00A07688" w:rsidRPr="003E02D3" w:rsidRDefault="00A07688" w:rsidP="00A07688">
      <w:pPr>
        <w:pStyle w:val="JUDGMENTNUMBERED"/>
        <w:rPr>
          <w:i/>
          <w:iCs/>
        </w:rPr>
      </w:pPr>
      <w:r w:rsidRPr="003E02D3">
        <w:t>Regarding the</w:t>
      </w:r>
      <w:r w:rsidR="003E12C9">
        <w:t xml:space="preserve"> issue of</w:t>
      </w:r>
      <w:r w:rsidRPr="003E02D3">
        <w:t xml:space="preserve"> </w:t>
      </w:r>
      <w:r w:rsidR="003B0E5A" w:rsidRPr="00C030A4">
        <w:t>standing</w:t>
      </w:r>
      <w:r w:rsidRPr="003E02D3">
        <w:t xml:space="preserve"> , the respondents submit that the R150 000 paid into the bank account of the Trus</w:t>
      </w:r>
      <w:r w:rsidR="00710A65">
        <w:t>t from Mrs Louw’s bank account wa</w:t>
      </w:r>
      <w:r w:rsidRPr="003E02D3">
        <w:t xml:space="preserve">s sufficient to establish </w:t>
      </w:r>
      <w:r w:rsidR="003B0E5A" w:rsidRPr="00C030A4">
        <w:rPr>
          <w:iCs/>
        </w:rPr>
        <w:t>standing</w:t>
      </w:r>
      <w:r w:rsidR="0076156F">
        <w:t xml:space="preserve">, </w:t>
      </w:r>
      <w:r w:rsidRPr="003E02D3">
        <w:t xml:space="preserve">as an alternative if the loan agreement ground fails.  Furthermore, the </w:t>
      </w:r>
      <w:r w:rsidR="00F2620F">
        <w:t>respondents</w:t>
      </w:r>
      <w:r w:rsidRPr="003E02D3">
        <w:t xml:space="preserve"> relied on an act of insolvency by </w:t>
      </w:r>
      <w:r w:rsidR="00B507FC" w:rsidRPr="003E02D3">
        <w:t>the</w:t>
      </w:r>
      <w:r w:rsidRPr="003E02D3">
        <w:t xml:space="preserve"> Trust in terms of section</w:t>
      </w:r>
      <w:r w:rsidR="00173F40">
        <w:t> </w:t>
      </w:r>
      <w:r w:rsidRPr="003E02D3">
        <w:t>8(c) of the Insolvency Act</w:t>
      </w:r>
      <w:r w:rsidR="00B507FC" w:rsidRPr="003E02D3">
        <w:rPr>
          <w:rStyle w:val="FootnoteReference"/>
        </w:rPr>
        <w:footnoteReference w:id="7"/>
      </w:r>
      <w:r w:rsidR="00B507FC" w:rsidRPr="003E02D3">
        <w:t xml:space="preserve"> </w:t>
      </w:r>
      <w:r w:rsidRPr="003E02D3">
        <w:t xml:space="preserve">to establish </w:t>
      </w:r>
      <w:r w:rsidR="003B0E5A">
        <w:rPr>
          <w:iCs/>
        </w:rPr>
        <w:t>standing</w:t>
      </w:r>
      <w:r w:rsidR="0032612D">
        <w:rPr>
          <w:iCs/>
        </w:rPr>
        <w:t>.</w:t>
      </w:r>
      <w:r w:rsidR="00173F40">
        <w:rPr>
          <w:iCs/>
        </w:rPr>
        <w:t xml:space="preserve"> </w:t>
      </w:r>
      <w:r w:rsidR="00D42535">
        <w:t xml:space="preserve"> </w:t>
      </w:r>
      <w:r w:rsidR="00173F40">
        <w:t>T</w:t>
      </w:r>
      <w:r w:rsidR="00D42535">
        <w:t xml:space="preserve">his </w:t>
      </w:r>
      <w:r w:rsidR="009B6754">
        <w:t>related to</w:t>
      </w:r>
      <w:r w:rsidRPr="003E02D3">
        <w:t xml:space="preserve"> the agreement </w:t>
      </w:r>
      <w:r w:rsidR="0076156F">
        <w:t>that led to the</w:t>
      </w:r>
      <w:r w:rsidRPr="003E02D3">
        <w:t xml:space="preserve"> transfer of Quintado shares between Mr Kellerman and the </w:t>
      </w:r>
      <w:r w:rsidRPr="004C0EFB">
        <w:t>Trust</w:t>
      </w:r>
      <w:r w:rsidRPr="003309C1">
        <w:rPr>
          <w:iCs/>
        </w:rPr>
        <w:t xml:space="preserve">.  </w:t>
      </w:r>
      <w:r w:rsidR="0018407F" w:rsidRPr="003309C1">
        <w:t>They submit</w:t>
      </w:r>
      <w:r w:rsidRPr="003309C1">
        <w:t xml:space="preserve"> tha</w:t>
      </w:r>
      <w:r w:rsidR="00D42535">
        <w:t xml:space="preserve">t one creditor, </w:t>
      </w:r>
      <w:r w:rsidR="0018407F" w:rsidRPr="003309C1">
        <w:t>Mr Ke</w:t>
      </w:r>
      <w:r w:rsidR="00D42535">
        <w:t>llerman,</w:t>
      </w:r>
      <w:r w:rsidR="0018407F" w:rsidRPr="003309C1">
        <w:t xml:space="preserve"> was</w:t>
      </w:r>
      <w:r w:rsidRPr="003309C1">
        <w:t xml:space="preserve"> being preferred above the other creditors.  </w:t>
      </w:r>
      <w:r w:rsidRPr="00777305">
        <w:t xml:space="preserve">The </w:t>
      </w:r>
      <w:r w:rsidR="004C0EFB" w:rsidRPr="00777305">
        <w:t>respondents</w:t>
      </w:r>
      <w:r w:rsidRPr="00777305">
        <w:t xml:space="preserve"> also state that Mr</w:t>
      </w:r>
      <w:r w:rsidR="004C0EFB" w:rsidRPr="00777305">
        <w:t> </w:t>
      </w:r>
      <w:r w:rsidRPr="00777305">
        <w:t>Louw sent out an email to some of his creditors confessing his fraudulent activities</w:t>
      </w:r>
      <w:r w:rsidR="00D42535">
        <w:t>.</w:t>
      </w:r>
    </w:p>
    <w:p w14:paraId="1C6D3C1F" w14:textId="77777777" w:rsidR="00A07688" w:rsidRPr="003E02D3" w:rsidRDefault="00A07688" w:rsidP="00A07688">
      <w:pPr>
        <w:pStyle w:val="JUDGMENTCONTINUED"/>
      </w:pPr>
    </w:p>
    <w:p w14:paraId="25A842EF" w14:textId="77777777" w:rsidR="00A07688" w:rsidRPr="003E02D3" w:rsidRDefault="00A07688" w:rsidP="00A07688">
      <w:pPr>
        <w:pStyle w:val="JUDGMENTNUMBERED"/>
        <w:rPr>
          <w:i/>
        </w:rPr>
      </w:pPr>
      <w:r w:rsidRPr="003E02D3">
        <w:t xml:space="preserve">Regarding the </w:t>
      </w:r>
      <w:r w:rsidRPr="003309C1">
        <w:t xml:space="preserve">authority to oppose the sequestration application, the </w:t>
      </w:r>
      <w:r w:rsidR="004C0EFB" w:rsidRPr="003309C1">
        <w:t>respondents</w:t>
      </w:r>
      <w:r w:rsidR="00D42535">
        <w:t xml:space="preserve"> submit</w:t>
      </w:r>
      <w:r w:rsidR="00710A65" w:rsidRPr="003309C1">
        <w:t xml:space="preserve"> that Mr Cronje</w:t>
      </w:r>
      <w:r w:rsidR="008A5E3D">
        <w:t xml:space="preserve"> would have</w:t>
      </w:r>
      <w:r w:rsidR="00710A65" w:rsidRPr="003309C1">
        <w:t xml:space="preserve"> had</w:t>
      </w:r>
      <w:r w:rsidRPr="003309C1">
        <w:t xml:space="preserve"> the necessary authority to oppose the provisional sequestration application</w:t>
      </w:r>
      <w:r w:rsidR="005D1F7F">
        <w:t xml:space="preserve">. </w:t>
      </w:r>
      <w:r w:rsidRPr="003309C1">
        <w:t xml:space="preserve"> </w:t>
      </w:r>
      <w:r w:rsidR="005D1F7F">
        <w:t>T</w:t>
      </w:r>
      <w:r w:rsidRPr="003309C1">
        <w:t xml:space="preserve">his </w:t>
      </w:r>
      <w:r w:rsidR="00173F40">
        <w:t>was</w:t>
      </w:r>
      <w:r w:rsidRPr="003309C1">
        <w:t xml:space="preserve"> eviden</w:t>
      </w:r>
      <w:r w:rsidR="00710A65" w:rsidRPr="00A73CE6">
        <w:t xml:space="preserve">t </w:t>
      </w:r>
      <w:r w:rsidR="005D1F7F">
        <w:t xml:space="preserve">from Mr Cronje’s conduct </w:t>
      </w:r>
      <w:r w:rsidR="00710A65" w:rsidRPr="00A73CE6">
        <w:t>when he instructed</w:t>
      </w:r>
      <w:r w:rsidRPr="00F0589D">
        <w:t xml:space="preserve"> his attorneys to oppose the final app</w:t>
      </w:r>
      <w:r w:rsidRPr="003309C1">
        <w:t>lication</w:t>
      </w:r>
      <w:r w:rsidR="005D1F7F">
        <w:t>,</w:t>
      </w:r>
      <w:r w:rsidRPr="003309C1">
        <w:t xml:space="preserve"> and</w:t>
      </w:r>
      <w:r w:rsidRPr="003E02D3">
        <w:t xml:space="preserve"> </w:t>
      </w:r>
      <w:r w:rsidR="005429FB">
        <w:t>from</w:t>
      </w:r>
      <w:r w:rsidR="005D1F7F">
        <w:t xml:space="preserve"> </w:t>
      </w:r>
      <w:r w:rsidRPr="003E02D3">
        <w:t xml:space="preserve">a </w:t>
      </w:r>
      <w:r w:rsidR="009B29E8" w:rsidRPr="003E02D3">
        <w:t>common</w:t>
      </w:r>
      <w:r w:rsidR="0076156F">
        <w:t xml:space="preserve"> </w:t>
      </w:r>
      <w:r w:rsidRPr="003E02D3">
        <w:t>sense reading of clause 5.2 of the Trust</w:t>
      </w:r>
      <w:r w:rsidR="008A5E3D">
        <w:t> </w:t>
      </w:r>
      <w:r w:rsidRPr="003E02D3">
        <w:t>Deed</w:t>
      </w:r>
      <w:r w:rsidR="00C72D5D">
        <w:t>.  This clause</w:t>
      </w:r>
      <w:r w:rsidRPr="003E02D3">
        <w:t xml:space="preserve"> provides </w:t>
      </w:r>
      <w:r w:rsidR="00C72D5D">
        <w:t xml:space="preserve">for </w:t>
      </w:r>
      <w:r w:rsidR="00F2620F">
        <w:t>the quorum</w:t>
      </w:r>
      <w:r w:rsidRPr="003E02D3">
        <w:t xml:space="preserve"> </w:t>
      </w:r>
      <w:r w:rsidR="00C72D5D">
        <w:t xml:space="preserve">requirement </w:t>
      </w:r>
      <w:r w:rsidRPr="003E02D3">
        <w:t xml:space="preserve">for the taking of decisions.  Mr Cronje was </w:t>
      </w:r>
      <w:r w:rsidR="003C7CE6">
        <w:t xml:space="preserve">also </w:t>
      </w:r>
      <w:r w:rsidRPr="003E02D3">
        <w:t>cited as a party in the proceedings.</w:t>
      </w:r>
    </w:p>
    <w:p w14:paraId="431CA437" w14:textId="77777777" w:rsidR="00A07688" w:rsidRPr="003E02D3" w:rsidRDefault="00A07688" w:rsidP="00A07688">
      <w:pPr>
        <w:pStyle w:val="JUDGMENTCONTINUED"/>
      </w:pPr>
    </w:p>
    <w:p w14:paraId="3CD4A035" w14:textId="77777777" w:rsidR="00A07688" w:rsidRPr="003E02D3" w:rsidRDefault="00A07688" w:rsidP="00A07688">
      <w:pPr>
        <w:pStyle w:val="JUDGMENTNUMBERED"/>
        <w:rPr>
          <w:i/>
        </w:rPr>
      </w:pPr>
      <w:r w:rsidRPr="003309C1">
        <w:t xml:space="preserve">Although no money </w:t>
      </w:r>
      <w:r w:rsidR="005429FB">
        <w:t xml:space="preserve">passed through </w:t>
      </w:r>
      <w:r w:rsidRPr="003309C1">
        <w:t xml:space="preserve">the bank account of </w:t>
      </w:r>
      <w:r w:rsidR="00A73CE6">
        <w:t>the</w:t>
      </w:r>
      <w:r w:rsidR="00A73CE6" w:rsidRPr="003309C1">
        <w:t xml:space="preserve"> </w:t>
      </w:r>
      <w:r w:rsidRPr="003309C1">
        <w:t xml:space="preserve">Trust, the </w:t>
      </w:r>
      <w:r w:rsidR="003309C1" w:rsidRPr="003309C1">
        <w:t xml:space="preserve">respondents </w:t>
      </w:r>
      <w:r w:rsidRPr="003309C1">
        <w:t xml:space="preserve">argue that </w:t>
      </w:r>
      <w:r w:rsidR="00A73CE6">
        <w:t>the</w:t>
      </w:r>
      <w:r w:rsidR="00A73CE6" w:rsidRPr="00A73CE6">
        <w:t xml:space="preserve"> </w:t>
      </w:r>
      <w:r w:rsidRPr="00A73CE6">
        <w:t xml:space="preserve">Trust was still used as a vehicle for fraudulent activities as the applicants ignore the fact that a borrower can conclude a loan agreement with a </w:t>
      </w:r>
      <w:r w:rsidRPr="00A73CE6">
        <w:lastRenderedPageBreak/>
        <w:t>lender on the basis that the money be paid to a</w:t>
      </w:r>
      <w:r w:rsidRPr="003E02D3">
        <w:t xml:space="preserve"> designated third party – in this instance Pholaco was the designated third party.</w:t>
      </w:r>
    </w:p>
    <w:p w14:paraId="4412DD02" w14:textId="77777777" w:rsidR="00A07688" w:rsidRPr="003E02D3" w:rsidRDefault="00A07688" w:rsidP="00A07688">
      <w:pPr>
        <w:pStyle w:val="JUDGMENTCONTINUED"/>
      </w:pPr>
    </w:p>
    <w:p w14:paraId="22B561B5" w14:textId="77777777" w:rsidR="00A07688" w:rsidRPr="003E02D3" w:rsidRDefault="00E764C0" w:rsidP="002D035C">
      <w:pPr>
        <w:pStyle w:val="JUDGMENTNUMBERED"/>
      </w:pPr>
      <w:r>
        <w:t xml:space="preserve">Lastly, the respondents request that in the </w:t>
      </w:r>
      <w:r w:rsidR="00303BB3">
        <w:t xml:space="preserve">event </w:t>
      </w:r>
      <w:r w:rsidR="00303BB3" w:rsidRPr="003E02D3">
        <w:t>the</w:t>
      </w:r>
      <w:r w:rsidR="00A07688" w:rsidRPr="003E02D3">
        <w:t xml:space="preserve"> appeal </w:t>
      </w:r>
      <w:r w:rsidR="00F231FA">
        <w:t xml:space="preserve">is </w:t>
      </w:r>
      <w:r w:rsidR="00F231FA" w:rsidRPr="003E02D3">
        <w:t>upheld</w:t>
      </w:r>
      <w:r w:rsidR="00710A65">
        <w:t>,</w:t>
      </w:r>
      <w:r w:rsidR="00A07688" w:rsidRPr="003E02D3">
        <w:t xml:space="preserve"> the matter should be remitted to the High Court for </w:t>
      </w:r>
      <w:r>
        <w:t xml:space="preserve">the </w:t>
      </w:r>
      <w:r w:rsidR="00A07688" w:rsidRPr="003E02D3">
        <w:t xml:space="preserve">admission of oral evidence which surfaced during the </w:t>
      </w:r>
      <w:r w:rsidR="00173F40">
        <w:t>s</w:t>
      </w:r>
      <w:r w:rsidR="00A07688" w:rsidRPr="003E02D3">
        <w:t>ection 152</w:t>
      </w:r>
      <w:r w:rsidR="0032612D">
        <w:rPr>
          <w:rStyle w:val="FootnoteReference"/>
        </w:rPr>
        <w:footnoteReference w:id="8"/>
      </w:r>
      <w:r w:rsidR="00A07688" w:rsidRPr="003E02D3">
        <w:t xml:space="preserve"> hearing of the </w:t>
      </w:r>
      <w:r w:rsidR="000A01E2">
        <w:t>Louw insolvent estate</w:t>
      </w:r>
      <w:r w:rsidR="00A07688" w:rsidRPr="003E02D3">
        <w:t xml:space="preserve"> and </w:t>
      </w:r>
      <w:r w:rsidR="00A73CE6">
        <w:t>the</w:t>
      </w:r>
      <w:r w:rsidR="00A73CE6" w:rsidRPr="003E02D3">
        <w:t xml:space="preserve"> </w:t>
      </w:r>
      <w:r w:rsidR="00A07688" w:rsidRPr="003E02D3">
        <w:t>Trust.</w:t>
      </w:r>
    </w:p>
    <w:p w14:paraId="23721746" w14:textId="77777777" w:rsidR="00A07688" w:rsidRPr="003E02D3" w:rsidRDefault="00A07688" w:rsidP="00A07688">
      <w:pPr>
        <w:pStyle w:val="JUDGMENTCONTINUED"/>
      </w:pPr>
    </w:p>
    <w:p w14:paraId="6AF3ACF2" w14:textId="77777777" w:rsidR="002D035C" w:rsidRPr="003E02D3" w:rsidRDefault="002D035C" w:rsidP="002D035C">
      <w:pPr>
        <w:pStyle w:val="HEADING"/>
      </w:pPr>
      <w:r w:rsidRPr="003E02D3">
        <w:t>Issues</w:t>
      </w:r>
    </w:p>
    <w:p w14:paraId="213EBBEC" w14:textId="77777777" w:rsidR="00C42C8D" w:rsidRPr="003E02D3" w:rsidRDefault="002D035C" w:rsidP="002D035C">
      <w:pPr>
        <w:pStyle w:val="JUDGMENTNUMBERED"/>
      </w:pPr>
      <w:r w:rsidRPr="003E02D3">
        <w:t>The issues for determination are the following:</w:t>
      </w:r>
    </w:p>
    <w:p w14:paraId="7EBC17E2" w14:textId="77777777" w:rsidR="00C42C8D" w:rsidRPr="003E02D3" w:rsidRDefault="00C42C8D" w:rsidP="00777305">
      <w:pPr>
        <w:pStyle w:val="JUDGMENTNUMBERED"/>
        <w:numPr>
          <w:ilvl w:val="0"/>
          <w:numId w:val="0"/>
        </w:numPr>
        <w:ind w:firstLine="720"/>
      </w:pPr>
      <w:r w:rsidRPr="003E02D3">
        <w:t>(a)</w:t>
      </w:r>
      <w:r w:rsidR="00A73CE6">
        <w:tab/>
      </w:r>
      <w:r w:rsidRPr="003E02D3">
        <w:t>D</w:t>
      </w:r>
      <w:r w:rsidR="002D035C" w:rsidRPr="003E02D3">
        <w:t>oes this matter engage this Court’s jurisdiction?</w:t>
      </w:r>
    </w:p>
    <w:p w14:paraId="10ED406D" w14:textId="77777777" w:rsidR="00C72D5D" w:rsidRDefault="00C42C8D" w:rsidP="00777305">
      <w:pPr>
        <w:pStyle w:val="JUDGMENTNUMBERED"/>
        <w:numPr>
          <w:ilvl w:val="0"/>
          <w:numId w:val="0"/>
        </w:numPr>
        <w:ind w:left="1440" w:hanging="720"/>
      </w:pPr>
      <w:r w:rsidRPr="003E02D3">
        <w:t>(b)</w:t>
      </w:r>
      <w:r w:rsidR="00A73CE6">
        <w:tab/>
      </w:r>
      <w:r w:rsidRPr="003E02D3">
        <w:t>I</w:t>
      </w:r>
      <w:r w:rsidR="002D035C" w:rsidRPr="003E02D3">
        <w:t>s it in the interests of justice to grant leave to appeal</w:t>
      </w:r>
      <w:r w:rsidR="002A2ED5" w:rsidRPr="003E02D3">
        <w:t>?</w:t>
      </w:r>
    </w:p>
    <w:p w14:paraId="78CD4ADE" w14:textId="77777777" w:rsidR="002D035C" w:rsidRPr="003E02D3" w:rsidRDefault="00C72D5D" w:rsidP="00777305">
      <w:pPr>
        <w:pStyle w:val="JUDGMENTNUMBERED"/>
        <w:numPr>
          <w:ilvl w:val="0"/>
          <w:numId w:val="0"/>
        </w:numPr>
        <w:ind w:left="1440" w:hanging="720"/>
      </w:pPr>
      <w:r>
        <w:t>(c)</w:t>
      </w:r>
      <w:r>
        <w:tab/>
      </w:r>
      <w:r w:rsidR="002A2ED5" w:rsidRPr="003E02D3">
        <w:t xml:space="preserve">If </w:t>
      </w:r>
      <w:r w:rsidR="00C42C8D" w:rsidRPr="003E02D3">
        <w:t xml:space="preserve">the </w:t>
      </w:r>
      <w:r>
        <w:t xml:space="preserve">above </w:t>
      </w:r>
      <w:r w:rsidR="00C42C8D" w:rsidRPr="003E02D3">
        <w:t xml:space="preserve">two questions are answered in the affirmative, </w:t>
      </w:r>
      <w:r w:rsidR="008F6EB2" w:rsidRPr="003E02D3">
        <w:t xml:space="preserve">the merits of the appeal will </w:t>
      </w:r>
      <w:r w:rsidR="00D9544E" w:rsidRPr="003E02D3">
        <w:t xml:space="preserve">have to </w:t>
      </w:r>
      <w:r w:rsidR="008F6EB2" w:rsidRPr="003E02D3">
        <w:t>be considered and</w:t>
      </w:r>
      <w:r w:rsidR="005429FB">
        <w:t>,</w:t>
      </w:r>
      <w:r w:rsidR="008F6EB2" w:rsidRPr="003E02D3">
        <w:t xml:space="preserve"> in particular, </w:t>
      </w:r>
      <w:r w:rsidR="00303BB3" w:rsidRPr="003E02D3">
        <w:t>these issues</w:t>
      </w:r>
      <w:r w:rsidR="002A2ED5" w:rsidRPr="003E02D3">
        <w:t xml:space="preserve"> must be determined:</w:t>
      </w:r>
    </w:p>
    <w:p w14:paraId="76BE2C78" w14:textId="77777777" w:rsidR="002A2ED5" w:rsidRPr="001B02EA" w:rsidRDefault="00C72D5D" w:rsidP="001B02EA">
      <w:pPr>
        <w:pStyle w:val="List1"/>
        <w:ind w:hanging="22"/>
      </w:pPr>
      <w:r w:rsidRPr="001B02EA">
        <w:t>(i)</w:t>
      </w:r>
      <w:r w:rsidRPr="001B02EA">
        <w:tab/>
      </w:r>
      <w:r w:rsidR="002A2ED5" w:rsidRPr="001B02EA">
        <w:t xml:space="preserve">Does the </w:t>
      </w:r>
      <w:r w:rsidR="000A01E2">
        <w:t>Louw insolvent estate</w:t>
      </w:r>
      <w:r w:rsidR="002A2ED5" w:rsidRPr="001B02EA">
        <w:t xml:space="preserve"> have a claim against the Trust?</w:t>
      </w:r>
    </w:p>
    <w:p w14:paraId="78BCE150" w14:textId="77777777" w:rsidR="002A2ED5" w:rsidRPr="001B02EA" w:rsidRDefault="00C72D5D" w:rsidP="001B02EA">
      <w:pPr>
        <w:pStyle w:val="List1"/>
        <w:ind w:hanging="22"/>
      </w:pPr>
      <w:r w:rsidRPr="001B02EA">
        <w:t>(ii)</w:t>
      </w:r>
      <w:r w:rsidRPr="001B02EA">
        <w:tab/>
      </w:r>
      <w:r w:rsidR="002A2ED5" w:rsidRPr="001B02EA">
        <w:t>Did Mr Louw have the authority to bind the Trust?</w:t>
      </w:r>
    </w:p>
    <w:p w14:paraId="011CC5A8" w14:textId="77777777" w:rsidR="002A2ED5" w:rsidRPr="001B02EA" w:rsidRDefault="00C72D5D" w:rsidP="001B02EA">
      <w:pPr>
        <w:pStyle w:val="List1"/>
        <w:ind w:hanging="22"/>
      </w:pPr>
      <w:r w:rsidRPr="001B02EA">
        <w:t>(iii)</w:t>
      </w:r>
      <w:r w:rsidRPr="001B02EA">
        <w:tab/>
      </w:r>
      <w:r w:rsidR="002A2ED5" w:rsidRPr="001B02EA">
        <w:t xml:space="preserve">Should a final order of sequestration have been granted based on </w:t>
      </w:r>
      <w:r w:rsidR="001B02EA">
        <w:tab/>
      </w:r>
      <w:r w:rsidR="002A2ED5" w:rsidRPr="001B02EA">
        <w:t>“admittedly false allegations”?</w:t>
      </w:r>
    </w:p>
    <w:p w14:paraId="47D780CB" w14:textId="77777777" w:rsidR="002A2ED5" w:rsidRPr="001B02EA" w:rsidRDefault="00C72D5D" w:rsidP="001B02EA">
      <w:pPr>
        <w:pStyle w:val="List1"/>
        <w:ind w:hanging="22"/>
      </w:pPr>
      <w:r w:rsidRPr="001B02EA">
        <w:t>(iv)</w:t>
      </w:r>
      <w:r w:rsidRPr="001B02EA">
        <w:tab/>
      </w:r>
      <w:r w:rsidR="002A2ED5" w:rsidRPr="001B02EA">
        <w:t xml:space="preserve">What is </w:t>
      </w:r>
      <w:r w:rsidR="00687B97" w:rsidRPr="001B02EA">
        <w:t>an</w:t>
      </w:r>
      <w:r w:rsidR="002A2ED5" w:rsidRPr="001B02EA">
        <w:t xml:space="preserve"> appropriate remedy?</w:t>
      </w:r>
    </w:p>
    <w:p w14:paraId="3174BF85" w14:textId="77777777" w:rsidR="002A2ED5" w:rsidRPr="001B02EA" w:rsidRDefault="00C72D5D" w:rsidP="001B02EA">
      <w:pPr>
        <w:pStyle w:val="List1"/>
        <w:ind w:left="2153" w:hanging="735"/>
      </w:pPr>
      <w:r w:rsidRPr="001B02EA">
        <w:t>(v)</w:t>
      </w:r>
      <w:r w:rsidRPr="001B02EA">
        <w:tab/>
      </w:r>
      <w:r w:rsidR="002A2ED5" w:rsidRPr="001B02EA">
        <w:t>Should the matter be remitted</w:t>
      </w:r>
      <w:r w:rsidR="00F231FA" w:rsidRPr="001B02EA">
        <w:t xml:space="preserve"> </w:t>
      </w:r>
      <w:r w:rsidR="002A2ED5" w:rsidRPr="001B02EA">
        <w:t>to the High Court for oral evidence and supplementary evidence on new facts?</w:t>
      </w:r>
    </w:p>
    <w:p w14:paraId="66E4131A" w14:textId="77777777" w:rsidR="002A2ED5" w:rsidRPr="003E02D3" w:rsidRDefault="002A2ED5" w:rsidP="0032612D">
      <w:pPr>
        <w:pStyle w:val="JUDGMENTCONTINUED"/>
        <w:ind w:hanging="459"/>
      </w:pPr>
    </w:p>
    <w:p w14:paraId="56BDB8B7" w14:textId="77777777" w:rsidR="002A2ED5" w:rsidRPr="003E02D3" w:rsidRDefault="00034035" w:rsidP="00034035">
      <w:pPr>
        <w:pStyle w:val="HEADING"/>
      </w:pPr>
      <w:r w:rsidRPr="003E02D3">
        <w:t>Jurisdiction</w:t>
      </w:r>
    </w:p>
    <w:p w14:paraId="47643061" w14:textId="77777777" w:rsidR="00C42C8D" w:rsidRPr="003E02D3" w:rsidRDefault="00034035" w:rsidP="00034035">
      <w:pPr>
        <w:pStyle w:val="JUDGMENTNUMBERED"/>
      </w:pPr>
      <w:r w:rsidRPr="003E02D3">
        <w:t xml:space="preserve">For an applicant to be granted leave to appeal, she must show that this Court has jurisdiction to entertain the matter </w:t>
      </w:r>
      <w:r w:rsidR="00687B97">
        <w:t xml:space="preserve">in terms of </w:t>
      </w:r>
      <w:r w:rsidR="00136D2C" w:rsidRPr="003E02D3">
        <w:t>section 167(3)(b)(ii)</w:t>
      </w:r>
      <w:r w:rsidR="00136D2C" w:rsidRPr="003E02D3">
        <w:rPr>
          <w:rStyle w:val="FootnoteReference"/>
        </w:rPr>
        <w:footnoteReference w:id="9"/>
      </w:r>
      <w:r w:rsidR="00136D2C" w:rsidRPr="003E02D3">
        <w:t xml:space="preserve"> </w:t>
      </w:r>
      <w:r w:rsidR="005429FB">
        <w:t xml:space="preserve">of the Constitution </w:t>
      </w:r>
      <w:r w:rsidRPr="003E02D3">
        <w:lastRenderedPageBreak/>
        <w:t xml:space="preserve">and that it is in the interests of justice </w:t>
      </w:r>
      <w:r w:rsidR="00687B97">
        <w:t>for</w:t>
      </w:r>
      <w:r w:rsidRPr="003E02D3">
        <w:t xml:space="preserve"> leave to appeal</w:t>
      </w:r>
      <w:r w:rsidR="00687B97">
        <w:t xml:space="preserve"> to be granted</w:t>
      </w:r>
      <w:r w:rsidRPr="003E02D3">
        <w:t>.</w:t>
      </w:r>
      <w:r w:rsidR="0096255A" w:rsidRPr="003E02D3">
        <w:rPr>
          <w:rStyle w:val="FootnoteReference"/>
        </w:rPr>
        <w:footnoteReference w:id="10"/>
      </w:r>
      <w:r w:rsidRPr="003E02D3">
        <w:t xml:space="preserve">  </w:t>
      </w:r>
      <w:r w:rsidR="00F908A7" w:rsidRPr="003E02D3">
        <w:t>The jurisdiction of the Court will be established if there is a constitutional issue or there is an arguable point of law of general public importance.</w:t>
      </w:r>
      <w:r w:rsidR="00D07599">
        <w:t xml:space="preserve">  </w:t>
      </w:r>
      <w:r w:rsidR="009B6754">
        <w:t>The approach to determining jurisdiction was set out i</w:t>
      </w:r>
      <w:r w:rsidR="00D07599" w:rsidRPr="00D07599">
        <w:t>n </w:t>
      </w:r>
      <w:r w:rsidR="00D07599" w:rsidRPr="00D07599">
        <w:rPr>
          <w:i/>
          <w:iCs/>
        </w:rPr>
        <w:t>Gcaba</w:t>
      </w:r>
      <w:r w:rsidR="00D07599" w:rsidRPr="00D07599">
        <w:t xml:space="preserve">, </w:t>
      </w:r>
      <w:r w:rsidR="009B6754">
        <w:t>as follows:</w:t>
      </w:r>
      <w:r w:rsidR="00D07599" w:rsidRPr="00D07599">
        <w:t xml:space="preserve"> “jurisdiction is determined on the basis of the pleadings . . . and not the substantive merits”.</w:t>
      </w:r>
      <w:r w:rsidR="00D07599" w:rsidRPr="00D07599">
        <w:rPr>
          <w:vertAlign w:val="superscript"/>
        </w:rPr>
        <w:footnoteReference w:id="11"/>
      </w:r>
    </w:p>
    <w:p w14:paraId="69A0C24B" w14:textId="77777777" w:rsidR="00C42C8D" w:rsidRPr="003E02D3" w:rsidRDefault="00C42C8D" w:rsidP="003E02D3">
      <w:pPr>
        <w:pStyle w:val="JUDGMENTNUMBERED"/>
        <w:numPr>
          <w:ilvl w:val="0"/>
          <w:numId w:val="0"/>
        </w:numPr>
      </w:pPr>
    </w:p>
    <w:p w14:paraId="574A94E8" w14:textId="77777777" w:rsidR="00D54B56" w:rsidRDefault="00034035" w:rsidP="00F0589D">
      <w:pPr>
        <w:pStyle w:val="JUDGMENTNUMBERED"/>
      </w:pPr>
      <w:r w:rsidRPr="003E02D3">
        <w:t>In this matter, the applicants did not contend that any constitutional issue was raised.  In an effort to show that this Court has jurisdiction, the applicant</w:t>
      </w:r>
      <w:r w:rsidR="00C42C8D" w:rsidRPr="003E02D3">
        <w:t>s</w:t>
      </w:r>
      <w:r w:rsidRPr="003E02D3">
        <w:t xml:space="preserve"> submitted that there were arguable points of law of general public importance that ought to be considered by this Court</w:t>
      </w:r>
      <w:r w:rsidR="003547D7">
        <w:t>.</w:t>
      </w:r>
      <w:r w:rsidRPr="003E02D3">
        <w:t xml:space="preserve"> </w:t>
      </w:r>
      <w:r w:rsidR="00F0589D">
        <w:t xml:space="preserve"> </w:t>
      </w:r>
      <w:r w:rsidR="00562EBE">
        <w:t>As I see it, t</w:t>
      </w:r>
      <w:r w:rsidR="00C42C8D" w:rsidRPr="003E02D3">
        <w:t>he applicants have failed to show that this Court’s jurisdiction is engaged.</w:t>
      </w:r>
      <w:r w:rsidR="00ED1B06">
        <w:t xml:space="preserve"> </w:t>
      </w:r>
      <w:r w:rsidR="00C42C8D" w:rsidRPr="003E02D3">
        <w:t xml:space="preserve"> </w:t>
      </w:r>
      <w:r w:rsidR="004B38A2" w:rsidRPr="003E02D3">
        <w:t xml:space="preserve">In </w:t>
      </w:r>
      <w:r w:rsidR="00710A65">
        <w:t>this case, there are two</w:t>
      </w:r>
      <w:r w:rsidR="004B38A2" w:rsidRPr="003E02D3">
        <w:t xml:space="preserve"> factual disputes, namely, (a) whether the </w:t>
      </w:r>
      <w:r w:rsidR="000A01E2">
        <w:t>Louw insolvent estate</w:t>
      </w:r>
      <w:r w:rsidR="004B38A2" w:rsidRPr="003E02D3">
        <w:t xml:space="preserve"> loaned various monies to the Trust and whether the Trust</w:t>
      </w:r>
      <w:r w:rsidR="009B29E8">
        <w:t>, in turn,</w:t>
      </w:r>
      <w:r w:rsidR="004B38A2" w:rsidRPr="003E02D3">
        <w:t xml:space="preserve"> advanced those </w:t>
      </w:r>
      <w:r w:rsidR="00D54B56">
        <w:t>monies</w:t>
      </w:r>
      <w:r w:rsidR="004B38A2" w:rsidRPr="003E02D3">
        <w:t xml:space="preserve"> to Pholaco; and (b) if so, whether Mr Louw was authorised to conclude the alleged loan agreements on behalf of the Trust. </w:t>
      </w:r>
      <w:r w:rsidR="00745B64">
        <w:t xml:space="preserve"> </w:t>
      </w:r>
      <w:r w:rsidRPr="003E02D3">
        <w:t>The applicant</w:t>
      </w:r>
      <w:r w:rsidR="00C42C8D" w:rsidRPr="003E02D3">
        <w:t>s</w:t>
      </w:r>
      <w:r w:rsidRPr="003E02D3">
        <w:t xml:space="preserve"> </w:t>
      </w:r>
      <w:r w:rsidR="00F2620F">
        <w:t>ask</w:t>
      </w:r>
      <w:r w:rsidRPr="003E02D3">
        <w:t xml:space="preserve"> this Court to answer </w:t>
      </w:r>
      <w:r w:rsidR="004B38A2" w:rsidRPr="003E02D3">
        <w:t xml:space="preserve">issues that </w:t>
      </w:r>
      <w:r w:rsidRPr="003E02D3">
        <w:t>are riddled with factual disputes.</w:t>
      </w:r>
    </w:p>
    <w:p w14:paraId="633F6411" w14:textId="77777777" w:rsidR="00D54B56" w:rsidRPr="008726F3" w:rsidRDefault="00D54B56" w:rsidP="003B0E5A">
      <w:pPr>
        <w:pStyle w:val="JUDGMENTCONTINUED"/>
      </w:pPr>
    </w:p>
    <w:p w14:paraId="11EECD93" w14:textId="77777777" w:rsidR="00FD5753" w:rsidRDefault="00034035" w:rsidP="00F0589D">
      <w:pPr>
        <w:pStyle w:val="JUDGMENTNUMBERED"/>
      </w:pPr>
      <w:r w:rsidRPr="003E02D3">
        <w:t>In</w:t>
      </w:r>
      <w:r w:rsidR="00DD11EC">
        <w:t> </w:t>
      </w:r>
      <w:r w:rsidRPr="00F0589D">
        <w:rPr>
          <w:i/>
          <w:iCs/>
        </w:rPr>
        <w:t>Makate</w:t>
      </w:r>
      <w:r w:rsidRPr="003E02D3">
        <w:t>,</w:t>
      </w:r>
      <w:r w:rsidR="00D54B56">
        <w:rPr>
          <w:rStyle w:val="FootnoteReference"/>
        </w:rPr>
        <w:footnoteReference w:id="12"/>
      </w:r>
      <w:r w:rsidRPr="003E02D3">
        <w:t xml:space="preserve"> </w:t>
      </w:r>
      <w:r w:rsidR="00555FE5">
        <w:t>the applicant</w:t>
      </w:r>
      <w:r w:rsidR="00562EBE">
        <w:t xml:space="preserve"> </w:t>
      </w:r>
      <w:r w:rsidR="00555FE5">
        <w:t xml:space="preserve">had sought the payment of compensation for the use of his idea in developing a digital product that later </w:t>
      </w:r>
      <w:r w:rsidR="00BC5972">
        <w:t>allegedly</w:t>
      </w:r>
      <w:r w:rsidR="00FD1B93">
        <w:t xml:space="preserve"> </w:t>
      </w:r>
      <w:r w:rsidR="00555FE5">
        <w:t>made billions in revenue for the respondent, a telecommunications company.  Th</w:t>
      </w:r>
      <w:r w:rsidR="00562EBE">
        <w:t>is</w:t>
      </w:r>
      <w:r w:rsidR="00555FE5">
        <w:t xml:space="preserve"> Court</w:t>
      </w:r>
      <w:r w:rsidR="000150BA">
        <w:t>,</w:t>
      </w:r>
      <w:r w:rsidR="00555FE5">
        <w:t xml:space="preserve"> in emphasising the importance of deference by appellate courts to the factual findings of courts of first instance</w:t>
      </w:r>
      <w:r w:rsidR="000150BA">
        <w:t>,</w:t>
      </w:r>
      <w:r w:rsidR="00555FE5">
        <w:t xml:space="preserve"> had this to say:</w:t>
      </w:r>
    </w:p>
    <w:p w14:paraId="11513B60" w14:textId="77777777" w:rsidR="00F0589D" w:rsidRPr="00F0589D" w:rsidRDefault="00F0589D" w:rsidP="00777305">
      <w:pPr>
        <w:pStyle w:val="QUOTATION"/>
      </w:pPr>
    </w:p>
    <w:p w14:paraId="745F837A" w14:textId="77777777" w:rsidR="00034035" w:rsidRDefault="00034035" w:rsidP="000A1777">
      <w:pPr>
        <w:pStyle w:val="QUOTATION"/>
      </w:pPr>
      <w:r w:rsidRPr="003E02D3">
        <w:lastRenderedPageBreak/>
        <w:t>“</w:t>
      </w:r>
      <w:r w:rsidR="000A1777" w:rsidRPr="003E02D3">
        <w:t>[D]</w:t>
      </w:r>
      <w:r w:rsidRPr="003E02D3">
        <w:t>eciding factual disputes is ordinarily not the role of apex courts.</w:t>
      </w:r>
      <w:r w:rsidR="000A1777" w:rsidRPr="003E02D3">
        <w:t xml:space="preserve"> </w:t>
      </w:r>
      <w:r w:rsidRPr="003E02D3">
        <w:t xml:space="preserve"> Ordinarily, an apex court declares the law that must be followed and applied by other courts. </w:t>
      </w:r>
      <w:r w:rsidR="00745B64">
        <w:t xml:space="preserve"> </w:t>
      </w:r>
      <w:r w:rsidRPr="003E02D3">
        <w:t>Factual disputes must be determined by the lower courts and when cases come on appeal, they are adjudicated on the facts as found by the lower courts.”</w:t>
      </w:r>
      <w:r w:rsidR="000A1777" w:rsidRPr="003E02D3">
        <w:rPr>
          <w:rStyle w:val="FootnoteReference"/>
        </w:rPr>
        <w:t xml:space="preserve"> </w:t>
      </w:r>
      <w:r w:rsidR="000A1777" w:rsidRPr="003E02D3">
        <w:rPr>
          <w:rStyle w:val="FootnoteReference"/>
        </w:rPr>
        <w:footnoteReference w:id="13"/>
      </w:r>
    </w:p>
    <w:p w14:paraId="0F43C29B" w14:textId="77777777" w:rsidR="00D54B56" w:rsidRPr="008726F3" w:rsidRDefault="00D54B56" w:rsidP="003B0E5A">
      <w:pPr>
        <w:pStyle w:val="JUDGMENTCONTINUED"/>
      </w:pPr>
    </w:p>
    <w:p w14:paraId="358D5B59" w14:textId="038C255F" w:rsidR="00014C42" w:rsidRDefault="00D54B56" w:rsidP="00D54B56">
      <w:pPr>
        <w:pStyle w:val="JUDGMENTNUMBERED"/>
      </w:pPr>
      <w:r>
        <w:t xml:space="preserve">In </w:t>
      </w:r>
      <w:r w:rsidRPr="003E02D3">
        <w:rPr>
          <w:i/>
          <w:iCs/>
        </w:rPr>
        <w:t>Jiba</w:t>
      </w:r>
      <w:r w:rsidRPr="003B0E5A">
        <w:t>,</w:t>
      </w:r>
      <w:r w:rsidRPr="003E02D3">
        <w:rPr>
          <w:rStyle w:val="FootnoteReference"/>
        </w:rPr>
        <w:footnoteReference w:id="14"/>
      </w:r>
      <w:r>
        <w:t xml:space="preserve"> this Court had to consider whether the claim brought by the applicant</w:t>
      </w:r>
      <w:r w:rsidRPr="00D515E6">
        <w:t xml:space="preserve"> –</w:t>
      </w:r>
      <w:r>
        <w:t xml:space="preserve"> the General Council of the Bar – against the respondents who were advocates and senior officials in the National Prosecuting Authority</w:t>
      </w:r>
      <w:r w:rsidR="003E12C9">
        <w:t>,</w:t>
      </w:r>
      <w:r>
        <w:t xml:space="preserve"> was a constitutional issue.  The applicant </w:t>
      </w:r>
      <w:r w:rsidRPr="002A3405">
        <w:t xml:space="preserve">sought to have the respondents’ names removed from the roll of advocates on the </w:t>
      </w:r>
      <w:r>
        <w:t>basis</w:t>
      </w:r>
      <w:r w:rsidRPr="002A3405">
        <w:t xml:space="preserve"> that they were no longer fit and proper persons</w:t>
      </w:r>
      <w:r>
        <w:t xml:space="preserve"> and ought not</w:t>
      </w:r>
      <w:r w:rsidRPr="002A3405">
        <w:t xml:space="preserve"> to continue to practise as advocates</w:t>
      </w:r>
      <w:r>
        <w:t>.</w:t>
      </w:r>
      <w:r w:rsidRPr="003E02D3">
        <w:t xml:space="preserve">  </w:t>
      </w:r>
      <w:r w:rsidR="00346157">
        <w:t xml:space="preserve">It became clear that the matter concerned an application of an established test to the evaluation of the facts. </w:t>
      </w:r>
      <w:r w:rsidR="0006015A">
        <w:t xml:space="preserve"> </w:t>
      </w:r>
      <w:r w:rsidRPr="00933BAA">
        <w:t>In determining whether the matter engaged this Court’s jurisdiction, it stated</w:t>
      </w:r>
      <w:r w:rsidR="00014C42">
        <w:t>:</w:t>
      </w:r>
    </w:p>
    <w:p w14:paraId="0AF6312A" w14:textId="77777777" w:rsidR="00B12A15" w:rsidRPr="00B12A15" w:rsidRDefault="00B12A15" w:rsidP="00735EC0">
      <w:pPr>
        <w:pStyle w:val="QUOTEINFOOTNOTE"/>
      </w:pPr>
    </w:p>
    <w:p w14:paraId="21C8C4D8" w14:textId="4778B2DF" w:rsidR="00B12A15" w:rsidRDefault="00735EC0" w:rsidP="00A80BD3">
      <w:pPr>
        <w:pStyle w:val="QUOTATION"/>
      </w:pPr>
      <w:r w:rsidRPr="00735EC0">
        <w:t>“</w:t>
      </w:r>
      <w:r w:rsidR="00B12A15" w:rsidRPr="00735EC0">
        <w:t>The apparently incorrect determination of facts by the majority in the Supreme Court of Appeal and the erroneous application of the three-stage test to those facts also do not raise a constitutional issue.  This is because the standard is well established and the determination of facts, whether right or wrong, does not amount to a constitutional issue.</w:t>
      </w:r>
    </w:p>
    <w:p w14:paraId="7C72E9C1" w14:textId="7C64F955" w:rsidR="00A80BD3" w:rsidRPr="00A80BD3" w:rsidRDefault="00A80BD3" w:rsidP="00A80BD3">
      <w:pPr>
        <w:pStyle w:val="QUOTATION"/>
      </w:pPr>
      <w:r>
        <w:t xml:space="preserve"> . . .</w:t>
      </w:r>
    </w:p>
    <w:p w14:paraId="2E3448DE" w14:textId="66EB786A" w:rsidR="00735EC0" w:rsidRDefault="00B12A15" w:rsidP="00A80BD3">
      <w:pPr>
        <w:pStyle w:val="QUOTATION"/>
      </w:pPr>
      <w:r w:rsidRPr="00735EC0">
        <w:t>It is now axiomatic that if what is at issue in a particular case is the determination of facts, the jurisdiction of this Court is not engaged.</w:t>
      </w:r>
      <w:r w:rsidR="00A80BD3">
        <w:t>”</w:t>
      </w:r>
      <w:r w:rsidR="00A80BD3">
        <w:rPr>
          <w:rStyle w:val="FootnoteReference"/>
        </w:rPr>
        <w:footnoteReference w:id="15"/>
      </w:r>
    </w:p>
    <w:p w14:paraId="56A668C9" w14:textId="77777777" w:rsidR="00A80BD3" w:rsidRPr="00A80BD3" w:rsidRDefault="00A80BD3" w:rsidP="00A80BD3">
      <w:pPr>
        <w:pStyle w:val="FootnoteText1"/>
      </w:pPr>
    </w:p>
    <w:p w14:paraId="26DC418B" w14:textId="77777777" w:rsidR="00D54B56" w:rsidRDefault="00B54C7F" w:rsidP="0006015A">
      <w:pPr>
        <w:pStyle w:val="JUDGMENTNUMBERED"/>
        <w:numPr>
          <w:ilvl w:val="0"/>
          <w:numId w:val="0"/>
        </w:numPr>
      </w:pPr>
      <w:r w:rsidRPr="00933BAA">
        <w:t>Th</w:t>
      </w:r>
      <w:r w:rsidR="0044405F" w:rsidRPr="00933BAA">
        <w:t>e</w:t>
      </w:r>
      <w:r w:rsidRPr="00933BAA">
        <w:t xml:space="preserve"> </w:t>
      </w:r>
      <w:r w:rsidR="0044405F" w:rsidRPr="00933BAA">
        <w:t xml:space="preserve">same </w:t>
      </w:r>
      <w:r w:rsidR="00A509B7">
        <w:t>principle applies in</w:t>
      </w:r>
      <w:r w:rsidR="00346157">
        <w:t xml:space="preserve"> </w:t>
      </w:r>
      <w:r w:rsidR="0044405F" w:rsidRPr="00933BAA">
        <w:t xml:space="preserve">the </w:t>
      </w:r>
      <w:r w:rsidR="00A509B7">
        <w:t>present case</w:t>
      </w:r>
      <w:r w:rsidR="0044405F" w:rsidRPr="00933BAA">
        <w:t xml:space="preserve"> </w:t>
      </w:r>
      <w:r w:rsidR="00346157">
        <w:t xml:space="preserve">as it </w:t>
      </w:r>
      <w:r w:rsidR="0044405F" w:rsidRPr="00933BAA">
        <w:t>involves the determination of a factual dispute.</w:t>
      </w:r>
    </w:p>
    <w:p w14:paraId="6ACB439D" w14:textId="77777777" w:rsidR="009B6754" w:rsidRDefault="009B6754" w:rsidP="000A01E2">
      <w:pPr>
        <w:pStyle w:val="JUDGMENTNUMBERED"/>
        <w:numPr>
          <w:ilvl w:val="0"/>
          <w:numId w:val="0"/>
        </w:numPr>
      </w:pPr>
    </w:p>
    <w:p w14:paraId="12EDE13D" w14:textId="77777777" w:rsidR="00687B97" w:rsidRDefault="00687B97" w:rsidP="003E02D3">
      <w:pPr>
        <w:pStyle w:val="JUDGMENTNUMBERED"/>
      </w:pPr>
      <w:r w:rsidRPr="003E02D3">
        <w:t xml:space="preserve">In this matter, </w:t>
      </w:r>
      <w:r>
        <w:t xml:space="preserve">there were factual disputes before the High Court. </w:t>
      </w:r>
      <w:r w:rsidR="0043251F">
        <w:t xml:space="preserve"> </w:t>
      </w:r>
      <w:r>
        <w:t xml:space="preserve">In order to resolve this, </w:t>
      </w:r>
      <w:r w:rsidRPr="003E02D3">
        <w:t xml:space="preserve">the High Court was required to apply the </w:t>
      </w:r>
      <w:r w:rsidRPr="003E02D3">
        <w:rPr>
          <w:i/>
        </w:rPr>
        <w:t>Plascon-</w:t>
      </w:r>
      <w:proofErr w:type="gramStart"/>
      <w:r w:rsidRPr="003E02D3">
        <w:rPr>
          <w:i/>
        </w:rPr>
        <w:t>Evans</w:t>
      </w:r>
      <w:proofErr w:type="gramEnd"/>
      <w:r w:rsidRPr="003E02D3">
        <w:t xml:space="preserve"> rule.</w:t>
      </w:r>
      <w:r w:rsidR="00FA5A09" w:rsidRPr="003E02D3">
        <w:rPr>
          <w:rStyle w:val="FootnoteReference"/>
        </w:rPr>
        <w:footnoteReference w:id="16"/>
      </w:r>
      <w:r w:rsidRPr="003E02D3">
        <w:t xml:space="preserve">  </w:t>
      </w:r>
      <w:r>
        <w:t xml:space="preserve">The </w:t>
      </w:r>
      <w:r>
        <w:lastRenderedPageBreak/>
        <w:t xml:space="preserve">allegation that it </w:t>
      </w:r>
      <w:r w:rsidR="001B2075">
        <w:t xml:space="preserve">failed or </w:t>
      </w:r>
      <w:r>
        <w:t>misapplied</w:t>
      </w:r>
      <w:r w:rsidRPr="003E02D3">
        <w:t xml:space="preserve"> the rule in the course of making factual findings does not </w:t>
      </w:r>
      <w:r w:rsidR="00AC3BF7">
        <w:t xml:space="preserve">assist the applicants. </w:t>
      </w:r>
      <w:r w:rsidR="000B425C">
        <w:t xml:space="preserve"> </w:t>
      </w:r>
      <w:r w:rsidR="001B2075">
        <w:t xml:space="preserve">That question does not concern the content of the </w:t>
      </w:r>
      <w:r w:rsidR="001B2075" w:rsidRPr="00AC3BF7">
        <w:rPr>
          <w:i/>
        </w:rPr>
        <w:t>Plascon-</w:t>
      </w:r>
      <w:proofErr w:type="gramStart"/>
      <w:r w:rsidR="001B2075" w:rsidRPr="00AC3BF7">
        <w:rPr>
          <w:i/>
        </w:rPr>
        <w:t>Evans</w:t>
      </w:r>
      <w:proofErr w:type="gramEnd"/>
      <w:r w:rsidR="001B2075">
        <w:t xml:space="preserve"> rule but its application to particular facts and the question cannot be answered without reference to </w:t>
      </w:r>
      <w:r w:rsidR="00AC3BF7">
        <w:t xml:space="preserve">the specific </w:t>
      </w:r>
      <w:r w:rsidR="001B2075">
        <w:t>facts</w:t>
      </w:r>
      <w:r w:rsidR="00AC3BF7">
        <w:t xml:space="preserve"> in this case. </w:t>
      </w:r>
      <w:r w:rsidR="000B425C">
        <w:t xml:space="preserve"> </w:t>
      </w:r>
      <w:r w:rsidR="00AC3BF7">
        <w:t xml:space="preserve">Therefore, a </w:t>
      </w:r>
      <w:r w:rsidR="0044405F">
        <w:t xml:space="preserve">failure </w:t>
      </w:r>
      <w:r w:rsidR="00FA5A09">
        <w:t xml:space="preserve">to apply the rule or </w:t>
      </w:r>
      <w:r w:rsidR="0044405F">
        <w:t xml:space="preserve">a </w:t>
      </w:r>
      <w:r w:rsidR="00AC3BF7">
        <w:t>misapplication of the rule does not</w:t>
      </w:r>
      <w:r w:rsidR="00AC3BF7" w:rsidRPr="00AC3BF7">
        <w:t xml:space="preserve"> </w:t>
      </w:r>
      <w:r w:rsidR="00AC3BF7" w:rsidRPr="003E02D3">
        <w:t>engage this Court’s jurisdiction.</w:t>
      </w:r>
      <w:r w:rsidR="00AC3BF7" w:rsidRPr="003E02D3">
        <w:rPr>
          <w:rStyle w:val="FootnoteReference"/>
        </w:rPr>
        <w:footnoteReference w:id="17"/>
      </w:r>
      <w:r w:rsidR="00AC3BF7">
        <w:t xml:space="preserve"> </w:t>
      </w:r>
      <w:r w:rsidRPr="003E02D3">
        <w:t xml:space="preserve"> </w:t>
      </w:r>
      <w:r w:rsidR="00710A65">
        <w:t>Similarly, f</w:t>
      </w:r>
      <w:r w:rsidR="00035D1C" w:rsidRPr="003E02D3">
        <w:t xml:space="preserve">actual disputes do not </w:t>
      </w:r>
      <w:r w:rsidR="00D515E6">
        <w:t xml:space="preserve">ordinarily </w:t>
      </w:r>
      <w:r w:rsidR="00035D1C" w:rsidRPr="003E02D3">
        <w:t>engage this Court</w:t>
      </w:r>
      <w:r w:rsidR="0044226A">
        <w:t>’</w:t>
      </w:r>
      <w:r w:rsidR="00035D1C" w:rsidRPr="003E02D3">
        <w:t>s jurisdiction</w:t>
      </w:r>
      <w:r w:rsidR="00035D1C">
        <w:t>.</w:t>
      </w:r>
      <w:r w:rsidR="00303BB3">
        <w:rPr>
          <w:rStyle w:val="FootnoteReference"/>
        </w:rPr>
        <w:footnoteReference w:id="18"/>
      </w:r>
      <w:r w:rsidR="00035D1C">
        <w:t xml:space="preserve"> </w:t>
      </w:r>
      <w:r w:rsidR="00303BB3">
        <w:t xml:space="preserve"> </w:t>
      </w:r>
      <w:r w:rsidR="00AC3BF7">
        <w:t xml:space="preserve">Therefore, where the determination of a matter turns solely on the determination of factual disputes, this Court will not </w:t>
      </w:r>
      <w:r w:rsidR="00014C42">
        <w:t>have jurisdiction to entertain the application</w:t>
      </w:r>
      <w:r w:rsidR="00AC3BF7">
        <w:t xml:space="preserve">.  </w:t>
      </w:r>
      <w:r>
        <w:t>In any event</w:t>
      </w:r>
      <w:r w:rsidRPr="003E02D3">
        <w:t xml:space="preserve">, a misdirection on the facts </w:t>
      </w:r>
      <w:r w:rsidR="00AC3BF7">
        <w:t>by the High Court is not</w:t>
      </w:r>
      <w:r w:rsidRPr="003E02D3">
        <w:t xml:space="preserve"> an arguable point of law of general public importance.</w:t>
      </w:r>
    </w:p>
    <w:p w14:paraId="4AE696BC" w14:textId="77777777" w:rsidR="00794FC8" w:rsidRDefault="00794FC8" w:rsidP="00794FC8">
      <w:pPr>
        <w:pStyle w:val="JUDGMENTCONTINUED"/>
      </w:pPr>
    </w:p>
    <w:p w14:paraId="0B317F45" w14:textId="77777777" w:rsidR="00334963" w:rsidRDefault="00FA5A09" w:rsidP="00334963">
      <w:pPr>
        <w:pStyle w:val="JUDGMENTNUMBERED"/>
      </w:pPr>
      <w:r>
        <w:t>Be that as it may</w:t>
      </w:r>
      <w:r w:rsidR="00AC3BF7">
        <w:t xml:space="preserve">, there may be instances </w:t>
      </w:r>
      <w:r w:rsidR="0069043C">
        <w:t>in which</w:t>
      </w:r>
      <w:r w:rsidR="00014C42">
        <w:t xml:space="preserve"> </w:t>
      </w:r>
      <w:r w:rsidR="00AC3BF7">
        <w:t xml:space="preserve">this Court will have jurisdiction </w:t>
      </w:r>
      <w:r w:rsidR="0069043C">
        <w:t>despite the presence of</w:t>
      </w:r>
      <w:r w:rsidR="00334963">
        <w:t xml:space="preserve"> a factual dispute</w:t>
      </w:r>
      <w:r w:rsidR="0069043C">
        <w:t>.</w:t>
      </w:r>
      <w:r w:rsidR="00AC3BF7">
        <w:t xml:space="preserve"> </w:t>
      </w:r>
      <w:r w:rsidR="0069043C">
        <w:t xml:space="preserve"> T</w:t>
      </w:r>
      <w:r w:rsidR="00AC3BF7">
        <w:t xml:space="preserve">his will be </w:t>
      </w:r>
      <w:r w:rsidR="005D6F1F">
        <w:t xml:space="preserve">where </w:t>
      </w:r>
      <w:r w:rsidR="00AC3BF7">
        <w:t>the dispute is connected to a constitutional matter to be decided by the Court</w:t>
      </w:r>
      <w:r w:rsidR="00334963">
        <w:t xml:space="preserve">.  In </w:t>
      </w:r>
      <w:bookmarkStart w:id="2" w:name="_Hlk88548601"/>
      <w:r w:rsidR="00334963" w:rsidRPr="00961736">
        <w:rPr>
          <w:i/>
          <w:iCs/>
        </w:rPr>
        <w:t>Rail Commuters</w:t>
      </w:r>
      <w:r w:rsidR="00334963" w:rsidRPr="00ED31C8">
        <w:t>,</w:t>
      </w:r>
      <w:r w:rsidR="00334963" w:rsidRPr="00961736">
        <w:rPr>
          <w:i/>
          <w:iCs/>
        </w:rPr>
        <w:t xml:space="preserve"> </w:t>
      </w:r>
      <w:bookmarkEnd w:id="2"/>
      <w:r w:rsidR="00AC3BF7">
        <w:t>this Court said</w:t>
      </w:r>
      <w:r w:rsidR="00334963">
        <w:t>:</w:t>
      </w:r>
    </w:p>
    <w:p w14:paraId="04EC2CCC" w14:textId="77777777" w:rsidR="00334963" w:rsidRPr="00D515E6" w:rsidRDefault="00334963" w:rsidP="00ED31C8">
      <w:pPr>
        <w:pStyle w:val="QUOTATION"/>
      </w:pPr>
    </w:p>
    <w:p w14:paraId="737F4075" w14:textId="77777777" w:rsidR="00794FC8" w:rsidRPr="00334963" w:rsidRDefault="00334963" w:rsidP="00ED31C8">
      <w:pPr>
        <w:pStyle w:val="QUOTATION"/>
      </w:pPr>
      <w:r>
        <w:t>“</w:t>
      </w:r>
      <w:r w:rsidRPr="00D515E6">
        <w:t>This reasoning does not imply that disputes of fact may not be resolved by this Court.</w:t>
      </w:r>
      <w:r>
        <w:t xml:space="preserve">  </w:t>
      </w:r>
      <w:r w:rsidRPr="00D515E6">
        <w:t>It states merely that where the only issue in a criminal appeal is dissatisfaction with the factual findings made by the S</w:t>
      </w:r>
      <w:r w:rsidR="004463F4">
        <w:t xml:space="preserve">upreme </w:t>
      </w:r>
      <w:r w:rsidRPr="00D515E6">
        <w:t>C</w:t>
      </w:r>
      <w:r w:rsidR="004463F4">
        <w:t xml:space="preserve">ourt of </w:t>
      </w:r>
      <w:r w:rsidRPr="00D515E6">
        <w:t>A</w:t>
      </w:r>
      <w:r w:rsidR="004463F4">
        <w:t>ppeal</w:t>
      </w:r>
      <w:r w:rsidRPr="00D515E6">
        <w:t>, and no other constitutional issue is raised, no constitutional right is engaged by such a challenge.</w:t>
      </w:r>
      <w:r>
        <w:t xml:space="preserve">  </w:t>
      </w:r>
      <w:r w:rsidRPr="00D515E6">
        <w:t xml:space="preserve">Where, however, a separate constitutional issue is raised in respect of which there are disputes of fact, those disputes of fact will constitute </w:t>
      </w:r>
      <w:r w:rsidR="004463F4">
        <w:t>‘</w:t>
      </w:r>
      <w:r w:rsidRPr="00D515E6">
        <w:t>issues connected with decisions on constitutional matters</w:t>
      </w:r>
      <w:r w:rsidR="004463F4">
        <w:t>’</w:t>
      </w:r>
      <w:r w:rsidRPr="00D515E6">
        <w:t xml:space="preserve"> as contemplated by section 167(3)(b) of the Constitution.</w:t>
      </w:r>
      <w:r>
        <w:t xml:space="preserve"> </w:t>
      </w:r>
      <w:r w:rsidRPr="00D515E6">
        <w:t xml:space="preserve"> On many occasions, therefore, this Court has had to determine on appeal the facts of a matter in order to determine the constitutional claim before it</w:t>
      </w:r>
      <w:r>
        <w:t xml:space="preserve">.  </w:t>
      </w:r>
      <w:r w:rsidRPr="00D515E6">
        <w:t xml:space="preserve">Were it to be otherwise, this Court’s ability </w:t>
      </w:r>
      <w:r w:rsidRPr="00D515E6">
        <w:lastRenderedPageBreak/>
        <w:t xml:space="preserve">to fulfil its constitutional task of determining constitutional matters would be </w:t>
      </w:r>
      <w:proofErr w:type="gramStart"/>
      <w:r w:rsidRPr="00D515E6">
        <w:t>frustrated.</w:t>
      </w:r>
      <w:proofErr w:type="gramEnd"/>
      <w:r>
        <w:t>”</w:t>
      </w:r>
      <w:r>
        <w:rPr>
          <w:rStyle w:val="FootnoteReference"/>
        </w:rPr>
        <w:footnoteReference w:id="19"/>
      </w:r>
    </w:p>
    <w:p w14:paraId="73D8CB1A" w14:textId="77777777" w:rsidR="00687B97" w:rsidRDefault="00687B97" w:rsidP="00CD099F">
      <w:pPr>
        <w:pStyle w:val="JUDGMENTNUMBERED"/>
        <w:numPr>
          <w:ilvl w:val="0"/>
          <w:numId w:val="0"/>
        </w:numPr>
      </w:pPr>
    </w:p>
    <w:p w14:paraId="5EF4955C" w14:textId="77777777" w:rsidR="002A3405" w:rsidRDefault="004B38A2" w:rsidP="003E02D3">
      <w:pPr>
        <w:pStyle w:val="JUDGMENTNUMBERED"/>
      </w:pPr>
      <w:r w:rsidRPr="003E02D3">
        <w:t>The argument relating</w:t>
      </w:r>
      <w:r w:rsidR="00F908A7" w:rsidRPr="003E02D3">
        <w:t xml:space="preserve"> to the alleged “arguable points of law” also does not assist the applicant</w:t>
      </w:r>
      <w:r w:rsidRPr="003E02D3">
        <w:t>s</w:t>
      </w:r>
      <w:r w:rsidR="0096255A" w:rsidRPr="003E02D3">
        <w:t xml:space="preserve">. </w:t>
      </w:r>
      <w:r w:rsidR="00F908A7" w:rsidRPr="003E02D3">
        <w:t xml:space="preserve"> </w:t>
      </w:r>
      <w:r w:rsidR="0096255A" w:rsidRPr="003E02D3">
        <w:t>T</w:t>
      </w:r>
      <w:r w:rsidR="00F908A7" w:rsidRPr="003E02D3">
        <w:t xml:space="preserve">he points raised </w:t>
      </w:r>
      <w:r w:rsidR="0096255A" w:rsidRPr="003E02D3">
        <w:t xml:space="preserve">by the applicants </w:t>
      </w:r>
      <w:r w:rsidR="00F908A7" w:rsidRPr="003E02D3">
        <w:t xml:space="preserve">are points of fact. </w:t>
      </w:r>
      <w:r w:rsidR="0096255A" w:rsidRPr="003E02D3">
        <w:t xml:space="preserve"> </w:t>
      </w:r>
      <w:r w:rsidR="00F908A7" w:rsidRPr="003E02D3">
        <w:t xml:space="preserve">In </w:t>
      </w:r>
      <w:r w:rsidR="00F908A7" w:rsidRPr="003E02D3">
        <w:rPr>
          <w:i/>
        </w:rPr>
        <w:t>Paulsen</w:t>
      </w:r>
      <w:r w:rsidR="00F908A7" w:rsidRPr="003E02D3">
        <w:t>, this Court emphasised that a</w:t>
      </w:r>
      <w:r w:rsidR="00FC5F30">
        <w:t>n arguable</w:t>
      </w:r>
      <w:r w:rsidR="00F908A7" w:rsidRPr="003E02D3">
        <w:t xml:space="preserve"> point of law </w:t>
      </w:r>
      <w:r w:rsidR="00FC5F30">
        <w:t xml:space="preserve">of general public importance </w:t>
      </w:r>
      <w:r w:rsidR="00F908A7" w:rsidRPr="003E02D3">
        <w:t xml:space="preserve">must be just that </w:t>
      </w:r>
      <w:r w:rsidR="0069043C">
        <w:t>–</w:t>
      </w:r>
      <w:r w:rsidR="00F908A7" w:rsidRPr="003E02D3">
        <w:t xml:space="preserve"> </w:t>
      </w:r>
      <w:r w:rsidR="00777CEE" w:rsidRPr="003E02D3">
        <w:t xml:space="preserve">a </w:t>
      </w:r>
      <w:r w:rsidR="00F908A7" w:rsidRPr="003E02D3">
        <w:t>legal question</w:t>
      </w:r>
      <w:r w:rsidR="00777CEE" w:rsidRPr="003E02D3">
        <w:t xml:space="preserve"> that is open for determination</w:t>
      </w:r>
      <w:r w:rsidR="00237A5A">
        <w:t>.</w:t>
      </w:r>
      <w:r w:rsidR="005323DA">
        <w:rPr>
          <w:rStyle w:val="FootnoteReference"/>
        </w:rPr>
        <w:footnoteReference w:id="20"/>
      </w:r>
      <w:r w:rsidR="00237A5A">
        <w:t xml:space="preserve">  This</w:t>
      </w:r>
      <w:r w:rsidR="0096255A" w:rsidRPr="003E02D3">
        <w:t xml:space="preserve"> excludes a </w:t>
      </w:r>
      <w:r w:rsidR="00F908A7" w:rsidRPr="003E02D3">
        <w:t>determination wholly based on a factual dispute.</w:t>
      </w:r>
      <w:r w:rsidR="00562EBE" w:rsidRPr="00562EBE">
        <w:t xml:space="preserve"> </w:t>
      </w:r>
      <w:r w:rsidR="00562EBE">
        <w:t xml:space="preserve"> </w:t>
      </w:r>
      <w:r w:rsidR="00562EBE" w:rsidRPr="003E02D3">
        <w:t>In this case, the applicant</w:t>
      </w:r>
      <w:r w:rsidR="00562EBE">
        <w:t>s</w:t>
      </w:r>
      <w:r w:rsidR="00562EBE" w:rsidRPr="003E02D3">
        <w:t xml:space="preserve"> ha</w:t>
      </w:r>
      <w:r w:rsidR="00562EBE">
        <w:t>ve</w:t>
      </w:r>
      <w:r w:rsidR="00562EBE" w:rsidRPr="003E02D3">
        <w:t xml:space="preserve"> failed to overcome this hurdle</w:t>
      </w:r>
      <w:r w:rsidR="00562EBE">
        <w:t>.</w:t>
      </w:r>
      <w:r w:rsidR="00FC5F30" w:rsidRPr="00FC5F30">
        <w:t xml:space="preserve"> </w:t>
      </w:r>
      <w:r w:rsidR="00FC5F30">
        <w:t xml:space="preserve"> Accordingly, this Court’s jurisdiction is not engaged.</w:t>
      </w:r>
    </w:p>
    <w:p w14:paraId="6812E06F" w14:textId="77777777" w:rsidR="00034035" w:rsidRPr="003E02D3" w:rsidRDefault="00034035" w:rsidP="00773574">
      <w:pPr>
        <w:pStyle w:val="JUDGMENTCONTINUED"/>
      </w:pPr>
    </w:p>
    <w:p w14:paraId="3738DF63" w14:textId="77777777" w:rsidR="00E564FE" w:rsidRPr="003E02D3" w:rsidRDefault="00034035" w:rsidP="00034035">
      <w:pPr>
        <w:pStyle w:val="JUDGMENTNUMBERED"/>
      </w:pPr>
      <w:r w:rsidRPr="003E02D3">
        <w:t>The</w:t>
      </w:r>
      <w:r w:rsidR="00D41B06">
        <w:t xml:space="preserve"> second</w:t>
      </w:r>
      <w:r w:rsidRPr="003E02D3">
        <w:t xml:space="preserve"> </w:t>
      </w:r>
      <w:r w:rsidR="00D9544E" w:rsidRPr="003E02D3">
        <w:t>issue</w:t>
      </w:r>
      <w:r w:rsidR="00D41B06">
        <w:t xml:space="preserve"> on which the applicants rely to establish jurisdiction,</w:t>
      </w:r>
      <w:r w:rsidR="00D9544E" w:rsidRPr="003E02D3">
        <w:t xml:space="preserve"> </w:t>
      </w:r>
      <w:r w:rsidRPr="003E02D3">
        <w:t>relat</w:t>
      </w:r>
      <w:r w:rsidR="00346157">
        <w:t>es</w:t>
      </w:r>
      <w:r w:rsidRPr="003E02D3">
        <w:t xml:space="preserve"> to the authority of a trustee</w:t>
      </w:r>
      <w:r w:rsidR="00D41B06">
        <w:t>,</w:t>
      </w:r>
      <w:r w:rsidRPr="003E02D3">
        <w:t xml:space="preserve"> </w:t>
      </w:r>
      <w:r w:rsidR="00014C42">
        <w:t xml:space="preserve">which is </w:t>
      </w:r>
      <w:r w:rsidRPr="003E02D3">
        <w:t>a legal question.  However, the law relating to the operation of a trust is well</w:t>
      </w:r>
      <w:r w:rsidR="00FC5F30">
        <w:t>-</w:t>
      </w:r>
      <w:r w:rsidRPr="003E02D3">
        <w:t>settled.</w:t>
      </w:r>
      <w:r w:rsidR="000A1777" w:rsidRPr="003E02D3">
        <w:t xml:space="preserve"> </w:t>
      </w:r>
      <w:r w:rsidRPr="003E02D3">
        <w:t xml:space="preserve"> The powers of a trustee to ac</w:t>
      </w:r>
      <w:r w:rsidR="004527D0">
        <w:t>t</w:t>
      </w:r>
      <w:r w:rsidRPr="003E02D3">
        <w:t xml:space="preserve"> on behalf of the trust are located within the four corners of the trust deed.</w:t>
      </w:r>
      <w:r w:rsidR="004F7ED3">
        <w:t xml:space="preserve"> </w:t>
      </w:r>
      <w:r w:rsidR="00B450BF">
        <w:t xml:space="preserve"> </w:t>
      </w:r>
      <w:r w:rsidR="004F7ED3">
        <w:t xml:space="preserve">They </w:t>
      </w:r>
      <w:r w:rsidR="00FC5F30">
        <w:t>provide</w:t>
      </w:r>
      <w:r w:rsidR="004F7ED3">
        <w:t xml:space="preserve"> </w:t>
      </w:r>
      <w:r w:rsidR="00FC5F30">
        <w:t xml:space="preserve">for </w:t>
      </w:r>
      <w:r w:rsidR="004F7ED3">
        <w:t xml:space="preserve">the circumstances in which the </w:t>
      </w:r>
      <w:r w:rsidR="008A5E3D">
        <w:t>act</w:t>
      </w:r>
      <w:r w:rsidR="004527D0">
        <w:t>ion</w:t>
      </w:r>
      <w:r w:rsidR="008A5E3D">
        <w:t xml:space="preserve">s </w:t>
      </w:r>
      <w:r w:rsidR="004F7ED3">
        <w:t>of trustees may bind a trust.</w:t>
      </w:r>
      <w:r w:rsidRPr="003E02D3">
        <w:t xml:space="preserve">  Thus, a trustee acting outside the parameters of the powers conferred on her will be found not to have acted on behalf of the trust.</w:t>
      </w:r>
      <w:r w:rsidR="003E274D" w:rsidRPr="003E02D3">
        <w:t xml:space="preserve"> </w:t>
      </w:r>
      <w:r w:rsidRPr="003E02D3">
        <w:t xml:space="preserve"> In </w:t>
      </w:r>
      <w:r w:rsidRPr="003E02D3">
        <w:rPr>
          <w:i/>
          <w:iCs/>
        </w:rPr>
        <w:t>H</w:t>
      </w:r>
      <w:r w:rsidR="00DD11EC">
        <w:rPr>
          <w:i/>
          <w:iCs/>
        </w:rPr>
        <w:t>o</w:t>
      </w:r>
      <w:r w:rsidRPr="003E02D3">
        <w:rPr>
          <w:i/>
          <w:iCs/>
        </w:rPr>
        <w:t>osen N.O.</w:t>
      </w:r>
      <w:r w:rsidRPr="003E02D3">
        <w:t>, a trust deed was silent on the delegation of powers, rights, and duties to a single trustee, but conspicuously made provision for collective action by the trustees.</w:t>
      </w:r>
      <w:r w:rsidR="00AD37FC" w:rsidRPr="003E02D3">
        <w:rPr>
          <w:rStyle w:val="FootnoteReference"/>
        </w:rPr>
        <w:footnoteReference w:id="21"/>
      </w:r>
      <w:r w:rsidRPr="003E02D3">
        <w:t xml:space="preserve">  That </w:t>
      </w:r>
      <w:r w:rsidR="00475BCB">
        <w:t>C</w:t>
      </w:r>
      <w:r w:rsidRPr="003E02D3">
        <w:t>ourt</w:t>
      </w:r>
      <w:r w:rsidR="00376710" w:rsidRPr="003E02D3">
        <w:t xml:space="preserve"> </w:t>
      </w:r>
      <w:r w:rsidRPr="003E02D3">
        <w:t xml:space="preserve">rejected the notion that a single trustee could act for </w:t>
      </w:r>
      <w:r w:rsidR="00376710" w:rsidRPr="003E02D3">
        <w:t>a</w:t>
      </w:r>
      <w:r w:rsidRPr="003E02D3">
        <w:t xml:space="preserve"> trust on her own initiative without her co-trustees’ authorisation. </w:t>
      </w:r>
      <w:r w:rsidR="00AD37FC" w:rsidRPr="003E02D3">
        <w:t xml:space="preserve"> </w:t>
      </w:r>
      <w:r w:rsidRPr="003E02D3">
        <w:t xml:space="preserve">This principle </w:t>
      </w:r>
      <w:r w:rsidR="004F7ED3">
        <w:t>has not changed</w:t>
      </w:r>
      <w:r w:rsidRPr="003E02D3">
        <w:t>.</w:t>
      </w:r>
      <w:r w:rsidR="00FC5F30">
        <w:rPr>
          <w:rStyle w:val="FootnoteReference"/>
        </w:rPr>
        <w:footnoteReference w:id="22"/>
      </w:r>
      <w:r w:rsidR="00D61B34" w:rsidRPr="003E02D3">
        <w:t xml:space="preserve">  In </w:t>
      </w:r>
      <w:r w:rsidR="00D61B34" w:rsidRPr="003E02D3">
        <w:rPr>
          <w:i/>
        </w:rPr>
        <w:t>Land Bank</w:t>
      </w:r>
      <w:r w:rsidR="00D61B34" w:rsidRPr="003E02D3">
        <w:t>,</w:t>
      </w:r>
      <w:r w:rsidR="00FC5F30">
        <w:rPr>
          <w:rStyle w:val="FootnoteReference"/>
        </w:rPr>
        <w:footnoteReference w:id="23"/>
      </w:r>
      <w:r w:rsidR="00D61B34" w:rsidRPr="003E02D3">
        <w:t xml:space="preserve"> the same principle was </w:t>
      </w:r>
      <w:r w:rsidR="00E564FE" w:rsidRPr="003E02D3">
        <w:t xml:space="preserve">reiterated by the Supreme Court of Appeal.  </w:t>
      </w:r>
      <w:r w:rsidR="001851C7">
        <w:t xml:space="preserve">The </w:t>
      </w:r>
      <w:r w:rsidR="00F05EBF">
        <w:t xml:space="preserve">broad </w:t>
      </w:r>
      <w:r w:rsidR="001851C7">
        <w:t xml:space="preserve">context in that matter </w:t>
      </w:r>
      <w:r w:rsidR="00D52E67">
        <w:t>concerned</w:t>
      </w:r>
      <w:r w:rsidR="001851C7">
        <w:t xml:space="preserve"> a </w:t>
      </w:r>
      <w:r w:rsidR="00D52E67">
        <w:t>dispute over</w:t>
      </w:r>
      <w:r w:rsidR="001851C7">
        <w:t xml:space="preserve"> a family trust</w:t>
      </w:r>
      <w:r w:rsidR="00F05EBF">
        <w:t xml:space="preserve">. </w:t>
      </w:r>
      <w:r w:rsidR="001851C7">
        <w:t xml:space="preserve"> </w:t>
      </w:r>
      <w:r w:rsidR="00F05EBF">
        <w:t>The family trust</w:t>
      </w:r>
      <w:r w:rsidR="001851C7">
        <w:t xml:space="preserve"> was alleged to owe over R16 million to the Land Bank</w:t>
      </w:r>
      <w:r w:rsidR="00F05EBF">
        <w:t xml:space="preserve"> which sought the </w:t>
      </w:r>
      <w:r w:rsidR="00D52E67">
        <w:t>payment</w:t>
      </w:r>
      <w:r w:rsidR="00F05EBF">
        <w:t xml:space="preserve"> of these monies</w:t>
      </w:r>
      <w:r w:rsidR="001851C7">
        <w:t xml:space="preserve">.  </w:t>
      </w:r>
      <w:r w:rsidR="00F05EBF">
        <w:t>T</w:t>
      </w:r>
      <w:r w:rsidR="001851C7">
        <w:t>he question at the fore</w:t>
      </w:r>
      <w:r w:rsidR="00A473A2">
        <w:t>front of the enquiry</w:t>
      </w:r>
      <w:r w:rsidR="001851C7">
        <w:t xml:space="preserve"> was which </w:t>
      </w:r>
      <w:r w:rsidR="001851C7">
        <w:lastRenderedPageBreak/>
        <w:t xml:space="preserve">circumstances </w:t>
      </w:r>
      <w:r w:rsidR="00D52E67">
        <w:t>had bound the</w:t>
      </w:r>
      <w:r w:rsidR="001851C7">
        <w:t xml:space="preserve"> trust through the dealings of its trustees.  </w:t>
      </w:r>
      <w:r w:rsidR="00E564FE" w:rsidRPr="003E02D3">
        <w:t>Th</w:t>
      </w:r>
      <w:r w:rsidR="00340B80">
        <w:t>e</w:t>
      </w:r>
      <w:r w:rsidR="00E564FE" w:rsidRPr="003E02D3">
        <w:t xml:space="preserve"> </w:t>
      </w:r>
      <w:r w:rsidR="00340B80">
        <w:t xml:space="preserve">Supreme </w:t>
      </w:r>
      <w:r w:rsidR="00E564FE" w:rsidRPr="003E02D3">
        <w:t>Court</w:t>
      </w:r>
      <w:r w:rsidR="00340B80">
        <w:t xml:space="preserve"> of Appeal</w:t>
      </w:r>
      <w:r w:rsidR="00CF40A9">
        <w:t xml:space="preserve"> sai</w:t>
      </w:r>
      <w:r w:rsidR="00E564FE" w:rsidRPr="003E02D3">
        <w:t>d</w:t>
      </w:r>
      <w:r w:rsidR="00A473A2">
        <w:t>:</w:t>
      </w:r>
    </w:p>
    <w:p w14:paraId="1BDEA35F" w14:textId="77777777" w:rsidR="00E564FE" w:rsidRPr="003E02D3" w:rsidRDefault="00E564FE" w:rsidP="003E02D3">
      <w:pPr>
        <w:pStyle w:val="QUOTATION"/>
      </w:pPr>
    </w:p>
    <w:p w14:paraId="472E3526" w14:textId="77777777" w:rsidR="00D61B34" w:rsidRPr="003E02D3" w:rsidRDefault="00E564FE" w:rsidP="003E02D3">
      <w:pPr>
        <w:pStyle w:val="QUOTATION"/>
      </w:pPr>
      <w:r w:rsidRPr="003E02D3">
        <w:t>“</w:t>
      </w:r>
      <w:r w:rsidR="00A473A2">
        <w:t>[A]</w:t>
      </w:r>
      <w:r w:rsidRPr="003E02D3">
        <w:t xml:space="preserve"> provision [in a trust deed] requiring that a specified minimum number of trustees must hold office is a capacity-defining condition.  It lays down a prerequisite that must be fulfilled before the trust estate can be bound.  When fewer trustees than the number specified are in office, the trust suffers from an incapacity that precludes action on its behalf.”</w:t>
      </w:r>
      <w:r w:rsidR="00376710" w:rsidRPr="003E02D3">
        <w:rPr>
          <w:rStyle w:val="FootnoteReference"/>
        </w:rPr>
        <w:footnoteReference w:id="24"/>
      </w:r>
    </w:p>
    <w:p w14:paraId="52B9D123" w14:textId="77777777" w:rsidR="00E564FE" w:rsidRPr="003E02D3" w:rsidRDefault="00E564FE" w:rsidP="003E02D3">
      <w:pPr>
        <w:pStyle w:val="JUDGMENTCONTINUED"/>
      </w:pPr>
    </w:p>
    <w:p w14:paraId="3D991FDB" w14:textId="77777777" w:rsidR="00E564FE" w:rsidRPr="003E02D3" w:rsidRDefault="00E564FE">
      <w:pPr>
        <w:pStyle w:val="JUDGMENTNUMBERED"/>
      </w:pPr>
      <w:r w:rsidRPr="003E02D3">
        <w:t>I</w:t>
      </w:r>
      <w:r w:rsidR="00035D1C">
        <w:t>n my</w:t>
      </w:r>
      <w:r w:rsidRPr="003E02D3">
        <w:t xml:space="preserve"> </w:t>
      </w:r>
      <w:r w:rsidR="00303BB3" w:rsidRPr="003E02D3">
        <w:t>view</w:t>
      </w:r>
      <w:r w:rsidR="002A3405">
        <w:t>,</w:t>
      </w:r>
      <w:r w:rsidR="00303BB3" w:rsidRPr="003E02D3">
        <w:t xml:space="preserve"> nothing</w:t>
      </w:r>
      <w:r w:rsidRPr="003E02D3">
        <w:t xml:space="preserve"> more need</w:t>
      </w:r>
      <w:r w:rsidR="00710A65">
        <w:t>s to</w:t>
      </w:r>
      <w:r w:rsidRPr="003E02D3">
        <w:t xml:space="preserve"> be said about the requirements to bind a trust.  The requisite number of trustees must be in office before the trust can be said to have acted.  The law is settled on this point and the argument</w:t>
      </w:r>
      <w:r w:rsidR="00CD099F">
        <w:t xml:space="preserve"> does not assist the applican</w:t>
      </w:r>
      <w:r w:rsidRPr="003E02D3">
        <w:t>t</w:t>
      </w:r>
      <w:r w:rsidR="00777305">
        <w:t>s</w:t>
      </w:r>
      <w:r w:rsidR="00710A65">
        <w:t>.</w:t>
      </w:r>
    </w:p>
    <w:p w14:paraId="3667DCDE" w14:textId="77777777" w:rsidR="00E564FE" w:rsidRPr="003E02D3" w:rsidRDefault="00E564FE" w:rsidP="003E02D3">
      <w:pPr>
        <w:pStyle w:val="JUDGMENTCONTINUED"/>
      </w:pPr>
    </w:p>
    <w:p w14:paraId="4990EEFD" w14:textId="77777777" w:rsidR="00034035" w:rsidRPr="003E02D3" w:rsidRDefault="00D855AC">
      <w:pPr>
        <w:pStyle w:val="JUDGMENTNUMBERED"/>
      </w:pPr>
      <w:r w:rsidRPr="00D855AC">
        <w:t>As I see it, what the applicants appear to take issue with is that the High Court held that the two other trustees, Mr Cronje and Mrs Louw, acquiesced in Mr Louw’s use of the Trust as a conduit for illicit flows of the ill-gotten monies</w:t>
      </w:r>
      <w:r w:rsidR="00034035" w:rsidRPr="003E02D3">
        <w:t>.</w:t>
      </w:r>
      <w:r w:rsidR="00AD37FC" w:rsidRPr="003E02D3">
        <w:rPr>
          <w:rStyle w:val="FootnoteReference"/>
        </w:rPr>
        <w:footnoteReference w:id="25"/>
      </w:r>
      <w:r w:rsidR="00AD37FC" w:rsidRPr="003E02D3">
        <w:t xml:space="preserve"> </w:t>
      </w:r>
      <w:r w:rsidR="00034035" w:rsidRPr="003E02D3">
        <w:t xml:space="preserve"> This again is a challenge to a finding of fact made by the High Court.</w:t>
      </w:r>
      <w:r w:rsidR="00AD37FC" w:rsidRPr="003E02D3">
        <w:rPr>
          <w:rStyle w:val="FootnoteReference"/>
        </w:rPr>
        <w:footnoteReference w:id="26"/>
      </w:r>
      <w:r w:rsidR="00034035" w:rsidRPr="003E02D3">
        <w:t xml:space="preserve"> </w:t>
      </w:r>
      <w:r w:rsidR="00AD37FC" w:rsidRPr="003E02D3">
        <w:t xml:space="preserve"> </w:t>
      </w:r>
      <w:r w:rsidR="00034035" w:rsidRPr="003E02D3">
        <w:t>Alternatively, if they say that this is not so, this would at best be a complaint that the High Court misapplied an established principle.</w:t>
      </w:r>
      <w:r w:rsidR="00AD37FC" w:rsidRPr="003E02D3">
        <w:rPr>
          <w:rStyle w:val="FootnoteReference"/>
        </w:rPr>
        <w:footnoteReference w:id="27"/>
      </w:r>
      <w:r w:rsidR="00AD37FC" w:rsidRPr="003E02D3">
        <w:t xml:space="preserve"> </w:t>
      </w:r>
      <w:r w:rsidR="00034035" w:rsidRPr="003E02D3">
        <w:t xml:space="preserve"> </w:t>
      </w:r>
      <w:r w:rsidR="00F2620F">
        <w:t xml:space="preserve">Neither </w:t>
      </w:r>
      <w:r w:rsidR="00034035" w:rsidRPr="003E02D3">
        <w:t>engage</w:t>
      </w:r>
      <w:r w:rsidR="00FD5753">
        <w:t>s</w:t>
      </w:r>
      <w:r w:rsidR="00034035" w:rsidRPr="003E02D3">
        <w:t xml:space="preserve"> this Court</w:t>
      </w:r>
      <w:r w:rsidR="00A473A2">
        <w:t>’</w:t>
      </w:r>
      <w:r w:rsidR="00034035" w:rsidRPr="003E02D3">
        <w:t>s jurisdiction.</w:t>
      </w:r>
    </w:p>
    <w:p w14:paraId="582D3E8B" w14:textId="77777777" w:rsidR="00FA1D58" w:rsidRPr="003E02D3" w:rsidRDefault="00FA1D58" w:rsidP="003E02D3">
      <w:pPr>
        <w:pStyle w:val="JUDGMENTCONTINUED"/>
      </w:pPr>
    </w:p>
    <w:p w14:paraId="5AC54425" w14:textId="77777777" w:rsidR="00FA1D58" w:rsidRPr="003E02D3" w:rsidRDefault="00FA1D58" w:rsidP="00FA1D58">
      <w:pPr>
        <w:pStyle w:val="JUDGMENTNUMBERED"/>
      </w:pPr>
      <w:r w:rsidRPr="003E02D3">
        <w:t>The applicants also sought condonation for the late filing of this application.  However, having concluded that this Cour</w:t>
      </w:r>
      <w:r w:rsidR="00962503">
        <w:t xml:space="preserve">t lacks </w:t>
      </w:r>
      <w:r w:rsidRPr="003E02D3">
        <w:t>jurisdiction</w:t>
      </w:r>
      <w:r w:rsidR="00962503">
        <w:t xml:space="preserve"> to entertain the matter</w:t>
      </w:r>
      <w:r w:rsidR="00035D1C">
        <w:t>,</w:t>
      </w:r>
      <w:r w:rsidRPr="003E02D3">
        <w:t xml:space="preserve"> </w:t>
      </w:r>
      <w:r w:rsidR="00237A5A">
        <w:t>the</w:t>
      </w:r>
      <w:r w:rsidRPr="003E02D3">
        <w:t xml:space="preserve"> application for condonation</w:t>
      </w:r>
      <w:r w:rsidR="00BE6854">
        <w:t xml:space="preserve"> does not arise for consideration</w:t>
      </w:r>
      <w:r w:rsidRPr="003E02D3">
        <w:t>.</w:t>
      </w:r>
    </w:p>
    <w:p w14:paraId="5CD41DA0" w14:textId="77777777" w:rsidR="00AD37FC" w:rsidRPr="003E02D3" w:rsidRDefault="00AD37FC" w:rsidP="00AD37FC">
      <w:pPr>
        <w:pStyle w:val="JUDGMENTCONTINUED"/>
      </w:pPr>
    </w:p>
    <w:p w14:paraId="50816954" w14:textId="77777777" w:rsidR="00034035" w:rsidRPr="003E02D3" w:rsidRDefault="00AD37FC" w:rsidP="00AD37FC">
      <w:pPr>
        <w:pStyle w:val="HEADING"/>
      </w:pPr>
      <w:r w:rsidRPr="003E02D3">
        <w:t>Conclusion</w:t>
      </w:r>
    </w:p>
    <w:p w14:paraId="0FB28C11" w14:textId="77777777" w:rsidR="00034035" w:rsidRPr="003E02D3" w:rsidRDefault="004E18FC" w:rsidP="00034035">
      <w:pPr>
        <w:pStyle w:val="JUDGMENTNUMBERED"/>
      </w:pPr>
      <w:r>
        <w:t>T</w:t>
      </w:r>
      <w:r w:rsidR="00034035" w:rsidRPr="003E02D3">
        <w:t>his matter does not engage this Court</w:t>
      </w:r>
      <w:r w:rsidR="000E5D0E">
        <w:t>’</w:t>
      </w:r>
      <w:r w:rsidR="00034035" w:rsidRPr="003E02D3">
        <w:t>s jurisdiction in terms of section</w:t>
      </w:r>
      <w:r w:rsidR="000E5D0E">
        <w:t> </w:t>
      </w:r>
      <w:r w:rsidR="00034035" w:rsidRPr="003E02D3">
        <w:t>167(3)(b)(ii</w:t>
      </w:r>
      <w:r w:rsidR="00303BB3" w:rsidRPr="003E02D3">
        <w:t>)</w:t>
      </w:r>
      <w:r w:rsidR="000E5D0E">
        <w:t>.  It is therefore</w:t>
      </w:r>
      <w:r w:rsidR="00303BB3">
        <w:t xml:space="preserve"> </w:t>
      </w:r>
      <w:r w:rsidR="00D41B06">
        <w:t xml:space="preserve">not necessary </w:t>
      </w:r>
      <w:r w:rsidR="00034035" w:rsidRPr="003E02D3">
        <w:t xml:space="preserve">to consider the second leg of the </w:t>
      </w:r>
      <w:r w:rsidR="00034035" w:rsidRPr="003E02D3">
        <w:lastRenderedPageBreak/>
        <w:t xml:space="preserve">enquiry, that is, whether it is in the interests of justice to grant leave.  </w:t>
      </w:r>
      <w:r w:rsidR="00136D2C" w:rsidRPr="003E02D3">
        <w:t>It follows that t</w:t>
      </w:r>
      <w:r w:rsidR="00034035" w:rsidRPr="003E02D3">
        <w:t>he application for leave to appeal falls to be dismissed.</w:t>
      </w:r>
    </w:p>
    <w:p w14:paraId="4FB425C4" w14:textId="77777777" w:rsidR="00AD37FC" w:rsidRPr="003E02D3" w:rsidRDefault="00AD37FC" w:rsidP="00AD37FC">
      <w:pPr>
        <w:pStyle w:val="JUDGMENTCONTINUED"/>
      </w:pPr>
    </w:p>
    <w:p w14:paraId="4D19B5E1" w14:textId="77777777" w:rsidR="00AD37FC" w:rsidRPr="003E02D3" w:rsidRDefault="00AD37FC" w:rsidP="00AD37FC">
      <w:pPr>
        <w:pStyle w:val="HEADING"/>
      </w:pPr>
      <w:r w:rsidRPr="003E02D3">
        <w:t>Costs</w:t>
      </w:r>
    </w:p>
    <w:p w14:paraId="6E63653B" w14:textId="77777777" w:rsidR="00AD37FC" w:rsidRPr="003E02D3" w:rsidRDefault="00AD37FC" w:rsidP="00AD37FC">
      <w:pPr>
        <w:pStyle w:val="JUDGMENTNUMBERED"/>
      </w:pPr>
      <w:r w:rsidRPr="003E02D3">
        <w:t>In relation to costs, I see no reason why costs should not follow the result.</w:t>
      </w:r>
    </w:p>
    <w:p w14:paraId="762F893B" w14:textId="77777777" w:rsidR="00AD37FC" w:rsidRPr="003E02D3" w:rsidRDefault="00AD37FC" w:rsidP="00AD37FC">
      <w:pPr>
        <w:pStyle w:val="JUDGMENTCONTINUED"/>
      </w:pPr>
    </w:p>
    <w:p w14:paraId="18B0A5EE" w14:textId="77777777" w:rsidR="00860C4E" w:rsidRPr="003E02D3" w:rsidRDefault="00860C4E" w:rsidP="00937742">
      <w:pPr>
        <w:pStyle w:val="HEADING"/>
      </w:pPr>
      <w:r w:rsidRPr="003E02D3">
        <w:t>Order</w:t>
      </w:r>
    </w:p>
    <w:p w14:paraId="4BDA5AED" w14:textId="77777777" w:rsidR="00860C4E" w:rsidRPr="003E02D3" w:rsidRDefault="00860C4E" w:rsidP="000C38CF">
      <w:pPr>
        <w:pStyle w:val="JUDGMENTNUMBERED"/>
      </w:pPr>
      <w:r w:rsidRPr="003E02D3">
        <w:t>The following order is made:</w:t>
      </w:r>
    </w:p>
    <w:p w14:paraId="12DF0A2C" w14:textId="77777777" w:rsidR="00A07688" w:rsidRPr="003E02D3" w:rsidRDefault="00A07688" w:rsidP="000E5D0E">
      <w:pPr>
        <w:pStyle w:val="JUDGMENTCONTINUED"/>
        <w:numPr>
          <w:ilvl w:val="0"/>
          <w:numId w:val="15"/>
        </w:numPr>
        <w:ind w:left="1440" w:hanging="720"/>
      </w:pPr>
      <w:r w:rsidRPr="003E02D3">
        <w:t>Leave to appeal is refused.</w:t>
      </w:r>
    </w:p>
    <w:p w14:paraId="1195E5D2" w14:textId="77777777" w:rsidR="0096255A" w:rsidRPr="003E02D3" w:rsidRDefault="00A07688" w:rsidP="000E5D0E">
      <w:pPr>
        <w:pStyle w:val="ORDER"/>
        <w:numPr>
          <w:ilvl w:val="0"/>
          <w:numId w:val="15"/>
        </w:numPr>
        <w:ind w:left="1440" w:hanging="720"/>
        <w:sectPr w:rsidR="0096255A" w:rsidRPr="003E02D3" w:rsidSect="00633D66">
          <w:footerReference w:type="default" r:id="rId11"/>
          <w:type w:val="continuous"/>
          <w:pgSz w:w="11907" w:h="16839" w:code="9"/>
          <w:pgMar w:top="1440" w:right="1440" w:bottom="1440" w:left="1440" w:header="708" w:footer="708" w:gutter="0"/>
          <w:pgNumType w:start="2"/>
          <w:cols w:space="708"/>
          <w:titlePg/>
          <w:docGrid w:linePitch="360"/>
        </w:sectPr>
      </w:pPr>
      <w:r w:rsidRPr="003E02D3">
        <w:t>The applicants must pay the respondents</w:t>
      </w:r>
      <w:r w:rsidR="00136D2C" w:rsidRPr="003E02D3">
        <w:t>’</w:t>
      </w:r>
      <w:r w:rsidRPr="003E02D3">
        <w:t xml:space="preserve"> costs, including the costs of two counsel.</w:t>
      </w:r>
    </w:p>
    <w:p w14:paraId="3E9E66BB" w14:textId="77777777" w:rsidR="00AD37FC" w:rsidRPr="003E02D3" w:rsidRDefault="00AD37FC" w:rsidP="00CC158D">
      <w:pPr>
        <w:pStyle w:val="COUNSELDETAILS"/>
      </w:pPr>
    </w:p>
    <w:p w14:paraId="5DD7EBAC" w14:textId="77777777" w:rsidR="00AD37FC" w:rsidRPr="003E02D3" w:rsidRDefault="00AD37FC" w:rsidP="00AD37FC">
      <w:pPr>
        <w:sectPr w:rsidR="00AD37FC" w:rsidRPr="003E02D3" w:rsidSect="0096255A">
          <w:headerReference w:type="default" r:id="rId12"/>
          <w:footerReference w:type="default" r:id="rId13"/>
          <w:pgSz w:w="11907" w:h="16839" w:code="9"/>
          <w:pgMar w:top="1440" w:right="1440" w:bottom="1440" w:left="1440" w:header="708" w:footer="708" w:gutter="0"/>
          <w:pgNumType w:start="1"/>
          <w:cols w:space="708"/>
          <w:docGrid w:linePitch="360"/>
        </w:sectPr>
      </w:pPr>
    </w:p>
    <w:p w14:paraId="3F791A39" w14:textId="77777777" w:rsidR="00AD37FC" w:rsidRPr="003E02D3" w:rsidRDefault="00AD37FC" w:rsidP="00AD37FC">
      <w:pPr>
        <w:pStyle w:val="COUNSELDETAILS"/>
      </w:pPr>
      <w:r w:rsidRPr="003E02D3">
        <w:t>For the Applicants:</w:t>
      </w:r>
    </w:p>
    <w:p w14:paraId="23EFD666" w14:textId="77777777" w:rsidR="00AD37FC" w:rsidRPr="003E02D3" w:rsidRDefault="00AD37FC" w:rsidP="00AD37FC">
      <w:pPr>
        <w:pStyle w:val="COUNSELDETAILS"/>
      </w:pPr>
    </w:p>
    <w:p w14:paraId="4300CACA" w14:textId="77777777" w:rsidR="00AD37FC" w:rsidRPr="003E02D3" w:rsidRDefault="00AD37FC" w:rsidP="00AD37FC">
      <w:pPr>
        <w:pStyle w:val="COUNSELDETAILS"/>
      </w:pPr>
    </w:p>
    <w:p w14:paraId="10708905" w14:textId="77777777" w:rsidR="00AD37FC" w:rsidRPr="003E02D3" w:rsidRDefault="00AD37FC" w:rsidP="00AD37FC">
      <w:pPr>
        <w:pStyle w:val="COUNSELDETAILS"/>
      </w:pPr>
    </w:p>
    <w:p w14:paraId="48452BEE" w14:textId="77777777" w:rsidR="00AD37FC" w:rsidRPr="003E02D3" w:rsidRDefault="00AD37FC" w:rsidP="00AD37FC">
      <w:pPr>
        <w:pStyle w:val="COUNSELDETAILS"/>
      </w:pPr>
      <w:r w:rsidRPr="003E02D3">
        <w:t>For the Respondent</w:t>
      </w:r>
      <w:r w:rsidR="006D02B6">
        <w:t>s</w:t>
      </w:r>
      <w:r w:rsidRPr="003E02D3">
        <w:t>:</w:t>
      </w:r>
    </w:p>
    <w:p w14:paraId="20B31C42" w14:textId="77777777" w:rsidR="00AD37FC" w:rsidRPr="003E02D3" w:rsidRDefault="00AD37FC" w:rsidP="00AD37FC">
      <w:pPr>
        <w:pStyle w:val="COUNSELDETAILS"/>
      </w:pPr>
      <w:r w:rsidRPr="003E02D3">
        <w:br w:type="column"/>
      </w:r>
      <w:r w:rsidRPr="003E02D3">
        <w:t>P A Van Eeden SC and D Baguley instructed by Assheton-Smith Ginsberg Incorporated</w:t>
      </w:r>
    </w:p>
    <w:p w14:paraId="124FDECE" w14:textId="77777777" w:rsidR="00AD37FC" w:rsidRPr="003E02D3" w:rsidRDefault="00AD37FC" w:rsidP="00AD37FC">
      <w:pPr>
        <w:pStyle w:val="COUNSELDETAILS"/>
      </w:pPr>
    </w:p>
    <w:p w14:paraId="1D233B9C" w14:textId="77777777" w:rsidR="00AD37FC" w:rsidRPr="009C3888" w:rsidRDefault="00AD37FC" w:rsidP="00AD37FC">
      <w:pPr>
        <w:pStyle w:val="COUNSELDETAILS"/>
      </w:pPr>
      <w:bookmarkStart w:id="4" w:name="_Hlk84400682"/>
      <w:r w:rsidRPr="003E02D3">
        <w:t xml:space="preserve">J A Van </w:t>
      </w:r>
      <w:r w:rsidR="00E564FE" w:rsidRPr="003E02D3">
        <w:t>d</w:t>
      </w:r>
      <w:r w:rsidRPr="003E02D3">
        <w:t>er Merwe</w:t>
      </w:r>
      <w:r w:rsidR="009523F4">
        <w:t xml:space="preserve"> SC</w:t>
      </w:r>
      <w:r w:rsidRPr="003E02D3">
        <w:t>, J P White and M Adhikari instructed by Moster</w:t>
      </w:r>
      <w:r w:rsidR="00376710" w:rsidRPr="003E02D3">
        <w:t>t</w:t>
      </w:r>
      <w:r w:rsidRPr="003E02D3">
        <w:t xml:space="preserve"> and Bosman Attorneys</w:t>
      </w:r>
    </w:p>
    <w:bookmarkEnd w:id="4"/>
    <w:p w14:paraId="6BB2A10B" w14:textId="77777777" w:rsidR="00AD37FC" w:rsidRPr="009C3888" w:rsidRDefault="00AD37FC" w:rsidP="00CC158D">
      <w:pPr>
        <w:pStyle w:val="COUNSELDETAILS"/>
      </w:pPr>
    </w:p>
    <w:sectPr w:rsidR="00AD37FC" w:rsidRPr="009C3888"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B24B9" w14:textId="77777777" w:rsidR="00A60C72" w:rsidRDefault="00A60C72" w:rsidP="00E4607C">
      <w:pPr>
        <w:spacing w:line="240" w:lineRule="auto"/>
      </w:pPr>
      <w:r>
        <w:separator/>
      </w:r>
    </w:p>
  </w:endnote>
  <w:endnote w:type="continuationSeparator" w:id="0">
    <w:p w14:paraId="7406F3F7" w14:textId="77777777" w:rsidR="00A60C72" w:rsidRDefault="00A60C72"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848496"/>
      <w:docPartObj>
        <w:docPartGallery w:val="Page Numbers (Bottom of Page)"/>
        <w:docPartUnique/>
      </w:docPartObj>
    </w:sdtPr>
    <w:sdtEndPr>
      <w:rPr>
        <w:noProof/>
      </w:rPr>
    </w:sdtEndPr>
    <w:sdtContent>
      <w:p w14:paraId="4E410486" w14:textId="26436574" w:rsidR="00633D66" w:rsidRDefault="00633D66" w:rsidP="00633D66">
        <w:pPr>
          <w:pStyle w:val="Footer"/>
          <w:jc w:val="center"/>
        </w:pPr>
        <w:r>
          <w:fldChar w:fldCharType="begin"/>
        </w:r>
        <w:r>
          <w:instrText xml:space="preserve"> PAGE   \* MERGEFORMAT </w:instrText>
        </w:r>
        <w:r>
          <w:fldChar w:fldCharType="separate"/>
        </w:r>
        <w:r w:rsidR="00E4038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977520"/>
      <w:docPartObj>
        <w:docPartGallery w:val="Page Numbers (Bottom of Page)"/>
        <w:docPartUnique/>
      </w:docPartObj>
    </w:sdtPr>
    <w:sdtEndPr>
      <w:rPr>
        <w:noProof/>
      </w:rPr>
    </w:sdtEndPr>
    <w:sdtContent>
      <w:p w14:paraId="4A0050BC" w14:textId="23CDACFD" w:rsidR="00633D66" w:rsidRDefault="00633D66" w:rsidP="00633D66">
        <w:pPr>
          <w:pStyle w:val="Footer"/>
          <w:jc w:val="center"/>
        </w:pPr>
        <w:r>
          <w:fldChar w:fldCharType="begin"/>
        </w:r>
        <w:r>
          <w:instrText xml:space="preserve"> PAGE   \* MERGEFORMAT </w:instrText>
        </w:r>
        <w:r>
          <w:fldChar w:fldCharType="separate"/>
        </w:r>
        <w:r w:rsidR="00E40388">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354A" w14:textId="77777777" w:rsidR="004B1285" w:rsidRDefault="004B1285">
    <w:pPr>
      <w:pStyle w:val="Footer"/>
      <w:jc w:val="center"/>
    </w:pPr>
  </w:p>
  <w:p w14:paraId="555C2881" w14:textId="77777777" w:rsidR="004B1285" w:rsidRDefault="004B1285" w:rsidP="00872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6957" w14:textId="77777777" w:rsidR="00A60C72" w:rsidRDefault="00A60C72" w:rsidP="00E4607C">
      <w:pPr>
        <w:spacing w:line="240" w:lineRule="auto"/>
      </w:pPr>
      <w:r>
        <w:separator/>
      </w:r>
    </w:p>
  </w:footnote>
  <w:footnote w:type="continuationSeparator" w:id="0">
    <w:p w14:paraId="37CF02D1" w14:textId="77777777" w:rsidR="00A60C72" w:rsidRDefault="00A60C72" w:rsidP="00E4607C">
      <w:pPr>
        <w:spacing w:line="240" w:lineRule="auto"/>
      </w:pPr>
      <w:r>
        <w:continuationSeparator/>
      </w:r>
    </w:p>
  </w:footnote>
  <w:footnote w:id="1">
    <w:p w14:paraId="19A33347" w14:textId="77777777" w:rsidR="004B1285" w:rsidRPr="003E02D3" w:rsidRDefault="004B1285">
      <w:pPr>
        <w:pStyle w:val="FootnoteText"/>
        <w:rPr>
          <w:bCs/>
          <w:i/>
        </w:rPr>
      </w:pPr>
      <w:r w:rsidRPr="00B97162">
        <w:rPr>
          <w:rStyle w:val="FootnoteReference"/>
        </w:rPr>
        <w:footnoteRef/>
      </w:r>
      <w:r w:rsidRPr="00B97162">
        <w:t xml:space="preserve"> </w:t>
      </w:r>
      <w:r w:rsidRPr="00633D66">
        <w:rPr>
          <w:bCs/>
          <w:i/>
          <w:iCs/>
        </w:rPr>
        <w:t>Burger N.O. v Bester N.O.</w:t>
      </w:r>
      <w:r w:rsidRPr="00633D66">
        <w:rPr>
          <w:bCs/>
          <w:i/>
        </w:rPr>
        <w:t xml:space="preserve">, </w:t>
      </w:r>
      <w:r w:rsidRPr="00633D66">
        <w:rPr>
          <w:bCs/>
        </w:rPr>
        <w:t xml:space="preserve">unreported judgment of the </w:t>
      </w:r>
      <w:r w:rsidR="00633D66" w:rsidRPr="00633D66">
        <w:rPr>
          <w:bCs/>
        </w:rPr>
        <w:t xml:space="preserve">High Court of South Africa, </w:t>
      </w:r>
      <w:r w:rsidRPr="00633D66">
        <w:rPr>
          <w:bCs/>
        </w:rPr>
        <w:t xml:space="preserve">Western Cape </w:t>
      </w:r>
      <w:r w:rsidR="00633D66" w:rsidRPr="00633D66">
        <w:rPr>
          <w:bCs/>
        </w:rPr>
        <w:t>Division</w:t>
      </w:r>
      <w:r w:rsidRPr="00633D66">
        <w:rPr>
          <w:bCs/>
        </w:rPr>
        <w:t>, Cape Town, Case No 3383/2018</w:t>
      </w:r>
      <w:r w:rsidRPr="00633D66">
        <w:rPr>
          <w:b/>
          <w:bCs/>
        </w:rPr>
        <w:t xml:space="preserve"> </w:t>
      </w:r>
      <w:r w:rsidRPr="00633D66">
        <w:rPr>
          <w:bCs/>
        </w:rPr>
        <w:t>(16 August 2019) (High Court judgment).  This matter was heard together with</w:t>
      </w:r>
      <w:r w:rsidR="00633D66" w:rsidRPr="00633D66">
        <w:rPr>
          <w:bCs/>
        </w:rPr>
        <w:t xml:space="preserve"> the a</w:t>
      </w:r>
      <w:r w:rsidR="00D43D45">
        <w:rPr>
          <w:bCs/>
        </w:rPr>
        <w:t>pplication</w:t>
      </w:r>
      <w:r w:rsidR="00633D66" w:rsidRPr="00633D66">
        <w:rPr>
          <w:bCs/>
        </w:rPr>
        <w:t xml:space="preserve"> </w:t>
      </w:r>
      <w:r w:rsidR="00D43D45">
        <w:rPr>
          <w:bCs/>
        </w:rPr>
        <w:t>in</w:t>
      </w:r>
      <w:r w:rsidRPr="00633D66">
        <w:rPr>
          <w:bCs/>
        </w:rPr>
        <w:t xml:space="preserve"> </w:t>
      </w:r>
      <w:r w:rsidR="00633D66" w:rsidRPr="00633D66">
        <w:rPr>
          <w:bCs/>
          <w:i/>
          <w:iCs/>
          <w:lang w:val="en-US"/>
        </w:rPr>
        <w:t>Bester N.O. v Quintado 120 (Pty) Ltd</w:t>
      </w:r>
      <w:r w:rsidR="00633D66" w:rsidRPr="00633D66">
        <w:rPr>
          <w:bCs/>
          <w:lang w:val="en-US"/>
        </w:rPr>
        <w:t>, unreported judgment of the High Court of South Africa, Western Cape Division, Cape Town, Case No 15274/2019 (18 August 2020)</w:t>
      </w:r>
      <w:r w:rsidR="00633D66" w:rsidRPr="00633D66">
        <w:rPr>
          <w:bCs/>
        </w:rPr>
        <w:t xml:space="preserve"> (</w:t>
      </w:r>
      <w:r w:rsidR="00633D66" w:rsidRPr="00633D66">
        <w:rPr>
          <w:bCs/>
          <w:i/>
          <w:iCs/>
        </w:rPr>
        <w:t>Quintado</w:t>
      </w:r>
      <w:r w:rsidR="00633D66" w:rsidRPr="00633D66">
        <w:rPr>
          <w:bCs/>
        </w:rPr>
        <w:t>).</w:t>
      </w:r>
    </w:p>
  </w:footnote>
  <w:footnote w:id="2">
    <w:p w14:paraId="24F2DB59" w14:textId="77777777" w:rsidR="00C030A4" w:rsidRDefault="00C030A4">
      <w:pPr>
        <w:pStyle w:val="FootnoteText"/>
      </w:pPr>
      <w:r>
        <w:rPr>
          <w:rStyle w:val="FootnoteReference"/>
        </w:rPr>
        <w:footnoteRef/>
      </w:r>
      <w:r>
        <w:t xml:space="preserve"> </w:t>
      </w:r>
      <w:r w:rsidRPr="00C030A4">
        <w:t>This application was opposed by Mr Cronje, the only remaining trustee of the HNP Trust at that stage.  Subsequently, two more trustees were appointed in Mr and Mrs Louw’s stead who had been disqualified.</w:t>
      </w:r>
    </w:p>
  </w:footnote>
  <w:footnote w:id="3">
    <w:p w14:paraId="13D5B3C9" w14:textId="77777777" w:rsidR="00C77992" w:rsidRDefault="00C77992" w:rsidP="00C77992">
      <w:pPr>
        <w:pStyle w:val="FootnoteText"/>
      </w:pPr>
      <w:r>
        <w:rPr>
          <w:rStyle w:val="FootnoteReference"/>
        </w:rPr>
        <w:footnoteRef/>
      </w:r>
      <w:r>
        <w:t xml:space="preserve"> The procedure in terms of section 152 of the Insolvency Act, effectively provides for an enquiry into the affairs of the insolvent estate and vests powers in the </w:t>
      </w:r>
      <w:r w:rsidRPr="00633D66">
        <w:t>Master of the High Court</w:t>
      </w:r>
      <w:r>
        <w:t xml:space="preserve"> to call for any person or trustee to furnish her with documentation relating to such estate.  This can be done at any time after the sequestration of the estate of the debtor and before their rehabilitation if the Master deems it desirable.  </w:t>
      </w:r>
    </w:p>
  </w:footnote>
  <w:footnote w:id="4">
    <w:p w14:paraId="085EE051" w14:textId="77777777" w:rsidR="004B1285" w:rsidRDefault="004B1285" w:rsidP="00BD0D34">
      <w:pPr>
        <w:pStyle w:val="FootnoteText"/>
      </w:pPr>
      <w:r>
        <w:rPr>
          <w:rStyle w:val="FootnoteReference"/>
        </w:rPr>
        <w:footnoteRef/>
      </w:r>
      <w:r>
        <w:t xml:space="preserve"> 24 of 1936.  Section 9(1) provides</w:t>
      </w:r>
      <w:r w:rsidRPr="00BD0D34">
        <w:t>—</w:t>
      </w:r>
    </w:p>
    <w:p w14:paraId="3AD0430A" w14:textId="77777777" w:rsidR="004B1285" w:rsidRDefault="004B1285" w:rsidP="00633D66">
      <w:pPr>
        <w:pStyle w:val="QUOTEINFOOTNOTE"/>
        <w:ind w:left="1440" w:hanging="720"/>
      </w:pPr>
      <w:r>
        <w:t>“</w:t>
      </w:r>
      <w:r w:rsidRPr="00633D66">
        <w:t>(1)</w:t>
      </w:r>
      <w:r w:rsidR="005316F2">
        <w:tab/>
      </w:r>
      <w:r w:rsidRPr="00633D66">
        <w:t>A creditor (or his agent) who has a liquidated claim for not less than fifty pounds, or two or more creditors (or their agent) who in the aggregate have liquidated claims for not less than one hundred pounds against a debtor who has committed an act of insolvency, or is insolvent, may petition the court for the sequestration of the estate of the debtor.”</w:t>
      </w:r>
    </w:p>
    <w:p w14:paraId="62A8B8A3" w14:textId="77777777" w:rsidR="004B1285" w:rsidRPr="00B507FC" w:rsidRDefault="004B1285" w:rsidP="00633D66">
      <w:pPr>
        <w:pStyle w:val="FootnoteText1"/>
      </w:pPr>
      <w:r>
        <w:t>And section 12 provides:</w:t>
      </w:r>
    </w:p>
    <w:p w14:paraId="7DC03587" w14:textId="77777777" w:rsidR="004B1285" w:rsidRDefault="004B1285" w:rsidP="003E02D3">
      <w:pPr>
        <w:pStyle w:val="QUOTEINFOOTNOTE"/>
      </w:pPr>
      <w:r>
        <w:t>“</w:t>
      </w:r>
      <w:r w:rsidRPr="003E02D3">
        <w:t>Final</w:t>
      </w:r>
      <w:r w:rsidRPr="00F3032F">
        <w:t xml:space="preserve"> </w:t>
      </w:r>
      <w:r w:rsidRPr="003E02D3">
        <w:t>sequestration</w:t>
      </w:r>
      <w:r w:rsidRPr="00F3032F">
        <w:t xml:space="preserve"> </w:t>
      </w:r>
      <w:r w:rsidRPr="003E02D3">
        <w:t>or</w:t>
      </w:r>
      <w:r w:rsidRPr="00F3032F">
        <w:t xml:space="preserve"> </w:t>
      </w:r>
      <w:r w:rsidRPr="003E02D3">
        <w:t>dismissal</w:t>
      </w:r>
      <w:r w:rsidRPr="00F3032F">
        <w:t xml:space="preserve"> </w:t>
      </w:r>
      <w:r w:rsidRPr="003E02D3">
        <w:t>of</w:t>
      </w:r>
      <w:r w:rsidRPr="00F3032F">
        <w:t xml:space="preserve"> </w:t>
      </w:r>
      <w:r w:rsidRPr="003E02D3">
        <w:t>petition</w:t>
      </w:r>
      <w:r w:rsidRPr="00F3032F">
        <w:t xml:space="preserve"> </w:t>
      </w:r>
      <w:r w:rsidRPr="003E02D3">
        <w:t>for</w:t>
      </w:r>
      <w:r w:rsidRPr="00F3032F">
        <w:t xml:space="preserve"> </w:t>
      </w:r>
      <w:r w:rsidRPr="003E02D3">
        <w:t>sequestration</w:t>
      </w:r>
      <w:r w:rsidRPr="00F3032F">
        <w:t>—</w:t>
      </w:r>
    </w:p>
    <w:p w14:paraId="51D286F6" w14:textId="77777777" w:rsidR="004B1285" w:rsidRPr="00C030A4" w:rsidRDefault="004B1285" w:rsidP="007074E3">
      <w:pPr>
        <w:pStyle w:val="QUOTEINFOOTNOTE"/>
        <w:ind w:left="2160" w:hanging="720"/>
      </w:pPr>
      <w:r w:rsidRPr="00C030A4">
        <w:t>(1)</w:t>
      </w:r>
      <w:r w:rsidRPr="00C030A4">
        <w:tab/>
        <w:t xml:space="preserve">If at the hearing pursuant to the aforesaid rule </w:t>
      </w:r>
      <w:r w:rsidRPr="00C030A4">
        <w:rPr>
          <w:i/>
          <w:iCs/>
        </w:rPr>
        <w:t>nisi</w:t>
      </w:r>
      <w:r w:rsidRPr="00C030A4">
        <w:t xml:space="preserve"> the court is satisfied that—</w:t>
      </w:r>
    </w:p>
    <w:p w14:paraId="14905C38" w14:textId="77777777" w:rsidR="004B1285" w:rsidRPr="00C030A4" w:rsidRDefault="004B1285">
      <w:pPr>
        <w:pStyle w:val="QUOTEINFOOTNOTE"/>
        <w:ind w:left="2880" w:hanging="720"/>
      </w:pPr>
      <w:r w:rsidRPr="00C030A4">
        <w:t>(a)</w:t>
      </w:r>
      <w:r w:rsidRPr="00C030A4">
        <w:tab/>
        <w:t>the petitioning creditor has established against the debtor a claim such as is mentioned in subsection (1) of section nine; and</w:t>
      </w:r>
    </w:p>
    <w:p w14:paraId="012E8373" w14:textId="77777777" w:rsidR="004B1285" w:rsidRPr="00C030A4" w:rsidRDefault="004B1285" w:rsidP="007074E3">
      <w:pPr>
        <w:pStyle w:val="QUOTEINFOOTNOTE"/>
        <w:ind w:left="2160"/>
      </w:pPr>
      <w:r w:rsidRPr="00C030A4">
        <w:t>(b)</w:t>
      </w:r>
      <w:r w:rsidRPr="00C030A4">
        <w:tab/>
        <w:t>the debtor has committed an act of insolvency or is insolvent; and</w:t>
      </w:r>
    </w:p>
    <w:p w14:paraId="7075819B" w14:textId="77777777" w:rsidR="004B1285" w:rsidRPr="00C030A4" w:rsidRDefault="004B1285">
      <w:pPr>
        <w:pStyle w:val="QUOTEINFOOTNOTE"/>
        <w:ind w:left="2880" w:hanging="720"/>
      </w:pPr>
      <w:r w:rsidRPr="00C030A4">
        <w:t>(c)</w:t>
      </w:r>
      <w:r w:rsidRPr="00C030A4">
        <w:tab/>
        <w:t>there is reason to believe that it will be to the advantage of creditors of the debtor if his estate is sequestrated, it may sequestrate the estate of the debtor.</w:t>
      </w:r>
    </w:p>
    <w:p w14:paraId="66FA054D" w14:textId="77777777" w:rsidR="004B1285" w:rsidRPr="00C030A4" w:rsidRDefault="004B1285" w:rsidP="007074E3">
      <w:pPr>
        <w:pStyle w:val="QUOTEINFOOTNOTE"/>
        <w:ind w:left="2160" w:hanging="720"/>
      </w:pPr>
      <w:r w:rsidRPr="00C030A4">
        <w:t>(2)</w:t>
      </w:r>
      <w:r w:rsidRPr="00C030A4">
        <w:tab/>
        <w:t xml:space="preserve">If at such hearing the court is not so satisfied, it shall dismiss the petition for the sequestration of the estate of the debtor and set aside the order of provisional sequestration or require further proof of the matters set forth in the petition and postpone the hearing for any reasonable period but not </w:t>
      </w:r>
      <w:r w:rsidRPr="00C030A4">
        <w:rPr>
          <w:i/>
          <w:iCs/>
        </w:rPr>
        <w:t>sine</w:t>
      </w:r>
      <w:r w:rsidRPr="00C030A4">
        <w:t xml:space="preserve"> </w:t>
      </w:r>
      <w:r w:rsidRPr="00C030A4">
        <w:rPr>
          <w:i/>
          <w:iCs/>
        </w:rPr>
        <w:t>die</w:t>
      </w:r>
      <w:r w:rsidRPr="00C030A4">
        <w:t>.”</w:t>
      </w:r>
    </w:p>
  </w:footnote>
  <w:footnote w:id="5">
    <w:p w14:paraId="422DE262" w14:textId="77777777" w:rsidR="000D6A37" w:rsidRPr="003E02D3" w:rsidRDefault="000D6A37" w:rsidP="000D6A37">
      <w:pPr>
        <w:pStyle w:val="FootnoteText"/>
        <w:rPr>
          <w:lang w:val="en-US"/>
        </w:rPr>
      </w:pPr>
      <w:r w:rsidRPr="00C030A4">
        <w:rPr>
          <w:rStyle w:val="FootnoteReference"/>
        </w:rPr>
        <w:footnoteRef/>
      </w:r>
      <w:r w:rsidRPr="00C030A4">
        <w:t xml:space="preserve"> </w:t>
      </w:r>
      <w:r w:rsidRPr="00C030A4">
        <w:rPr>
          <w:lang w:val="en-US"/>
        </w:rPr>
        <w:t xml:space="preserve">High Court judgment above n </w:t>
      </w:r>
      <w:r w:rsidR="00C030A4" w:rsidRPr="00C030A4">
        <w:rPr>
          <w:lang w:val="en-US"/>
        </w:rPr>
        <w:t>1</w:t>
      </w:r>
      <w:r w:rsidRPr="00C030A4">
        <w:rPr>
          <w:lang w:val="en-US"/>
        </w:rPr>
        <w:t xml:space="preserve"> at para 20.</w:t>
      </w:r>
    </w:p>
  </w:footnote>
  <w:footnote w:id="6">
    <w:p w14:paraId="75529B0C" w14:textId="77777777" w:rsidR="004B1285" w:rsidRPr="003E02D3" w:rsidRDefault="004B1285">
      <w:pPr>
        <w:pStyle w:val="FootnoteText"/>
        <w:rPr>
          <w:lang w:val="en-US"/>
        </w:rPr>
      </w:pPr>
      <w:r>
        <w:rPr>
          <w:rStyle w:val="FootnoteReference"/>
        </w:rPr>
        <w:footnoteRef/>
      </w:r>
      <w:r>
        <w:t xml:space="preserve"> </w:t>
      </w:r>
      <w:r>
        <w:rPr>
          <w:lang w:val="en-US"/>
        </w:rPr>
        <w:t>Id at para</w:t>
      </w:r>
      <w:r w:rsidR="00AE442F">
        <w:rPr>
          <w:lang w:val="en-US"/>
        </w:rPr>
        <w:t>s</w:t>
      </w:r>
      <w:r>
        <w:rPr>
          <w:lang w:val="en-US"/>
        </w:rPr>
        <w:t xml:space="preserve"> 20-1.</w:t>
      </w:r>
    </w:p>
  </w:footnote>
  <w:footnote w:id="7">
    <w:p w14:paraId="7D130634" w14:textId="77777777" w:rsidR="004B1285" w:rsidRDefault="004B1285" w:rsidP="00B507FC">
      <w:pPr>
        <w:pStyle w:val="FootnoteText"/>
      </w:pPr>
      <w:r>
        <w:rPr>
          <w:rStyle w:val="FootnoteReference"/>
        </w:rPr>
        <w:footnoteRef/>
      </w:r>
      <w:r>
        <w:t xml:space="preserve"> Section 8(c) provides as follows:</w:t>
      </w:r>
    </w:p>
    <w:p w14:paraId="5DE1F9FE" w14:textId="77777777" w:rsidR="004B1285" w:rsidRPr="00B507FC" w:rsidRDefault="004B1285" w:rsidP="003E02D3">
      <w:pPr>
        <w:pStyle w:val="QUOTEINFOOTNOTE"/>
      </w:pPr>
      <w:r w:rsidRPr="003E02D3">
        <w:rPr>
          <w:bCs/>
        </w:rPr>
        <w:t>“</w:t>
      </w:r>
      <w:r w:rsidRPr="00B507FC">
        <w:t>A debtor commits an act of insolvency—</w:t>
      </w:r>
    </w:p>
    <w:p w14:paraId="41405DEA" w14:textId="77777777" w:rsidR="00C8430A" w:rsidRPr="00C030A4" w:rsidRDefault="00C8430A" w:rsidP="00C030A4">
      <w:pPr>
        <w:pStyle w:val="QUOTEINFOOTNOTE"/>
      </w:pPr>
      <w:r w:rsidRPr="00C030A4">
        <w:t>. . .</w:t>
      </w:r>
    </w:p>
    <w:p w14:paraId="5D5FAF46" w14:textId="77777777" w:rsidR="004B1285" w:rsidRPr="008726F3" w:rsidRDefault="004B1285" w:rsidP="00C030A4">
      <w:pPr>
        <w:pStyle w:val="QUOTEINFOOTNOTE"/>
      </w:pPr>
      <w:r w:rsidRPr="00C030A4">
        <w:t>(c)</w:t>
      </w:r>
      <w:r w:rsidRPr="00C030A4">
        <w:tab/>
        <w:t>if he makes or attempts to make any disposition of any or his property which has or would have the effect of prejudicing his creditors or of preferring one creditor above another</w:t>
      </w:r>
      <w:r w:rsidR="00C8430A" w:rsidRPr="00C030A4">
        <w:t>.”</w:t>
      </w:r>
    </w:p>
  </w:footnote>
  <w:footnote w:id="8">
    <w:p w14:paraId="3AD40565" w14:textId="77777777" w:rsidR="0032612D" w:rsidRPr="0032612D" w:rsidRDefault="0032612D">
      <w:pPr>
        <w:pStyle w:val="FootnoteText"/>
        <w:rPr>
          <w:lang w:val="en-US"/>
        </w:rPr>
      </w:pPr>
      <w:r>
        <w:rPr>
          <w:rStyle w:val="FootnoteReference"/>
        </w:rPr>
        <w:footnoteRef/>
      </w:r>
      <w:r>
        <w:t xml:space="preserve"> </w:t>
      </w:r>
      <w:r>
        <w:rPr>
          <w:lang w:val="en-US"/>
        </w:rPr>
        <w:t>As provided for by the Insolvency Act.</w:t>
      </w:r>
    </w:p>
  </w:footnote>
  <w:footnote w:id="9">
    <w:p w14:paraId="72DFBBEB" w14:textId="77777777" w:rsidR="00C8430A" w:rsidRPr="00C8430A" w:rsidRDefault="004B1285" w:rsidP="00633D66">
      <w:pPr>
        <w:pStyle w:val="FootnoteText"/>
      </w:pPr>
      <w:r>
        <w:rPr>
          <w:rStyle w:val="FootnoteReference"/>
        </w:rPr>
        <w:footnoteRef/>
      </w:r>
      <w:r>
        <w:t xml:space="preserve"> Section </w:t>
      </w:r>
      <w:r w:rsidRPr="00EB7491">
        <w:t>167</w:t>
      </w:r>
      <w:r w:rsidR="0006015A">
        <w:t>(3)(b)</w:t>
      </w:r>
      <w:r w:rsidR="00735EC0">
        <w:t xml:space="preserve"> </w:t>
      </w:r>
      <w:r>
        <w:t>of the Constitution provides</w:t>
      </w:r>
      <w:r w:rsidR="00C8430A">
        <w:t>, in relevant part</w:t>
      </w:r>
      <w:r>
        <w:t>:</w:t>
      </w:r>
    </w:p>
    <w:p w14:paraId="0C392A79" w14:textId="77777777" w:rsidR="004B1285" w:rsidRDefault="00C8430A" w:rsidP="0032612D">
      <w:pPr>
        <w:pStyle w:val="QUOTEINFOOTNOTE"/>
        <w:ind w:firstLine="131"/>
      </w:pPr>
      <w:r>
        <w:t>“</w:t>
      </w:r>
      <w:r w:rsidR="004B1285" w:rsidRPr="00EB7491">
        <w:t>(3)</w:t>
      </w:r>
      <w:r w:rsidR="004B1285">
        <w:tab/>
      </w:r>
      <w:r w:rsidR="004B1285" w:rsidRPr="00EB7491">
        <w:t>The Constitutional Court—</w:t>
      </w:r>
    </w:p>
    <w:p w14:paraId="081F206E" w14:textId="77777777" w:rsidR="004B1285" w:rsidRDefault="004B1285" w:rsidP="0032612D">
      <w:pPr>
        <w:pStyle w:val="QUOTEINFOOTNOTE"/>
        <w:ind w:left="1451"/>
      </w:pPr>
      <w:r w:rsidRPr="00EB7491">
        <w:t>(b)</w:t>
      </w:r>
      <w:r>
        <w:tab/>
      </w:r>
      <w:r w:rsidRPr="00EB7491">
        <w:t>may decide—</w:t>
      </w:r>
    </w:p>
    <w:p w14:paraId="2D2BBF7A" w14:textId="77777777" w:rsidR="004B1285" w:rsidRDefault="004B1285" w:rsidP="0032612D">
      <w:pPr>
        <w:pStyle w:val="QUOTEINFOOTNOTE"/>
        <w:ind w:left="2171"/>
      </w:pPr>
      <w:r w:rsidRPr="00EB7491">
        <w:t>(i</w:t>
      </w:r>
      <w:r>
        <w:t>)</w:t>
      </w:r>
      <w:r>
        <w:tab/>
      </w:r>
      <w:r w:rsidRPr="00EB7491">
        <w:t>constitutional matters; and</w:t>
      </w:r>
    </w:p>
    <w:p w14:paraId="025D88E9" w14:textId="77777777" w:rsidR="004B1285" w:rsidRPr="00EB7491" w:rsidRDefault="004B1285" w:rsidP="00633D66">
      <w:pPr>
        <w:pStyle w:val="QUOTEINFOOTNOTE"/>
        <w:ind w:left="2876" w:hanging="705"/>
        <w:rPr>
          <w:lang w:val="en-US"/>
        </w:rPr>
      </w:pPr>
      <w:r w:rsidRPr="00EB7491">
        <w:t>(ii)</w:t>
      </w:r>
      <w:r>
        <w:tab/>
      </w:r>
      <w:r w:rsidRPr="00EB7491">
        <w:t xml:space="preserve">any other matter, if the Constitutional Court grants leave to appeal on the grounds that the matter raises an arguable point of </w:t>
      </w:r>
      <w:r w:rsidRPr="0006015A">
        <w:t>law of</w:t>
      </w:r>
      <w:r w:rsidR="00A509B7">
        <w:t xml:space="preserve"> </w:t>
      </w:r>
      <w:r w:rsidRPr="00EB7491">
        <w:t>general public importance which ought to be considered by that Court</w:t>
      </w:r>
      <w:r w:rsidR="00C8430A">
        <w:t>.”</w:t>
      </w:r>
    </w:p>
  </w:footnote>
  <w:footnote w:id="10">
    <w:p w14:paraId="595A0119" w14:textId="77777777" w:rsidR="004B1285" w:rsidRPr="00FA1D58" w:rsidRDefault="004B1285">
      <w:pPr>
        <w:pStyle w:val="FootnoteText"/>
      </w:pPr>
      <w:r>
        <w:rPr>
          <w:rStyle w:val="FootnoteReference"/>
        </w:rPr>
        <w:footnoteRef/>
      </w:r>
      <w:r>
        <w:t xml:space="preserve"> </w:t>
      </w:r>
      <w:r w:rsidR="00633D66" w:rsidRPr="003E02D3">
        <w:rPr>
          <w:i/>
        </w:rPr>
        <w:t>Freedom of Religion South Africa v Minister of Justice and Constitutional Development</w:t>
      </w:r>
      <w:r w:rsidR="00633D66" w:rsidRPr="00FA1D58">
        <w:t xml:space="preserve"> [2019] ZACC 34;</w:t>
      </w:r>
      <w:r w:rsidR="00633D66">
        <w:t xml:space="preserve"> </w:t>
      </w:r>
      <w:r w:rsidR="00633D66" w:rsidRPr="00633D66">
        <w:t>2020 (1) SA 1 (CC); 2019 (11) BCLR 1321 (CC)</w:t>
      </w:r>
      <w:r w:rsidR="00633D66">
        <w:t xml:space="preserve"> at para 21. </w:t>
      </w:r>
      <w:r w:rsidR="00633D66" w:rsidRPr="00633D66">
        <w:rPr>
          <w:i/>
        </w:rPr>
        <w:t xml:space="preserve"> </w:t>
      </w:r>
      <w:r w:rsidR="00633D66">
        <w:rPr>
          <w:i/>
        </w:rPr>
        <w:t>Phillips</w:t>
      </w:r>
      <w:r w:rsidR="00633D66" w:rsidRPr="003E02D3">
        <w:rPr>
          <w:i/>
        </w:rPr>
        <w:t xml:space="preserve"> v National Director of Public Prosecutions</w:t>
      </w:r>
      <w:r w:rsidR="00633D66" w:rsidRPr="00FA1D58">
        <w:t xml:space="preserve"> [2005] ZACC 15</w:t>
      </w:r>
      <w:r w:rsidR="00633D66" w:rsidRPr="00F62C38">
        <w:t>; 2006 (1) SA 505 (CC)</w:t>
      </w:r>
      <w:r w:rsidR="00633D66">
        <w:t xml:space="preserve">; </w:t>
      </w:r>
      <w:r w:rsidR="00633D66" w:rsidRPr="00FA1D58">
        <w:t xml:space="preserve">2006 (2) </w:t>
      </w:r>
      <w:r w:rsidR="00633D66" w:rsidRPr="00633D66">
        <w:t>BCLR 274 (CC)</w:t>
      </w:r>
      <w:r w:rsidR="00633D66">
        <w:t xml:space="preserve"> at para 30.  See also </w:t>
      </w:r>
      <w:r w:rsidRPr="003E02D3">
        <w:rPr>
          <w:i/>
        </w:rPr>
        <w:t>Radio Pretoria v Chairperson of Independent Authority of South Africa</w:t>
      </w:r>
      <w:r w:rsidRPr="00291834">
        <w:t xml:space="preserve"> [2004] ZACC 24; 2005 (4) SA 3</w:t>
      </w:r>
      <w:r>
        <w:t>19 (CC); 2005 (3) BCLR 231 (CC) at para 19</w:t>
      </w:r>
      <w:r w:rsidR="00633D66">
        <w:rPr>
          <w:i/>
        </w:rPr>
        <w:t>.</w:t>
      </w:r>
    </w:p>
  </w:footnote>
  <w:footnote w:id="11">
    <w:p w14:paraId="6CE90D99" w14:textId="77777777" w:rsidR="00D07599" w:rsidRPr="00A129AF" w:rsidRDefault="00D07599" w:rsidP="00D07599">
      <w:pPr>
        <w:pStyle w:val="FootnoteText"/>
      </w:pPr>
      <w:r>
        <w:rPr>
          <w:rStyle w:val="FootnoteReference"/>
        </w:rPr>
        <w:footnoteRef/>
      </w:r>
      <w:r>
        <w:t xml:space="preserve"> </w:t>
      </w:r>
      <w:r w:rsidRPr="00A129AF">
        <w:rPr>
          <w:i/>
          <w:iCs/>
        </w:rPr>
        <w:t>Gcaba v Minister for Safety and Security</w:t>
      </w:r>
      <w:r w:rsidRPr="00A129AF">
        <w:t xml:space="preserve"> [2009] ZACC 26; 2010 (1) SA 238 (CC); 2010 (1) BCLR 35 (CC) </w:t>
      </w:r>
      <w:r>
        <w:t>at para 75.</w:t>
      </w:r>
    </w:p>
  </w:footnote>
  <w:footnote w:id="12">
    <w:p w14:paraId="43BB9E8B" w14:textId="77777777" w:rsidR="00D54B56" w:rsidRDefault="00D54B56">
      <w:pPr>
        <w:pStyle w:val="FootnoteText"/>
      </w:pPr>
      <w:r>
        <w:rPr>
          <w:rStyle w:val="FootnoteReference"/>
        </w:rPr>
        <w:footnoteRef/>
      </w:r>
      <w:r>
        <w:t xml:space="preserve"> </w:t>
      </w:r>
      <w:r w:rsidRPr="000A1777">
        <w:rPr>
          <w:i/>
          <w:iCs/>
        </w:rPr>
        <w:t>Makate v Vodacom (Pty) Ltd</w:t>
      </w:r>
      <w:r>
        <w:t xml:space="preserve"> </w:t>
      </w:r>
      <w:r w:rsidRPr="000A1777">
        <w:t>[2016] ZACC 13; 2016 (4) SA 121 (CC)</w:t>
      </w:r>
      <w:r>
        <w:t xml:space="preserve">; </w:t>
      </w:r>
      <w:r w:rsidRPr="000A1777">
        <w:t>2016 (6) BCLR 709 (CC)</w:t>
      </w:r>
      <w:r>
        <w:t>.</w:t>
      </w:r>
    </w:p>
  </w:footnote>
  <w:footnote w:id="13">
    <w:p w14:paraId="0FBE0CFF" w14:textId="77777777" w:rsidR="004B1285" w:rsidRDefault="004B1285" w:rsidP="000A1777">
      <w:pPr>
        <w:pStyle w:val="FootnoteText"/>
      </w:pPr>
      <w:r>
        <w:rPr>
          <w:rStyle w:val="FootnoteReference"/>
        </w:rPr>
        <w:footnoteRef/>
      </w:r>
      <w:r>
        <w:t xml:space="preserve"> </w:t>
      </w:r>
      <w:r w:rsidR="00D54B56">
        <w:t xml:space="preserve">Id </w:t>
      </w:r>
      <w:r>
        <w:t>at para 39.</w:t>
      </w:r>
    </w:p>
  </w:footnote>
  <w:footnote w:id="14">
    <w:p w14:paraId="09054597" w14:textId="77777777" w:rsidR="00D54B56" w:rsidRPr="00A76C1D" w:rsidRDefault="00D54B56" w:rsidP="00D54B56">
      <w:pPr>
        <w:pStyle w:val="FootnoteText"/>
      </w:pPr>
      <w:r>
        <w:rPr>
          <w:rStyle w:val="FootnoteReference"/>
        </w:rPr>
        <w:footnoteRef/>
      </w:r>
      <w:r>
        <w:t xml:space="preserve"> </w:t>
      </w:r>
      <w:r w:rsidRPr="00A76C1D">
        <w:rPr>
          <w:i/>
          <w:iCs/>
        </w:rPr>
        <w:t>General Council of the Bar of South Africa v Jiba</w:t>
      </w:r>
      <w:r w:rsidRPr="00A76C1D">
        <w:t xml:space="preserve"> [</w:t>
      </w:r>
      <w:r w:rsidRPr="00633D66">
        <w:t>2019] ZACC 23; 2019 (8) BCLR 919 (CC) (</w:t>
      </w:r>
      <w:r w:rsidRPr="00F845A8">
        <w:rPr>
          <w:i/>
          <w:iCs/>
        </w:rPr>
        <w:t>Jiba</w:t>
      </w:r>
      <w:r>
        <w:t>).</w:t>
      </w:r>
    </w:p>
  </w:footnote>
  <w:footnote w:id="15">
    <w:p w14:paraId="7277728A" w14:textId="73B024AA" w:rsidR="00A80BD3" w:rsidRDefault="00A80BD3">
      <w:pPr>
        <w:pStyle w:val="FootnoteText"/>
      </w:pPr>
      <w:r>
        <w:rPr>
          <w:rStyle w:val="FootnoteReference"/>
        </w:rPr>
        <w:footnoteRef/>
      </w:r>
      <w:r>
        <w:t xml:space="preserve"> Id at paras 49-50.</w:t>
      </w:r>
    </w:p>
  </w:footnote>
  <w:footnote w:id="16">
    <w:p w14:paraId="2A4B791D" w14:textId="445478E8" w:rsidR="00FA5A09" w:rsidRDefault="00FA5A09" w:rsidP="00FA5A09">
      <w:pPr>
        <w:pStyle w:val="FootnoteText"/>
      </w:pPr>
      <w:r>
        <w:rPr>
          <w:rStyle w:val="FootnoteReference"/>
        </w:rPr>
        <w:footnoteRef/>
      </w:r>
      <w:r>
        <w:t xml:space="preserve"> </w:t>
      </w:r>
      <w:r w:rsidRPr="0006015A">
        <w:rPr>
          <w:i/>
          <w:iCs/>
        </w:rPr>
        <w:t>Plascon</w:t>
      </w:r>
      <w:r w:rsidRPr="00E564FE">
        <w:rPr>
          <w:i/>
          <w:iCs/>
        </w:rPr>
        <w:t>-Evans Paints Ltd v Van Riebeeck Paints (Pty) Ltd</w:t>
      </w:r>
      <w:r w:rsidRPr="00E564FE">
        <w:t> 1984 (3) SA 623 (A).</w:t>
      </w:r>
      <w:r>
        <w:t xml:space="preserve">  In that matter, the court laid down the seminal principle for the correct approach to dealing with disputes of fact in motion proceedings.  In essence, where a factual dispute arises, the relief sought by an applicant may be granted only where the accepted facts justify such an order.  The accepted facts will be determined by an assessment whether the respondent’s denial of the facts alleged by the applicant is insufficient to raise a real or genuine dispute of fact.  If they are indeed insufficient, they fall to be rejected on the papers.  In such a case, where the court is satisfied as to the credibility of the version of the applicant, the court may then decide the dispute in the applicant’s favour without hearing oral evidence.</w:t>
      </w:r>
    </w:p>
  </w:footnote>
  <w:footnote w:id="17">
    <w:p w14:paraId="2C721D69" w14:textId="77777777" w:rsidR="004B1285" w:rsidRDefault="004B1285" w:rsidP="00AC3BF7">
      <w:pPr>
        <w:pStyle w:val="FootnoteText"/>
      </w:pPr>
      <w:r>
        <w:rPr>
          <w:rStyle w:val="FootnoteReference"/>
        </w:rPr>
        <w:footnoteRef/>
      </w:r>
      <w:r>
        <w:t xml:space="preserve"> </w:t>
      </w:r>
      <w:r w:rsidRPr="00773574">
        <w:rPr>
          <w:i/>
          <w:iCs/>
        </w:rPr>
        <w:t>Booysen v Minister of Safety and Security</w:t>
      </w:r>
      <w:r w:rsidRPr="00773574">
        <w:t xml:space="preserve"> [2018] ZACC 18; 2018 (6) SA 1 (CC</w:t>
      </w:r>
      <w:r>
        <w:t xml:space="preserve">); </w:t>
      </w:r>
      <w:r w:rsidRPr="00773574">
        <w:t xml:space="preserve">2018 (9) BCLR 1029 (CC) </w:t>
      </w:r>
      <w:r>
        <w:t xml:space="preserve">at </w:t>
      </w:r>
      <w:r w:rsidRPr="00773574">
        <w:t>para 50.</w:t>
      </w:r>
      <w:r>
        <w:t xml:space="preserve">  See also </w:t>
      </w:r>
      <w:r w:rsidRPr="00ED1B06">
        <w:rPr>
          <w:i/>
          <w:iCs/>
        </w:rPr>
        <w:t>Mankayi v AngloGold Ashanti Ltd</w:t>
      </w:r>
      <w:r w:rsidRPr="00ED1B06">
        <w:t> </w:t>
      </w:r>
      <w:r w:rsidRPr="00773574">
        <w:t>[2011] ZACC 3</w:t>
      </w:r>
      <w:r w:rsidRPr="00ED1B06">
        <w:t>; </w:t>
      </w:r>
      <w:r w:rsidRPr="00773574">
        <w:t>2011 (3) SA 237</w:t>
      </w:r>
      <w:r w:rsidRPr="00ED1B06">
        <w:t> (CC); </w:t>
      </w:r>
      <w:r w:rsidRPr="00773574">
        <w:t>2011 (5) BCLR 453</w:t>
      </w:r>
      <w:r w:rsidRPr="00ED1B06">
        <w:t> (CC) at para 12</w:t>
      </w:r>
      <w:r>
        <w:t>.</w:t>
      </w:r>
    </w:p>
  </w:footnote>
  <w:footnote w:id="18">
    <w:p w14:paraId="30DF10C0" w14:textId="77777777" w:rsidR="004B1285" w:rsidRPr="00D515E6" w:rsidRDefault="004B1285" w:rsidP="00334963">
      <w:pPr>
        <w:pStyle w:val="FootnoteText"/>
      </w:pPr>
      <w:r>
        <w:rPr>
          <w:rStyle w:val="FootnoteReference"/>
        </w:rPr>
        <w:footnoteRef/>
      </w:r>
      <w:r>
        <w:t xml:space="preserve"> </w:t>
      </w:r>
      <w:r w:rsidRPr="00773574">
        <w:rPr>
          <w:i/>
          <w:iCs/>
        </w:rPr>
        <w:t>Mbatha v University of Zululand</w:t>
      </w:r>
      <w:r w:rsidRPr="00303BB3">
        <w:t xml:space="preserve"> [2013] ZACC 43; (2014) 35 ILJ 349 (CC)</w:t>
      </w:r>
      <w:r>
        <w:t xml:space="preserve">; </w:t>
      </w:r>
      <w:r w:rsidRPr="00303BB3">
        <w:t>2014 (2) BCLR 123 (CC</w:t>
      </w:r>
      <w:r>
        <w:t>)</w:t>
      </w:r>
      <w:r w:rsidRPr="00303BB3">
        <w:t xml:space="preserve"> </w:t>
      </w:r>
      <w:r>
        <w:t>at para 222.  In that matter, this Court expressed the principle that “</w:t>
      </w:r>
      <w:r w:rsidRPr="00303BB3">
        <w:t>a factual issue may</w:t>
      </w:r>
      <w:r>
        <w:t xml:space="preserve"> [not]</w:t>
      </w:r>
      <w:r w:rsidRPr="00303BB3">
        <w:t xml:space="preserve"> somehow morph into a constitutional issue through the simple facility of clothing it in constitutional garb</w:t>
      </w:r>
      <w:r>
        <w:t>”.  This principle remains uncontradicted</w:t>
      </w:r>
      <w:bookmarkStart w:id="1" w:name="_Hlk88548403"/>
      <w:r>
        <w:t>.</w:t>
      </w:r>
      <w:bookmarkEnd w:id="1"/>
    </w:p>
  </w:footnote>
  <w:footnote w:id="19">
    <w:p w14:paraId="789253CA" w14:textId="77777777" w:rsidR="004B1285" w:rsidRDefault="004B1285">
      <w:pPr>
        <w:pStyle w:val="FootnoteText"/>
      </w:pPr>
      <w:r>
        <w:rPr>
          <w:rStyle w:val="FootnoteReference"/>
        </w:rPr>
        <w:footnoteRef/>
      </w:r>
      <w:r>
        <w:t xml:space="preserve"> </w:t>
      </w:r>
      <w:r w:rsidRPr="00334963">
        <w:rPr>
          <w:i/>
          <w:iCs/>
        </w:rPr>
        <w:t>Rail Commuters Action Group v Transnet Ltd t/a Metrorail</w:t>
      </w:r>
      <w:r w:rsidRPr="00334963">
        <w:t xml:space="preserve"> [2004] ZACC 20; 2005 (2) SA 359 (CC); 2005 (4) BCLR 301 (CC) at para 52</w:t>
      </w:r>
      <w:r w:rsidR="00D07599">
        <w:t xml:space="preserve"> (</w:t>
      </w:r>
      <w:r w:rsidR="00D07599" w:rsidRPr="003B0E5A">
        <w:rPr>
          <w:i/>
          <w:iCs/>
        </w:rPr>
        <w:t>Rail Commuters</w:t>
      </w:r>
      <w:r w:rsidR="00D07599">
        <w:t>)</w:t>
      </w:r>
      <w:r>
        <w:t xml:space="preserve">.  See also </w:t>
      </w:r>
      <w:proofErr w:type="spellStart"/>
      <w:r w:rsidRPr="00ED31C8">
        <w:rPr>
          <w:i/>
          <w:iCs/>
        </w:rPr>
        <w:t>Tjiroze</w:t>
      </w:r>
      <w:proofErr w:type="spellEnd"/>
      <w:r w:rsidRPr="00ED31C8">
        <w:rPr>
          <w:i/>
          <w:iCs/>
        </w:rPr>
        <w:t xml:space="preserve"> v Appeal Board of the Financial Services Board</w:t>
      </w:r>
      <w:r w:rsidRPr="005F01CA">
        <w:t xml:space="preserve"> [2020</w:t>
      </w:r>
      <w:r w:rsidRPr="00633D66">
        <w:t>] ZACC 18; 2021 (1) BCLR 59 (CC)</w:t>
      </w:r>
      <w:r>
        <w:t xml:space="preserve"> at para</w:t>
      </w:r>
      <w:r w:rsidR="002A1A08">
        <w:t>s</w:t>
      </w:r>
      <w:r>
        <w:t xml:space="preserve"> 15-6.</w:t>
      </w:r>
    </w:p>
  </w:footnote>
  <w:footnote w:id="20">
    <w:p w14:paraId="20A55582" w14:textId="77777777" w:rsidR="005323DA" w:rsidRPr="005323DA" w:rsidRDefault="005323DA">
      <w:pPr>
        <w:pStyle w:val="FootnoteText"/>
      </w:pPr>
      <w:r>
        <w:rPr>
          <w:rStyle w:val="FootnoteReference"/>
        </w:rPr>
        <w:footnoteRef/>
      </w:r>
      <w:r>
        <w:t xml:space="preserve"> </w:t>
      </w:r>
      <w:r w:rsidRPr="005323DA">
        <w:rPr>
          <w:i/>
        </w:rPr>
        <w:t xml:space="preserve">Paulsen v Slip Knot Investments 777 (Pty) Limited </w:t>
      </w:r>
      <w:r w:rsidRPr="005323DA">
        <w:t>[2015] ZACC 5; 2015 (3) SA 479 (CC); 2015 (5) BCLR 509 (CC)</w:t>
      </w:r>
      <w:r>
        <w:t xml:space="preserve"> at para</w:t>
      </w:r>
      <w:r w:rsidR="002A1A08">
        <w:t>s</w:t>
      </w:r>
      <w:r>
        <w:t xml:space="preserve"> 21-2.</w:t>
      </w:r>
    </w:p>
  </w:footnote>
  <w:footnote w:id="21">
    <w:p w14:paraId="01CE3013" w14:textId="77777777" w:rsidR="004B1285" w:rsidRDefault="004B1285">
      <w:pPr>
        <w:pStyle w:val="FootnoteText"/>
      </w:pPr>
      <w:r w:rsidRPr="00633D66">
        <w:rPr>
          <w:rStyle w:val="FootnoteReference"/>
        </w:rPr>
        <w:footnoteRef/>
      </w:r>
      <w:r w:rsidRPr="00633D66">
        <w:t xml:space="preserve"> </w:t>
      </w:r>
      <w:r w:rsidRPr="00633D66">
        <w:rPr>
          <w:i/>
          <w:iCs/>
        </w:rPr>
        <w:t>Hoosen N.O. v Deedat</w:t>
      </w:r>
      <w:r w:rsidRPr="00633D66">
        <w:t xml:space="preserve"> [1999] ZASCA 49; </w:t>
      </w:r>
      <w:r w:rsidR="00633D66" w:rsidRPr="00633D66">
        <w:t>1999 4 SA. 425 (SCA)</w:t>
      </w:r>
      <w:r w:rsidRPr="00633D66">
        <w:t>.</w:t>
      </w:r>
    </w:p>
  </w:footnote>
  <w:footnote w:id="22">
    <w:p w14:paraId="5E170631" w14:textId="77777777" w:rsidR="00FC5F30" w:rsidRDefault="00FC5F30">
      <w:pPr>
        <w:pStyle w:val="FootnoteText"/>
      </w:pPr>
      <w:r w:rsidRPr="00D855AC">
        <w:rPr>
          <w:rStyle w:val="FootnoteReference"/>
        </w:rPr>
        <w:footnoteRef/>
      </w:r>
      <w:r w:rsidRPr="00D855AC">
        <w:t xml:space="preserve"> </w:t>
      </w:r>
      <w:r w:rsidR="00D855AC" w:rsidRPr="00D855AC">
        <w:t>Id at para 23.</w:t>
      </w:r>
    </w:p>
  </w:footnote>
  <w:footnote w:id="23">
    <w:p w14:paraId="345575F9" w14:textId="77777777" w:rsidR="00FC5F30" w:rsidRDefault="00FC5F30">
      <w:pPr>
        <w:pStyle w:val="FootnoteText"/>
      </w:pPr>
      <w:r>
        <w:rPr>
          <w:rStyle w:val="FootnoteReference"/>
        </w:rPr>
        <w:footnoteRef/>
      </w:r>
      <w:r>
        <w:t xml:space="preserve"> </w:t>
      </w:r>
      <w:r w:rsidRPr="003E274D">
        <w:rPr>
          <w:i/>
        </w:rPr>
        <w:t xml:space="preserve">Land and Agricultural Development Bank of SA v Parker </w:t>
      </w:r>
      <w:r w:rsidRPr="004B6089">
        <w:t xml:space="preserve">[2004] ZASCA 56; </w:t>
      </w:r>
      <w:r w:rsidRPr="00633D66">
        <w:t xml:space="preserve">2005 (2) SA 77 SCA </w:t>
      </w:r>
      <w:r>
        <w:t>(</w:t>
      </w:r>
      <w:r w:rsidRPr="004B6089">
        <w:rPr>
          <w:i/>
        </w:rPr>
        <w:t>Land</w:t>
      </w:r>
      <w:r>
        <w:rPr>
          <w:i/>
        </w:rPr>
        <w:t> </w:t>
      </w:r>
      <w:r w:rsidRPr="004B6089">
        <w:rPr>
          <w:i/>
        </w:rPr>
        <w:t>Bank</w:t>
      </w:r>
      <w:r w:rsidRPr="00777305">
        <w:rPr>
          <w:iCs/>
        </w:rPr>
        <w:t>)</w:t>
      </w:r>
      <w:r>
        <w:rPr>
          <w:iCs/>
        </w:rPr>
        <w:t>.</w:t>
      </w:r>
    </w:p>
  </w:footnote>
  <w:footnote w:id="24">
    <w:p w14:paraId="4D9B98B7" w14:textId="77777777" w:rsidR="004B1285" w:rsidRPr="003E274D" w:rsidRDefault="004B1285" w:rsidP="00376710">
      <w:pPr>
        <w:pStyle w:val="FootnoteText"/>
      </w:pPr>
      <w:r>
        <w:rPr>
          <w:rStyle w:val="FootnoteReference"/>
        </w:rPr>
        <w:footnoteRef/>
      </w:r>
      <w:r>
        <w:t xml:space="preserve"> </w:t>
      </w:r>
      <w:r w:rsidR="00FC5F30">
        <w:t xml:space="preserve">Id </w:t>
      </w:r>
      <w:r w:rsidRPr="003E02D3">
        <w:t>at para 11</w:t>
      </w:r>
      <w:r w:rsidRPr="004B6089">
        <w:rPr>
          <w:i/>
        </w:rPr>
        <w:t>.</w:t>
      </w:r>
    </w:p>
  </w:footnote>
  <w:footnote w:id="25">
    <w:p w14:paraId="653E745A" w14:textId="77777777" w:rsidR="004B1285" w:rsidRDefault="004B1285">
      <w:pPr>
        <w:pStyle w:val="FootnoteText"/>
      </w:pPr>
      <w:r>
        <w:rPr>
          <w:rStyle w:val="FootnoteReference"/>
        </w:rPr>
        <w:footnoteRef/>
      </w:r>
      <w:r>
        <w:t xml:space="preserve"> High Cou</w:t>
      </w:r>
      <w:r w:rsidR="00012D50">
        <w:t xml:space="preserve">rt judgment above n </w:t>
      </w:r>
      <w:r w:rsidR="00633D66">
        <w:t>1</w:t>
      </w:r>
      <w:r w:rsidR="00012D50">
        <w:t xml:space="preserve"> at para </w:t>
      </w:r>
      <w:r w:rsidR="00633D66" w:rsidRPr="00633D66">
        <w:t>1</w:t>
      </w:r>
      <w:r w:rsidR="00D855AC">
        <w:t>2</w:t>
      </w:r>
      <w:r w:rsidRPr="00633D66">
        <w:t>.</w:t>
      </w:r>
    </w:p>
  </w:footnote>
  <w:footnote w:id="26">
    <w:p w14:paraId="280292AA" w14:textId="77777777" w:rsidR="004B1285" w:rsidRDefault="004B1285">
      <w:pPr>
        <w:pStyle w:val="FootnoteText"/>
      </w:pPr>
      <w:r>
        <w:rPr>
          <w:rStyle w:val="FootnoteReference"/>
        </w:rPr>
        <w:footnoteRef/>
      </w:r>
      <w:r>
        <w:t xml:space="preserve"> </w:t>
      </w:r>
      <w:bookmarkStart w:id="3" w:name="_Hlk89428813"/>
      <w:r w:rsidRPr="00A76C1D">
        <w:rPr>
          <w:i/>
          <w:iCs/>
        </w:rPr>
        <w:t>S v Boesak</w:t>
      </w:r>
      <w:r w:rsidRPr="00A76C1D">
        <w:t xml:space="preserve"> [2000] ZACC 25; </w:t>
      </w:r>
      <w:r w:rsidR="004E18FC" w:rsidRPr="00A76C1D">
        <w:t>2001 (1) SA 912</w:t>
      </w:r>
      <w:r w:rsidR="004E18FC">
        <w:t xml:space="preserve"> (CC); </w:t>
      </w:r>
      <w:r w:rsidRPr="00A76C1D">
        <w:t>2001 (1) BCLR 36</w:t>
      </w:r>
      <w:bookmarkEnd w:id="3"/>
      <w:r w:rsidRPr="00A76C1D">
        <w:t xml:space="preserve"> </w:t>
      </w:r>
      <w:r>
        <w:t>at para 15.</w:t>
      </w:r>
      <w:r w:rsidR="00BE6854">
        <w:t xml:space="preserve"> </w:t>
      </w:r>
      <w:r w:rsidR="00633D66">
        <w:t xml:space="preserve"> In that matter this Court definitively stated that a challenge to a finding of fact does not in of itself amount to a constitutional issue.</w:t>
      </w:r>
    </w:p>
  </w:footnote>
  <w:footnote w:id="27">
    <w:p w14:paraId="05C141CD" w14:textId="77777777" w:rsidR="004B1285" w:rsidRPr="00BF0C20" w:rsidRDefault="004B1285">
      <w:pPr>
        <w:pStyle w:val="FootnoteText"/>
        <w:rPr>
          <w:i/>
          <w:iCs/>
        </w:rPr>
      </w:pPr>
      <w:r>
        <w:rPr>
          <w:rStyle w:val="FootnoteReference"/>
        </w:rPr>
        <w:footnoteRef/>
      </w:r>
      <w:r>
        <w:t xml:space="preserve"> </w:t>
      </w:r>
      <w:r w:rsidRPr="00633D66">
        <w:rPr>
          <w:i/>
          <w:iCs/>
        </w:rPr>
        <w:t xml:space="preserve">Booysen </w:t>
      </w:r>
      <w:r w:rsidR="00633D66" w:rsidRPr="00633D66">
        <w:t>above n 14</w:t>
      </w:r>
      <w:r w:rsidR="00633D66" w:rsidRPr="00633D66">
        <w:rPr>
          <w:i/>
          <w:iCs/>
        </w:rPr>
        <w:t xml:space="preserve"> </w:t>
      </w:r>
      <w:r w:rsidRPr="00633D66">
        <w:t>para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8262" w14:textId="77777777" w:rsidR="004B1285" w:rsidRPr="002A209F" w:rsidRDefault="004B1285" w:rsidP="008C727F">
    <w:pPr>
      <w:pStyle w:val="Header"/>
      <w:jc w:val="right"/>
      <w:rPr>
        <w:lang w:val="en-US"/>
      </w:rPr>
    </w:pPr>
    <w:r>
      <w:rPr>
        <w:lang w:val="en-US"/>
      </w:rPr>
      <w:t>MHLANTLA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00E2" w14:textId="77777777" w:rsidR="004B1285" w:rsidRPr="002A209F" w:rsidRDefault="004B1285" w:rsidP="008C727F">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0B4"/>
    <w:multiLevelType w:val="hybridMultilevel"/>
    <w:tmpl w:val="616828C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6C140F4"/>
    <w:multiLevelType w:val="hybridMultilevel"/>
    <w:tmpl w:val="0CFA4A6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95A7A26"/>
    <w:multiLevelType w:val="hybridMultilevel"/>
    <w:tmpl w:val="C30AD0BA"/>
    <w:lvl w:ilvl="0" w:tplc="0CD23EA0">
      <w:start w:val="1"/>
      <w:numFmt w:val="decimal"/>
      <w:pStyle w:val="JUDGMENTNUMBERED"/>
      <w:lvlText w:val="[%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D31D4A"/>
    <w:multiLevelType w:val="hybridMultilevel"/>
    <w:tmpl w:val="CF4887D2"/>
    <w:lvl w:ilvl="0" w:tplc="F078E7B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595891"/>
    <w:multiLevelType w:val="hybridMultilevel"/>
    <w:tmpl w:val="CF4887D2"/>
    <w:lvl w:ilvl="0" w:tplc="F078E7B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61F673A"/>
    <w:multiLevelType w:val="hybridMultilevel"/>
    <w:tmpl w:val="E0D8570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5C00234A"/>
    <w:multiLevelType w:val="hybridMultilevel"/>
    <w:tmpl w:val="E75E869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5C377C8D"/>
    <w:multiLevelType w:val="hybridMultilevel"/>
    <w:tmpl w:val="959277C4"/>
    <w:lvl w:ilvl="0" w:tplc="075A6D42">
      <w:start w:val="1"/>
      <w:numFmt w:val="decimal"/>
      <w:lvlText w:val="[%1]"/>
      <w:lvlJc w:val="left"/>
      <w:pPr>
        <w:ind w:left="720" w:hanging="360"/>
      </w:pPr>
      <w:rPr>
        <w:rFonts w:hint="default"/>
        <w:i w:val="0"/>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0C214B8"/>
    <w:multiLevelType w:val="multilevel"/>
    <w:tmpl w:val="33D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E72EB4"/>
    <w:multiLevelType w:val="hybridMultilevel"/>
    <w:tmpl w:val="D39219DE"/>
    <w:lvl w:ilvl="0" w:tplc="2E143DBC">
      <w:start w:val="1"/>
      <w:numFmt w:val="lowerLetter"/>
      <w:lvlText w:val="(%1)"/>
      <w:lvlJc w:val="left"/>
      <w:pPr>
        <w:ind w:left="2988" w:hanging="360"/>
      </w:pPr>
      <w:rPr>
        <w:rFonts w:hint="default"/>
      </w:rPr>
    </w:lvl>
    <w:lvl w:ilvl="1" w:tplc="1C090019" w:tentative="1">
      <w:start w:val="1"/>
      <w:numFmt w:val="lowerLetter"/>
      <w:lvlText w:val="%2."/>
      <w:lvlJc w:val="left"/>
      <w:pPr>
        <w:ind w:left="3708" w:hanging="360"/>
      </w:pPr>
    </w:lvl>
    <w:lvl w:ilvl="2" w:tplc="1C09001B" w:tentative="1">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12" w15:restartNumberingAfterBreak="0">
    <w:nsid w:val="7C7F63E9"/>
    <w:multiLevelType w:val="hybridMultilevel"/>
    <w:tmpl w:val="7C9870FE"/>
    <w:lvl w:ilvl="0" w:tplc="E73C969C">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7D7A7517"/>
    <w:multiLevelType w:val="hybridMultilevel"/>
    <w:tmpl w:val="4DFC297E"/>
    <w:lvl w:ilvl="0" w:tplc="806C372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3"/>
    <w:lvlOverride w:ilvl="0">
      <w:startOverride w:val="1"/>
    </w:lvlOverride>
  </w:num>
  <w:num w:numId="13">
    <w:abstractNumId w:val="2"/>
  </w:num>
  <w:num w:numId="14">
    <w:abstractNumId w:val="5"/>
  </w:num>
  <w:num w:numId="15">
    <w:abstractNumId w:val="4"/>
  </w:num>
  <w:num w:numId="16">
    <w:abstractNumId w:val="9"/>
  </w:num>
  <w:num w:numId="17">
    <w:abstractNumId w:val="11"/>
  </w:num>
  <w:num w:numId="18">
    <w:abstractNumId w:val="13"/>
  </w:num>
  <w:num w:numId="19">
    <w:abstractNumId w:val="7"/>
  </w:num>
  <w:num w:numId="20">
    <w:abstractNumId w:val="0"/>
  </w:num>
  <w:num w:numId="21">
    <w:abstractNumId w:val="1"/>
  </w:num>
  <w:num w:numId="22">
    <w:abstractNumId w:val="12"/>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tjQ1NLUwNDE2NTNQ0lEKTi0uzszPAykwNKoFABW1dm8tAAAA"/>
  </w:docVars>
  <w:rsids>
    <w:rsidRoot w:val="007410F3"/>
    <w:rsid w:val="00002789"/>
    <w:rsid w:val="00003278"/>
    <w:rsid w:val="00011445"/>
    <w:rsid w:val="0001177E"/>
    <w:rsid w:val="00012D50"/>
    <w:rsid w:val="00014C42"/>
    <w:rsid w:val="000150BA"/>
    <w:rsid w:val="00021B45"/>
    <w:rsid w:val="0003222E"/>
    <w:rsid w:val="0003332C"/>
    <w:rsid w:val="0003374F"/>
    <w:rsid w:val="00034035"/>
    <w:rsid w:val="00035D1C"/>
    <w:rsid w:val="00036673"/>
    <w:rsid w:val="000570BC"/>
    <w:rsid w:val="0006015A"/>
    <w:rsid w:val="00067D5C"/>
    <w:rsid w:val="000704F2"/>
    <w:rsid w:val="00076DA3"/>
    <w:rsid w:val="0008371B"/>
    <w:rsid w:val="0009578E"/>
    <w:rsid w:val="00095A15"/>
    <w:rsid w:val="000971C5"/>
    <w:rsid w:val="000A01E2"/>
    <w:rsid w:val="000A11CD"/>
    <w:rsid w:val="000A1777"/>
    <w:rsid w:val="000B0C92"/>
    <w:rsid w:val="000B22E6"/>
    <w:rsid w:val="000B425C"/>
    <w:rsid w:val="000B7659"/>
    <w:rsid w:val="000C38CF"/>
    <w:rsid w:val="000C5D38"/>
    <w:rsid w:val="000D3ABC"/>
    <w:rsid w:val="000D6A37"/>
    <w:rsid w:val="000E13E2"/>
    <w:rsid w:val="000E2D64"/>
    <w:rsid w:val="000E49D9"/>
    <w:rsid w:val="000E5D0E"/>
    <w:rsid w:val="000F0DB4"/>
    <w:rsid w:val="000F7521"/>
    <w:rsid w:val="001016AC"/>
    <w:rsid w:val="00105E92"/>
    <w:rsid w:val="00122870"/>
    <w:rsid w:val="00122D57"/>
    <w:rsid w:val="00123BB4"/>
    <w:rsid w:val="001305FC"/>
    <w:rsid w:val="00136D2C"/>
    <w:rsid w:val="00137E8A"/>
    <w:rsid w:val="00141D43"/>
    <w:rsid w:val="00155436"/>
    <w:rsid w:val="00156529"/>
    <w:rsid w:val="001611B1"/>
    <w:rsid w:val="00161D39"/>
    <w:rsid w:val="0016482D"/>
    <w:rsid w:val="00173924"/>
    <w:rsid w:val="00173F40"/>
    <w:rsid w:val="00174981"/>
    <w:rsid w:val="001760FD"/>
    <w:rsid w:val="00183658"/>
    <w:rsid w:val="00183FC9"/>
    <w:rsid w:val="0018407F"/>
    <w:rsid w:val="001851C7"/>
    <w:rsid w:val="0018731D"/>
    <w:rsid w:val="001915B4"/>
    <w:rsid w:val="001927E9"/>
    <w:rsid w:val="00193ED2"/>
    <w:rsid w:val="00194B9C"/>
    <w:rsid w:val="001B02EA"/>
    <w:rsid w:val="001B1A15"/>
    <w:rsid w:val="001B2075"/>
    <w:rsid w:val="001B4C29"/>
    <w:rsid w:val="001B5C77"/>
    <w:rsid w:val="001C050A"/>
    <w:rsid w:val="001C1986"/>
    <w:rsid w:val="001C2E8B"/>
    <w:rsid w:val="001C4B5E"/>
    <w:rsid w:val="001D0EFF"/>
    <w:rsid w:val="001D31D7"/>
    <w:rsid w:val="001D74DE"/>
    <w:rsid w:val="001E02B3"/>
    <w:rsid w:val="001E0312"/>
    <w:rsid w:val="001E2FD9"/>
    <w:rsid w:val="001E4FE3"/>
    <w:rsid w:val="00212C20"/>
    <w:rsid w:val="00212C89"/>
    <w:rsid w:val="00216863"/>
    <w:rsid w:val="00216F25"/>
    <w:rsid w:val="002208F2"/>
    <w:rsid w:val="00222080"/>
    <w:rsid w:val="00223689"/>
    <w:rsid w:val="00225F8A"/>
    <w:rsid w:val="00230CB3"/>
    <w:rsid w:val="00232B8F"/>
    <w:rsid w:val="00236F9A"/>
    <w:rsid w:val="00237A5A"/>
    <w:rsid w:val="00246CD1"/>
    <w:rsid w:val="00246FC5"/>
    <w:rsid w:val="0024725F"/>
    <w:rsid w:val="002752E8"/>
    <w:rsid w:val="00282E53"/>
    <w:rsid w:val="00283DD5"/>
    <w:rsid w:val="00287753"/>
    <w:rsid w:val="00290F3A"/>
    <w:rsid w:val="00291834"/>
    <w:rsid w:val="0029534F"/>
    <w:rsid w:val="00295C91"/>
    <w:rsid w:val="002A1A08"/>
    <w:rsid w:val="002A209F"/>
    <w:rsid w:val="002A2ED5"/>
    <w:rsid w:val="002A3405"/>
    <w:rsid w:val="002B4892"/>
    <w:rsid w:val="002C5F97"/>
    <w:rsid w:val="002C7AC5"/>
    <w:rsid w:val="002D035C"/>
    <w:rsid w:val="002D1FD9"/>
    <w:rsid w:val="002D522A"/>
    <w:rsid w:val="002D6AC4"/>
    <w:rsid w:val="002D6E04"/>
    <w:rsid w:val="002E1AA1"/>
    <w:rsid w:val="002E1EE5"/>
    <w:rsid w:val="002E4857"/>
    <w:rsid w:val="002E4C40"/>
    <w:rsid w:val="002F16D4"/>
    <w:rsid w:val="002F6A17"/>
    <w:rsid w:val="00300EF2"/>
    <w:rsid w:val="00301816"/>
    <w:rsid w:val="00303BB3"/>
    <w:rsid w:val="00307CA0"/>
    <w:rsid w:val="0031580E"/>
    <w:rsid w:val="00317AAE"/>
    <w:rsid w:val="003252D8"/>
    <w:rsid w:val="0032612D"/>
    <w:rsid w:val="00326649"/>
    <w:rsid w:val="003309C1"/>
    <w:rsid w:val="00334963"/>
    <w:rsid w:val="003408FA"/>
    <w:rsid w:val="00340B80"/>
    <w:rsid w:val="00341131"/>
    <w:rsid w:val="00344575"/>
    <w:rsid w:val="00346157"/>
    <w:rsid w:val="00346927"/>
    <w:rsid w:val="003547D7"/>
    <w:rsid w:val="00360166"/>
    <w:rsid w:val="003644DF"/>
    <w:rsid w:val="00366550"/>
    <w:rsid w:val="00366FE3"/>
    <w:rsid w:val="003713C7"/>
    <w:rsid w:val="00376710"/>
    <w:rsid w:val="00380968"/>
    <w:rsid w:val="00381E96"/>
    <w:rsid w:val="0038222F"/>
    <w:rsid w:val="003837F4"/>
    <w:rsid w:val="00386F56"/>
    <w:rsid w:val="00386FCB"/>
    <w:rsid w:val="003A18CF"/>
    <w:rsid w:val="003A3C4A"/>
    <w:rsid w:val="003A3E5C"/>
    <w:rsid w:val="003A41E0"/>
    <w:rsid w:val="003B0E5A"/>
    <w:rsid w:val="003B12C2"/>
    <w:rsid w:val="003B5E5B"/>
    <w:rsid w:val="003C0F14"/>
    <w:rsid w:val="003C4AAF"/>
    <w:rsid w:val="003C5CF6"/>
    <w:rsid w:val="003C68F7"/>
    <w:rsid w:val="003C7B6C"/>
    <w:rsid w:val="003C7CE6"/>
    <w:rsid w:val="003D5915"/>
    <w:rsid w:val="003E02D3"/>
    <w:rsid w:val="003E12C9"/>
    <w:rsid w:val="003E274D"/>
    <w:rsid w:val="003F1D05"/>
    <w:rsid w:val="003F612B"/>
    <w:rsid w:val="00402189"/>
    <w:rsid w:val="00403710"/>
    <w:rsid w:val="004110F6"/>
    <w:rsid w:val="00411EEA"/>
    <w:rsid w:val="00413A23"/>
    <w:rsid w:val="004248DC"/>
    <w:rsid w:val="0043251F"/>
    <w:rsid w:val="00432ABF"/>
    <w:rsid w:val="00432D47"/>
    <w:rsid w:val="00440CCE"/>
    <w:rsid w:val="0044226A"/>
    <w:rsid w:val="0044313C"/>
    <w:rsid w:val="0044405F"/>
    <w:rsid w:val="00446229"/>
    <w:rsid w:val="004463F4"/>
    <w:rsid w:val="0044789D"/>
    <w:rsid w:val="004527D0"/>
    <w:rsid w:val="0046182E"/>
    <w:rsid w:val="004620BF"/>
    <w:rsid w:val="00465E15"/>
    <w:rsid w:val="004678BE"/>
    <w:rsid w:val="00475BCB"/>
    <w:rsid w:val="00482439"/>
    <w:rsid w:val="004A060D"/>
    <w:rsid w:val="004A14DE"/>
    <w:rsid w:val="004A2139"/>
    <w:rsid w:val="004A4C65"/>
    <w:rsid w:val="004A4DCC"/>
    <w:rsid w:val="004B1285"/>
    <w:rsid w:val="004B38A2"/>
    <w:rsid w:val="004B4BB7"/>
    <w:rsid w:val="004C090D"/>
    <w:rsid w:val="004C0EFB"/>
    <w:rsid w:val="004C2597"/>
    <w:rsid w:val="004C7588"/>
    <w:rsid w:val="004D02BA"/>
    <w:rsid w:val="004D2D1C"/>
    <w:rsid w:val="004D3AD0"/>
    <w:rsid w:val="004E00EA"/>
    <w:rsid w:val="004E18FC"/>
    <w:rsid w:val="004E3677"/>
    <w:rsid w:val="004F1C7B"/>
    <w:rsid w:val="004F554A"/>
    <w:rsid w:val="004F57AE"/>
    <w:rsid w:val="004F7ED3"/>
    <w:rsid w:val="00503030"/>
    <w:rsid w:val="0050378A"/>
    <w:rsid w:val="00512D84"/>
    <w:rsid w:val="005220D6"/>
    <w:rsid w:val="005250B1"/>
    <w:rsid w:val="00525565"/>
    <w:rsid w:val="00526CE6"/>
    <w:rsid w:val="005314E0"/>
    <w:rsid w:val="005316F2"/>
    <w:rsid w:val="005323DA"/>
    <w:rsid w:val="00533037"/>
    <w:rsid w:val="00533638"/>
    <w:rsid w:val="00533E72"/>
    <w:rsid w:val="005341C8"/>
    <w:rsid w:val="00535171"/>
    <w:rsid w:val="00535E74"/>
    <w:rsid w:val="0053774E"/>
    <w:rsid w:val="005429FB"/>
    <w:rsid w:val="00542F53"/>
    <w:rsid w:val="00554B1F"/>
    <w:rsid w:val="0055527B"/>
    <w:rsid w:val="00555FE5"/>
    <w:rsid w:val="005627D3"/>
    <w:rsid w:val="00562EBE"/>
    <w:rsid w:val="0056742C"/>
    <w:rsid w:val="00576E36"/>
    <w:rsid w:val="00581038"/>
    <w:rsid w:val="00590B22"/>
    <w:rsid w:val="005919D5"/>
    <w:rsid w:val="005964E0"/>
    <w:rsid w:val="00597E9C"/>
    <w:rsid w:val="005A3999"/>
    <w:rsid w:val="005B0865"/>
    <w:rsid w:val="005B1004"/>
    <w:rsid w:val="005B293A"/>
    <w:rsid w:val="005D1F7F"/>
    <w:rsid w:val="005D39A5"/>
    <w:rsid w:val="005D4841"/>
    <w:rsid w:val="005D6F1F"/>
    <w:rsid w:val="005E07C7"/>
    <w:rsid w:val="005E2705"/>
    <w:rsid w:val="005F01CA"/>
    <w:rsid w:val="005F1E43"/>
    <w:rsid w:val="005F25A8"/>
    <w:rsid w:val="00601A88"/>
    <w:rsid w:val="00601B57"/>
    <w:rsid w:val="006136F4"/>
    <w:rsid w:val="00613F46"/>
    <w:rsid w:val="00626F73"/>
    <w:rsid w:val="00633D66"/>
    <w:rsid w:val="0064194E"/>
    <w:rsid w:val="00642A02"/>
    <w:rsid w:val="006544CD"/>
    <w:rsid w:val="00657B43"/>
    <w:rsid w:val="0067159E"/>
    <w:rsid w:val="006724E0"/>
    <w:rsid w:val="00675535"/>
    <w:rsid w:val="0067644D"/>
    <w:rsid w:val="00687B97"/>
    <w:rsid w:val="0069043C"/>
    <w:rsid w:val="00694E0D"/>
    <w:rsid w:val="006A0EBD"/>
    <w:rsid w:val="006A1AC0"/>
    <w:rsid w:val="006A43E0"/>
    <w:rsid w:val="006A47E1"/>
    <w:rsid w:val="006A6304"/>
    <w:rsid w:val="006B4909"/>
    <w:rsid w:val="006B6C47"/>
    <w:rsid w:val="006C5757"/>
    <w:rsid w:val="006C7154"/>
    <w:rsid w:val="006D02B6"/>
    <w:rsid w:val="006D21A9"/>
    <w:rsid w:val="006E3711"/>
    <w:rsid w:val="006F12AB"/>
    <w:rsid w:val="006F3826"/>
    <w:rsid w:val="00702574"/>
    <w:rsid w:val="007038B4"/>
    <w:rsid w:val="007058EE"/>
    <w:rsid w:val="007074E3"/>
    <w:rsid w:val="00707C78"/>
    <w:rsid w:val="00710A65"/>
    <w:rsid w:val="00714CB8"/>
    <w:rsid w:val="00715D90"/>
    <w:rsid w:val="00726788"/>
    <w:rsid w:val="00730113"/>
    <w:rsid w:val="007317AD"/>
    <w:rsid w:val="00735EC0"/>
    <w:rsid w:val="0073610A"/>
    <w:rsid w:val="007410F3"/>
    <w:rsid w:val="007459C4"/>
    <w:rsid w:val="00745B64"/>
    <w:rsid w:val="0074753B"/>
    <w:rsid w:val="00750789"/>
    <w:rsid w:val="00751976"/>
    <w:rsid w:val="00751EA9"/>
    <w:rsid w:val="0075376A"/>
    <w:rsid w:val="0076156F"/>
    <w:rsid w:val="00773574"/>
    <w:rsid w:val="00777305"/>
    <w:rsid w:val="00777CEE"/>
    <w:rsid w:val="007904B3"/>
    <w:rsid w:val="00793F89"/>
    <w:rsid w:val="007947C8"/>
    <w:rsid w:val="00794FC8"/>
    <w:rsid w:val="007976CF"/>
    <w:rsid w:val="007B5814"/>
    <w:rsid w:val="007B6230"/>
    <w:rsid w:val="007C2FC8"/>
    <w:rsid w:val="007C4840"/>
    <w:rsid w:val="007D6548"/>
    <w:rsid w:val="007E403C"/>
    <w:rsid w:val="007E4529"/>
    <w:rsid w:val="007F1F7C"/>
    <w:rsid w:val="007F4594"/>
    <w:rsid w:val="00807A5D"/>
    <w:rsid w:val="00823A69"/>
    <w:rsid w:val="00824E1F"/>
    <w:rsid w:val="00832210"/>
    <w:rsid w:val="0083368A"/>
    <w:rsid w:val="00834803"/>
    <w:rsid w:val="00842678"/>
    <w:rsid w:val="00845AD3"/>
    <w:rsid w:val="008517F9"/>
    <w:rsid w:val="00851D8D"/>
    <w:rsid w:val="00860C4E"/>
    <w:rsid w:val="00860F67"/>
    <w:rsid w:val="00861471"/>
    <w:rsid w:val="0087217E"/>
    <w:rsid w:val="008726F3"/>
    <w:rsid w:val="00882E27"/>
    <w:rsid w:val="00887FDB"/>
    <w:rsid w:val="00893F46"/>
    <w:rsid w:val="00897B62"/>
    <w:rsid w:val="008A5E3D"/>
    <w:rsid w:val="008A65D2"/>
    <w:rsid w:val="008B1882"/>
    <w:rsid w:val="008C727F"/>
    <w:rsid w:val="008E31EF"/>
    <w:rsid w:val="008E562C"/>
    <w:rsid w:val="008F1AED"/>
    <w:rsid w:val="008F6EB2"/>
    <w:rsid w:val="00910441"/>
    <w:rsid w:val="00911782"/>
    <w:rsid w:val="009133B9"/>
    <w:rsid w:val="009210A0"/>
    <w:rsid w:val="0092726F"/>
    <w:rsid w:val="009273FE"/>
    <w:rsid w:val="00927D06"/>
    <w:rsid w:val="00931B28"/>
    <w:rsid w:val="00933BAA"/>
    <w:rsid w:val="00937742"/>
    <w:rsid w:val="00940A0D"/>
    <w:rsid w:val="00940E37"/>
    <w:rsid w:val="0094101A"/>
    <w:rsid w:val="009523F4"/>
    <w:rsid w:val="009559B5"/>
    <w:rsid w:val="0096230E"/>
    <w:rsid w:val="00962503"/>
    <w:rsid w:val="0096255A"/>
    <w:rsid w:val="009625D8"/>
    <w:rsid w:val="0098219B"/>
    <w:rsid w:val="00987555"/>
    <w:rsid w:val="00987B57"/>
    <w:rsid w:val="00996087"/>
    <w:rsid w:val="009A7F95"/>
    <w:rsid w:val="009B120E"/>
    <w:rsid w:val="009B29E8"/>
    <w:rsid w:val="009B6754"/>
    <w:rsid w:val="009C3888"/>
    <w:rsid w:val="009D438B"/>
    <w:rsid w:val="009D6B7D"/>
    <w:rsid w:val="009D72A0"/>
    <w:rsid w:val="009E0BA3"/>
    <w:rsid w:val="009E12A3"/>
    <w:rsid w:val="009F13F9"/>
    <w:rsid w:val="00A07688"/>
    <w:rsid w:val="00A129AF"/>
    <w:rsid w:val="00A203C4"/>
    <w:rsid w:val="00A30823"/>
    <w:rsid w:val="00A35CE0"/>
    <w:rsid w:val="00A45EA5"/>
    <w:rsid w:val="00A473A2"/>
    <w:rsid w:val="00A50586"/>
    <w:rsid w:val="00A509B7"/>
    <w:rsid w:val="00A50CE1"/>
    <w:rsid w:val="00A60C72"/>
    <w:rsid w:val="00A73CE6"/>
    <w:rsid w:val="00A76C1D"/>
    <w:rsid w:val="00A80BD3"/>
    <w:rsid w:val="00A81C1D"/>
    <w:rsid w:val="00A81C5C"/>
    <w:rsid w:val="00A83243"/>
    <w:rsid w:val="00A8420D"/>
    <w:rsid w:val="00A97332"/>
    <w:rsid w:val="00AA266F"/>
    <w:rsid w:val="00AA6755"/>
    <w:rsid w:val="00AA74E7"/>
    <w:rsid w:val="00AA7AEF"/>
    <w:rsid w:val="00AB567F"/>
    <w:rsid w:val="00AB5DB7"/>
    <w:rsid w:val="00AC3BF7"/>
    <w:rsid w:val="00AC7523"/>
    <w:rsid w:val="00AD2D1A"/>
    <w:rsid w:val="00AD35F4"/>
    <w:rsid w:val="00AD37FC"/>
    <w:rsid w:val="00AE1728"/>
    <w:rsid w:val="00AE1B85"/>
    <w:rsid w:val="00AE270C"/>
    <w:rsid w:val="00AE442F"/>
    <w:rsid w:val="00AE7143"/>
    <w:rsid w:val="00AE7602"/>
    <w:rsid w:val="00B06904"/>
    <w:rsid w:val="00B1052C"/>
    <w:rsid w:val="00B12A15"/>
    <w:rsid w:val="00B31462"/>
    <w:rsid w:val="00B32AB4"/>
    <w:rsid w:val="00B371F8"/>
    <w:rsid w:val="00B41F1A"/>
    <w:rsid w:val="00B42677"/>
    <w:rsid w:val="00B450BF"/>
    <w:rsid w:val="00B507FC"/>
    <w:rsid w:val="00B52FD8"/>
    <w:rsid w:val="00B54C7F"/>
    <w:rsid w:val="00B5551E"/>
    <w:rsid w:val="00B63AD1"/>
    <w:rsid w:val="00B64ADD"/>
    <w:rsid w:val="00B7017B"/>
    <w:rsid w:val="00B81F77"/>
    <w:rsid w:val="00B8590B"/>
    <w:rsid w:val="00B86A57"/>
    <w:rsid w:val="00B91D55"/>
    <w:rsid w:val="00B97162"/>
    <w:rsid w:val="00B97ED9"/>
    <w:rsid w:val="00BA3BEF"/>
    <w:rsid w:val="00BA59EB"/>
    <w:rsid w:val="00BB0654"/>
    <w:rsid w:val="00BB312F"/>
    <w:rsid w:val="00BB36C9"/>
    <w:rsid w:val="00BC231D"/>
    <w:rsid w:val="00BC4A02"/>
    <w:rsid w:val="00BC5972"/>
    <w:rsid w:val="00BD0174"/>
    <w:rsid w:val="00BD0D34"/>
    <w:rsid w:val="00BD242C"/>
    <w:rsid w:val="00BD73FA"/>
    <w:rsid w:val="00BE0E00"/>
    <w:rsid w:val="00BE34A0"/>
    <w:rsid w:val="00BE6854"/>
    <w:rsid w:val="00BE700A"/>
    <w:rsid w:val="00BF0C20"/>
    <w:rsid w:val="00BF3824"/>
    <w:rsid w:val="00BF6DEE"/>
    <w:rsid w:val="00C0294C"/>
    <w:rsid w:val="00C030A4"/>
    <w:rsid w:val="00C0381B"/>
    <w:rsid w:val="00C066B6"/>
    <w:rsid w:val="00C30DFE"/>
    <w:rsid w:val="00C401C8"/>
    <w:rsid w:val="00C42C8D"/>
    <w:rsid w:val="00C44207"/>
    <w:rsid w:val="00C51413"/>
    <w:rsid w:val="00C542A5"/>
    <w:rsid w:val="00C6034D"/>
    <w:rsid w:val="00C63EC7"/>
    <w:rsid w:val="00C67D73"/>
    <w:rsid w:val="00C72D5D"/>
    <w:rsid w:val="00C72E31"/>
    <w:rsid w:val="00C739DB"/>
    <w:rsid w:val="00C74761"/>
    <w:rsid w:val="00C7564C"/>
    <w:rsid w:val="00C77992"/>
    <w:rsid w:val="00C810FA"/>
    <w:rsid w:val="00C8430A"/>
    <w:rsid w:val="00C95D7C"/>
    <w:rsid w:val="00CA0856"/>
    <w:rsid w:val="00CA0D18"/>
    <w:rsid w:val="00CA2246"/>
    <w:rsid w:val="00CA3BF8"/>
    <w:rsid w:val="00CA5DB8"/>
    <w:rsid w:val="00CA6ACC"/>
    <w:rsid w:val="00CB0CB2"/>
    <w:rsid w:val="00CB63EA"/>
    <w:rsid w:val="00CC0CA9"/>
    <w:rsid w:val="00CC158D"/>
    <w:rsid w:val="00CC301A"/>
    <w:rsid w:val="00CC38E6"/>
    <w:rsid w:val="00CC6122"/>
    <w:rsid w:val="00CC675B"/>
    <w:rsid w:val="00CC6FCA"/>
    <w:rsid w:val="00CD099F"/>
    <w:rsid w:val="00CD7823"/>
    <w:rsid w:val="00CE1DAA"/>
    <w:rsid w:val="00CE5F9F"/>
    <w:rsid w:val="00CF0044"/>
    <w:rsid w:val="00CF40A9"/>
    <w:rsid w:val="00D033C4"/>
    <w:rsid w:val="00D07599"/>
    <w:rsid w:val="00D30264"/>
    <w:rsid w:val="00D41B06"/>
    <w:rsid w:val="00D42535"/>
    <w:rsid w:val="00D43D45"/>
    <w:rsid w:val="00D47B73"/>
    <w:rsid w:val="00D509FF"/>
    <w:rsid w:val="00D515E6"/>
    <w:rsid w:val="00D52E67"/>
    <w:rsid w:val="00D54B56"/>
    <w:rsid w:val="00D56052"/>
    <w:rsid w:val="00D61B34"/>
    <w:rsid w:val="00D666E4"/>
    <w:rsid w:val="00D7183C"/>
    <w:rsid w:val="00D76A1F"/>
    <w:rsid w:val="00D855AC"/>
    <w:rsid w:val="00D87999"/>
    <w:rsid w:val="00D9163A"/>
    <w:rsid w:val="00D9544E"/>
    <w:rsid w:val="00DA57BC"/>
    <w:rsid w:val="00DA6708"/>
    <w:rsid w:val="00DA7CDD"/>
    <w:rsid w:val="00DB3839"/>
    <w:rsid w:val="00DB3FC8"/>
    <w:rsid w:val="00DB4070"/>
    <w:rsid w:val="00DB54B9"/>
    <w:rsid w:val="00DC47DD"/>
    <w:rsid w:val="00DC73B1"/>
    <w:rsid w:val="00DD11EC"/>
    <w:rsid w:val="00DE2824"/>
    <w:rsid w:val="00DE7926"/>
    <w:rsid w:val="00DE7E61"/>
    <w:rsid w:val="00DF39C1"/>
    <w:rsid w:val="00DF3AC9"/>
    <w:rsid w:val="00E004C8"/>
    <w:rsid w:val="00E06736"/>
    <w:rsid w:val="00E12D4B"/>
    <w:rsid w:val="00E16B23"/>
    <w:rsid w:val="00E17EB1"/>
    <w:rsid w:val="00E210D3"/>
    <w:rsid w:val="00E230D7"/>
    <w:rsid w:val="00E40388"/>
    <w:rsid w:val="00E413AE"/>
    <w:rsid w:val="00E45515"/>
    <w:rsid w:val="00E45DE7"/>
    <w:rsid w:val="00E4607C"/>
    <w:rsid w:val="00E4636A"/>
    <w:rsid w:val="00E51128"/>
    <w:rsid w:val="00E564FE"/>
    <w:rsid w:val="00E63C33"/>
    <w:rsid w:val="00E63C65"/>
    <w:rsid w:val="00E70761"/>
    <w:rsid w:val="00E764C0"/>
    <w:rsid w:val="00E811E9"/>
    <w:rsid w:val="00E93A1B"/>
    <w:rsid w:val="00EB3296"/>
    <w:rsid w:val="00EB7491"/>
    <w:rsid w:val="00EC0623"/>
    <w:rsid w:val="00EC16B0"/>
    <w:rsid w:val="00EC6F0F"/>
    <w:rsid w:val="00ED0FE3"/>
    <w:rsid w:val="00ED1B06"/>
    <w:rsid w:val="00ED31C8"/>
    <w:rsid w:val="00EE053C"/>
    <w:rsid w:val="00EE5C5A"/>
    <w:rsid w:val="00F008DA"/>
    <w:rsid w:val="00F01663"/>
    <w:rsid w:val="00F030D0"/>
    <w:rsid w:val="00F0589D"/>
    <w:rsid w:val="00F05EBF"/>
    <w:rsid w:val="00F12F57"/>
    <w:rsid w:val="00F14ACD"/>
    <w:rsid w:val="00F20A2D"/>
    <w:rsid w:val="00F23096"/>
    <w:rsid w:val="00F231FA"/>
    <w:rsid w:val="00F245CE"/>
    <w:rsid w:val="00F2620F"/>
    <w:rsid w:val="00F3032F"/>
    <w:rsid w:val="00F31A04"/>
    <w:rsid w:val="00F40CDE"/>
    <w:rsid w:val="00F44521"/>
    <w:rsid w:val="00F45DC4"/>
    <w:rsid w:val="00F549F8"/>
    <w:rsid w:val="00F56BD0"/>
    <w:rsid w:val="00F60F16"/>
    <w:rsid w:val="00F6282F"/>
    <w:rsid w:val="00F72D92"/>
    <w:rsid w:val="00F76D30"/>
    <w:rsid w:val="00F8303E"/>
    <w:rsid w:val="00F908A7"/>
    <w:rsid w:val="00FA03B1"/>
    <w:rsid w:val="00FA04EC"/>
    <w:rsid w:val="00FA0F1E"/>
    <w:rsid w:val="00FA1D58"/>
    <w:rsid w:val="00FA5A09"/>
    <w:rsid w:val="00FA5E09"/>
    <w:rsid w:val="00FC5F30"/>
    <w:rsid w:val="00FD1B93"/>
    <w:rsid w:val="00FD5753"/>
    <w:rsid w:val="00FE6B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65C5E"/>
  <w15:docId w15:val="{FEE9B0F7-6C50-4AC4-8419-833A0B8F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rsid w:val="000A1777"/>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basedOn w:val="FootnoteText1"/>
    <w:link w:val="FootnoteTextChar"/>
    <w:unhideWhenUsed/>
    <w:rsid w:val="00CB63EA"/>
  </w:style>
  <w:style w:type="character" w:customStyle="1" w:styleId="FootnoteTextChar">
    <w:name w:val="Footnote Text Char"/>
    <w:basedOn w:val="DefaultParagraphFont"/>
    <w:link w:val="FootnoteText"/>
    <w:rsid w:val="00CB63EA"/>
    <w:rPr>
      <w:rFonts w:ascii="Times New Roman" w:hAnsi="Times New Roman"/>
      <w:szCs w:val="22"/>
      <w:lang w:val="en-ZA"/>
    </w:rPr>
  </w:style>
  <w:style w:type="character" w:styleId="FootnoteReference">
    <w:name w:val="footnote reference"/>
    <w:basedOn w:val="DefaultParagraphFont"/>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customStyle="1" w:styleId="Heading2Char">
    <w:name w:val="Heading 2 Char"/>
    <w:basedOn w:val="DefaultParagraphFont"/>
    <w:link w:val="Heading2"/>
    <w:uiPriority w:val="9"/>
    <w:semiHidden/>
    <w:rsid w:val="000A1777"/>
    <w:rPr>
      <w:rFonts w:asciiTheme="majorHAnsi" w:eastAsiaTheme="majorEastAsia" w:hAnsiTheme="majorHAnsi" w:cstheme="majorBidi"/>
      <w:color w:val="365F91" w:themeColor="accent1" w:themeShade="BF"/>
      <w:sz w:val="26"/>
      <w:szCs w:val="26"/>
      <w:lang w:val="en-ZA"/>
    </w:rPr>
  </w:style>
  <w:style w:type="character" w:styleId="CommentReference">
    <w:name w:val="annotation reference"/>
    <w:basedOn w:val="DefaultParagraphFont"/>
    <w:uiPriority w:val="99"/>
    <w:semiHidden/>
    <w:unhideWhenUsed/>
    <w:rsid w:val="004B4BB7"/>
    <w:rPr>
      <w:sz w:val="16"/>
      <w:szCs w:val="16"/>
    </w:rPr>
  </w:style>
  <w:style w:type="paragraph" w:styleId="CommentText">
    <w:name w:val="annotation text"/>
    <w:basedOn w:val="Normal"/>
    <w:link w:val="CommentTextChar"/>
    <w:uiPriority w:val="99"/>
    <w:unhideWhenUsed/>
    <w:rsid w:val="004B4BB7"/>
    <w:pPr>
      <w:spacing w:line="240" w:lineRule="auto"/>
    </w:pPr>
    <w:rPr>
      <w:sz w:val="20"/>
      <w:szCs w:val="20"/>
    </w:rPr>
  </w:style>
  <w:style w:type="character" w:customStyle="1" w:styleId="CommentTextChar">
    <w:name w:val="Comment Text Char"/>
    <w:basedOn w:val="DefaultParagraphFont"/>
    <w:link w:val="CommentText"/>
    <w:uiPriority w:val="99"/>
    <w:rsid w:val="004B4BB7"/>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4B4BB7"/>
    <w:rPr>
      <w:b/>
      <w:bCs/>
    </w:rPr>
  </w:style>
  <w:style w:type="character" w:customStyle="1" w:styleId="CommentSubjectChar">
    <w:name w:val="Comment Subject Char"/>
    <w:basedOn w:val="CommentTextChar"/>
    <w:link w:val="CommentSubject"/>
    <w:uiPriority w:val="99"/>
    <w:semiHidden/>
    <w:rsid w:val="004B4BB7"/>
    <w:rPr>
      <w:rFonts w:ascii="Times New Roman" w:hAnsi="Times New Roman"/>
      <w:b/>
      <w:bCs/>
      <w:lang w:val="en-ZA"/>
    </w:rPr>
  </w:style>
  <w:style w:type="character" w:styleId="Hyperlink">
    <w:name w:val="Hyperlink"/>
    <w:basedOn w:val="DefaultParagraphFont"/>
    <w:uiPriority w:val="99"/>
    <w:unhideWhenUsed/>
    <w:rsid w:val="00F3032F"/>
    <w:rPr>
      <w:color w:val="0000FF" w:themeColor="hyperlink"/>
      <w:u w:val="single"/>
    </w:rPr>
  </w:style>
  <w:style w:type="character" w:customStyle="1" w:styleId="UnresolvedMention1">
    <w:name w:val="Unresolved Mention1"/>
    <w:basedOn w:val="DefaultParagraphFont"/>
    <w:uiPriority w:val="99"/>
    <w:semiHidden/>
    <w:unhideWhenUsed/>
    <w:rsid w:val="00ED1B06"/>
    <w:rPr>
      <w:color w:val="605E5C"/>
      <w:shd w:val="clear" w:color="auto" w:fill="E1DFDD"/>
    </w:rPr>
  </w:style>
  <w:style w:type="character" w:customStyle="1" w:styleId="UnresolvedMention2">
    <w:name w:val="Unresolved Mention2"/>
    <w:basedOn w:val="DefaultParagraphFont"/>
    <w:uiPriority w:val="99"/>
    <w:semiHidden/>
    <w:unhideWhenUsed/>
    <w:rsid w:val="00D515E6"/>
    <w:rPr>
      <w:color w:val="605E5C"/>
      <w:shd w:val="clear" w:color="auto" w:fill="E1DFDD"/>
    </w:rPr>
  </w:style>
  <w:style w:type="character" w:customStyle="1" w:styleId="UnresolvedMention3">
    <w:name w:val="Unresolved Mention3"/>
    <w:basedOn w:val="DefaultParagraphFont"/>
    <w:uiPriority w:val="99"/>
    <w:semiHidden/>
    <w:unhideWhenUsed/>
    <w:rsid w:val="00642A02"/>
    <w:rPr>
      <w:color w:val="605E5C"/>
      <w:shd w:val="clear" w:color="auto" w:fill="E1DFDD"/>
    </w:rPr>
  </w:style>
  <w:style w:type="paragraph" w:styleId="Revision">
    <w:name w:val="Revision"/>
    <w:hidden/>
    <w:uiPriority w:val="99"/>
    <w:semiHidden/>
    <w:rsid w:val="00B06904"/>
    <w:rPr>
      <w:rFonts w:ascii="Times New Roman" w:hAnsi="Times New Roman"/>
      <w:sz w:val="26"/>
      <w:szCs w:val="22"/>
      <w:lang w:val="en-ZA"/>
    </w:rPr>
  </w:style>
  <w:style w:type="character" w:customStyle="1" w:styleId="UnresolvedMention4">
    <w:name w:val="Unresolved Mention4"/>
    <w:basedOn w:val="DefaultParagraphFont"/>
    <w:uiPriority w:val="99"/>
    <w:semiHidden/>
    <w:unhideWhenUsed/>
    <w:rsid w:val="005B1004"/>
    <w:rPr>
      <w:color w:val="605E5C"/>
      <w:shd w:val="clear" w:color="auto" w:fill="E1DFDD"/>
    </w:rPr>
  </w:style>
  <w:style w:type="character" w:styleId="PlaceholderText">
    <w:name w:val="Placeholder Text"/>
    <w:basedOn w:val="DefaultParagraphFont"/>
    <w:uiPriority w:val="99"/>
    <w:semiHidden/>
    <w:rsid w:val="006904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2199">
      <w:bodyDiv w:val="1"/>
      <w:marLeft w:val="0"/>
      <w:marRight w:val="0"/>
      <w:marTop w:val="0"/>
      <w:marBottom w:val="0"/>
      <w:divBdr>
        <w:top w:val="none" w:sz="0" w:space="0" w:color="auto"/>
        <w:left w:val="none" w:sz="0" w:space="0" w:color="auto"/>
        <w:bottom w:val="none" w:sz="0" w:space="0" w:color="auto"/>
        <w:right w:val="none" w:sz="0" w:space="0" w:color="auto"/>
      </w:divBdr>
    </w:div>
    <w:div w:id="393043020">
      <w:bodyDiv w:val="1"/>
      <w:marLeft w:val="0"/>
      <w:marRight w:val="0"/>
      <w:marTop w:val="0"/>
      <w:marBottom w:val="0"/>
      <w:divBdr>
        <w:top w:val="none" w:sz="0" w:space="0" w:color="auto"/>
        <w:left w:val="none" w:sz="0" w:space="0" w:color="auto"/>
        <w:bottom w:val="none" w:sz="0" w:space="0" w:color="auto"/>
        <w:right w:val="none" w:sz="0" w:space="0" w:color="auto"/>
      </w:divBdr>
    </w:div>
    <w:div w:id="422726365">
      <w:bodyDiv w:val="1"/>
      <w:marLeft w:val="0"/>
      <w:marRight w:val="0"/>
      <w:marTop w:val="0"/>
      <w:marBottom w:val="0"/>
      <w:divBdr>
        <w:top w:val="none" w:sz="0" w:space="0" w:color="auto"/>
        <w:left w:val="none" w:sz="0" w:space="0" w:color="auto"/>
        <w:bottom w:val="none" w:sz="0" w:space="0" w:color="auto"/>
        <w:right w:val="none" w:sz="0" w:space="0" w:color="auto"/>
      </w:divBdr>
    </w:div>
    <w:div w:id="458844584">
      <w:bodyDiv w:val="1"/>
      <w:marLeft w:val="0"/>
      <w:marRight w:val="0"/>
      <w:marTop w:val="0"/>
      <w:marBottom w:val="0"/>
      <w:divBdr>
        <w:top w:val="none" w:sz="0" w:space="0" w:color="auto"/>
        <w:left w:val="none" w:sz="0" w:space="0" w:color="auto"/>
        <w:bottom w:val="none" w:sz="0" w:space="0" w:color="auto"/>
        <w:right w:val="none" w:sz="0" w:space="0" w:color="auto"/>
      </w:divBdr>
    </w:div>
    <w:div w:id="472451859">
      <w:bodyDiv w:val="1"/>
      <w:marLeft w:val="0"/>
      <w:marRight w:val="0"/>
      <w:marTop w:val="0"/>
      <w:marBottom w:val="0"/>
      <w:divBdr>
        <w:top w:val="none" w:sz="0" w:space="0" w:color="auto"/>
        <w:left w:val="none" w:sz="0" w:space="0" w:color="auto"/>
        <w:bottom w:val="none" w:sz="0" w:space="0" w:color="auto"/>
        <w:right w:val="none" w:sz="0" w:space="0" w:color="auto"/>
      </w:divBdr>
    </w:div>
    <w:div w:id="482434925">
      <w:bodyDiv w:val="1"/>
      <w:marLeft w:val="0"/>
      <w:marRight w:val="0"/>
      <w:marTop w:val="0"/>
      <w:marBottom w:val="0"/>
      <w:divBdr>
        <w:top w:val="none" w:sz="0" w:space="0" w:color="auto"/>
        <w:left w:val="none" w:sz="0" w:space="0" w:color="auto"/>
        <w:bottom w:val="none" w:sz="0" w:space="0" w:color="auto"/>
        <w:right w:val="none" w:sz="0" w:space="0" w:color="auto"/>
      </w:divBdr>
    </w:div>
    <w:div w:id="512231136">
      <w:bodyDiv w:val="1"/>
      <w:marLeft w:val="0"/>
      <w:marRight w:val="0"/>
      <w:marTop w:val="0"/>
      <w:marBottom w:val="0"/>
      <w:divBdr>
        <w:top w:val="none" w:sz="0" w:space="0" w:color="auto"/>
        <w:left w:val="none" w:sz="0" w:space="0" w:color="auto"/>
        <w:bottom w:val="none" w:sz="0" w:space="0" w:color="auto"/>
        <w:right w:val="none" w:sz="0" w:space="0" w:color="auto"/>
      </w:divBdr>
    </w:div>
    <w:div w:id="513882381">
      <w:bodyDiv w:val="1"/>
      <w:marLeft w:val="0"/>
      <w:marRight w:val="0"/>
      <w:marTop w:val="0"/>
      <w:marBottom w:val="0"/>
      <w:divBdr>
        <w:top w:val="none" w:sz="0" w:space="0" w:color="auto"/>
        <w:left w:val="none" w:sz="0" w:space="0" w:color="auto"/>
        <w:bottom w:val="none" w:sz="0" w:space="0" w:color="auto"/>
        <w:right w:val="none" w:sz="0" w:space="0" w:color="auto"/>
      </w:divBdr>
    </w:div>
    <w:div w:id="533153058">
      <w:bodyDiv w:val="1"/>
      <w:marLeft w:val="0"/>
      <w:marRight w:val="0"/>
      <w:marTop w:val="0"/>
      <w:marBottom w:val="0"/>
      <w:divBdr>
        <w:top w:val="none" w:sz="0" w:space="0" w:color="auto"/>
        <w:left w:val="none" w:sz="0" w:space="0" w:color="auto"/>
        <w:bottom w:val="none" w:sz="0" w:space="0" w:color="auto"/>
        <w:right w:val="none" w:sz="0" w:space="0" w:color="auto"/>
      </w:divBdr>
    </w:div>
    <w:div w:id="590435777">
      <w:bodyDiv w:val="1"/>
      <w:marLeft w:val="0"/>
      <w:marRight w:val="0"/>
      <w:marTop w:val="0"/>
      <w:marBottom w:val="0"/>
      <w:divBdr>
        <w:top w:val="none" w:sz="0" w:space="0" w:color="auto"/>
        <w:left w:val="none" w:sz="0" w:space="0" w:color="auto"/>
        <w:bottom w:val="none" w:sz="0" w:space="0" w:color="auto"/>
        <w:right w:val="none" w:sz="0" w:space="0" w:color="auto"/>
      </w:divBdr>
    </w:div>
    <w:div w:id="646085959">
      <w:bodyDiv w:val="1"/>
      <w:marLeft w:val="0"/>
      <w:marRight w:val="0"/>
      <w:marTop w:val="0"/>
      <w:marBottom w:val="0"/>
      <w:divBdr>
        <w:top w:val="none" w:sz="0" w:space="0" w:color="auto"/>
        <w:left w:val="none" w:sz="0" w:space="0" w:color="auto"/>
        <w:bottom w:val="none" w:sz="0" w:space="0" w:color="auto"/>
        <w:right w:val="none" w:sz="0" w:space="0" w:color="auto"/>
      </w:divBdr>
    </w:div>
    <w:div w:id="682980494">
      <w:bodyDiv w:val="1"/>
      <w:marLeft w:val="0"/>
      <w:marRight w:val="0"/>
      <w:marTop w:val="0"/>
      <w:marBottom w:val="0"/>
      <w:divBdr>
        <w:top w:val="none" w:sz="0" w:space="0" w:color="auto"/>
        <w:left w:val="none" w:sz="0" w:space="0" w:color="auto"/>
        <w:bottom w:val="none" w:sz="0" w:space="0" w:color="auto"/>
        <w:right w:val="none" w:sz="0" w:space="0" w:color="auto"/>
      </w:divBdr>
    </w:div>
    <w:div w:id="767316142">
      <w:bodyDiv w:val="1"/>
      <w:marLeft w:val="0"/>
      <w:marRight w:val="0"/>
      <w:marTop w:val="0"/>
      <w:marBottom w:val="0"/>
      <w:divBdr>
        <w:top w:val="none" w:sz="0" w:space="0" w:color="auto"/>
        <w:left w:val="none" w:sz="0" w:space="0" w:color="auto"/>
        <w:bottom w:val="none" w:sz="0" w:space="0" w:color="auto"/>
        <w:right w:val="none" w:sz="0" w:space="0" w:color="auto"/>
      </w:divBdr>
    </w:div>
    <w:div w:id="805246453">
      <w:bodyDiv w:val="1"/>
      <w:marLeft w:val="0"/>
      <w:marRight w:val="0"/>
      <w:marTop w:val="0"/>
      <w:marBottom w:val="0"/>
      <w:divBdr>
        <w:top w:val="none" w:sz="0" w:space="0" w:color="auto"/>
        <w:left w:val="none" w:sz="0" w:space="0" w:color="auto"/>
        <w:bottom w:val="none" w:sz="0" w:space="0" w:color="auto"/>
        <w:right w:val="none" w:sz="0" w:space="0" w:color="auto"/>
      </w:divBdr>
    </w:div>
    <w:div w:id="854076456">
      <w:bodyDiv w:val="1"/>
      <w:marLeft w:val="0"/>
      <w:marRight w:val="0"/>
      <w:marTop w:val="0"/>
      <w:marBottom w:val="0"/>
      <w:divBdr>
        <w:top w:val="none" w:sz="0" w:space="0" w:color="auto"/>
        <w:left w:val="none" w:sz="0" w:space="0" w:color="auto"/>
        <w:bottom w:val="none" w:sz="0" w:space="0" w:color="auto"/>
        <w:right w:val="none" w:sz="0" w:space="0" w:color="auto"/>
      </w:divBdr>
    </w:div>
    <w:div w:id="1067608591">
      <w:bodyDiv w:val="1"/>
      <w:marLeft w:val="0"/>
      <w:marRight w:val="0"/>
      <w:marTop w:val="0"/>
      <w:marBottom w:val="0"/>
      <w:divBdr>
        <w:top w:val="none" w:sz="0" w:space="0" w:color="auto"/>
        <w:left w:val="none" w:sz="0" w:space="0" w:color="auto"/>
        <w:bottom w:val="none" w:sz="0" w:space="0" w:color="auto"/>
        <w:right w:val="none" w:sz="0" w:space="0" w:color="auto"/>
      </w:divBdr>
    </w:div>
    <w:div w:id="1080833746">
      <w:bodyDiv w:val="1"/>
      <w:marLeft w:val="0"/>
      <w:marRight w:val="0"/>
      <w:marTop w:val="0"/>
      <w:marBottom w:val="0"/>
      <w:divBdr>
        <w:top w:val="none" w:sz="0" w:space="0" w:color="auto"/>
        <w:left w:val="none" w:sz="0" w:space="0" w:color="auto"/>
        <w:bottom w:val="none" w:sz="0" w:space="0" w:color="auto"/>
        <w:right w:val="none" w:sz="0" w:space="0" w:color="auto"/>
      </w:divBdr>
    </w:div>
    <w:div w:id="1101678874">
      <w:bodyDiv w:val="1"/>
      <w:marLeft w:val="0"/>
      <w:marRight w:val="0"/>
      <w:marTop w:val="0"/>
      <w:marBottom w:val="0"/>
      <w:divBdr>
        <w:top w:val="none" w:sz="0" w:space="0" w:color="auto"/>
        <w:left w:val="none" w:sz="0" w:space="0" w:color="auto"/>
        <w:bottom w:val="none" w:sz="0" w:space="0" w:color="auto"/>
        <w:right w:val="none" w:sz="0" w:space="0" w:color="auto"/>
      </w:divBdr>
    </w:div>
    <w:div w:id="1345128796">
      <w:bodyDiv w:val="1"/>
      <w:marLeft w:val="0"/>
      <w:marRight w:val="0"/>
      <w:marTop w:val="0"/>
      <w:marBottom w:val="0"/>
      <w:divBdr>
        <w:top w:val="none" w:sz="0" w:space="0" w:color="auto"/>
        <w:left w:val="none" w:sz="0" w:space="0" w:color="auto"/>
        <w:bottom w:val="none" w:sz="0" w:space="0" w:color="auto"/>
        <w:right w:val="none" w:sz="0" w:space="0" w:color="auto"/>
      </w:divBdr>
    </w:div>
    <w:div w:id="1381133445">
      <w:bodyDiv w:val="1"/>
      <w:marLeft w:val="0"/>
      <w:marRight w:val="0"/>
      <w:marTop w:val="0"/>
      <w:marBottom w:val="0"/>
      <w:divBdr>
        <w:top w:val="none" w:sz="0" w:space="0" w:color="auto"/>
        <w:left w:val="none" w:sz="0" w:space="0" w:color="auto"/>
        <w:bottom w:val="none" w:sz="0" w:space="0" w:color="auto"/>
        <w:right w:val="none" w:sz="0" w:space="0" w:color="auto"/>
      </w:divBdr>
    </w:div>
    <w:div w:id="1403480100">
      <w:bodyDiv w:val="1"/>
      <w:marLeft w:val="0"/>
      <w:marRight w:val="0"/>
      <w:marTop w:val="0"/>
      <w:marBottom w:val="0"/>
      <w:divBdr>
        <w:top w:val="none" w:sz="0" w:space="0" w:color="auto"/>
        <w:left w:val="none" w:sz="0" w:space="0" w:color="auto"/>
        <w:bottom w:val="none" w:sz="0" w:space="0" w:color="auto"/>
        <w:right w:val="none" w:sz="0" w:space="0" w:color="auto"/>
      </w:divBdr>
    </w:div>
    <w:div w:id="1678574595">
      <w:bodyDiv w:val="1"/>
      <w:marLeft w:val="0"/>
      <w:marRight w:val="0"/>
      <w:marTop w:val="0"/>
      <w:marBottom w:val="0"/>
      <w:divBdr>
        <w:top w:val="none" w:sz="0" w:space="0" w:color="auto"/>
        <w:left w:val="none" w:sz="0" w:space="0" w:color="auto"/>
        <w:bottom w:val="none" w:sz="0" w:space="0" w:color="auto"/>
        <w:right w:val="none" w:sz="0" w:space="0" w:color="auto"/>
      </w:divBdr>
    </w:div>
    <w:div w:id="1821771358">
      <w:bodyDiv w:val="1"/>
      <w:marLeft w:val="0"/>
      <w:marRight w:val="0"/>
      <w:marTop w:val="0"/>
      <w:marBottom w:val="0"/>
      <w:divBdr>
        <w:top w:val="none" w:sz="0" w:space="0" w:color="auto"/>
        <w:left w:val="none" w:sz="0" w:space="0" w:color="auto"/>
        <w:bottom w:val="none" w:sz="0" w:space="0" w:color="auto"/>
        <w:right w:val="none" w:sz="0" w:space="0" w:color="auto"/>
      </w:divBdr>
    </w:div>
    <w:div w:id="1887796574">
      <w:bodyDiv w:val="1"/>
      <w:marLeft w:val="0"/>
      <w:marRight w:val="0"/>
      <w:marTop w:val="0"/>
      <w:marBottom w:val="0"/>
      <w:divBdr>
        <w:top w:val="none" w:sz="0" w:space="0" w:color="auto"/>
        <w:left w:val="none" w:sz="0" w:space="0" w:color="auto"/>
        <w:bottom w:val="none" w:sz="0" w:space="0" w:color="auto"/>
        <w:right w:val="none" w:sz="0" w:space="0" w:color="auto"/>
      </w:divBdr>
    </w:div>
    <w:div w:id="2078238264">
      <w:bodyDiv w:val="1"/>
      <w:marLeft w:val="0"/>
      <w:marRight w:val="0"/>
      <w:marTop w:val="0"/>
      <w:marBottom w:val="0"/>
      <w:divBdr>
        <w:top w:val="none" w:sz="0" w:space="0" w:color="auto"/>
        <w:left w:val="none" w:sz="0" w:space="0" w:color="auto"/>
        <w:bottom w:val="none" w:sz="0" w:space="0" w:color="auto"/>
        <w:right w:val="none" w:sz="0" w:space="0" w:color="auto"/>
      </w:divBdr>
    </w:div>
    <w:div w:id="2080637183">
      <w:bodyDiv w:val="1"/>
      <w:marLeft w:val="0"/>
      <w:marRight w:val="0"/>
      <w:marTop w:val="0"/>
      <w:marBottom w:val="0"/>
      <w:divBdr>
        <w:top w:val="none" w:sz="0" w:space="0" w:color="auto"/>
        <w:left w:val="none" w:sz="0" w:space="0" w:color="auto"/>
        <w:bottom w:val="none" w:sz="0" w:space="0" w:color="auto"/>
        <w:right w:val="none" w:sz="0" w:space="0" w:color="auto"/>
      </w:divBdr>
    </w:div>
    <w:div w:id="212614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7\JUDGMEN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63F4-B654-4CFB-AEB3-3EC426B4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2017</Template>
  <TotalTime>2</TotalTime>
  <Pages>18</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dc:creator>
  <cp:keywords/>
  <dc:description/>
  <cp:lastModifiedBy>Reviewer</cp:lastModifiedBy>
  <cp:revision>2</cp:revision>
  <cp:lastPrinted>2021-12-06T16:57:00Z</cp:lastPrinted>
  <dcterms:created xsi:type="dcterms:W3CDTF">2021-12-13T08:03:00Z</dcterms:created>
  <dcterms:modified xsi:type="dcterms:W3CDTF">2021-12-13T08:03:00Z</dcterms:modified>
</cp:coreProperties>
</file>