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371BCE" w14:textId="77777777" w:rsidR="003A18CF" w:rsidRDefault="0003374F" w:rsidP="003A18CF">
      <w:pPr>
        <w:spacing w:line="240" w:lineRule="auto"/>
        <w:jc w:val="center"/>
        <w:outlineLvl w:val="0"/>
      </w:pPr>
      <w:r w:rsidRPr="0003374F">
        <w:rPr>
          <w:b/>
          <w:bCs/>
          <w:noProof/>
          <w:color w:val="1F497D"/>
          <w:lang w:eastAsia="en-ZA"/>
        </w:rPr>
        <w:drawing>
          <wp:inline distT="0" distB="0" distL="0" distR="0" wp14:anchorId="0BF0B0F6" wp14:editId="2BC18976">
            <wp:extent cx="849732" cy="876300"/>
            <wp:effectExtent l="19050" t="0" r="7518" b="0"/>
            <wp:docPr id="2" name="Picture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49732" cy="876300"/>
                    </a:xfrm>
                    <a:prstGeom prst="rect">
                      <a:avLst/>
                    </a:prstGeom>
                    <a:noFill/>
                    <a:ln w="9525">
                      <a:noFill/>
                      <a:miter lim="800000"/>
                      <a:headEnd/>
                      <a:tailEnd/>
                    </a:ln>
                  </pic:spPr>
                </pic:pic>
              </a:graphicData>
            </a:graphic>
          </wp:inline>
        </w:drawing>
      </w:r>
    </w:p>
    <w:p w14:paraId="47329A7B" w14:textId="77777777" w:rsidR="003A18CF" w:rsidRDefault="003A18CF" w:rsidP="003A18CF">
      <w:pPr>
        <w:spacing w:line="240" w:lineRule="auto"/>
        <w:jc w:val="center"/>
        <w:outlineLvl w:val="0"/>
      </w:pPr>
    </w:p>
    <w:p w14:paraId="7B5D4935" w14:textId="77777777" w:rsidR="003A18CF" w:rsidRPr="00271C49" w:rsidRDefault="003A18CF" w:rsidP="003A18CF">
      <w:pPr>
        <w:spacing w:line="240" w:lineRule="auto"/>
        <w:jc w:val="center"/>
        <w:outlineLvl w:val="0"/>
        <w:rPr>
          <w:b/>
        </w:rPr>
      </w:pPr>
      <w:r w:rsidRPr="00271C49">
        <w:rPr>
          <w:b/>
        </w:rPr>
        <w:t>CONSTITUTIONAL COURT OF SOUTH AFRICA</w:t>
      </w:r>
    </w:p>
    <w:p w14:paraId="44CE5F01" w14:textId="77777777" w:rsidR="003A18CF" w:rsidRDefault="003A18CF" w:rsidP="003A18CF">
      <w:pPr>
        <w:spacing w:line="240" w:lineRule="auto"/>
      </w:pPr>
    </w:p>
    <w:p w14:paraId="3C1F80CE" w14:textId="77777777" w:rsidR="003A18CF" w:rsidRPr="009C3888" w:rsidRDefault="003A18CF" w:rsidP="003A18CF">
      <w:pPr>
        <w:spacing w:line="240" w:lineRule="auto"/>
      </w:pPr>
    </w:p>
    <w:p w14:paraId="2D7B40C2" w14:textId="77777777" w:rsidR="00EF6D86" w:rsidRPr="00EF6D86" w:rsidRDefault="00EF6D86" w:rsidP="00EF6D86">
      <w:pPr>
        <w:tabs>
          <w:tab w:val="right" w:pos="9029"/>
        </w:tabs>
        <w:spacing w:line="240" w:lineRule="auto"/>
        <w:rPr>
          <w:sz w:val="24"/>
          <w:szCs w:val="24"/>
        </w:rPr>
      </w:pPr>
      <w:r w:rsidRPr="00B43AE5">
        <w:rPr>
          <w:sz w:val="24"/>
          <w:szCs w:val="24"/>
        </w:rPr>
        <w:tab/>
      </w:r>
      <w:r w:rsidRPr="00EF6D86">
        <w:rPr>
          <w:sz w:val="24"/>
          <w:szCs w:val="24"/>
        </w:rPr>
        <w:t>Case CCT 23/20</w:t>
      </w:r>
    </w:p>
    <w:p w14:paraId="6C701157" w14:textId="77777777" w:rsidR="00EF6D86" w:rsidRPr="00B43AE5" w:rsidRDefault="00EF6D86" w:rsidP="00EF6D86">
      <w:pPr>
        <w:tabs>
          <w:tab w:val="left" w:pos="8998"/>
        </w:tabs>
        <w:spacing w:line="240" w:lineRule="auto"/>
        <w:rPr>
          <w:sz w:val="24"/>
          <w:szCs w:val="24"/>
        </w:rPr>
      </w:pPr>
    </w:p>
    <w:p w14:paraId="22561FA8" w14:textId="77777777" w:rsidR="00EF6D86" w:rsidRPr="00E6071A" w:rsidRDefault="00EF6D86" w:rsidP="00EF6D86">
      <w:pPr>
        <w:tabs>
          <w:tab w:val="left" w:pos="8998"/>
        </w:tabs>
        <w:spacing w:line="240" w:lineRule="auto"/>
      </w:pPr>
      <w:r w:rsidRPr="00E6071A">
        <w:t>In the matter between:</w:t>
      </w:r>
    </w:p>
    <w:p w14:paraId="5D093CFB" w14:textId="77777777" w:rsidR="00EF6D86" w:rsidRDefault="00EF6D86" w:rsidP="00EF6D86">
      <w:pPr>
        <w:tabs>
          <w:tab w:val="left" w:pos="8998"/>
        </w:tabs>
        <w:spacing w:line="240" w:lineRule="auto"/>
      </w:pPr>
    </w:p>
    <w:p w14:paraId="467557ED" w14:textId="58E62720" w:rsidR="00EF6D86" w:rsidRDefault="00EF6D86" w:rsidP="00EF6D86">
      <w:pPr>
        <w:rPr>
          <w:szCs w:val="26"/>
        </w:rPr>
      </w:pPr>
      <w:r>
        <w:rPr>
          <w:b/>
          <w:szCs w:val="26"/>
        </w:rPr>
        <w:t>AGNES SITHOLE</w:t>
      </w:r>
      <w:r>
        <w:rPr>
          <w:b/>
          <w:szCs w:val="26"/>
        </w:rPr>
        <w:tab/>
      </w:r>
      <w:r>
        <w:rPr>
          <w:b/>
          <w:szCs w:val="26"/>
        </w:rPr>
        <w:tab/>
      </w:r>
      <w:r>
        <w:rPr>
          <w:b/>
          <w:szCs w:val="26"/>
        </w:rPr>
        <w:tab/>
      </w:r>
      <w:r>
        <w:rPr>
          <w:b/>
          <w:szCs w:val="26"/>
        </w:rPr>
        <w:tab/>
      </w:r>
      <w:r>
        <w:rPr>
          <w:b/>
          <w:szCs w:val="26"/>
        </w:rPr>
        <w:tab/>
      </w:r>
      <w:r>
        <w:rPr>
          <w:b/>
          <w:szCs w:val="26"/>
        </w:rPr>
        <w:tab/>
      </w:r>
      <w:r>
        <w:rPr>
          <w:b/>
          <w:szCs w:val="26"/>
        </w:rPr>
        <w:tab/>
      </w:r>
      <w:r>
        <w:rPr>
          <w:b/>
          <w:szCs w:val="26"/>
        </w:rPr>
        <w:tab/>
      </w:r>
      <w:r w:rsidR="00FB1EE2">
        <w:rPr>
          <w:b/>
          <w:szCs w:val="26"/>
        </w:rPr>
        <w:t xml:space="preserve">   </w:t>
      </w:r>
      <w:r>
        <w:rPr>
          <w:b/>
          <w:szCs w:val="26"/>
        </w:rPr>
        <w:t xml:space="preserve"> </w:t>
      </w:r>
      <w:r>
        <w:rPr>
          <w:szCs w:val="26"/>
        </w:rPr>
        <w:t xml:space="preserve">First </w:t>
      </w:r>
      <w:r w:rsidRPr="00DF7443">
        <w:rPr>
          <w:szCs w:val="26"/>
        </w:rPr>
        <w:t>Applicant</w:t>
      </w:r>
    </w:p>
    <w:p w14:paraId="1EBB0AC6" w14:textId="7086816C" w:rsidR="00EF6D86" w:rsidRPr="00552DD3" w:rsidRDefault="00EF6D86" w:rsidP="00EF6D86">
      <w:pPr>
        <w:jc w:val="left"/>
        <w:rPr>
          <w:szCs w:val="26"/>
        </w:rPr>
      </w:pPr>
      <w:r>
        <w:rPr>
          <w:b/>
          <w:szCs w:val="26"/>
        </w:rPr>
        <w:t>COMMISSION FOR GENDER EQUALITY</w:t>
      </w:r>
      <w:r>
        <w:rPr>
          <w:b/>
          <w:szCs w:val="26"/>
        </w:rPr>
        <w:tab/>
      </w:r>
      <w:r>
        <w:rPr>
          <w:b/>
          <w:szCs w:val="26"/>
        </w:rPr>
        <w:tab/>
        <w:t xml:space="preserve">                    </w:t>
      </w:r>
      <w:r w:rsidR="00FB1EE2">
        <w:rPr>
          <w:b/>
          <w:szCs w:val="26"/>
        </w:rPr>
        <w:t xml:space="preserve"> </w:t>
      </w:r>
      <w:r>
        <w:rPr>
          <w:szCs w:val="26"/>
        </w:rPr>
        <w:t>Second Applicant</w:t>
      </w:r>
    </w:p>
    <w:p w14:paraId="08990215" w14:textId="77777777" w:rsidR="00EF6D86" w:rsidRPr="00DF7443" w:rsidRDefault="00EF6D86" w:rsidP="00EF6D86">
      <w:pPr>
        <w:rPr>
          <w:szCs w:val="26"/>
        </w:rPr>
      </w:pPr>
      <w:r w:rsidRPr="00DF7443">
        <w:rPr>
          <w:szCs w:val="26"/>
        </w:rPr>
        <w:t>and</w:t>
      </w:r>
    </w:p>
    <w:p w14:paraId="70F1A349" w14:textId="77777777" w:rsidR="00EF6D86" w:rsidRPr="00DF7443" w:rsidRDefault="00EF6D86" w:rsidP="00EF6D86">
      <w:pPr>
        <w:ind w:right="-6"/>
        <w:rPr>
          <w:szCs w:val="26"/>
        </w:rPr>
      </w:pPr>
      <w:r>
        <w:rPr>
          <w:b/>
          <w:szCs w:val="26"/>
        </w:rPr>
        <w:t>GIDEON SITHOLE</w:t>
      </w:r>
      <w:r w:rsidRPr="00DF7443">
        <w:rPr>
          <w:b/>
          <w:szCs w:val="26"/>
        </w:rPr>
        <w:tab/>
      </w:r>
      <w:r w:rsidRPr="00DF7443">
        <w:rPr>
          <w:b/>
          <w:szCs w:val="26"/>
        </w:rPr>
        <w:tab/>
      </w:r>
      <w:r w:rsidRPr="00DF7443">
        <w:rPr>
          <w:b/>
          <w:szCs w:val="26"/>
        </w:rPr>
        <w:tab/>
      </w:r>
      <w:r w:rsidRPr="00DF7443">
        <w:rPr>
          <w:b/>
          <w:szCs w:val="26"/>
        </w:rPr>
        <w:tab/>
      </w:r>
      <w:r w:rsidRPr="00DF7443">
        <w:rPr>
          <w:b/>
          <w:szCs w:val="26"/>
        </w:rPr>
        <w:tab/>
      </w:r>
      <w:r>
        <w:rPr>
          <w:b/>
          <w:szCs w:val="26"/>
        </w:rPr>
        <w:tab/>
      </w:r>
      <w:r>
        <w:rPr>
          <w:b/>
          <w:szCs w:val="26"/>
        </w:rPr>
        <w:tab/>
      </w:r>
      <w:r w:rsidRPr="00DF7443">
        <w:rPr>
          <w:szCs w:val="26"/>
        </w:rPr>
        <w:t>First Respondent</w:t>
      </w:r>
    </w:p>
    <w:p w14:paraId="0112288D" w14:textId="77777777" w:rsidR="00EF6D86" w:rsidRDefault="00EF6D86" w:rsidP="00EF6D86">
      <w:pPr>
        <w:spacing w:line="240" w:lineRule="auto"/>
        <w:jc w:val="left"/>
        <w:rPr>
          <w:b/>
          <w:szCs w:val="26"/>
        </w:rPr>
      </w:pPr>
      <w:r>
        <w:rPr>
          <w:b/>
          <w:szCs w:val="26"/>
        </w:rPr>
        <w:t>MINISTER OF JUSTICE AND CORRECTIONAL</w:t>
      </w:r>
    </w:p>
    <w:p w14:paraId="30AA549B" w14:textId="77777777" w:rsidR="00EF6D86" w:rsidRPr="00552DD3" w:rsidRDefault="00EF6D86" w:rsidP="00EF6D86">
      <w:pPr>
        <w:spacing w:line="240" w:lineRule="auto"/>
        <w:jc w:val="left"/>
        <w:rPr>
          <w:b/>
          <w:szCs w:val="26"/>
        </w:rPr>
      </w:pPr>
      <w:r>
        <w:rPr>
          <w:b/>
          <w:szCs w:val="26"/>
        </w:rPr>
        <w:t>SERVICES</w:t>
      </w:r>
      <w:r>
        <w:rPr>
          <w:b/>
          <w:szCs w:val="26"/>
        </w:rPr>
        <w:tab/>
      </w:r>
      <w:r w:rsidRPr="00DF7443">
        <w:rPr>
          <w:b/>
          <w:szCs w:val="26"/>
        </w:rPr>
        <w:tab/>
      </w:r>
      <w:r w:rsidRPr="00DF7443">
        <w:rPr>
          <w:b/>
          <w:szCs w:val="26"/>
        </w:rPr>
        <w:tab/>
      </w:r>
      <w:r>
        <w:rPr>
          <w:b/>
          <w:szCs w:val="26"/>
        </w:rPr>
        <w:tab/>
      </w:r>
      <w:r>
        <w:rPr>
          <w:b/>
          <w:szCs w:val="26"/>
        </w:rPr>
        <w:tab/>
      </w:r>
      <w:r>
        <w:rPr>
          <w:b/>
          <w:szCs w:val="26"/>
        </w:rPr>
        <w:tab/>
      </w:r>
      <w:r w:rsidRPr="00DF7443">
        <w:rPr>
          <w:b/>
          <w:szCs w:val="26"/>
        </w:rPr>
        <w:tab/>
      </w:r>
      <w:r w:rsidRPr="00DF7443">
        <w:rPr>
          <w:b/>
          <w:szCs w:val="26"/>
        </w:rPr>
        <w:tab/>
      </w:r>
      <w:r>
        <w:rPr>
          <w:b/>
          <w:szCs w:val="26"/>
        </w:rPr>
        <w:t xml:space="preserve">       </w:t>
      </w:r>
      <w:r>
        <w:rPr>
          <w:szCs w:val="26"/>
        </w:rPr>
        <w:t>Second</w:t>
      </w:r>
      <w:r w:rsidRPr="00DF7443">
        <w:rPr>
          <w:szCs w:val="26"/>
        </w:rPr>
        <w:t xml:space="preserve"> Respondent</w:t>
      </w:r>
    </w:p>
    <w:p w14:paraId="117C9EAC" w14:textId="77777777" w:rsidR="00EF6D86" w:rsidRPr="0063418C" w:rsidRDefault="00EF6D86" w:rsidP="00EF6D86">
      <w:pPr>
        <w:spacing w:line="240" w:lineRule="auto"/>
        <w:rPr>
          <w:b/>
          <w:sz w:val="24"/>
          <w:szCs w:val="24"/>
        </w:rPr>
      </w:pPr>
    </w:p>
    <w:p w14:paraId="74DFDBB9" w14:textId="77777777" w:rsidR="00EF6D86" w:rsidRPr="0063418C" w:rsidRDefault="00EF6D86" w:rsidP="00EF6D86">
      <w:pPr>
        <w:widowControl w:val="0"/>
        <w:spacing w:line="240" w:lineRule="auto"/>
        <w:rPr>
          <w:szCs w:val="26"/>
        </w:rPr>
      </w:pPr>
    </w:p>
    <w:p w14:paraId="4AFD4958" w14:textId="75558BA5" w:rsidR="00EF6D86" w:rsidRPr="0063418C" w:rsidRDefault="00EF6D86" w:rsidP="00EF6D86">
      <w:pPr>
        <w:spacing w:line="240" w:lineRule="auto"/>
        <w:rPr>
          <w:i/>
        </w:rPr>
      </w:pPr>
      <w:r w:rsidRPr="0063418C">
        <w:rPr>
          <w:b/>
        </w:rPr>
        <w:t>Neutral citation:</w:t>
      </w:r>
      <w:r w:rsidRPr="0063418C">
        <w:tab/>
      </w:r>
      <w:r w:rsidR="006151EB" w:rsidRPr="00622A6C">
        <w:rPr>
          <w:i/>
        </w:rPr>
        <w:t>Sithole and Another v Sithole and Another</w:t>
      </w:r>
      <w:r w:rsidR="00F50161">
        <w:t xml:space="preserve"> [2021</w:t>
      </w:r>
      <w:r w:rsidR="006151EB">
        <w:t xml:space="preserve">] ZACC </w:t>
      </w:r>
      <w:r w:rsidR="00D22A8F">
        <w:t>7</w:t>
      </w:r>
    </w:p>
    <w:p w14:paraId="71F3A43C" w14:textId="77777777" w:rsidR="00EF6D86" w:rsidRPr="0063418C" w:rsidRDefault="00EF6D86" w:rsidP="00EF6D86">
      <w:pPr>
        <w:spacing w:line="240" w:lineRule="auto"/>
      </w:pPr>
    </w:p>
    <w:p w14:paraId="6899CD21" w14:textId="7A6B5DF2" w:rsidR="00EF6D86" w:rsidRPr="00FC4718" w:rsidRDefault="00EF6D86" w:rsidP="00FC4718">
      <w:pPr>
        <w:pStyle w:val="BODYNON-NUMBERED"/>
        <w:spacing w:after="0"/>
        <w:ind w:left="2160" w:hanging="2160"/>
        <w:rPr>
          <w:szCs w:val="26"/>
        </w:rPr>
      </w:pPr>
      <w:r w:rsidRPr="0063418C">
        <w:rPr>
          <w:b/>
        </w:rPr>
        <w:t>Coram:</w:t>
      </w:r>
      <w:r w:rsidR="00FC4718">
        <w:rPr>
          <w:b/>
        </w:rPr>
        <w:tab/>
      </w:r>
      <w:r w:rsidR="00FC4718" w:rsidRPr="00345CF3">
        <w:rPr>
          <w:szCs w:val="26"/>
        </w:rPr>
        <w:t>Mogoeng CJ, Jafta J, Khampepe J, Madlanga J,</w:t>
      </w:r>
      <w:r w:rsidR="00FC4718">
        <w:rPr>
          <w:szCs w:val="26"/>
        </w:rPr>
        <w:t xml:space="preserve"> Majiedt J,</w:t>
      </w:r>
      <w:r w:rsidR="00FC4718" w:rsidRPr="00345CF3">
        <w:rPr>
          <w:szCs w:val="26"/>
        </w:rPr>
        <w:t xml:space="preserve"> Mathopo AJ, Mhlantla J, T</w:t>
      </w:r>
      <w:r w:rsidR="001679F4">
        <w:rPr>
          <w:szCs w:val="26"/>
        </w:rPr>
        <w:t>heron J, Tshiqi J and Victor AJ</w:t>
      </w:r>
    </w:p>
    <w:p w14:paraId="6F5F57A2" w14:textId="77777777" w:rsidR="00EF6D86" w:rsidRPr="0063418C" w:rsidRDefault="00EF6D86" w:rsidP="00EF6D86">
      <w:pPr>
        <w:spacing w:line="240" w:lineRule="auto"/>
      </w:pPr>
    </w:p>
    <w:p w14:paraId="37B1CA3A" w14:textId="67E9BB63" w:rsidR="00EF6D86" w:rsidRDefault="00EF6D86" w:rsidP="00EF6D86">
      <w:pPr>
        <w:spacing w:line="240" w:lineRule="auto"/>
        <w:ind w:left="2160" w:hanging="2160"/>
      </w:pPr>
      <w:r w:rsidRPr="0063418C">
        <w:rPr>
          <w:b/>
        </w:rPr>
        <w:t>Judgments:</w:t>
      </w:r>
      <w:r>
        <w:tab/>
        <w:t>Tshiqi</w:t>
      </w:r>
      <w:r w:rsidR="001679F4">
        <w:t xml:space="preserve"> J (unanimous)</w:t>
      </w:r>
    </w:p>
    <w:p w14:paraId="34465F49" w14:textId="5A032D7F" w:rsidR="00EF6D86" w:rsidRPr="0063418C" w:rsidRDefault="00EF6D86" w:rsidP="001679F4">
      <w:pPr>
        <w:spacing w:line="240" w:lineRule="auto"/>
        <w:ind w:left="2160" w:hanging="2160"/>
      </w:pPr>
      <w:r>
        <w:rPr>
          <w:b/>
        </w:rPr>
        <w:tab/>
      </w:r>
    </w:p>
    <w:p w14:paraId="0AC246FE" w14:textId="474BEC6A" w:rsidR="00EF6D86" w:rsidRPr="0063418C" w:rsidRDefault="00EF6D86" w:rsidP="00EF6D86">
      <w:pPr>
        <w:spacing w:line="240" w:lineRule="auto"/>
        <w:ind w:left="2160" w:hanging="2160"/>
      </w:pPr>
      <w:r w:rsidRPr="0063418C">
        <w:rPr>
          <w:b/>
        </w:rPr>
        <w:t>Heard on:</w:t>
      </w:r>
      <w:r w:rsidR="001679F4">
        <w:tab/>
        <w:t>17 September</w:t>
      </w:r>
      <w:r w:rsidRPr="0063418C">
        <w:t xml:space="preserve"> 2020</w:t>
      </w:r>
    </w:p>
    <w:p w14:paraId="5A2A3F16" w14:textId="77777777" w:rsidR="00EF6D86" w:rsidRPr="0063418C" w:rsidRDefault="00EF6D86" w:rsidP="00EF6D86">
      <w:pPr>
        <w:spacing w:line="240" w:lineRule="auto"/>
        <w:ind w:left="2160" w:hanging="2160"/>
      </w:pPr>
    </w:p>
    <w:p w14:paraId="21C30D67" w14:textId="6E21D182" w:rsidR="00EF6D86" w:rsidRPr="0063418C" w:rsidRDefault="00EF6D86" w:rsidP="00EF6D86">
      <w:pPr>
        <w:spacing w:line="240" w:lineRule="auto"/>
        <w:ind w:left="2160" w:hanging="2160"/>
      </w:pPr>
      <w:r w:rsidRPr="0063418C">
        <w:rPr>
          <w:b/>
        </w:rPr>
        <w:t>Decided on:</w:t>
      </w:r>
      <w:r w:rsidR="001679F4">
        <w:tab/>
      </w:r>
      <w:r w:rsidR="000B7A86" w:rsidRPr="000B7A86">
        <w:t>14 April</w:t>
      </w:r>
      <w:r w:rsidR="001679F4" w:rsidRPr="000B7A86">
        <w:t xml:space="preserve"> 2021</w:t>
      </w:r>
    </w:p>
    <w:p w14:paraId="52E5FD29" w14:textId="77777777" w:rsidR="00EF6D86" w:rsidRPr="0063418C" w:rsidRDefault="00EF6D86" w:rsidP="00EF6D86">
      <w:pPr>
        <w:spacing w:line="240" w:lineRule="auto"/>
      </w:pPr>
    </w:p>
    <w:p w14:paraId="5C2DF871" w14:textId="5FCC7371" w:rsidR="00EF6D86" w:rsidRPr="0063418C" w:rsidRDefault="00EF6D86" w:rsidP="00EF6D86">
      <w:pPr>
        <w:spacing w:line="240" w:lineRule="auto"/>
        <w:ind w:left="2160" w:hanging="2160"/>
      </w:pPr>
      <w:r w:rsidRPr="0063418C">
        <w:rPr>
          <w:b/>
        </w:rPr>
        <w:t>Summary:</w:t>
      </w:r>
      <w:r w:rsidRPr="0063418C">
        <w:rPr>
          <w:b/>
        </w:rPr>
        <w:tab/>
      </w:r>
      <w:r w:rsidR="000D7CA2" w:rsidRPr="001E1C37">
        <w:t>Matri</w:t>
      </w:r>
      <w:r w:rsidR="000D7CA2">
        <w:t>monial Property Act 88 of 1984 — constitutionality of section</w:t>
      </w:r>
      <w:r w:rsidR="000D7CA2" w:rsidRPr="000D7CA2">
        <w:t xml:space="preserve"> 21(2)(a)</w:t>
      </w:r>
      <w:r w:rsidRPr="0063418C">
        <w:t xml:space="preserve"> — </w:t>
      </w:r>
      <w:r w:rsidR="000D7CA2">
        <w:t>section is unconstitutional.</w:t>
      </w:r>
    </w:p>
    <w:p w14:paraId="6AA0EC20" w14:textId="77777777" w:rsidR="00EF6D86" w:rsidRPr="0063418C" w:rsidRDefault="00EF6D86" w:rsidP="00EF6D86">
      <w:pPr>
        <w:spacing w:line="240" w:lineRule="auto"/>
        <w:ind w:left="2160" w:hanging="2160"/>
      </w:pPr>
    </w:p>
    <w:p w14:paraId="341BD973" w14:textId="1B65A058" w:rsidR="004D02BA" w:rsidRDefault="004D02BA" w:rsidP="004D02BA">
      <w:pPr>
        <w:spacing w:line="240" w:lineRule="auto"/>
      </w:pPr>
    </w:p>
    <w:p w14:paraId="24C52072" w14:textId="34777F61" w:rsidR="000D7CA2" w:rsidRDefault="000D7CA2" w:rsidP="004D02BA">
      <w:pPr>
        <w:spacing w:line="240" w:lineRule="auto"/>
      </w:pPr>
    </w:p>
    <w:p w14:paraId="183EB23E" w14:textId="6FC6F2A4" w:rsidR="000D7CA2" w:rsidRDefault="000D7CA2" w:rsidP="004D02BA">
      <w:pPr>
        <w:spacing w:line="240" w:lineRule="auto"/>
      </w:pPr>
    </w:p>
    <w:p w14:paraId="2B71E3B9" w14:textId="77777777" w:rsidR="004D02BA" w:rsidRDefault="004D02BA" w:rsidP="004D02BA">
      <w:pPr>
        <w:spacing w:line="240" w:lineRule="auto"/>
      </w:pPr>
    </w:p>
    <w:p w14:paraId="4B3A0CF8" w14:textId="77777777" w:rsidR="004D02BA" w:rsidRPr="004110F6" w:rsidRDefault="004D02BA" w:rsidP="004D02BA">
      <w:pPr>
        <w:spacing w:line="240" w:lineRule="auto"/>
      </w:pPr>
    </w:p>
    <w:p w14:paraId="0D105AFE" w14:textId="77777777" w:rsidR="003A18CF" w:rsidRPr="009C3888" w:rsidRDefault="003A18CF" w:rsidP="003A18CF">
      <w:pPr>
        <w:keepNext/>
        <w:pBdr>
          <w:top w:val="single" w:sz="4" w:space="1" w:color="auto"/>
          <w:bottom w:val="single" w:sz="4" w:space="1" w:color="auto"/>
        </w:pBdr>
        <w:spacing w:line="240" w:lineRule="auto"/>
        <w:jc w:val="center"/>
      </w:pPr>
    </w:p>
    <w:p w14:paraId="477F6E08" w14:textId="77777777" w:rsidR="003A18CF" w:rsidRPr="005C6482" w:rsidRDefault="003A18CF" w:rsidP="003A18CF">
      <w:pPr>
        <w:keepNext/>
        <w:pBdr>
          <w:top w:val="single" w:sz="4" w:space="1" w:color="auto"/>
          <w:bottom w:val="single" w:sz="4" w:space="1" w:color="auto"/>
        </w:pBdr>
        <w:spacing w:line="240" w:lineRule="auto"/>
        <w:jc w:val="center"/>
        <w:outlineLvl w:val="0"/>
        <w:rPr>
          <w:b/>
        </w:rPr>
      </w:pPr>
      <w:r>
        <w:rPr>
          <w:b/>
        </w:rPr>
        <w:t>ORDER</w:t>
      </w:r>
    </w:p>
    <w:p w14:paraId="7EAD05BD" w14:textId="77777777" w:rsidR="003A18CF" w:rsidRPr="009C3888" w:rsidRDefault="003A18CF" w:rsidP="003A18CF">
      <w:pPr>
        <w:pBdr>
          <w:top w:val="single" w:sz="4" w:space="1" w:color="auto"/>
          <w:bottom w:val="single" w:sz="4" w:space="1" w:color="auto"/>
        </w:pBdr>
        <w:spacing w:line="240" w:lineRule="auto"/>
        <w:jc w:val="center"/>
      </w:pPr>
    </w:p>
    <w:p w14:paraId="4EC225E3" w14:textId="77777777" w:rsidR="003A18CF" w:rsidRDefault="003A18CF" w:rsidP="003A18CF">
      <w:pPr>
        <w:spacing w:line="240" w:lineRule="auto"/>
      </w:pPr>
    </w:p>
    <w:p w14:paraId="0934439E" w14:textId="77777777" w:rsidR="003A18CF" w:rsidRPr="009C3888" w:rsidRDefault="003A18CF" w:rsidP="003A18CF">
      <w:pPr>
        <w:spacing w:line="240" w:lineRule="auto"/>
      </w:pPr>
    </w:p>
    <w:p w14:paraId="1474009C" w14:textId="6805605B" w:rsidR="00884D8F" w:rsidRDefault="00EF6D86" w:rsidP="003A6CE2">
      <w:pPr>
        <w:spacing w:line="360" w:lineRule="auto"/>
      </w:pPr>
      <w:r>
        <w:t xml:space="preserve">On </w:t>
      </w:r>
      <w:r w:rsidRPr="00EF6D86">
        <w:t xml:space="preserve">application for confirmation of an order of constitutional invalidity granted by the </w:t>
      </w:r>
      <w:r w:rsidR="0047021D">
        <w:t>High Court of South Africa, KwaZ</w:t>
      </w:r>
      <w:r w:rsidRPr="00EF6D86">
        <w:t xml:space="preserve">ulu-Natal </w:t>
      </w:r>
      <w:r w:rsidR="001679F4">
        <w:t xml:space="preserve">Local </w:t>
      </w:r>
      <w:r w:rsidRPr="00EF6D86">
        <w:t>Division, Durban</w:t>
      </w:r>
      <w:r w:rsidR="003A6CE2" w:rsidRPr="003A6CE2">
        <w:t>:</w:t>
      </w:r>
    </w:p>
    <w:p w14:paraId="314E801D" w14:textId="77777777" w:rsidR="00040535" w:rsidRDefault="00040535" w:rsidP="003A6CE2">
      <w:pPr>
        <w:spacing w:line="360" w:lineRule="auto"/>
      </w:pPr>
    </w:p>
    <w:p w14:paraId="1FAE1860" w14:textId="1BCE729B" w:rsidR="00884D8F" w:rsidRDefault="00333B16" w:rsidP="00333B16">
      <w:pPr>
        <w:pStyle w:val="ORDER"/>
        <w:ind w:left="1080" w:hanging="360"/>
      </w:pPr>
      <w:r>
        <w:t>1.</w:t>
      </w:r>
      <w:r>
        <w:tab/>
      </w:r>
      <w:r w:rsidR="00884D8F">
        <w:t>The provisions of section 21(2)(a) of the Matrimonial Property Act 88 of</w:t>
      </w:r>
      <w:r w:rsidR="00062A3C">
        <w:t> </w:t>
      </w:r>
      <w:r w:rsidR="00884D8F">
        <w:t>1984 (‘the MPA’) are hereby declared unconstitutional and invalid to the extent that they maintain and perpetuate the discrimination created by section</w:t>
      </w:r>
      <w:r w:rsidR="00F86C3C">
        <w:t> </w:t>
      </w:r>
      <w:r w:rsidR="00884D8F">
        <w:t xml:space="preserve"> 22(6) of the Black Administration Act 38 of 1927 (‘the BAA’), and thereby maintain the default position of marriages of black couples, entered into under the Black Administration Act before the 1988 amendment, that such marriages are automatically out of community of property.</w:t>
      </w:r>
    </w:p>
    <w:p w14:paraId="74E9D16B" w14:textId="20D80F44" w:rsidR="00884D8F" w:rsidRDefault="00333B16" w:rsidP="00333B16">
      <w:pPr>
        <w:pStyle w:val="ORDER"/>
        <w:ind w:left="1080" w:hanging="360"/>
      </w:pPr>
      <w:r>
        <w:t>2.</w:t>
      </w:r>
      <w:r>
        <w:tab/>
      </w:r>
      <w:r w:rsidR="00884D8F">
        <w:t>All marriages of black persons that are out of community of property and were concluded under section 22(6) of the Black Administration Act before the 1988 amendment are, save for those couples who opt for a marriage o</w:t>
      </w:r>
      <w:r w:rsidR="00F86C3C">
        <w:t>ut of community of property,</w:t>
      </w:r>
      <w:r w:rsidR="00884D8F">
        <w:t xml:space="preserve"> hereby declared to be marriages in community of property.</w:t>
      </w:r>
    </w:p>
    <w:p w14:paraId="4913FF11" w14:textId="2F5667C7" w:rsidR="00884D8F" w:rsidRDefault="00333B16" w:rsidP="00333B16">
      <w:pPr>
        <w:pStyle w:val="ORDER"/>
        <w:ind w:left="1080" w:hanging="360"/>
      </w:pPr>
      <w:r>
        <w:t>3.</w:t>
      </w:r>
      <w:r>
        <w:tab/>
      </w:r>
      <w:r w:rsidR="00884D8F">
        <w:t>Spouses who have opted for marriage out of community of property shall, in writing, notify the Director-General of the Department of Home Affairs accordingly.</w:t>
      </w:r>
    </w:p>
    <w:p w14:paraId="1F2CF922" w14:textId="0684CA6D" w:rsidR="00884D8F" w:rsidRDefault="00333B16" w:rsidP="00333B16">
      <w:pPr>
        <w:pStyle w:val="ORDER"/>
        <w:ind w:left="1080" w:hanging="360"/>
      </w:pPr>
      <w:r>
        <w:t>4.</w:t>
      </w:r>
      <w:r>
        <w:tab/>
      </w:r>
      <w:r w:rsidR="00884D8F">
        <w:t xml:space="preserve">In the event of disagreement, either spouse in a marriage </w:t>
      </w:r>
      <w:r w:rsidR="00884D8F" w:rsidRPr="00DD0A78">
        <w:t xml:space="preserve">which </w:t>
      </w:r>
      <w:r w:rsidR="00D853E1" w:rsidRPr="00DD0A78">
        <w:t>becomes a</w:t>
      </w:r>
      <w:r w:rsidR="00D853E1">
        <w:t xml:space="preserve"> marriage </w:t>
      </w:r>
      <w:r w:rsidR="00884D8F">
        <w:t>in community of property in terms of</w:t>
      </w:r>
      <w:r w:rsidR="00D853E1">
        <w:t xml:space="preserve"> </w:t>
      </w:r>
      <w:r w:rsidR="00D853E1" w:rsidRPr="00DD0A78">
        <w:t>the declaration in</w:t>
      </w:r>
      <w:r w:rsidR="00884D8F">
        <w:t xml:space="preserve"> paragraph</w:t>
      </w:r>
      <w:r w:rsidR="008745D3">
        <w:t> </w:t>
      </w:r>
      <w:r w:rsidR="00884D8F">
        <w:t xml:space="preserve">2, may apply to the High Court for an order that the marriage shall be out of community of property, notwithstanding </w:t>
      </w:r>
      <w:r w:rsidR="00D853E1" w:rsidRPr="00DD0A78">
        <w:t>that declaration</w:t>
      </w:r>
      <w:r w:rsidR="00D853E1">
        <w:t>.</w:t>
      </w:r>
    </w:p>
    <w:p w14:paraId="1B5E4B8B" w14:textId="14150C47" w:rsidR="00884D8F" w:rsidRDefault="00333B16" w:rsidP="00333B16">
      <w:pPr>
        <w:pStyle w:val="ORDER"/>
        <w:ind w:left="1080" w:hanging="360"/>
      </w:pPr>
      <w:r>
        <w:t>5.</w:t>
      </w:r>
      <w:r>
        <w:tab/>
      </w:r>
      <w:r w:rsidR="00884D8F">
        <w:t>In terms of section 172(1) (b) of the Constitution, the orders in paragraphs 1 and 2 shall not affect the legal consequences of any act done or omission in relation to a marriage before this order was made.</w:t>
      </w:r>
    </w:p>
    <w:p w14:paraId="0B84E433" w14:textId="236C7D71" w:rsidR="00884D8F" w:rsidRDefault="00333B16" w:rsidP="00333B16">
      <w:pPr>
        <w:pStyle w:val="ORDER"/>
        <w:ind w:left="1080" w:hanging="360"/>
      </w:pPr>
      <w:r>
        <w:t>6.</w:t>
      </w:r>
      <w:r>
        <w:tab/>
      </w:r>
      <w:r w:rsidR="00884D8F">
        <w:t>From the date of this order, Chapter 3 of the Matrimonial Property Act will apply in respect of all marriages that have been conve</w:t>
      </w:r>
      <w:r w:rsidR="007F4ACB">
        <w:t xml:space="preserve">rted to marriages </w:t>
      </w:r>
      <w:r w:rsidR="00884D8F">
        <w:t xml:space="preserve">in </w:t>
      </w:r>
      <w:r w:rsidR="007F4ACB">
        <w:lastRenderedPageBreak/>
        <w:t>community of property</w:t>
      </w:r>
      <w:r w:rsidR="00884D8F">
        <w:t>, unless the affected couple has opted out in accordance with the procedure set out in paragraph 3 above.</w:t>
      </w:r>
    </w:p>
    <w:p w14:paraId="04331DB2" w14:textId="50BAA583" w:rsidR="00884D8F" w:rsidRDefault="00333B16" w:rsidP="00333B16">
      <w:pPr>
        <w:pStyle w:val="ORDER"/>
        <w:ind w:left="1080" w:hanging="360"/>
      </w:pPr>
      <w:r>
        <w:t>7.</w:t>
      </w:r>
      <w:r>
        <w:tab/>
      </w:r>
      <w:r w:rsidR="00884D8F">
        <w:t>Any person with a material interest who is adversely affected by this order, may approach the High Court for appropriate relief.</w:t>
      </w:r>
    </w:p>
    <w:p w14:paraId="3806ECBD" w14:textId="555FA145" w:rsidR="00884D8F" w:rsidRDefault="00333B16" w:rsidP="00333B16">
      <w:pPr>
        <w:spacing w:line="360" w:lineRule="auto"/>
        <w:ind w:left="1080" w:hanging="360"/>
      </w:pPr>
      <w:r>
        <w:t>8.</w:t>
      </w:r>
      <w:r>
        <w:tab/>
      </w:r>
      <w:r w:rsidR="00884D8F">
        <w:t>The second respondent is ordered to pay the costs of this application and such costs to include the costs of two counsel, where so employed.</w:t>
      </w:r>
    </w:p>
    <w:p w14:paraId="7CB4D58A" w14:textId="2C283CBD" w:rsidR="00884D8F" w:rsidRDefault="00333B16" w:rsidP="00333B16">
      <w:pPr>
        <w:spacing w:line="360" w:lineRule="auto"/>
        <w:ind w:left="1080" w:hanging="360"/>
      </w:pPr>
      <w:r>
        <w:t>9.</w:t>
      </w:r>
      <w:r>
        <w:tab/>
      </w:r>
      <w:r w:rsidR="00884D8F">
        <w:t>It is ordered that the first respondent’s attorney, Mr Dlamini, should forfeit his legal fees in respect of this application.</w:t>
      </w:r>
    </w:p>
    <w:p w14:paraId="6DBB548A" w14:textId="77777777" w:rsidR="00884D8F" w:rsidRPr="003A6CE2" w:rsidRDefault="00884D8F" w:rsidP="003A6CE2">
      <w:pPr>
        <w:spacing w:line="360" w:lineRule="auto"/>
      </w:pPr>
    </w:p>
    <w:p w14:paraId="66A0BCFA" w14:textId="1739E016" w:rsidR="00CB0CB2" w:rsidRDefault="00333B16" w:rsidP="00333B16">
      <w:pPr>
        <w:pStyle w:val="ORDER"/>
        <w:ind w:left="1080" w:hanging="360"/>
        <w:sectPr w:rsidR="00CB0CB2" w:rsidSect="009559B5">
          <w:footerReference w:type="default" r:id="rId9"/>
          <w:pgSz w:w="11907" w:h="16839" w:code="9"/>
          <w:pgMar w:top="1440" w:right="1440" w:bottom="1440" w:left="1440" w:header="708" w:footer="708" w:gutter="0"/>
          <w:pgNumType w:start="1"/>
          <w:cols w:space="708"/>
          <w:titlePg/>
          <w:docGrid w:linePitch="360"/>
        </w:sectPr>
      </w:pPr>
      <w:r>
        <w:t>1.</w:t>
      </w:r>
      <w:r>
        <w:tab/>
      </w:r>
    </w:p>
    <w:p w14:paraId="065C6C06" w14:textId="77777777" w:rsidR="000704F2" w:rsidRPr="009C3888" w:rsidRDefault="000704F2" w:rsidP="00F245CE">
      <w:pPr>
        <w:keepNext/>
        <w:pBdr>
          <w:top w:val="single" w:sz="4" w:space="1" w:color="auto"/>
          <w:bottom w:val="single" w:sz="4" w:space="1" w:color="auto"/>
        </w:pBdr>
        <w:spacing w:line="240" w:lineRule="auto"/>
        <w:jc w:val="center"/>
      </w:pPr>
    </w:p>
    <w:p w14:paraId="22A8C39A" w14:textId="01572729" w:rsidR="00E4607C" w:rsidRPr="003A18CF" w:rsidRDefault="004E4612" w:rsidP="00F245CE">
      <w:pPr>
        <w:keepNext/>
        <w:pBdr>
          <w:top w:val="single" w:sz="4" w:space="1" w:color="auto"/>
          <w:bottom w:val="single" w:sz="4" w:space="1" w:color="auto"/>
        </w:pBdr>
        <w:spacing w:line="240" w:lineRule="auto"/>
        <w:jc w:val="center"/>
        <w:outlineLvl w:val="0"/>
        <w:rPr>
          <w:b/>
        </w:rPr>
      </w:pPr>
      <w:r>
        <w:rPr>
          <w:b/>
        </w:rPr>
        <w:t>JUDGMENT</w:t>
      </w:r>
    </w:p>
    <w:p w14:paraId="3F649EDF" w14:textId="77777777" w:rsidR="000704F2" w:rsidRPr="009C3888" w:rsidRDefault="000704F2" w:rsidP="000704F2">
      <w:pPr>
        <w:pBdr>
          <w:top w:val="single" w:sz="4" w:space="1" w:color="auto"/>
          <w:bottom w:val="single" w:sz="4" w:space="1" w:color="auto"/>
        </w:pBdr>
        <w:spacing w:line="240" w:lineRule="auto"/>
        <w:jc w:val="center"/>
      </w:pPr>
    </w:p>
    <w:p w14:paraId="73D8C520" w14:textId="77777777" w:rsidR="00DD43C9" w:rsidRPr="009C3888" w:rsidRDefault="00DD43C9" w:rsidP="000704F2">
      <w:pPr>
        <w:spacing w:line="240" w:lineRule="auto"/>
      </w:pPr>
    </w:p>
    <w:p w14:paraId="65B694ED" w14:textId="77777777" w:rsidR="006E3711" w:rsidRPr="009C3888" w:rsidRDefault="006E3711" w:rsidP="000704F2">
      <w:pPr>
        <w:spacing w:line="240" w:lineRule="auto"/>
      </w:pPr>
    </w:p>
    <w:p w14:paraId="287C2516" w14:textId="18555E1F" w:rsidR="003A6CE2" w:rsidRPr="003A6CE2" w:rsidRDefault="00EF6D86" w:rsidP="003A6CE2">
      <w:pPr>
        <w:tabs>
          <w:tab w:val="left" w:pos="680"/>
        </w:tabs>
        <w:spacing w:line="276" w:lineRule="auto"/>
        <w:rPr>
          <w:szCs w:val="26"/>
        </w:rPr>
      </w:pPr>
      <w:r>
        <w:t xml:space="preserve">TSHIQI </w:t>
      </w:r>
      <w:r w:rsidRPr="000205A1">
        <w:t>J</w:t>
      </w:r>
      <w:r w:rsidR="000067CD" w:rsidRPr="000205A1">
        <w:t xml:space="preserve"> (</w:t>
      </w:r>
      <w:r w:rsidR="00282555" w:rsidRPr="000205A1">
        <w:t xml:space="preserve">Mogoeng CJ, Jafta J, Khampepe J, Madlanga J, Majiedt J, </w:t>
      </w:r>
      <w:r w:rsidR="002F5786" w:rsidRPr="000D7CA2">
        <w:t>Mathopo AJ,</w:t>
      </w:r>
      <w:r w:rsidR="002F5786" w:rsidRPr="000205A1">
        <w:t xml:space="preserve"> </w:t>
      </w:r>
      <w:r w:rsidR="00282555" w:rsidRPr="000205A1">
        <w:t>Mhlantla J, Theron J</w:t>
      </w:r>
      <w:r w:rsidR="005E1B5A" w:rsidRPr="000205A1">
        <w:t xml:space="preserve"> and</w:t>
      </w:r>
      <w:r w:rsidR="002F5786" w:rsidRPr="000205A1">
        <w:t xml:space="preserve"> </w:t>
      </w:r>
      <w:r w:rsidR="002F5786" w:rsidRPr="000D7CA2">
        <w:t>Victor</w:t>
      </w:r>
      <w:r w:rsidR="00282555" w:rsidRPr="000D7CA2">
        <w:t xml:space="preserve"> AJ</w:t>
      </w:r>
      <w:r w:rsidR="00A824E2" w:rsidRPr="000205A1">
        <w:t xml:space="preserve"> </w:t>
      </w:r>
      <w:r w:rsidR="00282555" w:rsidRPr="000205A1">
        <w:t>concurring</w:t>
      </w:r>
      <w:r w:rsidR="006151EB" w:rsidRPr="000205A1">
        <w:t>)</w:t>
      </w:r>
      <w:r w:rsidR="00BC79AF" w:rsidRPr="000205A1">
        <w:t>:</w:t>
      </w:r>
    </w:p>
    <w:p w14:paraId="4C98B2E3" w14:textId="77777777" w:rsidR="00BE1DAB" w:rsidRPr="009C3888" w:rsidRDefault="00BE1DAB" w:rsidP="000704F2">
      <w:pPr>
        <w:spacing w:line="240" w:lineRule="auto"/>
      </w:pPr>
    </w:p>
    <w:p w14:paraId="40C40AA1" w14:textId="2CD36273" w:rsidR="00FB5257" w:rsidRPr="00D82B13" w:rsidRDefault="00A94B7A" w:rsidP="00D82B13">
      <w:pPr>
        <w:pStyle w:val="HEADING"/>
        <w:rPr>
          <w:szCs w:val="26"/>
        </w:rPr>
      </w:pPr>
      <w:r w:rsidRPr="00764216">
        <w:rPr>
          <w:szCs w:val="26"/>
        </w:rPr>
        <w:t>Introduction</w:t>
      </w:r>
    </w:p>
    <w:p w14:paraId="27B3638D" w14:textId="78CE23A1" w:rsidR="00B34B96" w:rsidRDefault="00333B16" w:rsidP="00333B16">
      <w:pPr>
        <w:pStyle w:val="JUDGMENTNUMBERED"/>
        <w:numPr>
          <w:ilvl w:val="0"/>
          <w:numId w:val="0"/>
        </w:numPr>
      </w:pPr>
      <w:r>
        <w:rPr>
          <w:color w:val="000000"/>
          <w14:scene3d>
            <w14:camera w14:prst="orthographicFront"/>
            <w14:lightRig w14:rig="threePt" w14:dir="t">
              <w14:rot w14:lat="0" w14:lon="0" w14:rev="0"/>
            </w14:lightRig>
          </w14:scene3d>
        </w:rPr>
        <w:t>[1]</w:t>
      </w:r>
      <w:r>
        <w:rPr>
          <w:color w:val="000000"/>
          <w14:scene3d>
            <w14:camera w14:prst="orthographicFront"/>
            <w14:lightRig w14:rig="threePt" w14:dir="t">
              <w14:rot w14:lat="0" w14:lon="0" w14:rev="0"/>
            </w14:lightRig>
          </w14:scene3d>
        </w:rPr>
        <w:tab/>
      </w:r>
      <w:r w:rsidR="005835BD" w:rsidRPr="00B34B96">
        <w:t xml:space="preserve">This </w:t>
      </w:r>
      <w:r w:rsidR="00EF6D86" w:rsidRPr="00B34B96">
        <w:t xml:space="preserve">application </w:t>
      </w:r>
      <w:r w:rsidR="008B18A5" w:rsidRPr="00B34B96">
        <w:t>for confirmation of an order of invalidity by the High Court</w:t>
      </w:r>
      <w:r w:rsidR="008B18A5" w:rsidRPr="00B34B96">
        <w:rPr>
          <w:rStyle w:val="FootnoteReference"/>
        </w:rPr>
        <w:footnoteReference w:id="1"/>
      </w:r>
      <w:r w:rsidR="006151EB" w:rsidRPr="00B34B96">
        <w:t xml:space="preserve"> </w:t>
      </w:r>
      <w:r w:rsidR="00B965B7" w:rsidRPr="00B34B96">
        <w:t>concerns a c</w:t>
      </w:r>
      <w:r w:rsidR="00EF6D86" w:rsidRPr="00B34B96">
        <w:t>onstitutional challenge aimed at the pr</w:t>
      </w:r>
      <w:r w:rsidR="00211370" w:rsidRPr="00B34B96">
        <w:t>ovisions of section 21</w:t>
      </w:r>
      <w:r w:rsidR="00EF6D86" w:rsidRPr="00B34B96">
        <w:t>(2)(a) of the Matrimonial Property Act</w:t>
      </w:r>
      <w:r w:rsidR="00C83B81" w:rsidRPr="00B34B96">
        <w:rPr>
          <w:rStyle w:val="FootnoteReference"/>
        </w:rPr>
        <w:footnoteReference w:id="2"/>
      </w:r>
      <w:r w:rsidR="00C83B81" w:rsidRPr="00B34B96">
        <w:t xml:space="preserve"> </w:t>
      </w:r>
      <w:r w:rsidR="00EF6D86" w:rsidRPr="00B34B96">
        <w:t>(MPA)</w:t>
      </w:r>
      <w:r w:rsidR="00856502" w:rsidRPr="00B34B96">
        <w:t>.</w:t>
      </w:r>
      <w:r w:rsidR="00C83B81" w:rsidRPr="00B34B96">
        <w:t xml:space="preserve"> </w:t>
      </w:r>
      <w:r w:rsidR="00EF6D86" w:rsidRPr="00B34B96">
        <w:t xml:space="preserve"> </w:t>
      </w:r>
      <w:r w:rsidR="00211370" w:rsidRPr="00B34B96">
        <w:t xml:space="preserve">The section is attacked on the basis that it is </w:t>
      </w:r>
      <w:r w:rsidR="00EF6D86" w:rsidRPr="00B34B96">
        <w:t>inconsistent with the Constitution and should be declared</w:t>
      </w:r>
      <w:r w:rsidR="00211370" w:rsidRPr="00B34B96">
        <w:t xml:space="preserve"> invalid to the extent that it</w:t>
      </w:r>
      <w:r w:rsidR="00EF6D86" w:rsidRPr="00B34B96">
        <w:t xml:space="preserve"> maintain</w:t>
      </w:r>
      <w:r w:rsidR="00211370" w:rsidRPr="00B34B96">
        <w:t>s</w:t>
      </w:r>
      <w:r w:rsidR="00EF6D86" w:rsidRPr="00B34B96">
        <w:t xml:space="preserve"> the default position of </w:t>
      </w:r>
      <w:r w:rsidR="00B34B96" w:rsidRPr="00B34B96">
        <w:t xml:space="preserve">marriages of </w:t>
      </w:r>
      <w:r w:rsidR="00C55B5C">
        <w:t>Black</w:t>
      </w:r>
      <w:r w:rsidR="00B34B96" w:rsidRPr="00B34B96">
        <w:t xml:space="preserve"> people</w:t>
      </w:r>
      <w:r w:rsidR="00EF6D86" w:rsidRPr="00B34B96">
        <w:t xml:space="preserve"> entered into before the commencement of the Marriage and Matrimonial Property Law Amendment Act</w:t>
      </w:r>
      <w:r w:rsidR="00C83B81" w:rsidRPr="00B34B96">
        <w:rPr>
          <w:rStyle w:val="FootnoteReference"/>
        </w:rPr>
        <w:footnoteReference w:id="3"/>
      </w:r>
      <w:r w:rsidR="00C83B81" w:rsidRPr="00B34B96">
        <w:t xml:space="preserve"> </w:t>
      </w:r>
      <w:r w:rsidR="0047021D" w:rsidRPr="00B34B96">
        <w:t>(Amendment</w:t>
      </w:r>
      <w:r w:rsidR="00EF6D86" w:rsidRPr="00B34B96">
        <w:t xml:space="preserve"> Act)</w:t>
      </w:r>
      <w:r w:rsidR="00C83B81" w:rsidRPr="00B34B96">
        <w:t>.</w:t>
      </w:r>
      <w:r w:rsidR="00C55B5C">
        <w:t xml:space="preserve"> </w:t>
      </w:r>
      <w:r w:rsidR="00EF6D86" w:rsidRPr="00B34B96">
        <w:t xml:space="preserve"> </w:t>
      </w:r>
      <w:r w:rsidR="00B34B96" w:rsidRPr="00B34B96">
        <w:t xml:space="preserve">Historically </w:t>
      </w:r>
      <w:r w:rsidR="00EF6D86" w:rsidRPr="00B34B96">
        <w:t>marriages</w:t>
      </w:r>
      <w:r w:rsidR="000067CD">
        <w:t xml:space="preserve"> of B</w:t>
      </w:r>
      <w:r w:rsidR="00FD7175">
        <w:t>l</w:t>
      </w:r>
      <w:r w:rsidR="00B34B96" w:rsidRPr="00B34B96">
        <w:t>ack people</w:t>
      </w:r>
      <w:r w:rsidR="00EF6D86" w:rsidRPr="00B34B96">
        <w:t xml:space="preserve"> had a separate dispensation from other marriages. </w:t>
      </w:r>
      <w:r w:rsidR="00856502" w:rsidRPr="00B34B96">
        <w:t xml:space="preserve"> </w:t>
      </w:r>
      <w:r w:rsidR="00EF6D86" w:rsidRPr="00B34B96">
        <w:t xml:space="preserve">They </w:t>
      </w:r>
      <w:r w:rsidR="008B18A5" w:rsidRPr="00B34B96">
        <w:t xml:space="preserve">were governed by </w:t>
      </w:r>
      <w:r w:rsidR="00EF6D86" w:rsidRPr="00B34B96">
        <w:t>the Black Administration Act</w:t>
      </w:r>
      <w:r w:rsidR="00C83B81" w:rsidRPr="00B34B96">
        <w:rPr>
          <w:rStyle w:val="FootnoteReference"/>
        </w:rPr>
        <w:footnoteReference w:id="4"/>
      </w:r>
      <w:r w:rsidR="00C83B81" w:rsidRPr="00B34B96">
        <w:t xml:space="preserve"> </w:t>
      </w:r>
      <w:r w:rsidR="00EF6D86" w:rsidRPr="00B34B96">
        <w:t>(BAA</w:t>
      </w:r>
      <w:r w:rsidR="00C83B81" w:rsidRPr="00B34B96">
        <w:t xml:space="preserve">).  </w:t>
      </w:r>
      <w:r w:rsidR="00EF6D86" w:rsidRPr="00B34B96">
        <w:t xml:space="preserve">In terms of </w:t>
      </w:r>
      <w:r w:rsidR="00C83B81" w:rsidRPr="00B34B96">
        <w:t>s</w:t>
      </w:r>
      <w:r w:rsidR="00EF6D86" w:rsidRPr="00B34B96">
        <w:t>ection 22(6) of the BAA these marriages were automatically out of community of property</w:t>
      </w:r>
      <w:r w:rsidR="0051254A" w:rsidRPr="00B34B96">
        <w:t>,</w:t>
      </w:r>
      <w:r w:rsidR="00AB767E">
        <w:t xml:space="preserve"> except where</w:t>
      </w:r>
      <w:r w:rsidR="00EF6D86" w:rsidRPr="00B34B96">
        <w:t xml:space="preserve"> certain conditions were met. </w:t>
      </w:r>
      <w:r w:rsidR="00C83B81" w:rsidRPr="00B34B96">
        <w:t xml:space="preserve"> </w:t>
      </w:r>
      <w:r w:rsidR="00EF6D86" w:rsidRPr="00B34B96">
        <w:t>Section 22(6)</w:t>
      </w:r>
      <w:r w:rsidR="0047021D" w:rsidRPr="00B34B96">
        <w:t xml:space="preserve"> was </w:t>
      </w:r>
      <w:r w:rsidR="0047021D" w:rsidRPr="00B34B96">
        <w:lastRenderedPageBreak/>
        <w:t>repealed by the Amendment</w:t>
      </w:r>
      <w:r w:rsidR="00EF6D86" w:rsidRPr="00B34B96">
        <w:t xml:space="preserve"> Act. </w:t>
      </w:r>
      <w:r w:rsidR="00856502" w:rsidRPr="00B34B96">
        <w:t xml:space="preserve"> </w:t>
      </w:r>
      <w:r w:rsidR="0047021D" w:rsidRPr="00B34B96">
        <w:t>The Amendment</w:t>
      </w:r>
      <w:r w:rsidR="00EF6D86" w:rsidRPr="00B34B96">
        <w:t xml:space="preserve"> Act deleted section 22(6) and inserted sections 21(2)(a) and 25(3) into the MPA</w:t>
      </w:r>
      <w:r w:rsidR="0051254A" w:rsidRPr="00B34B96">
        <w:t>,</w:t>
      </w:r>
      <w:r w:rsidR="00EF6D86" w:rsidRPr="00B34B96">
        <w:t xml:space="preserve"> thereby giving persons married out of community of property </w:t>
      </w:r>
      <w:r w:rsidR="00211370" w:rsidRPr="00B34B96">
        <w:t xml:space="preserve">in terms of </w:t>
      </w:r>
      <w:r w:rsidR="00EF6D86" w:rsidRPr="00B34B96">
        <w:t xml:space="preserve">section 22(6) of the BAA the opportunity to change their matrimonial property regime within two years from 2 December 1988. </w:t>
      </w:r>
      <w:r w:rsidR="00856502" w:rsidRPr="00B34B96">
        <w:t xml:space="preserve"> </w:t>
      </w:r>
      <w:r w:rsidR="00EF6D86" w:rsidRPr="00B34B96">
        <w:t xml:space="preserve">Those parties who did not know that they could change their matrimonial property regime and those who were simply not aware that their marriages were automatically out of community of property, or did not appreciate the legal consequences of this, are still </w:t>
      </w:r>
      <w:bookmarkStart w:id="0" w:name="_GoBack"/>
      <w:r w:rsidR="00EF6D86" w:rsidRPr="00B34B96">
        <w:t>married out of community of property</w:t>
      </w:r>
      <w:r w:rsidR="00B34B96" w:rsidRPr="00B34B96">
        <w:t>.</w:t>
      </w:r>
    </w:p>
    <w:p w14:paraId="64573D51" w14:textId="77777777" w:rsidR="00C44156" w:rsidRPr="00C44156" w:rsidRDefault="00C44156" w:rsidP="00C44156">
      <w:pPr>
        <w:pStyle w:val="JUDGMENTCONTINUED"/>
      </w:pPr>
    </w:p>
    <w:p w14:paraId="4D518C12" w14:textId="7B25EBA5" w:rsidR="009F7D22" w:rsidRDefault="00333B16" w:rsidP="00333B16">
      <w:pPr>
        <w:pStyle w:val="JUDGMENTNUMBERED"/>
        <w:numPr>
          <w:ilvl w:val="0"/>
          <w:numId w:val="0"/>
        </w:numPr>
      </w:pPr>
      <w:r>
        <w:rPr>
          <w:color w:val="000000"/>
          <w14:scene3d>
            <w14:camera w14:prst="orthographicFront"/>
            <w14:lightRig w14:rig="threePt" w14:dir="t">
              <w14:rot w14:lat="0" w14:lon="0" w14:rev="0"/>
            </w14:lightRig>
          </w14:scene3d>
        </w:rPr>
        <w:t>[2]</w:t>
      </w:r>
      <w:r>
        <w:rPr>
          <w:color w:val="000000"/>
          <w14:scene3d>
            <w14:camera w14:prst="orthographicFront"/>
            <w14:lightRig w14:rig="threePt" w14:dir="t">
              <w14:rot w14:lat="0" w14:lon="0" w14:rev="0"/>
            </w14:lightRig>
          </w14:scene3d>
        </w:rPr>
        <w:tab/>
      </w:r>
      <w:bookmarkEnd w:id="0"/>
      <w:r w:rsidR="00EF6D86" w:rsidRPr="00EF6D86">
        <w:t>The first applicant, Mrs Sithole</w:t>
      </w:r>
      <w:r w:rsidR="0051254A">
        <w:t>,</w:t>
      </w:r>
      <w:r w:rsidR="00EF6D86" w:rsidRPr="00EF6D86">
        <w:t xml:space="preserve"> is one of those who did not know that their marriages are</w:t>
      </w:r>
      <w:r w:rsidR="00FB5257">
        <w:t xml:space="preserve"> </w:t>
      </w:r>
      <w:r w:rsidR="00EF6D86" w:rsidRPr="00EF6D86">
        <w:t>out of community of property.</w:t>
      </w:r>
      <w:r w:rsidR="00856502">
        <w:t xml:space="preserve"> </w:t>
      </w:r>
      <w:r w:rsidR="00EF6D86" w:rsidRPr="00EF6D86">
        <w:t xml:space="preserve"> Her version will become </w:t>
      </w:r>
      <w:r w:rsidR="00C76366">
        <w:t xml:space="preserve">more </w:t>
      </w:r>
      <w:r w:rsidR="00EF6D86" w:rsidRPr="00EF6D86">
        <w:t xml:space="preserve">apparent  below when I traverse the facts. </w:t>
      </w:r>
      <w:r w:rsidR="00C83B81">
        <w:t xml:space="preserve"> </w:t>
      </w:r>
      <w:r w:rsidR="00EF6D86" w:rsidRPr="00EF6D86">
        <w:t>She</w:t>
      </w:r>
      <w:r w:rsidR="00DD4A05">
        <w:t xml:space="preserve"> </w:t>
      </w:r>
      <w:r w:rsidR="00EF6D86" w:rsidRPr="00EF6D86">
        <w:t>challenged</w:t>
      </w:r>
      <w:r w:rsidR="00D82B13">
        <w:t xml:space="preserve"> section 21(1) and </w:t>
      </w:r>
      <w:r w:rsidR="00C55B5C">
        <w:t>21</w:t>
      </w:r>
      <w:r w:rsidR="00EF6D86" w:rsidRPr="00EF6D86">
        <w:t>(2)(a)</w:t>
      </w:r>
      <w:r w:rsidR="00294304">
        <w:rPr>
          <w:rStyle w:val="FootnoteReference"/>
        </w:rPr>
        <w:footnoteReference w:id="5"/>
      </w:r>
      <w:r w:rsidR="00EF6D86" w:rsidRPr="00EF6D86">
        <w:t xml:space="preserve"> of the</w:t>
      </w:r>
      <w:r w:rsidR="00EF6D86">
        <w:t xml:space="preserve"> </w:t>
      </w:r>
      <w:r w:rsidR="00EF6D86" w:rsidRPr="00EF6D86">
        <w:t>MPA on the basis that it unfairly discriminates against women in her position on the</w:t>
      </w:r>
      <w:r w:rsidR="00577BFE">
        <w:t xml:space="preserve"> </w:t>
      </w:r>
      <w:r w:rsidR="00577BFE" w:rsidRPr="004849E9">
        <w:t>ground</w:t>
      </w:r>
      <w:r w:rsidR="0047021D" w:rsidRPr="004849E9">
        <w:t>s</w:t>
      </w:r>
      <w:r w:rsidR="00EF6D86" w:rsidRPr="00EF6D86">
        <w:t xml:space="preserve"> of gender and race.</w:t>
      </w:r>
      <w:r w:rsidR="009F073F">
        <w:t xml:space="preserve">  </w:t>
      </w:r>
      <w:r w:rsidR="00955B1E">
        <w:t>The</w:t>
      </w:r>
      <w:r w:rsidR="00EF6D86" w:rsidRPr="00EF6D86">
        <w:t xml:space="preserve"> challenge </w:t>
      </w:r>
      <w:r w:rsidR="00272C24" w:rsidRPr="00B965B7">
        <w:t>compels</w:t>
      </w:r>
      <w:r w:rsidR="00EF6D86" w:rsidRPr="00EF6D86">
        <w:t xml:space="preserve"> us to focus sharply </w:t>
      </w:r>
      <w:r w:rsidR="00DD4A05">
        <w:t>on</w:t>
      </w:r>
      <w:r w:rsidR="00EF6D86" w:rsidRPr="00EF6D86">
        <w:t xml:space="preserve"> the effects of the alleged unfair discrimination on th</w:t>
      </w:r>
      <w:r w:rsidR="00272C24">
        <w:t xml:space="preserve">e capacity of </w:t>
      </w:r>
      <w:r w:rsidR="00C55B5C">
        <w:t>Black</w:t>
      </w:r>
      <w:r w:rsidR="00272C24">
        <w:t xml:space="preserve"> couples</w:t>
      </w:r>
      <w:r w:rsidR="00272C24" w:rsidRPr="0085229F">
        <w:t xml:space="preserve">, </w:t>
      </w:r>
      <w:r w:rsidR="00272C24" w:rsidRPr="00B965B7">
        <w:t>especially</w:t>
      </w:r>
      <w:r w:rsidR="00272C24" w:rsidRPr="0085229F">
        <w:t xml:space="preserve"> </w:t>
      </w:r>
      <w:r w:rsidR="00EF6D86" w:rsidRPr="00EF6D86">
        <w:t>women in her position</w:t>
      </w:r>
      <w:r w:rsidR="00DD4A05">
        <w:t>,</w:t>
      </w:r>
      <w:r w:rsidR="00EF6D86" w:rsidRPr="00EF6D86">
        <w:t xml:space="preserve"> to own property</w:t>
      </w:r>
      <w:r w:rsidR="000E3024">
        <w:t xml:space="preserve">. </w:t>
      </w:r>
      <w:r w:rsidR="00C55B5C">
        <w:t xml:space="preserve"> </w:t>
      </w:r>
      <w:r w:rsidR="000E3024">
        <w:t>It also requires us to examine</w:t>
      </w:r>
      <w:r w:rsidR="005B0ABF">
        <w:t xml:space="preserve"> </w:t>
      </w:r>
      <w:r w:rsidR="00211370">
        <w:t xml:space="preserve">the intersectional effects of the unfair discrimination on the constitutional rights of women to dignity, </w:t>
      </w:r>
      <w:r w:rsidR="005B0ABF">
        <w:t>healthcare</w:t>
      </w:r>
      <w:r w:rsidR="006047F7">
        <w:t>,</w:t>
      </w:r>
      <w:r w:rsidR="005B0ABF">
        <w:t xml:space="preserve"> </w:t>
      </w:r>
      <w:r w:rsidR="00211370">
        <w:t xml:space="preserve">food, </w:t>
      </w:r>
      <w:r w:rsidR="005B0ABF">
        <w:t xml:space="preserve">water </w:t>
      </w:r>
      <w:r w:rsidR="00211370">
        <w:t>and</w:t>
      </w:r>
      <w:r w:rsidR="005B0ABF">
        <w:t xml:space="preserve"> social security</w:t>
      </w:r>
      <w:r w:rsidR="00EF6D86" w:rsidRPr="00EF6D86">
        <w:t xml:space="preserve">. </w:t>
      </w:r>
      <w:r w:rsidR="00C83B81">
        <w:t xml:space="preserve"> </w:t>
      </w:r>
      <w:r w:rsidR="00211370">
        <w:t>It further</w:t>
      </w:r>
      <w:r w:rsidR="00272C24">
        <w:t xml:space="preserve"> </w:t>
      </w:r>
      <w:r w:rsidR="008B18A5">
        <w:t xml:space="preserve">obliges </w:t>
      </w:r>
      <w:r w:rsidR="00211370">
        <w:t>us to deal with</w:t>
      </w:r>
      <w:r w:rsidR="00EF6D86" w:rsidRPr="00EF6D86">
        <w:t xml:space="preserve"> the uncomfortable reality that even after </w:t>
      </w:r>
      <w:r w:rsidR="00272C24" w:rsidRPr="00B965B7">
        <w:t>twenty-five (</w:t>
      </w:r>
      <w:r w:rsidR="00EF6D86" w:rsidRPr="00B965B7">
        <w:t>25</w:t>
      </w:r>
      <w:r w:rsidR="00272C24" w:rsidRPr="00B965B7">
        <w:t>)</w:t>
      </w:r>
      <w:r w:rsidR="00EF6D86" w:rsidRPr="00EF6D86">
        <w:t xml:space="preserve"> years into our </w:t>
      </w:r>
      <w:r w:rsidR="000067CD">
        <w:t xml:space="preserve">constitutional </w:t>
      </w:r>
      <w:r w:rsidR="00EF6D86" w:rsidRPr="00EF6D86">
        <w:t xml:space="preserve">democracy, </w:t>
      </w:r>
      <w:r w:rsidR="00C55B5C">
        <w:t>Black</w:t>
      </w:r>
      <w:r w:rsidR="00EF6D86" w:rsidRPr="00EF6D86">
        <w:t xml:space="preserve"> people are still subjected to the remnants of the oppressive and discriminatory laws of the apartheid regime, notwithstanding the Constitution, which envisages that every</w:t>
      </w:r>
      <w:r w:rsidR="009F0587">
        <w:t>one</w:t>
      </w:r>
      <w:r w:rsidR="00EF6D86" w:rsidRPr="00EF6D86">
        <w:t xml:space="preserve"> be equally protected by the </w:t>
      </w:r>
      <w:r w:rsidR="00577BFE" w:rsidRPr="004849E9">
        <w:t>l</w:t>
      </w:r>
      <w:r w:rsidR="00EF6D86" w:rsidRPr="004849E9">
        <w:t>aw.</w:t>
      </w:r>
      <w:r w:rsidR="004849E9">
        <w:t xml:space="preserve"> </w:t>
      </w:r>
      <w:bookmarkStart w:id="1" w:name="_Hlk60910913"/>
      <w:r w:rsidR="004849E9">
        <w:t xml:space="preserve"> </w:t>
      </w:r>
      <w:r w:rsidR="008438EB">
        <w:t xml:space="preserve">Our Constitution enjoins us to adopt restitutionary measures that remedy the cruel effects of these past discriminatory laws and deliver substantive equality. </w:t>
      </w:r>
      <w:r w:rsidR="00C55B5C">
        <w:t xml:space="preserve"> </w:t>
      </w:r>
      <w:r w:rsidR="004849E9">
        <w:t xml:space="preserve">As </w:t>
      </w:r>
      <w:r w:rsidR="004849E9" w:rsidRPr="000067CD">
        <w:t>Aristotle</w:t>
      </w:r>
      <w:r w:rsidR="004849E9">
        <w:t xml:space="preserve"> aptly</w:t>
      </w:r>
      <w:r w:rsidR="0067370E">
        <w:t xml:space="preserve"> observes</w:t>
      </w:r>
      <w:r w:rsidR="004849E9">
        <w:t>:</w:t>
      </w:r>
    </w:p>
    <w:p w14:paraId="75601513" w14:textId="77777777" w:rsidR="009F7D22" w:rsidRPr="009F7D22" w:rsidRDefault="009F7D22" w:rsidP="00D34AD1">
      <w:pPr>
        <w:pStyle w:val="QUOTATION"/>
        <w:ind w:left="0"/>
      </w:pPr>
    </w:p>
    <w:p w14:paraId="3854B9D4" w14:textId="01F08A1F" w:rsidR="004849E9" w:rsidRDefault="004849E9" w:rsidP="00D82B13">
      <w:pPr>
        <w:pStyle w:val="QUOTATION"/>
      </w:pPr>
      <w:r w:rsidRPr="004849E9">
        <w:t>“Equality and justice are synonymous: to be just is to be equal, to be unjust is to be unequal</w:t>
      </w:r>
      <w:r w:rsidR="00D82B13">
        <w:t>.</w:t>
      </w:r>
      <w:r w:rsidRPr="004849E9">
        <w:t>”</w:t>
      </w:r>
      <w:r w:rsidRPr="004849E9">
        <w:rPr>
          <w:vertAlign w:val="superscript"/>
        </w:rPr>
        <w:footnoteReference w:id="6"/>
      </w:r>
    </w:p>
    <w:bookmarkEnd w:id="1"/>
    <w:p w14:paraId="2822CC0A" w14:textId="63146E59" w:rsidR="00EF6D86" w:rsidRDefault="00EF6D86" w:rsidP="00EF6D86">
      <w:pPr>
        <w:pStyle w:val="JUDGMENTCONTINUED"/>
      </w:pPr>
    </w:p>
    <w:p w14:paraId="21DA4AAA" w14:textId="70EE259D" w:rsidR="00EF6D86" w:rsidRDefault="00333B16" w:rsidP="00333B16">
      <w:pPr>
        <w:pStyle w:val="JUDGMENTNUMBERED"/>
        <w:numPr>
          <w:ilvl w:val="0"/>
          <w:numId w:val="0"/>
        </w:numPr>
      </w:pPr>
      <w:r>
        <w:rPr>
          <w:color w:val="000000"/>
          <w14:scene3d>
            <w14:camera w14:prst="orthographicFront"/>
            <w14:lightRig w14:rig="threePt" w14:dir="t">
              <w14:rot w14:lat="0" w14:lon="0" w14:rev="0"/>
            </w14:lightRig>
          </w14:scene3d>
        </w:rPr>
        <w:lastRenderedPageBreak/>
        <w:t>[3]</w:t>
      </w:r>
      <w:r>
        <w:rPr>
          <w:color w:val="000000"/>
          <w14:scene3d>
            <w14:camera w14:prst="orthographicFront"/>
            <w14:lightRig w14:rig="threePt" w14:dir="t">
              <w14:rot w14:lat="0" w14:lon="0" w14:rev="0"/>
            </w14:lightRig>
          </w14:scene3d>
        </w:rPr>
        <w:tab/>
      </w:r>
      <w:r w:rsidR="00EF6D86" w:rsidRPr="00EF6D86">
        <w:t>The High Court agreed that section</w:t>
      </w:r>
      <w:r w:rsidR="00EF6D86" w:rsidRPr="00EF6D86">
        <w:rPr>
          <w:b/>
        </w:rPr>
        <w:t xml:space="preserve"> </w:t>
      </w:r>
      <w:r w:rsidR="00272C24">
        <w:t>21</w:t>
      </w:r>
      <w:r w:rsidR="00EF6D86" w:rsidRPr="00EF6D86">
        <w:t xml:space="preserve">(2)(a) of the MPA </w:t>
      </w:r>
      <w:r w:rsidR="00EF6D86" w:rsidRPr="00272C24">
        <w:t>do</w:t>
      </w:r>
      <w:r w:rsidR="00856502">
        <w:t>es</w:t>
      </w:r>
      <w:r w:rsidR="00955B1E">
        <w:t xml:space="preserve"> not pass c</w:t>
      </w:r>
      <w:r w:rsidR="00EF6D86" w:rsidRPr="00EF6D86">
        <w:t>onstitutional muster,</w:t>
      </w:r>
      <w:r w:rsidR="00955B1E">
        <w:t xml:space="preserve"> in that</w:t>
      </w:r>
      <w:r w:rsidR="003E36EE" w:rsidRPr="00EF6D86">
        <w:t xml:space="preserve"> </w:t>
      </w:r>
      <w:r w:rsidR="00AB767E">
        <w:t xml:space="preserve">it </w:t>
      </w:r>
      <w:r w:rsidR="003E36EE" w:rsidRPr="00EF6D86">
        <w:t>discriminate</w:t>
      </w:r>
      <w:r w:rsidR="003E36EE">
        <w:t>s unfairly</w:t>
      </w:r>
      <w:r w:rsidR="003E36EE" w:rsidRPr="00EF6D86">
        <w:t xml:space="preserve"> on the grounds of gender</w:t>
      </w:r>
      <w:r w:rsidR="003E36EE">
        <w:t xml:space="preserve"> and race</w:t>
      </w:r>
      <w:r w:rsidR="0034546C">
        <w:t xml:space="preserve">. </w:t>
      </w:r>
      <w:r w:rsidR="003E36EE">
        <w:t xml:space="preserve"> </w:t>
      </w:r>
      <w:r w:rsidR="00AB767E">
        <w:t>The High Court thus</w:t>
      </w:r>
      <w:r w:rsidR="00EF6D86" w:rsidRPr="00EF6D86">
        <w:t xml:space="preserve"> declared that all marriages concluded out of community of property under section 22(6) of the BAA are deemed to be marriages in community of property</w:t>
      </w:r>
      <w:r w:rsidR="00DC5588">
        <w:t xml:space="preserve"> </w:t>
      </w:r>
      <w:r w:rsidR="00C16945">
        <w:t xml:space="preserve">from </w:t>
      </w:r>
      <w:r w:rsidR="00DC7CFD">
        <w:t xml:space="preserve">the </w:t>
      </w:r>
      <w:r w:rsidR="00C16945">
        <w:t>date of its</w:t>
      </w:r>
      <w:r w:rsidR="00DC5588" w:rsidRPr="00B965B7">
        <w:t xml:space="preserve"> order</w:t>
      </w:r>
      <w:r w:rsidR="00EF6D86" w:rsidRPr="00EF6D86">
        <w:t xml:space="preserve">. </w:t>
      </w:r>
      <w:r w:rsidR="00C83B81">
        <w:t xml:space="preserve"> </w:t>
      </w:r>
      <w:r w:rsidR="00EF6D86" w:rsidRPr="00EF6D86">
        <w:t xml:space="preserve">It </w:t>
      </w:r>
      <w:r w:rsidR="0051254A">
        <w:t>permitted</w:t>
      </w:r>
      <w:r w:rsidR="00EF6D86" w:rsidRPr="00EF6D86">
        <w:t xml:space="preserve"> couples who wish to opt out of this position and who wish to alter the matrimonial property system applicable to their marriage as a result of the declaratory order to do so by executing and registering a notarial contract to this effect.</w:t>
      </w:r>
      <w:r w:rsidR="00EF6D86" w:rsidRPr="00EF6D86">
        <w:rPr>
          <w:b/>
        </w:rPr>
        <w:t xml:space="preserve"> </w:t>
      </w:r>
      <w:r w:rsidR="00C83B81">
        <w:rPr>
          <w:b/>
        </w:rPr>
        <w:t xml:space="preserve"> </w:t>
      </w:r>
      <w:r w:rsidR="00EF6D86" w:rsidRPr="00EF6D86">
        <w:t>The High Court further ordered that existing burdens on the property falling into the joint estate as a result of its order will remain in plac</w:t>
      </w:r>
      <w:r w:rsidR="00C16945">
        <w:t>e; and that from the date of its</w:t>
      </w:r>
      <w:r w:rsidR="00EF6D86" w:rsidRPr="00EF6D86">
        <w:t xml:space="preserve"> order, Chapter 3</w:t>
      </w:r>
      <w:r w:rsidR="009255F5">
        <w:rPr>
          <w:rStyle w:val="FootnoteReference"/>
        </w:rPr>
        <w:footnoteReference w:id="7"/>
      </w:r>
      <w:r w:rsidR="00EF6D86" w:rsidRPr="00EF6D86">
        <w:t xml:space="preserve"> of the MPA will apply in respect of all marriages that have been converted to marriages in community of property</w:t>
      </w:r>
      <w:r w:rsidR="008B18A5">
        <w:t>,</w:t>
      </w:r>
      <w:r w:rsidR="00EF6D86" w:rsidRPr="00EF6D86">
        <w:t xml:space="preserve"> unless and until the affected couple has opted out of such a matrimonial property regime</w:t>
      </w:r>
      <w:r w:rsidR="00EF6D86">
        <w:t>.</w:t>
      </w:r>
      <w:r w:rsidR="00856502">
        <w:t xml:space="preserve"> </w:t>
      </w:r>
      <w:r w:rsidR="00DC5588">
        <w:t xml:space="preserve"> </w:t>
      </w:r>
      <w:r w:rsidR="00856502" w:rsidRPr="00B965B7">
        <w:t>The High Court, however, di</w:t>
      </w:r>
      <w:r w:rsidR="00AB767E">
        <w:t xml:space="preserve">d not </w:t>
      </w:r>
      <w:r w:rsidR="00856502" w:rsidRPr="00B965B7">
        <w:t>agree</w:t>
      </w:r>
      <w:r w:rsidR="008B18A5" w:rsidRPr="00B965B7">
        <w:t xml:space="preserve"> </w:t>
      </w:r>
      <w:r w:rsidR="00856502" w:rsidRPr="00B965B7">
        <w:t xml:space="preserve">that section 21(1) of the MPA </w:t>
      </w:r>
      <w:r w:rsidR="008B18A5" w:rsidRPr="00B965B7">
        <w:t xml:space="preserve">is </w:t>
      </w:r>
      <w:r w:rsidR="00856502" w:rsidRPr="00B965B7">
        <w:t>discriminatory.</w:t>
      </w:r>
    </w:p>
    <w:p w14:paraId="655CEFCA" w14:textId="77777777" w:rsidR="00856502" w:rsidRPr="00856502" w:rsidRDefault="00856502" w:rsidP="00856502">
      <w:pPr>
        <w:pStyle w:val="JUDGMENTCONTINUED"/>
      </w:pPr>
    </w:p>
    <w:p w14:paraId="02AE4A3C" w14:textId="6A4F3411" w:rsidR="00EF6D86" w:rsidRDefault="00EF6D86" w:rsidP="00EF6D86">
      <w:pPr>
        <w:pStyle w:val="HEADING"/>
      </w:pPr>
      <w:r>
        <w:t>Parties</w:t>
      </w:r>
    </w:p>
    <w:p w14:paraId="4C93FFD0" w14:textId="6CF0E781" w:rsidR="0099291B" w:rsidRDefault="00333B16" w:rsidP="00333B16">
      <w:pPr>
        <w:pStyle w:val="JUDGMENTNUMBERED"/>
        <w:numPr>
          <w:ilvl w:val="0"/>
          <w:numId w:val="0"/>
        </w:numPr>
      </w:pPr>
      <w:r>
        <w:rPr>
          <w:color w:val="000000"/>
          <w14:scene3d>
            <w14:camera w14:prst="orthographicFront"/>
            <w14:lightRig w14:rig="threePt" w14:dir="t">
              <w14:rot w14:lat="0" w14:lon="0" w14:rev="0"/>
            </w14:lightRig>
          </w14:scene3d>
        </w:rPr>
        <w:t>[4]</w:t>
      </w:r>
      <w:r>
        <w:rPr>
          <w:color w:val="000000"/>
          <w14:scene3d>
            <w14:camera w14:prst="orthographicFront"/>
            <w14:lightRig w14:rig="threePt" w14:dir="t">
              <w14:rot w14:lat="0" w14:lon="0" w14:rev="0"/>
            </w14:lightRig>
          </w14:scene3d>
        </w:rPr>
        <w:tab/>
      </w:r>
      <w:r w:rsidR="00EF6D86" w:rsidRPr="00EF6D86">
        <w:t xml:space="preserve">The first applicant is Mrs Agnes Sithole, a seventy-two (72) year old housewife </w:t>
      </w:r>
      <w:r w:rsidR="006151EB">
        <w:t>residing in</w:t>
      </w:r>
      <w:r w:rsidR="00EF6D86" w:rsidRPr="00EF6D86">
        <w:t xml:space="preserve"> KwaZulu-Natal. </w:t>
      </w:r>
      <w:r w:rsidR="00C55B5C">
        <w:t xml:space="preserve"> </w:t>
      </w:r>
      <w:r w:rsidR="00A77A5D">
        <w:t>She</w:t>
      </w:r>
      <w:r w:rsidR="00EF6D86" w:rsidRPr="00EF6D86">
        <w:t xml:space="preserve"> brings this application in her own personal interest, as well as in the interest</w:t>
      </w:r>
      <w:r w:rsidR="0047021D">
        <w:t>s</w:t>
      </w:r>
      <w:r w:rsidR="00EF6D86" w:rsidRPr="00EF6D86">
        <w:t xml:space="preserve"> of many other </w:t>
      </w:r>
      <w:r w:rsidR="00C55B5C">
        <w:t>Black</w:t>
      </w:r>
      <w:r w:rsidR="00EF6D86" w:rsidRPr="00EF6D86">
        <w:t xml:space="preserve"> women whose marriages were subject to s</w:t>
      </w:r>
      <w:r w:rsidR="00C83B81">
        <w:t xml:space="preserve">ection </w:t>
      </w:r>
      <w:r w:rsidR="00EF6D86" w:rsidRPr="00EF6D86">
        <w:t>22(6) of the BAA</w:t>
      </w:r>
      <w:r w:rsidR="00A77A5D">
        <w:t>.</w:t>
      </w:r>
      <w:r w:rsidR="00EF6D86" w:rsidRPr="00EF6D86">
        <w:t xml:space="preserve"> </w:t>
      </w:r>
      <w:r w:rsidR="00C55B5C">
        <w:t xml:space="preserve"> </w:t>
      </w:r>
      <w:r w:rsidR="00A77A5D">
        <w:t>Those women</w:t>
      </w:r>
      <w:r w:rsidR="00EF6D86" w:rsidRPr="00EF6D86">
        <w:t xml:space="preserve"> remain married out of community of property because </w:t>
      </w:r>
      <w:r w:rsidR="00F30D6C">
        <w:t>they did not know that they could opt out of the</w:t>
      </w:r>
      <w:r w:rsidR="00C16945">
        <w:t>ir</w:t>
      </w:r>
      <w:r w:rsidR="00F30D6C">
        <w:t xml:space="preserve"> matrimonial regime or knew they could, but did not, due to several socio-economic factors. </w:t>
      </w:r>
      <w:r w:rsidR="00830CA9">
        <w:t xml:space="preserve"> </w:t>
      </w:r>
      <w:r w:rsidR="0099291B" w:rsidRPr="00781E17">
        <w:t>Ms Deborah Jean Budlender</w:t>
      </w:r>
      <w:r w:rsidR="0099291B">
        <w:t>,</w:t>
      </w:r>
      <w:r w:rsidR="0099291B" w:rsidRPr="00781E17">
        <w:t xml:space="preserve"> an expert who is a social policy researcher and who filed an affidavit in support of the application in the High Court</w:t>
      </w:r>
      <w:r w:rsidR="0099291B">
        <w:t>,</w:t>
      </w:r>
      <w:r w:rsidR="0099291B" w:rsidRPr="00781E17">
        <w:t xml:space="preserve"> acknowledges that it is not possible to estimate the exact number of women in the first applicant’s position because the data that is available is incomplete. </w:t>
      </w:r>
      <w:r w:rsidR="0099291B">
        <w:t xml:space="preserve"> </w:t>
      </w:r>
      <w:r w:rsidR="0099291B" w:rsidRPr="00781E17">
        <w:t>Drawing on evidence, which is set out in her affidavit, she concludes that there could be more than 400 000 women in</w:t>
      </w:r>
      <w:r w:rsidR="00C661E0">
        <w:t xml:space="preserve"> the same position as</w:t>
      </w:r>
      <w:r w:rsidR="0036410D">
        <w:t xml:space="preserve"> Mrs Sithole</w:t>
      </w:r>
      <w:r w:rsidR="0099291B">
        <w:t>.</w:t>
      </w:r>
    </w:p>
    <w:p w14:paraId="0343E80F" w14:textId="77777777" w:rsidR="0099291B" w:rsidRDefault="0099291B" w:rsidP="00214A2D">
      <w:pPr>
        <w:pStyle w:val="JUDGMENTCONTINUED"/>
      </w:pPr>
    </w:p>
    <w:p w14:paraId="244B2E00" w14:textId="2F5F0FE1" w:rsidR="00EF6D86" w:rsidRDefault="00333B16" w:rsidP="00333B16">
      <w:pPr>
        <w:pStyle w:val="JUDGMENTNUMBERED"/>
        <w:numPr>
          <w:ilvl w:val="0"/>
          <w:numId w:val="0"/>
        </w:numPr>
        <w:rPr>
          <w:lang w:val="en-US"/>
        </w:rPr>
      </w:pPr>
      <w:r>
        <w:rPr>
          <w:color w:val="000000"/>
          <w:lang w:val="en-US"/>
          <w14:scene3d>
            <w14:camera w14:prst="orthographicFront"/>
            <w14:lightRig w14:rig="threePt" w14:dir="t">
              <w14:rot w14:lat="0" w14:lon="0" w14:rev="0"/>
            </w14:lightRig>
          </w14:scene3d>
        </w:rPr>
        <w:lastRenderedPageBreak/>
        <w:t>[5]</w:t>
      </w:r>
      <w:r>
        <w:rPr>
          <w:color w:val="000000"/>
          <w:lang w:val="en-US"/>
          <w14:scene3d>
            <w14:camera w14:prst="orthographicFront"/>
            <w14:lightRig w14:rig="threePt" w14:dir="t">
              <w14:rot w14:lat="0" w14:lon="0" w14:rev="0"/>
            </w14:lightRig>
          </w14:scene3d>
        </w:rPr>
        <w:tab/>
      </w:r>
      <w:r w:rsidR="00EF6D86" w:rsidRPr="00EF6D86">
        <w:t>The second applicant is the Commission</w:t>
      </w:r>
      <w:r w:rsidR="0051254A">
        <w:t xml:space="preserve"> for Gender Equality</w:t>
      </w:r>
      <w:r w:rsidR="00EF6D86" w:rsidRPr="00EF6D86">
        <w:t xml:space="preserve"> established in terms of s</w:t>
      </w:r>
      <w:r w:rsidR="00C83B81">
        <w:t>ection</w:t>
      </w:r>
      <w:r w:rsidR="00EF6D86" w:rsidRPr="00EF6D86">
        <w:t xml:space="preserve"> 187 of the Constitution to promote respect for and the protection, development and attainment of gender equality. </w:t>
      </w:r>
      <w:r w:rsidR="00DC5588">
        <w:t xml:space="preserve"> </w:t>
      </w:r>
      <w:r w:rsidR="00BF0F4E">
        <w:t>It</w:t>
      </w:r>
      <w:r w:rsidR="00EF6D86" w:rsidRPr="00EF6D86">
        <w:t xml:space="preserve"> brings the application in furtherance of its constitutional mandate.</w:t>
      </w:r>
      <w:r w:rsidR="00DC5588">
        <w:t xml:space="preserve"> </w:t>
      </w:r>
      <w:r w:rsidR="00EF6D86" w:rsidRPr="00EF6D86">
        <w:t xml:space="preserve"> Through this application, the</w:t>
      </w:r>
      <w:r w:rsidR="00C661E0">
        <w:t xml:space="preserve"> </w:t>
      </w:r>
      <w:r w:rsidR="00EF6D86" w:rsidRPr="00EF6D86">
        <w:t>appli</w:t>
      </w:r>
      <w:r w:rsidR="00C661E0">
        <w:t>cant</w:t>
      </w:r>
      <w:r w:rsidR="00C16945">
        <w:t>s</w:t>
      </w:r>
      <w:r w:rsidR="00EF6D86" w:rsidRPr="00EF6D86">
        <w:t xml:space="preserve"> seek to address the legacy of s</w:t>
      </w:r>
      <w:r w:rsidR="00C83B81">
        <w:t>ection</w:t>
      </w:r>
      <w:r w:rsidR="00EF6D86" w:rsidRPr="00EF6D86">
        <w:t xml:space="preserve"> 22(6) of the BAA in terms of which </w:t>
      </w:r>
      <w:r w:rsidR="00C55B5C">
        <w:t>Black</w:t>
      </w:r>
      <w:r w:rsidR="00EF6D86" w:rsidRPr="00EF6D86">
        <w:t xml:space="preserve"> couples who </w:t>
      </w:r>
      <w:r w:rsidR="00071BDA">
        <w:t>concluded</w:t>
      </w:r>
      <w:r w:rsidR="00EF6D86" w:rsidRPr="00EF6D86">
        <w:t xml:space="preserve"> civil marriages were married out of community of property by default.</w:t>
      </w:r>
      <w:r w:rsidR="00DC5588">
        <w:t xml:space="preserve"> </w:t>
      </w:r>
      <w:r w:rsidR="00EF6D86" w:rsidRPr="00EF6D86">
        <w:t xml:space="preserve"> The first respondent is Mr Gideon Sithole, a</w:t>
      </w:r>
      <w:r w:rsidR="00DC5588">
        <w:t xml:space="preserve"> </w:t>
      </w:r>
      <w:r w:rsidR="009B76BB">
        <w:t xml:space="preserve">then </w:t>
      </w:r>
      <w:r w:rsidR="00EF6D86" w:rsidRPr="00EF6D86">
        <w:t xml:space="preserve">seventy-four (74) year old male electrical contractor. </w:t>
      </w:r>
      <w:r w:rsidR="00C83B81">
        <w:t xml:space="preserve"> </w:t>
      </w:r>
      <w:r w:rsidR="0036410D">
        <w:t xml:space="preserve">Mr Sithole </w:t>
      </w:r>
      <w:r w:rsidR="00B0588F" w:rsidRPr="00B0588F">
        <w:rPr>
          <w:lang w:val="en-US"/>
        </w:rPr>
        <w:t>sadly passed away on 23 January 2021, after the application was argued.</w:t>
      </w:r>
      <w:r w:rsidR="00B0588F">
        <w:t xml:space="preserve"> </w:t>
      </w:r>
      <w:r w:rsidR="00C55B5C">
        <w:t xml:space="preserve"> </w:t>
      </w:r>
      <w:r w:rsidR="00EF6D86" w:rsidRPr="00EF6D86">
        <w:t xml:space="preserve">The second respondent is the Minister of Justice and Correctional Services, cited herein as the </w:t>
      </w:r>
      <w:r w:rsidR="004F16EF">
        <w:t>e</w:t>
      </w:r>
      <w:r w:rsidR="00EF6D86" w:rsidRPr="00EF6D86">
        <w:t>xecutive member responsible for the administration of the MPA, and as the representative of the Government of the Republic of South Africa</w:t>
      </w:r>
      <w:r w:rsidR="00EF6D86">
        <w:t>.</w:t>
      </w:r>
    </w:p>
    <w:p w14:paraId="407FD36C" w14:textId="77777777" w:rsidR="00B0588F" w:rsidRPr="00B0588F" w:rsidRDefault="00B0588F" w:rsidP="00B0588F">
      <w:pPr>
        <w:pStyle w:val="JUDGMENTCONTINUED"/>
        <w:rPr>
          <w:lang w:val="en-US"/>
        </w:rPr>
      </w:pPr>
    </w:p>
    <w:p w14:paraId="3915FA31" w14:textId="3D8A22D5" w:rsidR="00193FA5" w:rsidRPr="00193FA5" w:rsidRDefault="00193FA5" w:rsidP="00193FA5">
      <w:pPr>
        <w:pStyle w:val="HEADING"/>
      </w:pPr>
      <w:r>
        <w:t>Background facts</w:t>
      </w:r>
    </w:p>
    <w:p w14:paraId="4ED18F39" w14:textId="5568C51F" w:rsidR="00CE3341" w:rsidRDefault="00333B16" w:rsidP="00333B16">
      <w:pPr>
        <w:pStyle w:val="JUDGMENTNUMBERED"/>
        <w:numPr>
          <w:ilvl w:val="0"/>
          <w:numId w:val="0"/>
        </w:numPr>
      </w:pPr>
      <w:r>
        <w:rPr>
          <w:color w:val="000000"/>
          <w14:scene3d>
            <w14:camera w14:prst="orthographicFront"/>
            <w14:lightRig w14:rig="threePt" w14:dir="t">
              <w14:rot w14:lat="0" w14:lon="0" w14:rev="0"/>
            </w14:lightRig>
          </w14:scene3d>
        </w:rPr>
        <w:t>[6]</w:t>
      </w:r>
      <w:r>
        <w:rPr>
          <w:color w:val="000000"/>
          <w14:scene3d>
            <w14:camera w14:prst="orthographicFront"/>
            <w14:lightRig w14:rig="threePt" w14:dir="t">
              <w14:rot w14:lat="0" w14:lon="0" w14:rev="0"/>
            </w14:lightRig>
          </w14:scene3d>
        </w:rPr>
        <w:tab/>
      </w:r>
      <w:r w:rsidR="00C661E0">
        <w:t xml:space="preserve">Mr </w:t>
      </w:r>
      <w:r w:rsidR="0036410D">
        <w:t xml:space="preserve">and Mrs Sithole </w:t>
      </w:r>
      <w:r w:rsidR="00AB767E">
        <w:t>got</w:t>
      </w:r>
      <w:r w:rsidR="00193FA5" w:rsidRPr="00193FA5">
        <w:t xml:space="preserve"> married to each other on 16 December 1972, out of community of property under s</w:t>
      </w:r>
      <w:r w:rsidR="00C83B81">
        <w:t>ection</w:t>
      </w:r>
      <w:r w:rsidR="00193FA5" w:rsidRPr="00193FA5">
        <w:t xml:space="preserve"> 22(6) of the BAA. </w:t>
      </w:r>
      <w:r w:rsidR="00C83B81">
        <w:t xml:space="preserve"> </w:t>
      </w:r>
      <w:r w:rsidR="00426DD0">
        <w:t>At the time</w:t>
      </w:r>
      <w:r w:rsidR="00F175AA">
        <w:t xml:space="preserve"> </w:t>
      </w:r>
      <w:r w:rsidR="0036410D">
        <w:t xml:space="preserve">Mrs Sithole </w:t>
      </w:r>
      <w:r w:rsidR="00F175AA">
        <w:t>launched the application, t</w:t>
      </w:r>
      <w:r w:rsidR="00193FA5" w:rsidRPr="00193FA5">
        <w:t>hey ha</w:t>
      </w:r>
      <w:r w:rsidR="00F175AA">
        <w:t>d</w:t>
      </w:r>
      <w:r w:rsidR="00193FA5" w:rsidRPr="00193FA5">
        <w:t xml:space="preserve"> </w:t>
      </w:r>
      <w:r w:rsidR="00214A2D">
        <w:t xml:space="preserve">been married for a period of 47 </w:t>
      </w:r>
      <w:r w:rsidR="00193FA5" w:rsidRPr="00193FA5">
        <w:t xml:space="preserve">years and </w:t>
      </w:r>
      <w:r w:rsidR="000F1261">
        <w:t>the</w:t>
      </w:r>
      <w:r w:rsidR="00193FA5" w:rsidRPr="00193FA5">
        <w:t xml:space="preserve"> marriage still subsist</w:t>
      </w:r>
      <w:r w:rsidR="00F175AA">
        <w:t>ed</w:t>
      </w:r>
      <w:r w:rsidR="00193FA5" w:rsidRPr="00193FA5">
        <w:t>.</w:t>
      </w:r>
      <w:r w:rsidR="00C55B5C">
        <w:t xml:space="preserve"> </w:t>
      </w:r>
      <w:r w:rsidR="00193FA5" w:rsidRPr="00193FA5">
        <w:t xml:space="preserve"> It </w:t>
      </w:r>
      <w:r w:rsidR="00717AA4">
        <w:t xml:space="preserve">was </w:t>
      </w:r>
      <w:r w:rsidR="00193FA5" w:rsidRPr="00193FA5">
        <w:t>out of community of property due to the fact that the provisions of</w:t>
      </w:r>
      <w:r w:rsidR="008763EA">
        <w:t xml:space="preserve"> section 2</w:t>
      </w:r>
      <w:r w:rsidR="00193FA5" w:rsidRPr="00193FA5">
        <w:t>1(2)(a)</w:t>
      </w:r>
      <w:r w:rsidR="00830CA9">
        <w:t xml:space="preserve"> </w:t>
      </w:r>
      <w:r w:rsidR="00193FA5" w:rsidRPr="00193FA5">
        <w:t xml:space="preserve">of the MPA </w:t>
      </w:r>
      <w:r w:rsidR="00AE3EF4">
        <w:t xml:space="preserve">did not automatically alter </w:t>
      </w:r>
      <w:r w:rsidR="00CE3341">
        <w:t>t</w:t>
      </w:r>
      <w:r w:rsidR="00AE3EF4">
        <w:t>he</w:t>
      </w:r>
      <w:r w:rsidR="00CE3341">
        <w:t>i</w:t>
      </w:r>
      <w:r w:rsidR="00AE3EF4">
        <w:t>r matrimonial regime.</w:t>
      </w:r>
    </w:p>
    <w:p w14:paraId="0A83A6B1" w14:textId="747D505D" w:rsidR="00193FA5" w:rsidRDefault="00193FA5" w:rsidP="00040535">
      <w:pPr>
        <w:pStyle w:val="JUDGMENTCONTINUED"/>
      </w:pPr>
    </w:p>
    <w:p w14:paraId="242DFD6D" w14:textId="65BB16DB" w:rsidR="00193FA5" w:rsidRDefault="00333B16" w:rsidP="00333B16">
      <w:pPr>
        <w:pStyle w:val="JUDGMENTNUMBERED"/>
        <w:numPr>
          <w:ilvl w:val="0"/>
          <w:numId w:val="0"/>
        </w:numPr>
      </w:pPr>
      <w:r>
        <w:rPr>
          <w:color w:val="000000"/>
          <w14:scene3d>
            <w14:camera w14:prst="orthographicFront"/>
            <w14:lightRig w14:rig="threePt" w14:dir="t">
              <w14:rot w14:lat="0" w14:lon="0" w14:rev="0"/>
            </w14:lightRig>
          </w14:scene3d>
        </w:rPr>
        <w:t>[7]</w:t>
      </w:r>
      <w:r>
        <w:rPr>
          <w:color w:val="000000"/>
          <w14:scene3d>
            <w14:camera w14:prst="orthographicFront"/>
            <w14:lightRig w14:rig="threePt" w14:dir="t">
              <w14:rot w14:lat="0" w14:lon="0" w14:rev="0"/>
            </w14:lightRig>
          </w14:scene3d>
        </w:rPr>
        <w:tab/>
      </w:r>
      <w:r w:rsidR="00193FA5" w:rsidRPr="00193FA5">
        <w:t xml:space="preserve">Between 1972 and 1985 </w:t>
      </w:r>
      <w:r w:rsidR="00577BFE">
        <w:t xml:space="preserve">Mrs Sithole </w:t>
      </w:r>
      <w:r w:rsidR="00193FA5" w:rsidRPr="00193FA5">
        <w:t xml:space="preserve">was a housewife and raising her family. </w:t>
      </w:r>
      <w:r w:rsidR="00426DD0">
        <w:t xml:space="preserve"> </w:t>
      </w:r>
      <w:r w:rsidR="00193FA5" w:rsidRPr="00193FA5">
        <w:t>She</w:t>
      </w:r>
      <w:r w:rsidR="00B53E22">
        <w:t> </w:t>
      </w:r>
      <w:r w:rsidR="00193FA5" w:rsidRPr="00193FA5">
        <w:t xml:space="preserve"> ran a home-based business selling clothing. </w:t>
      </w:r>
      <w:r w:rsidR="00DC5588">
        <w:t xml:space="preserve"> </w:t>
      </w:r>
      <w:r w:rsidR="00193FA5" w:rsidRPr="00193FA5">
        <w:t xml:space="preserve">Her earnings were utilised to pay for the education of their children at private schools. </w:t>
      </w:r>
      <w:r w:rsidR="00DC5588">
        <w:t xml:space="preserve"> </w:t>
      </w:r>
      <w:r w:rsidR="00193FA5" w:rsidRPr="00193FA5">
        <w:t>The remainder was used for family and household expenses.</w:t>
      </w:r>
      <w:r w:rsidR="00DC5588">
        <w:t xml:space="preserve"> </w:t>
      </w:r>
      <w:r w:rsidR="00826148">
        <w:t xml:space="preserve"> In 2000</w:t>
      </w:r>
      <w:r w:rsidR="003B4C88">
        <w:t>,</w:t>
      </w:r>
      <w:r w:rsidR="00826148">
        <w:t xml:space="preserve"> </w:t>
      </w:r>
      <w:r w:rsidR="00552B80">
        <w:t>she</w:t>
      </w:r>
      <w:r w:rsidR="00826148">
        <w:t xml:space="preserve"> </w:t>
      </w:r>
      <w:r w:rsidR="00552B80">
        <w:t>and her husband</w:t>
      </w:r>
      <w:r w:rsidR="00826148">
        <w:t xml:space="preserve"> purchased </w:t>
      </w:r>
      <w:r w:rsidR="00373E6E" w:rsidRPr="00373E6E">
        <w:t>a house</w:t>
      </w:r>
      <w:r w:rsidR="00193FA5" w:rsidRPr="00826148">
        <w:t xml:space="preserve"> </w:t>
      </w:r>
      <w:r w:rsidR="0036410D">
        <w:t>which was registered in Mr Sithole’s name</w:t>
      </w:r>
      <w:r w:rsidR="00193FA5" w:rsidRPr="00193FA5">
        <w:t xml:space="preserve">. </w:t>
      </w:r>
      <w:r w:rsidR="00DC5588">
        <w:t xml:space="preserve"> </w:t>
      </w:r>
      <w:r w:rsidR="00193FA5" w:rsidRPr="00193FA5">
        <w:t xml:space="preserve">After a while the relationship between the parties deteriorated. </w:t>
      </w:r>
      <w:r w:rsidR="00DC5588">
        <w:t xml:space="preserve"> </w:t>
      </w:r>
      <w:r w:rsidR="00577BFE">
        <w:t xml:space="preserve">Mr Sithole </w:t>
      </w:r>
      <w:r w:rsidR="00193FA5" w:rsidRPr="00193FA5">
        <w:t xml:space="preserve">then threatened to sell the </w:t>
      </w:r>
      <w:r w:rsidR="00877CC6" w:rsidRPr="00877CC6">
        <w:t>house</w:t>
      </w:r>
      <w:r w:rsidR="00193FA5">
        <w:t>.</w:t>
      </w:r>
    </w:p>
    <w:p w14:paraId="44DD07B9" w14:textId="680A5209" w:rsidR="00193FA5" w:rsidRDefault="00193FA5" w:rsidP="00193FA5">
      <w:pPr>
        <w:pStyle w:val="JUDGMENTCONTINUED"/>
      </w:pPr>
    </w:p>
    <w:p w14:paraId="6EFA1682" w14:textId="1B6AA7FB" w:rsidR="00193FA5" w:rsidRDefault="00333B16" w:rsidP="00333B16">
      <w:pPr>
        <w:pStyle w:val="JUDGMENTNUMBERED"/>
        <w:numPr>
          <w:ilvl w:val="0"/>
          <w:numId w:val="0"/>
        </w:numPr>
      </w:pPr>
      <w:r>
        <w:rPr>
          <w:color w:val="000000"/>
          <w14:scene3d>
            <w14:camera w14:prst="orthographicFront"/>
            <w14:lightRig w14:rig="threePt" w14:dir="t">
              <w14:rot w14:lat="0" w14:lon="0" w14:rev="0"/>
            </w14:lightRig>
          </w14:scene3d>
        </w:rPr>
        <w:t>[8]</w:t>
      </w:r>
      <w:r>
        <w:rPr>
          <w:color w:val="000000"/>
          <w14:scene3d>
            <w14:camera w14:prst="orthographicFront"/>
            <w14:lightRig w14:rig="threePt" w14:dir="t">
              <w14:rot w14:lat="0" w14:lon="0" w14:rev="0"/>
            </w14:lightRig>
          </w14:scene3d>
        </w:rPr>
        <w:tab/>
      </w:r>
      <w:r w:rsidR="00577BFE">
        <w:t>Mrs Sithole</w:t>
      </w:r>
      <w:r w:rsidR="00193FA5" w:rsidRPr="00193FA5">
        <w:t xml:space="preserve"> sought and obtained an order interdicting and restraining </w:t>
      </w:r>
      <w:r w:rsidR="00577BFE">
        <w:t xml:space="preserve">Mr Sithole </w:t>
      </w:r>
      <w:r w:rsidR="00193FA5" w:rsidRPr="00193FA5">
        <w:t>from selling the house or in any manner alienating it pending the finalisation of</w:t>
      </w:r>
      <w:r w:rsidR="001D2AC8">
        <w:t xml:space="preserve"> the present application. </w:t>
      </w:r>
      <w:r w:rsidR="00DC5588">
        <w:t xml:space="preserve"> </w:t>
      </w:r>
      <w:r w:rsidR="00426DD0">
        <w:t>She is a devout</w:t>
      </w:r>
      <w:r w:rsidR="00193FA5" w:rsidRPr="00193FA5">
        <w:t xml:space="preserve"> member of the Roman Catholic Church, and divorce in her church is discouraged and frowned upon. </w:t>
      </w:r>
      <w:r w:rsidR="00DC5588">
        <w:t xml:space="preserve"> </w:t>
      </w:r>
      <w:r w:rsidR="00193FA5" w:rsidRPr="00193FA5">
        <w:t>She still entertain</w:t>
      </w:r>
      <w:r w:rsidR="004F16EF">
        <w:t>ed</w:t>
      </w:r>
      <w:r w:rsidR="00193FA5" w:rsidRPr="00193FA5">
        <w:t xml:space="preserve"> hope of </w:t>
      </w:r>
      <w:r w:rsidR="00193FA5" w:rsidRPr="00193FA5">
        <w:lastRenderedPageBreak/>
        <w:t xml:space="preserve">reconciling with her husband. </w:t>
      </w:r>
      <w:r w:rsidR="00DC5588">
        <w:t xml:space="preserve"> </w:t>
      </w:r>
      <w:r w:rsidR="00193FA5" w:rsidRPr="00193FA5">
        <w:t xml:space="preserve">She </w:t>
      </w:r>
      <w:r w:rsidR="004F16EF">
        <w:t>was</w:t>
      </w:r>
      <w:r w:rsidR="00193FA5" w:rsidRPr="00193FA5">
        <w:t xml:space="preserve"> therefore, not willing to divorce her husband in order to secure an equita</w:t>
      </w:r>
      <w:r w:rsidR="00826148">
        <w:t>ble distribution of the parties’</w:t>
      </w:r>
      <w:r w:rsidR="00193FA5" w:rsidRPr="00193FA5">
        <w:t xml:space="preserve"> assets by utilising the remedy which s</w:t>
      </w:r>
      <w:r w:rsidR="008763EA">
        <w:t>ection</w:t>
      </w:r>
      <w:r w:rsidR="00830CA9">
        <w:t> </w:t>
      </w:r>
      <w:r w:rsidR="00193FA5" w:rsidRPr="00193FA5">
        <w:t>7(3) to (5) of the Divorce Act</w:t>
      </w:r>
      <w:r w:rsidR="00193FA5" w:rsidRPr="00193FA5">
        <w:rPr>
          <w:vertAlign w:val="superscript"/>
        </w:rPr>
        <w:footnoteReference w:id="8"/>
      </w:r>
      <w:r w:rsidR="00C661E0">
        <w:t xml:space="preserve"> provide</w:t>
      </w:r>
      <w:r w:rsidR="00A31C9E">
        <w:t>s</w:t>
      </w:r>
      <w:r w:rsidR="00193FA5" w:rsidRPr="00193FA5">
        <w:t xml:space="preserve"> for</w:t>
      </w:r>
      <w:r w:rsidR="00C661E0">
        <w:t>,</w:t>
      </w:r>
      <w:r w:rsidR="00CE3341">
        <w:t xml:space="preserve"> in the event </w:t>
      </w:r>
      <w:r w:rsidR="00193FA5" w:rsidRPr="00193FA5">
        <w:t>parties who are married out of community of property</w:t>
      </w:r>
      <w:r w:rsidR="00C55B5C">
        <w:t>,</w:t>
      </w:r>
      <w:r w:rsidR="00193FA5" w:rsidRPr="00193FA5">
        <w:t xml:space="preserve"> </w:t>
      </w:r>
      <w:r w:rsidR="00CE3341">
        <w:t xml:space="preserve">get </w:t>
      </w:r>
      <w:r w:rsidR="00193FA5" w:rsidRPr="00193FA5">
        <w:t>divorce</w:t>
      </w:r>
      <w:r w:rsidR="00CE3341">
        <w:t>d</w:t>
      </w:r>
      <w:r w:rsidR="00193FA5">
        <w:t>.</w:t>
      </w:r>
    </w:p>
    <w:p w14:paraId="29B8F215" w14:textId="2673F808" w:rsidR="00193FA5" w:rsidRDefault="00193FA5" w:rsidP="00193FA5">
      <w:pPr>
        <w:pStyle w:val="JUDGMENTCONTINUED"/>
      </w:pPr>
    </w:p>
    <w:p w14:paraId="2B95B872" w14:textId="2FD1B71D" w:rsidR="00040535" w:rsidRDefault="00333B16" w:rsidP="00333B16">
      <w:pPr>
        <w:pStyle w:val="JUDGMENTNUMBERED"/>
        <w:numPr>
          <w:ilvl w:val="0"/>
          <w:numId w:val="0"/>
        </w:numPr>
      </w:pPr>
      <w:r>
        <w:rPr>
          <w:color w:val="000000"/>
          <w14:scene3d>
            <w14:camera w14:prst="orthographicFront"/>
            <w14:lightRig w14:rig="threePt" w14:dir="t">
              <w14:rot w14:lat="0" w14:lon="0" w14:rev="0"/>
            </w14:lightRig>
          </w14:scene3d>
        </w:rPr>
        <w:t>[9]</w:t>
      </w:r>
      <w:r>
        <w:rPr>
          <w:color w:val="000000"/>
          <w14:scene3d>
            <w14:camera w14:prst="orthographicFront"/>
            <w14:lightRig w14:rig="threePt" w14:dir="t">
              <w14:rot w14:lat="0" w14:lon="0" w14:rev="0"/>
            </w14:lightRig>
          </w14:scene3d>
        </w:rPr>
        <w:tab/>
      </w:r>
      <w:r w:rsidR="00577BFE">
        <w:t>Mr Sithole</w:t>
      </w:r>
      <w:r w:rsidR="00193FA5" w:rsidRPr="00193FA5">
        <w:t xml:space="preserve"> admit</w:t>
      </w:r>
      <w:r w:rsidR="004F16EF">
        <w:t>ted</w:t>
      </w:r>
      <w:r w:rsidR="00193FA5" w:rsidRPr="00193FA5">
        <w:t xml:space="preserve"> that the relationship between them </w:t>
      </w:r>
      <w:r w:rsidR="00A45DCE">
        <w:t>ha</w:t>
      </w:r>
      <w:r w:rsidR="0010198D">
        <w:t>d</w:t>
      </w:r>
      <w:r w:rsidR="00A45DCE">
        <w:t xml:space="preserve"> </w:t>
      </w:r>
      <w:r w:rsidR="00193FA5" w:rsidRPr="00193FA5">
        <w:t xml:space="preserve">deteriorated. </w:t>
      </w:r>
      <w:r w:rsidR="00DC5588">
        <w:t xml:space="preserve"> </w:t>
      </w:r>
      <w:r w:rsidR="0075667C">
        <w:t>He also</w:t>
      </w:r>
      <w:r w:rsidR="00193FA5" w:rsidRPr="00193FA5">
        <w:t xml:space="preserve"> admit</w:t>
      </w:r>
      <w:r w:rsidR="00A51935">
        <w:t>ted</w:t>
      </w:r>
      <w:r w:rsidR="0010198D">
        <w:t xml:space="preserve"> </w:t>
      </w:r>
      <w:r w:rsidR="00193FA5" w:rsidRPr="00193FA5">
        <w:t>that he intended to sell the house but denie</w:t>
      </w:r>
      <w:r w:rsidR="00174560">
        <w:t xml:space="preserve">d </w:t>
      </w:r>
      <w:r w:rsidR="00193FA5" w:rsidRPr="00193FA5">
        <w:t>that h</w:t>
      </w:r>
      <w:r w:rsidR="00CE3341">
        <w:t>e threatened to do so</w:t>
      </w:r>
      <w:r w:rsidR="00193FA5" w:rsidRPr="00193FA5">
        <w:t>.</w:t>
      </w:r>
      <w:r w:rsidR="00E47D7F">
        <w:t xml:space="preserve"> </w:t>
      </w:r>
      <w:r w:rsidR="0075667C">
        <w:t>Regarding the matrimonial regime</w:t>
      </w:r>
      <w:r w:rsidR="001F2C51">
        <w:t>,</w:t>
      </w:r>
      <w:r w:rsidR="0075667C">
        <w:t xml:space="preserve"> </w:t>
      </w:r>
      <w:r w:rsidR="00AE3EF4" w:rsidRPr="00193FA5">
        <w:t xml:space="preserve">Mr Sithole </w:t>
      </w:r>
      <w:r w:rsidR="00577BFE">
        <w:t>s</w:t>
      </w:r>
      <w:r w:rsidR="0075667C">
        <w:t>ubmitted</w:t>
      </w:r>
      <w:r w:rsidR="00A45DCE">
        <w:t xml:space="preserve"> </w:t>
      </w:r>
      <w:r w:rsidR="00AE3EF4" w:rsidRPr="00193FA5">
        <w:t>that he and Mrs Sithole agreed to a marriage out of community of property while fully cognisant of its consequences and that there was never any interest by either of them to conclude</w:t>
      </w:r>
      <w:r w:rsidR="00E47D7F">
        <w:t xml:space="preserve"> a</w:t>
      </w:r>
      <w:r w:rsidR="00AE3EF4" w:rsidRPr="00193FA5">
        <w:t xml:space="preserve"> marriage in community of property</w:t>
      </w:r>
      <w:r w:rsidR="00AE3EF4">
        <w:t xml:space="preserve">.  </w:t>
      </w:r>
      <w:r w:rsidR="00AE3EF4" w:rsidRPr="00193FA5">
        <w:t xml:space="preserve">In support of this </w:t>
      </w:r>
      <w:r w:rsidR="004C538D">
        <w:t>averment</w:t>
      </w:r>
      <w:r w:rsidR="001F2C51">
        <w:t>,</w:t>
      </w:r>
      <w:r w:rsidR="00AE3EF4" w:rsidRPr="00193FA5">
        <w:t xml:space="preserve"> he attached an affidavit from a priest, Father Mdabe of the Catholic Church, stationed at Marianhill Monaster</w:t>
      </w:r>
      <w:r w:rsidR="00E0389F">
        <w:t>y Church, who was only ordained</w:t>
      </w:r>
      <w:r w:rsidR="00AE3EF4" w:rsidRPr="00193FA5">
        <w:t xml:space="preserve"> in 1989, 17 years after the</w:t>
      </w:r>
      <w:r w:rsidR="00565AB0">
        <w:t>ir</w:t>
      </w:r>
      <w:r w:rsidR="00AE3EF4" w:rsidRPr="00193FA5">
        <w:t xml:space="preserve"> marriage</w:t>
      </w:r>
      <w:r w:rsidR="004C538D">
        <w:t xml:space="preserve"> was solemnised</w:t>
      </w:r>
      <w:r w:rsidR="00AE3EF4" w:rsidRPr="00193FA5">
        <w:t xml:space="preserve">. </w:t>
      </w:r>
      <w:r w:rsidR="00AE3EF4">
        <w:t xml:space="preserve"> </w:t>
      </w:r>
      <w:r w:rsidR="00565AB0">
        <w:t>It</w:t>
      </w:r>
      <w:r w:rsidR="00B53E22">
        <w:t xml:space="preserve"> </w:t>
      </w:r>
      <w:r w:rsidR="00AE3EF4" w:rsidRPr="00193FA5">
        <w:t>sets out the procedure generally followed before marriages are concluded in th</w:t>
      </w:r>
      <w:r w:rsidR="00565AB0">
        <w:t>at</w:t>
      </w:r>
      <w:r w:rsidR="00AE3EF4" w:rsidRPr="00193FA5">
        <w:t xml:space="preserve"> church. </w:t>
      </w:r>
      <w:r w:rsidR="00AE3EF4">
        <w:t xml:space="preserve"> </w:t>
      </w:r>
    </w:p>
    <w:p w14:paraId="6CF5FB64" w14:textId="77777777" w:rsidR="00040535" w:rsidRPr="00040535" w:rsidRDefault="00040535" w:rsidP="00040535">
      <w:pPr>
        <w:pStyle w:val="JUDGMENTCONTINUED"/>
      </w:pPr>
    </w:p>
    <w:p w14:paraId="1B35B3D5" w14:textId="15030489" w:rsidR="00AE3EF4" w:rsidRDefault="00333B16" w:rsidP="00333B16">
      <w:pPr>
        <w:pStyle w:val="JUDGMENTNUMBERED"/>
        <w:numPr>
          <w:ilvl w:val="0"/>
          <w:numId w:val="0"/>
        </w:numPr>
      </w:pPr>
      <w:r>
        <w:rPr>
          <w:color w:val="000000"/>
          <w14:scene3d>
            <w14:camera w14:prst="orthographicFront"/>
            <w14:lightRig w14:rig="threePt" w14:dir="t">
              <w14:rot w14:lat="0" w14:lon="0" w14:rev="0"/>
            </w14:lightRig>
          </w14:scene3d>
        </w:rPr>
        <w:t>[10]</w:t>
      </w:r>
      <w:r>
        <w:rPr>
          <w:color w:val="000000"/>
          <w14:scene3d>
            <w14:camera w14:prst="orthographicFront"/>
            <w14:lightRig w14:rig="threePt" w14:dir="t">
              <w14:rot w14:lat="0" w14:lon="0" w14:rev="0"/>
            </w14:lightRig>
          </w14:scene3d>
        </w:rPr>
        <w:tab/>
      </w:r>
      <w:r w:rsidR="00AE3EF4" w:rsidRPr="00193FA5">
        <w:t xml:space="preserve">Apart from the fact that the affidavit does not deal with </w:t>
      </w:r>
      <w:r w:rsidR="00AE3EF4">
        <w:t>the procedure</w:t>
      </w:r>
      <w:r w:rsidR="00AE3EF4" w:rsidRPr="00193FA5">
        <w:t xml:space="preserve"> that was followed 17 years </w:t>
      </w:r>
      <w:r w:rsidR="004C538D">
        <w:t>previously</w:t>
      </w:r>
      <w:r w:rsidR="00AE3EF4" w:rsidRPr="00193FA5">
        <w:t xml:space="preserve"> when </w:t>
      </w:r>
      <w:r w:rsidR="00027C65">
        <w:t>Mr and Mrs Sithole</w:t>
      </w:r>
      <w:r w:rsidR="00AE3EF4" w:rsidRPr="00193FA5">
        <w:t xml:space="preserve"> got married, the contents of the affidavit are irrelevant to whether the provisions of </w:t>
      </w:r>
      <w:r w:rsidR="00AE3EF4">
        <w:t>section </w:t>
      </w:r>
      <w:r w:rsidR="00AE3EF4" w:rsidRPr="00193FA5">
        <w:t xml:space="preserve">21(2)(a) of the MPA </w:t>
      </w:r>
      <w:r w:rsidR="004C538D">
        <w:t>are</w:t>
      </w:r>
      <w:r w:rsidR="00AE3EF4" w:rsidRPr="00193FA5">
        <w:t xml:space="preserve"> </w:t>
      </w:r>
      <w:r w:rsidR="00CE3341">
        <w:t>consistent with the Constitution</w:t>
      </w:r>
      <w:r w:rsidR="00AE3EF4">
        <w:t>.</w:t>
      </w:r>
      <w:r w:rsidR="00532EDA">
        <w:t xml:space="preserve"> </w:t>
      </w:r>
      <w:r w:rsidR="001F2C51">
        <w:t xml:space="preserve"> </w:t>
      </w:r>
      <w:r w:rsidR="003449FD">
        <w:t>W</w:t>
      </w:r>
      <w:r w:rsidR="00532EDA">
        <w:t xml:space="preserve">hether </w:t>
      </w:r>
      <w:r w:rsidR="003449FD">
        <w:t>they</w:t>
      </w:r>
      <w:r w:rsidR="00532EDA">
        <w:t xml:space="preserve"> deliberately elected to marry out of community of property is also not before this Court.</w:t>
      </w:r>
    </w:p>
    <w:p w14:paraId="47F99A0B" w14:textId="11B4B3B3" w:rsidR="00193FA5" w:rsidRDefault="00193FA5" w:rsidP="00193FA5">
      <w:pPr>
        <w:pStyle w:val="JUDGMENTCONTINUED"/>
      </w:pPr>
    </w:p>
    <w:p w14:paraId="241E7F16" w14:textId="6842EA58" w:rsidR="00193FA5" w:rsidRPr="00193FA5" w:rsidRDefault="00E64338" w:rsidP="00193FA5">
      <w:pPr>
        <w:pStyle w:val="HEADING"/>
      </w:pPr>
      <w:r>
        <w:t>I</w:t>
      </w:r>
      <w:r w:rsidR="00193FA5">
        <w:t>ssues</w:t>
      </w:r>
    </w:p>
    <w:p w14:paraId="1C0F0F40" w14:textId="0912102B" w:rsidR="00193FA5" w:rsidRDefault="00333B16" w:rsidP="00333B16">
      <w:pPr>
        <w:pStyle w:val="JUDGMENTNUMBERED"/>
        <w:numPr>
          <w:ilvl w:val="0"/>
          <w:numId w:val="0"/>
        </w:numPr>
      </w:pPr>
      <w:r>
        <w:rPr>
          <w:color w:val="000000"/>
          <w14:scene3d>
            <w14:camera w14:prst="orthographicFront"/>
            <w14:lightRig w14:rig="threePt" w14:dir="t">
              <w14:rot w14:lat="0" w14:lon="0" w14:rev="0"/>
            </w14:lightRig>
          </w14:scene3d>
        </w:rPr>
        <w:t>[11]</w:t>
      </w:r>
      <w:r>
        <w:rPr>
          <w:color w:val="000000"/>
          <w14:scene3d>
            <w14:camera w14:prst="orthographicFront"/>
            <w14:lightRig w14:rig="threePt" w14:dir="t">
              <w14:rot w14:lat="0" w14:lon="0" w14:rev="0"/>
            </w14:lightRig>
          </w14:scene3d>
        </w:rPr>
        <w:tab/>
      </w:r>
      <w:r w:rsidR="00193FA5" w:rsidRPr="00193FA5">
        <w:t xml:space="preserve">The core issue </w:t>
      </w:r>
      <w:r w:rsidR="00A45DCE">
        <w:t xml:space="preserve">for determination </w:t>
      </w:r>
      <w:r w:rsidR="00193FA5" w:rsidRPr="00193FA5">
        <w:t>is whether the order of constitutional invalidity made by the High Court should be confirmed.</w:t>
      </w:r>
      <w:r w:rsidR="00E0389F">
        <w:rPr>
          <w:rStyle w:val="FootnoteReference"/>
        </w:rPr>
        <w:footnoteReference w:id="9"/>
      </w:r>
      <w:r w:rsidR="00856502">
        <w:t xml:space="preserve"> </w:t>
      </w:r>
      <w:r w:rsidR="00193FA5" w:rsidRPr="00193FA5">
        <w:t xml:space="preserve"> The outcome of that inquiry is predicated on whether the impugned provisions discriminate unfairly against </w:t>
      </w:r>
      <w:r w:rsidR="00C55B5C">
        <w:t>Black</w:t>
      </w:r>
      <w:r w:rsidR="00193FA5" w:rsidRPr="00193FA5">
        <w:t xml:space="preserve"> couples whose marriages were concluded in terms of the BAA, including the applicant an</w:t>
      </w:r>
      <w:r w:rsidR="008365D9">
        <w:t>d other women similarly placed</w:t>
      </w:r>
      <w:r w:rsidR="00193FA5" w:rsidRPr="00193FA5">
        <w:t xml:space="preserve">. </w:t>
      </w:r>
      <w:r w:rsidR="00DC5588">
        <w:t xml:space="preserve"> </w:t>
      </w:r>
      <w:r w:rsidR="00193FA5" w:rsidRPr="00193FA5">
        <w:t xml:space="preserve">If they do, the next question would be whether there is </w:t>
      </w:r>
      <w:r w:rsidR="001F2C51">
        <w:t xml:space="preserve">a </w:t>
      </w:r>
      <w:r w:rsidR="00193FA5" w:rsidRPr="00193FA5">
        <w:t xml:space="preserve">justification that saves the </w:t>
      </w:r>
      <w:r w:rsidR="002A0700">
        <w:t>challenged</w:t>
      </w:r>
      <w:r w:rsidR="00272C24">
        <w:t xml:space="preserve"> </w:t>
      </w:r>
      <w:r w:rsidR="00193FA5" w:rsidRPr="00193FA5">
        <w:t xml:space="preserve">provisions from constitutional inconsistency. </w:t>
      </w:r>
      <w:r w:rsidR="00DC5588">
        <w:t xml:space="preserve"> </w:t>
      </w:r>
      <w:r w:rsidR="00193FA5" w:rsidRPr="00193FA5">
        <w:lastRenderedPageBreak/>
        <w:t xml:space="preserve">Lastly, if unfair discrimination is found and </w:t>
      </w:r>
      <w:r w:rsidR="000E3FDA">
        <w:t xml:space="preserve">it </w:t>
      </w:r>
      <w:r w:rsidR="00193FA5" w:rsidRPr="00193FA5">
        <w:t xml:space="preserve">cannot be justified, this Court </w:t>
      </w:r>
      <w:r w:rsidR="00272C24">
        <w:t xml:space="preserve">must </w:t>
      </w:r>
      <w:r w:rsidR="00272C24" w:rsidRPr="002A0700">
        <w:t>confirm</w:t>
      </w:r>
      <w:r w:rsidR="00272C24" w:rsidRPr="00E0389F">
        <w:t xml:space="preserve"> </w:t>
      </w:r>
      <w:r w:rsidR="00272C24" w:rsidRPr="002A0700">
        <w:t>the</w:t>
      </w:r>
      <w:r w:rsidR="00193FA5" w:rsidRPr="00193FA5">
        <w:t xml:space="preserve"> order of constitutional invalidity </w:t>
      </w:r>
      <w:r w:rsidR="00E64338">
        <w:t>and make</w:t>
      </w:r>
      <w:r w:rsidR="00272C24">
        <w:t xml:space="preserve"> an</w:t>
      </w:r>
      <w:r w:rsidR="00193FA5" w:rsidRPr="00193FA5">
        <w:t xml:space="preserve"> order that </w:t>
      </w:r>
      <w:r w:rsidR="000E3FDA">
        <w:t>is</w:t>
      </w:r>
      <w:r w:rsidR="00193FA5" w:rsidRPr="00193FA5">
        <w:t xml:space="preserve"> just and equitable</w:t>
      </w:r>
      <w:r w:rsidR="00BE1DAB">
        <w:t>.</w:t>
      </w:r>
      <w:r w:rsidR="00E0389F">
        <w:rPr>
          <w:rStyle w:val="FootnoteReference"/>
        </w:rPr>
        <w:footnoteReference w:id="10"/>
      </w:r>
    </w:p>
    <w:p w14:paraId="748CD3D3" w14:textId="77777777" w:rsidR="00C661E0" w:rsidRDefault="00C661E0" w:rsidP="00040535">
      <w:pPr>
        <w:pStyle w:val="JUDGMENTCONTINUED"/>
      </w:pPr>
    </w:p>
    <w:p w14:paraId="4FB8F0B6" w14:textId="46BAA506" w:rsidR="00EF6D86" w:rsidRPr="00EF6D86" w:rsidRDefault="00E64338" w:rsidP="00193FA5">
      <w:pPr>
        <w:pStyle w:val="HEADING"/>
      </w:pPr>
      <w:r>
        <w:t>S</w:t>
      </w:r>
      <w:r w:rsidR="00193FA5">
        <w:t>tatutory scheme of Marriages</w:t>
      </w:r>
      <w:r>
        <w:t xml:space="preserve"> concerning Black persons</w:t>
      </w:r>
    </w:p>
    <w:p w14:paraId="520977C5" w14:textId="37711A7D" w:rsidR="00603230" w:rsidRDefault="00333B16" w:rsidP="00333B16">
      <w:pPr>
        <w:pStyle w:val="JUDGMENTNUMBERED"/>
        <w:numPr>
          <w:ilvl w:val="0"/>
          <w:numId w:val="0"/>
        </w:numPr>
      </w:pPr>
      <w:r>
        <w:rPr>
          <w:color w:val="000000"/>
          <w14:scene3d>
            <w14:camera w14:prst="orthographicFront"/>
            <w14:lightRig w14:rig="threePt" w14:dir="t">
              <w14:rot w14:lat="0" w14:lon="0" w14:rev="0"/>
            </w14:lightRig>
          </w14:scene3d>
        </w:rPr>
        <w:t>[12]</w:t>
      </w:r>
      <w:r>
        <w:rPr>
          <w:color w:val="000000"/>
          <w14:scene3d>
            <w14:camera w14:prst="orthographicFront"/>
            <w14:lightRig w14:rig="threePt" w14:dir="t">
              <w14:rot w14:lat="0" w14:lon="0" w14:rev="0"/>
            </w14:lightRig>
          </w14:scene3d>
        </w:rPr>
        <w:tab/>
      </w:r>
      <w:r w:rsidR="00193FA5" w:rsidRPr="00193FA5">
        <w:t>Section 22(6) of the BAA provided:</w:t>
      </w:r>
    </w:p>
    <w:p w14:paraId="3F086651" w14:textId="77777777" w:rsidR="00D46311" w:rsidRPr="00D46311" w:rsidRDefault="00D46311" w:rsidP="00D34AD1">
      <w:pPr>
        <w:pStyle w:val="QUOTATION"/>
        <w:ind w:left="0"/>
      </w:pPr>
    </w:p>
    <w:p w14:paraId="43AD5FD8" w14:textId="337A907F" w:rsidR="00193FA5" w:rsidRDefault="00C55B5C" w:rsidP="00193FA5">
      <w:pPr>
        <w:pStyle w:val="QUOTATION"/>
      </w:pPr>
      <w:r>
        <w:t>“A marriage between Natives</w:t>
      </w:r>
      <w:r w:rsidR="00193FA5" w:rsidRPr="00193FA5">
        <w:t xml:space="preserve">, contracted after the commencement of this Act, shall not produce the legal consequences of marriage in community of property between the spouses: Provided that in the case of a marriage contracted otherwise than during the subsistence of a customary union between the husband and any woman other than the wife it shall be competent for the intending spouses at any time within one month previous to the celebration of such marriage to declare jointly before any magistrate, </w:t>
      </w:r>
      <w:r>
        <w:t xml:space="preserve">native </w:t>
      </w:r>
      <w:r w:rsidR="00193FA5" w:rsidRPr="00193FA5">
        <w:t>Commissioner or marriage officer (who is hereby authorized to attest such declaration) that it is their intention and desire that community of property and of profit and loss shall result from their marriage, and thereupon such community shall result from their marriage except as regards any land in a location held under quitrent tenure such land shall be excluded from such community.”</w:t>
      </w:r>
    </w:p>
    <w:p w14:paraId="3664830C" w14:textId="77777777" w:rsidR="00D46311" w:rsidRPr="00D46311" w:rsidRDefault="00D46311" w:rsidP="00D46311">
      <w:pPr>
        <w:pStyle w:val="JUDGMENTCONTINUED"/>
      </w:pPr>
    </w:p>
    <w:p w14:paraId="29D5AB3B" w14:textId="2D01C1B5" w:rsidR="00193FA5" w:rsidRDefault="00333B16" w:rsidP="00333B16">
      <w:pPr>
        <w:pStyle w:val="JUDGMENTNUMBERED"/>
        <w:numPr>
          <w:ilvl w:val="0"/>
          <w:numId w:val="0"/>
        </w:numPr>
      </w:pPr>
      <w:r>
        <w:rPr>
          <w:color w:val="000000"/>
          <w14:scene3d>
            <w14:camera w14:prst="orthographicFront"/>
            <w14:lightRig w14:rig="threePt" w14:dir="t">
              <w14:rot w14:lat="0" w14:lon="0" w14:rev="0"/>
            </w14:lightRig>
          </w14:scene3d>
        </w:rPr>
        <w:t>[13]</w:t>
      </w:r>
      <w:r>
        <w:rPr>
          <w:color w:val="000000"/>
          <w14:scene3d>
            <w14:camera w14:prst="orthographicFront"/>
            <w14:lightRig w14:rig="threePt" w14:dir="t">
              <w14:rot w14:lat="0" w14:lon="0" w14:rev="0"/>
            </w14:lightRig>
          </w14:scene3d>
        </w:rPr>
        <w:tab/>
      </w:r>
      <w:r w:rsidR="00193FA5" w:rsidRPr="00193FA5">
        <w:t xml:space="preserve">Section 22(6) of the BAA created the default position that </w:t>
      </w:r>
      <w:r w:rsidR="00C55B5C">
        <w:t>Black</w:t>
      </w:r>
      <w:r w:rsidR="00193FA5" w:rsidRPr="00193FA5">
        <w:t xml:space="preserve"> couples were married out of community of property. </w:t>
      </w:r>
      <w:r w:rsidR="00DC5588">
        <w:t xml:space="preserve"> </w:t>
      </w:r>
      <w:r w:rsidR="00193FA5" w:rsidRPr="00193FA5">
        <w:t>They were permitted to marry in community of property if</w:t>
      </w:r>
      <w:r w:rsidR="009210DA">
        <w:t>,</w:t>
      </w:r>
      <w:r w:rsidR="00193FA5" w:rsidRPr="00193FA5">
        <w:t xml:space="preserve"> in the month prior </w:t>
      </w:r>
      <w:r w:rsidR="00272C24" w:rsidRPr="002A0700">
        <w:t>to</w:t>
      </w:r>
      <w:r w:rsidR="00272C24">
        <w:t xml:space="preserve"> </w:t>
      </w:r>
      <w:r w:rsidR="00193FA5" w:rsidRPr="00193FA5">
        <w:t>the</w:t>
      </w:r>
      <w:r w:rsidR="00272C24" w:rsidRPr="002A0700">
        <w:t>ir</w:t>
      </w:r>
      <w:r w:rsidR="00193FA5" w:rsidRPr="00193FA5">
        <w:t xml:space="preserve"> marriage, they jointly declared to a </w:t>
      </w:r>
      <w:r w:rsidR="0044618B">
        <w:t>M</w:t>
      </w:r>
      <w:r w:rsidR="00193FA5" w:rsidRPr="00193FA5">
        <w:t xml:space="preserve">agistrate, commissioner or marriage officer that they intended their marriage to be in community of property and of profit and loss. </w:t>
      </w:r>
      <w:r w:rsidR="007251E1">
        <w:t xml:space="preserve"> </w:t>
      </w:r>
      <w:r w:rsidR="00193FA5" w:rsidRPr="00193FA5">
        <w:t xml:space="preserve">That could only occur if the marriage was not contracted during the subsistence of a customary union between the husband and any woman other than </w:t>
      </w:r>
      <w:r w:rsidR="00577BFE">
        <w:t>his</w:t>
      </w:r>
      <w:r w:rsidR="00193FA5" w:rsidRPr="00193FA5">
        <w:t xml:space="preserve"> wife. </w:t>
      </w:r>
      <w:r w:rsidR="007251E1">
        <w:t xml:space="preserve"> </w:t>
      </w:r>
      <w:r w:rsidR="004B32D0">
        <w:t>As the text indicates, s</w:t>
      </w:r>
      <w:r w:rsidR="00193FA5" w:rsidRPr="00193FA5">
        <w:t xml:space="preserve">ection 22(6) </w:t>
      </w:r>
      <w:r w:rsidR="004B32D0">
        <w:t xml:space="preserve">of the BAA only governed </w:t>
      </w:r>
      <w:r w:rsidR="00310A75">
        <w:t>ma</w:t>
      </w:r>
      <w:r w:rsidR="00F95327">
        <w:t>r</w:t>
      </w:r>
      <w:r w:rsidR="00310A75">
        <w:t xml:space="preserve">riages of </w:t>
      </w:r>
      <w:r w:rsidR="00C55B5C">
        <w:t>Black</w:t>
      </w:r>
      <w:r w:rsidR="00310A75">
        <w:t xml:space="preserve"> people </w:t>
      </w:r>
      <w:r w:rsidR="008365D9">
        <w:t xml:space="preserve">and not </w:t>
      </w:r>
      <w:r w:rsidR="004B32D0">
        <w:t>marri</w:t>
      </w:r>
      <w:r w:rsidR="004F16EF">
        <w:t>a</w:t>
      </w:r>
      <w:r w:rsidR="004B32D0">
        <w:t>ges</w:t>
      </w:r>
      <w:r w:rsidR="00193FA5" w:rsidRPr="00193FA5">
        <w:t xml:space="preserve"> of other races</w:t>
      </w:r>
      <w:r w:rsidR="00193FA5">
        <w:t>.</w:t>
      </w:r>
    </w:p>
    <w:p w14:paraId="43AEF689" w14:textId="08B0580A" w:rsidR="00193FA5" w:rsidRDefault="00193FA5" w:rsidP="00193FA5">
      <w:pPr>
        <w:pStyle w:val="JUDGMENTCONTINUED"/>
      </w:pPr>
    </w:p>
    <w:p w14:paraId="5E4E0561" w14:textId="7D0B13C1" w:rsidR="0060308D" w:rsidRDefault="00333B16" w:rsidP="00333B16">
      <w:pPr>
        <w:pStyle w:val="JUDGMENTNUMBERED"/>
        <w:numPr>
          <w:ilvl w:val="0"/>
          <w:numId w:val="0"/>
        </w:numPr>
      </w:pPr>
      <w:r>
        <w:rPr>
          <w:color w:val="000000"/>
          <w14:scene3d>
            <w14:camera w14:prst="orthographicFront"/>
            <w14:lightRig w14:rig="threePt" w14:dir="t">
              <w14:rot w14:lat="0" w14:lon="0" w14:rev="0"/>
            </w14:lightRig>
          </w14:scene3d>
        </w:rPr>
        <w:t>[14]</w:t>
      </w:r>
      <w:r>
        <w:rPr>
          <w:color w:val="000000"/>
          <w14:scene3d>
            <w14:camera w14:prst="orthographicFront"/>
            <w14:lightRig w14:rig="threePt" w14:dir="t">
              <w14:rot w14:lat="0" w14:lon="0" w14:rev="0"/>
            </w14:lightRig>
          </w14:scene3d>
        </w:rPr>
        <w:tab/>
      </w:r>
      <w:r w:rsidR="00193FA5" w:rsidRPr="00193FA5">
        <w:t xml:space="preserve">Section 22(6) of the </w:t>
      </w:r>
      <w:r w:rsidR="00143692">
        <w:t>BAA was repealed by the Amendment</w:t>
      </w:r>
      <w:r w:rsidR="00193FA5" w:rsidRPr="00193FA5">
        <w:t xml:space="preserve"> Act. </w:t>
      </w:r>
      <w:r w:rsidR="007251E1">
        <w:t xml:space="preserve"> </w:t>
      </w:r>
      <w:r w:rsidR="00193FA5" w:rsidRPr="00193FA5">
        <w:t xml:space="preserve">The </w:t>
      </w:r>
      <w:r w:rsidR="00143692">
        <w:t>Amendment</w:t>
      </w:r>
      <w:r w:rsidR="00193FA5" w:rsidRPr="00193FA5">
        <w:t xml:space="preserve"> Act deleted section 22(6) of t</w:t>
      </w:r>
      <w:r w:rsidR="00143692">
        <w:t>he BAA and inserted sections 21</w:t>
      </w:r>
      <w:r w:rsidR="00193FA5" w:rsidRPr="00193FA5">
        <w:t>(2)(a) and</w:t>
      </w:r>
      <w:r w:rsidR="00062A3C">
        <w:t> </w:t>
      </w:r>
      <w:r w:rsidR="00193FA5" w:rsidRPr="00193FA5">
        <w:t>25(3) into the MPA</w:t>
      </w:r>
      <w:r w:rsidR="002029C9">
        <w:t xml:space="preserve">. </w:t>
      </w:r>
      <w:r w:rsidR="007251E1">
        <w:t xml:space="preserve"> </w:t>
      </w:r>
      <w:r w:rsidR="002029C9">
        <w:t>The effect of the repeal</w:t>
      </w:r>
      <w:r w:rsidR="00C80AFB">
        <w:t xml:space="preserve"> for </w:t>
      </w:r>
      <w:r w:rsidR="00C55B5C">
        <w:t>Black</w:t>
      </w:r>
      <w:r w:rsidR="00C80AFB">
        <w:t xml:space="preserve"> couples</w:t>
      </w:r>
      <w:r w:rsidR="002029C9">
        <w:t xml:space="preserve"> was</w:t>
      </w:r>
      <w:r w:rsidR="00C80AFB">
        <w:t xml:space="preserve"> that those who </w:t>
      </w:r>
      <w:r w:rsidR="00C80AFB">
        <w:lastRenderedPageBreak/>
        <w:t xml:space="preserve">were </w:t>
      </w:r>
      <w:r w:rsidR="00193FA5" w:rsidRPr="00193FA5">
        <w:t>married out of community of property under section 22(6) of the BAA</w:t>
      </w:r>
      <w:r w:rsidR="00577BFE">
        <w:t xml:space="preserve"> </w:t>
      </w:r>
      <w:r w:rsidR="00577BFE" w:rsidRPr="004849E9">
        <w:t>had</w:t>
      </w:r>
      <w:r w:rsidR="00193FA5" w:rsidRPr="00193FA5">
        <w:t xml:space="preserve"> the opportunity to change their matrimonial regime</w:t>
      </w:r>
      <w:r w:rsidR="00C80AFB">
        <w:t>s</w:t>
      </w:r>
      <w:r w:rsidR="00193FA5" w:rsidRPr="00193FA5">
        <w:t xml:space="preserve"> within two years from</w:t>
      </w:r>
      <w:r w:rsidR="00062A3C">
        <w:t> </w:t>
      </w:r>
      <w:r w:rsidR="00193FA5" w:rsidRPr="00193FA5">
        <w:t>2</w:t>
      </w:r>
      <w:r w:rsidR="00685BE0">
        <w:t> </w:t>
      </w:r>
      <w:r w:rsidR="00193FA5" w:rsidRPr="00193FA5">
        <w:t>December</w:t>
      </w:r>
      <w:r w:rsidR="00685BE0">
        <w:t> </w:t>
      </w:r>
      <w:r w:rsidR="00193FA5" w:rsidRPr="00193FA5">
        <w:t xml:space="preserve"> 1988.</w:t>
      </w:r>
      <w:r w:rsidR="007251E1">
        <w:t xml:space="preserve"> </w:t>
      </w:r>
      <w:r w:rsidR="00193FA5" w:rsidRPr="00193FA5">
        <w:t xml:space="preserve"> Couples were required to do so by executing and registering a notarial cont</w:t>
      </w:r>
      <w:r w:rsidR="00272C24">
        <w:t xml:space="preserve">ract to that effect. </w:t>
      </w:r>
      <w:r w:rsidR="007251E1">
        <w:t xml:space="preserve"> </w:t>
      </w:r>
      <w:r w:rsidR="00272C24">
        <w:t>Section</w:t>
      </w:r>
      <w:r w:rsidR="007251E1">
        <w:t> </w:t>
      </w:r>
      <w:r w:rsidR="00272C24">
        <w:t>21</w:t>
      </w:r>
      <w:r w:rsidR="00193FA5" w:rsidRPr="00193FA5">
        <w:t>(2)(a) of the MPA permitted couples to make the out of community accrual system provided for in Chapter I of the MPA applicable to their marriages</w:t>
      </w:r>
      <w:r w:rsidR="0060308D">
        <w:t xml:space="preserve">. </w:t>
      </w:r>
      <w:r w:rsidR="007251E1">
        <w:t xml:space="preserve"> </w:t>
      </w:r>
      <w:r w:rsidR="0060308D" w:rsidRPr="0060308D">
        <w:t>It provides:</w:t>
      </w:r>
    </w:p>
    <w:p w14:paraId="32F8A9AA" w14:textId="77777777" w:rsidR="00040535" w:rsidRPr="00040535" w:rsidRDefault="00040535" w:rsidP="00040535">
      <w:pPr>
        <w:pStyle w:val="QUOTATION"/>
      </w:pPr>
    </w:p>
    <w:p w14:paraId="30529C0E" w14:textId="3E5B9975" w:rsidR="0060308D" w:rsidRDefault="0060308D" w:rsidP="00DF6F61">
      <w:pPr>
        <w:pStyle w:val="QUOTATION"/>
        <w:ind w:left="1440" w:hanging="720"/>
      </w:pPr>
      <w:r w:rsidRPr="0060308D">
        <w:t>“</w:t>
      </w:r>
      <w:r w:rsidR="00F06658">
        <w:t xml:space="preserve">(a)   </w:t>
      </w:r>
      <w:r w:rsidRPr="0060308D">
        <w:t xml:space="preserve">Notwithstanding anything to the contrary in any law or the common law contained, but subject to the provisions of paragraphs (b) and (c), the spouses to a marriage out of community of property </w:t>
      </w:r>
      <w:r w:rsidR="0093171D">
        <w:t>–</w:t>
      </w:r>
    </w:p>
    <w:p w14:paraId="3007CDCC" w14:textId="72925B95" w:rsidR="0093171D" w:rsidRPr="0093171D" w:rsidRDefault="0093171D" w:rsidP="00886CD2">
      <w:pPr>
        <w:pStyle w:val="QUOTATION"/>
      </w:pPr>
      <w:r>
        <w:tab/>
        <w:t>. . .</w:t>
      </w:r>
      <w:r w:rsidR="00886CD2">
        <w:t xml:space="preserve">                                 </w:t>
      </w:r>
    </w:p>
    <w:p w14:paraId="02737C63" w14:textId="0A8DE9F7" w:rsidR="00070370" w:rsidRDefault="00F06658" w:rsidP="00070370">
      <w:pPr>
        <w:pStyle w:val="QUOTATION"/>
        <w:ind w:left="2160" w:hanging="720"/>
      </w:pPr>
      <w:r>
        <w:t xml:space="preserve">(ii)        </w:t>
      </w:r>
      <w:r w:rsidR="0060308D" w:rsidRPr="00D31608">
        <w:t xml:space="preserve">entered into before the commencement of the Marriage and Matrimonial Property Law Amendment Act, 1988, in terms of section </w:t>
      </w:r>
      <w:r>
        <w:t>  </w:t>
      </w:r>
      <w:r w:rsidR="0060308D" w:rsidRPr="00D31608">
        <w:t>22 (6) of the Black Administration Act, 1927 (Act No. 38 of 1927), as it was in force immediately before its repeal by the said Marriage and Matrimonial Pr</w:t>
      </w:r>
      <w:r>
        <w:t>operty Law Amendment Act, 1988,</w:t>
      </w:r>
    </w:p>
    <w:p w14:paraId="34CC8DD0" w14:textId="77777777" w:rsidR="00070370" w:rsidRDefault="00070370" w:rsidP="00070370">
      <w:pPr>
        <w:pStyle w:val="QUOTATION"/>
        <w:ind w:left="2160" w:hanging="720"/>
      </w:pPr>
    </w:p>
    <w:p w14:paraId="35D5ED7A" w14:textId="3D0B173D" w:rsidR="0060308D" w:rsidRDefault="0060308D" w:rsidP="00070370">
      <w:pPr>
        <w:pStyle w:val="QUOTATION"/>
        <w:ind w:left="2160"/>
      </w:pPr>
      <w:r w:rsidRPr="00574477">
        <w:t>may cause the provisions of Chapter I of this A</w:t>
      </w:r>
      <w:r w:rsidR="00DF6F61" w:rsidRPr="00574477">
        <w:t>ct to apply in respect of their</w:t>
      </w:r>
      <w:r w:rsidR="00070370" w:rsidRPr="00574477">
        <w:t xml:space="preserve"> </w:t>
      </w:r>
      <w:r w:rsidRPr="00574477">
        <w:t xml:space="preserve">marriage by the execution and registration in a </w:t>
      </w:r>
      <w:r w:rsidR="00DF6F61" w:rsidRPr="00574477">
        <w:t>registry within two years after</w:t>
      </w:r>
      <w:r w:rsidR="00070370" w:rsidRPr="00574477">
        <w:t xml:space="preserve"> </w:t>
      </w:r>
      <w:r w:rsidRPr="00574477">
        <w:t>the commencement of this Act or, in the cas</w:t>
      </w:r>
      <w:r w:rsidR="00DF6F61" w:rsidRPr="00574477">
        <w:t>e of a marriage contemplated in</w:t>
      </w:r>
      <w:r w:rsidR="00070370" w:rsidRPr="00574477">
        <w:t xml:space="preserve"> </w:t>
      </w:r>
      <w:r w:rsidRPr="00574477">
        <w:t>subparagraph (ii) of this paragraph, within two years after the commencement of the said Marriage and Matrimonial Property Law Amendment Act, 1988, as the case maybe, or such longer period, but not less than six months, determined by the Minister by notice in the Gazette, of a notarial contract to that effect.”</w:t>
      </w:r>
    </w:p>
    <w:p w14:paraId="35DA0AE9" w14:textId="151C410D" w:rsidR="0060308D" w:rsidRDefault="0060308D" w:rsidP="0060308D">
      <w:pPr>
        <w:pStyle w:val="JUDGMENTCONTINUED"/>
      </w:pPr>
    </w:p>
    <w:p w14:paraId="26441B5C" w14:textId="0A33B749" w:rsidR="0060308D" w:rsidRDefault="00333B16" w:rsidP="00333B16">
      <w:pPr>
        <w:pStyle w:val="JUDGMENTNUMBERED"/>
        <w:numPr>
          <w:ilvl w:val="0"/>
          <w:numId w:val="0"/>
        </w:numPr>
      </w:pPr>
      <w:r>
        <w:rPr>
          <w:color w:val="000000"/>
          <w14:scene3d>
            <w14:camera w14:prst="orthographicFront"/>
            <w14:lightRig w14:rig="threePt" w14:dir="t">
              <w14:rot w14:lat="0" w14:lon="0" w14:rev="0"/>
            </w14:lightRig>
          </w14:scene3d>
        </w:rPr>
        <w:t>[15]</w:t>
      </w:r>
      <w:r>
        <w:rPr>
          <w:color w:val="000000"/>
          <w14:scene3d>
            <w14:camera w14:prst="orthographicFront"/>
            <w14:lightRig w14:rig="threePt" w14:dir="t">
              <w14:rot w14:lat="0" w14:lon="0" w14:rev="0"/>
            </w14:lightRig>
          </w14:scene3d>
        </w:rPr>
        <w:tab/>
      </w:r>
      <w:r w:rsidR="0060308D" w:rsidRPr="0060308D">
        <w:t>Section 25(3)(b) of the MPA permitted couples married out of community of property under s</w:t>
      </w:r>
      <w:r w:rsidR="008763EA">
        <w:t>ection</w:t>
      </w:r>
      <w:r w:rsidR="0060308D" w:rsidRPr="0060308D">
        <w:t xml:space="preserve"> 22(6) of the BAA, where the wife was subject to the marital power of their husbands, to convert their marriage to a marriage in community of property.</w:t>
      </w:r>
      <w:r w:rsidR="007251E1">
        <w:t xml:space="preserve"> </w:t>
      </w:r>
      <w:r w:rsidR="0060308D" w:rsidRPr="0060308D">
        <w:t xml:space="preserve"> Sect</w:t>
      </w:r>
      <w:r w:rsidR="008365D9">
        <w:t>ion 25(3)(b) of the MPA provided</w:t>
      </w:r>
      <w:r w:rsidR="0060308D">
        <w:t>:</w:t>
      </w:r>
    </w:p>
    <w:p w14:paraId="61F78E75" w14:textId="50752782" w:rsidR="0060308D" w:rsidRDefault="0060308D" w:rsidP="00D34AD1">
      <w:pPr>
        <w:pStyle w:val="QUOTATION"/>
        <w:ind w:left="0"/>
      </w:pPr>
    </w:p>
    <w:p w14:paraId="7E56C06E" w14:textId="53EF6511" w:rsidR="0060308D" w:rsidRPr="009F27E4" w:rsidRDefault="0060308D" w:rsidP="0093171D">
      <w:pPr>
        <w:pStyle w:val="QUOTATION"/>
        <w:ind w:left="1440" w:hanging="720"/>
      </w:pPr>
      <w:r w:rsidRPr="0060308D">
        <w:rPr>
          <w:sz w:val="20"/>
          <w:szCs w:val="20"/>
        </w:rPr>
        <w:t>“(3)</w:t>
      </w:r>
      <w:r w:rsidR="0093171D">
        <w:rPr>
          <w:sz w:val="20"/>
          <w:szCs w:val="20"/>
        </w:rPr>
        <w:tab/>
      </w:r>
      <w:r w:rsidRPr="009F27E4">
        <w:t>Notwithstanding anything to the contrary in any law or the common law contained, the spouses to a marriage entered into before the commencement of the Marriage and Matrimonial</w:t>
      </w:r>
      <w:r w:rsidR="009D0CCB" w:rsidRPr="009F27E4">
        <w:t xml:space="preserve"> </w:t>
      </w:r>
      <w:r w:rsidRPr="009F27E4">
        <w:t xml:space="preserve">Property Law Amendment Act, 1988, and in </w:t>
      </w:r>
      <w:r w:rsidRPr="009F27E4">
        <w:lastRenderedPageBreak/>
        <w:t xml:space="preserve">respect of which the matrimonial property system was governed by section 22 of the Black Administration Act, 1927 (Act No. 38 of 1927), may </w:t>
      </w:r>
      <w:r w:rsidR="0093171D" w:rsidRPr="009F27E4">
        <w:t>–</w:t>
      </w:r>
    </w:p>
    <w:p w14:paraId="0C8A39B0" w14:textId="366029F0" w:rsidR="0093171D" w:rsidRPr="009F27E4" w:rsidRDefault="0093171D" w:rsidP="00886CD2">
      <w:pPr>
        <w:pStyle w:val="QUOTATION"/>
      </w:pPr>
      <w:r w:rsidRPr="009F27E4">
        <w:tab/>
      </w:r>
      <w:r w:rsidRPr="009F27E4">
        <w:tab/>
        <w:t>. . .</w:t>
      </w:r>
    </w:p>
    <w:p w14:paraId="5851290A" w14:textId="4FFD4266" w:rsidR="009F27E4" w:rsidRDefault="0060308D" w:rsidP="009F27E4">
      <w:pPr>
        <w:pStyle w:val="QUOTATION"/>
        <w:ind w:left="2160" w:hanging="720"/>
      </w:pPr>
      <w:r w:rsidRPr="009F27E4">
        <w:t>(b)</w:t>
      </w:r>
      <w:r w:rsidR="0093171D" w:rsidRPr="009F27E4">
        <w:tab/>
      </w:r>
      <w:r w:rsidRPr="009F27E4">
        <w:t xml:space="preserve">if they are married out of community of property and the wife is subject to the marital power of the husband, cause the provisions of Chapter II of this </w:t>
      </w:r>
      <w:r w:rsidR="009F27E4">
        <w:t>Act to apply to their marriage,</w:t>
      </w:r>
    </w:p>
    <w:p w14:paraId="41E912DB" w14:textId="2B926776" w:rsidR="009F27E4" w:rsidRPr="009F27E4" w:rsidRDefault="00F06658" w:rsidP="00F06658">
      <w:pPr>
        <w:pStyle w:val="QUOTATION"/>
      </w:pPr>
      <w:r>
        <w:tab/>
      </w:r>
      <w:r>
        <w:tab/>
      </w:r>
    </w:p>
    <w:p w14:paraId="39798696" w14:textId="2C1DC385" w:rsidR="0060308D" w:rsidRPr="009F27E4" w:rsidRDefault="0060308D" w:rsidP="009F27E4">
      <w:pPr>
        <w:pStyle w:val="QUOTATION"/>
        <w:ind w:left="2160"/>
      </w:pPr>
      <w:r w:rsidRPr="009F27E4">
        <w:t xml:space="preserve">by the execution and registration in a registry </w:t>
      </w:r>
      <w:r w:rsidR="00DF6F61" w:rsidRPr="009F27E4">
        <w:t>within two years after the said</w:t>
      </w:r>
      <w:r w:rsidR="009F27E4">
        <w:t xml:space="preserve"> </w:t>
      </w:r>
      <w:r w:rsidRPr="009F27E4">
        <w:t>commencement or such longer period, but not less tha</w:t>
      </w:r>
      <w:r w:rsidR="00DF6F61" w:rsidRPr="009F27E4">
        <w:t>n six months, determined by the</w:t>
      </w:r>
      <w:r w:rsidR="009F27E4">
        <w:t xml:space="preserve"> </w:t>
      </w:r>
      <w:r w:rsidRPr="009F27E4">
        <w:t>Minister by notice in a Gazette, of a notarial contract to</w:t>
      </w:r>
      <w:r w:rsidR="00DF6F61" w:rsidRPr="009F27E4">
        <w:t xml:space="preserve"> the effect, and in such a case</w:t>
      </w:r>
      <w:r w:rsidR="009F27E4">
        <w:t xml:space="preserve"> </w:t>
      </w:r>
      <w:r w:rsidRPr="009F27E4">
        <w:t>those provisions apply from the date on which the contract was so registered.”</w:t>
      </w:r>
    </w:p>
    <w:p w14:paraId="355FB139" w14:textId="30745577" w:rsidR="0060308D" w:rsidRDefault="0060308D" w:rsidP="0060308D">
      <w:pPr>
        <w:pStyle w:val="JUDGMENTCONTINUED"/>
      </w:pPr>
    </w:p>
    <w:p w14:paraId="16A3C6ED" w14:textId="6BCBF2EF" w:rsidR="00781E17" w:rsidRPr="00685BE0" w:rsidRDefault="00333B16" w:rsidP="00333B16">
      <w:pPr>
        <w:pStyle w:val="JUDGMENTNUMBERED"/>
        <w:numPr>
          <w:ilvl w:val="0"/>
          <w:numId w:val="0"/>
        </w:numPr>
      </w:pPr>
      <w:r w:rsidRPr="00685BE0">
        <w:rPr>
          <w:color w:val="000000"/>
          <w14:scene3d>
            <w14:camera w14:prst="orthographicFront"/>
            <w14:lightRig w14:rig="threePt" w14:dir="t">
              <w14:rot w14:lat="0" w14:lon="0" w14:rev="0"/>
            </w14:lightRig>
          </w14:scene3d>
        </w:rPr>
        <w:t>[16]</w:t>
      </w:r>
      <w:r w:rsidRPr="00685BE0">
        <w:rPr>
          <w:color w:val="000000"/>
          <w14:scene3d>
            <w14:camera w14:prst="orthographicFront"/>
            <w14:lightRig w14:rig="threePt" w14:dir="t">
              <w14:rot w14:lat="0" w14:lon="0" w14:rev="0"/>
            </w14:lightRig>
          </w14:scene3d>
        </w:rPr>
        <w:tab/>
      </w:r>
      <w:r w:rsidR="0060308D" w:rsidRPr="0060308D">
        <w:t>The marita</w:t>
      </w:r>
      <w:r w:rsidR="00E0389F">
        <w:t>l power was fully abolished by s</w:t>
      </w:r>
      <w:r w:rsidR="0060308D" w:rsidRPr="0060308D">
        <w:t xml:space="preserve">ection 11 of the MPA as amended by section 29 of the General Law </w:t>
      </w:r>
      <w:r w:rsidR="00B07C6E">
        <w:t xml:space="preserve">Fourth </w:t>
      </w:r>
      <w:r w:rsidR="0060308D" w:rsidRPr="0060308D">
        <w:t>Amendment Act</w:t>
      </w:r>
      <w:r w:rsidR="008763EA">
        <w:t>,</w:t>
      </w:r>
      <w:r w:rsidR="008763EA">
        <w:rPr>
          <w:rStyle w:val="FootnoteReference"/>
        </w:rPr>
        <w:footnoteReference w:id="11"/>
      </w:r>
      <w:r w:rsidR="0060308D" w:rsidRPr="0060308D">
        <w:t xml:space="preserve"> including in respect of marriages entered into before the commencement of the MPA.  Prior to the amendment, section</w:t>
      </w:r>
      <w:r w:rsidR="008763EA">
        <w:t> </w:t>
      </w:r>
      <w:r w:rsidR="0060308D" w:rsidRPr="0060308D">
        <w:t xml:space="preserve">11 </w:t>
      </w:r>
      <w:r w:rsidR="008763EA" w:rsidRPr="002A0700">
        <w:t>of the MPA</w:t>
      </w:r>
      <w:r w:rsidR="008763EA">
        <w:t xml:space="preserve"> </w:t>
      </w:r>
      <w:r w:rsidR="00595A05">
        <w:t xml:space="preserve">partially abolished </w:t>
      </w:r>
      <w:r w:rsidR="0060308D" w:rsidRPr="0060308D">
        <w:t>the marital power.</w:t>
      </w:r>
      <w:r w:rsidR="007251E1">
        <w:t xml:space="preserve"> </w:t>
      </w:r>
      <w:r w:rsidR="00781E17" w:rsidRPr="00781E17">
        <w:rPr>
          <w:szCs w:val="26"/>
        </w:rPr>
        <w:t xml:space="preserve"> </w:t>
      </w:r>
      <w:r w:rsidR="00685BE0">
        <w:t xml:space="preserve">It provided that </w:t>
      </w:r>
      <w:r w:rsidR="00685BE0" w:rsidRPr="00685BE0">
        <w:t>s</w:t>
      </w:r>
      <w:r w:rsidR="00781E17" w:rsidRPr="00685BE0">
        <w:t>ubject to the provisions of section 25, the marital power which a husband has under the common law over the person and property of his wife is hereby abolished in respect of marriages entered</w:t>
      </w:r>
      <w:r w:rsidR="00D00DC6">
        <w:t xml:space="preserve"> into</w:t>
      </w:r>
      <w:r w:rsidR="00781E17" w:rsidRPr="00685BE0">
        <w:t xml:space="preserve"> </w:t>
      </w:r>
      <w:r w:rsidR="00781E17" w:rsidRPr="00D00DC6">
        <w:t>after</w:t>
      </w:r>
      <w:r w:rsidR="00781E17" w:rsidRPr="00685BE0">
        <w:t xml:space="preserve"> the commencement of this Act.</w:t>
      </w:r>
    </w:p>
    <w:p w14:paraId="2E716F5B" w14:textId="77777777" w:rsidR="00781E17" w:rsidRPr="007E7037" w:rsidRDefault="00781E17" w:rsidP="007E7037">
      <w:pPr>
        <w:pStyle w:val="JUDGMENTCONTINUED"/>
      </w:pPr>
    </w:p>
    <w:p w14:paraId="2F83CBD2" w14:textId="58E5326A" w:rsidR="00781E17" w:rsidRDefault="00333B16" w:rsidP="00333B16">
      <w:pPr>
        <w:pStyle w:val="JUDGMENTNUMBERED"/>
        <w:numPr>
          <w:ilvl w:val="0"/>
          <w:numId w:val="0"/>
        </w:numPr>
      </w:pPr>
      <w:r>
        <w:rPr>
          <w:color w:val="000000"/>
          <w14:scene3d>
            <w14:camera w14:prst="orthographicFront"/>
            <w14:lightRig w14:rig="threePt" w14:dir="t">
              <w14:rot w14:lat="0" w14:lon="0" w14:rev="0"/>
            </w14:lightRig>
          </w14:scene3d>
        </w:rPr>
        <w:t>[17]</w:t>
      </w:r>
      <w:r>
        <w:rPr>
          <w:color w:val="000000"/>
          <w14:scene3d>
            <w14:camera w14:prst="orthographicFront"/>
            <w14:lightRig w14:rig="threePt" w14:dir="t">
              <w14:rot w14:lat="0" w14:lon="0" w14:rev="0"/>
            </w14:lightRig>
          </w14:scene3d>
        </w:rPr>
        <w:tab/>
      </w:r>
      <w:r w:rsidR="00781E17" w:rsidRPr="00781E17">
        <w:t xml:space="preserve">Section 21(1) of the MPA permits couples to apply to </w:t>
      </w:r>
      <w:r w:rsidR="007E7037">
        <w:t xml:space="preserve">a </w:t>
      </w:r>
      <w:r w:rsidR="00781E17" w:rsidRPr="00781E17">
        <w:t xml:space="preserve">court at any time, to alter the matrimonial property regime applicable to their marriages. </w:t>
      </w:r>
      <w:r w:rsidR="008763EA">
        <w:t xml:space="preserve"> </w:t>
      </w:r>
      <w:r w:rsidR="00781E17" w:rsidRPr="00781E17">
        <w:t>To achieve this both spouses must consent and certain procedura</w:t>
      </w:r>
      <w:r w:rsidR="000D1BCD">
        <w:t>l requirements must be complied with</w:t>
      </w:r>
      <w:r w:rsidR="00781E17" w:rsidRPr="00781E17">
        <w:t xml:space="preserve">. </w:t>
      </w:r>
      <w:r w:rsidR="007251E1">
        <w:t xml:space="preserve"> </w:t>
      </w:r>
      <w:r w:rsidR="00781E17" w:rsidRPr="00781E17">
        <w:t>Section</w:t>
      </w:r>
      <w:r w:rsidR="007251E1">
        <w:t> </w:t>
      </w:r>
      <w:r w:rsidR="004262A7">
        <w:t>21(1) provided</w:t>
      </w:r>
      <w:r w:rsidR="00781E17">
        <w:t>:</w:t>
      </w:r>
    </w:p>
    <w:p w14:paraId="7CFFD774" w14:textId="77777777" w:rsidR="00D46311" w:rsidRPr="00D46311" w:rsidRDefault="00D46311" w:rsidP="00D46311">
      <w:pPr>
        <w:pStyle w:val="QUOTATION"/>
      </w:pPr>
    </w:p>
    <w:p w14:paraId="206C0C7C" w14:textId="1AFC980B" w:rsidR="00781E17" w:rsidRPr="00781E17" w:rsidRDefault="008763EA" w:rsidP="00AE7208">
      <w:pPr>
        <w:pStyle w:val="QUOTATION"/>
        <w:ind w:left="1440" w:hanging="720"/>
        <w:rPr>
          <w:sz w:val="26"/>
        </w:rPr>
      </w:pPr>
      <w:r>
        <w:t>“</w:t>
      </w:r>
      <w:r w:rsidR="00781E17" w:rsidRPr="00781E17">
        <w:t>(1)</w:t>
      </w:r>
      <w:r>
        <w:tab/>
      </w:r>
      <w:r w:rsidR="00781E17" w:rsidRPr="00781E17">
        <w:t>A husband and wife, whether married before or after the commencement of this Act, may jointly apply to a court for leave to change the matrimonial pro</w:t>
      </w:r>
      <w:r w:rsidR="004262A7">
        <w:t>perty system, including the marit</w:t>
      </w:r>
      <w:r w:rsidR="00781E17" w:rsidRPr="00781E17">
        <w:t>al power, which applies to their marriage, and the court may, if satisfied that-</w:t>
      </w:r>
    </w:p>
    <w:p w14:paraId="6C27B049" w14:textId="732B55DC" w:rsidR="00781E17" w:rsidRPr="00D31608" w:rsidRDefault="00781E17" w:rsidP="00AE7208">
      <w:pPr>
        <w:pStyle w:val="QUOTATION"/>
        <w:ind w:firstLine="720"/>
      </w:pPr>
      <w:r w:rsidRPr="00D31608">
        <w:t>(a)</w:t>
      </w:r>
      <w:r w:rsidR="008763EA">
        <w:tab/>
      </w:r>
      <w:r w:rsidRPr="00D31608">
        <w:t>there are sound reasons for the proposed change;</w:t>
      </w:r>
    </w:p>
    <w:p w14:paraId="049498FF" w14:textId="245B46CA" w:rsidR="00781E17" w:rsidRPr="00D31608" w:rsidRDefault="00781E17" w:rsidP="00AE7208">
      <w:pPr>
        <w:pStyle w:val="QUOTATION"/>
        <w:ind w:left="1440"/>
      </w:pPr>
      <w:r w:rsidRPr="00D31608">
        <w:lastRenderedPageBreak/>
        <w:t>(b)</w:t>
      </w:r>
      <w:r w:rsidR="008763EA">
        <w:tab/>
      </w:r>
      <w:r w:rsidRPr="00D31608">
        <w:t xml:space="preserve">sufficient notice of the proposed change has been given to all the </w:t>
      </w:r>
      <w:r w:rsidR="008763EA">
        <w:t>`</w:t>
      </w:r>
      <w:r w:rsidR="008763EA">
        <w:tab/>
      </w:r>
      <w:r w:rsidRPr="00D31608">
        <w:t>creditors of the spouses;</w:t>
      </w:r>
      <w:r w:rsidR="008763EA">
        <w:t xml:space="preserve"> </w:t>
      </w:r>
      <w:r w:rsidRPr="00D31608">
        <w:t>and</w:t>
      </w:r>
    </w:p>
    <w:p w14:paraId="53BE31EC" w14:textId="5CB77744" w:rsidR="00781E17" w:rsidRPr="00D31608" w:rsidRDefault="00781E17" w:rsidP="00AE7208">
      <w:pPr>
        <w:pStyle w:val="QUOTATION"/>
        <w:ind w:firstLine="720"/>
      </w:pPr>
      <w:r w:rsidRPr="00D31608">
        <w:t>(c)</w:t>
      </w:r>
      <w:r w:rsidR="008763EA">
        <w:tab/>
      </w:r>
      <w:r w:rsidRPr="00D31608">
        <w:t>no other person will be prejudiced by the proposed change,</w:t>
      </w:r>
    </w:p>
    <w:p w14:paraId="428E08EB" w14:textId="0A1C2144" w:rsidR="00781E17" w:rsidRDefault="00781E17" w:rsidP="009F3855">
      <w:pPr>
        <w:pStyle w:val="QUOTATION"/>
        <w:ind w:left="1418"/>
      </w:pPr>
      <w:r w:rsidRPr="00D31608">
        <w:t>order that such matrimonial property system shall no longer apply to their marriage and authori</w:t>
      </w:r>
      <w:r w:rsidR="00A0055B">
        <w:t>s</w:t>
      </w:r>
      <w:r w:rsidRPr="00D31608">
        <w:t>e them to enter into a notarial contract by which their future matrimonial property system is regulate</w:t>
      </w:r>
      <w:r w:rsidR="00A0055B">
        <w:t>d</w:t>
      </w:r>
      <w:r w:rsidRPr="00D31608">
        <w:t xml:space="preserve"> on such conditions as the court may think fit.”</w:t>
      </w:r>
    </w:p>
    <w:p w14:paraId="312C709C" w14:textId="77777777" w:rsidR="00781E17" w:rsidRPr="00781E17" w:rsidRDefault="00781E17" w:rsidP="00781E17">
      <w:pPr>
        <w:pStyle w:val="JUDGMENTCONTINUED"/>
      </w:pPr>
    </w:p>
    <w:p w14:paraId="279D479A" w14:textId="03185E45" w:rsidR="00F72FBE" w:rsidRDefault="00333B16" w:rsidP="00333B16">
      <w:pPr>
        <w:pStyle w:val="JUDGMENTNUMBERED"/>
        <w:numPr>
          <w:ilvl w:val="0"/>
          <w:numId w:val="0"/>
        </w:numPr>
      </w:pPr>
      <w:r>
        <w:rPr>
          <w:color w:val="000000"/>
          <w14:scene3d>
            <w14:camera w14:prst="orthographicFront"/>
            <w14:lightRig w14:rig="threePt" w14:dir="t">
              <w14:rot w14:lat="0" w14:lon="0" w14:rev="0"/>
            </w14:lightRig>
          </w14:scene3d>
        </w:rPr>
        <w:t>[18]</w:t>
      </w:r>
      <w:r>
        <w:rPr>
          <w:color w:val="000000"/>
          <w14:scene3d>
            <w14:camera w14:prst="orthographicFront"/>
            <w14:lightRig w14:rig="threePt" w14:dir="t">
              <w14:rot w14:lat="0" w14:lon="0" w14:rev="0"/>
            </w14:lightRig>
          </w14:scene3d>
        </w:rPr>
        <w:tab/>
      </w:r>
      <w:r w:rsidR="00781E17" w:rsidRPr="00781E17">
        <w:t xml:space="preserve">The Divorce Act was also amended by section 36(b) of the MPA and then by section 2 of the </w:t>
      </w:r>
      <w:r w:rsidR="00781E17" w:rsidRPr="00143692">
        <w:t>Amendment Act to</w:t>
      </w:r>
      <w:r w:rsidR="00781E17" w:rsidRPr="00781E17">
        <w:t xml:space="preserve"> address part of the legacy of the BAA. </w:t>
      </w:r>
      <w:r w:rsidR="008763EA">
        <w:t xml:space="preserve"> </w:t>
      </w:r>
      <w:r w:rsidR="00781E17" w:rsidRPr="00781E17">
        <w:t xml:space="preserve">Section 7(3) to (5) </w:t>
      </w:r>
      <w:r w:rsidR="0083557E" w:rsidRPr="002A0700">
        <w:t>of the Divorce Act</w:t>
      </w:r>
      <w:r w:rsidR="0083557E">
        <w:t xml:space="preserve"> </w:t>
      </w:r>
      <w:r w:rsidR="00781E17" w:rsidRPr="00781E17">
        <w:t>now provide</w:t>
      </w:r>
      <w:r w:rsidR="009210DA">
        <w:t>s</w:t>
      </w:r>
      <w:r w:rsidR="00781E17" w:rsidRPr="00781E17">
        <w:t xml:space="preserve"> that </w:t>
      </w:r>
      <w:r w:rsidR="00781E17" w:rsidRPr="00886CD2">
        <w:t>a divorce court</w:t>
      </w:r>
      <w:r w:rsidR="00781E17" w:rsidRPr="00781E17">
        <w:t xml:space="preserve"> may order the equitable distribution of assets between spouses married out of community of property under s</w:t>
      </w:r>
      <w:r w:rsidR="008763EA">
        <w:t>ection</w:t>
      </w:r>
      <w:r w:rsidR="004271A5">
        <w:t xml:space="preserve"> 22</w:t>
      </w:r>
      <w:r w:rsidR="00781E17" w:rsidRPr="00781E17">
        <w:t>(6) of the BAA as the court may deem just</w:t>
      </w:r>
      <w:r w:rsidR="00781E17">
        <w:t xml:space="preserve">.  </w:t>
      </w:r>
      <w:r w:rsidR="00781E17" w:rsidRPr="00781E17">
        <w:t>The appli</w:t>
      </w:r>
      <w:r w:rsidR="007E7037">
        <w:t xml:space="preserve">cants contend that although these </w:t>
      </w:r>
      <w:r w:rsidR="00781E17" w:rsidRPr="00781E17">
        <w:t>amendments have ameliorated the discriminatory legacy of section</w:t>
      </w:r>
      <w:r w:rsidR="00120906">
        <w:t> </w:t>
      </w:r>
      <w:r w:rsidR="00781E17" w:rsidRPr="00781E17">
        <w:t>22(6), they do not remedy or reverse the negative impact of s</w:t>
      </w:r>
      <w:r w:rsidR="008763EA">
        <w:t>ection</w:t>
      </w:r>
      <w:r w:rsidR="00781E17" w:rsidRPr="00781E17">
        <w:t xml:space="preserve"> 22(6) on </w:t>
      </w:r>
      <w:r w:rsidR="00C55B5C">
        <w:t>Black</w:t>
      </w:r>
      <w:r w:rsidR="000D1BCD">
        <w:t xml:space="preserve"> spouses</w:t>
      </w:r>
      <w:r w:rsidR="00781E17" w:rsidRPr="00781E17">
        <w:t>.</w:t>
      </w:r>
      <w:r w:rsidR="00120906">
        <w:t xml:space="preserve"> </w:t>
      </w:r>
      <w:r w:rsidR="00781E17" w:rsidRPr="00781E17">
        <w:t xml:space="preserve"> </w:t>
      </w:r>
      <w:r w:rsidR="0099291B">
        <w:t xml:space="preserve">The default position of </w:t>
      </w:r>
      <w:r w:rsidR="00781E17" w:rsidRPr="00781E17">
        <w:t>these marriages continue</w:t>
      </w:r>
      <w:r w:rsidR="0099291B">
        <w:t>s</w:t>
      </w:r>
      <w:r w:rsidR="00781E17" w:rsidRPr="00781E17">
        <w:t xml:space="preserve"> to be out of community of property</w:t>
      </w:r>
      <w:r w:rsidR="0099291B">
        <w:t>, unless the couples have taken steps to alter their matrimonial regime</w:t>
      </w:r>
      <w:r w:rsidR="00781E17" w:rsidRPr="00781E17">
        <w:t>.</w:t>
      </w:r>
      <w:r w:rsidR="008D6B9B">
        <w:t xml:space="preserve"> </w:t>
      </w:r>
      <w:r w:rsidR="00120906">
        <w:t xml:space="preserve"> </w:t>
      </w:r>
      <w:r w:rsidR="008D6B9B">
        <w:t>For the reasons that will be explored later during the analysis, this submission has merit.</w:t>
      </w:r>
      <w:r w:rsidR="00120906">
        <w:t xml:space="preserve"> </w:t>
      </w:r>
      <w:r w:rsidR="008D6B9B">
        <w:t xml:space="preserve"> Before embarking on the analysis, it is helpful to </w:t>
      </w:r>
      <w:r w:rsidR="00C80AFB">
        <w:t>contextualise</w:t>
      </w:r>
      <w:r w:rsidR="007E7037">
        <w:t xml:space="preserve"> this</w:t>
      </w:r>
      <w:r w:rsidR="00C80AFB">
        <w:t xml:space="preserve"> </w:t>
      </w:r>
      <w:r w:rsidR="009210DA">
        <w:t>submission</w:t>
      </w:r>
      <w:r w:rsidR="00C80AFB">
        <w:t xml:space="preserve"> and </w:t>
      </w:r>
      <w:r w:rsidR="008D6B9B">
        <w:t xml:space="preserve">briefly set out a conspectus of the </w:t>
      </w:r>
      <w:r w:rsidR="00C80AFB">
        <w:t xml:space="preserve">relevant </w:t>
      </w:r>
      <w:r w:rsidR="008D6B9B">
        <w:t>equality and discrimination jurisprudence.</w:t>
      </w:r>
    </w:p>
    <w:p w14:paraId="18878DCD" w14:textId="1BADBBEE" w:rsidR="00691621" w:rsidRDefault="00691621" w:rsidP="00040535">
      <w:pPr>
        <w:pStyle w:val="JUDGMENTCONTINUED"/>
      </w:pPr>
    </w:p>
    <w:p w14:paraId="49122937" w14:textId="7434D317" w:rsidR="00691621" w:rsidRPr="006C6CF4" w:rsidRDefault="00691621" w:rsidP="00691621">
      <w:pPr>
        <w:pStyle w:val="HEADING"/>
      </w:pPr>
      <w:r>
        <w:t xml:space="preserve">Equality and </w:t>
      </w:r>
      <w:r w:rsidR="00A0055B">
        <w:t>d</w:t>
      </w:r>
      <w:r>
        <w:t>iscrimination</w:t>
      </w:r>
    </w:p>
    <w:p w14:paraId="58C3F5ED" w14:textId="2718F269" w:rsidR="00691621" w:rsidRDefault="00333B16" w:rsidP="00333B16">
      <w:pPr>
        <w:pStyle w:val="JUDGMENTNUMBERED"/>
        <w:numPr>
          <w:ilvl w:val="0"/>
          <w:numId w:val="0"/>
        </w:numPr>
        <w:rPr>
          <w:szCs w:val="26"/>
        </w:rPr>
      </w:pPr>
      <w:r>
        <w:rPr>
          <w:color w:val="000000"/>
          <w:szCs w:val="26"/>
          <w14:scene3d>
            <w14:camera w14:prst="orthographicFront"/>
            <w14:lightRig w14:rig="threePt" w14:dir="t">
              <w14:rot w14:lat="0" w14:lon="0" w14:rev="0"/>
            </w14:lightRig>
          </w14:scene3d>
        </w:rPr>
        <w:t>[19]</w:t>
      </w:r>
      <w:r>
        <w:rPr>
          <w:color w:val="000000"/>
          <w:szCs w:val="26"/>
          <w14:scene3d>
            <w14:camera w14:prst="orthographicFront"/>
            <w14:lightRig w14:rig="threePt" w14:dir="t">
              <w14:rot w14:lat="0" w14:lon="0" w14:rev="0"/>
            </w14:lightRig>
          </w14:scene3d>
        </w:rPr>
        <w:tab/>
      </w:r>
      <w:r w:rsidR="00691621" w:rsidRPr="0045746F">
        <w:rPr>
          <w:szCs w:val="26"/>
        </w:rPr>
        <w:t>T</w:t>
      </w:r>
      <w:r w:rsidR="00115F29">
        <w:rPr>
          <w:szCs w:val="26"/>
        </w:rPr>
        <w:t xml:space="preserve">he idea of differentiation </w:t>
      </w:r>
      <w:r w:rsidR="00691621" w:rsidRPr="0045746F">
        <w:rPr>
          <w:szCs w:val="26"/>
        </w:rPr>
        <w:t>lie</w:t>
      </w:r>
      <w:r w:rsidR="00115F29">
        <w:rPr>
          <w:szCs w:val="26"/>
        </w:rPr>
        <w:t>s</w:t>
      </w:r>
      <w:r w:rsidR="00691621" w:rsidRPr="0045746F">
        <w:rPr>
          <w:szCs w:val="26"/>
        </w:rPr>
        <w:t xml:space="preserve"> at the heart of equalit</w:t>
      </w:r>
      <w:r w:rsidR="00C661E0">
        <w:rPr>
          <w:szCs w:val="26"/>
        </w:rPr>
        <w:t>y jurisprudence in general.</w:t>
      </w:r>
      <w:r w:rsidR="00FC673D">
        <w:rPr>
          <w:rStyle w:val="FootnoteReference"/>
          <w:szCs w:val="26"/>
        </w:rPr>
        <w:footnoteReference w:id="12"/>
      </w:r>
      <w:r w:rsidR="00C661E0">
        <w:rPr>
          <w:szCs w:val="26"/>
        </w:rPr>
        <w:t xml:space="preserve">  </w:t>
      </w:r>
      <w:r w:rsidR="00FC673D">
        <w:rPr>
          <w:szCs w:val="26"/>
        </w:rPr>
        <w:t>E</w:t>
      </w:r>
      <w:r w:rsidR="00C661E0">
        <w:rPr>
          <w:szCs w:val="26"/>
        </w:rPr>
        <w:t xml:space="preserve">quality jurisprudence </w:t>
      </w:r>
      <w:r w:rsidR="00691621" w:rsidRPr="0045746F">
        <w:rPr>
          <w:szCs w:val="26"/>
        </w:rPr>
        <w:t>deals wi</w:t>
      </w:r>
      <w:r w:rsidR="00C661E0">
        <w:rPr>
          <w:szCs w:val="26"/>
        </w:rPr>
        <w:t xml:space="preserve">th differentiation in </w:t>
      </w:r>
      <w:r w:rsidR="00691621" w:rsidRPr="0045746F">
        <w:rPr>
          <w:szCs w:val="26"/>
        </w:rPr>
        <w:t xml:space="preserve">two ways: differentiation which does not involve unfair discrimination and </w:t>
      </w:r>
      <w:r w:rsidR="00A0055B">
        <w:rPr>
          <w:szCs w:val="26"/>
        </w:rPr>
        <w:t>another</w:t>
      </w:r>
      <w:r w:rsidR="00691621" w:rsidRPr="0045746F">
        <w:rPr>
          <w:szCs w:val="26"/>
        </w:rPr>
        <w:t xml:space="preserve"> which does.</w:t>
      </w:r>
      <w:r w:rsidR="00691621">
        <w:rPr>
          <w:rStyle w:val="FootnoteReference"/>
          <w:szCs w:val="26"/>
        </w:rPr>
        <w:footnoteReference w:id="13"/>
      </w:r>
      <w:r w:rsidR="00691621" w:rsidRPr="0045746F">
        <w:rPr>
          <w:szCs w:val="26"/>
        </w:rPr>
        <w:t xml:space="preserve">  The principle of equality does not require everyone to be treated the same, but simply that people in the same position should be treated the same.</w:t>
      </w:r>
      <w:r w:rsidR="00120906">
        <w:rPr>
          <w:szCs w:val="26"/>
        </w:rPr>
        <w:t xml:space="preserve"> </w:t>
      </w:r>
      <w:r w:rsidR="00691621" w:rsidRPr="0045746F">
        <w:rPr>
          <w:szCs w:val="26"/>
        </w:rPr>
        <w:t xml:space="preserve"> However, the government may classify people and treat them diff</w:t>
      </w:r>
      <w:r w:rsidR="00691621" w:rsidRPr="00A66A32">
        <w:rPr>
          <w:szCs w:val="26"/>
        </w:rPr>
        <w:t xml:space="preserve">erently for a variety of legitimate reasons.  For, </w:t>
      </w:r>
      <w:r w:rsidR="00A66A32" w:rsidRPr="00A66A32">
        <w:rPr>
          <w:szCs w:val="26"/>
        </w:rPr>
        <w:t xml:space="preserve">“[i]t </w:t>
      </w:r>
      <w:r w:rsidR="00A66A32" w:rsidRPr="00A66A32">
        <w:rPr>
          <w:color w:val="242121"/>
          <w:szCs w:val="26"/>
        </w:rPr>
        <w:t xml:space="preserve">is </w:t>
      </w:r>
      <w:r w:rsidR="00A66A32" w:rsidRPr="00A66A32">
        <w:rPr>
          <w:color w:val="242121"/>
          <w:szCs w:val="26"/>
        </w:rPr>
        <w:lastRenderedPageBreak/>
        <w:t xml:space="preserve">impossible to </w:t>
      </w:r>
      <w:r w:rsidR="00A66A32">
        <w:rPr>
          <w:color w:val="242121"/>
          <w:szCs w:val="26"/>
        </w:rPr>
        <w:t>[regulate the affairs of inhabitants]</w:t>
      </w:r>
      <w:r w:rsidR="00A66A32" w:rsidRPr="00A66A32">
        <w:rPr>
          <w:color w:val="242121"/>
          <w:szCs w:val="26"/>
        </w:rPr>
        <w:t xml:space="preserve"> without differentiation and without classifications which treat people differently and which impact on people differently</w:t>
      </w:r>
      <w:r w:rsidR="003C1C8F">
        <w:rPr>
          <w:szCs w:val="26"/>
        </w:rPr>
        <w:t>”</w:t>
      </w:r>
      <w:r w:rsidR="00244C5A">
        <w:rPr>
          <w:szCs w:val="26"/>
        </w:rPr>
        <w:t>.</w:t>
      </w:r>
      <w:r w:rsidR="00691621" w:rsidRPr="00A66A32">
        <w:rPr>
          <w:rStyle w:val="FootnoteReference"/>
          <w:szCs w:val="26"/>
        </w:rPr>
        <w:footnoteReference w:id="14"/>
      </w:r>
      <w:r w:rsidR="00691621" w:rsidRPr="00A66A32">
        <w:rPr>
          <w:szCs w:val="26"/>
        </w:rPr>
        <w:t xml:space="preserve">  Me</w:t>
      </w:r>
      <w:r w:rsidR="00691621" w:rsidRPr="0045746F">
        <w:rPr>
          <w:szCs w:val="26"/>
        </w:rPr>
        <w:t>re differentiation will be valid as long as it does not deny equal protection or benefit of the law, or does not amount to unequal treatment under the law in violation of s</w:t>
      </w:r>
      <w:r w:rsidR="00691621">
        <w:rPr>
          <w:szCs w:val="26"/>
        </w:rPr>
        <w:t>ection</w:t>
      </w:r>
      <w:r w:rsidR="004262A7">
        <w:rPr>
          <w:szCs w:val="26"/>
        </w:rPr>
        <w:t xml:space="preserve">  </w:t>
      </w:r>
      <w:r w:rsidR="00691621" w:rsidRPr="0045746F">
        <w:rPr>
          <w:szCs w:val="26"/>
        </w:rPr>
        <w:t>9(1)</w:t>
      </w:r>
      <w:r w:rsidR="004271A5">
        <w:rPr>
          <w:szCs w:val="26"/>
        </w:rPr>
        <w:t xml:space="preserve"> of the Constitution</w:t>
      </w:r>
      <w:r w:rsidR="00691621" w:rsidRPr="0045746F">
        <w:rPr>
          <w:szCs w:val="26"/>
        </w:rPr>
        <w:t>.</w:t>
      </w:r>
    </w:p>
    <w:p w14:paraId="09D55B90" w14:textId="78250B64" w:rsidR="00B56481" w:rsidRDefault="00B56481" w:rsidP="009F7D22">
      <w:pPr>
        <w:pStyle w:val="JUDGMENTCONTINUED"/>
      </w:pPr>
    </w:p>
    <w:p w14:paraId="1EA5F6C3" w14:textId="103D9F67" w:rsidR="00B56481" w:rsidRDefault="00333B16" w:rsidP="00333B16">
      <w:pPr>
        <w:pStyle w:val="JUDGMENTNUMBERED"/>
        <w:numPr>
          <w:ilvl w:val="0"/>
          <w:numId w:val="0"/>
        </w:numPr>
      </w:pPr>
      <w:r>
        <w:rPr>
          <w:color w:val="000000"/>
          <w14:scene3d>
            <w14:camera w14:prst="orthographicFront"/>
            <w14:lightRig w14:rig="threePt" w14:dir="t">
              <w14:rot w14:lat="0" w14:lon="0" w14:rev="0"/>
            </w14:lightRig>
          </w14:scene3d>
        </w:rPr>
        <w:t>[20]</w:t>
      </w:r>
      <w:r>
        <w:rPr>
          <w:color w:val="000000"/>
          <w14:scene3d>
            <w14:camera w14:prst="orthographicFront"/>
            <w14:lightRig w14:rig="threePt" w14:dir="t">
              <w14:rot w14:lat="0" w14:lon="0" w14:rev="0"/>
            </w14:lightRig>
          </w14:scene3d>
        </w:rPr>
        <w:tab/>
      </w:r>
      <w:r w:rsidR="00B56481" w:rsidRPr="006C6CF4">
        <w:t xml:space="preserve">In </w:t>
      </w:r>
      <w:r w:rsidR="00B56481" w:rsidRPr="006C6CF4">
        <w:rPr>
          <w:i/>
        </w:rPr>
        <w:t>Harksen v Lane N</w:t>
      </w:r>
      <w:r w:rsidR="00244C5A">
        <w:rPr>
          <w:i/>
        </w:rPr>
        <w:t>.</w:t>
      </w:r>
      <w:r w:rsidR="007A2707">
        <w:rPr>
          <w:i/>
        </w:rPr>
        <w:t>O</w:t>
      </w:r>
      <w:r w:rsidR="004262A7">
        <w:rPr>
          <w:i/>
        </w:rPr>
        <w:t>.</w:t>
      </w:r>
      <w:r w:rsidR="007A2707">
        <w:rPr>
          <w:i/>
        </w:rPr>
        <w:t>,</w:t>
      </w:r>
      <w:r w:rsidR="00244C5A" w:rsidRPr="008365D9">
        <w:rPr>
          <w:rStyle w:val="FootnoteReference"/>
        </w:rPr>
        <w:footnoteReference w:id="15"/>
      </w:r>
      <w:r w:rsidR="007A2707" w:rsidRPr="008365D9">
        <w:t xml:space="preserve"> </w:t>
      </w:r>
      <w:r w:rsidR="00B56481">
        <w:t>this C</w:t>
      </w:r>
      <w:r w:rsidR="00B56481" w:rsidRPr="006C6CF4">
        <w:t xml:space="preserve">ourt </w:t>
      </w:r>
      <w:r w:rsidR="00B56481">
        <w:t xml:space="preserve">said that </w:t>
      </w:r>
      <w:r w:rsidR="00B56481" w:rsidRPr="006C6CF4">
        <w:t>where the equality</w:t>
      </w:r>
      <w:r w:rsidR="00B56481">
        <w:t xml:space="preserve"> clause is invoked to attack a </w:t>
      </w:r>
      <w:r w:rsidR="00A0055B">
        <w:t>l</w:t>
      </w:r>
      <w:r w:rsidR="00B56481">
        <w:t xml:space="preserve">egislative provision or </w:t>
      </w:r>
      <w:r w:rsidR="00A0055B">
        <w:t>e</w:t>
      </w:r>
      <w:r w:rsidR="00B56481" w:rsidRPr="006C6CF4">
        <w:t>xecutive conduct on the ground that it differentiates between people or categories of people in a manner that amounts to unequal treatment or unfair discrimination, the following stages of the enquiry into a violation of section 8 are helpful</w:t>
      </w:r>
      <w:r w:rsidR="00B56481">
        <w:t>:</w:t>
      </w:r>
      <w:r w:rsidR="00B56481">
        <w:rPr>
          <w:rStyle w:val="FootnoteReference"/>
        </w:rPr>
        <w:footnoteReference w:id="16"/>
      </w:r>
    </w:p>
    <w:p w14:paraId="5FF85C5F" w14:textId="77777777" w:rsidR="00B56481" w:rsidRPr="00E30A34" w:rsidRDefault="00B56481" w:rsidP="00D34AD1">
      <w:pPr>
        <w:pStyle w:val="QUOTATION"/>
        <w:ind w:left="0"/>
      </w:pPr>
    </w:p>
    <w:p w14:paraId="55FC97EE" w14:textId="167D9E8B" w:rsidR="00B56481" w:rsidRDefault="00B56481" w:rsidP="00B56481">
      <w:pPr>
        <w:pStyle w:val="QUOTATION"/>
        <w:ind w:left="1440" w:hanging="720"/>
      </w:pPr>
      <w:r w:rsidRPr="00916188">
        <w:t>“(a)</w:t>
      </w:r>
      <w:r>
        <w:tab/>
      </w:r>
      <w:r w:rsidRPr="00916188">
        <w:t>Does the provision differentiate between people or categories of people?</w:t>
      </w:r>
      <w:r w:rsidR="0029423C">
        <w:t xml:space="preserve"> </w:t>
      </w:r>
      <w:r w:rsidRPr="00916188">
        <w:t xml:space="preserve"> If so, does the differentiation bear a rational connection to a legitimate government purpose?</w:t>
      </w:r>
      <w:r w:rsidR="0029423C">
        <w:t xml:space="preserve"> </w:t>
      </w:r>
      <w:r w:rsidRPr="00916188">
        <w:t xml:space="preserve"> If it does not then there is a violation of section 8(1). Even if it does bear a rational connection, it might nevertheless amount to discrimination.</w:t>
      </w:r>
    </w:p>
    <w:p w14:paraId="565D631F" w14:textId="27C25974" w:rsidR="00B56481" w:rsidRPr="00916188" w:rsidRDefault="00B56481" w:rsidP="00B56481">
      <w:pPr>
        <w:pStyle w:val="QUOTATION"/>
        <w:ind w:left="1440" w:hanging="720"/>
      </w:pPr>
      <w:r w:rsidRPr="00916188">
        <w:t>(b)</w:t>
      </w:r>
      <w:r>
        <w:tab/>
      </w:r>
      <w:r w:rsidRPr="00916188">
        <w:t xml:space="preserve">Does the differentiation amount to unfair discrimination? </w:t>
      </w:r>
      <w:r w:rsidR="0029423C">
        <w:t xml:space="preserve"> </w:t>
      </w:r>
      <w:r w:rsidRPr="00916188">
        <w:t>This requires a two stage analysis:</w:t>
      </w:r>
    </w:p>
    <w:p w14:paraId="57B0780C" w14:textId="02CADF77" w:rsidR="00B56481" w:rsidRPr="00916188" w:rsidRDefault="00B56481" w:rsidP="00B56481">
      <w:pPr>
        <w:pStyle w:val="QUOTATION"/>
        <w:ind w:left="2160" w:hanging="720"/>
      </w:pPr>
      <w:r w:rsidRPr="00916188">
        <w:t>(i)</w:t>
      </w:r>
      <w:r>
        <w:tab/>
      </w:r>
      <w:r w:rsidRPr="00916188">
        <w:t>Firstly, does</w:t>
      </w:r>
      <w:r w:rsidR="00244C5A">
        <w:t xml:space="preserve"> the differentiation amount to ‘</w:t>
      </w:r>
      <w:r w:rsidRPr="00916188">
        <w:t>di</w:t>
      </w:r>
      <w:r w:rsidR="00244C5A">
        <w:t>scrimination’</w:t>
      </w:r>
      <w:r w:rsidRPr="00916188">
        <w:t>?</w:t>
      </w:r>
      <w:r w:rsidR="0029423C">
        <w:t xml:space="preserve"> </w:t>
      </w:r>
      <w:r w:rsidRPr="00916188">
        <w:t xml:space="preserve"> If it is on a specified ground, then discrimination will have been established</w:t>
      </w:r>
      <w:r w:rsidR="001F6BC6">
        <w:t xml:space="preserve">. </w:t>
      </w:r>
      <w:r w:rsidRPr="00916188">
        <w:t xml:space="preserve">… </w:t>
      </w:r>
    </w:p>
    <w:p w14:paraId="5D5DA547" w14:textId="67930DAC" w:rsidR="00244C5A" w:rsidRDefault="00B56481" w:rsidP="00B56481">
      <w:pPr>
        <w:pStyle w:val="QUOTATION"/>
        <w:ind w:left="2160" w:hanging="720"/>
      </w:pPr>
      <w:r w:rsidRPr="00916188">
        <w:t>(ii)</w:t>
      </w:r>
      <w:r>
        <w:tab/>
      </w:r>
      <w:r w:rsidRPr="00916188">
        <w:t>If the differentia</w:t>
      </w:r>
      <w:r w:rsidR="00244C5A">
        <w:t>tion amounts to ‘discrimination’</w:t>
      </w:r>
      <w:r w:rsidRPr="00916188">
        <w:t>, does it a</w:t>
      </w:r>
      <w:r w:rsidR="00244C5A">
        <w:t>mount to ‘unfair discrimination’</w:t>
      </w:r>
      <w:r w:rsidRPr="00916188">
        <w:t>?</w:t>
      </w:r>
      <w:r w:rsidR="0029423C">
        <w:t xml:space="preserve"> </w:t>
      </w:r>
      <w:r w:rsidRPr="00916188">
        <w:t xml:space="preserve"> If it has been found to have been on a specified ground, then unfairness will be </w:t>
      </w:r>
      <w:r w:rsidRPr="001F6BC6">
        <w:t>presumed</w:t>
      </w:r>
      <w:r w:rsidR="001F6BC6" w:rsidRPr="001F6BC6">
        <w:t>. …</w:t>
      </w:r>
    </w:p>
    <w:p w14:paraId="5FFD8827" w14:textId="77777777" w:rsidR="00244C5A" w:rsidRDefault="00B56481" w:rsidP="00B56481">
      <w:pPr>
        <w:pStyle w:val="QUOTATION"/>
        <w:ind w:left="2160" w:hanging="720"/>
      </w:pPr>
      <w:r w:rsidRPr="00916188">
        <w:t>If, at the end of this stage of the enquiry, the dif</w:t>
      </w:r>
      <w:r w:rsidR="00244C5A">
        <w:t>ferentiation is found not to be</w:t>
      </w:r>
    </w:p>
    <w:p w14:paraId="27FA51C2" w14:textId="43F577F7" w:rsidR="00B56481" w:rsidRDefault="00B56481" w:rsidP="00B56481">
      <w:pPr>
        <w:pStyle w:val="QUOTATION"/>
        <w:ind w:left="2160" w:hanging="720"/>
      </w:pPr>
      <w:r w:rsidRPr="00916188">
        <w:t xml:space="preserve">unfair, then there will </w:t>
      </w:r>
      <w:r w:rsidR="00244C5A">
        <w:t>be no violation of section 8(2).</w:t>
      </w:r>
    </w:p>
    <w:p w14:paraId="4032EB92" w14:textId="39ED161C" w:rsidR="00B56481" w:rsidRPr="00B56481" w:rsidRDefault="00244C5A" w:rsidP="00182DBB">
      <w:pPr>
        <w:pStyle w:val="QUOTATION"/>
        <w:ind w:left="1440" w:hanging="720"/>
      </w:pPr>
      <w:r w:rsidRPr="00916188">
        <w:t xml:space="preserve"> </w:t>
      </w:r>
      <w:r w:rsidR="00B56481" w:rsidRPr="00916188">
        <w:t>(c)</w:t>
      </w:r>
      <w:r w:rsidR="00B56481">
        <w:tab/>
      </w:r>
      <w:r w:rsidR="00B56481" w:rsidRPr="00916188">
        <w:t xml:space="preserve">If the discrimination is found to be unfair then a determination will have to be made as to whether the provision can be justified under the limitations clause (section 33 of the interim Constitution </w:t>
      </w:r>
      <w:r w:rsidR="00B56481">
        <w:t>[</w:t>
      </w:r>
      <w:r w:rsidR="00B56481" w:rsidRPr="00916188">
        <w:t>now section 36 of the Constitution</w:t>
      </w:r>
      <w:r>
        <w:t>]</w:t>
      </w:r>
      <w:r w:rsidR="00B56481" w:rsidRPr="00916188">
        <w:t>).”</w:t>
      </w:r>
      <w:r w:rsidR="00B56481" w:rsidRPr="00FF62C2">
        <w:rPr>
          <w:vertAlign w:val="superscript"/>
        </w:rPr>
        <w:footnoteReference w:id="17"/>
      </w:r>
    </w:p>
    <w:p w14:paraId="60DEB5C7" w14:textId="77777777" w:rsidR="00691621" w:rsidRDefault="00691621" w:rsidP="00691621">
      <w:pPr>
        <w:pStyle w:val="JUDGMENTCONTINUED"/>
      </w:pPr>
    </w:p>
    <w:p w14:paraId="3B3E2B66" w14:textId="2B204681" w:rsidR="001C5062" w:rsidRPr="00042256" w:rsidRDefault="00333B16" w:rsidP="00333B16">
      <w:pPr>
        <w:pStyle w:val="JUDGMENTNUMBERED"/>
        <w:numPr>
          <w:ilvl w:val="0"/>
          <w:numId w:val="0"/>
        </w:numPr>
      </w:pPr>
      <w:r w:rsidRPr="00042256">
        <w:rPr>
          <w:color w:val="000000"/>
          <w14:scene3d>
            <w14:camera w14:prst="orthographicFront"/>
            <w14:lightRig w14:rig="threePt" w14:dir="t">
              <w14:rot w14:lat="0" w14:lon="0" w14:rev="0"/>
            </w14:lightRig>
          </w14:scene3d>
        </w:rPr>
        <w:lastRenderedPageBreak/>
        <w:t>[21]</w:t>
      </w:r>
      <w:r w:rsidRPr="00042256">
        <w:rPr>
          <w:color w:val="000000"/>
          <w14:scene3d>
            <w14:camera w14:prst="orthographicFront"/>
            <w14:lightRig w14:rig="threePt" w14:dir="t">
              <w14:rot w14:lat="0" w14:lon="0" w14:rev="0"/>
            </w14:lightRig>
          </w14:scene3d>
        </w:rPr>
        <w:tab/>
      </w:r>
      <w:r w:rsidR="00A0055B">
        <w:t>T</w:t>
      </w:r>
      <w:r w:rsidR="001C5062" w:rsidRPr="00042256">
        <w:t xml:space="preserve">he first question in the </w:t>
      </w:r>
      <w:r w:rsidR="001C5062" w:rsidRPr="00042256">
        <w:rPr>
          <w:i/>
        </w:rPr>
        <w:t>Harksen</w:t>
      </w:r>
      <w:r w:rsidR="001C5062" w:rsidRPr="00042256">
        <w:t xml:space="preserve"> enquiry must be answered in the affirmative. The provisions perpetuate the existence of a special matrimonial regime for </w:t>
      </w:r>
      <w:r w:rsidR="00C55B5C">
        <w:t>Black</w:t>
      </w:r>
      <w:r w:rsidR="001C5062" w:rsidRPr="00042256">
        <w:t xml:space="preserve"> couples who concluded their marria</w:t>
      </w:r>
      <w:r w:rsidR="00C60F66">
        <w:t xml:space="preserve">ges before 1988. </w:t>
      </w:r>
      <w:r w:rsidR="00C55B5C">
        <w:t xml:space="preserve"> </w:t>
      </w:r>
      <w:r w:rsidR="00C60F66">
        <w:t>In this regard</w:t>
      </w:r>
      <w:r w:rsidR="00004165" w:rsidRPr="00042256">
        <w:t xml:space="preserve"> marriages </w:t>
      </w:r>
      <w:r w:rsidR="00C60F66">
        <w:t xml:space="preserve">of </w:t>
      </w:r>
      <w:r w:rsidR="00C55B5C">
        <w:t>Black</w:t>
      </w:r>
      <w:r w:rsidR="00C60F66">
        <w:t xml:space="preserve"> people </w:t>
      </w:r>
      <w:r w:rsidR="00004165">
        <w:t xml:space="preserve">were different from </w:t>
      </w:r>
      <w:r w:rsidR="001C5062" w:rsidRPr="00042256">
        <w:t xml:space="preserve">those of other races. </w:t>
      </w:r>
      <w:r w:rsidR="007A2707">
        <w:t xml:space="preserve"> </w:t>
      </w:r>
      <w:r w:rsidR="001C5062" w:rsidRPr="00042256">
        <w:t>No evidence was tendered in support of a government purpose for which the differe</w:t>
      </w:r>
      <w:r w:rsidR="00C60F66">
        <w:t xml:space="preserve">ntial treatment of </w:t>
      </w:r>
      <w:r w:rsidR="00004165">
        <w:t>marriages</w:t>
      </w:r>
      <w:r w:rsidR="001C5062" w:rsidRPr="00042256">
        <w:t xml:space="preserve"> </w:t>
      </w:r>
      <w:r w:rsidR="00C60F66">
        <w:t xml:space="preserve">between </w:t>
      </w:r>
      <w:r w:rsidR="00C55B5C">
        <w:t>Black</w:t>
      </w:r>
      <w:r w:rsidR="00C60F66">
        <w:t xml:space="preserve">s </w:t>
      </w:r>
      <w:r w:rsidR="001C5062" w:rsidRPr="00042256">
        <w:t xml:space="preserve">existed. </w:t>
      </w:r>
      <w:r w:rsidR="00C55B5C">
        <w:t xml:space="preserve"> </w:t>
      </w:r>
      <w:r w:rsidR="00A0055B">
        <w:t>I cannot conceive of any such purpose either.</w:t>
      </w:r>
      <w:r w:rsidR="001C5062" w:rsidRPr="00042256">
        <w:t xml:space="preserve"> </w:t>
      </w:r>
      <w:r w:rsidR="00C55B5C">
        <w:t xml:space="preserve"> </w:t>
      </w:r>
      <w:r w:rsidR="001C5062" w:rsidRPr="00042256">
        <w:t>Therefore, the question of a rational connection between the differention and a legitimate gov</w:t>
      </w:r>
      <w:r w:rsidR="0029423C">
        <w:t>ernment purpose does not arise.</w:t>
      </w:r>
    </w:p>
    <w:p w14:paraId="579E982E" w14:textId="77777777" w:rsidR="001C5062" w:rsidRDefault="001C5062" w:rsidP="00040535">
      <w:pPr>
        <w:pStyle w:val="JUDGMENTCONTINUED"/>
      </w:pPr>
    </w:p>
    <w:p w14:paraId="70FAD97C" w14:textId="3191380E" w:rsidR="00CA2B8D" w:rsidRDefault="00333B16" w:rsidP="00333B16">
      <w:pPr>
        <w:pStyle w:val="JUDGMENTNUMBERED"/>
        <w:numPr>
          <w:ilvl w:val="0"/>
          <w:numId w:val="0"/>
        </w:numPr>
      </w:pPr>
      <w:r>
        <w:rPr>
          <w:color w:val="000000"/>
          <w14:scene3d>
            <w14:camera w14:prst="orthographicFront"/>
            <w14:lightRig w14:rig="threePt" w14:dir="t">
              <w14:rot w14:lat="0" w14:lon="0" w14:rev="0"/>
            </w14:lightRig>
          </w14:scene3d>
        </w:rPr>
        <w:t>[22]</w:t>
      </w:r>
      <w:r>
        <w:rPr>
          <w:color w:val="000000"/>
          <w14:scene3d>
            <w14:camera w14:prst="orthographicFront"/>
            <w14:lightRig w14:rig="threePt" w14:dir="t">
              <w14:rot w14:lat="0" w14:lon="0" w14:rev="0"/>
            </w14:lightRig>
          </w14:scene3d>
        </w:rPr>
        <w:tab/>
      </w:r>
      <w:r w:rsidR="001C5062">
        <w:t>I n</w:t>
      </w:r>
      <w:r w:rsidR="006267E2">
        <w:t>ow consider whether the impugn</w:t>
      </w:r>
      <w:r w:rsidR="001C5062">
        <w:t>ed provisions amount to unfair discrimination.</w:t>
      </w:r>
      <w:r w:rsidR="001C5062" w:rsidRPr="001C5062">
        <w:t xml:space="preserve"> </w:t>
      </w:r>
      <w:r w:rsidR="003049A4">
        <w:t xml:space="preserve"> </w:t>
      </w:r>
      <w:r w:rsidR="001C5062">
        <w:t>T</w:t>
      </w:r>
      <w:r w:rsidR="001C5062" w:rsidRPr="006C6CF4">
        <w:t xml:space="preserve">he discrimination complained </w:t>
      </w:r>
      <w:r w:rsidR="001C5062">
        <w:t>about is on</w:t>
      </w:r>
      <w:r w:rsidR="00214A2D">
        <w:t xml:space="preserve"> the</w:t>
      </w:r>
      <w:r w:rsidR="001C5062">
        <w:t xml:space="preserve"> listed grounds of </w:t>
      </w:r>
      <w:r w:rsidR="001C5062" w:rsidRPr="006C6CF4">
        <w:t>race, gender and age</w:t>
      </w:r>
      <w:r w:rsidR="00A0055B">
        <w:t xml:space="preserve"> </w:t>
      </w:r>
      <w:r w:rsidR="00A936BA">
        <w:t xml:space="preserve">in section 9(3) of the Constitution. </w:t>
      </w:r>
      <w:r w:rsidR="003049A4">
        <w:t xml:space="preserve"> </w:t>
      </w:r>
      <w:r w:rsidR="00A936BA">
        <w:t>In terms of this section, the state may not unfairly discriminate directly or indirectly against anyone on one or more of the grounds listed in the section.</w:t>
      </w:r>
      <w:r w:rsidR="00A936BA">
        <w:rPr>
          <w:rStyle w:val="FootnoteReference"/>
        </w:rPr>
        <w:footnoteReference w:id="18"/>
      </w:r>
      <w:r w:rsidR="00A936BA">
        <w:t xml:space="preserve"> </w:t>
      </w:r>
      <w:r w:rsidR="001C5062">
        <w:t xml:space="preserve"> </w:t>
      </w:r>
      <w:r w:rsidR="003B1207" w:rsidRPr="006C6CF4">
        <w:t xml:space="preserve">In terms of </w:t>
      </w:r>
      <w:r w:rsidR="003B1207">
        <w:t>s</w:t>
      </w:r>
      <w:r w:rsidR="003B1207" w:rsidRPr="006C6CF4">
        <w:t xml:space="preserve">ection 9(5) of the Constitution, discrimination on one or more of the grounds </w:t>
      </w:r>
      <w:r w:rsidR="003B1207">
        <w:t xml:space="preserve">listed in section 9(3) </w:t>
      </w:r>
      <w:r w:rsidR="003B1207" w:rsidRPr="006C6CF4">
        <w:t>is presumed to be unfair unless proven otherwise</w:t>
      </w:r>
      <w:r w:rsidR="003B1207">
        <w:t>.</w:t>
      </w:r>
      <w:r w:rsidR="003B1207" w:rsidRPr="006B56B7">
        <w:t xml:space="preserve"> </w:t>
      </w:r>
      <w:r w:rsidR="003049A4">
        <w:t xml:space="preserve"> </w:t>
      </w:r>
      <w:r w:rsidR="003B1207" w:rsidRPr="006C6CF4">
        <w:t>It was thus open to the respondents to prove that the discrimination is fair and none of them have contended that it is.</w:t>
      </w:r>
      <w:r w:rsidR="003B1207">
        <w:t xml:space="preserve"> </w:t>
      </w:r>
      <w:r w:rsidR="003049A4">
        <w:t xml:space="preserve"> </w:t>
      </w:r>
      <w:r w:rsidR="003B1207">
        <w:t>This is not suprising</w:t>
      </w:r>
      <w:r w:rsidR="004F16EF">
        <w:t>,</w:t>
      </w:r>
      <w:r w:rsidR="00B245F4">
        <w:t xml:space="preserve"> as there is no basis </w:t>
      </w:r>
      <w:r w:rsidR="003049A4">
        <w:t>up</w:t>
      </w:r>
      <w:r w:rsidR="00E86334">
        <w:t>on which such a submission could have been made</w:t>
      </w:r>
      <w:r w:rsidR="003B1207">
        <w:t>.</w:t>
      </w:r>
    </w:p>
    <w:p w14:paraId="1297D3AE" w14:textId="77777777" w:rsidR="00CA2B8D" w:rsidRDefault="00CA2B8D" w:rsidP="00040535">
      <w:pPr>
        <w:pStyle w:val="JUDGMENTCONTINUED"/>
      </w:pPr>
    </w:p>
    <w:p w14:paraId="76A4A18F" w14:textId="4F7AB57C" w:rsidR="00040535" w:rsidRDefault="00333B16" w:rsidP="00333B16">
      <w:pPr>
        <w:pStyle w:val="JUDGMENTNUMBERED"/>
        <w:numPr>
          <w:ilvl w:val="0"/>
          <w:numId w:val="0"/>
        </w:numPr>
      </w:pPr>
      <w:r>
        <w:rPr>
          <w:color w:val="000000"/>
          <w14:scene3d>
            <w14:camera w14:prst="orthographicFront"/>
            <w14:lightRig w14:rig="threePt" w14:dir="t">
              <w14:rot w14:lat="0" w14:lon="0" w14:rev="0"/>
            </w14:lightRig>
          </w14:scene3d>
        </w:rPr>
        <w:t>[23]</w:t>
      </w:r>
      <w:r>
        <w:rPr>
          <w:color w:val="000000"/>
          <w14:scene3d>
            <w14:camera w14:prst="orthographicFront"/>
            <w14:lightRig w14:rig="threePt" w14:dir="t">
              <w14:rot w14:lat="0" w14:lon="0" w14:rev="0"/>
            </w14:lightRig>
          </w14:scene3d>
        </w:rPr>
        <w:tab/>
      </w:r>
      <w:r w:rsidR="00AE67DD" w:rsidRPr="00CC6018">
        <w:t>Th</w:t>
      </w:r>
      <w:r w:rsidR="00AE67DD" w:rsidRPr="00A22BEC">
        <w:t xml:space="preserve">e </w:t>
      </w:r>
      <w:r w:rsidR="00BC7A96">
        <w:t xml:space="preserve">discriminatory effect of the provisions </w:t>
      </w:r>
      <w:r w:rsidR="003B1207">
        <w:t xml:space="preserve">can be traced back </w:t>
      </w:r>
      <w:r w:rsidR="001821C1">
        <w:t>to</w:t>
      </w:r>
      <w:r w:rsidR="003B1207">
        <w:t xml:space="preserve"> the provisions </w:t>
      </w:r>
      <w:r w:rsidR="007D6F84">
        <w:t xml:space="preserve">of </w:t>
      </w:r>
      <w:r w:rsidR="00BC7A96">
        <w:t xml:space="preserve">the BAA. </w:t>
      </w:r>
      <w:r w:rsidR="00C55B5C">
        <w:t xml:space="preserve"> </w:t>
      </w:r>
      <w:r w:rsidR="00BC7A96">
        <w:t xml:space="preserve">The </w:t>
      </w:r>
      <w:r w:rsidR="00AE67DD" w:rsidRPr="00A22BEC">
        <w:t xml:space="preserve">differentiation under the BAA was on a racial basis in that it created a special dispensation for </w:t>
      </w:r>
      <w:r w:rsidR="00C55B5C">
        <w:t>Black</w:t>
      </w:r>
      <w:r w:rsidR="00AE67DD" w:rsidRPr="00A22BEC">
        <w:t xml:space="preserve"> couples. </w:t>
      </w:r>
      <w:r w:rsidR="00AE67DD">
        <w:t xml:space="preserve"> </w:t>
      </w:r>
      <w:r w:rsidR="003238B2">
        <w:t>S</w:t>
      </w:r>
      <w:r w:rsidR="003238B2" w:rsidRPr="00A22BEC">
        <w:t>ection 22(6) of the BAA</w:t>
      </w:r>
      <w:r w:rsidR="003238B2">
        <w:t xml:space="preserve"> had the effect that</w:t>
      </w:r>
      <w:r w:rsidR="003238B2" w:rsidRPr="00A22BEC">
        <w:t xml:space="preserve"> </w:t>
      </w:r>
      <w:r w:rsidR="003238B2">
        <w:t>u</w:t>
      </w:r>
      <w:r w:rsidR="00AE67DD" w:rsidRPr="00A22BEC">
        <w:t xml:space="preserve">nless </w:t>
      </w:r>
      <w:r w:rsidR="00C55B5C">
        <w:t>Black</w:t>
      </w:r>
      <w:r w:rsidR="00AE67DD" w:rsidRPr="00A22BEC">
        <w:t xml:space="preserve"> couples expressed a desire to enter into a </w:t>
      </w:r>
      <w:r w:rsidR="001821C1">
        <w:t xml:space="preserve">marriage in community of property their marriage was automatically out of community of property. </w:t>
      </w:r>
      <w:r w:rsidR="00C55B5C">
        <w:t xml:space="preserve"> </w:t>
      </w:r>
      <w:r w:rsidR="001821C1">
        <w:t>This was different to what pertained in respect of other racial groups whose marriages were automatically in community of property</w:t>
      </w:r>
      <w:r w:rsidR="00AE67DD" w:rsidRPr="00A22BEC">
        <w:t>.</w:t>
      </w:r>
      <w:r w:rsidR="00AE67DD">
        <w:t xml:space="preserve"> </w:t>
      </w:r>
    </w:p>
    <w:p w14:paraId="70E967EC" w14:textId="24D6DA4B" w:rsidR="00040535" w:rsidRDefault="00AE67DD" w:rsidP="00040535">
      <w:pPr>
        <w:pStyle w:val="JUDGMENTCONTINUED"/>
      </w:pPr>
      <w:r w:rsidRPr="00A22BEC">
        <w:t xml:space="preserve"> </w:t>
      </w:r>
    </w:p>
    <w:p w14:paraId="02B9A719" w14:textId="007CD16B" w:rsidR="00D27C71" w:rsidRDefault="00333B16" w:rsidP="00333B16">
      <w:pPr>
        <w:pStyle w:val="JUDGMENTNUMBERED"/>
        <w:numPr>
          <w:ilvl w:val="0"/>
          <w:numId w:val="0"/>
        </w:numPr>
      </w:pPr>
      <w:r>
        <w:rPr>
          <w:color w:val="000000"/>
          <w14:scene3d>
            <w14:camera w14:prst="orthographicFront"/>
            <w14:lightRig w14:rig="threePt" w14:dir="t">
              <w14:rot w14:lat="0" w14:lon="0" w14:rev="0"/>
            </w14:lightRig>
          </w14:scene3d>
        </w:rPr>
        <w:lastRenderedPageBreak/>
        <w:t>[24]</w:t>
      </w:r>
      <w:r>
        <w:rPr>
          <w:color w:val="000000"/>
          <w14:scene3d>
            <w14:camera w14:prst="orthographicFront"/>
            <w14:lightRig w14:rig="threePt" w14:dir="t">
              <w14:rot w14:lat="0" w14:lon="0" w14:rev="0"/>
            </w14:lightRig>
          </w14:scene3d>
        </w:rPr>
        <w:tab/>
      </w:r>
      <w:r w:rsidR="00AE67DD">
        <w:t>S</w:t>
      </w:r>
      <w:r w:rsidR="00AE67DD" w:rsidRPr="00A22BEC">
        <w:t>ection 21(2)(a)</w:t>
      </w:r>
      <w:r w:rsidR="00C87D94">
        <w:t xml:space="preserve"> of the MPA</w:t>
      </w:r>
      <w:r w:rsidR="00AE67DD" w:rsidRPr="00A22BEC">
        <w:t xml:space="preserve"> </w:t>
      </w:r>
      <w:r w:rsidR="00BC7A96">
        <w:t xml:space="preserve">did not have the effect of automatically converting the default </w:t>
      </w:r>
      <w:r w:rsidR="00BD6F57">
        <w:t xml:space="preserve">position </w:t>
      </w:r>
      <w:r w:rsidR="00C60F66">
        <w:t xml:space="preserve">of </w:t>
      </w:r>
      <w:r w:rsidR="000E117D">
        <w:t xml:space="preserve">marriages of </w:t>
      </w:r>
      <w:r w:rsidR="00C55B5C">
        <w:t>Black</w:t>
      </w:r>
      <w:r w:rsidR="000E117D">
        <w:t xml:space="preserve"> people </w:t>
      </w:r>
      <w:r w:rsidR="00CF51DF">
        <w:t>so that they were automatically in community of property like those of other races</w:t>
      </w:r>
      <w:r w:rsidR="00BC7A96">
        <w:t xml:space="preserve">. </w:t>
      </w:r>
      <w:r w:rsidR="00C55B5C">
        <w:t xml:space="preserve"> </w:t>
      </w:r>
      <w:r w:rsidR="00BC7A96">
        <w:t>Instead</w:t>
      </w:r>
      <w:r w:rsidR="004F16EF">
        <w:t>,</w:t>
      </w:r>
      <w:r w:rsidR="007D6F84">
        <w:t xml:space="preserve"> it </w:t>
      </w:r>
      <w:r w:rsidR="00BC7A96">
        <w:t>required</w:t>
      </w:r>
      <w:r w:rsidR="00AE67DD" w:rsidRPr="00A22BEC">
        <w:t xml:space="preserve"> all spouses </w:t>
      </w:r>
      <w:r w:rsidR="00AE67DD">
        <w:t xml:space="preserve">in </w:t>
      </w:r>
      <w:r w:rsidR="00AE67DD" w:rsidRPr="00A22BEC">
        <w:t xml:space="preserve">marriages </w:t>
      </w:r>
      <w:r w:rsidR="00AE67DD" w:rsidRPr="00CF51DF">
        <w:rPr>
          <w:rStyle w:val="Strong"/>
          <w:b w:val="0"/>
          <w:bCs w:val="0"/>
        </w:rPr>
        <w:t>out</w:t>
      </w:r>
      <w:r w:rsidR="00C87D94">
        <w:t xml:space="preserve"> of community of property, </w:t>
      </w:r>
      <w:r w:rsidR="00AE67DD" w:rsidRPr="00A22BEC">
        <w:t>entered into before the commencement of the MPA</w:t>
      </w:r>
      <w:r w:rsidR="00277A7E">
        <w:t xml:space="preserve"> either</w:t>
      </w:r>
      <w:r w:rsidR="00AE67DD" w:rsidRPr="00A22BEC">
        <w:t xml:space="preserve"> </w:t>
      </w:r>
      <w:r w:rsidR="00C87D94">
        <w:t xml:space="preserve">(i) </w:t>
      </w:r>
      <w:r w:rsidR="00AE67DD" w:rsidRPr="00A22BEC">
        <w:t>in terms of an antenuptial contract;</w:t>
      </w:r>
      <w:r w:rsidR="0029423C">
        <w:t xml:space="preserve"> or (ii) in terms of section 22</w:t>
      </w:r>
      <w:r w:rsidR="00AE67DD" w:rsidRPr="00A22BEC">
        <w:t>(6)</w:t>
      </w:r>
      <w:r w:rsidR="00C87D94">
        <w:t xml:space="preserve"> of the BAA</w:t>
      </w:r>
      <w:r w:rsidR="00AE67DD" w:rsidRPr="00A22BEC">
        <w:t>, to cause the provision</w:t>
      </w:r>
      <w:r w:rsidR="00325F90">
        <w:t>s of Chapter I of the MPA (the accrual s</w:t>
      </w:r>
      <w:r w:rsidR="00AE67DD" w:rsidRPr="00A22BEC">
        <w:t>ystem) to apply fo</w:t>
      </w:r>
      <w:r w:rsidR="00AE67DD">
        <w:t>r the conversion of their marria</w:t>
      </w:r>
      <w:r w:rsidR="00325F90">
        <w:t>ges, within two</w:t>
      </w:r>
      <w:r w:rsidR="00AE67DD" w:rsidRPr="00A22BEC">
        <w:t xml:space="preserve"> years after the commencement of the MPA. </w:t>
      </w:r>
      <w:r w:rsidR="00040535">
        <w:t xml:space="preserve"> </w:t>
      </w:r>
      <w:r w:rsidR="007C6149">
        <w:t>Thus, a</w:t>
      </w:r>
      <w:r w:rsidR="00CF51DF">
        <w:t>lthough the</w:t>
      </w:r>
      <w:r w:rsidR="00CF51DF" w:rsidRPr="00CF51DF">
        <w:t xml:space="preserve"> </w:t>
      </w:r>
      <w:r w:rsidR="00CF51DF" w:rsidRPr="00A22BEC">
        <w:t>amendm</w:t>
      </w:r>
      <w:r w:rsidR="007D6F84">
        <w:t xml:space="preserve">ent brought by section 21(2)(a) </w:t>
      </w:r>
      <w:r w:rsidR="006234B0">
        <w:t>formally rectified the discriminatory provisions of the BAA</w:t>
      </w:r>
      <w:r w:rsidR="00CF51DF">
        <w:t xml:space="preserve">, it failed </w:t>
      </w:r>
      <w:r w:rsidR="00CF51DF" w:rsidRPr="00A22BEC">
        <w:t xml:space="preserve">to </w:t>
      </w:r>
      <w:r w:rsidR="006234B0">
        <w:t>address</w:t>
      </w:r>
      <w:r w:rsidR="00C60F66">
        <w:t xml:space="preserve"> </w:t>
      </w:r>
      <w:r w:rsidR="00CF51DF" w:rsidRPr="00A22BEC">
        <w:t xml:space="preserve">the </w:t>
      </w:r>
      <w:r w:rsidR="006234B0">
        <w:t xml:space="preserve">lasting </w:t>
      </w:r>
      <w:r w:rsidR="00CF51DF" w:rsidRPr="00A22BEC">
        <w:t>discriminatory</w:t>
      </w:r>
      <w:r w:rsidR="006234B0">
        <w:t xml:space="preserve"> effects of these</w:t>
      </w:r>
      <w:r w:rsidR="00CF51DF" w:rsidRPr="00A22BEC">
        <w:t xml:space="preserve"> provisions.</w:t>
      </w:r>
      <w:r w:rsidR="00CF51DF">
        <w:t xml:space="preserve"> </w:t>
      </w:r>
      <w:r w:rsidR="00C55B5C">
        <w:t xml:space="preserve"> </w:t>
      </w:r>
      <w:r w:rsidR="00CF51DF">
        <w:t>Instead</w:t>
      </w:r>
      <w:r w:rsidR="004F16EF">
        <w:t>,</w:t>
      </w:r>
      <w:r w:rsidR="00CF51DF">
        <w:t xml:space="preserve"> it </w:t>
      </w:r>
      <w:r w:rsidR="00CF51DF" w:rsidRPr="00A22BEC">
        <w:t xml:space="preserve">imposed a duty on </w:t>
      </w:r>
      <w:r w:rsidR="00C55B5C">
        <w:t>Black</w:t>
      </w:r>
      <w:r w:rsidR="00CF51DF" w:rsidRPr="00A22BEC">
        <w:t xml:space="preserve"> couples who </w:t>
      </w:r>
      <w:r w:rsidR="006234B0">
        <w:t xml:space="preserve">wanted </w:t>
      </w:r>
      <w:r w:rsidR="00CF51DF" w:rsidRPr="00A22BEC">
        <w:t>their matrimonial regimes to be similar to those of the other racial groups, to embark on certain laborious, complicated steps to enjoy equality with other races.</w:t>
      </w:r>
    </w:p>
    <w:p w14:paraId="4625C457" w14:textId="77777777" w:rsidR="00F749F9" w:rsidRPr="00F749F9" w:rsidRDefault="00F749F9" w:rsidP="00F749F9">
      <w:pPr>
        <w:pStyle w:val="JUDGMENTCONTINUED"/>
      </w:pPr>
    </w:p>
    <w:p w14:paraId="7CA15C0F" w14:textId="377AE3AA" w:rsidR="00C4004E" w:rsidRDefault="00333B16" w:rsidP="00333B16">
      <w:pPr>
        <w:pStyle w:val="JUDGMENTNUMBERED"/>
        <w:numPr>
          <w:ilvl w:val="0"/>
          <w:numId w:val="0"/>
        </w:numPr>
        <w:rPr>
          <w:rStyle w:val="JUDGMENTNUMBEREDChar"/>
          <w:lang w:eastAsia="en-ZA"/>
        </w:rPr>
      </w:pPr>
      <w:r>
        <w:rPr>
          <w:rStyle w:val="JUDGMENTNUMBEREDChar"/>
          <w:color w:val="000000"/>
          <w:lang w:eastAsia="en-ZA"/>
          <w14:scene3d>
            <w14:camera w14:prst="orthographicFront"/>
            <w14:lightRig w14:rig="threePt" w14:dir="t">
              <w14:rot w14:lat="0" w14:lon="0" w14:rev="0"/>
            </w14:lightRig>
          </w14:scene3d>
        </w:rPr>
        <w:t>[25]</w:t>
      </w:r>
      <w:r>
        <w:rPr>
          <w:rStyle w:val="JUDGMENTNUMBEREDChar"/>
          <w:color w:val="000000"/>
          <w:lang w:eastAsia="en-ZA"/>
          <w14:scene3d>
            <w14:camera w14:prst="orthographicFront"/>
            <w14:lightRig w14:rig="threePt" w14:dir="t">
              <w14:rot w14:lat="0" w14:lon="0" w14:rev="0"/>
            </w14:lightRig>
          </w14:scene3d>
        </w:rPr>
        <w:tab/>
      </w:r>
      <w:r w:rsidR="00D27C71">
        <w:t>The kind of equality envisaged by section 9 of the Constitution was aptly articulated by this Court i</w:t>
      </w:r>
      <w:r w:rsidR="00D27C71" w:rsidRPr="00CC6018">
        <w:t xml:space="preserve">n </w:t>
      </w:r>
      <w:r w:rsidR="00D27C71" w:rsidRPr="00CC6018">
        <w:rPr>
          <w:rStyle w:val="JUDGMENTNUMBEREDChar"/>
          <w:i/>
          <w:lang w:eastAsia="en-ZA"/>
        </w:rPr>
        <w:t>National Coalition f</w:t>
      </w:r>
      <w:r w:rsidR="00C87D94">
        <w:rPr>
          <w:rStyle w:val="JUDGMENTNUMBEREDChar"/>
          <w:i/>
          <w:lang w:eastAsia="en-ZA"/>
        </w:rPr>
        <w:t xml:space="preserve">or Gay and Lesbian Equality </w:t>
      </w:r>
      <w:r w:rsidR="00D27C71" w:rsidRPr="00CC6018">
        <w:rPr>
          <w:rStyle w:val="JUDGMENTNUMBEREDChar"/>
          <w:i/>
          <w:lang w:eastAsia="en-ZA"/>
        </w:rPr>
        <w:t>v Minister of Justice</w:t>
      </w:r>
      <w:r w:rsidR="00277A7E">
        <w:rPr>
          <w:rStyle w:val="JUDGMENTNUMBEREDChar"/>
          <w:i/>
          <w:lang w:eastAsia="en-ZA"/>
        </w:rPr>
        <w:t xml:space="preserve"> </w:t>
      </w:r>
      <w:r w:rsidR="00277A7E">
        <w:rPr>
          <w:rStyle w:val="JUDGMENTNUMBEREDChar"/>
          <w:lang w:eastAsia="en-ZA"/>
        </w:rPr>
        <w:t>in these terms</w:t>
      </w:r>
      <w:r w:rsidR="00D27C71" w:rsidRPr="00CC6018">
        <w:rPr>
          <w:rStyle w:val="JUDGMENTNUMBEREDChar"/>
          <w:lang w:eastAsia="en-ZA"/>
        </w:rPr>
        <w:t>:</w:t>
      </w:r>
      <w:r w:rsidR="00D27C71" w:rsidRPr="00CC6018">
        <w:rPr>
          <w:rStyle w:val="FootnoteReference"/>
          <w:lang w:eastAsia="en-ZA"/>
        </w:rPr>
        <w:footnoteReference w:id="19"/>
      </w:r>
    </w:p>
    <w:p w14:paraId="18AF2251" w14:textId="0CB6C9C9" w:rsidR="00C4004E" w:rsidRPr="00C4004E" w:rsidRDefault="00C4004E" w:rsidP="00040535">
      <w:pPr>
        <w:pStyle w:val="QUOTATION"/>
        <w:rPr>
          <w:lang w:eastAsia="en-ZA"/>
        </w:rPr>
      </w:pPr>
    </w:p>
    <w:p w14:paraId="148C57C2" w14:textId="38275EEE" w:rsidR="00C4004E" w:rsidRPr="00C4004E" w:rsidRDefault="00C4004E" w:rsidP="00F81288">
      <w:pPr>
        <w:pStyle w:val="QUOTATION"/>
        <w:rPr>
          <w:lang w:eastAsia="en-ZA"/>
        </w:rPr>
      </w:pPr>
      <w:r w:rsidRPr="00C4004E">
        <w:rPr>
          <w:lang w:eastAsia="en-ZA"/>
        </w:rPr>
        <w:t xml:space="preserve">“Section 9 of the 1996 Constitution, like its predecessor, clearly contemplates both substantive and remedial equality. </w:t>
      </w:r>
      <w:r w:rsidR="007D6F84">
        <w:rPr>
          <w:lang w:eastAsia="en-ZA"/>
        </w:rPr>
        <w:t xml:space="preserve"> </w:t>
      </w:r>
      <w:r w:rsidRPr="00C4004E">
        <w:rPr>
          <w:lang w:eastAsia="en-ZA"/>
        </w:rPr>
        <w:t>Substantive equality is envisaged when section 9(2) unequivocally asserts that equality includes ‘the full and equal enjoy</w:t>
      </w:r>
      <w:r w:rsidR="00325F90">
        <w:rPr>
          <w:lang w:eastAsia="en-ZA"/>
        </w:rPr>
        <w:t>ment of all rights and freedoms</w:t>
      </w:r>
      <w:r w:rsidRPr="00C4004E">
        <w:rPr>
          <w:lang w:eastAsia="en-ZA"/>
        </w:rPr>
        <w:t>’</w:t>
      </w:r>
      <w:r w:rsidR="00325F90">
        <w:rPr>
          <w:lang w:eastAsia="en-ZA"/>
        </w:rPr>
        <w:t xml:space="preserve">. </w:t>
      </w:r>
      <w:r w:rsidRPr="00C4004E">
        <w:rPr>
          <w:lang w:eastAsia="en-ZA"/>
        </w:rPr>
        <w:t xml:space="preserve"> </w:t>
      </w:r>
      <w:r w:rsidR="007D6F84">
        <w:rPr>
          <w:lang w:eastAsia="en-ZA"/>
        </w:rPr>
        <w:t xml:space="preserve"> </w:t>
      </w:r>
      <w:r w:rsidRPr="00C4004E">
        <w:rPr>
          <w:lang w:eastAsia="en-ZA"/>
        </w:rPr>
        <w:t>The State is further obliged ‘to promote the achievement of such equality’ by ‘legislative and other measures designed to protect or advance persons, or categories of persons, disadva</w:t>
      </w:r>
      <w:r w:rsidR="00325F90">
        <w:rPr>
          <w:lang w:eastAsia="en-ZA"/>
        </w:rPr>
        <w:t>ntaged by unfair discrimination</w:t>
      </w:r>
      <w:r w:rsidRPr="00C4004E">
        <w:rPr>
          <w:lang w:eastAsia="en-ZA"/>
        </w:rPr>
        <w:t>’</w:t>
      </w:r>
      <w:r w:rsidR="00325F90">
        <w:rPr>
          <w:lang w:eastAsia="en-ZA"/>
        </w:rPr>
        <w:t>,</w:t>
      </w:r>
      <w:r w:rsidRPr="00C4004E">
        <w:rPr>
          <w:lang w:eastAsia="en-ZA"/>
        </w:rPr>
        <w:t xml:space="preserve"> which envisages remedial equality.”</w:t>
      </w:r>
      <w:r w:rsidRPr="00C4004E">
        <w:rPr>
          <w:vertAlign w:val="superscript"/>
          <w:lang w:eastAsia="en-ZA"/>
        </w:rPr>
        <w:footnoteReference w:id="20"/>
      </w:r>
    </w:p>
    <w:p w14:paraId="5B67EB6D" w14:textId="77777777" w:rsidR="00C4004E" w:rsidRPr="00C4004E" w:rsidRDefault="00C4004E" w:rsidP="00040535">
      <w:pPr>
        <w:pStyle w:val="JUDGMENTCONTINUED"/>
        <w:rPr>
          <w:lang w:eastAsia="en-ZA"/>
        </w:rPr>
      </w:pPr>
    </w:p>
    <w:p w14:paraId="4D3A7571" w14:textId="3801C8A3" w:rsidR="00AE67DD" w:rsidRDefault="00333B16" w:rsidP="00333B16">
      <w:pPr>
        <w:pStyle w:val="JUDGMENTNUMBERED"/>
        <w:numPr>
          <w:ilvl w:val="0"/>
          <w:numId w:val="0"/>
        </w:numPr>
      </w:pPr>
      <w:r>
        <w:rPr>
          <w:color w:val="000000"/>
          <w14:scene3d>
            <w14:camera w14:prst="orthographicFront"/>
            <w14:lightRig w14:rig="threePt" w14:dir="t">
              <w14:rot w14:lat="0" w14:lon="0" w14:rev="0"/>
            </w14:lightRig>
          </w14:scene3d>
        </w:rPr>
        <w:t>[26]</w:t>
      </w:r>
      <w:r>
        <w:rPr>
          <w:color w:val="000000"/>
          <w14:scene3d>
            <w14:camera w14:prst="orthographicFront"/>
            <w14:lightRig w14:rig="threePt" w14:dir="t">
              <w14:rot w14:lat="0" w14:lon="0" w14:rev="0"/>
            </w14:lightRig>
          </w14:scene3d>
        </w:rPr>
        <w:tab/>
      </w:r>
      <w:r w:rsidR="00D27C71" w:rsidRPr="00CC6018">
        <w:t>Thus,</w:t>
      </w:r>
      <w:r w:rsidR="00D27C71">
        <w:t xml:space="preserve"> </w:t>
      </w:r>
      <w:r w:rsidR="00D27C71" w:rsidRPr="00A22BEC">
        <w:t xml:space="preserve">although section 21(2)(a) may </w:t>
      </w:r>
      <w:r w:rsidR="00D27C71">
        <w:t xml:space="preserve">superficially </w:t>
      </w:r>
      <w:r w:rsidR="00D27C71" w:rsidRPr="00A22BEC">
        <w:t>seem to have afforded the same treatment to couples of all the different races, it effectively guar</w:t>
      </w:r>
      <w:r w:rsidR="00C55B5C">
        <w:t xml:space="preserve">anteed formal equality but not </w:t>
      </w:r>
      <w:r w:rsidR="00D27C71" w:rsidRPr="00A22BEC">
        <w:t xml:space="preserve">substantive equality (equality of outcomes and opportunity), which is </w:t>
      </w:r>
      <w:r w:rsidR="00D27C71" w:rsidRPr="00A22BEC">
        <w:lastRenderedPageBreak/>
        <w:t>the kind of equality promised by our Constitution.</w:t>
      </w:r>
      <w:r w:rsidR="00CA767A">
        <w:rPr>
          <w:rStyle w:val="FootnoteReference"/>
        </w:rPr>
        <w:footnoteReference w:id="21"/>
      </w:r>
      <w:r w:rsidR="00D27C71">
        <w:t xml:space="preserve"> </w:t>
      </w:r>
      <w:r w:rsidR="00C55B5C">
        <w:t xml:space="preserve"> </w:t>
      </w:r>
      <w:r w:rsidR="00D17BF8">
        <w:t xml:space="preserve">Furthermore, section 9(3) prohibits both direct and indirect discrimination. </w:t>
      </w:r>
      <w:r w:rsidR="00C55B5C">
        <w:t xml:space="preserve"> </w:t>
      </w:r>
      <w:r w:rsidR="00461FAB">
        <w:t>A provision is indirectly discriminatory against a group where it has a disproportionate impact on that group.</w:t>
      </w:r>
      <w:r w:rsidR="00461FAB">
        <w:rPr>
          <w:rStyle w:val="FootnoteReference"/>
        </w:rPr>
        <w:footnoteReference w:id="22"/>
      </w:r>
      <w:r w:rsidR="00044DF9">
        <w:t xml:space="preserve">  </w:t>
      </w:r>
      <w:r w:rsidR="00CF51DF">
        <w:t>Therefore</w:t>
      </w:r>
      <w:r w:rsidR="007C6149">
        <w:t>,</w:t>
      </w:r>
      <w:r w:rsidR="00CF51DF">
        <w:t xml:space="preserve"> w</w:t>
      </w:r>
      <w:r w:rsidR="00AE67DD" w:rsidRPr="00A22BEC">
        <w:t>hen examining the constitutionality of section 21(2)(a)</w:t>
      </w:r>
      <w:r w:rsidR="004F16EF">
        <w:t>,</w:t>
      </w:r>
      <w:r w:rsidR="00AE67DD" w:rsidRPr="00A22BEC">
        <w:t xml:space="preserve"> the emphasis should not be on the fact that it provided an option for </w:t>
      </w:r>
      <w:r w:rsidR="00C55B5C">
        <w:t>Black</w:t>
      </w:r>
      <w:r w:rsidR="00AE67DD" w:rsidRPr="00A22BEC">
        <w:t xml:space="preserve"> couples to convert their marriages</w:t>
      </w:r>
      <w:r w:rsidR="004F16EF">
        <w:t>,</w:t>
      </w:r>
      <w:r w:rsidR="00AE67DD" w:rsidRPr="00A22BEC">
        <w:t xml:space="preserve"> but rather on its failure to level the </w:t>
      </w:r>
      <w:r w:rsidR="00AE67DD" w:rsidRPr="000C5F96">
        <w:t>playing field and</w:t>
      </w:r>
      <w:r w:rsidR="00AE67DD" w:rsidRPr="00A22BEC">
        <w:t xml:space="preserve"> pla</w:t>
      </w:r>
      <w:r w:rsidR="007C6149">
        <w:t xml:space="preserve">ce marriages </w:t>
      </w:r>
      <w:r w:rsidR="004F7E0D">
        <w:t xml:space="preserve">of </w:t>
      </w:r>
      <w:r w:rsidR="00C55B5C">
        <w:t>Black</w:t>
      </w:r>
      <w:r w:rsidR="004F7E0D">
        <w:t xml:space="preserve"> people </w:t>
      </w:r>
      <w:r w:rsidR="007C6149">
        <w:t xml:space="preserve">under the </w:t>
      </w:r>
      <w:r w:rsidR="00AE67DD" w:rsidRPr="00A22BEC">
        <w:t xml:space="preserve">same umbrella </w:t>
      </w:r>
      <w:r w:rsidR="005553B3">
        <w:t xml:space="preserve">as marriages of </w:t>
      </w:r>
      <w:r w:rsidR="007C6149">
        <w:t>couples of</w:t>
      </w:r>
      <w:r w:rsidR="00627665">
        <w:t xml:space="preserve"> other racial groups</w:t>
      </w:r>
      <w:r w:rsidR="00AE67DD" w:rsidRPr="00A22BEC">
        <w:t>.</w:t>
      </w:r>
    </w:p>
    <w:p w14:paraId="3ECCCD70" w14:textId="5E571478" w:rsidR="00C86059" w:rsidRDefault="00C86059" w:rsidP="00C86059">
      <w:pPr>
        <w:pStyle w:val="JUDGMENTCONTINUED"/>
      </w:pPr>
    </w:p>
    <w:p w14:paraId="57BE3F12" w14:textId="45CF2D18" w:rsidR="00F47B03" w:rsidRDefault="00333B16" w:rsidP="00333B16">
      <w:pPr>
        <w:pStyle w:val="JUDGMENTNUMBERED"/>
        <w:numPr>
          <w:ilvl w:val="0"/>
          <w:numId w:val="0"/>
        </w:numPr>
      </w:pPr>
      <w:r>
        <w:rPr>
          <w:color w:val="000000"/>
          <w14:scene3d>
            <w14:camera w14:prst="orthographicFront"/>
            <w14:lightRig w14:rig="threePt" w14:dir="t">
              <w14:rot w14:lat="0" w14:lon="0" w14:rev="0"/>
            </w14:lightRig>
          </w14:scene3d>
        </w:rPr>
        <w:t>[27]</w:t>
      </w:r>
      <w:r>
        <w:rPr>
          <w:color w:val="000000"/>
          <w14:scene3d>
            <w14:camera w14:prst="orthographicFront"/>
            <w14:lightRig w14:rig="threePt" w14:dir="t">
              <w14:rot w14:lat="0" w14:lon="0" w14:rev="0"/>
            </w14:lightRig>
          </w14:scene3d>
        </w:rPr>
        <w:tab/>
      </w:r>
      <w:r w:rsidR="00D17BF8">
        <w:t>The challenged provisions also</w:t>
      </w:r>
      <w:r w:rsidR="00D17BF8" w:rsidRPr="00D17BF8">
        <w:t xml:space="preserve"> </w:t>
      </w:r>
      <w:r w:rsidR="00D17BF8">
        <w:t>have indirect unfair</w:t>
      </w:r>
      <w:r w:rsidR="00C13426">
        <w:t xml:space="preserve"> discriminatory consequences</w:t>
      </w:r>
      <w:r w:rsidR="00D17BF8">
        <w:t xml:space="preserve"> </w:t>
      </w:r>
      <w:r w:rsidR="00C13426">
        <w:t>for</w:t>
      </w:r>
      <w:r w:rsidR="00D17BF8">
        <w:t xml:space="preserve"> women.  </w:t>
      </w:r>
      <w:r w:rsidR="001E6726">
        <w:t>T</w:t>
      </w:r>
      <w:r w:rsidR="00D3644B">
        <w:t xml:space="preserve">he </w:t>
      </w:r>
      <w:r w:rsidR="00D3644B" w:rsidRPr="00781E17">
        <w:t xml:space="preserve">evidence led at the High Court </w:t>
      </w:r>
      <w:r w:rsidR="00D3644B">
        <w:t xml:space="preserve">showed that </w:t>
      </w:r>
      <w:r w:rsidR="00C55B5C">
        <w:t>Black</w:t>
      </w:r>
      <w:r w:rsidR="00D3644B" w:rsidRPr="00781E17">
        <w:t xml:space="preserve"> women are hard hit by t</w:t>
      </w:r>
      <w:r w:rsidR="00BC79AF">
        <w:t>he impugned provisions disprop</w:t>
      </w:r>
      <w:r w:rsidR="001255CB">
        <w:t>or</w:t>
      </w:r>
      <w:r w:rsidR="00BC79AF">
        <w:t>tionately to</w:t>
      </w:r>
      <w:r w:rsidR="00D3644B" w:rsidRPr="00781E17">
        <w:t xml:space="preserve"> their husbands</w:t>
      </w:r>
      <w:r w:rsidR="001E6726">
        <w:t xml:space="preserve"> and </w:t>
      </w:r>
      <w:r w:rsidR="00A22BEC">
        <w:t xml:space="preserve">the challenged provisions have far reaching intersectional effects on </w:t>
      </w:r>
      <w:r w:rsidR="00C55B5C">
        <w:t>Black</w:t>
      </w:r>
      <w:r w:rsidR="00A22BEC">
        <w:t xml:space="preserve"> women’s rights compared to their male counterparts. </w:t>
      </w:r>
      <w:r w:rsidR="00D3644B">
        <w:t xml:space="preserve"> It is thus necessary</w:t>
      </w:r>
      <w:r w:rsidR="00BC79AF">
        <w:t>,</w:t>
      </w:r>
      <w:r w:rsidR="001E6726">
        <w:t xml:space="preserve"> before I venture into whether the provisions can be justified under the </w:t>
      </w:r>
      <w:r w:rsidR="00625CE2">
        <w:t>l</w:t>
      </w:r>
      <w:r w:rsidR="001E6726">
        <w:t xml:space="preserve">imitations </w:t>
      </w:r>
      <w:r w:rsidR="00625CE2">
        <w:t>c</w:t>
      </w:r>
      <w:r w:rsidR="001E6726">
        <w:t xml:space="preserve">lause, </w:t>
      </w:r>
      <w:r w:rsidR="00625CE2">
        <w:t xml:space="preserve">which is the third stage of the </w:t>
      </w:r>
      <w:r w:rsidR="00625CE2" w:rsidRPr="00DC7FF6">
        <w:rPr>
          <w:i/>
        </w:rPr>
        <w:t>Harksen</w:t>
      </w:r>
      <w:r w:rsidR="00625CE2">
        <w:t xml:space="preserve"> enquiry, </w:t>
      </w:r>
      <w:r w:rsidR="00D3644B">
        <w:t xml:space="preserve">to </w:t>
      </w:r>
      <w:r w:rsidR="00A457D7">
        <w:t>elaborate on the i</w:t>
      </w:r>
      <w:r w:rsidR="00870F72">
        <w:t>ntersectional</w:t>
      </w:r>
      <w:r w:rsidR="001E6726">
        <w:t xml:space="preserve"> consequences of t</w:t>
      </w:r>
      <w:r w:rsidR="00E64A9C">
        <w:t>he impugned provisions on women</w:t>
      </w:r>
      <w:r w:rsidR="001E6726">
        <w:t>’</w:t>
      </w:r>
      <w:r w:rsidR="00E64A9C">
        <w:t>s</w:t>
      </w:r>
      <w:r w:rsidR="001E6726">
        <w:t xml:space="preserve"> </w:t>
      </w:r>
      <w:r w:rsidR="00D3644B">
        <w:t>constitutional rights</w:t>
      </w:r>
      <w:r w:rsidR="00325F90">
        <w:t>,</w:t>
      </w:r>
      <w:r w:rsidR="00C92F1A">
        <w:t xml:space="preserve"> </w:t>
      </w:r>
      <w:r w:rsidR="001E6726">
        <w:t xml:space="preserve">especially </w:t>
      </w:r>
      <w:r w:rsidR="00D3644B">
        <w:t>the right</w:t>
      </w:r>
      <w:r w:rsidR="00BC79AF">
        <w:t>s</w:t>
      </w:r>
      <w:r w:rsidR="00C86059" w:rsidRPr="00781E17">
        <w:t xml:space="preserve"> to dignity</w:t>
      </w:r>
      <w:r w:rsidR="003D60CE">
        <w:t xml:space="preserve"> </w:t>
      </w:r>
      <w:r w:rsidR="00C92F1A">
        <w:t>(section</w:t>
      </w:r>
      <w:r w:rsidR="00062A3C">
        <w:t> </w:t>
      </w:r>
      <w:r w:rsidR="00C92F1A">
        <w:t xml:space="preserve">10), </w:t>
      </w:r>
      <w:r w:rsidR="00C86059">
        <w:t>property</w:t>
      </w:r>
      <w:r w:rsidR="00C92F1A">
        <w:t xml:space="preserve"> (section 25)</w:t>
      </w:r>
      <w:r w:rsidR="00F749F9">
        <w:t xml:space="preserve">, </w:t>
      </w:r>
      <w:r w:rsidR="00C86059" w:rsidRPr="00781E17">
        <w:t>housing</w:t>
      </w:r>
      <w:r w:rsidR="00C92F1A">
        <w:t xml:space="preserve"> (section 26)</w:t>
      </w:r>
      <w:r w:rsidR="00C86059" w:rsidRPr="00781E17">
        <w:t xml:space="preserve">, </w:t>
      </w:r>
      <w:r w:rsidR="00BC79AF">
        <w:t xml:space="preserve">and </w:t>
      </w:r>
      <w:r w:rsidR="00C92F1A">
        <w:t xml:space="preserve">health care, </w:t>
      </w:r>
      <w:r w:rsidR="00C86059" w:rsidRPr="00781E17">
        <w:t>food</w:t>
      </w:r>
      <w:r w:rsidR="00C92F1A">
        <w:t>, water</w:t>
      </w:r>
      <w:r w:rsidR="00C86059" w:rsidRPr="00781E17">
        <w:t xml:space="preserve"> and </w:t>
      </w:r>
      <w:r w:rsidR="00C92F1A">
        <w:t xml:space="preserve">social </w:t>
      </w:r>
      <w:r w:rsidR="00C86059" w:rsidRPr="00781E17">
        <w:t>security</w:t>
      </w:r>
      <w:r w:rsidR="00C92F1A">
        <w:t xml:space="preserve"> (section 27)</w:t>
      </w:r>
      <w:r w:rsidR="00C86059">
        <w:t xml:space="preserve">. </w:t>
      </w:r>
      <w:r w:rsidR="00B104DF">
        <w:t xml:space="preserve"> </w:t>
      </w:r>
      <w:r w:rsidR="00870F72">
        <w:t>It is to this that I now turn my f</w:t>
      </w:r>
      <w:r w:rsidR="003969BF">
        <w:t>ocus.</w:t>
      </w:r>
    </w:p>
    <w:p w14:paraId="10691566" w14:textId="77777777" w:rsidR="00F47B03" w:rsidRPr="00F47B03" w:rsidRDefault="00F47B03" w:rsidP="00F47B03">
      <w:pPr>
        <w:pStyle w:val="JUDGMENTCONTINUED"/>
      </w:pPr>
    </w:p>
    <w:p w14:paraId="121D292C" w14:textId="0A71AB8E" w:rsidR="0018085C" w:rsidRDefault="00333B16" w:rsidP="00333B16">
      <w:pPr>
        <w:pStyle w:val="JUDGMENTNUMBERED"/>
        <w:numPr>
          <w:ilvl w:val="0"/>
          <w:numId w:val="0"/>
        </w:numPr>
      </w:pPr>
      <w:r>
        <w:rPr>
          <w:color w:val="000000"/>
          <w14:scene3d>
            <w14:camera w14:prst="orthographicFront"/>
            <w14:lightRig w14:rig="threePt" w14:dir="t">
              <w14:rot w14:lat="0" w14:lon="0" w14:rev="0"/>
            </w14:lightRig>
          </w14:scene3d>
        </w:rPr>
        <w:t>[28]</w:t>
      </w:r>
      <w:r>
        <w:rPr>
          <w:color w:val="000000"/>
          <w14:scene3d>
            <w14:camera w14:prst="orthographicFront"/>
            <w14:lightRig w14:rig="threePt" w14:dir="t">
              <w14:rot w14:lat="0" w14:lon="0" w14:rev="0"/>
            </w14:lightRig>
          </w14:scene3d>
        </w:rPr>
        <w:tab/>
      </w:r>
      <w:r w:rsidR="00A457D7">
        <w:t xml:space="preserve">Intersectionality is a recognised concept in our law of equality. </w:t>
      </w:r>
      <w:r w:rsidR="00C55B5C">
        <w:t xml:space="preserve"> </w:t>
      </w:r>
      <w:r w:rsidR="00ED03DA">
        <w:t>I</w:t>
      </w:r>
      <w:r w:rsidR="0018085C" w:rsidRPr="00916188">
        <w:t xml:space="preserve">n </w:t>
      </w:r>
      <w:r w:rsidR="0018085C" w:rsidRPr="00ED03DA">
        <w:rPr>
          <w:i/>
          <w:iCs/>
        </w:rPr>
        <w:t>National Coalition for Gay and Lesbian Equality</w:t>
      </w:r>
      <w:r w:rsidR="0018085C" w:rsidRPr="00916188">
        <w:t>,</w:t>
      </w:r>
      <w:r w:rsidR="0018085C">
        <w:rPr>
          <w:rStyle w:val="FootnoteReference"/>
        </w:rPr>
        <w:footnoteReference w:id="23"/>
      </w:r>
      <w:r w:rsidR="0018085C" w:rsidRPr="00916188">
        <w:t xml:space="preserve"> </w:t>
      </w:r>
      <w:r w:rsidR="00ED03DA" w:rsidRPr="00ED03DA">
        <w:t xml:space="preserve">Sachs J’s concurring judgment </w:t>
      </w:r>
      <w:r w:rsidR="003969BF">
        <w:t xml:space="preserve">acknowledged </w:t>
      </w:r>
      <w:r w:rsidR="0018085C" w:rsidRPr="00916188">
        <w:t xml:space="preserve">the concept </w:t>
      </w:r>
      <w:r w:rsidR="00A457D7">
        <w:t xml:space="preserve">and </w:t>
      </w:r>
      <w:r w:rsidR="0018085C" w:rsidRPr="00916188">
        <w:t>held</w:t>
      </w:r>
      <w:r w:rsidR="0018085C">
        <w:t>:</w:t>
      </w:r>
    </w:p>
    <w:p w14:paraId="03C13C01" w14:textId="77777777" w:rsidR="0018085C" w:rsidRPr="00D46311" w:rsidRDefault="0018085C" w:rsidP="00D34AD1">
      <w:pPr>
        <w:pStyle w:val="QUOTATION"/>
        <w:ind w:left="0"/>
      </w:pPr>
    </w:p>
    <w:p w14:paraId="35B06AAF" w14:textId="0FC79C0F" w:rsidR="0018085C" w:rsidRDefault="0018085C" w:rsidP="001255CB">
      <w:pPr>
        <w:pStyle w:val="QUOTATION"/>
      </w:pPr>
      <w:r w:rsidRPr="001A7B81">
        <w:t xml:space="preserve">“One consequence of an approach based on context and impact would be the acknowledgement that </w:t>
      </w:r>
      <w:r w:rsidRPr="00FE2854">
        <w:rPr>
          <w:iCs/>
        </w:rPr>
        <w:t>grounds of unfair discrimination can intersect, so that the evaluation of discriminatory impact is done not according to one ground of discrimination or another, but on</w:t>
      </w:r>
      <w:r w:rsidR="00BC79AF">
        <w:rPr>
          <w:iCs/>
        </w:rPr>
        <w:t xml:space="preserve"> a combination of both, that is</w:t>
      </w:r>
      <w:r w:rsidRPr="00FE2854">
        <w:rPr>
          <w:iCs/>
        </w:rPr>
        <w:t xml:space="preserve"> globally and contextually, not separately and abstractly. </w:t>
      </w:r>
      <w:r w:rsidR="00BC79AF">
        <w:rPr>
          <w:iCs/>
        </w:rPr>
        <w:t xml:space="preserve"> </w:t>
      </w:r>
      <w:r w:rsidRPr="00FE2854">
        <w:rPr>
          <w:iCs/>
        </w:rPr>
        <w:t xml:space="preserve">The objective is to determine in a </w:t>
      </w:r>
      <w:r w:rsidRPr="00FE2854">
        <w:rPr>
          <w:iCs/>
        </w:rPr>
        <w:lastRenderedPageBreak/>
        <w:t xml:space="preserve">qualitative rather than a quantitative way if the group concerned is subjected to scarring of a sufficiently serious nature as to merit </w:t>
      </w:r>
      <w:r w:rsidRPr="00173C51">
        <w:rPr>
          <w:iCs/>
        </w:rPr>
        <w:t>constitutional intervention</w:t>
      </w:r>
      <w:r w:rsidR="00173C51" w:rsidRPr="00173C51">
        <w:rPr>
          <w:iCs/>
        </w:rPr>
        <w:t>. …</w:t>
      </w:r>
      <w:r w:rsidR="001255CB">
        <w:t xml:space="preserve">  </w:t>
      </w:r>
      <w:r w:rsidRPr="00FE2854">
        <w:rPr>
          <w:iCs/>
        </w:rPr>
        <w:t xml:space="preserve">Alternatively, a context rather than category-based approach might suggest that overlapping vulnerability is capable of producing overlapping discrimination. </w:t>
      </w:r>
      <w:r w:rsidR="00BC79AF">
        <w:rPr>
          <w:iCs/>
        </w:rPr>
        <w:t xml:space="preserve"> </w:t>
      </w:r>
      <w:r w:rsidRPr="00FE2854">
        <w:rPr>
          <w:iCs/>
        </w:rPr>
        <w:t>A notorious example would be African widows, who historically have suffered discrimination as [</w:t>
      </w:r>
      <w:r w:rsidR="00C55B5C">
        <w:rPr>
          <w:iCs/>
        </w:rPr>
        <w:t>Black</w:t>
      </w:r>
      <w:r w:rsidRPr="00FE2854">
        <w:rPr>
          <w:iCs/>
        </w:rPr>
        <w:t xml:space="preserve"> people], as Africans, as women, as African women, as wid</w:t>
      </w:r>
      <w:r w:rsidR="000E117D">
        <w:rPr>
          <w:iCs/>
        </w:rPr>
        <w:t>ows and usually, as older people</w:t>
      </w:r>
      <w:r w:rsidR="003C1C8F">
        <w:rPr>
          <w:iCs/>
        </w:rPr>
        <w:t>.</w:t>
      </w:r>
      <w:r w:rsidRPr="00FE2854">
        <w:t>”</w:t>
      </w:r>
      <w:r w:rsidRPr="001A7B81">
        <w:rPr>
          <w:rStyle w:val="FootnoteReference"/>
        </w:rPr>
        <w:footnoteReference w:id="24"/>
      </w:r>
    </w:p>
    <w:p w14:paraId="4BF99D21" w14:textId="77777777" w:rsidR="0018085C" w:rsidRDefault="0018085C" w:rsidP="0018085C">
      <w:pPr>
        <w:pStyle w:val="JUDGMENTCONTINUED"/>
      </w:pPr>
    </w:p>
    <w:p w14:paraId="420DE7DC" w14:textId="53F5740B" w:rsidR="0018085C" w:rsidRDefault="00333B16" w:rsidP="00333B16">
      <w:pPr>
        <w:pStyle w:val="JUDGMENTNUMBERED"/>
        <w:numPr>
          <w:ilvl w:val="0"/>
          <w:numId w:val="0"/>
        </w:numPr>
        <w:ind w:left="709" w:hanging="709"/>
      </w:pPr>
      <w:r>
        <w:rPr>
          <w:color w:val="000000"/>
          <w14:scene3d>
            <w14:camera w14:prst="orthographicFront"/>
            <w14:lightRig w14:rig="threePt" w14:dir="t">
              <w14:rot w14:lat="0" w14:lon="0" w14:rev="0"/>
            </w14:lightRig>
          </w14:scene3d>
        </w:rPr>
        <w:t>[29]</w:t>
      </w:r>
      <w:r>
        <w:rPr>
          <w:color w:val="000000"/>
          <w14:scene3d>
            <w14:camera w14:prst="orthographicFront"/>
            <w14:lightRig w14:rig="threePt" w14:dir="t">
              <w14:rot w14:lat="0" w14:lon="0" w14:rev="0"/>
            </w14:lightRig>
          </w14:scene3d>
        </w:rPr>
        <w:tab/>
      </w:r>
      <w:r w:rsidR="0018085C" w:rsidRPr="00916188">
        <w:t xml:space="preserve">In </w:t>
      </w:r>
      <w:r w:rsidR="0018085C" w:rsidRPr="00916188">
        <w:rPr>
          <w:i/>
          <w:iCs/>
        </w:rPr>
        <w:t>Van Heerden</w:t>
      </w:r>
      <w:r w:rsidR="0018085C" w:rsidRPr="00916188">
        <w:rPr>
          <w:iCs/>
          <w:vertAlign w:val="superscript"/>
        </w:rPr>
        <w:footnoteReference w:id="25"/>
      </w:r>
      <w:r w:rsidR="0018085C" w:rsidRPr="00916188">
        <w:t xml:space="preserve"> this Court said</w:t>
      </w:r>
      <w:r w:rsidR="0018085C">
        <w:t>:</w:t>
      </w:r>
    </w:p>
    <w:p w14:paraId="2A84B9D7" w14:textId="77777777" w:rsidR="0018085C" w:rsidRPr="00D46311" w:rsidRDefault="0018085C" w:rsidP="00D34AD1">
      <w:pPr>
        <w:pStyle w:val="QUOTATION"/>
        <w:ind w:left="0"/>
      </w:pPr>
    </w:p>
    <w:p w14:paraId="40DA3B8E" w14:textId="3AD2EB52" w:rsidR="0018085C" w:rsidRDefault="0018085C" w:rsidP="0018085C">
      <w:pPr>
        <w:pStyle w:val="QUOTATION"/>
      </w:pPr>
      <w:r w:rsidRPr="001B3308">
        <w:t>“This substantive notion of equality recognises that besides uneven race, class and gender attributes of our society, there are other levels and forms of social differentiation and systematic under</w:t>
      </w:r>
      <w:r w:rsidR="00BC79AF">
        <w:t>-privilege, which still persist</w:t>
      </w:r>
      <w:r w:rsidRPr="001B3308">
        <w:t xml:space="preserve">.  The Constitution enjoins us to dismantle them and to prevent the creation of new patterns of disadvantage.  It is therefore incumbent on courts to scrutinise in each equality claim the situation of the complainants in society; their history and vulnerability; the history, nature and purpose of the discriminatory practice and whether it ameliorates or adds to group disadvantage in real life context, in order to determine its fairness or otherwise in the light of the values of our Constitution.  In the assessment of fairness or otherwise a flexible but </w:t>
      </w:r>
      <w:r w:rsidR="00BC79AF">
        <w:t>‘</w:t>
      </w:r>
      <w:r w:rsidRPr="001B3308">
        <w:t>situation sensitive</w:t>
      </w:r>
      <w:r w:rsidR="00BC79AF">
        <w:t>’</w:t>
      </w:r>
      <w:r w:rsidRPr="001B3308">
        <w:t xml:space="preserve"> approach is indispensable because of shifting patterns of hurtful discrimination and stereotypical response in our evolving democratic society.”</w:t>
      </w:r>
      <w:r w:rsidRPr="001B3308">
        <w:rPr>
          <w:rStyle w:val="FootnoteReference"/>
        </w:rPr>
        <w:footnoteReference w:id="26"/>
      </w:r>
    </w:p>
    <w:p w14:paraId="0F2B973F" w14:textId="77777777" w:rsidR="0018085C" w:rsidRPr="00916188" w:rsidRDefault="0018085C" w:rsidP="0018085C">
      <w:pPr>
        <w:pStyle w:val="JUDGMENTCONTINUED"/>
      </w:pPr>
    </w:p>
    <w:p w14:paraId="16560B81" w14:textId="4629FDAB" w:rsidR="0018085C" w:rsidRDefault="00333B16" w:rsidP="00333B16">
      <w:pPr>
        <w:pStyle w:val="JUDGMENTNUMBERED"/>
        <w:numPr>
          <w:ilvl w:val="0"/>
          <w:numId w:val="0"/>
        </w:numPr>
      </w:pPr>
      <w:r>
        <w:rPr>
          <w:color w:val="000000"/>
          <w14:scene3d>
            <w14:camera w14:prst="orthographicFront"/>
            <w14:lightRig w14:rig="threePt" w14:dir="t">
              <w14:rot w14:lat="0" w14:lon="0" w14:rev="0"/>
            </w14:lightRig>
          </w14:scene3d>
        </w:rPr>
        <w:t>[30]</w:t>
      </w:r>
      <w:r>
        <w:rPr>
          <w:color w:val="000000"/>
          <w14:scene3d>
            <w14:camera w14:prst="orthographicFront"/>
            <w14:lightRig w14:rig="threePt" w14:dir="t">
              <w14:rot w14:lat="0" w14:lon="0" w14:rev="0"/>
            </w14:lightRig>
          </w14:scene3d>
        </w:rPr>
        <w:tab/>
      </w:r>
      <w:r w:rsidR="0018085C">
        <w:t>Recently i</w:t>
      </w:r>
      <w:r w:rsidR="0018085C" w:rsidRPr="001B3308">
        <w:t xml:space="preserve">n </w:t>
      </w:r>
      <w:r w:rsidR="0018085C" w:rsidRPr="001B3308">
        <w:rPr>
          <w:i/>
        </w:rPr>
        <w:t>Mahlangu</w:t>
      </w:r>
      <w:r w:rsidR="0018085C" w:rsidRPr="001B3308">
        <w:t>,</w:t>
      </w:r>
      <w:r w:rsidR="0018085C">
        <w:rPr>
          <w:rStyle w:val="FootnoteReference"/>
        </w:rPr>
        <w:footnoteReference w:id="27"/>
      </w:r>
      <w:r w:rsidR="0018085C" w:rsidRPr="001B3308">
        <w:t xml:space="preserve"> this </w:t>
      </w:r>
      <w:r w:rsidR="0018085C">
        <w:t>C</w:t>
      </w:r>
      <w:r w:rsidR="0018085C" w:rsidRPr="001B3308">
        <w:t xml:space="preserve">ourt, dealing with </w:t>
      </w:r>
      <w:r w:rsidR="0018085C">
        <w:t>the Compensation for Occupational Injuries and Diseases Act</w:t>
      </w:r>
      <w:r w:rsidR="0018085C">
        <w:rPr>
          <w:rStyle w:val="FootnoteReference"/>
        </w:rPr>
        <w:footnoteReference w:id="28"/>
      </w:r>
      <w:r w:rsidR="0018085C" w:rsidRPr="001B3308">
        <w:t xml:space="preserve"> and the exclusion of domestic workers from its protection, said the following about multiple forms of discrimination:</w:t>
      </w:r>
    </w:p>
    <w:p w14:paraId="7E040F81" w14:textId="77777777" w:rsidR="0018085C" w:rsidRPr="00D46311" w:rsidRDefault="0018085C" w:rsidP="00D34AD1">
      <w:pPr>
        <w:pStyle w:val="QUOTATION"/>
        <w:ind w:left="0"/>
      </w:pPr>
    </w:p>
    <w:p w14:paraId="7CD3B82D" w14:textId="3193213D" w:rsidR="0018085C" w:rsidRPr="00CE780B" w:rsidRDefault="007D1665" w:rsidP="0018085C">
      <w:pPr>
        <w:pStyle w:val="QUOTATION"/>
      </w:pPr>
      <w:r>
        <w:t>“</w:t>
      </w:r>
      <w:r w:rsidR="0018085C" w:rsidRPr="00CE780B">
        <w:t xml:space="preserve">Crenshaw who coined the concept of the </w:t>
      </w:r>
      <w:r w:rsidR="0018085C">
        <w:t>‘</w:t>
      </w:r>
      <w:r w:rsidR="0018085C" w:rsidRPr="00CE780B">
        <w:t>intersectional</w:t>
      </w:r>
      <w:r w:rsidR="0018085C">
        <w:t>’</w:t>
      </w:r>
      <w:r w:rsidR="0018085C" w:rsidRPr="00CE780B">
        <w:t xml:space="preserve"> nature of discrimination, writing as a </w:t>
      </w:r>
      <w:r w:rsidR="00C55B5C">
        <w:t>Black</w:t>
      </w:r>
      <w:r w:rsidR="0018085C" w:rsidRPr="00CE780B">
        <w:t xml:space="preserve"> feminist on women studies, recognised and demonstrated how overlapping categories of identity (such as gender and race) impact individuals and </w:t>
      </w:r>
      <w:r w:rsidR="0018085C" w:rsidRPr="00CE780B">
        <w:lastRenderedPageBreak/>
        <w:t xml:space="preserve">institutions.  </w:t>
      </w:r>
      <w:r w:rsidR="0018085C" w:rsidRPr="00481C31">
        <w:t>Intersectionality aims to evaluate how intersecting and overlapping forms of oppression result in certain groups being subject to distinct and compounded forms of discrimination, vulnerability and subordination.</w:t>
      </w:r>
      <w:r w:rsidR="0018085C" w:rsidRPr="001467B2">
        <w:rPr>
          <w:rStyle w:val="FootnoteReference"/>
        </w:rPr>
        <w:footnoteReference w:id="29"/>
      </w:r>
      <w:r w:rsidR="0018085C" w:rsidRPr="00CE780B">
        <w:t xml:space="preserve">  As such, at times Black women may experience compounded forms of discrimination as compared to say Black men or White women.  Yet still in other cases they may experience forms of discrimination and vulnerability that are qualitatively different from both these groups.”</w:t>
      </w:r>
      <w:r w:rsidR="0018085C" w:rsidRPr="00844F09">
        <w:rPr>
          <w:rStyle w:val="FootnoteReference"/>
        </w:rPr>
        <w:t xml:space="preserve"> </w:t>
      </w:r>
      <w:r w:rsidR="0018085C" w:rsidRPr="00BE1DAB">
        <w:rPr>
          <w:rStyle w:val="FootnoteReference"/>
        </w:rPr>
        <w:footnoteReference w:id="30"/>
      </w:r>
    </w:p>
    <w:p w14:paraId="614DA157" w14:textId="77777777" w:rsidR="0018085C" w:rsidRPr="0093171D" w:rsidRDefault="0018085C" w:rsidP="0018085C">
      <w:pPr>
        <w:pStyle w:val="JUDGMENTCONTINUED"/>
      </w:pPr>
    </w:p>
    <w:p w14:paraId="3F335B33" w14:textId="51BFB2DD" w:rsidR="0018085C" w:rsidRPr="00F47B03" w:rsidRDefault="0018085C" w:rsidP="00870F72">
      <w:pPr>
        <w:pStyle w:val="JUDGMENTNUMBERED"/>
        <w:numPr>
          <w:ilvl w:val="0"/>
          <w:numId w:val="0"/>
        </w:numPr>
        <w:rPr>
          <w:sz w:val="2"/>
        </w:rPr>
      </w:pPr>
    </w:p>
    <w:p w14:paraId="0EEE5CA7" w14:textId="6E5B787B" w:rsidR="00FA1FDE" w:rsidRDefault="00333B16" w:rsidP="00333B16">
      <w:pPr>
        <w:pStyle w:val="JUDGMENTNUMBERED"/>
        <w:numPr>
          <w:ilvl w:val="0"/>
          <w:numId w:val="0"/>
        </w:numPr>
      </w:pPr>
      <w:r>
        <w:rPr>
          <w:color w:val="000000"/>
          <w14:scene3d>
            <w14:camera w14:prst="orthographicFront"/>
            <w14:lightRig w14:rig="threePt" w14:dir="t">
              <w14:rot w14:lat="0" w14:lon="0" w14:rev="0"/>
            </w14:lightRig>
          </w14:scene3d>
        </w:rPr>
        <w:t>[31]</w:t>
      </w:r>
      <w:r>
        <w:rPr>
          <w:color w:val="000000"/>
          <w14:scene3d>
            <w14:camera w14:prst="orthographicFront"/>
            <w14:lightRig w14:rig="threePt" w14:dir="t">
              <w14:rot w14:lat="0" w14:lon="0" w14:rev="0"/>
            </w14:lightRig>
          </w14:scene3d>
        </w:rPr>
        <w:tab/>
      </w:r>
      <w:r w:rsidR="00870F72">
        <w:t>S</w:t>
      </w:r>
      <w:r w:rsidR="00765DE2">
        <w:t xml:space="preserve">ocietal dynamics such as patriarchy, gender stereotyping, inflexible application of oppressive cultural practices </w:t>
      </w:r>
      <w:r w:rsidR="00765DE2" w:rsidRPr="003C3340">
        <w:t>etc</w:t>
      </w:r>
      <w:r w:rsidR="00DC7FF6" w:rsidRPr="003C3340">
        <w:t>,</w:t>
      </w:r>
      <w:r w:rsidR="00765DE2">
        <w:t xml:space="preserve"> perpertuate the intersectional consequences of the challenged </w:t>
      </w:r>
      <w:r w:rsidR="00765DE2" w:rsidRPr="00B85FDB">
        <w:t>provisions</w:t>
      </w:r>
      <w:r w:rsidR="00765DE2">
        <w:t xml:space="preserve"> on </w:t>
      </w:r>
      <w:r w:rsidR="00C55B5C">
        <w:t>Black</w:t>
      </w:r>
      <w:r w:rsidR="00765DE2">
        <w:t xml:space="preserve"> women. </w:t>
      </w:r>
      <w:r w:rsidR="00C55B5C">
        <w:t xml:space="preserve"> </w:t>
      </w:r>
      <w:r w:rsidR="00C5534C">
        <w:t>Patria</w:t>
      </w:r>
      <w:r w:rsidR="003E6D42">
        <w:t>r</w:t>
      </w:r>
      <w:r w:rsidR="00C5534C">
        <w:t>chy has resulted in different forms of discrimination against women with dire consequences.</w:t>
      </w:r>
      <w:r w:rsidR="00811F2A">
        <w:t xml:space="preserve"> </w:t>
      </w:r>
      <w:r w:rsidR="00C55B5C">
        <w:t xml:space="preserve"> </w:t>
      </w:r>
      <w:r w:rsidR="005C5B04">
        <w:t xml:space="preserve">It is therefore one of the main drivers of </w:t>
      </w:r>
      <w:r w:rsidR="003D60CE">
        <w:t xml:space="preserve">the </w:t>
      </w:r>
      <w:r w:rsidR="005C5B04">
        <w:t xml:space="preserve">oppression of women through gender stereotyping and the abuse of cultural practices.  </w:t>
      </w:r>
      <w:r w:rsidR="00244E36" w:rsidRPr="005C5B04">
        <w:t>These dire consequences have rendered women vulnerable and this vulnerability is an aspect of social reality</w:t>
      </w:r>
      <w:r w:rsidR="003D60CE">
        <w:t>.</w:t>
      </w:r>
      <w:r w:rsidR="00244E36" w:rsidRPr="005C5B04">
        <w:t xml:space="preserve"> </w:t>
      </w:r>
      <w:r w:rsidR="00811F2A" w:rsidRPr="005C5B04">
        <w:t xml:space="preserve"> </w:t>
      </w:r>
      <w:r w:rsidR="00FA1FDE">
        <w:t xml:space="preserve">In unpacking patriarchy </w:t>
      </w:r>
      <w:r w:rsidR="00FA1FDE" w:rsidRPr="000E121F">
        <w:t>Coetzee</w:t>
      </w:r>
      <w:r w:rsidR="00FA1FDE">
        <w:rPr>
          <w:rStyle w:val="FootnoteReference"/>
          <w:sz w:val="22"/>
        </w:rPr>
        <w:footnoteReference w:id="31"/>
      </w:r>
      <w:r w:rsidR="007E62FC">
        <w:t xml:space="preserve"> </w:t>
      </w:r>
      <w:r w:rsidR="00FA1FDE">
        <w:t>traces its origin and evolution as follows:</w:t>
      </w:r>
    </w:p>
    <w:p w14:paraId="422F2985" w14:textId="77777777" w:rsidR="00AD5543" w:rsidRDefault="00AD5543" w:rsidP="00D34AD1">
      <w:pPr>
        <w:pStyle w:val="QUOTATION"/>
        <w:ind w:left="0"/>
      </w:pPr>
    </w:p>
    <w:p w14:paraId="216C0C14" w14:textId="6B8037D7" w:rsidR="00AD5543" w:rsidRDefault="00FA1FDE" w:rsidP="00481C31">
      <w:pPr>
        <w:pStyle w:val="JUDGMENTNUMBERED"/>
        <w:numPr>
          <w:ilvl w:val="0"/>
          <w:numId w:val="0"/>
        </w:numPr>
        <w:ind w:left="720" w:right="720"/>
        <w:rPr>
          <w:sz w:val="22"/>
        </w:rPr>
      </w:pPr>
      <w:r>
        <w:t>“</w:t>
      </w:r>
      <w:r w:rsidRPr="00FA1FDE">
        <w:rPr>
          <w:sz w:val="22"/>
        </w:rPr>
        <w:t xml:space="preserve">The ‘ideology of patriarchy’ </w:t>
      </w:r>
      <w:r w:rsidR="00B85FDB">
        <w:rPr>
          <w:sz w:val="22"/>
        </w:rPr>
        <w:t xml:space="preserve">… </w:t>
      </w:r>
      <w:r w:rsidRPr="00FA1FDE">
        <w:rPr>
          <w:sz w:val="22"/>
        </w:rPr>
        <w:t>seems to have developed as a result of the elevation of ‘the idea of the leadership of the fathers’, to a position of paramount importance in societ</w:t>
      </w:r>
      <w:r w:rsidR="00D90B8E">
        <w:rPr>
          <w:sz w:val="22"/>
        </w:rPr>
        <w:t>y. …</w:t>
      </w:r>
      <w:r w:rsidR="00B104DF">
        <w:rPr>
          <w:sz w:val="22"/>
        </w:rPr>
        <w:t xml:space="preserve">  </w:t>
      </w:r>
      <w:r w:rsidRPr="00FA1FDE">
        <w:rPr>
          <w:sz w:val="22"/>
        </w:rPr>
        <w:t xml:space="preserve">However, as a result of the elevation of this ideal to acquire hyper-normative status, women were regarded as inferior to men. </w:t>
      </w:r>
      <w:r w:rsidR="00B104DF">
        <w:rPr>
          <w:sz w:val="22"/>
        </w:rPr>
        <w:t xml:space="preserve"> </w:t>
      </w:r>
      <w:r w:rsidRPr="00FA1FDE">
        <w:rPr>
          <w:sz w:val="22"/>
        </w:rPr>
        <w:t>An uneven power-relationship developed through which the male sex obtained supremacy over women, resulting in their subordination to men throughout society</w:t>
      </w:r>
      <w:r w:rsidR="00B104DF">
        <w:rPr>
          <w:sz w:val="22"/>
        </w:rPr>
        <w:t>.</w:t>
      </w:r>
      <w:r w:rsidRPr="00FA1FDE">
        <w:rPr>
          <w:sz w:val="22"/>
        </w:rPr>
        <w:t>”</w:t>
      </w:r>
      <w:r w:rsidR="000E121F">
        <w:rPr>
          <w:rStyle w:val="FootnoteReference"/>
          <w:sz w:val="22"/>
        </w:rPr>
        <w:footnoteReference w:id="32"/>
      </w:r>
    </w:p>
    <w:p w14:paraId="1FE2F48B" w14:textId="0BEEA3AA" w:rsidR="00FA1FDE" w:rsidRDefault="00FA1FDE" w:rsidP="00481C31">
      <w:pPr>
        <w:pStyle w:val="JUDGMENTCONTINUED"/>
      </w:pPr>
    </w:p>
    <w:p w14:paraId="594D2040" w14:textId="3C7CC33C" w:rsidR="00FA1FDE" w:rsidRDefault="00FA1FDE" w:rsidP="00FA1FDE">
      <w:pPr>
        <w:pStyle w:val="JUDGMENTCONTINUED"/>
      </w:pPr>
      <w:r>
        <w:t xml:space="preserve">She then observes how it has been used to </w:t>
      </w:r>
      <w:r w:rsidR="00B85FDB">
        <w:t>o</w:t>
      </w:r>
      <w:r>
        <w:t>p</w:t>
      </w:r>
      <w:r w:rsidR="00B85FDB">
        <w:t>p</w:t>
      </w:r>
      <w:r>
        <w:t>ress women for generations and says:</w:t>
      </w:r>
    </w:p>
    <w:p w14:paraId="63E62C49" w14:textId="77777777" w:rsidR="00AD5543" w:rsidRDefault="00AD5543" w:rsidP="00D34AD1">
      <w:pPr>
        <w:pStyle w:val="QUOTATION"/>
        <w:ind w:left="0"/>
      </w:pPr>
    </w:p>
    <w:p w14:paraId="5AD55F2E" w14:textId="55A71D0D" w:rsidR="008F5E64" w:rsidRDefault="008F5E64" w:rsidP="00481C31">
      <w:pPr>
        <w:pStyle w:val="JUDGMENTNUMBERED"/>
        <w:numPr>
          <w:ilvl w:val="0"/>
          <w:numId w:val="0"/>
        </w:numPr>
        <w:ind w:left="720" w:right="720"/>
        <w:rPr>
          <w:sz w:val="22"/>
        </w:rPr>
      </w:pPr>
      <w:r>
        <w:rPr>
          <w:sz w:val="24"/>
          <w:szCs w:val="24"/>
        </w:rPr>
        <w:t>“</w:t>
      </w:r>
      <w:r w:rsidRPr="00090AB5">
        <w:rPr>
          <w:sz w:val="22"/>
        </w:rPr>
        <w:t xml:space="preserve">In the first instance, women have been oppressed for generations and have been kept from liberating themselves by structures of domination, designed to maintain the </w:t>
      </w:r>
      <w:r w:rsidRPr="00090AB5">
        <w:rPr>
          <w:sz w:val="22"/>
        </w:rPr>
        <w:lastRenderedPageBreak/>
        <w:t>ideology.</w:t>
      </w:r>
      <w:r w:rsidR="00185703">
        <w:rPr>
          <w:sz w:val="22"/>
        </w:rPr>
        <w:t xml:space="preserve"> </w:t>
      </w:r>
      <w:r w:rsidRPr="00090AB5">
        <w:rPr>
          <w:sz w:val="22"/>
        </w:rPr>
        <w:t xml:space="preserve"> In the struggle to maintain the supremacy of the fathers, women were kept in their position of subservience through measures such as less educational opportunities than men, economic dependence, physical harassment, exclusion from leading roles in education, politics, the church and society at large</w:t>
      </w:r>
      <w:r>
        <w:rPr>
          <w:sz w:val="22"/>
        </w:rPr>
        <w:t>.</w:t>
      </w:r>
      <w:r w:rsidR="007E62FC">
        <w:rPr>
          <w:sz w:val="22"/>
        </w:rPr>
        <w:t>’</w:t>
      </w:r>
      <w:r>
        <w:rPr>
          <w:rStyle w:val="FootnoteReference"/>
          <w:sz w:val="22"/>
        </w:rPr>
        <w:footnoteReference w:id="33"/>
      </w:r>
    </w:p>
    <w:p w14:paraId="7CD7167A" w14:textId="303BC025" w:rsidR="00090AB5" w:rsidRDefault="00090AB5" w:rsidP="00040535">
      <w:pPr>
        <w:pStyle w:val="JUDGMENTCONTINUED"/>
      </w:pPr>
    </w:p>
    <w:p w14:paraId="0FB28BB1" w14:textId="1AEC17D8" w:rsidR="005C7DD9" w:rsidRPr="00916188" w:rsidRDefault="00333B16" w:rsidP="00333B16">
      <w:pPr>
        <w:pStyle w:val="JUDGMENTNUMBERED"/>
        <w:numPr>
          <w:ilvl w:val="0"/>
          <w:numId w:val="0"/>
        </w:numPr>
      </w:pPr>
      <w:r w:rsidRPr="00916188">
        <w:rPr>
          <w:color w:val="000000"/>
          <w14:scene3d>
            <w14:camera w14:prst="orthographicFront"/>
            <w14:lightRig w14:rig="threePt" w14:dir="t">
              <w14:rot w14:lat="0" w14:lon="0" w14:rev="0"/>
            </w14:lightRig>
          </w14:scene3d>
        </w:rPr>
        <w:t>[32]</w:t>
      </w:r>
      <w:r w:rsidRPr="00916188">
        <w:rPr>
          <w:color w:val="000000"/>
          <w14:scene3d>
            <w14:camera w14:prst="orthographicFront"/>
            <w14:lightRig w14:rig="threePt" w14:dir="t">
              <w14:rot w14:lat="0" w14:lon="0" w14:rev="0"/>
            </w14:lightRig>
          </w14:scene3d>
        </w:rPr>
        <w:tab/>
      </w:r>
      <w:r w:rsidR="006E1C93" w:rsidRPr="006E1C93">
        <w:t>It is uncontroverted that</w:t>
      </w:r>
      <w:r w:rsidR="006E1C93">
        <w:rPr>
          <w:sz w:val="24"/>
          <w:szCs w:val="24"/>
        </w:rPr>
        <w:t xml:space="preserve"> </w:t>
      </w:r>
      <w:r w:rsidR="006E1C93">
        <w:t>t</w:t>
      </w:r>
      <w:r w:rsidR="00DD2D61">
        <w:t xml:space="preserve">he </w:t>
      </w:r>
      <w:r w:rsidR="00DD2D61" w:rsidRPr="00781E17">
        <w:t>devastating impact of the</w:t>
      </w:r>
      <w:r w:rsidR="00DD2D61">
        <w:t xml:space="preserve"> challenged</w:t>
      </w:r>
      <w:r w:rsidR="00DD2D61" w:rsidRPr="00781E17">
        <w:t xml:space="preserve"> provisions on women</w:t>
      </w:r>
      <w:r w:rsidR="00FA1FDE">
        <w:t>, which is in turn aggravated by the multiple forms of discrimination</w:t>
      </w:r>
      <w:r w:rsidR="006E1C93">
        <w:t xml:space="preserve"> and  societal dynamics</w:t>
      </w:r>
      <w:r w:rsidR="007E62FC">
        <w:t>,</w:t>
      </w:r>
      <w:r w:rsidR="00FA1FDE">
        <w:t xml:space="preserve"> </w:t>
      </w:r>
      <w:r w:rsidR="008F5E64">
        <w:t xml:space="preserve">manifests itself in different ways. </w:t>
      </w:r>
      <w:r w:rsidR="00B104DF">
        <w:t xml:space="preserve"> </w:t>
      </w:r>
      <w:r w:rsidR="00DD2D61">
        <w:t xml:space="preserve">For instance, </w:t>
      </w:r>
      <w:r w:rsidR="005C7DD9">
        <w:t>w</w:t>
      </w:r>
      <w:r w:rsidR="005C7DD9" w:rsidRPr="00781E17">
        <w:t xml:space="preserve">omen traditionally bear the main responsibility for house work and child care. </w:t>
      </w:r>
      <w:r w:rsidR="00B104DF">
        <w:t xml:space="preserve"> </w:t>
      </w:r>
      <w:r w:rsidR="005C7DD9">
        <w:t xml:space="preserve">The result is that </w:t>
      </w:r>
      <w:r w:rsidR="00DD2D61" w:rsidRPr="00781E17">
        <w:t>women are less likely to be emp</w:t>
      </w:r>
      <w:r w:rsidR="00DD2D61">
        <w:t xml:space="preserve">loyed than men and, if employed, </w:t>
      </w:r>
      <w:r w:rsidR="00DD2D61" w:rsidRPr="00781E17">
        <w:t xml:space="preserve">are </w:t>
      </w:r>
      <w:r w:rsidR="00DD2D61">
        <w:t xml:space="preserve">more </w:t>
      </w:r>
      <w:r w:rsidR="00DD2D61" w:rsidRPr="00781E17">
        <w:t>likely to earn less than men.</w:t>
      </w:r>
      <w:r w:rsidR="00DD2D61" w:rsidRPr="00E91599">
        <w:rPr>
          <w:rStyle w:val="FootnoteReference"/>
        </w:rPr>
        <w:footnoteReference w:id="34"/>
      </w:r>
      <w:r w:rsidR="00DD2D61">
        <w:t xml:space="preserve"> </w:t>
      </w:r>
      <w:r w:rsidR="00DD2D61" w:rsidRPr="00781E17">
        <w:t xml:space="preserve"> </w:t>
      </w:r>
      <w:r w:rsidR="00EC6ACE" w:rsidRPr="00781E17">
        <w:t>Most of these women depend on their husbands for maintenance.</w:t>
      </w:r>
    </w:p>
    <w:p w14:paraId="69178714" w14:textId="4F8FAE6A" w:rsidR="003B7CC5" w:rsidRPr="003B7CC5" w:rsidRDefault="003B7CC5" w:rsidP="00040535">
      <w:pPr>
        <w:pStyle w:val="JUDGMENTCONTINUED"/>
      </w:pPr>
    </w:p>
    <w:p w14:paraId="331999EA" w14:textId="3742DB84" w:rsidR="00B06FD4" w:rsidRDefault="00333B16" w:rsidP="00333B16">
      <w:pPr>
        <w:pStyle w:val="JUDGMENTNUMBERED"/>
        <w:numPr>
          <w:ilvl w:val="0"/>
          <w:numId w:val="0"/>
        </w:numPr>
      </w:pPr>
      <w:r>
        <w:rPr>
          <w:color w:val="000000"/>
          <w14:scene3d>
            <w14:camera w14:prst="orthographicFront"/>
            <w14:lightRig w14:rig="threePt" w14:dir="t">
              <w14:rot w14:lat="0" w14:lon="0" w14:rev="0"/>
            </w14:lightRig>
          </w14:scene3d>
        </w:rPr>
        <w:t>[33]</w:t>
      </w:r>
      <w:r>
        <w:rPr>
          <w:color w:val="000000"/>
          <w14:scene3d>
            <w14:camera w14:prst="orthographicFront"/>
            <w14:lightRig w14:rig="threePt" w14:dir="t">
              <w14:rot w14:lat="0" w14:lon="0" w14:rev="0"/>
            </w14:lightRig>
          </w14:scene3d>
        </w:rPr>
        <w:tab/>
      </w:r>
      <w:r w:rsidR="00EC6ACE">
        <w:t>Men, as income earners, are also</w:t>
      </w:r>
      <w:r w:rsidR="00EC6ACE" w:rsidRPr="00781E17">
        <w:t xml:space="preserve"> more likely to obtain credit and therefore acquire property. </w:t>
      </w:r>
      <w:r w:rsidR="00244443">
        <w:t xml:space="preserve"> </w:t>
      </w:r>
      <w:r w:rsidR="004D5361">
        <w:t xml:space="preserve">The </w:t>
      </w:r>
      <w:r w:rsidR="003D3295">
        <w:t xml:space="preserve">consequence </w:t>
      </w:r>
      <w:r w:rsidR="004D5361">
        <w:t xml:space="preserve">is that </w:t>
      </w:r>
      <w:r w:rsidR="0005768E" w:rsidRPr="00916188">
        <w:t xml:space="preserve">women </w:t>
      </w:r>
      <w:r w:rsidR="004D5361">
        <w:t xml:space="preserve">in the position of Mrs Sithole </w:t>
      </w:r>
      <w:r w:rsidR="0005768E" w:rsidRPr="00916188">
        <w:t xml:space="preserve">are not able to register property or valuable assets in their own names. </w:t>
      </w:r>
      <w:r w:rsidR="0005768E">
        <w:t xml:space="preserve"> </w:t>
      </w:r>
      <w:r w:rsidR="004D5361">
        <w:t xml:space="preserve">Their husbands, who are generally </w:t>
      </w:r>
      <w:r w:rsidR="003B7CC5">
        <w:t>breadwinners</w:t>
      </w:r>
      <w:r w:rsidR="000E56F4">
        <w:t>,</w:t>
      </w:r>
      <w:r w:rsidR="004D5361">
        <w:t xml:space="preserve"> are able to have </w:t>
      </w:r>
      <w:r w:rsidR="0005768E" w:rsidRPr="00916188">
        <w:t>property</w:t>
      </w:r>
      <w:r w:rsidR="004D5361">
        <w:t>, usually the residential home of the couple</w:t>
      </w:r>
      <w:r w:rsidR="000E56F4">
        <w:t>,</w:t>
      </w:r>
      <w:r w:rsidR="0005768E" w:rsidRPr="00916188">
        <w:t xml:space="preserve"> </w:t>
      </w:r>
      <w:r w:rsidR="003B7CC5">
        <w:t>registered in their</w:t>
      </w:r>
      <w:r w:rsidR="0005768E" w:rsidRPr="00916188">
        <w:t xml:space="preserve"> name</w:t>
      </w:r>
      <w:r w:rsidR="003B7CC5">
        <w:t>s</w:t>
      </w:r>
      <w:r w:rsidR="00B06FD4">
        <w:t xml:space="preserve">. </w:t>
      </w:r>
      <w:r w:rsidR="00244443">
        <w:t xml:space="preserve"> </w:t>
      </w:r>
      <w:r w:rsidR="00B06FD4">
        <w:t xml:space="preserve">The effect of this is that the wife will </w:t>
      </w:r>
      <w:r w:rsidR="0005768E" w:rsidRPr="00916188">
        <w:t>have no control over the family property</w:t>
      </w:r>
      <w:r w:rsidR="00B06FD4">
        <w:t xml:space="preserve">. </w:t>
      </w:r>
      <w:r w:rsidR="00244443">
        <w:t xml:space="preserve"> </w:t>
      </w:r>
      <w:r w:rsidR="003B7CC5">
        <w:rPr>
          <w:szCs w:val="26"/>
        </w:rPr>
        <w:t>Th</w:t>
      </w:r>
      <w:r w:rsidR="00B06FD4" w:rsidRPr="001033C6">
        <w:rPr>
          <w:szCs w:val="26"/>
        </w:rPr>
        <w:t xml:space="preserve">e </w:t>
      </w:r>
      <w:r w:rsidR="003B7CC5">
        <w:rPr>
          <w:szCs w:val="26"/>
        </w:rPr>
        <w:t xml:space="preserve">husband </w:t>
      </w:r>
      <w:r w:rsidR="00B06FD4" w:rsidRPr="001033C6">
        <w:rPr>
          <w:szCs w:val="26"/>
        </w:rPr>
        <w:t>may rec</w:t>
      </w:r>
      <w:r w:rsidR="00B06FD4">
        <w:rPr>
          <w:szCs w:val="26"/>
        </w:rPr>
        <w:t>klessly fritter away the family’</w:t>
      </w:r>
      <w:r w:rsidR="00B06FD4" w:rsidRPr="001033C6">
        <w:rPr>
          <w:szCs w:val="26"/>
        </w:rPr>
        <w:t xml:space="preserve">s wealth, leave the property to somebody else other than his wife upon his death or unilaterally sell the family house. </w:t>
      </w:r>
      <w:r w:rsidR="00B06FD4">
        <w:rPr>
          <w:szCs w:val="26"/>
        </w:rPr>
        <w:t xml:space="preserve"> </w:t>
      </w:r>
      <w:r w:rsidR="00B06FD4" w:rsidRPr="001033C6">
        <w:rPr>
          <w:szCs w:val="26"/>
        </w:rPr>
        <w:t xml:space="preserve">This in turn may impact negatively upon the rights and interests of the wife in various ways: </w:t>
      </w:r>
      <w:r w:rsidR="00643721">
        <w:rPr>
          <w:szCs w:val="26"/>
        </w:rPr>
        <w:t>s</w:t>
      </w:r>
      <w:r w:rsidR="00B06FD4" w:rsidRPr="001033C6">
        <w:rPr>
          <w:szCs w:val="26"/>
        </w:rPr>
        <w:t xml:space="preserve">he may be evicted out of her home, and </w:t>
      </w:r>
      <w:r w:rsidR="00726169">
        <w:rPr>
          <w:szCs w:val="26"/>
        </w:rPr>
        <w:t xml:space="preserve">possibly </w:t>
      </w:r>
      <w:r w:rsidR="00CE5F0A">
        <w:rPr>
          <w:szCs w:val="26"/>
        </w:rPr>
        <w:t>leaving</w:t>
      </w:r>
      <w:r w:rsidR="00B06FD4" w:rsidRPr="001033C6">
        <w:rPr>
          <w:szCs w:val="26"/>
        </w:rPr>
        <w:t xml:space="preserve"> her vulnerable and unsafe; and she may be left with no </w:t>
      </w:r>
      <w:r w:rsidR="00B06FD4" w:rsidRPr="0039269A">
        <w:rPr>
          <w:szCs w:val="26"/>
        </w:rPr>
        <w:t>livelihood or</w:t>
      </w:r>
      <w:r w:rsidR="00B06FD4" w:rsidRPr="001033C6">
        <w:rPr>
          <w:szCs w:val="26"/>
        </w:rPr>
        <w:t xml:space="preserve"> nothing to ensure that her basic needs are met (including healthcare, food and security).</w:t>
      </w:r>
    </w:p>
    <w:p w14:paraId="47809979" w14:textId="77777777" w:rsidR="005C7DD9" w:rsidRPr="005C7DD9" w:rsidRDefault="005C7DD9" w:rsidP="005C7DD9">
      <w:pPr>
        <w:pStyle w:val="JUDGMENTCONTINUED"/>
      </w:pPr>
    </w:p>
    <w:p w14:paraId="0AA8154F" w14:textId="6A7C2275" w:rsidR="004F4892" w:rsidRDefault="00333B16" w:rsidP="00333B16">
      <w:pPr>
        <w:pStyle w:val="JUDGMENTNUMBERED"/>
        <w:numPr>
          <w:ilvl w:val="0"/>
          <w:numId w:val="0"/>
        </w:numPr>
      </w:pPr>
      <w:r>
        <w:rPr>
          <w:color w:val="000000"/>
          <w14:scene3d>
            <w14:camera w14:prst="orthographicFront"/>
            <w14:lightRig w14:rig="threePt" w14:dir="t">
              <w14:rot w14:lat="0" w14:lon="0" w14:rev="0"/>
            </w14:lightRig>
          </w14:scene3d>
        </w:rPr>
        <w:t>[34]</w:t>
      </w:r>
      <w:r>
        <w:rPr>
          <w:color w:val="000000"/>
          <w14:scene3d>
            <w14:camera w14:prst="orthographicFront"/>
            <w14:lightRig w14:rig="threePt" w14:dir="t">
              <w14:rot w14:lat="0" w14:lon="0" w14:rev="0"/>
            </w14:lightRig>
          </w14:scene3d>
        </w:rPr>
        <w:tab/>
      </w:r>
      <w:r w:rsidR="0005768E" w:rsidRPr="00916188">
        <w:t xml:space="preserve">This is the kind of situation </w:t>
      </w:r>
      <w:r w:rsidR="008B15E1">
        <w:t xml:space="preserve">that </w:t>
      </w:r>
      <w:r w:rsidR="0005768E" w:rsidRPr="00916188">
        <w:t>M</w:t>
      </w:r>
      <w:r w:rsidR="003B7CC5">
        <w:t>r</w:t>
      </w:r>
      <w:r w:rsidR="0005768E" w:rsidRPr="00916188">
        <w:t>s Sithole found herself</w:t>
      </w:r>
      <w:r w:rsidR="008B15E1">
        <w:t xml:space="preserve"> in</w:t>
      </w:r>
      <w:r w:rsidR="0005768E" w:rsidRPr="00916188">
        <w:t xml:space="preserve"> when she experienced marital problems. </w:t>
      </w:r>
      <w:r w:rsidR="0005768E">
        <w:t xml:space="preserve"> </w:t>
      </w:r>
      <w:r w:rsidR="0005768E" w:rsidRPr="00916188">
        <w:t xml:space="preserve">She had utilised her own meagre earnings to pay for the </w:t>
      </w:r>
      <w:r w:rsidR="003F0F8C">
        <w:t>other ne</w:t>
      </w:r>
      <w:r w:rsidR="003B7CC5">
        <w:t>e</w:t>
      </w:r>
      <w:r w:rsidR="003F0F8C">
        <w:t xml:space="preserve">ds of the family, </w:t>
      </w:r>
      <w:r w:rsidR="0005768E" w:rsidRPr="00916188">
        <w:t>yet</w:t>
      </w:r>
      <w:r w:rsidR="00DD293D">
        <w:t xml:space="preserve">, according to her, </w:t>
      </w:r>
      <w:r w:rsidR="00300D9E">
        <w:t>her husband threatened</w:t>
      </w:r>
      <w:r w:rsidR="0005768E" w:rsidRPr="00916188">
        <w:t xml:space="preserve"> to dispose of the property unilaterally with no regard </w:t>
      </w:r>
      <w:r w:rsidR="008B15E1">
        <w:t xml:space="preserve">for </w:t>
      </w:r>
      <w:r w:rsidR="0005768E" w:rsidRPr="00916188">
        <w:t xml:space="preserve">her welfare and security. </w:t>
      </w:r>
      <w:r w:rsidR="0005768E">
        <w:t xml:space="preserve"> </w:t>
      </w:r>
      <w:r w:rsidR="0005768E" w:rsidRPr="00916188">
        <w:t>In order to avoid losing her home, she had to seek an interdict.</w:t>
      </w:r>
      <w:r w:rsidR="0005768E">
        <w:t xml:space="preserve"> </w:t>
      </w:r>
      <w:r w:rsidR="0005768E" w:rsidRPr="00916188">
        <w:t xml:space="preserve"> Had she not sought legal advice in or</w:t>
      </w:r>
      <w:r w:rsidR="003B7CC5">
        <w:t xml:space="preserve">der </w:t>
      </w:r>
      <w:r w:rsidR="003B7CC5">
        <w:lastRenderedPageBreak/>
        <w:t xml:space="preserve">to </w:t>
      </w:r>
      <w:r w:rsidR="004F4892">
        <w:t>obtain</w:t>
      </w:r>
      <w:r w:rsidR="003B7CC5">
        <w:t xml:space="preserve"> the interdict, she w</w:t>
      </w:r>
      <w:r w:rsidR="0005768E" w:rsidRPr="00916188">
        <w:t xml:space="preserve">ould </w:t>
      </w:r>
      <w:r w:rsidR="003B7CC5">
        <w:t xml:space="preserve">probably </w:t>
      </w:r>
      <w:r w:rsidR="0005768E" w:rsidRPr="00916188">
        <w:t>have been rendered homeless</w:t>
      </w:r>
      <w:r w:rsidR="003B7CC5">
        <w:t>.  T</w:t>
      </w:r>
      <w:r w:rsidR="0005768E" w:rsidRPr="00916188">
        <w:t>he fact that she had used her own income for the other household expenses would not have been factored in.</w:t>
      </w:r>
    </w:p>
    <w:p w14:paraId="7E005DDE" w14:textId="77777777" w:rsidR="00B776B0" w:rsidRPr="00B776B0" w:rsidRDefault="00B776B0" w:rsidP="00B776B0">
      <w:pPr>
        <w:pStyle w:val="JUDGMENTCONTINUED"/>
      </w:pPr>
    </w:p>
    <w:p w14:paraId="1ECF309B" w14:textId="4111FF4E" w:rsidR="003B2D86" w:rsidRDefault="00333B16" w:rsidP="00333B16">
      <w:pPr>
        <w:pStyle w:val="JUDGMENTNUMBERED"/>
        <w:numPr>
          <w:ilvl w:val="0"/>
          <w:numId w:val="0"/>
        </w:numPr>
        <w:rPr>
          <w:szCs w:val="26"/>
        </w:rPr>
      </w:pPr>
      <w:r>
        <w:rPr>
          <w:color w:val="000000"/>
          <w:szCs w:val="26"/>
          <w14:scene3d>
            <w14:camera w14:prst="orthographicFront"/>
            <w14:lightRig w14:rig="threePt" w14:dir="t">
              <w14:rot w14:lat="0" w14:lon="0" w14:rev="0"/>
            </w14:lightRig>
          </w14:scene3d>
        </w:rPr>
        <w:t>[35]</w:t>
      </w:r>
      <w:r>
        <w:rPr>
          <w:color w:val="000000"/>
          <w:szCs w:val="26"/>
          <w14:scene3d>
            <w14:camera w14:prst="orthographicFront"/>
            <w14:lightRig w14:rig="threePt" w14:dir="t">
              <w14:rot w14:lat="0" w14:lon="0" w14:rev="0"/>
            </w14:lightRig>
          </w14:scene3d>
        </w:rPr>
        <w:tab/>
      </w:r>
      <w:r w:rsidR="003F0F8C">
        <w:t>Women of other racial groups who got married before the 1988</w:t>
      </w:r>
      <w:r w:rsidR="003F0F8C" w:rsidRPr="003F0F8C">
        <w:rPr>
          <w:szCs w:val="26"/>
        </w:rPr>
        <w:t xml:space="preserve"> </w:t>
      </w:r>
      <w:r w:rsidR="003F0F8C">
        <w:rPr>
          <w:szCs w:val="26"/>
        </w:rPr>
        <w:t xml:space="preserve">amendment and who did not opt out of the default position, did not suffer the prejudices suffered by the likes of Mrs Sithole. </w:t>
      </w:r>
      <w:r w:rsidR="00715D4C">
        <w:rPr>
          <w:szCs w:val="26"/>
        </w:rPr>
        <w:t xml:space="preserve"> </w:t>
      </w:r>
      <w:r w:rsidR="003F0F8C">
        <w:rPr>
          <w:szCs w:val="26"/>
        </w:rPr>
        <w:t xml:space="preserve">The default position was that they were married in community of property and this meant that </w:t>
      </w:r>
      <w:r w:rsidR="003F0F8C" w:rsidRPr="0060611D">
        <w:rPr>
          <w:szCs w:val="26"/>
        </w:rPr>
        <w:t>a</w:t>
      </w:r>
      <w:r w:rsidR="003F0F8C">
        <w:rPr>
          <w:szCs w:val="26"/>
        </w:rPr>
        <w:t xml:space="preserve">ssets acquired with </w:t>
      </w:r>
      <w:r w:rsidR="003B7CC5">
        <w:rPr>
          <w:szCs w:val="26"/>
        </w:rPr>
        <w:t>t</w:t>
      </w:r>
      <w:r w:rsidR="003F0F8C">
        <w:rPr>
          <w:szCs w:val="26"/>
        </w:rPr>
        <w:t>he</w:t>
      </w:r>
      <w:r w:rsidR="003B7CC5">
        <w:rPr>
          <w:szCs w:val="26"/>
        </w:rPr>
        <w:t>ir husband</w:t>
      </w:r>
      <w:r w:rsidR="003F0F8C" w:rsidRPr="0060611D">
        <w:rPr>
          <w:szCs w:val="26"/>
        </w:rPr>
        <w:t>s</w:t>
      </w:r>
      <w:r w:rsidR="003B7CC5">
        <w:rPr>
          <w:szCs w:val="26"/>
        </w:rPr>
        <w:t>’ income fell into the joint estate and t</w:t>
      </w:r>
      <w:r w:rsidR="003F0F8C" w:rsidRPr="0060611D">
        <w:rPr>
          <w:szCs w:val="26"/>
        </w:rPr>
        <w:t>he</w:t>
      </w:r>
      <w:r w:rsidR="003B7CC5">
        <w:rPr>
          <w:szCs w:val="26"/>
        </w:rPr>
        <w:t>y became</w:t>
      </w:r>
      <w:r w:rsidR="003F0F8C" w:rsidRPr="0060611D">
        <w:rPr>
          <w:szCs w:val="26"/>
        </w:rPr>
        <w:t xml:space="preserve"> co-owner</w:t>
      </w:r>
      <w:r w:rsidR="00DD293D">
        <w:rPr>
          <w:szCs w:val="26"/>
        </w:rPr>
        <w:t>s</w:t>
      </w:r>
      <w:r w:rsidR="003F0F8C" w:rsidRPr="0060611D">
        <w:rPr>
          <w:szCs w:val="26"/>
        </w:rPr>
        <w:t xml:space="preserve"> of those assets.</w:t>
      </w:r>
    </w:p>
    <w:p w14:paraId="2F31FB4D" w14:textId="77777777" w:rsidR="00B11AD5" w:rsidRPr="00B11AD5" w:rsidRDefault="00B11AD5" w:rsidP="00AA16EF">
      <w:pPr>
        <w:pStyle w:val="JUDGMENTCONTINUED"/>
      </w:pPr>
    </w:p>
    <w:p w14:paraId="254AB879" w14:textId="2B499626" w:rsidR="00040535" w:rsidRDefault="00333B16" w:rsidP="00333B16">
      <w:pPr>
        <w:pStyle w:val="JUDGMENTNUMBERED"/>
        <w:numPr>
          <w:ilvl w:val="0"/>
          <w:numId w:val="0"/>
        </w:numPr>
      </w:pPr>
      <w:r>
        <w:rPr>
          <w:color w:val="000000"/>
          <w14:scene3d>
            <w14:camera w14:prst="orthographicFront"/>
            <w14:lightRig w14:rig="threePt" w14:dir="t">
              <w14:rot w14:lat="0" w14:lon="0" w14:rev="0"/>
            </w14:lightRig>
          </w14:scene3d>
        </w:rPr>
        <w:t>[36]</w:t>
      </w:r>
      <w:r>
        <w:rPr>
          <w:color w:val="000000"/>
          <w14:scene3d>
            <w14:camera w14:prst="orthographicFront"/>
            <w14:lightRig w14:rig="threePt" w14:dir="t">
              <w14:rot w14:lat="0" w14:lon="0" w14:rev="0"/>
            </w14:lightRig>
          </w14:scene3d>
        </w:rPr>
        <w:tab/>
      </w:r>
      <w:r w:rsidR="006528C5">
        <w:t>Most women did not change their matrimonial regimes</w:t>
      </w:r>
      <w:r w:rsidR="005B5A5E">
        <w:t>,</w:t>
      </w:r>
      <w:r w:rsidR="00B91126">
        <w:t xml:space="preserve"> because they were unaware</w:t>
      </w:r>
      <w:r w:rsidR="006528C5">
        <w:t xml:space="preserve"> of their legal rights and were not apprised of the </w:t>
      </w:r>
      <w:r w:rsidR="00AA4679">
        <w:t xml:space="preserve">provisions of section 21(2)(a).  </w:t>
      </w:r>
      <w:r w:rsidR="00FE6396">
        <w:t xml:space="preserve">The fact that a majority of </w:t>
      </w:r>
      <w:r w:rsidR="00C55B5C">
        <w:t>Black</w:t>
      </w:r>
      <w:r w:rsidR="00FE6396">
        <w:t xml:space="preserve"> women in the position of Mrs Sithole did not convert their matrimonial regimes </w:t>
      </w:r>
      <w:r w:rsidR="00AF183A">
        <w:t xml:space="preserve">as envisaged in section 21(2)(a) </w:t>
      </w:r>
      <w:r w:rsidR="003B7CC5">
        <w:t xml:space="preserve">can be attributed </w:t>
      </w:r>
      <w:r w:rsidR="00FE6396">
        <w:t xml:space="preserve">largely </w:t>
      </w:r>
      <w:r w:rsidR="003B7CC5">
        <w:t xml:space="preserve">to the legacy </w:t>
      </w:r>
      <w:r w:rsidR="00FE6396">
        <w:t xml:space="preserve">of our ugly racial and unequal past. </w:t>
      </w:r>
      <w:r w:rsidR="00715D4C">
        <w:t xml:space="preserve"> </w:t>
      </w:r>
      <w:r w:rsidR="00653A86" w:rsidRPr="00916188">
        <w:t>A</w:t>
      </w:r>
      <w:r w:rsidR="00B91126">
        <w:t>s is commonly known a</w:t>
      </w:r>
      <w:r w:rsidR="00653A86" w:rsidRPr="00916188">
        <w:t xml:space="preserve"> majority of </w:t>
      </w:r>
      <w:r w:rsidR="00C55B5C">
        <w:t>Black</w:t>
      </w:r>
      <w:r w:rsidR="00653A86" w:rsidRPr="00916188">
        <w:t xml:space="preserve"> women in South Africa live in the rural areas and townships</w:t>
      </w:r>
      <w:r w:rsidR="00B91126">
        <w:t xml:space="preserve"> a</w:t>
      </w:r>
      <w:r w:rsidR="007F43FC">
        <w:t>nd are not fully</w:t>
      </w:r>
      <w:r w:rsidR="00B91126">
        <w:t xml:space="preserve"> apprised of their legal rights</w:t>
      </w:r>
      <w:r w:rsidR="00653A86" w:rsidRPr="00916188">
        <w:t>.</w:t>
      </w:r>
      <w:r w:rsidR="00653A86">
        <w:t xml:space="preserve"> </w:t>
      </w:r>
      <w:r w:rsidR="00653A86" w:rsidRPr="00916188">
        <w:t xml:space="preserve"> </w:t>
      </w:r>
      <w:r w:rsidR="00D575BD">
        <w:t>Ms Budlender</w:t>
      </w:r>
      <w:r w:rsidR="00B91126">
        <w:t>,</w:t>
      </w:r>
      <w:r w:rsidR="00D575BD">
        <w:t xml:space="preserve"> in her affidavit</w:t>
      </w:r>
      <w:r w:rsidR="00B91126">
        <w:t>,</w:t>
      </w:r>
      <w:r w:rsidR="00D575BD">
        <w:t xml:space="preserve"> </w:t>
      </w:r>
      <w:r w:rsidR="00D575BD" w:rsidRPr="00FA3FBC">
        <w:t xml:space="preserve">highlights the fact that the apartheid government did not place the same emphasis as the current democratic government on informing people of their rights. </w:t>
      </w:r>
      <w:r w:rsidR="00856502">
        <w:t xml:space="preserve"> </w:t>
      </w:r>
    </w:p>
    <w:p w14:paraId="43D89CD5" w14:textId="77777777" w:rsidR="00040535" w:rsidRPr="00040535" w:rsidRDefault="00040535" w:rsidP="00040535">
      <w:pPr>
        <w:pStyle w:val="JUDGMENTCONTINUED"/>
      </w:pPr>
    </w:p>
    <w:p w14:paraId="118ADBBE" w14:textId="78352E99" w:rsidR="003C0FCB" w:rsidRDefault="00333B16" w:rsidP="00333B16">
      <w:pPr>
        <w:pStyle w:val="JUDGMENTNUMBERED"/>
        <w:numPr>
          <w:ilvl w:val="0"/>
          <w:numId w:val="0"/>
        </w:numPr>
        <w:rPr>
          <w:szCs w:val="26"/>
        </w:rPr>
      </w:pPr>
      <w:r>
        <w:rPr>
          <w:color w:val="000000"/>
          <w:szCs w:val="26"/>
          <w14:scene3d>
            <w14:camera w14:prst="orthographicFront"/>
            <w14:lightRig w14:rig="threePt" w14:dir="t">
              <w14:rot w14:lat="0" w14:lon="0" w14:rev="0"/>
            </w14:lightRig>
          </w14:scene3d>
        </w:rPr>
        <w:t>[37]</w:t>
      </w:r>
      <w:r>
        <w:rPr>
          <w:color w:val="000000"/>
          <w:szCs w:val="26"/>
          <w14:scene3d>
            <w14:camera w14:prst="orthographicFront"/>
            <w14:lightRig w14:rig="threePt" w14:dir="t">
              <w14:rot w14:lat="0" w14:lon="0" w14:rev="0"/>
            </w14:lightRig>
          </w14:scene3d>
        </w:rPr>
        <w:tab/>
      </w:r>
      <w:r w:rsidR="00653A86">
        <w:t xml:space="preserve">For these reasons, </w:t>
      </w:r>
      <w:r w:rsidR="00D575BD" w:rsidRPr="00FA3FBC">
        <w:t>few people took up the opportunity to execute and reg</w:t>
      </w:r>
      <w:r w:rsidR="00D575BD">
        <w:t>ister notarial contract</w:t>
      </w:r>
      <w:r w:rsidR="004F4892">
        <w:t>s</w:t>
      </w:r>
      <w:r w:rsidR="00BF5F58">
        <w:t xml:space="preserve"> </w:t>
      </w:r>
      <w:r w:rsidR="00BF5F58" w:rsidRPr="00E91599">
        <w:t>to modify their matrimonial regime</w:t>
      </w:r>
      <w:r w:rsidR="00D575BD">
        <w:t>.</w:t>
      </w:r>
      <w:r w:rsidR="00D575BD" w:rsidRPr="003B2D86">
        <w:rPr>
          <w:szCs w:val="26"/>
        </w:rPr>
        <w:t xml:space="preserve"> </w:t>
      </w:r>
      <w:r w:rsidR="00856502" w:rsidRPr="003B2D86">
        <w:rPr>
          <w:szCs w:val="26"/>
        </w:rPr>
        <w:t xml:space="preserve"> </w:t>
      </w:r>
      <w:r w:rsidR="00D575BD" w:rsidRPr="003B2D86">
        <w:rPr>
          <w:szCs w:val="26"/>
        </w:rPr>
        <w:t>The second applicant corroborates</w:t>
      </w:r>
      <w:r w:rsidR="00B91126">
        <w:rPr>
          <w:szCs w:val="26"/>
        </w:rPr>
        <w:t>,</w:t>
      </w:r>
      <w:r w:rsidR="00D575BD" w:rsidRPr="003B2D86">
        <w:rPr>
          <w:szCs w:val="26"/>
        </w:rPr>
        <w:t xml:space="preserve"> to a certain extent</w:t>
      </w:r>
      <w:r w:rsidR="00B91126">
        <w:rPr>
          <w:szCs w:val="26"/>
        </w:rPr>
        <w:t>,</w:t>
      </w:r>
      <w:r w:rsidR="00D575BD" w:rsidRPr="003B2D86">
        <w:rPr>
          <w:szCs w:val="26"/>
        </w:rPr>
        <w:t xml:space="preserve"> Ms Budlender’s evidence that some women are simply ignorant of their matrimonial regimes</w:t>
      </w:r>
      <w:r w:rsidR="003B7CC5" w:rsidRPr="003B2D86">
        <w:rPr>
          <w:szCs w:val="26"/>
        </w:rPr>
        <w:t xml:space="preserve">. </w:t>
      </w:r>
      <w:r w:rsidR="00B91126">
        <w:rPr>
          <w:szCs w:val="26"/>
        </w:rPr>
        <w:t xml:space="preserve"> </w:t>
      </w:r>
      <w:r w:rsidR="00D81287">
        <w:rPr>
          <w:szCs w:val="26"/>
        </w:rPr>
        <w:t xml:space="preserve">It </w:t>
      </w:r>
      <w:r w:rsidR="003B7CC5" w:rsidRPr="003B2D86">
        <w:rPr>
          <w:szCs w:val="26"/>
        </w:rPr>
        <w:t xml:space="preserve"> </w:t>
      </w:r>
      <w:r w:rsidR="00D575BD" w:rsidRPr="003B2D86">
        <w:rPr>
          <w:szCs w:val="26"/>
        </w:rPr>
        <w:t>states that</w:t>
      </w:r>
      <w:r w:rsidR="007F43FC">
        <w:rPr>
          <w:szCs w:val="26"/>
        </w:rPr>
        <w:t>,</w:t>
      </w:r>
      <w:r w:rsidR="00D575BD" w:rsidRPr="003B2D86">
        <w:rPr>
          <w:szCs w:val="26"/>
        </w:rPr>
        <w:t xml:space="preserve"> </w:t>
      </w:r>
      <w:r w:rsidR="007F43FC">
        <w:rPr>
          <w:szCs w:val="26"/>
        </w:rPr>
        <w:t>“</w:t>
      </w:r>
      <w:r w:rsidR="00D575BD" w:rsidRPr="003B2D86">
        <w:rPr>
          <w:szCs w:val="26"/>
        </w:rPr>
        <w:t xml:space="preserve">it is not a rare occurrence for persons married under the BAA to wrongly assume that their marriage is </w:t>
      </w:r>
      <w:r w:rsidR="00BF5F58" w:rsidRPr="003B2D86">
        <w:rPr>
          <w:szCs w:val="26"/>
        </w:rPr>
        <w:t xml:space="preserve">in </w:t>
      </w:r>
      <w:r w:rsidR="00D575BD" w:rsidRPr="003B2D86">
        <w:rPr>
          <w:szCs w:val="26"/>
        </w:rPr>
        <w:t xml:space="preserve">community of property. </w:t>
      </w:r>
      <w:r w:rsidR="001E091C" w:rsidRPr="003B2D86">
        <w:rPr>
          <w:szCs w:val="26"/>
        </w:rPr>
        <w:t xml:space="preserve"> </w:t>
      </w:r>
      <w:r w:rsidR="00D575BD" w:rsidRPr="003B2D86">
        <w:rPr>
          <w:szCs w:val="26"/>
        </w:rPr>
        <w:t xml:space="preserve">For </w:t>
      </w:r>
      <w:r w:rsidR="007F43FC">
        <w:rPr>
          <w:szCs w:val="26"/>
        </w:rPr>
        <w:t>such</w:t>
      </w:r>
      <w:r w:rsidR="00D575BD" w:rsidRPr="003B2D86">
        <w:rPr>
          <w:szCs w:val="26"/>
        </w:rPr>
        <w:t xml:space="preserve"> persons, the 1988 amendment of the MPA, creating the right to change the matrimonial property regime by registering a notarial contract, was a dead letter.</w:t>
      </w:r>
      <w:r w:rsidR="007F43FC">
        <w:rPr>
          <w:szCs w:val="26"/>
        </w:rPr>
        <w:t>”</w:t>
      </w:r>
    </w:p>
    <w:p w14:paraId="39386E8F" w14:textId="0FC58490" w:rsidR="00F6640F" w:rsidRDefault="00F6640F" w:rsidP="00AA16EF">
      <w:pPr>
        <w:pStyle w:val="JUDGMENTCONTINUED"/>
      </w:pPr>
    </w:p>
    <w:p w14:paraId="14A0D05A" w14:textId="2A32C17A" w:rsidR="00F6640F" w:rsidRDefault="00333B16" w:rsidP="00333B16">
      <w:pPr>
        <w:pStyle w:val="JUDGMENTNUMBERED"/>
        <w:numPr>
          <w:ilvl w:val="0"/>
          <w:numId w:val="0"/>
        </w:numPr>
        <w:rPr>
          <w:rFonts w:eastAsia="Times New Roman"/>
          <w:szCs w:val="26"/>
        </w:rPr>
      </w:pPr>
      <w:r>
        <w:rPr>
          <w:rFonts w:eastAsia="Times New Roman"/>
          <w:color w:val="000000"/>
          <w:szCs w:val="26"/>
          <w14:scene3d>
            <w14:camera w14:prst="orthographicFront"/>
            <w14:lightRig w14:rig="threePt" w14:dir="t">
              <w14:rot w14:lat="0" w14:lon="0" w14:rev="0"/>
            </w14:lightRig>
          </w14:scene3d>
        </w:rPr>
        <w:t>[38]</w:t>
      </w:r>
      <w:r>
        <w:rPr>
          <w:rFonts w:eastAsia="Times New Roman"/>
          <w:color w:val="000000"/>
          <w:szCs w:val="26"/>
          <w14:scene3d>
            <w14:camera w14:prst="orthographicFront"/>
            <w14:lightRig w14:rig="threePt" w14:dir="t">
              <w14:rot w14:lat="0" w14:lon="0" w14:rev="0"/>
            </w14:lightRig>
          </w14:scene3d>
        </w:rPr>
        <w:tab/>
      </w:r>
      <w:r w:rsidR="00F6640F">
        <w:rPr>
          <w:rFonts w:eastAsia="Times New Roman"/>
          <w:szCs w:val="26"/>
        </w:rPr>
        <w:t>Although section 21(1) was held to pass constitutional muster</w:t>
      </w:r>
      <w:r w:rsidR="00F6640F" w:rsidRPr="00B87A93">
        <w:rPr>
          <w:rFonts w:eastAsia="Times New Roman"/>
          <w:szCs w:val="26"/>
        </w:rPr>
        <w:t xml:space="preserve"> </w:t>
      </w:r>
      <w:r w:rsidR="00F6640F">
        <w:rPr>
          <w:rFonts w:eastAsia="Times New Roman"/>
          <w:szCs w:val="26"/>
        </w:rPr>
        <w:t xml:space="preserve">by the High Court, it is important to highlight that to the extent that it envisages consensus between the </w:t>
      </w:r>
      <w:r w:rsidR="00F6640F">
        <w:rPr>
          <w:rFonts w:eastAsia="Times New Roman"/>
          <w:szCs w:val="26"/>
        </w:rPr>
        <w:lastRenderedPageBreak/>
        <w:t>parties in order to vary the matrimonial regime, it is not disputed that m</w:t>
      </w:r>
      <w:r w:rsidR="00F6640F" w:rsidRPr="00D575BD">
        <w:rPr>
          <w:rFonts w:eastAsia="Times New Roman"/>
          <w:szCs w:val="26"/>
        </w:rPr>
        <w:t>any women are unable to obtain their husband’s consent to al</w:t>
      </w:r>
      <w:r w:rsidR="00F6640F">
        <w:rPr>
          <w:rFonts w:eastAsia="Times New Roman"/>
          <w:szCs w:val="26"/>
        </w:rPr>
        <w:t>ter their matrimonial</w:t>
      </w:r>
      <w:r w:rsidR="00F6640F" w:rsidRPr="00D575BD">
        <w:rPr>
          <w:rFonts w:eastAsia="Times New Roman"/>
          <w:szCs w:val="26"/>
        </w:rPr>
        <w:t xml:space="preserve"> regime. </w:t>
      </w:r>
      <w:r w:rsidR="00B91126">
        <w:rPr>
          <w:rFonts w:eastAsia="Times New Roman"/>
          <w:szCs w:val="26"/>
        </w:rPr>
        <w:t xml:space="preserve"> </w:t>
      </w:r>
      <w:r w:rsidR="00405DDB">
        <w:rPr>
          <w:rFonts w:eastAsia="Times New Roman"/>
          <w:szCs w:val="26"/>
        </w:rPr>
        <w:t xml:space="preserve">This is because </w:t>
      </w:r>
      <w:r w:rsidR="006528C5" w:rsidRPr="00D575BD">
        <w:rPr>
          <w:rFonts w:eastAsia="Times New Roman"/>
          <w:szCs w:val="26"/>
        </w:rPr>
        <w:t xml:space="preserve">a marriage in community of property would generally benefit the wife </w:t>
      </w:r>
      <w:r w:rsidR="00405DDB">
        <w:rPr>
          <w:rFonts w:eastAsia="Times New Roman"/>
          <w:szCs w:val="26"/>
        </w:rPr>
        <w:t xml:space="preserve">as </w:t>
      </w:r>
      <w:r w:rsidR="006528C5" w:rsidRPr="00D575BD">
        <w:rPr>
          <w:rFonts w:eastAsia="Times New Roman"/>
          <w:szCs w:val="26"/>
        </w:rPr>
        <w:t xml:space="preserve">the man would be compelled to share the </w:t>
      </w:r>
      <w:r w:rsidR="006528C5">
        <w:rPr>
          <w:rFonts w:eastAsia="Times New Roman"/>
          <w:szCs w:val="26"/>
        </w:rPr>
        <w:t>estate with the wife</w:t>
      </w:r>
      <w:r w:rsidR="00405DDB">
        <w:rPr>
          <w:rFonts w:eastAsia="Times New Roman"/>
          <w:szCs w:val="26"/>
        </w:rPr>
        <w:t xml:space="preserve">. </w:t>
      </w:r>
      <w:r w:rsidR="00B91126">
        <w:rPr>
          <w:rFonts w:eastAsia="Times New Roman"/>
          <w:szCs w:val="26"/>
        </w:rPr>
        <w:t xml:space="preserve"> </w:t>
      </w:r>
      <w:r w:rsidR="00F6640F" w:rsidRPr="00D575BD">
        <w:rPr>
          <w:szCs w:val="26"/>
        </w:rPr>
        <w:t>Ms Budlender</w:t>
      </w:r>
      <w:r w:rsidR="00B91126">
        <w:rPr>
          <w:szCs w:val="26"/>
        </w:rPr>
        <w:t>,</w:t>
      </w:r>
      <w:r w:rsidR="00F6640F" w:rsidRPr="00D575BD">
        <w:rPr>
          <w:szCs w:val="26"/>
        </w:rPr>
        <w:t xml:space="preserve"> in her affidavit</w:t>
      </w:r>
      <w:r w:rsidR="00B91126">
        <w:rPr>
          <w:szCs w:val="26"/>
        </w:rPr>
        <w:t>,</w:t>
      </w:r>
      <w:r w:rsidR="00F6640F" w:rsidRPr="00D575BD">
        <w:rPr>
          <w:szCs w:val="26"/>
        </w:rPr>
        <w:t xml:space="preserve"> says that </w:t>
      </w:r>
      <w:r w:rsidR="007F43FC">
        <w:rPr>
          <w:szCs w:val="26"/>
        </w:rPr>
        <w:t>“</w:t>
      </w:r>
      <w:r w:rsidR="00F6640F" w:rsidRPr="00D575BD">
        <w:rPr>
          <w:szCs w:val="26"/>
        </w:rPr>
        <w:t>research showed that many men believe that they should be the primary decision-maker</w:t>
      </w:r>
      <w:r w:rsidR="00F6640F">
        <w:rPr>
          <w:szCs w:val="26"/>
        </w:rPr>
        <w:t>s rather than make</w:t>
      </w:r>
      <w:r w:rsidR="00F6640F" w:rsidRPr="00D575BD">
        <w:rPr>
          <w:szCs w:val="26"/>
        </w:rPr>
        <w:t xml:space="preserve"> decisions through discussion and consensus.</w:t>
      </w:r>
      <w:r w:rsidR="00F6640F">
        <w:rPr>
          <w:szCs w:val="26"/>
        </w:rPr>
        <w:t xml:space="preserve"> </w:t>
      </w:r>
      <w:r w:rsidR="00F6640F" w:rsidRPr="00D575BD">
        <w:rPr>
          <w:szCs w:val="26"/>
        </w:rPr>
        <w:t xml:space="preserve"> Such men are unlikely to agree to change the</w:t>
      </w:r>
      <w:r w:rsidR="00B91126">
        <w:rPr>
          <w:szCs w:val="26"/>
        </w:rPr>
        <w:t>ir</w:t>
      </w:r>
      <w:r w:rsidR="00185703">
        <w:rPr>
          <w:szCs w:val="26"/>
        </w:rPr>
        <w:t xml:space="preserve"> matrimonial property </w:t>
      </w:r>
      <w:r w:rsidR="00F6640F" w:rsidRPr="00D575BD">
        <w:rPr>
          <w:szCs w:val="26"/>
        </w:rPr>
        <w:t>system</w:t>
      </w:r>
      <w:r w:rsidR="00F6640F">
        <w:rPr>
          <w:szCs w:val="26"/>
        </w:rPr>
        <w:t>, specifically</w:t>
      </w:r>
      <w:r w:rsidR="00F6640F" w:rsidRPr="00D575BD">
        <w:rPr>
          <w:szCs w:val="26"/>
        </w:rPr>
        <w:t xml:space="preserve"> when such a change would shift a significant portion of the decision-making power to their wives. </w:t>
      </w:r>
      <w:r w:rsidR="00B91126">
        <w:rPr>
          <w:szCs w:val="26"/>
        </w:rPr>
        <w:t xml:space="preserve"> </w:t>
      </w:r>
      <w:r w:rsidR="00F6640F" w:rsidRPr="00D575BD">
        <w:rPr>
          <w:szCs w:val="26"/>
        </w:rPr>
        <w:t xml:space="preserve">For women in this position, the protective measures </w:t>
      </w:r>
      <w:r w:rsidR="00AA4679">
        <w:rPr>
          <w:szCs w:val="26"/>
        </w:rPr>
        <w:t>under section </w:t>
      </w:r>
      <w:r w:rsidR="00F6640F" w:rsidRPr="006A4337">
        <w:rPr>
          <w:rFonts w:eastAsia="Times New Roman"/>
          <w:szCs w:val="26"/>
        </w:rPr>
        <w:t xml:space="preserve">21(1) and </w:t>
      </w:r>
      <w:r w:rsidR="00F6640F" w:rsidRPr="006A4337">
        <w:rPr>
          <w:szCs w:val="26"/>
        </w:rPr>
        <w:t>21(2)(a) were thus</w:t>
      </w:r>
      <w:r w:rsidR="00F6640F" w:rsidRPr="00D575BD">
        <w:rPr>
          <w:szCs w:val="26"/>
        </w:rPr>
        <w:t xml:space="preserve"> not available.</w:t>
      </w:r>
      <w:r w:rsidR="007F43FC">
        <w:rPr>
          <w:szCs w:val="26"/>
        </w:rPr>
        <w:t>”</w:t>
      </w:r>
    </w:p>
    <w:p w14:paraId="7865CEC7" w14:textId="77777777" w:rsidR="00F6640F" w:rsidRPr="00DD293D" w:rsidRDefault="00F6640F" w:rsidP="00F6640F">
      <w:pPr>
        <w:pStyle w:val="JUDGMENTCONTINUED"/>
      </w:pPr>
    </w:p>
    <w:p w14:paraId="74BAB06F" w14:textId="4527FD71" w:rsidR="00F6640F" w:rsidRDefault="00333B16" w:rsidP="00333B16">
      <w:pPr>
        <w:pStyle w:val="JUDGMENTNUMBERED"/>
        <w:numPr>
          <w:ilvl w:val="0"/>
          <w:numId w:val="0"/>
        </w:numPr>
        <w:rPr>
          <w:szCs w:val="26"/>
        </w:rPr>
      </w:pPr>
      <w:r>
        <w:rPr>
          <w:color w:val="000000"/>
          <w:szCs w:val="26"/>
          <w14:scene3d>
            <w14:camera w14:prst="orthographicFront"/>
            <w14:lightRig w14:rig="threePt" w14:dir="t">
              <w14:rot w14:lat="0" w14:lon="0" w14:rev="0"/>
            </w14:lightRig>
          </w14:scene3d>
        </w:rPr>
        <w:t>[39]</w:t>
      </w:r>
      <w:r>
        <w:rPr>
          <w:color w:val="000000"/>
          <w:szCs w:val="26"/>
          <w14:scene3d>
            <w14:camera w14:prst="orthographicFront"/>
            <w14:lightRig w14:rig="threePt" w14:dir="t">
              <w14:rot w14:lat="0" w14:lon="0" w14:rev="0"/>
            </w14:lightRig>
          </w14:scene3d>
        </w:rPr>
        <w:tab/>
      </w:r>
      <w:r w:rsidR="00F6640F" w:rsidRPr="00D575BD">
        <w:rPr>
          <w:szCs w:val="26"/>
        </w:rPr>
        <w:t xml:space="preserve">In any event, in order for a woman to seek the consent of her husband to the alteration of the matrimonial regime, she must have </w:t>
      </w:r>
      <w:r w:rsidR="00F6640F">
        <w:rPr>
          <w:szCs w:val="26"/>
        </w:rPr>
        <w:t xml:space="preserve">had </w:t>
      </w:r>
      <w:r w:rsidR="00F6640F" w:rsidRPr="00D575BD">
        <w:rPr>
          <w:szCs w:val="26"/>
        </w:rPr>
        <w:t>the knowledge of her rights and the necessary access to legal services, to enable her to approach a court or arrange the execution and registration of a notarial contract</w:t>
      </w:r>
      <w:r w:rsidR="00F6640F">
        <w:rPr>
          <w:szCs w:val="26"/>
        </w:rPr>
        <w:t xml:space="preserve">. </w:t>
      </w:r>
      <w:r w:rsidR="00B91126">
        <w:rPr>
          <w:szCs w:val="26"/>
        </w:rPr>
        <w:t xml:space="preserve"> </w:t>
      </w:r>
      <w:r w:rsidR="00F6640F" w:rsidRPr="00D575BD">
        <w:rPr>
          <w:szCs w:val="26"/>
        </w:rPr>
        <w:t xml:space="preserve">It is not in dispute that a substantial </w:t>
      </w:r>
      <w:r w:rsidR="001F67A3">
        <w:rPr>
          <w:szCs w:val="26"/>
        </w:rPr>
        <w:t xml:space="preserve">number </w:t>
      </w:r>
      <w:r w:rsidR="00F6640F" w:rsidRPr="00D575BD">
        <w:rPr>
          <w:szCs w:val="26"/>
        </w:rPr>
        <w:t>of t</w:t>
      </w:r>
      <w:r w:rsidR="00F6640F">
        <w:rPr>
          <w:szCs w:val="26"/>
        </w:rPr>
        <w:t>he women married under the BAA we</w:t>
      </w:r>
      <w:r w:rsidR="00F6640F" w:rsidRPr="00D575BD">
        <w:rPr>
          <w:szCs w:val="26"/>
        </w:rPr>
        <w:t>re not in such a position.</w:t>
      </w:r>
    </w:p>
    <w:p w14:paraId="390F942D" w14:textId="77777777" w:rsidR="00F6640F" w:rsidRPr="006C6CF4" w:rsidRDefault="00F6640F" w:rsidP="00AA16EF">
      <w:pPr>
        <w:pStyle w:val="JUDGMENTCONTINUED"/>
      </w:pPr>
    </w:p>
    <w:p w14:paraId="25B453F2" w14:textId="7CFE5C4D" w:rsidR="00F6640F" w:rsidRDefault="00333B16" w:rsidP="00333B16">
      <w:pPr>
        <w:pStyle w:val="JUDGMENTNUMBERED"/>
        <w:numPr>
          <w:ilvl w:val="0"/>
          <w:numId w:val="0"/>
        </w:numPr>
        <w:rPr>
          <w:szCs w:val="26"/>
        </w:rPr>
      </w:pPr>
      <w:r>
        <w:rPr>
          <w:color w:val="000000"/>
          <w:szCs w:val="26"/>
          <w14:scene3d>
            <w14:camera w14:prst="orthographicFront"/>
            <w14:lightRig w14:rig="threePt" w14:dir="t">
              <w14:rot w14:lat="0" w14:lon="0" w14:rev="0"/>
            </w14:lightRig>
          </w14:scene3d>
        </w:rPr>
        <w:t>[40]</w:t>
      </w:r>
      <w:r>
        <w:rPr>
          <w:color w:val="000000"/>
          <w:szCs w:val="26"/>
          <w14:scene3d>
            <w14:camera w14:prst="orthographicFront"/>
            <w14:lightRig w14:rig="threePt" w14:dir="t">
              <w14:rot w14:lat="0" w14:lon="0" w14:rev="0"/>
            </w14:lightRig>
          </w14:scene3d>
        </w:rPr>
        <w:tab/>
      </w:r>
      <w:r w:rsidR="00F6640F" w:rsidRPr="00FA3FBC">
        <w:rPr>
          <w:szCs w:val="26"/>
        </w:rPr>
        <w:t xml:space="preserve">Section 7 of the Divorce Act </w:t>
      </w:r>
      <w:r w:rsidR="00F6640F">
        <w:rPr>
          <w:szCs w:val="26"/>
        </w:rPr>
        <w:t>does not assist women in Mrs Sithole’s position.</w:t>
      </w:r>
      <w:r w:rsidR="00AA4679">
        <w:rPr>
          <w:szCs w:val="26"/>
        </w:rPr>
        <w:t xml:space="preserve"> </w:t>
      </w:r>
      <w:r w:rsidR="00F6640F">
        <w:rPr>
          <w:szCs w:val="26"/>
        </w:rPr>
        <w:t xml:space="preserve"> A</w:t>
      </w:r>
      <w:r w:rsidR="00F6640F" w:rsidRPr="00FA3FBC">
        <w:rPr>
          <w:szCs w:val="26"/>
        </w:rPr>
        <w:t>lthou</w:t>
      </w:r>
      <w:r w:rsidR="00F6640F">
        <w:rPr>
          <w:szCs w:val="26"/>
        </w:rPr>
        <w:t>gh section 7(</w:t>
      </w:r>
      <w:r w:rsidR="00F6640F" w:rsidRPr="00886CD2">
        <w:rPr>
          <w:szCs w:val="26"/>
        </w:rPr>
        <w:t>3) to (5</w:t>
      </w:r>
      <w:r w:rsidR="00F6640F">
        <w:rPr>
          <w:szCs w:val="26"/>
        </w:rPr>
        <w:t>) give</w:t>
      </w:r>
      <w:r w:rsidR="001F67A3">
        <w:rPr>
          <w:szCs w:val="26"/>
        </w:rPr>
        <w:t>s</w:t>
      </w:r>
      <w:r w:rsidR="00AA4679">
        <w:rPr>
          <w:szCs w:val="26"/>
        </w:rPr>
        <w:t xml:space="preserve"> a divorce c</w:t>
      </w:r>
      <w:r w:rsidR="00F6640F" w:rsidRPr="00FA3FBC">
        <w:rPr>
          <w:szCs w:val="26"/>
        </w:rPr>
        <w:t xml:space="preserve">ourt the discretion to redistribute the assets held by the parties as it deems just, this does not assist women who cannot (or will not) divorce their husbands for religious or social or family reasons. </w:t>
      </w:r>
      <w:r w:rsidR="00F6640F">
        <w:rPr>
          <w:szCs w:val="26"/>
        </w:rPr>
        <w:t xml:space="preserve"> Furthermore, a</w:t>
      </w:r>
      <w:r w:rsidR="00F6640F" w:rsidRPr="00FA3FBC">
        <w:rPr>
          <w:szCs w:val="26"/>
        </w:rPr>
        <w:t xml:space="preserve">s this solution is only available in the event of a divorce, it does not address </w:t>
      </w:r>
      <w:r w:rsidR="00F6640F">
        <w:rPr>
          <w:szCs w:val="26"/>
        </w:rPr>
        <w:t>the inherent discrimination during the course of the</w:t>
      </w:r>
      <w:r w:rsidR="00F6640F" w:rsidRPr="00FA3FBC">
        <w:rPr>
          <w:szCs w:val="26"/>
        </w:rPr>
        <w:t xml:space="preserve"> marriage.</w:t>
      </w:r>
      <w:r w:rsidR="00D661FA" w:rsidRPr="00D661FA">
        <w:rPr>
          <w:szCs w:val="26"/>
        </w:rPr>
        <w:t xml:space="preserve"> </w:t>
      </w:r>
      <w:r w:rsidR="00B91126">
        <w:rPr>
          <w:szCs w:val="26"/>
        </w:rPr>
        <w:t xml:space="preserve"> </w:t>
      </w:r>
      <w:r w:rsidR="00D661FA">
        <w:rPr>
          <w:szCs w:val="26"/>
        </w:rPr>
        <w:t>T</w:t>
      </w:r>
      <w:r w:rsidR="00D661FA" w:rsidRPr="009B2F9D">
        <w:rPr>
          <w:szCs w:val="26"/>
        </w:rPr>
        <w:t>he Constitution does not contemplate that a woman must divorce her husband and rely on the exercise of a discretion by a court, in order to achieve her right to equality.</w:t>
      </w:r>
    </w:p>
    <w:p w14:paraId="12053D57" w14:textId="77777777" w:rsidR="00F6640F" w:rsidRPr="006C6CF4" w:rsidRDefault="00F6640F" w:rsidP="00F6640F">
      <w:pPr>
        <w:pStyle w:val="JUDGMENTCONTINUED"/>
      </w:pPr>
    </w:p>
    <w:p w14:paraId="18188153" w14:textId="45197731" w:rsidR="009B2F9D" w:rsidRDefault="00333B16" w:rsidP="00333B16">
      <w:pPr>
        <w:pStyle w:val="JUDGMENTNUMBERED"/>
        <w:numPr>
          <w:ilvl w:val="0"/>
          <w:numId w:val="0"/>
        </w:numPr>
      </w:pPr>
      <w:r>
        <w:rPr>
          <w:color w:val="000000"/>
          <w14:scene3d>
            <w14:camera w14:prst="orthographicFront"/>
            <w14:lightRig w14:rig="threePt" w14:dir="t">
              <w14:rot w14:lat="0" w14:lon="0" w14:rev="0"/>
            </w14:lightRig>
          </w14:scene3d>
        </w:rPr>
        <w:t>[41]</w:t>
      </w:r>
      <w:r>
        <w:rPr>
          <w:color w:val="000000"/>
          <w14:scene3d>
            <w14:camera w14:prst="orthographicFront"/>
            <w14:lightRig w14:rig="threePt" w14:dir="t">
              <w14:rot w14:lat="0" w14:lon="0" w14:rev="0"/>
            </w14:lightRig>
          </w14:scene3d>
        </w:rPr>
        <w:tab/>
      </w:r>
      <w:r w:rsidR="00F6640F" w:rsidRPr="006C6CF4">
        <w:t xml:space="preserve">This Court in </w:t>
      </w:r>
      <w:r w:rsidR="00F6640F" w:rsidRPr="006C6CF4">
        <w:rPr>
          <w:i/>
        </w:rPr>
        <w:t>Gumede</w:t>
      </w:r>
      <w:r w:rsidR="00607C49">
        <w:t>,</w:t>
      </w:r>
      <w:r w:rsidR="00F6640F" w:rsidRPr="006412D1">
        <w:rPr>
          <w:vertAlign w:val="superscript"/>
        </w:rPr>
        <w:footnoteReference w:id="35"/>
      </w:r>
      <w:r w:rsidR="00F6640F" w:rsidRPr="006412D1">
        <w:t xml:space="preserve"> </w:t>
      </w:r>
      <w:r w:rsidR="00F6640F" w:rsidRPr="006C6CF4">
        <w:t>dealing with the effect of section 8(4)(a) of the Recognition of Customary Marriages Act</w:t>
      </w:r>
      <w:r w:rsidR="00607C49">
        <w:t>,</w:t>
      </w:r>
      <w:r w:rsidR="00F6640F">
        <w:rPr>
          <w:rStyle w:val="FootnoteReference"/>
        </w:rPr>
        <w:footnoteReference w:id="36"/>
      </w:r>
      <w:r w:rsidR="00F6640F" w:rsidRPr="006C6CF4">
        <w:t xml:space="preserve"> </w:t>
      </w:r>
      <w:r w:rsidR="00244443">
        <w:t xml:space="preserve">(Recognition Act) </w:t>
      </w:r>
      <w:r w:rsidR="00F6640F" w:rsidRPr="006C6CF4">
        <w:t xml:space="preserve">first acknowledged that </w:t>
      </w:r>
      <w:r w:rsidR="00F6640F" w:rsidRPr="006C6CF4">
        <w:lastRenderedPageBreak/>
        <w:t>Mrs Gu</w:t>
      </w:r>
      <w:r w:rsidR="006412D1">
        <w:t>mede could have approached the Divorce C</w:t>
      </w:r>
      <w:r w:rsidR="00F6640F" w:rsidRPr="006C6CF4">
        <w:t xml:space="preserve">ourt </w:t>
      </w:r>
      <w:r w:rsidR="00F6640F">
        <w:t xml:space="preserve">for </w:t>
      </w:r>
      <w:r w:rsidR="00F6640F" w:rsidRPr="006C6CF4">
        <w:t xml:space="preserve">an order that is just and equitable in relation </w:t>
      </w:r>
      <w:r w:rsidR="00F6640F">
        <w:t xml:space="preserve">to the marriage property.  </w:t>
      </w:r>
      <w:r w:rsidR="00F6640F" w:rsidRPr="006C6CF4">
        <w:t>It said that the persisting difficulty is that the provisions of section 8(4)(a) of the Recognition Act</w:t>
      </w:r>
      <w:r w:rsidR="00F6640F">
        <w:t>,</w:t>
      </w:r>
      <w:r w:rsidR="00F6640F" w:rsidRPr="006C6CF4">
        <w:t xml:space="preserve"> read together with section 7(3)</w:t>
      </w:r>
      <w:r w:rsidR="00F6640F">
        <w:t xml:space="preserve"> to</w:t>
      </w:r>
      <w:r w:rsidR="00F6640F" w:rsidRPr="006C6CF4">
        <w:t xml:space="preserve"> (7) of the Divorce Act, apply only upon dissolution of the customary marriage</w:t>
      </w:r>
      <w:r w:rsidR="00F6640F">
        <w:t xml:space="preserve">. </w:t>
      </w:r>
      <w:r w:rsidR="00244443">
        <w:t xml:space="preserve"> </w:t>
      </w:r>
      <w:r w:rsidR="00F6640F">
        <w:t>It</w:t>
      </w:r>
      <w:r w:rsidR="006412D1">
        <w:t xml:space="preserve"> </w:t>
      </w:r>
      <w:r w:rsidR="00F6640F">
        <w:t xml:space="preserve">also said that the fact </w:t>
      </w:r>
      <w:r w:rsidR="006412D1">
        <w:t>that a divorce c</w:t>
      </w:r>
      <w:r w:rsidR="00F6640F" w:rsidRPr="006C6CF4">
        <w:t>ourt may make the equitable order in relation to family property only when the marriage is dissolved, does not cure</w:t>
      </w:r>
      <w:r w:rsidR="00F6640F">
        <w:t xml:space="preserve"> </w:t>
      </w:r>
      <w:r w:rsidR="00F6640F" w:rsidRPr="006C6CF4">
        <w:t>the discrimination which a spouse in a customary marriage has to endure during the course of the marriage.</w:t>
      </w:r>
    </w:p>
    <w:p w14:paraId="3B89E3E5" w14:textId="77777777" w:rsidR="00F856E6" w:rsidRPr="00F856E6" w:rsidRDefault="00F856E6" w:rsidP="00F856E6">
      <w:pPr>
        <w:pStyle w:val="JUDGMENTCONTINUED"/>
      </w:pPr>
    </w:p>
    <w:p w14:paraId="3E8E5772" w14:textId="2327B362" w:rsidR="00F6640F" w:rsidRPr="009B2F9D" w:rsidRDefault="00333B16" w:rsidP="00333B16">
      <w:pPr>
        <w:pStyle w:val="JUDGMENTNUMBERED"/>
        <w:numPr>
          <w:ilvl w:val="0"/>
          <w:numId w:val="0"/>
        </w:numPr>
      </w:pPr>
      <w:r w:rsidRPr="009B2F9D">
        <w:rPr>
          <w:color w:val="000000"/>
          <w14:scene3d>
            <w14:camera w14:prst="orthographicFront"/>
            <w14:lightRig w14:rig="threePt" w14:dir="t">
              <w14:rot w14:lat="0" w14:lon="0" w14:rev="0"/>
            </w14:lightRig>
          </w14:scene3d>
        </w:rPr>
        <w:t>[42]</w:t>
      </w:r>
      <w:r w:rsidRPr="009B2F9D">
        <w:rPr>
          <w:color w:val="000000"/>
          <w14:scene3d>
            <w14:camera w14:prst="orthographicFront"/>
            <w14:lightRig w14:rig="threePt" w14:dir="t">
              <w14:rot w14:lat="0" w14:lon="0" w14:rev="0"/>
            </w14:lightRig>
          </w14:scene3d>
        </w:rPr>
        <w:tab/>
      </w:r>
      <w:r w:rsidR="002B106A" w:rsidRPr="00E444D6">
        <w:t>The second respondent did not dispute the evidenc</w:t>
      </w:r>
      <w:r w:rsidR="002B106A">
        <w:t xml:space="preserve">e that shows the intersectional </w:t>
      </w:r>
      <w:r w:rsidR="002B106A" w:rsidRPr="00E444D6">
        <w:t>effects of the challenged provisions on women</w:t>
      </w:r>
      <w:r w:rsidR="005B5A5E">
        <w:t>,</w:t>
      </w:r>
      <w:r w:rsidR="002B106A" w:rsidRPr="00E444D6">
        <w:t xml:space="preserve"> </w:t>
      </w:r>
      <w:r w:rsidR="002B106A">
        <w:t>nor</w:t>
      </w:r>
      <w:r w:rsidR="002B106A" w:rsidRPr="00E444D6">
        <w:t xml:space="preserve"> did </w:t>
      </w:r>
      <w:r w:rsidR="002B106A">
        <w:t>he</w:t>
      </w:r>
      <w:r w:rsidR="002B106A" w:rsidRPr="00E444D6">
        <w:t xml:space="preserve"> contend that this form of discrimination against women is fair.</w:t>
      </w:r>
      <w:r w:rsidR="002B106A" w:rsidRPr="008C3BF2">
        <w:t xml:space="preserve"> </w:t>
      </w:r>
      <w:r w:rsidR="00244443">
        <w:t xml:space="preserve"> </w:t>
      </w:r>
      <w:r w:rsidR="002B106A" w:rsidRPr="00EC0A30">
        <w:t xml:space="preserve">It follows that the impugned provisions do </w:t>
      </w:r>
      <w:r w:rsidR="002B106A">
        <w:t xml:space="preserve">not </w:t>
      </w:r>
      <w:r w:rsidR="002B106A" w:rsidRPr="00EC0A30">
        <w:t xml:space="preserve">only </w:t>
      </w:r>
      <w:r w:rsidR="00CE6331">
        <w:t xml:space="preserve">amount to </w:t>
      </w:r>
      <w:r w:rsidR="00CE6331" w:rsidRPr="00EC0A30">
        <w:t xml:space="preserve">unfair discrimination on the basis </w:t>
      </w:r>
      <w:r w:rsidR="00CE6331">
        <w:t xml:space="preserve">of </w:t>
      </w:r>
      <w:r w:rsidR="00CE6331" w:rsidRPr="00EC0A30">
        <w:t>race</w:t>
      </w:r>
      <w:r w:rsidR="005B5A5E">
        <w:t>,</w:t>
      </w:r>
      <w:r w:rsidR="00CE6331" w:rsidRPr="00EC0A30">
        <w:t xml:space="preserve"> </w:t>
      </w:r>
      <w:r w:rsidR="00CE6331">
        <w:t xml:space="preserve">but also on the basis </w:t>
      </w:r>
      <w:r w:rsidR="002B106A" w:rsidRPr="00EC0A30">
        <w:t>of gender</w:t>
      </w:r>
      <w:r w:rsidR="002B106A">
        <w:t>.</w:t>
      </w:r>
    </w:p>
    <w:p w14:paraId="52456340" w14:textId="53C886B6" w:rsidR="00F856E6" w:rsidRDefault="00F856E6" w:rsidP="00244443">
      <w:pPr>
        <w:pStyle w:val="JUDGMENTCONTINUED"/>
      </w:pPr>
    </w:p>
    <w:p w14:paraId="0009C2BE" w14:textId="624F9C2F" w:rsidR="00C07CDE" w:rsidRDefault="00333B16" w:rsidP="00333B16">
      <w:pPr>
        <w:pStyle w:val="JUDGMENTNUMBERED"/>
        <w:numPr>
          <w:ilvl w:val="0"/>
          <w:numId w:val="0"/>
        </w:numPr>
      </w:pPr>
      <w:r>
        <w:rPr>
          <w:color w:val="000000"/>
          <w14:scene3d>
            <w14:camera w14:prst="orthographicFront"/>
            <w14:lightRig w14:rig="threePt" w14:dir="t">
              <w14:rot w14:lat="0" w14:lon="0" w14:rev="0"/>
            </w14:lightRig>
          </w14:scene3d>
        </w:rPr>
        <w:t>[43]</w:t>
      </w:r>
      <w:r>
        <w:rPr>
          <w:color w:val="000000"/>
          <w14:scene3d>
            <w14:camera w14:prst="orthographicFront"/>
            <w14:lightRig w14:rig="threePt" w14:dir="t">
              <w14:rot w14:lat="0" w14:lon="0" w14:rev="0"/>
            </w14:lightRig>
          </w14:scene3d>
        </w:rPr>
        <w:tab/>
      </w:r>
      <w:r w:rsidR="00E87FF7" w:rsidRPr="00E87FF7">
        <w:t>There can be no doubt that the provisions of section 21(2)(a) of the MPA perpetuate the discriminatory effect of section 22(6) of the BAA.  The measures taken to remedy the discriminatory legacy of section 22(6) of the BAA are inadequate.</w:t>
      </w:r>
    </w:p>
    <w:p w14:paraId="5E7F11DF" w14:textId="77777777" w:rsidR="00C07CDE" w:rsidRPr="00C07CDE" w:rsidRDefault="00C07CDE" w:rsidP="00C07CDE">
      <w:pPr>
        <w:pStyle w:val="JUDGMENTCONTINUED"/>
      </w:pPr>
    </w:p>
    <w:p w14:paraId="0BC6E4DD" w14:textId="543A7963" w:rsidR="009B2F9D" w:rsidRDefault="00333B16" w:rsidP="00333B16">
      <w:pPr>
        <w:pStyle w:val="JUDGMENTNUMBERED"/>
        <w:numPr>
          <w:ilvl w:val="0"/>
          <w:numId w:val="0"/>
        </w:numPr>
      </w:pPr>
      <w:r>
        <w:rPr>
          <w:color w:val="000000"/>
          <w14:scene3d>
            <w14:camera w14:prst="orthographicFront"/>
            <w14:lightRig w14:rig="threePt" w14:dir="t">
              <w14:rot w14:lat="0" w14:lon="0" w14:rev="0"/>
            </w14:lightRig>
          </w14:scene3d>
        </w:rPr>
        <w:t>[44]</w:t>
      </w:r>
      <w:r>
        <w:rPr>
          <w:color w:val="000000"/>
          <w14:scene3d>
            <w14:camera w14:prst="orthographicFront"/>
            <w14:lightRig w14:rig="threePt" w14:dir="t">
              <w14:rot w14:lat="0" w14:lon="0" w14:rev="0"/>
            </w14:lightRig>
          </w14:scene3d>
        </w:rPr>
        <w:tab/>
      </w:r>
      <w:r w:rsidR="006412D1">
        <w:t xml:space="preserve"> </w:t>
      </w:r>
      <w:r w:rsidR="009D1029" w:rsidRPr="009D1029">
        <w:t xml:space="preserve">Having </w:t>
      </w:r>
      <w:r w:rsidR="00607C49">
        <w:t>held</w:t>
      </w:r>
      <w:r w:rsidR="009D1029" w:rsidRPr="009D1029">
        <w:t xml:space="preserve"> that the provisions amount to unfair discrimination, the next enquiry is whether they c</w:t>
      </w:r>
      <w:r w:rsidR="001C4A58" w:rsidRPr="009D1029">
        <w:t>an be justified under the limitations clause</w:t>
      </w:r>
      <w:r w:rsidR="009D09E1">
        <w:t>.</w:t>
      </w:r>
      <w:r w:rsidR="00E1750D">
        <w:rPr>
          <w:rStyle w:val="FootnoteReference"/>
        </w:rPr>
        <w:footnoteReference w:id="37"/>
      </w:r>
      <w:r w:rsidR="001C4A58">
        <w:t xml:space="preserve"> </w:t>
      </w:r>
      <w:r w:rsidR="00244443">
        <w:t xml:space="preserve"> </w:t>
      </w:r>
      <w:r w:rsidR="001C4A58">
        <w:t xml:space="preserve">The second respondent did not contend that there was any basis </w:t>
      </w:r>
      <w:r w:rsidR="00E1750D">
        <w:t xml:space="preserve">on which the </w:t>
      </w:r>
      <w:r w:rsidR="004F7470">
        <w:t xml:space="preserve">unfair discrimination </w:t>
      </w:r>
      <w:r w:rsidR="001C4A58">
        <w:t xml:space="preserve">suffered by </w:t>
      </w:r>
      <w:r w:rsidR="00C55B5C">
        <w:t>Black</w:t>
      </w:r>
      <w:r w:rsidR="004F7470">
        <w:t xml:space="preserve"> couples</w:t>
      </w:r>
      <w:r w:rsidR="001C4A58">
        <w:t xml:space="preserve"> </w:t>
      </w:r>
      <w:r w:rsidR="00E1750D">
        <w:t xml:space="preserve">can be justified. </w:t>
      </w:r>
      <w:r w:rsidR="00244443">
        <w:t xml:space="preserve"> </w:t>
      </w:r>
      <w:r w:rsidR="009B2F9D" w:rsidRPr="009B2F9D">
        <w:t>The genesis of the provisions was the orchestrated pattern of racial discrimination and segregation.  They resulted from a legislated</w:t>
      </w:r>
      <w:r w:rsidR="00DE61B8">
        <w:t>,</w:t>
      </w:r>
      <w:r w:rsidR="009B2F9D" w:rsidRPr="009B2F9D">
        <w:t xml:space="preserve"> deliberate, </w:t>
      </w:r>
      <w:r w:rsidR="00703A31">
        <w:t>unjust</w:t>
      </w:r>
      <w:r w:rsidR="009B2F9D" w:rsidRPr="009B2F9D">
        <w:t xml:space="preserve"> and senseless system of separation between races that was based on a twisted notion that </w:t>
      </w:r>
      <w:r w:rsidR="00C55B5C">
        <w:t>Black</w:t>
      </w:r>
      <w:r w:rsidR="006412D1">
        <w:t xml:space="preserve"> and w</w:t>
      </w:r>
      <w:r w:rsidR="009B2F9D" w:rsidRPr="009B2F9D">
        <w:t>hite people were not worthy of the same treatment.  Blacks specifically were regarded as inferior to all other races and not worthy of being respected nor protected by government.</w:t>
      </w:r>
    </w:p>
    <w:p w14:paraId="0D228ACA" w14:textId="77777777" w:rsidR="00A305CB" w:rsidRDefault="00A305CB" w:rsidP="00A305CB">
      <w:pPr>
        <w:pStyle w:val="JUDGMENTCONTINUED"/>
      </w:pPr>
    </w:p>
    <w:p w14:paraId="46925CFF" w14:textId="6675E762" w:rsidR="000026E1" w:rsidRDefault="00333B16" w:rsidP="00333B16">
      <w:pPr>
        <w:pStyle w:val="JUDGMENTNUMBERED"/>
        <w:numPr>
          <w:ilvl w:val="0"/>
          <w:numId w:val="0"/>
        </w:numPr>
      </w:pPr>
      <w:r>
        <w:rPr>
          <w:color w:val="000000"/>
          <w14:scene3d>
            <w14:camera w14:prst="orthographicFront"/>
            <w14:lightRig w14:rig="threePt" w14:dir="t">
              <w14:rot w14:lat="0" w14:lon="0" w14:rev="0"/>
            </w14:lightRig>
          </w14:scene3d>
        </w:rPr>
        <w:t>[45]</w:t>
      </w:r>
      <w:r>
        <w:rPr>
          <w:color w:val="000000"/>
          <w14:scene3d>
            <w14:camera w14:prst="orthographicFront"/>
            <w14:lightRig w14:rig="threePt" w14:dir="t">
              <w14:rot w14:lat="0" w14:lon="0" w14:rev="0"/>
            </w14:lightRig>
          </w14:scene3d>
        </w:rPr>
        <w:tab/>
      </w:r>
      <w:r w:rsidR="00E1750D" w:rsidRPr="00226693">
        <w:t>The fact that the ghosts of our</w:t>
      </w:r>
      <w:r w:rsidR="00185703">
        <w:t xml:space="preserve"> ugly past still rear their ghastly</w:t>
      </w:r>
      <w:r w:rsidR="00E1750D" w:rsidRPr="00226693">
        <w:t xml:space="preserve"> heads in the form of provisions like this many years after the advent of democracy is</w:t>
      </w:r>
      <w:r w:rsidR="00E1750D">
        <w:t xml:space="preserve"> unacceptable. </w:t>
      </w:r>
      <w:r w:rsidR="00E1750D" w:rsidRPr="00D11576">
        <w:t xml:space="preserve"> </w:t>
      </w:r>
      <w:r w:rsidR="001C4A58" w:rsidRPr="00226693">
        <w:t xml:space="preserve">The </w:t>
      </w:r>
      <w:r w:rsidR="001C4A58" w:rsidRPr="00226693">
        <w:lastRenderedPageBreak/>
        <w:t>only possible explanation for the retention of these remnants of past discriminatory laws in our statutes is tha</w:t>
      </w:r>
      <w:r w:rsidR="00F81288">
        <w:t xml:space="preserve">t they have been overlooked.  </w:t>
      </w:r>
      <w:r w:rsidR="001C4A58" w:rsidRPr="00226693">
        <w:t xml:space="preserve">The dire consequences suffered by </w:t>
      </w:r>
      <w:r w:rsidR="00C55B5C">
        <w:t>Black</w:t>
      </w:r>
      <w:r w:rsidR="001C4A58" w:rsidRPr="00226693">
        <w:t xml:space="preserve"> people as a result of such discriminatory l</w:t>
      </w:r>
      <w:r w:rsidR="001F2C51">
        <w:t>aws make it compelling that such laws</w:t>
      </w:r>
      <w:r w:rsidR="001C4A58" w:rsidRPr="00226693">
        <w:t xml:space="preserve"> should be obliterated from our statutes urgently.</w:t>
      </w:r>
      <w:r w:rsidR="001C4A58" w:rsidRPr="00226693">
        <w:rPr>
          <w:rStyle w:val="FootnoteReference"/>
        </w:rPr>
        <w:footnoteReference w:id="38"/>
      </w:r>
      <w:r w:rsidR="00F81288">
        <w:t xml:space="preserve"> </w:t>
      </w:r>
      <w:r w:rsidR="00B211F0">
        <w:t>To do so would have the effect that the constitutional right to dignity</w:t>
      </w:r>
      <w:r w:rsidR="00607C49">
        <w:rPr>
          <w:rStyle w:val="FootnoteReference"/>
        </w:rPr>
        <w:footnoteReference w:id="39"/>
      </w:r>
      <w:r w:rsidR="00B211F0">
        <w:t xml:space="preserve"> of all </w:t>
      </w:r>
      <w:r w:rsidR="00C55B5C">
        <w:t>Black</w:t>
      </w:r>
      <w:r w:rsidR="00B211F0">
        <w:t xml:space="preserve"> couples affected by the impugned provisions is respected and protected as commanded by the Constitution.  </w:t>
      </w:r>
      <w:r w:rsidR="00BA1E65" w:rsidRPr="00BA1E65">
        <w:t xml:space="preserve">The pressing need for the vindication of the dignity of </w:t>
      </w:r>
      <w:r w:rsidR="00C55B5C">
        <w:t>Black</w:t>
      </w:r>
      <w:r w:rsidR="00BA1E65" w:rsidRPr="00BA1E65">
        <w:t xml:space="preserve"> couples points away from any possibility of the unfair discrimination being reasonable and justifiable. </w:t>
      </w:r>
      <w:r w:rsidR="000026E1" w:rsidRPr="00916188">
        <w:t>The Republic of South Africa is founded on the values of human dignity, the achievement of equality and the advancement of human rights and freedoms.</w:t>
      </w:r>
      <w:r w:rsidR="000026E1" w:rsidRPr="00916188">
        <w:rPr>
          <w:vertAlign w:val="superscript"/>
        </w:rPr>
        <w:footnoteReference w:id="40"/>
      </w:r>
      <w:r w:rsidR="000026E1">
        <w:t xml:space="preserve">  In terms of s</w:t>
      </w:r>
      <w:r w:rsidR="000026E1" w:rsidRPr="00916188">
        <w:t>ection 7(1) of the Constitution</w:t>
      </w:r>
      <w:r w:rsidR="000026E1">
        <w:t>,</w:t>
      </w:r>
      <w:r w:rsidR="000026E1" w:rsidRPr="00916188">
        <w:t xml:space="preserve"> the Bill of Rights</w:t>
      </w:r>
      <w:r w:rsidR="00864B05">
        <w:t xml:space="preserve"> is the</w:t>
      </w:r>
      <w:r w:rsidR="000026E1" w:rsidRPr="00916188">
        <w:t xml:space="preserve"> cornerstone of </w:t>
      </w:r>
      <w:r w:rsidR="00864B05">
        <w:t>our democracy and</w:t>
      </w:r>
      <w:r w:rsidR="000026E1" w:rsidRPr="00916188">
        <w:t xml:space="preserve"> </w:t>
      </w:r>
      <w:r w:rsidR="001F2C51">
        <w:t>“</w:t>
      </w:r>
      <w:r w:rsidR="000026E1" w:rsidRPr="00916188">
        <w:t>enshrines the rights of all people in our country and affirms the democratic values of huma</w:t>
      </w:r>
      <w:r w:rsidR="00DF140E">
        <w:t>n dignity, equality and freedom</w:t>
      </w:r>
      <w:r w:rsidR="001F2C51">
        <w:t>”</w:t>
      </w:r>
      <w:r w:rsidR="00D47795">
        <w:t>.</w:t>
      </w:r>
      <w:r w:rsidR="000026E1" w:rsidRPr="00916188">
        <w:t xml:space="preserve"> </w:t>
      </w:r>
      <w:r w:rsidR="000026E1">
        <w:t xml:space="preserve"> </w:t>
      </w:r>
      <w:r w:rsidR="00D47795">
        <w:t>T</w:t>
      </w:r>
      <w:r w:rsidR="000026E1" w:rsidRPr="00916188">
        <w:t xml:space="preserve">he right to human dignity </w:t>
      </w:r>
      <w:r w:rsidR="000026E1">
        <w:t>is therefore one of the core c</w:t>
      </w:r>
      <w:r w:rsidR="000026E1" w:rsidRPr="00916188">
        <w:t>onstitutional rights</w:t>
      </w:r>
      <w:r w:rsidR="000026E1">
        <w:t>.</w:t>
      </w:r>
    </w:p>
    <w:p w14:paraId="7806852A" w14:textId="77777777" w:rsidR="000026E1" w:rsidRDefault="000026E1" w:rsidP="000026E1">
      <w:pPr>
        <w:pStyle w:val="JUDGMENTCONTINUED"/>
      </w:pPr>
    </w:p>
    <w:p w14:paraId="4FBF184D" w14:textId="5E11A864" w:rsidR="000026E1" w:rsidRDefault="00333B16" w:rsidP="00333B16">
      <w:pPr>
        <w:pStyle w:val="JUDGMENTNUMBERED"/>
        <w:numPr>
          <w:ilvl w:val="0"/>
          <w:numId w:val="0"/>
        </w:numPr>
      </w:pPr>
      <w:r>
        <w:rPr>
          <w:color w:val="000000"/>
          <w14:scene3d>
            <w14:camera w14:prst="orthographicFront"/>
            <w14:lightRig w14:rig="threePt" w14:dir="t">
              <w14:rot w14:lat="0" w14:lon="0" w14:rev="0"/>
            </w14:lightRig>
          </w14:scene3d>
        </w:rPr>
        <w:t>[46]</w:t>
      </w:r>
      <w:r>
        <w:rPr>
          <w:color w:val="000000"/>
          <w14:scene3d>
            <w14:camera w14:prst="orthographicFront"/>
            <w14:lightRig w14:rig="threePt" w14:dir="t">
              <w14:rot w14:lat="0" w14:lon="0" w14:rev="0"/>
            </w14:lightRig>
          </w14:scene3d>
        </w:rPr>
        <w:tab/>
      </w:r>
      <w:r w:rsidR="000026E1" w:rsidRPr="00916188">
        <w:t xml:space="preserve">Recognising </w:t>
      </w:r>
      <w:r w:rsidR="005E6B00">
        <w:t>the</w:t>
      </w:r>
      <w:r w:rsidR="000026E1" w:rsidRPr="00916188">
        <w:t xml:space="preserve"> right to dignity is an acknowledgment of the intrinsic worth of human beings. </w:t>
      </w:r>
      <w:r w:rsidR="000026E1">
        <w:t xml:space="preserve"> </w:t>
      </w:r>
      <w:r w:rsidR="000026E1" w:rsidRPr="00916188">
        <w:t>This right therefore is the fo</w:t>
      </w:r>
      <w:r w:rsidR="00BC0455">
        <w:t>undation of many</w:t>
      </w:r>
      <w:r w:rsidR="000026E1" w:rsidRPr="00916188">
        <w:t xml:space="preserve"> other rights that are specifically entrenched in the Bill of Rights.  One of these is the right to equality. </w:t>
      </w:r>
      <w:r w:rsidR="000026E1">
        <w:t xml:space="preserve"> </w:t>
      </w:r>
      <w:r w:rsidR="00703A31">
        <w:t>Black couples, like all others</w:t>
      </w:r>
      <w:r w:rsidR="0000543C">
        <w:t xml:space="preserve"> have to be afforded equal</w:t>
      </w:r>
      <w:r w:rsidR="006B6F59">
        <w:t xml:space="preserve"> protection and benefit of the law</w:t>
      </w:r>
      <w:r w:rsidR="006B6F59">
        <w:rPr>
          <w:rStyle w:val="FootnoteReference"/>
        </w:rPr>
        <w:footnoteReference w:id="41"/>
      </w:r>
      <w:r w:rsidR="006B6F59">
        <w:t xml:space="preserve"> so that their inherent dignity is respected and protected</w:t>
      </w:r>
      <w:r w:rsidR="00715D4C">
        <w:t>.</w:t>
      </w:r>
      <w:r w:rsidR="006B6F59">
        <w:rPr>
          <w:rStyle w:val="FootnoteReference"/>
        </w:rPr>
        <w:footnoteReference w:id="42"/>
      </w:r>
    </w:p>
    <w:p w14:paraId="388F355C" w14:textId="77777777" w:rsidR="00042256" w:rsidRPr="00042256" w:rsidRDefault="00042256" w:rsidP="00042256">
      <w:pPr>
        <w:pStyle w:val="JUDGMENTCONTINUED"/>
      </w:pPr>
    </w:p>
    <w:p w14:paraId="1AF8C7F3" w14:textId="2C458E0B" w:rsidR="00FD4BB1" w:rsidRPr="005D29AD" w:rsidRDefault="00333B16" w:rsidP="00333B16">
      <w:pPr>
        <w:pStyle w:val="JUDGMENTNUMBERED"/>
        <w:numPr>
          <w:ilvl w:val="0"/>
          <w:numId w:val="0"/>
        </w:numPr>
      </w:pPr>
      <w:r w:rsidRPr="005D29AD">
        <w:rPr>
          <w:color w:val="000000"/>
          <w14:scene3d>
            <w14:camera w14:prst="orthographicFront"/>
            <w14:lightRig w14:rig="threePt" w14:dir="t">
              <w14:rot w14:lat="0" w14:lon="0" w14:rev="0"/>
            </w14:lightRig>
          </w14:scene3d>
        </w:rPr>
        <w:t>[47]</w:t>
      </w:r>
      <w:r w:rsidRPr="005D29AD">
        <w:rPr>
          <w:color w:val="000000"/>
          <w14:scene3d>
            <w14:camera w14:prst="orthographicFront"/>
            <w14:lightRig w14:rig="threePt" w14:dir="t">
              <w14:rot w14:lat="0" w14:lon="0" w14:rev="0"/>
            </w14:lightRig>
          </w14:scene3d>
        </w:rPr>
        <w:tab/>
      </w:r>
      <w:r w:rsidR="00836A2C" w:rsidRPr="00836A2C">
        <w:t xml:space="preserve"> To conclude, the unfair discrimination is not saved by section 36(1) of the Constitution.  </w:t>
      </w:r>
      <w:r w:rsidR="00D059FD">
        <w:t>T</w:t>
      </w:r>
      <w:r w:rsidR="00D812B0" w:rsidRPr="005D29AD">
        <w:t xml:space="preserve">he provisions of </w:t>
      </w:r>
      <w:r w:rsidR="009B2381">
        <w:t xml:space="preserve">section </w:t>
      </w:r>
      <w:r w:rsidR="00D812B0" w:rsidRPr="005D29AD">
        <w:t>21(2)(a) of the M</w:t>
      </w:r>
      <w:r w:rsidR="001F02BC" w:rsidRPr="005D29AD">
        <w:t xml:space="preserve">PA </w:t>
      </w:r>
      <w:r w:rsidR="005D29AD">
        <w:t xml:space="preserve">are </w:t>
      </w:r>
      <w:r w:rsidR="00D059FD">
        <w:t>thus inconsistent with the Constitution</w:t>
      </w:r>
      <w:r w:rsidR="005D29AD">
        <w:t xml:space="preserve"> </w:t>
      </w:r>
      <w:r w:rsidR="001F02BC" w:rsidRPr="005D29AD">
        <w:t>and invalid</w:t>
      </w:r>
      <w:r w:rsidR="00D812B0" w:rsidRPr="005D29AD">
        <w:t xml:space="preserve"> </w:t>
      </w:r>
      <w:r w:rsidR="001F02BC" w:rsidRPr="005D29AD">
        <w:t xml:space="preserve">and the High Court order to this effect </w:t>
      </w:r>
      <w:r w:rsidR="00822B23" w:rsidRPr="005D29AD">
        <w:t>should be confirmed.</w:t>
      </w:r>
      <w:r w:rsidR="00DF140E">
        <w:t xml:space="preserve"> </w:t>
      </w:r>
      <w:r w:rsidR="00822B23" w:rsidRPr="005D29AD">
        <w:t xml:space="preserve"> </w:t>
      </w:r>
      <w:r w:rsidR="00836A2C">
        <w:t>Henceforth</w:t>
      </w:r>
      <w:r w:rsidR="00185703">
        <w:t>,</w:t>
      </w:r>
      <w:r w:rsidR="00836A2C">
        <w:t xml:space="preserve"> t</w:t>
      </w:r>
      <w:r w:rsidR="00FD4BB1" w:rsidRPr="005D29AD">
        <w:t xml:space="preserve">he default position </w:t>
      </w:r>
      <w:r w:rsidR="00836A2C">
        <w:t>must</w:t>
      </w:r>
      <w:r w:rsidR="001A5CB6">
        <w:t xml:space="preserve"> </w:t>
      </w:r>
      <w:r w:rsidR="00FD4BB1" w:rsidRPr="005D29AD">
        <w:t xml:space="preserve">be that all </w:t>
      </w:r>
      <w:r w:rsidR="00836A2C">
        <w:t>marriages which</w:t>
      </w:r>
      <w:r w:rsidR="002E3E9E">
        <w:t xml:space="preserve">, </w:t>
      </w:r>
      <w:r w:rsidR="00836A2C">
        <w:t xml:space="preserve">in terms of </w:t>
      </w:r>
      <w:r w:rsidR="002E3E9E">
        <w:t xml:space="preserve">the BAA, </w:t>
      </w:r>
      <w:r w:rsidR="00836A2C" w:rsidRPr="00836A2C">
        <w:lastRenderedPageBreak/>
        <w:t>were automatically out of community of property</w:t>
      </w:r>
      <w:r w:rsidR="00836A2C">
        <w:t xml:space="preserve"> </w:t>
      </w:r>
      <w:r w:rsidR="00FD4BB1" w:rsidRPr="005D29AD">
        <w:t xml:space="preserve">are in community of property. </w:t>
      </w:r>
      <w:r w:rsidR="00981698" w:rsidRPr="005D29AD">
        <w:t xml:space="preserve"> </w:t>
      </w:r>
      <w:r w:rsidR="00FD4BB1" w:rsidRPr="005D29AD">
        <w:t>The</w:t>
      </w:r>
      <w:r w:rsidR="001A5CB6">
        <w:t xml:space="preserve"> </w:t>
      </w:r>
      <w:r w:rsidR="00836A2C">
        <w:t xml:space="preserve">affected couples </w:t>
      </w:r>
      <w:r w:rsidR="00FD4BB1" w:rsidRPr="005D29AD">
        <w:t xml:space="preserve">must then </w:t>
      </w:r>
      <w:r w:rsidR="00836A2C">
        <w:t xml:space="preserve">have </w:t>
      </w:r>
      <w:r w:rsidR="000C4E5A" w:rsidRPr="005D29AD">
        <w:t xml:space="preserve">the option, </w:t>
      </w:r>
      <w:r w:rsidR="00836A2C">
        <w:t xml:space="preserve">like </w:t>
      </w:r>
      <w:r w:rsidR="00FD4BB1" w:rsidRPr="005D29AD">
        <w:t xml:space="preserve">other races, to opt out and change their matrimonial regime </w:t>
      </w:r>
      <w:r w:rsidR="00DF15EC">
        <w:t xml:space="preserve">to be </w:t>
      </w:r>
      <w:r w:rsidR="00FD4BB1" w:rsidRPr="005D29AD">
        <w:t>out of community of property.</w:t>
      </w:r>
    </w:p>
    <w:p w14:paraId="45074F8E" w14:textId="709F3794" w:rsidR="00FD4BB1" w:rsidRPr="005D29AD" w:rsidRDefault="00FD4BB1" w:rsidP="00040535">
      <w:pPr>
        <w:pStyle w:val="JUDGMENTCONTINUED"/>
      </w:pPr>
    </w:p>
    <w:p w14:paraId="3F53195F" w14:textId="243BCD28" w:rsidR="00FD4BB1" w:rsidRDefault="00FD4BB1" w:rsidP="00FD4BB1">
      <w:pPr>
        <w:pStyle w:val="HEADING"/>
      </w:pPr>
      <w:r w:rsidRPr="00FD4BB1">
        <w:t>Remedy</w:t>
      </w:r>
    </w:p>
    <w:p w14:paraId="6B27661E" w14:textId="00E7CFEF" w:rsidR="001F02BC" w:rsidRDefault="00FD4BB1" w:rsidP="001F2C51">
      <w:pPr>
        <w:pStyle w:val="HEADING"/>
        <w:ind w:firstLine="720"/>
      </w:pPr>
      <w:r w:rsidRPr="00FD4BB1">
        <w:t xml:space="preserve">Order and </w:t>
      </w:r>
      <w:r w:rsidR="0010372D">
        <w:t>r</w:t>
      </w:r>
      <w:r w:rsidR="00DF140E">
        <w:t>etrospectivity</w:t>
      </w:r>
    </w:p>
    <w:p w14:paraId="449C0A55" w14:textId="2DE45960" w:rsidR="00CE780B" w:rsidRDefault="00333B16" w:rsidP="00333B16">
      <w:pPr>
        <w:pStyle w:val="JUDGMENTNUMBERED"/>
        <w:numPr>
          <w:ilvl w:val="0"/>
          <w:numId w:val="0"/>
        </w:numPr>
      </w:pPr>
      <w:r>
        <w:rPr>
          <w:color w:val="000000"/>
          <w14:scene3d>
            <w14:camera w14:prst="orthographicFront"/>
            <w14:lightRig w14:rig="threePt" w14:dir="t">
              <w14:rot w14:lat="0" w14:lon="0" w14:rev="0"/>
            </w14:lightRig>
          </w14:scene3d>
        </w:rPr>
        <w:t>[48]</w:t>
      </w:r>
      <w:r>
        <w:rPr>
          <w:color w:val="000000"/>
          <w14:scene3d>
            <w14:camera w14:prst="orthographicFront"/>
            <w14:lightRig w14:rig="threePt" w14:dir="t">
              <w14:rot w14:lat="0" w14:lon="0" w14:rev="0"/>
            </w14:lightRig>
          </w14:scene3d>
        </w:rPr>
        <w:tab/>
      </w:r>
      <w:r w:rsidR="00FD4BB1" w:rsidRPr="001F02BC">
        <w:t xml:space="preserve">Having </w:t>
      </w:r>
      <w:r w:rsidR="0010372D">
        <w:t>held</w:t>
      </w:r>
      <w:r w:rsidR="009B2381">
        <w:t xml:space="preserve"> that the impugned </w:t>
      </w:r>
      <w:r w:rsidR="009B2381" w:rsidRPr="006A4337">
        <w:t>section</w:t>
      </w:r>
      <w:r w:rsidR="00FD4BB1" w:rsidRPr="001F02BC">
        <w:t xml:space="preserve"> is inconsistent with the Constitution and thus invalid, this Court must make an order that is just and equitable</w:t>
      </w:r>
      <w:r w:rsidR="00F678F8">
        <w:t>.</w:t>
      </w:r>
      <w:r w:rsidR="00FD4BB1" w:rsidRPr="001F02BC">
        <w:t xml:space="preserve"> </w:t>
      </w:r>
      <w:r w:rsidR="001F2C51">
        <w:t xml:space="preserve"> </w:t>
      </w:r>
      <w:r w:rsidR="00F678F8">
        <w:t xml:space="preserve">That order </w:t>
      </w:r>
      <w:r w:rsidR="00FD4BB1" w:rsidRPr="001F02BC">
        <w:t xml:space="preserve">may </w:t>
      </w:r>
      <w:r w:rsidR="00F678F8">
        <w:t xml:space="preserve">entail </w:t>
      </w:r>
      <w:r w:rsidR="00FD4BB1" w:rsidRPr="001F02BC">
        <w:t xml:space="preserve">an </w:t>
      </w:r>
      <w:r w:rsidR="001F2C51">
        <w:t>“</w:t>
      </w:r>
      <w:r w:rsidR="00FD4BB1" w:rsidRPr="001F02BC">
        <w:t>order limiting the retrospective effect of the declaration of invalidity</w:t>
      </w:r>
      <w:r w:rsidR="001F2C51">
        <w:t>;</w:t>
      </w:r>
      <w:r w:rsidR="00FD4BB1" w:rsidRPr="001F02BC">
        <w:t xml:space="preserve"> and suspending the declaration of invalidity</w:t>
      </w:r>
      <w:r w:rsidR="007E7037">
        <w:t>”</w:t>
      </w:r>
      <w:r w:rsidR="00FD4BB1" w:rsidRPr="001F02BC">
        <w:t xml:space="preserve"> to allow the legislature to correct the defect. </w:t>
      </w:r>
      <w:r w:rsidR="005923D0" w:rsidRPr="001F02BC">
        <w:t xml:space="preserve"> </w:t>
      </w:r>
      <w:r w:rsidR="00FD4BB1" w:rsidRPr="001F02BC">
        <w:t>The second respondent has not asked th</w:t>
      </w:r>
      <w:r w:rsidR="00864B05">
        <w:t>is</w:t>
      </w:r>
      <w:r w:rsidR="00FD4BB1" w:rsidRPr="001F02BC">
        <w:t xml:space="preserve"> Court to limit the retrospective effect of the order of invalidity, as contemplated in section 172(1)(b)(i) of the Constitution.</w:t>
      </w:r>
    </w:p>
    <w:p w14:paraId="4F021E83" w14:textId="77777777" w:rsidR="00A305CB" w:rsidRPr="00A305CB" w:rsidRDefault="00A305CB" w:rsidP="00A305CB">
      <w:pPr>
        <w:pStyle w:val="JUDGMENTCONTINUED"/>
      </w:pPr>
    </w:p>
    <w:p w14:paraId="5E29BB14" w14:textId="5193CB20" w:rsidR="00040535" w:rsidRDefault="00333B16" w:rsidP="00333B16">
      <w:pPr>
        <w:pStyle w:val="JUDGMENTNUMBERED"/>
        <w:numPr>
          <w:ilvl w:val="0"/>
          <w:numId w:val="0"/>
        </w:numPr>
      </w:pPr>
      <w:r>
        <w:rPr>
          <w:color w:val="000000"/>
          <w14:scene3d>
            <w14:camera w14:prst="orthographicFront"/>
            <w14:lightRig w14:rig="threePt" w14:dir="t">
              <w14:rot w14:lat="0" w14:lon="0" w14:rev="0"/>
            </w14:lightRig>
          </w14:scene3d>
        </w:rPr>
        <w:t>[49]</w:t>
      </w:r>
      <w:r>
        <w:rPr>
          <w:color w:val="000000"/>
          <w14:scene3d>
            <w14:camera w14:prst="orthographicFront"/>
            <w14:lightRig w14:rig="threePt" w14:dir="t">
              <w14:rot w14:lat="0" w14:lon="0" w14:rev="0"/>
            </w14:lightRig>
          </w14:scene3d>
        </w:rPr>
        <w:tab/>
      </w:r>
      <w:r w:rsidR="00FD4BB1" w:rsidRPr="00B92EAE">
        <w:t xml:space="preserve">As already </w:t>
      </w:r>
      <w:r w:rsidR="00F678F8">
        <w:t>indicated</w:t>
      </w:r>
      <w:r w:rsidR="00FD4BB1" w:rsidRPr="00B92EAE">
        <w:t>, the fact that these kind</w:t>
      </w:r>
      <w:r w:rsidR="0040064C">
        <w:t>s</w:t>
      </w:r>
      <w:r w:rsidR="00FD4BB1" w:rsidRPr="00B92EAE">
        <w:t xml:space="preserve"> </w:t>
      </w:r>
      <w:r w:rsidR="00864B05" w:rsidRPr="00B92EAE">
        <w:t>of provisions are still in our s</w:t>
      </w:r>
      <w:r w:rsidR="00FD4BB1" w:rsidRPr="00B92EAE">
        <w:t>tatute</w:t>
      </w:r>
      <w:r w:rsidR="00583C8E" w:rsidRPr="00B92EAE">
        <w:t xml:space="preserve"> book</w:t>
      </w:r>
      <w:r w:rsidR="00FD4BB1" w:rsidRPr="00B92EAE">
        <w:t xml:space="preserve"> is unacceptable.</w:t>
      </w:r>
      <w:r w:rsidR="005923D0">
        <w:t xml:space="preserve"> </w:t>
      </w:r>
      <w:r w:rsidR="00FD4BB1" w:rsidRPr="00FD4BB1">
        <w:t xml:space="preserve"> It would thus not be just and equitable to limit the retrospective effect of the declaration of invalidity.</w:t>
      </w:r>
      <w:r w:rsidR="007168F7">
        <w:t xml:space="preserve"> </w:t>
      </w:r>
      <w:r w:rsidR="00FD4BB1" w:rsidRPr="00FD4BB1">
        <w:t xml:space="preserve"> Furthermore, a prospective order would not grant any</w:t>
      </w:r>
      <w:r w:rsidR="00BC0455">
        <w:t>, or</w:t>
      </w:r>
      <w:r w:rsidR="002B01CF">
        <w:t xml:space="preserve"> effective</w:t>
      </w:r>
      <w:r w:rsidR="00FD4BB1" w:rsidRPr="00FD4BB1">
        <w:t xml:space="preserve"> relief to </w:t>
      </w:r>
      <w:r w:rsidR="00C55B5C">
        <w:t>Black</w:t>
      </w:r>
      <w:r w:rsidR="00FD4BB1" w:rsidRPr="00FD4BB1">
        <w:t xml:space="preserve"> couples in marriages concluded before 1988. </w:t>
      </w:r>
      <w:r w:rsidR="00856502">
        <w:t xml:space="preserve"> </w:t>
      </w:r>
      <w:r w:rsidR="00FD4BB1" w:rsidRPr="00FD4BB1">
        <w:t>The retrospective regime which the order wou</w:t>
      </w:r>
      <w:r w:rsidR="002B01CF">
        <w:t>ld permit is properly aligned with</w:t>
      </w:r>
      <w:r w:rsidR="00FD4BB1" w:rsidRPr="00FD4BB1">
        <w:t xml:space="preserve"> the</w:t>
      </w:r>
      <w:r w:rsidR="001F02BC">
        <w:t xml:space="preserve"> prospective regime created by P</w:t>
      </w:r>
      <w:r w:rsidR="00FD4BB1" w:rsidRPr="00FD4BB1">
        <w:t xml:space="preserve">arliament </w:t>
      </w:r>
      <w:r w:rsidR="001F02BC">
        <w:t>for other couples of other racial groups</w:t>
      </w:r>
      <w:r w:rsidR="00FD4BB1" w:rsidRPr="00FD4BB1">
        <w:t xml:space="preserve"> and the effect is that the default position in all marriages would be marriages in community of property.</w:t>
      </w:r>
    </w:p>
    <w:p w14:paraId="0DF258F0" w14:textId="77777777" w:rsidR="00040535" w:rsidRPr="00040535" w:rsidRDefault="00040535" w:rsidP="00040535">
      <w:pPr>
        <w:pStyle w:val="JUDGMENTCONTINUED"/>
      </w:pPr>
    </w:p>
    <w:p w14:paraId="0A7FC44C" w14:textId="6B0C4A85" w:rsidR="00FD4BB1" w:rsidRDefault="00333B16" w:rsidP="00333B16">
      <w:pPr>
        <w:pStyle w:val="JUDGMENTNUMBERED"/>
        <w:numPr>
          <w:ilvl w:val="0"/>
          <w:numId w:val="0"/>
        </w:numPr>
      </w:pPr>
      <w:r>
        <w:rPr>
          <w:color w:val="000000"/>
          <w14:scene3d>
            <w14:camera w14:prst="orthographicFront"/>
            <w14:lightRig w14:rig="threePt" w14:dir="t">
              <w14:rot w14:lat="0" w14:lon="0" w14:rev="0"/>
            </w14:lightRig>
          </w14:scene3d>
        </w:rPr>
        <w:t>[50]</w:t>
      </w:r>
      <w:r>
        <w:rPr>
          <w:color w:val="000000"/>
          <w14:scene3d>
            <w14:camera w14:prst="orthographicFront"/>
            <w14:lightRig w14:rig="threePt" w14:dir="t">
              <w14:rot w14:lat="0" w14:lon="0" w14:rev="0"/>
            </w14:lightRig>
          </w14:scene3d>
        </w:rPr>
        <w:tab/>
      </w:r>
      <w:r w:rsidR="00FD4BB1" w:rsidRPr="00FD4BB1">
        <w:t xml:space="preserve">There is no basis to delay and thus perpetuate the unjustified unequal treatment of </w:t>
      </w:r>
      <w:r w:rsidR="00C55B5C">
        <w:t>Black</w:t>
      </w:r>
      <w:r w:rsidR="00FD4BB1" w:rsidRPr="00FD4BB1">
        <w:t xml:space="preserve"> couples. </w:t>
      </w:r>
      <w:r w:rsidR="00856502">
        <w:t xml:space="preserve"> </w:t>
      </w:r>
      <w:r w:rsidR="00FD4BB1" w:rsidRPr="003D5E2E">
        <w:t xml:space="preserve">However, the order should not affect </w:t>
      </w:r>
      <w:r w:rsidR="003D5E2E" w:rsidRPr="003D5E2E">
        <w:t xml:space="preserve">the legal consequences of any act or omission existing in relation to a marriage before this order was made. </w:t>
      </w:r>
      <w:r w:rsidR="00FD4BB1" w:rsidRPr="003D5E2E">
        <w:t xml:space="preserve"> </w:t>
      </w:r>
      <w:r w:rsidR="00F678F8" w:rsidRPr="00F678F8">
        <w:t>Also, the order must not undo completed transactions in terms of which ownership of property belonging to any of the affected spouses has since passed to third parties.  Further,</w:t>
      </w:r>
      <w:r w:rsidR="00FD4BB1" w:rsidRPr="00F81288">
        <w:t xml:space="preserve"> </w:t>
      </w:r>
      <w:r w:rsidR="00F678F8">
        <w:t>a</w:t>
      </w:r>
      <w:r w:rsidR="00FD4BB1" w:rsidRPr="00F81288">
        <w:t xml:space="preserve"> saving provision or generic order should be made in favour of a </w:t>
      </w:r>
      <w:r w:rsidR="00583C8E" w:rsidRPr="00F81288">
        <w:t>person</w:t>
      </w:r>
      <w:r w:rsidR="00FD4BB1" w:rsidRPr="00F81288">
        <w:t xml:space="preserve"> claiming specific prejudice arising from the retrospective change of the matrimonial regime, to </w:t>
      </w:r>
      <w:r w:rsidR="0040064C">
        <w:t xml:space="preserve">approach a competent court for </w:t>
      </w:r>
      <w:r w:rsidR="00FD4BB1" w:rsidRPr="00F81288">
        <w:t>appropriate relief.</w:t>
      </w:r>
    </w:p>
    <w:p w14:paraId="516C8F59" w14:textId="77777777" w:rsidR="00F81288" w:rsidRPr="00F81288" w:rsidRDefault="00F81288" w:rsidP="00F81288">
      <w:pPr>
        <w:pStyle w:val="JUDGMENTCONTINUED"/>
      </w:pPr>
    </w:p>
    <w:p w14:paraId="08B708AD" w14:textId="31D06BF8" w:rsidR="00FD4BB1" w:rsidRDefault="00FD4BB1" w:rsidP="00FD4BB1">
      <w:pPr>
        <w:pStyle w:val="HEADING"/>
      </w:pPr>
      <w:r>
        <w:t>Costs</w:t>
      </w:r>
    </w:p>
    <w:p w14:paraId="7C278C94" w14:textId="6F9CBD05" w:rsidR="00FD4BB1" w:rsidRDefault="00333B16" w:rsidP="00333B16">
      <w:pPr>
        <w:pStyle w:val="JUDGMENTNUMBERED"/>
        <w:numPr>
          <w:ilvl w:val="0"/>
          <w:numId w:val="0"/>
        </w:numPr>
      </w:pPr>
      <w:r>
        <w:rPr>
          <w:color w:val="000000"/>
          <w14:scene3d>
            <w14:camera w14:prst="orthographicFront"/>
            <w14:lightRig w14:rig="threePt" w14:dir="t">
              <w14:rot w14:lat="0" w14:lon="0" w14:rev="0"/>
            </w14:lightRig>
          </w14:scene3d>
        </w:rPr>
        <w:t>[51]</w:t>
      </w:r>
      <w:r>
        <w:rPr>
          <w:color w:val="000000"/>
          <w14:scene3d>
            <w14:camera w14:prst="orthographicFront"/>
            <w14:lightRig w14:rig="threePt" w14:dir="t">
              <w14:rot w14:lat="0" w14:lon="0" w14:rev="0"/>
            </w14:lightRig>
          </w14:scene3d>
        </w:rPr>
        <w:tab/>
      </w:r>
      <w:r w:rsidR="00FD4BB1" w:rsidRPr="00FD4BB1">
        <w:t xml:space="preserve">Only the first respondent has opposed the application. </w:t>
      </w:r>
      <w:r w:rsidR="007168F7">
        <w:t xml:space="preserve"> </w:t>
      </w:r>
      <w:r w:rsidR="00FD4BB1" w:rsidRPr="00FD4BB1">
        <w:t>In the interests of protecting Mrs Sithole’s share of the joint estate, no costs order should be made against Mr Sithole</w:t>
      </w:r>
      <w:r w:rsidR="009D6BBB">
        <w:t>’s estate</w:t>
      </w:r>
      <w:r w:rsidR="00FD4BB1">
        <w:t>.</w:t>
      </w:r>
    </w:p>
    <w:p w14:paraId="4DBED856" w14:textId="77777777" w:rsidR="00D46311" w:rsidRPr="00D46311" w:rsidRDefault="00D46311" w:rsidP="00D46311">
      <w:pPr>
        <w:pStyle w:val="JUDGMENTCONTINUED"/>
      </w:pPr>
    </w:p>
    <w:p w14:paraId="1B2E9EAF" w14:textId="1F5088CC" w:rsidR="008408C6" w:rsidRPr="004440A6" w:rsidRDefault="00333B16" w:rsidP="00333B16">
      <w:pPr>
        <w:pStyle w:val="JUDGMENTNUMBERED"/>
        <w:numPr>
          <w:ilvl w:val="0"/>
          <w:numId w:val="0"/>
        </w:numPr>
      </w:pPr>
      <w:r w:rsidRPr="004440A6">
        <w:rPr>
          <w:color w:val="000000"/>
          <w14:scene3d>
            <w14:camera w14:prst="orthographicFront"/>
            <w14:lightRig w14:rig="threePt" w14:dir="t">
              <w14:rot w14:lat="0" w14:lon="0" w14:rev="0"/>
            </w14:lightRig>
          </w14:scene3d>
        </w:rPr>
        <w:t>[52]</w:t>
      </w:r>
      <w:r w:rsidRPr="004440A6">
        <w:rPr>
          <w:color w:val="000000"/>
          <w14:scene3d>
            <w14:camera w14:prst="orthographicFront"/>
            <w14:lightRig w14:rig="threePt" w14:dir="t">
              <w14:rot w14:lat="0" w14:lon="0" w14:rev="0"/>
            </w14:lightRig>
          </w14:scene3d>
        </w:rPr>
        <w:tab/>
      </w:r>
      <w:r w:rsidR="008408C6">
        <w:t xml:space="preserve">In the High Court costs were sought against the </w:t>
      </w:r>
      <w:r w:rsidR="009D6BBB">
        <w:t>Minister</w:t>
      </w:r>
      <w:r w:rsidR="008408C6">
        <w:t xml:space="preserve"> only if he opposed the application.</w:t>
      </w:r>
      <w:r w:rsidR="002B01CF">
        <w:t xml:space="preserve"> </w:t>
      </w:r>
      <w:r w:rsidR="008408C6">
        <w:t xml:space="preserve"> </w:t>
      </w:r>
      <w:r w:rsidR="009D6BBB">
        <w:t>He</w:t>
      </w:r>
      <w:r w:rsidR="008408C6">
        <w:t xml:space="preserve"> did not oppose the application but he was ordered to pay the costs. </w:t>
      </w:r>
      <w:r w:rsidR="0040064C">
        <w:t xml:space="preserve"> </w:t>
      </w:r>
      <w:r w:rsidR="008408C6">
        <w:t>The applicants have elected to abandon that order as it was sought and granted in error.</w:t>
      </w:r>
    </w:p>
    <w:p w14:paraId="613C5D84" w14:textId="22AAE1CD" w:rsidR="008408C6" w:rsidRPr="008408C6" w:rsidRDefault="008408C6" w:rsidP="00DD43C9">
      <w:pPr>
        <w:pStyle w:val="JUDGMENTCONTINUED"/>
      </w:pPr>
    </w:p>
    <w:p w14:paraId="724EEA6A" w14:textId="27DE8993" w:rsidR="008408C6" w:rsidRDefault="00333B16" w:rsidP="00333B16">
      <w:pPr>
        <w:pStyle w:val="JUDGMENTNUMBERED"/>
        <w:numPr>
          <w:ilvl w:val="0"/>
          <w:numId w:val="0"/>
        </w:numPr>
      </w:pPr>
      <w:r>
        <w:rPr>
          <w:color w:val="000000"/>
          <w14:scene3d>
            <w14:camera w14:prst="orthographicFront"/>
            <w14:lightRig w14:rig="threePt" w14:dir="t">
              <w14:rot w14:lat="0" w14:lon="0" w14:rev="0"/>
            </w14:lightRig>
          </w14:scene3d>
        </w:rPr>
        <w:t>[53]</w:t>
      </w:r>
      <w:r>
        <w:rPr>
          <w:color w:val="000000"/>
          <w14:scene3d>
            <w14:camera w14:prst="orthographicFront"/>
            <w14:lightRig w14:rig="threePt" w14:dir="t">
              <w14:rot w14:lat="0" w14:lon="0" w14:rev="0"/>
            </w14:lightRig>
          </w14:scene3d>
        </w:rPr>
        <w:tab/>
      </w:r>
      <w:r w:rsidR="008408C6">
        <w:t>In this Court too t</w:t>
      </w:r>
      <w:r w:rsidR="00FD4BB1" w:rsidRPr="00FD4BB1">
        <w:t xml:space="preserve">he </w:t>
      </w:r>
      <w:r w:rsidR="009D6BBB">
        <w:t>Minister</w:t>
      </w:r>
      <w:r w:rsidR="00FD4BB1" w:rsidRPr="00FD4BB1">
        <w:t xml:space="preserve"> has elected to</w:t>
      </w:r>
      <w:r w:rsidR="009C6B87">
        <w:t xml:space="preserve"> abide </w:t>
      </w:r>
      <w:r w:rsidR="0040064C">
        <w:t xml:space="preserve">by </w:t>
      </w:r>
      <w:r w:rsidR="009D6BBB">
        <w:t>our decision</w:t>
      </w:r>
      <w:r w:rsidR="00FD4BB1" w:rsidRPr="00FD4BB1">
        <w:t xml:space="preserve">. </w:t>
      </w:r>
      <w:r w:rsidR="005923D0">
        <w:t xml:space="preserve"> </w:t>
      </w:r>
      <w:r w:rsidR="008408C6">
        <w:t xml:space="preserve">However, </w:t>
      </w:r>
      <w:r w:rsidR="001F02BC">
        <w:t>as a member of the E</w:t>
      </w:r>
      <w:r w:rsidR="00FD4BB1" w:rsidRPr="00FD4BB1">
        <w:t xml:space="preserve">xecutive responsible for the administration of the legislation in question, </w:t>
      </w:r>
      <w:r w:rsidR="009D6BBB">
        <w:t xml:space="preserve">he </w:t>
      </w:r>
      <w:r w:rsidR="001F02BC">
        <w:t>bears the responsibility</w:t>
      </w:r>
      <w:r w:rsidR="00864B05">
        <w:t xml:space="preserve"> to detect areas of concern in l</w:t>
      </w:r>
      <w:r w:rsidR="001F02BC">
        <w:t>egislation and take responsibility to rectify them.</w:t>
      </w:r>
      <w:r w:rsidR="007168F7">
        <w:t xml:space="preserve"> </w:t>
      </w:r>
      <w:r w:rsidR="001F02BC">
        <w:t xml:space="preserve"> </w:t>
      </w:r>
      <w:r w:rsidR="00FD4BB1" w:rsidRPr="00FD4BB1">
        <w:t xml:space="preserve">Had </w:t>
      </w:r>
      <w:r w:rsidR="009D6BBB">
        <w:t>he</w:t>
      </w:r>
      <w:r w:rsidR="00FD4BB1" w:rsidRPr="00FD4BB1">
        <w:t xml:space="preserve"> amended the legislation, this application would not have been brought.</w:t>
      </w:r>
      <w:r w:rsidR="005923D0">
        <w:t xml:space="preserve"> </w:t>
      </w:r>
      <w:r w:rsidR="00FD4BB1" w:rsidRPr="00FD4BB1">
        <w:t xml:space="preserve"> In the circumstances a costs order against the </w:t>
      </w:r>
      <w:r w:rsidR="009D6BBB">
        <w:t>Minister</w:t>
      </w:r>
      <w:r w:rsidR="00FD4BB1" w:rsidRPr="00FD4BB1">
        <w:t xml:space="preserve"> </w:t>
      </w:r>
      <w:r w:rsidR="00763BBB">
        <w:t xml:space="preserve">in this Court </w:t>
      </w:r>
      <w:r w:rsidR="00FD4BB1" w:rsidRPr="00FD4BB1">
        <w:t>is appropriate.</w:t>
      </w:r>
      <w:r w:rsidR="007168F7">
        <w:t xml:space="preserve"> </w:t>
      </w:r>
      <w:r w:rsidR="002B01CF">
        <w:t xml:space="preserve"> </w:t>
      </w:r>
      <w:r w:rsidR="00F678F8" w:rsidRPr="00F678F8">
        <w:t>In any event, generally where this Court confirms a declar</w:t>
      </w:r>
      <w:r w:rsidR="00DF140E">
        <w:t>ation of constitutional invali</w:t>
      </w:r>
      <w:r w:rsidR="00F678F8" w:rsidRPr="00F678F8">
        <w:t>dity, the applicant is entitled to costs against the member of the Executive responsible for the administration of the impugned legislation.</w:t>
      </w:r>
    </w:p>
    <w:p w14:paraId="3E8C8E23" w14:textId="4851255E" w:rsidR="00FD4BB1" w:rsidRDefault="00FD4BB1" w:rsidP="00040535">
      <w:pPr>
        <w:pStyle w:val="JUDGMENTCONTINUED"/>
      </w:pPr>
    </w:p>
    <w:p w14:paraId="195DA1A4" w14:textId="2F1731CE" w:rsidR="001559EB" w:rsidRDefault="00333B16" w:rsidP="00333B16">
      <w:pPr>
        <w:pStyle w:val="JUDGMENTNUMBERED"/>
        <w:numPr>
          <w:ilvl w:val="0"/>
          <w:numId w:val="0"/>
        </w:numPr>
      </w:pPr>
      <w:r>
        <w:rPr>
          <w:color w:val="000000"/>
          <w14:scene3d>
            <w14:camera w14:prst="orthographicFront"/>
            <w14:lightRig w14:rig="threePt" w14:dir="t">
              <w14:rot w14:lat="0" w14:lon="0" w14:rev="0"/>
            </w14:lightRig>
          </w14:scene3d>
        </w:rPr>
        <w:t>[54]</w:t>
      </w:r>
      <w:r>
        <w:rPr>
          <w:color w:val="000000"/>
          <w14:scene3d>
            <w14:camera w14:prst="orthographicFront"/>
            <w14:lightRig w14:rig="threePt" w14:dir="t">
              <w14:rot w14:lat="0" w14:lon="0" w14:rev="0"/>
            </w14:lightRig>
          </w14:scene3d>
        </w:rPr>
        <w:tab/>
      </w:r>
      <w:r w:rsidR="00FD4BB1" w:rsidRPr="00E91599">
        <w:t>This application was set down for hearing o</w:t>
      </w:r>
      <w:r w:rsidR="004365AD" w:rsidRPr="00E91599">
        <w:t>n 17 September 2020.</w:t>
      </w:r>
      <w:r w:rsidR="00FD4BB1" w:rsidRPr="00E91599">
        <w:t xml:space="preserve"> </w:t>
      </w:r>
      <w:r w:rsidR="00A51852">
        <w:t xml:space="preserve"> </w:t>
      </w:r>
      <w:r w:rsidR="00FD4BB1" w:rsidRPr="00E91599">
        <w:t>O</w:t>
      </w:r>
      <w:r w:rsidR="004365AD" w:rsidRPr="00E91599">
        <w:t>n 16 September 2020</w:t>
      </w:r>
      <w:r w:rsidR="00327495">
        <w:t xml:space="preserve"> </w:t>
      </w:r>
      <w:r w:rsidR="001928C1">
        <w:t>the applicants’</w:t>
      </w:r>
      <w:r w:rsidR="00042256">
        <w:t xml:space="preserve"> attorney</w:t>
      </w:r>
      <w:r w:rsidR="00A51852">
        <w:t>s</w:t>
      </w:r>
      <w:r w:rsidR="00FD4BB1" w:rsidRPr="00E91599">
        <w:t xml:space="preserve"> contacted </w:t>
      </w:r>
      <w:r w:rsidR="00327495">
        <w:t>Mr Sithole’s attorney</w:t>
      </w:r>
      <w:r w:rsidR="0079702A">
        <w:t xml:space="preserve">, </w:t>
      </w:r>
      <w:r w:rsidR="00327495">
        <w:t>Mr Dlamini</w:t>
      </w:r>
      <w:r w:rsidR="00FD4BB1" w:rsidRPr="00E91599">
        <w:t xml:space="preserve"> </w:t>
      </w:r>
      <w:r w:rsidR="00B03E71">
        <w:t>to ascertain whether he would</w:t>
      </w:r>
      <w:r w:rsidR="004365AD" w:rsidRPr="00E91599">
        <w:t xml:space="preserve"> be participating in the hearing. </w:t>
      </w:r>
      <w:r w:rsidR="005923D0" w:rsidRPr="00E91599">
        <w:t xml:space="preserve"> </w:t>
      </w:r>
      <w:r w:rsidR="003F5C95">
        <w:t xml:space="preserve">They were </w:t>
      </w:r>
      <w:r w:rsidR="004365AD" w:rsidRPr="00E91599">
        <w:t xml:space="preserve">advised that </w:t>
      </w:r>
      <w:r w:rsidR="00327495">
        <w:t>Mr</w:t>
      </w:r>
      <w:r w:rsidR="00A51852">
        <w:t> </w:t>
      </w:r>
      <w:r w:rsidR="00327495">
        <w:t>Dlamini</w:t>
      </w:r>
      <w:r w:rsidR="000E117D">
        <w:t xml:space="preserve"> had </w:t>
      </w:r>
      <w:r w:rsidR="003F5C95">
        <w:t xml:space="preserve">no </w:t>
      </w:r>
      <w:r w:rsidR="004365AD" w:rsidRPr="00E91599">
        <w:t>knowledge of the matter being set down for</w:t>
      </w:r>
      <w:r w:rsidR="00A51852">
        <w:t xml:space="preserve"> hearing on</w:t>
      </w:r>
      <w:r w:rsidR="004365AD" w:rsidRPr="00E91599">
        <w:t xml:space="preserve"> 17</w:t>
      </w:r>
      <w:r w:rsidR="00A51852">
        <w:t> </w:t>
      </w:r>
      <w:r w:rsidR="004365AD" w:rsidRPr="00E91599">
        <w:t>September 2020</w:t>
      </w:r>
      <w:r w:rsidR="000E117D">
        <w:t xml:space="preserve">. </w:t>
      </w:r>
      <w:r w:rsidR="00A51852">
        <w:t xml:space="preserve"> </w:t>
      </w:r>
      <w:r w:rsidR="00327495">
        <w:t>Mr Dlamini</w:t>
      </w:r>
      <w:r w:rsidR="00CE1D5C" w:rsidRPr="00E91599">
        <w:t xml:space="preserve"> provide</w:t>
      </w:r>
      <w:r w:rsidR="007F541B" w:rsidRPr="00E91599">
        <w:t>d</w:t>
      </w:r>
      <w:r w:rsidR="00A51852">
        <w:t xml:space="preserve"> the applicant</w:t>
      </w:r>
      <w:r w:rsidR="00042256">
        <w:t>s</w:t>
      </w:r>
      <w:r w:rsidR="00A51852">
        <w:t>’</w:t>
      </w:r>
      <w:r w:rsidR="00042256">
        <w:t xml:space="preserve"> attorney</w:t>
      </w:r>
      <w:r w:rsidR="00A51852">
        <w:t>s</w:t>
      </w:r>
      <w:r w:rsidR="00042256">
        <w:t xml:space="preserve"> </w:t>
      </w:r>
      <w:r w:rsidR="004365AD" w:rsidRPr="00E91599">
        <w:t xml:space="preserve">with </w:t>
      </w:r>
      <w:r w:rsidR="00CE1D5C" w:rsidRPr="00E91599">
        <w:t>a different</w:t>
      </w:r>
      <w:r w:rsidR="00B03E71">
        <w:t xml:space="preserve"> e</w:t>
      </w:r>
      <w:r w:rsidR="004365AD" w:rsidRPr="00E91599">
        <w:t xml:space="preserve">mail address </w:t>
      </w:r>
      <w:r w:rsidR="00CE1D5C" w:rsidRPr="00E91599">
        <w:t xml:space="preserve">to the one </w:t>
      </w:r>
      <w:r w:rsidR="00A51852">
        <w:t xml:space="preserve">previously </w:t>
      </w:r>
      <w:r w:rsidR="00CE1D5C" w:rsidRPr="00E91599">
        <w:t>provided to the</w:t>
      </w:r>
      <w:r w:rsidR="00A51852">
        <w:t>m as well as the</w:t>
      </w:r>
      <w:r w:rsidR="00CE1D5C" w:rsidRPr="00E91599">
        <w:t xml:space="preserve"> different courts</w:t>
      </w:r>
      <w:r w:rsidR="004365AD" w:rsidRPr="00E91599">
        <w:t xml:space="preserve">. </w:t>
      </w:r>
      <w:r w:rsidR="005923D0" w:rsidRPr="00E91599">
        <w:t xml:space="preserve"> </w:t>
      </w:r>
      <w:r w:rsidR="004365AD" w:rsidRPr="00E91599">
        <w:t>On the morning of 17 Sept</w:t>
      </w:r>
      <w:r w:rsidR="001928C1">
        <w:t xml:space="preserve">ember 2020, </w:t>
      </w:r>
      <w:r w:rsidR="00327495">
        <w:t>Mr Dlamini</w:t>
      </w:r>
      <w:r w:rsidR="001F02BC">
        <w:t xml:space="preserve">, </w:t>
      </w:r>
      <w:r w:rsidR="00B03E71">
        <w:t>through his c</w:t>
      </w:r>
      <w:r w:rsidR="001559EB">
        <w:t>ounsel</w:t>
      </w:r>
      <w:r w:rsidR="005B5A5E">
        <w:t>,</w:t>
      </w:r>
      <w:r w:rsidR="001559EB">
        <w:t xml:space="preserve"> </w:t>
      </w:r>
      <w:r w:rsidR="001F02BC">
        <w:t>al</w:t>
      </w:r>
      <w:r w:rsidR="001559EB">
        <w:t>leged</w:t>
      </w:r>
      <w:r w:rsidR="001F02BC">
        <w:t xml:space="preserve"> that he had </w:t>
      </w:r>
      <w:r w:rsidR="001559EB">
        <w:t xml:space="preserve">not </w:t>
      </w:r>
      <w:r w:rsidR="00CE1D5C" w:rsidRPr="00E91599">
        <w:t xml:space="preserve">received </w:t>
      </w:r>
      <w:r w:rsidR="0079702A">
        <w:t xml:space="preserve">notification of the </w:t>
      </w:r>
      <w:r w:rsidR="001F02BC">
        <w:t xml:space="preserve">set down, </w:t>
      </w:r>
      <w:r w:rsidR="005D29AD">
        <w:t xml:space="preserve">and for this reason </w:t>
      </w:r>
      <w:r w:rsidR="004365AD" w:rsidRPr="00E91599">
        <w:t>requested a postponement</w:t>
      </w:r>
      <w:r w:rsidR="001559EB">
        <w:t>.</w:t>
      </w:r>
      <w:r w:rsidR="004365AD" w:rsidRPr="00E91599">
        <w:t xml:space="preserve"> </w:t>
      </w:r>
      <w:r w:rsidR="00A51852">
        <w:t xml:space="preserve"> </w:t>
      </w:r>
      <w:r w:rsidR="003F5C95">
        <w:t xml:space="preserve">Mr Sithole’s </w:t>
      </w:r>
      <w:r w:rsidR="00B03E71">
        <w:t>c</w:t>
      </w:r>
      <w:r w:rsidR="003F5C95" w:rsidRPr="00EC0964">
        <w:t>ounsel</w:t>
      </w:r>
      <w:r w:rsidR="003F5C95">
        <w:t xml:space="preserve"> </w:t>
      </w:r>
      <w:r w:rsidR="00B03E71">
        <w:t>advised this</w:t>
      </w:r>
      <w:r w:rsidR="00195992">
        <w:t xml:space="preserve"> Court that</w:t>
      </w:r>
      <w:r w:rsidR="001559EB">
        <w:t xml:space="preserve"> </w:t>
      </w:r>
      <w:r w:rsidR="00327495">
        <w:t>Mr Dlamini</w:t>
      </w:r>
      <w:r w:rsidR="00B03E71">
        <w:t xml:space="preserve"> has several e</w:t>
      </w:r>
      <w:r w:rsidR="001559EB">
        <w:t xml:space="preserve">mail addresses which change very often due to the fact that he has an </w:t>
      </w:r>
      <w:r w:rsidR="00A51852">
        <w:t>“</w:t>
      </w:r>
      <w:r w:rsidR="001559EB">
        <w:t>inherent phobia of technology</w:t>
      </w:r>
      <w:r w:rsidR="00A51852">
        <w:t>”</w:t>
      </w:r>
      <w:r w:rsidR="001559EB">
        <w:t xml:space="preserve">. </w:t>
      </w:r>
      <w:r w:rsidR="007168F7">
        <w:t xml:space="preserve"> </w:t>
      </w:r>
      <w:r w:rsidR="001559EB">
        <w:t>In the interests of fairness</w:t>
      </w:r>
      <w:r w:rsidR="00A51852">
        <w:t>,</w:t>
      </w:r>
      <w:r w:rsidR="001559EB">
        <w:t xml:space="preserve"> the application</w:t>
      </w:r>
      <w:r w:rsidR="00B03E71">
        <w:t xml:space="preserve"> was postponed and</w:t>
      </w:r>
      <w:r w:rsidR="001559EB">
        <w:t xml:space="preserve"> direction</w:t>
      </w:r>
      <w:r w:rsidR="00B03E71">
        <w:t>s</w:t>
      </w:r>
      <w:r w:rsidR="001559EB">
        <w:t xml:space="preserve"> </w:t>
      </w:r>
      <w:r w:rsidR="001559EB">
        <w:lastRenderedPageBreak/>
        <w:t>requiring</w:t>
      </w:r>
      <w:r w:rsidR="001928C1">
        <w:t xml:space="preserve"> </w:t>
      </w:r>
      <w:r w:rsidR="00327495">
        <w:t>Mr Dlamini</w:t>
      </w:r>
      <w:r w:rsidR="004365AD" w:rsidRPr="00E91599">
        <w:t xml:space="preserve"> to </w:t>
      </w:r>
      <w:r w:rsidR="001559EB">
        <w:t xml:space="preserve">show cause </w:t>
      </w:r>
      <w:r w:rsidR="004365AD" w:rsidRPr="00E91599">
        <w:t xml:space="preserve">why </w:t>
      </w:r>
      <w:r w:rsidR="001559EB">
        <w:t xml:space="preserve">a </w:t>
      </w:r>
      <w:r w:rsidR="00FD4BB1" w:rsidRPr="00E91599">
        <w:t>punitive costs order</w:t>
      </w:r>
      <w:r w:rsidR="003F5C95">
        <w:t xml:space="preserve"> should not be made</w:t>
      </w:r>
      <w:r w:rsidR="00FD4BB1" w:rsidRPr="00E91599">
        <w:t xml:space="preserve"> against him</w:t>
      </w:r>
      <w:r w:rsidR="00B03E71">
        <w:t xml:space="preserve"> were</w:t>
      </w:r>
      <w:r w:rsidR="00A51852">
        <w:t xml:space="preserve"> issued</w:t>
      </w:r>
      <w:r w:rsidR="00FD4BB1" w:rsidRPr="00FD4BB1">
        <w:t>.</w:t>
      </w:r>
    </w:p>
    <w:p w14:paraId="2A5FAFA8" w14:textId="77777777" w:rsidR="005D29AD" w:rsidRPr="005D29AD" w:rsidRDefault="005D29AD" w:rsidP="005D29AD">
      <w:pPr>
        <w:pStyle w:val="JUDGMENTCONTINUED"/>
      </w:pPr>
    </w:p>
    <w:p w14:paraId="07D7D5DD" w14:textId="1E4DF0AF" w:rsidR="00BB762F" w:rsidRDefault="00333B16" w:rsidP="00333B16">
      <w:pPr>
        <w:pStyle w:val="JUDGMENTNUMBERED"/>
        <w:numPr>
          <w:ilvl w:val="0"/>
          <w:numId w:val="0"/>
        </w:numPr>
      </w:pPr>
      <w:r>
        <w:rPr>
          <w:color w:val="000000"/>
          <w14:scene3d>
            <w14:camera w14:prst="orthographicFront"/>
            <w14:lightRig w14:rig="threePt" w14:dir="t">
              <w14:rot w14:lat="0" w14:lon="0" w14:rev="0"/>
            </w14:lightRig>
          </w14:scene3d>
        </w:rPr>
        <w:t>[55]</w:t>
      </w:r>
      <w:r>
        <w:rPr>
          <w:color w:val="000000"/>
          <w14:scene3d>
            <w14:camera w14:prst="orthographicFront"/>
            <w14:lightRig w14:rig="threePt" w14:dir="t">
              <w14:rot w14:lat="0" w14:lon="0" w14:rev="0"/>
            </w14:lightRig>
          </w14:scene3d>
        </w:rPr>
        <w:tab/>
      </w:r>
      <w:r w:rsidR="0033617B">
        <w:t>No affidavit was received by this Court in response to the direction</w:t>
      </w:r>
      <w:r w:rsidR="00B03E71">
        <w:t>s</w:t>
      </w:r>
      <w:r w:rsidR="0033617B">
        <w:t xml:space="preserve">, but during argument, </w:t>
      </w:r>
      <w:r w:rsidR="00DF140E">
        <w:t>Mr Sithole’s c</w:t>
      </w:r>
      <w:r w:rsidR="003F5C95">
        <w:t xml:space="preserve">ounsel </w:t>
      </w:r>
      <w:r w:rsidR="0033617B" w:rsidRPr="00E105F0">
        <w:t>stated that she had been briefed that an affidavit</w:t>
      </w:r>
      <w:r w:rsidR="0033617B">
        <w:t xml:space="preserve"> had been filed in this regard. </w:t>
      </w:r>
      <w:r w:rsidR="007168F7">
        <w:t xml:space="preserve"> </w:t>
      </w:r>
      <w:r w:rsidR="003B6AB0">
        <w:t>C</w:t>
      </w:r>
      <w:r w:rsidR="00BB762F">
        <w:t>ouns</w:t>
      </w:r>
      <w:r w:rsidR="005D29AD">
        <w:t>e</w:t>
      </w:r>
      <w:r w:rsidR="00E105F0">
        <w:t>l</w:t>
      </w:r>
      <w:r w:rsidR="003B6AB0">
        <w:t>, however,</w:t>
      </w:r>
      <w:r w:rsidR="00E105F0">
        <w:t xml:space="preserve"> could </w:t>
      </w:r>
      <w:r w:rsidR="00B03E71">
        <w:t>not explain to this</w:t>
      </w:r>
      <w:r w:rsidR="00BB762F">
        <w:t xml:space="preserve"> Co</w:t>
      </w:r>
      <w:r w:rsidR="00A51852">
        <w:t>urt why Mr</w:t>
      </w:r>
      <w:r w:rsidR="00DF140E">
        <w:t> </w:t>
      </w:r>
      <w:r w:rsidR="00A51852">
        <w:t xml:space="preserve"> Dlamini</w:t>
      </w:r>
      <w:r w:rsidR="00BB762F">
        <w:t xml:space="preserve"> did not inform this Court </w:t>
      </w:r>
      <w:r w:rsidR="00B03E71">
        <w:t>of the several changes in his e</w:t>
      </w:r>
      <w:r w:rsidR="00BB762F">
        <w:t xml:space="preserve">mail addresses. </w:t>
      </w:r>
      <w:r w:rsidR="00B03E71">
        <w:t xml:space="preserve"> </w:t>
      </w:r>
      <w:r w:rsidR="00BB762F">
        <w:t>The only ex</w:t>
      </w:r>
      <w:r w:rsidR="00195992">
        <w:t>plana</w:t>
      </w:r>
      <w:r w:rsidR="00EE2E56">
        <w:t>tion proffer</w:t>
      </w:r>
      <w:r w:rsidR="001928C1">
        <w:t xml:space="preserve">ed was that </w:t>
      </w:r>
      <w:r w:rsidR="00327495">
        <w:t>Mr Dlamini</w:t>
      </w:r>
      <w:r w:rsidR="00BB762F">
        <w:t xml:space="preserve"> expected that service would be effected physically to his office address because a certain </w:t>
      </w:r>
      <w:r w:rsidR="005D29AD">
        <w:t xml:space="preserve">set of pleadings </w:t>
      </w:r>
      <w:r w:rsidR="00BB762F">
        <w:t xml:space="preserve">had </w:t>
      </w:r>
      <w:r w:rsidR="00A51852">
        <w:t xml:space="preserve">previously </w:t>
      </w:r>
      <w:r w:rsidR="00BB762F">
        <w:t>been served in this fashion.</w:t>
      </w:r>
      <w:r w:rsidR="00EE2E56">
        <w:t xml:space="preserve"> </w:t>
      </w:r>
    </w:p>
    <w:p w14:paraId="2B5FF409" w14:textId="658CDEEA" w:rsidR="004B4086" w:rsidRDefault="004B4086" w:rsidP="004B4086">
      <w:pPr>
        <w:pStyle w:val="JUDGMENTCONTINUED"/>
      </w:pPr>
    </w:p>
    <w:p w14:paraId="4E55C472" w14:textId="1B36BF19" w:rsidR="0036030C" w:rsidRDefault="00333B16" w:rsidP="00333B16">
      <w:pPr>
        <w:pStyle w:val="JUDGMENTNUMBERED"/>
        <w:numPr>
          <w:ilvl w:val="0"/>
          <w:numId w:val="0"/>
        </w:numPr>
      </w:pPr>
      <w:r>
        <w:rPr>
          <w:color w:val="000000"/>
          <w14:scene3d>
            <w14:camera w14:prst="orthographicFront"/>
            <w14:lightRig w14:rig="threePt" w14:dir="t">
              <w14:rot w14:lat="0" w14:lon="0" w14:rev="0"/>
            </w14:lightRig>
          </w14:scene3d>
        </w:rPr>
        <w:t>[56]</w:t>
      </w:r>
      <w:r>
        <w:rPr>
          <w:color w:val="000000"/>
          <w14:scene3d>
            <w14:camera w14:prst="orthographicFront"/>
            <w14:lightRig w14:rig="threePt" w14:dir="t">
              <w14:rot w14:lat="0" w14:lon="0" w14:rev="0"/>
            </w14:lightRig>
          </w14:scene3d>
        </w:rPr>
        <w:tab/>
      </w:r>
      <w:r w:rsidR="004B4086">
        <w:t>Subsequent to the postponement, and in an attempt to deal</w:t>
      </w:r>
      <w:r w:rsidR="00DF140E">
        <w:t xml:space="preserve"> with the version of </w:t>
      </w:r>
      <w:r w:rsidR="00327495">
        <w:t>Mr Dlamini</w:t>
      </w:r>
      <w:r w:rsidR="004B4086">
        <w:t xml:space="preserve"> suggesting that he was not </w:t>
      </w:r>
      <w:r w:rsidR="00955E84">
        <w:t>apprised</w:t>
      </w:r>
      <w:r w:rsidR="004B4086">
        <w:t xml:space="preserve"> of the progress of the proceedings</w:t>
      </w:r>
      <w:r w:rsidR="003B6AB0">
        <w:t>,</w:t>
      </w:r>
      <w:r w:rsidR="004B4086">
        <w:t xml:space="preserve"> and </w:t>
      </w:r>
      <w:r w:rsidR="005D29AD">
        <w:t>in response to an insinuation</w:t>
      </w:r>
      <w:r w:rsidR="004B4086">
        <w:t xml:space="preserve"> that the applicants deliberately conducted these proceedings secretly, the applicants</w:t>
      </w:r>
      <w:r w:rsidR="001928C1">
        <w:t>’</w:t>
      </w:r>
      <w:r w:rsidR="004B4086">
        <w:t xml:space="preserve"> </w:t>
      </w:r>
      <w:r w:rsidR="00B46287">
        <w:t>attorney</w:t>
      </w:r>
      <w:r w:rsidR="00D47795">
        <w:t>s</w:t>
      </w:r>
      <w:r w:rsidR="00B46287">
        <w:t xml:space="preserve"> </w:t>
      </w:r>
      <w:r w:rsidR="004B4086">
        <w:t>filed a</w:t>
      </w:r>
      <w:r w:rsidR="00937555">
        <w:t>n</w:t>
      </w:r>
      <w:r w:rsidR="004B4086">
        <w:t xml:space="preserve"> affidavit. </w:t>
      </w:r>
      <w:r w:rsidR="007168F7">
        <w:t xml:space="preserve"> </w:t>
      </w:r>
      <w:r w:rsidR="004B4086">
        <w:t>The affidavit maps out the several measures ta</w:t>
      </w:r>
      <w:r w:rsidR="000D078B">
        <w:t>ken by the applicants’ attorney</w:t>
      </w:r>
      <w:r w:rsidR="00D47795">
        <w:t>s</w:t>
      </w:r>
      <w:r w:rsidR="004B4086">
        <w:t xml:space="preserve"> to ensure service of all the court p</w:t>
      </w:r>
      <w:r w:rsidR="00195992">
        <w:t xml:space="preserve">rocesses on </w:t>
      </w:r>
      <w:r w:rsidR="00327495">
        <w:t>Mr Dlamini</w:t>
      </w:r>
      <w:r w:rsidR="004B4086">
        <w:t xml:space="preserve">. </w:t>
      </w:r>
      <w:r w:rsidR="00A51852">
        <w:t xml:space="preserve"> </w:t>
      </w:r>
      <w:r w:rsidR="004B4086">
        <w:t xml:space="preserve">What stands out from the affidavit is that from </w:t>
      </w:r>
      <w:r w:rsidR="00C03BC4">
        <w:t>16</w:t>
      </w:r>
      <w:r w:rsidR="00A51852">
        <w:t> </w:t>
      </w:r>
      <w:r w:rsidR="00C03BC4">
        <w:t>April</w:t>
      </w:r>
      <w:r w:rsidR="00DF140E">
        <w:t> </w:t>
      </w:r>
      <w:r w:rsidR="00C03BC4">
        <w:t>2019</w:t>
      </w:r>
      <w:r w:rsidR="000D078B">
        <w:t xml:space="preserve">, when the applicants’ </w:t>
      </w:r>
      <w:r w:rsidR="000D078B" w:rsidRPr="00607EA3">
        <w:t>attorney</w:t>
      </w:r>
      <w:r w:rsidR="00607EA3" w:rsidRPr="00607EA3">
        <w:t>s</w:t>
      </w:r>
      <w:r w:rsidR="00C03BC4">
        <w:t xml:space="preserve"> served the High Court app</w:t>
      </w:r>
      <w:r w:rsidR="00195992">
        <w:t>lication on Mr</w:t>
      </w:r>
      <w:r w:rsidR="00B61FEE">
        <w:t> </w:t>
      </w:r>
      <w:r w:rsidR="003F5C95">
        <w:t>Dlamini</w:t>
      </w:r>
      <w:r w:rsidR="00B422E1">
        <w:t xml:space="preserve">, they </w:t>
      </w:r>
      <w:r w:rsidR="00C03BC4">
        <w:t>had to promp</w:t>
      </w:r>
      <w:r w:rsidR="003B6AB0">
        <w:t>t the latter through several e</w:t>
      </w:r>
      <w:r w:rsidR="00C03BC4">
        <w:t>mail</w:t>
      </w:r>
      <w:r w:rsidR="00955E84">
        <w:t>s</w:t>
      </w:r>
      <w:r w:rsidR="00C03BC4">
        <w:t xml:space="preserve"> and telephone calls before any s</w:t>
      </w:r>
      <w:r w:rsidR="003F5C95">
        <w:t xml:space="preserve">et of pleadings could be received from </w:t>
      </w:r>
      <w:r w:rsidR="00327495">
        <w:t>Mr Dlamini</w:t>
      </w:r>
      <w:r w:rsidR="00C03BC4">
        <w:t>.</w:t>
      </w:r>
    </w:p>
    <w:p w14:paraId="69F7064A" w14:textId="77777777" w:rsidR="0036030C" w:rsidRPr="0036030C" w:rsidRDefault="0036030C" w:rsidP="0036030C">
      <w:pPr>
        <w:pStyle w:val="JUDGMENTCONTINUED"/>
      </w:pPr>
    </w:p>
    <w:p w14:paraId="6850ABD2" w14:textId="7322DAF4" w:rsidR="004B4086" w:rsidRDefault="00333B16" w:rsidP="00333B16">
      <w:pPr>
        <w:pStyle w:val="JUDGMENTNUMBERED"/>
        <w:numPr>
          <w:ilvl w:val="0"/>
          <w:numId w:val="0"/>
        </w:numPr>
      </w:pPr>
      <w:r>
        <w:rPr>
          <w:color w:val="000000"/>
          <w14:scene3d>
            <w14:camera w14:prst="orthographicFront"/>
            <w14:lightRig w14:rig="threePt" w14:dir="t">
              <w14:rot w14:lat="0" w14:lon="0" w14:rev="0"/>
            </w14:lightRig>
          </w14:scene3d>
        </w:rPr>
        <w:t>[57]</w:t>
      </w:r>
      <w:r>
        <w:rPr>
          <w:color w:val="000000"/>
          <w14:scene3d>
            <w14:camera w14:prst="orthographicFront"/>
            <w14:lightRig w14:rig="threePt" w14:dir="t">
              <w14:rot w14:lat="0" w14:lon="0" w14:rev="0"/>
            </w14:lightRig>
          </w14:scene3d>
        </w:rPr>
        <w:tab/>
      </w:r>
      <w:r w:rsidR="00C03BC4">
        <w:t xml:space="preserve">The </w:t>
      </w:r>
      <w:r w:rsidR="00E105F0">
        <w:t xml:space="preserve">affidavit </w:t>
      </w:r>
      <w:r w:rsidR="00C03BC4">
        <w:t xml:space="preserve">highlights that on one occasion, </w:t>
      </w:r>
      <w:r w:rsidR="00C03BC4" w:rsidRPr="00E105F0">
        <w:t>after several attempts to contact</w:t>
      </w:r>
      <w:r w:rsidR="00E04F4C">
        <w:t xml:space="preserve"> </w:t>
      </w:r>
      <w:r w:rsidR="00A51852">
        <w:t xml:space="preserve">Mr </w:t>
      </w:r>
      <w:r w:rsidR="00327495">
        <w:t>Dlamini</w:t>
      </w:r>
      <w:r w:rsidR="001928C1">
        <w:t xml:space="preserve"> </w:t>
      </w:r>
      <w:r w:rsidR="00C03BC4">
        <w:t>were unsucce</w:t>
      </w:r>
      <w:r w:rsidR="00042256">
        <w:t xml:space="preserve">ssful, the applicants’ </w:t>
      </w:r>
      <w:r w:rsidR="00042256" w:rsidRPr="00607EA3">
        <w:t>attorney</w:t>
      </w:r>
      <w:r w:rsidR="00607EA3" w:rsidRPr="00607EA3">
        <w:t>s</w:t>
      </w:r>
      <w:r w:rsidR="00E04F4C">
        <w:t xml:space="preserve"> contacted Mr Sithole </w:t>
      </w:r>
      <w:r w:rsidR="00665639">
        <w:t xml:space="preserve">personally. </w:t>
      </w:r>
      <w:r w:rsidR="000201E1">
        <w:t xml:space="preserve"> </w:t>
      </w:r>
      <w:r w:rsidR="00E04F4C">
        <w:t xml:space="preserve">He </w:t>
      </w:r>
      <w:r w:rsidR="00C03BC4">
        <w:t xml:space="preserve">undertook to contact his attorney. </w:t>
      </w:r>
      <w:r w:rsidR="007168F7">
        <w:t xml:space="preserve"> </w:t>
      </w:r>
      <w:r w:rsidR="00BD3597">
        <w:t>Su</w:t>
      </w:r>
      <w:r w:rsidR="00C03BC4">
        <w:t>bsequently</w:t>
      </w:r>
      <w:r w:rsidR="00B61FEE">
        <w:t>,</w:t>
      </w:r>
      <w:r w:rsidR="00C03BC4">
        <w:t xml:space="preserve"> a full </w:t>
      </w:r>
      <w:r w:rsidR="00195992">
        <w:t xml:space="preserve">set of pleadings </w:t>
      </w:r>
      <w:r w:rsidR="00B46287">
        <w:t xml:space="preserve">was </w:t>
      </w:r>
      <w:r w:rsidR="00195992">
        <w:t xml:space="preserve">served on Mr Sithole </w:t>
      </w:r>
      <w:r w:rsidR="00C03BC4">
        <w:t>personally and th</w:t>
      </w:r>
      <w:r w:rsidR="00195992">
        <w:t xml:space="preserve">is prompted </w:t>
      </w:r>
      <w:r w:rsidR="00327495">
        <w:t>Mr Dlamini</w:t>
      </w:r>
      <w:r w:rsidR="00C03BC4">
        <w:t xml:space="preserve"> to file a notice of opposition of the High Court application. </w:t>
      </w:r>
      <w:r w:rsidR="007168F7">
        <w:t xml:space="preserve"> </w:t>
      </w:r>
      <w:r w:rsidR="00775FF5">
        <w:t>However, he did not file an answering affidavit afterwards until two days before the hearing.</w:t>
      </w:r>
    </w:p>
    <w:p w14:paraId="3A1D3AC4" w14:textId="238B196C" w:rsidR="00BD7F16" w:rsidRPr="00F47B03" w:rsidRDefault="00BD7F16" w:rsidP="00BD7F16">
      <w:pPr>
        <w:pStyle w:val="JUDGMENTCONTINUED"/>
        <w:rPr>
          <w:szCs w:val="26"/>
        </w:rPr>
      </w:pPr>
    </w:p>
    <w:p w14:paraId="50310F9E" w14:textId="1C0E7ECA" w:rsidR="00A011A8" w:rsidRDefault="00333B16" w:rsidP="00333B16">
      <w:pPr>
        <w:pStyle w:val="JUDGMENTNUMBERED"/>
        <w:numPr>
          <w:ilvl w:val="0"/>
          <w:numId w:val="0"/>
        </w:numPr>
      </w:pPr>
      <w:r>
        <w:rPr>
          <w:color w:val="000000"/>
          <w14:scene3d>
            <w14:camera w14:prst="orthographicFront"/>
            <w14:lightRig w14:rig="threePt" w14:dir="t">
              <w14:rot w14:lat="0" w14:lon="0" w14:rev="0"/>
            </w14:lightRig>
          </w14:scene3d>
        </w:rPr>
        <w:t>[58]</w:t>
      </w:r>
      <w:r>
        <w:rPr>
          <w:color w:val="000000"/>
          <w14:scene3d>
            <w14:camera w14:prst="orthographicFront"/>
            <w14:lightRig w14:rig="threePt" w14:dir="t">
              <w14:rot w14:lat="0" w14:lon="0" w14:rev="0"/>
            </w14:lightRig>
          </w14:scene3d>
        </w:rPr>
        <w:tab/>
      </w:r>
      <w:r w:rsidR="00BD7F16">
        <w:t>The narrative given by the applicants</w:t>
      </w:r>
      <w:r w:rsidR="000201E1">
        <w:t>’</w:t>
      </w:r>
      <w:r w:rsidR="00BD7F16">
        <w:t xml:space="preserve"> </w:t>
      </w:r>
      <w:r w:rsidR="007168F7" w:rsidRPr="00607EA3">
        <w:t>a</w:t>
      </w:r>
      <w:r w:rsidR="00042256" w:rsidRPr="00607EA3">
        <w:t>ttorney</w:t>
      </w:r>
      <w:r w:rsidR="00607EA3" w:rsidRPr="00607EA3">
        <w:t>s</w:t>
      </w:r>
      <w:r w:rsidR="00BD7F16">
        <w:t xml:space="preserve"> shows just how </w:t>
      </w:r>
      <w:r w:rsidR="00674542">
        <w:t>tard</w:t>
      </w:r>
      <w:r w:rsidR="000909C5">
        <w:t>il</w:t>
      </w:r>
      <w:r w:rsidR="00195992">
        <w:t xml:space="preserve">y </w:t>
      </w:r>
      <w:r w:rsidR="00327495">
        <w:t>Mr</w:t>
      </w:r>
      <w:r w:rsidR="00B61FEE">
        <w:t> </w:t>
      </w:r>
      <w:r w:rsidR="00327495">
        <w:t xml:space="preserve"> Dlamini</w:t>
      </w:r>
      <w:r w:rsidR="00674542">
        <w:t xml:space="preserve"> has handled this matter. </w:t>
      </w:r>
      <w:r w:rsidR="007168F7">
        <w:t xml:space="preserve"> </w:t>
      </w:r>
      <w:r w:rsidR="00674542">
        <w:t xml:space="preserve">He </w:t>
      </w:r>
      <w:r w:rsidR="00674542" w:rsidRPr="00FD4BB1">
        <w:t>has litigated with indifference</w:t>
      </w:r>
      <w:r w:rsidR="00674542">
        <w:t xml:space="preserve"> and has not displayed the professional</w:t>
      </w:r>
      <w:r w:rsidR="0036030C">
        <w:t>ism expected from</w:t>
      </w:r>
      <w:r w:rsidR="00B422E1">
        <w:t xml:space="preserve"> an officer of the c</w:t>
      </w:r>
      <w:r w:rsidR="00674542">
        <w:t>ourt</w:t>
      </w:r>
      <w:r w:rsidR="00A011A8">
        <w:t xml:space="preserve">. </w:t>
      </w:r>
      <w:r w:rsidR="00B61FEE">
        <w:t xml:space="preserve"> </w:t>
      </w:r>
      <w:r w:rsidR="00A011A8">
        <w:t>He</w:t>
      </w:r>
      <w:r w:rsidR="00A011A8" w:rsidRPr="00A011A8">
        <w:t xml:space="preserve"> </w:t>
      </w:r>
      <w:r w:rsidR="00A011A8" w:rsidRPr="00FD4BB1">
        <w:t xml:space="preserve">has </w:t>
      </w:r>
      <w:r w:rsidR="00A011A8">
        <w:t xml:space="preserve">also failed </w:t>
      </w:r>
      <w:r w:rsidR="00A011A8">
        <w:lastRenderedPageBreak/>
        <w:t>to ensure that his client’s inter</w:t>
      </w:r>
      <w:r w:rsidR="0003197B">
        <w:t>e</w:t>
      </w:r>
      <w:r w:rsidR="00A011A8">
        <w:t>sts were promptly and efficiently</w:t>
      </w:r>
      <w:r w:rsidR="0036030C">
        <w:t xml:space="preserve"> protected</w:t>
      </w:r>
      <w:r w:rsidR="00A011A8">
        <w:t xml:space="preserve">. </w:t>
      </w:r>
      <w:r w:rsidR="00B61FEE">
        <w:t xml:space="preserve"> </w:t>
      </w:r>
      <w:r w:rsidR="00A011A8">
        <w:t>Had it not been</w:t>
      </w:r>
      <w:r w:rsidR="00B61FEE">
        <w:t xml:space="preserve"> for</w:t>
      </w:r>
      <w:r w:rsidR="000201E1">
        <w:t xml:space="preserve"> the </w:t>
      </w:r>
      <w:r w:rsidR="00A011A8">
        <w:t xml:space="preserve">efforts </w:t>
      </w:r>
      <w:r w:rsidR="000909C5">
        <w:t>of</w:t>
      </w:r>
      <w:r w:rsidR="00A011A8">
        <w:t xml:space="preserve"> the appli</w:t>
      </w:r>
      <w:r w:rsidR="000D078B">
        <w:t>cants</w:t>
      </w:r>
      <w:r w:rsidR="00141A2E">
        <w:t>’</w:t>
      </w:r>
      <w:r w:rsidR="000D078B">
        <w:t xml:space="preserve"> attorney</w:t>
      </w:r>
      <w:r w:rsidR="00141A2E">
        <w:t>s</w:t>
      </w:r>
      <w:r w:rsidR="00A011A8">
        <w:t xml:space="preserve"> prompting him to perform his legal duties, his client’s inter</w:t>
      </w:r>
      <w:r w:rsidR="0036030C">
        <w:t>e</w:t>
      </w:r>
      <w:r w:rsidR="00A011A8">
        <w:t xml:space="preserve">sts would probably not have been protected.  He should </w:t>
      </w:r>
      <w:r w:rsidR="00A011A8" w:rsidRPr="00FD4BB1">
        <w:t>not be entitled to charge Mr Sithole</w:t>
      </w:r>
      <w:r w:rsidR="003F5C95">
        <w:t xml:space="preserve"> or his estate</w:t>
      </w:r>
      <w:r w:rsidR="00A011A8" w:rsidRPr="00FD4BB1">
        <w:t xml:space="preserve"> any fees in this matter.</w:t>
      </w:r>
    </w:p>
    <w:p w14:paraId="2A5B1B9A" w14:textId="39B8A8C3" w:rsidR="00BD7F16" w:rsidRPr="00BD7F16" w:rsidRDefault="00BD7F16" w:rsidP="00AA16EF">
      <w:pPr>
        <w:pStyle w:val="JUDGMENTCONTINUED"/>
      </w:pPr>
    </w:p>
    <w:p w14:paraId="7EF2D63F" w14:textId="2C69AC8C" w:rsidR="00FD4BB1" w:rsidRPr="00FD4BB1" w:rsidRDefault="00FD4BB1" w:rsidP="00FD4BB1">
      <w:pPr>
        <w:pStyle w:val="HEADING"/>
      </w:pPr>
      <w:r>
        <w:t>Order</w:t>
      </w:r>
    </w:p>
    <w:p w14:paraId="63C2AACA" w14:textId="4BF5496C" w:rsidR="00FD4BB1" w:rsidRDefault="00333B16" w:rsidP="00333B16">
      <w:pPr>
        <w:pStyle w:val="JUDGMENTNUMBERED"/>
        <w:numPr>
          <w:ilvl w:val="0"/>
          <w:numId w:val="0"/>
        </w:numPr>
      </w:pPr>
      <w:r>
        <w:rPr>
          <w:color w:val="000000"/>
          <w14:scene3d>
            <w14:camera w14:prst="orthographicFront"/>
            <w14:lightRig w14:rig="threePt" w14:dir="t">
              <w14:rot w14:lat="0" w14:lon="0" w14:rev="0"/>
            </w14:lightRig>
          </w14:scene3d>
        </w:rPr>
        <w:t>[59]</w:t>
      </w:r>
      <w:r>
        <w:rPr>
          <w:color w:val="000000"/>
          <w14:scene3d>
            <w14:camera w14:prst="orthographicFront"/>
            <w14:lightRig w14:rig="threePt" w14:dir="t">
              <w14:rot w14:lat="0" w14:lon="0" w14:rev="0"/>
            </w14:lightRig>
          </w14:scene3d>
        </w:rPr>
        <w:tab/>
      </w:r>
      <w:r w:rsidR="00FD4BB1" w:rsidRPr="00FD4BB1">
        <w:t xml:space="preserve">The following order is </w:t>
      </w:r>
      <w:r w:rsidR="009D64AB">
        <w:t>made</w:t>
      </w:r>
      <w:r w:rsidR="00FD4BB1" w:rsidRPr="00FD4BB1">
        <w:t>:</w:t>
      </w:r>
    </w:p>
    <w:p w14:paraId="191CF2F1" w14:textId="17905B8B" w:rsidR="00884D8F" w:rsidRDefault="00884D8F" w:rsidP="00884D8F">
      <w:pPr>
        <w:pStyle w:val="JUDGMENTCONTINUED"/>
      </w:pPr>
    </w:p>
    <w:p w14:paraId="7DC4228E" w14:textId="4B2B01EA" w:rsidR="00884D8F" w:rsidRDefault="00333B16" w:rsidP="00333B16">
      <w:pPr>
        <w:pStyle w:val="ORDER"/>
        <w:ind w:left="1080" w:hanging="360"/>
      </w:pPr>
      <w:r>
        <w:t>1.</w:t>
      </w:r>
      <w:r>
        <w:tab/>
      </w:r>
      <w:r w:rsidR="00884D8F">
        <w:t>The provisions of section 21(2)(a) of the Matrimonial Property Act 88 of 1984 (‘the MPA’) are hereby declared unconstitutional and invalid to the extent that they maintain and perpetuate the discrimination created by section</w:t>
      </w:r>
      <w:r w:rsidR="003069F1">
        <w:t> </w:t>
      </w:r>
      <w:r w:rsidR="00884D8F">
        <w:t xml:space="preserve"> 22(6) of the Black Administration Act 38 of 1927 (‘the BAA’), and thereby maintain the default position of marriages of black couples, entered into under the Black Administration Act before the 1988 amendment, that such marriages are automatically out of community of property.</w:t>
      </w:r>
    </w:p>
    <w:p w14:paraId="686EA4DC" w14:textId="52741A8A" w:rsidR="00884D8F" w:rsidRDefault="00333B16" w:rsidP="00333B16">
      <w:pPr>
        <w:pStyle w:val="ORDER"/>
        <w:ind w:left="1080" w:hanging="360"/>
      </w:pPr>
      <w:r>
        <w:t>2.</w:t>
      </w:r>
      <w:r>
        <w:tab/>
      </w:r>
      <w:r w:rsidR="00884D8F">
        <w:t>All marriages of black persons that are out of community of property and were concluded under section 22(6) of the Black Administration Act before the 1988 amendment are, save for those couples who opt for a marriage o</w:t>
      </w:r>
      <w:r w:rsidR="003069F1">
        <w:t>ut of community of property,</w:t>
      </w:r>
      <w:r w:rsidR="00884D8F">
        <w:t xml:space="preserve"> hereby declared to be marriages in community of property.</w:t>
      </w:r>
    </w:p>
    <w:p w14:paraId="77B76EC0" w14:textId="1737CB04" w:rsidR="00884D8F" w:rsidRDefault="00333B16" w:rsidP="00333B16">
      <w:pPr>
        <w:pStyle w:val="ORDER"/>
        <w:ind w:left="1080" w:hanging="360"/>
      </w:pPr>
      <w:r>
        <w:t>3.</w:t>
      </w:r>
      <w:r>
        <w:tab/>
      </w:r>
      <w:r w:rsidR="00884D8F">
        <w:t>Spouses who have opted for marriage out of community of property shall, in writing, notify the Director-General of the Department of Home Affairs accordingly.</w:t>
      </w:r>
    </w:p>
    <w:p w14:paraId="5320ABFE" w14:textId="64C5E6E5" w:rsidR="00884D8F" w:rsidRDefault="00333B16" w:rsidP="00333B16">
      <w:pPr>
        <w:pStyle w:val="ORDER"/>
        <w:ind w:left="1080" w:hanging="360"/>
      </w:pPr>
      <w:r>
        <w:t>4.</w:t>
      </w:r>
      <w:r>
        <w:tab/>
      </w:r>
      <w:r w:rsidR="00884D8F">
        <w:t xml:space="preserve">In the event of disagreement, either spouse in a marriage which </w:t>
      </w:r>
      <w:r w:rsidR="00BB77BE">
        <w:t xml:space="preserve">becomes a marriage </w:t>
      </w:r>
      <w:r w:rsidR="00884D8F">
        <w:t>in community of property in terms of</w:t>
      </w:r>
      <w:r w:rsidR="00BB77BE">
        <w:t xml:space="preserve"> the declaration in</w:t>
      </w:r>
      <w:r w:rsidR="00884D8F">
        <w:t xml:space="preserve"> paragraph</w:t>
      </w:r>
      <w:r w:rsidR="0063124A">
        <w:t> </w:t>
      </w:r>
      <w:r w:rsidR="00884D8F">
        <w:t xml:space="preserve">2, may apply to the High Court for an order that the marriage shall be out of community of property, notwithstanding </w:t>
      </w:r>
      <w:r w:rsidR="00BB77BE">
        <w:t xml:space="preserve">that declaration. </w:t>
      </w:r>
    </w:p>
    <w:p w14:paraId="27730D03" w14:textId="7B862853" w:rsidR="00884D8F" w:rsidRDefault="00333B16" w:rsidP="00333B16">
      <w:pPr>
        <w:pStyle w:val="ORDER"/>
        <w:ind w:left="1080" w:hanging="360"/>
      </w:pPr>
      <w:r>
        <w:t>5.</w:t>
      </w:r>
      <w:r>
        <w:tab/>
      </w:r>
      <w:r w:rsidR="00884D8F">
        <w:t>In terms of section 172(1) (b) of the Constitution, the orders in paragraphs 1 and 2 shall not affect the legal consequences of any act done or omission in relation to a marriage before this order was made.</w:t>
      </w:r>
    </w:p>
    <w:p w14:paraId="03C6E87C" w14:textId="076652E1" w:rsidR="00884D8F" w:rsidRDefault="00333B16" w:rsidP="00333B16">
      <w:pPr>
        <w:pStyle w:val="ORDER"/>
        <w:ind w:left="1080" w:hanging="360"/>
      </w:pPr>
      <w:r>
        <w:lastRenderedPageBreak/>
        <w:t>6.</w:t>
      </w:r>
      <w:r>
        <w:tab/>
      </w:r>
      <w:r w:rsidR="00884D8F">
        <w:t>From the date of this order, Chapter 3 of the Matrimonial Property Act will apply in respect of all marriages that ha</w:t>
      </w:r>
      <w:r w:rsidR="002F602E">
        <w:t xml:space="preserve">ve been converted to marriages </w:t>
      </w:r>
      <w:r w:rsidR="00884D8F">
        <w:t xml:space="preserve">in </w:t>
      </w:r>
      <w:r w:rsidR="002F602E">
        <w:t>community of property</w:t>
      </w:r>
      <w:r w:rsidR="00884D8F">
        <w:t>, unless the affected couple has opted out in accordance with the procedure set out in paragraph 3 above.</w:t>
      </w:r>
    </w:p>
    <w:p w14:paraId="00D19FF6" w14:textId="708A5EDE" w:rsidR="00884D8F" w:rsidRDefault="00333B16" w:rsidP="00333B16">
      <w:pPr>
        <w:pStyle w:val="ORDER"/>
        <w:ind w:left="1080" w:hanging="360"/>
      </w:pPr>
      <w:r>
        <w:t>7.</w:t>
      </w:r>
      <w:r>
        <w:tab/>
      </w:r>
      <w:r w:rsidR="00884D8F">
        <w:t>Any person with a material interest who is adversely affected by this order, may approach the High Court for appropriate relief.</w:t>
      </w:r>
    </w:p>
    <w:p w14:paraId="04F25BB7" w14:textId="6F1AC1D1" w:rsidR="00884D8F" w:rsidRDefault="00333B16" w:rsidP="00333B16">
      <w:pPr>
        <w:spacing w:line="360" w:lineRule="auto"/>
        <w:ind w:left="1080" w:hanging="360"/>
      </w:pPr>
      <w:r>
        <w:t>8.</w:t>
      </w:r>
      <w:r>
        <w:tab/>
      </w:r>
      <w:r w:rsidR="00884D8F">
        <w:t>The second respondent is ordered to pay the costs of this application and such costs to include the costs of two counsel, where so employed.</w:t>
      </w:r>
    </w:p>
    <w:p w14:paraId="1814B47F" w14:textId="3E3BDD20" w:rsidR="00884D8F" w:rsidRPr="00884D8F" w:rsidRDefault="00333B16" w:rsidP="00333B16">
      <w:pPr>
        <w:spacing w:line="360" w:lineRule="auto"/>
        <w:ind w:left="1080" w:hanging="360"/>
      </w:pPr>
      <w:r w:rsidRPr="00884D8F">
        <w:t>9.</w:t>
      </w:r>
      <w:r w:rsidRPr="00884D8F">
        <w:tab/>
      </w:r>
      <w:r w:rsidR="00884D8F">
        <w:t>It is ordered that the first respondent’s attorney, Mr Dlamini, should forfeit his legal fees in respect of this application.</w:t>
      </w:r>
    </w:p>
    <w:p w14:paraId="0F6A5B17" w14:textId="77777777" w:rsidR="0025287B" w:rsidRDefault="0025287B" w:rsidP="00040535">
      <w:pPr>
        <w:pStyle w:val="List1"/>
        <w:ind w:left="0" w:firstLine="0"/>
      </w:pPr>
    </w:p>
    <w:p w14:paraId="1720ABC9" w14:textId="77777777" w:rsidR="00040535" w:rsidRDefault="00040535" w:rsidP="00040535">
      <w:pPr>
        <w:pStyle w:val="List1"/>
        <w:ind w:left="0" w:firstLine="0"/>
      </w:pPr>
    </w:p>
    <w:p w14:paraId="5B6B049A" w14:textId="77777777" w:rsidR="00040535" w:rsidRDefault="00040535" w:rsidP="00040535">
      <w:pPr>
        <w:pStyle w:val="List1"/>
        <w:ind w:left="0" w:firstLine="0"/>
      </w:pPr>
    </w:p>
    <w:p w14:paraId="339C7CD6" w14:textId="77777777" w:rsidR="00040535" w:rsidRDefault="00040535" w:rsidP="00040535">
      <w:pPr>
        <w:pStyle w:val="List1"/>
        <w:ind w:left="0" w:firstLine="0"/>
      </w:pPr>
    </w:p>
    <w:p w14:paraId="156DDF02" w14:textId="77777777" w:rsidR="00040535" w:rsidRDefault="00040535" w:rsidP="00040535">
      <w:pPr>
        <w:pStyle w:val="List1"/>
        <w:ind w:left="0" w:firstLine="0"/>
      </w:pPr>
    </w:p>
    <w:p w14:paraId="33110B39" w14:textId="77777777" w:rsidR="00040535" w:rsidRDefault="00040535" w:rsidP="00040535">
      <w:pPr>
        <w:pStyle w:val="List1"/>
        <w:ind w:left="0" w:firstLine="0"/>
      </w:pPr>
    </w:p>
    <w:p w14:paraId="2FE845BA" w14:textId="77777777" w:rsidR="00040535" w:rsidRDefault="00040535" w:rsidP="00040535">
      <w:pPr>
        <w:pStyle w:val="List1"/>
        <w:ind w:left="0" w:firstLine="0"/>
      </w:pPr>
    </w:p>
    <w:p w14:paraId="7CC7B700" w14:textId="77777777" w:rsidR="00040535" w:rsidRDefault="00040535" w:rsidP="00040535">
      <w:pPr>
        <w:pStyle w:val="List1"/>
        <w:ind w:left="0" w:firstLine="0"/>
      </w:pPr>
    </w:p>
    <w:p w14:paraId="162206F8" w14:textId="327218AF" w:rsidR="00040535" w:rsidRPr="00781E17" w:rsidRDefault="00040535" w:rsidP="00040535">
      <w:pPr>
        <w:pStyle w:val="List1"/>
        <w:ind w:left="0" w:firstLine="0"/>
        <w:sectPr w:rsidR="00040535" w:rsidRPr="00781E17" w:rsidSect="000F7521">
          <w:headerReference w:type="default" r:id="rId10"/>
          <w:headerReference w:type="first" r:id="rId11"/>
          <w:type w:val="continuous"/>
          <w:pgSz w:w="11907" w:h="16839" w:code="9"/>
          <w:pgMar w:top="1440" w:right="1440" w:bottom="1440" w:left="1440" w:header="708" w:footer="708" w:gutter="0"/>
          <w:cols w:space="708"/>
          <w:titlePg/>
          <w:docGrid w:linePitch="360"/>
        </w:sectPr>
      </w:pPr>
      <w:r>
        <w:br w:type="page"/>
      </w:r>
    </w:p>
    <w:p w14:paraId="3F605BBB" w14:textId="2D1256EF" w:rsidR="00EF0946" w:rsidRDefault="00EF0946" w:rsidP="00F81288">
      <w:pPr>
        <w:spacing w:line="240" w:lineRule="auto"/>
        <w:rPr>
          <w:bCs/>
          <w:szCs w:val="26"/>
        </w:rPr>
      </w:pPr>
    </w:p>
    <w:p w14:paraId="339DD050" w14:textId="73EC7B5C" w:rsidR="008A201F" w:rsidRDefault="008A201F" w:rsidP="00F81288">
      <w:pPr>
        <w:spacing w:line="240" w:lineRule="auto"/>
        <w:rPr>
          <w:bCs/>
          <w:szCs w:val="26"/>
        </w:rPr>
      </w:pPr>
    </w:p>
    <w:p w14:paraId="7F1677C8" w14:textId="5CE07131" w:rsidR="005157A3" w:rsidRPr="005157A3" w:rsidRDefault="005157A3" w:rsidP="005157A3">
      <w:pPr>
        <w:pStyle w:val="COUNSELDETAILS"/>
        <w:jc w:val="left"/>
        <w:rPr>
          <w:bCs/>
        </w:rPr>
      </w:pPr>
      <w:r w:rsidRPr="005157A3">
        <w:rPr>
          <w:bCs/>
        </w:rPr>
        <w:t>For the Applicant</w:t>
      </w:r>
      <w:r w:rsidR="00FE0396">
        <w:rPr>
          <w:bCs/>
        </w:rPr>
        <w:t>s</w:t>
      </w:r>
      <w:r w:rsidRPr="005157A3">
        <w:rPr>
          <w:bCs/>
        </w:rPr>
        <w:t>:</w:t>
      </w:r>
    </w:p>
    <w:p w14:paraId="1BFE2ADF" w14:textId="77777777" w:rsidR="005157A3" w:rsidRPr="005157A3" w:rsidRDefault="005157A3" w:rsidP="005157A3">
      <w:pPr>
        <w:pStyle w:val="COUNSELDETAILS"/>
        <w:jc w:val="left"/>
        <w:rPr>
          <w:bCs/>
        </w:rPr>
      </w:pPr>
    </w:p>
    <w:p w14:paraId="00BF6031" w14:textId="77777777" w:rsidR="005157A3" w:rsidRPr="005157A3" w:rsidRDefault="005157A3" w:rsidP="005157A3">
      <w:pPr>
        <w:pStyle w:val="COUNSELDETAILS"/>
        <w:jc w:val="left"/>
        <w:rPr>
          <w:bCs/>
        </w:rPr>
      </w:pPr>
    </w:p>
    <w:p w14:paraId="48D9ED99" w14:textId="77777777" w:rsidR="005157A3" w:rsidRPr="00FE17E2" w:rsidRDefault="005157A3" w:rsidP="005157A3">
      <w:pPr>
        <w:pStyle w:val="COUNSELDETAILS"/>
        <w:jc w:val="left"/>
        <w:rPr>
          <w:bCs/>
          <w:sz w:val="36"/>
        </w:rPr>
      </w:pPr>
    </w:p>
    <w:p w14:paraId="6B7CF074" w14:textId="77777777" w:rsidR="005157A3" w:rsidRPr="005157A3" w:rsidRDefault="005157A3" w:rsidP="005157A3">
      <w:pPr>
        <w:pStyle w:val="COUNSELDETAILS"/>
        <w:jc w:val="left"/>
        <w:rPr>
          <w:bCs/>
        </w:rPr>
      </w:pPr>
      <w:r w:rsidRPr="005157A3">
        <w:rPr>
          <w:bCs/>
        </w:rPr>
        <w:t>For the First Respondent:</w:t>
      </w:r>
    </w:p>
    <w:p w14:paraId="332190B2" w14:textId="77777777" w:rsidR="005157A3" w:rsidRPr="005157A3" w:rsidRDefault="005157A3" w:rsidP="005157A3">
      <w:pPr>
        <w:pStyle w:val="COUNSELDETAILS"/>
        <w:jc w:val="left"/>
        <w:rPr>
          <w:bCs/>
        </w:rPr>
      </w:pPr>
    </w:p>
    <w:p w14:paraId="29B8CE90" w14:textId="77777777" w:rsidR="005157A3" w:rsidRPr="005157A3" w:rsidRDefault="005157A3" w:rsidP="005157A3">
      <w:pPr>
        <w:pStyle w:val="COUNSELDETAILS"/>
        <w:jc w:val="left"/>
        <w:rPr>
          <w:bCs/>
        </w:rPr>
      </w:pPr>
    </w:p>
    <w:p w14:paraId="74695CBF" w14:textId="402402AA" w:rsidR="005157A3" w:rsidRPr="005157A3" w:rsidRDefault="005157A3" w:rsidP="005157A3">
      <w:pPr>
        <w:pStyle w:val="COUNSELDETAILS"/>
        <w:jc w:val="left"/>
        <w:rPr>
          <w:bCs/>
        </w:rPr>
      </w:pPr>
      <w:r w:rsidRPr="005157A3">
        <w:rPr>
          <w:bCs/>
        </w:rPr>
        <w:t>For the Second Respondent:</w:t>
      </w:r>
    </w:p>
    <w:p w14:paraId="0917FEA1" w14:textId="77777777" w:rsidR="005157A3" w:rsidRPr="005157A3" w:rsidRDefault="005157A3" w:rsidP="005157A3">
      <w:pPr>
        <w:pStyle w:val="COUNSELDETAILS"/>
        <w:jc w:val="left"/>
        <w:rPr>
          <w:bCs/>
        </w:rPr>
      </w:pPr>
    </w:p>
    <w:p w14:paraId="76DCC66C" w14:textId="2FDCCEEF" w:rsidR="005157A3" w:rsidRPr="00A758A4" w:rsidRDefault="005157A3" w:rsidP="005157A3">
      <w:pPr>
        <w:pStyle w:val="COUNSELDETAILS"/>
        <w:jc w:val="left"/>
        <w:rPr>
          <w:bCs/>
          <w:sz w:val="2"/>
        </w:rPr>
      </w:pPr>
      <w:r w:rsidRPr="005157A3">
        <w:rPr>
          <w:bCs/>
        </w:rPr>
        <w:br w:type="column"/>
      </w:r>
    </w:p>
    <w:p w14:paraId="3B9383B2" w14:textId="77777777" w:rsidR="00040535" w:rsidRDefault="00040535" w:rsidP="005157A3">
      <w:pPr>
        <w:pStyle w:val="COUNSELDETAILS"/>
        <w:jc w:val="left"/>
        <w:rPr>
          <w:bCs/>
        </w:rPr>
      </w:pPr>
    </w:p>
    <w:p w14:paraId="41FFAE80" w14:textId="77777777" w:rsidR="00040535" w:rsidRDefault="00040535" w:rsidP="005157A3">
      <w:pPr>
        <w:pStyle w:val="COUNSELDETAILS"/>
        <w:jc w:val="left"/>
        <w:rPr>
          <w:bCs/>
        </w:rPr>
      </w:pPr>
    </w:p>
    <w:p w14:paraId="125F4E35" w14:textId="335C4DA4" w:rsidR="00BC0455" w:rsidRDefault="005157A3" w:rsidP="005157A3">
      <w:pPr>
        <w:pStyle w:val="COUNSELDETAILS"/>
        <w:jc w:val="left"/>
        <w:rPr>
          <w:bCs/>
        </w:rPr>
      </w:pPr>
      <w:r w:rsidRPr="005157A3">
        <w:rPr>
          <w:bCs/>
        </w:rPr>
        <w:t>G</w:t>
      </w:r>
      <w:r w:rsidR="00B422E1">
        <w:rPr>
          <w:bCs/>
        </w:rPr>
        <w:t xml:space="preserve"> Budlender SC, S</w:t>
      </w:r>
      <w:r w:rsidRPr="005157A3">
        <w:rPr>
          <w:bCs/>
        </w:rPr>
        <w:t xml:space="preserve"> Sephton and MZ</w:t>
      </w:r>
      <w:r w:rsidR="00B422E1">
        <w:rPr>
          <w:bCs/>
        </w:rPr>
        <w:t> </w:t>
      </w:r>
      <w:r w:rsidRPr="005157A3">
        <w:rPr>
          <w:bCs/>
        </w:rPr>
        <w:t xml:space="preserve"> Suleman</w:t>
      </w:r>
    </w:p>
    <w:p w14:paraId="7890280C" w14:textId="5F036BF6" w:rsidR="005157A3" w:rsidRPr="005157A3" w:rsidRDefault="00BC0455" w:rsidP="005157A3">
      <w:pPr>
        <w:pStyle w:val="COUNSELDETAILS"/>
        <w:jc w:val="left"/>
        <w:rPr>
          <w:bCs/>
        </w:rPr>
      </w:pPr>
      <w:r>
        <w:rPr>
          <w:bCs/>
        </w:rPr>
        <w:t>I</w:t>
      </w:r>
      <w:r w:rsidR="005157A3" w:rsidRPr="005157A3">
        <w:rPr>
          <w:bCs/>
        </w:rPr>
        <w:t>nstructed by Legal Resources Centre</w:t>
      </w:r>
    </w:p>
    <w:p w14:paraId="4D5D5217" w14:textId="77777777" w:rsidR="005157A3" w:rsidRPr="00B422E1" w:rsidRDefault="005157A3" w:rsidP="005157A3">
      <w:pPr>
        <w:pStyle w:val="COUNSELDETAILS"/>
        <w:jc w:val="left"/>
        <w:rPr>
          <w:bCs/>
        </w:rPr>
      </w:pPr>
    </w:p>
    <w:p w14:paraId="17EA4C31" w14:textId="7250D5D6" w:rsidR="00BC0455" w:rsidRDefault="005157A3" w:rsidP="005157A3">
      <w:pPr>
        <w:pStyle w:val="COUNSELDETAILS"/>
        <w:jc w:val="left"/>
        <w:rPr>
          <w:bCs/>
        </w:rPr>
      </w:pPr>
      <w:r w:rsidRPr="005157A3">
        <w:rPr>
          <w:bCs/>
        </w:rPr>
        <w:t>N Badat</w:t>
      </w:r>
    </w:p>
    <w:p w14:paraId="10230E68" w14:textId="39D33DB2" w:rsidR="005157A3" w:rsidRPr="005157A3" w:rsidRDefault="00BC0455" w:rsidP="005157A3">
      <w:pPr>
        <w:pStyle w:val="COUNSELDETAILS"/>
        <w:jc w:val="left"/>
        <w:rPr>
          <w:bCs/>
        </w:rPr>
      </w:pPr>
      <w:r>
        <w:rPr>
          <w:bCs/>
        </w:rPr>
        <w:t>I</w:t>
      </w:r>
      <w:r w:rsidR="005157A3" w:rsidRPr="005157A3">
        <w:rPr>
          <w:bCs/>
        </w:rPr>
        <w:t>nstructed</w:t>
      </w:r>
      <w:r w:rsidR="0025287B">
        <w:rPr>
          <w:bCs/>
        </w:rPr>
        <w:t xml:space="preserve"> </w:t>
      </w:r>
      <w:r w:rsidR="005157A3" w:rsidRPr="005157A3">
        <w:rPr>
          <w:bCs/>
        </w:rPr>
        <w:t>by BT Dlamini Attorneys</w:t>
      </w:r>
    </w:p>
    <w:p w14:paraId="2BEC5B4A" w14:textId="77777777" w:rsidR="005157A3" w:rsidRPr="00B422E1" w:rsidRDefault="005157A3" w:rsidP="005157A3">
      <w:pPr>
        <w:pStyle w:val="COUNSELDETAILS"/>
        <w:jc w:val="left"/>
        <w:rPr>
          <w:bCs/>
        </w:rPr>
      </w:pPr>
    </w:p>
    <w:p w14:paraId="2D58D5C0" w14:textId="082EB755" w:rsidR="00BC0455" w:rsidRDefault="005157A3" w:rsidP="005157A3">
      <w:pPr>
        <w:pStyle w:val="COUNSELDETAILS"/>
        <w:jc w:val="left"/>
        <w:rPr>
          <w:bCs/>
        </w:rPr>
      </w:pPr>
      <w:r w:rsidRPr="005157A3">
        <w:rPr>
          <w:bCs/>
        </w:rPr>
        <w:t>M G Mello</w:t>
      </w:r>
    </w:p>
    <w:p w14:paraId="5C69257D" w14:textId="5136B535" w:rsidR="005157A3" w:rsidRPr="005157A3" w:rsidRDefault="00BC0455" w:rsidP="005157A3">
      <w:pPr>
        <w:pStyle w:val="COUNSELDETAILS"/>
        <w:jc w:val="left"/>
        <w:rPr>
          <w:bCs/>
        </w:rPr>
      </w:pPr>
      <w:r>
        <w:rPr>
          <w:bCs/>
        </w:rPr>
        <w:t>I</w:t>
      </w:r>
      <w:r w:rsidR="005157A3" w:rsidRPr="005157A3">
        <w:rPr>
          <w:bCs/>
        </w:rPr>
        <w:t>nstructed by State Attorney</w:t>
      </w:r>
    </w:p>
    <w:sectPr w:rsidR="005157A3" w:rsidRPr="005157A3" w:rsidSect="009559B5">
      <w:headerReference w:type="default" r:id="rId12"/>
      <w:footerReference w:type="default" r:id="rId13"/>
      <w:type w:val="continuous"/>
      <w:pgSz w:w="11907" w:h="16839" w:code="9"/>
      <w:pgMar w:top="1440" w:right="1440" w:bottom="1440" w:left="1440" w:header="708" w:footer="708" w:gutter="0"/>
      <w:pgNumType w:start="1"/>
      <w:cols w:num="2"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90F8E9E" w16cid:durableId="23D1FE04"/>
  <w16cid:commentId w16cid:paraId="60195F56" w16cid:durableId="23D1FC25"/>
  <w16cid:commentId w16cid:paraId="1DAC841D" w16cid:durableId="23D1FF0C"/>
  <w16cid:commentId w16cid:paraId="700E8437" w16cid:durableId="23D2166F"/>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3C030E" w14:textId="77777777" w:rsidR="004A0499" w:rsidRDefault="004A0499" w:rsidP="00E4607C">
      <w:pPr>
        <w:spacing w:line="240" w:lineRule="auto"/>
      </w:pPr>
      <w:r>
        <w:separator/>
      </w:r>
    </w:p>
  </w:endnote>
  <w:endnote w:type="continuationSeparator" w:id="0">
    <w:p w14:paraId="57F594C0" w14:textId="77777777" w:rsidR="004A0499" w:rsidRDefault="004A0499" w:rsidP="00E460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ACAD9" w14:textId="33491892" w:rsidR="00A51852" w:rsidRDefault="00A51852" w:rsidP="0087217E">
    <w:pPr>
      <w:pStyle w:val="Footer"/>
      <w:jc w:val="center"/>
    </w:pPr>
    <w:r>
      <w:fldChar w:fldCharType="begin"/>
    </w:r>
    <w:r>
      <w:instrText xml:space="preserve"> PAGE   \* MERGEFORMAT </w:instrText>
    </w:r>
    <w:r>
      <w:fldChar w:fldCharType="separate"/>
    </w:r>
    <w:r w:rsidR="00333B16">
      <w:rPr>
        <w:noProof/>
      </w:rPr>
      <w:t>4</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58091" w14:textId="77777777" w:rsidR="00A51852" w:rsidRDefault="00A51852" w:rsidP="0087217E">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07F8BE" w14:textId="77777777" w:rsidR="004A0499" w:rsidRDefault="004A0499" w:rsidP="00E4607C">
      <w:pPr>
        <w:spacing w:line="240" w:lineRule="auto"/>
      </w:pPr>
      <w:r>
        <w:separator/>
      </w:r>
    </w:p>
  </w:footnote>
  <w:footnote w:type="continuationSeparator" w:id="0">
    <w:p w14:paraId="05916AAA" w14:textId="77777777" w:rsidR="004A0499" w:rsidRDefault="004A0499" w:rsidP="00E4607C">
      <w:pPr>
        <w:spacing w:line="240" w:lineRule="auto"/>
      </w:pPr>
      <w:r>
        <w:continuationSeparator/>
      </w:r>
    </w:p>
  </w:footnote>
  <w:footnote w:id="1">
    <w:p w14:paraId="1690120F" w14:textId="777205A2" w:rsidR="00A51852" w:rsidRPr="00BF219F" w:rsidRDefault="00A51852">
      <w:pPr>
        <w:pStyle w:val="FootnoteText"/>
        <w:rPr>
          <w:lang w:val="en-US"/>
        </w:rPr>
      </w:pPr>
      <w:r>
        <w:rPr>
          <w:rStyle w:val="FootnoteReference"/>
        </w:rPr>
        <w:footnoteRef/>
      </w:r>
      <w:r>
        <w:t xml:space="preserve"> </w:t>
      </w:r>
      <w:r>
        <w:rPr>
          <w:lang w:val="en-US"/>
        </w:rPr>
        <w:t>Section 167(5) of the Constitution.</w:t>
      </w:r>
    </w:p>
  </w:footnote>
  <w:footnote w:id="2">
    <w:p w14:paraId="2DAB11D2" w14:textId="251C3B8C" w:rsidR="00A51852" w:rsidRDefault="00A51852">
      <w:pPr>
        <w:pStyle w:val="FootnoteText"/>
      </w:pPr>
      <w:r>
        <w:rPr>
          <w:rStyle w:val="FootnoteReference"/>
        </w:rPr>
        <w:footnoteRef/>
      </w:r>
      <w:r>
        <w:t xml:space="preserve"> </w:t>
      </w:r>
      <w:r w:rsidRPr="00EF6D86">
        <w:t>88 of 1984</w:t>
      </w:r>
      <w:r>
        <w:t>.</w:t>
      </w:r>
    </w:p>
  </w:footnote>
  <w:footnote w:id="3">
    <w:p w14:paraId="26894771" w14:textId="33AC1E02" w:rsidR="00A51852" w:rsidRDefault="00A51852">
      <w:pPr>
        <w:pStyle w:val="FootnoteText"/>
      </w:pPr>
      <w:r>
        <w:rPr>
          <w:rStyle w:val="FootnoteReference"/>
        </w:rPr>
        <w:footnoteRef/>
      </w:r>
      <w:r>
        <w:t xml:space="preserve"> </w:t>
      </w:r>
      <w:r w:rsidRPr="00EF6D86">
        <w:t>3 of 1988</w:t>
      </w:r>
      <w:r>
        <w:t>.</w:t>
      </w:r>
    </w:p>
  </w:footnote>
  <w:footnote w:id="4">
    <w:p w14:paraId="695B2653" w14:textId="3111EEC3" w:rsidR="00A51852" w:rsidRDefault="00A51852">
      <w:pPr>
        <w:pStyle w:val="FootnoteText"/>
      </w:pPr>
      <w:r>
        <w:rPr>
          <w:rStyle w:val="FootnoteReference"/>
        </w:rPr>
        <w:footnoteRef/>
      </w:r>
      <w:r>
        <w:t xml:space="preserve"> </w:t>
      </w:r>
      <w:r w:rsidRPr="00EF6D86">
        <w:t>38 of 1927</w:t>
      </w:r>
      <w:r>
        <w:t>.</w:t>
      </w:r>
    </w:p>
  </w:footnote>
  <w:footnote w:id="5">
    <w:p w14:paraId="2797C5C3" w14:textId="495E10B2" w:rsidR="00A51852" w:rsidRDefault="00A51852">
      <w:pPr>
        <w:pStyle w:val="FootnoteText"/>
      </w:pPr>
      <w:r>
        <w:rPr>
          <w:rStyle w:val="FootnoteReference"/>
        </w:rPr>
        <w:footnoteRef/>
      </w:r>
      <w:r>
        <w:t xml:space="preserve"> Section 21(1) and (2)(a) are quoted below.</w:t>
      </w:r>
    </w:p>
  </w:footnote>
  <w:footnote w:id="6">
    <w:p w14:paraId="2569DA13" w14:textId="4E77A5AB" w:rsidR="00A51852" w:rsidRPr="001E1512" w:rsidRDefault="00A51852" w:rsidP="004849E9">
      <w:pPr>
        <w:pStyle w:val="FootnoteText"/>
      </w:pPr>
      <w:r>
        <w:rPr>
          <w:rStyle w:val="FootnoteReference"/>
        </w:rPr>
        <w:footnoteRef/>
      </w:r>
      <w:r>
        <w:t xml:space="preserve"> Jyakhwo “Right to Equality” (2019) 28 </w:t>
      </w:r>
      <w:r w:rsidR="000067CD">
        <w:rPr>
          <w:i/>
        </w:rPr>
        <w:t xml:space="preserve">Nepal Law </w:t>
      </w:r>
      <w:r w:rsidR="000067CD" w:rsidRPr="00173C51">
        <w:rPr>
          <w:i/>
        </w:rPr>
        <w:t xml:space="preserve">Review </w:t>
      </w:r>
      <w:r w:rsidRPr="00173C51">
        <w:t>477</w:t>
      </w:r>
      <w:r w:rsidR="000067CD" w:rsidRPr="00173C51">
        <w:t xml:space="preserve"> at 477</w:t>
      </w:r>
      <w:r w:rsidRPr="00173C51">
        <w:t>.</w:t>
      </w:r>
    </w:p>
  </w:footnote>
  <w:footnote w:id="7">
    <w:p w14:paraId="6DCA7CE4" w14:textId="3BFFC011" w:rsidR="00A51852" w:rsidRPr="00C342A1" w:rsidRDefault="00A51852">
      <w:pPr>
        <w:pStyle w:val="FootnoteText"/>
        <w:rPr>
          <w:lang w:val="en-US"/>
        </w:rPr>
      </w:pPr>
      <w:r>
        <w:rPr>
          <w:rStyle w:val="FootnoteReference"/>
        </w:rPr>
        <w:footnoteRef/>
      </w:r>
      <w:r>
        <w:t xml:space="preserve"> </w:t>
      </w:r>
      <w:r>
        <w:rPr>
          <w:lang w:val="en-US"/>
        </w:rPr>
        <w:t>Chapter 3 of the MPA deals with the provisions relating to marriages in community of property.</w:t>
      </w:r>
    </w:p>
  </w:footnote>
  <w:footnote w:id="8">
    <w:p w14:paraId="7360F0C1" w14:textId="77777777" w:rsidR="00A51852" w:rsidRDefault="00A51852" w:rsidP="00193FA5">
      <w:pPr>
        <w:pStyle w:val="FootnoteText"/>
      </w:pPr>
      <w:r>
        <w:rPr>
          <w:rStyle w:val="FootnoteReference"/>
        </w:rPr>
        <w:footnoteRef/>
      </w:r>
      <w:r>
        <w:t xml:space="preserve"> 70 of 1979.</w:t>
      </w:r>
    </w:p>
  </w:footnote>
  <w:footnote w:id="9">
    <w:p w14:paraId="5D9390E8" w14:textId="2FFB9066" w:rsidR="00A51852" w:rsidRDefault="00A51852">
      <w:pPr>
        <w:pStyle w:val="FootnoteText"/>
      </w:pPr>
      <w:r>
        <w:rPr>
          <w:rStyle w:val="FootnoteReference"/>
        </w:rPr>
        <w:footnoteRef/>
      </w:r>
      <w:r>
        <w:t xml:space="preserve"> Sect</w:t>
      </w:r>
      <w:r w:rsidR="00E47D7F">
        <w:t>ion 167(5) of the Constitution.</w:t>
      </w:r>
    </w:p>
  </w:footnote>
  <w:footnote w:id="10">
    <w:p w14:paraId="7AF1E9C7" w14:textId="20743396" w:rsidR="00A51852" w:rsidRDefault="00A51852">
      <w:pPr>
        <w:pStyle w:val="FootnoteText"/>
      </w:pPr>
      <w:r>
        <w:rPr>
          <w:rStyle w:val="FootnoteReference"/>
        </w:rPr>
        <w:footnoteRef/>
      </w:r>
      <w:r>
        <w:t xml:space="preserve"> Id. </w:t>
      </w:r>
    </w:p>
  </w:footnote>
  <w:footnote w:id="11">
    <w:p w14:paraId="21BDFDD5" w14:textId="063BA70C" w:rsidR="00A51852" w:rsidRDefault="00A51852">
      <w:pPr>
        <w:pStyle w:val="FootnoteText"/>
      </w:pPr>
      <w:r>
        <w:rPr>
          <w:rStyle w:val="FootnoteReference"/>
        </w:rPr>
        <w:footnoteRef/>
      </w:r>
      <w:r>
        <w:t xml:space="preserve"> </w:t>
      </w:r>
      <w:r w:rsidRPr="0060308D">
        <w:t>132 of 1993</w:t>
      </w:r>
      <w:r>
        <w:t>.</w:t>
      </w:r>
    </w:p>
  </w:footnote>
  <w:footnote w:id="12">
    <w:p w14:paraId="54B4D615" w14:textId="583CC007" w:rsidR="00A51852" w:rsidRDefault="00A51852">
      <w:pPr>
        <w:pStyle w:val="FootnoteText"/>
      </w:pPr>
      <w:r>
        <w:rPr>
          <w:rStyle w:val="FootnoteReference"/>
        </w:rPr>
        <w:footnoteRef/>
      </w:r>
      <w:r>
        <w:t xml:space="preserve"> </w:t>
      </w:r>
      <w:r w:rsidRPr="007F541B">
        <w:rPr>
          <w:i/>
          <w:lang w:val="es-ES"/>
        </w:rPr>
        <w:t xml:space="preserve">Prinsloo v Van der Linde </w:t>
      </w:r>
      <w:r w:rsidRPr="00577BFE">
        <w:rPr>
          <w:lang w:val="es-ES"/>
        </w:rPr>
        <w:t>[1997] ZACC 5;</w:t>
      </w:r>
      <w:r w:rsidRPr="00120906">
        <w:rPr>
          <w:lang w:val="es-ES"/>
        </w:rPr>
        <w:t xml:space="preserve"> </w:t>
      </w:r>
      <w:r w:rsidRPr="00577BFE">
        <w:rPr>
          <w:lang w:val="es-ES"/>
        </w:rPr>
        <w:t>1997 (3) SA 1012</w:t>
      </w:r>
      <w:r>
        <w:rPr>
          <w:lang w:val="es-ES"/>
        </w:rPr>
        <w:t xml:space="preserve"> (CC);</w:t>
      </w:r>
      <w:r w:rsidRPr="00577BFE">
        <w:rPr>
          <w:lang w:val="es-ES"/>
        </w:rPr>
        <w:t xml:space="preserve"> 1997 (6) BCLR 759</w:t>
      </w:r>
      <w:r>
        <w:rPr>
          <w:lang w:val="es-ES"/>
        </w:rPr>
        <w:t xml:space="preserve"> (CC) </w:t>
      </w:r>
      <w:r w:rsidR="004262A7">
        <w:rPr>
          <w:lang w:val="es-ES"/>
        </w:rPr>
        <w:t xml:space="preserve">at </w:t>
      </w:r>
      <w:r w:rsidRPr="007F541B">
        <w:rPr>
          <w:lang w:val="es-ES"/>
        </w:rPr>
        <w:t>para 23.</w:t>
      </w:r>
    </w:p>
  </w:footnote>
  <w:footnote w:id="13">
    <w:p w14:paraId="17BE347B" w14:textId="33477B3F" w:rsidR="00A51852" w:rsidRPr="007F541B" w:rsidRDefault="00A51852" w:rsidP="00691621">
      <w:pPr>
        <w:pStyle w:val="FootnoteText"/>
        <w:rPr>
          <w:lang w:val="es-ES"/>
        </w:rPr>
      </w:pPr>
      <w:r>
        <w:rPr>
          <w:rStyle w:val="FootnoteReference"/>
        </w:rPr>
        <w:footnoteRef/>
      </w:r>
      <w:r w:rsidRPr="0006715B">
        <w:rPr>
          <w:lang w:val="es-ES"/>
        </w:rPr>
        <w:t xml:space="preserve"> </w:t>
      </w:r>
      <w:r>
        <w:rPr>
          <w:lang w:val="es-ES"/>
        </w:rPr>
        <w:t>Id.</w:t>
      </w:r>
    </w:p>
  </w:footnote>
  <w:footnote w:id="14">
    <w:p w14:paraId="76F01D3C" w14:textId="6F39D98A" w:rsidR="00A51852" w:rsidRDefault="00A51852" w:rsidP="00691621">
      <w:pPr>
        <w:pStyle w:val="FootnoteText"/>
      </w:pPr>
      <w:r>
        <w:rPr>
          <w:rStyle w:val="FootnoteReference"/>
        </w:rPr>
        <w:footnoteRef/>
      </w:r>
      <w:r>
        <w:t xml:space="preserve"> Id at para 24.</w:t>
      </w:r>
    </w:p>
  </w:footnote>
  <w:footnote w:id="15">
    <w:p w14:paraId="7CB08EE0" w14:textId="215E74C5" w:rsidR="00A51852" w:rsidRDefault="00A51852">
      <w:pPr>
        <w:pStyle w:val="FootnoteText"/>
      </w:pPr>
      <w:r>
        <w:rPr>
          <w:rStyle w:val="FootnoteReference"/>
        </w:rPr>
        <w:footnoteRef/>
      </w:r>
      <w:r>
        <w:t xml:space="preserve"> </w:t>
      </w:r>
      <w:r w:rsidRPr="00244C5A">
        <w:rPr>
          <w:i/>
        </w:rPr>
        <w:t xml:space="preserve">Harksen v Lane N.O. </w:t>
      </w:r>
      <w:r w:rsidRPr="00244C5A">
        <w:t>[1997] ZACC 12; 1998 (1) SA 300 (CC); 1997 (11) BCLR 1489 (CC)</w:t>
      </w:r>
      <w:r>
        <w:t>.</w:t>
      </w:r>
    </w:p>
  </w:footnote>
  <w:footnote w:id="16">
    <w:p w14:paraId="4E11FF61" w14:textId="7DF29921" w:rsidR="00A51852" w:rsidRDefault="00A51852" w:rsidP="00B56481">
      <w:pPr>
        <w:pStyle w:val="FootnoteText"/>
      </w:pPr>
      <w:r>
        <w:rPr>
          <w:rStyle w:val="FootnoteReference"/>
        </w:rPr>
        <w:footnoteRef/>
      </w:r>
      <w:r>
        <w:t xml:space="preserve"> In </w:t>
      </w:r>
      <w:r>
        <w:rPr>
          <w:i/>
        </w:rPr>
        <w:t>Harksen</w:t>
      </w:r>
      <w:r>
        <w:t xml:space="preserve"> this Court was </w:t>
      </w:r>
      <w:r w:rsidRPr="006C6CF4">
        <w:t>dealing with section 8</w:t>
      </w:r>
      <w:r w:rsidR="004262A7">
        <w:t>, the equality clause under</w:t>
      </w:r>
      <w:r w:rsidRPr="006C6CF4">
        <w:t xml:space="preserve"> the interim Constitution, </w:t>
      </w:r>
      <w:r>
        <w:t>which has been replaced by</w:t>
      </w:r>
      <w:r w:rsidRPr="006C6CF4">
        <w:t xml:space="preserve"> </w:t>
      </w:r>
      <w:r>
        <w:t xml:space="preserve">section </w:t>
      </w:r>
      <w:r w:rsidRPr="006C6CF4">
        <w:t>9 of the Constitution</w:t>
      </w:r>
      <w:r>
        <w:t>.</w:t>
      </w:r>
    </w:p>
  </w:footnote>
  <w:footnote w:id="17">
    <w:p w14:paraId="237F0F85" w14:textId="1F475692" w:rsidR="00A51852" w:rsidRDefault="00A51852" w:rsidP="00B56481">
      <w:pPr>
        <w:pStyle w:val="FootnoteText"/>
        <w:spacing w:after="0"/>
        <w:ind w:left="142" w:hanging="142"/>
      </w:pPr>
      <w:r>
        <w:rPr>
          <w:rStyle w:val="FootnoteReference"/>
        </w:rPr>
        <w:footnoteRef/>
      </w:r>
      <w:r>
        <w:t xml:space="preserve"> </w:t>
      </w:r>
      <w:r w:rsidRPr="00244C5A">
        <w:rPr>
          <w:i/>
        </w:rPr>
        <w:t xml:space="preserve">Harksen </w:t>
      </w:r>
      <w:r w:rsidR="001F6BC6">
        <w:t>above n 15 at para 54</w:t>
      </w:r>
      <w:r w:rsidRPr="00244C5A">
        <w:rPr>
          <w:i/>
        </w:rPr>
        <w:t xml:space="preserve">; Van der Merwe v Road Accident Fund (Women’s Legal Centre Trust as Amicus Curiae) </w:t>
      </w:r>
      <w:r w:rsidRPr="00A5363D">
        <w:t>[2006] ZACC 4; 2006 (4) SA 230 (CC); 2006 (6) BCLR 682 (CC) at para 42</w:t>
      </w:r>
      <w:r>
        <w:t>.</w:t>
      </w:r>
    </w:p>
  </w:footnote>
  <w:footnote w:id="18">
    <w:p w14:paraId="18FF5662" w14:textId="77777777" w:rsidR="00A51852" w:rsidRDefault="00A51852" w:rsidP="00A936BA">
      <w:pPr>
        <w:pStyle w:val="FootnoteText"/>
        <w:rPr>
          <w:lang w:val="en-US"/>
        </w:rPr>
      </w:pPr>
      <w:r>
        <w:rPr>
          <w:rStyle w:val="FootnoteReference"/>
        </w:rPr>
        <w:footnoteRef/>
      </w:r>
      <w:r>
        <w:t xml:space="preserve"> </w:t>
      </w:r>
      <w:r>
        <w:rPr>
          <w:lang w:val="en-US"/>
        </w:rPr>
        <w:t>Section 9(3) of the Constitution provides:</w:t>
      </w:r>
    </w:p>
    <w:p w14:paraId="2A3C2BE5" w14:textId="05502201" w:rsidR="00A51852" w:rsidRPr="005E73D7" w:rsidRDefault="0029423C" w:rsidP="0029423C">
      <w:pPr>
        <w:pStyle w:val="QUOTEINFOOTNOTE"/>
        <w:rPr>
          <w:lang w:val="en-US"/>
        </w:rPr>
      </w:pPr>
      <w:r>
        <w:rPr>
          <w:lang w:val="en-US"/>
        </w:rPr>
        <w:t xml:space="preserve">“The </w:t>
      </w:r>
      <w:r w:rsidRPr="000C5F96">
        <w:rPr>
          <w:lang w:val="en-US"/>
        </w:rPr>
        <w:t>s</w:t>
      </w:r>
      <w:r w:rsidR="00A51852" w:rsidRPr="000C5F96">
        <w:rPr>
          <w:lang w:val="en-US"/>
        </w:rPr>
        <w:t>tate</w:t>
      </w:r>
      <w:r w:rsidR="00A51852">
        <w:rPr>
          <w:lang w:val="en-US"/>
        </w:rPr>
        <w:t xml:space="preserve"> may not unfairly discriminate directly or indirectly against anyone on one or more grounds, including race, gender, sex, pregnancy, marital status, ethnic or social origin, colou</w:t>
      </w:r>
      <w:r>
        <w:rPr>
          <w:lang w:val="en-US"/>
        </w:rPr>
        <w:t xml:space="preserve">r, sexual orientation, age, </w:t>
      </w:r>
      <w:r w:rsidR="00A51852">
        <w:rPr>
          <w:lang w:val="en-US"/>
        </w:rPr>
        <w:t>disability, religion, conscience, belief, culture, language and birth.”</w:t>
      </w:r>
    </w:p>
  </w:footnote>
  <w:footnote w:id="19">
    <w:p w14:paraId="0EE1752A" w14:textId="273DA487" w:rsidR="00A51852" w:rsidRPr="004D7906" w:rsidRDefault="00A51852" w:rsidP="00D27C71">
      <w:pPr>
        <w:pStyle w:val="FootnoteText1"/>
        <w:rPr>
          <w:lang w:val="en-US"/>
        </w:rPr>
      </w:pPr>
      <w:r>
        <w:rPr>
          <w:rStyle w:val="FootnoteReference"/>
        </w:rPr>
        <w:footnoteRef/>
      </w:r>
      <w:r>
        <w:t xml:space="preserve"> </w:t>
      </w:r>
      <w:r w:rsidRPr="00BE1DAB">
        <w:rPr>
          <w:i/>
        </w:rPr>
        <w:t>National Coalition for Gay and Lesbian Equality v Minister of Justice</w:t>
      </w:r>
      <w:r w:rsidRPr="00AD5543">
        <w:t xml:space="preserve"> </w:t>
      </w:r>
      <w:r w:rsidRPr="00C87D94">
        <w:t>[1999] ZACC 17; 1998 (2) SACR 556 (CC); 1998 (12) BCLR 1517 (CC)</w:t>
      </w:r>
      <w:r>
        <w:t>.</w:t>
      </w:r>
    </w:p>
  </w:footnote>
  <w:footnote w:id="20">
    <w:p w14:paraId="670F5A6E" w14:textId="77777777" w:rsidR="00A51852" w:rsidRDefault="00A51852" w:rsidP="00C4004E">
      <w:pPr>
        <w:pStyle w:val="FootnoteText"/>
      </w:pPr>
      <w:r>
        <w:rPr>
          <w:rStyle w:val="FootnoteReference"/>
        </w:rPr>
        <w:footnoteRef/>
      </w:r>
      <w:r>
        <w:t xml:space="preserve"> Id at para 62.</w:t>
      </w:r>
    </w:p>
  </w:footnote>
  <w:footnote w:id="21">
    <w:p w14:paraId="469DCBAD" w14:textId="66A55380" w:rsidR="00A51852" w:rsidRPr="001B5184" w:rsidRDefault="00A51852" w:rsidP="001B5184">
      <w:pPr>
        <w:pStyle w:val="FootnoteText1"/>
      </w:pPr>
      <w:r>
        <w:rPr>
          <w:rStyle w:val="FootnoteReference"/>
        </w:rPr>
        <w:footnoteRef/>
      </w:r>
      <w:r>
        <w:t xml:space="preserve"> </w:t>
      </w:r>
      <w:r w:rsidRPr="001B5184">
        <w:rPr>
          <w:i/>
        </w:rPr>
        <w:t>City Council of Pretoria v Walker</w:t>
      </w:r>
      <w:r w:rsidRPr="00CA767A">
        <w:t xml:space="preserve"> [1998] ZACC 1; 1998 (2) SA 363</w:t>
      </w:r>
      <w:r>
        <w:t xml:space="preserve"> (CC)</w:t>
      </w:r>
      <w:r w:rsidRPr="00CA767A">
        <w:t>; 1998 (3) BCLR 257</w:t>
      </w:r>
      <w:r>
        <w:t xml:space="preserve"> (CC) at para</w:t>
      </w:r>
      <w:r w:rsidR="00325F90">
        <w:t> </w:t>
      </w:r>
      <w:r>
        <w:t xml:space="preserve"> 73.</w:t>
      </w:r>
    </w:p>
  </w:footnote>
  <w:footnote w:id="22">
    <w:p w14:paraId="630F77D3" w14:textId="4C251F79" w:rsidR="00A51852" w:rsidRPr="00461FAB" w:rsidRDefault="00A51852">
      <w:pPr>
        <w:pStyle w:val="FootnoteText"/>
        <w:rPr>
          <w:lang w:val="en-US"/>
        </w:rPr>
      </w:pPr>
      <w:r>
        <w:rPr>
          <w:rStyle w:val="FootnoteReference"/>
        </w:rPr>
        <w:footnoteRef/>
      </w:r>
      <w:r>
        <w:t xml:space="preserve"> </w:t>
      </w:r>
      <w:r>
        <w:rPr>
          <w:lang w:val="en-US"/>
        </w:rPr>
        <w:t>Id.</w:t>
      </w:r>
    </w:p>
  </w:footnote>
  <w:footnote w:id="23">
    <w:p w14:paraId="562A27E4" w14:textId="211D563D" w:rsidR="00A51852" w:rsidRPr="00524193" w:rsidRDefault="00A51852" w:rsidP="0018085C">
      <w:pPr>
        <w:pStyle w:val="FootnoteText"/>
        <w:rPr>
          <w:szCs w:val="20"/>
        </w:rPr>
      </w:pPr>
      <w:r w:rsidRPr="00524193">
        <w:rPr>
          <w:rStyle w:val="FootnoteReference"/>
          <w:szCs w:val="20"/>
        </w:rPr>
        <w:footnoteRef/>
      </w:r>
      <w:r w:rsidRPr="00524193">
        <w:rPr>
          <w:szCs w:val="20"/>
        </w:rPr>
        <w:t xml:space="preserve"> </w:t>
      </w:r>
      <w:r w:rsidR="000D7CA2" w:rsidRPr="000D7CA2">
        <w:rPr>
          <w:i/>
          <w:szCs w:val="20"/>
        </w:rPr>
        <w:t>National Coalition for Gay and Lesbian Equality</w:t>
      </w:r>
      <w:r w:rsidR="000D7CA2" w:rsidRPr="000D7CA2">
        <w:rPr>
          <w:b/>
          <w:szCs w:val="20"/>
        </w:rPr>
        <w:t xml:space="preserve"> </w:t>
      </w:r>
      <w:r w:rsidR="000D7CA2" w:rsidRPr="000D7CA2">
        <w:rPr>
          <w:szCs w:val="20"/>
        </w:rPr>
        <w:t>above n 19 at</w:t>
      </w:r>
      <w:r w:rsidRPr="000D7CA2">
        <w:rPr>
          <w:szCs w:val="20"/>
        </w:rPr>
        <w:t xml:space="preserve"> para 78 t</w:t>
      </w:r>
      <w:r w:rsidRPr="000D7CA2">
        <w:rPr>
          <w:color w:val="242121"/>
          <w:szCs w:val="20"/>
        </w:rPr>
        <w:t xml:space="preserve">he judgment penned by Ackermann J and concurred in by all other </w:t>
      </w:r>
      <w:r w:rsidR="004D22F8" w:rsidRPr="000D7CA2">
        <w:rPr>
          <w:color w:val="242121"/>
          <w:szCs w:val="20"/>
        </w:rPr>
        <w:t>members of this</w:t>
      </w:r>
      <w:r w:rsidRPr="000D7CA2">
        <w:rPr>
          <w:color w:val="242121"/>
          <w:szCs w:val="20"/>
        </w:rPr>
        <w:t xml:space="preserve"> Court, agreed with this concurrence</w:t>
      </w:r>
      <w:r w:rsidRPr="005E73D7">
        <w:rPr>
          <w:color w:val="242121"/>
          <w:szCs w:val="20"/>
        </w:rPr>
        <w:t>.</w:t>
      </w:r>
    </w:p>
  </w:footnote>
  <w:footnote w:id="24">
    <w:p w14:paraId="2A492F38" w14:textId="107CB337" w:rsidR="00A51852" w:rsidRPr="005613D7" w:rsidRDefault="00A51852" w:rsidP="0018085C">
      <w:pPr>
        <w:pStyle w:val="FootnoteText"/>
      </w:pPr>
      <w:r w:rsidRPr="005613D7">
        <w:rPr>
          <w:rStyle w:val="FootnoteReference"/>
        </w:rPr>
        <w:footnoteRef/>
      </w:r>
      <w:r w:rsidRPr="005613D7">
        <w:t xml:space="preserve"> </w:t>
      </w:r>
      <w:r w:rsidR="004D22F8">
        <w:t xml:space="preserve">Id </w:t>
      </w:r>
      <w:r w:rsidRPr="005613D7">
        <w:t>at para 113.</w:t>
      </w:r>
    </w:p>
  </w:footnote>
  <w:footnote w:id="25">
    <w:p w14:paraId="54A54591" w14:textId="6BA334DD" w:rsidR="00A51852" w:rsidRDefault="00A51852" w:rsidP="0018085C">
      <w:pPr>
        <w:pStyle w:val="FootnoteText"/>
      </w:pPr>
      <w:r>
        <w:rPr>
          <w:rStyle w:val="FootnoteReference"/>
        </w:rPr>
        <w:footnoteRef/>
      </w:r>
      <w:r>
        <w:t xml:space="preserve"> </w:t>
      </w:r>
      <w:r w:rsidRPr="0047021D">
        <w:rPr>
          <w:i/>
        </w:rPr>
        <w:t>Minister of Finance v Van Heerden</w:t>
      </w:r>
      <w:r w:rsidRPr="00AD5543">
        <w:t xml:space="preserve"> [2004] ZACC 3; 2004 (6) SA 121 (CC); 2004 (11) BCLR 1125 (CC)</w:t>
      </w:r>
      <w:r>
        <w:t xml:space="preserve"> (</w:t>
      </w:r>
      <w:r w:rsidRPr="00BC79AF">
        <w:rPr>
          <w:i/>
        </w:rPr>
        <w:t>Van Heerden</w:t>
      </w:r>
      <w:r>
        <w:t>).</w:t>
      </w:r>
    </w:p>
  </w:footnote>
  <w:footnote w:id="26">
    <w:p w14:paraId="636ABDCA" w14:textId="77777777" w:rsidR="00A51852" w:rsidRDefault="00A51852" w:rsidP="0018085C">
      <w:pPr>
        <w:pStyle w:val="FootnoteText"/>
        <w:rPr>
          <w:lang w:val="en-US"/>
        </w:rPr>
      </w:pPr>
      <w:r>
        <w:rPr>
          <w:rStyle w:val="FootnoteReference"/>
        </w:rPr>
        <w:footnoteRef/>
      </w:r>
      <w:r>
        <w:t xml:space="preserve"> </w:t>
      </w:r>
      <w:r>
        <w:rPr>
          <w:lang w:val="en-US"/>
        </w:rPr>
        <w:t>Id at para 27.</w:t>
      </w:r>
    </w:p>
  </w:footnote>
  <w:footnote w:id="27">
    <w:p w14:paraId="10FFE0BA" w14:textId="06751AAE" w:rsidR="00A51852" w:rsidRDefault="00A51852" w:rsidP="0018085C">
      <w:pPr>
        <w:pStyle w:val="FootnoteText"/>
      </w:pPr>
      <w:r>
        <w:rPr>
          <w:rStyle w:val="FootnoteReference"/>
        </w:rPr>
        <w:footnoteRef/>
      </w:r>
      <w:r>
        <w:t xml:space="preserve"> </w:t>
      </w:r>
      <w:r w:rsidRPr="0093171D">
        <w:rPr>
          <w:i/>
          <w:iCs/>
        </w:rPr>
        <w:t xml:space="preserve">Mahlangu v Minister of Labour </w:t>
      </w:r>
      <w:r>
        <w:t>[2020] ZACC 24;</w:t>
      </w:r>
      <w:r w:rsidRPr="00D2008F">
        <w:t xml:space="preserve"> 2021 (2) SA 54 (CC)</w:t>
      </w:r>
      <w:r>
        <w:t xml:space="preserve">; </w:t>
      </w:r>
      <w:r w:rsidRPr="00D2008F">
        <w:t>2021 (1) BCLR 1 (CC)</w:t>
      </w:r>
      <w:r>
        <w:t>.</w:t>
      </w:r>
    </w:p>
  </w:footnote>
  <w:footnote w:id="28">
    <w:p w14:paraId="435CFA17" w14:textId="77777777" w:rsidR="00A51852" w:rsidRDefault="00A51852" w:rsidP="0018085C">
      <w:pPr>
        <w:pStyle w:val="FootnoteText"/>
      </w:pPr>
      <w:r>
        <w:rPr>
          <w:rStyle w:val="FootnoteReference"/>
        </w:rPr>
        <w:footnoteRef/>
      </w:r>
      <w:r>
        <w:t xml:space="preserve"> 130 of 1993.</w:t>
      </w:r>
    </w:p>
  </w:footnote>
  <w:footnote w:id="29">
    <w:p w14:paraId="60F318DF" w14:textId="1F507CA3" w:rsidR="00A51852" w:rsidRPr="000A6E31" w:rsidRDefault="00A51852" w:rsidP="0018085C">
      <w:pPr>
        <w:pStyle w:val="FootnoteText"/>
      </w:pPr>
      <w:r>
        <w:rPr>
          <w:rStyle w:val="FootnoteReference"/>
        </w:rPr>
        <w:footnoteRef/>
      </w:r>
      <w:r>
        <w:t xml:space="preserve"> </w:t>
      </w:r>
      <w:r w:rsidRPr="002C68A9">
        <w:t>Crenshaw “Demarginalising the Intersection of Race and Sex: A Black Feminist Critique of Anti-Discrimination Doctrine, Feminist Theory, and Anti-Racist Policies” (1989</w:t>
      </w:r>
      <w:r w:rsidRPr="003C3340">
        <w:t xml:space="preserve">) </w:t>
      </w:r>
      <w:r w:rsidRPr="003C3340">
        <w:rPr>
          <w:i/>
        </w:rPr>
        <w:t>University of Chicago Legal Forum</w:t>
      </w:r>
      <w:r w:rsidRPr="003C3340">
        <w:t xml:space="preserve"> 139 at 149.</w:t>
      </w:r>
      <w:r>
        <w:t xml:space="preserve"> </w:t>
      </w:r>
      <w:r w:rsidRPr="002C68A9">
        <w:t xml:space="preserve"> Crenshaw is a pioneer and leading scholar on intersectionality.  Intersectionality as a concept has been used and developed by legal scholars and lawyers in </w:t>
      </w:r>
      <w:r>
        <w:t>the field of discrimination law.</w:t>
      </w:r>
    </w:p>
  </w:footnote>
  <w:footnote w:id="30">
    <w:p w14:paraId="690E1F04" w14:textId="6E57A7FD" w:rsidR="00A51852" w:rsidRPr="0098337A" w:rsidRDefault="00A51852" w:rsidP="0018085C">
      <w:pPr>
        <w:pStyle w:val="FootnoteText1"/>
        <w:rPr>
          <w:lang w:val="en-GB"/>
        </w:rPr>
      </w:pPr>
      <w:r w:rsidRPr="005613D7">
        <w:rPr>
          <w:rStyle w:val="FootnoteReference"/>
        </w:rPr>
        <w:footnoteRef/>
      </w:r>
      <w:r>
        <w:t xml:space="preserve"> </w:t>
      </w:r>
      <w:r>
        <w:rPr>
          <w:i/>
        </w:rPr>
        <w:t xml:space="preserve">Mahlangu </w:t>
      </w:r>
      <w:r w:rsidR="007E62FC">
        <w:t>above n 27</w:t>
      </w:r>
      <w:r>
        <w:t xml:space="preserve"> at para 85.</w:t>
      </w:r>
    </w:p>
  </w:footnote>
  <w:footnote w:id="31">
    <w:p w14:paraId="0478FBF1" w14:textId="0E267493" w:rsidR="00A51852" w:rsidRPr="00090AB5" w:rsidRDefault="00A51852" w:rsidP="00481C31">
      <w:pPr>
        <w:pStyle w:val="FootnoteText1"/>
        <w:rPr>
          <w:lang w:val="en-US"/>
        </w:rPr>
      </w:pPr>
      <w:r>
        <w:rPr>
          <w:rStyle w:val="FootnoteReference"/>
        </w:rPr>
        <w:footnoteRef/>
      </w:r>
      <w:r>
        <w:t xml:space="preserve"> Coetzee “South African Education and the Ideology of Patriarchy” (2001) 21 </w:t>
      </w:r>
      <w:r w:rsidRPr="007242A8">
        <w:rPr>
          <w:i/>
        </w:rPr>
        <w:t>South African Journal of Education</w:t>
      </w:r>
      <w:r>
        <w:t xml:space="preserve"> 300.</w:t>
      </w:r>
    </w:p>
  </w:footnote>
  <w:footnote w:id="32">
    <w:p w14:paraId="52A22D20" w14:textId="0ADD1DED" w:rsidR="00A51852" w:rsidRDefault="00A51852">
      <w:pPr>
        <w:pStyle w:val="FootnoteText"/>
      </w:pPr>
      <w:r>
        <w:rPr>
          <w:rStyle w:val="FootnoteReference"/>
        </w:rPr>
        <w:footnoteRef/>
      </w:r>
      <w:r>
        <w:t xml:space="preserve"> </w:t>
      </w:r>
      <w:r w:rsidRPr="00977193">
        <w:t>Id</w:t>
      </w:r>
      <w:r w:rsidR="007E62FC" w:rsidRPr="00977193">
        <w:t xml:space="preserve"> at </w:t>
      </w:r>
      <w:r w:rsidR="00977193" w:rsidRPr="00977193">
        <w:t>300.</w:t>
      </w:r>
    </w:p>
  </w:footnote>
  <w:footnote w:id="33">
    <w:p w14:paraId="46B15255" w14:textId="1580ED90" w:rsidR="00A51852" w:rsidRPr="00090AB5" w:rsidRDefault="00A51852" w:rsidP="00481C31">
      <w:pPr>
        <w:pStyle w:val="FootnoteText1"/>
        <w:rPr>
          <w:lang w:val="en-US"/>
        </w:rPr>
      </w:pPr>
      <w:r>
        <w:rPr>
          <w:rStyle w:val="FootnoteReference"/>
        </w:rPr>
        <w:footnoteRef/>
      </w:r>
      <w:r>
        <w:t xml:space="preserve"> Id at 301.</w:t>
      </w:r>
    </w:p>
  </w:footnote>
  <w:footnote w:id="34">
    <w:p w14:paraId="50DB4CAC" w14:textId="46109CC1" w:rsidR="00A51852" w:rsidRPr="007242A8" w:rsidRDefault="00A51852" w:rsidP="007242A8">
      <w:pPr>
        <w:pStyle w:val="FootnoteText"/>
        <w:rPr>
          <w:lang w:val="en-US"/>
        </w:rPr>
      </w:pPr>
      <w:r>
        <w:rPr>
          <w:rStyle w:val="FootnoteReference"/>
        </w:rPr>
        <w:footnoteRef/>
      </w:r>
      <w:r>
        <w:t xml:space="preserve"> </w:t>
      </w:r>
      <w:r w:rsidRPr="00E91599">
        <w:rPr>
          <w:lang w:val="en-US"/>
        </w:rPr>
        <w:t xml:space="preserve">Sinden </w:t>
      </w:r>
      <w:r>
        <w:rPr>
          <w:lang w:val="en-US"/>
        </w:rPr>
        <w:t>“</w:t>
      </w:r>
      <w:r w:rsidRPr="00E91599">
        <w:rPr>
          <w:lang w:val="en-US"/>
        </w:rPr>
        <w:t>Exploring the Gap Between Male and Female Employmen</w:t>
      </w:r>
      <w:r>
        <w:rPr>
          <w:lang w:val="en-US"/>
        </w:rPr>
        <w:t>t in the South African Workforce”</w:t>
      </w:r>
      <w:r w:rsidRPr="00E91599">
        <w:rPr>
          <w:lang w:val="en-US"/>
        </w:rPr>
        <w:t xml:space="preserve"> (2017)</w:t>
      </w:r>
      <w:r>
        <w:rPr>
          <w:lang w:val="en-US"/>
        </w:rPr>
        <w:t xml:space="preserve"> 8</w:t>
      </w:r>
      <w:r w:rsidRPr="007242A8">
        <w:t xml:space="preserve"> </w:t>
      </w:r>
      <w:r w:rsidRPr="007242A8">
        <w:rPr>
          <w:i/>
          <w:lang w:val="en-US"/>
        </w:rPr>
        <w:t>Mediterranean Journal of Social Sciences</w:t>
      </w:r>
      <w:r>
        <w:rPr>
          <w:i/>
          <w:lang w:val="en-US"/>
        </w:rPr>
        <w:t xml:space="preserve"> </w:t>
      </w:r>
      <w:r>
        <w:rPr>
          <w:lang w:val="en-US"/>
        </w:rPr>
        <w:t>37</w:t>
      </w:r>
      <w:r w:rsidR="007E62FC">
        <w:rPr>
          <w:lang w:val="en-US"/>
        </w:rPr>
        <w:t xml:space="preserve"> </w:t>
      </w:r>
      <w:r w:rsidR="00444F64">
        <w:rPr>
          <w:lang w:val="en-US"/>
        </w:rPr>
        <w:t>at 37</w:t>
      </w:r>
      <w:r w:rsidRPr="00444F64">
        <w:rPr>
          <w:lang w:val="en-US"/>
        </w:rPr>
        <w:t>.</w:t>
      </w:r>
    </w:p>
  </w:footnote>
  <w:footnote w:id="35">
    <w:p w14:paraId="03E94BBA" w14:textId="4859BA7D" w:rsidR="00A51852" w:rsidRPr="00BC4681" w:rsidRDefault="00A51852" w:rsidP="00F6640F">
      <w:pPr>
        <w:pStyle w:val="FootnoteText"/>
      </w:pPr>
      <w:r>
        <w:rPr>
          <w:rStyle w:val="FootnoteReference"/>
        </w:rPr>
        <w:footnoteRef/>
      </w:r>
      <w:r w:rsidRPr="00BC4681">
        <w:t xml:space="preserve"> </w:t>
      </w:r>
      <w:r w:rsidRPr="00BC4681">
        <w:rPr>
          <w:i/>
          <w:lang w:val="en-US"/>
        </w:rPr>
        <w:t>Gumede</w:t>
      </w:r>
      <w:r w:rsidRPr="00610380">
        <w:t xml:space="preserve"> </w:t>
      </w:r>
      <w:r w:rsidRPr="00610380">
        <w:rPr>
          <w:i/>
          <w:lang w:val="en-US"/>
        </w:rPr>
        <w:t xml:space="preserve">v President </w:t>
      </w:r>
      <w:r>
        <w:rPr>
          <w:i/>
          <w:lang w:val="en-US"/>
        </w:rPr>
        <w:t xml:space="preserve">of the Republic of South Africa </w:t>
      </w:r>
      <w:r>
        <w:rPr>
          <w:lang w:val="en-US"/>
        </w:rPr>
        <w:t xml:space="preserve">[2008] </w:t>
      </w:r>
      <w:r w:rsidRPr="00610380">
        <w:rPr>
          <w:lang w:val="en-US"/>
        </w:rPr>
        <w:t>Z</w:t>
      </w:r>
      <w:r>
        <w:rPr>
          <w:lang w:val="en-US"/>
        </w:rPr>
        <w:t>ACC 23;</w:t>
      </w:r>
      <w:r>
        <w:rPr>
          <w:sz w:val="26"/>
          <w:lang w:val="en-US"/>
        </w:rPr>
        <w:t xml:space="preserve"> </w:t>
      </w:r>
      <w:r w:rsidRPr="00244443">
        <w:rPr>
          <w:lang w:val="en-US"/>
        </w:rPr>
        <w:t>2009 (3) SA 152 (CC)</w:t>
      </w:r>
      <w:r>
        <w:rPr>
          <w:lang w:val="en-US"/>
        </w:rPr>
        <w:t>; 2009 (3) BCLR 243 (CC</w:t>
      </w:r>
      <w:r w:rsidR="00DE61B8">
        <w:rPr>
          <w:lang w:val="en-US"/>
        </w:rPr>
        <w:t>)</w:t>
      </w:r>
      <w:r>
        <w:rPr>
          <w:lang w:val="en-US"/>
        </w:rPr>
        <w:t xml:space="preserve"> at</w:t>
      </w:r>
      <w:r w:rsidRPr="00BC4681">
        <w:rPr>
          <w:lang w:val="en-US"/>
        </w:rPr>
        <w:t xml:space="preserve"> para 45.</w:t>
      </w:r>
    </w:p>
  </w:footnote>
  <w:footnote w:id="36">
    <w:p w14:paraId="280AE049" w14:textId="77777777" w:rsidR="00A51852" w:rsidRDefault="00A51852" w:rsidP="00F6640F">
      <w:pPr>
        <w:pStyle w:val="FootnoteText"/>
      </w:pPr>
      <w:r>
        <w:rPr>
          <w:rStyle w:val="FootnoteReference"/>
        </w:rPr>
        <w:footnoteRef/>
      </w:r>
      <w:r>
        <w:t xml:space="preserve"> 120 of 1998.</w:t>
      </w:r>
    </w:p>
  </w:footnote>
  <w:footnote w:id="37">
    <w:p w14:paraId="75058991" w14:textId="77777777" w:rsidR="00A51852" w:rsidRPr="00391147" w:rsidRDefault="00A51852" w:rsidP="00E1750D">
      <w:pPr>
        <w:pStyle w:val="FootnoteText"/>
        <w:rPr>
          <w:lang w:val="en-US"/>
        </w:rPr>
      </w:pPr>
      <w:r>
        <w:rPr>
          <w:rStyle w:val="FootnoteReference"/>
        </w:rPr>
        <w:footnoteRef/>
      </w:r>
      <w:r>
        <w:t xml:space="preserve"> </w:t>
      </w:r>
      <w:r>
        <w:rPr>
          <w:lang w:val="en-US"/>
        </w:rPr>
        <w:t>Section 36 of the Constitution.</w:t>
      </w:r>
    </w:p>
  </w:footnote>
  <w:footnote w:id="38">
    <w:p w14:paraId="65FDE745" w14:textId="350B09E3" w:rsidR="00A51852" w:rsidRPr="00BD40A1" w:rsidRDefault="00A51852" w:rsidP="00BD40A1">
      <w:pPr>
        <w:pStyle w:val="FootnoteText1"/>
      </w:pPr>
      <w:r>
        <w:rPr>
          <w:rStyle w:val="FootnoteReference"/>
        </w:rPr>
        <w:footnoteRef/>
      </w:r>
      <w:r>
        <w:t xml:space="preserve"> </w:t>
      </w:r>
      <w:r w:rsidRPr="00BD40A1">
        <w:rPr>
          <w:i/>
        </w:rPr>
        <w:t>Bhe v Magistrate, Khayelitsha; Shibi v Sithole ; S</w:t>
      </w:r>
      <w:r>
        <w:rPr>
          <w:i/>
        </w:rPr>
        <w:t xml:space="preserve">outh </w:t>
      </w:r>
      <w:r w:rsidRPr="00BD40A1">
        <w:rPr>
          <w:i/>
        </w:rPr>
        <w:t>A</w:t>
      </w:r>
      <w:r>
        <w:rPr>
          <w:i/>
        </w:rPr>
        <w:t>frican</w:t>
      </w:r>
      <w:r w:rsidRPr="00BD40A1">
        <w:rPr>
          <w:i/>
        </w:rPr>
        <w:t xml:space="preserve"> Human Rights Commission v President of the R</w:t>
      </w:r>
      <w:r w:rsidR="006412D1">
        <w:rPr>
          <w:i/>
        </w:rPr>
        <w:t xml:space="preserve">epublic of </w:t>
      </w:r>
      <w:r w:rsidRPr="00BD40A1">
        <w:rPr>
          <w:i/>
        </w:rPr>
        <w:t>S</w:t>
      </w:r>
      <w:r>
        <w:rPr>
          <w:i/>
        </w:rPr>
        <w:t xml:space="preserve">outh </w:t>
      </w:r>
      <w:r w:rsidRPr="00BD40A1">
        <w:rPr>
          <w:i/>
        </w:rPr>
        <w:t>A</w:t>
      </w:r>
      <w:r w:rsidR="006412D1">
        <w:rPr>
          <w:i/>
        </w:rPr>
        <w:t xml:space="preserve">frica </w:t>
      </w:r>
      <w:r w:rsidRPr="00BE1DAB">
        <w:t xml:space="preserve">[2004] ZACC 17; 2005 (1) SA 580 (CC); 2005 (1) BCLR 1 (CC) </w:t>
      </w:r>
      <w:r>
        <w:t>at para 61.</w:t>
      </w:r>
    </w:p>
  </w:footnote>
  <w:footnote w:id="39">
    <w:p w14:paraId="0D2F788F" w14:textId="7640E3FB" w:rsidR="00A51852" w:rsidRDefault="00A51852">
      <w:pPr>
        <w:pStyle w:val="FootnoteText"/>
      </w:pPr>
      <w:r>
        <w:rPr>
          <w:rStyle w:val="FootnoteReference"/>
        </w:rPr>
        <w:footnoteRef/>
      </w:r>
      <w:r>
        <w:t xml:space="preserve"> Section 10 of the Constitution</w:t>
      </w:r>
      <w:r w:rsidRPr="00042459">
        <w:rPr>
          <w:sz w:val="26"/>
        </w:rPr>
        <w:t xml:space="preserve"> </w:t>
      </w:r>
      <w:r w:rsidRPr="00042459">
        <w:t xml:space="preserve">guarantees everyone’s right to </w:t>
      </w:r>
      <w:r>
        <w:t>“</w:t>
      </w:r>
      <w:r w:rsidRPr="00042459">
        <w:t>inherent dignity and the right to have their dignity respected and protected.</w:t>
      </w:r>
      <w:r>
        <w:t>”</w:t>
      </w:r>
    </w:p>
  </w:footnote>
  <w:footnote w:id="40">
    <w:p w14:paraId="0EB51140" w14:textId="77777777" w:rsidR="00A51852" w:rsidRDefault="00A51852" w:rsidP="00481C31">
      <w:pPr>
        <w:pStyle w:val="FootnoteText1"/>
      </w:pPr>
      <w:r>
        <w:rPr>
          <w:rStyle w:val="FootnoteReference"/>
        </w:rPr>
        <w:footnoteRef/>
      </w:r>
      <w:r>
        <w:t xml:space="preserve"> </w:t>
      </w:r>
      <w:r w:rsidRPr="0063178D">
        <w:t>Section 1 of the Constitution</w:t>
      </w:r>
      <w:r>
        <w:t>.</w:t>
      </w:r>
    </w:p>
  </w:footnote>
  <w:footnote w:id="41">
    <w:p w14:paraId="75F4A26F" w14:textId="1160406F" w:rsidR="00A51852" w:rsidRPr="006B6F59" w:rsidRDefault="00A51852" w:rsidP="0047021D">
      <w:pPr>
        <w:pStyle w:val="FootnoteText1"/>
        <w:rPr>
          <w:lang w:val="en-US"/>
        </w:rPr>
      </w:pPr>
      <w:r>
        <w:rPr>
          <w:rStyle w:val="FootnoteReference"/>
        </w:rPr>
        <w:footnoteRef/>
      </w:r>
      <w:r>
        <w:t xml:space="preserve"> </w:t>
      </w:r>
      <w:r>
        <w:rPr>
          <w:lang w:val="en-US"/>
        </w:rPr>
        <w:t>Section 9 of the Constitution.</w:t>
      </w:r>
    </w:p>
  </w:footnote>
  <w:footnote w:id="42">
    <w:p w14:paraId="534E4B48" w14:textId="3A3BA808" w:rsidR="00A51852" w:rsidRPr="006B6F59" w:rsidRDefault="00A51852" w:rsidP="0047021D">
      <w:pPr>
        <w:pStyle w:val="FootnoteText1"/>
        <w:rPr>
          <w:lang w:val="en-US"/>
        </w:rPr>
      </w:pPr>
      <w:r>
        <w:rPr>
          <w:rStyle w:val="FootnoteReference"/>
        </w:rPr>
        <w:footnoteRef/>
      </w:r>
      <w:r>
        <w:t xml:space="preserve"> </w:t>
      </w:r>
      <w:r>
        <w:rPr>
          <w:lang w:val="en-US"/>
        </w:rPr>
        <w:t>Section 10 of the Constitution.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EA6EF4" w14:textId="0A89D525" w:rsidR="00A51852" w:rsidRDefault="00A51852" w:rsidP="000F7521">
    <w:pPr>
      <w:pStyle w:val="Header"/>
      <w:tabs>
        <w:tab w:val="clear" w:pos="4680"/>
        <w:tab w:val="clear" w:pos="9360"/>
        <w:tab w:val="right" w:pos="9072"/>
      </w:tabs>
      <w:jc w:val="right"/>
    </w:pPr>
    <w:r>
      <w:t>TSHIQI J</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0B87A" w14:textId="294E390E" w:rsidR="00A51852" w:rsidRPr="00FE1975" w:rsidRDefault="00A51852" w:rsidP="00FE1975">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80FD1A" w14:textId="77777777" w:rsidR="00A51852" w:rsidRDefault="00A51852" w:rsidP="008C727F">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A7A26"/>
    <w:multiLevelType w:val="hybridMultilevel"/>
    <w:tmpl w:val="418AB2AC"/>
    <w:lvl w:ilvl="0" w:tplc="DE0E4A64">
      <w:start w:val="1"/>
      <w:numFmt w:val="decimal"/>
      <w:pStyle w:val="JUDGMENTNUMBERED"/>
      <w:lvlText w:val="[%1]"/>
      <w:lvlJc w:val="left"/>
      <w:pPr>
        <w:ind w:left="36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1" w15:restartNumberingAfterBreak="0">
    <w:nsid w:val="13A7156D"/>
    <w:multiLevelType w:val="hybridMultilevel"/>
    <w:tmpl w:val="25FA4324"/>
    <w:lvl w:ilvl="0" w:tplc="25FC9EEA">
      <w:start w:val="8"/>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18441251"/>
    <w:multiLevelType w:val="hybridMultilevel"/>
    <w:tmpl w:val="4D80A102"/>
    <w:lvl w:ilvl="0" w:tplc="0809000F">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19145AC6"/>
    <w:multiLevelType w:val="hybridMultilevel"/>
    <w:tmpl w:val="EC7CE31E"/>
    <w:lvl w:ilvl="0" w:tplc="00F2B1B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2133628A"/>
    <w:multiLevelType w:val="hybridMultilevel"/>
    <w:tmpl w:val="EC7CE31E"/>
    <w:lvl w:ilvl="0" w:tplc="00F2B1B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366B5851"/>
    <w:multiLevelType w:val="hybridMultilevel"/>
    <w:tmpl w:val="CF300F4A"/>
    <w:lvl w:ilvl="0" w:tplc="1C090017">
      <w:start w:val="1"/>
      <w:numFmt w:val="lowerLetter"/>
      <w:lvlText w:val="%1)"/>
      <w:lvlJc w:val="left"/>
      <w:pPr>
        <w:ind w:left="2160" w:hanging="360"/>
      </w:p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6" w15:restartNumberingAfterBreak="0">
    <w:nsid w:val="450516A8"/>
    <w:multiLevelType w:val="hybridMultilevel"/>
    <w:tmpl w:val="BD8E84D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64F12D19"/>
    <w:multiLevelType w:val="hybridMultilevel"/>
    <w:tmpl w:val="C1822508"/>
    <w:lvl w:ilvl="0" w:tplc="1C090013">
      <w:start w:val="1"/>
      <w:numFmt w:val="upperRoman"/>
      <w:lvlText w:val="%1."/>
      <w:lvlJc w:val="right"/>
      <w:pPr>
        <w:ind w:left="2160" w:hanging="360"/>
      </w:p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8" w15:restartNumberingAfterBreak="0">
    <w:nsid w:val="70BD6539"/>
    <w:multiLevelType w:val="hybridMultilevel"/>
    <w:tmpl w:val="DAB868BC"/>
    <w:lvl w:ilvl="0" w:tplc="532C273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15:restartNumberingAfterBreak="0">
    <w:nsid w:val="78ED6CFB"/>
    <w:multiLevelType w:val="hybridMultilevel"/>
    <w:tmpl w:val="2C5C19C8"/>
    <w:lvl w:ilvl="0" w:tplc="1C090017">
      <w:start w:val="1"/>
      <w:numFmt w:val="lowerLetter"/>
      <w:lvlText w:val="%1)"/>
      <w:lvlJc w:val="left"/>
      <w:pPr>
        <w:ind w:left="1800" w:hanging="360"/>
      </w:p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num w:numId="1">
    <w:abstractNumId w:val="0"/>
  </w:num>
  <w:num w:numId="2">
    <w:abstractNumId w:val="8"/>
  </w:num>
  <w:num w:numId="3">
    <w:abstractNumId w:val="2"/>
  </w:num>
  <w:num w:numId="4">
    <w:abstractNumId w:val="3"/>
  </w:num>
  <w:num w:numId="5">
    <w:abstractNumId w:val="1"/>
  </w:num>
  <w:num w:numId="6">
    <w:abstractNumId w:val="6"/>
  </w:num>
  <w:num w:numId="7">
    <w:abstractNumId w:val="7"/>
  </w:num>
  <w:num w:numId="8">
    <w:abstractNumId w:val="5"/>
  </w:num>
  <w:num w:numId="9">
    <w:abstractNumId w:val="9"/>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3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0F3"/>
    <w:rsid w:val="0000085F"/>
    <w:rsid w:val="00000D04"/>
    <w:rsid w:val="000026E1"/>
    <w:rsid w:val="00003249"/>
    <w:rsid w:val="00003278"/>
    <w:rsid w:val="000034B4"/>
    <w:rsid w:val="00004165"/>
    <w:rsid w:val="000047D0"/>
    <w:rsid w:val="00004F2C"/>
    <w:rsid w:val="0000543C"/>
    <w:rsid w:val="000067CD"/>
    <w:rsid w:val="00006CBE"/>
    <w:rsid w:val="00010ABB"/>
    <w:rsid w:val="000121C2"/>
    <w:rsid w:val="00012538"/>
    <w:rsid w:val="00015CD3"/>
    <w:rsid w:val="000162DF"/>
    <w:rsid w:val="000201E1"/>
    <w:rsid w:val="000205A1"/>
    <w:rsid w:val="000207CC"/>
    <w:rsid w:val="0002132E"/>
    <w:rsid w:val="00021B45"/>
    <w:rsid w:val="00024042"/>
    <w:rsid w:val="00024093"/>
    <w:rsid w:val="00027C65"/>
    <w:rsid w:val="00027FC0"/>
    <w:rsid w:val="00030D20"/>
    <w:rsid w:val="0003197B"/>
    <w:rsid w:val="0003222E"/>
    <w:rsid w:val="0003258C"/>
    <w:rsid w:val="00032887"/>
    <w:rsid w:val="0003332C"/>
    <w:rsid w:val="0003374F"/>
    <w:rsid w:val="00034F9B"/>
    <w:rsid w:val="00037A5E"/>
    <w:rsid w:val="00040535"/>
    <w:rsid w:val="00041F4A"/>
    <w:rsid w:val="00042256"/>
    <w:rsid w:val="00042299"/>
    <w:rsid w:val="00042459"/>
    <w:rsid w:val="00043187"/>
    <w:rsid w:val="00044AFA"/>
    <w:rsid w:val="00044DF9"/>
    <w:rsid w:val="00045300"/>
    <w:rsid w:val="000464AC"/>
    <w:rsid w:val="00050A12"/>
    <w:rsid w:val="000517BC"/>
    <w:rsid w:val="00051925"/>
    <w:rsid w:val="00053D77"/>
    <w:rsid w:val="00056AE4"/>
    <w:rsid w:val="000570BC"/>
    <w:rsid w:val="0005741E"/>
    <w:rsid w:val="0005768E"/>
    <w:rsid w:val="00057950"/>
    <w:rsid w:val="00057A07"/>
    <w:rsid w:val="0006058B"/>
    <w:rsid w:val="0006231E"/>
    <w:rsid w:val="00062A3C"/>
    <w:rsid w:val="0006418D"/>
    <w:rsid w:val="000665E3"/>
    <w:rsid w:val="00067D34"/>
    <w:rsid w:val="00070063"/>
    <w:rsid w:val="00070370"/>
    <w:rsid w:val="000704A9"/>
    <w:rsid w:val="000704F2"/>
    <w:rsid w:val="00071BDA"/>
    <w:rsid w:val="000729D7"/>
    <w:rsid w:val="00072E41"/>
    <w:rsid w:val="000731F6"/>
    <w:rsid w:val="00073A2B"/>
    <w:rsid w:val="00073B4E"/>
    <w:rsid w:val="00075C3C"/>
    <w:rsid w:val="0007677D"/>
    <w:rsid w:val="00080C4A"/>
    <w:rsid w:val="0008140F"/>
    <w:rsid w:val="000819EE"/>
    <w:rsid w:val="00081FEF"/>
    <w:rsid w:val="000832EC"/>
    <w:rsid w:val="0008371B"/>
    <w:rsid w:val="00084848"/>
    <w:rsid w:val="000860CD"/>
    <w:rsid w:val="00090659"/>
    <w:rsid w:val="000909C5"/>
    <w:rsid w:val="00090AB5"/>
    <w:rsid w:val="00090E55"/>
    <w:rsid w:val="0009184D"/>
    <w:rsid w:val="00091DBD"/>
    <w:rsid w:val="000920AD"/>
    <w:rsid w:val="000932CB"/>
    <w:rsid w:val="00094104"/>
    <w:rsid w:val="00094312"/>
    <w:rsid w:val="000952AD"/>
    <w:rsid w:val="000954BA"/>
    <w:rsid w:val="00095A15"/>
    <w:rsid w:val="000969DF"/>
    <w:rsid w:val="00097B3A"/>
    <w:rsid w:val="000A01D2"/>
    <w:rsid w:val="000A11CE"/>
    <w:rsid w:val="000A1B55"/>
    <w:rsid w:val="000A4556"/>
    <w:rsid w:val="000A547E"/>
    <w:rsid w:val="000A5D30"/>
    <w:rsid w:val="000A71F8"/>
    <w:rsid w:val="000A7617"/>
    <w:rsid w:val="000A7DBE"/>
    <w:rsid w:val="000B0354"/>
    <w:rsid w:val="000B0C92"/>
    <w:rsid w:val="000B22E6"/>
    <w:rsid w:val="000B42BD"/>
    <w:rsid w:val="000B457F"/>
    <w:rsid w:val="000B6528"/>
    <w:rsid w:val="000B6608"/>
    <w:rsid w:val="000B6AB4"/>
    <w:rsid w:val="000B7A86"/>
    <w:rsid w:val="000C0CDB"/>
    <w:rsid w:val="000C136A"/>
    <w:rsid w:val="000C1AF5"/>
    <w:rsid w:val="000C3267"/>
    <w:rsid w:val="000C3682"/>
    <w:rsid w:val="000C38CF"/>
    <w:rsid w:val="000C3E03"/>
    <w:rsid w:val="000C41AB"/>
    <w:rsid w:val="000C47EC"/>
    <w:rsid w:val="000C4E5A"/>
    <w:rsid w:val="000C5143"/>
    <w:rsid w:val="000C56DD"/>
    <w:rsid w:val="000C5C28"/>
    <w:rsid w:val="000C5F96"/>
    <w:rsid w:val="000C7FCF"/>
    <w:rsid w:val="000D078B"/>
    <w:rsid w:val="000D08AC"/>
    <w:rsid w:val="000D0EB6"/>
    <w:rsid w:val="000D1BCD"/>
    <w:rsid w:val="000D1C18"/>
    <w:rsid w:val="000D3C27"/>
    <w:rsid w:val="000D589D"/>
    <w:rsid w:val="000D62CF"/>
    <w:rsid w:val="000D6F09"/>
    <w:rsid w:val="000D7CA2"/>
    <w:rsid w:val="000E1144"/>
    <w:rsid w:val="000E117D"/>
    <w:rsid w:val="000E121F"/>
    <w:rsid w:val="000E2338"/>
    <w:rsid w:val="000E23D4"/>
    <w:rsid w:val="000E3024"/>
    <w:rsid w:val="000E3370"/>
    <w:rsid w:val="000E3FDA"/>
    <w:rsid w:val="000E4204"/>
    <w:rsid w:val="000E56F4"/>
    <w:rsid w:val="000E7A56"/>
    <w:rsid w:val="000F035A"/>
    <w:rsid w:val="000F0741"/>
    <w:rsid w:val="000F0DB8"/>
    <w:rsid w:val="000F1261"/>
    <w:rsid w:val="000F1E0C"/>
    <w:rsid w:val="000F1F96"/>
    <w:rsid w:val="000F252C"/>
    <w:rsid w:val="000F2664"/>
    <w:rsid w:val="000F2E2B"/>
    <w:rsid w:val="000F31C5"/>
    <w:rsid w:val="000F39F0"/>
    <w:rsid w:val="000F4DE9"/>
    <w:rsid w:val="000F4E64"/>
    <w:rsid w:val="000F5338"/>
    <w:rsid w:val="000F6B71"/>
    <w:rsid w:val="000F7521"/>
    <w:rsid w:val="001016AC"/>
    <w:rsid w:val="0010198D"/>
    <w:rsid w:val="001025BC"/>
    <w:rsid w:val="0010289D"/>
    <w:rsid w:val="0010372D"/>
    <w:rsid w:val="0010404B"/>
    <w:rsid w:val="00104B47"/>
    <w:rsid w:val="00106AD3"/>
    <w:rsid w:val="001116A0"/>
    <w:rsid w:val="00111950"/>
    <w:rsid w:val="00112136"/>
    <w:rsid w:val="00114DBD"/>
    <w:rsid w:val="00115F29"/>
    <w:rsid w:val="0011678C"/>
    <w:rsid w:val="00116903"/>
    <w:rsid w:val="00116B21"/>
    <w:rsid w:val="00117528"/>
    <w:rsid w:val="00120906"/>
    <w:rsid w:val="00121377"/>
    <w:rsid w:val="001227DA"/>
    <w:rsid w:val="00124743"/>
    <w:rsid w:val="00124784"/>
    <w:rsid w:val="001255CB"/>
    <w:rsid w:val="00127735"/>
    <w:rsid w:val="00127993"/>
    <w:rsid w:val="00130097"/>
    <w:rsid w:val="0013031A"/>
    <w:rsid w:val="0013456F"/>
    <w:rsid w:val="001349F4"/>
    <w:rsid w:val="001352E8"/>
    <w:rsid w:val="00136619"/>
    <w:rsid w:val="001418A8"/>
    <w:rsid w:val="00141936"/>
    <w:rsid w:val="00141A2E"/>
    <w:rsid w:val="00143692"/>
    <w:rsid w:val="00144263"/>
    <w:rsid w:val="001467B2"/>
    <w:rsid w:val="0014731C"/>
    <w:rsid w:val="001509BA"/>
    <w:rsid w:val="00151141"/>
    <w:rsid w:val="00152D9A"/>
    <w:rsid w:val="00155108"/>
    <w:rsid w:val="001559EB"/>
    <w:rsid w:val="00155A2C"/>
    <w:rsid w:val="001563B8"/>
    <w:rsid w:val="001573F3"/>
    <w:rsid w:val="001611B1"/>
    <w:rsid w:val="00161D65"/>
    <w:rsid w:val="001631CA"/>
    <w:rsid w:val="00165AF6"/>
    <w:rsid w:val="001662E7"/>
    <w:rsid w:val="00166C91"/>
    <w:rsid w:val="001672E0"/>
    <w:rsid w:val="0016748A"/>
    <w:rsid w:val="001678FB"/>
    <w:rsid w:val="001679F4"/>
    <w:rsid w:val="00173C51"/>
    <w:rsid w:val="00174560"/>
    <w:rsid w:val="00174576"/>
    <w:rsid w:val="00174981"/>
    <w:rsid w:val="00174C2B"/>
    <w:rsid w:val="001767CB"/>
    <w:rsid w:val="00177159"/>
    <w:rsid w:val="00177383"/>
    <w:rsid w:val="00180286"/>
    <w:rsid w:val="0018085C"/>
    <w:rsid w:val="001821C1"/>
    <w:rsid w:val="00182C3F"/>
    <w:rsid w:val="00182DBB"/>
    <w:rsid w:val="00183E39"/>
    <w:rsid w:val="00183FC9"/>
    <w:rsid w:val="00185703"/>
    <w:rsid w:val="00185F99"/>
    <w:rsid w:val="001866AD"/>
    <w:rsid w:val="00190FF3"/>
    <w:rsid w:val="001927E9"/>
    <w:rsid w:val="001928C1"/>
    <w:rsid w:val="00193FA5"/>
    <w:rsid w:val="00194533"/>
    <w:rsid w:val="00194872"/>
    <w:rsid w:val="00194B9C"/>
    <w:rsid w:val="00195992"/>
    <w:rsid w:val="001966FE"/>
    <w:rsid w:val="00197110"/>
    <w:rsid w:val="001A1A1A"/>
    <w:rsid w:val="001A32D2"/>
    <w:rsid w:val="001A3661"/>
    <w:rsid w:val="001A3CF4"/>
    <w:rsid w:val="001A4986"/>
    <w:rsid w:val="001A5CB6"/>
    <w:rsid w:val="001A66BD"/>
    <w:rsid w:val="001A66F0"/>
    <w:rsid w:val="001A7A61"/>
    <w:rsid w:val="001B0077"/>
    <w:rsid w:val="001B0D73"/>
    <w:rsid w:val="001B0F3B"/>
    <w:rsid w:val="001B1903"/>
    <w:rsid w:val="001B205F"/>
    <w:rsid w:val="001B3684"/>
    <w:rsid w:val="001B489B"/>
    <w:rsid w:val="001B4C29"/>
    <w:rsid w:val="001B5184"/>
    <w:rsid w:val="001B53A8"/>
    <w:rsid w:val="001B60B7"/>
    <w:rsid w:val="001B6976"/>
    <w:rsid w:val="001C0091"/>
    <w:rsid w:val="001C050A"/>
    <w:rsid w:val="001C2339"/>
    <w:rsid w:val="001C2AB4"/>
    <w:rsid w:val="001C2CE2"/>
    <w:rsid w:val="001C383F"/>
    <w:rsid w:val="001C4A58"/>
    <w:rsid w:val="001C5062"/>
    <w:rsid w:val="001C6B3F"/>
    <w:rsid w:val="001C742F"/>
    <w:rsid w:val="001D0DE1"/>
    <w:rsid w:val="001D2AC8"/>
    <w:rsid w:val="001D31D7"/>
    <w:rsid w:val="001D5B9D"/>
    <w:rsid w:val="001E06BF"/>
    <w:rsid w:val="001E091C"/>
    <w:rsid w:val="001E10A1"/>
    <w:rsid w:val="001E1509"/>
    <w:rsid w:val="001E1512"/>
    <w:rsid w:val="001E1C37"/>
    <w:rsid w:val="001E3808"/>
    <w:rsid w:val="001E39DA"/>
    <w:rsid w:val="001E6726"/>
    <w:rsid w:val="001E6959"/>
    <w:rsid w:val="001E6BE9"/>
    <w:rsid w:val="001F01CE"/>
    <w:rsid w:val="001F02BC"/>
    <w:rsid w:val="001F2ACC"/>
    <w:rsid w:val="001F2C51"/>
    <w:rsid w:val="001F3A08"/>
    <w:rsid w:val="001F41AF"/>
    <w:rsid w:val="001F446D"/>
    <w:rsid w:val="001F5F56"/>
    <w:rsid w:val="001F67A3"/>
    <w:rsid w:val="001F6BC6"/>
    <w:rsid w:val="001F6D8B"/>
    <w:rsid w:val="001F765F"/>
    <w:rsid w:val="00200F08"/>
    <w:rsid w:val="00201A6D"/>
    <w:rsid w:val="00201B39"/>
    <w:rsid w:val="002029C9"/>
    <w:rsid w:val="00203C69"/>
    <w:rsid w:val="00204C9B"/>
    <w:rsid w:val="002061C2"/>
    <w:rsid w:val="00211370"/>
    <w:rsid w:val="0021384D"/>
    <w:rsid w:val="00214A2D"/>
    <w:rsid w:val="00215A27"/>
    <w:rsid w:val="00216BF2"/>
    <w:rsid w:val="00216FDD"/>
    <w:rsid w:val="0021733D"/>
    <w:rsid w:val="002204C1"/>
    <w:rsid w:val="002208F2"/>
    <w:rsid w:val="00220DF5"/>
    <w:rsid w:val="00222AD6"/>
    <w:rsid w:val="002233EB"/>
    <w:rsid w:val="002239B5"/>
    <w:rsid w:val="00224A07"/>
    <w:rsid w:val="00224EAE"/>
    <w:rsid w:val="0022527B"/>
    <w:rsid w:val="00226383"/>
    <w:rsid w:val="002264DD"/>
    <w:rsid w:val="0022757A"/>
    <w:rsid w:val="0023115E"/>
    <w:rsid w:val="00231DDA"/>
    <w:rsid w:val="00232B8F"/>
    <w:rsid w:val="00232D5E"/>
    <w:rsid w:val="002331AE"/>
    <w:rsid w:val="00236F9A"/>
    <w:rsid w:val="0024227A"/>
    <w:rsid w:val="002429A7"/>
    <w:rsid w:val="00242DD8"/>
    <w:rsid w:val="002441B4"/>
    <w:rsid w:val="00244443"/>
    <w:rsid w:val="00244C5A"/>
    <w:rsid w:val="00244E36"/>
    <w:rsid w:val="0024683C"/>
    <w:rsid w:val="00247172"/>
    <w:rsid w:val="0024725F"/>
    <w:rsid w:val="002472D7"/>
    <w:rsid w:val="00247ABF"/>
    <w:rsid w:val="00247B39"/>
    <w:rsid w:val="00247DB7"/>
    <w:rsid w:val="002500CE"/>
    <w:rsid w:val="00251544"/>
    <w:rsid w:val="0025287B"/>
    <w:rsid w:val="002529C4"/>
    <w:rsid w:val="00253A47"/>
    <w:rsid w:val="00254266"/>
    <w:rsid w:val="0025456E"/>
    <w:rsid w:val="00256619"/>
    <w:rsid w:val="00257428"/>
    <w:rsid w:val="00261243"/>
    <w:rsid w:val="00261504"/>
    <w:rsid w:val="002620F9"/>
    <w:rsid w:val="00263089"/>
    <w:rsid w:val="00263D23"/>
    <w:rsid w:val="002646CB"/>
    <w:rsid w:val="00264D41"/>
    <w:rsid w:val="00266974"/>
    <w:rsid w:val="00266EBC"/>
    <w:rsid w:val="002672EC"/>
    <w:rsid w:val="0026754F"/>
    <w:rsid w:val="00267AB6"/>
    <w:rsid w:val="0027068B"/>
    <w:rsid w:val="00271BAF"/>
    <w:rsid w:val="002727FE"/>
    <w:rsid w:val="00272C24"/>
    <w:rsid w:val="00272C91"/>
    <w:rsid w:val="00273C6E"/>
    <w:rsid w:val="00274311"/>
    <w:rsid w:val="00274863"/>
    <w:rsid w:val="00276392"/>
    <w:rsid w:val="002768C0"/>
    <w:rsid w:val="00276C37"/>
    <w:rsid w:val="0027743D"/>
    <w:rsid w:val="00277A7E"/>
    <w:rsid w:val="00280A7A"/>
    <w:rsid w:val="0028130E"/>
    <w:rsid w:val="00282555"/>
    <w:rsid w:val="002830F1"/>
    <w:rsid w:val="00283578"/>
    <w:rsid w:val="00283EAE"/>
    <w:rsid w:val="002844E4"/>
    <w:rsid w:val="00284569"/>
    <w:rsid w:val="002862F0"/>
    <w:rsid w:val="00287753"/>
    <w:rsid w:val="00287915"/>
    <w:rsid w:val="00287C8C"/>
    <w:rsid w:val="00287F2C"/>
    <w:rsid w:val="0029087B"/>
    <w:rsid w:val="00291B2F"/>
    <w:rsid w:val="00291C3C"/>
    <w:rsid w:val="002931F0"/>
    <w:rsid w:val="0029423C"/>
    <w:rsid w:val="00294304"/>
    <w:rsid w:val="0029537D"/>
    <w:rsid w:val="00295C91"/>
    <w:rsid w:val="002A0700"/>
    <w:rsid w:val="002A0748"/>
    <w:rsid w:val="002A2FBE"/>
    <w:rsid w:val="002B0177"/>
    <w:rsid w:val="002B01CF"/>
    <w:rsid w:val="002B0BA7"/>
    <w:rsid w:val="002B106A"/>
    <w:rsid w:val="002B2AB6"/>
    <w:rsid w:val="002B336F"/>
    <w:rsid w:val="002B3CF2"/>
    <w:rsid w:val="002B7470"/>
    <w:rsid w:val="002C1203"/>
    <w:rsid w:val="002C4B72"/>
    <w:rsid w:val="002C5A45"/>
    <w:rsid w:val="002C5F97"/>
    <w:rsid w:val="002C6714"/>
    <w:rsid w:val="002C68A9"/>
    <w:rsid w:val="002C7AC5"/>
    <w:rsid w:val="002D1BB8"/>
    <w:rsid w:val="002D1FD9"/>
    <w:rsid w:val="002D4CB4"/>
    <w:rsid w:val="002D6E04"/>
    <w:rsid w:val="002E131D"/>
    <w:rsid w:val="002E1AA1"/>
    <w:rsid w:val="002E2312"/>
    <w:rsid w:val="002E3E9E"/>
    <w:rsid w:val="002E4392"/>
    <w:rsid w:val="002E4857"/>
    <w:rsid w:val="002E4D64"/>
    <w:rsid w:val="002E5621"/>
    <w:rsid w:val="002E6B22"/>
    <w:rsid w:val="002E6D47"/>
    <w:rsid w:val="002E77FC"/>
    <w:rsid w:val="002F1DDA"/>
    <w:rsid w:val="002F3C57"/>
    <w:rsid w:val="002F5786"/>
    <w:rsid w:val="002F602E"/>
    <w:rsid w:val="002F6A17"/>
    <w:rsid w:val="002F6D83"/>
    <w:rsid w:val="003001D9"/>
    <w:rsid w:val="00300545"/>
    <w:rsid w:val="00300B92"/>
    <w:rsid w:val="00300D9E"/>
    <w:rsid w:val="003012F8"/>
    <w:rsid w:val="003026B0"/>
    <w:rsid w:val="003035AE"/>
    <w:rsid w:val="003046AB"/>
    <w:rsid w:val="003049A4"/>
    <w:rsid w:val="00304C6D"/>
    <w:rsid w:val="0030549F"/>
    <w:rsid w:val="003055AE"/>
    <w:rsid w:val="003069F1"/>
    <w:rsid w:val="00307BE3"/>
    <w:rsid w:val="00307DE4"/>
    <w:rsid w:val="00310237"/>
    <w:rsid w:val="00310A75"/>
    <w:rsid w:val="003123B5"/>
    <w:rsid w:val="00312C0C"/>
    <w:rsid w:val="00315D48"/>
    <w:rsid w:val="00315E81"/>
    <w:rsid w:val="00320526"/>
    <w:rsid w:val="00322AA9"/>
    <w:rsid w:val="00323803"/>
    <w:rsid w:val="003238B2"/>
    <w:rsid w:val="00323B19"/>
    <w:rsid w:val="00323ED8"/>
    <w:rsid w:val="00324F98"/>
    <w:rsid w:val="00325F90"/>
    <w:rsid w:val="00326310"/>
    <w:rsid w:val="00326649"/>
    <w:rsid w:val="00327495"/>
    <w:rsid w:val="00327B94"/>
    <w:rsid w:val="00330531"/>
    <w:rsid w:val="003305B2"/>
    <w:rsid w:val="00330E8F"/>
    <w:rsid w:val="00331D57"/>
    <w:rsid w:val="0033335A"/>
    <w:rsid w:val="00333B16"/>
    <w:rsid w:val="00333B5D"/>
    <w:rsid w:val="0033617B"/>
    <w:rsid w:val="00341131"/>
    <w:rsid w:val="00342CD4"/>
    <w:rsid w:val="00343241"/>
    <w:rsid w:val="0034414C"/>
    <w:rsid w:val="003449FD"/>
    <w:rsid w:val="00345114"/>
    <w:rsid w:val="0034546C"/>
    <w:rsid w:val="00345A92"/>
    <w:rsid w:val="00345D6C"/>
    <w:rsid w:val="00346927"/>
    <w:rsid w:val="00347B33"/>
    <w:rsid w:val="003507E4"/>
    <w:rsid w:val="00353983"/>
    <w:rsid w:val="00354EA3"/>
    <w:rsid w:val="00356A87"/>
    <w:rsid w:val="00356B25"/>
    <w:rsid w:val="00357D8A"/>
    <w:rsid w:val="00357FF1"/>
    <w:rsid w:val="00360160"/>
    <w:rsid w:val="0036030C"/>
    <w:rsid w:val="00361291"/>
    <w:rsid w:val="00362591"/>
    <w:rsid w:val="00363507"/>
    <w:rsid w:val="00363C63"/>
    <w:rsid w:val="003640E3"/>
    <w:rsid w:val="0036410D"/>
    <w:rsid w:val="003644DF"/>
    <w:rsid w:val="00364892"/>
    <w:rsid w:val="00364B3E"/>
    <w:rsid w:val="00364C66"/>
    <w:rsid w:val="00365025"/>
    <w:rsid w:val="00366550"/>
    <w:rsid w:val="00366E56"/>
    <w:rsid w:val="00370C7E"/>
    <w:rsid w:val="00371D49"/>
    <w:rsid w:val="00372254"/>
    <w:rsid w:val="00372E1A"/>
    <w:rsid w:val="003736B3"/>
    <w:rsid w:val="00373E0E"/>
    <w:rsid w:val="00373E6E"/>
    <w:rsid w:val="00375AAD"/>
    <w:rsid w:val="00375BB4"/>
    <w:rsid w:val="00375CFF"/>
    <w:rsid w:val="00377BF1"/>
    <w:rsid w:val="003800F7"/>
    <w:rsid w:val="00381163"/>
    <w:rsid w:val="00381767"/>
    <w:rsid w:val="00381C95"/>
    <w:rsid w:val="00381E96"/>
    <w:rsid w:val="003837F4"/>
    <w:rsid w:val="00385B69"/>
    <w:rsid w:val="003860A2"/>
    <w:rsid w:val="00386F56"/>
    <w:rsid w:val="00386FCB"/>
    <w:rsid w:val="00387257"/>
    <w:rsid w:val="00387311"/>
    <w:rsid w:val="00390401"/>
    <w:rsid w:val="00391147"/>
    <w:rsid w:val="00391BDD"/>
    <w:rsid w:val="003920A4"/>
    <w:rsid w:val="003920BD"/>
    <w:rsid w:val="0039269A"/>
    <w:rsid w:val="00393C43"/>
    <w:rsid w:val="0039513F"/>
    <w:rsid w:val="003953B5"/>
    <w:rsid w:val="00396961"/>
    <w:rsid w:val="003969BF"/>
    <w:rsid w:val="00397C7F"/>
    <w:rsid w:val="003A11E0"/>
    <w:rsid w:val="003A18CF"/>
    <w:rsid w:val="003A1F76"/>
    <w:rsid w:val="003A33A9"/>
    <w:rsid w:val="003A3C4A"/>
    <w:rsid w:val="003A3E5C"/>
    <w:rsid w:val="003A5E42"/>
    <w:rsid w:val="003A6CE2"/>
    <w:rsid w:val="003B1207"/>
    <w:rsid w:val="003B12C2"/>
    <w:rsid w:val="003B1A17"/>
    <w:rsid w:val="003B2570"/>
    <w:rsid w:val="003B2D86"/>
    <w:rsid w:val="003B4839"/>
    <w:rsid w:val="003B4C88"/>
    <w:rsid w:val="003B64AC"/>
    <w:rsid w:val="003B6658"/>
    <w:rsid w:val="003B6AB0"/>
    <w:rsid w:val="003B6D37"/>
    <w:rsid w:val="003B70C5"/>
    <w:rsid w:val="003B75DE"/>
    <w:rsid w:val="003B7CC5"/>
    <w:rsid w:val="003C0FCB"/>
    <w:rsid w:val="003C1C8F"/>
    <w:rsid w:val="003C2630"/>
    <w:rsid w:val="003C3207"/>
    <w:rsid w:val="003C3340"/>
    <w:rsid w:val="003C4447"/>
    <w:rsid w:val="003C5165"/>
    <w:rsid w:val="003C5BD7"/>
    <w:rsid w:val="003C5CF6"/>
    <w:rsid w:val="003C7AC5"/>
    <w:rsid w:val="003C7B6C"/>
    <w:rsid w:val="003D0401"/>
    <w:rsid w:val="003D070D"/>
    <w:rsid w:val="003D11DC"/>
    <w:rsid w:val="003D189A"/>
    <w:rsid w:val="003D2FBD"/>
    <w:rsid w:val="003D3295"/>
    <w:rsid w:val="003D465A"/>
    <w:rsid w:val="003D4861"/>
    <w:rsid w:val="003D5E2E"/>
    <w:rsid w:val="003D60CE"/>
    <w:rsid w:val="003E1551"/>
    <w:rsid w:val="003E17C8"/>
    <w:rsid w:val="003E1CC1"/>
    <w:rsid w:val="003E2145"/>
    <w:rsid w:val="003E337C"/>
    <w:rsid w:val="003E36EE"/>
    <w:rsid w:val="003E4F45"/>
    <w:rsid w:val="003E5925"/>
    <w:rsid w:val="003E6295"/>
    <w:rsid w:val="003E68B0"/>
    <w:rsid w:val="003E6D42"/>
    <w:rsid w:val="003E7F5B"/>
    <w:rsid w:val="003F0F8C"/>
    <w:rsid w:val="003F2656"/>
    <w:rsid w:val="003F40D8"/>
    <w:rsid w:val="003F5C95"/>
    <w:rsid w:val="003F5F67"/>
    <w:rsid w:val="003F65B8"/>
    <w:rsid w:val="0040020A"/>
    <w:rsid w:val="0040064C"/>
    <w:rsid w:val="0040337C"/>
    <w:rsid w:val="00403B6B"/>
    <w:rsid w:val="00405023"/>
    <w:rsid w:val="00405833"/>
    <w:rsid w:val="00405DDB"/>
    <w:rsid w:val="00405F67"/>
    <w:rsid w:val="004110F6"/>
    <w:rsid w:val="00411F4A"/>
    <w:rsid w:val="0041358D"/>
    <w:rsid w:val="00413755"/>
    <w:rsid w:val="00414BF7"/>
    <w:rsid w:val="00414F33"/>
    <w:rsid w:val="004151C8"/>
    <w:rsid w:val="00416861"/>
    <w:rsid w:val="00423A42"/>
    <w:rsid w:val="004262A7"/>
    <w:rsid w:val="00426DD0"/>
    <w:rsid w:val="00426E3B"/>
    <w:rsid w:val="00426F31"/>
    <w:rsid w:val="004271A5"/>
    <w:rsid w:val="00427362"/>
    <w:rsid w:val="004317D3"/>
    <w:rsid w:val="00431A55"/>
    <w:rsid w:val="004329FE"/>
    <w:rsid w:val="00432ABF"/>
    <w:rsid w:val="004349D5"/>
    <w:rsid w:val="004365AD"/>
    <w:rsid w:val="00436B34"/>
    <w:rsid w:val="00437969"/>
    <w:rsid w:val="00440066"/>
    <w:rsid w:val="004412D3"/>
    <w:rsid w:val="0044313C"/>
    <w:rsid w:val="004440A6"/>
    <w:rsid w:val="004449C6"/>
    <w:rsid w:val="00444F64"/>
    <w:rsid w:val="0044618B"/>
    <w:rsid w:val="00447005"/>
    <w:rsid w:val="00447204"/>
    <w:rsid w:val="00447573"/>
    <w:rsid w:val="0044789D"/>
    <w:rsid w:val="00447A0F"/>
    <w:rsid w:val="004502CC"/>
    <w:rsid w:val="00451ED0"/>
    <w:rsid w:val="004521CD"/>
    <w:rsid w:val="00453A9A"/>
    <w:rsid w:val="00454255"/>
    <w:rsid w:val="00455431"/>
    <w:rsid w:val="0045644B"/>
    <w:rsid w:val="00457480"/>
    <w:rsid w:val="00457F15"/>
    <w:rsid w:val="00461495"/>
    <w:rsid w:val="0046182E"/>
    <w:rsid w:val="00461AC8"/>
    <w:rsid w:val="00461FAB"/>
    <w:rsid w:val="004620BF"/>
    <w:rsid w:val="004623CE"/>
    <w:rsid w:val="00463A30"/>
    <w:rsid w:val="00463D5F"/>
    <w:rsid w:val="00465B77"/>
    <w:rsid w:val="00465FD9"/>
    <w:rsid w:val="00466EAC"/>
    <w:rsid w:val="0047021D"/>
    <w:rsid w:val="004704FA"/>
    <w:rsid w:val="00471B7B"/>
    <w:rsid w:val="00475B7F"/>
    <w:rsid w:val="00481ACF"/>
    <w:rsid w:val="00481C31"/>
    <w:rsid w:val="004849E9"/>
    <w:rsid w:val="0048654F"/>
    <w:rsid w:val="00490439"/>
    <w:rsid w:val="0049072B"/>
    <w:rsid w:val="004917DF"/>
    <w:rsid w:val="00492910"/>
    <w:rsid w:val="00493A52"/>
    <w:rsid w:val="00494F44"/>
    <w:rsid w:val="004979D0"/>
    <w:rsid w:val="00497AEA"/>
    <w:rsid w:val="004A00B8"/>
    <w:rsid w:val="004A0499"/>
    <w:rsid w:val="004A14DE"/>
    <w:rsid w:val="004A16EE"/>
    <w:rsid w:val="004A2C8B"/>
    <w:rsid w:val="004A3B41"/>
    <w:rsid w:val="004A42CC"/>
    <w:rsid w:val="004A5B4E"/>
    <w:rsid w:val="004A7D9C"/>
    <w:rsid w:val="004B03A0"/>
    <w:rsid w:val="004B0C02"/>
    <w:rsid w:val="004B255C"/>
    <w:rsid w:val="004B258D"/>
    <w:rsid w:val="004B32D0"/>
    <w:rsid w:val="004B3EBE"/>
    <w:rsid w:val="004B4086"/>
    <w:rsid w:val="004B5D22"/>
    <w:rsid w:val="004B6AA9"/>
    <w:rsid w:val="004C3F38"/>
    <w:rsid w:val="004C538D"/>
    <w:rsid w:val="004C7588"/>
    <w:rsid w:val="004C75EA"/>
    <w:rsid w:val="004D02BA"/>
    <w:rsid w:val="004D049E"/>
    <w:rsid w:val="004D0518"/>
    <w:rsid w:val="004D1531"/>
    <w:rsid w:val="004D22F8"/>
    <w:rsid w:val="004D3AD0"/>
    <w:rsid w:val="004D5361"/>
    <w:rsid w:val="004D640B"/>
    <w:rsid w:val="004D7906"/>
    <w:rsid w:val="004E00EA"/>
    <w:rsid w:val="004E0AF7"/>
    <w:rsid w:val="004E0EAB"/>
    <w:rsid w:val="004E1D81"/>
    <w:rsid w:val="004E3677"/>
    <w:rsid w:val="004E374F"/>
    <w:rsid w:val="004E4612"/>
    <w:rsid w:val="004F16EF"/>
    <w:rsid w:val="004F2D0B"/>
    <w:rsid w:val="004F3E3E"/>
    <w:rsid w:val="004F4892"/>
    <w:rsid w:val="004F4A49"/>
    <w:rsid w:val="004F579C"/>
    <w:rsid w:val="004F73FF"/>
    <w:rsid w:val="004F7470"/>
    <w:rsid w:val="004F7A92"/>
    <w:rsid w:val="004F7E0D"/>
    <w:rsid w:val="004F7ED1"/>
    <w:rsid w:val="0050164F"/>
    <w:rsid w:val="0050203B"/>
    <w:rsid w:val="00503030"/>
    <w:rsid w:val="00503392"/>
    <w:rsid w:val="00504111"/>
    <w:rsid w:val="00504B7B"/>
    <w:rsid w:val="0050500D"/>
    <w:rsid w:val="005060F6"/>
    <w:rsid w:val="00507F13"/>
    <w:rsid w:val="0051004D"/>
    <w:rsid w:val="0051173E"/>
    <w:rsid w:val="0051254A"/>
    <w:rsid w:val="00512B26"/>
    <w:rsid w:val="005138F9"/>
    <w:rsid w:val="00514D20"/>
    <w:rsid w:val="00514FE8"/>
    <w:rsid w:val="005157A3"/>
    <w:rsid w:val="00515D79"/>
    <w:rsid w:val="005165EA"/>
    <w:rsid w:val="005174FB"/>
    <w:rsid w:val="0052003B"/>
    <w:rsid w:val="00520A3D"/>
    <w:rsid w:val="00523141"/>
    <w:rsid w:val="00524193"/>
    <w:rsid w:val="00526901"/>
    <w:rsid w:val="00526CE6"/>
    <w:rsid w:val="005314E0"/>
    <w:rsid w:val="00531B42"/>
    <w:rsid w:val="00532AA5"/>
    <w:rsid w:val="00532EDA"/>
    <w:rsid w:val="00533037"/>
    <w:rsid w:val="005344E0"/>
    <w:rsid w:val="00534606"/>
    <w:rsid w:val="00535A8B"/>
    <w:rsid w:val="00535E74"/>
    <w:rsid w:val="0053616C"/>
    <w:rsid w:val="00536F6A"/>
    <w:rsid w:val="00537B54"/>
    <w:rsid w:val="00537EB7"/>
    <w:rsid w:val="00542081"/>
    <w:rsid w:val="00542F53"/>
    <w:rsid w:val="005440E1"/>
    <w:rsid w:val="00545541"/>
    <w:rsid w:val="00547035"/>
    <w:rsid w:val="00547915"/>
    <w:rsid w:val="005509F5"/>
    <w:rsid w:val="00551366"/>
    <w:rsid w:val="00552B80"/>
    <w:rsid w:val="00553494"/>
    <w:rsid w:val="005535A4"/>
    <w:rsid w:val="0055409F"/>
    <w:rsid w:val="005553B3"/>
    <w:rsid w:val="00555B5D"/>
    <w:rsid w:val="00555C97"/>
    <w:rsid w:val="00556ACC"/>
    <w:rsid w:val="00557C5E"/>
    <w:rsid w:val="00560205"/>
    <w:rsid w:val="00561CD3"/>
    <w:rsid w:val="005621C7"/>
    <w:rsid w:val="005627D3"/>
    <w:rsid w:val="00562886"/>
    <w:rsid w:val="0056316A"/>
    <w:rsid w:val="00563B4A"/>
    <w:rsid w:val="00565424"/>
    <w:rsid w:val="00565AB0"/>
    <w:rsid w:val="0056676F"/>
    <w:rsid w:val="0056742C"/>
    <w:rsid w:val="00567C1A"/>
    <w:rsid w:val="00570A05"/>
    <w:rsid w:val="0057229E"/>
    <w:rsid w:val="00574477"/>
    <w:rsid w:val="005750CC"/>
    <w:rsid w:val="00575AA8"/>
    <w:rsid w:val="00576D5D"/>
    <w:rsid w:val="00576DF3"/>
    <w:rsid w:val="00577279"/>
    <w:rsid w:val="00577BFE"/>
    <w:rsid w:val="005800D8"/>
    <w:rsid w:val="005804E7"/>
    <w:rsid w:val="00580CDE"/>
    <w:rsid w:val="005835BD"/>
    <w:rsid w:val="00583C8E"/>
    <w:rsid w:val="00583D05"/>
    <w:rsid w:val="00585DB3"/>
    <w:rsid w:val="00586AE6"/>
    <w:rsid w:val="00586AEC"/>
    <w:rsid w:val="0058782E"/>
    <w:rsid w:val="00590B22"/>
    <w:rsid w:val="00591934"/>
    <w:rsid w:val="005923D0"/>
    <w:rsid w:val="0059281B"/>
    <w:rsid w:val="00592B2B"/>
    <w:rsid w:val="0059403E"/>
    <w:rsid w:val="0059583B"/>
    <w:rsid w:val="00595A05"/>
    <w:rsid w:val="00595C95"/>
    <w:rsid w:val="0059607C"/>
    <w:rsid w:val="00596F57"/>
    <w:rsid w:val="005A1657"/>
    <w:rsid w:val="005A1711"/>
    <w:rsid w:val="005A2E38"/>
    <w:rsid w:val="005A41A5"/>
    <w:rsid w:val="005A5D82"/>
    <w:rsid w:val="005A674B"/>
    <w:rsid w:val="005A6833"/>
    <w:rsid w:val="005A6F86"/>
    <w:rsid w:val="005B0A2C"/>
    <w:rsid w:val="005B0ABF"/>
    <w:rsid w:val="005B3690"/>
    <w:rsid w:val="005B4422"/>
    <w:rsid w:val="005B541B"/>
    <w:rsid w:val="005B586E"/>
    <w:rsid w:val="005B5A5E"/>
    <w:rsid w:val="005B6F75"/>
    <w:rsid w:val="005C05E4"/>
    <w:rsid w:val="005C0CDC"/>
    <w:rsid w:val="005C0CEB"/>
    <w:rsid w:val="005C1B7A"/>
    <w:rsid w:val="005C202A"/>
    <w:rsid w:val="005C47BD"/>
    <w:rsid w:val="005C5B04"/>
    <w:rsid w:val="005C5FD1"/>
    <w:rsid w:val="005C66AA"/>
    <w:rsid w:val="005C752E"/>
    <w:rsid w:val="005C7DD9"/>
    <w:rsid w:val="005D29AD"/>
    <w:rsid w:val="005D33AA"/>
    <w:rsid w:val="005D3A11"/>
    <w:rsid w:val="005D3E8E"/>
    <w:rsid w:val="005D4DCF"/>
    <w:rsid w:val="005D5185"/>
    <w:rsid w:val="005D6A38"/>
    <w:rsid w:val="005D6A46"/>
    <w:rsid w:val="005D7785"/>
    <w:rsid w:val="005E07C7"/>
    <w:rsid w:val="005E0F50"/>
    <w:rsid w:val="005E1B5A"/>
    <w:rsid w:val="005E2515"/>
    <w:rsid w:val="005E259C"/>
    <w:rsid w:val="005E38B0"/>
    <w:rsid w:val="005E431E"/>
    <w:rsid w:val="005E4A9A"/>
    <w:rsid w:val="005E52AC"/>
    <w:rsid w:val="005E6B00"/>
    <w:rsid w:val="005E73D7"/>
    <w:rsid w:val="005E74F3"/>
    <w:rsid w:val="005F08F2"/>
    <w:rsid w:val="005F0F68"/>
    <w:rsid w:val="005F221A"/>
    <w:rsid w:val="005F25A8"/>
    <w:rsid w:val="005F30D5"/>
    <w:rsid w:val="005F3130"/>
    <w:rsid w:val="005F4F70"/>
    <w:rsid w:val="005F595E"/>
    <w:rsid w:val="005F5C05"/>
    <w:rsid w:val="00600306"/>
    <w:rsid w:val="00600D1E"/>
    <w:rsid w:val="0060148C"/>
    <w:rsid w:val="00601A88"/>
    <w:rsid w:val="0060306C"/>
    <w:rsid w:val="0060308D"/>
    <w:rsid w:val="00603230"/>
    <w:rsid w:val="00604346"/>
    <w:rsid w:val="006047F7"/>
    <w:rsid w:val="00607C49"/>
    <w:rsid w:val="00607D20"/>
    <w:rsid w:val="00607EA3"/>
    <w:rsid w:val="00610380"/>
    <w:rsid w:val="00610A09"/>
    <w:rsid w:val="00611783"/>
    <w:rsid w:val="00611ED2"/>
    <w:rsid w:val="006121AF"/>
    <w:rsid w:val="00613A13"/>
    <w:rsid w:val="0061441D"/>
    <w:rsid w:val="00614ACD"/>
    <w:rsid w:val="006151EB"/>
    <w:rsid w:val="00617F86"/>
    <w:rsid w:val="00620986"/>
    <w:rsid w:val="0062144B"/>
    <w:rsid w:val="00622A6C"/>
    <w:rsid w:val="00622C7B"/>
    <w:rsid w:val="006234B0"/>
    <w:rsid w:val="00623968"/>
    <w:rsid w:val="00624052"/>
    <w:rsid w:val="006247CE"/>
    <w:rsid w:val="00624E60"/>
    <w:rsid w:val="00624F26"/>
    <w:rsid w:val="006254CA"/>
    <w:rsid w:val="00625CE2"/>
    <w:rsid w:val="00626611"/>
    <w:rsid w:val="006267E2"/>
    <w:rsid w:val="00627365"/>
    <w:rsid w:val="00627398"/>
    <w:rsid w:val="006275C4"/>
    <w:rsid w:val="00627665"/>
    <w:rsid w:val="00627EB8"/>
    <w:rsid w:val="006309DE"/>
    <w:rsid w:val="00630EC1"/>
    <w:rsid w:val="0063124A"/>
    <w:rsid w:val="00631E7A"/>
    <w:rsid w:val="00631EBF"/>
    <w:rsid w:val="00633E94"/>
    <w:rsid w:val="006341D6"/>
    <w:rsid w:val="00635308"/>
    <w:rsid w:val="00635541"/>
    <w:rsid w:val="00637D2C"/>
    <w:rsid w:val="006412D1"/>
    <w:rsid w:val="00643721"/>
    <w:rsid w:val="006447A1"/>
    <w:rsid w:val="0064531F"/>
    <w:rsid w:val="00645D73"/>
    <w:rsid w:val="00646436"/>
    <w:rsid w:val="00650619"/>
    <w:rsid w:val="00650660"/>
    <w:rsid w:val="00650FD8"/>
    <w:rsid w:val="006518D2"/>
    <w:rsid w:val="006528C5"/>
    <w:rsid w:val="006530DF"/>
    <w:rsid w:val="00653A86"/>
    <w:rsid w:val="00653E71"/>
    <w:rsid w:val="00654A7A"/>
    <w:rsid w:val="00655C1F"/>
    <w:rsid w:val="0065607B"/>
    <w:rsid w:val="00656911"/>
    <w:rsid w:val="00657B43"/>
    <w:rsid w:val="00661D02"/>
    <w:rsid w:val="006636F2"/>
    <w:rsid w:val="00664230"/>
    <w:rsid w:val="006643C8"/>
    <w:rsid w:val="00664AA7"/>
    <w:rsid w:val="00665256"/>
    <w:rsid w:val="00665639"/>
    <w:rsid w:val="00666874"/>
    <w:rsid w:val="00667B87"/>
    <w:rsid w:val="0067159E"/>
    <w:rsid w:val="006724E0"/>
    <w:rsid w:val="0067370E"/>
    <w:rsid w:val="00674542"/>
    <w:rsid w:val="0067644D"/>
    <w:rsid w:val="006777BA"/>
    <w:rsid w:val="00680151"/>
    <w:rsid w:val="0068134B"/>
    <w:rsid w:val="006828C6"/>
    <w:rsid w:val="0068464E"/>
    <w:rsid w:val="006855EB"/>
    <w:rsid w:val="00685618"/>
    <w:rsid w:val="00685779"/>
    <w:rsid w:val="00685A66"/>
    <w:rsid w:val="00685BE0"/>
    <w:rsid w:val="00686155"/>
    <w:rsid w:val="006871F1"/>
    <w:rsid w:val="006876FA"/>
    <w:rsid w:val="00687F80"/>
    <w:rsid w:val="00691621"/>
    <w:rsid w:val="00692D76"/>
    <w:rsid w:val="00694A8F"/>
    <w:rsid w:val="00694BB7"/>
    <w:rsid w:val="006954B0"/>
    <w:rsid w:val="00697B42"/>
    <w:rsid w:val="006A0EBD"/>
    <w:rsid w:val="006A1231"/>
    <w:rsid w:val="006A1C73"/>
    <w:rsid w:val="006A2FD1"/>
    <w:rsid w:val="006A337D"/>
    <w:rsid w:val="006A4337"/>
    <w:rsid w:val="006A5FC6"/>
    <w:rsid w:val="006A5FEA"/>
    <w:rsid w:val="006A6304"/>
    <w:rsid w:val="006A6F60"/>
    <w:rsid w:val="006B02BD"/>
    <w:rsid w:val="006B06B0"/>
    <w:rsid w:val="006B08B5"/>
    <w:rsid w:val="006B1CF8"/>
    <w:rsid w:val="006B2838"/>
    <w:rsid w:val="006B2D7F"/>
    <w:rsid w:val="006B56B7"/>
    <w:rsid w:val="006B6F59"/>
    <w:rsid w:val="006B7A4B"/>
    <w:rsid w:val="006C004B"/>
    <w:rsid w:val="006C013F"/>
    <w:rsid w:val="006C12CE"/>
    <w:rsid w:val="006C452E"/>
    <w:rsid w:val="006C46BA"/>
    <w:rsid w:val="006C5283"/>
    <w:rsid w:val="006C666D"/>
    <w:rsid w:val="006C6CF4"/>
    <w:rsid w:val="006C7883"/>
    <w:rsid w:val="006C7A7B"/>
    <w:rsid w:val="006C7E64"/>
    <w:rsid w:val="006D036D"/>
    <w:rsid w:val="006D21A9"/>
    <w:rsid w:val="006D39C5"/>
    <w:rsid w:val="006D6E82"/>
    <w:rsid w:val="006D7175"/>
    <w:rsid w:val="006E0B9B"/>
    <w:rsid w:val="006E13B4"/>
    <w:rsid w:val="006E1C93"/>
    <w:rsid w:val="006E367D"/>
    <w:rsid w:val="006E3711"/>
    <w:rsid w:val="006E3BBA"/>
    <w:rsid w:val="006E49AA"/>
    <w:rsid w:val="006E7D0F"/>
    <w:rsid w:val="006E7DE7"/>
    <w:rsid w:val="006F292F"/>
    <w:rsid w:val="006F2A65"/>
    <w:rsid w:val="006F52FB"/>
    <w:rsid w:val="006F63CA"/>
    <w:rsid w:val="006F658C"/>
    <w:rsid w:val="006F67CC"/>
    <w:rsid w:val="006F6AC3"/>
    <w:rsid w:val="006F7474"/>
    <w:rsid w:val="006F7CF3"/>
    <w:rsid w:val="0070070C"/>
    <w:rsid w:val="00700F0B"/>
    <w:rsid w:val="00701871"/>
    <w:rsid w:val="00701C7E"/>
    <w:rsid w:val="00702261"/>
    <w:rsid w:val="007028A2"/>
    <w:rsid w:val="007038B4"/>
    <w:rsid w:val="00703A31"/>
    <w:rsid w:val="00703C70"/>
    <w:rsid w:val="007053F5"/>
    <w:rsid w:val="00705E7E"/>
    <w:rsid w:val="00707C78"/>
    <w:rsid w:val="00710383"/>
    <w:rsid w:val="00711835"/>
    <w:rsid w:val="0071571C"/>
    <w:rsid w:val="00715D4C"/>
    <w:rsid w:val="00715EE9"/>
    <w:rsid w:val="007168F7"/>
    <w:rsid w:val="00717AA4"/>
    <w:rsid w:val="00721E25"/>
    <w:rsid w:val="007232B5"/>
    <w:rsid w:val="007242A8"/>
    <w:rsid w:val="0072499D"/>
    <w:rsid w:val="007251E1"/>
    <w:rsid w:val="00726169"/>
    <w:rsid w:val="00726789"/>
    <w:rsid w:val="00727247"/>
    <w:rsid w:val="00727780"/>
    <w:rsid w:val="00730113"/>
    <w:rsid w:val="0073071C"/>
    <w:rsid w:val="00733F4C"/>
    <w:rsid w:val="0073423E"/>
    <w:rsid w:val="00736723"/>
    <w:rsid w:val="00740CCD"/>
    <w:rsid w:val="007410F3"/>
    <w:rsid w:val="00741604"/>
    <w:rsid w:val="00742795"/>
    <w:rsid w:val="0074288B"/>
    <w:rsid w:val="00742BD8"/>
    <w:rsid w:val="0074379A"/>
    <w:rsid w:val="00745970"/>
    <w:rsid w:val="007459C4"/>
    <w:rsid w:val="0074633F"/>
    <w:rsid w:val="00746DCD"/>
    <w:rsid w:val="0074713A"/>
    <w:rsid w:val="0074753B"/>
    <w:rsid w:val="00747667"/>
    <w:rsid w:val="0075216E"/>
    <w:rsid w:val="00752B70"/>
    <w:rsid w:val="00752B98"/>
    <w:rsid w:val="0075439A"/>
    <w:rsid w:val="00754C8C"/>
    <w:rsid w:val="00755966"/>
    <w:rsid w:val="00756122"/>
    <w:rsid w:val="0075667C"/>
    <w:rsid w:val="00756E12"/>
    <w:rsid w:val="00757205"/>
    <w:rsid w:val="00760326"/>
    <w:rsid w:val="007604EC"/>
    <w:rsid w:val="00763BBB"/>
    <w:rsid w:val="00764A36"/>
    <w:rsid w:val="00764EF2"/>
    <w:rsid w:val="007658B5"/>
    <w:rsid w:val="00765DE2"/>
    <w:rsid w:val="0077008D"/>
    <w:rsid w:val="007703C1"/>
    <w:rsid w:val="007706F8"/>
    <w:rsid w:val="0077496C"/>
    <w:rsid w:val="00775DE7"/>
    <w:rsid w:val="00775E27"/>
    <w:rsid w:val="00775FF5"/>
    <w:rsid w:val="00776607"/>
    <w:rsid w:val="00777D2C"/>
    <w:rsid w:val="00780452"/>
    <w:rsid w:val="00781518"/>
    <w:rsid w:val="00781E17"/>
    <w:rsid w:val="007827EB"/>
    <w:rsid w:val="007851B6"/>
    <w:rsid w:val="007852D5"/>
    <w:rsid w:val="00786332"/>
    <w:rsid w:val="00786BE3"/>
    <w:rsid w:val="007876ED"/>
    <w:rsid w:val="007879F6"/>
    <w:rsid w:val="00790D2D"/>
    <w:rsid w:val="007926C2"/>
    <w:rsid w:val="0079307D"/>
    <w:rsid w:val="00793E01"/>
    <w:rsid w:val="00793F89"/>
    <w:rsid w:val="007941A8"/>
    <w:rsid w:val="007947C8"/>
    <w:rsid w:val="0079543B"/>
    <w:rsid w:val="00795C9B"/>
    <w:rsid w:val="00796DA6"/>
    <w:rsid w:val="0079702A"/>
    <w:rsid w:val="00797D8F"/>
    <w:rsid w:val="007A01FA"/>
    <w:rsid w:val="007A0DB8"/>
    <w:rsid w:val="007A0EBC"/>
    <w:rsid w:val="007A2707"/>
    <w:rsid w:val="007A31CB"/>
    <w:rsid w:val="007A3AE5"/>
    <w:rsid w:val="007A3D98"/>
    <w:rsid w:val="007A5D1F"/>
    <w:rsid w:val="007A67D1"/>
    <w:rsid w:val="007A6D61"/>
    <w:rsid w:val="007B01FA"/>
    <w:rsid w:val="007B32BC"/>
    <w:rsid w:val="007B3417"/>
    <w:rsid w:val="007B354D"/>
    <w:rsid w:val="007B5814"/>
    <w:rsid w:val="007B5B8D"/>
    <w:rsid w:val="007B6AC8"/>
    <w:rsid w:val="007C10B0"/>
    <w:rsid w:val="007C1C5D"/>
    <w:rsid w:val="007C21EC"/>
    <w:rsid w:val="007C2AB4"/>
    <w:rsid w:val="007C2FC8"/>
    <w:rsid w:val="007C3FDF"/>
    <w:rsid w:val="007C4840"/>
    <w:rsid w:val="007C5730"/>
    <w:rsid w:val="007C6149"/>
    <w:rsid w:val="007C6D63"/>
    <w:rsid w:val="007C729F"/>
    <w:rsid w:val="007C7C07"/>
    <w:rsid w:val="007C7DD3"/>
    <w:rsid w:val="007D1665"/>
    <w:rsid w:val="007D1EF0"/>
    <w:rsid w:val="007D31F8"/>
    <w:rsid w:val="007D4132"/>
    <w:rsid w:val="007D429D"/>
    <w:rsid w:val="007D4844"/>
    <w:rsid w:val="007D6F84"/>
    <w:rsid w:val="007E29F4"/>
    <w:rsid w:val="007E403C"/>
    <w:rsid w:val="007E4E9A"/>
    <w:rsid w:val="007E5DB3"/>
    <w:rsid w:val="007E5EA7"/>
    <w:rsid w:val="007E62FC"/>
    <w:rsid w:val="007E6FF2"/>
    <w:rsid w:val="007E7037"/>
    <w:rsid w:val="007E7D0D"/>
    <w:rsid w:val="007F2526"/>
    <w:rsid w:val="007F43FC"/>
    <w:rsid w:val="007F4ACB"/>
    <w:rsid w:val="007F541B"/>
    <w:rsid w:val="007F7FB1"/>
    <w:rsid w:val="00800108"/>
    <w:rsid w:val="008001C3"/>
    <w:rsid w:val="008006BA"/>
    <w:rsid w:val="00803EE0"/>
    <w:rsid w:val="00806DDA"/>
    <w:rsid w:val="00807A5D"/>
    <w:rsid w:val="00811F2A"/>
    <w:rsid w:val="00813753"/>
    <w:rsid w:val="00814BF5"/>
    <w:rsid w:val="00815501"/>
    <w:rsid w:val="00815CD6"/>
    <w:rsid w:val="00817ECD"/>
    <w:rsid w:val="00822B23"/>
    <w:rsid w:val="00822C60"/>
    <w:rsid w:val="00826148"/>
    <w:rsid w:val="00826C6A"/>
    <w:rsid w:val="00826CA0"/>
    <w:rsid w:val="00826F0C"/>
    <w:rsid w:val="008306C1"/>
    <w:rsid w:val="00830CA9"/>
    <w:rsid w:val="00832763"/>
    <w:rsid w:val="00833A8D"/>
    <w:rsid w:val="0083436C"/>
    <w:rsid w:val="00834803"/>
    <w:rsid w:val="0083557E"/>
    <w:rsid w:val="0083595B"/>
    <w:rsid w:val="008359DC"/>
    <w:rsid w:val="008365D9"/>
    <w:rsid w:val="00836A2C"/>
    <w:rsid w:val="00837E04"/>
    <w:rsid w:val="008408C6"/>
    <w:rsid w:val="0084238A"/>
    <w:rsid w:val="00842678"/>
    <w:rsid w:val="00842BE9"/>
    <w:rsid w:val="00842E18"/>
    <w:rsid w:val="008438EB"/>
    <w:rsid w:val="00844685"/>
    <w:rsid w:val="008449EE"/>
    <w:rsid w:val="00844F09"/>
    <w:rsid w:val="0084526E"/>
    <w:rsid w:val="00846072"/>
    <w:rsid w:val="00846B58"/>
    <w:rsid w:val="00846CB3"/>
    <w:rsid w:val="00846DC8"/>
    <w:rsid w:val="0084724A"/>
    <w:rsid w:val="0084782E"/>
    <w:rsid w:val="00847E17"/>
    <w:rsid w:val="00850670"/>
    <w:rsid w:val="00851D8D"/>
    <w:rsid w:val="0085229F"/>
    <w:rsid w:val="00852F80"/>
    <w:rsid w:val="00853003"/>
    <w:rsid w:val="0085594A"/>
    <w:rsid w:val="00856502"/>
    <w:rsid w:val="008571E2"/>
    <w:rsid w:val="00857696"/>
    <w:rsid w:val="00857E9E"/>
    <w:rsid w:val="00857F22"/>
    <w:rsid w:val="008605C4"/>
    <w:rsid w:val="00860A95"/>
    <w:rsid w:val="00860C4E"/>
    <w:rsid w:val="00860EB1"/>
    <w:rsid w:val="0086100E"/>
    <w:rsid w:val="00862435"/>
    <w:rsid w:val="00863856"/>
    <w:rsid w:val="00864B05"/>
    <w:rsid w:val="0086521E"/>
    <w:rsid w:val="00865C87"/>
    <w:rsid w:val="00865FD1"/>
    <w:rsid w:val="008672AF"/>
    <w:rsid w:val="00867B76"/>
    <w:rsid w:val="00870F72"/>
    <w:rsid w:val="008720F2"/>
    <w:rsid w:val="0087217E"/>
    <w:rsid w:val="008725EC"/>
    <w:rsid w:val="00872607"/>
    <w:rsid w:val="00872E61"/>
    <w:rsid w:val="00872EA3"/>
    <w:rsid w:val="00873FE8"/>
    <w:rsid w:val="00874152"/>
    <w:rsid w:val="008745D3"/>
    <w:rsid w:val="00874D3F"/>
    <w:rsid w:val="00875A67"/>
    <w:rsid w:val="008763EA"/>
    <w:rsid w:val="00877CC6"/>
    <w:rsid w:val="008806C3"/>
    <w:rsid w:val="0088296F"/>
    <w:rsid w:val="00882985"/>
    <w:rsid w:val="00883BE2"/>
    <w:rsid w:val="00883E58"/>
    <w:rsid w:val="00884D8F"/>
    <w:rsid w:val="0088572C"/>
    <w:rsid w:val="00885BDA"/>
    <w:rsid w:val="00886CD2"/>
    <w:rsid w:val="008910AD"/>
    <w:rsid w:val="00891786"/>
    <w:rsid w:val="00891F20"/>
    <w:rsid w:val="0089225C"/>
    <w:rsid w:val="00893E01"/>
    <w:rsid w:val="00893F46"/>
    <w:rsid w:val="00897B62"/>
    <w:rsid w:val="008A201F"/>
    <w:rsid w:val="008A245B"/>
    <w:rsid w:val="008A3EDA"/>
    <w:rsid w:val="008A40F9"/>
    <w:rsid w:val="008A4488"/>
    <w:rsid w:val="008A49B2"/>
    <w:rsid w:val="008A4C89"/>
    <w:rsid w:val="008A4DA3"/>
    <w:rsid w:val="008A65D2"/>
    <w:rsid w:val="008A65EA"/>
    <w:rsid w:val="008A6B84"/>
    <w:rsid w:val="008B15E1"/>
    <w:rsid w:val="008B1882"/>
    <w:rsid w:val="008B18A5"/>
    <w:rsid w:val="008B3BE6"/>
    <w:rsid w:val="008B4A24"/>
    <w:rsid w:val="008B5647"/>
    <w:rsid w:val="008B5868"/>
    <w:rsid w:val="008B5CA2"/>
    <w:rsid w:val="008B608B"/>
    <w:rsid w:val="008B6565"/>
    <w:rsid w:val="008B6CB8"/>
    <w:rsid w:val="008C0099"/>
    <w:rsid w:val="008C0190"/>
    <w:rsid w:val="008C1AEA"/>
    <w:rsid w:val="008C34E7"/>
    <w:rsid w:val="008C3BF2"/>
    <w:rsid w:val="008C5904"/>
    <w:rsid w:val="008C5F13"/>
    <w:rsid w:val="008C61F0"/>
    <w:rsid w:val="008C727F"/>
    <w:rsid w:val="008D0C13"/>
    <w:rsid w:val="008D2EB2"/>
    <w:rsid w:val="008D2F6A"/>
    <w:rsid w:val="008D3A6A"/>
    <w:rsid w:val="008D3F8C"/>
    <w:rsid w:val="008D6A33"/>
    <w:rsid w:val="008D6B9B"/>
    <w:rsid w:val="008D7474"/>
    <w:rsid w:val="008D7BEA"/>
    <w:rsid w:val="008E173D"/>
    <w:rsid w:val="008E31EF"/>
    <w:rsid w:val="008E34F0"/>
    <w:rsid w:val="008E3998"/>
    <w:rsid w:val="008E3C68"/>
    <w:rsid w:val="008E40AB"/>
    <w:rsid w:val="008E475E"/>
    <w:rsid w:val="008E4848"/>
    <w:rsid w:val="008E4F07"/>
    <w:rsid w:val="008E505A"/>
    <w:rsid w:val="008E53B7"/>
    <w:rsid w:val="008E5492"/>
    <w:rsid w:val="008E562C"/>
    <w:rsid w:val="008E6066"/>
    <w:rsid w:val="008E6AEB"/>
    <w:rsid w:val="008F00D7"/>
    <w:rsid w:val="008F0149"/>
    <w:rsid w:val="008F01F0"/>
    <w:rsid w:val="008F0E8E"/>
    <w:rsid w:val="008F1AED"/>
    <w:rsid w:val="008F3744"/>
    <w:rsid w:val="008F4B17"/>
    <w:rsid w:val="008F51D5"/>
    <w:rsid w:val="008F5E64"/>
    <w:rsid w:val="00900E0C"/>
    <w:rsid w:val="00902D44"/>
    <w:rsid w:val="00907DEC"/>
    <w:rsid w:val="00910228"/>
    <w:rsid w:val="00911782"/>
    <w:rsid w:val="00913A5B"/>
    <w:rsid w:val="00913AED"/>
    <w:rsid w:val="009152F1"/>
    <w:rsid w:val="00916188"/>
    <w:rsid w:val="00916366"/>
    <w:rsid w:val="009210DA"/>
    <w:rsid w:val="0092114C"/>
    <w:rsid w:val="00921C92"/>
    <w:rsid w:val="00923CE1"/>
    <w:rsid w:val="009255F5"/>
    <w:rsid w:val="00925BE4"/>
    <w:rsid w:val="00927CAD"/>
    <w:rsid w:val="00927FC0"/>
    <w:rsid w:val="0093171D"/>
    <w:rsid w:val="0093332F"/>
    <w:rsid w:val="0093480A"/>
    <w:rsid w:val="0093558B"/>
    <w:rsid w:val="00935B3D"/>
    <w:rsid w:val="00936590"/>
    <w:rsid w:val="00936E9D"/>
    <w:rsid w:val="0093702B"/>
    <w:rsid w:val="0093720F"/>
    <w:rsid w:val="00937555"/>
    <w:rsid w:val="00937742"/>
    <w:rsid w:val="009406F0"/>
    <w:rsid w:val="00940A0D"/>
    <w:rsid w:val="009410BA"/>
    <w:rsid w:val="00941C6C"/>
    <w:rsid w:val="0094489B"/>
    <w:rsid w:val="00944C15"/>
    <w:rsid w:val="009455C8"/>
    <w:rsid w:val="009461A7"/>
    <w:rsid w:val="009516CA"/>
    <w:rsid w:val="00951806"/>
    <w:rsid w:val="00952E20"/>
    <w:rsid w:val="00953496"/>
    <w:rsid w:val="00953F40"/>
    <w:rsid w:val="009559B5"/>
    <w:rsid w:val="00955B1E"/>
    <w:rsid w:val="00955E84"/>
    <w:rsid w:val="009565AB"/>
    <w:rsid w:val="00956BEB"/>
    <w:rsid w:val="009623BC"/>
    <w:rsid w:val="009632A5"/>
    <w:rsid w:val="009711A0"/>
    <w:rsid w:val="00975D40"/>
    <w:rsid w:val="00977193"/>
    <w:rsid w:val="0098092A"/>
    <w:rsid w:val="009810B9"/>
    <w:rsid w:val="00981698"/>
    <w:rsid w:val="0098219B"/>
    <w:rsid w:val="00982558"/>
    <w:rsid w:val="009828E7"/>
    <w:rsid w:val="0098292C"/>
    <w:rsid w:val="0098337A"/>
    <w:rsid w:val="009842CA"/>
    <w:rsid w:val="00984BFA"/>
    <w:rsid w:val="00986A9B"/>
    <w:rsid w:val="00987555"/>
    <w:rsid w:val="00987B57"/>
    <w:rsid w:val="00990CF3"/>
    <w:rsid w:val="00991038"/>
    <w:rsid w:val="00991355"/>
    <w:rsid w:val="0099291B"/>
    <w:rsid w:val="00993206"/>
    <w:rsid w:val="009940BC"/>
    <w:rsid w:val="009941A7"/>
    <w:rsid w:val="0099532C"/>
    <w:rsid w:val="00995FAF"/>
    <w:rsid w:val="009969D9"/>
    <w:rsid w:val="009977F8"/>
    <w:rsid w:val="009A01FC"/>
    <w:rsid w:val="009A06F8"/>
    <w:rsid w:val="009A2054"/>
    <w:rsid w:val="009A2B5B"/>
    <w:rsid w:val="009A31DA"/>
    <w:rsid w:val="009A45F3"/>
    <w:rsid w:val="009A4CEC"/>
    <w:rsid w:val="009A575C"/>
    <w:rsid w:val="009A6D4F"/>
    <w:rsid w:val="009A6EF9"/>
    <w:rsid w:val="009A739D"/>
    <w:rsid w:val="009B066C"/>
    <w:rsid w:val="009B0E49"/>
    <w:rsid w:val="009B2381"/>
    <w:rsid w:val="009B2F9D"/>
    <w:rsid w:val="009B4D08"/>
    <w:rsid w:val="009B738C"/>
    <w:rsid w:val="009B76BB"/>
    <w:rsid w:val="009C01BD"/>
    <w:rsid w:val="009C3021"/>
    <w:rsid w:val="009C31CC"/>
    <w:rsid w:val="009C3888"/>
    <w:rsid w:val="009C48D7"/>
    <w:rsid w:val="009C6343"/>
    <w:rsid w:val="009C6B87"/>
    <w:rsid w:val="009C6E61"/>
    <w:rsid w:val="009D09E1"/>
    <w:rsid w:val="009D0CCB"/>
    <w:rsid w:val="009D1029"/>
    <w:rsid w:val="009D125A"/>
    <w:rsid w:val="009D1AA5"/>
    <w:rsid w:val="009D1D5D"/>
    <w:rsid w:val="009D36AF"/>
    <w:rsid w:val="009D43B2"/>
    <w:rsid w:val="009D5100"/>
    <w:rsid w:val="009D61D6"/>
    <w:rsid w:val="009D64AB"/>
    <w:rsid w:val="009D6BBB"/>
    <w:rsid w:val="009D7F36"/>
    <w:rsid w:val="009E12A3"/>
    <w:rsid w:val="009E2855"/>
    <w:rsid w:val="009E3602"/>
    <w:rsid w:val="009E3C3C"/>
    <w:rsid w:val="009E3FE0"/>
    <w:rsid w:val="009E4F5C"/>
    <w:rsid w:val="009E69A5"/>
    <w:rsid w:val="009E710F"/>
    <w:rsid w:val="009F0240"/>
    <w:rsid w:val="009F0244"/>
    <w:rsid w:val="009F04CE"/>
    <w:rsid w:val="009F0587"/>
    <w:rsid w:val="009F073F"/>
    <w:rsid w:val="009F0885"/>
    <w:rsid w:val="009F1EDF"/>
    <w:rsid w:val="009F27E4"/>
    <w:rsid w:val="009F3314"/>
    <w:rsid w:val="009F35C7"/>
    <w:rsid w:val="009F3600"/>
    <w:rsid w:val="009F381D"/>
    <w:rsid w:val="009F3855"/>
    <w:rsid w:val="009F3B21"/>
    <w:rsid w:val="009F3C5B"/>
    <w:rsid w:val="009F45E5"/>
    <w:rsid w:val="009F4CDF"/>
    <w:rsid w:val="009F6A21"/>
    <w:rsid w:val="009F7D22"/>
    <w:rsid w:val="00A0055B"/>
    <w:rsid w:val="00A00CAB"/>
    <w:rsid w:val="00A011A8"/>
    <w:rsid w:val="00A02F41"/>
    <w:rsid w:val="00A030C0"/>
    <w:rsid w:val="00A0332E"/>
    <w:rsid w:val="00A0646D"/>
    <w:rsid w:val="00A068AD"/>
    <w:rsid w:val="00A06F7A"/>
    <w:rsid w:val="00A1015D"/>
    <w:rsid w:val="00A101A1"/>
    <w:rsid w:val="00A10DC0"/>
    <w:rsid w:val="00A11ABC"/>
    <w:rsid w:val="00A11C57"/>
    <w:rsid w:val="00A12285"/>
    <w:rsid w:val="00A125B1"/>
    <w:rsid w:val="00A12754"/>
    <w:rsid w:val="00A15FDB"/>
    <w:rsid w:val="00A201DE"/>
    <w:rsid w:val="00A203C4"/>
    <w:rsid w:val="00A210B8"/>
    <w:rsid w:val="00A213BA"/>
    <w:rsid w:val="00A22BEC"/>
    <w:rsid w:val="00A22FF2"/>
    <w:rsid w:val="00A23011"/>
    <w:rsid w:val="00A23E8A"/>
    <w:rsid w:val="00A261E4"/>
    <w:rsid w:val="00A26659"/>
    <w:rsid w:val="00A26EE1"/>
    <w:rsid w:val="00A26FBA"/>
    <w:rsid w:val="00A305CB"/>
    <w:rsid w:val="00A311FA"/>
    <w:rsid w:val="00A31C9E"/>
    <w:rsid w:val="00A3278C"/>
    <w:rsid w:val="00A354D9"/>
    <w:rsid w:val="00A35CE0"/>
    <w:rsid w:val="00A371F5"/>
    <w:rsid w:val="00A37E28"/>
    <w:rsid w:val="00A40495"/>
    <w:rsid w:val="00A40724"/>
    <w:rsid w:val="00A40926"/>
    <w:rsid w:val="00A41344"/>
    <w:rsid w:val="00A41A07"/>
    <w:rsid w:val="00A4304E"/>
    <w:rsid w:val="00A457D7"/>
    <w:rsid w:val="00A45DCE"/>
    <w:rsid w:val="00A46947"/>
    <w:rsid w:val="00A50F1B"/>
    <w:rsid w:val="00A51852"/>
    <w:rsid w:val="00A5185E"/>
    <w:rsid w:val="00A51935"/>
    <w:rsid w:val="00A52865"/>
    <w:rsid w:val="00A5363D"/>
    <w:rsid w:val="00A53A35"/>
    <w:rsid w:val="00A542DC"/>
    <w:rsid w:val="00A54BF0"/>
    <w:rsid w:val="00A565C6"/>
    <w:rsid w:val="00A575F9"/>
    <w:rsid w:val="00A603BF"/>
    <w:rsid w:val="00A61258"/>
    <w:rsid w:val="00A62A38"/>
    <w:rsid w:val="00A63816"/>
    <w:rsid w:val="00A63F67"/>
    <w:rsid w:val="00A650F3"/>
    <w:rsid w:val="00A6665C"/>
    <w:rsid w:val="00A66865"/>
    <w:rsid w:val="00A66A32"/>
    <w:rsid w:val="00A677F2"/>
    <w:rsid w:val="00A6781B"/>
    <w:rsid w:val="00A678C7"/>
    <w:rsid w:val="00A67C4B"/>
    <w:rsid w:val="00A70D7D"/>
    <w:rsid w:val="00A71262"/>
    <w:rsid w:val="00A716C7"/>
    <w:rsid w:val="00A73F9F"/>
    <w:rsid w:val="00A758A4"/>
    <w:rsid w:val="00A77832"/>
    <w:rsid w:val="00A77A5D"/>
    <w:rsid w:val="00A800F6"/>
    <w:rsid w:val="00A80C99"/>
    <w:rsid w:val="00A81A18"/>
    <w:rsid w:val="00A81C1D"/>
    <w:rsid w:val="00A81FC1"/>
    <w:rsid w:val="00A8214F"/>
    <w:rsid w:val="00A824E2"/>
    <w:rsid w:val="00A82A68"/>
    <w:rsid w:val="00A83759"/>
    <w:rsid w:val="00A865E9"/>
    <w:rsid w:val="00A90721"/>
    <w:rsid w:val="00A920F7"/>
    <w:rsid w:val="00A92186"/>
    <w:rsid w:val="00A92373"/>
    <w:rsid w:val="00A923C1"/>
    <w:rsid w:val="00A936BA"/>
    <w:rsid w:val="00A94B7A"/>
    <w:rsid w:val="00A9690E"/>
    <w:rsid w:val="00A96EE3"/>
    <w:rsid w:val="00A9705E"/>
    <w:rsid w:val="00A97332"/>
    <w:rsid w:val="00AA16EF"/>
    <w:rsid w:val="00AA16FF"/>
    <w:rsid w:val="00AA1E82"/>
    <w:rsid w:val="00AA3D65"/>
    <w:rsid w:val="00AA4679"/>
    <w:rsid w:val="00AA6755"/>
    <w:rsid w:val="00AA7DFA"/>
    <w:rsid w:val="00AB04C4"/>
    <w:rsid w:val="00AB30B6"/>
    <w:rsid w:val="00AB323C"/>
    <w:rsid w:val="00AB767E"/>
    <w:rsid w:val="00AC25D7"/>
    <w:rsid w:val="00AC4607"/>
    <w:rsid w:val="00AC7927"/>
    <w:rsid w:val="00AD147F"/>
    <w:rsid w:val="00AD1CAB"/>
    <w:rsid w:val="00AD2D1A"/>
    <w:rsid w:val="00AD35F4"/>
    <w:rsid w:val="00AD5543"/>
    <w:rsid w:val="00AD6760"/>
    <w:rsid w:val="00AD6817"/>
    <w:rsid w:val="00AD7B5B"/>
    <w:rsid w:val="00AE0283"/>
    <w:rsid w:val="00AE1728"/>
    <w:rsid w:val="00AE20AD"/>
    <w:rsid w:val="00AE32A5"/>
    <w:rsid w:val="00AE3EF4"/>
    <w:rsid w:val="00AE3F72"/>
    <w:rsid w:val="00AE3FE0"/>
    <w:rsid w:val="00AE49C6"/>
    <w:rsid w:val="00AE4E67"/>
    <w:rsid w:val="00AE4FB5"/>
    <w:rsid w:val="00AE67DD"/>
    <w:rsid w:val="00AE6D1A"/>
    <w:rsid w:val="00AE7143"/>
    <w:rsid w:val="00AE71E0"/>
    <w:rsid w:val="00AE7208"/>
    <w:rsid w:val="00AE7602"/>
    <w:rsid w:val="00AF0145"/>
    <w:rsid w:val="00AF0AD1"/>
    <w:rsid w:val="00AF0AFE"/>
    <w:rsid w:val="00AF0FF1"/>
    <w:rsid w:val="00AF183A"/>
    <w:rsid w:val="00AF3B85"/>
    <w:rsid w:val="00AF3C42"/>
    <w:rsid w:val="00AF4FF1"/>
    <w:rsid w:val="00AF6FEF"/>
    <w:rsid w:val="00AF70B2"/>
    <w:rsid w:val="00B01E6A"/>
    <w:rsid w:val="00B03E71"/>
    <w:rsid w:val="00B0588F"/>
    <w:rsid w:val="00B05AD4"/>
    <w:rsid w:val="00B06FD4"/>
    <w:rsid w:val="00B07C6E"/>
    <w:rsid w:val="00B104DF"/>
    <w:rsid w:val="00B11AD5"/>
    <w:rsid w:val="00B1230C"/>
    <w:rsid w:val="00B137BB"/>
    <w:rsid w:val="00B137FA"/>
    <w:rsid w:val="00B1381E"/>
    <w:rsid w:val="00B147D2"/>
    <w:rsid w:val="00B1481B"/>
    <w:rsid w:val="00B14F8B"/>
    <w:rsid w:val="00B159A2"/>
    <w:rsid w:val="00B16111"/>
    <w:rsid w:val="00B16F4E"/>
    <w:rsid w:val="00B17B12"/>
    <w:rsid w:val="00B17F45"/>
    <w:rsid w:val="00B209DE"/>
    <w:rsid w:val="00B20E40"/>
    <w:rsid w:val="00B211F0"/>
    <w:rsid w:val="00B21ACD"/>
    <w:rsid w:val="00B21EF6"/>
    <w:rsid w:val="00B23558"/>
    <w:rsid w:val="00B245F4"/>
    <w:rsid w:val="00B2620E"/>
    <w:rsid w:val="00B271A5"/>
    <w:rsid w:val="00B27A7C"/>
    <w:rsid w:val="00B30715"/>
    <w:rsid w:val="00B31462"/>
    <w:rsid w:val="00B31E44"/>
    <w:rsid w:val="00B32AB4"/>
    <w:rsid w:val="00B33347"/>
    <w:rsid w:val="00B34B96"/>
    <w:rsid w:val="00B34E49"/>
    <w:rsid w:val="00B3634E"/>
    <w:rsid w:val="00B37E2A"/>
    <w:rsid w:val="00B4011F"/>
    <w:rsid w:val="00B40672"/>
    <w:rsid w:val="00B40D22"/>
    <w:rsid w:val="00B422E1"/>
    <w:rsid w:val="00B424B8"/>
    <w:rsid w:val="00B426E2"/>
    <w:rsid w:val="00B43743"/>
    <w:rsid w:val="00B45CE5"/>
    <w:rsid w:val="00B46287"/>
    <w:rsid w:val="00B4718F"/>
    <w:rsid w:val="00B47380"/>
    <w:rsid w:val="00B50BBE"/>
    <w:rsid w:val="00B53E22"/>
    <w:rsid w:val="00B562D1"/>
    <w:rsid w:val="00B56481"/>
    <w:rsid w:val="00B57E13"/>
    <w:rsid w:val="00B57E6C"/>
    <w:rsid w:val="00B57F55"/>
    <w:rsid w:val="00B613AB"/>
    <w:rsid w:val="00B61FEE"/>
    <w:rsid w:val="00B62EBE"/>
    <w:rsid w:val="00B63C3F"/>
    <w:rsid w:val="00B64ADD"/>
    <w:rsid w:val="00B6525A"/>
    <w:rsid w:val="00B66665"/>
    <w:rsid w:val="00B7017B"/>
    <w:rsid w:val="00B712BF"/>
    <w:rsid w:val="00B718F7"/>
    <w:rsid w:val="00B7245D"/>
    <w:rsid w:val="00B724C3"/>
    <w:rsid w:val="00B727BC"/>
    <w:rsid w:val="00B731EA"/>
    <w:rsid w:val="00B73EC8"/>
    <w:rsid w:val="00B767AE"/>
    <w:rsid w:val="00B768DB"/>
    <w:rsid w:val="00B76D53"/>
    <w:rsid w:val="00B76F25"/>
    <w:rsid w:val="00B776B0"/>
    <w:rsid w:val="00B779A3"/>
    <w:rsid w:val="00B8161C"/>
    <w:rsid w:val="00B81F77"/>
    <w:rsid w:val="00B83A5C"/>
    <w:rsid w:val="00B83CC5"/>
    <w:rsid w:val="00B8457F"/>
    <w:rsid w:val="00B84D49"/>
    <w:rsid w:val="00B8590B"/>
    <w:rsid w:val="00B85FDB"/>
    <w:rsid w:val="00B86373"/>
    <w:rsid w:val="00B86495"/>
    <w:rsid w:val="00B866B3"/>
    <w:rsid w:val="00B86BD3"/>
    <w:rsid w:val="00B86C7B"/>
    <w:rsid w:val="00B870BC"/>
    <w:rsid w:val="00B875CE"/>
    <w:rsid w:val="00B87A93"/>
    <w:rsid w:val="00B905E4"/>
    <w:rsid w:val="00B91126"/>
    <w:rsid w:val="00B924A0"/>
    <w:rsid w:val="00B928D4"/>
    <w:rsid w:val="00B92E25"/>
    <w:rsid w:val="00B92EAE"/>
    <w:rsid w:val="00B93EBB"/>
    <w:rsid w:val="00B94611"/>
    <w:rsid w:val="00B9539C"/>
    <w:rsid w:val="00B961DF"/>
    <w:rsid w:val="00B965B7"/>
    <w:rsid w:val="00B974E1"/>
    <w:rsid w:val="00B9754C"/>
    <w:rsid w:val="00B97ED9"/>
    <w:rsid w:val="00BA0423"/>
    <w:rsid w:val="00BA0589"/>
    <w:rsid w:val="00BA151E"/>
    <w:rsid w:val="00BA1733"/>
    <w:rsid w:val="00BA17E0"/>
    <w:rsid w:val="00BA19D1"/>
    <w:rsid w:val="00BA1E65"/>
    <w:rsid w:val="00BA38B3"/>
    <w:rsid w:val="00BA3BEF"/>
    <w:rsid w:val="00BA3FE7"/>
    <w:rsid w:val="00BA5AC9"/>
    <w:rsid w:val="00BA61C7"/>
    <w:rsid w:val="00BA6FCB"/>
    <w:rsid w:val="00BA7019"/>
    <w:rsid w:val="00BA714F"/>
    <w:rsid w:val="00BA79BB"/>
    <w:rsid w:val="00BB02BE"/>
    <w:rsid w:val="00BB0306"/>
    <w:rsid w:val="00BB056A"/>
    <w:rsid w:val="00BB0654"/>
    <w:rsid w:val="00BB21E6"/>
    <w:rsid w:val="00BB312F"/>
    <w:rsid w:val="00BB36C9"/>
    <w:rsid w:val="00BB3E8C"/>
    <w:rsid w:val="00BB6698"/>
    <w:rsid w:val="00BB69BC"/>
    <w:rsid w:val="00BB6C85"/>
    <w:rsid w:val="00BB762F"/>
    <w:rsid w:val="00BB77BE"/>
    <w:rsid w:val="00BC0455"/>
    <w:rsid w:val="00BC1177"/>
    <w:rsid w:val="00BC1407"/>
    <w:rsid w:val="00BC1588"/>
    <w:rsid w:val="00BC231D"/>
    <w:rsid w:val="00BC2868"/>
    <w:rsid w:val="00BC2D95"/>
    <w:rsid w:val="00BC3A96"/>
    <w:rsid w:val="00BC4681"/>
    <w:rsid w:val="00BC66DA"/>
    <w:rsid w:val="00BC6962"/>
    <w:rsid w:val="00BC6B2C"/>
    <w:rsid w:val="00BC6EBB"/>
    <w:rsid w:val="00BC759A"/>
    <w:rsid w:val="00BC78C8"/>
    <w:rsid w:val="00BC79AF"/>
    <w:rsid w:val="00BC7A96"/>
    <w:rsid w:val="00BD0174"/>
    <w:rsid w:val="00BD08AF"/>
    <w:rsid w:val="00BD3597"/>
    <w:rsid w:val="00BD3D09"/>
    <w:rsid w:val="00BD3FC1"/>
    <w:rsid w:val="00BD40A1"/>
    <w:rsid w:val="00BD643B"/>
    <w:rsid w:val="00BD6F57"/>
    <w:rsid w:val="00BD7859"/>
    <w:rsid w:val="00BD7DF2"/>
    <w:rsid w:val="00BD7F16"/>
    <w:rsid w:val="00BE0C27"/>
    <w:rsid w:val="00BE0EFE"/>
    <w:rsid w:val="00BE0F65"/>
    <w:rsid w:val="00BE1A91"/>
    <w:rsid w:val="00BE1DAB"/>
    <w:rsid w:val="00BE485C"/>
    <w:rsid w:val="00BE4A27"/>
    <w:rsid w:val="00BE53C9"/>
    <w:rsid w:val="00BE5998"/>
    <w:rsid w:val="00BE5A88"/>
    <w:rsid w:val="00BE700A"/>
    <w:rsid w:val="00BF0906"/>
    <w:rsid w:val="00BF0F4E"/>
    <w:rsid w:val="00BF1520"/>
    <w:rsid w:val="00BF219F"/>
    <w:rsid w:val="00BF2FC4"/>
    <w:rsid w:val="00BF3824"/>
    <w:rsid w:val="00BF3C30"/>
    <w:rsid w:val="00BF4A29"/>
    <w:rsid w:val="00BF4FBB"/>
    <w:rsid w:val="00BF5387"/>
    <w:rsid w:val="00BF5F58"/>
    <w:rsid w:val="00BF629F"/>
    <w:rsid w:val="00BF6F72"/>
    <w:rsid w:val="00BF7070"/>
    <w:rsid w:val="00BF7DE1"/>
    <w:rsid w:val="00C01802"/>
    <w:rsid w:val="00C03BC4"/>
    <w:rsid w:val="00C049A0"/>
    <w:rsid w:val="00C050F7"/>
    <w:rsid w:val="00C0632F"/>
    <w:rsid w:val="00C066B6"/>
    <w:rsid w:val="00C06DB1"/>
    <w:rsid w:val="00C07CDE"/>
    <w:rsid w:val="00C1143D"/>
    <w:rsid w:val="00C11F54"/>
    <w:rsid w:val="00C13426"/>
    <w:rsid w:val="00C13BF2"/>
    <w:rsid w:val="00C14205"/>
    <w:rsid w:val="00C14BAA"/>
    <w:rsid w:val="00C16945"/>
    <w:rsid w:val="00C16B23"/>
    <w:rsid w:val="00C16ED6"/>
    <w:rsid w:val="00C175FA"/>
    <w:rsid w:val="00C21D8F"/>
    <w:rsid w:val="00C22F49"/>
    <w:rsid w:val="00C24977"/>
    <w:rsid w:val="00C26CED"/>
    <w:rsid w:val="00C26D5D"/>
    <w:rsid w:val="00C27FED"/>
    <w:rsid w:val="00C31D4A"/>
    <w:rsid w:val="00C32C69"/>
    <w:rsid w:val="00C32F6E"/>
    <w:rsid w:val="00C33C54"/>
    <w:rsid w:val="00C342A1"/>
    <w:rsid w:val="00C35567"/>
    <w:rsid w:val="00C361B3"/>
    <w:rsid w:val="00C36710"/>
    <w:rsid w:val="00C36D03"/>
    <w:rsid w:val="00C36FA1"/>
    <w:rsid w:val="00C37FE0"/>
    <w:rsid w:val="00C4004E"/>
    <w:rsid w:val="00C40CC3"/>
    <w:rsid w:val="00C4133D"/>
    <w:rsid w:val="00C43778"/>
    <w:rsid w:val="00C44156"/>
    <w:rsid w:val="00C44207"/>
    <w:rsid w:val="00C47785"/>
    <w:rsid w:val="00C47A1E"/>
    <w:rsid w:val="00C50DA2"/>
    <w:rsid w:val="00C51413"/>
    <w:rsid w:val="00C51E3E"/>
    <w:rsid w:val="00C51E43"/>
    <w:rsid w:val="00C53DDC"/>
    <w:rsid w:val="00C5524C"/>
    <w:rsid w:val="00C5534C"/>
    <w:rsid w:val="00C55692"/>
    <w:rsid w:val="00C55B5C"/>
    <w:rsid w:val="00C5644F"/>
    <w:rsid w:val="00C57822"/>
    <w:rsid w:val="00C57AB0"/>
    <w:rsid w:val="00C57FED"/>
    <w:rsid w:val="00C60264"/>
    <w:rsid w:val="00C6034D"/>
    <w:rsid w:val="00C60F66"/>
    <w:rsid w:val="00C61FAD"/>
    <w:rsid w:val="00C62A8C"/>
    <w:rsid w:val="00C63EC7"/>
    <w:rsid w:val="00C64A12"/>
    <w:rsid w:val="00C652C6"/>
    <w:rsid w:val="00C661E0"/>
    <w:rsid w:val="00C662DE"/>
    <w:rsid w:val="00C66356"/>
    <w:rsid w:val="00C66B7F"/>
    <w:rsid w:val="00C67D73"/>
    <w:rsid w:val="00C701D0"/>
    <w:rsid w:val="00C710DA"/>
    <w:rsid w:val="00C72506"/>
    <w:rsid w:val="00C736F5"/>
    <w:rsid w:val="00C737AC"/>
    <w:rsid w:val="00C739DB"/>
    <w:rsid w:val="00C744B4"/>
    <w:rsid w:val="00C74761"/>
    <w:rsid w:val="00C76366"/>
    <w:rsid w:val="00C766DC"/>
    <w:rsid w:val="00C769C7"/>
    <w:rsid w:val="00C7790F"/>
    <w:rsid w:val="00C77E49"/>
    <w:rsid w:val="00C804A0"/>
    <w:rsid w:val="00C806E1"/>
    <w:rsid w:val="00C80AFB"/>
    <w:rsid w:val="00C817B0"/>
    <w:rsid w:val="00C81928"/>
    <w:rsid w:val="00C82193"/>
    <w:rsid w:val="00C823E4"/>
    <w:rsid w:val="00C83B81"/>
    <w:rsid w:val="00C84243"/>
    <w:rsid w:val="00C84964"/>
    <w:rsid w:val="00C86059"/>
    <w:rsid w:val="00C862C2"/>
    <w:rsid w:val="00C867D0"/>
    <w:rsid w:val="00C87D94"/>
    <w:rsid w:val="00C92F1A"/>
    <w:rsid w:val="00C94751"/>
    <w:rsid w:val="00C95D7C"/>
    <w:rsid w:val="00C97F99"/>
    <w:rsid w:val="00CA1618"/>
    <w:rsid w:val="00CA23A4"/>
    <w:rsid w:val="00CA2B8D"/>
    <w:rsid w:val="00CA2D9C"/>
    <w:rsid w:val="00CA3BF8"/>
    <w:rsid w:val="00CA3DAF"/>
    <w:rsid w:val="00CA5764"/>
    <w:rsid w:val="00CA60EF"/>
    <w:rsid w:val="00CA6ACC"/>
    <w:rsid w:val="00CA705E"/>
    <w:rsid w:val="00CA767A"/>
    <w:rsid w:val="00CB01EE"/>
    <w:rsid w:val="00CB02F5"/>
    <w:rsid w:val="00CB05FB"/>
    <w:rsid w:val="00CB0A5F"/>
    <w:rsid w:val="00CB0CB2"/>
    <w:rsid w:val="00CB0F48"/>
    <w:rsid w:val="00CB1B5C"/>
    <w:rsid w:val="00CB1EC6"/>
    <w:rsid w:val="00CB2893"/>
    <w:rsid w:val="00CB40CB"/>
    <w:rsid w:val="00CB4FD6"/>
    <w:rsid w:val="00CB5610"/>
    <w:rsid w:val="00CB63EA"/>
    <w:rsid w:val="00CC158D"/>
    <w:rsid w:val="00CC2940"/>
    <w:rsid w:val="00CC301A"/>
    <w:rsid w:val="00CC3571"/>
    <w:rsid w:val="00CC38E6"/>
    <w:rsid w:val="00CC4B1E"/>
    <w:rsid w:val="00CC6018"/>
    <w:rsid w:val="00CC6868"/>
    <w:rsid w:val="00CC6FCA"/>
    <w:rsid w:val="00CD0C4A"/>
    <w:rsid w:val="00CD15D8"/>
    <w:rsid w:val="00CD1F11"/>
    <w:rsid w:val="00CD243F"/>
    <w:rsid w:val="00CD26D8"/>
    <w:rsid w:val="00CD27A8"/>
    <w:rsid w:val="00CD300C"/>
    <w:rsid w:val="00CD38D7"/>
    <w:rsid w:val="00CD5491"/>
    <w:rsid w:val="00CD7097"/>
    <w:rsid w:val="00CE0085"/>
    <w:rsid w:val="00CE07F0"/>
    <w:rsid w:val="00CE08AD"/>
    <w:rsid w:val="00CE1D5C"/>
    <w:rsid w:val="00CE2FC5"/>
    <w:rsid w:val="00CE3341"/>
    <w:rsid w:val="00CE53E4"/>
    <w:rsid w:val="00CE5ACA"/>
    <w:rsid w:val="00CE5F0A"/>
    <w:rsid w:val="00CE5F9F"/>
    <w:rsid w:val="00CE6331"/>
    <w:rsid w:val="00CE6613"/>
    <w:rsid w:val="00CE780B"/>
    <w:rsid w:val="00CF0044"/>
    <w:rsid w:val="00CF08C5"/>
    <w:rsid w:val="00CF0C90"/>
    <w:rsid w:val="00CF1296"/>
    <w:rsid w:val="00CF2D06"/>
    <w:rsid w:val="00CF2D51"/>
    <w:rsid w:val="00CF2E6F"/>
    <w:rsid w:val="00CF3E10"/>
    <w:rsid w:val="00CF465E"/>
    <w:rsid w:val="00CF51DF"/>
    <w:rsid w:val="00CF538B"/>
    <w:rsid w:val="00CF5E97"/>
    <w:rsid w:val="00CF5F54"/>
    <w:rsid w:val="00CF7607"/>
    <w:rsid w:val="00CF7768"/>
    <w:rsid w:val="00D00DC6"/>
    <w:rsid w:val="00D013AB"/>
    <w:rsid w:val="00D033C4"/>
    <w:rsid w:val="00D0391D"/>
    <w:rsid w:val="00D0393D"/>
    <w:rsid w:val="00D03B93"/>
    <w:rsid w:val="00D04DBF"/>
    <w:rsid w:val="00D059FD"/>
    <w:rsid w:val="00D06C42"/>
    <w:rsid w:val="00D07650"/>
    <w:rsid w:val="00D07811"/>
    <w:rsid w:val="00D10582"/>
    <w:rsid w:val="00D10C15"/>
    <w:rsid w:val="00D11500"/>
    <w:rsid w:val="00D11576"/>
    <w:rsid w:val="00D1268C"/>
    <w:rsid w:val="00D12F16"/>
    <w:rsid w:val="00D14F6F"/>
    <w:rsid w:val="00D153D8"/>
    <w:rsid w:val="00D16FB9"/>
    <w:rsid w:val="00D17BF8"/>
    <w:rsid w:val="00D2008F"/>
    <w:rsid w:val="00D223F1"/>
    <w:rsid w:val="00D22687"/>
    <w:rsid w:val="00D22A8F"/>
    <w:rsid w:val="00D2319E"/>
    <w:rsid w:val="00D24F95"/>
    <w:rsid w:val="00D2552D"/>
    <w:rsid w:val="00D25D43"/>
    <w:rsid w:val="00D27C71"/>
    <w:rsid w:val="00D31FEF"/>
    <w:rsid w:val="00D3475A"/>
    <w:rsid w:val="00D34AD1"/>
    <w:rsid w:val="00D3644B"/>
    <w:rsid w:val="00D371E2"/>
    <w:rsid w:val="00D4022E"/>
    <w:rsid w:val="00D40CF8"/>
    <w:rsid w:val="00D4196B"/>
    <w:rsid w:val="00D41CC8"/>
    <w:rsid w:val="00D42880"/>
    <w:rsid w:val="00D447CB"/>
    <w:rsid w:val="00D46311"/>
    <w:rsid w:val="00D46C46"/>
    <w:rsid w:val="00D46EDE"/>
    <w:rsid w:val="00D47031"/>
    <w:rsid w:val="00D47795"/>
    <w:rsid w:val="00D477A0"/>
    <w:rsid w:val="00D52A2A"/>
    <w:rsid w:val="00D53FCD"/>
    <w:rsid w:val="00D56277"/>
    <w:rsid w:val="00D5629C"/>
    <w:rsid w:val="00D569AE"/>
    <w:rsid w:val="00D57566"/>
    <w:rsid w:val="00D575BD"/>
    <w:rsid w:val="00D612A0"/>
    <w:rsid w:val="00D62EA1"/>
    <w:rsid w:val="00D644D9"/>
    <w:rsid w:val="00D64854"/>
    <w:rsid w:val="00D652E9"/>
    <w:rsid w:val="00D661FA"/>
    <w:rsid w:val="00D66A9C"/>
    <w:rsid w:val="00D677F8"/>
    <w:rsid w:val="00D67FB1"/>
    <w:rsid w:val="00D70AAA"/>
    <w:rsid w:val="00D71567"/>
    <w:rsid w:val="00D72476"/>
    <w:rsid w:val="00D72828"/>
    <w:rsid w:val="00D7493B"/>
    <w:rsid w:val="00D7511E"/>
    <w:rsid w:val="00D75E5A"/>
    <w:rsid w:val="00D76A1F"/>
    <w:rsid w:val="00D76F2C"/>
    <w:rsid w:val="00D7787D"/>
    <w:rsid w:val="00D803CD"/>
    <w:rsid w:val="00D806FB"/>
    <w:rsid w:val="00D81287"/>
    <w:rsid w:val="00D812B0"/>
    <w:rsid w:val="00D82B13"/>
    <w:rsid w:val="00D82C5A"/>
    <w:rsid w:val="00D853E1"/>
    <w:rsid w:val="00D85A4B"/>
    <w:rsid w:val="00D9004B"/>
    <w:rsid w:val="00D90B8E"/>
    <w:rsid w:val="00D913C4"/>
    <w:rsid w:val="00D913D7"/>
    <w:rsid w:val="00D9314B"/>
    <w:rsid w:val="00D938DB"/>
    <w:rsid w:val="00D93B5A"/>
    <w:rsid w:val="00D9444D"/>
    <w:rsid w:val="00D95314"/>
    <w:rsid w:val="00D95C0D"/>
    <w:rsid w:val="00DA1356"/>
    <w:rsid w:val="00DA2C72"/>
    <w:rsid w:val="00DA4819"/>
    <w:rsid w:val="00DA4A90"/>
    <w:rsid w:val="00DA63B2"/>
    <w:rsid w:val="00DA7CDD"/>
    <w:rsid w:val="00DB07F6"/>
    <w:rsid w:val="00DB3525"/>
    <w:rsid w:val="00DB3839"/>
    <w:rsid w:val="00DB3FC8"/>
    <w:rsid w:val="00DB4070"/>
    <w:rsid w:val="00DB47E3"/>
    <w:rsid w:val="00DB51B9"/>
    <w:rsid w:val="00DB5874"/>
    <w:rsid w:val="00DB6132"/>
    <w:rsid w:val="00DB6E7A"/>
    <w:rsid w:val="00DC0298"/>
    <w:rsid w:val="00DC50FE"/>
    <w:rsid w:val="00DC5588"/>
    <w:rsid w:val="00DC7CFD"/>
    <w:rsid w:val="00DC7FF6"/>
    <w:rsid w:val="00DD0A78"/>
    <w:rsid w:val="00DD0C7F"/>
    <w:rsid w:val="00DD1F67"/>
    <w:rsid w:val="00DD293D"/>
    <w:rsid w:val="00DD2D61"/>
    <w:rsid w:val="00DD43C9"/>
    <w:rsid w:val="00DD4996"/>
    <w:rsid w:val="00DD4A05"/>
    <w:rsid w:val="00DD6175"/>
    <w:rsid w:val="00DE154D"/>
    <w:rsid w:val="00DE3E33"/>
    <w:rsid w:val="00DE4000"/>
    <w:rsid w:val="00DE61B8"/>
    <w:rsid w:val="00DE6E10"/>
    <w:rsid w:val="00DE7926"/>
    <w:rsid w:val="00DE7E61"/>
    <w:rsid w:val="00DF073A"/>
    <w:rsid w:val="00DF140E"/>
    <w:rsid w:val="00DF15EC"/>
    <w:rsid w:val="00DF2D78"/>
    <w:rsid w:val="00DF580F"/>
    <w:rsid w:val="00DF59A7"/>
    <w:rsid w:val="00DF5FAE"/>
    <w:rsid w:val="00DF6F61"/>
    <w:rsid w:val="00DF711B"/>
    <w:rsid w:val="00E00CBD"/>
    <w:rsid w:val="00E01608"/>
    <w:rsid w:val="00E02547"/>
    <w:rsid w:val="00E026A8"/>
    <w:rsid w:val="00E02C41"/>
    <w:rsid w:val="00E0389F"/>
    <w:rsid w:val="00E03E44"/>
    <w:rsid w:val="00E04F4C"/>
    <w:rsid w:val="00E056E7"/>
    <w:rsid w:val="00E05DB3"/>
    <w:rsid w:val="00E06680"/>
    <w:rsid w:val="00E06B36"/>
    <w:rsid w:val="00E105F0"/>
    <w:rsid w:val="00E10631"/>
    <w:rsid w:val="00E11BBC"/>
    <w:rsid w:val="00E12CDF"/>
    <w:rsid w:val="00E12D4B"/>
    <w:rsid w:val="00E1393E"/>
    <w:rsid w:val="00E1497C"/>
    <w:rsid w:val="00E15226"/>
    <w:rsid w:val="00E1750D"/>
    <w:rsid w:val="00E200E1"/>
    <w:rsid w:val="00E210D3"/>
    <w:rsid w:val="00E21BC0"/>
    <w:rsid w:val="00E22274"/>
    <w:rsid w:val="00E230D7"/>
    <w:rsid w:val="00E23A09"/>
    <w:rsid w:val="00E265B7"/>
    <w:rsid w:val="00E2752D"/>
    <w:rsid w:val="00E2777F"/>
    <w:rsid w:val="00E30044"/>
    <w:rsid w:val="00E30514"/>
    <w:rsid w:val="00E30A34"/>
    <w:rsid w:val="00E30B5B"/>
    <w:rsid w:val="00E32756"/>
    <w:rsid w:val="00E32925"/>
    <w:rsid w:val="00E32A30"/>
    <w:rsid w:val="00E32A80"/>
    <w:rsid w:val="00E32C73"/>
    <w:rsid w:val="00E3369B"/>
    <w:rsid w:val="00E34376"/>
    <w:rsid w:val="00E3452C"/>
    <w:rsid w:val="00E35E76"/>
    <w:rsid w:val="00E36361"/>
    <w:rsid w:val="00E376BD"/>
    <w:rsid w:val="00E4174F"/>
    <w:rsid w:val="00E444D6"/>
    <w:rsid w:val="00E448A2"/>
    <w:rsid w:val="00E45515"/>
    <w:rsid w:val="00E45FD9"/>
    <w:rsid w:val="00E4607C"/>
    <w:rsid w:val="00E4636A"/>
    <w:rsid w:val="00E474FD"/>
    <w:rsid w:val="00E47D7F"/>
    <w:rsid w:val="00E50669"/>
    <w:rsid w:val="00E50921"/>
    <w:rsid w:val="00E5104A"/>
    <w:rsid w:val="00E51128"/>
    <w:rsid w:val="00E51E5E"/>
    <w:rsid w:val="00E53D91"/>
    <w:rsid w:val="00E5563D"/>
    <w:rsid w:val="00E55DB9"/>
    <w:rsid w:val="00E56135"/>
    <w:rsid w:val="00E57305"/>
    <w:rsid w:val="00E57894"/>
    <w:rsid w:val="00E57EA9"/>
    <w:rsid w:val="00E60A26"/>
    <w:rsid w:val="00E61615"/>
    <w:rsid w:val="00E61CCE"/>
    <w:rsid w:val="00E62C49"/>
    <w:rsid w:val="00E639D6"/>
    <w:rsid w:val="00E63C65"/>
    <w:rsid w:val="00E641B4"/>
    <w:rsid w:val="00E64338"/>
    <w:rsid w:val="00E64A70"/>
    <w:rsid w:val="00E64A9C"/>
    <w:rsid w:val="00E65849"/>
    <w:rsid w:val="00E66B51"/>
    <w:rsid w:val="00E66C6A"/>
    <w:rsid w:val="00E66F23"/>
    <w:rsid w:val="00E67970"/>
    <w:rsid w:val="00E67CA1"/>
    <w:rsid w:val="00E67EA9"/>
    <w:rsid w:val="00E70761"/>
    <w:rsid w:val="00E7081F"/>
    <w:rsid w:val="00E70C07"/>
    <w:rsid w:val="00E7149C"/>
    <w:rsid w:val="00E721BE"/>
    <w:rsid w:val="00E7275C"/>
    <w:rsid w:val="00E737ED"/>
    <w:rsid w:val="00E73F8B"/>
    <w:rsid w:val="00E73FDA"/>
    <w:rsid w:val="00E81AA6"/>
    <w:rsid w:val="00E82BD6"/>
    <w:rsid w:val="00E83375"/>
    <w:rsid w:val="00E835EA"/>
    <w:rsid w:val="00E83A28"/>
    <w:rsid w:val="00E8551A"/>
    <w:rsid w:val="00E86334"/>
    <w:rsid w:val="00E865D2"/>
    <w:rsid w:val="00E87107"/>
    <w:rsid w:val="00E87FF7"/>
    <w:rsid w:val="00E91599"/>
    <w:rsid w:val="00E91CEB"/>
    <w:rsid w:val="00E92B90"/>
    <w:rsid w:val="00E92D8B"/>
    <w:rsid w:val="00E93A1B"/>
    <w:rsid w:val="00E9485F"/>
    <w:rsid w:val="00E94C56"/>
    <w:rsid w:val="00E95127"/>
    <w:rsid w:val="00E9612F"/>
    <w:rsid w:val="00EA0AB4"/>
    <w:rsid w:val="00EA0F0E"/>
    <w:rsid w:val="00EA3097"/>
    <w:rsid w:val="00EA360C"/>
    <w:rsid w:val="00EA4313"/>
    <w:rsid w:val="00EA5D83"/>
    <w:rsid w:val="00EB1B40"/>
    <w:rsid w:val="00EB1F76"/>
    <w:rsid w:val="00EB25FC"/>
    <w:rsid w:val="00EB4804"/>
    <w:rsid w:val="00EB5D3A"/>
    <w:rsid w:val="00EB60EC"/>
    <w:rsid w:val="00EB65B0"/>
    <w:rsid w:val="00EB69C9"/>
    <w:rsid w:val="00EB7A21"/>
    <w:rsid w:val="00EC0588"/>
    <w:rsid w:val="00EC0964"/>
    <w:rsid w:val="00EC0A30"/>
    <w:rsid w:val="00EC2F0C"/>
    <w:rsid w:val="00EC30D2"/>
    <w:rsid w:val="00EC330A"/>
    <w:rsid w:val="00EC4B6F"/>
    <w:rsid w:val="00EC4CD7"/>
    <w:rsid w:val="00EC5128"/>
    <w:rsid w:val="00EC6513"/>
    <w:rsid w:val="00EC6ACE"/>
    <w:rsid w:val="00EC7AC7"/>
    <w:rsid w:val="00EC7CE5"/>
    <w:rsid w:val="00ED01AB"/>
    <w:rsid w:val="00ED03DA"/>
    <w:rsid w:val="00ED0A4A"/>
    <w:rsid w:val="00ED0FE3"/>
    <w:rsid w:val="00ED2337"/>
    <w:rsid w:val="00ED316C"/>
    <w:rsid w:val="00ED3905"/>
    <w:rsid w:val="00ED3AAE"/>
    <w:rsid w:val="00ED4560"/>
    <w:rsid w:val="00ED5403"/>
    <w:rsid w:val="00ED5F51"/>
    <w:rsid w:val="00ED63D6"/>
    <w:rsid w:val="00ED64C0"/>
    <w:rsid w:val="00ED6F49"/>
    <w:rsid w:val="00EE0AE0"/>
    <w:rsid w:val="00EE1DF0"/>
    <w:rsid w:val="00EE2C78"/>
    <w:rsid w:val="00EE2E56"/>
    <w:rsid w:val="00EE3958"/>
    <w:rsid w:val="00EE3F81"/>
    <w:rsid w:val="00EE79D3"/>
    <w:rsid w:val="00EF0946"/>
    <w:rsid w:val="00EF0A28"/>
    <w:rsid w:val="00EF2071"/>
    <w:rsid w:val="00EF4AD4"/>
    <w:rsid w:val="00EF6D86"/>
    <w:rsid w:val="00EF780B"/>
    <w:rsid w:val="00EF7B92"/>
    <w:rsid w:val="00F000A7"/>
    <w:rsid w:val="00F008DA"/>
    <w:rsid w:val="00F00E7C"/>
    <w:rsid w:val="00F0190B"/>
    <w:rsid w:val="00F05741"/>
    <w:rsid w:val="00F0636E"/>
    <w:rsid w:val="00F06658"/>
    <w:rsid w:val="00F109AC"/>
    <w:rsid w:val="00F10B9F"/>
    <w:rsid w:val="00F10CD7"/>
    <w:rsid w:val="00F126E0"/>
    <w:rsid w:val="00F12F57"/>
    <w:rsid w:val="00F132A0"/>
    <w:rsid w:val="00F1736D"/>
    <w:rsid w:val="00F175AA"/>
    <w:rsid w:val="00F17C2C"/>
    <w:rsid w:val="00F200E3"/>
    <w:rsid w:val="00F204EF"/>
    <w:rsid w:val="00F221EE"/>
    <w:rsid w:val="00F2225E"/>
    <w:rsid w:val="00F2449C"/>
    <w:rsid w:val="00F245CE"/>
    <w:rsid w:val="00F25CB1"/>
    <w:rsid w:val="00F30D6C"/>
    <w:rsid w:val="00F31959"/>
    <w:rsid w:val="00F31A83"/>
    <w:rsid w:val="00F3216A"/>
    <w:rsid w:val="00F3295F"/>
    <w:rsid w:val="00F347B9"/>
    <w:rsid w:val="00F355CC"/>
    <w:rsid w:val="00F37D81"/>
    <w:rsid w:val="00F402A4"/>
    <w:rsid w:val="00F42EEB"/>
    <w:rsid w:val="00F43A50"/>
    <w:rsid w:val="00F44521"/>
    <w:rsid w:val="00F45970"/>
    <w:rsid w:val="00F45DC4"/>
    <w:rsid w:val="00F46DB3"/>
    <w:rsid w:val="00F47B03"/>
    <w:rsid w:val="00F500EC"/>
    <w:rsid w:val="00F50161"/>
    <w:rsid w:val="00F50391"/>
    <w:rsid w:val="00F50C20"/>
    <w:rsid w:val="00F51E5A"/>
    <w:rsid w:val="00F52382"/>
    <w:rsid w:val="00F5266A"/>
    <w:rsid w:val="00F5294C"/>
    <w:rsid w:val="00F549F8"/>
    <w:rsid w:val="00F56716"/>
    <w:rsid w:val="00F56960"/>
    <w:rsid w:val="00F577A4"/>
    <w:rsid w:val="00F60E11"/>
    <w:rsid w:val="00F6134F"/>
    <w:rsid w:val="00F64F2D"/>
    <w:rsid w:val="00F65B74"/>
    <w:rsid w:val="00F6640F"/>
    <w:rsid w:val="00F678F8"/>
    <w:rsid w:val="00F6790F"/>
    <w:rsid w:val="00F700CD"/>
    <w:rsid w:val="00F7043B"/>
    <w:rsid w:val="00F706C5"/>
    <w:rsid w:val="00F72AC6"/>
    <w:rsid w:val="00F72FBE"/>
    <w:rsid w:val="00F73043"/>
    <w:rsid w:val="00F7366E"/>
    <w:rsid w:val="00F749A4"/>
    <w:rsid w:val="00F749F9"/>
    <w:rsid w:val="00F75602"/>
    <w:rsid w:val="00F75B34"/>
    <w:rsid w:val="00F768C0"/>
    <w:rsid w:val="00F76D30"/>
    <w:rsid w:val="00F81288"/>
    <w:rsid w:val="00F82633"/>
    <w:rsid w:val="00F82AC5"/>
    <w:rsid w:val="00F8303E"/>
    <w:rsid w:val="00F83234"/>
    <w:rsid w:val="00F8442D"/>
    <w:rsid w:val="00F85392"/>
    <w:rsid w:val="00F856E6"/>
    <w:rsid w:val="00F86C3C"/>
    <w:rsid w:val="00F8707C"/>
    <w:rsid w:val="00F874D4"/>
    <w:rsid w:val="00F904F2"/>
    <w:rsid w:val="00F9107E"/>
    <w:rsid w:val="00F91A42"/>
    <w:rsid w:val="00F93786"/>
    <w:rsid w:val="00F940D2"/>
    <w:rsid w:val="00F9413B"/>
    <w:rsid w:val="00F95327"/>
    <w:rsid w:val="00F96A34"/>
    <w:rsid w:val="00F97009"/>
    <w:rsid w:val="00F97F52"/>
    <w:rsid w:val="00FA1FDE"/>
    <w:rsid w:val="00FA2F9D"/>
    <w:rsid w:val="00FA393C"/>
    <w:rsid w:val="00FA55CA"/>
    <w:rsid w:val="00FA6FB2"/>
    <w:rsid w:val="00FA79F3"/>
    <w:rsid w:val="00FB0D9F"/>
    <w:rsid w:val="00FB1CBB"/>
    <w:rsid w:val="00FB1EE2"/>
    <w:rsid w:val="00FB5257"/>
    <w:rsid w:val="00FB5479"/>
    <w:rsid w:val="00FB5B3D"/>
    <w:rsid w:val="00FB6259"/>
    <w:rsid w:val="00FB780E"/>
    <w:rsid w:val="00FC32FB"/>
    <w:rsid w:val="00FC4718"/>
    <w:rsid w:val="00FC531A"/>
    <w:rsid w:val="00FC57DD"/>
    <w:rsid w:val="00FC673D"/>
    <w:rsid w:val="00FC7BE6"/>
    <w:rsid w:val="00FD0C0C"/>
    <w:rsid w:val="00FD0FC0"/>
    <w:rsid w:val="00FD1457"/>
    <w:rsid w:val="00FD2091"/>
    <w:rsid w:val="00FD2D64"/>
    <w:rsid w:val="00FD3B94"/>
    <w:rsid w:val="00FD3E90"/>
    <w:rsid w:val="00FD4BB1"/>
    <w:rsid w:val="00FD6094"/>
    <w:rsid w:val="00FD7175"/>
    <w:rsid w:val="00FD79E9"/>
    <w:rsid w:val="00FD7E5E"/>
    <w:rsid w:val="00FE0396"/>
    <w:rsid w:val="00FE17E2"/>
    <w:rsid w:val="00FE1975"/>
    <w:rsid w:val="00FE2118"/>
    <w:rsid w:val="00FE2D9D"/>
    <w:rsid w:val="00FE52F2"/>
    <w:rsid w:val="00FE6396"/>
    <w:rsid w:val="00FE6B1B"/>
    <w:rsid w:val="00FE734F"/>
    <w:rsid w:val="00FF123C"/>
    <w:rsid w:val="00FF2730"/>
    <w:rsid w:val="00FF2750"/>
    <w:rsid w:val="00FF5E52"/>
    <w:rsid w:val="00FF61BF"/>
    <w:rsid w:val="00FF62C2"/>
    <w:rsid w:val="00FF6418"/>
    <w:rsid w:val="00FF68A6"/>
    <w:rsid w:val="00FF6D46"/>
    <w:rsid w:val="00FF701E"/>
  </w:rsids>
  <m:mathPr>
    <m:mathFont m:val="Cambria Math"/>
    <m:brkBin m:val="before"/>
    <m:brkBinSub m:val="--"/>
    <m:smallFrac m:val="0"/>
    <m:dispDef/>
    <m:lMargin m:val="0"/>
    <m:rMargin m:val="0"/>
    <m:defJc m:val="centerGroup"/>
    <m:wrapIndent m:val="1440"/>
    <m:intLim m:val="subSup"/>
    <m:naryLim m:val="undOvr"/>
  </m:mathPr>
  <w:themeFontLang w:val="en-ZA"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BFE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EC7"/>
    <w:pPr>
      <w:spacing w:line="480" w:lineRule="auto"/>
      <w:jc w:val="both"/>
    </w:pPr>
    <w:rPr>
      <w:rFonts w:ascii="Times New Roman" w:hAnsi="Times New Roman"/>
      <w:sz w:val="26"/>
      <w:szCs w:val="22"/>
      <w:lang w:val="en-ZA"/>
    </w:rPr>
  </w:style>
  <w:style w:type="paragraph" w:styleId="Heading2">
    <w:name w:val="heading 2"/>
    <w:basedOn w:val="Normal"/>
    <w:next w:val="Normal"/>
    <w:link w:val="Heading2Char"/>
    <w:uiPriority w:val="9"/>
    <w:semiHidden/>
    <w:qFormat/>
    <w:rsid w:val="00FB0D9F"/>
    <w:pPr>
      <w:keepNext/>
      <w:keepLines/>
      <w:spacing w:before="40"/>
      <w:outlineLvl w:val="1"/>
    </w:pPr>
    <w:rPr>
      <w:rFonts w:asciiTheme="majorHAnsi" w:eastAsiaTheme="majorEastAsia" w:hAnsiTheme="majorHAnsi" w:cstheme="majorBidi"/>
      <w:color w:val="365F91" w:themeColor="accent1" w:themeShade="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DGMENTNUMBERED">
    <w:name w:val="JUDGMENT NUMBERED"/>
    <w:basedOn w:val="Normal"/>
    <w:next w:val="JUDGMENTCONTINUED"/>
    <w:link w:val="JUDGMENTNUMBEREDChar"/>
    <w:qFormat/>
    <w:rsid w:val="00C63EC7"/>
    <w:pPr>
      <w:numPr>
        <w:numId w:val="1"/>
      </w:numPr>
      <w:spacing w:line="360" w:lineRule="auto"/>
      <w:ind w:left="1069"/>
    </w:pPr>
  </w:style>
  <w:style w:type="paragraph" w:customStyle="1" w:styleId="JUDGMENTCONTINUED">
    <w:name w:val="JUDGMENT CONTINUED"/>
    <w:basedOn w:val="JUDGMENTNUMBERED"/>
    <w:next w:val="JUDGMENTNUMBERED"/>
    <w:qFormat/>
    <w:rsid w:val="00C63EC7"/>
    <w:pPr>
      <w:numPr>
        <w:numId w:val="0"/>
      </w:numPr>
    </w:pPr>
  </w:style>
  <w:style w:type="paragraph" w:customStyle="1" w:styleId="QUOTATION">
    <w:name w:val="QUOTATION"/>
    <w:basedOn w:val="Normal"/>
    <w:next w:val="JUDGMENTCONTINUED"/>
    <w:qFormat/>
    <w:rsid w:val="00C63EC7"/>
    <w:pPr>
      <w:spacing w:line="360" w:lineRule="auto"/>
      <w:ind w:left="720" w:right="720"/>
    </w:pPr>
    <w:rPr>
      <w:sz w:val="22"/>
    </w:rPr>
  </w:style>
  <w:style w:type="paragraph" w:customStyle="1" w:styleId="QUOTEINQUOTE">
    <w:name w:val="QUOTE IN QUOTE"/>
    <w:basedOn w:val="QUOTATION"/>
    <w:next w:val="QUOTATION"/>
    <w:qFormat/>
    <w:rsid w:val="00C63EC7"/>
    <w:pPr>
      <w:ind w:left="1440" w:right="1440"/>
    </w:pPr>
  </w:style>
  <w:style w:type="paragraph" w:customStyle="1" w:styleId="FootnoteText1">
    <w:name w:val="Footnote Text1"/>
    <w:basedOn w:val="Normal"/>
    <w:qFormat/>
    <w:rsid w:val="00C63EC7"/>
    <w:pPr>
      <w:spacing w:after="120" w:line="240" w:lineRule="auto"/>
    </w:pPr>
    <w:rPr>
      <w:sz w:val="20"/>
    </w:rPr>
  </w:style>
  <w:style w:type="paragraph" w:styleId="ListParagraph">
    <w:name w:val="List Paragraph"/>
    <w:basedOn w:val="Normal"/>
    <w:link w:val="ListParagraphChar"/>
    <w:uiPriority w:val="34"/>
    <w:qFormat/>
    <w:rsid w:val="00C63EC7"/>
    <w:pPr>
      <w:ind w:left="720"/>
      <w:contextualSpacing/>
    </w:pPr>
  </w:style>
  <w:style w:type="paragraph" w:styleId="FootnoteText">
    <w:name w:val="footnote text"/>
    <w:aliases w:val="Footnote Text Char1 Char,Footnote Text Char Char Char,Footnote Text Char1 Char Char Char,Footnote Text Char Char Char Char Char,Footnote Text Char1 Char Char Char Char Char,Footnote Text Char Char,Footnote Text Char Char1,single space Char"/>
    <w:basedOn w:val="FootnoteText1"/>
    <w:link w:val="FootnoteTextChar"/>
    <w:uiPriority w:val="99"/>
    <w:unhideWhenUsed/>
    <w:qFormat/>
    <w:rsid w:val="00CB63EA"/>
  </w:style>
  <w:style w:type="character" w:customStyle="1" w:styleId="FootnoteTextChar">
    <w:name w:val="Footnote Text Char"/>
    <w:aliases w:val="Footnote Text Char1 Char Char,Footnote Text Char Char Char Char,Footnote Text Char1 Char Char Char Char,Footnote Text Char Char Char Char Char Char,Footnote Text Char1 Char Char Char Char Char Char,Footnote Text Char Char Char1"/>
    <w:basedOn w:val="DefaultParagraphFont"/>
    <w:link w:val="FootnoteText"/>
    <w:uiPriority w:val="99"/>
    <w:rsid w:val="00CB63EA"/>
    <w:rPr>
      <w:rFonts w:ascii="Times New Roman" w:hAnsi="Times New Roman"/>
      <w:szCs w:val="22"/>
      <w:lang w:val="en-ZA"/>
    </w:rPr>
  </w:style>
  <w:style w:type="character" w:styleId="FootnoteReference">
    <w:name w:val="footnote reference"/>
    <w:aliases w:val="Ref,de nota al pie,註腳內容,Footnotes refss,Appel note de bas de page,(NECG) Footnote Reference,fr,Footnote Reference + Superscript,Footnote symbol,Style 12,Footnote Reference in text,Footnote Reference Superscript,o,Style 4,Footnote"/>
    <w:basedOn w:val="DefaultParagraphFont"/>
    <w:uiPriority w:val="99"/>
    <w:unhideWhenUsed/>
    <w:qFormat/>
    <w:rsid w:val="00E4607C"/>
    <w:rPr>
      <w:vertAlign w:val="superscript"/>
    </w:rPr>
  </w:style>
  <w:style w:type="paragraph" w:customStyle="1" w:styleId="QUOTEINFOOTNOTE">
    <w:name w:val="QUOTE IN FOOTNOTE"/>
    <w:basedOn w:val="FootnoteText1"/>
    <w:next w:val="FootnoteText1"/>
    <w:qFormat/>
    <w:rsid w:val="00C63EC7"/>
    <w:pPr>
      <w:ind w:left="720" w:right="720"/>
    </w:pPr>
  </w:style>
  <w:style w:type="paragraph" w:styleId="Header">
    <w:name w:val="header"/>
    <w:basedOn w:val="Normal"/>
    <w:link w:val="HeaderChar"/>
    <w:unhideWhenUsed/>
    <w:rsid w:val="008C727F"/>
    <w:pPr>
      <w:tabs>
        <w:tab w:val="center" w:pos="4680"/>
        <w:tab w:val="right" w:pos="9360"/>
      </w:tabs>
      <w:spacing w:line="240" w:lineRule="auto"/>
    </w:pPr>
  </w:style>
  <w:style w:type="character" w:customStyle="1" w:styleId="HeaderChar">
    <w:name w:val="Header Char"/>
    <w:basedOn w:val="DefaultParagraphFont"/>
    <w:link w:val="Header"/>
    <w:uiPriority w:val="99"/>
    <w:rsid w:val="008C727F"/>
    <w:rPr>
      <w:rFonts w:ascii="Times New Roman" w:hAnsi="Times New Roman"/>
      <w:sz w:val="26"/>
    </w:rPr>
  </w:style>
  <w:style w:type="paragraph" w:styleId="Footer">
    <w:name w:val="footer"/>
    <w:basedOn w:val="Normal"/>
    <w:link w:val="FooterChar"/>
    <w:uiPriority w:val="99"/>
    <w:unhideWhenUsed/>
    <w:rsid w:val="008C727F"/>
    <w:pPr>
      <w:tabs>
        <w:tab w:val="center" w:pos="4680"/>
        <w:tab w:val="right" w:pos="9360"/>
      </w:tabs>
      <w:spacing w:line="240" w:lineRule="auto"/>
    </w:pPr>
  </w:style>
  <w:style w:type="character" w:customStyle="1" w:styleId="FooterChar">
    <w:name w:val="Footer Char"/>
    <w:basedOn w:val="DefaultParagraphFont"/>
    <w:link w:val="Footer"/>
    <w:uiPriority w:val="99"/>
    <w:rsid w:val="008C727F"/>
    <w:rPr>
      <w:rFonts w:ascii="Times New Roman" w:hAnsi="Times New Roman"/>
      <w:sz w:val="26"/>
    </w:rPr>
  </w:style>
  <w:style w:type="paragraph" w:styleId="BalloonText">
    <w:name w:val="Balloon Text"/>
    <w:basedOn w:val="Normal"/>
    <w:link w:val="BalloonTextChar"/>
    <w:uiPriority w:val="99"/>
    <w:semiHidden/>
    <w:unhideWhenUsed/>
    <w:rsid w:val="008C727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727F"/>
    <w:rPr>
      <w:rFonts w:ascii="Tahoma" w:hAnsi="Tahoma" w:cs="Tahoma"/>
      <w:sz w:val="16"/>
      <w:szCs w:val="16"/>
    </w:rPr>
  </w:style>
  <w:style w:type="paragraph" w:styleId="DocumentMap">
    <w:name w:val="Document Map"/>
    <w:basedOn w:val="Normal"/>
    <w:link w:val="DocumentMapChar"/>
    <w:semiHidden/>
    <w:rsid w:val="00860C4E"/>
    <w:pPr>
      <w:shd w:val="clear" w:color="auto" w:fill="000080"/>
      <w:spacing w:line="240" w:lineRule="auto"/>
    </w:pPr>
    <w:rPr>
      <w:rFonts w:ascii="Tahoma" w:eastAsia="Times New Roman" w:hAnsi="Tahoma" w:cs="Tahoma"/>
      <w:szCs w:val="24"/>
      <w:lang w:eastAsia="en-ZA"/>
    </w:rPr>
  </w:style>
  <w:style w:type="character" w:customStyle="1" w:styleId="DocumentMapChar">
    <w:name w:val="Document Map Char"/>
    <w:basedOn w:val="DefaultParagraphFont"/>
    <w:link w:val="DocumentMap"/>
    <w:semiHidden/>
    <w:rsid w:val="00860C4E"/>
    <w:rPr>
      <w:rFonts w:ascii="Tahoma" w:eastAsia="Times New Roman" w:hAnsi="Tahoma" w:cs="Tahoma"/>
      <w:sz w:val="26"/>
      <w:szCs w:val="24"/>
      <w:shd w:val="clear" w:color="auto" w:fill="000080"/>
      <w:lang w:val="en-ZA" w:eastAsia="en-ZA"/>
    </w:rPr>
  </w:style>
  <w:style w:type="character" w:styleId="PageNumber">
    <w:name w:val="page number"/>
    <w:basedOn w:val="DefaultParagraphFont"/>
    <w:rsid w:val="00860C4E"/>
  </w:style>
  <w:style w:type="paragraph" w:customStyle="1" w:styleId="List1">
    <w:name w:val="List1"/>
    <w:basedOn w:val="JUDGMENTNUMBERED"/>
    <w:link w:val="LISTChar"/>
    <w:qFormat/>
    <w:rsid w:val="00C63EC7"/>
    <w:pPr>
      <w:numPr>
        <w:numId w:val="0"/>
      </w:numPr>
      <w:ind w:left="1440" w:hanging="720"/>
    </w:pPr>
  </w:style>
  <w:style w:type="paragraph" w:customStyle="1" w:styleId="HEADING">
    <w:name w:val="HEADING"/>
    <w:basedOn w:val="JUDGMENTNUMBERED"/>
    <w:next w:val="JUDGMENTNUMBERED"/>
    <w:link w:val="HEADINGChar"/>
    <w:qFormat/>
    <w:rsid w:val="00C63EC7"/>
    <w:pPr>
      <w:keepNext/>
      <w:numPr>
        <w:numId w:val="0"/>
      </w:numPr>
      <w:spacing w:after="120"/>
    </w:pPr>
    <w:rPr>
      <w:i/>
    </w:rPr>
  </w:style>
  <w:style w:type="character" w:customStyle="1" w:styleId="JUDGMENTNUMBEREDChar">
    <w:name w:val="JUDGMENT NUMBERED Char"/>
    <w:basedOn w:val="DefaultParagraphFont"/>
    <w:link w:val="JUDGMENTNUMBERED"/>
    <w:rsid w:val="00C63EC7"/>
    <w:rPr>
      <w:rFonts w:ascii="Times New Roman" w:hAnsi="Times New Roman"/>
      <w:sz w:val="26"/>
      <w:szCs w:val="22"/>
      <w:lang w:val="en-ZA"/>
    </w:rPr>
  </w:style>
  <w:style w:type="character" w:customStyle="1" w:styleId="LISTChar">
    <w:name w:val="LIST Char"/>
    <w:basedOn w:val="JUDGMENTNUMBEREDChar"/>
    <w:link w:val="List1"/>
    <w:rsid w:val="00C63EC7"/>
    <w:rPr>
      <w:rFonts w:ascii="Times New Roman" w:hAnsi="Times New Roman"/>
      <w:sz w:val="26"/>
      <w:szCs w:val="22"/>
      <w:lang w:val="en-ZA"/>
    </w:rPr>
  </w:style>
  <w:style w:type="character" w:customStyle="1" w:styleId="HEADINGChar">
    <w:name w:val="HEADING Char"/>
    <w:basedOn w:val="JUDGMENTNUMBEREDChar"/>
    <w:link w:val="HEADING"/>
    <w:rsid w:val="00C63EC7"/>
    <w:rPr>
      <w:rFonts w:ascii="Times New Roman" w:hAnsi="Times New Roman"/>
      <w:i/>
      <w:sz w:val="26"/>
      <w:szCs w:val="22"/>
      <w:lang w:val="en-ZA"/>
    </w:rPr>
  </w:style>
  <w:style w:type="paragraph" w:customStyle="1" w:styleId="COUNSELDETAILS">
    <w:name w:val="COUNSEL DETAILS"/>
    <w:basedOn w:val="Normal"/>
    <w:link w:val="COUNSELDETAILSChar"/>
    <w:rsid w:val="00CC158D"/>
    <w:pPr>
      <w:spacing w:line="240" w:lineRule="auto"/>
    </w:pPr>
    <w:rPr>
      <w:szCs w:val="26"/>
    </w:rPr>
  </w:style>
  <w:style w:type="character" w:customStyle="1" w:styleId="COUNSELDETAILSChar">
    <w:name w:val="COUNSEL DETAILS Char"/>
    <w:basedOn w:val="DefaultParagraphFont"/>
    <w:link w:val="COUNSELDETAILS"/>
    <w:rsid w:val="00CC158D"/>
    <w:rPr>
      <w:rFonts w:ascii="Times New Roman" w:hAnsi="Times New Roman"/>
      <w:sz w:val="26"/>
      <w:szCs w:val="26"/>
      <w:lang w:val="en-ZA"/>
    </w:rPr>
  </w:style>
  <w:style w:type="paragraph" w:customStyle="1" w:styleId="ORDER">
    <w:name w:val="ORDER"/>
    <w:basedOn w:val="JUDGMENTNUMBERED"/>
    <w:link w:val="ORDERChar"/>
    <w:qFormat/>
    <w:rsid w:val="00C63EC7"/>
    <w:pPr>
      <w:numPr>
        <w:numId w:val="0"/>
      </w:numPr>
      <w:ind w:left="1440" w:hanging="720"/>
    </w:pPr>
  </w:style>
  <w:style w:type="character" w:customStyle="1" w:styleId="ORDERChar">
    <w:name w:val="ORDER Char"/>
    <w:basedOn w:val="JUDGMENTNUMBEREDChar"/>
    <w:link w:val="ORDER"/>
    <w:rsid w:val="00C63EC7"/>
    <w:rPr>
      <w:rFonts w:ascii="Times New Roman" w:hAnsi="Times New Roman"/>
      <w:sz w:val="26"/>
      <w:szCs w:val="22"/>
      <w:lang w:val="en-ZA"/>
    </w:rPr>
  </w:style>
  <w:style w:type="paragraph" w:customStyle="1" w:styleId="BODYNON-NUMBERED">
    <w:name w:val="BODY NON-NUMBERED"/>
    <w:basedOn w:val="Normal"/>
    <w:link w:val="BODYNON-NUMBEREDChar"/>
    <w:qFormat/>
    <w:rsid w:val="007B5814"/>
    <w:pPr>
      <w:tabs>
        <w:tab w:val="left" w:pos="680"/>
      </w:tabs>
      <w:spacing w:after="240" w:line="276" w:lineRule="auto"/>
    </w:pPr>
  </w:style>
  <w:style w:type="character" w:customStyle="1" w:styleId="BODYNON-NUMBEREDChar">
    <w:name w:val="BODY NON-NUMBERED Char"/>
    <w:basedOn w:val="DefaultParagraphFont"/>
    <w:link w:val="BODYNON-NUMBERED"/>
    <w:rsid w:val="007B5814"/>
    <w:rPr>
      <w:rFonts w:ascii="Times New Roman" w:hAnsi="Times New Roman"/>
      <w:sz w:val="26"/>
      <w:szCs w:val="22"/>
      <w:lang w:val="en-ZA"/>
    </w:rPr>
  </w:style>
  <w:style w:type="character" w:styleId="CommentReference">
    <w:name w:val="annotation reference"/>
    <w:basedOn w:val="DefaultParagraphFont"/>
    <w:uiPriority w:val="99"/>
    <w:semiHidden/>
    <w:unhideWhenUsed/>
    <w:rsid w:val="00A94B7A"/>
    <w:rPr>
      <w:sz w:val="18"/>
      <w:szCs w:val="18"/>
    </w:rPr>
  </w:style>
  <w:style w:type="paragraph" w:styleId="CommentText">
    <w:name w:val="annotation text"/>
    <w:basedOn w:val="Normal"/>
    <w:link w:val="CommentTextChar"/>
    <w:uiPriority w:val="99"/>
    <w:unhideWhenUsed/>
    <w:rsid w:val="00A94B7A"/>
    <w:pPr>
      <w:spacing w:line="240" w:lineRule="auto"/>
    </w:pPr>
    <w:rPr>
      <w:sz w:val="24"/>
      <w:szCs w:val="24"/>
    </w:rPr>
  </w:style>
  <w:style w:type="character" w:customStyle="1" w:styleId="CommentTextChar">
    <w:name w:val="Comment Text Char"/>
    <w:basedOn w:val="DefaultParagraphFont"/>
    <w:link w:val="CommentText"/>
    <w:uiPriority w:val="99"/>
    <w:rsid w:val="00A94B7A"/>
    <w:rPr>
      <w:rFonts w:ascii="Times New Roman" w:hAnsi="Times New Roman"/>
      <w:sz w:val="24"/>
      <w:szCs w:val="24"/>
      <w:lang w:val="en-ZA"/>
    </w:rPr>
  </w:style>
  <w:style w:type="paragraph" w:styleId="CommentSubject">
    <w:name w:val="annotation subject"/>
    <w:basedOn w:val="CommentText"/>
    <w:next w:val="CommentText"/>
    <w:link w:val="CommentSubjectChar"/>
    <w:uiPriority w:val="99"/>
    <w:semiHidden/>
    <w:unhideWhenUsed/>
    <w:rsid w:val="00A94B7A"/>
    <w:rPr>
      <w:b/>
      <w:bCs/>
      <w:sz w:val="20"/>
      <w:szCs w:val="20"/>
    </w:rPr>
  </w:style>
  <w:style w:type="character" w:customStyle="1" w:styleId="CommentSubjectChar">
    <w:name w:val="Comment Subject Char"/>
    <w:basedOn w:val="CommentTextChar"/>
    <w:link w:val="CommentSubject"/>
    <w:uiPriority w:val="99"/>
    <w:semiHidden/>
    <w:rsid w:val="00A94B7A"/>
    <w:rPr>
      <w:rFonts w:ascii="Times New Roman" w:hAnsi="Times New Roman"/>
      <w:b/>
      <w:bCs/>
      <w:sz w:val="24"/>
      <w:szCs w:val="24"/>
      <w:lang w:val="en-ZA"/>
    </w:rPr>
  </w:style>
  <w:style w:type="character" w:customStyle="1" w:styleId="Heading2Char">
    <w:name w:val="Heading 2 Char"/>
    <w:basedOn w:val="DefaultParagraphFont"/>
    <w:link w:val="Heading2"/>
    <w:uiPriority w:val="9"/>
    <w:semiHidden/>
    <w:rsid w:val="00FB0D9F"/>
    <w:rPr>
      <w:rFonts w:asciiTheme="majorHAnsi" w:eastAsiaTheme="majorEastAsia" w:hAnsiTheme="majorHAnsi" w:cstheme="majorBidi"/>
      <w:color w:val="365F91" w:themeColor="accent1" w:themeShade="BF"/>
      <w:sz w:val="26"/>
      <w:szCs w:val="26"/>
      <w:lang w:val="en-ZA"/>
    </w:rPr>
  </w:style>
  <w:style w:type="paragraph" w:styleId="Revision">
    <w:name w:val="Revision"/>
    <w:hidden/>
    <w:uiPriority w:val="99"/>
    <w:semiHidden/>
    <w:rsid w:val="0084526E"/>
    <w:rPr>
      <w:rFonts w:ascii="Times New Roman" w:hAnsi="Times New Roman"/>
      <w:sz w:val="26"/>
      <w:szCs w:val="22"/>
      <w:lang w:val="en-ZA"/>
    </w:rPr>
  </w:style>
  <w:style w:type="paragraph" w:styleId="NormalWeb">
    <w:name w:val="Normal (Web)"/>
    <w:basedOn w:val="Normal"/>
    <w:uiPriority w:val="99"/>
    <w:semiHidden/>
    <w:unhideWhenUsed/>
    <w:rsid w:val="007B6AC8"/>
    <w:rPr>
      <w:sz w:val="24"/>
      <w:szCs w:val="24"/>
    </w:rPr>
  </w:style>
  <w:style w:type="paragraph" w:customStyle="1" w:styleId="Default">
    <w:name w:val="Default"/>
    <w:rsid w:val="00793E01"/>
    <w:pPr>
      <w:autoSpaceDE w:val="0"/>
      <w:autoSpaceDN w:val="0"/>
      <w:adjustRightInd w:val="0"/>
    </w:pPr>
    <w:rPr>
      <w:rFonts w:ascii="Arial" w:hAnsi="Arial" w:cs="Arial"/>
      <w:color w:val="000000"/>
      <w:sz w:val="24"/>
      <w:szCs w:val="24"/>
      <w:lang w:val="en-ZA"/>
    </w:rPr>
  </w:style>
  <w:style w:type="paragraph" w:styleId="EndnoteText">
    <w:name w:val="endnote text"/>
    <w:basedOn w:val="Normal"/>
    <w:link w:val="EndnoteTextChar"/>
    <w:uiPriority w:val="99"/>
    <w:semiHidden/>
    <w:unhideWhenUsed/>
    <w:rsid w:val="00ED6F49"/>
    <w:pPr>
      <w:spacing w:line="240" w:lineRule="auto"/>
    </w:pPr>
    <w:rPr>
      <w:sz w:val="20"/>
      <w:szCs w:val="20"/>
    </w:rPr>
  </w:style>
  <w:style w:type="character" w:customStyle="1" w:styleId="EndnoteTextChar">
    <w:name w:val="Endnote Text Char"/>
    <w:basedOn w:val="DefaultParagraphFont"/>
    <w:link w:val="EndnoteText"/>
    <w:uiPriority w:val="99"/>
    <w:semiHidden/>
    <w:rsid w:val="00ED6F49"/>
    <w:rPr>
      <w:rFonts w:ascii="Times New Roman" w:hAnsi="Times New Roman"/>
      <w:lang w:val="en-ZA"/>
    </w:rPr>
  </w:style>
  <w:style w:type="character" w:styleId="EndnoteReference">
    <w:name w:val="endnote reference"/>
    <w:basedOn w:val="DefaultParagraphFont"/>
    <w:uiPriority w:val="99"/>
    <w:semiHidden/>
    <w:unhideWhenUsed/>
    <w:rsid w:val="00ED6F49"/>
    <w:rPr>
      <w:vertAlign w:val="superscript"/>
    </w:rPr>
  </w:style>
  <w:style w:type="character" w:styleId="Hyperlink">
    <w:name w:val="Hyperlink"/>
    <w:basedOn w:val="DefaultParagraphFont"/>
    <w:uiPriority w:val="99"/>
    <w:unhideWhenUsed/>
    <w:rsid w:val="006C6CF4"/>
    <w:rPr>
      <w:color w:val="0000FF" w:themeColor="hyperlink"/>
      <w:u w:val="single"/>
    </w:rPr>
  </w:style>
  <w:style w:type="character" w:styleId="FollowedHyperlink">
    <w:name w:val="FollowedHyperlink"/>
    <w:basedOn w:val="DefaultParagraphFont"/>
    <w:uiPriority w:val="99"/>
    <w:semiHidden/>
    <w:unhideWhenUsed/>
    <w:rsid w:val="00BC4681"/>
    <w:rPr>
      <w:color w:val="800080" w:themeColor="followedHyperlink"/>
      <w:u w:val="single"/>
    </w:rPr>
  </w:style>
  <w:style w:type="character" w:styleId="Strong">
    <w:name w:val="Strong"/>
    <w:basedOn w:val="DefaultParagraphFont"/>
    <w:uiPriority w:val="22"/>
    <w:qFormat/>
    <w:rsid w:val="00514FE8"/>
    <w:rPr>
      <w:b/>
      <w:bCs/>
    </w:rPr>
  </w:style>
  <w:style w:type="character" w:customStyle="1" w:styleId="ListParagraphChar">
    <w:name w:val="List Paragraph Char"/>
    <w:basedOn w:val="DefaultParagraphFont"/>
    <w:link w:val="ListParagraph"/>
    <w:uiPriority w:val="34"/>
    <w:rsid w:val="00242DD8"/>
    <w:rPr>
      <w:rFonts w:ascii="Times New Roman" w:hAnsi="Times New Roman"/>
      <w:sz w:val="26"/>
      <w:szCs w:val="22"/>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869867">
      <w:bodyDiv w:val="1"/>
      <w:marLeft w:val="0"/>
      <w:marRight w:val="0"/>
      <w:marTop w:val="0"/>
      <w:marBottom w:val="0"/>
      <w:divBdr>
        <w:top w:val="none" w:sz="0" w:space="0" w:color="auto"/>
        <w:left w:val="none" w:sz="0" w:space="0" w:color="auto"/>
        <w:bottom w:val="none" w:sz="0" w:space="0" w:color="auto"/>
        <w:right w:val="none" w:sz="0" w:space="0" w:color="auto"/>
      </w:divBdr>
    </w:div>
    <w:div w:id="256670693">
      <w:bodyDiv w:val="1"/>
      <w:marLeft w:val="0"/>
      <w:marRight w:val="0"/>
      <w:marTop w:val="0"/>
      <w:marBottom w:val="0"/>
      <w:divBdr>
        <w:top w:val="none" w:sz="0" w:space="0" w:color="auto"/>
        <w:left w:val="none" w:sz="0" w:space="0" w:color="auto"/>
        <w:bottom w:val="none" w:sz="0" w:space="0" w:color="auto"/>
        <w:right w:val="none" w:sz="0" w:space="0" w:color="auto"/>
      </w:divBdr>
    </w:div>
    <w:div w:id="303386790">
      <w:bodyDiv w:val="1"/>
      <w:marLeft w:val="0"/>
      <w:marRight w:val="0"/>
      <w:marTop w:val="0"/>
      <w:marBottom w:val="0"/>
      <w:divBdr>
        <w:top w:val="none" w:sz="0" w:space="0" w:color="auto"/>
        <w:left w:val="none" w:sz="0" w:space="0" w:color="auto"/>
        <w:bottom w:val="none" w:sz="0" w:space="0" w:color="auto"/>
        <w:right w:val="none" w:sz="0" w:space="0" w:color="auto"/>
      </w:divBdr>
    </w:div>
    <w:div w:id="419302412">
      <w:bodyDiv w:val="1"/>
      <w:marLeft w:val="0"/>
      <w:marRight w:val="0"/>
      <w:marTop w:val="0"/>
      <w:marBottom w:val="0"/>
      <w:divBdr>
        <w:top w:val="none" w:sz="0" w:space="0" w:color="auto"/>
        <w:left w:val="none" w:sz="0" w:space="0" w:color="auto"/>
        <w:bottom w:val="none" w:sz="0" w:space="0" w:color="auto"/>
        <w:right w:val="none" w:sz="0" w:space="0" w:color="auto"/>
      </w:divBdr>
    </w:div>
    <w:div w:id="438841700">
      <w:bodyDiv w:val="1"/>
      <w:marLeft w:val="0"/>
      <w:marRight w:val="0"/>
      <w:marTop w:val="0"/>
      <w:marBottom w:val="0"/>
      <w:divBdr>
        <w:top w:val="none" w:sz="0" w:space="0" w:color="auto"/>
        <w:left w:val="none" w:sz="0" w:space="0" w:color="auto"/>
        <w:bottom w:val="none" w:sz="0" w:space="0" w:color="auto"/>
        <w:right w:val="none" w:sz="0" w:space="0" w:color="auto"/>
      </w:divBdr>
    </w:div>
    <w:div w:id="681973813">
      <w:bodyDiv w:val="1"/>
      <w:marLeft w:val="0"/>
      <w:marRight w:val="0"/>
      <w:marTop w:val="0"/>
      <w:marBottom w:val="0"/>
      <w:divBdr>
        <w:top w:val="none" w:sz="0" w:space="0" w:color="auto"/>
        <w:left w:val="none" w:sz="0" w:space="0" w:color="auto"/>
        <w:bottom w:val="none" w:sz="0" w:space="0" w:color="auto"/>
        <w:right w:val="none" w:sz="0" w:space="0" w:color="auto"/>
      </w:divBdr>
    </w:div>
    <w:div w:id="695277963">
      <w:bodyDiv w:val="1"/>
      <w:marLeft w:val="0"/>
      <w:marRight w:val="0"/>
      <w:marTop w:val="0"/>
      <w:marBottom w:val="0"/>
      <w:divBdr>
        <w:top w:val="none" w:sz="0" w:space="0" w:color="auto"/>
        <w:left w:val="none" w:sz="0" w:space="0" w:color="auto"/>
        <w:bottom w:val="none" w:sz="0" w:space="0" w:color="auto"/>
        <w:right w:val="none" w:sz="0" w:space="0" w:color="auto"/>
      </w:divBdr>
    </w:div>
    <w:div w:id="805662292">
      <w:bodyDiv w:val="1"/>
      <w:marLeft w:val="0"/>
      <w:marRight w:val="0"/>
      <w:marTop w:val="0"/>
      <w:marBottom w:val="0"/>
      <w:divBdr>
        <w:top w:val="none" w:sz="0" w:space="0" w:color="auto"/>
        <w:left w:val="none" w:sz="0" w:space="0" w:color="auto"/>
        <w:bottom w:val="none" w:sz="0" w:space="0" w:color="auto"/>
        <w:right w:val="none" w:sz="0" w:space="0" w:color="auto"/>
      </w:divBdr>
    </w:div>
    <w:div w:id="850752794">
      <w:bodyDiv w:val="1"/>
      <w:marLeft w:val="0"/>
      <w:marRight w:val="0"/>
      <w:marTop w:val="0"/>
      <w:marBottom w:val="0"/>
      <w:divBdr>
        <w:top w:val="none" w:sz="0" w:space="0" w:color="auto"/>
        <w:left w:val="none" w:sz="0" w:space="0" w:color="auto"/>
        <w:bottom w:val="none" w:sz="0" w:space="0" w:color="auto"/>
        <w:right w:val="none" w:sz="0" w:space="0" w:color="auto"/>
      </w:divBdr>
    </w:div>
    <w:div w:id="1000277260">
      <w:bodyDiv w:val="1"/>
      <w:marLeft w:val="0"/>
      <w:marRight w:val="0"/>
      <w:marTop w:val="0"/>
      <w:marBottom w:val="0"/>
      <w:divBdr>
        <w:top w:val="none" w:sz="0" w:space="0" w:color="auto"/>
        <w:left w:val="none" w:sz="0" w:space="0" w:color="auto"/>
        <w:bottom w:val="none" w:sz="0" w:space="0" w:color="auto"/>
        <w:right w:val="none" w:sz="0" w:space="0" w:color="auto"/>
      </w:divBdr>
    </w:div>
    <w:div w:id="1058479938">
      <w:bodyDiv w:val="1"/>
      <w:marLeft w:val="0"/>
      <w:marRight w:val="0"/>
      <w:marTop w:val="0"/>
      <w:marBottom w:val="0"/>
      <w:divBdr>
        <w:top w:val="none" w:sz="0" w:space="0" w:color="auto"/>
        <w:left w:val="none" w:sz="0" w:space="0" w:color="auto"/>
        <w:bottom w:val="none" w:sz="0" w:space="0" w:color="auto"/>
        <w:right w:val="none" w:sz="0" w:space="0" w:color="auto"/>
      </w:divBdr>
    </w:div>
    <w:div w:id="1410615039">
      <w:bodyDiv w:val="1"/>
      <w:marLeft w:val="0"/>
      <w:marRight w:val="0"/>
      <w:marTop w:val="0"/>
      <w:marBottom w:val="0"/>
      <w:divBdr>
        <w:top w:val="none" w:sz="0" w:space="0" w:color="auto"/>
        <w:left w:val="none" w:sz="0" w:space="0" w:color="auto"/>
        <w:bottom w:val="none" w:sz="0" w:space="0" w:color="auto"/>
        <w:right w:val="none" w:sz="0" w:space="0" w:color="auto"/>
      </w:divBdr>
    </w:div>
    <w:div w:id="1508405768">
      <w:bodyDiv w:val="1"/>
      <w:marLeft w:val="0"/>
      <w:marRight w:val="0"/>
      <w:marTop w:val="0"/>
      <w:marBottom w:val="0"/>
      <w:divBdr>
        <w:top w:val="none" w:sz="0" w:space="0" w:color="auto"/>
        <w:left w:val="none" w:sz="0" w:space="0" w:color="auto"/>
        <w:bottom w:val="none" w:sz="0" w:space="0" w:color="auto"/>
        <w:right w:val="none" w:sz="0" w:space="0" w:color="auto"/>
      </w:divBdr>
    </w:div>
    <w:div w:id="1514147407">
      <w:bodyDiv w:val="1"/>
      <w:marLeft w:val="0"/>
      <w:marRight w:val="0"/>
      <w:marTop w:val="0"/>
      <w:marBottom w:val="0"/>
      <w:divBdr>
        <w:top w:val="none" w:sz="0" w:space="0" w:color="auto"/>
        <w:left w:val="none" w:sz="0" w:space="0" w:color="auto"/>
        <w:bottom w:val="none" w:sz="0" w:space="0" w:color="auto"/>
        <w:right w:val="none" w:sz="0" w:space="0" w:color="auto"/>
      </w:divBdr>
    </w:div>
    <w:div w:id="1528566516">
      <w:bodyDiv w:val="1"/>
      <w:marLeft w:val="0"/>
      <w:marRight w:val="0"/>
      <w:marTop w:val="0"/>
      <w:marBottom w:val="0"/>
      <w:divBdr>
        <w:top w:val="none" w:sz="0" w:space="0" w:color="auto"/>
        <w:left w:val="none" w:sz="0" w:space="0" w:color="auto"/>
        <w:bottom w:val="none" w:sz="0" w:space="0" w:color="auto"/>
        <w:right w:val="none" w:sz="0" w:space="0" w:color="auto"/>
      </w:divBdr>
    </w:div>
    <w:div w:id="1549755512">
      <w:bodyDiv w:val="1"/>
      <w:marLeft w:val="0"/>
      <w:marRight w:val="0"/>
      <w:marTop w:val="0"/>
      <w:marBottom w:val="0"/>
      <w:divBdr>
        <w:top w:val="none" w:sz="0" w:space="0" w:color="auto"/>
        <w:left w:val="none" w:sz="0" w:space="0" w:color="auto"/>
        <w:bottom w:val="none" w:sz="0" w:space="0" w:color="auto"/>
        <w:right w:val="none" w:sz="0" w:space="0" w:color="auto"/>
      </w:divBdr>
    </w:div>
    <w:div w:id="1552838247">
      <w:bodyDiv w:val="1"/>
      <w:marLeft w:val="0"/>
      <w:marRight w:val="0"/>
      <w:marTop w:val="0"/>
      <w:marBottom w:val="0"/>
      <w:divBdr>
        <w:top w:val="none" w:sz="0" w:space="0" w:color="auto"/>
        <w:left w:val="none" w:sz="0" w:space="0" w:color="auto"/>
        <w:bottom w:val="none" w:sz="0" w:space="0" w:color="auto"/>
        <w:right w:val="none" w:sz="0" w:space="0" w:color="auto"/>
      </w:divBdr>
    </w:div>
    <w:div w:id="1609970047">
      <w:bodyDiv w:val="1"/>
      <w:marLeft w:val="0"/>
      <w:marRight w:val="0"/>
      <w:marTop w:val="0"/>
      <w:marBottom w:val="0"/>
      <w:divBdr>
        <w:top w:val="none" w:sz="0" w:space="0" w:color="auto"/>
        <w:left w:val="none" w:sz="0" w:space="0" w:color="auto"/>
        <w:bottom w:val="none" w:sz="0" w:space="0" w:color="auto"/>
        <w:right w:val="none" w:sz="0" w:space="0" w:color="auto"/>
      </w:divBdr>
      <w:divsChild>
        <w:div w:id="624196893">
          <w:marLeft w:val="0"/>
          <w:marRight w:val="0"/>
          <w:marTop w:val="0"/>
          <w:marBottom w:val="0"/>
          <w:divBdr>
            <w:top w:val="none" w:sz="0" w:space="0" w:color="auto"/>
            <w:left w:val="none" w:sz="0" w:space="0" w:color="auto"/>
            <w:bottom w:val="none" w:sz="0" w:space="0" w:color="auto"/>
            <w:right w:val="none" w:sz="0" w:space="0" w:color="auto"/>
          </w:divBdr>
          <w:divsChild>
            <w:div w:id="673075010">
              <w:marLeft w:val="0"/>
              <w:marRight w:val="0"/>
              <w:marTop w:val="0"/>
              <w:marBottom w:val="0"/>
              <w:divBdr>
                <w:top w:val="none" w:sz="0" w:space="0" w:color="auto"/>
                <w:left w:val="none" w:sz="0" w:space="0" w:color="auto"/>
                <w:bottom w:val="none" w:sz="0" w:space="0" w:color="auto"/>
                <w:right w:val="none" w:sz="0" w:space="0" w:color="auto"/>
              </w:divBdr>
              <w:divsChild>
                <w:div w:id="210988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617534">
      <w:bodyDiv w:val="1"/>
      <w:marLeft w:val="0"/>
      <w:marRight w:val="0"/>
      <w:marTop w:val="0"/>
      <w:marBottom w:val="0"/>
      <w:divBdr>
        <w:top w:val="none" w:sz="0" w:space="0" w:color="auto"/>
        <w:left w:val="none" w:sz="0" w:space="0" w:color="auto"/>
        <w:bottom w:val="none" w:sz="0" w:space="0" w:color="auto"/>
        <w:right w:val="none" w:sz="0" w:space="0" w:color="auto"/>
      </w:divBdr>
    </w:div>
    <w:div w:id="1745909570">
      <w:bodyDiv w:val="1"/>
      <w:marLeft w:val="0"/>
      <w:marRight w:val="0"/>
      <w:marTop w:val="0"/>
      <w:marBottom w:val="0"/>
      <w:divBdr>
        <w:top w:val="none" w:sz="0" w:space="0" w:color="auto"/>
        <w:left w:val="none" w:sz="0" w:space="0" w:color="auto"/>
        <w:bottom w:val="none" w:sz="0" w:space="0" w:color="auto"/>
        <w:right w:val="none" w:sz="0" w:space="0" w:color="auto"/>
      </w:divBdr>
    </w:div>
    <w:div w:id="1786273167">
      <w:bodyDiv w:val="1"/>
      <w:marLeft w:val="0"/>
      <w:marRight w:val="0"/>
      <w:marTop w:val="0"/>
      <w:marBottom w:val="0"/>
      <w:divBdr>
        <w:top w:val="none" w:sz="0" w:space="0" w:color="auto"/>
        <w:left w:val="none" w:sz="0" w:space="0" w:color="auto"/>
        <w:bottom w:val="none" w:sz="0" w:space="0" w:color="auto"/>
        <w:right w:val="none" w:sz="0" w:space="0" w:color="auto"/>
      </w:divBdr>
    </w:div>
    <w:div w:id="1855722569">
      <w:bodyDiv w:val="1"/>
      <w:marLeft w:val="0"/>
      <w:marRight w:val="0"/>
      <w:marTop w:val="0"/>
      <w:marBottom w:val="0"/>
      <w:divBdr>
        <w:top w:val="none" w:sz="0" w:space="0" w:color="auto"/>
        <w:left w:val="none" w:sz="0" w:space="0" w:color="auto"/>
        <w:bottom w:val="none" w:sz="0" w:space="0" w:color="auto"/>
        <w:right w:val="none" w:sz="0" w:space="0" w:color="auto"/>
      </w:divBdr>
    </w:div>
    <w:div w:id="1857763952">
      <w:bodyDiv w:val="1"/>
      <w:marLeft w:val="0"/>
      <w:marRight w:val="0"/>
      <w:marTop w:val="0"/>
      <w:marBottom w:val="0"/>
      <w:divBdr>
        <w:top w:val="none" w:sz="0" w:space="0" w:color="auto"/>
        <w:left w:val="none" w:sz="0" w:space="0" w:color="auto"/>
        <w:bottom w:val="none" w:sz="0" w:space="0" w:color="auto"/>
        <w:right w:val="none" w:sz="0" w:space="0" w:color="auto"/>
      </w:divBdr>
      <w:divsChild>
        <w:div w:id="1029990123">
          <w:marLeft w:val="0"/>
          <w:marRight w:val="0"/>
          <w:marTop w:val="0"/>
          <w:marBottom w:val="0"/>
          <w:divBdr>
            <w:top w:val="none" w:sz="0" w:space="0" w:color="auto"/>
            <w:left w:val="none" w:sz="0" w:space="0" w:color="auto"/>
            <w:bottom w:val="none" w:sz="0" w:space="0" w:color="auto"/>
            <w:right w:val="none" w:sz="0" w:space="0" w:color="auto"/>
          </w:divBdr>
          <w:divsChild>
            <w:div w:id="1861242687">
              <w:marLeft w:val="0"/>
              <w:marRight w:val="0"/>
              <w:marTop w:val="0"/>
              <w:marBottom w:val="0"/>
              <w:divBdr>
                <w:top w:val="none" w:sz="0" w:space="0" w:color="auto"/>
                <w:left w:val="none" w:sz="0" w:space="0" w:color="auto"/>
                <w:bottom w:val="none" w:sz="0" w:space="0" w:color="auto"/>
                <w:right w:val="none" w:sz="0" w:space="0" w:color="auto"/>
              </w:divBdr>
              <w:divsChild>
                <w:div w:id="101954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580297">
      <w:bodyDiv w:val="1"/>
      <w:marLeft w:val="0"/>
      <w:marRight w:val="0"/>
      <w:marTop w:val="0"/>
      <w:marBottom w:val="0"/>
      <w:divBdr>
        <w:top w:val="none" w:sz="0" w:space="0" w:color="auto"/>
        <w:left w:val="none" w:sz="0" w:space="0" w:color="auto"/>
        <w:bottom w:val="none" w:sz="0" w:space="0" w:color="auto"/>
        <w:right w:val="none" w:sz="0" w:space="0" w:color="auto"/>
      </w:divBdr>
    </w:div>
    <w:div w:id="1936473400">
      <w:bodyDiv w:val="1"/>
      <w:marLeft w:val="0"/>
      <w:marRight w:val="0"/>
      <w:marTop w:val="0"/>
      <w:marBottom w:val="0"/>
      <w:divBdr>
        <w:top w:val="none" w:sz="0" w:space="0" w:color="auto"/>
        <w:left w:val="none" w:sz="0" w:space="0" w:color="auto"/>
        <w:bottom w:val="none" w:sz="0" w:space="0" w:color="auto"/>
        <w:right w:val="none" w:sz="0" w:space="0" w:color="auto"/>
      </w:divBdr>
    </w:div>
    <w:div w:id="1969621165">
      <w:bodyDiv w:val="1"/>
      <w:marLeft w:val="0"/>
      <w:marRight w:val="0"/>
      <w:marTop w:val="0"/>
      <w:marBottom w:val="0"/>
      <w:divBdr>
        <w:top w:val="none" w:sz="0" w:space="0" w:color="auto"/>
        <w:left w:val="none" w:sz="0" w:space="0" w:color="auto"/>
        <w:bottom w:val="none" w:sz="0" w:space="0" w:color="auto"/>
        <w:right w:val="none" w:sz="0" w:space="0" w:color="auto"/>
      </w:divBdr>
    </w:div>
    <w:div w:id="2115512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80E367-D2C5-4228-85E9-6FA38A7B3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7658</Words>
  <Characters>43656</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2021-10-07T12:22:00Z</dcterms:created>
  <dcterms:modified xsi:type="dcterms:W3CDTF">2021-10-07T12:22:00Z</dcterms:modified>
</cp:coreProperties>
</file>