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CBCF3" w14:textId="77777777" w:rsidR="003A18CF" w:rsidRDefault="0003374F" w:rsidP="003A18CF">
      <w:pPr>
        <w:spacing w:line="240" w:lineRule="auto"/>
        <w:jc w:val="center"/>
        <w:outlineLvl w:val="0"/>
      </w:pPr>
      <w:r w:rsidRPr="0003374F">
        <w:rPr>
          <w:b/>
          <w:bCs/>
          <w:noProof/>
          <w:color w:val="1F497D"/>
          <w:lang w:eastAsia="en-ZA"/>
        </w:rPr>
        <w:drawing>
          <wp:inline distT="0" distB="0" distL="0" distR="0" wp14:anchorId="6F4E3719" wp14:editId="26A4BEC8">
            <wp:extent cx="849732" cy="876300"/>
            <wp:effectExtent l="19050" t="0" r="7518" b="0"/>
            <wp:docPr id="2"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49732" cy="876300"/>
                    </a:xfrm>
                    <a:prstGeom prst="rect">
                      <a:avLst/>
                    </a:prstGeom>
                    <a:noFill/>
                    <a:ln w="9525">
                      <a:noFill/>
                      <a:miter lim="800000"/>
                      <a:headEnd/>
                      <a:tailEnd/>
                    </a:ln>
                  </pic:spPr>
                </pic:pic>
              </a:graphicData>
            </a:graphic>
          </wp:inline>
        </w:drawing>
      </w:r>
    </w:p>
    <w:p w14:paraId="30D98806" w14:textId="77777777" w:rsidR="003A18CF" w:rsidRDefault="003A18CF" w:rsidP="003A18CF">
      <w:pPr>
        <w:spacing w:line="240" w:lineRule="auto"/>
        <w:jc w:val="center"/>
        <w:outlineLvl w:val="0"/>
      </w:pPr>
    </w:p>
    <w:p w14:paraId="24442E8A" w14:textId="77777777" w:rsidR="003A18CF" w:rsidRPr="00271C49" w:rsidRDefault="003A18CF" w:rsidP="003A18CF">
      <w:pPr>
        <w:spacing w:line="240" w:lineRule="auto"/>
        <w:jc w:val="center"/>
        <w:outlineLvl w:val="0"/>
        <w:rPr>
          <w:b/>
        </w:rPr>
      </w:pPr>
      <w:r w:rsidRPr="00271C49">
        <w:rPr>
          <w:b/>
        </w:rPr>
        <w:t>CONSTITUTIONAL COURT OF SOUTH AFRICA</w:t>
      </w:r>
    </w:p>
    <w:p w14:paraId="66BA2E3C" w14:textId="77777777" w:rsidR="003A18CF" w:rsidRDefault="003A18CF" w:rsidP="003A18CF">
      <w:pPr>
        <w:spacing w:line="240" w:lineRule="auto"/>
      </w:pPr>
    </w:p>
    <w:p w14:paraId="0F8CA64A" w14:textId="77777777" w:rsidR="003A18CF" w:rsidRPr="009C3888" w:rsidRDefault="003A18CF" w:rsidP="003A18CF">
      <w:pPr>
        <w:spacing w:line="240" w:lineRule="auto"/>
      </w:pPr>
    </w:p>
    <w:p w14:paraId="21D42D57" w14:textId="77777777" w:rsidR="003A18CF" w:rsidRPr="00961263" w:rsidRDefault="003A18CF" w:rsidP="003A18CF">
      <w:pPr>
        <w:tabs>
          <w:tab w:val="right" w:pos="9029"/>
        </w:tabs>
        <w:spacing w:line="240" w:lineRule="auto"/>
      </w:pPr>
      <w:r w:rsidRPr="00961263">
        <w:tab/>
        <w:t xml:space="preserve">Case CCT </w:t>
      </w:r>
      <w:r w:rsidR="003C1792">
        <w:t>15</w:t>
      </w:r>
      <w:r w:rsidRPr="00961263">
        <w:t>/</w:t>
      </w:r>
      <w:r w:rsidR="003C1792">
        <w:t>21</w:t>
      </w:r>
    </w:p>
    <w:p w14:paraId="63DC2EE1" w14:textId="77777777" w:rsidR="003A18CF" w:rsidRDefault="003A18CF" w:rsidP="003A18CF">
      <w:pPr>
        <w:tabs>
          <w:tab w:val="left" w:pos="8998"/>
        </w:tabs>
        <w:spacing w:line="240" w:lineRule="auto"/>
      </w:pPr>
    </w:p>
    <w:p w14:paraId="10FF6A7F" w14:textId="77777777" w:rsidR="003A18CF" w:rsidRPr="00E6071A" w:rsidRDefault="003A18CF" w:rsidP="003A18CF">
      <w:pPr>
        <w:tabs>
          <w:tab w:val="left" w:pos="8998"/>
        </w:tabs>
        <w:spacing w:line="240" w:lineRule="auto"/>
      </w:pPr>
      <w:r w:rsidRPr="00E6071A">
        <w:t>In the matter between:</w:t>
      </w:r>
    </w:p>
    <w:p w14:paraId="31A54E2C" w14:textId="77777777" w:rsidR="003A18CF" w:rsidRDefault="003A18CF" w:rsidP="003A18CF">
      <w:pPr>
        <w:tabs>
          <w:tab w:val="left" w:pos="8998"/>
        </w:tabs>
        <w:spacing w:line="240" w:lineRule="auto"/>
      </w:pPr>
    </w:p>
    <w:p w14:paraId="2DB4C521" w14:textId="77777777" w:rsidR="003A18CF" w:rsidRPr="009C3888" w:rsidRDefault="003A18CF" w:rsidP="003A18CF">
      <w:pPr>
        <w:tabs>
          <w:tab w:val="left" w:pos="8998"/>
        </w:tabs>
        <w:spacing w:line="240" w:lineRule="auto"/>
      </w:pPr>
    </w:p>
    <w:p w14:paraId="0AFB3FFC" w14:textId="1588B6D8" w:rsidR="003A18CF" w:rsidRPr="00EE02D5" w:rsidRDefault="003C1792" w:rsidP="003A18CF">
      <w:pPr>
        <w:tabs>
          <w:tab w:val="right" w:pos="9029"/>
        </w:tabs>
        <w:spacing w:line="240" w:lineRule="auto"/>
        <w:rPr>
          <w:szCs w:val="26"/>
        </w:rPr>
      </w:pPr>
      <w:r>
        <w:rPr>
          <w:b/>
          <w:szCs w:val="26"/>
        </w:rPr>
        <w:t>ANDREW TUEE BALOYI N.O</w:t>
      </w:r>
      <w:r w:rsidR="00D37A96">
        <w:rPr>
          <w:b/>
          <w:szCs w:val="26"/>
        </w:rPr>
        <w:t>.</w:t>
      </w:r>
      <w:r w:rsidR="003A18CF" w:rsidRPr="00EE02D5">
        <w:rPr>
          <w:szCs w:val="26"/>
        </w:rPr>
        <w:tab/>
      </w:r>
      <w:r w:rsidR="003A18CF" w:rsidRPr="00D313F7">
        <w:rPr>
          <w:szCs w:val="26"/>
        </w:rPr>
        <w:t>First</w:t>
      </w:r>
      <w:r w:rsidR="003A18CF" w:rsidRPr="00EE02D5">
        <w:rPr>
          <w:szCs w:val="26"/>
        </w:rPr>
        <w:t xml:space="preserve"> Applicant</w:t>
      </w:r>
    </w:p>
    <w:p w14:paraId="63D2547A" w14:textId="77777777" w:rsidR="003A18CF" w:rsidRPr="00EE02D5" w:rsidRDefault="003A18CF" w:rsidP="003A18CF">
      <w:pPr>
        <w:tabs>
          <w:tab w:val="right" w:pos="9029"/>
        </w:tabs>
        <w:spacing w:line="240" w:lineRule="auto"/>
        <w:rPr>
          <w:szCs w:val="26"/>
        </w:rPr>
      </w:pPr>
    </w:p>
    <w:p w14:paraId="16FFB36D" w14:textId="38DB3364" w:rsidR="003A18CF" w:rsidRPr="00EE02D5" w:rsidRDefault="003C1792" w:rsidP="003A18CF">
      <w:pPr>
        <w:tabs>
          <w:tab w:val="right" w:pos="9029"/>
        </w:tabs>
        <w:spacing w:line="240" w:lineRule="auto"/>
        <w:rPr>
          <w:szCs w:val="26"/>
        </w:rPr>
      </w:pPr>
      <w:r>
        <w:rPr>
          <w:b/>
          <w:szCs w:val="26"/>
        </w:rPr>
        <w:t>EUNICE MHAKA BALOYI N.O</w:t>
      </w:r>
      <w:r w:rsidR="00D37A96">
        <w:rPr>
          <w:b/>
          <w:szCs w:val="26"/>
        </w:rPr>
        <w:t>.</w:t>
      </w:r>
      <w:r w:rsidR="003A18CF" w:rsidRPr="00EE02D5">
        <w:rPr>
          <w:szCs w:val="26"/>
        </w:rPr>
        <w:tab/>
      </w:r>
      <w:r w:rsidR="003A18CF" w:rsidRPr="003C1792">
        <w:rPr>
          <w:szCs w:val="26"/>
        </w:rPr>
        <w:t>Second Applicant</w:t>
      </w:r>
    </w:p>
    <w:p w14:paraId="6A930DAC" w14:textId="77777777" w:rsidR="003A18CF" w:rsidRPr="00EE02D5" w:rsidRDefault="003A18CF" w:rsidP="003A18CF">
      <w:pPr>
        <w:spacing w:line="240" w:lineRule="auto"/>
        <w:rPr>
          <w:szCs w:val="26"/>
        </w:rPr>
      </w:pPr>
    </w:p>
    <w:p w14:paraId="26807EB7" w14:textId="77777777" w:rsidR="003A18CF" w:rsidRPr="00EE02D5" w:rsidRDefault="003C1792" w:rsidP="003A18CF">
      <w:pPr>
        <w:tabs>
          <w:tab w:val="right" w:pos="9029"/>
        </w:tabs>
        <w:spacing w:line="240" w:lineRule="auto"/>
        <w:rPr>
          <w:szCs w:val="26"/>
        </w:rPr>
      </w:pPr>
      <w:r>
        <w:rPr>
          <w:b/>
          <w:szCs w:val="26"/>
        </w:rPr>
        <w:t>ANDREW TUEE BALOYI</w:t>
      </w:r>
      <w:r w:rsidR="003A18CF" w:rsidRPr="00EE02D5">
        <w:rPr>
          <w:szCs w:val="26"/>
        </w:rPr>
        <w:tab/>
      </w:r>
      <w:r>
        <w:rPr>
          <w:szCs w:val="26"/>
        </w:rPr>
        <w:t>Third</w:t>
      </w:r>
      <w:r w:rsidR="003A18CF" w:rsidRPr="00EE02D5">
        <w:rPr>
          <w:szCs w:val="26"/>
        </w:rPr>
        <w:t xml:space="preserve"> </w:t>
      </w:r>
      <w:r>
        <w:rPr>
          <w:szCs w:val="26"/>
        </w:rPr>
        <w:t>Applicant</w:t>
      </w:r>
    </w:p>
    <w:p w14:paraId="2A89F64B" w14:textId="77777777" w:rsidR="003A18CF" w:rsidRPr="00EE02D5" w:rsidRDefault="003A18CF" w:rsidP="003A18CF">
      <w:pPr>
        <w:tabs>
          <w:tab w:val="right" w:pos="9029"/>
        </w:tabs>
        <w:spacing w:line="240" w:lineRule="auto"/>
        <w:rPr>
          <w:szCs w:val="26"/>
        </w:rPr>
      </w:pPr>
    </w:p>
    <w:p w14:paraId="09BA5D7D" w14:textId="77777777" w:rsidR="003A18CF" w:rsidRPr="00EE02D5" w:rsidRDefault="003C1792" w:rsidP="003A18CF">
      <w:pPr>
        <w:tabs>
          <w:tab w:val="right" w:pos="9029"/>
        </w:tabs>
        <w:spacing w:line="240" w:lineRule="auto"/>
        <w:rPr>
          <w:szCs w:val="26"/>
        </w:rPr>
      </w:pPr>
      <w:r>
        <w:rPr>
          <w:b/>
          <w:szCs w:val="26"/>
        </w:rPr>
        <w:t>EUNICE MHAKA BALOYI</w:t>
      </w:r>
      <w:r w:rsidR="003A18CF" w:rsidRPr="00EE02D5">
        <w:rPr>
          <w:szCs w:val="26"/>
        </w:rPr>
        <w:tab/>
      </w:r>
      <w:r>
        <w:rPr>
          <w:szCs w:val="26"/>
        </w:rPr>
        <w:t>Fourth Applicant</w:t>
      </w:r>
    </w:p>
    <w:p w14:paraId="4DA12767" w14:textId="77777777" w:rsidR="003A18CF" w:rsidRPr="00EE02D5" w:rsidRDefault="003A18CF" w:rsidP="003A18CF">
      <w:pPr>
        <w:spacing w:line="240" w:lineRule="auto"/>
        <w:rPr>
          <w:szCs w:val="26"/>
        </w:rPr>
      </w:pPr>
    </w:p>
    <w:p w14:paraId="3A716D97" w14:textId="77777777" w:rsidR="003A18CF" w:rsidRPr="00EE02D5" w:rsidRDefault="003A18CF" w:rsidP="003A18CF">
      <w:pPr>
        <w:spacing w:line="240" w:lineRule="auto"/>
        <w:rPr>
          <w:szCs w:val="26"/>
        </w:rPr>
      </w:pPr>
      <w:r w:rsidRPr="003C1792">
        <w:rPr>
          <w:szCs w:val="26"/>
        </w:rPr>
        <w:t>and</w:t>
      </w:r>
    </w:p>
    <w:p w14:paraId="2C860529" w14:textId="77777777" w:rsidR="003A18CF" w:rsidRPr="00EE02D5" w:rsidRDefault="003A18CF" w:rsidP="003A18CF">
      <w:pPr>
        <w:spacing w:line="240" w:lineRule="auto"/>
        <w:rPr>
          <w:szCs w:val="26"/>
        </w:rPr>
      </w:pPr>
    </w:p>
    <w:p w14:paraId="2C80BE6D" w14:textId="77777777" w:rsidR="003A18CF" w:rsidRPr="00EE02D5" w:rsidRDefault="003C1792" w:rsidP="003A18CF">
      <w:pPr>
        <w:tabs>
          <w:tab w:val="right" w:pos="9029"/>
        </w:tabs>
        <w:spacing w:line="240" w:lineRule="auto"/>
        <w:rPr>
          <w:szCs w:val="26"/>
        </w:rPr>
      </w:pPr>
      <w:r>
        <w:rPr>
          <w:b/>
          <w:szCs w:val="26"/>
        </w:rPr>
        <w:t>PAWN STARS CC</w:t>
      </w:r>
      <w:r w:rsidR="003A18CF" w:rsidRPr="00EE02D5">
        <w:rPr>
          <w:szCs w:val="26"/>
        </w:rPr>
        <w:tab/>
      </w:r>
      <w:r w:rsidR="003A18CF" w:rsidRPr="003C1792">
        <w:rPr>
          <w:szCs w:val="26"/>
        </w:rPr>
        <w:t xml:space="preserve">First </w:t>
      </w:r>
      <w:r>
        <w:rPr>
          <w:szCs w:val="26"/>
        </w:rPr>
        <w:t>Respondent</w:t>
      </w:r>
    </w:p>
    <w:p w14:paraId="62162ED7" w14:textId="77777777" w:rsidR="003A18CF" w:rsidRPr="00EE02D5" w:rsidRDefault="003A18CF" w:rsidP="003A18CF">
      <w:pPr>
        <w:tabs>
          <w:tab w:val="right" w:pos="9029"/>
        </w:tabs>
        <w:spacing w:line="240" w:lineRule="auto"/>
        <w:rPr>
          <w:szCs w:val="26"/>
        </w:rPr>
      </w:pPr>
    </w:p>
    <w:p w14:paraId="080FE6BE" w14:textId="26919471" w:rsidR="003A18CF" w:rsidRPr="00EE02D5" w:rsidRDefault="003C1792" w:rsidP="003A18CF">
      <w:pPr>
        <w:tabs>
          <w:tab w:val="right" w:pos="9029"/>
        </w:tabs>
        <w:spacing w:line="240" w:lineRule="auto"/>
        <w:rPr>
          <w:szCs w:val="26"/>
        </w:rPr>
      </w:pPr>
      <w:r>
        <w:rPr>
          <w:b/>
          <w:szCs w:val="26"/>
        </w:rPr>
        <w:t>SHERIFF OF THE HIGH COURT</w:t>
      </w:r>
      <w:r w:rsidR="003A18CF" w:rsidRPr="00EE02D5">
        <w:rPr>
          <w:szCs w:val="26"/>
        </w:rPr>
        <w:tab/>
      </w:r>
      <w:r w:rsidR="003A18CF" w:rsidRPr="003C1792">
        <w:rPr>
          <w:szCs w:val="26"/>
        </w:rPr>
        <w:t xml:space="preserve">Second </w:t>
      </w:r>
      <w:r>
        <w:rPr>
          <w:szCs w:val="26"/>
        </w:rPr>
        <w:t>Respondent</w:t>
      </w:r>
    </w:p>
    <w:p w14:paraId="6513CB6E" w14:textId="77777777" w:rsidR="003A18CF" w:rsidRDefault="003A18CF" w:rsidP="003A18CF">
      <w:pPr>
        <w:spacing w:line="240" w:lineRule="auto"/>
      </w:pPr>
    </w:p>
    <w:p w14:paraId="437034F2" w14:textId="77777777" w:rsidR="003A18CF" w:rsidRPr="009C3888" w:rsidRDefault="003A18CF" w:rsidP="003A18CF">
      <w:pPr>
        <w:spacing w:line="240" w:lineRule="auto"/>
      </w:pPr>
    </w:p>
    <w:p w14:paraId="42ABF6AA" w14:textId="77777777" w:rsidR="003A18CF" w:rsidRPr="009C3888" w:rsidRDefault="003A18CF" w:rsidP="003A18CF">
      <w:pPr>
        <w:spacing w:line="240" w:lineRule="auto"/>
      </w:pPr>
    </w:p>
    <w:p w14:paraId="5A22ADED" w14:textId="4AEC8A9C" w:rsidR="003A18CF" w:rsidRPr="00F05BBD" w:rsidRDefault="003A18CF" w:rsidP="003A18CF">
      <w:pPr>
        <w:spacing w:line="240" w:lineRule="auto"/>
        <w:ind w:left="2160" w:hanging="2160"/>
      </w:pPr>
      <w:r w:rsidRPr="008B40EE">
        <w:rPr>
          <w:b/>
        </w:rPr>
        <w:t>Neutral citation:</w:t>
      </w:r>
      <w:r>
        <w:tab/>
      </w:r>
      <w:r w:rsidR="00D75F53" w:rsidRPr="001F2B35">
        <w:rPr>
          <w:i/>
        </w:rPr>
        <w:t>Baloyi</w:t>
      </w:r>
      <w:r w:rsidRPr="001F2B35">
        <w:rPr>
          <w:i/>
        </w:rPr>
        <w:t xml:space="preserve"> </w:t>
      </w:r>
      <w:r w:rsidR="00D6080F">
        <w:rPr>
          <w:i/>
        </w:rPr>
        <w:t xml:space="preserve">N.O. </w:t>
      </w:r>
      <w:r w:rsidR="00D75F53" w:rsidRPr="001F2B35">
        <w:rPr>
          <w:i/>
        </w:rPr>
        <w:t>and Others v Pawn Stars CC and Another</w:t>
      </w:r>
      <w:r>
        <w:rPr>
          <w:i/>
        </w:rPr>
        <w:t xml:space="preserve"> </w:t>
      </w:r>
      <w:r>
        <w:t>[</w:t>
      </w:r>
      <w:r w:rsidR="0046669D">
        <w:t>2022</w:t>
      </w:r>
      <w:r>
        <w:t>]</w:t>
      </w:r>
      <w:r w:rsidR="00CF0604">
        <w:t> </w:t>
      </w:r>
      <w:r>
        <w:t xml:space="preserve">ZACC </w:t>
      </w:r>
      <w:r w:rsidR="0045547A">
        <w:t>10</w:t>
      </w:r>
    </w:p>
    <w:p w14:paraId="7F773296" w14:textId="77777777" w:rsidR="003A18CF" w:rsidRDefault="003A18CF" w:rsidP="003A18CF">
      <w:pPr>
        <w:spacing w:line="240" w:lineRule="auto"/>
      </w:pPr>
    </w:p>
    <w:p w14:paraId="1ADCAE5D" w14:textId="326353F0" w:rsidR="003A18CF" w:rsidRDefault="003A18CF" w:rsidP="003A18CF">
      <w:pPr>
        <w:spacing w:line="240" w:lineRule="auto"/>
        <w:ind w:left="2160" w:hanging="2160"/>
      </w:pPr>
      <w:r w:rsidRPr="008B40EE">
        <w:rPr>
          <w:b/>
        </w:rPr>
        <w:t>Coram:</w:t>
      </w:r>
      <w:r>
        <w:tab/>
      </w:r>
      <w:r w:rsidR="00162269" w:rsidRPr="00162269">
        <w:t xml:space="preserve">Madlanga J, Majiedt J, </w:t>
      </w:r>
      <w:r w:rsidR="00162269">
        <w:t xml:space="preserve">Mhlantla J, </w:t>
      </w:r>
      <w:r w:rsidR="00162269" w:rsidRPr="00162269">
        <w:t>Pillay AJ, Rogers</w:t>
      </w:r>
      <w:r w:rsidR="00CF0604">
        <w:t xml:space="preserve"> </w:t>
      </w:r>
      <w:r w:rsidR="00F80421">
        <w:t>A</w:t>
      </w:r>
      <w:r w:rsidR="00F80421" w:rsidRPr="00162269">
        <w:t>J</w:t>
      </w:r>
      <w:r w:rsidR="00162269" w:rsidRPr="00162269">
        <w:t>, Theron</w:t>
      </w:r>
      <w:r w:rsidR="00D6080F">
        <w:t> </w:t>
      </w:r>
      <w:r w:rsidR="00CF0604">
        <w:t xml:space="preserve">J, </w:t>
      </w:r>
      <w:r w:rsidR="00162269" w:rsidRPr="00162269">
        <w:t>Tlaletsi</w:t>
      </w:r>
      <w:r w:rsidR="00D6080F">
        <w:t> </w:t>
      </w:r>
      <w:r w:rsidR="00162269" w:rsidRPr="00162269">
        <w:t>AJ and Tshiqi J</w:t>
      </w:r>
    </w:p>
    <w:p w14:paraId="1F19E1A8" w14:textId="1DF5080C" w:rsidR="003A18CF" w:rsidRDefault="003A18CF" w:rsidP="003A18CF">
      <w:pPr>
        <w:spacing w:line="240" w:lineRule="auto"/>
      </w:pPr>
    </w:p>
    <w:p w14:paraId="5C426789" w14:textId="77777777" w:rsidR="00D6080F" w:rsidRDefault="00D6080F" w:rsidP="003A18CF">
      <w:pPr>
        <w:spacing w:line="240" w:lineRule="auto"/>
      </w:pPr>
    </w:p>
    <w:p w14:paraId="4B06E89E" w14:textId="6A2973D4" w:rsidR="00AE7143" w:rsidRDefault="00AE7143" w:rsidP="004B64FF">
      <w:pPr>
        <w:spacing w:line="240" w:lineRule="auto"/>
        <w:ind w:left="2160" w:hanging="2160"/>
      </w:pPr>
      <w:r>
        <w:rPr>
          <w:b/>
        </w:rPr>
        <w:t>Judgments</w:t>
      </w:r>
      <w:r w:rsidRPr="008B40EE">
        <w:rPr>
          <w:b/>
        </w:rPr>
        <w:t>:</w:t>
      </w:r>
      <w:r>
        <w:tab/>
      </w:r>
      <w:r w:rsidR="004B64FF">
        <w:t>Theron J (unanimous)</w:t>
      </w:r>
    </w:p>
    <w:p w14:paraId="6316DCB9" w14:textId="77777777" w:rsidR="00AE7143" w:rsidRDefault="00AE7143" w:rsidP="003A18CF">
      <w:pPr>
        <w:spacing w:line="240" w:lineRule="auto"/>
      </w:pPr>
    </w:p>
    <w:p w14:paraId="7F1E918D" w14:textId="4B53F0CA" w:rsidR="003A18CF" w:rsidRPr="009C3888" w:rsidRDefault="003A18CF" w:rsidP="0044313C">
      <w:pPr>
        <w:spacing w:line="240" w:lineRule="auto"/>
        <w:ind w:left="2160" w:hanging="2160"/>
      </w:pPr>
      <w:r w:rsidRPr="008B40EE">
        <w:rPr>
          <w:b/>
        </w:rPr>
        <w:t>Heard on:</w:t>
      </w:r>
      <w:r>
        <w:tab/>
      </w:r>
      <w:r w:rsidR="004B64FF">
        <w:t>23 November 2021</w:t>
      </w:r>
    </w:p>
    <w:p w14:paraId="52C2C116" w14:textId="77777777" w:rsidR="003A18CF" w:rsidRPr="009C3888" w:rsidRDefault="003A18CF" w:rsidP="0044313C">
      <w:pPr>
        <w:spacing w:line="240" w:lineRule="auto"/>
        <w:ind w:left="2160" w:hanging="2160"/>
      </w:pPr>
    </w:p>
    <w:p w14:paraId="1476545E" w14:textId="4FD4AEFA" w:rsidR="003A18CF" w:rsidRDefault="003A18CF" w:rsidP="0044313C">
      <w:pPr>
        <w:spacing w:line="240" w:lineRule="auto"/>
        <w:ind w:left="2160" w:hanging="2160"/>
      </w:pPr>
      <w:r w:rsidRPr="008B40EE">
        <w:rPr>
          <w:b/>
        </w:rPr>
        <w:t>Decided on:</w:t>
      </w:r>
      <w:r>
        <w:tab/>
      </w:r>
      <w:r w:rsidR="0045547A">
        <w:t>15 March 2022</w:t>
      </w:r>
    </w:p>
    <w:p w14:paraId="1A8F58CB" w14:textId="77777777" w:rsidR="004110F6" w:rsidRDefault="004110F6" w:rsidP="003A18CF">
      <w:pPr>
        <w:spacing w:line="240" w:lineRule="auto"/>
      </w:pPr>
    </w:p>
    <w:p w14:paraId="084E1188" w14:textId="56B1111F" w:rsidR="004D02BA" w:rsidRDefault="004D02BA" w:rsidP="004D02BA">
      <w:pPr>
        <w:spacing w:line="240" w:lineRule="auto"/>
        <w:ind w:left="2160" w:hanging="2160"/>
      </w:pPr>
      <w:r>
        <w:rPr>
          <w:b/>
        </w:rPr>
        <w:t>Summary:</w:t>
      </w:r>
      <w:r>
        <w:rPr>
          <w:b/>
        </w:rPr>
        <w:tab/>
      </w:r>
      <w:bookmarkStart w:id="0" w:name="_GoBack"/>
      <w:r w:rsidR="004B64FF">
        <w:t>Rule</w:t>
      </w:r>
      <w:bookmarkEnd w:id="0"/>
      <w:r w:rsidR="004B64FF">
        <w:t xml:space="preserve"> </w:t>
      </w:r>
      <w:r w:rsidR="0046669D">
        <w:t xml:space="preserve">46A of the Uniform Rules of Court </w:t>
      </w:r>
      <w:r w:rsidR="006724E0">
        <w:t>—</w:t>
      </w:r>
      <w:r w:rsidRPr="00542F53">
        <w:t xml:space="preserve"> </w:t>
      </w:r>
      <w:r w:rsidR="0046669D">
        <w:t xml:space="preserve">legal persons and trusts </w:t>
      </w:r>
      <w:r w:rsidR="006724E0">
        <w:t>—</w:t>
      </w:r>
      <w:r w:rsidRPr="00542F53">
        <w:t xml:space="preserve"> </w:t>
      </w:r>
      <w:r w:rsidR="00DC07F5">
        <w:t xml:space="preserve">determination of </w:t>
      </w:r>
      <w:r w:rsidR="002E6846">
        <w:t>alleged constitutional issue</w:t>
      </w:r>
      <w:r w:rsidR="0046669D">
        <w:t xml:space="preserve"> not reasonably necessary for determination of dispute</w:t>
      </w:r>
      <w:r w:rsidRPr="00542F53">
        <w:t xml:space="preserve"> </w:t>
      </w:r>
      <w:r w:rsidR="006724E0">
        <w:t>—</w:t>
      </w:r>
      <w:r w:rsidR="00CF0604">
        <w:t> </w:t>
      </w:r>
      <w:r w:rsidR="0046669D">
        <w:t>jurisdiction not engaged</w:t>
      </w:r>
    </w:p>
    <w:p w14:paraId="572B684D" w14:textId="77777777" w:rsidR="004D02BA" w:rsidRDefault="004D02BA" w:rsidP="004D02BA">
      <w:pPr>
        <w:spacing w:line="240" w:lineRule="auto"/>
      </w:pPr>
    </w:p>
    <w:p w14:paraId="374D4331" w14:textId="77777777" w:rsidR="004D02BA" w:rsidRDefault="004D02BA" w:rsidP="004D02BA">
      <w:pPr>
        <w:spacing w:line="240" w:lineRule="auto"/>
      </w:pPr>
    </w:p>
    <w:p w14:paraId="2A1773E3" w14:textId="77777777" w:rsidR="004D02BA" w:rsidRPr="004110F6" w:rsidRDefault="004D02BA" w:rsidP="004D02BA">
      <w:pPr>
        <w:spacing w:line="240" w:lineRule="auto"/>
      </w:pPr>
    </w:p>
    <w:p w14:paraId="60C59112" w14:textId="77777777" w:rsidR="003A18CF" w:rsidRPr="009C3888" w:rsidRDefault="003A18CF" w:rsidP="003A18CF">
      <w:pPr>
        <w:keepNext/>
        <w:pBdr>
          <w:top w:val="single" w:sz="4" w:space="1" w:color="auto"/>
          <w:bottom w:val="single" w:sz="4" w:space="1" w:color="auto"/>
        </w:pBdr>
        <w:spacing w:line="240" w:lineRule="auto"/>
        <w:jc w:val="center"/>
      </w:pPr>
    </w:p>
    <w:p w14:paraId="165B55EE" w14:textId="77777777" w:rsidR="003A18CF" w:rsidRPr="005C6482" w:rsidRDefault="003A18CF" w:rsidP="003A18CF">
      <w:pPr>
        <w:keepNext/>
        <w:pBdr>
          <w:top w:val="single" w:sz="4" w:space="1" w:color="auto"/>
          <w:bottom w:val="single" w:sz="4" w:space="1" w:color="auto"/>
        </w:pBdr>
        <w:spacing w:line="240" w:lineRule="auto"/>
        <w:jc w:val="center"/>
        <w:outlineLvl w:val="0"/>
        <w:rPr>
          <w:b/>
        </w:rPr>
      </w:pPr>
      <w:r>
        <w:rPr>
          <w:b/>
        </w:rPr>
        <w:t>ORDER</w:t>
      </w:r>
    </w:p>
    <w:p w14:paraId="48FC3EA3" w14:textId="77777777" w:rsidR="003A18CF" w:rsidRPr="009C3888" w:rsidRDefault="003A18CF" w:rsidP="003A18CF">
      <w:pPr>
        <w:pBdr>
          <w:top w:val="single" w:sz="4" w:space="1" w:color="auto"/>
          <w:bottom w:val="single" w:sz="4" w:space="1" w:color="auto"/>
        </w:pBdr>
        <w:spacing w:line="240" w:lineRule="auto"/>
        <w:jc w:val="center"/>
      </w:pPr>
    </w:p>
    <w:p w14:paraId="0FFBCF61" w14:textId="77777777" w:rsidR="003A18CF" w:rsidRDefault="003A18CF" w:rsidP="003A18CF">
      <w:pPr>
        <w:spacing w:line="240" w:lineRule="auto"/>
      </w:pPr>
    </w:p>
    <w:p w14:paraId="4A4F7FC0" w14:textId="77777777" w:rsidR="003A18CF" w:rsidRPr="009C3888" w:rsidRDefault="003A18CF" w:rsidP="003A18CF">
      <w:pPr>
        <w:spacing w:line="240" w:lineRule="auto"/>
      </w:pPr>
    </w:p>
    <w:p w14:paraId="66E4B579" w14:textId="77777777" w:rsidR="003A18CF" w:rsidRDefault="003A18CF" w:rsidP="00CF0604">
      <w:pPr>
        <w:pStyle w:val="JUDGMENTCONTINUED"/>
        <w:spacing w:after="120"/>
      </w:pPr>
      <w:r w:rsidRPr="003C1792">
        <w:t>On appeal</w:t>
      </w:r>
      <w:r w:rsidR="00F45DC4" w:rsidRPr="003C1792">
        <w:t xml:space="preserve"> from</w:t>
      </w:r>
      <w:r w:rsidR="00BE10AC">
        <w:t xml:space="preserve"> the High Court of South Africa, Limpopo Division, Polokwane</w:t>
      </w:r>
      <w:r>
        <w:t>:</w:t>
      </w:r>
    </w:p>
    <w:p w14:paraId="6F12E328" w14:textId="77777777" w:rsidR="00BE10AC" w:rsidRDefault="00BE10AC" w:rsidP="00BE10AC">
      <w:pPr>
        <w:pStyle w:val="ORDER"/>
        <w:numPr>
          <w:ilvl w:val="0"/>
          <w:numId w:val="15"/>
        </w:numPr>
      </w:pPr>
      <w:r>
        <w:t>The application for leave to appeal is dismissed</w:t>
      </w:r>
      <w:r w:rsidR="00A6062C">
        <w:t>.</w:t>
      </w:r>
    </w:p>
    <w:p w14:paraId="42A16D91" w14:textId="77777777" w:rsidR="00BE10AC" w:rsidRPr="000C38CF" w:rsidRDefault="00BE10AC" w:rsidP="00D37A96">
      <w:pPr>
        <w:pStyle w:val="ORDER"/>
        <w:numPr>
          <w:ilvl w:val="0"/>
          <w:numId w:val="15"/>
        </w:numPr>
        <w:spacing w:line="240" w:lineRule="auto"/>
      </w:pPr>
      <w:r>
        <w:t>The applicants must pay the first respondent’s costs.</w:t>
      </w:r>
    </w:p>
    <w:p w14:paraId="69D47324" w14:textId="77777777" w:rsidR="003A18CF" w:rsidRDefault="003A18CF" w:rsidP="00D37A96">
      <w:pPr>
        <w:spacing w:line="240" w:lineRule="auto"/>
      </w:pPr>
    </w:p>
    <w:p w14:paraId="165215F4" w14:textId="77777777" w:rsidR="00CB0CB2" w:rsidRPr="00CB0CB2" w:rsidRDefault="00CB0CB2" w:rsidP="00D37A96">
      <w:pPr>
        <w:pStyle w:val="JUDGMENTCONTINUED"/>
        <w:spacing w:line="240" w:lineRule="auto"/>
      </w:pPr>
    </w:p>
    <w:p w14:paraId="6620FE5D" w14:textId="77777777" w:rsidR="00CB0CB2" w:rsidRDefault="00CB0CB2" w:rsidP="000C38CF">
      <w:pPr>
        <w:pStyle w:val="JUDGMENTCONTINUED"/>
        <w:sectPr w:rsidR="00CB0CB2" w:rsidSect="009559B5">
          <w:footerReference w:type="default" r:id="rId9"/>
          <w:pgSz w:w="11907" w:h="16839" w:code="9"/>
          <w:pgMar w:top="1440" w:right="1440" w:bottom="1440" w:left="1440" w:header="708" w:footer="708" w:gutter="0"/>
          <w:pgNumType w:start="1"/>
          <w:cols w:space="708"/>
          <w:titlePg/>
          <w:docGrid w:linePitch="360"/>
        </w:sectPr>
      </w:pPr>
    </w:p>
    <w:p w14:paraId="1ACB35FD" w14:textId="77777777" w:rsidR="000704F2" w:rsidRPr="009C3888" w:rsidRDefault="000704F2" w:rsidP="00F245CE">
      <w:pPr>
        <w:keepNext/>
        <w:pBdr>
          <w:top w:val="single" w:sz="4" w:space="1" w:color="auto"/>
          <w:bottom w:val="single" w:sz="4" w:space="1" w:color="auto"/>
        </w:pBdr>
        <w:spacing w:line="240" w:lineRule="auto"/>
        <w:jc w:val="center"/>
      </w:pPr>
    </w:p>
    <w:p w14:paraId="00E2FC96" w14:textId="6919CE95" w:rsidR="00E4607C" w:rsidRPr="003A18CF" w:rsidRDefault="000704F2" w:rsidP="00F245CE">
      <w:pPr>
        <w:keepNext/>
        <w:pBdr>
          <w:top w:val="single" w:sz="4" w:space="1" w:color="auto"/>
          <w:bottom w:val="single" w:sz="4" w:space="1" w:color="auto"/>
        </w:pBdr>
        <w:spacing w:line="240" w:lineRule="auto"/>
        <w:jc w:val="center"/>
        <w:outlineLvl w:val="0"/>
        <w:rPr>
          <w:b/>
        </w:rPr>
      </w:pPr>
      <w:r w:rsidRPr="003A18CF">
        <w:rPr>
          <w:b/>
        </w:rPr>
        <w:t>JUDGMENT</w:t>
      </w:r>
    </w:p>
    <w:p w14:paraId="1F00B985" w14:textId="77777777" w:rsidR="000704F2" w:rsidRPr="009C3888" w:rsidRDefault="000704F2" w:rsidP="000704F2">
      <w:pPr>
        <w:pBdr>
          <w:top w:val="single" w:sz="4" w:space="1" w:color="auto"/>
          <w:bottom w:val="single" w:sz="4" w:space="1" w:color="auto"/>
        </w:pBdr>
        <w:spacing w:line="240" w:lineRule="auto"/>
        <w:jc w:val="center"/>
      </w:pPr>
    </w:p>
    <w:p w14:paraId="79D9F18A" w14:textId="77777777" w:rsidR="000704F2" w:rsidRPr="009C3888" w:rsidRDefault="000704F2" w:rsidP="000704F2">
      <w:pPr>
        <w:spacing w:line="240" w:lineRule="auto"/>
      </w:pPr>
    </w:p>
    <w:p w14:paraId="57D1F87D" w14:textId="77777777" w:rsidR="006E3711" w:rsidRPr="009C3888" w:rsidRDefault="006E3711" w:rsidP="000704F2">
      <w:pPr>
        <w:spacing w:line="240" w:lineRule="auto"/>
      </w:pPr>
    </w:p>
    <w:p w14:paraId="54A00732" w14:textId="77777777" w:rsidR="00CF0604" w:rsidRDefault="00CF0604" w:rsidP="001C050A">
      <w:pPr>
        <w:spacing w:line="240" w:lineRule="auto"/>
        <w:outlineLvl w:val="0"/>
      </w:pPr>
    </w:p>
    <w:p w14:paraId="2D36ABFA" w14:textId="479C0532" w:rsidR="000704F2" w:rsidRPr="009C3888" w:rsidRDefault="00295BDC" w:rsidP="001C050A">
      <w:pPr>
        <w:spacing w:line="240" w:lineRule="auto"/>
        <w:outlineLvl w:val="0"/>
      </w:pPr>
      <w:r>
        <w:t>T</w:t>
      </w:r>
      <w:r w:rsidR="00F80421">
        <w:t>HERON</w:t>
      </w:r>
      <w:r w:rsidR="00CF0604">
        <w:t> </w:t>
      </w:r>
      <w:r>
        <w:t>J (</w:t>
      </w:r>
      <w:r w:rsidR="0046669D" w:rsidRPr="0046669D">
        <w:t>Madlanga J, Majiedt J, Mhlantla J, Pillay AJ, Rogers AJ, Tlaletsi</w:t>
      </w:r>
      <w:r w:rsidR="0046669D">
        <w:t> </w:t>
      </w:r>
      <w:r w:rsidR="0046669D" w:rsidRPr="0046669D">
        <w:t>AJ and Tshiqi</w:t>
      </w:r>
      <w:r w:rsidR="0046669D">
        <w:t> </w:t>
      </w:r>
      <w:r w:rsidR="0046669D" w:rsidRPr="0046669D">
        <w:t>J</w:t>
      </w:r>
      <w:r w:rsidR="00F80421">
        <w:t xml:space="preserve"> concurring</w:t>
      </w:r>
      <w:r>
        <w:t>):</w:t>
      </w:r>
    </w:p>
    <w:p w14:paraId="2570641F" w14:textId="65C34DB9" w:rsidR="00AE7602" w:rsidRDefault="00AE7602" w:rsidP="000704F2">
      <w:pPr>
        <w:spacing w:line="240" w:lineRule="auto"/>
      </w:pPr>
    </w:p>
    <w:p w14:paraId="409DFB03" w14:textId="5E36B673" w:rsidR="009F2807" w:rsidRPr="009F2807" w:rsidRDefault="009F2807" w:rsidP="009F2807">
      <w:pPr>
        <w:pStyle w:val="JUDGMENTCONTINUED"/>
      </w:pPr>
    </w:p>
    <w:p w14:paraId="58CD47DF" w14:textId="1D0FDA94" w:rsidR="00B5534A" w:rsidRPr="00B5534A" w:rsidRDefault="00EC37B6" w:rsidP="0079127C">
      <w:pPr>
        <w:pStyle w:val="HEADING"/>
      </w:pPr>
      <w:r>
        <w:t>Introduction</w:t>
      </w:r>
    </w:p>
    <w:p w14:paraId="05ECF9B1" w14:textId="1E595028" w:rsidR="00EC37B6" w:rsidRDefault="00EC37B6" w:rsidP="00EC37B6">
      <w:pPr>
        <w:pStyle w:val="JUDGMENTNUMBERED"/>
      </w:pPr>
      <w:r w:rsidRPr="00EC37B6">
        <w:t>This application for leave to appeal was precipitated by an order granted by the High Court of South Africa, Limpopo Division, Polokwane (High Court) on 17</w:t>
      </w:r>
      <w:r w:rsidR="00DC07F5">
        <w:t> </w:t>
      </w:r>
      <w:r w:rsidRPr="00EC37B6">
        <w:t>April</w:t>
      </w:r>
      <w:r w:rsidR="00DC07F5">
        <w:t> </w:t>
      </w:r>
      <w:r w:rsidRPr="00EC37B6">
        <w:t>2018 by agreement between the applicants and the first respondent (consent order).  In terms of the consent order, and in the event that the applicants defaulted on payment of certain amounts to the first respondent, a Polokwane property (property) owned by the Navuyeriwa Business Trust (Trust), at which the third and fourth applicants reside with their minor children, would become specially executable and a warrant of execution for the property could be issued.  The applicants contend that the issue for determination is whether the consent order contravenes the provisions of rule</w:t>
      </w:r>
      <w:r w:rsidR="00656E6C">
        <w:t> </w:t>
      </w:r>
      <w:r w:rsidRPr="00EC37B6">
        <w:t>46A of the Uniform Rules of Court.  That rule requires judicial</w:t>
      </w:r>
      <w:r w:rsidR="00DC07F5">
        <w:t xml:space="preserve"> oversight,</w:t>
      </w:r>
      <w:r w:rsidRPr="00EC37B6">
        <w:t xml:space="preserve"> and consideration, by a court, of various factors, when a creditor seeks to execute against the residential immovable property of a j</w:t>
      </w:r>
      <w:r w:rsidR="00656E6C">
        <w:t xml:space="preserve">udgment debtor.  The applicants’ central submission is </w:t>
      </w:r>
      <w:r w:rsidRPr="00EC37B6">
        <w:t xml:space="preserve">that the consent order was impermissibly granted without application of </w:t>
      </w:r>
      <w:r w:rsidR="002E6846">
        <w:lastRenderedPageBreak/>
        <w:t>rule</w:t>
      </w:r>
      <w:r w:rsidR="00DE71CA">
        <w:t> </w:t>
      </w:r>
      <w:r w:rsidR="002E6846">
        <w:t>46A</w:t>
      </w:r>
      <w:r w:rsidRPr="00EC37B6">
        <w:t xml:space="preserve"> because the High Court erroneously assumed that it does not apply to property owned by juristic persons or trusts</w:t>
      </w:r>
      <w:r w:rsidR="00656E6C">
        <w:t xml:space="preserve">, and that this raises </w:t>
      </w:r>
      <w:r w:rsidRPr="00EC37B6">
        <w:t>a constitutional issue</w:t>
      </w:r>
      <w:r w:rsidR="00656E6C">
        <w:t>.</w:t>
      </w:r>
    </w:p>
    <w:p w14:paraId="24AF221C" w14:textId="458686BE" w:rsidR="00EC37B6" w:rsidRDefault="00EC37B6" w:rsidP="00EC37B6">
      <w:pPr>
        <w:pStyle w:val="JUDGMENTCONTINUED"/>
      </w:pPr>
    </w:p>
    <w:p w14:paraId="54EBFCAA" w14:textId="27A06822" w:rsidR="00EC37B6" w:rsidRPr="00EC37B6" w:rsidRDefault="00EC37B6" w:rsidP="00EC37B6">
      <w:pPr>
        <w:pStyle w:val="HEADING"/>
      </w:pPr>
      <w:r>
        <w:t>Parties</w:t>
      </w:r>
    </w:p>
    <w:p w14:paraId="564B2042" w14:textId="619756E2" w:rsidR="00CE5C46" w:rsidRDefault="00CE5C46" w:rsidP="00CE5C46">
      <w:pPr>
        <w:pStyle w:val="JUDGMENTNUMBERED"/>
      </w:pPr>
      <w:r>
        <w:t xml:space="preserve">The applicants are Mr </w:t>
      </w:r>
      <w:r w:rsidR="005011FD">
        <w:t xml:space="preserve">Andrew Tuee Baloyi </w:t>
      </w:r>
      <w:r>
        <w:t xml:space="preserve">and Mrs </w:t>
      </w:r>
      <w:r w:rsidR="005011FD">
        <w:t>Eunice Mhaka</w:t>
      </w:r>
      <w:r w:rsidR="00671050">
        <w:t> </w:t>
      </w:r>
      <w:r>
        <w:t>Baloyi, acting both in their personal and nominal capacit</w:t>
      </w:r>
      <w:r w:rsidR="00102829">
        <w:t>ies</w:t>
      </w:r>
      <w:r>
        <w:t xml:space="preserve"> as trustees of the Trust.  The first respondent is Pawn Stars CC</w:t>
      </w:r>
      <w:r w:rsidR="00CB4B7B">
        <w:t xml:space="preserve"> (Pawn Stars)</w:t>
      </w:r>
      <w:r>
        <w:t xml:space="preserve">, </w:t>
      </w:r>
      <w:r w:rsidR="00CB4B7B">
        <w:t>a duly registered close corporation</w:t>
      </w:r>
      <w:r w:rsidR="00101A3E">
        <w:t xml:space="preserve">, and the </w:t>
      </w:r>
      <w:r w:rsidR="00E2246D">
        <w:t xml:space="preserve">second </w:t>
      </w:r>
      <w:r w:rsidR="00101A3E">
        <w:t xml:space="preserve">respondent is the Sheriff </w:t>
      </w:r>
      <w:r w:rsidR="001F2B35">
        <w:t>of the High Court.</w:t>
      </w:r>
    </w:p>
    <w:p w14:paraId="1B21738C" w14:textId="77777777" w:rsidR="00B5534A" w:rsidRDefault="00B5534A" w:rsidP="00B5534A">
      <w:pPr>
        <w:pStyle w:val="JUDGMENTCONTINUED"/>
      </w:pPr>
    </w:p>
    <w:p w14:paraId="6D5A8717" w14:textId="77777777" w:rsidR="00101A3E" w:rsidRPr="00101A3E" w:rsidRDefault="00B5534A" w:rsidP="0079127C">
      <w:pPr>
        <w:pStyle w:val="HEADING"/>
      </w:pPr>
      <w:r w:rsidRPr="00B5534A">
        <w:t>Background</w:t>
      </w:r>
    </w:p>
    <w:p w14:paraId="44FD7744" w14:textId="141A60E3" w:rsidR="00860C4E" w:rsidRDefault="00CE5C46" w:rsidP="008A3614">
      <w:pPr>
        <w:pStyle w:val="JUDGMENTNUMBERED"/>
      </w:pPr>
      <w:r>
        <w:t xml:space="preserve">In February 2016, </w:t>
      </w:r>
      <w:r w:rsidR="00101A3E">
        <w:t>Mr and Mrs Baloyi</w:t>
      </w:r>
      <w:r>
        <w:t>, acting on behalf of the Trust, entered into a loan agreement with Paw</w:t>
      </w:r>
      <w:r w:rsidR="00CB4B7B">
        <w:t>n Stars</w:t>
      </w:r>
      <w:r>
        <w:t xml:space="preserve">.  In terms of that agreement, Pawn Stars advanced an amount of R870 000 </w:t>
      </w:r>
      <w:r w:rsidR="00101A3E">
        <w:t xml:space="preserve">to </w:t>
      </w:r>
      <w:r>
        <w:t xml:space="preserve">the Trust which was to be repaid within three months of signature of that agreement.  </w:t>
      </w:r>
      <w:r w:rsidR="00CB4B7B">
        <w:t xml:space="preserve">Mr and Mrs Baloyi stood surety for the loan.  </w:t>
      </w:r>
      <w:r w:rsidR="00101A3E">
        <w:t>A</w:t>
      </w:r>
      <w:r>
        <w:t>s</w:t>
      </w:r>
      <w:r w:rsidR="00CB4B7B">
        <w:t xml:space="preserve"> additional security</w:t>
      </w:r>
      <w:r>
        <w:t xml:space="preserve">, a mortgage bond was registered in favour of Pawn Stars over </w:t>
      </w:r>
      <w:r w:rsidR="00776BAB" w:rsidRPr="00CB4B7B">
        <w:t>the property.</w:t>
      </w:r>
      <w:r w:rsidR="00776BAB">
        <w:t xml:space="preserve">  </w:t>
      </w:r>
      <w:r w:rsidR="00101A3E">
        <w:t xml:space="preserve">In the event of default, </w:t>
      </w:r>
      <w:r w:rsidR="00776BAB">
        <w:t>Pawn Star</w:t>
      </w:r>
      <w:r w:rsidR="00101A3E" w:rsidRPr="00101A3E">
        <w:t>s w</w:t>
      </w:r>
      <w:r w:rsidR="00101A3E">
        <w:t>as</w:t>
      </w:r>
      <w:r w:rsidR="00101A3E" w:rsidRPr="00101A3E">
        <w:t xml:space="preserve"> entitled, on written notice and if the default was not remedied within </w:t>
      </w:r>
      <w:r w:rsidR="00101A3E">
        <w:t>seven</w:t>
      </w:r>
      <w:r w:rsidR="00101A3E" w:rsidRPr="00101A3E">
        <w:t xml:space="preserve"> days, to claim immediate repayment of the full amount outstanding, together with interest, and </w:t>
      </w:r>
      <w:r w:rsidR="00E81D03">
        <w:t xml:space="preserve">to </w:t>
      </w:r>
      <w:r w:rsidR="00101A3E" w:rsidRPr="00101A3E">
        <w:t xml:space="preserve">make an application </w:t>
      </w:r>
      <w:r w:rsidR="00E81D03">
        <w:t>to declare</w:t>
      </w:r>
      <w:r w:rsidR="00101A3E" w:rsidRPr="00101A3E">
        <w:t xml:space="preserve"> the property specially executable</w:t>
      </w:r>
      <w:r w:rsidR="00101A3E">
        <w:t xml:space="preserve">.  Pawn Stars </w:t>
      </w:r>
      <w:r w:rsidR="0051631E">
        <w:t>was</w:t>
      </w:r>
      <w:r w:rsidR="00101A3E">
        <w:t xml:space="preserve"> also entitled, if payment of the capital sum was not made within the stipulated three months, to levy a penalty fee of R90 000 per month, </w:t>
      </w:r>
      <w:r w:rsidR="0097536B" w:rsidRPr="0097536B">
        <w:t>which would first fall due on the day immediately following the due date for repayment of the capital sum.</w:t>
      </w:r>
    </w:p>
    <w:p w14:paraId="4AD5338F" w14:textId="77777777" w:rsidR="00CE43B3" w:rsidRPr="00CE43B3" w:rsidRDefault="00CE43B3" w:rsidP="00CE43B3">
      <w:pPr>
        <w:pStyle w:val="JUDGMENTCONTINUED"/>
      </w:pPr>
    </w:p>
    <w:p w14:paraId="7027D634" w14:textId="262F3DD5" w:rsidR="0097536B" w:rsidRDefault="00776BAB" w:rsidP="00436451">
      <w:pPr>
        <w:pStyle w:val="JUDGMENTNUMBERED"/>
      </w:pPr>
      <w:r>
        <w:t>The Trust failed to repay the amounts owing within the stipulated time period</w:t>
      </w:r>
      <w:r w:rsidR="00436451">
        <w:t xml:space="preserve">.  </w:t>
      </w:r>
      <w:r w:rsidR="005011FD">
        <w:t>F</w:t>
      </w:r>
      <w:r w:rsidR="00436451">
        <w:t xml:space="preserve">rom 23 May 2016 until 31 October 2016, Mr Baloyi engaged in correspondence </w:t>
      </w:r>
      <w:r w:rsidR="00CE43B3">
        <w:t>with Pawn</w:t>
      </w:r>
      <w:r w:rsidR="00671050">
        <w:t> </w:t>
      </w:r>
      <w:r w:rsidR="00CE43B3">
        <w:t>Stars</w:t>
      </w:r>
      <w:r w:rsidR="00436451">
        <w:t xml:space="preserve">, in which he sought various extensions within which to make payment.  Those extensions were granted, on condition that the penalty fees </w:t>
      </w:r>
      <w:r w:rsidR="005C5665">
        <w:t xml:space="preserve">and interest </w:t>
      </w:r>
      <w:r w:rsidR="00436451">
        <w:t>be paid.  By 31 October 2016, the Trust had only made one paymen</w:t>
      </w:r>
      <w:r w:rsidR="00CE43B3">
        <w:t>t of R95 000 to Pawn</w:t>
      </w:r>
      <w:r w:rsidR="00671050">
        <w:t> </w:t>
      </w:r>
      <w:r w:rsidR="00CE43B3">
        <w:t>Stars</w:t>
      </w:r>
      <w:r w:rsidR="00A6062C">
        <w:t xml:space="preserve">, </w:t>
      </w:r>
      <w:r w:rsidR="00A6062C">
        <w:lastRenderedPageBreak/>
        <w:t>wh</w:t>
      </w:r>
      <w:r w:rsidR="00422775">
        <w:t>ich</w:t>
      </w:r>
      <w:r w:rsidR="00436451" w:rsidRPr="00436451">
        <w:t xml:space="preserve"> </w:t>
      </w:r>
      <w:r w:rsidR="00436451">
        <w:t xml:space="preserve">thus </w:t>
      </w:r>
      <w:r w:rsidR="00436451" w:rsidRPr="00436451">
        <w:t>claimed that it was owed an amount of R452 410, in addition to the full capital amount.</w:t>
      </w:r>
      <w:r w:rsidR="00436451">
        <w:rPr>
          <w:rStyle w:val="FootnoteReference"/>
        </w:rPr>
        <w:footnoteReference w:id="1"/>
      </w:r>
    </w:p>
    <w:p w14:paraId="43518040" w14:textId="77777777" w:rsidR="00436451" w:rsidRPr="00436451" w:rsidRDefault="00436451" w:rsidP="00436451">
      <w:pPr>
        <w:pStyle w:val="JUDGMENTCONTINUED"/>
      </w:pPr>
    </w:p>
    <w:p w14:paraId="28B1FEBA" w14:textId="482B5871" w:rsidR="009402F8" w:rsidRDefault="00C0779C" w:rsidP="005C5665">
      <w:pPr>
        <w:pStyle w:val="JUDGMENTNUMBERED"/>
      </w:pPr>
      <w:r>
        <w:t>O</w:t>
      </w:r>
      <w:r w:rsidR="005C5665">
        <w:t xml:space="preserve">n 8 February 2017, </w:t>
      </w:r>
      <w:r w:rsidR="00CE43B3">
        <w:t>Pawn Stars</w:t>
      </w:r>
      <w:r w:rsidR="005C5665">
        <w:t xml:space="preserve"> </w:t>
      </w:r>
      <w:r w:rsidR="002E6846">
        <w:t>instituted</w:t>
      </w:r>
      <w:r w:rsidR="00A55C94">
        <w:t xml:space="preserve"> </w:t>
      </w:r>
      <w:r>
        <w:t xml:space="preserve">proceedings </w:t>
      </w:r>
      <w:r w:rsidR="0091115C">
        <w:t xml:space="preserve">against the applicants </w:t>
      </w:r>
      <w:r>
        <w:t>in the High Court</w:t>
      </w:r>
      <w:r w:rsidR="005C5665">
        <w:t xml:space="preserve"> in </w:t>
      </w:r>
      <w:r w:rsidR="005C5665" w:rsidRPr="005C5665">
        <w:t xml:space="preserve">which it sought </w:t>
      </w:r>
      <w:r w:rsidR="00A6062C">
        <w:t xml:space="preserve">payment </w:t>
      </w:r>
      <w:r w:rsidR="005C5665" w:rsidRPr="005C5665">
        <w:t>of the capital amount</w:t>
      </w:r>
      <w:r w:rsidR="00422775">
        <w:t xml:space="preserve"> </w:t>
      </w:r>
      <w:r w:rsidR="0079127C">
        <w:t>together with</w:t>
      </w:r>
      <w:r w:rsidR="0079127C" w:rsidRPr="005C5665">
        <w:t xml:space="preserve"> </w:t>
      </w:r>
      <w:r w:rsidR="005C5665" w:rsidRPr="005C5665">
        <w:t xml:space="preserve">interest </w:t>
      </w:r>
      <w:r w:rsidR="006F53B5">
        <w:t>there</w:t>
      </w:r>
      <w:r w:rsidR="005C5665" w:rsidRPr="005C5665">
        <w:t>on</w:t>
      </w:r>
      <w:r w:rsidR="00422775">
        <w:t xml:space="preserve"> and</w:t>
      </w:r>
      <w:r w:rsidR="005C5665" w:rsidRPr="005C5665">
        <w:t xml:space="preserve"> penalty fees</w:t>
      </w:r>
      <w:r w:rsidR="00CE43B3">
        <w:t xml:space="preserve"> and an order declaring the property specially executable</w:t>
      </w:r>
      <w:r w:rsidR="005C5665">
        <w:t>.</w:t>
      </w:r>
    </w:p>
    <w:p w14:paraId="4F85F97D" w14:textId="77777777" w:rsidR="009402F8" w:rsidRPr="009402F8" w:rsidRDefault="009402F8" w:rsidP="009402F8">
      <w:pPr>
        <w:pStyle w:val="JUDGMENTCONTINUED"/>
      </w:pPr>
    </w:p>
    <w:p w14:paraId="61C11B08" w14:textId="0B8BB4D2" w:rsidR="009402F8" w:rsidRDefault="005C5665" w:rsidP="009402F8">
      <w:pPr>
        <w:pStyle w:val="JUDGMENTNUMBERED"/>
      </w:pPr>
      <w:r>
        <w:t xml:space="preserve">Subsequent settlement discussions between the Trust and Pawn Stars came to nought and </w:t>
      </w:r>
      <w:r w:rsidR="009402F8">
        <w:t>Pawn Stars</w:t>
      </w:r>
      <w:r w:rsidR="00D313F7">
        <w:t>’</w:t>
      </w:r>
      <w:r>
        <w:t xml:space="preserve"> application proceeded unopposed.  </w:t>
      </w:r>
      <w:r w:rsidR="009402F8">
        <w:t xml:space="preserve">On 18 April 2017, </w:t>
      </w:r>
      <w:r w:rsidR="006F53B5">
        <w:t>Pawn</w:t>
      </w:r>
      <w:r w:rsidR="00422775">
        <w:t> </w:t>
      </w:r>
      <w:r w:rsidR="006F53B5">
        <w:t>Stars</w:t>
      </w:r>
      <w:r w:rsidR="00AA3029">
        <w:t xml:space="preserve"> </w:t>
      </w:r>
      <w:r w:rsidR="009402F8">
        <w:t xml:space="preserve">obtained default judgment against the applicants.  Phatudi J ordered, amongst others, that the applicants pay </w:t>
      </w:r>
      <w:r w:rsidR="009402F8" w:rsidRPr="00D313F7">
        <w:t>Pawn Stars</w:t>
      </w:r>
      <w:r w:rsidR="009402F8">
        <w:t xml:space="preserve"> the amount of R870</w:t>
      </w:r>
      <w:r w:rsidR="00422775">
        <w:t> </w:t>
      </w:r>
      <w:r w:rsidR="009402F8">
        <w:t>000 together with interest and penalty fees, and that the property was specially executable.</w:t>
      </w:r>
    </w:p>
    <w:p w14:paraId="4836EDF4" w14:textId="77777777" w:rsidR="009402F8" w:rsidRPr="009402F8" w:rsidRDefault="009402F8" w:rsidP="009402F8">
      <w:pPr>
        <w:pStyle w:val="JUDGMENTCONTINUED"/>
      </w:pPr>
    </w:p>
    <w:p w14:paraId="7E5380A1" w14:textId="4AA812E1" w:rsidR="005C5665" w:rsidRDefault="00DE2F21" w:rsidP="000C38CF">
      <w:pPr>
        <w:pStyle w:val="JUDGMENTNUMBERED"/>
      </w:pPr>
      <w:r>
        <w:t xml:space="preserve">On </w:t>
      </w:r>
      <w:r w:rsidR="00C867A7">
        <w:t xml:space="preserve">15 </w:t>
      </w:r>
      <w:r>
        <w:t>June 2017, the applicants applied to rescind that order.  The</w:t>
      </w:r>
      <w:r w:rsidR="005712EE">
        <w:t>y</w:t>
      </w:r>
      <w:r>
        <w:t xml:space="preserve"> contended that they had not been served with Pawn Stars</w:t>
      </w:r>
      <w:r w:rsidR="00D313F7">
        <w:t>’</w:t>
      </w:r>
      <w:r>
        <w:t xml:space="preserve"> application and had only become aware of it when </w:t>
      </w:r>
      <w:r w:rsidR="00422775">
        <w:t xml:space="preserve">they were </w:t>
      </w:r>
      <w:r>
        <w:t>served with a notice of attach</w:t>
      </w:r>
      <w:r w:rsidR="00940C80">
        <w:t>ment for the property on 18 May </w:t>
      </w:r>
      <w:r>
        <w:t xml:space="preserve">2017.  </w:t>
      </w:r>
      <w:r w:rsidRPr="00D313F7">
        <w:t xml:space="preserve">The applicants </w:t>
      </w:r>
      <w:r>
        <w:t xml:space="preserve">further </w:t>
      </w:r>
      <w:r w:rsidR="00E263FF" w:rsidRPr="00E263FF">
        <w:t xml:space="preserve">contended </w:t>
      </w:r>
      <w:r>
        <w:t>that they were only indebted to Pawn</w:t>
      </w:r>
      <w:r w:rsidR="00175D8E">
        <w:t> </w:t>
      </w:r>
      <w:r>
        <w:t xml:space="preserve">Stars </w:t>
      </w:r>
      <w:r w:rsidR="00E263FF">
        <w:t>in</w:t>
      </w:r>
      <w:r>
        <w:t xml:space="preserve"> an amount of </w:t>
      </w:r>
      <w:r w:rsidRPr="00D313F7">
        <w:t>R540 000</w:t>
      </w:r>
      <w:r w:rsidR="00A6062C">
        <w:t>,</w:t>
      </w:r>
      <w:r w:rsidR="00E263FF">
        <w:t xml:space="preserve"> which</w:t>
      </w:r>
      <w:r>
        <w:t xml:space="preserve"> they </w:t>
      </w:r>
      <w:r w:rsidR="00422775">
        <w:t xml:space="preserve">said they </w:t>
      </w:r>
      <w:r w:rsidR="00DD4FC5">
        <w:t>could pay by 1</w:t>
      </w:r>
      <w:r w:rsidR="00175D8E">
        <w:t> </w:t>
      </w:r>
      <w:r w:rsidR="00DD4FC5">
        <w:t>September</w:t>
      </w:r>
      <w:r w:rsidR="00175D8E">
        <w:t> </w:t>
      </w:r>
      <w:r w:rsidR="00DD4FC5">
        <w:t>2017</w:t>
      </w:r>
      <w:r w:rsidR="00E263FF">
        <w:t>.</w:t>
      </w:r>
      <w:r>
        <w:t xml:space="preserve"> </w:t>
      </w:r>
      <w:r w:rsidR="00422775">
        <w:t xml:space="preserve"> </w:t>
      </w:r>
      <w:r w:rsidR="00E263FF">
        <w:t>They submitted</w:t>
      </w:r>
      <w:r w:rsidR="00DB160B">
        <w:t>, in addition,</w:t>
      </w:r>
      <w:r w:rsidR="00E263FF">
        <w:t xml:space="preserve"> </w:t>
      </w:r>
      <w:r w:rsidR="00161BBE">
        <w:t xml:space="preserve">that the penalty clause in the agreement was contrary to public policy, </w:t>
      </w:r>
      <w:r>
        <w:t>and that the property was occupied by Mr and Mrs Baloyi, together with their three minor children</w:t>
      </w:r>
      <w:r w:rsidR="0045547A">
        <w:t>,</w:t>
      </w:r>
      <w:r w:rsidR="00A6062C">
        <w:t xml:space="preserve"> as their primary residence</w:t>
      </w:r>
      <w:r>
        <w:t xml:space="preserve">.  Had this information been before Phatudi J, the applicants submitted, the order of </w:t>
      </w:r>
      <w:r w:rsidRPr="00161BBE">
        <w:t xml:space="preserve">18 </w:t>
      </w:r>
      <w:r w:rsidR="00BA1C29">
        <w:t>April</w:t>
      </w:r>
      <w:r w:rsidRPr="00161BBE">
        <w:t xml:space="preserve"> 2017</w:t>
      </w:r>
      <w:r>
        <w:t xml:space="preserve"> would not have been granted.</w:t>
      </w:r>
    </w:p>
    <w:p w14:paraId="647A9C45" w14:textId="77777777" w:rsidR="009402F8" w:rsidRPr="009402F8" w:rsidRDefault="009402F8" w:rsidP="009402F8">
      <w:pPr>
        <w:pStyle w:val="JUDGMENTCONTINUED"/>
      </w:pPr>
    </w:p>
    <w:p w14:paraId="4EC9DF9A" w14:textId="5F12B408" w:rsidR="005712EE" w:rsidRDefault="005712EE" w:rsidP="000C38CF">
      <w:pPr>
        <w:pStyle w:val="JUDGMENTNUMBERED"/>
      </w:pPr>
      <w:r>
        <w:t xml:space="preserve">Pawn Stars </w:t>
      </w:r>
      <w:r w:rsidR="00E263FF">
        <w:t xml:space="preserve">opposed the application for rescission on the basis that </w:t>
      </w:r>
      <w:r w:rsidR="001F2B35">
        <w:t xml:space="preserve">for purposes of the declaration of special executability </w:t>
      </w:r>
      <w:r>
        <w:t xml:space="preserve">it was </w:t>
      </w:r>
      <w:r w:rsidR="00DD4FC5">
        <w:t>irrelevant</w:t>
      </w:r>
      <w:r>
        <w:t xml:space="preserve"> that the property was occupied, because it was owned by a </w:t>
      </w:r>
      <w:r w:rsidR="00DB160B">
        <w:t>trust</w:t>
      </w:r>
      <w:r w:rsidR="00161BBE">
        <w:t>.</w:t>
      </w:r>
      <w:r w:rsidR="00DD4FC5">
        <w:t xml:space="preserve">  Pawn Star</w:t>
      </w:r>
      <w:r w:rsidR="00885E8B">
        <w:t>s</w:t>
      </w:r>
      <w:r w:rsidR="00DD4FC5">
        <w:t xml:space="preserve"> also noted that, despite the applicants’ averment that they could make payment of R540 000 by 1</w:t>
      </w:r>
      <w:r w:rsidR="00521ADA">
        <w:t> </w:t>
      </w:r>
      <w:r w:rsidR="00DD4FC5">
        <w:t>September</w:t>
      </w:r>
      <w:r w:rsidR="00521ADA">
        <w:t> </w:t>
      </w:r>
      <w:r w:rsidR="00DD4FC5">
        <w:t xml:space="preserve">2017, by 25 October 2017, when it delivered its answer, </w:t>
      </w:r>
      <w:r w:rsidR="0045547A">
        <w:t xml:space="preserve">it </w:t>
      </w:r>
      <w:r w:rsidR="00DD4FC5">
        <w:t>had received no further payments.</w:t>
      </w:r>
    </w:p>
    <w:p w14:paraId="3193FD4C" w14:textId="77777777" w:rsidR="00DD4FC5" w:rsidRPr="00DD4FC5" w:rsidRDefault="00DD4FC5" w:rsidP="00DD4FC5">
      <w:pPr>
        <w:pStyle w:val="JUDGMENTCONTINUED"/>
      </w:pPr>
    </w:p>
    <w:p w14:paraId="7EA7136D" w14:textId="6B80E513" w:rsidR="00DD4FC5" w:rsidRPr="00DD4FC5" w:rsidRDefault="00DD4FC5" w:rsidP="00175D8E">
      <w:pPr>
        <w:pStyle w:val="JUDGMENTNUMBERED"/>
        <w:spacing w:after="120"/>
      </w:pPr>
      <w:r>
        <w:t xml:space="preserve">After </w:t>
      </w:r>
      <w:r w:rsidR="000B1B14">
        <w:t>deliberation</w:t>
      </w:r>
      <w:r>
        <w:t xml:space="preserve"> between the parties, who were both legally represented, the rescission proceedings were settled in terms of </w:t>
      </w:r>
      <w:r w:rsidR="00644B33">
        <w:t>the</w:t>
      </w:r>
      <w:r w:rsidR="00422775">
        <w:t xml:space="preserve"> </w:t>
      </w:r>
      <w:r>
        <w:t>consent order</w:t>
      </w:r>
      <w:r w:rsidR="004F74BC">
        <w:t xml:space="preserve"> granted by </w:t>
      </w:r>
      <w:r w:rsidR="00DC2C2C" w:rsidRPr="00DC2C2C">
        <w:t>Mokgohloa </w:t>
      </w:r>
      <w:r w:rsidR="00EA5513" w:rsidRPr="00DC2C2C">
        <w:t>D</w:t>
      </w:r>
      <w:r w:rsidR="004F74BC" w:rsidRPr="00DC2C2C">
        <w:t>JP</w:t>
      </w:r>
      <w:r>
        <w:t>.  The material terms of that order were:</w:t>
      </w:r>
    </w:p>
    <w:p w14:paraId="6AA14963" w14:textId="77777777" w:rsidR="00DD4FC5" w:rsidRPr="00B22DEE" w:rsidRDefault="00DD4FC5" w:rsidP="00E5355A">
      <w:pPr>
        <w:pStyle w:val="JUDGMENTNUMBERED"/>
        <w:numPr>
          <w:ilvl w:val="1"/>
          <w:numId w:val="1"/>
        </w:numPr>
        <w:ind w:right="720" w:hanging="720"/>
      </w:pPr>
      <w:r>
        <w:t xml:space="preserve">The order </w:t>
      </w:r>
      <w:r w:rsidR="001F2B35">
        <w:t>of 18 April 2017 was rescinded</w:t>
      </w:r>
      <w:r w:rsidR="004F74BC">
        <w:t>.</w:t>
      </w:r>
    </w:p>
    <w:p w14:paraId="4889407E" w14:textId="58E28DBD" w:rsidR="00DD4FC5" w:rsidRPr="00B22DEE" w:rsidRDefault="00DD4FC5" w:rsidP="00E5355A">
      <w:pPr>
        <w:pStyle w:val="JUDGMENTNUMBERED"/>
        <w:numPr>
          <w:ilvl w:val="1"/>
          <w:numId w:val="1"/>
        </w:numPr>
        <w:ind w:right="720" w:hanging="720"/>
      </w:pPr>
      <w:r w:rsidRPr="00502692">
        <w:t>The applicants</w:t>
      </w:r>
      <w:r w:rsidR="00A6062C">
        <w:t xml:space="preserve"> </w:t>
      </w:r>
      <w:r w:rsidRPr="00502692">
        <w:t>were</w:t>
      </w:r>
      <w:r>
        <w:t xml:space="preserve"> directed to pay Pawn Stars an amount of R690</w:t>
      </w:r>
      <w:r w:rsidR="00175D8E">
        <w:t> </w:t>
      </w:r>
      <w:r>
        <w:t>000</w:t>
      </w:r>
      <w:r w:rsidR="00FF7979">
        <w:t>,</w:t>
      </w:r>
      <w:r>
        <w:t xml:space="preserve"> together with interest and costs on the attorney and client scale</w:t>
      </w:r>
      <w:r w:rsidR="004F74BC">
        <w:t>.</w:t>
      </w:r>
    </w:p>
    <w:p w14:paraId="547C0055" w14:textId="58E95F61" w:rsidR="00DD4FC5" w:rsidRDefault="00DD4FC5" w:rsidP="00E5355A">
      <w:pPr>
        <w:pStyle w:val="JUDGMENTNUMBERED"/>
        <w:numPr>
          <w:ilvl w:val="1"/>
          <w:numId w:val="1"/>
        </w:numPr>
        <w:ind w:right="720" w:hanging="720"/>
      </w:pPr>
      <w:r>
        <w:t xml:space="preserve">The first payment of R100 000 </w:t>
      </w:r>
      <w:r w:rsidR="00E26CAA">
        <w:t xml:space="preserve">was due </w:t>
      </w:r>
      <w:r>
        <w:t xml:space="preserve">on or before 23 April 2018 and a second payment on or before 31 May 2018. </w:t>
      </w:r>
      <w:r w:rsidR="00422775">
        <w:t xml:space="preserve"> </w:t>
      </w:r>
      <w:r>
        <w:t>Thereafter, the balance was to be paid in equal monthly instalments of R40</w:t>
      </w:r>
      <w:r w:rsidR="00175D8E">
        <w:t> </w:t>
      </w:r>
      <w:r>
        <w:t>000 payable on the last day of each subsequent month commencing on the last day of June 2018</w:t>
      </w:r>
      <w:r w:rsidR="004F74BC">
        <w:t>.</w:t>
      </w:r>
    </w:p>
    <w:p w14:paraId="34259F8F" w14:textId="1B352AF0" w:rsidR="00DD4FC5" w:rsidRDefault="00DD4FC5" w:rsidP="00E5355A">
      <w:pPr>
        <w:pStyle w:val="JUDGMENTNUMBERED"/>
        <w:numPr>
          <w:ilvl w:val="1"/>
          <w:numId w:val="1"/>
        </w:numPr>
        <w:ind w:right="720" w:hanging="720"/>
      </w:pPr>
      <w:r>
        <w:t>In the event of any instalment not being paid on due date, the full balance of the repayable amount then due would become immediately due, owing and payable, the property would become specially executable, and the sheriff would be authorised to issue a warrant of execution in respect of the property.</w:t>
      </w:r>
    </w:p>
    <w:p w14:paraId="22671342" w14:textId="77777777" w:rsidR="00DD4FC5" w:rsidRDefault="00DD4FC5" w:rsidP="00CF0604">
      <w:pPr>
        <w:pStyle w:val="JUDGMENTCONTINUED"/>
      </w:pPr>
    </w:p>
    <w:p w14:paraId="675A8A70" w14:textId="4605D017" w:rsidR="000B1B14" w:rsidRDefault="00E26CAA" w:rsidP="000B1B14">
      <w:pPr>
        <w:pStyle w:val="JUDGMENTNUMBERED"/>
      </w:pPr>
      <w:r>
        <w:t>On 23 April 2</w:t>
      </w:r>
      <w:r w:rsidR="00FF7979">
        <w:t>0</w:t>
      </w:r>
      <w:r>
        <w:t>18, t</w:t>
      </w:r>
      <w:r w:rsidR="000B1B14">
        <w:t>he Trust made payment of R100 000 to Pawn Stars, but thereafter defaulted on its obligations in terms of the</w:t>
      </w:r>
      <w:r w:rsidR="00910554">
        <w:t xml:space="preserve"> consent</w:t>
      </w:r>
      <w:r w:rsidR="000B1B14">
        <w:t xml:space="preserve"> order.  A warrant of execution for the property was issued on 2</w:t>
      </w:r>
      <w:r w:rsidR="0022365A">
        <w:t>5</w:t>
      </w:r>
      <w:r w:rsidR="000B1B14">
        <w:t xml:space="preserve"> July 2018, and</w:t>
      </w:r>
      <w:r w:rsidR="004F74BC">
        <w:t xml:space="preserve"> by </w:t>
      </w:r>
      <w:r w:rsidR="00556044">
        <w:t xml:space="preserve">subsequent </w:t>
      </w:r>
      <w:r w:rsidR="004F74BC">
        <w:t xml:space="preserve">notice </w:t>
      </w:r>
      <w:r w:rsidR="00DD7DF6">
        <w:t>a</w:t>
      </w:r>
      <w:r w:rsidR="000B1B14">
        <w:t xml:space="preserve"> sale in execution of the property was scheduled for 5 December 2018.</w:t>
      </w:r>
    </w:p>
    <w:p w14:paraId="177DE520" w14:textId="77777777" w:rsidR="000B1B14" w:rsidRPr="000B1B14" w:rsidRDefault="000B1B14" w:rsidP="000B1B14">
      <w:pPr>
        <w:pStyle w:val="JUDGMENTCONTINUED"/>
      </w:pPr>
    </w:p>
    <w:p w14:paraId="771CD270" w14:textId="4AFE254C" w:rsidR="000B1B14" w:rsidRDefault="000B1B14" w:rsidP="0045547A">
      <w:pPr>
        <w:pStyle w:val="JUDGMENTNUMBERED"/>
      </w:pPr>
      <w:r>
        <w:t>The applicants alleged that they were made aware of the warrant of execution on 13 September 2018 and the pending sale in execution on 21 November 2018.</w:t>
      </w:r>
      <w:r w:rsidR="0045547A">
        <w:t xml:space="preserve">  </w:t>
      </w:r>
      <w:r w:rsidR="00910554">
        <w:t>On 2</w:t>
      </w:r>
      <w:r w:rsidR="00556044">
        <w:t>9</w:t>
      </w:r>
      <w:r w:rsidR="00910554">
        <w:t xml:space="preserve"> November 2018, </w:t>
      </w:r>
      <w:r w:rsidR="00910554" w:rsidRPr="00910554">
        <w:t xml:space="preserve">the applicants </w:t>
      </w:r>
      <w:r w:rsidR="00E26CAA">
        <w:t>instituted</w:t>
      </w:r>
      <w:r w:rsidR="00910554" w:rsidRPr="00910554">
        <w:t xml:space="preserve"> urgent application </w:t>
      </w:r>
      <w:r w:rsidR="00E26CAA">
        <w:t xml:space="preserve">proceedings </w:t>
      </w:r>
      <w:r w:rsidR="00910554" w:rsidRPr="00910554">
        <w:t xml:space="preserve">in which they sought, in Part A of their notice of motion, </w:t>
      </w:r>
      <w:r w:rsidR="00E26CAA">
        <w:t>an order</w:t>
      </w:r>
      <w:r w:rsidR="00910554" w:rsidRPr="00910554">
        <w:t xml:space="preserve"> interdict</w:t>
      </w:r>
      <w:r w:rsidR="00E26CAA">
        <w:t>ing</w:t>
      </w:r>
      <w:r w:rsidR="00910554" w:rsidRPr="00910554">
        <w:t xml:space="preserve"> the sale of the property </w:t>
      </w:r>
      <w:r w:rsidR="00910554">
        <w:t xml:space="preserve">pending a determination of </w:t>
      </w:r>
      <w:r w:rsidR="00910554" w:rsidRPr="00910554">
        <w:t>Part B</w:t>
      </w:r>
      <w:r w:rsidR="00540414">
        <w:t>,</w:t>
      </w:r>
      <w:r w:rsidR="00910554">
        <w:t xml:space="preserve"> in which</w:t>
      </w:r>
      <w:r w:rsidR="00910554" w:rsidRPr="00910554">
        <w:t xml:space="preserve">, amongst others, </w:t>
      </w:r>
      <w:r w:rsidR="00910554">
        <w:t xml:space="preserve">they sought </w:t>
      </w:r>
      <w:r w:rsidR="00910554" w:rsidRPr="00910554">
        <w:t xml:space="preserve">to set aside the warrant of execution of </w:t>
      </w:r>
      <w:r w:rsidR="00910554" w:rsidRPr="00502692">
        <w:t>2</w:t>
      </w:r>
      <w:r w:rsidR="0022365A">
        <w:t>5</w:t>
      </w:r>
      <w:r w:rsidR="00910554" w:rsidRPr="00502692">
        <w:t xml:space="preserve"> July 2018</w:t>
      </w:r>
      <w:r w:rsidR="00910554" w:rsidRPr="00910554">
        <w:t xml:space="preserve">, and </w:t>
      </w:r>
      <w:r w:rsidR="00DD7DF6">
        <w:t xml:space="preserve">to </w:t>
      </w:r>
      <w:r w:rsidR="00910554">
        <w:t>vary</w:t>
      </w:r>
      <w:r w:rsidR="00910554" w:rsidRPr="00910554">
        <w:t xml:space="preserve"> the </w:t>
      </w:r>
      <w:r w:rsidR="00FF7979">
        <w:t>consent</w:t>
      </w:r>
      <w:r w:rsidR="00910554">
        <w:t xml:space="preserve"> order.  In terms of the proposed variation, the property would only become specially executable </w:t>
      </w:r>
      <w:r w:rsidR="00910554" w:rsidRPr="00910554">
        <w:t xml:space="preserve">“upon the </w:t>
      </w:r>
      <w:r w:rsidR="00910554" w:rsidRPr="00910554">
        <w:lastRenderedPageBreak/>
        <w:t>application of the applicant, Pawn Stars CC</w:t>
      </w:r>
      <w:r w:rsidR="001D74B4">
        <w:t xml:space="preserve"> . . .</w:t>
      </w:r>
      <w:r w:rsidR="00910554" w:rsidRPr="00910554">
        <w:t xml:space="preserve"> for an order of judicial supervision before the property can be sold”</w:t>
      </w:r>
      <w:r w:rsidR="00910554">
        <w:t>.</w:t>
      </w:r>
    </w:p>
    <w:p w14:paraId="27C2076D" w14:textId="77777777" w:rsidR="00910554" w:rsidRPr="00910554" w:rsidRDefault="00910554" w:rsidP="00910554">
      <w:pPr>
        <w:pStyle w:val="JUDGMENTCONTINUED"/>
      </w:pPr>
    </w:p>
    <w:p w14:paraId="59A3BA6F" w14:textId="6FCC8E5B" w:rsidR="00910554" w:rsidRDefault="00910554" w:rsidP="000C38CF">
      <w:pPr>
        <w:pStyle w:val="JUDGMENTNUMBERED"/>
      </w:pPr>
      <w:r>
        <w:t>The primary basis upon which the applicants claimed entitlement to this relief was that the consent order had</w:t>
      </w:r>
      <w:r w:rsidR="0022365A">
        <w:t xml:space="preserve"> allegedly</w:t>
      </w:r>
      <w:r>
        <w:t xml:space="preserve"> </w:t>
      </w:r>
      <w:r w:rsidR="00422775">
        <w:t xml:space="preserve">been </w:t>
      </w:r>
      <w:r>
        <w:t xml:space="preserve">impermissibly </w:t>
      </w:r>
      <w:r w:rsidR="00D37A96">
        <w:t>granted without application of rule</w:t>
      </w:r>
      <w:r w:rsidR="00DE71CA">
        <w:t> </w:t>
      </w:r>
      <w:r>
        <w:t>46A.  The applicants</w:t>
      </w:r>
      <w:r w:rsidR="00BD3D14">
        <w:t xml:space="preserve"> alleged that the consent order had been granted without a reserve price being set, and without consideration of factors that might have militated against declaring the property specially executable.  The applicants submitted further that the consent order left it to the discretion of Pawn Stars to determine whether the applicants were in default</w:t>
      </w:r>
      <w:r w:rsidR="007F750A">
        <w:t xml:space="preserve"> and that, in effect, the property would therefore become specially executable without judicial oversight.  All this, the applicants sa</w:t>
      </w:r>
      <w:r w:rsidR="00902D14">
        <w:t>id</w:t>
      </w:r>
      <w:r w:rsidR="007F750A">
        <w:t xml:space="preserve">, </w:t>
      </w:r>
      <w:r w:rsidR="00540414">
        <w:t>was</w:t>
      </w:r>
      <w:r w:rsidR="00D37A96">
        <w:t xml:space="preserve"> contrary to the prescripts of rule</w:t>
      </w:r>
      <w:r w:rsidR="007F750A">
        <w:t xml:space="preserve"> 46A.</w:t>
      </w:r>
    </w:p>
    <w:p w14:paraId="79342C5B" w14:textId="77777777" w:rsidR="00C20BC5" w:rsidRDefault="00C20BC5" w:rsidP="00C20BC5">
      <w:pPr>
        <w:pStyle w:val="JUDGMENTCONTINUED"/>
      </w:pPr>
    </w:p>
    <w:p w14:paraId="61969ECF" w14:textId="68E339F6" w:rsidR="00C20BC5" w:rsidRPr="00C20BC5" w:rsidRDefault="00C20BC5" w:rsidP="00C20BC5">
      <w:pPr>
        <w:pStyle w:val="JUDGMENTNUMBERED"/>
      </w:pPr>
      <w:r>
        <w:t>Pawn Stars opposed Part A, but the urgent relief was granted on 5</w:t>
      </w:r>
      <w:r w:rsidR="001D74B4">
        <w:t> </w:t>
      </w:r>
      <w:r>
        <w:t>December</w:t>
      </w:r>
      <w:r w:rsidR="001D74B4">
        <w:t> </w:t>
      </w:r>
      <w:r>
        <w:t>2018.</w:t>
      </w:r>
      <w:r w:rsidRPr="00C20BC5">
        <w:t xml:space="preserve"> </w:t>
      </w:r>
      <w:r>
        <w:t xml:space="preserve"> </w:t>
      </w:r>
      <w:r w:rsidRPr="00C20BC5">
        <w:t xml:space="preserve">Prior to Pawn Stars filing its answering papers in respect of Part B, the applicants on 19 December 2018 delivered yet another application.  This </w:t>
      </w:r>
      <w:r>
        <w:t xml:space="preserve">application sought </w:t>
      </w:r>
      <w:r w:rsidR="00521ADA">
        <w:t xml:space="preserve">substantially </w:t>
      </w:r>
      <w:r>
        <w:t xml:space="preserve">similar relief to Part </w:t>
      </w:r>
      <w:r w:rsidR="00521ADA">
        <w:t>B of the previous application.</w:t>
      </w:r>
    </w:p>
    <w:p w14:paraId="6A575FDC" w14:textId="77777777" w:rsidR="007F750A" w:rsidRPr="007F750A" w:rsidRDefault="007F750A" w:rsidP="007F750A">
      <w:pPr>
        <w:pStyle w:val="JUDGMENTCONTINUED"/>
      </w:pPr>
    </w:p>
    <w:p w14:paraId="35057402" w14:textId="1C79964C" w:rsidR="00902D14" w:rsidRDefault="00902D14" w:rsidP="008A3614">
      <w:pPr>
        <w:pStyle w:val="JUDGMENTNUMBERED"/>
      </w:pPr>
      <w:r>
        <w:t>The nub of Pawn Stars</w:t>
      </w:r>
      <w:r w:rsidR="00D313F7">
        <w:t>’ response</w:t>
      </w:r>
      <w:r>
        <w:t xml:space="preserve"> </w:t>
      </w:r>
      <w:r w:rsidR="00C20BC5">
        <w:t>to Part B and to the further application of 19</w:t>
      </w:r>
      <w:r w:rsidR="001D74B4">
        <w:t> </w:t>
      </w:r>
      <w:r w:rsidR="00C20BC5">
        <w:t>December</w:t>
      </w:r>
      <w:r w:rsidR="001D74B4">
        <w:t> </w:t>
      </w:r>
      <w:r w:rsidR="00C20BC5">
        <w:t xml:space="preserve">2018 </w:t>
      </w:r>
      <w:r>
        <w:t xml:space="preserve">was that, before the </w:t>
      </w:r>
      <w:r w:rsidRPr="00502692">
        <w:t>consent order</w:t>
      </w:r>
      <w:r>
        <w:t xml:space="preserve"> was granted, the parties discussed the issue of executability, and the </w:t>
      </w:r>
      <w:r w:rsidR="0022365A">
        <w:t xml:space="preserve">outcome </w:t>
      </w:r>
      <w:r>
        <w:t xml:space="preserve">of these deliberations was embodied in the consent order.  Pawn Stars submitted that the applicants had not alleged that this order was granted by mistake or as </w:t>
      </w:r>
      <w:r w:rsidR="000A6B9C">
        <w:t xml:space="preserve">a </w:t>
      </w:r>
      <w:r>
        <w:t xml:space="preserve">result of fraud, and were therefore not entitled to the relief sought.  Pawn Stars noted further that, in any event, the applicants had failed to demonstrate that they would be able to satisfy their obligations without a sale of the property, and had also failed to set out any other factor which militated against the declaration of executability.  Pawn Stars also </w:t>
      </w:r>
      <w:r w:rsidR="00540414">
        <w:t>brought</w:t>
      </w:r>
      <w:r>
        <w:t xml:space="preserve"> a counter-application, conditional upon the success of </w:t>
      </w:r>
      <w:r w:rsidR="00422775">
        <w:t xml:space="preserve">the applicant’s </w:t>
      </w:r>
      <w:r>
        <w:t>Part B application</w:t>
      </w:r>
      <w:r w:rsidR="00D40B44">
        <w:t>, in which it</w:t>
      </w:r>
      <w:r>
        <w:t xml:space="preserve"> sought an order declaring the</w:t>
      </w:r>
      <w:r w:rsidR="00D40B44">
        <w:t xml:space="preserve"> property specially executable </w:t>
      </w:r>
      <w:r>
        <w:t xml:space="preserve">and setting a reserve price at </w:t>
      </w:r>
      <w:r w:rsidR="00502692">
        <w:t>R1 620 009.</w:t>
      </w:r>
    </w:p>
    <w:p w14:paraId="2D403896" w14:textId="77777777" w:rsidR="003926FD" w:rsidRDefault="003926FD" w:rsidP="00CF0604">
      <w:pPr>
        <w:pStyle w:val="JUDGMENTCONTINUED"/>
      </w:pPr>
    </w:p>
    <w:p w14:paraId="13C78D64" w14:textId="69191F64" w:rsidR="00D40B44" w:rsidRDefault="003926FD" w:rsidP="00CA75ED">
      <w:pPr>
        <w:pStyle w:val="JUDGMENTNUMBERED"/>
      </w:pPr>
      <w:r>
        <w:lastRenderedPageBreak/>
        <w:t>O</w:t>
      </w:r>
      <w:r w:rsidR="00D40B44">
        <w:t>n 7 November 2019</w:t>
      </w:r>
      <w:r w:rsidR="0018602B">
        <w:t>,</w:t>
      </w:r>
      <w:r w:rsidR="00D40B44">
        <w:t xml:space="preserve"> Madavha AJ refused the relief</w:t>
      </w:r>
      <w:r w:rsidR="00B26174">
        <w:t xml:space="preserve"> sought in terms of Part B</w:t>
      </w:r>
      <w:r w:rsidR="008C04B7">
        <w:t xml:space="preserve"> and in the application of 19 December 2018</w:t>
      </w:r>
      <w:r w:rsidR="00D40B44">
        <w:t xml:space="preserve">.  </w:t>
      </w:r>
      <w:r w:rsidR="00CA75ED">
        <w:t xml:space="preserve">Madavha AJ held that the writ of execution had been issued by the sheriff in accordance with the </w:t>
      </w:r>
      <w:r w:rsidR="008C04B7">
        <w:t xml:space="preserve">consent </w:t>
      </w:r>
      <w:r w:rsidR="00CA75ED">
        <w:t xml:space="preserve">order.  Since the applicants had not sought to rescind that order, a legal cause remained extant for the issuance of the writ of execution.  There was accordingly no basis </w:t>
      </w:r>
      <w:r w:rsidR="00422775">
        <w:t xml:space="preserve">on which </w:t>
      </w:r>
      <w:r w:rsidR="00CA75ED">
        <w:t xml:space="preserve">to set that writ aside.  </w:t>
      </w:r>
      <w:r w:rsidR="00D37A96">
        <w:t>Regarding the applicability of rule</w:t>
      </w:r>
      <w:r w:rsidR="00CA75ED">
        <w:t xml:space="preserve"> 46A, Madavha AJ appeared to accept that the </w:t>
      </w:r>
      <w:r w:rsidR="00D37A96">
        <w:t>rule</w:t>
      </w:r>
      <w:r w:rsidR="00CA75ED">
        <w:t xml:space="preserve"> has application even where the </w:t>
      </w:r>
      <w:r w:rsidR="00F03132">
        <w:t>relevant</w:t>
      </w:r>
      <w:r w:rsidR="00CA75ED">
        <w:t xml:space="preserve"> property is owned by a juristic person</w:t>
      </w:r>
      <w:r w:rsidR="008C04B7">
        <w:t xml:space="preserve"> or trust</w:t>
      </w:r>
      <w:r w:rsidR="00CA75ED">
        <w:t xml:space="preserve">.  However, she went on to hold that </w:t>
      </w:r>
      <w:r w:rsidR="00B26174">
        <w:t>the</w:t>
      </w:r>
      <w:r w:rsidR="00CA75ED" w:rsidRPr="00CA75ED">
        <w:t xml:space="preserve"> </w:t>
      </w:r>
      <w:r w:rsidR="00F03132">
        <w:t>impugned order had been granted by agreement, and that the applicants had failed to make out a case for its variation or rescission.</w:t>
      </w:r>
    </w:p>
    <w:p w14:paraId="6987DFF6" w14:textId="77777777" w:rsidR="00CA75ED" w:rsidRPr="00CA75ED" w:rsidRDefault="00CA75ED" w:rsidP="00CA75ED">
      <w:pPr>
        <w:pStyle w:val="JUDGMENTCONTINUED"/>
      </w:pPr>
    </w:p>
    <w:p w14:paraId="1CA7C7C5" w14:textId="78F19BC5" w:rsidR="00CA75ED" w:rsidRDefault="00F03132" w:rsidP="008A3614">
      <w:pPr>
        <w:pStyle w:val="JUDGMENTNUMBERED"/>
      </w:pPr>
      <w:r w:rsidRPr="00502692">
        <w:t xml:space="preserve">The </w:t>
      </w:r>
      <w:r w:rsidR="00343377" w:rsidRPr="00502692">
        <w:t>applicants’</w:t>
      </w:r>
      <w:r w:rsidRPr="00502692">
        <w:t xml:space="preserve"> subsequent efforts to petition the High Court and Supreme Court of Appeal for leave to appeal were unsuccessful.</w:t>
      </w:r>
      <w:r>
        <w:t xml:space="preserve">  Notably, </w:t>
      </w:r>
      <w:r w:rsidR="00502692">
        <w:t xml:space="preserve">in </w:t>
      </w:r>
      <w:r w:rsidR="00B26174">
        <w:t>their</w:t>
      </w:r>
      <w:r w:rsidR="00502692">
        <w:t xml:space="preserve"> application for leave to appeal in the High Court</w:t>
      </w:r>
      <w:r>
        <w:t>, the applicants seemingly accepted that, in their view, Madavha</w:t>
      </w:r>
      <w:r w:rsidR="001D74B4">
        <w:t> </w:t>
      </w:r>
      <w:r>
        <w:t xml:space="preserve">AJ had correctly held </w:t>
      </w:r>
      <w:r w:rsidR="00422775">
        <w:t xml:space="preserve">that </w:t>
      </w:r>
      <w:r w:rsidR="00D37A96">
        <w:t>rule</w:t>
      </w:r>
      <w:r>
        <w:t xml:space="preserve"> 46A </w:t>
      </w:r>
      <w:r w:rsidR="00B26174">
        <w:t>applies</w:t>
      </w:r>
      <w:r>
        <w:t xml:space="preserve"> to proper</w:t>
      </w:r>
      <w:r w:rsidR="00502692">
        <w:t>ties owned by juristic persons</w:t>
      </w:r>
      <w:r w:rsidR="008C04B7">
        <w:t xml:space="preserve"> </w:t>
      </w:r>
      <w:r w:rsidR="002E6846">
        <w:t>or</w:t>
      </w:r>
      <w:r w:rsidR="008C04B7">
        <w:t xml:space="preserve"> trusts</w:t>
      </w:r>
      <w:r w:rsidR="00502692">
        <w:t>.</w:t>
      </w:r>
    </w:p>
    <w:p w14:paraId="6BA79D84" w14:textId="77777777" w:rsidR="00F03132" w:rsidRPr="00F03132" w:rsidRDefault="00F03132" w:rsidP="00F03132">
      <w:pPr>
        <w:pStyle w:val="JUDGMENTCONTINUED"/>
      </w:pPr>
    </w:p>
    <w:p w14:paraId="1852BFB3" w14:textId="3DF2AB7A" w:rsidR="005C0491" w:rsidRDefault="00F03132" w:rsidP="008A3614">
      <w:pPr>
        <w:pStyle w:val="JUDGMENTNUMBERED"/>
      </w:pPr>
      <w:r>
        <w:t xml:space="preserve">In this Court, the applicants have adopted a different tack.  </w:t>
      </w:r>
      <w:r w:rsidR="00343377">
        <w:t>They say that the quest</w:t>
      </w:r>
      <w:r w:rsidR="00D37A96">
        <w:t>ion as to the applicability of rule</w:t>
      </w:r>
      <w:r w:rsidR="00343377">
        <w:t xml:space="preserve"> 46A was not decided by Madavha</w:t>
      </w:r>
      <w:r w:rsidR="0023578C">
        <w:t> </w:t>
      </w:r>
      <w:r w:rsidR="00343377">
        <w:t>AJ</w:t>
      </w:r>
      <w:r w:rsidR="00EF6658">
        <w:t xml:space="preserve">.  </w:t>
      </w:r>
      <w:r w:rsidR="0031262F">
        <w:t xml:space="preserve">As </w:t>
      </w:r>
      <w:r w:rsidR="00EF6658">
        <w:t>a result,</w:t>
      </w:r>
      <w:r w:rsidR="0031262F">
        <w:t xml:space="preserve"> they say that</w:t>
      </w:r>
      <w:r w:rsidR="00EF6658">
        <w:t xml:space="preserve"> Madavha AJ failed to consider whether the consent order was granted after proper application of that </w:t>
      </w:r>
      <w:r w:rsidR="00D37A96">
        <w:t>rule</w:t>
      </w:r>
      <w:r w:rsidR="00EF6658">
        <w:t xml:space="preserve">.  They also contend that Phatudi J’s order was granted without </w:t>
      </w:r>
      <w:r w:rsidR="00E969BC">
        <w:t xml:space="preserve">application </w:t>
      </w:r>
      <w:r w:rsidR="00FF7979">
        <w:t xml:space="preserve">of </w:t>
      </w:r>
      <w:r w:rsidR="00502692">
        <w:t xml:space="preserve">the </w:t>
      </w:r>
      <w:r w:rsidR="00D37A96">
        <w:t>erstwhile rule</w:t>
      </w:r>
      <w:r w:rsidR="00E969BC">
        <w:t xml:space="preserve"> 46</w:t>
      </w:r>
      <w:r w:rsidR="005C0491">
        <w:t>(1)(a)(ii)</w:t>
      </w:r>
      <w:r w:rsidR="00E969BC">
        <w:t xml:space="preserve">, which, at the time that order was granted, regulated proceedings in which a creditor sought to have immovable property declared specially executable.  </w:t>
      </w:r>
      <w:r w:rsidR="00CC024E">
        <w:t>Plainly, however, the correctness of Phatudi</w:t>
      </w:r>
      <w:r w:rsidR="0023578C">
        <w:t> </w:t>
      </w:r>
      <w:r w:rsidR="00CC024E">
        <w:t xml:space="preserve">J’s order is not before us, that order having </w:t>
      </w:r>
      <w:r w:rsidR="001C2BC2">
        <w:t>been</w:t>
      </w:r>
      <w:r w:rsidR="00CC024E">
        <w:t xml:space="preserve"> r</w:t>
      </w:r>
      <w:r w:rsidR="005C0491">
        <w:t>escinded by the consent order</w:t>
      </w:r>
      <w:r w:rsidR="008C04B7">
        <w:t xml:space="preserve"> of Mokgohloa</w:t>
      </w:r>
      <w:r w:rsidR="0023578C">
        <w:t> </w:t>
      </w:r>
      <w:r w:rsidR="008A61E2">
        <w:t>D</w:t>
      </w:r>
      <w:r w:rsidR="008C04B7">
        <w:t>JP</w:t>
      </w:r>
      <w:r w:rsidR="005C0491">
        <w:t>.</w:t>
      </w:r>
    </w:p>
    <w:p w14:paraId="3990FB7D" w14:textId="77777777" w:rsidR="005C0491" w:rsidRPr="005C0491" w:rsidRDefault="005C0491" w:rsidP="005C0491">
      <w:pPr>
        <w:pStyle w:val="JUDGMENTCONTINUED"/>
      </w:pPr>
    </w:p>
    <w:p w14:paraId="0A0CAC80" w14:textId="0B004505" w:rsidR="00F03132" w:rsidRDefault="005C0491" w:rsidP="0023578C">
      <w:pPr>
        <w:pStyle w:val="JUDGMENTNUMBERED"/>
      </w:pPr>
      <w:r>
        <w:t>T</w:t>
      </w:r>
      <w:r w:rsidR="00CC024E">
        <w:t>he central issue for determination</w:t>
      </w:r>
      <w:r w:rsidR="008C04B7">
        <w:t xml:space="preserve"> </w:t>
      </w:r>
      <w:r w:rsidR="0023578C">
        <w:t>–</w:t>
      </w:r>
      <w:r w:rsidR="0031262F">
        <w:t xml:space="preserve"> </w:t>
      </w:r>
      <w:r w:rsidR="00CC024E">
        <w:t>or so say the applicants</w:t>
      </w:r>
      <w:r w:rsidR="00422775">
        <w:t xml:space="preserve"> </w:t>
      </w:r>
      <w:r w:rsidR="0023578C">
        <w:t>–</w:t>
      </w:r>
      <w:r w:rsidR="000F34B7">
        <w:t xml:space="preserve"> </w:t>
      </w:r>
      <w:r w:rsidR="00D37A96">
        <w:t>is whether rule</w:t>
      </w:r>
      <w:r w:rsidR="00422775">
        <w:t> </w:t>
      </w:r>
      <w:r w:rsidR="00CC024E">
        <w:t xml:space="preserve">46A </w:t>
      </w:r>
      <w:r w:rsidR="00502692">
        <w:t>applies</w:t>
      </w:r>
      <w:r w:rsidR="00CC024E">
        <w:t xml:space="preserve"> in respect of property owned by a juristic person</w:t>
      </w:r>
      <w:r>
        <w:t xml:space="preserve"> </w:t>
      </w:r>
      <w:r w:rsidR="008C04B7">
        <w:t xml:space="preserve">or trust </w:t>
      </w:r>
      <w:r w:rsidR="00D37A96">
        <w:t>(rule</w:t>
      </w:r>
      <w:r w:rsidR="00DE71CA">
        <w:t> </w:t>
      </w:r>
      <w:r>
        <w:t>46A</w:t>
      </w:r>
      <w:r w:rsidR="00DE71CA">
        <w:t> </w:t>
      </w:r>
      <w:r>
        <w:t>issue)</w:t>
      </w:r>
      <w:r w:rsidR="00CC024E">
        <w:t xml:space="preserve">.  In this regard, the applicants ask that </w:t>
      </w:r>
      <w:r w:rsidR="00F925FD">
        <w:t>this Court</w:t>
      </w:r>
      <w:r w:rsidR="00CC024E">
        <w:t xml:space="preserve"> overturn</w:t>
      </w:r>
      <w:r w:rsidR="00F925FD">
        <w:t>s</w:t>
      </w:r>
      <w:r w:rsidR="00CC024E">
        <w:t xml:space="preserve"> the decision </w:t>
      </w:r>
      <w:r w:rsidR="00CC024E">
        <w:lastRenderedPageBreak/>
        <w:t>in</w:t>
      </w:r>
      <w:r w:rsidR="00CF0604">
        <w:t> </w:t>
      </w:r>
      <w:r w:rsidR="00CC024E" w:rsidRPr="0023578C">
        <w:rPr>
          <w:i/>
        </w:rPr>
        <w:t>Folscher</w:t>
      </w:r>
      <w:r w:rsidR="00F925FD">
        <w:t>,</w:t>
      </w:r>
      <w:r w:rsidR="00CC024E" w:rsidRPr="006F1FA3">
        <w:rPr>
          <w:rStyle w:val="FootnoteReference"/>
        </w:rPr>
        <w:footnoteReference w:id="2"/>
      </w:r>
      <w:r w:rsidR="000F34B7" w:rsidRPr="0023578C">
        <w:rPr>
          <w:i/>
        </w:rPr>
        <w:t xml:space="preserve"> </w:t>
      </w:r>
      <w:r w:rsidR="00F925FD">
        <w:t>where</w:t>
      </w:r>
      <w:r w:rsidR="000F34B7">
        <w:t xml:space="preserve"> it was held that</w:t>
      </w:r>
      <w:r>
        <w:t xml:space="preserve"> the erstwhile</w:t>
      </w:r>
      <w:r w:rsidR="000F34B7">
        <w:t xml:space="preserve"> </w:t>
      </w:r>
      <w:r w:rsidR="00D37A96">
        <w:t>rule</w:t>
      </w:r>
      <w:r w:rsidR="000F34B7" w:rsidRPr="005C0491">
        <w:t xml:space="preserve"> 46</w:t>
      </w:r>
      <w:r w:rsidRPr="005C0491">
        <w:t>(1)(a)(ii)</w:t>
      </w:r>
      <w:r w:rsidR="000F34B7">
        <w:t xml:space="preserve"> did not apply in respect of immovable property owned by juristic persons.</w:t>
      </w:r>
    </w:p>
    <w:p w14:paraId="234265EC" w14:textId="77777777" w:rsidR="00E969BC" w:rsidRPr="00E969BC" w:rsidRDefault="00E969BC" w:rsidP="00E969BC">
      <w:pPr>
        <w:pStyle w:val="JUDGMENTCONTINUED"/>
      </w:pPr>
    </w:p>
    <w:p w14:paraId="454CC3C9" w14:textId="02E9D1D0" w:rsidR="00CC024E" w:rsidRDefault="000F34B7" w:rsidP="008A3614">
      <w:pPr>
        <w:pStyle w:val="JUDGMENTNUMBERED"/>
      </w:pPr>
      <w:r>
        <w:t xml:space="preserve">Pawn Stars offers three responses.  First, it </w:t>
      </w:r>
      <w:r w:rsidR="00B5534A">
        <w:t>contends</w:t>
      </w:r>
      <w:r>
        <w:t xml:space="preserve"> that Madavha AJ found in favour of the applicants in respect of the </w:t>
      </w:r>
      <w:r w:rsidR="00D37A96">
        <w:t>rule</w:t>
      </w:r>
      <w:r>
        <w:t xml:space="preserve"> 46A issue, but dismissed the application because the applicants had failed to make out a case for the variation or rescission of the consent order.  It therefore says that the applicability of </w:t>
      </w:r>
      <w:r w:rsidR="00D37A96">
        <w:t>rule</w:t>
      </w:r>
      <w:r>
        <w:t xml:space="preserve"> 46A, and the correctness of </w:t>
      </w:r>
      <w:r w:rsidRPr="000F34B7">
        <w:rPr>
          <w:i/>
        </w:rPr>
        <w:t>Folscher</w:t>
      </w:r>
      <w:r>
        <w:t xml:space="preserve">, </w:t>
      </w:r>
      <w:r w:rsidR="00F925FD">
        <w:t>were</w:t>
      </w:r>
      <w:r>
        <w:t xml:space="preserve"> resolved in favour of the applicants.  Second, Pawn Stars notes that the consent order was granted after all relevant issues were canvassed, and in circumstances where both parties were legally represented</w:t>
      </w:r>
      <w:r w:rsidR="00F925FD">
        <w:t>,</w:t>
      </w:r>
      <w:r>
        <w:t xml:space="preserve"> </w:t>
      </w:r>
      <w:r w:rsidR="00F925FD">
        <w:t>and</w:t>
      </w:r>
      <w:r w:rsidR="00664C44">
        <w:t xml:space="preserve"> </w:t>
      </w:r>
      <w:r w:rsidR="00F925FD">
        <w:t>argues</w:t>
      </w:r>
      <w:r>
        <w:t xml:space="preserve"> </w:t>
      </w:r>
      <w:r w:rsidR="00664C44">
        <w:t xml:space="preserve">that </w:t>
      </w:r>
      <w:r>
        <w:t xml:space="preserve">the applicants have failed to set out any basis for the variation or rescission of that order.  </w:t>
      </w:r>
      <w:r w:rsidR="006F4343">
        <w:t xml:space="preserve">Finally, Pawn Stars notes that </w:t>
      </w:r>
      <w:r>
        <w:t xml:space="preserve">even if </w:t>
      </w:r>
      <w:r w:rsidR="00D37A96">
        <w:t>rule</w:t>
      </w:r>
      <w:r>
        <w:t xml:space="preserve"> </w:t>
      </w:r>
      <w:r w:rsidRPr="005C0491">
        <w:t>46A did have application</w:t>
      </w:r>
      <w:r>
        <w:t>, the applicants have failed to set out any</w:t>
      </w:r>
      <w:r w:rsidR="00F925FD">
        <w:t xml:space="preserve"> factors</w:t>
      </w:r>
      <w:r>
        <w:t xml:space="preserve"> which militate against declaring the property specially executable.</w:t>
      </w:r>
    </w:p>
    <w:p w14:paraId="2CFFC093" w14:textId="77777777" w:rsidR="000F34B7" w:rsidRDefault="000F34B7" w:rsidP="000F34B7">
      <w:pPr>
        <w:pStyle w:val="JUDGMENTCONTINUED"/>
      </w:pPr>
    </w:p>
    <w:p w14:paraId="6A8B96F9" w14:textId="77777777" w:rsidR="00B5534A" w:rsidRPr="00B5534A" w:rsidRDefault="00B5534A" w:rsidP="0031262F">
      <w:pPr>
        <w:pStyle w:val="HEADING"/>
      </w:pPr>
      <w:r>
        <w:t>Jurisdiction</w:t>
      </w:r>
    </w:p>
    <w:p w14:paraId="082BCAEB" w14:textId="0AE0D4AE" w:rsidR="000F34B7" w:rsidRDefault="00B5534A" w:rsidP="008A3614">
      <w:pPr>
        <w:pStyle w:val="JUDGMENTNUMBERED"/>
      </w:pPr>
      <w:r>
        <w:t xml:space="preserve">As </w:t>
      </w:r>
      <w:r w:rsidR="00E1148B">
        <w:t>mentioned</w:t>
      </w:r>
      <w:r>
        <w:t xml:space="preserve">, the applicants contend that this application requires </w:t>
      </w:r>
      <w:r w:rsidR="0045547A">
        <w:t>a determination of</w:t>
      </w:r>
      <w:r>
        <w:t xml:space="preserve"> whether </w:t>
      </w:r>
      <w:r w:rsidR="00D37A96">
        <w:t>rule</w:t>
      </w:r>
      <w:r>
        <w:t xml:space="preserve"> 46A applies in respect of property ow</w:t>
      </w:r>
      <w:r w:rsidR="003467F6">
        <w:t>ned by a juristic person</w:t>
      </w:r>
      <w:r w:rsidR="00DB4EF1">
        <w:t xml:space="preserve"> or trust</w:t>
      </w:r>
      <w:r w:rsidR="003467F6">
        <w:t xml:space="preserve">. </w:t>
      </w:r>
      <w:r w:rsidR="00422775">
        <w:t xml:space="preserve"> </w:t>
      </w:r>
      <w:r w:rsidR="003467F6">
        <w:t>This</w:t>
      </w:r>
      <w:r w:rsidR="00754254">
        <w:t xml:space="preserve">, </w:t>
      </w:r>
      <w:r>
        <w:t xml:space="preserve">they say, is </w:t>
      </w:r>
      <w:r w:rsidR="00CD7092">
        <w:t xml:space="preserve">the </w:t>
      </w:r>
      <w:r>
        <w:t xml:space="preserve">constitutional issue which engages our jurisdiction.  </w:t>
      </w:r>
      <w:r w:rsidR="006F4343">
        <w:t xml:space="preserve">The applicants are mistaken.  </w:t>
      </w:r>
      <w:r w:rsidR="00E1148B">
        <w:t>On t</w:t>
      </w:r>
      <w:r w:rsidR="006F4343">
        <w:t xml:space="preserve">he facts of this case we simply do </w:t>
      </w:r>
      <w:r w:rsidR="00F811CF">
        <w:t xml:space="preserve">not reach the </w:t>
      </w:r>
      <w:r w:rsidR="00D37A96">
        <w:t>rule</w:t>
      </w:r>
      <w:r w:rsidR="0023578C">
        <w:t> </w:t>
      </w:r>
      <w:r w:rsidR="00F811CF">
        <w:t>46A issue and our jurisdiction is therefore not engaged.  This is so for four reasons.</w:t>
      </w:r>
    </w:p>
    <w:p w14:paraId="13144189" w14:textId="77777777" w:rsidR="00B5534A" w:rsidRPr="00B5534A" w:rsidRDefault="00B5534A" w:rsidP="00B5534A">
      <w:pPr>
        <w:pStyle w:val="JUDGMENTCONTINUED"/>
      </w:pPr>
    </w:p>
    <w:p w14:paraId="0B22E609" w14:textId="6E646C2A" w:rsidR="00B5534A" w:rsidRDefault="00B5534A" w:rsidP="008A3614">
      <w:pPr>
        <w:pStyle w:val="JUDGMENTNUMBERED"/>
      </w:pPr>
      <w:r>
        <w:t>First, as Pawn Stars correctly notes, Madavha AJ appear</w:t>
      </w:r>
      <w:r w:rsidR="00E81D03">
        <w:t>s</w:t>
      </w:r>
      <w:r>
        <w:t xml:space="preserve"> to have accepted </w:t>
      </w:r>
      <w:r w:rsidR="003467F6">
        <w:t xml:space="preserve">that </w:t>
      </w:r>
      <w:r w:rsidR="00D37A96">
        <w:t>rule</w:t>
      </w:r>
      <w:r w:rsidR="00DE71CA">
        <w:t> </w:t>
      </w:r>
      <w:r w:rsidR="003467F6">
        <w:t>46A applie</w:t>
      </w:r>
      <w:r w:rsidR="00DB4EF1">
        <w:t>d to the</w:t>
      </w:r>
      <w:r w:rsidR="003467F6">
        <w:t xml:space="preserve"> immovable property </w:t>
      </w:r>
      <w:r w:rsidR="00DB4EF1">
        <w:t>in question, even though it was owned by a trust rather than by the applicants in their personal capacities</w:t>
      </w:r>
      <w:r w:rsidR="003467F6">
        <w:t>.  As a result, and since Madavha</w:t>
      </w:r>
      <w:r w:rsidR="005020D8">
        <w:t> </w:t>
      </w:r>
      <w:r w:rsidR="003467F6">
        <w:t xml:space="preserve">AJ dismissed the application, the </w:t>
      </w:r>
      <w:r w:rsidR="00D37A96">
        <w:t>rule</w:t>
      </w:r>
      <w:r w:rsidR="00422775">
        <w:t> </w:t>
      </w:r>
      <w:r w:rsidR="003467F6">
        <w:t xml:space="preserve">46A issue was plainly immaterial to her decision.  For this reason alone, </w:t>
      </w:r>
      <w:r w:rsidR="005C69DA">
        <w:t>that</w:t>
      </w:r>
      <w:r w:rsidR="003467F6">
        <w:t xml:space="preserve"> issue does not engage our jurisdiction.  Issues </w:t>
      </w:r>
      <w:r w:rsidR="003467F6">
        <w:lastRenderedPageBreak/>
        <w:t xml:space="preserve">which are immaterial to a lower court’s decision cannot provide a jurisdictional foothold in </w:t>
      </w:r>
      <w:r w:rsidR="003467F6" w:rsidRPr="005C0491">
        <w:t>this Court.</w:t>
      </w:r>
      <w:r w:rsidR="005C0491">
        <w:rPr>
          <w:rStyle w:val="FootnoteReference"/>
        </w:rPr>
        <w:footnoteReference w:id="3"/>
      </w:r>
    </w:p>
    <w:p w14:paraId="54DFA2C3" w14:textId="77777777" w:rsidR="003467F6" w:rsidRPr="003467F6" w:rsidRDefault="003467F6" w:rsidP="003467F6">
      <w:pPr>
        <w:pStyle w:val="JUDGMENTCONTINUED"/>
      </w:pPr>
    </w:p>
    <w:p w14:paraId="2273F539" w14:textId="30C4E271" w:rsidR="003467F6" w:rsidRDefault="003467F6" w:rsidP="00BA2CE8">
      <w:pPr>
        <w:pStyle w:val="JUDGMENTNUMBERED"/>
      </w:pPr>
      <w:r>
        <w:t xml:space="preserve">Second, even if </w:t>
      </w:r>
      <w:r w:rsidR="00D37A96">
        <w:t>rule</w:t>
      </w:r>
      <w:r w:rsidR="00BA2CE8">
        <w:t xml:space="preserve"> 46A ought to have been applied before the consent order was granted, this, without more, would not entitle the applicants to variation of that order.  </w:t>
      </w:r>
      <w:r w:rsidR="00BA2CE8" w:rsidRPr="00BA2CE8">
        <w:t xml:space="preserve">They would, in addition, need to satisfy the requirements for variation contained in </w:t>
      </w:r>
      <w:r w:rsidR="00D37A96">
        <w:t>rule</w:t>
      </w:r>
      <w:r w:rsidR="00DE71CA">
        <w:t> </w:t>
      </w:r>
      <w:r w:rsidR="00BA2CE8" w:rsidRPr="005C0491">
        <w:t xml:space="preserve">42 </w:t>
      </w:r>
      <w:r w:rsidR="00422775">
        <w:t xml:space="preserve">of the Uniform </w:t>
      </w:r>
      <w:r w:rsidR="00D37A96">
        <w:t>Rule</w:t>
      </w:r>
      <w:r w:rsidR="00422775">
        <w:t xml:space="preserve">s of Court </w:t>
      </w:r>
      <w:r w:rsidR="00BA2CE8" w:rsidRPr="005C0491">
        <w:t>or in the common law.</w:t>
      </w:r>
      <w:r w:rsidR="00BA2CE8" w:rsidRPr="00BA2CE8">
        <w:t xml:space="preserve">  Plainly, the applicants cannot (and did not) contend that the consent order was erroneously granted in their absence. </w:t>
      </w:r>
      <w:r w:rsidR="00BA2CE8">
        <w:t xml:space="preserve"> </w:t>
      </w:r>
      <w:r w:rsidR="00BA2CE8" w:rsidRPr="00BA2CE8">
        <w:t xml:space="preserve">They have failed to show that the consent order contains any “ambiguity, or patent error or omission” or that it was granted as a result of a mistake common to the parties.  They have also failed to show that the consent order was granted as a result of fraud or </w:t>
      </w:r>
      <w:r w:rsidR="00BA2CE8">
        <w:t>on any other basis</w:t>
      </w:r>
      <w:r w:rsidR="00BA2CE8" w:rsidRPr="00BA2CE8">
        <w:t xml:space="preserve"> which would constitute sufficient cause to vary that order.</w:t>
      </w:r>
      <w:r w:rsidR="00BA2CE8">
        <w:t xml:space="preserve">  </w:t>
      </w:r>
      <w:r w:rsidR="00BA2CE8" w:rsidRPr="005C0491">
        <w:t xml:space="preserve">An adjudication of the </w:t>
      </w:r>
      <w:r w:rsidR="00D37A96">
        <w:t>rule</w:t>
      </w:r>
      <w:r w:rsidR="00BA2CE8" w:rsidRPr="005C0491">
        <w:t xml:space="preserve"> 46A issue is therefore not reasonably necessary </w:t>
      </w:r>
      <w:r w:rsidR="00664C44">
        <w:t>for</w:t>
      </w:r>
      <w:r w:rsidR="00BA2CE8" w:rsidRPr="005C0491">
        <w:t xml:space="preserve"> a determination of this matter </w:t>
      </w:r>
      <w:r w:rsidR="00F811CF">
        <w:t>and, for this reason too, does not engage our jurisdiction.</w:t>
      </w:r>
    </w:p>
    <w:p w14:paraId="55935223" w14:textId="77777777" w:rsidR="00BA2CE8" w:rsidRPr="00BA2CE8" w:rsidRDefault="00BA2CE8" w:rsidP="00BA2CE8">
      <w:pPr>
        <w:pStyle w:val="JUDGMENTCONTINUED"/>
      </w:pPr>
    </w:p>
    <w:p w14:paraId="0FC2FF08" w14:textId="1952BC93" w:rsidR="00BA2CE8" w:rsidRDefault="00BA2CE8" w:rsidP="00BA2CE8">
      <w:pPr>
        <w:pStyle w:val="JUDGMENTNUMBERED"/>
      </w:pPr>
      <w:r>
        <w:t xml:space="preserve">Third, </w:t>
      </w:r>
      <w:r w:rsidR="00754254">
        <w:t xml:space="preserve">relatedly, for the </w:t>
      </w:r>
      <w:r w:rsidR="00D37A96">
        <w:t>rule</w:t>
      </w:r>
      <w:r w:rsidR="00754254">
        <w:t xml:space="preserve"> 46A issue to engage our jurisdiction, the applicants would need to show that, if </w:t>
      </w:r>
      <w:r w:rsidR="00D37A96">
        <w:t>rule</w:t>
      </w:r>
      <w:r w:rsidR="00754254">
        <w:t xml:space="preserve"> 46A was applied, the consent order would not have been granted.  Absent such a showing, </w:t>
      </w:r>
      <w:r w:rsidR="00343AC7">
        <w:t>a</w:t>
      </w:r>
      <w:r w:rsidR="002E6846">
        <w:t>n adjudication</w:t>
      </w:r>
      <w:r w:rsidR="00343AC7">
        <w:t xml:space="preserve"> of </w:t>
      </w:r>
      <w:r w:rsidR="00754254">
        <w:t xml:space="preserve">the </w:t>
      </w:r>
      <w:r w:rsidR="00D37A96">
        <w:t>rule</w:t>
      </w:r>
      <w:r w:rsidR="00754254">
        <w:t xml:space="preserve"> 46A issue is not reasonably necessary </w:t>
      </w:r>
      <w:r w:rsidR="00E1148B">
        <w:t>for</w:t>
      </w:r>
      <w:r w:rsidR="00754254">
        <w:t xml:space="preserve"> a determination of the present dispute.  </w:t>
      </w:r>
      <w:r w:rsidR="00E1148B">
        <w:t>T</w:t>
      </w:r>
      <w:r w:rsidR="00754254">
        <w:t xml:space="preserve">he applicants have failed to </w:t>
      </w:r>
      <w:r w:rsidR="00E1148B">
        <w:t>disclose any factors</w:t>
      </w:r>
      <w:r w:rsidR="00754254">
        <w:t xml:space="preserve"> which </w:t>
      </w:r>
      <w:r w:rsidR="00E1148B">
        <w:t>may suggest</w:t>
      </w:r>
      <w:r w:rsidR="00754254">
        <w:t xml:space="preserve"> that, if </w:t>
      </w:r>
      <w:r w:rsidR="00D37A96">
        <w:t>rule</w:t>
      </w:r>
      <w:r w:rsidR="00754254">
        <w:t xml:space="preserve"> 46A was applied, the consent order would not have been granted.  They</w:t>
      </w:r>
      <w:r w:rsidRPr="00BA2CE8">
        <w:t xml:space="preserve"> do not allege that they will be left vulnerable to homelessness if the property is sold in execution and they have given no indication that they will be able to satisfy their debts absent a sale in execution.  The applicants’ counsel submitted that the sole reason why variation is sought is to ensure that a reserve price is set for the sale in execution. </w:t>
      </w:r>
      <w:r w:rsidR="00F811CF">
        <w:t xml:space="preserve"> </w:t>
      </w:r>
      <w:r w:rsidRPr="00BA2CE8">
        <w:t xml:space="preserve">But there is no absolute requirement that a reserve price be set before a property is sold in execution.  </w:t>
      </w:r>
      <w:r w:rsidR="005020D8">
        <w:t>R</w:t>
      </w:r>
      <w:r w:rsidR="00D37A96">
        <w:t>ule</w:t>
      </w:r>
      <w:r w:rsidRPr="00BA2CE8">
        <w:t xml:space="preserve"> 46A(8) provides that a High Court “may” set a reserve price.  In this case, even if </w:t>
      </w:r>
      <w:r w:rsidR="00D37A96">
        <w:t>rule</w:t>
      </w:r>
      <w:r w:rsidRPr="00BA2CE8">
        <w:t xml:space="preserve"> 46A did apply, the High Court might well have been satisfied that since the parties had been legally </w:t>
      </w:r>
      <w:r w:rsidRPr="00BA2CE8">
        <w:lastRenderedPageBreak/>
        <w:t>represented and had agreed to the consent order</w:t>
      </w:r>
      <w:r w:rsidR="00422775">
        <w:t>,</w:t>
      </w:r>
      <w:r w:rsidRPr="00BA2CE8">
        <w:t xml:space="preserve"> which did not make provision for </w:t>
      </w:r>
      <w:r w:rsidR="005020D8">
        <w:t xml:space="preserve">a </w:t>
      </w:r>
      <w:r w:rsidRPr="00BA2CE8">
        <w:t>reserve price, there was no need for a reserve price to be set.</w:t>
      </w:r>
    </w:p>
    <w:p w14:paraId="46BE821D" w14:textId="77777777" w:rsidR="00BA2CE8" w:rsidRPr="00BA2CE8" w:rsidRDefault="00BA2CE8" w:rsidP="00BA2CE8">
      <w:pPr>
        <w:pStyle w:val="JUDGMENTCONTINUED"/>
      </w:pPr>
    </w:p>
    <w:p w14:paraId="159272D2" w14:textId="325CC4E9" w:rsidR="00BA2CE8" w:rsidRDefault="00BA2CE8" w:rsidP="005A2DA6">
      <w:pPr>
        <w:pStyle w:val="JUDGMENTNUMBERED"/>
      </w:pPr>
      <w:r>
        <w:t xml:space="preserve">Finally, </w:t>
      </w:r>
      <w:r w:rsidR="00754254">
        <w:t xml:space="preserve">in any event, </w:t>
      </w:r>
      <w:r w:rsidR="00F811CF">
        <w:t xml:space="preserve">whatever the correct answer to the </w:t>
      </w:r>
      <w:r w:rsidR="00D37A96">
        <w:t>rule</w:t>
      </w:r>
      <w:r w:rsidR="00F811CF">
        <w:t xml:space="preserve"> 46A issue, </w:t>
      </w:r>
      <w:r w:rsidR="00D37A96">
        <w:t>rule</w:t>
      </w:r>
      <w:r w:rsidR="00422775">
        <w:t> </w:t>
      </w:r>
      <w:r w:rsidR="00754254">
        <w:t>46A</w:t>
      </w:r>
      <w:r w:rsidR="00BE10AC">
        <w:t xml:space="preserve"> </w:t>
      </w:r>
      <w:r w:rsidR="00754254">
        <w:t xml:space="preserve">had no application in the proceedings which culminated in the consent order.  That order, it will be recalled, was granted pursuant to an application to rescind the default judgment.  </w:t>
      </w:r>
      <w:r w:rsidR="00D37A96">
        <w:t>Rule</w:t>
      </w:r>
      <w:r w:rsidR="00754254">
        <w:t xml:space="preserve"> 46A does not apply in </w:t>
      </w:r>
      <w:r w:rsidR="00E1148B">
        <w:t>these</w:t>
      </w:r>
      <w:r w:rsidR="00754254">
        <w:t xml:space="preserve"> circumstances.  </w:t>
      </w:r>
      <w:r w:rsidR="00D37A96">
        <w:t>Rule</w:t>
      </w:r>
      <w:r w:rsidR="005A2DA6">
        <w:t xml:space="preserve"> 46A(1) applies “whenever an</w:t>
      </w:r>
      <w:r w:rsidR="005A2DA6" w:rsidRPr="005A2DA6">
        <w:t xml:space="preserve"> execution creditor seeks to execute against the </w:t>
      </w:r>
      <w:r w:rsidR="00CD7092">
        <w:t xml:space="preserve">residential </w:t>
      </w:r>
      <w:r w:rsidR="005A2DA6" w:rsidRPr="005A2DA6">
        <w:t>immovable property of a judgment debtor”</w:t>
      </w:r>
      <w:r w:rsidR="005A2DA6">
        <w:t xml:space="preserve">.  </w:t>
      </w:r>
      <w:r w:rsidR="00D37A96">
        <w:t>Rule</w:t>
      </w:r>
      <w:r w:rsidR="005A2DA6" w:rsidRPr="005A2DA6">
        <w:t xml:space="preserve"> 46A(2) </w:t>
      </w:r>
      <w:r w:rsidR="005A2DA6">
        <w:t>provides</w:t>
      </w:r>
      <w:r w:rsidR="005A2DA6" w:rsidRPr="005A2DA6">
        <w:t xml:space="preserve"> that a court considering “</w:t>
      </w:r>
      <w:r w:rsidR="005A2DA6">
        <w:t xml:space="preserve">an application under this </w:t>
      </w:r>
      <w:r w:rsidR="00D37A96">
        <w:t>rule</w:t>
      </w:r>
      <w:r w:rsidR="005A2DA6">
        <w:t xml:space="preserve">” – that is, an application in which a creditor seeks to execute against the judgment debtor’s immovable property – </w:t>
      </w:r>
      <w:r w:rsidR="005A2DA6" w:rsidRPr="005A2DA6">
        <w:t xml:space="preserve">must </w:t>
      </w:r>
      <w:r w:rsidR="005A2DA6" w:rsidRPr="005C0491">
        <w:t>consider various matters.</w:t>
      </w:r>
      <w:r w:rsidR="005A2DA6" w:rsidRPr="005A2DA6">
        <w:t xml:space="preserve">  </w:t>
      </w:r>
      <w:r w:rsidR="00D37A96">
        <w:t>Rule</w:t>
      </w:r>
      <w:r w:rsidR="00DE71CA">
        <w:t> </w:t>
      </w:r>
      <w:proofErr w:type="gramStart"/>
      <w:r w:rsidR="005A2DA6" w:rsidRPr="005A2DA6">
        <w:t>46A(</w:t>
      </w:r>
      <w:proofErr w:type="gramEnd"/>
      <w:r w:rsidR="005A2DA6" w:rsidRPr="005A2DA6">
        <w:t>3)-(9)</w:t>
      </w:r>
      <w:r w:rsidR="005A2DA6">
        <w:t xml:space="preserve"> are framed with reference to an application brought by a creditor seeking leave to execute against the judgment debtor’</w:t>
      </w:r>
      <w:r w:rsidR="00754254">
        <w:t xml:space="preserve">s immovable property.  </w:t>
      </w:r>
      <w:r w:rsidR="00D37A96">
        <w:t>Rule</w:t>
      </w:r>
      <w:r w:rsidR="005161AE">
        <w:t> </w:t>
      </w:r>
      <w:r w:rsidR="00BE10AC">
        <w:t xml:space="preserve">46A </w:t>
      </w:r>
      <w:r w:rsidR="00B02AFF">
        <w:t xml:space="preserve">therefore </w:t>
      </w:r>
      <w:r w:rsidR="00BE10AC">
        <w:t>only has application where a creditor seeks leave to execute against a judgment debtor’s immovable property.  The consent order was not granted pursuant to such an application and, fo</w:t>
      </w:r>
      <w:r w:rsidR="00E81D03">
        <w:t xml:space="preserve">r this reason, </w:t>
      </w:r>
      <w:r w:rsidR="00D37A96">
        <w:t>rule</w:t>
      </w:r>
      <w:r w:rsidR="00F811CF">
        <w:t xml:space="preserve"> 46A ha</w:t>
      </w:r>
      <w:r w:rsidR="00E1148B">
        <w:t>s</w:t>
      </w:r>
      <w:r w:rsidR="00F811CF">
        <w:t xml:space="preserve"> no application.</w:t>
      </w:r>
    </w:p>
    <w:p w14:paraId="2E4BA56D" w14:textId="77777777" w:rsidR="005C69DA" w:rsidRPr="005C69DA" w:rsidRDefault="005C69DA" w:rsidP="005C69DA">
      <w:pPr>
        <w:pStyle w:val="JUDGMENTCONTINUED"/>
      </w:pPr>
    </w:p>
    <w:p w14:paraId="271616D9" w14:textId="3C2F0317" w:rsidR="00386F56" w:rsidRDefault="00E1148B" w:rsidP="008A3614">
      <w:pPr>
        <w:pStyle w:val="JUDGMENTNUMBERED"/>
      </w:pPr>
      <w:r>
        <w:t xml:space="preserve">It is trite that </w:t>
      </w:r>
      <w:r w:rsidR="00F811CF">
        <w:t>jurisdiction is decided on the basis of the plead</w:t>
      </w:r>
      <w:r w:rsidR="00B02AFF">
        <w:t>ings</w:t>
      </w:r>
      <w:r>
        <w:t>.</w:t>
      </w:r>
      <w:r w:rsidR="00740FDD">
        <w:rPr>
          <w:rStyle w:val="FootnoteReference"/>
        </w:rPr>
        <w:footnoteReference w:id="4"/>
      </w:r>
      <w:r w:rsidR="00F811CF">
        <w:t xml:space="preserve"> </w:t>
      </w:r>
      <w:r w:rsidR="00422775">
        <w:t xml:space="preserve"> </w:t>
      </w:r>
      <w:r>
        <w:t>T</w:t>
      </w:r>
      <w:r w:rsidR="00740FDD">
        <w:t xml:space="preserve">he applicants </w:t>
      </w:r>
      <w:r w:rsidR="00EC37B6">
        <w:t xml:space="preserve">pegged their jurisdictional case entirely on the rule 46A issue and </w:t>
      </w:r>
      <w:r w:rsidR="00740FDD">
        <w:t xml:space="preserve">have </w:t>
      </w:r>
      <w:r w:rsidR="00EC37B6">
        <w:t xml:space="preserve">thus </w:t>
      </w:r>
      <w:r w:rsidR="00740FDD">
        <w:t>failed to establish that our jurisdiction is engaged</w:t>
      </w:r>
      <w:r w:rsidR="00EC37B6">
        <w:t>.  T</w:t>
      </w:r>
      <w:r w:rsidR="00BE10AC">
        <w:t>he application for leave to appeal must therefore be dismissed.  There is no reason why cost</w:t>
      </w:r>
      <w:r w:rsidR="005C0491">
        <w:t>s should not follow the result.</w:t>
      </w:r>
    </w:p>
    <w:p w14:paraId="15774AEA" w14:textId="77777777" w:rsidR="00860C4E" w:rsidRPr="009C3888" w:rsidRDefault="00860C4E" w:rsidP="000C38CF">
      <w:pPr>
        <w:pStyle w:val="JUDGMENTCONTINUED"/>
      </w:pPr>
    </w:p>
    <w:p w14:paraId="1C81C2CF" w14:textId="77777777" w:rsidR="00860C4E" w:rsidRPr="00BE10AC" w:rsidRDefault="00860C4E" w:rsidP="00422775">
      <w:pPr>
        <w:pStyle w:val="HEADING"/>
      </w:pPr>
      <w:r w:rsidRPr="00BE10AC">
        <w:t>Order</w:t>
      </w:r>
    </w:p>
    <w:p w14:paraId="391B43D6" w14:textId="77777777" w:rsidR="00860C4E" w:rsidRPr="009C3888" w:rsidRDefault="00860C4E" w:rsidP="00CF0604">
      <w:pPr>
        <w:pStyle w:val="JUDGMENTNUMBERED"/>
        <w:spacing w:after="120"/>
      </w:pPr>
      <w:r w:rsidRPr="009C3888">
        <w:t>The following order is made:</w:t>
      </w:r>
    </w:p>
    <w:p w14:paraId="66062AE7" w14:textId="77777777" w:rsidR="00BE10AC" w:rsidRDefault="00BE10AC" w:rsidP="005C0491">
      <w:pPr>
        <w:pStyle w:val="ORDER"/>
        <w:numPr>
          <w:ilvl w:val="0"/>
          <w:numId w:val="16"/>
        </w:numPr>
      </w:pPr>
      <w:r>
        <w:t>The application for leave to appeal is dismissed</w:t>
      </w:r>
      <w:r w:rsidR="00422775">
        <w:t>.</w:t>
      </w:r>
    </w:p>
    <w:p w14:paraId="15A8C8AC" w14:textId="77777777" w:rsidR="00BE700A" w:rsidRPr="000C38CF" w:rsidRDefault="00BE10AC" w:rsidP="005C0491">
      <w:pPr>
        <w:pStyle w:val="ORDER"/>
        <w:numPr>
          <w:ilvl w:val="0"/>
          <w:numId w:val="16"/>
        </w:numPr>
      </w:pPr>
      <w:r>
        <w:t>The applicants must pay the first respondent’s costs.</w:t>
      </w:r>
    </w:p>
    <w:p w14:paraId="02ECF071" w14:textId="77777777" w:rsidR="00860C4E" w:rsidRPr="009C3888" w:rsidRDefault="00860C4E" w:rsidP="00BE10AC">
      <w:pPr>
        <w:pStyle w:val="ORDER"/>
        <w:ind w:left="0" w:firstLine="0"/>
      </w:pPr>
    </w:p>
    <w:p w14:paraId="56D0C4BD" w14:textId="77777777" w:rsidR="00CE5F9F" w:rsidRDefault="00CE5F9F" w:rsidP="000C38CF">
      <w:pPr>
        <w:pStyle w:val="JUDGMENTCONTINUED"/>
      </w:pPr>
    </w:p>
    <w:p w14:paraId="22186E84" w14:textId="77777777" w:rsidR="00CE5F9F" w:rsidRPr="00CE5F9F" w:rsidRDefault="00CE5F9F" w:rsidP="000C38CF">
      <w:pPr>
        <w:pStyle w:val="JUDGMENTCONTINUED"/>
        <w:sectPr w:rsidR="00CE5F9F" w:rsidRPr="00CE5F9F" w:rsidSect="000F7521">
          <w:headerReference w:type="default" r:id="rId10"/>
          <w:type w:val="continuous"/>
          <w:pgSz w:w="11907" w:h="16839" w:code="9"/>
          <w:pgMar w:top="1440" w:right="1440" w:bottom="1440" w:left="1440" w:header="708" w:footer="708" w:gutter="0"/>
          <w:cols w:space="708"/>
          <w:titlePg/>
          <w:docGrid w:linePitch="360"/>
        </w:sectPr>
      </w:pPr>
    </w:p>
    <w:p w14:paraId="1E547EFE" w14:textId="77777777" w:rsidR="00236F9A" w:rsidRPr="009C3888" w:rsidRDefault="00236F9A" w:rsidP="00860C4E">
      <w:pPr>
        <w:sectPr w:rsidR="00236F9A" w:rsidRPr="009C3888" w:rsidSect="009559B5">
          <w:headerReference w:type="default" r:id="rId11"/>
          <w:footerReference w:type="default" r:id="rId12"/>
          <w:pgSz w:w="11907" w:h="16839" w:code="9"/>
          <w:pgMar w:top="1440" w:right="1440" w:bottom="1440" w:left="1440" w:header="708" w:footer="708" w:gutter="0"/>
          <w:pgNumType w:start="1"/>
          <w:cols w:space="708"/>
          <w:docGrid w:linePitch="360"/>
        </w:sectPr>
      </w:pPr>
    </w:p>
    <w:p w14:paraId="2A98A33A" w14:textId="77777777" w:rsidR="00CC158D" w:rsidRPr="009C3888" w:rsidRDefault="00860C4E" w:rsidP="00CC158D">
      <w:pPr>
        <w:pStyle w:val="COUNSELDETAILS"/>
      </w:pPr>
      <w:r w:rsidRPr="009C3888">
        <w:t>For the Applicants:</w:t>
      </w:r>
    </w:p>
    <w:p w14:paraId="4160714A" w14:textId="77777777" w:rsidR="00860C4E" w:rsidRPr="009C3888" w:rsidRDefault="00860C4E" w:rsidP="00CC158D">
      <w:pPr>
        <w:pStyle w:val="COUNSELDETAILS"/>
      </w:pPr>
    </w:p>
    <w:p w14:paraId="2BE70DE8" w14:textId="77777777" w:rsidR="00860C4E" w:rsidRPr="009C3888" w:rsidRDefault="00860C4E" w:rsidP="00CC158D">
      <w:pPr>
        <w:pStyle w:val="COUNSELDETAILS"/>
      </w:pPr>
    </w:p>
    <w:p w14:paraId="3BC76403" w14:textId="37DA778A" w:rsidR="003C1792" w:rsidRPr="009C3888" w:rsidRDefault="00860C4E" w:rsidP="00CC158D">
      <w:pPr>
        <w:pStyle w:val="COUNSELDETAILS"/>
      </w:pPr>
      <w:r w:rsidRPr="009C3888">
        <w:t xml:space="preserve">For the First </w:t>
      </w:r>
      <w:r w:rsidR="003C1792">
        <w:t>Respondent</w:t>
      </w:r>
      <w:r w:rsidRPr="009C3888">
        <w:t>:</w:t>
      </w:r>
    </w:p>
    <w:p w14:paraId="6B54996F" w14:textId="50FA077F" w:rsidR="00295C91" w:rsidRPr="009C3888" w:rsidRDefault="00236F9A" w:rsidP="00CC158D">
      <w:pPr>
        <w:pStyle w:val="COUNSELDETAILS"/>
      </w:pPr>
      <w:r w:rsidRPr="009C3888">
        <w:br w:type="column"/>
      </w:r>
      <w:r w:rsidR="0090234A">
        <w:t>S S</w:t>
      </w:r>
      <w:r w:rsidR="003C1792">
        <w:t xml:space="preserve"> Cohen</w:t>
      </w:r>
      <w:r w:rsidR="00860C4E" w:rsidRPr="009C3888">
        <w:t xml:space="preserve"> instructed by </w:t>
      </w:r>
      <w:r w:rsidR="003C1792">
        <w:t>Ledwaba</w:t>
      </w:r>
      <w:r w:rsidR="00CF0604">
        <w:t> Attorneys</w:t>
      </w:r>
    </w:p>
    <w:p w14:paraId="0EEEBBB7" w14:textId="77777777" w:rsidR="003C1792" w:rsidRDefault="003C1792" w:rsidP="00CC158D">
      <w:pPr>
        <w:pStyle w:val="COUNSELDETAILS"/>
      </w:pPr>
    </w:p>
    <w:p w14:paraId="77A425E2" w14:textId="15262A78" w:rsidR="00860C4E" w:rsidRPr="009C3888" w:rsidRDefault="003C1792" w:rsidP="00CC158D">
      <w:pPr>
        <w:pStyle w:val="COUNSELDETAILS"/>
      </w:pPr>
      <w:r>
        <w:t xml:space="preserve">J G Dobie </w:t>
      </w:r>
      <w:r w:rsidR="00860C4E" w:rsidRPr="009C3888">
        <w:t xml:space="preserve">instructed by </w:t>
      </w:r>
      <w:r w:rsidR="00CF0604">
        <w:t>Lloyd Keiser Attorneys</w:t>
      </w:r>
    </w:p>
    <w:sectPr w:rsidR="00860C4E" w:rsidRPr="009C3888" w:rsidSect="009559B5">
      <w:type w:val="continuous"/>
      <w:pgSz w:w="11907" w:h="16839" w:code="9"/>
      <w:pgMar w:top="1440" w:right="1440" w:bottom="1440" w:left="1440" w:header="708" w:footer="708"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24C8C" w14:textId="77777777" w:rsidR="00C23B70" w:rsidRDefault="00C23B70" w:rsidP="00E4607C">
      <w:pPr>
        <w:spacing w:line="240" w:lineRule="auto"/>
      </w:pPr>
      <w:r>
        <w:separator/>
      </w:r>
    </w:p>
  </w:endnote>
  <w:endnote w:type="continuationSeparator" w:id="0">
    <w:p w14:paraId="4F1F6B84" w14:textId="77777777" w:rsidR="00C23B70" w:rsidRDefault="00C23B70" w:rsidP="00E460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9C7F1" w14:textId="49770757" w:rsidR="008A3614" w:rsidRDefault="008A3614" w:rsidP="0087217E">
    <w:pPr>
      <w:pStyle w:val="Footer"/>
      <w:jc w:val="center"/>
    </w:pPr>
    <w:r>
      <w:fldChar w:fldCharType="begin"/>
    </w:r>
    <w:r>
      <w:instrText xml:space="preserve"> PAGE   \* MERGEFORMAT </w:instrText>
    </w:r>
    <w:r>
      <w:fldChar w:fldCharType="separate"/>
    </w:r>
    <w:r w:rsidR="00DE71CA">
      <w:rPr>
        <w:noProof/>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08980" w14:textId="77777777" w:rsidR="008A3614" w:rsidRDefault="008A3614" w:rsidP="0087217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BC47E" w14:textId="77777777" w:rsidR="00C23B70" w:rsidRDefault="00C23B70" w:rsidP="00E4607C">
      <w:pPr>
        <w:spacing w:line="240" w:lineRule="auto"/>
      </w:pPr>
      <w:r>
        <w:separator/>
      </w:r>
    </w:p>
  </w:footnote>
  <w:footnote w:type="continuationSeparator" w:id="0">
    <w:p w14:paraId="6BD928CF" w14:textId="77777777" w:rsidR="00C23B70" w:rsidRDefault="00C23B70" w:rsidP="00E4607C">
      <w:pPr>
        <w:spacing w:line="240" w:lineRule="auto"/>
      </w:pPr>
      <w:r>
        <w:continuationSeparator/>
      </w:r>
    </w:p>
  </w:footnote>
  <w:footnote w:id="1">
    <w:p w14:paraId="5048BD9A" w14:textId="7D63EAFE" w:rsidR="008A3614" w:rsidRDefault="008A3614">
      <w:pPr>
        <w:pStyle w:val="FootnoteText"/>
      </w:pPr>
      <w:r>
        <w:rPr>
          <w:rStyle w:val="FootnoteReference"/>
        </w:rPr>
        <w:footnoteRef/>
      </w:r>
      <w:r>
        <w:t xml:space="preserve"> The amount of R452 410 was the monthly penalty of R90 000 for six months, minus a payment of R87 590, being the balance of the payment of R95 000 after deducting agreed legal fees of R7</w:t>
      </w:r>
      <w:r w:rsidR="00671050">
        <w:t xml:space="preserve"> </w:t>
      </w:r>
      <w:r>
        <w:t>410.</w:t>
      </w:r>
    </w:p>
  </w:footnote>
  <w:footnote w:id="2">
    <w:p w14:paraId="180CEDE7" w14:textId="0ED6FC2A" w:rsidR="008A3614" w:rsidRPr="002E7EB2" w:rsidRDefault="008A3614">
      <w:pPr>
        <w:pStyle w:val="FootnoteText"/>
      </w:pPr>
      <w:r>
        <w:rPr>
          <w:rStyle w:val="FootnoteReference"/>
        </w:rPr>
        <w:footnoteRef/>
      </w:r>
      <w:r>
        <w:t xml:space="preserve"> </w:t>
      </w:r>
      <w:r w:rsidRPr="001C2BC2">
        <w:rPr>
          <w:i/>
        </w:rPr>
        <w:t>First Rand Bank Ltd v Folscher</w:t>
      </w:r>
      <w:r w:rsidR="00940C80">
        <w:t xml:space="preserve"> </w:t>
      </w:r>
      <w:r w:rsidR="002E7EB2" w:rsidRPr="002E7EB2">
        <w:rPr>
          <w:bCs/>
        </w:rPr>
        <w:t>2011 (4) SA 314 (GNP)</w:t>
      </w:r>
      <w:r w:rsidRPr="002E7EB2">
        <w:t>.</w:t>
      </w:r>
    </w:p>
  </w:footnote>
  <w:footnote w:id="3">
    <w:p w14:paraId="430F800C" w14:textId="0FF2F6ED" w:rsidR="008A3614" w:rsidRDefault="008A3614">
      <w:pPr>
        <w:pStyle w:val="FootnoteText"/>
      </w:pPr>
      <w:r>
        <w:rPr>
          <w:rStyle w:val="FootnoteReference"/>
        </w:rPr>
        <w:footnoteRef/>
      </w:r>
      <w:r>
        <w:t xml:space="preserve"> </w:t>
      </w:r>
      <w:r w:rsidRPr="005C0491">
        <w:rPr>
          <w:i/>
        </w:rPr>
        <w:t>Mbatha v University of Zululand</w:t>
      </w:r>
      <w:r w:rsidRPr="005C0491">
        <w:t xml:space="preserve"> [2013] Z</w:t>
      </w:r>
      <w:r>
        <w:t xml:space="preserve">ACC 43; </w:t>
      </w:r>
      <w:r w:rsidR="002E7EB2">
        <w:t xml:space="preserve">2013 JDR 2759 (CC); </w:t>
      </w:r>
      <w:r>
        <w:t>2014 (2) BCLR 123 (CC) at para</w:t>
      </w:r>
      <w:r w:rsidR="00CF0604">
        <w:t> </w:t>
      </w:r>
      <w:r>
        <w:t>198.</w:t>
      </w:r>
    </w:p>
  </w:footnote>
  <w:footnote w:id="4">
    <w:p w14:paraId="44B030FD" w14:textId="07B7C51C" w:rsidR="008A3614" w:rsidRDefault="008A3614">
      <w:pPr>
        <w:pStyle w:val="FootnoteText"/>
      </w:pPr>
      <w:r>
        <w:rPr>
          <w:rStyle w:val="FootnoteReference"/>
        </w:rPr>
        <w:footnoteRef/>
      </w:r>
      <w:r>
        <w:t xml:space="preserve"> </w:t>
      </w:r>
      <w:r w:rsidR="003964CF">
        <w:t xml:space="preserve"> </w:t>
      </w:r>
      <w:r w:rsidRPr="003964CF">
        <w:rPr>
          <w:i/>
        </w:rPr>
        <w:t>General Council of the Bar of South Africa v Jiba</w:t>
      </w:r>
      <w:r w:rsidRPr="003964CF">
        <w:t xml:space="preserve"> [2019] ZACC 23; </w:t>
      </w:r>
      <w:r w:rsidR="00B02AFF" w:rsidRPr="00B02AFF">
        <w:t>2019 JDR 1194 (CC)</w:t>
      </w:r>
      <w:r w:rsidR="00B02AFF">
        <w:t xml:space="preserve">; </w:t>
      </w:r>
      <w:r w:rsidRPr="003964CF">
        <w:t>2019 (8) BCLR 919 (CC) at para</w:t>
      </w:r>
      <w:r w:rsidR="00CF0604">
        <w:t> </w:t>
      </w:r>
      <w:r w:rsidRPr="003964CF">
        <w:t>38.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E297B" w14:textId="77777777" w:rsidR="008A3614" w:rsidRDefault="008A3614" w:rsidP="000F7521">
    <w:pPr>
      <w:pStyle w:val="Header"/>
      <w:tabs>
        <w:tab w:val="clear" w:pos="4680"/>
        <w:tab w:val="clear" w:pos="9360"/>
        <w:tab w:val="right" w:pos="9072"/>
      </w:tabs>
      <w:jc w:val="right"/>
    </w:pPr>
    <w:r>
      <w:t>THERON J</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A9768" w14:textId="77777777" w:rsidR="008A3614" w:rsidRDefault="008A3614" w:rsidP="008C727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F4E69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5A7A26"/>
    <w:multiLevelType w:val="hybridMultilevel"/>
    <w:tmpl w:val="59BC043C"/>
    <w:lvl w:ilvl="0" w:tplc="0CD23EA0">
      <w:start w:val="1"/>
      <w:numFmt w:val="decimal"/>
      <w:pStyle w:val="JUDGMENTNUMBERED"/>
      <w:lvlText w:val="[%1]"/>
      <w:lvlJc w:val="left"/>
      <w:pPr>
        <w:ind w:left="104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8A83CF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B06ED"/>
    <w:multiLevelType w:val="hybridMultilevel"/>
    <w:tmpl w:val="6D4C64E6"/>
    <w:lvl w:ilvl="0" w:tplc="28A83C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A3A7B88"/>
    <w:multiLevelType w:val="hybridMultilevel"/>
    <w:tmpl w:val="6FAEFED6"/>
    <w:lvl w:ilvl="0" w:tplc="A6082F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1D13BD"/>
    <w:multiLevelType w:val="multilevel"/>
    <w:tmpl w:val="92D0E282"/>
    <w:lvl w:ilvl="0">
      <w:start w:val="1"/>
      <w:numFmt w:val="decimal"/>
      <w:lvlText w:val="[%1]"/>
      <w:lvlJc w:val="left"/>
      <w:pPr>
        <w:tabs>
          <w:tab w:val="num" w:pos="68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2513792"/>
    <w:multiLevelType w:val="hybridMultilevel"/>
    <w:tmpl w:val="6FAEFED6"/>
    <w:lvl w:ilvl="0" w:tplc="A6082F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2"/>
  </w:num>
  <w:num w:numId="12">
    <w:abstractNumId w:val="2"/>
    <w:lvlOverride w:ilvl="0">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BDC"/>
    <w:rsid w:val="00003278"/>
    <w:rsid w:val="00021B45"/>
    <w:rsid w:val="0003222E"/>
    <w:rsid w:val="0003332C"/>
    <w:rsid w:val="0003374F"/>
    <w:rsid w:val="000570BC"/>
    <w:rsid w:val="000704F2"/>
    <w:rsid w:val="00070AF6"/>
    <w:rsid w:val="0008371B"/>
    <w:rsid w:val="00095A15"/>
    <w:rsid w:val="000A5448"/>
    <w:rsid w:val="000A6B9C"/>
    <w:rsid w:val="000B0C92"/>
    <w:rsid w:val="000B1B14"/>
    <w:rsid w:val="000B22E6"/>
    <w:rsid w:val="000B3188"/>
    <w:rsid w:val="000C02FE"/>
    <w:rsid w:val="000C38CF"/>
    <w:rsid w:val="000F34B7"/>
    <w:rsid w:val="000F7521"/>
    <w:rsid w:val="001016AC"/>
    <w:rsid w:val="00101A3E"/>
    <w:rsid w:val="00102829"/>
    <w:rsid w:val="00112076"/>
    <w:rsid w:val="001228CD"/>
    <w:rsid w:val="001268C8"/>
    <w:rsid w:val="00135484"/>
    <w:rsid w:val="00142270"/>
    <w:rsid w:val="001611B1"/>
    <w:rsid w:val="00161BBE"/>
    <w:rsid w:val="00162269"/>
    <w:rsid w:val="00174981"/>
    <w:rsid w:val="00175D8E"/>
    <w:rsid w:val="00183FC9"/>
    <w:rsid w:val="0018602B"/>
    <w:rsid w:val="001909F5"/>
    <w:rsid w:val="001927E9"/>
    <w:rsid w:val="00194B9C"/>
    <w:rsid w:val="001A5CC0"/>
    <w:rsid w:val="001B4C29"/>
    <w:rsid w:val="001C050A"/>
    <w:rsid w:val="001C2BC2"/>
    <w:rsid w:val="001D31D7"/>
    <w:rsid w:val="001D74B4"/>
    <w:rsid w:val="001E07C6"/>
    <w:rsid w:val="001F2B35"/>
    <w:rsid w:val="001F4C88"/>
    <w:rsid w:val="0021072D"/>
    <w:rsid w:val="002208F2"/>
    <w:rsid w:val="0022365A"/>
    <w:rsid w:val="00232B8F"/>
    <w:rsid w:val="0023578C"/>
    <w:rsid w:val="00236F9A"/>
    <w:rsid w:val="0024725F"/>
    <w:rsid w:val="002623AA"/>
    <w:rsid w:val="00263D0A"/>
    <w:rsid w:val="00287753"/>
    <w:rsid w:val="00295BDC"/>
    <w:rsid w:val="00295C91"/>
    <w:rsid w:val="002C5F97"/>
    <w:rsid w:val="002C7AC5"/>
    <w:rsid w:val="002D1FD9"/>
    <w:rsid w:val="002D6E04"/>
    <w:rsid w:val="002E1AA1"/>
    <w:rsid w:val="002E4857"/>
    <w:rsid w:val="002E6846"/>
    <w:rsid w:val="002E7EB2"/>
    <w:rsid w:val="002F6A17"/>
    <w:rsid w:val="0031262F"/>
    <w:rsid w:val="00326649"/>
    <w:rsid w:val="00341131"/>
    <w:rsid w:val="00343377"/>
    <w:rsid w:val="00343AC7"/>
    <w:rsid w:val="00344C6B"/>
    <w:rsid w:val="00345D7D"/>
    <w:rsid w:val="003467F6"/>
    <w:rsid w:val="00346927"/>
    <w:rsid w:val="003644DF"/>
    <w:rsid w:val="00366550"/>
    <w:rsid w:val="00381E96"/>
    <w:rsid w:val="003837F4"/>
    <w:rsid w:val="00386F56"/>
    <w:rsid w:val="00386FCB"/>
    <w:rsid w:val="003926FD"/>
    <w:rsid w:val="003964CF"/>
    <w:rsid w:val="003A18CF"/>
    <w:rsid w:val="003A3C4A"/>
    <w:rsid w:val="003A3E5C"/>
    <w:rsid w:val="003B12C2"/>
    <w:rsid w:val="003C1792"/>
    <w:rsid w:val="003C5CF6"/>
    <w:rsid w:val="003C7B6C"/>
    <w:rsid w:val="00403703"/>
    <w:rsid w:val="004110F6"/>
    <w:rsid w:val="00415DB7"/>
    <w:rsid w:val="00422775"/>
    <w:rsid w:val="00422FB0"/>
    <w:rsid w:val="004246A3"/>
    <w:rsid w:val="00432ABF"/>
    <w:rsid w:val="00436451"/>
    <w:rsid w:val="0044313C"/>
    <w:rsid w:val="0044789D"/>
    <w:rsid w:val="0045547A"/>
    <w:rsid w:val="0046182E"/>
    <w:rsid w:val="004620BF"/>
    <w:rsid w:val="00462F67"/>
    <w:rsid w:val="0046669D"/>
    <w:rsid w:val="0049510F"/>
    <w:rsid w:val="004A14DE"/>
    <w:rsid w:val="004B64FF"/>
    <w:rsid w:val="004C7588"/>
    <w:rsid w:val="004D02BA"/>
    <w:rsid w:val="004E00EA"/>
    <w:rsid w:val="004E3677"/>
    <w:rsid w:val="004F418E"/>
    <w:rsid w:val="004F74BC"/>
    <w:rsid w:val="005011FD"/>
    <w:rsid w:val="005020D8"/>
    <w:rsid w:val="00502692"/>
    <w:rsid w:val="00503030"/>
    <w:rsid w:val="005052B2"/>
    <w:rsid w:val="0050552B"/>
    <w:rsid w:val="005161AE"/>
    <w:rsid w:val="0051631E"/>
    <w:rsid w:val="00521ADA"/>
    <w:rsid w:val="00526CE6"/>
    <w:rsid w:val="005314E0"/>
    <w:rsid w:val="00533037"/>
    <w:rsid w:val="00535E74"/>
    <w:rsid w:val="00540414"/>
    <w:rsid w:val="00542F53"/>
    <w:rsid w:val="00556044"/>
    <w:rsid w:val="00561831"/>
    <w:rsid w:val="005627D3"/>
    <w:rsid w:val="0056742C"/>
    <w:rsid w:val="005712EE"/>
    <w:rsid w:val="00590B22"/>
    <w:rsid w:val="005A2DA6"/>
    <w:rsid w:val="005A66A7"/>
    <w:rsid w:val="005B448C"/>
    <w:rsid w:val="005C0491"/>
    <w:rsid w:val="005C139A"/>
    <w:rsid w:val="005C5665"/>
    <w:rsid w:val="005C69DA"/>
    <w:rsid w:val="005E07C7"/>
    <w:rsid w:val="005E59C5"/>
    <w:rsid w:val="005F25A8"/>
    <w:rsid w:val="00601A88"/>
    <w:rsid w:val="00644B33"/>
    <w:rsid w:val="006475BB"/>
    <w:rsid w:val="00656E6C"/>
    <w:rsid w:val="00657B43"/>
    <w:rsid w:val="00664C44"/>
    <w:rsid w:val="0067064E"/>
    <w:rsid w:val="00671050"/>
    <w:rsid w:val="0067159E"/>
    <w:rsid w:val="006724E0"/>
    <w:rsid w:val="00672DFE"/>
    <w:rsid w:val="0067644D"/>
    <w:rsid w:val="0068143B"/>
    <w:rsid w:val="006A6304"/>
    <w:rsid w:val="006D21A9"/>
    <w:rsid w:val="006E3711"/>
    <w:rsid w:val="006F1FA3"/>
    <w:rsid w:val="006F4343"/>
    <w:rsid w:val="006F5041"/>
    <w:rsid w:val="006F53B5"/>
    <w:rsid w:val="00702F9F"/>
    <w:rsid w:val="007038B4"/>
    <w:rsid w:val="00707C78"/>
    <w:rsid w:val="00720BDE"/>
    <w:rsid w:val="007210FC"/>
    <w:rsid w:val="00730113"/>
    <w:rsid w:val="00740FDD"/>
    <w:rsid w:val="007459C4"/>
    <w:rsid w:val="00746C6C"/>
    <w:rsid w:val="0074753B"/>
    <w:rsid w:val="00754254"/>
    <w:rsid w:val="00776BAB"/>
    <w:rsid w:val="0079127C"/>
    <w:rsid w:val="00793A9F"/>
    <w:rsid w:val="00793F89"/>
    <w:rsid w:val="007947C8"/>
    <w:rsid w:val="007B23DA"/>
    <w:rsid w:val="007B5B71"/>
    <w:rsid w:val="007C2FC8"/>
    <w:rsid w:val="007C4840"/>
    <w:rsid w:val="007E403C"/>
    <w:rsid w:val="007F750A"/>
    <w:rsid w:val="007F7BBB"/>
    <w:rsid w:val="00807A5D"/>
    <w:rsid w:val="00834803"/>
    <w:rsid w:val="00842678"/>
    <w:rsid w:val="00851D8D"/>
    <w:rsid w:val="00855A99"/>
    <w:rsid w:val="00860C4E"/>
    <w:rsid w:val="0087217E"/>
    <w:rsid w:val="00885E8B"/>
    <w:rsid w:val="00893F46"/>
    <w:rsid w:val="00897B62"/>
    <w:rsid w:val="008A3614"/>
    <w:rsid w:val="008A61E2"/>
    <w:rsid w:val="008A65D2"/>
    <w:rsid w:val="008B1882"/>
    <w:rsid w:val="008C04B7"/>
    <w:rsid w:val="008C727F"/>
    <w:rsid w:val="008E31EF"/>
    <w:rsid w:val="008E562C"/>
    <w:rsid w:val="008F1AED"/>
    <w:rsid w:val="0090234A"/>
    <w:rsid w:val="00902D14"/>
    <w:rsid w:val="00910554"/>
    <w:rsid w:val="0091115C"/>
    <w:rsid w:val="00911782"/>
    <w:rsid w:val="00922B85"/>
    <w:rsid w:val="00937742"/>
    <w:rsid w:val="009402F8"/>
    <w:rsid w:val="00940A0D"/>
    <w:rsid w:val="00940C80"/>
    <w:rsid w:val="00944EB8"/>
    <w:rsid w:val="009559B5"/>
    <w:rsid w:val="0097536B"/>
    <w:rsid w:val="0098219B"/>
    <w:rsid w:val="00987555"/>
    <w:rsid w:val="00987B57"/>
    <w:rsid w:val="009B59A1"/>
    <w:rsid w:val="009C3888"/>
    <w:rsid w:val="009D52D5"/>
    <w:rsid w:val="009E12A3"/>
    <w:rsid w:val="009E1601"/>
    <w:rsid w:val="009F2807"/>
    <w:rsid w:val="00A203C4"/>
    <w:rsid w:val="00A20CAA"/>
    <w:rsid w:val="00A3504F"/>
    <w:rsid w:val="00A35CE0"/>
    <w:rsid w:val="00A55C94"/>
    <w:rsid w:val="00A57EAE"/>
    <w:rsid w:val="00A6062C"/>
    <w:rsid w:val="00A81C1D"/>
    <w:rsid w:val="00A97332"/>
    <w:rsid w:val="00AA113A"/>
    <w:rsid w:val="00AA3029"/>
    <w:rsid w:val="00AA6755"/>
    <w:rsid w:val="00AB4462"/>
    <w:rsid w:val="00AD2D1A"/>
    <w:rsid w:val="00AD35F4"/>
    <w:rsid w:val="00AE1728"/>
    <w:rsid w:val="00AE7143"/>
    <w:rsid w:val="00AE7602"/>
    <w:rsid w:val="00B02AFF"/>
    <w:rsid w:val="00B16488"/>
    <w:rsid w:val="00B24126"/>
    <w:rsid w:val="00B26174"/>
    <w:rsid w:val="00B31462"/>
    <w:rsid w:val="00B32AB4"/>
    <w:rsid w:val="00B5534A"/>
    <w:rsid w:val="00B63737"/>
    <w:rsid w:val="00B64ADD"/>
    <w:rsid w:val="00B6668D"/>
    <w:rsid w:val="00B7017B"/>
    <w:rsid w:val="00B70682"/>
    <w:rsid w:val="00B75038"/>
    <w:rsid w:val="00B81F77"/>
    <w:rsid w:val="00B8590B"/>
    <w:rsid w:val="00B97ED9"/>
    <w:rsid w:val="00BA0378"/>
    <w:rsid w:val="00BA1C29"/>
    <w:rsid w:val="00BA2CE8"/>
    <w:rsid w:val="00BA3BEF"/>
    <w:rsid w:val="00BB0654"/>
    <w:rsid w:val="00BB312F"/>
    <w:rsid w:val="00BB36C9"/>
    <w:rsid w:val="00BC231D"/>
    <w:rsid w:val="00BD0174"/>
    <w:rsid w:val="00BD3D14"/>
    <w:rsid w:val="00BE10AC"/>
    <w:rsid w:val="00BE700A"/>
    <w:rsid w:val="00BF3824"/>
    <w:rsid w:val="00C066B6"/>
    <w:rsid w:val="00C0779C"/>
    <w:rsid w:val="00C17985"/>
    <w:rsid w:val="00C20BC5"/>
    <w:rsid w:val="00C23B70"/>
    <w:rsid w:val="00C423AD"/>
    <w:rsid w:val="00C44207"/>
    <w:rsid w:val="00C51413"/>
    <w:rsid w:val="00C6034D"/>
    <w:rsid w:val="00C63EC7"/>
    <w:rsid w:val="00C656D9"/>
    <w:rsid w:val="00C67D73"/>
    <w:rsid w:val="00C739DB"/>
    <w:rsid w:val="00C74761"/>
    <w:rsid w:val="00C867A7"/>
    <w:rsid w:val="00C95D7C"/>
    <w:rsid w:val="00C9738C"/>
    <w:rsid w:val="00C97D0E"/>
    <w:rsid w:val="00CA3BF8"/>
    <w:rsid w:val="00CA6ACC"/>
    <w:rsid w:val="00CA75ED"/>
    <w:rsid w:val="00CB0CB2"/>
    <w:rsid w:val="00CB4B7B"/>
    <w:rsid w:val="00CB63EA"/>
    <w:rsid w:val="00CC024E"/>
    <w:rsid w:val="00CC158D"/>
    <w:rsid w:val="00CC301A"/>
    <w:rsid w:val="00CC38E6"/>
    <w:rsid w:val="00CC5122"/>
    <w:rsid w:val="00CC6FCA"/>
    <w:rsid w:val="00CD7092"/>
    <w:rsid w:val="00CE43B3"/>
    <w:rsid w:val="00CE5C46"/>
    <w:rsid w:val="00CE5F9F"/>
    <w:rsid w:val="00CF0044"/>
    <w:rsid w:val="00CF0604"/>
    <w:rsid w:val="00D033C4"/>
    <w:rsid w:val="00D313E8"/>
    <w:rsid w:val="00D313F7"/>
    <w:rsid w:val="00D352E8"/>
    <w:rsid w:val="00D37A96"/>
    <w:rsid w:val="00D40B44"/>
    <w:rsid w:val="00D6080F"/>
    <w:rsid w:val="00D75251"/>
    <w:rsid w:val="00D75F53"/>
    <w:rsid w:val="00D76A1F"/>
    <w:rsid w:val="00DA7CDD"/>
    <w:rsid w:val="00DB160B"/>
    <w:rsid w:val="00DB3839"/>
    <w:rsid w:val="00DB3FC8"/>
    <w:rsid w:val="00DB4070"/>
    <w:rsid w:val="00DB4EF1"/>
    <w:rsid w:val="00DC07F5"/>
    <w:rsid w:val="00DC2C2C"/>
    <w:rsid w:val="00DD4FC5"/>
    <w:rsid w:val="00DD7DF6"/>
    <w:rsid w:val="00DE2F21"/>
    <w:rsid w:val="00DE71CA"/>
    <w:rsid w:val="00DE7926"/>
    <w:rsid w:val="00DE7E61"/>
    <w:rsid w:val="00E1148B"/>
    <w:rsid w:val="00E12D4B"/>
    <w:rsid w:val="00E210D3"/>
    <w:rsid w:val="00E2246D"/>
    <w:rsid w:val="00E230D7"/>
    <w:rsid w:val="00E263FF"/>
    <w:rsid w:val="00E26CAA"/>
    <w:rsid w:val="00E45515"/>
    <w:rsid w:val="00E4607C"/>
    <w:rsid w:val="00E4636A"/>
    <w:rsid w:val="00E51128"/>
    <w:rsid w:val="00E5355A"/>
    <w:rsid w:val="00E63C65"/>
    <w:rsid w:val="00E70761"/>
    <w:rsid w:val="00E81D03"/>
    <w:rsid w:val="00E836DF"/>
    <w:rsid w:val="00E93A1B"/>
    <w:rsid w:val="00E969BC"/>
    <w:rsid w:val="00EA5513"/>
    <w:rsid w:val="00EB2D23"/>
    <w:rsid w:val="00EC37B6"/>
    <w:rsid w:val="00EC5DAF"/>
    <w:rsid w:val="00ED0FE3"/>
    <w:rsid w:val="00EE068B"/>
    <w:rsid w:val="00EF1441"/>
    <w:rsid w:val="00EF6658"/>
    <w:rsid w:val="00F008DA"/>
    <w:rsid w:val="00F03132"/>
    <w:rsid w:val="00F12F57"/>
    <w:rsid w:val="00F245CE"/>
    <w:rsid w:val="00F44521"/>
    <w:rsid w:val="00F45DC4"/>
    <w:rsid w:val="00F549F8"/>
    <w:rsid w:val="00F703D3"/>
    <w:rsid w:val="00F76D30"/>
    <w:rsid w:val="00F80421"/>
    <w:rsid w:val="00F80AB0"/>
    <w:rsid w:val="00F811CF"/>
    <w:rsid w:val="00F8303E"/>
    <w:rsid w:val="00F925FD"/>
    <w:rsid w:val="00FA786A"/>
    <w:rsid w:val="00FE6B1B"/>
    <w:rsid w:val="00FF797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BEFCC"/>
  <w15:docId w15:val="{871D53FE-4EA3-4DE4-834E-5261BAEEA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EC7"/>
    <w:pPr>
      <w:spacing w:line="480" w:lineRule="auto"/>
      <w:jc w:val="both"/>
    </w:pPr>
    <w:rPr>
      <w:rFonts w:ascii="Times New Roman" w:hAnsi="Times New Roman"/>
      <w:sz w:val="26"/>
      <w:szCs w:val="22"/>
      <w:lang w:val="en-ZA"/>
    </w:rPr>
  </w:style>
  <w:style w:type="paragraph" w:styleId="Heading1">
    <w:name w:val="heading 1"/>
    <w:basedOn w:val="Normal"/>
    <w:next w:val="Normal"/>
    <w:link w:val="Heading1Char"/>
    <w:uiPriority w:val="9"/>
    <w:qFormat/>
    <w:rsid w:val="00EC37B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next w:val="JUDGMENTCONTINUED"/>
    <w:link w:val="JUDGMENTNUMBEREDChar"/>
    <w:qFormat/>
    <w:rsid w:val="00C63EC7"/>
    <w:pPr>
      <w:numPr>
        <w:numId w:val="1"/>
      </w:numPr>
      <w:spacing w:line="360" w:lineRule="auto"/>
      <w:ind w:left="0" w:firstLine="0"/>
    </w:pPr>
  </w:style>
  <w:style w:type="paragraph" w:customStyle="1" w:styleId="JUDGMENTCONTINUED">
    <w:name w:val="JUDGMENT CONTINUED"/>
    <w:basedOn w:val="JUDGMENTNUMBERED"/>
    <w:next w:val="JUDGMENTNUMBERED"/>
    <w:qFormat/>
    <w:rsid w:val="00C63EC7"/>
    <w:pPr>
      <w:numPr>
        <w:numId w:val="0"/>
      </w:numPr>
    </w:pPr>
  </w:style>
  <w:style w:type="paragraph" w:customStyle="1" w:styleId="QUOTATION">
    <w:name w:val="QUOTATION"/>
    <w:basedOn w:val="Normal"/>
    <w:next w:val="JUDGMENTCONTINUED"/>
    <w:qFormat/>
    <w:rsid w:val="00C63EC7"/>
    <w:pPr>
      <w:spacing w:line="360" w:lineRule="auto"/>
      <w:ind w:left="720" w:right="720"/>
    </w:pPr>
    <w:rPr>
      <w:sz w:val="22"/>
    </w:rPr>
  </w:style>
  <w:style w:type="paragraph" w:customStyle="1" w:styleId="QUOTEINQUOTE">
    <w:name w:val="QUOTE IN QUOTE"/>
    <w:basedOn w:val="QUOTATION"/>
    <w:next w:val="QUOTATION"/>
    <w:qFormat/>
    <w:rsid w:val="00C63EC7"/>
    <w:pPr>
      <w:ind w:left="1440" w:right="1440"/>
    </w:pPr>
  </w:style>
  <w:style w:type="paragraph" w:customStyle="1" w:styleId="FootnoteText1">
    <w:name w:val="Footnote Text1"/>
    <w:basedOn w:val="Normal"/>
    <w:qFormat/>
    <w:rsid w:val="00C63EC7"/>
    <w:pPr>
      <w:spacing w:after="120" w:line="240" w:lineRule="auto"/>
    </w:pPr>
    <w:rPr>
      <w:sz w:val="20"/>
    </w:rPr>
  </w:style>
  <w:style w:type="paragraph" w:styleId="ListParagraph">
    <w:name w:val="List Paragraph"/>
    <w:basedOn w:val="Normal"/>
    <w:uiPriority w:val="34"/>
    <w:semiHidden/>
    <w:qFormat/>
    <w:rsid w:val="00C63EC7"/>
    <w:pPr>
      <w:ind w:left="720"/>
      <w:contextualSpacing/>
    </w:pPr>
  </w:style>
  <w:style w:type="paragraph" w:styleId="FootnoteText">
    <w:name w:val="footnote text"/>
    <w:basedOn w:val="FootnoteText1"/>
    <w:link w:val="FootnoteTextChar"/>
    <w:unhideWhenUsed/>
    <w:rsid w:val="00CB63EA"/>
  </w:style>
  <w:style w:type="character" w:customStyle="1" w:styleId="FootnoteTextChar">
    <w:name w:val="Footnote Text Char"/>
    <w:basedOn w:val="DefaultParagraphFont"/>
    <w:link w:val="FootnoteText"/>
    <w:rsid w:val="00CB63EA"/>
    <w:rPr>
      <w:rFonts w:ascii="Times New Roman" w:hAnsi="Times New Roman"/>
      <w:szCs w:val="22"/>
      <w:lang w:val="en-ZA"/>
    </w:rPr>
  </w:style>
  <w:style w:type="character" w:styleId="FootnoteReference">
    <w:name w:val="footnote reference"/>
    <w:basedOn w:val="DefaultParagraphFont"/>
    <w:semiHidden/>
    <w:unhideWhenUsed/>
    <w:rsid w:val="00E4607C"/>
    <w:rPr>
      <w:vertAlign w:val="superscript"/>
    </w:rPr>
  </w:style>
  <w:style w:type="paragraph" w:customStyle="1" w:styleId="QUOTEINFOOTNOTE">
    <w:name w:val="QUOTE IN FOOTNOTE"/>
    <w:basedOn w:val="FootnoteText1"/>
    <w:next w:val="FootnoteText1"/>
    <w:qFormat/>
    <w:rsid w:val="00C63EC7"/>
    <w:pPr>
      <w:ind w:left="720" w:right="720"/>
    </w:pPr>
  </w:style>
  <w:style w:type="paragraph" w:styleId="Header">
    <w:name w:val="header"/>
    <w:basedOn w:val="Normal"/>
    <w:link w:val="HeaderChar"/>
    <w:unhideWhenUsed/>
    <w:rsid w:val="008C727F"/>
    <w:pPr>
      <w:tabs>
        <w:tab w:val="center" w:pos="4680"/>
        <w:tab w:val="right" w:pos="9360"/>
      </w:tabs>
      <w:spacing w:line="240" w:lineRule="auto"/>
    </w:pPr>
  </w:style>
  <w:style w:type="character" w:customStyle="1" w:styleId="HeaderChar">
    <w:name w:val="Header Char"/>
    <w:basedOn w:val="DefaultParagraphFont"/>
    <w:link w:val="Header"/>
    <w:uiPriority w:val="99"/>
    <w:rsid w:val="008C727F"/>
    <w:rPr>
      <w:rFonts w:ascii="Times New Roman" w:hAnsi="Times New Roman"/>
      <w:sz w:val="26"/>
    </w:rPr>
  </w:style>
  <w:style w:type="paragraph" w:styleId="Footer">
    <w:name w:val="footer"/>
    <w:basedOn w:val="Normal"/>
    <w:link w:val="FooterChar"/>
    <w:unhideWhenUsed/>
    <w:rsid w:val="008C727F"/>
    <w:pPr>
      <w:tabs>
        <w:tab w:val="center" w:pos="4680"/>
        <w:tab w:val="right" w:pos="9360"/>
      </w:tabs>
      <w:spacing w:line="240" w:lineRule="auto"/>
    </w:pPr>
  </w:style>
  <w:style w:type="character" w:customStyle="1" w:styleId="FooterChar">
    <w:name w:val="Footer Char"/>
    <w:basedOn w:val="DefaultParagraphFont"/>
    <w:link w:val="Footer"/>
    <w:uiPriority w:val="99"/>
    <w:rsid w:val="008C727F"/>
    <w:rPr>
      <w:rFonts w:ascii="Times New Roman" w:hAnsi="Times New Roman"/>
      <w:sz w:val="26"/>
    </w:rPr>
  </w:style>
  <w:style w:type="paragraph" w:styleId="BalloonText">
    <w:name w:val="Balloon Text"/>
    <w:basedOn w:val="Normal"/>
    <w:link w:val="BalloonTextChar"/>
    <w:uiPriority w:val="99"/>
    <w:semiHidden/>
    <w:unhideWhenUsed/>
    <w:rsid w:val="008C72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27F"/>
    <w:rPr>
      <w:rFonts w:ascii="Tahoma" w:hAnsi="Tahoma" w:cs="Tahoma"/>
      <w:sz w:val="16"/>
      <w:szCs w:val="16"/>
    </w:rPr>
  </w:style>
  <w:style w:type="paragraph" w:styleId="DocumentMap">
    <w:name w:val="Document Map"/>
    <w:basedOn w:val="Normal"/>
    <w:link w:val="DocumentMapChar"/>
    <w:semiHidden/>
    <w:rsid w:val="00860C4E"/>
    <w:pPr>
      <w:shd w:val="clear" w:color="auto" w:fill="000080"/>
      <w:spacing w:line="240" w:lineRule="auto"/>
    </w:pPr>
    <w:rPr>
      <w:rFonts w:ascii="Tahoma" w:eastAsia="Times New Roman" w:hAnsi="Tahoma" w:cs="Tahoma"/>
      <w:szCs w:val="24"/>
      <w:lang w:eastAsia="en-ZA"/>
    </w:rPr>
  </w:style>
  <w:style w:type="character" w:customStyle="1" w:styleId="DocumentMapChar">
    <w:name w:val="Document Map Char"/>
    <w:basedOn w:val="DefaultParagraphFont"/>
    <w:link w:val="DocumentMap"/>
    <w:semiHidden/>
    <w:rsid w:val="00860C4E"/>
    <w:rPr>
      <w:rFonts w:ascii="Tahoma" w:eastAsia="Times New Roman" w:hAnsi="Tahoma" w:cs="Tahoma"/>
      <w:sz w:val="26"/>
      <w:szCs w:val="24"/>
      <w:shd w:val="clear" w:color="auto" w:fill="000080"/>
      <w:lang w:val="en-ZA" w:eastAsia="en-ZA"/>
    </w:rPr>
  </w:style>
  <w:style w:type="character" w:styleId="PageNumber">
    <w:name w:val="page number"/>
    <w:basedOn w:val="DefaultParagraphFont"/>
    <w:rsid w:val="00860C4E"/>
  </w:style>
  <w:style w:type="paragraph" w:customStyle="1" w:styleId="List1">
    <w:name w:val="List1"/>
    <w:basedOn w:val="JUDGMENTNUMBERED"/>
    <w:link w:val="LISTChar"/>
    <w:qFormat/>
    <w:rsid w:val="00C63EC7"/>
    <w:pPr>
      <w:numPr>
        <w:numId w:val="0"/>
      </w:numPr>
      <w:ind w:left="1440" w:hanging="720"/>
    </w:pPr>
  </w:style>
  <w:style w:type="paragraph" w:customStyle="1" w:styleId="HEADING">
    <w:name w:val="HEADING"/>
    <w:basedOn w:val="JUDGMENTNUMBERED"/>
    <w:next w:val="JUDGMENTNUMBERED"/>
    <w:link w:val="HEADINGChar"/>
    <w:qFormat/>
    <w:rsid w:val="00C63EC7"/>
    <w:pPr>
      <w:keepNext/>
      <w:numPr>
        <w:numId w:val="0"/>
      </w:numPr>
      <w:spacing w:after="120"/>
    </w:pPr>
    <w:rPr>
      <w:i/>
    </w:rPr>
  </w:style>
  <w:style w:type="character" w:customStyle="1" w:styleId="JUDGMENTNUMBEREDChar">
    <w:name w:val="JUDGMENT NUMBERED Char"/>
    <w:basedOn w:val="DefaultParagraphFont"/>
    <w:link w:val="JUDGMENTNUMBERED"/>
    <w:rsid w:val="00C63EC7"/>
    <w:rPr>
      <w:rFonts w:ascii="Times New Roman" w:hAnsi="Times New Roman"/>
      <w:sz w:val="26"/>
      <w:szCs w:val="22"/>
      <w:lang w:val="en-ZA"/>
    </w:rPr>
  </w:style>
  <w:style w:type="character" w:customStyle="1" w:styleId="LISTChar">
    <w:name w:val="LIST Char"/>
    <w:basedOn w:val="JUDGMENTNUMBEREDChar"/>
    <w:link w:val="List1"/>
    <w:rsid w:val="00C63EC7"/>
    <w:rPr>
      <w:rFonts w:ascii="Times New Roman" w:hAnsi="Times New Roman"/>
      <w:sz w:val="26"/>
      <w:szCs w:val="22"/>
      <w:lang w:val="en-ZA"/>
    </w:rPr>
  </w:style>
  <w:style w:type="character" w:customStyle="1" w:styleId="HEADINGChar">
    <w:name w:val="HEADING Char"/>
    <w:basedOn w:val="JUDGMENTNUMBEREDChar"/>
    <w:link w:val="HEADING"/>
    <w:rsid w:val="00C63EC7"/>
    <w:rPr>
      <w:rFonts w:ascii="Times New Roman" w:hAnsi="Times New Roman"/>
      <w:i/>
      <w:sz w:val="26"/>
      <w:szCs w:val="22"/>
      <w:lang w:val="en-ZA"/>
    </w:rPr>
  </w:style>
  <w:style w:type="paragraph" w:customStyle="1" w:styleId="COUNSELDETAILS">
    <w:name w:val="COUNSEL DETAILS"/>
    <w:basedOn w:val="Normal"/>
    <w:link w:val="COUNSELDETAILSChar"/>
    <w:rsid w:val="00CC158D"/>
    <w:pPr>
      <w:spacing w:line="240" w:lineRule="auto"/>
    </w:pPr>
    <w:rPr>
      <w:szCs w:val="26"/>
    </w:rPr>
  </w:style>
  <w:style w:type="character" w:customStyle="1" w:styleId="COUNSELDETAILSChar">
    <w:name w:val="COUNSEL DETAILS Char"/>
    <w:basedOn w:val="DefaultParagraphFont"/>
    <w:link w:val="COUNSELDETAILS"/>
    <w:rsid w:val="00CC158D"/>
    <w:rPr>
      <w:rFonts w:ascii="Times New Roman" w:hAnsi="Times New Roman"/>
      <w:sz w:val="26"/>
      <w:szCs w:val="26"/>
      <w:lang w:val="en-ZA"/>
    </w:rPr>
  </w:style>
  <w:style w:type="paragraph" w:customStyle="1" w:styleId="ORDER">
    <w:name w:val="ORDER"/>
    <w:basedOn w:val="JUDGMENTNUMBERED"/>
    <w:link w:val="ORDERChar"/>
    <w:qFormat/>
    <w:rsid w:val="00C63EC7"/>
    <w:pPr>
      <w:numPr>
        <w:numId w:val="0"/>
      </w:numPr>
      <w:ind w:left="1440" w:hanging="720"/>
    </w:pPr>
  </w:style>
  <w:style w:type="character" w:customStyle="1" w:styleId="ORDERChar">
    <w:name w:val="ORDER Char"/>
    <w:basedOn w:val="JUDGMENTNUMBEREDChar"/>
    <w:link w:val="ORDER"/>
    <w:rsid w:val="00C63EC7"/>
    <w:rPr>
      <w:rFonts w:ascii="Times New Roman" w:hAnsi="Times New Roman"/>
      <w:sz w:val="26"/>
      <w:szCs w:val="22"/>
      <w:lang w:val="en-ZA"/>
    </w:rPr>
  </w:style>
  <w:style w:type="character" w:styleId="CommentReference">
    <w:name w:val="annotation reference"/>
    <w:basedOn w:val="DefaultParagraphFont"/>
    <w:uiPriority w:val="99"/>
    <w:semiHidden/>
    <w:unhideWhenUsed/>
    <w:rsid w:val="00B75038"/>
    <w:rPr>
      <w:sz w:val="16"/>
      <w:szCs w:val="16"/>
    </w:rPr>
  </w:style>
  <w:style w:type="paragraph" w:styleId="CommentText">
    <w:name w:val="annotation text"/>
    <w:basedOn w:val="Normal"/>
    <w:link w:val="CommentTextChar"/>
    <w:uiPriority w:val="99"/>
    <w:semiHidden/>
    <w:unhideWhenUsed/>
    <w:rsid w:val="00B75038"/>
    <w:pPr>
      <w:spacing w:line="240" w:lineRule="auto"/>
    </w:pPr>
    <w:rPr>
      <w:sz w:val="20"/>
      <w:szCs w:val="20"/>
    </w:rPr>
  </w:style>
  <w:style w:type="character" w:customStyle="1" w:styleId="CommentTextChar">
    <w:name w:val="Comment Text Char"/>
    <w:basedOn w:val="DefaultParagraphFont"/>
    <w:link w:val="CommentText"/>
    <w:uiPriority w:val="99"/>
    <w:semiHidden/>
    <w:rsid w:val="00B75038"/>
    <w:rPr>
      <w:rFonts w:ascii="Times New Roman" w:hAnsi="Times New Roman"/>
      <w:lang w:val="en-ZA"/>
    </w:rPr>
  </w:style>
  <w:style w:type="paragraph" w:styleId="CommentSubject">
    <w:name w:val="annotation subject"/>
    <w:basedOn w:val="CommentText"/>
    <w:next w:val="CommentText"/>
    <w:link w:val="CommentSubjectChar"/>
    <w:uiPriority w:val="99"/>
    <w:semiHidden/>
    <w:unhideWhenUsed/>
    <w:rsid w:val="00B75038"/>
    <w:rPr>
      <w:b/>
      <w:bCs/>
    </w:rPr>
  </w:style>
  <w:style w:type="character" w:customStyle="1" w:styleId="CommentSubjectChar">
    <w:name w:val="Comment Subject Char"/>
    <w:basedOn w:val="CommentTextChar"/>
    <w:link w:val="CommentSubject"/>
    <w:uiPriority w:val="99"/>
    <w:semiHidden/>
    <w:rsid w:val="00B75038"/>
    <w:rPr>
      <w:rFonts w:ascii="Times New Roman" w:hAnsi="Times New Roman"/>
      <w:b/>
      <w:bCs/>
      <w:lang w:val="en-ZA"/>
    </w:rPr>
  </w:style>
  <w:style w:type="paragraph" w:styleId="Revision">
    <w:name w:val="Revision"/>
    <w:hidden/>
    <w:uiPriority w:val="99"/>
    <w:semiHidden/>
    <w:rsid w:val="00B75038"/>
    <w:rPr>
      <w:rFonts w:ascii="Times New Roman" w:hAnsi="Times New Roman"/>
      <w:sz w:val="26"/>
      <w:szCs w:val="22"/>
      <w:lang w:val="en-ZA"/>
    </w:rPr>
  </w:style>
  <w:style w:type="character" w:styleId="Hyperlink">
    <w:name w:val="Hyperlink"/>
    <w:basedOn w:val="DefaultParagraphFont"/>
    <w:uiPriority w:val="99"/>
    <w:unhideWhenUsed/>
    <w:rsid w:val="00FA786A"/>
    <w:rPr>
      <w:color w:val="0000FF" w:themeColor="hyperlink"/>
      <w:u w:val="single"/>
    </w:rPr>
  </w:style>
  <w:style w:type="paragraph" w:styleId="ListBullet">
    <w:name w:val="List Bullet"/>
    <w:basedOn w:val="Normal"/>
    <w:uiPriority w:val="99"/>
    <w:unhideWhenUsed/>
    <w:rsid w:val="00940C80"/>
    <w:pPr>
      <w:numPr>
        <w:numId w:val="17"/>
      </w:numPr>
      <w:contextualSpacing/>
    </w:pPr>
  </w:style>
  <w:style w:type="character" w:customStyle="1" w:styleId="Heading1Char">
    <w:name w:val="Heading 1 Char"/>
    <w:basedOn w:val="DefaultParagraphFont"/>
    <w:link w:val="Heading1"/>
    <w:uiPriority w:val="9"/>
    <w:rsid w:val="00EC37B6"/>
    <w:rPr>
      <w:rFonts w:asciiTheme="majorHAnsi" w:eastAsiaTheme="majorEastAsia" w:hAnsiTheme="majorHAnsi" w:cstheme="majorBidi"/>
      <w:color w:val="365F91" w:themeColor="accent1" w:themeShade="BF"/>
      <w:sz w:val="32"/>
      <w:szCs w:val="3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099459">
      <w:bodyDiv w:val="1"/>
      <w:marLeft w:val="0"/>
      <w:marRight w:val="0"/>
      <w:marTop w:val="0"/>
      <w:marBottom w:val="0"/>
      <w:divBdr>
        <w:top w:val="none" w:sz="0" w:space="0" w:color="auto"/>
        <w:left w:val="none" w:sz="0" w:space="0" w:color="auto"/>
        <w:bottom w:val="none" w:sz="0" w:space="0" w:color="auto"/>
        <w:right w:val="none" w:sz="0" w:space="0" w:color="auto"/>
      </w:divBdr>
    </w:div>
    <w:div w:id="102061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FBF07-B5A8-4860-9F5E-F55E181A3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2690</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 Davis</dc:creator>
  <cp:lastModifiedBy>Kereesha Govindasamy</cp:lastModifiedBy>
  <cp:revision>4</cp:revision>
  <cp:lastPrinted>2022-03-11T09:23:00Z</cp:lastPrinted>
  <dcterms:created xsi:type="dcterms:W3CDTF">2022-03-15T06:19:00Z</dcterms:created>
  <dcterms:modified xsi:type="dcterms:W3CDTF">2022-03-15T06:37:00Z</dcterms:modified>
</cp:coreProperties>
</file>