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B902" w14:textId="77777777" w:rsidR="003A18CF" w:rsidRDefault="0003374F" w:rsidP="003A18CF">
      <w:pPr>
        <w:spacing w:line="240" w:lineRule="auto"/>
        <w:jc w:val="center"/>
        <w:outlineLvl w:val="0"/>
      </w:pPr>
      <w:r w:rsidRPr="0003374F">
        <w:rPr>
          <w:b/>
          <w:bCs/>
          <w:noProof/>
          <w:color w:val="1F497D"/>
          <w:lang w:eastAsia="en-ZA"/>
        </w:rPr>
        <w:drawing>
          <wp:inline distT="0" distB="0" distL="0" distR="0" wp14:anchorId="1B3D6E5F" wp14:editId="1EBFF07B">
            <wp:extent cx="849732" cy="876300"/>
            <wp:effectExtent l="19050" t="0" r="7518"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14:paraId="0CA25247" w14:textId="77777777" w:rsidR="003A18CF" w:rsidRDefault="003A18CF" w:rsidP="003A18CF">
      <w:pPr>
        <w:spacing w:line="240" w:lineRule="auto"/>
        <w:jc w:val="center"/>
        <w:outlineLvl w:val="0"/>
      </w:pPr>
    </w:p>
    <w:p w14:paraId="4A3B2B62" w14:textId="77777777" w:rsidR="003A18CF" w:rsidRPr="00271C49" w:rsidRDefault="003A18CF" w:rsidP="003A18CF">
      <w:pPr>
        <w:spacing w:line="240" w:lineRule="auto"/>
        <w:jc w:val="center"/>
        <w:outlineLvl w:val="0"/>
        <w:rPr>
          <w:b/>
        </w:rPr>
      </w:pPr>
      <w:r w:rsidRPr="00271C49">
        <w:rPr>
          <w:b/>
        </w:rPr>
        <w:t>CONSTITUTIONAL COURT OF SOUTH AFRICA</w:t>
      </w:r>
    </w:p>
    <w:p w14:paraId="5AFC3447" w14:textId="77777777" w:rsidR="003A18CF" w:rsidRDefault="003A18CF" w:rsidP="003A18CF">
      <w:pPr>
        <w:spacing w:line="240" w:lineRule="auto"/>
      </w:pPr>
    </w:p>
    <w:p w14:paraId="186E744B" w14:textId="77777777" w:rsidR="003A18CF" w:rsidRPr="009C3888" w:rsidRDefault="003A18CF" w:rsidP="003A18CF">
      <w:pPr>
        <w:spacing w:line="240" w:lineRule="auto"/>
      </w:pPr>
    </w:p>
    <w:p w14:paraId="60701552" w14:textId="77777777" w:rsidR="00FF5547" w:rsidRPr="00961263" w:rsidRDefault="003A18CF" w:rsidP="00FF5547">
      <w:pPr>
        <w:tabs>
          <w:tab w:val="right" w:pos="9029"/>
        </w:tabs>
        <w:spacing w:line="240" w:lineRule="auto"/>
      </w:pPr>
      <w:r w:rsidRPr="00961263">
        <w:tab/>
      </w:r>
      <w:r w:rsidR="00FF5547" w:rsidRPr="00961263">
        <w:t>Case</w:t>
      </w:r>
      <w:r w:rsidR="00F45044">
        <w:t> </w:t>
      </w:r>
      <w:r w:rsidR="00FF5547" w:rsidRPr="00961263">
        <w:t xml:space="preserve">CCT </w:t>
      </w:r>
      <w:r w:rsidR="00AC552E">
        <w:t>62</w:t>
      </w:r>
      <w:r w:rsidR="00FF5547" w:rsidRPr="008A0F9E">
        <w:t>/2</w:t>
      </w:r>
      <w:r w:rsidR="00AC552E">
        <w:t>2</w:t>
      </w:r>
    </w:p>
    <w:p w14:paraId="46EECDD8" w14:textId="77777777" w:rsidR="00FF5547" w:rsidRDefault="00FF5547" w:rsidP="00FF5547">
      <w:pPr>
        <w:tabs>
          <w:tab w:val="left" w:pos="8998"/>
        </w:tabs>
        <w:spacing w:line="240" w:lineRule="auto"/>
      </w:pPr>
    </w:p>
    <w:p w14:paraId="525BB641" w14:textId="77777777" w:rsidR="00FF5547" w:rsidRPr="00E6071A" w:rsidRDefault="00FF5547" w:rsidP="00FF5547">
      <w:pPr>
        <w:tabs>
          <w:tab w:val="left" w:pos="8998"/>
        </w:tabs>
        <w:spacing w:line="240" w:lineRule="auto"/>
      </w:pPr>
      <w:r w:rsidRPr="00E6071A">
        <w:t>In the matter between:</w:t>
      </w:r>
    </w:p>
    <w:p w14:paraId="236BACD6" w14:textId="77777777" w:rsidR="00FF5547" w:rsidRDefault="00FF5547" w:rsidP="00FF5547">
      <w:pPr>
        <w:tabs>
          <w:tab w:val="left" w:pos="8998"/>
        </w:tabs>
        <w:spacing w:line="240" w:lineRule="auto"/>
      </w:pPr>
    </w:p>
    <w:p w14:paraId="74D263AF" w14:textId="77777777" w:rsidR="00FF5547" w:rsidRPr="009C3888" w:rsidRDefault="00FF5547" w:rsidP="00FF5547">
      <w:pPr>
        <w:tabs>
          <w:tab w:val="left" w:pos="8998"/>
        </w:tabs>
        <w:spacing w:line="240" w:lineRule="auto"/>
      </w:pPr>
    </w:p>
    <w:p w14:paraId="46471787" w14:textId="77777777" w:rsidR="00FF5547" w:rsidRPr="00C60E29" w:rsidRDefault="00AC552E" w:rsidP="00FF5547">
      <w:pPr>
        <w:tabs>
          <w:tab w:val="right" w:pos="9029"/>
        </w:tabs>
        <w:spacing w:line="240" w:lineRule="auto"/>
        <w:rPr>
          <w:szCs w:val="26"/>
        </w:rPr>
      </w:pPr>
      <w:r>
        <w:rPr>
          <w:b/>
          <w:szCs w:val="26"/>
        </w:rPr>
        <w:t>MINISTER OF FINANCE</w:t>
      </w:r>
      <w:r w:rsidR="00FF5547" w:rsidRPr="00C60E29">
        <w:rPr>
          <w:szCs w:val="26"/>
        </w:rPr>
        <w:tab/>
        <w:t>Applicant</w:t>
      </w:r>
    </w:p>
    <w:p w14:paraId="305E5FB3" w14:textId="77777777" w:rsidR="00FF5547" w:rsidRPr="00C60E29" w:rsidRDefault="00FF5547" w:rsidP="00FF5547">
      <w:pPr>
        <w:spacing w:line="240" w:lineRule="auto"/>
        <w:rPr>
          <w:szCs w:val="26"/>
        </w:rPr>
      </w:pPr>
    </w:p>
    <w:p w14:paraId="2F8A1EB6" w14:textId="77777777" w:rsidR="00FF5547" w:rsidRPr="00C60E29" w:rsidRDefault="00FF5547" w:rsidP="00FF5547">
      <w:pPr>
        <w:spacing w:line="240" w:lineRule="auto"/>
        <w:rPr>
          <w:szCs w:val="26"/>
        </w:rPr>
      </w:pPr>
      <w:r w:rsidRPr="00C60E29">
        <w:rPr>
          <w:szCs w:val="26"/>
        </w:rPr>
        <w:t>and</w:t>
      </w:r>
    </w:p>
    <w:p w14:paraId="60C8E6EF" w14:textId="77777777" w:rsidR="00FF5547" w:rsidRPr="00C60E29" w:rsidRDefault="00FF5547" w:rsidP="00FF5547">
      <w:pPr>
        <w:spacing w:line="240" w:lineRule="auto"/>
        <w:rPr>
          <w:szCs w:val="26"/>
        </w:rPr>
      </w:pPr>
    </w:p>
    <w:p w14:paraId="16504F38" w14:textId="77777777" w:rsidR="00AC552E" w:rsidRDefault="00AC552E" w:rsidP="00FF5547">
      <w:pPr>
        <w:tabs>
          <w:tab w:val="right" w:pos="9029"/>
        </w:tabs>
        <w:spacing w:line="240" w:lineRule="auto"/>
        <w:rPr>
          <w:b/>
          <w:szCs w:val="26"/>
        </w:rPr>
      </w:pPr>
      <w:r>
        <w:rPr>
          <w:b/>
          <w:szCs w:val="26"/>
        </w:rPr>
        <w:t>SAKELIGA NPC</w:t>
      </w:r>
    </w:p>
    <w:p w14:paraId="21FBDC81" w14:textId="77777777" w:rsidR="00FF5547" w:rsidRPr="00AC552E" w:rsidRDefault="00AC552E" w:rsidP="00FF5547">
      <w:pPr>
        <w:tabs>
          <w:tab w:val="right" w:pos="9029"/>
        </w:tabs>
        <w:spacing w:line="240" w:lineRule="auto"/>
        <w:rPr>
          <w:b/>
          <w:szCs w:val="26"/>
        </w:rPr>
      </w:pPr>
      <w:r>
        <w:rPr>
          <w:b/>
          <w:szCs w:val="26"/>
        </w:rPr>
        <w:t>(PREVIOUSLY KNOWN AS AFRIBUSINESS NPC)</w:t>
      </w:r>
      <w:r w:rsidR="00FF5547" w:rsidRPr="00C60E29">
        <w:rPr>
          <w:szCs w:val="26"/>
        </w:rPr>
        <w:tab/>
        <w:t>First Respondent</w:t>
      </w:r>
    </w:p>
    <w:p w14:paraId="56470D70" w14:textId="77777777" w:rsidR="00FF5547" w:rsidRPr="00C60E29" w:rsidRDefault="00FF5547" w:rsidP="00FF5547">
      <w:pPr>
        <w:tabs>
          <w:tab w:val="right" w:pos="9029"/>
        </w:tabs>
        <w:spacing w:line="240" w:lineRule="auto"/>
        <w:rPr>
          <w:szCs w:val="26"/>
        </w:rPr>
      </w:pPr>
    </w:p>
    <w:p w14:paraId="7EDB73F3" w14:textId="77777777" w:rsidR="00FF5547" w:rsidRDefault="00AC552E" w:rsidP="00FF5547">
      <w:pPr>
        <w:tabs>
          <w:tab w:val="right" w:pos="9029"/>
        </w:tabs>
        <w:spacing w:line="240" w:lineRule="auto"/>
        <w:rPr>
          <w:szCs w:val="26"/>
        </w:rPr>
      </w:pPr>
      <w:r>
        <w:rPr>
          <w:b/>
          <w:szCs w:val="26"/>
        </w:rPr>
        <w:t>RULE OF LAW PROJECT</w:t>
      </w:r>
      <w:r w:rsidR="00FF5547" w:rsidRPr="00C60E29">
        <w:rPr>
          <w:szCs w:val="26"/>
        </w:rPr>
        <w:tab/>
        <w:t>Second Respondent</w:t>
      </w:r>
    </w:p>
    <w:p w14:paraId="43FC318E" w14:textId="77777777" w:rsidR="00AC552E" w:rsidRDefault="00AC552E" w:rsidP="00FF5547">
      <w:pPr>
        <w:tabs>
          <w:tab w:val="right" w:pos="9029"/>
        </w:tabs>
        <w:spacing w:line="240" w:lineRule="auto"/>
        <w:rPr>
          <w:szCs w:val="26"/>
        </w:rPr>
      </w:pPr>
    </w:p>
    <w:p w14:paraId="3D05ED3A" w14:textId="77777777" w:rsidR="00AC552E" w:rsidRPr="00AC552E" w:rsidRDefault="00AC552E" w:rsidP="00FF5547">
      <w:pPr>
        <w:tabs>
          <w:tab w:val="right" w:pos="9029"/>
        </w:tabs>
        <w:spacing w:line="240" w:lineRule="auto"/>
        <w:rPr>
          <w:szCs w:val="26"/>
        </w:rPr>
      </w:pPr>
      <w:r>
        <w:rPr>
          <w:b/>
          <w:bCs/>
          <w:szCs w:val="26"/>
        </w:rPr>
        <w:t>ECONOMIC FREEDOM FIGHTERS</w:t>
      </w:r>
      <w:r>
        <w:rPr>
          <w:b/>
          <w:bCs/>
          <w:szCs w:val="26"/>
        </w:rPr>
        <w:tab/>
      </w:r>
      <w:r>
        <w:rPr>
          <w:szCs w:val="26"/>
        </w:rPr>
        <w:t>Third Respondent</w:t>
      </w:r>
    </w:p>
    <w:p w14:paraId="276A9F57" w14:textId="77777777" w:rsidR="00FF5547" w:rsidRDefault="00FF5547" w:rsidP="00FF5547">
      <w:pPr>
        <w:spacing w:line="240" w:lineRule="auto"/>
      </w:pPr>
    </w:p>
    <w:p w14:paraId="406F9B35" w14:textId="77777777" w:rsidR="00FF5547" w:rsidRPr="009C3888" w:rsidRDefault="00FF5547" w:rsidP="00FF5547">
      <w:pPr>
        <w:spacing w:line="240" w:lineRule="auto"/>
      </w:pPr>
    </w:p>
    <w:p w14:paraId="14A2087D" w14:textId="77777777" w:rsidR="00FF5547" w:rsidRPr="009C3888" w:rsidRDefault="00FF5547" w:rsidP="00FF5547">
      <w:pPr>
        <w:spacing w:line="240" w:lineRule="auto"/>
      </w:pPr>
    </w:p>
    <w:p w14:paraId="272C5AC9" w14:textId="77777777" w:rsidR="00FF5547" w:rsidRPr="00F05BBD" w:rsidRDefault="00FF5547" w:rsidP="00FF5547">
      <w:pPr>
        <w:spacing w:line="240" w:lineRule="auto"/>
        <w:ind w:left="2160" w:hanging="2160"/>
      </w:pPr>
      <w:r w:rsidRPr="008B40EE">
        <w:rPr>
          <w:b/>
        </w:rPr>
        <w:t>Neutral citation:</w:t>
      </w:r>
      <w:r>
        <w:tab/>
      </w:r>
      <w:r w:rsidR="00AC552E">
        <w:rPr>
          <w:i/>
        </w:rPr>
        <w:t>Minister of Finance</w:t>
      </w:r>
      <w:r w:rsidRPr="008A0F9E">
        <w:rPr>
          <w:i/>
        </w:rPr>
        <w:t xml:space="preserve"> v </w:t>
      </w:r>
      <w:proofErr w:type="spellStart"/>
      <w:r w:rsidR="00AC552E">
        <w:rPr>
          <w:i/>
        </w:rPr>
        <w:t>Sakeliga</w:t>
      </w:r>
      <w:proofErr w:type="spellEnd"/>
      <w:r w:rsidR="00AC552E">
        <w:rPr>
          <w:i/>
        </w:rPr>
        <w:t xml:space="preserve"> NPC (previously known as </w:t>
      </w:r>
      <w:proofErr w:type="spellStart"/>
      <w:r w:rsidR="00AC552E">
        <w:rPr>
          <w:i/>
        </w:rPr>
        <w:t>Afribusiness</w:t>
      </w:r>
      <w:proofErr w:type="spellEnd"/>
      <w:r w:rsidR="00AC552E">
        <w:rPr>
          <w:i/>
        </w:rPr>
        <w:t xml:space="preserve"> NPC) and Others</w:t>
      </w:r>
      <w:r w:rsidRPr="008A0F9E">
        <w:rPr>
          <w:i/>
        </w:rPr>
        <w:t xml:space="preserve"> </w:t>
      </w:r>
      <w:r w:rsidRPr="008A0F9E">
        <w:t>[202</w:t>
      </w:r>
      <w:r w:rsidR="00AC552E">
        <w:t>2</w:t>
      </w:r>
      <w:r w:rsidRPr="008A0F9E">
        <w:t xml:space="preserve">] ZACC </w:t>
      </w:r>
      <w:r w:rsidR="00BE4AC3" w:rsidRPr="00D260FD">
        <w:t>17</w:t>
      </w:r>
    </w:p>
    <w:p w14:paraId="6BA38D69" w14:textId="77777777" w:rsidR="00FF5547" w:rsidRDefault="00FF5547" w:rsidP="00FF5547">
      <w:pPr>
        <w:spacing w:line="240" w:lineRule="auto"/>
      </w:pPr>
    </w:p>
    <w:p w14:paraId="7C74DE6A" w14:textId="77777777" w:rsidR="00FF5547" w:rsidRPr="00A8146A" w:rsidRDefault="00FF5547" w:rsidP="00FF5547">
      <w:pPr>
        <w:pStyle w:val="BODYNON-NUMBERED"/>
        <w:spacing w:after="0"/>
        <w:ind w:left="2160" w:hanging="2160"/>
        <w:rPr>
          <w:szCs w:val="26"/>
        </w:rPr>
      </w:pPr>
      <w:r w:rsidRPr="008B40EE">
        <w:rPr>
          <w:b/>
        </w:rPr>
        <w:t>Coram:</w:t>
      </w:r>
      <w:r>
        <w:tab/>
      </w:r>
      <w:r w:rsidR="00264015" w:rsidRPr="00167E0E">
        <w:rPr>
          <w:color w:val="000000" w:themeColor="text1"/>
        </w:rPr>
        <w:t>Jafta J</w:t>
      </w:r>
      <w:r w:rsidR="00264015">
        <w:rPr>
          <w:color w:val="000000" w:themeColor="text1"/>
        </w:rPr>
        <w:t xml:space="preserve">, </w:t>
      </w:r>
      <w:proofErr w:type="spellStart"/>
      <w:r w:rsidR="00A61B13">
        <w:rPr>
          <w:color w:val="000000" w:themeColor="text1"/>
        </w:rPr>
        <w:t>Khampepe</w:t>
      </w:r>
      <w:proofErr w:type="spellEnd"/>
      <w:r w:rsidR="00A61B13">
        <w:rPr>
          <w:color w:val="000000" w:themeColor="text1"/>
        </w:rPr>
        <w:t xml:space="preserve"> J,</w:t>
      </w:r>
      <w:r w:rsidR="00264015" w:rsidRPr="00167E0E">
        <w:rPr>
          <w:color w:val="000000" w:themeColor="text1"/>
        </w:rPr>
        <w:t xml:space="preserve"> Madlanga J, </w:t>
      </w:r>
      <w:proofErr w:type="spellStart"/>
      <w:r w:rsidR="00264015" w:rsidRPr="00167E0E">
        <w:rPr>
          <w:color w:val="000000" w:themeColor="text1"/>
        </w:rPr>
        <w:t>Majiedt</w:t>
      </w:r>
      <w:proofErr w:type="spellEnd"/>
      <w:r w:rsidR="00264015">
        <w:rPr>
          <w:color w:val="000000" w:themeColor="text1"/>
        </w:rPr>
        <w:t> </w:t>
      </w:r>
      <w:r w:rsidR="00264015" w:rsidRPr="00167E0E">
        <w:rPr>
          <w:color w:val="000000" w:themeColor="text1"/>
        </w:rPr>
        <w:t>J,</w:t>
      </w:r>
      <w:r w:rsidR="00264015">
        <w:rPr>
          <w:color w:val="000000" w:themeColor="text1"/>
        </w:rPr>
        <w:t xml:space="preserve"> </w:t>
      </w:r>
      <w:proofErr w:type="spellStart"/>
      <w:r w:rsidR="00264015" w:rsidRPr="00167E0E">
        <w:rPr>
          <w:color w:val="000000" w:themeColor="text1"/>
        </w:rPr>
        <w:t>Mhlantla</w:t>
      </w:r>
      <w:proofErr w:type="spellEnd"/>
      <w:r w:rsidR="00264015" w:rsidRPr="00167E0E">
        <w:rPr>
          <w:color w:val="000000" w:themeColor="text1"/>
        </w:rPr>
        <w:t xml:space="preserve"> J,</w:t>
      </w:r>
      <w:r w:rsidR="00264015">
        <w:rPr>
          <w:color w:val="000000" w:themeColor="text1"/>
        </w:rPr>
        <w:t xml:space="preserve"> </w:t>
      </w:r>
      <w:r w:rsidR="00264015" w:rsidRPr="00167E0E">
        <w:rPr>
          <w:color w:val="000000" w:themeColor="text1"/>
        </w:rPr>
        <w:t>Pillay</w:t>
      </w:r>
      <w:r w:rsidR="00264015">
        <w:rPr>
          <w:color w:val="000000" w:themeColor="text1"/>
        </w:rPr>
        <w:t> </w:t>
      </w:r>
      <w:r w:rsidR="00264015" w:rsidRPr="00167E0E">
        <w:rPr>
          <w:color w:val="000000" w:themeColor="text1"/>
        </w:rPr>
        <w:t>AJ, Theron</w:t>
      </w:r>
      <w:r w:rsidR="00264015">
        <w:rPr>
          <w:color w:val="000000" w:themeColor="text1"/>
        </w:rPr>
        <w:t> </w:t>
      </w:r>
      <w:r w:rsidR="00264015" w:rsidRPr="00167E0E">
        <w:rPr>
          <w:color w:val="000000" w:themeColor="text1"/>
        </w:rPr>
        <w:t xml:space="preserve">J, </w:t>
      </w:r>
      <w:proofErr w:type="spellStart"/>
      <w:r w:rsidR="00264015" w:rsidRPr="00167E0E">
        <w:rPr>
          <w:color w:val="000000" w:themeColor="text1"/>
        </w:rPr>
        <w:t>Tlaletsi</w:t>
      </w:r>
      <w:proofErr w:type="spellEnd"/>
      <w:r w:rsidR="00264015">
        <w:rPr>
          <w:color w:val="000000" w:themeColor="text1"/>
        </w:rPr>
        <w:t> </w:t>
      </w:r>
      <w:r w:rsidR="00264015" w:rsidRPr="00167E0E">
        <w:rPr>
          <w:color w:val="000000" w:themeColor="text1"/>
        </w:rPr>
        <w:t>AJ</w:t>
      </w:r>
      <w:r w:rsidR="00264015">
        <w:rPr>
          <w:color w:val="000000" w:themeColor="text1"/>
        </w:rPr>
        <w:t>,</w:t>
      </w:r>
      <w:r w:rsidR="00264015" w:rsidRPr="00167E0E">
        <w:rPr>
          <w:color w:val="000000" w:themeColor="text1"/>
        </w:rPr>
        <w:t xml:space="preserve"> </w:t>
      </w:r>
      <w:proofErr w:type="spellStart"/>
      <w:r w:rsidR="00264015" w:rsidRPr="00167E0E">
        <w:rPr>
          <w:color w:val="000000" w:themeColor="text1"/>
        </w:rPr>
        <w:t>Tshiqi</w:t>
      </w:r>
      <w:proofErr w:type="spellEnd"/>
      <w:r w:rsidR="00CC25A6">
        <w:rPr>
          <w:color w:val="000000" w:themeColor="text1"/>
        </w:rPr>
        <w:t xml:space="preserve"> </w:t>
      </w:r>
      <w:r w:rsidR="00264015" w:rsidRPr="00167E0E">
        <w:rPr>
          <w:color w:val="000000" w:themeColor="text1"/>
        </w:rPr>
        <w:t>J.</w:t>
      </w:r>
    </w:p>
    <w:p w14:paraId="2A8590A7" w14:textId="77777777" w:rsidR="003A18CF" w:rsidRDefault="003A18CF" w:rsidP="001A05D2">
      <w:pPr>
        <w:tabs>
          <w:tab w:val="right" w:pos="9029"/>
        </w:tabs>
        <w:spacing w:line="240" w:lineRule="auto"/>
      </w:pPr>
    </w:p>
    <w:p w14:paraId="610B3227" w14:textId="77777777" w:rsidR="00C3137E" w:rsidRDefault="00C3137E" w:rsidP="001A05D2">
      <w:pPr>
        <w:tabs>
          <w:tab w:val="right" w:pos="9029"/>
        </w:tabs>
        <w:spacing w:line="240" w:lineRule="auto"/>
      </w:pPr>
    </w:p>
    <w:p w14:paraId="058FFA0F" w14:textId="77777777" w:rsidR="00AE7143" w:rsidRDefault="00AE7143" w:rsidP="00D338EF">
      <w:pPr>
        <w:spacing w:line="240" w:lineRule="auto"/>
        <w:ind w:left="2160" w:hanging="2160"/>
      </w:pPr>
      <w:r>
        <w:rPr>
          <w:b/>
        </w:rPr>
        <w:t>Judgment</w:t>
      </w:r>
      <w:r w:rsidRPr="008B40EE">
        <w:rPr>
          <w:b/>
        </w:rPr>
        <w:t>:</w:t>
      </w:r>
      <w:r>
        <w:tab/>
      </w:r>
      <w:r w:rsidR="00AC552E">
        <w:t>Madlanga</w:t>
      </w:r>
      <w:r w:rsidR="00D338EF">
        <w:t> J (</w:t>
      </w:r>
      <w:r w:rsidR="00D338EF" w:rsidRPr="00D260FD">
        <w:t>unanimous</w:t>
      </w:r>
      <w:r w:rsidR="00D338EF">
        <w:t>)</w:t>
      </w:r>
    </w:p>
    <w:p w14:paraId="7F78B689" w14:textId="77777777" w:rsidR="003A18CF" w:rsidRPr="009C3888" w:rsidRDefault="003A18CF" w:rsidP="001A05D2">
      <w:pPr>
        <w:spacing w:line="240" w:lineRule="auto"/>
      </w:pPr>
    </w:p>
    <w:p w14:paraId="54FFA299" w14:textId="77777777" w:rsidR="003A18CF" w:rsidRDefault="003A18CF" w:rsidP="0044313C">
      <w:pPr>
        <w:spacing w:line="240" w:lineRule="auto"/>
        <w:ind w:left="2160" w:hanging="2160"/>
      </w:pPr>
      <w:r w:rsidRPr="008B40EE">
        <w:rPr>
          <w:b/>
        </w:rPr>
        <w:t>Decided on:</w:t>
      </w:r>
      <w:r>
        <w:tab/>
      </w:r>
      <w:r w:rsidR="00CC25A6" w:rsidRPr="00D260FD">
        <w:t>30 May 2022</w:t>
      </w:r>
    </w:p>
    <w:p w14:paraId="6E0DB919" w14:textId="77777777" w:rsidR="004D02BA" w:rsidRDefault="004D02BA" w:rsidP="004D02BA">
      <w:pPr>
        <w:spacing w:line="240" w:lineRule="auto"/>
      </w:pPr>
    </w:p>
    <w:p w14:paraId="1F82D50B" w14:textId="77777777" w:rsidR="00C3137E" w:rsidRDefault="00C3137E" w:rsidP="004D02BA">
      <w:pPr>
        <w:spacing w:line="240" w:lineRule="auto"/>
      </w:pPr>
    </w:p>
    <w:p w14:paraId="7933BC44" w14:textId="77777777" w:rsidR="00C3137E" w:rsidRPr="004110F6" w:rsidRDefault="00C3137E" w:rsidP="004D02BA">
      <w:pPr>
        <w:spacing w:line="240" w:lineRule="auto"/>
      </w:pPr>
    </w:p>
    <w:p w14:paraId="50CA8286" w14:textId="77777777" w:rsidR="003A18CF" w:rsidRPr="009C3888" w:rsidRDefault="003A18CF" w:rsidP="003A18CF">
      <w:pPr>
        <w:keepNext/>
        <w:pBdr>
          <w:top w:val="single" w:sz="4" w:space="1" w:color="auto"/>
          <w:bottom w:val="single" w:sz="4" w:space="1" w:color="auto"/>
        </w:pBdr>
        <w:spacing w:line="240" w:lineRule="auto"/>
        <w:jc w:val="center"/>
      </w:pPr>
    </w:p>
    <w:p w14:paraId="03FE3868" w14:textId="77777777" w:rsidR="003A18CF" w:rsidRPr="005C6482" w:rsidRDefault="003A18CF" w:rsidP="003A18CF">
      <w:pPr>
        <w:keepNext/>
        <w:pBdr>
          <w:top w:val="single" w:sz="4" w:space="1" w:color="auto"/>
          <w:bottom w:val="single" w:sz="4" w:space="1" w:color="auto"/>
        </w:pBdr>
        <w:spacing w:line="240" w:lineRule="auto"/>
        <w:jc w:val="center"/>
        <w:outlineLvl w:val="0"/>
        <w:rPr>
          <w:b/>
        </w:rPr>
      </w:pPr>
      <w:r>
        <w:rPr>
          <w:b/>
        </w:rPr>
        <w:t>ORDER</w:t>
      </w:r>
    </w:p>
    <w:p w14:paraId="4AC6AC92" w14:textId="77777777" w:rsidR="003A18CF" w:rsidRPr="009C3888" w:rsidRDefault="003A18CF" w:rsidP="003A18CF">
      <w:pPr>
        <w:pBdr>
          <w:top w:val="single" w:sz="4" w:space="1" w:color="auto"/>
          <w:bottom w:val="single" w:sz="4" w:space="1" w:color="auto"/>
        </w:pBdr>
        <w:spacing w:line="240" w:lineRule="auto"/>
        <w:jc w:val="center"/>
      </w:pPr>
    </w:p>
    <w:p w14:paraId="42D73F1F" w14:textId="77777777" w:rsidR="003A18CF" w:rsidRDefault="003A18CF" w:rsidP="00C3137E">
      <w:pPr>
        <w:spacing w:line="240" w:lineRule="auto"/>
      </w:pPr>
    </w:p>
    <w:p w14:paraId="569D592F" w14:textId="77777777" w:rsidR="003A18CF" w:rsidRDefault="003A18CF" w:rsidP="00C3137E">
      <w:pPr>
        <w:spacing w:line="240" w:lineRule="auto"/>
      </w:pPr>
    </w:p>
    <w:p w14:paraId="6D734081" w14:textId="77777777" w:rsidR="00FF5547" w:rsidRDefault="00FF5547" w:rsidP="00435766">
      <w:pPr>
        <w:pStyle w:val="JUDGMENTCONTINUED"/>
        <w:spacing w:after="120"/>
      </w:pPr>
      <w:r w:rsidRPr="00A61B13">
        <w:lastRenderedPageBreak/>
        <w:t>On</w:t>
      </w:r>
      <w:r w:rsidR="00AC552E" w:rsidRPr="00A61B13">
        <w:t xml:space="preserve"> application for </w:t>
      </w:r>
      <w:r w:rsidR="00AD3796" w:rsidRPr="00A61B13">
        <w:t>direct access to the Constitutional Court of South Africa</w:t>
      </w:r>
      <w:r w:rsidR="009B506E">
        <w:t xml:space="preserve"> on an urgent basis</w:t>
      </w:r>
      <w:r w:rsidRPr="00B36CA6">
        <w:rPr>
          <w:szCs w:val="26"/>
        </w:rPr>
        <w:t>:</w:t>
      </w:r>
    </w:p>
    <w:p w14:paraId="797E8C4C" w14:textId="77777777" w:rsidR="00C3137E" w:rsidRDefault="00F45044" w:rsidP="00A61B13">
      <w:pPr>
        <w:spacing w:line="240" w:lineRule="auto"/>
        <w:ind w:firstLine="720"/>
      </w:pPr>
      <w:r w:rsidRPr="00A61B13">
        <w:rPr>
          <w:lang w:val="en-US"/>
        </w:rPr>
        <w:t>The application is dismissed with costs, including costs of two counsel.</w:t>
      </w:r>
    </w:p>
    <w:p w14:paraId="06D92E22" w14:textId="77777777" w:rsidR="00CB0CB2" w:rsidRPr="00C3137E" w:rsidRDefault="00CB0CB2" w:rsidP="00A61B13">
      <w:pPr>
        <w:pStyle w:val="JUDGMENTCONTINUED"/>
        <w:spacing w:line="240" w:lineRule="auto"/>
      </w:pPr>
    </w:p>
    <w:p w14:paraId="54CB7ED4" w14:textId="77777777" w:rsidR="00CB0CB2" w:rsidRDefault="00CB0CB2" w:rsidP="00A61B13">
      <w:pPr>
        <w:pStyle w:val="JUDGMENTCONTINUED"/>
        <w:spacing w:line="240" w:lineRule="auto"/>
      </w:pPr>
    </w:p>
    <w:p w14:paraId="1DCD78DD" w14:textId="77777777" w:rsidR="006B2469" w:rsidRDefault="006B2469" w:rsidP="00AE71FD">
      <w:pPr>
        <w:pStyle w:val="JUDGMENTNUMBERED"/>
        <w:sectPr w:rsidR="006B2469" w:rsidSect="009559B5">
          <w:footerReference w:type="default" r:id="rId9"/>
          <w:pgSz w:w="11907" w:h="16839" w:code="9"/>
          <w:pgMar w:top="1440" w:right="1440" w:bottom="1440" w:left="1440" w:header="708" w:footer="708" w:gutter="0"/>
          <w:pgNumType w:start="1"/>
          <w:cols w:space="708"/>
          <w:titlePg/>
          <w:docGrid w:linePitch="360"/>
        </w:sectPr>
      </w:pPr>
    </w:p>
    <w:p w14:paraId="6EA274B3" w14:textId="77777777" w:rsidR="000704F2" w:rsidRPr="009C3888" w:rsidRDefault="000704F2" w:rsidP="00F245CE">
      <w:pPr>
        <w:keepNext/>
        <w:pBdr>
          <w:top w:val="single" w:sz="4" w:space="1" w:color="auto"/>
          <w:bottom w:val="single" w:sz="4" w:space="1" w:color="auto"/>
        </w:pBdr>
        <w:spacing w:line="240" w:lineRule="auto"/>
        <w:jc w:val="center"/>
      </w:pPr>
    </w:p>
    <w:p w14:paraId="6963DCA1" w14:textId="77777777" w:rsidR="00E4607C" w:rsidRPr="003A18CF" w:rsidRDefault="000704F2" w:rsidP="00F245CE">
      <w:pPr>
        <w:keepNext/>
        <w:pBdr>
          <w:top w:val="single" w:sz="4" w:space="1" w:color="auto"/>
          <w:bottom w:val="single" w:sz="4" w:space="1" w:color="auto"/>
        </w:pBdr>
        <w:spacing w:line="240" w:lineRule="auto"/>
        <w:jc w:val="center"/>
        <w:outlineLvl w:val="0"/>
        <w:rPr>
          <w:b/>
        </w:rPr>
      </w:pPr>
      <w:r w:rsidRPr="003A18CF">
        <w:rPr>
          <w:b/>
        </w:rPr>
        <w:t>JUDGMENT</w:t>
      </w:r>
    </w:p>
    <w:p w14:paraId="3713F204" w14:textId="77777777" w:rsidR="000704F2" w:rsidRPr="009C3888" w:rsidRDefault="000704F2" w:rsidP="000704F2">
      <w:pPr>
        <w:pBdr>
          <w:top w:val="single" w:sz="4" w:space="1" w:color="auto"/>
          <w:bottom w:val="single" w:sz="4" w:space="1" w:color="auto"/>
        </w:pBdr>
        <w:spacing w:line="240" w:lineRule="auto"/>
        <w:jc w:val="center"/>
      </w:pPr>
    </w:p>
    <w:p w14:paraId="13386204" w14:textId="77777777" w:rsidR="000704F2" w:rsidRPr="009C3888" w:rsidRDefault="000704F2" w:rsidP="00C3137E">
      <w:pPr>
        <w:spacing w:line="240" w:lineRule="auto"/>
      </w:pPr>
    </w:p>
    <w:p w14:paraId="7514EFC4" w14:textId="40CF47AB" w:rsidR="00AE7602" w:rsidRPr="009C3888" w:rsidRDefault="00AE7602" w:rsidP="00310376">
      <w:pPr>
        <w:spacing w:line="240" w:lineRule="auto"/>
      </w:pPr>
    </w:p>
    <w:p w14:paraId="3F3F3ADF" w14:textId="77777777" w:rsidR="00AE7602" w:rsidRPr="009C3888" w:rsidRDefault="00AE7602" w:rsidP="00310376">
      <w:pPr>
        <w:spacing w:line="240" w:lineRule="auto"/>
      </w:pPr>
    </w:p>
    <w:p w14:paraId="77C262D6" w14:textId="77777777" w:rsidR="00FF5547" w:rsidRDefault="00AD3796" w:rsidP="00FF5547">
      <w:pPr>
        <w:spacing w:line="240" w:lineRule="auto"/>
      </w:pPr>
      <w:r>
        <w:t>MADLANGA J</w:t>
      </w:r>
      <w:r w:rsidR="00B179ED">
        <w:t xml:space="preserve"> (</w:t>
      </w:r>
      <w:r w:rsidR="008C71BF" w:rsidRPr="008C71BF">
        <w:t xml:space="preserve">Jafta J, </w:t>
      </w:r>
      <w:proofErr w:type="spellStart"/>
      <w:r w:rsidR="008C71BF" w:rsidRPr="008C71BF">
        <w:t>Khampepe</w:t>
      </w:r>
      <w:proofErr w:type="spellEnd"/>
      <w:r w:rsidR="008C71BF" w:rsidRPr="008C71BF">
        <w:t xml:space="preserve"> J, </w:t>
      </w:r>
      <w:proofErr w:type="spellStart"/>
      <w:r w:rsidR="008C71BF" w:rsidRPr="008C71BF">
        <w:t>Majiedt</w:t>
      </w:r>
      <w:proofErr w:type="spellEnd"/>
      <w:r w:rsidR="008C71BF" w:rsidRPr="008C71BF">
        <w:t xml:space="preserve"> J, </w:t>
      </w:r>
      <w:proofErr w:type="spellStart"/>
      <w:r w:rsidR="008C71BF" w:rsidRPr="008C71BF">
        <w:t>Mhlantla</w:t>
      </w:r>
      <w:proofErr w:type="spellEnd"/>
      <w:r w:rsidR="008C71BF">
        <w:t> </w:t>
      </w:r>
      <w:r w:rsidR="008C71BF" w:rsidRPr="008C71BF">
        <w:t>J, P</w:t>
      </w:r>
      <w:r w:rsidR="00076ADF">
        <w:t xml:space="preserve">illay AJ, Theron J, </w:t>
      </w:r>
      <w:proofErr w:type="spellStart"/>
      <w:r w:rsidR="00076ADF">
        <w:t>Tlaletsi</w:t>
      </w:r>
      <w:proofErr w:type="spellEnd"/>
      <w:r w:rsidR="00076ADF">
        <w:t> AJ and</w:t>
      </w:r>
      <w:r w:rsidR="008C71BF" w:rsidRPr="008C71BF">
        <w:t xml:space="preserve"> </w:t>
      </w:r>
      <w:proofErr w:type="spellStart"/>
      <w:r w:rsidR="008C71BF" w:rsidRPr="008C71BF">
        <w:t>Tshiqi</w:t>
      </w:r>
      <w:proofErr w:type="spellEnd"/>
      <w:r w:rsidR="008C71BF" w:rsidRPr="008C71BF">
        <w:t xml:space="preserve"> J</w:t>
      </w:r>
      <w:r w:rsidR="008C71BF">
        <w:t> </w:t>
      </w:r>
      <w:r w:rsidR="00C93959">
        <w:t>concurring</w:t>
      </w:r>
      <w:r w:rsidR="00B179ED">
        <w:t>)</w:t>
      </w:r>
      <w:r w:rsidR="008C71BF">
        <w:t>:</w:t>
      </w:r>
    </w:p>
    <w:p w14:paraId="7756A62C" w14:textId="77777777" w:rsidR="00FF5547" w:rsidRDefault="00FF5547" w:rsidP="00C3137E">
      <w:pPr>
        <w:spacing w:line="240" w:lineRule="auto"/>
      </w:pPr>
    </w:p>
    <w:p w14:paraId="5231DEB1" w14:textId="77777777" w:rsidR="00FF5547" w:rsidRPr="009C3888" w:rsidRDefault="00FF5547" w:rsidP="00310376">
      <w:pPr>
        <w:spacing w:line="240" w:lineRule="auto"/>
      </w:pPr>
    </w:p>
    <w:p w14:paraId="5E391E1E" w14:textId="18D90E72" w:rsidR="004F30C6" w:rsidRDefault="00A61B13" w:rsidP="00A61B13">
      <w:pPr>
        <w:pStyle w:val="JUDGMENTNUMBERED"/>
        <w:ind w:left="0" w:firstLine="0"/>
      </w:pPr>
      <w:r>
        <w:t xml:space="preserve">This matter was decided without an oral hearing.  </w:t>
      </w:r>
      <w:r w:rsidR="007F4CF9">
        <w:t>The crisp question for determination</w:t>
      </w:r>
      <w:r w:rsidR="00B01952">
        <w:t xml:space="preserve"> is whether an</w:t>
      </w:r>
      <w:r w:rsidR="007F4CF9">
        <w:t xml:space="preserve"> order</w:t>
      </w:r>
      <w:r w:rsidR="00B01952">
        <w:t xml:space="preserve"> given by this Court in </w:t>
      </w:r>
      <w:proofErr w:type="spellStart"/>
      <w:r w:rsidR="00B01952" w:rsidRPr="00B01952">
        <w:rPr>
          <w:i/>
        </w:rPr>
        <w:t>Afribusiness</w:t>
      </w:r>
      <w:proofErr w:type="spellEnd"/>
      <w:r w:rsidR="00B01952" w:rsidRPr="004F30C6">
        <w:rPr>
          <w:rStyle w:val="FootnoteReference"/>
        </w:rPr>
        <w:footnoteReference w:id="2"/>
      </w:r>
      <w:r w:rsidR="00B01952">
        <w:t xml:space="preserve"> </w:t>
      </w:r>
      <w:r w:rsidR="007F4CF9">
        <w:t xml:space="preserve">is susceptible to </w:t>
      </w:r>
      <w:r w:rsidR="00B01952">
        <w:t>variation; d</w:t>
      </w:r>
      <w:r w:rsidR="007F4CF9">
        <w:t>oes the order in any way lack clarity?</w:t>
      </w:r>
      <w:r>
        <w:t xml:space="preserve">  </w:t>
      </w:r>
      <w:r w:rsidR="00B01952">
        <w:t>By a majority decision,</w:t>
      </w:r>
      <w:r w:rsidR="00C87EFE">
        <w:t xml:space="preserve"> this Court</w:t>
      </w:r>
      <w:r>
        <w:t> </w:t>
      </w:r>
      <w:r w:rsidR="00B01952">
        <w:t>–</w:t>
      </w:r>
      <w:r>
        <w:t> </w:t>
      </w:r>
      <w:r w:rsidR="00B01952">
        <w:t xml:space="preserve">in </w:t>
      </w:r>
      <w:proofErr w:type="spellStart"/>
      <w:r w:rsidR="00B01952" w:rsidRPr="00A61B13">
        <w:rPr>
          <w:i/>
        </w:rPr>
        <w:t>Afribusiness</w:t>
      </w:r>
      <w:proofErr w:type="spellEnd"/>
      <w:r w:rsidR="00D260FD">
        <w:t> </w:t>
      </w:r>
      <w:r w:rsidR="00B01952">
        <w:t>–</w:t>
      </w:r>
      <w:r w:rsidR="00D260FD">
        <w:t> </w:t>
      </w:r>
      <w:r w:rsidR="00AF49B8">
        <w:t xml:space="preserve">dismissed an appeal </w:t>
      </w:r>
      <w:r w:rsidR="007B53B6">
        <w:t>by the present applicant, the Minister</w:t>
      </w:r>
      <w:r w:rsidR="00D260FD">
        <w:t> </w:t>
      </w:r>
      <w:r w:rsidR="007B53B6">
        <w:t>of</w:t>
      </w:r>
      <w:r w:rsidR="00D260FD">
        <w:t> </w:t>
      </w:r>
      <w:r w:rsidR="007B53B6">
        <w:t xml:space="preserve">Finance (Minister), </w:t>
      </w:r>
      <w:r w:rsidR="00AF49B8">
        <w:t>against a judgment of the Supreme Court</w:t>
      </w:r>
      <w:r w:rsidR="00317AA9">
        <w:t xml:space="preserve"> of Appeal</w:t>
      </w:r>
      <w:r w:rsidR="00AF49B8">
        <w:t>.  In its judgment</w:t>
      </w:r>
      <w:r w:rsidR="008C34D3">
        <w:t>,</w:t>
      </w:r>
      <w:r w:rsidR="00AF49B8">
        <w:t xml:space="preserve"> </w:t>
      </w:r>
      <w:r w:rsidR="00317AA9">
        <w:t>th</w:t>
      </w:r>
      <w:r w:rsidR="004F46CD">
        <w:t>e Supreme</w:t>
      </w:r>
      <w:r w:rsidR="00AF49B8">
        <w:t xml:space="preserve"> Court</w:t>
      </w:r>
      <w:r w:rsidR="004F46CD">
        <w:t xml:space="preserve"> of Appeal</w:t>
      </w:r>
      <w:r w:rsidR="00AF49B8">
        <w:t xml:space="preserve"> had declared invalid the Preferential Procurement Regulations</w:t>
      </w:r>
      <w:r w:rsidR="00B01952">
        <w:t>.</w:t>
      </w:r>
      <w:r w:rsidR="00AF49B8">
        <w:rPr>
          <w:rStyle w:val="FootnoteReference"/>
        </w:rPr>
        <w:footnoteReference w:id="3"/>
      </w:r>
      <w:r w:rsidR="00031380">
        <w:t xml:space="preserve">  These are Re</w:t>
      </w:r>
      <w:r w:rsidR="007B53B6">
        <w:t xml:space="preserve">gulations that were made by the </w:t>
      </w:r>
      <w:r w:rsidR="00031380">
        <w:t>Minister in terms of the Preferential Procurement Policy Framework Act</w:t>
      </w:r>
      <w:r w:rsidR="00456A1F">
        <w:t>.</w:t>
      </w:r>
      <w:r w:rsidR="00031380">
        <w:rPr>
          <w:rStyle w:val="FootnoteReference"/>
        </w:rPr>
        <w:footnoteReference w:id="4"/>
      </w:r>
      <w:r w:rsidR="00456A1F">
        <w:t xml:space="preserve">  </w:t>
      </w:r>
      <w:r w:rsidR="00C322AD">
        <w:t>The Supreme Court of</w:t>
      </w:r>
      <w:r w:rsidR="00D260FD">
        <w:t> </w:t>
      </w:r>
      <w:r w:rsidR="00C322AD">
        <w:t>Appeal suspended the declaration of invalidity for 12 months to enable</w:t>
      </w:r>
      <w:r w:rsidR="007B53B6">
        <w:t xml:space="preserve"> corrective action.</w:t>
      </w:r>
    </w:p>
    <w:p w14:paraId="50453B5D" w14:textId="77777777" w:rsidR="004F30C6" w:rsidRDefault="004F30C6" w:rsidP="00A61B13">
      <w:pPr>
        <w:pStyle w:val="JUDGMENTCONTINUED"/>
      </w:pPr>
    </w:p>
    <w:p w14:paraId="0B035028" w14:textId="734350CC" w:rsidR="00FC650D" w:rsidRDefault="007B53B6" w:rsidP="004F30C6">
      <w:pPr>
        <w:pStyle w:val="JUDGMENTNUMBERED"/>
        <w:ind w:left="0" w:firstLine="0"/>
      </w:pPr>
      <w:r>
        <w:t>The Minister now brings an urgent application for direct access seeking a</w:t>
      </w:r>
      <w:r w:rsidR="00AD3796" w:rsidRPr="00AD3796">
        <w:t xml:space="preserve"> variation </w:t>
      </w:r>
      <w:r w:rsidR="005435FB">
        <w:t xml:space="preserve">of the order that dismissed his appeal.  He claims that this Court’s order is ambiguous or lacks clarity and is thus susceptible to variation.  </w:t>
      </w:r>
      <w:r w:rsidR="00456A1F">
        <w:t>According to the</w:t>
      </w:r>
      <w:r w:rsidR="00D260FD">
        <w:t> </w:t>
      </w:r>
      <w:r w:rsidR="00456A1F">
        <w:t xml:space="preserve">Minister, </w:t>
      </w:r>
      <w:r w:rsidR="003B08DF" w:rsidRPr="00C52663">
        <w:t>the only thing t</w:t>
      </w:r>
      <w:r w:rsidR="00456A1F" w:rsidRPr="00C52663">
        <w:t>hat gives rise to the perceived problem with the order is a footnote in the minority judgment</w:t>
      </w:r>
      <w:r w:rsidR="00A77237" w:rsidRPr="00C52663">
        <w:t>.</w:t>
      </w:r>
      <w:r w:rsidR="00F45044" w:rsidRPr="00A61B13">
        <w:rPr>
          <w:rStyle w:val="FootnoteReference"/>
        </w:rPr>
        <w:footnoteReference w:id="5"/>
      </w:r>
      <w:r w:rsidR="00A77237" w:rsidRPr="00A61B13">
        <w:t xml:space="preserve"> </w:t>
      </w:r>
      <w:r w:rsidR="00A77237" w:rsidRPr="00C52663">
        <w:t xml:space="preserve"> </w:t>
      </w:r>
      <w:r w:rsidR="005435FB" w:rsidRPr="00C52663">
        <w:t xml:space="preserve">Here is how </w:t>
      </w:r>
      <w:r w:rsidR="00A77237" w:rsidRPr="00C52663">
        <w:t>the problem is said to arise</w:t>
      </w:r>
      <w:r w:rsidR="005435FB" w:rsidRPr="00C52663">
        <w:t>.</w:t>
      </w:r>
      <w:r w:rsidR="00671F51" w:rsidRPr="00C52663">
        <w:t xml:space="preserve">  With reference to the Supreme Court of Appeal’s 12-month suspension of the declaration of </w:t>
      </w:r>
      <w:r w:rsidR="00671F51" w:rsidRPr="00C52663">
        <w:lastRenderedPageBreak/>
        <w:t>invalidity, t</w:t>
      </w:r>
      <w:r w:rsidR="00A77237" w:rsidRPr="00C52663">
        <w:t>he footnote</w:t>
      </w:r>
      <w:r w:rsidR="003B08DF" w:rsidRPr="00C52663">
        <w:t xml:space="preserve"> </w:t>
      </w:r>
      <w:r w:rsidR="00F034F9" w:rsidRPr="00C52663">
        <w:t>says “[t]he</w:t>
      </w:r>
      <w:r w:rsidR="00671F51" w:rsidRPr="00C52663">
        <w:t xml:space="preserve"> period of suspension expired on 2 November 2021”.</w:t>
      </w:r>
      <w:r w:rsidR="00D5763E">
        <w:t xml:space="preserve">  This date is </w:t>
      </w:r>
      <w:r w:rsidR="001B5B33">
        <w:t>the end of 12 months from the date of the Supreme Court of Appeal’s order.</w:t>
      </w:r>
      <w:r w:rsidR="00C52663" w:rsidRPr="00C52663">
        <w:t xml:space="preserve">  The</w:t>
      </w:r>
      <w:r w:rsidR="00C52663">
        <w:t xml:space="preserve"> </w:t>
      </w:r>
      <w:r w:rsidR="003D6594">
        <w:t>M</w:t>
      </w:r>
      <w:r w:rsidR="001B5B33">
        <w:t>inister</w:t>
      </w:r>
      <w:r w:rsidR="003D6594">
        <w:t xml:space="preserve"> observes that </w:t>
      </w:r>
      <w:r w:rsidR="001B5B33">
        <w:t>the</w:t>
      </w:r>
      <w:r w:rsidR="003D6594">
        <w:t xml:space="preserve"> statement </w:t>
      </w:r>
      <w:r w:rsidR="001B5B33">
        <w:t xml:space="preserve">in the footnote </w:t>
      </w:r>
      <w:r w:rsidR="003D6594">
        <w:t>was “</w:t>
      </w:r>
      <w:r w:rsidR="008C703D">
        <w:t xml:space="preserve">very </w:t>
      </w:r>
      <w:r w:rsidR="003D6594">
        <w:t>respectfully</w:t>
      </w:r>
      <w:r w:rsidR="008C703D">
        <w:t xml:space="preserve"> in conflict with section 18(1) of the Superior Courts Act</w:t>
      </w:r>
      <w:r w:rsidR="003D6594">
        <w:t>”.</w:t>
      </w:r>
      <w:r w:rsidR="00BE4AC3">
        <w:rPr>
          <w:rStyle w:val="FootnoteReference"/>
        </w:rPr>
        <w:footnoteReference w:id="6"/>
      </w:r>
      <w:r w:rsidR="003743B4">
        <w:t xml:space="preserve">  The</w:t>
      </w:r>
      <w:r w:rsidR="00D260FD">
        <w:t> </w:t>
      </w:r>
      <w:r w:rsidR="003743B4">
        <w:t>Minister correctly highlights the fact that th</w:t>
      </w:r>
      <w:r w:rsidR="001D600A">
        <w:t>is</w:t>
      </w:r>
      <w:r w:rsidR="003743B4">
        <w:t xml:space="preserve"> </w:t>
      </w:r>
      <w:r w:rsidR="001D600A">
        <w:t xml:space="preserve">Court’s </w:t>
      </w:r>
      <w:r w:rsidR="003743B4">
        <w:t xml:space="preserve">majority judgment does not respond to the content of the footnote.  He says “the incorrect statement [in the footnote] is the only articulation of this </w:t>
      </w:r>
      <w:r w:rsidR="00F45044">
        <w:t>. . .</w:t>
      </w:r>
      <w:r w:rsidR="003743B4">
        <w:t xml:space="preserve"> Court’s position on the suspension period granted by the [Supreme Court of Appeal]”.  </w:t>
      </w:r>
      <w:r w:rsidR="009561E1">
        <w:t xml:space="preserve">The Minister concludes that the majority’s omission to address the </w:t>
      </w:r>
      <w:r w:rsidR="00865534">
        <w:t>content of</w:t>
      </w:r>
      <w:r w:rsidR="009561E1">
        <w:t xml:space="preserve"> the footnote has resulted in </w:t>
      </w:r>
      <w:r w:rsidR="007600CC">
        <w:t>lack of clarity.  If I understand the Minister correctly, he suggests that this is exacerbated by the fact that this Court’s order</w:t>
      </w:r>
      <w:r w:rsidR="00097D66">
        <w:t xml:space="preserve"> simply says the appeal is dismissed</w:t>
      </w:r>
      <w:r w:rsidR="00FC650D">
        <w:rPr>
          <w:rStyle w:val="FootnoteReference"/>
        </w:rPr>
        <w:footnoteReference w:id="7"/>
      </w:r>
      <w:r w:rsidR="00097D66">
        <w:t xml:space="preserve"> and “does not purport to set aside, replace, substitute or in any way vary the order of the [Supreme Court of Appeal]”</w:t>
      </w:r>
      <w:r w:rsidR="006A236A">
        <w:t>.</w:t>
      </w:r>
    </w:p>
    <w:p w14:paraId="1926BB31" w14:textId="77777777" w:rsidR="00FC650D" w:rsidRDefault="00FC650D" w:rsidP="00A61B13">
      <w:pPr>
        <w:pStyle w:val="JUDGMENTCONTINUED"/>
      </w:pPr>
    </w:p>
    <w:p w14:paraId="7DE8042A" w14:textId="1262C43D" w:rsidR="005D4A07" w:rsidRDefault="006E67FE" w:rsidP="00D1206D">
      <w:pPr>
        <w:pStyle w:val="JUDGMENTNUMBERED"/>
        <w:ind w:left="0" w:firstLine="0"/>
      </w:pPr>
      <w:r>
        <w:t xml:space="preserve">The confusion </w:t>
      </w:r>
      <w:r w:rsidR="005435FB">
        <w:t xml:space="preserve">gives rise to </w:t>
      </w:r>
      <w:r w:rsidR="00865534">
        <w:t>three</w:t>
      </w:r>
      <w:r w:rsidR="005435FB">
        <w:t xml:space="preserve"> </w:t>
      </w:r>
      <w:r w:rsidR="00865534">
        <w:t xml:space="preserve">possible </w:t>
      </w:r>
      <w:r w:rsidR="005435FB">
        <w:t>interpretation</w:t>
      </w:r>
      <w:r w:rsidR="00865534">
        <w:t>s of this</w:t>
      </w:r>
      <w:r w:rsidR="00D260FD">
        <w:t> </w:t>
      </w:r>
      <w:r w:rsidR="00865534">
        <w:t>Court’s</w:t>
      </w:r>
      <w:r w:rsidR="00D260FD">
        <w:t xml:space="preserve"> </w:t>
      </w:r>
      <w:r w:rsidR="00865534">
        <w:t>order</w:t>
      </w:r>
      <w:r>
        <w:t>, so claims the Minister</w:t>
      </w:r>
      <w:r w:rsidR="005435FB">
        <w:t>.</w:t>
      </w:r>
      <w:r w:rsidR="005D4A07" w:rsidRPr="00B22DDF">
        <w:t xml:space="preserve"> </w:t>
      </w:r>
      <w:r w:rsidR="00865534">
        <w:t xml:space="preserve"> </w:t>
      </w:r>
      <w:r w:rsidR="005D4A07" w:rsidRPr="00B22DDF">
        <w:t>First, the Minister submits that in terms of section</w:t>
      </w:r>
      <w:r w:rsidR="005D4A07">
        <w:t> </w:t>
      </w:r>
      <w:r w:rsidR="005D4A07" w:rsidRPr="00B22DDF">
        <w:t>18(1) of the Superior</w:t>
      </w:r>
      <w:r w:rsidR="00D260FD">
        <w:t> </w:t>
      </w:r>
      <w:r w:rsidR="005D4A07" w:rsidRPr="00B22DDF">
        <w:t>Courts Act</w:t>
      </w:r>
      <w:r w:rsidR="009062B2">
        <w:t xml:space="preserve"> </w:t>
      </w:r>
      <w:r w:rsidR="005D4A07" w:rsidRPr="00B22DDF">
        <w:t>the operation of the order of the Supreme</w:t>
      </w:r>
      <w:r w:rsidR="0039171D">
        <w:t> </w:t>
      </w:r>
      <w:r w:rsidR="005D4A07" w:rsidRPr="00B22DDF">
        <w:t xml:space="preserve">Court of Appeal was suspended from the date the Minister lodged </w:t>
      </w:r>
      <w:r w:rsidR="00921F57">
        <w:t>an</w:t>
      </w:r>
      <w:r w:rsidR="005D4A07" w:rsidRPr="00B22DDF">
        <w:t xml:space="preserve"> application for leave to appeal to this</w:t>
      </w:r>
      <w:r w:rsidR="000F7114">
        <w:t> </w:t>
      </w:r>
      <w:r w:rsidR="005D4A07" w:rsidRPr="00B22DDF">
        <w:t>Court on 23</w:t>
      </w:r>
      <w:r w:rsidR="0039171D">
        <w:t> </w:t>
      </w:r>
      <w:r w:rsidR="005D4A07" w:rsidRPr="00B22DDF">
        <w:t>November 2020.</w:t>
      </w:r>
      <w:r w:rsidR="004618EE">
        <w:t xml:space="preserve">  And the operation of that order started running again when this Court dismissed the appeal on 16 February 2022</w:t>
      </w:r>
      <w:r w:rsidR="00617F72">
        <w:t>.</w:t>
      </w:r>
      <w:r w:rsidR="005D4A07">
        <w:t xml:space="preserve"> </w:t>
      </w:r>
      <w:r w:rsidR="005D4A07" w:rsidRPr="00B22DDF">
        <w:t xml:space="preserve"> Second, the order may be interpreted to mean that the Regulations were invalidated with immediate effect and prospectively from the date of </w:t>
      </w:r>
      <w:r w:rsidR="004618EE">
        <w:t>dismissal of the appeal</w:t>
      </w:r>
      <w:r w:rsidR="005D4A07" w:rsidRPr="00B22DDF">
        <w:t xml:space="preserve"> and without any suspension.</w:t>
      </w:r>
      <w:r w:rsidR="005D4A07">
        <w:t xml:space="preserve"> </w:t>
      </w:r>
      <w:r w:rsidR="005D4A07" w:rsidRPr="00B22DDF">
        <w:t xml:space="preserve"> Third, and in accordance with the doctrine of objective constitutional invalidity, the order may be interpreted to mean that the invalidation is with effect from the date the</w:t>
      </w:r>
      <w:r w:rsidR="008E097C">
        <w:t> </w:t>
      </w:r>
      <w:r w:rsidR="005D4A07" w:rsidRPr="00B22DDF">
        <w:t>Regulations were promulgated.</w:t>
      </w:r>
    </w:p>
    <w:p w14:paraId="48F4B665" w14:textId="77777777" w:rsidR="005D4A07" w:rsidRPr="00B22DDF" w:rsidRDefault="005D4A07" w:rsidP="005D4A07">
      <w:pPr>
        <w:pStyle w:val="JUDGMENTCONTINUED"/>
        <w:rPr>
          <w:lang w:val="en-GB"/>
        </w:rPr>
      </w:pPr>
    </w:p>
    <w:p w14:paraId="6F061356" w14:textId="0CEE8D87" w:rsidR="00FF5547" w:rsidRDefault="005D4A07" w:rsidP="001E1892">
      <w:pPr>
        <w:pStyle w:val="JUDGMENTNUMBERED"/>
        <w:ind w:left="0" w:firstLine="0"/>
      </w:pPr>
      <w:r w:rsidRPr="00B22DDF">
        <w:t xml:space="preserve">The Minister avers that </w:t>
      </w:r>
      <w:r w:rsidR="00617F72">
        <w:t>each of these interpretations has support from</w:t>
      </w:r>
      <w:r w:rsidR="00E90CAB">
        <w:t xml:space="preserve"> </w:t>
      </w:r>
      <w:r w:rsidR="00CD7CB4">
        <w:t>different</w:t>
      </w:r>
      <w:r w:rsidRPr="00B22DDF">
        <w:t xml:space="preserve"> interest group</w:t>
      </w:r>
      <w:r w:rsidR="00E90CAB">
        <w:t>s</w:t>
      </w:r>
      <w:r w:rsidR="00AA5AE0">
        <w:t>.</w:t>
      </w:r>
      <w:r w:rsidR="001B5397">
        <w:t xml:space="preserve"> </w:t>
      </w:r>
      <w:r w:rsidRPr="00B22DDF">
        <w:t xml:space="preserve"> </w:t>
      </w:r>
      <w:r w:rsidR="00617F72">
        <w:t xml:space="preserve">He </w:t>
      </w:r>
      <w:r w:rsidRPr="00B22DDF">
        <w:t>submits that, as a result of the</w:t>
      </w:r>
      <w:r w:rsidR="004B426B">
        <w:t>se</w:t>
      </w:r>
      <w:r w:rsidRPr="00B22DDF">
        <w:t xml:space="preserve"> three possible interpretations, this</w:t>
      </w:r>
      <w:r w:rsidR="000F7114">
        <w:t> </w:t>
      </w:r>
      <w:r w:rsidRPr="00B22DDF">
        <w:t>Court’s order is a candidate for variation in terms of rule</w:t>
      </w:r>
      <w:r w:rsidR="008E097C">
        <w:t> </w:t>
      </w:r>
      <w:r w:rsidRPr="00B22DDF">
        <w:t xml:space="preserve">42(1)(b) of the </w:t>
      </w:r>
      <w:r w:rsidRPr="00B22DDF">
        <w:lastRenderedPageBreak/>
        <w:t>Uniform</w:t>
      </w:r>
      <w:r w:rsidR="00173827">
        <w:t> </w:t>
      </w:r>
      <w:r w:rsidRPr="00B22DDF">
        <w:t>Rules of Court, which is made applicable to this Court by rule</w:t>
      </w:r>
      <w:r w:rsidR="008E097C">
        <w:t> </w:t>
      </w:r>
      <w:r w:rsidRPr="00B22DDF">
        <w:t>29</w:t>
      </w:r>
      <w:r w:rsidR="001B5397">
        <w:t xml:space="preserve"> of this Court’s</w:t>
      </w:r>
      <w:r w:rsidR="00173827">
        <w:t> </w:t>
      </w:r>
      <w:r w:rsidR="001B5397">
        <w:t>Rules</w:t>
      </w:r>
      <w:r w:rsidRPr="00B22DDF">
        <w:t>.</w:t>
      </w:r>
      <w:r w:rsidR="001B5397">
        <w:t xml:space="preserve"> </w:t>
      </w:r>
      <w:r w:rsidRPr="00B22DDF">
        <w:t xml:space="preserve"> Rule</w:t>
      </w:r>
      <w:r w:rsidR="00F45044">
        <w:t> </w:t>
      </w:r>
      <w:r w:rsidRPr="00B22DDF">
        <w:t xml:space="preserve">42(1)(b) provides that “[t]he court may </w:t>
      </w:r>
      <w:r w:rsidR="001B5397">
        <w:t xml:space="preserve">. . . </w:t>
      </w:r>
      <w:proofErr w:type="spellStart"/>
      <w:r w:rsidRPr="00B22DDF">
        <w:rPr>
          <w:i/>
          <w:iCs/>
        </w:rPr>
        <w:t>mero</w:t>
      </w:r>
      <w:proofErr w:type="spellEnd"/>
      <w:r w:rsidRPr="00B22DDF">
        <w:rPr>
          <w:i/>
          <w:iCs/>
        </w:rPr>
        <w:t xml:space="preserve"> motu</w:t>
      </w:r>
      <w:r w:rsidR="001B5397">
        <w:t xml:space="preserve"> [of its own accord] </w:t>
      </w:r>
      <w:r w:rsidRPr="00B22DDF">
        <w:t xml:space="preserve">or upon application of any party affected, rescind or vary </w:t>
      </w:r>
      <w:r w:rsidR="001B5397">
        <w:t xml:space="preserve">. . . </w:t>
      </w:r>
      <w:r w:rsidRPr="00B22DDF">
        <w:t>an order or judgment in which there is an ambiguity, or patent error or omission, but only to the extent of such ambiguity, error or omission”.</w:t>
      </w:r>
    </w:p>
    <w:p w14:paraId="5720B17E" w14:textId="77777777" w:rsidR="005D4A07" w:rsidRDefault="005D4A07" w:rsidP="005D4A07">
      <w:pPr>
        <w:pStyle w:val="JUDGMENTCONTINUED"/>
      </w:pPr>
    </w:p>
    <w:p w14:paraId="1C46144E" w14:textId="77777777" w:rsidR="005D4A07" w:rsidRDefault="00DB3DD3" w:rsidP="00DB3DD3">
      <w:pPr>
        <w:pStyle w:val="JUDGMENTNUMBERED"/>
        <w:ind w:left="0" w:firstLine="0"/>
        <w:rPr>
          <w:lang w:val="en-US"/>
        </w:rPr>
      </w:pPr>
      <w:r>
        <w:t xml:space="preserve">The Minister submits that </w:t>
      </w:r>
      <w:r w:rsidR="00BF1997">
        <w:t>the</w:t>
      </w:r>
      <w:r>
        <w:t xml:space="preserve"> patent error</w:t>
      </w:r>
      <w:r w:rsidR="00A81564">
        <w:t xml:space="preserve">, </w:t>
      </w:r>
      <w:r>
        <w:t>patent omission</w:t>
      </w:r>
      <w:r w:rsidR="00A81564">
        <w:t xml:space="preserve">, </w:t>
      </w:r>
      <w:r w:rsidR="003739DB">
        <w:t>and</w:t>
      </w:r>
      <w:r w:rsidR="00A81564">
        <w:t xml:space="preserve"> ambiguity</w:t>
      </w:r>
      <w:r w:rsidR="00BF1997">
        <w:t xml:space="preserve"> that render this Court’s order liable to variation in terms of</w:t>
      </w:r>
      <w:r>
        <w:t xml:space="preserve"> rule 42(1)(b)</w:t>
      </w:r>
      <w:r w:rsidR="00BF1997">
        <w:t xml:space="preserve"> consist in the content of the footnote referred to earlier</w:t>
      </w:r>
      <w:r w:rsidR="003739DB">
        <w:rPr>
          <w:lang w:val="en-US"/>
        </w:rPr>
        <w:t>.</w:t>
      </w:r>
    </w:p>
    <w:p w14:paraId="4785AC88" w14:textId="77777777" w:rsidR="003739DB" w:rsidRDefault="003739DB" w:rsidP="003739DB">
      <w:pPr>
        <w:pStyle w:val="JUDGMENTCONTINUED"/>
        <w:rPr>
          <w:lang w:val="en-US"/>
        </w:rPr>
      </w:pPr>
    </w:p>
    <w:p w14:paraId="6E38C016" w14:textId="77777777" w:rsidR="003739DB" w:rsidRDefault="003739DB" w:rsidP="003739DB">
      <w:pPr>
        <w:pStyle w:val="JUDGMENTNUMBERED"/>
        <w:ind w:left="0" w:firstLine="0"/>
      </w:pPr>
      <w:r w:rsidRPr="003739DB">
        <w:t xml:space="preserve">The Minister submits that variation is the “cleanest and least burdensome” way to correct the </w:t>
      </w:r>
      <w:r w:rsidR="00BF151E">
        <w:t>lack of clarity in the order</w:t>
      </w:r>
      <w:r w:rsidR="008C05EA">
        <w:t>.</w:t>
      </w:r>
      <w:r>
        <w:t xml:space="preserve">  </w:t>
      </w:r>
      <w:r w:rsidR="008C05EA">
        <w:t>V</w:t>
      </w:r>
      <w:r>
        <w:t>ariation would require only minor clerical edits to</w:t>
      </w:r>
      <w:r w:rsidR="008C05EA">
        <w:t xml:space="preserve"> the order of the majority judgment </w:t>
      </w:r>
      <w:r>
        <w:t xml:space="preserve">and a </w:t>
      </w:r>
      <w:r w:rsidR="00C87EFE">
        <w:t xml:space="preserve">correction of the </w:t>
      </w:r>
      <w:r>
        <w:t>footnote in the</w:t>
      </w:r>
      <w:r w:rsidR="008C05EA">
        <w:t xml:space="preserve"> minority</w:t>
      </w:r>
      <w:r>
        <w:t xml:space="preserve"> judgment</w:t>
      </w:r>
      <w:r w:rsidR="008C05EA">
        <w:t>.</w:t>
      </w:r>
    </w:p>
    <w:p w14:paraId="122DEE4D" w14:textId="77777777" w:rsidR="008C05EA" w:rsidRDefault="008C05EA" w:rsidP="008C05EA">
      <w:pPr>
        <w:pStyle w:val="JUDGMENTCONTINUED"/>
        <w:rPr>
          <w:lang w:val="en-US"/>
        </w:rPr>
      </w:pPr>
    </w:p>
    <w:p w14:paraId="071BBF71" w14:textId="54380F50" w:rsidR="008C05EA" w:rsidRDefault="00ED4887" w:rsidP="008C05EA">
      <w:pPr>
        <w:pStyle w:val="JUDGMENTNUMBERED"/>
        <w:ind w:left="0" w:firstLine="0"/>
        <w:rPr>
          <w:lang w:val="en-US"/>
        </w:rPr>
      </w:pPr>
      <w:r>
        <w:rPr>
          <w:lang w:val="en-US"/>
        </w:rPr>
        <w:t>The first respondent</w:t>
      </w:r>
      <w:r w:rsidR="00C87EFE">
        <w:rPr>
          <w:lang w:val="en-US"/>
        </w:rPr>
        <w:t>,</w:t>
      </w:r>
      <w:r>
        <w:rPr>
          <w:lang w:val="en-US"/>
        </w:rPr>
        <w:t xml:space="preserve"> </w:t>
      </w:r>
      <w:proofErr w:type="spellStart"/>
      <w:r>
        <w:rPr>
          <w:lang w:val="en-US"/>
        </w:rPr>
        <w:t>Sakeliga</w:t>
      </w:r>
      <w:proofErr w:type="spellEnd"/>
      <w:r>
        <w:rPr>
          <w:lang w:val="en-US"/>
        </w:rPr>
        <w:t xml:space="preserve"> </w:t>
      </w:r>
      <w:r w:rsidR="00C87EFE">
        <w:rPr>
          <w:lang w:val="en-US"/>
        </w:rPr>
        <w:t>NPC</w:t>
      </w:r>
      <w:r w:rsidR="00F45044">
        <w:rPr>
          <w:lang w:val="en-US"/>
        </w:rPr>
        <w:t xml:space="preserve"> </w:t>
      </w:r>
      <w:r w:rsidR="00F45044" w:rsidRPr="00A61B13">
        <w:rPr>
          <w:lang w:val="en-US"/>
        </w:rPr>
        <w:t>(</w:t>
      </w:r>
      <w:proofErr w:type="spellStart"/>
      <w:r w:rsidR="00F45044" w:rsidRPr="00A61B13">
        <w:rPr>
          <w:lang w:val="en-US"/>
        </w:rPr>
        <w:t>Sakeliga</w:t>
      </w:r>
      <w:proofErr w:type="spellEnd"/>
      <w:r w:rsidR="00F45044" w:rsidRPr="00A61B13">
        <w:rPr>
          <w:lang w:val="en-US"/>
        </w:rPr>
        <w:t>)</w:t>
      </w:r>
      <w:r w:rsidR="00C87EFE" w:rsidRPr="00A61B13">
        <w:rPr>
          <w:lang w:val="en-US"/>
        </w:rPr>
        <w:t xml:space="preserve">, </w:t>
      </w:r>
      <w:r w:rsidR="00C87EFE">
        <w:rPr>
          <w:lang w:val="en-US"/>
        </w:rPr>
        <w:t xml:space="preserve">which was cited by its previous name, </w:t>
      </w:r>
      <w:proofErr w:type="spellStart"/>
      <w:r w:rsidR="00C87EFE">
        <w:rPr>
          <w:lang w:val="en-US"/>
        </w:rPr>
        <w:t>Afribusiness</w:t>
      </w:r>
      <w:proofErr w:type="spellEnd"/>
      <w:r w:rsidR="00C87EFE">
        <w:rPr>
          <w:lang w:val="en-US"/>
        </w:rPr>
        <w:t xml:space="preserve"> NPC, in the application for leave to appeal to this Court, opposes the present application</w:t>
      </w:r>
      <w:r>
        <w:rPr>
          <w:lang w:val="en-US"/>
        </w:rPr>
        <w:t xml:space="preserve">.  </w:t>
      </w:r>
      <w:r w:rsidR="001344E6">
        <w:rPr>
          <w:lang w:val="en-US"/>
        </w:rPr>
        <w:t>The Rule of Law Project and the Economic Freedom</w:t>
      </w:r>
      <w:r w:rsidR="008E097C">
        <w:rPr>
          <w:lang w:val="en-US"/>
        </w:rPr>
        <w:t> </w:t>
      </w:r>
      <w:r w:rsidR="001344E6">
        <w:rPr>
          <w:lang w:val="en-US"/>
        </w:rPr>
        <w:t>Fighters, t</w:t>
      </w:r>
      <w:r>
        <w:rPr>
          <w:lang w:val="en-US"/>
        </w:rPr>
        <w:t>he second and third respondents</w:t>
      </w:r>
      <w:r w:rsidR="001344E6">
        <w:rPr>
          <w:lang w:val="en-US"/>
        </w:rPr>
        <w:t>, respectively,</w:t>
      </w:r>
      <w:r>
        <w:rPr>
          <w:lang w:val="en-US"/>
        </w:rPr>
        <w:t xml:space="preserve"> </w:t>
      </w:r>
      <w:r w:rsidR="001344E6">
        <w:rPr>
          <w:lang w:val="en-US"/>
        </w:rPr>
        <w:t>have opted not to enter the fray</w:t>
      </w:r>
      <w:r>
        <w:rPr>
          <w:lang w:val="en-US"/>
        </w:rPr>
        <w:t xml:space="preserve">.  </w:t>
      </w:r>
      <w:proofErr w:type="spellStart"/>
      <w:r>
        <w:rPr>
          <w:lang w:val="en-US"/>
        </w:rPr>
        <w:t>Sakeliga</w:t>
      </w:r>
      <w:proofErr w:type="spellEnd"/>
      <w:r>
        <w:rPr>
          <w:lang w:val="en-US"/>
        </w:rPr>
        <w:t xml:space="preserve"> </w:t>
      </w:r>
      <w:r w:rsidR="004F30C6">
        <w:rPr>
          <w:lang w:val="en-US"/>
        </w:rPr>
        <w:t>contends that</w:t>
      </w:r>
      <w:r w:rsidR="00005A2E">
        <w:rPr>
          <w:lang w:val="en-US"/>
        </w:rPr>
        <w:t xml:space="preserve"> </w:t>
      </w:r>
      <w:r w:rsidR="001344E6">
        <w:rPr>
          <w:lang w:val="en-US"/>
        </w:rPr>
        <w:t>the application</w:t>
      </w:r>
      <w:r w:rsidR="00005A2E">
        <w:rPr>
          <w:lang w:val="en-US"/>
        </w:rPr>
        <w:t xml:space="preserve"> </w:t>
      </w:r>
      <w:r>
        <w:rPr>
          <w:lang w:val="en-US"/>
        </w:rPr>
        <w:t xml:space="preserve">is an exercise in futility, an abuse of </w:t>
      </w:r>
      <w:r w:rsidR="001344E6">
        <w:rPr>
          <w:lang w:val="en-US"/>
        </w:rPr>
        <w:t xml:space="preserve">the </w:t>
      </w:r>
      <w:r>
        <w:rPr>
          <w:lang w:val="en-US"/>
        </w:rPr>
        <w:t>process</w:t>
      </w:r>
      <w:r w:rsidR="001344E6">
        <w:rPr>
          <w:lang w:val="en-US"/>
        </w:rPr>
        <w:t xml:space="preserve"> of this Court</w:t>
      </w:r>
      <w:r>
        <w:rPr>
          <w:lang w:val="en-US"/>
        </w:rPr>
        <w:t xml:space="preserve"> and a waste of judicial resources.</w:t>
      </w:r>
      <w:r w:rsidR="005C4ECE">
        <w:rPr>
          <w:lang w:val="en-US"/>
        </w:rPr>
        <w:t xml:space="preserve">  It argues that there is no need for </w:t>
      </w:r>
      <w:r w:rsidR="00652A8F">
        <w:rPr>
          <w:lang w:val="en-US"/>
        </w:rPr>
        <w:t>the relief sought by the Minister</w:t>
      </w:r>
      <w:r w:rsidR="005C4ECE">
        <w:rPr>
          <w:lang w:val="en-US"/>
        </w:rPr>
        <w:t xml:space="preserve"> as the period of suspension is regulated by the Superior</w:t>
      </w:r>
      <w:r w:rsidR="009B506E">
        <w:t> </w:t>
      </w:r>
      <w:r w:rsidR="005C4ECE">
        <w:rPr>
          <w:lang w:val="en-US"/>
        </w:rPr>
        <w:t>Courts Act</w:t>
      </w:r>
      <w:r w:rsidR="001344E6">
        <w:rPr>
          <w:lang w:val="en-US"/>
        </w:rPr>
        <w:t>.</w:t>
      </w:r>
      <w:r w:rsidR="006977DE">
        <w:rPr>
          <w:lang w:val="en-US"/>
        </w:rPr>
        <w:t xml:space="preserve">  That is so becau</w:t>
      </w:r>
      <w:r w:rsidR="00652A8F">
        <w:rPr>
          <w:lang w:val="en-US"/>
        </w:rPr>
        <w:t>se, when the order is looked at</w:t>
      </w:r>
      <w:r w:rsidR="006977DE">
        <w:rPr>
          <w:lang w:val="en-US"/>
        </w:rPr>
        <w:t xml:space="preserve"> in the light of the Superior</w:t>
      </w:r>
      <w:r w:rsidR="009B506E">
        <w:rPr>
          <w:lang w:val="en-US"/>
        </w:rPr>
        <w:t> </w:t>
      </w:r>
      <w:r w:rsidR="006977DE">
        <w:rPr>
          <w:lang w:val="en-US"/>
        </w:rPr>
        <w:t>Courts Act, there is no ambiguity, error or omission.</w:t>
      </w:r>
      <w:r w:rsidR="001344E6">
        <w:rPr>
          <w:lang w:val="en-US"/>
        </w:rPr>
        <w:t xml:space="preserve">  The argument continues that this is</w:t>
      </w:r>
      <w:r w:rsidR="00956045">
        <w:rPr>
          <w:lang w:val="en-US"/>
        </w:rPr>
        <w:t xml:space="preserve"> a</w:t>
      </w:r>
      <w:r w:rsidR="001344E6">
        <w:rPr>
          <w:lang w:val="en-US"/>
        </w:rPr>
        <w:t xml:space="preserve"> matter of arithmetical calculation.  </w:t>
      </w:r>
      <w:r w:rsidR="00652A8F">
        <w:rPr>
          <w:lang w:val="en-US"/>
        </w:rPr>
        <w:t xml:space="preserve">According to </w:t>
      </w:r>
      <w:proofErr w:type="spellStart"/>
      <w:r w:rsidR="00652A8F">
        <w:rPr>
          <w:lang w:val="en-US"/>
        </w:rPr>
        <w:t>Sakeliga</w:t>
      </w:r>
      <w:proofErr w:type="spellEnd"/>
      <w:r w:rsidR="00652A8F">
        <w:rPr>
          <w:lang w:val="en-US"/>
        </w:rPr>
        <w:t xml:space="preserve">, this entails a </w:t>
      </w:r>
      <w:r w:rsidR="00366252">
        <w:rPr>
          <w:lang w:val="en-US"/>
        </w:rPr>
        <w:t>simpl</w:t>
      </w:r>
      <w:r w:rsidR="00652A8F">
        <w:rPr>
          <w:lang w:val="en-US"/>
        </w:rPr>
        <w:t>e</w:t>
      </w:r>
      <w:r w:rsidR="00366252">
        <w:rPr>
          <w:lang w:val="en-US"/>
        </w:rPr>
        <w:t xml:space="preserve"> calculati</w:t>
      </w:r>
      <w:r w:rsidR="00652A8F">
        <w:rPr>
          <w:lang w:val="en-US"/>
        </w:rPr>
        <w:t>on in accordance with the provisions of section 18(1) of the Superior Courts Act</w:t>
      </w:r>
      <w:r w:rsidR="005C4ECE">
        <w:rPr>
          <w:lang w:val="en-US"/>
        </w:rPr>
        <w:t>.</w:t>
      </w:r>
      <w:r w:rsidR="006977DE">
        <w:rPr>
          <w:lang w:val="en-US"/>
        </w:rPr>
        <w:t xml:space="preserve">  What the Minister is seeking to achieve is an amendment of the order of the Supreme Court of Appeal, which stands as a result of this Court’s dismissal of the appeal</w:t>
      </w:r>
      <w:r w:rsidR="00CB400C">
        <w:rPr>
          <w:lang w:val="en-US"/>
        </w:rPr>
        <w:t xml:space="preserve">.  The Minister cannot get that outcome </w:t>
      </w:r>
      <w:r w:rsidR="003A4E0A">
        <w:rPr>
          <w:lang w:val="en-US"/>
        </w:rPr>
        <w:t xml:space="preserve">using </w:t>
      </w:r>
      <w:r w:rsidR="00CB400C">
        <w:rPr>
          <w:lang w:val="en-US"/>
        </w:rPr>
        <w:t xml:space="preserve">rule 42, </w:t>
      </w:r>
      <w:r w:rsidR="006977DE">
        <w:rPr>
          <w:lang w:val="en-US"/>
        </w:rPr>
        <w:t xml:space="preserve">submits </w:t>
      </w:r>
      <w:proofErr w:type="spellStart"/>
      <w:r w:rsidR="006977DE">
        <w:rPr>
          <w:lang w:val="en-US"/>
        </w:rPr>
        <w:t>Sakeliga</w:t>
      </w:r>
      <w:proofErr w:type="spellEnd"/>
      <w:r w:rsidR="006977DE">
        <w:rPr>
          <w:lang w:val="en-US"/>
        </w:rPr>
        <w:t>.</w:t>
      </w:r>
    </w:p>
    <w:p w14:paraId="4E8BFFC2" w14:textId="77777777" w:rsidR="005C4ECE" w:rsidRDefault="005C4ECE" w:rsidP="005C4ECE">
      <w:pPr>
        <w:pStyle w:val="JUDGMENTCONTINUED"/>
        <w:rPr>
          <w:lang w:val="en-US"/>
        </w:rPr>
      </w:pPr>
    </w:p>
    <w:p w14:paraId="6BDF87AC" w14:textId="77777777" w:rsidR="005C4ECE" w:rsidRDefault="005C4ECE" w:rsidP="005C4ECE">
      <w:pPr>
        <w:pStyle w:val="JUDGMENTNUMBERED"/>
        <w:ind w:left="0" w:firstLine="0"/>
        <w:rPr>
          <w:lang w:val="en-US"/>
        </w:rPr>
      </w:pPr>
      <w:proofErr w:type="spellStart"/>
      <w:r>
        <w:rPr>
          <w:lang w:val="en-US"/>
        </w:rPr>
        <w:lastRenderedPageBreak/>
        <w:t>Sakeliga</w:t>
      </w:r>
      <w:proofErr w:type="spellEnd"/>
      <w:r>
        <w:rPr>
          <w:lang w:val="en-US"/>
        </w:rPr>
        <w:t xml:space="preserve"> </w:t>
      </w:r>
      <w:r w:rsidR="006977DE">
        <w:rPr>
          <w:lang w:val="en-US"/>
        </w:rPr>
        <w:t>also argues</w:t>
      </w:r>
      <w:r>
        <w:rPr>
          <w:lang w:val="en-US"/>
        </w:rPr>
        <w:t xml:space="preserve"> that</w:t>
      </w:r>
      <w:r w:rsidR="003F743C">
        <w:rPr>
          <w:lang w:val="en-US"/>
        </w:rPr>
        <w:t xml:space="preserve"> </w:t>
      </w:r>
      <w:r w:rsidR="006977DE">
        <w:rPr>
          <w:lang w:val="en-US"/>
        </w:rPr>
        <w:t>f</w:t>
      </w:r>
      <w:r w:rsidR="003F743C">
        <w:rPr>
          <w:lang w:val="en-US"/>
        </w:rPr>
        <w:t xml:space="preserve">ootnote 28 of the minority judgment </w:t>
      </w:r>
      <w:r w:rsidR="006977DE">
        <w:rPr>
          <w:lang w:val="en-US"/>
        </w:rPr>
        <w:t>is</w:t>
      </w:r>
      <w:r w:rsidR="003F743C">
        <w:rPr>
          <w:lang w:val="en-US"/>
        </w:rPr>
        <w:t xml:space="preserve"> </w:t>
      </w:r>
      <w:r w:rsidR="006977DE">
        <w:rPr>
          <w:lang w:val="en-US"/>
        </w:rPr>
        <w:t xml:space="preserve">of </w:t>
      </w:r>
      <w:r w:rsidR="0067704D">
        <w:rPr>
          <w:lang w:val="en-US"/>
        </w:rPr>
        <w:t xml:space="preserve">no consequence </w:t>
      </w:r>
      <w:r w:rsidR="006977DE">
        <w:rPr>
          <w:lang w:val="en-US"/>
        </w:rPr>
        <w:t>and cannot affect</w:t>
      </w:r>
      <w:r w:rsidR="0067704D">
        <w:rPr>
          <w:lang w:val="en-US"/>
        </w:rPr>
        <w:t xml:space="preserve"> the majority judgment</w:t>
      </w:r>
      <w:r w:rsidR="00133822">
        <w:rPr>
          <w:lang w:val="en-US"/>
        </w:rPr>
        <w:t>.</w:t>
      </w:r>
    </w:p>
    <w:p w14:paraId="7964B549" w14:textId="77777777" w:rsidR="00034A5B" w:rsidRDefault="00034A5B" w:rsidP="004F30C6">
      <w:pPr>
        <w:pStyle w:val="JUDGMENTCONTINUED"/>
        <w:rPr>
          <w:lang w:val="en-US"/>
        </w:rPr>
      </w:pPr>
    </w:p>
    <w:p w14:paraId="278BAFA0" w14:textId="77777777" w:rsidR="00034A5B" w:rsidRPr="00034A5B" w:rsidRDefault="00034A5B" w:rsidP="00435766">
      <w:pPr>
        <w:pStyle w:val="JUDGMENTNUMBERED"/>
        <w:ind w:left="0" w:firstLine="0"/>
        <w:rPr>
          <w:lang w:val="en-US"/>
        </w:rPr>
      </w:pPr>
      <w:r>
        <w:rPr>
          <w:lang w:val="en-US"/>
        </w:rPr>
        <w:t>What must I make of these submissions?</w:t>
      </w:r>
    </w:p>
    <w:p w14:paraId="34DD5B93" w14:textId="77777777" w:rsidR="0098336F" w:rsidRPr="00133822" w:rsidRDefault="0098336F" w:rsidP="00435766">
      <w:pPr>
        <w:pStyle w:val="JUDGMENTCONTINUED"/>
        <w:rPr>
          <w:lang w:val="en-US"/>
        </w:rPr>
      </w:pPr>
    </w:p>
    <w:p w14:paraId="2B0EF710" w14:textId="77777777" w:rsidR="00133822" w:rsidRDefault="00034A5B" w:rsidP="00133822">
      <w:pPr>
        <w:pStyle w:val="JUDGMENTNUMBERED"/>
        <w:ind w:left="0" w:firstLine="0"/>
        <w:rPr>
          <w:lang w:val="en-US"/>
        </w:rPr>
      </w:pPr>
      <w:r>
        <w:rPr>
          <w:lang w:val="en-US"/>
        </w:rPr>
        <w:t xml:space="preserve">The application does warrant direct access.  </w:t>
      </w:r>
      <w:r w:rsidR="00F72253" w:rsidRPr="005279AF">
        <w:rPr>
          <w:i/>
          <w:iCs/>
          <w:lang w:val="en-US"/>
        </w:rPr>
        <w:t>Zuma</w:t>
      </w:r>
      <w:r w:rsidR="00F72253">
        <w:rPr>
          <w:i/>
          <w:iCs/>
          <w:lang w:val="en-US"/>
        </w:rPr>
        <w:t xml:space="preserve"> </w:t>
      </w:r>
      <w:r w:rsidR="00F72253">
        <w:rPr>
          <w:lang w:val="en-US"/>
        </w:rPr>
        <w:t xml:space="preserve">tells us that it would be inappropriate for any other </w:t>
      </w:r>
      <w:r w:rsidR="00A11EC7">
        <w:rPr>
          <w:lang w:val="en-US"/>
        </w:rPr>
        <w:t>c</w:t>
      </w:r>
      <w:r w:rsidR="00F72253">
        <w:rPr>
          <w:lang w:val="en-US"/>
        </w:rPr>
        <w:t>ourt to entertain an application in terms of rule</w:t>
      </w:r>
      <w:r w:rsidR="00782DB1">
        <w:rPr>
          <w:lang w:val="en-US"/>
        </w:rPr>
        <w:t> </w:t>
      </w:r>
      <w:r w:rsidR="00F72253">
        <w:rPr>
          <w:lang w:val="en-US"/>
        </w:rPr>
        <w:t>42</w:t>
      </w:r>
      <w:r w:rsidR="005279AF">
        <w:rPr>
          <w:lang w:val="en-US"/>
        </w:rPr>
        <w:t xml:space="preserve"> pertaining </w:t>
      </w:r>
      <w:r w:rsidR="00C728C2">
        <w:rPr>
          <w:lang w:val="en-US"/>
        </w:rPr>
        <w:t xml:space="preserve">to </w:t>
      </w:r>
      <w:r w:rsidR="005279AF">
        <w:rPr>
          <w:lang w:val="en-US"/>
        </w:rPr>
        <w:t>an order made by this Court</w:t>
      </w:r>
      <w:r w:rsidR="00F72253">
        <w:rPr>
          <w:lang w:val="en-US"/>
        </w:rPr>
        <w:t>.</w:t>
      </w:r>
      <w:r w:rsidRPr="00265BD8">
        <w:rPr>
          <w:rStyle w:val="FootnoteReference"/>
          <w:iCs/>
          <w:lang w:val="en-US"/>
        </w:rPr>
        <w:footnoteReference w:id="8"/>
      </w:r>
    </w:p>
    <w:p w14:paraId="7828E06C" w14:textId="77777777" w:rsidR="00133822" w:rsidRPr="00133822" w:rsidRDefault="00133822" w:rsidP="00133822">
      <w:pPr>
        <w:pStyle w:val="JUDGMENTCONTINUED"/>
        <w:rPr>
          <w:lang w:val="en-US"/>
        </w:rPr>
      </w:pPr>
    </w:p>
    <w:p w14:paraId="5336979A" w14:textId="77777777" w:rsidR="00007298" w:rsidRDefault="00B55DD9" w:rsidP="00F72253">
      <w:pPr>
        <w:pStyle w:val="JUDGMENTNUMBERED"/>
        <w:ind w:left="0" w:firstLine="0"/>
        <w:rPr>
          <w:lang w:val="en-US"/>
        </w:rPr>
      </w:pPr>
      <w:r>
        <w:rPr>
          <w:lang w:val="en-US"/>
        </w:rPr>
        <w:t>Coming to</w:t>
      </w:r>
      <w:r w:rsidR="00F72253" w:rsidRPr="00F72253">
        <w:rPr>
          <w:lang w:val="en-US"/>
        </w:rPr>
        <w:t xml:space="preserve"> the merits,</w:t>
      </w:r>
      <w:r w:rsidR="00007298">
        <w:rPr>
          <w:lang w:val="en-US"/>
        </w:rPr>
        <w:t xml:space="preserve"> the </w:t>
      </w:r>
      <w:r>
        <w:rPr>
          <w:lang w:val="en-US"/>
        </w:rPr>
        <w:t>springboard of this application</w:t>
      </w:r>
      <w:r w:rsidR="00007298">
        <w:rPr>
          <w:lang w:val="en-US"/>
        </w:rPr>
        <w:t xml:space="preserve"> is the perceived confusion caused by the content of footnote 28 of the minority judgment.  The majority judgment opens by clearly stating what it agrees with in the minority judgment.</w:t>
      </w:r>
      <w:r w:rsidR="00007298">
        <w:rPr>
          <w:rStyle w:val="FootnoteReference"/>
          <w:lang w:val="en-US"/>
        </w:rPr>
        <w:footnoteReference w:id="9"/>
      </w:r>
      <w:r w:rsidR="00007298">
        <w:rPr>
          <w:lang w:val="en-US"/>
        </w:rPr>
        <w:t xml:space="preserve">  That does not</w:t>
      </w:r>
      <w:r>
        <w:rPr>
          <w:lang w:val="en-US"/>
        </w:rPr>
        <w:t xml:space="preserve"> include the content</w:t>
      </w:r>
      <w:r w:rsidR="00007298">
        <w:rPr>
          <w:lang w:val="en-US"/>
        </w:rPr>
        <w:t xml:space="preserve"> </w:t>
      </w:r>
      <w:r w:rsidR="00DB464C">
        <w:rPr>
          <w:lang w:val="en-US"/>
        </w:rPr>
        <w:t xml:space="preserve">of </w:t>
      </w:r>
      <w:r w:rsidR="00007298">
        <w:rPr>
          <w:lang w:val="en-US"/>
        </w:rPr>
        <w:t xml:space="preserve">footnote 28.  In any event, a minority judgment is just that.  Unless parts of it have been adopted either expressly or impliedly, I do not understand how it can affect the meaning of an order granted by the majority.  The footnote has certainly not been adopted expressly.  Nor do I see a basis for an argument that it has been adopted impliedly.  </w:t>
      </w:r>
      <w:r w:rsidR="00026B77">
        <w:rPr>
          <w:lang w:val="en-US"/>
        </w:rPr>
        <w:t>It is worth noting that</w:t>
      </w:r>
      <w:r w:rsidR="00007298">
        <w:rPr>
          <w:lang w:val="en-US"/>
        </w:rPr>
        <w:t xml:space="preserve"> the Minister says the majority judgment is “silent” on the content of the footnote.</w:t>
      </w:r>
      <w:r w:rsidR="000B76AA">
        <w:rPr>
          <w:lang w:val="en-US"/>
        </w:rPr>
        <w:t xml:space="preserve">  There is no basis whatsoever for suggesting that the majority judgment adopted the content of footnote 28 of the minority judgment.</w:t>
      </w:r>
      <w:r w:rsidR="00026B77">
        <w:rPr>
          <w:lang w:val="en-US"/>
        </w:rPr>
        <w:t xml:space="preserve">  Therefore, the footnote could not have given rise to any confusion in this Court’s order.</w:t>
      </w:r>
    </w:p>
    <w:p w14:paraId="7062DF43" w14:textId="77777777" w:rsidR="00007298" w:rsidRDefault="00007298" w:rsidP="00435766">
      <w:pPr>
        <w:pStyle w:val="JUDGMENTCONTINUED"/>
        <w:rPr>
          <w:lang w:val="en-US"/>
        </w:rPr>
      </w:pPr>
    </w:p>
    <w:p w14:paraId="1C1BF1E5" w14:textId="77777777" w:rsidR="00A040E9" w:rsidRDefault="00026B77" w:rsidP="00F72253">
      <w:pPr>
        <w:pStyle w:val="JUDGMENTNUMBERED"/>
        <w:ind w:left="0" w:firstLine="0"/>
        <w:rPr>
          <w:lang w:val="en-US"/>
        </w:rPr>
      </w:pPr>
      <w:r>
        <w:rPr>
          <w:lang w:val="en-US"/>
        </w:rPr>
        <w:t>Crucially, the Minister is aware of the import of section 18(1) of the Superior</w:t>
      </w:r>
      <w:r w:rsidR="00A11EC7">
        <w:rPr>
          <w:lang w:val="en-US"/>
        </w:rPr>
        <w:t> </w:t>
      </w:r>
      <w:r>
        <w:rPr>
          <w:lang w:val="en-US"/>
        </w:rPr>
        <w:t>Courts Act.  He says</w:t>
      </w:r>
      <w:r w:rsidR="00E37612">
        <w:rPr>
          <w:lang w:val="en-US"/>
        </w:rPr>
        <w:t xml:space="preserve"> </w:t>
      </w:r>
      <w:r w:rsidR="00E37612" w:rsidRPr="00B22DDF">
        <w:t xml:space="preserve">in terms of </w:t>
      </w:r>
      <w:r w:rsidR="00E37612">
        <w:t xml:space="preserve">this </w:t>
      </w:r>
      <w:r w:rsidR="00E37612" w:rsidRPr="00B22DDF">
        <w:t>section</w:t>
      </w:r>
      <w:r w:rsidR="00E37612">
        <w:t xml:space="preserve"> </w:t>
      </w:r>
      <w:r w:rsidR="00E37612" w:rsidRPr="00B22DDF">
        <w:t>the operation of the order of the Supreme</w:t>
      </w:r>
      <w:r w:rsidR="00E37612">
        <w:t> </w:t>
      </w:r>
      <w:r w:rsidR="00E37612" w:rsidRPr="00B22DDF">
        <w:t xml:space="preserve">Court of Appeal was suspended from the date the Minister lodged </w:t>
      </w:r>
      <w:r w:rsidR="00E37612">
        <w:t>an</w:t>
      </w:r>
      <w:r w:rsidR="00E37612" w:rsidRPr="00B22DDF">
        <w:t xml:space="preserve"> application for leave to appeal to this Court on 23</w:t>
      </w:r>
      <w:r w:rsidR="00E37612">
        <w:t> November 2020.  T</w:t>
      </w:r>
      <w:r w:rsidR="00034A5B">
        <w:rPr>
          <w:lang w:val="en-US"/>
        </w:rPr>
        <w:t>he law is, and has always been, clear on the</w:t>
      </w:r>
      <w:r w:rsidR="00A040E9">
        <w:rPr>
          <w:lang w:val="en-US"/>
        </w:rPr>
        <w:t xml:space="preserve"> issue</w:t>
      </w:r>
      <w:r w:rsidR="00034A5B">
        <w:rPr>
          <w:lang w:val="en-US"/>
        </w:rPr>
        <w:t xml:space="preserve">.  </w:t>
      </w:r>
      <w:r w:rsidR="00A040E9">
        <w:rPr>
          <w:lang w:val="en-US"/>
        </w:rPr>
        <w:t xml:space="preserve">In </w:t>
      </w:r>
      <w:proofErr w:type="spellStart"/>
      <w:r w:rsidR="00A040E9">
        <w:rPr>
          <w:i/>
          <w:lang w:val="en-US"/>
        </w:rPr>
        <w:t>Ntlemeza</w:t>
      </w:r>
      <w:proofErr w:type="spellEnd"/>
      <w:r w:rsidR="00956045">
        <w:rPr>
          <w:lang w:val="en-US"/>
        </w:rPr>
        <w:t xml:space="preserve"> the Supreme Court of A</w:t>
      </w:r>
      <w:r w:rsidR="00A040E9">
        <w:rPr>
          <w:lang w:val="en-US"/>
        </w:rPr>
        <w:t xml:space="preserve">ppeal traces the </w:t>
      </w:r>
      <w:r w:rsidR="00A040E9">
        <w:rPr>
          <w:lang w:val="en-US"/>
        </w:rPr>
        <w:lastRenderedPageBreak/>
        <w:t>law from the common law position before any statutory intervention.</w:t>
      </w:r>
      <w:r w:rsidR="00A040E9">
        <w:rPr>
          <w:rStyle w:val="FootnoteReference"/>
          <w:lang w:val="en-US"/>
        </w:rPr>
        <w:footnoteReference w:id="10"/>
      </w:r>
      <w:r w:rsidR="00A040E9">
        <w:rPr>
          <w:lang w:val="en-US"/>
        </w:rPr>
        <w:t xml:space="preserve">  It quotes </w:t>
      </w:r>
      <w:r w:rsidR="00A040E9">
        <w:rPr>
          <w:i/>
          <w:lang w:val="en-US"/>
        </w:rPr>
        <w:t>South Cape Corporation</w:t>
      </w:r>
      <w:r w:rsidR="00A040E9">
        <w:rPr>
          <w:lang w:val="en-US"/>
        </w:rPr>
        <w:t>, which held:</w:t>
      </w:r>
    </w:p>
    <w:p w14:paraId="771BAF09" w14:textId="77777777" w:rsidR="00A040E9" w:rsidRDefault="00A040E9" w:rsidP="00435766">
      <w:pPr>
        <w:pStyle w:val="QUOTATION"/>
        <w:rPr>
          <w:lang w:val="en-US"/>
        </w:rPr>
      </w:pPr>
    </w:p>
    <w:p w14:paraId="7C16EC18" w14:textId="77777777" w:rsidR="00A040E9" w:rsidRPr="004F30C6" w:rsidRDefault="00A040E9" w:rsidP="00A61B13">
      <w:pPr>
        <w:pStyle w:val="QUOTATION"/>
        <w:rPr>
          <w:lang w:val="en-US"/>
        </w:rPr>
      </w:pPr>
      <w:r w:rsidRPr="004F30C6">
        <w:rPr>
          <w:lang w:val="en-US"/>
        </w:rPr>
        <w:t>“</w:t>
      </w:r>
      <w:r w:rsidRPr="004F30C6">
        <w:rPr>
          <w:shd w:val="clear" w:color="auto" w:fill="FFFFFF"/>
        </w:rPr>
        <w:t xml:space="preserve">Whatever the true position may have been in the Dutch Courts, and more particularly the Court of Holland . . . it is today the accepted common law rule of practice . . . that generally the execution of a judgment is automatically suspended upon the noting of an appeal, with the result that, pending the appeal, the judgment cannot be carried out and no effect can be given thereto, except with the leave of the court which granted the judgment. </w:t>
      </w:r>
      <w:r w:rsidR="00E37612">
        <w:rPr>
          <w:shd w:val="clear" w:color="auto" w:fill="FFFFFF"/>
        </w:rPr>
        <w:t xml:space="preserve"> </w:t>
      </w:r>
      <w:r w:rsidRPr="004F30C6">
        <w:rPr>
          <w:shd w:val="clear" w:color="auto" w:fill="FFFFFF"/>
        </w:rPr>
        <w:t xml:space="preserve">To obtain such leave the party in whose favour the judgment was given must make special application . . . </w:t>
      </w:r>
      <w:r w:rsidR="008C71BF">
        <w:rPr>
          <w:shd w:val="clear" w:color="auto" w:fill="FFFFFF"/>
        </w:rPr>
        <w:t xml:space="preserve">. </w:t>
      </w:r>
      <w:r w:rsidR="00E37612">
        <w:rPr>
          <w:shd w:val="clear" w:color="auto" w:fill="FFFFFF"/>
        </w:rPr>
        <w:t xml:space="preserve"> </w:t>
      </w:r>
      <w:r w:rsidRPr="004F30C6">
        <w:rPr>
          <w:shd w:val="clear" w:color="auto" w:fill="FFFFFF"/>
        </w:rPr>
        <w:t>The purpose of this rule as to the suspension of a judgment on the noting of an appeal is to prevent irreparable damage from being done to the intending appellant, either by levy under a writ of execution or by execution of the judgment in any other manner appropriate to the nature of the judgment appealed from</w:t>
      </w:r>
      <w:r w:rsidRPr="004F30C6">
        <w:rPr>
          <w:lang w:val="en-US"/>
        </w:rPr>
        <w:t>.”</w:t>
      </w:r>
      <w:r>
        <w:rPr>
          <w:rStyle w:val="FootnoteReference"/>
          <w:lang w:val="en-US"/>
        </w:rPr>
        <w:footnoteReference w:id="11"/>
      </w:r>
    </w:p>
    <w:p w14:paraId="166C506E" w14:textId="77777777" w:rsidR="00A040E9" w:rsidRDefault="00A040E9" w:rsidP="00435766">
      <w:pPr>
        <w:pStyle w:val="JUDGMENTCONTINUED"/>
        <w:rPr>
          <w:lang w:val="en-US"/>
        </w:rPr>
      </w:pPr>
    </w:p>
    <w:p w14:paraId="54563B3D" w14:textId="77777777" w:rsidR="008F1344" w:rsidRDefault="008F1344" w:rsidP="00F72253">
      <w:pPr>
        <w:pStyle w:val="JUDGMENTNUMBERED"/>
        <w:ind w:left="0" w:firstLine="0"/>
        <w:rPr>
          <w:lang w:val="en-US"/>
        </w:rPr>
      </w:pPr>
      <w:r>
        <w:rPr>
          <w:lang w:val="en-US"/>
        </w:rPr>
        <w:t>Plainly, execution of a judgment means giving effect to the judgment.  And reference to “execution of the judgment in any other man</w:t>
      </w:r>
      <w:r w:rsidR="00E37612">
        <w:rPr>
          <w:lang w:val="en-US"/>
        </w:rPr>
        <w:t>ner</w:t>
      </w:r>
      <w:r>
        <w:rPr>
          <w:lang w:val="en-US"/>
        </w:rPr>
        <w:t xml:space="preserve"> </w:t>
      </w:r>
      <w:r w:rsidRPr="004F30C6">
        <w:rPr>
          <w:i/>
          <w:lang w:val="en-US"/>
        </w:rPr>
        <w:t>appropriate to the nature of the judgment</w:t>
      </w:r>
      <w:r>
        <w:rPr>
          <w:lang w:val="en-US"/>
        </w:rPr>
        <w:t xml:space="preserve"> appealed from”</w:t>
      </w:r>
      <w:r>
        <w:rPr>
          <w:rStyle w:val="FootnoteReference"/>
          <w:lang w:val="en-US"/>
        </w:rPr>
        <w:footnoteReference w:id="12"/>
      </w:r>
      <w:r>
        <w:rPr>
          <w:lang w:val="en-US"/>
        </w:rPr>
        <w:t xml:space="preserve"> gives a wide meaning to the word “execution”.  We should not be led to think it relates only to </w:t>
      </w:r>
      <w:r w:rsidR="000D6C3F">
        <w:rPr>
          <w:lang w:val="en-US"/>
        </w:rPr>
        <w:t>execution under a writ of execution.  Put simply, it means giving effect to the order, whatever its nature.</w:t>
      </w:r>
      <w:r w:rsidR="001C14FF">
        <w:rPr>
          <w:lang w:val="en-US"/>
        </w:rPr>
        <w:t xml:space="preserve">  So, the suspension of the executio</w:t>
      </w:r>
      <w:r w:rsidR="001C14FF" w:rsidRPr="001C14FF">
        <w:rPr>
          <w:szCs w:val="26"/>
          <w:lang w:val="en-US"/>
        </w:rPr>
        <w:t>n of a judgment means “</w:t>
      </w:r>
      <w:r w:rsidR="001C14FF" w:rsidRPr="00435766">
        <w:rPr>
          <w:szCs w:val="26"/>
          <w:shd w:val="clear" w:color="auto" w:fill="FFFFFF"/>
        </w:rPr>
        <w:t>the judgment cannot be carried out and no effect can be given thereto</w:t>
      </w:r>
      <w:r w:rsidR="001C14FF" w:rsidRPr="00F45044">
        <w:rPr>
          <w:szCs w:val="26"/>
          <w:lang w:val="en-US"/>
        </w:rPr>
        <w:t>”.</w:t>
      </w:r>
      <w:r w:rsidR="001C14FF" w:rsidRPr="00F45044">
        <w:rPr>
          <w:rStyle w:val="FootnoteReference"/>
          <w:szCs w:val="26"/>
          <w:lang w:val="en-US"/>
        </w:rPr>
        <w:footnoteReference w:id="13"/>
      </w:r>
      <w:r w:rsidR="001C14FF" w:rsidRPr="00F45044">
        <w:rPr>
          <w:szCs w:val="26"/>
          <w:lang w:val="en-US"/>
        </w:rPr>
        <w:t xml:space="preserve">  And </w:t>
      </w:r>
      <w:r w:rsidR="001C14FF">
        <w:rPr>
          <w:szCs w:val="26"/>
          <w:lang w:val="en-US"/>
        </w:rPr>
        <w:t xml:space="preserve">that applies to whatever </w:t>
      </w:r>
      <w:r w:rsidR="0061263E">
        <w:rPr>
          <w:szCs w:val="26"/>
          <w:lang w:val="en-US"/>
        </w:rPr>
        <w:t>it is that is required to be done or has t</w:t>
      </w:r>
      <w:r w:rsidR="00C728C2">
        <w:rPr>
          <w:szCs w:val="26"/>
          <w:lang w:val="en-US"/>
        </w:rPr>
        <w:t>o take place in terms of the ju</w:t>
      </w:r>
      <w:r w:rsidR="0061263E">
        <w:rPr>
          <w:szCs w:val="26"/>
          <w:lang w:val="en-US"/>
        </w:rPr>
        <w:t>dgment.</w:t>
      </w:r>
    </w:p>
    <w:p w14:paraId="0B2B849B" w14:textId="77777777" w:rsidR="008F1344" w:rsidRDefault="008F1344" w:rsidP="00435766">
      <w:pPr>
        <w:pStyle w:val="JUDGMENTCONTINUED"/>
        <w:rPr>
          <w:lang w:val="en-US"/>
        </w:rPr>
      </w:pPr>
    </w:p>
    <w:p w14:paraId="1F8AE1F0" w14:textId="77777777" w:rsidR="000D6C3F" w:rsidRDefault="008F1344" w:rsidP="00F72253">
      <w:pPr>
        <w:pStyle w:val="JUDGMENTNUMBERED"/>
        <w:ind w:left="0" w:firstLine="0"/>
        <w:rPr>
          <w:lang w:val="en-US"/>
        </w:rPr>
      </w:pPr>
      <w:r>
        <w:rPr>
          <w:lang w:val="en-US"/>
        </w:rPr>
        <w:t>In what effectively</w:t>
      </w:r>
      <w:r w:rsidR="000D6C3F">
        <w:rPr>
          <w:lang w:val="en-US"/>
        </w:rPr>
        <w:t xml:space="preserve"> amounted to “a restatement of the common law”,</w:t>
      </w:r>
      <w:r>
        <w:rPr>
          <w:lang w:val="en-US"/>
        </w:rPr>
        <w:t xml:space="preserve"> </w:t>
      </w:r>
      <w:r w:rsidR="000D6C3F">
        <w:rPr>
          <w:lang w:val="en-US"/>
        </w:rPr>
        <w:t>r</w:t>
      </w:r>
      <w:r>
        <w:rPr>
          <w:lang w:val="en-US"/>
        </w:rPr>
        <w:t>ule</w:t>
      </w:r>
      <w:r w:rsidR="00F45044">
        <w:rPr>
          <w:lang w:val="en-US"/>
        </w:rPr>
        <w:t> </w:t>
      </w:r>
      <w:r>
        <w:rPr>
          <w:lang w:val="en-US"/>
        </w:rPr>
        <w:t>49(11) of the Uniform Rules of C</w:t>
      </w:r>
      <w:r w:rsidR="000D6C3F">
        <w:rPr>
          <w:lang w:val="en-US"/>
        </w:rPr>
        <w:t>ourt provided:</w:t>
      </w:r>
    </w:p>
    <w:p w14:paraId="2E0A6D6F" w14:textId="77777777" w:rsidR="000D6C3F" w:rsidRDefault="000D6C3F" w:rsidP="00435766">
      <w:pPr>
        <w:pStyle w:val="QUOTATION"/>
        <w:rPr>
          <w:lang w:val="en-US"/>
        </w:rPr>
      </w:pPr>
    </w:p>
    <w:p w14:paraId="61150C78" w14:textId="77777777" w:rsidR="008F1344" w:rsidRDefault="000D6C3F" w:rsidP="00A61B13">
      <w:pPr>
        <w:pStyle w:val="QUOTATION"/>
        <w:rPr>
          <w:shd w:val="clear" w:color="auto" w:fill="FFFFFF"/>
        </w:rPr>
      </w:pPr>
      <w:r w:rsidRPr="004F30C6">
        <w:rPr>
          <w:lang w:val="en-US"/>
        </w:rPr>
        <w:t>“</w:t>
      </w:r>
      <w:r w:rsidRPr="004F30C6">
        <w:rPr>
          <w:shd w:val="clear" w:color="auto" w:fill="FFFFFF"/>
        </w:rPr>
        <w:t xml:space="preserve">Where an appeal has been noted or an application for leave to appeal against or to rescind, correct, review or vary an order of a court has been made, the operation and </w:t>
      </w:r>
      <w:r w:rsidRPr="004F30C6">
        <w:rPr>
          <w:shd w:val="clear" w:color="auto" w:fill="FFFFFF"/>
        </w:rPr>
        <w:lastRenderedPageBreak/>
        <w:t>execution of the order in question shall be suspended, pending the decision of such appeal or application, unless the court which gave such order, on the application of a party, otherwise directs.”</w:t>
      </w:r>
    </w:p>
    <w:p w14:paraId="7F8C4CEE" w14:textId="77777777" w:rsidR="000D6C3F" w:rsidRDefault="000D6C3F" w:rsidP="004F30C6">
      <w:pPr>
        <w:pStyle w:val="JUDGMENTCONTINUED"/>
      </w:pPr>
    </w:p>
    <w:p w14:paraId="44703189" w14:textId="77777777" w:rsidR="000D6C3F" w:rsidRPr="004F30C6" w:rsidRDefault="000D6C3F" w:rsidP="004F30C6">
      <w:pPr>
        <w:pStyle w:val="JUDGMENTNUMBERED"/>
        <w:numPr>
          <w:ilvl w:val="0"/>
          <w:numId w:val="0"/>
        </w:numPr>
      </w:pPr>
      <w:r>
        <w:t xml:space="preserve">This rule </w:t>
      </w:r>
      <w:r w:rsidR="00215A18">
        <w:t>has since been</w:t>
      </w:r>
      <w:r>
        <w:t xml:space="preserve"> repealed.</w:t>
      </w:r>
      <w:r>
        <w:rPr>
          <w:rStyle w:val="FootnoteReference"/>
        </w:rPr>
        <w:footnoteReference w:id="14"/>
      </w:r>
    </w:p>
    <w:p w14:paraId="1F291DFA" w14:textId="77777777" w:rsidR="008F1344" w:rsidRDefault="008F1344" w:rsidP="00A61B13">
      <w:pPr>
        <w:pStyle w:val="JUDGMENTCONTINUED"/>
        <w:rPr>
          <w:lang w:val="en-US"/>
        </w:rPr>
      </w:pPr>
    </w:p>
    <w:p w14:paraId="076FC50F" w14:textId="77777777" w:rsidR="006A0DD8" w:rsidRDefault="006A0DD8" w:rsidP="00F72253">
      <w:pPr>
        <w:pStyle w:val="JUDGMENTNUMBERED"/>
        <w:ind w:left="0" w:firstLine="0"/>
        <w:rPr>
          <w:lang w:val="en-US"/>
        </w:rPr>
      </w:pPr>
      <w:r>
        <w:rPr>
          <w:lang w:val="en-US"/>
        </w:rPr>
        <w:t>The position is now governed by section 18(1) of the Superior Courts Act.  This section provides:</w:t>
      </w:r>
    </w:p>
    <w:p w14:paraId="65E77DA1" w14:textId="77777777" w:rsidR="006A0DD8" w:rsidRDefault="006A0DD8" w:rsidP="00435766">
      <w:pPr>
        <w:pStyle w:val="QUOTATION"/>
        <w:rPr>
          <w:lang w:val="en-US"/>
        </w:rPr>
      </w:pPr>
    </w:p>
    <w:p w14:paraId="7CCB77A1" w14:textId="77777777" w:rsidR="006A0DD8" w:rsidRPr="00435766" w:rsidRDefault="006A0DD8" w:rsidP="00435766">
      <w:pPr>
        <w:pStyle w:val="QUOTATION"/>
      </w:pPr>
      <w:r w:rsidRPr="00435766">
        <w:t>“Subject to subsections (2) and (3), and unless the court under exceptional circumstances orders otherwise, the operation and execution of a decision which is the subject of an application for leave to appeal or of an appeal, is suspended pending the decision of the application or appeal.”</w:t>
      </w:r>
      <w:r w:rsidR="006247C2" w:rsidRPr="00435766">
        <w:rPr>
          <w:rStyle w:val="FootnoteReference"/>
        </w:rPr>
        <w:footnoteReference w:id="15"/>
      </w:r>
    </w:p>
    <w:p w14:paraId="24B95C24" w14:textId="77777777" w:rsidR="006A0DD8" w:rsidRPr="006A0DD8" w:rsidRDefault="006A0DD8" w:rsidP="004F30C6">
      <w:pPr>
        <w:pStyle w:val="JUDGMENTCONTINUED"/>
        <w:rPr>
          <w:lang w:val="en-US"/>
        </w:rPr>
      </w:pPr>
    </w:p>
    <w:p w14:paraId="7610A645" w14:textId="77777777" w:rsidR="006A0DD8" w:rsidRDefault="006A0DD8" w:rsidP="004F30C6">
      <w:pPr>
        <w:pStyle w:val="JUDGMENTNUMBERED"/>
        <w:numPr>
          <w:ilvl w:val="0"/>
          <w:numId w:val="0"/>
        </w:numPr>
        <w:rPr>
          <w:lang w:val="en-US"/>
        </w:rPr>
      </w:pPr>
      <w:r>
        <w:rPr>
          <w:lang w:val="en-US"/>
        </w:rPr>
        <w:t xml:space="preserve">This too is in line with the common law position </w:t>
      </w:r>
      <w:r w:rsidR="00D00A14">
        <w:rPr>
          <w:lang w:val="en-US"/>
        </w:rPr>
        <w:t>which</w:t>
      </w:r>
      <w:r w:rsidR="006247C2">
        <w:rPr>
          <w:lang w:val="en-US"/>
        </w:rPr>
        <w:t xml:space="preserve"> </w:t>
      </w:r>
      <w:r>
        <w:rPr>
          <w:lang w:val="en-US"/>
        </w:rPr>
        <w:t>has already been explained.</w:t>
      </w:r>
      <w:r w:rsidR="0061263E">
        <w:rPr>
          <w:lang w:val="en-US"/>
        </w:rPr>
        <w:t xml:space="preserve">  And “operation” which the section couples with “execution” (“operation and execution”) does not alter the legal position sta</w:t>
      </w:r>
      <w:r w:rsidR="00824A66">
        <w:rPr>
          <w:lang w:val="en-US"/>
        </w:rPr>
        <w:t>ted above.</w:t>
      </w:r>
    </w:p>
    <w:p w14:paraId="77C7930F" w14:textId="77777777" w:rsidR="006A0DD8" w:rsidRDefault="006A0DD8" w:rsidP="004F30C6">
      <w:pPr>
        <w:pStyle w:val="JUDGMENTCONTINUED"/>
        <w:rPr>
          <w:lang w:val="en-US"/>
        </w:rPr>
      </w:pPr>
    </w:p>
    <w:p w14:paraId="3E61992A" w14:textId="69C0251C" w:rsidR="00AA5AE0" w:rsidRDefault="00D0236E" w:rsidP="004F30C6">
      <w:pPr>
        <w:pStyle w:val="JUDGMENTNUMBERED"/>
        <w:ind w:left="0" w:firstLine="0"/>
        <w:rPr>
          <w:szCs w:val="26"/>
          <w:lang w:val="en-US"/>
        </w:rPr>
      </w:pPr>
      <w:r>
        <w:rPr>
          <w:lang w:val="en-US"/>
        </w:rPr>
        <w:t>Based on this clear statuto</w:t>
      </w:r>
      <w:r w:rsidR="00D00A14">
        <w:rPr>
          <w:lang w:val="en-US"/>
        </w:rPr>
        <w:t>ry position, the operation and execution of the</w:t>
      </w:r>
      <w:r>
        <w:rPr>
          <w:lang w:val="en-US"/>
        </w:rPr>
        <w:t xml:space="preserve"> order of the Supreme Court of Appeal was halted.  In practical terms, what happened immediately after that order was granted was that the countdown on the 12</w:t>
      </w:r>
      <w:r w:rsidR="008E097C">
        <w:rPr>
          <w:lang w:val="en-US"/>
        </w:rPr>
        <w:noBreakHyphen/>
      </w:r>
      <w:r>
        <w:rPr>
          <w:lang w:val="en-US"/>
        </w:rPr>
        <w:t xml:space="preserve">month period of suspension began.  But the countdown </w:t>
      </w:r>
      <w:r w:rsidR="00A61B13">
        <w:rPr>
          <w:lang w:val="en-US"/>
        </w:rPr>
        <w:t xml:space="preserve">was halted on the </w:t>
      </w:r>
      <w:r w:rsidR="00A61B13" w:rsidRPr="00AE71FD">
        <w:rPr>
          <w:lang w:val="en-US"/>
        </w:rPr>
        <w:t>21st day</w:t>
      </w:r>
      <w:r w:rsidR="00A61B13">
        <w:rPr>
          <w:lang w:val="en-US"/>
        </w:rPr>
        <w:t xml:space="preserve"> by the lodgment of the application for leave to appeal in this Court.</w:t>
      </w:r>
      <w:r>
        <w:rPr>
          <w:rStyle w:val="FootnoteReference"/>
          <w:lang w:val="en-US"/>
        </w:rPr>
        <w:footnoteReference w:id="16"/>
      </w:r>
      <w:r w:rsidR="001C14FF">
        <w:rPr>
          <w:lang w:val="en-US"/>
        </w:rPr>
        <w:t xml:space="preserve">  Because section</w:t>
      </w:r>
      <w:r w:rsidR="00A61B13">
        <w:rPr>
          <w:lang w:val="en-US"/>
        </w:rPr>
        <w:t> </w:t>
      </w:r>
      <w:r w:rsidR="001C14FF" w:rsidRPr="00824A66">
        <w:rPr>
          <w:szCs w:val="26"/>
          <w:lang w:val="en-US"/>
        </w:rPr>
        <w:t xml:space="preserve">18(1) suspends </w:t>
      </w:r>
      <w:r w:rsidR="00824A66" w:rsidRPr="00824A66">
        <w:rPr>
          <w:szCs w:val="26"/>
          <w:lang w:val="en-US"/>
        </w:rPr>
        <w:t>the operation and execution</w:t>
      </w:r>
      <w:r w:rsidR="00824A66">
        <w:rPr>
          <w:szCs w:val="26"/>
          <w:lang w:val="en-US"/>
        </w:rPr>
        <w:t xml:space="preserve"> of a judgment</w:t>
      </w:r>
      <w:r w:rsidR="00824A66" w:rsidRPr="00824A66">
        <w:rPr>
          <w:szCs w:val="26"/>
          <w:lang w:val="en-US"/>
        </w:rPr>
        <w:t xml:space="preserve"> </w:t>
      </w:r>
      <w:r w:rsidR="00824A66" w:rsidRPr="00F45044">
        <w:rPr>
          <w:szCs w:val="26"/>
          <w:lang w:val="en-US"/>
        </w:rPr>
        <w:t>“</w:t>
      </w:r>
      <w:r w:rsidR="00824A66" w:rsidRPr="00435766">
        <w:rPr>
          <w:szCs w:val="26"/>
          <w:shd w:val="clear" w:color="auto" w:fill="FFFFFF"/>
        </w:rPr>
        <w:t xml:space="preserve">pending the decision of the </w:t>
      </w:r>
      <w:r w:rsidR="00824A66" w:rsidRPr="00435766">
        <w:rPr>
          <w:szCs w:val="26"/>
          <w:shd w:val="clear" w:color="auto" w:fill="FFFFFF"/>
        </w:rPr>
        <w:lastRenderedPageBreak/>
        <w:t>application [for leave to appeal] or appeal</w:t>
      </w:r>
      <w:r w:rsidR="00824A66" w:rsidRPr="00F45044">
        <w:rPr>
          <w:szCs w:val="26"/>
          <w:lang w:val="en-US"/>
        </w:rPr>
        <w:t xml:space="preserve">”, </w:t>
      </w:r>
      <w:r w:rsidR="00824A66">
        <w:rPr>
          <w:szCs w:val="26"/>
          <w:lang w:val="en-US"/>
        </w:rPr>
        <w:t>the countdown resumed after this</w:t>
      </w:r>
      <w:r w:rsidR="008E097C">
        <w:rPr>
          <w:szCs w:val="26"/>
          <w:lang w:val="en-US"/>
        </w:rPr>
        <w:t> </w:t>
      </w:r>
      <w:r w:rsidR="00824A66">
        <w:rPr>
          <w:szCs w:val="26"/>
          <w:lang w:val="en-US"/>
        </w:rPr>
        <w:t>Court dismissed t</w:t>
      </w:r>
      <w:r w:rsidR="00AA5AE0">
        <w:rPr>
          <w:szCs w:val="26"/>
          <w:lang w:val="en-US"/>
        </w:rPr>
        <w:t xml:space="preserve">he appeal on 16 February 2022.  Unsurprisingly, the Minister </w:t>
      </w:r>
      <w:r w:rsidR="00AA5AE0" w:rsidRPr="00435766">
        <w:rPr>
          <w:szCs w:val="26"/>
          <w:lang w:val="en-GB"/>
        </w:rPr>
        <w:t>does realise</w:t>
      </w:r>
      <w:r w:rsidR="00AA5AE0">
        <w:rPr>
          <w:szCs w:val="26"/>
          <w:lang w:val="en-US"/>
        </w:rPr>
        <w:t xml:space="preserve"> that this is how the order ought to be interpreted.</w:t>
      </w:r>
      <w:r w:rsidR="00001E76">
        <w:rPr>
          <w:szCs w:val="26"/>
          <w:lang w:val="en-US"/>
        </w:rPr>
        <w:t xml:space="preserve"> </w:t>
      </w:r>
      <w:r w:rsidR="00A11EC7">
        <w:rPr>
          <w:szCs w:val="26"/>
          <w:lang w:val="en-US"/>
        </w:rPr>
        <w:t xml:space="preserve"> </w:t>
      </w:r>
      <w:r w:rsidR="00001E76">
        <w:rPr>
          <w:szCs w:val="26"/>
          <w:lang w:val="en-US"/>
        </w:rPr>
        <w:t>He says he is seeking confirmation that</w:t>
      </w:r>
      <w:r w:rsidR="001F43A7" w:rsidRPr="00303ECC">
        <w:rPr>
          <w:szCs w:val="26"/>
        </w:rPr>
        <w:t>—</w:t>
      </w:r>
    </w:p>
    <w:p w14:paraId="413DBDB2" w14:textId="77777777" w:rsidR="00001E76" w:rsidRDefault="00001E76" w:rsidP="00435766">
      <w:pPr>
        <w:pStyle w:val="QUOTATION"/>
        <w:rPr>
          <w:lang w:val="en-US"/>
        </w:rPr>
      </w:pPr>
    </w:p>
    <w:p w14:paraId="78A31C8B" w14:textId="77777777" w:rsidR="001F43A7" w:rsidRDefault="00001E76" w:rsidP="00A61B13">
      <w:pPr>
        <w:pStyle w:val="QUOTATION"/>
        <w:rPr>
          <w:lang w:val="en-US"/>
        </w:rPr>
      </w:pPr>
      <w:r>
        <w:rPr>
          <w:lang w:val="en-US"/>
        </w:rPr>
        <w:t>“</w:t>
      </w:r>
      <w:r w:rsidR="001F43A7">
        <w:rPr>
          <w:lang w:val="en-US"/>
        </w:rPr>
        <w:t>the [Supreme Court of Appeal’s] order as a whole was suspended when the Mi</w:t>
      </w:r>
      <w:r w:rsidR="000A1155">
        <w:rPr>
          <w:lang w:val="en-US"/>
        </w:rPr>
        <w:t>ni</w:t>
      </w:r>
      <w:r w:rsidR="001F43A7">
        <w:rPr>
          <w:lang w:val="en-US"/>
        </w:rPr>
        <w:t xml:space="preserve">ster applied for leave </w:t>
      </w:r>
      <w:r w:rsidR="000A1155">
        <w:rPr>
          <w:lang w:val="en-US"/>
        </w:rPr>
        <w:t>to appeal to this Court; that the order of suspension by the [Supreme</w:t>
      </w:r>
      <w:r w:rsidR="008C71BF">
        <w:rPr>
          <w:lang w:val="en-US"/>
        </w:rPr>
        <w:t> </w:t>
      </w:r>
      <w:r w:rsidR="000A1155">
        <w:rPr>
          <w:lang w:val="en-US"/>
        </w:rPr>
        <w:t xml:space="preserve">Court of Appeal], once suspended by the application for leave to appeal, did not take effect until this Court </w:t>
      </w:r>
      <w:r w:rsidR="00CE4804">
        <w:rPr>
          <w:lang w:val="en-US"/>
        </w:rPr>
        <w:t>dismissed the Minister’s appeal; and that the declaration of invalidity as ordered by the [Supreme Court of Appeal] remains suspended and the period of suspension commenced running again after this Court dismissed the Minister’s appeal on 16 February 2022.”</w:t>
      </w:r>
    </w:p>
    <w:p w14:paraId="248AFA42" w14:textId="77777777" w:rsidR="000A1155" w:rsidRDefault="000A1155" w:rsidP="000A1155">
      <w:pPr>
        <w:pStyle w:val="JUDGMENTCONTINUED"/>
        <w:rPr>
          <w:lang w:val="en-US"/>
        </w:rPr>
      </w:pPr>
    </w:p>
    <w:p w14:paraId="02AF6FE6" w14:textId="127180A3" w:rsidR="000A1155" w:rsidRPr="000A1155" w:rsidRDefault="00E27E6E" w:rsidP="00E27E6E">
      <w:pPr>
        <w:pStyle w:val="JUDGMENTNUMBERED"/>
        <w:numPr>
          <w:ilvl w:val="0"/>
          <w:numId w:val="0"/>
        </w:numPr>
        <w:rPr>
          <w:lang w:val="en-US"/>
        </w:rPr>
      </w:pPr>
      <w:r>
        <w:rPr>
          <w:lang w:val="en-US"/>
        </w:rPr>
        <w:t>F</w:t>
      </w:r>
      <w:r w:rsidR="000A1155">
        <w:rPr>
          <w:lang w:val="en-US"/>
        </w:rPr>
        <w:t xml:space="preserve">or the reasons I have given, there </w:t>
      </w:r>
      <w:r>
        <w:rPr>
          <w:lang w:val="en-US"/>
        </w:rPr>
        <w:t>is</w:t>
      </w:r>
      <w:r w:rsidR="000A1155">
        <w:rPr>
          <w:lang w:val="en-US"/>
        </w:rPr>
        <w:t xml:space="preserve"> no need for this </w:t>
      </w:r>
      <w:r>
        <w:rPr>
          <w:lang w:val="en-US"/>
        </w:rPr>
        <w:t xml:space="preserve">clear legal position </w:t>
      </w:r>
      <w:r w:rsidR="000A1155">
        <w:rPr>
          <w:lang w:val="en-US"/>
        </w:rPr>
        <w:t>to be confirmed.</w:t>
      </w:r>
    </w:p>
    <w:p w14:paraId="1F648DB1" w14:textId="77777777" w:rsidR="00AA5AE0" w:rsidRPr="00AA5AE0" w:rsidRDefault="00AA5AE0" w:rsidP="00AA5AE0">
      <w:pPr>
        <w:pStyle w:val="JUDGMENTNUMBERED"/>
        <w:numPr>
          <w:ilvl w:val="0"/>
          <w:numId w:val="0"/>
        </w:numPr>
        <w:rPr>
          <w:lang w:val="en-US"/>
        </w:rPr>
      </w:pPr>
    </w:p>
    <w:p w14:paraId="6F9C8F8C" w14:textId="766772B6" w:rsidR="006A0DD8" w:rsidRDefault="00407233" w:rsidP="004F30C6">
      <w:pPr>
        <w:pStyle w:val="JUDGMENTNUMBERED"/>
        <w:ind w:left="0" w:firstLine="0"/>
        <w:rPr>
          <w:lang w:val="en-US"/>
        </w:rPr>
      </w:pPr>
      <w:r>
        <w:rPr>
          <w:szCs w:val="26"/>
          <w:lang w:val="en-US"/>
        </w:rPr>
        <w:t>A</w:t>
      </w:r>
      <w:r w:rsidR="001F43A7">
        <w:rPr>
          <w:szCs w:val="26"/>
          <w:lang w:val="en-US"/>
        </w:rPr>
        <w:t xml:space="preserve">s at 16 </w:t>
      </w:r>
      <w:r w:rsidR="00AA5AE0">
        <w:rPr>
          <w:szCs w:val="26"/>
          <w:lang w:val="en-US"/>
        </w:rPr>
        <w:t>February 2022</w:t>
      </w:r>
      <w:r w:rsidR="00824A66">
        <w:rPr>
          <w:szCs w:val="26"/>
          <w:lang w:val="en-US"/>
        </w:rPr>
        <w:t>,</w:t>
      </w:r>
      <w:r>
        <w:rPr>
          <w:szCs w:val="26"/>
          <w:lang w:val="en-US"/>
        </w:rPr>
        <w:t xml:space="preserve"> of the 12-month period of suspension, </w:t>
      </w:r>
      <w:r w:rsidR="00A61B13">
        <w:rPr>
          <w:szCs w:val="26"/>
          <w:lang w:val="en-US"/>
        </w:rPr>
        <w:t xml:space="preserve">less </w:t>
      </w:r>
      <w:r w:rsidR="00AE71FD">
        <w:rPr>
          <w:szCs w:val="26"/>
          <w:lang w:val="en-US"/>
        </w:rPr>
        <w:t xml:space="preserve">than </w:t>
      </w:r>
      <w:r w:rsidR="00A61B13" w:rsidRPr="008E097C">
        <w:t>a</w:t>
      </w:r>
      <w:r w:rsidR="008E097C">
        <w:t> </w:t>
      </w:r>
      <w:r w:rsidR="00A61B13" w:rsidRPr="008E097C">
        <w:t>month</w:t>
      </w:r>
      <w:r w:rsidR="00A61B13">
        <w:rPr>
          <w:szCs w:val="26"/>
          <w:lang w:val="en-US"/>
        </w:rPr>
        <w:t xml:space="preserve"> had elapsed</w:t>
      </w:r>
      <w:r w:rsidR="00824A66">
        <w:rPr>
          <w:szCs w:val="26"/>
          <w:lang w:val="en-US"/>
        </w:rPr>
        <w:t>.</w:t>
      </w:r>
    </w:p>
    <w:p w14:paraId="643BF34E" w14:textId="77777777" w:rsidR="00D0236E" w:rsidRPr="00D0236E" w:rsidRDefault="00D0236E" w:rsidP="004F30C6">
      <w:pPr>
        <w:pStyle w:val="JUDGMENTCONTINUED"/>
        <w:rPr>
          <w:lang w:val="en-US"/>
        </w:rPr>
      </w:pPr>
    </w:p>
    <w:p w14:paraId="6AF1E481" w14:textId="77777777" w:rsidR="006A0DD8" w:rsidRDefault="00B34CCB" w:rsidP="004F30C6">
      <w:pPr>
        <w:pStyle w:val="JUDGMENTNUMBERED"/>
        <w:ind w:left="0" w:firstLine="0"/>
        <w:rPr>
          <w:lang w:val="en-US"/>
        </w:rPr>
      </w:pPr>
      <w:r>
        <w:rPr>
          <w:lang w:val="en-US"/>
        </w:rPr>
        <w:t>With the legal position as plain as it is, I do not understand how the confusion</w:t>
      </w:r>
      <w:r w:rsidR="00FC1D7D">
        <w:rPr>
          <w:lang w:val="en-US"/>
        </w:rPr>
        <w:t xml:space="preserve"> we hear about from </w:t>
      </w:r>
      <w:r>
        <w:rPr>
          <w:lang w:val="en-US"/>
        </w:rPr>
        <w:t xml:space="preserve">the </w:t>
      </w:r>
      <w:r w:rsidR="00231ABD">
        <w:rPr>
          <w:lang w:val="en-US"/>
        </w:rPr>
        <w:t>Minister</w:t>
      </w:r>
      <w:r w:rsidR="008C34D3">
        <w:rPr>
          <w:lang w:val="en-US"/>
        </w:rPr>
        <w:t xml:space="preserve"> </w:t>
      </w:r>
      <w:r>
        <w:rPr>
          <w:lang w:val="en-US"/>
        </w:rPr>
        <w:t>could have arisen.</w:t>
      </w:r>
      <w:r w:rsidR="00407233">
        <w:rPr>
          <w:lang w:val="en-US"/>
        </w:rPr>
        <w:t xml:space="preserve">  It could have arisen </w:t>
      </w:r>
      <w:r w:rsidR="00FC1D7D">
        <w:rPr>
          <w:lang w:val="en-US"/>
        </w:rPr>
        <w:t xml:space="preserve">only </w:t>
      </w:r>
      <w:r w:rsidR="00407233">
        <w:rPr>
          <w:lang w:val="en-US"/>
        </w:rPr>
        <w:t>if the</w:t>
      </w:r>
      <w:r w:rsidR="000F7114">
        <w:rPr>
          <w:lang w:val="en-US"/>
        </w:rPr>
        <w:t> </w:t>
      </w:r>
      <w:r w:rsidR="00407233">
        <w:rPr>
          <w:lang w:val="en-US"/>
        </w:rPr>
        <w:t>Minister and the interest groups to which he refers</w:t>
      </w:r>
      <w:r w:rsidR="00FC1D7D">
        <w:rPr>
          <w:lang w:val="en-US"/>
        </w:rPr>
        <w:t xml:space="preserve"> interpreted the order </w:t>
      </w:r>
      <w:r>
        <w:rPr>
          <w:lang w:val="en-US"/>
        </w:rPr>
        <w:t xml:space="preserve">without due regard to the law; that is, </w:t>
      </w:r>
      <w:r w:rsidR="00C728C2">
        <w:rPr>
          <w:lang w:val="en-US"/>
        </w:rPr>
        <w:t xml:space="preserve">the provisions of </w:t>
      </w:r>
      <w:r>
        <w:rPr>
          <w:lang w:val="en-US"/>
        </w:rPr>
        <w:t>section 18(1).  Of course, there is no justification for interpreting the order in a vacuum.</w:t>
      </w:r>
    </w:p>
    <w:p w14:paraId="5CD81BA7" w14:textId="77777777" w:rsidR="00FC1D7D" w:rsidRDefault="00FC1D7D" w:rsidP="00FC1D7D">
      <w:pPr>
        <w:pStyle w:val="JUDGMENTCONTINUED"/>
        <w:rPr>
          <w:lang w:val="en-US"/>
        </w:rPr>
      </w:pPr>
    </w:p>
    <w:p w14:paraId="69A9B9FF" w14:textId="77777777" w:rsidR="00FC1D7D" w:rsidRPr="00FC1D7D" w:rsidRDefault="00FC1D7D" w:rsidP="00FC1D7D">
      <w:pPr>
        <w:pStyle w:val="JUDGMENTNUMBERED"/>
        <w:ind w:left="0" w:firstLine="0"/>
        <w:rPr>
          <w:lang w:val="en-US"/>
        </w:rPr>
      </w:pPr>
      <w:r>
        <w:rPr>
          <w:lang w:val="en-US"/>
        </w:rPr>
        <w:t>In sum, there is no substance in the Minister</w:t>
      </w:r>
      <w:r w:rsidR="004A0942">
        <w:rPr>
          <w:lang w:val="en-US"/>
        </w:rPr>
        <w:t>’s submissions.</w:t>
      </w:r>
    </w:p>
    <w:p w14:paraId="2F514DCB" w14:textId="77777777" w:rsidR="00B34CCB" w:rsidRPr="00B34CCB" w:rsidRDefault="00B34CCB" w:rsidP="004F30C6">
      <w:pPr>
        <w:pStyle w:val="JUDGMENTCONTINUED"/>
        <w:rPr>
          <w:lang w:val="en-US"/>
        </w:rPr>
      </w:pPr>
    </w:p>
    <w:p w14:paraId="5D223CA3" w14:textId="57672CC6" w:rsidR="006A0DD8" w:rsidRPr="00007298" w:rsidRDefault="001E4162" w:rsidP="00007298">
      <w:pPr>
        <w:pStyle w:val="JUDGMENTNUMBERED"/>
        <w:ind w:left="0" w:firstLine="0"/>
      </w:pPr>
      <w:r>
        <w:rPr>
          <w:lang w:val="en-US"/>
        </w:rPr>
        <w:t>The Director-General of the National Treasury, who is the deponent to the</w:t>
      </w:r>
      <w:r w:rsidR="008E097C">
        <w:rPr>
          <w:lang w:val="en-US"/>
        </w:rPr>
        <w:t> </w:t>
      </w:r>
      <w:r>
        <w:rPr>
          <w:lang w:val="en-US"/>
        </w:rPr>
        <w:t xml:space="preserve">Minister’s </w:t>
      </w:r>
      <w:r w:rsidR="000F7114">
        <w:rPr>
          <w:lang w:val="en-US"/>
        </w:rPr>
        <w:t>founding</w:t>
      </w:r>
      <w:r w:rsidR="001F4419">
        <w:rPr>
          <w:lang w:val="en-US"/>
        </w:rPr>
        <w:t xml:space="preserve"> </w:t>
      </w:r>
      <w:r w:rsidR="00E42A99">
        <w:rPr>
          <w:lang w:val="en-US"/>
        </w:rPr>
        <w:t>affidavit, informs this</w:t>
      </w:r>
      <w:r>
        <w:rPr>
          <w:lang w:val="en-US"/>
        </w:rPr>
        <w:t xml:space="preserve"> Court that subsequent to the dismissal of the appeal and as a result of the perceived problem with the order, he sent out a communication</w:t>
      </w:r>
      <w:r w:rsidR="00ED742B">
        <w:rPr>
          <w:lang w:val="en-US"/>
        </w:rPr>
        <w:t>,</w:t>
      </w:r>
      <w:r>
        <w:rPr>
          <w:lang w:val="en-US"/>
        </w:rPr>
        <w:t xml:space="preserve"> the effect of which was to halt government procure</w:t>
      </w:r>
      <w:r w:rsidR="00E42A99">
        <w:rPr>
          <w:lang w:val="en-US"/>
        </w:rPr>
        <w:t xml:space="preserve">ment pending the </w:t>
      </w:r>
      <w:r w:rsidR="00E42A99">
        <w:rPr>
          <w:lang w:val="en-US"/>
        </w:rPr>
        <w:lastRenderedPageBreak/>
        <w:t>outcome of the present</w:t>
      </w:r>
      <w:r>
        <w:rPr>
          <w:lang w:val="en-US"/>
        </w:rPr>
        <w:t xml:space="preserve"> application.</w:t>
      </w:r>
      <w:r w:rsidRPr="001E4162">
        <w:rPr>
          <w:lang w:val="en-US"/>
        </w:rPr>
        <w:t xml:space="preserve">  </w:t>
      </w:r>
      <w:r>
        <w:rPr>
          <w:lang w:val="en-US"/>
        </w:rPr>
        <w:t>Obviously, this</w:t>
      </w:r>
      <w:r w:rsidR="00231ABD" w:rsidRPr="001E4162">
        <w:rPr>
          <w:lang w:val="en-US"/>
        </w:rPr>
        <w:t xml:space="preserve"> decision </w:t>
      </w:r>
      <w:r>
        <w:rPr>
          <w:lang w:val="en-US"/>
        </w:rPr>
        <w:t>wa</w:t>
      </w:r>
      <w:r w:rsidR="00231ABD" w:rsidRPr="001E4162">
        <w:rPr>
          <w:lang w:val="en-US"/>
        </w:rPr>
        <w:t xml:space="preserve">s the result of </w:t>
      </w:r>
      <w:r>
        <w:rPr>
          <w:lang w:val="en-US"/>
        </w:rPr>
        <w:t>a</w:t>
      </w:r>
      <w:r w:rsidR="00231ABD" w:rsidRPr="001E4162">
        <w:rPr>
          <w:lang w:val="en-US"/>
        </w:rPr>
        <w:t xml:space="preserve"> misunderstanding of the law.  It has nothing to do with the order of this Court.</w:t>
      </w:r>
    </w:p>
    <w:p w14:paraId="057D1588" w14:textId="77777777" w:rsidR="007E5980" w:rsidRPr="007E5980" w:rsidRDefault="007E5980" w:rsidP="004F30C6">
      <w:pPr>
        <w:pStyle w:val="JUDGMENTCONTINUED"/>
        <w:rPr>
          <w:lang w:val="en-US"/>
        </w:rPr>
      </w:pPr>
    </w:p>
    <w:p w14:paraId="2AAFAD7E" w14:textId="77777777" w:rsidR="006A0DD8" w:rsidRDefault="00E42A99" w:rsidP="00F72253">
      <w:pPr>
        <w:pStyle w:val="JUDGMENTNUMBERED"/>
        <w:ind w:left="0" w:firstLine="0"/>
        <w:rPr>
          <w:lang w:val="en-US"/>
        </w:rPr>
      </w:pPr>
      <w:r>
        <w:rPr>
          <w:lang w:val="en-US"/>
        </w:rPr>
        <w:t>T</w:t>
      </w:r>
      <w:r w:rsidR="00763AB4">
        <w:rPr>
          <w:lang w:val="en-US"/>
        </w:rPr>
        <w:t xml:space="preserve">he Minister sought </w:t>
      </w:r>
      <w:r w:rsidR="00AD7694">
        <w:rPr>
          <w:lang w:val="en-US"/>
        </w:rPr>
        <w:t>several</w:t>
      </w:r>
      <w:r w:rsidR="00763AB4">
        <w:rPr>
          <w:lang w:val="en-US"/>
        </w:rPr>
        <w:t xml:space="preserve"> alternative remedies</w:t>
      </w:r>
      <w:r>
        <w:rPr>
          <w:lang w:val="en-US"/>
        </w:rPr>
        <w:t xml:space="preserve"> in the event of the variation order prayed for not being</w:t>
      </w:r>
      <w:r w:rsidR="007C2D4A">
        <w:rPr>
          <w:lang w:val="en-US"/>
        </w:rPr>
        <w:t xml:space="preserve"> granted</w:t>
      </w:r>
      <w:r w:rsidR="00763AB4">
        <w:rPr>
          <w:lang w:val="en-US"/>
        </w:rPr>
        <w:t>.</w:t>
      </w:r>
      <w:r w:rsidR="00763AB4">
        <w:rPr>
          <w:rStyle w:val="FootnoteReference"/>
          <w:lang w:val="en-US"/>
        </w:rPr>
        <w:footnoteReference w:id="17"/>
      </w:r>
      <w:r w:rsidR="00AD7694">
        <w:rPr>
          <w:lang w:val="en-US"/>
        </w:rPr>
        <w:t xml:space="preserve">  </w:t>
      </w:r>
      <w:r w:rsidR="007C2D4A">
        <w:rPr>
          <w:lang w:val="en-US"/>
        </w:rPr>
        <w:t>T</w:t>
      </w:r>
      <w:r w:rsidR="00763AB4">
        <w:rPr>
          <w:lang w:val="en-US"/>
        </w:rPr>
        <w:t>he springboard for all the relief sought</w:t>
      </w:r>
      <w:r w:rsidR="007C0BCD">
        <w:rPr>
          <w:lang w:val="en-US"/>
        </w:rPr>
        <w:t> </w:t>
      </w:r>
      <w:r w:rsidR="00763AB4">
        <w:rPr>
          <w:lang w:val="en-US"/>
        </w:rPr>
        <w:t>–</w:t>
      </w:r>
      <w:r w:rsidR="00F45044">
        <w:rPr>
          <w:lang w:val="en-US"/>
        </w:rPr>
        <w:t> </w:t>
      </w:r>
      <w:r w:rsidR="00763AB4">
        <w:rPr>
          <w:lang w:val="en-US"/>
        </w:rPr>
        <w:t>main</w:t>
      </w:r>
      <w:r w:rsidR="00F45044">
        <w:rPr>
          <w:lang w:val="en-US"/>
        </w:rPr>
        <w:t> </w:t>
      </w:r>
      <w:r w:rsidR="00763AB4">
        <w:rPr>
          <w:lang w:val="en-US"/>
        </w:rPr>
        <w:t xml:space="preserve">and alternative – is the idea that there is something wrong with this Court’s order.  Well, there is not.  That must mean the alternative relief must </w:t>
      </w:r>
      <w:r w:rsidR="00AD7694">
        <w:rPr>
          <w:lang w:val="en-US"/>
        </w:rPr>
        <w:t xml:space="preserve">also </w:t>
      </w:r>
      <w:r w:rsidR="00763AB4">
        <w:rPr>
          <w:lang w:val="en-US"/>
        </w:rPr>
        <w:t>fail.</w:t>
      </w:r>
    </w:p>
    <w:p w14:paraId="309F7F42" w14:textId="77777777" w:rsidR="006A0DD8" w:rsidRDefault="006A0DD8" w:rsidP="00435766">
      <w:pPr>
        <w:pStyle w:val="JUDGMENTCONTINUED"/>
        <w:rPr>
          <w:lang w:val="en-US"/>
        </w:rPr>
      </w:pPr>
    </w:p>
    <w:p w14:paraId="71E1E190" w14:textId="77777777" w:rsidR="004F30C6" w:rsidRDefault="004F30C6" w:rsidP="00435766">
      <w:pPr>
        <w:pStyle w:val="HEADING"/>
        <w:rPr>
          <w:lang w:val="en-US"/>
        </w:rPr>
      </w:pPr>
      <w:r>
        <w:rPr>
          <w:lang w:val="en-US"/>
        </w:rPr>
        <w:t>Order</w:t>
      </w:r>
    </w:p>
    <w:p w14:paraId="0197424F" w14:textId="77777777" w:rsidR="004A0942" w:rsidRPr="004A0942" w:rsidRDefault="004A0942" w:rsidP="00A61B13">
      <w:pPr>
        <w:pStyle w:val="JUDGMENTNUMBERED"/>
        <w:spacing w:after="120"/>
        <w:rPr>
          <w:lang w:val="en-US"/>
        </w:rPr>
      </w:pPr>
      <w:r>
        <w:rPr>
          <w:lang w:val="en-US"/>
        </w:rPr>
        <w:t>Consequently, the following order is made:</w:t>
      </w:r>
    </w:p>
    <w:p w14:paraId="22D780E1" w14:textId="2760B479" w:rsidR="000F7114" w:rsidRDefault="000F7114" w:rsidP="00A61B13">
      <w:pPr>
        <w:pStyle w:val="ORDER"/>
        <w:rPr>
          <w:lang w:val="en-US"/>
        </w:rPr>
      </w:pPr>
      <w:r>
        <w:rPr>
          <w:lang w:val="en-US"/>
        </w:rPr>
        <w:t>T</w:t>
      </w:r>
      <w:r w:rsidRPr="00F45044">
        <w:rPr>
          <w:lang w:val="en-US"/>
        </w:rPr>
        <w:t>he application is dismissed with costs,</w:t>
      </w:r>
      <w:r w:rsidR="00AE71FD">
        <w:rPr>
          <w:lang w:val="en-US"/>
        </w:rPr>
        <w:t xml:space="preserve"> including costs of two counsel</w:t>
      </w:r>
      <w:r w:rsidR="00D260FD">
        <w:rPr>
          <w:lang w:val="en-US"/>
        </w:rPr>
        <w:t>.</w:t>
      </w:r>
    </w:p>
    <w:p w14:paraId="407809B6" w14:textId="77777777" w:rsidR="00AE71FD" w:rsidRPr="00264015" w:rsidRDefault="00AE71FD" w:rsidP="00A61B13">
      <w:pPr>
        <w:pStyle w:val="ORDER"/>
        <w:rPr>
          <w:lang w:val="en-US"/>
        </w:rPr>
      </w:pPr>
    </w:p>
    <w:p w14:paraId="58196584" w14:textId="77777777" w:rsidR="00550267" w:rsidRPr="00AE71FD" w:rsidRDefault="00550267" w:rsidP="00AE71FD">
      <w:pPr>
        <w:pStyle w:val="JUDGMENTNUMBERED"/>
        <w:rPr>
          <w:lang w:val="en-US"/>
        </w:rPr>
        <w:sectPr w:rsidR="00550267" w:rsidRPr="00AE71FD" w:rsidSect="000F7521">
          <w:headerReference w:type="default" r:id="rId10"/>
          <w:type w:val="continuous"/>
          <w:pgSz w:w="11907" w:h="16839" w:code="9"/>
          <w:pgMar w:top="1440" w:right="1440" w:bottom="1440" w:left="1440" w:header="708" w:footer="708" w:gutter="0"/>
          <w:cols w:space="708"/>
          <w:titlePg/>
          <w:docGrid w:linePitch="360"/>
        </w:sectPr>
      </w:pPr>
    </w:p>
    <w:p w14:paraId="61586BBE" w14:textId="77777777" w:rsidR="00236F9A" w:rsidRPr="009C3888" w:rsidRDefault="00236F9A" w:rsidP="00860C4E">
      <w:pPr>
        <w:sectPr w:rsidR="00236F9A" w:rsidRPr="009C3888" w:rsidSect="001A05D2">
          <w:headerReference w:type="default" r:id="rId11"/>
          <w:footerReference w:type="default" r:id="rId12"/>
          <w:pgSz w:w="11907" w:h="16839" w:code="9"/>
          <w:pgMar w:top="1440" w:right="1440" w:bottom="1440" w:left="1440" w:header="708" w:footer="708" w:gutter="0"/>
          <w:pgNumType w:start="1"/>
          <w:cols w:space="708"/>
          <w:docGrid w:linePitch="360"/>
        </w:sectPr>
      </w:pPr>
    </w:p>
    <w:p w14:paraId="182A3C5B" w14:textId="77777777" w:rsidR="00CC158D" w:rsidRPr="009C3888" w:rsidRDefault="00860C4E" w:rsidP="00CC158D">
      <w:pPr>
        <w:pStyle w:val="COUNSELDETAILS"/>
      </w:pPr>
      <w:r w:rsidRPr="009C3888">
        <w:t>For the Applicant:</w:t>
      </w:r>
    </w:p>
    <w:p w14:paraId="275A2ADA" w14:textId="77777777" w:rsidR="00860C4E" w:rsidRPr="009C3888" w:rsidRDefault="00860C4E" w:rsidP="001A05D2">
      <w:pPr>
        <w:pStyle w:val="COUNSELDETAILS"/>
      </w:pPr>
    </w:p>
    <w:p w14:paraId="492AC516" w14:textId="77777777" w:rsidR="00860C4E" w:rsidRPr="009C3888" w:rsidRDefault="00860C4E" w:rsidP="001A05D2">
      <w:pPr>
        <w:pStyle w:val="COUNSELDETAILS"/>
      </w:pPr>
    </w:p>
    <w:p w14:paraId="08D7B94F" w14:textId="77777777" w:rsidR="00CB01A5" w:rsidRDefault="00CB01A5" w:rsidP="001A05D2">
      <w:pPr>
        <w:pStyle w:val="COUNSELDETAILS"/>
      </w:pPr>
    </w:p>
    <w:p w14:paraId="56ECB6C8" w14:textId="77777777" w:rsidR="00860C4E" w:rsidRPr="009C3888" w:rsidRDefault="00860C4E" w:rsidP="00CC158D">
      <w:pPr>
        <w:pStyle w:val="COUNSELDETAILS"/>
      </w:pPr>
      <w:r w:rsidRPr="009C3888">
        <w:t xml:space="preserve">For the </w:t>
      </w:r>
      <w:r w:rsidR="00134498">
        <w:t xml:space="preserve">First </w:t>
      </w:r>
      <w:r w:rsidRPr="009C3888">
        <w:t>Respondent:</w:t>
      </w:r>
    </w:p>
    <w:p w14:paraId="522D0181" w14:textId="77777777" w:rsidR="00860C4E" w:rsidRPr="009C3888" w:rsidRDefault="00860C4E" w:rsidP="00CC158D">
      <w:pPr>
        <w:pStyle w:val="COUNSELDETAILS"/>
      </w:pPr>
    </w:p>
    <w:p w14:paraId="239F8C74" w14:textId="77777777" w:rsidR="00860C4E" w:rsidRPr="009C3888" w:rsidRDefault="00860C4E" w:rsidP="00CC158D">
      <w:pPr>
        <w:pStyle w:val="COUNSELDETAILS"/>
      </w:pPr>
    </w:p>
    <w:p w14:paraId="3ADC08C5" w14:textId="77777777" w:rsidR="00F45044" w:rsidRDefault="00236F9A" w:rsidP="001A05D2">
      <w:pPr>
        <w:pStyle w:val="COUNSELDETAILS"/>
      </w:pPr>
      <w:r w:rsidRPr="009C3888">
        <w:br w:type="column"/>
      </w:r>
      <w:r w:rsidR="00F45044" w:rsidRPr="00435766">
        <w:t xml:space="preserve">N </w:t>
      </w:r>
      <w:proofErr w:type="spellStart"/>
      <w:r w:rsidR="00F45044" w:rsidRPr="00435766">
        <w:t>Maenetje</w:t>
      </w:r>
      <w:proofErr w:type="spellEnd"/>
      <w:r w:rsidR="00F45044" w:rsidRPr="00435766">
        <w:t xml:space="preserve"> SC and M Stubbs</w:t>
      </w:r>
      <w:r w:rsidR="00F45044">
        <w:t xml:space="preserve"> instructed by the State Attorney, Pretoria</w:t>
      </w:r>
    </w:p>
    <w:p w14:paraId="2649441C" w14:textId="77777777" w:rsidR="00CB01A5" w:rsidRDefault="00CB01A5" w:rsidP="00CC158D">
      <w:pPr>
        <w:pStyle w:val="COUNSELDETAILS"/>
      </w:pPr>
    </w:p>
    <w:p w14:paraId="63C6B824" w14:textId="77777777" w:rsidR="00134498" w:rsidRPr="009C3888" w:rsidRDefault="00134498" w:rsidP="00CC158D">
      <w:pPr>
        <w:pStyle w:val="COUNSELDETAILS"/>
      </w:pPr>
    </w:p>
    <w:p w14:paraId="59933257" w14:textId="77777777" w:rsidR="00FF5547" w:rsidRDefault="00F45044" w:rsidP="00CC158D">
      <w:pPr>
        <w:pStyle w:val="COUNSELDETAILS"/>
      </w:pPr>
      <w:r w:rsidRPr="00435766">
        <w:t>T Strydom SC and J</w:t>
      </w:r>
      <w:r w:rsidR="00264015">
        <w:t xml:space="preserve"> </w:t>
      </w:r>
      <w:r w:rsidRPr="00435766">
        <w:t xml:space="preserve">P </w:t>
      </w:r>
      <w:proofErr w:type="spellStart"/>
      <w:r w:rsidRPr="00435766">
        <w:t>Slabbert</w:t>
      </w:r>
      <w:proofErr w:type="spellEnd"/>
      <w:r>
        <w:t xml:space="preserve"> instructed by </w:t>
      </w:r>
      <w:proofErr w:type="spellStart"/>
      <w:r>
        <w:t>Kriek</w:t>
      </w:r>
      <w:proofErr w:type="spellEnd"/>
      <w:r>
        <w:t xml:space="preserve"> Wassenaar and Venter Incorporated</w:t>
      </w:r>
    </w:p>
    <w:p w14:paraId="7EFF17B5" w14:textId="77777777" w:rsidR="00860C4E" w:rsidRPr="009C3888" w:rsidRDefault="00860C4E" w:rsidP="00CC158D">
      <w:pPr>
        <w:pStyle w:val="COUNSELDETAILS"/>
      </w:pPr>
    </w:p>
    <w:sectPr w:rsidR="00860C4E" w:rsidRPr="009C3888" w:rsidSect="009559B5">
      <w:headerReference w:type="default" r:id="rId13"/>
      <w:footerReference w:type="default" r:id="rId14"/>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7F22" w14:textId="77777777" w:rsidR="00B50247" w:rsidRDefault="00B50247" w:rsidP="00E4607C">
      <w:pPr>
        <w:spacing w:line="240" w:lineRule="auto"/>
      </w:pPr>
      <w:r>
        <w:separator/>
      </w:r>
    </w:p>
  </w:endnote>
  <w:endnote w:type="continuationSeparator" w:id="0">
    <w:p w14:paraId="7ACE15FF" w14:textId="77777777" w:rsidR="00B50247" w:rsidRDefault="00B50247" w:rsidP="00E4607C">
      <w:pPr>
        <w:spacing w:line="240" w:lineRule="auto"/>
      </w:pPr>
      <w:r>
        <w:continuationSeparator/>
      </w:r>
    </w:p>
  </w:endnote>
  <w:endnote w:type="continuationNotice" w:id="1">
    <w:p w14:paraId="5182F737" w14:textId="77777777" w:rsidR="00B50247" w:rsidRDefault="00B502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D292" w14:textId="77777777" w:rsidR="00D0236E" w:rsidRDefault="00D0236E" w:rsidP="0087217E">
    <w:pPr>
      <w:pStyle w:val="Footer"/>
      <w:jc w:val="center"/>
    </w:pPr>
    <w:r>
      <w:fldChar w:fldCharType="begin"/>
    </w:r>
    <w:r>
      <w:instrText xml:space="preserve"> PAGE   \* MERGEFORMAT </w:instrText>
    </w:r>
    <w:r>
      <w:fldChar w:fldCharType="separate"/>
    </w:r>
    <w:r w:rsidR="00D15827">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13F2" w14:textId="77777777" w:rsidR="00D0236E" w:rsidRDefault="00D0236E" w:rsidP="00DE15D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794F" w14:textId="77777777" w:rsidR="00D0236E" w:rsidRDefault="00D0236E" w:rsidP="008721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2A31" w14:textId="77777777" w:rsidR="00B50247" w:rsidRDefault="00B50247" w:rsidP="00E4607C">
      <w:pPr>
        <w:spacing w:line="240" w:lineRule="auto"/>
      </w:pPr>
      <w:r>
        <w:separator/>
      </w:r>
    </w:p>
  </w:footnote>
  <w:footnote w:type="continuationSeparator" w:id="0">
    <w:p w14:paraId="053FBDB3" w14:textId="77777777" w:rsidR="00B50247" w:rsidRDefault="00B50247" w:rsidP="00E4607C">
      <w:pPr>
        <w:spacing w:line="240" w:lineRule="auto"/>
      </w:pPr>
      <w:r>
        <w:continuationSeparator/>
      </w:r>
    </w:p>
  </w:footnote>
  <w:footnote w:type="continuationNotice" w:id="1">
    <w:p w14:paraId="05142F23" w14:textId="77777777" w:rsidR="00B50247" w:rsidRDefault="00B50247">
      <w:pPr>
        <w:spacing w:line="240" w:lineRule="auto"/>
      </w:pPr>
    </w:p>
  </w:footnote>
  <w:footnote w:id="2">
    <w:p w14:paraId="5A2D3525" w14:textId="77777777" w:rsidR="00B01952" w:rsidRPr="00F45044" w:rsidRDefault="00B01952" w:rsidP="00B01952">
      <w:pPr>
        <w:pStyle w:val="FootnoteText"/>
        <w:rPr>
          <w:lang w:val="en-GB"/>
        </w:rPr>
      </w:pPr>
      <w:r w:rsidRPr="00F45044">
        <w:rPr>
          <w:rStyle w:val="FootnoteReference"/>
        </w:rPr>
        <w:footnoteRef/>
      </w:r>
      <w:r w:rsidRPr="00F45044">
        <w:t xml:space="preserve"> </w:t>
      </w:r>
      <w:r w:rsidRPr="00F45044">
        <w:rPr>
          <w:i/>
        </w:rPr>
        <w:t xml:space="preserve">Minister of Finance v </w:t>
      </w:r>
      <w:proofErr w:type="spellStart"/>
      <w:r w:rsidRPr="00F45044">
        <w:rPr>
          <w:i/>
        </w:rPr>
        <w:t>Afribusiness</w:t>
      </w:r>
      <w:proofErr w:type="spellEnd"/>
      <w:r w:rsidRPr="00F45044">
        <w:t xml:space="preserve"> [2022] ZACC 4</w:t>
      </w:r>
      <w:r w:rsidR="009B506E">
        <w:t xml:space="preserve">; [2022] JOL 52147 (CC) </w:t>
      </w:r>
      <w:r w:rsidR="00F45044" w:rsidRPr="00F45044">
        <w:t>(</w:t>
      </w:r>
      <w:proofErr w:type="spellStart"/>
      <w:r w:rsidR="00F45044" w:rsidRPr="00F45044">
        <w:rPr>
          <w:i/>
          <w:iCs/>
        </w:rPr>
        <w:t>Afribusiness</w:t>
      </w:r>
      <w:proofErr w:type="spellEnd"/>
      <w:r w:rsidR="00F45044" w:rsidRPr="00F45044">
        <w:t>)</w:t>
      </w:r>
      <w:r w:rsidRPr="00F45044">
        <w:t>.</w:t>
      </w:r>
    </w:p>
  </w:footnote>
  <w:footnote w:id="3">
    <w:p w14:paraId="135CA529" w14:textId="77777777" w:rsidR="00D0236E" w:rsidRPr="004F30C6" w:rsidRDefault="00D0236E">
      <w:pPr>
        <w:pStyle w:val="FootnoteText"/>
        <w:rPr>
          <w:color w:val="242121"/>
          <w:sz w:val="27"/>
          <w:szCs w:val="27"/>
          <w:shd w:val="clear" w:color="auto" w:fill="FFFFFF"/>
          <w:lang w:val="en-US"/>
        </w:rPr>
      </w:pPr>
      <w:r w:rsidRPr="00F45044">
        <w:rPr>
          <w:rStyle w:val="FootnoteReference"/>
        </w:rPr>
        <w:footnoteRef/>
      </w:r>
      <w:r w:rsidRPr="00F45044">
        <w:rPr>
          <w:szCs w:val="20"/>
        </w:rPr>
        <w:t xml:space="preserve"> </w:t>
      </w:r>
      <w:r w:rsidRPr="00435766">
        <w:rPr>
          <w:szCs w:val="20"/>
          <w:shd w:val="clear" w:color="auto" w:fill="FFFFFF"/>
          <w:lang w:val="en-US"/>
        </w:rPr>
        <w:t>Preferential Procurement Regulations, GN R32 </w:t>
      </w:r>
      <w:r w:rsidRPr="00435766">
        <w:rPr>
          <w:i/>
          <w:iCs/>
          <w:szCs w:val="20"/>
          <w:shd w:val="clear" w:color="auto" w:fill="FFFFFF"/>
          <w:lang w:val="en-US"/>
        </w:rPr>
        <w:t>GG</w:t>
      </w:r>
      <w:r w:rsidRPr="00435766">
        <w:rPr>
          <w:szCs w:val="20"/>
          <w:shd w:val="clear" w:color="auto" w:fill="FFFFFF"/>
          <w:lang w:val="en-US"/>
        </w:rPr>
        <w:t> 40553, 20 January 2017.</w:t>
      </w:r>
    </w:p>
  </w:footnote>
  <w:footnote w:id="4">
    <w:p w14:paraId="6438CBC4" w14:textId="77777777" w:rsidR="00D0236E" w:rsidRPr="004F30C6" w:rsidRDefault="00D0236E">
      <w:pPr>
        <w:pStyle w:val="FootnoteText"/>
        <w:rPr>
          <w:lang w:val="en-GB"/>
        </w:rPr>
      </w:pPr>
      <w:r>
        <w:rPr>
          <w:rStyle w:val="FootnoteReference"/>
        </w:rPr>
        <w:footnoteRef/>
      </w:r>
      <w:r>
        <w:t xml:space="preserve"> </w:t>
      </w:r>
      <w:r>
        <w:rPr>
          <w:lang w:val="en-GB"/>
        </w:rPr>
        <w:t>5 of 2000.</w:t>
      </w:r>
    </w:p>
  </w:footnote>
  <w:footnote w:id="5">
    <w:p w14:paraId="71EE0F0B" w14:textId="77777777" w:rsidR="00F45044" w:rsidRPr="00435766" w:rsidRDefault="00F45044">
      <w:pPr>
        <w:pStyle w:val="FootnoteText"/>
        <w:rPr>
          <w:lang w:val="en-US"/>
        </w:rPr>
      </w:pPr>
      <w:r>
        <w:rPr>
          <w:rStyle w:val="FootnoteReference"/>
        </w:rPr>
        <w:footnoteRef/>
      </w:r>
      <w:r>
        <w:t xml:space="preserve"> </w:t>
      </w:r>
      <w:proofErr w:type="spellStart"/>
      <w:r>
        <w:rPr>
          <w:i/>
          <w:iCs/>
        </w:rPr>
        <w:t>Afribusiness</w:t>
      </w:r>
      <w:proofErr w:type="spellEnd"/>
      <w:r>
        <w:rPr>
          <w:i/>
          <w:iCs/>
        </w:rPr>
        <w:t xml:space="preserve"> </w:t>
      </w:r>
      <w:r>
        <w:t xml:space="preserve">above n 1 at </w:t>
      </w:r>
      <w:proofErr w:type="spellStart"/>
      <w:r>
        <w:t>fn</w:t>
      </w:r>
      <w:proofErr w:type="spellEnd"/>
      <w:r>
        <w:t xml:space="preserve"> 28.</w:t>
      </w:r>
    </w:p>
  </w:footnote>
  <w:footnote w:id="6">
    <w:p w14:paraId="54C407F7" w14:textId="77777777" w:rsidR="00BE4AC3" w:rsidRPr="009062B2" w:rsidRDefault="00BE4AC3" w:rsidP="00BE4AC3">
      <w:pPr>
        <w:pStyle w:val="FootnoteText"/>
        <w:rPr>
          <w:lang w:val="en-US"/>
        </w:rPr>
      </w:pPr>
      <w:r>
        <w:rPr>
          <w:rStyle w:val="FootnoteReference"/>
        </w:rPr>
        <w:footnoteRef/>
      </w:r>
      <w:r>
        <w:t xml:space="preserve"> </w:t>
      </w:r>
      <w:r w:rsidRPr="00B22DDF">
        <w:t>10 of 2013</w:t>
      </w:r>
      <w:r>
        <w:t>.</w:t>
      </w:r>
    </w:p>
  </w:footnote>
  <w:footnote w:id="7">
    <w:p w14:paraId="7F726904" w14:textId="77777777" w:rsidR="00FC650D" w:rsidRPr="004F30C6" w:rsidRDefault="00FC650D" w:rsidP="00FC650D">
      <w:pPr>
        <w:pStyle w:val="FootnoteText"/>
        <w:rPr>
          <w:lang w:val="en-GB"/>
        </w:rPr>
      </w:pPr>
      <w:r>
        <w:rPr>
          <w:rStyle w:val="FootnoteReference"/>
        </w:rPr>
        <w:footnoteRef/>
      </w:r>
      <w:r>
        <w:t xml:space="preserve"> </w:t>
      </w:r>
      <w:r>
        <w:rPr>
          <w:lang w:val="en-GB"/>
        </w:rPr>
        <w:t>This Court’s order simply said: “The appeal is dismissed with costs, including the costs of two counsel.”</w:t>
      </w:r>
    </w:p>
  </w:footnote>
  <w:footnote w:id="8">
    <w:p w14:paraId="6333B9EF" w14:textId="77777777" w:rsidR="00D0236E" w:rsidRPr="005279AF" w:rsidRDefault="00D0236E" w:rsidP="00034A5B">
      <w:pPr>
        <w:pStyle w:val="FootnoteText"/>
        <w:rPr>
          <w:lang w:val="en-US"/>
        </w:rPr>
      </w:pPr>
      <w:r>
        <w:rPr>
          <w:rStyle w:val="FootnoteReference"/>
        </w:rPr>
        <w:footnoteRef/>
      </w:r>
      <w:r>
        <w:t xml:space="preserve"> </w:t>
      </w:r>
      <w:r w:rsidR="00A61B13" w:rsidRPr="005279AF">
        <w:rPr>
          <w:i/>
          <w:iCs/>
          <w:lang w:val="en-GB"/>
        </w:rPr>
        <w:t>Zuma v Secretary of the Judicial Commission of Inquiry into Allegations of State Capture, Corruption and Fraud in the Public Sector Including Organs of State</w:t>
      </w:r>
      <w:r w:rsidR="00A61B13">
        <w:rPr>
          <w:i/>
          <w:iCs/>
          <w:lang w:val="en-GB"/>
        </w:rPr>
        <w:t xml:space="preserve"> (Council for the Advancement of the South African Constitution and Democracy in Action as Amicus Curiae)</w:t>
      </w:r>
      <w:r w:rsidR="00A61B13" w:rsidRPr="005279AF">
        <w:rPr>
          <w:i/>
          <w:iCs/>
          <w:lang w:val="en-GB"/>
        </w:rPr>
        <w:t xml:space="preserve"> </w:t>
      </w:r>
      <w:r w:rsidR="00A61B13" w:rsidRPr="005279AF">
        <w:rPr>
          <w:lang w:val="en-GB"/>
        </w:rPr>
        <w:t>[2021] ZACC 28</w:t>
      </w:r>
      <w:r w:rsidR="00A61B13">
        <w:rPr>
          <w:lang w:val="en-GB"/>
        </w:rPr>
        <w:t xml:space="preserve">; 2021 JDR 2069 (CC); 2021 (11) BCLR 1263 (CC) </w:t>
      </w:r>
      <w:r>
        <w:rPr>
          <w:lang w:val="en-GB"/>
        </w:rPr>
        <w:t>at para 49.</w:t>
      </w:r>
    </w:p>
  </w:footnote>
  <w:footnote w:id="9">
    <w:p w14:paraId="5270ECDA" w14:textId="77777777" w:rsidR="00007298" w:rsidRPr="004F30C6" w:rsidRDefault="00007298" w:rsidP="00007298">
      <w:pPr>
        <w:pStyle w:val="FootnoteText"/>
        <w:rPr>
          <w:lang w:val="en-GB"/>
        </w:rPr>
      </w:pPr>
      <w:r>
        <w:rPr>
          <w:rStyle w:val="FootnoteReference"/>
        </w:rPr>
        <w:footnoteRef/>
      </w:r>
      <w:r>
        <w:t xml:space="preserve"> </w:t>
      </w:r>
      <w:proofErr w:type="spellStart"/>
      <w:r>
        <w:rPr>
          <w:i/>
          <w:lang w:val="en-GB"/>
        </w:rPr>
        <w:t>Afribusiness</w:t>
      </w:r>
      <w:proofErr w:type="spellEnd"/>
      <w:r>
        <w:rPr>
          <w:lang w:val="en-GB"/>
        </w:rPr>
        <w:t xml:space="preserve"> above n </w:t>
      </w:r>
      <w:r w:rsidR="008C71BF">
        <w:rPr>
          <w:lang w:val="en-GB"/>
        </w:rPr>
        <w:t>1</w:t>
      </w:r>
      <w:r>
        <w:rPr>
          <w:lang w:val="en-GB"/>
        </w:rPr>
        <w:t xml:space="preserve"> at para 96.</w:t>
      </w:r>
    </w:p>
  </w:footnote>
  <w:footnote w:id="10">
    <w:p w14:paraId="513B37AB" w14:textId="77777777" w:rsidR="00D0236E" w:rsidRPr="00435766" w:rsidRDefault="00D0236E" w:rsidP="00435766">
      <w:pPr>
        <w:pStyle w:val="FootnoteText1"/>
        <w:rPr>
          <w:szCs w:val="20"/>
          <w:lang w:eastAsia="en-ZA"/>
        </w:rPr>
      </w:pPr>
      <w:r>
        <w:rPr>
          <w:rStyle w:val="FootnoteReference"/>
        </w:rPr>
        <w:footnoteRef/>
      </w:r>
      <w:r>
        <w:t xml:space="preserve"> </w:t>
      </w:r>
      <w:proofErr w:type="spellStart"/>
      <w:r w:rsidRPr="004F30C6">
        <w:rPr>
          <w:i/>
          <w:lang w:eastAsia="en-ZA"/>
        </w:rPr>
        <w:t>Ntlemeza</w:t>
      </w:r>
      <w:proofErr w:type="spellEnd"/>
      <w:r w:rsidRPr="004F30C6">
        <w:rPr>
          <w:i/>
          <w:lang w:eastAsia="en-ZA"/>
        </w:rPr>
        <w:t xml:space="preserve"> v Helen </w:t>
      </w:r>
      <w:proofErr w:type="spellStart"/>
      <w:r w:rsidRPr="004F30C6">
        <w:rPr>
          <w:i/>
          <w:lang w:eastAsia="en-ZA"/>
        </w:rPr>
        <w:t>Suzman</w:t>
      </w:r>
      <w:proofErr w:type="spellEnd"/>
      <w:r w:rsidRPr="004F30C6">
        <w:rPr>
          <w:i/>
          <w:lang w:eastAsia="en-ZA"/>
        </w:rPr>
        <w:t xml:space="preserve"> Foundation</w:t>
      </w:r>
      <w:r w:rsidRPr="004F30C6">
        <w:rPr>
          <w:lang w:eastAsia="en-ZA"/>
        </w:rPr>
        <w:t xml:space="preserve"> [2017] ZASCA 93; 2017 (5) SA 402 (SCA)</w:t>
      </w:r>
      <w:r w:rsidR="00A11EC7">
        <w:rPr>
          <w:lang w:eastAsia="en-ZA"/>
        </w:rPr>
        <w:t xml:space="preserve"> at para 19</w:t>
      </w:r>
      <w:r w:rsidRPr="004F30C6">
        <w:rPr>
          <w:lang w:eastAsia="en-ZA"/>
        </w:rPr>
        <w:t>.</w:t>
      </w:r>
    </w:p>
  </w:footnote>
  <w:footnote w:id="11">
    <w:p w14:paraId="67D3781B" w14:textId="77777777" w:rsidR="00D0236E" w:rsidRPr="004F30C6" w:rsidRDefault="00D0236E">
      <w:pPr>
        <w:pStyle w:val="FootnoteText"/>
        <w:rPr>
          <w:lang w:val="en-GB"/>
        </w:rPr>
      </w:pPr>
      <w:r>
        <w:rPr>
          <w:rStyle w:val="FootnoteReference"/>
        </w:rPr>
        <w:footnoteRef/>
      </w:r>
      <w:r w:rsidRPr="00A040E9">
        <w:rPr>
          <w:szCs w:val="20"/>
        </w:rPr>
        <w:t xml:space="preserve"> </w:t>
      </w:r>
      <w:r w:rsidRPr="00D260FD">
        <w:rPr>
          <w:i/>
          <w:iCs/>
          <w:szCs w:val="20"/>
          <w:shd w:val="clear" w:color="auto" w:fill="FFFFFF"/>
        </w:rPr>
        <w:t>South Cape Corporation (Pty) Ltd v Engineering Management Services (Pty)</w:t>
      </w:r>
      <w:r w:rsidR="00F45044" w:rsidRPr="00D260FD">
        <w:rPr>
          <w:i/>
          <w:iCs/>
          <w:szCs w:val="20"/>
          <w:shd w:val="clear" w:color="auto" w:fill="FFFFFF"/>
        </w:rPr>
        <w:t xml:space="preserve"> Ltd</w:t>
      </w:r>
      <w:r w:rsidR="00F45044" w:rsidRPr="00D260FD">
        <w:rPr>
          <w:szCs w:val="20"/>
          <w:shd w:val="clear" w:color="auto" w:fill="FFFFFF"/>
        </w:rPr>
        <w:t xml:space="preserve"> </w:t>
      </w:r>
      <w:hyperlink r:id="rId1" w:tooltip="View LawCiteRecord" w:history="1">
        <w:r w:rsidRPr="00D260FD">
          <w:rPr>
            <w:bCs/>
            <w:szCs w:val="20"/>
            <w:shd w:val="clear" w:color="auto" w:fill="FFFFFF"/>
          </w:rPr>
          <w:t>1977 (3) SA 534</w:t>
        </w:r>
      </w:hyperlink>
      <w:r w:rsidR="00F45044" w:rsidRPr="00D260FD">
        <w:rPr>
          <w:szCs w:val="20"/>
          <w:shd w:val="clear" w:color="auto" w:fill="FFFFFF"/>
        </w:rPr>
        <w:t xml:space="preserve"> </w:t>
      </w:r>
      <w:r w:rsidRPr="00D260FD">
        <w:rPr>
          <w:szCs w:val="20"/>
          <w:shd w:val="clear" w:color="auto" w:fill="FFFFFF"/>
        </w:rPr>
        <w:t>(A) at 544H</w:t>
      </w:r>
      <w:r w:rsidR="00F45044" w:rsidRPr="00D260FD">
        <w:rPr>
          <w:szCs w:val="20"/>
          <w:shd w:val="clear" w:color="auto" w:fill="FFFFFF"/>
        </w:rPr>
        <w:noBreakHyphen/>
      </w:r>
      <w:r w:rsidRPr="00D260FD">
        <w:rPr>
          <w:szCs w:val="20"/>
          <w:shd w:val="clear" w:color="auto" w:fill="FFFFFF"/>
        </w:rPr>
        <w:t>545</w:t>
      </w:r>
      <w:r w:rsidR="00F45044" w:rsidRPr="00D260FD">
        <w:rPr>
          <w:szCs w:val="20"/>
          <w:shd w:val="clear" w:color="auto" w:fill="FFFFFF"/>
        </w:rPr>
        <w:t>B</w:t>
      </w:r>
      <w:r w:rsidRPr="00D260FD">
        <w:rPr>
          <w:szCs w:val="20"/>
          <w:shd w:val="clear" w:color="auto" w:fill="FFFFFF"/>
        </w:rPr>
        <w:t>.</w:t>
      </w:r>
    </w:p>
  </w:footnote>
  <w:footnote w:id="12">
    <w:p w14:paraId="36B38D9C" w14:textId="77777777" w:rsidR="00D0236E" w:rsidRPr="004F30C6" w:rsidRDefault="00D0236E">
      <w:pPr>
        <w:pStyle w:val="FootnoteText"/>
        <w:rPr>
          <w:lang w:val="en-GB"/>
        </w:rPr>
      </w:pPr>
      <w:r>
        <w:rPr>
          <w:rStyle w:val="FootnoteReference"/>
        </w:rPr>
        <w:footnoteRef/>
      </w:r>
      <w:r>
        <w:t xml:space="preserve"> </w:t>
      </w:r>
      <w:r>
        <w:rPr>
          <w:lang w:val="en-GB"/>
        </w:rPr>
        <w:t>Emphasis added.</w:t>
      </w:r>
    </w:p>
  </w:footnote>
  <w:footnote w:id="13">
    <w:p w14:paraId="214C5F6F" w14:textId="77777777" w:rsidR="001C14FF" w:rsidRPr="004F30C6" w:rsidRDefault="001C14FF" w:rsidP="001C14FF">
      <w:pPr>
        <w:pStyle w:val="FootnoteText"/>
        <w:rPr>
          <w:lang w:val="en-GB"/>
        </w:rPr>
      </w:pPr>
      <w:r>
        <w:rPr>
          <w:rStyle w:val="FootnoteReference"/>
        </w:rPr>
        <w:footnoteRef/>
      </w:r>
      <w:r>
        <w:t xml:space="preserve"> </w:t>
      </w:r>
      <w:r w:rsidRPr="00D260FD">
        <w:rPr>
          <w:i/>
          <w:iCs/>
          <w:szCs w:val="20"/>
          <w:shd w:val="clear" w:color="auto" w:fill="FFFFFF"/>
        </w:rPr>
        <w:t>South Cape Corporation</w:t>
      </w:r>
      <w:r w:rsidRPr="00D260FD">
        <w:rPr>
          <w:iCs/>
          <w:szCs w:val="20"/>
          <w:shd w:val="clear" w:color="auto" w:fill="FFFFFF"/>
        </w:rPr>
        <w:t xml:space="preserve"> </w:t>
      </w:r>
      <w:r w:rsidR="00F45044" w:rsidRPr="00D260FD">
        <w:rPr>
          <w:iCs/>
          <w:szCs w:val="20"/>
          <w:shd w:val="clear" w:color="auto" w:fill="FFFFFF"/>
        </w:rPr>
        <w:t xml:space="preserve">above n </w:t>
      </w:r>
      <w:r w:rsidR="008C71BF" w:rsidRPr="00D260FD">
        <w:rPr>
          <w:iCs/>
          <w:szCs w:val="20"/>
          <w:shd w:val="clear" w:color="auto" w:fill="FFFFFF"/>
        </w:rPr>
        <w:t>10</w:t>
      </w:r>
      <w:r w:rsidR="00F45044" w:rsidRPr="00D260FD">
        <w:rPr>
          <w:iCs/>
          <w:szCs w:val="20"/>
          <w:shd w:val="clear" w:color="auto" w:fill="FFFFFF"/>
        </w:rPr>
        <w:t xml:space="preserve"> </w:t>
      </w:r>
      <w:r w:rsidRPr="00D260FD">
        <w:rPr>
          <w:iCs/>
          <w:szCs w:val="20"/>
          <w:shd w:val="clear" w:color="auto" w:fill="FFFFFF"/>
        </w:rPr>
        <w:t xml:space="preserve">at </w:t>
      </w:r>
      <w:r w:rsidR="00F45044" w:rsidRPr="00D260FD">
        <w:rPr>
          <w:iCs/>
          <w:szCs w:val="20"/>
          <w:shd w:val="clear" w:color="auto" w:fill="FFFFFF"/>
        </w:rPr>
        <w:t>54</w:t>
      </w:r>
      <w:r w:rsidR="00A11EC7" w:rsidRPr="00D260FD">
        <w:rPr>
          <w:iCs/>
          <w:szCs w:val="20"/>
          <w:shd w:val="clear" w:color="auto" w:fill="FFFFFF"/>
        </w:rPr>
        <w:t>4</w:t>
      </w:r>
      <w:r w:rsidR="00F45044" w:rsidRPr="00D260FD">
        <w:rPr>
          <w:iCs/>
          <w:szCs w:val="20"/>
          <w:shd w:val="clear" w:color="auto" w:fill="FFFFFF"/>
        </w:rPr>
        <w:t>H</w:t>
      </w:r>
      <w:r w:rsidRPr="00D260FD">
        <w:rPr>
          <w:iCs/>
          <w:szCs w:val="20"/>
          <w:shd w:val="clear" w:color="auto" w:fill="FFFFFF"/>
        </w:rPr>
        <w:t>.</w:t>
      </w:r>
    </w:p>
  </w:footnote>
  <w:footnote w:id="14">
    <w:p w14:paraId="09F5DCED" w14:textId="77777777" w:rsidR="00D0236E" w:rsidRPr="004F30C6" w:rsidRDefault="00D0236E">
      <w:pPr>
        <w:pStyle w:val="FootnoteText"/>
        <w:rPr>
          <w:lang w:val="en-GB"/>
        </w:rPr>
      </w:pPr>
      <w:r>
        <w:rPr>
          <w:rStyle w:val="FootnoteReference"/>
        </w:rPr>
        <w:footnoteRef/>
      </w:r>
      <w:r>
        <w:t xml:space="preserve"> </w:t>
      </w:r>
      <w:r w:rsidRPr="000D6C3F">
        <w:rPr>
          <w:szCs w:val="20"/>
        </w:rPr>
        <w:t>Rule 49</w:t>
      </w:r>
      <w:r w:rsidRPr="00215A18">
        <w:rPr>
          <w:szCs w:val="20"/>
        </w:rPr>
        <w:t xml:space="preserve">(11) was </w:t>
      </w:r>
      <w:r w:rsidRPr="004F30C6">
        <w:rPr>
          <w:szCs w:val="20"/>
        </w:rPr>
        <w:t>repealed by</w:t>
      </w:r>
      <w:r w:rsidR="00A61B13">
        <w:rPr>
          <w:szCs w:val="20"/>
        </w:rPr>
        <w:t xml:space="preserve"> means of</w:t>
      </w:r>
      <w:r w:rsidR="00F45044" w:rsidRPr="00F45044">
        <w:rPr>
          <w:szCs w:val="20"/>
          <w:lang w:val="en-GB"/>
        </w:rPr>
        <w:t xml:space="preserve"> </w:t>
      </w:r>
      <w:r w:rsidRPr="004F30C6">
        <w:rPr>
          <w:szCs w:val="20"/>
        </w:rPr>
        <w:t xml:space="preserve">GN R317 </w:t>
      </w:r>
      <w:r w:rsidR="00F45044" w:rsidRPr="00435766">
        <w:rPr>
          <w:i/>
          <w:iCs/>
          <w:szCs w:val="20"/>
        </w:rPr>
        <w:t>GG</w:t>
      </w:r>
      <w:r w:rsidR="00F45044">
        <w:rPr>
          <w:szCs w:val="20"/>
        </w:rPr>
        <w:t xml:space="preserve"> 38694, </w:t>
      </w:r>
      <w:r w:rsidRPr="004F30C6">
        <w:rPr>
          <w:szCs w:val="20"/>
        </w:rPr>
        <w:t>17</w:t>
      </w:r>
      <w:r w:rsidR="00F45044">
        <w:rPr>
          <w:szCs w:val="20"/>
        </w:rPr>
        <w:t> </w:t>
      </w:r>
      <w:r w:rsidRPr="004F30C6">
        <w:rPr>
          <w:szCs w:val="20"/>
        </w:rPr>
        <w:t>April 2015.</w:t>
      </w:r>
    </w:p>
  </w:footnote>
  <w:footnote w:id="15">
    <w:p w14:paraId="38291B08" w14:textId="77777777" w:rsidR="00D0236E" w:rsidRDefault="00D0236E" w:rsidP="006247C2">
      <w:pPr>
        <w:pStyle w:val="FootnoteText"/>
      </w:pPr>
      <w:r>
        <w:rPr>
          <w:rStyle w:val="FootnoteReference"/>
        </w:rPr>
        <w:footnoteRef/>
      </w:r>
      <w:r>
        <w:t xml:space="preserve"> Section 18(2) and (3) provides:</w:t>
      </w:r>
    </w:p>
    <w:p w14:paraId="1BFEDED2" w14:textId="77777777" w:rsidR="00D0236E" w:rsidRPr="00A61B13" w:rsidRDefault="00F45044" w:rsidP="00A61B13">
      <w:pPr>
        <w:pStyle w:val="QUOTEINFOOTNOTE"/>
      </w:pPr>
      <w:r w:rsidRPr="00A61B13">
        <w:rPr>
          <w:lang w:val="en-US"/>
        </w:rPr>
        <w:t>“</w:t>
      </w:r>
      <w:r w:rsidR="00D0236E" w:rsidRPr="00A61B13">
        <w:rPr>
          <w:lang w:val="en-US"/>
        </w:rPr>
        <w:t>(2)</w:t>
      </w:r>
      <w:r w:rsidRPr="00A61B13">
        <w:rPr>
          <w:lang w:val="en-US"/>
        </w:rPr>
        <w:tab/>
      </w:r>
      <w:r w:rsidR="00D0236E" w:rsidRPr="00A61B13">
        <w:rPr>
          <w:lang w:val="en-US"/>
        </w:rPr>
        <w:t>Subject to subsection (3), unless the court under exceptional circumstances orders otherwise, the operation and execution of a decision that is an interlocutory order not having the effect of a final judgment, which is the subject of an application for leave to appeal or of an appeal, is not suspended pending the decision of the application or appeal.</w:t>
      </w:r>
    </w:p>
    <w:p w14:paraId="1BB6DAC2" w14:textId="77777777" w:rsidR="00D0236E" w:rsidRPr="00DB3898" w:rsidRDefault="00D0236E" w:rsidP="00A61B13">
      <w:pPr>
        <w:pStyle w:val="QUOTEINFOOTNOTE"/>
        <w:rPr>
          <w:rStyle w:val="FootnoteReference"/>
        </w:rPr>
      </w:pPr>
      <w:r w:rsidRPr="00A61B13">
        <w:rPr>
          <w:lang w:val="en-US"/>
        </w:rPr>
        <w:t>(3)</w:t>
      </w:r>
      <w:r w:rsidR="00F45044" w:rsidRPr="00A61B13">
        <w:rPr>
          <w:lang w:val="en-US"/>
        </w:rPr>
        <w:tab/>
      </w:r>
      <w:r w:rsidRPr="00A61B13">
        <w:rPr>
          <w:lang w:val="en-US"/>
        </w:rPr>
        <w:t>A court may only order otherwise as contemplated in subsection (1) or (2), if the party who applied to the court to order otherwise, in addition proves on a balance of probabilities that he or she will suffer irreparable harm if the court does not so order and that the other party will not suffer irreparable harm if the court so orders.”</w:t>
      </w:r>
    </w:p>
  </w:footnote>
  <w:footnote w:id="16">
    <w:p w14:paraId="50F30E5B" w14:textId="77777777" w:rsidR="00D0236E" w:rsidRPr="004F30C6" w:rsidRDefault="00D0236E">
      <w:pPr>
        <w:pStyle w:val="FootnoteText"/>
        <w:rPr>
          <w:lang w:val="en-GB"/>
        </w:rPr>
      </w:pPr>
      <w:r>
        <w:rPr>
          <w:rStyle w:val="FootnoteReference"/>
        </w:rPr>
        <w:footnoteRef/>
      </w:r>
      <w:r>
        <w:t xml:space="preserve"> </w:t>
      </w:r>
      <w:r>
        <w:rPr>
          <w:lang w:val="en-GB"/>
        </w:rPr>
        <w:t xml:space="preserve">The Supreme Court of Appeal made the order of invalidation on </w:t>
      </w:r>
      <w:r w:rsidR="00F45044" w:rsidRPr="00435766">
        <w:rPr>
          <w:lang w:val="en-GB"/>
        </w:rPr>
        <w:t>2 November 2020</w:t>
      </w:r>
      <w:r w:rsidRPr="00435766">
        <w:rPr>
          <w:lang w:val="en-GB"/>
        </w:rPr>
        <w:t>,</w:t>
      </w:r>
      <w:r>
        <w:rPr>
          <w:lang w:val="en-GB"/>
        </w:rPr>
        <w:t xml:space="preserve"> and the application for leave to appeal to this Court was lodged on </w:t>
      </w:r>
      <w:r w:rsidR="00F45044" w:rsidRPr="00435766">
        <w:rPr>
          <w:lang w:val="en-GB"/>
        </w:rPr>
        <w:t>23 November 2020.</w:t>
      </w:r>
    </w:p>
  </w:footnote>
  <w:footnote w:id="17">
    <w:p w14:paraId="177A96A6" w14:textId="77777777" w:rsidR="00AD7694" w:rsidRDefault="00763AB4">
      <w:pPr>
        <w:pStyle w:val="FootnoteText"/>
        <w:rPr>
          <w:highlight w:val="yellow"/>
          <w:lang w:val="en-GB"/>
        </w:rPr>
      </w:pPr>
      <w:r>
        <w:rPr>
          <w:rStyle w:val="FootnoteReference"/>
        </w:rPr>
        <w:footnoteRef/>
      </w:r>
      <w:r>
        <w:t xml:space="preserve"> </w:t>
      </w:r>
      <w:r w:rsidR="00AD7694" w:rsidRPr="00AD7694">
        <w:rPr>
          <w:lang w:val="en-GB"/>
        </w:rPr>
        <w:t>The notice of motion reads:</w:t>
      </w:r>
    </w:p>
    <w:p w14:paraId="54F20CC2" w14:textId="0EB50DB4" w:rsidR="00F45044" w:rsidRPr="00435766" w:rsidRDefault="00AD7694" w:rsidP="00435766">
      <w:pPr>
        <w:pStyle w:val="QUOTEINFOOTNOTE"/>
      </w:pPr>
      <w:r w:rsidRPr="00435766">
        <w:t>“</w:t>
      </w:r>
      <w:r w:rsidR="00F45044" w:rsidRPr="00435766">
        <w:t>Take notice that the applicant (the Minister) hereby applies in terms of rules 12(1), 18 and</w:t>
      </w:r>
      <w:r w:rsidR="008E097C">
        <w:t> </w:t>
      </w:r>
      <w:r w:rsidR="00F45044" w:rsidRPr="00435766">
        <w:t>29 of the Rules of the Constitutional Court, read with rule 42 of the Uniform Rules of Court and (to the extent necessary) section 167(6)(a) of the Constitution, for an order:</w:t>
      </w:r>
    </w:p>
    <w:p w14:paraId="64E05FFE" w14:textId="4932A10A" w:rsidR="00763AB4" w:rsidRDefault="00F45044" w:rsidP="00435766">
      <w:pPr>
        <w:pStyle w:val="QUOTEINFOOTNOTE"/>
        <w:ind w:left="1440" w:hanging="720"/>
        <w:rPr>
          <w:lang w:val="en-GB"/>
        </w:rPr>
      </w:pPr>
      <w:r w:rsidRPr="00435766">
        <w:rPr>
          <w:lang w:val="en-GB"/>
        </w:rPr>
        <w:t>1.</w:t>
      </w:r>
      <w:r>
        <w:rPr>
          <w:lang w:val="en-GB"/>
        </w:rPr>
        <w:tab/>
      </w:r>
      <w:r w:rsidRPr="00435766">
        <w:rPr>
          <w:lang w:val="en-GB"/>
        </w:rPr>
        <w:t>Enrolling this application as an urgent application and, insofar as may be necessary, dispensing with the procedures prescribed by the Rules of the Constitutional</w:t>
      </w:r>
      <w:r w:rsidR="008E097C">
        <w:rPr>
          <w:lang w:val="en-GB"/>
        </w:rPr>
        <w:t> </w:t>
      </w:r>
      <w:r w:rsidRPr="00435766">
        <w:rPr>
          <w:lang w:val="en-GB"/>
        </w:rPr>
        <w:t>Court, and directing that the application be heard as one of urgency under rule 12(1) thereof;</w:t>
      </w:r>
    </w:p>
    <w:p w14:paraId="0ECF743C" w14:textId="6AAF9F07" w:rsidR="00F45044" w:rsidRDefault="00F45044" w:rsidP="00435766">
      <w:pPr>
        <w:pStyle w:val="QUOTEINFOOTNOTE"/>
        <w:ind w:left="1440" w:hanging="720"/>
        <w:rPr>
          <w:lang w:val="en-GB"/>
        </w:rPr>
      </w:pPr>
      <w:r>
        <w:rPr>
          <w:lang w:val="en-GB"/>
        </w:rPr>
        <w:t>2.</w:t>
      </w:r>
      <w:r>
        <w:rPr>
          <w:lang w:val="en-GB"/>
        </w:rPr>
        <w:tab/>
        <w:t>Granting the Minister direct access to the Constitutional Court in terms of section</w:t>
      </w:r>
      <w:r w:rsidR="008E097C">
        <w:rPr>
          <w:lang w:val="en-GB"/>
        </w:rPr>
        <w:t> </w:t>
      </w:r>
      <w:r>
        <w:rPr>
          <w:lang w:val="en-GB"/>
        </w:rPr>
        <w:t>167(6)(a) of the Constitution.</w:t>
      </w:r>
    </w:p>
    <w:p w14:paraId="47AAD6EC" w14:textId="77777777" w:rsidR="00F45044" w:rsidRDefault="00F45044" w:rsidP="00435766">
      <w:pPr>
        <w:pStyle w:val="QUOTEINFOOTNOTE"/>
        <w:ind w:left="1440" w:hanging="720"/>
        <w:rPr>
          <w:lang w:val="en-GB"/>
        </w:rPr>
      </w:pPr>
      <w:r>
        <w:rPr>
          <w:lang w:val="en-GB"/>
        </w:rPr>
        <w:t>3.</w:t>
      </w:r>
      <w:r>
        <w:rPr>
          <w:lang w:val="en-GB"/>
        </w:rPr>
        <w:tab/>
        <w:t>Varying the order of the Constitutional Court in the matter CCT 279/20 (main case) to make clear:</w:t>
      </w:r>
    </w:p>
    <w:p w14:paraId="0003ED43" w14:textId="77777777" w:rsidR="00F45044" w:rsidRDefault="00F45044" w:rsidP="00435766">
      <w:pPr>
        <w:pStyle w:val="QUOTEINFOOTNOTE"/>
        <w:ind w:left="2160" w:hanging="720"/>
        <w:rPr>
          <w:lang w:val="en-GB"/>
        </w:rPr>
      </w:pPr>
      <w:r>
        <w:rPr>
          <w:lang w:val="en-GB"/>
        </w:rPr>
        <w:t>3.1.</w:t>
      </w:r>
      <w:r>
        <w:rPr>
          <w:lang w:val="en-GB"/>
        </w:rPr>
        <w:tab/>
        <w:t>that the operation of the period of suspension in paragraph 2(a) of the order of the Supreme Court of Appeal was suspended pending the Constitutional Court’s decision of the appeal in the main case, and recommenced from 16 February 2022, being the date of the Constitutional Court’s order; and</w:t>
      </w:r>
    </w:p>
    <w:p w14:paraId="31B1C86E" w14:textId="77777777" w:rsidR="00F45044" w:rsidRDefault="00F45044" w:rsidP="00435766">
      <w:pPr>
        <w:pStyle w:val="QUOTEINFOOTNOTE"/>
        <w:ind w:left="2160" w:hanging="720"/>
        <w:rPr>
          <w:lang w:val="en-GB"/>
        </w:rPr>
      </w:pPr>
      <w:r>
        <w:rPr>
          <w:lang w:val="en-GB"/>
        </w:rPr>
        <w:t>3.2.</w:t>
      </w:r>
      <w:r>
        <w:rPr>
          <w:lang w:val="en-GB"/>
        </w:rPr>
        <w:tab/>
        <w:t>that tender processes conducted by organs of state under the Preferential Procurement Regulations, 2017, are not affected until the expiration of the suspension period,</w:t>
      </w:r>
    </w:p>
    <w:p w14:paraId="0C62FA6F" w14:textId="77777777" w:rsidR="00F45044" w:rsidRDefault="00604211" w:rsidP="00A61B13">
      <w:pPr>
        <w:pStyle w:val="QUOTEINFOOTNOTE"/>
        <w:ind w:left="1440" w:firstLine="720"/>
        <w:rPr>
          <w:lang w:val="en-GB"/>
        </w:rPr>
      </w:pPr>
      <w:r>
        <w:rPr>
          <w:lang w:val="en-GB"/>
        </w:rPr>
        <w:t>and by—</w:t>
      </w:r>
    </w:p>
    <w:p w14:paraId="4C2E26CA" w14:textId="77777777" w:rsidR="00F45044" w:rsidRDefault="00F45044" w:rsidP="00435766">
      <w:pPr>
        <w:pStyle w:val="QUOTEINFOOTNOTE"/>
        <w:ind w:left="2880" w:hanging="720"/>
        <w:rPr>
          <w:lang w:val="en-GB"/>
        </w:rPr>
      </w:pPr>
      <w:r>
        <w:rPr>
          <w:lang w:val="en-GB"/>
        </w:rPr>
        <w:t>3.2.1</w:t>
      </w:r>
      <w:r>
        <w:rPr>
          <w:lang w:val="en-GB"/>
        </w:rPr>
        <w:tab/>
        <w:t>inserting appropriate sub-paragraphs to the order of the majority judgment of Madlanga J; and</w:t>
      </w:r>
    </w:p>
    <w:p w14:paraId="2192E6E5" w14:textId="0A4264F5" w:rsidR="00F45044" w:rsidRDefault="00F45044" w:rsidP="00435766">
      <w:pPr>
        <w:pStyle w:val="QUOTEINFOOTNOTE"/>
        <w:ind w:left="2880" w:hanging="720"/>
        <w:rPr>
          <w:lang w:val="en-GB"/>
        </w:rPr>
      </w:pPr>
      <w:r>
        <w:rPr>
          <w:lang w:val="en-GB"/>
        </w:rPr>
        <w:t>3.2.2</w:t>
      </w:r>
      <w:r>
        <w:rPr>
          <w:lang w:val="en-GB"/>
        </w:rPr>
        <w:tab/>
        <w:t>to the extent necessary, excising the second sentence of footnote</w:t>
      </w:r>
      <w:r w:rsidR="008E097C">
        <w:rPr>
          <w:lang w:val="en-GB"/>
        </w:rPr>
        <w:t> </w:t>
      </w:r>
      <w:r>
        <w:rPr>
          <w:lang w:val="en-GB"/>
        </w:rPr>
        <w:t xml:space="preserve">28 from the minority judgment of </w:t>
      </w:r>
      <w:proofErr w:type="spellStart"/>
      <w:r>
        <w:rPr>
          <w:lang w:val="en-GB"/>
        </w:rPr>
        <w:t>Mhlantla</w:t>
      </w:r>
      <w:proofErr w:type="spellEnd"/>
      <w:r>
        <w:rPr>
          <w:lang w:val="en-GB"/>
        </w:rPr>
        <w:t xml:space="preserve"> J.</w:t>
      </w:r>
    </w:p>
    <w:p w14:paraId="1BB09059" w14:textId="77777777" w:rsidR="00F45044" w:rsidRDefault="00F45044" w:rsidP="00435766">
      <w:pPr>
        <w:pStyle w:val="QUOTEINFOOTNOTE"/>
        <w:ind w:left="1440" w:hanging="720"/>
        <w:rPr>
          <w:lang w:val="en-GB"/>
        </w:rPr>
      </w:pPr>
      <w:r>
        <w:rPr>
          <w:lang w:val="en-GB"/>
        </w:rPr>
        <w:t>4.</w:t>
      </w:r>
      <w:r>
        <w:rPr>
          <w:lang w:val="en-GB"/>
        </w:rPr>
        <w:tab/>
        <w:t xml:space="preserve">In the </w:t>
      </w:r>
      <w:r>
        <w:rPr>
          <w:i/>
          <w:iCs/>
          <w:lang w:val="en-GB"/>
        </w:rPr>
        <w:t xml:space="preserve">alternative </w:t>
      </w:r>
      <w:r>
        <w:rPr>
          <w:lang w:val="en-GB"/>
        </w:rPr>
        <w:t>to, or together with, the relief sought in paragraph 3 and 4 above, granting declaratory relief to the effect that the import of the judgment and order of the Constitutional Court in the main case is what is set out in 3.1 and 3.2 above.</w:t>
      </w:r>
    </w:p>
    <w:p w14:paraId="5F9E5FCD" w14:textId="77777777" w:rsidR="00F45044" w:rsidRDefault="00F45044" w:rsidP="00435766">
      <w:pPr>
        <w:pStyle w:val="QUOTEINFOOTNOTE"/>
        <w:ind w:left="1440" w:hanging="720"/>
        <w:rPr>
          <w:lang w:val="en-GB"/>
        </w:rPr>
      </w:pPr>
      <w:r>
        <w:rPr>
          <w:lang w:val="en-GB"/>
        </w:rPr>
        <w:t>5.</w:t>
      </w:r>
      <w:r>
        <w:rPr>
          <w:lang w:val="en-GB"/>
        </w:rPr>
        <w:tab/>
        <w:t xml:space="preserve">In the </w:t>
      </w:r>
      <w:r>
        <w:rPr>
          <w:i/>
          <w:iCs/>
          <w:lang w:val="en-GB"/>
        </w:rPr>
        <w:t xml:space="preserve">further alternative </w:t>
      </w:r>
      <w:r>
        <w:rPr>
          <w:lang w:val="en-GB"/>
        </w:rPr>
        <w:t>to the relief sought in paragraphs 3 and 4 above, granting declaratory relief to the effect that the import of the judgment and order of the Constitutional Court in the main case is what is set out in 3.1 and 3.2 above.</w:t>
      </w:r>
    </w:p>
    <w:p w14:paraId="59CE2186" w14:textId="77777777" w:rsidR="00F45044" w:rsidRDefault="00F45044" w:rsidP="00435766">
      <w:pPr>
        <w:pStyle w:val="QUOTEINFOOTNOTE"/>
        <w:ind w:left="1440" w:hanging="720"/>
        <w:rPr>
          <w:lang w:val="en-GB"/>
        </w:rPr>
      </w:pPr>
      <w:r>
        <w:rPr>
          <w:lang w:val="en-GB"/>
        </w:rPr>
        <w:t>6.</w:t>
      </w:r>
      <w:r>
        <w:rPr>
          <w:lang w:val="en-GB"/>
        </w:rPr>
        <w:tab/>
        <w:t xml:space="preserve">In the </w:t>
      </w:r>
      <w:r>
        <w:rPr>
          <w:i/>
          <w:iCs/>
          <w:lang w:val="en-GB"/>
        </w:rPr>
        <w:t xml:space="preserve">further alternative </w:t>
      </w:r>
      <w:r>
        <w:rPr>
          <w:lang w:val="en-GB"/>
        </w:rPr>
        <w:t>to paragraphs 3, 4 and 5 above, by declaring that the declaration of invalidity shall operate prospectively only from the date of this Court’s judgment.</w:t>
      </w:r>
    </w:p>
    <w:p w14:paraId="53E8FAA7" w14:textId="77777777" w:rsidR="00F45044" w:rsidRDefault="00F45044" w:rsidP="00435766">
      <w:pPr>
        <w:pStyle w:val="QUOTEINFOOTNOTE"/>
        <w:ind w:left="1440" w:hanging="720"/>
        <w:rPr>
          <w:lang w:val="en-GB"/>
        </w:rPr>
      </w:pPr>
      <w:r>
        <w:rPr>
          <w:lang w:val="en-GB"/>
        </w:rPr>
        <w:t>7.</w:t>
      </w:r>
      <w:r>
        <w:rPr>
          <w:lang w:val="en-GB"/>
        </w:rPr>
        <w:tab/>
        <w:t>Ordering any of the respondents who oppose the application to pay the Minister’s costs, including the costs of two counsel, on a joint and several basis with any other respondent who opposed the application.</w:t>
      </w:r>
    </w:p>
    <w:p w14:paraId="2BE4C4DE" w14:textId="77777777" w:rsidR="00F45044" w:rsidRPr="00F45044" w:rsidRDefault="00F45044" w:rsidP="00435766">
      <w:pPr>
        <w:pStyle w:val="QUOTEINFOOTNOTE"/>
        <w:rPr>
          <w:lang w:val="en-GB"/>
        </w:rPr>
      </w:pPr>
      <w:r>
        <w:rPr>
          <w:lang w:val="en-GB"/>
        </w:rPr>
        <w:t>8.</w:t>
      </w:r>
      <w:r>
        <w:rPr>
          <w:lang w:val="en-GB"/>
        </w:rPr>
        <w:tab/>
        <w:t>Granting further and/or alternative relief.”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48F0" w14:textId="77777777" w:rsidR="00D0236E" w:rsidRPr="00133822" w:rsidRDefault="00D0236E" w:rsidP="000F7521">
    <w:pPr>
      <w:pStyle w:val="Header"/>
      <w:tabs>
        <w:tab w:val="clear" w:pos="4680"/>
        <w:tab w:val="clear" w:pos="9360"/>
        <w:tab w:val="right" w:pos="9072"/>
      </w:tabs>
      <w:jc w:val="right"/>
      <w:rPr>
        <w:lang w:val="en-US"/>
      </w:rPr>
    </w:pPr>
    <w:r>
      <w:rPr>
        <w:lang w:val="en-US"/>
      </w:rPr>
      <w:t>MADLANGA 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2594" w14:textId="77777777" w:rsidR="00D0236E" w:rsidRDefault="00D0236E" w:rsidP="008C727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4783" w14:textId="77777777" w:rsidR="00D0236E" w:rsidRDefault="00D0236E" w:rsidP="008C72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1F13"/>
    <w:multiLevelType w:val="hybridMultilevel"/>
    <w:tmpl w:val="7EC0026C"/>
    <w:lvl w:ilvl="0" w:tplc="A44456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24374E"/>
    <w:multiLevelType w:val="hybridMultilevel"/>
    <w:tmpl w:val="0C160B7A"/>
    <w:lvl w:ilvl="0" w:tplc="B5527A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A7A26"/>
    <w:multiLevelType w:val="hybridMultilevel"/>
    <w:tmpl w:val="4612B14A"/>
    <w:lvl w:ilvl="0" w:tplc="0CD23EA0">
      <w:start w:val="1"/>
      <w:numFmt w:val="decimal"/>
      <w:pStyle w:val="JUDGMENTNUMBERED"/>
      <w:lvlText w:val="[%1]"/>
      <w:lvlJc w:val="left"/>
      <w:pPr>
        <w:ind w:left="360" w:hanging="360"/>
      </w:pPr>
      <w:rPr>
        <w:rFonts w:ascii="Times New Roman" w:hAnsi="Times New Roman" w:hint="default"/>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3" w15:restartNumberingAfterBreak="0">
    <w:nsid w:val="28FF7EC4"/>
    <w:multiLevelType w:val="multilevel"/>
    <w:tmpl w:val="AA90F654"/>
    <w:lvl w:ilvl="0">
      <w:start w:val="1"/>
      <w:numFmt w:val="decimal"/>
      <w:pStyle w:val="BODYLIST"/>
      <w:lvlText w:val="%1."/>
      <w:lvlJc w:val="left"/>
      <w:pPr>
        <w:ind w:left="72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4" w15:restartNumberingAfterBreak="0">
    <w:nsid w:val="3A5104C0"/>
    <w:multiLevelType w:val="hybridMultilevel"/>
    <w:tmpl w:val="7EC0026C"/>
    <w:lvl w:ilvl="0" w:tplc="A44456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0C3414F"/>
    <w:multiLevelType w:val="hybridMultilevel"/>
    <w:tmpl w:val="C6AC53AE"/>
    <w:lvl w:ilvl="0" w:tplc="C58C17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E2763D"/>
    <w:multiLevelType w:val="hybridMultilevel"/>
    <w:tmpl w:val="D2D25A80"/>
    <w:lvl w:ilvl="0" w:tplc="A26EF8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B22D6D"/>
    <w:multiLevelType w:val="hybridMultilevel"/>
    <w:tmpl w:val="DBF4CC1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711657298">
    <w:abstractNumId w:val="2"/>
  </w:num>
  <w:num w:numId="2" w16cid:durableId="311182933">
    <w:abstractNumId w:val="0"/>
  </w:num>
  <w:num w:numId="3" w16cid:durableId="2817707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610999">
    <w:abstractNumId w:val="4"/>
  </w:num>
  <w:num w:numId="5" w16cid:durableId="317073497">
    <w:abstractNumId w:val="7"/>
  </w:num>
  <w:num w:numId="6" w16cid:durableId="911624049">
    <w:abstractNumId w:val="1"/>
  </w:num>
  <w:num w:numId="7" w16cid:durableId="1806044886">
    <w:abstractNumId w:val="6"/>
  </w:num>
  <w:num w:numId="8" w16cid:durableId="85874223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MLU0MDCzNDEztDBR0lEKTi0uzszPAykwqgUAUIuGaCwAAAA="/>
  </w:docVars>
  <w:rsids>
    <w:rsidRoot w:val="00FF5547"/>
    <w:rsid w:val="000008C3"/>
    <w:rsid w:val="00001E76"/>
    <w:rsid w:val="00003016"/>
    <w:rsid w:val="00003278"/>
    <w:rsid w:val="00003847"/>
    <w:rsid w:val="00005A2E"/>
    <w:rsid w:val="000071F3"/>
    <w:rsid w:val="00007298"/>
    <w:rsid w:val="000156CD"/>
    <w:rsid w:val="00015B7D"/>
    <w:rsid w:val="000172D6"/>
    <w:rsid w:val="00021625"/>
    <w:rsid w:val="00021B45"/>
    <w:rsid w:val="000255BA"/>
    <w:rsid w:val="00026B77"/>
    <w:rsid w:val="00030D5B"/>
    <w:rsid w:val="00031380"/>
    <w:rsid w:val="00031E48"/>
    <w:rsid w:val="0003222E"/>
    <w:rsid w:val="0003332C"/>
    <w:rsid w:val="0003374F"/>
    <w:rsid w:val="00033A1F"/>
    <w:rsid w:val="00034A5B"/>
    <w:rsid w:val="0004143C"/>
    <w:rsid w:val="0004410E"/>
    <w:rsid w:val="00047C05"/>
    <w:rsid w:val="0005000E"/>
    <w:rsid w:val="00051924"/>
    <w:rsid w:val="00052139"/>
    <w:rsid w:val="000565AC"/>
    <w:rsid w:val="000570BC"/>
    <w:rsid w:val="00060984"/>
    <w:rsid w:val="00067167"/>
    <w:rsid w:val="0006751B"/>
    <w:rsid w:val="000704F2"/>
    <w:rsid w:val="000713C0"/>
    <w:rsid w:val="00071DF1"/>
    <w:rsid w:val="00076ADF"/>
    <w:rsid w:val="0007792D"/>
    <w:rsid w:val="0008371B"/>
    <w:rsid w:val="00092BA4"/>
    <w:rsid w:val="00093BCF"/>
    <w:rsid w:val="00094860"/>
    <w:rsid w:val="00095A15"/>
    <w:rsid w:val="00097D66"/>
    <w:rsid w:val="000A1155"/>
    <w:rsid w:val="000A132F"/>
    <w:rsid w:val="000A1DFB"/>
    <w:rsid w:val="000A697F"/>
    <w:rsid w:val="000B0112"/>
    <w:rsid w:val="000B027E"/>
    <w:rsid w:val="000B0C92"/>
    <w:rsid w:val="000B22E6"/>
    <w:rsid w:val="000B76AA"/>
    <w:rsid w:val="000C38CF"/>
    <w:rsid w:val="000C61B5"/>
    <w:rsid w:val="000D285E"/>
    <w:rsid w:val="000D4A77"/>
    <w:rsid w:val="000D6C3F"/>
    <w:rsid w:val="000D74AA"/>
    <w:rsid w:val="000E3EE0"/>
    <w:rsid w:val="000F2201"/>
    <w:rsid w:val="000F63B8"/>
    <w:rsid w:val="000F7114"/>
    <w:rsid w:val="000F7521"/>
    <w:rsid w:val="001016AC"/>
    <w:rsid w:val="00101F35"/>
    <w:rsid w:val="00107428"/>
    <w:rsid w:val="00115480"/>
    <w:rsid w:val="00115CB7"/>
    <w:rsid w:val="00115F3A"/>
    <w:rsid w:val="00116E94"/>
    <w:rsid w:val="00123124"/>
    <w:rsid w:val="00123E5A"/>
    <w:rsid w:val="00124756"/>
    <w:rsid w:val="00133822"/>
    <w:rsid w:val="00134498"/>
    <w:rsid w:val="001344E6"/>
    <w:rsid w:val="0015092A"/>
    <w:rsid w:val="00160F40"/>
    <w:rsid w:val="001611B1"/>
    <w:rsid w:val="00164FCC"/>
    <w:rsid w:val="00166A8F"/>
    <w:rsid w:val="00173827"/>
    <w:rsid w:val="00174981"/>
    <w:rsid w:val="00181127"/>
    <w:rsid w:val="00183FC9"/>
    <w:rsid w:val="00186662"/>
    <w:rsid w:val="00192083"/>
    <w:rsid w:val="001927E9"/>
    <w:rsid w:val="00194B9C"/>
    <w:rsid w:val="00196AA4"/>
    <w:rsid w:val="001A0569"/>
    <w:rsid w:val="001A05D2"/>
    <w:rsid w:val="001A0617"/>
    <w:rsid w:val="001B4C29"/>
    <w:rsid w:val="001B5397"/>
    <w:rsid w:val="001B5B33"/>
    <w:rsid w:val="001B5DE3"/>
    <w:rsid w:val="001C050A"/>
    <w:rsid w:val="001C14FF"/>
    <w:rsid w:val="001C4DA4"/>
    <w:rsid w:val="001D31D7"/>
    <w:rsid w:val="001D33E4"/>
    <w:rsid w:val="001D3B50"/>
    <w:rsid w:val="001D600A"/>
    <w:rsid w:val="001E1892"/>
    <w:rsid w:val="001E4162"/>
    <w:rsid w:val="001F2113"/>
    <w:rsid w:val="001F43A7"/>
    <w:rsid w:val="001F4419"/>
    <w:rsid w:val="001F49F8"/>
    <w:rsid w:val="001F7C18"/>
    <w:rsid w:val="00207F97"/>
    <w:rsid w:val="00215A18"/>
    <w:rsid w:val="00220219"/>
    <w:rsid w:val="002208F2"/>
    <w:rsid w:val="00222AC6"/>
    <w:rsid w:val="002311E4"/>
    <w:rsid w:val="00231ABD"/>
    <w:rsid w:val="00232B8F"/>
    <w:rsid w:val="00236F9A"/>
    <w:rsid w:val="002413FC"/>
    <w:rsid w:val="002435CC"/>
    <w:rsid w:val="00243C68"/>
    <w:rsid w:val="0024725F"/>
    <w:rsid w:val="00254497"/>
    <w:rsid w:val="00255D72"/>
    <w:rsid w:val="00257FD6"/>
    <w:rsid w:val="00260131"/>
    <w:rsid w:val="002633AD"/>
    <w:rsid w:val="00264015"/>
    <w:rsid w:val="00266A9F"/>
    <w:rsid w:val="00283745"/>
    <w:rsid w:val="00284149"/>
    <w:rsid w:val="00287753"/>
    <w:rsid w:val="00292CC1"/>
    <w:rsid w:val="00293218"/>
    <w:rsid w:val="00295C91"/>
    <w:rsid w:val="00297CD6"/>
    <w:rsid w:val="002A1F5C"/>
    <w:rsid w:val="002C5F97"/>
    <w:rsid w:val="002C7AC5"/>
    <w:rsid w:val="002D1FD9"/>
    <w:rsid w:val="002D6E04"/>
    <w:rsid w:val="002E1AA1"/>
    <w:rsid w:val="002E251B"/>
    <w:rsid w:val="002E3534"/>
    <w:rsid w:val="002E4857"/>
    <w:rsid w:val="002E492A"/>
    <w:rsid w:val="002F2266"/>
    <w:rsid w:val="003078B5"/>
    <w:rsid w:val="00310376"/>
    <w:rsid w:val="003144F7"/>
    <w:rsid w:val="00317AA9"/>
    <w:rsid w:val="003237BF"/>
    <w:rsid w:val="0034042B"/>
    <w:rsid w:val="00341131"/>
    <w:rsid w:val="00341A34"/>
    <w:rsid w:val="00346927"/>
    <w:rsid w:val="00347B5E"/>
    <w:rsid w:val="00363ECE"/>
    <w:rsid w:val="003644DF"/>
    <w:rsid w:val="00366252"/>
    <w:rsid w:val="00372523"/>
    <w:rsid w:val="003739DB"/>
    <w:rsid w:val="003743B4"/>
    <w:rsid w:val="00381E96"/>
    <w:rsid w:val="003837F4"/>
    <w:rsid w:val="00386F56"/>
    <w:rsid w:val="00386FCB"/>
    <w:rsid w:val="00387873"/>
    <w:rsid w:val="003878AB"/>
    <w:rsid w:val="00387F24"/>
    <w:rsid w:val="003910D7"/>
    <w:rsid w:val="0039171D"/>
    <w:rsid w:val="003A035E"/>
    <w:rsid w:val="003A18CF"/>
    <w:rsid w:val="003A35C7"/>
    <w:rsid w:val="003A3C4A"/>
    <w:rsid w:val="003A4E0A"/>
    <w:rsid w:val="003B08DF"/>
    <w:rsid w:val="003B12C2"/>
    <w:rsid w:val="003B5B9E"/>
    <w:rsid w:val="003C17E2"/>
    <w:rsid w:val="003C4ED7"/>
    <w:rsid w:val="003C5CF6"/>
    <w:rsid w:val="003C6D1E"/>
    <w:rsid w:val="003C7B6C"/>
    <w:rsid w:val="003D0B54"/>
    <w:rsid w:val="003D2A99"/>
    <w:rsid w:val="003D5F52"/>
    <w:rsid w:val="003D6594"/>
    <w:rsid w:val="003E2EC3"/>
    <w:rsid w:val="003F2FEF"/>
    <w:rsid w:val="003F743C"/>
    <w:rsid w:val="00403732"/>
    <w:rsid w:val="00405E0B"/>
    <w:rsid w:val="00406FD1"/>
    <w:rsid w:val="004071F1"/>
    <w:rsid w:val="00407233"/>
    <w:rsid w:val="00407CA0"/>
    <w:rsid w:val="004110F6"/>
    <w:rsid w:val="0041506E"/>
    <w:rsid w:val="004223AC"/>
    <w:rsid w:val="00432ABF"/>
    <w:rsid w:val="00435766"/>
    <w:rsid w:val="0044313C"/>
    <w:rsid w:val="00450CC1"/>
    <w:rsid w:val="00452BE4"/>
    <w:rsid w:val="00456A1F"/>
    <w:rsid w:val="0046182E"/>
    <w:rsid w:val="004618EE"/>
    <w:rsid w:val="00461A57"/>
    <w:rsid w:val="004620BF"/>
    <w:rsid w:val="0047597B"/>
    <w:rsid w:val="00481B3D"/>
    <w:rsid w:val="00482688"/>
    <w:rsid w:val="004900C4"/>
    <w:rsid w:val="00491160"/>
    <w:rsid w:val="00494EB7"/>
    <w:rsid w:val="0049643B"/>
    <w:rsid w:val="004A0942"/>
    <w:rsid w:val="004A14DE"/>
    <w:rsid w:val="004A721D"/>
    <w:rsid w:val="004B01C8"/>
    <w:rsid w:val="004B426B"/>
    <w:rsid w:val="004C53C7"/>
    <w:rsid w:val="004C7588"/>
    <w:rsid w:val="004D02BA"/>
    <w:rsid w:val="004E00EA"/>
    <w:rsid w:val="004E19E7"/>
    <w:rsid w:val="004E3677"/>
    <w:rsid w:val="004F30C6"/>
    <w:rsid w:val="004F46CD"/>
    <w:rsid w:val="004F490C"/>
    <w:rsid w:val="00503030"/>
    <w:rsid w:val="00504B9F"/>
    <w:rsid w:val="00510E0B"/>
    <w:rsid w:val="005216A3"/>
    <w:rsid w:val="005246CA"/>
    <w:rsid w:val="0052507A"/>
    <w:rsid w:val="00526CE6"/>
    <w:rsid w:val="005279AF"/>
    <w:rsid w:val="005314E0"/>
    <w:rsid w:val="005315FC"/>
    <w:rsid w:val="005323CD"/>
    <w:rsid w:val="00533037"/>
    <w:rsid w:val="00535E74"/>
    <w:rsid w:val="00542F53"/>
    <w:rsid w:val="005435FB"/>
    <w:rsid w:val="00546774"/>
    <w:rsid w:val="00550267"/>
    <w:rsid w:val="00554439"/>
    <w:rsid w:val="005627D3"/>
    <w:rsid w:val="0056742C"/>
    <w:rsid w:val="00576E25"/>
    <w:rsid w:val="00582DF5"/>
    <w:rsid w:val="00582E38"/>
    <w:rsid w:val="00590ABA"/>
    <w:rsid w:val="00590B22"/>
    <w:rsid w:val="00596866"/>
    <w:rsid w:val="00597462"/>
    <w:rsid w:val="00597682"/>
    <w:rsid w:val="005A1840"/>
    <w:rsid w:val="005A25AD"/>
    <w:rsid w:val="005B3618"/>
    <w:rsid w:val="005B4179"/>
    <w:rsid w:val="005B4778"/>
    <w:rsid w:val="005B48D1"/>
    <w:rsid w:val="005C225E"/>
    <w:rsid w:val="005C4ECE"/>
    <w:rsid w:val="005C7FB1"/>
    <w:rsid w:val="005D2A7B"/>
    <w:rsid w:val="005D315F"/>
    <w:rsid w:val="005D4A07"/>
    <w:rsid w:val="005D4F41"/>
    <w:rsid w:val="005D6DE8"/>
    <w:rsid w:val="005E07C7"/>
    <w:rsid w:val="005F25A8"/>
    <w:rsid w:val="005F396C"/>
    <w:rsid w:val="00601A88"/>
    <w:rsid w:val="00604211"/>
    <w:rsid w:val="00604D66"/>
    <w:rsid w:val="0061263E"/>
    <w:rsid w:val="00617F72"/>
    <w:rsid w:val="00623DBC"/>
    <w:rsid w:val="006247C2"/>
    <w:rsid w:val="00624EF4"/>
    <w:rsid w:val="0062663A"/>
    <w:rsid w:val="00631E47"/>
    <w:rsid w:val="006333E3"/>
    <w:rsid w:val="00637F10"/>
    <w:rsid w:val="0064529F"/>
    <w:rsid w:val="006474DB"/>
    <w:rsid w:val="006477D7"/>
    <w:rsid w:val="006504D3"/>
    <w:rsid w:val="006517E2"/>
    <w:rsid w:val="00652A8F"/>
    <w:rsid w:val="00657B43"/>
    <w:rsid w:val="0067159E"/>
    <w:rsid w:val="00671F51"/>
    <w:rsid w:val="006724E0"/>
    <w:rsid w:val="00675FC0"/>
    <w:rsid w:val="0067619D"/>
    <w:rsid w:val="0067644D"/>
    <w:rsid w:val="0067704D"/>
    <w:rsid w:val="00681656"/>
    <w:rsid w:val="00684762"/>
    <w:rsid w:val="00684ADC"/>
    <w:rsid w:val="00685393"/>
    <w:rsid w:val="006977DE"/>
    <w:rsid w:val="00697FAA"/>
    <w:rsid w:val="006A0566"/>
    <w:rsid w:val="006A073D"/>
    <w:rsid w:val="006A0DD8"/>
    <w:rsid w:val="006A13C1"/>
    <w:rsid w:val="006A236A"/>
    <w:rsid w:val="006A45F8"/>
    <w:rsid w:val="006A6304"/>
    <w:rsid w:val="006B1F15"/>
    <w:rsid w:val="006B2469"/>
    <w:rsid w:val="006B4876"/>
    <w:rsid w:val="006C5E6A"/>
    <w:rsid w:val="006C62F7"/>
    <w:rsid w:val="006D21A9"/>
    <w:rsid w:val="006E01E7"/>
    <w:rsid w:val="006E3711"/>
    <w:rsid w:val="006E67FE"/>
    <w:rsid w:val="006E6E07"/>
    <w:rsid w:val="006F0A6D"/>
    <w:rsid w:val="007038B4"/>
    <w:rsid w:val="007069E9"/>
    <w:rsid w:val="007141F2"/>
    <w:rsid w:val="00721CA9"/>
    <w:rsid w:val="00730113"/>
    <w:rsid w:val="0073766C"/>
    <w:rsid w:val="0074136B"/>
    <w:rsid w:val="00741BD4"/>
    <w:rsid w:val="00743F83"/>
    <w:rsid w:val="007444E1"/>
    <w:rsid w:val="007459C4"/>
    <w:rsid w:val="007600CC"/>
    <w:rsid w:val="00763AB4"/>
    <w:rsid w:val="0077118F"/>
    <w:rsid w:val="00776F5F"/>
    <w:rsid w:val="00782DB1"/>
    <w:rsid w:val="00783330"/>
    <w:rsid w:val="007903AC"/>
    <w:rsid w:val="007907B7"/>
    <w:rsid w:val="00792411"/>
    <w:rsid w:val="007947C8"/>
    <w:rsid w:val="007968EA"/>
    <w:rsid w:val="007977E5"/>
    <w:rsid w:val="007A3B13"/>
    <w:rsid w:val="007A557C"/>
    <w:rsid w:val="007A5C91"/>
    <w:rsid w:val="007B1F99"/>
    <w:rsid w:val="007B29C5"/>
    <w:rsid w:val="007B53B6"/>
    <w:rsid w:val="007C0BCD"/>
    <w:rsid w:val="007C1954"/>
    <w:rsid w:val="007C2D4A"/>
    <w:rsid w:val="007C2FC8"/>
    <w:rsid w:val="007C4840"/>
    <w:rsid w:val="007D1141"/>
    <w:rsid w:val="007D1E4E"/>
    <w:rsid w:val="007D318F"/>
    <w:rsid w:val="007D3D87"/>
    <w:rsid w:val="007E3053"/>
    <w:rsid w:val="007E403C"/>
    <w:rsid w:val="007E5980"/>
    <w:rsid w:val="007E7069"/>
    <w:rsid w:val="007F4161"/>
    <w:rsid w:val="007F4CF9"/>
    <w:rsid w:val="007F5062"/>
    <w:rsid w:val="007F62CB"/>
    <w:rsid w:val="00800DFF"/>
    <w:rsid w:val="0080111B"/>
    <w:rsid w:val="00802750"/>
    <w:rsid w:val="00805929"/>
    <w:rsid w:val="00806A4A"/>
    <w:rsid w:val="0080798E"/>
    <w:rsid w:val="00807A5D"/>
    <w:rsid w:val="0081033C"/>
    <w:rsid w:val="008160AD"/>
    <w:rsid w:val="00817FC6"/>
    <w:rsid w:val="00820DF5"/>
    <w:rsid w:val="00821C7C"/>
    <w:rsid w:val="00823CB8"/>
    <w:rsid w:val="00824A66"/>
    <w:rsid w:val="008279DF"/>
    <w:rsid w:val="00831592"/>
    <w:rsid w:val="00834779"/>
    <w:rsid w:val="00834803"/>
    <w:rsid w:val="00834ED2"/>
    <w:rsid w:val="008359A5"/>
    <w:rsid w:val="00842678"/>
    <w:rsid w:val="00851D8D"/>
    <w:rsid w:val="00855AF7"/>
    <w:rsid w:val="00860C4E"/>
    <w:rsid w:val="008649DD"/>
    <w:rsid w:val="00865534"/>
    <w:rsid w:val="00865781"/>
    <w:rsid w:val="0087217E"/>
    <w:rsid w:val="008743E5"/>
    <w:rsid w:val="0087550D"/>
    <w:rsid w:val="00877C2F"/>
    <w:rsid w:val="0088027F"/>
    <w:rsid w:val="008806C2"/>
    <w:rsid w:val="00884559"/>
    <w:rsid w:val="00886346"/>
    <w:rsid w:val="00887B33"/>
    <w:rsid w:val="00893AD5"/>
    <w:rsid w:val="00893F46"/>
    <w:rsid w:val="00896DA8"/>
    <w:rsid w:val="00897718"/>
    <w:rsid w:val="00897B62"/>
    <w:rsid w:val="008A0F9E"/>
    <w:rsid w:val="008A36B9"/>
    <w:rsid w:val="008A4D63"/>
    <w:rsid w:val="008B1882"/>
    <w:rsid w:val="008C05EA"/>
    <w:rsid w:val="008C34D3"/>
    <w:rsid w:val="008C699A"/>
    <w:rsid w:val="008C703D"/>
    <w:rsid w:val="008C71BF"/>
    <w:rsid w:val="008C727F"/>
    <w:rsid w:val="008E097C"/>
    <w:rsid w:val="008E29A6"/>
    <w:rsid w:val="008E31EF"/>
    <w:rsid w:val="008E562C"/>
    <w:rsid w:val="008E5AF8"/>
    <w:rsid w:val="008F1344"/>
    <w:rsid w:val="008F1AED"/>
    <w:rsid w:val="009005FD"/>
    <w:rsid w:val="00900A96"/>
    <w:rsid w:val="00903284"/>
    <w:rsid w:val="009062B2"/>
    <w:rsid w:val="00911782"/>
    <w:rsid w:val="009129E4"/>
    <w:rsid w:val="00917FF0"/>
    <w:rsid w:val="00921C67"/>
    <w:rsid w:val="00921F57"/>
    <w:rsid w:val="0092346B"/>
    <w:rsid w:val="009320AE"/>
    <w:rsid w:val="00932ED2"/>
    <w:rsid w:val="00933090"/>
    <w:rsid w:val="00933ECA"/>
    <w:rsid w:val="00936FEF"/>
    <w:rsid w:val="00937742"/>
    <w:rsid w:val="00940852"/>
    <w:rsid w:val="00940A0D"/>
    <w:rsid w:val="0094361C"/>
    <w:rsid w:val="00951934"/>
    <w:rsid w:val="00954338"/>
    <w:rsid w:val="009559B5"/>
    <w:rsid w:val="00955DDC"/>
    <w:rsid w:val="00956045"/>
    <w:rsid w:val="009561E1"/>
    <w:rsid w:val="009564B6"/>
    <w:rsid w:val="009611F3"/>
    <w:rsid w:val="00961C5D"/>
    <w:rsid w:val="00975B42"/>
    <w:rsid w:val="0098219B"/>
    <w:rsid w:val="0098336F"/>
    <w:rsid w:val="00987555"/>
    <w:rsid w:val="00987B57"/>
    <w:rsid w:val="00993F27"/>
    <w:rsid w:val="009A58F6"/>
    <w:rsid w:val="009B506E"/>
    <w:rsid w:val="009B74EF"/>
    <w:rsid w:val="009C0592"/>
    <w:rsid w:val="009C3888"/>
    <w:rsid w:val="009C3902"/>
    <w:rsid w:val="009C71B7"/>
    <w:rsid w:val="009D19CC"/>
    <w:rsid w:val="009D2E6A"/>
    <w:rsid w:val="009D45FB"/>
    <w:rsid w:val="009D5C91"/>
    <w:rsid w:val="009D7682"/>
    <w:rsid w:val="009E0859"/>
    <w:rsid w:val="009E12A3"/>
    <w:rsid w:val="009E6DA3"/>
    <w:rsid w:val="00A040E9"/>
    <w:rsid w:val="00A0483E"/>
    <w:rsid w:val="00A10345"/>
    <w:rsid w:val="00A11EC7"/>
    <w:rsid w:val="00A1228E"/>
    <w:rsid w:val="00A1438A"/>
    <w:rsid w:val="00A174D1"/>
    <w:rsid w:val="00A203C4"/>
    <w:rsid w:val="00A2163B"/>
    <w:rsid w:val="00A22AFD"/>
    <w:rsid w:val="00A2591B"/>
    <w:rsid w:val="00A27931"/>
    <w:rsid w:val="00A318E1"/>
    <w:rsid w:val="00A33F8D"/>
    <w:rsid w:val="00A35A3E"/>
    <w:rsid w:val="00A35CE0"/>
    <w:rsid w:val="00A45FD2"/>
    <w:rsid w:val="00A51DAB"/>
    <w:rsid w:val="00A54AA5"/>
    <w:rsid w:val="00A54F04"/>
    <w:rsid w:val="00A56CBB"/>
    <w:rsid w:val="00A608ED"/>
    <w:rsid w:val="00A61B13"/>
    <w:rsid w:val="00A6292F"/>
    <w:rsid w:val="00A67401"/>
    <w:rsid w:val="00A73946"/>
    <w:rsid w:val="00A77237"/>
    <w:rsid w:val="00A81564"/>
    <w:rsid w:val="00A81C1D"/>
    <w:rsid w:val="00A939D3"/>
    <w:rsid w:val="00A97332"/>
    <w:rsid w:val="00AA5AE0"/>
    <w:rsid w:val="00AA6755"/>
    <w:rsid w:val="00AB203F"/>
    <w:rsid w:val="00AB53D1"/>
    <w:rsid w:val="00AB620D"/>
    <w:rsid w:val="00AB6A0D"/>
    <w:rsid w:val="00AB711A"/>
    <w:rsid w:val="00AC552E"/>
    <w:rsid w:val="00AC7F1C"/>
    <w:rsid w:val="00AD1172"/>
    <w:rsid w:val="00AD226F"/>
    <w:rsid w:val="00AD2D1A"/>
    <w:rsid w:val="00AD35F4"/>
    <w:rsid w:val="00AD3796"/>
    <w:rsid w:val="00AD7694"/>
    <w:rsid w:val="00AD7AE6"/>
    <w:rsid w:val="00AE1728"/>
    <w:rsid w:val="00AE5399"/>
    <w:rsid w:val="00AE6283"/>
    <w:rsid w:val="00AE7143"/>
    <w:rsid w:val="00AE71FD"/>
    <w:rsid w:val="00AE7602"/>
    <w:rsid w:val="00AF3F05"/>
    <w:rsid w:val="00AF49B8"/>
    <w:rsid w:val="00AF4A7C"/>
    <w:rsid w:val="00AF6D75"/>
    <w:rsid w:val="00B01952"/>
    <w:rsid w:val="00B02767"/>
    <w:rsid w:val="00B0282F"/>
    <w:rsid w:val="00B02F70"/>
    <w:rsid w:val="00B06AED"/>
    <w:rsid w:val="00B1238F"/>
    <w:rsid w:val="00B13010"/>
    <w:rsid w:val="00B16829"/>
    <w:rsid w:val="00B179ED"/>
    <w:rsid w:val="00B229CD"/>
    <w:rsid w:val="00B24AA9"/>
    <w:rsid w:val="00B31EE5"/>
    <w:rsid w:val="00B32AB4"/>
    <w:rsid w:val="00B34CCB"/>
    <w:rsid w:val="00B36CA6"/>
    <w:rsid w:val="00B37032"/>
    <w:rsid w:val="00B37657"/>
    <w:rsid w:val="00B4038B"/>
    <w:rsid w:val="00B43067"/>
    <w:rsid w:val="00B458AF"/>
    <w:rsid w:val="00B50247"/>
    <w:rsid w:val="00B52D67"/>
    <w:rsid w:val="00B55DD9"/>
    <w:rsid w:val="00B56E26"/>
    <w:rsid w:val="00B60D9D"/>
    <w:rsid w:val="00B63944"/>
    <w:rsid w:val="00B63A28"/>
    <w:rsid w:val="00B64ADD"/>
    <w:rsid w:val="00B7017B"/>
    <w:rsid w:val="00B718B8"/>
    <w:rsid w:val="00B71DB8"/>
    <w:rsid w:val="00B81F77"/>
    <w:rsid w:val="00B8590B"/>
    <w:rsid w:val="00B94F04"/>
    <w:rsid w:val="00B96F05"/>
    <w:rsid w:val="00B97ED9"/>
    <w:rsid w:val="00BA3BEF"/>
    <w:rsid w:val="00BB0654"/>
    <w:rsid w:val="00BB312F"/>
    <w:rsid w:val="00BB36C9"/>
    <w:rsid w:val="00BB60AC"/>
    <w:rsid w:val="00BB702A"/>
    <w:rsid w:val="00BB734E"/>
    <w:rsid w:val="00BC231D"/>
    <w:rsid w:val="00BC5A8C"/>
    <w:rsid w:val="00BC64E2"/>
    <w:rsid w:val="00BD0174"/>
    <w:rsid w:val="00BD5144"/>
    <w:rsid w:val="00BD5670"/>
    <w:rsid w:val="00BE1964"/>
    <w:rsid w:val="00BE2FA5"/>
    <w:rsid w:val="00BE4AC3"/>
    <w:rsid w:val="00BE4D3C"/>
    <w:rsid w:val="00BE5162"/>
    <w:rsid w:val="00BE604B"/>
    <w:rsid w:val="00BE700A"/>
    <w:rsid w:val="00BF151E"/>
    <w:rsid w:val="00BF1997"/>
    <w:rsid w:val="00BF3824"/>
    <w:rsid w:val="00BF3CC3"/>
    <w:rsid w:val="00BF5BA0"/>
    <w:rsid w:val="00C066B6"/>
    <w:rsid w:val="00C11027"/>
    <w:rsid w:val="00C11DB4"/>
    <w:rsid w:val="00C24CFB"/>
    <w:rsid w:val="00C3137E"/>
    <w:rsid w:val="00C31EEA"/>
    <w:rsid w:val="00C322AD"/>
    <w:rsid w:val="00C34948"/>
    <w:rsid w:val="00C35CFF"/>
    <w:rsid w:val="00C44207"/>
    <w:rsid w:val="00C4714F"/>
    <w:rsid w:val="00C51413"/>
    <w:rsid w:val="00C52663"/>
    <w:rsid w:val="00C5468C"/>
    <w:rsid w:val="00C6034D"/>
    <w:rsid w:val="00C65435"/>
    <w:rsid w:val="00C67D73"/>
    <w:rsid w:val="00C728C2"/>
    <w:rsid w:val="00C74761"/>
    <w:rsid w:val="00C77EC1"/>
    <w:rsid w:val="00C80559"/>
    <w:rsid w:val="00C81C17"/>
    <w:rsid w:val="00C82694"/>
    <w:rsid w:val="00C87EFE"/>
    <w:rsid w:val="00C93959"/>
    <w:rsid w:val="00C95D7C"/>
    <w:rsid w:val="00C95E43"/>
    <w:rsid w:val="00CA3BF8"/>
    <w:rsid w:val="00CA6ACC"/>
    <w:rsid w:val="00CB01A5"/>
    <w:rsid w:val="00CB0CB2"/>
    <w:rsid w:val="00CB400C"/>
    <w:rsid w:val="00CB63EA"/>
    <w:rsid w:val="00CC0EB0"/>
    <w:rsid w:val="00CC158D"/>
    <w:rsid w:val="00CC25A6"/>
    <w:rsid w:val="00CC38E6"/>
    <w:rsid w:val="00CC6FCA"/>
    <w:rsid w:val="00CD0F2D"/>
    <w:rsid w:val="00CD7273"/>
    <w:rsid w:val="00CD7CB4"/>
    <w:rsid w:val="00CE419C"/>
    <w:rsid w:val="00CE4804"/>
    <w:rsid w:val="00CE595B"/>
    <w:rsid w:val="00CE5F9F"/>
    <w:rsid w:val="00CE61C1"/>
    <w:rsid w:val="00CF0044"/>
    <w:rsid w:val="00CF7CE1"/>
    <w:rsid w:val="00D00A14"/>
    <w:rsid w:val="00D00E8F"/>
    <w:rsid w:val="00D0236E"/>
    <w:rsid w:val="00D024F9"/>
    <w:rsid w:val="00D033C4"/>
    <w:rsid w:val="00D13784"/>
    <w:rsid w:val="00D13E57"/>
    <w:rsid w:val="00D15827"/>
    <w:rsid w:val="00D2273D"/>
    <w:rsid w:val="00D260FD"/>
    <w:rsid w:val="00D30F72"/>
    <w:rsid w:val="00D32932"/>
    <w:rsid w:val="00D338EF"/>
    <w:rsid w:val="00D3752C"/>
    <w:rsid w:val="00D52F24"/>
    <w:rsid w:val="00D5763E"/>
    <w:rsid w:val="00D577DC"/>
    <w:rsid w:val="00D6097A"/>
    <w:rsid w:val="00D674BB"/>
    <w:rsid w:val="00D7567A"/>
    <w:rsid w:val="00D76A1F"/>
    <w:rsid w:val="00D8169F"/>
    <w:rsid w:val="00D82EDA"/>
    <w:rsid w:val="00D9075D"/>
    <w:rsid w:val="00D95A77"/>
    <w:rsid w:val="00D965BB"/>
    <w:rsid w:val="00DA288B"/>
    <w:rsid w:val="00DA33C9"/>
    <w:rsid w:val="00DA6222"/>
    <w:rsid w:val="00DA7AC7"/>
    <w:rsid w:val="00DA7CDD"/>
    <w:rsid w:val="00DB3839"/>
    <w:rsid w:val="00DB3898"/>
    <w:rsid w:val="00DB3DD3"/>
    <w:rsid w:val="00DB3FC8"/>
    <w:rsid w:val="00DB4070"/>
    <w:rsid w:val="00DB464C"/>
    <w:rsid w:val="00DC1E16"/>
    <w:rsid w:val="00DC22B3"/>
    <w:rsid w:val="00DC55CB"/>
    <w:rsid w:val="00DE022A"/>
    <w:rsid w:val="00DE15D6"/>
    <w:rsid w:val="00DE5488"/>
    <w:rsid w:val="00DE707B"/>
    <w:rsid w:val="00DE7926"/>
    <w:rsid w:val="00DE7E61"/>
    <w:rsid w:val="00DF2065"/>
    <w:rsid w:val="00DF20B7"/>
    <w:rsid w:val="00E01434"/>
    <w:rsid w:val="00E02827"/>
    <w:rsid w:val="00E078C6"/>
    <w:rsid w:val="00E12B8B"/>
    <w:rsid w:val="00E12D4B"/>
    <w:rsid w:val="00E210D3"/>
    <w:rsid w:val="00E230D7"/>
    <w:rsid w:val="00E23205"/>
    <w:rsid w:val="00E27E6E"/>
    <w:rsid w:val="00E353E7"/>
    <w:rsid w:val="00E37612"/>
    <w:rsid w:val="00E408AB"/>
    <w:rsid w:val="00E40978"/>
    <w:rsid w:val="00E42A99"/>
    <w:rsid w:val="00E439E6"/>
    <w:rsid w:val="00E45515"/>
    <w:rsid w:val="00E4607C"/>
    <w:rsid w:val="00E4636A"/>
    <w:rsid w:val="00E51128"/>
    <w:rsid w:val="00E52E97"/>
    <w:rsid w:val="00E564A4"/>
    <w:rsid w:val="00E56F99"/>
    <w:rsid w:val="00E62E23"/>
    <w:rsid w:val="00E63C65"/>
    <w:rsid w:val="00E70761"/>
    <w:rsid w:val="00E86C95"/>
    <w:rsid w:val="00E90CAB"/>
    <w:rsid w:val="00E93A1B"/>
    <w:rsid w:val="00E95E67"/>
    <w:rsid w:val="00EA5BBB"/>
    <w:rsid w:val="00EA5DD9"/>
    <w:rsid w:val="00EA6AA3"/>
    <w:rsid w:val="00EB2ABC"/>
    <w:rsid w:val="00EC0802"/>
    <w:rsid w:val="00EC2936"/>
    <w:rsid w:val="00EC4336"/>
    <w:rsid w:val="00EC53BA"/>
    <w:rsid w:val="00ED0FE3"/>
    <w:rsid w:val="00ED2550"/>
    <w:rsid w:val="00ED290E"/>
    <w:rsid w:val="00ED4887"/>
    <w:rsid w:val="00ED742B"/>
    <w:rsid w:val="00EE02C2"/>
    <w:rsid w:val="00EE53B4"/>
    <w:rsid w:val="00EF2F7F"/>
    <w:rsid w:val="00EF302B"/>
    <w:rsid w:val="00EF4F79"/>
    <w:rsid w:val="00EF63AB"/>
    <w:rsid w:val="00F008DA"/>
    <w:rsid w:val="00F034F9"/>
    <w:rsid w:val="00F05220"/>
    <w:rsid w:val="00F126A1"/>
    <w:rsid w:val="00F12F57"/>
    <w:rsid w:val="00F16FE6"/>
    <w:rsid w:val="00F23B8B"/>
    <w:rsid w:val="00F245CE"/>
    <w:rsid w:val="00F30D92"/>
    <w:rsid w:val="00F32B8A"/>
    <w:rsid w:val="00F32D61"/>
    <w:rsid w:val="00F44521"/>
    <w:rsid w:val="00F45044"/>
    <w:rsid w:val="00F45DC4"/>
    <w:rsid w:val="00F50EEB"/>
    <w:rsid w:val="00F53CE4"/>
    <w:rsid w:val="00F549F8"/>
    <w:rsid w:val="00F55175"/>
    <w:rsid w:val="00F553FC"/>
    <w:rsid w:val="00F61058"/>
    <w:rsid w:val="00F63797"/>
    <w:rsid w:val="00F71745"/>
    <w:rsid w:val="00F72253"/>
    <w:rsid w:val="00F75CB6"/>
    <w:rsid w:val="00F76D30"/>
    <w:rsid w:val="00F77D64"/>
    <w:rsid w:val="00F943EA"/>
    <w:rsid w:val="00F96982"/>
    <w:rsid w:val="00FB6ABE"/>
    <w:rsid w:val="00FB77D1"/>
    <w:rsid w:val="00FC1D7D"/>
    <w:rsid w:val="00FC532B"/>
    <w:rsid w:val="00FC6045"/>
    <w:rsid w:val="00FC650D"/>
    <w:rsid w:val="00FD0112"/>
    <w:rsid w:val="00FD64A0"/>
    <w:rsid w:val="00FE0AC6"/>
    <w:rsid w:val="00FE201E"/>
    <w:rsid w:val="00FE6B1B"/>
    <w:rsid w:val="00FE7485"/>
    <w:rsid w:val="00FE7736"/>
    <w:rsid w:val="00FE7D1E"/>
    <w:rsid w:val="00FF1C2D"/>
    <w:rsid w:val="00FF55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909D2"/>
  <w15:docId w15:val="{3FCB60B8-30D0-4F73-9645-D6A1931E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3EA"/>
    <w:pPr>
      <w:spacing w:line="480" w:lineRule="auto"/>
      <w:jc w:val="both"/>
    </w:pPr>
    <w:rPr>
      <w:rFonts w:ascii="Times New Roman" w:hAnsi="Times New Roman"/>
      <w:sz w:val="26"/>
      <w:szCs w:val="22"/>
      <w:lang w:val="en-ZA"/>
    </w:rPr>
  </w:style>
  <w:style w:type="paragraph" w:styleId="Heading2">
    <w:name w:val="heading 2"/>
    <w:basedOn w:val="Normal"/>
    <w:next w:val="Normal"/>
    <w:link w:val="Heading2Char"/>
    <w:uiPriority w:val="9"/>
    <w:semiHidden/>
    <w:qFormat/>
    <w:rsid w:val="00A040E9"/>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1A05D2"/>
    <w:pPr>
      <w:numPr>
        <w:numId w:val="1"/>
      </w:numPr>
      <w:spacing w:line="360" w:lineRule="auto"/>
    </w:pPr>
  </w:style>
  <w:style w:type="paragraph" w:customStyle="1" w:styleId="JUDGMENTCONTINUED">
    <w:name w:val="JUDGMENT CONTINUED"/>
    <w:basedOn w:val="JUDGMENTNUMBERED"/>
    <w:next w:val="JUDGMENTNUMBERED"/>
    <w:qFormat/>
    <w:rsid w:val="000C38CF"/>
    <w:pPr>
      <w:numPr>
        <w:numId w:val="0"/>
      </w:numPr>
    </w:pPr>
  </w:style>
  <w:style w:type="paragraph" w:customStyle="1" w:styleId="QUOTATION">
    <w:name w:val="QUOTATION"/>
    <w:basedOn w:val="Normal"/>
    <w:next w:val="JUDGMENTCONTINUED"/>
    <w:qFormat/>
    <w:rsid w:val="00CF0044"/>
    <w:pPr>
      <w:spacing w:line="360" w:lineRule="auto"/>
      <w:ind w:left="720" w:right="720"/>
    </w:pPr>
    <w:rPr>
      <w:sz w:val="22"/>
    </w:rPr>
  </w:style>
  <w:style w:type="paragraph" w:customStyle="1" w:styleId="QUOTEINQUOTE">
    <w:name w:val="QUOTE IN QUOTE"/>
    <w:basedOn w:val="QUOTATION"/>
    <w:next w:val="QUOTATION"/>
    <w:qFormat/>
    <w:rsid w:val="00E45515"/>
    <w:pPr>
      <w:ind w:left="1440" w:right="1440"/>
    </w:pPr>
  </w:style>
  <w:style w:type="paragraph" w:customStyle="1" w:styleId="FootnoteText1">
    <w:name w:val="Footnote Text1"/>
    <w:basedOn w:val="Normal"/>
    <w:qFormat/>
    <w:rsid w:val="00E4607C"/>
    <w:pPr>
      <w:spacing w:after="120" w:line="240" w:lineRule="auto"/>
    </w:pPr>
    <w:rPr>
      <w:sz w:val="20"/>
    </w:rPr>
  </w:style>
  <w:style w:type="paragraph" w:styleId="ListParagraph">
    <w:name w:val="List Paragraph"/>
    <w:basedOn w:val="Normal"/>
    <w:uiPriority w:val="34"/>
    <w:semiHidden/>
    <w:qFormat/>
    <w:rsid w:val="00E4607C"/>
    <w:pPr>
      <w:ind w:left="720"/>
      <w:contextualSpacing/>
    </w:pPr>
  </w:style>
  <w:style w:type="paragraph" w:styleId="FootnoteText">
    <w:name w:val="footnote text"/>
    <w:basedOn w:val="FootnoteText1"/>
    <w:link w:val="FootnoteTextChar"/>
    <w:unhideWhenUsed/>
    <w:rsid w:val="00CB63EA"/>
  </w:style>
  <w:style w:type="character" w:customStyle="1" w:styleId="FootnoteTextChar">
    <w:name w:val="Footnote Text Char"/>
    <w:basedOn w:val="DefaultParagraphFont"/>
    <w:link w:val="FootnoteText"/>
    <w:rsid w:val="00CB63EA"/>
    <w:rPr>
      <w:rFonts w:ascii="Times New Roman" w:hAnsi="Times New Roman"/>
      <w:szCs w:val="22"/>
      <w:lang w:val="en-ZA"/>
    </w:rPr>
  </w:style>
  <w:style w:type="character" w:styleId="FootnoteReference">
    <w:name w:val="footnote reference"/>
    <w:basedOn w:val="DefaultParagraphFont"/>
    <w:semiHidden/>
    <w:unhideWhenUsed/>
    <w:rsid w:val="00E4607C"/>
    <w:rPr>
      <w:vertAlign w:val="superscript"/>
    </w:rPr>
  </w:style>
  <w:style w:type="paragraph" w:customStyle="1" w:styleId="QUOTEINFOOTNOTE">
    <w:name w:val="QUOTE IN FOOTNOTE"/>
    <w:basedOn w:val="FootnoteText1"/>
    <w:next w:val="FootnoteText1"/>
    <w:qFormat/>
    <w:rsid w:val="00E4607C"/>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0C38CF"/>
    <w:pPr>
      <w:numPr>
        <w:numId w:val="0"/>
      </w:numPr>
      <w:ind w:left="1440" w:hanging="720"/>
    </w:pPr>
  </w:style>
  <w:style w:type="paragraph" w:customStyle="1" w:styleId="HEADING">
    <w:name w:val="HEADING"/>
    <w:basedOn w:val="JUDGMENTNUMBERED"/>
    <w:next w:val="JUDGMENTNUMBERED"/>
    <w:link w:val="HEADINGChar"/>
    <w:qFormat/>
    <w:rsid w:val="00937742"/>
    <w:pPr>
      <w:keepNext/>
      <w:numPr>
        <w:numId w:val="0"/>
      </w:numPr>
      <w:spacing w:after="120"/>
    </w:pPr>
    <w:rPr>
      <w:i/>
    </w:rPr>
  </w:style>
  <w:style w:type="character" w:customStyle="1" w:styleId="JUDGMENTNUMBEREDChar">
    <w:name w:val="JUDGMENT NUMBERED Char"/>
    <w:basedOn w:val="DefaultParagraphFont"/>
    <w:link w:val="JUDGMENTNUMBERED"/>
    <w:rsid w:val="000C38CF"/>
    <w:rPr>
      <w:rFonts w:ascii="Times New Roman" w:hAnsi="Times New Roman"/>
      <w:sz w:val="26"/>
      <w:szCs w:val="22"/>
      <w:lang w:val="en-ZA"/>
    </w:rPr>
  </w:style>
  <w:style w:type="character" w:customStyle="1" w:styleId="LISTChar">
    <w:name w:val="LIST Char"/>
    <w:basedOn w:val="JUDGMENTNUMBEREDChar"/>
    <w:link w:val="List1"/>
    <w:rsid w:val="000C38CF"/>
    <w:rPr>
      <w:rFonts w:ascii="Times New Roman" w:hAnsi="Times New Roman"/>
      <w:sz w:val="26"/>
      <w:szCs w:val="22"/>
      <w:lang w:val="en-ZA"/>
    </w:rPr>
  </w:style>
  <w:style w:type="character" w:customStyle="1" w:styleId="HEADINGChar">
    <w:name w:val="HEADING Char"/>
    <w:basedOn w:val="JUDGMENTNUMBEREDChar"/>
    <w:link w:val="HEADING"/>
    <w:rsid w:val="00937742"/>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0C38CF"/>
    <w:pPr>
      <w:numPr>
        <w:numId w:val="0"/>
      </w:numPr>
      <w:ind w:left="1440" w:hanging="720"/>
    </w:pPr>
  </w:style>
  <w:style w:type="character" w:customStyle="1" w:styleId="ORDERChar">
    <w:name w:val="ORDER Char"/>
    <w:basedOn w:val="JUDGMENTNUMBEREDChar"/>
    <w:link w:val="ORDER"/>
    <w:rsid w:val="000C38CF"/>
    <w:rPr>
      <w:rFonts w:ascii="Times New Roman" w:hAnsi="Times New Roman"/>
      <w:sz w:val="26"/>
      <w:szCs w:val="22"/>
      <w:lang w:val="en-ZA"/>
    </w:rPr>
  </w:style>
  <w:style w:type="paragraph" w:customStyle="1" w:styleId="BODYNON-NUMBERED">
    <w:name w:val="BODY NON-NUMBERED"/>
    <w:basedOn w:val="Normal"/>
    <w:link w:val="BODYNON-NUMBEREDChar"/>
    <w:qFormat/>
    <w:rsid w:val="00FF5547"/>
    <w:pPr>
      <w:tabs>
        <w:tab w:val="left" w:pos="680"/>
      </w:tabs>
      <w:spacing w:after="240" w:line="276" w:lineRule="auto"/>
    </w:pPr>
  </w:style>
  <w:style w:type="character" w:customStyle="1" w:styleId="BODYNON-NUMBEREDChar">
    <w:name w:val="BODY NON-NUMBERED Char"/>
    <w:basedOn w:val="DefaultParagraphFont"/>
    <w:link w:val="BODYNON-NUMBERED"/>
    <w:rsid w:val="00FF5547"/>
    <w:rPr>
      <w:rFonts w:ascii="Times New Roman" w:hAnsi="Times New Roman"/>
      <w:sz w:val="26"/>
      <w:szCs w:val="22"/>
      <w:lang w:val="en-ZA"/>
    </w:rPr>
  </w:style>
  <w:style w:type="character" w:styleId="CommentReference">
    <w:name w:val="annotation reference"/>
    <w:basedOn w:val="DefaultParagraphFont"/>
    <w:uiPriority w:val="99"/>
    <w:semiHidden/>
    <w:unhideWhenUsed/>
    <w:rsid w:val="00C65435"/>
    <w:rPr>
      <w:sz w:val="16"/>
      <w:szCs w:val="16"/>
    </w:rPr>
  </w:style>
  <w:style w:type="paragraph" w:styleId="CommentText">
    <w:name w:val="annotation text"/>
    <w:basedOn w:val="Normal"/>
    <w:link w:val="CommentTextChar"/>
    <w:uiPriority w:val="99"/>
    <w:unhideWhenUsed/>
    <w:rsid w:val="001A05D2"/>
    <w:pPr>
      <w:spacing w:line="240" w:lineRule="auto"/>
    </w:pPr>
    <w:rPr>
      <w:sz w:val="20"/>
      <w:szCs w:val="20"/>
    </w:rPr>
  </w:style>
  <w:style w:type="character" w:customStyle="1" w:styleId="CommentTextChar">
    <w:name w:val="Comment Text Char"/>
    <w:basedOn w:val="DefaultParagraphFont"/>
    <w:link w:val="CommentText"/>
    <w:uiPriority w:val="99"/>
    <w:rsid w:val="00C65435"/>
    <w:rPr>
      <w:rFonts w:ascii="Times New Roman" w:hAnsi="Times New Roman"/>
      <w:lang w:val="en-ZA"/>
    </w:rPr>
  </w:style>
  <w:style w:type="paragraph" w:styleId="CommentSubject">
    <w:name w:val="annotation subject"/>
    <w:basedOn w:val="CommentText"/>
    <w:next w:val="CommentText"/>
    <w:link w:val="CommentSubjectChar"/>
    <w:uiPriority w:val="99"/>
    <w:semiHidden/>
    <w:unhideWhenUsed/>
    <w:rsid w:val="00C65435"/>
    <w:rPr>
      <w:b/>
      <w:bCs/>
    </w:rPr>
  </w:style>
  <w:style w:type="character" w:customStyle="1" w:styleId="CommentSubjectChar">
    <w:name w:val="Comment Subject Char"/>
    <w:basedOn w:val="CommentTextChar"/>
    <w:link w:val="CommentSubject"/>
    <w:uiPriority w:val="99"/>
    <w:semiHidden/>
    <w:rsid w:val="00C65435"/>
    <w:rPr>
      <w:rFonts w:ascii="Times New Roman" w:hAnsi="Times New Roman"/>
      <w:b/>
      <w:bCs/>
      <w:lang w:val="en-ZA"/>
    </w:rPr>
  </w:style>
  <w:style w:type="character" w:styleId="Hyperlink">
    <w:name w:val="Hyperlink"/>
    <w:basedOn w:val="DefaultParagraphFont"/>
    <w:uiPriority w:val="99"/>
    <w:unhideWhenUsed/>
    <w:rsid w:val="00BF5BA0"/>
    <w:rPr>
      <w:color w:val="0000FF" w:themeColor="hyperlink"/>
      <w:u w:val="single"/>
    </w:rPr>
  </w:style>
  <w:style w:type="character" w:styleId="FollowedHyperlink">
    <w:name w:val="FollowedHyperlink"/>
    <w:basedOn w:val="DefaultParagraphFont"/>
    <w:uiPriority w:val="99"/>
    <w:semiHidden/>
    <w:unhideWhenUsed/>
    <w:rsid w:val="00DF2065"/>
    <w:rPr>
      <w:color w:val="800080" w:themeColor="followedHyperlink"/>
      <w:u w:val="single"/>
    </w:rPr>
  </w:style>
  <w:style w:type="paragraph" w:styleId="NormalWeb">
    <w:name w:val="Normal (Web)"/>
    <w:basedOn w:val="Normal"/>
    <w:uiPriority w:val="99"/>
    <w:unhideWhenUsed/>
    <w:rsid w:val="001A05D2"/>
    <w:pPr>
      <w:spacing w:before="100" w:beforeAutospacing="1" w:after="100" w:afterAutospacing="1" w:line="240" w:lineRule="auto"/>
      <w:jc w:val="left"/>
    </w:pPr>
    <w:rPr>
      <w:rFonts w:eastAsia="Times New Roman"/>
      <w:sz w:val="24"/>
      <w:szCs w:val="24"/>
      <w:lang w:eastAsia="en-ZA"/>
    </w:rPr>
  </w:style>
  <w:style w:type="character" w:styleId="Emphasis">
    <w:name w:val="Emphasis"/>
    <w:basedOn w:val="DefaultParagraphFont"/>
    <w:uiPriority w:val="20"/>
    <w:qFormat/>
    <w:rsid w:val="001A05D2"/>
    <w:rPr>
      <w:i/>
      <w:iCs/>
    </w:rPr>
  </w:style>
  <w:style w:type="paragraph" w:styleId="Revision">
    <w:name w:val="Revision"/>
    <w:hidden/>
    <w:uiPriority w:val="99"/>
    <w:semiHidden/>
    <w:rsid w:val="00EE02C2"/>
    <w:rPr>
      <w:rFonts w:ascii="Times New Roman" w:hAnsi="Times New Roman"/>
      <w:sz w:val="26"/>
      <w:szCs w:val="22"/>
      <w:lang w:val="en-ZA"/>
    </w:rPr>
  </w:style>
  <w:style w:type="character" w:customStyle="1" w:styleId="BODYLISTChar">
    <w:name w:val="BODY LIST Char"/>
    <w:basedOn w:val="DefaultParagraphFont"/>
    <w:link w:val="BODYLIST"/>
    <w:locked/>
    <w:rsid w:val="00EE02C2"/>
    <w:rPr>
      <w:rFonts w:ascii="Times New Roman" w:hAnsi="Times New Roman"/>
      <w:sz w:val="26"/>
      <w:szCs w:val="22"/>
      <w:lang w:val="en-ZA"/>
    </w:rPr>
  </w:style>
  <w:style w:type="paragraph" w:customStyle="1" w:styleId="BODYLIST">
    <w:name w:val="BODY LIST"/>
    <w:basedOn w:val="BODYNON-NUMBERED"/>
    <w:link w:val="BODYLISTChar"/>
    <w:qFormat/>
    <w:rsid w:val="00EE02C2"/>
    <w:pPr>
      <w:numPr>
        <w:numId w:val="3"/>
      </w:numPr>
    </w:pPr>
  </w:style>
  <w:style w:type="character" w:customStyle="1" w:styleId="Heading2Char">
    <w:name w:val="Heading 2 Char"/>
    <w:basedOn w:val="DefaultParagraphFont"/>
    <w:link w:val="Heading2"/>
    <w:uiPriority w:val="9"/>
    <w:semiHidden/>
    <w:rsid w:val="00A040E9"/>
    <w:rPr>
      <w:rFonts w:asciiTheme="majorHAnsi" w:eastAsiaTheme="majorEastAsia" w:hAnsiTheme="majorHAnsi" w:cstheme="majorBidi"/>
      <w:color w:val="365F91" w:themeColor="accent1" w:themeShade="BF"/>
      <w:sz w:val="26"/>
      <w:szCs w:val="2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49239">
      <w:bodyDiv w:val="1"/>
      <w:marLeft w:val="0"/>
      <w:marRight w:val="0"/>
      <w:marTop w:val="0"/>
      <w:marBottom w:val="0"/>
      <w:divBdr>
        <w:top w:val="none" w:sz="0" w:space="0" w:color="auto"/>
        <w:left w:val="none" w:sz="0" w:space="0" w:color="auto"/>
        <w:bottom w:val="none" w:sz="0" w:space="0" w:color="auto"/>
        <w:right w:val="none" w:sz="0" w:space="0" w:color="auto"/>
      </w:divBdr>
      <w:divsChild>
        <w:div w:id="39609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317581">
              <w:marLeft w:val="0"/>
              <w:marRight w:val="0"/>
              <w:marTop w:val="0"/>
              <w:marBottom w:val="0"/>
              <w:divBdr>
                <w:top w:val="none" w:sz="0" w:space="0" w:color="auto"/>
                <w:left w:val="none" w:sz="0" w:space="0" w:color="auto"/>
                <w:bottom w:val="none" w:sz="0" w:space="0" w:color="auto"/>
                <w:right w:val="none" w:sz="0" w:space="0" w:color="auto"/>
              </w:divBdr>
              <w:divsChild>
                <w:div w:id="1230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67329">
      <w:bodyDiv w:val="1"/>
      <w:marLeft w:val="0"/>
      <w:marRight w:val="0"/>
      <w:marTop w:val="0"/>
      <w:marBottom w:val="0"/>
      <w:divBdr>
        <w:top w:val="none" w:sz="0" w:space="0" w:color="auto"/>
        <w:left w:val="none" w:sz="0" w:space="0" w:color="auto"/>
        <w:bottom w:val="none" w:sz="0" w:space="0" w:color="auto"/>
        <w:right w:val="none" w:sz="0" w:space="0" w:color="auto"/>
      </w:divBdr>
    </w:div>
    <w:div w:id="787241504">
      <w:bodyDiv w:val="1"/>
      <w:marLeft w:val="0"/>
      <w:marRight w:val="0"/>
      <w:marTop w:val="0"/>
      <w:marBottom w:val="0"/>
      <w:divBdr>
        <w:top w:val="none" w:sz="0" w:space="0" w:color="auto"/>
        <w:left w:val="none" w:sz="0" w:space="0" w:color="auto"/>
        <w:bottom w:val="none" w:sz="0" w:space="0" w:color="auto"/>
        <w:right w:val="none" w:sz="0" w:space="0" w:color="auto"/>
      </w:divBdr>
      <w:divsChild>
        <w:div w:id="487064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296493">
              <w:marLeft w:val="0"/>
              <w:marRight w:val="0"/>
              <w:marTop w:val="0"/>
              <w:marBottom w:val="0"/>
              <w:divBdr>
                <w:top w:val="none" w:sz="0" w:space="0" w:color="auto"/>
                <w:left w:val="none" w:sz="0" w:space="0" w:color="auto"/>
                <w:bottom w:val="none" w:sz="0" w:space="0" w:color="auto"/>
                <w:right w:val="none" w:sz="0" w:space="0" w:color="auto"/>
              </w:divBdr>
              <w:divsChild>
                <w:div w:id="505902563">
                  <w:marLeft w:val="0"/>
                  <w:marRight w:val="0"/>
                  <w:marTop w:val="0"/>
                  <w:marBottom w:val="0"/>
                  <w:divBdr>
                    <w:top w:val="none" w:sz="0" w:space="0" w:color="auto"/>
                    <w:left w:val="none" w:sz="0" w:space="0" w:color="auto"/>
                    <w:bottom w:val="none" w:sz="0" w:space="0" w:color="auto"/>
                    <w:right w:val="none" w:sz="0" w:space="0" w:color="auto"/>
                  </w:divBdr>
                  <w:divsChild>
                    <w:div w:id="1250891408">
                      <w:marLeft w:val="0"/>
                      <w:marRight w:val="0"/>
                      <w:marTop w:val="0"/>
                      <w:marBottom w:val="0"/>
                      <w:divBdr>
                        <w:top w:val="none" w:sz="0" w:space="0" w:color="auto"/>
                        <w:left w:val="none" w:sz="0" w:space="0" w:color="auto"/>
                        <w:bottom w:val="none" w:sz="0" w:space="0" w:color="auto"/>
                        <w:right w:val="none" w:sz="0" w:space="0" w:color="auto"/>
                      </w:divBdr>
                      <w:divsChild>
                        <w:div w:id="769590748">
                          <w:marLeft w:val="0"/>
                          <w:marRight w:val="0"/>
                          <w:marTop w:val="0"/>
                          <w:marBottom w:val="0"/>
                          <w:divBdr>
                            <w:top w:val="none" w:sz="0" w:space="0" w:color="auto"/>
                            <w:left w:val="none" w:sz="0" w:space="0" w:color="auto"/>
                            <w:bottom w:val="none" w:sz="0" w:space="0" w:color="auto"/>
                            <w:right w:val="none" w:sz="0" w:space="0" w:color="auto"/>
                          </w:divBdr>
                          <w:divsChild>
                            <w:div w:id="100073963">
                              <w:marLeft w:val="0"/>
                              <w:marRight w:val="0"/>
                              <w:marTop w:val="0"/>
                              <w:marBottom w:val="0"/>
                              <w:divBdr>
                                <w:top w:val="none" w:sz="0" w:space="0" w:color="auto"/>
                                <w:left w:val="none" w:sz="0" w:space="0" w:color="auto"/>
                                <w:bottom w:val="none" w:sz="0" w:space="0" w:color="auto"/>
                                <w:right w:val="none" w:sz="0" w:space="0" w:color="auto"/>
                              </w:divBdr>
                              <w:divsChild>
                                <w:div w:id="1945110148">
                                  <w:marLeft w:val="0"/>
                                  <w:marRight w:val="0"/>
                                  <w:marTop w:val="0"/>
                                  <w:marBottom w:val="0"/>
                                  <w:divBdr>
                                    <w:top w:val="none" w:sz="0" w:space="0" w:color="auto"/>
                                    <w:left w:val="none" w:sz="0" w:space="0" w:color="auto"/>
                                    <w:bottom w:val="none" w:sz="0" w:space="0" w:color="auto"/>
                                    <w:right w:val="none" w:sz="0" w:space="0" w:color="auto"/>
                                  </w:divBdr>
                                  <w:divsChild>
                                    <w:div w:id="1904215303">
                                      <w:marLeft w:val="0"/>
                                      <w:marRight w:val="0"/>
                                      <w:marTop w:val="0"/>
                                      <w:marBottom w:val="0"/>
                                      <w:divBdr>
                                        <w:top w:val="none" w:sz="0" w:space="0" w:color="auto"/>
                                        <w:left w:val="none" w:sz="0" w:space="0" w:color="auto"/>
                                        <w:bottom w:val="none" w:sz="0" w:space="0" w:color="auto"/>
                                        <w:right w:val="none" w:sz="0" w:space="0" w:color="auto"/>
                                      </w:divBdr>
                                      <w:divsChild>
                                        <w:div w:id="919874412">
                                          <w:marLeft w:val="0"/>
                                          <w:marRight w:val="0"/>
                                          <w:marTop w:val="0"/>
                                          <w:marBottom w:val="0"/>
                                          <w:divBdr>
                                            <w:top w:val="none" w:sz="0" w:space="0" w:color="auto"/>
                                            <w:left w:val="none" w:sz="0" w:space="0" w:color="auto"/>
                                            <w:bottom w:val="none" w:sz="0" w:space="0" w:color="auto"/>
                                            <w:right w:val="none" w:sz="0" w:space="0" w:color="auto"/>
                                          </w:divBdr>
                                          <w:divsChild>
                                            <w:div w:id="840855094">
                                              <w:marLeft w:val="0"/>
                                              <w:marRight w:val="0"/>
                                              <w:marTop w:val="0"/>
                                              <w:marBottom w:val="0"/>
                                              <w:divBdr>
                                                <w:top w:val="none" w:sz="0" w:space="0" w:color="auto"/>
                                                <w:left w:val="none" w:sz="0" w:space="0" w:color="auto"/>
                                                <w:bottom w:val="none" w:sz="0" w:space="0" w:color="auto"/>
                                                <w:right w:val="none" w:sz="0" w:space="0" w:color="auto"/>
                                              </w:divBdr>
                                              <w:divsChild>
                                                <w:div w:id="3436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127811">
      <w:bodyDiv w:val="1"/>
      <w:marLeft w:val="0"/>
      <w:marRight w:val="0"/>
      <w:marTop w:val="0"/>
      <w:marBottom w:val="0"/>
      <w:divBdr>
        <w:top w:val="none" w:sz="0" w:space="0" w:color="auto"/>
        <w:left w:val="none" w:sz="0" w:space="0" w:color="auto"/>
        <w:bottom w:val="none" w:sz="0" w:space="0" w:color="auto"/>
        <w:right w:val="none" w:sz="0" w:space="0" w:color="auto"/>
      </w:divBdr>
    </w:div>
    <w:div w:id="881215086">
      <w:bodyDiv w:val="1"/>
      <w:marLeft w:val="0"/>
      <w:marRight w:val="0"/>
      <w:marTop w:val="0"/>
      <w:marBottom w:val="0"/>
      <w:divBdr>
        <w:top w:val="none" w:sz="0" w:space="0" w:color="auto"/>
        <w:left w:val="none" w:sz="0" w:space="0" w:color="auto"/>
        <w:bottom w:val="none" w:sz="0" w:space="0" w:color="auto"/>
        <w:right w:val="none" w:sz="0" w:space="0" w:color="auto"/>
      </w:divBdr>
    </w:div>
    <w:div w:id="1122505633">
      <w:bodyDiv w:val="1"/>
      <w:marLeft w:val="0"/>
      <w:marRight w:val="0"/>
      <w:marTop w:val="0"/>
      <w:marBottom w:val="0"/>
      <w:divBdr>
        <w:top w:val="none" w:sz="0" w:space="0" w:color="auto"/>
        <w:left w:val="none" w:sz="0" w:space="0" w:color="auto"/>
        <w:bottom w:val="none" w:sz="0" w:space="0" w:color="auto"/>
        <w:right w:val="none" w:sz="0" w:space="0" w:color="auto"/>
      </w:divBdr>
    </w:div>
    <w:div w:id="1153713960">
      <w:bodyDiv w:val="1"/>
      <w:marLeft w:val="0"/>
      <w:marRight w:val="0"/>
      <w:marTop w:val="0"/>
      <w:marBottom w:val="0"/>
      <w:divBdr>
        <w:top w:val="none" w:sz="0" w:space="0" w:color="auto"/>
        <w:left w:val="none" w:sz="0" w:space="0" w:color="auto"/>
        <w:bottom w:val="none" w:sz="0" w:space="0" w:color="auto"/>
        <w:right w:val="none" w:sz="0" w:space="0" w:color="auto"/>
      </w:divBdr>
    </w:div>
    <w:div w:id="1395394884">
      <w:bodyDiv w:val="1"/>
      <w:marLeft w:val="0"/>
      <w:marRight w:val="0"/>
      <w:marTop w:val="0"/>
      <w:marBottom w:val="0"/>
      <w:divBdr>
        <w:top w:val="none" w:sz="0" w:space="0" w:color="auto"/>
        <w:left w:val="none" w:sz="0" w:space="0" w:color="auto"/>
        <w:bottom w:val="none" w:sz="0" w:space="0" w:color="auto"/>
        <w:right w:val="none" w:sz="0" w:space="0" w:color="auto"/>
      </w:divBdr>
    </w:div>
    <w:div w:id="1864708865">
      <w:bodyDiv w:val="1"/>
      <w:marLeft w:val="0"/>
      <w:marRight w:val="0"/>
      <w:marTop w:val="0"/>
      <w:marBottom w:val="0"/>
      <w:divBdr>
        <w:top w:val="none" w:sz="0" w:space="0" w:color="auto"/>
        <w:left w:val="none" w:sz="0" w:space="0" w:color="auto"/>
        <w:bottom w:val="none" w:sz="0" w:space="0" w:color="auto"/>
        <w:right w:val="none" w:sz="0" w:space="0" w:color="auto"/>
      </w:divBdr>
    </w:div>
    <w:div w:id="1872569418">
      <w:bodyDiv w:val="1"/>
      <w:marLeft w:val="0"/>
      <w:marRight w:val="0"/>
      <w:marTop w:val="0"/>
      <w:marBottom w:val="0"/>
      <w:divBdr>
        <w:top w:val="none" w:sz="0" w:space="0" w:color="auto"/>
        <w:left w:val="none" w:sz="0" w:space="0" w:color="auto"/>
        <w:bottom w:val="none" w:sz="0" w:space="0" w:color="auto"/>
        <w:right w:val="none" w:sz="0" w:space="0" w:color="auto"/>
      </w:divBdr>
    </w:div>
    <w:div w:id="1944609735">
      <w:bodyDiv w:val="1"/>
      <w:marLeft w:val="0"/>
      <w:marRight w:val="0"/>
      <w:marTop w:val="0"/>
      <w:marBottom w:val="0"/>
      <w:divBdr>
        <w:top w:val="none" w:sz="0" w:space="0" w:color="auto"/>
        <w:left w:val="none" w:sz="0" w:space="0" w:color="auto"/>
        <w:bottom w:val="none" w:sz="0" w:space="0" w:color="auto"/>
        <w:right w:val="none" w:sz="0" w:space="0" w:color="auto"/>
      </w:divBdr>
    </w:div>
    <w:div w:id="2003965887">
      <w:bodyDiv w:val="1"/>
      <w:marLeft w:val="0"/>
      <w:marRight w:val="0"/>
      <w:marTop w:val="0"/>
      <w:marBottom w:val="0"/>
      <w:divBdr>
        <w:top w:val="none" w:sz="0" w:space="0" w:color="auto"/>
        <w:left w:val="none" w:sz="0" w:space="0" w:color="auto"/>
        <w:bottom w:val="none" w:sz="0" w:space="0" w:color="auto"/>
        <w:right w:val="none" w:sz="0" w:space="0" w:color="auto"/>
      </w:divBdr>
    </w:div>
    <w:div w:id="2010674654">
      <w:bodyDiv w:val="1"/>
      <w:marLeft w:val="0"/>
      <w:marRight w:val="0"/>
      <w:marTop w:val="0"/>
      <w:marBottom w:val="0"/>
      <w:divBdr>
        <w:top w:val="none" w:sz="0" w:space="0" w:color="auto"/>
        <w:left w:val="none" w:sz="0" w:space="0" w:color="auto"/>
        <w:bottom w:val="none" w:sz="0" w:space="0" w:color="auto"/>
        <w:right w:val="none" w:sz="0" w:space="0" w:color="auto"/>
      </w:divBdr>
    </w:div>
    <w:div w:id="201734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77%20%283%29%20SA%20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87AB7-CFA3-4F4D-B0F0-7A8529CB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Concourt</Company>
  <LinksUpToDate>false</LinksUpToDate>
  <CharactersWithSpaces>13911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TEAM MRM</cp:lastModifiedBy>
  <cp:revision>3</cp:revision>
  <cp:lastPrinted>2022-03-16T13:05:00Z</cp:lastPrinted>
  <dcterms:created xsi:type="dcterms:W3CDTF">2022-05-29T15:47:00Z</dcterms:created>
  <dcterms:modified xsi:type="dcterms:W3CDTF">2022-05-29T15:52:00Z</dcterms:modified>
</cp:coreProperties>
</file>